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4.xml" ContentType="application/vnd.openxmlformats-officedocument.wordprocessingml.header+xml"/>
  <Override PartName="/word/footer6.xml" ContentType="application/vnd.openxmlformats-officedocument.wordprocessingml.foot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diagrams/data36.xml" ContentType="application/vnd.openxmlformats-officedocument.drawingml.diagramData+xml"/>
  <Override PartName="/word/diagrams/layout36.xml" ContentType="application/vnd.openxmlformats-officedocument.drawingml.diagramLayout+xml"/>
  <Override PartName="/word/diagrams/quickStyle36.xml" ContentType="application/vnd.openxmlformats-officedocument.drawingml.diagramStyle+xml"/>
  <Override PartName="/word/diagrams/colors36.xml" ContentType="application/vnd.openxmlformats-officedocument.drawingml.diagramColors+xml"/>
  <Override PartName="/word/diagrams/drawing36.xml" ContentType="application/vnd.ms-office.drawingml.diagramDrawing+xml"/>
  <Override PartName="/word/diagrams/data37.xml" ContentType="application/vnd.openxmlformats-officedocument.drawingml.diagramData+xml"/>
  <Override PartName="/word/diagrams/layout37.xml" ContentType="application/vnd.openxmlformats-officedocument.drawingml.diagramLayout+xml"/>
  <Override PartName="/word/diagrams/quickStyle37.xml" ContentType="application/vnd.openxmlformats-officedocument.drawingml.diagramStyle+xml"/>
  <Override PartName="/word/diagrams/colors37.xml" ContentType="application/vnd.openxmlformats-officedocument.drawingml.diagramColors+xml"/>
  <Override PartName="/word/diagrams/drawing37.xml" ContentType="application/vnd.ms-office.drawingml.diagramDrawing+xml"/>
  <Override PartName="/word/diagrams/data38.xml" ContentType="application/vnd.openxmlformats-officedocument.drawingml.diagramData+xml"/>
  <Override PartName="/word/diagrams/layout38.xml" ContentType="application/vnd.openxmlformats-officedocument.drawingml.diagramLayout+xml"/>
  <Override PartName="/word/diagrams/quickStyle38.xml" ContentType="application/vnd.openxmlformats-officedocument.drawingml.diagramStyle+xml"/>
  <Override PartName="/word/diagrams/colors38.xml" ContentType="application/vnd.openxmlformats-officedocument.drawingml.diagramColors+xml"/>
  <Override PartName="/word/diagrams/drawing38.xml" ContentType="application/vnd.ms-office.drawingml.diagramDrawing+xml"/>
  <Override PartName="/word/diagrams/data39.xml" ContentType="application/vnd.openxmlformats-officedocument.drawingml.diagramData+xml"/>
  <Override PartName="/word/diagrams/layout39.xml" ContentType="application/vnd.openxmlformats-officedocument.drawingml.diagramLayout+xml"/>
  <Override PartName="/word/diagrams/quickStyle39.xml" ContentType="application/vnd.openxmlformats-officedocument.drawingml.diagramStyle+xml"/>
  <Override PartName="/word/diagrams/colors39.xml" ContentType="application/vnd.openxmlformats-officedocument.drawingml.diagramColors+xml"/>
  <Override PartName="/word/diagrams/drawing39.xml" ContentType="application/vnd.ms-office.drawingml.diagramDrawing+xml"/>
  <Override PartName="/word/diagrams/data40.xml" ContentType="application/vnd.openxmlformats-officedocument.drawingml.diagramData+xml"/>
  <Override PartName="/word/diagrams/layout40.xml" ContentType="application/vnd.openxmlformats-officedocument.drawingml.diagramLayout+xml"/>
  <Override PartName="/word/diagrams/quickStyle40.xml" ContentType="application/vnd.openxmlformats-officedocument.drawingml.diagramStyle+xml"/>
  <Override PartName="/word/diagrams/colors40.xml" ContentType="application/vnd.openxmlformats-officedocument.drawingml.diagramColors+xml"/>
  <Override PartName="/word/diagrams/drawing40.xml" ContentType="application/vnd.ms-office.drawingml.diagramDrawing+xml"/>
  <Override PartName="/word/diagrams/data41.xml" ContentType="application/vnd.openxmlformats-officedocument.drawingml.diagramData+xml"/>
  <Override PartName="/word/diagrams/layout41.xml" ContentType="application/vnd.openxmlformats-officedocument.drawingml.diagramLayout+xml"/>
  <Override PartName="/word/diagrams/quickStyle41.xml" ContentType="application/vnd.openxmlformats-officedocument.drawingml.diagramStyle+xml"/>
  <Override PartName="/word/diagrams/colors41.xml" ContentType="application/vnd.openxmlformats-officedocument.drawingml.diagramColors+xml"/>
  <Override PartName="/word/diagrams/drawing41.xml" ContentType="application/vnd.ms-office.drawingml.diagramDrawing+xml"/>
  <Override PartName="/word/diagrams/data42.xml" ContentType="application/vnd.openxmlformats-officedocument.drawingml.diagramData+xml"/>
  <Override PartName="/word/diagrams/layout42.xml" ContentType="application/vnd.openxmlformats-officedocument.drawingml.diagramLayout+xml"/>
  <Override PartName="/word/diagrams/quickStyle42.xml" ContentType="application/vnd.openxmlformats-officedocument.drawingml.diagramStyle+xml"/>
  <Override PartName="/word/diagrams/colors42.xml" ContentType="application/vnd.openxmlformats-officedocument.drawingml.diagramColors+xml"/>
  <Override PartName="/word/diagrams/drawing42.xml" ContentType="application/vnd.ms-office.drawingml.diagramDrawing+xml"/>
  <Override PartName="/word/diagrams/data43.xml" ContentType="application/vnd.openxmlformats-officedocument.drawingml.diagramData+xml"/>
  <Override PartName="/word/diagrams/layout43.xml" ContentType="application/vnd.openxmlformats-officedocument.drawingml.diagramLayout+xml"/>
  <Override PartName="/word/diagrams/quickStyle43.xml" ContentType="application/vnd.openxmlformats-officedocument.drawingml.diagramStyle+xml"/>
  <Override PartName="/word/diagrams/colors43.xml" ContentType="application/vnd.openxmlformats-officedocument.drawingml.diagramColors+xml"/>
  <Override PartName="/word/diagrams/drawing43.xml" ContentType="application/vnd.ms-office.drawingml.diagramDrawing+xml"/>
  <Override PartName="/word/diagrams/data44.xml" ContentType="application/vnd.openxmlformats-officedocument.drawingml.diagramData+xml"/>
  <Override PartName="/word/diagrams/layout44.xml" ContentType="application/vnd.openxmlformats-officedocument.drawingml.diagramLayout+xml"/>
  <Override PartName="/word/diagrams/quickStyle44.xml" ContentType="application/vnd.openxmlformats-officedocument.drawingml.diagramStyle+xml"/>
  <Override PartName="/word/diagrams/colors44.xml" ContentType="application/vnd.openxmlformats-officedocument.drawingml.diagramColors+xml"/>
  <Override PartName="/word/diagrams/drawing44.xml" ContentType="application/vnd.ms-office.drawingml.diagramDrawing+xml"/>
  <Override PartName="/word/diagrams/data45.xml" ContentType="application/vnd.openxmlformats-officedocument.drawingml.diagramData+xml"/>
  <Override PartName="/word/diagrams/layout45.xml" ContentType="application/vnd.openxmlformats-officedocument.drawingml.diagramLayout+xml"/>
  <Override PartName="/word/diagrams/quickStyle45.xml" ContentType="application/vnd.openxmlformats-officedocument.drawingml.diagramStyle+xml"/>
  <Override PartName="/word/diagrams/colors45.xml" ContentType="application/vnd.openxmlformats-officedocument.drawingml.diagramColors+xml"/>
  <Override PartName="/word/diagrams/drawing4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266F30" w14:textId="77777777" w:rsidR="00B11105" w:rsidRDefault="00B11105" w:rsidP="000979A1">
      <w:pPr>
        <w:spacing w:after="0" w:line="240" w:lineRule="auto"/>
        <w:rPr>
          <w:rFonts w:ascii="TUOS Blake" w:eastAsia="Times New Roman" w:hAnsi="TUOS Blake"/>
          <w:szCs w:val="24"/>
        </w:rPr>
      </w:pPr>
    </w:p>
    <w:p w14:paraId="5B492117" w14:textId="7B130414" w:rsidR="00D24765" w:rsidRPr="00957042" w:rsidRDefault="00D24765" w:rsidP="00D24765">
      <w:pPr>
        <w:spacing w:after="0" w:line="240" w:lineRule="auto"/>
        <w:jc w:val="center"/>
        <w:rPr>
          <w:rFonts w:ascii="TUOS Blake" w:eastAsia="Times New Roman" w:hAnsi="TUOS Blake"/>
          <w:szCs w:val="24"/>
        </w:rPr>
      </w:pPr>
      <w:r>
        <w:rPr>
          <w:rFonts w:ascii="Times New Roman" w:eastAsia="Times New Roman" w:hAnsi="Times New Roman"/>
          <w:noProof/>
          <w:szCs w:val="24"/>
          <w:lang w:val="en-US"/>
        </w:rPr>
        <w:drawing>
          <wp:inline distT="0" distB="0" distL="0" distR="0" wp14:anchorId="390E89C1" wp14:editId="7DC7809C">
            <wp:extent cx="2908300" cy="116840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8300" cy="1168400"/>
                    </a:xfrm>
                    <a:prstGeom prst="rect">
                      <a:avLst/>
                    </a:prstGeom>
                    <a:noFill/>
                    <a:ln>
                      <a:noFill/>
                    </a:ln>
                  </pic:spPr>
                </pic:pic>
              </a:graphicData>
            </a:graphic>
          </wp:inline>
        </w:drawing>
      </w:r>
    </w:p>
    <w:p w14:paraId="1F874E5E" w14:textId="77777777" w:rsidR="00D24765" w:rsidRPr="00957042" w:rsidRDefault="00D24765" w:rsidP="00D24765">
      <w:pPr>
        <w:spacing w:after="0" w:line="240" w:lineRule="auto"/>
        <w:rPr>
          <w:rFonts w:ascii="TUOS Blake" w:eastAsia="Times New Roman" w:hAnsi="TUOS Blake"/>
          <w:szCs w:val="24"/>
        </w:rPr>
      </w:pPr>
    </w:p>
    <w:p w14:paraId="39DC188E" w14:textId="5B0B1066" w:rsidR="00395226" w:rsidRDefault="00D24765" w:rsidP="00395226">
      <w:pPr>
        <w:spacing w:line="240" w:lineRule="auto"/>
        <w:jc w:val="center"/>
        <w:rPr>
          <w:rFonts w:ascii="TUOS Blake" w:eastAsia="Times New Roman" w:hAnsi="TUOS Blake" w:cs="Arial"/>
          <w:b/>
          <w:bCs/>
          <w:sz w:val="28"/>
          <w:szCs w:val="24"/>
        </w:rPr>
      </w:pPr>
      <w:r>
        <w:rPr>
          <w:rFonts w:ascii="TUOS Blake" w:eastAsia="Times New Roman" w:hAnsi="TUOS Blake" w:cs="Arial"/>
          <w:b/>
          <w:bCs/>
          <w:sz w:val="28"/>
          <w:szCs w:val="24"/>
        </w:rPr>
        <w:t>PhD Thesis</w:t>
      </w:r>
      <w:bookmarkStart w:id="0" w:name="_Toc386284650"/>
    </w:p>
    <w:p w14:paraId="15D3CF94" w14:textId="17796982" w:rsidR="00956661" w:rsidRDefault="00D24765" w:rsidP="00956661">
      <w:pPr>
        <w:spacing w:line="240" w:lineRule="auto"/>
        <w:jc w:val="center"/>
        <w:rPr>
          <w:rFonts w:ascii="TUOS Blake" w:eastAsia="Times New Roman" w:hAnsi="TUOS Blake" w:cs="Arial"/>
          <w:b/>
          <w:bCs/>
          <w:sz w:val="28"/>
          <w:szCs w:val="24"/>
        </w:rPr>
      </w:pPr>
      <w:r w:rsidRPr="00957042">
        <w:rPr>
          <w:rFonts w:ascii="TUOS Blake" w:eastAsia="Times New Roman" w:hAnsi="TUOS Blake" w:cs="Arial"/>
          <w:b/>
          <w:bCs/>
          <w:sz w:val="28"/>
          <w:szCs w:val="24"/>
        </w:rPr>
        <w:t>Medical School</w:t>
      </w:r>
      <w:bookmarkEnd w:id="0"/>
      <w:r w:rsidR="00331611">
        <w:rPr>
          <w:rFonts w:ascii="TUOS Blake" w:eastAsia="Times New Roman" w:hAnsi="TUOS Blake" w:cs="Arial"/>
          <w:b/>
          <w:bCs/>
          <w:sz w:val="28"/>
          <w:szCs w:val="24"/>
        </w:rPr>
        <w:t xml:space="preserve">                                                                                                         </w:t>
      </w:r>
    </w:p>
    <w:p w14:paraId="371398C9" w14:textId="45D84B76" w:rsidR="00D24765" w:rsidRPr="00331611" w:rsidRDefault="00D24765" w:rsidP="0052511C">
      <w:pPr>
        <w:spacing w:line="240" w:lineRule="auto"/>
        <w:jc w:val="center"/>
        <w:rPr>
          <w:rFonts w:ascii="TUOS Blake" w:eastAsia="Times New Roman" w:hAnsi="TUOS Blake" w:cs="Arial"/>
          <w:b/>
          <w:bCs/>
          <w:sz w:val="28"/>
          <w:szCs w:val="24"/>
        </w:rPr>
      </w:pPr>
      <w:r w:rsidRPr="00957042">
        <w:rPr>
          <w:rFonts w:ascii="TUOS Blake" w:eastAsia="Times New Roman" w:hAnsi="TUOS Blake" w:cs="Arial"/>
          <w:b/>
          <w:bCs/>
          <w:szCs w:val="24"/>
        </w:rPr>
        <w:t xml:space="preserve">Name of </w:t>
      </w:r>
      <w:r w:rsidR="000F6E20">
        <w:rPr>
          <w:rFonts w:ascii="TUOS Blake" w:eastAsia="Times New Roman" w:hAnsi="TUOS Blake" w:cs="Arial"/>
          <w:b/>
          <w:bCs/>
          <w:szCs w:val="24"/>
        </w:rPr>
        <w:t>c</w:t>
      </w:r>
      <w:r w:rsidR="005F705F">
        <w:rPr>
          <w:rFonts w:ascii="TUOS Blake" w:eastAsia="Times New Roman" w:hAnsi="TUOS Blake" w:cs="Arial"/>
          <w:b/>
          <w:bCs/>
          <w:szCs w:val="24"/>
        </w:rPr>
        <w:t>andidate</w:t>
      </w:r>
      <w:r w:rsidRPr="00957042">
        <w:rPr>
          <w:rFonts w:ascii="TUOS Blake" w:eastAsia="Times New Roman" w:hAnsi="TUOS Blake" w:cs="Arial"/>
          <w:b/>
          <w:bCs/>
          <w:szCs w:val="24"/>
        </w:rPr>
        <w:t>:</w:t>
      </w:r>
      <w:r w:rsidR="00331611">
        <w:rPr>
          <w:rFonts w:ascii="TUOS Blake" w:eastAsia="Times New Roman" w:hAnsi="TUOS Blake" w:cs="Arial"/>
          <w:b/>
          <w:bCs/>
          <w:sz w:val="28"/>
          <w:szCs w:val="24"/>
        </w:rPr>
        <w:t xml:space="preserve"> </w:t>
      </w:r>
      <w:r w:rsidRPr="001B37C6">
        <w:rPr>
          <w:rFonts w:eastAsia="Times New Roman" w:cs="Arial"/>
          <w:szCs w:val="24"/>
        </w:rPr>
        <w:t xml:space="preserve">Felicity Anne Fletcher                         </w:t>
      </w:r>
    </w:p>
    <w:p w14:paraId="05D93835" w14:textId="77777777" w:rsidR="00D24765" w:rsidRPr="00957042" w:rsidRDefault="00D24765" w:rsidP="00D24765">
      <w:pPr>
        <w:spacing w:after="0" w:line="240" w:lineRule="auto"/>
        <w:jc w:val="center"/>
        <w:rPr>
          <w:rFonts w:ascii="TUOS Blake" w:eastAsia="Times New Roman" w:hAnsi="TUOS Blake" w:cs="Arial"/>
          <w:b/>
          <w:bCs/>
          <w:szCs w:val="24"/>
        </w:rPr>
      </w:pPr>
      <w:r w:rsidRPr="00957042">
        <w:rPr>
          <w:rFonts w:ascii="TUOS Blake" w:eastAsia="Times New Roman" w:hAnsi="TUOS Blake" w:cs="Arial"/>
          <w:b/>
          <w:bCs/>
          <w:szCs w:val="24"/>
        </w:rPr>
        <w:t>Project Title:</w:t>
      </w:r>
    </w:p>
    <w:p w14:paraId="3D86DEE5" w14:textId="72E7B61E" w:rsidR="00D24765" w:rsidRPr="006B7E11" w:rsidRDefault="006B7E11" w:rsidP="006B7E11">
      <w:pPr>
        <w:spacing w:after="0" w:line="240" w:lineRule="auto"/>
        <w:jc w:val="center"/>
        <w:rPr>
          <w:rFonts w:ascii="TUOS Blake" w:eastAsia="Times New Roman" w:hAnsi="TUOS Blake" w:cs="Arial"/>
          <w:b/>
          <w:bCs/>
          <w:szCs w:val="24"/>
          <w:u w:val="single"/>
        </w:rPr>
      </w:pPr>
      <w:r w:rsidRPr="006B7E11">
        <w:rPr>
          <w:rFonts w:cs="Arial"/>
          <w:bCs/>
          <w:szCs w:val="24"/>
          <w:u w:val="single"/>
        </w:rPr>
        <w:t xml:space="preserve">A mixed methods </w:t>
      </w:r>
      <w:r w:rsidR="00661229">
        <w:rPr>
          <w:rFonts w:cs="Arial"/>
          <w:bCs/>
          <w:szCs w:val="24"/>
          <w:u w:val="single"/>
        </w:rPr>
        <w:t xml:space="preserve">study </w:t>
      </w:r>
      <w:r w:rsidR="00CB72B2">
        <w:rPr>
          <w:rFonts w:cs="Arial"/>
          <w:bCs/>
          <w:szCs w:val="24"/>
          <w:u w:val="single"/>
        </w:rPr>
        <w:t xml:space="preserve">on </w:t>
      </w:r>
      <w:r w:rsidRPr="006B7E11">
        <w:rPr>
          <w:rFonts w:cs="Arial"/>
          <w:bCs/>
          <w:szCs w:val="24"/>
          <w:u w:val="single"/>
        </w:rPr>
        <w:t>simulation</w:t>
      </w:r>
      <w:r w:rsidR="002C3458">
        <w:rPr>
          <w:rFonts w:cs="Arial"/>
          <w:bCs/>
          <w:szCs w:val="24"/>
          <w:u w:val="single"/>
        </w:rPr>
        <w:t>-</w:t>
      </w:r>
      <w:r w:rsidRPr="006B7E11">
        <w:rPr>
          <w:rFonts w:cs="Arial"/>
          <w:bCs/>
          <w:szCs w:val="24"/>
          <w:u w:val="single"/>
        </w:rPr>
        <w:t>based undergraduate medical education</w:t>
      </w:r>
      <w:r w:rsidR="00661229">
        <w:rPr>
          <w:rFonts w:cs="Arial"/>
          <w:bCs/>
          <w:szCs w:val="24"/>
          <w:u w:val="single"/>
        </w:rPr>
        <w:t xml:space="preserve"> </w:t>
      </w:r>
      <w:r w:rsidR="00CB72B2">
        <w:rPr>
          <w:rFonts w:cs="Arial"/>
          <w:bCs/>
          <w:szCs w:val="24"/>
          <w:u w:val="single"/>
        </w:rPr>
        <w:t>for</w:t>
      </w:r>
      <w:r w:rsidR="00661229">
        <w:rPr>
          <w:rFonts w:cs="Arial"/>
          <w:bCs/>
          <w:szCs w:val="24"/>
          <w:u w:val="single"/>
        </w:rPr>
        <w:t xml:space="preserve"> preparedness for practice from multiple stakeholder perspectives.</w:t>
      </w:r>
    </w:p>
    <w:p w14:paraId="7A21C3D7" w14:textId="46974070" w:rsidR="00D24765" w:rsidRPr="00957042" w:rsidRDefault="00395226" w:rsidP="00395226">
      <w:pPr>
        <w:spacing w:after="0" w:line="240" w:lineRule="auto"/>
        <w:ind w:left="3600" w:hanging="3600"/>
        <w:rPr>
          <w:rFonts w:ascii="TUOS Blake" w:eastAsia="Times New Roman" w:hAnsi="TUOS Blake" w:cs="Arial"/>
          <w:b/>
          <w:bCs/>
          <w:szCs w:val="24"/>
        </w:rPr>
      </w:pPr>
      <w:r>
        <w:rPr>
          <w:rFonts w:ascii="TUOS Blake" w:eastAsia="Times New Roman" w:hAnsi="TUOS Blake" w:cs="Arial"/>
          <w:b/>
          <w:bCs/>
          <w:szCs w:val="24"/>
        </w:rPr>
        <w:t>Name of Supervisor:</w:t>
      </w:r>
      <w:r>
        <w:rPr>
          <w:rFonts w:ascii="TUOS Blake" w:eastAsia="Times New Roman" w:hAnsi="TUOS Blake" w:cs="Arial"/>
          <w:b/>
          <w:bCs/>
          <w:szCs w:val="24"/>
        </w:rPr>
        <w:tab/>
      </w:r>
      <w:r w:rsidR="00D24765" w:rsidRPr="00957042">
        <w:rPr>
          <w:rFonts w:ascii="TUOS Blake" w:eastAsia="Times New Roman" w:hAnsi="TUOS Blake" w:cs="Arial"/>
          <w:b/>
          <w:bCs/>
          <w:szCs w:val="24"/>
        </w:rPr>
        <w:t>Name of Co-Supervisor:</w:t>
      </w:r>
    </w:p>
    <w:p w14:paraId="7E43C78B" w14:textId="30A4B5B8" w:rsidR="00D24765" w:rsidRPr="001B37C6" w:rsidRDefault="00395226" w:rsidP="00395226">
      <w:pPr>
        <w:spacing w:after="0" w:line="240" w:lineRule="auto"/>
        <w:ind w:left="3600" w:hanging="3600"/>
        <w:rPr>
          <w:rFonts w:ascii="TUOS Blake" w:eastAsia="Times New Roman" w:hAnsi="TUOS Blake" w:cs="Arial"/>
          <w:bCs/>
          <w:szCs w:val="24"/>
        </w:rPr>
      </w:pPr>
      <w:r>
        <w:rPr>
          <w:rFonts w:ascii="TUOS Blake" w:eastAsia="Times New Roman" w:hAnsi="TUOS Blake" w:cs="Arial"/>
          <w:bCs/>
          <w:szCs w:val="24"/>
        </w:rPr>
        <w:t>Dr Michelle Marshall</w:t>
      </w:r>
      <w:r>
        <w:rPr>
          <w:rFonts w:ascii="TUOS Blake" w:eastAsia="Times New Roman" w:hAnsi="TUOS Blake" w:cs="Arial"/>
          <w:bCs/>
          <w:szCs w:val="24"/>
        </w:rPr>
        <w:tab/>
      </w:r>
      <w:r w:rsidR="00F70843">
        <w:rPr>
          <w:rFonts w:ascii="TUOS Blake" w:eastAsia="Times New Roman" w:hAnsi="TUOS Blake" w:cs="Arial"/>
          <w:bCs/>
          <w:szCs w:val="24"/>
        </w:rPr>
        <w:t xml:space="preserve">Dr </w:t>
      </w:r>
      <w:proofErr w:type="spellStart"/>
      <w:r w:rsidR="00F70843">
        <w:rPr>
          <w:rFonts w:ascii="TUOS Blake" w:eastAsia="Times New Roman" w:hAnsi="TUOS Blake" w:cs="Arial"/>
          <w:bCs/>
          <w:szCs w:val="24"/>
        </w:rPr>
        <w:t>Piras</w:t>
      </w:r>
      <w:r w:rsidR="00D24765" w:rsidRPr="001B37C6">
        <w:rPr>
          <w:rFonts w:ascii="TUOS Blake" w:eastAsia="Times New Roman" w:hAnsi="TUOS Blake" w:cs="Arial"/>
          <w:bCs/>
          <w:szCs w:val="24"/>
        </w:rPr>
        <w:t>hanthie</w:t>
      </w:r>
      <w:proofErr w:type="spellEnd"/>
      <w:r w:rsidR="00D24765" w:rsidRPr="001B37C6">
        <w:rPr>
          <w:rFonts w:ascii="TUOS Blake" w:eastAsia="Times New Roman" w:hAnsi="TUOS Blake" w:cs="Arial"/>
          <w:bCs/>
          <w:szCs w:val="24"/>
        </w:rPr>
        <w:t xml:space="preserve"> Vivekananda-Schmidt, Mr Derek Rosario</w:t>
      </w:r>
    </w:p>
    <w:p w14:paraId="2405D104" w14:textId="77777777" w:rsidR="00D24765" w:rsidRPr="00957042" w:rsidRDefault="00D24765" w:rsidP="00D24765">
      <w:pPr>
        <w:spacing w:after="0" w:line="240" w:lineRule="auto"/>
        <w:jc w:val="center"/>
        <w:rPr>
          <w:rFonts w:ascii="TUOS Blake" w:eastAsia="Times New Roman" w:hAnsi="TUOS Blake" w:cs="Arial"/>
          <w:b/>
          <w:bCs/>
          <w:szCs w:val="24"/>
        </w:rPr>
      </w:pPr>
    </w:p>
    <w:p w14:paraId="6CAF3FAC" w14:textId="5B323106" w:rsidR="00D24765" w:rsidRPr="00331611" w:rsidRDefault="00D24765" w:rsidP="00D24765">
      <w:pPr>
        <w:spacing w:after="0" w:line="240" w:lineRule="auto"/>
        <w:rPr>
          <w:rFonts w:ascii="TUOS Blake" w:eastAsia="Times New Roman" w:hAnsi="TUOS Blake" w:cs="Arial"/>
          <w:b/>
          <w:bCs/>
          <w:szCs w:val="24"/>
        </w:rPr>
      </w:pPr>
      <w:r>
        <w:rPr>
          <w:rFonts w:ascii="TUOS Blake" w:eastAsia="Times New Roman" w:hAnsi="TUOS Blake" w:cs="Arial"/>
          <w:b/>
          <w:bCs/>
          <w:szCs w:val="24"/>
        </w:rPr>
        <w:t xml:space="preserve">Approval to </w:t>
      </w:r>
      <w:r w:rsidR="00411494">
        <w:rPr>
          <w:rFonts w:ascii="TUOS Blake" w:eastAsia="Times New Roman" w:hAnsi="TUOS Blake" w:cs="Arial"/>
          <w:b/>
          <w:bCs/>
          <w:szCs w:val="24"/>
        </w:rPr>
        <w:t>Re-</w:t>
      </w:r>
      <w:r>
        <w:rPr>
          <w:rFonts w:ascii="TUOS Blake" w:eastAsia="Times New Roman" w:hAnsi="TUOS Blake" w:cs="Arial"/>
          <w:b/>
          <w:bCs/>
          <w:szCs w:val="24"/>
        </w:rPr>
        <w:t xml:space="preserve">Submit </w:t>
      </w:r>
      <w:r w:rsidRPr="00957042">
        <w:rPr>
          <w:rFonts w:ascii="TUOS Blake" w:eastAsia="Times New Roman" w:hAnsi="TUOS Blake" w:cs="Arial"/>
          <w:b/>
          <w:bCs/>
          <w:szCs w:val="24"/>
        </w:rPr>
        <w:t>Thesis:</w:t>
      </w:r>
    </w:p>
    <w:p w14:paraId="1A2A95FC" w14:textId="4BDC3D8D" w:rsidR="00D24765" w:rsidRPr="00957042" w:rsidRDefault="00D24765" w:rsidP="00D24765">
      <w:pPr>
        <w:spacing w:after="0" w:line="240" w:lineRule="auto"/>
        <w:ind w:right="-334"/>
        <w:rPr>
          <w:rFonts w:ascii="TUOS Blake" w:eastAsia="Times New Roman" w:hAnsi="TUOS Blake" w:cs="Arial"/>
          <w:szCs w:val="24"/>
        </w:rPr>
      </w:pPr>
      <w:r w:rsidRPr="00957042">
        <w:rPr>
          <w:rFonts w:ascii="TUOS Blake" w:eastAsia="Times New Roman" w:hAnsi="TUOS Blake" w:cs="Arial"/>
          <w:szCs w:val="24"/>
        </w:rPr>
        <w:t xml:space="preserve">Signature of </w:t>
      </w:r>
      <w:r w:rsidRPr="00957042">
        <w:rPr>
          <w:rFonts w:ascii="TUOS Blake" w:eastAsia="Times New Roman" w:hAnsi="TUOS Blake" w:cs="Arial"/>
          <w:b/>
          <w:bCs/>
          <w:i/>
          <w:iCs/>
          <w:szCs w:val="24"/>
          <w:u w:val="single"/>
        </w:rPr>
        <w:t>Supervisor</w:t>
      </w:r>
      <w:r w:rsidRPr="00957042">
        <w:rPr>
          <w:rFonts w:ascii="TUOS Blake" w:eastAsia="Times New Roman" w:hAnsi="TUOS Blake" w:cs="Arial"/>
          <w:szCs w:val="24"/>
        </w:rPr>
        <w:t xml:space="preserve"> indicating that he/she has read and approves the </w:t>
      </w:r>
      <w:r w:rsidR="00411494">
        <w:rPr>
          <w:rFonts w:ascii="TUOS Blake" w:eastAsia="Times New Roman" w:hAnsi="TUOS Blake" w:cs="Arial"/>
          <w:szCs w:val="24"/>
        </w:rPr>
        <w:t>re-</w:t>
      </w:r>
      <w:r w:rsidRPr="00957042">
        <w:rPr>
          <w:rFonts w:ascii="TUOS Blake" w:eastAsia="Times New Roman" w:hAnsi="TUOS Blake" w:cs="Arial"/>
          <w:szCs w:val="24"/>
        </w:rPr>
        <w:t>submission of Thesis:</w:t>
      </w:r>
    </w:p>
    <w:p w14:paraId="6EC8989F" w14:textId="77777777" w:rsidR="00D24765" w:rsidRPr="00957042" w:rsidRDefault="00D24765" w:rsidP="00D24765">
      <w:pPr>
        <w:spacing w:after="0" w:line="240" w:lineRule="auto"/>
        <w:rPr>
          <w:rFonts w:ascii="TUOS Blake" w:eastAsia="Times New Roman" w:hAnsi="TUOS Blake" w:cs="Arial"/>
          <w:szCs w:val="24"/>
        </w:rPr>
      </w:pPr>
    </w:p>
    <w:p w14:paraId="2093EED2" w14:textId="1E0433C7" w:rsidR="00D24765" w:rsidRPr="00957042" w:rsidRDefault="00D24765" w:rsidP="00D24765">
      <w:pPr>
        <w:spacing w:after="0" w:line="240" w:lineRule="auto"/>
        <w:ind w:right="-334"/>
        <w:rPr>
          <w:rFonts w:ascii="TUOS Blake" w:eastAsia="Times New Roman" w:hAnsi="TUOS Blake" w:cs="Arial"/>
          <w:szCs w:val="24"/>
        </w:rPr>
      </w:pPr>
      <w:r w:rsidRPr="00957042">
        <w:rPr>
          <w:rFonts w:ascii="TUOS Blake" w:eastAsia="Times New Roman" w:hAnsi="TUOS Blake" w:cs="Arial"/>
          <w:b/>
          <w:bCs/>
          <w:szCs w:val="24"/>
        </w:rPr>
        <w:t>Signed:</w:t>
      </w:r>
      <w:r w:rsidRPr="00957042">
        <w:rPr>
          <w:rFonts w:ascii="TUOS Blake" w:eastAsia="Times New Roman" w:hAnsi="TUOS Blake" w:cs="Arial"/>
          <w:szCs w:val="24"/>
        </w:rPr>
        <w:t xml:space="preserve">  </w:t>
      </w:r>
      <w:r w:rsidR="001F0F74">
        <w:rPr>
          <w:rFonts w:ascii="TUOS Blake" w:eastAsia="Times New Roman" w:hAnsi="TUOS Blake" w:cs="Arial"/>
          <w:szCs w:val="24"/>
        </w:rPr>
        <w:tab/>
      </w:r>
      <w:r w:rsidRPr="00957042">
        <w:rPr>
          <w:rFonts w:ascii="TUOS Blake" w:eastAsia="Times New Roman" w:hAnsi="TUOS Blake" w:cs="Arial"/>
          <w:b/>
          <w:bCs/>
          <w:szCs w:val="24"/>
        </w:rPr>
        <w:t>Date:</w:t>
      </w:r>
      <w:r w:rsidRPr="00957042">
        <w:rPr>
          <w:rFonts w:ascii="TUOS Blake" w:eastAsia="Times New Roman" w:hAnsi="TUOS Blake" w:cs="Arial"/>
          <w:szCs w:val="24"/>
        </w:rPr>
        <w:t xml:space="preserve"> ……</w:t>
      </w:r>
      <w:r w:rsidR="00411494">
        <w:rPr>
          <w:rFonts w:ascii="TUOS Blake" w:eastAsia="Times New Roman" w:hAnsi="TUOS Blake" w:cs="Arial"/>
          <w:szCs w:val="24"/>
        </w:rPr>
        <w:t>6/2/19</w:t>
      </w:r>
      <w:r w:rsidRPr="00957042">
        <w:rPr>
          <w:rFonts w:ascii="TUOS Blake" w:eastAsia="Times New Roman" w:hAnsi="TUOS Blake" w:cs="Arial"/>
          <w:szCs w:val="24"/>
        </w:rPr>
        <w:t>……………………………………</w:t>
      </w:r>
    </w:p>
    <w:p w14:paraId="66372514" w14:textId="77777777" w:rsidR="00D24765" w:rsidRPr="00957042" w:rsidRDefault="00D24765" w:rsidP="00D24765">
      <w:pPr>
        <w:spacing w:after="0" w:line="240" w:lineRule="auto"/>
        <w:ind w:right="-334"/>
        <w:rPr>
          <w:rFonts w:ascii="TUOS Blake" w:eastAsia="Times New Roman" w:hAnsi="TUOS Blake" w:cs="Arial"/>
          <w:szCs w:val="24"/>
        </w:rPr>
      </w:pPr>
    </w:p>
    <w:p w14:paraId="6C966454" w14:textId="77777777" w:rsidR="00D24765" w:rsidRPr="00957042" w:rsidRDefault="00D24765" w:rsidP="00D24765">
      <w:pPr>
        <w:spacing w:after="0" w:line="240" w:lineRule="auto"/>
        <w:ind w:right="-334"/>
        <w:jc w:val="center"/>
        <w:rPr>
          <w:rFonts w:ascii="TUOS Blake" w:eastAsia="Times New Roman" w:hAnsi="TUOS Blake" w:cs="Arial"/>
          <w:b/>
        </w:rPr>
      </w:pPr>
      <w:r w:rsidRPr="00957042">
        <w:rPr>
          <w:rFonts w:ascii="TUOS Blake" w:eastAsia="Times New Roman" w:hAnsi="TUOS Blake" w:cs="Arial"/>
          <w:b/>
        </w:rPr>
        <w:t>Statement of Probity</w:t>
      </w:r>
    </w:p>
    <w:p w14:paraId="39986D19" w14:textId="79604A64" w:rsidR="00D24765" w:rsidRPr="00957042" w:rsidRDefault="00D24765" w:rsidP="00D24765">
      <w:pPr>
        <w:spacing w:after="0" w:line="240" w:lineRule="auto"/>
        <w:jc w:val="both"/>
        <w:rPr>
          <w:rFonts w:ascii="TUOS Blake" w:eastAsia="Times New Roman" w:hAnsi="TUOS Blake" w:cs="Arial"/>
        </w:rPr>
      </w:pPr>
      <w:r w:rsidRPr="00957042">
        <w:rPr>
          <w:rFonts w:ascii="TUOS Blake" w:eastAsia="Times New Roman" w:hAnsi="TUOS Blake" w:cs="Arial"/>
        </w:rPr>
        <w:t xml:space="preserve">I confirm that I shall abide by the University of Sheffield’s regulations on plagiarism and that all written work shall be my own and will not have been </w:t>
      </w:r>
      <w:bookmarkStart w:id="1" w:name="OLE_LINK1"/>
      <w:r w:rsidRPr="00957042">
        <w:rPr>
          <w:rFonts w:ascii="TUOS Blake" w:eastAsia="Times New Roman" w:hAnsi="TUOS Blake" w:cs="Arial"/>
        </w:rPr>
        <w:t>PLAGIARISED</w:t>
      </w:r>
      <w:bookmarkEnd w:id="1"/>
      <w:r w:rsidRPr="00957042">
        <w:rPr>
          <w:rFonts w:ascii="TUOS Blake" w:eastAsia="Times New Roman" w:hAnsi="TUOS Blake" w:cs="Arial"/>
        </w:rPr>
        <w:t xml:space="preserve"> from other paper-based or electronic sources.  Where used, material gathered from other sources will be clearly cited in the text.</w:t>
      </w:r>
    </w:p>
    <w:p w14:paraId="30827EB9" w14:textId="77777777" w:rsidR="00EE4DE7" w:rsidRDefault="00EE4DE7" w:rsidP="00C9395B">
      <w:pPr>
        <w:widowControl w:val="0"/>
        <w:autoSpaceDE w:val="0"/>
        <w:autoSpaceDN w:val="0"/>
        <w:adjustRightInd w:val="0"/>
        <w:spacing w:before="0" w:after="0" w:line="240" w:lineRule="auto"/>
        <w:rPr>
          <w:rFonts w:ascii="TUOS Blake" w:eastAsia="Times New Roman" w:hAnsi="TUOS Blake" w:cs="Arial"/>
        </w:rPr>
      </w:pPr>
    </w:p>
    <w:p w14:paraId="279E1EE4" w14:textId="01B24EB7" w:rsidR="00D24765" w:rsidRPr="00C9395B" w:rsidRDefault="00D24765" w:rsidP="00C9395B">
      <w:pPr>
        <w:widowControl w:val="0"/>
        <w:autoSpaceDE w:val="0"/>
        <w:autoSpaceDN w:val="0"/>
        <w:adjustRightInd w:val="0"/>
        <w:spacing w:before="0" w:after="0" w:line="240" w:lineRule="auto"/>
        <w:rPr>
          <w:rFonts w:ascii="Times" w:eastAsiaTheme="minorEastAsia" w:hAnsi="Times" w:cs="Times"/>
          <w:szCs w:val="24"/>
          <w:lang w:val="en-US"/>
        </w:rPr>
      </w:pPr>
      <w:r w:rsidRPr="00957042">
        <w:rPr>
          <w:rFonts w:ascii="TUOS Blake" w:eastAsia="Times New Roman" w:hAnsi="TUOS Blake" w:cs="Arial"/>
        </w:rPr>
        <w:t xml:space="preserve">Signature:  </w:t>
      </w:r>
      <w:r w:rsidRPr="00957042">
        <w:rPr>
          <w:rFonts w:ascii="TUOS Blake" w:eastAsia="Times New Roman" w:hAnsi="TUOS Blake" w:cs="Arial"/>
        </w:rPr>
        <w:tab/>
        <w:t>Date:   ……</w:t>
      </w:r>
      <w:r w:rsidR="00411494">
        <w:rPr>
          <w:rFonts w:ascii="TUOS Blake" w:eastAsia="Times New Roman" w:hAnsi="TUOS Blake" w:cs="Arial"/>
        </w:rPr>
        <w:t>6/2/19</w:t>
      </w:r>
      <w:r w:rsidRPr="00957042">
        <w:rPr>
          <w:rFonts w:ascii="TUOS Blake" w:eastAsia="Times New Roman" w:hAnsi="TUOS Blake" w:cs="Arial"/>
        </w:rPr>
        <w:t>……………</w:t>
      </w:r>
    </w:p>
    <w:p w14:paraId="7813DD40" w14:textId="77777777" w:rsidR="00D24765" w:rsidRPr="00957042" w:rsidRDefault="00D24765" w:rsidP="00D24765">
      <w:pPr>
        <w:spacing w:after="0" w:line="240" w:lineRule="auto"/>
        <w:rPr>
          <w:rFonts w:ascii="TUOS Blake" w:eastAsia="Times New Roman" w:hAnsi="TUOS Blake" w:cs="Arial"/>
        </w:rPr>
      </w:pPr>
    </w:p>
    <w:p w14:paraId="194FC1B5" w14:textId="641933F1" w:rsidR="004261BC" w:rsidRDefault="00D24765" w:rsidP="004261BC">
      <w:r w:rsidRPr="00957042">
        <w:rPr>
          <w:rFonts w:ascii="TUOS Blake" w:eastAsia="Times New Roman" w:hAnsi="TUOS Blake" w:cs="Arial"/>
        </w:rPr>
        <w:t>Name (Print):  ………</w:t>
      </w:r>
      <w:r w:rsidR="00493130">
        <w:rPr>
          <w:rFonts w:ascii="TUOS Blake" w:eastAsia="Times New Roman" w:hAnsi="TUOS Blake" w:cs="Arial"/>
        </w:rPr>
        <w:t>F A FLETCHER</w:t>
      </w:r>
      <w:r w:rsidRPr="00957042">
        <w:rPr>
          <w:rFonts w:ascii="TUOS Blake" w:eastAsia="Times New Roman" w:hAnsi="TUOS Blake" w:cs="Arial"/>
        </w:rPr>
        <w:t>………………………………………………………</w:t>
      </w:r>
    </w:p>
    <w:p w14:paraId="28B241F4" w14:textId="77777777" w:rsidR="00956661" w:rsidRDefault="00956661" w:rsidP="00B855D4">
      <w:pPr>
        <w:spacing w:line="360" w:lineRule="auto"/>
        <w:rPr>
          <w:rFonts w:cs="Arial"/>
          <w:b/>
          <w:sz w:val="28"/>
          <w:szCs w:val="28"/>
          <w:u w:val="single"/>
        </w:rPr>
      </w:pPr>
    </w:p>
    <w:p w14:paraId="117F622A" w14:textId="27D16F94" w:rsidR="00D24765" w:rsidRPr="009344E7" w:rsidRDefault="00331611" w:rsidP="00B855D4">
      <w:pPr>
        <w:spacing w:line="360" w:lineRule="auto"/>
        <w:rPr>
          <w:rFonts w:cs="Arial"/>
          <w:b/>
          <w:sz w:val="28"/>
          <w:szCs w:val="28"/>
          <w:u w:val="single"/>
        </w:rPr>
      </w:pPr>
      <w:r w:rsidRPr="009344E7">
        <w:rPr>
          <w:rFonts w:cs="Arial"/>
          <w:b/>
          <w:sz w:val="28"/>
          <w:szCs w:val="28"/>
          <w:u w:val="single"/>
        </w:rPr>
        <w:lastRenderedPageBreak/>
        <w:t>Co</w:t>
      </w:r>
      <w:r w:rsidR="00D24765" w:rsidRPr="009344E7">
        <w:rPr>
          <w:rFonts w:cs="Arial"/>
          <w:b/>
          <w:sz w:val="28"/>
          <w:szCs w:val="28"/>
          <w:u w:val="single"/>
        </w:rPr>
        <w:t>ntents page</w:t>
      </w:r>
    </w:p>
    <w:p w14:paraId="4E781888" w14:textId="77777777" w:rsidR="00AC7474" w:rsidRDefault="005F454B">
      <w:pPr>
        <w:pStyle w:val="TOC1"/>
        <w:tabs>
          <w:tab w:val="left" w:pos="438"/>
          <w:tab w:val="right" w:leader="dot" w:pos="8488"/>
        </w:tabs>
        <w:rPr>
          <w:rFonts w:eastAsiaTheme="minorEastAsia" w:cstheme="minorBidi"/>
          <w:b w:val="0"/>
          <w:noProof/>
          <w:lang w:val="en-US" w:eastAsia="ja-JP"/>
        </w:rPr>
      </w:pPr>
      <w:r>
        <w:fldChar w:fldCharType="begin"/>
      </w:r>
      <w:r>
        <w:instrText xml:space="preserve"> TOC \o "1-3" </w:instrText>
      </w:r>
      <w:r>
        <w:fldChar w:fldCharType="separate"/>
      </w:r>
      <w:r w:rsidR="00AC7474" w:rsidRPr="0093730D">
        <w:rPr>
          <w:noProof/>
        </w:rPr>
        <w:t>1.</w:t>
      </w:r>
      <w:r w:rsidR="00AC7474">
        <w:rPr>
          <w:rFonts w:eastAsiaTheme="minorEastAsia" w:cstheme="minorBidi"/>
          <w:b w:val="0"/>
          <w:noProof/>
          <w:lang w:val="en-US" w:eastAsia="ja-JP"/>
        </w:rPr>
        <w:tab/>
      </w:r>
      <w:r w:rsidR="00AC7474">
        <w:rPr>
          <w:noProof/>
        </w:rPr>
        <w:t>Chapter 1: Introduction to thesis</w:t>
      </w:r>
      <w:r w:rsidR="00AC7474">
        <w:rPr>
          <w:noProof/>
        </w:rPr>
        <w:tab/>
      </w:r>
      <w:r w:rsidR="00AC7474">
        <w:rPr>
          <w:noProof/>
        </w:rPr>
        <w:fldChar w:fldCharType="begin"/>
      </w:r>
      <w:r w:rsidR="00AC7474">
        <w:rPr>
          <w:noProof/>
        </w:rPr>
        <w:instrText xml:space="preserve"> PAGEREF _Toc419116083 \h </w:instrText>
      </w:r>
      <w:r w:rsidR="00AC7474">
        <w:rPr>
          <w:noProof/>
        </w:rPr>
      </w:r>
      <w:r w:rsidR="00AC7474">
        <w:rPr>
          <w:noProof/>
        </w:rPr>
        <w:fldChar w:fldCharType="separate"/>
      </w:r>
      <w:r w:rsidR="00AC7474">
        <w:rPr>
          <w:noProof/>
        </w:rPr>
        <w:t>8</w:t>
      </w:r>
      <w:r w:rsidR="00AC7474">
        <w:rPr>
          <w:noProof/>
        </w:rPr>
        <w:fldChar w:fldCharType="end"/>
      </w:r>
    </w:p>
    <w:p w14:paraId="7051EDFF"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1.1.</w:t>
      </w:r>
      <w:r>
        <w:rPr>
          <w:rFonts w:eastAsiaTheme="minorEastAsia" w:cstheme="minorBidi"/>
          <w:b w:val="0"/>
          <w:noProof/>
          <w:sz w:val="24"/>
          <w:szCs w:val="24"/>
          <w:lang w:val="en-US" w:eastAsia="ja-JP"/>
        </w:rPr>
        <w:tab/>
      </w:r>
      <w:r>
        <w:rPr>
          <w:noProof/>
        </w:rPr>
        <w:t>Background to the study</w:t>
      </w:r>
      <w:r>
        <w:rPr>
          <w:noProof/>
        </w:rPr>
        <w:tab/>
      </w:r>
      <w:r>
        <w:rPr>
          <w:noProof/>
        </w:rPr>
        <w:fldChar w:fldCharType="begin"/>
      </w:r>
      <w:r>
        <w:rPr>
          <w:noProof/>
        </w:rPr>
        <w:instrText xml:space="preserve"> PAGEREF _Toc419116084 \h </w:instrText>
      </w:r>
      <w:r>
        <w:rPr>
          <w:noProof/>
        </w:rPr>
      </w:r>
      <w:r>
        <w:rPr>
          <w:noProof/>
        </w:rPr>
        <w:fldChar w:fldCharType="separate"/>
      </w:r>
      <w:r>
        <w:rPr>
          <w:noProof/>
        </w:rPr>
        <w:t>9</w:t>
      </w:r>
      <w:r>
        <w:rPr>
          <w:noProof/>
        </w:rPr>
        <w:fldChar w:fldCharType="end"/>
      </w:r>
    </w:p>
    <w:p w14:paraId="1224529D"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1.2.</w:t>
      </w:r>
      <w:r>
        <w:rPr>
          <w:rFonts w:eastAsiaTheme="minorEastAsia" w:cstheme="minorBidi"/>
          <w:b w:val="0"/>
          <w:noProof/>
          <w:sz w:val="24"/>
          <w:szCs w:val="24"/>
          <w:lang w:val="en-US" w:eastAsia="ja-JP"/>
        </w:rPr>
        <w:tab/>
      </w:r>
      <w:r>
        <w:rPr>
          <w:noProof/>
        </w:rPr>
        <w:t>Rationale for the study</w:t>
      </w:r>
      <w:r>
        <w:rPr>
          <w:noProof/>
        </w:rPr>
        <w:tab/>
      </w:r>
      <w:r>
        <w:rPr>
          <w:noProof/>
        </w:rPr>
        <w:fldChar w:fldCharType="begin"/>
      </w:r>
      <w:r>
        <w:rPr>
          <w:noProof/>
        </w:rPr>
        <w:instrText xml:space="preserve"> PAGEREF _Toc419116085 \h </w:instrText>
      </w:r>
      <w:r>
        <w:rPr>
          <w:noProof/>
        </w:rPr>
      </w:r>
      <w:r>
        <w:rPr>
          <w:noProof/>
        </w:rPr>
        <w:fldChar w:fldCharType="separate"/>
      </w:r>
      <w:r>
        <w:rPr>
          <w:noProof/>
        </w:rPr>
        <w:t>10</w:t>
      </w:r>
      <w:r>
        <w:rPr>
          <w:noProof/>
        </w:rPr>
        <w:fldChar w:fldCharType="end"/>
      </w:r>
    </w:p>
    <w:p w14:paraId="168217FF"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1.3.</w:t>
      </w:r>
      <w:r>
        <w:rPr>
          <w:rFonts w:eastAsiaTheme="minorEastAsia" w:cstheme="minorBidi"/>
          <w:b w:val="0"/>
          <w:noProof/>
          <w:sz w:val="24"/>
          <w:szCs w:val="24"/>
          <w:lang w:val="en-US" w:eastAsia="ja-JP"/>
        </w:rPr>
        <w:tab/>
      </w:r>
      <w:r>
        <w:rPr>
          <w:noProof/>
        </w:rPr>
        <w:t>Presentation of thesis</w:t>
      </w:r>
      <w:r>
        <w:rPr>
          <w:noProof/>
        </w:rPr>
        <w:tab/>
      </w:r>
      <w:r>
        <w:rPr>
          <w:noProof/>
        </w:rPr>
        <w:fldChar w:fldCharType="begin"/>
      </w:r>
      <w:r>
        <w:rPr>
          <w:noProof/>
        </w:rPr>
        <w:instrText xml:space="preserve"> PAGEREF _Toc419116086 \h </w:instrText>
      </w:r>
      <w:r>
        <w:rPr>
          <w:noProof/>
        </w:rPr>
      </w:r>
      <w:r>
        <w:rPr>
          <w:noProof/>
        </w:rPr>
        <w:fldChar w:fldCharType="separate"/>
      </w:r>
      <w:r>
        <w:rPr>
          <w:noProof/>
        </w:rPr>
        <w:t>11</w:t>
      </w:r>
      <w:r>
        <w:rPr>
          <w:noProof/>
        </w:rPr>
        <w:fldChar w:fldCharType="end"/>
      </w:r>
    </w:p>
    <w:p w14:paraId="17DF45A4"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1.4.</w:t>
      </w:r>
      <w:r>
        <w:rPr>
          <w:rFonts w:eastAsiaTheme="minorEastAsia" w:cstheme="minorBidi"/>
          <w:b w:val="0"/>
          <w:noProof/>
          <w:sz w:val="24"/>
          <w:szCs w:val="24"/>
          <w:lang w:val="en-US" w:eastAsia="ja-JP"/>
        </w:rPr>
        <w:tab/>
      </w:r>
      <w:r>
        <w:rPr>
          <w:noProof/>
        </w:rPr>
        <w:t>Structure of thesis</w:t>
      </w:r>
      <w:r>
        <w:rPr>
          <w:noProof/>
        </w:rPr>
        <w:tab/>
      </w:r>
      <w:r>
        <w:rPr>
          <w:noProof/>
        </w:rPr>
        <w:fldChar w:fldCharType="begin"/>
      </w:r>
      <w:r>
        <w:rPr>
          <w:noProof/>
        </w:rPr>
        <w:instrText xml:space="preserve"> PAGEREF _Toc419116087 \h </w:instrText>
      </w:r>
      <w:r>
        <w:rPr>
          <w:noProof/>
        </w:rPr>
      </w:r>
      <w:r>
        <w:rPr>
          <w:noProof/>
        </w:rPr>
        <w:fldChar w:fldCharType="separate"/>
      </w:r>
      <w:r>
        <w:rPr>
          <w:noProof/>
        </w:rPr>
        <w:t>14</w:t>
      </w:r>
      <w:r>
        <w:rPr>
          <w:noProof/>
        </w:rPr>
        <w:fldChar w:fldCharType="end"/>
      </w:r>
    </w:p>
    <w:p w14:paraId="6B7F5A4D"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1.5.</w:t>
      </w:r>
      <w:r>
        <w:rPr>
          <w:rFonts w:eastAsiaTheme="minorEastAsia" w:cstheme="minorBidi"/>
          <w:b w:val="0"/>
          <w:noProof/>
          <w:sz w:val="24"/>
          <w:szCs w:val="24"/>
          <w:lang w:val="en-US" w:eastAsia="ja-JP"/>
        </w:rPr>
        <w:tab/>
      </w:r>
      <w:r>
        <w:rPr>
          <w:noProof/>
        </w:rPr>
        <w:t>Aims and Objectives</w:t>
      </w:r>
      <w:r>
        <w:rPr>
          <w:noProof/>
        </w:rPr>
        <w:tab/>
      </w:r>
      <w:r>
        <w:rPr>
          <w:noProof/>
        </w:rPr>
        <w:fldChar w:fldCharType="begin"/>
      </w:r>
      <w:r>
        <w:rPr>
          <w:noProof/>
        </w:rPr>
        <w:instrText xml:space="preserve"> PAGEREF _Toc419116088 \h </w:instrText>
      </w:r>
      <w:r>
        <w:rPr>
          <w:noProof/>
        </w:rPr>
      </w:r>
      <w:r>
        <w:rPr>
          <w:noProof/>
        </w:rPr>
        <w:fldChar w:fldCharType="separate"/>
      </w:r>
      <w:r>
        <w:rPr>
          <w:noProof/>
        </w:rPr>
        <w:t>15</w:t>
      </w:r>
      <w:r>
        <w:rPr>
          <w:noProof/>
        </w:rPr>
        <w:fldChar w:fldCharType="end"/>
      </w:r>
    </w:p>
    <w:p w14:paraId="0FB81EE2"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1.6.</w:t>
      </w:r>
      <w:r>
        <w:rPr>
          <w:rFonts w:eastAsiaTheme="minorEastAsia" w:cstheme="minorBidi"/>
          <w:b w:val="0"/>
          <w:noProof/>
          <w:sz w:val="24"/>
          <w:szCs w:val="24"/>
          <w:lang w:val="en-US" w:eastAsia="ja-JP"/>
        </w:rPr>
        <w:tab/>
      </w:r>
      <w:r>
        <w:rPr>
          <w:noProof/>
        </w:rPr>
        <w:t>Research question</w:t>
      </w:r>
      <w:r>
        <w:rPr>
          <w:noProof/>
        </w:rPr>
        <w:tab/>
      </w:r>
      <w:r>
        <w:rPr>
          <w:noProof/>
        </w:rPr>
        <w:fldChar w:fldCharType="begin"/>
      </w:r>
      <w:r>
        <w:rPr>
          <w:noProof/>
        </w:rPr>
        <w:instrText xml:space="preserve"> PAGEREF _Toc419116089 \h </w:instrText>
      </w:r>
      <w:r>
        <w:rPr>
          <w:noProof/>
        </w:rPr>
      </w:r>
      <w:r>
        <w:rPr>
          <w:noProof/>
        </w:rPr>
        <w:fldChar w:fldCharType="separate"/>
      </w:r>
      <w:r>
        <w:rPr>
          <w:noProof/>
        </w:rPr>
        <w:t>17</w:t>
      </w:r>
      <w:r>
        <w:rPr>
          <w:noProof/>
        </w:rPr>
        <w:fldChar w:fldCharType="end"/>
      </w:r>
    </w:p>
    <w:p w14:paraId="25856E96" w14:textId="77777777" w:rsidR="00AC7474" w:rsidRDefault="00AC7474">
      <w:pPr>
        <w:pStyle w:val="TOC1"/>
        <w:tabs>
          <w:tab w:val="left" w:pos="438"/>
          <w:tab w:val="right" w:leader="dot" w:pos="8488"/>
        </w:tabs>
        <w:rPr>
          <w:rFonts w:eastAsiaTheme="minorEastAsia" w:cstheme="minorBidi"/>
          <w:b w:val="0"/>
          <w:noProof/>
          <w:lang w:val="en-US" w:eastAsia="ja-JP"/>
        </w:rPr>
      </w:pPr>
      <w:r w:rsidRPr="0093730D">
        <w:rPr>
          <w:noProof/>
        </w:rPr>
        <w:t>2.</w:t>
      </w:r>
      <w:r>
        <w:rPr>
          <w:rFonts w:eastAsiaTheme="minorEastAsia" w:cstheme="minorBidi"/>
          <w:b w:val="0"/>
          <w:noProof/>
          <w:lang w:val="en-US" w:eastAsia="ja-JP"/>
        </w:rPr>
        <w:tab/>
      </w:r>
      <w:r>
        <w:rPr>
          <w:noProof/>
        </w:rPr>
        <w:t>Chapter 2: Literature review</w:t>
      </w:r>
      <w:r>
        <w:rPr>
          <w:noProof/>
        </w:rPr>
        <w:tab/>
      </w:r>
      <w:r>
        <w:rPr>
          <w:noProof/>
        </w:rPr>
        <w:fldChar w:fldCharType="begin"/>
      </w:r>
      <w:r>
        <w:rPr>
          <w:noProof/>
        </w:rPr>
        <w:instrText xml:space="preserve"> PAGEREF _Toc419116090 \h </w:instrText>
      </w:r>
      <w:r>
        <w:rPr>
          <w:noProof/>
        </w:rPr>
      </w:r>
      <w:r>
        <w:rPr>
          <w:noProof/>
        </w:rPr>
        <w:fldChar w:fldCharType="separate"/>
      </w:r>
      <w:r>
        <w:rPr>
          <w:noProof/>
        </w:rPr>
        <w:t>18</w:t>
      </w:r>
      <w:r>
        <w:rPr>
          <w:noProof/>
        </w:rPr>
        <w:fldChar w:fldCharType="end"/>
      </w:r>
    </w:p>
    <w:p w14:paraId="0AF049F6"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2.1.</w:t>
      </w:r>
      <w:r>
        <w:rPr>
          <w:rFonts w:eastAsiaTheme="minorEastAsia" w:cstheme="minorBidi"/>
          <w:b w:val="0"/>
          <w:noProof/>
          <w:sz w:val="24"/>
          <w:szCs w:val="24"/>
          <w:lang w:val="en-US" w:eastAsia="ja-JP"/>
        </w:rPr>
        <w:tab/>
      </w:r>
      <w:r>
        <w:rPr>
          <w:noProof/>
        </w:rPr>
        <w:t>Introduction</w:t>
      </w:r>
      <w:r>
        <w:rPr>
          <w:noProof/>
        </w:rPr>
        <w:tab/>
      </w:r>
      <w:r>
        <w:rPr>
          <w:noProof/>
        </w:rPr>
        <w:fldChar w:fldCharType="begin"/>
      </w:r>
      <w:r>
        <w:rPr>
          <w:noProof/>
        </w:rPr>
        <w:instrText xml:space="preserve"> PAGEREF _Toc419116091 \h </w:instrText>
      </w:r>
      <w:r>
        <w:rPr>
          <w:noProof/>
        </w:rPr>
      </w:r>
      <w:r>
        <w:rPr>
          <w:noProof/>
        </w:rPr>
        <w:fldChar w:fldCharType="separate"/>
      </w:r>
      <w:r>
        <w:rPr>
          <w:noProof/>
        </w:rPr>
        <w:t>19</w:t>
      </w:r>
      <w:r>
        <w:rPr>
          <w:noProof/>
        </w:rPr>
        <w:fldChar w:fldCharType="end"/>
      </w:r>
    </w:p>
    <w:p w14:paraId="3F521133"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2.2.</w:t>
      </w:r>
      <w:r>
        <w:rPr>
          <w:rFonts w:eastAsiaTheme="minorEastAsia" w:cstheme="minorBidi"/>
          <w:b w:val="0"/>
          <w:noProof/>
          <w:sz w:val="24"/>
          <w:szCs w:val="24"/>
          <w:lang w:val="en-US" w:eastAsia="ja-JP"/>
        </w:rPr>
        <w:tab/>
      </w:r>
      <w:r>
        <w:rPr>
          <w:noProof/>
        </w:rPr>
        <w:t>Method</w:t>
      </w:r>
      <w:r>
        <w:rPr>
          <w:noProof/>
        </w:rPr>
        <w:tab/>
      </w:r>
      <w:r>
        <w:rPr>
          <w:noProof/>
        </w:rPr>
        <w:fldChar w:fldCharType="begin"/>
      </w:r>
      <w:r>
        <w:rPr>
          <w:noProof/>
        </w:rPr>
        <w:instrText xml:space="preserve"> PAGEREF _Toc419116092 \h </w:instrText>
      </w:r>
      <w:r>
        <w:rPr>
          <w:noProof/>
        </w:rPr>
      </w:r>
      <w:r>
        <w:rPr>
          <w:noProof/>
        </w:rPr>
        <w:fldChar w:fldCharType="separate"/>
      </w:r>
      <w:r>
        <w:rPr>
          <w:noProof/>
        </w:rPr>
        <w:t>20</w:t>
      </w:r>
      <w:r>
        <w:rPr>
          <w:noProof/>
        </w:rPr>
        <w:fldChar w:fldCharType="end"/>
      </w:r>
    </w:p>
    <w:p w14:paraId="4A6A9929"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2.3.</w:t>
      </w:r>
      <w:r>
        <w:rPr>
          <w:rFonts w:eastAsiaTheme="minorEastAsia" w:cstheme="minorBidi"/>
          <w:b w:val="0"/>
          <w:noProof/>
          <w:sz w:val="24"/>
          <w:szCs w:val="24"/>
          <w:lang w:val="en-US" w:eastAsia="ja-JP"/>
        </w:rPr>
        <w:tab/>
      </w:r>
      <w:r>
        <w:rPr>
          <w:noProof/>
        </w:rPr>
        <w:t>Preparedness for practice as a junior doctor</w:t>
      </w:r>
      <w:r>
        <w:rPr>
          <w:noProof/>
        </w:rPr>
        <w:tab/>
      </w:r>
      <w:r>
        <w:rPr>
          <w:noProof/>
        </w:rPr>
        <w:fldChar w:fldCharType="begin"/>
      </w:r>
      <w:r>
        <w:rPr>
          <w:noProof/>
        </w:rPr>
        <w:instrText xml:space="preserve"> PAGEREF _Toc419116093 \h </w:instrText>
      </w:r>
      <w:r>
        <w:rPr>
          <w:noProof/>
        </w:rPr>
      </w:r>
      <w:r>
        <w:rPr>
          <w:noProof/>
        </w:rPr>
        <w:fldChar w:fldCharType="separate"/>
      </w:r>
      <w:r>
        <w:rPr>
          <w:noProof/>
        </w:rPr>
        <w:t>24</w:t>
      </w:r>
      <w:r>
        <w:rPr>
          <w:noProof/>
        </w:rPr>
        <w:fldChar w:fldCharType="end"/>
      </w:r>
    </w:p>
    <w:p w14:paraId="7682863E"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2.4.</w:t>
      </w:r>
      <w:r>
        <w:rPr>
          <w:rFonts w:eastAsiaTheme="minorEastAsia" w:cstheme="minorBidi"/>
          <w:b w:val="0"/>
          <w:noProof/>
          <w:sz w:val="24"/>
          <w:szCs w:val="24"/>
          <w:lang w:val="en-US" w:eastAsia="ja-JP"/>
        </w:rPr>
        <w:tab/>
      </w:r>
      <w:r>
        <w:rPr>
          <w:noProof/>
        </w:rPr>
        <w:t>The undergraduate medical curriculum</w:t>
      </w:r>
      <w:r>
        <w:rPr>
          <w:noProof/>
        </w:rPr>
        <w:tab/>
      </w:r>
      <w:r>
        <w:rPr>
          <w:noProof/>
        </w:rPr>
        <w:fldChar w:fldCharType="begin"/>
      </w:r>
      <w:r>
        <w:rPr>
          <w:noProof/>
        </w:rPr>
        <w:instrText xml:space="preserve"> PAGEREF _Toc419116094 \h </w:instrText>
      </w:r>
      <w:r>
        <w:rPr>
          <w:noProof/>
        </w:rPr>
      </w:r>
      <w:r>
        <w:rPr>
          <w:noProof/>
        </w:rPr>
        <w:fldChar w:fldCharType="separate"/>
      </w:r>
      <w:r>
        <w:rPr>
          <w:noProof/>
        </w:rPr>
        <w:t>38</w:t>
      </w:r>
      <w:r>
        <w:rPr>
          <w:noProof/>
        </w:rPr>
        <w:fldChar w:fldCharType="end"/>
      </w:r>
    </w:p>
    <w:p w14:paraId="0864FC40"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2.5.</w:t>
      </w:r>
      <w:r>
        <w:rPr>
          <w:rFonts w:eastAsiaTheme="minorEastAsia" w:cstheme="minorBidi"/>
          <w:b w:val="0"/>
          <w:noProof/>
          <w:sz w:val="24"/>
          <w:szCs w:val="24"/>
          <w:lang w:val="en-US" w:eastAsia="ja-JP"/>
        </w:rPr>
        <w:tab/>
      </w:r>
      <w:r>
        <w:rPr>
          <w:noProof/>
        </w:rPr>
        <w:t>Simulation in healthcare</w:t>
      </w:r>
      <w:r>
        <w:rPr>
          <w:noProof/>
        </w:rPr>
        <w:tab/>
      </w:r>
      <w:r>
        <w:rPr>
          <w:noProof/>
        </w:rPr>
        <w:fldChar w:fldCharType="begin"/>
      </w:r>
      <w:r>
        <w:rPr>
          <w:noProof/>
        </w:rPr>
        <w:instrText xml:space="preserve"> PAGEREF _Toc419116095 \h </w:instrText>
      </w:r>
      <w:r>
        <w:rPr>
          <w:noProof/>
        </w:rPr>
      </w:r>
      <w:r>
        <w:rPr>
          <w:noProof/>
        </w:rPr>
        <w:fldChar w:fldCharType="separate"/>
      </w:r>
      <w:r>
        <w:rPr>
          <w:noProof/>
        </w:rPr>
        <w:t>54</w:t>
      </w:r>
      <w:r>
        <w:rPr>
          <w:noProof/>
        </w:rPr>
        <w:fldChar w:fldCharType="end"/>
      </w:r>
    </w:p>
    <w:p w14:paraId="252DE351"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2.6.</w:t>
      </w:r>
      <w:r>
        <w:rPr>
          <w:rFonts w:eastAsiaTheme="minorEastAsia" w:cstheme="minorBidi"/>
          <w:b w:val="0"/>
          <w:noProof/>
          <w:sz w:val="24"/>
          <w:szCs w:val="24"/>
          <w:lang w:val="en-US" w:eastAsia="ja-JP"/>
        </w:rPr>
        <w:tab/>
      </w:r>
      <w:r>
        <w:rPr>
          <w:noProof/>
        </w:rPr>
        <w:t>Measurement of preparedness: Confidence and competence</w:t>
      </w:r>
      <w:r>
        <w:rPr>
          <w:noProof/>
        </w:rPr>
        <w:tab/>
      </w:r>
      <w:r>
        <w:rPr>
          <w:noProof/>
        </w:rPr>
        <w:fldChar w:fldCharType="begin"/>
      </w:r>
      <w:r>
        <w:rPr>
          <w:noProof/>
        </w:rPr>
        <w:instrText xml:space="preserve"> PAGEREF _Toc419116096 \h </w:instrText>
      </w:r>
      <w:r>
        <w:rPr>
          <w:noProof/>
        </w:rPr>
      </w:r>
      <w:r>
        <w:rPr>
          <w:noProof/>
        </w:rPr>
        <w:fldChar w:fldCharType="separate"/>
      </w:r>
      <w:r>
        <w:rPr>
          <w:noProof/>
        </w:rPr>
        <w:t>63</w:t>
      </w:r>
      <w:r>
        <w:rPr>
          <w:noProof/>
        </w:rPr>
        <w:fldChar w:fldCharType="end"/>
      </w:r>
    </w:p>
    <w:p w14:paraId="6C765983"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2.7.</w:t>
      </w:r>
      <w:r>
        <w:rPr>
          <w:rFonts w:eastAsiaTheme="minorEastAsia" w:cstheme="minorBidi"/>
          <w:b w:val="0"/>
          <w:noProof/>
          <w:sz w:val="24"/>
          <w:szCs w:val="24"/>
          <w:lang w:val="en-US" w:eastAsia="ja-JP"/>
        </w:rPr>
        <w:tab/>
      </w:r>
      <w:r>
        <w:rPr>
          <w:noProof/>
        </w:rPr>
        <w:t>Summary</w:t>
      </w:r>
      <w:r>
        <w:rPr>
          <w:noProof/>
        </w:rPr>
        <w:tab/>
      </w:r>
      <w:r>
        <w:rPr>
          <w:noProof/>
        </w:rPr>
        <w:fldChar w:fldCharType="begin"/>
      </w:r>
      <w:r>
        <w:rPr>
          <w:noProof/>
        </w:rPr>
        <w:instrText xml:space="preserve"> PAGEREF _Toc419116097 \h </w:instrText>
      </w:r>
      <w:r>
        <w:rPr>
          <w:noProof/>
        </w:rPr>
      </w:r>
      <w:r>
        <w:rPr>
          <w:noProof/>
        </w:rPr>
        <w:fldChar w:fldCharType="separate"/>
      </w:r>
      <w:r>
        <w:rPr>
          <w:noProof/>
        </w:rPr>
        <w:t>67</w:t>
      </w:r>
      <w:r>
        <w:rPr>
          <w:noProof/>
        </w:rPr>
        <w:fldChar w:fldCharType="end"/>
      </w:r>
    </w:p>
    <w:p w14:paraId="1354F48C"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2.8.</w:t>
      </w:r>
      <w:r>
        <w:rPr>
          <w:rFonts w:eastAsiaTheme="minorEastAsia" w:cstheme="minorBidi"/>
          <w:b w:val="0"/>
          <w:noProof/>
          <w:sz w:val="24"/>
          <w:szCs w:val="24"/>
          <w:lang w:val="en-US" w:eastAsia="ja-JP"/>
        </w:rPr>
        <w:tab/>
      </w:r>
      <w:r>
        <w:rPr>
          <w:noProof/>
        </w:rPr>
        <w:t>Research question</w:t>
      </w:r>
      <w:r>
        <w:rPr>
          <w:noProof/>
        </w:rPr>
        <w:tab/>
      </w:r>
      <w:r>
        <w:rPr>
          <w:noProof/>
        </w:rPr>
        <w:fldChar w:fldCharType="begin"/>
      </w:r>
      <w:r>
        <w:rPr>
          <w:noProof/>
        </w:rPr>
        <w:instrText xml:space="preserve"> PAGEREF _Toc419116098 \h </w:instrText>
      </w:r>
      <w:r>
        <w:rPr>
          <w:noProof/>
        </w:rPr>
      </w:r>
      <w:r>
        <w:rPr>
          <w:noProof/>
        </w:rPr>
        <w:fldChar w:fldCharType="separate"/>
      </w:r>
      <w:r>
        <w:rPr>
          <w:noProof/>
        </w:rPr>
        <w:t>69</w:t>
      </w:r>
      <w:r>
        <w:rPr>
          <w:noProof/>
        </w:rPr>
        <w:fldChar w:fldCharType="end"/>
      </w:r>
    </w:p>
    <w:p w14:paraId="3D365F60"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2.9.</w:t>
      </w:r>
      <w:r>
        <w:rPr>
          <w:rFonts w:eastAsiaTheme="minorEastAsia" w:cstheme="minorBidi"/>
          <w:b w:val="0"/>
          <w:noProof/>
          <w:sz w:val="24"/>
          <w:szCs w:val="24"/>
          <w:lang w:val="en-US" w:eastAsia="ja-JP"/>
        </w:rPr>
        <w:tab/>
      </w:r>
      <w:r>
        <w:rPr>
          <w:noProof/>
        </w:rPr>
        <w:t>Overall flow diagram of plan</w:t>
      </w:r>
      <w:r>
        <w:rPr>
          <w:noProof/>
        </w:rPr>
        <w:tab/>
      </w:r>
      <w:r>
        <w:rPr>
          <w:noProof/>
        </w:rPr>
        <w:fldChar w:fldCharType="begin"/>
      </w:r>
      <w:r>
        <w:rPr>
          <w:noProof/>
        </w:rPr>
        <w:instrText xml:space="preserve"> PAGEREF _Toc419116099 \h </w:instrText>
      </w:r>
      <w:r>
        <w:rPr>
          <w:noProof/>
        </w:rPr>
      </w:r>
      <w:r>
        <w:rPr>
          <w:noProof/>
        </w:rPr>
        <w:fldChar w:fldCharType="separate"/>
      </w:r>
      <w:r>
        <w:rPr>
          <w:noProof/>
        </w:rPr>
        <w:t>71</w:t>
      </w:r>
      <w:r>
        <w:rPr>
          <w:noProof/>
        </w:rPr>
        <w:fldChar w:fldCharType="end"/>
      </w:r>
    </w:p>
    <w:p w14:paraId="69F5A869" w14:textId="77777777" w:rsidR="00AC7474" w:rsidRDefault="00AC7474">
      <w:pPr>
        <w:pStyle w:val="TOC1"/>
        <w:tabs>
          <w:tab w:val="left" w:pos="438"/>
          <w:tab w:val="right" w:leader="dot" w:pos="8488"/>
        </w:tabs>
        <w:rPr>
          <w:rFonts w:eastAsiaTheme="minorEastAsia" w:cstheme="minorBidi"/>
          <w:b w:val="0"/>
          <w:noProof/>
          <w:lang w:val="en-US" w:eastAsia="ja-JP"/>
        </w:rPr>
      </w:pPr>
      <w:r w:rsidRPr="0093730D">
        <w:rPr>
          <w:noProof/>
        </w:rPr>
        <w:t>3.</w:t>
      </w:r>
      <w:r>
        <w:rPr>
          <w:rFonts w:eastAsiaTheme="minorEastAsia" w:cstheme="minorBidi"/>
          <w:b w:val="0"/>
          <w:noProof/>
          <w:lang w:val="en-US" w:eastAsia="ja-JP"/>
        </w:rPr>
        <w:tab/>
      </w:r>
      <w:r>
        <w:rPr>
          <w:noProof/>
        </w:rPr>
        <w:t>Chapter 3: Methodology</w:t>
      </w:r>
      <w:r>
        <w:rPr>
          <w:noProof/>
        </w:rPr>
        <w:tab/>
      </w:r>
      <w:r>
        <w:rPr>
          <w:noProof/>
        </w:rPr>
        <w:fldChar w:fldCharType="begin"/>
      </w:r>
      <w:r>
        <w:rPr>
          <w:noProof/>
        </w:rPr>
        <w:instrText xml:space="preserve"> PAGEREF _Toc419116100 \h </w:instrText>
      </w:r>
      <w:r>
        <w:rPr>
          <w:noProof/>
        </w:rPr>
      </w:r>
      <w:r>
        <w:rPr>
          <w:noProof/>
        </w:rPr>
        <w:fldChar w:fldCharType="separate"/>
      </w:r>
      <w:r>
        <w:rPr>
          <w:noProof/>
        </w:rPr>
        <w:t>72</w:t>
      </w:r>
      <w:r>
        <w:rPr>
          <w:noProof/>
        </w:rPr>
        <w:fldChar w:fldCharType="end"/>
      </w:r>
    </w:p>
    <w:p w14:paraId="104AA960"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3.1.</w:t>
      </w:r>
      <w:r>
        <w:rPr>
          <w:rFonts w:eastAsiaTheme="minorEastAsia" w:cstheme="minorBidi"/>
          <w:b w:val="0"/>
          <w:noProof/>
          <w:sz w:val="24"/>
          <w:szCs w:val="24"/>
          <w:lang w:val="en-US" w:eastAsia="ja-JP"/>
        </w:rPr>
        <w:tab/>
      </w:r>
      <w:r>
        <w:rPr>
          <w:noProof/>
        </w:rPr>
        <w:t>Mixed methods research</w:t>
      </w:r>
      <w:r>
        <w:rPr>
          <w:noProof/>
        </w:rPr>
        <w:tab/>
      </w:r>
      <w:r>
        <w:rPr>
          <w:noProof/>
        </w:rPr>
        <w:fldChar w:fldCharType="begin"/>
      </w:r>
      <w:r>
        <w:rPr>
          <w:noProof/>
        </w:rPr>
        <w:instrText xml:space="preserve"> PAGEREF _Toc419116101 \h </w:instrText>
      </w:r>
      <w:r>
        <w:rPr>
          <w:noProof/>
        </w:rPr>
      </w:r>
      <w:r>
        <w:rPr>
          <w:noProof/>
        </w:rPr>
        <w:fldChar w:fldCharType="separate"/>
      </w:r>
      <w:r>
        <w:rPr>
          <w:noProof/>
        </w:rPr>
        <w:t>73</w:t>
      </w:r>
      <w:r>
        <w:rPr>
          <w:noProof/>
        </w:rPr>
        <w:fldChar w:fldCharType="end"/>
      </w:r>
    </w:p>
    <w:p w14:paraId="1B508A90"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3.1.1.</w:t>
      </w:r>
      <w:r>
        <w:rPr>
          <w:rFonts w:eastAsiaTheme="minorEastAsia" w:cstheme="minorBidi"/>
          <w:noProof/>
          <w:sz w:val="24"/>
          <w:szCs w:val="24"/>
          <w:lang w:val="en-US" w:eastAsia="ja-JP"/>
        </w:rPr>
        <w:tab/>
      </w:r>
      <w:r>
        <w:rPr>
          <w:noProof/>
        </w:rPr>
        <w:t>Mixed methods research: quality</w:t>
      </w:r>
      <w:r>
        <w:rPr>
          <w:noProof/>
        </w:rPr>
        <w:tab/>
      </w:r>
      <w:r>
        <w:rPr>
          <w:noProof/>
        </w:rPr>
        <w:fldChar w:fldCharType="begin"/>
      </w:r>
      <w:r>
        <w:rPr>
          <w:noProof/>
        </w:rPr>
        <w:instrText xml:space="preserve"> PAGEREF _Toc419116102 \h </w:instrText>
      </w:r>
      <w:r>
        <w:rPr>
          <w:noProof/>
        </w:rPr>
      </w:r>
      <w:r>
        <w:rPr>
          <w:noProof/>
        </w:rPr>
        <w:fldChar w:fldCharType="separate"/>
      </w:r>
      <w:r>
        <w:rPr>
          <w:noProof/>
        </w:rPr>
        <w:t>78</w:t>
      </w:r>
      <w:r>
        <w:rPr>
          <w:noProof/>
        </w:rPr>
        <w:fldChar w:fldCharType="end"/>
      </w:r>
    </w:p>
    <w:p w14:paraId="7BE0831C"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3.2.</w:t>
      </w:r>
      <w:r>
        <w:rPr>
          <w:rFonts w:eastAsiaTheme="minorEastAsia" w:cstheme="minorBidi"/>
          <w:b w:val="0"/>
          <w:noProof/>
          <w:sz w:val="24"/>
          <w:szCs w:val="24"/>
          <w:lang w:val="en-US" w:eastAsia="ja-JP"/>
        </w:rPr>
        <w:tab/>
      </w:r>
      <w:r>
        <w:rPr>
          <w:noProof/>
        </w:rPr>
        <w:t>Quantitative research methodology</w:t>
      </w:r>
      <w:r>
        <w:rPr>
          <w:noProof/>
        </w:rPr>
        <w:tab/>
      </w:r>
      <w:r>
        <w:rPr>
          <w:noProof/>
        </w:rPr>
        <w:fldChar w:fldCharType="begin"/>
      </w:r>
      <w:r>
        <w:rPr>
          <w:noProof/>
        </w:rPr>
        <w:instrText xml:space="preserve"> PAGEREF _Toc419116103 \h </w:instrText>
      </w:r>
      <w:r>
        <w:rPr>
          <w:noProof/>
        </w:rPr>
      </w:r>
      <w:r>
        <w:rPr>
          <w:noProof/>
        </w:rPr>
        <w:fldChar w:fldCharType="separate"/>
      </w:r>
      <w:r>
        <w:rPr>
          <w:noProof/>
        </w:rPr>
        <w:t>82</w:t>
      </w:r>
      <w:r>
        <w:rPr>
          <w:noProof/>
        </w:rPr>
        <w:fldChar w:fldCharType="end"/>
      </w:r>
    </w:p>
    <w:p w14:paraId="6F12D057"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3.2.1.</w:t>
      </w:r>
      <w:r>
        <w:rPr>
          <w:rFonts w:eastAsiaTheme="minorEastAsia" w:cstheme="minorBidi"/>
          <w:noProof/>
          <w:sz w:val="24"/>
          <w:szCs w:val="24"/>
          <w:lang w:val="en-US" w:eastAsia="ja-JP"/>
        </w:rPr>
        <w:tab/>
      </w:r>
      <w:r>
        <w:rPr>
          <w:noProof/>
        </w:rPr>
        <w:t>Quantitative research: theory</w:t>
      </w:r>
      <w:r>
        <w:rPr>
          <w:noProof/>
        </w:rPr>
        <w:tab/>
      </w:r>
      <w:r>
        <w:rPr>
          <w:noProof/>
        </w:rPr>
        <w:fldChar w:fldCharType="begin"/>
      </w:r>
      <w:r>
        <w:rPr>
          <w:noProof/>
        </w:rPr>
        <w:instrText xml:space="preserve"> PAGEREF _Toc419116104 \h </w:instrText>
      </w:r>
      <w:r>
        <w:rPr>
          <w:noProof/>
        </w:rPr>
      </w:r>
      <w:r>
        <w:rPr>
          <w:noProof/>
        </w:rPr>
        <w:fldChar w:fldCharType="separate"/>
      </w:r>
      <w:r>
        <w:rPr>
          <w:noProof/>
        </w:rPr>
        <w:t>82</w:t>
      </w:r>
      <w:r>
        <w:rPr>
          <w:noProof/>
        </w:rPr>
        <w:fldChar w:fldCharType="end"/>
      </w:r>
    </w:p>
    <w:p w14:paraId="3FCF8D85"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3.2.2.</w:t>
      </w:r>
      <w:r>
        <w:rPr>
          <w:rFonts w:eastAsiaTheme="minorEastAsia" w:cstheme="minorBidi"/>
          <w:noProof/>
          <w:sz w:val="24"/>
          <w:szCs w:val="24"/>
          <w:lang w:val="en-US" w:eastAsia="ja-JP"/>
        </w:rPr>
        <w:tab/>
      </w:r>
      <w:r>
        <w:rPr>
          <w:noProof/>
        </w:rPr>
        <w:t>Quantitative research: quality, validity and reliability</w:t>
      </w:r>
      <w:r>
        <w:rPr>
          <w:noProof/>
        </w:rPr>
        <w:tab/>
      </w:r>
      <w:r>
        <w:rPr>
          <w:noProof/>
        </w:rPr>
        <w:fldChar w:fldCharType="begin"/>
      </w:r>
      <w:r>
        <w:rPr>
          <w:noProof/>
        </w:rPr>
        <w:instrText xml:space="preserve"> PAGEREF _Toc419116105 \h </w:instrText>
      </w:r>
      <w:r>
        <w:rPr>
          <w:noProof/>
        </w:rPr>
      </w:r>
      <w:r>
        <w:rPr>
          <w:noProof/>
        </w:rPr>
        <w:fldChar w:fldCharType="separate"/>
      </w:r>
      <w:r>
        <w:rPr>
          <w:noProof/>
        </w:rPr>
        <w:t>84</w:t>
      </w:r>
      <w:r>
        <w:rPr>
          <w:noProof/>
        </w:rPr>
        <w:fldChar w:fldCharType="end"/>
      </w:r>
    </w:p>
    <w:p w14:paraId="18750128"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3.2.3.</w:t>
      </w:r>
      <w:r>
        <w:rPr>
          <w:rFonts w:eastAsiaTheme="minorEastAsia" w:cstheme="minorBidi"/>
          <w:noProof/>
          <w:sz w:val="24"/>
          <w:szCs w:val="24"/>
          <w:lang w:val="en-US" w:eastAsia="ja-JP"/>
        </w:rPr>
        <w:tab/>
      </w:r>
      <w:r>
        <w:rPr>
          <w:noProof/>
        </w:rPr>
        <w:t>Quantitative research: limitations</w:t>
      </w:r>
      <w:r>
        <w:rPr>
          <w:noProof/>
        </w:rPr>
        <w:tab/>
      </w:r>
      <w:r>
        <w:rPr>
          <w:noProof/>
        </w:rPr>
        <w:fldChar w:fldCharType="begin"/>
      </w:r>
      <w:r>
        <w:rPr>
          <w:noProof/>
        </w:rPr>
        <w:instrText xml:space="preserve"> PAGEREF _Toc419116106 \h </w:instrText>
      </w:r>
      <w:r>
        <w:rPr>
          <w:noProof/>
        </w:rPr>
      </w:r>
      <w:r>
        <w:rPr>
          <w:noProof/>
        </w:rPr>
        <w:fldChar w:fldCharType="separate"/>
      </w:r>
      <w:r>
        <w:rPr>
          <w:noProof/>
        </w:rPr>
        <w:t>87</w:t>
      </w:r>
      <w:r>
        <w:rPr>
          <w:noProof/>
        </w:rPr>
        <w:fldChar w:fldCharType="end"/>
      </w:r>
    </w:p>
    <w:p w14:paraId="5BBA2D34"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3.2.4.</w:t>
      </w:r>
      <w:r>
        <w:rPr>
          <w:rFonts w:eastAsiaTheme="minorEastAsia" w:cstheme="minorBidi"/>
          <w:noProof/>
          <w:sz w:val="24"/>
          <w:szCs w:val="24"/>
          <w:lang w:val="en-US" w:eastAsia="ja-JP"/>
        </w:rPr>
        <w:tab/>
      </w:r>
      <w:r>
        <w:rPr>
          <w:noProof/>
        </w:rPr>
        <w:t>Quantitative research: sampling</w:t>
      </w:r>
      <w:r>
        <w:rPr>
          <w:noProof/>
        </w:rPr>
        <w:tab/>
      </w:r>
      <w:r>
        <w:rPr>
          <w:noProof/>
        </w:rPr>
        <w:fldChar w:fldCharType="begin"/>
      </w:r>
      <w:r>
        <w:rPr>
          <w:noProof/>
        </w:rPr>
        <w:instrText xml:space="preserve"> PAGEREF _Toc419116107 \h </w:instrText>
      </w:r>
      <w:r>
        <w:rPr>
          <w:noProof/>
        </w:rPr>
      </w:r>
      <w:r>
        <w:rPr>
          <w:noProof/>
        </w:rPr>
        <w:fldChar w:fldCharType="separate"/>
      </w:r>
      <w:r>
        <w:rPr>
          <w:noProof/>
        </w:rPr>
        <w:t>88</w:t>
      </w:r>
      <w:r>
        <w:rPr>
          <w:noProof/>
        </w:rPr>
        <w:fldChar w:fldCharType="end"/>
      </w:r>
    </w:p>
    <w:p w14:paraId="1064FD49"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lastRenderedPageBreak/>
        <w:t>3.2.5.</w:t>
      </w:r>
      <w:r>
        <w:rPr>
          <w:rFonts w:eastAsiaTheme="minorEastAsia" w:cstheme="minorBidi"/>
          <w:noProof/>
          <w:sz w:val="24"/>
          <w:szCs w:val="24"/>
          <w:lang w:val="en-US" w:eastAsia="ja-JP"/>
        </w:rPr>
        <w:tab/>
      </w:r>
      <w:r>
        <w:rPr>
          <w:noProof/>
        </w:rPr>
        <w:t>Quantitative research: statistical data analysis</w:t>
      </w:r>
      <w:r>
        <w:rPr>
          <w:noProof/>
        </w:rPr>
        <w:tab/>
      </w:r>
      <w:r>
        <w:rPr>
          <w:noProof/>
        </w:rPr>
        <w:fldChar w:fldCharType="begin"/>
      </w:r>
      <w:r>
        <w:rPr>
          <w:noProof/>
        </w:rPr>
        <w:instrText xml:space="preserve"> PAGEREF _Toc419116108 \h </w:instrText>
      </w:r>
      <w:r>
        <w:rPr>
          <w:noProof/>
        </w:rPr>
      </w:r>
      <w:r>
        <w:rPr>
          <w:noProof/>
        </w:rPr>
        <w:fldChar w:fldCharType="separate"/>
      </w:r>
      <w:r>
        <w:rPr>
          <w:noProof/>
        </w:rPr>
        <w:t>89</w:t>
      </w:r>
      <w:r>
        <w:rPr>
          <w:noProof/>
        </w:rPr>
        <w:fldChar w:fldCharType="end"/>
      </w:r>
    </w:p>
    <w:p w14:paraId="0D558163"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3.3.</w:t>
      </w:r>
      <w:r>
        <w:rPr>
          <w:rFonts w:eastAsiaTheme="minorEastAsia" w:cstheme="minorBidi"/>
          <w:b w:val="0"/>
          <w:noProof/>
          <w:sz w:val="24"/>
          <w:szCs w:val="24"/>
          <w:lang w:val="en-US" w:eastAsia="ja-JP"/>
        </w:rPr>
        <w:tab/>
      </w:r>
      <w:r>
        <w:rPr>
          <w:noProof/>
        </w:rPr>
        <w:t>Research design: Use of repeated-measures</w:t>
      </w:r>
      <w:r>
        <w:rPr>
          <w:noProof/>
        </w:rPr>
        <w:tab/>
      </w:r>
      <w:r>
        <w:rPr>
          <w:noProof/>
        </w:rPr>
        <w:fldChar w:fldCharType="begin"/>
      </w:r>
      <w:r>
        <w:rPr>
          <w:noProof/>
        </w:rPr>
        <w:instrText xml:space="preserve"> PAGEREF _Toc419116109 \h </w:instrText>
      </w:r>
      <w:r>
        <w:rPr>
          <w:noProof/>
        </w:rPr>
      </w:r>
      <w:r>
        <w:rPr>
          <w:noProof/>
        </w:rPr>
        <w:fldChar w:fldCharType="separate"/>
      </w:r>
      <w:r>
        <w:rPr>
          <w:noProof/>
        </w:rPr>
        <w:t>93</w:t>
      </w:r>
      <w:r>
        <w:rPr>
          <w:noProof/>
        </w:rPr>
        <w:fldChar w:fldCharType="end"/>
      </w:r>
    </w:p>
    <w:p w14:paraId="2451585B"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3.4.</w:t>
      </w:r>
      <w:r>
        <w:rPr>
          <w:rFonts w:eastAsiaTheme="minorEastAsia" w:cstheme="minorBidi"/>
          <w:b w:val="0"/>
          <w:noProof/>
          <w:sz w:val="24"/>
          <w:szCs w:val="24"/>
          <w:lang w:val="en-US" w:eastAsia="ja-JP"/>
        </w:rPr>
        <w:tab/>
      </w:r>
      <w:r>
        <w:rPr>
          <w:noProof/>
        </w:rPr>
        <w:t>Qualitative research methodology</w:t>
      </w:r>
      <w:r>
        <w:rPr>
          <w:noProof/>
        </w:rPr>
        <w:tab/>
      </w:r>
      <w:r>
        <w:rPr>
          <w:noProof/>
        </w:rPr>
        <w:fldChar w:fldCharType="begin"/>
      </w:r>
      <w:r>
        <w:rPr>
          <w:noProof/>
        </w:rPr>
        <w:instrText xml:space="preserve"> PAGEREF _Toc419116110 \h </w:instrText>
      </w:r>
      <w:r>
        <w:rPr>
          <w:noProof/>
        </w:rPr>
      </w:r>
      <w:r>
        <w:rPr>
          <w:noProof/>
        </w:rPr>
        <w:fldChar w:fldCharType="separate"/>
      </w:r>
      <w:r>
        <w:rPr>
          <w:noProof/>
        </w:rPr>
        <w:t>97</w:t>
      </w:r>
      <w:r>
        <w:rPr>
          <w:noProof/>
        </w:rPr>
        <w:fldChar w:fldCharType="end"/>
      </w:r>
    </w:p>
    <w:p w14:paraId="5FB76709"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3.4.1.</w:t>
      </w:r>
      <w:r>
        <w:rPr>
          <w:rFonts w:eastAsiaTheme="minorEastAsia" w:cstheme="minorBidi"/>
          <w:noProof/>
          <w:sz w:val="24"/>
          <w:szCs w:val="24"/>
          <w:lang w:val="en-US" w:eastAsia="ja-JP"/>
        </w:rPr>
        <w:tab/>
      </w:r>
      <w:r>
        <w:rPr>
          <w:noProof/>
        </w:rPr>
        <w:t>Qualitative research: theory</w:t>
      </w:r>
      <w:r>
        <w:rPr>
          <w:noProof/>
        </w:rPr>
        <w:tab/>
      </w:r>
      <w:r>
        <w:rPr>
          <w:noProof/>
        </w:rPr>
        <w:fldChar w:fldCharType="begin"/>
      </w:r>
      <w:r>
        <w:rPr>
          <w:noProof/>
        </w:rPr>
        <w:instrText xml:space="preserve"> PAGEREF _Toc419116111 \h </w:instrText>
      </w:r>
      <w:r>
        <w:rPr>
          <w:noProof/>
        </w:rPr>
      </w:r>
      <w:r>
        <w:rPr>
          <w:noProof/>
        </w:rPr>
        <w:fldChar w:fldCharType="separate"/>
      </w:r>
      <w:r>
        <w:rPr>
          <w:noProof/>
        </w:rPr>
        <w:t>97</w:t>
      </w:r>
      <w:r>
        <w:rPr>
          <w:noProof/>
        </w:rPr>
        <w:fldChar w:fldCharType="end"/>
      </w:r>
    </w:p>
    <w:p w14:paraId="19F8A528"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3.4.2.</w:t>
      </w:r>
      <w:r>
        <w:rPr>
          <w:rFonts w:eastAsiaTheme="minorEastAsia" w:cstheme="minorBidi"/>
          <w:noProof/>
          <w:sz w:val="24"/>
          <w:szCs w:val="24"/>
          <w:lang w:val="en-US" w:eastAsia="ja-JP"/>
        </w:rPr>
        <w:tab/>
      </w:r>
      <w:r>
        <w:rPr>
          <w:noProof/>
        </w:rPr>
        <w:t>Qualitative research: Grounded Theory</w:t>
      </w:r>
      <w:r>
        <w:rPr>
          <w:noProof/>
        </w:rPr>
        <w:tab/>
      </w:r>
      <w:r>
        <w:rPr>
          <w:noProof/>
        </w:rPr>
        <w:fldChar w:fldCharType="begin"/>
      </w:r>
      <w:r>
        <w:rPr>
          <w:noProof/>
        </w:rPr>
        <w:instrText xml:space="preserve"> PAGEREF _Toc419116112 \h </w:instrText>
      </w:r>
      <w:r>
        <w:rPr>
          <w:noProof/>
        </w:rPr>
      </w:r>
      <w:r>
        <w:rPr>
          <w:noProof/>
        </w:rPr>
        <w:fldChar w:fldCharType="separate"/>
      </w:r>
      <w:r>
        <w:rPr>
          <w:noProof/>
        </w:rPr>
        <w:t>100</w:t>
      </w:r>
      <w:r>
        <w:rPr>
          <w:noProof/>
        </w:rPr>
        <w:fldChar w:fldCharType="end"/>
      </w:r>
    </w:p>
    <w:p w14:paraId="72E49DAF"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3.4.3.</w:t>
      </w:r>
      <w:r>
        <w:rPr>
          <w:rFonts w:eastAsiaTheme="minorEastAsia" w:cstheme="minorBidi"/>
          <w:noProof/>
          <w:sz w:val="24"/>
          <w:szCs w:val="24"/>
          <w:lang w:val="en-US" w:eastAsia="ja-JP"/>
        </w:rPr>
        <w:tab/>
      </w:r>
      <w:r>
        <w:rPr>
          <w:noProof/>
        </w:rPr>
        <w:t>Qualitative research: quality</w:t>
      </w:r>
      <w:r>
        <w:rPr>
          <w:noProof/>
        </w:rPr>
        <w:tab/>
      </w:r>
      <w:r>
        <w:rPr>
          <w:noProof/>
        </w:rPr>
        <w:fldChar w:fldCharType="begin"/>
      </w:r>
      <w:r>
        <w:rPr>
          <w:noProof/>
        </w:rPr>
        <w:instrText xml:space="preserve"> PAGEREF _Toc419116113 \h </w:instrText>
      </w:r>
      <w:r>
        <w:rPr>
          <w:noProof/>
        </w:rPr>
      </w:r>
      <w:r>
        <w:rPr>
          <w:noProof/>
        </w:rPr>
        <w:fldChar w:fldCharType="separate"/>
      </w:r>
      <w:r>
        <w:rPr>
          <w:noProof/>
        </w:rPr>
        <w:t>104</w:t>
      </w:r>
      <w:r>
        <w:rPr>
          <w:noProof/>
        </w:rPr>
        <w:fldChar w:fldCharType="end"/>
      </w:r>
    </w:p>
    <w:p w14:paraId="47823E95"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3.4.4.</w:t>
      </w:r>
      <w:r>
        <w:rPr>
          <w:rFonts w:eastAsiaTheme="minorEastAsia" w:cstheme="minorBidi"/>
          <w:noProof/>
          <w:sz w:val="24"/>
          <w:szCs w:val="24"/>
          <w:lang w:val="en-US" w:eastAsia="ja-JP"/>
        </w:rPr>
        <w:tab/>
      </w:r>
      <w:r>
        <w:rPr>
          <w:noProof/>
        </w:rPr>
        <w:t>Qualitative research: sampling</w:t>
      </w:r>
      <w:r>
        <w:rPr>
          <w:noProof/>
        </w:rPr>
        <w:tab/>
      </w:r>
      <w:r>
        <w:rPr>
          <w:noProof/>
        </w:rPr>
        <w:fldChar w:fldCharType="begin"/>
      </w:r>
      <w:r>
        <w:rPr>
          <w:noProof/>
        </w:rPr>
        <w:instrText xml:space="preserve"> PAGEREF _Toc419116114 \h </w:instrText>
      </w:r>
      <w:r>
        <w:rPr>
          <w:noProof/>
        </w:rPr>
      </w:r>
      <w:r>
        <w:rPr>
          <w:noProof/>
        </w:rPr>
        <w:fldChar w:fldCharType="separate"/>
      </w:r>
      <w:r>
        <w:rPr>
          <w:noProof/>
        </w:rPr>
        <w:t>110</w:t>
      </w:r>
      <w:r>
        <w:rPr>
          <w:noProof/>
        </w:rPr>
        <w:fldChar w:fldCharType="end"/>
      </w:r>
    </w:p>
    <w:p w14:paraId="6AA7A548"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3.4.5.</w:t>
      </w:r>
      <w:r>
        <w:rPr>
          <w:rFonts w:eastAsiaTheme="minorEastAsia" w:cstheme="minorBidi"/>
          <w:noProof/>
          <w:sz w:val="24"/>
          <w:szCs w:val="24"/>
          <w:lang w:val="en-US" w:eastAsia="ja-JP"/>
        </w:rPr>
        <w:tab/>
      </w:r>
      <w:r>
        <w:rPr>
          <w:noProof/>
        </w:rPr>
        <w:t>Qualitative research: limitations</w:t>
      </w:r>
      <w:r>
        <w:rPr>
          <w:noProof/>
        </w:rPr>
        <w:tab/>
      </w:r>
      <w:r>
        <w:rPr>
          <w:noProof/>
        </w:rPr>
        <w:fldChar w:fldCharType="begin"/>
      </w:r>
      <w:r>
        <w:rPr>
          <w:noProof/>
        </w:rPr>
        <w:instrText xml:space="preserve"> PAGEREF _Toc419116115 \h </w:instrText>
      </w:r>
      <w:r>
        <w:rPr>
          <w:noProof/>
        </w:rPr>
      </w:r>
      <w:r>
        <w:rPr>
          <w:noProof/>
        </w:rPr>
        <w:fldChar w:fldCharType="separate"/>
      </w:r>
      <w:r>
        <w:rPr>
          <w:noProof/>
        </w:rPr>
        <w:t>112</w:t>
      </w:r>
      <w:r>
        <w:rPr>
          <w:noProof/>
        </w:rPr>
        <w:fldChar w:fldCharType="end"/>
      </w:r>
    </w:p>
    <w:p w14:paraId="3C7C9C1D"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3.4.6.</w:t>
      </w:r>
      <w:r>
        <w:rPr>
          <w:rFonts w:eastAsiaTheme="minorEastAsia" w:cstheme="minorBidi"/>
          <w:noProof/>
          <w:sz w:val="24"/>
          <w:szCs w:val="24"/>
          <w:lang w:val="en-US" w:eastAsia="ja-JP"/>
        </w:rPr>
        <w:tab/>
      </w:r>
      <w:r>
        <w:rPr>
          <w:noProof/>
        </w:rPr>
        <w:t>Qualitative research: focus groups</w:t>
      </w:r>
      <w:r>
        <w:rPr>
          <w:noProof/>
        </w:rPr>
        <w:tab/>
      </w:r>
      <w:r>
        <w:rPr>
          <w:noProof/>
        </w:rPr>
        <w:fldChar w:fldCharType="begin"/>
      </w:r>
      <w:r>
        <w:rPr>
          <w:noProof/>
        </w:rPr>
        <w:instrText xml:space="preserve"> PAGEREF _Toc419116116 \h </w:instrText>
      </w:r>
      <w:r>
        <w:rPr>
          <w:noProof/>
        </w:rPr>
      </w:r>
      <w:r>
        <w:rPr>
          <w:noProof/>
        </w:rPr>
        <w:fldChar w:fldCharType="separate"/>
      </w:r>
      <w:r>
        <w:rPr>
          <w:noProof/>
        </w:rPr>
        <w:t>113</w:t>
      </w:r>
      <w:r>
        <w:rPr>
          <w:noProof/>
        </w:rPr>
        <w:fldChar w:fldCharType="end"/>
      </w:r>
    </w:p>
    <w:p w14:paraId="137DE007"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3.4.7.</w:t>
      </w:r>
      <w:r>
        <w:rPr>
          <w:rFonts w:eastAsiaTheme="minorEastAsia" w:cstheme="minorBidi"/>
          <w:noProof/>
          <w:sz w:val="24"/>
          <w:szCs w:val="24"/>
          <w:lang w:val="en-US" w:eastAsia="ja-JP"/>
        </w:rPr>
        <w:tab/>
      </w:r>
      <w:r>
        <w:rPr>
          <w:noProof/>
        </w:rPr>
        <w:t>Qualitative research: interviews</w:t>
      </w:r>
      <w:r>
        <w:rPr>
          <w:noProof/>
        </w:rPr>
        <w:tab/>
      </w:r>
      <w:r>
        <w:rPr>
          <w:noProof/>
        </w:rPr>
        <w:fldChar w:fldCharType="begin"/>
      </w:r>
      <w:r>
        <w:rPr>
          <w:noProof/>
        </w:rPr>
        <w:instrText xml:space="preserve"> PAGEREF _Toc419116117 \h </w:instrText>
      </w:r>
      <w:r>
        <w:rPr>
          <w:noProof/>
        </w:rPr>
      </w:r>
      <w:r>
        <w:rPr>
          <w:noProof/>
        </w:rPr>
        <w:fldChar w:fldCharType="separate"/>
      </w:r>
      <w:r>
        <w:rPr>
          <w:noProof/>
        </w:rPr>
        <w:t>115</w:t>
      </w:r>
      <w:r>
        <w:rPr>
          <w:noProof/>
        </w:rPr>
        <w:fldChar w:fldCharType="end"/>
      </w:r>
    </w:p>
    <w:p w14:paraId="5F0817B3"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3.4.8.</w:t>
      </w:r>
      <w:r>
        <w:rPr>
          <w:rFonts w:eastAsiaTheme="minorEastAsia" w:cstheme="minorBidi"/>
          <w:noProof/>
          <w:sz w:val="24"/>
          <w:szCs w:val="24"/>
          <w:lang w:val="en-US" w:eastAsia="ja-JP"/>
        </w:rPr>
        <w:tab/>
      </w:r>
      <w:r>
        <w:rPr>
          <w:noProof/>
        </w:rPr>
        <w:t>Qualitative data: Thematic analysis utilising framework in Nvivo</w:t>
      </w:r>
      <w:r>
        <w:rPr>
          <w:noProof/>
        </w:rPr>
        <w:tab/>
      </w:r>
      <w:r>
        <w:rPr>
          <w:noProof/>
        </w:rPr>
        <w:fldChar w:fldCharType="begin"/>
      </w:r>
      <w:r>
        <w:rPr>
          <w:noProof/>
        </w:rPr>
        <w:instrText xml:space="preserve"> PAGEREF _Toc419116118 \h </w:instrText>
      </w:r>
      <w:r>
        <w:rPr>
          <w:noProof/>
        </w:rPr>
      </w:r>
      <w:r>
        <w:rPr>
          <w:noProof/>
        </w:rPr>
        <w:fldChar w:fldCharType="separate"/>
      </w:r>
      <w:r>
        <w:rPr>
          <w:noProof/>
        </w:rPr>
        <w:t>123</w:t>
      </w:r>
      <w:r>
        <w:rPr>
          <w:noProof/>
        </w:rPr>
        <w:fldChar w:fldCharType="end"/>
      </w:r>
    </w:p>
    <w:p w14:paraId="54821FD8"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3.5.</w:t>
      </w:r>
      <w:r>
        <w:rPr>
          <w:rFonts w:eastAsiaTheme="minorEastAsia" w:cstheme="minorBidi"/>
          <w:b w:val="0"/>
          <w:noProof/>
          <w:sz w:val="24"/>
          <w:szCs w:val="24"/>
          <w:lang w:val="en-US" w:eastAsia="ja-JP"/>
        </w:rPr>
        <w:tab/>
      </w:r>
      <w:r>
        <w:rPr>
          <w:noProof/>
        </w:rPr>
        <w:t>Triangulation of data</w:t>
      </w:r>
      <w:r>
        <w:rPr>
          <w:noProof/>
        </w:rPr>
        <w:tab/>
      </w:r>
      <w:r>
        <w:rPr>
          <w:noProof/>
        </w:rPr>
        <w:fldChar w:fldCharType="begin"/>
      </w:r>
      <w:r>
        <w:rPr>
          <w:noProof/>
        </w:rPr>
        <w:instrText xml:space="preserve"> PAGEREF _Toc419116119 \h </w:instrText>
      </w:r>
      <w:r>
        <w:rPr>
          <w:noProof/>
        </w:rPr>
      </w:r>
      <w:r>
        <w:rPr>
          <w:noProof/>
        </w:rPr>
        <w:fldChar w:fldCharType="separate"/>
      </w:r>
      <w:r>
        <w:rPr>
          <w:noProof/>
        </w:rPr>
        <w:t>126</w:t>
      </w:r>
      <w:r>
        <w:rPr>
          <w:noProof/>
        </w:rPr>
        <w:fldChar w:fldCharType="end"/>
      </w:r>
    </w:p>
    <w:p w14:paraId="1F0C77F0"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3.5.1.</w:t>
      </w:r>
      <w:r>
        <w:rPr>
          <w:rFonts w:eastAsiaTheme="minorEastAsia" w:cstheme="minorBidi"/>
          <w:noProof/>
          <w:sz w:val="24"/>
          <w:szCs w:val="24"/>
          <w:lang w:val="en-US" w:eastAsia="ja-JP"/>
        </w:rPr>
        <w:tab/>
      </w:r>
      <w:r>
        <w:rPr>
          <w:noProof/>
        </w:rPr>
        <w:t>Data analysis</w:t>
      </w:r>
      <w:r>
        <w:rPr>
          <w:noProof/>
        </w:rPr>
        <w:tab/>
      </w:r>
      <w:r>
        <w:rPr>
          <w:noProof/>
        </w:rPr>
        <w:fldChar w:fldCharType="begin"/>
      </w:r>
      <w:r>
        <w:rPr>
          <w:noProof/>
        </w:rPr>
        <w:instrText xml:space="preserve"> PAGEREF _Toc419116120 \h </w:instrText>
      </w:r>
      <w:r>
        <w:rPr>
          <w:noProof/>
        </w:rPr>
      </w:r>
      <w:r>
        <w:rPr>
          <w:noProof/>
        </w:rPr>
        <w:fldChar w:fldCharType="separate"/>
      </w:r>
      <w:r>
        <w:rPr>
          <w:noProof/>
        </w:rPr>
        <w:t>128</w:t>
      </w:r>
      <w:r>
        <w:rPr>
          <w:noProof/>
        </w:rPr>
        <w:fldChar w:fldCharType="end"/>
      </w:r>
    </w:p>
    <w:p w14:paraId="3C61FD31"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3.6.</w:t>
      </w:r>
      <w:r>
        <w:rPr>
          <w:rFonts w:eastAsiaTheme="minorEastAsia" w:cstheme="minorBidi"/>
          <w:b w:val="0"/>
          <w:noProof/>
          <w:sz w:val="24"/>
          <w:szCs w:val="24"/>
          <w:lang w:val="en-US" w:eastAsia="ja-JP"/>
        </w:rPr>
        <w:tab/>
      </w:r>
      <w:r>
        <w:rPr>
          <w:noProof/>
        </w:rPr>
        <w:t>Ethics</w:t>
      </w:r>
      <w:r>
        <w:rPr>
          <w:noProof/>
        </w:rPr>
        <w:tab/>
      </w:r>
      <w:r>
        <w:rPr>
          <w:noProof/>
        </w:rPr>
        <w:fldChar w:fldCharType="begin"/>
      </w:r>
      <w:r>
        <w:rPr>
          <w:noProof/>
        </w:rPr>
        <w:instrText xml:space="preserve"> PAGEREF _Toc419116121 \h </w:instrText>
      </w:r>
      <w:r>
        <w:rPr>
          <w:noProof/>
        </w:rPr>
      </w:r>
      <w:r>
        <w:rPr>
          <w:noProof/>
        </w:rPr>
        <w:fldChar w:fldCharType="separate"/>
      </w:r>
      <w:r>
        <w:rPr>
          <w:noProof/>
        </w:rPr>
        <w:t>129</w:t>
      </w:r>
      <w:r>
        <w:rPr>
          <w:noProof/>
        </w:rPr>
        <w:fldChar w:fldCharType="end"/>
      </w:r>
    </w:p>
    <w:p w14:paraId="163B13D3"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3.7.</w:t>
      </w:r>
      <w:r>
        <w:rPr>
          <w:rFonts w:eastAsiaTheme="minorEastAsia" w:cstheme="minorBidi"/>
          <w:b w:val="0"/>
          <w:noProof/>
          <w:sz w:val="24"/>
          <w:szCs w:val="24"/>
          <w:lang w:val="en-US" w:eastAsia="ja-JP"/>
        </w:rPr>
        <w:tab/>
      </w:r>
      <w:r>
        <w:rPr>
          <w:noProof/>
        </w:rPr>
        <w:t>Summary</w:t>
      </w:r>
      <w:r>
        <w:rPr>
          <w:noProof/>
        </w:rPr>
        <w:tab/>
      </w:r>
      <w:r>
        <w:rPr>
          <w:noProof/>
        </w:rPr>
        <w:fldChar w:fldCharType="begin"/>
      </w:r>
      <w:r>
        <w:rPr>
          <w:noProof/>
        </w:rPr>
        <w:instrText xml:space="preserve"> PAGEREF _Toc419116122 \h </w:instrText>
      </w:r>
      <w:r>
        <w:rPr>
          <w:noProof/>
        </w:rPr>
      </w:r>
      <w:r>
        <w:rPr>
          <w:noProof/>
        </w:rPr>
        <w:fldChar w:fldCharType="separate"/>
      </w:r>
      <w:r>
        <w:rPr>
          <w:noProof/>
        </w:rPr>
        <w:t>129</w:t>
      </w:r>
      <w:r>
        <w:rPr>
          <w:noProof/>
        </w:rPr>
        <w:fldChar w:fldCharType="end"/>
      </w:r>
    </w:p>
    <w:p w14:paraId="73744304" w14:textId="77777777" w:rsidR="00AC7474" w:rsidRDefault="00AC7474">
      <w:pPr>
        <w:pStyle w:val="TOC1"/>
        <w:tabs>
          <w:tab w:val="left" w:pos="438"/>
          <w:tab w:val="right" w:leader="dot" w:pos="8488"/>
        </w:tabs>
        <w:rPr>
          <w:rFonts w:eastAsiaTheme="minorEastAsia" w:cstheme="minorBidi"/>
          <w:b w:val="0"/>
          <w:noProof/>
          <w:lang w:val="en-US" w:eastAsia="ja-JP"/>
        </w:rPr>
      </w:pPr>
      <w:r w:rsidRPr="0093730D">
        <w:rPr>
          <w:noProof/>
        </w:rPr>
        <w:t>4.</w:t>
      </w:r>
      <w:r>
        <w:rPr>
          <w:rFonts w:eastAsiaTheme="minorEastAsia" w:cstheme="minorBidi"/>
          <w:b w:val="0"/>
          <w:noProof/>
          <w:lang w:val="en-US" w:eastAsia="ja-JP"/>
        </w:rPr>
        <w:tab/>
      </w:r>
      <w:r>
        <w:rPr>
          <w:noProof/>
        </w:rPr>
        <w:t>Chapter 4: Pre-pilot study: focus groups with students</w:t>
      </w:r>
      <w:r>
        <w:rPr>
          <w:noProof/>
        </w:rPr>
        <w:tab/>
      </w:r>
      <w:r>
        <w:rPr>
          <w:noProof/>
        </w:rPr>
        <w:fldChar w:fldCharType="begin"/>
      </w:r>
      <w:r>
        <w:rPr>
          <w:noProof/>
        </w:rPr>
        <w:instrText xml:space="preserve"> PAGEREF _Toc419116123 \h </w:instrText>
      </w:r>
      <w:r>
        <w:rPr>
          <w:noProof/>
        </w:rPr>
      </w:r>
      <w:r>
        <w:rPr>
          <w:noProof/>
        </w:rPr>
        <w:fldChar w:fldCharType="separate"/>
      </w:r>
      <w:r>
        <w:rPr>
          <w:noProof/>
        </w:rPr>
        <w:t>131</w:t>
      </w:r>
      <w:r>
        <w:rPr>
          <w:noProof/>
        </w:rPr>
        <w:fldChar w:fldCharType="end"/>
      </w:r>
    </w:p>
    <w:p w14:paraId="4E3BE797"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4.1.</w:t>
      </w:r>
      <w:r>
        <w:rPr>
          <w:rFonts w:eastAsiaTheme="minorEastAsia" w:cstheme="minorBidi"/>
          <w:b w:val="0"/>
          <w:noProof/>
          <w:sz w:val="24"/>
          <w:szCs w:val="24"/>
          <w:lang w:val="en-US" w:eastAsia="ja-JP"/>
        </w:rPr>
        <w:tab/>
      </w:r>
      <w:r>
        <w:rPr>
          <w:noProof/>
        </w:rPr>
        <w:t>Introduction</w:t>
      </w:r>
      <w:r>
        <w:rPr>
          <w:noProof/>
        </w:rPr>
        <w:tab/>
      </w:r>
      <w:r>
        <w:rPr>
          <w:noProof/>
        </w:rPr>
        <w:fldChar w:fldCharType="begin"/>
      </w:r>
      <w:r>
        <w:rPr>
          <w:noProof/>
        </w:rPr>
        <w:instrText xml:space="preserve"> PAGEREF _Toc419116124 \h </w:instrText>
      </w:r>
      <w:r>
        <w:rPr>
          <w:noProof/>
        </w:rPr>
      </w:r>
      <w:r>
        <w:rPr>
          <w:noProof/>
        </w:rPr>
        <w:fldChar w:fldCharType="separate"/>
      </w:r>
      <w:r>
        <w:rPr>
          <w:noProof/>
        </w:rPr>
        <w:t>132</w:t>
      </w:r>
      <w:r>
        <w:rPr>
          <w:noProof/>
        </w:rPr>
        <w:fldChar w:fldCharType="end"/>
      </w:r>
    </w:p>
    <w:p w14:paraId="6B305E80"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4.2.</w:t>
      </w:r>
      <w:r>
        <w:rPr>
          <w:rFonts w:eastAsiaTheme="minorEastAsia" w:cstheme="minorBidi"/>
          <w:b w:val="0"/>
          <w:noProof/>
          <w:sz w:val="24"/>
          <w:szCs w:val="24"/>
          <w:lang w:val="en-US" w:eastAsia="ja-JP"/>
        </w:rPr>
        <w:tab/>
      </w:r>
      <w:r>
        <w:rPr>
          <w:noProof/>
        </w:rPr>
        <w:t>Aim: Exploring preparedness for practice</w:t>
      </w:r>
      <w:r>
        <w:rPr>
          <w:noProof/>
        </w:rPr>
        <w:tab/>
      </w:r>
      <w:r>
        <w:rPr>
          <w:noProof/>
        </w:rPr>
        <w:fldChar w:fldCharType="begin"/>
      </w:r>
      <w:r>
        <w:rPr>
          <w:noProof/>
        </w:rPr>
        <w:instrText xml:space="preserve"> PAGEREF _Toc419116125 \h </w:instrText>
      </w:r>
      <w:r>
        <w:rPr>
          <w:noProof/>
        </w:rPr>
      </w:r>
      <w:r>
        <w:rPr>
          <w:noProof/>
        </w:rPr>
        <w:fldChar w:fldCharType="separate"/>
      </w:r>
      <w:r>
        <w:rPr>
          <w:noProof/>
        </w:rPr>
        <w:t>132</w:t>
      </w:r>
      <w:r>
        <w:rPr>
          <w:noProof/>
        </w:rPr>
        <w:fldChar w:fldCharType="end"/>
      </w:r>
    </w:p>
    <w:p w14:paraId="39A63BC0"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4.3.</w:t>
      </w:r>
      <w:r>
        <w:rPr>
          <w:rFonts w:eastAsiaTheme="minorEastAsia" w:cstheme="minorBidi"/>
          <w:b w:val="0"/>
          <w:noProof/>
          <w:sz w:val="24"/>
          <w:szCs w:val="24"/>
          <w:lang w:val="en-US" w:eastAsia="ja-JP"/>
        </w:rPr>
        <w:tab/>
      </w:r>
      <w:r>
        <w:rPr>
          <w:noProof/>
        </w:rPr>
        <w:t>Methods</w:t>
      </w:r>
      <w:r>
        <w:rPr>
          <w:noProof/>
        </w:rPr>
        <w:tab/>
      </w:r>
      <w:r>
        <w:rPr>
          <w:noProof/>
        </w:rPr>
        <w:fldChar w:fldCharType="begin"/>
      </w:r>
      <w:r>
        <w:rPr>
          <w:noProof/>
        </w:rPr>
        <w:instrText xml:space="preserve"> PAGEREF _Toc419116126 \h </w:instrText>
      </w:r>
      <w:r>
        <w:rPr>
          <w:noProof/>
        </w:rPr>
      </w:r>
      <w:r>
        <w:rPr>
          <w:noProof/>
        </w:rPr>
        <w:fldChar w:fldCharType="separate"/>
      </w:r>
      <w:r>
        <w:rPr>
          <w:noProof/>
        </w:rPr>
        <w:t>132</w:t>
      </w:r>
      <w:r>
        <w:rPr>
          <w:noProof/>
        </w:rPr>
        <w:fldChar w:fldCharType="end"/>
      </w:r>
    </w:p>
    <w:p w14:paraId="394F1A47"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4.3.1.</w:t>
      </w:r>
      <w:r>
        <w:rPr>
          <w:rFonts w:eastAsiaTheme="minorEastAsia" w:cstheme="minorBidi"/>
          <w:noProof/>
          <w:sz w:val="24"/>
          <w:szCs w:val="24"/>
          <w:lang w:val="en-US" w:eastAsia="ja-JP"/>
        </w:rPr>
        <w:tab/>
      </w:r>
      <w:r>
        <w:rPr>
          <w:noProof/>
        </w:rPr>
        <w:t>Sample</w:t>
      </w:r>
      <w:r>
        <w:rPr>
          <w:noProof/>
        </w:rPr>
        <w:tab/>
      </w:r>
      <w:r>
        <w:rPr>
          <w:noProof/>
        </w:rPr>
        <w:fldChar w:fldCharType="begin"/>
      </w:r>
      <w:r>
        <w:rPr>
          <w:noProof/>
        </w:rPr>
        <w:instrText xml:space="preserve"> PAGEREF _Toc419116127 \h </w:instrText>
      </w:r>
      <w:r>
        <w:rPr>
          <w:noProof/>
        </w:rPr>
      </w:r>
      <w:r>
        <w:rPr>
          <w:noProof/>
        </w:rPr>
        <w:fldChar w:fldCharType="separate"/>
      </w:r>
      <w:r>
        <w:rPr>
          <w:noProof/>
        </w:rPr>
        <w:t>132</w:t>
      </w:r>
      <w:r>
        <w:rPr>
          <w:noProof/>
        </w:rPr>
        <w:fldChar w:fldCharType="end"/>
      </w:r>
    </w:p>
    <w:p w14:paraId="2AAFF45B"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4.3.2.</w:t>
      </w:r>
      <w:r>
        <w:rPr>
          <w:rFonts w:eastAsiaTheme="minorEastAsia" w:cstheme="minorBidi"/>
          <w:noProof/>
          <w:sz w:val="24"/>
          <w:szCs w:val="24"/>
          <w:lang w:val="en-US" w:eastAsia="ja-JP"/>
        </w:rPr>
        <w:tab/>
      </w:r>
      <w:r>
        <w:rPr>
          <w:noProof/>
        </w:rPr>
        <w:t>Context</w:t>
      </w:r>
      <w:r>
        <w:rPr>
          <w:noProof/>
        </w:rPr>
        <w:tab/>
      </w:r>
      <w:r>
        <w:rPr>
          <w:noProof/>
        </w:rPr>
        <w:fldChar w:fldCharType="begin"/>
      </w:r>
      <w:r>
        <w:rPr>
          <w:noProof/>
        </w:rPr>
        <w:instrText xml:space="preserve"> PAGEREF _Toc419116128 \h </w:instrText>
      </w:r>
      <w:r>
        <w:rPr>
          <w:noProof/>
        </w:rPr>
      </w:r>
      <w:r>
        <w:rPr>
          <w:noProof/>
        </w:rPr>
        <w:fldChar w:fldCharType="separate"/>
      </w:r>
      <w:r>
        <w:rPr>
          <w:noProof/>
        </w:rPr>
        <w:t>132</w:t>
      </w:r>
      <w:r>
        <w:rPr>
          <w:noProof/>
        </w:rPr>
        <w:fldChar w:fldCharType="end"/>
      </w:r>
    </w:p>
    <w:p w14:paraId="3B3E0360"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4.3.3.</w:t>
      </w:r>
      <w:r>
        <w:rPr>
          <w:rFonts w:eastAsiaTheme="minorEastAsia" w:cstheme="minorBidi"/>
          <w:noProof/>
          <w:sz w:val="24"/>
          <w:szCs w:val="24"/>
          <w:lang w:val="en-US" w:eastAsia="ja-JP"/>
        </w:rPr>
        <w:tab/>
      </w:r>
      <w:r>
        <w:rPr>
          <w:noProof/>
        </w:rPr>
        <w:t>Setting</w:t>
      </w:r>
      <w:r>
        <w:rPr>
          <w:noProof/>
        </w:rPr>
        <w:tab/>
      </w:r>
      <w:r>
        <w:rPr>
          <w:noProof/>
        </w:rPr>
        <w:fldChar w:fldCharType="begin"/>
      </w:r>
      <w:r>
        <w:rPr>
          <w:noProof/>
        </w:rPr>
        <w:instrText xml:space="preserve"> PAGEREF _Toc419116129 \h </w:instrText>
      </w:r>
      <w:r>
        <w:rPr>
          <w:noProof/>
        </w:rPr>
      </w:r>
      <w:r>
        <w:rPr>
          <w:noProof/>
        </w:rPr>
        <w:fldChar w:fldCharType="separate"/>
      </w:r>
      <w:r>
        <w:rPr>
          <w:noProof/>
        </w:rPr>
        <w:t>133</w:t>
      </w:r>
      <w:r>
        <w:rPr>
          <w:noProof/>
        </w:rPr>
        <w:fldChar w:fldCharType="end"/>
      </w:r>
    </w:p>
    <w:p w14:paraId="55145C2E"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4.3.4.</w:t>
      </w:r>
      <w:r>
        <w:rPr>
          <w:rFonts w:eastAsiaTheme="minorEastAsia" w:cstheme="minorBidi"/>
          <w:noProof/>
          <w:sz w:val="24"/>
          <w:szCs w:val="24"/>
          <w:lang w:val="en-US" w:eastAsia="ja-JP"/>
        </w:rPr>
        <w:tab/>
      </w:r>
      <w:r>
        <w:rPr>
          <w:noProof/>
        </w:rPr>
        <w:t>Topic guide</w:t>
      </w:r>
      <w:r>
        <w:rPr>
          <w:noProof/>
        </w:rPr>
        <w:tab/>
      </w:r>
      <w:r>
        <w:rPr>
          <w:noProof/>
        </w:rPr>
        <w:fldChar w:fldCharType="begin"/>
      </w:r>
      <w:r>
        <w:rPr>
          <w:noProof/>
        </w:rPr>
        <w:instrText xml:space="preserve"> PAGEREF _Toc419116130 \h </w:instrText>
      </w:r>
      <w:r>
        <w:rPr>
          <w:noProof/>
        </w:rPr>
      </w:r>
      <w:r>
        <w:rPr>
          <w:noProof/>
        </w:rPr>
        <w:fldChar w:fldCharType="separate"/>
      </w:r>
      <w:r>
        <w:rPr>
          <w:noProof/>
        </w:rPr>
        <w:t>133</w:t>
      </w:r>
      <w:r>
        <w:rPr>
          <w:noProof/>
        </w:rPr>
        <w:fldChar w:fldCharType="end"/>
      </w:r>
    </w:p>
    <w:p w14:paraId="0921368B"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4.3.5.</w:t>
      </w:r>
      <w:r>
        <w:rPr>
          <w:rFonts w:eastAsiaTheme="minorEastAsia" w:cstheme="minorBidi"/>
          <w:noProof/>
          <w:sz w:val="24"/>
          <w:szCs w:val="24"/>
          <w:lang w:val="en-US" w:eastAsia="ja-JP"/>
        </w:rPr>
        <w:tab/>
      </w:r>
      <w:r>
        <w:rPr>
          <w:noProof/>
        </w:rPr>
        <w:t>Consent and Research Ethics</w:t>
      </w:r>
      <w:r>
        <w:rPr>
          <w:noProof/>
        </w:rPr>
        <w:tab/>
      </w:r>
      <w:r>
        <w:rPr>
          <w:noProof/>
        </w:rPr>
        <w:fldChar w:fldCharType="begin"/>
      </w:r>
      <w:r>
        <w:rPr>
          <w:noProof/>
        </w:rPr>
        <w:instrText xml:space="preserve"> PAGEREF _Toc419116131 \h </w:instrText>
      </w:r>
      <w:r>
        <w:rPr>
          <w:noProof/>
        </w:rPr>
      </w:r>
      <w:r>
        <w:rPr>
          <w:noProof/>
        </w:rPr>
        <w:fldChar w:fldCharType="separate"/>
      </w:r>
      <w:r>
        <w:rPr>
          <w:noProof/>
        </w:rPr>
        <w:t>135</w:t>
      </w:r>
      <w:r>
        <w:rPr>
          <w:noProof/>
        </w:rPr>
        <w:fldChar w:fldCharType="end"/>
      </w:r>
    </w:p>
    <w:p w14:paraId="5A362033"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4.3.6.</w:t>
      </w:r>
      <w:r>
        <w:rPr>
          <w:rFonts w:eastAsiaTheme="minorEastAsia" w:cstheme="minorBidi"/>
          <w:noProof/>
          <w:sz w:val="24"/>
          <w:szCs w:val="24"/>
          <w:lang w:val="en-US" w:eastAsia="ja-JP"/>
        </w:rPr>
        <w:tab/>
      </w:r>
      <w:r>
        <w:rPr>
          <w:noProof/>
        </w:rPr>
        <w:t>Conducting focus groups</w:t>
      </w:r>
      <w:r>
        <w:rPr>
          <w:noProof/>
        </w:rPr>
        <w:tab/>
      </w:r>
      <w:r>
        <w:rPr>
          <w:noProof/>
        </w:rPr>
        <w:fldChar w:fldCharType="begin"/>
      </w:r>
      <w:r>
        <w:rPr>
          <w:noProof/>
        </w:rPr>
        <w:instrText xml:space="preserve"> PAGEREF _Toc419116132 \h </w:instrText>
      </w:r>
      <w:r>
        <w:rPr>
          <w:noProof/>
        </w:rPr>
      </w:r>
      <w:r>
        <w:rPr>
          <w:noProof/>
        </w:rPr>
        <w:fldChar w:fldCharType="separate"/>
      </w:r>
      <w:r>
        <w:rPr>
          <w:noProof/>
        </w:rPr>
        <w:t>135</w:t>
      </w:r>
      <w:r>
        <w:rPr>
          <w:noProof/>
        </w:rPr>
        <w:fldChar w:fldCharType="end"/>
      </w:r>
    </w:p>
    <w:p w14:paraId="697E3D16"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4.4.</w:t>
      </w:r>
      <w:r>
        <w:rPr>
          <w:rFonts w:eastAsiaTheme="minorEastAsia" w:cstheme="minorBidi"/>
          <w:b w:val="0"/>
          <w:noProof/>
          <w:sz w:val="24"/>
          <w:szCs w:val="24"/>
          <w:lang w:val="en-US" w:eastAsia="ja-JP"/>
        </w:rPr>
        <w:tab/>
      </w:r>
      <w:r>
        <w:rPr>
          <w:noProof/>
        </w:rPr>
        <w:t>Results - Emergent themes</w:t>
      </w:r>
      <w:r>
        <w:rPr>
          <w:noProof/>
        </w:rPr>
        <w:tab/>
      </w:r>
      <w:r>
        <w:rPr>
          <w:noProof/>
        </w:rPr>
        <w:fldChar w:fldCharType="begin"/>
      </w:r>
      <w:r>
        <w:rPr>
          <w:noProof/>
        </w:rPr>
        <w:instrText xml:space="preserve"> PAGEREF _Toc419116133 \h </w:instrText>
      </w:r>
      <w:r>
        <w:rPr>
          <w:noProof/>
        </w:rPr>
      </w:r>
      <w:r>
        <w:rPr>
          <w:noProof/>
        </w:rPr>
        <w:fldChar w:fldCharType="separate"/>
      </w:r>
      <w:r>
        <w:rPr>
          <w:noProof/>
        </w:rPr>
        <w:t>142</w:t>
      </w:r>
      <w:r>
        <w:rPr>
          <w:noProof/>
        </w:rPr>
        <w:fldChar w:fldCharType="end"/>
      </w:r>
    </w:p>
    <w:p w14:paraId="2AFA58CC"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4.5.</w:t>
      </w:r>
      <w:r>
        <w:rPr>
          <w:rFonts w:eastAsiaTheme="minorEastAsia" w:cstheme="minorBidi"/>
          <w:b w:val="0"/>
          <w:noProof/>
          <w:sz w:val="24"/>
          <w:szCs w:val="24"/>
          <w:lang w:val="en-US" w:eastAsia="ja-JP"/>
        </w:rPr>
        <w:tab/>
      </w:r>
      <w:r>
        <w:rPr>
          <w:noProof/>
        </w:rPr>
        <w:t>Venn diagram as summary</w:t>
      </w:r>
      <w:r>
        <w:rPr>
          <w:noProof/>
        </w:rPr>
        <w:tab/>
      </w:r>
      <w:r>
        <w:rPr>
          <w:noProof/>
        </w:rPr>
        <w:fldChar w:fldCharType="begin"/>
      </w:r>
      <w:r>
        <w:rPr>
          <w:noProof/>
        </w:rPr>
        <w:instrText xml:space="preserve"> PAGEREF _Toc419116134 \h </w:instrText>
      </w:r>
      <w:r>
        <w:rPr>
          <w:noProof/>
        </w:rPr>
      </w:r>
      <w:r>
        <w:rPr>
          <w:noProof/>
        </w:rPr>
        <w:fldChar w:fldCharType="separate"/>
      </w:r>
      <w:r>
        <w:rPr>
          <w:noProof/>
        </w:rPr>
        <w:t>145</w:t>
      </w:r>
      <w:r>
        <w:rPr>
          <w:noProof/>
        </w:rPr>
        <w:fldChar w:fldCharType="end"/>
      </w:r>
    </w:p>
    <w:p w14:paraId="612D61D9"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lastRenderedPageBreak/>
        <w:t>4.6.</w:t>
      </w:r>
      <w:r>
        <w:rPr>
          <w:rFonts w:eastAsiaTheme="minorEastAsia" w:cstheme="minorBidi"/>
          <w:b w:val="0"/>
          <w:noProof/>
          <w:sz w:val="24"/>
          <w:szCs w:val="24"/>
          <w:lang w:val="en-US" w:eastAsia="ja-JP"/>
        </w:rPr>
        <w:tab/>
      </w:r>
      <w:r>
        <w:rPr>
          <w:noProof/>
        </w:rPr>
        <w:t>Discussion</w:t>
      </w:r>
      <w:r>
        <w:rPr>
          <w:noProof/>
        </w:rPr>
        <w:tab/>
      </w:r>
      <w:r>
        <w:rPr>
          <w:noProof/>
        </w:rPr>
        <w:fldChar w:fldCharType="begin"/>
      </w:r>
      <w:r>
        <w:rPr>
          <w:noProof/>
        </w:rPr>
        <w:instrText xml:space="preserve"> PAGEREF _Toc419116135 \h </w:instrText>
      </w:r>
      <w:r>
        <w:rPr>
          <w:noProof/>
        </w:rPr>
      </w:r>
      <w:r>
        <w:rPr>
          <w:noProof/>
        </w:rPr>
        <w:fldChar w:fldCharType="separate"/>
      </w:r>
      <w:r>
        <w:rPr>
          <w:noProof/>
        </w:rPr>
        <w:t>147</w:t>
      </w:r>
      <w:r>
        <w:rPr>
          <w:noProof/>
        </w:rPr>
        <w:fldChar w:fldCharType="end"/>
      </w:r>
    </w:p>
    <w:p w14:paraId="250FB693"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4.7.</w:t>
      </w:r>
      <w:r>
        <w:rPr>
          <w:rFonts w:eastAsiaTheme="minorEastAsia" w:cstheme="minorBidi"/>
          <w:b w:val="0"/>
          <w:noProof/>
          <w:sz w:val="24"/>
          <w:szCs w:val="24"/>
          <w:lang w:val="en-US" w:eastAsia="ja-JP"/>
        </w:rPr>
        <w:tab/>
      </w:r>
      <w:r>
        <w:rPr>
          <w:noProof/>
        </w:rPr>
        <w:t>Conclusion</w:t>
      </w:r>
      <w:r>
        <w:rPr>
          <w:noProof/>
        </w:rPr>
        <w:tab/>
      </w:r>
      <w:r>
        <w:rPr>
          <w:noProof/>
        </w:rPr>
        <w:fldChar w:fldCharType="begin"/>
      </w:r>
      <w:r>
        <w:rPr>
          <w:noProof/>
        </w:rPr>
        <w:instrText xml:space="preserve"> PAGEREF _Toc419116136 \h </w:instrText>
      </w:r>
      <w:r>
        <w:rPr>
          <w:noProof/>
        </w:rPr>
      </w:r>
      <w:r>
        <w:rPr>
          <w:noProof/>
        </w:rPr>
        <w:fldChar w:fldCharType="separate"/>
      </w:r>
      <w:r>
        <w:rPr>
          <w:noProof/>
        </w:rPr>
        <w:t>149</w:t>
      </w:r>
      <w:r>
        <w:rPr>
          <w:noProof/>
        </w:rPr>
        <w:fldChar w:fldCharType="end"/>
      </w:r>
    </w:p>
    <w:p w14:paraId="66DBD8BA" w14:textId="77777777" w:rsidR="00AC7474" w:rsidRDefault="00AC7474">
      <w:pPr>
        <w:pStyle w:val="TOC1"/>
        <w:tabs>
          <w:tab w:val="left" w:pos="438"/>
          <w:tab w:val="right" w:leader="dot" w:pos="8488"/>
        </w:tabs>
        <w:rPr>
          <w:rFonts w:eastAsiaTheme="minorEastAsia" w:cstheme="minorBidi"/>
          <w:b w:val="0"/>
          <w:noProof/>
          <w:lang w:val="en-US" w:eastAsia="ja-JP"/>
        </w:rPr>
      </w:pPr>
      <w:r w:rsidRPr="0093730D">
        <w:rPr>
          <w:noProof/>
        </w:rPr>
        <w:t>5.</w:t>
      </w:r>
      <w:r>
        <w:rPr>
          <w:rFonts w:eastAsiaTheme="minorEastAsia" w:cstheme="minorBidi"/>
          <w:b w:val="0"/>
          <w:noProof/>
          <w:lang w:val="en-US" w:eastAsia="ja-JP"/>
        </w:rPr>
        <w:tab/>
      </w:r>
      <w:r>
        <w:rPr>
          <w:noProof/>
        </w:rPr>
        <w:t>Chapter 5: Design of intervention</w:t>
      </w:r>
      <w:r>
        <w:rPr>
          <w:noProof/>
        </w:rPr>
        <w:tab/>
      </w:r>
      <w:r>
        <w:rPr>
          <w:noProof/>
        </w:rPr>
        <w:fldChar w:fldCharType="begin"/>
      </w:r>
      <w:r>
        <w:rPr>
          <w:noProof/>
        </w:rPr>
        <w:instrText xml:space="preserve"> PAGEREF _Toc419116137 \h </w:instrText>
      </w:r>
      <w:r>
        <w:rPr>
          <w:noProof/>
        </w:rPr>
      </w:r>
      <w:r>
        <w:rPr>
          <w:noProof/>
        </w:rPr>
        <w:fldChar w:fldCharType="separate"/>
      </w:r>
      <w:r>
        <w:rPr>
          <w:noProof/>
        </w:rPr>
        <w:t>150</w:t>
      </w:r>
      <w:r>
        <w:rPr>
          <w:noProof/>
        </w:rPr>
        <w:fldChar w:fldCharType="end"/>
      </w:r>
    </w:p>
    <w:p w14:paraId="1B1641AC"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5.1.</w:t>
      </w:r>
      <w:r>
        <w:rPr>
          <w:rFonts w:eastAsiaTheme="minorEastAsia" w:cstheme="minorBidi"/>
          <w:b w:val="0"/>
          <w:noProof/>
          <w:sz w:val="24"/>
          <w:szCs w:val="24"/>
          <w:lang w:val="en-US" w:eastAsia="ja-JP"/>
        </w:rPr>
        <w:tab/>
      </w:r>
      <w:r>
        <w:rPr>
          <w:noProof/>
        </w:rPr>
        <w:t>Study design</w:t>
      </w:r>
      <w:r>
        <w:rPr>
          <w:noProof/>
        </w:rPr>
        <w:tab/>
      </w:r>
      <w:r>
        <w:rPr>
          <w:noProof/>
        </w:rPr>
        <w:fldChar w:fldCharType="begin"/>
      </w:r>
      <w:r>
        <w:rPr>
          <w:noProof/>
        </w:rPr>
        <w:instrText xml:space="preserve"> PAGEREF _Toc419116138 \h </w:instrText>
      </w:r>
      <w:r>
        <w:rPr>
          <w:noProof/>
        </w:rPr>
      </w:r>
      <w:r>
        <w:rPr>
          <w:noProof/>
        </w:rPr>
        <w:fldChar w:fldCharType="separate"/>
      </w:r>
      <w:r>
        <w:rPr>
          <w:noProof/>
        </w:rPr>
        <w:t>151</w:t>
      </w:r>
      <w:r>
        <w:rPr>
          <w:noProof/>
        </w:rPr>
        <w:fldChar w:fldCharType="end"/>
      </w:r>
    </w:p>
    <w:p w14:paraId="3FE21EC1"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5.2.</w:t>
      </w:r>
      <w:r>
        <w:rPr>
          <w:rFonts w:eastAsiaTheme="minorEastAsia" w:cstheme="minorBidi"/>
          <w:b w:val="0"/>
          <w:noProof/>
          <w:sz w:val="24"/>
          <w:szCs w:val="24"/>
          <w:lang w:val="en-US" w:eastAsia="ja-JP"/>
        </w:rPr>
        <w:tab/>
      </w:r>
      <w:r>
        <w:rPr>
          <w:noProof/>
        </w:rPr>
        <w:t>Educational theory related to Simulation-Based Medical Education (SBME)</w:t>
      </w:r>
      <w:r>
        <w:rPr>
          <w:noProof/>
        </w:rPr>
        <w:tab/>
      </w:r>
      <w:r>
        <w:rPr>
          <w:noProof/>
        </w:rPr>
        <w:fldChar w:fldCharType="begin"/>
      </w:r>
      <w:r>
        <w:rPr>
          <w:noProof/>
        </w:rPr>
        <w:instrText xml:space="preserve"> PAGEREF _Toc419116139 \h </w:instrText>
      </w:r>
      <w:r>
        <w:rPr>
          <w:noProof/>
        </w:rPr>
      </w:r>
      <w:r>
        <w:rPr>
          <w:noProof/>
        </w:rPr>
        <w:fldChar w:fldCharType="separate"/>
      </w:r>
      <w:r>
        <w:rPr>
          <w:noProof/>
        </w:rPr>
        <w:t>152</w:t>
      </w:r>
      <w:r>
        <w:rPr>
          <w:noProof/>
        </w:rPr>
        <w:fldChar w:fldCharType="end"/>
      </w:r>
    </w:p>
    <w:p w14:paraId="60C29F96"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5.3.</w:t>
      </w:r>
      <w:r>
        <w:rPr>
          <w:rFonts w:eastAsiaTheme="minorEastAsia" w:cstheme="minorBidi"/>
          <w:b w:val="0"/>
          <w:noProof/>
          <w:sz w:val="24"/>
          <w:szCs w:val="24"/>
          <w:lang w:val="en-US" w:eastAsia="ja-JP"/>
        </w:rPr>
        <w:tab/>
      </w:r>
      <w:r>
        <w:rPr>
          <w:noProof/>
        </w:rPr>
        <w:t>Curriculum design</w:t>
      </w:r>
      <w:r>
        <w:rPr>
          <w:noProof/>
        </w:rPr>
        <w:tab/>
      </w:r>
      <w:r>
        <w:rPr>
          <w:noProof/>
        </w:rPr>
        <w:fldChar w:fldCharType="begin"/>
      </w:r>
      <w:r>
        <w:rPr>
          <w:noProof/>
        </w:rPr>
        <w:instrText xml:space="preserve"> PAGEREF _Toc419116140 \h </w:instrText>
      </w:r>
      <w:r>
        <w:rPr>
          <w:noProof/>
        </w:rPr>
      </w:r>
      <w:r>
        <w:rPr>
          <w:noProof/>
        </w:rPr>
        <w:fldChar w:fldCharType="separate"/>
      </w:r>
      <w:r>
        <w:rPr>
          <w:noProof/>
        </w:rPr>
        <w:t>161</w:t>
      </w:r>
      <w:r>
        <w:rPr>
          <w:noProof/>
        </w:rPr>
        <w:fldChar w:fldCharType="end"/>
      </w:r>
    </w:p>
    <w:p w14:paraId="257136A7"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5.3.1.</w:t>
      </w:r>
      <w:r>
        <w:rPr>
          <w:rFonts w:eastAsiaTheme="minorEastAsia" w:cstheme="minorBidi"/>
          <w:noProof/>
          <w:sz w:val="24"/>
          <w:szCs w:val="24"/>
          <w:lang w:val="en-US" w:eastAsia="ja-JP"/>
        </w:rPr>
        <w:tab/>
      </w:r>
      <w:r>
        <w:rPr>
          <w:noProof/>
        </w:rPr>
        <w:t>Foundation Programme curriculum learning outcomes</w:t>
      </w:r>
      <w:r>
        <w:rPr>
          <w:noProof/>
        </w:rPr>
        <w:tab/>
      </w:r>
      <w:r>
        <w:rPr>
          <w:noProof/>
        </w:rPr>
        <w:fldChar w:fldCharType="begin"/>
      </w:r>
      <w:r>
        <w:rPr>
          <w:noProof/>
        </w:rPr>
        <w:instrText xml:space="preserve"> PAGEREF _Toc419116141 \h </w:instrText>
      </w:r>
      <w:r>
        <w:rPr>
          <w:noProof/>
        </w:rPr>
      </w:r>
      <w:r>
        <w:rPr>
          <w:noProof/>
        </w:rPr>
        <w:fldChar w:fldCharType="separate"/>
      </w:r>
      <w:r>
        <w:rPr>
          <w:noProof/>
        </w:rPr>
        <w:t>162</w:t>
      </w:r>
      <w:r>
        <w:rPr>
          <w:noProof/>
        </w:rPr>
        <w:fldChar w:fldCharType="end"/>
      </w:r>
    </w:p>
    <w:p w14:paraId="034A737F"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5.3.2.</w:t>
      </w:r>
      <w:r>
        <w:rPr>
          <w:rFonts w:eastAsiaTheme="minorEastAsia" w:cstheme="minorBidi"/>
          <w:noProof/>
          <w:sz w:val="24"/>
          <w:szCs w:val="24"/>
          <w:lang w:val="en-US" w:eastAsia="ja-JP"/>
        </w:rPr>
        <w:tab/>
      </w:r>
      <w:r>
        <w:rPr>
          <w:noProof/>
        </w:rPr>
        <w:t>Tomorrow’s Doctors</w:t>
      </w:r>
      <w:r>
        <w:rPr>
          <w:noProof/>
        </w:rPr>
        <w:tab/>
      </w:r>
      <w:r>
        <w:rPr>
          <w:noProof/>
        </w:rPr>
        <w:fldChar w:fldCharType="begin"/>
      </w:r>
      <w:r>
        <w:rPr>
          <w:noProof/>
        </w:rPr>
        <w:instrText xml:space="preserve"> PAGEREF _Toc419116142 \h </w:instrText>
      </w:r>
      <w:r>
        <w:rPr>
          <w:noProof/>
        </w:rPr>
      </w:r>
      <w:r>
        <w:rPr>
          <w:noProof/>
        </w:rPr>
        <w:fldChar w:fldCharType="separate"/>
      </w:r>
      <w:r>
        <w:rPr>
          <w:noProof/>
        </w:rPr>
        <w:t>163</w:t>
      </w:r>
      <w:r>
        <w:rPr>
          <w:noProof/>
        </w:rPr>
        <w:fldChar w:fldCharType="end"/>
      </w:r>
    </w:p>
    <w:p w14:paraId="5A3D85E8"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5.3.3.</w:t>
      </w:r>
      <w:r>
        <w:rPr>
          <w:rFonts w:eastAsiaTheme="minorEastAsia" w:cstheme="minorBidi"/>
          <w:noProof/>
          <w:sz w:val="24"/>
          <w:szCs w:val="24"/>
          <w:lang w:val="en-US" w:eastAsia="ja-JP"/>
        </w:rPr>
        <w:tab/>
      </w:r>
      <w:r>
        <w:rPr>
          <w:noProof/>
        </w:rPr>
        <w:t>Debriefing</w:t>
      </w:r>
      <w:r>
        <w:rPr>
          <w:noProof/>
        </w:rPr>
        <w:tab/>
      </w:r>
      <w:r>
        <w:rPr>
          <w:noProof/>
        </w:rPr>
        <w:fldChar w:fldCharType="begin"/>
      </w:r>
      <w:r>
        <w:rPr>
          <w:noProof/>
        </w:rPr>
        <w:instrText xml:space="preserve"> PAGEREF _Toc419116143 \h </w:instrText>
      </w:r>
      <w:r>
        <w:rPr>
          <w:noProof/>
        </w:rPr>
      </w:r>
      <w:r>
        <w:rPr>
          <w:noProof/>
        </w:rPr>
        <w:fldChar w:fldCharType="separate"/>
      </w:r>
      <w:r>
        <w:rPr>
          <w:noProof/>
        </w:rPr>
        <w:t>167</w:t>
      </w:r>
      <w:r>
        <w:rPr>
          <w:noProof/>
        </w:rPr>
        <w:fldChar w:fldCharType="end"/>
      </w:r>
    </w:p>
    <w:p w14:paraId="05470D06"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5.3.4.</w:t>
      </w:r>
      <w:r>
        <w:rPr>
          <w:rFonts w:eastAsiaTheme="minorEastAsia" w:cstheme="minorBidi"/>
          <w:noProof/>
          <w:sz w:val="24"/>
          <w:szCs w:val="24"/>
          <w:lang w:val="en-US" w:eastAsia="ja-JP"/>
        </w:rPr>
        <w:tab/>
      </w:r>
      <w:r>
        <w:rPr>
          <w:noProof/>
        </w:rPr>
        <w:t>Undergraduate simulation expert consensus</w:t>
      </w:r>
      <w:r>
        <w:rPr>
          <w:noProof/>
        </w:rPr>
        <w:tab/>
      </w:r>
      <w:r>
        <w:rPr>
          <w:noProof/>
        </w:rPr>
        <w:fldChar w:fldCharType="begin"/>
      </w:r>
      <w:r>
        <w:rPr>
          <w:noProof/>
        </w:rPr>
        <w:instrText xml:space="preserve"> PAGEREF _Toc419116144 \h </w:instrText>
      </w:r>
      <w:r>
        <w:rPr>
          <w:noProof/>
        </w:rPr>
      </w:r>
      <w:r>
        <w:rPr>
          <w:noProof/>
        </w:rPr>
        <w:fldChar w:fldCharType="separate"/>
      </w:r>
      <w:r>
        <w:rPr>
          <w:noProof/>
        </w:rPr>
        <w:t>171</w:t>
      </w:r>
      <w:r>
        <w:rPr>
          <w:noProof/>
        </w:rPr>
        <w:fldChar w:fldCharType="end"/>
      </w:r>
    </w:p>
    <w:p w14:paraId="11CB4D57"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5.4.</w:t>
      </w:r>
      <w:r>
        <w:rPr>
          <w:rFonts w:eastAsiaTheme="minorEastAsia" w:cstheme="minorBidi"/>
          <w:b w:val="0"/>
          <w:noProof/>
          <w:sz w:val="24"/>
          <w:szCs w:val="24"/>
          <w:lang w:val="en-US" w:eastAsia="ja-JP"/>
        </w:rPr>
        <w:tab/>
      </w:r>
      <w:r>
        <w:rPr>
          <w:noProof/>
        </w:rPr>
        <w:t>Resources required</w:t>
      </w:r>
      <w:r>
        <w:rPr>
          <w:noProof/>
        </w:rPr>
        <w:tab/>
      </w:r>
      <w:r>
        <w:rPr>
          <w:noProof/>
        </w:rPr>
        <w:fldChar w:fldCharType="begin"/>
      </w:r>
      <w:r>
        <w:rPr>
          <w:noProof/>
        </w:rPr>
        <w:instrText xml:space="preserve"> PAGEREF _Toc419116145 \h </w:instrText>
      </w:r>
      <w:r>
        <w:rPr>
          <w:noProof/>
        </w:rPr>
      </w:r>
      <w:r>
        <w:rPr>
          <w:noProof/>
        </w:rPr>
        <w:fldChar w:fldCharType="separate"/>
      </w:r>
      <w:r>
        <w:rPr>
          <w:noProof/>
        </w:rPr>
        <w:t>172</w:t>
      </w:r>
      <w:r>
        <w:rPr>
          <w:noProof/>
        </w:rPr>
        <w:fldChar w:fldCharType="end"/>
      </w:r>
    </w:p>
    <w:p w14:paraId="3F62B1E3"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5.5.</w:t>
      </w:r>
      <w:r>
        <w:rPr>
          <w:rFonts w:eastAsiaTheme="minorEastAsia" w:cstheme="minorBidi"/>
          <w:b w:val="0"/>
          <w:noProof/>
          <w:sz w:val="24"/>
          <w:szCs w:val="24"/>
          <w:lang w:val="en-US" w:eastAsia="ja-JP"/>
        </w:rPr>
        <w:tab/>
      </w:r>
      <w:r>
        <w:rPr>
          <w:noProof/>
        </w:rPr>
        <w:t>Outcome measures: Assessment design and validation</w:t>
      </w:r>
      <w:r>
        <w:rPr>
          <w:noProof/>
        </w:rPr>
        <w:tab/>
      </w:r>
      <w:r>
        <w:rPr>
          <w:noProof/>
        </w:rPr>
        <w:fldChar w:fldCharType="begin"/>
      </w:r>
      <w:r>
        <w:rPr>
          <w:noProof/>
        </w:rPr>
        <w:instrText xml:space="preserve"> PAGEREF _Toc419116146 \h </w:instrText>
      </w:r>
      <w:r>
        <w:rPr>
          <w:noProof/>
        </w:rPr>
      </w:r>
      <w:r>
        <w:rPr>
          <w:noProof/>
        </w:rPr>
        <w:fldChar w:fldCharType="separate"/>
      </w:r>
      <w:r>
        <w:rPr>
          <w:noProof/>
        </w:rPr>
        <w:t>173</w:t>
      </w:r>
      <w:r>
        <w:rPr>
          <w:noProof/>
        </w:rPr>
        <w:fldChar w:fldCharType="end"/>
      </w:r>
    </w:p>
    <w:p w14:paraId="484F1C8B"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5.5.1.</w:t>
      </w:r>
      <w:r>
        <w:rPr>
          <w:rFonts w:eastAsiaTheme="minorEastAsia" w:cstheme="minorBidi"/>
          <w:noProof/>
          <w:sz w:val="24"/>
          <w:szCs w:val="24"/>
          <w:lang w:val="en-US" w:eastAsia="ja-JP"/>
        </w:rPr>
        <w:tab/>
      </w:r>
      <w:r>
        <w:rPr>
          <w:noProof/>
        </w:rPr>
        <w:t>Development of confidence score tool</w:t>
      </w:r>
      <w:r>
        <w:rPr>
          <w:noProof/>
        </w:rPr>
        <w:tab/>
      </w:r>
      <w:r>
        <w:rPr>
          <w:noProof/>
        </w:rPr>
        <w:fldChar w:fldCharType="begin"/>
      </w:r>
      <w:r>
        <w:rPr>
          <w:noProof/>
        </w:rPr>
        <w:instrText xml:space="preserve"> PAGEREF _Toc419116147 \h </w:instrText>
      </w:r>
      <w:r>
        <w:rPr>
          <w:noProof/>
        </w:rPr>
      </w:r>
      <w:r>
        <w:rPr>
          <w:noProof/>
        </w:rPr>
        <w:fldChar w:fldCharType="separate"/>
      </w:r>
      <w:r>
        <w:rPr>
          <w:noProof/>
        </w:rPr>
        <w:t>174</w:t>
      </w:r>
      <w:r>
        <w:rPr>
          <w:noProof/>
        </w:rPr>
        <w:fldChar w:fldCharType="end"/>
      </w:r>
    </w:p>
    <w:p w14:paraId="1E06DA7D"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5.5.2.</w:t>
      </w:r>
      <w:r>
        <w:rPr>
          <w:rFonts w:eastAsiaTheme="minorEastAsia" w:cstheme="minorBidi"/>
          <w:noProof/>
          <w:sz w:val="24"/>
          <w:szCs w:val="24"/>
          <w:lang w:val="en-US" w:eastAsia="ja-JP"/>
        </w:rPr>
        <w:tab/>
      </w:r>
      <w:r>
        <w:rPr>
          <w:noProof/>
        </w:rPr>
        <w:t>Development of Formative Assessment tool</w:t>
      </w:r>
      <w:r>
        <w:rPr>
          <w:noProof/>
        </w:rPr>
        <w:tab/>
      </w:r>
      <w:r>
        <w:rPr>
          <w:noProof/>
        </w:rPr>
        <w:fldChar w:fldCharType="begin"/>
      </w:r>
      <w:r>
        <w:rPr>
          <w:noProof/>
        </w:rPr>
        <w:instrText xml:space="preserve"> PAGEREF _Toc419116148 \h </w:instrText>
      </w:r>
      <w:r>
        <w:rPr>
          <w:noProof/>
        </w:rPr>
      </w:r>
      <w:r>
        <w:rPr>
          <w:noProof/>
        </w:rPr>
        <w:fldChar w:fldCharType="separate"/>
      </w:r>
      <w:r>
        <w:rPr>
          <w:noProof/>
        </w:rPr>
        <w:t>177</w:t>
      </w:r>
      <w:r>
        <w:rPr>
          <w:noProof/>
        </w:rPr>
        <w:fldChar w:fldCharType="end"/>
      </w:r>
    </w:p>
    <w:p w14:paraId="07F8A6A9"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5.6.</w:t>
      </w:r>
      <w:r>
        <w:rPr>
          <w:rFonts w:eastAsiaTheme="minorEastAsia" w:cstheme="minorBidi"/>
          <w:b w:val="0"/>
          <w:noProof/>
          <w:sz w:val="24"/>
          <w:szCs w:val="24"/>
          <w:lang w:val="en-US" w:eastAsia="ja-JP"/>
        </w:rPr>
        <w:tab/>
      </w:r>
      <w:r>
        <w:rPr>
          <w:noProof/>
        </w:rPr>
        <w:t>Summary</w:t>
      </w:r>
      <w:r>
        <w:rPr>
          <w:noProof/>
        </w:rPr>
        <w:tab/>
      </w:r>
      <w:r>
        <w:rPr>
          <w:noProof/>
        </w:rPr>
        <w:fldChar w:fldCharType="begin"/>
      </w:r>
      <w:r>
        <w:rPr>
          <w:noProof/>
        </w:rPr>
        <w:instrText xml:space="preserve"> PAGEREF _Toc419116149 \h </w:instrText>
      </w:r>
      <w:r>
        <w:rPr>
          <w:noProof/>
        </w:rPr>
      </w:r>
      <w:r>
        <w:rPr>
          <w:noProof/>
        </w:rPr>
        <w:fldChar w:fldCharType="separate"/>
      </w:r>
      <w:r>
        <w:rPr>
          <w:noProof/>
        </w:rPr>
        <w:t>180</w:t>
      </w:r>
      <w:r>
        <w:rPr>
          <w:noProof/>
        </w:rPr>
        <w:fldChar w:fldCharType="end"/>
      </w:r>
    </w:p>
    <w:p w14:paraId="691E4C2D" w14:textId="77777777" w:rsidR="00AC7474" w:rsidRDefault="00AC7474">
      <w:pPr>
        <w:pStyle w:val="TOC1"/>
        <w:tabs>
          <w:tab w:val="left" w:pos="438"/>
          <w:tab w:val="right" w:leader="dot" w:pos="8488"/>
        </w:tabs>
        <w:rPr>
          <w:rFonts w:eastAsiaTheme="minorEastAsia" w:cstheme="minorBidi"/>
          <w:b w:val="0"/>
          <w:noProof/>
          <w:lang w:val="en-US" w:eastAsia="ja-JP"/>
        </w:rPr>
      </w:pPr>
      <w:r w:rsidRPr="0093730D">
        <w:rPr>
          <w:noProof/>
        </w:rPr>
        <w:t>6.</w:t>
      </w:r>
      <w:r>
        <w:rPr>
          <w:rFonts w:eastAsiaTheme="minorEastAsia" w:cstheme="minorBidi"/>
          <w:b w:val="0"/>
          <w:noProof/>
          <w:lang w:val="en-US" w:eastAsia="ja-JP"/>
        </w:rPr>
        <w:tab/>
      </w:r>
      <w:r>
        <w:rPr>
          <w:noProof/>
        </w:rPr>
        <w:t>Chapter 6: Pilot Study</w:t>
      </w:r>
      <w:r>
        <w:rPr>
          <w:noProof/>
        </w:rPr>
        <w:tab/>
      </w:r>
      <w:r>
        <w:rPr>
          <w:noProof/>
        </w:rPr>
        <w:fldChar w:fldCharType="begin"/>
      </w:r>
      <w:r>
        <w:rPr>
          <w:noProof/>
        </w:rPr>
        <w:instrText xml:space="preserve"> PAGEREF _Toc419116150 \h </w:instrText>
      </w:r>
      <w:r>
        <w:rPr>
          <w:noProof/>
        </w:rPr>
      </w:r>
      <w:r>
        <w:rPr>
          <w:noProof/>
        </w:rPr>
        <w:fldChar w:fldCharType="separate"/>
      </w:r>
      <w:r>
        <w:rPr>
          <w:noProof/>
        </w:rPr>
        <w:t>181</w:t>
      </w:r>
      <w:r>
        <w:rPr>
          <w:noProof/>
        </w:rPr>
        <w:fldChar w:fldCharType="end"/>
      </w:r>
    </w:p>
    <w:p w14:paraId="4A5D4FAF"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6.1.</w:t>
      </w:r>
      <w:r>
        <w:rPr>
          <w:rFonts w:eastAsiaTheme="minorEastAsia" w:cstheme="minorBidi"/>
          <w:b w:val="0"/>
          <w:noProof/>
          <w:sz w:val="24"/>
          <w:szCs w:val="24"/>
          <w:lang w:val="en-US" w:eastAsia="ja-JP"/>
        </w:rPr>
        <w:tab/>
      </w:r>
      <w:r>
        <w:rPr>
          <w:noProof/>
        </w:rPr>
        <w:t>Introduction</w:t>
      </w:r>
      <w:r>
        <w:rPr>
          <w:noProof/>
        </w:rPr>
        <w:tab/>
      </w:r>
      <w:r>
        <w:rPr>
          <w:noProof/>
        </w:rPr>
        <w:fldChar w:fldCharType="begin"/>
      </w:r>
      <w:r>
        <w:rPr>
          <w:noProof/>
        </w:rPr>
        <w:instrText xml:space="preserve"> PAGEREF _Toc419116151 \h </w:instrText>
      </w:r>
      <w:r>
        <w:rPr>
          <w:noProof/>
        </w:rPr>
      </w:r>
      <w:r>
        <w:rPr>
          <w:noProof/>
        </w:rPr>
        <w:fldChar w:fldCharType="separate"/>
      </w:r>
      <w:r>
        <w:rPr>
          <w:noProof/>
        </w:rPr>
        <w:t>182</w:t>
      </w:r>
      <w:r>
        <w:rPr>
          <w:noProof/>
        </w:rPr>
        <w:fldChar w:fldCharType="end"/>
      </w:r>
    </w:p>
    <w:p w14:paraId="78C6D7A5"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6.2.</w:t>
      </w:r>
      <w:r>
        <w:rPr>
          <w:rFonts w:eastAsiaTheme="minorEastAsia" w:cstheme="minorBidi"/>
          <w:b w:val="0"/>
          <w:noProof/>
          <w:sz w:val="24"/>
          <w:szCs w:val="24"/>
          <w:lang w:val="en-US" w:eastAsia="ja-JP"/>
        </w:rPr>
        <w:tab/>
      </w:r>
      <w:r>
        <w:rPr>
          <w:noProof/>
        </w:rPr>
        <w:t>Aims and objectives</w:t>
      </w:r>
      <w:r>
        <w:rPr>
          <w:noProof/>
        </w:rPr>
        <w:tab/>
      </w:r>
      <w:r>
        <w:rPr>
          <w:noProof/>
        </w:rPr>
        <w:fldChar w:fldCharType="begin"/>
      </w:r>
      <w:r>
        <w:rPr>
          <w:noProof/>
        </w:rPr>
        <w:instrText xml:space="preserve"> PAGEREF _Toc419116152 \h </w:instrText>
      </w:r>
      <w:r>
        <w:rPr>
          <w:noProof/>
        </w:rPr>
      </w:r>
      <w:r>
        <w:rPr>
          <w:noProof/>
        </w:rPr>
        <w:fldChar w:fldCharType="separate"/>
      </w:r>
      <w:r>
        <w:rPr>
          <w:noProof/>
        </w:rPr>
        <w:t>182</w:t>
      </w:r>
      <w:r>
        <w:rPr>
          <w:noProof/>
        </w:rPr>
        <w:fldChar w:fldCharType="end"/>
      </w:r>
    </w:p>
    <w:p w14:paraId="7F4BC46E"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6.3.</w:t>
      </w:r>
      <w:r>
        <w:rPr>
          <w:rFonts w:eastAsiaTheme="minorEastAsia" w:cstheme="minorBidi"/>
          <w:b w:val="0"/>
          <w:noProof/>
          <w:sz w:val="24"/>
          <w:szCs w:val="24"/>
          <w:lang w:val="en-US" w:eastAsia="ja-JP"/>
        </w:rPr>
        <w:tab/>
      </w:r>
      <w:r>
        <w:rPr>
          <w:noProof/>
        </w:rPr>
        <w:t>Methods</w:t>
      </w:r>
      <w:r>
        <w:rPr>
          <w:noProof/>
        </w:rPr>
        <w:tab/>
      </w:r>
      <w:r>
        <w:rPr>
          <w:noProof/>
        </w:rPr>
        <w:fldChar w:fldCharType="begin"/>
      </w:r>
      <w:r>
        <w:rPr>
          <w:noProof/>
        </w:rPr>
        <w:instrText xml:space="preserve"> PAGEREF _Toc419116153 \h </w:instrText>
      </w:r>
      <w:r>
        <w:rPr>
          <w:noProof/>
        </w:rPr>
      </w:r>
      <w:r>
        <w:rPr>
          <w:noProof/>
        </w:rPr>
        <w:fldChar w:fldCharType="separate"/>
      </w:r>
      <w:r>
        <w:rPr>
          <w:noProof/>
        </w:rPr>
        <w:t>183</w:t>
      </w:r>
      <w:r>
        <w:rPr>
          <w:noProof/>
        </w:rPr>
        <w:fldChar w:fldCharType="end"/>
      </w:r>
    </w:p>
    <w:p w14:paraId="18BBBAF5"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6.4.</w:t>
      </w:r>
      <w:r>
        <w:rPr>
          <w:rFonts w:eastAsiaTheme="minorEastAsia" w:cstheme="minorBidi"/>
          <w:b w:val="0"/>
          <w:noProof/>
          <w:sz w:val="24"/>
          <w:szCs w:val="24"/>
          <w:lang w:val="en-US" w:eastAsia="ja-JP"/>
        </w:rPr>
        <w:tab/>
      </w:r>
      <w:r>
        <w:rPr>
          <w:noProof/>
        </w:rPr>
        <w:t>Statistical analysis</w:t>
      </w:r>
      <w:r>
        <w:rPr>
          <w:noProof/>
        </w:rPr>
        <w:tab/>
      </w:r>
      <w:r>
        <w:rPr>
          <w:noProof/>
        </w:rPr>
        <w:fldChar w:fldCharType="begin"/>
      </w:r>
      <w:r>
        <w:rPr>
          <w:noProof/>
        </w:rPr>
        <w:instrText xml:space="preserve"> PAGEREF _Toc419116154 \h </w:instrText>
      </w:r>
      <w:r>
        <w:rPr>
          <w:noProof/>
        </w:rPr>
      </w:r>
      <w:r>
        <w:rPr>
          <w:noProof/>
        </w:rPr>
        <w:fldChar w:fldCharType="separate"/>
      </w:r>
      <w:r>
        <w:rPr>
          <w:noProof/>
        </w:rPr>
        <w:t>184</w:t>
      </w:r>
      <w:r>
        <w:rPr>
          <w:noProof/>
        </w:rPr>
        <w:fldChar w:fldCharType="end"/>
      </w:r>
    </w:p>
    <w:p w14:paraId="74FFFA61"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6.5.</w:t>
      </w:r>
      <w:r>
        <w:rPr>
          <w:rFonts w:eastAsiaTheme="minorEastAsia" w:cstheme="minorBidi"/>
          <w:b w:val="0"/>
          <w:noProof/>
          <w:sz w:val="24"/>
          <w:szCs w:val="24"/>
          <w:lang w:val="en-US" w:eastAsia="ja-JP"/>
        </w:rPr>
        <w:tab/>
      </w:r>
      <w:r>
        <w:rPr>
          <w:noProof/>
        </w:rPr>
        <w:t>Results – quantitative – repeated-measures vs. control and intervention</w:t>
      </w:r>
      <w:r>
        <w:rPr>
          <w:noProof/>
        </w:rPr>
        <w:tab/>
      </w:r>
      <w:r>
        <w:rPr>
          <w:noProof/>
        </w:rPr>
        <w:fldChar w:fldCharType="begin"/>
      </w:r>
      <w:r>
        <w:rPr>
          <w:noProof/>
        </w:rPr>
        <w:instrText xml:space="preserve"> PAGEREF _Toc419116155 \h </w:instrText>
      </w:r>
      <w:r>
        <w:rPr>
          <w:noProof/>
        </w:rPr>
      </w:r>
      <w:r>
        <w:rPr>
          <w:noProof/>
        </w:rPr>
        <w:fldChar w:fldCharType="separate"/>
      </w:r>
      <w:r>
        <w:rPr>
          <w:noProof/>
        </w:rPr>
        <w:t>184</w:t>
      </w:r>
      <w:r>
        <w:rPr>
          <w:noProof/>
        </w:rPr>
        <w:fldChar w:fldCharType="end"/>
      </w:r>
    </w:p>
    <w:p w14:paraId="1B354FFB"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6.5.1.</w:t>
      </w:r>
      <w:r>
        <w:rPr>
          <w:rFonts w:eastAsiaTheme="minorEastAsia" w:cstheme="minorBidi"/>
          <w:noProof/>
          <w:sz w:val="24"/>
          <w:szCs w:val="24"/>
          <w:lang w:val="en-US" w:eastAsia="ja-JP"/>
        </w:rPr>
        <w:tab/>
      </w:r>
      <w:r>
        <w:rPr>
          <w:noProof/>
        </w:rPr>
        <w:t>The sample</w:t>
      </w:r>
      <w:r>
        <w:rPr>
          <w:noProof/>
        </w:rPr>
        <w:tab/>
      </w:r>
      <w:r>
        <w:rPr>
          <w:noProof/>
        </w:rPr>
        <w:fldChar w:fldCharType="begin"/>
      </w:r>
      <w:r>
        <w:rPr>
          <w:noProof/>
        </w:rPr>
        <w:instrText xml:space="preserve"> PAGEREF _Toc419116156 \h </w:instrText>
      </w:r>
      <w:r>
        <w:rPr>
          <w:noProof/>
        </w:rPr>
      </w:r>
      <w:r>
        <w:rPr>
          <w:noProof/>
        </w:rPr>
        <w:fldChar w:fldCharType="separate"/>
      </w:r>
      <w:r>
        <w:rPr>
          <w:noProof/>
        </w:rPr>
        <w:t>185</w:t>
      </w:r>
      <w:r>
        <w:rPr>
          <w:noProof/>
        </w:rPr>
        <w:fldChar w:fldCharType="end"/>
      </w:r>
    </w:p>
    <w:p w14:paraId="674A03A8"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6.5.2.</w:t>
      </w:r>
      <w:r>
        <w:rPr>
          <w:rFonts w:eastAsiaTheme="minorEastAsia" w:cstheme="minorBidi"/>
          <w:noProof/>
          <w:sz w:val="24"/>
          <w:szCs w:val="24"/>
          <w:lang w:val="en-US" w:eastAsia="ja-JP"/>
        </w:rPr>
        <w:tab/>
      </w:r>
      <w:r>
        <w:rPr>
          <w:noProof/>
        </w:rPr>
        <w:t>Pre-course and post-course confidence scores</w:t>
      </w:r>
      <w:r>
        <w:rPr>
          <w:noProof/>
        </w:rPr>
        <w:tab/>
      </w:r>
      <w:r>
        <w:rPr>
          <w:noProof/>
        </w:rPr>
        <w:fldChar w:fldCharType="begin"/>
      </w:r>
      <w:r>
        <w:rPr>
          <w:noProof/>
        </w:rPr>
        <w:instrText xml:space="preserve"> PAGEREF _Toc419116157 \h </w:instrText>
      </w:r>
      <w:r>
        <w:rPr>
          <w:noProof/>
        </w:rPr>
      </w:r>
      <w:r>
        <w:rPr>
          <w:noProof/>
        </w:rPr>
        <w:fldChar w:fldCharType="separate"/>
      </w:r>
      <w:r>
        <w:rPr>
          <w:noProof/>
        </w:rPr>
        <w:t>186</w:t>
      </w:r>
      <w:r>
        <w:rPr>
          <w:noProof/>
        </w:rPr>
        <w:fldChar w:fldCharType="end"/>
      </w:r>
    </w:p>
    <w:p w14:paraId="1D7B3C12"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6.5.3.</w:t>
      </w:r>
      <w:r>
        <w:rPr>
          <w:rFonts w:eastAsiaTheme="minorEastAsia" w:cstheme="minorBidi"/>
          <w:noProof/>
          <w:sz w:val="24"/>
          <w:szCs w:val="24"/>
          <w:lang w:val="en-US" w:eastAsia="ja-JP"/>
        </w:rPr>
        <w:tab/>
      </w:r>
      <w:r>
        <w:rPr>
          <w:noProof/>
        </w:rPr>
        <w:t>Distribution of sample</w:t>
      </w:r>
      <w:r>
        <w:rPr>
          <w:noProof/>
        </w:rPr>
        <w:tab/>
      </w:r>
      <w:r>
        <w:rPr>
          <w:noProof/>
        </w:rPr>
        <w:fldChar w:fldCharType="begin"/>
      </w:r>
      <w:r>
        <w:rPr>
          <w:noProof/>
        </w:rPr>
        <w:instrText xml:space="preserve"> PAGEREF _Toc419116158 \h </w:instrText>
      </w:r>
      <w:r>
        <w:rPr>
          <w:noProof/>
        </w:rPr>
      </w:r>
      <w:r>
        <w:rPr>
          <w:noProof/>
        </w:rPr>
        <w:fldChar w:fldCharType="separate"/>
      </w:r>
      <w:r>
        <w:rPr>
          <w:noProof/>
        </w:rPr>
        <w:t>188</w:t>
      </w:r>
      <w:r>
        <w:rPr>
          <w:noProof/>
        </w:rPr>
        <w:fldChar w:fldCharType="end"/>
      </w:r>
    </w:p>
    <w:p w14:paraId="1BBC3191"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6.5.4.</w:t>
      </w:r>
      <w:r>
        <w:rPr>
          <w:rFonts w:eastAsiaTheme="minorEastAsia" w:cstheme="minorBidi"/>
          <w:noProof/>
          <w:sz w:val="24"/>
          <w:szCs w:val="24"/>
          <w:lang w:val="en-US" w:eastAsia="ja-JP"/>
        </w:rPr>
        <w:tab/>
      </w:r>
      <w:r>
        <w:rPr>
          <w:noProof/>
        </w:rPr>
        <w:t>Related samples T-test to compare a single group of students under two different conditions</w:t>
      </w:r>
      <w:r>
        <w:rPr>
          <w:noProof/>
        </w:rPr>
        <w:tab/>
      </w:r>
      <w:r>
        <w:rPr>
          <w:noProof/>
        </w:rPr>
        <w:fldChar w:fldCharType="begin"/>
      </w:r>
      <w:r>
        <w:rPr>
          <w:noProof/>
        </w:rPr>
        <w:instrText xml:space="preserve"> PAGEREF _Toc419116159 \h </w:instrText>
      </w:r>
      <w:r>
        <w:rPr>
          <w:noProof/>
        </w:rPr>
      </w:r>
      <w:r>
        <w:rPr>
          <w:noProof/>
        </w:rPr>
        <w:fldChar w:fldCharType="separate"/>
      </w:r>
      <w:r>
        <w:rPr>
          <w:noProof/>
        </w:rPr>
        <w:t>190</w:t>
      </w:r>
      <w:r>
        <w:rPr>
          <w:noProof/>
        </w:rPr>
        <w:fldChar w:fldCharType="end"/>
      </w:r>
    </w:p>
    <w:p w14:paraId="1DC655E7"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lastRenderedPageBreak/>
        <w:t>6.5.5.</w:t>
      </w:r>
      <w:r>
        <w:rPr>
          <w:rFonts w:eastAsiaTheme="minorEastAsia" w:cstheme="minorBidi"/>
          <w:noProof/>
          <w:sz w:val="24"/>
          <w:szCs w:val="24"/>
          <w:lang w:val="en-US" w:eastAsia="ja-JP"/>
        </w:rPr>
        <w:tab/>
      </w:r>
      <w:r>
        <w:rPr>
          <w:noProof/>
        </w:rPr>
        <w:t>One-way repeated-measures Analysis of Variance (ANOVA) over three conditions for the same group</w:t>
      </w:r>
      <w:r>
        <w:rPr>
          <w:noProof/>
        </w:rPr>
        <w:tab/>
      </w:r>
      <w:r>
        <w:rPr>
          <w:noProof/>
        </w:rPr>
        <w:fldChar w:fldCharType="begin"/>
      </w:r>
      <w:r>
        <w:rPr>
          <w:noProof/>
        </w:rPr>
        <w:instrText xml:space="preserve"> PAGEREF _Toc419116160 \h </w:instrText>
      </w:r>
      <w:r>
        <w:rPr>
          <w:noProof/>
        </w:rPr>
      </w:r>
      <w:r>
        <w:rPr>
          <w:noProof/>
        </w:rPr>
        <w:fldChar w:fldCharType="separate"/>
      </w:r>
      <w:r>
        <w:rPr>
          <w:noProof/>
        </w:rPr>
        <w:t>191</w:t>
      </w:r>
      <w:r>
        <w:rPr>
          <w:noProof/>
        </w:rPr>
        <w:fldChar w:fldCharType="end"/>
      </w:r>
    </w:p>
    <w:p w14:paraId="5CDA4AAB"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6.5.6.</w:t>
      </w:r>
      <w:r>
        <w:rPr>
          <w:rFonts w:eastAsiaTheme="minorEastAsia" w:cstheme="minorBidi"/>
          <w:noProof/>
          <w:sz w:val="24"/>
          <w:szCs w:val="24"/>
          <w:lang w:val="en-US" w:eastAsia="ja-JP"/>
        </w:rPr>
        <w:tab/>
      </w:r>
      <w:r>
        <w:rPr>
          <w:noProof/>
        </w:rPr>
        <w:t>Formative assessment results</w:t>
      </w:r>
      <w:r>
        <w:rPr>
          <w:noProof/>
        </w:rPr>
        <w:tab/>
      </w:r>
      <w:r>
        <w:rPr>
          <w:noProof/>
        </w:rPr>
        <w:fldChar w:fldCharType="begin"/>
      </w:r>
      <w:r>
        <w:rPr>
          <w:noProof/>
        </w:rPr>
        <w:instrText xml:space="preserve"> PAGEREF _Toc419116161 \h </w:instrText>
      </w:r>
      <w:r>
        <w:rPr>
          <w:noProof/>
        </w:rPr>
      </w:r>
      <w:r>
        <w:rPr>
          <w:noProof/>
        </w:rPr>
        <w:fldChar w:fldCharType="separate"/>
      </w:r>
      <w:r>
        <w:rPr>
          <w:noProof/>
        </w:rPr>
        <w:t>193</w:t>
      </w:r>
      <w:r>
        <w:rPr>
          <w:noProof/>
        </w:rPr>
        <w:fldChar w:fldCharType="end"/>
      </w:r>
    </w:p>
    <w:p w14:paraId="3D6F7476"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6.5.7.</w:t>
      </w:r>
      <w:r>
        <w:rPr>
          <w:rFonts w:eastAsiaTheme="minorEastAsia" w:cstheme="minorBidi"/>
          <w:noProof/>
          <w:sz w:val="24"/>
          <w:szCs w:val="24"/>
          <w:lang w:val="en-US" w:eastAsia="ja-JP"/>
        </w:rPr>
        <w:tab/>
      </w:r>
      <w:r>
        <w:rPr>
          <w:noProof/>
        </w:rPr>
        <w:t>Feedback results from the pilot course</w:t>
      </w:r>
      <w:r>
        <w:rPr>
          <w:noProof/>
        </w:rPr>
        <w:tab/>
      </w:r>
      <w:r>
        <w:rPr>
          <w:noProof/>
        </w:rPr>
        <w:fldChar w:fldCharType="begin"/>
      </w:r>
      <w:r>
        <w:rPr>
          <w:noProof/>
        </w:rPr>
        <w:instrText xml:space="preserve"> PAGEREF _Toc419116162 \h </w:instrText>
      </w:r>
      <w:r>
        <w:rPr>
          <w:noProof/>
        </w:rPr>
      </w:r>
      <w:r>
        <w:rPr>
          <w:noProof/>
        </w:rPr>
        <w:fldChar w:fldCharType="separate"/>
      </w:r>
      <w:r>
        <w:rPr>
          <w:noProof/>
        </w:rPr>
        <w:t>195</w:t>
      </w:r>
      <w:r>
        <w:rPr>
          <w:noProof/>
        </w:rPr>
        <w:fldChar w:fldCharType="end"/>
      </w:r>
    </w:p>
    <w:p w14:paraId="77D3B3BF"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6.5.8.</w:t>
      </w:r>
      <w:r>
        <w:rPr>
          <w:rFonts w:eastAsiaTheme="minorEastAsia" w:cstheme="minorBidi"/>
          <w:noProof/>
          <w:sz w:val="24"/>
          <w:szCs w:val="24"/>
          <w:lang w:val="en-US" w:eastAsia="ja-JP"/>
        </w:rPr>
        <w:tab/>
      </w:r>
      <w:r>
        <w:rPr>
          <w:noProof/>
        </w:rPr>
        <w:t>Pilot IMASS (intervention) group versus non-IMASS (control) group results</w:t>
      </w:r>
      <w:r>
        <w:rPr>
          <w:noProof/>
        </w:rPr>
        <w:tab/>
      </w:r>
      <w:r>
        <w:rPr>
          <w:noProof/>
        </w:rPr>
        <w:fldChar w:fldCharType="begin"/>
      </w:r>
      <w:r>
        <w:rPr>
          <w:noProof/>
        </w:rPr>
        <w:instrText xml:space="preserve"> PAGEREF _Toc419116163 \h </w:instrText>
      </w:r>
      <w:r>
        <w:rPr>
          <w:noProof/>
        </w:rPr>
      </w:r>
      <w:r>
        <w:rPr>
          <w:noProof/>
        </w:rPr>
        <w:fldChar w:fldCharType="separate"/>
      </w:r>
      <w:r>
        <w:rPr>
          <w:noProof/>
        </w:rPr>
        <w:t>196</w:t>
      </w:r>
      <w:r>
        <w:rPr>
          <w:noProof/>
        </w:rPr>
        <w:fldChar w:fldCharType="end"/>
      </w:r>
    </w:p>
    <w:p w14:paraId="0FA3A146"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6.6.</w:t>
      </w:r>
      <w:r>
        <w:rPr>
          <w:rFonts w:eastAsiaTheme="minorEastAsia" w:cstheme="minorBidi"/>
          <w:b w:val="0"/>
          <w:noProof/>
          <w:sz w:val="24"/>
          <w:szCs w:val="24"/>
          <w:lang w:val="en-US" w:eastAsia="ja-JP"/>
        </w:rPr>
        <w:tab/>
      </w:r>
      <w:r>
        <w:rPr>
          <w:noProof/>
        </w:rPr>
        <w:t>Results – Qualitative – focus groups</w:t>
      </w:r>
      <w:r>
        <w:rPr>
          <w:noProof/>
        </w:rPr>
        <w:tab/>
      </w:r>
      <w:r>
        <w:rPr>
          <w:noProof/>
        </w:rPr>
        <w:fldChar w:fldCharType="begin"/>
      </w:r>
      <w:r>
        <w:rPr>
          <w:noProof/>
        </w:rPr>
        <w:instrText xml:space="preserve"> PAGEREF _Toc419116164 \h </w:instrText>
      </w:r>
      <w:r>
        <w:rPr>
          <w:noProof/>
        </w:rPr>
      </w:r>
      <w:r>
        <w:rPr>
          <w:noProof/>
        </w:rPr>
        <w:fldChar w:fldCharType="separate"/>
      </w:r>
      <w:r>
        <w:rPr>
          <w:noProof/>
        </w:rPr>
        <w:t>200</w:t>
      </w:r>
      <w:r>
        <w:rPr>
          <w:noProof/>
        </w:rPr>
        <w:fldChar w:fldCharType="end"/>
      </w:r>
    </w:p>
    <w:p w14:paraId="136EA9B6"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6.6.1.</w:t>
      </w:r>
      <w:r>
        <w:rPr>
          <w:rFonts w:eastAsiaTheme="minorEastAsia" w:cstheme="minorBidi"/>
          <w:noProof/>
          <w:sz w:val="24"/>
          <w:szCs w:val="24"/>
          <w:lang w:val="en-US" w:eastAsia="ja-JP"/>
        </w:rPr>
        <w:tab/>
      </w:r>
      <w:r>
        <w:rPr>
          <w:noProof/>
        </w:rPr>
        <w:t>Focus group findings</w:t>
      </w:r>
      <w:r>
        <w:rPr>
          <w:noProof/>
        </w:rPr>
        <w:tab/>
      </w:r>
      <w:r>
        <w:rPr>
          <w:noProof/>
        </w:rPr>
        <w:fldChar w:fldCharType="begin"/>
      </w:r>
      <w:r>
        <w:rPr>
          <w:noProof/>
        </w:rPr>
        <w:instrText xml:space="preserve"> PAGEREF _Toc419116165 \h </w:instrText>
      </w:r>
      <w:r>
        <w:rPr>
          <w:noProof/>
        </w:rPr>
      </w:r>
      <w:r>
        <w:rPr>
          <w:noProof/>
        </w:rPr>
        <w:fldChar w:fldCharType="separate"/>
      </w:r>
      <w:r>
        <w:rPr>
          <w:noProof/>
        </w:rPr>
        <w:t>200</w:t>
      </w:r>
      <w:r>
        <w:rPr>
          <w:noProof/>
        </w:rPr>
        <w:fldChar w:fldCharType="end"/>
      </w:r>
    </w:p>
    <w:p w14:paraId="17717633"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6.7.</w:t>
      </w:r>
      <w:r>
        <w:rPr>
          <w:rFonts w:eastAsiaTheme="minorEastAsia" w:cstheme="minorBidi"/>
          <w:b w:val="0"/>
          <w:noProof/>
          <w:sz w:val="24"/>
          <w:szCs w:val="24"/>
          <w:lang w:val="en-US" w:eastAsia="ja-JP"/>
        </w:rPr>
        <w:tab/>
      </w:r>
      <w:r>
        <w:rPr>
          <w:noProof/>
        </w:rPr>
        <w:t>Results: Lessons learned from pilot study</w:t>
      </w:r>
      <w:r>
        <w:rPr>
          <w:noProof/>
        </w:rPr>
        <w:tab/>
      </w:r>
      <w:r>
        <w:rPr>
          <w:noProof/>
        </w:rPr>
        <w:fldChar w:fldCharType="begin"/>
      </w:r>
      <w:r>
        <w:rPr>
          <w:noProof/>
        </w:rPr>
        <w:instrText xml:space="preserve"> PAGEREF _Toc419116166 \h </w:instrText>
      </w:r>
      <w:r>
        <w:rPr>
          <w:noProof/>
        </w:rPr>
      </w:r>
      <w:r>
        <w:rPr>
          <w:noProof/>
        </w:rPr>
        <w:fldChar w:fldCharType="separate"/>
      </w:r>
      <w:r>
        <w:rPr>
          <w:noProof/>
        </w:rPr>
        <w:t>207</w:t>
      </w:r>
      <w:r>
        <w:rPr>
          <w:noProof/>
        </w:rPr>
        <w:fldChar w:fldCharType="end"/>
      </w:r>
    </w:p>
    <w:p w14:paraId="76D03626"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6.8.</w:t>
      </w:r>
      <w:r>
        <w:rPr>
          <w:rFonts w:eastAsiaTheme="minorEastAsia" w:cstheme="minorBidi"/>
          <w:b w:val="0"/>
          <w:noProof/>
          <w:sz w:val="24"/>
          <w:szCs w:val="24"/>
          <w:lang w:val="en-US" w:eastAsia="ja-JP"/>
        </w:rPr>
        <w:tab/>
      </w:r>
      <w:r>
        <w:rPr>
          <w:noProof/>
        </w:rPr>
        <w:t>Results: Power calculation</w:t>
      </w:r>
      <w:r>
        <w:rPr>
          <w:noProof/>
        </w:rPr>
        <w:tab/>
      </w:r>
      <w:r>
        <w:rPr>
          <w:noProof/>
        </w:rPr>
        <w:fldChar w:fldCharType="begin"/>
      </w:r>
      <w:r>
        <w:rPr>
          <w:noProof/>
        </w:rPr>
        <w:instrText xml:space="preserve"> PAGEREF _Toc419116167 \h </w:instrText>
      </w:r>
      <w:r>
        <w:rPr>
          <w:noProof/>
        </w:rPr>
      </w:r>
      <w:r>
        <w:rPr>
          <w:noProof/>
        </w:rPr>
        <w:fldChar w:fldCharType="separate"/>
      </w:r>
      <w:r>
        <w:rPr>
          <w:noProof/>
        </w:rPr>
        <w:t>208</w:t>
      </w:r>
      <w:r>
        <w:rPr>
          <w:noProof/>
        </w:rPr>
        <w:fldChar w:fldCharType="end"/>
      </w:r>
    </w:p>
    <w:p w14:paraId="2CBA55C7"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6.9.</w:t>
      </w:r>
      <w:r>
        <w:rPr>
          <w:rFonts w:eastAsiaTheme="minorEastAsia" w:cstheme="minorBidi"/>
          <w:b w:val="0"/>
          <w:noProof/>
          <w:sz w:val="24"/>
          <w:szCs w:val="24"/>
          <w:lang w:val="en-US" w:eastAsia="ja-JP"/>
        </w:rPr>
        <w:tab/>
      </w:r>
      <w:r>
        <w:rPr>
          <w:noProof/>
        </w:rPr>
        <w:t>Discussion: Key findings from pilot study</w:t>
      </w:r>
      <w:r>
        <w:rPr>
          <w:noProof/>
        </w:rPr>
        <w:tab/>
      </w:r>
      <w:r>
        <w:rPr>
          <w:noProof/>
        </w:rPr>
        <w:fldChar w:fldCharType="begin"/>
      </w:r>
      <w:r>
        <w:rPr>
          <w:noProof/>
        </w:rPr>
        <w:instrText xml:space="preserve"> PAGEREF _Toc419116168 \h </w:instrText>
      </w:r>
      <w:r>
        <w:rPr>
          <w:noProof/>
        </w:rPr>
      </w:r>
      <w:r>
        <w:rPr>
          <w:noProof/>
        </w:rPr>
        <w:fldChar w:fldCharType="separate"/>
      </w:r>
      <w:r>
        <w:rPr>
          <w:noProof/>
        </w:rPr>
        <w:t>211</w:t>
      </w:r>
      <w:r>
        <w:rPr>
          <w:noProof/>
        </w:rPr>
        <w:fldChar w:fldCharType="end"/>
      </w:r>
    </w:p>
    <w:p w14:paraId="03798472"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6.10.</w:t>
      </w:r>
      <w:r>
        <w:rPr>
          <w:rFonts w:eastAsiaTheme="minorEastAsia" w:cstheme="minorBidi"/>
          <w:b w:val="0"/>
          <w:noProof/>
          <w:sz w:val="24"/>
          <w:szCs w:val="24"/>
          <w:lang w:val="en-US" w:eastAsia="ja-JP"/>
        </w:rPr>
        <w:tab/>
      </w:r>
      <w:r>
        <w:rPr>
          <w:noProof/>
        </w:rPr>
        <w:t>Conclusions</w:t>
      </w:r>
      <w:r>
        <w:rPr>
          <w:noProof/>
        </w:rPr>
        <w:tab/>
      </w:r>
      <w:r>
        <w:rPr>
          <w:noProof/>
        </w:rPr>
        <w:fldChar w:fldCharType="begin"/>
      </w:r>
      <w:r>
        <w:rPr>
          <w:noProof/>
        </w:rPr>
        <w:instrText xml:space="preserve"> PAGEREF _Toc419116169 \h </w:instrText>
      </w:r>
      <w:r>
        <w:rPr>
          <w:noProof/>
        </w:rPr>
      </w:r>
      <w:r>
        <w:rPr>
          <w:noProof/>
        </w:rPr>
        <w:fldChar w:fldCharType="separate"/>
      </w:r>
      <w:r>
        <w:rPr>
          <w:noProof/>
        </w:rPr>
        <w:t>217</w:t>
      </w:r>
      <w:r>
        <w:rPr>
          <w:noProof/>
        </w:rPr>
        <w:fldChar w:fldCharType="end"/>
      </w:r>
    </w:p>
    <w:p w14:paraId="67DAB206"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6.11.</w:t>
      </w:r>
      <w:r>
        <w:rPr>
          <w:rFonts w:eastAsiaTheme="minorEastAsia" w:cstheme="minorBidi"/>
          <w:b w:val="0"/>
          <w:noProof/>
          <w:sz w:val="24"/>
          <w:szCs w:val="24"/>
          <w:lang w:val="en-US" w:eastAsia="ja-JP"/>
        </w:rPr>
        <w:tab/>
      </w:r>
      <w:r>
        <w:rPr>
          <w:noProof/>
        </w:rPr>
        <w:t>Summary</w:t>
      </w:r>
      <w:r>
        <w:rPr>
          <w:noProof/>
        </w:rPr>
        <w:tab/>
      </w:r>
      <w:r>
        <w:rPr>
          <w:noProof/>
        </w:rPr>
        <w:fldChar w:fldCharType="begin"/>
      </w:r>
      <w:r>
        <w:rPr>
          <w:noProof/>
        </w:rPr>
        <w:instrText xml:space="preserve"> PAGEREF _Toc419116170 \h </w:instrText>
      </w:r>
      <w:r>
        <w:rPr>
          <w:noProof/>
        </w:rPr>
      </w:r>
      <w:r>
        <w:rPr>
          <w:noProof/>
        </w:rPr>
        <w:fldChar w:fldCharType="separate"/>
      </w:r>
      <w:r>
        <w:rPr>
          <w:noProof/>
        </w:rPr>
        <w:t>219</w:t>
      </w:r>
      <w:r>
        <w:rPr>
          <w:noProof/>
        </w:rPr>
        <w:fldChar w:fldCharType="end"/>
      </w:r>
    </w:p>
    <w:p w14:paraId="4BEC7B40" w14:textId="77777777" w:rsidR="00AC7474" w:rsidRDefault="00AC7474">
      <w:pPr>
        <w:pStyle w:val="TOC1"/>
        <w:tabs>
          <w:tab w:val="left" w:pos="426"/>
          <w:tab w:val="right" w:leader="dot" w:pos="8488"/>
        </w:tabs>
        <w:rPr>
          <w:rFonts w:eastAsiaTheme="minorEastAsia" w:cstheme="minorBidi"/>
          <w:b w:val="0"/>
          <w:noProof/>
          <w:lang w:val="en-US" w:eastAsia="ja-JP"/>
        </w:rPr>
      </w:pPr>
      <w:r w:rsidRPr="0093730D">
        <w:rPr>
          <w:rFonts w:ascii="Calibri" w:hAnsi="Calibri" w:cs="Calibri"/>
          <w:noProof/>
        </w:rPr>
        <w:t>7.</w:t>
      </w:r>
      <w:r>
        <w:rPr>
          <w:rFonts w:eastAsiaTheme="minorEastAsia" w:cstheme="minorBidi"/>
          <w:b w:val="0"/>
          <w:noProof/>
          <w:lang w:val="en-US" w:eastAsia="ja-JP"/>
        </w:rPr>
        <w:tab/>
      </w:r>
      <w:r>
        <w:rPr>
          <w:noProof/>
        </w:rPr>
        <w:t>Chapter 7: Intervention study</w:t>
      </w:r>
      <w:r>
        <w:rPr>
          <w:noProof/>
        </w:rPr>
        <w:tab/>
      </w:r>
      <w:r>
        <w:rPr>
          <w:noProof/>
        </w:rPr>
        <w:fldChar w:fldCharType="begin"/>
      </w:r>
      <w:r>
        <w:rPr>
          <w:noProof/>
        </w:rPr>
        <w:instrText xml:space="preserve"> PAGEREF _Toc419116171 \h </w:instrText>
      </w:r>
      <w:r>
        <w:rPr>
          <w:noProof/>
        </w:rPr>
      </w:r>
      <w:r>
        <w:rPr>
          <w:noProof/>
        </w:rPr>
        <w:fldChar w:fldCharType="separate"/>
      </w:r>
      <w:r>
        <w:rPr>
          <w:noProof/>
        </w:rPr>
        <w:t>220</w:t>
      </w:r>
      <w:r>
        <w:rPr>
          <w:noProof/>
        </w:rPr>
        <w:fldChar w:fldCharType="end"/>
      </w:r>
    </w:p>
    <w:p w14:paraId="4A4135BE"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7.1.</w:t>
      </w:r>
      <w:r>
        <w:rPr>
          <w:rFonts w:eastAsiaTheme="minorEastAsia" w:cstheme="minorBidi"/>
          <w:b w:val="0"/>
          <w:noProof/>
          <w:sz w:val="24"/>
          <w:szCs w:val="24"/>
          <w:lang w:val="en-US" w:eastAsia="ja-JP"/>
        </w:rPr>
        <w:tab/>
      </w:r>
      <w:r>
        <w:rPr>
          <w:noProof/>
        </w:rPr>
        <w:t>Introduction</w:t>
      </w:r>
      <w:r>
        <w:rPr>
          <w:noProof/>
        </w:rPr>
        <w:tab/>
      </w:r>
      <w:r>
        <w:rPr>
          <w:noProof/>
        </w:rPr>
        <w:fldChar w:fldCharType="begin"/>
      </w:r>
      <w:r>
        <w:rPr>
          <w:noProof/>
        </w:rPr>
        <w:instrText xml:space="preserve"> PAGEREF _Toc419116172 \h </w:instrText>
      </w:r>
      <w:r>
        <w:rPr>
          <w:noProof/>
        </w:rPr>
      </w:r>
      <w:r>
        <w:rPr>
          <w:noProof/>
        </w:rPr>
        <w:fldChar w:fldCharType="separate"/>
      </w:r>
      <w:r>
        <w:rPr>
          <w:noProof/>
        </w:rPr>
        <w:t>221</w:t>
      </w:r>
      <w:r>
        <w:rPr>
          <w:noProof/>
        </w:rPr>
        <w:fldChar w:fldCharType="end"/>
      </w:r>
    </w:p>
    <w:p w14:paraId="42B79EA7"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7.2.</w:t>
      </w:r>
      <w:r>
        <w:rPr>
          <w:rFonts w:eastAsiaTheme="minorEastAsia" w:cstheme="minorBidi"/>
          <w:b w:val="0"/>
          <w:noProof/>
          <w:sz w:val="24"/>
          <w:szCs w:val="24"/>
          <w:lang w:val="en-US" w:eastAsia="ja-JP"/>
        </w:rPr>
        <w:tab/>
      </w:r>
      <w:r>
        <w:rPr>
          <w:noProof/>
        </w:rPr>
        <w:t>Part I: Aims and Objectives</w:t>
      </w:r>
      <w:r>
        <w:rPr>
          <w:noProof/>
        </w:rPr>
        <w:tab/>
      </w:r>
      <w:r>
        <w:rPr>
          <w:noProof/>
        </w:rPr>
        <w:fldChar w:fldCharType="begin"/>
      </w:r>
      <w:r>
        <w:rPr>
          <w:noProof/>
        </w:rPr>
        <w:instrText xml:space="preserve"> PAGEREF _Toc419116173 \h </w:instrText>
      </w:r>
      <w:r>
        <w:rPr>
          <w:noProof/>
        </w:rPr>
      </w:r>
      <w:r>
        <w:rPr>
          <w:noProof/>
        </w:rPr>
        <w:fldChar w:fldCharType="separate"/>
      </w:r>
      <w:r>
        <w:rPr>
          <w:noProof/>
        </w:rPr>
        <w:t>223</w:t>
      </w:r>
      <w:r>
        <w:rPr>
          <w:noProof/>
        </w:rPr>
        <w:fldChar w:fldCharType="end"/>
      </w:r>
    </w:p>
    <w:p w14:paraId="194E4456"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7.3.</w:t>
      </w:r>
      <w:r>
        <w:rPr>
          <w:rFonts w:eastAsiaTheme="minorEastAsia" w:cstheme="minorBidi"/>
          <w:b w:val="0"/>
          <w:noProof/>
          <w:sz w:val="24"/>
          <w:szCs w:val="24"/>
          <w:lang w:val="en-US" w:eastAsia="ja-JP"/>
        </w:rPr>
        <w:tab/>
      </w:r>
      <w:r>
        <w:rPr>
          <w:noProof/>
        </w:rPr>
        <w:t>Part I: Methods</w:t>
      </w:r>
      <w:r>
        <w:rPr>
          <w:noProof/>
        </w:rPr>
        <w:tab/>
      </w:r>
      <w:r>
        <w:rPr>
          <w:noProof/>
        </w:rPr>
        <w:fldChar w:fldCharType="begin"/>
      </w:r>
      <w:r>
        <w:rPr>
          <w:noProof/>
        </w:rPr>
        <w:instrText xml:space="preserve"> PAGEREF _Toc419116174 \h </w:instrText>
      </w:r>
      <w:r>
        <w:rPr>
          <w:noProof/>
        </w:rPr>
      </w:r>
      <w:r>
        <w:rPr>
          <w:noProof/>
        </w:rPr>
        <w:fldChar w:fldCharType="separate"/>
      </w:r>
      <w:r>
        <w:rPr>
          <w:noProof/>
        </w:rPr>
        <w:t>223</w:t>
      </w:r>
      <w:r>
        <w:rPr>
          <w:noProof/>
        </w:rPr>
        <w:fldChar w:fldCharType="end"/>
      </w:r>
    </w:p>
    <w:p w14:paraId="6AA05EA6"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7.3.1.</w:t>
      </w:r>
      <w:r>
        <w:rPr>
          <w:rFonts w:eastAsiaTheme="minorEastAsia" w:cstheme="minorBidi"/>
          <w:noProof/>
          <w:sz w:val="24"/>
          <w:szCs w:val="24"/>
          <w:lang w:val="en-US" w:eastAsia="ja-JP"/>
        </w:rPr>
        <w:tab/>
      </w:r>
      <w:r>
        <w:rPr>
          <w:noProof/>
        </w:rPr>
        <w:t>Sample</w:t>
      </w:r>
      <w:r>
        <w:rPr>
          <w:noProof/>
        </w:rPr>
        <w:tab/>
      </w:r>
      <w:r>
        <w:rPr>
          <w:noProof/>
        </w:rPr>
        <w:fldChar w:fldCharType="begin"/>
      </w:r>
      <w:r>
        <w:rPr>
          <w:noProof/>
        </w:rPr>
        <w:instrText xml:space="preserve"> PAGEREF _Toc419116175 \h </w:instrText>
      </w:r>
      <w:r>
        <w:rPr>
          <w:noProof/>
        </w:rPr>
      </w:r>
      <w:r>
        <w:rPr>
          <w:noProof/>
        </w:rPr>
        <w:fldChar w:fldCharType="separate"/>
      </w:r>
      <w:r>
        <w:rPr>
          <w:noProof/>
        </w:rPr>
        <w:t>224</w:t>
      </w:r>
      <w:r>
        <w:rPr>
          <w:noProof/>
        </w:rPr>
        <w:fldChar w:fldCharType="end"/>
      </w:r>
    </w:p>
    <w:p w14:paraId="255BE41E"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7.3.2.</w:t>
      </w:r>
      <w:r>
        <w:rPr>
          <w:rFonts w:eastAsiaTheme="minorEastAsia" w:cstheme="minorBidi"/>
          <w:noProof/>
          <w:sz w:val="24"/>
          <w:szCs w:val="24"/>
          <w:lang w:val="en-US" w:eastAsia="ja-JP"/>
        </w:rPr>
        <w:tab/>
      </w:r>
      <w:r>
        <w:rPr>
          <w:noProof/>
        </w:rPr>
        <w:t>Course</w:t>
      </w:r>
      <w:r>
        <w:rPr>
          <w:noProof/>
        </w:rPr>
        <w:tab/>
      </w:r>
      <w:r>
        <w:rPr>
          <w:noProof/>
        </w:rPr>
        <w:fldChar w:fldCharType="begin"/>
      </w:r>
      <w:r>
        <w:rPr>
          <w:noProof/>
        </w:rPr>
        <w:instrText xml:space="preserve"> PAGEREF _Toc419116176 \h </w:instrText>
      </w:r>
      <w:r>
        <w:rPr>
          <w:noProof/>
        </w:rPr>
      </w:r>
      <w:r>
        <w:rPr>
          <w:noProof/>
        </w:rPr>
        <w:fldChar w:fldCharType="separate"/>
      </w:r>
      <w:r>
        <w:rPr>
          <w:noProof/>
        </w:rPr>
        <w:t>224</w:t>
      </w:r>
      <w:r>
        <w:rPr>
          <w:noProof/>
        </w:rPr>
        <w:fldChar w:fldCharType="end"/>
      </w:r>
    </w:p>
    <w:p w14:paraId="514B1642"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7.3.3.</w:t>
      </w:r>
      <w:r>
        <w:rPr>
          <w:rFonts w:eastAsiaTheme="minorEastAsia" w:cstheme="minorBidi"/>
          <w:noProof/>
          <w:sz w:val="24"/>
          <w:szCs w:val="24"/>
          <w:lang w:val="en-US" w:eastAsia="ja-JP"/>
        </w:rPr>
        <w:tab/>
      </w:r>
      <w:r>
        <w:rPr>
          <w:noProof/>
        </w:rPr>
        <w:t>Quantitative data collection</w:t>
      </w:r>
      <w:r>
        <w:rPr>
          <w:noProof/>
        </w:rPr>
        <w:tab/>
      </w:r>
      <w:r>
        <w:rPr>
          <w:noProof/>
        </w:rPr>
        <w:fldChar w:fldCharType="begin"/>
      </w:r>
      <w:r>
        <w:rPr>
          <w:noProof/>
        </w:rPr>
        <w:instrText xml:space="preserve"> PAGEREF _Toc419116177 \h </w:instrText>
      </w:r>
      <w:r>
        <w:rPr>
          <w:noProof/>
        </w:rPr>
      </w:r>
      <w:r>
        <w:rPr>
          <w:noProof/>
        </w:rPr>
        <w:fldChar w:fldCharType="separate"/>
      </w:r>
      <w:r>
        <w:rPr>
          <w:noProof/>
        </w:rPr>
        <w:t>225</w:t>
      </w:r>
      <w:r>
        <w:rPr>
          <w:noProof/>
        </w:rPr>
        <w:fldChar w:fldCharType="end"/>
      </w:r>
    </w:p>
    <w:p w14:paraId="48A1C721"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7.3.4.</w:t>
      </w:r>
      <w:r>
        <w:rPr>
          <w:rFonts w:eastAsiaTheme="minorEastAsia" w:cstheme="minorBidi"/>
          <w:noProof/>
          <w:sz w:val="24"/>
          <w:szCs w:val="24"/>
          <w:lang w:val="en-US" w:eastAsia="ja-JP"/>
        </w:rPr>
        <w:tab/>
      </w:r>
      <w:r>
        <w:rPr>
          <w:noProof/>
        </w:rPr>
        <w:t>Statistical analysis</w:t>
      </w:r>
      <w:r>
        <w:rPr>
          <w:noProof/>
        </w:rPr>
        <w:tab/>
      </w:r>
      <w:r>
        <w:rPr>
          <w:noProof/>
        </w:rPr>
        <w:fldChar w:fldCharType="begin"/>
      </w:r>
      <w:r>
        <w:rPr>
          <w:noProof/>
        </w:rPr>
        <w:instrText xml:space="preserve"> PAGEREF _Toc419116178 \h </w:instrText>
      </w:r>
      <w:r>
        <w:rPr>
          <w:noProof/>
        </w:rPr>
      </w:r>
      <w:r>
        <w:rPr>
          <w:noProof/>
        </w:rPr>
        <w:fldChar w:fldCharType="separate"/>
      </w:r>
      <w:r>
        <w:rPr>
          <w:noProof/>
        </w:rPr>
        <w:t>226</w:t>
      </w:r>
      <w:r>
        <w:rPr>
          <w:noProof/>
        </w:rPr>
        <w:fldChar w:fldCharType="end"/>
      </w:r>
    </w:p>
    <w:p w14:paraId="01611F13"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7.3.5.</w:t>
      </w:r>
      <w:r>
        <w:rPr>
          <w:rFonts w:eastAsiaTheme="minorEastAsia" w:cstheme="minorBidi"/>
          <w:noProof/>
          <w:sz w:val="24"/>
          <w:szCs w:val="24"/>
          <w:lang w:val="en-US" w:eastAsia="ja-JP"/>
        </w:rPr>
        <w:tab/>
      </w:r>
      <w:r>
        <w:rPr>
          <w:noProof/>
        </w:rPr>
        <w:t>Qualitative data collection: focus groups</w:t>
      </w:r>
      <w:r>
        <w:rPr>
          <w:noProof/>
        </w:rPr>
        <w:tab/>
      </w:r>
      <w:r>
        <w:rPr>
          <w:noProof/>
        </w:rPr>
        <w:fldChar w:fldCharType="begin"/>
      </w:r>
      <w:r>
        <w:rPr>
          <w:noProof/>
        </w:rPr>
        <w:instrText xml:space="preserve"> PAGEREF _Toc419116179 \h </w:instrText>
      </w:r>
      <w:r>
        <w:rPr>
          <w:noProof/>
        </w:rPr>
      </w:r>
      <w:r>
        <w:rPr>
          <w:noProof/>
        </w:rPr>
        <w:fldChar w:fldCharType="separate"/>
      </w:r>
      <w:r>
        <w:rPr>
          <w:noProof/>
        </w:rPr>
        <w:t>226</w:t>
      </w:r>
      <w:r>
        <w:rPr>
          <w:noProof/>
        </w:rPr>
        <w:fldChar w:fldCharType="end"/>
      </w:r>
    </w:p>
    <w:p w14:paraId="05F1C677"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7.3.6.</w:t>
      </w:r>
      <w:r>
        <w:rPr>
          <w:rFonts w:eastAsiaTheme="minorEastAsia" w:cstheme="minorBidi"/>
          <w:noProof/>
          <w:sz w:val="24"/>
          <w:szCs w:val="24"/>
          <w:lang w:val="en-US" w:eastAsia="ja-JP"/>
        </w:rPr>
        <w:tab/>
      </w:r>
      <w:r>
        <w:rPr>
          <w:noProof/>
        </w:rPr>
        <w:t>Qualitative data collection: Interviews with national simulation and medical education experts</w:t>
      </w:r>
      <w:r>
        <w:rPr>
          <w:noProof/>
        </w:rPr>
        <w:tab/>
      </w:r>
      <w:r>
        <w:rPr>
          <w:noProof/>
        </w:rPr>
        <w:fldChar w:fldCharType="begin"/>
      </w:r>
      <w:r>
        <w:rPr>
          <w:noProof/>
        </w:rPr>
        <w:instrText xml:space="preserve"> PAGEREF _Toc419116180 \h </w:instrText>
      </w:r>
      <w:r>
        <w:rPr>
          <w:noProof/>
        </w:rPr>
      </w:r>
      <w:r>
        <w:rPr>
          <w:noProof/>
        </w:rPr>
        <w:fldChar w:fldCharType="separate"/>
      </w:r>
      <w:r>
        <w:rPr>
          <w:noProof/>
        </w:rPr>
        <w:t>227</w:t>
      </w:r>
      <w:r>
        <w:rPr>
          <w:noProof/>
        </w:rPr>
        <w:fldChar w:fldCharType="end"/>
      </w:r>
    </w:p>
    <w:p w14:paraId="27577D4E"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7.3.7.</w:t>
      </w:r>
      <w:r>
        <w:rPr>
          <w:rFonts w:eastAsiaTheme="minorEastAsia" w:cstheme="minorBidi"/>
          <w:noProof/>
          <w:sz w:val="24"/>
          <w:szCs w:val="24"/>
          <w:lang w:val="en-US" w:eastAsia="ja-JP"/>
        </w:rPr>
        <w:tab/>
      </w:r>
      <w:r>
        <w:rPr>
          <w:noProof/>
        </w:rPr>
        <w:t>Thematic analysis using framework to triangulate data</w:t>
      </w:r>
      <w:r>
        <w:rPr>
          <w:noProof/>
        </w:rPr>
        <w:tab/>
      </w:r>
      <w:r>
        <w:rPr>
          <w:noProof/>
        </w:rPr>
        <w:fldChar w:fldCharType="begin"/>
      </w:r>
      <w:r>
        <w:rPr>
          <w:noProof/>
        </w:rPr>
        <w:instrText xml:space="preserve"> PAGEREF _Toc419116181 \h </w:instrText>
      </w:r>
      <w:r>
        <w:rPr>
          <w:noProof/>
        </w:rPr>
      </w:r>
      <w:r>
        <w:rPr>
          <w:noProof/>
        </w:rPr>
        <w:fldChar w:fldCharType="separate"/>
      </w:r>
      <w:r>
        <w:rPr>
          <w:noProof/>
        </w:rPr>
        <w:t>236</w:t>
      </w:r>
      <w:r>
        <w:rPr>
          <w:noProof/>
        </w:rPr>
        <w:fldChar w:fldCharType="end"/>
      </w:r>
    </w:p>
    <w:p w14:paraId="626ECF8A" w14:textId="77777777" w:rsidR="00AC7474" w:rsidRPr="00EE4DE7" w:rsidRDefault="00AC7474">
      <w:pPr>
        <w:pStyle w:val="TOC2"/>
        <w:tabs>
          <w:tab w:val="left" w:pos="843"/>
          <w:tab w:val="right" w:leader="dot" w:pos="8488"/>
        </w:tabs>
        <w:rPr>
          <w:rFonts w:eastAsiaTheme="minorEastAsia" w:cstheme="minorBidi"/>
          <w:b w:val="0"/>
          <w:noProof/>
          <w:sz w:val="24"/>
          <w:szCs w:val="24"/>
          <w:lang w:val="fr-FR" w:eastAsia="ja-JP"/>
        </w:rPr>
      </w:pPr>
      <w:r w:rsidRPr="00EE4DE7">
        <w:rPr>
          <w:noProof/>
          <w:lang w:val="fr-FR"/>
        </w:rPr>
        <w:t>7.4.</w:t>
      </w:r>
      <w:r w:rsidRPr="00EE4DE7">
        <w:rPr>
          <w:rFonts w:eastAsiaTheme="minorEastAsia" w:cstheme="minorBidi"/>
          <w:b w:val="0"/>
          <w:noProof/>
          <w:sz w:val="24"/>
          <w:szCs w:val="24"/>
          <w:lang w:val="fr-FR" w:eastAsia="ja-JP"/>
        </w:rPr>
        <w:tab/>
      </w:r>
      <w:r w:rsidRPr="00EE4DE7">
        <w:rPr>
          <w:noProof/>
          <w:lang w:val="fr-FR"/>
        </w:rPr>
        <w:t>Part II: Results: Quantitative</w:t>
      </w:r>
      <w:r w:rsidRPr="00EE4DE7">
        <w:rPr>
          <w:noProof/>
          <w:lang w:val="fr-FR"/>
        </w:rPr>
        <w:tab/>
      </w:r>
      <w:r>
        <w:rPr>
          <w:noProof/>
        </w:rPr>
        <w:fldChar w:fldCharType="begin"/>
      </w:r>
      <w:r w:rsidRPr="00EE4DE7">
        <w:rPr>
          <w:noProof/>
          <w:lang w:val="fr-FR"/>
        </w:rPr>
        <w:instrText xml:space="preserve"> PAGEREF _Toc419116182 \h </w:instrText>
      </w:r>
      <w:r>
        <w:rPr>
          <w:noProof/>
        </w:rPr>
      </w:r>
      <w:r>
        <w:rPr>
          <w:noProof/>
        </w:rPr>
        <w:fldChar w:fldCharType="separate"/>
      </w:r>
      <w:r w:rsidRPr="00EE4DE7">
        <w:rPr>
          <w:noProof/>
          <w:lang w:val="fr-FR"/>
        </w:rPr>
        <w:t>241</w:t>
      </w:r>
      <w:r>
        <w:rPr>
          <w:noProof/>
        </w:rPr>
        <w:fldChar w:fldCharType="end"/>
      </w:r>
    </w:p>
    <w:p w14:paraId="501CD682" w14:textId="77777777" w:rsidR="00AC7474" w:rsidRPr="00EE4DE7" w:rsidRDefault="00AC7474">
      <w:pPr>
        <w:pStyle w:val="TOC3"/>
        <w:tabs>
          <w:tab w:val="left" w:pos="1221"/>
          <w:tab w:val="right" w:leader="dot" w:pos="8488"/>
        </w:tabs>
        <w:rPr>
          <w:rFonts w:eastAsiaTheme="minorEastAsia" w:cstheme="minorBidi"/>
          <w:noProof/>
          <w:sz w:val="24"/>
          <w:szCs w:val="24"/>
          <w:lang w:val="fr-FR" w:eastAsia="ja-JP"/>
        </w:rPr>
      </w:pPr>
      <w:r w:rsidRPr="00EE4DE7">
        <w:rPr>
          <w:noProof/>
          <w:lang w:val="fr-FR"/>
        </w:rPr>
        <w:t>7.4.1.</w:t>
      </w:r>
      <w:r w:rsidRPr="00EE4DE7">
        <w:rPr>
          <w:rFonts w:eastAsiaTheme="minorEastAsia" w:cstheme="minorBidi"/>
          <w:noProof/>
          <w:sz w:val="24"/>
          <w:szCs w:val="24"/>
          <w:lang w:val="fr-FR" w:eastAsia="ja-JP"/>
        </w:rPr>
        <w:tab/>
      </w:r>
      <w:r w:rsidRPr="00EE4DE7">
        <w:rPr>
          <w:noProof/>
          <w:lang w:val="fr-FR"/>
        </w:rPr>
        <w:t>Descriptive statistics</w:t>
      </w:r>
      <w:r w:rsidRPr="00EE4DE7">
        <w:rPr>
          <w:noProof/>
          <w:lang w:val="fr-FR"/>
        </w:rPr>
        <w:tab/>
      </w:r>
      <w:r>
        <w:rPr>
          <w:noProof/>
        </w:rPr>
        <w:fldChar w:fldCharType="begin"/>
      </w:r>
      <w:r w:rsidRPr="00EE4DE7">
        <w:rPr>
          <w:noProof/>
          <w:lang w:val="fr-FR"/>
        </w:rPr>
        <w:instrText xml:space="preserve"> PAGEREF _Toc419116183 \h </w:instrText>
      </w:r>
      <w:r>
        <w:rPr>
          <w:noProof/>
        </w:rPr>
      </w:r>
      <w:r>
        <w:rPr>
          <w:noProof/>
        </w:rPr>
        <w:fldChar w:fldCharType="separate"/>
      </w:r>
      <w:r w:rsidRPr="00EE4DE7">
        <w:rPr>
          <w:noProof/>
          <w:lang w:val="fr-FR"/>
        </w:rPr>
        <w:t>241</w:t>
      </w:r>
      <w:r>
        <w:rPr>
          <w:noProof/>
        </w:rPr>
        <w:fldChar w:fldCharType="end"/>
      </w:r>
    </w:p>
    <w:p w14:paraId="7D5E14A3"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lastRenderedPageBreak/>
        <w:t>7.4.2.</w:t>
      </w:r>
      <w:r>
        <w:rPr>
          <w:rFonts w:eastAsiaTheme="minorEastAsia" w:cstheme="minorBidi"/>
          <w:noProof/>
          <w:sz w:val="24"/>
          <w:szCs w:val="24"/>
          <w:lang w:val="en-US" w:eastAsia="ja-JP"/>
        </w:rPr>
        <w:tab/>
      </w:r>
      <w:r>
        <w:rPr>
          <w:noProof/>
        </w:rPr>
        <w:t>Principal Component Analysis and Factor Analysis</w:t>
      </w:r>
      <w:r>
        <w:rPr>
          <w:noProof/>
        </w:rPr>
        <w:tab/>
      </w:r>
      <w:r>
        <w:rPr>
          <w:noProof/>
        </w:rPr>
        <w:fldChar w:fldCharType="begin"/>
      </w:r>
      <w:r>
        <w:rPr>
          <w:noProof/>
        </w:rPr>
        <w:instrText xml:space="preserve"> PAGEREF _Toc419116184 \h </w:instrText>
      </w:r>
      <w:r>
        <w:rPr>
          <w:noProof/>
        </w:rPr>
      </w:r>
      <w:r>
        <w:rPr>
          <w:noProof/>
        </w:rPr>
        <w:fldChar w:fldCharType="separate"/>
      </w:r>
      <w:r>
        <w:rPr>
          <w:noProof/>
        </w:rPr>
        <w:t>254</w:t>
      </w:r>
      <w:r>
        <w:rPr>
          <w:noProof/>
        </w:rPr>
        <w:fldChar w:fldCharType="end"/>
      </w:r>
    </w:p>
    <w:p w14:paraId="1D4AA222"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7.4.3.</w:t>
      </w:r>
      <w:r>
        <w:rPr>
          <w:rFonts w:eastAsiaTheme="minorEastAsia" w:cstheme="minorBidi"/>
          <w:noProof/>
          <w:sz w:val="24"/>
          <w:szCs w:val="24"/>
          <w:lang w:val="en-US" w:eastAsia="ja-JP"/>
        </w:rPr>
        <w:tab/>
      </w:r>
      <w:r>
        <w:rPr>
          <w:noProof/>
        </w:rPr>
        <w:t>Distribution – tests for normality focusing on overall pre-course confidence</w:t>
      </w:r>
      <w:r>
        <w:rPr>
          <w:noProof/>
        </w:rPr>
        <w:tab/>
      </w:r>
      <w:r>
        <w:rPr>
          <w:noProof/>
        </w:rPr>
        <w:fldChar w:fldCharType="begin"/>
      </w:r>
      <w:r>
        <w:rPr>
          <w:noProof/>
        </w:rPr>
        <w:instrText xml:space="preserve"> PAGEREF _Toc419116185 \h </w:instrText>
      </w:r>
      <w:r>
        <w:rPr>
          <w:noProof/>
        </w:rPr>
      </w:r>
      <w:r>
        <w:rPr>
          <w:noProof/>
        </w:rPr>
        <w:fldChar w:fldCharType="separate"/>
      </w:r>
      <w:r>
        <w:rPr>
          <w:noProof/>
        </w:rPr>
        <w:t>257</w:t>
      </w:r>
      <w:r>
        <w:rPr>
          <w:noProof/>
        </w:rPr>
        <w:fldChar w:fldCharType="end"/>
      </w:r>
    </w:p>
    <w:p w14:paraId="533AC200"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7.4.4.</w:t>
      </w:r>
      <w:r>
        <w:rPr>
          <w:rFonts w:eastAsiaTheme="minorEastAsia" w:cstheme="minorBidi"/>
          <w:noProof/>
          <w:sz w:val="24"/>
          <w:szCs w:val="24"/>
          <w:lang w:val="en-US" w:eastAsia="ja-JP"/>
        </w:rPr>
        <w:tab/>
      </w:r>
      <w:r>
        <w:rPr>
          <w:noProof/>
        </w:rPr>
        <w:t>ANOVA</w:t>
      </w:r>
      <w:r>
        <w:rPr>
          <w:noProof/>
        </w:rPr>
        <w:tab/>
      </w:r>
      <w:r>
        <w:rPr>
          <w:noProof/>
        </w:rPr>
        <w:fldChar w:fldCharType="begin"/>
      </w:r>
      <w:r>
        <w:rPr>
          <w:noProof/>
        </w:rPr>
        <w:instrText xml:space="preserve"> PAGEREF _Toc419116186 \h </w:instrText>
      </w:r>
      <w:r>
        <w:rPr>
          <w:noProof/>
        </w:rPr>
      </w:r>
      <w:r>
        <w:rPr>
          <w:noProof/>
        </w:rPr>
        <w:fldChar w:fldCharType="separate"/>
      </w:r>
      <w:r>
        <w:rPr>
          <w:noProof/>
        </w:rPr>
        <w:t>258</w:t>
      </w:r>
      <w:r>
        <w:rPr>
          <w:noProof/>
        </w:rPr>
        <w:fldChar w:fldCharType="end"/>
      </w:r>
    </w:p>
    <w:p w14:paraId="10315710"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7.4.5.</w:t>
      </w:r>
      <w:r>
        <w:rPr>
          <w:rFonts w:eastAsiaTheme="minorEastAsia" w:cstheme="minorBidi"/>
          <w:noProof/>
          <w:sz w:val="24"/>
          <w:szCs w:val="24"/>
          <w:lang w:val="en-US" w:eastAsia="ja-JP"/>
        </w:rPr>
        <w:tab/>
      </w:r>
      <w:r>
        <w:rPr>
          <w:noProof/>
        </w:rPr>
        <w:t>Analysis of missing values</w:t>
      </w:r>
      <w:r>
        <w:rPr>
          <w:noProof/>
        </w:rPr>
        <w:tab/>
      </w:r>
      <w:r>
        <w:rPr>
          <w:noProof/>
        </w:rPr>
        <w:fldChar w:fldCharType="begin"/>
      </w:r>
      <w:r>
        <w:rPr>
          <w:noProof/>
        </w:rPr>
        <w:instrText xml:space="preserve"> PAGEREF _Toc419116187 \h </w:instrText>
      </w:r>
      <w:r>
        <w:rPr>
          <w:noProof/>
        </w:rPr>
      </w:r>
      <w:r>
        <w:rPr>
          <w:noProof/>
        </w:rPr>
        <w:fldChar w:fldCharType="separate"/>
      </w:r>
      <w:r>
        <w:rPr>
          <w:noProof/>
        </w:rPr>
        <w:t>261</w:t>
      </w:r>
      <w:r>
        <w:rPr>
          <w:noProof/>
        </w:rPr>
        <w:fldChar w:fldCharType="end"/>
      </w:r>
    </w:p>
    <w:p w14:paraId="4FE5CB37"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7.4.6.</w:t>
      </w:r>
      <w:r>
        <w:rPr>
          <w:rFonts w:eastAsiaTheme="minorEastAsia" w:cstheme="minorBidi"/>
          <w:noProof/>
          <w:sz w:val="24"/>
          <w:szCs w:val="24"/>
          <w:lang w:val="en-US" w:eastAsia="ja-JP"/>
        </w:rPr>
        <w:tab/>
      </w:r>
      <w:r>
        <w:rPr>
          <w:noProof/>
        </w:rPr>
        <w:t>Correlations: Confidence and Performance</w:t>
      </w:r>
      <w:r>
        <w:rPr>
          <w:noProof/>
        </w:rPr>
        <w:tab/>
      </w:r>
      <w:r>
        <w:rPr>
          <w:noProof/>
        </w:rPr>
        <w:fldChar w:fldCharType="begin"/>
      </w:r>
      <w:r>
        <w:rPr>
          <w:noProof/>
        </w:rPr>
        <w:instrText xml:space="preserve"> PAGEREF _Toc419116188 \h </w:instrText>
      </w:r>
      <w:r>
        <w:rPr>
          <w:noProof/>
        </w:rPr>
      </w:r>
      <w:r>
        <w:rPr>
          <w:noProof/>
        </w:rPr>
        <w:fldChar w:fldCharType="separate"/>
      </w:r>
      <w:r>
        <w:rPr>
          <w:noProof/>
        </w:rPr>
        <w:t>262</w:t>
      </w:r>
      <w:r>
        <w:rPr>
          <w:noProof/>
        </w:rPr>
        <w:fldChar w:fldCharType="end"/>
      </w:r>
    </w:p>
    <w:p w14:paraId="3DB1E4FB"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7.5.</w:t>
      </w:r>
      <w:r>
        <w:rPr>
          <w:rFonts w:eastAsiaTheme="minorEastAsia" w:cstheme="minorBidi"/>
          <w:b w:val="0"/>
          <w:noProof/>
          <w:sz w:val="24"/>
          <w:szCs w:val="24"/>
          <w:lang w:val="en-US" w:eastAsia="ja-JP"/>
        </w:rPr>
        <w:tab/>
      </w:r>
      <w:r>
        <w:rPr>
          <w:noProof/>
        </w:rPr>
        <w:t>Part II: Results: Qualitative: focus groups</w:t>
      </w:r>
      <w:r>
        <w:rPr>
          <w:noProof/>
        </w:rPr>
        <w:tab/>
      </w:r>
      <w:r>
        <w:rPr>
          <w:noProof/>
        </w:rPr>
        <w:fldChar w:fldCharType="begin"/>
      </w:r>
      <w:r>
        <w:rPr>
          <w:noProof/>
        </w:rPr>
        <w:instrText xml:space="preserve"> PAGEREF _Toc419116189 \h </w:instrText>
      </w:r>
      <w:r>
        <w:rPr>
          <w:noProof/>
        </w:rPr>
      </w:r>
      <w:r>
        <w:rPr>
          <w:noProof/>
        </w:rPr>
        <w:fldChar w:fldCharType="separate"/>
      </w:r>
      <w:r>
        <w:rPr>
          <w:noProof/>
        </w:rPr>
        <w:t>267</w:t>
      </w:r>
      <w:r>
        <w:rPr>
          <w:noProof/>
        </w:rPr>
        <w:fldChar w:fldCharType="end"/>
      </w:r>
    </w:p>
    <w:p w14:paraId="6CAA4F84"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7.6.</w:t>
      </w:r>
      <w:r>
        <w:rPr>
          <w:rFonts w:eastAsiaTheme="minorEastAsia" w:cstheme="minorBidi"/>
          <w:b w:val="0"/>
          <w:noProof/>
          <w:sz w:val="24"/>
          <w:szCs w:val="24"/>
          <w:lang w:val="en-US" w:eastAsia="ja-JP"/>
        </w:rPr>
        <w:tab/>
      </w:r>
      <w:r>
        <w:rPr>
          <w:noProof/>
        </w:rPr>
        <w:t>Part II: Results: Qualitative: Interviews</w:t>
      </w:r>
      <w:r>
        <w:rPr>
          <w:noProof/>
        </w:rPr>
        <w:tab/>
      </w:r>
      <w:r>
        <w:rPr>
          <w:noProof/>
        </w:rPr>
        <w:fldChar w:fldCharType="begin"/>
      </w:r>
      <w:r>
        <w:rPr>
          <w:noProof/>
        </w:rPr>
        <w:instrText xml:space="preserve"> PAGEREF _Toc419116190 \h </w:instrText>
      </w:r>
      <w:r>
        <w:rPr>
          <w:noProof/>
        </w:rPr>
      </w:r>
      <w:r>
        <w:rPr>
          <w:noProof/>
        </w:rPr>
        <w:fldChar w:fldCharType="separate"/>
      </w:r>
      <w:r>
        <w:rPr>
          <w:noProof/>
        </w:rPr>
        <w:t>275</w:t>
      </w:r>
      <w:r>
        <w:rPr>
          <w:noProof/>
        </w:rPr>
        <w:fldChar w:fldCharType="end"/>
      </w:r>
    </w:p>
    <w:p w14:paraId="5CB96F17"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7.6.1.</w:t>
      </w:r>
      <w:r>
        <w:rPr>
          <w:rFonts w:eastAsiaTheme="minorEastAsia" w:cstheme="minorBidi"/>
          <w:noProof/>
          <w:sz w:val="24"/>
          <w:szCs w:val="24"/>
          <w:lang w:val="en-US" w:eastAsia="ja-JP"/>
        </w:rPr>
        <w:tab/>
      </w:r>
      <w:r>
        <w:rPr>
          <w:noProof/>
        </w:rPr>
        <w:t>Preparedness</w:t>
      </w:r>
      <w:r>
        <w:rPr>
          <w:noProof/>
        </w:rPr>
        <w:tab/>
      </w:r>
      <w:r>
        <w:rPr>
          <w:noProof/>
        </w:rPr>
        <w:fldChar w:fldCharType="begin"/>
      </w:r>
      <w:r>
        <w:rPr>
          <w:noProof/>
        </w:rPr>
        <w:instrText xml:space="preserve"> PAGEREF _Toc419116191 \h </w:instrText>
      </w:r>
      <w:r>
        <w:rPr>
          <w:noProof/>
        </w:rPr>
      </w:r>
      <w:r>
        <w:rPr>
          <w:noProof/>
        </w:rPr>
        <w:fldChar w:fldCharType="separate"/>
      </w:r>
      <w:r>
        <w:rPr>
          <w:noProof/>
        </w:rPr>
        <w:t>275</w:t>
      </w:r>
      <w:r>
        <w:rPr>
          <w:noProof/>
        </w:rPr>
        <w:fldChar w:fldCharType="end"/>
      </w:r>
    </w:p>
    <w:p w14:paraId="50E7B42C" w14:textId="77777777" w:rsidR="00AC7474" w:rsidRDefault="00AC7474">
      <w:pPr>
        <w:pStyle w:val="TOC1"/>
        <w:tabs>
          <w:tab w:val="left" w:pos="438"/>
          <w:tab w:val="right" w:leader="dot" w:pos="8488"/>
        </w:tabs>
        <w:rPr>
          <w:rFonts w:eastAsiaTheme="minorEastAsia" w:cstheme="minorBidi"/>
          <w:b w:val="0"/>
          <w:noProof/>
          <w:lang w:val="en-US" w:eastAsia="ja-JP"/>
        </w:rPr>
      </w:pPr>
      <w:r w:rsidRPr="0093730D">
        <w:rPr>
          <w:noProof/>
        </w:rPr>
        <w:t>8.</w:t>
      </w:r>
      <w:r>
        <w:rPr>
          <w:rFonts w:eastAsiaTheme="minorEastAsia" w:cstheme="minorBidi"/>
          <w:b w:val="0"/>
          <w:noProof/>
          <w:lang w:val="en-US" w:eastAsia="ja-JP"/>
        </w:rPr>
        <w:tab/>
      </w:r>
      <w:r>
        <w:rPr>
          <w:noProof/>
        </w:rPr>
        <w:t>Chapter 8 Data triangulation</w:t>
      </w:r>
      <w:r>
        <w:rPr>
          <w:noProof/>
        </w:rPr>
        <w:tab/>
      </w:r>
      <w:r>
        <w:rPr>
          <w:noProof/>
        </w:rPr>
        <w:fldChar w:fldCharType="begin"/>
      </w:r>
      <w:r>
        <w:rPr>
          <w:noProof/>
        </w:rPr>
        <w:instrText xml:space="preserve"> PAGEREF _Toc419116192 \h </w:instrText>
      </w:r>
      <w:r>
        <w:rPr>
          <w:noProof/>
        </w:rPr>
      </w:r>
      <w:r>
        <w:rPr>
          <w:noProof/>
        </w:rPr>
        <w:fldChar w:fldCharType="separate"/>
      </w:r>
      <w:r>
        <w:rPr>
          <w:noProof/>
        </w:rPr>
        <w:t>282</w:t>
      </w:r>
      <w:r>
        <w:rPr>
          <w:noProof/>
        </w:rPr>
        <w:fldChar w:fldCharType="end"/>
      </w:r>
    </w:p>
    <w:p w14:paraId="63F7EE9F"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8.1.</w:t>
      </w:r>
      <w:r>
        <w:rPr>
          <w:rFonts w:eastAsiaTheme="minorEastAsia" w:cstheme="minorBidi"/>
          <w:b w:val="0"/>
          <w:noProof/>
          <w:sz w:val="24"/>
          <w:szCs w:val="24"/>
          <w:lang w:val="en-US" w:eastAsia="ja-JP"/>
        </w:rPr>
        <w:tab/>
      </w:r>
      <w:r>
        <w:rPr>
          <w:noProof/>
        </w:rPr>
        <w:t>Introduction</w:t>
      </w:r>
      <w:r>
        <w:rPr>
          <w:noProof/>
        </w:rPr>
        <w:tab/>
      </w:r>
      <w:r>
        <w:rPr>
          <w:noProof/>
        </w:rPr>
        <w:fldChar w:fldCharType="begin"/>
      </w:r>
      <w:r>
        <w:rPr>
          <w:noProof/>
        </w:rPr>
        <w:instrText xml:space="preserve"> PAGEREF _Toc419116193 \h </w:instrText>
      </w:r>
      <w:r>
        <w:rPr>
          <w:noProof/>
        </w:rPr>
      </w:r>
      <w:r>
        <w:rPr>
          <w:noProof/>
        </w:rPr>
        <w:fldChar w:fldCharType="separate"/>
      </w:r>
      <w:r>
        <w:rPr>
          <w:noProof/>
        </w:rPr>
        <w:t>283</w:t>
      </w:r>
      <w:r>
        <w:rPr>
          <w:noProof/>
        </w:rPr>
        <w:fldChar w:fldCharType="end"/>
      </w:r>
    </w:p>
    <w:p w14:paraId="398A4685"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8.1.1.</w:t>
      </w:r>
      <w:r>
        <w:rPr>
          <w:rFonts w:eastAsiaTheme="minorEastAsia" w:cstheme="minorBidi"/>
          <w:noProof/>
          <w:sz w:val="24"/>
          <w:szCs w:val="24"/>
          <w:lang w:val="en-US" w:eastAsia="ja-JP"/>
        </w:rPr>
        <w:tab/>
      </w:r>
      <w:r>
        <w:rPr>
          <w:noProof/>
        </w:rPr>
        <w:t>Theme 1: Understanding preparedness</w:t>
      </w:r>
      <w:r>
        <w:rPr>
          <w:noProof/>
        </w:rPr>
        <w:tab/>
      </w:r>
      <w:r>
        <w:rPr>
          <w:noProof/>
        </w:rPr>
        <w:fldChar w:fldCharType="begin"/>
      </w:r>
      <w:r>
        <w:rPr>
          <w:noProof/>
        </w:rPr>
        <w:instrText xml:space="preserve"> PAGEREF _Toc419116194 \h </w:instrText>
      </w:r>
      <w:r>
        <w:rPr>
          <w:noProof/>
        </w:rPr>
      </w:r>
      <w:r>
        <w:rPr>
          <w:noProof/>
        </w:rPr>
        <w:fldChar w:fldCharType="separate"/>
      </w:r>
      <w:r>
        <w:rPr>
          <w:noProof/>
        </w:rPr>
        <w:t>285</w:t>
      </w:r>
      <w:r>
        <w:rPr>
          <w:noProof/>
        </w:rPr>
        <w:fldChar w:fldCharType="end"/>
      </w:r>
    </w:p>
    <w:p w14:paraId="08C0205B"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8.2.</w:t>
      </w:r>
      <w:r>
        <w:rPr>
          <w:rFonts w:eastAsiaTheme="minorEastAsia" w:cstheme="minorBidi"/>
          <w:b w:val="0"/>
          <w:noProof/>
          <w:sz w:val="24"/>
          <w:szCs w:val="24"/>
          <w:lang w:val="en-US" w:eastAsia="ja-JP"/>
        </w:rPr>
        <w:tab/>
      </w:r>
      <w:r>
        <w:rPr>
          <w:noProof/>
        </w:rPr>
        <w:t>Theme 2: Preparing students for clinical practice</w:t>
      </w:r>
      <w:r>
        <w:rPr>
          <w:noProof/>
        </w:rPr>
        <w:tab/>
      </w:r>
      <w:r>
        <w:rPr>
          <w:noProof/>
        </w:rPr>
        <w:fldChar w:fldCharType="begin"/>
      </w:r>
      <w:r>
        <w:rPr>
          <w:noProof/>
        </w:rPr>
        <w:instrText xml:space="preserve"> PAGEREF _Toc419116195 \h </w:instrText>
      </w:r>
      <w:r>
        <w:rPr>
          <w:noProof/>
        </w:rPr>
      </w:r>
      <w:r>
        <w:rPr>
          <w:noProof/>
        </w:rPr>
        <w:fldChar w:fldCharType="separate"/>
      </w:r>
      <w:r>
        <w:rPr>
          <w:noProof/>
        </w:rPr>
        <w:t>295</w:t>
      </w:r>
      <w:r>
        <w:rPr>
          <w:noProof/>
        </w:rPr>
        <w:fldChar w:fldCharType="end"/>
      </w:r>
    </w:p>
    <w:p w14:paraId="4DA5F3D6"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8.2.1.</w:t>
      </w:r>
      <w:r>
        <w:rPr>
          <w:rFonts w:eastAsiaTheme="minorEastAsia" w:cstheme="minorBidi"/>
          <w:noProof/>
          <w:sz w:val="24"/>
          <w:szCs w:val="24"/>
          <w:lang w:val="en-US" w:eastAsia="ja-JP"/>
        </w:rPr>
        <w:tab/>
      </w:r>
      <w:r>
        <w:rPr>
          <w:noProof/>
        </w:rPr>
        <w:t>Practice under pressure</w:t>
      </w:r>
      <w:r>
        <w:rPr>
          <w:noProof/>
        </w:rPr>
        <w:tab/>
      </w:r>
      <w:r>
        <w:rPr>
          <w:noProof/>
        </w:rPr>
        <w:fldChar w:fldCharType="begin"/>
      </w:r>
      <w:r>
        <w:rPr>
          <w:noProof/>
        </w:rPr>
        <w:instrText xml:space="preserve"> PAGEREF _Toc419116196 \h </w:instrText>
      </w:r>
      <w:r>
        <w:rPr>
          <w:noProof/>
        </w:rPr>
      </w:r>
      <w:r>
        <w:rPr>
          <w:noProof/>
        </w:rPr>
        <w:fldChar w:fldCharType="separate"/>
      </w:r>
      <w:r>
        <w:rPr>
          <w:noProof/>
        </w:rPr>
        <w:t>297</w:t>
      </w:r>
      <w:r>
        <w:rPr>
          <w:noProof/>
        </w:rPr>
        <w:fldChar w:fldCharType="end"/>
      </w:r>
    </w:p>
    <w:p w14:paraId="72883C18"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8.2.2.</w:t>
      </w:r>
      <w:r>
        <w:rPr>
          <w:rFonts w:eastAsiaTheme="minorEastAsia" w:cstheme="minorBidi"/>
          <w:noProof/>
          <w:sz w:val="24"/>
          <w:szCs w:val="24"/>
          <w:lang w:val="en-US" w:eastAsia="ja-JP"/>
        </w:rPr>
        <w:tab/>
      </w:r>
      <w:r>
        <w:rPr>
          <w:noProof/>
        </w:rPr>
        <w:t>Human factors</w:t>
      </w:r>
      <w:r>
        <w:rPr>
          <w:noProof/>
        </w:rPr>
        <w:tab/>
      </w:r>
      <w:r>
        <w:rPr>
          <w:noProof/>
        </w:rPr>
        <w:fldChar w:fldCharType="begin"/>
      </w:r>
      <w:r>
        <w:rPr>
          <w:noProof/>
        </w:rPr>
        <w:instrText xml:space="preserve"> PAGEREF _Toc419116197 \h </w:instrText>
      </w:r>
      <w:r>
        <w:rPr>
          <w:noProof/>
        </w:rPr>
      </w:r>
      <w:r>
        <w:rPr>
          <w:noProof/>
        </w:rPr>
        <w:fldChar w:fldCharType="separate"/>
      </w:r>
      <w:r>
        <w:rPr>
          <w:noProof/>
        </w:rPr>
        <w:t>325</w:t>
      </w:r>
      <w:r>
        <w:rPr>
          <w:noProof/>
        </w:rPr>
        <w:fldChar w:fldCharType="end"/>
      </w:r>
    </w:p>
    <w:p w14:paraId="6F765F60"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8.2.3.</w:t>
      </w:r>
      <w:r>
        <w:rPr>
          <w:rFonts w:eastAsiaTheme="minorEastAsia" w:cstheme="minorBidi"/>
          <w:noProof/>
          <w:sz w:val="24"/>
          <w:szCs w:val="24"/>
          <w:lang w:val="en-US" w:eastAsia="ja-JP"/>
        </w:rPr>
        <w:tab/>
      </w:r>
      <w:r>
        <w:rPr>
          <w:noProof/>
        </w:rPr>
        <w:t>Experiences</w:t>
      </w:r>
      <w:r>
        <w:rPr>
          <w:noProof/>
        </w:rPr>
        <w:tab/>
      </w:r>
      <w:r>
        <w:rPr>
          <w:noProof/>
        </w:rPr>
        <w:fldChar w:fldCharType="begin"/>
      </w:r>
      <w:r>
        <w:rPr>
          <w:noProof/>
        </w:rPr>
        <w:instrText xml:space="preserve"> PAGEREF _Toc419116198 \h </w:instrText>
      </w:r>
      <w:r>
        <w:rPr>
          <w:noProof/>
        </w:rPr>
      </w:r>
      <w:r>
        <w:rPr>
          <w:noProof/>
        </w:rPr>
        <w:fldChar w:fldCharType="separate"/>
      </w:r>
      <w:r>
        <w:rPr>
          <w:noProof/>
        </w:rPr>
        <w:t>350</w:t>
      </w:r>
      <w:r>
        <w:rPr>
          <w:noProof/>
        </w:rPr>
        <w:fldChar w:fldCharType="end"/>
      </w:r>
    </w:p>
    <w:p w14:paraId="2B35CD0E"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8.2.4.</w:t>
      </w:r>
      <w:r>
        <w:rPr>
          <w:rFonts w:eastAsiaTheme="minorEastAsia" w:cstheme="minorBidi"/>
          <w:noProof/>
          <w:sz w:val="24"/>
          <w:szCs w:val="24"/>
          <w:lang w:val="en-US" w:eastAsia="ja-JP"/>
        </w:rPr>
        <w:tab/>
      </w:r>
      <w:r>
        <w:rPr>
          <w:noProof/>
        </w:rPr>
        <w:t>Clinical reasoning and judgment</w:t>
      </w:r>
      <w:r>
        <w:rPr>
          <w:noProof/>
        </w:rPr>
        <w:tab/>
      </w:r>
      <w:r>
        <w:rPr>
          <w:noProof/>
        </w:rPr>
        <w:fldChar w:fldCharType="begin"/>
      </w:r>
      <w:r>
        <w:rPr>
          <w:noProof/>
        </w:rPr>
        <w:instrText xml:space="preserve"> PAGEREF _Toc419116199 \h </w:instrText>
      </w:r>
      <w:r>
        <w:rPr>
          <w:noProof/>
        </w:rPr>
      </w:r>
      <w:r>
        <w:rPr>
          <w:noProof/>
        </w:rPr>
        <w:fldChar w:fldCharType="separate"/>
      </w:r>
      <w:r>
        <w:rPr>
          <w:noProof/>
        </w:rPr>
        <w:t>357</w:t>
      </w:r>
      <w:r>
        <w:rPr>
          <w:noProof/>
        </w:rPr>
        <w:fldChar w:fldCharType="end"/>
      </w:r>
    </w:p>
    <w:p w14:paraId="4A084A35"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8.2.5.</w:t>
      </w:r>
      <w:r>
        <w:rPr>
          <w:rFonts w:eastAsiaTheme="minorEastAsia" w:cstheme="minorBidi"/>
          <w:noProof/>
          <w:sz w:val="24"/>
          <w:szCs w:val="24"/>
          <w:lang w:val="en-US" w:eastAsia="ja-JP"/>
        </w:rPr>
        <w:tab/>
      </w:r>
      <w:r>
        <w:rPr>
          <w:noProof/>
        </w:rPr>
        <w:t>Clinical cognitive competence</w:t>
      </w:r>
      <w:r>
        <w:rPr>
          <w:noProof/>
        </w:rPr>
        <w:tab/>
      </w:r>
      <w:r>
        <w:rPr>
          <w:noProof/>
        </w:rPr>
        <w:fldChar w:fldCharType="begin"/>
      </w:r>
      <w:r>
        <w:rPr>
          <w:noProof/>
        </w:rPr>
        <w:instrText xml:space="preserve"> PAGEREF _Toc419116200 \h </w:instrText>
      </w:r>
      <w:r>
        <w:rPr>
          <w:noProof/>
        </w:rPr>
      </w:r>
      <w:r>
        <w:rPr>
          <w:noProof/>
        </w:rPr>
        <w:fldChar w:fldCharType="separate"/>
      </w:r>
      <w:r>
        <w:rPr>
          <w:noProof/>
        </w:rPr>
        <w:t>364</w:t>
      </w:r>
      <w:r>
        <w:rPr>
          <w:noProof/>
        </w:rPr>
        <w:fldChar w:fldCharType="end"/>
      </w:r>
    </w:p>
    <w:p w14:paraId="3B13AEF7"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8.3.</w:t>
      </w:r>
      <w:r>
        <w:rPr>
          <w:rFonts w:eastAsiaTheme="minorEastAsia" w:cstheme="minorBidi"/>
          <w:b w:val="0"/>
          <w:noProof/>
          <w:sz w:val="24"/>
          <w:szCs w:val="24"/>
          <w:lang w:val="en-US" w:eastAsia="ja-JP"/>
        </w:rPr>
        <w:tab/>
      </w:r>
      <w:r>
        <w:rPr>
          <w:noProof/>
        </w:rPr>
        <w:t>How to design and deliver undergraduate simulation education</w:t>
      </w:r>
      <w:r>
        <w:rPr>
          <w:noProof/>
        </w:rPr>
        <w:tab/>
      </w:r>
      <w:r>
        <w:rPr>
          <w:noProof/>
        </w:rPr>
        <w:fldChar w:fldCharType="begin"/>
      </w:r>
      <w:r>
        <w:rPr>
          <w:noProof/>
        </w:rPr>
        <w:instrText xml:space="preserve"> PAGEREF _Toc419116201 \h </w:instrText>
      </w:r>
      <w:r>
        <w:rPr>
          <w:noProof/>
        </w:rPr>
      </w:r>
      <w:r>
        <w:rPr>
          <w:noProof/>
        </w:rPr>
        <w:fldChar w:fldCharType="separate"/>
      </w:r>
      <w:r>
        <w:rPr>
          <w:noProof/>
        </w:rPr>
        <w:t>375</w:t>
      </w:r>
      <w:r>
        <w:rPr>
          <w:noProof/>
        </w:rPr>
        <w:fldChar w:fldCharType="end"/>
      </w:r>
    </w:p>
    <w:p w14:paraId="7D2C2027" w14:textId="77777777" w:rsidR="00AC7474" w:rsidRDefault="00AC7474">
      <w:pPr>
        <w:pStyle w:val="TOC3"/>
        <w:tabs>
          <w:tab w:val="left" w:pos="1221"/>
          <w:tab w:val="right" w:leader="dot" w:pos="8488"/>
        </w:tabs>
        <w:rPr>
          <w:rFonts w:eastAsiaTheme="minorEastAsia" w:cstheme="minorBidi"/>
          <w:noProof/>
          <w:sz w:val="24"/>
          <w:szCs w:val="24"/>
          <w:lang w:val="en-US" w:eastAsia="ja-JP"/>
        </w:rPr>
      </w:pPr>
      <w:r>
        <w:rPr>
          <w:noProof/>
        </w:rPr>
        <w:t>8.3.1.</w:t>
      </w:r>
      <w:r>
        <w:rPr>
          <w:rFonts w:eastAsiaTheme="minorEastAsia" w:cstheme="minorBidi"/>
          <w:noProof/>
          <w:sz w:val="24"/>
          <w:szCs w:val="24"/>
          <w:lang w:val="en-US" w:eastAsia="ja-JP"/>
        </w:rPr>
        <w:tab/>
      </w:r>
      <w:r>
        <w:rPr>
          <w:noProof/>
        </w:rPr>
        <w:t>The debrief</w:t>
      </w:r>
      <w:r>
        <w:rPr>
          <w:noProof/>
        </w:rPr>
        <w:tab/>
      </w:r>
      <w:r>
        <w:rPr>
          <w:noProof/>
        </w:rPr>
        <w:fldChar w:fldCharType="begin"/>
      </w:r>
      <w:r>
        <w:rPr>
          <w:noProof/>
        </w:rPr>
        <w:instrText xml:space="preserve"> PAGEREF _Toc419116202 \h </w:instrText>
      </w:r>
      <w:r>
        <w:rPr>
          <w:noProof/>
        </w:rPr>
      </w:r>
      <w:r>
        <w:rPr>
          <w:noProof/>
        </w:rPr>
        <w:fldChar w:fldCharType="separate"/>
      </w:r>
      <w:r>
        <w:rPr>
          <w:noProof/>
        </w:rPr>
        <w:t>383</w:t>
      </w:r>
      <w:r>
        <w:rPr>
          <w:noProof/>
        </w:rPr>
        <w:fldChar w:fldCharType="end"/>
      </w:r>
    </w:p>
    <w:p w14:paraId="20DA83FD"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8.4.</w:t>
      </w:r>
      <w:r>
        <w:rPr>
          <w:rFonts w:eastAsiaTheme="minorEastAsia" w:cstheme="minorBidi"/>
          <w:b w:val="0"/>
          <w:noProof/>
          <w:sz w:val="24"/>
          <w:szCs w:val="24"/>
          <w:lang w:val="en-US" w:eastAsia="ja-JP"/>
        </w:rPr>
        <w:tab/>
      </w:r>
      <w:r>
        <w:rPr>
          <w:noProof/>
        </w:rPr>
        <w:t>Summary</w:t>
      </w:r>
      <w:r>
        <w:rPr>
          <w:noProof/>
        </w:rPr>
        <w:tab/>
      </w:r>
      <w:r>
        <w:rPr>
          <w:noProof/>
        </w:rPr>
        <w:fldChar w:fldCharType="begin"/>
      </w:r>
      <w:r>
        <w:rPr>
          <w:noProof/>
        </w:rPr>
        <w:instrText xml:space="preserve"> PAGEREF _Toc419116203 \h </w:instrText>
      </w:r>
      <w:r>
        <w:rPr>
          <w:noProof/>
        </w:rPr>
      </w:r>
      <w:r>
        <w:rPr>
          <w:noProof/>
        </w:rPr>
        <w:fldChar w:fldCharType="separate"/>
      </w:r>
      <w:r>
        <w:rPr>
          <w:noProof/>
        </w:rPr>
        <w:t>388</w:t>
      </w:r>
      <w:r>
        <w:rPr>
          <w:noProof/>
        </w:rPr>
        <w:fldChar w:fldCharType="end"/>
      </w:r>
    </w:p>
    <w:p w14:paraId="7A063249" w14:textId="77777777" w:rsidR="00AC7474" w:rsidRDefault="00AC7474">
      <w:pPr>
        <w:pStyle w:val="TOC1"/>
        <w:tabs>
          <w:tab w:val="left" w:pos="438"/>
          <w:tab w:val="right" w:leader="dot" w:pos="8488"/>
        </w:tabs>
        <w:rPr>
          <w:rFonts w:eastAsiaTheme="minorEastAsia" w:cstheme="minorBidi"/>
          <w:b w:val="0"/>
          <w:noProof/>
          <w:lang w:val="en-US" w:eastAsia="ja-JP"/>
        </w:rPr>
      </w:pPr>
      <w:r w:rsidRPr="0093730D">
        <w:rPr>
          <w:noProof/>
        </w:rPr>
        <w:t>9.</w:t>
      </w:r>
      <w:r>
        <w:rPr>
          <w:rFonts w:eastAsiaTheme="minorEastAsia" w:cstheme="minorBidi"/>
          <w:b w:val="0"/>
          <w:noProof/>
          <w:lang w:val="en-US" w:eastAsia="ja-JP"/>
        </w:rPr>
        <w:tab/>
      </w:r>
      <w:r>
        <w:rPr>
          <w:noProof/>
        </w:rPr>
        <w:t>Chapter 9: Discussion</w:t>
      </w:r>
      <w:r>
        <w:rPr>
          <w:noProof/>
        </w:rPr>
        <w:tab/>
      </w:r>
      <w:r>
        <w:rPr>
          <w:noProof/>
        </w:rPr>
        <w:fldChar w:fldCharType="begin"/>
      </w:r>
      <w:r>
        <w:rPr>
          <w:noProof/>
        </w:rPr>
        <w:instrText xml:space="preserve"> PAGEREF _Toc419116204 \h </w:instrText>
      </w:r>
      <w:r>
        <w:rPr>
          <w:noProof/>
        </w:rPr>
      </w:r>
      <w:r>
        <w:rPr>
          <w:noProof/>
        </w:rPr>
        <w:fldChar w:fldCharType="separate"/>
      </w:r>
      <w:r>
        <w:rPr>
          <w:noProof/>
        </w:rPr>
        <w:t>389</w:t>
      </w:r>
      <w:r>
        <w:rPr>
          <w:noProof/>
        </w:rPr>
        <w:fldChar w:fldCharType="end"/>
      </w:r>
    </w:p>
    <w:p w14:paraId="5AC40F42"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9.1.</w:t>
      </w:r>
      <w:r>
        <w:rPr>
          <w:rFonts w:eastAsiaTheme="minorEastAsia" w:cstheme="minorBidi"/>
          <w:b w:val="0"/>
          <w:noProof/>
          <w:sz w:val="24"/>
          <w:szCs w:val="24"/>
          <w:lang w:val="en-US" w:eastAsia="ja-JP"/>
        </w:rPr>
        <w:tab/>
      </w:r>
      <w:r>
        <w:rPr>
          <w:noProof/>
        </w:rPr>
        <w:t>Key findings</w:t>
      </w:r>
      <w:r>
        <w:rPr>
          <w:noProof/>
        </w:rPr>
        <w:tab/>
      </w:r>
      <w:r>
        <w:rPr>
          <w:noProof/>
        </w:rPr>
        <w:fldChar w:fldCharType="begin"/>
      </w:r>
      <w:r>
        <w:rPr>
          <w:noProof/>
        </w:rPr>
        <w:instrText xml:space="preserve"> PAGEREF _Toc419116205 \h </w:instrText>
      </w:r>
      <w:r>
        <w:rPr>
          <w:noProof/>
        </w:rPr>
      </w:r>
      <w:r>
        <w:rPr>
          <w:noProof/>
        </w:rPr>
        <w:fldChar w:fldCharType="separate"/>
      </w:r>
      <w:r>
        <w:rPr>
          <w:noProof/>
        </w:rPr>
        <w:t>390</w:t>
      </w:r>
      <w:r>
        <w:rPr>
          <w:noProof/>
        </w:rPr>
        <w:fldChar w:fldCharType="end"/>
      </w:r>
    </w:p>
    <w:p w14:paraId="2E8A30D1"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9.2.</w:t>
      </w:r>
      <w:r>
        <w:rPr>
          <w:rFonts w:eastAsiaTheme="minorEastAsia" w:cstheme="minorBidi"/>
          <w:b w:val="0"/>
          <w:noProof/>
          <w:sz w:val="24"/>
          <w:szCs w:val="24"/>
          <w:lang w:val="en-US" w:eastAsia="ja-JP"/>
        </w:rPr>
        <w:tab/>
      </w:r>
      <w:r>
        <w:rPr>
          <w:noProof/>
        </w:rPr>
        <w:t>Preparedness for practice</w:t>
      </w:r>
      <w:r>
        <w:rPr>
          <w:noProof/>
        </w:rPr>
        <w:tab/>
      </w:r>
      <w:r>
        <w:rPr>
          <w:noProof/>
        </w:rPr>
        <w:fldChar w:fldCharType="begin"/>
      </w:r>
      <w:r>
        <w:rPr>
          <w:noProof/>
        </w:rPr>
        <w:instrText xml:space="preserve"> PAGEREF _Toc419116206 \h </w:instrText>
      </w:r>
      <w:r>
        <w:rPr>
          <w:noProof/>
        </w:rPr>
      </w:r>
      <w:r>
        <w:rPr>
          <w:noProof/>
        </w:rPr>
        <w:fldChar w:fldCharType="separate"/>
      </w:r>
      <w:r>
        <w:rPr>
          <w:noProof/>
        </w:rPr>
        <w:t>392</w:t>
      </w:r>
      <w:r>
        <w:rPr>
          <w:noProof/>
        </w:rPr>
        <w:fldChar w:fldCharType="end"/>
      </w:r>
    </w:p>
    <w:p w14:paraId="067F939A"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9.3.</w:t>
      </w:r>
      <w:r>
        <w:rPr>
          <w:rFonts w:eastAsiaTheme="minorEastAsia" w:cstheme="minorBidi"/>
          <w:b w:val="0"/>
          <w:noProof/>
          <w:sz w:val="24"/>
          <w:szCs w:val="24"/>
          <w:lang w:val="en-US" w:eastAsia="ja-JP"/>
        </w:rPr>
        <w:tab/>
      </w:r>
      <w:r>
        <w:rPr>
          <w:noProof/>
        </w:rPr>
        <w:t>Clinical cognitive competence development through practice under pressure leading to mastery</w:t>
      </w:r>
      <w:r>
        <w:rPr>
          <w:noProof/>
        </w:rPr>
        <w:tab/>
      </w:r>
      <w:r>
        <w:rPr>
          <w:noProof/>
        </w:rPr>
        <w:fldChar w:fldCharType="begin"/>
      </w:r>
      <w:r>
        <w:rPr>
          <w:noProof/>
        </w:rPr>
        <w:instrText xml:space="preserve"> PAGEREF _Toc419116207 \h </w:instrText>
      </w:r>
      <w:r>
        <w:rPr>
          <w:noProof/>
        </w:rPr>
      </w:r>
      <w:r>
        <w:rPr>
          <w:noProof/>
        </w:rPr>
        <w:fldChar w:fldCharType="separate"/>
      </w:r>
      <w:r>
        <w:rPr>
          <w:noProof/>
        </w:rPr>
        <w:t>403</w:t>
      </w:r>
      <w:r>
        <w:rPr>
          <w:noProof/>
        </w:rPr>
        <w:fldChar w:fldCharType="end"/>
      </w:r>
    </w:p>
    <w:p w14:paraId="674E2DF8"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9.4.</w:t>
      </w:r>
      <w:r>
        <w:rPr>
          <w:rFonts w:eastAsiaTheme="minorEastAsia" w:cstheme="minorBidi"/>
          <w:b w:val="0"/>
          <w:noProof/>
          <w:sz w:val="24"/>
          <w:szCs w:val="24"/>
          <w:lang w:val="en-US" w:eastAsia="ja-JP"/>
        </w:rPr>
        <w:tab/>
      </w:r>
      <w:r>
        <w:rPr>
          <w:noProof/>
        </w:rPr>
        <w:t>Emotion in learning and emotional intelligence</w:t>
      </w:r>
      <w:r>
        <w:rPr>
          <w:noProof/>
        </w:rPr>
        <w:tab/>
      </w:r>
      <w:r>
        <w:rPr>
          <w:noProof/>
        </w:rPr>
        <w:fldChar w:fldCharType="begin"/>
      </w:r>
      <w:r>
        <w:rPr>
          <w:noProof/>
        </w:rPr>
        <w:instrText xml:space="preserve"> PAGEREF _Toc419116208 \h </w:instrText>
      </w:r>
      <w:r>
        <w:rPr>
          <w:noProof/>
        </w:rPr>
      </w:r>
      <w:r>
        <w:rPr>
          <w:noProof/>
        </w:rPr>
        <w:fldChar w:fldCharType="separate"/>
      </w:r>
      <w:r>
        <w:rPr>
          <w:noProof/>
        </w:rPr>
        <w:t>422</w:t>
      </w:r>
      <w:r>
        <w:rPr>
          <w:noProof/>
        </w:rPr>
        <w:fldChar w:fldCharType="end"/>
      </w:r>
    </w:p>
    <w:p w14:paraId="3D4677AF"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lastRenderedPageBreak/>
        <w:t>9.5.</w:t>
      </w:r>
      <w:r>
        <w:rPr>
          <w:rFonts w:eastAsiaTheme="minorEastAsia" w:cstheme="minorBidi"/>
          <w:b w:val="0"/>
          <w:noProof/>
          <w:sz w:val="24"/>
          <w:szCs w:val="24"/>
          <w:lang w:val="en-US" w:eastAsia="ja-JP"/>
        </w:rPr>
        <w:tab/>
      </w:r>
      <w:r>
        <w:rPr>
          <w:noProof/>
        </w:rPr>
        <w:t>From basic skills to mastery – comparisons with existing educational theory for embedding non-technical skills</w:t>
      </w:r>
      <w:r>
        <w:rPr>
          <w:noProof/>
        </w:rPr>
        <w:tab/>
      </w:r>
      <w:r>
        <w:rPr>
          <w:noProof/>
        </w:rPr>
        <w:fldChar w:fldCharType="begin"/>
      </w:r>
      <w:r>
        <w:rPr>
          <w:noProof/>
        </w:rPr>
        <w:instrText xml:space="preserve"> PAGEREF _Toc419116209 \h </w:instrText>
      </w:r>
      <w:r>
        <w:rPr>
          <w:noProof/>
        </w:rPr>
      </w:r>
      <w:r>
        <w:rPr>
          <w:noProof/>
        </w:rPr>
        <w:fldChar w:fldCharType="separate"/>
      </w:r>
      <w:r>
        <w:rPr>
          <w:noProof/>
        </w:rPr>
        <w:t>427</w:t>
      </w:r>
      <w:r>
        <w:rPr>
          <w:noProof/>
        </w:rPr>
        <w:fldChar w:fldCharType="end"/>
      </w:r>
    </w:p>
    <w:p w14:paraId="536A4053"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9.6.</w:t>
      </w:r>
      <w:r>
        <w:rPr>
          <w:rFonts w:eastAsiaTheme="minorEastAsia" w:cstheme="minorBidi"/>
          <w:b w:val="0"/>
          <w:noProof/>
          <w:sz w:val="24"/>
          <w:szCs w:val="24"/>
          <w:lang w:val="en-US" w:eastAsia="ja-JP"/>
        </w:rPr>
        <w:tab/>
      </w:r>
      <w:r>
        <w:rPr>
          <w:noProof/>
        </w:rPr>
        <w:t>Recommendations for best practice guidance for simulation use in the undergraduate curriculum</w:t>
      </w:r>
      <w:r>
        <w:rPr>
          <w:noProof/>
        </w:rPr>
        <w:tab/>
      </w:r>
      <w:r>
        <w:rPr>
          <w:noProof/>
        </w:rPr>
        <w:fldChar w:fldCharType="begin"/>
      </w:r>
      <w:r>
        <w:rPr>
          <w:noProof/>
        </w:rPr>
        <w:instrText xml:space="preserve"> PAGEREF _Toc419116210 \h </w:instrText>
      </w:r>
      <w:r>
        <w:rPr>
          <w:noProof/>
        </w:rPr>
      </w:r>
      <w:r>
        <w:rPr>
          <w:noProof/>
        </w:rPr>
        <w:fldChar w:fldCharType="separate"/>
      </w:r>
      <w:r>
        <w:rPr>
          <w:noProof/>
        </w:rPr>
        <w:t>432</w:t>
      </w:r>
      <w:r>
        <w:rPr>
          <w:noProof/>
        </w:rPr>
        <w:fldChar w:fldCharType="end"/>
      </w:r>
    </w:p>
    <w:p w14:paraId="2E32A27F" w14:textId="77777777" w:rsidR="00AC7474" w:rsidRDefault="00AC7474">
      <w:pPr>
        <w:pStyle w:val="TOC2"/>
        <w:tabs>
          <w:tab w:val="left" w:pos="843"/>
          <w:tab w:val="right" w:leader="dot" w:pos="8488"/>
        </w:tabs>
        <w:rPr>
          <w:rFonts w:eastAsiaTheme="minorEastAsia" w:cstheme="minorBidi"/>
          <w:b w:val="0"/>
          <w:noProof/>
          <w:sz w:val="24"/>
          <w:szCs w:val="24"/>
          <w:lang w:val="en-US" w:eastAsia="ja-JP"/>
        </w:rPr>
      </w:pPr>
      <w:r>
        <w:rPr>
          <w:noProof/>
        </w:rPr>
        <w:t>9.7.</w:t>
      </w:r>
      <w:r>
        <w:rPr>
          <w:rFonts w:eastAsiaTheme="minorEastAsia" w:cstheme="minorBidi"/>
          <w:b w:val="0"/>
          <w:noProof/>
          <w:sz w:val="24"/>
          <w:szCs w:val="24"/>
          <w:lang w:val="en-US" w:eastAsia="ja-JP"/>
        </w:rPr>
        <w:tab/>
      </w:r>
      <w:r>
        <w:rPr>
          <w:noProof/>
        </w:rPr>
        <w:t>Limitations of research</w:t>
      </w:r>
      <w:r>
        <w:rPr>
          <w:noProof/>
        </w:rPr>
        <w:tab/>
      </w:r>
      <w:r>
        <w:rPr>
          <w:noProof/>
        </w:rPr>
        <w:fldChar w:fldCharType="begin"/>
      </w:r>
      <w:r>
        <w:rPr>
          <w:noProof/>
        </w:rPr>
        <w:instrText xml:space="preserve"> PAGEREF _Toc419116211 \h </w:instrText>
      </w:r>
      <w:r>
        <w:rPr>
          <w:noProof/>
        </w:rPr>
      </w:r>
      <w:r>
        <w:rPr>
          <w:noProof/>
        </w:rPr>
        <w:fldChar w:fldCharType="separate"/>
      </w:r>
      <w:r>
        <w:rPr>
          <w:noProof/>
        </w:rPr>
        <w:t>437</w:t>
      </w:r>
      <w:r>
        <w:rPr>
          <w:noProof/>
        </w:rPr>
        <w:fldChar w:fldCharType="end"/>
      </w:r>
    </w:p>
    <w:p w14:paraId="67909CA7" w14:textId="77777777" w:rsidR="00AC7474" w:rsidRDefault="00AC7474">
      <w:pPr>
        <w:pStyle w:val="TOC1"/>
        <w:tabs>
          <w:tab w:val="left" w:pos="580"/>
          <w:tab w:val="right" w:leader="dot" w:pos="8488"/>
        </w:tabs>
        <w:rPr>
          <w:rFonts w:eastAsiaTheme="minorEastAsia" w:cstheme="minorBidi"/>
          <w:b w:val="0"/>
          <w:noProof/>
          <w:lang w:val="en-US" w:eastAsia="ja-JP"/>
        </w:rPr>
      </w:pPr>
      <w:r w:rsidRPr="0093730D">
        <w:rPr>
          <w:noProof/>
        </w:rPr>
        <w:t>10.</w:t>
      </w:r>
      <w:r>
        <w:rPr>
          <w:rFonts w:eastAsiaTheme="minorEastAsia" w:cstheme="minorBidi"/>
          <w:b w:val="0"/>
          <w:noProof/>
          <w:lang w:val="en-US" w:eastAsia="ja-JP"/>
        </w:rPr>
        <w:tab/>
      </w:r>
      <w:r>
        <w:rPr>
          <w:noProof/>
        </w:rPr>
        <w:t>Chapter 10: Conclusions</w:t>
      </w:r>
      <w:r>
        <w:rPr>
          <w:noProof/>
        </w:rPr>
        <w:tab/>
      </w:r>
      <w:r>
        <w:rPr>
          <w:noProof/>
        </w:rPr>
        <w:fldChar w:fldCharType="begin"/>
      </w:r>
      <w:r>
        <w:rPr>
          <w:noProof/>
        </w:rPr>
        <w:instrText xml:space="preserve"> PAGEREF _Toc419116212 \h </w:instrText>
      </w:r>
      <w:r>
        <w:rPr>
          <w:noProof/>
        </w:rPr>
      </w:r>
      <w:r>
        <w:rPr>
          <w:noProof/>
        </w:rPr>
        <w:fldChar w:fldCharType="separate"/>
      </w:r>
      <w:r>
        <w:rPr>
          <w:noProof/>
        </w:rPr>
        <w:t>451</w:t>
      </w:r>
      <w:r>
        <w:rPr>
          <w:noProof/>
        </w:rPr>
        <w:fldChar w:fldCharType="end"/>
      </w:r>
    </w:p>
    <w:p w14:paraId="31D6AD8D" w14:textId="77777777" w:rsidR="00AC7474" w:rsidRDefault="00AC7474">
      <w:pPr>
        <w:pStyle w:val="TOC1"/>
        <w:tabs>
          <w:tab w:val="left" w:pos="580"/>
          <w:tab w:val="right" w:leader="dot" w:pos="8488"/>
        </w:tabs>
        <w:rPr>
          <w:rFonts w:eastAsiaTheme="minorEastAsia" w:cstheme="minorBidi"/>
          <w:b w:val="0"/>
          <w:noProof/>
          <w:lang w:val="en-US" w:eastAsia="ja-JP"/>
        </w:rPr>
      </w:pPr>
      <w:r w:rsidRPr="0093730D">
        <w:rPr>
          <w:noProof/>
        </w:rPr>
        <w:t>11.</w:t>
      </w:r>
      <w:r>
        <w:rPr>
          <w:rFonts w:eastAsiaTheme="minorEastAsia" w:cstheme="minorBidi"/>
          <w:b w:val="0"/>
          <w:noProof/>
          <w:lang w:val="en-US" w:eastAsia="ja-JP"/>
        </w:rPr>
        <w:tab/>
      </w:r>
      <w:r>
        <w:rPr>
          <w:noProof/>
        </w:rPr>
        <w:t>Chapter 11: Recommendations for future work</w:t>
      </w:r>
      <w:r>
        <w:rPr>
          <w:noProof/>
        </w:rPr>
        <w:tab/>
      </w:r>
      <w:r>
        <w:rPr>
          <w:noProof/>
        </w:rPr>
        <w:fldChar w:fldCharType="begin"/>
      </w:r>
      <w:r>
        <w:rPr>
          <w:noProof/>
        </w:rPr>
        <w:instrText xml:space="preserve"> PAGEREF _Toc419116213 \h </w:instrText>
      </w:r>
      <w:r>
        <w:rPr>
          <w:noProof/>
        </w:rPr>
      </w:r>
      <w:r>
        <w:rPr>
          <w:noProof/>
        </w:rPr>
        <w:fldChar w:fldCharType="separate"/>
      </w:r>
      <w:r>
        <w:rPr>
          <w:noProof/>
        </w:rPr>
        <w:t>461</w:t>
      </w:r>
      <w:r>
        <w:rPr>
          <w:noProof/>
        </w:rPr>
        <w:fldChar w:fldCharType="end"/>
      </w:r>
    </w:p>
    <w:p w14:paraId="13CCCFDE" w14:textId="77777777" w:rsidR="00AC7474" w:rsidRDefault="00AC7474">
      <w:pPr>
        <w:pStyle w:val="TOC1"/>
        <w:tabs>
          <w:tab w:val="left" w:pos="580"/>
          <w:tab w:val="right" w:leader="dot" w:pos="8488"/>
        </w:tabs>
        <w:rPr>
          <w:rFonts w:eastAsiaTheme="minorEastAsia" w:cstheme="minorBidi"/>
          <w:b w:val="0"/>
          <w:noProof/>
          <w:lang w:val="en-US" w:eastAsia="ja-JP"/>
        </w:rPr>
      </w:pPr>
      <w:r w:rsidRPr="0093730D">
        <w:rPr>
          <w:noProof/>
        </w:rPr>
        <w:t>12.</w:t>
      </w:r>
      <w:r>
        <w:rPr>
          <w:rFonts w:eastAsiaTheme="minorEastAsia" w:cstheme="minorBidi"/>
          <w:b w:val="0"/>
          <w:noProof/>
          <w:lang w:val="en-US" w:eastAsia="ja-JP"/>
        </w:rPr>
        <w:tab/>
      </w:r>
      <w:r>
        <w:rPr>
          <w:noProof/>
        </w:rPr>
        <w:t>Bibliography</w:t>
      </w:r>
      <w:r>
        <w:rPr>
          <w:noProof/>
        </w:rPr>
        <w:tab/>
      </w:r>
      <w:r>
        <w:rPr>
          <w:noProof/>
        </w:rPr>
        <w:fldChar w:fldCharType="begin"/>
      </w:r>
      <w:r>
        <w:rPr>
          <w:noProof/>
        </w:rPr>
        <w:instrText xml:space="preserve"> PAGEREF _Toc419116214 \h </w:instrText>
      </w:r>
      <w:r>
        <w:rPr>
          <w:noProof/>
        </w:rPr>
      </w:r>
      <w:r>
        <w:rPr>
          <w:noProof/>
        </w:rPr>
        <w:fldChar w:fldCharType="separate"/>
      </w:r>
      <w:r>
        <w:rPr>
          <w:noProof/>
        </w:rPr>
        <w:t>465</w:t>
      </w:r>
      <w:r>
        <w:rPr>
          <w:noProof/>
        </w:rPr>
        <w:fldChar w:fldCharType="end"/>
      </w:r>
    </w:p>
    <w:p w14:paraId="334F42BA" w14:textId="77777777" w:rsidR="00AC7474" w:rsidRDefault="00AC7474">
      <w:pPr>
        <w:pStyle w:val="TOC1"/>
        <w:tabs>
          <w:tab w:val="left" w:pos="580"/>
          <w:tab w:val="right" w:leader="dot" w:pos="8488"/>
        </w:tabs>
        <w:rPr>
          <w:rFonts w:eastAsiaTheme="minorEastAsia" w:cstheme="minorBidi"/>
          <w:b w:val="0"/>
          <w:noProof/>
          <w:lang w:val="en-US" w:eastAsia="ja-JP"/>
        </w:rPr>
      </w:pPr>
      <w:r w:rsidRPr="0093730D">
        <w:rPr>
          <w:noProof/>
        </w:rPr>
        <w:t>13.</w:t>
      </w:r>
      <w:r>
        <w:rPr>
          <w:rFonts w:eastAsiaTheme="minorEastAsia" w:cstheme="minorBidi"/>
          <w:b w:val="0"/>
          <w:noProof/>
          <w:lang w:val="en-US" w:eastAsia="ja-JP"/>
        </w:rPr>
        <w:tab/>
      </w:r>
      <w:r>
        <w:rPr>
          <w:noProof/>
        </w:rPr>
        <w:t>Appendices</w:t>
      </w:r>
      <w:r>
        <w:rPr>
          <w:noProof/>
        </w:rPr>
        <w:tab/>
      </w:r>
      <w:r>
        <w:rPr>
          <w:noProof/>
        </w:rPr>
        <w:fldChar w:fldCharType="begin"/>
      </w:r>
      <w:r>
        <w:rPr>
          <w:noProof/>
        </w:rPr>
        <w:instrText xml:space="preserve"> PAGEREF _Toc419116215 \h </w:instrText>
      </w:r>
      <w:r>
        <w:rPr>
          <w:noProof/>
        </w:rPr>
      </w:r>
      <w:r>
        <w:rPr>
          <w:noProof/>
        </w:rPr>
        <w:fldChar w:fldCharType="separate"/>
      </w:r>
      <w:r>
        <w:rPr>
          <w:noProof/>
        </w:rPr>
        <w:t>480</w:t>
      </w:r>
      <w:r>
        <w:rPr>
          <w:noProof/>
        </w:rPr>
        <w:fldChar w:fldCharType="end"/>
      </w:r>
    </w:p>
    <w:p w14:paraId="02BFB390"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13.1.</w:t>
      </w:r>
      <w:r>
        <w:rPr>
          <w:rFonts w:eastAsiaTheme="minorEastAsia" w:cstheme="minorBidi"/>
          <w:b w:val="0"/>
          <w:noProof/>
          <w:sz w:val="24"/>
          <w:szCs w:val="24"/>
          <w:lang w:val="en-US" w:eastAsia="ja-JP"/>
        </w:rPr>
        <w:tab/>
      </w:r>
      <w:r>
        <w:rPr>
          <w:noProof/>
        </w:rPr>
        <w:t>Influences and their inter-relationships, on the behaviour of newly qualified doctors caring for acutely unwell patients (Tallentire et al., 2011a)</w:t>
      </w:r>
      <w:r>
        <w:rPr>
          <w:noProof/>
        </w:rPr>
        <w:tab/>
      </w:r>
      <w:r>
        <w:rPr>
          <w:noProof/>
        </w:rPr>
        <w:fldChar w:fldCharType="begin"/>
      </w:r>
      <w:r>
        <w:rPr>
          <w:noProof/>
        </w:rPr>
        <w:instrText xml:space="preserve"> PAGEREF _Toc419116216 \h </w:instrText>
      </w:r>
      <w:r>
        <w:rPr>
          <w:noProof/>
        </w:rPr>
      </w:r>
      <w:r>
        <w:rPr>
          <w:noProof/>
        </w:rPr>
        <w:fldChar w:fldCharType="separate"/>
      </w:r>
      <w:r>
        <w:rPr>
          <w:noProof/>
        </w:rPr>
        <w:t>481</w:t>
      </w:r>
      <w:r>
        <w:rPr>
          <w:noProof/>
        </w:rPr>
        <w:fldChar w:fldCharType="end"/>
      </w:r>
    </w:p>
    <w:p w14:paraId="0F585490"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13.2.</w:t>
      </w:r>
      <w:r>
        <w:rPr>
          <w:rFonts w:eastAsiaTheme="minorEastAsia" w:cstheme="minorBidi"/>
          <w:b w:val="0"/>
          <w:noProof/>
          <w:sz w:val="24"/>
          <w:szCs w:val="24"/>
          <w:lang w:val="en-US" w:eastAsia="ja-JP"/>
        </w:rPr>
        <w:tab/>
      </w:r>
      <w:r>
        <w:rPr>
          <w:noProof/>
        </w:rPr>
        <w:t>Kolb’s’ cycle of experiential learning</w:t>
      </w:r>
      <w:r>
        <w:rPr>
          <w:noProof/>
        </w:rPr>
        <w:tab/>
      </w:r>
      <w:r>
        <w:rPr>
          <w:noProof/>
        </w:rPr>
        <w:fldChar w:fldCharType="begin"/>
      </w:r>
      <w:r>
        <w:rPr>
          <w:noProof/>
        </w:rPr>
        <w:instrText xml:space="preserve"> PAGEREF _Toc419116217 \h </w:instrText>
      </w:r>
      <w:r>
        <w:rPr>
          <w:noProof/>
        </w:rPr>
      </w:r>
      <w:r>
        <w:rPr>
          <w:noProof/>
        </w:rPr>
        <w:fldChar w:fldCharType="separate"/>
      </w:r>
      <w:r>
        <w:rPr>
          <w:noProof/>
        </w:rPr>
        <w:t>482</w:t>
      </w:r>
      <w:r>
        <w:rPr>
          <w:noProof/>
        </w:rPr>
        <w:fldChar w:fldCharType="end"/>
      </w:r>
    </w:p>
    <w:p w14:paraId="4AB0C319"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13.3.</w:t>
      </w:r>
      <w:r>
        <w:rPr>
          <w:rFonts w:eastAsiaTheme="minorEastAsia" w:cstheme="minorBidi"/>
          <w:b w:val="0"/>
          <w:noProof/>
          <w:sz w:val="24"/>
          <w:szCs w:val="24"/>
          <w:lang w:val="en-US" w:eastAsia="ja-JP"/>
        </w:rPr>
        <w:tab/>
      </w:r>
      <w:r>
        <w:rPr>
          <w:noProof/>
        </w:rPr>
        <w:t>Simulation debriefing and how it fits with Kolb’s experiential learning cycle</w:t>
      </w:r>
      <w:r>
        <w:rPr>
          <w:noProof/>
        </w:rPr>
        <w:tab/>
      </w:r>
      <w:r>
        <w:rPr>
          <w:noProof/>
        </w:rPr>
        <w:fldChar w:fldCharType="begin"/>
      </w:r>
      <w:r>
        <w:rPr>
          <w:noProof/>
        </w:rPr>
        <w:instrText xml:space="preserve"> PAGEREF _Toc419116218 \h </w:instrText>
      </w:r>
      <w:r>
        <w:rPr>
          <w:noProof/>
        </w:rPr>
      </w:r>
      <w:r>
        <w:rPr>
          <w:noProof/>
        </w:rPr>
        <w:fldChar w:fldCharType="separate"/>
      </w:r>
      <w:r>
        <w:rPr>
          <w:noProof/>
        </w:rPr>
        <w:t>483</w:t>
      </w:r>
      <w:r>
        <w:rPr>
          <w:noProof/>
        </w:rPr>
        <w:fldChar w:fldCharType="end"/>
      </w:r>
    </w:p>
    <w:p w14:paraId="7A397C0E"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13.4.</w:t>
      </w:r>
      <w:r>
        <w:rPr>
          <w:rFonts w:eastAsiaTheme="minorEastAsia" w:cstheme="minorBidi"/>
          <w:b w:val="0"/>
          <w:noProof/>
          <w:sz w:val="24"/>
          <w:szCs w:val="24"/>
          <w:lang w:val="en-US" w:eastAsia="ja-JP"/>
        </w:rPr>
        <w:tab/>
      </w:r>
      <w:r>
        <w:rPr>
          <w:noProof/>
        </w:rPr>
        <w:t>Miller’s pyramid of clinical competence</w:t>
      </w:r>
      <w:r>
        <w:rPr>
          <w:noProof/>
        </w:rPr>
        <w:tab/>
      </w:r>
      <w:r>
        <w:rPr>
          <w:noProof/>
        </w:rPr>
        <w:fldChar w:fldCharType="begin"/>
      </w:r>
      <w:r>
        <w:rPr>
          <w:noProof/>
        </w:rPr>
        <w:instrText xml:space="preserve"> PAGEREF _Toc419116219 \h </w:instrText>
      </w:r>
      <w:r>
        <w:rPr>
          <w:noProof/>
        </w:rPr>
      </w:r>
      <w:r>
        <w:rPr>
          <w:noProof/>
        </w:rPr>
        <w:fldChar w:fldCharType="separate"/>
      </w:r>
      <w:r>
        <w:rPr>
          <w:noProof/>
        </w:rPr>
        <w:t>484</w:t>
      </w:r>
      <w:r>
        <w:rPr>
          <w:noProof/>
        </w:rPr>
        <w:fldChar w:fldCharType="end"/>
      </w:r>
    </w:p>
    <w:p w14:paraId="0A592D76"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13.5.</w:t>
      </w:r>
      <w:r>
        <w:rPr>
          <w:rFonts w:eastAsiaTheme="minorEastAsia" w:cstheme="minorBidi"/>
          <w:b w:val="0"/>
          <w:noProof/>
          <w:sz w:val="24"/>
          <w:szCs w:val="24"/>
          <w:lang w:val="en-US" w:eastAsia="ja-JP"/>
        </w:rPr>
        <w:tab/>
      </w:r>
      <w:r>
        <w:rPr>
          <w:noProof/>
        </w:rPr>
        <w:t>Dreyfus model of skill acquisition</w:t>
      </w:r>
      <w:r>
        <w:rPr>
          <w:noProof/>
        </w:rPr>
        <w:tab/>
      </w:r>
      <w:r>
        <w:rPr>
          <w:noProof/>
        </w:rPr>
        <w:fldChar w:fldCharType="begin"/>
      </w:r>
      <w:r>
        <w:rPr>
          <w:noProof/>
        </w:rPr>
        <w:instrText xml:space="preserve"> PAGEREF _Toc419116220 \h </w:instrText>
      </w:r>
      <w:r>
        <w:rPr>
          <w:noProof/>
        </w:rPr>
      </w:r>
      <w:r>
        <w:rPr>
          <w:noProof/>
        </w:rPr>
        <w:fldChar w:fldCharType="separate"/>
      </w:r>
      <w:r>
        <w:rPr>
          <w:noProof/>
        </w:rPr>
        <w:t>485</w:t>
      </w:r>
      <w:r>
        <w:rPr>
          <w:noProof/>
        </w:rPr>
        <w:fldChar w:fldCharType="end"/>
      </w:r>
    </w:p>
    <w:p w14:paraId="1A31AB76"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13.6.</w:t>
      </w:r>
      <w:r>
        <w:rPr>
          <w:rFonts w:eastAsiaTheme="minorEastAsia" w:cstheme="minorBidi"/>
          <w:b w:val="0"/>
          <w:noProof/>
          <w:sz w:val="24"/>
          <w:szCs w:val="24"/>
          <w:lang w:val="en-US" w:eastAsia="ja-JP"/>
        </w:rPr>
        <w:tab/>
      </w:r>
      <w:r>
        <w:rPr>
          <w:noProof/>
        </w:rPr>
        <w:t>Ethics Approval</w:t>
      </w:r>
      <w:r>
        <w:rPr>
          <w:noProof/>
        </w:rPr>
        <w:tab/>
      </w:r>
      <w:r>
        <w:rPr>
          <w:noProof/>
        </w:rPr>
        <w:fldChar w:fldCharType="begin"/>
      </w:r>
      <w:r>
        <w:rPr>
          <w:noProof/>
        </w:rPr>
        <w:instrText xml:space="preserve"> PAGEREF _Toc419116221 \h </w:instrText>
      </w:r>
      <w:r>
        <w:rPr>
          <w:noProof/>
        </w:rPr>
      </w:r>
      <w:r>
        <w:rPr>
          <w:noProof/>
        </w:rPr>
        <w:fldChar w:fldCharType="separate"/>
      </w:r>
      <w:r>
        <w:rPr>
          <w:noProof/>
        </w:rPr>
        <w:t>486</w:t>
      </w:r>
      <w:r>
        <w:rPr>
          <w:noProof/>
        </w:rPr>
        <w:fldChar w:fldCharType="end"/>
      </w:r>
    </w:p>
    <w:p w14:paraId="7E8B8C0E"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13.7.</w:t>
      </w:r>
      <w:r>
        <w:rPr>
          <w:rFonts w:eastAsiaTheme="minorEastAsia" w:cstheme="minorBidi"/>
          <w:b w:val="0"/>
          <w:noProof/>
          <w:sz w:val="24"/>
          <w:szCs w:val="24"/>
          <w:lang w:val="en-US" w:eastAsia="ja-JP"/>
        </w:rPr>
        <w:tab/>
      </w:r>
      <w:r>
        <w:rPr>
          <w:noProof/>
        </w:rPr>
        <w:t>IMASS learning outcomes</w:t>
      </w:r>
      <w:r>
        <w:rPr>
          <w:noProof/>
        </w:rPr>
        <w:tab/>
      </w:r>
      <w:r>
        <w:rPr>
          <w:noProof/>
        </w:rPr>
        <w:fldChar w:fldCharType="begin"/>
      </w:r>
      <w:r>
        <w:rPr>
          <w:noProof/>
        </w:rPr>
        <w:instrText xml:space="preserve"> PAGEREF _Toc419116222 \h </w:instrText>
      </w:r>
      <w:r>
        <w:rPr>
          <w:noProof/>
        </w:rPr>
      </w:r>
      <w:r>
        <w:rPr>
          <w:noProof/>
        </w:rPr>
        <w:fldChar w:fldCharType="separate"/>
      </w:r>
      <w:r>
        <w:rPr>
          <w:noProof/>
        </w:rPr>
        <w:t>487</w:t>
      </w:r>
      <w:r>
        <w:rPr>
          <w:noProof/>
        </w:rPr>
        <w:fldChar w:fldCharType="end"/>
      </w:r>
    </w:p>
    <w:p w14:paraId="4A88EC26"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13.8.</w:t>
      </w:r>
      <w:r>
        <w:rPr>
          <w:rFonts w:eastAsiaTheme="minorEastAsia" w:cstheme="minorBidi"/>
          <w:b w:val="0"/>
          <w:noProof/>
          <w:sz w:val="24"/>
          <w:szCs w:val="24"/>
          <w:lang w:val="en-US" w:eastAsia="ja-JP"/>
        </w:rPr>
        <w:tab/>
      </w:r>
      <w:r>
        <w:rPr>
          <w:noProof/>
        </w:rPr>
        <w:t>IMASS Simulation scenarios</w:t>
      </w:r>
      <w:r>
        <w:rPr>
          <w:noProof/>
        </w:rPr>
        <w:tab/>
      </w:r>
      <w:r>
        <w:rPr>
          <w:noProof/>
        </w:rPr>
        <w:fldChar w:fldCharType="begin"/>
      </w:r>
      <w:r>
        <w:rPr>
          <w:noProof/>
        </w:rPr>
        <w:instrText xml:space="preserve"> PAGEREF _Toc419116223 \h </w:instrText>
      </w:r>
      <w:r>
        <w:rPr>
          <w:noProof/>
        </w:rPr>
      </w:r>
      <w:r>
        <w:rPr>
          <w:noProof/>
        </w:rPr>
        <w:fldChar w:fldCharType="separate"/>
      </w:r>
      <w:r>
        <w:rPr>
          <w:noProof/>
        </w:rPr>
        <w:t>491</w:t>
      </w:r>
      <w:r>
        <w:rPr>
          <w:noProof/>
        </w:rPr>
        <w:fldChar w:fldCharType="end"/>
      </w:r>
    </w:p>
    <w:p w14:paraId="01D83969" w14:textId="77777777" w:rsidR="00AC7474" w:rsidRDefault="00AC7474">
      <w:pPr>
        <w:pStyle w:val="TOC2"/>
        <w:tabs>
          <w:tab w:val="left" w:pos="973"/>
          <w:tab w:val="right" w:leader="dot" w:pos="8488"/>
        </w:tabs>
        <w:rPr>
          <w:rFonts w:eastAsiaTheme="minorEastAsia" w:cstheme="minorBidi"/>
          <w:b w:val="0"/>
          <w:noProof/>
          <w:sz w:val="24"/>
          <w:szCs w:val="24"/>
          <w:lang w:val="en-US" w:eastAsia="ja-JP"/>
        </w:rPr>
      </w:pPr>
      <w:r>
        <w:rPr>
          <w:noProof/>
        </w:rPr>
        <w:t>13.9.</w:t>
      </w:r>
      <w:r>
        <w:rPr>
          <w:rFonts w:eastAsiaTheme="minorEastAsia" w:cstheme="minorBidi"/>
          <w:b w:val="0"/>
          <w:noProof/>
          <w:sz w:val="24"/>
          <w:szCs w:val="24"/>
          <w:lang w:val="en-US" w:eastAsia="ja-JP"/>
        </w:rPr>
        <w:tab/>
      </w:r>
      <w:r>
        <w:rPr>
          <w:noProof/>
        </w:rPr>
        <w:t>Equipment list</w:t>
      </w:r>
      <w:r>
        <w:rPr>
          <w:noProof/>
        </w:rPr>
        <w:tab/>
      </w:r>
      <w:r>
        <w:rPr>
          <w:noProof/>
        </w:rPr>
        <w:fldChar w:fldCharType="begin"/>
      </w:r>
      <w:r>
        <w:rPr>
          <w:noProof/>
        </w:rPr>
        <w:instrText xml:space="preserve"> PAGEREF _Toc419116224 \h </w:instrText>
      </w:r>
      <w:r>
        <w:rPr>
          <w:noProof/>
        </w:rPr>
      </w:r>
      <w:r>
        <w:rPr>
          <w:noProof/>
        </w:rPr>
        <w:fldChar w:fldCharType="separate"/>
      </w:r>
      <w:r>
        <w:rPr>
          <w:noProof/>
        </w:rPr>
        <w:t>504</w:t>
      </w:r>
      <w:r>
        <w:rPr>
          <w:noProof/>
        </w:rPr>
        <w:fldChar w:fldCharType="end"/>
      </w:r>
    </w:p>
    <w:p w14:paraId="5F1F2F2F"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13.10.</w:t>
      </w:r>
      <w:r>
        <w:rPr>
          <w:rFonts w:eastAsiaTheme="minorEastAsia" w:cstheme="minorBidi"/>
          <w:b w:val="0"/>
          <w:noProof/>
          <w:sz w:val="24"/>
          <w:szCs w:val="24"/>
          <w:lang w:val="en-US" w:eastAsia="ja-JP"/>
        </w:rPr>
        <w:tab/>
      </w:r>
      <w:r>
        <w:rPr>
          <w:noProof/>
        </w:rPr>
        <w:t>IMASS timetable</w:t>
      </w:r>
      <w:r>
        <w:rPr>
          <w:noProof/>
        </w:rPr>
        <w:tab/>
      </w:r>
      <w:r>
        <w:rPr>
          <w:noProof/>
        </w:rPr>
        <w:fldChar w:fldCharType="begin"/>
      </w:r>
      <w:r>
        <w:rPr>
          <w:noProof/>
        </w:rPr>
        <w:instrText xml:space="preserve"> PAGEREF _Toc419116225 \h </w:instrText>
      </w:r>
      <w:r>
        <w:rPr>
          <w:noProof/>
        </w:rPr>
      </w:r>
      <w:r>
        <w:rPr>
          <w:noProof/>
        </w:rPr>
        <w:fldChar w:fldCharType="separate"/>
      </w:r>
      <w:r>
        <w:rPr>
          <w:noProof/>
        </w:rPr>
        <w:t>506</w:t>
      </w:r>
      <w:r>
        <w:rPr>
          <w:noProof/>
        </w:rPr>
        <w:fldChar w:fldCharType="end"/>
      </w:r>
    </w:p>
    <w:p w14:paraId="4A620733"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13.11.</w:t>
      </w:r>
      <w:r>
        <w:rPr>
          <w:rFonts w:eastAsiaTheme="minorEastAsia" w:cstheme="minorBidi"/>
          <w:b w:val="0"/>
          <w:noProof/>
          <w:sz w:val="24"/>
          <w:szCs w:val="24"/>
          <w:lang w:val="en-US" w:eastAsia="ja-JP"/>
        </w:rPr>
        <w:tab/>
      </w:r>
      <w:r>
        <w:rPr>
          <w:noProof/>
        </w:rPr>
        <w:t>Study information sheet</w:t>
      </w:r>
      <w:r>
        <w:rPr>
          <w:noProof/>
        </w:rPr>
        <w:tab/>
      </w:r>
      <w:r>
        <w:rPr>
          <w:noProof/>
        </w:rPr>
        <w:fldChar w:fldCharType="begin"/>
      </w:r>
      <w:r>
        <w:rPr>
          <w:noProof/>
        </w:rPr>
        <w:instrText xml:space="preserve"> PAGEREF _Toc419116226 \h </w:instrText>
      </w:r>
      <w:r>
        <w:rPr>
          <w:noProof/>
        </w:rPr>
      </w:r>
      <w:r>
        <w:rPr>
          <w:noProof/>
        </w:rPr>
        <w:fldChar w:fldCharType="separate"/>
      </w:r>
      <w:r>
        <w:rPr>
          <w:noProof/>
        </w:rPr>
        <w:t>507</w:t>
      </w:r>
      <w:r>
        <w:rPr>
          <w:noProof/>
        </w:rPr>
        <w:fldChar w:fldCharType="end"/>
      </w:r>
    </w:p>
    <w:p w14:paraId="2DBB1A4D"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13.12.</w:t>
      </w:r>
      <w:r>
        <w:rPr>
          <w:rFonts w:eastAsiaTheme="minorEastAsia" w:cstheme="minorBidi"/>
          <w:b w:val="0"/>
          <w:noProof/>
          <w:sz w:val="24"/>
          <w:szCs w:val="24"/>
          <w:lang w:val="en-US" w:eastAsia="ja-JP"/>
        </w:rPr>
        <w:tab/>
      </w:r>
      <w:r>
        <w:rPr>
          <w:noProof/>
        </w:rPr>
        <w:t>Student participant Consent form</w:t>
      </w:r>
      <w:r>
        <w:rPr>
          <w:noProof/>
        </w:rPr>
        <w:tab/>
      </w:r>
      <w:r>
        <w:rPr>
          <w:noProof/>
        </w:rPr>
        <w:fldChar w:fldCharType="begin"/>
      </w:r>
      <w:r>
        <w:rPr>
          <w:noProof/>
        </w:rPr>
        <w:instrText xml:space="preserve"> PAGEREF _Toc419116227 \h </w:instrText>
      </w:r>
      <w:r>
        <w:rPr>
          <w:noProof/>
        </w:rPr>
      </w:r>
      <w:r>
        <w:rPr>
          <w:noProof/>
        </w:rPr>
        <w:fldChar w:fldCharType="separate"/>
      </w:r>
      <w:r>
        <w:rPr>
          <w:noProof/>
        </w:rPr>
        <w:t>509</w:t>
      </w:r>
      <w:r>
        <w:rPr>
          <w:noProof/>
        </w:rPr>
        <w:fldChar w:fldCharType="end"/>
      </w:r>
    </w:p>
    <w:p w14:paraId="7DECCF97"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13.13.</w:t>
      </w:r>
      <w:r>
        <w:rPr>
          <w:rFonts w:eastAsiaTheme="minorEastAsia" w:cstheme="minorBidi"/>
          <w:b w:val="0"/>
          <w:noProof/>
          <w:sz w:val="24"/>
          <w:szCs w:val="24"/>
          <w:lang w:val="en-US" w:eastAsia="ja-JP"/>
        </w:rPr>
        <w:tab/>
      </w:r>
      <w:r>
        <w:rPr>
          <w:noProof/>
        </w:rPr>
        <w:t>Confidence scoring tool</w:t>
      </w:r>
      <w:r>
        <w:rPr>
          <w:noProof/>
        </w:rPr>
        <w:tab/>
      </w:r>
      <w:r>
        <w:rPr>
          <w:noProof/>
        </w:rPr>
        <w:fldChar w:fldCharType="begin"/>
      </w:r>
      <w:r>
        <w:rPr>
          <w:noProof/>
        </w:rPr>
        <w:instrText xml:space="preserve"> PAGEREF _Toc419116228 \h </w:instrText>
      </w:r>
      <w:r>
        <w:rPr>
          <w:noProof/>
        </w:rPr>
      </w:r>
      <w:r>
        <w:rPr>
          <w:noProof/>
        </w:rPr>
        <w:fldChar w:fldCharType="separate"/>
      </w:r>
      <w:r>
        <w:rPr>
          <w:noProof/>
        </w:rPr>
        <w:t>510</w:t>
      </w:r>
      <w:r>
        <w:rPr>
          <w:noProof/>
        </w:rPr>
        <w:fldChar w:fldCharType="end"/>
      </w:r>
    </w:p>
    <w:p w14:paraId="00E4C8F9"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13.14.</w:t>
      </w:r>
      <w:r>
        <w:rPr>
          <w:rFonts w:eastAsiaTheme="minorEastAsia" w:cstheme="minorBidi"/>
          <w:b w:val="0"/>
          <w:noProof/>
          <w:sz w:val="24"/>
          <w:szCs w:val="24"/>
          <w:lang w:val="en-US" w:eastAsia="ja-JP"/>
        </w:rPr>
        <w:tab/>
      </w:r>
      <w:r>
        <w:rPr>
          <w:noProof/>
        </w:rPr>
        <w:t>Formative assessment tool</w:t>
      </w:r>
      <w:r>
        <w:rPr>
          <w:noProof/>
        </w:rPr>
        <w:tab/>
      </w:r>
      <w:r>
        <w:rPr>
          <w:noProof/>
        </w:rPr>
        <w:fldChar w:fldCharType="begin"/>
      </w:r>
      <w:r>
        <w:rPr>
          <w:noProof/>
        </w:rPr>
        <w:instrText xml:space="preserve"> PAGEREF _Toc419116229 \h </w:instrText>
      </w:r>
      <w:r>
        <w:rPr>
          <w:noProof/>
        </w:rPr>
      </w:r>
      <w:r>
        <w:rPr>
          <w:noProof/>
        </w:rPr>
        <w:fldChar w:fldCharType="separate"/>
      </w:r>
      <w:r>
        <w:rPr>
          <w:noProof/>
        </w:rPr>
        <w:t>511</w:t>
      </w:r>
      <w:r>
        <w:rPr>
          <w:noProof/>
        </w:rPr>
        <w:fldChar w:fldCharType="end"/>
      </w:r>
    </w:p>
    <w:p w14:paraId="63FEA856"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13.15.</w:t>
      </w:r>
      <w:r>
        <w:rPr>
          <w:rFonts w:eastAsiaTheme="minorEastAsia" w:cstheme="minorBidi"/>
          <w:b w:val="0"/>
          <w:noProof/>
          <w:sz w:val="24"/>
          <w:szCs w:val="24"/>
          <w:lang w:val="en-US" w:eastAsia="ja-JP"/>
        </w:rPr>
        <w:tab/>
      </w:r>
      <w:r>
        <w:rPr>
          <w:noProof/>
        </w:rPr>
        <w:t>Peer feedback sheet</w:t>
      </w:r>
      <w:r>
        <w:rPr>
          <w:noProof/>
        </w:rPr>
        <w:tab/>
      </w:r>
      <w:r>
        <w:rPr>
          <w:noProof/>
        </w:rPr>
        <w:fldChar w:fldCharType="begin"/>
      </w:r>
      <w:r>
        <w:rPr>
          <w:noProof/>
        </w:rPr>
        <w:instrText xml:space="preserve"> PAGEREF _Toc419116230 \h </w:instrText>
      </w:r>
      <w:r>
        <w:rPr>
          <w:noProof/>
        </w:rPr>
      </w:r>
      <w:r>
        <w:rPr>
          <w:noProof/>
        </w:rPr>
        <w:fldChar w:fldCharType="separate"/>
      </w:r>
      <w:r>
        <w:rPr>
          <w:noProof/>
        </w:rPr>
        <w:t>514</w:t>
      </w:r>
      <w:r>
        <w:rPr>
          <w:noProof/>
        </w:rPr>
        <w:fldChar w:fldCharType="end"/>
      </w:r>
    </w:p>
    <w:p w14:paraId="3B8CC7B5"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lastRenderedPageBreak/>
        <w:t>13.16.</w:t>
      </w:r>
      <w:r>
        <w:rPr>
          <w:rFonts w:eastAsiaTheme="minorEastAsia" w:cstheme="minorBidi"/>
          <w:b w:val="0"/>
          <w:noProof/>
          <w:sz w:val="24"/>
          <w:szCs w:val="24"/>
          <w:lang w:val="en-US" w:eastAsia="ja-JP"/>
        </w:rPr>
        <w:tab/>
      </w:r>
      <w:r>
        <w:rPr>
          <w:noProof/>
        </w:rPr>
        <w:t>Feedback sheet</w:t>
      </w:r>
      <w:r>
        <w:rPr>
          <w:noProof/>
        </w:rPr>
        <w:tab/>
      </w:r>
      <w:r>
        <w:rPr>
          <w:noProof/>
        </w:rPr>
        <w:fldChar w:fldCharType="begin"/>
      </w:r>
      <w:r>
        <w:rPr>
          <w:noProof/>
        </w:rPr>
        <w:instrText xml:space="preserve"> PAGEREF _Toc419116231 \h </w:instrText>
      </w:r>
      <w:r>
        <w:rPr>
          <w:noProof/>
        </w:rPr>
      </w:r>
      <w:r>
        <w:rPr>
          <w:noProof/>
        </w:rPr>
        <w:fldChar w:fldCharType="separate"/>
      </w:r>
      <w:r>
        <w:rPr>
          <w:noProof/>
        </w:rPr>
        <w:t>515</w:t>
      </w:r>
      <w:r>
        <w:rPr>
          <w:noProof/>
        </w:rPr>
        <w:fldChar w:fldCharType="end"/>
      </w:r>
    </w:p>
    <w:p w14:paraId="22D62F3E"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13.17.</w:t>
      </w:r>
      <w:r>
        <w:rPr>
          <w:rFonts w:eastAsiaTheme="minorEastAsia" w:cstheme="minorBidi"/>
          <w:b w:val="0"/>
          <w:noProof/>
          <w:sz w:val="24"/>
          <w:szCs w:val="24"/>
          <w:lang w:val="en-US" w:eastAsia="ja-JP"/>
        </w:rPr>
        <w:tab/>
      </w:r>
      <w:r>
        <w:rPr>
          <w:noProof/>
        </w:rPr>
        <w:t>Example of survey money follow-up confidence scoring tool.</w:t>
      </w:r>
      <w:r>
        <w:rPr>
          <w:noProof/>
        </w:rPr>
        <w:tab/>
      </w:r>
      <w:r>
        <w:rPr>
          <w:noProof/>
        </w:rPr>
        <w:fldChar w:fldCharType="begin"/>
      </w:r>
      <w:r>
        <w:rPr>
          <w:noProof/>
        </w:rPr>
        <w:instrText xml:space="preserve"> PAGEREF _Toc419116232 \h </w:instrText>
      </w:r>
      <w:r>
        <w:rPr>
          <w:noProof/>
        </w:rPr>
      </w:r>
      <w:r>
        <w:rPr>
          <w:noProof/>
        </w:rPr>
        <w:fldChar w:fldCharType="separate"/>
      </w:r>
      <w:r>
        <w:rPr>
          <w:noProof/>
        </w:rPr>
        <w:t>516</w:t>
      </w:r>
      <w:r>
        <w:rPr>
          <w:noProof/>
        </w:rPr>
        <w:fldChar w:fldCharType="end"/>
      </w:r>
    </w:p>
    <w:p w14:paraId="0DDF11C0"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13.18.</w:t>
      </w:r>
      <w:r>
        <w:rPr>
          <w:rFonts w:eastAsiaTheme="minorEastAsia" w:cstheme="minorBidi"/>
          <w:b w:val="0"/>
          <w:noProof/>
          <w:sz w:val="24"/>
          <w:szCs w:val="24"/>
          <w:lang w:val="en-US" w:eastAsia="ja-JP"/>
        </w:rPr>
        <w:tab/>
      </w:r>
      <w:r>
        <w:rPr>
          <w:noProof/>
        </w:rPr>
        <w:t>Post-It note emergent themes example</w:t>
      </w:r>
      <w:r>
        <w:rPr>
          <w:noProof/>
        </w:rPr>
        <w:tab/>
      </w:r>
      <w:r>
        <w:rPr>
          <w:noProof/>
        </w:rPr>
        <w:fldChar w:fldCharType="begin"/>
      </w:r>
      <w:r>
        <w:rPr>
          <w:noProof/>
        </w:rPr>
        <w:instrText xml:space="preserve"> PAGEREF _Toc419116233 \h </w:instrText>
      </w:r>
      <w:r>
        <w:rPr>
          <w:noProof/>
        </w:rPr>
      </w:r>
      <w:r>
        <w:rPr>
          <w:noProof/>
        </w:rPr>
        <w:fldChar w:fldCharType="separate"/>
      </w:r>
      <w:r>
        <w:rPr>
          <w:noProof/>
        </w:rPr>
        <w:t>518</w:t>
      </w:r>
      <w:r>
        <w:rPr>
          <w:noProof/>
        </w:rPr>
        <w:fldChar w:fldCharType="end"/>
      </w:r>
    </w:p>
    <w:p w14:paraId="41B8BD61"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13.19.</w:t>
      </w:r>
      <w:r>
        <w:rPr>
          <w:rFonts w:eastAsiaTheme="minorEastAsia" w:cstheme="minorBidi"/>
          <w:b w:val="0"/>
          <w:noProof/>
          <w:sz w:val="24"/>
          <w:szCs w:val="24"/>
          <w:lang w:val="en-US" w:eastAsia="ja-JP"/>
        </w:rPr>
        <w:tab/>
      </w:r>
      <w:r>
        <w:rPr>
          <w:noProof/>
        </w:rPr>
        <w:t>Initial focus group thematic analysis – grouping and summary</w:t>
      </w:r>
      <w:r>
        <w:rPr>
          <w:noProof/>
        </w:rPr>
        <w:tab/>
      </w:r>
      <w:r>
        <w:rPr>
          <w:noProof/>
        </w:rPr>
        <w:fldChar w:fldCharType="begin"/>
      </w:r>
      <w:r>
        <w:rPr>
          <w:noProof/>
        </w:rPr>
        <w:instrText xml:space="preserve"> PAGEREF _Toc419116234 \h </w:instrText>
      </w:r>
      <w:r>
        <w:rPr>
          <w:noProof/>
        </w:rPr>
      </w:r>
      <w:r>
        <w:rPr>
          <w:noProof/>
        </w:rPr>
        <w:fldChar w:fldCharType="separate"/>
      </w:r>
      <w:r>
        <w:rPr>
          <w:noProof/>
        </w:rPr>
        <w:t>519</w:t>
      </w:r>
      <w:r>
        <w:rPr>
          <w:noProof/>
        </w:rPr>
        <w:fldChar w:fldCharType="end"/>
      </w:r>
    </w:p>
    <w:p w14:paraId="674608C7"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13.20.</w:t>
      </w:r>
      <w:r>
        <w:rPr>
          <w:rFonts w:eastAsiaTheme="minorEastAsia" w:cstheme="minorBidi"/>
          <w:b w:val="0"/>
          <w:noProof/>
          <w:sz w:val="24"/>
          <w:szCs w:val="24"/>
          <w:lang w:val="en-US" w:eastAsia="ja-JP"/>
        </w:rPr>
        <w:tab/>
      </w:r>
      <w:r>
        <w:rPr>
          <w:noProof/>
        </w:rPr>
        <w:t>focus group topic guide</w:t>
      </w:r>
      <w:r>
        <w:rPr>
          <w:noProof/>
        </w:rPr>
        <w:tab/>
      </w:r>
      <w:r>
        <w:rPr>
          <w:noProof/>
        </w:rPr>
        <w:fldChar w:fldCharType="begin"/>
      </w:r>
      <w:r>
        <w:rPr>
          <w:noProof/>
        </w:rPr>
        <w:instrText xml:space="preserve"> PAGEREF _Toc419116235 \h </w:instrText>
      </w:r>
      <w:r>
        <w:rPr>
          <w:noProof/>
        </w:rPr>
      </w:r>
      <w:r>
        <w:rPr>
          <w:noProof/>
        </w:rPr>
        <w:fldChar w:fldCharType="separate"/>
      </w:r>
      <w:r>
        <w:rPr>
          <w:noProof/>
        </w:rPr>
        <w:t>520</w:t>
      </w:r>
      <w:r>
        <w:rPr>
          <w:noProof/>
        </w:rPr>
        <w:fldChar w:fldCharType="end"/>
      </w:r>
    </w:p>
    <w:p w14:paraId="04CBB2A2"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13.21.</w:t>
      </w:r>
      <w:r>
        <w:rPr>
          <w:rFonts w:eastAsiaTheme="minorEastAsia" w:cstheme="minorBidi"/>
          <w:b w:val="0"/>
          <w:noProof/>
          <w:sz w:val="24"/>
          <w:szCs w:val="24"/>
          <w:lang w:val="en-US" w:eastAsia="ja-JP"/>
        </w:rPr>
        <w:tab/>
      </w:r>
      <w:r>
        <w:rPr>
          <w:noProof/>
        </w:rPr>
        <w:t>Pilot study SPSS outputs</w:t>
      </w:r>
      <w:r>
        <w:rPr>
          <w:noProof/>
        </w:rPr>
        <w:tab/>
      </w:r>
      <w:r>
        <w:rPr>
          <w:noProof/>
        </w:rPr>
        <w:fldChar w:fldCharType="begin"/>
      </w:r>
      <w:r>
        <w:rPr>
          <w:noProof/>
        </w:rPr>
        <w:instrText xml:space="preserve"> PAGEREF _Toc419116236 \h </w:instrText>
      </w:r>
      <w:r>
        <w:rPr>
          <w:noProof/>
        </w:rPr>
      </w:r>
      <w:r>
        <w:rPr>
          <w:noProof/>
        </w:rPr>
        <w:fldChar w:fldCharType="separate"/>
      </w:r>
      <w:r>
        <w:rPr>
          <w:noProof/>
        </w:rPr>
        <w:t>521</w:t>
      </w:r>
      <w:r>
        <w:rPr>
          <w:noProof/>
        </w:rPr>
        <w:fldChar w:fldCharType="end"/>
      </w:r>
    </w:p>
    <w:p w14:paraId="15909964"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13.22.</w:t>
      </w:r>
      <w:r>
        <w:rPr>
          <w:rFonts w:eastAsiaTheme="minorEastAsia" w:cstheme="minorBidi"/>
          <w:b w:val="0"/>
          <w:noProof/>
          <w:sz w:val="24"/>
          <w:szCs w:val="24"/>
          <w:lang w:val="en-US" w:eastAsia="ja-JP"/>
        </w:rPr>
        <w:tab/>
      </w:r>
      <w:r>
        <w:rPr>
          <w:noProof/>
        </w:rPr>
        <w:t>One way ANOVA SPSS supporting outputs from data for pilot study</w:t>
      </w:r>
      <w:r>
        <w:rPr>
          <w:noProof/>
        </w:rPr>
        <w:tab/>
      </w:r>
      <w:r>
        <w:rPr>
          <w:noProof/>
        </w:rPr>
        <w:fldChar w:fldCharType="begin"/>
      </w:r>
      <w:r>
        <w:rPr>
          <w:noProof/>
        </w:rPr>
        <w:instrText xml:space="preserve"> PAGEREF _Toc419116237 \h </w:instrText>
      </w:r>
      <w:r>
        <w:rPr>
          <w:noProof/>
        </w:rPr>
      </w:r>
      <w:r>
        <w:rPr>
          <w:noProof/>
        </w:rPr>
        <w:fldChar w:fldCharType="separate"/>
      </w:r>
      <w:r>
        <w:rPr>
          <w:noProof/>
        </w:rPr>
        <w:t>522</w:t>
      </w:r>
      <w:r>
        <w:rPr>
          <w:noProof/>
        </w:rPr>
        <w:fldChar w:fldCharType="end"/>
      </w:r>
    </w:p>
    <w:p w14:paraId="67594F11"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13.23.</w:t>
      </w:r>
      <w:r>
        <w:rPr>
          <w:rFonts w:eastAsiaTheme="minorEastAsia" w:cstheme="minorBidi"/>
          <w:b w:val="0"/>
          <w:noProof/>
          <w:sz w:val="24"/>
          <w:szCs w:val="24"/>
          <w:lang w:val="en-US" w:eastAsia="ja-JP"/>
        </w:rPr>
        <w:tab/>
      </w:r>
      <w:r>
        <w:rPr>
          <w:noProof/>
        </w:rPr>
        <w:t>Pilot study results SPSS: Intervention group (n=16) versus controls (n=16)</w:t>
      </w:r>
      <w:r>
        <w:rPr>
          <w:noProof/>
        </w:rPr>
        <w:tab/>
      </w:r>
      <w:r>
        <w:rPr>
          <w:noProof/>
        </w:rPr>
        <w:fldChar w:fldCharType="begin"/>
      </w:r>
      <w:r>
        <w:rPr>
          <w:noProof/>
        </w:rPr>
        <w:instrText xml:space="preserve"> PAGEREF _Toc419116238 \h </w:instrText>
      </w:r>
      <w:r>
        <w:rPr>
          <w:noProof/>
        </w:rPr>
      </w:r>
      <w:r>
        <w:rPr>
          <w:noProof/>
        </w:rPr>
        <w:fldChar w:fldCharType="separate"/>
      </w:r>
      <w:r>
        <w:rPr>
          <w:noProof/>
        </w:rPr>
        <w:t>526</w:t>
      </w:r>
      <w:r>
        <w:rPr>
          <w:noProof/>
        </w:rPr>
        <w:fldChar w:fldCharType="end"/>
      </w:r>
    </w:p>
    <w:p w14:paraId="683B32CA"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13.24.</w:t>
      </w:r>
      <w:r>
        <w:rPr>
          <w:rFonts w:eastAsiaTheme="minorEastAsia" w:cstheme="minorBidi"/>
          <w:b w:val="0"/>
          <w:noProof/>
          <w:sz w:val="24"/>
          <w:szCs w:val="24"/>
          <w:lang w:val="en-US" w:eastAsia="ja-JP"/>
        </w:rPr>
        <w:tab/>
      </w:r>
      <w:r>
        <w:rPr>
          <w:noProof/>
        </w:rPr>
        <w:t>Pre and post-course confidence scores</w:t>
      </w:r>
      <w:r>
        <w:rPr>
          <w:noProof/>
        </w:rPr>
        <w:tab/>
      </w:r>
      <w:r>
        <w:rPr>
          <w:noProof/>
        </w:rPr>
        <w:fldChar w:fldCharType="begin"/>
      </w:r>
      <w:r>
        <w:rPr>
          <w:noProof/>
        </w:rPr>
        <w:instrText xml:space="preserve"> PAGEREF _Toc419116239 \h </w:instrText>
      </w:r>
      <w:r>
        <w:rPr>
          <w:noProof/>
        </w:rPr>
      </w:r>
      <w:r>
        <w:rPr>
          <w:noProof/>
        </w:rPr>
        <w:fldChar w:fldCharType="separate"/>
      </w:r>
      <w:r>
        <w:rPr>
          <w:noProof/>
        </w:rPr>
        <w:t>527</w:t>
      </w:r>
      <w:r>
        <w:rPr>
          <w:noProof/>
        </w:rPr>
        <w:fldChar w:fldCharType="end"/>
      </w:r>
    </w:p>
    <w:p w14:paraId="421853A3"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13.25.</w:t>
      </w:r>
      <w:r>
        <w:rPr>
          <w:rFonts w:eastAsiaTheme="minorEastAsia" w:cstheme="minorBidi"/>
          <w:b w:val="0"/>
          <w:noProof/>
          <w:sz w:val="24"/>
          <w:szCs w:val="24"/>
          <w:lang w:val="en-US" w:eastAsia="ja-JP"/>
        </w:rPr>
        <w:tab/>
      </w:r>
      <w:r>
        <w:rPr>
          <w:noProof/>
        </w:rPr>
        <w:t>Communalities for principal component analysis (PCA)</w:t>
      </w:r>
      <w:r>
        <w:rPr>
          <w:noProof/>
        </w:rPr>
        <w:tab/>
      </w:r>
      <w:r>
        <w:rPr>
          <w:noProof/>
        </w:rPr>
        <w:fldChar w:fldCharType="begin"/>
      </w:r>
      <w:r>
        <w:rPr>
          <w:noProof/>
        </w:rPr>
        <w:instrText xml:space="preserve"> PAGEREF _Toc419116240 \h </w:instrText>
      </w:r>
      <w:r>
        <w:rPr>
          <w:noProof/>
        </w:rPr>
      </w:r>
      <w:r>
        <w:rPr>
          <w:noProof/>
        </w:rPr>
        <w:fldChar w:fldCharType="separate"/>
      </w:r>
      <w:r>
        <w:rPr>
          <w:noProof/>
        </w:rPr>
        <w:t>529</w:t>
      </w:r>
      <w:r>
        <w:rPr>
          <w:noProof/>
        </w:rPr>
        <w:fldChar w:fldCharType="end"/>
      </w:r>
    </w:p>
    <w:p w14:paraId="3A4D6F67"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13.26.</w:t>
      </w:r>
      <w:r>
        <w:rPr>
          <w:rFonts w:eastAsiaTheme="minorEastAsia" w:cstheme="minorBidi"/>
          <w:b w:val="0"/>
          <w:noProof/>
          <w:sz w:val="24"/>
          <w:szCs w:val="24"/>
          <w:lang w:val="en-US" w:eastAsia="ja-JP"/>
        </w:rPr>
        <w:tab/>
      </w:r>
      <w:r>
        <w:rPr>
          <w:noProof/>
        </w:rPr>
        <w:t>Component matrix for PCA</w:t>
      </w:r>
      <w:r>
        <w:rPr>
          <w:noProof/>
        </w:rPr>
        <w:tab/>
      </w:r>
      <w:r>
        <w:rPr>
          <w:noProof/>
        </w:rPr>
        <w:fldChar w:fldCharType="begin"/>
      </w:r>
      <w:r>
        <w:rPr>
          <w:noProof/>
        </w:rPr>
        <w:instrText xml:space="preserve"> PAGEREF _Toc419116241 \h </w:instrText>
      </w:r>
      <w:r>
        <w:rPr>
          <w:noProof/>
        </w:rPr>
      </w:r>
      <w:r>
        <w:rPr>
          <w:noProof/>
        </w:rPr>
        <w:fldChar w:fldCharType="separate"/>
      </w:r>
      <w:r>
        <w:rPr>
          <w:noProof/>
        </w:rPr>
        <w:t>530</w:t>
      </w:r>
      <w:r>
        <w:rPr>
          <w:noProof/>
        </w:rPr>
        <w:fldChar w:fldCharType="end"/>
      </w:r>
    </w:p>
    <w:p w14:paraId="47B79E6E"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13.27.</w:t>
      </w:r>
      <w:r>
        <w:rPr>
          <w:rFonts w:eastAsiaTheme="minorEastAsia" w:cstheme="minorBidi"/>
          <w:b w:val="0"/>
          <w:noProof/>
          <w:sz w:val="24"/>
          <w:szCs w:val="24"/>
          <w:lang w:val="en-US" w:eastAsia="ja-JP"/>
        </w:rPr>
        <w:tab/>
      </w:r>
      <w:r>
        <w:rPr>
          <w:noProof/>
        </w:rPr>
        <w:t>Tests of normality on baseline confidence scores</w:t>
      </w:r>
      <w:r>
        <w:rPr>
          <w:noProof/>
        </w:rPr>
        <w:tab/>
      </w:r>
      <w:r>
        <w:rPr>
          <w:noProof/>
        </w:rPr>
        <w:fldChar w:fldCharType="begin"/>
      </w:r>
      <w:r>
        <w:rPr>
          <w:noProof/>
        </w:rPr>
        <w:instrText xml:space="preserve"> PAGEREF _Toc419116242 \h </w:instrText>
      </w:r>
      <w:r>
        <w:rPr>
          <w:noProof/>
        </w:rPr>
      </w:r>
      <w:r>
        <w:rPr>
          <w:noProof/>
        </w:rPr>
        <w:fldChar w:fldCharType="separate"/>
      </w:r>
      <w:r>
        <w:rPr>
          <w:noProof/>
        </w:rPr>
        <w:t>532</w:t>
      </w:r>
      <w:r>
        <w:rPr>
          <w:noProof/>
        </w:rPr>
        <w:fldChar w:fldCharType="end"/>
      </w:r>
    </w:p>
    <w:p w14:paraId="6A45BDE5"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13.28.</w:t>
      </w:r>
      <w:r>
        <w:rPr>
          <w:rFonts w:eastAsiaTheme="minorEastAsia" w:cstheme="minorBidi"/>
          <w:b w:val="0"/>
          <w:noProof/>
          <w:sz w:val="24"/>
          <w:szCs w:val="24"/>
          <w:lang w:val="en-US" w:eastAsia="ja-JP"/>
        </w:rPr>
        <w:tab/>
      </w:r>
      <w:r>
        <w:rPr>
          <w:noProof/>
        </w:rPr>
        <w:t>ANOVA for 58 students confidence scores over four conditions (completed data)</w:t>
      </w:r>
      <w:r>
        <w:rPr>
          <w:noProof/>
        </w:rPr>
        <w:tab/>
      </w:r>
      <w:r>
        <w:rPr>
          <w:noProof/>
        </w:rPr>
        <w:fldChar w:fldCharType="begin"/>
      </w:r>
      <w:r>
        <w:rPr>
          <w:noProof/>
        </w:rPr>
        <w:instrText xml:space="preserve"> PAGEREF _Toc419116243 \h </w:instrText>
      </w:r>
      <w:r>
        <w:rPr>
          <w:noProof/>
        </w:rPr>
      </w:r>
      <w:r>
        <w:rPr>
          <w:noProof/>
        </w:rPr>
        <w:fldChar w:fldCharType="separate"/>
      </w:r>
      <w:r>
        <w:rPr>
          <w:noProof/>
        </w:rPr>
        <w:t>535</w:t>
      </w:r>
      <w:r>
        <w:rPr>
          <w:noProof/>
        </w:rPr>
        <w:fldChar w:fldCharType="end"/>
      </w:r>
    </w:p>
    <w:p w14:paraId="1092F587"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13.29.</w:t>
      </w:r>
      <w:r>
        <w:rPr>
          <w:rFonts w:eastAsiaTheme="minorEastAsia" w:cstheme="minorBidi"/>
          <w:b w:val="0"/>
          <w:noProof/>
          <w:sz w:val="24"/>
          <w:szCs w:val="24"/>
          <w:lang w:val="en-US" w:eastAsia="ja-JP"/>
        </w:rPr>
        <w:tab/>
      </w:r>
      <w:r>
        <w:rPr>
          <w:noProof/>
        </w:rPr>
        <w:t>SPSS outputs detailing planned comparisons between 4 conditions</w:t>
      </w:r>
      <w:r>
        <w:rPr>
          <w:noProof/>
        </w:rPr>
        <w:tab/>
      </w:r>
      <w:r>
        <w:rPr>
          <w:noProof/>
        </w:rPr>
        <w:fldChar w:fldCharType="begin"/>
      </w:r>
      <w:r>
        <w:rPr>
          <w:noProof/>
        </w:rPr>
        <w:instrText xml:space="preserve"> PAGEREF _Toc419116244 \h </w:instrText>
      </w:r>
      <w:r>
        <w:rPr>
          <w:noProof/>
        </w:rPr>
      </w:r>
      <w:r>
        <w:rPr>
          <w:noProof/>
        </w:rPr>
        <w:fldChar w:fldCharType="separate"/>
      </w:r>
      <w:r>
        <w:rPr>
          <w:noProof/>
        </w:rPr>
        <w:t>537</w:t>
      </w:r>
      <w:r>
        <w:rPr>
          <w:noProof/>
        </w:rPr>
        <w:fldChar w:fldCharType="end"/>
      </w:r>
    </w:p>
    <w:p w14:paraId="70E1EEC4"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13.30.</w:t>
      </w:r>
      <w:r>
        <w:rPr>
          <w:rFonts w:eastAsiaTheme="minorEastAsia" w:cstheme="minorBidi"/>
          <w:b w:val="0"/>
          <w:noProof/>
          <w:sz w:val="24"/>
          <w:szCs w:val="24"/>
          <w:lang w:val="en-US" w:eastAsia="ja-JP"/>
        </w:rPr>
        <w:tab/>
      </w:r>
      <w:r>
        <w:rPr>
          <w:noProof/>
        </w:rPr>
        <w:t>Analysis of missing values (ANOVA) compared with present values in complete data set</w:t>
      </w:r>
      <w:r>
        <w:rPr>
          <w:noProof/>
        </w:rPr>
        <w:tab/>
      </w:r>
      <w:r>
        <w:rPr>
          <w:noProof/>
        </w:rPr>
        <w:fldChar w:fldCharType="begin"/>
      </w:r>
      <w:r>
        <w:rPr>
          <w:noProof/>
        </w:rPr>
        <w:instrText xml:space="preserve"> PAGEREF _Toc419116245 \h </w:instrText>
      </w:r>
      <w:r>
        <w:rPr>
          <w:noProof/>
        </w:rPr>
      </w:r>
      <w:r>
        <w:rPr>
          <w:noProof/>
        </w:rPr>
        <w:fldChar w:fldCharType="separate"/>
      </w:r>
      <w:r>
        <w:rPr>
          <w:noProof/>
        </w:rPr>
        <w:t>541</w:t>
      </w:r>
      <w:r>
        <w:rPr>
          <w:noProof/>
        </w:rPr>
        <w:fldChar w:fldCharType="end"/>
      </w:r>
    </w:p>
    <w:p w14:paraId="2691D449"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13.31.</w:t>
      </w:r>
      <w:r>
        <w:rPr>
          <w:rFonts w:eastAsiaTheme="minorEastAsia" w:cstheme="minorBidi"/>
          <w:b w:val="0"/>
          <w:noProof/>
          <w:sz w:val="24"/>
          <w:szCs w:val="24"/>
          <w:lang w:val="en-US" w:eastAsia="ja-JP"/>
        </w:rPr>
        <w:tab/>
      </w:r>
      <w:r>
        <w:rPr>
          <w:noProof/>
        </w:rPr>
        <w:t>Correlations: Confidence and performance</w:t>
      </w:r>
      <w:r>
        <w:rPr>
          <w:noProof/>
        </w:rPr>
        <w:tab/>
      </w:r>
      <w:r>
        <w:rPr>
          <w:noProof/>
        </w:rPr>
        <w:fldChar w:fldCharType="begin"/>
      </w:r>
      <w:r>
        <w:rPr>
          <w:noProof/>
        </w:rPr>
        <w:instrText xml:space="preserve"> PAGEREF _Toc419116246 \h </w:instrText>
      </w:r>
      <w:r>
        <w:rPr>
          <w:noProof/>
        </w:rPr>
      </w:r>
      <w:r>
        <w:rPr>
          <w:noProof/>
        </w:rPr>
        <w:fldChar w:fldCharType="separate"/>
      </w:r>
      <w:r>
        <w:rPr>
          <w:noProof/>
        </w:rPr>
        <w:t>545</w:t>
      </w:r>
      <w:r>
        <w:rPr>
          <w:noProof/>
        </w:rPr>
        <w:fldChar w:fldCharType="end"/>
      </w:r>
    </w:p>
    <w:p w14:paraId="4389AA65"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13.32.</w:t>
      </w:r>
      <w:r>
        <w:rPr>
          <w:rFonts w:eastAsiaTheme="minorEastAsia" w:cstheme="minorBidi"/>
          <w:b w:val="0"/>
          <w:noProof/>
          <w:sz w:val="24"/>
          <w:szCs w:val="24"/>
          <w:lang w:val="en-US" w:eastAsia="ja-JP"/>
        </w:rPr>
        <w:tab/>
      </w:r>
      <w:r>
        <w:rPr>
          <w:noProof/>
        </w:rPr>
        <w:t>Development of interview topic guide:</w:t>
      </w:r>
      <w:r>
        <w:rPr>
          <w:noProof/>
        </w:rPr>
        <w:tab/>
      </w:r>
      <w:r>
        <w:rPr>
          <w:noProof/>
        </w:rPr>
        <w:fldChar w:fldCharType="begin"/>
      </w:r>
      <w:r>
        <w:rPr>
          <w:noProof/>
        </w:rPr>
        <w:instrText xml:space="preserve"> PAGEREF _Toc419116247 \h </w:instrText>
      </w:r>
      <w:r>
        <w:rPr>
          <w:noProof/>
        </w:rPr>
      </w:r>
      <w:r>
        <w:rPr>
          <w:noProof/>
        </w:rPr>
        <w:fldChar w:fldCharType="separate"/>
      </w:r>
      <w:r>
        <w:rPr>
          <w:noProof/>
        </w:rPr>
        <w:t>548</w:t>
      </w:r>
      <w:r>
        <w:rPr>
          <w:noProof/>
        </w:rPr>
        <w:fldChar w:fldCharType="end"/>
      </w:r>
    </w:p>
    <w:p w14:paraId="135AAF2C"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13.33.</w:t>
      </w:r>
      <w:r>
        <w:rPr>
          <w:rFonts w:eastAsiaTheme="minorEastAsia" w:cstheme="minorBidi"/>
          <w:b w:val="0"/>
          <w:noProof/>
          <w:sz w:val="24"/>
          <w:szCs w:val="24"/>
          <w:lang w:val="en-US" w:eastAsia="ja-JP"/>
        </w:rPr>
        <w:tab/>
      </w:r>
      <w:r>
        <w:rPr>
          <w:noProof/>
        </w:rPr>
        <w:t>Interview topic guide</w:t>
      </w:r>
      <w:r>
        <w:rPr>
          <w:noProof/>
        </w:rPr>
        <w:tab/>
      </w:r>
      <w:r>
        <w:rPr>
          <w:noProof/>
        </w:rPr>
        <w:fldChar w:fldCharType="begin"/>
      </w:r>
      <w:r>
        <w:rPr>
          <w:noProof/>
        </w:rPr>
        <w:instrText xml:space="preserve"> PAGEREF _Toc419116248 \h </w:instrText>
      </w:r>
      <w:r>
        <w:rPr>
          <w:noProof/>
        </w:rPr>
      </w:r>
      <w:r>
        <w:rPr>
          <w:noProof/>
        </w:rPr>
        <w:fldChar w:fldCharType="separate"/>
      </w:r>
      <w:r>
        <w:rPr>
          <w:noProof/>
        </w:rPr>
        <w:t>549</w:t>
      </w:r>
      <w:r>
        <w:rPr>
          <w:noProof/>
        </w:rPr>
        <w:fldChar w:fldCharType="end"/>
      </w:r>
    </w:p>
    <w:p w14:paraId="18FEF398"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13.34.</w:t>
      </w:r>
      <w:r>
        <w:rPr>
          <w:rFonts w:eastAsiaTheme="minorEastAsia" w:cstheme="minorBidi"/>
          <w:b w:val="0"/>
          <w:noProof/>
          <w:sz w:val="24"/>
          <w:szCs w:val="24"/>
          <w:lang w:val="en-US" w:eastAsia="ja-JP"/>
        </w:rPr>
        <w:tab/>
      </w:r>
      <w:r>
        <w:rPr>
          <w:noProof/>
        </w:rPr>
        <w:t>Interview information sheet</w:t>
      </w:r>
      <w:r>
        <w:rPr>
          <w:noProof/>
        </w:rPr>
        <w:tab/>
      </w:r>
      <w:r>
        <w:rPr>
          <w:noProof/>
        </w:rPr>
        <w:fldChar w:fldCharType="begin"/>
      </w:r>
      <w:r>
        <w:rPr>
          <w:noProof/>
        </w:rPr>
        <w:instrText xml:space="preserve"> PAGEREF _Toc419116249 \h </w:instrText>
      </w:r>
      <w:r>
        <w:rPr>
          <w:noProof/>
        </w:rPr>
      </w:r>
      <w:r>
        <w:rPr>
          <w:noProof/>
        </w:rPr>
        <w:fldChar w:fldCharType="separate"/>
      </w:r>
      <w:r>
        <w:rPr>
          <w:noProof/>
        </w:rPr>
        <w:t>551</w:t>
      </w:r>
      <w:r>
        <w:rPr>
          <w:noProof/>
        </w:rPr>
        <w:fldChar w:fldCharType="end"/>
      </w:r>
    </w:p>
    <w:p w14:paraId="07D3C213"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13.35.</w:t>
      </w:r>
      <w:r>
        <w:rPr>
          <w:rFonts w:eastAsiaTheme="minorEastAsia" w:cstheme="minorBidi"/>
          <w:b w:val="0"/>
          <w:noProof/>
          <w:sz w:val="24"/>
          <w:szCs w:val="24"/>
          <w:lang w:val="en-US" w:eastAsia="ja-JP"/>
        </w:rPr>
        <w:tab/>
      </w:r>
      <w:r>
        <w:rPr>
          <w:noProof/>
        </w:rPr>
        <w:t>Framework thematic classification</w:t>
      </w:r>
      <w:r>
        <w:rPr>
          <w:noProof/>
        </w:rPr>
        <w:tab/>
      </w:r>
      <w:r>
        <w:rPr>
          <w:noProof/>
        </w:rPr>
        <w:fldChar w:fldCharType="begin"/>
      </w:r>
      <w:r>
        <w:rPr>
          <w:noProof/>
        </w:rPr>
        <w:instrText xml:space="preserve"> PAGEREF _Toc419116250 \h </w:instrText>
      </w:r>
      <w:r>
        <w:rPr>
          <w:noProof/>
        </w:rPr>
      </w:r>
      <w:r>
        <w:rPr>
          <w:noProof/>
        </w:rPr>
        <w:fldChar w:fldCharType="separate"/>
      </w:r>
      <w:r>
        <w:rPr>
          <w:noProof/>
        </w:rPr>
        <w:t>553</w:t>
      </w:r>
      <w:r>
        <w:rPr>
          <w:noProof/>
        </w:rPr>
        <w:fldChar w:fldCharType="end"/>
      </w:r>
    </w:p>
    <w:p w14:paraId="61C8FAB0"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13.36.</w:t>
      </w:r>
      <w:r>
        <w:rPr>
          <w:rFonts w:eastAsiaTheme="minorEastAsia" w:cstheme="minorBidi"/>
          <w:b w:val="0"/>
          <w:noProof/>
          <w:sz w:val="24"/>
          <w:szCs w:val="24"/>
          <w:lang w:val="en-US" w:eastAsia="ja-JP"/>
        </w:rPr>
        <w:tab/>
      </w:r>
      <w:r>
        <w:rPr>
          <w:noProof/>
        </w:rPr>
        <w:t>Framework example with case, summary and original data</w:t>
      </w:r>
      <w:r>
        <w:rPr>
          <w:noProof/>
        </w:rPr>
        <w:tab/>
      </w:r>
      <w:r>
        <w:rPr>
          <w:noProof/>
        </w:rPr>
        <w:fldChar w:fldCharType="begin"/>
      </w:r>
      <w:r>
        <w:rPr>
          <w:noProof/>
        </w:rPr>
        <w:instrText xml:space="preserve"> PAGEREF _Toc419116251 \h </w:instrText>
      </w:r>
      <w:r>
        <w:rPr>
          <w:noProof/>
        </w:rPr>
      </w:r>
      <w:r>
        <w:rPr>
          <w:noProof/>
        </w:rPr>
        <w:fldChar w:fldCharType="separate"/>
      </w:r>
      <w:r>
        <w:rPr>
          <w:noProof/>
        </w:rPr>
        <w:t>554</w:t>
      </w:r>
      <w:r>
        <w:rPr>
          <w:noProof/>
        </w:rPr>
        <w:fldChar w:fldCharType="end"/>
      </w:r>
    </w:p>
    <w:p w14:paraId="76461D15"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13.37.</w:t>
      </w:r>
      <w:r>
        <w:rPr>
          <w:rFonts w:eastAsiaTheme="minorEastAsia" w:cstheme="minorBidi"/>
          <w:b w:val="0"/>
          <w:noProof/>
          <w:sz w:val="24"/>
          <w:szCs w:val="24"/>
          <w:lang w:val="en-US" w:eastAsia="ja-JP"/>
        </w:rPr>
        <w:tab/>
      </w:r>
      <w:r>
        <w:rPr>
          <w:noProof/>
        </w:rPr>
        <w:t>Thematic analysis using framework matrix – process – abstract conceptualisation - responsibility and practice under pressure</w:t>
      </w:r>
      <w:r>
        <w:rPr>
          <w:noProof/>
        </w:rPr>
        <w:tab/>
      </w:r>
      <w:r>
        <w:rPr>
          <w:noProof/>
        </w:rPr>
        <w:fldChar w:fldCharType="begin"/>
      </w:r>
      <w:r>
        <w:rPr>
          <w:noProof/>
        </w:rPr>
        <w:instrText xml:space="preserve"> PAGEREF _Toc419116252 \h </w:instrText>
      </w:r>
      <w:r>
        <w:rPr>
          <w:noProof/>
        </w:rPr>
      </w:r>
      <w:r>
        <w:rPr>
          <w:noProof/>
        </w:rPr>
        <w:fldChar w:fldCharType="separate"/>
      </w:r>
      <w:r>
        <w:rPr>
          <w:noProof/>
        </w:rPr>
        <w:t>556</w:t>
      </w:r>
      <w:r>
        <w:rPr>
          <w:noProof/>
        </w:rPr>
        <w:fldChar w:fldCharType="end"/>
      </w:r>
    </w:p>
    <w:p w14:paraId="7AD6A516"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13.38.</w:t>
      </w:r>
      <w:r>
        <w:rPr>
          <w:rFonts w:eastAsiaTheme="minorEastAsia" w:cstheme="minorBidi"/>
          <w:b w:val="0"/>
          <w:noProof/>
          <w:sz w:val="24"/>
          <w:szCs w:val="24"/>
          <w:lang w:val="en-US" w:eastAsia="ja-JP"/>
        </w:rPr>
        <w:tab/>
      </w:r>
      <w:r>
        <w:rPr>
          <w:noProof/>
        </w:rPr>
        <w:t>Practice under pressure</w:t>
      </w:r>
      <w:r>
        <w:rPr>
          <w:noProof/>
        </w:rPr>
        <w:tab/>
      </w:r>
      <w:r>
        <w:rPr>
          <w:noProof/>
        </w:rPr>
        <w:fldChar w:fldCharType="begin"/>
      </w:r>
      <w:r>
        <w:rPr>
          <w:noProof/>
        </w:rPr>
        <w:instrText xml:space="preserve"> PAGEREF _Toc419116253 \h </w:instrText>
      </w:r>
      <w:r>
        <w:rPr>
          <w:noProof/>
        </w:rPr>
      </w:r>
      <w:r>
        <w:rPr>
          <w:noProof/>
        </w:rPr>
        <w:fldChar w:fldCharType="separate"/>
      </w:r>
      <w:r>
        <w:rPr>
          <w:noProof/>
        </w:rPr>
        <w:t>559</w:t>
      </w:r>
      <w:r>
        <w:rPr>
          <w:noProof/>
        </w:rPr>
        <w:fldChar w:fldCharType="end"/>
      </w:r>
    </w:p>
    <w:p w14:paraId="178843F1"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lastRenderedPageBreak/>
        <w:t>13.39.</w:t>
      </w:r>
      <w:r>
        <w:rPr>
          <w:rFonts w:eastAsiaTheme="minorEastAsia" w:cstheme="minorBidi"/>
          <w:b w:val="0"/>
          <w:noProof/>
          <w:sz w:val="24"/>
          <w:szCs w:val="24"/>
          <w:lang w:val="en-US" w:eastAsia="ja-JP"/>
        </w:rPr>
        <w:tab/>
      </w:r>
      <w:r>
        <w:rPr>
          <w:noProof/>
        </w:rPr>
        <w:t>Culture and the hidden curriculum in healthcare</w:t>
      </w:r>
      <w:r>
        <w:rPr>
          <w:noProof/>
        </w:rPr>
        <w:tab/>
      </w:r>
      <w:r>
        <w:rPr>
          <w:noProof/>
        </w:rPr>
        <w:fldChar w:fldCharType="begin"/>
      </w:r>
      <w:r>
        <w:rPr>
          <w:noProof/>
        </w:rPr>
        <w:instrText xml:space="preserve"> PAGEREF _Toc419116254 \h </w:instrText>
      </w:r>
      <w:r>
        <w:rPr>
          <w:noProof/>
        </w:rPr>
      </w:r>
      <w:r>
        <w:rPr>
          <w:noProof/>
        </w:rPr>
        <w:fldChar w:fldCharType="separate"/>
      </w:r>
      <w:r>
        <w:rPr>
          <w:noProof/>
        </w:rPr>
        <w:t>562</w:t>
      </w:r>
      <w:r>
        <w:rPr>
          <w:noProof/>
        </w:rPr>
        <w:fldChar w:fldCharType="end"/>
      </w:r>
    </w:p>
    <w:p w14:paraId="61A32D45"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13.40.</w:t>
      </w:r>
      <w:r>
        <w:rPr>
          <w:rFonts w:eastAsiaTheme="minorEastAsia" w:cstheme="minorBidi"/>
          <w:b w:val="0"/>
          <w:noProof/>
          <w:sz w:val="24"/>
          <w:szCs w:val="24"/>
          <w:lang w:val="en-US" w:eastAsia="ja-JP"/>
        </w:rPr>
        <w:tab/>
      </w:r>
      <w:r>
        <w:rPr>
          <w:noProof/>
        </w:rPr>
        <w:t>Methods to address culture and the hidden curriculum in healthcare</w:t>
      </w:r>
      <w:r>
        <w:rPr>
          <w:noProof/>
        </w:rPr>
        <w:tab/>
      </w:r>
      <w:r>
        <w:rPr>
          <w:noProof/>
        </w:rPr>
        <w:fldChar w:fldCharType="begin"/>
      </w:r>
      <w:r>
        <w:rPr>
          <w:noProof/>
        </w:rPr>
        <w:instrText xml:space="preserve"> PAGEREF _Toc419116255 \h </w:instrText>
      </w:r>
      <w:r>
        <w:rPr>
          <w:noProof/>
        </w:rPr>
      </w:r>
      <w:r>
        <w:rPr>
          <w:noProof/>
        </w:rPr>
        <w:fldChar w:fldCharType="separate"/>
      </w:r>
      <w:r>
        <w:rPr>
          <w:noProof/>
        </w:rPr>
        <w:t>562</w:t>
      </w:r>
      <w:r>
        <w:rPr>
          <w:noProof/>
        </w:rPr>
        <w:fldChar w:fldCharType="end"/>
      </w:r>
    </w:p>
    <w:p w14:paraId="4C0C9D29"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13.41.</w:t>
      </w:r>
      <w:r>
        <w:rPr>
          <w:rFonts w:eastAsiaTheme="minorEastAsia" w:cstheme="minorBidi"/>
          <w:b w:val="0"/>
          <w:noProof/>
          <w:sz w:val="24"/>
          <w:szCs w:val="24"/>
          <w:lang w:val="en-US" w:eastAsia="ja-JP"/>
        </w:rPr>
        <w:tab/>
      </w:r>
      <w:r>
        <w:rPr>
          <w:noProof/>
        </w:rPr>
        <w:t>Human factors</w:t>
      </w:r>
      <w:r>
        <w:rPr>
          <w:noProof/>
        </w:rPr>
        <w:tab/>
      </w:r>
      <w:r>
        <w:rPr>
          <w:noProof/>
        </w:rPr>
        <w:fldChar w:fldCharType="begin"/>
      </w:r>
      <w:r>
        <w:rPr>
          <w:noProof/>
        </w:rPr>
        <w:instrText xml:space="preserve"> PAGEREF _Toc419116256 \h </w:instrText>
      </w:r>
      <w:r>
        <w:rPr>
          <w:noProof/>
        </w:rPr>
      </w:r>
      <w:r>
        <w:rPr>
          <w:noProof/>
        </w:rPr>
        <w:fldChar w:fldCharType="separate"/>
      </w:r>
      <w:r>
        <w:rPr>
          <w:noProof/>
        </w:rPr>
        <w:t>563</w:t>
      </w:r>
      <w:r>
        <w:rPr>
          <w:noProof/>
        </w:rPr>
        <w:fldChar w:fldCharType="end"/>
      </w:r>
    </w:p>
    <w:p w14:paraId="1AF619B8"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13.42.</w:t>
      </w:r>
      <w:r>
        <w:rPr>
          <w:rFonts w:eastAsiaTheme="minorEastAsia" w:cstheme="minorBidi"/>
          <w:b w:val="0"/>
          <w:noProof/>
          <w:sz w:val="24"/>
          <w:szCs w:val="24"/>
          <w:lang w:val="en-US" w:eastAsia="ja-JP"/>
        </w:rPr>
        <w:tab/>
      </w:r>
      <w:r>
        <w:rPr>
          <w:noProof/>
        </w:rPr>
        <w:t>Non-technical skills</w:t>
      </w:r>
      <w:r>
        <w:rPr>
          <w:noProof/>
        </w:rPr>
        <w:tab/>
      </w:r>
      <w:r>
        <w:rPr>
          <w:noProof/>
        </w:rPr>
        <w:fldChar w:fldCharType="begin"/>
      </w:r>
      <w:r>
        <w:rPr>
          <w:noProof/>
        </w:rPr>
        <w:instrText xml:space="preserve"> PAGEREF _Toc419116257 \h </w:instrText>
      </w:r>
      <w:r>
        <w:rPr>
          <w:noProof/>
        </w:rPr>
      </w:r>
      <w:r>
        <w:rPr>
          <w:noProof/>
        </w:rPr>
        <w:fldChar w:fldCharType="separate"/>
      </w:r>
      <w:r>
        <w:rPr>
          <w:noProof/>
        </w:rPr>
        <w:t>564</w:t>
      </w:r>
      <w:r>
        <w:rPr>
          <w:noProof/>
        </w:rPr>
        <w:fldChar w:fldCharType="end"/>
      </w:r>
    </w:p>
    <w:p w14:paraId="6E4569EE"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13.43.</w:t>
      </w:r>
      <w:r>
        <w:rPr>
          <w:rFonts w:eastAsiaTheme="minorEastAsia" w:cstheme="minorBidi"/>
          <w:b w:val="0"/>
          <w:noProof/>
          <w:sz w:val="24"/>
          <w:szCs w:val="24"/>
          <w:lang w:val="en-US" w:eastAsia="ja-JP"/>
        </w:rPr>
        <w:tab/>
      </w:r>
      <w:r>
        <w:rPr>
          <w:noProof/>
        </w:rPr>
        <w:t>Human factors: When and how to teach</w:t>
      </w:r>
      <w:r>
        <w:rPr>
          <w:noProof/>
        </w:rPr>
        <w:tab/>
      </w:r>
      <w:r>
        <w:rPr>
          <w:noProof/>
        </w:rPr>
        <w:fldChar w:fldCharType="begin"/>
      </w:r>
      <w:r>
        <w:rPr>
          <w:noProof/>
        </w:rPr>
        <w:instrText xml:space="preserve"> PAGEREF _Toc419116258 \h </w:instrText>
      </w:r>
      <w:r>
        <w:rPr>
          <w:noProof/>
        </w:rPr>
      </w:r>
      <w:r>
        <w:rPr>
          <w:noProof/>
        </w:rPr>
        <w:fldChar w:fldCharType="separate"/>
      </w:r>
      <w:r>
        <w:rPr>
          <w:noProof/>
        </w:rPr>
        <w:t>565</w:t>
      </w:r>
      <w:r>
        <w:rPr>
          <w:noProof/>
        </w:rPr>
        <w:fldChar w:fldCharType="end"/>
      </w:r>
    </w:p>
    <w:p w14:paraId="77FDB13D"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13.44.</w:t>
      </w:r>
      <w:r>
        <w:rPr>
          <w:rFonts w:eastAsiaTheme="minorEastAsia" w:cstheme="minorBidi"/>
          <w:b w:val="0"/>
          <w:noProof/>
          <w:sz w:val="24"/>
          <w:szCs w:val="24"/>
          <w:lang w:val="en-US" w:eastAsia="ja-JP"/>
        </w:rPr>
        <w:tab/>
      </w:r>
      <w:r>
        <w:rPr>
          <w:noProof/>
        </w:rPr>
        <w:t>Challenges and barriers for simulation-based medical education</w:t>
      </w:r>
      <w:r>
        <w:rPr>
          <w:noProof/>
        </w:rPr>
        <w:tab/>
      </w:r>
      <w:r>
        <w:rPr>
          <w:noProof/>
        </w:rPr>
        <w:fldChar w:fldCharType="begin"/>
      </w:r>
      <w:r>
        <w:rPr>
          <w:noProof/>
        </w:rPr>
        <w:instrText xml:space="preserve"> PAGEREF _Toc419116259 \h </w:instrText>
      </w:r>
      <w:r>
        <w:rPr>
          <w:noProof/>
        </w:rPr>
      </w:r>
      <w:r>
        <w:rPr>
          <w:noProof/>
        </w:rPr>
        <w:fldChar w:fldCharType="separate"/>
      </w:r>
      <w:r>
        <w:rPr>
          <w:noProof/>
        </w:rPr>
        <w:t>566</w:t>
      </w:r>
      <w:r>
        <w:rPr>
          <w:noProof/>
        </w:rPr>
        <w:fldChar w:fldCharType="end"/>
      </w:r>
    </w:p>
    <w:p w14:paraId="5A857302"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13.45.</w:t>
      </w:r>
      <w:r>
        <w:rPr>
          <w:rFonts w:eastAsiaTheme="minorEastAsia" w:cstheme="minorBidi"/>
          <w:b w:val="0"/>
          <w:noProof/>
          <w:sz w:val="24"/>
          <w:szCs w:val="24"/>
          <w:lang w:val="en-US" w:eastAsia="ja-JP"/>
        </w:rPr>
        <w:tab/>
      </w:r>
      <w:r>
        <w:rPr>
          <w:noProof/>
        </w:rPr>
        <w:t>Fidelity</w:t>
      </w:r>
      <w:r>
        <w:rPr>
          <w:noProof/>
        </w:rPr>
        <w:tab/>
      </w:r>
      <w:r>
        <w:rPr>
          <w:noProof/>
        </w:rPr>
        <w:fldChar w:fldCharType="begin"/>
      </w:r>
      <w:r>
        <w:rPr>
          <w:noProof/>
        </w:rPr>
        <w:instrText xml:space="preserve"> PAGEREF _Toc419116260 \h </w:instrText>
      </w:r>
      <w:r>
        <w:rPr>
          <w:noProof/>
        </w:rPr>
      </w:r>
      <w:r>
        <w:rPr>
          <w:noProof/>
        </w:rPr>
        <w:fldChar w:fldCharType="separate"/>
      </w:r>
      <w:r>
        <w:rPr>
          <w:noProof/>
        </w:rPr>
        <w:t>570</w:t>
      </w:r>
      <w:r>
        <w:rPr>
          <w:noProof/>
        </w:rPr>
        <w:fldChar w:fldCharType="end"/>
      </w:r>
    </w:p>
    <w:p w14:paraId="4C9A0BB0"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13.46.</w:t>
      </w:r>
      <w:r>
        <w:rPr>
          <w:rFonts w:eastAsiaTheme="minorEastAsia" w:cstheme="minorBidi"/>
          <w:b w:val="0"/>
          <w:noProof/>
          <w:sz w:val="24"/>
          <w:szCs w:val="24"/>
          <w:lang w:val="en-US" w:eastAsia="ja-JP"/>
        </w:rPr>
        <w:tab/>
      </w:r>
      <w:r>
        <w:rPr>
          <w:noProof/>
        </w:rPr>
        <w:t>Faculty for SBME</w:t>
      </w:r>
      <w:r>
        <w:rPr>
          <w:noProof/>
        </w:rPr>
        <w:tab/>
      </w:r>
      <w:r>
        <w:rPr>
          <w:noProof/>
        </w:rPr>
        <w:fldChar w:fldCharType="begin"/>
      </w:r>
      <w:r>
        <w:rPr>
          <w:noProof/>
        </w:rPr>
        <w:instrText xml:space="preserve"> PAGEREF _Toc419116261 \h </w:instrText>
      </w:r>
      <w:r>
        <w:rPr>
          <w:noProof/>
        </w:rPr>
      </w:r>
      <w:r>
        <w:rPr>
          <w:noProof/>
        </w:rPr>
        <w:fldChar w:fldCharType="separate"/>
      </w:r>
      <w:r>
        <w:rPr>
          <w:noProof/>
        </w:rPr>
        <w:t>571</w:t>
      </w:r>
      <w:r>
        <w:rPr>
          <w:noProof/>
        </w:rPr>
        <w:fldChar w:fldCharType="end"/>
      </w:r>
    </w:p>
    <w:p w14:paraId="4CBF315C"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13.47.</w:t>
      </w:r>
      <w:r>
        <w:rPr>
          <w:rFonts w:eastAsiaTheme="minorEastAsia" w:cstheme="minorBidi"/>
          <w:b w:val="0"/>
          <w:noProof/>
          <w:sz w:val="24"/>
          <w:szCs w:val="24"/>
          <w:lang w:val="en-US" w:eastAsia="ja-JP"/>
        </w:rPr>
        <w:tab/>
      </w:r>
      <w:r>
        <w:rPr>
          <w:noProof/>
        </w:rPr>
        <w:t>Patient safety and SBME</w:t>
      </w:r>
      <w:r>
        <w:rPr>
          <w:noProof/>
        </w:rPr>
        <w:tab/>
      </w:r>
      <w:r>
        <w:rPr>
          <w:noProof/>
        </w:rPr>
        <w:fldChar w:fldCharType="begin"/>
      </w:r>
      <w:r>
        <w:rPr>
          <w:noProof/>
        </w:rPr>
        <w:instrText xml:space="preserve"> PAGEREF _Toc419116262 \h </w:instrText>
      </w:r>
      <w:r>
        <w:rPr>
          <w:noProof/>
        </w:rPr>
      </w:r>
      <w:r>
        <w:rPr>
          <w:noProof/>
        </w:rPr>
        <w:fldChar w:fldCharType="separate"/>
      </w:r>
      <w:r>
        <w:rPr>
          <w:noProof/>
        </w:rPr>
        <w:t>574</w:t>
      </w:r>
      <w:r>
        <w:rPr>
          <w:noProof/>
        </w:rPr>
        <w:fldChar w:fldCharType="end"/>
      </w:r>
    </w:p>
    <w:p w14:paraId="5DD568C4"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13.48.</w:t>
      </w:r>
      <w:r>
        <w:rPr>
          <w:rFonts w:eastAsiaTheme="minorEastAsia" w:cstheme="minorBidi"/>
          <w:b w:val="0"/>
          <w:noProof/>
          <w:sz w:val="24"/>
          <w:szCs w:val="24"/>
          <w:lang w:val="en-US" w:eastAsia="ja-JP"/>
        </w:rPr>
        <w:tab/>
      </w:r>
      <w:r>
        <w:rPr>
          <w:noProof/>
        </w:rPr>
        <w:t>Planning SBME</w:t>
      </w:r>
      <w:r>
        <w:rPr>
          <w:noProof/>
        </w:rPr>
        <w:tab/>
      </w:r>
      <w:r>
        <w:rPr>
          <w:noProof/>
        </w:rPr>
        <w:fldChar w:fldCharType="begin"/>
      </w:r>
      <w:r>
        <w:rPr>
          <w:noProof/>
        </w:rPr>
        <w:instrText xml:space="preserve"> PAGEREF _Toc419116263 \h </w:instrText>
      </w:r>
      <w:r>
        <w:rPr>
          <w:noProof/>
        </w:rPr>
      </w:r>
      <w:r>
        <w:rPr>
          <w:noProof/>
        </w:rPr>
        <w:fldChar w:fldCharType="separate"/>
      </w:r>
      <w:r>
        <w:rPr>
          <w:noProof/>
        </w:rPr>
        <w:t>575</w:t>
      </w:r>
      <w:r>
        <w:rPr>
          <w:noProof/>
        </w:rPr>
        <w:fldChar w:fldCharType="end"/>
      </w:r>
    </w:p>
    <w:p w14:paraId="5F2118F1" w14:textId="77777777" w:rsidR="00AC7474" w:rsidRDefault="00AC7474">
      <w:pPr>
        <w:pStyle w:val="TOC2"/>
        <w:tabs>
          <w:tab w:val="left" w:pos="1103"/>
          <w:tab w:val="right" w:leader="dot" w:pos="8488"/>
        </w:tabs>
        <w:rPr>
          <w:rFonts w:eastAsiaTheme="minorEastAsia" w:cstheme="minorBidi"/>
          <w:b w:val="0"/>
          <w:noProof/>
          <w:sz w:val="24"/>
          <w:szCs w:val="24"/>
          <w:lang w:val="en-US" w:eastAsia="ja-JP"/>
        </w:rPr>
      </w:pPr>
      <w:r>
        <w:rPr>
          <w:noProof/>
        </w:rPr>
        <w:t>13.49.</w:t>
      </w:r>
      <w:r>
        <w:rPr>
          <w:rFonts w:eastAsiaTheme="minorEastAsia" w:cstheme="minorBidi"/>
          <w:b w:val="0"/>
          <w:noProof/>
          <w:sz w:val="24"/>
          <w:szCs w:val="24"/>
          <w:lang w:val="en-US" w:eastAsia="ja-JP"/>
        </w:rPr>
        <w:tab/>
      </w:r>
      <w:r>
        <w:rPr>
          <w:noProof/>
        </w:rPr>
        <w:t>Roy Adaptation Model</w:t>
      </w:r>
      <w:r>
        <w:rPr>
          <w:noProof/>
        </w:rPr>
        <w:tab/>
      </w:r>
      <w:r>
        <w:rPr>
          <w:noProof/>
        </w:rPr>
        <w:fldChar w:fldCharType="begin"/>
      </w:r>
      <w:r>
        <w:rPr>
          <w:noProof/>
        </w:rPr>
        <w:instrText xml:space="preserve"> PAGEREF _Toc419116264 \h </w:instrText>
      </w:r>
      <w:r>
        <w:rPr>
          <w:noProof/>
        </w:rPr>
      </w:r>
      <w:r>
        <w:rPr>
          <w:noProof/>
        </w:rPr>
        <w:fldChar w:fldCharType="separate"/>
      </w:r>
      <w:r>
        <w:rPr>
          <w:noProof/>
        </w:rPr>
        <w:t>579</w:t>
      </w:r>
      <w:r>
        <w:rPr>
          <w:noProof/>
        </w:rPr>
        <w:fldChar w:fldCharType="end"/>
      </w:r>
    </w:p>
    <w:p w14:paraId="6D2416E5" w14:textId="7F9CA7FF" w:rsidR="002C5EF0" w:rsidRDefault="005F454B" w:rsidP="002C5EF0">
      <w:pPr>
        <w:pStyle w:val="TOC1"/>
      </w:pPr>
      <w:r>
        <w:fldChar w:fldCharType="end"/>
      </w:r>
    </w:p>
    <w:p w14:paraId="1C8F4D73" w14:textId="77777777" w:rsidR="00D24765" w:rsidRDefault="00D24765" w:rsidP="00B855D4">
      <w:pPr>
        <w:spacing w:line="360" w:lineRule="auto"/>
        <w:rPr>
          <w:rFonts w:cs="Arial"/>
        </w:rPr>
      </w:pPr>
    </w:p>
    <w:p w14:paraId="2383ADAF" w14:textId="77777777" w:rsidR="00F867EF" w:rsidRDefault="00F867EF" w:rsidP="00B855D4">
      <w:pPr>
        <w:spacing w:line="360" w:lineRule="auto"/>
        <w:rPr>
          <w:rFonts w:cs="Arial"/>
        </w:rPr>
        <w:sectPr w:rsidR="00F867EF" w:rsidSect="001E2A74">
          <w:footerReference w:type="even" r:id="rId9"/>
          <w:footerReference w:type="default" r:id="rId10"/>
          <w:headerReference w:type="first" r:id="rId11"/>
          <w:footerReference w:type="first" r:id="rId12"/>
          <w:pgSz w:w="11900" w:h="16840"/>
          <w:pgMar w:top="1134" w:right="1134" w:bottom="1134" w:left="2268" w:header="1134" w:footer="1134" w:gutter="0"/>
          <w:pgNumType w:fmt="upperRoman" w:start="1"/>
          <w:cols w:space="708"/>
          <w:docGrid w:linePitch="360"/>
        </w:sectPr>
      </w:pPr>
    </w:p>
    <w:p w14:paraId="6BB3F879" w14:textId="77777777" w:rsidR="009344E7" w:rsidRDefault="009344E7" w:rsidP="006F09AC">
      <w:pPr>
        <w:pStyle w:val="Heading1"/>
        <w:sectPr w:rsidR="009344E7" w:rsidSect="006F2A58">
          <w:footerReference w:type="default" r:id="rId13"/>
          <w:type w:val="continuous"/>
          <w:pgSz w:w="11900" w:h="16840"/>
          <w:pgMar w:top="1134" w:right="1134" w:bottom="1134" w:left="2268" w:header="1134" w:footer="1134" w:gutter="0"/>
          <w:pgNumType w:fmt="upperRoman"/>
          <w:cols w:space="708"/>
          <w:docGrid w:linePitch="360"/>
        </w:sectPr>
      </w:pPr>
    </w:p>
    <w:p w14:paraId="4DC75AD6" w14:textId="1C675196" w:rsidR="00F867EF" w:rsidRDefault="005057DE" w:rsidP="00C9395B">
      <w:bookmarkStart w:id="2" w:name="_Toc343501077"/>
      <w:bookmarkStart w:id="3" w:name="_Toc348686278"/>
      <w:r w:rsidRPr="004261BC">
        <w:rPr>
          <w:b/>
          <w:u w:val="single"/>
        </w:rPr>
        <w:lastRenderedPageBreak/>
        <w:t>Abstract</w:t>
      </w:r>
      <w:bookmarkEnd w:id="2"/>
      <w:bookmarkEnd w:id="3"/>
    </w:p>
    <w:p w14:paraId="47D794F6" w14:textId="77777777" w:rsidR="00493130" w:rsidRPr="00A87AE6" w:rsidRDefault="00493130" w:rsidP="00493130">
      <w:pPr>
        <w:pStyle w:val="TableofFigures"/>
        <w:tabs>
          <w:tab w:val="right" w:leader="dot" w:pos="8488"/>
        </w:tabs>
        <w:rPr>
          <w:rFonts w:cs="Arial"/>
          <w:bCs/>
          <w:szCs w:val="24"/>
          <w:u w:val="single"/>
        </w:rPr>
      </w:pPr>
      <w:r w:rsidRPr="00A87AE6">
        <w:rPr>
          <w:rFonts w:cs="Arial"/>
          <w:bCs/>
          <w:szCs w:val="24"/>
          <w:u w:val="single"/>
        </w:rPr>
        <w:t xml:space="preserve">Title: </w:t>
      </w:r>
    </w:p>
    <w:p w14:paraId="37348B0E" w14:textId="58B6137E" w:rsidR="00493130" w:rsidRPr="00C9395B" w:rsidRDefault="00493130" w:rsidP="00C9395B">
      <w:pPr>
        <w:rPr>
          <w:rFonts w:cs="Arial"/>
          <w:bCs/>
          <w:szCs w:val="24"/>
        </w:rPr>
      </w:pPr>
      <w:r>
        <w:rPr>
          <w:rFonts w:cs="Arial"/>
          <w:bCs/>
          <w:szCs w:val="24"/>
        </w:rPr>
        <w:t>E</w:t>
      </w:r>
      <w:r w:rsidRPr="006B7E11">
        <w:rPr>
          <w:rFonts w:cs="Arial"/>
          <w:bCs/>
          <w:szCs w:val="24"/>
        </w:rPr>
        <w:t>xplor</w:t>
      </w:r>
      <w:r>
        <w:rPr>
          <w:rFonts w:cs="Arial"/>
          <w:bCs/>
          <w:szCs w:val="24"/>
        </w:rPr>
        <w:t>ing</w:t>
      </w:r>
      <w:r w:rsidRPr="006B7E11">
        <w:rPr>
          <w:rFonts w:cs="Arial"/>
          <w:bCs/>
          <w:szCs w:val="24"/>
        </w:rPr>
        <w:t xml:space="preserve"> the added value of </w:t>
      </w:r>
      <w:r>
        <w:rPr>
          <w:rFonts w:cs="Arial"/>
          <w:bCs/>
          <w:szCs w:val="24"/>
        </w:rPr>
        <w:t>simulation-based</w:t>
      </w:r>
      <w:r w:rsidRPr="006B7E11">
        <w:rPr>
          <w:rFonts w:cs="Arial"/>
          <w:bCs/>
          <w:szCs w:val="24"/>
        </w:rPr>
        <w:t xml:space="preserve"> undergraduate medical education</w:t>
      </w:r>
      <w:r>
        <w:rPr>
          <w:rFonts w:cs="Arial"/>
          <w:bCs/>
          <w:szCs w:val="24"/>
        </w:rPr>
        <w:t xml:space="preserve"> for preparedness for practice: a mixed method study</w:t>
      </w:r>
      <w:r w:rsidR="006E5C21">
        <w:rPr>
          <w:rFonts w:cs="Arial"/>
          <w:bCs/>
          <w:szCs w:val="24"/>
        </w:rPr>
        <w:t>.</w:t>
      </w:r>
    </w:p>
    <w:p w14:paraId="75C7596C" w14:textId="3CB93328" w:rsidR="00493130" w:rsidRPr="006B7E11" w:rsidRDefault="00493130" w:rsidP="00493130">
      <w:pPr>
        <w:pStyle w:val="Default"/>
        <w:spacing w:line="480" w:lineRule="auto"/>
        <w:jc w:val="both"/>
        <w:rPr>
          <w:rFonts w:ascii="Arial" w:hAnsi="Arial" w:cs="Arial"/>
          <w:bCs/>
        </w:rPr>
      </w:pPr>
      <w:r w:rsidRPr="006B7E11">
        <w:rPr>
          <w:rFonts w:ascii="Arial" w:hAnsi="Arial" w:cs="Arial"/>
        </w:rPr>
        <w:t xml:space="preserve">Medical undergraduates express </w:t>
      </w:r>
      <w:proofErr w:type="spellStart"/>
      <w:r>
        <w:rPr>
          <w:rFonts w:ascii="Arial" w:hAnsi="Arial" w:cs="Arial"/>
        </w:rPr>
        <w:t>under</w:t>
      </w:r>
      <w:r w:rsidRPr="006B7E11">
        <w:rPr>
          <w:rFonts w:ascii="Arial" w:hAnsi="Arial" w:cs="Arial"/>
        </w:rPr>
        <w:t>preparedness</w:t>
      </w:r>
      <w:proofErr w:type="spellEnd"/>
      <w:r w:rsidRPr="006B7E11">
        <w:rPr>
          <w:rFonts w:ascii="Arial" w:hAnsi="Arial" w:cs="Arial"/>
        </w:rPr>
        <w:t xml:space="preserve"> for Foundation Programme (FP)</w:t>
      </w:r>
      <w:r>
        <w:rPr>
          <w:rFonts w:ascii="Arial" w:hAnsi="Arial" w:cs="Arial"/>
        </w:rPr>
        <w:t xml:space="preserve">. </w:t>
      </w:r>
    </w:p>
    <w:p w14:paraId="7BBE6D0E" w14:textId="77777777" w:rsidR="00493130" w:rsidRPr="006B7E11" w:rsidRDefault="00493130" w:rsidP="00493130">
      <w:pPr>
        <w:pStyle w:val="Default"/>
        <w:spacing w:line="480" w:lineRule="auto"/>
        <w:jc w:val="both"/>
        <w:rPr>
          <w:rFonts w:ascii="Arial" w:hAnsi="Arial" w:cs="Arial"/>
          <w:bCs/>
        </w:rPr>
      </w:pPr>
      <w:r w:rsidRPr="006B7E11">
        <w:rPr>
          <w:rFonts w:ascii="Arial" w:hAnsi="Arial" w:cs="Arial"/>
          <w:bCs/>
        </w:rPr>
        <w:t>Objective</w:t>
      </w:r>
      <w:r>
        <w:rPr>
          <w:rFonts w:ascii="Arial" w:hAnsi="Arial" w:cs="Arial"/>
          <w:bCs/>
        </w:rPr>
        <w:t>s</w:t>
      </w:r>
      <w:r w:rsidRPr="006B7E11">
        <w:rPr>
          <w:rFonts w:ascii="Arial" w:hAnsi="Arial" w:cs="Arial"/>
          <w:bCs/>
        </w:rPr>
        <w:t>:</w:t>
      </w:r>
    </w:p>
    <w:p w14:paraId="536AB6C8" w14:textId="77777777" w:rsidR="00493130" w:rsidRDefault="00493130" w:rsidP="00493130">
      <w:pPr>
        <w:pStyle w:val="Default"/>
        <w:jc w:val="both"/>
        <w:rPr>
          <w:rFonts w:ascii="Arial" w:hAnsi="Arial" w:cs="Arial"/>
        </w:rPr>
      </w:pPr>
      <w:r>
        <w:rPr>
          <w:rFonts w:ascii="Arial" w:hAnsi="Arial" w:cs="Arial"/>
        </w:rPr>
        <w:t>Investigate</w:t>
      </w:r>
      <w:r w:rsidRPr="006B7E11">
        <w:rPr>
          <w:rFonts w:ascii="Arial" w:hAnsi="Arial" w:cs="Arial"/>
        </w:rPr>
        <w:t xml:space="preserve"> </w:t>
      </w:r>
    </w:p>
    <w:p w14:paraId="3FF30ADF" w14:textId="77777777" w:rsidR="00493130" w:rsidRDefault="00493130" w:rsidP="002424E3">
      <w:pPr>
        <w:pStyle w:val="Default"/>
        <w:numPr>
          <w:ilvl w:val="0"/>
          <w:numId w:val="33"/>
        </w:numPr>
        <w:spacing w:line="480" w:lineRule="auto"/>
        <w:jc w:val="both"/>
        <w:rPr>
          <w:rFonts w:ascii="Arial" w:hAnsi="Arial" w:cs="Arial"/>
        </w:rPr>
      </w:pPr>
      <w:r>
        <w:rPr>
          <w:rFonts w:ascii="Arial" w:hAnsi="Arial" w:cs="Arial"/>
        </w:rPr>
        <w:t>I</w:t>
      </w:r>
      <w:r w:rsidRPr="006B7E11">
        <w:rPr>
          <w:rFonts w:ascii="Arial" w:hAnsi="Arial" w:cs="Arial"/>
        </w:rPr>
        <w:t xml:space="preserve">mpact of simulation intervention on </w:t>
      </w:r>
      <w:r>
        <w:rPr>
          <w:rFonts w:ascii="Arial" w:hAnsi="Arial" w:cs="Arial"/>
        </w:rPr>
        <w:t xml:space="preserve">student </w:t>
      </w:r>
      <w:r w:rsidRPr="006B7E11">
        <w:rPr>
          <w:rFonts w:ascii="Arial" w:hAnsi="Arial" w:cs="Arial"/>
        </w:rPr>
        <w:t>confidence</w:t>
      </w:r>
      <w:r>
        <w:rPr>
          <w:rFonts w:ascii="Arial" w:hAnsi="Arial" w:cs="Arial"/>
        </w:rPr>
        <w:t xml:space="preserve"> for clinical practice;</w:t>
      </w:r>
    </w:p>
    <w:p w14:paraId="71B3BD19" w14:textId="5F4C52F3" w:rsidR="00493130" w:rsidRPr="000A1C09" w:rsidRDefault="003A7D42" w:rsidP="002424E3">
      <w:pPr>
        <w:pStyle w:val="Default"/>
        <w:numPr>
          <w:ilvl w:val="0"/>
          <w:numId w:val="33"/>
        </w:numPr>
        <w:spacing w:line="480" w:lineRule="auto"/>
        <w:jc w:val="both"/>
        <w:rPr>
          <w:rFonts w:ascii="Arial" w:hAnsi="Arial" w:cs="Arial"/>
          <w:bCs/>
        </w:rPr>
      </w:pPr>
      <w:r>
        <w:rPr>
          <w:rFonts w:ascii="Arial" w:hAnsi="Arial" w:cs="Arial"/>
        </w:rPr>
        <w:t>Preparedness</w:t>
      </w:r>
      <w:r w:rsidR="00493130">
        <w:rPr>
          <w:rFonts w:ascii="Arial" w:hAnsi="Arial" w:cs="Arial"/>
        </w:rPr>
        <w:t xml:space="preserve"> and </w:t>
      </w:r>
      <w:r w:rsidR="00493130" w:rsidRPr="006B7E11">
        <w:rPr>
          <w:rFonts w:ascii="Arial" w:hAnsi="Arial" w:cs="Arial"/>
        </w:rPr>
        <w:t>value of simulation</w:t>
      </w:r>
      <w:r w:rsidR="00493130">
        <w:rPr>
          <w:rFonts w:ascii="Arial" w:hAnsi="Arial" w:cs="Arial"/>
        </w:rPr>
        <w:t xml:space="preserve"> with medical students and educators.</w:t>
      </w:r>
      <w:r w:rsidR="00493130" w:rsidRPr="006B7E11">
        <w:rPr>
          <w:rFonts w:ascii="Arial" w:hAnsi="Arial" w:cs="Arial"/>
        </w:rPr>
        <w:t xml:space="preserve"> </w:t>
      </w:r>
    </w:p>
    <w:p w14:paraId="176A6D75" w14:textId="77777777" w:rsidR="00493130" w:rsidRDefault="00493130" w:rsidP="00493130">
      <w:pPr>
        <w:widowControl w:val="0"/>
        <w:autoSpaceDE w:val="0"/>
        <w:autoSpaceDN w:val="0"/>
        <w:adjustRightInd w:val="0"/>
        <w:jc w:val="both"/>
        <w:rPr>
          <w:rFonts w:cs="Arial"/>
          <w:b/>
          <w:szCs w:val="24"/>
          <w:lang w:val="en-US"/>
        </w:rPr>
      </w:pPr>
      <w:r w:rsidRPr="00A87AE6">
        <w:rPr>
          <w:rFonts w:cs="Arial"/>
          <w:szCs w:val="24"/>
          <w:u w:val="single"/>
          <w:lang w:val="en-US"/>
        </w:rPr>
        <w:t>Methodology:</w:t>
      </w:r>
      <w:r w:rsidRPr="006B7E11">
        <w:rPr>
          <w:rFonts w:cs="Arial"/>
          <w:b/>
          <w:szCs w:val="24"/>
          <w:lang w:val="en-US"/>
        </w:rPr>
        <w:t xml:space="preserve"> </w:t>
      </w:r>
    </w:p>
    <w:p w14:paraId="68F5E144" w14:textId="48BFF20D" w:rsidR="00493130" w:rsidRDefault="00493130" w:rsidP="00493130">
      <w:pPr>
        <w:widowControl w:val="0"/>
        <w:autoSpaceDE w:val="0"/>
        <w:autoSpaceDN w:val="0"/>
        <w:adjustRightInd w:val="0"/>
        <w:jc w:val="both"/>
        <w:rPr>
          <w:rFonts w:cs="Arial"/>
          <w:szCs w:val="24"/>
        </w:rPr>
      </w:pPr>
      <w:r w:rsidRPr="006B7E11">
        <w:rPr>
          <w:rFonts w:cs="Arial"/>
          <w:szCs w:val="24"/>
        </w:rPr>
        <w:t xml:space="preserve">A mixed methods study. Final year students (n=94) from two UK </w:t>
      </w:r>
      <w:r>
        <w:rPr>
          <w:rFonts w:cs="Arial"/>
          <w:szCs w:val="24"/>
        </w:rPr>
        <w:t>u</w:t>
      </w:r>
      <w:r w:rsidRPr="006B7E11">
        <w:rPr>
          <w:rFonts w:cs="Arial"/>
          <w:szCs w:val="24"/>
        </w:rPr>
        <w:t>niversities underwent a simulation course wit</w:t>
      </w:r>
      <w:r w:rsidR="006E5C21">
        <w:rPr>
          <w:rFonts w:cs="Arial"/>
          <w:szCs w:val="24"/>
        </w:rPr>
        <w:t xml:space="preserve">h structured debriefing using </w:t>
      </w:r>
      <w:r w:rsidRPr="006B7E11">
        <w:rPr>
          <w:rFonts w:cs="Arial"/>
          <w:szCs w:val="24"/>
        </w:rPr>
        <w:t>Sim Man 3G® and part</w:t>
      </w:r>
      <w:r>
        <w:rPr>
          <w:rFonts w:cs="Arial"/>
          <w:szCs w:val="24"/>
        </w:rPr>
        <w:t>-</w:t>
      </w:r>
      <w:r w:rsidR="00D96548">
        <w:rPr>
          <w:rFonts w:cs="Arial"/>
          <w:szCs w:val="24"/>
        </w:rPr>
        <w:t xml:space="preserve">task </w:t>
      </w:r>
      <w:r w:rsidRPr="006B7E11">
        <w:rPr>
          <w:rFonts w:cs="Arial"/>
          <w:szCs w:val="24"/>
        </w:rPr>
        <w:t>trainers. Learning outcomes</w:t>
      </w:r>
      <w:r>
        <w:rPr>
          <w:rFonts w:cs="Arial"/>
          <w:szCs w:val="24"/>
        </w:rPr>
        <w:t xml:space="preserve"> </w:t>
      </w:r>
      <w:r w:rsidRPr="006B7E11">
        <w:rPr>
          <w:rFonts w:cs="Arial"/>
          <w:szCs w:val="24"/>
        </w:rPr>
        <w:t xml:space="preserve">mapped to </w:t>
      </w:r>
      <w:r>
        <w:rPr>
          <w:rFonts w:cs="Arial"/>
          <w:szCs w:val="24"/>
        </w:rPr>
        <w:t>Tomorrow’s Doctors</w:t>
      </w:r>
      <w:r w:rsidRPr="006B7E11">
        <w:rPr>
          <w:rFonts w:cs="Arial"/>
          <w:szCs w:val="24"/>
        </w:rPr>
        <w:t xml:space="preserve"> (TD) and</w:t>
      </w:r>
      <w:r w:rsidR="00D96548">
        <w:rPr>
          <w:rFonts w:cs="Arial"/>
          <w:szCs w:val="24"/>
        </w:rPr>
        <w:t xml:space="preserve"> FP curriculum. C</w:t>
      </w:r>
      <w:r w:rsidRPr="006B7E11">
        <w:rPr>
          <w:rFonts w:cs="Arial"/>
          <w:szCs w:val="24"/>
        </w:rPr>
        <w:t>onfidence scores in 19 TD and FP mapped domains were collected at four time points: Baseline</w:t>
      </w:r>
      <w:r>
        <w:rPr>
          <w:rFonts w:cs="Arial"/>
          <w:szCs w:val="24"/>
        </w:rPr>
        <w:t>, pre-</w:t>
      </w:r>
      <w:r w:rsidRPr="006B7E11">
        <w:rPr>
          <w:rFonts w:cs="Arial"/>
          <w:szCs w:val="24"/>
        </w:rPr>
        <w:t xml:space="preserve">course (1 = None, 10 = very confident), immediately </w:t>
      </w:r>
      <w:r>
        <w:rPr>
          <w:rFonts w:cs="Arial"/>
          <w:szCs w:val="24"/>
        </w:rPr>
        <w:t>post-course</w:t>
      </w:r>
      <w:r w:rsidRPr="006B7E11">
        <w:rPr>
          <w:rFonts w:cs="Arial"/>
          <w:szCs w:val="24"/>
        </w:rPr>
        <w:t xml:space="preserve"> (n = 94), one-week post (n = 79) and one month into FP (n = 58). Data </w:t>
      </w:r>
      <w:r>
        <w:rPr>
          <w:rFonts w:cs="Arial"/>
          <w:szCs w:val="24"/>
        </w:rPr>
        <w:t>analysis was by</w:t>
      </w:r>
      <w:r w:rsidRPr="006B7E11">
        <w:rPr>
          <w:rFonts w:cs="Arial"/>
          <w:szCs w:val="24"/>
        </w:rPr>
        <w:t xml:space="preserve"> </w:t>
      </w:r>
      <w:r w:rsidR="006E5C21">
        <w:rPr>
          <w:rFonts w:cs="Arial"/>
          <w:szCs w:val="24"/>
        </w:rPr>
        <w:t>ANOVA with</w:t>
      </w:r>
      <w:r w:rsidR="00D96548">
        <w:rPr>
          <w:rFonts w:cs="Arial"/>
          <w:szCs w:val="24"/>
        </w:rPr>
        <w:t xml:space="preserve"> Bonferroni correction </w:t>
      </w:r>
      <w:r w:rsidR="006E5C21">
        <w:rPr>
          <w:rFonts w:cs="Arial"/>
          <w:szCs w:val="24"/>
        </w:rPr>
        <w:t xml:space="preserve">applied </w:t>
      </w:r>
      <w:r>
        <w:rPr>
          <w:rFonts w:cs="Arial"/>
          <w:szCs w:val="24"/>
        </w:rPr>
        <w:t xml:space="preserve">(SPSS 21). </w:t>
      </w:r>
    </w:p>
    <w:p w14:paraId="3076EB05" w14:textId="1690146A" w:rsidR="00493130" w:rsidRPr="00C9395B" w:rsidRDefault="00493130" w:rsidP="00C9395B">
      <w:pPr>
        <w:widowControl w:val="0"/>
        <w:autoSpaceDE w:val="0"/>
        <w:autoSpaceDN w:val="0"/>
        <w:adjustRightInd w:val="0"/>
        <w:jc w:val="both"/>
        <w:rPr>
          <w:rFonts w:cs="Arial"/>
          <w:szCs w:val="24"/>
        </w:rPr>
      </w:pPr>
      <w:r>
        <w:rPr>
          <w:rFonts w:cs="Arial"/>
          <w:szCs w:val="24"/>
        </w:rPr>
        <w:t>Focus group</w:t>
      </w:r>
      <w:r w:rsidRPr="006B7E11">
        <w:rPr>
          <w:rFonts w:cs="Arial"/>
          <w:szCs w:val="24"/>
        </w:rPr>
        <w:t xml:space="preserve">s were conducted with students </w:t>
      </w:r>
      <w:r>
        <w:rPr>
          <w:rFonts w:cs="Arial"/>
          <w:szCs w:val="24"/>
        </w:rPr>
        <w:t>(n=19) and s</w:t>
      </w:r>
      <w:r w:rsidRPr="006B7E11">
        <w:rPr>
          <w:rFonts w:cs="Arial"/>
          <w:szCs w:val="24"/>
        </w:rPr>
        <w:t xml:space="preserve">emi </w:t>
      </w:r>
      <w:r>
        <w:rPr>
          <w:rFonts w:cs="Arial"/>
          <w:szCs w:val="24"/>
        </w:rPr>
        <w:t>s</w:t>
      </w:r>
      <w:r w:rsidRPr="006B7E11">
        <w:rPr>
          <w:rFonts w:cs="Arial"/>
          <w:szCs w:val="24"/>
        </w:rPr>
        <w:t xml:space="preserve">tructured interviews (n=10) with </w:t>
      </w:r>
      <w:r>
        <w:rPr>
          <w:rFonts w:cs="Arial"/>
          <w:szCs w:val="24"/>
        </w:rPr>
        <w:t xml:space="preserve">UK </w:t>
      </w:r>
      <w:r w:rsidRPr="006B7E11">
        <w:rPr>
          <w:rFonts w:cs="Arial"/>
          <w:szCs w:val="24"/>
        </w:rPr>
        <w:t xml:space="preserve">simulation experts </w:t>
      </w:r>
      <w:r>
        <w:rPr>
          <w:rFonts w:cs="Arial"/>
          <w:szCs w:val="24"/>
        </w:rPr>
        <w:t>(</w:t>
      </w:r>
      <w:r w:rsidRPr="006B7E11">
        <w:rPr>
          <w:rFonts w:cs="Arial"/>
          <w:szCs w:val="24"/>
        </w:rPr>
        <w:t>purposive sampling</w:t>
      </w:r>
      <w:r w:rsidR="00D96548">
        <w:rPr>
          <w:rFonts w:cs="Arial"/>
          <w:szCs w:val="24"/>
        </w:rPr>
        <w:t>).</w:t>
      </w:r>
      <w:r>
        <w:rPr>
          <w:rFonts w:cs="Arial"/>
          <w:szCs w:val="24"/>
        </w:rPr>
        <w:t xml:space="preserve"> </w:t>
      </w:r>
      <w:r w:rsidRPr="006B7E11">
        <w:rPr>
          <w:rFonts w:cs="Arial"/>
          <w:szCs w:val="24"/>
        </w:rPr>
        <w:t xml:space="preserve">Thematic </w:t>
      </w:r>
      <w:r w:rsidRPr="006B7E11">
        <w:rPr>
          <w:rFonts w:cs="Arial"/>
          <w:szCs w:val="24"/>
        </w:rPr>
        <w:lastRenderedPageBreak/>
        <w:t>analysis was performed on triangulated</w:t>
      </w:r>
      <w:r>
        <w:rPr>
          <w:rFonts w:cs="Arial"/>
          <w:szCs w:val="24"/>
        </w:rPr>
        <w:t xml:space="preserve"> data with framework in Nvivo10</w:t>
      </w:r>
      <w:r w:rsidRPr="006B7E11">
        <w:rPr>
          <w:rFonts w:cs="Arial"/>
          <w:szCs w:val="24"/>
        </w:rPr>
        <w:t>.</w:t>
      </w:r>
    </w:p>
    <w:p w14:paraId="5D22DDC1" w14:textId="77777777" w:rsidR="00493130" w:rsidRPr="00A87AE6" w:rsidRDefault="00493130" w:rsidP="00493130">
      <w:pPr>
        <w:widowControl w:val="0"/>
        <w:autoSpaceDE w:val="0"/>
        <w:autoSpaceDN w:val="0"/>
        <w:adjustRightInd w:val="0"/>
        <w:jc w:val="both"/>
        <w:rPr>
          <w:rFonts w:cs="Arial"/>
          <w:szCs w:val="24"/>
          <w:u w:val="single"/>
          <w:lang w:val="en-US"/>
        </w:rPr>
      </w:pPr>
      <w:r w:rsidRPr="00A87AE6">
        <w:rPr>
          <w:rFonts w:cs="Arial"/>
          <w:szCs w:val="24"/>
          <w:u w:val="single"/>
          <w:lang w:val="en-US"/>
        </w:rPr>
        <w:t xml:space="preserve">Findings: </w:t>
      </w:r>
    </w:p>
    <w:p w14:paraId="1DA22522" w14:textId="3BB64ECE" w:rsidR="00493130" w:rsidRPr="006B7E11" w:rsidRDefault="00493130" w:rsidP="00493130">
      <w:pPr>
        <w:widowControl w:val="0"/>
        <w:autoSpaceDE w:val="0"/>
        <w:autoSpaceDN w:val="0"/>
        <w:adjustRightInd w:val="0"/>
        <w:jc w:val="both"/>
        <w:rPr>
          <w:rFonts w:cs="Arial"/>
          <w:szCs w:val="24"/>
        </w:rPr>
      </w:pPr>
      <w:r w:rsidRPr="006B7E11">
        <w:rPr>
          <w:rFonts w:cs="Arial"/>
          <w:szCs w:val="24"/>
        </w:rPr>
        <w:t xml:space="preserve">Confidence scores increased </w:t>
      </w:r>
      <w:r w:rsidR="003A7D42" w:rsidRPr="006B7E11">
        <w:rPr>
          <w:rFonts w:cs="Arial"/>
          <w:szCs w:val="24"/>
        </w:rPr>
        <w:t>significantly;</w:t>
      </w:r>
      <w:r w:rsidRPr="006B7E11">
        <w:rPr>
          <w:rFonts w:cs="Arial"/>
          <w:szCs w:val="24"/>
        </w:rPr>
        <w:t xml:space="preserve"> </w:t>
      </w:r>
      <w:r>
        <w:rPr>
          <w:rFonts w:cs="Arial"/>
          <w:szCs w:val="24"/>
        </w:rPr>
        <w:t>post-course</w:t>
      </w:r>
      <w:r w:rsidRPr="006B7E11">
        <w:rPr>
          <w:rFonts w:cs="Arial"/>
          <w:szCs w:val="24"/>
        </w:rPr>
        <w:t xml:space="preserve"> (F (2.48,148)=49.98, p = &lt;0.001). Mean baseline confidence score was 5.88 (SD 1.2) (range 3 - 8),  immediate </w:t>
      </w:r>
      <w:r>
        <w:rPr>
          <w:rFonts w:cs="Arial"/>
          <w:szCs w:val="24"/>
        </w:rPr>
        <w:t>post-course mean 7.22 (SD 1)</w:t>
      </w:r>
      <w:r w:rsidRPr="006B7E11">
        <w:rPr>
          <w:rFonts w:cs="Arial"/>
          <w:szCs w:val="24"/>
        </w:rPr>
        <w:t xml:space="preserve"> (p&lt;0.001), 7.4 (SD 0.8) at one week (p = 0.655) and 7.8 (SD 1) one month </w:t>
      </w:r>
      <w:r>
        <w:rPr>
          <w:rFonts w:cs="Arial"/>
          <w:szCs w:val="24"/>
        </w:rPr>
        <w:t>into</w:t>
      </w:r>
      <w:r w:rsidRPr="006B7E11">
        <w:rPr>
          <w:rFonts w:cs="Arial"/>
          <w:szCs w:val="24"/>
        </w:rPr>
        <w:t xml:space="preserve"> FP (p = 0.15).  </w:t>
      </w:r>
    </w:p>
    <w:p w14:paraId="70775208" w14:textId="77777777" w:rsidR="00493130" w:rsidRDefault="00493130" w:rsidP="00493130">
      <w:pPr>
        <w:pStyle w:val="Default"/>
        <w:spacing w:line="480" w:lineRule="auto"/>
        <w:jc w:val="both"/>
        <w:rPr>
          <w:rFonts w:ascii="Arial" w:hAnsi="Arial" w:cs="Arial"/>
          <w:bCs/>
        </w:rPr>
      </w:pPr>
      <w:r>
        <w:rPr>
          <w:rFonts w:ascii="Arial" w:hAnsi="Arial" w:cs="Arial"/>
          <w:bCs/>
        </w:rPr>
        <w:t>Medical students interpret preparedness as confidence.</w:t>
      </w:r>
    </w:p>
    <w:p w14:paraId="2C92DE17" w14:textId="22B2F8CA" w:rsidR="00493130" w:rsidRPr="006B7E11" w:rsidRDefault="00D96548" w:rsidP="00493130">
      <w:pPr>
        <w:pStyle w:val="Default"/>
        <w:spacing w:line="480" w:lineRule="auto"/>
        <w:jc w:val="both"/>
        <w:rPr>
          <w:rFonts w:ascii="Arial" w:hAnsi="Arial" w:cs="Arial"/>
          <w:bCs/>
        </w:rPr>
      </w:pPr>
      <w:r>
        <w:rPr>
          <w:rFonts w:ascii="Arial" w:hAnsi="Arial" w:cs="Arial"/>
          <w:bCs/>
        </w:rPr>
        <w:t>O</w:t>
      </w:r>
      <w:r w:rsidR="00493130" w:rsidRPr="006B7E11">
        <w:rPr>
          <w:rFonts w:ascii="Arial" w:hAnsi="Arial" w:cs="Arial"/>
          <w:bCs/>
        </w:rPr>
        <w:t>verarching emergent theme</w:t>
      </w:r>
      <w:r w:rsidR="00493130">
        <w:rPr>
          <w:rFonts w:ascii="Arial" w:hAnsi="Arial" w:cs="Arial"/>
          <w:bCs/>
        </w:rPr>
        <w:t>s</w:t>
      </w:r>
      <w:r w:rsidR="00493130" w:rsidRPr="006B7E11">
        <w:rPr>
          <w:rFonts w:ascii="Arial" w:hAnsi="Arial" w:cs="Arial"/>
          <w:bCs/>
        </w:rPr>
        <w:t xml:space="preserve"> were practice under pressure and human factors </w:t>
      </w:r>
      <w:r w:rsidR="00493130">
        <w:rPr>
          <w:rFonts w:ascii="Arial" w:hAnsi="Arial" w:cs="Arial"/>
          <w:bCs/>
        </w:rPr>
        <w:t>leading</w:t>
      </w:r>
      <w:r w:rsidR="00493130" w:rsidRPr="006B7E11">
        <w:rPr>
          <w:rFonts w:ascii="Arial" w:hAnsi="Arial" w:cs="Arial"/>
          <w:bCs/>
        </w:rPr>
        <w:t xml:space="preserve"> to</w:t>
      </w:r>
      <w:r w:rsidR="00493130">
        <w:rPr>
          <w:rFonts w:ascii="Arial" w:hAnsi="Arial" w:cs="Arial"/>
          <w:bCs/>
        </w:rPr>
        <w:t xml:space="preserve"> enhanced </w:t>
      </w:r>
      <w:r w:rsidR="003A7D42">
        <w:rPr>
          <w:rFonts w:ascii="Arial" w:hAnsi="Arial" w:cs="Arial"/>
          <w:bCs/>
        </w:rPr>
        <w:t>self-regulation</w:t>
      </w:r>
      <w:r w:rsidR="00493130">
        <w:rPr>
          <w:rFonts w:ascii="Arial" w:hAnsi="Arial" w:cs="Arial"/>
          <w:bCs/>
        </w:rPr>
        <w:t xml:space="preserve"> and </w:t>
      </w:r>
      <w:r w:rsidR="00493130" w:rsidRPr="006B7E11">
        <w:rPr>
          <w:rFonts w:ascii="Arial" w:hAnsi="Arial" w:cs="Arial"/>
          <w:bCs/>
        </w:rPr>
        <w:t>competence.</w:t>
      </w:r>
    </w:p>
    <w:p w14:paraId="682294FE" w14:textId="634F939B" w:rsidR="00493130" w:rsidRPr="006B7E11" w:rsidRDefault="00493130" w:rsidP="00C9395B">
      <w:pPr>
        <w:pStyle w:val="Default"/>
        <w:spacing w:line="480" w:lineRule="auto"/>
        <w:jc w:val="both"/>
        <w:rPr>
          <w:rFonts w:ascii="Arial" w:hAnsi="Arial" w:cs="Arial"/>
          <w:bCs/>
        </w:rPr>
      </w:pPr>
      <w:r>
        <w:rPr>
          <w:rFonts w:ascii="Arial" w:hAnsi="Arial" w:cs="Arial"/>
          <w:bCs/>
        </w:rPr>
        <w:t>Preparedness was enhanced by unders</w:t>
      </w:r>
      <w:r w:rsidR="00D96548">
        <w:rPr>
          <w:rFonts w:ascii="Arial" w:hAnsi="Arial" w:cs="Arial"/>
          <w:bCs/>
        </w:rPr>
        <w:t xml:space="preserve">tanding </w:t>
      </w:r>
      <w:r w:rsidR="006E5C21">
        <w:rPr>
          <w:rFonts w:ascii="Arial" w:hAnsi="Arial" w:cs="Arial"/>
          <w:bCs/>
        </w:rPr>
        <w:t xml:space="preserve">the </w:t>
      </w:r>
      <w:r w:rsidR="00D96548">
        <w:rPr>
          <w:rFonts w:ascii="Arial" w:hAnsi="Arial" w:cs="Arial"/>
          <w:bCs/>
        </w:rPr>
        <w:t>work culture and</w:t>
      </w:r>
      <w:r>
        <w:rPr>
          <w:rFonts w:ascii="Arial" w:hAnsi="Arial" w:cs="Arial"/>
          <w:bCs/>
        </w:rPr>
        <w:t xml:space="preserve"> </w:t>
      </w:r>
      <w:r w:rsidR="006E5C21">
        <w:rPr>
          <w:rFonts w:ascii="Arial" w:hAnsi="Arial" w:cs="Arial"/>
          <w:bCs/>
        </w:rPr>
        <w:t xml:space="preserve">the </w:t>
      </w:r>
      <w:r>
        <w:rPr>
          <w:rFonts w:ascii="Arial" w:hAnsi="Arial" w:cs="Arial"/>
          <w:bCs/>
        </w:rPr>
        <w:t xml:space="preserve">hidden curriculum, authentic meaningful interprofessional learning, belonging, mentorship, role modelling, responsibility through experiential and consequence learning and individualised facilitated debriefing. </w:t>
      </w:r>
    </w:p>
    <w:p w14:paraId="11BAC318" w14:textId="77777777" w:rsidR="00493130" w:rsidRPr="00A87AE6" w:rsidRDefault="00493130" w:rsidP="00493130">
      <w:pPr>
        <w:autoSpaceDE w:val="0"/>
        <w:autoSpaceDN w:val="0"/>
        <w:adjustRightInd w:val="0"/>
        <w:rPr>
          <w:rFonts w:cs="Arial"/>
          <w:szCs w:val="24"/>
          <w:u w:val="single"/>
        </w:rPr>
      </w:pPr>
      <w:r w:rsidRPr="00A87AE6">
        <w:rPr>
          <w:rFonts w:cs="Arial"/>
          <w:szCs w:val="24"/>
          <w:u w:val="single"/>
        </w:rPr>
        <w:t xml:space="preserve">Conclusions: </w:t>
      </w:r>
    </w:p>
    <w:p w14:paraId="44DB3BFF" w14:textId="77777777" w:rsidR="00493130" w:rsidRPr="006B7E11" w:rsidRDefault="00493130" w:rsidP="00493130">
      <w:pPr>
        <w:autoSpaceDE w:val="0"/>
        <w:autoSpaceDN w:val="0"/>
        <w:adjustRightInd w:val="0"/>
        <w:rPr>
          <w:rFonts w:cs="Arial"/>
          <w:bCs/>
          <w:szCs w:val="24"/>
        </w:rPr>
      </w:pPr>
      <w:r>
        <w:rPr>
          <w:rFonts w:cs="Arial"/>
          <w:szCs w:val="24"/>
        </w:rPr>
        <w:t>S</w:t>
      </w:r>
      <w:r w:rsidRPr="006B7E11">
        <w:rPr>
          <w:rFonts w:cs="Arial"/>
          <w:szCs w:val="24"/>
        </w:rPr>
        <w:t xml:space="preserve">imulation </w:t>
      </w:r>
      <w:r>
        <w:rPr>
          <w:rFonts w:cs="Arial"/>
          <w:szCs w:val="24"/>
        </w:rPr>
        <w:t>improved</w:t>
      </w:r>
      <w:r w:rsidRPr="006B7E11">
        <w:rPr>
          <w:rFonts w:cs="Arial"/>
          <w:szCs w:val="24"/>
        </w:rPr>
        <w:t xml:space="preserve"> </w:t>
      </w:r>
      <w:r>
        <w:rPr>
          <w:rFonts w:cs="Arial"/>
          <w:szCs w:val="24"/>
        </w:rPr>
        <w:t xml:space="preserve">preparedness by allowing students </w:t>
      </w:r>
      <w:r w:rsidRPr="006B7E11">
        <w:rPr>
          <w:rFonts w:cs="Arial"/>
          <w:szCs w:val="24"/>
        </w:rPr>
        <w:t>to experience complexity</w:t>
      </w:r>
      <w:r>
        <w:rPr>
          <w:rFonts w:cs="Arial"/>
          <w:szCs w:val="24"/>
        </w:rPr>
        <w:t>, responsibility and</w:t>
      </w:r>
      <w:r w:rsidRPr="006B7E11">
        <w:rPr>
          <w:rFonts w:cs="Arial"/>
          <w:szCs w:val="24"/>
        </w:rPr>
        <w:t xml:space="preserve"> practice under graded pressure. </w:t>
      </w:r>
      <w:r>
        <w:rPr>
          <w:rFonts w:cs="Arial"/>
          <w:bCs/>
          <w:szCs w:val="24"/>
          <w:lang w:val="en-US"/>
        </w:rPr>
        <w:t xml:space="preserve">Human factors education and embracing complexity </w:t>
      </w:r>
      <w:r>
        <w:rPr>
          <w:rFonts w:cs="Arial"/>
          <w:bCs/>
        </w:rPr>
        <w:t>supported preparedness through enhancing self-regulation, emotional intelligence and resilience</w:t>
      </w:r>
      <w:r>
        <w:rPr>
          <w:rFonts w:cs="Arial"/>
          <w:bCs/>
          <w:szCs w:val="24"/>
          <w:lang w:val="en-US"/>
        </w:rPr>
        <w:t xml:space="preserve">. </w:t>
      </w:r>
      <w:r>
        <w:rPr>
          <w:rFonts w:cs="Arial"/>
          <w:bCs/>
        </w:rPr>
        <w:t xml:space="preserve">Guidelines for developing undergraduate simulation curriculum at the correct level of pressure are presented. </w:t>
      </w:r>
    </w:p>
    <w:p w14:paraId="5C16BC50" w14:textId="77777777" w:rsidR="00C9395B" w:rsidRDefault="00C9395B" w:rsidP="00F867EF">
      <w:pPr>
        <w:pStyle w:val="Default"/>
        <w:spacing w:line="480" w:lineRule="auto"/>
        <w:jc w:val="both"/>
        <w:rPr>
          <w:rFonts w:cs="Arial"/>
          <w:bCs/>
          <w:u w:val="single"/>
        </w:rPr>
      </w:pPr>
    </w:p>
    <w:p w14:paraId="6F4331CF" w14:textId="77777777" w:rsidR="00C9395B" w:rsidRDefault="00C9395B" w:rsidP="00F867EF">
      <w:pPr>
        <w:pStyle w:val="Default"/>
        <w:spacing w:line="480" w:lineRule="auto"/>
        <w:jc w:val="both"/>
        <w:rPr>
          <w:rFonts w:cs="Arial"/>
          <w:bCs/>
          <w:u w:val="single"/>
        </w:rPr>
      </w:pPr>
    </w:p>
    <w:p w14:paraId="76AD6997" w14:textId="77777777" w:rsidR="00F867EF" w:rsidRPr="009B303A" w:rsidRDefault="00F867EF" w:rsidP="00F867EF">
      <w:pPr>
        <w:pStyle w:val="Default"/>
        <w:spacing w:line="480" w:lineRule="auto"/>
        <w:jc w:val="both"/>
        <w:rPr>
          <w:rFonts w:ascii="Arial" w:hAnsi="Arial" w:cs="Arial"/>
          <w:bCs/>
          <w:sz w:val="20"/>
          <w:szCs w:val="20"/>
        </w:rPr>
      </w:pPr>
    </w:p>
    <w:p w14:paraId="2B332160" w14:textId="1E9862ED" w:rsidR="006F2A58" w:rsidRPr="006F2A58" w:rsidRDefault="005057DE" w:rsidP="006F2A58">
      <w:bookmarkStart w:id="4" w:name="_Toc343501078"/>
      <w:bookmarkStart w:id="5" w:name="_Toc348686279"/>
      <w:r w:rsidRPr="004261BC">
        <w:rPr>
          <w:b/>
          <w:u w:val="single"/>
        </w:rPr>
        <w:lastRenderedPageBreak/>
        <w:t>Acknowledgements</w:t>
      </w:r>
      <w:bookmarkEnd w:id="4"/>
      <w:bookmarkEnd w:id="5"/>
    </w:p>
    <w:p w14:paraId="1C30D9C6" w14:textId="5CC621C2" w:rsidR="005057DE" w:rsidRDefault="005057DE" w:rsidP="005057DE">
      <w:pPr>
        <w:rPr>
          <w:rFonts w:cs="Arial"/>
        </w:rPr>
      </w:pPr>
      <w:r>
        <w:rPr>
          <w:rFonts w:cs="Arial"/>
        </w:rPr>
        <w:t>I would like to thank my supervisors for all of their time support and guidance over the last three years.</w:t>
      </w:r>
      <w:r w:rsidR="00202465">
        <w:rPr>
          <w:rFonts w:cs="Arial"/>
        </w:rPr>
        <w:t xml:space="preserve"> I would like to thank my family for their support, understanding and patience, </w:t>
      </w:r>
      <w:r w:rsidR="003A7D42">
        <w:rPr>
          <w:rFonts w:cs="Arial"/>
        </w:rPr>
        <w:t>particularly</w:t>
      </w:r>
      <w:r w:rsidR="00202465">
        <w:rPr>
          <w:rFonts w:cs="Arial"/>
        </w:rPr>
        <w:t xml:space="preserve"> my mother looking after our two beautiful boys. </w:t>
      </w:r>
    </w:p>
    <w:p w14:paraId="542A30D0" w14:textId="4B8A7575" w:rsidR="00E60141" w:rsidRDefault="005057DE" w:rsidP="00AC7474">
      <w:pPr>
        <w:rPr>
          <w:rFonts w:cs="Arial"/>
        </w:rPr>
        <w:sectPr w:rsidR="00E60141" w:rsidSect="009344E7">
          <w:pgSz w:w="11900" w:h="16840"/>
          <w:pgMar w:top="1134" w:right="1134" w:bottom="1134" w:left="2268" w:header="1134" w:footer="1134" w:gutter="0"/>
          <w:pgNumType w:fmt="upperRoman"/>
          <w:cols w:space="708"/>
          <w:docGrid w:linePitch="360"/>
        </w:sectPr>
      </w:pPr>
      <w:r>
        <w:rPr>
          <w:rFonts w:cs="Arial"/>
        </w:rPr>
        <w:t>I would like to thank the team at Pinderfields Education centre at MESH in helping me to set up the pilot course and run the subsequent final course, in particular Adam Burns for running the s</w:t>
      </w:r>
      <w:r w:rsidR="00AC7474">
        <w:rPr>
          <w:rFonts w:cs="Arial"/>
        </w:rPr>
        <w:t>essions with me over many days.</w:t>
      </w:r>
    </w:p>
    <w:p w14:paraId="5BB938B6" w14:textId="1679D341" w:rsidR="00A05692" w:rsidRPr="006655EB" w:rsidRDefault="00CF069E" w:rsidP="004261BC">
      <w:bookmarkStart w:id="6" w:name="_Toc343501079"/>
      <w:bookmarkStart w:id="7" w:name="_Toc348686280"/>
      <w:r w:rsidRPr="004261BC">
        <w:rPr>
          <w:b/>
          <w:u w:val="single"/>
        </w:rPr>
        <w:lastRenderedPageBreak/>
        <w:t>List of Tables and F</w:t>
      </w:r>
      <w:r w:rsidR="006F2A58" w:rsidRPr="004261BC">
        <w:rPr>
          <w:b/>
          <w:u w:val="single"/>
        </w:rPr>
        <w:t>igures</w:t>
      </w:r>
      <w:bookmarkEnd w:id="6"/>
      <w:bookmarkEnd w:id="7"/>
    </w:p>
    <w:p w14:paraId="085AF0B5" w14:textId="23D0F7FE" w:rsidR="00CD32FE" w:rsidRPr="00040663" w:rsidRDefault="00CD32FE" w:rsidP="004261BC">
      <w:r w:rsidRPr="004261BC">
        <w:rPr>
          <w:b/>
          <w:szCs w:val="24"/>
        </w:rPr>
        <w:t>Figures</w:t>
      </w:r>
    </w:p>
    <w:p w14:paraId="7885412A" w14:textId="77777777" w:rsidR="00AC7474" w:rsidRDefault="00D45576">
      <w:pPr>
        <w:pStyle w:val="TableofFigures"/>
        <w:tabs>
          <w:tab w:val="right" w:leader="dot" w:pos="8488"/>
        </w:tabs>
        <w:rPr>
          <w:rFonts w:asciiTheme="minorHAnsi" w:eastAsiaTheme="minorEastAsia" w:hAnsiTheme="minorHAnsi" w:cstheme="minorBidi"/>
          <w:noProof/>
          <w:szCs w:val="24"/>
          <w:lang w:val="en-US" w:eastAsia="ja-JP"/>
        </w:rPr>
      </w:pPr>
      <w:r>
        <w:fldChar w:fldCharType="begin"/>
      </w:r>
      <w:r>
        <w:instrText xml:space="preserve"> TOC \c "Figure" </w:instrText>
      </w:r>
      <w:r>
        <w:fldChar w:fldCharType="separate"/>
      </w:r>
      <w:r w:rsidR="00AC7474">
        <w:rPr>
          <w:noProof/>
        </w:rPr>
        <w:t>Figure 1</w:t>
      </w:r>
      <w:r w:rsidR="00AC7474">
        <w:rPr>
          <w:noProof/>
        </w:rPr>
        <w:noBreakHyphen/>
        <w:t>1 List diagram to demonstrate structure of thesis</w:t>
      </w:r>
      <w:r w:rsidR="00AC7474">
        <w:rPr>
          <w:noProof/>
        </w:rPr>
        <w:tab/>
      </w:r>
      <w:r w:rsidR="00AC7474">
        <w:rPr>
          <w:noProof/>
        </w:rPr>
        <w:fldChar w:fldCharType="begin"/>
      </w:r>
      <w:r w:rsidR="00AC7474">
        <w:rPr>
          <w:noProof/>
        </w:rPr>
        <w:instrText xml:space="preserve"> PAGEREF _Toc419116454 \h </w:instrText>
      </w:r>
      <w:r w:rsidR="00AC7474">
        <w:rPr>
          <w:noProof/>
        </w:rPr>
      </w:r>
      <w:r w:rsidR="00AC7474">
        <w:rPr>
          <w:noProof/>
        </w:rPr>
        <w:fldChar w:fldCharType="separate"/>
      </w:r>
      <w:r w:rsidR="00AC7474">
        <w:rPr>
          <w:noProof/>
        </w:rPr>
        <w:t>14</w:t>
      </w:r>
      <w:r w:rsidR="00AC7474">
        <w:rPr>
          <w:noProof/>
        </w:rPr>
        <w:fldChar w:fldCharType="end"/>
      </w:r>
    </w:p>
    <w:p w14:paraId="2B21F04B"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2</w:t>
      </w:r>
      <w:r>
        <w:rPr>
          <w:noProof/>
        </w:rPr>
        <w:noBreakHyphen/>
        <w:t>1 Terms used for literature search</w:t>
      </w:r>
      <w:r>
        <w:rPr>
          <w:noProof/>
        </w:rPr>
        <w:tab/>
      </w:r>
      <w:r>
        <w:rPr>
          <w:noProof/>
        </w:rPr>
        <w:fldChar w:fldCharType="begin"/>
      </w:r>
      <w:r>
        <w:rPr>
          <w:noProof/>
        </w:rPr>
        <w:instrText xml:space="preserve"> PAGEREF _Toc419116455 \h </w:instrText>
      </w:r>
      <w:r>
        <w:rPr>
          <w:noProof/>
        </w:rPr>
      </w:r>
      <w:r>
        <w:rPr>
          <w:noProof/>
        </w:rPr>
        <w:fldChar w:fldCharType="separate"/>
      </w:r>
      <w:r>
        <w:rPr>
          <w:noProof/>
        </w:rPr>
        <w:t>20</w:t>
      </w:r>
      <w:r>
        <w:rPr>
          <w:noProof/>
        </w:rPr>
        <w:fldChar w:fldCharType="end"/>
      </w:r>
    </w:p>
    <w:p w14:paraId="500C2B10"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2</w:t>
      </w:r>
      <w:r>
        <w:rPr>
          <w:noProof/>
        </w:rPr>
        <w:noBreakHyphen/>
        <w:t>2 Process diagram to demonstrate initial stages of pilot then final study design</w:t>
      </w:r>
      <w:r>
        <w:rPr>
          <w:noProof/>
        </w:rPr>
        <w:tab/>
      </w:r>
      <w:r>
        <w:rPr>
          <w:noProof/>
        </w:rPr>
        <w:fldChar w:fldCharType="begin"/>
      </w:r>
      <w:r>
        <w:rPr>
          <w:noProof/>
        </w:rPr>
        <w:instrText xml:space="preserve"> PAGEREF _Toc419116456 \h </w:instrText>
      </w:r>
      <w:r>
        <w:rPr>
          <w:noProof/>
        </w:rPr>
      </w:r>
      <w:r>
        <w:rPr>
          <w:noProof/>
        </w:rPr>
        <w:fldChar w:fldCharType="separate"/>
      </w:r>
      <w:r>
        <w:rPr>
          <w:noProof/>
        </w:rPr>
        <w:t>70</w:t>
      </w:r>
      <w:r>
        <w:rPr>
          <w:noProof/>
        </w:rPr>
        <w:fldChar w:fldCharType="end"/>
      </w:r>
    </w:p>
    <w:p w14:paraId="7DDCD907"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3</w:t>
      </w:r>
      <w:r>
        <w:rPr>
          <w:noProof/>
        </w:rPr>
        <w:noBreakHyphen/>
        <w:t>1 Visual presentation of procedures for mixed methods design</w:t>
      </w:r>
      <w:r>
        <w:rPr>
          <w:noProof/>
        </w:rPr>
        <w:tab/>
      </w:r>
      <w:r>
        <w:rPr>
          <w:noProof/>
        </w:rPr>
        <w:fldChar w:fldCharType="begin"/>
      </w:r>
      <w:r>
        <w:rPr>
          <w:noProof/>
        </w:rPr>
        <w:instrText xml:space="preserve"> PAGEREF _Toc419116457 \h </w:instrText>
      </w:r>
      <w:r>
        <w:rPr>
          <w:noProof/>
        </w:rPr>
      </w:r>
      <w:r>
        <w:rPr>
          <w:noProof/>
        </w:rPr>
        <w:fldChar w:fldCharType="separate"/>
      </w:r>
      <w:r>
        <w:rPr>
          <w:noProof/>
        </w:rPr>
        <w:t>74</w:t>
      </w:r>
      <w:r>
        <w:rPr>
          <w:noProof/>
        </w:rPr>
        <w:fldChar w:fldCharType="end"/>
      </w:r>
    </w:p>
    <w:p w14:paraId="1C7EE80B"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3</w:t>
      </w:r>
      <w:r>
        <w:rPr>
          <w:noProof/>
        </w:rPr>
        <w:noBreakHyphen/>
        <w:t>2 Decision matrix for determining mixed methods design (Creswell and Plano Clark, 2007)</w:t>
      </w:r>
      <w:r>
        <w:rPr>
          <w:noProof/>
        </w:rPr>
        <w:tab/>
      </w:r>
      <w:r>
        <w:rPr>
          <w:noProof/>
        </w:rPr>
        <w:fldChar w:fldCharType="begin"/>
      </w:r>
      <w:r>
        <w:rPr>
          <w:noProof/>
        </w:rPr>
        <w:instrText xml:space="preserve"> PAGEREF _Toc419116458 \h </w:instrText>
      </w:r>
      <w:r>
        <w:rPr>
          <w:noProof/>
        </w:rPr>
      </w:r>
      <w:r>
        <w:rPr>
          <w:noProof/>
        </w:rPr>
        <w:fldChar w:fldCharType="separate"/>
      </w:r>
      <w:r>
        <w:rPr>
          <w:noProof/>
        </w:rPr>
        <w:t>75</w:t>
      </w:r>
      <w:r>
        <w:rPr>
          <w:noProof/>
        </w:rPr>
        <w:fldChar w:fldCharType="end"/>
      </w:r>
    </w:p>
    <w:p w14:paraId="4B98A345"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4</w:t>
      </w:r>
      <w:r>
        <w:rPr>
          <w:noProof/>
        </w:rPr>
        <w:noBreakHyphen/>
        <w:t>1 Preparedness for practice - 5th year medical student views from focus groups - Venn diagram</w:t>
      </w:r>
      <w:r>
        <w:rPr>
          <w:noProof/>
        </w:rPr>
        <w:tab/>
      </w:r>
      <w:r>
        <w:rPr>
          <w:noProof/>
        </w:rPr>
        <w:fldChar w:fldCharType="begin"/>
      </w:r>
      <w:r>
        <w:rPr>
          <w:noProof/>
        </w:rPr>
        <w:instrText xml:space="preserve"> PAGEREF _Toc419116459 \h </w:instrText>
      </w:r>
      <w:r>
        <w:rPr>
          <w:noProof/>
        </w:rPr>
      </w:r>
      <w:r>
        <w:rPr>
          <w:noProof/>
        </w:rPr>
        <w:fldChar w:fldCharType="separate"/>
      </w:r>
      <w:r>
        <w:rPr>
          <w:noProof/>
        </w:rPr>
        <w:t>145</w:t>
      </w:r>
      <w:r>
        <w:rPr>
          <w:noProof/>
        </w:rPr>
        <w:fldChar w:fldCharType="end"/>
      </w:r>
    </w:p>
    <w:p w14:paraId="39BC6D87"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6</w:t>
      </w:r>
      <w:r>
        <w:rPr>
          <w:noProof/>
        </w:rPr>
        <w:noBreakHyphen/>
        <w:t>1 Differences in pre-course (IMASS simulation intervention) (blue) and post-course confidence scores about starting as a FY1 (red)</w:t>
      </w:r>
      <w:r>
        <w:rPr>
          <w:noProof/>
        </w:rPr>
        <w:tab/>
      </w:r>
      <w:r>
        <w:rPr>
          <w:noProof/>
        </w:rPr>
        <w:fldChar w:fldCharType="begin"/>
      </w:r>
      <w:r>
        <w:rPr>
          <w:noProof/>
        </w:rPr>
        <w:instrText xml:space="preserve"> PAGEREF _Toc419116460 \h </w:instrText>
      </w:r>
      <w:r>
        <w:rPr>
          <w:noProof/>
        </w:rPr>
      </w:r>
      <w:r>
        <w:rPr>
          <w:noProof/>
        </w:rPr>
        <w:fldChar w:fldCharType="separate"/>
      </w:r>
      <w:r>
        <w:rPr>
          <w:noProof/>
        </w:rPr>
        <w:t>185</w:t>
      </w:r>
      <w:r>
        <w:rPr>
          <w:noProof/>
        </w:rPr>
        <w:fldChar w:fldCharType="end"/>
      </w:r>
    </w:p>
    <w:p w14:paraId="0CC29742"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6</w:t>
      </w:r>
      <w:r>
        <w:rPr>
          <w:noProof/>
        </w:rPr>
        <w:noBreakHyphen/>
        <w:t>2 Breakdown in pre- and post-IMASS confidence scores for each of the 19 FP and TD mapped learning outcomes.</w:t>
      </w:r>
      <w:r>
        <w:rPr>
          <w:noProof/>
        </w:rPr>
        <w:tab/>
      </w:r>
      <w:r>
        <w:rPr>
          <w:noProof/>
        </w:rPr>
        <w:fldChar w:fldCharType="begin"/>
      </w:r>
      <w:r>
        <w:rPr>
          <w:noProof/>
        </w:rPr>
        <w:instrText xml:space="preserve"> PAGEREF _Toc419116461 \h </w:instrText>
      </w:r>
      <w:r>
        <w:rPr>
          <w:noProof/>
        </w:rPr>
      </w:r>
      <w:r>
        <w:rPr>
          <w:noProof/>
        </w:rPr>
        <w:fldChar w:fldCharType="separate"/>
      </w:r>
      <w:r>
        <w:rPr>
          <w:noProof/>
        </w:rPr>
        <w:t>187</w:t>
      </w:r>
      <w:r>
        <w:rPr>
          <w:noProof/>
        </w:rPr>
        <w:fldChar w:fldCharType="end"/>
      </w:r>
    </w:p>
    <w:p w14:paraId="20316FD5"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6</w:t>
      </w:r>
      <w:r>
        <w:rPr>
          <w:noProof/>
        </w:rPr>
        <w:noBreakHyphen/>
        <w:t>3 Distribution of baseline pre-course confidence scores in pilot group.</w:t>
      </w:r>
      <w:r>
        <w:rPr>
          <w:noProof/>
        </w:rPr>
        <w:tab/>
      </w:r>
      <w:r>
        <w:rPr>
          <w:noProof/>
        </w:rPr>
        <w:fldChar w:fldCharType="begin"/>
      </w:r>
      <w:r>
        <w:rPr>
          <w:noProof/>
        </w:rPr>
        <w:instrText xml:space="preserve"> PAGEREF _Toc419116462 \h </w:instrText>
      </w:r>
      <w:r>
        <w:rPr>
          <w:noProof/>
        </w:rPr>
      </w:r>
      <w:r>
        <w:rPr>
          <w:noProof/>
        </w:rPr>
        <w:fldChar w:fldCharType="separate"/>
      </w:r>
      <w:r>
        <w:rPr>
          <w:noProof/>
        </w:rPr>
        <w:t>188</w:t>
      </w:r>
      <w:r>
        <w:rPr>
          <w:noProof/>
        </w:rPr>
        <w:fldChar w:fldCharType="end"/>
      </w:r>
    </w:p>
    <w:p w14:paraId="239C0257"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lastRenderedPageBreak/>
        <w:t>Figure 6</w:t>
      </w:r>
      <w:r>
        <w:rPr>
          <w:noProof/>
        </w:rPr>
        <w:noBreakHyphen/>
        <w:t>4 Repeated-measures confidence scores for pilot study group at baseline pre-course, post-course immediate and at four months, with errors bars representing 95% confidence interval.</w:t>
      </w:r>
      <w:r>
        <w:rPr>
          <w:noProof/>
        </w:rPr>
        <w:tab/>
      </w:r>
      <w:r>
        <w:rPr>
          <w:noProof/>
        </w:rPr>
        <w:fldChar w:fldCharType="begin"/>
      </w:r>
      <w:r>
        <w:rPr>
          <w:noProof/>
        </w:rPr>
        <w:instrText xml:space="preserve"> PAGEREF _Toc419116463 \h </w:instrText>
      </w:r>
      <w:r>
        <w:rPr>
          <w:noProof/>
        </w:rPr>
      </w:r>
      <w:r>
        <w:rPr>
          <w:noProof/>
        </w:rPr>
        <w:fldChar w:fldCharType="separate"/>
      </w:r>
      <w:r>
        <w:rPr>
          <w:noProof/>
        </w:rPr>
        <w:t>191</w:t>
      </w:r>
      <w:r>
        <w:rPr>
          <w:noProof/>
        </w:rPr>
        <w:fldChar w:fldCharType="end"/>
      </w:r>
    </w:p>
    <w:p w14:paraId="331293C8"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6</w:t>
      </w:r>
      <w:r>
        <w:rPr>
          <w:noProof/>
        </w:rPr>
        <w:noBreakHyphen/>
        <w:t>5 Distribution of formative assessment marks from 80 (minimum) to 139 (maximum). The data is not normally distributed.</w:t>
      </w:r>
      <w:r>
        <w:rPr>
          <w:noProof/>
        </w:rPr>
        <w:tab/>
      </w:r>
      <w:r>
        <w:rPr>
          <w:noProof/>
        </w:rPr>
        <w:fldChar w:fldCharType="begin"/>
      </w:r>
      <w:r>
        <w:rPr>
          <w:noProof/>
        </w:rPr>
        <w:instrText xml:space="preserve"> PAGEREF _Toc419116464 \h </w:instrText>
      </w:r>
      <w:r>
        <w:rPr>
          <w:noProof/>
        </w:rPr>
      </w:r>
      <w:r>
        <w:rPr>
          <w:noProof/>
        </w:rPr>
        <w:fldChar w:fldCharType="separate"/>
      </w:r>
      <w:r>
        <w:rPr>
          <w:noProof/>
        </w:rPr>
        <w:t>192</w:t>
      </w:r>
      <w:r>
        <w:rPr>
          <w:noProof/>
        </w:rPr>
        <w:fldChar w:fldCharType="end"/>
      </w:r>
    </w:p>
    <w:p w14:paraId="6ABC20C4"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6</w:t>
      </w:r>
      <w:r>
        <w:rPr>
          <w:noProof/>
        </w:rPr>
        <w:noBreakHyphen/>
        <w:t>6 Relationship between pre-course confidence and course performance using formative assessment marks.</w:t>
      </w:r>
      <w:r>
        <w:rPr>
          <w:noProof/>
        </w:rPr>
        <w:tab/>
      </w:r>
      <w:r>
        <w:rPr>
          <w:noProof/>
        </w:rPr>
        <w:fldChar w:fldCharType="begin"/>
      </w:r>
      <w:r>
        <w:rPr>
          <w:noProof/>
        </w:rPr>
        <w:instrText xml:space="preserve"> PAGEREF _Toc419116465 \h </w:instrText>
      </w:r>
      <w:r>
        <w:rPr>
          <w:noProof/>
        </w:rPr>
      </w:r>
      <w:r>
        <w:rPr>
          <w:noProof/>
        </w:rPr>
        <w:fldChar w:fldCharType="separate"/>
      </w:r>
      <w:r>
        <w:rPr>
          <w:noProof/>
        </w:rPr>
        <w:t>193</w:t>
      </w:r>
      <w:r>
        <w:rPr>
          <w:noProof/>
        </w:rPr>
        <w:fldChar w:fldCharType="end"/>
      </w:r>
    </w:p>
    <w:p w14:paraId="4E41F97C"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6</w:t>
      </w:r>
      <w:r>
        <w:rPr>
          <w:noProof/>
        </w:rPr>
        <w:noBreakHyphen/>
        <w:t>7 Feedback scores from the course.</w:t>
      </w:r>
      <w:r>
        <w:rPr>
          <w:noProof/>
        </w:rPr>
        <w:tab/>
      </w:r>
      <w:r>
        <w:rPr>
          <w:noProof/>
        </w:rPr>
        <w:fldChar w:fldCharType="begin"/>
      </w:r>
      <w:r>
        <w:rPr>
          <w:noProof/>
        </w:rPr>
        <w:instrText xml:space="preserve"> PAGEREF _Toc419116466 \h </w:instrText>
      </w:r>
      <w:r>
        <w:rPr>
          <w:noProof/>
        </w:rPr>
      </w:r>
      <w:r>
        <w:rPr>
          <w:noProof/>
        </w:rPr>
        <w:fldChar w:fldCharType="separate"/>
      </w:r>
      <w:r>
        <w:rPr>
          <w:noProof/>
        </w:rPr>
        <w:t>194</w:t>
      </w:r>
      <w:r>
        <w:rPr>
          <w:noProof/>
        </w:rPr>
        <w:fldChar w:fldCharType="end"/>
      </w:r>
    </w:p>
    <w:p w14:paraId="540CF4AB"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6</w:t>
      </w:r>
      <w:r>
        <w:rPr>
          <w:noProof/>
        </w:rPr>
        <w:noBreakHyphen/>
        <w:t>8 Distribution of confidence scores - control group.</w:t>
      </w:r>
      <w:r>
        <w:rPr>
          <w:noProof/>
        </w:rPr>
        <w:tab/>
      </w:r>
      <w:r>
        <w:rPr>
          <w:noProof/>
        </w:rPr>
        <w:fldChar w:fldCharType="begin"/>
      </w:r>
      <w:r>
        <w:rPr>
          <w:noProof/>
        </w:rPr>
        <w:instrText xml:space="preserve"> PAGEREF _Toc419116467 \h </w:instrText>
      </w:r>
      <w:r>
        <w:rPr>
          <w:noProof/>
        </w:rPr>
      </w:r>
      <w:r>
        <w:rPr>
          <w:noProof/>
        </w:rPr>
        <w:fldChar w:fldCharType="separate"/>
      </w:r>
      <w:r>
        <w:rPr>
          <w:noProof/>
        </w:rPr>
        <w:t>197</w:t>
      </w:r>
      <w:r>
        <w:rPr>
          <w:noProof/>
        </w:rPr>
        <w:fldChar w:fldCharType="end"/>
      </w:r>
    </w:p>
    <w:p w14:paraId="1013302C"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7</w:t>
      </w:r>
      <w:r>
        <w:rPr>
          <w:noProof/>
        </w:rPr>
        <w:noBreakHyphen/>
        <w:t>1 Final intervention study overview.</w:t>
      </w:r>
      <w:r>
        <w:rPr>
          <w:noProof/>
        </w:rPr>
        <w:tab/>
      </w:r>
      <w:r>
        <w:rPr>
          <w:noProof/>
        </w:rPr>
        <w:fldChar w:fldCharType="begin"/>
      </w:r>
      <w:r>
        <w:rPr>
          <w:noProof/>
        </w:rPr>
        <w:instrText xml:space="preserve"> PAGEREF _Toc419116468 \h </w:instrText>
      </w:r>
      <w:r>
        <w:rPr>
          <w:noProof/>
        </w:rPr>
      </w:r>
      <w:r>
        <w:rPr>
          <w:noProof/>
        </w:rPr>
        <w:fldChar w:fldCharType="separate"/>
      </w:r>
      <w:r>
        <w:rPr>
          <w:noProof/>
        </w:rPr>
        <w:t>221</w:t>
      </w:r>
      <w:r>
        <w:rPr>
          <w:noProof/>
        </w:rPr>
        <w:fldChar w:fldCharType="end"/>
      </w:r>
    </w:p>
    <w:p w14:paraId="4B2BB89D"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7</w:t>
      </w:r>
      <w:r>
        <w:rPr>
          <w:noProof/>
        </w:rPr>
        <w:noBreakHyphen/>
        <w:t>2 Change in confidence score pre- and post-course (difference) for each of the 19 FP and TD mapped domains. Errors bars represent 95% CI</w:t>
      </w:r>
      <w:r>
        <w:rPr>
          <w:noProof/>
        </w:rPr>
        <w:tab/>
      </w:r>
      <w:r>
        <w:rPr>
          <w:noProof/>
        </w:rPr>
        <w:fldChar w:fldCharType="begin"/>
      </w:r>
      <w:r>
        <w:rPr>
          <w:noProof/>
        </w:rPr>
        <w:instrText xml:space="preserve"> PAGEREF _Toc419116469 \h </w:instrText>
      </w:r>
      <w:r>
        <w:rPr>
          <w:noProof/>
        </w:rPr>
      </w:r>
      <w:r>
        <w:rPr>
          <w:noProof/>
        </w:rPr>
        <w:fldChar w:fldCharType="separate"/>
      </w:r>
      <w:r>
        <w:rPr>
          <w:noProof/>
        </w:rPr>
        <w:t>252</w:t>
      </w:r>
      <w:r>
        <w:rPr>
          <w:noProof/>
        </w:rPr>
        <w:fldChar w:fldCharType="end"/>
      </w:r>
    </w:p>
    <w:p w14:paraId="67563474"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7</w:t>
      </w:r>
      <w:r>
        <w:rPr>
          <w:noProof/>
        </w:rPr>
        <w:noBreakHyphen/>
        <w:t>3 Distribution of data for final study baseline pre-course confidence scores</w:t>
      </w:r>
      <w:r>
        <w:rPr>
          <w:noProof/>
        </w:rPr>
        <w:tab/>
      </w:r>
      <w:r>
        <w:rPr>
          <w:noProof/>
        </w:rPr>
        <w:fldChar w:fldCharType="begin"/>
      </w:r>
      <w:r>
        <w:rPr>
          <w:noProof/>
        </w:rPr>
        <w:instrText xml:space="preserve"> PAGEREF _Toc419116470 \h </w:instrText>
      </w:r>
      <w:r>
        <w:rPr>
          <w:noProof/>
        </w:rPr>
      </w:r>
      <w:r>
        <w:rPr>
          <w:noProof/>
        </w:rPr>
        <w:fldChar w:fldCharType="separate"/>
      </w:r>
      <w:r>
        <w:rPr>
          <w:noProof/>
        </w:rPr>
        <w:t>257</w:t>
      </w:r>
      <w:r>
        <w:rPr>
          <w:noProof/>
        </w:rPr>
        <w:fldChar w:fldCharType="end"/>
      </w:r>
    </w:p>
    <w:p w14:paraId="712722AD"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7</w:t>
      </w:r>
      <w:r>
        <w:rPr>
          <w:noProof/>
        </w:rPr>
        <w:noBreakHyphen/>
        <w:t>4 Change in confidence scores over four different conditions with 95% confidence interval error bars</w:t>
      </w:r>
      <w:r>
        <w:rPr>
          <w:noProof/>
        </w:rPr>
        <w:tab/>
      </w:r>
      <w:r>
        <w:rPr>
          <w:noProof/>
        </w:rPr>
        <w:fldChar w:fldCharType="begin"/>
      </w:r>
      <w:r>
        <w:rPr>
          <w:noProof/>
        </w:rPr>
        <w:instrText xml:space="preserve"> PAGEREF _Toc419116471 \h </w:instrText>
      </w:r>
      <w:r>
        <w:rPr>
          <w:noProof/>
        </w:rPr>
      </w:r>
      <w:r>
        <w:rPr>
          <w:noProof/>
        </w:rPr>
        <w:fldChar w:fldCharType="separate"/>
      </w:r>
      <w:r>
        <w:rPr>
          <w:noProof/>
        </w:rPr>
        <w:t>260</w:t>
      </w:r>
      <w:r>
        <w:rPr>
          <w:noProof/>
        </w:rPr>
        <w:fldChar w:fldCharType="end"/>
      </w:r>
    </w:p>
    <w:p w14:paraId="056A2D34"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7</w:t>
      </w:r>
      <w:r>
        <w:rPr>
          <w:noProof/>
        </w:rPr>
        <w:noBreakHyphen/>
        <w:t xml:space="preserve">5 Means across the four conditions for overall pre-course confidence for present data analysed (n=58), versus those for missing values with the </w:t>
      </w:r>
      <w:r>
        <w:rPr>
          <w:noProof/>
        </w:rPr>
        <w:lastRenderedPageBreak/>
        <w:t>means for the three conditions as a comparison (n=36) Error bars 95% CI</w:t>
      </w:r>
      <w:r>
        <w:rPr>
          <w:noProof/>
        </w:rPr>
        <w:tab/>
      </w:r>
      <w:r>
        <w:rPr>
          <w:noProof/>
        </w:rPr>
        <w:fldChar w:fldCharType="begin"/>
      </w:r>
      <w:r>
        <w:rPr>
          <w:noProof/>
        </w:rPr>
        <w:instrText xml:space="preserve"> PAGEREF _Toc419116472 \h </w:instrText>
      </w:r>
      <w:r>
        <w:rPr>
          <w:noProof/>
        </w:rPr>
      </w:r>
      <w:r>
        <w:rPr>
          <w:noProof/>
        </w:rPr>
        <w:fldChar w:fldCharType="separate"/>
      </w:r>
      <w:r>
        <w:rPr>
          <w:noProof/>
        </w:rPr>
        <w:t>261</w:t>
      </w:r>
      <w:r>
        <w:rPr>
          <w:noProof/>
        </w:rPr>
        <w:fldChar w:fldCharType="end"/>
      </w:r>
    </w:p>
    <w:p w14:paraId="5554DC29"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7</w:t>
      </w:r>
      <w:r>
        <w:rPr>
          <w:noProof/>
        </w:rPr>
        <w:noBreakHyphen/>
        <w:t>6 Relationship between change in confidence score pre and post-course with formative assessment mark (performance)</w:t>
      </w:r>
      <w:r>
        <w:rPr>
          <w:noProof/>
        </w:rPr>
        <w:tab/>
      </w:r>
      <w:r>
        <w:rPr>
          <w:noProof/>
        </w:rPr>
        <w:fldChar w:fldCharType="begin"/>
      </w:r>
      <w:r>
        <w:rPr>
          <w:noProof/>
        </w:rPr>
        <w:instrText xml:space="preserve"> PAGEREF _Toc419116473 \h </w:instrText>
      </w:r>
      <w:r>
        <w:rPr>
          <w:noProof/>
        </w:rPr>
      </w:r>
      <w:r>
        <w:rPr>
          <w:noProof/>
        </w:rPr>
        <w:fldChar w:fldCharType="separate"/>
      </w:r>
      <w:r>
        <w:rPr>
          <w:noProof/>
        </w:rPr>
        <w:t>265</w:t>
      </w:r>
      <w:r>
        <w:rPr>
          <w:noProof/>
        </w:rPr>
        <w:fldChar w:fldCharType="end"/>
      </w:r>
    </w:p>
    <w:p w14:paraId="338EFA8B"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7</w:t>
      </w:r>
      <w:r>
        <w:rPr>
          <w:noProof/>
        </w:rPr>
        <w:noBreakHyphen/>
        <w:t>7 Themes and sub-themes from focus group analysis</w:t>
      </w:r>
      <w:r>
        <w:rPr>
          <w:noProof/>
        </w:rPr>
        <w:tab/>
      </w:r>
      <w:r>
        <w:rPr>
          <w:noProof/>
        </w:rPr>
        <w:fldChar w:fldCharType="begin"/>
      </w:r>
      <w:r>
        <w:rPr>
          <w:noProof/>
        </w:rPr>
        <w:instrText xml:space="preserve"> PAGEREF _Toc419116474 \h </w:instrText>
      </w:r>
      <w:r>
        <w:rPr>
          <w:noProof/>
        </w:rPr>
      </w:r>
      <w:r>
        <w:rPr>
          <w:noProof/>
        </w:rPr>
        <w:fldChar w:fldCharType="separate"/>
      </w:r>
      <w:r>
        <w:rPr>
          <w:noProof/>
        </w:rPr>
        <w:t>266</w:t>
      </w:r>
      <w:r>
        <w:rPr>
          <w:noProof/>
        </w:rPr>
        <w:fldChar w:fldCharType="end"/>
      </w:r>
    </w:p>
    <w:p w14:paraId="0F2E84AF"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7</w:t>
      </w:r>
      <w:r>
        <w:rPr>
          <w:noProof/>
        </w:rPr>
        <w:noBreakHyphen/>
        <w:t>8 Venn diagram to demonstrate main emergent themes related to 'preparedness' from thematic analysis of UK medical education and simulation expert in-depth interview transcripts</w:t>
      </w:r>
      <w:r>
        <w:rPr>
          <w:noProof/>
        </w:rPr>
        <w:tab/>
      </w:r>
      <w:r>
        <w:rPr>
          <w:noProof/>
        </w:rPr>
        <w:fldChar w:fldCharType="begin"/>
      </w:r>
      <w:r>
        <w:rPr>
          <w:noProof/>
        </w:rPr>
        <w:instrText xml:space="preserve"> PAGEREF _Toc419116475 \h </w:instrText>
      </w:r>
      <w:r>
        <w:rPr>
          <w:noProof/>
        </w:rPr>
      </w:r>
      <w:r>
        <w:rPr>
          <w:noProof/>
        </w:rPr>
        <w:fldChar w:fldCharType="separate"/>
      </w:r>
      <w:r>
        <w:rPr>
          <w:noProof/>
        </w:rPr>
        <w:t>277</w:t>
      </w:r>
      <w:r>
        <w:rPr>
          <w:noProof/>
        </w:rPr>
        <w:fldChar w:fldCharType="end"/>
      </w:r>
    </w:p>
    <w:p w14:paraId="06A4ED6B"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8</w:t>
      </w:r>
      <w:r>
        <w:rPr>
          <w:noProof/>
        </w:rPr>
        <w:noBreakHyphen/>
        <w:t>1 Conceptual Education Framework</w:t>
      </w:r>
      <w:r>
        <w:rPr>
          <w:noProof/>
        </w:rPr>
        <w:tab/>
      </w:r>
      <w:r>
        <w:rPr>
          <w:noProof/>
        </w:rPr>
        <w:fldChar w:fldCharType="begin"/>
      </w:r>
      <w:r>
        <w:rPr>
          <w:noProof/>
        </w:rPr>
        <w:instrText xml:space="preserve"> PAGEREF _Toc419116476 \h </w:instrText>
      </w:r>
      <w:r>
        <w:rPr>
          <w:noProof/>
        </w:rPr>
      </w:r>
      <w:r>
        <w:rPr>
          <w:noProof/>
        </w:rPr>
        <w:fldChar w:fldCharType="separate"/>
      </w:r>
      <w:r>
        <w:rPr>
          <w:noProof/>
        </w:rPr>
        <w:t>296</w:t>
      </w:r>
      <w:r>
        <w:rPr>
          <w:noProof/>
        </w:rPr>
        <w:fldChar w:fldCharType="end"/>
      </w:r>
    </w:p>
    <w:p w14:paraId="0034CC0F"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8</w:t>
      </w:r>
      <w:r>
        <w:rPr>
          <w:noProof/>
        </w:rPr>
        <w:noBreakHyphen/>
        <w:t>2 Hierarchy of skill acquisition</w:t>
      </w:r>
      <w:r>
        <w:rPr>
          <w:noProof/>
        </w:rPr>
        <w:tab/>
      </w:r>
      <w:r>
        <w:rPr>
          <w:noProof/>
        </w:rPr>
        <w:fldChar w:fldCharType="begin"/>
      </w:r>
      <w:r>
        <w:rPr>
          <w:noProof/>
        </w:rPr>
        <w:instrText xml:space="preserve"> PAGEREF _Toc419116477 \h </w:instrText>
      </w:r>
      <w:r>
        <w:rPr>
          <w:noProof/>
        </w:rPr>
      </w:r>
      <w:r>
        <w:rPr>
          <w:noProof/>
        </w:rPr>
        <w:fldChar w:fldCharType="separate"/>
      </w:r>
      <w:r>
        <w:rPr>
          <w:noProof/>
        </w:rPr>
        <w:t>322</w:t>
      </w:r>
      <w:r>
        <w:rPr>
          <w:noProof/>
        </w:rPr>
        <w:fldChar w:fldCharType="end"/>
      </w:r>
    </w:p>
    <w:p w14:paraId="0485190B"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8</w:t>
      </w:r>
      <w:r>
        <w:rPr>
          <w:noProof/>
        </w:rPr>
        <w:noBreakHyphen/>
        <w:t>3 Eleven stages involved in designing and delivering a SBME intervention</w:t>
      </w:r>
      <w:r>
        <w:rPr>
          <w:noProof/>
        </w:rPr>
        <w:tab/>
      </w:r>
      <w:r>
        <w:rPr>
          <w:noProof/>
        </w:rPr>
        <w:fldChar w:fldCharType="begin"/>
      </w:r>
      <w:r>
        <w:rPr>
          <w:noProof/>
        </w:rPr>
        <w:instrText xml:space="preserve"> PAGEREF _Toc419116478 \h </w:instrText>
      </w:r>
      <w:r>
        <w:rPr>
          <w:noProof/>
        </w:rPr>
      </w:r>
      <w:r>
        <w:rPr>
          <w:noProof/>
        </w:rPr>
        <w:fldChar w:fldCharType="separate"/>
      </w:r>
      <w:r>
        <w:rPr>
          <w:noProof/>
        </w:rPr>
        <w:t>375</w:t>
      </w:r>
      <w:r>
        <w:rPr>
          <w:noProof/>
        </w:rPr>
        <w:fldChar w:fldCharType="end"/>
      </w:r>
    </w:p>
    <w:p w14:paraId="011E7A51"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8</w:t>
      </w:r>
      <w:r>
        <w:rPr>
          <w:noProof/>
        </w:rPr>
        <w:noBreakHyphen/>
        <w:t>4 Stage 8: delivery of a SBME session</w:t>
      </w:r>
      <w:r>
        <w:rPr>
          <w:noProof/>
        </w:rPr>
        <w:tab/>
      </w:r>
      <w:r>
        <w:rPr>
          <w:noProof/>
        </w:rPr>
        <w:fldChar w:fldCharType="begin"/>
      </w:r>
      <w:r>
        <w:rPr>
          <w:noProof/>
        </w:rPr>
        <w:instrText xml:space="preserve"> PAGEREF _Toc419116479 \h </w:instrText>
      </w:r>
      <w:r>
        <w:rPr>
          <w:noProof/>
        </w:rPr>
      </w:r>
      <w:r>
        <w:rPr>
          <w:noProof/>
        </w:rPr>
        <w:fldChar w:fldCharType="separate"/>
      </w:r>
      <w:r>
        <w:rPr>
          <w:noProof/>
        </w:rPr>
        <w:t>380</w:t>
      </w:r>
      <w:r>
        <w:rPr>
          <w:noProof/>
        </w:rPr>
        <w:fldChar w:fldCharType="end"/>
      </w:r>
    </w:p>
    <w:p w14:paraId="09472392"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8</w:t>
      </w:r>
      <w:r>
        <w:rPr>
          <w:noProof/>
        </w:rPr>
        <w:noBreakHyphen/>
        <w:t>5 Debriefing for SBME</w:t>
      </w:r>
      <w:r>
        <w:rPr>
          <w:noProof/>
        </w:rPr>
        <w:tab/>
      </w:r>
      <w:r>
        <w:rPr>
          <w:noProof/>
        </w:rPr>
        <w:fldChar w:fldCharType="begin"/>
      </w:r>
      <w:r>
        <w:rPr>
          <w:noProof/>
        </w:rPr>
        <w:instrText xml:space="preserve"> PAGEREF _Toc419116480 \h </w:instrText>
      </w:r>
      <w:r>
        <w:rPr>
          <w:noProof/>
        </w:rPr>
      </w:r>
      <w:r>
        <w:rPr>
          <w:noProof/>
        </w:rPr>
        <w:fldChar w:fldCharType="separate"/>
      </w:r>
      <w:r>
        <w:rPr>
          <w:noProof/>
        </w:rPr>
        <w:t>384</w:t>
      </w:r>
      <w:r>
        <w:rPr>
          <w:noProof/>
        </w:rPr>
        <w:fldChar w:fldCharType="end"/>
      </w:r>
    </w:p>
    <w:p w14:paraId="092C56CD"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 Histogram for precourse confidence scores for missing data not analysed (n=36)</w:t>
      </w:r>
      <w:r>
        <w:rPr>
          <w:noProof/>
        </w:rPr>
        <w:tab/>
      </w:r>
      <w:r>
        <w:rPr>
          <w:noProof/>
        </w:rPr>
        <w:fldChar w:fldCharType="begin"/>
      </w:r>
      <w:r>
        <w:rPr>
          <w:noProof/>
        </w:rPr>
        <w:instrText xml:space="preserve"> PAGEREF _Toc419116481 \h </w:instrText>
      </w:r>
      <w:r>
        <w:rPr>
          <w:noProof/>
        </w:rPr>
      </w:r>
      <w:r>
        <w:rPr>
          <w:noProof/>
        </w:rPr>
        <w:fldChar w:fldCharType="separate"/>
      </w:r>
      <w:r>
        <w:rPr>
          <w:noProof/>
        </w:rPr>
        <w:t>541</w:t>
      </w:r>
      <w:r>
        <w:rPr>
          <w:noProof/>
        </w:rPr>
        <w:fldChar w:fldCharType="end"/>
      </w:r>
    </w:p>
    <w:p w14:paraId="050AAEA7"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2 Histogram for precourse confidence scores for analysed data present for all 4 conditions (n=58)</w:t>
      </w:r>
      <w:r>
        <w:rPr>
          <w:noProof/>
        </w:rPr>
        <w:tab/>
      </w:r>
      <w:r>
        <w:rPr>
          <w:noProof/>
        </w:rPr>
        <w:fldChar w:fldCharType="begin"/>
      </w:r>
      <w:r>
        <w:rPr>
          <w:noProof/>
        </w:rPr>
        <w:instrText xml:space="preserve"> PAGEREF _Toc419116482 \h </w:instrText>
      </w:r>
      <w:r>
        <w:rPr>
          <w:noProof/>
        </w:rPr>
      </w:r>
      <w:r>
        <w:rPr>
          <w:noProof/>
        </w:rPr>
        <w:fldChar w:fldCharType="separate"/>
      </w:r>
      <w:r>
        <w:rPr>
          <w:noProof/>
        </w:rPr>
        <w:t>542</w:t>
      </w:r>
      <w:r>
        <w:rPr>
          <w:noProof/>
        </w:rPr>
        <w:fldChar w:fldCharType="end"/>
      </w:r>
    </w:p>
    <w:p w14:paraId="05DB00D6"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lastRenderedPageBreak/>
        <w:t>Figure 13</w:t>
      </w:r>
      <w:r>
        <w:rPr>
          <w:noProof/>
        </w:rPr>
        <w:noBreakHyphen/>
        <w:t>3 Scatter plot of data points for correlation between formative assessment mark (performance) and precourse confidence</w:t>
      </w:r>
      <w:r>
        <w:rPr>
          <w:noProof/>
        </w:rPr>
        <w:tab/>
      </w:r>
      <w:r>
        <w:rPr>
          <w:noProof/>
        </w:rPr>
        <w:fldChar w:fldCharType="begin"/>
      </w:r>
      <w:r>
        <w:rPr>
          <w:noProof/>
        </w:rPr>
        <w:instrText xml:space="preserve"> PAGEREF _Toc419116483 \h </w:instrText>
      </w:r>
      <w:r>
        <w:rPr>
          <w:noProof/>
        </w:rPr>
      </w:r>
      <w:r>
        <w:rPr>
          <w:noProof/>
        </w:rPr>
        <w:fldChar w:fldCharType="separate"/>
      </w:r>
      <w:r>
        <w:rPr>
          <w:noProof/>
        </w:rPr>
        <w:t>546</w:t>
      </w:r>
      <w:r>
        <w:rPr>
          <w:noProof/>
        </w:rPr>
        <w:fldChar w:fldCharType="end"/>
      </w:r>
    </w:p>
    <w:p w14:paraId="3DBBD84E"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4 Scatter plot of correlation between mean formative assessment mark and mean precourse confidence score</w:t>
      </w:r>
      <w:r>
        <w:rPr>
          <w:noProof/>
        </w:rPr>
        <w:tab/>
      </w:r>
      <w:r>
        <w:rPr>
          <w:noProof/>
        </w:rPr>
        <w:fldChar w:fldCharType="begin"/>
      </w:r>
      <w:r>
        <w:rPr>
          <w:noProof/>
        </w:rPr>
        <w:instrText xml:space="preserve"> PAGEREF _Toc419116484 \h </w:instrText>
      </w:r>
      <w:r>
        <w:rPr>
          <w:noProof/>
        </w:rPr>
      </w:r>
      <w:r>
        <w:rPr>
          <w:noProof/>
        </w:rPr>
        <w:fldChar w:fldCharType="separate"/>
      </w:r>
      <w:r>
        <w:rPr>
          <w:noProof/>
        </w:rPr>
        <w:t>546</w:t>
      </w:r>
      <w:r>
        <w:rPr>
          <w:noProof/>
        </w:rPr>
        <w:fldChar w:fldCharType="end"/>
      </w:r>
    </w:p>
    <w:p w14:paraId="6A660E11"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5 Thematic framework surrounding 'Practice under pressure' from framework analysis of triangulated qualitative data</w:t>
      </w:r>
      <w:r>
        <w:rPr>
          <w:noProof/>
        </w:rPr>
        <w:tab/>
      </w:r>
      <w:r>
        <w:rPr>
          <w:noProof/>
        </w:rPr>
        <w:fldChar w:fldCharType="begin"/>
      </w:r>
      <w:r>
        <w:rPr>
          <w:noProof/>
        </w:rPr>
        <w:instrText xml:space="preserve"> PAGEREF _Toc419116485 \h </w:instrText>
      </w:r>
      <w:r>
        <w:rPr>
          <w:noProof/>
        </w:rPr>
      </w:r>
      <w:r>
        <w:rPr>
          <w:noProof/>
        </w:rPr>
        <w:fldChar w:fldCharType="separate"/>
      </w:r>
      <w:r>
        <w:rPr>
          <w:noProof/>
        </w:rPr>
        <w:t>560</w:t>
      </w:r>
      <w:r>
        <w:rPr>
          <w:noProof/>
        </w:rPr>
        <w:fldChar w:fldCharType="end"/>
      </w:r>
    </w:p>
    <w:p w14:paraId="68369D81"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6 Relationship diagram to summarise culture and the hidden curriculum in healthcare</w:t>
      </w:r>
      <w:r>
        <w:rPr>
          <w:noProof/>
        </w:rPr>
        <w:tab/>
      </w:r>
      <w:r>
        <w:rPr>
          <w:noProof/>
        </w:rPr>
        <w:fldChar w:fldCharType="begin"/>
      </w:r>
      <w:r>
        <w:rPr>
          <w:noProof/>
        </w:rPr>
        <w:instrText xml:space="preserve"> PAGEREF _Toc419116486 \h </w:instrText>
      </w:r>
      <w:r>
        <w:rPr>
          <w:noProof/>
        </w:rPr>
      </w:r>
      <w:r>
        <w:rPr>
          <w:noProof/>
        </w:rPr>
        <w:fldChar w:fldCharType="separate"/>
      </w:r>
      <w:r>
        <w:rPr>
          <w:noProof/>
        </w:rPr>
        <w:t>561</w:t>
      </w:r>
      <w:r>
        <w:rPr>
          <w:noProof/>
        </w:rPr>
        <w:fldChar w:fldCharType="end"/>
      </w:r>
    </w:p>
    <w:p w14:paraId="12455D52"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7 Methods to address the culture and hidden curriculum in healthcare</w:t>
      </w:r>
      <w:r>
        <w:rPr>
          <w:noProof/>
        </w:rPr>
        <w:tab/>
      </w:r>
      <w:r>
        <w:rPr>
          <w:noProof/>
        </w:rPr>
        <w:fldChar w:fldCharType="begin"/>
      </w:r>
      <w:r>
        <w:rPr>
          <w:noProof/>
        </w:rPr>
        <w:instrText xml:space="preserve"> PAGEREF _Toc419116487 \h </w:instrText>
      </w:r>
      <w:r>
        <w:rPr>
          <w:noProof/>
        </w:rPr>
      </w:r>
      <w:r>
        <w:rPr>
          <w:noProof/>
        </w:rPr>
        <w:fldChar w:fldCharType="separate"/>
      </w:r>
      <w:r>
        <w:rPr>
          <w:noProof/>
        </w:rPr>
        <w:t>562</w:t>
      </w:r>
      <w:r>
        <w:rPr>
          <w:noProof/>
        </w:rPr>
        <w:fldChar w:fldCharType="end"/>
      </w:r>
    </w:p>
    <w:p w14:paraId="0A19C525"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8 Human factors</w:t>
      </w:r>
      <w:r>
        <w:rPr>
          <w:noProof/>
        </w:rPr>
        <w:tab/>
      </w:r>
      <w:r>
        <w:rPr>
          <w:noProof/>
        </w:rPr>
        <w:fldChar w:fldCharType="begin"/>
      </w:r>
      <w:r>
        <w:rPr>
          <w:noProof/>
        </w:rPr>
        <w:instrText xml:space="preserve"> PAGEREF _Toc419116488 \h </w:instrText>
      </w:r>
      <w:r>
        <w:rPr>
          <w:noProof/>
        </w:rPr>
      </w:r>
      <w:r>
        <w:rPr>
          <w:noProof/>
        </w:rPr>
        <w:fldChar w:fldCharType="separate"/>
      </w:r>
      <w:r>
        <w:rPr>
          <w:noProof/>
        </w:rPr>
        <w:t>563</w:t>
      </w:r>
      <w:r>
        <w:rPr>
          <w:noProof/>
        </w:rPr>
        <w:fldChar w:fldCharType="end"/>
      </w:r>
    </w:p>
    <w:p w14:paraId="19ACD251"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9 Non-technical skills from framework analysis of triangulated data</w:t>
      </w:r>
      <w:r>
        <w:rPr>
          <w:noProof/>
        </w:rPr>
        <w:tab/>
      </w:r>
      <w:r>
        <w:rPr>
          <w:noProof/>
        </w:rPr>
        <w:fldChar w:fldCharType="begin"/>
      </w:r>
      <w:r>
        <w:rPr>
          <w:noProof/>
        </w:rPr>
        <w:instrText xml:space="preserve"> PAGEREF _Toc419116489 \h </w:instrText>
      </w:r>
      <w:r>
        <w:rPr>
          <w:noProof/>
        </w:rPr>
      </w:r>
      <w:r>
        <w:rPr>
          <w:noProof/>
        </w:rPr>
        <w:fldChar w:fldCharType="separate"/>
      </w:r>
      <w:r>
        <w:rPr>
          <w:noProof/>
        </w:rPr>
        <w:t>564</w:t>
      </w:r>
      <w:r>
        <w:rPr>
          <w:noProof/>
        </w:rPr>
        <w:fldChar w:fldCharType="end"/>
      </w:r>
    </w:p>
    <w:p w14:paraId="160D37E8"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10 When and how to teach human factors in healthcare –key themes</w:t>
      </w:r>
      <w:r>
        <w:rPr>
          <w:noProof/>
        </w:rPr>
        <w:tab/>
      </w:r>
      <w:r>
        <w:rPr>
          <w:noProof/>
        </w:rPr>
        <w:fldChar w:fldCharType="begin"/>
      </w:r>
      <w:r>
        <w:rPr>
          <w:noProof/>
        </w:rPr>
        <w:instrText xml:space="preserve"> PAGEREF _Toc419116490 \h </w:instrText>
      </w:r>
      <w:r>
        <w:rPr>
          <w:noProof/>
        </w:rPr>
      </w:r>
      <w:r>
        <w:rPr>
          <w:noProof/>
        </w:rPr>
        <w:fldChar w:fldCharType="separate"/>
      </w:r>
      <w:r>
        <w:rPr>
          <w:noProof/>
        </w:rPr>
        <w:t>565</w:t>
      </w:r>
      <w:r>
        <w:rPr>
          <w:noProof/>
        </w:rPr>
        <w:fldChar w:fldCharType="end"/>
      </w:r>
    </w:p>
    <w:p w14:paraId="142687E4"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11 Quality as a main theme related to challenges and barriers for SBME</w:t>
      </w:r>
      <w:r>
        <w:rPr>
          <w:noProof/>
        </w:rPr>
        <w:tab/>
      </w:r>
      <w:r>
        <w:rPr>
          <w:noProof/>
        </w:rPr>
        <w:fldChar w:fldCharType="begin"/>
      </w:r>
      <w:r>
        <w:rPr>
          <w:noProof/>
        </w:rPr>
        <w:instrText xml:space="preserve"> PAGEREF _Toc419116491 \h </w:instrText>
      </w:r>
      <w:r>
        <w:rPr>
          <w:noProof/>
        </w:rPr>
      </w:r>
      <w:r>
        <w:rPr>
          <w:noProof/>
        </w:rPr>
        <w:fldChar w:fldCharType="separate"/>
      </w:r>
      <w:r>
        <w:rPr>
          <w:noProof/>
        </w:rPr>
        <w:t>566</w:t>
      </w:r>
      <w:r>
        <w:rPr>
          <w:noProof/>
        </w:rPr>
        <w:fldChar w:fldCharType="end"/>
      </w:r>
    </w:p>
    <w:p w14:paraId="2537E9AE"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12 Monetary issues surrounding the challenges and barriers of SBME</w:t>
      </w:r>
      <w:r>
        <w:rPr>
          <w:noProof/>
        </w:rPr>
        <w:tab/>
      </w:r>
      <w:r>
        <w:rPr>
          <w:noProof/>
        </w:rPr>
        <w:fldChar w:fldCharType="begin"/>
      </w:r>
      <w:r>
        <w:rPr>
          <w:noProof/>
        </w:rPr>
        <w:instrText xml:space="preserve"> PAGEREF _Toc419116492 \h </w:instrText>
      </w:r>
      <w:r>
        <w:rPr>
          <w:noProof/>
        </w:rPr>
      </w:r>
      <w:r>
        <w:rPr>
          <w:noProof/>
        </w:rPr>
        <w:fldChar w:fldCharType="separate"/>
      </w:r>
      <w:r>
        <w:rPr>
          <w:noProof/>
        </w:rPr>
        <w:t>568</w:t>
      </w:r>
      <w:r>
        <w:rPr>
          <w:noProof/>
        </w:rPr>
        <w:fldChar w:fldCharType="end"/>
      </w:r>
    </w:p>
    <w:p w14:paraId="6D0C865C"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lastRenderedPageBreak/>
        <w:t>Figure 13</w:t>
      </w:r>
      <w:r>
        <w:rPr>
          <w:noProof/>
        </w:rPr>
        <w:noBreakHyphen/>
        <w:t>13 Physical issues related to challenges and barriers for SBME – key themes</w:t>
      </w:r>
      <w:r>
        <w:rPr>
          <w:noProof/>
        </w:rPr>
        <w:tab/>
      </w:r>
      <w:r>
        <w:rPr>
          <w:noProof/>
        </w:rPr>
        <w:fldChar w:fldCharType="begin"/>
      </w:r>
      <w:r>
        <w:rPr>
          <w:noProof/>
        </w:rPr>
        <w:instrText xml:space="preserve"> PAGEREF _Toc419116493 \h </w:instrText>
      </w:r>
      <w:r>
        <w:rPr>
          <w:noProof/>
        </w:rPr>
      </w:r>
      <w:r>
        <w:rPr>
          <w:noProof/>
        </w:rPr>
        <w:fldChar w:fldCharType="separate"/>
      </w:r>
      <w:r>
        <w:rPr>
          <w:noProof/>
        </w:rPr>
        <w:t>569</w:t>
      </w:r>
      <w:r>
        <w:rPr>
          <w:noProof/>
        </w:rPr>
        <w:fldChar w:fldCharType="end"/>
      </w:r>
    </w:p>
    <w:p w14:paraId="148B6293"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14 Fidelity and SBME – key themes</w:t>
      </w:r>
      <w:r>
        <w:rPr>
          <w:noProof/>
        </w:rPr>
        <w:tab/>
      </w:r>
      <w:r>
        <w:rPr>
          <w:noProof/>
        </w:rPr>
        <w:fldChar w:fldCharType="begin"/>
      </w:r>
      <w:r>
        <w:rPr>
          <w:noProof/>
        </w:rPr>
        <w:instrText xml:space="preserve"> PAGEREF _Toc419116494 \h </w:instrText>
      </w:r>
      <w:r>
        <w:rPr>
          <w:noProof/>
        </w:rPr>
      </w:r>
      <w:r>
        <w:rPr>
          <w:noProof/>
        </w:rPr>
        <w:fldChar w:fldCharType="separate"/>
      </w:r>
      <w:r>
        <w:rPr>
          <w:noProof/>
        </w:rPr>
        <w:t>570</w:t>
      </w:r>
      <w:r>
        <w:rPr>
          <w:noProof/>
        </w:rPr>
        <w:fldChar w:fldCharType="end"/>
      </w:r>
    </w:p>
    <w:p w14:paraId="42514B4A"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15 Faculty for SBME – key themes</w:t>
      </w:r>
      <w:r>
        <w:rPr>
          <w:noProof/>
        </w:rPr>
        <w:tab/>
      </w:r>
      <w:r>
        <w:rPr>
          <w:noProof/>
        </w:rPr>
        <w:fldChar w:fldCharType="begin"/>
      </w:r>
      <w:r>
        <w:rPr>
          <w:noProof/>
        </w:rPr>
        <w:instrText xml:space="preserve"> PAGEREF _Toc419116495 \h </w:instrText>
      </w:r>
      <w:r>
        <w:rPr>
          <w:noProof/>
        </w:rPr>
      </w:r>
      <w:r>
        <w:rPr>
          <w:noProof/>
        </w:rPr>
        <w:fldChar w:fldCharType="separate"/>
      </w:r>
      <w:r>
        <w:rPr>
          <w:noProof/>
        </w:rPr>
        <w:t>572</w:t>
      </w:r>
      <w:r>
        <w:rPr>
          <w:noProof/>
        </w:rPr>
        <w:fldChar w:fldCharType="end"/>
      </w:r>
    </w:p>
    <w:p w14:paraId="43C21DF7"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16 Patient safety in the context of SBME – key themes</w:t>
      </w:r>
      <w:r>
        <w:rPr>
          <w:noProof/>
        </w:rPr>
        <w:tab/>
      </w:r>
      <w:r>
        <w:rPr>
          <w:noProof/>
        </w:rPr>
        <w:fldChar w:fldCharType="begin"/>
      </w:r>
      <w:r>
        <w:rPr>
          <w:noProof/>
        </w:rPr>
        <w:instrText xml:space="preserve"> PAGEREF _Toc419116496 \h </w:instrText>
      </w:r>
      <w:r>
        <w:rPr>
          <w:noProof/>
        </w:rPr>
      </w:r>
      <w:r>
        <w:rPr>
          <w:noProof/>
        </w:rPr>
        <w:fldChar w:fldCharType="separate"/>
      </w:r>
      <w:r>
        <w:rPr>
          <w:noProof/>
        </w:rPr>
        <w:t>574</w:t>
      </w:r>
      <w:r>
        <w:rPr>
          <w:noProof/>
        </w:rPr>
        <w:fldChar w:fldCharType="end"/>
      </w:r>
    </w:p>
    <w:p w14:paraId="09045C88"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17 Planning a simulation-based education intervention – key themes</w:t>
      </w:r>
      <w:r>
        <w:rPr>
          <w:noProof/>
        </w:rPr>
        <w:tab/>
      </w:r>
      <w:r>
        <w:rPr>
          <w:noProof/>
        </w:rPr>
        <w:fldChar w:fldCharType="begin"/>
      </w:r>
      <w:r>
        <w:rPr>
          <w:noProof/>
        </w:rPr>
        <w:instrText xml:space="preserve"> PAGEREF _Toc419116497 \h </w:instrText>
      </w:r>
      <w:r>
        <w:rPr>
          <w:noProof/>
        </w:rPr>
      </w:r>
      <w:r>
        <w:rPr>
          <w:noProof/>
        </w:rPr>
        <w:fldChar w:fldCharType="separate"/>
      </w:r>
      <w:r>
        <w:rPr>
          <w:noProof/>
        </w:rPr>
        <w:t>575</w:t>
      </w:r>
      <w:r>
        <w:rPr>
          <w:noProof/>
        </w:rPr>
        <w:fldChar w:fldCharType="end"/>
      </w:r>
    </w:p>
    <w:p w14:paraId="075E920B"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18 Learning outcomes when designing a SBME intervention</w:t>
      </w:r>
      <w:r>
        <w:rPr>
          <w:noProof/>
        </w:rPr>
        <w:tab/>
      </w:r>
      <w:r>
        <w:rPr>
          <w:noProof/>
        </w:rPr>
        <w:fldChar w:fldCharType="begin"/>
      </w:r>
      <w:r>
        <w:rPr>
          <w:noProof/>
        </w:rPr>
        <w:instrText xml:space="preserve"> PAGEREF _Toc419116498 \h </w:instrText>
      </w:r>
      <w:r>
        <w:rPr>
          <w:noProof/>
        </w:rPr>
      </w:r>
      <w:r>
        <w:rPr>
          <w:noProof/>
        </w:rPr>
        <w:fldChar w:fldCharType="separate"/>
      </w:r>
      <w:r>
        <w:rPr>
          <w:noProof/>
        </w:rPr>
        <w:t>576</w:t>
      </w:r>
      <w:r>
        <w:rPr>
          <w:noProof/>
        </w:rPr>
        <w:fldChar w:fldCharType="end"/>
      </w:r>
    </w:p>
    <w:p w14:paraId="52157228"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Figure 13</w:t>
      </w:r>
      <w:r>
        <w:rPr>
          <w:noProof/>
        </w:rPr>
        <w:noBreakHyphen/>
        <w:t>19 Designing scenarios for SBME</w:t>
      </w:r>
      <w:r>
        <w:rPr>
          <w:noProof/>
        </w:rPr>
        <w:tab/>
      </w:r>
      <w:r>
        <w:rPr>
          <w:noProof/>
        </w:rPr>
        <w:fldChar w:fldCharType="begin"/>
      </w:r>
      <w:r>
        <w:rPr>
          <w:noProof/>
        </w:rPr>
        <w:instrText xml:space="preserve"> PAGEREF _Toc419116499 \h </w:instrText>
      </w:r>
      <w:r>
        <w:rPr>
          <w:noProof/>
        </w:rPr>
      </w:r>
      <w:r>
        <w:rPr>
          <w:noProof/>
        </w:rPr>
        <w:fldChar w:fldCharType="separate"/>
      </w:r>
      <w:r>
        <w:rPr>
          <w:noProof/>
        </w:rPr>
        <w:t>577</w:t>
      </w:r>
      <w:r>
        <w:rPr>
          <w:noProof/>
        </w:rPr>
        <w:fldChar w:fldCharType="end"/>
      </w:r>
    </w:p>
    <w:p w14:paraId="36502B70" w14:textId="60237F08" w:rsidR="0033498A" w:rsidRDefault="00D45576" w:rsidP="00C9395B">
      <w:r>
        <w:fldChar w:fldCharType="end"/>
      </w:r>
    </w:p>
    <w:p w14:paraId="4D4BEEDB" w14:textId="3C9F3D7B" w:rsidR="00CD32FE" w:rsidRPr="009C6FB5" w:rsidRDefault="001004EA" w:rsidP="00C9395B">
      <w:r w:rsidRPr="00C9395B">
        <w:rPr>
          <w:b/>
          <w:u w:val="single"/>
        </w:rPr>
        <w:t>T</w:t>
      </w:r>
      <w:r w:rsidR="00CD32FE" w:rsidRPr="00C9395B">
        <w:rPr>
          <w:b/>
          <w:u w:val="single"/>
        </w:rPr>
        <w:t>ables</w:t>
      </w:r>
    </w:p>
    <w:p w14:paraId="17CA6144" w14:textId="77777777" w:rsidR="00AC7474" w:rsidRDefault="006655EB">
      <w:pPr>
        <w:pStyle w:val="TableofFigures"/>
        <w:tabs>
          <w:tab w:val="right" w:leader="dot" w:pos="8488"/>
        </w:tabs>
        <w:rPr>
          <w:rFonts w:asciiTheme="minorHAnsi" w:eastAsiaTheme="minorEastAsia" w:hAnsiTheme="minorHAnsi" w:cstheme="minorBidi"/>
          <w:noProof/>
          <w:szCs w:val="24"/>
          <w:lang w:val="en-US" w:eastAsia="ja-JP"/>
        </w:rPr>
      </w:pPr>
      <w:r>
        <w:rPr>
          <w:b/>
          <w:bCs/>
        </w:rPr>
        <w:fldChar w:fldCharType="begin"/>
      </w:r>
      <w:r>
        <w:rPr>
          <w:b/>
          <w:bCs/>
        </w:rPr>
        <w:instrText xml:space="preserve"> TOC \c "Table" </w:instrText>
      </w:r>
      <w:r>
        <w:rPr>
          <w:b/>
          <w:bCs/>
        </w:rPr>
        <w:fldChar w:fldCharType="separate"/>
      </w:r>
      <w:r w:rsidR="00AC7474">
        <w:rPr>
          <w:noProof/>
        </w:rPr>
        <w:t>Table 2</w:t>
      </w:r>
      <w:r w:rsidR="00AC7474">
        <w:rPr>
          <w:noProof/>
        </w:rPr>
        <w:noBreakHyphen/>
        <w:t>1 Inclusion criteria for articles</w:t>
      </w:r>
      <w:r w:rsidR="00AC7474">
        <w:rPr>
          <w:noProof/>
        </w:rPr>
        <w:tab/>
      </w:r>
      <w:r w:rsidR="00AC7474">
        <w:rPr>
          <w:noProof/>
        </w:rPr>
        <w:fldChar w:fldCharType="begin"/>
      </w:r>
      <w:r w:rsidR="00AC7474">
        <w:rPr>
          <w:noProof/>
        </w:rPr>
        <w:instrText xml:space="preserve"> PAGEREF _Toc419116500 \h </w:instrText>
      </w:r>
      <w:r w:rsidR="00AC7474">
        <w:rPr>
          <w:noProof/>
        </w:rPr>
      </w:r>
      <w:r w:rsidR="00AC7474">
        <w:rPr>
          <w:noProof/>
        </w:rPr>
        <w:fldChar w:fldCharType="separate"/>
      </w:r>
      <w:r w:rsidR="00AC7474">
        <w:rPr>
          <w:noProof/>
        </w:rPr>
        <w:t>22</w:t>
      </w:r>
      <w:r w:rsidR="00AC7474">
        <w:rPr>
          <w:noProof/>
        </w:rPr>
        <w:fldChar w:fldCharType="end"/>
      </w:r>
    </w:p>
    <w:p w14:paraId="4A0222AD"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1 Gender and confidence scores (n=94)</w:t>
      </w:r>
      <w:r>
        <w:rPr>
          <w:noProof/>
        </w:rPr>
        <w:tab/>
      </w:r>
      <w:r>
        <w:rPr>
          <w:noProof/>
        </w:rPr>
        <w:fldChar w:fldCharType="begin"/>
      </w:r>
      <w:r>
        <w:rPr>
          <w:noProof/>
        </w:rPr>
        <w:instrText xml:space="preserve"> PAGEREF _Toc419116501 \h </w:instrText>
      </w:r>
      <w:r>
        <w:rPr>
          <w:noProof/>
        </w:rPr>
      </w:r>
      <w:r>
        <w:rPr>
          <w:noProof/>
        </w:rPr>
        <w:fldChar w:fldCharType="separate"/>
      </w:r>
      <w:r>
        <w:rPr>
          <w:noProof/>
        </w:rPr>
        <w:t>241</w:t>
      </w:r>
      <w:r>
        <w:rPr>
          <w:noProof/>
        </w:rPr>
        <w:fldChar w:fldCharType="end"/>
      </w:r>
    </w:p>
    <w:p w14:paraId="4EF930CC"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2 Formative assessment marks between gender (n=94)</w:t>
      </w:r>
      <w:r>
        <w:rPr>
          <w:noProof/>
        </w:rPr>
        <w:tab/>
      </w:r>
      <w:r>
        <w:rPr>
          <w:noProof/>
        </w:rPr>
        <w:fldChar w:fldCharType="begin"/>
      </w:r>
      <w:r>
        <w:rPr>
          <w:noProof/>
        </w:rPr>
        <w:instrText xml:space="preserve"> PAGEREF _Toc419116502 \h </w:instrText>
      </w:r>
      <w:r>
        <w:rPr>
          <w:noProof/>
        </w:rPr>
      </w:r>
      <w:r>
        <w:rPr>
          <w:noProof/>
        </w:rPr>
        <w:fldChar w:fldCharType="separate"/>
      </w:r>
      <w:r>
        <w:rPr>
          <w:noProof/>
        </w:rPr>
        <w:t>242</w:t>
      </w:r>
      <w:r>
        <w:rPr>
          <w:noProof/>
        </w:rPr>
        <w:fldChar w:fldCharType="end"/>
      </w:r>
    </w:p>
    <w:p w14:paraId="48D1D5CE"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3 Overall confidence scores between University 1 and 2 students.</w:t>
      </w:r>
      <w:r>
        <w:rPr>
          <w:noProof/>
        </w:rPr>
        <w:tab/>
      </w:r>
      <w:r>
        <w:rPr>
          <w:noProof/>
        </w:rPr>
        <w:fldChar w:fldCharType="begin"/>
      </w:r>
      <w:r>
        <w:rPr>
          <w:noProof/>
        </w:rPr>
        <w:instrText xml:space="preserve"> PAGEREF _Toc419116503 \h </w:instrText>
      </w:r>
      <w:r>
        <w:rPr>
          <w:noProof/>
        </w:rPr>
      </w:r>
      <w:r>
        <w:rPr>
          <w:noProof/>
        </w:rPr>
        <w:fldChar w:fldCharType="separate"/>
      </w:r>
      <w:r>
        <w:rPr>
          <w:noProof/>
        </w:rPr>
        <w:t>243</w:t>
      </w:r>
      <w:r>
        <w:rPr>
          <w:noProof/>
        </w:rPr>
        <w:fldChar w:fldCharType="end"/>
      </w:r>
    </w:p>
    <w:p w14:paraId="3504158E"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4 Overall pre-course/ baseline confidence scores and formative assessment marks as a marker of performance</w:t>
      </w:r>
      <w:r>
        <w:rPr>
          <w:noProof/>
        </w:rPr>
        <w:tab/>
      </w:r>
      <w:r>
        <w:rPr>
          <w:noProof/>
        </w:rPr>
        <w:fldChar w:fldCharType="begin"/>
      </w:r>
      <w:r>
        <w:rPr>
          <w:noProof/>
        </w:rPr>
        <w:instrText xml:space="preserve"> PAGEREF _Toc419116504 \h </w:instrText>
      </w:r>
      <w:r>
        <w:rPr>
          <w:noProof/>
        </w:rPr>
      </w:r>
      <w:r>
        <w:rPr>
          <w:noProof/>
        </w:rPr>
        <w:fldChar w:fldCharType="separate"/>
      </w:r>
      <w:r>
        <w:rPr>
          <w:noProof/>
        </w:rPr>
        <w:t>244</w:t>
      </w:r>
      <w:r>
        <w:rPr>
          <w:noProof/>
        </w:rPr>
        <w:fldChar w:fldCharType="end"/>
      </w:r>
    </w:p>
    <w:p w14:paraId="78BBBAA1"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lastRenderedPageBreak/>
        <w:t>Table 7</w:t>
      </w:r>
      <w:r>
        <w:rPr>
          <w:noProof/>
        </w:rPr>
        <w:noBreakHyphen/>
        <w:t>5 Change in pre and post-course confidence score (Q20 difference) compared with formative assessment result</w:t>
      </w:r>
      <w:r>
        <w:rPr>
          <w:noProof/>
        </w:rPr>
        <w:tab/>
      </w:r>
      <w:r>
        <w:rPr>
          <w:noProof/>
        </w:rPr>
        <w:fldChar w:fldCharType="begin"/>
      </w:r>
      <w:r>
        <w:rPr>
          <w:noProof/>
        </w:rPr>
        <w:instrText xml:space="preserve"> PAGEREF _Toc419116505 \h </w:instrText>
      </w:r>
      <w:r>
        <w:rPr>
          <w:noProof/>
        </w:rPr>
      </w:r>
      <w:r>
        <w:rPr>
          <w:noProof/>
        </w:rPr>
        <w:fldChar w:fldCharType="separate"/>
      </w:r>
      <w:r>
        <w:rPr>
          <w:noProof/>
        </w:rPr>
        <w:t>246</w:t>
      </w:r>
      <w:r>
        <w:rPr>
          <w:noProof/>
        </w:rPr>
        <w:fldChar w:fldCharType="end"/>
      </w:r>
    </w:p>
    <w:p w14:paraId="54F3AEB8"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6 Overall baseline confidence and how prepared students felt one month into FY1 when seeing an acutely unwell patient</w:t>
      </w:r>
      <w:r>
        <w:rPr>
          <w:noProof/>
        </w:rPr>
        <w:tab/>
      </w:r>
      <w:r>
        <w:rPr>
          <w:noProof/>
        </w:rPr>
        <w:fldChar w:fldCharType="begin"/>
      </w:r>
      <w:r>
        <w:rPr>
          <w:noProof/>
        </w:rPr>
        <w:instrText xml:space="preserve"> PAGEREF _Toc419116506 \h </w:instrText>
      </w:r>
      <w:r>
        <w:rPr>
          <w:noProof/>
        </w:rPr>
      </w:r>
      <w:r>
        <w:rPr>
          <w:noProof/>
        </w:rPr>
        <w:fldChar w:fldCharType="separate"/>
      </w:r>
      <w:r>
        <w:rPr>
          <w:noProof/>
        </w:rPr>
        <w:t>248</w:t>
      </w:r>
      <w:r>
        <w:rPr>
          <w:noProof/>
        </w:rPr>
        <w:fldChar w:fldCharType="end"/>
      </w:r>
    </w:p>
    <w:p w14:paraId="2382A8FB"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7 Overall baseline confidence compared to how well their undergraduate curriculum has prepared them for FY1.</w:t>
      </w:r>
      <w:r>
        <w:rPr>
          <w:noProof/>
        </w:rPr>
        <w:tab/>
      </w:r>
      <w:r>
        <w:rPr>
          <w:noProof/>
        </w:rPr>
        <w:fldChar w:fldCharType="begin"/>
      </w:r>
      <w:r>
        <w:rPr>
          <w:noProof/>
        </w:rPr>
        <w:instrText xml:space="preserve"> PAGEREF _Toc419116507 \h </w:instrText>
      </w:r>
      <w:r>
        <w:rPr>
          <w:noProof/>
        </w:rPr>
      </w:r>
      <w:r>
        <w:rPr>
          <w:noProof/>
        </w:rPr>
        <w:fldChar w:fldCharType="separate"/>
      </w:r>
      <w:r>
        <w:rPr>
          <w:noProof/>
        </w:rPr>
        <w:t>249</w:t>
      </w:r>
      <w:r>
        <w:rPr>
          <w:noProof/>
        </w:rPr>
        <w:fldChar w:fldCharType="end"/>
      </w:r>
    </w:p>
    <w:p w14:paraId="66995A61"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8 Overall baseline pre-course confidence and ability to treat a patient with sepsis when one month into FY1.</w:t>
      </w:r>
      <w:r>
        <w:rPr>
          <w:noProof/>
        </w:rPr>
        <w:tab/>
      </w:r>
      <w:r>
        <w:rPr>
          <w:noProof/>
        </w:rPr>
        <w:fldChar w:fldCharType="begin"/>
      </w:r>
      <w:r>
        <w:rPr>
          <w:noProof/>
        </w:rPr>
        <w:instrText xml:space="preserve"> PAGEREF _Toc419116508 \h </w:instrText>
      </w:r>
      <w:r>
        <w:rPr>
          <w:noProof/>
        </w:rPr>
      </w:r>
      <w:r>
        <w:rPr>
          <w:noProof/>
        </w:rPr>
        <w:fldChar w:fldCharType="separate"/>
      </w:r>
      <w:r>
        <w:rPr>
          <w:noProof/>
        </w:rPr>
        <w:t>250</w:t>
      </w:r>
      <w:r>
        <w:rPr>
          <w:noProof/>
        </w:rPr>
        <w:fldChar w:fldCharType="end"/>
      </w:r>
    </w:p>
    <w:p w14:paraId="242D3A18"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9 Level of agreement surrounding awareness of expectations about being a FY1 and self-rated confidence</w:t>
      </w:r>
      <w:r>
        <w:rPr>
          <w:noProof/>
        </w:rPr>
        <w:tab/>
      </w:r>
      <w:r>
        <w:rPr>
          <w:noProof/>
        </w:rPr>
        <w:fldChar w:fldCharType="begin"/>
      </w:r>
      <w:r>
        <w:rPr>
          <w:noProof/>
        </w:rPr>
        <w:instrText xml:space="preserve"> PAGEREF _Toc419116509 \h </w:instrText>
      </w:r>
      <w:r>
        <w:rPr>
          <w:noProof/>
        </w:rPr>
      </w:r>
      <w:r>
        <w:rPr>
          <w:noProof/>
        </w:rPr>
        <w:fldChar w:fldCharType="separate"/>
      </w:r>
      <w:r>
        <w:rPr>
          <w:noProof/>
        </w:rPr>
        <w:t>252</w:t>
      </w:r>
      <w:r>
        <w:rPr>
          <w:noProof/>
        </w:rPr>
        <w:fldChar w:fldCharType="end"/>
      </w:r>
    </w:p>
    <w:p w14:paraId="761A720C"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10 Principle Component Analysis</w:t>
      </w:r>
      <w:r>
        <w:rPr>
          <w:noProof/>
        </w:rPr>
        <w:tab/>
      </w:r>
      <w:r>
        <w:rPr>
          <w:noProof/>
        </w:rPr>
        <w:fldChar w:fldCharType="begin"/>
      </w:r>
      <w:r>
        <w:rPr>
          <w:noProof/>
        </w:rPr>
        <w:instrText xml:space="preserve"> PAGEREF _Toc419116510 \h </w:instrText>
      </w:r>
      <w:r>
        <w:rPr>
          <w:noProof/>
        </w:rPr>
      </w:r>
      <w:r>
        <w:rPr>
          <w:noProof/>
        </w:rPr>
        <w:fldChar w:fldCharType="separate"/>
      </w:r>
      <w:r>
        <w:rPr>
          <w:noProof/>
        </w:rPr>
        <w:t>256</w:t>
      </w:r>
      <w:r>
        <w:rPr>
          <w:noProof/>
        </w:rPr>
        <w:fldChar w:fldCharType="end"/>
      </w:r>
    </w:p>
    <w:p w14:paraId="6F963390"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7</w:t>
      </w:r>
      <w:r>
        <w:rPr>
          <w:noProof/>
        </w:rPr>
        <w:noBreakHyphen/>
        <w:t>11 Mean overall confidence scores for each of the four conditions, baseline pre-course, post-course, 1 week post-course and 1 month into FY1</w:t>
      </w:r>
      <w:r>
        <w:rPr>
          <w:noProof/>
        </w:rPr>
        <w:tab/>
      </w:r>
      <w:r>
        <w:rPr>
          <w:noProof/>
        </w:rPr>
        <w:fldChar w:fldCharType="begin"/>
      </w:r>
      <w:r>
        <w:rPr>
          <w:noProof/>
        </w:rPr>
        <w:instrText xml:space="preserve"> PAGEREF _Toc419116511 \h </w:instrText>
      </w:r>
      <w:r>
        <w:rPr>
          <w:noProof/>
        </w:rPr>
      </w:r>
      <w:r>
        <w:rPr>
          <w:noProof/>
        </w:rPr>
        <w:fldChar w:fldCharType="separate"/>
      </w:r>
      <w:r>
        <w:rPr>
          <w:noProof/>
        </w:rPr>
        <w:t>259</w:t>
      </w:r>
      <w:r>
        <w:rPr>
          <w:noProof/>
        </w:rPr>
        <w:fldChar w:fldCharType="end"/>
      </w:r>
    </w:p>
    <w:p w14:paraId="7045093B"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8</w:t>
      </w:r>
      <w:r>
        <w:rPr>
          <w:noProof/>
        </w:rPr>
        <w:noBreakHyphen/>
        <w:t>1 Main emergent themes and subthemes from triangulation of data surrounding preparedness</w:t>
      </w:r>
      <w:r>
        <w:rPr>
          <w:noProof/>
        </w:rPr>
        <w:tab/>
      </w:r>
      <w:r>
        <w:rPr>
          <w:noProof/>
        </w:rPr>
        <w:fldChar w:fldCharType="begin"/>
      </w:r>
      <w:r>
        <w:rPr>
          <w:noProof/>
        </w:rPr>
        <w:instrText xml:space="preserve"> PAGEREF _Toc419116512 \h </w:instrText>
      </w:r>
      <w:r>
        <w:rPr>
          <w:noProof/>
        </w:rPr>
      </w:r>
      <w:r>
        <w:rPr>
          <w:noProof/>
        </w:rPr>
        <w:fldChar w:fldCharType="separate"/>
      </w:r>
      <w:r>
        <w:rPr>
          <w:noProof/>
        </w:rPr>
        <w:t>284</w:t>
      </w:r>
      <w:r>
        <w:rPr>
          <w:noProof/>
        </w:rPr>
        <w:fldChar w:fldCharType="end"/>
      </w:r>
    </w:p>
    <w:p w14:paraId="23800842"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13</w:t>
      </w:r>
      <w:r>
        <w:rPr>
          <w:noProof/>
        </w:rPr>
        <w:noBreakHyphen/>
        <w:t>1 Difference in pre and post-course confidence scores for each of the FP and TD curriculum-mapped domains</w:t>
      </w:r>
      <w:r>
        <w:rPr>
          <w:noProof/>
        </w:rPr>
        <w:tab/>
      </w:r>
      <w:r>
        <w:rPr>
          <w:noProof/>
        </w:rPr>
        <w:fldChar w:fldCharType="begin"/>
      </w:r>
      <w:r>
        <w:rPr>
          <w:noProof/>
        </w:rPr>
        <w:instrText xml:space="preserve"> PAGEREF _Toc419116513 \h </w:instrText>
      </w:r>
      <w:r>
        <w:rPr>
          <w:noProof/>
        </w:rPr>
      </w:r>
      <w:r>
        <w:rPr>
          <w:noProof/>
        </w:rPr>
        <w:fldChar w:fldCharType="separate"/>
      </w:r>
      <w:r>
        <w:rPr>
          <w:noProof/>
        </w:rPr>
        <w:t>527</w:t>
      </w:r>
      <w:r>
        <w:rPr>
          <w:noProof/>
        </w:rPr>
        <w:fldChar w:fldCharType="end"/>
      </w:r>
    </w:p>
    <w:p w14:paraId="01C98E24"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13</w:t>
      </w:r>
      <w:r>
        <w:rPr>
          <w:noProof/>
        </w:rPr>
        <w:noBreakHyphen/>
        <w:t>2 Component matrix for Principal component analysis</w:t>
      </w:r>
      <w:r>
        <w:rPr>
          <w:noProof/>
        </w:rPr>
        <w:tab/>
      </w:r>
      <w:r>
        <w:rPr>
          <w:noProof/>
        </w:rPr>
        <w:fldChar w:fldCharType="begin"/>
      </w:r>
      <w:r>
        <w:rPr>
          <w:noProof/>
        </w:rPr>
        <w:instrText xml:space="preserve"> PAGEREF _Toc419116514 \h </w:instrText>
      </w:r>
      <w:r>
        <w:rPr>
          <w:noProof/>
        </w:rPr>
      </w:r>
      <w:r>
        <w:rPr>
          <w:noProof/>
        </w:rPr>
        <w:fldChar w:fldCharType="separate"/>
      </w:r>
      <w:r>
        <w:rPr>
          <w:noProof/>
        </w:rPr>
        <w:t>530</w:t>
      </w:r>
      <w:r>
        <w:rPr>
          <w:noProof/>
        </w:rPr>
        <w:fldChar w:fldCharType="end"/>
      </w:r>
    </w:p>
    <w:p w14:paraId="2C5EBD77"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lastRenderedPageBreak/>
        <w:t>Table 13</w:t>
      </w:r>
      <w:r>
        <w:rPr>
          <w:noProof/>
        </w:rPr>
        <w:noBreakHyphen/>
        <w:t>3 Descriptive statistics for analysed complete data present across all four conditions for pre and post-course confidence levels</w:t>
      </w:r>
      <w:r>
        <w:rPr>
          <w:noProof/>
        </w:rPr>
        <w:tab/>
      </w:r>
      <w:r>
        <w:rPr>
          <w:noProof/>
        </w:rPr>
        <w:fldChar w:fldCharType="begin"/>
      </w:r>
      <w:r>
        <w:rPr>
          <w:noProof/>
        </w:rPr>
        <w:instrText xml:space="preserve"> PAGEREF _Toc419116515 \h </w:instrText>
      </w:r>
      <w:r>
        <w:rPr>
          <w:noProof/>
        </w:rPr>
      </w:r>
      <w:r>
        <w:rPr>
          <w:noProof/>
        </w:rPr>
        <w:fldChar w:fldCharType="separate"/>
      </w:r>
      <w:r>
        <w:rPr>
          <w:noProof/>
        </w:rPr>
        <w:t>541</w:t>
      </w:r>
      <w:r>
        <w:rPr>
          <w:noProof/>
        </w:rPr>
        <w:fldChar w:fldCharType="end"/>
      </w:r>
    </w:p>
    <w:p w14:paraId="49975586"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13</w:t>
      </w:r>
      <w:r>
        <w:rPr>
          <w:noProof/>
        </w:rPr>
        <w:noBreakHyphen/>
        <w:t>4 Descriptive statistics for correlation: Performance versus overall pre-course confidence SPSS V21</w:t>
      </w:r>
      <w:r>
        <w:rPr>
          <w:noProof/>
        </w:rPr>
        <w:tab/>
      </w:r>
      <w:r>
        <w:rPr>
          <w:noProof/>
        </w:rPr>
        <w:fldChar w:fldCharType="begin"/>
      </w:r>
      <w:r>
        <w:rPr>
          <w:noProof/>
        </w:rPr>
        <w:instrText xml:space="preserve"> PAGEREF _Toc419116516 \h </w:instrText>
      </w:r>
      <w:r>
        <w:rPr>
          <w:noProof/>
        </w:rPr>
      </w:r>
      <w:r>
        <w:rPr>
          <w:noProof/>
        </w:rPr>
        <w:fldChar w:fldCharType="separate"/>
      </w:r>
      <w:r>
        <w:rPr>
          <w:noProof/>
        </w:rPr>
        <w:t>545</w:t>
      </w:r>
      <w:r>
        <w:rPr>
          <w:noProof/>
        </w:rPr>
        <w:fldChar w:fldCharType="end"/>
      </w:r>
    </w:p>
    <w:p w14:paraId="4DB8D79C"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13</w:t>
      </w:r>
      <w:r>
        <w:rPr>
          <w:noProof/>
        </w:rPr>
        <w:noBreakHyphen/>
        <w:t>5 Pearson correlation coefficient SPSS output: One-tailed</w:t>
      </w:r>
      <w:r>
        <w:rPr>
          <w:noProof/>
        </w:rPr>
        <w:tab/>
      </w:r>
      <w:r>
        <w:rPr>
          <w:noProof/>
        </w:rPr>
        <w:fldChar w:fldCharType="begin"/>
      </w:r>
      <w:r>
        <w:rPr>
          <w:noProof/>
        </w:rPr>
        <w:instrText xml:space="preserve"> PAGEREF _Toc419116517 \h </w:instrText>
      </w:r>
      <w:r>
        <w:rPr>
          <w:noProof/>
        </w:rPr>
      </w:r>
      <w:r>
        <w:rPr>
          <w:noProof/>
        </w:rPr>
        <w:fldChar w:fldCharType="separate"/>
      </w:r>
      <w:r>
        <w:rPr>
          <w:noProof/>
        </w:rPr>
        <w:t>545</w:t>
      </w:r>
      <w:r>
        <w:rPr>
          <w:noProof/>
        </w:rPr>
        <w:fldChar w:fldCharType="end"/>
      </w:r>
    </w:p>
    <w:p w14:paraId="47346505" w14:textId="77777777" w:rsidR="00AC7474" w:rsidRDefault="00AC7474">
      <w:pPr>
        <w:pStyle w:val="TableofFigures"/>
        <w:tabs>
          <w:tab w:val="right" w:leader="dot" w:pos="8488"/>
        </w:tabs>
        <w:rPr>
          <w:rFonts w:asciiTheme="minorHAnsi" w:eastAsiaTheme="minorEastAsia" w:hAnsiTheme="minorHAnsi" w:cstheme="minorBidi"/>
          <w:noProof/>
          <w:szCs w:val="24"/>
          <w:lang w:val="en-US" w:eastAsia="ja-JP"/>
        </w:rPr>
      </w:pPr>
      <w:r>
        <w:rPr>
          <w:noProof/>
        </w:rPr>
        <w:t>Table 13</w:t>
      </w:r>
      <w:r>
        <w:rPr>
          <w:noProof/>
        </w:rPr>
        <w:noBreakHyphen/>
        <w:t>6 Regression model summary</w:t>
      </w:r>
      <w:r>
        <w:rPr>
          <w:noProof/>
        </w:rPr>
        <w:tab/>
      </w:r>
      <w:r>
        <w:rPr>
          <w:noProof/>
        </w:rPr>
        <w:fldChar w:fldCharType="begin"/>
      </w:r>
      <w:r>
        <w:rPr>
          <w:noProof/>
        </w:rPr>
        <w:instrText xml:space="preserve"> PAGEREF _Toc419116518 \h </w:instrText>
      </w:r>
      <w:r>
        <w:rPr>
          <w:noProof/>
        </w:rPr>
      </w:r>
      <w:r>
        <w:rPr>
          <w:noProof/>
        </w:rPr>
        <w:fldChar w:fldCharType="separate"/>
      </w:r>
      <w:r>
        <w:rPr>
          <w:noProof/>
        </w:rPr>
        <w:t>546</w:t>
      </w:r>
      <w:r>
        <w:rPr>
          <w:noProof/>
        </w:rPr>
        <w:fldChar w:fldCharType="end"/>
      </w:r>
    </w:p>
    <w:p w14:paraId="48C5AEC2" w14:textId="30E23DA4" w:rsidR="001004EA" w:rsidRDefault="006655EB" w:rsidP="00771207">
      <w:pPr>
        <w:pStyle w:val="Heading1"/>
      </w:pPr>
      <w:r>
        <w:rPr>
          <w:rFonts w:eastAsia="Calibri" w:cs="Times New Roman"/>
          <w:b w:val="0"/>
          <w:bCs w:val="0"/>
          <w:sz w:val="24"/>
          <w:szCs w:val="22"/>
          <w:u w:val="none"/>
          <w:lang w:val="en-GB"/>
        </w:rPr>
        <w:lastRenderedPageBreak/>
        <w:fldChar w:fldCharType="end"/>
      </w:r>
      <w:bookmarkStart w:id="8" w:name="_Toc419116083"/>
      <w:r w:rsidR="00CC3ADC">
        <w:t>Chapter 1: Introduction to thesis</w:t>
      </w:r>
      <w:bookmarkEnd w:id="8"/>
    </w:p>
    <w:p w14:paraId="5C7A69BB" w14:textId="6A09D9C6" w:rsidR="00DB552E" w:rsidRPr="00DB552E" w:rsidRDefault="006F3F99" w:rsidP="00DB552E">
      <w:r>
        <w:rPr>
          <w:noProof/>
          <w:lang w:val="en-US"/>
        </w:rPr>
        <w:drawing>
          <wp:inline distT="0" distB="0" distL="0" distR="0" wp14:anchorId="16F466FC" wp14:editId="59F918A2">
            <wp:extent cx="5466080" cy="8111490"/>
            <wp:effectExtent l="38100" t="38100" r="20320" b="22860"/>
            <wp:docPr id="70" name="Diagram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5F37255D" w14:textId="77777777" w:rsidR="00DB552E" w:rsidRDefault="00DB552E" w:rsidP="00CA53EB">
      <w:pPr>
        <w:pStyle w:val="Heading2"/>
      </w:pPr>
      <w:bookmarkStart w:id="9" w:name="_Toc343501081"/>
      <w:bookmarkStart w:id="10" w:name="_Toc348686282"/>
      <w:bookmarkStart w:id="11" w:name="_Toc419116084"/>
      <w:r w:rsidRPr="00DB552E">
        <w:lastRenderedPageBreak/>
        <w:t>Background to the study</w:t>
      </w:r>
      <w:bookmarkEnd w:id="9"/>
      <w:bookmarkEnd w:id="10"/>
      <w:bookmarkEnd w:id="11"/>
    </w:p>
    <w:p w14:paraId="41242B56" w14:textId="77777777" w:rsidR="00313168" w:rsidRDefault="00313168" w:rsidP="000D71D9">
      <w:pPr>
        <w:rPr>
          <w:rFonts w:cs="Arial"/>
          <w:szCs w:val="24"/>
        </w:rPr>
      </w:pPr>
    </w:p>
    <w:p w14:paraId="728FB560" w14:textId="39393D49" w:rsidR="000D71D9" w:rsidRDefault="00313168" w:rsidP="00331611">
      <w:r>
        <w:t xml:space="preserve">Over </w:t>
      </w:r>
      <w:r w:rsidR="000D71D9">
        <w:t>40% of UK medical graduates do</w:t>
      </w:r>
      <w:r w:rsidR="000D71D9" w:rsidRPr="00AF1B12">
        <w:t xml:space="preserve"> not feel prepared </w:t>
      </w:r>
      <w:r w:rsidR="00A93560">
        <w:t>for practice</w:t>
      </w:r>
      <w:r w:rsidR="000D71D9">
        <w:t xml:space="preserve"> as a </w:t>
      </w:r>
      <w:r w:rsidR="00911761">
        <w:t>Foundation year 1, junior doctor (</w:t>
      </w:r>
      <w:r w:rsidR="000D71D9">
        <w:t>FY1</w:t>
      </w:r>
      <w:r w:rsidR="00911761">
        <w:t>)</w:t>
      </w:r>
      <w:r w:rsidR="00E9391C">
        <w:t xml:space="preserve"> </w:t>
      </w:r>
      <w:r w:rsidR="000D71D9">
        <w:t xml:space="preserve">and </w:t>
      </w:r>
      <w:r w:rsidR="000D71D9" w:rsidRPr="00AF1B12">
        <w:t>large differences between</w:t>
      </w:r>
      <w:r w:rsidR="000D71D9">
        <w:t xml:space="preserve"> graduates of different schools have been found </w:t>
      </w:r>
      <w:r w:rsidR="000D71D9">
        <w:fldChar w:fldCharType="begin">
          <w:fldData xml:space="preserve">PEVuZE5vdGU+PENpdGU+PEF1dGhvcj5Hb2xkYWNyZTwvQXV0aG9yPjxZZWFyPjIwMDM8L1llYXI+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</w:fldData>
        </w:fldChar>
      </w:r>
      <w:r w:rsidR="00D41659">
        <w:instrText xml:space="preserve"> ADDIN EN.CITE </w:instrText>
      </w:r>
      <w:r w:rsidR="00D41659">
        <w:fldChar w:fldCharType="begin">
          <w:fldData xml:space="preserve">PEVuZE5vdGU+PENpdGU+PEF1dGhvcj5Hb2xkYWNyZTwvQXV0aG9yPjxZZWFyPjIwMDM8L1llYXI+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</w:fldData>
        </w:fldChar>
      </w:r>
      <w:r w:rsidR="00D41659">
        <w:instrText xml:space="preserve"> ADDIN EN.CITE.DATA </w:instrText>
      </w:r>
      <w:r w:rsidR="00D41659">
        <w:fldChar w:fldCharType="end"/>
      </w:r>
      <w:r w:rsidR="000D71D9">
        <w:fldChar w:fldCharType="separate"/>
      </w:r>
      <w:r w:rsidR="00D41659">
        <w:rPr>
          <w:noProof/>
        </w:rPr>
        <w:t>(Goldacre et al., 2003, Cave et al., 2007, Burford et al., 2014, Goldacre et al., 2014)</w:t>
      </w:r>
      <w:r w:rsidR="000D71D9">
        <w:fldChar w:fldCharType="end"/>
      </w:r>
      <w:r w:rsidR="000D71D9">
        <w:t xml:space="preserve">. </w:t>
      </w:r>
      <w:r w:rsidR="00483B87">
        <w:t>The death rates for patients in English hospitals are higher in the first week of August for medical admissio</w:t>
      </w:r>
      <w:r w:rsidR="00744896">
        <w:t>ns (w</w:t>
      </w:r>
      <w:r w:rsidR="00CE54C3">
        <w:t xml:space="preserve">hen new FY1 doctors start and often </w:t>
      </w:r>
      <w:r w:rsidR="00483B87">
        <w:t>junior doctor</w:t>
      </w:r>
      <w:r w:rsidR="00CE54C3">
        <w:t>s</w:t>
      </w:r>
      <w:r w:rsidR="00483B87">
        <w:t xml:space="preserve"> </w:t>
      </w:r>
      <w:r w:rsidR="00CE54C3">
        <w:t xml:space="preserve">at all </w:t>
      </w:r>
      <w:r w:rsidR="00483B87">
        <w:t>levels</w:t>
      </w:r>
      <w:r w:rsidR="00CE54C3">
        <w:t xml:space="preserve"> rotate</w:t>
      </w:r>
      <w:r w:rsidR="00483B87">
        <w:t>) than the preceding week</w:t>
      </w:r>
      <w:r w:rsidR="00CE54C3">
        <w:t xml:space="preserve"> </w:t>
      </w:r>
      <w:r w:rsidR="00CE54C3">
        <w:fldChar w:fldCharType="begin"/>
      </w:r>
      <w:r w:rsidR="00CE54C3">
        <w:instrText xml:space="preserve"> ADDIN EN.CITE &lt;EndNote&gt;&lt;Cite&gt;&lt;Author&gt;Jen&lt;/Author&gt;&lt;Year&gt;2009&lt;/Year&gt;&lt;IDText&gt;Early in-hospital mortality following trainee doctors&amp;apos; first day at work&lt;/IDText&gt;&lt;DisplayText&gt;(Jen et al., 2009)&lt;/DisplayText&gt;&lt;record&gt;&lt;keywords&gt;&lt;keyword&gt;Cohort Studies&lt;/keyword&gt;&lt;keyword&gt;England&lt;/keyword&gt;&lt;keyword&gt;Hospital Mortality&lt;/keyword&gt;&lt;keyword&gt;Hospitalization&lt;/keyword&gt;&lt;keyword&gt;Humans&lt;/keyword&gt;&lt;keyword&gt;Outcome Assessment (Health Care)&lt;/keyword&gt;&lt;keyword&gt;Patient Admission&lt;/keyword&gt;&lt;keyword&gt;Personnel Staffing and Scheduling&lt;/keyword&gt;&lt;keyword&gt;Physicians&lt;/keyword&gt;&lt;keyword&gt;Retrospective Studies&lt;/keyword&gt;&lt;keyword&gt;Risk Factors&lt;/keyword&gt;&lt;/keywords&gt;&lt;urls&gt;&lt;related-urls&gt;&lt;url&gt;http://www.ncbi.nlm.nih.gov/pubmed/19774078&lt;/url&gt;&lt;/related-urls&gt;&lt;/urls&gt;&lt;isbn&gt;1932-6203&lt;/isbn&gt;&lt;custom2&gt;PMC2743809&lt;/custom2&gt;&lt;titles&gt;&lt;title&gt;Early in-hospital mortality following trainee doctors&amp;apos; first day at work&lt;/title&gt;&lt;secondary-title&gt;PLoS One&lt;/secondary-title&gt;&lt;/titles&gt;&lt;pages&gt;e7103&lt;/pages&gt;&lt;number&gt;9&lt;/number&gt;&lt;contributors&gt;&lt;authors&gt;&lt;author&gt;Jen, M. H.&lt;/author&gt;&lt;author&gt;Bottle, A.&lt;/author&gt;&lt;author&gt;Majeed, A.&lt;/author&gt;&lt;author&gt;Bell, D.&lt;/author&gt;&lt;author&gt;Aylin, P.&lt;/author&gt;&lt;/authors&gt;&lt;/contributors&gt;&lt;language&gt;eng&lt;/language&gt;&lt;added-date format="utc"&gt;1453721860&lt;/added-date&gt;&lt;ref-type name="Journal Article"&gt;17&lt;/ref-type&gt;&lt;dates&gt;&lt;year&gt;2009&lt;/year&gt;&lt;/dates&gt;&lt;rec-number&gt;159&lt;/rec-number&gt;&lt;last-updated-date format="utc"&gt;1453721860&lt;/last-updated-date&gt;&lt;accession-num&gt;19774078&lt;/accession-num&gt;&lt;electronic-resource-num&gt;10.1371/journal.pone.0007103&lt;/electronic-resource-num&gt;&lt;volume&gt;4&lt;/volume&gt;&lt;/record&gt;&lt;/Cite&gt;&lt;/EndNote&gt;</w:instrText>
      </w:r>
      <w:r w:rsidR="00CE54C3">
        <w:fldChar w:fldCharType="separate"/>
      </w:r>
      <w:r w:rsidR="00CE54C3">
        <w:rPr>
          <w:noProof/>
        </w:rPr>
        <w:t>(Jen et al., 2009)</w:t>
      </w:r>
      <w:r w:rsidR="00CE54C3">
        <w:fldChar w:fldCharType="end"/>
      </w:r>
      <w:r w:rsidR="00483B87">
        <w:t xml:space="preserve">. </w:t>
      </w:r>
      <w:r w:rsidR="00573EFC">
        <w:t>Though these data do not control for severity of disease, cases and seasonal illness</w:t>
      </w:r>
      <w:r w:rsidR="00A36AFD">
        <w:t xml:space="preserve"> during changeover of new FY1 doctors</w:t>
      </w:r>
      <w:r w:rsidR="00573EFC">
        <w:t>, issues with patient</w:t>
      </w:r>
      <w:r w:rsidR="00201751">
        <w:t xml:space="preserve"> care quality and ro</w:t>
      </w:r>
      <w:r w:rsidR="00573EFC">
        <w:t xml:space="preserve">tations have been previously noted </w:t>
      </w:r>
      <w:r w:rsidR="00573EFC">
        <w:fldChar w:fldCharType="begin"/>
      </w:r>
      <w:r w:rsidR="00573EFC">
        <w:instrText xml:space="preserve"> ADDIN EN.CITE &lt;EndNote&gt;&lt;Cite&gt;&lt;Author&gt;Hirsh&lt;/Author&gt;&lt;Year&gt;2014&lt;/Year&gt;&lt;IDText&gt;Time to trust: longitudinal integrated clerkships and entrustable professional activities&lt;/IDText&gt;&lt;DisplayText&gt;(Hirsh et al., 2014)&lt;/DisplayText&gt;&lt;record&gt;&lt;dates&gt;&lt;pub-dates&gt;&lt;date&gt;Feb&lt;/date&gt;&lt;/pub-dates&gt;&lt;year&gt;2014&lt;/year&gt;&lt;/dates&gt;&lt;keywords&gt;&lt;keyword&gt;Clinical Clerkship&lt;/keyword&gt;&lt;keyword&gt;Clinical Competence&lt;/keyword&gt;&lt;keyword&gt;Education, Medical, Undergraduate&lt;/keyword&gt;&lt;keyword&gt;Educational Measurement&lt;/keyword&gt;&lt;keyword&gt;Family Practice&lt;/keyword&gt;&lt;keyword&gt;Female&lt;/keyword&gt;&lt;keyword&gt;Humans&lt;/keyword&gt;&lt;keyword&gt;Internship and Residency&lt;/keyword&gt;&lt;keyword&gt;Male&lt;/keyword&gt;&lt;/keywords&gt;&lt;urls&gt;&lt;related-urls&gt;&lt;url&gt;http://www.ncbi.nlm.nih.gov/pubmed/24362396&lt;/url&gt;&lt;/related-urls&gt;&lt;/urls&gt;&lt;isbn&gt;1938-808X&lt;/isbn&gt;&lt;titles&gt;&lt;title&gt;Time to trust: longitudinal integrated clerkships and entrustable professional activities&lt;/title&gt;&lt;secondary-title&gt;Acad Med&lt;/secondary-title&gt;&lt;/titles&gt;&lt;pages&gt;201-4&lt;/pages&gt;&lt;number&gt;2&lt;/number&gt;&lt;contributors&gt;&lt;authors&gt;&lt;author&gt;Hirsh, D. A.&lt;/author&gt;&lt;author&gt;Holmboe, E. S.&lt;/author&gt;&lt;author&gt;ten Cate, O.&lt;/author&gt;&lt;/authors&gt;&lt;/contributors&gt;&lt;language&gt;eng&lt;/language&gt;&lt;added-date format="utc"&gt;1458298052&lt;/added-date&gt;&lt;ref-type name="Journal Article"&gt;17&lt;/ref-type&gt;&lt;rec-number&gt;231&lt;/rec-number&gt;&lt;last-updated-date format="utc"&gt;1458298052&lt;/last-updated-date&gt;&lt;accession-num&gt;24362396&lt;/accession-num&gt;&lt;electronic-resource-num&gt;10.1097/ACM.0000000000000111&lt;/electronic-resource-num&gt;&lt;volume&gt;89&lt;/volume&gt;&lt;/record&gt;&lt;/Cite&gt;&lt;/EndNote&gt;</w:instrText>
      </w:r>
      <w:r w:rsidR="00573EFC">
        <w:fldChar w:fldCharType="separate"/>
      </w:r>
      <w:r w:rsidR="00573EFC">
        <w:rPr>
          <w:noProof/>
        </w:rPr>
        <w:t>(Hirsh et al., 2014)</w:t>
      </w:r>
      <w:r w:rsidR="00573EFC">
        <w:fldChar w:fldCharType="end"/>
      </w:r>
      <w:r w:rsidR="00201751">
        <w:t xml:space="preserve">. </w:t>
      </w:r>
      <w:r w:rsidR="00A93560">
        <w:t xml:space="preserve">If this is related to preparedness for practice then it is likely that it is influenced by competence as well as confidence. </w:t>
      </w:r>
      <w:r w:rsidR="002E107B">
        <w:t xml:space="preserve"> V</w:t>
      </w:r>
      <w:r w:rsidR="00744896">
        <w:t xml:space="preserve">arious initiatives within the undergraduate curricula to support the transition of new graduates </w:t>
      </w:r>
      <w:r w:rsidR="00646A30">
        <w:t xml:space="preserve">are </w:t>
      </w:r>
      <w:r w:rsidR="00201751">
        <w:t xml:space="preserve">discussed </w:t>
      </w:r>
      <w:r w:rsidR="00646A30">
        <w:t>in detail in Chapter 2.</w:t>
      </w:r>
    </w:p>
    <w:p w14:paraId="239F5FE8" w14:textId="318D214A" w:rsidR="00313168" w:rsidRDefault="00744896" w:rsidP="00313168">
      <w:pPr>
        <w:rPr>
          <w:rFonts w:cs="Arial"/>
          <w:szCs w:val="24"/>
        </w:rPr>
      </w:pPr>
      <w:r>
        <w:rPr>
          <w:rFonts w:cs="Arial"/>
          <w:szCs w:val="24"/>
        </w:rPr>
        <w:t xml:space="preserve">Furthermore, </w:t>
      </w:r>
      <w:r w:rsidR="00646A30">
        <w:rPr>
          <w:rFonts w:cs="Arial"/>
          <w:szCs w:val="24"/>
        </w:rPr>
        <w:t xml:space="preserve">Outcomes for Graduates: </w:t>
      </w:r>
      <w:r w:rsidR="006816C1">
        <w:rPr>
          <w:rFonts w:cs="Arial"/>
          <w:szCs w:val="24"/>
        </w:rPr>
        <w:t>Tomorrow’s Doctors</w:t>
      </w:r>
      <w:r w:rsidR="0052026C">
        <w:rPr>
          <w:rFonts w:cs="Arial"/>
          <w:szCs w:val="24"/>
        </w:rPr>
        <w:t xml:space="preserve"> initially </w:t>
      </w:r>
      <w:proofErr w:type="spellStart"/>
      <w:r w:rsidR="0052026C">
        <w:rPr>
          <w:rFonts w:cs="Arial"/>
          <w:szCs w:val="24"/>
        </w:rPr>
        <w:t>publised</w:t>
      </w:r>
      <w:proofErr w:type="spellEnd"/>
      <w:r w:rsidR="0052026C">
        <w:rPr>
          <w:rFonts w:cs="Arial"/>
          <w:szCs w:val="24"/>
        </w:rPr>
        <w:t xml:space="preserve"> 2009 and updated in 2016,</w:t>
      </w:r>
      <w:r w:rsidR="00313168">
        <w:rPr>
          <w:rFonts w:cs="Arial"/>
          <w:szCs w:val="24"/>
        </w:rPr>
        <w:t xml:space="preserve"> states that ‘t</w:t>
      </w:r>
      <w:r w:rsidR="00313168" w:rsidRPr="00A24954">
        <w:rPr>
          <w:rFonts w:cs="Arial"/>
          <w:szCs w:val="24"/>
        </w:rPr>
        <w:t>he safety of patients and the</w:t>
      </w:r>
      <w:r w:rsidR="00313168">
        <w:rPr>
          <w:rFonts w:cs="Arial"/>
          <w:szCs w:val="24"/>
        </w:rPr>
        <w:t xml:space="preserve">ir care must not be put at risk by students’ duties, </w:t>
      </w:r>
      <w:r w:rsidR="00313168" w:rsidRPr="00A24954">
        <w:rPr>
          <w:rFonts w:cs="Arial"/>
          <w:szCs w:val="24"/>
        </w:rPr>
        <w:t>pe</w:t>
      </w:r>
      <w:r w:rsidR="00313168">
        <w:rPr>
          <w:rFonts w:cs="Arial"/>
          <w:szCs w:val="24"/>
        </w:rPr>
        <w:t>rformance, health or conduct’</w:t>
      </w:r>
      <w:r w:rsidR="0052026C">
        <w:rPr>
          <w:rFonts w:cs="Arial"/>
          <w:szCs w:val="24"/>
        </w:rPr>
        <w:t xml:space="preserve"> (p.31 2009 document)</w:t>
      </w:r>
      <w:r>
        <w:rPr>
          <w:rFonts w:cs="Arial"/>
          <w:szCs w:val="24"/>
        </w:rPr>
        <w:t>.</w:t>
      </w:r>
      <w:r w:rsidR="00313168">
        <w:rPr>
          <w:rFonts w:cs="Arial"/>
          <w:szCs w:val="24"/>
        </w:rPr>
        <w:t xml:space="preserve"> In terms of delivery of teaching, the document recommends that ‘e</w:t>
      </w:r>
      <w:r w:rsidR="00313168" w:rsidRPr="002B71E7">
        <w:rPr>
          <w:rFonts w:cs="Arial"/>
          <w:szCs w:val="24"/>
        </w:rPr>
        <w:t>xperiential lear</w:t>
      </w:r>
      <w:r w:rsidR="00313168">
        <w:rPr>
          <w:rFonts w:cs="Arial"/>
          <w:szCs w:val="24"/>
        </w:rPr>
        <w:t xml:space="preserve">ning in clinical settings, both </w:t>
      </w:r>
      <w:r w:rsidR="00313168" w:rsidRPr="002B71E7">
        <w:rPr>
          <w:rFonts w:cs="Arial"/>
          <w:szCs w:val="24"/>
        </w:rPr>
        <w:t>real and simulated, is</w:t>
      </w:r>
      <w:r w:rsidR="00313168">
        <w:rPr>
          <w:rFonts w:cs="Arial"/>
          <w:szCs w:val="24"/>
        </w:rPr>
        <w:t xml:space="preserve"> important to ensure graduates’ </w:t>
      </w:r>
      <w:r w:rsidR="00313168" w:rsidRPr="002B71E7">
        <w:rPr>
          <w:rFonts w:cs="Arial"/>
          <w:szCs w:val="24"/>
        </w:rPr>
        <w:t>prepare</w:t>
      </w:r>
      <w:r w:rsidR="00313168">
        <w:rPr>
          <w:rFonts w:cs="Arial"/>
          <w:szCs w:val="24"/>
        </w:rPr>
        <w:t>dness for Foundation Year One</w:t>
      </w:r>
      <w:r w:rsidR="00313168" w:rsidRPr="002B71E7">
        <w:rPr>
          <w:rFonts w:cs="Arial"/>
          <w:szCs w:val="24"/>
        </w:rPr>
        <w:t xml:space="preserve"> training</w:t>
      </w:r>
      <w:r w:rsidR="00313168">
        <w:rPr>
          <w:rFonts w:cs="Arial"/>
          <w:szCs w:val="24"/>
        </w:rPr>
        <w:t xml:space="preserve">’ </w:t>
      </w:r>
      <w:r w:rsidR="008268B1">
        <w:rPr>
          <w:rFonts w:cs="Arial"/>
          <w:szCs w:val="24"/>
        </w:rPr>
        <w:t xml:space="preserve">(FY1) </w:t>
      </w:r>
      <w:r w:rsidR="00313168">
        <w:rPr>
          <w:rFonts w:cs="Arial"/>
          <w:szCs w:val="24"/>
        </w:rPr>
        <w:fldChar w:fldCharType="begin"/>
      </w:r>
      <w:r w:rsidR="00BB31A6">
        <w:rPr>
          <w:rFonts w:cs="Arial"/>
          <w:szCs w:val="24"/>
        </w:rPr>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sidR="00313168">
        <w:rPr>
          <w:rFonts w:cs="Arial"/>
          <w:szCs w:val="24"/>
        </w:rPr>
        <w:fldChar w:fldCharType="separate"/>
      </w:r>
      <w:r w:rsidR="00BB31A6">
        <w:rPr>
          <w:rFonts w:cs="Arial"/>
          <w:noProof/>
          <w:szCs w:val="24"/>
        </w:rPr>
        <w:t>(GMC, 2009</w:t>
      </w:r>
      <w:r w:rsidR="00313168">
        <w:rPr>
          <w:rFonts w:cs="Arial"/>
          <w:szCs w:val="24"/>
        </w:rPr>
        <w:fldChar w:fldCharType="end"/>
      </w:r>
      <w:r w:rsidR="00A36AFD">
        <w:rPr>
          <w:rFonts w:cs="Arial"/>
          <w:szCs w:val="24"/>
        </w:rPr>
        <w:t xml:space="preserve"> </w:t>
      </w:r>
      <w:r w:rsidR="0052026C">
        <w:rPr>
          <w:rFonts w:cs="Arial"/>
          <w:szCs w:val="24"/>
        </w:rPr>
        <w:t>p. 53)</w:t>
      </w:r>
      <w:r w:rsidR="00313168" w:rsidRPr="002B71E7">
        <w:rPr>
          <w:rFonts w:cs="Arial"/>
          <w:szCs w:val="24"/>
        </w:rPr>
        <w:t>.</w:t>
      </w:r>
      <w:r w:rsidR="00313168">
        <w:rPr>
          <w:rFonts w:cs="Arial"/>
          <w:szCs w:val="24"/>
        </w:rPr>
        <w:t xml:space="preserve"> It is a </w:t>
      </w:r>
      <w:r w:rsidR="00201751">
        <w:rPr>
          <w:rFonts w:cs="Arial"/>
          <w:szCs w:val="24"/>
        </w:rPr>
        <w:t xml:space="preserve">huge </w:t>
      </w:r>
      <w:r w:rsidR="00313168">
        <w:rPr>
          <w:rFonts w:cs="Arial"/>
          <w:szCs w:val="24"/>
        </w:rPr>
        <w:t xml:space="preserve">challenge to prepare student doctors for the pressures and stresses of a clinical environment, allowing them the responsibility for </w:t>
      </w:r>
      <w:r w:rsidR="001D42C9">
        <w:rPr>
          <w:rFonts w:cs="Arial"/>
          <w:szCs w:val="24"/>
        </w:rPr>
        <w:t>decision-making</w:t>
      </w:r>
      <w:r w:rsidR="00313168">
        <w:rPr>
          <w:rFonts w:cs="Arial"/>
          <w:szCs w:val="24"/>
        </w:rPr>
        <w:t xml:space="preserve"> whilst ensuring patient safety.</w:t>
      </w:r>
    </w:p>
    <w:p w14:paraId="1C4370E3" w14:textId="654F4FEE" w:rsidR="001B72AA" w:rsidRPr="002C5EF0" w:rsidRDefault="00CE54C3" w:rsidP="00313168">
      <w:r>
        <w:lastRenderedPageBreak/>
        <w:t xml:space="preserve">There is evidence that </w:t>
      </w:r>
      <w:r w:rsidR="0070140D">
        <w:t>simulation-based</w:t>
      </w:r>
      <w:r>
        <w:t xml:space="preserve"> education with deliberate practice is superior to traditional models of medical education in terms of clinical skill acquisition (</w:t>
      </w:r>
      <w:proofErr w:type="spellStart"/>
      <w:r>
        <w:t>McGaghie</w:t>
      </w:r>
      <w:proofErr w:type="spellEnd"/>
      <w:r>
        <w:t xml:space="preserve"> 2011)</w:t>
      </w:r>
      <w:r w:rsidR="00A93560">
        <w:t xml:space="preserve"> and that this </w:t>
      </w:r>
      <w:r>
        <w:t xml:space="preserve">does transfer into practice </w:t>
      </w:r>
      <w:r w:rsidR="00E53429">
        <w:fldChar w:fldCharType="begin">
          <w:fldData xml:space="preserve">PEVuZE5vdGU+PENpdGU+PEF1dGhvcj5TZXltb3VyPC9BdXRob3I+PFllYXI+MjAwMjwvWWVhcj48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</w:fldData>
        </w:fldChar>
      </w:r>
      <w:r w:rsidR="00E53429">
        <w:instrText xml:space="preserve"> ADDIN EN.CITE </w:instrText>
      </w:r>
      <w:r w:rsidR="00E53429">
        <w:fldChar w:fldCharType="begin">
          <w:fldData xml:space="preserve">PEVuZE5vdGU+PENpdGU+PEF1dGhvcj5TZXltb3VyPC9BdXRob3I+PFllYXI+MjAwMjwvWWVhcj48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</w:fldData>
        </w:fldChar>
      </w:r>
      <w:r w:rsidR="00E53429">
        <w:instrText xml:space="preserve"> ADDIN EN.CITE.DATA </w:instrText>
      </w:r>
      <w:r w:rsidR="00E53429">
        <w:fldChar w:fldCharType="end"/>
      </w:r>
      <w:r w:rsidR="00E53429">
        <w:fldChar w:fldCharType="separate"/>
      </w:r>
      <w:r w:rsidR="00E53429">
        <w:rPr>
          <w:noProof/>
        </w:rPr>
        <w:t>(Seymour et al., 2002, Blum et al., 2004)</w:t>
      </w:r>
      <w:r w:rsidR="00E53429">
        <w:fldChar w:fldCharType="end"/>
      </w:r>
      <w:r w:rsidR="00646A30">
        <w:t>. S</w:t>
      </w:r>
      <w:r>
        <w:t>imulation</w:t>
      </w:r>
      <w:r w:rsidR="00646A30">
        <w:t xml:space="preserve"> has been shown to</w:t>
      </w:r>
      <w:r>
        <w:t xml:space="preserve"> improve adherence to guidelines in resus</w:t>
      </w:r>
      <w:r w:rsidR="00716C3D">
        <w:t>citation</w:t>
      </w:r>
      <w:r>
        <w:t xml:space="preserve"> scenarios </w:t>
      </w:r>
      <w:r w:rsidR="00135FC1">
        <w:fldChar w:fldCharType="begin">
          <w:fldData xml:space="preserve">PEVuZE5vdGU+PENpdGU+PEF1dGhvcj5BbmRyZWF0dGE8L0F1dGhvcj48WWVhcj4yMDE2PC9ZZWFy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</w:fldData>
        </w:fldChar>
      </w:r>
      <w:r w:rsidR="005E11FB">
        <w:instrText xml:space="preserve"> ADDIN EN.CITE </w:instrText>
      </w:r>
      <w:r w:rsidR="005E11FB">
        <w:fldChar w:fldCharType="begin">
          <w:fldData xml:space="preserve">PEVuZE5vdGU+PENpdGU+PEF1dGhvcj5BbmRyZWF0dGE8L0F1dGhvcj48WWVhcj4yMDE2PC9ZZWFy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</w:fldData>
        </w:fldChar>
      </w:r>
      <w:r w:rsidR="005E11FB">
        <w:instrText xml:space="preserve"> ADDIN EN.CITE.DATA </w:instrText>
      </w:r>
      <w:r w:rsidR="005E11FB">
        <w:fldChar w:fldCharType="end"/>
      </w:r>
      <w:r w:rsidR="00135FC1">
        <w:fldChar w:fldCharType="separate"/>
      </w:r>
      <w:r w:rsidR="005E11FB">
        <w:rPr>
          <w:noProof/>
        </w:rPr>
        <w:t>(Andreatta et al., 2016, Butter et al., 2010, Wayne et al., 2005, Issenberg et al., 2002, Draycott et al., 2008a)</w:t>
      </w:r>
      <w:r w:rsidR="00135FC1">
        <w:fldChar w:fldCharType="end"/>
      </w:r>
      <w:r w:rsidR="001B72AA">
        <w:t xml:space="preserve">. </w:t>
      </w:r>
      <w:r w:rsidR="00201751">
        <w:t xml:space="preserve">Current literature surrounding </w:t>
      </w:r>
      <w:r w:rsidR="00A93560">
        <w:t xml:space="preserve">the use of simulation to support </w:t>
      </w:r>
      <w:r w:rsidR="00201751">
        <w:t xml:space="preserve">preparedness for practice </w:t>
      </w:r>
      <w:r w:rsidR="00A93560">
        <w:t xml:space="preserve">is lacking and </w:t>
      </w:r>
      <w:r w:rsidR="00201751">
        <w:t>w</w:t>
      </w:r>
      <w:r w:rsidR="00646A30">
        <w:t>arrants further exploration</w:t>
      </w:r>
      <w:r w:rsidR="00201751">
        <w:t>.</w:t>
      </w:r>
    </w:p>
    <w:p w14:paraId="05ED68C7" w14:textId="77777777" w:rsidR="00DB552E" w:rsidRPr="002C5EF0" w:rsidRDefault="00DB552E" w:rsidP="00CA53EB">
      <w:pPr>
        <w:pStyle w:val="Heading2"/>
      </w:pPr>
      <w:bookmarkStart w:id="12" w:name="_Toc343501082"/>
      <w:bookmarkStart w:id="13" w:name="_Toc348686283"/>
      <w:bookmarkStart w:id="14" w:name="_Toc419116085"/>
      <w:r w:rsidRPr="002C5EF0">
        <w:t>Rationale for the study</w:t>
      </w:r>
      <w:bookmarkEnd w:id="12"/>
      <w:bookmarkEnd w:id="13"/>
      <w:bookmarkEnd w:id="14"/>
    </w:p>
    <w:p w14:paraId="7FD94BAB" w14:textId="77777777" w:rsidR="002C5EF0" w:rsidRDefault="002C5EF0" w:rsidP="002C5EF0"/>
    <w:p w14:paraId="59C96B1E" w14:textId="17B8B46B" w:rsidR="00313168" w:rsidRPr="001F3E2D" w:rsidRDefault="00744896" w:rsidP="00313168">
      <w:r>
        <w:t>Previous literature and data suggests the need to improve preparedness</w:t>
      </w:r>
      <w:r w:rsidR="000B7E40">
        <w:t xml:space="preserve"> for </w:t>
      </w:r>
      <w:r w:rsidR="00693688">
        <w:t>clinical</w:t>
      </w:r>
      <w:r w:rsidR="000B7E40">
        <w:t xml:space="preserve"> practice amongst medical students</w:t>
      </w:r>
      <w:r>
        <w:t xml:space="preserve">. </w:t>
      </w:r>
      <w:r w:rsidR="00A93560">
        <w:t>The challenge for educators is how best to do this</w:t>
      </w:r>
      <w:r w:rsidR="00706CD4">
        <w:t xml:space="preserve"> and what is actually meant by preparedness</w:t>
      </w:r>
      <w:r w:rsidR="00A93560">
        <w:t xml:space="preserve">. </w:t>
      </w:r>
      <w:r>
        <w:t xml:space="preserve">The </w:t>
      </w:r>
      <w:r w:rsidR="00395A04">
        <w:t>General Medical Council (GMC)</w:t>
      </w:r>
      <w:r w:rsidR="000B7E40">
        <w:t xml:space="preserve"> wants undergradu</w:t>
      </w:r>
      <w:r>
        <w:t>ate programmes to create learning opportunities without compromising q</w:t>
      </w:r>
      <w:r w:rsidR="000B7E40">
        <w:t>u</w:t>
      </w:r>
      <w:r>
        <w:t>a</w:t>
      </w:r>
      <w:r w:rsidR="000B7E40">
        <w:t>lity of care so that gradu</w:t>
      </w:r>
      <w:r>
        <w:t xml:space="preserve">ating doctors have immersion in </w:t>
      </w:r>
      <w:r w:rsidR="00693688">
        <w:t>clinical</w:t>
      </w:r>
      <w:r>
        <w:t xml:space="preserve"> practice</w:t>
      </w:r>
      <w:r w:rsidR="000B7E40">
        <w:t xml:space="preserve"> without affecting patient safety</w:t>
      </w:r>
      <w:r>
        <w:t>. Potentially</w:t>
      </w:r>
      <w:r w:rsidR="000B7E40">
        <w:t>,</w:t>
      </w:r>
      <w:r>
        <w:t xml:space="preserve"> simulation can offer a solution</w:t>
      </w:r>
      <w:r w:rsidR="000B7E40">
        <w:t>,</w:t>
      </w:r>
      <w:r w:rsidR="000B7E40" w:rsidRPr="000B7E40">
        <w:rPr>
          <w:rFonts w:cs="Arial"/>
          <w:szCs w:val="24"/>
        </w:rPr>
        <w:t xml:space="preserve"> </w:t>
      </w:r>
      <w:r w:rsidR="000B7E40">
        <w:rPr>
          <w:rFonts w:cs="Arial"/>
          <w:szCs w:val="24"/>
        </w:rPr>
        <w:t>where mistakes can be made without harm to the patients and individual feedback can be given</w:t>
      </w:r>
      <w:r w:rsidR="000B7E40">
        <w:t>. W</w:t>
      </w:r>
      <w:r w:rsidR="001F3E2D">
        <w:t xml:space="preserve">ith discussions to </w:t>
      </w:r>
      <w:r w:rsidR="00646A30">
        <w:t xml:space="preserve">consider </w:t>
      </w:r>
      <w:r w:rsidR="001F3E2D">
        <w:t>bring</w:t>
      </w:r>
      <w:r w:rsidR="00646A30">
        <w:t>ing</w:t>
      </w:r>
      <w:r w:rsidR="001F3E2D">
        <w:t xml:space="preserve"> forward </w:t>
      </w:r>
      <w:r>
        <w:t xml:space="preserve">full </w:t>
      </w:r>
      <w:r w:rsidR="001F3E2D">
        <w:t>registration</w:t>
      </w:r>
      <w:r>
        <w:t xml:space="preserve"> with the GMC to the point of graduation,</w:t>
      </w:r>
      <w:r w:rsidR="001F3E2D">
        <w:t xml:space="preserve"> it is particularly impo</w:t>
      </w:r>
      <w:r w:rsidR="000B7E40">
        <w:t>rtant</w:t>
      </w:r>
      <w:r w:rsidR="001F3E2D">
        <w:t xml:space="preserve">. </w:t>
      </w:r>
    </w:p>
    <w:p w14:paraId="324255EA" w14:textId="70D4414D" w:rsidR="001F3E2D" w:rsidRDefault="00313168" w:rsidP="00313168">
      <w:pPr>
        <w:rPr>
          <w:rFonts w:cs="Arial"/>
          <w:szCs w:val="24"/>
        </w:rPr>
      </w:pPr>
      <w:r>
        <w:rPr>
          <w:rFonts w:cs="Arial"/>
          <w:szCs w:val="24"/>
        </w:rPr>
        <w:t xml:space="preserve">It is important to explore areas in which students feel less prepared, as well as evidence and educational theory behind simulation in </w:t>
      </w:r>
      <w:r w:rsidR="001D42C9">
        <w:rPr>
          <w:rFonts w:cs="Arial"/>
          <w:szCs w:val="24"/>
        </w:rPr>
        <w:t>healthcare</w:t>
      </w:r>
      <w:r>
        <w:rPr>
          <w:rFonts w:cs="Arial"/>
          <w:szCs w:val="24"/>
        </w:rPr>
        <w:t xml:space="preserve">. This has supported the design of a </w:t>
      </w:r>
      <w:r w:rsidR="0070140D">
        <w:rPr>
          <w:rFonts w:cs="Arial"/>
          <w:szCs w:val="24"/>
        </w:rPr>
        <w:t>simulation-based</w:t>
      </w:r>
      <w:r>
        <w:rPr>
          <w:rFonts w:cs="Arial"/>
          <w:szCs w:val="24"/>
        </w:rPr>
        <w:t xml:space="preserve"> medical education intervention for 5</w:t>
      </w:r>
      <w:r w:rsidRPr="00313168">
        <w:rPr>
          <w:rFonts w:cs="Arial"/>
          <w:szCs w:val="24"/>
          <w:vertAlign w:val="superscript"/>
        </w:rPr>
        <w:t>th</w:t>
      </w:r>
      <w:r>
        <w:rPr>
          <w:rFonts w:cs="Arial"/>
          <w:szCs w:val="24"/>
        </w:rPr>
        <w:t xml:space="preserve"> year medical students to investigate whether training in simulated </w:t>
      </w:r>
      <w:r>
        <w:rPr>
          <w:rFonts w:cs="Arial"/>
          <w:szCs w:val="24"/>
        </w:rPr>
        <w:lastRenderedPageBreak/>
        <w:t xml:space="preserve">environments has an impact </w:t>
      </w:r>
      <w:r w:rsidR="001B72AA">
        <w:rPr>
          <w:rFonts w:cs="Arial"/>
          <w:szCs w:val="24"/>
        </w:rPr>
        <w:t xml:space="preserve">on </w:t>
      </w:r>
      <w:r w:rsidR="00911761">
        <w:rPr>
          <w:rFonts w:cs="Arial"/>
          <w:szCs w:val="24"/>
        </w:rPr>
        <w:t>preparedness for FY1 and what</w:t>
      </w:r>
      <w:r>
        <w:rPr>
          <w:rFonts w:cs="Arial"/>
          <w:szCs w:val="24"/>
        </w:rPr>
        <w:t xml:space="preserve"> the added value is for using simulation </w:t>
      </w:r>
      <w:r w:rsidR="00911761">
        <w:rPr>
          <w:rFonts w:cs="Arial"/>
          <w:szCs w:val="24"/>
        </w:rPr>
        <w:t>as a</w:t>
      </w:r>
      <w:r w:rsidR="00201751">
        <w:rPr>
          <w:rFonts w:cs="Arial"/>
          <w:szCs w:val="24"/>
        </w:rPr>
        <w:t xml:space="preserve">n educational methodology. </w:t>
      </w:r>
    </w:p>
    <w:p w14:paraId="63D0813A" w14:textId="5D82CA8A" w:rsidR="00313168" w:rsidRPr="00313168" w:rsidRDefault="00911761" w:rsidP="00313168">
      <w:pPr>
        <w:rPr>
          <w:rFonts w:cs="Arial"/>
          <w:szCs w:val="24"/>
        </w:rPr>
      </w:pPr>
      <w:r>
        <w:t>P</w:t>
      </w:r>
      <w:r w:rsidR="001F3E2D">
        <w:t xml:space="preserve">ractical clinical skills can be improved using simulation </w:t>
      </w:r>
      <w:r>
        <w:t>over traditional methods</w:t>
      </w:r>
      <w:r w:rsidR="003D222A">
        <w:t>,</w:t>
      </w:r>
      <w:r w:rsidR="001F3E2D">
        <w:t xml:space="preserve"> </w:t>
      </w:r>
      <w:r>
        <w:t xml:space="preserve">however </w:t>
      </w:r>
      <w:r w:rsidR="001F3E2D">
        <w:t>effect on other vital skills such as ‘</w:t>
      </w:r>
      <w:r w:rsidR="001D42C9">
        <w:t>judgment</w:t>
      </w:r>
      <w:r w:rsidR="001F3E2D">
        <w:t xml:space="preserve"> under pressure, medical </w:t>
      </w:r>
      <w:r w:rsidR="001D42C9">
        <w:t>decision-making</w:t>
      </w:r>
      <w:r w:rsidR="001F3E2D">
        <w:t xml:space="preserve">, situational awareness, </w:t>
      </w:r>
      <w:r w:rsidR="00B2451B">
        <w:t>teamwork</w:t>
      </w:r>
      <w:r w:rsidR="001F3E2D">
        <w:t xml:space="preserve"> and professional behaviour’ have yet to be explored and </w:t>
      </w:r>
      <w:r w:rsidR="00201751">
        <w:t xml:space="preserve">these data </w:t>
      </w:r>
      <w:r w:rsidR="001F3E2D">
        <w:t xml:space="preserve">contribute some understanding to this </w:t>
      </w:r>
      <w:r w:rsidR="001F3E2D">
        <w:fldChar w:fldCharType="begin"/>
      </w:r>
      <w:r w:rsidR="001F3E2D">
        <w:instrText xml:space="preserve"> ADDIN EN.CITE &lt;EndNote&gt;&lt;Cite&gt;&lt;Author&gt;McGaghie&lt;/Author&gt;&lt;Year&gt;2011&lt;/Year&gt;&lt;IDText&gt;Does Simulation-Based Medical Education With Deliberate Practice Yield Better Results Than Traditional Clinical Education? A Meta-Analytic Comparative Review of the Evidence&lt;/IDText&gt;&lt;DisplayText&gt;(McGaghie et al., 2011)&lt;/DisplayText&gt;&lt;record&gt;&lt;dates&gt;&lt;pub-dates&gt;&lt;date&gt;Jun&lt;/date&gt;&lt;/pub-dates&gt;&lt;year&gt;2011&lt;/year&gt;&lt;/dates&gt;&lt;urls&gt;&lt;related-urls&gt;&lt;url&gt;&amp;lt;Go to ISI&amp;gt;://WOS:000291006100018&lt;/url&gt;&lt;/related-urls&gt;&lt;/urls&gt;&lt;isbn&gt;1040-2446&lt;/isbn&gt;&lt;titles&gt;&lt;title&gt;Does Simulation-Based Medical Education With Deliberate Practice Yield Better Results Than Traditional Clinical Education? A Meta-Analytic Comparative Review of the Evidence&lt;/title&gt;&lt;secondary-title&gt;Academic Medicine&lt;/secondary-title&gt;&lt;/titles&gt;&lt;pages&gt;706-711&lt;/pages&gt;&lt;number&gt;6&lt;/number&gt;&lt;contributors&gt;&lt;authors&gt;&lt;author&gt;McGaghie, William C.&lt;/author&gt;&lt;author&gt;Issenberg, S. Barry&lt;/author&gt;&lt;author&gt;Cohen, Elaine R.&lt;/author&gt;&lt;author&gt;Barsuk, Jeffrey H.&lt;/author&gt;&lt;author&gt;Wayne, Diane B.&lt;/author&gt;&lt;/authors&gt;&lt;/contributors&gt;&lt;added-date format="utc"&gt;1390841594&lt;/added-date&gt;&lt;ref-type name="Journal Article"&gt;17&lt;/ref-type&gt;&lt;rec-number&gt;14&lt;/rec-number&gt;&lt;last-updated-date format="utc"&gt;1390843746&lt;/last-updated-date&gt;&lt;accession-num&gt;WOS:000291006100018&lt;/accession-num&gt;&lt;electronic-resource-num&gt;10.1097/ACM.0b013e318217e119&lt;/electronic-resource-num&gt;&lt;volume&gt;86&lt;/volume&gt;&lt;/record&gt;&lt;/Cite&gt;&lt;/EndNote&gt;</w:instrText>
      </w:r>
      <w:r w:rsidR="001F3E2D">
        <w:fldChar w:fldCharType="separate"/>
      </w:r>
      <w:r w:rsidR="001F3E2D">
        <w:rPr>
          <w:noProof/>
        </w:rPr>
        <w:t>(McGaghie et al., 2011)</w:t>
      </w:r>
      <w:r w:rsidR="001F3E2D">
        <w:fldChar w:fldCharType="end"/>
      </w:r>
      <w:r w:rsidR="001F3E2D">
        <w:t>.</w:t>
      </w:r>
      <w:r w:rsidR="001B72AA" w:rsidRPr="001B72AA">
        <w:rPr>
          <w:rFonts w:cs="Arial"/>
          <w:szCs w:val="24"/>
        </w:rPr>
        <w:t xml:space="preserve"> </w:t>
      </w:r>
      <w:r w:rsidR="00B33C30">
        <w:t xml:space="preserve">One of the largest challenges is proving that </w:t>
      </w:r>
      <w:r w:rsidR="0070140D">
        <w:t>simulation-based</w:t>
      </w:r>
      <w:r w:rsidR="00B33C30">
        <w:t xml:space="preserve"> education improves patient outcomes, though this is fraught with ethical implications for data collection and research. Before we can do this we need to explore the added value of </w:t>
      </w:r>
      <w:r w:rsidR="0070140D">
        <w:t>simulation-based</w:t>
      </w:r>
      <w:r w:rsidR="00B33C30">
        <w:t xml:space="preserve"> medical education as an educational methodology and resource, to allow the opportunity to create guidelines. </w:t>
      </w:r>
    </w:p>
    <w:p w14:paraId="4E38D3DC" w14:textId="77777777" w:rsidR="00DB552E" w:rsidRPr="002C5EF0" w:rsidRDefault="00DB552E" w:rsidP="00CA53EB">
      <w:pPr>
        <w:pStyle w:val="Heading2"/>
      </w:pPr>
      <w:bookmarkStart w:id="15" w:name="_Toc343501083"/>
      <w:bookmarkStart w:id="16" w:name="_Toc348686284"/>
      <w:bookmarkStart w:id="17" w:name="_Toc419116086"/>
      <w:r w:rsidRPr="002C5EF0">
        <w:t>Presentation of thesis</w:t>
      </w:r>
      <w:bookmarkEnd w:id="15"/>
      <w:bookmarkEnd w:id="16"/>
      <w:bookmarkEnd w:id="17"/>
    </w:p>
    <w:p w14:paraId="2234EF64" w14:textId="77777777" w:rsidR="00313168" w:rsidRDefault="00313168" w:rsidP="00313168">
      <w:pPr>
        <w:rPr>
          <w:rFonts w:cs="Arial"/>
          <w:szCs w:val="24"/>
        </w:rPr>
      </w:pPr>
    </w:p>
    <w:p w14:paraId="207993DB" w14:textId="70E50B3F" w:rsidR="00F84A1B" w:rsidRDefault="00395A04" w:rsidP="00313168">
      <w:pPr>
        <w:rPr>
          <w:rFonts w:cs="Arial"/>
          <w:szCs w:val="24"/>
        </w:rPr>
      </w:pPr>
      <w:r>
        <w:rPr>
          <w:rFonts w:cs="Arial"/>
          <w:szCs w:val="24"/>
        </w:rPr>
        <w:t>‘</w:t>
      </w:r>
      <w:r w:rsidR="001D42C9">
        <w:rPr>
          <w:rFonts w:cs="Arial"/>
          <w:szCs w:val="24"/>
        </w:rPr>
        <w:t>Chapter</w:t>
      </w:r>
      <w:r w:rsidR="00661229">
        <w:rPr>
          <w:rFonts w:cs="Arial"/>
          <w:szCs w:val="24"/>
        </w:rPr>
        <w:t xml:space="preserve"> </w:t>
      </w:r>
      <w:r>
        <w:rPr>
          <w:rFonts w:cs="Arial"/>
          <w:szCs w:val="24"/>
        </w:rPr>
        <w:t>O</w:t>
      </w:r>
      <w:r w:rsidR="00661229">
        <w:rPr>
          <w:rFonts w:cs="Arial"/>
          <w:szCs w:val="24"/>
        </w:rPr>
        <w:t>ne</w:t>
      </w:r>
      <w:r>
        <w:rPr>
          <w:rFonts w:cs="Arial"/>
          <w:szCs w:val="24"/>
        </w:rPr>
        <w:t>:</w:t>
      </w:r>
      <w:r w:rsidR="00661229">
        <w:rPr>
          <w:rFonts w:cs="Arial"/>
          <w:szCs w:val="24"/>
        </w:rPr>
        <w:t xml:space="preserve"> </w:t>
      </w:r>
      <w:r>
        <w:rPr>
          <w:rFonts w:cs="Arial"/>
          <w:szCs w:val="24"/>
        </w:rPr>
        <w:t>T</w:t>
      </w:r>
      <w:r w:rsidR="00661229">
        <w:rPr>
          <w:rFonts w:cs="Arial"/>
          <w:szCs w:val="24"/>
        </w:rPr>
        <w:t xml:space="preserve">he </w:t>
      </w:r>
      <w:r>
        <w:rPr>
          <w:rFonts w:cs="Arial"/>
          <w:szCs w:val="24"/>
        </w:rPr>
        <w:t>I</w:t>
      </w:r>
      <w:r w:rsidR="00661229">
        <w:rPr>
          <w:rFonts w:cs="Arial"/>
          <w:szCs w:val="24"/>
        </w:rPr>
        <w:t>ntroduction</w:t>
      </w:r>
      <w:r w:rsidR="00C976D1">
        <w:rPr>
          <w:rFonts w:cs="Arial"/>
          <w:szCs w:val="24"/>
        </w:rPr>
        <w:t>’,</w:t>
      </w:r>
      <w:r w:rsidR="00661229">
        <w:rPr>
          <w:rFonts w:cs="Arial"/>
          <w:szCs w:val="24"/>
        </w:rPr>
        <w:t xml:space="preserve"> initially sets the scene </w:t>
      </w:r>
      <w:r w:rsidR="00DC1FE8">
        <w:rPr>
          <w:rFonts w:cs="Arial"/>
          <w:szCs w:val="24"/>
        </w:rPr>
        <w:t xml:space="preserve">and explores topical challenges </w:t>
      </w:r>
      <w:r w:rsidR="00661229">
        <w:rPr>
          <w:rFonts w:cs="Arial"/>
          <w:szCs w:val="24"/>
        </w:rPr>
        <w:t xml:space="preserve">in </w:t>
      </w:r>
      <w:r w:rsidR="00693688">
        <w:rPr>
          <w:rFonts w:cs="Arial"/>
          <w:szCs w:val="24"/>
        </w:rPr>
        <w:t>undergraduate</w:t>
      </w:r>
      <w:r w:rsidR="00661229">
        <w:rPr>
          <w:rFonts w:cs="Arial"/>
          <w:szCs w:val="24"/>
        </w:rPr>
        <w:t xml:space="preserve"> medical education, in particular preparedness</w:t>
      </w:r>
      <w:r w:rsidR="00695261">
        <w:rPr>
          <w:rFonts w:cs="Arial"/>
          <w:szCs w:val="24"/>
        </w:rPr>
        <w:t>.</w:t>
      </w:r>
    </w:p>
    <w:p w14:paraId="263E0457" w14:textId="4B70D603" w:rsidR="007145A0" w:rsidRDefault="00455DFC" w:rsidP="00313168">
      <w:pPr>
        <w:rPr>
          <w:rFonts w:cs="Arial"/>
          <w:szCs w:val="24"/>
        </w:rPr>
      </w:pPr>
      <w:r>
        <w:rPr>
          <w:rFonts w:cs="Arial"/>
          <w:szCs w:val="24"/>
        </w:rPr>
        <w:t>‘</w:t>
      </w:r>
      <w:r w:rsidR="001D42C9">
        <w:rPr>
          <w:rFonts w:cs="Arial"/>
          <w:szCs w:val="24"/>
        </w:rPr>
        <w:t>Chapter</w:t>
      </w:r>
      <w:r w:rsidR="00661229">
        <w:rPr>
          <w:rFonts w:cs="Arial"/>
          <w:szCs w:val="24"/>
        </w:rPr>
        <w:t xml:space="preserve"> </w:t>
      </w:r>
      <w:r>
        <w:rPr>
          <w:rFonts w:cs="Arial"/>
          <w:szCs w:val="24"/>
        </w:rPr>
        <w:t>T</w:t>
      </w:r>
      <w:r w:rsidR="00661229">
        <w:rPr>
          <w:rFonts w:cs="Arial"/>
          <w:szCs w:val="24"/>
        </w:rPr>
        <w:t>wo</w:t>
      </w:r>
      <w:r>
        <w:rPr>
          <w:rFonts w:cs="Arial"/>
          <w:szCs w:val="24"/>
        </w:rPr>
        <w:t>: T</w:t>
      </w:r>
      <w:r w:rsidR="007145A0">
        <w:rPr>
          <w:rFonts w:cs="Arial"/>
          <w:szCs w:val="24"/>
        </w:rPr>
        <w:t xml:space="preserve">he </w:t>
      </w:r>
      <w:r>
        <w:rPr>
          <w:rFonts w:cs="Arial"/>
          <w:szCs w:val="24"/>
        </w:rPr>
        <w:t>L</w:t>
      </w:r>
      <w:r w:rsidR="00F6652D" w:rsidRPr="00313168">
        <w:rPr>
          <w:rFonts w:cs="Arial"/>
          <w:szCs w:val="24"/>
        </w:rPr>
        <w:t xml:space="preserve">iterature </w:t>
      </w:r>
      <w:r>
        <w:rPr>
          <w:rFonts w:cs="Arial"/>
          <w:szCs w:val="24"/>
        </w:rPr>
        <w:t>R</w:t>
      </w:r>
      <w:r w:rsidR="00F6652D" w:rsidRPr="00313168">
        <w:rPr>
          <w:rFonts w:cs="Arial"/>
          <w:szCs w:val="24"/>
        </w:rPr>
        <w:t>eview</w:t>
      </w:r>
      <w:r>
        <w:rPr>
          <w:rFonts w:cs="Arial"/>
          <w:szCs w:val="24"/>
        </w:rPr>
        <w:t>’</w:t>
      </w:r>
      <w:r w:rsidR="000B7E40">
        <w:rPr>
          <w:rFonts w:cs="Arial"/>
          <w:szCs w:val="24"/>
        </w:rPr>
        <w:t>,</w:t>
      </w:r>
      <w:r w:rsidR="00E9391C">
        <w:rPr>
          <w:rFonts w:cs="Arial"/>
          <w:szCs w:val="24"/>
        </w:rPr>
        <w:t xml:space="preserve"> explo</w:t>
      </w:r>
      <w:r w:rsidR="007145A0">
        <w:rPr>
          <w:rFonts w:cs="Arial"/>
          <w:szCs w:val="24"/>
        </w:rPr>
        <w:t>res</w:t>
      </w:r>
      <w:r w:rsidR="001B72AA">
        <w:rPr>
          <w:rFonts w:cs="Arial"/>
          <w:szCs w:val="24"/>
        </w:rPr>
        <w:t xml:space="preserve"> the</w:t>
      </w:r>
      <w:r w:rsidR="007145A0">
        <w:rPr>
          <w:rFonts w:cs="Arial"/>
          <w:szCs w:val="24"/>
        </w:rPr>
        <w:t xml:space="preserve"> data and literature surrounding</w:t>
      </w:r>
      <w:r w:rsidR="000B7E40">
        <w:rPr>
          <w:rFonts w:cs="Arial"/>
          <w:szCs w:val="24"/>
        </w:rPr>
        <w:t xml:space="preserve"> undergraduate medical c</w:t>
      </w:r>
      <w:r w:rsidR="007145A0">
        <w:rPr>
          <w:rFonts w:cs="Arial"/>
          <w:szCs w:val="24"/>
        </w:rPr>
        <w:t>urricula changes</w:t>
      </w:r>
      <w:r w:rsidR="00E9391C">
        <w:rPr>
          <w:rFonts w:cs="Arial"/>
          <w:szCs w:val="24"/>
        </w:rPr>
        <w:t xml:space="preserve">, preparedness for practice and </w:t>
      </w:r>
      <w:r w:rsidR="0070140D">
        <w:rPr>
          <w:rFonts w:cs="Arial"/>
          <w:szCs w:val="24"/>
        </w:rPr>
        <w:t>simulation-based</w:t>
      </w:r>
      <w:r w:rsidR="00E9391C">
        <w:rPr>
          <w:rFonts w:cs="Arial"/>
          <w:szCs w:val="24"/>
        </w:rPr>
        <w:t xml:space="preserve"> medical education</w:t>
      </w:r>
      <w:r w:rsidR="000B7E40">
        <w:rPr>
          <w:rFonts w:cs="Arial"/>
          <w:szCs w:val="24"/>
        </w:rPr>
        <w:t xml:space="preserve"> as an intervention</w:t>
      </w:r>
      <w:r w:rsidR="00695261">
        <w:rPr>
          <w:rFonts w:cs="Arial"/>
          <w:szCs w:val="24"/>
        </w:rPr>
        <w:t xml:space="preserve">, </w:t>
      </w:r>
      <w:r w:rsidR="007145A0">
        <w:rPr>
          <w:rFonts w:cs="Arial"/>
          <w:szCs w:val="24"/>
        </w:rPr>
        <w:t>including the evidence and experience as well as highlighting gaps that warrant further exploration</w:t>
      </w:r>
      <w:r w:rsidR="00E9391C">
        <w:rPr>
          <w:rFonts w:cs="Arial"/>
          <w:szCs w:val="24"/>
        </w:rPr>
        <w:t>.</w:t>
      </w:r>
      <w:r w:rsidR="00253FF9" w:rsidRPr="00313168">
        <w:rPr>
          <w:rFonts w:cs="Arial"/>
          <w:szCs w:val="24"/>
        </w:rPr>
        <w:t xml:space="preserve"> </w:t>
      </w:r>
    </w:p>
    <w:p w14:paraId="2AACE2CE" w14:textId="626594F9" w:rsidR="00F84A1B" w:rsidRDefault="00455DFC" w:rsidP="00313168">
      <w:pPr>
        <w:rPr>
          <w:rFonts w:cs="Arial"/>
          <w:szCs w:val="24"/>
        </w:rPr>
      </w:pPr>
      <w:r>
        <w:rPr>
          <w:rFonts w:cs="Arial"/>
          <w:szCs w:val="24"/>
        </w:rPr>
        <w:lastRenderedPageBreak/>
        <w:t>‘</w:t>
      </w:r>
      <w:r w:rsidR="001D42C9">
        <w:rPr>
          <w:rFonts w:cs="Arial"/>
          <w:szCs w:val="24"/>
        </w:rPr>
        <w:t>Chapter</w:t>
      </w:r>
      <w:r w:rsidR="007145A0">
        <w:rPr>
          <w:rFonts w:cs="Arial"/>
          <w:szCs w:val="24"/>
        </w:rPr>
        <w:t xml:space="preserve"> </w:t>
      </w:r>
      <w:r>
        <w:rPr>
          <w:rFonts w:cs="Arial"/>
          <w:szCs w:val="24"/>
        </w:rPr>
        <w:t>T</w:t>
      </w:r>
      <w:r w:rsidR="007145A0">
        <w:rPr>
          <w:rFonts w:cs="Arial"/>
          <w:szCs w:val="24"/>
        </w:rPr>
        <w:t>hree</w:t>
      </w:r>
      <w:r>
        <w:rPr>
          <w:rFonts w:cs="Arial"/>
          <w:szCs w:val="24"/>
        </w:rPr>
        <w:t>:</w:t>
      </w:r>
      <w:r w:rsidR="000624D2">
        <w:rPr>
          <w:rFonts w:cs="Arial"/>
          <w:szCs w:val="24"/>
        </w:rPr>
        <w:t xml:space="preserve"> </w:t>
      </w:r>
      <w:r>
        <w:rPr>
          <w:rFonts w:cs="Arial"/>
          <w:szCs w:val="24"/>
        </w:rPr>
        <w:t>M</w:t>
      </w:r>
      <w:r w:rsidR="007145A0">
        <w:rPr>
          <w:rFonts w:cs="Arial"/>
          <w:szCs w:val="24"/>
        </w:rPr>
        <w:t>ethodology</w:t>
      </w:r>
      <w:r>
        <w:rPr>
          <w:rFonts w:cs="Arial"/>
          <w:szCs w:val="24"/>
        </w:rPr>
        <w:t>’</w:t>
      </w:r>
      <w:r w:rsidR="000624D2">
        <w:rPr>
          <w:rFonts w:cs="Arial"/>
          <w:szCs w:val="24"/>
        </w:rPr>
        <w:t>,</w:t>
      </w:r>
      <w:r w:rsidR="007145A0">
        <w:rPr>
          <w:rFonts w:cs="Arial"/>
          <w:szCs w:val="24"/>
        </w:rPr>
        <w:t xml:space="preserve"> </w:t>
      </w:r>
      <w:r w:rsidR="000624D2">
        <w:rPr>
          <w:rFonts w:cs="Arial"/>
          <w:szCs w:val="24"/>
        </w:rPr>
        <w:t xml:space="preserve">includes </w:t>
      </w:r>
      <w:r w:rsidR="007145A0">
        <w:rPr>
          <w:rFonts w:cs="Arial"/>
          <w:szCs w:val="24"/>
        </w:rPr>
        <w:t>rationale</w:t>
      </w:r>
      <w:r w:rsidR="000624D2">
        <w:rPr>
          <w:rFonts w:cs="Arial"/>
          <w:szCs w:val="24"/>
        </w:rPr>
        <w:t xml:space="preserve">, </w:t>
      </w:r>
      <w:r w:rsidR="007145A0">
        <w:rPr>
          <w:rFonts w:cs="Arial"/>
          <w:szCs w:val="24"/>
        </w:rPr>
        <w:t xml:space="preserve">explanation </w:t>
      </w:r>
      <w:r w:rsidR="000624D2">
        <w:rPr>
          <w:rFonts w:cs="Arial"/>
          <w:szCs w:val="24"/>
        </w:rPr>
        <w:t xml:space="preserve">and justification </w:t>
      </w:r>
      <w:r w:rsidR="007145A0">
        <w:rPr>
          <w:rFonts w:cs="Arial"/>
          <w:szCs w:val="24"/>
        </w:rPr>
        <w:t>of the mixed methods approach employed,</w:t>
      </w:r>
      <w:r w:rsidR="000624D2" w:rsidDel="000624D2">
        <w:rPr>
          <w:rFonts w:cs="Arial"/>
          <w:szCs w:val="24"/>
        </w:rPr>
        <w:t xml:space="preserve"> </w:t>
      </w:r>
      <w:r w:rsidR="007145A0">
        <w:rPr>
          <w:rFonts w:cs="Arial"/>
          <w:szCs w:val="24"/>
        </w:rPr>
        <w:t xml:space="preserve"> strategies </w:t>
      </w:r>
      <w:r w:rsidR="00337A7E">
        <w:rPr>
          <w:rFonts w:cs="Arial"/>
          <w:szCs w:val="24"/>
        </w:rPr>
        <w:t>used</w:t>
      </w:r>
      <w:r w:rsidR="007145A0">
        <w:rPr>
          <w:rFonts w:cs="Arial"/>
          <w:szCs w:val="24"/>
        </w:rPr>
        <w:t xml:space="preserve"> to address quality and rigo</w:t>
      </w:r>
      <w:r>
        <w:rPr>
          <w:rFonts w:cs="Arial"/>
          <w:szCs w:val="24"/>
        </w:rPr>
        <w:t>u</w:t>
      </w:r>
      <w:r w:rsidR="007145A0">
        <w:rPr>
          <w:rFonts w:cs="Arial"/>
          <w:szCs w:val="24"/>
        </w:rPr>
        <w:t xml:space="preserve">r and reasons for triangulating data for final analysis. </w:t>
      </w:r>
    </w:p>
    <w:p w14:paraId="305294EC" w14:textId="7A3E9AA8" w:rsidR="007145A0" w:rsidRDefault="00455DFC" w:rsidP="00313168">
      <w:pPr>
        <w:rPr>
          <w:rFonts w:cs="Arial"/>
          <w:szCs w:val="24"/>
        </w:rPr>
      </w:pPr>
      <w:r>
        <w:rPr>
          <w:rFonts w:cs="Arial"/>
          <w:szCs w:val="24"/>
        </w:rPr>
        <w:t>‘</w:t>
      </w:r>
      <w:r w:rsidR="001D42C9">
        <w:rPr>
          <w:rFonts w:cs="Arial"/>
          <w:szCs w:val="24"/>
        </w:rPr>
        <w:t>Chapter</w:t>
      </w:r>
      <w:r w:rsidR="007145A0">
        <w:rPr>
          <w:rFonts w:cs="Arial"/>
          <w:szCs w:val="24"/>
        </w:rPr>
        <w:t xml:space="preserve"> </w:t>
      </w:r>
      <w:r>
        <w:rPr>
          <w:rFonts w:cs="Arial"/>
          <w:szCs w:val="24"/>
        </w:rPr>
        <w:t>F</w:t>
      </w:r>
      <w:r w:rsidR="007145A0">
        <w:rPr>
          <w:rFonts w:cs="Arial"/>
          <w:szCs w:val="24"/>
        </w:rPr>
        <w:t>our</w:t>
      </w:r>
      <w:r>
        <w:rPr>
          <w:rFonts w:cs="Arial"/>
          <w:szCs w:val="24"/>
        </w:rPr>
        <w:t>’</w:t>
      </w:r>
      <w:r w:rsidR="007145A0">
        <w:rPr>
          <w:rFonts w:cs="Arial"/>
          <w:szCs w:val="24"/>
        </w:rPr>
        <w:t xml:space="preserve"> presents </w:t>
      </w:r>
      <w:r w:rsidR="000624D2">
        <w:rPr>
          <w:rFonts w:cs="Arial"/>
          <w:szCs w:val="24"/>
        </w:rPr>
        <w:t xml:space="preserve">scoping </w:t>
      </w:r>
      <w:r w:rsidR="007145A0">
        <w:rPr>
          <w:rFonts w:cs="Arial"/>
          <w:szCs w:val="24"/>
        </w:rPr>
        <w:t xml:space="preserve">data from </w:t>
      </w:r>
      <w:r w:rsidR="00693688">
        <w:rPr>
          <w:rFonts w:cs="Arial"/>
          <w:szCs w:val="24"/>
        </w:rPr>
        <w:t>initial</w:t>
      </w:r>
      <w:r w:rsidR="007145A0">
        <w:rPr>
          <w:rFonts w:cs="Arial"/>
          <w:szCs w:val="24"/>
        </w:rPr>
        <w:t xml:space="preserve"> </w:t>
      </w:r>
      <w:r w:rsidR="00173DE4">
        <w:rPr>
          <w:rFonts w:cs="Arial"/>
          <w:szCs w:val="24"/>
        </w:rPr>
        <w:t>focus group</w:t>
      </w:r>
      <w:r w:rsidR="007145A0">
        <w:rPr>
          <w:rFonts w:cs="Arial"/>
          <w:szCs w:val="24"/>
        </w:rPr>
        <w:t>s to explore the meaning, understanding and interpretation of preparedness for 5</w:t>
      </w:r>
      <w:r w:rsidR="007145A0" w:rsidRPr="007145A0">
        <w:rPr>
          <w:rFonts w:cs="Arial"/>
          <w:szCs w:val="24"/>
          <w:vertAlign w:val="superscript"/>
        </w:rPr>
        <w:t>th</w:t>
      </w:r>
      <w:r w:rsidR="007145A0">
        <w:rPr>
          <w:rFonts w:cs="Arial"/>
          <w:szCs w:val="24"/>
        </w:rPr>
        <w:t xml:space="preserve"> year </w:t>
      </w:r>
      <w:r w:rsidR="00693688">
        <w:rPr>
          <w:rFonts w:cs="Arial"/>
          <w:szCs w:val="24"/>
        </w:rPr>
        <w:t>undergraduate</w:t>
      </w:r>
      <w:r w:rsidR="007145A0">
        <w:rPr>
          <w:rFonts w:cs="Arial"/>
          <w:szCs w:val="24"/>
        </w:rPr>
        <w:t xml:space="preserve"> medical students</w:t>
      </w:r>
      <w:r w:rsidR="000624D2">
        <w:rPr>
          <w:rFonts w:cs="Arial"/>
          <w:szCs w:val="24"/>
        </w:rPr>
        <w:t xml:space="preserve">. This </w:t>
      </w:r>
      <w:r w:rsidR="007145A0">
        <w:rPr>
          <w:rFonts w:cs="Arial"/>
          <w:szCs w:val="24"/>
        </w:rPr>
        <w:t>ensure</w:t>
      </w:r>
      <w:r w:rsidR="000624D2">
        <w:rPr>
          <w:rFonts w:cs="Arial"/>
          <w:szCs w:val="24"/>
        </w:rPr>
        <w:t>d</w:t>
      </w:r>
      <w:r w:rsidR="007145A0">
        <w:rPr>
          <w:rFonts w:cs="Arial"/>
          <w:szCs w:val="24"/>
        </w:rPr>
        <w:t xml:space="preserve"> that the tools to assess </w:t>
      </w:r>
      <w:r w:rsidR="00693688">
        <w:rPr>
          <w:rFonts w:cs="Arial"/>
          <w:szCs w:val="24"/>
        </w:rPr>
        <w:t>preparedness</w:t>
      </w:r>
      <w:r w:rsidR="007145A0">
        <w:rPr>
          <w:rFonts w:cs="Arial"/>
          <w:szCs w:val="24"/>
        </w:rPr>
        <w:t xml:space="preserve"> were grounded in the participant’s own world and views. </w:t>
      </w:r>
      <w:r w:rsidR="00F84A1B">
        <w:rPr>
          <w:rFonts w:cs="Arial"/>
          <w:szCs w:val="24"/>
        </w:rPr>
        <w:t xml:space="preserve">Methods employed for </w:t>
      </w:r>
      <w:r w:rsidR="00173DE4">
        <w:rPr>
          <w:rFonts w:cs="Arial"/>
          <w:szCs w:val="24"/>
        </w:rPr>
        <w:t>focus group</w:t>
      </w:r>
      <w:r w:rsidR="00F84A1B">
        <w:rPr>
          <w:rFonts w:cs="Arial"/>
          <w:szCs w:val="24"/>
        </w:rPr>
        <w:t xml:space="preserve">s are explained in detail to allow transparency and replication. </w:t>
      </w:r>
      <w:r w:rsidR="00B87734">
        <w:rPr>
          <w:rFonts w:cs="Arial"/>
          <w:szCs w:val="24"/>
        </w:rPr>
        <w:t xml:space="preserve">This data informed pilot study design. </w:t>
      </w:r>
    </w:p>
    <w:p w14:paraId="5A994109" w14:textId="20C8127C" w:rsidR="007145A0" w:rsidRDefault="00455DFC" w:rsidP="00313168">
      <w:pPr>
        <w:rPr>
          <w:rFonts w:cs="Arial"/>
          <w:szCs w:val="24"/>
        </w:rPr>
      </w:pPr>
      <w:r>
        <w:rPr>
          <w:rFonts w:cs="Arial"/>
          <w:szCs w:val="24"/>
        </w:rPr>
        <w:t>‘</w:t>
      </w:r>
      <w:r w:rsidR="001D42C9">
        <w:rPr>
          <w:rFonts w:cs="Arial"/>
          <w:szCs w:val="24"/>
        </w:rPr>
        <w:t>Chapter</w:t>
      </w:r>
      <w:r w:rsidR="007145A0">
        <w:rPr>
          <w:rFonts w:cs="Arial"/>
          <w:szCs w:val="24"/>
        </w:rPr>
        <w:t xml:space="preserve"> </w:t>
      </w:r>
      <w:r>
        <w:rPr>
          <w:rFonts w:cs="Arial"/>
          <w:szCs w:val="24"/>
        </w:rPr>
        <w:t>F</w:t>
      </w:r>
      <w:r w:rsidR="007145A0">
        <w:rPr>
          <w:rFonts w:cs="Arial"/>
          <w:szCs w:val="24"/>
        </w:rPr>
        <w:t>ive</w:t>
      </w:r>
      <w:r>
        <w:rPr>
          <w:rFonts w:cs="Arial"/>
          <w:szCs w:val="24"/>
        </w:rPr>
        <w:t>’</w:t>
      </w:r>
      <w:r w:rsidR="007145A0">
        <w:rPr>
          <w:rFonts w:cs="Arial"/>
          <w:szCs w:val="24"/>
        </w:rPr>
        <w:t xml:space="preserve"> </w:t>
      </w:r>
      <w:r w:rsidR="000624D2">
        <w:rPr>
          <w:rFonts w:cs="Arial"/>
          <w:szCs w:val="24"/>
        </w:rPr>
        <w:t xml:space="preserve">describes </w:t>
      </w:r>
      <w:r w:rsidR="007145A0">
        <w:rPr>
          <w:rFonts w:cs="Arial"/>
          <w:szCs w:val="24"/>
        </w:rPr>
        <w:t>the design of the intervention to include resources, equipment, reasons for scenarios selected and learning outcom</w:t>
      </w:r>
      <w:r w:rsidR="00F84A1B">
        <w:rPr>
          <w:rFonts w:cs="Arial"/>
          <w:szCs w:val="24"/>
        </w:rPr>
        <w:t>es</w:t>
      </w:r>
      <w:r w:rsidR="007145A0">
        <w:rPr>
          <w:rFonts w:cs="Arial"/>
          <w:szCs w:val="24"/>
        </w:rPr>
        <w:t xml:space="preserve"> to allow for replication. </w:t>
      </w:r>
    </w:p>
    <w:p w14:paraId="468B1988" w14:textId="71BEF1E7" w:rsidR="00F84A1B" w:rsidRDefault="00455DFC" w:rsidP="00313168">
      <w:pPr>
        <w:rPr>
          <w:rFonts w:cs="Arial"/>
          <w:szCs w:val="24"/>
        </w:rPr>
      </w:pPr>
      <w:r>
        <w:rPr>
          <w:rFonts w:cs="Arial"/>
          <w:szCs w:val="24"/>
        </w:rPr>
        <w:t>‘</w:t>
      </w:r>
      <w:r w:rsidR="001D42C9">
        <w:rPr>
          <w:rFonts w:cs="Arial"/>
          <w:szCs w:val="24"/>
        </w:rPr>
        <w:t>Chapter</w:t>
      </w:r>
      <w:r w:rsidR="007145A0">
        <w:rPr>
          <w:rFonts w:cs="Arial"/>
          <w:szCs w:val="24"/>
        </w:rPr>
        <w:t xml:space="preserve"> </w:t>
      </w:r>
      <w:r>
        <w:rPr>
          <w:rFonts w:cs="Arial"/>
          <w:szCs w:val="24"/>
        </w:rPr>
        <w:t>S</w:t>
      </w:r>
      <w:r w:rsidR="007145A0">
        <w:rPr>
          <w:rFonts w:cs="Arial"/>
          <w:szCs w:val="24"/>
        </w:rPr>
        <w:t>ix</w:t>
      </w:r>
      <w:r>
        <w:rPr>
          <w:rFonts w:cs="Arial"/>
          <w:szCs w:val="24"/>
        </w:rPr>
        <w:t>’</w:t>
      </w:r>
      <w:r w:rsidR="007145A0">
        <w:rPr>
          <w:rFonts w:cs="Arial"/>
          <w:szCs w:val="24"/>
        </w:rPr>
        <w:t xml:space="preserve"> </w:t>
      </w:r>
      <w:r w:rsidR="000624D2">
        <w:rPr>
          <w:rFonts w:cs="Arial"/>
          <w:szCs w:val="24"/>
        </w:rPr>
        <w:t xml:space="preserve">presents </w:t>
      </w:r>
      <w:r w:rsidR="007145A0">
        <w:rPr>
          <w:rFonts w:cs="Arial"/>
          <w:szCs w:val="24"/>
        </w:rPr>
        <w:t xml:space="preserve">the pilot study of 23 undergraduate </w:t>
      </w:r>
      <w:r w:rsidR="00693688">
        <w:rPr>
          <w:rFonts w:cs="Arial"/>
          <w:szCs w:val="24"/>
        </w:rPr>
        <w:t>students, which</w:t>
      </w:r>
      <w:r w:rsidR="007145A0">
        <w:rPr>
          <w:rFonts w:cs="Arial"/>
          <w:szCs w:val="24"/>
        </w:rPr>
        <w:t xml:space="preserve"> inform</w:t>
      </w:r>
      <w:r w:rsidR="000624D2">
        <w:rPr>
          <w:rFonts w:cs="Arial"/>
          <w:szCs w:val="24"/>
        </w:rPr>
        <w:t>ed</w:t>
      </w:r>
      <w:r w:rsidR="00F84A1B">
        <w:rPr>
          <w:rFonts w:cs="Arial"/>
          <w:szCs w:val="24"/>
        </w:rPr>
        <w:t xml:space="preserve"> </w:t>
      </w:r>
      <w:r w:rsidR="007145A0">
        <w:rPr>
          <w:rFonts w:cs="Arial"/>
          <w:szCs w:val="24"/>
        </w:rPr>
        <w:t>a power calculation for the final intervention study</w:t>
      </w:r>
      <w:r w:rsidR="00F84A1B">
        <w:rPr>
          <w:rFonts w:cs="Arial"/>
          <w:szCs w:val="24"/>
        </w:rPr>
        <w:t xml:space="preserve">. </w:t>
      </w:r>
    </w:p>
    <w:p w14:paraId="7DA0EEB0" w14:textId="31033981" w:rsidR="003D222A" w:rsidRDefault="00455DFC" w:rsidP="00313168">
      <w:pPr>
        <w:rPr>
          <w:rFonts w:cs="Arial"/>
          <w:szCs w:val="24"/>
        </w:rPr>
      </w:pPr>
      <w:r>
        <w:rPr>
          <w:rFonts w:cs="Arial"/>
          <w:szCs w:val="24"/>
        </w:rPr>
        <w:t>‘</w:t>
      </w:r>
      <w:r w:rsidR="001D42C9">
        <w:rPr>
          <w:rFonts w:cs="Arial"/>
          <w:szCs w:val="24"/>
        </w:rPr>
        <w:t>Chapter</w:t>
      </w:r>
      <w:r w:rsidR="00F84A1B">
        <w:rPr>
          <w:rFonts w:cs="Arial"/>
          <w:szCs w:val="24"/>
        </w:rPr>
        <w:t xml:space="preserve"> </w:t>
      </w:r>
      <w:r>
        <w:rPr>
          <w:rFonts w:cs="Arial"/>
          <w:szCs w:val="24"/>
        </w:rPr>
        <w:t>S</w:t>
      </w:r>
      <w:r w:rsidR="00F84A1B">
        <w:rPr>
          <w:rFonts w:cs="Arial"/>
          <w:szCs w:val="24"/>
        </w:rPr>
        <w:t>even</w:t>
      </w:r>
      <w:r>
        <w:rPr>
          <w:rFonts w:cs="Arial"/>
          <w:szCs w:val="24"/>
        </w:rPr>
        <w:t>’</w:t>
      </w:r>
      <w:r w:rsidR="00F84A1B">
        <w:rPr>
          <w:rFonts w:cs="Arial"/>
          <w:szCs w:val="24"/>
        </w:rPr>
        <w:t xml:space="preserve"> presents the mixed</w:t>
      </w:r>
      <w:r w:rsidR="00A36AFD">
        <w:rPr>
          <w:rFonts w:cs="Arial"/>
          <w:szCs w:val="24"/>
        </w:rPr>
        <w:t xml:space="preserve"> methods findings from the</w:t>
      </w:r>
      <w:r w:rsidR="00F84A1B">
        <w:rPr>
          <w:rFonts w:cs="Arial"/>
          <w:szCs w:val="24"/>
        </w:rPr>
        <w:t xml:space="preserve"> intervention study of 94 final</w:t>
      </w:r>
      <w:r>
        <w:rPr>
          <w:rFonts w:cs="Arial"/>
          <w:szCs w:val="24"/>
        </w:rPr>
        <w:t>-</w:t>
      </w:r>
      <w:r w:rsidR="00F84A1B">
        <w:rPr>
          <w:rFonts w:cs="Arial"/>
          <w:szCs w:val="24"/>
        </w:rPr>
        <w:t xml:space="preserve">year UK undergraduate medical students </w:t>
      </w:r>
      <w:r w:rsidR="000624D2">
        <w:rPr>
          <w:rFonts w:cs="Arial"/>
          <w:szCs w:val="24"/>
        </w:rPr>
        <w:t xml:space="preserve">and </w:t>
      </w:r>
      <w:r w:rsidR="00C9395B">
        <w:rPr>
          <w:rFonts w:cs="Arial"/>
          <w:szCs w:val="24"/>
        </w:rPr>
        <w:t xml:space="preserve">data from qualitative </w:t>
      </w:r>
      <w:r w:rsidR="001D42C9">
        <w:rPr>
          <w:rFonts w:cs="Arial"/>
          <w:szCs w:val="24"/>
        </w:rPr>
        <w:t>in-depth interviews</w:t>
      </w:r>
      <w:r w:rsidR="00F84A1B">
        <w:rPr>
          <w:rFonts w:cs="Arial"/>
          <w:szCs w:val="24"/>
        </w:rPr>
        <w:t xml:space="preserve"> fr</w:t>
      </w:r>
      <w:r w:rsidR="008268B1">
        <w:rPr>
          <w:rFonts w:cs="Arial"/>
          <w:szCs w:val="24"/>
        </w:rPr>
        <w:t>o</w:t>
      </w:r>
      <w:r w:rsidR="00F84A1B">
        <w:rPr>
          <w:rFonts w:cs="Arial"/>
          <w:szCs w:val="24"/>
        </w:rPr>
        <w:t>m UK simulat</w:t>
      </w:r>
      <w:r w:rsidR="006B7CFE">
        <w:rPr>
          <w:rFonts w:cs="Arial"/>
          <w:szCs w:val="24"/>
        </w:rPr>
        <w:t>i</w:t>
      </w:r>
      <w:r w:rsidR="00F84A1B">
        <w:rPr>
          <w:rFonts w:cs="Arial"/>
          <w:szCs w:val="24"/>
        </w:rPr>
        <w:t xml:space="preserve">on and </w:t>
      </w:r>
      <w:r w:rsidR="00693688">
        <w:rPr>
          <w:rFonts w:cs="Arial"/>
          <w:szCs w:val="24"/>
        </w:rPr>
        <w:t>undergraduate</w:t>
      </w:r>
      <w:r w:rsidR="00F84A1B">
        <w:rPr>
          <w:rFonts w:cs="Arial"/>
          <w:szCs w:val="24"/>
        </w:rPr>
        <w:t xml:space="preserve"> education experts. The emergen</w:t>
      </w:r>
      <w:r w:rsidR="00A36AFD">
        <w:rPr>
          <w:rFonts w:cs="Arial"/>
          <w:szCs w:val="24"/>
        </w:rPr>
        <w:t>t themes are presented</w:t>
      </w:r>
      <w:r w:rsidR="00F84A1B">
        <w:rPr>
          <w:rFonts w:cs="Arial"/>
          <w:szCs w:val="24"/>
        </w:rPr>
        <w:t xml:space="preserve"> with rich examples</w:t>
      </w:r>
      <w:r w:rsidR="003D222A">
        <w:rPr>
          <w:rFonts w:cs="Arial"/>
          <w:szCs w:val="24"/>
        </w:rPr>
        <w:t>.</w:t>
      </w:r>
    </w:p>
    <w:p w14:paraId="192FB35A" w14:textId="21849D35" w:rsidR="00F84A1B" w:rsidRDefault="00F84A1B" w:rsidP="00313168">
      <w:pPr>
        <w:rPr>
          <w:rFonts w:cs="Arial"/>
          <w:szCs w:val="24"/>
        </w:rPr>
      </w:pPr>
      <w:r>
        <w:rPr>
          <w:rFonts w:cs="Arial"/>
          <w:szCs w:val="24"/>
        </w:rPr>
        <w:t xml:space="preserve"> </w:t>
      </w:r>
      <w:r w:rsidR="003D222A">
        <w:rPr>
          <w:rFonts w:cs="Arial"/>
          <w:szCs w:val="24"/>
        </w:rPr>
        <w:t>‘Chapter 8’ presents triangulation of all data</w:t>
      </w:r>
      <w:r>
        <w:rPr>
          <w:rFonts w:cs="Arial"/>
          <w:szCs w:val="24"/>
        </w:rPr>
        <w:t xml:space="preserve"> brought together into a conceptual framework with regards to the learning potential for undergraduate </w:t>
      </w:r>
      <w:r w:rsidR="006B7CFE">
        <w:rPr>
          <w:rFonts w:cs="Arial"/>
          <w:szCs w:val="24"/>
        </w:rPr>
        <w:t xml:space="preserve">simulation education and preparedness. </w:t>
      </w:r>
      <w:r>
        <w:rPr>
          <w:rFonts w:cs="Arial"/>
          <w:szCs w:val="24"/>
        </w:rPr>
        <w:t xml:space="preserve">Best practice </w:t>
      </w:r>
      <w:r w:rsidR="00693688">
        <w:rPr>
          <w:rFonts w:cs="Arial"/>
          <w:szCs w:val="24"/>
        </w:rPr>
        <w:t>guidance</w:t>
      </w:r>
      <w:r>
        <w:rPr>
          <w:rFonts w:cs="Arial"/>
          <w:szCs w:val="24"/>
        </w:rPr>
        <w:t xml:space="preserve"> has been developed with </w:t>
      </w:r>
      <w:r>
        <w:rPr>
          <w:rFonts w:cs="Arial"/>
          <w:szCs w:val="24"/>
        </w:rPr>
        <w:lastRenderedPageBreak/>
        <w:t xml:space="preserve">a practical guide on how to design and deliver a </w:t>
      </w:r>
      <w:r w:rsidR="0070140D">
        <w:rPr>
          <w:rFonts w:cs="Arial"/>
          <w:szCs w:val="24"/>
        </w:rPr>
        <w:t>simulation-based</w:t>
      </w:r>
      <w:r>
        <w:rPr>
          <w:rFonts w:cs="Arial"/>
          <w:szCs w:val="24"/>
        </w:rPr>
        <w:t xml:space="preserve"> medical educational curriculum to undergraduates. </w:t>
      </w:r>
    </w:p>
    <w:p w14:paraId="63E966C8" w14:textId="1251EC20" w:rsidR="00F84A1B" w:rsidRDefault="00455DFC" w:rsidP="00313168">
      <w:pPr>
        <w:rPr>
          <w:rFonts w:cs="Arial"/>
          <w:szCs w:val="24"/>
        </w:rPr>
      </w:pPr>
      <w:r>
        <w:rPr>
          <w:rFonts w:cs="Arial"/>
          <w:szCs w:val="24"/>
        </w:rPr>
        <w:t>‘</w:t>
      </w:r>
      <w:r w:rsidR="001D42C9">
        <w:rPr>
          <w:rFonts w:cs="Arial"/>
          <w:szCs w:val="24"/>
        </w:rPr>
        <w:t>Chapter</w:t>
      </w:r>
      <w:r w:rsidR="00F84A1B">
        <w:rPr>
          <w:rFonts w:cs="Arial"/>
          <w:szCs w:val="24"/>
        </w:rPr>
        <w:t xml:space="preserve"> </w:t>
      </w:r>
      <w:r w:rsidR="003D222A">
        <w:rPr>
          <w:rFonts w:cs="Arial"/>
          <w:szCs w:val="24"/>
        </w:rPr>
        <w:t>Nine</w:t>
      </w:r>
      <w:r>
        <w:rPr>
          <w:rFonts w:cs="Arial"/>
          <w:szCs w:val="24"/>
        </w:rPr>
        <w:t>:</w:t>
      </w:r>
      <w:r w:rsidR="00F84A1B">
        <w:rPr>
          <w:rFonts w:cs="Arial"/>
          <w:szCs w:val="24"/>
        </w:rPr>
        <w:t xml:space="preserve"> </w:t>
      </w:r>
      <w:r>
        <w:rPr>
          <w:rFonts w:cs="Arial"/>
          <w:szCs w:val="24"/>
        </w:rPr>
        <w:t>D</w:t>
      </w:r>
      <w:r w:rsidR="00F84A1B">
        <w:rPr>
          <w:rFonts w:cs="Arial"/>
          <w:szCs w:val="24"/>
        </w:rPr>
        <w:t>iscussion</w:t>
      </w:r>
      <w:r>
        <w:rPr>
          <w:rFonts w:cs="Arial"/>
          <w:szCs w:val="24"/>
        </w:rPr>
        <w:t>’</w:t>
      </w:r>
      <w:r w:rsidR="006B7CFE">
        <w:rPr>
          <w:rFonts w:cs="Arial"/>
          <w:szCs w:val="24"/>
        </w:rPr>
        <w:t>,</w:t>
      </w:r>
      <w:r w:rsidR="00F84A1B">
        <w:rPr>
          <w:rFonts w:cs="Arial"/>
          <w:szCs w:val="24"/>
        </w:rPr>
        <w:t xml:space="preserve"> allows findings from this study to be explored in comparison </w:t>
      </w:r>
      <w:r w:rsidR="006B7CFE">
        <w:rPr>
          <w:rFonts w:cs="Arial"/>
          <w:szCs w:val="24"/>
        </w:rPr>
        <w:t>with</w:t>
      </w:r>
      <w:r w:rsidR="00F84A1B">
        <w:rPr>
          <w:rFonts w:cs="Arial"/>
          <w:szCs w:val="24"/>
        </w:rPr>
        <w:t xml:space="preserve"> existing literature and educat</w:t>
      </w:r>
      <w:r w:rsidR="006B7CFE">
        <w:rPr>
          <w:rFonts w:cs="Arial"/>
          <w:szCs w:val="24"/>
        </w:rPr>
        <w:t>i</w:t>
      </w:r>
      <w:r w:rsidR="00F84A1B">
        <w:rPr>
          <w:rFonts w:cs="Arial"/>
          <w:szCs w:val="24"/>
        </w:rPr>
        <w:t>onal theory</w:t>
      </w:r>
      <w:r w:rsidR="006B7CFE">
        <w:rPr>
          <w:rFonts w:cs="Arial"/>
          <w:szCs w:val="24"/>
        </w:rPr>
        <w:t>.</w:t>
      </w:r>
    </w:p>
    <w:p w14:paraId="33B6A6B3" w14:textId="7E1CDD4C" w:rsidR="00455DFC" w:rsidRDefault="00455DFC" w:rsidP="00313168">
      <w:pPr>
        <w:rPr>
          <w:rFonts w:cs="Arial"/>
          <w:szCs w:val="24"/>
        </w:rPr>
      </w:pPr>
      <w:r>
        <w:rPr>
          <w:rFonts w:cs="Arial"/>
          <w:szCs w:val="24"/>
        </w:rPr>
        <w:t>‘</w:t>
      </w:r>
      <w:r w:rsidR="001D42C9">
        <w:rPr>
          <w:rFonts w:cs="Arial"/>
          <w:szCs w:val="24"/>
        </w:rPr>
        <w:t>Chapter</w:t>
      </w:r>
      <w:r w:rsidR="00F84A1B">
        <w:rPr>
          <w:rFonts w:cs="Arial"/>
          <w:szCs w:val="24"/>
        </w:rPr>
        <w:t xml:space="preserve"> </w:t>
      </w:r>
      <w:r w:rsidR="003D222A">
        <w:rPr>
          <w:rFonts w:cs="Arial"/>
          <w:szCs w:val="24"/>
        </w:rPr>
        <w:t>Ten</w:t>
      </w:r>
      <w:r>
        <w:rPr>
          <w:rFonts w:cs="Arial"/>
          <w:szCs w:val="24"/>
        </w:rPr>
        <w:t>’</w:t>
      </w:r>
      <w:r w:rsidR="00F84A1B">
        <w:rPr>
          <w:rFonts w:cs="Arial"/>
          <w:szCs w:val="24"/>
        </w:rPr>
        <w:t xml:space="preserve"> concludes the main findings of what this study adds to </w:t>
      </w:r>
      <w:r w:rsidR="00693688">
        <w:rPr>
          <w:rFonts w:cs="Arial"/>
          <w:szCs w:val="24"/>
        </w:rPr>
        <w:t>existing</w:t>
      </w:r>
      <w:r w:rsidR="00F84A1B">
        <w:rPr>
          <w:rFonts w:cs="Arial"/>
          <w:szCs w:val="24"/>
        </w:rPr>
        <w:t xml:space="preserve"> knowledge surrounding preparedness for practice and </w:t>
      </w:r>
      <w:r w:rsidR="0070140D">
        <w:rPr>
          <w:rFonts w:cs="Arial"/>
          <w:szCs w:val="24"/>
        </w:rPr>
        <w:t>simulation-based</w:t>
      </w:r>
      <w:r w:rsidR="00F84A1B">
        <w:rPr>
          <w:rFonts w:cs="Arial"/>
          <w:szCs w:val="24"/>
        </w:rPr>
        <w:t xml:space="preserve"> educat</w:t>
      </w:r>
      <w:r w:rsidR="006B7CFE">
        <w:rPr>
          <w:rFonts w:cs="Arial"/>
          <w:szCs w:val="24"/>
        </w:rPr>
        <w:t>i</w:t>
      </w:r>
      <w:r w:rsidR="00F84A1B">
        <w:rPr>
          <w:rFonts w:cs="Arial"/>
          <w:szCs w:val="24"/>
        </w:rPr>
        <w:t xml:space="preserve">on with particular reference to the undergraduate </w:t>
      </w:r>
      <w:r w:rsidR="006B7CFE">
        <w:rPr>
          <w:rFonts w:cs="Arial"/>
          <w:szCs w:val="24"/>
        </w:rPr>
        <w:t>population</w:t>
      </w:r>
      <w:r w:rsidR="00F84A1B">
        <w:rPr>
          <w:rFonts w:cs="Arial"/>
          <w:szCs w:val="24"/>
        </w:rPr>
        <w:t xml:space="preserve">. </w:t>
      </w:r>
    </w:p>
    <w:p w14:paraId="56205140" w14:textId="2304CE49" w:rsidR="00410841" w:rsidRDefault="00455DFC" w:rsidP="00313168">
      <w:pPr>
        <w:rPr>
          <w:rFonts w:cs="Arial"/>
          <w:szCs w:val="24"/>
        </w:rPr>
      </w:pPr>
      <w:r>
        <w:rPr>
          <w:rFonts w:cs="Arial"/>
          <w:szCs w:val="24"/>
        </w:rPr>
        <w:t>‘</w:t>
      </w:r>
      <w:r w:rsidR="001D42C9">
        <w:rPr>
          <w:rFonts w:cs="Arial"/>
          <w:szCs w:val="24"/>
        </w:rPr>
        <w:t>Chapter</w:t>
      </w:r>
      <w:r w:rsidR="00410841">
        <w:rPr>
          <w:rFonts w:cs="Arial"/>
          <w:szCs w:val="24"/>
        </w:rPr>
        <w:t xml:space="preserve"> </w:t>
      </w:r>
      <w:r w:rsidR="003D222A">
        <w:rPr>
          <w:rFonts w:cs="Arial"/>
          <w:szCs w:val="24"/>
        </w:rPr>
        <w:t>Eleven</w:t>
      </w:r>
      <w:r>
        <w:rPr>
          <w:rFonts w:cs="Arial"/>
          <w:szCs w:val="24"/>
        </w:rPr>
        <w:t>’</w:t>
      </w:r>
      <w:r w:rsidR="00410841">
        <w:rPr>
          <w:rFonts w:cs="Arial"/>
          <w:szCs w:val="24"/>
        </w:rPr>
        <w:t xml:space="preserve"> highlights potential future work felt to be of interest from the findings of this study. </w:t>
      </w:r>
    </w:p>
    <w:p w14:paraId="48820349" w14:textId="3404A438" w:rsidR="00FE418D" w:rsidRDefault="00E9391C" w:rsidP="002C5EF0">
      <w:pPr>
        <w:rPr>
          <w:rFonts w:cs="Arial"/>
          <w:szCs w:val="24"/>
        </w:rPr>
      </w:pPr>
      <w:r>
        <w:rPr>
          <w:rFonts w:cs="Arial"/>
          <w:szCs w:val="24"/>
        </w:rPr>
        <w:t>E</w:t>
      </w:r>
      <w:r w:rsidR="00F6652D" w:rsidRPr="00313168">
        <w:rPr>
          <w:rFonts w:cs="Arial"/>
          <w:szCs w:val="24"/>
        </w:rPr>
        <w:t>ach</w:t>
      </w:r>
      <w:r>
        <w:rPr>
          <w:rFonts w:cs="Arial"/>
          <w:szCs w:val="24"/>
        </w:rPr>
        <w:t xml:space="preserve"> </w:t>
      </w:r>
      <w:r w:rsidR="008268B1">
        <w:rPr>
          <w:rFonts w:cs="Arial"/>
          <w:szCs w:val="24"/>
        </w:rPr>
        <w:t>c</w:t>
      </w:r>
      <w:r w:rsidR="001D42C9">
        <w:rPr>
          <w:rFonts w:cs="Arial"/>
          <w:szCs w:val="24"/>
        </w:rPr>
        <w:t>hapter</w:t>
      </w:r>
      <w:r w:rsidR="00D01DD8">
        <w:rPr>
          <w:rFonts w:cs="Arial"/>
          <w:szCs w:val="24"/>
        </w:rPr>
        <w:t xml:space="preserve"> </w:t>
      </w:r>
      <w:r w:rsidRPr="00313168">
        <w:rPr>
          <w:rFonts w:cs="Arial"/>
          <w:szCs w:val="24"/>
        </w:rPr>
        <w:t>concludes with a summary</w:t>
      </w:r>
      <w:r w:rsidR="00331611">
        <w:rPr>
          <w:rFonts w:cs="Arial"/>
          <w:szCs w:val="24"/>
        </w:rPr>
        <w:t>,</w:t>
      </w:r>
      <w:r w:rsidRPr="00313168">
        <w:rPr>
          <w:rFonts w:cs="Arial"/>
          <w:szCs w:val="24"/>
        </w:rPr>
        <w:t xml:space="preserve"> </w:t>
      </w:r>
      <w:r>
        <w:rPr>
          <w:rFonts w:cs="Arial"/>
          <w:szCs w:val="24"/>
        </w:rPr>
        <w:t xml:space="preserve">to demonstrate </w:t>
      </w:r>
      <w:r w:rsidRPr="00313168">
        <w:rPr>
          <w:rFonts w:cs="Arial"/>
          <w:szCs w:val="24"/>
        </w:rPr>
        <w:t>how</w:t>
      </w:r>
      <w:r w:rsidR="00331611">
        <w:rPr>
          <w:rFonts w:cs="Arial"/>
          <w:szCs w:val="24"/>
        </w:rPr>
        <w:t xml:space="preserve"> and </w:t>
      </w:r>
      <w:r w:rsidR="00D01DD8">
        <w:rPr>
          <w:rFonts w:cs="Arial"/>
          <w:szCs w:val="24"/>
        </w:rPr>
        <w:t xml:space="preserve">why </w:t>
      </w:r>
      <w:r w:rsidRPr="00313168">
        <w:rPr>
          <w:rFonts w:cs="Arial"/>
          <w:szCs w:val="24"/>
        </w:rPr>
        <w:t>p</w:t>
      </w:r>
      <w:r w:rsidR="00D01DD8">
        <w:rPr>
          <w:rFonts w:cs="Arial"/>
          <w:szCs w:val="24"/>
        </w:rPr>
        <w:t>rogression occurred</w:t>
      </w:r>
      <w:r>
        <w:rPr>
          <w:rFonts w:cs="Arial"/>
          <w:szCs w:val="24"/>
        </w:rPr>
        <w:t xml:space="preserve"> onto the next stage</w:t>
      </w:r>
      <w:r w:rsidRPr="00313168">
        <w:rPr>
          <w:rFonts w:cs="Arial"/>
          <w:szCs w:val="24"/>
        </w:rPr>
        <w:t xml:space="preserve">. </w:t>
      </w:r>
      <w:r w:rsidR="00410841">
        <w:rPr>
          <w:rFonts w:cs="Arial"/>
          <w:szCs w:val="24"/>
        </w:rPr>
        <w:t>B</w:t>
      </w:r>
      <w:r>
        <w:rPr>
          <w:rFonts w:cs="Arial"/>
          <w:szCs w:val="24"/>
        </w:rPr>
        <w:t xml:space="preserve">ibliography </w:t>
      </w:r>
      <w:r w:rsidR="00D01DD8">
        <w:rPr>
          <w:rFonts w:cs="Arial"/>
          <w:szCs w:val="24"/>
        </w:rPr>
        <w:t xml:space="preserve">and </w:t>
      </w:r>
      <w:r w:rsidR="00E33FBB">
        <w:rPr>
          <w:rFonts w:cs="Arial"/>
          <w:szCs w:val="24"/>
        </w:rPr>
        <w:t>appendic</w:t>
      </w:r>
      <w:r w:rsidR="00253FF9" w:rsidRPr="00313168">
        <w:rPr>
          <w:rFonts w:cs="Arial"/>
          <w:szCs w:val="24"/>
        </w:rPr>
        <w:t>es</w:t>
      </w:r>
      <w:r>
        <w:rPr>
          <w:rFonts w:cs="Arial"/>
          <w:szCs w:val="24"/>
        </w:rPr>
        <w:t xml:space="preserve"> </w:t>
      </w:r>
      <w:r w:rsidR="00410841">
        <w:rPr>
          <w:rFonts w:cs="Arial"/>
          <w:szCs w:val="24"/>
        </w:rPr>
        <w:t xml:space="preserve">are </w:t>
      </w:r>
      <w:r w:rsidR="00AD3B3B">
        <w:rPr>
          <w:rFonts w:cs="Arial"/>
          <w:szCs w:val="24"/>
        </w:rPr>
        <w:t xml:space="preserve">presented </w:t>
      </w:r>
      <w:r w:rsidR="003D222A">
        <w:rPr>
          <w:rFonts w:cs="Arial"/>
          <w:szCs w:val="24"/>
        </w:rPr>
        <w:t>at the end.</w:t>
      </w:r>
    </w:p>
    <w:p w14:paraId="116BE9D1" w14:textId="0D6DEAE8" w:rsidR="000B7E40" w:rsidRDefault="000B7E40" w:rsidP="002C5EF0">
      <w:pPr>
        <w:rPr>
          <w:rFonts w:cs="Arial"/>
          <w:szCs w:val="24"/>
        </w:rPr>
      </w:pPr>
      <w:r>
        <w:rPr>
          <w:rFonts w:cs="Arial"/>
          <w:szCs w:val="24"/>
        </w:rPr>
        <w:t xml:space="preserve">The following diagram </w:t>
      </w:r>
      <w:r w:rsidR="00B87734">
        <w:rPr>
          <w:rFonts w:cs="Arial"/>
          <w:szCs w:val="24"/>
        </w:rPr>
        <w:t xml:space="preserve">(Figure 1.1) </w:t>
      </w:r>
      <w:r>
        <w:rPr>
          <w:rFonts w:cs="Arial"/>
          <w:szCs w:val="24"/>
        </w:rPr>
        <w:t xml:space="preserve">demonstrates the structure of the thesis </w:t>
      </w:r>
      <w:r w:rsidR="00B87734">
        <w:rPr>
          <w:rFonts w:cs="Arial"/>
          <w:szCs w:val="24"/>
        </w:rPr>
        <w:t xml:space="preserve">as a list of </w:t>
      </w:r>
      <w:r w:rsidR="00455DFC">
        <w:rPr>
          <w:rFonts w:cs="Arial"/>
          <w:szCs w:val="24"/>
        </w:rPr>
        <w:t>c</w:t>
      </w:r>
      <w:r w:rsidR="001D42C9">
        <w:rPr>
          <w:rFonts w:cs="Arial"/>
          <w:szCs w:val="24"/>
        </w:rPr>
        <w:t>hapter</w:t>
      </w:r>
      <w:r w:rsidR="00B87734">
        <w:rPr>
          <w:rFonts w:cs="Arial"/>
          <w:szCs w:val="24"/>
        </w:rPr>
        <w:t xml:space="preserve">s </w:t>
      </w:r>
      <w:r>
        <w:rPr>
          <w:rFonts w:cs="Arial"/>
          <w:szCs w:val="24"/>
        </w:rPr>
        <w:t>and content. These diagram</w:t>
      </w:r>
      <w:r w:rsidR="00B87734">
        <w:rPr>
          <w:rFonts w:cs="Arial"/>
          <w:szCs w:val="24"/>
        </w:rPr>
        <w:t>s</w:t>
      </w:r>
      <w:r>
        <w:rPr>
          <w:rFonts w:cs="Arial"/>
          <w:szCs w:val="24"/>
        </w:rPr>
        <w:t xml:space="preserve"> are used within the thesis</w:t>
      </w:r>
      <w:r w:rsidR="00B87734">
        <w:rPr>
          <w:rFonts w:cs="Arial"/>
          <w:szCs w:val="24"/>
        </w:rPr>
        <w:t xml:space="preserve"> at the start of each new </w:t>
      </w:r>
      <w:r w:rsidR="00455DFC">
        <w:rPr>
          <w:rFonts w:cs="Arial"/>
          <w:szCs w:val="24"/>
        </w:rPr>
        <w:t>c</w:t>
      </w:r>
      <w:r w:rsidR="001D42C9">
        <w:rPr>
          <w:rFonts w:cs="Arial"/>
          <w:szCs w:val="24"/>
        </w:rPr>
        <w:t>hapter</w:t>
      </w:r>
      <w:r>
        <w:rPr>
          <w:rFonts w:cs="Arial"/>
          <w:szCs w:val="24"/>
        </w:rPr>
        <w:t xml:space="preserve"> to highlight </w:t>
      </w:r>
      <w:r w:rsidR="00455DFC">
        <w:rPr>
          <w:rFonts w:cs="Arial"/>
          <w:szCs w:val="24"/>
        </w:rPr>
        <w:t xml:space="preserve">the point </w:t>
      </w:r>
      <w:r>
        <w:rPr>
          <w:rFonts w:cs="Arial"/>
          <w:szCs w:val="24"/>
        </w:rPr>
        <w:t>where the reader</w:t>
      </w:r>
      <w:r w:rsidR="00B87734">
        <w:rPr>
          <w:rFonts w:cs="Arial"/>
          <w:szCs w:val="24"/>
        </w:rPr>
        <w:t xml:space="preserve"> has reached. The diagram has the current </w:t>
      </w:r>
      <w:r w:rsidR="00455DFC">
        <w:rPr>
          <w:rFonts w:cs="Arial"/>
          <w:szCs w:val="24"/>
        </w:rPr>
        <w:t>c</w:t>
      </w:r>
      <w:r w:rsidR="001D42C9">
        <w:rPr>
          <w:rFonts w:cs="Arial"/>
          <w:szCs w:val="24"/>
        </w:rPr>
        <w:t>hapter</w:t>
      </w:r>
      <w:r w:rsidR="00B87734">
        <w:rPr>
          <w:rFonts w:cs="Arial"/>
          <w:szCs w:val="24"/>
        </w:rPr>
        <w:t xml:space="preserve"> </w:t>
      </w:r>
      <w:r w:rsidR="00693688">
        <w:rPr>
          <w:rFonts w:cs="Arial"/>
          <w:szCs w:val="24"/>
        </w:rPr>
        <w:t>highlighted</w:t>
      </w:r>
      <w:r>
        <w:rPr>
          <w:rFonts w:cs="Arial"/>
          <w:szCs w:val="24"/>
        </w:rPr>
        <w:t xml:space="preserve"> in red to navigate position and progress</w:t>
      </w:r>
      <w:r w:rsidR="006B7CFE">
        <w:rPr>
          <w:rFonts w:cs="Arial"/>
          <w:szCs w:val="24"/>
        </w:rPr>
        <w:t>.</w:t>
      </w:r>
    </w:p>
    <w:p w14:paraId="712FFC7D" w14:textId="77777777" w:rsidR="00D01DD8" w:rsidRDefault="00D01DD8" w:rsidP="002C5EF0">
      <w:pPr>
        <w:rPr>
          <w:rFonts w:cs="Arial"/>
          <w:szCs w:val="24"/>
        </w:rPr>
      </w:pPr>
    </w:p>
    <w:p w14:paraId="6236DB22" w14:textId="77777777" w:rsidR="00B87734" w:rsidRDefault="00B87734" w:rsidP="002C5EF0">
      <w:pPr>
        <w:rPr>
          <w:rFonts w:cs="Arial"/>
          <w:szCs w:val="24"/>
        </w:rPr>
      </w:pPr>
    </w:p>
    <w:p w14:paraId="7C3155F9" w14:textId="77777777" w:rsidR="007B78B2" w:rsidRDefault="007B78B2" w:rsidP="002C5EF0">
      <w:pPr>
        <w:rPr>
          <w:rFonts w:cs="Arial"/>
          <w:szCs w:val="24"/>
        </w:rPr>
      </w:pPr>
    </w:p>
    <w:p w14:paraId="2DA28A17" w14:textId="64D84FF8" w:rsidR="00B66482" w:rsidRDefault="00DB552E" w:rsidP="00253FF9">
      <w:pPr>
        <w:pStyle w:val="Heading2"/>
      </w:pPr>
      <w:bookmarkStart w:id="18" w:name="_Toc343501084"/>
      <w:bookmarkStart w:id="19" w:name="_Toc348686285"/>
      <w:bookmarkStart w:id="20" w:name="_Toc419116087"/>
      <w:r w:rsidRPr="00795742">
        <w:lastRenderedPageBreak/>
        <w:t>Structure of thesis</w:t>
      </w:r>
      <w:bookmarkEnd w:id="18"/>
      <w:bookmarkEnd w:id="19"/>
      <w:bookmarkEnd w:id="20"/>
    </w:p>
    <w:p w14:paraId="025A51A5" w14:textId="77777777" w:rsidR="00FE418D" w:rsidRDefault="00B66482" w:rsidP="00FE418D">
      <w:pPr>
        <w:keepNext/>
      </w:pPr>
      <w:r>
        <w:rPr>
          <w:noProof/>
          <w:lang w:val="en-US"/>
        </w:rPr>
        <w:drawing>
          <wp:inline distT="0" distB="0" distL="0" distR="0" wp14:anchorId="5F1CA72A" wp14:editId="17B08A0F">
            <wp:extent cx="4457700" cy="7184390"/>
            <wp:effectExtent l="38100" t="19050" r="19050" b="3556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4AFAAF26" w14:textId="10D7A7ED" w:rsidR="003C7BE5" w:rsidRDefault="00FE418D" w:rsidP="007000F8">
      <w:pPr>
        <w:pStyle w:val="Caption"/>
      </w:pPr>
      <w:bookmarkStart w:id="21" w:name="_Toc365579431"/>
      <w:bookmarkStart w:id="22" w:name="_Toc368056030"/>
      <w:bookmarkStart w:id="23" w:name="_Toc419116454"/>
      <w:r>
        <w:t xml:space="preserve">Figure </w:t>
      </w:r>
      <w:r w:rsidR="009A2F08">
        <w:fldChar w:fldCharType="begin"/>
      </w:r>
      <w:r w:rsidR="009A2F08">
        <w:instrText xml:space="preserve"> STYLEREF 1 \s </w:instrText>
      </w:r>
      <w:r w:rsidR="009A2F08">
        <w:fldChar w:fldCharType="separate"/>
      </w:r>
      <w:r w:rsidR="007220A7">
        <w:rPr>
          <w:noProof/>
        </w:rPr>
        <w:t>1</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w:t>
      </w:r>
      <w:r w:rsidR="009A2F08">
        <w:fldChar w:fldCharType="end"/>
      </w:r>
      <w:r>
        <w:t xml:space="preserve"> List diagram to demonstrate structure of thesis</w:t>
      </w:r>
      <w:bookmarkEnd w:id="21"/>
      <w:bookmarkEnd w:id="22"/>
      <w:bookmarkEnd w:id="23"/>
    </w:p>
    <w:p w14:paraId="5980D1E8" w14:textId="77777777" w:rsidR="0096321B" w:rsidRPr="0096321B" w:rsidRDefault="0096321B" w:rsidP="0096321B"/>
    <w:p w14:paraId="36F195F0" w14:textId="77777777" w:rsidR="00DB552E" w:rsidRPr="002C5EF0" w:rsidRDefault="00DB552E" w:rsidP="00CA53EB">
      <w:pPr>
        <w:pStyle w:val="Heading2"/>
      </w:pPr>
      <w:bookmarkStart w:id="24" w:name="_Toc343501085"/>
      <w:bookmarkStart w:id="25" w:name="_Toc348686286"/>
      <w:bookmarkStart w:id="26" w:name="_Toc419116088"/>
      <w:r w:rsidRPr="002C5EF0">
        <w:lastRenderedPageBreak/>
        <w:t>Aims and Objectives</w:t>
      </w:r>
      <w:bookmarkEnd w:id="24"/>
      <w:bookmarkEnd w:id="25"/>
      <w:bookmarkEnd w:id="26"/>
    </w:p>
    <w:p w14:paraId="7C14BC06" w14:textId="77777777" w:rsidR="00483B87" w:rsidRDefault="00483B87" w:rsidP="00483B87"/>
    <w:p w14:paraId="7E67B3B4" w14:textId="00C666FB" w:rsidR="003C0705" w:rsidRDefault="00292A30" w:rsidP="002C5EF0">
      <w:r>
        <w:t>The o</w:t>
      </w:r>
      <w:r w:rsidR="00483B87">
        <w:t xml:space="preserve">verall aim is to understand </w:t>
      </w:r>
      <w:r w:rsidR="003C0705">
        <w:t xml:space="preserve">how best to use </w:t>
      </w:r>
      <w:r w:rsidR="00483B87">
        <w:t>simulation in the undergraduate curr</w:t>
      </w:r>
      <w:r>
        <w:t>iculum to train</w:t>
      </w:r>
      <w:r w:rsidR="00910783">
        <w:t xml:space="preserve"> and prepare</w:t>
      </w:r>
      <w:r>
        <w:t xml:space="preserve"> junior doctors</w:t>
      </w:r>
      <w:r w:rsidR="003C0705">
        <w:t>, assess impact</w:t>
      </w:r>
      <w:r w:rsidR="001D25D4">
        <w:t>,</w:t>
      </w:r>
      <w:r w:rsidR="003C0705">
        <w:t xml:space="preserve"> and </w:t>
      </w:r>
      <w:r w:rsidR="00693688">
        <w:t>optimise</w:t>
      </w:r>
      <w:r w:rsidR="003C0705">
        <w:t xml:space="preserve"> delivery</w:t>
      </w:r>
      <w:r>
        <w:t>. The data has info</w:t>
      </w:r>
      <w:r w:rsidR="00462339">
        <w:t>rm</w:t>
      </w:r>
      <w:r>
        <w:t xml:space="preserve">ed the development of </w:t>
      </w:r>
      <w:r w:rsidR="00483B87">
        <w:t>best practice guidance on planning and delivering a simulation curriculum that can be applied nationally to un</w:t>
      </w:r>
      <w:r w:rsidR="00FA6CB4">
        <w:t xml:space="preserve">dergraduate medical education. </w:t>
      </w:r>
    </w:p>
    <w:p w14:paraId="6254D795" w14:textId="77777777" w:rsidR="009F0B8D" w:rsidRPr="009F0B8D" w:rsidRDefault="009F0B8D" w:rsidP="009F0B8D">
      <w:pPr>
        <w:pStyle w:val="Default"/>
        <w:spacing w:line="480" w:lineRule="auto"/>
        <w:jc w:val="both"/>
        <w:rPr>
          <w:rFonts w:ascii="Arial" w:hAnsi="Arial" w:cs="Arial"/>
          <w:bCs/>
          <w:u w:val="single"/>
        </w:rPr>
      </w:pPr>
      <w:r w:rsidRPr="009F0B8D">
        <w:rPr>
          <w:rFonts w:ascii="Arial" w:hAnsi="Arial" w:cs="Arial"/>
          <w:bCs/>
          <w:u w:val="single"/>
        </w:rPr>
        <w:t>Objectives:</w:t>
      </w:r>
    </w:p>
    <w:p w14:paraId="719FF103" w14:textId="77777777" w:rsidR="009F0B8D" w:rsidRPr="009F0B8D" w:rsidRDefault="009F0B8D" w:rsidP="002424E3">
      <w:pPr>
        <w:pStyle w:val="Default"/>
        <w:numPr>
          <w:ilvl w:val="0"/>
          <w:numId w:val="1"/>
        </w:numPr>
        <w:spacing w:line="480" w:lineRule="auto"/>
        <w:jc w:val="both"/>
        <w:rPr>
          <w:rFonts w:ascii="Arial" w:hAnsi="Arial" w:cs="Arial"/>
          <w:bCs/>
        </w:rPr>
      </w:pPr>
      <w:r w:rsidRPr="009F0B8D">
        <w:rPr>
          <w:rFonts w:ascii="Arial" w:hAnsi="Arial" w:cs="Arial"/>
          <w:bCs/>
        </w:rPr>
        <w:t xml:space="preserve">Create, design and deliver a simulation-based intervention. </w:t>
      </w:r>
    </w:p>
    <w:p w14:paraId="1FEDE9D1" w14:textId="21E2FC45" w:rsidR="009F0B8D" w:rsidRPr="009F0B8D" w:rsidRDefault="009F0B8D" w:rsidP="002424E3">
      <w:pPr>
        <w:pStyle w:val="Default"/>
        <w:numPr>
          <w:ilvl w:val="0"/>
          <w:numId w:val="1"/>
        </w:numPr>
        <w:spacing w:line="480" w:lineRule="auto"/>
        <w:jc w:val="both"/>
        <w:rPr>
          <w:rFonts w:ascii="Arial" w:hAnsi="Arial" w:cs="Arial"/>
          <w:bCs/>
        </w:rPr>
      </w:pPr>
      <w:r w:rsidRPr="009F0B8D">
        <w:rPr>
          <w:rFonts w:ascii="Arial" w:hAnsi="Arial" w:cs="Arial"/>
          <w:bCs/>
        </w:rPr>
        <w:t xml:space="preserve">Map learning outcomes, confidence assessment and formative assessment to domains set out by the Foundation Programme curriculum and Tomorrow’s </w:t>
      </w:r>
      <w:r w:rsidR="001D25D4">
        <w:rPr>
          <w:rFonts w:ascii="Arial" w:hAnsi="Arial" w:cs="Arial"/>
          <w:bCs/>
        </w:rPr>
        <w:t>D</w:t>
      </w:r>
      <w:r w:rsidRPr="009F0B8D">
        <w:rPr>
          <w:rFonts w:ascii="Arial" w:hAnsi="Arial" w:cs="Arial"/>
          <w:bCs/>
        </w:rPr>
        <w:t>octors.</w:t>
      </w:r>
    </w:p>
    <w:p w14:paraId="052FB5CB" w14:textId="1BF4AC93" w:rsidR="009F0B8D" w:rsidRPr="009F0B8D" w:rsidRDefault="009F0B8D" w:rsidP="002424E3">
      <w:pPr>
        <w:pStyle w:val="Default"/>
        <w:numPr>
          <w:ilvl w:val="0"/>
          <w:numId w:val="1"/>
        </w:numPr>
        <w:spacing w:line="480" w:lineRule="auto"/>
        <w:jc w:val="both"/>
        <w:rPr>
          <w:rFonts w:ascii="Arial" w:hAnsi="Arial" w:cs="Arial"/>
          <w:bCs/>
        </w:rPr>
      </w:pPr>
      <w:r w:rsidRPr="009F0B8D">
        <w:rPr>
          <w:rFonts w:ascii="Arial" w:hAnsi="Arial" w:cs="Arial"/>
          <w:bCs/>
        </w:rPr>
        <w:t>Develop</w:t>
      </w:r>
      <w:r w:rsidR="001D25D4">
        <w:rPr>
          <w:rFonts w:ascii="Arial" w:hAnsi="Arial" w:cs="Arial"/>
          <w:bCs/>
        </w:rPr>
        <w:t xml:space="preserve"> a</w:t>
      </w:r>
      <w:r w:rsidRPr="009F0B8D">
        <w:rPr>
          <w:rFonts w:ascii="Arial" w:hAnsi="Arial" w:cs="Arial"/>
          <w:bCs/>
        </w:rPr>
        <w:t xml:space="preserve"> tool for formative assessment of performance during the simulation session. Validate</w:t>
      </w:r>
      <w:r w:rsidR="001D25D4">
        <w:rPr>
          <w:rFonts w:ascii="Arial" w:hAnsi="Arial" w:cs="Arial"/>
          <w:bCs/>
        </w:rPr>
        <w:t xml:space="preserve"> the</w:t>
      </w:r>
      <w:r w:rsidRPr="009F0B8D">
        <w:rPr>
          <w:rFonts w:ascii="Arial" w:hAnsi="Arial" w:cs="Arial"/>
          <w:bCs/>
        </w:rPr>
        <w:t xml:space="preserve"> tool. Use as a benchmark for performance. </w:t>
      </w:r>
    </w:p>
    <w:p w14:paraId="6970A66E" w14:textId="20443E2F" w:rsidR="009F0B8D" w:rsidRPr="009F0B8D" w:rsidRDefault="009F0B8D" w:rsidP="002424E3">
      <w:pPr>
        <w:pStyle w:val="Default"/>
        <w:numPr>
          <w:ilvl w:val="0"/>
          <w:numId w:val="1"/>
        </w:numPr>
        <w:spacing w:line="480" w:lineRule="auto"/>
        <w:jc w:val="both"/>
        <w:rPr>
          <w:rFonts w:ascii="Arial" w:hAnsi="Arial" w:cs="Arial"/>
          <w:bCs/>
        </w:rPr>
      </w:pPr>
      <w:r w:rsidRPr="009F0B8D">
        <w:rPr>
          <w:rFonts w:ascii="Arial" w:hAnsi="Arial" w:cs="Arial"/>
          <w:bCs/>
        </w:rPr>
        <w:t>Run a pilot study using controls (non</w:t>
      </w:r>
      <w:r w:rsidR="001D25D4">
        <w:rPr>
          <w:rFonts w:ascii="Arial" w:hAnsi="Arial" w:cs="Arial"/>
          <w:bCs/>
        </w:rPr>
        <w:t>-</w:t>
      </w:r>
      <w:r w:rsidRPr="009F0B8D">
        <w:rPr>
          <w:rFonts w:ascii="Arial" w:hAnsi="Arial" w:cs="Arial"/>
          <w:bCs/>
        </w:rPr>
        <w:t>interven</w:t>
      </w:r>
      <w:r w:rsidR="00341A1E">
        <w:rPr>
          <w:rFonts w:ascii="Arial" w:hAnsi="Arial" w:cs="Arial"/>
          <w:bCs/>
        </w:rPr>
        <w:t>tion) and evaluate repeated confidence levels over time.</w:t>
      </w:r>
    </w:p>
    <w:p w14:paraId="21ADBDE1" w14:textId="7512593A" w:rsidR="009F0B8D" w:rsidRPr="009F0B8D" w:rsidRDefault="009F0B8D" w:rsidP="002424E3">
      <w:pPr>
        <w:pStyle w:val="Default"/>
        <w:numPr>
          <w:ilvl w:val="0"/>
          <w:numId w:val="1"/>
        </w:numPr>
        <w:spacing w:line="480" w:lineRule="auto"/>
        <w:jc w:val="both"/>
        <w:rPr>
          <w:rFonts w:ascii="Arial" w:hAnsi="Arial" w:cs="Arial"/>
          <w:bCs/>
        </w:rPr>
      </w:pPr>
      <w:r w:rsidRPr="009F0B8D">
        <w:rPr>
          <w:rFonts w:ascii="Arial" w:hAnsi="Arial" w:cs="Arial"/>
        </w:rPr>
        <w:t>Track impact of simulation</w:t>
      </w:r>
      <w:r w:rsidR="001D25D4">
        <w:rPr>
          <w:rFonts w:ascii="Arial" w:hAnsi="Arial" w:cs="Arial"/>
        </w:rPr>
        <w:t>-</w:t>
      </w:r>
      <w:r w:rsidRPr="009F0B8D">
        <w:rPr>
          <w:rFonts w:ascii="Arial" w:hAnsi="Arial" w:cs="Arial"/>
        </w:rPr>
        <w:t xml:space="preserve">based experience (IMASS) on confidence over time. </w:t>
      </w:r>
    </w:p>
    <w:p w14:paraId="215A1424" w14:textId="07E5A28F" w:rsidR="009F0B8D" w:rsidRPr="009F0B8D" w:rsidRDefault="009F0B8D" w:rsidP="002424E3">
      <w:pPr>
        <w:pStyle w:val="Default"/>
        <w:numPr>
          <w:ilvl w:val="0"/>
          <w:numId w:val="1"/>
        </w:numPr>
        <w:spacing w:line="480" w:lineRule="auto"/>
        <w:jc w:val="both"/>
        <w:rPr>
          <w:rFonts w:ascii="Arial" w:hAnsi="Arial" w:cs="Arial"/>
          <w:bCs/>
        </w:rPr>
      </w:pPr>
      <w:r w:rsidRPr="009F0B8D">
        <w:rPr>
          <w:rFonts w:ascii="Arial" w:hAnsi="Arial" w:cs="Arial"/>
        </w:rPr>
        <w:t>Explore qualitatively</w:t>
      </w:r>
      <w:r w:rsidR="00910783">
        <w:rPr>
          <w:rFonts w:ascii="Arial" w:hAnsi="Arial" w:cs="Arial"/>
        </w:rPr>
        <w:t xml:space="preserve"> preparedness and</w:t>
      </w:r>
      <w:r w:rsidRPr="009F0B8D">
        <w:rPr>
          <w:rFonts w:ascii="Arial" w:hAnsi="Arial" w:cs="Arial"/>
        </w:rPr>
        <w:t xml:space="preserve"> perceived value of simulation from undergraduate perspective using </w:t>
      </w:r>
      <w:r w:rsidR="00173DE4">
        <w:rPr>
          <w:rFonts w:ascii="Arial" w:hAnsi="Arial" w:cs="Arial"/>
        </w:rPr>
        <w:t>focus group</w:t>
      </w:r>
      <w:r w:rsidRPr="009F0B8D">
        <w:rPr>
          <w:rFonts w:ascii="Arial" w:hAnsi="Arial" w:cs="Arial"/>
        </w:rPr>
        <w:t>s.</w:t>
      </w:r>
    </w:p>
    <w:p w14:paraId="17C373C9" w14:textId="0F99F210" w:rsidR="009F0B8D" w:rsidRPr="00381279" w:rsidRDefault="009F0B8D" w:rsidP="002424E3">
      <w:pPr>
        <w:pStyle w:val="Default"/>
        <w:numPr>
          <w:ilvl w:val="0"/>
          <w:numId w:val="1"/>
        </w:numPr>
        <w:spacing w:line="480" w:lineRule="auto"/>
        <w:jc w:val="both"/>
        <w:rPr>
          <w:rFonts w:ascii="Arial" w:hAnsi="Arial" w:cs="Arial"/>
          <w:bCs/>
        </w:rPr>
      </w:pPr>
      <w:r w:rsidRPr="009F0B8D">
        <w:rPr>
          <w:rFonts w:ascii="Arial" w:hAnsi="Arial" w:cs="Arial"/>
        </w:rPr>
        <w:t xml:space="preserve">Explore qualitatively </w:t>
      </w:r>
      <w:r w:rsidR="00910783">
        <w:rPr>
          <w:rFonts w:ascii="Arial" w:hAnsi="Arial" w:cs="Arial"/>
        </w:rPr>
        <w:t xml:space="preserve">preparedness and </w:t>
      </w:r>
      <w:r w:rsidRPr="009F0B8D">
        <w:rPr>
          <w:rFonts w:ascii="Arial" w:hAnsi="Arial" w:cs="Arial"/>
        </w:rPr>
        <w:t>perceived value of simulation from education and simulation experts.</w:t>
      </w:r>
    </w:p>
    <w:p w14:paraId="3410423A" w14:textId="6EC9844F" w:rsidR="00381279" w:rsidRPr="009F0B8D" w:rsidRDefault="00381279" w:rsidP="002424E3">
      <w:pPr>
        <w:pStyle w:val="Default"/>
        <w:numPr>
          <w:ilvl w:val="0"/>
          <w:numId w:val="1"/>
        </w:numPr>
        <w:spacing w:line="480" w:lineRule="auto"/>
        <w:jc w:val="both"/>
        <w:rPr>
          <w:rFonts w:ascii="Arial" w:hAnsi="Arial" w:cs="Arial"/>
          <w:bCs/>
        </w:rPr>
      </w:pPr>
      <w:r>
        <w:rPr>
          <w:rFonts w:ascii="Arial" w:hAnsi="Arial" w:cs="Arial"/>
        </w:rPr>
        <w:t>Conceptualise educational framework.</w:t>
      </w:r>
    </w:p>
    <w:p w14:paraId="403D9D2B" w14:textId="15DEEEEF" w:rsidR="009F0B8D" w:rsidRPr="00731DE2" w:rsidRDefault="009F0B8D" w:rsidP="002424E3">
      <w:pPr>
        <w:pStyle w:val="Default"/>
        <w:numPr>
          <w:ilvl w:val="0"/>
          <w:numId w:val="1"/>
        </w:numPr>
        <w:spacing w:line="480" w:lineRule="auto"/>
        <w:jc w:val="both"/>
        <w:rPr>
          <w:rFonts w:ascii="Arial" w:hAnsi="Arial" w:cs="Arial"/>
          <w:bCs/>
        </w:rPr>
      </w:pPr>
      <w:r w:rsidRPr="009F0B8D">
        <w:rPr>
          <w:rFonts w:ascii="Arial" w:hAnsi="Arial" w:cs="Arial"/>
        </w:rPr>
        <w:lastRenderedPageBreak/>
        <w:t>Explore the challenges, barriers and practicalities of creating an undergraduate simulation curriculum</w:t>
      </w:r>
      <w:r>
        <w:rPr>
          <w:rFonts w:ascii="Arial" w:hAnsi="Arial" w:cs="Arial"/>
        </w:rPr>
        <w:t>.</w:t>
      </w:r>
    </w:p>
    <w:p w14:paraId="02012200" w14:textId="1E7AF7E5" w:rsidR="009F0B8D" w:rsidRPr="002C5EF0" w:rsidRDefault="00731DE2" w:rsidP="00731DE2">
      <w:pPr>
        <w:pStyle w:val="Default"/>
        <w:spacing w:line="480" w:lineRule="auto"/>
        <w:ind w:left="720"/>
        <w:jc w:val="both"/>
      </w:pPr>
      <w:r>
        <w:rPr>
          <w:rFonts w:ascii="Arial" w:hAnsi="Arial" w:cs="Arial"/>
          <w:bCs/>
        </w:rPr>
        <w:t xml:space="preserve">10. </w:t>
      </w:r>
      <w:r w:rsidR="009F0B8D" w:rsidRPr="00731DE2">
        <w:rPr>
          <w:rFonts w:ascii="Arial" w:hAnsi="Arial" w:cs="Arial"/>
        </w:rPr>
        <w:t>Create best practice guidance on the implementation of undergraduate simulation</w:t>
      </w:r>
      <w:r w:rsidR="001D25D4" w:rsidRPr="00731DE2">
        <w:rPr>
          <w:rFonts w:ascii="Arial" w:hAnsi="Arial" w:cs="Arial"/>
        </w:rPr>
        <w:t>-</w:t>
      </w:r>
      <w:r w:rsidR="009F0B8D" w:rsidRPr="00731DE2">
        <w:rPr>
          <w:rFonts w:ascii="Arial" w:hAnsi="Arial" w:cs="Arial"/>
        </w:rPr>
        <w:t>based education and curriculum design.</w:t>
      </w:r>
    </w:p>
    <w:p w14:paraId="647EC837" w14:textId="77777777" w:rsidR="00DB552E" w:rsidRDefault="00DB552E" w:rsidP="00CA53EB">
      <w:pPr>
        <w:pStyle w:val="Heading2"/>
      </w:pPr>
      <w:bookmarkStart w:id="27" w:name="_Toc343501086"/>
      <w:bookmarkStart w:id="28" w:name="_Toc348686287"/>
      <w:bookmarkStart w:id="29" w:name="_Toc419116089"/>
      <w:r w:rsidRPr="002C5EF0">
        <w:t>Research question</w:t>
      </w:r>
      <w:bookmarkEnd w:id="27"/>
      <w:bookmarkEnd w:id="28"/>
      <w:bookmarkEnd w:id="29"/>
    </w:p>
    <w:p w14:paraId="0081FD4C" w14:textId="77777777" w:rsidR="009F0B8D" w:rsidRDefault="009F0B8D" w:rsidP="00F6652D"/>
    <w:p w14:paraId="258DE821" w14:textId="6E84C56F" w:rsidR="00FA6CB4" w:rsidRDefault="005324DD" w:rsidP="00F6652D">
      <w:r>
        <w:t xml:space="preserve">1. </w:t>
      </w:r>
      <w:r w:rsidR="00FA6CB4">
        <w:t xml:space="preserve">What is the impact </w:t>
      </w:r>
      <w:r w:rsidR="00D63AC8">
        <w:t>of a simulation</w:t>
      </w:r>
      <w:r w:rsidR="00D74D49">
        <w:t>-</w:t>
      </w:r>
      <w:r w:rsidR="00D63AC8">
        <w:t>based intervention for 5</w:t>
      </w:r>
      <w:r w:rsidR="00D63AC8" w:rsidRPr="00D63AC8">
        <w:rPr>
          <w:vertAlign w:val="superscript"/>
        </w:rPr>
        <w:t>th</w:t>
      </w:r>
      <w:r w:rsidR="00D63AC8">
        <w:t xml:space="preserve"> year medical students </w:t>
      </w:r>
      <w:r w:rsidR="00FA6CB4">
        <w:t>on preparedness for practice for FY1?</w:t>
      </w:r>
    </w:p>
    <w:p w14:paraId="0ADFBF95" w14:textId="205322CB" w:rsidR="00D63AC8" w:rsidRDefault="005324DD" w:rsidP="00F6652D">
      <w:r>
        <w:t xml:space="preserve">2. </w:t>
      </w:r>
      <w:r w:rsidR="00D63AC8">
        <w:t xml:space="preserve">What is </w:t>
      </w:r>
      <w:r w:rsidR="00341A1E">
        <w:t>good practice for developing and implementing a simulation curriculum for undergraduate medical students</w:t>
      </w:r>
      <w:r w:rsidR="00A96786">
        <w:t xml:space="preserve"> to support preparedness for practice</w:t>
      </w:r>
      <w:r w:rsidR="00341A1E">
        <w:t>?</w:t>
      </w:r>
    </w:p>
    <w:p w14:paraId="46138595" w14:textId="4782923E" w:rsidR="005324DD" w:rsidRDefault="005324DD" w:rsidP="00F6652D">
      <w:r>
        <w:t>3. What are the views of medical education and simulation experts on what is good practice for developing and implementing an undergraduate simulation curriculum?</w:t>
      </w:r>
    </w:p>
    <w:p w14:paraId="44C57B3D" w14:textId="77777777" w:rsidR="00D63AC8" w:rsidRDefault="00D63AC8" w:rsidP="00F6652D"/>
    <w:p w14:paraId="41D63F5B" w14:textId="77777777" w:rsidR="0061151D" w:rsidRDefault="0061151D" w:rsidP="00F6652D">
      <w:pPr>
        <w:sectPr w:rsidR="0061151D" w:rsidSect="001E2A74">
          <w:headerReference w:type="default" r:id="rId24"/>
          <w:footerReference w:type="default" r:id="rId25"/>
          <w:headerReference w:type="first" r:id="rId26"/>
          <w:pgSz w:w="11900" w:h="16840"/>
          <w:pgMar w:top="1134" w:right="1134" w:bottom="1134" w:left="2268" w:header="1134" w:footer="1134" w:gutter="0"/>
          <w:pgNumType w:start="1"/>
          <w:cols w:space="708"/>
          <w:docGrid w:linePitch="360"/>
        </w:sectPr>
      </w:pPr>
    </w:p>
    <w:p w14:paraId="42982DA4" w14:textId="306A9180" w:rsidR="00F6652D" w:rsidRDefault="001D42C9" w:rsidP="002424E3">
      <w:pPr>
        <w:pStyle w:val="Heading1"/>
        <w:numPr>
          <w:ilvl w:val="0"/>
          <w:numId w:val="32"/>
        </w:numPr>
      </w:pPr>
      <w:bookmarkStart w:id="30" w:name="_Toc343501087"/>
      <w:bookmarkStart w:id="31" w:name="_Toc348686288"/>
      <w:bookmarkStart w:id="32" w:name="_Toc419116090"/>
      <w:r>
        <w:lastRenderedPageBreak/>
        <w:t>Chapter</w:t>
      </w:r>
      <w:r w:rsidR="00F6652D" w:rsidRPr="005F454B">
        <w:t xml:space="preserve"> 2: Literature review</w:t>
      </w:r>
      <w:bookmarkEnd w:id="30"/>
      <w:bookmarkEnd w:id="31"/>
      <w:bookmarkEnd w:id="32"/>
    </w:p>
    <w:p w14:paraId="4B01BE9A" w14:textId="10F0EE42" w:rsidR="00D7477F" w:rsidRPr="00D7477F" w:rsidRDefault="00372241" w:rsidP="00D7477F">
      <w:r>
        <w:rPr>
          <w:noProof/>
          <w:lang w:val="en-US"/>
        </w:rPr>
        <w:drawing>
          <wp:inline distT="0" distB="0" distL="0" distR="0" wp14:anchorId="05F10464" wp14:editId="6429E683">
            <wp:extent cx="4894580" cy="7768590"/>
            <wp:effectExtent l="38100" t="19050" r="20320" b="41910"/>
            <wp:docPr id="71" name="Diagram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4251A329" w14:textId="360B2C4A" w:rsidR="002250AD" w:rsidRDefault="002250AD" w:rsidP="00056DAD">
      <w:pPr>
        <w:pStyle w:val="Heading2"/>
      </w:pPr>
      <w:bookmarkStart w:id="33" w:name="_Toc343501088"/>
      <w:bookmarkStart w:id="34" w:name="_Toc348686289"/>
      <w:bookmarkStart w:id="35" w:name="_Toc419116091"/>
      <w:r>
        <w:lastRenderedPageBreak/>
        <w:t>Introduction</w:t>
      </w:r>
      <w:bookmarkEnd w:id="33"/>
      <w:bookmarkEnd w:id="34"/>
      <w:bookmarkEnd w:id="35"/>
    </w:p>
    <w:p w14:paraId="65AEEEBE" w14:textId="77777777" w:rsidR="002250AD" w:rsidRDefault="002250AD" w:rsidP="002250AD"/>
    <w:p w14:paraId="4581DAEC" w14:textId="2EAD1444" w:rsidR="00381279" w:rsidRDefault="00381279" w:rsidP="002250AD">
      <w:r>
        <w:t xml:space="preserve">The </w:t>
      </w:r>
      <w:r w:rsidR="00BD6B4D">
        <w:t xml:space="preserve">GMC </w:t>
      </w:r>
      <w:r w:rsidR="007F018C">
        <w:t>(</w:t>
      </w:r>
      <w:r w:rsidR="00BD6B4D">
        <w:t>regulatory body f</w:t>
      </w:r>
      <w:r>
        <w:t>o</w:t>
      </w:r>
      <w:r w:rsidR="00BD6B4D">
        <w:t>r</w:t>
      </w:r>
      <w:r>
        <w:t xml:space="preserve"> medical practitioners in the UK) </w:t>
      </w:r>
      <w:r w:rsidR="002250AD">
        <w:t>annual</w:t>
      </w:r>
      <w:r>
        <w:t>ly</w:t>
      </w:r>
      <w:r w:rsidR="002250AD">
        <w:t xml:space="preserve"> </w:t>
      </w:r>
      <w:r>
        <w:t>collects</w:t>
      </w:r>
      <w:r w:rsidR="0016710A">
        <w:t xml:space="preserve"> and reports</w:t>
      </w:r>
      <w:r>
        <w:t xml:space="preserve"> data from all new medical graduates about </w:t>
      </w:r>
      <w:r w:rsidR="002250AD">
        <w:t xml:space="preserve">whether they feel their medical school has prepared them </w:t>
      </w:r>
      <w:r w:rsidR="0016710A">
        <w:t>for practice as a junior doctor</w:t>
      </w:r>
      <w:r>
        <w:t>. The</w:t>
      </w:r>
      <w:r w:rsidR="002250AD">
        <w:t xml:space="preserve"> question </w:t>
      </w:r>
      <w:r w:rsidR="007F018C">
        <w:t xml:space="preserve">concerns </w:t>
      </w:r>
      <w:r w:rsidR="002250AD">
        <w:t>anticipated subjective preparedness</w:t>
      </w:r>
      <w:r w:rsidR="0016710A">
        <w:t xml:space="preserve">, however </w:t>
      </w:r>
      <w:r w:rsidR="00402CCF">
        <w:t xml:space="preserve">it </w:t>
      </w:r>
      <w:r w:rsidR="0016710A">
        <w:t xml:space="preserve">is not clear what is interpreted or meant by </w:t>
      </w:r>
      <w:r w:rsidR="007F018C">
        <w:t>‘</w:t>
      </w:r>
      <w:r w:rsidR="0016710A">
        <w:t>preparedness</w:t>
      </w:r>
      <w:r w:rsidR="007F018C">
        <w:t>’</w:t>
      </w:r>
      <w:r w:rsidR="0016710A">
        <w:t xml:space="preserve">. This is explored </w:t>
      </w:r>
      <w:r w:rsidR="005324DD">
        <w:t xml:space="preserve">in depth </w:t>
      </w:r>
      <w:r w:rsidR="00402CCF">
        <w:t>in this study</w:t>
      </w:r>
      <w:r w:rsidR="002250AD">
        <w:t xml:space="preserve">. </w:t>
      </w:r>
    </w:p>
    <w:p w14:paraId="55E83558" w14:textId="701F02A1" w:rsidR="00234DA5" w:rsidRDefault="0016710A" w:rsidP="002250AD">
      <w:r>
        <w:t xml:space="preserve">A </w:t>
      </w:r>
      <w:r w:rsidR="002250AD">
        <w:t>literature review of the current published evidence has been conducted</w:t>
      </w:r>
      <w:r>
        <w:t xml:space="preserve"> to gain a better understanding of preparedness and why it is important</w:t>
      </w:r>
      <w:r w:rsidR="002250AD">
        <w:t xml:space="preserve">. Exploration of mechanisms and interventions to help support preparedness both at undergraduate level and postgraduate level in the workplace has been undertaken. </w:t>
      </w:r>
    </w:p>
    <w:p w14:paraId="74F4B56A" w14:textId="1183EFDD" w:rsidR="009A612C" w:rsidRPr="009A612C" w:rsidRDefault="009A612C" w:rsidP="002250AD">
      <w:pPr>
        <w:rPr>
          <w:rFonts w:cs="Arial"/>
          <w:szCs w:val="24"/>
        </w:rPr>
      </w:pPr>
      <w:r>
        <w:rPr>
          <w:rFonts w:cs="Arial"/>
          <w:szCs w:val="24"/>
        </w:rPr>
        <w:t>A narrative review was conducted owing to the wide range of literature revealed in searches</w:t>
      </w:r>
      <w:r w:rsidR="005D7A77">
        <w:rPr>
          <w:rFonts w:cs="Arial"/>
          <w:szCs w:val="24"/>
        </w:rPr>
        <w:t xml:space="preserve"> and the emergent complexity</w:t>
      </w:r>
      <w:r>
        <w:rPr>
          <w:rFonts w:cs="Arial"/>
          <w:szCs w:val="24"/>
        </w:rPr>
        <w:t xml:space="preserve">. Narrative reviews aim to isolate and summarise published data, avoid duplications, and locate new un-investigated areas to support need for research </w:t>
      </w:r>
      <w:r>
        <w:rPr>
          <w:rFonts w:cs="Arial"/>
          <w:szCs w:val="24"/>
        </w:rPr>
        <w:fldChar w:fldCharType="begin"/>
      </w:r>
      <w:r>
        <w:rPr>
          <w:rFonts w:cs="Arial"/>
          <w:szCs w:val="24"/>
        </w:rPr>
        <w:instrText xml:space="preserve"> ADDIN EN.CITE &lt;EndNote&gt;&lt;Cite&gt;&lt;Author&gt;Ferrari&lt;/Author&gt;&lt;Year&gt;2015&lt;/Year&gt;&lt;IDText&gt;Writing narrative style literature reviews&lt;/IDText&gt;&lt;DisplayText&gt;(Ferrari, 2015)&lt;/DisplayText&gt;&lt;record&gt;&lt;titles&gt;&lt;title&gt;Writing narrative style literature reviews&lt;/title&gt;&lt;secondary-title&gt;Medical Writing&lt;/secondary-title&gt;&lt;/titles&gt;&lt;pages&gt;230 - 235&lt;/pages&gt;&lt;number&gt;4&lt;/number&gt;&lt;contributors&gt;&lt;authors&gt;&lt;author&gt;Ferrari, Rossella&lt;/author&gt;&lt;/authors&gt;&lt;/contributors&gt;&lt;added-date format="utc"&gt;1533286566&lt;/added-date&gt;&lt;ref-type name="Journal Article"&gt;17&lt;/ref-type&gt;&lt;dates&gt;&lt;year&gt;2015&lt;/year&gt;&lt;/dates&gt;&lt;rec-number&gt;382&lt;/rec-number&gt;&lt;last-updated-date format="utc"&gt;1533287175&lt;/last-updated-date&gt;&lt;volume&gt;24&lt;/volume&gt;&lt;/record&gt;&lt;/Cite&gt;&lt;/EndNote&gt;</w:instrText>
      </w:r>
      <w:r>
        <w:rPr>
          <w:rFonts w:cs="Arial"/>
          <w:szCs w:val="24"/>
        </w:rPr>
        <w:fldChar w:fldCharType="separate"/>
      </w:r>
      <w:r>
        <w:rPr>
          <w:rFonts w:cs="Arial"/>
          <w:noProof/>
          <w:szCs w:val="24"/>
        </w:rPr>
        <w:t>(Ferrari, 2015)</w:t>
      </w:r>
      <w:r>
        <w:rPr>
          <w:rFonts w:cs="Arial"/>
          <w:szCs w:val="24"/>
        </w:rPr>
        <w:fldChar w:fldCharType="end"/>
      </w:r>
      <w:r>
        <w:rPr>
          <w:rFonts w:cs="Arial"/>
          <w:szCs w:val="24"/>
        </w:rPr>
        <w:t xml:space="preserve">. Narrative reviews are said to ‘comprehend the diversity and pluralities of understanding around scholarly research topics and opportunity to reflect and share self-knowledge’ </w:t>
      </w:r>
      <w:r>
        <w:rPr>
          <w:rFonts w:cs="Arial"/>
          <w:szCs w:val="24"/>
        </w:rPr>
        <w:fldChar w:fldCharType="begin"/>
      </w:r>
      <w:r>
        <w:rPr>
          <w:rFonts w:cs="Arial"/>
          <w:szCs w:val="24"/>
        </w:rPr>
        <w:instrText xml:space="preserve"> ADDIN EN.CITE &lt;EndNote&gt;&lt;Cite&gt;&lt;Author&gt;Jones&lt;/Author&gt;&lt;Year&gt;2004&lt;/Year&gt;&lt;IDText&gt;Mission Drift in Qualitative Research, or Moving Toward a Systematic Review of Qualitative Studies, Moving Back to a More Systematic Narrative Review&lt;/IDText&gt;&lt;DisplayText&gt;(Jones, 2004, Collins and Fauser, 2005)&lt;/DisplayText&gt;&lt;record&gt;&lt;titles&gt;&lt;title&gt;Mission Drift in Qualitative Research, or Moving Toward a Systematic Review of Qualitative Studies, Moving Back to a More Systematic Narrative Review&lt;/title&gt;&lt;secondary-title&gt;The Qualitative Report&lt;/secondary-title&gt;&lt;/titles&gt;&lt;pages&gt;95-112&lt;/pages&gt;&lt;contributors&gt;&lt;authors&gt;&lt;author&gt;Jones, K&lt;/author&gt;&lt;/authors&gt;&lt;/contributors&gt;&lt;added-date format="utc"&gt;1533327784&lt;/added-date&gt;&lt;ref-type name="Journal Article"&gt;17&lt;/ref-type&gt;&lt;dates&gt;&lt;year&gt;2004&lt;/year&gt;&lt;/dates&gt;&lt;rec-number&gt;384&lt;/rec-number&gt;&lt;last-updated-date format="utc"&gt;1533327961&lt;/last-updated-date&gt;&lt;volume&gt;9&lt;/volume&gt;&lt;num-vols&gt;1&lt;/num-vols&gt;&lt;/record&gt;&lt;/Cite&gt;&lt;Cite&gt;&lt;Author&gt;Collins&lt;/Author&gt;&lt;Year&gt;2005&lt;/Year&gt;&lt;IDText&gt;Balancing the strengths of systematic and narrative reviews&lt;/IDText&gt;&lt;record&gt;&lt;dates&gt;&lt;pub-dates&gt;&lt;date&gt;2005 Mar-Apr&lt;/date&gt;&lt;/pub-dates&gt;&lt;year&gt;2005&lt;/year&gt;&lt;/dates&gt;&lt;keywords&gt;&lt;keyword&gt;Periodicals as Topic&lt;/keyword&gt;&lt;keyword&gt;Review Literature as Topic&lt;/keyword&gt;&lt;/keywords&gt;&lt;urls&gt;&lt;related-urls&gt;&lt;url&gt;https://www.ncbi.nlm.nih.gov/pubmed/15618290&lt;/url&gt;&lt;/related-urls&gt;&lt;/urls&gt;&lt;isbn&gt;1355-4786&lt;/isbn&gt;&lt;titles&gt;&lt;title&gt;Balancing the strengths of systematic and narrative reviews&lt;/title&gt;&lt;secondary-title&gt;Hum Reprod Update&lt;/secondary-title&gt;&lt;/titles&gt;&lt;pages&gt;103-4&lt;/pages&gt;&lt;number&gt;2&lt;/number&gt;&lt;contributors&gt;&lt;authors&gt;&lt;author&gt;Collins, J. A.&lt;/author&gt;&lt;author&gt;Fauser, B. C.&lt;/author&gt;&lt;/authors&gt;&lt;/contributors&gt;&lt;edition&gt;2004/12/23&lt;/edition&gt;&lt;language&gt;eng&lt;/language&gt;&lt;added-date format="utc"&gt;1533327736&lt;/added-date&gt;&lt;ref-type name="Journal Article"&gt;17&lt;/ref-type&gt;&lt;rec-number&gt;383&lt;/rec-number&gt;&lt;last-updated-date format="utc"&gt;1533327736&lt;/last-updated-date&gt;&lt;accession-num&gt;15618290&lt;/accession-num&gt;&lt;electronic-resource-num&gt;10.1093/humupd/dmh058&lt;/electronic-resource-num&gt;&lt;volume&gt;11&lt;/volume&gt;&lt;/record&gt;&lt;/Cite&gt;&lt;/EndNote&gt;</w:instrText>
      </w:r>
      <w:r>
        <w:rPr>
          <w:rFonts w:cs="Arial"/>
          <w:szCs w:val="24"/>
        </w:rPr>
        <w:fldChar w:fldCharType="separate"/>
      </w:r>
      <w:r>
        <w:rPr>
          <w:rFonts w:cs="Arial"/>
          <w:noProof/>
          <w:szCs w:val="24"/>
        </w:rPr>
        <w:t>(Jones, 2004, Collins and Fauser, 2005)</w:t>
      </w:r>
      <w:r>
        <w:rPr>
          <w:rFonts w:cs="Arial"/>
          <w:szCs w:val="24"/>
        </w:rPr>
        <w:fldChar w:fldCharType="end"/>
      </w:r>
      <w:r>
        <w:rPr>
          <w:rFonts w:cs="Arial"/>
          <w:szCs w:val="24"/>
        </w:rPr>
        <w:t>. This review attempted to allow themes to be explored comprehensively</w:t>
      </w:r>
      <w:r w:rsidR="00F9133C">
        <w:rPr>
          <w:rFonts w:cs="Arial"/>
          <w:szCs w:val="24"/>
        </w:rPr>
        <w:t xml:space="preserve"> and allow reflection</w:t>
      </w:r>
      <w:r>
        <w:rPr>
          <w:rFonts w:cs="Arial"/>
          <w:szCs w:val="24"/>
        </w:rPr>
        <w:t xml:space="preserve">, though was not exhaustive </w:t>
      </w:r>
      <w:r>
        <w:rPr>
          <w:rFonts w:cs="Arial"/>
          <w:szCs w:val="24"/>
        </w:rPr>
        <w:fldChar w:fldCharType="begin"/>
      </w:r>
      <w:r>
        <w:rPr>
          <w:rFonts w:cs="Arial"/>
          <w:szCs w:val="24"/>
        </w:rPr>
        <w:instrText xml:space="preserve"> ADDIN EN.CITE &lt;EndNote&gt;&lt;Cite&gt;&lt;Author&gt;Grant&lt;/Author&gt;&lt;Year&gt;2009&lt;/Year&gt;&lt;IDText&gt;A typology of reviews: an analysis of 14 review types and associated methodologies&lt;/IDText&gt;&lt;DisplayText&gt;(Grant and Booth, 2009)&lt;/DisplayText&gt;&lt;record&gt;&lt;dates&gt;&lt;pub-dates&gt;&lt;date&gt;Jun&lt;/date&gt;&lt;/pub-dates&gt;&lt;year&gt;2009&lt;/year&gt;&lt;/dates&gt;&lt;keywords&gt;&lt;keyword&gt;Evidence-Based Medicine&lt;/keyword&gt;&lt;keyword&gt;Humans&lt;/keyword&gt;&lt;keyword&gt;Information Dissemination&lt;/keyword&gt;&lt;keyword&gt;Publication Bias&lt;/keyword&gt;&lt;keyword&gt;Review Literature as Topic&lt;/keyword&gt;&lt;keyword&gt;Terminology as Topic&lt;/keyword&gt;&lt;keyword&gt;Vocabulary, Controlled&lt;/keyword&gt;&lt;/keywords&gt;&lt;urls&gt;&lt;related-urls&gt;&lt;url&gt;https://www.ncbi.nlm.nih.gov/pubmed/19490148&lt;/url&gt;&lt;/related-urls&gt;&lt;/urls&gt;&lt;isbn&gt;1471-1834&lt;/isbn&gt;&lt;titles&gt;&lt;title&gt;A typology of reviews: an analysis of 14 review types and associated methodologies&lt;/title&gt;&lt;secondary-title&gt;Health Info Libr J&lt;/secondary-title&gt;&lt;/titles&gt;&lt;pages&gt;91-108&lt;/pages&gt;&lt;number&gt;2&lt;/number&gt;&lt;contributors&gt;&lt;authors&gt;&lt;author&gt;Grant, M. J.&lt;/author&gt;&lt;author&gt;Booth, A.&lt;/author&gt;&lt;/authors&gt;&lt;/contributors&gt;&lt;language&gt;eng&lt;/language&gt;&lt;added-date format="utc"&gt;1531994674&lt;/added-date&gt;&lt;ref-type name="Journal Article"&gt;17&lt;/ref-type&gt;&lt;rec-number&gt;379&lt;/rec-number&gt;&lt;last-updated-date format="utc"&gt;1531994674&lt;/last-updated-date&gt;&lt;accession-num&gt;19490148&lt;/accession-num&gt;&lt;electronic-resource-num&gt;10.1111/j.1471-1842.2009.00848.x&lt;/electronic-resource-num&gt;&lt;volume&gt;26&lt;/volume&gt;&lt;/record&gt;&lt;/Cite&gt;&lt;/EndNote&gt;</w:instrText>
      </w:r>
      <w:r>
        <w:rPr>
          <w:rFonts w:cs="Arial"/>
          <w:szCs w:val="24"/>
        </w:rPr>
        <w:fldChar w:fldCharType="separate"/>
      </w:r>
      <w:r>
        <w:rPr>
          <w:rFonts w:cs="Arial"/>
          <w:noProof/>
          <w:szCs w:val="24"/>
        </w:rPr>
        <w:t>(Grant and Booth, 2009)</w:t>
      </w:r>
      <w:r>
        <w:rPr>
          <w:rFonts w:cs="Arial"/>
          <w:szCs w:val="24"/>
        </w:rPr>
        <w:fldChar w:fldCharType="end"/>
      </w:r>
      <w:r>
        <w:rPr>
          <w:rFonts w:cs="Arial"/>
          <w:szCs w:val="24"/>
        </w:rPr>
        <w:t xml:space="preserve">. </w:t>
      </w:r>
      <w:r w:rsidR="005D7A77">
        <w:rPr>
          <w:rFonts w:cs="Arial"/>
          <w:szCs w:val="24"/>
        </w:rPr>
        <w:t xml:space="preserve">As </w:t>
      </w:r>
      <w:r w:rsidR="00E103A7">
        <w:rPr>
          <w:rFonts w:cs="Arial"/>
          <w:szCs w:val="24"/>
        </w:rPr>
        <w:t xml:space="preserve">the </w:t>
      </w:r>
      <w:r w:rsidR="005D7A77">
        <w:rPr>
          <w:rFonts w:cs="Arial"/>
          <w:szCs w:val="24"/>
        </w:rPr>
        <w:t>review of the liter</w:t>
      </w:r>
      <w:r w:rsidR="00F9133C">
        <w:rPr>
          <w:rFonts w:cs="Arial"/>
          <w:szCs w:val="24"/>
        </w:rPr>
        <w:t>a</w:t>
      </w:r>
      <w:r w:rsidR="005D7A77">
        <w:rPr>
          <w:rFonts w:cs="Arial"/>
          <w:szCs w:val="24"/>
        </w:rPr>
        <w:t xml:space="preserve">ture progressed it became evident that a thematic approach was more appropriate </w:t>
      </w:r>
      <w:r w:rsidR="00A64EB8">
        <w:rPr>
          <w:rFonts w:cs="Arial"/>
          <w:szCs w:val="24"/>
        </w:rPr>
        <w:t xml:space="preserve">than a systematic review </w:t>
      </w:r>
      <w:r w:rsidR="005D7A77">
        <w:rPr>
          <w:rFonts w:cs="Arial"/>
          <w:szCs w:val="24"/>
        </w:rPr>
        <w:t xml:space="preserve">in order to explore the wider field to truly highlight gaps in areas for study. </w:t>
      </w:r>
      <w:r w:rsidR="009A2A64">
        <w:rPr>
          <w:rFonts w:cs="Arial"/>
          <w:szCs w:val="24"/>
        </w:rPr>
        <w:t xml:space="preserve">It became apparent that there were </w:t>
      </w:r>
      <w:r w:rsidR="002C794A">
        <w:rPr>
          <w:rFonts w:cs="Arial"/>
          <w:szCs w:val="24"/>
        </w:rPr>
        <w:t xml:space="preserve">gaps in </w:t>
      </w:r>
      <w:r w:rsidR="009A2A64">
        <w:rPr>
          <w:rFonts w:cs="Arial"/>
          <w:szCs w:val="24"/>
        </w:rPr>
        <w:t xml:space="preserve">levels of </w:t>
      </w:r>
      <w:r w:rsidR="00315A18">
        <w:rPr>
          <w:rFonts w:cs="Arial"/>
          <w:szCs w:val="24"/>
        </w:rPr>
        <w:t>understanding</w:t>
      </w:r>
      <w:r w:rsidR="004A4D8C">
        <w:rPr>
          <w:rFonts w:cs="Arial"/>
          <w:szCs w:val="24"/>
        </w:rPr>
        <w:t xml:space="preserve"> </w:t>
      </w:r>
      <w:r w:rsidR="004A4D8C">
        <w:rPr>
          <w:rFonts w:cs="Arial"/>
          <w:szCs w:val="24"/>
        </w:rPr>
        <w:lastRenderedPageBreak/>
        <w:t>related to preparedness and how to enhance it th</w:t>
      </w:r>
      <w:r w:rsidR="005949B3">
        <w:rPr>
          <w:rFonts w:cs="Arial"/>
          <w:szCs w:val="24"/>
        </w:rPr>
        <w:t>r</w:t>
      </w:r>
      <w:r w:rsidR="004A4D8C">
        <w:rPr>
          <w:rFonts w:cs="Arial"/>
          <w:szCs w:val="24"/>
        </w:rPr>
        <w:t>ough education</w:t>
      </w:r>
      <w:r w:rsidR="00315A18">
        <w:rPr>
          <w:rFonts w:cs="Arial"/>
          <w:szCs w:val="24"/>
        </w:rPr>
        <w:t>, which</w:t>
      </w:r>
      <w:r w:rsidR="009A2A64">
        <w:rPr>
          <w:rFonts w:cs="Arial"/>
          <w:szCs w:val="24"/>
        </w:rPr>
        <w:t xml:space="preserve"> led to the foundations of the multistage </w:t>
      </w:r>
      <w:r w:rsidR="005949B3">
        <w:rPr>
          <w:rFonts w:cs="Arial"/>
          <w:szCs w:val="24"/>
        </w:rPr>
        <w:t>design of this</w:t>
      </w:r>
      <w:r w:rsidR="009A2A64">
        <w:rPr>
          <w:rFonts w:cs="Arial"/>
          <w:szCs w:val="24"/>
        </w:rPr>
        <w:t xml:space="preserve"> research. Though both narrative and systematic rev</w:t>
      </w:r>
      <w:r w:rsidR="002C794A">
        <w:rPr>
          <w:rFonts w:cs="Arial"/>
          <w:szCs w:val="24"/>
        </w:rPr>
        <w:t>iews may include a range in terms of</w:t>
      </w:r>
      <w:r w:rsidR="009A2A64">
        <w:rPr>
          <w:rFonts w:cs="Arial"/>
          <w:szCs w:val="24"/>
        </w:rPr>
        <w:t xml:space="preserve"> level of evidence as well as type of study, the systematic review aims to ‘provide a qualitative and </w:t>
      </w:r>
      <w:r w:rsidR="00315A18">
        <w:rPr>
          <w:rFonts w:cs="Arial"/>
          <w:szCs w:val="24"/>
        </w:rPr>
        <w:t>quantitative</w:t>
      </w:r>
      <w:r w:rsidR="009A2A64">
        <w:rPr>
          <w:rFonts w:cs="Arial"/>
          <w:szCs w:val="24"/>
        </w:rPr>
        <w:t xml:space="preserve"> analyses of the relevant data’ </w:t>
      </w:r>
      <w:r w:rsidR="00F9133C">
        <w:rPr>
          <w:rFonts w:cs="Arial"/>
          <w:szCs w:val="24"/>
        </w:rPr>
        <w:fldChar w:fldCharType="begin"/>
      </w:r>
      <w:r w:rsidR="00F9133C">
        <w:rPr>
          <w:rFonts w:cs="Arial"/>
          <w:szCs w:val="24"/>
        </w:rPr>
        <w:instrText xml:space="preserve"> ADDIN EN.CITE &lt;EndNote&gt;&lt;Cite&gt;&lt;Author&gt;Ferrari&lt;/Author&gt;&lt;Year&gt;2015&lt;/Year&gt;&lt;IDText&gt;Writing narrative style literature reviews&lt;/IDText&gt;&lt;DisplayText&gt;(Ferrari, 2015)&lt;/DisplayText&gt;&lt;record&gt;&lt;titles&gt;&lt;title&gt;Writing narrative style literature reviews&lt;/title&gt;&lt;secondary-title&gt;Medical Writing&lt;/secondary-title&gt;&lt;/titles&gt;&lt;pages&gt;230 - 235&lt;/pages&gt;&lt;number&gt;4&lt;/number&gt;&lt;contributors&gt;&lt;authors&gt;&lt;author&gt;Ferrari, Rossella&lt;/author&gt;&lt;/authors&gt;&lt;/contributors&gt;&lt;added-date format="utc"&gt;1533286566&lt;/added-date&gt;&lt;ref-type name="Journal Article"&gt;17&lt;/ref-type&gt;&lt;dates&gt;&lt;year&gt;2015&lt;/year&gt;&lt;/dates&gt;&lt;rec-number&gt;382&lt;/rec-number&gt;&lt;last-updated-date format="utc"&gt;1533287175&lt;/last-updated-date&gt;&lt;volume&gt;24&lt;/volume&gt;&lt;/record&gt;&lt;/Cite&gt;&lt;/EndNote&gt;</w:instrText>
      </w:r>
      <w:r w:rsidR="00F9133C">
        <w:rPr>
          <w:rFonts w:cs="Arial"/>
          <w:szCs w:val="24"/>
        </w:rPr>
        <w:fldChar w:fldCharType="separate"/>
      </w:r>
      <w:r w:rsidR="00F9133C">
        <w:rPr>
          <w:rFonts w:cs="Arial"/>
          <w:noProof/>
          <w:szCs w:val="24"/>
        </w:rPr>
        <w:t>(Ferrari, 2015)</w:t>
      </w:r>
      <w:r w:rsidR="00F9133C">
        <w:rPr>
          <w:rFonts w:cs="Arial"/>
          <w:szCs w:val="24"/>
        </w:rPr>
        <w:fldChar w:fldCharType="end"/>
      </w:r>
      <w:r w:rsidR="009A2A64">
        <w:rPr>
          <w:rFonts w:cs="Arial"/>
          <w:szCs w:val="24"/>
        </w:rPr>
        <w:t>.</w:t>
      </w:r>
      <w:r w:rsidR="002C794A">
        <w:rPr>
          <w:rFonts w:cs="Arial"/>
          <w:szCs w:val="24"/>
        </w:rPr>
        <w:t xml:space="preserve"> </w:t>
      </w:r>
      <w:r w:rsidR="009A2A64">
        <w:rPr>
          <w:rFonts w:cs="Arial"/>
          <w:szCs w:val="24"/>
        </w:rPr>
        <w:t>Owing to the broad themes</w:t>
      </w:r>
      <w:r w:rsidR="002C794A">
        <w:rPr>
          <w:rFonts w:cs="Arial"/>
          <w:szCs w:val="24"/>
        </w:rPr>
        <w:t xml:space="preserve"> related to preparedness descri</w:t>
      </w:r>
      <w:r w:rsidR="009A2A64">
        <w:rPr>
          <w:rFonts w:cs="Arial"/>
          <w:szCs w:val="24"/>
        </w:rPr>
        <w:t>b</w:t>
      </w:r>
      <w:r w:rsidR="002C794A">
        <w:rPr>
          <w:rFonts w:cs="Arial"/>
          <w:szCs w:val="24"/>
        </w:rPr>
        <w:t>e</w:t>
      </w:r>
      <w:r w:rsidR="009A2A64">
        <w:rPr>
          <w:rFonts w:cs="Arial"/>
          <w:szCs w:val="24"/>
        </w:rPr>
        <w:t xml:space="preserve">d below it </w:t>
      </w:r>
      <w:r w:rsidR="002C794A">
        <w:rPr>
          <w:rFonts w:cs="Arial"/>
          <w:szCs w:val="24"/>
        </w:rPr>
        <w:t>was felt not possible to perform a systematic review</w:t>
      </w:r>
      <w:r w:rsidR="009A2A64">
        <w:rPr>
          <w:rFonts w:cs="Arial"/>
          <w:szCs w:val="24"/>
        </w:rPr>
        <w:t xml:space="preserve"> without </w:t>
      </w:r>
      <w:proofErr w:type="spellStart"/>
      <w:r w:rsidR="009A2A64">
        <w:rPr>
          <w:rFonts w:cs="Arial"/>
          <w:szCs w:val="24"/>
        </w:rPr>
        <w:t>loosing</w:t>
      </w:r>
      <w:proofErr w:type="spellEnd"/>
      <w:r w:rsidR="009A2A64">
        <w:rPr>
          <w:rFonts w:cs="Arial"/>
          <w:szCs w:val="24"/>
        </w:rPr>
        <w:t xml:space="preserve"> some of the deeper understanding and qualitative aspects. </w:t>
      </w:r>
      <w:r>
        <w:rPr>
          <w:rFonts w:cs="Arial"/>
          <w:szCs w:val="24"/>
        </w:rPr>
        <w:t>Potential weakness of use of narrative review is that of bias through subjective selection of studies and evaluation biases</w:t>
      </w:r>
      <w:r w:rsidR="002C794A">
        <w:rPr>
          <w:rFonts w:cs="Arial"/>
          <w:szCs w:val="24"/>
        </w:rPr>
        <w:t>. T</w:t>
      </w:r>
      <w:r w:rsidR="005D7A77">
        <w:rPr>
          <w:rFonts w:cs="Arial"/>
          <w:szCs w:val="24"/>
        </w:rPr>
        <w:t>he</w:t>
      </w:r>
      <w:r w:rsidR="002C794A">
        <w:rPr>
          <w:rFonts w:cs="Arial"/>
          <w:szCs w:val="24"/>
        </w:rPr>
        <w:t>re was</w:t>
      </w:r>
      <w:r w:rsidR="005D7A77">
        <w:rPr>
          <w:rFonts w:cs="Arial"/>
          <w:szCs w:val="24"/>
        </w:rPr>
        <w:t xml:space="preserve"> need for the researcher to be centrally placed and embedded in the research </w:t>
      </w:r>
      <w:r w:rsidR="00315A18">
        <w:rPr>
          <w:rFonts w:cs="Arial"/>
          <w:szCs w:val="24"/>
        </w:rPr>
        <w:t>throughout</w:t>
      </w:r>
      <w:r w:rsidR="002C794A">
        <w:rPr>
          <w:rFonts w:cs="Arial"/>
          <w:szCs w:val="24"/>
        </w:rPr>
        <w:t xml:space="preserve"> to support understanding, which </w:t>
      </w:r>
      <w:r w:rsidR="004A4D8C">
        <w:rPr>
          <w:rFonts w:cs="Arial"/>
          <w:szCs w:val="24"/>
        </w:rPr>
        <w:t xml:space="preserve">required an </w:t>
      </w:r>
      <w:r w:rsidR="005D7A77">
        <w:rPr>
          <w:rFonts w:cs="Arial"/>
          <w:szCs w:val="24"/>
        </w:rPr>
        <w:t xml:space="preserve">appreciation of preparedness </w:t>
      </w:r>
      <w:r w:rsidR="002C794A">
        <w:rPr>
          <w:rFonts w:cs="Arial"/>
          <w:szCs w:val="24"/>
        </w:rPr>
        <w:t xml:space="preserve">through </w:t>
      </w:r>
      <w:r w:rsidR="00972825">
        <w:rPr>
          <w:rFonts w:cs="Arial"/>
          <w:szCs w:val="24"/>
        </w:rPr>
        <w:t>review of the</w:t>
      </w:r>
      <w:r w:rsidR="005D7A77">
        <w:rPr>
          <w:rFonts w:cs="Arial"/>
          <w:szCs w:val="24"/>
        </w:rPr>
        <w:t xml:space="preserve"> wide range of studies</w:t>
      </w:r>
      <w:r>
        <w:rPr>
          <w:rFonts w:cs="Arial"/>
          <w:szCs w:val="24"/>
        </w:rPr>
        <w:t xml:space="preserve">. Narrative reviews are </w:t>
      </w:r>
      <w:proofErr w:type="spellStart"/>
      <w:r>
        <w:rPr>
          <w:rFonts w:cs="Arial"/>
          <w:szCs w:val="24"/>
        </w:rPr>
        <w:t>non reproducible</w:t>
      </w:r>
      <w:proofErr w:type="spellEnd"/>
      <w:r>
        <w:rPr>
          <w:rFonts w:cs="Arial"/>
          <w:szCs w:val="24"/>
        </w:rPr>
        <w:t xml:space="preserve"> and there can be lack of awareness of assumptions and pla</w:t>
      </w:r>
      <w:r w:rsidR="002C794A">
        <w:rPr>
          <w:rFonts w:cs="Arial"/>
          <w:szCs w:val="24"/>
        </w:rPr>
        <w:t>nning. Attempts to minimise bias</w:t>
      </w:r>
      <w:r>
        <w:rPr>
          <w:rFonts w:cs="Arial"/>
          <w:szCs w:val="24"/>
        </w:rPr>
        <w:t xml:space="preserve"> were use of inclusion and exclusion criteria (table 2.1) and quality indices recommended by Buckley et al. (2009) as described below. Work from experts known in the field and meta analyses where included to optimise reporting. </w:t>
      </w:r>
    </w:p>
    <w:p w14:paraId="4F55DD0F" w14:textId="40FC1116" w:rsidR="00C50552" w:rsidRDefault="00C50552" w:rsidP="00CA53EB">
      <w:pPr>
        <w:pStyle w:val="Heading2"/>
      </w:pPr>
      <w:bookmarkStart w:id="36" w:name="_Toc343501089"/>
      <w:bookmarkStart w:id="37" w:name="_Toc348686290"/>
      <w:bookmarkStart w:id="38" w:name="_Toc419116092"/>
      <w:r>
        <w:t>Method</w:t>
      </w:r>
      <w:bookmarkEnd w:id="36"/>
      <w:bookmarkEnd w:id="37"/>
      <w:bookmarkEnd w:id="38"/>
    </w:p>
    <w:p w14:paraId="2C0E5A0C" w14:textId="77777777" w:rsidR="00C50552" w:rsidRDefault="00C50552" w:rsidP="00C50552"/>
    <w:p w14:paraId="6DF522FE" w14:textId="5994FB8C" w:rsidR="0081066A" w:rsidRDefault="0081066A" w:rsidP="00C50552">
      <w:pPr>
        <w:rPr>
          <w:rFonts w:cs="Arial"/>
          <w:szCs w:val="24"/>
        </w:rPr>
      </w:pPr>
      <w:r>
        <w:rPr>
          <w:rFonts w:cs="Arial"/>
          <w:szCs w:val="24"/>
        </w:rPr>
        <w:t>The search terms used were ‘medical students’, ‘preparedness</w:t>
      </w:r>
      <w:r w:rsidRPr="00F90504">
        <w:rPr>
          <w:rFonts w:cs="Arial"/>
          <w:szCs w:val="24"/>
        </w:rPr>
        <w:t>’</w:t>
      </w:r>
      <w:r>
        <w:rPr>
          <w:rFonts w:cs="Arial"/>
          <w:szCs w:val="24"/>
        </w:rPr>
        <w:t xml:space="preserve"> and ‘simulation’ in medical education.  </w:t>
      </w:r>
      <w:r w:rsidR="008A61A0">
        <w:rPr>
          <w:rFonts w:cs="Arial"/>
          <w:szCs w:val="24"/>
        </w:rPr>
        <w:t>Although m</w:t>
      </w:r>
      <w:r>
        <w:rPr>
          <w:rFonts w:cs="Arial"/>
          <w:szCs w:val="24"/>
        </w:rPr>
        <w:t>edical subject headings (</w:t>
      </w:r>
      <w:proofErr w:type="spellStart"/>
      <w:r>
        <w:rPr>
          <w:rFonts w:cs="Arial"/>
          <w:szCs w:val="24"/>
        </w:rPr>
        <w:t>MeSH</w:t>
      </w:r>
      <w:proofErr w:type="spellEnd"/>
      <w:r>
        <w:rPr>
          <w:rFonts w:cs="Arial"/>
          <w:szCs w:val="24"/>
        </w:rPr>
        <w:t xml:space="preserve"> terms) were used they are not designed for searchi</w:t>
      </w:r>
      <w:r w:rsidR="008A61A0">
        <w:rPr>
          <w:rFonts w:cs="Arial"/>
          <w:szCs w:val="24"/>
        </w:rPr>
        <w:t>ng medical education articles and a</w:t>
      </w:r>
      <w:r w:rsidR="00753853">
        <w:rPr>
          <w:rFonts w:cs="Arial"/>
          <w:szCs w:val="24"/>
        </w:rPr>
        <w:t>s a result t</w:t>
      </w:r>
      <w:r>
        <w:rPr>
          <w:rFonts w:cs="Arial"/>
          <w:szCs w:val="24"/>
        </w:rPr>
        <w:t xml:space="preserve">hey can lead to a large result of potential literature of low relevance. Inclusion </w:t>
      </w:r>
      <w:r w:rsidR="001D3D5F">
        <w:rPr>
          <w:rFonts w:cs="Arial"/>
          <w:szCs w:val="24"/>
        </w:rPr>
        <w:t>criteria</w:t>
      </w:r>
      <w:r>
        <w:rPr>
          <w:rFonts w:cs="Arial"/>
          <w:szCs w:val="24"/>
        </w:rPr>
        <w:t xml:space="preserve"> were followed as displayed below</w:t>
      </w:r>
      <w:r w:rsidR="00753853">
        <w:rPr>
          <w:rFonts w:cs="Arial"/>
          <w:szCs w:val="24"/>
        </w:rPr>
        <w:t xml:space="preserve"> (Figure 2.1)</w:t>
      </w:r>
      <w:r>
        <w:rPr>
          <w:rFonts w:cs="Arial"/>
          <w:szCs w:val="24"/>
        </w:rPr>
        <w:t>.</w:t>
      </w:r>
      <w:r w:rsidR="00753853">
        <w:rPr>
          <w:rFonts w:cs="Arial"/>
          <w:szCs w:val="24"/>
        </w:rPr>
        <w:t xml:space="preserve"> Initial search </w:t>
      </w:r>
      <w:r w:rsidR="00753853">
        <w:rPr>
          <w:rFonts w:cs="Arial"/>
          <w:szCs w:val="24"/>
        </w:rPr>
        <w:lastRenderedPageBreak/>
        <w:t xml:space="preserve">was conducted </w:t>
      </w:r>
      <w:r w:rsidR="000F7F6B">
        <w:rPr>
          <w:rFonts w:cs="Arial"/>
          <w:szCs w:val="24"/>
        </w:rPr>
        <w:t xml:space="preserve">from 1980 </w:t>
      </w:r>
      <w:r w:rsidR="00753853">
        <w:rPr>
          <w:rFonts w:cs="Arial"/>
          <w:szCs w:val="24"/>
        </w:rPr>
        <w:t>unti</w:t>
      </w:r>
      <w:r w:rsidR="005823F4">
        <w:rPr>
          <w:rFonts w:cs="Arial"/>
          <w:szCs w:val="24"/>
        </w:rPr>
        <w:t xml:space="preserve">l 2013, </w:t>
      </w:r>
      <w:r w:rsidR="009A612C">
        <w:rPr>
          <w:rFonts w:cs="Arial"/>
          <w:szCs w:val="24"/>
        </w:rPr>
        <w:t>and then</w:t>
      </w:r>
      <w:r w:rsidR="005823F4">
        <w:rPr>
          <w:rFonts w:cs="Arial"/>
          <w:szCs w:val="24"/>
        </w:rPr>
        <w:t xml:space="preserve"> was revised in January 2016</w:t>
      </w:r>
      <w:r w:rsidR="00753853">
        <w:rPr>
          <w:rFonts w:cs="Arial"/>
          <w:szCs w:val="24"/>
        </w:rPr>
        <w:t xml:space="preserve"> for updated literature.</w:t>
      </w:r>
      <w:r w:rsidR="000F7F6B">
        <w:rPr>
          <w:rFonts w:cs="Arial"/>
          <w:szCs w:val="24"/>
        </w:rPr>
        <w:t xml:space="preserve"> 1980 was used as a starting point to ensure the period of undergraduate education pre and post tomorrows’ doctors document was included and early use of simulation based practice allowed for.</w:t>
      </w:r>
    </w:p>
    <w:p w14:paraId="160CF93B" w14:textId="77777777" w:rsidR="00753853" w:rsidRDefault="00292644" w:rsidP="00753853">
      <w:pPr>
        <w:keepNext/>
      </w:pPr>
      <w:r>
        <w:rPr>
          <w:rFonts w:cs="Arial"/>
          <w:noProof/>
          <w:szCs w:val="24"/>
          <w:lang w:val="en-US"/>
        </w:rPr>
        <w:drawing>
          <wp:inline distT="0" distB="0" distL="0" distR="0" wp14:anchorId="3F85294A" wp14:editId="40CAFFCC">
            <wp:extent cx="5396230" cy="3147695"/>
            <wp:effectExtent l="0" t="0" r="0" b="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6C215ECC" w14:textId="6AADABDA" w:rsidR="0081066A" w:rsidRDefault="00753853" w:rsidP="007000F8">
      <w:pPr>
        <w:pStyle w:val="Caption"/>
        <w:rPr>
          <w:szCs w:val="24"/>
        </w:rPr>
      </w:pPr>
      <w:bookmarkStart w:id="39" w:name="_Toc419116455"/>
      <w:r>
        <w:t xml:space="preserve">Figure </w:t>
      </w:r>
      <w:r w:rsidR="009A2F08">
        <w:fldChar w:fldCharType="begin"/>
      </w:r>
      <w:r w:rsidR="009A2F08">
        <w:instrText xml:space="preserve"> STYLEREF 1 \s </w:instrText>
      </w:r>
      <w:r w:rsidR="009A2F08">
        <w:fldChar w:fldCharType="separate"/>
      </w:r>
      <w:r w:rsidR="007220A7">
        <w:rPr>
          <w:noProof/>
        </w:rPr>
        <w:t>2</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w:t>
      </w:r>
      <w:r w:rsidR="009A2F08">
        <w:fldChar w:fldCharType="end"/>
      </w:r>
      <w:r w:rsidR="005823F4">
        <w:t xml:space="preserve"> Terms used </w:t>
      </w:r>
      <w:r>
        <w:t>for literature search</w:t>
      </w:r>
      <w:bookmarkEnd w:id="39"/>
    </w:p>
    <w:p w14:paraId="40DB997A" w14:textId="77777777" w:rsidR="005823F4" w:rsidRDefault="005823F4" w:rsidP="00C50552">
      <w:pPr>
        <w:rPr>
          <w:rFonts w:cs="Arial"/>
          <w:szCs w:val="24"/>
        </w:rPr>
      </w:pPr>
    </w:p>
    <w:p w14:paraId="509432AE" w14:textId="55FE87B5" w:rsidR="005823F4" w:rsidRDefault="005823F4" w:rsidP="00C50552">
      <w:pPr>
        <w:rPr>
          <w:rFonts w:cs="Arial"/>
          <w:szCs w:val="24"/>
        </w:rPr>
      </w:pPr>
      <w:r>
        <w:rPr>
          <w:rFonts w:cs="Arial"/>
          <w:szCs w:val="24"/>
        </w:rPr>
        <w:t>Equivalent searches were carried out in 6 d</w:t>
      </w:r>
      <w:r w:rsidR="00C50552">
        <w:rPr>
          <w:rFonts w:cs="Arial"/>
          <w:szCs w:val="24"/>
        </w:rPr>
        <w:t>atabases</w:t>
      </w:r>
      <w:r w:rsidR="007F018C">
        <w:rPr>
          <w:rFonts w:cs="Arial"/>
          <w:szCs w:val="24"/>
        </w:rPr>
        <w:t>:</w:t>
      </w:r>
      <w:r w:rsidR="00C50552">
        <w:rPr>
          <w:rFonts w:cs="Arial"/>
          <w:szCs w:val="24"/>
        </w:rPr>
        <w:t xml:space="preserve"> Web of Science, Scopus, PubMed, Medline</w:t>
      </w:r>
      <w:r>
        <w:rPr>
          <w:rFonts w:cs="Arial"/>
          <w:szCs w:val="24"/>
        </w:rPr>
        <w:t>, Google Scholar</w:t>
      </w:r>
      <w:r w:rsidR="00C50552">
        <w:rPr>
          <w:rFonts w:cs="Arial"/>
          <w:szCs w:val="24"/>
        </w:rPr>
        <w:t xml:space="preserve"> and the</w:t>
      </w:r>
      <w:r w:rsidR="00C50552" w:rsidRPr="00F90504">
        <w:rPr>
          <w:rFonts w:cs="Arial"/>
          <w:szCs w:val="24"/>
        </w:rPr>
        <w:t xml:space="preserve"> Education Resourc</w:t>
      </w:r>
      <w:r>
        <w:rPr>
          <w:rFonts w:cs="Arial"/>
          <w:szCs w:val="24"/>
        </w:rPr>
        <w:t>es I</w:t>
      </w:r>
      <w:r w:rsidR="002A70E3">
        <w:rPr>
          <w:rFonts w:cs="Arial"/>
          <w:szCs w:val="24"/>
        </w:rPr>
        <w:t>nformation Centre (ERIC). Table 2.1</w:t>
      </w:r>
      <w:r w:rsidR="00E36630">
        <w:rPr>
          <w:rFonts w:cs="Arial"/>
          <w:szCs w:val="24"/>
        </w:rPr>
        <w:t xml:space="preserve"> demonstrates the</w:t>
      </w:r>
      <w:r>
        <w:rPr>
          <w:rFonts w:cs="Arial"/>
          <w:szCs w:val="24"/>
        </w:rPr>
        <w:t xml:space="preserve"> inclusion criteria</w:t>
      </w:r>
      <w:r w:rsidR="00C50552">
        <w:rPr>
          <w:rFonts w:cs="Arial"/>
          <w:szCs w:val="24"/>
        </w:rPr>
        <w:t>.</w:t>
      </w:r>
      <w:r w:rsidR="00E36630">
        <w:rPr>
          <w:rFonts w:cs="Arial"/>
          <w:szCs w:val="24"/>
        </w:rPr>
        <w:t xml:space="preserve"> </w:t>
      </w:r>
      <w:r w:rsidR="00693688">
        <w:rPr>
          <w:rFonts w:cs="Arial"/>
          <w:szCs w:val="24"/>
        </w:rPr>
        <w:t xml:space="preserve">Original research studies, reviews, commentaries and letters were reviewed. </w:t>
      </w:r>
      <w:r w:rsidR="00693688" w:rsidRPr="00F90504">
        <w:rPr>
          <w:rFonts w:cs="Arial"/>
          <w:szCs w:val="24"/>
        </w:rPr>
        <w:t xml:space="preserve"> </w:t>
      </w:r>
      <w:r w:rsidR="00360E74">
        <w:rPr>
          <w:rFonts w:cs="Arial"/>
          <w:szCs w:val="24"/>
        </w:rPr>
        <w:t xml:space="preserve">Only studies in </w:t>
      </w:r>
      <w:r w:rsidR="00693688">
        <w:rPr>
          <w:rFonts w:cs="Arial"/>
          <w:szCs w:val="24"/>
        </w:rPr>
        <w:t>English</w:t>
      </w:r>
      <w:r w:rsidR="00360E74">
        <w:rPr>
          <w:rFonts w:cs="Arial"/>
          <w:szCs w:val="24"/>
        </w:rPr>
        <w:t xml:space="preserve"> were </w:t>
      </w:r>
      <w:r w:rsidR="00A63E04">
        <w:rPr>
          <w:rFonts w:cs="Arial"/>
          <w:szCs w:val="24"/>
        </w:rPr>
        <w:t>include</w:t>
      </w:r>
      <w:r w:rsidR="00337A7E">
        <w:rPr>
          <w:rFonts w:cs="Arial"/>
          <w:szCs w:val="24"/>
        </w:rPr>
        <w:t>d</w:t>
      </w:r>
      <w:r w:rsidR="00360E74">
        <w:rPr>
          <w:rFonts w:cs="Arial"/>
          <w:szCs w:val="24"/>
        </w:rPr>
        <w:t xml:space="preserve"> and most studies were UK</w:t>
      </w:r>
      <w:r w:rsidR="007F018C">
        <w:rPr>
          <w:rFonts w:cs="Arial"/>
          <w:szCs w:val="24"/>
        </w:rPr>
        <w:t>-</w:t>
      </w:r>
      <w:r w:rsidR="00360E74">
        <w:rPr>
          <w:rFonts w:cs="Arial"/>
          <w:szCs w:val="24"/>
        </w:rPr>
        <w:t>based</w:t>
      </w:r>
      <w:r w:rsidR="007F018C">
        <w:rPr>
          <w:rFonts w:cs="Arial"/>
          <w:szCs w:val="24"/>
        </w:rPr>
        <w:t>, t</w:t>
      </w:r>
      <w:r w:rsidR="00693688">
        <w:rPr>
          <w:rFonts w:cs="Arial"/>
          <w:szCs w:val="24"/>
        </w:rPr>
        <w:t>h</w:t>
      </w:r>
      <w:r w:rsidR="00360E74">
        <w:rPr>
          <w:rFonts w:cs="Arial"/>
          <w:szCs w:val="24"/>
        </w:rPr>
        <w:t>ough some</w:t>
      </w:r>
      <w:r w:rsidR="00A63E04">
        <w:rPr>
          <w:rFonts w:cs="Arial"/>
          <w:szCs w:val="24"/>
        </w:rPr>
        <w:t xml:space="preserve"> key</w:t>
      </w:r>
      <w:r w:rsidR="00360E74">
        <w:rPr>
          <w:rFonts w:cs="Arial"/>
          <w:szCs w:val="24"/>
        </w:rPr>
        <w:t xml:space="preserve"> </w:t>
      </w:r>
      <w:r w:rsidR="00772548">
        <w:rPr>
          <w:rFonts w:cs="Arial"/>
          <w:szCs w:val="24"/>
        </w:rPr>
        <w:t>E</w:t>
      </w:r>
      <w:r w:rsidR="00360E74">
        <w:rPr>
          <w:rFonts w:cs="Arial"/>
          <w:szCs w:val="24"/>
        </w:rPr>
        <w:t>uropean</w:t>
      </w:r>
      <w:r w:rsidR="00772548">
        <w:rPr>
          <w:rFonts w:cs="Arial"/>
          <w:szCs w:val="24"/>
        </w:rPr>
        <w:t>, Australian</w:t>
      </w:r>
      <w:r w:rsidR="00360E74">
        <w:rPr>
          <w:rFonts w:cs="Arial"/>
          <w:szCs w:val="24"/>
        </w:rPr>
        <w:t xml:space="preserve"> and American studies were included to explore the wider </w:t>
      </w:r>
      <w:r w:rsidR="002A70E3">
        <w:rPr>
          <w:rFonts w:cs="Arial"/>
          <w:szCs w:val="24"/>
        </w:rPr>
        <w:t xml:space="preserve">global </w:t>
      </w:r>
      <w:r w:rsidR="00360E74">
        <w:rPr>
          <w:rFonts w:cs="Arial"/>
          <w:szCs w:val="24"/>
        </w:rPr>
        <w:t xml:space="preserve">perspective. </w:t>
      </w:r>
      <w:r w:rsidR="00C50552" w:rsidRPr="00F90504">
        <w:rPr>
          <w:rFonts w:cs="Arial"/>
          <w:szCs w:val="24"/>
        </w:rPr>
        <w:t>The reference lists and in</w:t>
      </w:r>
      <w:r w:rsidR="00C50552">
        <w:rPr>
          <w:rFonts w:cs="Arial"/>
          <w:szCs w:val="24"/>
        </w:rPr>
        <w:t xml:space="preserve">dexed citations of </w:t>
      </w:r>
      <w:r w:rsidR="00C50552" w:rsidRPr="00F90504">
        <w:rPr>
          <w:rFonts w:cs="Arial"/>
          <w:szCs w:val="24"/>
        </w:rPr>
        <w:t>studies were checked for further relevant studies</w:t>
      </w:r>
      <w:r w:rsidR="002A70E3">
        <w:rPr>
          <w:rFonts w:cs="Arial"/>
          <w:szCs w:val="24"/>
        </w:rPr>
        <w:t xml:space="preserve"> in case not picked up on electronic </w:t>
      </w:r>
      <w:r w:rsidR="002A70E3">
        <w:rPr>
          <w:rFonts w:cs="Arial"/>
          <w:szCs w:val="24"/>
        </w:rPr>
        <w:lastRenderedPageBreak/>
        <w:t>searches</w:t>
      </w:r>
      <w:r w:rsidR="00C50552">
        <w:rPr>
          <w:rFonts w:cs="Arial"/>
          <w:szCs w:val="24"/>
        </w:rPr>
        <w:t xml:space="preserve">. </w:t>
      </w:r>
      <w:r w:rsidR="00C50552" w:rsidRPr="00F90504">
        <w:rPr>
          <w:rFonts w:cs="Arial"/>
          <w:szCs w:val="24"/>
        </w:rPr>
        <w:t>Abstracts of ident</w:t>
      </w:r>
      <w:r w:rsidR="00C50552">
        <w:rPr>
          <w:rFonts w:cs="Arial"/>
          <w:szCs w:val="24"/>
        </w:rPr>
        <w:t xml:space="preserve">ified studies were </w:t>
      </w:r>
      <w:r w:rsidR="005949B3">
        <w:rPr>
          <w:rFonts w:cs="Arial"/>
          <w:szCs w:val="24"/>
        </w:rPr>
        <w:t>screened</w:t>
      </w:r>
      <w:r w:rsidR="00C50552">
        <w:rPr>
          <w:rFonts w:cs="Arial"/>
          <w:szCs w:val="24"/>
        </w:rPr>
        <w:t>.</w:t>
      </w:r>
      <w:r w:rsidR="002A70E3">
        <w:rPr>
          <w:rFonts w:cs="Arial"/>
          <w:szCs w:val="24"/>
        </w:rPr>
        <w:t xml:space="preserve"> Initial searches surrounding pr</w:t>
      </w:r>
      <w:r w:rsidR="000D591F">
        <w:rPr>
          <w:rFonts w:cs="Arial"/>
          <w:szCs w:val="24"/>
        </w:rPr>
        <w:t xml:space="preserve">eparedness revealed 775 </w:t>
      </w:r>
      <w:r w:rsidR="001D3D5F">
        <w:rPr>
          <w:rFonts w:cs="Arial"/>
          <w:szCs w:val="24"/>
        </w:rPr>
        <w:t>articles, which</w:t>
      </w:r>
      <w:r w:rsidR="000D591F">
        <w:rPr>
          <w:rFonts w:cs="Arial"/>
          <w:szCs w:val="24"/>
        </w:rPr>
        <w:t xml:space="preserve"> were reduced to 42 when inclusion criteria applied. Simulation based medical education and the undergraduate curriculum </w:t>
      </w:r>
      <w:r w:rsidR="001D3D5F">
        <w:rPr>
          <w:rFonts w:cs="Arial"/>
          <w:szCs w:val="24"/>
        </w:rPr>
        <w:t>revealed</w:t>
      </w:r>
      <w:r w:rsidR="000D591F">
        <w:rPr>
          <w:rFonts w:cs="Arial"/>
          <w:szCs w:val="24"/>
        </w:rPr>
        <w:t xml:space="preserve"> 3,160 articles reduced to 41 when inclusion criteria applied. </w:t>
      </w:r>
      <w:r w:rsidR="005949B3">
        <w:rPr>
          <w:rFonts w:cs="Arial"/>
          <w:szCs w:val="24"/>
        </w:rPr>
        <w:t>Full texts were reviewed.</w:t>
      </w:r>
    </w:p>
    <w:p w14:paraId="18226F9A" w14:textId="4C5D40B1" w:rsidR="002A70E3" w:rsidRDefault="002A70E3" w:rsidP="007000F8">
      <w:pPr>
        <w:pStyle w:val="Caption"/>
      </w:pPr>
      <w:bookmarkStart w:id="40" w:name="_Toc419116500"/>
      <w:r>
        <w:t xml:space="preserve">Table </w:t>
      </w:r>
      <w:r w:rsidR="007000F8">
        <w:fldChar w:fldCharType="begin"/>
      </w:r>
      <w:r w:rsidR="007000F8">
        <w:instrText xml:space="preserve"> STYLEREF 1 \s </w:instrText>
      </w:r>
      <w:r w:rsidR="007000F8">
        <w:fldChar w:fldCharType="separate"/>
      </w:r>
      <w:r w:rsidR="007000F8">
        <w:rPr>
          <w:noProof/>
        </w:rPr>
        <w:t>2</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1</w:t>
      </w:r>
      <w:r w:rsidR="007000F8">
        <w:fldChar w:fldCharType="end"/>
      </w:r>
      <w:r>
        <w:t xml:space="preserve"> Inclusion criteria for articles</w:t>
      </w:r>
      <w:bookmarkEnd w:id="40"/>
    </w:p>
    <w:tbl>
      <w:tblPr>
        <w:tblStyle w:val="TableGrid"/>
        <w:tblW w:w="8762" w:type="dxa"/>
        <w:tblLook w:val="04A0" w:firstRow="1" w:lastRow="0" w:firstColumn="1" w:lastColumn="0" w:noHBand="0" w:noVBand="1"/>
      </w:tblPr>
      <w:tblGrid>
        <w:gridCol w:w="4381"/>
        <w:gridCol w:w="4381"/>
      </w:tblGrid>
      <w:tr w:rsidR="00914388" w14:paraId="1E7F6AC7" w14:textId="77777777" w:rsidTr="002A70E3">
        <w:trPr>
          <w:trHeight w:val="1083"/>
        </w:trPr>
        <w:tc>
          <w:tcPr>
            <w:tcW w:w="4381" w:type="dxa"/>
          </w:tcPr>
          <w:p w14:paraId="1466FAA6" w14:textId="082998D0" w:rsidR="00914388" w:rsidRPr="00914388" w:rsidRDefault="00914388" w:rsidP="00914388">
            <w:pPr>
              <w:jc w:val="center"/>
              <w:rPr>
                <w:rFonts w:cs="Arial"/>
                <w:sz w:val="28"/>
                <w:szCs w:val="28"/>
                <w:u w:val="single"/>
              </w:rPr>
            </w:pPr>
            <w:r w:rsidRPr="00914388">
              <w:rPr>
                <w:rFonts w:cs="Arial"/>
                <w:sz w:val="28"/>
                <w:szCs w:val="28"/>
                <w:u w:val="single"/>
              </w:rPr>
              <w:t xml:space="preserve">Included if </w:t>
            </w:r>
            <w:r w:rsidR="001D3D5F" w:rsidRPr="00914388">
              <w:rPr>
                <w:rFonts w:cs="Arial"/>
                <w:sz w:val="28"/>
                <w:szCs w:val="28"/>
                <w:u w:val="single"/>
              </w:rPr>
              <w:t>fulfilled</w:t>
            </w:r>
          </w:p>
        </w:tc>
        <w:tc>
          <w:tcPr>
            <w:tcW w:w="4381" w:type="dxa"/>
          </w:tcPr>
          <w:p w14:paraId="4DAA6F5F" w14:textId="2E833E63" w:rsidR="00914388" w:rsidRPr="00914388" w:rsidRDefault="00914388" w:rsidP="00914388">
            <w:pPr>
              <w:jc w:val="center"/>
              <w:rPr>
                <w:rFonts w:cs="Arial"/>
                <w:sz w:val="28"/>
                <w:szCs w:val="28"/>
                <w:u w:val="single"/>
              </w:rPr>
            </w:pPr>
            <w:r w:rsidRPr="00914388">
              <w:rPr>
                <w:rFonts w:cs="Arial"/>
                <w:sz w:val="28"/>
                <w:szCs w:val="28"/>
                <w:u w:val="single"/>
              </w:rPr>
              <w:t>Justification</w:t>
            </w:r>
          </w:p>
        </w:tc>
      </w:tr>
      <w:tr w:rsidR="00914388" w14:paraId="44D08E36" w14:textId="77777777" w:rsidTr="002A70E3">
        <w:trPr>
          <w:trHeight w:val="2085"/>
        </w:trPr>
        <w:tc>
          <w:tcPr>
            <w:tcW w:w="4381" w:type="dxa"/>
          </w:tcPr>
          <w:p w14:paraId="193010EA" w14:textId="7BFD2312" w:rsidR="00914388" w:rsidRDefault="00914388" w:rsidP="00C50552">
            <w:pPr>
              <w:rPr>
                <w:rFonts w:cs="Arial"/>
                <w:szCs w:val="24"/>
              </w:rPr>
            </w:pPr>
            <w:r>
              <w:rPr>
                <w:rFonts w:cs="Arial"/>
                <w:szCs w:val="24"/>
              </w:rPr>
              <w:t>1. Article contains information on preparedness in the undergraduate curriculum for FY1</w:t>
            </w:r>
          </w:p>
        </w:tc>
        <w:tc>
          <w:tcPr>
            <w:tcW w:w="4381" w:type="dxa"/>
          </w:tcPr>
          <w:p w14:paraId="64059275" w14:textId="393751D7" w:rsidR="00914388" w:rsidRDefault="00914388" w:rsidP="00C50552">
            <w:pPr>
              <w:rPr>
                <w:rFonts w:cs="Arial"/>
                <w:szCs w:val="24"/>
              </w:rPr>
            </w:pPr>
            <w:r>
              <w:rPr>
                <w:rFonts w:cs="Arial"/>
                <w:szCs w:val="24"/>
              </w:rPr>
              <w:t>Preparedness in this group is the focus and where challenges lie</w:t>
            </w:r>
          </w:p>
        </w:tc>
      </w:tr>
      <w:tr w:rsidR="00914388" w14:paraId="4229B4F8" w14:textId="77777777" w:rsidTr="002A70E3">
        <w:trPr>
          <w:trHeight w:val="2105"/>
        </w:trPr>
        <w:tc>
          <w:tcPr>
            <w:tcW w:w="4381" w:type="dxa"/>
          </w:tcPr>
          <w:p w14:paraId="0FEC8330" w14:textId="1A4B78F4" w:rsidR="00914388" w:rsidRDefault="00914388" w:rsidP="00C50552">
            <w:pPr>
              <w:rPr>
                <w:rFonts w:cs="Arial"/>
                <w:szCs w:val="24"/>
              </w:rPr>
            </w:pPr>
            <w:r>
              <w:rPr>
                <w:rFonts w:cs="Arial"/>
                <w:szCs w:val="24"/>
              </w:rPr>
              <w:t>2. Article is related to transition from undergraduate medical student to junior doctor</w:t>
            </w:r>
          </w:p>
        </w:tc>
        <w:tc>
          <w:tcPr>
            <w:tcW w:w="4381" w:type="dxa"/>
          </w:tcPr>
          <w:p w14:paraId="7F718C8B" w14:textId="04F2958C" w:rsidR="00914388" w:rsidRDefault="00914388" w:rsidP="00C50552">
            <w:pPr>
              <w:rPr>
                <w:rFonts w:cs="Arial"/>
                <w:szCs w:val="24"/>
              </w:rPr>
            </w:pPr>
            <w:r>
              <w:rPr>
                <w:rFonts w:cs="Arial"/>
                <w:szCs w:val="24"/>
              </w:rPr>
              <w:t xml:space="preserve">Excludes transitions of different levels of doctor and in different fields to focus </w:t>
            </w:r>
            <w:r w:rsidR="001D3D5F">
              <w:rPr>
                <w:rFonts w:cs="Arial"/>
                <w:szCs w:val="24"/>
              </w:rPr>
              <w:t>attention</w:t>
            </w:r>
            <w:r>
              <w:rPr>
                <w:rFonts w:cs="Arial"/>
                <w:szCs w:val="24"/>
              </w:rPr>
              <w:t xml:space="preserve"> on this area</w:t>
            </w:r>
          </w:p>
        </w:tc>
      </w:tr>
      <w:tr w:rsidR="00914388" w14:paraId="769062A7" w14:textId="77777777" w:rsidTr="002A70E3">
        <w:trPr>
          <w:trHeight w:val="2647"/>
        </w:trPr>
        <w:tc>
          <w:tcPr>
            <w:tcW w:w="4381" w:type="dxa"/>
          </w:tcPr>
          <w:p w14:paraId="55106D54" w14:textId="41014A87" w:rsidR="00914388" w:rsidRDefault="00914388" w:rsidP="00C50552">
            <w:pPr>
              <w:rPr>
                <w:rFonts w:cs="Arial"/>
                <w:szCs w:val="24"/>
              </w:rPr>
            </w:pPr>
            <w:r>
              <w:rPr>
                <w:rFonts w:cs="Arial"/>
                <w:szCs w:val="24"/>
              </w:rPr>
              <w:t>3. Article is primary research OR evaluation of educational intervention OR review OR commentary</w:t>
            </w:r>
          </w:p>
        </w:tc>
        <w:tc>
          <w:tcPr>
            <w:tcW w:w="4381" w:type="dxa"/>
          </w:tcPr>
          <w:p w14:paraId="723F042F" w14:textId="44D834CE" w:rsidR="00914388" w:rsidRDefault="00914388" w:rsidP="00C50552">
            <w:pPr>
              <w:rPr>
                <w:rFonts w:cs="Arial"/>
                <w:szCs w:val="24"/>
              </w:rPr>
            </w:pPr>
            <w:r>
              <w:rPr>
                <w:rFonts w:cs="Arial"/>
                <w:szCs w:val="24"/>
              </w:rPr>
              <w:t xml:space="preserve">Important to see broad range of </w:t>
            </w:r>
            <w:r w:rsidR="001D3D5F">
              <w:rPr>
                <w:rFonts w:cs="Arial"/>
                <w:szCs w:val="24"/>
              </w:rPr>
              <w:t>perspectives</w:t>
            </w:r>
            <w:r>
              <w:rPr>
                <w:rFonts w:cs="Arial"/>
                <w:szCs w:val="24"/>
              </w:rPr>
              <w:t xml:space="preserve"> particularly as subject is complex and have employed mixed methods approach</w:t>
            </w:r>
          </w:p>
        </w:tc>
      </w:tr>
      <w:tr w:rsidR="00914388" w14:paraId="485DCC4B" w14:textId="77777777" w:rsidTr="002A70E3">
        <w:trPr>
          <w:trHeight w:val="3208"/>
        </w:trPr>
        <w:tc>
          <w:tcPr>
            <w:tcW w:w="4381" w:type="dxa"/>
          </w:tcPr>
          <w:p w14:paraId="1C2589F2" w14:textId="146DFB27" w:rsidR="00914388" w:rsidRDefault="00914388" w:rsidP="00C50552">
            <w:pPr>
              <w:rPr>
                <w:rFonts w:cs="Arial"/>
                <w:szCs w:val="24"/>
              </w:rPr>
            </w:pPr>
            <w:r>
              <w:rPr>
                <w:rFonts w:cs="Arial"/>
                <w:szCs w:val="24"/>
              </w:rPr>
              <w:lastRenderedPageBreak/>
              <w:t>4. Work is from predominantly UK medical schools</w:t>
            </w:r>
          </w:p>
        </w:tc>
        <w:tc>
          <w:tcPr>
            <w:tcW w:w="4381" w:type="dxa"/>
          </w:tcPr>
          <w:p w14:paraId="6729C455" w14:textId="17167315" w:rsidR="00914388" w:rsidRDefault="00914388" w:rsidP="00EE60DD">
            <w:pPr>
              <w:rPr>
                <w:rFonts w:cs="Arial"/>
                <w:szCs w:val="24"/>
              </w:rPr>
            </w:pPr>
            <w:r>
              <w:rPr>
                <w:rFonts w:cs="Arial"/>
                <w:szCs w:val="24"/>
              </w:rPr>
              <w:t xml:space="preserve">Focus is on preparedness in UK undergraduates, other countries have different curricula, however wider perspective was </w:t>
            </w:r>
            <w:r w:rsidR="00EE60DD">
              <w:rPr>
                <w:rFonts w:cs="Arial"/>
                <w:szCs w:val="24"/>
              </w:rPr>
              <w:t xml:space="preserve">briefly </w:t>
            </w:r>
            <w:r>
              <w:rPr>
                <w:rFonts w:cs="Arial"/>
                <w:szCs w:val="24"/>
              </w:rPr>
              <w:t xml:space="preserve">explored </w:t>
            </w:r>
            <w:r w:rsidR="00EE60DD">
              <w:rPr>
                <w:rFonts w:cs="Arial"/>
                <w:szCs w:val="24"/>
              </w:rPr>
              <w:t>as a comparison</w:t>
            </w:r>
          </w:p>
        </w:tc>
      </w:tr>
      <w:tr w:rsidR="00914388" w14:paraId="014C8575" w14:textId="77777777" w:rsidTr="002A70E3">
        <w:trPr>
          <w:trHeight w:val="2105"/>
        </w:trPr>
        <w:tc>
          <w:tcPr>
            <w:tcW w:w="4381" w:type="dxa"/>
          </w:tcPr>
          <w:p w14:paraId="517323CD" w14:textId="4C0B6C69" w:rsidR="00914388" w:rsidRDefault="00914388" w:rsidP="00C50552">
            <w:pPr>
              <w:rPr>
                <w:rFonts w:cs="Arial"/>
                <w:szCs w:val="24"/>
              </w:rPr>
            </w:pPr>
            <w:r>
              <w:rPr>
                <w:rFonts w:cs="Arial"/>
                <w:szCs w:val="24"/>
              </w:rPr>
              <w:t xml:space="preserve">5. Qualitative and </w:t>
            </w:r>
            <w:r w:rsidR="001D3D5F">
              <w:rPr>
                <w:rFonts w:cs="Arial"/>
                <w:szCs w:val="24"/>
              </w:rPr>
              <w:t>quantitative</w:t>
            </w:r>
            <w:r>
              <w:rPr>
                <w:rFonts w:cs="Arial"/>
                <w:szCs w:val="24"/>
              </w:rPr>
              <w:t xml:space="preserve"> studies are included</w:t>
            </w:r>
            <w:r w:rsidR="00EE60DD">
              <w:rPr>
                <w:rFonts w:cs="Arial"/>
                <w:szCs w:val="24"/>
              </w:rPr>
              <w:t>, reviews, commentaries, meta analyses</w:t>
            </w:r>
          </w:p>
        </w:tc>
        <w:tc>
          <w:tcPr>
            <w:tcW w:w="4381" w:type="dxa"/>
          </w:tcPr>
          <w:p w14:paraId="49313F0C" w14:textId="03796B98" w:rsidR="00914388" w:rsidRDefault="00914388" w:rsidP="00C50552">
            <w:pPr>
              <w:rPr>
                <w:rFonts w:cs="Arial"/>
                <w:szCs w:val="24"/>
              </w:rPr>
            </w:pPr>
            <w:r>
              <w:rPr>
                <w:rFonts w:cs="Arial"/>
                <w:szCs w:val="24"/>
              </w:rPr>
              <w:t>To help gain a better understanding of gaps in the literature and areas to explore further and address</w:t>
            </w:r>
          </w:p>
        </w:tc>
      </w:tr>
    </w:tbl>
    <w:p w14:paraId="3D1E82F1" w14:textId="77777777" w:rsidR="005823F4" w:rsidRDefault="005823F4" w:rsidP="00C50552">
      <w:pPr>
        <w:rPr>
          <w:rFonts w:cs="Arial"/>
          <w:szCs w:val="24"/>
        </w:rPr>
      </w:pPr>
    </w:p>
    <w:p w14:paraId="250A55BB" w14:textId="7474E5FB" w:rsidR="00855BA8" w:rsidRDefault="00855BA8" w:rsidP="00C50552">
      <w:pPr>
        <w:rPr>
          <w:rFonts w:cs="Arial"/>
          <w:szCs w:val="24"/>
        </w:rPr>
      </w:pPr>
      <w:r>
        <w:rPr>
          <w:rFonts w:cs="Arial"/>
          <w:szCs w:val="24"/>
        </w:rPr>
        <w:t>Assessment included noting location of study, number of participants and level in training, method of data collection, tool to measure preparedness, details of methods to enhance preparedness and use of simulation to enhance preparedness.</w:t>
      </w:r>
    </w:p>
    <w:p w14:paraId="2E7589A4" w14:textId="12668743" w:rsidR="009A612C" w:rsidRDefault="00855BA8" w:rsidP="00C50552">
      <w:pPr>
        <w:rPr>
          <w:rFonts w:cs="Arial"/>
          <w:szCs w:val="24"/>
        </w:rPr>
      </w:pPr>
      <w:r>
        <w:rPr>
          <w:rFonts w:cs="Arial"/>
          <w:szCs w:val="24"/>
        </w:rPr>
        <w:t xml:space="preserve">The literature was reviewed and critiqued in line with quality </w:t>
      </w:r>
      <w:r w:rsidR="001D3D5F">
        <w:rPr>
          <w:rFonts w:cs="Arial"/>
          <w:szCs w:val="24"/>
        </w:rPr>
        <w:t>indices</w:t>
      </w:r>
      <w:r>
        <w:rPr>
          <w:rFonts w:cs="Arial"/>
          <w:szCs w:val="24"/>
        </w:rPr>
        <w:t xml:space="preserve"> </w:t>
      </w:r>
      <w:r w:rsidR="001D3D5F">
        <w:rPr>
          <w:rFonts w:cs="Arial"/>
          <w:szCs w:val="24"/>
        </w:rPr>
        <w:t>recommended</w:t>
      </w:r>
      <w:r>
        <w:rPr>
          <w:rFonts w:cs="Arial"/>
          <w:szCs w:val="24"/>
        </w:rPr>
        <w:t xml:space="preserve"> by Buckley et al. (2009)</w:t>
      </w:r>
      <w:r w:rsidR="00C80D89">
        <w:rPr>
          <w:rFonts w:cs="Arial"/>
          <w:szCs w:val="24"/>
        </w:rPr>
        <w:t xml:space="preserve"> and are presented as a narrative review below. Quality </w:t>
      </w:r>
      <w:r w:rsidR="001D3D5F">
        <w:rPr>
          <w:rFonts w:cs="Arial"/>
          <w:szCs w:val="24"/>
        </w:rPr>
        <w:t>indices</w:t>
      </w:r>
      <w:r>
        <w:rPr>
          <w:rFonts w:cs="Arial"/>
          <w:szCs w:val="24"/>
        </w:rPr>
        <w:t xml:space="preserve"> included clarity of research question, appropriate number in study and selection, use of valid data collection methods, consideration of control of confounding variables, methods of data analysis</w:t>
      </w:r>
      <w:r w:rsidR="00C80D89">
        <w:rPr>
          <w:rFonts w:cs="Arial"/>
          <w:szCs w:val="24"/>
        </w:rPr>
        <w:t>, whethe</w:t>
      </w:r>
      <w:r>
        <w:rPr>
          <w:rFonts w:cs="Arial"/>
          <w:szCs w:val="24"/>
        </w:rPr>
        <w:t xml:space="preserve">r data supports the conclusions and whether ethical issues were addressed </w:t>
      </w:r>
      <w:r>
        <w:rPr>
          <w:rFonts w:cs="Arial"/>
          <w:szCs w:val="24"/>
        </w:rPr>
        <w:fldChar w:fldCharType="begin"/>
      </w:r>
      <w:r>
        <w:rPr>
          <w:rFonts w:cs="Arial"/>
          <w:szCs w:val="24"/>
        </w:rPr>
        <w:instrText xml:space="preserve"> ADDIN EN.CITE &lt;EndNote&gt;&lt;Cite&gt;&lt;Author&gt;Buckley&lt;/Author&gt;&lt;Year&gt;2009&lt;/Year&gt;&lt;IDText&gt;The educational effects of portfolios on undergraduate student learning: a Best Evidence Medical Education (BEME) systematic review. BEME Guide No. 11&lt;/IDText&gt;&lt;DisplayText&gt;(Buckley et al., 2009)&lt;/DisplayText&gt;&lt;record&gt;&lt;dates&gt;&lt;pub-dates&gt;&lt;date&gt;Apr&lt;/date&gt;&lt;/pub-dates&gt;&lt;year&gt;2009&lt;/year&gt;&lt;/dates&gt;&lt;keywords&gt;&lt;keyword&gt;Clinical Competence&lt;/keyword&gt;&lt;keyword&gt;Documentation&lt;/keyword&gt;&lt;keyword&gt;Education, Medical, Undergraduate&lt;/keyword&gt;&lt;keyword&gt;Evidence-Based Medicine&lt;/keyword&gt;&lt;keyword&gt;Humans&lt;/keyword&gt;&lt;keyword&gt;Learning&lt;/keyword&gt;&lt;/keywords&gt;&lt;urls&gt;&lt;related-urls&gt;&lt;url&gt;https://www.ncbi.nlm.nih.gov/pubmed/19404891&lt;/url&gt;&lt;/related-urls&gt;&lt;/urls&gt;&lt;isbn&gt;1466-187X&lt;/isbn&gt;&lt;titles&gt;&lt;title&gt;The educational effects of portfolios on undergraduate student learning: a Best Evidence Medical Education (BEME) systematic review. BEME Guide No. 11&lt;/title&gt;&lt;secondary-title&gt;Med Teach&lt;/secondary-title&gt;&lt;/titles&gt;&lt;pages&gt;282-98&lt;/pages&gt;&lt;number&gt;4&lt;/number&gt;&lt;contributors&gt;&lt;authors&gt;&lt;author&gt;Buckley, S.&lt;/author&gt;&lt;author&gt;Coleman, J.&lt;/author&gt;&lt;author&gt;Davison, I.&lt;/author&gt;&lt;author&gt;Khan, K. S.&lt;/author&gt;&lt;author&gt;Zamora, J.&lt;/author&gt;&lt;author&gt;Malick, S.&lt;/author&gt;&lt;author&gt;Morley, D.&lt;/author&gt;&lt;author&gt;Pollard, D.&lt;/author&gt;&lt;author&gt;Ashcroft, T.&lt;/author&gt;&lt;author&gt;Popovic, C.&lt;/author&gt;&lt;author&gt;Sayers, J.&lt;/author&gt;&lt;/authors&gt;&lt;/contributors&gt;&lt;language&gt;eng&lt;/language&gt;&lt;added-date format="utc"&gt;1531994760&lt;/added-date&gt;&lt;ref-type name="Journal Article"&gt;17&lt;/ref-type&gt;&lt;rec-number&gt;380&lt;/rec-number&gt;&lt;last-updated-date format="utc"&gt;1531994760&lt;/last-updated-date&gt;&lt;accession-num&gt;19404891&lt;/accession-num&gt;&lt;electronic-resource-num&gt;10.1080/01421590902889897&lt;/electronic-resource-num&gt;&lt;volume&gt;31&lt;/volume&gt;&lt;/record&gt;&lt;/Cite&gt;&lt;/EndNote&gt;</w:instrText>
      </w:r>
      <w:r>
        <w:rPr>
          <w:rFonts w:cs="Arial"/>
          <w:szCs w:val="24"/>
        </w:rPr>
        <w:fldChar w:fldCharType="separate"/>
      </w:r>
      <w:r>
        <w:rPr>
          <w:rFonts w:cs="Arial"/>
          <w:noProof/>
          <w:szCs w:val="24"/>
        </w:rPr>
        <w:t>(Buckley et al., 2009)</w:t>
      </w:r>
      <w:r>
        <w:rPr>
          <w:rFonts w:cs="Arial"/>
          <w:szCs w:val="24"/>
        </w:rPr>
        <w:fldChar w:fldCharType="end"/>
      </w:r>
      <w:r>
        <w:rPr>
          <w:rFonts w:cs="Arial"/>
          <w:szCs w:val="24"/>
        </w:rPr>
        <w:t xml:space="preserve">. </w:t>
      </w:r>
      <w:r w:rsidR="00A63E04">
        <w:rPr>
          <w:rFonts w:cs="Arial"/>
          <w:szCs w:val="24"/>
        </w:rPr>
        <w:t>T</w:t>
      </w:r>
      <w:r w:rsidR="00515262">
        <w:rPr>
          <w:rFonts w:cs="Arial"/>
          <w:szCs w:val="24"/>
        </w:rPr>
        <w:t>he li</w:t>
      </w:r>
      <w:r w:rsidR="005949B3">
        <w:rPr>
          <w:rFonts w:cs="Arial"/>
          <w:szCs w:val="24"/>
        </w:rPr>
        <w:t>terature review has been organised</w:t>
      </w:r>
      <w:r w:rsidR="00515262">
        <w:rPr>
          <w:rFonts w:cs="Arial"/>
          <w:szCs w:val="24"/>
        </w:rPr>
        <w:t xml:space="preserve"> into </w:t>
      </w:r>
      <w:r w:rsidR="00C80D89">
        <w:rPr>
          <w:rFonts w:cs="Arial"/>
          <w:szCs w:val="24"/>
        </w:rPr>
        <w:t xml:space="preserve">four </w:t>
      </w:r>
      <w:r w:rsidR="003F1CFD">
        <w:rPr>
          <w:rFonts w:cs="Arial"/>
          <w:szCs w:val="24"/>
        </w:rPr>
        <w:t xml:space="preserve">emergent </w:t>
      </w:r>
      <w:r w:rsidR="00C80D89">
        <w:rPr>
          <w:rFonts w:cs="Arial"/>
          <w:szCs w:val="24"/>
        </w:rPr>
        <w:t>themes to allow comparison of the literature</w:t>
      </w:r>
      <w:r w:rsidR="002A70E3">
        <w:rPr>
          <w:rFonts w:cs="Arial"/>
          <w:szCs w:val="24"/>
        </w:rPr>
        <w:t>, presentation of key studies</w:t>
      </w:r>
      <w:r w:rsidR="00C80D89">
        <w:rPr>
          <w:rFonts w:cs="Arial"/>
          <w:szCs w:val="24"/>
        </w:rPr>
        <w:t xml:space="preserve"> and emph</w:t>
      </w:r>
      <w:r w:rsidR="003F1CFD">
        <w:rPr>
          <w:rFonts w:cs="Arial"/>
          <w:szCs w:val="24"/>
        </w:rPr>
        <w:t xml:space="preserve">asis of gaps in each area. The themes include </w:t>
      </w:r>
      <w:r w:rsidR="00515262">
        <w:rPr>
          <w:rFonts w:cs="Arial"/>
          <w:szCs w:val="24"/>
        </w:rPr>
        <w:t xml:space="preserve">preparedness for practice, </w:t>
      </w:r>
      <w:r w:rsidR="00515262">
        <w:rPr>
          <w:rFonts w:cs="Arial"/>
          <w:szCs w:val="24"/>
        </w:rPr>
        <w:lastRenderedPageBreak/>
        <w:t>the undergraduate curriculum, simulation</w:t>
      </w:r>
      <w:r w:rsidR="007F018C">
        <w:rPr>
          <w:rFonts w:cs="Arial"/>
          <w:szCs w:val="24"/>
        </w:rPr>
        <w:t>-</w:t>
      </w:r>
      <w:r w:rsidR="00B05046">
        <w:rPr>
          <w:rFonts w:cs="Arial"/>
          <w:szCs w:val="24"/>
        </w:rPr>
        <w:t>based medical education and</w:t>
      </w:r>
      <w:r w:rsidR="00360E74">
        <w:rPr>
          <w:rFonts w:cs="Arial"/>
          <w:szCs w:val="24"/>
        </w:rPr>
        <w:t xml:space="preserve"> </w:t>
      </w:r>
      <w:r w:rsidR="006D2FAC">
        <w:rPr>
          <w:rFonts w:cs="Arial"/>
          <w:szCs w:val="24"/>
        </w:rPr>
        <w:t>medical student competence and confidence</w:t>
      </w:r>
      <w:r w:rsidR="00515262">
        <w:rPr>
          <w:rFonts w:cs="Arial"/>
          <w:szCs w:val="24"/>
        </w:rPr>
        <w:t xml:space="preserve">. </w:t>
      </w:r>
    </w:p>
    <w:p w14:paraId="10CFA63C" w14:textId="5E007104" w:rsidR="00F6652D" w:rsidRDefault="00F6652D" w:rsidP="00CA53EB">
      <w:pPr>
        <w:pStyle w:val="Heading2"/>
      </w:pPr>
      <w:bookmarkStart w:id="41" w:name="_Toc343501090"/>
      <w:bookmarkStart w:id="42" w:name="_Toc348686291"/>
      <w:bookmarkStart w:id="43" w:name="_Toc419116093"/>
      <w:r w:rsidRPr="005F454B">
        <w:t>Preparedness for practice as a junior doctor</w:t>
      </w:r>
      <w:bookmarkEnd w:id="41"/>
      <w:bookmarkEnd w:id="42"/>
      <w:bookmarkEnd w:id="43"/>
    </w:p>
    <w:p w14:paraId="3D4B092B" w14:textId="77777777" w:rsidR="00D7477F" w:rsidRDefault="00D7477F" w:rsidP="00C50552"/>
    <w:p w14:paraId="60D12F3B" w14:textId="418D7ED0" w:rsidR="0065647C" w:rsidRDefault="00280FAE" w:rsidP="00DE07AB">
      <w:pPr>
        <w:rPr>
          <w:rFonts w:cs="Arial"/>
          <w:szCs w:val="24"/>
        </w:rPr>
      </w:pPr>
      <w:r>
        <w:rPr>
          <w:rFonts w:cs="Arial"/>
          <w:szCs w:val="24"/>
        </w:rPr>
        <w:t>It is a GMC requirement that medical students are ‘properly prepared for their first day as a Pre-</w:t>
      </w:r>
      <w:r w:rsidR="0028118B">
        <w:rPr>
          <w:rFonts w:cs="Arial"/>
          <w:szCs w:val="24"/>
        </w:rPr>
        <w:t>R</w:t>
      </w:r>
      <w:r>
        <w:rPr>
          <w:rFonts w:cs="Arial"/>
          <w:szCs w:val="24"/>
        </w:rPr>
        <w:t xml:space="preserve">egistration House </w:t>
      </w:r>
      <w:r w:rsidR="0028118B">
        <w:rPr>
          <w:rFonts w:cs="Arial"/>
          <w:szCs w:val="24"/>
        </w:rPr>
        <w:t>O</w:t>
      </w:r>
      <w:r w:rsidRPr="00FE42DE">
        <w:rPr>
          <w:rFonts w:cs="Arial"/>
          <w:szCs w:val="24"/>
        </w:rPr>
        <w:t>fficer’</w:t>
      </w:r>
      <w:r w:rsidR="008268B1">
        <w:rPr>
          <w:rFonts w:cs="Arial"/>
          <w:szCs w:val="24"/>
        </w:rPr>
        <w:t xml:space="preserve"> (PRHO or FY1)</w:t>
      </w:r>
      <w:r w:rsidRPr="00FE42DE">
        <w:rPr>
          <w:rFonts w:cs="Arial"/>
          <w:szCs w:val="24"/>
        </w:rPr>
        <w:t xml:space="preserve"> </w:t>
      </w:r>
      <w:r w:rsidRPr="00FE42DE">
        <w:rPr>
          <w:rFonts w:cs="Arial"/>
          <w:szCs w:val="24"/>
        </w:rPr>
        <w:fldChar w:fldCharType="begin"/>
      </w:r>
      <w:r w:rsidR="00BB31A6">
        <w:rPr>
          <w:rFonts w:cs="Arial"/>
          <w:szCs w:val="24"/>
        </w:rPr>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sidRPr="00FE42DE">
        <w:rPr>
          <w:rFonts w:cs="Arial"/>
          <w:szCs w:val="24"/>
        </w:rPr>
        <w:fldChar w:fldCharType="separate"/>
      </w:r>
      <w:r w:rsidR="00BB31A6">
        <w:rPr>
          <w:rFonts w:cs="Arial"/>
          <w:noProof/>
          <w:szCs w:val="24"/>
        </w:rPr>
        <w:t>(GMC, 2009)</w:t>
      </w:r>
      <w:r w:rsidRPr="00FE42DE">
        <w:rPr>
          <w:rFonts w:cs="Arial"/>
          <w:szCs w:val="24"/>
        </w:rPr>
        <w:fldChar w:fldCharType="end"/>
      </w:r>
      <w:r w:rsidRPr="00FE42DE">
        <w:rPr>
          <w:rFonts w:cs="Arial"/>
          <w:szCs w:val="24"/>
        </w:rPr>
        <w:t>.</w:t>
      </w:r>
      <w:r w:rsidR="00C16D2F" w:rsidRPr="00FE42DE">
        <w:rPr>
          <w:rFonts w:cs="Arial"/>
          <w:szCs w:val="24"/>
        </w:rPr>
        <w:t xml:space="preserve"> </w:t>
      </w:r>
      <w:r w:rsidR="00DD4D0E">
        <w:rPr>
          <w:rFonts w:cs="Arial"/>
          <w:szCs w:val="24"/>
        </w:rPr>
        <w:t xml:space="preserve"> In a small qualitative study (n=28), FY1s that felt well prepared for practice reported a ‘more positive overall </w:t>
      </w:r>
      <w:r w:rsidR="00693688">
        <w:rPr>
          <w:rFonts w:cs="Arial"/>
          <w:szCs w:val="24"/>
        </w:rPr>
        <w:t>experience</w:t>
      </w:r>
      <w:r w:rsidR="00DD4D0E">
        <w:rPr>
          <w:rFonts w:cs="Arial"/>
          <w:szCs w:val="24"/>
        </w:rPr>
        <w:t xml:space="preserve"> of the transition’ from medical school to FY1 </w:t>
      </w:r>
      <w:r w:rsidR="00DD4D0E">
        <w:rPr>
          <w:rFonts w:cs="Arial"/>
          <w:szCs w:val="24"/>
        </w:rPr>
        <w:fldChar w:fldCharType="begin"/>
      </w:r>
      <w:r w:rsidR="00DD4D0E">
        <w:rPr>
          <w:rFonts w:cs="Arial"/>
          <w:szCs w:val="24"/>
        </w:rPr>
        <w:instrText xml:space="preserve"> ADDIN EN.CITE &lt;EndNote&gt;&lt;Cite&gt;&lt;Author&gt;Brennan&lt;/Author&gt;&lt;Year&gt;2010&lt;/Year&gt;&lt;IDText&gt;The transition from medical student to junior doctor: today&amp;apos;s experiences of Tomorrow&amp;apos;s Doctors&lt;/IDText&gt;&lt;DisplayText&gt;(Brennan et al., 2010)&lt;/DisplayText&gt;&lt;record&gt;&lt;dates&gt;&lt;pub-dates&gt;&lt;date&gt;May&lt;/date&gt;&lt;/pub-dates&gt;&lt;year&gt;2010&lt;/year&gt;&lt;/dates&gt;&lt;keywords&gt;&lt;keyword&gt;Adaptation, Psychological&lt;/keyword&gt;&lt;keyword&gt;Attitude of Health Personnel&lt;/keyword&gt;&lt;keyword&gt;Education, Medical, Undergraduate&lt;/keyword&gt;&lt;keyword&gt;Female&lt;/keyword&gt;&lt;keyword&gt;Great Britain&lt;/keyword&gt;&lt;keyword&gt;Humans&lt;/keyword&gt;&lt;keyword&gt;Interpersonal Relations&lt;/keyword&gt;&lt;keyword&gt;Male&lt;/keyword&gt;&lt;keyword&gt;Medical Staff, Hospital&lt;/keyword&gt;&lt;keyword&gt;Stress, Psychological&lt;/keyword&gt;&lt;keyword&gt;Students, Medical&lt;/keyword&gt;&lt;keyword&gt;Surveys and Questionnaires&lt;/keyword&gt;&lt;/keywords&gt;&lt;urls&gt;&lt;related-urls&gt;&lt;url&gt;http://www.ncbi.nlm.nih.gov/pubmed/20518984&lt;/url&gt;&lt;/related-urls&gt;&lt;/urls&gt;&lt;isbn&gt;1365-2923&lt;/isbn&gt;&lt;titles&gt;&lt;title&gt;The transition from medical student to junior doctor: today&amp;apos;s experiences of Tomorrow&amp;apos;s Doctors&lt;/title&gt;&lt;secondary-title&gt;Med Educ&lt;/secondary-title&gt;&lt;/titles&gt;&lt;pages&gt;449-58&lt;/pages&gt;&lt;number&gt;5&lt;/number&gt;&lt;contributors&gt;&lt;authors&gt;&lt;author&gt;Brennan, N.&lt;/author&gt;&lt;author&gt;Corrigan, O.&lt;/author&gt;&lt;author&gt;Allard, J.&lt;/author&gt;&lt;author&gt;Archer, J.&lt;/author&gt;&lt;author&gt;Barnes, R.&lt;/author&gt;&lt;author&gt;Bleakley, A.&lt;/author&gt;&lt;author&gt;Collett, T.&lt;/author&gt;&lt;author&gt;de Bere, S. R.&lt;/author&gt;&lt;/authors&gt;&lt;/contributors&gt;&lt;language&gt;eng&lt;/language&gt;&lt;added-date format="utc"&gt;1455789999&lt;/added-date&gt;&lt;ref-type name="Journal Article"&gt;17&lt;/ref-type&gt;&lt;rec-number&gt;184&lt;/rec-number&gt;&lt;last-updated-date format="utc"&gt;1455789999&lt;/last-updated-date&gt;&lt;accession-num&gt;20518984&lt;/accession-num&gt;&lt;electronic-resource-num&gt;10.1111/j.1365-2923.2009.03604.x&lt;/electronic-resource-num&gt;&lt;volume&gt;44&lt;/volume&gt;&lt;/record&gt;&lt;/Cite&gt;&lt;/EndNote&gt;</w:instrText>
      </w:r>
      <w:r w:rsidR="00DD4D0E">
        <w:rPr>
          <w:rFonts w:cs="Arial"/>
          <w:szCs w:val="24"/>
        </w:rPr>
        <w:fldChar w:fldCharType="separate"/>
      </w:r>
      <w:r w:rsidR="00DD4D0E">
        <w:rPr>
          <w:rFonts w:cs="Arial"/>
          <w:noProof/>
          <w:szCs w:val="24"/>
        </w:rPr>
        <w:t>(Brennan et al., 2010)</w:t>
      </w:r>
      <w:r w:rsidR="00DD4D0E">
        <w:rPr>
          <w:rFonts w:cs="Arial"/>
          <w:szCs w:val="24"/>
        </w:rPr>
        <w:fldChar w:fldCharType="end"/>
      </w:r>
      <w:r w:rsidR="00DD4D0E">
        <w:rPr>
          <w:rFonts w:cs="Arial"/>
          <w:szCs w:val="24"/>
        </w:rPr>
        <w:t>.</w:t>
      </w:r>
      <w:r w:rsidR="00772548" w:rsidRPr="00772548">
        <w:rPr>
          <w:rFonts w:cs="Arial"/>
          <w:szCs w:val="24"/>
        </w:rPr>
        <w:t xml:space="preserve"> </w:t>
      </w:r>
      <w:r w:rsidR="00DE07AB">
        <w:rPr>
          <w:rFonts w:cs="Arial"/>
          <w:szCs w:val="24"/>
        </w:rPr>
        <w:t xml:space="preserve">High levels of stress and burnout (up to 25%) related to high work pressures and responsibility have been reported amongst junior doctors </w:t>
      </w:r>
      <w:r w:rsidR="00DE07AB">
        <w:rPr>
          <w:rFonts w:cs="Arial"/>
          <w:szCs w:val="24"/>
        </w:rPr>
        <w:fldChar w:fldCharType="begin">
          <w:fldData xml:space="preserve">PEVuZE5vdGU+PENpdGU+PEF1dGhvcj5BbGV4YW5kZXI8L0F1dGhvcj48WWVhcj4yMDE0PC9ZZWFy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</w:fldData>
        </w:fldChar>
      </w:r>
      <w:r w:rsidR="00DE07AB">
        <w:rPr>
          <w:rFonts w:cs="Arial"/>
          <w:szCs w:val="24"/>
        </w:rPr>
        <w:instrText xml:space="preserve"> ADDIN EN.CITE </w:instrText>
      </w:r>
      <w:r w:rsidR="00DE07AB">
        <w:rPr>
          <w:rFonts w:cs="Arial"/>
          <w:szCs w:val="24"/>
        </w:rPr>
        <w:fldChar w:fldCharType="begin">
          <w:fldData xml:space="preserve">PEVuZE5vdGU+PENpdGU+PEF1dGhvcj5BbGV4YW5kZXI8L0F1dGhvcj48WWVhcj4yMDE0PC9ZZWFy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</w:fldData>
        </w:fldChar>
      </w:r>
      <w:r w:rsidR="00DE07AB">
        <w:rPr>
          <w:rFonts w:cs="Arial"/>
          <w:szCs w:val="24"/>
        </w:rPr>
        <w:instrText xml:space="preserve"> ADDIN EN.CITE.DATA </w:instrText>
      </w:r>
      <w:r w:rsidR="00DE07AB">
        <w:rPr>
          <w:rFonts w:cs="Arial"/>
          <w:szCs w:val="24"/>
        </w:rPr>
      </w:r>
      <w:r w:rsidR="00DE07AB">
        <w:rPr>
          <w:rFonts w:cs="Arial"/>
          <w:szCs w:val="24"/>
        </w:rPr>
        <w:fldChar w:fldCharType="end"/>
      </w:r>
      <w:r w:rsidR="00DE07AB">
        <w:rPr>
          <w:rFonts w:cs="Arial"/>
          <w:szCs w:val="24"/>
        </w:rPr>
      </w:r>
      <w:r w:rsidR="00DE07AB">
        <w:rPr>
          <w:rFonts w:cs="Arial"/>
          <w:szCs w:val="24"/>
        </w:rPr>
        <w:fldChar w:fldCharType="separate"/>
      </w:r>
      <w:r w:rsidR="00DE07AB">
        <w:rPr>
          <w:rFonts w:cs="Arial"/>
          <w:noProof/>
          <w:szCs w:val="24"/>
        </w:rPr>
        <w:t>(Alexander et al., 2014, Bogg et al., 2001)</w:t>
      </w:r>
      <w:r w:rsidR="00DE07AB">
        <w:rPr>
          <w:rFonts w:cs="Arial"/>
          <w:szCs w:val="24"/>
        </w:rPr>
        <w:fldChar w:fldCharType="end"/>
      </w:r>
      <w:r w:rsidR="00DE07AB">
        <w:rPr>
          <w:rFonts w:cs="Arial"/>
          <w:szCs w:val="24"/>
        </w:rPr>
        <w:t xml:space="preserve">. </w:t>
      </w:r>
    </w:p>
    <w:p w14:paraId="565F3D9D" w14:textId="0897EC13" w:rsidR="00DE07AB" w:rsidRDefault="00DE07AB" w:rsidP="00DE07AB">
      <w:pPr>
        <w:rPr>
          <w:rFonts w:cs="Arial"/>
          <w:szCs w:val="24"/>
        </w:rPr>
      </w:pPr>
      <w:r>
        <w:rPr>
          <w:rFonts w:cs="Arial"/>
          <w:szCs w:val="24"/>
        </w:rPr>
        <w:t xml:space="preserve">Factors have been explored via retrospective questionnaires from junior doctors </w:t>
      </w:r>
      <w:r w:rsidR="0028118B">
        <w:rPr>
          <w:rFonts w:cs="Arial"/>
          <w:szCs w:val="24"/>
        </w:rPr>
        <w:t>in the UK, categorising them in</w:t>
      </w:r>
      <w:r>
        <w:rPr>
          <w:rFonts w:cs="Arial"/>
          <w:szCs w:val="24"/>
        </w:rPr>
        <w:t>to ‘individual’ and ‘organisationa</w:t>
      </w:r>
      <w:r w:rsidR="0028118B">
        <w:rPr>
          <w:rFonts w:cs="Arial"/>
          <w:szCs w:val="24"/>
        </w:rPr>
        <w:t>l’. Those feeling less prepared</w:t>
      </w:r>
      <w:r>
        <w:rPr>
          <w:rFonts w:cs="Arial"/>
          <w:szCs w:val="24"/>
        </w:rPr>
        <w:t xml:space="preserve"> reported poorer leadership skills, reduced ability to manage uncertainty and prioritisation skills (individual). Organisational workplace factors included ‘perceived lack of support, lack of continuity and poor feedback’. Those feeling well prepared, reported ‘high levels of agreeableness, conscientiousness, empathy and extraversion’ </w:t>
      </w:r>
      <w:r>
        <w:rPr>
          <w:rFonts w:cs="Arial"/>
          <w:szCs w:val="24"/>
        </w:rPr>
        <w:fldChar w:fldCharType="begin"/>
      </w:r>
      <w:r>
        <w:rPr>
          <w:rFonts w:cs="Arial"/>
          <w:szCs w:val="24"/>
        </w:rPr>
        <w:instrText xml:space="preserve"> ADDIN EN.CITE &lt;EndNote&gt;&lt;Cite&gt;&lt;Author&gt;Alexander&lt;/Author&gt;&lt;Year&gt;2014&lt;/Year&gt;&lt;IDText&gt;Can new doctors be prepared for practice? A review&lt;/IDText&gt;&lt;DisplayText&gt;(Alexander et al., 2014)&lt;/DisplayText&gt;&lt;record&gt;&lt;dates&gt;&lt;pub-dates&gt;&lt;date&gt;Jun&lt;/date&gt;&lt;/pub-dates&gt;&lt;year&gt;2014&lt;/year&gt;&lt;/dates&gt;&lt;keywords&gt;&lt;keyword&gt;Clinical Competence&lt;/keyword&gt;&lt;keyword&gt;Health Knowledge, Attitudes, Practice&lt;/keyword&gt;&lt;keyword&gt;Humans&lt;/keyword&gt;&lt;keyword&gt;Medical Staff, Hospital&lt;/keyword&gt;&lt;keyword&gt;Self Concept&lt;/keyword&gt;&lt;keyword&gt;Social Support&lt;/keyword&gt;&lt;keyword&gt;Students, Medical&lt;/keyword&gt;&lt;keyword&gt;Workplace&lt;/keyword&gt;&lt;/keywords&gt;&lt;urls&gt;&lt;related-urls&gt;&lt;url&gt;http://www.ncbi.nlm.nih.gov/pubmed/24802919&lt;/url&gt;&lt;/related-urls&gt;&lt;/urls&gt;&lt;isbn&gt;1743-498X&lt;/isbn&gt;&lt;titles&gt;&lt;title&gt;Can new doctors be prepared for practice? A review&lt;/title&gt;&lt;secondary-title&gt;Clin Teach&lt;/secondary-title&gt;&lt;/titles&gt;&lt;pages&gt;188-92&lt;/pages&gt;&lt;number&gt;3&lt;/number&gt;&lt;contributors&gt;&lt;authors&gt;&lt;author&gt;Alexander, C.&lt;/author&gt;&lt;author&gt;Cameron, A.&lt;/author&gt;&lt;author&gt;Millar, J.&lt;/author&gt;&lt;author&gt;Szmidt, N.&lt;/author&gt;&lt;author&gt;Hanlon, K.&lt;/author&gt;&lt;author&gt;Cleland, J.&lt;/author&gt;&lt;/authors&gt;&lt;/contributors&gt;&lt;language&gt;eng&lt;/language&gt;&lt;added-date format="utc"&gt;1453474269&lt;/added-date&gt;&lt;ref-type name="Journal Article"&gt;17&lt;/ref-type&gt;&lt;rec-number&gt;155&lt;/rec-number&gt;&lt;last-updated-date format="utc"&gt;1453474269&lt;/last-updated-date&gt;&lt;accession-num&gt;24802919&lt;/accession-num&gt;&lt;electronic-resource-num&gt;10.1111/tct.12127&lt;/electronic-resource-num&gt;&lt;volume&gt;11&lt;/volume&gt;&lt;/record&gt;&lt;/Cite&gt;&lt;/EndNote&gt;</w:instrText>
      </w:r>
      <w:r>
        <w:rPr>
          <w:rFonts w:cs="Arial"/>
          <w:szCs w:val="24"/>
        </w:rPr>
        <w:fldChar w:fldCharType="separate"/>
      </w:r>
      <w:r>
        <w:rPr>
          <w:rFonts w:cs="Arial"/>
          <w:noProof/>
          <w:szCs w:val="24"/>
        </w:rPr>
        <w:t>(Alexander et al., 2014)</w:t>
      </w:r>
      <w:r>
        <w:rPr>
          <w:rFonts w:cs="Arial"/>
          <w:szCs w:val="24"/>
        </w:rPr>
        <w:fldChar w:fldCharType="end"/>
      </w:r>
      <w:r>
        <w:rPr>
          <w:rFonts w:cs="Arial"/>
          <w:szCs w:val="24"/>
        </w:rPr>
        <w:t>. These data were reported from nine studies exploring preparedness, the issue of recall bias is present du</w:t>
      </w:r>
      <w:r w:rsidR="0065647C">
        <w:rPr>
          <w:rFonts w:cs="Arial"/>
          <w:szCs w:val="24"/>
        </w:rPr>
        <w:t>e to the retrospective design. T</w:t>
      </w:r>
      <w:r>
        <w:rPr>
          <w:rFonts w:cs="Arial"/>
          <w:szCs w:val="24"/>
        </w:rPr>
        <w:t xml:space="preserve">here are other influences on the ward that may have affected responses and the method of analysis of the papers is not reported. Nevertheless, this paper concludes, preparedness is ‘difficult to quantify’ and emphasises the importance of exploring preparedness </w:t>
      </w:r>
      <w:r>
        <w:rPr>
          <w:rFonts w:cs="Arial"/>
          <w:szCs w:val="24"/>
        </w:rPr>
        <w:lastRenderedPageBreak/>
        <w:t>from ‘various perspectives (e.g. student, mentor, patient) and at time points’</w:t>
      </w:r>
      <w:r w:rsidR="00D86E37">
        <w:rPr>
          <w:rFonts w:cs="Arial"/>
          <w:szCs w:val="24"/>
        </w:rPr>
        <w:t xml:space="preserve"> </w:t>
      </w:r>
      <w:r>
        <w:rPr>
          <w:rFonts w:cs="Arial"/>
          <w:szCs w:val="24"/>
        </w:rPr>
        <w:fldChar w:fldCharType="begin"/>
      </w:r>
      <w:r>
        <w:rPr>
          <w:rFonts w:cs="Arial"/>
          <w:szCs w:val="24"/>
        </w:rPr>
        <w:instrText xml:space="preserve"> ADDIN EN.CITE &lt;EndNote&gt;&lt;Cite&gt;&lt;Author&gt;Alexander&lt;/Author&gt;&lt;Year&gt;2014&lt;/Year&gt;&lt;IDText&gt;Can new doctors be prepared for practice? A review&lt;/IDText&gt;&lt;DisplayText&gt;(Alexander et al., 2014)&lt;/DisplayText&gt;&lt;record&gt;&lt;dates&gt;&lt;pub-dates&gt;&lt;date&gt;Jun&lt;/date&gt;&lt;/pub-dates&gt;&lt;year&gt;2014&lt;/year&gt;&lt;/dates&gt;&lt;keywords&gt;&lt;keyword&gt;Clinical Competence&lt;/keyword&gt;&lt;keyword&gt;Health Knowledge, Attitudes, Practice&lt;/keyword&gt;&lt;keyword&gt;Humans&lt;/keyword&gt;&lt;keyword&gt;Medical Staff, Hospital&lt;/keyword&gt;&lt;keyword&gt;Self Concept&lt;/keyword&gt;&lt;keyword&gt;Social Support&lt;/keyword&gt;&lt;keyword&gt;Students, Medical&lt;/keyword&gt;&lt;keyword&gt;Workplace&lt;/keyword&gt;&lt;/keywords&gt;&lt;urls&gt;&lt;related-urls&gt;&lt;url&gt;http://www.ncbi.nlm.nih.gov/pubmed/24802919&lt;/url&gt;&lt;/related-urls&gt;&lt;/urls&gt;&lt;isbn&gt;1743-498X&lt;/isbn&gt;&lt;titles&gt;&lt;title&gt;Can new doctors be prepared for practice? A review&lt;/title&gt;&lt;secondary-title&gt;Clin Teach&lt;/secondary-title&gt;&lt;/titles&gt;&lt;pages&gt;188-92&lt;/pages&gt;&lt;number&gt;3&lt;/number&gt;&lt;contributors&gt;&lt;authors&gt;&lt;author&gt;Alexander, C.&lt;/author&gt;&lt;author&gt;Cameron, A.&lt;/author&gt;&lt;author&gt;Millar, J.&lt;/author&gt;&lt;author&gt;Szmidt, N.&lt;/author&gt;&lt;author&gt;Hanlon, K.&lt;/author&gt;&lt;author&gt;Cleland, J.&lt;/author&gt;&lt;/authors&gt;&lt;/contributors&gt;&lt;language&gt;eng&lt;/language&gt;&lt;added-date format="utc"&gt;1453474269&lt;/added-date&gt;&lt;ref-type name="Journal Article"&gt;17&lt;/ref-type&gt;&lt;rec-number&gt;155&lt;/rec-number&gt;&lt;last-updated-date format="utc"&gt;1453474269&lt;/last-updated-date&gt;&lt;accession-num&gt;24802919&lt;/accession-num&gt;&lt;electronic-resource-num&gt;10.1111/tct.12127&lt;/electronic-resource-num&gt;&lt;volume&gt;11&lt;/volume&gt;&lt;/record&gt;&lt;/Cite&gt;&lt;/EndNote&gt;</w:instrText>
      </w:r>
      <w:r>
        <w:rPr>
          <w:rFonts w:cs="Arial"/>
          <w:szCs w:val="24"/>
        </w:rPr>
        <w:fldChar w:fldCharType="separate"/>
      </w:r>
      <w:r>
        <w:rPr>
          <w:rFonts w:cs="Arial"/>
          <w:noProof/>
          <w:szCs w:val="24"/>
        </w:rPr>
        <w:t>(Alexander et al., 2014)</w:t>
      </w:r>
      <w:r>
        <w:rPr>
          <w:rFonts w:cs="Arial"/>
          <w:szCs w:val="24"/>
        </w:rPr>
        <w:fldChar w:fldCharType="end"/>
      </w:r>
      <w:r>
        <w:rPr>
          <w:rFonts w:cs="Arial"/>
          <w:szCs w:val="24"/>
        </w:rPr>
        <w:t>.</w:t>
      </w:r>
    </w:p>
    <w:p w14:paraId="3BFA94BC" w14:textId="5E9A91C4" w:rsidR="00035D65" w:rsidRPr="00FE42DE" w:rsidRDefault="00DE07AB" w:rsidP="00C50552">
      <w:pPr>
        <w:rPr>
          <w:rFonts w:cs="Arial"/>
          <w:szCs w:val="24"/>
        </w:rPr>
      </w:pPr>
      <w:r>
        <w:rPr>
          <w:rFonts w:cs="Arial"/>
          <w:szCs w:val="24"/>
        </w:rPr>
        <w:t xml:space="preserve">Awareness of own limitations as well as capabilities and self-confidence have been reported to contribute to a feeling of preparedness </w:t>
      </w:r>
      <w:r>
        <w:rPr>
          <w:rFonts w:cs="Arial"/>
          <w:szCs w:val="24"/>
        </w:rPr>
        <w:fldChar w:fldCharType="begin">
          <w:fldData xml:space="preserve">PEVuZE5vdGU+PENpdGU+PEF1dGhvcj5UYWxsZW50aXJlPC9BdXRob3I+PFllYXI+MjAxMTwvWWVh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</w:fldData>
        </w:fldChar>
      </w:r>
      <w:r w:rsidR="005A1E45">
        <w:rPr>
          <w:rFonts w:cs="Arial"/>
          <w:szCs w:val="24"/>
        </w:rPr>
        <w:instrText xml:space="preserve"> ADDIN EN.CITE </w:instrText>
      </w:r>
      <w:r w:rsidR="005A1E45">
        <w:rPr>
          <w:rFonts w:cs="Arial"/>
          <w:szCs w:val="24"/>
        </w:rPr>
        <w:fldChar w:fldCharType="begin">
          <w:fldData xml:space="preserve">PEVuZE5vdGU+PENpdGU+PEF1dGhvcj5UYWxsZW50aXJlPC9BdXRob3I+PFllYXI+MjAxMTwvWWVh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</w:fldData>
        </w:fldChar>
      </w:r>
      <w:r w:rsidR="005A1E45">
        <w:rPr>
          <w:rFonts w:cs="Arial"/>
          <w:szCs w:val="24"/>
        </w:rPr>
        <w:instrText xml:space="preserve"> ADDIN EN.CITE.DATA </w:instrText>
      </w:r>
      <w:r w:rsidR="005A1E45">
        <w:rPr>
          <w:rFonts w:cs="Arial"/>
          <w:szCs w:val="24"/>
        </w:rPr>
      </w:r>
      <w:r w:rsidR="005A1E45">
        <w:rPr>
          <w:rFonts w:cs="Arial"/>
          <w:szCs w:val="24"/>
        </w:rPr>
        <w:fldChar w:fldCharType="end"/>
      </w:r>
      <w:r>
        <w:rPr>
          <w:rFonts w:cs="Arial"/>
          <w:szCs w:val="24"/>
        </w:rPr>
      </w:r>
      <w:r>
        <w:rPr>
          <w:rFonts w:cs="Arial"/>
          <w:szCs w:val="24"/>
        </w:rPr>
        <w:fldChar w:fldCharType="separate"/>
      </w:r>
      <w:r w:rsidR="005A1E45">
        <w:rPr>
          <w:rFonts w:cs="Arial"/>
          <w:noProof/>
          <w:szCs w:val="24"/>
        </w:rPr>
        <w:t>(Tallentire et al., 2011c, Wall et al., 2006, Burford et al., 2014)</w:t>
      </w:r>
      <w:r>
        <w:rPr>
          <w:rFonts w:cs="Arial"/>
          <w:szCs w:val="24"/>
        </w:rPr>
        <w:fldChar w:fldCharType="end"/>
      </w:r>
      <w:r>
        <w:rPr>
          <w:rFonts w:cs="Arial"/>
          <w:szCs w:val="24"/>
        </w:rPr>
        <w:t xml:space="preserve">. </w:t>
      </w:r>
      <w:r w:rsidR="0065647C">
        <w:rPr>
          <w:rFonts w:cs="Arial"/>
          <w:szCs w:val="24"/>
        </w:rPr>
        <w:t>A relationship between hands-</w:t>
      </w:r>
      <w:r>
        <w:rPr>
          <w:rFonts w:cs="Arial"/>
          <w:szCs w:val="24"/>
        </w:rPr>
        <w:t xml:space="preserve">on practical experience and preparedness prior to FY1 has also been described </w:t>
      </w:r>
      <w:r>
        <w:rPr>
          <w:rFonts w:cs="Arial"/>
          <w:szCs w:val="24"/>
        </w:rPr>
        <w:fldChar w:fldCharType="begin">
          <w:fldData xml:space="preserve">PEVuZE5vdGU+PENpdGU+PEF1dGhvcj5DYXZlPC9BdXRob3I+PFllYXI+MjAwOTwvWWVhcj48SURU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</w:fldData>
        </w:fldChar>
      </w:r>
      <w:r>
        <w:rPr>
          <w:rFonts w:cs="Arial"/>
          <w:szCs w:val="24"/>
        </w:rPr>
        <w:instrText xml:space="preserve"> ADDIN EN.CITE </w:instrText>
      </w:r>
      <w:r>
        <w:rPr>
          <w:rFonts w:cs="Arial"/>
          <w:szCs w:val="24"/>
        </w:rPr>
        <w:fldChar w:fldCharType="begin">
          <w:fldData xml:space="preserve">PEVuZE5vdGU+PENpdGU+PEF1dGhvcj5DYXZlPC9BdXRob3I+PFllYXI+MjAwOTwvWWVhcj48SURU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</w:fldData>
        </w:fldChar>
      </w:r>
      <w:r>
        <w:rPr>
          <w:rFonts w:cs="Arial"/>
          <w:szCs w:val="24"/>
        </w:rPr>
        <w:instrText xml:space="preserve"> ADDIN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(Cave et al., 2009, Illing et al., 2013)</w:t>
      </w:r>
      <w:r>
        <w:rPr>
          <w:rFonts w:cs="Arial"/>
          <w:szCs w:val="24"/>
        </w:rPr>
        <w:fldChar w:fldCharType="end"/>
      </w:r>
      <w:r>
        <w:rPr>
          <w:rFonts w:cs="Arial"/>
          <w:szCs w:val="24"/>
        </w:rPr>
        <w:t>.</w:t>
      </w:r>
    </w:p>
    <w:p w14:paraId="6975F858" w14:textId="7386AC49" w:rsidR="00DF1B9B" w:rsidRDefault="0065647C" w:rsidP="00C50552">
      <w:pPr>
        <w:rPr>
          <w:rFonts w:cs="Arial"/>
          <w:szCs w:val="24"/>
        </w:rPr>
      </w:pPr>
      <w:r>
        <w:rPr>
          <w:rFonts w:cs="Arial"/>
          <w:szCs w:val="24"/>
        </w:rPr>
        <w:t xml:space="preserve">One report shows </w:t>
      </w:r>
      <w:r w:rsidR="00DF1B9B">
        <w:rPr>
          <w:rFonts w:cs="Arial"/>
          <w:szCs w:val="24"/>
        </w:rPr>
        <w:t>that fifty-eight</w:t>
      </w:r>
      <w:r w:rsidR="00280FAE" w:rsidRPr="00FE42DE">
        <w:rPr>
          <w:rFonts w:cs="Arial"/>
          <w:szCs w:val="24"/>
        </w:rPr>
        <w:t xml:space="preserve"> </w:t>
      </w:r>
      <w:r w:rsidR="00137253" w:rsidRPr="00FE42DE">
        <w:rPr>
          <w:rFonts w:cs="Arial"/>
          <w:szCs w:val="24"/>
        </w:rPr>
        <w:t>per cent</w:t>
      </w:r>
      <w:r w:rsidR="003B036E" w:rsidRPr="00FE42DE">
        <w:rPr>
          <w:rFonts w:cs="Arial"/>
          <w:szCs w:val="24"/>
        </w:rPr>
        <w:t xml:space="preserve"> of UK graduates agree that their medical school has prepared them for FY1</w:t>
      </w:r>
      <w:r w:rsidR="00280FAE" w:rsidRPr="00FE42DE">
        <w:rPr>
          <w:rFonts w:cs="Arial"/>
          <w:szCs w:val="24"/>
        </w:rPr>
        <w:t xml:space="preserve"> </w:t>
      </w:r>
      <w:r w:rsidR="003B036E" w:rsidRPr="00FE42DE">
        <w:rPr>
          <w:rFonts w:cs="Arial"/>
          <w:szCs w:val="24"/>
        </w:rPr>
        <w:fldChar w:fldCharType="begin"/>
      </w:r>
      <w:r w:rsidR="003B036E" w:rsidRPr="00FE42DE">
        <w:rPr>
          <w:rFonts w:cs="Arial"/>
          <w:szCs w:val="24"/>
        </w:rPr>
        <w:instrText xml:space="preserve"> ADDIN EN.CITE &lt;EndNote&gt;&lt;Cite&gt;&lt;Author&gt;Goldacre&lt;/Author&gt;&lt;Year&gt;2010&lt;/Year&gt;&lt;IDText&gt;Views of junior doctors about whether their medical school prepared them well for work: questionnaire surveys&lt;/IDText&gt;&lt;DisplayText&gt;(Goldacre et al., 2010)&lt;/DisplayText&gt;&lt;record&gt;&lt;dates&gt;&lt;pub-dates&gt;&lt;date&gt;Nov 11&lt;/date&gt;&lt;/pub-dates&gt;&lt;year&gt;2010&lt;/year&gt;&lt;/dates&gt;&lt;urls&gt;&lt;related-urls&gt;&lt;url&gt;&amp;lt;Go to ISI&amp;gt;://WOS:000284851000001&lt;/url&gt;&lt;/related-urls&gt;&lt;/urls&gt;&lt;isbn&gt;1472-6920&lt;/isbn&gt;&lt;titles&gt;&lt;title&gt;Views of junior doctors about whether their medical school prepared them well for work: questionnaire surveys&lt;/title&gt;&lt;secondary-title&gt;Bmc Medical Education&lt;/secondary-title&gt;&lt;/titles&gt;&lt;contributors&gt;&lt;authors&gt;&lt;author&gt;Goldacre, Michael J.&lt;/author&gt;&lt;author&gt;Taylor, Kathryn&lt;/author&gt;&lt;author&gt;Lambert, Trevor W.&lt;/author&gt;&lt;/authors&gt;&lt;/contributors&gt;&lt;custom7&gt;78&lt;/custom7&gt;&lt;added-date format="utc"&gt;1390907984&lt;/added-date&gt;&lt;ref-type name="Journal Article"&gt;17&lt;/ref-type&gt;&lt;rec-number&gt;26&lt;/rec-number&gt;&lt;last-updated-date format="utc"&gt;1390909101&lt;/last-updated-date&gt;&lt;accession-num&gt;WOS:000284851000001&lt;/accession-num&gt;&lt;electronic-resource-num&gt;10.1186/1472-6920-10-78&lt;/electronic-resource-num&gt;&lt;volume&gt;10&lt;/volume&gt;&lt;/record&gt;&lt;/Cite&gt;&lt;/EndNote&gt;</w:instrText>
      </w:r>
      <w:r w:rsidR="003B036E" w:rsidRPr="00FE42DE">
        <w:rPr>
          <w:rFonts w:cs="Arial"/>
          <w:szCs w:val="24"/>
        </w:rPr>
        <w:fldChar w:fldCharType="separate"/>
      </w:r>
      <w:r w:rsidR="003B036E" w:rsidRPr="00FE42DE">
        <w:rPr>
          <w:rFonts w:cs="Arial"/>
          <w:noProof/>
          <w:szCs w:val="24"/>
        </w:rPr>
        <w:t>(Goldacre et al., 2010)</w:t>
      </w:r>
      <w:r w:rsidR="003B036E" w:rsidRPr="00FE42DE">
        <w:rPr>
          <w:rFonts w:cs="Arial"/>
          <w:szCs w:val="24"/>
        </w:rPr>
        <w:fldChar w:fldCharType="end"/>
      </w:r>
      <w:r w:rsidR="003B036E" w:rsidRPr="00FE42DE">
        <w:rPr>
          <w:rFonts w:cs="Arial"/>
          <w:szCs w:val="24"/>
        </w:rPr>
        <w:t>.</w:t>
      </w:r>
      <w:r w:rsidR="003C0705">
        <w:rPr>
          <w:rFonts w:cs="Arial"/>
          <w:szCs w:val="24"/>
        </w:rPr>
        <w:t xml:space="preserve"> This leaves a significant minorit</w:t>
      </w:r>
      <w:r w:rsidR="00DC1FE8">
        <w:rPr>
          <w:rFonts w:cs="Arial"/>
          <w:szCs w:val="24"/>
        </w:rPr>
        <w:t>y that felt</w:t>
      </w:r>
      <w:r w:rsidR="003C0705">
        <w:rPr>
          <w:rFonts w:cs="Arial"/>
          <w:szCs w:val="24"/>
        </w:rPr>
        <w:t xml:space="preserve"> underprepared</w:t>
      </w:r>
      <w:r w:rsidR="00DF1B9B">
        <w:rPr>
          <w:rFonts w:cs="Arial"/>
          <w:szCs w:val="24"/>
        </w:rPr>
        <w:t xml:space="preserve">. </w:t>
      </w:r>
      <w:r w:rsidR="000D0F20" w:rsidRPr="00FE42DE">
        <w:rPr>
          <w:rFonts w:cs="Arial"/>
          <w:szCs w:val="24"/>
        </w:rPr>
        <w:t xml:space="preserve">Preparedness has been reported to have increased over time </w:t>
      </w:r>
      <w:r w:rsidR="00DF1B9B">
        <w:rPr>
          <w:rFonts w:cs="Arial"/>
          <w:szCs w:val="24"/>
        </w:rPr>
        <w:t xml:space="preserve">in some studies, </w:t>
      </w:r>
      <w:r w:rsidR="000D0F20" w:rsidRPr="00FE42DE">
        <w:rPr>
          <w:rFonts w:cs="Arial"/>
          <w:szCs w:val="24"/>
        </w:rPr>
        <w:t>potentially</w:t>
      </w:r>
      <w:r>
        <w:rPr>
          <w:rFonts w:cs="Arial"/>
          <w:szCs w:val="24"/>
        </w:rPr>
        <w:t xml:space="preserve"> ascribed</w:t>
      </w:r>
      <w:r w:rsidR="000D0F20" w:rsidRPr="00FE42DE">
        <w:rPr>
          <w:rFonts w:cs="Arial"/>
          <w:szCs w:val="24"/>
        </w:rPr>
        <w:t xml:space="preserve"> to undergraduate curricula changes</w:t>
      </w:r>
      <w:r w:rsidR="00FE42DE" w:rsidRPr="00FE42DE">
        <w:rPr>
          <w:rFonts w:cs="Arial"/>
          <w:szCs w:val="24"/>
        </w:rPr>
        <w:t xml:space="preserve"> that occurred </w:t>
      </w:r>
      <w:r w:rsidR="00FE42DE">
        <w:rPr>
          <w:rFonts w:cs="Arial"/>
          <w:szCs w:val="24"/>
        </w:rPr>
        <w:t>in all med</w:t>
      </w:r>
      <w:r w:rsidR="00FE42DE" w:rsidRPr="00FE42DE">
        <w:rPr>
          <w:rFonts w:cs="Arial"/>
          <w:szCs w:val="24"/>
        </w:rPr>
        <w:t>i</w:t>
      </w:r>
      <w:r w:rsidR="00FE42DE">
        <w:rPr>
          <w:rFonts w:cs="Arial"/>
          <w:szCs w:val="24"/>
        </w:rPr>
        <w:t>c</w:t>
      </w:r>
      <w:r w:rsidR="00FE42DE" w:rsidRPr="00FE42DE">
        <w:rPr>
          <w:rFonts w:cs="Arial"/>
          <w:szCs w:val="24"/>
        </w:rPr>
        <w:t>al school</w:t>
      </w:r>
      <w:r w:rsidR="00762000">
        <w:rPr>
          <w:rFonts w:cs="Arial"/>
          <w:szCs w:val="24"/>
        </w:rPr>
        <w:t>s</w:t>
      </w:r>
      <w:r w:rsidR="00FE42DE" w:rsidRPr="00FE42DE">
        <w:rPr>
          <w:rFonts w:cs="Arial"/>
          <w:szCs w:val="24"/>
        </w:rPr>
        <w:t xml:space="preserve"> between 1998 and 2006</w:t>
      </w:r>
      <w:r w:rsidR="009E3878">
        <w:rPr>
          <w:rFonts w:cs="Arial"/>
          <w:szCs w:val="24"/>
        </w:rPr>
        <w:t xml:space="preserve"> </w:t>
      </w:r>
      <w:r w:rsidR="009E3878">
        <w:rPr>
          <w:rFonts w:cs="Arial"/>
          <w:szCs w:val="24"/>
        </w:rPr>
        <w:fldChar w:fldCharType="begin"/>
      </w:r>
      <w:r w:rsidR="009E3878">
        <w:rPr>
          <w:rFonts w:cs="Arial"/>
          <w:szCs w:val="24"/>
        </w:rPr>
        <w:instrText xml:space="preserve"> ADDIN EN.CITE &lt;EndNote&gt;&lt;Cite&gt;&lt;Author&gt;Cave&lt;/Author&gt;&lt;Year&gt;2007&lt;/Year&gt;&lt;IDText&gt;Newly qualified doctors&amp;apos; views about whether their medical school had trained them well: questionnaire surveys&lt;/IDText&gt;&lt;DisplayText&gt;(Cave et al., 2007)&lt;/DisplayText&gt;&lt;record&gt;&lt;dates&gt;&lt;pub-dates&gt;&lt;date&gt;2007 Oct&lt;/date&gt;&lt;/pub-dates&gt;&lt;year&gt;2007&lt;/year&gt;&lt;/dates&gt;&lt;urls&gt;&lt;related-urls&gt;&lt;url&gt;&amp;lt;Go to ISI&amp;gt;://MEDLINE:17945007&lt;/url&gt;&lt;/related-urls&gt;&lt;/urls&gt;&lt;isbn&gt;1472-6920&lt;/isbn&gt;&lt;titles&gt;&lt;title&gt;Newly qualified doctors&amp;apos; views about whether their medical school had trained them well: questionnaire surveys&lt;/title&gt;&lt;secondary-title&gt;BMC medical education&lt;/secondary-title&gt;&lt;/titles&gt;&lt;pages&gt;38-38&lt;/pages&gt;&lt;contributors&gt;&lt;authors&gt;&lt;author&gt;Cave, Judith&lt;/author&gt;&lt;author&gt;Goldacre, Michael&lt;/author&gt;&lt;author&gt;Lambert, Trevor&lt;/author&gt;&lt;author&gt;Woolf, Kath&lt;/author&gt;&lt;author&gt;Jones, Alison&lt;/author&gt;&lt;author&gt;Dacre, Jane&lt;/author&gt;&lt;/authors&gt;&lt;/contributors&gt;&lt;added-date format="utc"&gt;1390908151&lt;/added-date&gt;&lt;ref-type name="Journal Article"&gt;17&lt;/ref-type&gt;&lt;rec-number&gt;28&lt;/rec-number&gt;&lt;last-updated-date format="utc"&gt;1457602805&lt;/last-updated-date&gt;&lt;accession-num&gt;MEDLINE:17945007&lt;/accession-num&gt;&lt;electronic-resource-num&gt;10.1186/1472-6920-7-38&lt;/electronic-resource-num&gt;&lt;volume&gt;7&lt;/volume&gt;&lt;/record&gt;&lt;/Cite&gt;&lt;/EndNote&gt;</w:instrText>
      </w:r>
      <w:r w:rsidR="009E3878">
        <w:rPr>
          <w:rFonts w:cs="Arial"/>
          <w:szCs w:val="24"/>
        </w:rPr>
        <w:fldChar w:fldCharType="separate"/>
      </w:r>
      <w:r w:rsidR="009E3878">
        <w:rPr>
          <w:rFonts w:cs="Arial"/>
          <w:noProof/>
          <w:szCs w:val="24"/>
        </w:rPr>
        <w:t>(Cave et al., 2007)</w:t>
      </w:r>
      <w:r w:rsidR="009E3878">
        <w:rPr>
          <w:rFonts w:cs="Arial"/>
          <w:szCs w:val="24"/>
        </w:rPr>
        <w:fldChar w:fldCharType="end"/>
      </w:r>
      <w:r w:rsidR="000D0F20" w:rsidRPr="00FE42DE">
        <w:rPr>
          <w:rFonts w:cs="Arial"/>
          <w:szCs w:val="24"/>
        </w:rPr>
        <w:t>.</w:t>
      </w:r>
      <w:r w:rsidR="00DB2C37">
        <w:rPr>
          <w:rFonts w:cs="Arial"/>
          <w:szCs w:val="24"/>
        </w:rPr>
        <w:t xml:space="preserve"> However</w:t>
      </w:r>
      <w:r w:rsidR="00A42C06">
        <w:rPr>
          <w:rFonts w:cs="Arial"/>
          <w:szCs w:val="24"/>
        </w:rPr>
        <w:t>,</w:t>
      </w:r>
      <w:r w:rsidR="00DB2C37">
        <w:rPr>
          <w:rFonts w:cs="Arial"/>
          <w:szCs w:val="24"/>
        </w:rPr>
        <w:t xml:space="preserve"> </w:t>
      </w:r>
      <w:r>
        <w:rPr>
          <w:rFonts w:cs="Arial"/>
          <w:szCs w:val="24"/>
        </w:rPr>
        <w:t>an</w:t>
      </w:r>
      <w:r w:rsidR="00DF1B9B">
        <w:rPr>
          <w:rFonts w:cs="Arial"/>
          <w:szCs w:val="24"/>
        </w:rPr>
        <w:t>other</w:t>
      </w:r>
      <w:r>
        <w:rPr>
          <w:rFonts w:cs="Arial"/>
          <w:szCs w:val="24"/>
        </w:rPr>
        <w:t xml:space="preserve"> study</w:t>
      </w:r>
      <w:r w:rsidR="00DF1B9B">
        <w:rPr>
          <w:rFonts w:cs="Arial"/>
          <w:szCs w:val="24"/>
        </w:rPr>
        <w:t xml:space="preserve"> </w:t>
      </w:r>
      <w:r w:rsidR="00DB2C37">
        <w:rPr>
          <w:rFonts w:cs="Arial"/>
          <w:szCs w:val="24"/>
        </w:rPr>
        <w:t>report</w:t>
      </w:r>
      <w:r>
        <w:rPr>
          <w:rFonts w:cs="Arial"/>
          <w:szCs w:val="24"/>
        </w:rPr>
        <w:t>s</w:t>
      </w:r>
      <w:r w:rsidR="00DB2C37">
        <w:rPr>
          <w:rFonts w:cs="Arial"/>
          <w:szCs w:val="24"/>
        </w:rPr>
        <w:t xml:space="preserve"> a reduction in perceived preparedness from 53% in 2008 to 49% </w:t>
      </w:r>
      <w:r>
        <w:rPr>
          <w:rFonts w:cs="Arial"/>
          <w:szCs w:val="24"/>
        </w:rPr>
        <w:t>in</w:t>
      </w:r>
      <w:r w:rsidR="00DB2C37">
        <w:rPr>
          <w:rFonts w:cs="Arial"/>
          <w:szCs w:val="24"/>
        </w:rPr>
        <w:t xml:space="preserve"> 2009</w:t>
      </w:r>
      <w:r w:rsidR="00F70843">
        <w:rPr>
          <w:rFonts w:cs="Arial"/>
          <w:szCs w:val="24"/>
        </w:rPr>
        <w:t xml:space="preserve"> </w:t>
      </w:r>
      <w:r w:rsidR="00DB2C37">
        <w:rPr>
          <w:rFonts w:cs="Arial"/>
          <w:szCs w:val="24"/>
        </w:rPr>
        <w:fldChar w:fldCharType="begin"/>
      </w:r>
      <w:r w:rsidR="00DB2C37">
        <w:rPr>
          <w:rFonts w:cs="Arial"/>
          <w:szCs w:val="24"/>
        </w:rPr>
        <w:instrText xml:space="preserve"> ADDIN EN.CITE &lt;EndNote&gt;&lt;Cite&gt;&lt;Author&gt;Goldacre&lt;/Author&gt;&lt;Year&gt;2014&lt;/Year&gt;&lt;IDText&gt;Foundation doctors&amp;apos; views on whether their medical school prepared them well for work: UK graduates of 2008 and 2009&lt;/IDText&gt;&lt;DisplayText&gt;(Goldacre et al., 2014)&lt;/DisplayText&gt;&lt;record&gt;&lt;dates&gt;&lt;pub-dates&gt;&lt;date&gt;Feb&lt;/date&gt;&lt;/pub-dates&gt;&lt;year&gt;2014&lt;/year&gt;&lt;/dates&gt;&lt;keywords&gt;&lt;keyword&gt;Adult&lt;/keyword&gt;&lt;keyword&gt;Attitude of Health Personnel&lt;/keyword&gt;&lt;keyword&gt;Clinical Competence&lt;/keyword&gt;&lt;keyword&gt;Curriculum&lt;/keyword&gt;&lt;keyword&gt;Education, Medical, Graduate&lt;/keyword&gt;&lt;keyword&gt;Feedback&lt;/keyword&gt;&lt;keyword&gt;Female&lt;/keyword&gt;&lt;keyword&gt;Great Britain&lt;/keyword&gt;&lt;keyword&gt;Humans&lt;/keyword&gt;&lt;keyword&gt;Male&lt;/keyword&gt;&lt;keyword&gt;Physicians&lt;/keyword&gt;&lt;keyword&gt;Schools, Medical&lt;/keyword&gt;&lt;keyword&gt;Students, Medical&lt;/keyword&gt;&lt;keyword&gt;Surveys and Questionnaires&lt;/keyword&gt;&lt;/keywords&gt;&lt;urls&gt;&lt;related-urls&gt;&lt;url&gt;http://www.ncbi.nlm.nih.gov/pubmed/23223778&lt;/url&gt;&lt;/related-urls&gt;&lt;/urls&gt;&lt;isbn&gt;1469-0756&lt;/isbn&gt;&lt;titles&gt;&lt;title&gt;Foundation doctors&amp;apos; views on whether their medical school prepared them well for work: UK graduates of 2008 and 2009&lt;/title&gt;&lt;secondary-title&gt;Postgrad Med J&lt;/secondary-title&gt;&lt;/titles&gt;&lt;pages&gt;63-8&lt;/pages&gt;&lt;number&gt;1060&lt;/number&gt;&lt;contributors&gt;&lt;authors&gt;&lt;author&gt;Goldacre, M. J.&lt;/author&gt;&lt;author&gt;Lambert, T. W.&lt;/author&gt;&lt;author&gt;Svirko, E.&lt;/author&gt;&lt;/authors&gt;&lt;/contributors&gt;&lt;language&gt;eng&lt;/language&gt;&lt;added-date format="utc"&gt;1457608177&lt;/added-date&gt;&lt;ref-type name="Journal Article"&gt;17&lt;/ref-type&gt;&lt;rec-number&gt;221&lt;/rec-number&gt;&lt;last-updated-date format="utc"&gt;1457608177&lt;/last-updated-date&gt;&lt;accession-num&gt;23223778&lt;/accession-num&gt;&lt;electronic-resource-num&gt;10.1136/postgradmedj-2012-131321&lt;/electronic-resource-num&gt;&lt;volume&gt;90&lt;/volume&gt;&lt;/record&gt;&lt;/Cite&gt;&lt;/EndNote&gt;</w:instrText>
      </w:r>
      <w:r w:rsidR="00DB2C37">
        <w:rPr>
          <w:rFonts w:cs="Arial"/>
          <w:szCs w:val="24"/>
        </w:rPr>
        <w:fldChar w:fldCharType="separate"/>
      </w:r>
      <w:r w:rsidR="00DB2C37">
        <w:rPr>
          <w:rFonts w:cs="Arial"/>
          <w:noProof/>
          <w:szCs w:val="24"/>
        </w:rPr>
        <w:t>(Goldacre et al., 2014)</w:t>
      </w:r>
      <w:r w:rsidR="00DB2C37">
        <w:rPr>
          <w:rFonts w:cs="Arial"/>
          <w:szCs w:val="24"/>
        </w:rPr>
        <w:fldChar w:fldCharType="end"/>
      </w:r>
      <w:r w:rsidR="00DB2C37">
        <w:rPr>
          <w:rFonts w:cs="Arial"/>
          <w:szCs w:val="24"/>
        </w:rPr>
        <w:t>.</w:t>
      </w:r>
      <w:r w:rsidR="000D0F20" w:rsidRPr="00FE42DE">
        <w:rPr>
          <w:rFonts w:cs="Arial"/>
          <w:szCs w:val="24"/>
        </w:rPr>
        <w:t xml:space="preserve"> </w:t>
      </w:r>
      <w:r w:rsidR="00F70843">
        <w:rPr>
          <w:rFonts w:cs="Arial"/>
          <w:szCs w:val="24"/>
        </w:rPr>
        <w:t>Several</w:t>
      </w:r>
      <w:r>
        <w:rPr>
          <w:rFonts w:cs="Arial"/>
          <w:szCs w:val="24"/>
        </w:rPr>
        <w:t xml:space="preserve"> attempts</w:t>
      </w:r>
      <w:r w:rsidR="00DF1B9B">
        <w:rPr>
          <w:rFonts w:cs="Arial"/>
          <w:szCs w:val="24"/>
        </w:rPr>
        <w:t xml:space="preserve"> </w:t>
      </w:r>
      <w:r w:rsidR="00F70843">
        <w:rPr>
          <w:rFonts w:cs="Arial"/>
          <w:szCs w:val="24"/>
        </w:rPr>
        <w:t xml:space="preserve">have </w:t>
      </w:r>
      <w:r>
        <w:rPr>
          <w:rFonts w:cs="Arial"/>
          <w:szCs w:val="24"/>
        </w:rPr>
        <w:t>been made</w:t>
      </w:r>
      <w:r w:rsidR="00DF1B9B">
        <w:rPr>
          <w:rFonts w:cs="Arial"/>
          <w:szCs w:val="24"/>
        </w:rPr>
        <w:t xml:space="preserve"> to dissect these</w:t>
      </w:r>
      <w:r>
        <w:rPr>
          <w:rFonts w:cs="Arial"/>
          <w:szCs w:val="24"/>
        </w:rPr>
        <w:t xml:space="preserve"> confusing statistics</w:t>
      </w:r>
      <w:r w:rsidR="00F70843">
        <w:rPr>
          <w:rFonts w:cs="Arial"/>
          <w:szCs w:val="24"/>
        </w:rPr>
        <w:t xml:space="preserve">. </w:t>
      </w:r>
    </w:p>
    <w:p w14:paraId="3B7BF9F8" w14:textId="03F4B20D" w:rsidR="0006448D" w:rsidRDefault="00DE07AB" w:rsidP="00C50552">
      <w:pPr>
        <w:rPr>
          <w:rFonts w:eastAsiaTheme="minorEastAsia" w:cs="Arial"/>
          <w:szCs w:val="24"/>
          <w:lang w:val="en-US"/>
        </w:rPr>
      </w:pPr>
      <w:r>
        <w:rPr>
          <w:rFonts w:cs="Arial"/>
          <w:szCs w:val="24"/>
        </w:rPr>
        <w:t>A</w:t>
      </w:r>
      <w:r w:rsidR="000D0F20" w:rsidRPr="00FE42DE">
        <w:rPr>
          <w:rFonts w:cs="Arial"/>
          <w:szCs w:val="24"/>
        </w:rPr>
        <w:t xml:space="preserve"> retrospective postal questionnaire sent to all UK medical graduates with the statement </w:t>
      </w:r>
      <w:r w:rsidR="000D0F20" w:rsidRPr="00FE42DE">
        <w:rPr>
          <w:rFonts w:eastAsiaTheme="minorEastAsia" w:cs="Arial"/>
          <w:szCs w:val="24"/>
          <w:lang w:val="en-US"/>
        </w:rPr>
        <w:t>"My experience at medical school has prepared me well for the jobs I have undertaken so far"</w:t>
      </w:r>
      <w:r w:rsidR="00FE42DE">
        <w:rPr>
          <w:rFonts w:eastAsiaTheme="minorEastAsia" w:cs="Arial"/>
          <w:szCs w:val="24"/>
          <w:lang w:val="en-US"/>
        </w:rPr>
        <w:t>, r</w:t>
      </w:r>
      <w:r w:rsidR="000D0F20" w:rsidRPr="00FE42DE">
        <w:rPr>
          <w:rFonts w:eastAsiaTheme="minorEastAsia" w:cs="Arial"/>
          <w:szCs w:val="24"/>
          <w:lang w:val="en-US"/>
        </w:rPr>
        <w:t>evealed an increase from 36.3% agreeing with the statement to 50.3% in 2003 and 58.5% in 2005</w:t>
      </w:r>
      <w:r w:rsidR="00123906">
        <w:rPr>
          <w:rFonts w:eastAsiaTheme="minorEastAsia" w:cs="Arial"/>
          <w:szCs w:val="24"/>
          <w:lang w:val="en-US"/>
        </w:rPr>
        <w:t xml:space="preserve"> </w:t>
      </w:r>
      <w:r w:rsidR="00123906">
        <w:rPr>
          <w:rFonts w:eastAsiaTheme="minorEastAsia" w:cs="Arial"/>
          <w:szCs w:val="24"/>
          <w:lang w:val="en-US"/>
        </w:rPr>
        <w:fldChar w:fldCharType="begin"/>
      </w:r>
      <w:r w:rsidR="00123906">
        <w:rPr>
          <w:rFonts w:eastAsiaTheme="minorEastAsia" w:cs="Arial"/>
          <w:szCs w:val="24"/>
          <w:lang w:val="en-US"/>
        </w:rPr>
        <w:instrText xml:space="preserve"> ADDIN EN.CITE &lt;EndNote&gt;&lt;Cite&gt;&lt;Author&gt;Cave&lt;/Author&gt;&lt;Year&gt;2007&lt;/Year&gt;&lt;IDText&gt;Newly qualified doctors&amp;apos; views about whether their medical school had trained them well: questionnaire surveys&lt;/IDText&gt;&lt;DisplayText&gt;(Cave et al., 2007)&lt;/DisplayText&gt;&lt;record&gt;&lt;dates&gt;&lt;pub-dates&gt;&lt;date&gt;2007 Oct&lt;/date&gt;&lt;/pub-dates&gt;&lt;year&gt;2007&lt;/year&gt;&lt;/dates&gt;&lt;urls&gt;&lt;related-urls&gt;&lt;url&gt;&amp;lt;Go to ISI&amp;gt;://MEDLINE:17945007&lt;/url&gt;&lt;/related-urls&gt;&lt;/urls&gt;&lt;isbn&gt;1472-6920&lt;/isbn&gt;&lt;titles&gt;&lt;title&gt;Newly qualified doctors&amp;apos; views about whether their medical school had trained them well: questionnaire surveys&lt;/title&gt;&lt;secondary-title&gt;BMC medical education&lt;/secondary-title&gt;&lt;/titles&gt;&lt;pages&gt;38-38&lt;/pages&gt;&lt;contributors&gt;&lt;authors&gt;&lt;author&gt;Cave, Judith&lt;/author&gt;&lt;author&gt;Goldacre, Michael&lt;/author&gt;&lt;author&gt;Lambert, Trevor&lt;/author&gt;&lt;author&gt;Woolf, Kath&lt;/author&gt;&lt;author&gt;Jones, Alison&lt;/author&gt;&lt;author&gt;Dacre, Jane&lt;/author&gt;&lt;/authors&gt;&lt;/contributors&gt;&lt;added-date format="utc"&gt;1390908151&lt;/added-date&gt;&lt;ref-type name="Journal Article"&gt;17&lt;/ref-type&gt;&lt;rec-number&gt;28&lt;/rec-number&gt;&lt;last-updated-date format="utc"&gt;1457602805&lt;/last-updated-date&gt;&lt;accession-num&gt;MEDLINE:17945007&lt;/accession-num&gt;&lt;electronic-resource-num&gt;10.1186/1472-6920-7-38&lt;/electronic-resource-num&gt;&lt;volume&gt;7&lt;/volume&gt;&lt;/record&gt;&lt;/Cite&gt;&lt;/EndNote&gt;</w:instrText>
      </w:r>
      <w:r w:rsidR="00123906">
        <w:rPr>
          <w:rFonts w:eastAsiaTheme="minorEastAsia" w:cs="Arial"/>
          <w:szCs w:val="24"/>
          <w:lang w:val="en-US"/>
        </w:rPr>
        <w:fldChar w:fldCharType="separate"/>
      </w:r>
      <w:r w:rsidR="00123906">
        <w:rPr>
          <w:rFonts w:eastAsiaTheme="minorEastAsia" w:cs="Arial"/>
          <w:noProof/>
          <w:szCs w:val="24"/>
          <w:lang w:val="en-US"/>
        </w:rPr>
        <w:t>(Cave et al., 2007)</w:t>
      </w:r>
      <w:r w:rsidR="00123906">
        <w:rPr>
          <w:rFonts w:eastAsiaTheme="minorEastAsia" w:cs="Arial"/>
          <w:szCs w:val="24"/>
          <w:lang w:val="en-US"/>
        </w:rPr>
        <w:fldChar w:fldCharType="end"/>
      </w:r>
      <w:r w:rsidR="000D0F20" w:rsidRPr="00FE42DE">
        <w:rPr>
          <w:rFonts w:eastAsiaTheme="minorEastAsia" w:cs="Arial"/>
          <w:szCs w:val="24"/>
          <w:lang w:val="en-US"/>
        </w:rPr>
        <w:t>. This was a retrospective subjective repo</w:t>
      </w:r>
      <w:r w:rsidR="00123906">
        <w:rPr>
          <w:rFonts w:eastAsiaTheme="minorEastAsia" w:cs="Arial"/>
          <w:szCs w:val="24"/>
          <w:lang w:val="en-US"/>
        </w:rPr>
        <w:t>rted measure of preparedness</w:t>
      </w:r>
      <w:r w:rsidR="00772548">
        <w:rPr>
          <w:rFonts w:eastAsiaTheme="minorEastAsia" w:cs="Arial"/>
          <w:szCs w:val="24"/>
          <w:lang w:val="en-US"/>
        </w:rPr>
        <w:t xml:space="preserve"> at</w:t>
      </w:r>
      <w:r w:rsidR="00123906">
        <w:rPr>
          <w:rFonts w:eastAsiaTheme="minorEastAsia" w:cs="Arial"/>
          <w:szCs w:val="24"/>
          <w:lang w:val="en-US"/>
        </w:rPr>
        <w:t xml:space="preserve"> risk of recall bias</w:t>
      </w:r>
      <w:r w:rsidR="00772548">
        <w:rPr>
          <w:rFonts w:eastAsiaTheme="minorEastAsia" w:cs="Arial"/>
          <w:szCs w:val="24"/>
          <w:lang w:val="en-US"/>
        </w:rPr>
        <w:t>.</w:t>
      </w:r>
      <w:r w:rsidR="00FE42DE" w:rsidRPr="00FE42DE">
        <w:rPr>
          <w:rFonts w:eastAsiaTheme="minorEastAsia" w:cs="Arial"/>
          <w:szCs w:val="24"/>
          <w:lang w:val="en-US"/>
        </w:rPr>
        <w:t xml:space="preserve"> </w:t>
      </w:r>
      <w:r w:rsidR="00772548">
        <w:rPr>
          <w:rFonts w:eastAsiaTheme="minorEastAsia" w:cs="Arial"/>
          <w:szCs w:val="24"/>
          <w:lang w:val="en-US"/>
        </w:rPr>
        <w:t>S</w:t>
      </w:r>
      <w:r w:rsidR="000D0F20" w:rsidRPr="00FE42DE">
        <w:rPr>
          <w:rFonts w:eastAsiaTheme="minorEastAsia" w:cs="Arial"/>
          <w:szCs w:val="24"/>
          <w:lang w:val="en-US"/>
        </w:rPr>
        <w:t>elf</w:t>
      </w:r>
      <w:r w:rsidR="00FE42DE" w:rsidRPr="00FE42DE">
        <w:rPr>
          <w:rFonts w:eastAsiaTheme="minorEastAsia" w:cs="Arial"/>
          <w:szCs w:val="24"/>
          <w:lang w:val="en-US"/>
        </w:rPr>
        <w:t>-</w:t>
      </w:r>
      <w:r w:rsidR="000D0F20" w:rsidRPr="00FE42DE">
        <w:rPr>
          <w:rFonts w:eastAsiaTheme="minorEastAsia" w:cs="Arial"/>
          <w:szCs w:val="24"/>
          <w:lang w:val="en-US"/>
        </w:rPr>
        <w:t>perceived capability</w:t>
      </w:r>
      <w:r w:rsidR="00FE42DE">
        <w:rPr>
          <w:rFonts w:eastAsiaTheme="minorEastAsia" w:cs="Arial"/>
          <w:szCs w:val="24"/>
          <w:lang w:val="en-US"/>
        </w:rPr>
        <w:t xml:space="preserve"> related to ability to undertake the jobs that they have been involved in as </w:t>
      </w:r>
      <w:r w:rsidR="00BC4377">
        <w:rPr>
          <w:rFonts w:eastAsiaTheme="minorEastAsia" w:cs="Arial"/>
          <w:szCs w:val="24"/>
          <w:lang w:val="en-US"/>
        </w:rPr>
        <w:t>a FY1</w:t>
      </w:r>
      <w:r w:rsidR="009668AF">
        <w:rPr>
          <w:rFonts w:eastAsiaTheme="minorEastAsia" w:cs="Arial"/>
          <w:szCs w:val="24"/>
          <w:lang w:val="en-US"/>
        </w:rPr>
        <w:t xml:space="preserve"> at one particular time point</w:t>
      </w:r>
      <w:r w:rsidR="000D0F20" w:rsidRPr="00FE42DE">
        <w:rPr>
          <w:rFonts w:eastAsiaTheme="minorEastAsia" w:cs="Arial"/>
          <w:szCs w:val="24"/>
          <w:lang w:val="en-US"/>
        </w:rPr>
        <w:t xml:space="preserve">. </w:t>
      </w:r>
      <w:r w:rsidR="00FE42DE" w:rsidRPr="00FE42DE">
        <w:rPr>
          <w:rFonts w:eastAsiaTheme="minorEastAsia" w:cs="Arial"/>
          <w:szCs w:val="24"/>
          <w:lang w:val="en-US"/>
        </w:rPr>
        <w:t xml:space="preserve">Response rates for the questionnaire were initially very good at 67% of the graduating cohort, however </w:t>
      </w:r>
      <w:r w:rsidR="00FE42DE" w:rsidRPr="00FE42DE">
        <w:rPr>
          <w:rFonts w:eastAsiaTheme="minorEastAsia" w:cs="Arial"/>
          <w:szCs w:val="24"/>
          <w:lang w:val="en-US"/>
        </w:rPr>
        <w:lastRenderedPageBreak/>
        <w:t>in 2005 only 43% of new FY1s responded</w:t>
      </w:r>
      <w:r w:rsidR="00123906">
        <w:rPr>
          <w:rFonts w:eastAsiaTheme="minorEastAsia" w:cs="Arial"/>
          <w:szCs w:val="24"/>
          <w:lang w:val="en-US"/>
        </w:rPr>
        <w:t xml:space="preserve"> </w:t>
      </w:r>
      <w:r w:rsidR="00123906">
        <w:rPr>
          <w:rFonts w:eastAsiaTheme="minorEastAsia" w:cs="Arial"/>
          <w:szCs w:val="24"/>
          <w:lang w:val="en-US"/>
        </w:rPr>
        <w:fldChar w:fldCharType="begin"/>
      </w:r>
      <w:r w:rsidR="00123906">
        <w:rPr>
          <w:rFonts w:eastAsiaTheme="minorEastAsia" w:cs="Arial"/>
          <w:szCs w:val="24"/>
          <w:lang w:val="en-US"/>
        </w:rPr>
        <w:instrText xml:space="preserve"> ADDIN EN.CITE &lt;EndNote&gt;&lt;Cite&gt;&lt;Author&gt;Cave&lt;/Author&gt;&lt;Year&gt;2007&lt;/Year&gt;&lt;IDText&gt;Newly qualified doctors&amp;apos; views about whether their medical school had trained them well: questionnaire surveys&lt;/IDText&gt;&lt;DisplayText&gt;(Cave et al., 2007)&lt;/DisplayText&gt;&lt;record&gt;&lt;dates&gt;&lt;pub-dates&gt;&lt;date&gt;2007 Oct&lt;/date&gt;&lt;/pub-dates&gt;&lt;year&gt;2007&lt;/year&gt;&lt;/dates&gt;&lt;urls&gt;&lt;related-urls&gt;&lt;url&gt;&amp;lt;Go to ISI&amp;gt;://MEDLINE:17945007&lt;/url&gt;&lt;/related-urls&gt;&lt;/urls&gt;&lt;isbn&gt;1472-6920&lt;/isbn&gt;&lt;titles&gt;&lt;title&gt;Newly qualified doctors&amp;apos; views about whether their medical school had trained them well: questionnaire surveys&lt;/title&gt;&lt;secondary-title&gt;BMC medical education&lt;/secondary-title&gt;&lt;/titles&gt;&lt;pages&gt;38-38&lt;/pages&gt;&lt;contributors&gt;&lt;authors&gt;&lt;author&gt;Cave, Judith&lt;/author&gt;&lt;author&gt;Goldacre, Michael&lt;/author&gt;&lt;author&gt;Lambert, Trevor&lt;/author&gt;&lt;author&gt;Woolf, Kath&lt;/author&gt;&lt;author&gt;Jones, Alison&lt;/author&gt;&lt;author&gt;Dacre, Jane&lt;/author&gt;&lt;/authors&gt;&lt;/contributors&gt;&lt;added-date format="utc"&gt;1390908151&lt;/added-date&gt;&lt;ref-type name="Journal Article"&gt;17&lt;/ref-type&gt;&lt;rec-number&gt;28&lt;/rec-number&gt;&lt;last-updated-date format="utc"&gt;1457602805&lt;/last-updated-date&gt;&lt;accession-num&gt;MEDLINE:17945007&lt;/accession-num&gt;&lt;electronic-resource-num&gt;10.1186/1472-6920-7-38&lt;/electronic-resource-num&gt;&lt;volume&gt;7&lt;/volume&gt;&lt;/record&gt;&lt;/Cite&gt;&lt;/EndNote&gt;</w:instrText>
      </w:r>
      <w:r w:rsidR="00123906">
        <w:rPr>
          <w:rFonts w:eastAsiaTheme="minorEastAsia" w:cs="Arial"/>
          <w:szCs w:val="24"/>
          <w:lang w:val="en-US"/>
        </w:rPr>
        <w:fldChar w:fldCharType="separate"/>
      </w:r>
      <w:r w:rsidR="00123906">
        <w:rPr>
          <w:rFonts w:eastAsiaTheme="minorEastAsia" w:cs="Arial"/>
          <w:noProof/>
          <w:szCs w:val="24"/>
          <w:lang w:val="en-US"/>
        </w:rPr>
        <w:t>(Cave et al., 2007)</w:t>
      </w:r>
      <w:r w:rsidR="00123906">
        <w:rPr>
          <w:rFonts w:eastAsiaTheme="minorEastAsia" w:cs="Arial"/>
          <w:szCs w:val="24"/>
          <w:lang w:val="en-US"/>
        </w:rPr>
        <w:fldChar w:fldCharType="end"/>
      </w:r>
      <w:r w:rsidR="00123906">
        <w:rPr>
          <w:rFonts w:eastAsiaTheme="minorEastAsia" w:cs="Arial"/>
          <w:szCs w:val="24"/>
          <w:lang w:val="en-US"/>
        </w:rPr>
        <w:t>. This</w:t>
      </w:r>
      <w:r w:rsidR="00FE42DE" w:rsidRPr="00FE42DE">
        <w:rPr>
          <w:rFonts w:eastAsiaTheme="minorEastAsia" w:cs="Arial"/>
          <w:szCs w:val="24"/>
          <w:lang w:val="en-US"/>
        </w:rPr>
        <w:t xml:space="preserve"> may not be representative of the whole cohort and</w:t>
      </w:r>
      <w:r w:rsidR="00772548">
        <w:rPr>
          <w:rFonts w:eastAsiaTheme="minorEastAsia" w:cs="Arial"/>
          <w:szCs w:val="24"/>
          <w:lang w:val="en-US"/>
        </w:rPr>
        <w:t xml:space="preserve"> t</w:t>
      </w:r>
      <w:r w:rsidR="00123906">
        <w:rPr>
          <w:rFonts w:eastAsiaTheme="minorEastAsia" w:cs="Arial"/>
          <w:szCs w:val="24"/>
          <w:lang w:val="en-US"/>
        </w:rPr>
        <w:t>here is no information on the preparedness of non-responders.</w:t>
      </w:r>
      <w:r w:rsidR="00F37A7F">
        <w:rPr>
          <w:rFonts w:eastAsiaTheme="minorEastAsia" w:cs="Arial"/>
          <w:szCs w:val="24"/>
          <w:lang w:val="en-US"/>
        </w:rPr>
        <w:t xml:space="preserve"> </w:t>
      </w:r>
    </w:p>
    <w:p w14:paraId="573F4694" w14:textId="1AB120C0" w:rsidR="009668AF" w:rsidRDefault="00123906" w:rsidP="00C50552">
      <w:pPr>
        <w:rPr>
          <w:rFonts w:eastAsiaTheme="minorEastAsia" w:cs="Arial"/>
          <w:szCs w:val="24"/>
          <w:lang w:val="en-US"/>
        </w:rPr>
      </w:pPr>
      <w:r>
        <w:rPr>
          <w:rFonts w:eastAsiaTheme="minorEastAsia" w:cs="Arial"/>
          <w:szCs w:val="24"/>
          <w:lang w:val="en-US"/>
        </w:rPr>
        <w:t xml:space="preserve">Whilst </w:t>
      </w:r>
      <w:r w:rsidR="00F37A7F">
        <w:rPr>
          <w:rFonts w:eastAsiaTheme="minorEastAsia" w:cs="Arial"/>
          <w:szCs w:val="24"/>
          <w:lang w:val="en-US"/>
        </w:rPr>
        <w:t>Cave et al.</w:t>
      </w:r>
      <w:r w:rsidR="00FE42DE" w:rsidRPr="00FE42DE">
        <w:rPr>
          <w:rFonts w:eastAsiaTheme="minorEastAsia" w:cs="Arial"/>
          <w:szCs w:val="24"/>
          <w:lang w:val="en-US"/>
        </w:rPr>
        <w:t xml:space="preserve"> </w:t>
      </w:r>
      <w:r w:rsidR="00A42C06">
        <w:rPr>
          <w:rFonts w:eastAsiaTheme="minorEastAsia" w:cs="Arial"/>
          <w:szCs w:val="24"/>
          <w:lang w:val="en-US"/>
        </w:rPr>
        <w:t xml:space="preserve">(2007) </w:t>
      </w:r>
      <w:r w:rsidR="00F37A7F">
        <w:rPr>
          <w:rFonts w:eastAsiaTheme="minorEastAsia" w:cs="Arial"/>
          <w:szCs w:val="24"/>
          <w:lang w:val="en-US"/>
        </w:rPr>
        <w:t xml:space="preserve">report an </w:t>
      </w:r>
      <w:r w:rsidR="00FE42DE" w:rsidRPr="00FE42DE">
        <w:rPr>
          <w:rFonts w:eastAsiaTheme="minorEastAsia" w:cs="Arial"/>
          <w:szCs w:val="24"/>
          <w:lang w:val="en-US"/>
        </w:rPr>
        <w:t xml:space="preserve">ongoing significant </w:t>
      </w:r>
      <w:r w:rsidR="000D0F20" w:rsidRPr="00FE42DE">
        <w:rPr>
          <w:rFonts w:eastAsiaTheme="minorEastAsia" w:cs="Arial"/>
          <w:szCs w:val="24"/>
          <w:lang w:val="en-US"/>
        </w:rPr>
        <w:t xml:space="preserve">variation </w:t>
      </w:r>
      <w:r w:rsidR="00FE42DE" w:rsidRPr="00FE42DE">
        <w:rPr>
          <w:rFonts w:eastAsiaTheme="minorEastAsia" w:cs="Arial"/>
          <w:szCs w:val="24"/>
          <w:lang w:val="en-US"/>
        </w:rPr>
        <w:t xml:space="preserve">in preparedness </w:t>
      </w:r>
      <w:r w:rsidR="000D0F20" w:rsidRPr="00FE42DE">
        <w:rPr>
          <w:rFonts w:eastAsiaTheme="minorEastAsia" w:cs="Arial"/>
          <w:szCs w:val="24"/>
          <w:lang w:val="en-US"/>
        </w:rPr>
        <w:t xml:space="preserve">between doctors from different </w:t>
      </w:r>
      <w:r w:rsidR="00FE42DE" w:rsidRPr="00FE42DE">
        <w:rPr>
          <w:rFonts w:eastAsiaTheme="minorEastAsia" w:cs="Arial"/>
          <w:szCs w:val="24"/>
          <w:lang w:val="en-US"/>
        </w:rPr>
        <w:t xml:space="preserve">UK </w:t>
      </w:r>
      <w:r w:rsidR="00F37A7F">
        <w:rPr>
          <w:rFonts w:eastAsiaTheme="minorEastAsia" w:cs="Arial"/>
          <w:szCs w:val="24"/>
          <w:lang w:val="en-US"/>
        </w:rPr>
        <w:t xml:space="preserve">medical schools, a later paper by </w:t>
      </w:r>
      <w:proofErr w:type="spellStart"/>
      <w:r w:rsidR="00F37A7F">
        <w:rPr>
          <w:rFonts w:eastAsiaTheme="minorEastAsia" w:cs="Arial"/>
          <w:szCs w:val="24"/>
          <w:lang w:val="en-US"/>
        </w:rPr>
        <w:t>Illing</w:t>
      </w:r>
      <w:proofErr w:type="spellEnd"/>
      <w:r w:rsidR="00F37A7F">
        <w:rPr>
          <w:rFonts w:eastAsiaTheme="minorEastAsia" w:cs="Arial"/>
          <w:szCs w:val="24"/>
          <w:lang w:val="en-US"/>
        </w:rPr>
        <w:t xml:space="preserve"> et al. reports no substantial variation between three medical schools (selected for curricular diversity) when comparing preparedness for practice </w:t>
      </w:r>
      <w:r w:rsidR="00F37A7F">
        <w:rPr>
          <w:rFonts w:eastAsiaTheme="minorEastAsia" w:cs="Arial"/>
          <w:szCs w:val="24"/>
          <w:lang w:val="en-US"/>
        </w:rPr>
        <w:fldChar w:fldCharType="begin"/>
      </w:r>
      <w:r w:rsidR="00F37A7F">
        <w:rPr>
          <w:rFonts w:eastAsiaTheme="minorEastAsia" w:cs="Arial"/>
          <w:szCs w:val="24"/>
          <w:lang w:val="en-US"/>
        </w:rPr>
        <w:instrText xml:space="preserve"> ADDIN EN.CITE &lt;EndNote&gt;&lt;Cite&gt;&lt;Author&gt;Illing&lt;/Author&gt;&lt;Year&gt;2013&lt;/Year&gt;&lt;IDText&gt;Perceptions of UK medical graduates&amp;apos; preparedness for practice: a multi-centre qualitative study reflecting the importance of learning on the job&lt;/IDText&gt;&lt;DisplayText&gt;(Illing et al., 2013)&lt;/DisplayText&gt;&lt;record&gt;&lt;keywords&gt;&lt;keyword&gt;Adult&lt;/keyword&gt;&lt;keyword&gt;Clinical Competence&lt;/keyword&gt;&lt;keyword&gt;Cross-Sectional Studies&lt;/keyword&gt;&lt;keyword&gt;Education, Medical&lt;/keyword&gt;&lt;keyword&gt;Female&lt;/keyword&gt;&lt;keyword&gt;Great Britain&lt;/keyword&gt;&lt;keyword&gt;Humans&lt;/keyword&gt;&lt;keyword&gt;Learning&lt;/keyword&gt;&lt;keyword&gt;Male&lt;/keyword&gt;&lt;keyword&gt;Physicians&lt;/keyword&gt;&lt;keyword&gt;Prospective Studies&lt;/keyword&gt;&lt;keyword&gt;Schools, Medical&lt;/keyword&gt;&lt;keyword&gt;Self-Assessment&lt;/keyword&gt;&lt;/keywords&gt;&lt;urls&gt;&lt;related-urls&gt;&lt;url&gt;http://www.ncbi.nlm.nih.gov/pubmed/23446055&lt;/url&gt;&lt;/related-urls&gt;&lt;/urls&gt;&lt;isbn&gt;1472-6920&lt;/isbn&gt;&lt;custom2&gt;PMC3599362&lt;/custom2&gt;&lt;titles&gt;&lt;title&gt;Perceptions of UK medical graduates&amp;apos; preparedness for practice: a multi-centre qualitative study reflecting the importance of learning on the job&lt;/title&gt;&lt;secondary-title&gt;BMC Med Educ&lt;/secondary-title&gt;&lt;/titles&gt;&lt;pages&gt;34&lt;/pages&gt;&lt;contributors&gt;&lt;authors&gt;&lt;author&gt;Illing, J. C.&lt;/author&gt;&lt;author&gt;Morrow, G. M.&lt;/author&gt;&lt;author&gt;Rothwell nee Kergon, C. R.&lt;/author&gt;&lt;author&gt;Burford, B. C.&lt;/author&gt;&lt;author&gt;Baldauf, B. K.&lt;/author&gt;&lt;author&gt;Davies, C. L.&lt;/author&gt;&lt;author&gt;Peile, E. B.&lt;/author&gt;&lt;author&gt;Spencer, J. A.&lt;/author&gt;&lt;author&gt;Johnson, N.&lt;/author&gt;&lt;author&gt;Allen, M.&lt;/author&gt;&lt;author&gt;Morrison, J.&lt;/author&gt;&lt;/authors&gt;&lt;/contributors&gt;&lt;language&gt;eng&lt;/language&gt;&lt;added-date format="utc"&gt;1453474269&lt;/added-date&gt;&lt;ref-type name="Journal Article"&gt;17&lt;/ref-type&gt;&lt;dates&gt;&lt;year&gt;2013&lt;/year&gt;&lt;/dates&gt;&lt;rec-number&gt;156&lt;/rec-number&gt;&lt;last-updated-date format="utc"&gt;1453474269&lt;/last-updated-date&gt;&lt;accession-num&gt;23446055&lt;/accession-num&gt;&lt;electronic-resource-num&gt;10.1186/1472-6920-13-34&lt;/electronic-resource-num&gt;&lt;volume&gt;13&lt;/volume&gt;&lt;/record&gt;&lt;/Cite&gt;&lt;/EndNote&gt;</w:instrText>
      </w:r>
      <w:r w:rsidR="00F37A7F">
        <w:rPr>
          <w:rFonts w:eastAsiaTheme="minorEastAsia" w:cs="Arial"/>
          <w:szCs w:val="24"/>
          <w:lang w:val="en-US"/>
        </w:rPr>
        <w:fldChar w:fldCharType="separate"/>
      </w:r>
      <w:r w:rsidR="00F37A7F">
        <w:rPr>
          <w:rFonts w:eastAsiaTheme="minorEastAsia" w:cs="Arial"/>
          <w:noProof/>
          <w:szCs w:val="24"/>
          <w:lang w:val="en-US"/>
        </w:rPr>
        <w:t>(Illing et al., 2013)</w:t>
      </w:r>
      <w:r w:rsidR="00F37A7F">
        <w:rPr>
          <w:rFonts w:eastAsiaTheme="minorEastAsia" w:cs="Arial"/>
          <w:szCs w:val="24"/>
          <w:lang w:val="en-US"/>
        </w:rPr>
        <w:fldChar w:fldCharType="end"/>
      </w:r>
      <w:r w:rsidR="00F37A7F">
        <w:rPr>
          <w:rFonts w:eastAsiaTheme="minorEastAsia" w:cs="Arial"/>
          <w:szCs w:val="24"/>
          <w:lang w:val="en-US"/>
        </w:rPr>
        <w:t xml:space="preserve">. There were substantial differences in </w:t>
      </w:r>
      <w:r w:rsidR="009668AF">
        <w:rPr>
          <w:rFonts w:eastAsiaTheme="minorEastAsia" w:cs="Arial"/>
          <w:szCs w:val="24"/>
          <w:lang w:val="en-US"/>
        </w:rPr>
        <w:t>numbers of FY1s studied in these research papers</w:t>
      </w:r>
      <w:r w:rsidR="00F37A7F">
        <w:rPr>
          <w:rFonts w:eastAsiaTheme="minorEastAsia" w:cs="Arial"/>
          <w:szCs w:val="24"/>
          <w:lang w:val="en-US"/>
        </w:rPr>
        <w:t xml:space="preserve"> (</w:t>
      </w:r>
      <w:proofErr w:type="spellStart"/>
      <w:r w:rsidR="00F37A7F">
        <w:rPr>
          <w:rFonts w:eastAsiaTheme="minorEastAsia" w:cs="Arial"/>
          <w:szCs w:val="24"/>
          <w:lang w:val="en-US"/>
        </w:rPr>
        <w:t>Illing</w:t>
      </w:r>
      <w:proofErr w:type="spellEnd"/>
      <w:r w:rsidR="00F37A7F">
        <w:rPr>
          <w:rFonts w:eastAsiaTheme="minorEastAsia" w:cs="Arial"/>
          <w:szCs w:val="24"/>
          <w:lang w:val="en-US"/>
        </w:rPr>
        <w:t xml:space="preserve"> et al n = 60, Cave et al n = 2057 in 2005 group)</w:t>
      </w:r>
      <w:r w:rsidR="00EF0FDF">
        <w:rPr>
          <w:rFonts w:eastAsiaTheme="minorEastAsia" w:cs="Arial"/>
          <w:szCs w:val="24"/>
          <w:lang w:val="en-US"/>
        </w:rPr>
        <w:t>. T</w:t>
      </w:r>
      <w:r w:rsidR="00F37A7F">
        <w:rPr>
          <w:rFonts w:eastAsiaTheme="minorEastAsia" w:cs="Arial"/>
          <w:szCs w:val="24"/>
          <w:lang w:val="en-US"/>
        </w:rPr>
        <w:t>he larger study</w:t>
      </w:r>
      <w:r w:rsidR="00A42C06">
        <w:rPr>
          <w:rFonts w:eastAsiaTheme="minorEastAsia" w:cs="Arial"/>
          <w:szCs w:val="24"/>
          <w:lang w:val="en-US"/>
        </w:rPr>
        <w:t>,</w:t>
      </w:r>
      <w:r w:rsidR="0065647C">
        <w:rPr>
          <w:rFonts w:eastAsiaTheme="minorEastAsia" w:cs="Arial"/>
          <w:szCs w:val="24"/>
          <w:lang w:val="en-US"/>
        </w:rPr>
        <w:t xml:space="preserve"> that</w:t>
      </w:r>
      <w:r w:rsidR="00F37A7F">
        <w:rPr>
          <w:rFonts w:eastAsiaTheme="minorEastAsia" w:cs="Arial"/>
          <w:szCs w:val="24"/>
          <w:lang w:val="en-US"/>
        </w:rPr>
        <w:t xml:space="preserve"> includ</w:t>
      </w:r>
      <w:r w:rsidR="0065647C">
        <w:rPr>
          <w:rFonts w:eastAsiaTheme="minorEastAsia" w:cs="Arial"/>
          <w:szCs w:val="24"/>
          <w:lang w:val="en-US"/>
        </w:rPr>
        <w:t>es</w:t>
      </w:r>
      <w:r w:rsidR="00F37A7F">
        <w:rPr>
          <w:rFonts w:eastAsiaTheme="minorEastAsia" w:cs="Arial"/>
          <w:szCs w:val="24"/>
          <w:lang w:val="en-US"/>
        </w:rPr>
        <w:t xml:space="preserve"> all medical schools</w:t>
      </w:r>
      <w:r w:rsidR="00A42C06">
        <w:rPr>
          <w:rFonts w:eastAsiaTheme="minorEastAsia" w:cs="Arial"/>
          <w:szCs w:val="24"/>
          <w:lang w:val="en-US"/>
        </w:rPr>
        <w:t>,</w:t>
      </w:r>
      <w:r w:rsidR="00F37A7F">
        <w:rPr>
          <w:rFonts w:eastAsiaTheme="minorEastAsia" w:cs="Arial"/>
          <w:szCs w:val="24"/>
          <w:lang w:val="en-US"/>
        </w:rPr>
        <w:t xml:space="preserve"> </w:t>
      </w:r>
      <w:r w:rsidR="007F08A2">
        <w:rPr>
          <w:rFonts w:eastAsiaTheme="minorEastAsia" w:cs="Arial"/>
          <w:szCs w:val="24"/>
          <w:lang w:val="en-US"/>
        </w:rPr>
        <w:t>is likely to</w:t>
      </w:r>
      <w:r>
        <w:rPr>
          <w:rFonts w:eastAsiaTheme="minorEastAsia" w:cs="Arial"/>
          <w:szCs w:val="24"/>
          <w:lang w:val="en-US"/>
        </w:rPr>
        <w:t xml:space="preserve"> </w:t>
      </w:r>
      <w:r w:rsidR="00F37A7F">
        <w:rPr>
          <w:rFonts w:eastAsiaTheme="minorEastAsia" w:cs="Arial"/>
          <w:szCs w:val="24"/>
          <w:lang w:val="en-US"/>
        </w:rPr>
        <w:t>be mo</w:t>
      </w:r>
      <w:r>
        <w:rPr>
          <w:rFonts w:eastAsiaTheme="minorEastAsia" w:cs="Arial"/>
          <w:szCs w:val="24"/>
          <w:lang w:val="en-US"/>
        </w:rPr>
        <w:t>re representative</w:t>
      </w:r>
      <w:r w:rsidR="007F08A2">
        <w:rPr>
          <w:rFonts w:eastAsiaTheme="minorEastAsia" w:cs="Arial"/>
          <w:szCs w:val="24"/>
          <w:lang w:val="en-US"/>
        </w:rPr>
        <w:t>. O</w:t>
      </w:r>
      <w:r>
        <w:rPr>
          <w:rFonts w:eastAsiaTheme="minorEastAsia" w:cs="Arial"/>
          <w:szCs w:val="24"/>
          <w:lang w:val="en-US"/>
        </w:rPr>
        <w:t xml:space="preserve">wing to the time difference, the variation may represent changes to the </w:t>
      </w:r>
      <w:r w:rsidR="00693688">
        <w:rPr>
          <w:rFonts w:eastAsiaTheme="minorEastAsia" w:cs="Arial"/>
          <w:szCs w:val="24"/>
          <w:lang w:val="en-US"/>
        </w:rPr>
        <w:t>undergraduate</w:t>
      </w:r>
      <w:r>
        <w:rPr>
          <w:rFonts w:eastAsiaTheme="minorEastAsia" w:cs="Arial"/>
          <w:szCs w:val="24"/>
          <w:lang w:val="en-US"/>
        </w:rPr>
        <w:t xml:space="preserve"> curriculum </w:t>
      </w:r>
      <w:r w:rsidR="00D86E37">
        <w:rPr>
          <w:rFonts w:eastAsiaTheme="minorEastAsia" w:cs="Arial"/>
          <w:szCs w:val="24"/>
          <w:lang w:val="en-US"/>
        </w:rPr>
        <w:t xml:space="preserve">as the </w:t>
      </w:r>
      <w:r>
        <w:rPr>
          <w:rFonts w:eastAsiaTheme="minorEastAsia" w:cs="Arial"/>
          <w:szCs w:val="24"/>
          <w:lang w:val="en-US"/>
        </w:rPr>
        <w:t xml:space="preserve">student assistantship </w:t>
      </w:r>
      <w:r w:rsidR="008D291E">
        <w:rPr>
          <w:rFonts w:eastAsiaTheme="minorEastAsia" w:cs="Arial"/>
          <w:szCs w:val="24"/>
          <w:lang w:val="en-US"/>
        </w:rPr>
        <w:t xml:space="preserve">was </w:t>
      </w:r>
      <w:r>
        <w:rPr>
          <w:rFonts w:eastAsiaTheme="minorEastAsia" w:cs="Arial"/>
          <w:szCs w:val="24"/>
          <w:lang w:val="en-US"/>
        </w:rPr>
        <w:t>introduced in 2009</w:t>
      </w:r>
      <w:r w:rsidR="00D86E37">
        <w:rPr>
          <w:rFonts w:eastAsiaTheme="minorEastAsia" w:cs="Arial"/>
          <w:szCs w:val="24"/>
          <w:lang w:val="en-US"/>
        </w:rPr>
        <w:t xml:space="preserve"> (TD 2009</w:t>
      </w:r>
      <w:r>
        <w:rPr>
          <w:rFonts w:eastAsiaTheme="minorEastAsia" w:cs="Arial"/>
          <w:szCs w:val="24"/>
          <w:lang w:val="en-US"/>
        </w:rPr>
        <w:t xml:space="preserve">). </w:t>
      </w:r>
    </w:p>
    <w:p w14:paraId="040455B9" w14:textId="752546F3" w:rsidR="00DD1245" w:rsidRDefault="00DB2C37" w:rsidP="00DD1245">
      <w:pPr>
        <w:rPr>
          <w:rFonts w:eastAsiaTheme="minorEastAsia" w:cs="Arial"/>
          <w:szCs w:val="24"/>
          <w:lang w:val="en-US"/>
        </w:rPr>
      </w:pPr>
      <w:r>
        <w:rPr>
          <w:rFonts w:eastAsiaTheme="minorEastAsia" w:cs="Arial"/>
          <w:szCs w:val="24"/>
          <w:lang w:val="en-US"/>
        </w:rPr>
        <w:t xml:space="preserve">Goldacre et al. </w:t>
      </w:r>
      <w:r w:rsidR="00123906">
        <w:rPr>
          <w:rFonts w:eastAsiaTheme="minorEastAsia" w:cs="Arial"/>
          <w:szCs w:val="24"/>
          <w:lang w:val="en-US"/>
        </w:rPr>
        <w:t xml:space="preserve">(2014) </w:t>
      </w:r>
      <w:r w:rsidR="00D55B5E">
        <w:rPr>
          <w:rFonts w:eastAsiaTheme="minorEastAsia" w:cs="Arial"/>
          <w:szCs w:val="24"/>
          <w:lang w:val="en-US"/>
        </w:rPr>
        <w:t xml:space="preserve">present </w:t>
      </w:r>
      <w:r>
        <w:rPr>
          <w:rFonts w:eastAsiaTheme="minorEastAsia" w:cs="Arial"/>
          <w:szCs w:val="24"/>
          <w:lang w:val="en-US"/>
        </w:rPr>
        <w:t>self</w:t>
      </w:r>
      <w:r w:rsidR="00D55B5E">
        <w:rPr>
          <w:rFonts w:eastAsiaTheme="minorEastAsia" w:cs="Arial"/>
          <w:szCs w:val="24"/>
          <w:lang w:val="en-US"/>
        </w:rPr>
        <w:t>-</w:t>
      </w:r>
      <w:r>
        <w:rPr>
          <w:rFonts w:eastAsiaTheme="minorEastAsia" w:cs="Arial"/>
          <w:szCs w:val="24"/>
          <w:lang w:val="en-US"/>
        </w:rPr>
        <w:t xml:space="preserve">reported preparedness in UK graduates, ranging from 83% </w:t>
      </w:r>
      <w:r w:rsidR="0065647C">
        <w:rPr>
          <w:rFonts w:eastAsiaTheme="minorEastAsia" w:cs="Arial"/>
          <w:szCs w:val="24"/>
          <w:lang w:val="en-US"/>
        </w:rPr>
        <w:t xml:space="preserve">to </w:t>
      </w:r>
      <w:r>
        <w:rPr>
          <w:rFonts w:eastAsiaTheme="minorEastAsia" w:cs="Arial"/>
          <w:szCs w:val="24"/>
          <w:lang w:val="en-US"/>
        </w:rPr>
        <w:t>27%</w:t>
      </w:r>
      <w:r w:rsidR="00D55B5E">
        <w:rPr>
          <w:rFonts w:eastAsiaTheme="minorEastAsia" w:cs="Arial"/>
          <w:szCs w:val="24"/>
          <w:lang w:val="en-US"/>
        </w:rPr>
        <w:t>, with</w:t>
      </w:r>
      <w:r w:rsidR="0065647C">
        <w:rPr>
          <w:rFonts w:eastAsiaTheme="minorEastAsia" w:cs="Arial"/>
          <w:szCs w:val="24"/>
          <w:lang w:val="en-US"/>
        </w:rPr>
        <w:t xml:space="preserve"> </w:t>
      </w:r>
      <w:r>
        <w:rPr>
          <w:rFonts w:eastAsiaTheme="minorEastAsia" w:cs="Arial"/>
          <w:szCs w:val="24"/>
          <w:lang w:val="en-US"/>
        </w:rPr>
        <w:t>25% of doctors repor</w:t>
      </w:r>
      <w:r w:rsidR="00D55B5E">
        <w:rPr>
          <w:rFonts w:eastAsiaTheme="minorEastAsia" w:cs="Arial"/>
          <w:szCs w:val="24"/>
          <w:lang w:val="en-US"/>
        </w:rPr>
        <w:t>ting</w:t>
      </w:r>
      <w:r>
        <w:rPr>
          <w:rFonts w:eastAsiaTheme="minorEastAsia" w:cs="Arial"/>
          <w:szCs w:val="24"/>
          <w:lang w:val="en-US"/>
        </w:rPr>
        <w:t xml:space="preserve"> that feeling unprepared had been a ‘serious or medium sized problem for them’</w:t>
      </w:r>
      <w:r w:rsidR="004C1096">
        <w:rPr>
          <w:rFonts w:eastAsiaTheme="minorEastAsia" w:cs="Arial"/>
          <w:szCs w:val="24"/>
          <w:lang w:val="en-US"/>
        </w:rPr>
        <w:t xml:space="preserve">. </w:t>
      </w:r>
      <w:r w:rsidR="005D3ACB">
        <w:rPr>
          <w:rFonts w:eastAsiaTheme="minorEastAsia" w:cs="Arial"/>
          <w:szCs w:val="24"/>
          <w:lang w:val="en-US"/>
        </w:rPr>
        <w:t>These data were collected following completion of FY1 with response rates around 50%</w:t>
      </w:r>
      <w:r w:rsidR="007F08A2">
        <w:rPr>
          <w:rFonts w:eastAsiaTheme="minorEastAsia" w:cs="Arial"/>
          <w:szCs w:val="24"/>
          <w:lang w:val="en-US"/>
        </w:rPr>
        <w:t>, so</w:t>
      </w:r>
      <w:r w:rsidR="00772548">
        <w:rPr>
          <w:rFonts w:eastAsiaTheme="minorEastAsia" w:cs="Arial"/>
          <w:szCs w:val="24"/>
          <w:lang w:val="en-US"/>
        </w:rPr>
        <w:t xml:space="preserve"> </w:t>
      </w:r>
      <w:r w:rsidR="005D3ACB">
        <w:rPr>
          <w:rFonts w:eastAsiaTheme="minorEastAsia" w:cs="Arial"/>
          <w:szCs w:val="24"/>
          <w:lang w:val="en-US"/>
        </w:rPr>
        <w:t xml:space="preserve">may not </w:t>
      </w:r>
      <w:r w:rsidR="00772548">
        <w:rPr>
          <w:rFonts w:eastAsiaTheme="minorEastAsia" w:cs="Arial"/>
          <w:szCs w:val="24"/>
          <w:lang w:val="en-US"/>
        </w:rPr>
        <w:t xml:space="preserve">be </w:t>
      </w:r>
      <w:r w:rsidR="005D3ACB">
        <w:rPr>
          <w:rFonts w:eastAsiaTheme="minorEastAsia" w:cs="Arial"/>
          <w:szCs w:val="24"/>
          <w:lang w:val="en-US"/>
        </w:rPr>
        <w:t>fully represent</w:t>
      </w:r>
      <w:r w:rsidR="00772548">
        <w:rPr>
          <w:rFonts w:eastAsiaTheme="minorEastAsia" w:cs="Arial"/>
          <w:szCs w:val="24"/>
          <w:lang w:val="en-US"/>
        </w:rPr>
        <w:t>ative</w:t>
      </w:r>
      <w:r w:rsidR="005D3ACB">
        <w:rPr>
          <w:rFonts w:eastAsiaTheme="minorEastAsia" w:cs="Arial"/>
          <w:szCs w:val="24"/>
          <w:lang w:val="en-US"/>
        </w:rPr>
        <w:t>. When the 2008 and 2009 cohorts were combined, 9.3%</w:t>
      </w:r>
      <w:r w:rsidR="00DF2F25">
        <w:rPr>
          <w:rFonts w:eastAsiaTheme="minorEastAsia" w:cs="Arial"/>
          <w:szCs w:val="24"/>
          <w:lang w:val="en-US"/>
        </w:rPr>
        <w:t xml:space="preserve"> </w:t>
      </w:r>
      <w:r w:rsidR="00D55B5E">
        <w:rPr>
          <w:rFonts w:eastAsiaTheme="minorEastAsia" w:cs="Arial"/>
          <w:szCs w:val="24"/>
          <w:lang w:val="en-US"/>
        </w:rPr>
        <w:t>‘</w:t>
      </w:r>
      <w:r w:rsidR="00DF2F25">
        <w:rPr>
          <w:rFonts w:eastAsiaTheme="minorEastAsia" w:cs="Arial"/>
          <w:szCs w:val="24"/>
          <w:lang w:val="en-US"/>
        </w:rPr>
        <w:t>strongly agreed</w:t>
      </w:r>
      <w:r w:rsidR="00D55B5E">
        <w:rPr>
          <w:rFonts w:eastAsiaTheme="minorEastAsia" w:cs="Arial"/>
          <w:szCs w:val="24"/>
          <w:lang w:val="en-US"/>
        </w:rPr>
        <w:t>’</w:t>
      </w:r>
      <w:r w:rsidR="00DF2F25">
        <w:rPr>
          <w:rFonts w:eastAsiaTheme="minorEastAsia" w:cs="Arial"/>
          <w:szCs w:val="24"/>
          <w:lang w:val="en-US"/>
        </w:rPr>
        <w:t xml:space="preserve"> that their med</w:t>
      </w:r>
      <w:r w:rsidR="005D3ACB">
        <w:rPr>
          <w:rFonts w:eastAsiaTheme="minorEastAsia" w:cs="Arial"/>
          <w:szCs w:val="24"/>
          <w:lang w:val="en-US"/>
        </w:rPr>
        <w:t>i</w:t>
      </w:r>
      <w:r w:rsidR="00DF2F25">
        <w:rPr>
          <w:rFonts w:eastAsiaTheme="minorEastAsia" w:cs="Arial"/>
          <w:szCs w:val="24"/>
          <w:lang w:val="en-US"/>
        </w:rPr>
        <w:t>c</w:t>
      </w:r>
      <w:r w:rsidR="005D3ACB">
        <w:rPr>
          <w:rFonts w:eastAsiaTheme="minorEastAsia" w:cs="Arial"/>
          <w:szCs w:val="24"/>
          <w:lang w:val="en-US"/>
        </w:rPr>
        <w:t>a</w:t>
      </w:r>
      <w:r w:rsidR="00DF2F25">
        <w:rPr>
          <w:rFonts w:eastAsiaTheme="minorEastAsia" w:cs="Arial"/>
          <w:szCs w:val="24"/>
          <w:lang w:val="en-US"/>
        </w:rPr>
        <w:t xml:space="preserve">l school prepared them for ‘jobs undertaken so far’ in FY1, 42.1% </w:t>
      </w:r>
      <w:r w:rsidR="00D55B5E">
        <w:rPr>
          <w:rFonts w:eastAsiaTheme="minorEastAsia" w:cs="Arial"/>
          <w:szCs w:val="24"/>
          <w:lang w:val="en-US"/>
        </w:rPr>
        <w:t>‘</w:t>
      </w:r>
      <w:r w:rsidR="00DF2F25">
        <w:rPr>
          <w:rFonts w:eastAsiaTheme="minorEastAsia" w:cs="Arial"/>
          <w:szCs w:val="24"/>
          <w:lang w:val="en-US"/>
        </w:rPr>
        <w:t>agreed</w:t>
      </w:r>
      <w:r w:rsidR="00D55B5E">
        <w:rPr>
          <w:rFonts w:eastAsiaTheme="minorEastAsia" w:cs="Arial"/>
          <w:szCs w:val="24"/>
          <w:lang w:val="en-US"/>
        </w:rPr>
        <w:t>’</w:t>
      </w:r>
      <w:r w:rsidR="00DF2F25">
        <w:rPr>
          <w:rFonts w:eastAsiaTheme="minorEastAsia" w:cs="Arial"/>
          <w:szCs w:val="24"/>
          <w:lang w:val="en-US"/>
        </w:rPr>
        <w:t xml:space="preserve">, 30% were </w:t>
      </w:r>
      <w:r w:rsidR="00D55B5E">
        <w:rPr>
          <w:rFonts w:eastAsiaTheme="minorEastAsia" w:cs="Arial"/>
          <w:szCs w:val="24"/>
          <w:lang w:val="en-US"/>
        </w:rPr>
        <w:t>‘</w:t>
      </w:r>
      <w:r w:rsidR="00DF2F25">
        <w:rPr>
          <w:rFonts w:eastAsiaTheme="minorEastAsia" w:cs="Arial"/>
          <w:szCs w:val="24"/>
          <w:lang w:val="en-US"/>
        </w:rPr>
        <w:t>neutral</w:t>
      </w:r>
      <w:r w:rsidR="00D55B5E">
        <w:rPr>
          <w:rFonts w:eastAsiaTheme="minorEastAsia" w:cs="Arial"/>
          <w:szCs w:val="24"/>
          <w:lang w:val="en-US"/>
        </w:rPr>
        <w:t>’</w:t>
      </w:r>
      <w:r w:rsidR="00DF2F25">
        <w:rPr>
          <w:rFonts w:eastAsiaTheme="minorEastAsia" w:cs="Arial"/>
          <w:szCs w:val="24"/>
          <w:lang w:val="en-US"/>
        </w:rPr>
        <w:t xml:space="preserve">, 15.9% </w:t>
      </w:r>
      <w:r w:rsidR="00D55B5E">
        <w:rPr>
          <w:rFonts w:eastAsiaTheme="minorEastAsia" w:cs="Arial"/>
          <w:szCs w:val="24"/>
          <w:lang w:val="en-US"/>
        </w:rPr>
        <w:t>‘</w:t>
      </w:r>
      <w:r w:rsidR="00DF2F25">
        <w:rPr>
          <w:rFonts w:eastAsiaTheme="minorEastAsia" w:cs="Arial"/>
          <w:szCs w:val="24"/>
          <w:lang w:val="en-US"/>
        </w:rPr>
        <w:t>disagreed</w:t>
      </w:r>
      <w:r w:rsidR="00D55B5E">
        <w:rPr>
          <w:rFonts w:eastAsiaTheme="minorEastAsia" w:cs="Arial"/>
          <w:szCs w:val="24"/>
          <w:lang w:val="en-US"/>
        </w:rPr>
        <w:t>’</w:t>
      </w:r>
      <w:r w:rsidR="00DF2F25">
        <w:rPr>
          <w:rFonts w:eastAsiaTheme="minorEastAsia" w:cs="Arial"/>
          <w:szCs w:val="24"/>
          <w:lang w:val="en-US"/>
        </w:rPr>
        <w:t xml:space="preserve"> and 2.6% </w:t>
      </w:r>
      <w:r w:rsidR="00D55B5E">
        <w:rPr>
          <w:rFonts w:eastAsiaTheme="minorEastAsia" w:cs="Arial"/>
          <w:szCs w:val="24"/>
          <w:lang w:val="en-US"/>
        </w:rPr>
        <w:t>‘</w:t>
      </w:r>
      <w:r w:rsidR="00DF2F25">
        <w:rPr>
          <w:rFonts w:eastAsiaTheme="minorEastAsia" w:cs="Arial"/>
          <w:szCs w:val="24"/>
          <w:lang w:val="en-US"/>
        </w:rPr>
        <w:t>strongly disagreed</w:t>
      </w:r>
      <w:r w:rsidR="00D55B5E">
        <w:rPr>
          <w:rFonts w:eastAsiaTheme="minorEastAsia" w:cs="Arial"/>
          <w:szCs w:val="24"/>
          <w:lang w:val="en-US"/>
        </w:rPr>
        <w:t>’</w:t>
      </w:r>
      <w:r w:rsidR="00DF2F25">
        <w:rPr>
          <w:rFonts w:eastAsiaTheme="minorEastAsia" w:cs="Arial"/>
          <w:szCs w:val="24"/>
          <w:lang w:val="en-US"/>
        </w:rPr>
        <w:t xml:space="preserve">. </w:t>
      </w:r>
      <w:r w:rsidR="00DD1245">
        <w:rPr>
          <w:rFonts w:eastAsiaTheme="minorEastAsia" w:cs="Arial"/>
          <w:szCs w:val="24"/>
          <w:lang w:val="en-US"/>
        </w:rPr>
        <w:t xml:space="preserve">Over time there was an increase in preparedness reported from 1999/2000 (36%) to 2005 (58%) but then a reduction to 49% in 2009. The percentage that </w:t>
      </w:r>
      <w:r w:rsidR="00D55B5E">
        <w:rPr>
          <w:rFonts w:eastAsiaTheme="minorEastAsia" w:cs="Arial"/>
          <w:szCs w:val="24"/>
          <w:lang w:val="en-US"/>
        </w:rPr>
        <w:t>‘</w:t>
      </w:r>
      <w:r w:rsidR="00DD1245">
        <w:rPr>
          <w:rFonts w:eastAsiaTheme="minorEastAsia" w:cs="Arial"/>
          <w:szCs w:val="24"/>
          <w:lang w:val="en-US"/>
        </w:rPr>
        <w:t>disagreed</w:t>
      </w:r>
      <w:r w:rsidR="00D55B5E">
        <w:rPr>
          <w:rFonts w:eastAsiaTheme="minorEastAsia" w:cs="Arial"/>
          <w:szCs w:val="24"/>
          <w:lang w:val="en-US"/>
        </w:rPr>
        <w:t>’</w:t>
      </w:r>
      <w:r w:rsidR="00DD1245">
        <w:rPr>
          <w:rFonts w:eastAsiaTheme="minorEastAsia" w:cs="Arial"/>
          <w:szCs w:val="24"/>
          <w:lang w:val="en-US"/>
        </w:rPr>
        <w:t xml:space="preserve"> or </w:t>
      </w:r>
      <w:r w:rsidR="00D55B5E">
        <w:rPr>
          <w:rFonts w:eastAsiaTheme="minorEastAsia" w:cs="Arial"/>
          <w:szCs w:val="24"/>
          <w:lang w:val="en-US"/>
        </w:rPr>
        <w:t>‘</w:t>
      </w:r>
      <w:r w:rsidR="00DD1245">
        <w:rPr>
          <w:rFonts w:eastAsiaTheme="minorEastAsia" w:cs="Arial"/>
          <w:szCs w:val="24"/>
          <w:lang w:val="en-US"/>
        </w:rPr>
        <w:t>strongly disagreed</w:t>
      </w:r>
      <w:r w:rsidR="00D55B5E">
        <w:rPr>
          <w:rFonts w:eastAsiaTheme="minorEastAsia" w:cs="Arial"/>
          <w:szCs w:val="24"/>
          <w:lang w:val="en-US"/>
        </w:rPr>
        <w:t>’</w:t>
      </w:r>
      <w:r w:rsidR="00DD1245">
        <w:rPr>
          <w:rFonts w:eastAsiaTheme="minorEastAsia" w:cs="Arial"/>
          <w:szCs w:val="24"/>
          <w:lang w:val="en-US"/>
        </w:rPr>
        <w:t xml:space="preserve"> tha</w:t>
      </w:r>
      <w:r w:rsidR="007F08A2">
        <w:rPr>
          <w:rFonts w:eastAsiaTheme="minorEastAsia" w:cs="Arial"/>
          <w:szCs w:val="24"/>
          <w:lang w:val="en-US"/>
        </w:rPr>
        <w:t>t their</w:t>
      </w:r>
      <w:r w:rsidR="00DD1245">
        <w:rPr>
          <w:rFonts w:eastAsiaTheme="minorEastAsia" w:cs="Arial"/>
          <w:szCs w:val="24"/>
          <w:lang w:val="en-US"/>
        </w:rPr>
        <w:t xml:space="preserve"> medical school prepared them has continually reduced </w:t>
      </w:r>
      <w:r w:rsidR="00DD1245">
        <w:rPr>
          <w:rFonts w:eastAsiaTheme="minorEastAsia" w:cs="Arial"/>
          <w:szCs w:val="24"/>
          <w:lang w:val="en-US"/>
        </w:rPr>
        <w:lastRenderedPageBreak/>
        <w:t xml:space="preserve">within each cohort, which is reassuring, but suggests there is still work to be done </w:t>
      </w:r>
      <w:r w:rsidR="00DD1245">
        <w:rPr>
          <w:rFonts w:eastAsiaTheme="minorEastAsia" w:cs="Arial"/>
          <w:szCs w:val="24"/>
          <w:lang w:val="en-US"/>
        </w:rPr>
        <w:fldChar w:fldCharType="begin"/>
      </w:r>
      <w:r w:rsidR="00DD1245">
        <w:rPr>
          <w:rFonts w:eastAsiaTheme="minorEastAsia" w:cs="Arial"/>
          <w:szCs w:val="24"/>
          <w:lang w:val="en-US"/>
        </w:rPr>
        <w:instrText xml:space="preserve"> ADDIN EN.CITE &lt;EndNote&gt;&lt;Cite&gt;&lt;Author&gt;Goldacre&lt;/Author&gt;&lt;Year&gt;2014&lt;/Year&gt;&lt;IDText&gt;Foundation doctors&amp;apos; views on whether their medical school prepared them well for work: UK graduates of 2008 and 2009&lt;/IDText&gt;&lt;DisplayText&gt;(Goldacre et al., 2014)&lt;/DisplayText&gt;&lt;record&gt;&lt;dates&gt;&lt;pub-dates&gt;&lt;date&gt;Feb&lt;/date&gt;&lt;/pub-dates&gt;&lt;year&gt;2014&lt;/year&gt;&lt;/dates&gt;&lt;keywords&gt;&lt;keyword&gt;Adult&lt;/keyword&gt;&lt;keyword&gt;Attitude of Health Personnel&lt;/keyword&gt;&lt;keyword&gt;Clinical Competence&lt;/keyword&gt;&lt;keyword&gt;Curriculum&lt;/keyword&gt;&lt;keyword&gt;Education, Medical, Graduate&lt;/keyword&gt;&lt;keyword&gt;Feedback&lt;/keyword&gt;&lt;keyword&gt;Female&lt;/keyword&gt;&lt;keyword&gt;Great Britain&lt;/keyword&gt;&lt;keyword&gt;Humans&lt;/keyword&gt;&lt;keyword&gt;Male&lt;/keyword&gt;&lt;keyword&gt;Physicians&lt;/keyword&gt;&lt;keyword&gt;Schools, Medical&lt;/keyword&gt;&lt;keyword&gt;Students, Medical&lt;/keyword&gt;&lt;keyword&gt;Surveys and Questionnaires&lt;/keyword&gt;&lt;/keywords&gt;&lt;urls&gt;&lt;related-urls&gt;&lt;url&gt;http://www.ncbi.nlm.nih.gov/pubmed/23223778&lt;/url&gt;&lt;/related-urls&gt;&lt;/urls&gt;&lt;isbn&gt;1469-0756&lt;/isbn&gt;&lt;titles&gt;&lt;title&gt;Foundation doctors&amp;apos; views on whether their medical school prepared them well for work: UK graduates of 2008 and 2009&lt;/title&gt;&lt;secondary-title&gt;Postgrad Med J&lt;/secondary-title&gt;&lt;/titles&gt;&lt;pages&gt;63-8&lt;/pages&gt;&lt;number&gt;1060&lt;/number&gt;&lt;contributors&gt;&lt;authors&gt;&lt;author&gt;Goldacre, M. J.&lt;/author&gt;&lt;author&gt;Lambert, T. W.&lt;/author&gt;&lt;author&gt;Svirko, E.&lt;/author&gt;&lt;/authors&gt;&lt;/contributors&gt;&lt;language&gt;eng&lt;/language&gt;&lt;added-date format="utc"&gt;1457608177&lt;/added-date&gt;&lt;ref-type name="Journal Article"&gt;17&lt;/ref-type&gt;&lt;rec-number&gt;221&lt;/rec-number&gt;&lt;last-updated-date format="utc"&gt;1457608177&lt;/last-updated-date&gt;&lt;accession-num&gt;23223778&lt;/accession-num&gt;&lt;electronic-resource-num&gt;10.1136/postgradmedj-2012-131321&lt;/electronic-resource-num&gt;&lt;volume&gt;90&lt;/volume&gt;&lt;/record&gt;&lt;/Cite&gt;&lt;/EndNote&gt;</w:instrText>
      </w:r>
      <w:r w:rsidR="00DD1245">
        <w:rPr>
          <w:rFonts w:eastAsiaTheme="minorEastAsia" w:cs="Arial"/>
          <w:szCs w:val="24"/>
          <w:lang w:val="en-US"/>
        </w:rPr>
        <w:fldChar w:fldCharType="separate"/>
      </w:r>
      <w:r w:rsidR="00DD1245">
        <w:rPr>
          <w:rFonts w:eastAsiaTheme="minorEastAsia" w:cs="Arial"/>
          <w:noProof/>
          <w:szCs w:val="24"/>
          <w:lang w:val="en-US"/>
        </w:rPr>
        <w:t>(Goldacre et al., 2014)</w:t>
      </w:r>
      <w:r w:rsidR="00DD1245">
        <w:rPr>
          <w:rFonts w:eastAsiaTheme="minorEastAsia" w:cs="Arial"/>
          <w:szCs w:val="24"/>
          <w:lang w:val="en-US"/>
        </w:rPr>
        <w:fldChar w:fldCharType="end"/>
      </w:r>
      <w:r w:rsidR="00DD1245">
        <w:rPr>
          <w:rFonts w:eastAsiaTheme="minorEastAsia" w:cs="Arial"/>
          <w:szCs w:val="24"/>
          <w:lang w:val="en-US"/>
        </w:rPr>
        <w:t xml:space="preserve">. </w:t>
      </w:r>
    </w:p>
    <w:p w14:paraId="79DB656E" w14:textId="29D64F7D" w:rsidR="009668AF" w:rsidRDefault="009668AF" w:rsidP="00C50552">
      <w:pPr>
        <w:rPr>
          <w:rFonts w:eastAsiaTheme="minorEastAsia" w:cs="Arial"/>
          <w:szCs w:val="24"/>
          <w:lang w:val="en-US"/>
        </w:rPr>
      </w:pPr>
      <w:r>
        <w:rPr>
          <w:rFonts w:eastAsiaTheme="minorEastAsia" w:cs="Arial"/>
          <w:szCs w:val="24"/>
          <w:lang w:val="en-US"/>
        </w:rPr>
        <w:t xml:space="preserve">These </w:t>
      </w:r>
      <w:r w:rsidR="007F08A2">
        <w:rPr>
          <w:rFonts w:eastAsiaTheme="minorEastAsia" w:cs="Arial"/>
          <w:szCs w:val="24"/>
          <w:lang w:val="en-US"/>
        </w:rPr>
        <w:t>studies</w:t>
      </w:r>
      <w:r>
        <w:rPr>
          <w:rFonts w:eastAsiaTheme="minorEastAsia" w:cs="Arial"/>
          <w:szCs w:val="24"/>
          <w:lang w:val="en-US"/>
        </w:rPr>
        <w:t xml:space="preserve"> </w:t>
      </w:r>
      <w:r w:rsidR="007F08A2">
        <w:rPr>
          <w:rFonts w:eastAsiaTheme="minorEastAsia" w:cs="Arial"/>
          <w:szCs w:val="24"/>
          <w:lang w:val="en-US"/>
        </w:rPr>
        <w:t xml:space="preserve">are </w:t>
      </w:r>
      <w:r>
        <w:rPr>
          <w:rFonts w:eastAsiaTheme="minorEastAsia" w:cs="Arial"/>
          <w:szCs w:val="24"/>
          <w:lang w:val="en-US"/>
        </w:rPr>
        <w:t xml:space="preserve">good for demonstrating potential patterns but they offer no clear </w:t>
      </w:r>
      <w:r w:rsidR="00EF0FDF">
        <w:rPr>
          <w:rFonts w:eastAsiaTheme="minorEastAsia" w:cs="Arial"/>
          <w:szCs w:val="24"/>
          <w:lang w:val="en-US"/>
        </w:rPr>
        <w:t xml:space="preserve">understanding </w:t>
      </w:r>
      <w:r>
        <w:rPr>
          <w:rFonts w:eastAsiaTheme="minorEastAsia" w:cs="Arial"/>
          <w:szCs w:val="24"/>
          <w:lang w:val="en-US"/>
        </w:rPr>
        <w:t xml:space="preserve">as to why graduates did not feel prepared </w:t>
      </w:r>
      <w:r w:rsidR="00A75E92">
        <w:rPr>
          <w:rFonts w:eastAsiaTheme="minorEastAsia" w:cs="Arial"/>
          <w:szCs w:val="24"/>
          <w:lang w:val="en-US"/>
        </w:rPr>
        <w:t>nor</w:t>
      </w:r>
      <w:r>
        <w:rPr>
          <w:rFonts w:eastAsiaTheme="minorEastAsia" w:cs="Arial"/>
          <w:szCs w:val="24"/>
          <w:lang w:val="en-US"/>
        </w:rPr>
        <w:t xml:space="preserve"> the potential impact on self, patients and their team. In order to learn</w:t>
      </w:r>
      <w:r w:rsidR="004C1096">
        <w:rPr>
          <w:rFonts w:eastAsiaTheme="minorEastAsia" w:cs="Arial"/>
          <w:szCs w:val="24"/>
          <w:lang w:val="en-US"/>
        </w:rPr>
        <w:t xml:space="preserve"> from data collected about</w:t>
      </w:r>
      <w:r>
        <w:rPr>
          <w:rFonts w:eastAsiaTheme="minorEastAsia" w:cs="Arial"/>
          <w:szCs w:val="24"/>
          <w:lang w:val="en-US"/>
        </w:rPr>
        <w:t xml:space="preserve"> preparedness</w:t>
      </w:r>
      <w:r w:rsidR="004C1096">
        <w:rPr>
          <w:rFonts w:eastAsiaTheme="minorEastAsia" w:cs="Arial"/>
          <w:szCs w:val="24"/>
          <w:lang w:val="en-US"/>
        </w:rPr>
        <w:t>,</w:t>
      </w:r>
      <w:r>
        <w:rPr>
          <w:rFonts w:eastAsiaTheme="minorEastAsia" w:cs="Arial"/>
          <w:szCs w:val="24"/>
          <w:lang w:val="en-US"/>
        </w:rPr>
        <w:t xml:space="preserve"> it is vital to explore beyond </w:t>
      </w:r>
      <w:r w:rsidR="00A75E92">
        <w:rPr>
          <w:rFonts w:eastAsiaTheme="minorEastAsia" w:cs="Arial"/>
          <w:szCs w:val="24"/>
          <w:lang w:val="en-US"/>
        </w:rPr>
        <w:t xml:space="preserve">statistics </w:t>
      </w:r>
      <w:r w:rsidR="007F08A2">
        <w:rPr>
          <w:rFonts w:eastAsiaTheme="minorEastAsia" w:cs="Arial"/>
          <w:szCs w:val="24"/>
          <w:lang w:val="en-US"/>
        </w:rPr>
        <w:t>to ensure</w:t>
      </w:r>
      <w:r>
        <w:rPr>
          <w:rFonts w:eastAsiaTheme="minorEastAsia" w:cs="Arial"/>
          <w:szCs w:val="24"/>
          <w:lang w:val="en-US"/>
        </w:rPr>
        <w:t xml:space="preserve"> meaning</w:t>
      </w:r>
      <w:r w:rsidR="004C1096">
        <w:rPr>
          <w:rFonts w:eastAsiaTheme="minorEastAsia" w:cs="Arial"/>
          <w:szCs w:val="24"/>
          <w:lang w:val="en-US"/>
        </w:rPr>
        <w:t xml:space="preserve">ful assessments and </w:t>
      </w:r>
      <w:r w:rsidR="00EF0FDF">
        <w:rPr>
          <w:rFonts w:eastAsiaTheme="minorEastAsia" w:cs="Arial"/>
          <w:szCs w:val="24"/>
          <w:lang w:val="en-US"/>
        </w:rPr>
        <w:t xml:space="preserve">curricular development strategies are </w:t>
      </w:r>
      <w:r w:rsidR="004C1096">
        <w:rPr>
          <w:rFonts w:eastAsiaTheme="minorEastAsia" w:cs="Arial"/>
          <w:szCs w:val="24"/>
          <w:lang w:val="en-US"/>
        </w:rPr>
        <w:t>fit for purpose.</w:t>
      </w:r>
    </w:p>
    <w:p w14:paraId="3BABD1B5" w14:textId="20922EC4" w:rsidR="00FE42DE" w:rsidRDefault="00DD1245" w:rsidP="00C50552">
      <w:pPr>
        <w:rPr>
          <w:rFonts w:eastAsiaTheme="minorEastAsia" w:cs="Arial"/>
          <w:szCs w:val="24"/>
          <w:lang w:val="en-US"/>
        </w:rPr>
      </w:pPr>
      <w:r>
        <w:rPr>
          <w:rFonts w:eastAsiaTheme="minorEastAsia" w:cs="Arial"/>
          <w:szCs w:val="24"/>
          <w:lang w:val="en-US"/>
        </w:rPr>
        <w:t>Goldacre et al. (2014)</w:t>
      </w:r>
      <w:r w:rsidR="00521590">
        <w:rPr>
          <w:rFonts w:eastAsiaTheme="minorEastAsia" w:cs="Arial"/>
          <w:szCs w:val="24"/>
          <w:lang w:val="en-US"/>
        </w:rPr>
        <w:t xml:space="preserve"> found medical school to be a ‘significant predictor for prepar</w:t>
      </w:r>
      <w:r w:rsidR="000F7BF0">
        <w:rPr>
          <w:rFonts w:eastAsiaTheme="minorEastAsia" w:cs="Arial"/>
          <w:szCs w:val="24"/>
          <w:lang w:val="en-US"/>
        </w:rPr>
        <w:t>edness’</w:t>
      </w:r>
      <w:r>
        <w:rPr>
          <w:rFonts w:eastAsiaTheme="minorEastAsia" w:cs="Arial"/>
          <w:szCs w:val="24"/>
          <w:lang w:val="en-US"/>
        </w:rPr>
        <w:t>,</w:t>
      </w:r>
      <w:r w:rsidRPr="00DD1245">
        <w:rPr>
          <w:rFonts w:eastAsiaTheme="minorEastAsia" w:cs="Arial"/>
          <w:szCs w:val="24"/>
          <w:lang w:val="en-US"/>
        </w:rPr>
        <w:t xml:space="preserve"> </w:t>
      </w:r>
      <w:r>
        <w:rPr>
          <w:rFonts w:eastAsiaTheme="minorEastAsia" w:cs="Arial"/>
          <w:szCs w:val="24"/>
          <w:lang w:val="en-US"/>
        </w:rPr>
        <w:t>with three of the new medical schools in the top six for graduates feeling well prepared</w:t>
      </w:r>
      <w:r w:rsidR="00A95029">
        <w:rPr>
          <w:rFonts w:eastAsiaTheme="minorEastAsia" w:cs="Arial"/>
          <w:szCs w:val="24"/>
          <w:lang w:val="en-US"/>
        </w:rPr>
        <w:t>. They suggest that ‘early clinical experience, longer clerkships and increased responsibility’</w:t>
      </w:r>
      <w:r w:rsidR="00A75E92">
        <w:rPr>
          <w:rFonts w:eastAsiaTheme="minorEastAsia" w:cs="Arial"/>
          <w:szCs w:val="24"/>
          <w:lang w:val="en-US"/>
        </w:rPr>
        <w:t>,</w:t>
      </w:r>
      <w:r w:rsidR="00A95029">
        <w:rPr>
          <w:rFonts w:eastAsiaTheme="minorEastAsia" w:cs="Arial"/>
          <w:szCs w:val="24"/>
          <w:lang w:val="en-US"/>
        </w:rPr>
        <w:t xml:space="preserve"> are key features of other </w:t>
      </w:r>
      <w:proofErr w:type="spellStart"/>
      <w:r w:rsidR="00A95029">
        <w:rPr>
          <w:rFonts w:eastAsiaTheme="minorEastAsia" w:cs="Arial"/>
          <w:szCs w:val="24"/>
          <w:lang w:val="en-US"/>
        </w:rPr>
        <w:t>programmes</w:t>
      </w:r>
      <w:proofErr w:type="spellEnd"/>
      <w:r w:rsidR="00A95029">
        <w:rPr>
          <w:rFonts w:eastAsiaTheme="minorEastAsia" w:cs="Arial"/>
          <w:szCs w:val="24"/>
          <w:lang w:val="en-US"/>
        </w:rPr>
        <w:t xml:space="preserve"> that demonstrate increased levels of preparedness amongst junior doctors</w:t>
      </w:r>
      <w:r w:rsidR="00476902">
        <w:rPr>
          <w:rFonts w:eastAsiaTheme="minorEastAsia" w:cs="Arial"/>
          <w:szCs w:val="24"/>
          <w:lang w:val="en-US"/>
        </w:rPr>
        <w:t xml:space="preserve">. They recommend that medical schools seek and </w:t>
      </w:r>
      <w:proofErr w:type="spellStart"/>
      <w:r w:rsidR="00476902">
        <w:rPr>
          <w:rFonts w:eastAsiaTheme="minorEastAsia" w:cs="Arial"/>
          <w:szCs w:val="24"/>
          <w:lang w:val="en-US"/>
        </w:rPr>
        <w:t>analyse</w:t>
      </w:r>
      <w:proofErr w:type="spellEnd"/>
      <w:r w:rsidR="00476902">
        <w:rPr>
          <w:rFonts w:eastAsiaTheme="minorEastAsia" w:cs="Arial"/>
          <w:szCs w:val="24"/>
          <w:lang w:val="en-US"/>
        </w:rPr>
        <w:t xml:space="preserve"> feedback from graduates to inform curricula changes to improve preparedness for FY1</w:t>
      </w:r>
      <w:r w:rsidR="00A95029">
        <w:rPr>
          <w:rFonts w:eastAsiaTheme="minorEastAsia" w:cs="Arial"/>
          <w:szCs w:val="24"/>
          <w:lang w:val="en-US"/>
        </w:rPr>
        <w:t xml:space="preserve"> </w:t>
      </w:r>
      <w:r w:rsidR="00521590">
        <w:rPr>
          <w:rFonts w:eastAsiaTheme="minorEastAsia" w:cs="Arial"/>
          <w:szCs w:val="24"/>
          <w:lang w:val="en-US"/>
        </w:rPr>
        <w:fldChar w:fldCharType="begin"/>
      </w:r>
      <w:r w:rsidR="00521590">
        <w:rPr>
          <w:rFonts w:eastAsiaTheme="minorEastAsia" w:cs="Arial"/>
          <w:szCs w:val="24"/>
          <w:lang w:val="en-US"/>
        </w:rPr>
        <w:instrText xml:space="preserve"> ADDIN EN.CITE &lt;EndNote&gt;&lt;Cite&gt;&lt;Author&gt;Goldacre&lt;/Author&gt;&lt;Year&gt;2014&lt;/Year&gt;&lt;IDText&gt;Foundation doctors&amp;apos; views on whether their medical school prepared them well for work: UK graduates of 2008 and 2009&lt;/IDText&gt;&lt;DisplayText&gt;(Goldacre et al., 2014)&lt;/DisplayText&gt;&lt;record&gt;&lt;dates&gt;&lt;pub-dates&gt;&lt;date&gt;Feb&lt;/date&gt;&lt;/pub-dates&gt;&lt;year&gt;2014&lt;/year&gt;&lt;/dates&gt;&lt;keywords&gt;&lt;keyword&gt;Adult&lt;/keyword&gt;&lt;keyword&gt;Attitude of Health Personnel&lt;/keyword&gt;&lt;keyword&gt;Clinical Competence&lt;/keyword&gt;&lt;keyword&gt;Curriculum&lt;/keyword&gt;&lt;keyword&gt;Education, Medical, Graduate&lt;/keyword&gt;&lt;keyword&gt;Feedback&lt;/keyword&gt;&lt;keyword&gt;Female&lt;/keyword&gt;&lt;keyword&gt;Great Britain&lt;/keyword&gt;&lt;keyword&gt;Humans&lt;/keyword&gt;&lt;keyword&gt;Male&lt;/keyword&gt;&lt;keyword&gt;Physicians&lt;/keyword&gt;&lt;keyword&gt;Schools, Medical&lt;/keyword&gt;&lt;keyword&gt;Students, Medical&lt;/keyword&gt;&lt;keyword&gt;Surveys and Questionnaires&lt;/keyword&gt;&lt;/keywords&gt;&lt;urls&gt;&lt;related-urls&gt;&lt;url&gt;http://www.ncbi.nlm.nih.gov/pubmed/23223778&lt;/url&gt;&lt;/related-urls&gt;&lt;/urls&gt;&lt;isbn&gt;1469-0756&lt;/isbn&gt;&lt;titles&gt;&lt;title&gt;Foundation doctors&amp;apos; views on whether their medical school prepared them well for work: UK graduates of 2008 and 2009&lt;/title&gt;&lt;secondary-title&gt;Postgrad Med J&lt;/secondary-title&gt;&lt;/titles&gt;&lt;pages&gt;63-8&lt;/pages&gt;&lt;number&gt;1060&lt;/number&gt;&lt;contributors&gt;&lt;authors&gt;&lt;author&gt;Goldacre, M. J.&lt;/author&gt;&lt;author&gt;Lambert, T. W.&lt;/author&gt;&lt;author&gt;Svirko, E.&lt;/author&gt;&lt;/authors&gt;&lt;/contributors&gt;&lt;language&gt;eng&lt;/language&gt;&lt;added-date format="utc"&gt;1457608177&lt;/added-date&gt;&lt;ref-type name="Journal Article"&gt;17&lt;/ref-type&gt;&lt;rec-number&gt;221&lt;/rec-number&gt;&lt;last-updated-date format="utc"&gt;1457608177&lt;/last-updated-date&gt;&lt;accession-num&gt;23223778&lt;/accession-num&gt;&lt;electronic-resource-num&gt;10.1136/postgradmedj-2012-131321&lt;/electronic-resource-num&gt;&lt;volume&gt;90&lt;/volume&gt;&lt;/record&gt;&lt;/Cite&gt;&lt;/EndNote&gt;</w:instrText>
      </w:r>
      <w:r w:rsidR="00521590">
        <w:rPr>
          <w:rFonts w:eastAsiaTheme="minorEastAsia" w:cs="Arial"/>
          <w:szCs w:val="24"/>
          <w:lang w:val="en-US"/>
        </w:rPr>
        <w:fldChar w:fldCharType="separate"/>
      </w:r>
      <w:r w:rsidR="00521590">
        <w:rPr>
          <w:rFonts w:eastAsiaTheme="minorEastAsia" w:cs="Arial"/>
          <w:noProof/>
          <w:szCs w:val="24"/>
          <w:lang w:val="en-US"/>
        </w:rPr>
        <w:t>(Goldacre et al., 2014)</w:t>
      </w:r>
      <w:r w:rsidR="00521590">
        <w:rPr>
          <w:rFonts w:eastAsiaTheme="minorEastAsia" w:cs="Arial"/>
          <w:szCs w:val="24"/>
          <w:lang w:val="en-US"/>
        </w:rPr>
        <w:fldChar w:fldCharType="end"/>
      </w:r>
      <w:r w:rsidR="00521590">
        <w:rPr>
          <w:rFonts w:eastAsiaTheme="minorEastAsia" w:cs="Arial"/>
          <w:szCs w:val="24"/>
          <w:lang w:val="en-US"/>
        </w:rPr>
        <w:t>.</w:t>
      </w:r>
    </w:p>
    <w:p w14:paraId="7A265158" w14:textId="5E839708" w:rsidR="00A712E1" w:rsidRDefault="00D86E37" w:rsidP="00C50552">
      <w:pPr>
        <w:rPr>
          <w:rFonts w:eastAsiaTheme="minorEastAsia" w:cs="Arial"/>
          <w:szCs w:val="24"/>
          <w:lang w:val="en-US"/>
        </w:rPr>
      </w:pPr>
      <w:r>
        <w:rPr>
          <w:rFonts w:eastAsiaTheme="minorEastAsia" w:cs="Arial"/>
          <w:szCs w:val="24"/>
          <w:lang w:val="en-US"/>
        </w:rPr>
        <w:fldChar w:fldCharType="begin"/>
      </w:r>
      <w:r w:rsidR="006102D5">
        <w:rPr>
          <w:rFonts w:eastAsiaTheme="minorEastAsia" w:cs="Arial"/>
          <w:szCs w:val="24"/>
          <w:lang w:val="en-US"/>
        </w:rPr>
        <w:instrText xml:space="preserve"> ADDIN EN.CITE &lt;EndNote&gt;&lt;Cite&gt;&lt;Author&gt;Morrow&lt;/Author&gt;&lt;Year&gt;2012&lt;/Year&gt;&lt;IDText&gt;Preparedness for practice: the perceptions of medical graduates and clinical teams&lt;/IDText&gt;&lt;DisplayText&gt;(Morrow et al., 2012)&lt;/DisplayText&gt;&lt;record&gt;&lt;keywords&gt;&lt;keyword&gt;Adult&lt;/keyword&gt;&lt;keyword&gt;Analysis of Variance&lt;/keyword&gt;&lt;keyword&gt;Attitude of Health Personnel&lt;/keyword&gt;&lt;keyword&gt;Clinical Competence&lt;/keyword&gt;&lt;keyword&gt;Curriculum&lt;/keyword&gt;&lt;keyword&gt;Education, Medical, Undergraduate&lt;/keyword&gt;&lt;keyword&gt;Female&lt;/keyword&gt;&lt;keyword&gt;Great Britain&lt;/keyword&gt;&lt;keyword&gt;Humans&lt;/keyword&gt;&lt;keyword&gt;Male&lt;/keyword&gt;&lt;keyword&gt;Medical Staff, Hospital&lt;/keyword&gt;&lt;keyword&gt;Patient Care Team&lt;/keyword&gt;&lt;keyword&gt;Perception&lt;/keyword&gt;&lt;keyword&gt;Schools, Medical&lt;/keyword&gt;&lt;keyword&gt;Surveys and Questionnaires&lt;/keyword&gt;&lt;keyword&gt;Young Adult&lt;/keyword&gt;&lt;/keywords&gt;&lt;urls&gt;&lt;related-urls&gt;&lt;url&gt;http://www.ncbi.nlm.nih.gov/pubmed/22288990&lt;/url&gt;&lt;/related-urls&gt;&lt;/urls&gt;&lt;isbn&gt;1466-187X&lt;/isbn&gt;&lt;titles&gt;&lt;title&gt;Preparedness for practice: the perceptions of medical graduates and clinical teams&lt;/title&gt;&lt;secondary-title&gt;Med Teach&lt;/secondary-title&gt;&lt;/titles&gt;&lt;pages&gt;123-35&lt;/pages&gt;&lt;number&gt;2&lt;/number&gt;&lt;contributors&gt;&lt;authors&gt;&lt;author&gt;Morrow, G.&lt;/author&gt;&lt;author&gt;Johnson, N.&lt;/author&gt;&lt;author&gt;Burford, B.&lt;/author&gt;&lt;author&gt;Rothwell, C.&lt;/author&gt;&lt;author&gt;Spencer, J.&lt;/author&gt;&lt;author&gt;Peile, E.&lt;/author&gt;&lt;author&gt;Davies, C.&lt;/author&gt;&lt;author&gt;Allen, M.&lt;/author&gt;&lt;author&gt;Baldauf, B.&lt;/author&gt;&lt;author&gt;Morrison, J.&lt;/author&gt;&lt;author&gt;Illing, J.&lt;/author&gt;&lt;/authors&gt;&lt;/contributors&gt;&lt;language&gt;eng&lt;/language&gt;&lt;added-date format="utc"&gt;1455618873&lt;/added-date&gt;&lt;ref-type name="Journal Article"&gt;17&lt;/ref-type&gt;&lt;dates&gt;&lt;year&gt;2012&lt;/year&gt;&lt;/dates&gt;&lt;rec-number&gt;164&lt;/rec-number&gt;&lt;last-updated-date format="utc"&gt;1455618873&lt;/last-updated-date&gt;&lt;accession-num&gt;22288990&lt;/accession-num&gt;&lt;electronic-resource-num&gt;10.3109/0142159X.2012.643260&lt;/electronic-resource-num&gt;&lt;volume&gt;34&lt;/volume&gt;&lt;/record&gt;&lt;/Cite&gt;&lt;/EndNote&gt;</w:instrText>
      </w:r>
      <w:r>
        <w:rPr>
          <w:rFonts w:eastAsiaTheme="minorEastAsia" w:cs="Arial"/>
          <w:szCs w:val="24"/>
          <w:lang w:val="en-US"/>
        </w:rPr>
        <w:fldChar w:fldCharType="separate"/>
      </w:r>
      <w:r w:rsidR="006102D5">
        <w:rPr>
          <w:rFonts w:eastAsiaTheme="minorEastAsia" w:cs="Arial"/>
          <w:noProof/>
          <w:szCs w:val="24"/>
          <w:lang w:val="en-US"/>
        </w:rPr>
        <w:t>(Morrow et al., 2012)</w:t>
      </w:r>
      <w:r>
        <w:rPr>
          <w:rFonts w:eastAsiaTheme="minorEastAsia" w:cs="Arial"/>
          <w:szCs w:val="24"/>
          <w:lang w:val="en-US"/>
        </w:rPr>
        <w:fldChar w:fldCharType="end"/>
      </w:r>
      <w:r>
        <w:rPr>
          <w:rFonts w:eastAsiaTheme="minorEastAsia" w:cs="Arial"/>
          <w:szCs w:val="24"/>
          <w:lang w:val="en-US"/>
        </w:rPr>
        <w:t xml:space="preserve"> </w:t>
      </w:r>
      <w:r w:rsidR="00FC4DEA">
        <w:rPr>
          <w:rFonts w:eastAsiaTheme="minorEastAsia" w:cs="Arial"/>
          <w:szCs w:val="24"/>
          <w:lang w:val="en-US"/>
        </w:rPr>
        <w:t xml:space="preserve">explore preparedness for practice amongst graduates from three different UK medical schools with diverse curricula (system-based, graduate </w:t>
      </w:r>
      <w:r w:rsidR="00137253">
        <w:rPr>
          <w:rFonts w:eastAsiaTheme="minorEastAsia" w:cs="Arial"/>
          <w:szCs w:val="24"/>
          <w:lang w:val="en-US"/>
        </w:rPr>
        <w:t>vs.</w:t>
      </w:r>
      <w:r w:rsidR="00FC4DEA">
        <w:rPr>
          <w:rFonts w:eastAsiaTheme="minorEastAsia" w:cs="Arial"/>
          <w:szCs w:val="24"/>
          <w:lang w:val="en-US"/>
        </w:rPr>
        <w:t xml:space="preserve"> </w:t>
      </w:r>
      <w:r w:rsidR="00A75E92">
        <w:rPr>
          <w:rFonts w:eastAsiaTheme="minorEastAsia" w:cs="Arial"/>
          <w:szCs w:val="24"/>
          <w:lang w:val="en-US"/>
        </w:rPr>
        <w:t>Problem-based learning (</w:t>
      </w:r>
      <w:r w:rsidR="00FC4DEA">
        <w:rPr>
          <w:rFonts w:eastAsiaTheme="minorEastAsia" w:cs="Arial"/>
          <w:szCs w:val="24"/>
          <w:lang w:val="en-US"/>
        </w:rPr>
        <w:t>PBL</w:t>
      </w:r>
      <w:r w:rsidR="00A75E92">
        <w:rPr>
          <w:rFonts w:eastAsiaTheme="minorEastAsia" w:cs="Arial"/>
          <w:szCs w:val="24"/>
          <w:lang w:val="en-US"/>
        </w:rPr>
        <w:t>)</w:t>
      </w:r>
      <w:r w:rsidR="00FC4DEA">
        <w:rPr>
          <w:rFonts w:eastAsiaTheme="minorEastAsia" w:cs="Arial"/>
          <w:szCs w:val="24"/>
          <w:lang w:val="en-US"/>
        </w:rPr>
        <w:t xml:space="preserve">). </w:t>
      </w:r>
      <w:r w:rsidR="00A712E1">
        <w:rPr>
          <w:rFonts w:eastAsiaTheme="minorEastAsia" w:cs="Arial"/>
          <w:szCs w:val="24"/>
          <w:lang w:val="en-US"/>
        </w:rPr>
        <w:t>F</w:t>
      </w:r>
      <w:r w:rsidR="00FC4DEA">
        <w:rPr>
          <w:rFonts w:eastAsiaTheme="minorEastAsia" w:cs="Arial"/>
          <w:szCs w:val="24"/>
          <w:lang w:val="en-US"/>
        </w:rPr>
        <w:t>ifty-three aspects of preparedness</w:t>
      </w:r>
      <w:r w:rsidR="00A712E1">
        <w:rPr>
          <w:rFonts w:eastAsiaTheme="minorEastAsia" w:cs="Arial"/>
          <w:szCs w:val="24"/>
          <w:lang w:val="en-US"/>
        </w:rPr>
        <w:t xml:space="preserve"> were explored,</w:t>
      </w:r>
      <w:r w:rsidR="00FC4DEA">
        <w:rPr>
          <w:rFonts w:eastAsiaTheme="minorEastAsia" w:cs="Arial"/>
          <w:szCs w:val="24"/>
          <w:lang w:val="en-US"/>
        </w:rPr>
        <w:t xml:space="preserve"> informed by </w:t>
      </w:r>
      <w:r w:rsidR="00173DE4">
        <w:rPr>
          <w:rFonts w:eastAsiaTheme="minorEastAsia" w:cs="Arial"/>
          <w:szCs w:val="24"/>
          <w:lang w:val="en-US"/>
        </w:rPr>
        <w:t>focus group</w:t>
      </w:r>
      <w:r w:rsidR="00FC4DEA">
        <w:rPr>
          <w:rFonts w:eastAsiaTheme="minorEastAsia" w:cs="Arial"/>
          <w:szCs w:val="24"/>
          <w:lang w:val="en-US"/>
        </w:rPr>
        <w:t>s, previous literat</w:t>
      </w:r>
      <w:r w:rsidR="003F2A23">
        <w:rPr>
          <w:rFonts w:eastAsiaTheme="minorEastAsia" w:cs="Arial"/>
          <w:szCs w:val="24"/>
          <w:lang w:val="en-US"/>
        </w:rPr>
        <w:t xml:space="preserve">ure reviews and the </w:t>
      </w:r>
      <w:r w:rsidR="006816C1">
        <w:rPr>
          <w:rFonts w:eastAsiaTheme="minorEastAsia" w:cs="Arial"/>
          <w:szCs w:val="24"/>
          <w:lang w:val="en-US"/>
        </w:rPr>
        <w:t>Tomorrow’s Doctors (2016)</w:t>
      </w:r>
      <w:r>
        <w:rPr>
          <w:rFonts w:eastAsiaTheme="minorEastAsia" w:cs="Arial"/>
          <w:szCs w:val="24"/>
          <w:lang w:val="en-US"/>
        </w:rPr>
        <w:t>.</w:t>
      </w:r>
      <w:r w:rsidR="00A712E1">
        <w:rPr>
          <w:rFonts w:eastAsiaTheme="minorEastAsia" w:cs="Arial"/>
          <w:szCs w:val="24"/>
          <w:lang w:val="en-US"/>
        </w:rPr>
        <w:t xml:space="preserve"> A</w:t>
      </w:r>
      <w:r w:rsidR="00FC4DEA">
        <w:rPr>
          <w:rFonts w:eastAsiaTheme="minorEastAsia" w:cs="Arial"/>
          <w:szCs w:val="24"/>
          <w:lang w:val="en-US"/>
        </w:rPr>
        <w:t xml:space="preserve"> questionnaire sent to medical graduates (response rate 67%, n = 479) asked to rate self</w:t>
      </w:r>
      <w:r w:rsidR="00D72696">
        <w:rPr>
          <w:rFonts w:eastAsiaTheme="minorEastAsia" w:cs="Arial"/>
          <w:szCs w:val="24"/>
          <w:lang w:val="en-US"/>
        </w:rPr>
        <w:t>-</w:t>
      </w:r>
      <w:r w:rsidR="00FC4DEA">
        <w:rPr>
          <w:rFonts w:eastAsiaTheme="minorEastAsia" w:cs="Arial"/>
          <w:szCs w:val="24"/>
          <w:lang w:val="en-US"/>
        </w:rPr>
        <w:t xml:space="preserve">perceived </w:t>
      </w:r>
      <w:r w:rsidR="00A712E1">
        <w:rPr>
          <w:rFonts w:eastAsiaTheme="minorEastAsia" w:cs="Arial"/>
          <w:szCs w:val="24"/>
          <w:lang w:val="en-US"/>
        </w:rPr>
        <w:t>‘</w:t>
      </w:r>
      <w:r w:rsidR="00FC4DEA">
        <w:rPr>
          <w:rFonts w:eastAsiaTheme="minorEastAsia" w:cs="Arial"/>
          <w:szCs w:val="24"/>
          <w:lang w:val="en-US"/>
        </w:rPr>
        <w:t>anticipated</w:t>
      </w:r>
      <w:r w:rsidR="00A712E1">
        <w:rPr>
          <w:rFonts w:eastAsiaTheme="minorEastAsia" w:cs="Arial"/>
          <w:szCs w:val="24"/>
          <w:lang w:val="en-US"/>
        </w:rPr>
        <w:t>’</w:t>
      </w:r>
      <w:r w:rsidR="00FC4DEA">
        <w:rPr>
          <w:rFonts w:eastAsiaTheme="minorEastAsia" w:cs="Arial"/>
          <w:szCs w:val="24"/>
          <w:lang w:val="en-US"/>
        </w:rPr>
        <w:t xml:space="preserve"> preparedness for FY1 related tasks and situations. A further questionnaire was sent to ward staff involved in working with new FY1s and </w:t>
      </w:r>
      <w:r w:rsidR="00FC4DEA">
        <w:rPr>
          <w:rFonts w:eastAsiaTheme="minorEastAsia" w:cs="Arial"/>
          <w:szCs w:val="24"/>
          <w:lang w:val="en-US"/>
        </w:rPr>
        <w:lastRenderedPageBreak/>
        <w:t>related to their preparedness in terms of objective capability</w:t>
      </w:r>
      <w:r w:rsidR="00D72696">
        <w:rPr>
          <w:rFonts w:eastAsiaTheme="minorEastAsia" w:cs="Arial"/>
          <w:szCs w:val="24"/>
          <w:lang w:val="en-US"/>
        </w:rPr>
        <w:t xml:space="preserve"> (n=80 </w:t>
      </w:r>
      <w:r w:rsidR="003A7D42">
        <w:rPr>
          <w:rFonts w:eastAsiaTheme="minorEastAsia" w:cs="Arial"/>
          <w:szCs w:val="24"/>
          <w:lang w:val="en-US"/>
        </w:rPr>
        <w:t>in total</w:t>
      </w:r>
      <w:r w:rsidR="00D72696">
        <w:rPr>
          <w:rFonts w:eastAsiaTheme="minorEastAsia" w:cs="Arial"/>
          <w:szCs w:val="24"/>
          <w:lang w:val="en-US"/>
        </w:rPr>
        <w:t>)</w:t>
      </w:r>
      <w:r w:rsidR="003F2A23">
        <w:rPr>
          <w:rFonts w:eastAsiaTheme="minorEastAsia" w:cs="Arial"/>
          <w:szCs w:val="24"/>
          <w:lang w:val="en-US"/>
        </w:rPr>
        <w:t>. The paper</w:t>
      </w:r>
      <w:r w:rsidR="00FC4DEA">
        <w:rPr>
          <w:rFonts w:eastAsiaTheme="minorEastAsia" w:cs="Arial"/>
          <w:szCs w:val="24"/>
          <w:lang w:val="en-US"/>
        </w:rPr>
        <w:t xml:space="preserve"> is unclear about when this was sent to staff and whether it was linked to this specific cohort of FY1s starting or just FY1s in general. </w:t>
      </w:r>
      <w:r w:rsidR="008C5E7A">
        <w:rPr>
          <w:rFonts w:eastAsiaTheme="minorEastAsia" w:cs="Arial"/>
          <w:szCs w:val="24"/>
          <w:lang w:val="en-US"/>
        </w:rPr>
        <w:t xml:space="preserve">Team </w:t>
      </w:r>
      <w:r w:rsidR="00FC4DEA">
        <w:rPr>
          <w:rFonts w:eastAsiaTheme="minorEastAsia" w:cs="Arial"/>
          <w:szCs w:val="24"/>
          <w:lang w:val="en-US"/>
        </w:rPr>
        <w:t xml:space="preserve">perceptions of preparedness </w:t>
      </w:r>
      <w:r w:rsidR="00A712E1">
        <w:rPr>
          <w:rFonts w:eastAsiaTheme="minorEastAsia" w:cs="Arial"/>
          <w:szCs w:val="24"/>
          <w:lang w:val="en-US"/>
        </w:rPr>
        <w:t>were</w:t>
      </w:r>
      <w:r w:rsidR="008C5E7A">
        <w:rPr>
          <w:rFonts w:eastAsiaTheme="minorEastAsia" w:cs="Arial"/>
          <w:szCs w:val="24"/>
          <w:lang w:val="en-US"/>
        </w:rPr>
        <w:t xml:space="preserve"> reported to </w:t>
      </w:r>
      <w:r w:rsidR="00A712E1">
        <w:rPr>
          <w:rFonts w:eastAsiaTheme="minorEastAsia" w:cs="Arial"/>
          <w:szCs w:val="24"/>
          <w:lang w:val="en-US"/>
        </w:rPr>
        <w:t>largely match</w:t>
      </w:r>
      <w:r w:rsidR="00FC4DEA">
        <w:rPr>
          <w:rFonts w:eastAsiaTheme="minorEastAsia" w:cs="Arial"/>
          <w:szCs w:val="24"/>
          <w:lang w:val="en-US"/>
        </w:rPr>
        <w:t xml:space="preserve"> ‘self</w:t>
      </w:r>
      <w:r w:rsidR="00A75E92">
        <w:rPr>
          <w:rFonts w:eastAsiaTheme="minorEastAsia" w:cs="Arial"/>
          <w:szCs w:val="24"/>
          <w:lang w:val="en-US"/>
        </w:rPr>
        <w:t>-</w:t>
      </w:r>
      <w:r w:rsidR="00A712E1">
        <w:rPr>
          <w:rFonts w:eastAsiaTheme="minorEastAsia" w:cs="Arial"/>
          <w:szCs w:val="24"/>
          <w:lang w:val="en-US"/>
        </w:rPr>
        <w:t xml:space="preserve">reported </w:t>
      </w:r>
      <w:r w:rsidR="00FC4DEA">
        <w:rPr>
          <w:rFonts w:eastAsiaTheme="minorEastAsia" w:cs="Arial"/>
          <w:szCs w:val="24"/>
          <w:lang w:val="en-US"/>
        </w:rPr>
        <w:t xml:space="preserve">perceptions of recent graduates’. </w:t>
      </w:r>
      <w:r w:rsidR="00A712E1">
        <w:rPr>
          <w:rFonts w:eastAsiaTheme="minorEastAsia" w:cs="Arial"/>
          <w:szCs w:val="24"/>
          <w:lang w:val="en-US"/>
        </w:rPr>
        <w:t xml:space="preserve">Highest levels of preparedness were reported related to </w:t>
      </w:r>
      <w:r w:rsidR="00FC4DEA">
        <w:rPr>
          <w:rFonts w:eastAsiaTheme="minorEastAsia" w:cs="Arial"/>
          <w:szCs w:val="24"/>
          <w:lang w:val="en-US"/>
        </w:rPr>
        <w:t>‘w</w:t>
      </w:r>
      <w:r w:rsidR="00D72696">
        <w:rPr>
          <w:rFonts w:eastAsiaTheme="minorEastAsia" w:cs="Arial"/>
          <w:szCs w:val="24"/>
          <w:lang w:val="en-US"/>
        </w:rPr>
        <w:t xml:space="preserve">orking with patients, team, </w:t>
      </w:r>
      <w:r w:rsidR="00FC4DEA">
        <w:rPr>
          <w:rFonts w:eastAsiaTheme="minorEastAsia" w:cs="Arial"/>
          <w:szCs w:val="24"/>
          <w:lang w:val="en-US"/>
        </w:rPr>
        <w:t>history taking and examination’</w:t>
      </w:r>
      <w:r w:rsidR="00A75E92">
        <w:rPr>
          <w:rFonts w:eastAsiaTheme="minorEastAsia" w:cs="Arial"/>
          <w:szCs w:val="24"/>
          <w:lang w:val="en-US"/>
        </w:rPr>
        <w:t>,</w:t>
      </w:r>
      <w:r w:rsidR="00FC4DEA">
        <w:rPr>
          <w:rFonts w:eastAsiaTheme="minorEastAsia" w:cs="Arial"/>
          <w:szCs w:val="24"/>
          <w:lang w:val="en-US"/>
        </w:rPr>
        <w:t xml:space="preserve"> and</w:t>
      </w:r>
      <w:r w:rsidR="00A712E1">
        <w:rPr>
          <w:rFonts w:eastAsiaTheme="minorEastAsia" w:cs="Arial"/>
          <w:szCs w:val="24"/>
          <w:lang w:val="en-US"/>
        </w:rPr>
        <w:t xml:space="preserve"> the lowest levels of preparedness </w:t>
      </w:r>
      <w:r w:rsidR="00FC4DEA">
        <w:rPr>
          <w:rFonts w:eastAsiaTheme="minorEastAsia" w:cs="Arial"/>
          <w:szCs w:val="24"/>
          <w:lang w:val="en-US"/>
        </w:rPr>
        <w:t xml:space="preserve">for </w:t>
      </w:r>
      <w:r w:rsidR="00D72696">
        <w:rPr>
          <w:rFonts w:eastAsiaTheme="minorEastAsia" w:cs="Arial"/>
          <w:szCs w:val="24"/>
          <w:lang w:val="en-US"/>
        </w:rPr>
        <w:t>‘prescribing, more complex practical procedures and applying knowledge about complimentary therapies’</w:t>
      </w:r>
      <w:r w:rsidR="00A712E1">
        <w:rPr>
          <w:rFonts w:eastAsiaTheme="minorEastAsia" w:cs="Arial"/>
          <w:szCs w:val="24"/>
          <w:lang w:val="en-US"/>
        </w:rPr>
        <w:t xml:space="preserve"> </w:t>
      </w:r>
      <w:r w:rsidR="008C5E7A">
        <w:rPr>
          <w:rFonts w:eastAsiaTheme="minorEastAsia" w:cs="Arial"/>
          <w:szCs w:val="24"/>
          <w:lang w:val="en-US"/>
        </w:rPr>
        <w:fldChar w:fldCharType="begin"/>
      </w:r>
      <w:r w:rsidR="008C5E7A">
        <w:rPr>
          <w:rFonts w:eastAsiaTheme="minorEastAsia" w:cs="Arial"/>
          <w:szCs w:val="24"/>
          <w:lang w:val="en-US"/>
        </w:rPr>
        <w:instrText xml:space="preserve"> ADDIN EN.CITE &lt;EndNote&gt;&lt;Cite&gt;&lt;Author&gt;Morrow&lt;/Author&gt;&lt;Year&gt;2012&lt;/Year&gt;&lt;IDText&gt;Preparedness for practice: the perceptions of medical graduates and clinical teams&lt;/IDText&gt;&lt;DisplayText&gt;(Morrow et al., 2012)&lt;/DisplayText&gt;&lt;record&gt;&lt;keywords&gt;&lt;keyword&gt;Adult&lt;/keyword&gt;&lt;keyword&gt;Analysis of Variance&lt;/keyword&gt;&lt;keyword&gt;Attitude of Health Personnel&lt;/keyword&gt;&lt;keyword&gt;Clinical Competence&lt;/keyword&gt;&lt;keyword&gt;Curriculum&lt;/keyword&gt;&lt;keyword&gt;Education, Medical, Undergraduate&lt;/keyword&gt;&lt;keyword&gt;Female&lt;/keyword&gt;&lt;keyword&gt;Great Britain&lt;/keyword&gt;&lt;keyword&gt;Humans&lt;/keyword&gt;&lt;keyword&gt;Male&lt;/keyword&gt;&lt;keyword&gt;Medical Staff, Hospital&lt;/keyword&gt;&lt;keyword&gt;Patient Care Team&lt;/keyword&gt;&lt;keyword&gt;Perception&lt;/keyword&gt;&lt;keyword&gt;Schools, Medical&lt;/keyword&gt;&lt;keyword&gt;Surveys and Questionnaires&lt;/keyword&gt;&lt;keyword&gt;Young Adult&lt;/keyword&gt;&lt;/keywords&gt;&lt;urls&gt;&lt;related-urls&gt;&lt;url&gt;http://www.ncbi.nlm.nih.gov/pubmed/22288990&lt;/url&gt;&lt;/related-urls&gt;&lt;/urls&gt;&lt;isbn&gt;1466-187X&lt;/isbn&gt;&lt;titles&gt;&lt;title&gt;Preparedness for practice: the perceptions of medical graduates and clinical teams&lt;/title&gt;&lt;secondary-title&gt;Med Teach&lt;/secondary-title&gt;&lt;/titles&gt;&lt;pages&gt;123-35&lt;/pages&gt;&lt;number&gt;2&lt;/number&gt;&lt;contributors&gt;&lt;authors&gt;&lt;author&gt;Morrow, G.&lt;/author&gt;&lt;author&gt;Johnson, N.&lt;/author&gt;&lt;author&gt;Burford, B.&lt;/author&gt;&lt;author&gt;Rothwell, C.&lt;/author&gt;&lt;author&gt;Spencer, J.&lt;/author&gt;&lt;author&gt;Peile, E.&lt;/author&gt;&lt;author&gt;Davies, C.&lt;/author&gt;&lt;author&gt;Allen, M.&lt;/author&gt;&lt;author&gt;Baldauf, B.&lt;/author&gt;&lt;author&gt;Morrison, J.&lt;/author&gt;&lt;author&gt;Illing, J.&lt;/author&gt;&lt;/authors&gt;&lt;/contributors&gt;&lt;language&gt;eng&lt;/language&gt;&lt;added-date format="utc"&gt;1455618873&lt;/added-date&gt;&lt;ref-type name="Journal Article"&gt;17&lt;/ref-type&gt;&lt;dates&gt;&lt;year&gt;2012&lt;/year&gt;&lt;/dates&gt;&lt;rec-number&gt;164&lt;/rec-number&gt;&lt;last-updated-date format="utc"&gt;1455618873&lt;/last-updated-date&gt;&lt;accession-num&gt;22288990&lt;/accession-num&gt;&lt;electronic-resource-num&gt;10.3109/0142159X.2012.643260&lt;/electronic-resource-num&gt;&lt;volume&gt;34&lt;/volume&gt;&lt;/record&gt;&lt;/Cite&gt;&lt;/EndNote&gt;</w:instrText>
      </w:r>
      <w:r w:rsidR="008C5E7A">
        <w:rPr>
          <w:rFonts w:eastAsiaTheme="minorEastAsia" w:cs="Arial"/>
          <w:szCs w:val="24"/>
          <w:lang w:val="en-US"/>
        </w:rPr>
        <w:fldChar w:fldCharType="separate"/>
      </w:r>
      <w:r w:rsidR="008C5E7A">
        <w:rPr>
          <w:rFonts w:eastAsiaTheme="minorEastAsia" w:cs="Arial"/>
          <w:noProof/>
          <w:szCs w:val="24"/>
          <w:lang w:val="en-US"/>
        </w:rPr>
        <w:t>(Morrow et al., 2012)</w:t>
      </w:r>
      <w:r w:rsidR="008C5E7A">
        <w:rPr>
          <w:rFonts w:eastAsiaTheme="minorEastAsia" w:cs="Arial"/>
          <w:szCs w:val="24"/>
          <w:lang w:val="en-US"/>
        </w:rPr>
        <w:fldChar w:fldCharType="end"/>
      </w:r>
      <w:r w:rsidR="00D72696">
        <w:rPr>
          <w:rFonts w:eastAsiaTheme="minorEastAsia" w:cs="Arial"/>
          <w:szCs w:val="24"/>
          <w:lang w:val="en-US"/>
        </w:rPr>
        <w:t xml:space="preserve">. </w:t>
      </w:r>
    </w:p>
    <w:p w14:paraId="4AF36997" w14:textId="32215F3C" w:rsidR="00EC19D9" w:rsidRDefault="00075A62" w:rsidP="00C50552">
      <w:pPr>
        <w:rPr>
          <w:rFonts w:eastAsiaTheme="minorEastAsia" w:cs="Arial"/>
          <w:szCs w:val="24"/>
          <w:lang w:val="en-US"/>
        </w:rPr>
      </w:pPr>
      <w:r>
        <w:rPr>
          <w:rFonts w:eastAsiaTheme="minorEastAsia" w:cs="Arial"/>
          <w:szCs w:val="24"/>
          <w:lang w:val="en-US"/>
        </w:rPr>
        <w:t>T</w:t>
      </w:r>
      <w:r w:rsidR="00D72696">
        <w:rPr>
          <w:rFonts w:eastAsiaTheme="minorEastAsia" w:cs="Arial"/>
          <w:szCs w:val="24"/>
          <w:lang w:val="en-US"/>
        </w:rPr>
        <w:t>hese questionnaires ask</w:t>
      </w:r>
      <w:r w:rsidR="00A75E92">
        <w:rPr>
          <w:rFonts w:eastAsiaTheme="minorEastAsia" w:cs="Arial"/>
          <w:szCs w:val="24"/>
          <w:lang w:val="en-US"/>
        </w:rPr>
        <w:t xml:space="preserve"> </w:t>
      </w:r>
      <w:r w:rsidR="00D72696">
        <w:rPr>
          <w:rFonts w:eastAsiaTheme="minorEastAsia" w:cs="Arial"/>
          <w:szCs w:val="24"/>
          <w:lang w:val="en-US"/>
        </w:rPr>
        <w:t>about different things</w:t>
      </w:r>
      <w:r w:rsidR="00A75E92">
        <w:rPr>
          <w:rFonts w:eastAsiaTheme="minorEastAsia" w:cs="Arial"/>
          <w:szCs w:val="24"/>
          <w:lang w:val="en-US"/>
        </w:rPr>
        <w:t>:</w:t>
      </w:r>
      <w:r>
        <w:rPr>
          <w:rFonts w:eastAsiaTheme="minorEastAsia" w:cs="Arial"/>
          <w:szCs w:val="24"/>
          <w:lang w:val="en-US"/>
        </w:rPr>
        <w:t xml:space="preserve"> </w:t>
      </w:r>
      <w:r w:rsidR="00D72696">
        <w:rPr>
          <w:rFonts w:eastAsiaTheme="minorEastAsia" w:cs="Arial"/>
          <w:szCs w:val="24"/>
          <w:lang w:val="en-US"/>
        </w:rPr>
        <w:t>anticipated subjective self-perception versus objective retrospective demonstrated capability. One could argue that they are not comparable because they are different, however using this triangulated approach may add validity to the use of self-perceived anticipated preparedness as a measure</w:t>
      </w:r>
      <w:r>
        <w:rPr>
          <w:rFonts w:eastAsiaTheme="minorEastAsia" w:cs="Arial"/>
          <w:szCs w:val="24"/>
          <w:lang w:val="en-US"/>
        </w:rPr>
        <w:t>,</w:t>
      </w:r>
      <w:r w:rsidR="00D72696">
        <w:rPr>
          <w:rFonts w:eastAsiaTheme="minorEastAsia" w:cs="Arial"/>
          <w:szCs w:val="24"/>
          <w:lang w:val="en-US"/>
        </w:rPr>
        <w:t xml:space="preserve"> in that it does seem to be related to performance on the ward. The importance of asking a ra</w:t>
      </w:r>
      <w:r w:rsidR="00A712E1">
        <w:rPr>
          <w:rFonts w:eastAsiaTheme="minorEastAsia" w:cs="Arial"/>
          <w:szCs w:val="24"/>
          <w:lang w:val="en-US"/>
        </w:rPr>
        <w:t xml:space="preserve">nge of health professionals is </w:t>
      </w:r>
      <w:r>
        <w:rPr>
          <w:rFonts w:eastAsiaTheme="minorEastAsia" w:cs="Arial"/>
          <w:szCs w:val="24"/>
          <w:lang w:val="en-US"/>
        </w:rPr>
        <w:t xml:space="preserve">supported </w:t>
      </w:r>
      <w:r w:rsidR="00D72696">
        <w:rPr>
          <w:rFonts w:eastAsiaTheme="minorEastAsia" w:cs="Arial"/>
          <w:szCs w:val="24"/>
          <w:lang w:val="en-US"/>
        </w:rPr>
        <w:t>by the fact that when asked about prescribing</w:t>
      </w:r>
      <w:r>
        <w:rPr>
          <w:rFonts w:eastAsiaTheme="minorEastAsia" w:cs="Arial"/>
          <w:szCs w:val="24"/>
          <w:lang w:val="en-US"/>
        </w:rPr>
        <w:t>,</w:t>
      </w:r>
      <w:r w:rsidR="00D72696">
        <w:rPr>
          <w:rFonts w:eastAsiaTheme="minorEastAsia" w:cs="Arial"/>
          <w:szCs w:val="24"/>
          <w:lang w:val="en-US"/>
        </w:rPr>
        <w:t xml:space="preserve"> ‘medical and nursing respondents saw FY1s as prepared</w:t>
      </w:r>
      <w:r>
        <w:rPr>
          <w:rFonts w:eastAsiaTheme="minorEastAsia" w:cs="Arial"/>
          <w:szCs w:val="24"/>
          <w:lang w:val="en-US"/>
        </w:rPr>
        <w:t xml:space="preserve">’, </w:t>
      </w:r>
      <w:r w:rsidR="00D72696">
        <w:rPr>
          <w:rFonts w:eastAsiaTheme="minorEastAsia" w:cs="Arial"/>
          <w:szCs w:val="24"/>
          <w:lang w:val="en-US"/>
        </w:rPr>
        <w:t>however pharmacists report ‘</w:t>
      </w:r>
      <w:proofErr w:type="spellStart"/>
      <w:r w:rsidR="001D42C9">
        <w:rPr>
          <w:rFonts w:eastAsiaTheme="minorEastAsia" w:cs="Arial"/>
          <w:szCs w:val="24"/>
          <w:lang w:val="en-US"/>
        </w:rPr>
        <w:t>underpreparedness</w:t>
      </w:r>
      <w:proofErr w:type="spellEnd"/>
      <w:r w:rsidR="00D72696">
        <w:rPr>
          <w:rFonts w:eastAsiaTheme="minorEastAsia" w:cs="Arial"/>
          <w:szCs w:val="24"/>
          <w:lang w:val="en-US"/>
        </w:rPr>
        <w:t xml:space="preserve"> in a number of elements, witnessing mistakes and near misses in all areas of prescribing’. This demonstrates the importance of triangulation</w:t>
      </w:r>
      <w:r w:rsidR="00A75E92">
        <w:rPr>
          <w:rFonts w:eastAsiaTheme="minorEastAsia" w:cs="Arial"/>
          <w:szCs w:val="24"/>
          <w:lang w:val="en-US"/>
        </w:rPr>
        <w:t>,</w:t>
      </w:r>
      <w:r w:rsidR="00D72696">
        <w:rPr>
          <w:rFonts w:eastAsiaTheme="minorEastAsia" w:cs="Arial"/>
          <w:szCs w:val="24"/>
          <w:lang w:val="en-US"/>
        </w:rPr>
        <w:t xml:space="preserve"> </w:t>
      </w:r>
      <w:r w:rsidR="00A75E92">
        <w:rPr>
          <w:rFonts w:eastAsiaTheme="minorEastAsia" w:cs="Arial"/>
          <w:szCs w:val="24"/>
          <w:lang w:val="en-US"/>
        </w:rPr>
        <w:t xml:space="preserve">using </w:t>
      </w:r>
      <w:r w:rsidR="00D72696">
        <w:rPr>
          <w:rFonts w:eastAsiaTheme="minorEastAsia" w:cs="Arial"/>
          <w:szCs w:val="24"/>
          <w:lang w:val="en-US"/>
        </w:rPr>
        <w:t>a multi</w:t>
      </w:r>
      <w:r w:rsidR="008C5E7A">
        <w:rPr>
          <w:rFonts w:eastAsiaTheme="minorEastAsia" w:cs="Arial"/>
          <w:szCs w:val="24"/>
          <w:lang w:val="en-US"/>
        </w:rPr>
        <w:t>-</w:t>
      </w:r>
      <w:r w:rsidR="00D72696">
        <w:rPr>
          <w:rFonts w:eastAsiaTheme="minorEastAsia" w:cs="Arial"/>
          <w:szCs w:val="24"/>
          <w:lang w:val="en-US"/>
        </w:rPr>
        <w:t>professional technique</w:t>
      </w:r>
      <w:r>
        <w:rPr>
          <w:rFonts w:eastAsiaTheme="minorEastAsia" w:cs="Arial"/>
          <w:szCs w:val="24"/>
          <w:lang w:val="en-US"/>
        </w:rPr>
        <w:t xml:space="preserve"> and</w:t>
      </w:r>
      <w:r w:rsidR="00A712E1">
        <w:rPr>
          <w:rFonts w:eastAsiaTheme="minorEastAsia" w:cs="Arial"/>
          <w:szCs w:val="24"/>
          <w:lang w:val="en-US"/>
        </w:rPr>
        <w:t xml:space="preserve"> highlights the influence </w:t>
      </w:r>
      <w:r w:rsidR="00EC19D9">
        <w:rPr>
          <w:rFonts w:eastAsiaTheme="minorEastAsia" w:cs="Arial"/>
          <w:szCs w:val="24"/>
          <w:lang w:val="en-US"/>
        </w:rPr>
        <w:t>o</w:t>
      </w:r>
      <w:r w:rsidR="00A75E92">
        <w:rPr>
          <w:rFonts w:eastAsiaTheme="minorEastAsia" w:cs="Arial"/>
          <w:szCs w:val="24"/>
          <w:lang w:val="en-US"/>
        </w:rPr>
        <w:t>f</w:t>
      </w:r>
      <w:r w:rsidR="00EC19D9">
        <w:rPr>
          <w:rFonts w:eastAsiaTheme="minorEastAsia" w:cs="Arial"/>
          <w:szCs w:val="24"/>
          <w:lang w:val="en-US"/>
        </w:rPr>
        <w:t xml:space="preserve"> ‘experts’ </w:t>
      </w:r>
      <w:r w:rsidR="00A75E92">
        <w:rPr>
          <w:rFonts w:eastAsiaTheme="minorEastAsia" w:cs="Arial"/>
          <w:szCs w:val="24"/>
          <w:lang w:val="en-US"/>
        </w:rPr>
        <w:t>rather than</w:t>
      </w:r>
      <w:r w:rsidR="00A712E1">
        <w:rPr>
          <w:rFonts w:eastAsiaTheme="minorEastAsia" w:cs="Arial"/>
          <w:szCs w:val="24"/>
          <w:lang w:val="en-US"/>
        </w:rPr>
        <w:t xml:space="preserve"> those with a broader overview</w:t>
      </w:r>
      <w:r w:rsidR="00EC19D9">
        <w:rPr>
          <w:rFonts w:eastAsiaTheme="minorEastAsia" w:cs="Arial"/>
          <w:szCs w:val="24"/>
          <w:lang w:val="en-US"/>
        </w:rPr>
        <w:t xml:space="preserve">. </w:t>
      </w:r>
    </w:p>
    <w:p w14:paraId="79CBA0C3" w14:textId="7FE70C12" w:rsidR="00F62D93" w:rsidRDefault="00A75E92" w:rsidP="00C50552">
      <w:pPr>
        <w:rPr>
          <w:rFonts w:eastAsiaTheme="minorEastAsia" w:cs="Arial"/>
          <w:szCs w:val="24"/>
          <w:lang w:val="en-US"/>
        </w:rPr>
      </w:pPr>
      <w:r>
        <w:rPr>
          <w:rFonts w:eastAsiaTheme="minorEastAsia" w:cs="Arial"/>
          <w:szCs w:val="24"/>
          <w:lang w:val="en-US"/>
        </w:rPr>
        <w:t>Also, a f</w:t>
      </w:r>
      <w:r w:rsidR="00D72696">
        <w:rPr>
          <w:rFonts w:eastAsiaTheme="minorEastAsia" w:cs="Arial"/>
          <w:szCs w:val="24"/>
          <w:lang w:val="en-US"/>
        </w:rPr>
        <w:t>ocus on knowledge and practical skills</w:t>
      </w:r>
      <w:r w:rsidR="00EC19D9">
        <w:rPr>
          <w:rFonts w:eastAsiaTheme="minorEastAsia" w:cs="Arial"/>
          <w:szCs w:val="24"/>
          <w:lang w:val="en-US"/>
        </w:rPr>
        <w:t xml:space="preserve"> risk</w:t>
      </w:r>
      <w:r>
        <w:rPr>
          <w:rFonts w:eastAsiaTheme="minorEastAsia" w:cs="Arial"/>
          <w:szCs w:val="24"/>
          <w:lang w:val="en-US"/>
        </w:rPr>
        <w:t>s</w:t>
      </w:r>
      <w:r w:rsidR="00EC19D9">
        <w:rPr>
          <w:rFonts w:eastAsiaTheme="minorEastAsia" w:cs="Arial"/>
          <w:szCs w:val="24"/>
          <w:lang w:val="en-US"/>
        </w:rPr>
        <w:t xml:space="preserve"> being a </w:t>
      </w:r>
      <w:r w:rsidR="00D72696">
        <w:rPr>
          <w:rFonts w:eastAsiaTheme="minorEastAsia" w:cs="Arial"/>
          <w:szCs w:val="24"/>
          <w:lang w:val="en-US"/>
        </w:rPr>
        <w:t>superficial measure of competence</w:t>
      </w:r>
      <w:r w:rsidR="00EC19D9">
        <w:rPr>
          <w:rFonts w:eastAsiaTheme="minorEastAsia" w:cs="Arial"/>
          <w:szCs w:val="24"/>
          <w:lang w:val="en-US"/>
        </w:rPr>
        <w:t xml:space="preserve"> for the complexity of being </w:t>
      </w:r>
      <w:r w:rsidR="00BC4377">
        <w:rPr>
          <w:rFonts w:eastAsiaTheme="minorEastAsia" w:cs="Arial"/>
          <w:szCs w:val="24"/>
          <w:lang w:val="en-US"/>
        </w:rPr>
        <w:t>a FY1</w:t>
      </w:r>
      <w:r w:rsidR="00EC19D9">
        <w:rPr>
          <w:rFonts w:eastAsiaTheme="minorEastAsia" w:cs="Arial"/>
          <w:szCs w:val="24"/>
          <w:lang w:val="en-US"/>
        </w:rPr>
        <w:t xml:space="preserve"> in practice. This may</w:t>
      </w:r>
      <w:r w:rsidR="00D963C4">
        <w:rPr>
          <w:rFonts w:eastAsiaTheme="minorEastAsia" w:cs="Arial"/>
          <w:szCs w:val="24"/>
          <w:lang w:val="en-US"/>
        </w:rPr>
        <w:t xml:space="preserve"> </w:t>
      </w:r>
      <w:r w:rsidR="00EC19D9">
        <w:rPr>
          <w:rFonts w:eastAsiaTheme="minorEastAsia" w:cs="Arial"/>
          <w:szCs w:val="24"/>
          <w:lang w:val="en-US"/>
        </w:rPr>
        <w:t>help</w:t>
      </w:r>
      <w:r w:rsidR="00D963C4">
        <w:rPr>
          <w:rFonts w:eastAsiaTheme="minorEastAsia" w:cs="Arial"/>
          <w:szCs w:val="24"/>
          <w:lang w:val="en-US"/>
        </w:rPr>
        <w:t xml:space="preserve"> to</w:t>
      </w:r>
      <w:r w:rsidR="00EC19D9">
        <w:rPr>
          <w:rFonts w:eastAsiaTheme="minorEastAsia" w:cs="Arial"/>
          <w:szCs w:val="24"/>
          <w:lang w:val="en-US"/>
        </w:rPr>
        <w:t xml:space="preserve"> understand why ‘on paper’ FY1s are ready but that they report </w:t>
      </w:r>
      <w:proofErr w:type="spellStart"/>
      <w:r w:rsidR="001D42C9">
        <w:rPr>
          <w:rFonts w:eastAsiaTheme="minorEastAsia" w:cs="Arial"/>
          <w:szCs w:val="24"/>
          <w:lang w:val="en-US"/>
        </w:rPr>
        <w:t>underpreparedness</w:t>
      </w:r>
      <w:proofErr w:type="spellEnd"/>
      <w:r w:rsidR="00EC19D9">
        <w:rPr>
          <w:rFonts w:eastAsiaTheme="minorEastAsia" w:cs="Arial"/>
          <w:szCs w:val="24"/>
          <w:lang w:val="en-US"/>
        </w:rPr>
        <w:t xml:space="preserve">. Understanding about risk, </w:t>
      </w:r>
      <w:r w:rsidR="00D72696">
        <w:rPr>
          <w:rFonts w:eastAsiaTheme="minorEastAsia" w:cs="Arial"/>
          <w:szCs w:val="24"/>
          <w:lang w:val="en-US"/>
        </w:rPr>
        <w:t>near misses and self-correct</w:t>
      </w:r>
      <w:r w:rsidR="00D963C4">
        <w:rPr>
          <w:rFonts w:eastAsiaTheme="minorEastAsia" w:cs="Arial"/>
          <w:szCs w:val="24"/>
          <w:lang w:val="en-US"/>
        </w:rPr>
        <w:t>ion</w:t>
      </w:r>
      <w:r w:rsidR="00D72696">
        <w:rPr>
          <w:rFonts w:eastAsiaTheme="minorEastAsia" w:cs="Arial"/>
          <w:szCs w:val="24"/>
          <w:lang w:val="en-US"/>
        </w:rPr>
        <w:t xml:space="preserve"> </w:t>
      </w:r>
      <w:r w:rsidR="00EC19D9">
        <w:rPr>
          <w:rFonts w:eastAsiaTheme="minorEastAsia" w:cs="Arial"/>
          <w:szCs w:val="24"/>
          <w:lang w:val="en-US"/>
        </w:rPr>
        <w:lastRenderedPageBreak/>
        <w:t xml:space="preserve">are vital skills </w:t>
      </w:r>
      <w:r w:rsidR="00D72696">
        <w:rPr>
          <w:rFonts w:eastAsiaTheme="minorEastAsia" w:cs="Arial"/>
          <w:szCs w:val="24"/>
          <w:lang w:val="en-US"/>
        </w:rPr>
        <w:t xml:space="preserve">but </w:t>
      </w:r>
      <w:r w:rsidR="00EC19D9">
        <w:rPr>
          <w:rFonts w:eastAsiaTheme="minorEastAsia" w:cs="Arial"/>
          <w:szCs w:val="24"/>
          <w:lang w:val="en-US"/>
        </w:rPr>
        <w:t xml:space="preserve">are a huge challenge </w:t>
      </w:r>
      <w:r w:rsidR="00D72696">
        <w:rPr>
          <w:rFonts w:eastAsiaTheme="minorEastAsia" w:cs="Arial"/>
          <w:szCs w:val="24"/>
          <w:lang w:val="en-US"/>
        </w:rPr>
        <w:t xml:space="preserve">to isolate and measure. </w:t>
      </w:r>
      <w:r w:rsidR="00177874">
        <w:rPr>
          <w:rFonts w:eastAsiaTheme="minorEastAsia" w:cs="Arial"/>
          <w:szCs w:val="24"/>
          <w:lang w:val="en-US"/>
        </w:rPr>
        <w:fldChar w:fldCharType="begin"/>
      </w:r>
      <w:r w:rsidR="005823F4">
        <w:rPr>
          <w:rFonts w:eastAsiaTheme="minorEastAsia" w:cs="Arial"/>
          <w:szCs w:val="24"/>
          <w:lang w:val="en-US"/>
        </w:rPr>
        <w:instrText xml:space="preserve"> ADDIN EN.CITE &lt;EndNote&gt;&lt;Cite&gt;&lt;Author&gt;Morrow&lt;/Author&gt;&lt;Year&gt;2012&lt;/Year&gt;&lt;IDText&gt;Preparedness for practice: the perceptions of medical graduates and clinical teams&lt;/IDText&gt;&lt;DisplayText&gt;(Morrow et al., 2012)&lt;/DisplayText&gt;&lt;record&gt;&lt;keywords&gt;&lt;keyword&gt;Adult&lt;/keyword&gt;&lt;keyword&gt;Analysis of Variance&lt;/keyword&gt;&lt;keyword&gt;Attitude of Health Personnel&lt;/keyword&gt;&lt;keyword&gt;Clinical Competence&lt;/keyword&gt;&lt;keyword&gt;Curriculum&lt;/keyword&gt;&lt;keyword&gt;Education, Medical, Undergraduate&lt;/keyword&gt;&lt;keyword&gt;Female&lt;/keyword&gt;&lt;keyword&gt;Great Britain&lt;/keyword&gt;&lt;keyword&gt;Humans&lt;/keyword&gt;&lt;keyword&gt;Male&lt;/keyword&gt;&lt;keyword&gt;Medical Staff, Hospital&lt;/keyword&gt;&lt;keyword&gt;Patient Care Team&lt;/keyword&gt;&lt;keyword&gt;Perception&lt;/keyword&gt;&lt;keyword&gt;Schools, Medical&lt;/keyword&gt;&lt;keyword&gt;Surveys and Questionnaires&lt;/keyword&gt;&lt;keyword&gt;Young Adult&lt;/keyword&gt;&lt;/keywords&gt;&lt;urls&gt;&lt;related-urls&gt;&lt;url&gt;http://www.ncbi.nlm.nih.gov/pubmed/22288990&lt;/url&gt;&lt;/related-urls&gt;&lt;/urls&gt;&lt;isbn&gt;1466-187X&lt;/isbn&gt;&lt;titles&gt;&lt;title&gt;Preparedness for practice: the perceptions of medical graduates and clinical teams&lt;/title&gt;&lt;secondary-title&gt;Med Teach&lt;/secondary-title&gt;&lt;/titles&gt;&lt;pages&gt;123-35&lt;/pages&gt;&lt;number&gt;2&lt;/number&gt;&lt;contributors&gt;&lt;authors&gt;&lt;author&gt;Morrow, G.&lt;/author&gt;&lt;author&gt;Johnson, N.&lt;/author&gt;&lt;author&gt;Burford, B.&lt;/author&gt;&lt;author&gt;Rothwell, C.&lt;/author&gt;&lt;author&gt;Spencer, J.&lt;/author&gt;&lt;author&gt;Peile, E.&lt;/author&gt;&lt;author&gt;Davies, C.&lt;/author&gt;&lt;author&gt;Allen, M.&lt;/author&gt;&lt;author&gt;Baldauf, B.&lt;/author&gt;&lt;author&gt;Morrison, J.&lt;/author&gt;&lt;author&gt;Illing, J.&lt;/author&gt;&lt;/authors&gt;&lt;/contributors&gt;&lt;language&gt;eng&lt;/language&gt;&lt;added-date format="utc"&gt;1455618873&lt;/added-date&gt;&lt;ref-type name="Journal Article"&gt;17&lt;/ref-type&gt;&lt;dates&gt;&lt;year&gt;2012&lt;/year&gt;&lt;/dates&gt;&lt;rec-number&gt;164&lt;/rec-number&gt;&lt;last-updated-date format="utc"&gt;1455618873&lt;/last-updated-date&gt;&lt;accession-num&gt;22288990&lt;/accession-num&gt;&lt;electronic-resource-num&gt;10.3109/0142159X.2012.643260&lt;/electronic-resource-num&gt;&lt;volume&gt;34&lt;/volume&gt;&lt;/record&gt;&lt;/Cite&gt;&lt;/EndNote&gt;</w:instrText>
      </w:r>
      <w:r w:rsidR="00177874">
        <w:rPr>
          <w:rFonts w:eastAsiaTheme="minorEastAsia" w:cs="Arial"/>
          <w:szCs w:val="24"/>
          <w:lang w:val="en-US"/>
        </w:rPr>
        <w:fldChar w:fldCharType="separate"/>
      </w:r>
      <w:r w:rsidR="005823F4">
        <w:rPr>
          <w:rFonts w:eastAsiaTheme="minorEastAsia" w:cs="Arial"/>
          <w:noProof/>
          <w:szCs w:val="24"/>
          <w:lang w:val="en-US"/>
        </w:rPr>
        <w:t>(Morrow et al., 2012)</w:t>
      </w:r>
      <w:r w:rsidR="00177874">
        <w:rPr>
          <w:rFonts w:eastAsiaTheme="minorEastAsia" w:cs="Arial"/>
          <w:szCs w:val="24"/>
          <w:lang w:val="en-US"/>
        </w:rPr>
        <w:fldChar w:fldCharType="end"/>
      </w:r>
      <w:r w:rsidR="00177874">
        <w:rPr>
          <w:rFonts w:eastAsiaTheme="minorEastAsia" w:cs="Arial"/>
          <w:szCs w:val="24"/>
          <w:lang w:val="en-US"/>
        </w:rPr>
        <w:t xml:space="preserve"> </w:t>
      </w:r>
      <w:r w:rsidR="00D72696">
        <w:rPr>
          <w:rFonts w:eastAsiaTheme="minorEastAsia" w:cs="Arial"/>
          <w:szCs w:val="24"/>
          <w:lang w:val="en-US"/>
        </w:rPr>
        <w:t>recommends</w:t>
      </w:r>
      <w:r w:rsidR="00D963C4">
        <w:rPr>
          <w:rFonts w:eastAsiaTheme="minorEastAsia" w:cs="Arial"/>
          <w:szCs w:val="24"/>
          <w:lang w:val="en-US"/>
        </w:rPr>
        <w:t xml:space="preserve"> </w:t>
      </w:r>
      <w:r w:rsidR="00D72696">
        <w:rPr>
          <w:rFonts w:eastAsiaTheme="minorEastAsia" w:cs="Arial"/>
          <w:szCs w:val="24"/>
          <w:lang w:val="en-US"/>
        </w:rPr>
        <w:t xml:space="preserve">that </w:t>
      </w:r>
      <w:r w:rsidR="008C5E7A">
        <w:rPr>
          <w:rFonts w:eastAsiaTheme="minorEastAsia" w:cs="Arial"/>
          <w:szCs w:val="24"/>
          <w:lang w:val="en-US"/>
        </w:rPr>
        <w:t>there needs to be</w:t>
      </w:r>
      <w:r>
        <w:rPr>
          <w:rFonts w:eastAsiaTheme="minorEastAsia" w:cs="Arial"/>
          <w:szCs w:val="24"/>
          <w:lang w:val="en-US"/>
        </w:rPr>
        <w:t xml:space="preserve"> an</w:t>
      </w:r>
      <w:r w:rsidR="008C5E7A">
        <w:rPr>
          <w:rFonts w:eastAsiaTheme="minorEastAsia" w:cs="Arial"/>
          <w:szCs w:val="24"/>
          <w:lang w:val="en-US"/>
        </w:rPr>
        <w:t xml:space="preserve"> increased opportunity for exposure </w:t>
      </w:r>
      <w:r>
        <w:rPr>
          <w:rFonts w:eastAsiaTheme="minorEastAsia" w:cs="Arial"/>
          <w:szCs w:val="24"/>
          <w:lang w:val="en-US"/>
        </w:rPr>
        <w:t xml:space="preserve">to </w:t>
      </w:r>
      <w:r w:rsidR="008C5E7A">
        <w:rPr>
          <w:rFonts w:eastAsiaTheme="minorEastAsia" w:cs="Arial"/>
          <w:szCs w:val="24"/>
          <w:lang w:val="en-US"/>
        </w:rPr>
        <w:t>and experience of the real workplace a</w:t>
      </w:r>
      <w:r>
        <w:rPr>
          <w:rFonts w:eastAsiaTheme="minorEastAsia" w:cs="Arial"/>
          <w:szCs w:val="24"/>
          <w:lang w:val="en-US"/>
        </w:rPr>
        <w:t>s well as</w:t>
      </w:r>
      <w:r w:rsidR="008C5E7A">
        <w:rPr>
          <w:rFonts w:eastAsiaTheme="minorEastAsia" w:cs="Arial"/>
          <w:szCs w:val="24"/>
          <w:lang w:val="en-US"/>
        </w:rPr>
        <w:t xml:space="preserve"> active participation</w:t>
      </w:r>
      <w:r w:rsidR="00177874">
        <w:rPr>
          <w:rFonts w:eastAsiaTheme="minorEastAsia" w:cs="Arial"/>
          <w:szCs w:val="24"/>
          <w:lang w:val="en-US"/>
        </w:rPr>
        <w:t xml:space="preserve">. </w:t>
      </w:r>
      <w:r w:rsidR="00D963C4">
        <w:rPr>
          <w:rFonts w:eastAsiaTheme="minorEastAsia" w:cs="Arial"/>
          <w:szCs w:val="24"/>
          <w:lang w:val="en-US"/>
        </w:rPr>
        <w:t>T</w:t>
      </w:r>
      <w:r w:rsidR="00F62D93">
        <w:rPr>
          <w:rFonts w:eastAsiaTheme="minorEastAsia" w:cs="Arial"/>
          <w:szCs w:val="24"/>
          <w:lang w:val="en-US"/>
        </w:rPr>
        <w:t xml:space="preserve">his is a clear and obvious message, </w:t>
      </w:r>
      <w:r>
        <w:rPr>
          <w:rFonts w:eastAsiaTheme="minorEastAsia" w:cs="Arial"/>
          <w:szCs w:val="24"/>
          <w:lang w:val="en-US"/>
        </w:rPr>
        <w:t xml:space="preserve">yet </w:t>
      </w:r>
      <w:r w:rsidR="00F62D93">
        <w:rPr>
          <w:rFonts w:eastAsiaTheme="minorEastAsia" w:cs="Arial"/>
          <w:szCs w:val="24"/>
          <w:lang w:val="en-US"/>
        </w:rPr>
        <w:t>educational quality assurance</w:t>
      </w:r>
      <w:r w:rsidR="00D963C4">
        <w:rPr>
          <w:rFonts w:eastAsiaTheme="minorEastAsia" w:cs="Arial"/>
          <w:szCs w:val="24"/>
          <w:lang w:val="en-US"/>
        </w:rPr>
        <w:t>,</w:t>
      </w:r>
      <w:r w:rsidR="00F62D93">
        <w:rPr>
          <w:rFonts w:eastAsiaTheme="minorEastAsia" w:cs="Arial"/>
          <w:szCs w:val="24"/>
          <w:lang w:val="en-US"/>
        </w:rPr>
        <w:t xml:space="preserve"> what is ‘</w:t>
      </w:r>
      <w:r w:rsidR="00EC19D9">
        <w:rPr>
          <w:rFonts w:eastAsiaTheme="minorEastAsia" w:cs="Arial"/>
          <w:szCs w:val="24"/>
          <w:lang w:val="en-US"/>
        </w:rPr>
        <w:t>meaningful</w:t>
      </w:r>
      <w:r w:rsidR="00F62D93">
        <w:rPr>
          <w:rFonts w:eastAsiaTheme="minorEastAsia" w:cs="Arial"/>
          <w:szCs w:val="24"/>
          <w:lang w:val="en-US"/>
        </w:rPr>
        <w:t>’</w:t>
      </w:r>
      <w:r w:rsidR="00EC19D9">
        <w:rPr>
          <w:rFonts w:eastAsiaTheme="minorEastAsia" w:cs="Arial"/>
          <w:szCs w:val="24"/>
          <w:lang w:val="en-US"/>
        </w:rPr>
        <w:t xml:space="preserve"> participation</w:t>
      </w:r>
      <w:r>
        <w:rPr>
          <w:rFonts w:eastAsiaTheme="minorEastAsia" w:cs="Arial"/>
          <w:szCs w:val="24"/>
          <w:lang w:val="en-US"/>
        </w:rPr>
        <w:t>,</w:t>
      </w:r>
      <w:r w:rsidR="00EC19D9">
        <w:rPr>
          <w:rFonts w:eastAsiaTheme="minorEastAsia" w:cs="Arial"/>
          <w:szCs w:val="24"/>
          <w:lang w:val="en-US"/>
        </w:rPr>
        <w:t xml:space="preserve"> and facilitation of learning in a clinical environment</w:t>
      </w:r>
      <w:r w:rsidR="00F62D93">
        <w:rPr>
          <w:rFonts w:eastAsiaTheme="minorEastAsia" w:cs="Arial"/>
          <w:szCs w:val="24"/>
          <w:lang w:val="en-US"/>
        </w:rPr>
        <w:t xml:space="preserve"> ha</w:t>
      </w:r>
      <w:r w:rsidR="00DE07AB">
        <w:rPr>
          <w:rFonts w:eastAsiaTheme="minorEastAsia" w:cs="Arial"/>
          <w:szCs w:val="24"/>
          <w:lang w:val="en-US"/>
        </w:rPr>
        <w:t>ve</w:t>
      </w:r>
      <w:r w:rsidR="00F62D93">
        <w:rPr>
          <w:rFonts w:eastAsiaTheme="minorEastAsia" w:cs="Arial"/>
          <w:szCs w:val="24"/>
          <w:lang w:val="en-US"/>
        </w:rPr>
        <w:t xml:space="preserve"> not been discussed</w:t>
      </w:r>
      <w:r w:rsidR="00EC19D9">
        <w:rPr>
          <w:rFonts w:eastAsiaTheme="minorEastAsia" w:cs="Arial"/>
          <w:szCs w:val="24"/>
          <w:lang w:val="en-US"/>
        </w:rPr>
        <w:t xml:space="preserve">. </w:t>
      </w:r>
    </w:p>
    <w:p w14:paraId="2A9478B4" w14:textId="2A31E011" w:rsidR="00FC4DEA" w:rsidRPr="00FE42DE" w:rsidRDefault="008C5E7A" w:rsidP="00C50552">
      <w:pPr>
        <w:rPr>
          <w:rFonts w:eastAsiaTheme="minorEastAsia" w:cs="Arial"/>
          <w:szCs w:val="24"/>
          <w:lang w:val="en-US"/>
        </w:rPr>
      </w:pPr>
      <w:r>
        <w:rPr>
          <w:rFonts w:eastAsiaTheme="minorEastAsia" w:cs="Arial"/>
          <w:szCs w:val="24"/>
          <w:lang w:val="en-US"/>
        </w:rPr>
        <w:t>This is a quantitative study of what is essentially a qualitative measure – vie</w:t>
      </w:r>
      <w:r w:rsidR="008B2E57">
        <w:rPr>
          <w:rFonts w:eastAsiaTheme="minorEastAsia" w:cs="Arial"/>
          <w:szCs w:val="24"/>
          <w:lang w:val="en-US"/>
        </w:rPr>
        <w:t>ws,</w:t>
      </w:r>
      <w:r w:rsidR="003F2A23">
        <w:rPr>
          <w:rFonts w:eastAsiaTheme="minorEastAsia" w:cs="Arial"/>
          <w:szCs w:val="24"/>
          <w:lang w:val="en-US"/>
        </w:rPr>
        <w:t xml:space="preserve"> opinions and perceptions</w:t>
      </w:r>
      <w:r w:rsidR="00DE07AB">
        <w:rPr>
          <w:rFonts w:eastAsiaTheme="minorEastAsia" w:cs="Arial"/>
          <w:szCs w:val="24"/>
          <w:lang w:val="en-US"/>
        </w:rPr>
        <w:t xml:space="preserve">, </w:t>
      </w:r>
      <w:r w:rsidR="003F2A23">
        <w:rPr>
          <w:rFonts w:eastAsiaTheme="minorEastAsia" w:cs="Arial"/>
          <w:szCs w:val="24"/>
          <w:lang w:val="en-US"/>
        </w:rPr>
        <w:t>lead</w:t>
      </w:r>
      <w:r w:rsidR="00DE07AB">
        <w:rPr>
          <w:rFonts w:eastAsiaTheme="minorEastAsia" w:cs="Arial"/>
          <w:szCs w:val="24"/>
          <w:lang w:val="en-US"/>
        </w:rPr>
        <w:t>ing</w:t>
      </w:r>
      <w:r w:rsidR="003F2A23">
        <w:rPr>
          <w:rFonts w:eastAsiaTheme="minorEastAsia" w:cs="Arial"/>
          <w:szCs w:val="24"/>
          <w:lang w:val="en-US"/>
        </w:rPr>
        <w:t xml:space="preserve"> to</w:t>
      </w:r>
      <w:r>
        <w:rPr>
          <w:rFonts w:eastAsiaTheme="minorEastAsia" w:cs="Arial"/>
          <w:szCs w:val="24"/>
          <w:lang w:val="en-US"/>
        </w:rPr>
        <w:t xml:space="preserve"> a</w:t>
      </w:r>
      <w:r w:rsidR="00F62D93">
        <w:rPr>
          <w:rFonts w:eastAsiaTheme="minorEastAsia" w:cs="Arial"/>
          <w:szCs w:val="24"/>
          <w:lang w:val="en-US"/>
        </w:rPr>
        <w:t xml:space="preserve"> paucity</w:t>
      </w:r>
      <w:r>
        <w:rPr>
          <w:rFonts w:eastAsiaTheme="minorEastAsia" w:cs="Arial"/>
          <w:szCs w:val="24"/>
          <w:lang w:val="en-US"/>
        </w:rPr>
        <w:t xml:space="preserve"> </w:t>
      </w:r>
      <w:r w:rsidR="00F62D93">
        <w:rPr>
          <w:rFonts w:eastAsiaTheme="minorEastAsia" w:cs="Arial"/>
          <w:szCs w:val="24"/>
          <w:lang w:val="en-US"/>
        </w:rPr>
        <w:t xml:space="preserve">of </w:t>
      </w:r>
      <w:r>
        <w:rPr>
          <w:rFonts w:eastAsiaTheme="minorEastAsia" w:cs="Arial"/>
          <w:szCs w:val="24"/>
          <w:lang w:val="en-US"/>
        </w:rPr>
        <w:t xml:space="preserve">rich understanding of how </w:t>
      </w:r>
      <w:r w:rsidR="00F9721B">
        <w:rPr>
          <w:rFonts w:eastAsiaTheme="minorEastAsia" w:cs="Arial"/>
          <w:szCs w:val="24"/>
          <w:lang w:val="en-US"/>
        </w:rPr>
        <w:t>preparedness</w:t>
      </w:r>
      <w:r w:rsidR="00A75E92">
        <w:rPr>
          <w:rFonts w:eastAsiaTheme="minorEastAsia" w:cs="Arial"/>
          <w:szCs w:val="24"/>
          <w:lang w:val="en-US"/>
        </w:rPr>
        <w:t xml:space="preserve"> can be improved</w:t>
      </w:r>
      <w:r w:rsidR="00D963C4">
        <w:rPr>
          <w:rFonts w:eastAsiaTheme="minorEastAsia" w:cs="Arial"/>
          <w:szCs w:val="24"/>
          <w:lang w:val="en-US"/>
        </w:rPr>
        <w:t>.</w:t>
      </w:r>
    </w:p>
    <w:p w14:paraId="0B8113B4" w14:textId="1074EF6B" w:rsidR="00F9721B" w:rsidRDefault="001256CD" w:rsidP="00F9721B">
      <w:pPr>
        <w:rPr>
          <w:rFonts w:cs="Arial"/>
          <w:szCs w:val="24"/>
        </w:rPr>
      </w:pPr>
      <w:r>
        <w:rPr>
          <w:rFonts w:cs="Arial"/>
          <w:szCs w:val="24"/>
        </w:rPr>
        <w:t>Tallentire</w:t>
      </w:r>
      <w:r w:rsidR="003F2A23">
        <w:rPr>
          <w:rFonts w:cs="Arial"/>
          <w:szCs w:val="24"/>
        </w:rPr>
        <w:t xml:space="preserve"> (2011)</w:t>
      </w:r>
      <w:r>
        <w:rPr>
          <w:rFonts w:cs="Arial"/>
          <w:szCs w:val="24"/>
        </w:rPr>
        <w:t xml:space="preserve"> </w:t>
      </w:r>
      <w:r w:rsidR="00A75E92">
        <w:rPr>
          <w:rFonts w:cs="Arial"/>
          <w:szCs w:val="24"/>
        </w:rPr>
        <w:t xml:space="preserve">shares </w:t>
      </w:r>
      <w:r>
        <w:rPr>
          <w:rFonts w:cs="Arial"/>
          <w:szCs w:val="24"/>
        </w:rPr>
        <w:t>he</w:t>
      </w:r>
      <w:r w:rsidR="005526F7">
        <w:rPr>
          <w:rFonts w:cs="Arial"/>
          <w:szCs w:val="24"/>
        </w:rPr>
        <w:t>r thoughts from her</w:t>
      </w:r>
      <w:r>
        <w:rPr>
          <w:rFonts w:cs="Arial"/>
          <w:szCs w:val="24"/>
        </w:rPr>
        <w:t xml:space="preserve"> own research and experience that junior doctors are not trained to manage the</w:t>
      </w:r>
      <w:r w:rsidR="00270087">
        <w:rPr>
          <w:rFonts w:cs="Arial"/>
          <w:szCs w:val="24"/>
        </w:rPr>
        <w:t>:</w:t>
      </w:r>
      <w:r>
        <w:rPr>
          <w:rFonts w:cs="Arial"/>
          <w:szCs w:val="24"/>
        </w:rPr>
        <w:t xml:space="preserve"> ‘com</w:t>
      </w:r>
      <w:r w:rsidR="003F3422">
        <w:rPr>
          <w:rFonts w:cs="Arial"/>
          <w:szCs w:val="24"/>
        </w:rPr>
        <w:t>plexity of the hospital environ</w:t>
      </w:r>
      <w:r>
        <w:rPr>
          <w:rFonts w:cs="Arial"/>
          <w:szCs w:val="24"/>
        </w:rPr>
        <w:t>ment, manage workload, cope with night shifts, manage stress, acknowledge and reflect on own emotions related to death, professional relationships and patient complaints</w:t>
      </w:r>
      <w:r w:rsidR="005526F7">
        <w:rPr>
          <w:rFonts w:cs="Arial"/>
          <w:szCs w:val="24"/>
        </w:rPr>
        <w:t>’</w:t>
      </w:r>
      <w:r w:rsidR="003F2A23">
        <w:rPr>
          <w:rFonts w:cs="Arial"/>
          <w:szCs w:val="24"/>
        </w:rPr>
        <w:t xml:space="preserve">. </w:t>
      </w:r>
      <w:r w:rsidR="00A62D68">
        <w:rPr>
          <w:rFonts w:cs="Arial"/>
          <w:szCs w:val="24"/>
        </w:rPr>
        <w:t>Though this is a self-</w:t>
      </w:r>
      <w:r w:rsidR="004C0E8F">
        <w:rPr>
          <w:rFonts w:cs="Arial"/>
          <w:szCs w:val="24"/>
        </w:rPr>
        <w:t>reported opinion, learning from those with experience of the clinical environment ma</w:t>
      </w:r>
      <w:r w:rsidR="003F2A23">
        <w:rPr>
          <w:rFonts w:cs="Arial"/>
          <w:szCs w:val="24"/>
        </w:rPr>
        <w:t xml:space="preserve">y uncover vital areas for </w:t>
      </w:r>
      <w:r w:rsidR="004C0E8F">
        <w:rPr>
          <w:rFonts w:cs="Arial"/>
          <w:szCs w:val="24"/>
        </w:rPr>
        <w:t xml:space="preserve">development. </w:t>
      </w:r>
    </w:p>
    <w:p w14:paraId="05BDC996" w14:textId="6D3FBE4B" w:rsidR="00C16D2F" w:rsidRDefault="003F2A23" w:rsidP="00F9721B">
      <w:pPr>
        <w:rPr>
          <w:rFonts w:cs="Arial"/>
          <w:szCs w:val="24"/>
        </w:rPr>
      </w:pPr>
      <w:r>
        <w:rPr>
          <w:rFonts w:cs="Arial"/>
          <w:szCs w:val="24"/>
        </w:rPr>
        <w:t>This issue is a challenge</w:t>
      </w:r>
      <w:r w:rsidR="00C16D2F">
        <w:rPr>
          <w:rFonts w:cs="Arial"/>
          <w:szCs w:val="24"/>
        </w:rPr>
        <w:t xml:space="preserve"> internationally. A study of 637 junior doctors in Germany</w:t>
      </w:r>
      <w:r w:rsidR="00177874">
        <w:rPr>
          <w:rFonts w:cs="Arial"/>
          <w:szCs w:val="24"/>
        </w:rPr>
        <w:t>,</w:t>
      </w:r>
      <w:r w:rsidR="00C16D2F">
        <w:rPr>
          <w:rFonts w:cs="Arial"/>
          <w:szCs w:val="24"/>
        </w:rPr>
        <w:t xml:space="preserve"> performed through the use of retrospective questionnaires reports ‘60% of participating doctors felt poorly prepared for postgraduate training’. </w:t>
      </w:r>
      <w:r w:rsidR="00270087">
        <w:rPr>
          <w:rFonts w:cs="Arial"/>
          <w:szCs w:val="24"/>
        </w:rPr>
        <w:t>Deficient</w:t>
      </w:r>
      <w:r w:rsidR="00270087" w:rsidDel="00270087">
        <w:rPr>
          <w:rFonts w:cs="Arial"/>
          <w:szCs w:val="24"/>
        </w:rPr>
        <w:t xml:space="preserve"> </w:t>
      </w:r>
      <w:r w:rsidR="00C16D2F">
        <w:rPr>
          <w:rFonts w:cs="Arial"/>
          <w:szCs w:val="24"/>
        </w:rPr>
        <w:t xml:space="preserve">skills found to be independently related to self-rated preparedness were ‘treatment and therapy planning’, interpretation of ECGs and endotracheal intubation </w:t>
      </w:r>
      <w:r w:rsidR="00C16D2F">
        <w:rPr>
          <w:rFonts w:cs="Arial"/>
          <w:szCs w:val="24"/>
        </w:rPr>
        <w:fldChar w:fldCharType="begin"/>
      </w:r>
      <w:r w:rsidR="00C16D2F">
        <w:rPr>
          <w:rFonts w:cs="Arial"/>
          <w:szCs w:val="24"/>
        </w:rPr>
        <w:instrText xml:space="preserve"> ADDIN EN.CITE &lt;EndNote&gt;&lt;Cite&gt;&lt;Author&gt;Ochsmann&lt;/Author&gt;&lt;Year&gt;2011&lt;/Year&gt;&lt;IDText&gt;Well prepared for work? Junior doctors&amp;apos; self-assessment after medical education&lt;/IDText&gt;&lt;DisplayText&gt;(Ochsmann et al., 2011)&lt;/DisplayText&gt;&lt;record&gt;&lt;keywords&gt;&lt;keyword&gt;Adult&lt;/keyword&gt;&lt;keyword&gt;Clinical Competence&lt;/keyword&gt;&lt;keyword&gt;Cohort Studies&lt;/keyword&gt;&lt;keyword&gt;Confidence Intervals&lt;/keyword&gt;&lt;keyword&gt;Curriculum&lt;/keyword&gt;&lt;keyword&gt;Education, Medical&lt;/keyword&gt;&lt;keyword&gt;Educational Measurement&lt;/keyword&gt;&lt;keyword&gt;Educational Status&lt;/keyword&gt;&lt;keyword&gt;Female&lt;/keyword&gt;&lt;keyword&gt;Health Knowledge, Attitudes, Practice&lt;/keyword&gt;&lt;keyword&gt;Humans&lt;/keyword&gt;&lt;keyword&gt;Logistic Models&lt;/keyword&gt;&lt;keyword&gt;Male&lt;/keyword&gt;&lt;keyword&gt;Models, Statistical&lt;/keyword&gt;&lt;keyword&gt;Odds Ratio&lt;/keyword&gt;&lt;keyword&gt;Regression Analysis&lt;/keyword&gt;&lt;keyword&gt;Retrospective Studies&lt;/keyword&gt;&lt;keyword&gt;Self-Assessment&lt;/keyword&gt;&lt;keyword&gt;Statistics as Topic&lt;/keyword&gt;&lt;keyword&gt;Surveys and Questionnaires&lt;/keyword&gt;&lt;/keywords&gt;&lt;urls&gt;&lt;related-urls&gt;&lt;url&gt;http://www.ncbi.nlm.nih.gov/pubmed/22114989&lt;/url&gt;&lt;/related-urls&gt;&lt;/urls&gt;&lt;isbn&gt;1472-6920&lt;/isbn&gt;&lt;custom2&gt;PMC3267657&lt;/custom2&gt;&lt;titles&gt;&lt;title&gt;Well prepared for work? Junior doctors&amp;apos; self-assessment after medical education&lt;/title&gt;&lt;secondary-title&gt;BMC Med Educ&lt;/secondary-title&gt;&lt;/titles&gt;&lt;pages&gt;99&lt;/pages&gt;&lt;contributors&gt;&lt;authors&gt;&lt;author&gt;Ochsmann, E. B.&lt;/author&gt;&lt;author&gt;Zier, U.&lt;/author&gt;&lt;author&gt;Drexler, H.&lt;/author&gt;&lt;author&gt;Schmid, K.&lt;/author&gt;&lt;/authors&gt;&lt;/contributors&gt;&lt;language&gt;eng&lt;/language&gt;&lt;added-date format="utc"&gt;1453474394&lt;/added-date&gt;&lt;ref-type name="Journal Article"&gt;17&lt;/ref-type&gt;&lt;dates&gt;&lt;year&gt;2011&lt;/year&gt;&lt;/dates&gt;&lt;rec-number&gt;157&lt;/rec-number&gt;&lt;last-updated-date format="utc"&gt;1453474394&lt;/last-updated-date&gt;&lt;accession-num&gt;22114989&lt;/accession-num&gt;&lt;electronic-resource-num&gt;10.1186/1472-6920-11-99&lt;/electronic-resource-num&gt;&lt;volume&gt;11&lt;/volume&gt;&lt;/record&gt;&lt;/Cite&gt;&lt;/EndNote&gt;</w:instrText>
      </w:r>
      <w:r w:rsidR="00C16D2F">
        <w:rPr>
          <w:rFonts w:cs="Arial"/>
          <w:szCs w:val="24"/>
        </w:rPr>
        <w:fldChar w:fldCharType="separate"/>
      </w:r>
      <w:r w:rsidR="00C16D2F">
        <w:rPr>
          <w:rFonts w:cs="Arial"/>
          <w:noProof/>
          <w:szCs w:val="24"/>
        </w:rPr>
        <w:t>(Ochsmann et al., 2011)</w:t>
      </w:r>
      <w:r w:rsidR="00C16D2F">
        <w:rPr>
          <w:rFonts w:cs="Arial"/>
          <w:szCs w:val="24"/>
        </w:rPr>
        <w:fldChar w:fldCharType="end"/>
      </w:r>
      <w:r w:rsidR="00C16D2F">
        <w:rPr>
          <w:rFonts w:cs="Arial"/>
          <w:szCs w:val="24"/>
        </w:rPr>
        <w:t>. Th</w:t>
      </w:r>
      <w:r w:rsidR="00270087">
        <w:rPr>
          <w:rFonts w:cs="Arial"/>
          <w:szCs w:val="24"/>
        </w:rPr>
        <w:t>e</w:t>
      </w:r>
      <w:r w:rsidR="00C16D2F">
        <w:rPr>
          <w:rFonts w:cs="Arial"/>
          <w:szCs w:val="24"/>
        </w:rPr>
        <w:t xml:space="preserve"> study focuses on technical skills </w:t>
      </w:r>
      <w:r w:rsidR="00DE07AB">
        <w:rPr>
          <w:rFonts w:cs="Arial"/>
          <w:szCs w:val="24"/>
        </w:rPr>
        <w:t xml:space="preserve">avoiding the </w:t>
      </w:r>
      <w:r w:rsidR="00C16D2F">
        <w:rPr>
          <w:rFonts w:cs="Arial"/>
          <w:szCs w:val="24"/>
        </w:rPr>
        <w:t>complex non-technical skills</w:t>
      </w:r>
      <w:r w:rsidR="006372E6">
        <w:rPr>
          <w:rFonts w:cs="Arial"/>
          <w:szCs w:val="24"/>
        </w:rPr>
        <w:t>,</w:t>
      </w:r>
      <w:r w:rsidR="00C16D2F">
        <w:rPr>
          <w:rFonts w:cs="Arial"/>
          <w:szCs w:val="24"/>
        </w:rPr>
        <w:t xml:space="preserve"> highli</w:t>
      </w:r>
      <w:r>
        <w:rPr>
          <w:rFonts w:cs="Arial"/>
          <w:szCs w:val="24"/>
        </w:rPr>
        <w:t>ghted by Tallentire et al. (2011)</w:t>
      </w:r>
      <w:r w:rsidR="00C16D2F">
        <w:rPr>
          <w:rFonts w:cs="Arial"/>
          <w:szCs w:val="24"/>
        </w:rPr>
        <w:t xml:space="preserve">. </w:t>
      </w:r>
      <w:r w:rsidR="00C16D2F">
        <w:rPr>
          <w:rFonts w:cs="Arial"/>
          <w:szCs w:val="24"/>
        </w:rPr>
        <w:lastRenderedPageBreak/>
        <w:t>This may reflect the complexity of assessment of non-technical skills</w:t>
      </w:r>
      <w:r w:rsidR="00644828">
        <w:rPr>
          <w:rFonts w:cs="Arial"/>
          <w:szCs w:val="24"/>
        </w:rPr>
        <w:t>,</w:t>
      </w:r>
      <w:r w:rsidR="00516A12">
        <w:rPr>
          <w:rFonts w:cs="Arial"/>
          <w:szCs w:val="24"/>
        </w:rPr>
        <w:t xml:space="preserve"> or may reflect </w:t>
      </w:r>
      <w:r w:rsidR="00C16D2F">
        <w:rPr>
          <w:rFonts w:cs="Arial"/>
          <w:szCs w:val="24"/>
        </w:rPr>
        <w:t xml:space="preserve">the lack of perceived importance </w:t>
      </w:r>
      <w:r w:rsidR="002744A5">
        <w:rPr>
          <w:rFonts w:cs="Arial"/>
          <w:szCs w:val="24"/>
        </w:rPr>
        <w:t xml:space="preserve">and value </w:t>
      </w:r>
      <w:r w:rsidR="00C16D2F">
        <w:rPr>
          <w:rFonts w:cs="Arial"/>
          <w:szCs w:val="24"/>
        </w:rPr>
        <w:t xml:space="preserve">of them in comparison. </w:t>
      </w:r>
    </w:p>
    <w:p w14:paraId="607EAF6B" w14:textId="780DC9DB" w:rsidR="001B62D3" w:rsidRDefault="00DA6D2F" w:rsidP="00C50552">
      <w:pPr>
        <w:rPr>
          <w:rFonts w:cs="Arial"/>
          <w:szCs w:val="24"/>
        </w:rPr>
      </w:pPr>
      <w:r>
        <w:rPr>
          <w:rFonts w:cs="Arial"/>
          <w:szCs w:val="24"/>
        </w:rPr>
        <w:t xml:space="preserve">Brennan et al. </w:t>
      </w:r>
      <w:r w:rsidR="00CD08C8">
        <w:rPr>
          <w:rFonts w:cs="Arial"/>
          <w:szCs w:val="24"/>
        </w:rPr>
        <w:t xml:space="preserve">(2010) </w:t>
      </w:r>
      <w:r>
        <w:rPr>
          <w:rFonts w:cs="Arial"/>
          <w:szCs w:val="24"/>
        </w:rPr>
        <w:t>qualitatively</w:t>
      </w:r>
      <w:r w:rsidR="00270087" w:rsidRPr="00270087">
        <w:rPr>
          <w:rFonts w:cs="Arial"/>
          <w:szCs w:val="24"/>
        </w:rPr>
        <w:t xml:space="preserve"> </w:t>
      </w:r>
      <w:r w:rsidR="00270087">
        <w:rPr>
          <w:rFonts w:cs="Arial"/>
          <w:szCs w:val="24"/>
        </w:rPr>
        <w:t>explore</w:t>
      </w:r>
      <w:r>
        <w:rPr>
          <w:rFonts w:cs="Arial"/>
          <w:szCs w:val="24"/>
        </w:rPr>
        <w:t xml:space="preserve"> the sel</w:t>
      </w:r>
      <w:r w:rsidR="00B826A3">
        <w:rPr>
          <w:rFonts w:cs="Arial"/>
          <w:szCs w:val="24"/>
        </w:rPr>
        <w:t>f</w:t>
      </w:r>
      <w:r w:rsidR="00270087">
        <w:rPr>
          <w:rFonts w:cs="Arial"/>
          <w:szCs w:val="24"/>
        </w:rPr>
        <w:t>-</w:t>
      </w:r>
      <w:r w:rsidR="00B826A3">
        <w:rPr>
          <w:rFonts w:cs="Arial"/>
          <w:szCs w:val="24"/>
        </w:rPr>
        <w:t>reported experience of</w:t>
      </w:r>
      <w:r w:rsidR="00270087">
        <w:rPr>
          <w:rFonts w:cs="Arial"/>
          <w:szCs w:val="24"/>
        </w:rPr>
        <w:t xml:space="preserve"> 28</w:t>
      </w:r>
      <w:r w:rsidR="00B826A3">
        <w:rPr>
          <w:rFonts w:cs="Arial"/>
          <w:szCs w:val="24"/>
        </w:rPr>
        <w:t xml:space="preserve">, </w:t>
      </w:r>
      <w:r>
        <w:rPr>
          <w:rFonts w:cs="Arial"/>
          <w:szCs w:val="24"/>
        </w:rPr>
        <w:t>self-selected</w:t>
      </w:r>
      <w:r w:rsidR="00B826A3">
        <w:rPr>
          <w:rFonts w:cs="Arial"/>
          <w:szCs w:val="24"/>
        </w:rPr>
        <w:t>,</w:t>
      </w:r>
      <w:r>
        <w:rPr>
          <w:rFonts w:cs="Arial"/>
          <w:szCs w:val="24"/>
        </w:rPr>
        <w:t xml:space="preserve"> newly qualified doctors</w:t>
      </w:r>
      <w:r w:rsidR="001D4D2F">
        <w:rPr>
          <w:rFonts w:cs="Arial"/>
          <w:szCs w:val="24"/>
        </w:rPr>
        <w:t xml:space="preserve"> (28</w:t>
      </w:r>
      <w:r>
        <w:rPr>
          <w:rFonts w:cs="Arial"/>
          <w:szCs w:val="24"/>
        </w:rPr>
        <w:t>/186</w:t>
      </w:r>
      <w:r w:rsidR="00CD08C8">
        <w:rPr>
          <w:rFonts w:cs="Arial"/>
          <w:szCs w:val="24"/>
        </w:rPr>
        <w:t>) fr</w:t>
      </w:r>
      <w:r w:rsidR="00270087">
        <w:rPr>
          <w:rFonts w:cs="Arial"/>
          <w:szCs w:val="24"/>
        </w:rPr>
        <w:t>o</w:t>
      </w:r>
      <w:r w:rsidR="00CD08C8">
        <w:rPr>
          <w:rFonts w:cs="Arial"/>
          <w:szCs w:val="24"/>
        </w:rPr>
        <w:t xml:space="preserve">m one UK foundation school </w:t>
      </w:r>
      <w:r>
        <w:rPr>
          <w:rFonts w:cs="Arial"/>
          <w:szCs w:val="24"/>
        </w:rPr>
        <w:t>through semi-structured interviews (n=17 repeated interviews, n=10 audio diaries)</w:t>
      </w:r>
      <w:r w:rsidR="005924CA">
        <w:rPr>
          <w:rFonts w:cs="Arial"/>
          <w:szCs w:val="24"/>
        </w:rPr>
        <w:t>.</w:t>
      </w:r>
      <w:r>
        <w:rPr>
          <w:rFonts w:cs="Arial"/>
          <w:szCs w:val="24"/>
        </w:rPr>
        <w:t xml:space="preserve"> Graduates report a ‘stressful transition’ due to new ‘responsibility, managing uncertainty, experiencing sudden death of patients, feeling unsupport</w:t>
      </w:r>
      <w:r w:rsidR="00ED2A39">
        <w:rPr>
          <w:rFonts w:cs="Arial"/>
          <w:szCs w:val="24"/>
        </w:rPr>
        <w:t xml:space="preserve">ed’ and </w:t>
      </w:r>
      <w:r w:rsidR="00A645DC">
        <w:rPr>
          <w:rFonts w:cs="Arial"/>
          <w:szCs w:val="24"/>
        </w:rPr>
        <w:t>interprofessional</w:t>
      </w:r>
      <w:r w:rsidR="00ED2A39">
        <w:rPr>
          <w:rFonts w:cs="Arial"/>
          <w:szCs w:val="24"/>
        </w:rPr>
        <w:t xml:space="preserve"> team</w:t>
      </w:r>
      <w:r>
        <w:rPr>
          <w:rFonts w:cs="Arial"/>
          <w:szCs w:val="24"/>
        </w:rPr>
        <w:t>work</w:t>
      </w:r>
      <w:r w:rsidR="00516A12">
        <w:rPr>
          <w:rFonts w:cs="Arial"/>
          <w:szCs w:val="24"/>
        </w:rPr>
        <w:t xml:space="preserve"> </w:t>
      </w:r>
      <w:r w:rsidR="00B826A3">
        <w:rPr>
          <w:rFonts w:cs="Arial"/>
          <w:szCs w:val="24"/>
        </w:rPr>
        <w:fldChar w:fldCharType="begin"/>
      </w:r>
      <w:r w:rsidR="00B826A3">
        <w:rPr>
          <w:rFonts w:cs="Arial"/>
          <w:szCs w:val="24"/>
        </w:rPr>
        <w:instrText xml:space="preserve"> ADDIN EN.CITE &lt;EndNote&gt;&lt;Cite&gt;&lt;Author&gt;Brennan&lt;/Author&gt;&lt;Year&gt;2010&lt;/Year&gt;&lt;IDText&gt;The transition from medical student to junior doctor: today&amp;apos;s experiences of Tomorrow&amp;apos;s Doctors&lt;/IDText&gt;&lt;DisplayText&gt;(Brennan et al., 2010)&lt;/DisplayText&gt;&lt;record&gt;&lt;dates&gt;&lt;pub-dates&gt;&lt;date&gt;May&lt;/date&gt;&lt;/pub-dates&gt;&lt;year&gt;2010&lt;/year&gt;&lt;/dates&gt;&lt;keywords&gt;&lt;keyword&gt;Adaptation, Psychological&lt;/keyword&gt;&lt;keyword&gt;Attitude of Health Personnel&lt;/keyword&gt;&lt;keyword&gt;Education, Medical, Undergraduate&lt;/keyword&gt;&lt;keyword&gt;Female&lt;/keyword&gt;&lt;keyword&gt;Great Britain&lt;/keyword&gt;&lt;keyword&gt;Humans&lt;/keyword&gt;&lt;keyword&gt;Interpersonal Relations&lt;/keyword&gt;&lt;keyword&gt;Male&lt;/keyword&gt;&lt;keyword&gt;Medical Staff, Hospital&lt;/keyword&gt;&lt;keyword&gt;Stress, Psychological&lt;/keyword&gt;&lt;keyword&gt;Students, Medical&lt;/keyword&gt;&lt;keyword&gt;Surveys and Questionnaires&lt;/keyword&gt;&lt;/keywords&gt;&lt;urls&gt;&lt;related-urls&gt;&lt;url&gt;http://www.ncbi.nlm.nih.gov/pubmed/20518984&lt;/url&gt;&lt;/related-urls&gt;&lt;/urls&gt;&lt;isbn&gt;1365-2923&lt;/isbn&gt;&lt;titles&gt;&lt;title&gt;The transition from medical student to junior doctor: today&amp;apos;s experiences of Tomorrow&amp;apos;s Doctors&lt;/title&gt;&lt;secondary-title&gt;Med Educ&lt;/secondary-title&gt;&lt;/titles&gt;&lt;pages&gt;449-58&lt;/pages&gt;&lt;number&gt;5&lt;/number&gt;&lt;contributors&gt;&lt;authors&gt;&lt;author&gt;Brennan, N.&lt;/author&gt;&lt;author&gt;Corrigan, O.&lt;/author&gt;&lt;author&gt;Allard, J.&lt;/author&gt;&lt;author&gt;Archer, J.&lt;/author&gt;&lt;author&gt;Barnes, R.&lt;/author&gt;&lt;author&gt;Bleakley, A.&lt;/author&gt;&lt;author&gt;Collett, T.&lt;/author&gt;&lt;author&gt;de Bere, S. R.&lt;/author&gt;&lt;/authors&gt;&lt;/contributors&gt;&lt;language&gt;eng&lt;/language&gt;&lt;added-date format="utc"&gt;1455789999&lt;/added-date&gt;&lt;ref-type name="Journal Article"&gt;17&lt;/ref-type&gt;&lt;rec-number&gt;184&lt;/rec-number&gt;&lt;last-updated-date format="utc"&gt;1455789999&lt;/last-updated-date&gt;&lt;accession-num&gt;20518984&lt;/accession-num&gt;&lt;electronic-resource-num&gt;10.1111/j.1365-2923.2009.03604.x&lt;/electronic-resource-num&gt;&lt;volume&gt;44&lt;/volume&gt;&lt;/record&gt;&lt;/Cite&gt;&lt;/EndNote&gt;</w:instrText>
      </w:r>
      <w:r w:rsidR="00B826A3">
        <w:rPr>
          <w:rFonts w:cs="Arial"/>
          <w:szCs w:val="24"/>
        </w:rPr>
        <w:fldChar w:fldCharType="separate"/>
      </w:r>
      <w:r w:rsidR="00B826A3">
        <w:rPr>
          <w:rFonts w:cs="Arial"/>
          <w:noProof/>
          <w:szCs w:val="24"/>
        </w:rPr>
        <w:t>(Brennan et al., 2010)</w:t>
      </w:r>
      <w:r w:rsidR="00B826A3">
        <w:rPr>
          <w:rFonts w:cs="Arial"/>
          <w:szCs w:val="24"/>
        </w:rPr>
        <w:fldChar w:fldCharType="end"/>
      </w:r>
      <w:r>
        <w:rPr>
          <w:rFonts w:cs="Arial"/>
          <w:szCs w:val="24"/>
        </w:rPr>
        <w:t xml:space="preserve">. Increased undergraduate clinical experience was found to reduce stress </w:t>
      </w:r>
      <w:r w:rsidR="005924CA">
        <w:rPr>
          <w:rFonts w:cs="Arial"/>
          <w:szCs w:val="24"/>
        </w:rPr>
        <w:t xml:space="preserve">related to becoming </w:t>
      </w:r>
      <w:r w:rsidR="00BC4377">
        <w:rPr>
          <w:rFonts w:cs="Arial"/>
          <w:szCs w:val="24"/>
        </w:rPr>
        <w:t>a FY1</w:t>
      </w:r>
      <w:r w:rsidR="005924CA">
        <w:rPr>
          <w:rFonts w:cs="Arial"/>
          <w:szCs w:val="24"/>
        </w:rPr>
        <w:t>. Although t</w:t>
      </w:r>
      <w:r>
        <w:rPr>
          <w:rFonts w:cs="Arial"/>
          <w:szCs w:val="24"/>
        </w:rPr>
        <w:t xml:space="preserve">hese </w:t>
      </w:r>
      <w:r w:rsidR="00ED2A39">
        <w:rPr>
          <w:rFonts w:cs="Arial"/>
          <w:szCs w:val="24"/>
        </w:rPr>
        <w:t>data are from a single centre i</w:t>
      </w:r>
      <w:r>
        <w:rPr>
          <w:rFonts w:cs="Arial"/>
          <w:szCs w:val="24"/>
        </w:rPr>
        <w:t xml:space="preserve">n the UK and less than </w:t>
      </w:r>
      <w:r w:rsidR="00605D2D">
        <w:rPr>
          <w:rFonts w:cs="Arial"/>
          <w:szCs w:val="24"/>
        </w:rPr>
        <w:t xml:space="preserve">20% </w:t>
      </w:r>
      <w:r>
        <w:rPr>
          <w:rFonts w:cs="Arial"/>
          <w:szCs w:val="24"/>
        </w:rPr>
        <w:t>of the graduates for the cohort</w:t>
      </w:r>
      <w:r w:rsidR="005924CA">
        <w:rPr>
          <w:rFonts w:cs="Arial"/>
          <w:szCs w:val="24"/>
        </w:rPr>
        <w:t>, they</w:t>
      </w:r>
      <w:r>
        <w:rPr>
          <w:rFonts w:cs="Arial"/>
          <w:szCs w:val="24"/>
        </w:rPr>
        <w:t xml:space="preserve"> add a rich description</w:t>
      </w:r>
      <w:r w:rsidR="00B826A3">
        <w:rPr>
          <w:rFonts w:cs="Arial"/>
          <w:szCs w:val="24"/>
        </w:rPr>
        <w:t xml:space="preserve"> and understanding</w:t>
      </w:r>
      <w:r>
        <w:rPr>
          <w:rFonts w:cs="Arial"/>
          <w:szCs w:val="24"/>
        </w:rPr>
        <w:t xml:space="preserve"> of the feelings and emotions experienced by FY1s</w:t>
      </w:r>
      <w:r w:rsidR="00D622F6">
        <w:rPr>
          <w:rFonts w:cs="Arial"/>
          <w:szCs w:val="24"/>
        </w:rPr>
        <w:t xml:space="preserve">. </w:t>
      </w:r>
      <w:r>
        <w:rPr>
          <w:rFonts w:cs="Arial"/>
          <w:szCs w:val="24"/>
        </w:rPr>
        <w:t>Recommendations include ‘early clinical environmental exposure’</w:t>
      </w:r>
      <w:r w:rsidR="00605D2D">
        <w:rPr>
          <w:rFonts w:cs="Arial"/>
          <w:szCs w:val="24"/>
        </w:rPr>
        <w:t>,</w:t>
      </w:r>
      <w:r>
        <w:rPr>
          <w:rFonts w:cs="Arial"/>
          <w:szCs w:val="24"/>
        </w:rPr>
        <w:t xml:space="preserve"> and ongoing </w:t>
      </w:r>
      <w:r w:rsidR="00644828">
        <w:rPr>
          <w:rFonts w:cs="Arial"/>
          <w:szCs w:val="24"/>
        </w:rPr>
        <w:t>‘</w:t>
      </w:r>
      <w:r>
        <w:rPr>
          <w:rFonts w:cs="Arial"/>
          <w:szCs w:val="24"/>
        </w:rPr>
        <w:t xml:space="preserve">meaningful contact with patients’. </w:t>
      </w:r>
      <w:r w:rsidR="002E2F8A">
        <w:rPr>
          <w:rFonts w:cs="Arial"/>
          <w:szCs w:val="24"/>
        </w:rPr>
        <w:t>Brennan</w:t>
      </w:r>
      <w:r w:rsidR="005924CA">
        <w:rPr>
          <w:rFonts w:cs="Arial"/>
          <w:szCs w:val="24"/>
        </w:rPr>
        <w:t xml:space="preserve"> (2010)</w:t>
      </w:r>
      <w:r w:rsidR="002E2F8A">
        <w:rPr>
          <w:rFonts w:cs="Arial"/>
          <w:szCs w:val="24"/>
        </w:rPr>
        <w:t xml:space="preserve"> defines meaningful contact as the student being ’involved in patient care’ rather than just ‘exposed to it’</w:t>
      </w:r>
      <w:r>
        <w:rPr>
          <w:rFonts w:cs="Arial"/>
          <w:szCs w:val="24"/>
        </w:rPr>
        <w:t xml:space="preserve"> </w:t>
      </w:r>
      <w:r w:rsidR="002E2F8A">
        <w:rPr>
          <w:rFonts w:cs="Arial"/>
          <w:szCs w:val="24"/>
        </w:rPr>
        <w:t xml:space="preserve">and that they ‘understand the significance of it’. </w:t>
      </w:r>
    </w:p>
    <w:p w14:paraId="6B90F86C" w14:textId="5CA0C70E" w:rsidR="002A7434" w:rsidRDefault="00ED2A39" w:rsidP="00C50552">
      <w:pPr>
        <w:rPr>
          <w:rFonts w:cs="Arial"/>
          <w:szCs w:val="24"/>
        </w:rPr>
      </w:pPr>
      <w:r>
        <w:rPr>
          <w:rFonts w:cs="Arial"/>
          <w:szCs w:val="24"/>
        </w:rPr>
        <w:t xml:space="preserve">Increasing ‘opportunities for students to </w:t>
      </w:r>
      <w:r w:rsidR="00605D2D">
        <w:rPr>
          <w:rFonts w:cs="Arial"/>
          <w:szCs w:val="24"/>
        </w:rPr>
        <w:t>“</w:t>
      </w:r>
      <w:r>
        <w:rPr>
          <w:rFonts w:cs="Arial"/>
          <w:szCs w:val="24"/>
        </w:rPr>
        <w:t>act</w:t>
      </w:r>
      <w:r w:rsidR="001B62D3">
        <w:rPr>
          <w:rFonts w:cs="Arial"/>
          <w:szCs w:val="24"/>
        </w:rPr>
        <w:t xml:space="preserve"> up</w:t>
      </w:r>
      <w:r w:rsidR="00605D2D">
        <w:rPr>
          <w:rFonts w:cs="Arial"/>
          <w:szCs w:val="24"/>
        </w:rPr>
        <w:t>”</w:t>
      </w:r>
      <w:r w:rsidR="001B62D3">
        <w:rPr>
          <w:rFonts w:cs="Arial"/>
          <w:szCs w:val="24"/>
        </w:rPr>
        <w:t xml:space="preserve"> as junior doctors’ is </w:t>
      </w:r>
      <w:r>
        <w:rPr>
          <w:rFonts w:cs="Arial"/>
          <w:szCs w:val="24"/>
        </w:rPr>
        <w:t>recommended</w:t>
      </w:r>
      <w:r w:rsidR="00B67528">
        <w:rPr>
          <w:rFonts w:cs="Arial"/>
          <w:szCs w:val="24"/>
        </w:rPr>
        <w:t>,</w:t>
      </w:r>
      <w:r>
        <w:rPr>
          <w:rFonts w:cs="Arial"/>
          <w:szCs w:val="24"/>
        </w:rPr>
        <w:t xml:space="preserve"> however the team highlight the challenges associated with patient safety</w:t>
      </w:r>
      <w:r w:rsidR="001D4D2F">
        <w:rPr>
          <w:rFonts w:cs="Arial"/>
          <w:szCs w:val="24"/>
        </w:rPr>
        <w:t xml:space="preserve"> </w:t>
      </w:r>
      <w:r>
        <w:rPr>
          <w:rFonts w:cs="Arial"/>
          <w:szCs w:val="24"/>
        </w:rPr>
        <w:fldChar w:fldCharType="begin"/>
      </w:r>
      <w:r>
        <w:rPr>
          <w:rFonts w:cs="Arial"/>
          <w:szCs w:val="24"/>
        </w:rPr>
        <w:instrText xml:space="preserve"> ADDIN EN.CITE &lt;EndNote&gt;&lt;Cite&gt;&lt;Author&gt;Brennan&lt;/Author&gt;&lt;Year&gt;2010&lt;/Year&gt;&lt;IDText&gt;The transition from medical student to junior doctor: today&amp;apos;s experiences of Tomorrow&amp;apos;s Doctors&lt;/IDText&gt;&lt;DisplayText&gt;(Brennan et al., 2010)&lt;/DisplayText&gt;&lt;record&gt;&lt;dates&gt;&lt;pub-dates&gt;&lt;date&gt;May&lt;/date&gt;&lt;/pub-dates&gt;&lt;year&gt;2010&lt;/year&gt;&lt;/dates&gt;&lt;keywords&gt;&lt;keyword&gt;Adaptation, Psychological&lt;/keyword&gt;&lt;keyword&gt;Attitude of Health Personnel&lt;/keyword&gt;&lt;keyword&gt;Education, Medical, Undergraduate&lt;/keyword&gt;&lt;keyword&gt;Female&lt;/keyword&gt;&lt;keyword&gt;Great Britain&lt;/keyword&gt;&lt;keyword&gt;Humans&lt;/keyword&gt;&lt;keyword&gt;Interpersonal Relations&lt;/keyword&gt;&lt;keyword&gt;Male&lt;/keyword&gt;&lt;keyword&gt;Medical Staff, Hospital&lt;/keyword&gt;&lt;keyword&gt;Stress, Psychological&lt;/keyword&gt;&lt;keyword&gt;Students, Medical&lt;/keyword&gt;&lt;keyword&gt;Surveys and Questionnaires&lt;/keyword&gt;&lt;/keywords&gt;&lt;urls&gt;&lt;related-urls&gt;&lt;url&gt;http://www.ncbi.nlm.nih.gov/pubmed/20518984&lt;/url&gt;&lt;/related-urls&gt;&lt;/urls&gt;&lt;isbn&gt;1365-2923&lt;/isbn&gt;&lt;titles&gt;&lt;title&gt;The transition from medical student to junior doctor: today&amp;apos;s experiences of Tomorrow&amp;apos;s Doctors&lt;/title&gt;&lt;secondary-title&gt;Med Educ&lt;/secondary-title&gt;&lt;/titles&gt;&lt;pages&gt;449-58&lt;/pages&gt;&lt;number&gt;5&lt;/number&gt;&lt;contributors&gt;&lt;authors&gt;&lt;author&gt;Brennan, N.&lt;/author&gt;&lt;author&gt;Corrigan, O.&lt;/author&gt;&lt;author&gt;Allard, J.&lt;/author&gt;&lt;author&gt;Archer, J.&lt;/author&gt;&lt;author&gt;Barnes, R.&lt;/author&gt;&lt;author&gt;Bleakley, A.&lt;/author&gt;&lt;author&gt;Collett, T.&lt;/author&gt;&lt;author&gt;de Bere, S. R.&lt;/author&gt;&lt;/authors&gt;&lt;/contributors&gt;&lt;language&gt;eng&lt;/language&gt;&lt;added-date format="utc"&gt;1455789999&lt;/added-date&gt;&lt;ref-type name="Journal Article"&gt;17&lt;/ref-type&gt;&lt;rec-number&gt;184&lt;/rec-number&gt;&lt;last-updated-date format="utc"&gt;1455789999&lt;/last-updated-date&gt;&lt;accession-num&gt;20518984&lt;/accession-num&gt;&lt;electronic-resource-num&gt;10.1111/j.1365-2923.2009.03604.x&lt;/electronic-resource-num&gt;&lt;volume&gt;44&lt;/volume&gt;&lt;/record&gt;&lt;/Cite&gt;&lt;/EndNote&gt;</w:instrText>
      </w:r>
      <w:r>
        <w:rPr>
          <w:rFonts w:cs="Arial"/>
          <w:szCs w:val="24"/>
        </w:rPr>
        <w:fldChar w:fldCharType="separate"/>
      </w:r>
      <w:r>
        <w:rPr>
          <w:rFonts w:cs="Arial"/>
          <w:noProof/>
          <w:szCs w:val="24"/>
        </w:rPr>
        <w:t>(Brennan et al., 2010)</w:t>
      </w:r>
      <w:r>
        <w:rPr>
          <w:rFonts w:cs="Arial"/>
          <w:szCs w:val="24"/>
        </w:rPr>
        <w:fldChar w:fldCharType="end"/>
      </w:r>
      <w:r>
        <w:rPr>
          <w:rFonts w:cs="Arial"/>
          <w:szCs w:val="24"/>
        </w:rPr>
        <w:t>.</w:t>
      </w:r>
      <w:r w:rsidR="00783FEB">
        <w:rPr>
          <w:rFonts w:cs="Arial"/>
          <w:szCs w:val="24"/>
        </w:rPr>
        <w:t xml:space="preserve"> </w:t>
      </w:r>
      <w:r>
        <w:rPr>
          <w:rFonts w:cs="Arial"/>
          <w:szCs w:val="24"/>
        </w:rPr>
        <w:t xml:space="preserve">Increased supervision was </w:t>
      </w:r>
      <w:r w:rsidR="001B62D3">
        <w:rPr>
          <w:rFonts w:cs="Arial"/>
          <w:szCs w:val="24"/>
        </w:rPr>
        <w:t xml:space="preserve">particularly </w:t>
      </w:r>
      <w:r>
        <w:rPr>
          <w:rFonts w:cs="Arial"/>
          <w:szCs w:val="24"/>
        </w:rPr>
        <w:t>recommended on surgical placements and relating to dying patients.</w:t>
      </w:r>
      <w:r w:rsidR="00783FEB" w:rsidRPr="00783FEB">
        <w:rPr>
          <w:rFonts w:cs="Arial"/>
          <w:szCs w:val="24"/>
        </w:rPr>
        <w:t xml:space="preserve"> </w:t>
      </w:r>
      <w:r w:rsidR="00F46A2F">
        <w:rPr>
          <w:rFonts w:cs="Arial"/>
          <w:szCs w:val="24"/>
        </w:rPr>
        <w:t>Support was reported as being ‘good in A</w:t>
      </w:r>
      <w:r w:rsidR="00605D2D">
        <w:rPr>
          <w:rFonts w:cs="Arial"/>
          <w:szCs w:val="24"/>
        </w:rPr>
        <w:t xml:space="preserve"> </w:t>
      </w:r>
      <w:r w:rsidR="009B3879">
        <w:rPr>
          <w:rFonts w:cs="Arial"/>
          <w:szCs w:val="24"/>
        </w:rPr>
        <w:t>and</w:t>
      </w:r>
      <w:r w:rsidR="00605D2D">
        <w:rPr>
          <w:rFonts w:cs="Arial"/>
          <w:szCs w:val="24"/>
        </w:rPr>
        <w:t xml:space="preserve"> </w:t>
      </w:r>
      <w:r w:rsidR="00F46A2F">
        <w:rPr>
          <w:rFonts w:cs="Arial"/>
          <w:szCs w:val="24"/>
        </w:rPr>
        <w:t>E’</w:t>
      </w:r>
      <w:r w:rsidR="00605D2D">
        <w:rPr>
          <w:rFonts w:cs="Arial"/>
          <w:szCs w:val="24"/>
        </w:rPr>
        <w:t>, and was</w:t>
      </w:r>
      <w:r w:rsidR="00F46A2F">
        <w:rPr>
          <w:rFonts w:cs="Arial"/>
          <w:szCs w:val="24"/>
        </w:rPr>
        <w:t xml:space="preserve"> related to an ‘open attitude of asking for help and teaching’. </w:t>
      </w:r>
      <w:r w:rsidR="001D4D2F">
        <w:rPr>
          <w:rFonts w:cs="Arial"/>
          <w:szCs w:val="24"/>
        </w:rPr>
        <w:t>In this study</w:t>
      </w:r>
      <w:r w:rsidR="00605D2D">
        <w:rPr>
          <w:rFonts w:cs="Arial"/>
          <w:szCs w:val="24"/>
        </w:rPr>
        <w:t>,</w:t>
      </w:r>
      <w:r w:rsidR="001D4D2F">
        <w:rPr>
          <w:rFonts w:cs="Arial"/>
          <w:szCs w:val="24"/>
        </w:rPr>
        <w:t xml:space="preserve"> the use of audio diaries allowed FY1s to capture immediate post</w:t>
      </w:r>
      <w:r w:rsidR="00605D2D">
        <w:rPr>
          <w:rFonts w:cs="Arial"/>
          <w:szCs w:val="24"/>
        </w:rPr>
        <w:t>-</w:t>
      </w:r>
      <w:r w:rsidR="001D4D2F">
        <w:rPr>
          <w:rFonts w:cs="Arial"/>
          <w:szCs w:val="24"/>
        </w:rPr>
        <w:t>event reflections</w:t>
      </w:r>
      <w:r w:rsidR="00605D2D">
        <w:rPr>
          <w:rFonts w:cs="Arial"/>
          <w:szCs w:val="24"/>
        </w:rPr>
        <w:t xml:space="preserve"> -</w:t>
      </w:r>
      <w:r w:rsidR="002A7434">
        <w:rPr>
          <w:rFonts w:cs="Arial"/>
          <w:szCs w:val="24"/>
        </w:rPr>
        <w:t xml:space="preserve"> t</w:t>
      </w:r>
      <w:r w:rsidR="001B62D3">
        <w:rPr>
          <w:rFonts w:cs="Arial"/>
          <w:szCs w:val="24"/>
        </w:rPr>
        <w:t>his</w:t>
      </w:r>
      <w:r w:rsidR="001D4D2F">
        <w:rPr>
          <w:rFonts w:cs="Arial"/>
          <w:szCs w:val="24"/>
        </w:rPr>
        <w:t xml:space="preserve"> is unique amongst studies already reviewed</w:t>
      </w:r>
      <w:r w:rsidR="002A7434">
        <w:rPr>
          <w:rFonts w:cs="Arial"/>
          <w:szCs w:val="24"/>
        </w:rPr>
        <w:t>.</w:t>
      </w:r>
      <w:r w:rsidR="00812DCA">
        <w:rPr>
          <w:rFonts w:cs="Arial"/>
          <w:szCs w:val="24"/>
        </w:rPr>
        <w:t xml:space="preserve"> One doctor reported</w:t>
      </w:r>
      <w:r w:rsidR="006A5E5A">
        <w:rPr>
          <w:rFonts w:cs="Arial"/>
          <w:szCs w:val="24"/>
        </w:rPr>
        <w:t xml:space="preserve"> that the audio diary acted as </w:t>
      </w:r>
      <w:r w:rsidR="00812DCA">
        <w:rPr>
          <w:rFonts w:cs="Arial"/>
          <w:szCs w:val="24"/>
        </w:rPr>
        <w:t xml:space="preserve">a </w:t>
      </w:r>
      <w:r w:rsidR="00812DCA">
        <w:rPr>
          <w:rFonts w:cs="Arial"/>
          <w:szCs w:val="24"/>
        </w:rPr>
        <w:lastRenderedPageBreak/>
        <w:t>‘means to unburden himself from stressful and difficult episodes’. This may suggest that FY1s are not feeling empowered enough</w:t>
      </w:r>
      <w:r w:rsidR="00605D2D">
        <w:rPr>
          <w:rFonts w:cs="Arial"/>
          <w:szCs w:val="24"/>
        </w:rPr>
        <w:t xml:space="preserve"> n</w:t>
      </w:r>
      <w:r w:rsidR="00812DCA">
        <w:rPr>
          <w:rFonts w:cs="Arial"/>
          <w:szCs w:val="24"/>
        </w:rPr>
        <w:t xml:space="preserve">or having the opportunities to create space to ‘unburden’ themselves </w:t>
      </w:r>
      <w:r w:rsidR="006A5E5A">
        <w:rPr>
          <w:rFonts w:cs="Arial"/>
          <w:szCs w:val="24"/>
        </w:rPr>
        <w:t>to their team.</w:t>
      </w:r>
      <w:r w:rsidR="00F9721B">
        <w:rPr>
          <w:rFonts w:cs="Arial"/>
          <w:szCs w:val="24"/>
        </w:rPr>
        <w:t xml:space="preserve"> </w:t>
      </w:r>
    </w:p>
    <w:p w14:paraId="391CD6D4" w14:textId="59775F16" w:rsidR="000F2413" w:rsidRDefault="000F2413" w:rsidP="00C50552">
      <w:pPr>
        <w:rPr>
          <w:rFonts w:cs="Arial"/>
          <w:szCs w:val="24"/>
        </w:rPr>
      </w:pPr>
      <w:r>
        <w:rPr>
          <w:rFonts w:cs="Arial"/>
          <w:szCs w:val="24"/>
        </w:rPr>
        <w:t>In this study</w:t>
      </w:r>
      <w:r w:rsidR="00605D2D">
        <w:rPr>
          <w:rFonts w:cs="Arial"/>
          <w:szCs w:val="24"/>
        </w:rPr>
        <w:t>,</w:t>
      </w:r>
      <w:r>
        <w:rPr>
          <w:rFonts w:cs="Arial"/>
          <w:szCs w:val="24"/>
        </w:rPr>
        <w:t xml:space="preserve"> t</w:t>
      </w:r>
      <w:r w:rsidR="005924CA">
        <w:rPr>
          <w:rFonts w:cs="Arial"/>
          <w:szCs w:val="24"/>
        </w:rPr>
        <w:t>he team had</w:t>
      </w:r>
      <w:r w:rsidR="001D4D2F">
        <w:rPr>
          <w:rFonts w:cs="Arial"/>
          <w:szCs w:val="24"/>
        </w:rPr>
        <w:t xml:space="preserve"> a clear research question related to ‘experiencing the transition’ to FY1</w:t>
      </w:r>
      <w:r w:rsidR="000F7738">
        <w:rPr>
          <w:rFonts w:cs="Arial"/>
          <w:szCs w:val="24"/>
        </w:rPr>
        <w:t xml:space="preserve"> </w:t>
      </w:r>
      <w:r w:rsidR="001D4D2F">
        <w:rPr>
          <w:rFonts w:cs="Arial"/>
          <w:szCs w:val="24"/>
        </w:rPr>
        <w:t>and how ‘well</w:t>
      </w:r>
      <w:r w:rsidR="00605D2D">
        <w:rPr>
          <w:rFonts w:cs="Arial"/>
          <w:szCs w:val="24"/>
        </w:rPr>
        <w:t>-</w:t>
      </w:r>
      <w:r w:rsidR="001D4D2F">
        <w:rPr>
          <w:rFonts w:cs="Arial"/>
          <w:szCs w:val="24"/>
        </w:rPr>
        <w:t>prepared they were for their new role’.</w:t>
      </w:r>
      <w:r>
        <w:rPr>
          <w:rFonts w:cs="Arial"/>
          <w:szCs w:val="24"/>
        </w:rPr>
        <w:t xml:space="preserve"> Eight different researchers facilitated</w:t>
      </w:r>
      <w:r w:rsidR="001D4D2F">
        <w:rPr>
          <w:rFonts w:cs="Arial"/>
          <w:szCs w:val="24"/>
        </w:rPr>
        <w:t xml:space="preserve"> semi-structured interviews, </w:t>
      </w:r>
      <w:r w:rsidR="00A50D7E">
        <w:rPr>
          <w:rFonts w:cs="Arial"/>
          <w:szCs w:val="24"/>
        </w:rPr>
        <w:t xml:space="preserve">which </w:t>
      </w:r>
      <w:r>
        <w:rPr>
          <w:rFonts w:cs="Arial"/>
          <w:szCs w:val="24"/>
        </w:rPr>
        <w:t>could pose a potential challenge in standardisation of</w:t>
      </w:r>
      <w:r w:rsidR="001D4D2F">
        <w:rPr>
          <w:rFonts w:cs="Arial"/>
          <w:szCs w:val="24"/>
        </w:rPr>
        <w:t xml:space="preserve"> interviews </w:t>
      </w:r>
      <w:r>
        <w:rPr>
          <w:rFonts w:cs="Arial"/>
          <w:szCs w:val="24"/>
        </w:rPr>
        <w:t>and confidence</w:t>
      </w:r>
      <w:r w:rsidR="001D4D2F">
        <w:rPr>
          <w:rFonts w:cs="Arial"/>
          <w:szCs w:val="24"/>
        </w:rPr>
        <w:t xml:space="preserve"> that reactions and responses are not linked to different interviewers. Interviews were transcribed by professional </w:t>
      </w:r>
      <w:r w:rsidR="00693688">
        <w:rPr>
          <w:rFonts w:cs="Arial"/>
          <w:szCs w:val="24"/>
        </w:rPr>
        <w:t>transcribe</w:t>
      </w:r>
      <w:r w:rsidR="00644828">
        <w:rPr>
          <w:rFonts w:cs="Arial"/>
          <w:szCs w:val="24"/>
        </w:rPr>
        <w:t>r</w:t>
      </w:r>
      <w:r w:rsidR="00693688">
        <w:rPr>
          <w:rFonts w:cs="Arial"/>
          <w:szCs w:val="24"/>
        </w:rPr>
        <w:t>s</w:t>
      </w:r>
      <w:r>
        <w:rPr>
          <w:rFonts w:cs="Arial"/>
          <w:szCs w:val="24"/>
        </w:rPr>
        <w:t>,</w:t>
      </w:r>
      <w:r w:rsidR="001D4D2F">
        <w:rPr>
          <w:rFonts w:cs="Arial"/>
          <w:szCs w:val="24"/>
        </w:rPr>
        <w:t xml:space="preserve"> where it may be possible to lose some of the experience</w:t>
      </w:r>
      <w:r w:rsidR="00A50D7E">
        <w:rPr>
          <w:rFonts w:cs="Arial"/>
          <w:szCs w:val="24"/>
        </w:rPr>
        <w:t xml:space="preserve"> reported by individuals</w:t>
      </w:r>
      <w:r w:rsidR="001D4D2F">
        <w:rPr>
          <w:rFonts w:cs="Arial"/>
          <w:szCs w:val="24"/>
        </w:rPr>
        <w:t>. Thematic indices were designed by the eight researchers</w:t>
      </w:r>
      <w:r w:rsidR="00A50D7E">
        <w:rPr>
          <w:rFonts w:cs="Arial"/>
          <w:szCs w:val="24"/>
        </w:rPr>
        <w:t xml:space="preserve">, which may challenge consistency, though methods to reduce this such as </w:t>
      </w:r>
      <w:r w:rsidR="00137253">
        <w:rPr>
          <w:rFonts w:cs="Arial"/>
          <w:szCs w:val="24"/>
        </w:rPr>
        <w:t>crosschecking</w:t>
      </w:r>
      <w:r w:rsidR="00A50D7E">
        <w:rPr>
          <w:rFonts w:cs="Arial"/>
          <w:szCs w:val="24"/>
        </w:rPr>
        <w:t xml:space="preserve"> transcripts, coding and analysis were used.</w:t>
      </w:r>
      <w:r w:rsidR="006A5E5A">
        <w:rPr>
          <w:rFonts w:cs="Arial"/>
          <w:szCs w:val="24"/>
        </w:rPr>
        <w:t xml:space="preserve"> </w:t>
      </w:r>
    </w:p>
    <w:p w14:paraId="2C15F7E0" w14:textId="369E8AD0" w:rsidR="000F2413" w:rsidRDefault="006A5E5A" w:rsidP="00C50552">
      <w:pPr>
        <w:rPr>
          <w:rFonts w:cs="Arial"/>
          <w:szCs w:val="24"/>
        </w:rPr>
      </w:pPr>
      <w:r>
        <w:rPr>
          <w:rFonts w:cs="Arial"/>
          <w:szCs w:val="24"/>
        </w:rPr>
        <w:t xml:space="preserve">Junior doctors reported </w:t>
      </w:r>
      <w:r w:rsidR="00605D2D">
        <w:rPr>
          <w:rFonts w:cs="Arial"/>
          <w:szCs w:val="24"/>
        </w:rPr>
        <w:t xml:space="preserve">a </w:t>
      </w:r>
      <w:r>
        <w:rPr>
          <w:rFonts w:cs="Arial"/>
          <w:szCs w:val="24"/>
        </w:rPr>
        <w:t>huge leap from ‘classroom’ to ‘workplace’</w:t>
      </w:r>
      <w:r w:rsidR="00605D2D">
        <w:rPr>
          <w:rFonts w:cs="Arial"/>
          <w:szCs w:val="24"/>
        </w:rPr>
        <w:t>,</w:t>
      </w:r>
      <w:r>
        <w:rPr>
          <w:rFonts w:cs="Arial"/>
          <w:szCs w:val="24"/>
        </w:rPr>
        <w:t xml:space="preserve"> and the realisation that a ‘small mistake can have seve</w:t>
      </w:r>
      <w:r w:rsidR="00CD25F4">
        <w:rPr>
          <w:rFonts w:cs="Arial"/>
          <w:szCs w:val="24"/>
        </w:rPr>
        <w:t xml:space="preserve">re consequences’. This idea of learning about outcomes or </w:t>
      </w:r>
      <w:r>
        <w:rPr>
          <w:rFonts w:cs="Arial"/>
          <w:szCs w:val="24"/>
        </w:rPr>
        <w:t>consequence</w:t>
      </w:r>
      <w:r w:rsidR="00CD25F4">
        <w:rPr>
          <w:rFonts w:cs="Arial"/>
          <w:szCs w:val="24"/>
        </w:rPr>
        <w:t>s</w:t>
      </w:r>
      <w:r>
        <w:rPr>
          <w:rFonts w:cs="Arial"/>
          <w:szCs w:val="24"/>
        </w:rPr>
        <w:t xml:space="preserve"> </w:t>
      </w:r>
      <w:r w:rsidR="00CD25F4">
        <w:rPr>
          <w:rFonts w:cs="Arial"/>
          <w:szCs w:val="24"/>
        </w:rPr>
        <w:t>and the impact of the environ</w:t>
      </w:r>
      <w:r>
        <w:rPr>
          <w:rFonts w:cs="Arial"/>
          <w:szCs w:val="24"/>
        </w:rPr>
        <w:t xml:space="preserve">ment </w:t>
      </w:r>
      <w:r w:rsidR="00137253">
        <w:rPr>
          <w:rFonts w:cs="Arial"/>
          <w:szCs w:val="24"/>
        </w:rPr>
        <w:t>are</w:t>
      </w:r>
      <w:r>
        <w:rPr>
          <w:rFonts w:cs="Arial"/>
          <w:szCs w:val="24"/>
        </w:rPr>
        <w:t xml:space="preserve"> worth considering. Students n</w:t>
      </w:r>
      <w:r w:rsidR="00CD25F4">
        <w:rPr>
          <w:rFonts w:cs="Arial"/>
          <w:szCs w:val="24"/>
        </w:rPr>
        <w:t>eed to be integrated into the w</w:t>
      </w:r>
      <w:r>
        <w:rPr>
          <w:rFonts w:cs="Arial"/>
          <w:szCs w:val="24"/>
        </w:rPr>
        <w:t>orkplace in</w:t>
      </w:r>
      <w:r w:rsidR="00CD25F4">
        <w:rPr>
          <w:rFonts w:cs="Arial"/>
          <w:szCs w:val="24"/>
        </w:rPr>
        <w:t xml:space="preserve"> a </w:t>
      </w:r>
      <w:r>
        <w:rPr>
          <w:rFonts w:cs="Arial"/>
          <w:szCs w:val="24"/>
        </w:rPr>
        <w:t>safe</w:t>
      </w:r>
      <w:r w:rsidR="00605D2D">
        <w:rPr>
          <w:rFonts w:cs="Arial"/>
          <w:szCs w:val="24"/>
        </w:rPr>
        <w:t>,</w:t>
      </w:r>
      <w:r>
        <w:rPr>
          <w:rFonts w:cs="Arial"/>
          <w:szCs w:val="24"/>
        </w:rPr>
        <w:t xml:space="preserve"> supported way or </w:t>
      </w:r>
      <w:r w:rsidR="000F2413">
        <w:rPr>
          <w:rFonts w:cs="Arial"/>
          <w:szCs w:val="24"/>
        </w:rPr>
        <w:t xml:space="preserve">a replica </w:t>
      </w:r>
      <w:r w:rsidR="00CD25F4">
        <w:rPr>
          <w:rFonts w:cs="Arial"/>
          <w:szCs w:val="24"/>
        </w:rPr>
        <w:t>workplace environ</w:t>
      </w:r>
      <w:r w:rsidR="000F2413">
        <w:rPr>
          <w:rFonts w:cs="Arial"/>
          <w:szCs w:val="24"/>
        </w:rPr>
        <w:t>ment as authentic as possible</w:t>
      </w:r>
      <w:r>
        <w:rPr>
          <w:rFonts w:cs="Arial"/>
          <w:szCs w:val="24"/>
        </w:rPr>
        <w:t xml:space="preserve"> to support </w:t>
      </w:r>
      <w:r w:rsidR="00CD25F4">
        <w:rPr>
          <w:rFonts w:cs="Arial"/>
          <w:szCs w:val="24"/>
        </w:rPr>
        <w:t>this transition</w:t>
      </w:r>
      <w:r w:rsidR="008B1F40">
        <w:rPr>
          <w:rFonts w:cs="Arial"/>
          <w:szCs w:val="24"/>
        </w:rPr>
        <w:t>. One FY1 states that it is ‘not really possible to create that sort of environment in a non-real kind of situation’</w:t>
      </w:r>
      <w:r w:rsidR="000F2413">
        <w:rPr>
          <w:rFonts w:cs="Arial"/>
          <w:szCs w:val="24"/>
        </w:rPr>
        <w:t>, emphasising one of the challenges with using simulated environments</w:t>
      </w:r>
      <w:r w:rsidR="00CD25F4">
        <w:rPr>
          <w:rFonts w:cs="Arial"/>
          <w:szCs w:val="24"/>
        </w:rPr>
        <w:t xml:space="preserve">. </w:t>
      </w:r>
    </w:p>
    <w:p w14:paraId="2A31644C" w14:textId="5B2D5C36" w:rsidR="00DA6D2F" w:rsidRDefault="00CD25F4" w:rsidP="00C50552">
      <w:pPr>
        <w:rPr>
          <w:rFonts w:cs="Arial"/>
          <w:szCs w:val="24"/>
        </w:rPr>
      </w:pPr>
      <w:r>
        <w:rPr>
          <w:rFonts w:cs="Arial"/>
          <w:szCs w:val="24"/>
        </w:rPr>
        <w:t>In terms of uncertainty, this was described related to expectations in their role as well as ‘medical uncertainty’ about diagnosis and treatment’</w:t>
      </w:r>
      <w:r w:rsidR="00605D2D">
        <w:rPr>
          <w:rFonts w:cs="Arial"/>
          <w:szCs w:val="24"/>
        </w:rPr>
        <w:t>,</w:t>
      </w:r>
      <w:r>
        <w:rPr>
          <w:rFonts w:cs="Arial"/>
          <w:szCs w:val="24"/>
        </w:rPr>
        <w:t xml:space="preserve"> </w:t>
      </w:r>
      <w:r w:rsidR="008B1F40">
        <w:rPr>
          <w:rFonts w:cs="Arial"/>
          <w:szCs w:val="24"/>
        </w:rPr>
        <w:t xml:space="preserve">and when to seek help </w:t>
      </w:r>
      <w:r>
        <w:rPr>
          <w:rFonts w:cs="Arial"/>
          <w:szCs w:val="24"/>
        </w:rPr>
        <w:fldChar w:fldCharType="begin"/>
      </w:r>
      <w:r>
        <w:rPr>
          <w:rFonts w:cs="Arial"/>
          <w:szCs w:val="24"/>
        </w:rPr>
        <w:instrText xml:space="preserve"> ADDIN EN.CITE &lt;EndNote&gt;&lt;Cite&gt;&lt;Author&gt;Brennan&lt;/Author&gt;&lt;Year&gt;2010&lt;/Year&gt;&lt;IDText&gt;The transition from medical student to junior doctor: today&amp;apos;s experiences of Tomorrow&amp;apos;s Doctors&lt;/IDText&gt;&lt;DisplayText&gt;(Brennan et al., 2010)&lt;/DisplayText&gt;&lt;record&gt;&lt;dates&gt;&lt;pub-dates&gt;&lt;date&gt;May&lt;/date&gt;&lt;/pub-dates&gt;&lt;year&gt;2010&lt;/year&gt;&lt;/dates&gt;&lt;keywords&gt;&lt;keyword&gt;Adaptation, Psychological&lt;/keyword&gt;&lt;keyword&gt;Attitude of Health Personnel&lt;/keyword&gt;&lt;keyword&gt;Education, Medical, Undergraduate&lt;/keyword&gt;&lt;keyword&gt;Female&lt;/keyword&gt;&lt;keyword&gt;Great Britain&lt;/keyword&gt;&lt;keyword&gt;Humans&lt;/keyword&gt;&lt;keyword&gt;Interpersonal Relations&lt;/keyword&gt;&lt;keyword&gt;Male&lt;/keyword&gt;&lt;keyword&gt;Medical Staff, Hospital&lt;/keyword&gt;&lt;keyword&gt;Stress, Psychological&lt;/keyword&gt;&lt;keyword&gt;Students, Medical&lt;/keyword&gt;&lt;keyword&gt;Surveys and Questionnaires&lt;/keyword&gt;&lt;/keywords&gt;&lt;urls&gt;&lt;related-urls&gt;&lt;url&gt;http://www.ncbi.nlm.nih.gov/pubmed/20518984&lt;/url&gt;&lt;/related-urls&gt;&lt;/urls&gt;&lt;isbn&gt;1365-2923&lt;/isbn&gt;&lt;titles&gt;&lt;title&gt;The transition from medical student to junior doctor: today&amp;apos;s experiences of Tomorrow&amp;apos;s Doctors&lt;/title&gt;&lt;secondary-title&gt;Med Educ&lt;/secondary-title&gt;&lt;/titles&gt;&lt;pages&gt;449-58&lt;/pages&gt;&lt;number&gt;5&lt;/number&gt;&lt;contributors&gt;&lt;authors&gt;&lt;author&gt;Brennan, N.&lt;/author&gt;&lt;author&gt;Corrigan, O.&lt;/author&gt;&lt;author&gt;Allard, J.&lt;/author&gt;&lt;author&gt;Archer, J.&lt;/author&gt;&lt;author&gt;Barnes, R.&lt;/author&gt;&lt;author&gt;Bleakley, A.&lt;/author&gt;&lt;author&gt;Collett, T.&lt;/author&gt;&lt;author&gt;de Bere, S. R.&lt;/author&gt;&lt;/authors&gt;&lt;/contributors&gt;&lt;language&gt;eng&lt;/language&gt;&lt;added-date format="utc"&gt;1455789999&lt;/added-date&gt;&lt;ref-type name="Journal Article"&gt;17&lt;/ref-type&gt;&lt;rec-number&gt;184&lt;/rec-number&gt;&lt;last-updated-date format="utc"&gt;1455789999&lt;/last-updated-date&gt;&lt;accession-num&gt;20518984&lt;/accession-num&gt;&lt;electronic-resource-num&gt;10.1111/j.1365-2923.2009.03604.x&lt;/electronic-resource-num&gt;&lt;volume&gt;44&lt;/volume&gt;&lt;/record&gt;&lt;/Cite&gt;&lt;/EndNote&gt;</w:instrText>
      </w:r>
      <w:r>
        <w:rPr>
          <w:rFonts w:cs="Arial"/>
          <w:szCs w:val="24"/>
        </w:rPr>
        <w:fldChar w:fldCharType="separate"/>
      </w:r>
      <w:r>
        <w:rPr>
          <w:rFonts w:cs="Arial"/>
          <w:noProof/>
          <w:szCs w:val="24"/>
        </w:rPr>
        <w:t>(Brennan et al., 2010)</w:t>
      </w:r>
      <w:r>
        <w:rPr>
          <w:rFonts w:cs="Arial"/>
          <w:szCs w:val="24"/>
        </w:rPr>
        <w:fldChar w:fldCharType="end"/>
      </w:r>
      <w:r>
        <w:rPr>
          <w:rFonts w:cs="Arial"/>
          <w:szCs w:val="24"/>
        </w:rPr>
        <w:t xml:space="preserve">. The junior doctors report on the importance of </w:t>
      </w:r>
      <w:r>
        <w:rPr>
          <w:rFonts w:cs="Arial"/>
          <w:szCs w:val="24"/>
        </w:rPr>
        <w:lastRenderedPageBreak/>
        <w:t>experienc</w:t>
      </w:r>
      <w:r w:rsidR="004816C3">
        <w:rPr>
          <w:rFonts w:cs="Arial"/>
          <w:szCs w:val="24"/>
        </w:rPr>
        <w:t>ing</w:t>
      </w:r>
      <w:r>
        <w:rPr>
          <w:rFonts w:cs="Arial"/>
          <w:szCs w:val="24"/>
        </w:rPr>
        <w:t xml:space="preserve"> </w:t>
      </w:r>
      <w:r w:rsidR="004816C3">
        <w:rPr>
          <w:rFonts w:cs="Arial"/>
          <w:szCs w:val="24"/>
        </w:rPr>
        <w:t>team-</w:t>
      </w:r>
      <w:r>
        <w:rPr>
          <w:rFonts w:cs="Arial"/>
          <w:szCs w:val="24"/>
        </w:rPr>
        <w:t>working</w:t>
      </w:r>
      <w:r w:rsidR="004816C3">
        <w:rPr>
          <w:rFonts w:cs="Arial"/>
          <w:szCs w:val="24"/>
        </w:rPr>
        <w:t xml:space="preserve">, </w:t>
      </w:r>
      <w:r w:rsidR="000F2413">
        <w:rPr>
          <w:rFonts w:cs="Arial"/>
          <w:szCs w:val="24"/>
        </w:rPr>
        <w:t>also that ‘some things could</w:t>
      </w:r>
      <w:r>
        <w:rPr>
          <w:rFonts w:cs="Arial"/>
          <w:szCs w:val="24"/>
        </w:rPr>
        <w:t xml:space="preserve"> only be learnt by just doing the job’. This study, though</w:t>
      </w:r>
      <w:r w:rsidR="00F9721B">
        <w:rPr>
          <w:rFonts w:cs="Arial"/>
          <w:szCs w:val="24"/>
        </w:rPr>
        <w:t xml:space="preserve"> small,</w:t>
      </w:r>
      <w:r>
        <w:rPr>
          <w:rFonts w:cs="Arial"/>
          <w:szCs w:val="24"/>
        </w:rPr>
        <w:t xml:space="preserve"> offers a powerful clear insight into </w:t>
      </w:r>
      <w:r w:rsidR="00F9721B">
        <w:rPr>
          <w:rFonts w:cs="Arial"/>
          <w:szCs w:val="24"/>
        </w:rPr>
        <w:t xml:space="preserve">areas </w:t>
      </w:r>
      <w:r>
        <w:rPr>
          <w:rFonts w:cs="Arial"/>
          <w:szCs w:val="24"/>
        </w:rPr>
        <w:t>that can be enhanced to help with preparednes</w:t>
      </w:r>
      <w:r w:rsidR="00F9721B">
        <w:rPr>
          <w:rFonts w:cs="Arial"/>
          <w:szCs w:val="24"/>
        </w:rPr>
        <w:t>s.</w:t>
      </w:r>
      <w:r>
        <w:rPr>
          <w:rFonts w:cs="Arial"/>
          <w:szCs w:val="24"/>
        </w:rPr>
        <w:t xml:space="preserve"> </w:t>
      </w:r>
      <w:r w:rsidR="00A50D7E">
        <w:rPr>
          <w:rFonts w:cs="Arial"/>
          <w:szCs w:val="24"/>
        </w:rPr>
        <w:t>The</w:t>
      </w:r>
      <w:r w:rsidR="004816C3">
        <w:rPr>
          <w:rFonts w:cs="Arial"/>
          <w:szCs w:val="24"/>
        </w:rPr>
        <w:t xml:space="preserve"> researchers </w:t>
      </w:r>
      <w:r w:rsidR="00A50D7E">
        <w:rPr>
          <w:rFonts w:cs="Arial"/>
          <w:szCs w:val="24"/>
        </w:rPr>
        <w:t xml:space="preserve">conclude that it is normal and expected to experience a ‘healthy level of stress’ in this transition but that the measures mentioned above will aid support and minimise stress </w:t>
      </w:r>
      <w:r w:rsidR="00A50D7E">
        <w:rPr>
          <w:rFonts w:cs="Arial"/>
          <w:szCs w:val="24"/>
        </w:rPr>
        <w:fldChar w:fldCharType="begin"/>
      </w:r>
      <w:r w:rsidR="00A50D7E">
        <w:rPr>
          <w:rFonts w:cs="Arial"/>
          <w:szCs w:val="24"/>
        </w:rPr>
        <w:instrText xml:space="preserve"> ADDIN EN.CITE &lt;EndNote&gt;&lt;Cite&gt;&lt;Author&gt;Brennan&lt;/Author&gt;&lt;Year&gt;2010&lt;/Year&gt;&lt;IDText&gt;The transition from medical student to junior doctor: today&amp;apos;s experiences of Tomorrow&amp;apos;s Doctors&lt;/IDText&gt;&lt;DisplayText&gt;(Brennan et al., 2010)&lt;/DisplayText&gt;&lt;record&gt;&lt;dates&gt;&lt;pub-dates&gt;&lt;date&gt;May&lt;/date&gt;&lt;/pub-dates&gt;&lt;year&gt;2010&lt;/year&gt;&lt;/dates&gt;&lt;keywords&gt;&lt;keyword&gt;Adaptation, Psychological&lt;/keyword&gt;&lt;keyword&gt;Attitude of Health Personnel&lt;/keyword&gt;&lt;keyword&gt;Education, Medical, Undergraduate&lt;/keyword&gt;&lt;keyword&gt;Female&lt;/keyword&gt;&lt;keyword&gt;Great Britain&lt;/keyword&gt;&lt;keyword&gt;Humans&lt;/keyword&gt;&lt;keyword&gt;Interpersonal Relations&lt;/keyword&gt;&lt;keyword&gt;Male&lt;/keyword&gt;&lt;keyword&gt;Medical Staff, Hospital&lt;/keyword&gt;&lt;keyword&gt;Stress, Psychological&lt;/keyword&gt;&lt;keyword&gt;Students, Medical&lt;/keyword&gt;&lt;keyword&gt;Surveys and Questionnaires&lt;/keyword&gt;&lt;/keywords&gt;&lt;urls&gt;&lt;related-urls&gt;&lt;url&gt;http://www.ncbi.nlm.nih.gov/pubmed/20518984&lt;/url&gt;&lt;/related-urls&gt;&lt;/urls&gt;&lt;isbn&gt;1365-2923&lt;/isbn&gt;&lt;titles&gt;&lt;title&gt;The transition from medical student to junior doctor: today&amp;apos;s experiences of Tomorrow&amp;apos;s Doctors&lt;/title&gt;&lt;secondary-title&gt;Med Educ&lt;/secondary-title&gt;&lt;/titles&gt;&lt;pages&gt;449-58&lt;/pages&gt;&lt;number&gt;5&lt;/number&gt;&lt;contributors&gt;&lt;authors&gt;&lt;author&gt;Brennan, N.&lt;/author&gt;&lt;author&gt;Corrigan, O.&lt;/author&gt;&lt;author&gt;Allard, J.&lt;/author&gt;&lt;author&gt;Archer, J.&lt;/author&gt;&lt;author&gt;Barnes, R.&lt;/author&gt;&lt;author&gt;Bleakley, A.&lt;/author&gt;&lt;author&gt;Collett, T.&lt;/author&gt;&lt;author&gt;de Bere, S. R.&lt;/author&gt;&lt;/authors&gt;&lt;/contributors&gt;&lt;language&gt;eng&lt;/language&gt;&lt;added-date format="utc"&gt;1455789999&lt;/added-date&gt;&lt;ref-type name="Journal Article"&gt;17&lt;/ref-type&gt;&lt;rec-number&gt;184&lt;/rec-number&gt;&lt;last-updated-date format="utc"&gt;1455789999&lt;/last-updated-date&gt;&lt;accession-num&gt;20518984&lt;/accession-num&gt;&lt;electronic-resource-num&gt;10.1111/j.1365-2923.2009.03604.x&lt;/electronic-resource-num&gt;&lt;volume&gt;44&lt;/volume&gt;&lt;/record&gt;&lt;/Cite&gt;&lt;/EndNote&gt;</w:instrText>
      </w:r>
      <w:r w:rsidR="00A50D7E">
        <w:rPr>
          <w:rFonts w:cs="Arial"/>
          <w:szCs w:val="24"/>
        </w:rPr>
        <w:fldChar w:fldCharType="separate"/>
      </w:r>
      <w:r w:rsidR="00A50D7E">
        <w:rPr>
          <w:rFonts w:cs="Arial"/>
          <w:noProof/>
          <w:szCs w:val="24"/>
        </w:rPr>
        <w:t>(Brennan et al., 2010)</w:t>
      </w:r>
      <w:r w:rsidR="00A50D7E">
        <w:rPr>
          <w:rFonts w:cs="Arial"/>
          <w:szCs w:val="24"/>
        </w:rPr>
        <w:fldChar w:fldCharType="end"/>
      </w:r>
      <w:r w:rsidR="00A50D7E">
        <w:rPr>
          <w:rFonts w:cs="Arial"/>
          <w:szCs w:val="24"/>
        </w:rPr>
        <w:t>.</w:t>
      </w:r>
    </w:p>
    <w:p w14:paraId="7ABBF6BC" w14:textId="467D6277" w:rsidR="00C50552" w:rsidRDefault="005924CA" w:rsidP="00C50552">
      <w:pPr>
        <w:rPr>
          <w:rFonts w:cs="Arial"/>
          <w:szCs w:val="24"/>
        </w:rPr>
      </w:pPr>
      <w:r>
        <w:rPr>
          <w:rFonts w:cs="Arial"/>
          <w:szCs w:val="24"/>
        </w:rPr>
        <w:t>A GMC report</w:t>
      </w:r>
      <w:r w:rsidR="00C50552">
        <w:rPr>
          <w:rFonts w:cs="Arial"/>
          <w:szCs w:val="24"/>
        </w:rPr>
        <w:t xml:space="preserve"> </w:t>
      </w:r>
      <w:r w:rsidR="00C50552">
        <w:rPr>
          <w:rFonts w:cs="Arial"/>
          <w:szCs w:val="24"/>
        </w:rPr>
        <w:fldChar w:fldCharType="begin"/>
      </w:r>
      <w:r w:rsidR="00F326C4">
        <w:rPr>
          <w:rFonts w:cs="Arial"/>
          <w:szCs w:val="24"/>
        </w:rPr>
        <w:instrText xml:space="preserve"> ADDIN EN.CITE &lt;EndNote&gt;&lt;Cite&gt;&lt;Author&gt;Illing&lt;/Author&gt;&lt;Year&gt;2008&lt;/Year&gt;&lt;IDText&gt;How prepared are medical graduates to begin practice? A comparison of 3 diverse UK medical schools.&lt;/IDText&gt;&lt;DisplayText&gt;(Illing et al., 2008)&lt;/DisplayText&gt;&lt;record&gt;&lt;titles&gt;&lt;title&gt;How prepared are medical graduates to begin practice? A comparison of 3 diverse UK medical schools.&lt;/title&gt;&lt;/titles&gt;&lt;contributors&gt;&lt;authors&gt;&lt;author&gt;Illing, Jan&lt;/author&gt;&lt;author&gt;Peile, Ed&lt;/author&gt;&lt;author&gt;Morrison, Jill&lt;/author&gt;&lt;author&gt;Morrow, Gill&lt;/author&gt;&lt;author&gt;Kergon, Charlotte&lt;/author&gt;&lt;author&gt;Burford, Bryan&lt;/author&gt;&lt;author&gt;Spencer, John&lt;/author&gt;&lt;author&gt;Davies, Carol Baldauf, Beate&lt;/author&gt;&lt;/authors&gt;&lt;/contributors&gt;&lt;added-date format="utc"&gt;1390908930&lt;/added-date&gt;&lt;ref-type name="Report"&gt;27&lt;/ref-type&gt;&lt;dates&gt;&lt;year&gt;2008&lt;/year&gt;&lt;/dates&gt;&lt;rec-number&gt;29&lt;/rec-number&gt;&lt;publisher&gt;General Medical Council&lt;/publisher&gt;&lt;last-updated-date format="utc"&gt;1390909101&lt;/last-updated-date&gt;&lt;/record&gt;&lt;/Cite&gt;&lt;Cite&gt;&lt;Author&gt;Illing&lt;/Author&gt;&lt;Year&gt;2008&lt;/Year&gt;&lt;IDText&gt;How prepared are medical graduates to begin practice? A comparison of 3 diverse UK medical schools.&lt;/IDText&gt;&lt;record&gt;&lt;titles&gt;&lt;title&gt;How prepared are medical graduates to begin practice? A comparison of 3 diverse UK medical schools.&lt;/title&gt;&lt;/titles&gt;&lt;contributors&gt;&lt;authors&gt;&lt;author&gt;Illing, Jan&lt;/author&gt;&lt;author&gt;Peile, Ed&lt;/author&gt;&lt;author&gt;Morrison, Jill&lt;/author&gt;&lt;author&gt;Morrow, Gill&lt;/author&gt;&lt;author&gt;Kergon, Charlotte&lt;/author&gt;&lt;author&gt;Burford, Bryan&lt;/author&gt;&lt;author&gt;Spencer, John&lt;/author&gt;&lt;author&gt;Davies, Carol Baldauf, Beate&lt;/author&gt;&lt;/authors&gt;&lt;/contributors&gt;&lt;added-date format="utc"&gt;1390908930&lt;/added-date&gt;&lt;ref-type name="Report"&gt;27&lt;/ref-type&gt;&lt;dates&gt;&lt;year&gt;2008&lt;/year&gt;&lt;/dates&gt;&lt;rec-number&gt;29&lt;/rec-number&gt;&lt;publisher&gt;General Medical Council&lt;/publisher&gt;&lt;last-updated-date format="utc"&gt;1390909101&lt;/last-updated-date&gt;&lt;/record&gt;&lt;/Cite&gt;&lt;/EndNote&gt;</w:instrText>
      </w:r>
      <w:r w:rsidR="00C50552">
        <w:rPr>
          <w:rFonts w:cs="Arial"/>
          <w:szCs w:val="24"/>
        </w:rPr>
        <w:fldChar w:fldCharType="separate"/>
      </w:r>
      <w:r w:rsidR="00F326C4">
        <w:rPr>
          <w:rFonts w:cs="Arial"/>
          <w:noProof/>
          <w:szCs w:val="24"/>
        </w:rPr>
        <w:t>(Illing et al., 2008)</w:t>
      </w:r>
      <w:r w:rsidR="00C50552">
        <w:rPr>
          <w:rFonts w:cs="Arial"/>
          <w:szCs w:val="24"/>
        </w:rPr>
        <w:fldChar w:fldCharType="end"/>
      </w:r>
      <w:r w:rsidR="004816C3">
        <w:rPr>
          <w:rFonts w:cs="Arial"/>
          <w:szCs w:val="24"/>
        </w:rPr>
        <w:t xml:space="preserve"> -</w:t>
      </w:r>
      <w:r>
        <w:rPr>
          <w:rFonts w:cs="Arial"/>
          <w:szCs w:val="24"/>
        </w:rPr>
        <w:t xml:space="preserve"> </w:t>
      </w:r>
      <w:r w:rsidR="004816C3">
        <w:rPr>
          <w:rFonts w:cs="Arial"/>
          <w:szCs w:val="24"/>
        </w:rPr>
        <w:t>referred</w:t>
      </w:r>
      <w:r>
        <w:rPr>
          <w:rFonts w:cs="Arial"/>
          <w:szCs w:val="24"/>
        </w:rPr>
        <w:t xml:space="preserve"> to previously</w:t>
      </w:r>
      <w:r w:rsidR="004816C3">
        <w:rPr>
          <w:rFonts w:cs="Arial"/>
          <w:szCs w:val="24"/>
        </w:rPr>
        <w:t xml:space="preserve"> -</w:t>
      </w:r>
      <w:r w:rsidR="00C50552">
        <w:rPr>
          <w:rFonts w:cs="Arial"/>
          <w:szCs w:val="24"/>
        </w:rPr>
        <w:t xml:space="preserve"> reviewed preparedness of medical students from three medical schools for starting practice. The </w:t>
      </w:r>
      <w:r w:rsidR="00C50552" w:rsidRPr="00840F79">
        <w:rPr>
          <w:rFonts w:cs="Arial"/>
          <w:szCs w:val="24"/>
        </w:rPr>
        <w:t>multi-method, pro</w:t>
      </w:r>
      <w:r w:rsidR="00C50552">
        <w:rPr>
          <w:rFonts w:cs="Arial"/>
          <w:szCs w:val="24"/>
        </w:rPr>
        <w:t xml:space="preserve">spective, cross-sectional study aimed to explore </w:t>
      </w:r>
      <w:r w:rsidR="00C50552" w:rsidRPr="00840F79">
        <w:rPr>
          <w:rFonts w:cs="Arial"/>
          <w:szCs w:val="24"/>
        </w:rPr>
        <w:t>the extent to which different medical schools prepare th</w:t>
      </w:r>
      <w:r w:rsidR="00C50552">
        <w:rPr>
          <w:rFonts w:cs="Arial"/>
          <w:szCs w:val="24"/>
        </w:rPr>
        <w:t>eir graduates. It was based on</w:t>
      </w:r>
      <w:r w:rsidR="005A010A">
        <w:rPr>
          <w:rFonts w:cs="Arial"/>
          <w:szCs w:val="24"/>
        </w:rPr>
        <w:t xml:space="preserve"> </w:t>
      </w:r>
      <w:r w:rsidR="00C50552" w:rsidRPr="00840F79">
        <w:rPr>
          <w:rFonts w:cs="Arial"/>
          <w:szCs w:val="24"/>
        </w:rPr>
        <w:t xml:space="preserve">250 </w:t>
      </w:r>
      <w:r w:rsidR="00C50552">
        <w:rPr>
          <w:rFonts w:cs="Arial"/>
          <w:szCs w:val="24"/>
        </w:rPr>
        <w:t>interviews, 479 questionnaires</w:t>
      </w:r>
      <w:r w:rsidR="00C50552" w:rsidRPr="00840F79">
        <w:rPr>
          <w:rFonts w:cs="Arial"/>
          <w:szCs w:val="24"/>
        </w:rPr>
        <w:t>, 420 F</w:t>
      </w:r>
      <w:r w:rsidR="00C50552">
        <w:rPr>
          <w:rFonts w:cs="Arial"/>
          <w:szCs w:val="24"/>
        </w:rPr>
        <w:t>Y</w:t>
      </w:r>
      <w:r w:rsidR="00C50552" w:rsidRPr="00840F79">
        <w:rPr>
          <w:rFonts w:cs="Arial"/>
          <w:szCs w:val="24"/>
        </w:rPr>
        <w:t>1 prescribing assessmen</w:t>
      </w:r>
      <w:r w:rsidR="00C50552">
        <w:rPr>
          <w:rFonts w:cs="Arial"/>
          <w:szCs w:val="24"/>
        </w:rPr>
        <w:t>ts</w:t>
      </w:r>
      <w:r w:rsidR="004816C3">
        <w:rPr>
          <w:rFonts w:cs="Arial"/>
          <w:szCs w:val="24"/>
        </w:rPr>
        <w:t>,</w:t>
      </w:r>
      <w:r w:rsidR="00C50552">
        <w:rPr>
          <w:rFonts w:cs="Arial"/>
          <w:szCs w:val="24"/>
        </w:rPr>
        <w:t xml:space="preserve"> and learning portfolio data. </w:t>
      </w:r>
    </w:p>
    <w:p w14:paraId="17F58841" w14:textId="53374FAA" w:rsidR="00C50552" w:rsidRPr="00840F79" w:rsidRDefault="00C50552" w:rsidP="00C50552">
      <w:pPr>
        <w:rPr>
          <w:rFonts w:cs="Arial"/>
          <w:szCs w:val="24"/>
        </w:rPr>
      </w:pPr>
      <w:proofErr w:type="spellStart"/>
      <w:r>
        <w:rPr>
          <w:rFonts w:cs="Arial"/>
          <w:szCs w:val="24"/>
        </w:rPr>
        <w:t>Illing</w:t>
      </w:r>
      <w:proofErr w:type="spellEnd"/>
      <w:r>
        <w:rPr>
          <w:rFonts w:cs="Arial"/>
          <w:szCs w:val="24"/>
        </w:rPr>
        <w:t xml:space="preserve"> et al</w:t>
      </w:r>
      <w:r w:rsidR="004872E3">
        <w:rPr>
          <w:rFonts w:cs="Arial"/>
          <w:szCs w:val="24"/>
        </w:rPr>
        <w:t>.</w:t>
      </w:r>
      <w:r>
        <w:rPr>
          <w:rFonts w:cs="Arial"/>
          <w:szCs w:val="24"/>
        </w:rPr>
        <w:t xml:space="preserve"> </w:t>
      </w:r>
      <w:r w:rsidR="004872E3">
        <w:rPr>
          <w:rFonts w:cs="Arial"/>
          <w:szCs w:val="24"/>
        </w:rPr>
        <w:t xml:space="preserve">(2008) </w:t>
      </w:r>
      <w:r>
        <w:rPr>
          <w:rFonts w:cs="Arial"/>
          <w:szCs w:val="24"/>
        </w:rPr>
        <w:t>found that students</w:t>
      </w:r>
      <w:r w:rsidRPr="00840F79">
        <w:rPr>
          <w:rFonts w:cs="Arial"/>
          <w:szCs w:val="24"/>
        </w:rPr>
        <w:t xml:space="preserve"> felt prepared for basic clinical</w:t>
      </w:r>
      <w:r>
        <w:rPr>
          <w:rFonts w:cs="Arial"/>
          <w:szCs w:val="24"/>
        </w:rPr>
        <w:t xml:space="preserve"> tasks and were confident in communication skills</w:t>
      </w:r>
      <w:r w:rsidR="004816C3">
        <w:rPr>
          <w:rFonts w:cs="Arial"/>
          <w:szCs w:val="24"/>
        </w:rPr>
        <w:t>,</w:t>
      </w:r>
      <w:r>
        <w:rPr>
          <w:rFonts w:cs="Arial"/>
          <w:szCs w:val="24"/>
        </w:rPr>
        <w:t xml:space="preserve"> but </w:t>
      </w:r>
      <w:r w:rsidRPr="00840F79">
        <w:rPr>
          <w:rFonts w:cs="Arial"/>
          <w:szCs w:val="24"/>
        </w:rPr>
        <w:t xml:space="preserve">did </w:t>
      </w:r>
      <w:r>
        <w:rPr>
          <w:rFonts w:cs="Arial"/>
          <w:szCs w:val="24"/>
        </w:rPr>
        <w:t xml:space="preserve">not feel prepared </w:t>
      </w:r>
      <w:r w:rsidRPr="00840F79">
        <w:rPr>
          <w:rFonts w:cs="Arial"/>
          <w:szCs w:val="24"/>
        </w:rPr>
        <w:t>dealing with acutely ill patients, prescribing, manag</w:t>
      </w:r>
      <w:r>
        <w:rPr>
          <w:rFonts w:cs="Arial"/>
          <w:szCs w:val="24"/>
        </w:rPr>
        <w:t xml:space="preserve">ing workload, and being on call. The study found that preparedness was affected </w:t>
      </w:r>
      <w:r w:rsidRPr="002D6620">
        <w:rPr>
          <w:rFonts w:cs="Arial"/>
          <w:szCs w:val="24"/>
        </w:rPr>
        <w:t>predominantly by external factors</w:t>
      </w:r>
      <w:r>
        <w:rPr>
          <w:rFonts w:cs="Arial"/>
          <w:szCs w:val="24"/>
        </w:rPr>
        <w:t>, including</w:t>
      </w:r>
      <w:r w:rsidRPr="002D6620">
        <w:rPr>
          <w:rFonts w:cs="Arial"/>
          <w:szCs w:val="24"/>
        </w:rPr>
        <w:t xml:space="preserve"> undergraduate clinical placements, shadowing, induction and the support</w:t>
      </w:r>
      <w:r>
        <w:rPr>
          <w:rFonts w:cs="Arial"/>
          <w:szCs w:val="24"/>
        </w:rPr>
        <w:t xml:space="preserve"> of others (workplace and home)</w:t>
      </w:r>
      <w:r w:rsidR="004816C3">
        <w:rPr>
          <w:rFonts w:cs="Arial"/>
          <w:szCs w:val="24"/>
        </w:rPr>
        <w:t>,</w:t>
      </w:r>
      <w:r>
        <w:rPr>
          <w:rFonts w:cs="Arial"/>
          <w:szCs w:val="24"/>
        </w:rPr>
        <w:t xml:space="preserve"> and partly by</w:t>
      </w:r>
      <w:r w:rsidRPr="00840F79">
        <w:rPr>
          <w:rFonts w:cs="Arial"/>
          <w:szCs w:val="24"/>
        </w:rPr>
        <w:t xml:space="preserve"> interna</w:t>
      </w:r>
      <w:r>
        <w:rPr>
          <w:rFonts w:cs="Arial"/>
          <w:szCs w:val="24"/>
        </w:rPr>
        <w:t>l factors</w:t>
      </w:r>
      <w:r w:rsidR="00951C83">
        <w:rPr>
          <w:rFonts w:cs="Arial"/>
          <w:szCs w:val="24"/>
        </w:rPr>
        <w:t xml:space="preserve"> </w:t>
      </w:r>
      <w:r>
        <w:rPr>
          <w:rFonts w:cs="Arial"/>
          <w:szCs w:val="24"/>
        </w:rPr>
        <w:t>(</w:t>
      </w:r>
      <w:r w:rsidRPr="00840F79">
        <w:rPr>
          <w:rFonts w:cs="Arial"/>
          <w:szCs w:val="24"/>
        </w:rPr>
        <w:t>personality and learning style</w:t>
      </w:r>
      <w:r>
        <w:rPr>
          <w:rFonts w:cs="Arial"/>
          <w:szCs w:val="24"/>
        </w:rPr>
        <w:t>).</w:t>
      </w:r>
    </w:p>
    <w:p w14:paraId="4178E620" w14:textId="2B5D5E82" w:rsidR="00C50552" w:rsidRDefault="000F2413" w:rsidP="00C50552">
      <w:pPr>
        <w:rPr>
          <w:rFonts w:cs="Arial"/>
          <w:szCs w:val="24"/>
        </w:rPr>
      </w:pPr>
      <w:r>
        <w:rPr>
          <w:rFonts w:cs="Arial"/>
          <w:szCs w:val="24"/>
        </w:rPr>
        <w:t>Some aspects</w:t>
      </w:r>
      <w:r w:rsidR="004816C3">
        <w:rPr>
          <w:rFonts w:cs="Arial"/>
          <w:szCs w:val="24"/>
        </w:rPr>
        <w:t>,</w:t>
      </w:r>
      <w:r w:rsidR="004816C3" w:rsidRPr="004816C3">
        <w:rPr>
          <w:rFonts w:cs="Arial"/>
          <w:szCs w:val="24"/>
        </w:rPr>
        <w:t xml:space="preserve"> </w:t>
      </w:r>
      <w:r w:rsidR="004816C3">
        <w:rPr>
          <w:rFonts w:cs="Arial"/>
          <w:szCs w:val="24"/>
        </w:rPr>
        <w:t xml:space="preserve">such as </w:t>
      </w:r>
      <w:r w:rsidR="004816C3" w:rsidRPr="00840F79">
        <w:rPr>
          <w:rFonts w:cs="Arial"/>
          <w:szCs w:val="24"/>
        </w:rPr>
        <w:t>adapting to hospital procedur</w:t>
      </w:r>
      <w:r w:rsidR="004816C3">
        <w:rPr>
          <w:rFonts w:cs="Arial"/>
          <w:szCs w:val="24"/>
        </w:rPr>
        <w:t>es,</w:t>
      </w:r>
      <w:r w:rsidR="00C50552" w:rsidRPr="00840F79">
        <w:rPr>
          <w:rFonts w:cs="Arial"/>
          <w:szCs w:val="24"/>
        </w:rPr>
        <w:t xml:space="preserve"> became apparen</w:t>
      </w:r>
      <w:r w:rsidR="00C50552">
        <w:rPr>
          <w:rFonts w:cs="Arial"/>
          <w:szCs w:val="24"/>
        </w:rPr>
        <w:t xml:space="preserve">t after </w:t>
      </w:r>
      <w:r w:rsidR="004816C3">
        <w:rPr>
          <w:rFonts w:cs="Arial"/>
          <w:szCs w:val="24"/>
        </w:rPr>
        <w:t xml:space="preserve">some time </w:t>
      </w:r>
      <w:r w:rsidR="00C50552">
        <w:rPr>
          <w:rFonts w:cs="Arial"/>
          <w:szCs w:val="24"/>
        </w:rPr>
        <w:t>working</w:t>
      </w:r>
      <w:r w:rsidR="003A7D42">
        <w:rPr>
          <w:rFonts w:cs="Arial"/>
          <w:szCs w:val="24"/>
        </w:rPr>
        <w:t>.</w:t>
      </w:r>
      <w:r w:rsidR="00C50552">
        <w:rPr>
          <w:rFonts w:cs="Arial"/>
          <w:szCs w:val="24"/>
        </w:rPr>
        <w:t xml:space="preserve"> There was a </w:t>
      </w:r>
      <w:r w:rsidR="00C50552" w:rsidRPr="00840F79">
        <w:rPr>
          <w:rFonts w:cs="Arial"/>
          <w:szCs w:val="24"/>
        </w:rPr>
        <w:t xml:space="preserve">view that they </w:t>
      </w:r>
      <w:r w:rsidR="004816C3">
        <w:rPr>
          <w:rFonts w:cs="Arial"/>
          <w:szCs w:val="24"/>
        </w:rPr>
        <w:t>‘</w:t>
      </w:r>
      <w:r w:rsidR="00C50552" w:rsidRPr="00840F79">
        <w:rPr>
          <w:rFonts w:cs="Arial"/>
          <w:szCs w:val="24"/>
        </w:rPr>
        <w:t>were not arriving with sufficient ward experience, and that on-the-job experience would increase confidence</w:t>
      </w:r>
      <w:r w:rsidR="004816C3">
        <w:rPr>
          <w:rFonts w:cs="Arial"/>
          <w:szCs w:val="24"/>
        </w:rPr>
        <w:t>’</w:t>
      </w:r>
      <w:r w:rsidR="00C50552">
        <w:rPr>
          <w:rFonts w:cs="Arial"/>
          <w:szCs w:val="24"/>
        </w:rPr>
        <w:t xml:space="preserve">. At the end of the F1 year, the overall feeling </w:t>
      </w:r>
      <w:r w:rsidR="00C50552" w:rsidRPr="00840F79">
        <w:rPr>
          <w:rFonts w:cs="Arial"/>
          <w:szCs w:val="24"/>
        </w:rPr>
        <w:t xml:space="preserve">was that </w:t>
      </w:r>
      <w:r w:rsidR="004816C3">
        <w:rPr>
          <w:rFonts w:cs="Arial"/>
          <w:szCs w:val="24"/>
        </w:rPr>
        <w:t>‘</w:t>
      </w:r>
      <w:r w:rsidR="00C50552" w:rsidRPr="00840F79">
        <w:rPr>
          <w:rFonts w:cs="Arial"/>
          <w:szCs w:val="24"/>
        </w:rPr>
        <w:t xml:space="preserve">more exposure to acute </w:t>
      </w:r>
      <w:r w:rsidR="00C50552" w:rsidRPr="00840F79">
        <w:rPr>
          <w:rFonts w:cs="Arial"/>
          <w:szCs w:val="24"/>
        </w:rPr>
        <w:lastRenderedPageBreak/>
        <w:t xml:space="preserve">patients, and the clinical judgment and </w:t>
      </w:r>
      <w:r w:rsidR="001D42C9">
        <w:rPr>
          <w:rFonts w:cs="Arial"/>
          <w:szCs w:val="24"/>
        </w:rPr>
        <w:t>decision-making</w:t>
      </w:r>
      <w:r w:rsidR="00C50552" w:rsidRPr="00840F79">
        <w:rPr>
          <w:rFonts w:cs="Arial"/>
          <w:szCs w:val="24"/>
        </w:rPr>
        <w:t xml:space="preserve"> involved in their management, would have been useful</w:t>
      </w:r>
      <w:r w:rsidR="004816C3">
        <w:rPr>
          <w:rFonts w:cs="Arial"/>
          <w:szCs w:val="24"/>
        </w:rPr>
        <w:t>’</w:t>
      </w:r>
      <w:r w:rsidR="00951C83">
        <w:rPr>
          <w:rFonts w:cs="Arial"/>
          <w:szCs w:val="24"/>
        </w:rPr>
        <w:t xml:space="preserve"> </w:t>
      </w:r>
      <w:r w:rsidR="00C50552">
        <w:rPr>
          <w:rFonts w:cs="Arial"/>
          <w:szCs w:val="24"/>
        </w:rPr>
        <w:fldChar w:fldCharType="begin"/>
      </w:r>
      <w:r w:rsidR="00F326C4">
        <w:rPr>
          <w:rFonts w:cs="Arial"/>
          <w:szCs w:val="24"/>
        </w:rPr>
        <w:instrText xml:space="preserve"> ADDIN EN.CITE &lt;EndNote&gt;&lt;Cite&gt;&lt;Author&gt;Illing&lt;/Author&gt;&lt;Year&gt;2008&lt;/Year&gt;&lt;IDText&gt;How prepared are medical graduates to begin practice? A comparison of 3 diverse UK medical schools.&lt;/IDText&gt;&lt;DisplayText&gt;(Illing et al., 2008)&lt;/DisplayText&gt;&lt;record&gt;&lt;titles&gt;&lt;title&gt;How prepared are medical graduates to begin practice? A comparison of 3 diverse UK medical schools.&lt;/title&gt;&lt;/titles&gt;&lt;contributors&gt;&lt;authors&gt;&lt;author&gt;Illing, Jan&lt;/author&gt;&lt;author&gt;Peile, Ed&lt;/author&gt;&lt;author&gt;Morrison, Jill&lt;/author&gt;&lt;author&gt;Morrow, Gill&lt;/author&gt;&lt;author&gt;Kergon, Charlotte&lt;/author&gt;&lt;author&gt;Burford, Bryan&lt;/author&gt;&lt;author&gt;Spencer, John&lt;/author&gt;&lt;author&gt;Davies, Carol Baldauf, Beate&lt;/author&gt;&lt;/authors&gt;&lt;/contributors&gt;&lt;added-date format="utc"&gt;1390908930&lt;/added-date&gt;&lt;ref-type name="Report"&gt;27&lt;/ref-type&gt;&lt;dates&gt;&lt;year&gt;2008&lt;/year&gt;&lt;/dates&gt;&lt;rec-number&gt;29&lt;/rec-number&gt;&lt;publisher&gt;General Medical Council&lt;/publisher&gt;&lt;last-updated-date format="utc"&gt;1390909101&lt;/last-updated-date&gt;&lt;/record&gt;&lt;/Cite&gt;&lt;Cite&gt;&lt;Author&gt;Illing&lt;/Author&gt;&lt;Year&gt;2008&lt;/Year&gt;&lt;IDText&gt;How prepared are medical graduates to begin practice? A comparison of 3 diverse UK medical schools.&lt;/IDText&gt;&lt;record&gt;&lt;titles&gt;&lt;title&gt;How prepared are medical graduates to begin practice? A comparison of 3 diverse UK medical schools.&lt;/title&gt;&lt;/titles&gt;&lt;contributors&gt;&lt;authors&gt;&lt;author&gt;Illing, Jan&lt;/author&gt;&lt;author&gt;Peile, Ed&lt;/author&gt;&lt;author&gt;Morrison, Jill&lt;/author&gt;&lt;author&gt;Morrow, Gill&lt;/author&gt;&lt;author&gt;Kergon, Charlotte&lt;/author&gt;&lt;author&gt;Burford, Bryan&lt;/author&gt;&lt;author&gt;Spencer, John&lt;/author&gt;&lt;author&gt;Davies, Carol Baldauf, Beate&lt;/author&gt;&lt;/authors&gt;&lt;/contributors&gt;&lt;added-date format="utc"&gt;1390908930&lt;/added-date&gt;&lt;ref-type name="Report"&gt;27&lt;/ref-type&gt;&lt;dates&gt;&lt;year&gt;2008&lt;/year&gt;&lt;/dates&gt;&lt;rec-number&gt;29&lt;/rec-number&gt;&lt;publisher&gt;General Medical Council&lt;/publisher&gt;&lt;last-updated-date format="utc"&gt;1390909101&lt;/last-updated-date&gt;&lt;/record&gt;&lt;/Cite&gt;&lt;/EndNote&gt;</w:instrText>
      </w:r>
      <w:r w:rsidR="00C50552">
        <w:rPr>
          <w:rFonts w:cs="Arial"/>
          <w:szCs w:val="24"/>
        </w:rPr>
        <w:fldChar w:fldCharType="separate"/>
      </w:r>
      <w:r w:rsidR="00F326C4">
        <w:rPr>
          <w:rFonts w:cs="Arial"/>
          <w:noProof/>
          <w:szCs w:val="24"/>
        </w:rPr>
        <w:t>(Illing et al., 2008)</w:t>
      </w:r>
      <w:r w:rsidR="00C50552">
        <w:rPr>
          <w:rFonts w:cs="Arial"/>
          <w:szCs w:val="24"/>
        </w:rPr>
        <w:fldChar w:fldCharType="end"/>
      </w:r>
      <w:r w:rsidR="00C50552" w:rsidRPr="00840F79">
        <w:rPr>
          <w:rFonts w:cs="Arial"/>
          <w:szCs w:val="24"/>
        </w:rPr>
        <w:t>.</w:t>
      </w:r>
    </w:p>
    <w:p w14:paraId="50FC3CA9" w14:textId="3560B80F" w:rsidR="00B84D4D" w:rsidRPr="003612C6" w:rsidRDefault="00B84D4D" w:rsidP="00C50552">
      <w:pPr>
        <w:rPr>
          <w:rFonts w:cs="Arial"/>
          <w:szCs w:val="24"/>
        </w:rPr>
      </w:pPr>
      <w:r>
        <w:rPr>
          <w:rFonts w:cs="Arial"/>
          <w:szCs w:val="24"/>
        </w:rPr>
        <w:t xml:space="preserve">Kellett et al. </w:t>
      </w:r>
      <w:r w:rsidR="004872E3">
        <w:rPr>
          <w:rFonts w:cs="Arial"/>
          <w:szCs w:val="24"/>
        </w:rPr>
        <w:t xml:space="preserve">(2015) </w:t>
      </w:r>
      <w:r>
        <w:rPr>
          <w:rFonts w:cs="Arial"/>
          <w:szCs w:val="24"/>
        </w:rPr>
        <w:t xml:space="preserve">report on the retrospective views </w:t>
      </w:r>
      <w:r w:rsidR="00CA1DF5">
        <w:rPr>
          <w:rFonts w:cs="Arial"/>
          <w:szCs w:val="24"/>
        </w:rPr>
        <w:t>(</w:t>
      </w:r>
      <w:r w:rsidR="00173DE4">
        <w:rPr>
          <w:rFonts w:cs="Arial"/>
          <w:szCs w:val="24"/>
        </w:rPr>
        <w:t>focus group</w:t>
      </w:r>
      <w:r w:rsidR="00CA1DF5">
        <w:rPr>
          <w:rFonts w:cs="Arial"/>
          <w:szCs w:val="24"/>
        </w:rPr>
        <w:t xml:space="preserve">s and interviews) </w:t>
      </w:r>
      <w:r>
        <w:rPr>
          <w:rFonts w:cs="Arial"/>
          <w:szCs w:val="24"/>
        </w:rPr>
        <w:t xml:space="preserve">of </w:t>
      </w:r>
      <w:r w:rsidR="004872E3">
        <w:rPr>
          <w:rFonts w:cs="Arial"/>
          <w:szCs w:val="24"/>
        </w:rPr>
        <w:t>52</w:t>
      </w:r>
      <w:r>
        <w:rPr>
          <w:rFonts w:cs="Arial"/>
          <w:szCs w:val="24"/>
        </w:rPr>
        <w:t xml:space="preserve"> FY1s and </w:t>
      </w:r>
      <w:r w:rsidR="004872E3">
        <w:rPr>
          <w:rFonts w:cs="Arial"/>
          <w:szCs w:val="24"/>
        </w:rPr>
        <w:t xml:space="preserve">22 </w:t>
      </w:r>
      <w:r>
        <w:rPr>
          <w:rFonts w:cs="Arial"/>
          <w:szCs w:val="24"/>
        </w:rPr>
        <w:t xml:space="preserve">clinical supervisors during the first year of FY1. </w:t>
      </w:r>
      <w:r w:rsidR="00BF14F2">
        <w:rPr>
          <w:rFonts w:cs="Arial"/>
          <w:szCs w:val="24"/>
        </w:rPr>
        <w:t>Supervisors report</w:t>
      </w:r>
      <w:r w:rsidR="00CA1DF5">
        <w:rPr>
          <w:rFonts w:cs="Arial"/>
          <w:szCs w:val="24"/>
        </w:rPr>
        <w:t>ed</w:t>
      </w:r>
      <w:r w:rsidR="00BF14F2">
        <w:rPr>
          <w:rFonts w:cs="Arial"/>
          <w:szCs w:val="24"/>
        </w:rPr>
        <w:t xml:space="preserve"> objectively that they felt the FY1s were ‘well prepared’ but would benefit from more experience with ‘real patients’</w:t>
      </w:r>
      <w:r w:rsidR="004872E3">
        <w:rPr>
          <w:rFonts w:cs="Arial"/>
          <w:szCs w:val="24"/>
        </w:rPr>
        <w:t>,</w:t>
      </w:r>
      <w:r w:rsidR="00BF14F2">
        <w:rPr>
          <w:rFonts w:cs="Arial"/>
          <w:szCs w:val="24"/>
        </w:rPr>
        <w:t xml:space="preserve"> as well as opportunities to be responsible and make decisions. FY1s reported feeling unsupported</w:t>
      </w:r>
      <w:r w:rsidR="00CA1DF5">
        <w:rPr>
          <w:rFonts w:cs="Arial"/>
          <w:szCs w:val="24"/>
        </w:rPr>
        <w:t xml:space="preserve">, </w:t>
      </w:r>
      <w:r w:rsidR="00BF14F2">
        <w:rPr>
          <w:rFonts w:cs="Arial"/>
          <w:szCs w:val="24"/>
        </w:rPr>
        <w:t>particularly out of hours</w:t>
      </w:r>
      <w:r w:rsidR="004872E3">
        <w:rPr>
          <w:rFonts w:cs="Arial"/>
          <w:szCs w:val="24"/>
        </w:rPr>
        <w:t>,</w:t>
      </w:r>
      <w:r w:rsidR="00BF14F2">
        <w:rPr>
          <w:rFonts w:cs="Arial"/>
          <w:szCs w:val="24"/>
        </w:rPr>
        <w:t xml:space="preserve"> and supervisors felt the FY1s did ‘not access senior support appropriately’</w:t>
      </w:r>
      <w:r w:rsidR="00B94A58">
        <w:rPr>
          <w:rFonts w:cs="Arial"/>
          <w:szCs w:val="24"/>
        </w:rPr>
        <w:t>.</w:t>
      </w:r>
      <w:r w:rsidR="00376CCF">
        <w:rPr>
          <w:rFonts w:cs="Arial"/>
          <w:szCs w:val="24"/>
        </w:rPr>
        <w:t xml:space="preserve"> F</w:t>
      </w:r>
      <w:r w:rsidR="004872E3">
        <w:rPr>
          <w:rFonts w:cs="Arial"/>
          <w:szCs w:val="24"/>
        </w:rPr>
        <w:t>Y</w:t>
      </w:r>
      <w:r w:rsidR="00376CCF">
        <w:rPr>
          <w:rFonts w:cs="Arial"/>
          <w:szCs w:val="24"/>
        </w:rPr>
        <w:t xml:space="preserve">1s felt that they ‘lacked confidence in approaching consultants’. </w:t>
      </w:r>
      <w:r w:rsidR="00B94A58">
        <w:rPr>
          <w:rFonts w:cs="Arial"/>
          <w:szCs w:val="24"/>
        </w:rPr>
        <w:t xml:space="preserve"> Students report having not felt part of a team during clinical placement and that they did not ‘have a position of authority with colleagues’ </w:t>
      </w:r>
      <w:r w:rsidR="003612C6">
        <w:rPr>
          <w:rFonts w:cs="Arial"/>
          <w:szCs w:val="24"/>
        </w:rPr>
        <w:fldChar w:fldCharType="begin"/>
      </w:r>
      <w:r w:rsidR="003612C6">
        <w:rPr>
          <w:rFonts w:cs="Arial"/>
          <w:szCs w:val="24"/>
        </w:rPr>
        <w:instrText xml:space="preserve"> ADDIN EN.CITE &lt;EndNote&gt;&lt;Cite&gt;&lt;Author&gt;Kellett&lt;/Author&gt;&lt;Year&gt;2015&lt;/Year&gt;&lt;IDText&gt;The preparedness of newly qualified doctors - Views of Foundation doctors and supervisors&lt;/IDText&gt;&lt;DisplayText&gt;(Kellett et al., 2015)&lt;/DisplayText&gt;&lt;record&gt;&lt;urls&gt;&lt;related-urls&gt;&lt;url&gt;http://www.ncbi.nlm.nih.gov/pubmed/25308805&lt;/url&gt;&lt;/related-urls&gt;&lt;/urls&gt;&lt;isbn&gt;1466-187X&lt;/isbn&gt;&lt;titles&gt;&lt;title&gt;The preparedness of newly qualified doctors - Views of Foundation doctors and supervisors&lt;/title&gt;&lt;secondary-title&gt;Med Teach&lt;/secondary-title&gt;&lt;/titles&gt;&lt;pages&gt;949-54&lt;/pages&gt;&lt;number&gt;10&lt;/number&gt;&lt;contributors&gt;&lt;authors&gt;&lt;author&gt;Kellett, J.&lt;/author&gt;&lt;author&gt;Papageorgiou, A.&lt;/author&gt;&lt;author&gt;Cavenagh, P.&lt;/author&gt;&lt;author&gt;Salter, C.&lt;/author&gt;&lt;author&gt;Miles, S.&lt;/author&gt;&lt;author&gt;Leinster, S. J.&lt;/author&gt;&lt;/authors&gt;&lt;/contributors&gt;&lt;language&gt;eng&lt;/language&gt;&lt;added-date format="utc"&gt;1456222806&lt;/added-date&gt;&lt;ref-type name="Journal Article"&gt;17&lt;/ref-type&gt;&lt;dates&gt;&lt;year&gt;2015&lt;/year&gt;&lt;/dates&gt;&lt;rec-number&gt;196&lt;/rec-number&gt;&lt;last-updated-date format="utc"&gt;1456222806&lt;/last-updated-date&gt;&lt;accession-num&gt;25308805&lt;/accession-num&gt;&lt;electronic-resource-num&gt;10.3109/0142159X.2014.970619&lt;/electronic-resource-num&gt;&lt;volume&gt;37&lt;/volume&gt;&lt;/record&gt;&lt;/Cite&gt;&lt;/EndNote&gt;</w:instrText>
      </w:r>
      <w:r w:rsidR="003612C6">
        <w:rPr>
          <w:rFonts w:cs="Arial"/>
          <w:szCs w:val="24"/>
        </w:rPr>
        <w:fldChar w:fldCharType="separate"/>
      </w:r>
      <w:r w:rsidR="003612C6">
        <w:rPr>
          <w:rFonts w:cs="Arial"/>
          <w:noProof/>
          <w:szCs w:val="24"/>
        </w:rPr>
        <w:t>(Kellett et al., 2015)</w:t>
      </w:r>
      <w:r w:rsidR="003612C6">
        <w:rPr>
          <w:rFonts w:cs="Arial"/>
          <w:szCs w:val="24"/>
        </w:rPr>
        <w:fldChar w:fldCharType="end"/>
      </w:r>
      <w:r w:rsidR="00B94A58">
        <w:rPr>
          <w:rFonts w:cs="Arial"/>
          <w:szCs w:val="24"/>
        </w:rPr>
        <w:t xml:space="preserve">. </w:t>
      </w:r>
      <w:r w:rsidR="004872E3">
        <w:rPr>
          <w:rFonts w:cs="Arial"/>
          <w:szCs w:val="24"/>
        </w:rPr>
        <w:t>The FY1s reported feeling</w:t>
      </w:r>
      <w:r w:rsidR="00C07D9A">
        <w:rPr>
          <w:rFonts w:cs="Arial"/>
          <w:szCs w:val="24"/>
        </w:rPr>
        <w:t xml:space="preserve"> unprepared for ‘making diagnoses, prescribing</w:t>
      </w:r>
      <w:r w:rsidR="004872E3">
        <w:rPr>
          <w:rFonts w:cs="Arial"/>
          <w:szCs w:val="24"/>
        </w:rPr>
        <w:t>,</w:t>
      </w:r>
      <w:r w:rsidR="00C07D9A">
        <w:rPr>
          <w:rFonts w:cs="Arial"/>
          <w:szCs w:val="24"/>
        </w:rPr>
        <w:t xml:space="preserve"> and acting in an emergency’</w:t>
      </w:r>
      <w:r w:rsidR="004872E3">
        <w:rPr>
          <w:rFonts w:cs="Arial"/>
          <w:szCs w:val="24"/>
        </w:rPr>
        <w:t>,</w:t>
      </w:r>
      <w:r w:rsidR="00C07D9A">
        <w:rPr>
          <w:rFonts w:cs="Arial"/>
          <w:szCs w:val="24"/>
        </w:rPr>
        <w:t xml:space="preserve"> and found it difficult to make decisions, prioritise, manage their time, deal with the admin</w:t>
      </w:r>
      <w:r w:rsidR="004872E3">
        <w:rPr>
          <w:rFonts w:cs="Arial"/>
          <w:szCs w:val="24"/>
        </w:rPr>
        <w:t>istration</w:t>
      </w:r>
      <w:r w:rsidR="00C07D9A">
        <w:rPr>
          <w:rFonts w:cs="Arial"/>
          <w:szCs w:val="24"/>
        </w:rPr>
        <w:t xml:space="preserve"> and reported</w:t>
      </w:r>
      <w:r w:rsidR="004872E3">
        <w:rPr>
          <w:rFonts w:cs="Arial"/>
          <w:szCs w:val="24"/>
        </w:rPr>
        <w:t xml:space="preserve"> feeling</w:t>
      </w:r>
      <w:r w:rsidR="00C07D9A">
        <w:rPr>
          <w:rFonts w:cs="Arial"/>
          <w:szCs w:val="24"/>
        </w:rPr>
        <w:t xml:space="preserve"> ‘stress and anxiety’ related to the new responsibility they were experiencing. There is evidence to demonstrate that ‘prior clinical experience reduces the stress associated’ with the undergraduate to FY1 transition period </w:t>
      </w:r>
      <w:r w:rsidR="00C07D9A">
        <w:rPr>
          <w:rFonts w:cs="Arial"/>
          <w:szCs w:val="24"/>
        </w:rPr>
        <w:fldChar w:fldCharType="begin"/>
      </w:r>
      <w:r w:rsidR="00C07D9A">
        <w:rPr>
          <w:rFonts w:cs="Arial"/>
          <w:szCs w:val="24"/>
        </w:rPr>
        <w:instrText xml:space="preserve"> ADDIN EN.CITE &lt;EndNote&gt;&lt;Cite&gt;&lt;Author&gt;Brennan&lt;/Author&gt;&lt;Year&gt;2010&lt;/Year&gt;&lt;IDText&gt;The transition from medical student to junior doctor: today&amp;apos;s experiences of Tomorrow&amp;apos;s Doctors&lt;/IDText&gt;&lt;DisplayText&gt;(Brennan et al., 2010)&lt;/DisplayText&gt;&lt;record&gt;&lt;dates&gt;&lt;pub-dates&gt;&lt;date&gt;May&lt;/date&gt;&lt;/pub-dates&gt;&lt;year&gt;2010&lt;/year&gt;&lt;/dates&gt;&lt;keywords&gt;&lt;keyword&gt;Adaptation, Psychological&lt;/keyword&gt;&lt;keyword&gt;Attitude of Health Personnel&lt;/keyword&gt;&lt;keyword&gt;Education, Medical, Undergraduate&lt;/keyword&gt;&lt;keyword&gt;Female&lt;/keyword&gt;&lt;keyword&gt;Great Britain&lt;/keyword&gt;&lt;keyword&gt;Humans&lt;/keyword&gt;&lt;keyword&gt;Interpersonal Relations&lt;/keyword&gt;&lt;keyword&gt;Male&lt;/keyword&gt;&lt;keyword&gt;Medical Staff, Hospital&lt;/keyword&gt;&lt;keyword&gt;Stress, Psychological&lt;/keyword&gt;&lt;keyword&gt;Students, Medical&lt;/keyword&gt;&lt;keyword&gt;Surveys and Questionnaires&lt;/keyword&gt;&lt;/keywords&gt;&lt;urls&gt;&lt;related-urls&gt;&lt;url&gt;http://www.ncbi.nlm.nih.gov/pubmed/20518984&lt;/url&gt;&lt;/related-urls&gt;&lt;/urls&gt;&lt;isbn&gt;1365-2923&lt;/isbn&gt;&lt;titles&gt;&lt;title&gt;The transition from medical student to junior doctor: today&amp;apos;s experiences of Tomorrow&amp;apos;s Doctors&lt;/title&gt;&lt;secondary-title&gt;Med Educ&lt;/secondary-title&gt;&lt;/titles&gt;&lt;pages&gt;449-58&lt;/pages&gt;&lt;number&gt;5&lt;/number&gt;&lt;contributors&gt;&lt;authors&gt;&lt;author&gt;Brennan, N.&lt;/author&gt;&lt;author&gt;Corrigan, O.&lt;/author&gt;&lt;author&gt;Allard, J.&lt;/author&gt;&lt;author&gt;Archer, J.&lt;/author&gt;&lt;author&gt;Barnes, R.&lt;/author&gt;&lt;author&gt;Bleakley, A.&lt;/author&gt;&lt;author&gt;Collett, T.&lt;/author&gt;&lt;author&gt;de Bere, S. R.&lt;/author&gt;&lt;/authors&gt;&lt;/contributors&gt;&lt;language&gt;eng&lt;/language&gt;&lt;added-date format="utc"&gt;1455789999&lt;/added-date&gt;&lt;ref-type name="Journal Article"&gt;17&lt;/ref-type&gt;&lt;rec-number&gt;184&lt;/rec-number&gt;&lt;last-updated-date format="utc"&gt;1455789999&lt;/last-updated-date&gt;&lt;accession-num&gt;20518984&lt;/accession-num&gt;&lt;electronic-resource-num&gt;10.1111/j.1365-2923.2009.03604.x&lt;/electronic-resource-num&gt;&lt;volume&gt;44&lt;/volume&gt;&lt;/record&gt;&lt;/Cite&gt;&lt;/EndNote&gt;</w:instrText>
      </w:r>
      <w:r w:rsidR="00C07D9A">
        <w:rPr>
          <w:rFonts w:cs="Arial"/>
          <w:szCs w:val="24"/>
        </w:rPr>
        <w:fldChar w:fldCharType="separate"/>
      </w:r>
      <w:r w:rsidR="00C07D9A">
        <w:rPr>
          <w:rFonts w:cs="Arial"/>
          <w:noProof/>
          <w:szCs w:val="24"/>
        </w:rPr>
        <w:t>(Brennan et al., 2010)</w:t>
      </w:r>
      <w:r w:rsidR="00C07D9A">
        <w:rPr>
          <w:rFonts w:cs="Arial"/>
          <w:szCs w:val="24"/>
        </w:rPr>
        <w:fldChar w:fldCharType="end"/>
      </w:r>
      <w:r w:rsidR="00C07D9A">
        <w:rPr>
          <w:rFonts w:cs="Arial"/>
          <w:szCs w:val="24"/>
        </w:rPr>
        <w:t>. Belonging appears to be important.</w:t>
      </w:r>
    </w:p>
    <w:p w14:paraId="56214286" w14:textId="4001561F" w:rsidR="00C50552" w:rsidRDefault="00F9721B" w:rsidP="00C50552">
      <w:pPr>
        <w:rPr>
          <w:rFonts w:cs="Arial"/>
          <w:szCs w:val="24"/>
        </w:rPr>
      </w:pPr>
      <w:r>
        <w:rPr>
          <w:rFonts w:cs="Arial"/>
          <w:szCs w:val="24"/>
        </w:rPr>
        <w:t>U</w:t>
      </w:r>
      <w:r w:rsidR="00C50552">
        <w:rPr>
          <w:rFonts w:cs="Arial"/>
          <w:szCs w:val="24"/>
        </w:rPr>
        <w:t xml:space="preserve">ndergraduate clinical skills have been criticised </w:t>
      </w:r>
      <w:r w:rsidR="00C07D9A">
        <w:rPr>
          <w:rFonts w:cs="Arial"/>
          <w:szCs w:val="24"/>
        </w:rPr>
        <w:t xml:space="preserve">in the literature </w:t>
      </w:r>
      <w:r w:rsidR="00C50552">
        <w:rPr>
          <w:rFonts w:cs="Arial"/>
          <w:szCs w:val="24"/>
        </w:rPr>
        <w:t>for being taught in a random way and students have been unsure of expectations</w:t>
      </w:r>
      <w:r w:rsidR="00951C83">
        <w:rPr>
          <w:rFonts w:cs="Arial"/>
          <w:szCs w:val="24"/>
        </w:rPr>
        <w:t xml:space="preserve"> </w:t>
      </w:r>
      <w:r w:rsidR="00C50552">
        <w:rPr>
          <w:rFonts w:cs="Arial"/>
          <w:szCs w:val="24"/>
        </w:rPr>
        <w:fldChar w:fldCharType="begin"/>
      </w:r>
      <w:r w:rsidR="00D41659">
        <w:rPr>
          <w:rFonts w:cs="Arial"/>
          <w:szCs w:val="24"/>
        </w:rPr>
        <w:instrText xml:space="preserve"> ADDIN EN.CITE &lt;EndNote&gt;&lt;Cite&gt;&lt;Author&gt;Goodfellow&lt;/Author&gt;&lt;Year&gt;2001&lt;/Year&gt;&lt;IDText&gt;Students sitting medical finals - ready to be house officers?&lt;/IDText&gt;&lt;DisplayText&gt;(Goodfellow and Claydon, 2001)&lt;/DisplayText&gt;&lt;record&gt;&lt;dates&gt;&lt;pub-dates&gt;&lt;date&gt;Oct&lt;/date&gt;&lt;/pub-dates&gt;&lt;year&gt;2001&lt;/year&gt;&lt;/dates&gt;&lt;isbn&gt;0141-0768&lt;/isbn&gt;&lt;titles&gt;&lt;title&gt;Students sitting medical finals - ready to be house officers?&lt;/title&gt;&lt;secondary-title&gt;Journal of the Royal Society of Medicine&lt;/secondary-title&gt;&lt;/titles&gt;&lt;pages&gt;516-520&lt;/pages&gt;&lt;number&gt;10&lt;/number&gt;&lt;contributors&gt;&lt;authors&gt;&lt;author&gt;Goodfellow, P. B.&lt;/author&gt;&lt;author&gt;Claydon, P.&lt;/author&gt;&lt;/authors&gt;&lt;/contributors&gt;&lt;added-date format="utc"&gt;1390915155&lt;/added-date&gt;&lt;ref-type name="Journal Article"&gt;17&lt;/ref-type&gt;&lt;rec-number&gt;30&lt;/rec-number&gt;&lt;last-updated-date format="utc"&gt;1390929605&lt;/last-updated-date&gt;&lt;accession-num&gt;WOS:000171395300007&lt;/accession-num&gt;&lt;volume&gt;94&lt;/volume&gt;&lt;/record&gt;&lt;/Cite&gt;&lt;Cite&gt;&lt;Author&gt;Goodfellow&lt;/Author&gt;&lt;Year&gt;2001&lt;/Year&gt;&lt;IDText&gt;Students sitting medical finals - ready to be house officers?&lt;/IDText&gt;&lt;record&gt;&lt;dates&gt;&lt;pub-dates&gt;&lt;date&gt;Oct&lt;/date&gt;&lt;/pub-dates&gt;&lt;year&gt;2001&lt;/year&gt;&lt;/dates&gt;&lt;urls&gt;&lt;related-urls&gt;&lt;url&gt;&amp;lt;Go to ISI&amp;gt;://WOS:000171395300007&lt;/url&gt;&lt;/related-urls&gt;&lt;/urls&gt;&lt;isbn&gt;0141-0768&lt;/isbn&gt;&lt;titles&gt;&lt;title&gt;Students sitting medical finals - ready to be house officers?&lt;/title&gt;&lt;secondary-title&gt;Journal of the Royal Society of Medicine&lt;/secondary-title&gt;&lt;/titles&gt;&lt;pages&gt;516-520&lt;/pages&gt;&lt;number&gt;10&lt;/number&gt;&lt;contributors&gt;&lt;authors&gt;&lt;author&gt;Goodfellow, P. B.&lt;/author&gt;&lt;author&gt;Claydon, P.&lt;/author&gt;&lt;/authors&gt;&lt;/contributors&gt;&lt;added-date format="utc"&gt;1390915155&lt;/added-date&gt;&lt;ref-type name="Journal Article"&gt;17&lt;/ref-type&gt;&lt;rec-number&gt;30&lt;/rec-number&gt;&lt;last-updated-date format="utc"&gt;1390929605&lt;/last-updated-date&gt;&lt;accession-num&gt;WOS:000171395300007&lt;/accession-num&gt;&lt;volume&gt;94&lt;/volume&gt;&lt;/record&gt;&lt;/Cite&gt;&lt;/EndNote&gt;</w:instrText>
      </w:r>
      <w:r w:rsidR="00C50552">
        <w:rPr>
          <w:rFonts w:cs="Arial"/>
          <w:szCs w:val="24"/>
        </w:rPr>
        <w:fldChar w:fldCharType="separate"/>
      </w:r>
      <w:r w:rsidR="00F326C4">
        <w:rPr>
          <w:rFonts w:cs="Arial"/>
          <w:noProof/>
          <w:szCs w:val="24"/>
        </w:rPr>
        <w:t>(Goodfellow and Claydon, 2001)</w:t>
      </w:r>
      <w:r w:rsidR="00C50552">
        <w:rPr>
          <w:rFonts w:cs="Arial"/>
          <w:szCs w:val="24"/>
        </w:rPr>
        <w:fldChar w:fldCharType="end"/>
      </w:r>
      <w:r w:rsidR="00F326C4">
        <w:rPr>
          <w:rFonts w:cs="Arial"/>
          <w:szCs w:val="24"/>
        </w:rPr>
        <w:t xml:space="preserve">. </w:t>
      </w:r>
      <w:proofErr w:type="spellStart"/>
      <w:r w:rsidR="00F326C4">
        <w:rPr>
          <w:rFonts w:cs="Arial"/>
          <w:szCs w:val="24"/>
        </w:rPr>
        <w:t>Bogg</w:t>
      </w:r>
      <w:proofErr w:type="spellEnd"/>
      <w:r w:rsidR="00F326C4">
        <w:rPr>
          <w:rFonts w:cs="Arial"/>
          <w:szCs w:val="24"/>
        </w:rPr>
        <w:t xml:space="preserve"> et al</w:t>
      </w:r>
      <w:r w:rsidR="00C07D9A">
        <w:rPr>
          <w:rFonts w:cs="Arial"/>
          <w:szCs w:val="24"/>
        </w:rPr>
        <w:t>.</w:t>
      </w:r>
      <w:r w:rsidR="00F326C4">
        <w:rPr>
          <w:rFonts w:cs="Arial"/>
          <w:szCs w:val="24"/>
        </w:rPr>
        <w:t xml:space="preserve"> </w:t>
      </w:r>
      <w:r w:rsidR="00F326C4">
        <w:rPr>
          <w:rFonts w:cs="Arial"/>
          <w:szCs w:val="24"/>
        </w:rPr>
        <w:fldChar w:fldCharType="begin"/>
      </w:r>
      <w:r w:rsidR="005823F4">
        <w:rPr>
          <w:rFonts w:cs="Arial"/>
          <w:szCs w:val="24"/>
        </w:rPr>
        <w:instrText xml:space="preserve"> ADDIN EN.CITE &lt;EndNote&gt;&lt;Cite&gt;&lt;Author&gt;Bogg&lt;/Author&gt;&lt;Year&gt;2001&lt;/Year&gt;&lt;IDText&gt;Training, job demands and mental health of pre-registration house officers&lt;/IDText&gt;&lt;DisplayText&gt;(Bogg et al., 2001)&lt;/DisplayText&gt;&lt;record&gt;&lt;dates&gt;&lt;pub-dates&gt;&lt;date&gt;Jun&lt;/date&gt;&lt;/pub-dates&gt;&lt;year&gt;2001&lt;/year&gt;&lt;/dates&gt;&lt;urls&gt;&lt;related-urls&gt;&lt;url&gt;&amp;lt;Go to ISI&amp;gt;://WOS:000169352100015&lt;/url&gt;&lt;/related-urls&gt;&lt;/urls&gt;&lt;isbn&gt;0308-0110&lt;/isbn&gt;&lt;titles&gt;&lt;title&gt;Training, job demands and mental health of pre-registration house officers&lt;/title&gt;&lt;secondary-title&gt;Medical Education&lt;/secondary-title&gt;&lt;/titles&gt;&lt;pages&gt;590-595&lt;/pages&gt;&lt;number&gt;6&lt;/number&gt;&lt;contributors&gt;&lt;authors&gt;&lt;author&gt;Bogg, J.&lt;/author&gt;&lt;author&gt;Gibbs, T.&lt;/author&gt;&lt;author&gt;Bundred, P.&lt;/author&gt;&lt;/authors&gt;&lt;/contributors&gt;&lt;added-date format="utc"&gt;1390915416&lt;/added-date&gt;&lt;ref-type name="Journal Article"&gt;17&lt;/ref-type&gt;&lt;rec-number&gt;32&lt;/rec-number&gt;&lt;last-updated-date format="utc"&gt;1390929605&lt;/last-updated-date&gt;&lt;accession-num&gt;WOS:000169352100015&lt;/accession-num&gt;&lt;electronic-resource-num&gt;10.1046/j.1365-2923.2001.00951.x&lt;/electronic-resource-num&gt;&lt;volume&gt;35&lt;/volume&gt;&lt;/record&gt;&lt;/Cite&gt;&lt;/EndNote&gt;</w:instrText>
      </w:r>
      <w:r w:rsidR="00F326C4">
        <w:rPr>
          <w:rFonts w:cs="Arial"/>
          <w:szCs w:val="24"/>
        </w:rPr>
        <w:fldChar w:fldCharType="separate"/>
      </w:r>
      <w:r w:rsidR="005823F4">
        <w:rPr>
          <w:rFonts w:cs="Arial"/>
          <w:noProof/>
          <w:szCs w:val="24"/>
        </w:rPr>
        <w:t>(Bogg et al., 2001)</w:t>
      </w:r>
      <w:r w:rsidR="00F326C4">
        <w:rPr>
          <w:rFonts w:cs="Arial"/>
          <w:szCs w:val="24"/>
        </w:rPr>
        <w:fldChar w:fldCharType="end"/>
      </w:r>
      <w:r w:rsidR="00C50552">
        <w:rPr>
          <w:rFonts w:cs="Arial"/>
          <w:szCs w:val="24"/>
        </w:rPr>
        <w:t xml:space="preserve"> reported that students wanted further training in practical skills, time management and delegation. Wall et al</w:t>
      </w:r>
      <w:r w:rsidR="00C07D9A">
        <w:rPr>
          <w:rFonts w:cs="Arial"/>
          <w:szCs w:val="24"/>
        </w:rPr>
        <w:t>.</w:t>
      </w:r>
      <w:r w:rsidR="00F326C4">
        <w:rPr>
          <w:rFonts w:cs="Arial"/>
          <w:szCs w:val="24"/>
        </w:rPr>
        <w:fldChar w:fldCharType="begin"/>
      </w:r>
      <w:r w:rsidR="005823F4">
        <w:rPr>
          <w:rFonts w:cs="Arial"/>
          <w:szCs w:val="24"/>
        </w:rPr>
        <w:instrText xml:space="preserve"> ADDIN EN.CITE &lt;EndNote&gt;&lt;Cite&gt;&lt;Author&gt;Wall&lt;/Author&gt;&lt;Year&gt;2006&lt;/Year&gt;&lt;IDText&gt;From undergraduate medical education to pre-registration house officer year: how prepared are students?&lt;/IDText&gt;&lt;DisplayText&gt;(Wall et al., 2006)&lt;/DisplayText&gt;&lt;record&gt;&lt;dates&gt;&lt;pub-dates&gt;&lt;date&gt;Aug&lt;/date&gt;&lt;/pub-dates&gt;&lt;year&gt;2006&lt;/year&gt;&lt;/dates&gt;&lt;urls&gt;&lt;related-urls&gt;&lt;url&gt;&amp;lt;Go to ISI&amp;gt;://WOS:000241164600007&lt;/url&gt;&lt;/related-urls&gt;&lt;/urls&gt;&lt;isbn&gt;0142-159X&lt;/isbn&gt;&lt;titles&gt;&lt;title&gt;From undergraduate medical education to pre-registration house officer year: how prepared are students?&lt;/title&gt;&lt;secondary-title&gt;Medical Teacher&lt;/secondary-title&gt;&lt;/titles&gt;&lt;pages&gt;435-439&lt;/pages&gt;&lt;number&gt;5&lt;/number&gt;&lt;contributors&gt;&lt;authors&gt;&lt;author&gt;Wall, David&lt;/author&gt;&lt;author&gt;Bolshaw, Andrea&lt;/author&gt;&lt;author&gt;Carolan, Justine&lt;/author&gt;&lt;/authors&gt;&lt;/contributors&gt;&lt;added-date format="utc"&gt;1390916198&lt;/added-date&gt;&lt;ref-type name="Journal Article"&gt;17&lt;/ref-type&gt;&lt;rec-number&gt;34&lt;/rec-number&gt;&lt;last-updated-date format="utc"&gt;1390929605&lt;/last-updated-date&gt;&lt;accession-num&gt;WOS:000241164600007&lt;/accession-num&gt;&lt;electronic-resource-num&gt;10.1080/01421590600625171&lt;/electronic-resource-num&gt;&lt;volume&gt;28&lt;/volume&gt;&lt;/record&gt;&lt;/Cite&gt;&lt;/EndNote&gt;</w:instrText>
      </w:r>
      <w:r w:rsidR="00F326C4">
        <w:rPr>
          <w:rFonts w:cs="Arial"/>
          <w:szCs w:val="24"/>
        </w:rPr>
        <w:fldChar w:fldCharType="separate"/>
      </w:r>
      <w:r w:rsidR="005823F4">
        <w:rPr>
          <w:rFonts w:cs="Arial"/>
          <w:noProof/>
          <w:szCs w:val="24"/>
        </w:rPr>
        <w:t>(Wall et al., 2006)</w:t>
      </w:r>
      <w:r w:rsidR="00F326C4">
        <w:rPr>
          <w:rFonts w:cs="Arial"/>
          <w:szCs w:val="24"/>
        </w:rPr>
        <w:fldChar w:fldCharType="end"/>
      </w:r>
      <w:r w:rsidR="003A7D42">
        <w:rPr>
          <w:rFonts w:cs="Arial"/>
          <w:szCs w:val="24"/>
        </w:rPr>
        <w:t xml:space="preserve"> found</w:t>
      </w:r>
      <w:r w:rsidR="00C50552">
        <w:rPr>
          <w:rFonts w:cs="Arial"/>
          <w:szCs w:val="24"/>
        </w:rPr>
        <w:t xml:space="preserve"> that junior doctors and consultants agreed that they were least prepared for </w:t>
      </w:r>
      <w:r w:rsidR="001D42C9">
        <w:rPr>
          <w:rFonts w:cs="Arial"/>
          <w:szCs w:val="24"/>
        </w:rPr>
        <w:t>decision-making</w:t>
      </w:r>
      <w:r w:rsidR="00C50552">
        <w:rPr>
          <w:rFonts w:cs="Arial"/>
          <w:szCs w:val="24"/>
        </w:rPr>
        <w:t xml:space="preserve">, </w:t>
      </w:r>
      <w:r w:rsidR="00C50552">
        <w:rPr>
          <w:rFonts w:cs="Arial"/>
          <w:szCs w:val="24"/>
        </w:rPr>
        <w:lastRenderedPageBreak/>
        <w:t xml:space="preserve">prescribing, treating and practical skills. They felt most prepared in communication, history taking and </w:t>
      </w:r>
      <w:r w:rsidR="00B2451B">
        <w:rPr>
          <w:rFonts w:cs="Arial"/>
          <w:szCs w:val="24"/>
        </w:rPr>
        <w:t>teamwork</w:t>
      </w:r>
      <w:r w:rsidR="00C50552">
        <w:rPr>
          <w:rFonts w:cs="Arial"/>
          <w:szCs w:val="24"/>
        </w:rPr>
        <w:t>ing. Jones et al</w:t>
      </w:r>
      <w:r w:rsidR="00C07D9A">
        <w:rPr>
          <w:rFonts w:cs="Arial"/>
          <w:szCs w:val="24"/>
        </w:rPr>
        <w:t>.</w:t>
      </w:r>
      <w:r w:rsidR="00C50552">
        <w:rPr>
          <w:rFonts w:cs="Arial"/>
          <w:szCs w:val="24"/>
        </w:rPr>
        <w:t xml:space="preserve"> </w:t>
      </w:r>
      <w:r w:rsidR="00F326C4">
        <w:rPr>
          <w:rFonts w:cs="Arial"/>
          <w:szCs w:val="24"/>
        </w:rPr>
        <w:fldChar w:fldCharType="begin"/>
      </w:r>
      <w:r w:rsidR="005823F4">
        <w:rPr>
          <w:rFonts w:cs="Arial"/>
          <w:szCs w:val="24"/>
        </w:rPr>
        <w:instrText xml:space="preserve"> ADDIN EN.CITE &lt;EndNote&gt;&lt;Cite&gt;&lt;Author&gt;Jones&lt;/Author&gt;&lt;Year&gt;2001&lt;/Year&gt;&lt;IDText&gt;How well prepared are graduates for the role of pre-registration house officer? A comparison of the perceptions of new graduates and educational supervisors&lt;/IDText&gt;&lt;DisplayText&gt;(Jones et al., 2001)&lt;/DisplayText&gt;&lt;record&gt;&lt;dates&gt;&lt;pub-dates&gt;&lt;date&gt;Jun&lt;/date&gt;&lt;/pub-dates&gt;&lt;year&gt;2001&lt;/year&gt;&lt;/dates&gt;&lt;urls&gt;&lt;related-urls&gt;&lt;url&gt;&amp;lt;Go to ISI&amp;gt;://WOS:000169352100013&lt;/url&gt;&lt;/related-urls&gt;&lt;/urls&gt;&lt;isbn&gt;0308-0110&lt;/isbn&gt;&lt;titles&gt;&lt;title&gt;How well prepared are graduates for the role of pre-registration house officer? A comparison of the perceptions of new graduates and educational supervisors&lt;/title&gt;&lt;secondary-title&gt;Medical Education&lt;/secondary-title&gt;&lt;/titles&gt;&lt;pages&gt;578-584&lt;/pages&gt;&lt;number&gt;6&lt;/number&gt;&lt;contributors&gt;&lt;authors&gt;&lt;author&gt;Jones, A.&lt;/author&gt;&lt;author&gt;McArdle, P. J.&lt;/author&gt;&lt;author&gt;O&amp;apos;Neill, P. A.&lt;/author&gt;&lt;/authors&gt;&lt;/contributors&gt;&lt;added-date format="utc"&gt;1390915614&lt;/added-date&gt;&lt;ref-type name="Journal Article"&gt;17&lt;/ref-type&gt;&lt;rec-number&gt;33&lt;/rec-number&gt;&lt;last-updated-date format="utc"&gt;1390929605&lt;/last-updated-date&gt;&lt;accession-num&gt;WOS:000169352100013&lt;/accession-num&gt;&lt;electronic-resource-num&gt;10.1046/j.1365-2923.2001.00955.x&lt;/electronic-resource-num&gt;&lt;volume&gt;35&lt;/volume&gt;&lt;/record&gt;&lt;/Cite&gt;&lt;/EndNote&gt;</w:instrText>
      </w:r>
      <w:r w:rsidR="00F326C4">
        <w:rPr>
          <w:rFonts w:cs="Arial"/>
          <w:szCs w:val="24"/>
        </w:rPr>
        <w:fldChar w:fldCharType="separate"/>
      </w:r>
      <w:r w:rsidR="008D291E">
        <w:rPr>
          <w:rFonts w:cs="Arial"/>
          <w:noProof/>
          <w:szCs w:val="24"/>
        </w:rPr>
        <w:t>(</w:t>
      </w:r>
      <w:r w:rsidR="005823F4">
        <w:rPr>
          <w:rFonts w:cs="Arial"/>
          <w:noProof/>
          <w:szCs w:val="24"/>
        </w:rPr>
        <w:t>2001)</w:t>
      </w:r>
      <w:r w:rsidR="00F326C4">
        <w:rPr>
          <w:rFonts w:cs="Arial"/>
          <w:szCs w:val="24"/>
        </w:rPr>
        <w:fldChar w:fldCharType="end"/>
      </w:r>
      <w:r w:rsidR="00EA6C90">
        <w:rPr>
          <w:rFonts w:cs="Arial"/>
          <w:szCs w:val="24"/>
        </w:rPr>
        <w:t xml:space="preserve"> </w:t>
      </w:r>
      <w:r w:rsidR="00C50552">
        <w:rPr>
          <w:rFonts w:cs="Arial"/>
          <w:szCs w:val="24"/>
        </w:rPr>
        <w:t xml:space="preserve"> reported similar findings with s</w:t>
      </w:r>
      <w:r w:rsidR="00C50552" w:rsidRPr="00676520">
        <w:rPr>
          <w:rFonts w:cs="Arial"/>
          <w:szCs w:val="24"/>
        </w:rPr>
        <w:t>tudent</w:t>
      </w:r>
      <w:r w:rsidR="00C07D9A">
        <w:rPr>
          <w:rFonts w:cs="Arial"/>
          <w:szCs w:val="24"/>
        </w:rPr>
        <w:t>s</w:t>
      </w:r>
      <w:r w:rsidR="00C50552" w:rsidRPr="00676520">
        <w:rPr>
          <w:rFonts w:cs="Arial"/>
          <w:szCs w:val="24"/>
        </w:rPr>
        <w:t xml:space="preserve"> fe</w:t>
      </w:r>
      <w:r w:rsidR="00C50552">
        <w:rPr>
          <w:rFonts w:cs="Arial"/>
          <w:szCs w:val="24"/>
        </w:rPr>
        <w:t>e</w:t>
      </w:r>
      <w:r w:rsidR="00C50552" w:rsidRPr="00676520">
        <w:rPr>
          <w:rFonts w:cs="Arial"/>
          <w:szCs w:val="24"/>
        </w:rPr>
        <w:t>l</w:t>
      </w:r>
      <w:r w:rsidR="00C50552">
        <w:rPr>
          <w:rFonts w:cs="Arial"/>
          <w:szCs w:val="24"/>
        </w:rPr>
        <w:t>ing</w:t>
      </w:r>
      <w:r w:rsidR="00C50552" w:rsidRPr="00676520">
        <w:rPr>
          <w:rFonts w:cs="Arial"/>
          <w:szCs w:val="24"/>
        </w:rPr>
        <w:t xml:space="preserve"> much less prepared in diagnosing, </w:t>
      </w:r>
      <w:r w:rsidR="001D42C9">
        <w:rPr>
          <w:rFonts w:cs="Arial"/>
          <w:szCs w:val="24"/>
        </w:rPr>
        <w:t>decision-making</w:t>
      </w:r>
      <w:r w:rsidR="00C50552" w:rsidRPr="00676520">
        <w:rPr>
          <w:rFonts w:cs="Arial"/>
          <w:szCs w:val="24"/>
        </w:rPr>
        <w:t>, coping with uncertainty, evidence</w:t>
      </w:r>
      <w:r w:rsidR="004872E3">
        <w:rPr>
          <w:rFonts w:cs="Arial"/>
          <w:szCs w:val="24"/>
        </w:rPr>
        <w:t>-</w:t>
      </w:r>
      <w:r w:rsidR="00C50552" w:rsidRPr="00676520">
        <w:rPr>
          <w:rFonts w:cs="Arial"/>
          <w:szCs w:val="24"/>
        </w:rPr>
        <w:t>based medicine and ethical issues.</w:t>
      </w:r>
      <w:r w:rsidR="00C50552">
        <w:rPr>
          <w:rFonts w:cs="Arial"/>
          <w:szCs w:val="24"/>
        </w:rPr>
        <w:t xml:space="preserve"> </w:t>
      </w:r>
    </w:p>
    <w:p w14:paraId="42FF9DEA" w14:textId="37CB1DD6" w:rsidR="00CC0610" w:rsidRDefault="00D4519D" w:rsidP="00C50552">
      <w:pPr>
        <w:rPr>
          <w:rFonts w:cs="Arial"/>
          <w:szCs w:val="24"/>
        </w:rPr>
      </w:pPr>
      <w:r>
        <w:rPr>
          <w:rFonts w:cs="Arial"/>
          <w:szCs w:val="24"/>
        </w:rPr>
        <w:t xml:space="preserve">Tallentire et al. </w:t>
      </w:r>
      <w:r w:rsidR="00E016D5">
        <w:rPr>
          <w:rFonts w:cs="Arial"/>
          <w:szCs w:val="24"/>
        </w:rPr>
        <w:t xml:space="preserve">(2012b) </w:t>
      </w:r>
      <w:r w:rsidR="0016432C">
        <w:rPr>
          <w:rFonts w:cs="Arial"/>
          <w:szCs w:val="24"/>
        </w:rPr>
        <w:t xml:space="preserve">concur with these findings through a </w:t>
      </w:r>
      <w:r>
        <w:rPr>
          <w:rFonts w:cs="Arial"/>
          <w:szCs w:val="24"/>
        </w:rPr>
        <w:t>systematic literature search (265 articles recov</w:t>
      </w:r>
      <w:r w:rsidR="00E016D5">
        <w:rPr>
          <w:rFonts w:cs="Arial"/>
          <w:szCs w:val="24"/>
        </w:rPr>
        <w:t>ered, 10 included in analysis)</w:t>
      </w:r>
      <w:r w:rsidR="0016432C">
        <w:rPr>
          <w:rFonts w:cs="Arial"/>
          <w:szCs w:val="24"/>
        </w:rPr>
        <w:t>, reporting</w:t>
      </w:r>
      <w:r>
        <w:rPr>
          <w:rFonts w:cs="Arial"/>
          <w:szCs w:val="24"/>
        </w:rPr>
        <w:t xml:space="preserve"> that UK medical school gra</w:t>
      </w:r>
      <w:r w:rsidR="00FF77C1">
        <w:rPr>
          <w:rFonts w:cs="Arial"/>
          <w:szCs w:val="24"/>
        </w:rPr>
        <w:t>du</w:t>
      </w:r>
      <w:r>
        <w:rPr>
          <w:rFonts w:cs="Arial"/>
          <w:szCs w:val="24"/>
        </w:rPr>
        <w:t>ates were least prepared in acute care and prescribin</w:t>
      </w:r>
      <w:r w:rsidR="00F9721B">
        <w:rPr>
          <w:rFonts w:cs="Arial"/>
          <w:szCs w:val="24"/>
        </w:rPr>
        <w:t>g.</w:t>
      </w:r>
      <w:r w:rsidR="00FF77C1">
        <w:rPr>
          <w:rFonts w:cs="Arial"/>
          <w:szCs w:val="24"/>
        </w:rPr>
        <w:t xml:space="preserve"> They report a perception that though preparedness was increasing in some areas, acute care had fallen behind. </w:t>
      </w:r>
      <w:r w:rsidR="0016432C">
        <w:rPr>
          <w:rFonts w:cs="Arial"/>
          <w:szCs w:val="24"/>
        </w:rPr>
        <w:t xml:space="preserve">In addition, </w:t>
      </w:r>
      <w:r w:rsidR="00FF77C1">
        <w:rPr>
          <w:rFonts w:cs="Arial"/>
          <w:szCs w:val="24"/>
        </w:rPr>
        <w:t xml:space="preserve">that ‘perceived preparedness is important in influencing the behaviour of new graduates’. </w:t>
      </w:r>
      <w:r w:rsidR="00236E1D">
        <w:rPr>
          <w:rFonts w:cs="Arial"/>
          <w:szCs w:val="24"/>
        </w:rPr>
        <w:t xml:space="preserve">It is useful </w:t>
      </w:r>
      <w:r w:rsidR="0016432C">
        <w:rPr>
          <w:rFonts w:cs="Arial"/>
          <w:szCs w:val="24"/>
        </w:rPr>
        <w:t xml:space="preserve">in these studies </w:t>
      </w:r>
      <w:r w:rsidR="00236E1D">
        <w:rPr>
          <w:rFonts w:cs="Arial"/>
          <w:szCs w:val="24"/>
        </w:rPr>
        <w:t xml:space="preserve">to combine the subjective perception of FY1s with </w:t>
      </w:r>
      <w:r w:rsidR="004872E3">
        <w:rPr>
          <w:rFonts w:cs="Arial"/>
          <w:szCs w:val="24"/>
        </w:rPr>
        <w:t xml:space="preserve">the </w:t>
      </w:r>
      <w:r w:rsidR="00236E1D">
        <w:rPr>
          <w:rFonts w:cs="Arial"/>
          <w:szCs w:val="24"/>
        </w:rPr>
        <w:t>objective perspective of supervising colleagues</w:t>
      </w:r>
      <w:r w:rsidR="0068323C">
        <w:rPr>
          <w:rFonts w:cs="Arial"/>
          <w:szCs w:val="24"/>
        </w:rPr>
        <w:t xml:space="preserve"> to triangulate data</w:t>
      </w:r>
      <w:r w:rsidR="00236E1D">
        <w:rPr>
          <w:rFonts w:cs="Arial"/>
          <w:szCs w:val="24"/>
        </w:rPr>
        <w:t xml:space="preserve">. </w:t>
      </w:r>
    </w:p>
    <w:p w14:paraId="3DFC8E6B" w14:textId="4A17F95A" w:rsidR="00A62D68" w:rsidRDefault="00A62D68" w:rsidP="001F3E2D">
      <w:pPr>
        <w:rPr>
          <w:rFonts w:cs="Arial"/>
          <w:szCs w:val="24"/>
        </w:rPr>
      </w:pPr>
      <w:r w:rsidRPr="00EE4DE7">
        <w:rPr>
          <w:rFonts w:cs="Arial"/>
          <w:szCs w:val="24"/>
          <w:lang w:val="fr-FR"/>
        </w:rPr>
        <w:t>Cave et al.</w:t>
      </w:r>
      <w:r w:rsidR="00C41221" w:rsidRPr="00EE4DE7">
        <w:rPr>
          <w:rFonts w:cs="Arial"/>
          <w:szCs w:val="24"/>
          <w:lang w:val="fr-FR"/>
        </w:rPr>
        <w:t xml:space="preserve"> (2009)</w:t>
      </w:r>
      <w:r w:rsidRPr="00EE4DE7">
        <w:rPr>
          <w:rFonts w:cs="Arial"/>
          <w:szCs w:val="24"/>
          <w:lang w:val="fr-FR"/>
        </w:rPr>
        <w:t xml:space="preserve"> and </w:t>
      </w:r>
      <w:proofErr w:type="spellStart"/>
      <w:r w:rsidRPr="00EE4DE7">
        <w:rPr>
          <w:rFonts w:cs="Arial"/>
          <w:szCs w:val="24"/>
          <w:lang w:val="fr-FR"/>
        </w:rPr>
        <w:t>Illing</w:t>
      </w:r>
      <w:proofErr w:type="spellEnd"/>
      <w:r w:rsidRPr="00EE4DE7">
        <w:rPr>
          <w:rFonts w:cs="Arial"/>
          <w:szCs w:val="24"/>
          <w:lang w:val="fr-FR"/>
        </w:rPr>
        <w:t xml:space="preserve"> et al. </w:t>
      </w:r>
      <w:r w:rsidR="00C41221">
        <w:rPr>
          <w:rFonts w:cs="Arial"/>
          <w:szCs w:val="24"/>
        </w:rPr>
        <w:t xml:space="preserve">(2013) </w:t>
      </w:r>
      <w:r>
        <w:rPr>
          <w:rFonts w:cs="Arial"/>
          <w:szCs w:val="24"/>
        </w:rPr>
        <w:t>report that the quantity of ‘hands</w:t>
      </w:r>
      <w:r w:rsidR="004872E3">
        <w:rPr>
          <w:rFonts w:cs="Arial"/>
          <w:szCs w:val="24"/>
        </w:rPr>
        <w:t>-</w:t>
      </w:r>
      <w:r>
        <w:rPr>
          <w:rFonts w:cs="Arial"/>
          <w:szCs w:val="24"/>
        </w:rPr>
        <w:t>on practical experience’ that a junior doctor has before sta</w:t>
      </w:r>
      <w:r w:rsidR="004872E3">
        <w:rPr>
          <w:rFonts w:cs="Arial"/>
          <w:szCs w:val="24"/>
        </w:rPr>
        <w:t>r</w:t>
      </w:r>
      <w:r>
        <w:rPr>
          <w:rFonts w:cs="Arial"/>
          <w:szCs w:val="24"/>
        </w:rPr>
        <w:t>ting work is linked to preparedness</w:t>
      </w:r>
      <w:r w:rsidR="00C41221">
        <w:rPr>
          <w:rFonts w:cs="Arial"/>
          <w:szCs w:val="24"/>
        </w:rPr>
        <w:t xml:space="preserve">. </w:t>
      </w:r>
      <w:r>
        <w:rPr>
          <w:rFonts w:cs="Arial"/>
          <w:szCs w:val="24"/>
        </w:rPr>
        <w:t>This emphasises the importance of experiential learning throughout the undergraduate curriculum</w:t>
      </w:r>
      <w:r w:rsidR="000C3FFB">
        <w:rPr>
          <w:rFonts w:cs="Arial"/>
          <w:szCs w:val="24"/>
        </w:rPr>
        <w:t xml:space="preserve">. </w:t>
      </w:r>
      <w:r w:rsidR="005F7511">
        <w:rPr>
          <w:rFonts w:cs="Arial"/>
          <w:szCs w:val="24"/>
        </w:rPr>
        <w:t>It is a challeng</w:t>
      </w:r>
      <w:r w:rsidR="000C3FFB">
        <w:rPr>
          <w:rFonts w:cs="Arial"/>
          <w:szCs w:val="24"/>
        </w:rPr>
        <w:t>e</w:t>
      </w:r>
      <w:r w:rsidR="005F7511">
        <w:rPr>
          <w:rFonts w:cs="Arial"/>
          <w:szCs w:val="24"/>
        </w:rPr>
        <w:t xml:space="preserve"> to expose all medical students to rare events, so equipping them with more generic skills regarding assessment of the unwell patient and strategies to manage stress, awareness of limitations</w:t>
      </w:r>
      <w:r w:rsidR="004872E3">
        <w:rPr>
          <w:rFonts w:cs="Arial"/>
          <w:szCs w:val="24"/>
        </w:rPr>
        <w:t>,</w:t>
      </w:r>
      <w:r w:rsidR="005F7511">
        <w:rPr>
          <w:rFonts w:cs="Arial"/>
          <w:szCs w:val="24"/>
        </w:rPr>
        <w:t xml:space="preserve"> and how and when to access help are likely to be more important</w:t>
      </w:r>
      <w:r w:rsidR="000C3FFB">
        <w:rPr>
          <w:rFonts w:cs="Arial"/>
          <w:szCs w:val="24"/>
        </w:rPr>
        <w:t>.</w:t>
      </w:r>
    </w:p>
    <w:p w14:paraId="668EDD3D" w14:textId="6444F2ED" w:rsidR="00481FEA" w:rsidRDefault="00481FEA" w:rsidP="001F3E2D">
      <w:pPr>
        <w:rPr>
          <w:rFonts w:cs="Arial"/>
          <w:szCs w:val="24"/>
        </w:rPr>
      </w:pPr>
      <w:r>
        <w:rPr>
          <w:rFonts w:cs="Arial"/>
          <w:szCs w:val="24"/>
        </w:rPr>
        <w:t xml:space="preserve">Burford et al. </w:t>
      </w:r>
      <w:r w:rsidR="00C41221">
        <w:rPr>
          <w:rFonts w:cs="Arial"/>
          <w:szCs w:val="24"/>
        </w:rPr>
        <w:t xml:space="preserve">(2014) </w:t>
      </w:r>
      <w:r>
        <w:rPr>
          <w:rFonts w:cs="Arial"/>
          <w:szCs w:val="24"/>
        </w:rPr>
        <w:t xml:space="preserve">report on questionnaire outcomes from 344 UK graduates starting FY1 </w:t>
      </w:r>
      <w:r w:rsidR="004872E3">
        <w:rPr>
          <w:rFonts w:cs="Arial"/>
          <w:szCs w:val="24"/>
        </w:rPr>
        <w:t xml:space="preserve">about </w:t>
      </w:r>
      <w:r>
        <w:rPr>
          <w:rFonts w:cs="Arial"/>
          <w:szCs w:val="24"/>
        </w:rPr>
        <w:t xml:space="preserve">perceived preparedness and exposure to immediate care scenarios in one </w:t>
      </w:r>
      <w:r w:rsidR="004872E3">
        <w:rPr>
          <w:rFonts w:cs="Arial"/>
          <w:szCs w:val="24"/>
        </w:rPr>
        <w:t>T</w:t>
      </w:r>
      <w:r>
        <w:rPr>
          <w:rFonts w:cs="Arial"/>
          <w:szCs w:val="24"/>
        </w:rPr>
        <w:t xml:space="preserve">rust. They had a </w:t>
      </w:r>
      <w:r w:rsidR="00C41221">
        <w:rPr>
          <w:rFonts w:cs="Arial"/>
          <w:szCs w:val="24"/>
        </w:rPr>
        <w:t xml:space="preserve">high </w:t>
      </w:r>
      <w:r>
        <w:rPr>
          <w:rFonts w:cs="Arial"/>
          <w:szCs w:val="24"/>
        </w:rPr>
        <w:t xml:space="preserve">response rate of 91.3% so </w:t>
      </w:r>
      <w:r w:rsidR="004872E3">
        <w:rPr>
          <w:rFonts w:cs="Arial"/>
          <w:szCs w:val="24"/>
        </w:rPr>
        <w:t xml:space="preserve">are </w:t>
      </w:r>
      <w:r>
        <w:rPr>
          <w:rFonts w:cs="Arial"/>
          <w:szCs w:val="24"/>
        </w:rPr>
        <w:lastRenderedPageBreak/>
        <w:t>representative</w:t>
      </w:r>
      <w:r w:rsidR="000C3FFB">
        <w:rPr>
          <w:rFonts w:cs="Arial"/>
          <w:szCs w:val="24"/>
        </w:rPr>
        <w:t xml:space="preserve"> </w:t>
      </w:r>
      <w:r w:rsidR="004872E3">
        <w:rPr>
          <w:rFonts w:cs="Arial"/>
          <w:szCs w:val="24"/>
        </w:rPr>
        <w:t xml:space="preserve">of </w:t>
      </w:r>
      <w:r w:rsidR="00922B1A">
        <w:rPr>
          <w:rFonts w:cs="Arial"/>
          <w:szCs w:val="24"/>
        </w:rPr>
        <w:t>results demonstrat</w:t>
      </w:r>
      <w:r w:rsidR="000C3FFB">
        <w:rPr>
          <w:rFonts w:cs="Arial"/>
          <w:szCs w:val="24"/>
        </w:rPr>
        <w:t>ing</w:t>
      </w:r>
      <w:r>
        <w:rPr>
          <w:rFonts w:cs="Arial"/>
          <w:szCs w:val="24"/>
        </w:rPr>
        <w:t xml:space="preserve"> a</w:t>
      </w:r>
      <w:r w:rsidR="004E396C">
        <w:rPr>
          <w:rFonts w:cs="Arial"/>
          <w:szCs w:val="24"/>
        </w:rPr>
        <w:t>n overall</w:t>
      </w:r>
      <w:r>
        <w:rPr>
          <w:rFonts w:cs="Arial"/>
          <w:szCs w:val="24"/>
        </w:rPr>
        <w:t xml:space="preserve"> perceived feeling of moderate preparedness</w:t>
      </w:r>
      <w:r w:rsidR="000C3FFB">
        <w:rPr>
          <w:rFonts w:cs="Arial"/>
          <w:szCs w:val="24"/>
        </w:rPr>
        <w:t>.</w:t>
      </w:r>
      <w:r>
        <w:rPr>
          <w:rFonts w:cs="Arial"/>
          <w:szCs w:val="24"/>
        </w:rPr>
        <w:t xml:space="preserve"> </w:t>
      </w:r>
      <w:r w:rsidR="000C3FFB">
        <w:rPr>
          <w:rFonts w:cs="Arial"/>
          <w:szCs w:val="24"/>
        </w:rPr>
        <w:t>U</w:t>
      </w:r>
      <w:r>
        <w:rPr>
          <w:rFonts w:cs="Arial"/>
          <w:szCs w:val="24"/>
        </w:rPr>
        <w:t xml:space="preserve">npreparedness </w:t>
      </w:r>
      <w:r w:rsidR="00BD5566">
        <w:rPr>
          <w:rFonts w:cs="Arial"/>
          <w:szCs w:val="24"/>
        </w:rPr>
        <w:t xml:space="preserve">(in &gt; 10%) </w:t>
      </w:r>
      <w:r>
        <w:rPr>
          <w:rFonts w:cs="Arial"/>
          <w:szCs w:val="24"/>
        </w:rPr>
        <w:t xml:space="preserve">mostly </w:t>
      </w:r>
      <w:r w:rsidR="004872E3">
        <w:rPr>
          <w:rFonts w:cs="Arial"/>
          <w:szCs w:val="24"/>
        </w:rPr>
        <w:t>concerned</w:t>
      </w:r>
      <w:r>
        <w:rPr>
          <w:rFonts w:cs="Arial"/>
          <w:szCs w:val="24"/>
        </w:rPr>
        <w:t xml:space="preserve"> clinical procedures, communication skills and prescribing. Up to 30% of respondents reported not having had opportunities to prescribe or </w:t>
      </w:r>
      <w:r w:rsidR="004E396C">
        <w:rPr>
          <w:rFonts w:cs="Arial"/>
          <w:szCs w:val="24"/>
        </w:rPr>
        <w:t>manage acutely unwell patients, others gaining less than three hands</w:t>
      </w:r>
      <w:r w:rsidR="00720039">
        <w:rPr>
          <w:rFonts w:cs="Arial"/>
          <w:szCs w:val="24"/>
        </w:rPr>
        <w:t>-</w:t>
      </w:r>
      <w:r w:rsidR="004E396C">
        <w:rPr>
          <w:rFonts w:cs="Arial"/>
          <w:szCs w:val="24"/>
        </w:rPr>
        <w:t>on experiences</w:t>
      </w:r>
      <w:r w:rsidR="00BD5566">
        <w:rPr>
          <w:rFonts w:cs="Arial"/>
          <w:szCs w:val="24"/>
        </w:rPr>
        <w:t>,</w:t>
      </w:r>
      <w:r w:rsidR="00720039">
        <w:rPr>
          <w:rFonts w:cs="Arial"/>
          <w:szCs w:val="24"/>
        </w:rPr>
        <w:t xml:space="preserve"> and</w:t>
      </w:r>
      <w:r w:rsidR="00BD5566">
        <w:rPr>
          <w:rFonts w:cs="Arial"/>
          <w:szCs w:val="24"/>
        </w:rPr>
        <w:t xml:space="preserve"> 12% report</w:t>
      </w:r>
      <w:r w:rsidR="00720039">
        <w:rPr>
          <w:rFonts w:cs="Arial"/>
          <w:szCs w:val="24"/>
        </w:rPr>
        <w:t>ed</w:t>
      </w:r>
      <w:r w:rsidR="00BD5566">
        <w:rPr>
          <w:rFonts w:cs="Arial"/>
          <w:szCs w:val="24"/>
        </w:rPr>
        <w:t xml:space="preserve"> no experience</w:t>
      </w:r>
      <w:r w:rsidR="00720039">
        <w:rPr>
          <w:rFonts w:cs="Arial"/>
          <w:szCs w:val="24"/>
        </w:rPr>
        <w:t xml:space="preserve"> at all</w:t>
      </w:r>
      <w:r w:rsidR="00C41221">
        <w:rPr>
          <w:rFonts w:cs="Arial"/>
          <w:szCs w:val="24"/>
        </w:rPr>
        <w:t xml:space="preserve">.  Seventy </w:t>
      </w:r>
      <w:r w:rsidR="00693688">
        <w:rPr>
          <w:rFonts w:cs="Arial"/>
          <w:szCs w:val="24"/>
        </w:rPr>
        <w:t>per cent</w:t>
      </w:r>
      <w:r w:rsidR="004E396C">
        <w:rPr>
          <w:rFonts w:cs="Arial"/>
          <w:szCs w:val="24"/>
        </w:rPr>
        <w:t xml:space="preserve"> of respondents </w:t>
      </w:r>
      <w:r w:rsidR="00822838">
        <w:rPr>
          <w:rFonts w:cs="Arial"/>
          <w:szCs w:val="24"/>
        </w:rPr>
        <w:t xml:space="preserve">had </w:t>
      </w:r>
      <w:r w:rsidR="004E396C">
        <w:rPr>
          <w:rFonts w:cs="Arial"/>
          <w:szCs w:val="24"/>
        </w:rPr>
        <w:t>three o</w:t>
      </w:r>
      <w:r w:rsidR="00720039">
        <w:rPr>
          <w:rFonts w:cs="Arial"/>
          <w:szCs w:val="24"/>
        </w:rPr>
        <w:t>r</w:t>
      </w:r>
      <w:r w:rsidR="004E396C">
        <w:rPr>
          <w:rFonts w:cs="Arial"/>
          <w:szCs w:val="24"/>
        </w:rPr>
        <w:t xml:space="preserve"> more simulation sessions related to acute care patient management suggesting that </w:t>
      </w:r>
      <w:r w:rsidR="00137253">
        <w:rPr>
          <w:rFonts w:cs="Arial"/>
          <w:szCs w:val="24"/>
        </w:rPr>
        <w:t>simulation</w:t>
      </w:r>
      <w:r w:rsidR="004E396C">
        <w:rPr>
          <w:rFonts w:cs="Arial"/>
          <w:szCs w:val="24"/>
        </w:rPr>
        <w:t xml:space="preserve"> is accessible in this region. There was a ‘significant difference in preparedness when considered against number of hands</w:t>
      </w:r>
      <w:r w:rsidR="00720039">
        <w:rPr>
          <w:rFonts w:cs="Arial"/>
          <w:szCs w:val="24"/>
        </w:rPr>
        <w:t>-</w:t>
      </w:r>
      <w:r w:rsidR="004E396C">
        <w:rPr>
          <w:rFonts w:cs="Arial"/>
          <w:szCs w:val="24"/>
        </w:rPr>
        <w:t xml:space="preserve">on experiences of acute care’, however this needed to be above at least three to make a difference. </w:t>
      </w:r>
      <w:r w:rsidR="00822838">
        <w:rPr>
          <w:rFonts w:cs="Arial"/>
          <w:szCs w:val="24"/>
        </w:rPr>
        <w:t xml:space="preserve"> </w:t>
      </w:r>
      <w:r w:rsidR="004E396C">
        <w:rPr>
          <w:rFonts w:cs="Arial"/>
          <w:szCs w:val="24"/>
        </w:rPr>
        <w:t>In terms of simulation, the overall effect on preparedness was reported as significant but only when respondents had experienced ‘at least five simulation sessions’. Real-life experience was a ‘significant predictor of preparedness’ with a greater influence than simulation</w:t>
      </w:r>
      <w:r w:rsidR="00C41221">
        <w:rPr>
          <w:rFonts w:cs="Arial"/>
          <w:szCs w:val="24"/>
        </w:rPr>
        <w:t xml:space="preserve"> </w:t>
      </w:r>
      <w:r w:rsidR="00C41221">
        <w:rPr>
          <w:rFonts w:cs="Arial"/>
          <w:szCs w:val="24"/>
        </w:rPr>
        <w:fldChar w:fldCharType="begin"/>
      </w:r>
      <w:r w:rsidR="00C41221">
        <w:rPr>
          <w:rFonts w:cs="Arial"/>
          <w:szCs w:val="24"/>
        </w:rPr>
        <w:instrText xml:space="preserve"> ADDIN EN.CITE &lt;EndNote&gt;&lt;Cite&gt;&lt;Author&gt;Burford&lt;/Author&gt;&lt;Year&gt;2014&lt;/Year&gt;&lt;IDText&gt;The relationship between medical student learning opportunities and preparedness for practice: a questionnaire study&lt;/IDText&gt;&lt;DisplayText&gt;(Burford et al., 2014)&lt;/DisplayText&gt;&lt;record&gt;&lt;keywords&gt;&lt;keyword&gt;Adult&lt;/keyword&gt;&lt;keyword&gt;Attitude of Health Personnel&lt;/keyword&gt;&lt;keyword&gt;Clinical Competence&lt;/keyword&gt;&lt;keyword&gt;Cohort Studies&lt;/keyword&gt;&lt;keyword&gt;Curriculum&lt;/keyword&gt;&lt;keyword&gt;Education, Medical, Undergraduate&lt;/keyword&gt;&lt;keyword&gt;Female&lt;/keyword&gt;&lt;keyword&gt;Great Britain&lt;/keyword&gt;&lt;keyword&gt;Humans&lt;/keyword&gt;&lt;keyword&gt;Male&lt;/keyword&gt;&lt;keyword&gt;Manikins&lt;/keyword&gt;&lt;keyword&gt;Mentors&lt;/keyword&gt;&lt;keyword&gt;Patient Simulation&lt;/keyword&gt;&lt;keyword&gt;Preceptorship&lt;/keyword&gt;&lt;keyword&gt;Surveys and Questionnaires&lt;/keyword&gt;&lt;keyword&gt;Young Adult&lt;/keyword&gt;&lt;/keywords&gt;&lt;urls&gt;&lt;related-urls&gt;&lt;url&gt;http://www.ncbi.nlm.nih.gov/pubmed/25331443&lt;/url&gt;&lt;/related-urls&gt;&lt;/urls&gt;&lt;isbn&gt;1472-6920&lt;/isbn&gt;&lt;custom2&gt;PMC4288662&lt;/custom2&gt;&lt;titles&gt;&lt;title&gt;The relationship between medical student learning opportunities and preparedness for practice: a questionnaire study&lt;/title&gt;&lt;secondary-title&gt;BMC Med Educ&lt;/secondary-title&gt;&lt;/titles&gt;&lt;pages&gt;223&lt;/pages&gt;&lt;contributors&gt;&lt;authors&gt;&lt;author&gt;Burford, B.&lt;/author&gt;&lt;author&gt;Whittle, V.&lt;/author&gt;&lt;author&gt;Vance, G. H.&lt;/author&gt;&lt;/authors&gt;&lt;/contributors&gt;&lt;language&gt;eng&lt;/language&gt;&lt;added-date format="utc"&gt;1455787541&lt;/added-date&gt;&lt;ref-type name="Journal Article"&gt;17&lt;/ref-type&gt;&lt;dates&gt;&lt;year&gt;2014&lt;/year&gt;&lt;/dates&gt;&lt;rec-number&gt;175&lt;/rec-number&gt;&lt;last-updated-date format="utc"&gt;1455787541&lt;/last-updated-date&gt;&lt;accession-num&gt;25331443&lt;/accession-num&gt;&lt;electronic-resource-num&gt;10.1186/1472-6920-14-223&lt;/electronic-resource-num&gt;&lt;volume&gt;14&lt;/volume&gt;&lt;/record&gt;&lt;/Cite&gt;&lt;/EndNote&gt;</w:instrText>
      </w:r>
      <w:r w:rsidR="00C41221">
        <w:rPr>
          <w:rFonts w:cs="Arial"/>
          <w:szCs w:val="24"/>
        </w:rPr>
        <w:fldChar w:fldCharType="separate"/>
      </w:r>
      <w:r w:rsidR="00C41221">
        <w:rPr>
          <w:rFonts w:cs="Arial"/>
          <w:noProof/>
          <w:szCs w:val="24"/>
        </w:rPr>
        <w:t>(Burford et al., 2014)</w:t>
      </w:r>
      <w:r w:rsidR="00C41221">
        <w:rPr>
          <w:rFonts w:cs="Arial"/>
          <w:szCs w:val="24"/>
        </w:rPr>
        <w:fldChar w:fldCharType="end"/>
      </w:r>
      <w:r w:rsidR="004E396C">
        <w:rPr>
          <w:rFonts w:cs="Arial"/>
          <w:szCs w:val="24"/>
        </w:rPr>
        <w:t xml:space="preserve">. </w:t>
      </w:r>
      <w:r w:rsidR="00C83A81">
        <w:rPr>
          <w:rFonts w:cs="Arial"/>
          <w:szCs w:val="24"/>
        </w:rPr>
        <w:t>In this study</w:t>
      </w:r>
      <w:r w:rsidR="00720039">
        <w:rPr>
          <w:rFonts w:cs="Arial"/>
          <w:szCs w:val="24"/>
        </w:rPr>
        <w:t>,</w:t>
      </w:r>
      <w:r w:rsidR="00C83A81">
        <w:rPr>
          <w:rFonts w:cs="Arial"/>
          <w:szCs w:val="24"/>
        </w:rPr>
        <w:t xml:space="preserve"> respondents were asked just as they were starting as FY1. There are complexities that will have influenced their r</w:t>
      </w:r>
      <w:r w:rsidR="003B27C3">
        <w:rPr>
          <w:rFonts w:cs="Arial"/>
          <w:szCs w:val="24"/>
        </w:rPr>
        <w:t>esponses in terms of anxiety,</w:t>
      </w:r>
      <w:r w:rsidR="00C83A81">
        <w:rPr>
          <w:rFonts w:cs="Arial"/>
          <w:szCs w:val="24"/>
        </w:rPr>
        <w:t xml:space="preserve"> confidence and </w:t>
      </w:r>
      <w:r w:rsidR="003B27C3">
        <w:rPr>
          <w:rFonts w:cs="Arial"/>
          <w:szCs w:val="24"/>
        </w:rPr>
        <w:t>experiences, in the workplace, individual and at home</w:t>
      </w:r>
      <w:r w:rsidR="00C83A81">
        <w:rPr>
          <w:rFonts w:cs="Arial"/>
          <w:szCs w:val="24"/>
        </w:rPr>
        <w:t xml:space="preserve">. </w:t>
      </w:r>
    </w:p>
    <w:p w14:paraId="396D8C3C" w14:textId="2D89F8B8" w:rsidR="00E60DD1" w:rsidRDefault="00E60DD1" w:rsidP="001F3E2D">
      <w:pPr>
        <w:rPr>
          <w:rFonts w:cs="Arial"/>
          <w:szCs w:val="24"/>
        </w:rPr>
      </w:pPr>
      <w:proofErr w:type="spellStart"/>
      <w:r>
        <w:rPr>
          <w:rFonts w:cs="Arial"/>
          <w:szCs w:val="24"/>
        </w:rPr>
        <w:t>Kassim</w:t>
      </w:r>
      <w:proofErr w:type="spellEnd"/>
      <w:r>
        <w:rPr>
          <w:rFonts w:cs="Arial"/>
          <w:szCs w:val="24"/>
        </w:rPr>
        <w:t xml:space="preserve"> et al. </w:t>
      </w:r>
      <w:r w:rsidR="003B27C3">
        <w:rPr>
          <w:rFonts w:cs="Arial"/>
          <w:szCs w:val="24"/>
        </w:rPr>
        <w:t xml:space="preserve">(2016) </w:t>
      </w:r>
      <w:r>
        <w:rPr>
          <w:rFonts w:cs="Arial"/>
          <w:szCs w:val="24"/>
        </w:rPr>
        <w:t xml:space="preserve">report on a cross–sectional study of retrospective preparedness following graduation from two transnational medical schools. </w:t>
      </w:r>
      <w:r w:rsidR="00720039">
        <w:rPr>
          <w:rFonts w:cs="Arial"/>
          <w:szCs w:val="24"/>
        </w:rPr>
        <w:t xml:space="preserve">A </w:t>
      </w:r>
      <w:r w:rsidR="005336B9">
        <w:rPr>
          <w:rFonts w:cs="Arial"/>
          <w:szCs w:val="24"/>
        </w:rPr>
        <w:t>‘Preparedness</w:t>
      </w:r>
      <w:r>
        <w:rPr>
          <w:rFonts w:cs="Arial"/>
          <w:szCs w:val="24"/>
        </w:rPr>
        <w:t xml:space="preserve"> for hospital practice questionnaire</w:t>
      </w:r>
      <w:r w:rsidR="004A1FD6">
        <w:rPr>
          <w:rFonts w:cs="Arial"/>
          <w:szCs w:val="24"/>
        </w:rPr>
        <w:t>’</w:t>
      </w:r>
      <w:r>
        <w:rPr>
          <w:rFonts w:cs="Arial"/>
          <w:szCs w:val="24"/>
        </w:rPr>
        <w:t xml:space="preserve"> (PHP</w:t>
      </w:r>
      <w:r w:rsidR="004145C9">
        <w:rPr>
          <w:rFonts w:cs="Arial"/>
          <w:szCs w:val="24"/>
        </w:rPr>
        <w:t xml:space="preserve">Q) was used. There was a </w:t>
      </w:r>
      <w:r w:rsidR="00425F1D">
        <w:rPr>
          <w:rFonts w:cs="Arial"/>
          <w:szCs w:val="24"/>
        </w:rPr>
        <w:t xml:space="preserve">43% </w:t>
      </w:r>
      <w:r>
        <w:rPr>
          <w:rFonts w:cs="Arial"/>
          <w:szCs w:val="24"/>
        </w:rPr>
        <w:t>response rate</w:t>
      </w:r>
      <w:r w:rsidR="003A7D42">
        <w:rPr>
          <w:rFonts w:cs="Arial"/>
          <w:szCs w:val="24"/>
        </w:rPr>
        <w:t>,</w:t>
      </w:r>
      <w:r>
        <w:rPr>
          <w:rFonts w:cs="Arial"/>
          <w:szCs w:val="24"/>
        </w:rPr>
        <w:t xml:space="preserve"> and </w:t>
      </w:r>
      <w:r w:rsidR="00425F1D">
        <w:rPr>
          <w:rFonts w:cs="Arial"/>
          <w:szCs w:val="24"/>
        </w:rPr>
        <w:t xml:space="preserve">4% </w:t>
      </w:r>
      <w:r>
        <w:rPr>
          <w:rFonts w:cs="Arial"/>
          <w:szCs w:val="24"/>
        </w:rPr>
        <w:t>had not started their junior doctor jobs. They concluded that perceived preparedness for hospital practice was strongly associated with early career preparation and medical school career guidance</w:t>
      </w:r>
      <w:r w:rsidR="00AE62D6">
        <w:rPr>
          <w:rFonts w:cs="Arial"/>
          <w:szCs w:val="24"/>
        </w:rPr>
        <w:t xml:space="preserve"> </w:t>
      </w:r>
      <w:r w:rsidR="00AE62D6">
        <w:rPr>
          <w:rFonts w:cs="Arial"/>
          <w:szCs w:val="24"/>
        </w:rPr>
        <w:fldChar w:fldCharType="begin"/>
      </w:r>
      <w:r w:rsidR="00AE62D6">
        <w:rPr>
          <w:rFonts w:cs="Arial"/>
          <w:szCs w:val="24"/>
        </w:rPr>
        <w:instrText xml:space="preserve"> ADDIN EN.CITE &lt;EndNote&gt;&lt;Cite&gt;&lt;Author&gt;Kassim&lt;/Author&gt;&lt;Year&gt;2016&lt;/Year&gt;&lt;IDText&gt;Prepared to practice? Perception of career preparation and guidance of recent medical graduates at two campuses of a transnational medical school: a cross-sectional study&lt;/IDText&gt;&lt;DisplayText&gt;(Kassim et al., 2016)&lt;/DisplayText&gt;&lt;record&gt;&lt;urls&gt;&lt;related-urls&gt;&lt;url&gt;http://www.ncbi.nlm.nih.gov/pubmed/26862014&lt;/url&gt;&lt;/related-urls&gt;&lt;/urls&gt;&lt;isbn&gt;1472-6920&lt;/isbn&gt;&lt;custom2&gt;PMC4748589&lt;/custom2&gt;&lt;titles&gt;&lt;title&gt;Prepared to practice? Perception of career preparation and guidance of recent medical graduates at two campuses of a transnational medical school: a cross-sectional study&lt;/title&gt;&lt;secondary-title&gt;BMC Med Educ&lt;/secondary-title&gt;&lt;/titles&gt;&lt;pages&gt;56&lt;/pages&gt;&lt;number&gt;1&lt;/number&gt;&lt;contributors&gt;&lt;authors&gt;&lt;author&gt;Kassim, S. S.&lt;/author&gt;&lt;author&gt;McGowan, Y.&lt;/author&gt;&lt;author&gt;McGee, H.&lt;/author&gt;&lt;author&gt;Whitford, D. L.&lt;/author&gt;&lt;/authors&gt;&lt;/contributors&gt;&lt;language&gt;eng&lt;/language&gt;&lt;added-date format="utc"&gt;1457003990&lt;/added-date&gt;&lt;ref-type name="Journal Article"&gt;17&lt;/ref-type&gt;&lt;dates&gt;&lt;year&gt;2016&lt;/year&gt;&lt;/dates&gt;&lt;rec-number&gt;206&lt;/rec-number&gt;&lt;last-updated-date format="utc"&gt;1457003990&lt;/last-updated-date&gt;&lt;accession-num&gt;26862014&lt;/accession-num&gt;&lt;electronic-resource-num&gt;10.1186/s12909-016-0584-6&lt;/electronic-resource-num&gt;&lt;volume&gt;16&lt;/volume&gt;&lt;/record&gt;&lt;/Cite&gt;&lt;/EndNote&gt;</w:instrText>
      </w:r>
      <w:r w:rsidR="00AE62D6">
        <w:rPr>
          <w:rFonts w:cs="Arial"/>
          <w:szCs w:val="24"/>
        </w:rPr>
        <w:fldChar w:fldCharType="separate"/>
      </w:r>
      <w:r w:rsidR="00AE62D6">
        <w:rPr>
          <w:rFonts w:cs="Arial"/>
          <w:noProof/>
          <w:szCs w:val="24"/>
        </w:rPr>
        <w:t>(Kassim et al., 2016)</w:t>
      </w:r>
      <w:r w:rsidR="00AE62D6">
        <w:rPr>
          <w:rFonts w:cs="Arial"/>
          <w:szCs w:val="24"/>
        </w:rPr>
        <w:fldChar w:fldCharType="end"/>
      </w:r>
      <w:r>
        <w:rPr>
          <w:rFonts w:cs="Arial"/>
          <w:szCs w:val="24"/>
        </w:rPr>
        <w:t xml:space="preserve">. </w:t>
      </w:r>
      <w:r w:rsidR="00C27124">
        <w:rPr>
          <w:rFonts w:cs="Arial"/>
          <w:szCs w:val="24"/>
        </w:rPr>
        <w:t xml:space="preserve">These </w:t>
      </w:r>
      <w:r>
        <w:rPr>
          <w:rFonts w:cs="Arial"/>
          <w:szCs w:val="24"/>
        </w:rPr>
        <w:t xml:space="preserve">data were at risk of recall bias, </w:t>
      </w:r>
      <w:r w:rsidR="00C27124">
        <w:rPr>
          <w:rFonts w:cs="Arial"/>
          <w:szCs w:val="24"/>
        </w:rPr>
        <w:t>with a</w:t>
      </w:r>
      <w:r>
        <w:rPr>
          <w:rFonts w:cs="Arial"/>
          <w:szCs w:val="24"/>
        </w:rPr>
        <w:t xml:space="preserve"> small number of responses and var</w:t>
      </w:r>
      <w:r w:rsidR="00C27124">
        <w:rPr>
          <w:rFonts w:cs="Arial"/>
          <w:szCs w:val="24"/>
        </w:rPr>
        <w:t>iation</w:t>
      </w:r>
      <w:r>
        <w:rPr>
          <w:rFonts w:cs="Arial"/>
          <w:szCs w:val="24"/>
        </w:rPr>
        <w:t xml:space="preserve"> in time in terms of reporting. This is </w:t>
      </w:r>
      <w:r>
        <w:rPr>
          <w:rFonts w:cs="Arial"/>
          <w:szCs w:val="24"/>
        </w:rPr>
        <w:lastRenderedPageBreak/>
        <w:t>challenging to interpret and without qualitative exploration of perceptions it is difficu</w:t>
      </w:r>
      <w:r w:rsidR="00231BA8">
        <w:rPr>
          <w:rFonts w:cs="Arial"/>
          <w:szCs w:val="24"/>
        </w:rPr>
        <w:t xml:space="preserve">lt to understand. </w:t>
      </w:r>
      <w:r w:rsidR="00AE62D6">
        <w:rPr>
          <w:rFonts w:cs="Arial"/>
          <w:szCs w:val="24"/>
        </w:rPr>
        <w:t>This study does highlight the importance of c</w:t>
      </w:r>
      <w:r w:rsidR="003B27C3">
        <w:rPr>
          <w:rFonts w:cs="Arial"/>
          <w:szCs w:val="24"/>
        </w:rPr>
        <w:t>areer guidance as they found</w:t>
      </w:r>
      <w:r w:rsidR="00AE62D6">
        <w:rPr>
          <w:rFonts w:cs="Arial"/>
          <w:szCs w:val="24"/>
        </w:rPr>
        <w:t xml:space="preserve"> that ‘inadequate career preparation is a key stressor for medical students’ </w:t>
      </w:r>
      <w:r w:rsidR="00AE62D6">
        <w:rPr>
          <w:rFonts w:cs="Arial"/>
          <w:szCs w:val="24"/>
        </w:rPr>
        <w:fldChar w:fldCharType="begin"/>
      </w:r>
      <w:r w:rsidR="00AE62D6">
        <w:rPr>
          <w:rFonts w:cs="Arial"/>
          <w:szCs w:val="24"/>
        </w:rPr>
        <w:instrText xml:space="preserve"> ADDIN EN.CITE &lt;EndNote&gt;&lt;Cite&gt;&lt;Author&gt;Kassim&lt;/Author&gt;&lt;Year&gt;2016&lt;/Year&gt;&lt;IDText&gt;Prepared to practice? Perception of career preparation and guidance of recent medical graduates at two campuses of a transnational medical school: a cross-sectional study&lt;/IDText&gt;&lt;DisplayText&gt;(Kassim et al., 2016)&lt;/DisplayText&gt;&lt;record&gt;&lt;urls&gt;&lt;related-urls&gt;&lt;url&gt;http://www.ncbi.nlm.nih.gov/pubmed/26862014&lt;/url&gt;&lt;/related-urls&gt;&lt;/urls&gt;&lt;isbn&gt;1472-6920&lt;/isbn&gt;&lt;custom2&gt;PMC4748589&lt;/custom2&gt;&lt;titles&gt;&lt;title&gt;Prepared to practice? Perception of career preparation and guidance of recent medical graduates at two campuses of a transnational medical school: a cross-sectional study&lt;/title&gt;&lt;secondary-title&gt;BMC Med Educ&lt;/secondary-title&gt;&lt;/titles&gt;&lt;pages&gt;56&lt;/pages&gt;&lt;number&gt;1&lt;/number&gt;&lt;contributors&gt;&lt;authors&gt;&lt;author&gt;Kassim, S. S.&lt;/author&gt;&lt;author&gt;McGowan, Y.&lt;/author&gt;&lt;author&gt;McGee, H.&lt;/author&gt;&lt;author&gt;Whitford, D. L.&lt;/author&gt;&lt;/authors&gt;&lt;/contributors&gt;&lt;language&gt;eng&lt;/language&gt;&lt;added-date format="utc"&gt;1457003990&lt;/added-date&gt;&lt;ref-type name="Journal Article"&gt;17&lt;/ref-type&gt;&lt;dates&gt;&lt;year&gt;2016&lt;/year&gt;&lt;/dates&gt;&lt;rec-number&gt;206&lt;/rec-number&gt;&lt;last-updated-date format="utc"&gt;1457003990&lt;/last-updated-date&gt;&lt;accession-num&gt;26862014&lt;/accession-num&gt;&lt;electronic-resource-num&gt;10.1186/s12909-016-0584-6&lt;/electronic-resource-num&gt;&lt;volume&gt;16&lt;/volume&gt;&lt;/record&gt;&lt;/Cite&gt;&lt;/EndNote&gt;</w:instrText>
      </w:r>
      <w:r w:rsidR="00AE62D6">
        <w:rPr>
          <w:rFonts w:cs="Arial"/>
          <w:szCs w:val="24"/>
        </w:rPr>
        <w:fldChar w:fldCharType="separate"/>
      </w:r>
      <w:r w:rsidR="00AE62D6">
        <w:rPr>
          <w:rFonts w:cs="Arial"/>
          <w:noProof/>
          <w:szCs w:val="24"/>
        </w:rPr>
        <w:t>(Kassim et al., 2016)</w:t>
      </w:r>
      <w:r w:rsidR="00AE62D6">
        <w:rPr>
          <w:rFonts w:cs="Arial"/>
          <w:szCs w:val="24"/>
        </w:rPr>
        <w:fldChar w:fldCharType="end"/>
      </w:r>
      <w:r w:rsidR="00AE62D6">
        <w:rPr>
          <w:rFonts w:cs="Arial"/>
          <w:szCs w:val="24"/>
        </w:rPr>
        <w:t>.</w:t>
      </w:r>
    </w:p>
    <w:p w14:paraId="0C2E83A1" w14:textId="134C81CF" w:rsidR="00F33675" w:rsidRDefault="00A0708C" w:rsidP="001F3E2D">
      <w:pPr>
        <w:rPr>
          <w:rFonts w:cs="Arial"/>
          <w:szCs w:val="24"/>
        </w:rPr>
      </w:pPr>
      <w:r>
        <w:rPr>
          <w:rFonts w:cs="Arial"/>
          <w:szCs w:val="24"/>
        </w:rPr>
        <w:t>When exploring preparedness for practice amongst new FY1</w:t>
      </w:r>
      <w:r w:rsidR="00720039">
        <w:rPr>
          <w:rFonts w:cs="Arial"/>
          <w:szCs w:val="24"/>
        </w:rPr>
        <w:t>,</w:t>
      </w:r>
      <w:r>
        <w:rPr>
          <w:rFonts w:cs="Arial"/>
          <w:szCs w:val="24"/>
        </w:rPr>
        <w:t xml:space="preserve"> Tallentire et al. </w:t>
      </w:r>
      <w:r w:rsidR="003B27C3">
        <w:rPr>
          <w:rFonts w:cs="Arial"/>
          <w:szCs w:val="24"/>
        </w:rPr>
        <w:t xml:space="preserve">(2011c) </w:t>
      </w:r>
      <w:r>
        <w:rPr>
          <w:rFonts w:cs="Arial"/>
          <w:szCs w:val="24"/>
        </w:rPr>
        <w:t>completed a qualitative study of subjective new graduate views and objective educational supervisor views</w:t>
      </w:r>
      <w:r w:rsidR="00720039">
        <w:rPr>
          <w:rFonts w:cs="Arial"/>
          <w:szCs w:val="24"/>
        </w:rPr>
        <w:t>,</w:t>
      </w:r>
      <w:r>
        <w:rPr>
          <w:rFonts w:cs="Arial"/>
          <w:szCs w:val="24"/>
        </w:rPr>
        <w:t xml:space="preserve"> and compared outcomes. The research used an electronic questionnaire sent to all Edinburgh </w:t>
      </w:r>
      <w:r w:rsidR="00720039">
        <w:rPr>
          <w:rFonts w:cs="Arial"/>
          <w:szCs w:val="24"/>
        </w:rPr>
        <w:t xml:space="preserve">Medical School </w:t>
      </w:r>
      <w:r>
        <w:rPr>
          <w:rFonts w:cs="Arial"/>
          <w:szCs w:val="24"/>
        </w:rPr>
        <w:t xml:space="preserve">graduates </w:t>
      </w:r>
      <w:r w:rsidR="00824590">
        <w:rPr>
          <w:rFonts w:cs="Arial"/>
          <w:szCs w:val="24"/>
        </w:rPr>
        <w:t xml:space="preserve">with </w:t>
      </w:r>
      <w:r>
        <w:rPr>
          <w:rFonts w:cs="Arial"/>
          <w:szCs w:val="24"/>
        </w:rPr>
        <w:t>FY1</w:t>
      </w:r>
      <w:r w:rsidR="00824590">
        <w:rPr>
          <w:rFonts w:cs="Arial"/>
          <w:szCs w:val="24"/>
        </w:rPr>
        <w:t xml:space="preserve"> jobs</w:t>
      </w:r>
      <w:r>
        <w:rPr>
          <w:rFonts w:cs="Arial"/>
          <w:szCs w:val="24"/>
        </w:rPr>
        <w:t xml:space="preserve"> in Scotland in 2009 and was </w:t>
      </w:r>
      <w:r w:rsidR="00824590">
        <w:rPr>
          <w:rFonts w:cs="Arial"/>
          <w:szCs w:val="24"/>
        </w:rPr>
        <w:t>curriculum</w:t>
      </w:r>
      <w:r w:rsidR="00720039">
        <w:rPr>
          <w:rFonts w:cs="Arial"/>
          <w:szCs w:val="24"/>
        </w:rPr>
        <w:t>-</w:t>
      </w:r>
      <w:r>
        <w:rPr>
          <w:rFonts w:cs="Arial"/>
          <w:szCs w:val="24"/>
        </w:rPr>
        <w:t>mappe</w:t>
      </w:r>
      <w:r w:rsidR="00824590">
        <w:rPr>
          <w:rFonts w:cs="Arial"/>
          <w:szCs w:val="24"/>
        </w:rPr>
        <w:t>d</w:t>
      </w:r>
      <w:r w:rsidR="00BA2FA5">
        <w:rPr>
          <w:rFonts w:cs="Arial"/>
          <w:szCs w:val="24"/>
        </w:rPr>
        <w:t xml:space="preserve"> </w:t>
      </w:r>
      <w:r w:rsidR="00BA2FA5">
        <w:rPr>
          <w:rFonts w:cs="Arial"/>
          <w:szCs w:val="24"/>
        </w:rPr>
        <w:fldChar w:fldCharType="begin"/>
      </w:r>
      <w:r w:rsidR="00BA2FA5">
        <w:rPr>
          <w:rFonts w:cs="Arial"/>
          <w:szCs w:val="24"/>
        </w:rPr>
        <w:instrText xml:space="preserve"> ADDIN EN.CITE &lt;EndNote&gt;&lt;Cite&gt;&lt;Author&gt;Tallentire&lt;/Author&gt;&lt;Year&gt;2011&lt;/Year&gt;&lt;IDText&gt;Are medical graduates ready to face the challenges of Foundation training?&lt;/IDText&gt;&lt;DisplayText&gt;(Tallentire et al., 2011c)&lt;/DisplayText&gt;&lt;record&gt;&lt;dates&gt;&lt;pub-dates&gt;&lt;date&gt;Sep&lt;/date&gt;&lt;/pub-dates&gt;&lt;year&gt;2011&lt;/year&gt;&lt;/dates&gt;&lt;keywords&gt;&lt;keyword&gt;Attitude of Health Personnel&lt;/keyword&gt;&lt;keyword&gt;Clinical Competence&lt;/keyword&gt;&lt;keyword&gt;Curriculum&lt;/keyword&gt;&lt;keyword&gt;Decision Making&lt;/keyword&gt;&lt;keyword&gt;Education, Medical, Undergraduate&lt;/keyword&gt;&lt;keyword&gt;Educational Measurement&lt;/keyword&gt;&lt;keyword&gt;Health Priorities&lt;/keyword&gt;&lt;keyword&gt;Humans&lt;/keyword&gt;&lt;keyword&gt;Inappropriate Prescribing&lt;/keyword&gt;&lt;keyword&gt;Perception&lt;/keyword&gt;&lt;keyword&gt;Physicians&lt;/keyword&gt;&lt;keyword&gt;Students, Medical&lt;/keyword&gt;&lt;keyword&gt;Surveys and Questionnaires&lt;/keyword&gt;&lt;/keywords&gt;&lt;urls&gt;&lt;related-urls&gt;&lt;url&gt;http://www.ncbi.nlm.nih.gov/pubmed/21690255&lt;/url&gt;&lt;/related-urls&gt;&lt;/urls&gt;&lt;isbn&gt;1469-0756&lt;/isbn&gt;&lt;titles&gt;&lt;title&gt;Are medical graduates ready to face the challenges of Foundation training?&lt;/title&gt;&lt;secondary-title&gt;Postgrad Med J&lt;/secondary-title&gt;&lt;/titles&gt;&lt;pages&gt;590-5&lt;/pages&gt;&lt;number&gt;1031&lt;/number&gt;&lt;contributors&gt;&lt;authors&gt;&lt;author&gt;Tallentire, V. R.&lt;/author&gt;&lt;author&gt;Smith, S. E.&lt;/author&gt;&lt;author&gt;Wylde, K.&lt;/author&gt;&lt;author&gt;Cameron, H. S.&lt;/author&gt;&lt;/authors&gt;&lt;/contributors&gt;&lt;language&gt;eng&lt;/language&gt;&lt;added-date format="utc"&gt;1455618873&lt;/added-date&gt;&lt;ref-type name="Journal Article"&gt;17&lt;/ref-type&gt;&lt;rec-number&gt;165&lt;/rec-number&gt;&lt;last-updated-date format="utc"&gt;1455618873&lt;/last-updated-date&gt;&lt;accession-num&gt;21690255&lt;/accession-num&gt;&lt;electronic-resource-num&gt;10.1136/pgmj.2010.115659&lt;/electronic-resource-num&gt;&lt;volume&gt;87&lt;/volume&gt;&lt;/record&gt;&lt;/Cite&gt;&lt;/EndNote&gt;</w:instrText>
      </w:r>
      <w:r w:rsidR="00BA2FA5">
        <w:rPr>
          <w:rFonts w:cs="Arial"/>
          <w:szCs w:val="24"/>
        </w:rPr>
        <w:fldChar w:fldCharType="separate"/>
      </w:r>
      <w:r w:rsidR="00BA2FA5">
        <w:rPr>
          <w:rFonts w:cs="Arial"/>
          <w:noProof/>
          <w:szCs w:val="24"/>
        </w:rPr>
        <w:t>(Tallentire et al., 2011c)</w:t>
      </w:r>
      <w:r w:rsidR="00BA2FA5">
        <w:rPr>
          <w:rFonts w:cs="Arial"/>
          <w:szCs w:val="24"/>
        </w:rPr>
        <w:fldChar w:fldCharType="end"/>
      </w:r>
      <w:r>
        <w:rPr>
          <w:rFonts w:cs="Arial"/>
          <w:szCs w:val="24"/>
        </w:rPr>
        <w:t xml:space="preserve">. This represented 53% of the graduate cohort and was taken following six months of work as </w:t>
      </w:r>
      <w:r w:rsidR="00BC4377">
        <w:rPr>
          <w:rFonts w:cs="Arial"/>
          <w:szCs w:val="24"/>
        </w:rPr>
        <w:t>a FY1</w:t>
      </w:r>
      <w:r>
        <w:rPr>
          <w:rFonts w:cs="Arial"/>
          <w:szCs w:val="24"/>
        </w:rPr>
        <w:t xml:space="preserve">. The questionnaire was sent to all educational supervisors and repeated over </w:t>
      </w:r>
      <w:r w:rsidR="00720039">
        <w:rPr>
          <w:rFonts w:cs="Arial"/>
          <w:szCs w:val="24"/>
        </w:rPr>
        <w:t>two</w:t>
      </w:r>
      <w:r>
        <w:rPr>
          <w:rFonts w:cs="Arial"/>
          <w:szCs w:val="24"/>
        </w:rPr>
        <w:t xml:space="preserve"> </w:t>
      </w:r>
      <w:r w:rsidR="00F33675">
        <w:rPr>
          <w:rFonts w:cs="Arial"/>
          <w:szCs w:val="24"/>
        </w:rPr>
        <w:t xml:space="preserve">years. </w:t>
      </w:r>
      <w:r>
        <w:rPr>
          <w:rFonts w:cs="Arial"/>
          <w:szCs w:val="24"/>
        </w:rPr>
        <w:t>FY1s</w:t>
      </w:r>
      <w:r w:rsidR="00D74CAD">
        <w:rPr>
          <w:rFonts w:cs="Arial"/>
          <w:szCs w:val="24"/>
        </w:rPr>
        <w:t xml:space="preserve"> </w:t>
      </w:r>
      <w:r>
        <w:rPr>
          <w:rFonts w:cs="Arial"/>
          <w:szCs w:val="24"/>
        </w:rPr>
        <w:t>reported feeling most prepared for consultation skills and least prepared for prescribing. Educa</w:t>
      </w:r>
      <w:r w:rsidR="00F33675">
        <w:rPr>
          <w:rFonts w:cs="Arial"/>
          <w:szCs w:val="24"/>
        </w:rPr>
        <w:t xml:space="preserve">tional supervisors reported </w:t>
      </w:r>
      <w:r>
        <w:rPr>
          <w:rFonts w:cs="Arial"/>
          <w:szCs w:val="24"/>
        </w:rPr>
        <w:t>preparedness in us</w:t>
      </w:r>
      <w:r w:rsidR="00F33675">
        <w:rPr>
          <w:rFonts w:cs="Arial"/>
          <w:szCs w:val="24"/>
        </w:rPr>
        <w:t xml:space="preserve">e of </w:t>
      </w:r>
      <w:r w:rsidR="00720039">
        <w:rPr>
          <w:rFonts w:cs="Arial"/>
          <w:szCs w:val="24"/>
        </w:rPr>
        <w:t>I</w:t>
      </w:r>
      <w:r w:rsidR="00F33675">
        <w:rPr>
          <w:rFonts w:cs="Arial"/>
          <w:szCs w:val="24"/>
        </w:rPr>
        <w:t xml:space="preserve">nformation </w:t>
      </w:r>
      <w:r w:rsidR="00720039">
        <w:rPr>
          <w:rFonts w:cs="Arial"/>
          <w:szCs w:val="24"/>
        </w:rPr>
        <w:t>T</w:t>
      </w:r>
      <w:r w:rsidR="00F33675">
        <w:rPr>
          <w:rFonts w:cs="Arial"/>
          <w:szCs w:val="24"/>
        </w:rPr>
        <w:t>echnology and low preparedness for procedural practical tasks</w:t>
      </w:r>
      <w:r w:rsidR="00720039">
        <w:rPr>
          <w:rFonts w:cs="Arial"/>
          <w:szCs w:val="24"/>
        </w:rPr>
        <w:t>,</w:t>
      </w:r>
      <w:r w:rsidR="00F33675">
        <w:rPr>
          <w:rFonts w:cs="Arial"/>
          <w:szCs w:val="24"/>
        </w:rPr>
        <w:t xml:space="preserve"> with the lowest ‘unsatisfactory’ score related to provision of ‘immediate care for medical emergencies’</w:t>
      </w:r>
      <w:r w:rsidR="00720039">
        <w:rPr>
          <w:rFonts w:cs="Arial"/>
          <w:szCs w:val="24"/>
        </w:rPr>
        <w:t>. T</w:t>
      </w:r>
      <w:r w:rsidR="00F33675">
        <w:rPr>
          <w:rFonts w:cs="Arial"/>
          <w:szCs w:val="24"/>
        </w:rPr>
        <w:t xml:space="preserve">his is a potentially huge patient safety issue. </w:t>
      </w:r>
    </w:p>
    <w:p w14:paraId="7F573C1E" w14:textId="64031366" w:rsidR="00A0708C" w:rsidRDefault="00F33675" w:rsidP="001F3E2D">
      <w:pPr>
        <w:rPr>
          <w:rFonts w:cs="Arial"/>
          <w:szCs w:val="24"/>
        </w:rPr>
      </w:pPr>
      <w:r>
        <w:rPr>
          <w:rFonts w:cs="Arial"/>
          <w:szCs w:val="24"/>
        </w:rPr>
        <w:t>Free text from respondents w</w:t>
      </w:r>
      <w:r w:rsidR="00720039">
        <w:rPr>
          <w:rFonts w:cs="Arial"/>
          <w:szCs w:val="24"/>
        </w:rPr>
        <w:t>as</w:t>
      </w:r>
      <w:r>
        <w:rPr>
          <w:rFonts w:cs="Arial"/>
          <w:szCs w:val="24"/>
        </w:rPr>
        <w:t xml:space="preserve"> analysed thematically</w:t>
      </w:r>
      <w:r w:rsidR="00720039">
        <w:rPr>
          <w:rFonts w:cs="Arial"/>
          <w:szCs w:val="24"/>
        </w:rPr>
        <w:t>,</w:t>
      </w:r>
      <w:r>
        <w:rPr>
          <w:rFonts w:cs="Arial"/>
          <w:szCs w:val="24"/>
        </w:rPr>
        <w:t xml:space="preserve"> and when triangulated with educational supervisor views four main themes emerged</w:t>
      </w:r>
      <w:r w:rsidR="00720039">
        <w:rPr>
          <w:rFonts w:cs="Arial"/>
          <w:szCs w:val="24"/>
        </w:rPr>
        <w:t>:</w:t>
      </w:r>
      <w:r w:rsidR="0097071E">
        <w:rPr>
          <w:rFonts w:cs="Arial"/>
          <w:szCs w:val="24"/>
        </w:rPr>
        <w:t xml:space="preserve"> ‘knowledge’, ‘skills’, ‘personal attributes’ and ‘familiarity with ward environment’. </w:t>
      </w:r>
      <w:r>
        <w:rPr>
          <w:rFonts w:cs="Arial"/>
          <w:szCs w:val="24"/>
        </w:rPr>
        <w:t>‘</w:t>
      </w:r>
      <w:r w:rsidR="00D74CAD">
        <w:rPr>
          <w:rFonts w:cs="Arial"/>
          <w:szCs w:val="24"/>
        </w:rPr>
        <w:t>K</w:t>
      </w:r>
      <w:r>
        <w:rPr>
          <w:rFonts w:cs="Arial"/>
          <w:szCs w:val="24"/>
        </w:rPr>
        <w:t xml:space="preserve">nowledge’ </w:t>
      </w:r>
      <w:r w:rsidR="00720039">
        <w:rPr>
          <w:rFonts w:cs="Arial"/>
          <w:szCs w:val="24"/>
        </w:rPr>
        <w:t xml:space="preserve">encompassed </w:t>
      </w:r>
      <w:r>
        <w:rPr>
          <w:rFonts w:cs="Arial"/>
          <w:szCs w:val="24"/>
        </w:rPr>
        <w:t>poor pharmacology knowledge</w:t>
      </w:r>
      <w:r w:rsidR="0097071E">
        <w:rPr>
          <w:rFonts w:cs="Arial"/>
          <w:szCs w:val="24"/>
        </w:rPr>
        <w:t xml:space="preserve">, </w:t>
      </w:r>
      <w:r>
        <w:rPr>
          <w:rFonts w:cs="Arial"/>
          <w:szCs w:val="24"/>
        </w:rPr>
        <w:t>‘practical prescribing ability’</w:t>
      </w:r>
      <w:r w:rsidR="00D74CAD">
        <w:rPr>
          <w:rFonts w:cs="Arial"/>
          <w:szCs w:val="24"/>
        </w:rPr>
        <w:t>, poor</w:t>
      </w:r>
      <w:r>
        <w:rPr>
          <w:rFonts w:cs="Arial"/>
          <w:szCs w:val="24"/>
        </w:rPr>
        <w:t xml:space="preserve"> </w:t>
      </w:r>
      <w:r w:rsidR="00425F1D">
        <w:rPr>
          <w:rFonts w:cs="Arial"/>
          <w:szCs w:val="24"/>
        </w:rPr>
        <w:t>a</w:t>
      </w:r>
      <w:r>
        <w:rPr>
          <w:rFonts w:cs="Arial"/>
          <w:szCs w:val="24"/>
        </w:rPr>
        <w:t xml:space="preserve">natomy and physiology </w:t>
      </w:r>
      <w:r w:rsidR="00D74CAD">
        <w:rPr>
          <w:rFonts w:cs="Arial"/>
          <w:szCs w:val="24"/>
        </w:rPr>
        <w:t>knowledge</w:t>
      </w:r>
      <w:r w:rsidR="0097071E">
        <w:rPr>
          <w:rFonts w:cs="Arial"/>
          <w:szCs w:val="24"/>
        </w:rPr>
        <w:t>,</w:t>
      </w:r>
      <w:r w:rsidR="00D74CAD">
        <w:rPr>
          <w:rFonts w:cs="Arial"/>
          <w:szCs w:val="24"/>
        </w:rPr>
        <w:t xml:space="preserve"> and </w:t>
      </w:r>
      <w:r>
        <w:rPr>
          <w:rFonts w:cs="Arial"/>
          <w:szCs w:val="24"/>
        </w:rPr>
        <w:t>difficulty ‘translating knowledge into practice’</w:t>
      </w:r>
      <w:r w:rsidR="0094270B">
        <w:rPr>
          <w:rFonts w:cs="Arial"/>
          <w:szCs w:val="24"/>
        </w:rPr>
        <w:fldChar w:fldCharType="begin"/>
      </w:r>
      <w:r w:rsidR="0094270B">
        <w:rPr>
          <w:rFonts w:cs="Arial"/>
          <w:szCs w:val="24"/>
        </w:rPr>
        <w:instrText xml:space="preserve"> ADDIN EN.CITE &lt;EndNote&gt;&lt;Cite&gt;&lt;Author&gt;Tallentire&lt;/Author&gt;&lt;Year&gt;2011&lt;/Year&gt;&lt;IDText&gt;Are medical graduates ready to face the challenges of Foundation training?&lt;/IDText&gt;&lt;DisplayText&gt;(Tallentire et al., 2011c)&lt;/DisplayText&gt;&lt;record&gt;&lt;dates&gt;&lt;pub-dates&gt;&lt;date&gt;Sep&lt;/date&gt;&lt;/pub-dates&gt;&lt;year&gt;2011&lt;/year&gt;&lt;/dates&gt;&lt;keywords&gt;&lt;keyword&gt;Attitude of Health Personnel&lt;/keyword&gt;&lt;keyword&gt;Clinical Competence&lt;/keyword&gt;&lt;keyword&gt;Curriculum&lt;/keyword&gt;&lt;keyword&gt;Decision Making&lt;/keyword&gt;&lt;keyword&gt;Education, Medical, Undergraduate&lt;/keyword&gt;&lt;keyword&gt;Educational Measurement&lt;/keyword&gt;&lt;keyword&gt;Health Priorities&lt;/keyword&gt;&lt;keyword&gt;Humans&lt;/keyword&gt;&lt;keyword&gt;Inappropriate Prescribing&lt;/keyword&gt;&lt;keyword&gt;Perception&lt;/keyword&gt;&lt;keyword&gt;Physicians&lt;/keyword&gt;&lt;keyword&gt;Students, Medical&lt;/keyword&gt;&lt;keyword&gt;Surveys and Questionnaires&lt;/keyword&gt;&lt;/keywords&gt;&lt;urls&gt;&lt;related-urls&gt;&lt;url&gt;http://www.ncbi.nlm.nih.gov/pubmed/21690255&lt;/url&gt;&lt;/related-urls&gt;&lt;/urls&gt;&lt;isbn&gt;1469-0756&lt;/isbn&gt;&lt;titles&gt;&lt;title&gt;Are medical graduates ready to face the challenges of Foundation training?&lt;/title&gt;&lt;secondary-title&gt;Postgrad Med J&lt;/secondary-title&gt;&lt;/titles&gt;&lt;pages&gt;590-5&lt;/pages&gt;&lt;number&gt;1031&lt;/number&gt;&lt;contributors&gt;&lt;authors&gt;&lt;author&gt;Tallentire, V. R.&lt;/author&gt;&lt;author&gt;Smith, S. E.&lt;/author&gt;&lt;author&gt;Wylde, K.&lt;/author&gt;&lt;author&gt;Cameron, H. S.&lt;/author&gt;&lt;/authors&gt;&lt;/contributors&gt;&lt;language&gt;eng&lt;/language&gt;&lt;added-date format="utc"&gt;1455618873&lt;/added-date&gt;&lt;ref-type name="Journal Article"&gt;17&lt;/ref-type&gt;&lt;rec-number&gt;165&lt;/rec-number&gt;&lt;last-updated-date format="utc"&gt;1455618873&lt;/last-updated-date&gt;&lt;accession-num&gt;21690255&lt;/accession-num&gt;&lt;electronic-resource-num&gt;10.1136/pgmj.2010.115659&lt;/electronic-resource-num&gt;&lt;volume&gt;87&lt;/volume&gt;&lt;/record&gt;&lt;/Cite&gt;&lt;/EndNote&gt;</w:instrText>
      </w:r>
      <w:r w:rsidR="0094270B">
        <w:rPr>
          <w:rFonts w:cs="Arial"/>
          <w:szCs w:val="24"/>
        </w:rPr>
        <w:fldChar w:fldCharType="separate"/>
      </w:r>
      <w:r w:rsidR="0094270B">
        <w:rPr>
          <w:rFonts w:cs="Arial"/>
          <w:noProof/>
          <w:szCs w:val="24"/>
        </w:rPr>
        <w:t>(Tallentire et al., 2011c)</w:t>
      </w:r>
      <w:r w:rsidR="0094270B">
        <w:rPr>
          <w:rFonts w:cs="Arial"/>
          <w:szCs w:val="24"/>
        </w:rPr>
        <w:fldChar w:fldCharType="end"/>
      </w:r>
      <w:r>
        <w:rPr>
          <w:rFonts w:cs="Arial"/>
          <w:szCs w:val="24"/>
        </w:rPr>
        <w:t xml:space="preserve">. </w:t>
      </w:r>
      <w:r w:rsidR="00BA2FA5">
        <w:rPr>
          <w:rFonts w:cs="Arial"/>
          <w:szCs w:val="24"/>
        </w:rPr>
        <w:t>‘</w:t>
      </w:r>
      <w:r w:rsidR="00D74CAD">
        <w:rPr>
          <w:rFonts w:cs="Arial"/>
          <w:szCs w:val="24"/>
        </w:rPr>
        <w:t>S</w:t>
      </w:r>
      <w:r w:rsidR="00BA2FA5">
        <w:rPr>
          <w:rFonts w:cs="Arial"/>
          <w:szCs w:val="24"/>
        </w:rPr>
        <w:t xml:space="preserve">kills’ represented mostly clinical </w:t>
      </w:r>
      <w:r w:rsidR="001D42C9">
        <w:rPr>
          <w:rFonts w:cs="Arial"/>
          <w:szCs w:val="24"/>
        </w:rPr>
        <w:t>judgment</w:t>
      </w:r>
      <w:r w:rsidR="00BA2FA5">
        <w:rPr>
          <w:rFonts w:cs="Arial"/>
          <w:szCs w:val="24"/>
        </w:rPr>
        <w:t xml:space="preserve"> skills</w:t>
      </w:r>
      <w:r w:rsidR="00D74CAD">
        <w:rPr>
          <w:rFonts w:cs="Arial"/>
          <w:szCs w:val="24"/>
        </w:rPr>
        <w:t xml:space="preserve">, </w:t>
      </w:r>
      <w:r w:rsidR="00BA2FA5">
        <w:rPr>
          <w:rFonts w:cs="Arial"/>
          <w:szCs w:val="24"/>
        </w:rPr>
        <w:t>particular</w:t>
      </w:r>
      <w:r w:rsidR="00D74CAD">
        <w:rPr>
          <w:rFonts w:cs="Arial"/>
          <w:szCs w:val="24"/>
        </w:rPr>
        <w:t>ly</w:t>
      </w:r>
      <w:r w:rsidR="00BA2FA5">
        <w:rPr>
          <w:rFonts w:cs="Arial"/>
          <w:szCs w:val="24"/>
        </w:rPr>
        <w:t xml:space="preserve"> </w:t>
      </w:r>
      <w:r w:rsidR="0094270B">
        <w:rPr>
          <w:rFonts w:cs="Arial"/>
          <w:szCs w:val="24"/>
        </w:rPr>
        <w:t>‘</w:t>
      </w:r>
      <w:r w:rsidR="00BA2FA5">
        <w:rPr>
          <w:rFonts w:cs="Arial"/>
          <w:szCs w:val="24"/>
        </w:rPr>
        <w:t>identification and management of acutely unwell patients’</w:t>
      </w:r>
      <w:r w:rsidR="00D74CAD">
        <w:rPr>
          <w:rFonts w:cs="Arial"/>
          <w:szCs w:val="24"/>
        </w:rPr>
        <w:t xml:space="preserve">, </w:t>
      </w:r>
      <w:r w:rsidR="0094270B">
        <w:rPr>
          <w:rFonts w:cs="Arial"/>
          <w:szCs w:val="24"/>
        </w:rPr>
        <w:t xml:space="preserve">a </w:t>
      </w:r>
      <w:r w:rsidR="00D74CAD">
        <w:rPr>
          <w:rFonts w:cs="Arial"/>
          <w:szCs w:val="24"/>
        </w:rPr>
        <w:lastRenderedPageBreak/>
        <w:t>concern</w:t>
      </w:r>
      <w:r w:rsidR="0094270B">
        <w:rPr>
          <w:rFonts w:cs="Arial"/>
          <w:szCs w:val="24"/>
        </w:rPr>
        <w:t xml:space="preserve"> for both FY1s and supervisors. Non-technical skills (</w:t>
      </w:r>
      <w:r w:rsidR="001D42C9">
        <w:rPr>
          <w:rFonts w:cs="Arial"/>
          <w:szCs w:val="24"/>
        </w:rPr>
        <w:t>decision-making</w:t>
      </w:r>
      <w:r w:rsidR="0094270B">
        <w:rPr>
          <w:rFonts w:cs="Arial"/>
          <w:szCs w:val="24"/>
        </w:rPr>
        <w:t xml:space="preserve">, prioritisation and taking initiative) were reported as an area of under-preparedness and were deemed as ‘critical day to day aspects’ that FY1s felt they had had no opportunity to learn in their undergraduate degree. Supervisors voiced concern over the amount of ‘stress’ being experienced by FY1s and felt that coping skills could be improved. </w:t>
      </w:r>
    </w:p>
    <w:p w14:paraId="0AB845DB" w14:textId="37DE2837" w:rsidR="0094270B" w:rsidRPr="001D384F" w:rsidRDefault="0094270B" w:rsidP="001F3E2D">
      <w:pPr>
        <w:rPr>
          <w:rFonts w:cs="Arial"/>
          <w:szCs w:val="24"/>
        </w:rPr>
      </w:pPr>
      <w:r>
        <w:rPr>
          <w:rFonts w:cs="Arial"/>
          <w:szCs w:val="24"/>
        </w:rPr>
        <w:t xml:space="preserve"> ‘</w:t>
      </w:r>
      <w:r w:rsidR="005B145E">
        <w:rPr>
          <w:rFonts w:cs="Arial"/>
          <w:szCs w:val="24"/>
        </w:rPr>
        <w:t>P</w:t>
      </w:r>
      <w:r>
        <w:rPr>
          <w:rFonts w:cs="Arial"/>
          <w:szCs w:val="24"/>
        </w:rPr>
        <w:t>ersonal a</w:t>
      </w:r>
      <w:r w:rsidR="009D51E7">
        <w:rPr>
          <w:rFonts w:cs="Arial"/>
          <w:szCs w:val="24"/>
        </w:rPr>
        <w:t>t</w:t>
      </w:r>
      <w:r>
        <w:rPr>
          <w:rFonts w:cs="Arial"/>
          <w:szCs w:val="24"/>
        </w:rPr>
        <w:t>tributes’ related to lack of confidence reported by both</w:t>
      </w:r>
      <w:r w:rsidR="0097071E">
        <w:rPr>
          <w:rFonts w:cs="Arial"/>
          <w:szCs w:val="24"/>
        </w:rPr>
        <w:t xml:space="preserve"> groups</w:t>
      </w:r>
      <w:r>
        <w:rPr>
          <w:rFonts w:cs="Arial"/>
          <w:szCs w:val="24"/>
        </w:rPr>
        <w:t>. The final theme was ‘familiarity with ward environment’</w:t>
      </w:r>
      <w:r w:rsidR="00954005">
        <w:rPr>
          <w:rFonts w:cs="Arial"/>
          <w:szCs w:val="24"/>
        </w:rPr>
        <w:t>,</w:t>
      </w:r>
      <w:r>
        <w:rPr>
          <w:rFonts w:cs="Arial"/>
          <w:szCs w:val="24"/>
        </w:rPr>
        <w:t xml:space="preserve"> agreed by both to be </w:t>
      </w:r>
      <w:r w:rsidR="003B27C3">
        <w:rPr>
          <w:rFonts w:cs="Arial"/>
          <w:szCs w:val="24"/>
        </w:rPr>
        <w:t>important for transition f</w:t>
      </w:r>
      <w:r>
        <w:rPr>
          <w:rFonts w:cs="Arial"/>
          <w:szCs w:val="24"/>
        </w:rPr>
        <w:t>r</w:t>
      </w:r>
      <w:r w:rsidR="003B27C3">
        <w:rPr>
          <w:rFonts w:cs="Arial"/>
          <w:szCs w:val="24"/>
        </w:rPr>
        <w:t>o</w:t>
      </w:r>
      <w:r>
        <w:rPr>
          <w:rFonts w:cs="Arial"/>
          <w:szCs w:val="24"/>
        </w:rPr>
        <w:t>m medical student to FY1. The questionnaire design appeared to have construct and face validity</w:t>
      </w:r>
      <w:r w:rsidR="005B145E">
        <w:rPr>
          <w:rFonts w:cs="Arial"/>
          <w:szCs w:val="24"/>
        </w:rPr>
        <w:t xml:space="preserve"> with </w:t>
      </w:r>
      <w:r>
        <w:rPr>
          <w:rFonts w:cs="Arial"/>
          <w:szCs w:val="24"/>
        </w:rPr>
        <w:t>clear study aims</w:t>
      </w:r>
      <w:r w:rsidR="00E7208F">
        <w:rPr>
          <w:rFonts w:cs="Arial"/>
          <w:szCs w:val="24"/>
        </w:rPr>
        <w:t>. It</w:t>
      </w:r>
      <w:r>
        <w:rPr>
          <w:rFonts w:cs="Arial"/>
          <w:szCs w:val="24"/>
        </w:rPr>
        <w:t xml:space="preserve"> is limited to one medical school so </w:t>
      </w:r>
      <w:r w:rsidR="00954005">
        <w:rPr>
          <w:rFonts w:cs="Arial"/>
          <w:szCs w:val="24"/>
        </w:rPr>
        <w:t xml:space="preserve">is </w:t>
      </w:r>
      <w:r>
        <w:rPr>
          <w:rFonts w:cs="Arial"/>
          <w:szCs w:val="24"/>
        </w:rPr>
        <w:t>unclear about generali</w:t>
      </w:r>
      <w:r w:rsidR="00954005">
        <w:rPr>
          <w:rFonts w:cs="Arial"/>
          <w:szCs w:val="24"/>
        </w:rPr>
        <w:t>s</w:t>
      </w:r>
      <w:r>
        <w:rPr>
          <w:rFonts w:cs="Arial"/>
          <w:szCs w:val="24"/>
        </w:rPr>
        <w:t>ability</w:t>
      </w:r>
      <w:r w:rsidR="00266A48">
        <w:rPr>
          <w:rFonts w:cs="Arial"/>
          <w:szCs w:val="24"/>
        </w:rPr>
        <w:t>. However</w:t>
      </w:r>
      <w:r w:rsidR="00954005">
        <w:rPr>
          <w:rFonts w:cs="Arial"/>
          <w:szCs w:val="24"/>
        </w:rPr>
        <w:t>,</w:t>
      </w:r>
      <w:r>
        <w:rPr>
          <w:rFonts w:cs="Arial"/>
          <w:szCs w:val="24"/>
        </w:rPr>
        <w:t xml:space="preserve"> the qualitative data and emergent themes</w:t>
      </w:r>
      <w:r w:rsidR="00266A48">
        <w:rPr>
          <w:rFonts w:cs="Arial"/>
          <w:szCs w:val="24"/>
        </w:rPr>
        <w:t xml:space="preserve"> add</w:t>
      </w:r>
      <w:r>
        <w:rPr>
          <w:rFonts w:cs="Arial"/>
          <w:szCs w:val="24"/>
        </w:rPr>
        <w:t xml:space="preserve"> vital richness in understanding experiences </w:t>
      </w:r>
      <w:r w:rsidR="00C521E4">
        <w:rPr>
          <w:rFonts w:cs="Arial"/>
          <w:szCs w:val="24"/>
        </w:rPr>
        <w:t>of</w:t>
      </w:r>
      <w:r>
        <w:rPr>
          <w:rFonts w:cs="Arial"/>
          <w:szCs w:val="24"/>
        </w:rPr>
        <w:t xml:space="preserve"> both groups of respondents</w:t>
      </w:r>
      <w:r w:rsidR="00C521E4" w:rsidRPr="00C521E4">
        <w:rPr>
          <w:rFonts w:cs="Arial"/>
          <w:szCs w:val="24"/>
        </w:rPr>
        <w:t xml:space="preserve"> </w:t>
      </w:r>
      <w:r w:rsidR="00C521E4">
        <w:rPr>
          <w:rFonts w:cs="Arial"/>
          <w:szCs w:val="24"/>
        </w:rPr>
        <w:t xml:space="preserve">to allow data triangulation and enhance </w:t>
      </w:r>
      <w:r w:rsidR="007464C8">
        <w:rPr>
          <w:rFonts w:cs="Arial"/>
          <w:szCs w:val="24"/>
        </w:rPr>
        <w:t>rigour</w:t>
      </w:r>
      <w:r>
        <w:rPr>
          <w:rFonts w:cs="Arial"/>
          <w:szCs w:val="24"/>
        </w:rPr>
        <w:t xml:space="preserve">. </w:t>
      </w:r>
      <w:r w:rsidR="00B365CC">
        <w:rPr>
          <w:rFonts w:cs="Arial"/>
          <w:szCs w:val="24"/>
        </w:rPr>
        <w:t xml:space="preserve">Patient safety issues related to under-preparedness for prescribing, non-technical skills and assessment and management of acutely unwell patients concur with other studies described. </w:t>
      </w:r>
      <w:r w:rsidR="00C521E4">
        <w:rPr>
          <w:rFonts w:cs="Arial"/>
          <w:szCs w:val="24"/>
        </w:rPr>
        <w:t xml:space="preserve">The study </w:t>
      </w:r>
      <w:r w:rsidR="00693688">
        <w:rPr>
          <w:rFonts w:cs="Arial"/>
          <w:szCs w:val="24"/>
        </w:rPr>
        <w:t>recommends</w:t>
      </w:r>
      <w:r w:rsidR="00C521E4">
        <w:rPr>
          <w:rFonts w:cs="Arial"/>
          <w:szCs w:val="24"/>
        </w:rPr>
        <w:t xml:space="preserve"> focus is given to </w:t>
      </w:r>
      <w:r w:rsidR="00B365CC">
        <w:rPr>
          <w:rFonts w:cs="Arial"/>
          <w:szCs w:val="24"/>
        </w:rPr>
        <w:t xml:space="preserve">‘acute care, prescribing and procedural skills’ </w:t>
      </w:r>
      <w:r w:rsidR="00B365CC">
        <w:rPr>
          <w:rFonts w:cs="Arial"/>
          <w:szCs w:val="24"/>
        </w:rPr>
        <w:fldChar w:fldCharType="begin"/>
      </w:r>
      <w:r w:rsidR="00B365CC">
        <w:rPr>
          <w:rFonts w:cs="Arial"/>
          <w:szCs w:val="24"/>
        </w:rPr>
        <w:instrText xml:space="preserve"> ADDIN EN.CITE &lt;EndNote&gt;&lt;Cite&gt;&lt;Author&gt;Tallentire&lt;/Author&gt;&lt;Year&gt;2011&lt;/Year&gt;&lt;IDText&gt;Are medical graduates ready to face the challenges of Foundation training?&lt;/IDText&gt;&lt;DisplayText&gt;(Tallentire et al., 2011c)&lt;/DisplayText&gt;&lt;record&gt;&lt;dates&gt;&lt;pub-dates&gt;&lt;date&gt;Sep&lt;/date&gt;&lt;/pub-dates&gt;&lt;year&gt;2011&lt;/year&gt;&lt;/dates&gt;&lt;keywords&gt;&lt;keyword&gt;Attitude of Health Personnel&lt;/keyword&gt;&lt;keyword&gt;Clinical Competence&lt;/keyword&gt;&lt;keyword&gt;Curriculum&lt;/keyword&gt;&lt;keyword&gt;Decision Making&lt;/keyword&gt;&lt;keyword&gt;Education, Medical, Undergraduate&lt;/keyword&gt;&lt;keyword&gt;Educational Measurement&lt;/keyword&gt;&lt;keyword&gt;Health Priorities&lt;/keyword&gt;&lt;keyword&gt;Humans&lt;/keyword&gt;&lt;keyword&gt;Inappropriate Prescribing&lt;/keyword&gt;&lt;keyword&gt;Perception&lt;/keyword&gt;&lt;keyword&gt;Physicians&lt;/keyword&gt;&lt;keyword&gt;Students, Medical&lt;/keyword&gt;&lt;keyword&gt;Surveys and Questionnaires&lt;/keyword&gt;&lt;/keywords&gt;&lt;urls&gt;&lt;related-urls&gt;&lt;url&gt;http://www.ncbi.nlm.nih.gov/pubmed/21690255&lt;/url&gt;&lt;/related-urls&gt;&lt;/urls&gt;&lt;isbn&gt;1469-0756&lt;/isbn&gt;&lt;titles&gt;&lt;title&gt;Are medical graduates ready to face the challenges of Foundation training?&lt;/title&gt;&lt;secondary-title&gt;Postgrad Med J&lt;/secondary-title&gt;&lt;/titles&gt;&lt;pages&gt;590-5&lt;/pages&gt;&lt;number&gt;1031&lt;/number&gt;&lt;contributors&gt;&lt;authors&gt;&lt;author&gt;Tallentire, V. R.&lt;/author&gt;&lt;author&gt;Smith, S. E.&lt;/author&gt;&lt;author&gt;Wylde, K.&lt;/author&gt;&lt;author&gt;Cameron, H. S.&lt;/author&gt;&lt;/authors&gt;&lt;/contributors&gt;&lt;language&gt;eng&lt;/language&gt;&lt;added-date format="utc"&gt;1455618873&lt;/added-date&gt;&lt;ref-type name="Journal Article"&gt;17&lt;/ref-type&gt;&lt;rec-number&gt;165&lt;/rec-number&gt;&lt;last-updated-date format="utc"&gt;1455618873&lt;/last-updated-date&gt;&lt;accession-num&gt;21690255&lt;/accession-num&gt;&lt;electronic-resource-num&gt;10.1136/pgmj.2010.115659&lt;/electronic-resource-num&gt;&lt;volume&gt;87&lt;/volume&gt;&lt;/record&gt;&lt;/Cite&gt;&lt;/EndNote&gt;</w:instrText>
      </w:r>
      <w:r w:rsidR="00B365CC">
        <w:rPr>
          <w:rFonts w:cs="Arial"/>
          <w:szCs w:val="24"/>
        </w:rPr>
        <w:fldChar w:fldCharType="separate"/>
      </w:r>
      <w:r w:rsidR="00B365CC">
        <w:rPr>
          <w:rFonts w:cs="Arial"/>
          <w:noProof/>
          <w:szCs w:val="24"/>
        </w:rPr>
        <w:t>(Tallentire et al., 2011c)</w:t>
      </w:r>
      <w:r w:rsidR="00B365CC">
        <w:rPr>
          <w:rFonts w:cs="Arial"/>
          <w:szCs w:val="24"/>
        </w:rPr>
        <w:fldChar w:fldCharType="end"/>
      </w:r>
      <w:r w:rsidR="00B365CC">
        <w:rPr>
          <w:rFonts w:cs="Arial"/>
          <w:szCs w:val="24"/>
        </w:rPr>
        <w:t>.</w:t>
      </w:r>
    </w:p>
    <w:p w14:paraId="442D5502" w14:textId="042BD5BA" w:rsidR="00046AEF" w:rsidRPr="001F3E2D" w:rsidRDefault="003B27C3" w:rsidP="001F3E2D">
      <w:r>
        <w:t>The review of the literature on p</w:t>
      </w:r>
      <w:r w:rsidR="00BD5566">
        <w:t xml:space="preserve">reparedness </w:t>
      </w:r>
      <w:r>
        <w:t>as a junior doctor highligh</w:t>
      </w:r>
      <w:r w:rsidR="00DC3D43">
        <w:t>ts</w:t>
      </w:r>
      <w:r>
        <w:t xml:space="preserve"> that </w:t>
      </w:r>
      <w:r w:rsidR="00DC3D43">
        <w:t xml:space="preserve">it </w:t>
      </w:r>
      <w:r>
        <w:t xml:space="preserve">is </w:t>
      </w:r>
      <w:r w:rsidR="00BD5566">
        <w:t>complex</w:t>
      </w:r>
      <w:r w:rsidR="00922B1A">
        <w:t xml:space="preserve"> and</w:t>
      </w:r>
      <w:r w:rsidR="00BD5566">
        <w:t xml:space="preserve"> rel</w:t>
      </w:r>
      <w:r>
        <w:t>ated to exposure and experience</w:t>
      </w:r>
      <w:r w:rsidR="00DC3D43">
        <w:t xml:space="preserve"> </w:t>
      </w:r>
      <w:r w:rsidR="003A7D42">
        <w:t>- both</w:t>
      </w:r>
      <w:r w:rsidR="00BD5566">
        <w:t xml:space="preserve"> real-life and simulated</w:t>
      </w:r>
      <w:r w:rsidR="00DC3D43">
        <w:t xml:space="preserve"> -</w:t>
      </w:r>
      <w:r w:rsidR="00BD5566">
        <w:t xml:space="preserve"> as well as individual factors such as personality trait</w:t>
      </w:r>
      <w:r w:rsidR="00707DAD">
        <w:t>s</w:t>
      </w:r>
      <w:r>
        <w:t xml:space="preserve"> </w:t>
      </w:r>
      <w:r w:rsidR="00707DAD">
        <w:t>(</w:t>
      </w:r>
      <w:r>
        <w:t>Cave et al. (2009)</w:t>
      </w:r>
      <w:r w:rsidR="00707DAD">
        <w:t>)</w:t>
      </w:r>
      <w:r>
        <w:t xml:space="preserve">. </w:t>
      </w:r>
      <w:r w:rsidR="00D74CAD">
        <w:rPr>
          <w:rFonts w:cs="Arial"/>
          <w:szCs w:val="24"/>
        </w:rPr>
        <w:t xml:space="preserve">Potential reasons for the reported lack of preparedness include the impact of the European Working </w:t>
      </w:r>
      <w:r w:rsidR="00DC3D43">
        <w:rPr>
          <w:rFonts w:cs="Arial"/>
          <w:szCs w:val="24"/>
        </w:rPr>
        <w:t>T</w:t>
      </w:r>
      <w:r w:rsidR="00D74CAD">
        <w:rPr>
          <w:rFonts w:cs="Arial"/>
          <w:szCs w:val="24"/>
        </w:rPr>
        <w:t xml:space="preserve">ime Directive resulting in reduced working hours and the breakdown of the team structure, and knowledge of who to </w:t>
      </w:r>
      <w:r w:rsidR="00D74CAD">
        <w:rPr>
          <w:rFonts w:cs="Arial"/>
          <w:szCs w:val="24"/>
        </w:rPr>
        <w:lastRenderedPageBreak/>
        <w:t>escalate</w:t>
      </w:r>
      <w:r w:rsidR="00DC3D43">
        <w:rPr>
          <w:rFonts w:cs="Arial"/>
          <w:szCs w:val="24"/>
        </w:rPr>
        <w:t xml:space="preserve"> problems</w:t>
      </w:r>
      <w:r w:rsidR="00D74CAD">
        <w:rPr>
          <w:rFonts w:cs="Arial"/>
          <w:szCs w:val="24"/>
        </w:rPr>
        <w:t xml:space="preserve"> to </w:t>
      </w:r>
      <w:r w:rsidR="00D74CAD">
        <w:rPr>
          <w:rFonts w:cs="Arial"/>
          <w:szCs w:val="24"/>
        </w:rPr>
        <w:fldChar w:fldCharType="begin">
          <w:fldData xml:space="preserve">PEVuZE5vdGU+PENpdGU+PEF1dGhvcj5Kb25lczwvQXV0aG9yPjxZZWFyPjIwMDE8L1llYXI+PElE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</w:fldData>
        </w:fldChar>
      </w:r>
      <w:r w:rsidR="00D74CAD">
        <w:rPr>
          <w:rFonts w:cs="Arial"/>
          <w:szCs w:val="24"/>
        </w:rPr>
        <w:instrText xml:space="preserve"> ADDIN EN.CITE </w:instrText>
      </w:r>
      <w:r w:rsidR="00D74CAD">
        <w:rPr>
          <w:rFonts w:cs="Arial"/>
          <w:szCs w:val="24"/>
        </w:rPr>
        <w:fldChar w:fldCharType="begin">
          <w:fldData xml:space="preserve">PEVuZE5vdGU+PENpdGU+PEF1dGhvcj5Kb25lczwvQXV0aG9yPjxZZWFyPjIwMDE8L1llYXI+PElE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</w:fldData>
        </w:fldChar>
      </w:r>
      <w:r w:rsidR="00D74CAD">
        <w:rPr>
          <w:rFonts w:cs="Arial"/>
          <w:szCs w:val="24"/>
        </w:rPr>
        <w:instrText xml:space="preserve"> ADDIN EN.CITE.DATA </w:instrText>
      </w:r>
      <w:r w:rsidR="00D74CAD">
        <w:rPr>
          <w:rFonts w:cs="Arial"/>
          <w:szCs w:val="24"/>
        </w:rPr>
      </w:r>
      <w:r w:rsidR="00D74CAD">
        <w:rPr>
          <w:rFonts w:cs="Arial"/>
          <w:szCs w:val="24"/>
        </w:rPr>
        <w:fldChar w:fldCharType="end"/>
      </w:r>
      <w:r w:rsidR="00D74CAD">
        <w:rPr>
          <w:rFonts w:cs="Arial"/>
          <w:szCs w:val="24"/>
        </w:rPr>
      </w:r>
      <w:r w:rsidR="00D74CAD">
        <w:rPr>
          <w:rFonts w:cs="Arial"/>
          <w:szCs w:val="24"/>
        </w:rPr>
        <w:fldChar w:fldCharType="separate"/>
      </w:r>
      <w:r w:rsidR="00D74CAD">
        <w:rPr>
          <w:rFonts w:cs="Arial"/>
          <w:noProof/>
          <w:szCs w:val="24"/>
        </w:rPr>
        <w:t>(Jones et al., 2001, Wall et al., 2006)</w:t>
      </w:r>
      <w:r w:rsidR="00D74CAD">
        <w:rPr>
          <w:rFonts w:cs="Arial"/>
          <w:szCs w:val="24"/>
        </w:rPr>
        <w:fldChar w:fldCharType="end"/>
      </w:r>
      <w:r w:rsidR="00D74CAD">
        <w:rPr>
          <w:rFonts w:cs="Arial"/>
          <w:szCs w:val="24"/>
        </w:rPr>
        <w:t xml:space="preserve">. </w:t>
      </w:r>
      <w:r w:rsidR="00B02FE7">
        <w:t xml:space="preserve">Feedback has been </w:t>
      </w:r>
      <w:r w:rsidR="00C073D7">
        <w:t xml:space="preserve">shown </w:t>
      </w:r>
      <w:r w:rsidR="00B02FE7">
        <w:t xml:space="preserve">to be </w:t>
      </w:r>
      <w:r w:rsidR="00C073D7">
        <w:t xml:space="preserve">an </w:t>
      </w:r>
      <w:r w:rsidR="00B02FE7">
        <w:t xml:space="preserve">important correlating </w:t>
      </w:r>
      <w:r w:rsidR="00C073D7">
        <w:t xml:space="preserve">factor to a </w:t>
      </w:r>
      <w:r w:rsidR="00B02FE7">
        <w:t xml:space="preserve">feeling of preparedness </w:t>
      </w:r>
      <w:r w:rsidR="003612C6">
        <w:fldChar w:fldCharType="begin"/>
      </w:r>
      <w:r w:rsidR="003612C6">
        <w:instrText xml:space="preserve"> ADDIN EN.CITE &lt;EndNote&gt;&lt;Cite&gt;&lt;Author&gt;Duns&lt;/Author&gt;&lt;Year&gt;2008&lt;/Year&gt;&lt;IDText&gt;Self-rated preparedness of Australian prevocational hospital doctors for emergencies&lt;/IDText&gt;&lt;DisplayText&gt;(Duns et al., 2008)&lt;/DisplayText&gt;&lt;record&gt;&lt;dates&gt;&lt;pub-dates&gt;&lt;date&gt;Apr&lt;/date&gt;&lt;/pub-dates&gt;&lt;year&gt;2008&lt;/year&gt;&lt;/dates&gt;&lt;keywords&gt;&lt;keyword&gt;Adult&lt;/keyword&gt;&lt;keyword&gt;Attitude of Health Personnel&lt;/keyword&gt;&lt;keyword&gt;Australia&lt;/keyword&gt;&lt;keyword&gt;Chi-Square Distribution&lt;/keyword&gt;&lt;keyword&gt;Clinical Competence&lt;/keyword&gt;&lt;keyword&gt;Emergency Medical Services&lt;/keyword&gt;&lt;keyword&gt;Female&lt;/keyword&gt;&lt;keyword&gt;Humans&lt;/keyword&gt;&lt;keyword&gt;Internship and Residency&lt;/keyword&gt;&lt;keyword&gt;Male&lt;/keyword&gt;&lt;keyword&gt;Statistics, Nonparametric&lt;/keyword&gt;&lt;keyword&gt;Surveys and Questionnaires&lt;/keyword&gt;&lt;/keywords&gt;&lt;urls&gt;&lt;related-urls&gt;&lt;url&gt;http://www.ncbi.nlm.nih.gov/pubmed/18377404&lt;/url&gt;&lt;/related-urls&gt;&lt;/urls&gt;&lt;isbn&gt;1742-6723&lt;/isbn&gt;&lt;titles&gt;&lt;title&gt;Self-rated preparedness of Australian prevocational hospital doctors for emergencies&lt;/title&gt;&lt;secondary-title&gt;Emerg Med Australas&lt;/secondary-title&gt;&lt;/titles&gt;&lt;pages&gt;144-8&lt;/pages&gt;&lt;number&gt;2&lt;/number&gt;&lt;contributors&gt;&lt;authors&gt;&lt;author&gt;Duns, G.&lt;/author&gt;&lt;author&gt;Weiland, T.&lt;/author&gt;&lt;author&gt;Crotty, B.&lt;/author&gt;&lt;author&gt;Jolly, B.&lt;/author&gt;&lt;author&gt;Cuddihy, H.&lt;/author&gt;&lt;author&gt;Dent, A.&lt;/author&gt;&lt;/authors&gt;&lt;/contributors&gt;&lt;language&gt;eng&lt;/language&gt;&lt;added-date format="utc"&gt;1456222026&lt;/added-date&gt;&lt;ref-type name="Journal Article"&gt;17&lt;/ref-type&gt;&lt;rec-number&gt;192&lt;/rec-number&gt;&lt;last-updated-date format="utc"&gt;1456222026&lt;/last-updated-date&gt;&lt;accession-num&gt;18377404&lt;/accession-num&gt;&lt;electronic-resource-num&gt;10.1111/j.1742-6723.2008.01062.x&lt;/electronic-resource-num&gt;&lt;volume&gt;20&lt;/volume&gt;&lt;/record&gt;&lt;/Cite&gt;&lt;/EndNote&gt;</w:instrText>
      </w:r>
      <w:r w:rsidR="003612C6">
        <w:fldChar w:fldCharType="separate"/>
      </w:r>
      <w:r w:rsidR="003612C6">
        <w:rPr>
          <w:noProof/>
        </w:rPr>
        <w:t>(Duns et al., 2008)</w:t>
      </w:r>
      <w:r w:rsidR="003612C6">
        <w:fldChar w:fldCharType="end"/>
      </w:r>
      <w:r w:rsidR="003612C6">
        <w:t xml:space="preserve">. </w:t>
      </w:r>
      <w:r w:rsidR="00B02FE7">
        <w:t xml:space="preserve"> </w:t>
      </w:r>
      <w:r w:rsidR="00C073D7">
        <w:t>Furthermore, c</w:t>
      </w:r>
      <w:r w:rsidR="00C16D2F">
        <w:t xml:space="preserve">onfidence and preparedness have been shown not to correlate with exam results </w:t>
      </w:r>
      <w:r w:rsidR="00C16D2F">
        <w:fldChar w:fldCharType="begin"/>
      </w:r>
      <w:r w:rsidR="00C16D2F">
        <w:instrText xml:space="preserve"> ADDIN EN.CITE &lt;EndNote&gt;&lt;Cite&gt;&lt;Author&gt;Morgan&lt;/Author&gt;&lt;Year&gt;2002&lt;/Year&gt;&lt;IDText&gt;Comparison between medical students&amp;apos; experience, confidence and competence&lt;/IDText&gt;&lt;DisplayText&gt;(Morgan and Cleave-Hogg, 2002)&lt;/DisplayText&gt;&lt;record&gt;&lt;dates&gt;&lt;pub-dates&gt;&lt;date&gt;Jun&lt;/date&gt;&lt;/pub-dates&gt;&lt;year&gt;2002&lt;/year&gt;&lt;/dates&gt;&lt;urls&gt;&lt;related-urls&gt;&lt;url&gt;&amp;lt;Go to ISI&amp;gt;://WOS:000175907500010&lt;/url&gt;&lt;/related-urls&gt;&lt;/urls&gt;&lt;isbn&gt;0308-0110&lt;/isbn&gt;&lt;titles&gt;&lt;title&gt;Comparison between medical students&amp;apos; experience, confidence and competence&lt;/title&gt;&lt;secondary-title&gt;Medical Education&lt;/secondary-title&gt;&lt;/titles&gt;&lt;pages&gt;534-539&lt;/pages&gt;&lt;number&gt;6&lt;/number&gt;&lt;contributors&gt;&lt;authors&gt;&lt;author&gt;Morgan, P. J.&lt;/author&gt;&lt;author&gt;Cleave-Hogg, D.&lt;/author&gt;&lt;/authors&gt;&lt;/contributors&gt;&lt;added-date format="utc"&gt;1390842924&lt;/added-date&gt;&lt;ref-type name="Journal Article"&gt;17&lt;/ref-type&gt;&lt;rec-number&gt;21&lt;/rec-number&gt;&lt;last-updated-date format="utc"&gt;1390843746&lt;/last-updated-date&gt;&lt;accession-num&gt;WOS:000175907500010&lt;/accession-num&gt;&lt;electronic-resource-num&gt;10.1046/j.1365-2923.2002.01228.x&lt;/electronic-resource-num&gt;&lt;volume&gt;36&lt;/volume&gt;&lt;/record&gt;&lt;/Cite&gt;&lt;/EndNote&gt;</w:instrText>
      </w:r>
      <w:r w:rsidR="00C16D2F">
        <w:fldChar w:fldCharType="separate"/>
      </w:r>
      <w:r w:rsidR="00C16D2F">
        <w:rPr>
          <w:noProof/>
        </w:rPr>
        <w:t>(Morgan and Cleave-Hogg, 2002)</w:t>
      </w:r>
      <w:r w:rsidR="00C16D2F">
        <w:fldChar w:fldCharType="end"/>
      </w:r>
      <w:r w:rsidR="00C16D2F">
        <w:t xml:space="preserve">. This </w:t>
      </w:r>
      <w:r w:rsidR="00C073D7">
        <w:t xml:space="preserve">therefore necessitates </w:t>
      </w:r>
      <w:r w:rsidR="00C16D2F">
        <w:t>careful planning with regards to a measure to assess preparedness</w:t>
      </w:r>
      <w:r w:rsidR="00C073D7">
        <w:t>,</w:t>
      </w:r>
      <w:r w:rsidR="009D51E7">
        <w:t xml:space="preserve"> but also </w:t>
      </w:r>
      <w:r w:rsidR="00C073D7">
        <w:t xml:space="preserve">an </w:t>
      </w:r>
      <w:r w:rsidR="009D51E7">
        <w:t>exploration of what is meant or interpreted by preparedness by different groups</w:t>
      </w:r>
      <w:r w:rsidR="00C16D2F">
        <w:t xml:space="preserve">. </w:t>
      </w:r>
      <w:r w:rsidR="00266A48">
        <w:t>There are variations in terms of studies exploring anticipated and retrospective preparedness and it is unclear if these are different and thus comparable. Conclusions that include increased exposure and increased responsibility are clear but not specific on how to achieve</w:t>
      </w:r>
      <w:r w:rsidR="008A00E4">
        <w:t xml:space="preserve"> this</w:t>
      </w:r>
      <w:r w:rsidR="00266A48">
        <w:t xml:space="preserve">. </w:t>
      </w:r>
    </w:p>
    <w:p w14:paraId="570D4971" w14:textId="069EC424" w:rsidR="005F454B" w:rsidRDefault="005F454B" w:rsidP="006714ED">
      <w:pPr>
        <w:pStyle w:val="Heading2"/>
      </w:pPr>
      <w:bookmarkStart w:id="44" w:name="_Toc343501091"/>
      <w:bookmarkStart w:id="45" w:name="_Toc348686292"/>
      <w:bookmarkStart w:id="46" w:name="_Toc419116094"/>
      <w:r w:rsidRPr="005F454B">
        <w:t>The undergraduate medical curriculum</w:t>
      </w:r>
      <w:bookmarkEnd w:id="44"/>
      <w:bookmarkEnd w:id="45"/>
      <w:bookmarkEnd w:id="46"/>
    </w:p>
    <w:p w14:paraId="7BC91E83" w14:textId="77777777" w:rsidR="00313168" w:rsidRDefault="00313168" w:rsidP="00313168">
      <w:pPr>
        <w:rPr>
          <w:rFonts w:cs="Arial"/>
          <w:szCs w:val="24"/>
        </w:rPr>
      </w:pPr>
    </w:p>
    <w:p w14:paraId="534DEBA0" w14:textId="7067E71D" w:rsidR="00313168" w:rsidRDefault="00313168" w:rsidP="00313168">
      <w:pPr>
        <w:rPr>
          <w:rFonts w:cs="Arial"/>
          <w:szCs w:val="24"/>
        </w:rPr>
      </w:pPr>
      <w:r w:rsidRPr="00E643B8">
        <w:rPr>
          <w:rFonts w:cs="Arial"/>
          <w:szCs w:val="24"/>
        </w:rPr>
        <w:t>The aim of undergraduate medical educat</w:t>
      </w:r>
      <w:r>
        <w:rPr>
          <w:rFonts w:cs="Arial"/>
          <w:szCs w:val="24"/>
        </w:rPr>
        <w:t>ion is to produce competent pre-</w:t>
      </w:r>
      <w:r w:rsidRPr="00E643B8">
        <w:rPr>
          <w:rFonts w:cs="Arial"/>
          <w:szCs w:val="24"/>
        </w:rPr>
        <w:t xml:space="preserve">registration house officers (PRHOs) or Foundation Year one (FY1) doctors (Jones et al. 2001). </w:t>
      </w:r>
      <w:r>
        <w:rPr>
          <w:rFonts w:cs="Arial"/>
          <w:szCs w:val="24"/>
        </w:rPr>
        <w:t xml:space="preserve">Undergraduate medical curricula have gone through many changes to respond to the outcomes in ‘Tomorrow’s Doctors’, last updated in 2009 </w:t>
      </w:r>
      <w:r>
        <w:rPr>
          <w:rFonts w:cs="Arial"/>
          <w:szCs w:val="24"/>
        </w:rPr>
        <w:fldChar w:fldCharType="begin"/>
      </w:r>
      <w:r w:rsidR="00BB31A6">
        <w:rPr>
          <w:rFonts w:cs="Arial"/>
          <w:szCs w:val="24"/>
        </w:rPr>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Pr>
          <w:rFonts w:cs="Arial"/>
          <w:szCs w:val="24"/>
        </w:rPr>
        <w:fldChar w:fldCharType="separate"/>
      </w:r>
      <w:r w:rsidR="00BB31A6">
        <w:rPr>
          <w:rFonts w:cs="Arial"/>
          <w:noProof/>
          <w:szCs w:val="24"/>
        </w:rPr>
        <w:t>(GMC, 2009)</w:t>
      </w:r>
      <w:r>
        <w:rPr>
          <w:rFonts w:cs="Arial"/>
          <w:szCs w:val="24"/>
        </w:rPr>
        <w:fldChar w:fldCharType="end"/>
      </w:r>
      <w:r w:rsidR="00DC1FE8">
        <w:rPr>
          <w:rFonts w:cs="Arial"/>
          <w:szCs w:val="24"/>
        </w:rPr>
        <w:t>.</w:t>
      </w:r>
      <w:r w:rsidR="00AF70FA">
        <w:rPr>
          <w:rFonts w:cs="Arial"/>
          <w:szCs w:val="24"/>
        </w:rPr>
        <w:t xml:space="preserve"> This document has been since superseded by ‘</w:t>
      </w:r>
      <w:r w:rsidR="00644828">
        <w:rPr>
          <w:rFonts w:cs="Arial"/>
          <w:szCs w:val="24"/>
        </w:rPr>
        <w:t>Outcomes for Graduates</w:t>
      </w:r>
      <w:r w:rsidR="00AF70FA">
        <w:rPr>
          <w:rFonts w:cs="Arial"/>
          <w:szCs w:val="24"/>
        </w:rPr>
        <w:t>’ (201</w:t>
      </w:r>
      <w:r w:rsidR="00644828">
        <w:rPr>
          <w:rFonts w:cs="Arial"/>
          <w:szCs w:val="24"/>
        </w:rPr>
        <w:t>6</w:t>
      </w:r>
      <w:r w:rsidR="00AF70FA">
        <w:rPr>
          <w:rFonts w:cs="Arial"/>
          <w:szCs w:val="24"/>
        </w:rPr>
        <w:t>), however outcomes remain unchanged</w:t>
      </w:r>
      <w:r>
        <w:rPr>
          <w:rFonts w:cs="Arial"/>
          <w:szCs w:val="24"/>
        </w:rPr>
        <w:t>. The GMC (2009) states that</w:t>
      </w:r>
      <w:r w:rsidR="00DC222D">
        <w:rPr>
          <w:rFonts w:cs="Arial"/>
          <w:szCs w:val="24"/>
        </w:rPr>
        <w:t>:</w:t>
      </w:r>
      <w:r>
        <w:rPr>
          <w:rFonts w:cs="Arial"/>
          <w:szCs w:val="24"/>
        </w:rPr>
        <w:t xml:space="preserve"> ‘d</w:t>
      </w:r>
      <w:r w:rsidRPr="0000331F">
        <w:rPr>
          <w:rFonts w:cs="Arial"/>
          <w:szCs w:val="24"/>
        </w:rPr>
        <w:t>octors must be capable of regularly taki</w:t>
      </w:r>
      <w:r>
        <w:rPr>
          <w:rFonts w:cs="Arial"/>
          <w:szCs w:val="24"/>
        </w:rPr>
        <w:t xml:space="preserve">ng responsibility for difficult </w:t>
      </w:r>
      <w:r w:rsidRPr="0000331F">
        <w:rPr>
          <w:rFonts w:cs="Arial"/>
          <w:szCs w:val="24"/>
        </w:rPr>
        <w:t>decisions in situations of clinical complexity and uncertainty</w:t>
      </w:r>
      <w:r w:rsidR="00C77CA7">
        <w:rPr>
          <w:rFonts w:cs="Arial"/>
          <w:szCs w:val="24"/>
        </w:rPr>
        <w:t>. Recommendations have included opportunities to shadow junior doctors and now focus on development of leadership skills and knowledge of quality improvement</w:t>
      </w:r>
      <w:r>
        <w:rPr>
          <w:rFonts w:cs="Arial"/>
          <w:szCs w:val="24"/>
        </w:rPr>
        <w:t xml:space="preserve">. </w:t>
      </w:r>
      <w:r w:rsidR="00C77CA7">
        <w:rPr>
          <w:rFonts w:cs="Arial"/>
          <w:szCs w:val="24"/>
        </w:rPr>
        <w:t>Medical schools are expected to respond to novel ‘scientific developments’ and alterations in ‘societal expectations and values’</w:t>
      </w:r>
      <w:r w:rsidR="00B20BCD">
        <w:rPr>
          <w:rFonts w:cs="Arial"/>
          <w:szCs w:val="24"/>
        </w:rPr>
        <w:t xml:space="preserve"> (p. 6 - 7.)</w:t>
      </w:r>
      <w:r w:rsidR="00C77CA7">
        <w:rPr>
          <w:rFonts w:cs="Arial"/>
          <w:szCs w:val="24"/>
        </w:rPr>
        <w:t xml:space="preserve">, whilst preparing </w:t>
      </w:r>
      <w:r w:rsidR="00C77CA7">
        <w:rPr>
          <w:rFonts w:cs="Arial"/>
          <w:szCs w:val="24"/>
        </w:rPr>
        <w:lastRenderedPageBreak/>
        <w:t xml:space="preserve">medical students for lifelong learning and professional development in an ever evolving healthcare climate </w:t>
      </w:r>
      <w:r w:rsidR="00C77CA7">
        <w:rPr>
          <w:rFonts w:cs="Arial"/>
          <w:szCs w:val="24"/>
        </w:rPr>
        <w:fldChar w:fldCharType="begin"/>
      </w:r>
      <w:r w:rsidR="00C77CA7">
        <w:rPr>
          <w:rFonts w:cs="Arial"/>
          <w:szCs w:val="24"/>
        </w:rPr>
        <w:instrText xml:space="preserve"> ADDIN EN.CITE &lt;EndNote&gt;&lt;Cite&gt;&lt;Author&gt;Brennan&lt;/Author&gt;&lt;Year&gt;2010&lt;/Year&gt;&lt;IDText&gt;The transition from medical student to junior doctor: today&amp;apos;s experiences of Tomorrow&amp;apos;s Doctors&lt;/IDText&gt;&lt;DisplayText&gt;(Brennan et al., 2010)&lt;/DisplayText&gt;&lt;record&gt;&lt;dates&gt;&lt;pub-dates&gt;&lt;date&gt;May&lt;/date&gt;&lt;/pub-dates&gt;&lt;year&gt;2010&lt;/year&gt;&lt;/dates&gt;&lt;keywords&gt;&lt;keyword&gt;Adaptation, Psychological&lt;/keyword&gt;&lt;keyword&gt;Attitude of Health Personnel&lt;/keyword&gt;&lt;keyword&gt;Education, Medical, Undergraduate&lt;/keyword&gt;&lt;keyword&gt;Female&lt;/keyword&gt;&lt;keyword&gt;Great Britain&lt;/keyword&gt;&lt;keyword&gt;Humans&lt;/keyword&gt;&lt;keyword&gt;Interpersonal Relations&lt;/keyword&gt;&lt;keyword&gt;Male&lt;/keyword&gt;&lt;keyword&gt;Medical Staff, Hospital&lt;/keyword&gt;&lt;keyword&gt;Stress, Psychological&lt;/keyword&gt;&lt;keyword&gt;Students, Medical&lt;/keyword&gt;&lt;keyword&gt;Surveys and Questionnaires&lt;/keyword&gt;&lt;/keywords&gt;&lt;urls&gt;&lt;related-urls&gt;&lt;url&gt;http://www.ncbi.nlm.nih.gov/pubmed/20518984&lt;/url&gt;&lt;/related-urls&gt;&lt;/urls&gt;&lt;isbn&gt;1365-2923&lt;/isbn&gt;&lt;titles&gt;&lt;title&gt;The transition from medical student to junior doctor: today&amp;apos;s experiences of Tomorrow&amp;apos;s Doctors&lt;/title&gt;&lt;secondary-title&gt;Med Educ&lt;/secondary-title&gt;&lt;/titles&gt;&lt;pages&gt;449-58&lt;/pages&gt;&lt;number&gt;5&lt;/number&gt;&lt;contributors&gt;&lt;authors&gt;&lt;author&gt;Brennan, N.&lt;/author&gt;&lt;author&gt;Corrigan, O.&lt;/author&gt;&lt;author&gt;Allard, J.&lt;/author&gt;&lt;author&gt;Archer, J.&lt;/author&gt;&lt;author&gt;Barnes, R.&lt;/author&gt;&lt;author&gt;Bleakley, A.&lt;/author&gt;&lt;author&gt;Collett, T.&lt;/author&gt;&lt;author&gt;de Bere, S. R.&lt;/author&gt;&lt;/authors&gt;&lt;/contributors&gt;&lt;language&gt;eng&lt;/language&gt;&lt;added-date format="utc"&gt;1455789999&lt;/added-date&gt;&lt;ref-type name="Journal Article"&gt;17&lt;/ref-type&gt;&lt;rec-number&gt;184&lt;/rec-number&gt;&lt;last-updated-date format="utc"&gt;1455789999&lt;/last-updated-date&gt;&lt;accession-num&gt;20518984&lt;/accession-num&gt;&lt;electronic-resource-num&gt;10.1111/j.1365-2923.2009.03604.x&lt;/electronic-resource-num&gt;&lt;volume&gt;44&lt;/volume&gt;&lt;/record&gt;&lt;/Cite&gt;&lt;/EndNote&gt;</w:instrText>
      </w:r>
      <w:r w:rsidR="00C77CA7">
        <w:rPr>
          <w:rFonts w:cs="Arial"/>
          <w:szCs w:val="24"/>
        </w:rPr>
        <w:fldChar w:fldCharType="separate"/>
      </w:r>
      <w:r w:rsidR="00C77CA7">
        <w:rPr>
          <w:rFonts w:cs="Arial"/>
          <w:noProof/>
          <w:szCs w:val="24"/>
        </w:rPr>
        <w:t>(Brennan et al., 2010)</w:t>
      </w:r>
      <w:r w:rsidR="00C77CA7">
        <w:rPr>
          <w:rFonts w:cs="Arial"/>
          <w:szCs w:val="24"/>
        </w:rPr>
        <w:fldChar w:fldCharType="end"/>
      </w:r>
      <w:r w:rsidR="00C77CA7">
        <w:rPr>
          <w:rFonts w:cs="Arial"/>
          <w:szCs w:val="24"/>
        </w:rPr>
        <w:t>.</w:t>
      </w:r>
    </w:p>
    <w:p w14:paraId="3056CD25" w14:textId="30F8CB1E" w:rsidR="00881041" w:rsidRDefault="00881041" w:rsidP="00881041">
      <w:pPr>
        <w:rPr>
          <w:rFonts w:cs="Arial"/>
          <w:szCs w:val="24"/>
        </w:rPr>
      </w:pPr>
      <w:proofErr w:type="spellStart"/>
      <w:r>
        <w:rPr>
          <w:rFonts w:cs="Arial"/>
          <w:szCs w:val="24"/>
        </w:rPr>
        <w:t>Illing</w:t>
      </w:r>
      <w:proofErr w:type="spellEnd"/>
      <w:r>
        <w:rPr>
          <w:rFonts w:cs="Arial"/>
          <w:szCs w:val="24"/>
        </w:rPr>
        <w:t xml:space="preserve"> et al. (2013) qualitatively</w:t>
      </w:r>
      <w:r w:rsidR="00DC222D" w:rsidRPr="00DC222D">
        <w:rPr>
          <w:rFonts w:cs="Arial"/>
          <w:szCs w:val="24"/>
        </w:rPr>
        <w:t xml:space="preserve"> </w:t>
      </w:r>
      <w:r w:rsidR="00DC222D">
        <w:rPr>
          <w:rFonts w:cs="Arial"/>
          <w:szCs w:val="24"/>
        </w:rPr>
        <w:t>explore</w:t>
      </w:r>
      <w:r>
        <w:rPr>
          <w:rFonts w:cs="Arial"/>
          <w:szCs w:val="24"/>
        </w:rPr>
        <w:t xml:space="preserve"> th</w:t>
      </w:r>
      <w:r w:rsidR="00DC222D">
        <w:rPr>
          <w:rFonts w:cs="Arial"/>
          <w:szCs w:val="24"/>
        </w:rPr>
        <w:t>r</w:t>
      </w:r>
      <w:r>
        <w:rPr>
          <w:rFonts w:cs="Arial"/>
          <w:szCs w:val="24"/>
        </w:rPr>
        <w:t xml:space="preserve">ough </w:t>
      </w:r>
      <w:r w:rsidR="00173DE4">
        <w:rPr>
          <w:rFonts w:cs="Arial"/>
          <w:szCs w:val="24"/>
        </w:rPr>
        <w:t>focus group</w:t>
      </w:r>
      <w:r>
        <w:rPr>
          <w:rFonts w:cs="Arial"/>
          <w:szCs w:val="24"/>
        </w:rPr>
        <w:t>s and interviews, the impact of varying med</w:t>
      </w:r>
      <w:r w:rsidR="00DC222D">
        <w:rPr>
          <w:rFonts w:cs="Arial"/>
          <w:szCs w:val="24"/>
        </w:rPr>
        <w:t>ical school curricula to try to</w:t>
      </w:r>
      <w:r>
        <w:rPr>
          <w:rFonts w:cs="Arial"/>
          <w:szCs w:val="24"/>
        </w:rPr>
        <w:t xml:space="preserve"> understand if this has an impact on preparedness in three diverse medical schools. A prospective, cross sectional study was conducted. Twenty medical students from each medical school (total n = 60) were interviewed at completion of medical school</w:t>
      </w:r>
      <w:r w:rsidR="00DC222D">
        <w:rPr>
          <w:rFonts w:cs="Arial"/>
          <w:szCs w:val="24"/>
        </w:rPr>
        <w:t>, then four and 12 months in</w:t>
      </w:r>
      <w:r>
        <w:rPr>
          <w:rFonts w:cs="Arial"/>
          <w:szCs w:val="24"/>
        </w:rPr>
        <w:t>to FY1. The final number interviewed a</w:t>
      </w:r>
      <w:r w:rsidR="00DC222D">
        <w:rPr>
          <w:rFonts w:cs="Arial"/>
          <w:szCs w:val="24"/>
        </w:rPr>
        <w:t>t 12</w:t>
      </w:r>
      <w:r>
        <w:rPr>
          <w:rFonts w:cs="Arial"/>
          <w:szCs w:val="24"/>
        </w:rPr>
        <w:t xml:space="preserve"> months was 70% of the initial group (n=46). One medical school was purely graduate and the other two mostly undergraduate entries (one with an inte</w:t>
      </w:r>
      <w:r w:rsidR="00017623">
        <w:rPr>
          <w:rFonts w:cs="Arial"/>
          <w:szCs w:val="24"/>
        </w:rPr>
        <w:t xml:space="preserve">grated systems based curriculum, one with </w:t>
      </w:r>
      <w:r>
        <w:rPr>
          <w:rFonts w:cs="Arial"/>
          <w:szCs w:val="24"/>
        </w:rPr>
        <w:t>a PBL curriculum). The main lack of preparedness was reported as being related to ‘complex communication (with relatives and related to bad news)</w:t>
      </w:r>
      <w:r w:rsidR="00DC222D">
        <w:rPr>
          <w:rFonts w:cs="Arial"/>
          <w:szCs w:val="24"/>
        </w:rPr>
        <w:t>,</w:t>
      </w:r>
      <w:r>
        <w:rPr>
          <w:rFonts w:cs="Arial"/>
          <w:szCs w:val="24"/>
        </w:rPr>
        <w:t xml:space="preserve"> and mana</w:t>
      </w:r>
      <w:r w:rsidR="00DC222D">
        <w:rPr>
          <w:rFonts w:cs="Arial"/>
          <w:szCs w:val="24"/>
        </w:rPr>
        <w:t>ging the duties of a doctor (on-</w:t>
      </w:r>
      <w:r>
        <w:rPr>
          <w:rFonts w:cs="Arial"/>
          <w:szCs w:val="24"/>
        </w:rPr>
        <w:t xml:space="preserve">call, acute care, prioritisation and prescribing’). </w:t>
      </w:r>
    </w:p>
    <w:p w14:paraId="5FC8AB0C" w14:textId="0543D042" w:rsidR="00881041" w:rsidRDefault="00881041" w:rsidP="00313168">
      <w:pPr>
        <w:rPr>
          <w:rFonts w:cs="Arial"/>
          <w:szCs w:val="24"/>
        </w:rPr>
      </w:pPr>
      <w:r>
        <w:rPr>
          <w:rFonts w:cs="Arial"/>
          <w:szCs w:val="24"/>
        </w:rPr>
        <w:t>Clinicians suggested that increased exposure and involvement in clinical encounters on the ward and to complex situations would help with preparedness</w:t>
      </w:r>
      <w:r w:rsidR="00E20D04">
        <w:rPr>
          <w:rFonts w:cs="Arial"/>
          <w:szCs w:val="24"/>
        </w:rPr>
        <w:t>,</w:t>
      </w:r>
      <w:r>
        <w:rPr>
          <w:rFonts w:cs="Arial"/>
          <w:szCs w:val="24"/>
        </w:rPr>
        <w:t xml:space="preserve"> but that </w:t>
      </w:r>
      <w:r w:rsidR="00905C08">
        <w:rPr>
          <w:rFonts w:cs="Arial"/>
          <w:szCs w:val="24"/>
        </w:rPr>
        <w:t>practice</w:t>
      </w:r>
      <w:r>
        <w:rPr>
          <w:rFonts w:cs="Arial"/>
          <w:szCs w:val="24"/>
        </w:rPr>
        <w:t xml:space="preserve"> could never fully prepare them for the job. The main linking theme was labelled as ‘on the job learning’</w:t>
      </w:r>
      <w:r w:rsidR="00DC222D">
        <w:rPr>
          <w:rFonts w:cs="Arial"/>
          <w:szCs w:val="24"/>
        </w:rPr>
        <w:t>,</w:t>
      </w:r>
      <w:r>
        <w:rPr>
          <w:rFonts w:cs="Arial"/>
          <w:szCs w:val="24"/>
        </w:rPr>
        <w:t xml:space="preserve"> highlighting the importance of learning on a ‘real</w:t>
      </w:r>
      <w:r w:rsidR="00DC222D">
        <w:rPr>
          <w:rFonts w:cs="Arial"/>
          <w:szCs w:val="24"/>
        </w:rPr>
        <w:t>’ ward</w:t>
      </w:r>
      <w:r>
        <w:rPr>
          <w:rFonts w:cs="Arial"/>
          <w:szCs w:val="24"/>
        </w:rPr>
        <w:t xml:space="preserve"> with ‘r</w:t>
      </w:r>
      <w:r w:rsidR="00DC222D">
        <w:rPr>
          <w:rFonts w:cs="Arial"/>
          <w:szCs w:val="24"/>
        </w:rPr>
        <w:t>eal’ patients. Suggestions focused on improving</w:t>
      </w:r>
      <w:r>
        <w:rPr>
          <w:rFonts w:cs="Arial"/>
          <w:szCs w:val="24"/>
        </w:rPr>
        <w:t xml:space="preserve"> medical school placement consistency and giving students a role within the clinical team. The research findings informed the GMCs </w:t>
      </w:r>
      <w:r w:rsidR="001D42C9">
        <w:rPr>
          <w:rFonts w:cs="Arial"/>
          <w:szCs w:val="24"/>
        </w:rPr>
        <w:t>Tomorrow’s Doctors</w:t>
      </w:r>
      <w:r>
        <w:rPr>
          <w:rFonts w:cs="Arial"/>
          <w:szCs w:val="24"/>
        </w:rPr>
        <w:t xml:space="preserve"> document in recommending the introduction of the student assistantship </w:t>
      </w:r>
      <w:r w:rsidR="00DC222D">
        <w:rPr>
          <w:rFonts w:cs="Arial"/>
          <w:szCs w:val="24"/>
        </w:rPr>
        <w:t xml:space="preserve">from </w:t>
      </w:r>
      <w:r w:rsidR="005D252E">
        <w:rPr>
          <w:rFonts w:cs="Arial"/>
          <w:szCs w:val="24"/>
        </w:rPr>
        <w:t>2009.</w:t>
      </w:r>
    </w:p>
    <w:p w14:paraId="4CD06FF0" w14:textId="526B9659" w:rsidR="00230221" w:rsidRDefault="00230221" w:rsidP="00313168">
      <w:pPr>
        <w:rPr>
          <w:rFonts w:cs="Arial"/>
          <w:szCs w:val="24"/>
        </w:rPr>
      </w:pPr>
      <w:r>
        <w:rPr>
          <w:rFonts w:cs="Arial"/>
          <w:szCs w:val="24"/>
        </w:rPr>
        <w:lastRenderedPageBreak/>
        <w:t xml:space="preserve">Both clinical supervisors and undergraduates opine that they need more responsibility at medical school, particularly with decision-making and participating with ‘real patients’ in clinical environments </w:t>
      </w:r>
      <w:r>
        <w:rPr>
          <w:rFonts w:cs="Arial"/>
          <w:szCs w:val="24"/>
        </w:rPr>
        <w:fldChar w:fldCharType="begin">
          <w:fldData xml:space="preserve">PEVuZE5vdGU+PENpdGU+PEF1dGhvcj5CdXJmb3JkPC9BdXRob3I+PFllYXI+MjAxNDwvWWVhcj48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</w:fldData>
        </w:fldChar>
      </w:r>
      <w:r>
        <w:rPr>
          <w:rFonts w:cs="Arial"/>
          <w:szCs w:val="24"/>
        </w:rPr>
        <w:instrText xml:space="preserve"> ADDIN EN.CITE </w:instrText>
      </w:r>
      <w:r>
        <w:rPr>
          <w:rFonts w:cs="Arial"/>
          <w:szCs w:val="24"/>
        </w:rPr>
        <w:fldChar w:fldCharType="begin">
          <w:fldData xml:space="preserve">PEVuZE5vdGU+PENpdGU+PEF1dGhvcj5CdXJmb3JkPC9BdXRob3I+PFllYXI+MjAxNDwvWWVhcj48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</w:fldData>
        </w:fldChar>
      </w:r>
      <w:r>
        <w:rPr>
          <w:rFonts w:cs="Arial"/>
          <w:szCs w:val="24"/>
        </w:rPr>
        <w:instrText xml:space="preserve"> ADDIN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(Burford et al., 2014, Kellett et al., 2015)</w:t>
      </w:r>
      <w:r>
        <w:rPr>
          <w:rFonts w:cs="Arial"/>
          <w:szCs w:val="24"/>
        </w:rPr>
        <w:fldChar w:fldCharType="end"/>
      </w:r>
      <w:r w:rsidR="00DC222D">
        <w:rPr>
          <w:rFonts w:cs="Arial"/>
          <w:szCs w:val="24"/>
        </w:rPr>
        <w:t>. Some</w:t>
      </w:r>
      <w:r>
        <w:rPr>
          <w:rFonts w:cs="Arial"/>
          <w:szCs w:val="24"/>
        </w:rPr>
        <w:t xml:space="preserve"> highlight the need to teach and develop vital leadership and management skills</w:t>
      </w:r>
      <w:r w:rsidR="00693688">
        <w:rPr>
          <w:rFonts w:cs="Arial"/>
          <w:szCs w:val="24"/>
        </w:rPr>
        <w:t>,</w:t>
      </w:r>
      <w:r>
        <w:rPr>
          <w:rFonts w:cs="Arial"/>
          <w:szCs w:val="24"/>
        </w:rPr>
        <w:t xml:space="preserve"> whilst others highlight the need to enhance self-efficacy and self-regulation through education </w:t>
      </w:r>
      <w:r>
        <w:rPr>
          <w:rFonts w:cs="Arial"/>
          <w:szCs w:val="24"/>
        </w:rPr>
        <w:fldChar w:fldCharType="begin"/>
      </w:r>
      <w:r>
        <w:rPr>
          <w:rFonts w:cs="Arial"/>
          <w:szCs w:val="24"/>
        </w:rPr>
        <w:instrText xml:space="preserve"> ADDIN EN.CITE &lt;EndNote&gt;&lt;Cite&gt;&lt;Author&gt;Leigh&lt;/Author&gt;&lt;Year&gt;2008&lt;/Year&gt;&lt;IDText&gt;High-fidelity patient simulation and nursing students&amp;apos; self-efficacy: a review of the literature&lt;/IDText&gt;&lt;DisplayText&gt;(Leigh, 2008)&lt;/DisplayText&gt;&lt;record&gt;&lt;keywords&gt;&lt;keyword&gt;Attitude of Health Personnel&lt;/keyword&gt;&lt;keyword&gt;Clinical Competence&lt;/keyword&gt;&lt;keyword&gt;Education, Nursing, Baccalaureate&lt;/keyword&gt;&lt;keyword&gt;Health Services Needs and Demand&lt;/keyword&gt;&lt;keyword&gt;Humans&lt;/keyword&gt;&lt;keyword&gt;Manikins&lt;/keyword&gt;&lt;keyword&gt;Nursing Education Research&lt;/keyword&gt;&lt;keyword&gt;Nursing Methodology Research&lt;/keyword&gt;&lt;keyword&gt;Qualitative Research&lt;/keyword&gt;&lt;keyword&gt;Research Design&lt;/keyword&gt;&lt;keyword&gt;Self Efficacy&lt;/keyword&gt;&lt;keyword&gt;Students, Nursing&lt;/keyword&gt;&lt;/keywords&gt;&lt;urls&gt;&lt;related-urls&gt;&lt;url&gt;http://www.ncbi.nlm.nih.gov/pubmed/18976234&lt;/url&gt;&lt;/related-urls&gt;&lt;/urls&gt;&lt;isbn&gt;1548-923X&lt;/isbn&gt;&lt;titles&gt;&lt;title&gt;High-fidelity patient simulation and nursing students&amp;apos; self-efficacy: a review of the literature&lt;/title&gt;&lt;secondary-title&gt;Int J Nurs Educ Scholarsh&lt;/secondary-title&gt;&lt;/titles&gt;&lt;pages&gt;Article 37&lt;/pages&gt;&lt;contributors&gt;&lt;authors&gt;&lt;author&gt;Leigh, G. T.&lt;/author&gt;&lt;/authors&gt;&lt;/contributors&gt;&lt;language&gt;eng&lt;/language&gt;&lt;added-date format="utc"&gt;1455876610&lt;/added-date&gt;&lt;ref-type name="Journal Article"&gt;17&lt;/ref-type&gt;&lt;dates&gt;&lt;year&gt;2008&lt;/year&gt;&lt;/dates&gt;&lt;rec-number&gt;189&lt;/rec-number&gt;&lt;last-updated-date format="utc"&gt;1455876610&lt;/last-updated-date&gt;&lt;accession-num&gt;18976234&lt;/accession-num&gt;&lt;electronic-resource-num&gt;10.2202/1548-923X.1613&lt;/electronic-resource-num&gt;&lt;volume&gt;5&lt;/volume&gt;&lt;/record&gt;&lt;/Cite&gt;&lt;/EndNote&gt;</w:instrText>
      </w:r>
      <w:r>
        <w:rPr>
          <w:rFonts w:cs="Arial"/>
          <w:szCs w:val="24"/>
        </w:rPr>
        <w:fldChar w:fldCharType="separate"/>
      </w:r>
      <w:r>
        <w:rPr>
          <w:rFonts w:cs="Arial"/>
          <w:noProof/>
          <w:szCs w:val="24"/>
        </w:rPr>
        <w:t>(Leigh, 2008)</w:t>
      </w:r>
      <w:r>
        <w:rPr>
          <w:rFonts w:cs="Arial"/>
          <w:szCs w:val="24"/>
        </w:rPr>
        <w:fldChar w:fldCharType="end"/>
      </w:r>
      <w:r w:rsidR="00DC222D">
        <w:rPr>
          <w:rFonts w:cs="Arial"/>
          <w:szCs w:val="24"/>
        </w:rPr>
        <w:t>. S</w:t>
      </w:r>
      <w:r>
        <w:rPr>
          <w:rFonts w:cs="Arial"/>
          <w:szCs w:val="24"/>
        </w:rPr>
        <w:t>uggested improvements to the undergraduate medical curriculum include</w:t>
      </w:r>
      <w:r w:rsidR="00DC222D">
        <w:rPr>
          <w:rFonts w:cs="Arial"/>
          <w:szCs w:val="24"/>
        </w:rPr>
        <w:t>:</w:t>
      </w:r>
      <w:r>
        <w:rPr>
          <w:rFonts w:cs="Arial"/>
          <w:szCs w:val="24"/>
        </w:rPr>
        <w:t xml:space="preserve"> more exposure to complex cases and resultant decision-making, ‘more realistic, continuous exposure to patients during placements, more widespread use of simulation, including multi-professional scenarios’, to help improve graduate preparedness for practice </w:t>
      </w:r>
      <w:r>
        <w:rPr>
          <w:rFonts w:cs="Arial"/>
          <w:szCs w:val="24"/>
        </w:rPr>
        <w:fldChar w:fldCharType="begin"/>
      </w:r>
      <w:r>
        <w:rPr>
          <w:rFonts w:cs="Arial"/>
          <w:szCs w:val="24"/>
        </w:rPr>
        <w:instrText xml:space="preserve"> ADDIN EN.CITE &lt;EndNote&gt;&lt;Cite&gt;&lt;Author&gt;Kellett&lt;/Author&gt;&lt;Year&gt;2015&lt;/Year&gt;&lt;IDText&gt;The preparedness of newly qualified doctors - Views of Foundation doctors and supervisors&lt;/IDText&gt;&lt;DisplayText&gt;(Kellett et al., 2015)&lt;/DisplayText&gt;&lt;record&gt;&lt;urls&gt;&lt;related-urls&gt;&lt;url&gt;http://www.ncbi.nlm.nih.gov/pubmed/25308805&lt;/url&gt;&lt;/related-urls&gt;&lt;/urls&gt;&lt;isbn&gt;1466-187X&lt;/isbn&gt;&lt;titles&gt;&lt;title&gt;The preparedness of newly qualified doctors - Views of Foundation doctors and supervisors&lt;/title&gt;&lt;secondary-title&gt;Med Teach&lt;/secondary-title&gt;&lt;/titles&gt;&lt;pages&gt;949-54&lt;/pages&gt;&lt;number&gt;10&lt;/number&gt;&lt;contributors&gt;&lt;authors&gt;&lt;author&gt;Kellett, J.&lt;/author&gt;&lt;author&gt;Papageorgiou, A.&lt;/author&gt;&lt;author&gt;Cavenagh, P.&lt;/author&gt;&lt;author&gt;Salter, C.&lt;/author&gt;&lt;author&gt;Miles, S.&lt;/author&gt;&lt;author&gt;Leinster, S. J.&lt;/author&gt;&lt;/authors&gt;&lt;/contributors&gt;&lt;language&gt;eng&lt;/language&gt;&lt;added-date format="utc"&gt;1456222806&lt;/added-date&gt;&lt;ref-type name="Journal Article"&gt;17&lt;/ref-type&gt;&lt;dates&gt;&lt;year&gt;2015&lt;/year&gt;&lt;/dates&gt;&lt;rec-number&gt;196&lt;/rec-number&gt;&lt;last-updated-date format="utc"&gt;1456222806&lt;/last-updated-date&gt;&lt;accession-num&gt;25308805&lt;/accession-num&gt;&lt;electronic-resource-num&gt;10.3109/0142159X.2014.970619&lt;/electronic-resource-num&gt;&lt;volume&gt;37&lt;/volume&gt;&lt;/record&gt;&lt;/Cite&gt;&lt;/EndNote&gt;</w:instrText>
      </w:r>
      <w:r>
        <w:rPr>
          <w:rFonts w:cs="Arial"/>
          <w:szCs w:val="24"/>
        </w:rPr>
        <w:fldChar w:fldCharType="separate"/>
      </w:r>
      <w:r>
        <w:rPr>
          <w:rFonts w:cs="Arial"/>
          <w:noProof/>
          <w:szCs w:val="24"/>
        </w:rPr>
        <w:t>(Kellett et al., 2015)</w:t>
      </w:r>
      <w:r>
        <w:rPr>
          <w:rFonts w:cs="Arial"/>
          <w:szCs w:val="24"/>
        </w:rPr>
        <w:fldChar w:fldCharType="end"/>
      </w:r>
      <w:r>
        <w:rPr>
          <w:rFonts w:cs="Arial"/>
          <w:szCs w:val="24"/>
        </w:rPr>
        <w:t>. Burford et al. (2014) agree that simulation is import</w:t>
      </w:r>
      <w:r w:rsidR="00DC222D">
        <w:rPr>
          <w:rFonts w:cs="Arial"/>
          <w:szCs w:val="24"/>
        </w:rPr>
        <w:t>ant but experiences in the work</w:t>
      </w:r>
      <w:r>
        <w:rPr>
          <w:rFonts w:cs="Arial"/>
          <w:szCs w:val="24"/>
        </w:rPr>
        <w:t>place are more beneficial.</w:t>
      </w:r>
    </w:p>
    <w:p w14:paraId="327B013D" w14:textId="41228507" w:rsidR="002B089D" w:rsidRDefault="00230221" w:rsidP="00313168">
      <w:pPr>
        <w:rPr>
          <w:rFonts w:cs="Arial"/>
          <w:szCs w:val="24"/>
        </w:rPr>
      </w:pPr>
      <w:r>
        <w:rPr>
          <w:rFonts w:cs="Arial"/>
          <w:szCs w:val="24"/>
        </w:rPr>
        <w:t xml:space="preserve">The </w:t>
      </w:r>
      <w:r w:rsidR="00DC222D">
        <w:rPr>
          <w:rFonts w:cs="Arial"/>
          <w:szCs w:val="24"/>
        </w:rPr>
        <w:t xml:space="preserve">student </w:t>
      </w:r>
      <w:r>
        <w:rPr>
          <w:rFonts w:cs="Arial"/>
          <w:szCs w:val="24"/>
        </w:rPr>
        <w:t>assistantship aims</w:t>
      </w:r>
      <w:r w:rsidR="0095309B">
        <w:rPr>
          <w:rFonts w:cs="Arial"/>
          <w:szCs w:val="24"/>
        </w:rPr>
        <w:t xml:space="preserve"> </w:t>
      </w:r>
      <w:r>
        <w:rPr>
          <w:rFonts w:cs="Arial"/>
          <w:szCs w:val="24"/>
        </w:rPr>
        <w:t xml:space="preserve">to </w:t>
      </w:r>
      <w:r w:rsidR="0095309B">
        <w:rPr>
          <w:rFonts w:cs="Arial"/>
          <w:szCs w:val="24"/>
        </w:rPr>
        <w:t>encourage</w:t>
      </w:r>
      <w:r w:rsidR="00BD5566">
        <w:rPr>
          <w:rFonts w:cs="Arial"/>
          <w:szCs w:val="24"/>
        </w:rPr>
        <w:t xml:space="preserve"> more activ</w:t>
      </w:r>
      <w:r w:rsidR="00C83A81">
        <w:rPr>
          <w:rFonts w:cs="Arial"/>
          <w:szCs w:val="24"/>
        </w:rPr>
        <w:t>e participation with</w:t>
      </w:r>
      <w:r w:rsidR="007B71BB">
        <w:rPr>
          <w:rFonts w:cs="Arial"/>
          <w:szCs w:val="24"/>
        </w:rPr>
        <w:t xml:space="preserve"> patient care</w:t>
      </w:r>
      <w:r w:rsidR="0095309B">
        <w:rPr>
          <w:rFonts w:cs="Arial"/>
          <w:szCs w:val="24"/>
        </w:rPr>
        <w:t xml:space="preserve"> by</w:t>
      </w:r>
      <w:r w:rsidR="00404D35">
        <w:rPr>
          <w:rFonts w:cs="Arial"/>
          <w:szCs w:val="24"/>
        </w:rPr>
        <w:t xml:space="preserve"> taking responsibility</w:t>
      </w:r>
      <w:r w:rsidR="0095309B">
        <w:rPr>
          <w:rFonts w:cs="Arial"/>
          <w:szCs w:val="24"/>
        </w:rPr>
        <w:t>, under supervision, t</w:t>
      </w:r>
      <w:r w:rsidR="00DC222D">
        <w:rPr>
          <w:rFonts w:cs="Arial"/>
          <w:szCs w:val="24"/>
        </w:rPr>
        <w:t>he</w:t>
      </w:r>
      <w:r w:rsidR="0095309B">
        <w:rPr>
          <w:rFonts w:cs="Arial"/>
          <w:szCs w:val="24"/>
        </w:rPr>
        <w:t xml:space="preserve"> perform</w:t>
      </w:r>
      <w:r w:rsidR="00DC222D">
        <w:rPr>
          <w:rFonts w:cs="Arial"/>
          <w:szCs w:val="24"/>
        </w:rPr>
        <w:t>ance</w:t>
      </w:r>
      <w:r w:rsidR="0095309B">
        <w:rPr>
          <w:rFonts w:cs="Arial"/>
          <w:szCs w:val="24"/>
        </w:rPr>
        <w:t xml:space="preserve"> of the tasks expected of a FY1 </w:t>
      </w:r>
      <w:r w:rsidR="0095309B">
        <w:rPr>
          <w:rFonts w:cs="Arial"/>
          <w:szCs w:val="24"/>
        </w:rPr>
        <w:fldChar w:fldCharType="begin"/>
      </w:r>
      <w:r w:rsidR="00BB31A6">
        <w:rPr>
          <w:rFonts w:cs="Arial"/>
          <w:szCs w:val="24"/>
        </w:rPr>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sidR="0095309B">
        <w:rPr>
          <w:rFonts w:cs="Arial"/>
          <w:szCs w:val="24"/>
        </w:rPr>
        <w:fldChar w:fldCharType="separate"/>
      </w:r>
      <w:r w:rsidR="00BB31A6">
        <w:rPr>
          <w:rFonts w:cs="Arial"/>
          <w:noProof/>
          <w:szCs w:val="24"/>
        </w:rPr>
        <w:t>(GMC, 2009)</w:t>
      </w:r>
      <w:r w:rsidR="0095309B">
        <w:rPr>
          <w:rFonts w:cs="Arial"/>
          <w:szCs w:val="24"/>
        </w:rPr>
        <w:fldChar w:fldCharType="end"/>
      </w:r>
      <w:r w:rsidR="007B71BB">
        <w:rPr>
          <w:rFonts w:cs="Arial"/>
          <w:szCs w:val="24"/>
        </w:rPr>
        <w:t>.</w:t>
      </w:r>
      <w:r w:rsidR="0095309B">
        <w:rPr>
          <w:rFonts w:cs="Arial"/>
          <w:szCs w:val="24"/>
        </w:rPr>
        <w:t xml:space="preserve"> Evidence points to the fact that FY1s will be better prepared the more closely their undergraduate curriculum represents their authentic role as </w:t>
      </w:r>
      <w:r w:rsidR="00BC4377">
        <w:rPr>
          <w:rFonts w:cs="Arial"/>
          <w:szCs w:val="24"/>
        </w:rPr>
        <w:t>a FY1</w:t>
      </w:r>
      <w:r w:rsidR="0095309B">
        <w:rPr>
          <w:rFonts w:cs="Arial"/>
          <w:szCs w:val="24"/>
        </w:rPr>
        <w:t xml:space="preserve"> </w:t>
      </w:r>
      <w:r w:rsidR="0095309B">
        <w:rPr>
          <w:rFonts w:cs="Arial"/>
          <w:szCs w:val="24"/>
        </w:rPr>
        <w:fldChar w:fldCharType="begin"/>
      </w:r>
      <w:r w:rsidR="00B159B8">
        <w:rPr>
          <w:rFonts w:cs="Arial"/>
          <w:szCs w:val="24"/>
        </w:rPr>
        <w:instrText xml:space="preserve"> ADDIN EN.CITE &lt;EndNote&gt;&lt;Cite&gt;&lt;Author&gt;Tallentire&lt;/Author&gt;&lt;Year&gt;2011&lt;/Year&gt;&lt;IDText&gt;Understanding the behaviour of newly qualified doctors in acute care contexts&lt;/IDText&gt;&lt;DisplayText&gt;(Tallentire et al., 2011b)&lt;/DisplayText&gt;&lt;record&gt;&lt;dates&gt;&lt;pub-dates&gt;&lt;date&gt;Oct&lt;/date&gt;&lt;/pub-dates&gt;&lt;year&gt;2011&lt;/year&gt;&lt;/dates&gt;&lt;keywords&gt;&lt;keyword&gt;Adaptation, Psychological&lt;/keyword&gt;&lt;keyword&gt;Attitude of Health Personnel&lt;/keyword&gt;&lt;keyword&gt;Clinical Competence&lt;/keyword&gt;&lt;keyword&gt;Education, Medical, Graduate&lt;/keyword&gt;&lt;keyword&gt;Focus Groups&lt;/keyword&gt;&lt;keyword&gt;Humans&lt;/keyword&gt;&lt;keyword&gt;Internship and Residency&lt;/keyword&gt;&lt;keyword&gt;Interpersonal Relations&lt;/keyword&gt;&lt;keyword&gt;Medical Staff, Hospital&lt;/keyword&gt;&lt;keyword&gt;Scotland&lt;/keyword&gt;&lt;keyword&gt;State Medicine&lt;/keyword&gt;&lt;keyword&gt;Stress, Psychological&lt;/keyword&gt;&lt;keyword&gt;Students, Medical&lt;/keyword&gt;&lt;/keywords&gt;&lt;urls&gt;&lt;related-urls&gt;&lt;url&gt;http://www.ncbi.nlm.nih.gov/pubmed/21916939&lt;/url&gt;&lt;/related-urls&gt;&lt;/urls&gt;&lt;isbn&gt;1365-2923&lt;/isbn&gt;&lt;titles&gt;&lt;title&gt;Understanding the behaviour of newly qualified doctors in acute care contexts&lt;/title&gt;&lt;secondary-title&gt;Med Educ&lt;/secondary-title&gt;&lt;/titles&gt;&lt;pages&gt;995-1005&lt;/pages&gt;&lt;number&gt;10&lt;/number&gt;&lt;contributors&gt;&lt;authors&gt;&lt;author&gt;Tallentire, V. R.&lt;/author&gt;&lt;author&gt;Smith, S. E.&lt;/author&gt;&lt;author&gt;Skinner, J.&lt;/author&gt;&lt;author&gt;Cameron, H. S.&lt;/author&gt;&lt;/authors&gt;&lt;/contributors&gt;&lt;language&gt;eng&lt;/language&gt;&lt;added-date format="utc"&gt;1455789999&lt;/added-date&gt;&lt;ref-type name="Journal Article"&gt;17&lt;/ref-type&gt;&lt;rec-number&gt;183&lt;/rec-number&gt;&lt;last-updated-date format="utc"&gt;1455789999&lt;/last-updated-date&gt;&lt;accession-num&gt;21916939&lt;/accession-num&gt;&lt;electronic-resource-num&gt;10.1111/j.1365-2923.2011.04024.x&lt;/electronic-resource-num&gt;&lt;volume&gt;45&lt;/volume&gt;&lt;/record&gt;&lt;/Cite&gt;&lt;/EndNote&gt;</w:instrText>
      </w:r>
      <w:r w:rsidR="0095309B">
        <w:rPr>
          <w:rFonts w:cs="Arial"/>
          <w:szCs w:val="24"/>
        </w:rPr>
        <w:fldChar w:fldCharType="separate"/>
      </w:r>
      <w:r w:rsidR="00B159B8">
        <w:rPr>
          <w:rFonts w:cs="Arial"/>
          <w:noProof/>
          <w:szCs w:val="24"/>
        </w:rPr>
        <w:t>(Tallentire et al., 2011b)</w:t>
      </w:r>
      <w:r w:rsidR="0095309B">
        <w:rPr>
          <w:rFonts w:cs="Arial"/>
          <w:szCs w:val="24"/>
        </w:rPr>
        <w:fldChar w:fldCharType="end"/>
      </w:r>
      <w:r w:rsidR="00F67D98">
        <w:rPr>
          <w:rFonts w:cs="Arial"/>
          <w:szCs w:val="24"/>
        </w:rPr>
        <w:t xml:space="preserve">. </w:t>
      </w:r>
      <w:r>
        <w:rPr>
          <w:rFonts w:cs="Arial"/>
          <w:szCs w:val="24"/>
        </w:rPr>
        <w:t xml:space="preserve">Though </w:t>
      </w:r>
      <w:r w:rsidR="008376C9">
        <w:rPr>
          <w:rFonts w:cs="Arial"/>
          <w:szCs w:val="24"/>
        </w:rPr>
        <w:t>Tallentire et al</w:t>
      </w:r>
      <w:r w:rsidR="005D7D6A">
        <w:rPr>
          <w:rFonts w:cs="Arial"/>
          <w:szCs w:val="24"/>
        </w:rPr>
        <w:t xml:space="preserve">. </w:t>
      </w:r>
      <w:r>
        <w:rPr>
          <w:rFonts w:cs="Arial"/>
          <w:szCs w:val="24"/>
        </w:rPr>
        <w:t xml:space="preserve">(2012a) </w:t>
      </w:r>
      <w:r w:rsidR="005D7D6A">
        <w:rPr>
          <w:rFonts w:cs="Arial"/>
          <w:szCs w:val="24"/>
        </w:rPr>
        <w:t xml:space="preserve">highlight that little </w:t>
      </w:r>
      <w:r w:rsidR="008376C9">
        <w:rPr>
          <w:rFonts w:cs="Arial"/>
          <w:szCs w:val="24"/>
        </w:rPr>
        <w:t xml:space="preserve">work has been done </w:t>
      </w:r>
      <w:r w:rsidR="00DC222D">
        <w:rPr>
          <w:rFonts w:cs="Arial"/>
          <w:szCs w:val="24"/>
        </w:rPr>
        <w:t xml:space="preserve">about </w:t>
      </w:r>
      <w:r w:rsidR="008376C9">
        <w:rPr>
          <w:rFonts w:cs="Arial"/>
          <w:szCs w:val="24"/>
        </w:rPr>
        <w:t>creating an evidence base to inform curricula outcomes</w:t>
      </w:r>
      <w:r w:rsidR="005D7D6A">
        <w:rPr>
          <w:rFonts w:cs="Arial"/>
          <w:szCs w:val="24"/>
        </w:rPr>
        <w:t xml:space="preserve"> and learning priorities</w:t>
      </w:r>
      <w:r w:rsidR="008376C9">
        <w:rPr>
          <w:rFonts w:cs="Arial"/>
          <w:szCs w:val="24"/>
        </w:rPr>
        <w:t xml:space="preserve"> for the assistantship</w:t>
      </w:r>
      <w:r w:rsidR="005D7D6A">
        <w:rPr>
          <w:rFonts w:cs="Arial"/>
          <w:szCs w:val="24"/>
        </w:rPr>
        <w:t xml:space="preserve"> to ensure added value and avoid ‘overcrowding’ of competencies. This study </w:t>
      </w:r>
      <w:r w:rsidR="00337A7E">
        <w:rPr>
          <w:rFonts w:cs="Arial"/>
          <w:szCs w:val="24"/>
        </w:rPr>
        <w:t>used</w:t>
      </w:r>
      <w:r w:rsidR="005D7D6A">
        <w:rPr>
          <w:rFonts w:cs="Arial"/>
          <w:szCs w:val="24"/>
        </w:rPr>
        <w:t xml:space="preserve"> a questionnaire sent electronically to all FY1s graduating from Edinburgh </w:t>
      </w:r>
      <w:r w:rsidR="00DC222D">
        <w:rPr>
          <w:rFonts w:cs="Arial"/>
          <w:szCs w:val="24"/>
        </w:rPr>
        <w:t>M</w:t>
      </w:r>
      <w:r w:rsidR="005D7D6A">
        <w:rPr>
          <w:rFonts w:cs="Arial"/>
          <w:szCs w:val="24"/>
        </w:rPr>
        <w:t xml:space="preserve">edical </w:t>
      </w:r>
      <w:r w:rsidR="00DC222D">
        <w:rPr>
          <w:rFonts w:cs="Arial"/>
          <w:szCs w:val="24"/>
        </w:rPr>
        <w:t>S</w:t>
      </w:r>
      <w:r w:rsidR="005D7D6A">
        <w:rPr>
          <w:rFonts w:cs="Arial"/>
          <w:szCs w:val="24"/>
        </w:rPr>
        <w:t xml:space="preserve">chool in 2010 (n=204) and all educational supervisors (n=100). Response rates were </w:t>
      </w:r>
      <w:r w:rsidR="00AF70FA">
        <w:rPr>
          <w:rFonts w:cs="Arial"/>
          <w:szCs w:val="24"/>
        </w:rPr>
        <w:t>low</w:t>
      </w:r>
      <w:r w:rsidR="005D7D6A">
        <w:rPr>
          <w:rFonts w:cs="Arial"/>
          <w:szCs w:val="24"/>
        </w:rPr>
        <w:t xml:space="preserve"> at 31</w:t>
      </w:r>
      <w:r w:rsidR="00DC222D">
        <w:rPr>
          <w:rFonts w:cs="Arial"/>
          <w:szCs w:val="24"/>
        </w:rPr>
        <w:t>%</w:t>
      </w:r>
      <w:r w:rsidR="005D7D6A">
        <w:rPr>
          <w:rFonts w:cs="Arial"/>
          <w:szCs w:val="24"/>
        </w:rPr>
        <w:t xml:space="preserve"> and 33</w:t>
      </w:r>
      <w:r w:rsidR="00DC222D">
        <w:rPr>
          <w:rFonts w:cs="Arial"/>
          <w:szCs w:val="24"/>
        </w:rPr>
        <w:t xml:space="preserve">% </w:t>
      </w:r>
      <w:r w:rsidR="005D7D6A">
        <w:rPr>
          <w:rFonts w:cs="Arial"/>
          <w:szCs w:val="24"/>
        </w:rPr>
        <w:t>respectively.</w:t>
      </w:r>
      <w:r>
        <w:rPr>
          <w:rFonts w:cs="Arial"/>
          <w:szCs w:val="24"/>
        </w:rPr>
        <w:t xml:space="preserve"> E</w:t>
      </w:r>
      <w:r w:rsidR="005D7D6A">
        <w:rPr>
          <w:rFonts w:cs="Arial"/>
          <w:szCs w:val="24"/>
        </w:rPr>
        <w:t xml:space="preserve">ducational supervisors rated ‘completion of discharge scripts, task prioritisation and handover’ as the top three areas to prioritise skill development during the </w:t>
      </w:r>
      <w:r w:rsidR="005D7D6A">
        <w:rPr>
          <w:rFonts w:cs="Arial"/>
          <w:szCs w:val="24"/>
        </w:rPr>
        <w:lastRenderedPageBreak/>
        <w:t>assistantship, whilst FY1s ranked practical tasks as their highest learning need. The team hypothesise that these data may be explained through the supervisor prioritising ‘patient flow and administration’ whilst the FY1 view may reflect reduced ‘opportunities to practice practical tasks’ in medical school</w:t>
      </w:r>
      <w:r w:rsidR="00E7208F">
        <w:rPr>
          <w:rFonts w:cs="Arial"/>
          <w:szCs w:val="24"/>
        </w:rPr>
        <w:t xml:space="preserve"> </w:t>
      </w:r>
      <w:r w:rsidR="005D7D6A">
        <w:rPr>
          <w:rFonts w:cs="Arial"/>
          <w:szCs w:val="24"/>
        </w:rPr>
        <w:fldChar w:fldCharType="begin"/>
      </w:r>
      <w:r w:rsidR="00E7208F">
        <w:rPr>
          <w:rFonts w:cs="Arial"/>
          <w:szCs w:val="24"/>
        </w:rPr>
        <w:instrText xml:space="preserve"> ADDIN EN.CITE &lt;EndNote&gt;&lt;Cite&gt;&lt;Author&gt;Tallentire&lt;/Author&gt;&lt;Year&gt;2012&lt;/Year&gt;&lt;IDText&gt;Designing a purposeful student assistantship&lt;/IDText&gt;&lt;DisplayText&gt;(Tallentire et al., 2012a)&lt;/DisplayText&gt;&lt;record&gt;&lt;dates&gt;&lt;pub-dates&gt;&lt;date&gt;Aug&lt;/date&gt;&lt;/pub-dates&gt;&lt;year&gt;2012&lt;/year&gt;&lt;/dates&gt;&lt;keywords&gt;&lt;keyword&gt;Chi-Square Distribution&lt;/keyword&gt;&lt;keyword&gt;Clinical Competence&lt;/keyword&gt;&lt;keyword&gt;Curriculum&lt;/keyword&gt;&lt;keyword&gt;Education, Medical, Undergraduate&lt;/keyword&gt;&lt;keyword&gt;Faculty, Medical&lt;/keyword&gt;&lt;keyword&gt;Great Britain&lt;/keyword&gt;&lt;keyword&gt;Health Knowledge, Attitudes, Practice&lt;/keyword&gt;&lt;keyword&gt;Humans&lt;/keyword&gt;&lt;keyword&gt;Learning&lt;/keyword&gt;&lt;keyword&gt;Mentors&lt;/keyword&gt;&lt;keyword&gt;Students, Medical&lt;/keyword&gt;&lt;keyword&gt;Surveys and Questionnaires&lt;/keyword&gt;&lt;keyword&gt;Teaching&lt;/keyword&gt;&lt;/keywords&gt;&lt;urls&gt;&lt;related-urls&gt;&lt;url&gt;http://www.ncbi.nlm.nih.gov/pubmed/22783851&lt;/url&gt;&lt;/related-urls&gt;&lt;/urls&gt;&lt;isbn&gt;1743-498X&lt;/isbn&gt;&lt;titles&gt;&lt;title&gt;Designing a purposeful student assistantship&lt;/title&gt;&lt;secondary-title&gt;Clin Teach&lt;/secondary-title&gt;&lt;/titles&gt;&lt;pages&gt;210-5&lt;/pages&gt;&lt;number&gt;4&lt;/number&gt;&lt;contributors&gt;&lt;authors&gt;&lt;author&gt;Tallentire, V. R.&lt;/author&gt;&lt;author&gt;Smith, S. E.&lt;/author&gt;&lt;author&gt;Cameron, H. S.&lt;/author&gt;&lt;/authors&gt;&lt;/contributors&gt;&lt;language&gt;eng&lt;/language&gt;&lt;added-date format="utc"&gt;1455789537&lt;/added-date&gt;&lt;ref-type name="Journal Article"&gt;17&lt;/ref-type&gt;&lt;rec-number&gt;181&lt;/rec-number&gt;&lt;last-updated-date format="utc"&gt;1455789537&lt;/last-updated-date&gt;&lt;accession-num&gt;22783851&lt;/accession-num&gt;&lt;electronic-resource-num&gt;10.1111/j.1743-498X.2012.00553.x&lt;/electronic-resource-num&gt;&lt;volume&gt;9&lt;/volume&gt;&lt;/record&gt;&lt;/Cite&gt;&lt;/EndNote&gt;</w:instrText>
      </w:r>
      <w:r w:rsidR="005D7D6A">
        <w:rPr>
          <w:rFonts w:cs="Arial"/>
          <w:szCs w:val="24"/>
        </w:rPr>
        <w:fldChar w:fldCharType="separate"/>
      </w:r>
      <w:r w:rsidR="00E7208F">
        <w:rPr>
          <w:rFonts w:cs="Arial"/>
          <w:noProof/>
          <w:szCs w:val="24"/>
        </w:rPr>
        <w:t>(Tallentire et al., 2012a)</w:t>
      </w:r>
      <w:r w:rsidR="005D7D6A">
        <w:rPr>
          <w:rFonts w:cs="Arial"/>
          <w:szCs w:val="24"/>
        </w:rPr>
        <w:fldChar w:fldCharType="end"/>
      </w:r>
      <w:r w:rsidR="005D7D6A">
        <w:rPr>
          <w:rFonts w:cs="Arial"/>
          <w:szCs w:val="24"/>
        </w:rPr>
        <w:t xml:space="preserve">. </w:t>
      </w:r>
      <w:r w:rsidR="00E7208F">
        <w:rPr>
          <w:rFonts w:cs="Arial"/>
          <w:szCs w:val="24"/>
        </w:rPr>
        <w:t>The top three combined priorit</w:t>
      </w:r>
      <w:r w:rsidR="00404D35">
        <w:rPr>
          <w:rFonts w:cs="Arial"/>
          <w:szCs w:val="24"/>
        </w:rPr>
        <w:t>ies</w:t>
      </w:r>
      <w:r w:rsidR="00E7208F">
        <w:rPr>
          <w:rFonts w:cs="Arial"/>
          <w:szCs w:val="24"/>
        </w:rPr>
        <w:t xml:space="preserve"> for learning opportunities were ‘prescribing, acute care and prioritisation of ward tasks</w:t>
      </w:r>
      <w:r w:rsidR="00AF70FA">
        <w:rPr>
          <w:rFonts w:cs="Arial"/>
          <w:szCs w:val="24"/>
        </w:rPr>
        <w:t>’</w:t>
      </w:r>
      <w:r w:rsidR="00237971">
        <w:rPr>
          <w:rFonts w:cs="Arial"/>
          <w:szCs w:val="24"/>
        </w:rPr>
        <w:t>,</w:t>
      </w:r>
      <w:r w:rsidR="00AF70FA">
        <w:rPr>
          <w:rFonts w:cs="Arial"/>
          <w:szCs w:val="24"/>
        </w:rPr>
        <w:t xml:space="preserve"> which echoes many of the</w:t>
      </w:r>
      <w:r w:rsidR="00E7208F">
        <w:rPr>
          <w:rFonts w:cs="Arial"/>
          <w:szCs w:val="24"/>
        </w:rPr>
        <w:t xml:space="preserve"> studies </w:t>
      </w:r>
      <w:r w:rsidR="00404D35">
        <w:rPr>
          <w:rFonts w:cs="Arial"/>
          <w:szCs w:val="24"/>
        </w:rPr>
        <w:t xml:space="preserve">previously </w:t>
      </w:r>
      <w:r w:rsidR="00E7208F">
        <w:rPr>
          <w:rFonts w:cs="Arial"/>
          <w:szCs w:val="24"/>
        </w:rPr>
        <w:t xml:space="preserve">described. Free text </w:t>
      </w:r>
      <w:r w:rsidR="00237971">
        <w:rPr>
          <w:rFonts w:cs="Arial"/>
          <w:szCs w:val="24"/>
        </w:rPr>
        <w:t xml:space="preserve">responses </w:t>
      </w:r>
      <w:r w:rsidR="00E7208F">
        <w:rPr>
          <w:rFonts w:cs="Arial"/>
          <w:szCs w:val="24"/>
        </w:rPr>
        <w:t>revealed ‘out of hours working</w:t>
      </w:r>
      <w:r w:rsidR="000E4FCE">
        <w:rPr>
          <w:rFonts w:cs="Arial"/>
          <w:szCs w:val="24"/>
        </w:rPr>
        <w:t xml:space="preserve">, </w:t>
      </w:r>
      <w:r w:rsidR="00E7208F">
        <w:rPr>
          <w:rFonts w:cs="Arial"/>
          <w:szCs w:val="24"/>
        </w:rPr>
        <w:t>administrative tasks and experience of the theatre environment’ to be important to FY1s and supervisors</w:t>
      </w:r>
      <w:r w:rsidR="00AF70FA">
        <w:rPr>
          <w:rFonts w:cs="Arial"/>
          <w:szCs w:val="24"/>
        </w:rPr>
        <w:t xml:space="preserve"> </w:t>
      </w:r>
      <w:r w:rsidR="00E7208F">
        <w:rPr>
          <w:rFonts w:cs="Arial"/>
          <w:szCs w:val="24"/>
        </w:rPr>
        <w:fldChar w:fldCharType="begin"/>
      </w:r>
      <w:r w:rsidR="00E7208F">
        <w:rPr>
          <w:rFonts w:cs="Arial"/>
          <w:szCs w:val="24"/>
        </w:rPr>
        <w:instrText xml:space="preserve"> ADDIN EN.CITE &lt;EndNote&gt;&lt;Cite&gt;&lt;Author&gt;Tallentire&lt;/Author&gt;&lt;Year&gt;2012&lt;/Year&gt;&lt;IDText&gt;Designing a purposeful student assistantship&lt;/IDText&gt;&lt;DisplayText&gt;(Tallentire et al., 2012a)&lt;/DisplayText&gt;&lt;record&gt;&lt;dates&gt;&lt;pub-dates&gt;&lt;date&gt;Aug&lt;/date&gt;&lt;/pub-dates&gt;&lt;year&gt;2012&lt;/year&gt;&lt;/dates&gt;&lt;keywords&gt;&lt;keyword&gt;Chi-Square Distribution&lt;/keyword&gt;&lt;keyword&gt;Clinical Competence&lt;/keyword&gt;&lt;keyword&gt;Curriculum&lt;/keyword&gt;&lt;keyword&gt;Education, Medical, Undergraduate&lt;/keyword&gt;&lt;keyword&gt;Faculty, Medical&lt;/keyword&gt;&lt;keyword&gt;Great Britain&lt;/keyword&gt;&lt;keyword&gt;Health Knowledge, Attitudes, Practice&lt;/keyword&gt;&lt;keyword&gt;Humans&lt;/keyword&gt;&lt;keyword&gt;Learning&lt;/keyword&gt;&lt;keyword&gt;Mentors&lt;/keyword&gt;&lt;keyword&gt;Students, Medical&lt;/keyword&gt;&lt;keyword&gt;Surveys and Questionnaires&lt;/keyword&gt;&lt;keyword&gt;Teaching&lt;/keyword&gt;&lt;/keywords&gt;&lt;urls&gt;&lt;related-urls&gt;&lt;url&gt;http://www.ncbi.nlm.nih.gov/pubmed/22783851&lt;/url&gt;&lt;/related-urls&gt;&lt;/urls&gt;&lt;isbn&gt;1743-498X&lt;/isbn&gt;&lt;titles&gt;&lt;title&gt;Designing a purposeful student assistantship&lt;/title&gt;&lt;secondary-title&gt;Clin Teach&lt;/secondary-title&gt;&lt;/titles&gt;&lt;pages&gt;210-5&lt;/pages&gt;&lt;number&gt;4&lt;/number&gt;&lt;contributors&gt;&lt;authors&gt;&lt;author&gt;Tallentire, V. R.&lt;/author&gt;&lt;author&gt;Smith, S. E.&lt;/author&gt;&lt;author&gt;Cameron, H. S.&lt;/author&gt;&lt;/authors&gt;&lt;/contributors&gt;&lt;language&gt;eng&lt;/language&gt;&lt;added-date format="utc"&gt;1455789537&lt;/added-date&gt;&lt;ref-type name="Journal Article"&gt;17&lt;/ref-type&gt;&lt;rec-number&gt;181&lt;/rec-number&gt;&lt;last-updated-date format="utc"&gt;1455789537&lt;/last-updated-date&gt;&lt;accession-num&gt;22783851&lt;/accession-num&gt;&lt;electronic-resource-num&gt;10.1111/j.1743-498X.2012.00553.x&lt;/electronic-resource-num&gt;&lt;volume&gt;9&lt;/volume&gt;&lt;/record&gt;&lt;/Cite&gt;&lt;/EndNote&gt;</w:instrText>
      </w:r>
      <w:r w:rsidR="00E7208F">
        <w:rPr>
          <w:rFonts w:cs="Arial"/>
          <w:szCs w:val="24"/>
        </w:rPr>
        <w:fldChar w:fldCharType="separate"/>
      </w:r>
      <w:r w:rsidR="00E7208F">
        <w:rPr>
          <w:rFonts w:cs="Arial"/>
          <w:noProof/>
          <w:szCs w:val="24"/>
        </w:rPr>
        <w:t>(Tallentire et al., 2012a)</w:t>
      </w:r>
      <w:r w:rsidR="00E7208F">
        <w:rPr>
          <w:rFonts w:cs="Arial"/>
          <w:szCs w:val="24"/>
        </w:rPr>
        <w:fldChar w:fldCharType="end"/>
      </w:r>
      <w:r w:rsidR="00E7208F">
        <w:rPr>
          <w:rFonts w:cs="Arial"/>
          <w:szCs w:val="24"/>
        </w:rPr>
        <w:t>. This st</w:t>
      </w:r>
      <w:r w:rsidR="00AF70FA">
        <w:rPr>
          <w:rFonts w:cs="Arial"/>
          <w:szCs w:val="24"/>
        </w:rPr>
        <w:t>udy highlights the importance of</w:t>
      </w:r>
      <w:r w:rsidR="00E7208F">
        <w:rPr>
          <w:rFonts w:cs="Arial"/>
          <w:szCs w:val="24"/>
        </w:rPr>
        <w:t xml:space="preserve"> </w:t>
      </w:r>
      <w:r w:rsidR="000E4FCE">
        <w:rPr>
          <w:rFonts w:cs="Arial"/>
          <w:szCs w:val="24"/>
        </w:rPr>
        <w:t xml:space="preserve">multiple </w:t>
      </w:r>
      <w:r w:rsidR="00E7208F">
        <w:rPr>
          <w:rFonts w:cs="Arial"/>
          <w:szCs w:val="24"/>
        </w:rPr>
        <w:t>stakeholder views to inform curricula development.</w:t>
      </w:r>
    </w:p>
    <w:p w14:paraId="79BDCAD2" w14:textId="62213F83" w:rsidR="00887E55" w:rsidRPr="00CA1C02" w:rsidRDefault="00E83036" w:rsidP="00313168">
      <w:pPr>
        <w:rPr>
          <w:rFonts w:cs="Arial"/>
          <w:szCs w:val="24"/>
        </w:rPr>
      </w:pPr>
      <w:r>
        <w:rPr>
          <w:rFonts w:cs="Arial"/>
          <w:szCs w:val="24"/>
        </w:rPr>
        <w:t xml:space="preserve">Wall et al. </w:t>
      </w:r>
      <w:r w:rsidR="00AF70FA">
        <w:rPr>
          <w:rFonts w:cs="Arial"/>
          <w:szCs w:val="24"/>
        </w:rPr>
        <w:t xml:space="preserve">(2006) </w:t>
      </w:r>
      <w:r>
        <w:rPr>
          <w:rFonts w:cs="Arial"/>
          <w:szCs w:val="24"/>
        </w:rPr>
        <w:t>question</w:t>
      </w:r>
      <w:r w:rsidR="00887E55">
        <w:rPr>
          <w:rFonts w:cs="Arial"/>
          <w:szCs w:val="24"/>
        </w:rPr>
        <w:t xml:space="preserve"> whether the </w:t>
      </w:r>
      <w:r w:rsidR="00F40B0D">
        <w:rPr>
          <w:rFonts w:cs="Arial"/>
          <w:szCs w:val="24"/>
        </w:rPr>
        <w:t>‘</w:t>
      </w:r>
      <w:r w:rsidR="00887E55">
        <w:rPr>
          <w:rFonts w:cs="Arial"/>
          <w:szCs w:val="24"/>
        </w:rPr>
        <w:t>undergraduate curricul</w:t>
      </w:r>
      <w:r>
        <w:rPr>
          <w:rFonts w:cs="Arial"/>
          <w:szCs w:val="24"/>
        </w:rPr>
        <w:t>um reforms have concentrated too much on communication skills to the detriment of basic clinical competencies, such a</w:t>
      </w:r>
      <w:r w:rsidR="00237971">
        <w:rPr>
          <w:rFonts w:cs="Arial"/>
          <w:szCs w:val="24"/>
        </w:rPr>
        <w:t>s</w:t>
      </w:r>
      <w:r>
        <w:rPr>
          <w:rFonts w:cs="Arial"/>
          <w:szCs w:val="24"/>
        </w:rPr>
        <w:t xml:space="preserve"> treatment, prescribing and managing emergencies</w:t>
      </w:r>
      <w:r w:rsidR="00F40B0D">
        <w:rPr>
          <w:rFonts w:cs="Arial"/>
          <w:szCs w:val="24"/>
        </w:rPr>
        <w:t>’</w:t>
      </w:r>
      <w:r w:rsidR="00AF70FA">
        <w:rPr>
          <w:rFonts w:cs="Arial"/>
          <w:szCs w:val="24"/>
        </w:rPr>
        <w:t xml:space="preserve">. </w:t>
      </w:r>
      <w:r w:rsidR="00266C04">
        <w:rPr>
          <w:rFonts w:cs="Arial"/>
          <w:szCs w:val="24"/>
        </w:rPr>
        <w:t>Clinical and communication skill</w:t>
      </w:r>
      <w:r w:rsidR="00AF70FA">
        <w:rPr>
          <w:rFonts w:cs="Arial"/>
          <w:szCs w:val="24"/>
        </w:rPr>
        <w:t>s</w:t>
      </w:r>
      <w:r w:rsidR="00266C04">
        <w:rPr>
          <w:rFonts w:cs="Arial"/>
          <w:szCs w:val="24"/>
        </w:rPr>
        <w:t xml:space="preserve"> are reported to be learnt mainly in a simulated setting with simulated patients (actors or mannequins) </w:t>
      </w:r>
      <w:r w:rsidR="00237971">
        <w:rPr>
          <w:rFonts w:cs="Arial"/>
          <w:szCs w:val="24"/>
        </w:rPr>
        <w:t>because of</w:t>
      </w:r>
      <w:r w:rsidR="00266C04">
        <w:rPr>
          <w:rFonts w:cs="Arial"/>
          <w:szCs w:val="24"/>
        </w:rPr>
        <w:t xml:space="preserve"> patient safety concerns </w:t>
      </w:r>
      <w:r w:rsidR="00266C04">
        <w:rPr>
          <w:rFonts w:cs="Arial"/>
          <w:szCs w:val="24"/>
        </w:rPr>
        <w:fldChar w:fldCharType="begin"/>
      </w:r>
      <w:r w:rsidR="00266C04">
        <w:rPr>
          <w:rFonts w:cs="Arial"/>
          <w:szCs w:val="24"/>
        </w:rPr>
        <w:instrText xml:space="preserve"> ADDIN EN.CITE &lt;EndNote&gt;&lt;Cite&gt;&lt;Author&gt;Bleakley&lt;/Author&gt;&lt;Year&gt;2008&lt;/Year&gt;&lt;IDText&gt;Students learning from patients: let&amp;apos;s get real in medical education&lt;/IDText&gt;&lt;DisplayText&gt;(Bleakley and Bligh, 2008)&lt;/DisplayText&gt;&lt;record&gt;&lt;titles&gt;&lt;title&gt;Students learning from patients: let&amp;apos;s get real in medical education&lt;/title&gt;&lt;secondary-title&gt;Adv Health Sci Educ Theory Pract&lt;/secondary-title&gt;&lt;/titles&gt;&lt;pages&gt;89 - 107&lt;/pages&gt;&lt;contributors&gt;&lt;authors&gt;&lt;author&gt;Bleakley, A.&lt;/author&gt;&lt;author&gt;Bligh, J.&lt;/author&gt;&lt;/authors&gt;&lt;/contributors&gt;&lt;added-date format="utc"&gt;1458056986&lt;/added-date&gt;&lt;ref-type name="Journal Article"&gt;17&lt;/ref-type&gt;&lt;dates&gt;&lt;year&gt;2008&lt;/year&gt;&lt;/dates&gt;&lt;rec-number&gt;223&lt;/rec-number&gt;&lt;last-updated-date format="utc"&gt;1458057160&lt;/last-updated-date&gt;&lt;volume&gt;13&lt;/volume&gt;&lt;/record&gt;&lt;/Cite&gt;&lt;/EndNote&gt;</w:instrText>
      </w:r>
      <w:r w:rsidR="00266C04">
        <w:rPr>
          <w:rFonts w:cs="Arial"/>
          <w:szCs w:val="24"/>
        </w:rPr>
        <w:fldChar w:fldCharType="separate"/>
      </w:r>
      <w:r w:rsidR="00266C04">
        <w:rPr>
          <w:rFonts w:cs="Arial"/>
          <w:noProof/>
          <w:szCs w:val="24"/>
        </w:rPr>
        <w:t>(Bleakley and Bligh, 2008)</w:t>
      </w:r>
      <w:r w:rsidR="00266C04">
        <w:rPr>
          <w:rFonts w:cs="Arial"/>
          <w:szCs w:val="24"/>
        </w:rPr>
        <w:fldChar w:fldCharType="end"/>
      </w:r>
      <w:r w:rsidR="00266C04">
        <w:rPr>
          <w:rFonts w:cs="Arial"/>
          <w:szCs w:val="24"/>
        </w:rPr>
        <w:t xml:space="preserve">. </w:t>
      </w:r>
    </w:p>
    <w:p w14:paraId="3611D2A0" w14:textId="74F39FC0" w:rsidR="00266A48" w:rsidRDefault="002B089D" w:rsidP="00313168">
      <w:pPr>
        <w:rPr>
          <w:rFonts w:cs="Arial"/>
          <w:szCs w:val="24"/>
        </w:rPr>
      </w:pPr>
      <w:r>
        <w:rPr>
          <w:rFonts w:cs="Arial"/>
          <w:szCs w:val="24"/>
        </w:rPr>
        <w:t xml:space="preserve">Jones et al. </w:t>
      </w:r>
      <w:r w:rsidR="008A1181">
        <w:rPr>
          <w:rFonts w:cs="Arial"/>
          <w:szCs w:val="24"/>
        </w:rPr>
        <w:t xml:space="preserve">(2002) </w:t>
      </w:r>
      <w:r>
        <w:rPr>
          <w:rFonts w:cs="Arial"/>
          <w:szCs w:val="24"/>
        </w:rPr>
        <w:t xml:space="preserve">report </w:t>
      </w:r>
      <w:r w:rsidR="00DF0C4E">
        <w:rPr>
          <w:rFonts w:cs="Arial"/>
          <w:szCs w:val="24"/>
        </w:rPr>
        <w:t xml:space="preserve">that changing from a more traditional </w:t>
      </w:r>
      <w:r>
        <w:rPr>
          <w:rFonts w:cs="Arial"/>
          <w:szCs w:val="24"/>
        </w:rPr>
        <w:t>undergraduate curriculum</w:t>
      </w:r>
      <w:r w:rsidR="00DF0C4E">
        <w:rPr>
          <w:rFonts w:cs="Arial"/>
          <w:szCs w:val="24"/>
        </w:rPr>
        <w:t xml:space="preserve"> (1998-1999)</w:t>
      </w:r>
      <w:r>
        <w:rPr>
          <w:rFonts w:cs="Arial"/>
          <w:szCs w:val="24"/>
        </w:rPr>
        <w:t xml:space="preserve"> to</w:t>
      </w:r>
      <w:r w:rsidR="00DF0C4E">
        <w:rPr>
          <w:rFonts w:cs="Arial"/>
          <w:szCs w:val="24"/>
        </w:rPr>
        <w:t xml:space="preserve"> a PBL curriculum </w:t>
      </w:r>
      <w:r>
        <w:rPr>
          <w:rFonts w:cs="Arial"/>
          <w:szCs w:val="24"/>
        </w:rPr>
        <w:t>improve</w:t>
      </w:r>
      <w:r w:rsidR="00DF0C4E">
        <w:rPr>
          <w:rFonts w:cs="Arial"/>
          <w:szCs w:val="24"/>
        </w:rPr>
        <w:t>d</w:t>
      </w:r>
      <w:r>
        <w:rPr>
          <w:rFonts w:cs="Arial"/>
          <w:szCs w:val="24"/>
        </w:rPr>
        <w:t xml:space="preserve"> junior doctors</w:t>
      </w:r>
      <w:r w:rsidR="00237971">
        <w:rPr>
          <w:rFonts w:cs="Arial"/>
          <w:szCs w:val="24"/>
        </w:rPr>
        <w:t>’</w:t>
      </w:r>
      <w:r>
        <w:rPr>
          <w:rFonts w:cs="Arial"/>
          <w:szCs w:val="24"/>
        </w:rPr>
        <w:t xml:space="preserve"> confidence and preparedness</w:t>
      </w:r>
      <w:r w:rsidR="00DF0C4E">
        <w:rPr>
          <w:rFonts w:cs="Arial"/>
          <w:szCs w:val="24"/>
        </w:rPr>
        <w:t xml:space="preserve"> for FY1</w:t>
      </w:r>
      <w:r>
        <w:rPr>
          <w:rFonts w:cs="Arial"/>
          <w:szCs w:val="24"/>
        </w:rPr>
        <w:t xml:space="preserve">. The team </w:t>
      </w:r>
      <w:r w:rsidR="00337A7E">
        <w:rPr>
          <w:rFonts w:cs="Arial"/>
          <w:szCs w:val="24"/>
        </w:rPr>
        <w:t>used</w:t>
      </w:r>
      <w:r>
        <w:rPr>
          <w:rFonts w:cs="Arial"/>
          <w:szCs w:val="24"/>
        </w:rPr>
        <w:t xml:space="preserve"> questionnaires sent to FY1s</w:t>
      </w:r>
      <w:r w:rsidR="00DF0C4E">
        <w:rPr>
          <w:rFonts w:cs="Arial"/>
          <w:szCs w:val="24"/>
        </w:rPr>
        <w:t xml:space="preserve"> (n= </w:t>
      </w:r>
      <w:r w:rsidR="00E9302C">
        <w:rPr>
          <w:rFonts w:cs="Arial"/>
          <w:szCs w:val="24"/>
        </w:rPr>
        <w:t>123 (48%) of traditional cours</w:t>
      </w:r>
      <w:r w:rsidR="008A1181">
        <w:rPr>
          <w:rFonts w:cs="Arial"/>
          <w:szCs w:val="24"/>
        </w:rPr>
        <w:t>e graduates, and n= 138 (52%)</w:t>
      </w:r>
      <w:r w:rsidR="00E9302C">
        <w:rPr>
          <w:rFonts w:cs="Arial"/>
          <w:szCs w:val="24"/>
        </w:rPr>
        <w:t xml:space="preserve"> graduates from the new curriculum) </w:t>
      </w:r>
      <w:r w:rsidR="00DF0C4E">
        <w:rPr>
          <w:rFonts w:cs="Arial"/>
          <w:szCs w:val="24"/>
        </w:rPr>
        <w:t>from a single U</w:t>
      </w:r>
      <w:r w:rsidR="008A1181">
        <w:rPr>
          <w:rFonts w:cs="Arial"/>
          <w:szCs w:val="24"/>
        </w:rPr>
        <w:t xml:space="preserve">K medical school, </w:t>
      </w:r>
      <w:r>
        <w:rPr>
          <w:rFonts w:cs="Arial"/>
          <w:szCs w:val="24"/>
        </w:rPr>
        <w:t xml:space="preserve">three months into their new job and asked about </w:t>
      </w:r>
      <w:r w:rsidR="00DF0C4E">
        <w:rPr>
          <w:rFonts w:cs="Arial"/>
          <w:szCs w:val="24"/>
        </w:rPr>
        <w:t xml:space="preserve">areas of competence </w:t>
      </w:r>
      <w:r w:rsidR="008A1181">
        <w:rPr>
          <w:rFonts w:cs="Arial"/>
          <w:szCs w:val="24"/>
        </w:rPr>
        <w:t>and skills listed in the GMC</w:t>
      </w:r>
      <w:r w:rsidR="00237971">
        <w:rPr>
          <w:rFonts w:cs="Arial"/>
          <w:szCs w:val="24"/>
        </w:rPr>
        <w:t>’</w:t>
      </w:r>
      <w:r w:rsidR="008A1181">
        <w:rPr>
          <w:rFonts w:cs="Arial"/>
          <w:szCs w:val="24"/>
        </w:rPr>
        <w:t>s ‘The New D</w:t>
      </w:r>
      <w:r w:rsidR="00DF0C4E">
        <w:rPr>
          <w:rFonts w:cs="Arial"/>
          <w:szCs w:val="24"/>
        </w:rPr>
        <w:t xml:space="preserve">octor’. Questionnaires were also sent to clinical supervisors. </w:t>
      </w:r>
    </w:p>
    <w:p w14:paraId="6659C8D1" w14:textId="2AC98824" w:rsidR="002B089D" w:rsidRDefault="00DF0C4E" w:rsidP="00313168">
      <w:pPr>
        <w:rPr>
          <w:rFonts w:cs="Arial"/>
          <w:szCs w:val="24"/>
        </w:rPr>
      </w:pPr>
      <w:r>
        <w:rPr>
          <w:rFonts w:cs="Arial"/>
          <w:szCs w:val="24"/>
        </w:rPr>
        <w:lastRenderedPageBreak/>
        <w:t>FY1s rated the PBL course more effective than traditional in 12/1</w:t>
      </w:r>
      <w:r w:rsidR="00FC5140">
        <w:rPr>
          <w:rFonts w:cs="Arial"/>
          <w:szCs w:val="24"/>
        </w:rPr>
        <w:t>9 competencies and 8/13 skills. FY1s from the traditional course rated their understanding of disease processes higher</w:t>
      </w:r>
      <w:r w:rsidR="008A1181">
        <w:rPr>
          <w:rFonts w:cs="Arial"/>
          <w:szCs w:val="24"/>
        </w:rPr>
        <w:t xml:space="preserve"> than graduates that experienced</w:t>
      </w:r>
      <w:r w:rsidR="00FC5140">
        <w:rPr>
          <w:rFonts w:cs="Arial"/>
          <w:szCs w:val="24"/>
        </w:rPr>
        <w:t xml:space="preserve"> the PBL curricular change, though supervisors reported no difference</w:t>
      </w:r>
      <w:r w:rsidR="00E9302C">
        <w:rPr>
          <w:rFonts w:cs="Arial"/>
          <w:szCs w:val="24"/>
        </w:rPr>
        <w:t xml:space="preserve"> </w:t>
      </w:r>
      <w:r w:rsidR="00FC5140">
        <w:rPr>
          <w:rFonts w:cs="Arial"/>
          <w:szCs w:val="24"/>
        </w:rPr>
        <w:fldChar w:fldCharType="begin"/>
      </w:r>
      <w:r w:rsidR="00FC5140">
        <w:rPr>
          <w:rFonts w:cs="Arial"/>
          <w:szCs w:val="24"/>
        </w:rPr>
        <w:instrText xml:space="preserve"> ADDIN EN.CITE &lt;EndNote&gt;&lt;Cite&gt;&lt;Author&gt;Jones&lt;/Author&gt;&lt;Year&gt;2002&lt;/Year&gt;&lt;IDText&gt;Perceptions of how well graduates are prepared for the role of pre-registration house officer: a comparison of outcomes from a traditional and an integrated PBL curriculum&lt;/IDText&gt;&lt;DisplayText&gt;(Jones et al., 2002)&lt;/DisplayText&gt;&lt;record&gt;&lt;dates&gt;&lt;pub-dates&gt;&lt;date&gt;Jan&lt;/date&gt;&lt;/pub-dates&gt;&lt;year&gt;2002&lt;/year&gt;&lt;/dates&gt;&lt;keywords&gt;&lt;keyword&gt;Clinical Competence&lt;/keyword&gt;&lt;keyword&gt;Curriculum&lt;/keyword&gt;&lt;keyword&gt;Education, Medical, Undergraduate&lt;/keyword&gt;&lt;keyword&gt;Educational Measurement&lt;/keyword&gt;&lt;keyword&gt;England&lt;/keyword&gt;&lt;keyword&gt;Humans&lt;/keyword&gt;&lt;keyword&gt;Problem-Based Learning&lt;/keyword&gt;&lt;keyword&gt;Surveys and Questionnaires&lt;/keyword&gt;&lt;/keywords&gt;&lt;urls&gt;&lt;related-urls&gt;&lt;url&gt;http://www.ncbi.nlm.nih.gov/pubmed/11849520&lt;/url&gt;&lt;/related-urls&gt;&lt;/urls&gt;&lt;isbn&gt;0308-0110&lt;/isbn&gt;&lt;titles&gt;&lt;title&gt;Perceptions of how well graduates are prepared for the role of pre-registration house officer: a comparison of outcomes from a traditional and an integrated PBL curriculum&lt;/title&gt;&lt;secondary-title&gt;Med Educ&lt;/secondary-title&gt;&lt;/titles&gt;&lt;pages&gt;16-25&lt;/pages&gt;&lt;number&gt;1&lt;/number&gt;&lt;contributors&gt;&lt;authors&gt;&lt;author&gt;Jones, A.&lt;/author&gt;&lt;author&gt;McArdle, P. J.&lt;/author&gt;&lt;author&gt;O&amp;apos;Neill, P. A.&lt;/author&gt;&lt;/authors&gt;&lt;/contributors&gt;&lt;language&gt;eng&lt;/language&gt;&lt;added-date format="utc"&gt;1455618873&lt;/added-date&gt;&lt;ref-type name="Journal Article"&gt;17&lt;/ref-type&gt;&lt;rec-number&gt;166&lt;/rec-number&gt;&lt;last-updated-date format="utc"&gt;1455618873&lt;/last-updated-date&gt;&lt;accession-num&gt;11849520&lt;/accession-num&gt;&lt;volume&gt;36&lt;/volume&gt;&lt;/record&gt;&lt;/Cite&gt;&lt;/EndNote&gt;</w:instrText>
      </w:r>
      <w:r w:rsidR="00FC5140">
        <w:rPr>
          <w:rFonts w:cs="Arial"/>
          <w:szCs w:val="24"/>
        </w:rPr>
        <w:fldChar w:fldCharType="separate"/>
      </w:r>
      <w:r w:rsidR="00FC5140">
        <w:rPr>
          <w:rFonts w:cs="Arial"/>
          <w:noProof/>
          <w:szCs w:val="24"/>
        </w:rPr>
        <w:t>(Jones et al., 2002)</w:t>
      </w:r>
      <w:r w:rsidR="00FC5140">
        <w:rPr>
          <w:rFonts w:cs="Arial"/>
          <w:szCs w:val="24"/>
        </w:rPr>
        <w:fldChar w:fldCharType="end"/>
      </w:r>
      <w:r w:rsidR="00FC5140">
        <w:rPr>
          <w:rFonts w:cs="Arial"/>
          <w:szCs w:val="24"/>
        </w:rPr>
        <w:t>.</w:t>
      </w:r>
      <w:r>
        <w:rPr>
          <w:rFonts w:cs="Arial"/>
          <w:szCs w:val="24"/>
        </w:rPr>
        <w:t xml:space="preserve"> </w:t>
      </w:r>
      <w:r w:rsidR="008D1A9F">
        <w:rPr>
          <w:rFonts w:cs="Arial"/>
          <w:szCs w:val="24"/>
        </w:rPr>
        <w:t xml:space="preserve">These </w:t>
      </w:r>
      <w:r>
        <w:rPr>
          <w:rFonts w:cs="Arial"/>
          <w:szCs w:val="24"/>
        </w:rPr>
        <w:t>data are potentially affected by recall bias</w:t>
      </w:r>
      <w:r w:rsidR="008D1A9F">
        <w:rPr>
          <w:rFonts w:cs="Arial"/>
          <w:szCs w:val="24"/>
        </w:rPr>
        <w:t xml:space="preserve">, </w:t>
      </w:r>
      <w:r>
        <w:rPr>
          <w:rFonts w:cs="Arial"/>
          <w:szCs w:val="24"/>
        </w:rPr>
        <w:t>the groups compared are from different year groups</w:t>
      </w:r>
      <w:r w:rsidR="008D1A9F">
        <w:rPr>
          <w:rFonts w:cs="Arial"/>
          <w:szCs w:val="24"/>
        </w:rPr>
        <w:t xml:space="preserve"> and a single medical school is studied, however it is useful to explore different curricula. </w:t>
      </w:r>
      <w:r>
        <w:rPr>
          <w:rFonts w:cs="Arial"/>
          <w:szCs w:val="24"/>
        </w:rPr>
        <w:t xml:space="preserve"> </w:t>
      </w:r>
      <w:r w:rsidR="008D1A9F">
        <w:rPr>
          <w:rFonts w:cs="Arial"/>
          <w:szCs w:val="24"/>
        </w:rPr>
        <w:t>Of note, n</w:t>
      </w:r>
      <w:r w:rsidR="008A1181">
        <w:rPr>
          <w:rFonts w:cs="Arial"/>
          <w:szCs w:val="24"/>
        </w:rPr>
        <w:t>ationally</w:t>
      </w:r>
      <w:r w:rsidR="008D1A9F">
        <w:rPr>
          <w:rFonts w:cs="Arial"/>
          <w:szCs w:val="24"/>
        </w:rPr>
        <w:t xml:space="preserve"> at this time</w:t>
      </w:r>
      <w:r w:rsidR="008A1181">
        <w:rPr>
          <w:rFonts w:cs="Arial"/>
          <w:szCs w:val="24"/>
        </w:rPr>
        <w:t xml:space="preserve">, </w:t>
      </w:r>
      <w:r w:rsidR="00D26C4F">
        <w:rPr>
          <w:rFonts w:cs="Arial"/>
          <w:szCs w:val="24"/>
        </w:rPr>
        <w:t>t</w:t>
      </w:r>
      <w:r w:rsidR="00E9302C">
        <w:rPr>
          <w:rFonts w:cs="Arial"/>
          <w:szCs w:val="24"/>
        </w:rPr>
        <w:t xml:space="preserve">here </w:t>
      </w:r>
      <w:r w:rsidR="00D26C4F">
        <w:rPr>
          <w:rFonts w:cs="Arial"/>
          <w:szCs w:val="24"/>
        </w:rPr>
        <w:t xml:space="preserve">was a </w:t>
      </w:r>
      <w:r w:rsidR="00E9302C">
        <w:rPr>
          <w:rFonts w:cs="Arial"/>
          <w:szCs w:val="24"/>
        </w:rPr>
        <w:t xml:space="preserve">move to more </w:t>
      </w:r>
      <w:r w:rsidR="00137253">
        <w:rPr>
          <w:rFonts w:cs="Arial"/>
          <w:szCs w:val="24"/>
        </w:rPr>
        <w:t>community-based</w:t>
      </w:r>
      <w:r w:rsidR="00E9302C">
        <w:rPr>
          <w:rFonts w:cs="Arial"/>
          <w:szCs w:val="24"/>
        </w:rPr>
        <w:t xml:space="preserve"> education in General Practice</w:t>
      </w:r>
      <w:r w:rsidR="008D1A9F">
        <w:rPr>
          <w:rFonts w:cs="Arial"/>
          <w:szCs w:val="24"/>
        </w:rPr>
        <w:t xml:space="preserve"> so this may have influenced data</w:t>
      </w:r>
      <w:r>
        <w:rPr>
          <w:rFonts w:cs="Arial"/>
          <w:szCs w:val="24"/>
        </w:rPr>
        <w:t>.</w:t>
      </w:r>
      <w:r w:rsidR="00E9302C">
        <w:rPr>
          <w:rFonts w:cs="Arial"/>
          <w:szCs w:val="24"/>
        </w:rPr>
        <w:t xml:space="preserve"> </w:t>
      </w:r>
      <w:r w:rsidR="008A1181">
        <w:rPr>
          <w:rFonts w:cs="Arial"/>
          <w:szCs w:val="24"/>
        </w:rPr>
        <w:t>The response</w:t>
      </w:r>
      <w:r w:rsidR="00E9302C">
        <w:rPr>
          <w:rFonts w:cs="Arial"/>
          <w:szCs w:val="24"/>
        </w:rPr>
        <w:t xml:space="preserve"> </w:t>
      </w:r>
      <w:r w:rsidR="008A1181">
        <w:rPr>
          <w:rFonts w:cs="Arial"/>
          <w:szCs w:val="24"/>
        </w:rPr>
        <w:t>r</w:t>
      </w:r>
      <w:r w:rsidR="00E9302C">
        <w:rPr>
          <w:rFonts w:cs="Arial"/>
          <w:szCs w:val="24"/>
        </w:rPr>
        <w:t>at</w:t>
      </w:r>
      <w:r w:rsidR="008A1181">
        <w:rPr>
          <w:rFonts w:cs="Arial"/>
          <w:szCs w:val="24"/>
        </w:rPr>
        <w:t>e included</w:t>
      </w:r>
      <w:r w:rsidR="00E9302C">
        <w:rPr>
          <w:rFonts w:cs="Arial"/>
          <w:szCs w:val="24"/>
        </w:rPr>
        <w:t xml:space="preserve"> roughly 50% of the year</w:t>
      </w:r>
      <w:r w:rsidR="008A1181">
        <w:rPr>
          <w:rFonts w:cs="Arial"/>
          <w:szCs w:val="24"/>
        </w:rPr>
        <w:t>, which</w:t>
      </w:r>
      <w:r w:rsidR="00E9302C">
        <w:rPr>
          <w:rFonts w:cs="Arial"/>
          <w:szCs w:val="24"/>
        </w:rPr>
        <w:t xml:space="preserve"> is considered reasonable for a questionnaire response</w:t>
      </w:r>
      <w:r w:rsidR="008D1A9F">
        <w:rPr>
          <w:rFonts w:cs="Arial"/>
          <w:szCs w:val="24"/>
        </w:rPr>
        <w:t xml:space="preserve">. </w:t>
      </w:r>
    </w:p>
    <w:p w14:paraId="617A276C" w14:textId="7B312E9B" w:rsidR="001F58F7" w:rsidRDefault="008A1181" w:rsidP="00313168">
      <w:pPr>
        <w:rPr>
          <w:rFonts w:cs="Arial"/>
          <w:szCs w:val="24"/>
        </w:rPr>
      </w:pPr>
      <w:r>
        <w:rPr>
          <w:rFonts w:cs="Arial"/>
          <w:szCs w:val="24"/>
        </w:rPr>
        <w:t xml:space="preserve">A further medical school </w:t>
      </w:r>
      <w:r w:rsidR="000E4FCE" w:rsidRPr="00C164D5">
        <w:rPr>
          <w:rFonts w:cs="Arial"/>
          <w:szCs w:val="24"/>
        </w:rPr>
        <w:t>creat</w:t>
      </w:r>
      <w:r w:rsidR="000E4FCE">
        <w:rPr>
          <w:rFonts w:cs="Arial"/>
          <w:szCs w:val="24"/>
        </w:rPr>
        <w:t>ed</w:t>
      </w:r>
      <w:r w:rsidR="000E4FCE" w:rsidRPr="00C164D5">
        <w:rPr>
          <w:rFonts w:cs="Arial"/>
          <w:szCs w:val="24"/>
        </w:rPr>
        <w:t xml:space="preserve"> a </w:t>
      </w:r>
      <w:r w:rsidR="00237971">
        <w:rPr>
          <w:rFonts w:cs="Arial"/>
          <w:szCs w:val="24"/>
        </w:rPr>
        <w:t xml:space="preserve">PBL curriculum </w:t>
      </w:r>
      <w:r w:rsidR="000E4FCE">
        <w:rPr>
          <w:rFonts w:cs="Arial"/>
          <w:szCs w:val="24"/>
        </w:rPr>
        <w:t>in</w:t>
      </w:r>
      <w:r w:rsidR="000E4FCE" w:rsidRPr="00C164D5">
        <w:rPr>
          <w:rFonts w:cs="Arial"/>
          <w:szCs w:val="24"/>
        </w:rPr>
        <w:t xml:space="preserve"> </w:t>
      </w:r>
      <w:r w:rsidR="001F58F7" w:rsidRPr="00C164D5">
        <w:rPr>
          <w:rFonts w:cs="Arial"/>
          <w:szCs w:val="24"/>
        </w:rPr>
        <w:t>respon</w:t>
      </w:r>
      <w:r w:rsidR="000E4FCE">
        <w:rPr>
          <w:rFonts w:cs="Arial"/>
          <w:szCs w:val="24"/>
        </w:rPr>
        <w:t>se</w:t>
      </w:r>
      <w:r w:rsidR="001F58F7" w:rsidRPr="00C164D5">
        <w:rPr>
          <w:rFonts w:cs="Arial"/>
          <w:szCs w:val="24"/>
        </w:rPr>
        <w:t xml:space="preserve"> to the Tomorr</w:t>
      </w:r>
      <w:r w:rsidR="001F58F7">
        <w:rPr>
          <w:rFonts w:cs="Arial"/>
          <w:szCs w:val="24"/>
        </w:rPr>
        <w:t>ow’s Doctors document (2003 version). Educational supervisors believe this</w:t>
      </w:r>
      <w:r w:rsidR="001F58F7" w:rsidRPr="00C164D5">
        <w:rPr>
          <w:rFonts w:cs="Arial"/>
          <w:szCs w:val="24"/>
        </w:rPr>
        <w:t xml:space="preserve"> led to </w:t>
      </w:r>
      <w:r w:rsidR="000E4FCE">
        <w:rPr>
          <w:rFonts w:cs="Arial"/>
          <w:szCs w:val="24"/>
        </w:rPr>
        <w:t xml:space="preserve">more </w:t>
      </w:r>
      <w:r w:rsidR="001F58F7" w:rsidRPr="00C164D5">
        <w:rPr>
          <w:rFonts w:cs="Arial"/>
          <w:szCs w:val="24"/>
        </w:rPr>
        <w:t xml:space="preserve">competent doctors </w:t>
      </w:r>
      <w:r w:rsidR="00237971">
        <w:rPr>
          <w:rFonts w:cs="Arial"/>
          <w:szCs w:val="24"/>
        </w:rPr>
        <w:t>who</w:t>
      </w:r>
      <w:r w:rsidR="001F58F7" w:rsidRPr="00C164D5">
        <w:rPr>
          <w:rFonts w:cs="Arial"/>
          <w:szCs w:val="24"/>
        </w:rPr>
        <w:t xml:space="preserve"> were better prepared for PRHO jobs than previous graduates. This was based on </w:t>
      </w:r>
      <w:r w:rsidR="00237971">
        <w:rPr>
          <w:rFonts w:cs="Arial"/>
          <w:szCs w:val="24"/>
        </w:rPr>
        <w:t>seven</w:t>
      </w:r>
      <w:r w:rsidR="001F58F7" w:rsidRPr="00C164D5">
        <w:rPr>
          <w:rFonts w:cs="Arial"/>
          <w:szCs w:val="24"/>
        </w:rPr>
        <w:t xml:space="preserve"> interviews despite 161 supervisor</w:t>
      </w:r>
      <w:r>
        <w:rPr>
          <w:rFonts w:cs="Arial"/>
          <w:szCs w:val="24"/>
        </w:rPr>
        <w:t>s being invited to take part. Twenty</w:t>
      </w:r>
      <w:r w:rsidR="00237971">
        <w:rPr>
          <w:rFonts w:cs="Arial"/>
          <w:szCs w:val="24"/>
        </w:rPr>
        <w:t>-</w:t>
      </w:r>
      <w:r>
        <w:rPr>
          <w:rFonts w:cs="Arial"/>
          <w:szCs w:val="24"/>
        </w:rPr>
        <w:t>three</w:t>
      </w:r>
      <w:r w:rsidR="001F58F7" w:rsidRPr="00C164D5">
        <w:rPr>
          <w:rFonts w:cs="Arial"/>
          <w:szCs w:val="24"/>
        </w:rPr>
        <w:t xml:space="preserve"> pilot interviews were performed but it is unclear wh</w:t>
      </w:r>
      <w:r w:rsidR="001F58F7">
        <w:rPr>
          <w:rFonts w:cs="Arial"/>
          <w:szCs w:val="24"/>
        </w:rPr>
        <w:t>y 16 were excluded</w:t>
      </w:r>
      <w:r w:rsidR="001F58F7" w:rsidRPr="00C164D5">
        <w:rPr>
          <w:rFonts w:cs="Arial"/>
          <w:szCs w:val="24"/>
        </w:rPr>
        <w:t xml:space="preserve"> </w:t>
      </w:r>
      <w:r w:rsidR="001F58F7">
        <w:rPr>
          <w:rFonts w:cs="Arial"/>
          <w:szCs w:val="24"/>
        </w:rPr>
        <w:fldChar w:fldCharType="begin"/>
      </w:r>
      <w:r w:rsidR="001F58F7">
        <w:rPr>
          <w:rFonts w:cs="Arial"/>
          <w:szCs w:val="24"/>
        </w:rPr>
        <w:instrText xml:space="preserve"> ADDIN EN.CITE &lt;EndNote&gt;&lt;Cite&gt;&lt;Author&gt;Watmough&lt;/Author&gt;&lt;Year&gt;2006&lt;/Year&gt;&lt;IDText&gt;Educational supervisors evaluate the preparedness of graduates from a reformed UK curriculum to work as pre-registration house officers (PRHOs): a qualitative study&lt;/IDText&gt;&lt;DisplayText&gt;(Watmough et al., 2006)&lt;/DisplayText&gt;&lt;record&gt;&lt;dates&gt;&lt;pub-dates&gt;&lt;date&gt;Oct&lt;/date&gt;&lt;/pub-dates&gt;&lt;year&gt;2006&lt;/year&gt;&lt;/dates&gt;&lt;urls&gt;&lt;related-urls&gt;&lt;url&gt;&amp;lt;Go to ISI&amp;gt;://WOS:000240662600010&lt;/url&gt;&lt;/related-urls&gt;&lt;/urls&gt;&lt;isbn&gt;0308-0110&lt;/isbn&gt;&lt;titles&gt;&lt;title&gt;Educational supervisors evaluate the preparedness of graduates from a reformed UK curriculum to work as pre-registration house officers (PRHOs): a qualitative study&lt;/title&gt;&lt;secondary-title&gt;Medical Education&lt;/secondary-title&gt;&lt;/titles&gt;&lt;pages&gt;995-1001&lt;/pages&gt;&lt;number&gt;10&lt;/number&gt;&lt;contributors&gt;&lt;authors&gt;&lt;author&gt;Watmough, Simon&lt;/author&gt;&lt;author&gt;Taylor, David&lt;/author&gt;&lt;author&gt;Garden, Anne&lt;/author&gt;&lt;/authors&gt;&lt;/contributors&gt;&lt;added-date format="utc"&gt;1390929731&lt;/added-date&gt;&lt;ref-type name="Journal Article"&gt;17&lt;/ref-type&gt;&lt;rec-number&gt;36&lt;/rec-number&gt;&lt;last-updated-date format="utc"&gt;1391171448&lt;/last-updated-date&gt;&lt;accession-num&gt;WOS:000240662600010&lt;/accession-num&gt;&lt;electronic-resource-num&gt;10.1111/j.1365-2929.2006.02563.x&lt;/electronic-resource-num&gt;&lt;volume&gt;40&lt;/volume&gt;&lt;/record&gt;&lt;/Cite&gt;&lt;/EndNote&gt;</w:instrText>
      </w:r>
      <w:r w:rsidR="001F58F7">
        <w:rPr>
          <w:rFonts w:cs="Arial"/>
          <w:szCs w:val="24"/>
        </w:rPr>
        <w:fldChar w:fldCharType="separate"/>
      </w:r>
      <w:r w:rsidR="001F58F7">
        <w:rPr>
          <w:rFonts w:cs="Arial"/>
          <w:noProof/>
          <w:szCs w:val="24"/>
        </w:rPr>
        <w:t>(Watmough et al., 2006)</w:t>
      </w:r>
      <w:r w:rsidR="001F58F7">
        <w:rPr>
          <w:rFonts w:cs="Arial"/>
          <w:szCs w:val="24"/>
        </w:rPr>
        <w:fldChar w:fldCharType="end"/>
      </w:r>
      <w:r w:rsidR="001F58F7">
        <w:rPr>
          <w:rFonts w:cs="Arial"/>
          <w:szCs w:val="24"/>
        </w:rPr>
        <w:t xml:space="preserve">. </w:t>
      </w:r>
    </w:p>
    <w:p w14:paraId="010529DC" w14:textId="1EC4745A" w:rsidR="00266A48" w:rsidRDefault="00266A48" w:rsidP="00313168">
      <w:pPr>
        <w:rPr>
          <w:rFonts w:cs="Arial"/>
          <w:szCs w:val="24"/>
        </w:rPr>
      </w:pPr>
      <w:r>
        <w:rPr>
          <w:rFonts w:cs="Arial"/>
          <w:szCs w:val="24"/>
        </w:rPr>
        <w:t>Evans et al.</w:t>
      </w:r>
      <w:r w:rsidR="001D384F">
        <w:rPr>
          <w:rFonts w:cs="Arial"/>
          <w:szCs w:val="24"/>
        </w:rPr>
        <w:t xml:space="preserve"> </w:t>
      </w:r>
      <w:r w:rsidR="008A1181">
        <w:rPr>
          <w:rFonts w:cs="Arial"/>
          <w:szCs w:val="24"/>
        </w:rPr>
        <w:t xml:space="preserve">(2006) </w:t>
      </w:r>
      <w:r w:rsidR="001D384F">
        <w:rPr>
          <w:rFonts w:cs="Arial"/>
          <w:szCs w:val="24"/>
        </w:rPr>
        <w:t>compare</w:t>
      </w:r>
      <w:r w:rsidR="00344BD8">
        <w:rPr>
          <w:rFonts w:cs="Arial"/>
          <w:szCs w:val="24"/>
        </w:rPr>
        <w:t>d</w:t>
      </w:r>
      <w:r w:rsidR="00E20D04">
        <w:rPr>
          <w:rFonts w:cs="Arial"/>
          <w:szCs w:val="24"/>
        </w:rPr>
        <w:t xml:space="preserve"> three cohorts of graduates f</w:t>
      </w:r>
      <w:r w:rsidR="001D384F">
        <w:rPr>
          <w:rFonts w:cs="Arial"/>
          <w:szCs w:val="24"/>
        </w:rPr>
        <w:t>r</w:t>
      </w:r>
      <w:r w:rsidR="00E20D04">
        <w:rPr>
          <w:rFonts w:cs="Arial"/>
          <w:szCs w:val="24"/>
        </w:rPr>
        <w:t>o</w:t>
      </w:r>
      <w:r w:rsidR="001D384F">
        <w:rPr>
          <w:rFonts w:cs="Arial"/>
          <w:szCs w:val="24"/>
        </w:rPr>
        <w:t>m UK medical school</w:t>
      </w:r>
      <w:r w:rsidR="00344BD8">
        <w:rPr>
          <w:rFonts w:cs="Arial"/>
          <w:szCs w:val="24"/>
        </w:rPr>
        <w:t>s</w:t>
      </w:r>
      <w:r w:rsidR="00237971">
        <w:rPr>
          <w:rFonts w:cs="Arial"/>
          <w:szCs w:val="24"/>
        </w:rPr>
        <w:t>:</w:t>
      </w:r>
      <w:r w:rsidR="001D384F">
        <w:rPr>
          <w:rFonts w:cs="Arial"/>
          <w:szCs w:val="24"/>
        </w:rPr>
        <w:t xml:space="preserve"> one traditional curriculum, one traditional with intercalated degree and one </w:t>
      </w:r>
      <w:r w:rsidR="00344BD8">
        <w:rPr>
          <w:rFonts w:cs="Arial"/>
          <w:szCs w:val="24"/>
        </w:rPr>
        <w:t>PBL</w:t>
      </w:r>
      <w:r w:rsidR="001D384F">
        <w:rPr>
          <w:rFonts w:cs="Arial"/>
          <w:szCs w:val="24"/>
        </w:rPr>
        <w:t xml:space="preserve"> curriculum. </w:t>
      </w:r>
      <w:r w:rsidR="00344BD8">
        <w:rPr>
          <w:rFonts w:cs="Arial"/>
          <w:szCs w:val="24"/>
        </w:rPr>
        <w:t>Anticipated self</w:t>
      </w:r>
      <w:r w:rsidR="00237971">
        <w:rPr>
          <w:rFonts w:cs="Arial"/>
          <w:szCs w:val="24"/>
        </w:rPr>
        <w:t>-</w:t>
      </w:r>
      <w:r w:rsidR="00344BD8">
        <w:rPr>
          <w:rFonts w:cs="Arial"/>
          <w:szCs w:val="24"/>
        </w:rPr>
        <w:t>perceived confidence in clinical skills and preparedness were measured</w:t>
      </w:r>
      <w:r w:rsidR="008A1181">
        <w:rPr>
          <w:rFonts w:cs="Arial"/>
          <w:szCs w:val="24"/>
        </w:rPr>
        <w:t xml:space="preserve"> and compared</w:t>
      </w:r>
      <w:r w:rsidR="00344BD8">
        <w:rPr>
          <w:rFonts w:cs="Arial"/>
          <w:szCs w:val="24"/>
        </w:rPr>
        <w:t xml:space="preserve"> with perceived anxiety. Traditional students with intercalations scored equally as high as PBL curriculum students</w:t>
      </w:r>
      <w:r w:rsidR="00237971">
        <w:rPr>
          <w:rFonts w:cs="Arial"/>
          <w:szCs w:val="24"/>
        </w:rPr>
        <w:t>.</w:t>
      </w:r>
      <w:r w:rsidR="00344BD8">
        <w:rPr>
          <w:rFonts w:cs="Arial"/>
          <w:szCs w:val="24"/>
        </w:rPr>
        <w:t xml:space="preserve"> </w:t>
      </w:r>
      <w:r w:rsidR="00237971">
        <w:rPr>
          <w:rFonts w:cs="Arial"/>
          <w:szCs w:val="24"/>
        </w:rPr>
        <w:t>B</w:t>
      </w:r>
      <w:r w:rsidR="00344BD8">
        <w:rPr>
          <w:rFonts w:cs="Arial"/>
          <w:szCs w:val="24"/>
        </w:rPr>
        <w:t xml:space="preserve">oth </w:t>
      </w:r>
      <w:r w:rsidR="00237971">
        <w:rPr>
          <w:rFonts w:cs="Arial"/>
          <w:szCs w:val="24"/>
        </w:rPr>
        <w:t xml:space="preserve">groups scored </w:t>
      </w:r>
      <w:r w:rsidR="00344BD8">
        <w:rPr>
          <w:rFonts w:cs="Arial"/>
          <w:szCs w:val="24"/>
        </w:rPr>
        <w:t>higher than</w:t>
      </w:r>
      <w:r w:rsidR="00237971">
        <w:rPr>
          <w:rFonts w:cs="Arial"/>
          <w:szCs w:val="24"/>
        </w:rPr>
        <w:t xml:space="preserve"> those on a</w:t>
      </w:r>
      <w:r w:rsidR="00344BD8">
        <w:rPr>
          <w:rFonts w:cs="Arial"/>
          <w:szCs w:val="24"/>
        </w:rPr>
        <w:t xml:space="preserve"> traditional </w:t>
      </w:r>
      <w:r w:rsidR="00237971">
        <w:rPr>
          <w:rFonts w:cs="Arial"/>
          <w:szCs w:val="24"/>
        </w:rPr>
        <w:t>curriculum</w:t>
      </w:r>
      <w:r w:rsidR="00344BD8">
        <w:rPr>
          <w:rFonts w:cs="Arial"/>
          <w:szCs w:val="24"/>
        </w:rPr>
        <w:t>. However</w:t>
      </w:r>
      <w:r w:rsidR="00E20D04">
        <w:rPr>
          <w:rFonts w:cs="Arial"/>
          <w:szCs w:val="24"/>
        </w:rPr>
        <w:t>,</w:t>
      </w:r>
      <w:r w:rsidR="00344BD8">
        <w:rPr>
          <w:rFonts w:cs="Arial"/>
          <w:szCs w:val="24"/>
        </w:rPr>
        <w:t xml:space="preserve"> absolute anxiety levels were high</w:t>
      </w:r>
      <w:r w:rsidR="00237971">
        <w:rPr>
          <w:rFonts w:cs="Arial"/>
          <w:szCs w:val="24"/>
        </w:rPr>
        <w:t>,</w:t>
      </w:r>
      <w:r w:rsidR="00344BD8">
        <w:rPr>
          <w:rFonts w:cs="Arial"/>
          <w:szCs w:val="24"/>
        </w:rPr>
        <w:t xml:space="preserve"> and confidence and preparedness in clinical s</w:t>
      </w:r>
      <w:r w:rsidR="008A1181">
        <w:rPr>
          <w:rFonts w:cs="Arial"/>
          <w:szCs w:val="24"/>
        </w:rPr>
        <w:t>k</w:t>
      </w:r>
      <w:r w:rsidR="00344BD8">
        <w:rPr>
          <w:rFonts w:cs="Arial"/>
          <w:szCs w:val="24"/>
        </w:rPr>
        <w:t>ills poor</w:t>
      </w:r>
      <w:r w:rsidR="00237971">
        <w:rPr>
          <w:rFonts w:cs="Arial"/>
          <w:szCs w:val="24"/>
        </w:rPr>
        <w:t xml:space="preserve"> across all three groups</w:t>
      </w:r>
      <w:r w:rsidR="00344BD8">
        <w:rPr>
          <w:rFonts w:cs="Arial"/>
          <w:szCs w:val="24"/>
        </w:rPr>
        <w:t xml:space="preserve">. </w:t>
      </w:r>
    </w:p>
    <w:p w14:paraId="18D11A9E" w14:textId="16A2EFE3" w:rsidR="001D384F" w:rsidRDefault="00693688" w:rsidP="00313168">
      <w:pPr>
        <w:rPr>
          <w:rFonts w:cs="Arial"/>
          <w:szCs w:val="24"/>
        </w:rPr>
      </w:pPr>
      <w:r>
        <w:rPr>
          <w:rFonts w:cs="Arial"/>
          <w:szCs w:val="24"/>
        </w:rPr>
        <w:lastRenderedPageBreak/>
        <w:t>In terms of group differences</w:t>
      </w:r>
      <w:r w:rsidR="003A7D42">
        <w:rPr>
          <w:rFonts w:cs="Arial"/>
          <w:szCs w:val="24"/>
        </w:rPr>
        <w:t>, the</w:t>
      </w:r>
      <w:r>
        <w:rPr>
          <w:rFonts w:cs="Arial"/>
          <w:szCs w:val="24"/>
        </w:rPr>
        <w:t xml:space="preserve"> PBL group had an additional preparation course and did not intercalate through choice, so there may have been academic and motivational differences between the intercalating traditional group versus the PBL group. </w:t>
      </w:r>
      <w:r w:rsidR="003B767F">
        <w:rPr>
          <w:rFonts w:cs="Arial"/>
          <w:szCs w:val="24"/>
        </w:rPr>
        <w:t>The questionnaires were sent out in different years, between 2000 and 2004. It is unclear when they were sent out related to graduation and starting FY1</w:t>
      </w:r>
      <w:r w:rsidR="00237971">
        <w:rPr>
          <w:rFonts w:cs="Arial"/>
          <w:szCs w:val="24"/>
        </w:rPr>
        <w:t>,</w:t>
      </w:r>
      <w:r w:rsidR="003B767F">
        <w:rPr>
          <w:rFonts w:cs="Arial"/>
          <w:szCs w:val="24"/>
        </w:rPr>
        <w:t xml:space="preserve"> and whether they were the same time in each case. There were good response rates to questionnaires ranging from 79</w:t>
      </w:r>
      <w:r w:rsidR="00237971">
        <w:rPr>
          <w:rFonts w:cs="Arial"/>
          <w:szCs w:val="24"/>
        </w:rPr>
        <w:t>% to</w:t>
      </w:r>
      <w:r w:rsidR="003B767F">
        <w:rPr>
          <w:rFonts w:cs="Arial"/>
          <w:szCs w:val="24"/>
        </w:rPr>
        <w:t xml:space="preserve"> 91% </w:t>
      </w:r>
      <w:r w:rsidR="003B767F">
        <w:rPr>
          <w:rFonts w:cs="Arial"/>
          <w:szCs w:val="24"/>
        </w:rPr>
        <w:fldChar w:fldCharType="begin"/>
      </w:r>
      <w:r w:rsidR="003B767F">
        <w:rPr>
          <w:rFonts w:cs="Arial"/>
          <w:szCs w:val="24"/>
        </w:rPr>
        <w:instrText xml:space="preserve"> ADDIN EN.CITE &lt;EndNote&gt;&lt;Cite&gt;&lt;Author&gt;Evans&lt;/Author&gt;&lt;Year&gt;2006&lt;/Year&gt;&lt;IDText&gt;Preparation for practice: how can medical schools better prepare PRHOs?&lt;/IDText&gt;&lt;DisplayText&gt;(Evans and Roberts, 2006)&lt;/DisplayText&gt;&lt;record&gt;&lt;dates&gt;&lt;pub-dates&gt;&lt;date&gt;Sep&lt;/date&gt;&lt;/pub-dates&gt;&lt;year&gt;2006&lt;/year&gt;&lt;/dates&gt;&lt;keywords&gt;&lt;keyword&gt;Anxiety&lt;/keyword&gt;&lt;keyword&gt;Clinical Competence&lt;/keyword&gt;&lt;keyword&gt;Cohort Studies&lt;/keyword&gt;&lt;keyword&gt;Curriculum&lt;/keyword&gt;&lt;keyword&gt;Education, Medical&lt;/keyword&gt;&lt;keyword&gt;Educational Measurement&lt;/keyword&gt;&lt;keyword&gt;Humans&lt;/keyword&gt;&lt;keyword&gt;Problem-Based Learning&lt;/keyword&gt;&lt;keyword&gt;Self-Assessment&lt;/keyword&gt;&lt;/keywords&gt;&lt;urls&gt;&lt;related-urls&gt;&lt;url&gt;http://www.ncbi.nlm.nih.gov/pubmed/17074703&lt;/url&gt;&lt;/related-urls&gt;&lt;/urls&gt;&lt;isbn&gt;1466-187X&lt;/isbn&gt;&lt;titles&gt;&lt;title&gt;Preparation for practice: how can medical schools better prepare PRHOs?&lt;/title&gt;&lt;secondary-title&gt;Med Teach&lt;/secondary-title&gt;&lt;/titles&gt;&lt;pages&gt;549-52&lt;/pages&gt;&lt;number&gt;6&lt;/number&gt;&lt;contributors&gt;&lt;authors&gt;&lt;author&gt;Evans, D. E.&lt;/author&gt;&lt;author&gt;Roberts, C. M.&lt;/author&gt;&lt;/authors&gt;&lt;/contributors&gt;&lt;language&gt;eng&lt;/language&gt;&lt;added-date format="utc"&gt;1457004486&lt;/added-date&gt;&lt;ref-type name="Journal Article"&gt;17&lt;/ref-type&gt;&lt;rec-number&gt;208&lt;/rec-number&gt;&lt;last-updated-date format="utc"&gt;1457004486&lt;/last-updated-date&gt;&lt;accession-num&gt;17074703&lt;/accession-num&gt;&lt;electronic-resource-num&gt;10.1080/01421590600628399&lt;/electronic-resource-num&gt;&lt;volume&gt;28&lt;/volume&gt;&lt;/record&gt;&lt;/Cite&gt;&lt;/EndNote&gt;</w:instrText>
      </w:r>
      <w:r w:rsidR="003B767F">
        <w:rPr>
          <w:rFonts w:cs="Arial"/>
          <w:szCs w:val="24"/>
        </w:rPr>
        <w:fldChar w:fldCharType="separate"/>
      </w:r>
      <w:r w:rsidR="003B767F">
        <w:rPr>
          <w:rFonts w:cs="Arial"/>
          <w:noProof/>
          <w:szCs w:val="24"/>
        </w:rPr>
        <w:t>(Evans and Roberts, 2006)</w:t>
      </w:r>
      <w:r w:rsidR="003B767F">
        <w:rPr>
          <w:rFonts w:cs="Arial"/>
          <w:szCs w:val="24"/>
        </w:rPr>
        <w:fldChar w:fldCharType="end"/>
      </w:r>
      <w:r w:rsidR="003B767F">
        <w:rPr>
          <w:rFonts w:cs="Arial"/>
          <w:szCs w:val="24"/>
        </w:rPr>
        <w:t>.</w:t>
      </w:r>
    </w:p>
    <w:p w14:paraId="147CE76D" w14:textId="01D5C7BD" w:rsidR="003B767F" w:rsidRDefault="003B767F" w:rsidP="00313168">
      <w:pPr>
        <w:rPr>
          <w:rFonts w:cs="Arial"/>
          <w:szCs w:val="24"/>
        </w:rPr>
      </w:pPr>
      <w:r>
        <w:rPr>
          <w:rFonts w:cs="Arial"/>
          <w:szCs w:val="24"/>
        </w:rPr>
        <w:t>Interestingly other authors disagree that PBL improves preparedness</w:t>
      </w:r>
      <w:r w:rsidR="008A1181">
        <w:rPr>
          <w:rFonts w:cs="Arial"/>
          <w:szCs w:val="24"/>
        </w:rPr>
        <w:t xml:space="preserve"> and question</w:t>
      </w:r>
      <w:r w:rsidR="0042117D">
        <w:rPr>
          <w:rFonts w:cs="Arial"/>
          <w:szCs w:val="24"/>
        </w:rPr>
        <w:t xml:space="preserve"> the outcomes used to measure effectiveness of PBL as an educational method</w:t>
      </w:r>
      <w:r w:rsidR="00F6043A">
        <w:rPr>
          <w:rFonts w:cs="Arial"/>
          <w:szCs w:val="24"/>
        </w:rPr>
        <w:t>ology</w:t>
      </w:r>
      <w:r w:rsidR="00E757A9">
        <w:rPr>
          <w:rFonts w:cs="Arial"/>
          <w:szCs w:val="24"/>
        </w:rPr>
        <w:t>. They</w:t>
      </w:r>
      <w:r w:rsidR="00F6043A">
        <w:rPr>
          <w:rFonts w:cs="Arial"/>
          <w:szCs w:val="24"/>
        </w:rPr>
        <w:t xml:space="preserve"> </w:t>
      </w:r>
      <w:r w:rsidR="008A1181">
        <w:rPr>
          <w:rFonts w:cs="Arial"/>
          <w:szCs w:val="24"/>
        </w:rPr>
        <w:t xml:space="preserve">raise </w:t>
      </w:r>
      <w:r w:rsidR="00F6043A">
        <w:rPr>
          <w:rFonts w:cs="Arial"/>
          <w:szCs w:val="24"/>
        </w:rPr>
        <w:t xml:space="preserve">concern over </w:t>
      </w:r>
      <w:r w:rsidR="0042117D">
        <w:rPr>
          <w:rFonts w:cs="Arial"/>
          <w:szCs w:val="24"/>
        </w:rPr>
        <w:t xml:space="preserve">the </w:t>
      </w:r>
      <w:r w:rsidR="00F6043A">
        <w:rPr>
          <w:rFonts w:cs="Arial"/>
          <w:szCs w:val="24"/>
        </w:rPr>
        <w:t xml:space="preserve">resources required </w:t>
      </w:r>
      <w:r w:rsidR="00F6043A">
        <w:rPr>
          <w:rFonts w:cs="Arial"/>
          <w:szCs w:val="24"/>
        </w:rPr>
        <w:fldChar w:fldCharType="begin">
          <w:fldData xml:space="preserve">PEVuZE5vdGU+PENpdGU+PEF1dGhvcj5Db2xsaXZlcjwvQXV0aG9yPjxZZWFyPjIwMDA8L1llYXI+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</w:fldData>
        </w:fldChar>
      </w:r>
      <w:r w:rsidR="00F6043A">
        <w:rPr>
          <w:rFonts w:cs="Arial"/>
          <w:szCs w:val="24"/>
        </w:rPr>
        <w:instrText xml:space="preserve"> ADDIN EN.CITE </w:instrText>
      </w:r>
      <w:r w:rsidR="00F6043A">
        <w:rPr>
          <w:rFonts w:cs="Arial"/>
          <w:szCs w:val="24"/>
        </w:rPr>
        <w:fldChar w:fldCharType="begin">
          <w:fldData xml:space="preserve">PEVuZE5vdGU+PENpdGU+PEF1dGhvcj5Db2xsaXZlcjwvQXV0aG9yPjxZZWFyPjIwMDA8L1llYXI+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</w:fldData>
        </w:fldChar>
      </w:r>
      <w:r w:rsidR="00F6043A">
        <w:rPr>
          <w:rFonts w:cs="Arial"/>
          <w:szCs w:val="24"/>
        </w:rPr>
        <w:instrText xml:space="preserve"> ADDIN EN.CITE.DATA </w:instrText>
      </w:r>
      <w:r w:rsidR="00F6043A">
        <w:rPr>
          <w:rFonts w:cs="Arial"/>
          <w:szCs w:val="24"/>
        </w:rPr>
      </w:r>
      <w:r w:rsidR="00F6043A">
        <w:rPr>
          <w:rFonts w:cs="Arial"/>
          <w:szCs w:val="24"/>
        </w:rPr>
        <w:fldChar w:fldCharType="end"/>
      </w:r>
      <w:r w:rsidR="00F6043A">
        <w:rPr>
          <w:rFonts w:cs="Arial"/>
          <w:szCs w:val="24"/>
        </w:rPr>
      </w:r>
      <w:r w:rsidR="00F6043A">
        <w:rPr>
          <w:rFonts w:cs="Arial"/>
          <w:szCs w:val="24"/>
        </w:rPr>
        <w:fldChar w:fldCharType="separate"/>
      </w:r>
      <w:r w:rsidR="00F6043A">
        <w:rPr>
          <w:rFonts w:cs="Arial"/>
          <w:noProof/>
          <w:szCs w:val="24"/>
        </w:rPr>
        <w:t>(Colliver, 2000, Colliver and Markwell, 2007)</w:t>
      </w:r>
      <w:r w:rsidR="00F6043A">
        <w:rPr>
          <w:rFonts w:cs="Arial"/>
          <w:szCs w:val="24"/>
        </w:rPr>
        <w:fldChar w:fldCharType="end"/>
      </w:r>
      <w:r w:rsidR="00F6043A">
        <w:rPr>
          <w:rFonts w:cs="Arial"/>
          <w:szCs w:val="24"/>
        </w:rPr>
        <w:t xml:space="preserve">. </w:t>
      </w:r>
    </w:p>
    <w:p w14:paraId="160278EF" w14:textId="650E6E98" w:rsidR="00051300" w:rsidRDefault="00AB0C2A" w:rsidP="00313168">
      <w:pPr>
        <w:rPr>
          <w:rFonts w:cs="Arial"/>
          <w:szCs w:val="24"/>
        </w:rPr>
      </w:pPr>
      <w:r>
        <w:rPr>
          <w:rFonts w:cs="Arial"/>
          <w:szCs w:val="24"/>
        </w:rPr>
        <w:t xml:space="preserve">Cave et al. </w:t>
      </w:r>
      <w:r w:rsidR="008A1181">
        <w:rPr>
          <w:rFonts w:cs="Arial"/>
          <w:szCs w:val="24"/>
        </w:rPr>
        <w:t xml:space="preserve">(2009) </w:t>
      </w:r>
      <w:r>
        <w:rPr>
          <w:rFonts w:cs="Arial"/>
          <w:szCs w:val="24"/>
        </w:rPr>
        <w:t xml:space="preserve">report on results from a questionnaire </w:t>
      </w:r>
      <w:r w:rsidR="000E4FCE">
        <w:rPr>
          <w:rFonts w:cs="Arial"/>
          <w:szCs w:val="24"/>
        </w:rPr>
        <w:t xml:space="preserve">posted </w:t>
      </w:r>
      <w:r>
        <w:rPr>
          <w:rFonts w:cs="Arial"/>
          <w:szCs w:val="24"/>
        </w:rPr>
        <w:t>to all newly qualified doctors (May 2005, n= 5143)</w:t>
      </w:r>
      <w:r w:rsidR="00051300">
        <w:rPr>
          <w:rFonts w:cs="Arial"/>
          <w:szCs w:val="24"/>
        </w:rPr>
        <w:t xml:space="preserve"> to work addresses</w:t>
      </w:r>
      <w:r>
        <w:rPr>
          <w:rFonts w:cs="Arial"/>
          <w:szCs w:val="24"/>
        </w:rPr>
        <w:t xml:space="preserve">. </w:t>
      </w:r>
      <w:r w:rsidR="008A1181">
        <w:rPr>
          <w:rFonts w:cs="Arial"/>
          <w:szCs w:val="24"/>
        </w:rPr>
        <w:t>Respondents were offered</w:t>
      </w:r>
      <w:r w:rsidR="00051300">
        <w:rPr>
          <w:rFonts w:cs="Arial"/>
          <w:szCs w:val="24"/>
        </w:rPr>
        <w:t xml:space="preserve"> a financial incentive to take part</w:t>
      </w:r>
      <w:r w:rsidR="000E4FCE">
        <w:rPr>
          <w:rFonts w:cs="Arial"/>
          <w:szCs w:val="24"/>
        </w:rPr>
        <w:t xml:space="preserve">. </w:t>
      </w:r>
      <w:r w:rsidR="00051300">
        <w:rPr>
          <w:rFonts w:cs="Arial"/>
          <w:szCs w:val="24"/>
        </w:rPr>
        <w:t xml:space="preserve">Despite this, </w:t>
      </w:r>
      <w:r w:rsidR="008A1181">
        <w:rPr>
          <w:rFonts w:cs="Arial"/>
          <w:szCs w:val="24"/>
        </w:rPr>
        <w:t>t</w:t>
      </w:r>
      <w:r>
        <w:rPr>
          <w:rFonts w:cs="Arial"/>
          <w:szCs w:val="24"/>
        </w:rPr>
        <w:t xml:space="preserve">he </w:t>
      </w:r>
      <w:r w:rsidR="008A1181">
        <w:rPr>
          <w:rFonts w:cs="Arial"/>
          <w:szCs w:val="24"/>
        </w:rPr>
        <w:t>response rate was low at 43.1%</w:t>
      </w:r>
      <w:r>
        <w:rPr>
          <w:rFonts w:cs="Arial"/>
          <w:szCs w:val="24"/>
        </w:rPr>
        <w:t>, however th</w:t>
      </w:r>
      <w:r w:rsidR="00E757A9">
        <w:rPr>
          <w:rFonts w:cs="Arial"/>
          <w:szCs w:val="24"/>
        </w:rPr>
        <w:t>ere</w:t>
      </w:r>
      <w:r>
        <w:rPr>
          <w:rFonts w:cs="Arial"/>
          <w:szCs w:val="24"/>
        </w:rPr>
        <w:t xml:space="preserve"> was still a large number represented (n=2062). Forty-two </w:t>
      </w:r>
      <w:r w:rsidR="00137253">
        <w:rPr>
          <w:rFonts w:cs="Arial"/>
          <w:szCs w:val="24"/>
        </w:rPr>
        <w:t>per cent</w:t>
      </w:r>
      <w:r>
        <w:rPr>
          <w:rFonts w:cs="Arial"/>
          <w:szCs w:val="24"/>
        </w:rPr>
        <w:t xml:space="preserve"> reported feeling unde</w:t>
      </w:r>
      <w:r w:rsidR="00FF6D16">
        <w:rPr>
          <w:rFonts w:cs="Arial"/>
          <w:szCs w:val="24"/>
        </w:rPr>
        <w:t>r-prepared for FY1, with 15%</w:t>
      </w:r>
      <w:r>
        <w:rPr>
          <w:rFonts w:cs="Arial"/>
          <w:szCs w:val="24"/>
        </w:rPr>
        <w:t xml:space="preserve"> of respondents reporting fe</w:t>
      </w:r>
      <w:r w:rsidR="00FF6D16">
        <w:rPr>
          <w:rFonts w:cs="Arial"/>
          <w:szCs w:val="24"/>
        </w:rPr>
        <w:t>eling ‘poorly’ prepared by their</w:t>
      </w:r>
      <w:r>
        <w:rPr>
          <w:rFonts w:cs="Arial"/>
          <w:szCs w:val="24"/>
        </w:rPr>
        <w:t xml:space="preserve"> undergraduate curriculum </w:t>
      </w:r>
      <w:r>
        <w:rPr>
          <w:rFonts w:cs="Arial"/>
          <w:szCs w:val="24"/>
        </w:rPr>
        <w:fldChar w:fldCharType="begin"/>
      </w:r>
      <w:r>
        <w:rPr>
          <w:rFonts w:cs="Arial"/>
          <w:szCs w:val="24"/>
        </w:rPr>
        <w:instrText xml:space="preserve"> ADDIN EN.CITE &lt;EndNote&gt;&lt;Cite&gt;&lt;Author&gt;Cave&lt;/Author&gt;&lt;Year&gt;2009&lt;/Year&gt;&lt;IDText&gt;Easing the transition from student to doctor: how can medical schools help prepare their graduates for starting work?&lt;/IDText&gt;&lt;DisplayText&gt;(Cave et al., 2009)&lt;/DisplayText&gt;&lt;record&gt;&lt;dates&gt;&lt;pub-dates&gt;&lt;date&gt;May&lt;/date&gt;&lt;/pub-dates&gt;&lt;year&gt;2009&lt;/year&gt;&lt;/dates&gt;&lt;keywords&gt;&lt;keyword&gt;Clinical Competence&lt;/keyword&gt;&lt;keyword&gt;Employment&lt;/keyword&gt;&lt;keyword&gt;Female&lt;/keyword&gt;&lt;keyword&gt;Great Britain&lt;/keyword&gt;&lt;keyword&gt;Humans&lt;/keyword&gt;&lt;keyword&gt;Male&lt;/keyword&gt;&lt;keyword&gt;Schools, Medical&lt;/keyword&gt;&lt;keyword&gt;Students, Medical&lt;/keyword&gt;&lt;keyword&gt;Surveys and Questionnaires&lt;/keyword&gt;&lt;/keywords&gt;&lt;urls&gt;&lt;related-urls&gt;&lt;url&gt;http://www.ncbi.nlm.nih.gov/pubmed/19142797&lt;/url&gt;&lt;/related-urls&gt;&lt;/urls&gt;&lt;isbn&gt;1466-187X&lt;/isbn&gt;&lt;titles&gt;&lt;title&gt;Easing the transition from student to doctor: how can medical schools help prepare their graduates for starting work?&lt;/title&gt;&lt;secondary-title&gt;Med Teach&lt;/secondary-title&gt;&lt;/titles&gt;&lt;pages&gt;403-8&lt;/pages&gt;&lt;number&gt;5&lt;/number&gt;&lt;contributors&gt;&lt;authors&gt;&lt;author&gt;Cave, J.&lt;/author&gt;&lt;author&gt;Woolf, K.&lt;/author&gt;&lt;author&gt;Jones, A.&lt;/author&gt;&lt;author&gt;Dacre, J.&lt;/author&gt;&lt;/authors&gt;&lt;/contributors&gt;&lt;language&gt;eng&lt;/language&gt;&lt;added-date format="utc"&gt;1455791110&lt;/added-date&gt;&lt;ref-type name="Journal Article"&gt;17&lt;/ref-type&gt;&lt;rec-number&gt;187&lt;/rec-number&gt;&lt;last-updated-date format="utc"&gt;1455791110&lt;/last-updated-date&gt;&lt;accession-num&gt;19142797&lt;/accession-num&gt;&lt;electronic-resource-num&gt;10.1080/01421590802348127&lt;/electronic-resource-num&gt;&lt;volume&gt;31&lt;/volume&gt;&lt;/record&gt;&lt;/Cite&gt;&lt;/EndNote&gt;</w:instrText>
      </w:r>
      <w:r>
        <w:rPr>
          <w:rFonts w:cs="Arial"/>
          <w:szCs w:val="24"/>
        </w:rPr>
        <w:fldChar w:fldCharType="separate"/>
      </w:r>
      <w:r>
        <w:rPr>
          <w:rFonts w:cs="Arial"/>
          <w:noProof/>
          <w:szCs w:val="24"/>
        </w:rPr>
        <w:t>(Cave et al., 2009)</w:t>
      </w:r>
      <w:r>
        <w:rPr>
          <w:rFonts w:cs="Arial"/>
          <w:szCs w:val="24"/>
        </w:rPr>
        <w:fldChar w:fldCharType="end"/>
      </w:r>
      <w:r>
        <w:rPr>
          <w:rFonts w:cs="Arial"/>
          <w:szCs w:val="24"/>
        </w:rPr>
        <w:t>. There were no relationships between preparednes</w:t>
      </w:r>
      <w:r w:rsidR="00FF6D16">
        <w:rPr>
          <w:rFonts w:cs="Arial"/>
          <w:szCs w:val="24"/>
        </w:rPr>
        <w:t>s and graduate entry or</w:t>
      </w:r>
      <w:r>
        <w:rPr>
          <w:rFonts w:cs="Arial"/>
          <w:szCs w:val="24"/>
        </w:rPr>
        <w:t xml:space="preserve"> gender. </w:t>
      </w:r>
      <w:r w:rsidR="00295106">
        <w:rPr>
          <w:rFonts w:cs="Arial"/>
          <w:szCs w:val="24"/>
        </w:rPr>
        <w:t>When exploring personality trai</w:t>
      </w:r>
      <w:r>
        <w:rPr>
          <w:rFonts w:cs="Arial"/>
          <w:szCs w:val="24"/>
        </w:rPr>
        <w:t>ts, those that were conscientious an</w:t>
      </w:r>
      <w:r w:rsidR="00295106">
        <w:rPr>
          <w:rFonts w:cs="Arial"/>
          <w:szCs w:val="24"/>
        </w:rPr>
        <w:t>d extr</w:t>
      </w:r>
      <w:r w:rsidR="001A776A">
        <w:rPr>
          <w:rFonts w:cs="Arial"/>
          <w:szCs w:val="24"/>
        </w:rPr>
        <w:t>o</w:t>
      </w:r>
      <w:r w:rsidR="00295106">
        <w:rPr>
          <w:rFonts w:cs="Arial"/>
          <w:szCs w:val="24"/>
        </w:rPr>
        <w:t>vert were found to be mo</w:t>
      </w:r>
      <w:r>
        <w:rPr>
          <w:rFonts w:cs="Arial"/>
          <w:szCs w:val="24"/>
        </w:rPr>
        <w:t>re prepared</w:t>
      </w:r>
      <w:r w:rsidR="001A776A">
        <w:rPr>
          <w:rFonts w:cs="Arial"/>
          <w:szCs w:val="24"/>
        </w:rPr>
        <w:t>,</w:t>
      </w:r>
      <w:r>
        <w:rPr>
          <w:rFonts w:cs="Arial"/>
          <w:szCs w:val="24"/>
        </w:rPr>
        <w:t xml:space="preserve"> and neuro</w:t>
      </w:r>
      <w:r w:rsidR="00295106">
        <w:rPr>
          <w:rFonts w:cs="Arial"/>
          <w:szCs w:val="24"/>
        </w:rPr>
        <w:t xml:space="preserve">tics least prepared. </w:t>
      </w:r>
      <w:r w:rsidR="000E4FCE">
        <w:rPr>
          <w:rFonts w:cs="Arial"/>
          <w:szCs w:val="24"/>
        </w:rPr>
        <w:t xml:space="preserve"> </w:t>
      </w:r>
      <w:r w:rsidR="00295106">
        <w:rPr>
          <w:rFonts w:cs="Arial"/>
          <w:szCs w:val="24"/>
        </w:rPr>
        <w:t>Sha</w:t>
      </w:r>
      <w:r>
        <w:rPr>
          <w:rFonts w:cs="Arial"/>
          <w:szCs w:val="24"/>
        </w:rPr>
        <w:t>dowing</w:t>
      </w:r>
      <w:r w:rsidR="004C2E02">
        <w:rPr>
          <w:rFonts w:cs="Arial"/>
          <w:szCs w:val="24"/>
        </w:rPr>
        <w:t xml:space="preserve">, including length and </w:t>
      </w:r>
      <w:r w:rsidR="00BC14D7">
        <w:rPr>
          <w:rFonts w:cs="Arial"/>
          <w:szCs w:val="24"/>
        </w:rPr>
        <w:t xml:space="preserve">allocated </w:t>
      </w:r>
      <w:r w:rsidR="00E757A9">
        <w:rPr>
          <w:rFonts w:cs="Arial"/>
          <w:szCs w:val="24"/>
        </w:rPr>
        <w:t xml:space="preserve">post </w:t>
      </w:r>
      <w:r w:rsidR="00BC14D7">
        <w:rPr>
          <w:rFonts w:cs="Arial"/>
          <w:szCs w:val="24"/>
        </w:rPr>
        <w:t xml:space="preserve">for </w:t>
      </w:r>
      <w:r w:rsidR="004C2E02">
        <w:rPr>
          <w:rFonts w:cs="Arial"/>
          <w:szCs w:val="24"/>
        </w:rPr>
        <w:t>FY1</w:t>
      </w:r>
      <w:r w:rsidR="00BC14D7">
        <w:rPr>
          <w:rFonts w:cs="Arial"/>
          <w:szCs w:val="24"/>
        </w:rPr>
        <w:t>,</w:t>
      </w:r>
      <w:r>
        <w:rPr>
          <w:rFonts w:cs="Arial"/>
          <w:szCs w:val="24"/>
        </w:rPr>
        <w:t xml:space="preserve"> </w:t>
      </w:r>
      <w:r w:rsidR="00E757A9">
        <w:rPr>
          <w:rFonts w:cs="Arial"/>
          <w:szCs w:val="24"/>
        </w:rPr>
        <w:t xml:space="preserve">plus </w:t>
      </w:r>
      <w:r w:rsidR="001A776A">
        <w:rPr>
          <w:rFonts w:cs="Arial"/>
          <w:szCs w:val="24"/>
        </w:rPr>
        <w:t xml:space="preserve">PBL </w:t>
      </w:r>
      <w:r w:rsidR="00295106">
        <w:rPr>
          <w:rFonts w:cs="Arial"/>
          <w:szCs w:val="24"/>
        </w:rPr>
        <w:t xml:space="preserve">were linked to </w:t>
      </w:r>
      <w:r w:rsidR="004C2E02">
        <w:rPr>
          <w:rFonts w:cs="Arial"/>
          <w:szCs w:val="24"/>
        </w:rPr>
        <w:t xml:space="preserve">increased reported </w:t>
      </w:r>
      <w:r>
        <w:rPr>
          <w:rFonts w:cs="Arial"/>
          <w:szCs w:val="24"/>
        </w:rPr>
        <w:t xml:space="preserve">preparedness. </w:t>
      </w:r>
      <w:r w:rsidR="004C2E02">
        <w:rPr>
          <w:rFonts w:cs="Arial"/>
          <w:szCs w:val="24"/>
        </w:rPr>
        <w:t xml:space="preserve">Identification of role models during training </w:t>
      </w:r>
      <w:r w:rsidR="00E757A9">
        <w:rPr>
          <w:rFonts w:cs="Arial"/>
          <w:szCs w:val="24"/>
        </w:rPr>
        <w:t xml:space="preserve">revealed a small </w:t>
      </w:r>
      <w:r w:rsidR="004C2E02">
        <w:rPr>
          <w:rFonts w:cs="Arial"/>
          <w:szCs w:val="24"/>
        </w:rPr>
        <w:t>correlat</w:t>
      </w:r>
      <w:r w:rsidR="00E757A9">
        <w:rPr>
          <w:rFonts w:cs="Arial"/>
          <w:szCs w:val="24"/>
        </w:rPr>
        <w:t>ion</w:t>
      </w:r>
      <w:r w:rsidR="004C2E02">
        <w:rPr>
          <w:rFonts w:cs="Arial"/>
          <w:szCs w:val="24"/>
        </w:rPr>
        <w:t xml:space="preserve"> with preparedness. </w:t>
      </w:r>
      <w:r>
        <w:rPr>
          <w:rFonts w:cs="Arial"/>
          <w:szCs w:val="24"/>
        </w:rPr>
        <w:lastRenderedPageBreak/>
        <w:t xml:space="preserve">Experience of the ability to access help as </w:t>
      </w:r>
      <w:r w:rsidR="00BC4377">
        <w:rPr>
          <w:rFonts w:cs="Arial"/>
          <w:szCs w:val="24"/>
        </w:rPr>
        <w:t>a FY1</w:t>
      </w:r>
      <w:r>
        <w:rPr>
          <w:rFonts w:cs="Arial"/>
          <w:szCs w:val="24"/>
        </w:rPr>
        <w:t xml:space="preserve"> and retrospective recall that curriculum felt ‘relevant t</w:t>
      </w:r>
      <w:r w:rsidR="00295106">
        <w:rPr>
          <w:rFonts w:cs="Arial"/>
          <w:szCs w:val="24"/>
        </w:rPr>
        <w:t xml:space="preserve">o real life as a doctor ‘ were </w:t>
      </w:r>
      <w:r>
        <w:rPr>
          <w:rFonts w:cs="Arial"/>
          <w:szCs w:val="24"/>
        </w:rPr>
        <w:t>statem</w:t>
      </w:r>
      <w:r w:rsidR="00295106">
        <w:rPr>
          <w:rFonts w:cs="Arial"/>
          <w:szCs w:val="24"/>
        </w:rPr>
        <w:t>ents linked to</w:t>
      </w:r>
      <w:r>
        <w:rPr>
          <w:rFonts w:cs="Arial"/>
          <w:szCs w:val="24"/>
        </w:rPr>
        <w:t xml:space="preserve"> preparedness</w:t>
      </w:r>
      <w:r w:rsidR="00280C88">
        <w:rPr>
          <w:rFonts w:cs="Arial"/>
          <w:szCs w:val="24"/>
        </w:rPr>
        <w:t xml:space="preserve"> </w:t>
      </w:r>
      <w:r w:rsidR="00295106">
        <w:rPr>
          <w:rFonts w:cs="Arial"/>
          <w:szCs w:val="24"/>
        </w:rPr>
        <w:fldChar w:fldCharType="begin"/>
      </w:r>
      <w:r w:rsidR="00295106">
        <w:rPr>
          <w:rFonts w:cs="Arial"/>
          <w:szCs w:val="24"/>
        </w:rPr>
        <w:instrText xml:space="preserve"> ADDIN EN.CITE &lt;EndNote&gt;&lt;Cite&gt;&lt;Author&gt;Cave&lt;/Author&gt;&lt;Year&gt;2009&lt;/Year&gt;&lt;IDText&gt;Easing the transition from student to doctor: how can medical schools help prepare their graduates for starting work?&lt;/IDText&gt;&lt;DisplayText&gt;(Cave et al., 2009)&lt;/DisplayText&gt;&lt;record&gt;&lt;dates&gt;&lt;pub-dates&gt;&lt;date&gt;May&lt;/date&gt;&lt;/pub-dates&gt;&lt;year&gt;2009&lt;/year&gt;&lt;/dates&gt;&lt;keywords&gt;&lt;keyword&gt;Clinical Competence&lt;/keyword&gt;&lt;keyword&gt;Employment&lt;/keyword&gt;&lt;keyword&gt;Female&lt;/keyword&gt;&lt;keyword&gt;Great Britain&lt;/keyword&gt;&lt;keyword&gt;Humans&lt;/keyword&gt;&lt;keyword&gt;Male&lt;/keyword&gt;&lt;keyword&gt;Schools, Medical&lt;/keyword&gt;&lt;keyword&gt;Students, Medical&lt;/keyword&gt;&lt;keyword&gt;Surveys and Questionnaires&lt;/keyword&gt;&lt;/keywords&gt;&lt;urls&gt;&lt;related-urls&gt;&lt;url&gt;http://www.ncbi.nlm.nih.gov/pubmed/19142797&lt;/url&gt;&lt;/related-urls&gt;&lt;/urls&gt;&lt;isbn&gt;1466-187X&lt;/isbn&gt;&lt;titles&gt;&lt;title&gt;Easing the transition from student to doctor: how can medical schools help prepare their graduates for starting work?&lt;/title&gt;&lt;secondary-title&gt;Med Teach&lt;/secondary-title&gt;&lt;/titles&gt;&lt;pages&gt;403-8&lt;/pages&gt;&lt;number&gt;5&lt;/number&gt;&lt;contributors&gt;&lt;authors&gt;&lt;author&gt;Cave, J.&lt;/author&gt;&lt;author&gt;Woolf, K.&lt;/author&gt;&lt;author&gt;Jones, A.&lt;/author&gt;&lt;author&gt;Dacre, J.&lt;/author&gt;&lt;/authors&gt;&lt;/contributors&gt;&lt;language&gt;eng&lt;/language&gt;&lt;added-date format="utc"&gt;1455791110&lt;/added-date&gt;&lt;ref-type name="Journal Article"&gt;17&lt;/ref-type&gt;&lt;rec-number&gt;187&lt;/rec-number&gt;&lt;last-updated-date format="utc"&gt;1455791110&lt;/last-updated-date&gt;&lt;accession-num&gt;19142797&lt;/accession-num&gt;&lt;electronic-resource-num&gt;10.1080/01421590802348127&lt;/electronic-resource-num&gt;&lt;volume&gt;31&lt;/volume&gt;&lt;/record&gt;&lt;/Cite&gt;&lt;/EndNote&gt;</w:instrText>
      </w:r>
      <w:r w:rsidR="00295106">
        <w:rPr>
          <w:rFonts w:cs="Arial"/>
          <w:szCs w:val="24"/>
        </w:rPr>
        <w:fldChar w:fldCharType="separate"/>
      </w:r>
      <w:r w:rsidR="00295106">
        <w:rPr>
          <w:rFonts w:cs="Arial"/>
          <w:noProof/>
          <w:szCs w:val="24"/>
        </w:rPr>
        <w:t>(Cave et al., 2009)</w:t>
      </w:r>
      <w:r w:rsidR="00295106">
        <w:rPr>
          <w:rFonts w:cs="Arial"/>
          <w:szCs w:val="24"/>
        </w:rPr>
        <w:fldChar w:fldCharType="end"/>
      </w:r>
      <w:r>
        <w:rPr>
          <w:rFonts w:cs="Arial"/>
          <w:szCs w:val="24"/>
        </w:rPr>
        <w:t>.</w:t>
      </w:r>
      <w:r w:rsidR="00295106">
        <w:rPr>
          <w:rFonts w:cs="Arial"/>
          <w:szCs w:val="24"/>
        </w:rPr>
        <w:t xml:space="preserve"> </w:t>
      </w:r>
    </w:p>
    <w:p w14:paraId="47791F57" w14:textId="64CE5708" w:rsidR="00741F8B" w:rsidRDefault="00295106" w:rsidP="00313168">
      <w:pPr>
        <w:rPr>
          <w:rFonts w:cs="Arial"/>
          <w:szCs w:val="24"/>
        </w:rPr>
      </w:pPr>
      <w:r>
        <w:rPr>
          <w:rFonts w:cs="Arial"/>
          <w:szCs w:val="24"/>
        </w:rPr>
        <w:t>The team conclude that ‘much of variance in perceived preparedness remains unexplained’</w:t>
      </w:r>
      <w:r w:rsidR="00074105">
        <w:rPr>
          <w:rFonts w:cs="Arial"/>
          <w:szCs w:val="24"/>
        </w:rPr>
        <w:t xml:space="preserve"> (77%)</w:t>
      </w:r>
      <w:r>
        <w:rPr>
          <w:rFonts w:cs="Arial"/>
          <w:szCs w:val="24"/>
        </w:rPr>
        <w:t>. It is unclear whether this is becaus</w:t>
      </w:r>
      <w:r w:rsidR="00BC14D7">
        <w:rPr>
          <w:rFonts w:cs="Arial"/>
          <w:szCs w:val="24"/>
        </w:rPr>
        <w:t xml:space="preserve">e it is difficult to define, understand </w:t>
      </w:r>
      <w:r w:rsidR="001A776A">
        <w:rPr>
          <w:rFonts w:cs="Arial"/>
          <w:szCs w:val="24"/>
        </w:rPr>
        <w:t>or</w:t>
      </w:r>
      <w:r w:rsidR="00BC14D7">
        <w:rPr>
          <w:rFonts w:cs="Arial"/>
          <w:szCs w:val="24"/>
        </w:rPr>
        <w:t xml:space="preserve"> measure</w:t>
      </w:r>
      <w:r w:rsidR="001A776A">
        <w:rPr>
          <w:rFonts w:cs="Arial"/>
          <w:szCs w:val="24"/>
        </w:rPr>
        <w:t>,</w:t>
      </w:r>
      <w:r w:rsidR="00BC14D7">
        <w:rPr>
          <w:rFonts w:cs="Arial"/>
          <w:szCs w:val="24"/>
        </w:rPr>
        <w:t xml:space="preserve"> </w:t>
      </w:r>
      <w:r w:rsidR="00127312">
        <w:rPr>
          <w:rFonts w:cs="Arial"/>
          <w:szCs w:val="24"/>
        </w:rPr>
        <w:t>and what the</w:t>
      </w:r>
      <w:r w:rsidR="00BC14D7">
        <w:rPr>
          <w:rFonts w:cs="Arial"/>
          <w:szCs w:val="24"/>
        </w:rPr>
        <w:t xml:space="preserve"> relevance </w:t>
      </w:r>
      <w:r w:rsidR="00127312">
        <w:rPr>
          <w:rFonts w:cs="Arial"/>
          <w:szCs w:val="24"/>
        </w:rPr>
        <w:t xml:space="preserve">is </w:t>
      </w:r>
      <w:r>
        <w:rPr>
          <w:rFonts w:cs="Arial"/>
          <w:szCs w:val="24"/>
        </w:rPr>
        <w:t xml:space="preserve">to medical education. The GMC focuses on preparedness for practice almost as a marker of quality </w:t>
      </w:r>
      <w:r w:rsidR="001A776A">
        <w:rPr>
          <w:rFonts w:cs="Arial"/>
          <w:szCs w:val="24"/>
        </w:rPr>
        <w:t>for</w:t>
      </w:r>
      <w:r>
        <w:rPr>
          <w:rFonts w:cs="Arial"/>
          <w:szCs w:val="24"/>
        </w:rPr>
        <w:t xml:space="preserve"> undergraduate cu</w:t>
      </w:r>
      <w:r w:rsidR="00BC14D7">
        <w:rPr>
          <w:rFonts w:cs="Arial"/>
          <w:szCs w:val="24"/>
        </w:rPr>
        <w:t>rricula</w:t>
      </w:r>
      <w:r>
        <w:rPr>
          <w:rFonts w:cs="Arial"/>
          <w:szCs w:val="24"/>
        </w:rPr>
        <w:t xml:space="preserve">. </w:t>
      </w:r>
      <w:r w:rsidR="00280C88">
        <w:rPr>
          <w:rFonts w:cs="Arial"/>
          <w:szCs w:val="24"/>
        </w:rPr>
        <w:t xml:space="preserve">Interestingly in this study, there were no significant correlations between reported </w:t>
      </w:r>
      <w:r w:rsidR="00EF2E62">
        <w:rPr>
          <w:rFonts w:cs="Arial"/>
          <w:szCs w:val="24"/>
        </w:rPr>
        <w:t>preparedness and league table r</w:t>
      </w:r>
      <w:r w:rsidR="00280C88">
        <w:rPr>
          <w:rFonts w:cs="Arial"/>
          <w:szCs w:val="24"/>
        </w:rPr>
        <w:t xml:space="preserve">atings of medical schools from the Times and </w:t>
      </w:r>
      <w:r w:rsidR="001A776A">
        <w:rPr>
          <w:rFonts w:cs="Arial"/>
          <w:szCs w:val="24"/>
        </w:rPr>
        <w:t xml:space="preserve">The </w:t>
      </w:r>
      <w:r w:rsidR="00280C88">
        <w:rPr>
          <w:rFonts w:cs="Arial"/>
          <w:szCs w:val="24"/>
        </w:rPr>
        <w:t>Guardian</w:t>
      </w:r>
      <w:r w:rsidR="00127312">
        <w:rPr>
          <w:rFonts w:cs="Arial"/>
          <w:szCs w:val="24"/>
        </w:rPr>
        <w:t xml:space="preserve"> </w:t>
      </w:r>
      <w:r w:rsidR="004C2E02">
        <w:rPr>
          <w:rFonts w:cs="Arial"/>
          <w:szCs w:val="24"/>
        </w:rPr>
        <w:fldChar w:fldCharType="begin"/>
      </w:r>
      <w:r w:rsidR="004C2E02">
        <w:rPr>
          <w:rFonts w:cs="Arial"/>
          <w:szCs w:val="24"/>
        </w:rPr>
        <w:instrText xml:space="preserve"> ADDIN EN.CITE &lt;EndNote&gt;&lt;Cite&gt;&lt;Author&gt;Cave&lt;/Author&gt;&lt;Year&gt;2009&lt;/Year&gt;&lt;IDText&gt;Easing the transition from student to doctor: how can medical schools help prepare their graduates for starting work?&lt;/IDText&gt;&lt;DisplayText&gt;(Cave et al., 2009)&lt;/DisplayText&gt;&lt;record&gt;&lt;dates&gt;&lt;pub-dates&gt;&lt;date&gt;May&lt;/date&gt;&lt;/pub-dates&gt;&lt;year&gt;2009&lt;/year&gt;&lt;/dates&gt;&lt;keywords&gt;&lt;keyword&gt;Clinical Competence&lt;/keyword&gt;&lt;keyword&gt;Employment&lt;/keyword&gt;&lt;keyword&gt;Female&lt;/keyword&gt;&lt;keyword&gt;Great Britain&lt;/keyword&gt;&lt;keyword&gt;Humans&lt;/keyword&gt;&lt;keyword&gt;Male&lt;/keyword&gt;&lt;keyword&gt;Schools, Medical&lt;/keyword&gt;&lt;keyword&gt;Students, Medical&lt;/keyword&gt;&lt;keyword&gt;Surveys and Questionnaires&lt;/keyword&gt;&lt;/keywords&gt;&lt;urls&gt;&lt;related-urls&gt;&lt;url&gt;http://www.ncbi.nlm.nih.gov/pubmed/19142797&lt;/url&gt;&lt;/related-urls&gt;&lt;/urls&gt;&lt;isbn&gt;1466-187X&lt;/isbn&gt;&lt;titles&gt;&lt;title&gt;Easing the transition from student to doctor: how can medical schools help prepare their graduates for starting work?&lt;/title&gt;&lt;secondary-title&gt;Med Teach&lt;/secondary-title&gt;&lt;/titles&gt;&lt;pages&gt;403-8&lt;/pages&gt;&lt;number&gt;5&lt;/number&gt;&lt;contributors&gt;&lt;authors&gt;&lt;author&gt;Cave, J.&lt;/author&gt;&lt;author&gt;Woolf, K.&lt;/author&gt;&lt;author&gt;Jones, A.&lt;/author&gt;&lt;author&gt;Dacre, J.&lt;/author&gt;&lt;/authors&gt;&lt;/contributors&gt;&lt;language&gt;eng&lt;/language&gt;&lt;added-date format="utc"&gt;1455791110&lt;/added-date&gt;&lt;ref-type name="Journal Article"&gt;17&lt;/ref-type&gt;&lt;rec-number&gt;187&lt;/rec-number&gt;&lt;last-updated-date format="utc"&gt;1455791110&lt;/last-updated-date&gt;&lt;accession-num&gt;19142797&lt;/accession-num&gt;&lt;electronic-resource-num&gt;10.1080/01421590802348127&lt;/electronic-resource-num&gt;&lt;volume&gt;31&lt;/volume&gt;&lt;/record&gt;&lt;/Cite&gt;&lt;/EndNote&gt;</w:instrText>
      </w:r>
      <w:r w:rsidR="004C2E02">
        <w:rPr>
          <w:rFonts w:cs="Arial"/>
          <w:szCs w:val="24"/>
        </w:rPr>
        <w:fldChar w:fldCharType="separate"/>
      </w:r>
      <w:r w:rsidR="004C2E02">
        <w:rPr>
          <w:rFonts w:cs="Arial"/>
          <w:noProof/>
          <w:szCs w:val="24"/>
        </w:rPr>
        <w:t>(Cave et al., 2009)</w:t>
      </w:r>
      <w:r w:rsidR="004C2E02">
        <w:rPr>
          <w:rFonts w:cs="Arial"/>
          <w:szCs w:val="24"/>
        </w:rPr>
        <w:fldChar w:fldCharType="end"/>
      </w:r>
      <w:r w:rsidR="00280C88">
        <w:rPr>
          <w:rFonts w:cs="Arial"/>
          <w:szCs w:val="24"/>
        </w:rPr>
        <w:t xml:space="preserve">. </w:t>
      </w:r>
    </w:p>
    <w:p w14:paraId="6DCEB744" w14:textId="1C7744EB" w:rsidR="003005A6" w:rsidRDefault="006260EA" w:rsidP="00313168">
      <w:pPr>
        <w:rPr>
          <w:rFonts w:cs="Arial"/>
          <w:szCs w:val="24"/>
        </w:rPr>
      </w:pPr>
      <w:r>
        <w:rPr>
          <w:rFonts w:cs="Arial"/>
          <w:szCs w:val="24"/>
        </w:rPr>
        <w:t xml:space="preserve">Prescribing recurs as an issue of </w:t>
      </w:r>
      <w:proofErr w:type="spellStart"/>
      <w:r w:rsidR="001D42C9">
        <w:rPr>
          <w:rFonts w:cs="Arial"/>
          <w:szCs w:val="24"/>
        </w:rPr>
        <w:t>underpreparedness</w:t>
      </w:r>
      <w:proofErr w:type="spellEnd"/>
      <w:r>
        <w:rPr>
          <w:rFonts w:cs="Arial"/>
          <w:szCs w:val="24"/>
        </w:rPr>
        <w:t xml:space="preserve"> in the literature. </w:t>
      </w:r>
      <w:r w:rsidR="003005A6">
        <w:rPr>
          <w:rFonts w:cs="Arial"/>
          <w:szCs w:val="24"/>
        </w:rPr>
        <w:t>A national prescribing safety assessment has been introduced as a response</w:t>
      </w:r>
      <w:r>
        <w:rPr>
          <w:rFonts w:cs="Arial"/>
          <w:szCs w:val="24"/>
        </w:rPr>
        <w:t>, which</w:t>
      </w:r>
      <w:r w:rsidR="00741F8B">
        <w:rPr>
          <w:rFonts w:cs="Arial"/>
          <w:szCs w:val="24"/>
        </w:rPr>
        <w:t xml:space="preserve"> assumes</w:t>
      </w:r>
      <w:r w:rsidR="00EF6883">
        <w:rPr>
          <w:rFonts w:cs="Arial"/>
          <w:szCs w:val="24"/>
        </w:rPr>
        <w:t xml:space="preserve"> that</w:t>
      </w:r>
      <w:r w:rsidR="00741F8B">
        <w:rPr>
          <w:rFonts w:cs="Arial"/>
          <w:szCs w:val="24"/>
        </w:rPr>
        <w:t xml:space="preserve"> </w:t>
      </w:r>
      <w:proofErr w:type="spellStart"/>
      <w:r w:rsidR="001D42C9">
        <w:rPr>
          <w:rFonts w:cs="Arial"/>
          <w:szCs w:val="24"/>
        </w:rPr>
        <w:t>underpreparedness</w:t>
      </w:r>
      <w:proofErr w:type="spellEnd"/>
      <w:r w:rsidR="0025581A">
        <w:rPr>
          <w:rFonts w:cs="Arial"/>
          <w:szCs w:val="24"/>
        </w:rPr>
        <w:t xml:space="preserve"> is mostly due to lack of knowledge rather than anything more complex. </w:t>
      </w:r>
      <w:r>
        <w:rPr>
          <w:rFonts w:cs="Arial"/>
          <w:szCs w:val="24"/>
        </w:rPr>
        <w:t xml:space="preserve"> </w:t>
      </w:r>
      <w:r w:rsidR="0025581A">
        <w:rPr>
          <w:rFonts w:cs="Arial"/>
          <w:szCs w:val="24"/>
        </w:rPr>
        <w:t xml:space="preserve">Smith et al. </w:t>
      </w:r>
      <w:r w:rsidR="00EF6883">
        <w:rPr>
          <w:rFonts w:cs="Arial"/>
          <w:szCs w:val="24"/>
        </w:rPr>
        <w:t xml:space="preserve">(2013) </w:t>
      </w:r>
      <w:r w:rsidR="0025581A">
        <w:rPr>
          <w:rFonts w:cs="Arial"/>
          <w:szCs w:val="24"/>
        </w:rPr>
        <w:t xml:space="preserve">developed a programme in Scotland allowing undergraduates the responsibility to ‘pre-prescribe’ under the safety of </w:t>
      </w:r>
      <w:r w:rsidR="00EF6883">
        <w:rPr>
          <w:rFonts w:cs="Arial"/>
          <w:szCs w:val="24"/>
        </w:rPr>
        <w:t>a countersignature</w:t>
      </w:r>
      <w:r w:rsidR="0025581A">
        <w:rPr>
          <w:rFonts w:cs="Arial"/>
          <w:szCs w:val="24"/>
        </w:rPr>
        <w:t xml:space="preserve"> by a qualified doctor. This enhanced professional development</w:t>
      </w:r>
      <w:r>
        <w:rPr>
          <w:rFonts w:cs="Arial"/>
          <w:szCs w:val="24"/>
        </w:rPr>
        <w:t xml:space="preserve">, </w:t>
      </w:r>
      <w:r w:rsidR="0025581A">
        <w:rPr>
          <w:rFonts w:cs="Arial"/>
          <w:szCs w:val="24"/>
        </w:rPr>
        <w:t xml:space="preserve">allowing </w:t>
      </w:r>
      <w:r w:rsidR="00EF6883">
        <w:rPr>
          <w:rFonts w:cs="Arial"/>
          <w:szCs w:val="24"/>
        </w:rPr>
        <w:t xml:space="preserve">the </w:t>
      </w:r>
      <w:r w:rsidR="0025581A">
        <w:rPr>
          <w:rFonts w:cs="Arial"/>
          <w:szCs w:val="24"/>
        </w:rPr>
        <w:t>making of mistakes and learning from them</w:t>
      </w:r>
      <w:r w:rsidR="00EF6883">
        <w:rPr>
          <w:rFonts w:cs="Arial"/>
          <w:szCs w:val="24"/>
        </w:rPr>
        <w:t>,</w:t>
      </w:r>
      <w:r w:rsidR="0025581A">
        <w:rPr>
          <w:rFonts w:cs="Arial"/>
          <w:szCs w:val="24"/>
        </w:rPr>
        <w:t xml:space="preserve"> without harming patients. One important emergent theme </w:t>
      </w:r>
      <w:r>
        <w:rPr>
          <w:rFonts w:cs="Arial"/>
          <w:szCs w:val="24"/>
        </w:rPr>
        <w:t xml:space="preserve">was </w:t>
      </w:r>
      <w:r w:rsidR="0025581A">
        <w:rPr>
          <w:rFonts w:cs="Arial"/>
          <w:szCs w:val="24"/>
        </w:rPr>
        <w:t xml:space="preserve">development of ‘professional identity’ through team interaction </w:t>
      </w:r>
      <w:r w:rsidR="0025581A">
        <w:rPr>
          <w:rFonts w:cs="Arial"/>
          <w:szCs w:val="24"/>
        </w:rPr>
        <w:fldChar w:fldCharType="begin"/>
      </w:r>
      <w:r w:rsidR="0025581A">
        <w:rPr>
          <w:rFonts w:cs="Arial"/>
          <w:szCs w:val="24"/>
        </w:rPr>
        <w:instrText xml:space="preserve"> ADDIN EN.CITE &lt;EndNote&gt;&lt;Cite&gt;&lt;Author&gt;Smith&lt;/Author&gt;&lt;Year&gt;2013&lt;/Year&gt;&lt;IDText&gt;The effects of contributing to patient care on medical students&amp;apos; workplace learning&lt;/IDText&gt;&lt;DisplayText&gt;(Smith et al., 2013)&lt;/DisplayText&gt;&lt;record&gt;&lt;dates&gt;&lt;pub-dates&gt;&lt;date&gt;Dec&lt;/date&gt;&lt;/pub-dates&gt;&lt;year&gt;2013&lt;/year&gt;&lt;/dates&gt;&lt;keywords&gt;&lt;keyword&gt;Adult&lt;/keyword&gt;&lt;keyword&gt;Education, Medical, Undergraduate&lt;/keyword&gt;&lt;keyword&gt;Female&lt;/keyword&gt;&lt;keyword&gt;Focus Groups&lt;/keyword&gt;&lt;keyword&gt;Great Britain&lt;/keyword&gt;&lt;keyword&gt;Health Knowledge, Attitudes, Practice&lt;/keyword&gt;&lt;keyword&gt;Humans&lt;/keyword&gt;&lt;keyword&gt;Learning&lt;/keyword&gt;&lt;keyword&gt;Male&lt;/keyword&gt;&lt;keyword&gt;Patient Care&lt;/keyword&gt;&lt;keyword&gt;Patient Care Team&lt;/keyword&gt;&lt;keyword&gt;Professional Role&lt;/keyword&gt;&lt;keyword&gt;Students, Medical&lt;/keyword&gt;&lt;keyword&gt;Workplace&lt;/keyword&gt;&lt;/keywords&gt;&lt;urls&gt;&lt;related-urls&gt;&lt;url&gt;http://www.ncbi.nlm.nih.gov/pubmed/24206152&lt;/url&gt;&lt;/related-urls&gt;&lt;/urls&gt;&lt;isbn&gt;1365-2923&lt;/isbn&gt;&lt;titles&gt;&lt;title&gt;The effects of contributing to patient care on medical students&amp;apos; workplace learning&lt;/title&gt;&lt;secondary-title&gt;Med Educ&lt;/secondary-title&gt;&lt;/titles&gt;&lt;pages&gt;1184-96&lt;/pages&gt;&lt;number&gt;12&lt;/number&gt;&lt;contributors&gt;&lt;authors&gt;&lt;author&gt;Smith, S. E.&lt;/author&gt;&lt;author&gt;Tallentire, V. R.&lt;/author&gt;&lt;author&gt;Cameron, H. S.&lt;/author&gt;&lt;author&gt;Wood, S. M.&lt;/author&gt;&lt;/authors&gt;&lt;/contributors&gt;&lt;language&gt;eng&lt;/language&gt;&lt;added-date format="utc"&gt;1455789390&lt;/added-date&gt;&lt;ref-type name="Journal Article"&gt;17&lt;/ref-type&gt;&lt;rec-number&gt;180&lt;/rec-number&gt;&lt;last-updated-date format="utc"&gt;1455789390&lt;/last-updated-date&gt;&lt;accession-num&gt;24206152&lt;/accession-num&gt;&lt;electronic-resource-num&gt;10.1111/medu.12217&lt;/electronic-resource-num&gt;&lt;volume&gt;47&lt;/volume&gt;&lt;/record&gt;&lt;/Cite&gt;&lt;/EndNote&gt;</w:instrText>
      </w:r>
      <w:r w:rsidR="0025581A">
        <w:rPr>
          <w:rFonts w:cs="Arial"/>
          <w:szCs w:val="24"/>
        </w:rPr>
        <w:fldChar w:fldCharType="separate"/>
      </w:r>
      <w:r w:rsidR="0025581A">
        <w:rPr>
          <w:rFonts w:cs="Arial"/>
          <w:noProof/>
          <w:szCs w:val="24"/>
        </w:rPr>
        <w:t>(Smith et al., 2013)</w:t>
      </w:r>
      <w:r w:rsidR="0025581A">
        <w:rPr>
          <w:rFonts w:cs="Arial"/>
          <w:szCs w:val="24"/>
        </w:rPr>
        <w:fldChar w:fldCharType="end"/>
      </w:r>
      <w:r w:rsidR="006C275B">
        <w:rPr>
          <w:rFonts w:cs="Arial"/>
          <w:szCs w:val="24"/>
        </w:rPr>
        <w:t>.</w:t>
      </w:r>
    </w:p>
    <w:p w14:paraId="44FC3E0A" w14:textId="596623A8" w:rsidR="007412A4" w:rsidRDefault="007412A4" w:rsidP="00313168">
      <w:pPr>
        <w:rPr>
          <w:rFonts w:cs="Arial"/>
          <w:szCs w:val="24"/>
        </w:rPr>
      </w:pPr>
      <w:r>
        <w:rPr>
          <w:rFonts w:cs="Arial"/>
          <w:szCs w:val="24"/>
        </w:rPr>
        <w:t>Kelle</w:t>
      </w:r>
      <w:r w:rsidR="006C275B">
        <w:rPr>
          <w:rFonts w:cs="Arial"/>
          <w:szCs w:val="24"/>
        </w:rPr>
        <w:t>t</w:t>
      </w:r>
      <w:r>
        <w:rPr>
          <w:rFonts w:cs="Arial"/>
          <w:szCs w:val="24"/>
        </w:rPr>
        <w:t xml:space="preserve">t et al. </w:t>
      </w:r>
      <w:r w:rsidR="00EF6883">
        <w:rPr>
          <w:rFonts w:cs="Arial"/>
          <w:szCs w:val="24"/>
        </w:rPr>
        <w:t xml:space="preserve">(2015) </w:t>
      </w:r>
      <w:r w:rsidR="006260EA">
        <w:rPr>
          <w:rFonts w:cs="Arial"/>
          <w:szCs w:val="24"/>
        </w:rPr>
        <w:t xml:space="preserve">concur, recommending </w:t>
      </w:r>
      <w:r>
        <w:rPr>
          <w:rFonts w:cs="Arial"/>
          <w:szCs w:val="24"/>
        </w:rPr>
        <w:t xml:space="preserve"> ‘active participation’, experience and exposure to ‘complex problems’ and ‘life skills training’. The</w:t>
      </w:r>
      <w:r w:rsidR="006260EA">
        <w:rPr>
          <w:rFonts w:cs="Arial"/>
          <w:szCs w:val="24"/>
        </w:rPr>
        <w:t>y</w:t>
      </w:r>
      <w:r>
        <w:rPr>
          <w:rFonts w:cs="Arial"/>
          <w:szCs w:val="24"/>
        </w:rPr>
        <w:t xml:space="preserve"> </w:t>
      </w:r>
      <w:r w:rsidR="006260EA">
        <w:rPr>
          <w:rFonts w:cs="Arial"/>
          <w:szCs w:val="24"/>
        </w:rPr>
        <w:t xml:space="preserve">advocate </w:t>
      </w:r>
      <w:r>
        <w:rPr>
          <w:rFonts w:cs="Arial"/>
          <w:szCs w:val="24"/>
        </w:rPr>
        <w:t>‘simulation for emergency situations’, and practice of authentic FY1 administrative tasks</w:t>
      </w:r>
      <w:r w:rsidR="006260EA">
        <w:rPr>
          <w:rFonts w:cs="Arial"/>
          <w:szCs w:val="24"/>
        </w:rPr>
        <w:t xml:space="preserve">, </w:t>
      </w:r>
      <w:r>
        <w:rPr>
          <w:rFonts w:cs="Arial"/>
          <w:szCs w:val="24"/>
        </w:rPr>
        <w:t>handovers and prescribing</w:t>
      </w:r>
      <w:r w:rsidR="006260EA">
        <w:rPr>
          <w:rFonts w:cs="Arial"/>
          <w:szCs w:val="24"/>
        </w:rPr>
        <w:t xml:space="preserve">. </w:t>
      </w:r>
      <w:r w:rsidR="003A7D42">
        <w:rPr>
          <w:rFonts w:cs="Arial"/>
          <w:szCs w:val="24"/>
        </w:rPr>
        <w:t>Post graduation</w:t>
      </w:r>
      <w:r>
        <w:rPr>
          <w:rFonts w:cs="Arial"/>
          <w:szCs w:val="24"/>
        </w:rPr>
        <w:t xml:space="preserve"> </w:t>
      </w:r>
      <w:r w:rsidR="00BF01BC">
        <w:rPr>
          <w:rFonts w:cs="Arial"/>
          <w:szCs w:val="24"/>
        </w:rPr>
        <w:lastRenderedPageBreak/>
        <w:t>recommendations are to ensure</w:t>
      </w:r>
      <w:r>
        <w:rPr>
          <w:rFonts w:cs="Arial"/>
          <w:szCs w:val="24"/>
        </w:rPr>
        <w:t xml:space="preserve"> FY1s are supported with complex patients, receive feedback on performance and have a meaningful departmental induction covering their role holistically</w:t>
      </w:r>
      <w:r w:rsidR="00EF6883">
        <w:rPr>
          <w:rFonts w:cs="Arial"/>
          <w:szCs w:val="24"/>
        </w:rPr>
        <w:t xml:space="preserve"> </w:t>
      </w:r>
      <w:r w:rsidR="00EF6883">
        <w:rPr>
          <w:rFonts w:cs="Arial"/>
          <w:szCs w:val="24"/>
        </w:rPr>
        <w:fldChar w:fldCharType="begin"/>
      </w:r>
      <w:r w:rsidR="00BB31A6">
        <w:rPr>
          <w:rFonts w:cs="Arial"/>
          <w:szCs w:val="24"/>
        </w:rPr>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sidR="00EF6883">
        <w:rPr>
          <w:rFonts w:cs="Arial"/>
          <w:szCs w:val="24"/>
        </w:rPr>
        <w:fldChar w:fldCharType="separate"/>
      </w:r>
      <w:r w:rsidR="00BB31A6">
        <w:rPr>
          <w:rFonts w:cs="Arial"/>
          <w:noProof/>
          <w:szCs w:val="24"/>
        </w:rPr>
        <w:t>(GMC, 2009)</w:t>
      </w:r>
      <w:r w:rsidR="00EF6883">
        <w:rPr>
          <w:rFonts w:cs="Arial"/>
          <w:szCs w:val="24"/>
        </w:rPr>
        <w:fldChar w:fldCharType="end"/>
      </w:r>
      <w:r>
        <w:rPr>
          <w:rFonts w:cs="Arial"/>
          <w:szCs w:val="24"/>
        </w:rPr>
        <w:t xml:space="preserve">. </w:t>
      </w:r>
    </w:p>
    <w:p w14:paraId="073F9177" w14:textId="6CDD7B24" w:rsidR="00741F8B" w:rsidRDefault="00BF01BC" w:rsidP="00313168">
      <w:pPr>
        <w:rPr>
          <w:rFonts w:cs="Arial"/>
          <w:szCs w:val="24"/>
        </w:rPr>
      </w:pPr>
      <w:r>
        <w:rPr>
          <w:rFonts w:cs="Arial"/>
          <w:szCs w:val="24"/>
        </w:rPr>
        <w:t>There are plans to bring forward doctors’ registration</w:t>
      </w:r>
      <w:r w:rsidR="004165E9">
        <w:rPr>
          <w:rFonts w:cs="Arial"/>
          <w:szCs w:val="24"/>
        </w:rPr>
        <w:t xml:space="preserve"> from the current time point at </w:t>
      </w:r>
      <w:r>
        <w:rPr>
          <w:rFonts w:cs="Arial"/>
          <w:szCs w:val="24"/>
        </w:rPr>
        <w:t xml:space="preserve">the end of FY1, to </w:t>
      </w:r>
      <w:r w:rsidR="004165E9">
        <w:rPr>
          <w:rFonts w:cs="Arial"/>
          <w:szCs w:val="24"/>
        </w:rPr>
        <w:t xml:space="preserve">graduation from </w:t>
      </w:r>
      <w:r>
        <w:rPr>
          <w:rFonts w:cs="Arial"/>
          <w:szCs w:val="24"/>
        </w:rPr>
        <w:t>medical school. This recommendation arose following the Shape of Training review</w:t>
      </w:r>
      <w:r w:rsidR="00033FF0">
        <w:rPr>
          <w:rFonts w:cs="Arial"/>
          <w:szCs w:val="24"/>
        </w:rPr>
        <w:t xml:space="preserve"> </w:t>
      </w:r>
      <w:r w:rsidR="00033FF0">
        <w:rPr>
          <w:rFonts w:cs="Arial"/>
          <w:szCs w:val="24"/>
        </w:rPr>
        <w:fldChar w:fldCharType="begin"/>
      </w:r>
      <w:r w:rsidR="00033FF0">
        <w:rPr>
          <w:rFonts w:cs="Arial"/>
          <w:szCs w:val="24"/>
        </w:rPr>
        <w:instrText xml:space="preserve"> ADDIN EN.CITE &lt;EndNote&gt;&lt;Cite&gt;&lt;Author&gt;Greenaway&lt;/Author&gt;&lt;Year&gt;2013&lt;/Year&gt;&lt;IDText&gt;Shape of training: securing the future of excellent patient care.&lt;/IDText&gt;&lt;DisplayText&gt;(Greenaway, 2013)&lt;/DisplayText&gt;&lt;record&gt;&lt;urls&gt;&lt;related-urls&gt;&lt;url&gt;http://www.shapeoftraining.co.uk/static/documents/content/Shape_of_training_FINAL_Report.pdf_53977887.pdf&lt;/url&gt;&lt;/related-urls&gt;&lt;/urls&gt;&lt;titles&gt;&lt;title&gt;Shape of training: securing the future of excellent patient care.&lt;/title&gt;&lt;/titles&gt;&lt;contributors&gt;&lt;authors&gt;&lt;author&gt;Greenaway, D&lt;/author&gt;&lt;/authors&gt;&lt;/contributors&gt;&lt;added-date format="utc"&gt;1456397548&lt;/added-date&gt;&lt;pub-location&gt;London&lt;/pub-location&gt;&lt;ref-type name="Web Page"&gt;12&lt;/ref-type&gt;&lt;dates&gt;&lt;year&gt;2013&lt;/year&gt;&lt;/dates&gt;&lt;rec-number&gt;199&lt;/rec-number&gt;&lt;publisher&gt;General Medical Council&lt;/publisher&gt;&lt;last-updated-date format="utc"&gt;1456397693&lt;/last-updated-date&gt;&lt;/record&gt;&lt;/Cite&gt;&lt;/EndNote&gt;</w:instrText>
      </w:r>
      <w:r w:rsidR="00033FF0">
        <w:rPr>
          <w:rFonts w:cs="Arial"/>
          <w:szCs w:val="24"/>
        </w:rPr>
        <w:fldChar w:fldCharType="separate"/>
      </w:r>
      <w:r w:rsidR="00033FF0">
        <w:rPr>
          <w:rFonts w:cs="Arial"/>
          <w:noProof/>
          <w:szCs w:val="24"/>
        </w:rPr>
        <w:t>(Greenaway, 2013)</w:t>
      </w:r>
      <w:r w:rsidR="00033FF0">
        <w:rPr>
          <w:rFonts w:cs="Arial"/>
          <w:szCs w:val="24"/>
        </w:rPr>
        <w:fldChar w:fldCharType="end"/>
      </w:r>
      <w:r>
        <w:rPr>
          <w:rFonts w:cs="Arial"/>
          <w:szCs w:val="24"/>
        </w:rPr>
        <w:t xml:space="preserve">. This would make it critical that </w:t>
      </w:r>
      <w:r w:rsidR="001D42C9">
        <w:rPr>
          <w:rFonts w:cs="Arial"/>
          <w:szCs w:val="24"/>
        </w:rPr>
        <w:t>5th-year</w:t>
      </w:r>
      <w:r>
        <w:rPr>
          <w:rFonts w:cs="Arial"/>
          <w:szCs w:val="24"/>
        </w:rPr>
        <w:t xml:space="preserve"> medical students are fully prepared and </w:t>
      </w:r>
      <w:r w:rsidR="00693688">
        <w:rPr>
          <w:rFonts w:cs="Arial"/>
          <w:szCs w:val="24"/>
        </w:rPr>
        <w:t xml:space="preserve">competent. </w:t>
      </w:r>
      <w:proofErr w:type="spellStart"/>
      <w:r w:rsidR="00693688">
        <w:rPr>
          <w:rFonts w:cs="Arial"/>
          <w:szCs w:val="24"/>
        </w:rPr>
        <w:t>Mattick</w:t>
      </w:r>
      <w:proofErr w:type="spellEnd"/>
      <w:r w:rsidR="000F496D">
        <w:rPr>
          <w:rFonts w:cs="Arial"/>
          <w:szCs w:val="24"/>
        </w:rPr>
        <w:t xml:space="preserve"> et al. </w:t>
      </w:r>
      <w:r w:rsidR="004165E9">
        <w:rPr>
          <w:rFonts w:cs="Arial"/>
          <w:szCs w:val="24"/>
        </w:rPr>
        <w:t>(2016)</w:t>
      </w:r>
      <w:r w:rsidR="000F496D">
        <w:rPr>
          <w:rFonts w:cs="Arial"/>
          <w:szCs w:val="24"/>
        </w:rPr>
        <w:t xml:space="preserve"> qualitatively</w:t>
      </w:r>
      <w:r w:rsidR="006C69AE">
        <w:rPr>
          <w:rFonts w:cs="Arial"/>
          <w:szCs w:val="24"/>
        </w:rPr>
        <w:t xml:space="preserve"> explored</w:t>
      </w:r>
      <w:r w:rsidR="000F496D">
        <w:rPr>
          <w:rFonts w:cs="Arial"/>
          <w:szCs w:val="24"/>
        </w:rPr>
        <w:t xml:space="preserve"> UK stakeholder perspectives regarding this move of registration through interviews (n=87) and </w:t>
      </w:r>
      <w:r w:rsidR="00173DE4">
        <w:rPr>
          <w:rFonts w:cs="Arial"/>
          <w:szCs w:val="24"/>
        </w:rPr>
        <w:t>focus group</w:t>
      </w:r>
      <w:r w:rsidR="000F496D">
        <w:rPr>
          <w:rFonts w:cs="Arial"/>
          <w:szCs w:val="24"/>
        </w:rPr>
        <w:t>s (n=30 groups)</w:t>
      </w:r>
      <w:r w:rsidR="009018A5">
        <w:rPr>
          <w:rFonts w:cs="Arial"/>
          <w:szCs w:val="24"/>
        </w:rPr>
        <w:t xml:space="preserve"> with </w:t>
      </w:r>
      <w:r w:rsidR="000F496D">
        <w:rPr>
          <w:rFonts w:cs="Arial"/>
          <w:szCs w:val="24"/>
        </w:rPr>
        <w:t xml:space="preserve">doctors, clinical educators, foundation programme directors, patients, public and government representatives (n=185 individuals). </w:t>
      </w:r>
      <w:r w:rsidR="00693688">
        <w:rPr>
          <w:rFonts w:cs="Arial"/>
          <w:szCs w:val="24"/>
        </w:rPr>
        <w:t>The theme ‘implications for undergraduate medical education’, led to the recommendation that a ‘radical review’ would be required and training may need to be extended.</w:t>
      </w:r>
      <w:r w:rsidR="00693688" w:rsidRPr="001B48B3">
        <w:rPr>
          <w:rFonts w:cs="Arial"/>
          <w:szCs w:val="24"/>
        </w:rPr>
        <w:t xml:space="preserve"> </w:t>
      </w:r>
      <w:r w:rsidR="00AE69F8">
        <w:rPr>
          <w:rFonts w:cs="Arial"/>
          <w:szCs w:val="24"/>
        </w:rPr>
        <w:t>Framework analysis revealed the importance of FY1 as a ‘safety net’ related to patient</w:t>
      </w:r>
      <w:r w:rsidR="004E5FF8">
        <w:rPr>
          <w:rFonts w:cs="Arial"/>
          <w:szCs w:val="24"/>
        </w:rPr>
        <w:t>s</w:t>
      </w:r>
      <w:r w:rsidR="00AE69F8">
        <w:rPr>
          <w:rFonts w:cs="Arial"/>
          <w:szCs w:val="24"/>
        </w:rPr>
        <w:t>. There were concerns over potential lack of supervision</w:t>
      </w:r>
      <w:r w:rsidR="00E97836">
        <w:rPr>
          <w:rFonts w:cs="Arial"/>
          <w:szCs w:val="24"/>
        </w:rPr>
        <w:t xml:space="preserve">, </w:t>
      </w:r>
      <w:r w:rsidR="00DE5413">
        <w:rPr>
          <w:rFonts w:cs="Arial"/>
          <w:szCs w:val="24"/>
        </w:rPr>
        <w:t>discharging patients</w:t>
      </w:r>
      <w:r w:rsidR="00693688">
        <w:rPr>
          <w:rFonts w:cs="Arial"/>
          <w:szCs w:val="24"/>
        </w:rPr>
        <w:t xml:space="preserve"> </w:t>
      </w:r>
      <w:r w:rsidR="00E97836">
        <w:rPr>
          <w:rFonts w:cs="Arial"/>
          <w:szCs w:val="24"/>
        </w:rPr>
        <w:t>and i</w:t>
      </w:r>
      <w:r w:rsidR="00AE69F8">
        <w:rPr>
          <w:rFonts w:cs="Arial"/>
          <w:szCs w:val="24"/>
        </w:rPr>
        <w:t xml:space="preserve">ncreases in stress related to this more independent role out of medical school. Deans felt </w:t>
      </w:r>
      <w:r w:rsidR="00E97836">
        <w:rPr>
          <w:rFonts w:cs="Arial"/>
          <w:szCs w:val="24"/>
        </w:rPr>
        <w:t xml:space="preserve">this </w:t>
      </w:r>
      <w:r w:rsidR="00AE69F8">
        <w:rPr>
          <w:rFonts w:cs="Arial"/>
          <w:szCs w:val="24"/>
        </w:rPr>
        <w:t>achiev</w:t>
      </w:r>
      <w:r w:rsidR="00E97836">
        <w:rPr>
          <w:rFonts w:cs="Arial"/>
          <w:szCs w:val="24"/>
        </w:rPr>
        <w:t>able</w:t>
      </w:r>
      <w:r w:rsidR="00AE69F8">
        <w:rPr>
          <w:rFonts w:cs="Arial"/>
          <w:szCs w:val="24"/>
        </w:rPr>
        <w:t xml:space="preserve"> th</w:t>
      </w:r>
      <w:r w:rsidR="006C69AE">
        <w:rPr>
          <w:rFonts w:cs="Arial"/>
          <w:szCs w:val="24"/>
        </w:rPr>
        <w:t>r</w:t>
      </w:r>
      <w:r w:rsidR="00AE69F8">
        <w:rPr>
          <w:rFonts w:cs="Arial"/>
          <w:szCs w:val="24"/>
        </w:rPr>
        <w:t xml:space="preserve">ough curricula changes, whereas others </w:t>
      </w:r>
      <w:r w:rsidR="00B662D4">
        <w:rPr>
          <w:rFonts w:cs="Arial"/>
          <w:szCs w:val="24"/>
        </w:rPr>
        <w:t>were not convinced and had patient safety concerns</w:t>
      </w:r>
      <w:r w:rsidR="00DE5413">
        <w:rPr>
          <w:rFonts w:cs="Arial"/>
          <w:szCs w:val="24"/>
        </w:rPr>
        <w:t xml:space="preserve"> </w:t>
      </w:r>
      <w:r w:rsidR="00DE5413">
        <w:rPr>
          <w:rFonts w:cs="Arial"/>
          <w:szCs w:val="24"/>
        </w:rPr>
        <w:fldChar w:fldCharType="begin"/>
      </w:r>
      <w:r w:rsidR="00DE5413">
        <w:rPr>
          <w:rFonts w:cs="Arial"/>
          <w:szCs w:val="24"/>
        </w:rPr>
        <w:instrText xml:space="preserve"> ADDIN EN.CITE &lt;EndNote&gt;&lt;Cite&gt;&lt;Author&gt;Mattick&lt;/Author&gt;&lt;Year&gt;2016&lt;/Year&gt;&lt;IDText&gt;Implications of aligning full registration of doctors with medical school graduation: a qualitative study of stakeholder perspectives&lt;/IDText&gt;&lt;DisplayText&gt;(Mattick et al., 2016)&lt;/DisplayText&gt;&lt;record&gt;&lt;titles&gt;&lt;title&gt;Implications of aligning full registration of doctors with medical school graduation: a qualitative study of stakeholder perspectives&lt;/title&gt;&lt;secondary-title&gt;BMJ Open&lt;/secondary-title&gt;&lt;/titles&gt;&lt;number&gt;6&lt;/number&gt;&lt;contributors&gt;&lt;authors&gt;&lt;author&gt;Mattick, K L&lt;/author&gt;&lt;author&gt;Kaufhold, K&lt;/author&gt;&lt;author&gt;Kelly, N&lt;/author&gt;&lt;author&gt;Cole, J A&lt;/author&gt;&lt;author&gt;Scheffler, G&lt;/author&gt;&lt;author&gt;Rees, C E&lt;/author&gt;&lt;author&gt;Bullock, AGormley, G J&lt;/author&gt;&lt;author&gt;Monrouxe, L V&lt;/author&gt;&lt;/authors&gt;&lt;/contributors&gt;&lt;edition&gt;Feb 2016&lt;/edition&gt;&lt;added-date format="utc"&gt;1456393996&lt;/added-date&gt;&lt;ref-type name="Journal Article"&gt;17&lt;/ref-type&gt;&lt;dates&gt;&lt;year&gt;2016&lt;/year&gt;&lt;/dates&gt;&lt;rec-number&gt;198&lt;/rec-number&gt;&lt;last-updated-date format="utc"&gt;1456394223&lt;/last-updated-date&gt;&lt;electronic-resource-num&gt;10.1136/bmjopen-2015-010246&lt;/electronic-resource-num&gt;&lt;/record&gt;&lt;/Cite&gt;&lt;/EndNote&gt;</w:instrText>
      </w:r>
      <w:r w:rsidR="00DE5413">
        <w:rPr>
          <w:rFonts w:cs="Arial"/>
          <w:szCs w:val="24"/>
        </w:rPr>
        <w:fldChar w:fldCharType="separate"/>
      </w:r>
      <w:r w:rsidR="00DE5413">
        <w:rPr>
          <w:rFonts w:cs="Arial"/>
          <w:noProof/>
          <w:szCs w:val="24"/>
        </w:rPr>
        <w:t>(Mattick et al., 2016)</w:t>
      </w:r>
      <w:r w:rsidR="00DE5413">
        <w:rPr>
          <w:rFonts w:cs="Arial"/>
          <w:szCs w:val="24"/>
        </w:rPr>
        <w:fldChar w:fldCharType="end"/>
      </w:r>
      <w:r w:rsidR="00B662D4">
        <w:rPr>
          <w:rFonts w:cs="Arial"/>
          <w:szCs w:val="24"/>
        </w:rPr>
        <w:t xml:space="preserve">. </w:t>
      </w:r>
    </w:p>
    <w:p w14:paraId="17B6FA75" w14:textId="3E7CC1EE" w:rsidR="00710A0D" w:rsidRDefault="00B662D4" w:rsidP="00313168">
      <w:pPr>
        <w:rPr>
          <w:rFonts w:cs="Arial"/>
          <w:szCs w:val="24"/>
        </w:rPr>
      </w:pPr>
      <w:r>
        <w:rPr>
          <w:rFonts w:cs="Arial"/>
          <w:szCs w:val="24"/>
        </w:rPr>
        <w:t>Requirements to address professiona</w:t>
      </w:r>
      <w:r w:rsidR="00DE5413">
        <w:rPr>
          <w:rFonts w:cs="Arial"/>
          <w:szCs w:val="24"/>
        </w:rPr>
        <w:t>lism and clinical practice whilst</w:t>
      </w:r>
      <w:r>
        <w:rPr>
          <w:rFonts w:cs="Arial"/>
          <w:szCs w:val="24"/>
        </w:rPr>
        <w:t xml:space="preserve"> embedding students in the workplace during undergraduate training were noted as vital changes</w:t>
      </w:r>
      <w:r w:rsidR="00710A0D">
        <w:rPr>
          <w:rFonts w:cs="Arial"/>
          <w:szCs w:val="24"/>
        </w:rPr>
        <w:t xml:space="preserve">. </w:t>
      </w:r>
      <w:r w:rsidR="006C69AE">
        <w:rPr>
          <w:rFonts w:cs="Arial"/>
          <w:szCs w:val="24"/>
        </w:rPr>
        <w:t>This is a</w:t>
      </w:r>
      <w:r w:rsidR="00710A0D">
        <w:rPr>
          <w:rFonts w:cs="Arial"/>
          <w:szCs w:val="24"/>
        </w:rPr>
        <w:t xml:space="preserve"> challenge</w:t>
      </w:r>
      <w:r w:rsidR="00E97836">
        <w:rPr>
          <w:rFonts w:cs="Arial"/>
          <w:szCs w:val="24"/>
        </w:rPr>
        <w:t>,</w:t>
      </w:r>
      <w:r>
        <w:rPr>
          <w:rFonts w:cs="Arial"/>
          <w:szCs w:val="24"/>
        </w:rPr>
        <w:t xml:space="preserve"> owing to </w:t>
      </w:r>
      <w:r w:rsidR="006C69AE">
        <w:rPr>
          <w:rFonts w:cs="Arial"/>
          <w:szCs w:val="24"/>
        </w:rPr>
        <w:t xml:space="preserve">the </w:t>
      </w:r>
      <w:r>
        <w:rPr>
          <w:rFonts w:cs="Arial"/>
          <w:szCs w:val="24"/>
        </w:rPr>
        <w:t xml:space="preserve">difficulties of assessing professionalism and </w:t>
      </w:r>
      <w:r w:rsidR="006C69AE">
        <w:rPr>
          <w:rFonts w:cs="Arial"/>
          <w:szCs w:val="24"/>
        </w:rPr>
        <w:t xml:space="preserve">the </w:t>
      </w:r>
      <w:r w:rsidR="00442099">
        <w:rPr>
          <w:rFonts w:cs="Arial"/>
          <w:szCs w:val="24"/>
        </w:rPr>
        <w:t>lack of</w:t>
      </w:r>
      <w:r w:rsidR="006C69AE">
        <w:rPr>
          <w:rFonts w:cs="Arial"/>
          <w:szCs w:val="24"/>
        </w:rPr>
        <w:t xml:space="preserve"> a</w:t>
      </w:r>
      <w:r w:rsidR="00442099">
        <w:rPr>
          <w:rFonts w:cs="Arial"/>
          <w:szCs w:val="24"/>
        </w:rPr>
        <w:t xml:space="preserve"> role</w:t>
      </w:r>
      <w:r>
        <w:rPr>
          <w:rFonts w:cs="Arial"/>
          <w:szCs w:val="24"/>
        </w:rPr>
        <w:t xml:space="preserve"> in the clinical environmen</w:t>
      </w:r>
      <w:r w:rsidR="00710A0D">
        <w:rPr>
          <w:rFonts w:cs="Arial"/>
          <w:szCs w:val="24"/>
        </w:rPr>
        <w:t>t</w:t>
      </w:r>
      <w:r>
        <w:rPr>
          <w:rFonts w:cs="Arial"/>
          <w:szCs w:val="24"/>
        </w:rPr>
        <w:t xml:space="preserve">. </w:t>
      </w:r>
      <w:r w:rsidR="006D237E">
        <w:rPr>
          <w:rFonts w:cs="Arial"/>
          <w:szCs w:val="24"/>
        </w:rPr>
        <w:t xml:space="preserve">The multiple stakeholder views including patients </w:t>
      </w:r>
      <w:r w:rsidR="00693688">
        <w:rPr>
          <w:rFonts w:cs="Arial"/>
          <w:szCs w:val="24"/>
        </w:rPr>
        <w:t>have</w:t>
      </w:r>
      <w:r w:rsidR="006D237E">
        <w:rPr>
          <w:rFonts w:cs="Arial"/>
          <w:szCs w:val="24"/>
        </w:rPr>
        <w:t xml:space="preserve"> been important, however on </w:t>
      </w:r>
      <w:r w:rsidR="00693688">
        <w:rPr>
          <w:rFonts w:cs="Arial"/>
          <w:szCs w:val="24"/>
        </w:rPr>
        <w:lastRenderedPageBreak/>
        <w:t>undergraduate</w:t>
      </w:r>
      <w:r w:rsidR="006D237E">
        <w:rPr>
          <w:rFonts w:cs="Arial"/>
          <w:szCs w:val="24"/>
        </w:rPr>
        <w:t xml:space="preserve"> curricula changes, there are no comments from FY1s</w:t>
      </w:r>
      <w:r w:rsidR="006C69AE">
        <w:rPr>
          <w:rFonts w:cs="Arial"/>
          <w:szCs w:val="24"/>
        </w:rPr>
        <w:t xml:space="preserve"> -</w:t>
      </w:r>
      <w:r w:rsidR="006D237E">
        <w:rPr>
          <w:rFonts w:cs="Arial"/>
          <w:szCs w:val="24"/>
        </w:rPr>
        <w:t xml:space="preserve"> without explanation.</w:t>
      </w:r>
    </w:p>
    <w:p w14:paraId="6EA0C8AC" w14:textId="3E72C0DE" w:rsidR="00513FE4" w:rsidRDefault="00B153BD" w:rsidP="00313168">
      <w:pPr>
        <w:rPr>
          <w:rFonts w:cs="Arial"/>
          <w:szCs w:val="24"/>
        </w:rPr>
      </w:pPr>
      <w:r>
        <w:rPr>
          <w:rFonts w:cs="Arial"/>
          <w:szCs w:val="24"/>
        </w:rPr>
        <w:t>W</w:t>
      </w:r>
      <w:r w:rsidR="008B1F40">
        <w:rPr>
          <w:rFonts w:cs="Arial"/>
          <w:szCs w:val="24"/>
        </w:rPr>
        <w:t>orkplace</w:t>
      </w:r>
      <w:r w:rsidR="006C69AE">
        <w:rPr>
          <w:rFonts w:cs="Arial"/>
          <w:szCs w:val="24"/>
        </w:rPr>
        <w:t>-</w:t>
      </w:r>
      <w:r w:rsidR="008B1F40">
        <w:rPr>
          <w:rFonts w:cs="Arial"/>
          <w:szCs w:val="24"/>
        </w:rPr>
        <w:t xml:space="preserve">based learning and </w:t>
      </w:r>
      <w:r w:rsidR="003A7D42">
        <w:rPr>
          <w:rFonts w:cs="Arial"/>
          <w:szCs w:val="24"/>
        </w:rPr>
        <w:t>education</w:t>
      </w:r>
      <w:r w:rsidR="008B1F40">
        <w:rPr>
          <w:rFonts w:cs="Arial"/>
          <w:szCs w:val="24"/>
        </w:rPr>
        <w:t xml:space="preserve"> should be ‘planned, structured and scaffolded’ with ‘appropriate support and challenge through feedback and integration’ </w:t>
      </w:r>
      <w:r w:rsidR="008B1F40">
        <w:rPr>
          <w:rFonts w:cs="Arial"/>
          <w:szCs w:val="24"/>
        </w:rPr>
        <w:fldChar w:fldCharType="begin">
          <w:fldData xml:space="preserve">PEVuZE5vdGU+PENpdGU+PEF1dGhvcj5HTUM8L0F1dGhvcj48WWVhcj4yMDA5PC9ZZWFyPjxJRFRl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</w:fldData>
        </w:fldChar>
      </w:r>
      <w:r w:rsidR="002E2F8A">
        <w:rPr>
          <w:rFonts w:cs="Arial"/>
          <w:szCs w:val="24"/>
        </w:rPr>
        <w:instrText xml:space="preserve"> ADDIN EN.CITE </w:instrText>
      </w:r>
      <w:r w:rsidR="002E2F8A">
        <w:rPr>
          <w:rFonts w:cs="Arial"/>
          <w:szCs w:val="24"/>
        </w:rPr>
        <w:fldChar w:fldCharType="begin">
          <w:fldData xml:space="preserve">PEVuZE5vdGU+PENpdGU+PEF1dGhvcj5HTUM8L0F1dGhvcj48WWVhcj4yMDA5PC9ZZWFyPjxJRFRl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</w:fldData>
        </w:fldChar>
      </w:r>
      <w:r w:rsidR="002E2F8A">
        <w:rPr>
          <w:rFonts w:cs="Arial"/>
          <w:szCs w:val="24"/>
        </w:rPr>
        <w:instrText xml:space="preserve"> ADDIN EN.CITE.DATA </w:instrText>
      </w:r>
      <w:r w:rsidR="002E2F8A">
        <w:rPr>
          <w:rFonts w:cs="Arial"/>
          <w:szCs w:val="24"/>
        </w:rPr>
      </w:r>
      <w:r w:rsidR="002E2F8A">
        <w:rPr>
          <w:rFonts w:cs="Arial"/>
          <w:szCs w:val="24"/>
        </w:rPr>
        <w:fldChar w:fldCharType="end"/>
      </w:r>
      <w:r w:rsidR="008B1F40">
        <w:rPr>
          <w:rFonts w:cs="Arial"/>
          <w:szCs w:val="24"/>
        </w:rPr>
      </w:r>
      <w:r w:rsidR="008B1F40">
        <w:rPr>
          <w:rFonts w:cs="Arial"/>
          <w:szCs w:val="24"/>
        </w:rPr>
        <w:fldChar w:fldCharType="separate"/>
      </w:r>
      <w:r w:rsidR="002E2F8A">
        <w:rPr>
          <w:rFonts w:cs="Arial"/>
          <w:noProof/>
          <w:szCs w:val="24"/>
        </w:rPr>
        <w:t>(GMC, 2009, Brennan et al., 2010)</w:t>
      </w:r>
      <w:r w:rsidR="008B1F40">
        <w:rPr>
          <w:rFonts w:cs="Arial"/>
          <w:szCs w:val="24"/>
        </w:rPr>
        <w:fldChar w:fldCharType="end"/>
      </w:r>
      <w:r w:rsidR="002E2F8A">
        <w:rPr>
          <w:rFonts w:cs="Arial"/>
          <w:szCs w:val="24"/>
        </w:rPr>
        <w:t>.</w:t>
      </w:r>
      <w:r w:rsidR="00266C04">
        <w:rPr>
          <w:rFonts w:cs="Arial"/>
          <w:szCs w:val="24"/>
        </w:rPr>
        <w:t xml:space="preserve"> ‘Meaningful’ encounters with patients in the clinical environment over time may support the integration and feeling of belonging amongst students. </w:t>
      </w:r>
      <w:r w:rsidR="00DD5EFF">
        <w:rPr>
          <w:rFonts w:cs="Arial"/>
          <w:szCs w:val="24"/>
        </w:rPr>
        <w:t>The following s</w:t>
      </w:r>
      <w:r w:rsidR="001154EE">
        <w:rPr>
          <w:rFonts w:cs="Arial"/>
          <w:szCs w:val="24"/>
        </w:rPr>
        <w:t xml:space="preserve">tudies </w:t>
      </w:r>
      <w:r w:rsidR="00DD5EFF">
        <w:rPr>
          <w:rFonts w:cs="Arial"/>
          <w:szCs w:val="24"/>
        </w:rPr>
        <w:t xml:space="preserve">explore </w:t>
      </w:r>
      <w:r w:rsidR="001154EE">
        <w:rPr>
          <w:rFonts w:cs="Arial"/>
          <w:szCs w:val="24"/>
        </w:rPr>
        <w:t xml:space="preserve">attempts </w:t>
      </w:r>
      <w:r w:rsidR="00DD5EFF">
        <w:rPr>
          <w:rFonts w:cs="Arial"/>
          <w:szCs w:val="24"/>
        </w:rPr>
        <w:t xml:space="preserve">to increase undergraduate </w:t>
      </w:r>
      <w:r w:rsidR="00266C04">
        <w:rPr>
          <w:rFonts w:cs="Arial"/>
          <w:szCs w:val="24"/>
        </w:rPr>
        <w:t>responsibility in the workplace</w:t>
      </w:r>
      <w:r w:rsidR="001154EE">
        <w:rPr>
          <w:rFonts w:cs="Arial"/>
          <w:szCs w:val="24"/>
        </w:rPr>
        <w:t>.</w:t>
      </w:r>
      <w:r w:rsidR="00266C04">
        <w:rPr>
          <w:rFonts w:cs="Arial"/>
          <w:szCs w:val="24"/>
        </w:rPr>
        <w:t xml:space="preserve"> </w:t>
      </w:r>
    </w:p>
    <w:p w14:paraId="7B457376" w14:textId="297AB111" w:rsidR="00513FE4" w:rsidRDefault="0006748A" w:rsidP="00513FE4">
      <w:pPr>
        <w:rPr>
          <w:rFonts w:cs="Arial"/>
          <w:szCs w:val="24"/>
        </w:rPr>
      </w:pPr>
      <w:r>
        <w:rPr>
          <w:rFonts w:cs="Arial"/>
          <w:szCs w:val="24"/>
        </w:rPr>
        <w:t xml:space="preserve">Other </w:t>
      </w:r>
      <w:r w:rsidR="00513FE4">
        <w:rPr>
          <w:rFonts w:cs="Arial"/>
          <w:szCs w:val="24"/>
        </w:rPr>
        <w:t xml:space="preserve">studies </w:t>
      </w:r>
      <w:r w:rsidR="006C69AE">
        <w:rPr>
          <w:rFonts w:cs="Arial"/>
          <w:szCs w:val="24"/>
        </w:rPr>
        <w:t>that</w:t>
      </w:r>
      <w:r w:rsidR="00B153BD">
        <w:rPr>
          <w:rFonts w:cs="Arial"/>
          <w:szCs w:val="24"/>
        </w:rPr>
        <w:t xml:space="preserve"> </w:t>
      </w:r>
      <w:r w:rsidR="00513FE4">
        <w:rPr>
          <w:rFonts w:cs="Arial"/>
          <w:szCs w:val="24"/>
        </w:rPr>
        <w:t>support embed</w:t>
      </w:r>
      <w:r w:rsidR="00B153BD">
        <w:rPr>
          <w:rFonts w:cs="Arial"/>
          <w:szCs w:val="24"/>
        </w:rPr>
        <w:t>ding</w:t>
      </w:r>
      <w:r w:rsidR="00513FE4">
        <w:rPr>
          <w:rFonts w:cs="Arial"/>
          <w:szCs w:val="24"/>
        </w:rPr>
        <w:t xml:space="preserve"> medical students in c</w:t>
      </w:r>
      <w:r>
        <w:rPr>
          <w:rFonts w:cs="Arial"/>
          <w:szCs w:val="24"/>
        </w:rPr>
        <w:t>linical practice</w:t>
      </w:r>
      <w:r w:rsidR="00B153BD">
        <w:rPr>
          <w:rFonts w:cs="Arial"/>
          <w:szCs w:val="24"/>
        </w:rPr>
        <w:t>,</w:t>
      </w:r>
      <w:r>
        <w:rPr>
          <w:rFonts w:cs="Arial"/>
          <w:szCs w:val="24"/>
        </w:rPr>
        <w:t xml:space="preserve"> </w:t>
      </w:r>
      <w:r w:rsidR="00B153BD">
        <w:rPr>
          <w:rFonts w:cs="Arial"/>
          <w:szCs w:val="24"/>
        </w:rPr>
        <w:t>say it gives</w:t>
      </w:r>
      <w:r w:rsidR="00513FE4">
        <w:rPr>
          <w:rFonts w:cs="Arial"/>
          <w:szCs w:val="24"/>
        </w:rPr>
        <w:t xml:space="preserve"> a sense of belonging, responsibility to ‘</w:t>
      </w:r>
      <w:r w:rsidR="003A7D42">
        <w:rPr>
          <w:rFonts w:cs="Arial"/>
          <w:szCs w:val="24"/>
        </w:rPr>
        <w:t>act up</w:t>
      </w:r>
      <w:r w:rsidR="00513FE4">
        <w:rPr>
          <w:rFonts w:cs="Arial"/>
          <w:szCs w:val="24"/>
        </w:rPr>
        <w:t xml:space="preserve">’ </w:t>
      </w:r>
      <w:r w:rsidR="00513FE4">
        <w:rPr>
          <w:rFonts w:cs="Arial"/>
          <w:szCs w:val="24"/>
        </w:rPr>
        <w:fldChar w:fldCharType="begin"/>
      </w:r>
      <w:r w:rsidR="00513FE4">
        <w:rPr>
          <w:rFonts w:cs="Arial"/>
          <w:szCs w:val="24"/>
        </w:rPr>
        <w:instrText xml:space="preserve"> ADDIN EN.CITE &lt;EndNote&gt;&lt;Cite&gt;&lt;Author&gt;Brennan&lt;/Author&gt;&lt;Year&gt;2010&lt;/Year&gt;&lt;IDText&gt;The transition from medical student to junior doctor: today&amp;apos;s experiences of Tomorrow&amp;apos;s Doctors&lt;/IDText&gt;&lt;DisplayText&gt;(Brennan et al., 2010)&lt;/DisplayText&gt;&lt;record&gt;&lt;dates&gt;&lt;pub-dates&gt;&lt;date&gt;May&lt;/date&gt;&lt;/pub-dates&gt;&lt;year&gt;2010&lt;/year&gt;&lt;/dates&gt;&lt;keywords&gt;&lt;keyword&gt;Adaptation, Psychological&lt;/keyword&gt;&lt;keyword&gt;Attitude of Health Personnel&lt;/keyword&gt;&lt;keyword&gt;Education, Medical, Undergraduate&lt;/keyword&gt;&lt;keyword&gt;Female&lt;/keyword&gt;&lt;keyword&gt;Great Britain&lt;/keyword&gt;&lt;keyword&gt;Humans&lt;/keyword&gt;&lt;keyword&gt;Interpersonal Relations&lt;/keyword&gt;&lt;keyword&gt;Male&lt;/keyword&gt;&lt;keyword&gt;Medical Staff, Hospital&lt;/keyword&gt;&lt;keyword&gt;Stress, Psychological&lt;/keyword&gt;&lt;keyword&gt;Students, Medical&lt;/keyword&gt;&lt;keyword&gt;Surveys and Questionnaires&lt;/keyword&gt;&lt;/keywords&gt;&lt;urls&gt;&lt;related-urls&gt;&lt;url&gt;http://www.ncbi.nlm.nih.gov/pubmed/20518984&lt;/url&gt;&lt;/related-urls&gt;&lt;/urls&gt;&lt;isbn&gt;1365-2923&lt;/isbn&gt;&lt;titles&gt;&lt;title&gt;The transition from medical student to junior doctor: today&amp;apos;s experiences of Tomorrow&amp;apos;s Doctors&lt;/title&gt;&lt;secondary-title&gt;Med Educ&lt;/secondary-title&gt;&lt;/titles&gt;&lt;pages&gt;449-58&lt;/pages&gt;&lt;number&gt;5&lt;/number&gt;&lt;contributors&gt;&lt;authors&gt;&lt;author&gt;Brennan, N.&lt;/author&gt;&lt;author&gt;Corrigan, O.&lt;/author&gt;&lt;author&gt;Allard, J.&lt;/author&gt;&lt;author&gt;Archer, J.&lt;/author&gt;&lt;author&gt;Barnes, R.&lt;/author&gt;&lt;author&gt;Bleakley, A.&lt;/author&gt;&lt;author&gt;Collett, T.&lt;/author&gt;&lt;author&gt;de Bere, S. R.&lt;/author&gt;&lt;/authors&gt;&lt;/contributors&gt;&lt;language&gt;eng&lt;/language&gt;&lt;added-date format="utc"&gt;1455789999&lt;/added-date&gt;&lt;ref-type name="Journal Article"&gt;17&lt;/ref-type&gt;&lt;rec-number&gt;184&lt;/rec-number&gt;&lt;last-updated-date format="utc"&gt;1455789999&lt;/last-updated-date&gt;&lt;accession-num&gt;20518984&lt;/accession-num&gt;&lt;electronic-resource-num&gt;10.1111/j.1365-2923.2009.03604.x&lt;/electronic-resource-num&gt;&lt;volume&gt;44&lt;/volume&gt;&lt;/record&gt;&lt;/Cite&gt;&lt;/EndNote&gt;</w:instrText>
      </w:r>
      <w:r w:rsidR="00513FE4">
        <w:rPr>
          <w:rFonts w:cs="Arial"/>
          <w:szCs w:val="24"/>
        </w:rPr>
        <w:fldChar w:fldCharType="separate"/>
      </w:r>
      <w:r w:rsidR="00513FE4">
        <w:rPr>
          <w:rFonts w:cs="Arial"/>
          <w:noProof/>
          <w:szCs w:val="24"/>
        </w:rPr>
        <w:t>(Brennan et al., 2010)</w:t>
      </w:r>
      <w:r w:rsidR="00513FE4">
        <w:rPr>
          <w:rFonts w:cs="Arial"/>
          <w:szCs w:val="24"/>
        </w:rPr>
        <w:fldChar w:fldCharType="end"/>
      </w:r>
      <w:r>
        <w:rPr>
          <w:rFonts w:cs="Arial"/>
          <w:szCs w:val="24"/>
        </w:rPr>
        <w:t>,</w:t>
      </w:r>
      <w:r w:rsidR="00513FE4">
        <w:rPr>
          <w:rFonts w:cs="Arial"/>
          <w:szCs w:val="24"/>
        </w:rPr>
        <w:t xml:space="preserve"> whilst being supervised </w:t>
      </w:r>
      <w:r w:rsidR="00513FE4">
        <w:rPr>
          <w:rFonts w:cs="Arial"/>
          <w:szCs w:val="24"/>
        </w:rPr>
        <w:fldChar w:fldCharType="begin"/>
      </w:r>
      <w:r w:rsidR="00513FE4">
        <w:rPr>
          <w:rFonts w:cs="Arial"/>
          <w:szCs w:val="24"/>
        </w:rPr>
        <w:instrText xml:space="preserve"> ADDIN EN.CITE &lt;EndNote&gt;&lt;Cite&gt;&lt;Author&gt;Hirsh&lt;/Author&gt;&lt;Year&gt;2014&lt;/Year&gt;&lt;IDText&gt;Time to trust: longitudinal integrated clerkships and entrustable professional activities&lt;/IDText&gt;&lt;DisplayText&gt;(Hirsh et al., 2014)&lt;/DisplayText&gt;&lt;record&gt;&lt;dates&gt;&lt;pub-dates&gt;&lt;date&gt;Feb&lt;/date&gt;&lt;/pub-dates&gt;&lt;year&gt;2014&lt;/year&gt;&lt;/dates&gt;&lt;keywords&gt;&lt;keyword&gt;Clinical Clerkship&lt;/keyword&gt;&lt;keyword&gt;Clinical Competence&lt;/keyword&gt;&lt;keyword&gt;Education, Medical, Undergraduate&lt;/keyword&gt;&lt;keyword&gt;Educational Measurement&lt;/keyword&gt;&lt;keyword&gt;Family Practice&lt;/keyword&gt;&lt;keyword&gt;Female&lt;/keyword&gt;&lt;keyword&gt;Humans&lt;/keyword&gt;&lt;keyword&gt;Internship and Residency&lt;/keyword&gt;&lt;keyword&gt;Male&lt;/keyword&gt;&lt;/keywords&gt;&lt;urls&gt;&lt;related-urls&gt;&lt;url&gt;http://www.ncbi.nlm.nih.gov/pubmed/24362396&lt;/url&gt;&lt;/related-urls&gt;&lt;/urls&gt;&lt;isbn&gt;1938-808X&lt;/isbn&gt;&lt;titles&gt;&lt;title&gt;Time to trust: longitudinal integrated clerkships and entrustable professional activities&lt;/title&gt;&lt;secondary-title&gt;Acad Med&lt;/secondary-title&gt;&lt;/titles&gt;&lt;pages&gt;201-4&lt;/pages&gt;&lt;number&gt;2&lt;/number&gt;&lt;contributors&gt;&lt;authors&gt;&lt;author&gt;Hirsh, D. A.&lt;/author&gt;&lt;author&gt;Holmboe, E. S.&lt;/author&gt;&lt;author&gt;ten Cate, O.&lt;/author&gt;&lt;/authors&gt;&lt;/contributors&gt;&lt;language&gt;eng&lt;/language&gt;&lt;added-date format="utc"&gt;1458298052&lt;/added-date&gt;&lt;ref-type name="Journal Article"&gt;17&lt;/ref-type&gt;&lt;rec-number&gt;231&lt;/rec-number&gt;&lt;last-updated-date format="utc"&gt;1458298052&lt;/last-updated-date&gt;&lt;accession-num&gt;24362396&lt;/accession-num&gt;&lt;electronic-resource-num&gt;10.1097/ACM.0000000000000111&lt;/electronic-resource-num&gt;&lt;volume&gt;89&lt;/volume&gt;&lt;/record&gt;&lt;/Cite&gt;&lt;/EndNote&gt;</w:instrText>
      </w:r>
      <w:r w:rsidR="00513FE4">
        <w:rPr>
          <w:rFonts w:cs="Arial"/>
          <w:szCs w:val="24"/>
        </w:rPr>
        <w:fldChar w:fldCharType="separate"/>
      </w:r>
      <w:r w:rsidR="00513FE4">
        <w:rPr>
          <w:rFonts w:cs="Arial"/>
          <w:noProof/>
          <w:szCs w:val="24"/>
        </w:rPr>
        <w:t>(Hirsh et al., 2014)</w:t>
      </w:r>
      <w:r w:rsidR="00513FE4">
        <w:rPr>
          <w:rFonts w:cs="Arial"/>
          <w:szCs w:val="24"/>
        </w:rPr>
        <w:fldChar w:fldCharType="end"/>
      </w:r>
      <w:r w:rsidR="00B153BD">
        <w:rPr>
          <w:rFonts w:cs="Arial"/>
          <w:szCs w:val="24"/>
        </w:rPr>
        <w:t xml:space="preserve">. These studies report </w:t>
      </w:r>
      <w:r w:rsidR="00513FE4">
        <w:rPr>
          <w:rFonts w:cs="Arial"/>
          <w:szCs w:val="24"/>
        </w:rPr>
        <w:t>improve</w:t>
      </w:r>
      <w:r w:rsidR="00B153BD">
        <w:rPr>
          <w:rFonts w:cs="Arial"/>
          <w:szCs w:val="24"/>
        </w:rPr>
        <w:t>d</w:t>
      </w:r>
      <w:r w:rsidR="00513FE4">
        <w:rPr>
          <w:rFonts w:cs="Arial"/>
          <w:szCs w:val="24"/>
        </w:rPr>
        <w:t xml:space="preserve"> confidence, competence and professionalism through </w:t>
      </w:r>
      <w:r w:rsidR="00693688">
        <w:rPr>
          <w:rFonts w:cs="Arial"/>
          <w:szCs w:val="24"/>
        </w:rPr>
        <w:t>role modelling</w:t>
      </w:r>
      <w:r w:rsidR="00957407">
        <w:rPr>
          <w:rFonts w:cs="Arial"/>
          <w:szCs w:val="24"/>
        </w:rPr>
        <w:t xml:space="preserve"> </w:t>
      </w:r>
      <w:r w:rsidR="00513FE4">
        <w:rPr>
          <w:rFonts w:cs="Arial"/>
          <w:szCs w:val="24"/>
        </w:rPr>
        <w:fldChar w:fldCharType="begin">
          <w:fldData xml:space="preserve">PEVuZE5vdGU+PENpdGU+PEF1dGhvcj5CaXJkZW48L0F1dGhvcj48WWVhcj4yMDE1PC9ZZWFyPjxJ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</w:fldData>
        </w:fldChar>
      </w:r>
      <w:r w:rsidR="00D30B37">
        <w:rPr>
          <w:rFonts w:cs="Arial"/>
          <w:szCs w:val="24"/>
        </w:rPr>
        <w:instrText xml:space="preserve"> ADDIN EN.CITE </w:instrText>
      </w:r>
      <w:r w:rsidR="00D30B37">
        <w:rPr>
          <w:rFonts w:cs="Arial"/>
          <w:szCs w:val="24"/>
        </w:rPr>
        <w:fldChar w:fldCharType="begin">
          <w:fldData xml:space="preserve">PEVuZE5vdGU+PENpdGU+PEF1dGhvcj5CaXJkZW48L0F1dGhvcj48WWVhcj4yMDE1PC9ZZWFyPjxJ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</w:fldData>
        </w:fldChar>
      </w:r>
      <w:r w:rsidR="00D30B37">
        <w:rPr>
          <w:rFonts w:cs="Arial"/>
          <w:szCs w:val="24"/>
        </w:rPr>
        <w:instrText xml:space="preserve"> ADDIN EN.CITE.DATA </w:instrText>
      </w:r>
      <w:r w:rsidR="00D30B37">
        <w:rPr>
          <w:rFonts w:cs="Arial"/>
          <w:szCs w:val="24"/>
        </w:rPr>
      </w:r>
      <w:r w:rsidR="00D30B37">
        <w:rPr>
          <w:rFonts w:cs="Arial"/>
          <w:szCs w:val="24"/>
        </w:rPr>
        <w:fldChar w:fldCharType="end"/>
      </w:r>
      <w:r w:rsidR="00513FE4">
        <w:rPr>
          <w:rFonts w:cs="Arial"/>
          <w:szCs w:val="24"/>
        </w:rPr>
      </w:r>
      <w:r w:rsidR="00513FE4">
        <w:rPr>
          <w:rFonts w:cs="Arial"/>
          <w:szCs w:val="24"/>
        </w:rPr>
        <w:fldChar w:fldCharType="separate"/>
      </w:r>
      <w:r w:rsidR="00D30B37">
        <w:rPr>
          <w:rFonts w:cs="Arial"/>
          <w:noProof/>
          <w:szCs w:val="24"/>
        </w:rPr>
        <w:t>(Birden et al., 2015, Passi et al., 2013)</w:t>
      </w:r>
      <w:r w:rsidR="00513FE4">
        <w:rPr>
          <w:rFonts w:cs="Arial"/>
          <w:szCs w:val="24"/>
        </w:rPr>
        <w:fldChar w:fldCharType="end"/>
      </w:r>
      <w:r w:rsidR="00266C04">
        <w:rPr>
          <w:rFonts w:cs="Arial"/>
          <w:szCs w:val="24"/>
        </w:rPr>
        <w:t xml:space="preserve"> </w:t>
      </w:r>
      <w:r w:rsidR="00957407">
        <w:rPr>
          <w:rFonts w:cs="Arial"/>
          <w:szCs w:val="24"/>
        </w:rPr>
        <w:t>as well as ‘patient</w:t>
      </w:r>
      <w:r w:rsidR="006C69AE">
        <w:rPr>
          <w:rFonts w:cs="Arial"/>
          <w:szCs w:val="24"/>
        </w:rPr>
        <w:t>-</w:t>
      </w:r>
      <w:r w:rsidR="00957407">
        <w:rPr>
          <w:rFonts w:cs="Arial"/>
          <w:szCs w:val="24"/>
        </w:rPr>
        <w:t>centred care’</w:t>
      </w:r>
      <w:r w:rsidR="00D30B37">
        <w:rPr>
          <w:rFonts w:cs="Arial"/>
          <w:szCs w:val="24"/>
        </w:rPr>
        <w:t xml:space="preserve"> </w:t>
      </w:r>
      <w:r w:rsidR="00957407">
        <w:rPr>
          <w:rFonts w:cs="Arial"/>
          <w:szCs w:val="24"/>
        </w:rPr>
        <w:fldChar w:fldCharType="begin">
          <w:fldData xml:space="preserve">PEVuZE5vdGU+PENpdGU+PEF1dGhvcj5IaXJzaDwvQXV0aG9yPjxZZWFyPjIwMTI8L1llYXI+PElE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</w:fldData>
        </w:fldChar>
      </w:r>
      <w:r w:rsidR="00D30B37">
        <w:rPr>
          <w:rFonts w:cs="Arial"/>
          <w:szCs w:val="24"/>
        </w:rPr>
        <w:instrText xml:space="preserve"> ADDIN EN.CITE </w:instrText>
      </w:r>
      <w:r w:rsidR="00D30B37">
        <w:rPr>
          <w:rFonts w:cs="Arial"/>
          <w:szCs w:val="24"/>
        </w:rPr>
        <w:fldChar w:fldCharType="begin">
          <w:fldData xml:space="preserve">PEVuZE5vdGU+PENpdGU+PEF1dGhvcj5IaXJzaDwvQXV0aG9yPjxZZWFyPjIwMTI8L1llYXI+PElE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</w:fldData>
        </w:fldChar>
      </w:r>
      <w:r w:rsidR="00D30B37">
        <w:rPr>
          <w:rFonts w:cs="Arial"/>
          <w:szCs w:val="24"/>
        </w:rPr>
        <w:instrText xml:space="preserve"> ADDIN EN.CITE.DATA </w:instrText>
      </w:r>
      <w:r w:rsidR="00D30B37">
        <w:rPr>
          <w:rFonts w:cs="Arial"/>
          <w:szCs w:val="24"/>
        </w:rPr>
      </w:r>
      <w:r w:rsidR="00D30B37">
        <w:rPr>
          <w:rFonts w:cs="Arial"/>
          <w:szCs w:val="24"/>
        </w:rPr>
        <w:fldChar w:fldCharType="end"/>
      </w:r>
      <w:r w:rsidR="00957407">
        <w:rPr>
          <w:rFonts w:cs="Arial"/>
          <w:szCs w:val="24"/>
        </w:rPr>
      </w:r>
      <w:r w:rsidR="00957407">
        <w:rPr>
          <w:rFonts w:cs="Arial"/>
          <w:szCs w:val="24"/>
        </w:rPr>
        <w:fldChar w:fldCharType="separate"/>
      </w:r>
      <w:r w:rsidR="00D30B37">
        <w:rPr>
          <w:rFonts w:cs="Arial"/>
          <w:noProof/>
          <w:szCs w:val="24"/>
        </w:rPr>
        <w:t>(Hirsh et al., 2012, Gaufberg et al., 2014)</w:t>
      </w:r>
      <w:r w:rsidR="00957407">
        <w:rPr>
          <w:rFonts w:cs="Arial"/>
          <w:szCs w:val="24"/>
        </w:rPr>
        <w:fldChar w:fldCharType="end"/>
      </w:r>
      <w:r w:rsidR="00D30B37">
        <w:rPr>
          <w:rFonts w:cs="Arial"/>
          <w:szCs w:val="24"/>
        </w:rPr>
        <w:t>.</w:t>
      </w:r>
    </w:p>
    <w:p w14:paraId="2739D2C9" w14:textId="7EDE83D6" w:rsidR="001E7895" w:rsidRDefault="00F60C88" w:rsidP="00513FE4">
      <w:pPr>
        <w:rPr>
          <w:rFonts w:cs="Arial"/>
          <w:szCs w:val="24"/>
        </w:rPr>
      </w:pPr>
      <w:r>
        <w:rPr>
          <w:rFonts w:cs="Arial"/>
          <w:szCs w:val="24"/>
        </w:rPr>
        <w:t>D</w:t>
      </w:r>
      <w:r w:rsidR="00D30B37">
        <w:rPr>
          <w:rFonts w:cs="Arial"/>
          <w:szCs w:val="24"/>
        </w:rPr>
        <w:t>eveloping trust between medical student and supervis</w:t>
      </w:r>
      <w:r w:rsidR="001F58F7">
        <w:rPr>
          <w:rFonts w:cs="Arial"/>
          <w:szCs w:val="24"/>
        </w:rPr>
        <w:t>ing team appears to be key</w:t>
      </w:r>
      <w:r w:rsidR="00442099">
        <w:rPr>
          <w:rFonts w:cs="Arial"/>
          <w:szCs w:val="24"/>
        </w:rPr>
        <w:t xml:space="preserve">. </w:t>
      </w:r>
      <w:r w:rsidR="001E7895">
        <w:rPr>
          <w:rFonts w:cs="Arial"/>
          <w:szCs w:val="24"/>
        </w:rPr>
        <w:t>Hirsh</w:t>
      </w:r>
      <w:r w:rsidR="0006748A">
        <w:rPr>
          <w:rFonts w:cs="Arial"/>
          <w:szCs w:val="24"/>
        </w:rPr>
        <w:t xml:space="preserve"> et al</w:t>
      </w:r>
      <w:r w:rsidR="00B153BD">
        <w:rPr>
          <w:rFonts w:cs="Arial"/>
          <w:szCs w:val="24"/>
        </w:rPr>
        <w:t>.</w:t>
      </w:r>
      <w:r w:rsidR="0006748A">
        <w:rPr>
          <w:rFonts w:cs="Arial"/>
          <w:szCs w:val="24"/>
        </w:rPr>
        <w:t xml:space="preserve"> (2014)</w:t>
      </w:r>
      <w:r w:rsidR="001E7895">
        <w:rPr>
          <w:rFonts w:cs="Arial"/>
          <w:szCs w:val="24"/>
        </w:rPr>
        <w:t xml:space="preserve"> echo this notion </w:t>
      </w:r>
      <w:r w:rsidR="00575F1A">
        <w:rPr>
          <w:rFonts w:cs="Arial"/>
          <w:szCs w:val="24"/>
        </w:rPr>
        <w:t xml:space="preserve">in a commentary </w:t>
      </w:r>
      <w:r w:rsidR="001E7895">
        <w:rPr>
          <w:rFonts w:cs="Arial"/>
          <w:szCs w:val="24"/>
        </w:rPr>
        <w:t xml:space="preserve">entitled ‘time to trust’ in an exploration of </w:t>
      </w:r>
      <w:r w:rsidR="006C69AE">
        <w:rPr>
          <w:rFonts w:cs="Arial"/>
          <w:szCs w:val="24"/>
        </w:rPr>
        <w:t>l</w:t>
      </w:r>
      <w:r w:rsidR="001E7895">
        <w:rPr>
          <w:rFonts w:cs="Arial"/>
          <w:szCs w:val="24"/>
        </w:rPr>
        <w:t>ongitudinal integrated clerkships and entrusted professional activities</w:t>
      </w:r>
      <w:r w:rsidR="00442099">
        <w:rPr>
          <w:rFonts w:cs="Arial"/>
          <w:szCs w:val="24"/>
        </w:rPr>
        <w:t xml:space="preserve"> (</w:t>
      </w:r>
      <w:r w:rsidR="00575F1A">
        <w:rPr>
          <w:rFonts w:cs="Arial"/>
          <w:szCs w:val="24"/>
        </w:rPr>
        <w:t>‘units of professional practice entrusted to a trainee to execute unsupervised’</w:t>
      </w:r>
      <w:r w:rsidR="00442099">
        <w:rPr>
          <w:rFonts w:cs="Arial"/>
          <w:szCs w:val="24"/>
        </w:rPr>
        <w:t>)</w:t>
      </w:r>
      <w:r w:rsidR="00575F1A">
        <w:rPr>
          <w:rFonts w:cs="Arial"/>
          <w:szCs w:val="24"/>
        </w:rPr>
        <w:t xml:space="preserve">. </w:t>
      </w:r>
      <w:r w:rsidR="001E7895">
        <w:rPr>
          <w:rFonts w:cs="Arial"/>
          <w:szCs w:val="24"/>
        </w:rPr>
        <w:t>Hirsh</w:t>
      </w:r>
      <w:r w:rsidR="0006748A">
        <w:rPr>
          <w:rFonts w:cs="Arial"/>
          <w:szCs w:val="24"/>
        </w:rPr>
        <w:t xml:space="preserve"> et al. (2014)</w:t>
      </w:r>
      <w:r w:rsidR="001E7895">
        <w:rPr>
          <w:rFonts w:cs="Arial"/>
          <w:szCs w:val="24"/>
        </w:rPr>
        <w:t xml:space="preserve"> highlights the problems with ‘defensive medicine’ and resultant ‘defensive training’ </w:t>
      </w:r>
      <w:r w:rsidR="006C69AE">
        <w:rPr>
          <w:rFonts w:cs="Arial"/>
          <w:szCs w:val="24"/>
        </w:rPr>
        <w:t xml:space="preserve">that </w:t>
      </w:r>
      <w:r w:rsidR="001E7895">
        <w:rPr>
          <w:rFonts w:cs="Arial"/>
          <w:szCs w:val="24"/>
        </w:rPr>
        <w:t>lead to over</w:t>
      </w:r>
      <w:r w:rsidR="006C69AE">
        <w:rPr>
          <w:rFonts w:cs="Arial"/>
          <w:szCs w:val="24"/>
        </w:rPr>
        <w:t>-</w:t>
      </w:r>
      <w:r w:rsidR="001E7895">
        <w:rPr>
          <w:rFonts w:cs="Arial"/>
          <w:szCs w:val="24"/>
        </w:rPr>
        <w:t xml:space="preserve">supervision </w:t>
      </w:r>
      <w:r w:rsidR="00442099">
        <w:rPr>
          <w:rFonts w:cs="Arial"/>
          <w:szCs w:val="24"/>
        </w:rPr>
        <w:t xml:space="preserve">resulting </w:t>
      </w:r>
      <w:r w:rsidR="00DF2434">
        <w:rPr>
          <w:rFonts w:cs="Arial"/>
          <w:szCs w:val="24"/>
        </w:rPr>
        <w:t>in ‘undermining of</w:t>
      </w:r>
      <w:r w:rsidR="00DC37BA">
        <w:rPr>
          <w:rFonts w:cs="Arial"/>
          <w:szCs w:val="24"/>
        </w:rPr>
        <w:t xml:space="preserve"> trainee development of full responsibility’</w:t>
      </w:r>
      <w:r w:rsidR="0006748A">
        <w:rPr>
          <w:rFonts w:cs="Arial"/>
          <w:szCs w:val="24"/>
        </w:rPr>
        <w:t>.</w:t>
      </w:r>
      <w:r w:rsidR="00AC3A19">
        <w:rPr>
          <w:rFonts w:cs="Arial"/>
          <w:szCs w:val="24"/>
        </w:rPr>
        <w:t xml:space="preserve"> </w:t>
      </w:r>
      <w:r w:rsidR="00DC37BA">
        <w:rPr>
          <w:rFonts w:cs="Arial"/>
          <w:szCs w:val="24"/>
        </w:rPr>
        <w:t>The importance of ‘ongoing relationships, continuity, mentoring, feedback and assessment’</w:t>
      </w:r>
      <w:r w:rsidR="006C69AE">
        <w:rPr>
          <w:rFonts w:cs="Arial"/>
          <w:szCs w:val="24"/>
        </w:rPr>
        <w:t>,</w:t>
      </w:r>
      <w:r w:rsidR="00DC37BA">
        <w:rPr>
          <w:rFonts w:cs="Arial"/>
          <w:szCs w:val="24"/>
        </w:rPr>
        <w:t xml:space="preserve"> are emphasised as vital to </w:t>
      </w:r>
      <w:r w:rsidR="006C69AE">
        <w:rPr>
          <w:rFonts w:cs="Arial"/>
          <w:szCs w:val="24"/>
        </w:rPr>
        <w:t xml:space="preserve">the </w:t>
      </w:r>
      <w:r w:rsidR="00DC37BA">
        <w:rPr>
          <w:rFonts w:cs="Arial"/>
          <w:szCs w:val="24"/>
        </w:rPr>
        <w:t xml:space="preserve">development of professional </w:t>
      </w:r>
      <w:r w:rsidR="00DC37BA">
        <w:rPr>
          <w:rFonts w:cs="Arial"/>
          <w:szCs w:val="24"/>
        </w:rPr>
        <w:lastRenderedPageBreak/>
        <w:t>behaviour and ‘expertise’. The current undergraduate curricula are criticised for employing short rotations that lead to a perception of ‘isolation’, lack of ‘social identity’ and impairment of ‘</w:t>
      </w:r>
      <w:r w:rsidR="00A645DC">
        <w:rPr>
          <w:rFonts w:cs="Arial"/>
          <w:szCs w:val="24"/>
        </w:rPr>
        <w:t>interprofessional</w:t>
      </w:r>
      <w:r w:rsidR="00DC37BA">
        <w:rPr>
          <w:rFonts w:cs="Arial"/>
          <w:szCs w:val="24"/>
        </w:rPr>
        <w:t xml:space="preserve"> </w:t>
      </w:r>
      <w:r w:rsidR="00B2451B">
        <w:rPr>
          <w:rFonts w:cs="Arial"/>
          <w:szCs w:val="24"/>
        </w:rPr>
        <w:t>teamwork</w:t>
      </w:r>
      <w:r w:rsidR="00DC37BA">
        <w:rPr>
          <w:rFonts w:cs="Arial"/>
          <w:szCs w:val="24"/>
        </w:rPr>
        <w:t xml:space="preserve">’ </w:t>
      </w:r>
      <w:r w:rsidR="006C69AE">
        <w:rPr>
          <w:rFonts w:cs="Arial"/>
          <w:szCs w:val="24"/>
        </w:rPr>
        <w:t xml:space="preserve">that is </w:t>
      </w:r>
      <w:r w:rsidR="00DC37BA">
        <w:rPr>
          <w:rFonts w:cs="Arial"/>
          <w:szCs w:val="24"/>
        </w:rPr>
        <w:t>thought to be bad for patient care</w:t>
      </w:r>
      <w:r w:rsidR="006C69AE">
        <w:rPr>
          <w:rFonts w:cs="Arial"/>
          <w:szCs w:val="24"/>
        </w:rPr>
        <w:t>,</w:t>
      </w:r>
      <w:r w:rsidR="00DC37BA">
        <w:rPr>
          <w:rFonts w:cs="Arial"/>
          <w:szCs w:val="24"/>
        </w:rPr>
        <w:t xml:space="preserve"> and education</w:t>
      </w:r>
      <w:r w:rsidR="00DF2434">
        <w:rPr>
          <w:rFonts w:cs="Arial"/>
          <w:szCs w:val="24"/>
        </w:rPr>
        <w:t xml:space="preserve"> </w:t>
      </w:r>
      <w:r w:rsidR="00DC37BA">
        <w:rPr>
          <w:rFonts w:cs="Arial"/>
          <w:szCs w:val="24"/>
        </w:rPr>
        <w:fldChar w:fldCharType="begin"/>
      </w:r>
      <w:r w:rsidR="00DC37BA">
        <w:rPr>
          <w:rFonts w:cs="Arial"/>
          <w:szCs w:val="24"/>
        </w:rPr>
        <w:instrText xml:space="preserve"> ADDIN EN.CITE &lt;EndNote&gt;&lt;Cite&gt;&lt;Author&gt;Hirsh&lt;/Author&gt;&lt;Year&gt;2014&lt;/Year&gt;&lt;IDText&gt;Time to trust: longitudinal integrated clerkships and entrustable professional activities&lt;/IDText&gt;&lt;DisplayText&gt;(Hirsh et al., 2014)&lt;/DisplayText&gt;&lt;record&gt;&lt;dates&gt;&lt;pub-dates&gt;&lt;date&gt;Feb&lt;/date&gt;&lt;/pub-dates&gt;&lt;year&gt;2014&lt;/year&gt;&lt;/dates&gt;&lt;keywords&gt;&lt;keyword&gt;Clinical Clerkship&lt;/keyword&gt;&lt;keyword&gt;Clinical Competence&lt;/keyword&gt;&lt;keyword&gt;Education, Medical, Undergraduate&lt;/keyword&gt;&lt;keyword&gt;Educational Measurement&lt;/keyword&gt;&lt;keyword&gt;Family Practice&lt;/keyword&gt;&lt;keyword&gt;Female&lt;/keyword&gt;&lt;keyword&gt;Humans&lt;/keyword&gt;&lt;keyword&gt;Internship and Residency&lt;/keyword&gt;&lt;keyword&gt;Male&lt;/keyword&gt;&lt;/keywords&gt;&lt;urls&gt;&lt;related-urls&gt;&lt;url&gt;http://www.ncbi.nlm.nih.gov/pubmed/24362396&lt;/url&gt;&lt;/related-urls&gt;&lt;/urls&gt;&lt;isbn&gt;1938-808X&lt;/isbn&gt;&lt;titles&gt;&lt;title&gt;Time to trust: longitudinal integrated clerkships and entrustable professional activities&lt;/title&gt;&lt;secondary-title&gt;Acad Med&lt;/secondary-title&gt;&lt;/titles&gt;&lt;pages&gt;201-4&lt;/pages&gt;&lt;number&gt;2&lt;/number&gt;&lt;contributors&gt;&lt;authors&gt;&lt;author&gt;Hirsh, D. A.&lt;/author&gt;&lt;author&gt;Holmboe, E. S.&lt;/author&gt;&lt;author&gt;ten Cate, O.&lt;/author&gt;&lt;/authors&gt;&lt;/contributors&gt;&lt;language&gt;eng&lt;/language&gt;&lt;added-date format="utc"&gt;1458298052&lt;/added-date&gt;&lt;ref-type name="Journal Article"&gt;17&lt;/ref-type&gt;&lt;rec-number&gt;231&lt;/rec-number&gt;&lt;last-updated-date format="utc"&gt;1458298052&lt;/last-updated-date&gt;&lt;accession-num&gt;24362396&lt;/accession-num&gt;&lt;electronic-resource-num&gt;10.1097/ACM.0000000000000111&lt;/electronic-resource-num&gt;&lt;volume&gt;89&lt;/volume&gt;&lt;/record&gt;&lt;/Cite&gt;&lt;/EndNote&gt;</w:instrText>
      </w:r>
      <w:r w:rsidR="00DC37BA">
        <w:rPr>
          <w:rFonts w:cs="Arial"/>
          <w:szCs w:val="24"/>
        </w:rPr>
        <w:fldChar w:fldCharType="separate"/>
      </w:r>
      <w:r w:rsidR="00DC37BA">
        <w:rPr>
          <w:rFonts w:cs="Arial"/>
          <w:noProof/>
          <w:szCs w:val="24"/>
        </w:rPr>
        <w:t>(Hirsh et al., 2014)</w:t>
      </w:r>
      <w:r w:rsidR="00DC37BA">
        <w:rPr>
          <w:rFonts w:cs="Arial"/>
          <w:szCs w:val="24"/>
        </w:rPr>
        <w:fldChar w:fldCharType="end"/>
      </w:r>
      <w:r w:rsidR="00DC37BA">
        <w:rPr>
          <w:rFonts w:cs="Arial"/>
          <w:szCs w:val="24"/>
        </w:rPr>
        <w:t xml:space="preserve">. </w:t>
      </w:r>
      <w:r w:rsidR="00AC3A19">
        <w:rPr>
          <w:rFonts w:cs="Arial"/>
          <w:szCs w:val="24"/>
        </w:rPr>
        <w:t>L</w:t>
      </w:r>
      <w:r w:rsidR="00DF2434">
        <w:rPr>
          <w:rFonts w:cs="Arial"/>
          <w:szCs w:val="24"/>
        </w:rPr>
        <w:t>onger rotations ha</w:t>
      </w:r>
      <w:r w:rsidR="00AC3A19">
        <w:rPr>
          <w:rFonts w:cs="Arial"/>
          <w:szCs w:val="24"/>
        </w:rPr>
        <w:t>ve</w:t>
      </w:r>
      <w:r w:rsidR="00DF2434">
        <w:rPr>
          <w:rFonts w:cs="Arial"/>
          <w:szCs w:val="24"/>
        </w:rPr>
        <w:t xml:space="preserve"> been shown to improve quality of care</w:t>
      </w:r>
      <w:r w:rsidR="006C69AE">
        <w:rPr>
          <w:rFonts w:cs="Arial"/>
          <w:szCs w:val="24"/>
        </w:rPr>
        <w:t>, as well as</w:t>
      </w:r>
      <w:r w:rsidR="00DF2434">
        <w:rPr>
          <w:rFonts w:cs="Arial"/>
          <w:szCs w:val="24"/>
        </w:rPr>
        <w:t xml:space="preserve"> resident, staff and patient satisfaction through</w:t>
      </w:r>
      <w:r w:rsidR="006C69AE">
        <w:rPr>
          <w:rFonts w:cs="Arial"/>
          <w:szCs w:val="24"/>
        </w:rPr>
        <w:t xml:space="preserve"> an</w:t>
      </w:r>
      <w:r w:rsidR="00DF2434">
        <w:rPr>
          <w:rFonts w:cs="Arial"/>
          <w:szCs w:val="24"/>
        </w:rPr>
        <w:t xml:space="preserve"> improved continuity</w:t>
      </w:r>
      <w:r w:rsidR="006A23A9">
        <w:rPr>
          <w:rFonts w:cs="Arial"/>
          <w:szCs w:val="24"/>
        </w:rPr>
        <w:t xml:space="preserve"> </w:t>
      </w:r>
      <w:r w:rsidR="00DF2434">
        <w:rPr>
          <w:rFonts w:cs="Arial"/>
          <w:szCs w:val="24"/>
        </w:rPr>
        <w:t>and trust with</w:t>
      </w:r>
      <w:r w:rsidR="006C69AE">
        <w:rPr>
          <w:rFonts w:cs="Arial"/>
          <w:szCs w:val="24"/>
        </w:rPr>
        <w:t xml:space="preserve"> a</w:t>
      </w:r>
      <w:r w:rsidR="00DF2434">
        <w:rPr>
          <w:rFonts w:cs="Arial"/>
          <w:szCs w:val="24"/>
        </w:rPr>
        <w:t xml:space="preserve"> team, patient</w:t>
      </w:r>
      <w:r w:rsidR="006C69AE">
        <w:rPr>
          <w:rFonts w:cs="Arial"/>
          <w:szCs w:val="24"/>
        </w:rPr>
        <w:t>s</w:t>
      </w:r>
      <w:r w:rsidR="00DF2434">
        <w:rPr>
          <w:rFonts w:cs="Arial"/>
          <w:szCs w:val="24"/>
        </w:rPr>
        <w:t xml:space="preserve"> and environment </w:t>
      </w:r>
      <w:r w:rsidR="00DF2434">
        <w:rPr>
          <w:rFonts w:cs="Arial"/>
          <w:szCs w:val="24"/>
        </w:rPr>
        <w:fldChar w:fldCharType="begin"/>
      </w:r>
      <w:r w:rsidR="00DF2434">
        <w:rPr>
          <w:rFonts w:cs="Arial"/>
          <w:szCs w:val="24"/>
        </w:rPr>
        <w:instrText xml:space="preserve"> ADDIN EN.CITE &lt;EndNote&gt;&lt;Cite&gt;&lt;Author&gt;Hirsh&lt;/Author&gt;&lt;Year&gt;2014&lt;/Year&gt;&lt;IDText&gt;Time to trust: longitudinal integrated clerkships and entrustable professional activities&lt;/IDText&gt;&lt;DisplayText&gt;(Hirsh et al., 2014)&lt;/DisplayText&gt;&lt;record&gt;&lt;dates&gt;&lt;pub-dates&gt;&lt;date&gt;Feb&lt;/date&gt;&lt;/pub-dates&gt;&lt;year&gt;2014&lt;/year&gt;&lt;/dates&gt;&lt;keywords&gt;&lt;keyword&gt;Clinical Clerkship&lt;/keyword&gt;&lt;keyword&gt;Clinical Competence&lt;/keyword&gt;&lt;keyword&gt;Education, Medical, Undergraduate&lt;/keyword&gt;&lt;keyword&gt;Educational Measurement&lt;/keyword&gt;&lt;keyword&gt;Family Practice&lt;/keyword&gt;&lt;keyword&gt;Female&lt;/keyword&gt;&lt;keyword&gt;Humans&lt;/keyword&gt;&lt;keyword&gt;Internship and Residency&lt;/keyword&gt;&lt;keyword&gt;Male&lt;/keyword&gt;&lt;/keywords&gt;&lt;urls&gt;&lt;related-urls&gt;&lt;url&gt;http://www.ncbi.nlm.nih.gov/pubmed/24362396&lt;/url&gt;&lt;/related-urls&gt;&lt;/urls&gt;&lt;isbn&gt;1938-808X&lt;/isbn&gt;&lt;titles&gt;&lt;title&gt;Time to trust: longitudinal integrated clerkships and entrustable professional activities&lt;/title&gt;&lt;secondary-title&gt;Acad Med&lt;/secondary-title&gt;&lt;/titles&gt;&lt;pages&gt;201-4&lt;/pages&gt;&lt;number&gt;2&lt;/number&gt;&lt;contributors&gt;&lt;authors&gt;&lt;author&gt;Hirsh, D. A.&lt;/author&gt;&lt;author&gt;Holmboe, E. S.&lt;/author&gt;&lt;author&gt;ten Cate, O.&lt;/author&gt;&lt;/authors&gt;&lt;/contributors&gt;&lt;language&gt;eng&lt;/language&gt;&lt;added-date format="utc"&gt;1458298052&lt;/added-date&gt;&lt;ref-type name="Journal Article"&gt;17&lt;/ref-type&gt;&lt;rec-number&gt;231&lt;/rec-number&gt;&lt;last-updated-date format="utc"&gt;1458298052&lt;/last-updated-date&gt;&lt;accession-num&gt;24362396&lt;/accession-num&gt;&lt;electronic-resource-num&gt;10.1097/ACM.0000000000000111&lt;/electronic-resource-num&gt;&lt;volume&gt;89&lt;/volume&gt;&lt;/record&gt;&lt;/Cite&gt;&lt;/EndNote&gt;</w:instrText>
      </w:r>
      <w:r w:rsidR="00DF2434">
        <w:rPr>
          <w:rFonts w:cs="Arial"/>
          <w:szCs w:val="24"/>
        </w:rPr>
        <w:fldChar w:fldCharType="separate"/>
      </w:r>
      <w:r w:rsidR="00DF2434">
        <w:rPr>
          <w:rFonts w:cs="Arial"/>
          <w:noProof/>
          <w:szCs w:val="24"/>
        </w:rPr>
        <w:t>(Hirsh et al., 2014)</w:t>
      </w:r>
      <w:r w:rsidR="00DF2434">
        <w:rPr>
          <w:rFonts w:cs="Arial"/>
          <w:szCs w:val="24"/>
        </w:rPr>
        <w:fldChar w:fldCharType="end"/>
      </w:r>
      <w:r w:rsidR="001F58F7">
        <w:rPr>
          <w:rFonts w:cs="Arial"/>
          <w:szCs w:val="24"/>
        </w:rPr>
        <w:t>.</w:t>
      </w:r>
    </w:p>
    <w:p w14:paraId="2E86CAAE" w14:textId="0A2113CF" w:rsidR="005A010A" w:rsidRPr="004C0634" w:rsidRDefault="001F3E2D" w:rsidP="005A010A">
      <w:pPr>
        <w:rPr>
          <w:rFonts w:cs="Arial"/>
          <w:szCs w:val="24"/>
        </w:rPr>
      </w:pPr>
      <w:r>
        <w:t xml:space="preserve">Induction training programmes have been shown to improve self-reported preparedness and reduce incidence of self-reported mistakes made by FY1s </w:t>
      </w:r>
      <w:r>
        <w:fldChar w:fldCharType="begin">
          <w:fldData xml:space="preserve">PEVuZE5vdGU+PENpdGU+PEF1dGhvcj5CbGVuY293ZTwvQXV0aG9yPjxZZWFyPjIwMTU8L1llYXI+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</w:fldData>
        </w:fldChar>
      </w:r>
      <w:r w:rsidR="00236E1D">
        <w:instrText xml:space="preserve"> ADDIN EN.CITE </w:instrText>
      </w:r>
      <w:r w:rsidR="00236E1D">
        <w:fldChar w:fldCharType="begin">
          <w:fldData xml:space="preserve">PEVuZE5vdGU+PENpdGU+PEF1dGhvcj5CbGVuY293ZTwvQXV0aG9yPjxZZWFyPjIwMTU8L1llYXI+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</w:fldData>
        </w:fldChar>
      </w:r>
      <w:r w:rsidR="00236E1D">
        <w:instrText xml:space="preserve"> ADDIN EN.CITE.DATA </w:instrText>
      </w:r>
      <w:r w:rsidR="00236E1D">
        <w:fldChar w:fldCharType="end"/>
      </w:r>
      <w:r>
        <w:fldChar w:fldCharType="separate"/>
      </w:r>
      <w:r w:rsidR="00236E1D">
        <w:rPr>
          <w:noProof/>
        </w:rPr>
        <w:t>(Blencowe et al., 2015, Brennan et al., 2010)</w:t>
      </w:r>
      <w:r>
        <w:fldChar w:fldCharType="end"/>
      </w:r>
      <w:r>
        <w:t>.</w:t>
      </w:r>
      <w:r w:rsidR="00035D65">
        <w:t xml:space="preserve"> </w:t>
      </w:r>
      <w:r w:rsidR="005A010A">
        <w:rPr>
          <w:rFonts w:cs="Arial"/>
          <w:szCs w:val="24"/>
        </w:rPr>
        <w:t>The shadowing period is a GMC (2009) requirement and an</w:t>
      </w:r>
      <w:r w:rsidR="005A010A" w:rsidRPr="00757D5C">
        <w:rPr>
          <w:rFonts w:cs="Arial"/>
          <w:szCs w:val="24"/>
        </w:rPr>
        <w:t xml:space="preserve"> opp</w:t>
      </w:r>
      <w:r w:rsidR="005A010A">
        <w:rPr>
          <w:rFonts w:cs="Arial"/>
          <w:szCs w:val="24"/>
        </w:rPr>
        <w:t xml:space="preserve">ortunity to help prepare students for FY1. In 2006, </w:t>
      </w:r>
      <w:r w:rsidR="005A010A" w:rsidRPr="00C164D5">
        <w:rPr>
          <w:rFonts w:cs="Arial"/>
          <w:szCs w:val="24"/>
        </w:rPr>
        <w:t>Wall found that only 79% of FY1s completed a shadowing period and only 57% in the hospital they were due to work in</w:t>
      </w:r>
      <w:r w:rsidR="005A010A">
        <w:rPr>
          <w:rFonts w:cs="Arial"/>
          <w:szCs w:val="24"/>
        </w:rPr>
        <w:t xml:space="preserve"> </w:t>
      </w:r>
      <w:r w:rsidR="005A010A">
        <w:rPr>
          <w:rFonts w:cs="Arial"/>
          <w:szCs w:val="24"/>
        </w:rPr>
        <w:fldChar w:fldCharType="begin"/>
      </w:r>
      <w:r w:rsidR="005A010A">
        <w:rPr>
          <w:rFonts w:cs="Arial"/>
          <w:szCs w:val="24"/>
        </w:rPr>
        <w:instrText xml:space="preserve"> ADDIN EN.CITE &lt;EndNote&gt;&lt;Cite&gt;&lt;Author&gt;Wall&lt;/Author&gt;&lt;Year&gt;2006&lt;/Year&gt;&lt;IDText&gt;From undergraduate medical education to pre-registration house officer year: how prepared are students?&lt;/IDText&gt;&lt;DisplayText&gt;(Wall et al., 2006)&lt;/DisplayText&gt;&lt;record&gt;&lt;dates&gt;&lt;pub-dates&gt;&lt;date&gt;Aug&lt;/date&gt;&lt;/pub-dates&gt;&lt;year&gt;2006&lt;/year&gt;&lt;/dates&gt;&lt;urls&gt;&lt;related-urls&gt;&lt;url&gt;&amp;lt;Go to ISI&amp;gt;://WOS:000241164600007&lt;/url&gt;&lt;/related-urls&gt;&lt;/urls&gt;&lt;isbn&gt;0142-159X&lt;/isbn&gt;&lt;titles&gt;&lt;title&gt;From undergraduate medical education to pre-registration house officer year: how prepared are students?&lt;/title&gt;&lt;secondary-title&gt;Medical Teacher&lt;/secondary-title&gt;&lt;/titles&gt;&lt;pages&gt;435-439&lt;/pages&gt;&lt;number&gt;5&lt;/number&gt;&lt;contributors&gt;&lt;authors&gt;&lt;author&gt;Wall, David&lt;/author&gt;&lt;author&gt;Bolshaw, Andrea&lt;/author&gt;&lt;author&gt;Carolan, Justine&lt;/author&gt;&lt;/authors&gt;&lt;/contributors&gt;&lt;added-date format="utc"&gt;1390916198&lt;/added-date&gt;&lt;ref-type name="Journal Article"&gt;17&lt;/ref-type&gt;&lt;rec-number&gt;34&lt;/rec-number&gt;&lt;last-updated-date format="utc"&gt;1390929605&lt;/last-updated-date&gt;&lt;accession-num&gt;WOS:000241164600007&lt;/accession-num&gt;&lt;electronic-resource-num&gt;10.1080/01421590600625171&lt;/electronic-resource-num&gt;&lt;volume&gt;28&lt;/volume&gt;&lt;/record&gt;&lt;/Cite&gt;&lt;/EndNote&gt;</w:instrText>
      </w:r>
      <w:r w:rsidR="005A010A">
        <w:rPr>
          <w:rFonts w:cs="Arial"/>
          <w:szCs w:val="24"/>
        </w:rPr>
        <w:fldChar w:fldCharType="separate"/>
      </w:r>
      <w:r w:rsidR="005A010A">
        <w:rPr>
          <w:rFonts w:cs="Arial"/>
          <w:noProof/>
          <w:szCs w:val="24"/>
        </w:rPr>
        <w:t>(Wall et al., 2006)</w:t>
      </w:r>
      <w:r w:rsidR="005A010A">
        <w:rPr>
          <w:rFonts w:cs="Arial"/>
          <w:szCs w:val="24"/>
        </w:rPr>
        <w:fldChar w:fldCharType="end"/>
      </w:r>
      <w:r w:rsidR="005A010A" w:rsidRPr="00C164D5">
        <w:rPr>
          <w:rFonts w:cs="Arial"/>
          <w:szCs w:val="24"/>
        </w:rPr>
        <w:t>.</w:t>
      </w:r>
      <w:r w:rsidR="005A010A">
        <w:rPr>
          <w:rFonts w:cs="Arial"/>
          <w:szCs w:val="24"/>
        </w:rPr>
        <w:t xml:space="preserve"> </w:t>
      </w:r>
      <w:r w:rsidR="005A010A">
        <w:rPr>
          <w:rFonts w:cs="Arial"/>
          <w:szCs w:val="24"/>
        </w:rPr>
        <w:fldChar w:fldCharType="begin"/>
      </w:r>
      <w:r w:rsidR="005823F4">
        <w:rPr>
          <w:rFonts w:cs="Arial"/>
          <w:szCs w:val="24"/>
        </w:rPr>
        <w:instrText xml:space="preserve"> ADDIN EN.CITE &lt;EndNote&gt;&lt;Cite&gt;&lt;Author&gt;Evans&lt;/Author&gt;&lt;Year&gt;2004&lt;/Year&gt;&lt;IDText&gt;The effect of an extended hospital induction on perceived confidence and assessed clinical skills of newly qualified pre-registration house officers&lt;/IDText&gt;&lt;DisplayText&gt;(Evans et al., 2004)&lt;/DisplayText&gt;&lt;record&gt;&lt;dates&gt;&lt;pub-dates&gt;&lt;date&gt;Sep&lt;/date&gt;&lt;/pub-dates&gt;&lt;year&gt;2004&lt;/year&gt;&lt;/dates&gt;&lt;urls&gt;&lt;related-urls&gt;&lt;url&gt;&amp;lt;Go to ISI&amp;gt;://WOS:000223534200015&lt;/url&gt;&lt;/related-urls&gt;&lt;/urls&gt;&lt;isbn&gt;0308-0110&lt;/isbn&gt;&lt;titles&gt;&lt;title&gt;The effect of an extended hospital induction on perceived confidence and assessed clinical skills of newly qualified pre-registration house officers&lt;/title&gt;&lt;secondary-title&gt;Medical Education&lt;/secondary-title&gt;&lt;/titles&gt;&lt;pages&gt;998-1001&lt;/pages&gt;&lt;number&gt;9&lt;/number&gt;&lt;contributors&gt;&lt;authors&gt;&lt;author&gt;Evans, D. E.&lt;/author&gt;&lt;author&gt;Wood, D. F.&lt;/author&gt;&lt;author&gt;Roberts, C. M.&lt;/author&gt;&lt;/authors&gt;&lt;/contributors&gt;&lt;added-date format="utc"&gt;1399936194&lt;/added-date&gt;&lt;ref-type name="Journal Article"&gt;17&lt;/ref-type&gt;&lt;rec-number&gt;121&lt;/rec-number&gt;&lt;last-updated-date format="utc"&gt;1399937123&lt;/last-updated-date&gt;&lt;accession-num&gt;WOS:000223534200015&lt;/accession-num&gt;&lt;electronic-resource-num&gt;10.1111/j.1365-2929.2004.01908.x&lt;/electronic-resource-num&gt;&lt;volume&gt;38&lt;/volume&gt;&lt;/record&gt;&lt;/Cite&gt;&lt;/EndNote&gt;</w:instrText>
      </w:r>
      <w:r w:rsidR="005A010A">
        <w:rPr>
          <w:rFonts w:cs="Arial"/>
          <w:szCs w:val="24"/>
        </w:rPr>
        <w:fldChar w:fldCharType="separate"/>
      </w:r>
      <w:r w:rsidR="006A23A9">
        <w:rPr>
          <w:rFonts w:cs="Arial"/>
          <w:noProof/>
          <w:szCs w:val="24"/>
        </w:rPr>
        <w:t>Evans et al.</w:t>
      </w:r>
      <w:r w:rsidR="005823F4">
        <w:rPr>
          <w:rFonts w:cs="Arial"/>
          <w:noProof/>
          <w:szCs w:val="24"/>
        </w:rPr>
        <w:t xml:space="preserve"> </w:t>
      </w:r>
      <w:r w:rsidR="006A23A9">
        <w:rPr>
          <w:rFonts w:cs="Arial"/>
          <w:noProof/>
          <w:szCs w:val="24"/>
        </w:rPr>
        <w:t>(</w:t>
      </w:r>
      <w:r w:rsidR="005823F4">
        <w:rPr>
          <w:rFonts w:cs="Arial"/>
          <w:noProof/>
          <w:szCs w:val="24"/>
        </w:rPr>
        <w:t>2004)</w:t>
      </w:r>
      <w:r w:rsidR="005A010A">
        <w:rPr>
          <w:rFonts w:cs="Arial"/>
          <w:szCs w:val="24"/>
        </w:rPr>
        <w:fldChar w:fldCharType="end"/>
      </w:r>
      <w:r w:rsidR="005A010A">
        <w:rPr>
          <w:rFonts w:cs="Arial"/>
          <w:szCs w:val="24"/>
        </w:rPr>
        <w:t xml:space="preserve"> </w:t>
      </w:r>
      <w:r w:rsidR="005A010A" w:rsidRPr="004C0634">
        <w:rPr>
          <w:rFonts w:cs="Arial"/>
          <w:szCs w:val="24"/>
        </w:rPr>
        <w:t xml:space="preserve">collected </w:t>
      </w:r>
      <w:r w:rsidR="005A010A">
        <w:rPr>
          <w:rFonts w:cs="Arial"/>
          <w:szCs w:val="24"/>
        </w:rPr>
        <w:t xml:space="preserve">data </w:t>
      </w:r>
      <w:r w:rsidR="005A010A" w:rsidRPr="004C0634">
        <w:rPr>
          <w:rFonts w:cs="Arial"/>
          <w:szCs w:val="24"/>
        </w:rPr>
        <w:t xml:space="preserve">on 24 newly qualified doctors who underwent a </w:t>
      </w:r>
      <w:r w:rsidR="005E5FD8">
        <w:rPr>
          <w:rFonts w:cs="Arial"/>
          <w:szCs w:val="24"/>
        </w:rPr>
        <w:t>five-</w:t>
      </w:r>
      <w:r w:rsidR="005A010A" w:rsidRPr="004C0634">
        <w:rPr>
          <w:rFonts w:cs="Arial"/>
          <w:szCs w:val="24"/>
        </w:rPr>
        <w:t>day</w:t>
      </w:r>
      <w:r w:rsidR="005E5FD8">
        <w:rPr>
          <w:rFonts w:cs="Arial"/>
          <w:szCs w:val="24"/>
        </w:rPr>
        <w:t>,</w:t>
      </w:r>
      <w:r w:rsidR="005A010A" w:rsidRPr="004C0634">
        <w:rPr>
          <w:rFonts w:cs="Arial"/>
          <w:szCs w:val="24"/>
        </w:rPr>
        <w:t xml:space="preserve"> ward</w:t>
      </w:r>
      <w:r w:rsidR="005E5FD8">
        <w:rPr>
          <w:rFonts w:cs="Arial"/>
          <w:szCs w:val="24"/>
        </w:rPr>
        <w:t>-</w:t>
      </w:r>
      <w:r w:rsidR="005A010A" w:rsidRPr="004C0634">
        <w:rPr>
          <w:rFonts w:cs="Arial"/>
          <w:szCs w:val="24"/>
        </w:rPr>
        <w:t xml:space="preserve">based induction programme to try </w:t>
      </w:r>
      <w:r w:rsidR="005E5FD8">
        <w:rPr>
          <w:rFonts w:cs="Arial"/>
          <w:szCs w:val="24"/>
        </w:rPr>
        <w:t>to</w:t>
      </w:r>
      <w:r w:rsidR="005A010A" w:rsidRPr="004C0634">
        <w:rPr>
          <w:rFonts w:cs="Arial"/>
          <w:szCs w:val="24"/>
        </w:rPr>
        <w:t xml:space="preserve"> improve their preparedness, confidence and competence for their job in certain practical skills. They</w:t>
      </w:r>
      <w:r w:rsidR="005A010A">
        <w:rPr>
          <w:rFonts w:cs="Arial"/>
          <w:szCs w:val="24"/>
        </w:rPr>
        <w:t xml:space="preserve"> completed</w:t>
      </w:r>
      <w:r w:rsidR="005A010A" w:rsidRPr="004C0634">
        <w:rPr>
          <w:rFonts w:cs="Arial"/>
          <w:szCs w:val="24"/>
        </w:rPr>
        <w:t xml:space="preserve"> reflective questionnaires, had formal lectures</w:t>
      </w:r>
      <w:r w:rsidR="005A010A">
        <w:rPr>
          <w:rFonts w:cs="Arial"/>
          <w:szCs w:val="24"/>
        </w:rPr>
        <w:t>,</w:t>
      </w:r>
      <w:r w:rsidR="005A010A" w:rsidRPr="004C0634">
        <w:rPr>
          <w:rFonts w:cs="Arial"/>
          <w:szCs w:val="24"/>
        </w:rPr>
        <w:t xml:space="preserve"> as well as extended time shadowing their new team. </w:t>
      </w:r>
      <w:r w:rsidR="005A010A">
        <w:rPr>
          <w:rFonts w:cs="Arial"/>
          <w:szCs w:val="24"/>
        </w:rPr>
        <w:t>Twenty-one</w:t>
      </w:r>
      <w:r w:rsidR="005A010A" w:rsidRPr="004C0634">
        <w:rPr>
          <w:rFonts w:cs="Arial"/>
          <w:szCs w:val="24"/>
        </w:rPr>
        <w:t xml:space="preserve"> doctors completed all question</w:t>
      </w:r>
      <w:r w:rsidR="005A010A">
        <w:rPr>
          <w:rFonts w:cs="Arial"/>
          <w:szCs w:val="24"/>
        </w:rPr>
        <w:t>naires. A</w:t>
      </w:r>
      <w:r w:rsidR="005A010A" w:rsidRPr="004C0634">
        <w:rPr>
          <w:rFonts w:cs="Arial"/>
          <w:szCs w:val="24"/>
        </w:rPr>
        <w:t>ll</w:t>
      </w:r>
      <w:r w:rsidR="005A010A">
        <w:rPr>
          <w:rFonts w:cs="Arial"/>
          <w:szCs w:val="24"/>
        </w:rPr>
        <w:t xml:space="preserve"> </w:t>
      </w:r>
      <w:r w:rsidR="005A010A" w:rsidRPr="004C0634">
        <w:rPr>
          <w:rFonts w:cs="Arial"/>
          <w:szCs w:val="24"/>
        </w:rPr>
        <w:t>perceived their practica</w:t>
      </w:r>
      <w:r w:rsidR="005A010A">
        <w:rPr>
          <w:rFonts w:cs="Arial"/>
          <w:szCs w:val="24"/>
        </w:rPr>
        <w:t xml:space="preserve">l skills to be poor. After </w:t>
      </w:r>
      <w:r w:rsidR="005A010A" w:rsidRPr="004C0634">
        <w:rPr>
          <w:rFonts w:cs="Arial"/>
          <w:szCs w:val="24"/>
        </w:rPr>
        <w:t>induct</w:t>
      </w:r>
      <w:r w:rsidR="005A010A">
        <w:rPr>
          <w:rFonts w:cs="Arial"/>
          <w:szCs w:val="24"/>
        </w:rPr>
        <w:t xml:space="preserve">ion and 1 month </w:t>
      </w:r>
      <w:r w:rsidR="000A27DF">
        <w:rPr>
          <w:rFonts w:cs="Arial"/>
          <w:szCs w:val="24"/>
        </w:rPr>
        <w:t>into</w:t>
      </w:r>
      <w:r w:rsidR="005A010A">
        <w:rPr>
          <w:rFonts w:cs="Arial"/>
          <w:szCs w:val="24"/>
        </w:rPr>
        <w:t xml:space="preserve"> FY1</w:t>
      </w:r>
      <w:r w:rsidR="005A010A" w:rsidRPr="004C0634">
        <w:rPr>
          <w:rFonts w:cs="Arial"/>
          <w:szCs w:val="24"/>
        </w:rPr>
        <w:t xml:space="preserve"> there was a significant imp</w:t>
      </w:r>
      <w:r w:rsidR="005A010A">
        <w:rPr>
          <w:rFonts w:cs="Arial"/>
          <w:szCs w:val="24"/>
        </w:rPr>
        <w:t xml:space="preserve">rovement in confidence in </w:t>
      </w:r>
      <w:r w:rsidR="005A010A" w:rsidRPr="004C0634">
        <w:rPr>
          <w:rFonts w:cs="Arial"/>
          <w:szCs w:val="24"/>
        </w:rPr>
        <w:t>skills. Confidence in death certification and prescribin</w:t>
      </w:r>
      <w:r w:rsidR="005A010A">
        <w:rPr>
          <w:rFonts w:cs="Arial"/>
          <w:szCs w:val="24"/>
        </w:rPr>
        <w:t xml:space="preserve">g was initially low, deteriorated </w:t>
      </w:r>
      <w:r w:rsidR="005A010A" w:rsidRPr="004C0634">
        <w:rPr>
          <w:rFonts w:cs="Arial"/>
          <w:szCs w:val="24"/>
        </w:rPr>
        <w:t>and only im</w:t>
      </w:r>
      <w:r w:rsidR="005A010A">
        <w:rPr>
          <w:rFonts w:cs="Arial"/>
          <w:szCs w:val="24"/>
        </w:rPr>
        <w:t>proved after one</w:t>
      </w:r>
      <w:r w:rsidR="005A010A" w:rsidRPr="004C0634">
        <w:rPr>
          <w:rFonts w:cs="Arial"/>
          <w:szCs w:val="24"/>
        </w:rPr>
        <w:t xml:space="preserve"> month</w:t>
      </w:r>
      <w:r w:rsidR="005A010A">
        <w:rPr>
          <w:rFonts w:cs="Arial"/>
          <w:szCs w:val="24"/>
        </w:rPr>
        <w:t xml:space="preserve"> into the job</w:t>
      </w:r>
      <w:r w:rsidR="005A010A" w:rsidRPr="004C0634">
        <w:rPr>
          <w:rFonts w:cs="Arial"/>
          <w:szCs w:val="24"/>
        </w:rPr>
        <w:t xml:space="preserve">. </w:t>
      </w:r>
    </w:p>
    <w:p w14:paraId="041A44F0" w14:textId="239A25F9" w:rsidR="005A010A" w:rsidRPr="00C164D5" w:rsidRDefault="005A010A" w:rsidP="005A010A">
      <w:pPr>
        <w:rPr>
          <w:rFonts w:cs="Arial"/>
          <w:szCs w:val="24"/>
        </w:rPr>
      </w:pPr>
      <w:r w:rsidRPr="004C0634">
        <w:rPr>
          <w:rFonts w:cs="Arial"/>
          <w:szCs w:val="24"/>
        </w:rPr>
        <w:t xml:space="preserve">The group recommend performing objective </w:t>
      </w:r>
      <w:r w:rsidR="00AE621C">
        <w:rPr>
          <w:rFonts w:cs="Arial"/>
          <w:szCs w:val="24"/>
        </w:rPr>
        <w:t>self-</w:t>
      </w:r>
      <w:r w:rsidRPr="004C0634">
        <w:rPr>
          <w:rFonts w:cs="Arial"/>
          <w:szCs w:val="24"/>
        </w:rPr>
        <w:t xml:space="preserve">assessment at the beginning of induction to target </w:t>
      </w:r>
      <w:r w:rsidR="005E5FD8">
        <w:rPr>
          <w:rFonts w:cs="Arial"/>
          <w:szCs w:val="24"/>
        </w:rPr>
        <w:t xml:space="preserve">their </w:t>
      </w:r>
      <w:r w:rsidRPr="004C0634">
        <w:rPr>
          <w:rFonts w:cs="Arial"/>
          <w:szCs w:val="24"/>
        </w:rPr>
        <w:t xml:space="preserve">training. They conclude that a significant gap exists </w:t>
      </w:r>
      <w:r w:rsidRPr="004C0634">
        <w:rPr>
          <w:rFonts w:cs="Arial"/>
          <w:szCs w:val="24"/>
        </w:rPr>
        <w:lastRenderedPageBreak/>
        <w:t xml:space="preserve">between confidence and competence provided by undergraduate training and those required for competent professional duties as a doctor. </w:t>
      </w:r>
      <w:r>
        <w:rPr>
          <w:rFonts w:cs="Arial"/>
          <w:szCs w:val="24"/>
        </w:rPr>
        <w:t>However</w:t>
      </w:r>
      <w:r w:rsidR="00F662A4">
        <w:rPr>
          <w:rFonts w:cs="Arial"/>
          <w:szCs w:val="24"/>
        </w:rPr>
        <w:t xml:space="preserve"> i</w:t>
      </w:r>
      <w:r w:rsidRPr="004C0634">
        <w:rPr>
          <w:rFonts w:cs="Arial"/>
          <w:szCs w:val="24"/>
        </w:rPr>
        <w:t>t is not clear from this study how confidence was measured. There was an increase in competence along with confidence</w:t>
      </w:r>
      <w:r>
        <w:rPr>
          <w:rFonts w:cs="Arial"/>
          <w:szCs w:val="24"/>
        </w:rPr>
        <w:t>,</w:t>
      </w:r>
      <w:r w:rsidRPr="004C0634">
        <w:rPr>
          <w:rFonts w:cs="Arial"/>
          <w:szCs w:val="24"/>
        </w:rPr>
        <w:t xml:space="preserve"> which could suggest </w:t>
      </w:r>
      <w:r w:rsidR="00AE621C">
        <w:rPr>
          <w:rFonts w:cs="Arial"/>
          <w:szCs w:val="24"/>
        </w:rPr>
        <w:t xml:space="preserve">that </w:t>
      </w:r>
      <w:r w:rsidRPr="004C0634">
        <w:rPr>
          <w:rFonts w:cs="Arial"/>
          <w:szCs w:val="24"/>
        </w:rPr>
        <w:t>the two are related. If juniors are not exposed t</w:t>
      </w:r>
      <w:r>
        <w:rPr>
          <w:rFonts w:cs="Arial"/>
          <w:szCs w:val="24"/>
        </w:rPr>
        <w:t xml:space="preserve">o a death or </w:t>
      </w:r>
      <w:r w:rsidRPr="004C0634">
        <w:rPr>
          <w:rFonts w:cs="Arial"/>
          <w:szCs w:val="24"/>
        </w:rPr>
        <w:t>cardiac arrest</w:t>
      </w:r>
      <w:r>
        <w:rPr>
          <w:rFonts w:cs="Arial"/>
          <w:szCs w:val="24"/>
        </w:rPr>
        <w:t xml:space="preserve"> during shadowing then it is </w:t>
      </w:r>
      <w:r w:rsidR="00AE621C">
        <w:rPr>
          <w:rFonts w:cs="Arial"/>
          <w:szCs w:val="24"/>
        </w:rPr>
        <w:t xml:space="preserve">perhaps </w:t>
      </w:r>
      <w:r>
        <w:rPr>
          <w:rFonts w:cs="Arial"/>
          <w:szCs w:val="24"/>
        </w:rPr>
        <w:t>unsurprising</w:t>
      </w:r>
      <w:r w:rsidRPr="004C0634">
        <w:rPr>
          <w:rFonts w:cs="Arial"/>
          <w:szCs w:val="24"/>
        </w:rPr>
        <w:t xml:space="preserve"> t</w:t>
      </w:r>
      <w:r>
        <w:rPr>
          <w:rFonts w:cs="Arial"/>
          <w:szCs w:val="24"/>
        </w:rPr>
        <w:t>hat confidence falls</w:t>
      </w:r>
      <w:r w:rsidRPr="004C0634">
        <w:rPr>
          <w:rFonts w:cs="Arial"/>
          <w:szCs w:val="24"/>
        </w:rPr>
        <w:t>.</w:t>
      </w:r>
    </w:p>
    <w:p w14:paraId="0F6A5FD8" w14:textId="05B113C4" w:rsidR="005A010A" w:rsidRDefault="005A010A" w:rsidP="005A010A">
      <w:pPr>
        <w:rPr>
          <w:rFonts w:cs="Arial"/>
          <w:szCs w:val="24"/>
        </w:rPr>
      </w:pPr>
      <w:r>
        <w:rPr>
          <w:rFonts w:cs="Arial"/>
          <w:szCs w:val="24"/>
        </w:rPr>
        <w:t>Responsibility and decision-</w:t>
      </w:r>
      <w:r w:rsidRPr="00F73761">
        <w:rPr>
          <w:rFonts w:cs="Arial"/>
          <w:szCs w:val="24"/>
        </w:rPr>
        <w:t>making skills can be limited during the shadowing period because students are not qualified.</w:t>
      </w:r>
      <w:r>
        <w:rPr>
          <w:rFonts w:cs="Arial"/>
          <w:szCs w:val="24"/>
        </w:rPr>
        <w:t xml:space="preserve"> </w:t>
      </w:r>
      <w:r w:rsidR="005D252E">
        <w:rPr>
          <w:rFonts w:cs="Arial"/>
          <w:szCs w:val="24"/>
        </w:rPr>
        <w:t>S</w:t>
      </w:r>
      <w:r>
        <w:rPr>
          <w:rFonts w:cs="Arial"/>
          <w:szCs w:val="24"/>
        </w:rPr>
        <w:t>hadowing can be</w:t>
      </w:r>
      <w:r w:rsidRPr="00C164D5">
        <w:rPr>
          <w:rFonts w:cs="Arial"/>
          <w:szCs w:val="24"/>
        </w:rPr>
        <w:t xml:space="preserve"> extremely variable in the opportunities and experience</w:t>
      </w:r>
      <w:r w:rsidR="00AE621C">
        <w:rPr>
          <w:rFonts w:cs="Arial"/>
          <w:szCs w:val="24"/>
        </w:rPr>
        <w:t xml:space="preserve"> presented to</w:t>
      </w:r>
      <w:r w:rsidRPr="00C164D5">
        <w:rPr>
          <w:rFonts w:cs="Arial"/>
          <w:szCs w:val="24"/>
        </w:rPr>
        <w:t xml:space="preserve"> each studen</w:t>
      </w:r>
      <w:r>
        <w:rPr>
          <w:rFonts w:cs="Arial"/>
          <w:szCs w:val="24"/>
        </w:rPr>
        <w:t xml:space="preserve">t, </w:t>
      </w:r>
      <w:r w:rsidR="00AE621C">
        <w:rPr>
          <w:rFonts w:cs="Arial"/>
          <w:szCs w:val="24"/>
        </w:rPr>
        <w:t xml:space="preserve">and which </w:t>
      </w:r>
      <w:r>
        <w:rPr>
          <w:rFonts w:cs="Arial"/>
          <w:szCs w:val="24"/>
        </w:rPr>
        <w:t>depend</w:t>
      </w:r>
      <w:r w:rsidR="00AE621C">
        <w:rPr>
          <w:rFonts w:cs="Arial"/>
          <w:szCs w:val="24"/>
        </w:rPr>
        <w:t>s</w:t>
      </w:r>
      <w:r>
        <w:rPr>
          <w:rFonts w:cs="Arial"/>
          <w:szCs w:val="24"/>
        </w:rPr>
        <w:t xml:space="preserve"> on</w:t>
      </w:r>
      <w:r w:rsidR="002B0D3A">
        <w:rPr>
          <w:rFonts w:cs="Arial"/>
          <w:szCs w:val="24"/>
        </w:rPr>
        <w:t xml:space="preserve"> their allocated job</w:t>
      </w:r>
      <w:r w:rsidRPr="00C164D5">
        <w:rPr>
          <w:rFonts w:cs="Arial"/>
          <w:szCs w:val="24"/>
        </w:rPr>
        <w:t>.</w:t>
      </w:r>
      <w:r>
        <w:rPr>
          <w:rFonts w:cs="Arial"/>
          <w:szCs w:val="24"/>
        </w:rPr>
        <w:t xml:space="preserve"> According to the GMC (2009), the shadowing</w:t>
      </w:r>
      <w:r w:rsidRPr="00837201">
        <w:rPr>
          <w:rFonts w:cs="Arial"/>
          <w:szCs w:val="24"/>
        </w:rPr>
        <w:t xml:space="preserve"> p</w:t>
      </w:r>
      <w:r>
        <w:rPr>
          <w:rFonts w:cs="Arial"/>
          <w:szCs w:val="24"/>
        </w:rPr>
        <w:t>eriod aims to allow students to ‘become familiar with the facilities, working environment and</w:t>
      </w:r>
      <w:r w:rsidRPr="00837201">
        <w:rPr>
          <w:rFonts w:cs="Arial"/>
          <w:szCs w:val="24"/>
        </w:rPr>
        <w:t xml:space="preserve"> patterns </w:t>
      </w:r>
      <w:r>
        <w:rPr>
          <w:rFonts w:cs="Arial"/>
          <w:szCs w:val="24"/>
        </w:rPr>
        <w:t xml:space="preserve">and to get to </w:t>
      </w:r>
      <w:r w:rsidRPr="00837201">
        <w:rPr>
          <w:rFonts w:cs="Arial"/>
          <w:szCs w:val="24"/>
        </w:rPr>
        <w:t>know their colleagues</w:t>
      </w:r>
      <w:r>
        <w:rPr>
          <w:rFonts w:cs="Arial"/>
          <w:szCs w:val="24"/>
        </w:rPr>
        <w:t xml:space="preserve"> and supervisors</w:t>
      </w:r>
      <w:r w:rsidR="00E82912">
        <w:rPr>
          <w:rFonts w:cs="Arial"/>
          <w:szCs w:val="24"/>
        </w:rPr>
        <w:t>’</w:t>
      </w:r>
      <w:r w:rsidR="005E5FD8">
        <w:rPr>
          <w:rFonts w:cs="Arial"/>
          <w:szCs w:val="24"/>
        </w:rPr>
        <w:t>. It</w:t>
      </w:r>
      <w:r>
        <w:rPr>
          <w:rFonts w:cs="Arial"/>
          <w:szCs w:val="24"/>
        </w:rPr>
        <w:t xml:space="preserve"> should </w:t>
      </w:r>
      <w:r w:rsidR="005E5FD8">
        <w:rPr>
          <w:rFonts w:cs="Arial"/>
          <w:szCs w:val="24"/>
        </w:rPr>
        <w:t xml:space="preserve">also </w:t>
      </w:r>
      <w:r>
        <w:rPr>
          <w:rFonts w:cs="Arial"/>
          <w:szCs w:val="24"/>
        </w:rPr>
        <w:t xml:space="preserve">include </w:t>
      </w:r>
      <w:r w:rsidRPr="00837201">
        <w:rPr>
          <w:rFonts w:cs="Arial"/>
          <w:szCs w:val="24"/>
        </w:rPr>
        <w:t>protected ti</w:t>
      </w:r>
      <w:r>
        <w:rPr>
          <w:rFonts w:cs="Arial"/>
          <w:szCs w:val="24"/>
        </w:rPr>
        <w:t>me to apply</w:t>
      </w:r>
      <w:r w:rsidRPr="00837201">
        <w:rPr>
          <w:rFonts w:cs="Arial"/>
          <w:szCs w:val="24"/>
        </w:rPr>
        <w:t xml:space="preserve"> their medical knowledge </w:t>
      </w:r>
      <w:r>
        <w:rPr>
          <w:rFonts w:cs="Arial"/>
          <w:szCs w:val="24"/>
        </w:rPr>
        <w:t xml:space="preserve">through tasks in a working environment and should </w:t>
      </w:r>
      <w:r w:rsidRPr="00837201">
        <w:rPr>
          <w:rFonts w:cs="Arial"/>
          <w:szCs w:val="24"/>
        </w:rPr>
        <w:t xml:space="preserve">last </w:t>
      </w:r>
      <w:r>
        <w:rPr>
          <w:rFonts w:cs="Arial"/>
          <w:szCs w:val="24"/>
        </w:rPr>
        <w:t>‘</w:t>
      </w:r>
      <w:r w:rsidRPr="00837201">
        <w:rPr>
          <w:rFonts w:cs="Arial"/>
          <w:szCs w:val="24"/>
        </w:rPr>
        <w:t>at least one week and take</w:t>
      </w:r>
      <w:r>
        <w:rPr>
          <w:rFonts w:cs="Arial"/>
          <w:szCs w:val="24"/>
        </w:rPr>
        <w:t xml:space="preserve"> place as close to the point of </w:t>
      </w:r>
      <w:r w:rsidRPr="00837201">
        <w:rPr>
          <w:rFonts w:cs="Arial"/>
          <w:szCs w:val="24"/>
        </w:rPr>
        <w:t>employment as possible</w:t>
      </w:r>
      <w:r>
        <w:rPr>
          <w:rFonts w:cs="Arial"/>
          <w:szCs w:val="24"/>
        </w:rPr>
        <w:t>’</w:t>
      </w:r>
      <w:r w:rsidR="00F662A4">
        <w:rPr>
          <w:rFonts w:cs="Arial"/>
          <w:szCs w:val="24"/>
        </w:rPr>
        <w:t xml:space="preserve"> </w:t>
      </w:r>
      <w:r>
        <w:rPr>
          <w:rFonts w:cs="Arial"/>
          <w:szCs w:val="24"/>
        </w:rPr>
        <w:fldChar w:fldCharType="begin"/>
      </w:r>
      <w:r w:rsidR="00BB31A6">
        <w:rPr>
          <w:rFonts w:cs="Arial"/>
          <w:szCs w:val="24"/>
        </w:rPr>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Pr>
          <w:rFonts w:cs="Arial"/>
          <w:szCs w:val="24"/>
        </w:rPr>
        <w:fldChar w:fldCharType="separate"/>
      </w:r>
      <w:r w:rsidR="00BB31A6">
        <w:rPr>
          <w:rFonts w:cs="Arial"/>
          <w:noProof/>
          <w:szCs w:val="24"/>
        </w:rPr>
        <w:t>(GMC, 2009)</w:t>
      </w:r>
      <w:r>
        <w:rPr>
          <w:rFonts w:cs="Arial"/>
          <w:szCs w:val="24"/>
        </w:rPr>
        <w:fldChar w:fldCharType="end"/>
      </w:r>
      <w:r w:rsidRPr="00837201">
        <w:rPr>
          <w:rFonts w:cs="Arial"/>
          <w:szCs w:val="24"/>
        </w:rPr>
        <w:t>.</w:t>
      </w:r>
    </w:p>
    <w:p w14:paraId="703AB902" w14:textId="58EA85AD" w:rsidR="005A5835" w:rsidRDefault="00CA1C02" w:rsidP="00CA1C02">
      <w:pPr>
        <w:rPr>
          <w:rFonts w:cs="Arial"/>
          <w:szCs w:val="24"/>
        </w:rPr>
      </w:pPr>
      <w:proofErr w:type="spellStart"/>
      <w:r>
        <w:rPr>
          <w:rFonts w:cs="Arial"/>
          <w:szCs w:val="24"/>
        </w:rPr>
        <w:t>Berridge</w:t>
      </w:r>
      <w:proofErr w:type="spellEnd"/>
      <w:r>
        <w:rPr>
          <w:rFonts w:cs="Arial"/>
          <w:szCs w:val="24"/>
        </w:rPr>
        <w:t xml:space="preserve"> et al.</w:t>
      </w:r>
      <w:r w:rsidR="00602DF4">
        <w:rPr>
          <w:rFonts w:cs="Arial"/>
          <w:szCs w:val="24"/>
        </w:rPr>
        <w:t xml:space="preserve"> (2007)</w:t>
      </w:r>
      <w:r>
        <w:rPr>
          <w:rFonts w:cs="Arial"/>
          <w:szCs w:val="24"/>
        </w:rPr>
        <w:t xml:space="preserve"> report on a two-week preparation programme for medi</w:t>
      </w:r>
      <w:r w:rsidR="005E5FD8">
        <w:rPr>
          <w:rFonts w:cs="Arial"/>
          <w:szCs w:val="24"/>
        </w:rPr>
        <w:t>c</w:t>
      </w:r>
      <w:r>
        <w:rPr>
          <w:rFonts w:cs="Arial"/>
          <w:szCs w:val="24"/>
        </w:rPr>
        <w:t xml:space="preserve">al graduates to try </w:t>
      </w:r>
      <w:r w:rsidR="005E5FD8">
        <w:rPr>
          <w:rFonts w:cs="Arial"/>
          <w:szCs w:val="24"/>
        </w:rPr>
        <w:t>to</w:t>
      </w:r>
      <w:r>
        <w:rPr>
          <w:rFonts w:cs="Arial"/>
          <w:szCs w:val="24"/>
        </w:rPr>
        <w:t xml:space="preserve"> help with the transition to FY1, </w:t>
      </w:r>
      <w:r w:rsidR="00AE621C">
        <w:rPr>
          <w:rFonts w:cs="Arial"/>
          <w:szCs w:val="24"/>
        </w:rPr>
        <w:t xml:space="preserve">which </w:t>
      </w:r>
      <w:r>
        <w:rPr>
          <w:rFonts w:cs="Arial"/>
          <w:szCs w:val="24"/>
        </w:rPr>
        <w:t>act</w:t>
      </w:r>
      <w:r w:rsidR="00AE621C">
        <w:rPr>
          <w:rFonts w:cs="Arial"/>
          <w:szCs w:val="24"/>
        </w:rPr>
        <w:t>s</w:t>
      </w:r>
      <w:r>
        <w:rPr>
          <w:rFonts w:cs="Arial"/>
          <w:szCs w:val="24"/>
        </w:rPr>
        <w:t xml:space="preserve"> as an extend</w:t>
      </w:r>
      <w:r w:rsidR="009755CB">
        <w:rPr>
          <w:rFonts w:cs="Arial"/>
          <w:szCs w:val="24"/>
        </w:rPr>
        <w:t>ed shadowing period. Fifty</w:t>
      </w:r>
      <w:r>
        <w:rPr>
          <w:rFonts w:cs="Arial"/>
          <w:szCs w:val="24"/>
        </w:rPr>
        <w:t xml:space="preserve"> UK medical graduates took part in two different hos</w:t>
      </w:r>
      <w:r w:rsidR="00602DF4">
        <w:rPr>
          <w:rFonts w:cs="Arial"/>
          <w:szCs w:val="24"/>
        </w:rPr>
        <w:t>pitals. The programme combined emergency ‘</w:t>
      </w:r>
      <w:r>
        <w:rPr>
          <w:rFonts w:cs="Arial"/>
          <w:szCs w:val="24"/>
        </w:rPr>
        <w:t>life support</w:t>
      </w:r>
      <w:r w:rsidR="009755CB">
        <w:rPr>
          <w:rFonts w:cs="Arial"/>
          <w:szCs w:val="24"/>
        </w:rPr>
        <w:t xml:space="preserve"> </w:t>
      </w:r>
      <w:r w:rsidR="00602DF4">
        <w:rPr>
          <w:rFonts w:cs="Arial"/>
          <w:szCs w:val="24"/>
        </w:rPr>
        <w:t>courses,</w:t>
      </w:r>
      <w:r>
        <w:rPr>
          <w:rFonts w:cs="Arial"/>
          <w:szCs w:val="24"/>
        </w:rPr>
        <w:t xml:space="preserve"> clinical skills training, administrative induction and shadowing the outgoing FY1’</w:t>
      </w:r>
      <w:r w:rsidR="00602DF4">
        <w:rPr>
          <w:rFonts w:cs="Arial"/>
          <w:szCs w:val="24"/>
        </w:rPr>
        <w:t xml:space="preserve">. </w:t>
      </w:r>
      <w:r w:rsidR="009755CB">
        <w:rPr>
          <w:rFonts w:cs="Arial"/>
          <w:szCs w:val="24"/>
        </w:rPr>
        <w:t>At this pre-registration phase</w:t>
      </w:r>
      <w:r w:rsidR="00F662A4">
        <w:rPr>
          <w:rFonts w:cs="Arial"/>
          <w:szCs w:val="24"/>
        </w:rPr>
        <w:t>,</w:t>
      </w:r>
      <w:r w:rsidR="009755CB">
        <w:rPr>
          <w:rFonts w:cs="Arial"/>
          <w:szCs w:val="24"/>
        </w:rPr>
        <w:t xml:space="preserve"> they were unable to prescribe. Most graduates were fr</w:t>
      </w:r>
      <w:r w:rsidR="002B0D3A">
        <w:rPr>
          <w:rFonts w:cs="Arial"/>
          <w:szCs w:val="24"/>
        </w:rPr>
        <w:t>o</w:t>
      </w:r>
      <w:r w:rsidR="009755CB">
        <w:rPr>
          <w:rFonts w:cs="Arial"/>
          <w:szCs w:val="24"/>
        </w:rPr>
        <w:t xml:space="preserve">m London medical schools (n = 44), with the rest unspecified (n=6). </w:t>
      </w:r>
      <w:r>
        <w:rPr>
          <w:rFonts w:cs="Arial"/>
          <w:szCs w:val="24"/>
        </w:rPr>
        <w:t xml:space="preserve">Data on </w:t>
      </w:r>
      <w:r>
        <w:rPr>
          <w:rFonts w:cs="Arial"/>
          <w:szCs w:val="24"/>
        </w:rPr>
        <w:lastRenderedPageBreak/>
        <w:t xml:space="preserve">graduate perceptions collected through </w:t>
      </w:r>
      <w:r w:rsidR="00173DE4">
        <w:rPr>
          <w:rFonts w:cs="Arial"/>
          <w:szCs w:val="24"/>
        </w:rPr>
        <w:t>focus group</w:t>
      </w:r>
      <w:r>
        <w:rPr>
          <w:rFonts w:cs="Arial"/>
          <w:szCs w:val="24"/>
        </w:rPr>
        <w:t>s and questionnaires were conducted at the start, the end</w:t>
      </w:r>
      <w:r w:rsidR="00F662A4">
        <w:rPr>
          <w:rFonts w:cs="Arial"/>
          <w:szCs w:val="24"/>
        </w:rPr>
        <w:t>,</w:t>
      </w:r>
      <w:r>
        <w:rPr>
          <w:rFonts w:cs="Arial"/>
          <w:szCs w:val="24"/>
        </w:rPr>
        <w:t xml:space="preserve"> and one month following the programme. </w:t>
      </w:r>
    </w:p>
    <w:p w14:paraId="757A2124" w14:textId="1831CA69" w:rsidR="005A5835" w:rsidRDefault="00CA1C02" w:rsidP="00CA1C02">
      <w:pPr>
        <w:rPr>
          <w:rFonts w:cs="Arial"/>
          <w:szCs w:val="24"/>
        </w:rPr>
      </w:pPr>
      <w:r>
        <w:rPr>
          <w:rFonts w:cs="Arial"/>
          <w:szCs w:val="24"/>
        </w:rPr>
        <w:t xml:space="preserve">The team report increased confidence following the programme and into FY1, with shadowing and emergency care rated the most valued tasks. Shadowing did show variation and </w:t>
      </w:r>
      <w:r w:rsidR="00F662A4">
        <w:rPr>
          <w:rFonts w:cs="Arial"/>
          <w:szCs w:val="24"/>
        </w:rPr>
        <w:t>clinical skills</w:t>
      </w:r>
      <w:r w:rsidR="00693688">
        <w:rPr>
          <w:rFonts w:cs="Arial"/>
          <w:szCs w:val="24"/>
        </w:rPr>
        <w:t xml:space="preserve"> training was</w:t>
      </w:r>
      <w:r>
        <w:rPr>
          <w:rFonts w:cs="Arial"/>
          <w:szCs w:val="24"/>
        </w:rPr>
        <w:t xml:space="preserve"> more inconsistent. </w:t>
      </w:r>
      <w:r w:rsidR="002B0D3A">
        <w:rPr>
          <w:rFonts w:cs="Arial"/>
          <w:szCs w:val="24"/>
        </w:rPr>
        <w:t>T</w:t>
      </w:r>
      <w:r w:rsidR="00BC43E0">
        <w:rPr>
          <w:rFonts w:cs="Arial"/>
          <w:szCs w:val="24"/>
        </w:rPr>
        <w:t xml:space="preserve">hematic analysis </w:t>
      </w:r>
      <w:r w:rsidR="002B0D3A">
        <w:rPr>
          <w:rFonts w:cs="Arial"/>
          <w:szCs w:val="24"/>
        </w:rPr>
        <w:t xml:space="preserve">of </w:t>
      </w:r>
      <w:r w:rsidR="00173DE4">
        <w:rPr>
          <w:rFonts w:cs="Arial"/>
          <w:szCs w:val="24"/>
        </w:rPr>
        <w:t>focus group</w:t>
      </w:r>
      <w:r w:rsidR="002B0D3A">
        <w:rPr>
          <w:rFonts w:cs="Arial"/>
          <w:szCs w:val="24"/>
        </w:rPr>
        <w:t xml:space="preserve"> data </w:t>
      </w:r>
      <w:r w:rsidR="00BC43E0">
        <w:rPr>
          <w:rFonts w:cs="Arial"/>
          <w:szCs w:val="24"/>
        </w:rPr>
        <w:t>revealed concerns about ‘not coping clinically’ with ‘hands</w:t>
      </w:r>
      <w:r w:rsidR="00F662A4">
        <w:rPr>
          <w:rFonts w:cs="Arial"/>
          <w:szCs w:val="24"/>
        </w:rPr>
        <w:t>-</w:t>
      </w:r>
      <w:r w:rsidR="00BC43E0">
        <w:rPr>
          <w:rFonts w:cs="Arial"/>
          <w:szCs w:val="24"/>
        </w:rPr>
        <w:t xml:space="preserve">on work’ the ‘responsibility’ and being ‘alone’. </w:t>
      </w:r>
      <w:r>
        <w:rPr>
          <w:rFonts w:cs="Arial"/>
          <w:szCs w:val="24"/>
        </w:rPr>
        <w:t xml:space="preserve">One suggestion was that responsibility could be increased during shadowing to help support the transition to FY1. </w:t>
      </w:r>
      <w:r w:rsidR="00BC43E0">
        <w:rPr>
          <w:rFonts w:cs="Arial"/>
          <w:szCs w:val="24"/>
        </w:rPr>
        <w:t xml:space="preserve">A solution suggested </w:t>
      </w:r>
      <w:r w:rsidR="00F662A4">
        <w:rPr>
          <w:rFonts w:cs="Arial"/>
          <w:szCs w:val="24"/>
        </w:rPr>
        <w:t xml:space="preserve">by </w:t>
      </w:r>
      <w:r w:rsidR="00BC43E0">
        <w:rPr>
          <w:rFonts w:cs="Arial"/>
          <w:szCs w:val="24"/>
        </w:rPr>
        <w:t xml:space="preserve">graduates was mirroring some international medical schools </w:t>
      </w:r>
      <w:r w:rsidR="002B0D3A">
        <w:rPr>
          <w:rFonts w:cs="Arial"/>
          <w:szCs w:val="24"/>
        </w:rPr>
        <w:t xml:space="preserve">and UK nurses </w:t>
      </w:r>
      <w:r w:rsidR="00BC43E0">
        <w:rPr>
          <w:rFonts w:cs="Arial"/>
          <w:szCs w:val="24"/>
        </w:rPr>
        <w:t xml:space="preserve">where final year students are responsible for patients as a ‘caseload’. </w:t>
      </w:r>
      <w:r w:rsidR="005D252E">
        <w:rPr>
          <w:rFonts w:cs="Arial"/>
          <w:szCs w:val="24"/>
        </w:rPr>
        <w:t xml:space="preserve">They suggested ‘obligatory and steadily increased responsibility as a senior medical student was the best way to support the transition’ to FY1 </w:t>
      </w:r>
      <w:r w:rsidR="005D252E">
        <w:rPr>
          <w:rFonts w:cs="Arial"/>
          <w:szCs w:val="24"/>
        </w:rPr>
        <w:fldChar w:fldCharType="begin"/>
      </w:r>
      <w:r w:rsidR="005D252E">
        <w:rPr>
          <w:rFonts w:cs="Arial"/>
          <w:szCs w:val="24"/>
        </w:rPr>
        <w:instrText xml:space="preserve"> ADDIN EN.CITE &lt;EndNote&gt;&lt;Cite&gt;&lt;Author&gt;Berridge&lt;/Author&gt;&lt;Year&gt;2007&lt;/Year&gt;&lt;IDText&gt;Bridging the gap: supporting the transition from medical student to practising doctor--a two-week preparation programme after graduation&lt;/IDText&gt;&lt;DisplayText&gt;(Berridge et al., 2007)&lt;/DisplayText&gt;&lt;record&gt;&lt;dates&gt;&lt;pub-dates&gt;&lt;date&gt;Mar&lt;/date&gt;&lt;/pub-dates&gt;&lt;year&gt;2007&lt;/year&gt;&lt;/dates&gt;&lt;keywords&gt;&lt;keyword&gt;Clinical Competence&lt;/keyword&gt;&lt;keyword&gt;Education, Medical&lt;/keyword&gt;&lt;keyword&gt;Emergency Medical Services&lt;/keyword&gt;&lt;keyword&gt;Focus Groups&lt;/keyword&gt;&lt;keyword&gt;Humans&lt;/keyword&gt;&lt;keyword&gt;Life Support Care&lt;/keyword&gt;&lt;keyword&gt;Physicians&lt;/keyword&gt;&lt;keyword&gt;Professional Practice&lt;/keyword&gt;&lt;keyword&gt;Professional Role&lt;/keyword&gt;&lt;keyword&gt;Self Concept&lt;/keyword&gt;&lt;keyword&gt;Social Responsibility&lt;/keyword&gt;&lt;keyword&gt;Students, Medical&lt;/keyword&gt;&lt;keyword&gt;Surveys and Questionnaires&lt;/keyword&gt;&lt;/keywords&gt;&lt;urls&gt;&lt;related-urls&gt;&lt;url&gt;http://www.ncbi.nlm.nih.gov/pubmed/17701621&lt;/url&gt;&lt;/related-urls&gt;&lt;/urls&gt;&lt;isbn&gt;1466-187X&lt;/isbn&gt;&lt;titles&gt;&lt;title&gt;Bridging the gap: supporting the transition from medical student to practising doctor--a two-week preparation programme after graduation&lt;/title&gt;&lt;secondary-title&gt;Med Teach&lt;/secondary-title&gt;&lt;/titles&gt;&lt;pages&gt;119-27&lt;/pages&gt;&lt;number&gt;2-3&lt;/number&gt;&lt;contributors&gt;&lt;authors&gt;&lt;author&gt;Berridge, E. J.&lt;/author&gt;&lt;author&gt;Freeth, D.&lt;/author&gt;&lt;author&gt;Sharpe, J.&lt;/author&gt;&lt;author&gt;Roberts, C. M.&lt;/author&gt;&lt;/authors&gt;&lt;/contributors&gt;&lt;language&gt;eng&lt;/language&gt;&lt;added-date format="utc"&gt;1456222396&lt;/added-date&gt;&lt;ref-type name="Journal Article"&gt;17&lt;/ref-type&gt;&lt;rec-number&gt;195&lt;/rec-number&gt;&lt;last-updated-date format="utc"&gt;1456222396&lt;/last-updated-date&gt;&lt;accession-num&gt;17701621&lt;/accession-num&gt;&lt;electronic-resource-num&gt;10.1080/01421590701310897&lt;/electronic-resource-num&gt;&lt;volume&gt;29&lt;/volume&gt;&lt;/record&gt;&lt;/Cite&gt;&lt;/EndNote&gt;</w:instrText>
      </w:r>
      <w:r w:rsidR="005D252E">
        <w:rPr>
          <w:rFonts w:cs="Arial"/>
          <w:szCs w:val="24"/>
        </w:rPr>
        <w:fldChar w:fldCharType="separate"/>
      </w:r>
      <w:r w:rsidR="005D252E">
        <w:rPr>
          <w:rFonts w:cs="Arial"/>
          <w:noProof/>
          <w:szCs w:val="24"/>
        </w:rPr>
        <w:t>(Berridge et al., 2007)</w:t>
      </w:r>
      <w:r w:rsidR="005D252E">
        <w:rPr>
          <w:rFonts w:cs="Arial"/>
          <w:szCs w:val="24"/>
        </w:rPr>
        <w:fldChar w:fldCharType="end"/>
      </w:r>
      <w:r w:rsidR="005D252E">
        <w:rPr>
          <w:rFonts w:cs="Arial"/>
          <w:szCs w:val="24"/>
        </w:rPr>
        <w:t xml:space="preserve">. </w:t>
      </w:r>
      <w:r w:rsidR="003C514F">
        <w:rPr>
          <w:rFonts w:cs="Arial"/>
          <w:szCs w:val="24"/>
        </w:rPr>
        <w:t xml:space="preserve">Hirsh et al. (2014) echo this. </w:t>
      </w:r>
      <w:r w:rsidR="00BC43E0">
        <w:rPr>
          <w:rFonts w:cs="Arial"/>
          <w:szCs w:val="24"/>
        </w:rPr>
        <w:t xml:space="preserve">Graduates reported the need </w:t>
      </w:r>
      <w:r w:rsidR="002B0D3A">
        <w:rPr>
          <w:rFonts w:cs="Arial"/>
          <w:szCs w:val="24"/>
        </w:rPr>
        <w:t xml:space="preserve">for </w:t>
      </w:r>
      <w:r w:rsidR="005A5835">
        <w:rPr>
          <w:rFonts w:cs="Arial"/>
          <w:szCs w:val="24"/>
        </w:rPr>
        <w:t>authentic practi</w:t>
      </w:r>
      <w:r w:rsidR="00F662A4">
        <w:rPr>
          <w:rFonts w:cs="Arial"/>
          <w:szCs w:val="24"/>
        </w:rPr>
        <w:t>c</w:t>
      </w:r>
      <w:r w:rsidR="005A5835">
        <w:rPr>
          <w:rFonts w:cs="Arial"/>
          <w:szCs w:val="24"/>
        </w:rPr>
        <w:t xml:space="preserve">e </w:t>
      </w:r>
      <w:r w:rsidR="00697DEC">
        <w:rPr>
          <w:rFonts w:cs="Arial"/>
          <w:szCs w:val="24"/>
        </w:rPr>
        <w:t xml:space="preserve">with patients </w:t>
      </w:r>
      <w:r w:rsidR="002B0D3A">
        <w:rPr>
          <w:rFonts w:cs="Arial"/>
          <w:szCs w:val="24"/>
        </w:rPr>
        <w:t>and</w:t>
      </w:r>
      <w:r w:rsidR="00F662A4">
        <w:rPr>
          <w:rFonts w:cs="Arial"/>
          <w:szCs w:val="24"/>
        </w:rPr>
        <w:t xml:space="preserve"> their</w:t>
      </w:r>
      <w:r w:rsidR="002B0D3A">
        <w:rPr>
          <w:rFonts w:cs="Arial"/>
          <w:szCs w:val="24"/>
        </w:rPr>
        <w:t xml:space="preserve"> development </w:t>
      </w:r>
      <w:r w:rsidR="00BC43E0">
        <w:rPr>
          <w:rFonts w:cs="Arial"/>
          <w:szCs w:val="24"/>
        </w:rPr>
        <w:t>of non-technical skills</w:t>
      </w:r>
      <w:r w:rsidR="002B0D3A">
        <w:rPr>
          <w:rFonts w:cs="Arial"/>
          <w:szCs w:val="24"/>
        </w:rPr>
        <w:t xml:space="preserve"> (</w:t>
      </w:r>
      <w:r w:rsidR="00BC43E0">
        <w:rPr>
          <w:rFonts w:cs="Arial"/>
          <w:szCs w:val="24"/>
        </w:rPr>
        <w:t>‘prioritisation, clinical decision-making and workload management’</w:t>
      </w:r>
      <w:r w:rsidR="002B0D3A">
        <w:rPr>
          <w:rFonts w:cs="Arial"/>
          <w:szCs w:val="24"/>
        </w:rPr>
        <w:t>)</w:t>
      </w:r>
      <w:r w:rsidR="00BC43E0">
        <w:rPr>
          <w:rFonts w:cs="Arial"/>
          <w:szCs w:val="24"/>
        </w:rPr>
        <w:t>. The importance o</w:t>
      </w:r>
      <w:r w:rsidR="00602DF4">
        <w:rPr>
          <w:rFonts w:cs="Arial"/>
          <w:szCs w:val="24"/>
        </w:rPr>
        <w:t>f environmental familiarisation</w:t>
      </w:r>
      <w:r w:rsidR="00BC43E0">
        <w:rPr>
          <w:rFonts w:cs="Arial"/>
          <w:szCs w:val="24"/>
        </w:rPr>
        <w:t xml:space="preserve"> was also highlighted</w:t>
      </w:r>
      <w:r w:rsidR="003C514F">
        <w:rPr>
          <w:rFonts w:cs="Arial"/>
          <w:szCs w:val="24"/>
        </w:rPr>
        <w:t xml:space="preserve"> </w:t>
      </w:r>
      <w:r w:rsidR="003C514F">
        <w:rPr>
          <w:rFonts w:cs="Arial"/>
          <w:szCs w:val="24"/>
        </w:rPr>
        <w:fldChar w:fldCharType="begin"/>
      </w:r>
      <w:r w:rsidR="003C514F">
        <w:rPr>
          <w:rFonts w:cs="Arial"/>
          <w:szCs w:val="24"/>
        </w:rPr>
        <w:instrText xml:space="preserve"> ADDIN EN.CITE &lt;EndNote&gt;&lt;Cite&gt;&lt;Author&gt;Berridge&lt;/Author&gt;&lt;Year&gt;2007&lt;/Year&gt;&lt;IDText&gt;Bridging the gap: supporting the transition from medical student to practising doctor--a two-week preparation programme after graduation&lt;/IDText&gt;&lt;DisplayText&gt;(Berridge et al., 2007)&lt;/DisplayText&gt;&lt;record&gt;&lt;dates&gt;&lt;pub-dates&gt;&lt;date&gt;Mar&lt;/date&gt;&lt;/pub-dates&gt;&lt;year&gt;2007&lt;/year&gt;&lt;/dates&gt;&lt;keywords&gt;&lt;keyword&gt;Clinical Competence&lt;/keyword&gt;&lt;keyword&gt;Education, Medical&lt;/keyword&gt;&lt;keyword&gt;Emergency Medical Services&lt;/keyword&gt;&lt;keyword&gt;Focus Groups&lt;/keyword&gt;&lt;keyword&gt;Humans&lt;/keyword&gt;&lt;keyword&gt;Life Support Care&lt;/keyword&gt;&lt;keyword&gt;Physicians&lt;/keyword&gt;&lt;keyword&gt;Professional Practice&lt;/keyword&gt;&lt;keyword&gt;Professional Role&lt;/keyword&gt;&lt;keyword&gt;Self Concept&lt;/keyword&gt;&lt;keyword&gt;Social Responsibility&lt;/keyword&gt;&lt;keyword&gt;Students, Medical&lt;/keyword&gt;&lt;keyword&gt;Surveys and Questionnaires&lt;/keyword&gt;&lt;/keywords&gt;&lt;urls&gt;&lt;related-urls&gt;&lt;url&gt;http://www.ncbi.nlm.nih.gov/pubmed/17701621&lt;/url&gt;&lt;/related-urls&gt;&lt;/urls&gt;&lt;isbn&gt;1466-187X&lt;/isbn&gt;&lt;titles&gt;&lt;title&gt;Bridging the gap: supporting the transition from medical student to practising doctor--a two-week preparation programme after graduation&lt;/title&gt;&lt;secondary-title&gt;Med Teach&lt;/secondary-title&gt;&lt;/titles&gt;&lt;pages&gt;119-27&lt;/pages&gt;&lt;number&gt;2-3&lt;/number&gt;&lt;contributors&gt;&lt;authors&gt;&lt;author&gt;Berridge, E. J.&lt;/author&gt;&lt;author&gt;Freeth, D.&lt;/author&gt;&lt;author&gt;Sharpe, J.&lt;/author&gt;&lt;author&gt;Roberts, C. M.&lt;/author&gt;&lt;/authors&gt;&lt;/contributors&gt;&lt;language&gt;eng&lt;/language&gt;&lt;added-date format="utc"&gt;1456222396&lt;/added-date&gt;&lt;ref-type name="Journal Article"&gt;17&lt;/ref-type&gt;&lt;rec-number&gt;195&lt;/rec-number&gt;&lt;last-updated-date format="utc"&gt;1456222396&lt;/last-updated-date&gt;&lt;accession-num&gt;17701621&lt;/accession-num&gt;&lt;electronic-resource-num&gt;10.1080/01421590701310897&lt;/electronic-resource-num&gt;&lt;volume&gt;29&lt;/volume&gt;&lt;/record&gt;&lt;/Cite&gt;&lt;/EndNote&gt;</w:instrText>
      </w:r>
      <w:r w:rsidR="003C514F">
        <w:rPr>
          <w:rFonts w:cs="Arial"/>
          <w:szCs w:val="24"/>
        </w:rPr>
        <w:fldChar w:fldCharType="separate"/>
      </w:r>
      <w:r w:rsidR="003C514F">
        <w:rPr>
          <w:rFonts w:cs="Arial"/>
          <w:noProof/>
          <w:szCs w:val="24"/>
        </w:rPr>
        <w:t>(Berridge et al., 2007)</w:t>
      </w:r>
      <w:r w:rsidR="003C514F">
        <w:rPr>
          <w:rFonts w:cs="Arial"/>
          <w:szCs w:val="24"/>
        </w:rPr>
        <w:fldChar w:fldCharType="end"/>
      </w:r>
      <w:r w:rsidR="003C514F">
        <w:rPr>
          <w:rFonts w:cs="Arial"/>
          <w:szCs w:val="24"/>
        </w:rPr>
        <w:t>.</w:t>
      </w:r>
      <w:r w:rsidR="00BC43E0">
        <w:rPr>
          <w:rFonts w:cs="Arial"/>
          <w:szCs w:val="24"/>
        </w:rPr>
        <w:t xml:space="preserve"> </w:t>
      </w:r>
    </w:p>
    <w:p w14:paraId="1F5C191B" w14:textId="77FDFF2B" w:rsidR="00053ABC" w:rsidRDefault="005A010A" w:rsidP="001F3E2D">
      <w:pPr>
        <w:rPr>
          <w:rFonts w:cs="Arial"/>
          <w:szCs w:val="24"/>
        </w:rPr>
      </w:pPr>
      <w:r>
        <w:rPr>
          <w:rFonts w:cs="Arial"/>
          <w:szCs w:val="24"/>
        </w:rPr>
        <w:t>The challenge appears to be standardising the exposure</w:t>
      </w:r>
      <w:r w:rsidR="00115108">
        <w:rPr>
          <w:rFonts w:cs="Arial"/>
          <w:szCs w:val="24"/>
        </w:rPr>
        <w:t xml:space="preserve"> and quality</w:t>
      </w:r>
      <w:r>
        <w:rPr>
          <w:rFonts w:cs="Arial"/>
          <w:szCs w:val="24"/>
        </w:rPr>
        <w:t xml:space="preserve"> </w:t>
      </w:r>
      <w:r w:rsidR="00115108">
        <w:rPr>
          <w:rFonts w:cs="Arial"/>
          <w:szCs w:val="24"/>
        </w:rPr>
        <w:t xml:space="preserve">during shadowing </w:t>
      </w:r>
      <w:r>
        <w:rPr>
          <w:rFonts w:cs="Arial"/>
          <w:szCs w:val="24"/>
        </w:rPr>
        <w:t xml:space="preserve">to the requirements set out by the GMC </w:t>
      </w:r>
      <w:r>
        <w:rPr>
          <w:rFonts w:cs="Arial"/>
          <w:szCs w:val="24"/>
        </w:rPr>
        <w:fldChar w:fldCharType="begin"/>
      </w:r>
      <w:r w:rsidR="00BB31A6">
        <w:rPr>
          <w:rFonts w:cs="Arial"/>
          <w:szCs w:val="24"/>
        </w:rPr>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Pr>
          <w:rFonts w:cs="Arial"/>
          <w:szCs w:val="24"/>
        </w:rPr>
        <w:fldChar w:fldCharType="separate"/>
      </w:r>
      <w:r w:rsidR="00EF30A5">
        <w:rPr>
          <w:rFonts w:cs="Arial"/>
          <w:noProof/>
          <w:szCs w:val="24"/>
        </w:rPr>
        <w:t>(</w:t>
      </w:r>
      <w:r w:rsidR="00BB31A6">
        <w:rPr>
          <w:rFonts w:cs="Arial"/>
          <w:noProof/>
          <w:szCs w:val="24"/>
        </w:rPr>
        <w:t>2009)</w:t>
      </w:r>
      <w:r>
        <w:rPr>
          <w:rFonts w:cs="Arial"/>
          <w:szCs w:val="24"/>
        </w:rPr>
        <w:fldChar w:fldCharType="end"/>
      </w:r>
      <w:r>
        <w:rPr>
          <w:rFonts w:cs="Arial"/>
          <w:szCs w:val="24"/>
        </w:rPr>
        <w:t>. However, i</w:t>
      </w:r>
      <w:r w:rsidRPr="00651616">
        <w:rPr>
          <w:rFonts w:cs="Arial"/>
          <w:szCs w:val="24"/>
        </w:rPr>
        <w:t>t is the</w:t>
      </w:r>
      <w:r w:rsidR="00F662A4">
        <w:rPr>
          <w:rFonts w:cs="Arial"/>
          <w:szCs w:val="24"/>
        </w:rPr>
        <w:t xml:space="preserve"> rare but important</w:t>
      </w:r>
      <w:r w:rsidRPr="00651616">
        <w:rPr>
          <w:rFonts w:cs="Arial"/>
          <w:szCs w:val="24"/>
        </w:rPr>
        <w:t xml:space="preserve"> acute emergencies that medical students rep</w:t>
      </w:r>
      <w:r w:rsidR="00115108">
        <w:rPr>
          <w:rFonts w:cs="Arial"/>
          <w:szCs w:val="24"/>
        </w:rPr>
        <w:t>ort need</w:t>
      </w:r>
      <w:r w:rsidR="00F662A4">
        <w:rPr>
          <w:rFonts w:cs="Arial"/>
          <w:szCs w:val="24"/>
        </w:rPr>
        <w:t>ing</w:t>
      </w:r>
      <w:r w:rsidR="00115108">
        <w:rPr>
          <w:rFonts w:cs="Arial"/>
          <w:szCs w:val="24"/>
        </w:rPr>
        <w:t xml:space="preserve"> further </w:t>
      </w:r>
      <w:r w:rsidR="00F662A4">
        <w:rPr>
          <w:rFonts w:cs="Arial"/>
          <w:szCs w:val="24"/>
        </w:rPr>
        <w:t>training</w:t>
      </w:r>
      <w:r w:rsidR="00115108">
        <w:rPr>
          <w:rFonts w:cs="Arial"/>
          <w:szCs w:val="24"/>
        </w:rPr>
        <w:t xml:space="preserve"> in</w:t>
      </w:r>
      <w:r w:rsidR="00F662A4">
        <w:rPr>
          <w:rFonts w:cs="Arial"/>
          <w:szCs w:val="24"/>
        </w:rPr>
        <w:t>,</w:t>
      </w:r>
      <w:r w:rsidR="00115108">
        <w:rPr>
          <w:rFonts w:cs="Arial"/>
          <w:szCs w:val="24"/>
        </w:rPr>
        <w:t xml:space="preserve"> as well as the more complex technical skills</w:t>
      </w:r>
      <w:r w:rsidR="00602DF4">
        <w:rPr>
          <w:rFonts w:cs="Arial"/>
          <w:szCs w:val="24"/>
        </w:rPr>
        <w:t xml:space="preserve"> </w:t>
      </w:r>
      <w:r w:rsidR="00602DF4">
        <w:rPr>
          <w:rFonts w:cs="Arial"/>
          <w:szCs w:val="24"/>
        </w:rPr>
        <w:fldChar w:fldCharType="begin"/>
      </w:r>
      <w:r w:rsidR="00602DF4">
        <w:rPr>
          <w:rFonts w:cs="Arial"/>
          <w:szCs w:val="24"/>
        </w:rPr>
        <w:instrText xml:space="preserve"> ADDIN EN.CITE &lt;EndNote&gt;&lt;Cite&gt;&lt;Author&gt;Tallentire&lt;/Author&gt;&lt;Year&gt;2012&lt;/Year&gt;&lt;IDText&gt;The preparedness of UK graduates in acute care: a systematic literature review&lt;/IDText&gt;&lt;DisplayText&gt;(Tallentire et al., 2012b)&lt;/DisplayText&gt;&lt;record&gt;&lt;dates&gt;&lt;pub-dates&gt;&lt;date&gt;Jul&lt;/date&gt;&lt;/pub-dates&gt;&lt;year&gt;2012&lt;/year&gt;&lt;/dates&gt;&lt;keywords&gt;&lt;keyword&gt;Attitude of Health Personnel&lt;/keyword&gt;&lt;keyword&gt;Clinical Competence&lt;/keyword&gt;&lt;keyword&gt;Critical Care&lt;/keyword&gt;&lt;keyword&gt;Education, Medical, Graduate&lt;/keyword&gt;&lt;keyword&gt;Educational Measurement&lt;/keyword&gt;&lt;keyword&gt;Female&lt;/keyword&gt;&lt;keyword&gt;Great Britain&lt;/keyword&gt;&lt;keyword&gt;Humans&lt;/keyword&gt;&lt;keyword&gt;Judgment&lt;/keyword&gt;&lt;keyword&gt;Male&lt;/keyword&gt;&lt;keyword&gt;Students, Medical&lt;/keyword&gt;&lt;keyword&gt;Surveys and Questionnaires&lt;/keyword&gt;&lt;/keywords&gt;&lt;urls&gt;&lt;related-urls&gt;&lt;url&gt;http://www.ncbi.nlm.nih.gov/pubmed/22167809&lt;/url&gt;&lt;/related-urls&gt;&lt;/urls&gt;&lt;isbn&gt;1469-0756&lt;/isbn&gt;&lt;titles&gt;&lt;title&gt;The preparedness of UK graduates in acute care: a systematic literature review&lt;/title&gt;&lt;secondary-title&gt;Postgrad Med J&lt;/secondary-title&gt;&lt;/titles&gt;&lt;pages&gt;365-71&lt;/pages&gt;&lt;number&gt;1041&lt;/number&gt;&lt;contributors&gt;&lt;authors&gt;&lt;author&gt;Tallentire, V. R.&lt;/author&gt;&lt;author&gt;Smith, S. E.&lt;/author&gt;&lt;author&gt;Skinner, J.&lt;/author&gt;&lt;author&gt;Cameron, H. S.&lt;/author&gt;&lt;/authors&gt;&lt;/contributors&gt;&lt;language&gt;eng&lt;/language&gt;&lt;added-date format="utc"&gt;1455617409&lt;/added-date&gt;&lt;ref-type name="Journal Article"&gt;17&lt;/ref-type&gt;&lt;rec-number&gt;163&lt;/rec-number&gt;&lt;last-updated-date format="utc"&gt;1455617409&lt;/last-updated-date&gt;&lt;accession-num&gt;22167809&lt;/accession-num&gt;&lt;electronic-resource-num&gt;10.1136/postgradmedj-2011-130232&lt;/electronic-resource-num&gt;&lt;volume&gt;88&lt;/volume&gt;&lt;/record&gt;&lt;/Cite&gt;&lt;/EndNote&gt;</w:instrText>
      </w:r>
      <w:r w:rsidR="00602DF4">
        <w:rPr>
          <w:rFonts w:cs="Arial"/>
          <w:szCs w:val="24"/>
        </w:rPr>
        <w:fldChar w:fldCharType="separate"/>
      </w:r>
      <w:r w:rsidR="00602DF4">
        <w:rPr>
          <w:rFonts w:cs="Arial"/>
          <w:noProof/>
          <w:szCs w:val="24"/>
        </w:rPr>
        <w:t>(Tallentire et al., 2012b)</w:t>
      </w:r>
      <w:r w:rsidR="00602DF4">
        <w:rPr>
          <w:rFonts w:cs="Arial"/>
          <w:szCs w:val="24"/>
        </w:rPr>
        <w:fldChar w:fldCharType="end"/>
      </w:r>
      <w:r w:rsidR="00115108">
        <w:rPr>
          <w:rFonts w:cs="Arial"/>
          <w:szCs w:val="24"/>
        </w:rPr>
        <w:t>.</w:t>
      </w:r>
    </w:p>
    <w:p w14:paraId="13F0EEF1" w14:textId="61E16748" w:rsidR="00053ABC" w:rsidRDefault="00F662A4" w:rsidP="00053ABC">
      <w:r>
        <w:lastRenderedPageBreak/>
        <w:t>The q</w:t>
      </w:r>
      <w:r w:rsidR="00053ABC">
        <w:t xml:space="preserve">uality of life of junior doctors and </w:t>
      </w:r>
      <w:r>
        <w:t xml:space="preserve">their </w:t>
      </w:r>
      <w:r w:rsidR="00053ABC">
        <w:t xml:space="preserve">mental health and wellbeing is affected by the feeling of being under pressure and overwhelmed which leads to stress </w:t>
      </w:r>
      <w:r w:rsidR="00053ABC">
        <w:fldChar w:fldCharType="begin"/>
      </w:r>
      <w:r w:rsidR="00053ABC">
        <w:instrText xml:space="preserve"> ADDIN EN.CITE &lt;EndNote&gt;&lt;Cite&gt;&lt;Author&gt;Paice&lt;/Author&gt;&lt;Year&gt;2002&lt;/Year&gt;&lt;IDText&gt;Stressful incidents, stress and coping strategies in the pre-registration house officer year&lt;/IDText&gt;&lt;DisplayText&gt;(Paice et al., 2002)&lt;/DisplayText&gt;&lt;record&gt;&lt;dates&gt;&lt;pub-dates&gt;&lt;date&gt;Jan&lt;/date&gt;&lt;/pub-dates&gt;&lt;year&gt;2002&lt;/year&gt;&lt;/dates&gt;&lt;keywords&gt;&lt;keyword&gt;Adaptation, Psychological&lt;/keyword&gt;&lt;keyword&gt;Anxiety&lt;/keyword&gt;&lt;keyword&gt;Cohort Studies&lt;/keyword&gt;&lt;keyword&gt;Female&lt;/keyword&gt;&lt;keyword&gt;Great Britain&lt;/keyword&gt;&lt;keyword&gt;Humans&lt;/keyword&gt;&lt;keyword&gt;Interpersonal Relations&lt;/keyword&gt;&lt;keyword&gt;Male&lt;/keyword&gt;&lt;keyword&gt;Medical Staff, Hospital&lt;/keyword&gt;&lt;keyword&gt;Stress, Psychological&lt;/keyword&gt;&lt;keyword&gt;Surveys and Questionnaires&lt;/keyword&gt;&lt;/keywords&gt;&lt;urls&gt;&lt;related-urls&gt;&lt;url&gt;http://www.ncbi.nlm.nih.gov/pubmed/11849525&lt;/url&gt;&lt;/related-urls&gt;&lt;/urls&gt;&lt;isbn&gt;0308-0110&lt;/isbn&gt;&lt;titles&gt;&lt;title&gt;Stressful incidents, stress and coping strategies in the pre-registration house officer year&lt;/title&gt;&lt;secondary-title&gt;Med Educ&lt;/secondary-title&gt;&lt;/titles&gt;&lt;pages&gt;56-65&lt;/pages&gt;&lt;number&gt;1&lt;/number&gt;&lt;contributors&gt;&lt;authors&gt;&lt;author&gt;Paice, E.&lt;/author&gt;&lt;author&gt;Rutter, H.&lt;/author&gt;&lt;author&gt;Wetherell, M.&lt;/author&gt;&lt;author&gt;Winder, B.&lt;/author&gt;&lt;author&gt;McManus, I. C.&lt;/author&gt;&lt;/authors&gt;&lt;/contributors&gt;&lt;language&gt;eng&lt;/language&gt;&lt;added-date format="utc"&gt;1455789999&lt;/added-date&gt;&lt;ref-type name="Journal Article"&gt;17&lt;/ref-type&gt;&lt;rec-number&gt;185&lt;/rec-number&gt;&lt;last-updated-date format="utc"&gt;1455789999&lt;/last-updated-date&gt;&lt;accession-num&gt;11849525&lt;/accession-num&gt;&lt;volume&gt;36&lt;/volume&gt;&lt;/record&gt;&lt;/Cite&gt;&lt;/EndNote&gt;</w:instrText>
      </w:r>
      <w:r w:rsidR="00053ABC">
        <w:fldChar w:fldCharType="separate"/>
      </w:r>
      <w:r w:rsidR="00053ABC">
        <w:rPr>
          <w:noProof/>
        </w:rPr>
        <w:t>(Paice et al., 2002)</w:t>
      </w:r>
      <w:r w:rsidR="00053ABC">
        <w:fldChar w:fldCharType="end"/>
      </w:r>
      <w:r w:rsidR="00053ABC">
        <w:t>. This study highlights</w:t>
      </w:r>
      <w:r>
        <w:t xml:space="preserve"> a</w:t>
      </w:r>
      <w:r w:rsidR="00053ABC">
        <w:t xml:space="preserve"> lac</w:t>
      </w:r>
      <w:r>
        <w:t>k of emotional preparedness when</w:t>
      </w:r>
      <w:r w:rsidR="00053ABC">
        <w:t xml:space="preserve"> dealing with death and </w:t>
      </w:r>
      <w:r>
        <w:t>with understanding personal</w:t>
      </w:r>
      <w:r w:rsidR="00053ABC">
        <w:t xml:space="preserve"> behaviours </w:t>
      </w:r>
      <w:r w:rsidR="00BE1210">
        <w:t xml:space="preserve">when </w:t>
      </w:r>
      <w:r w:rsidR="00053ABC">
        <w:t>stress</w:t>
      </w:r>
      <w:r w:rsidR="00BE1210">
        <w:t>ed</w:t>
      </w:r>
      <w:r w:rsidR="00053ABC">
        <w:t xml:space="preserve"> and ways to limit the effect of those on encounters with patients, relatives and team members. In</w:t>
      </w:r>
      <w:r w:rsidR="00BE1210">
        <w:t xml:space="preserve"> the</w:t>
      </w:r>
      <w:r w:rsidR="00053ABC">
        <w:t xml:space="preserve"> previous studies described above, the reported problem has been with the transition to FY1 from medical school, howev</w:t>
      </w:r>
      <w:r w:rsidR="00E45BAA">
        <w:t xml:space="preserve">er this study reports </w:t>
      </w:r>
      <w:r w:rsidR="00053ABC">
        <w:t xml:space="preserve">that </w:t>
      </w:r>
      <w:r w:rsidR="00BE1210">
        <w:t xml:space="preserve">the </w:t>
      </w:r>
      <w:r w:rsidR="00053ABC">
        <w:t>most stressful incidents were ‘caused by organisational factors rather than making the transition from student to doctor’. It could be argued that they are all inter-related.</w:t>
      </w:r>
    </w:p>
    <w:p w14:paraId="2D9A4348" w14:textId="065E404D" w:rsidR="00055206" w:rsidRDefault="00053ABC" w:rsidP="00055206">
      <w:pPr>
        <w:rPr>
          <w:rFonts w:cs="Arial"/>
          <w:szCs w:val="24"/>
        </w:rPr>
      </w:pPr>
      <w:r w:rsidRPr="00B73772">
        <w:rPr>
          <w:rFonts w:cs="Arial"/>
          <w:szCs w:val="24"/>
        </w:rPr>
        <w:t>Tallentire et al</w:t>
      </w:r>
      <w:r>
        <w:rPr>
          <w:rFonts w:cs="Arial"/>
          <w:szCs w:val="24"/>
        </w:rPr>
        <w:t>. (2011b)</w:t>
      </w:r>
      <w:r w:rsidR="002315C2">
        <w:rPr>
          <w:rFonts w:cs="Arial"/>
          <w:szCs w:val="24"/>
        </w:rPr>
        <w:t xml:space="preserve"> have</w:t>
      </w:r>
      <w:r w:rsidRPr="00B73772">
        <w:rPr>
          <w:rFonts w:cs="Arial"/>
          <w:szCs w:val="24"/>
        </w:rPr>
        <w:t xml:space="preserve"> created a useful conceptual framework to illustrate the major influence</w:t>
      </w:r>
      <w:r w:rsidR="00BE1210">
        <w:rPr>
          <w:rFonts w:cs="Arial"/>
          <w:szCs w:val="24"/>
        </w:rPr>
        <w:t>s and their inter-relationships</w:t>
      </w:r>
      <w:r w:rsidRPr="00B73772">
        <w:rPr>
          <w:rFonts w:cs="Arial"/>
          <w:szCs w:val="24"/>
        </w:rPr>
        <w:t xml:space="preserve"> on the behaviour of newly qualified doctors caring f</w:t>
      </w:r>
      <w:r>
        <w:rPr>
          <w:rFonts w:cs="Arial"/>
          <w:szCs w:val="24"/>
        </w:rPr>
        <w:t>or acutely unwell patients. This</w:t>
      </w:r>
      <w:r w:rsidRPr="00B73772">
        <w:rPr>
          <w:rFonts w:cs="Arial"/>
          <w:szCs w:val="24"/>
        </w:rPr>
        <w:t xml:space="preserve"> is useful for planning interventions to help with improving prepar</w:t>
      </w:r>
      <w:r w:rsidR="009B45DE">
        <w:rPr>
          <w:rFonts w:cs="Arial"/>
          <w:szCs w:val="24"/>
        </w:rPr>
        <w:t>edness (see Appendix 13</w:t>
      </w:r>
      <w:r>
        <w:rPr>
          <w:rFonts w:cs="Arial"/>
          <w:szCs w:val="24"/>
        </w:rPr>
        <w:t>.</w:t>
      </w:r>
      <w:r w:rsidRPr="00B73772">
        <w:rPr>
          <w:rFonts w:cs="Arial"/>
          <w:szCs w:val="24"/>
        </w:rPr>
        <w:t>1)</w:t>
      </w:r>
      <w:r>
        <w:rPr>
          <w:rFonts w:cs="Arial"/>
          <w:szCs w:val="24"/>
        </w:rPr>
        <w:t>.</w:t>
      </w:r>
      <w:r w:rsidRPr="00053ABC">
        <w:rPr>
          <w:rFonts w:cs="Arial"/>
          <w:szCs w:val="24"/>
        </w:rPr>
        <w:t xml:space="preserve"> </w:t>
      </w:r>
      <w:r>
        <w:rPr>
          <w:rFonts w:cs="Arial"/>
          <w:szCs w:val="24"/>
        </w:rPr>
        <w:t>The team report on three main emergent t</w:t>
      </w:r>
      <w:r w:rsidR="00BE1210">
        <w:rPr>
          <w:rFonts w:cs="Arial"/>
          <w:szCs w:val="24"/>
        </w:rPr>
        <w:t>hemes: ‘Cognitive challenges’, ‘roles and responsibilities and ‘environmental factors’. ‘C</w:t>
      </w:r>
      <w:r w:rsidR="00E45BAA">
        <w:rPr>
          <w:rFonts w:cs="Arial"/>
          <w:szCs w:val="24"/>
        </w:rPr>
        <w:t>ognitive challenges’</w:t>
      </w:r>
      <w:r w:rsidR="00BE1210">
        <w:rPr>
          <w:rFonts w:cs="Arial"/>
          <w:szCs w:val="24"/>
        </w:rPr>
        <w:t xml:space="preserve"> including</w:t>
      </w:r>
      <w:r>
        <w:rPr>
          <w:rFonts w:cs="Arial"/>
          <w:szCs w:val="24"/>
        </w:rPr>
        <w:t xml:space="preserve"> </w:t>
      </w:r>
      <w:r w:rsidR="00BE1210">
        <w:rPr>
          <w:rFonts w:cs="Arial"/>
          <w:szCs w:val="24"/>
        </w:rPr>
        <w:t>the ‘transfer of knowledge in</w:t>
      </w:r>
      <w:r>
        <w:rPr>
          <w:rFonts w:cs="Arial"/>
          <w:szCs w:val="24"/>
        </w:rPr>
        <w:t>to practice’ and ‘</w:t>
      </w:r>
      <w:r w:rsidR="001D42C9">
        <w:rPr>
          <w:rFonts w:cs="Arial"/>
          <w:szCs w:val="24"/>
        </w:rPr>
        <w:t>decision-making</w:t>
      </w:r>
      <w:r>
        <w:rPr>
          <w:rFonts w:cs="Arial"/>
          <w:szCs w:val="24"/>
        </w:rPr>
        <w:t xml:space="preserve"> and uncertainty’. The juniors report knowing ‘what to do bu</w:t>
      </w:r>
      <w:r w:rsidR="00E45BAA">
        <w:rPr>
          <w:rFonts w:cs="Arial"/>
          <w:szCs w:val="24"/>
        </w:rPr>
        <w:t>t not how to actually do it’, lacking</w:t>
      </w:r>
      <w:r w:rsidR="00BE1210">
        <w:rPr>
          <w:rFonts w:cs="Arial"/>
          <w:szCs w:val="24"/>
        </w:rPr>
        <w:t xml:space="preserve"> work</w:t>
      </w:r>
      <w:r>
        <w:rPr>
          <w:rFonts w:cs="Arial"/>
          <w:szCs w:val="24"/>
        </w:rPr>
        <w:t>pl</w:t>
      </w:r>
      <w:r w:rsidR="00E45BAA">
        <w:rPr>
          <w:rFonts w:cs="Arial"/>
          <w:szCs w:val="24"/>
        </w:rPr>
        <w:t>ace</w:t>
      </w:r>
      <w:r w:rsidR="00BE1210">
        <w:rPr>
          <w:rFonts w:cs="Arial"/>
          <w:szCs w:val="24"/>
        </w:rPr>
        <w:t>-</w:t>
      </w:r>
      <w:r>
        <w:rPr>
          <w:rFonts w:cs="Arial"/>
          <w:szCs w:val="24"/>
        </w:rPr>
        <w:t>based practical understanding of equipment, procedures and the environment</w:t>
      </w:r>
      <w:r w:rsidR="003C514F">
        <w:rPr>
          <w:rFonts w:cs="Arial"/>
          <w:szCs w:val="24"/>
        </w:rPr>
        <w:t xml:space="preserve"> </w:t>
      </w:r>
      <w:r>
        <w:rPr>
          <w:rFonts w:cs="Arial"/>
          <w:szCs w:val="24"/>
        </w:rPr>
        <w:fldChar w:fldCharType="begin"/>
      </w:r>
      <w:r w:rsidR="00B159B8">
        <w:rPr>
          <w:rFonts w:cs="Arial"/>
          <w:szCs w:val="24"/>
        </w:rPr>
        <w:instrText xml:space="preserve"> ADDIN EN.CITE &lt;EndNote&gt;&lt;Cite&gt;&lt;Author&gt;Tallentire&lt;/Author&gt;&lt;Year&gt;2011&lt;/Year&gt;&lt;IDText&gt;Understanding the behaviour of newly qualified doctors in acute care contexts&lt;/IDText&gt;&lt;DisplayText&gt;(Tallentire et al., 2011a)&lt;/DisplayText&gt;&lt;record&gt;&lt;dates&gt;&lt;pub-dates&gt;&lt;date&gt;Oct&lt;/date&gt;&lt;/pub-dates&gt;&lt;year&gt;2011&lt;/year&gt;&lt;/dates&gt;&lt;urls&gt;&lt;related-urls&gt;&lt;url&gt;&amp;lt;Go to ISI&amp;gt;://WOS:000294865300006&lt;/url&gt;&lt;/related-urls&gt;&lt;/urls&gt;&lt;isbn&gt;0308-0110&lt;/isbn&gt;&lt;titles&gt;&lt;title&gt;Understanding the behaviour of newly qualified doctors in acute care contexts&lt;/title&gt;&lt;secondary-title&gt;Medical Education&lt;/secondary-title&gt;&lt;/titles&gt;&lt;pages&gt;995-1005&lt;/pages&gt;&lt;number&gt;10&lt;/number&gt;&lt;contributors&gt;&lt;authors&gt;&lt;author&gt;Tallentire, Victoria R.&lt;/author&gt;&lt;author&gt;Smith, Samantha E.&lt;/author&gt;&lt;author&gt;Skinner, Janet&lt;/author&gt;&lt;author&gt;Cameron, Helen S.&lt;/author&gt;&lt;/authors&gt;&lt;/contributors&gt;&lt;added-date format="utc"&gt;1391177816&lt;/added-date&gt;&lt;ref-type name="Journal Article"&gt;17&lt;/ref-type&gt;&lt;rec-number&gt;73&lt;/rec-number&gt;&lt;last-updated-date format="utc"&gt;1397403004&lt;/last-updated-date&gt;&lt;accession-num&gt;WOS:000294865300006&lt;/accession-num&gt;&lt;electronic-resource-num&gt;10.1111/j.1365-2923.2011.04024.x&lt;/electronic-resource-num&gt;&lt;volume&gt;45&lt;/volume&gt;&lt;/record&gt;&lt;/Cite&gt;&lt;/EndNote&gt;</w:instrText>
      </w:r>
      <w:r>
        <w:rPr>
          <w:rFonts w:cs="Arial"/>
          <w:szCs w:val="24"/>
        </w:rPr>
        <w:fldChar w:fldCharType="separate"/>
      </w:r>
      <w:r w:rsidR="00B159B8">
        <w:rPr>
          <w:rFonts w:cs="Arial"/>
          <w:noProof/>
          <w:szCs w:val="24"/>
        </w:rPr>
        <w:t>(Tallentire et al., 2011a)</w:t>
      </w:r>
      <w:r>
        <w:rPr>
          <w:rFonts w:cs="Arial"/>
          <w:szCs w:val="24"/>
        </w:rPr>
        <w:fldChar w:fldCharType="end"/>
      </w:r>
      <w:r>
        <w:rPr>
          <w:rFonts w:cs="Arial"/>
          <w:szCs w:val="24"/>
        </w:rPr>
        <w:t xml:space="preserve">. </w:t>
      </w:r>
      <w:r w:rsidR="003C514F">
        <w:rPr>
          <w:rFonts w:cs="Arial"/>
          <w:szCs w:val="24"/>
        </w:rPr>
        <w:t>T</w:t>
      </w:r>
      <w:r>
        <w:rPr>
          <w:rFonts w:cs="Arial"/>
          <w:szCs w:val="24"/>
        </w:rPr>
        <w:t>here was a feeling from juniors that unless they knew a patient’s diagnosis</w:t>
      </w:r>
      <w:r w:rsidR="00BE1210">
        <w:rPr>
          <w:rFonts w:cs="Arial"/>
          <w:szCs w:val="24"/>
        </w:rPr>
        <w:t>,</w:t>
      </w:r>
      <w:r>
        <w:rPr>
          <w:rFonts w:cs="Arial"/>
          <w:szCs w:val="24"/>
        </w:rPr>
        <w:t xml:space="preserve"> they felt ‘unfamiliar and uncomfortable’ starting treatment</w:t>
      </w:r>
      <w:r w:rsidR="003C514F">
        <w:rPr>
          <w:rFonts w:cs="Arial"/>
          <w:szCs w:val="24"/>
        </w:rPr>
        <w:t xml:space="preserve">. </w:t>
      </w:r>
      <w:r>
        <w:rPr>
          <w:rFonts w:cs="Arial"/>
          <w:szCs w:val="24"/>
        </w:rPr>
        <w:t xml:space="preserve">The juniors recognised behaviours they displayed to ‘avoid facing difficult decisions’. This level of cognitive </w:t>
      </w:r>
      <w:r w:rsidR="00693688">
        <w:rPr>
          <w:rFonts w:cs="Arial"/>
          <w:szCs w:val="24"/>
        </w:rPr>
        <w:t>bias</w:t>
      </w:r>
      <w:r>
        <w:rPr>
          <w:rFonts w:cs="Arial"/>
          <w:szCs w:val="24"/>
        </w:rPr>
        <w:t xml:space="preserve"> potentially has huge implications for patient safety. </w:t>
      </w:r>
    </w:p>
    <w:p w14:paraId="6E0A95F4" w14:textId="71D93E7F" w:rsidR="007A5AD1" w:rsidRDefault="007A5AD1" w:rsidP="005F454B">
      <w:pPr>
        <w:rPr>
          <w:rFonts w:cs="Arial"/>
          <w:szCs w:val="24"/>
        </w:rPr>
      </w:pPr>
      <w:r>
        <w:rPr>
          <w:rFonts w:cs="Arial"/>
          <w:szCs w:val="24"/>
        </w:rPr>
        <w:lastRenderedPageBreak/>
        <w:t xml:space="preserve">In terms of ‘roles and responsibilities’, a subheading of ‘acts and omissions’ </w:t>
      </w:r>
      <w:r w:rsidR="003C514F">
        <w:rPr>
          <w:rFonts w:cs="Arial"/>
          <w:szCs w:val="24"/>
        </w:rPr>
        <w:t>showed</w:t>
      </w:r>
      <w:r w:rsidR="00BE1210">
        <w:rPr>
          <w:rFonts w:cs="Arial"/>
          <w:szCs w:val="24"/>
        </w:rPr>
        <w:t xml:space="preserve"> that</w:t>
      </w:r>
      <w:r w:rsidR="003C514F">
        <w:rPr>
          <w:rFonts w:cs="Arial"/>
          <w:szCs w:val="24"/>
        </w:rPr>
        <w:t xml:space="preserve"> juniors </w:t>
      </w:r>
      <w:r>
        <w:rPr>
          <w:rFonts w:cs="Arial"/>
          <w:szCs w:val="24"/>
        </w:rPr>
        <w:t>were focused on ‘doing no harm’</w:t>
      </w:r>
      <w:r w:rsidR="00BE1210">
        <w:rPr>
          <w:rFonts w:cs="Arial"/>
          <w:szCs w:val="24"/>
        </w:rPr>
        <w:t>,</w:t>
      </w:r>
      <w:r>
        <w:rPr>
          <w:rFonts w:cs="Arial"/>
          <w:szCs w:val="24"/>
        </w:rPr>
        <w:t xml:space="preserve"> so reported being more comfortable doing nothing</w:t>
      </w:r>
      <w:r w:rsidR="00055206">
        <w:rPr>
          <w:rFonts w:cs="Arial"/>
          <w:szCs w:val="24"/>
        </w:rPr>
        <w:t xml:space="preserve"> in case a treatment made the patient worse</w:t>
      </w:r>
      <w:r>
        <w:rPr>
          <w:rFonts w:cs="Arial"/>
          <w:szCs w:val="24"/>
        </w:rPr>
        <w:t>. ‘Identity and expectations’ highlighted issues such as ‘judging themselves against own expectat</w:t>
      </w:r>
      <w:r w:rsidR="00064AAA">
        <w:rPr>
          <w:rFonts w:cs="Arial"/>
          <w:szCs w:val="24"/>
        </w:rPr>
        <w:t>ions and perceptio</w:t>
      </w:r>
      <w:r>
        <w:rPr>
          <w:rFonts w:cs="Arial"/>
          <w:szCs w:val="24"/>
        </w:rPr>
        <w:t>n</w:t>
      </w:r>
      <w:r w:rsidR="00064AAA">
        <w:rPr>
          <w:rFonts w:cs="Arial"/>
          <w:szCs w:val="24"/>
        </w:rPr>
        <w:t>s</w:t>
      </w:r>
      <w:r>
        <w:rPr>
          <w:rFonts w:cs="Arial"/>
          <w:szCs w:val="24"/>
        </w:rPr>
        <w:t xml:space="preserve"> of se</w:t>
      </w:r>
      <w:r w:rsidR="00507BE6">
        <w:rPr>
          <w:rFonts w:cs="Arial"/>
          <w:szCs w:val="24"/>
        </w:rPr>
        <w:t>niors</w:t>
      </w:r>
      <w:r w:rsidR="00BE1210">
        <w:rPr>
          <w:rFonts w:cs="Arial"/>
          <w:szCs w:val="24"/>
        </w:rPr>
        <w:t>’</w:t>
      </w:r>
      <w:r w:rsidR="00507BE6">
        <w:rPr>
          <w:rFonts w:cs="Arial"/>
          <w:szCs w:val="24"/>
        </w:rPr>
        <w:t xml:space="preserve"> expectations’. A concerning</w:t>
      </w:r>
      <w:r>
        <w:rPr>
          <w:rFonts w:cs="Arial"/>
          <w:szCs w:val="24"/>
        </w:rPr>
        <w:t xml:space="preserve"> ‘reluctance to call for help’ was described and attributed to </w:t>
      </w:r>
      <w:r w:rsidR="00064AAA">
        <w:rPr>
          <w:rFonts w:cs="Arial"/>
          <w:szCs w:val="24"/>
        </w:rPr>
        <w:t>‘role modelling’</w:t>
      </w:r>
      <w:r w:rsidR="00055206">
        <w:rPr>
          <w:rFonts w:cs="Arial"/>
          <w:szCs w:val="24"/>
        </w:rPr>
        <w:t>, f</w:t>
      </w:r>
      <w:r w:rsidR="00064AAA">
        <w:rPr>
          <w:rFonts w:cs="Arial"/>
          <w:szCs w:val="24"/>
        </w:rPr>
        <w:t>ear of being told off for not doing more</w:t>
      </w:r>
      <w:r w:rsidR="00BE1210">
        <w:rPr>
          <w:rFonts w:cs="Arial"/>
          <w:szCs w:val="24"/>
        </w:rPr>
        <w:t>,</w:t>
      </w:r>
      <w:r w:rsidR="00055206">
        <w:rPr>
          <w:rFonts w:cs="Arial"/>
          <w:szCs w:val="24"/>
        </w:rPr>
        <w:t xml:space="preserve"> and</w:t>
      </w:r>
      <w:r w:rsidR="00064AAA">
        <w:rPr>
          <w:rFonts w:cs="Arial"/>
          <w:szCs w:val="24"/>
        </w:rPr>
        <w:t xml:space="preserve"> fear of comparison with peers</w:t>
      </w:r>
      <w:r w:rsidR="00055206">
        <w:rPr>
          <w:rFonts w:cs="Arial"/>
          <w:szCs w:val="24"/>
        </w:rPr>
        <w:t xml:space="preserve"> </w:t>
      </w:r>
      <w:r w:rsidR="00064AAA">
        <w:rPr>
          <w:rFonts w:cs="Arial"/>
          <w:szCs w:val="24"/>
        </w:rPr>
        <w:fldChar w:fldCharType="begin"/>
      </w:r>
      <w:r w:rsidR="00B159B8">
        <w:rPr>
          <w:rFonts w:cs="Arial"/>
          <w:szCs w:val="24"/>
        </w:rPr>
        <w:instrText xml:space="preserve"> ADDIN EN.CITE &lt;EndNote&gt;&lt;Cite&gt;&lt;Author&gt;Tallentire&lt;/Author&gt;&lt;Year&gt;2011&lt;/Year&gt;&lt;IDText&gt;Understanding the behaviour of newly qualified doctors in acute care contexts&lt;/IDText&gt;&lt;DisplayText&gt;(Tallentire et al., 2011a)&lt;/DisplayText&gt;&lt;record&gt;&lt;dates&gt;&lt;pub-dates&gt;&lt;date&gt;Oct&lt;/date&gt;&lt;/pub-dates&gt;&lt;year&gt;2011&lt;/year&gt;&lt;/dates&gt;&lt;urls&gt;&lt;related-urls&gt;&lt;url&gt;&amp;lt;Go to ISI&amp;gt;://WOS:000294865300006&lt;/url&gt;&lt;/related-urls&gt;&lt;/urls&gt;&lt;isbn&gt;0308-0110&lt;/isbn&gt;&lt;titles&gt;&lt;title&gt;Understanding the behaviour of newly qualified doctors in acute care contexts&lt;/title&gt;&lt;secondary-title&gt;Medical Education&lt;/secondary-title&gt;&lt;/titles&gt;&lt;pages&gt;995-1005&lt;/pages&gt;&lt;number&gt;10&lt;/number&gt;&lt;contributors&gt;&lt;authors&gt;&lt;author&gt;Tallentire, Victoria R.&lt;/author&gt;&lt;author&gt;Smith, Samantha E.&lt;/author&gt;&lt;author&gt;Skinner, Janet&lt;/author&gt;&lt;author&gt;Cameron, Helen S.&lt;/author&gt;&lt;/authors&gt;&lt;/contributors&gt;&lt;added-date format="utc"&gt;1391177816&lt;/added-date&gt;&lt;ref-type name="Journal Article"&gt;17&lt;/ref-type&gt;&lt;rec-number&gt;73&lt;/rec-number&gt;&lt;last-updated-date format="utc"&gt;1397403004&lt;/last-updated-date&gt;&lt;accession-num&gt;WOS:000294865300006&lt;/accession-num&gt;&lt;electronic-resource-num&gt;10.1111/j.1365-2923.2011.04024.x&lt;/electronic-resource-num&gt;&lt;volume&gt;45&lt;/volume&gt;&lt;/record&gt;&lt;/Cite&gt;&lt;/EndNote&gt;</w:instrText>
      </w:r>
      <w:r w:rsidR="00064AAA">
        <w:rPr>
          <w:rFonts w:cs="Arial"/>
          <w:szCs w:val="24"/>
        </w:rPr>
        <w:fldChar w:fldCharType="separate"/>
      </w:r>
      <w:r w:rsidR="00B159B8">
        <w:rPr>
          <w:rFonts w:cs="Arial"/>
          <w:noProof/>
          <w:szCs w:val="24"/>
        </w:rPr>
        <w:t>(Tallentire et al., 2011a)</w:t>
      </w:r>
      <w:r w:rsidR="00064AAA">
        <w:rPr>
          <w:rFonts w:cs="Arial"/>
          <w:szCs w:val="24"/>
        </w:rPr>
        <w:fldChar w:fldCharType="end"/>
      </w:r>
      <w:r w:rsidR="00064AAA">
        <w:rPr>
          <w:rFonts w:cs="Arial"/>
          <w:szCs w:val="24"/>
        </w:rPr>
        <w:t xml:space="preserve">. </w:t>
      </w:r>
    </w:p>
    <w:p w14:paraId="05B7EDFC" w14:textId="573DADF7" w:rsidR="00064AAA" w:rsidRDefault="00064AAA" w:rsidP="005F454B">
      <w:pPr>
        <w:rPr>
          <w:rFonts w:cs="Arial"/>
          <w:szCs w:val="24"/>
        </w:rPr>
      </w:pPr>
      <w:r>
        <w:rPr>
          <w:rFonts w:cs="Arial"/>
          <w:szCs w:val="24"/>
        </w:rPr>
        <w:t>‘Environmental factors’ were divided into</w:t>
      </w:r>
      <w:r w:rsidR="00BE1210">
        <w:rPr>
          <w:rFonts w:cs="Arial"/>
          <w:szCs w:val="24"/>
        </w:rPr>
        <w:t xml:space="preserve"> </w:t>
      </w:r>
      <w:r>
        <w:rPr>
          <w:rFonts w:cs="Arial"/>
          <w:szCs w:val="24"/>
        </w:rPr>
        <w:t xml:space="preserve">‘medical hierarchy’ </w:t>
      </w:r>
      <w:r w:rsidR="00147C9E">
        <w:rPr>
          <w:rFonts w:cs="Arial"/>
          <w:szCs w:val="24"/>
        </w:rPr>
        <w:t>with</w:t>
      </w:r>
      <w:r>
        <w:rPr>
          <w:rFonts w:cs="Arial"/>
          <w:szCs w:val="24"/>
        </w:rPr>
        <w:t xml:space="preserve"> references to ‘military analogies’ and the feeling of not b</w:t>
      </w:r>
      <w:r w:rsidR="00055206">
        <w:rPr>
          <w:rFonts w:cs="Arial"/>
          <w:szCs w:val="24"/>
        </w:rPr>
        <w:t>e</w:t>
      </w:r>
      <w:r>
        <w:rPr>
          <w:rFonts w:cs="Arial"/>
          <w:szCs w:val="24"/>
        </w:rPr>
        <w:t xml:space="preserve">ing able to question seniors. ‘Performing under stress’ represented the reported feeling of being ‘overwhelmed and paralysed by the stress of managing an acutely unwell patient’, </w:t>
      </w:r>
      <w:r w:rsidR="00BE1210">
        <w:rPr>
          <w:rFonts w:cs="Arial"/>
          <w:szCs w:val="24"/>
        </w:rPr>
        <w:t xml:space="preserve">and </w:t>
      </w:r>
      <w:r>
        <w:rPr>
          <w:rFonts w:cs="Arial"/>
          <w:szCs w:val="24"/>
        </w:rPr>
        <w:t xml:space="preserve">experiencing ‘panic’. </w:t>
      </w:r>
      <w:r w:rsidR="00137253">
        <w:rPr>
          <w:rFonts w:cs="Arial"/>
          <w:szCs w:val="24"/>
        </w:rPr>
        <w:t>Seniors</w:t>
      </w:r>
      <w:r w:rsidR="00055206">
        <w:rPr>
          <w:rFonts w:cs="Arial"/>
          <w:szCs w:val="24"/>
        </w:rPr>
        <w:t xml:space="preserve"> </w:t>
      </w:r>
      <w:r w:rsidR="008F032E">
        <w:rPr>
          <w:rFonts w:cs="Arial"/>
          <w:szCs w:val="24"/>
        </w:rPr>
        <w:t>described the benefits to going into ‘automatic pilot’</w:t>
      </w:r>
      <w:r w:rsidR="00055206">
        <w:rPr>
          <w:rFonts w:cs="Arial"/>
          <w:szCs w:val="24"/>
        </w:rPr>
        <w:t xml:space="preserve"> </w:t>
      </w:r>
      <w:r w:rsidR="008F032E">
        <w:rPr>
          <w:rFonts w:cs="Arial"/>
          <w:szCs w:val="24"/>
        </w:rPr>
        <w:t>under times of stress</w:t>
      </w:r>
      <w:r w:rsidR="00055206">
        <w:rPr>
          <w:rFonts w:cs="Arial"/>
          <w:szCs w:val="24"/>
        </w:rPr>
        <w:t>,</w:t>
      </w:r>
      <w:r w:rsidR="008F032E">
        <w:rPr>
          <w:rFonts w:cs="Arial"/>
          <w:szCs w:val="24"/>
        </w:rPr>
        <w:t xml:space="preserve"> but recognised their support for juniors following stressful events was not good due to ‘lack of time’. This </w:t>
      </w:r>
      <w:r w:rsidR="003C514F">
        <w:rPr>
          <w:rFonts w:cs="Arial"/>
          <w:szCs w:val="24"/>
        </w:rPr>
        <w:t>must</w:t>
      </w:r>
      <w:r w:rsidR="008F032E">
        <w:rPr>
          <w:rFonts w:cs="Arial"/>
          <w:szCs w:val="24"/>
        </w:rPr>
        <w:t xml:space="preserve"> be addressed. </w:t>
      </w:r>
    </w:p>
    <w:p w14:paraId="399EE792" w14:textId="79306192" w:rsidR="00D7477F" w:rsidRDefault="00707662" w:rsidP="00707662">
      <w:pPr>
        <w:rPr>
          <w:rFonts w:cs="Arial"/>
          <w:szCs w:val="24"/>
        </w:rPr>
      </w:pPr>
      <w:r w:rsidRPr="00651616">
        <w:rPr>
          <w:rFonts w:cs="Arial"/>
          <w:szCs w:val="24"/>
        </w:rPr>
        <w:t xml:space="preserve">Tallentire et al. </w:t>
      </w:r>
      <w:r w:rsidR="00507BE6">
        <w:rPr>
          <w:rFonts w:cs="Arial"/>
          <w:szCs w:val="24"/>
        </w:rPr>
        <w:t xml:space="preserve">(2011) </w:t>
      </w:r>
      <w:r w:rsidRPr="00651616">
        <w:rPr>
          <w:rFonts w:cs="Arial"/>
          <w:szCs w:val="24"/>
        </w:rPr>
        <w:t xml:space="preserve">suggest that a more </w:t>
      </w:r>
      <w:r w:rsidR="008F032E">
        <w:rPr>
          <w:rFonts w:cs="Arial"/>
          <w:szCs w:val="24"/>
        </w:rPr>
        <w:t>‘</w:t>
      </w:r>
      <w:r w:rsidRPr="00651616">
        <w:rPr>
          <w:rFonts w:cs="Arial"/>
          <w:szCs w:val="24"/>
        </w:rPr>
        <w:t>distributed approach to situation awareness</w:t>
      </w:r>
      <w:r w:rsidR="008F032E">
        <w:rPr>
          <w:rFonts w:cs="Arial"/>
          <w:szCs w:val="24"/>
        </w:rPr>
        <w:t>’</w:t>
      </w:r>
      <w:r w:rsidRPr="00651616">
        <w:rPr>
          <w:rFonts w:cs="Arial"/>
          <w:szCs w:val="24"/>
        </w:rPr>
        <w:t xml:space="preserve"> may help junior doctors to tolerate the complexity and uncertainty of the clinical environment. </w:t>
      </w:r>
      <w:r>
        <w:rPr>
          <w:rFonts w:cs="Arial"/>
          <w:szCs w:val="24"/>
        </w:rPr>
        <w:t>They report</w:t>
      </w:r>
      <w:r w:rsidRPr="00651616">
        <w:rPr>
          <w:rFonts w:cs="Arial"/>
          <w:szCs w:val="24"/>
        </w:rPr>
        <w:t xml:space="preserve"> that simulation as an educational strategy may be more effective if the </w:t>
      </w:r>
      <w:r w:rsidR="008F032E">
        <w:rPr>
          <w:rFonts w:cs="Arial"/>
          <w:szCs w:val="24"/>
        </w:rPr>
        <w:t>‘</w:t>
      </w:r>
      <w:r w:rsidRPr="00651616">
        <w:rPr>
          <w:rFonts w:cs="Arial"/>
          <w:szCs w:val="24"/>
        </w:rPr>
        <w:t>hierarchical and stressful environment on the ward can be recreated</w:t>
      </w:r>
      <w:r w:rsidR="008F032E">
        <w:rPr>
          <w:rFonts w:cs="Arial"/>
          <w:szCs w:val="24"/>
        </w:rPr>
        <w:t>’</w:t>
      </w:r>
      <w:r w:rsidR="001D3636">
        <w:rPr>
          <w:rFonts w:cs="Arial"/>
          <w:szCs w:val="24"/>
        </w:rPr>
        <w:t>,</w:t>
      </w:r>
      <w:r w:rsidRPr="00651616">
        <w:rPr>
          <w:rFonts w:cs="Arial"/>
          <w:szCs w:val="24"/>
        </w:rPr>
        <w:t xml:space="preserve"> and training should include improving awareness of the impact of emotion</w:t>
      </w:r>
      <w:r w:rsidR="003C514F">
        <w:rPr>
          <w:rFonts w:cs="Arial"/>
          <w:szCs w:val="24"/>
        </w:rPr>
        <w:t xml:space="preserve">, </w:t>
      </w:r>
      <w:r w:rsidR="001D3636">
        <w:rPr>
          <w:rFonts w:cs="Arial"/>
          <w:szCs w:val="24"/>
        </w:rPr>
        <w:t>e</w:t>
      </w:r>
      <w:r w:rsidRPr="00651616">
        <w:rPr>
          <w:rFonts w:cs="Arial"/>
          <w:szCs w:val="24"/>
        </w:rPr>
        <w:t>ffect</w:t>
      </w:r>
      <w:r w:rsidR="001D3636">
        <w:rPr>
          <w:rFonts w:cs="Arial"/>
          <w:szCs w:val="24"/>
        </w:rPr>
        <w:t>s</w:t>
      </w:r>
      <w:r w:rsidRPr="00651616">
        <w:rPr>
          <w:rFonts w:cs="Arial"/>
          <w:szCs w:val="24"/>
        </w:rPr>
        <w:t xml:space="preserve"> on behaviour at work</w:t>
      </w:r>
      <w:r w:rsidR="001D3636">
        <w:rPr>
          <w:rFonts w:cs="Arial"/>
          <w:szCs w:val="24"/>
        </w:rPr>
        <w:t>,</w:t>
      </w:r>
      <w:r w:rsidR="008F032E">
        <w:rPr>
          <w:rFonts w:cs="Arial"/>
          <w:szCs w:val="24"/>
        </w:rPr>
        <w:t xml:space="preserve"> and understanding human failure</w:t>
      </w:r>
      <w:r w:rsidR="00507BE6">
        <w:rPr>
          <w:rFonts w:cs="Arial"/>
          <w:szCs w:val="24"/>
        </w:rPr>
        <w:t>.</w:t>
      </w:r>
      <w:r w:rsidR="00055206">
        <w:rPr>
          <w:rFonts w:cs="Arial"/>
          <w:szCs w:val="24"/>
        </w:rPr>
        <w:t xml:space="preserve"> Undergraduate and postgraduate training should support development of critical thinking, diagnostic </w:t>
      </w:r>
      <w:r w:rsidR="001D42C9">
        <w:rPr>
          <w:rFonts w:cs="Arial"/>
          <w:szCs w:val="24"/>
        </w:rPr>
        <w:t>judgment</w:t>
      </w:r>
      <w:r w:rsidR="001D3636">
        <w:rPr>
          <w:rFonts w:cs="Arial"/>
          <w:szCs w:val="24"/>
        </w:rPr>
        <w:t xml:space="preserve"> and safety-</w:t>
      </w:r>
      <w:r w:rsidR="00055206">
        <w:rPr>
          <w:rFonts w:cs="Arial"/>
          <w:szCs w:val="24"/>
        </w:rPr>
        <w:t xml:space="preserve">netting to ensure safe and </w:t>
      </w:r>
      <w:r w:rsidR="00055206">
        <w:rPr>
          <w:rFonts w:cs="Arial"/>
          <w:szCs w:val="24"/>
        </w:rPr>
        <w:lastRenderedPageBreak/>
        <w:t xml:space="preserve">quality patient care. The complexity of </w:t>
      </w:r>
      <w:proofErr w:type="spellStart"/>
      <w:r w:rsidR="00055206">
        <w:rPr>
          <w:rFonts w:cs="Arial"/>
          <w:szCs w:val="24"/>
        </w:rPr>
        <w:t>patients</w:t>
      </w:r>
      <w:proofErr w:type="spellEnd"/>
      <w:r w:rsidR="00055206">
        <w:rPr>
          <w:rFonts w:cs="Arial"/>
          <w:szCs w:val="24"/>
        </w:rPr>
        <w:t xml:space="preserve"> needs to be experienced, appreciated and understood by undergraduates.</w:t>
      </w:r>
      <w:r w:rsidR="00055206" w:rsidRPr="00055206">
        <w:rPr>
          <w:rFonts w:cs="Arial"/>
          <w:szCs w:val="24"/>
        </w:rPr>
        <w:t xml:space="preserve"> </w:t>
      </w:r>
      <w:r w:rsidR="00055206">
        <w:rPr>
          <w:rFonts w:cs="Arial"/>
          <w:szCs w:val="24"/>
        </w:rPr>
        <w:t xml:space="preserve">That complexity should be </w:t>
      </w:r>
      <w:r w:rsidR="00147C9E">
        <w:rPr>
          <w:rFonts w:cs="Arial"/>
          <w:szCs w:val="24"/>
        </w:rPr>
        <w:t>integral</w:t>
      </w:r>
      <w:r w:rsidR="00055206">
        <w:rPr>
          <w:rFonts w:cs="Arial"/>
          <w:szCs w:val="24"/>
        </w:rPr>
        <w:t xml:space="preserve"> </w:t>
      </w:r>
      <w:r w:rsidR="00147C9E">
        <w:rPr>
          <w:rFonts w:cs="Arial"/>
          <w:szCs w:val="24"/>
        </w:rPr>
        <w:t>to</w:t>
      </w:r>
      <w:r w:rsidR="00055206">
        <w:rPr>
          <w:rFonts w:cs="Arial"/>
          <w:szCs w:val="24"/>
        </w:rPr>
        <w:t xml:space="preserve"> training opportunities to allow the development of cognitive skills to manage such situations.</w:t>
      </w:r>
    </w:p>
    <w:p w14:paraId="18C08253" w14:textId="2ABCF273" w:rsidR="00DE315A" w:rsidRDefault="00584FC6" w:rsidP="00DE315A">
      <w:pPr>
        <w:rPr>
          <w:rFonts w:cs="Arial"/>
          <w:szCs w:val="24"/>
        </w:rPr>
      </w:pPr>
      <w:r>
        <w:rPr>
          <w:rFonts w:cs="Arial"/>
          <w:szCs w:val="24"/>
        </w:rPr>
        <w:t>D</w:t>
      </w:r>
      <w:r w:rsidR="00DE315A" w:rsidRPr="00B73772">
        <w:rPr>
          <w:rFonts w:cs="Arial"/>
          <w:szCs w:val="24"/>
        </w:rPr>
        <w:t>ecisio</w:t>
      </w:r>
      <w:r w:rsidR="00DE315A">
        <w:rPr>
          <w:rFonts w:cs="Arial"/>
          <w:szCs w:val="24"/>
        </w:rPr>
        <w:t>n-making and managing self during</w:t>
      </w:r>
      <w:r w:rsidR="00DE315A" w:rsidRPr="00B73772">
        <w:rPr>
          <w:rFonts w:cs="Arial"/>
          <w:szCs w:val="24"/>
        </w:rPr>
        <w:t xml:space="preserve"> stressful situations are linked to human factors</w:t>
      </w:r>
      <w:r w:rsidR="003E13D5">
        <w:rPr>
          <w:rFonts w:cs="Arial"/>
          <w:szCs w:val="24"/>
        </w:rPr>
        <w:t xml:space="preserve"> as well as safety</w:t>
      </w:r>
      <w:r w:rsidR="00DE315A">
        <w:rPr>
          <w:rFonts w:cs="Arial"/>
          <w:szCs w:val="24"/>
        </w:rPr>
        <w:t xml:space="preserve">. Human factors </w:t>
      </w:r>
      <w:r w:rsidR="00DE315A" w:rsidRPr="00C7743D">
        <w:rPr>
          <w:rFonts w:cs="Arial"/>
          <w:szCs w:val="24"/>
        </w:rPr>
        <w:t>refer to everything within a work environment related to patient care</w:t>
      </w:r>
      <w:r w:rsidR="00DE315A">
        <w:rPr>
          <w:rFonts w:cs="Arial"/>
          <w:szCs w:val="24"/>
        </w:rPr>
        <w:t>. S</w:t>
      </w:r>
      <w:r w:rsidR="00DE315A" w:rsidRPr="00B73772">
        <w:rPr>
          <w:rFonts w:cs="Arial"/>
          <w:szCs w:val="24"/>
        </w:rPr>
        <w:t xml:space="preserve">tress and distractions </w:t>
      </w:r>
      <w:r w:rsidR="00DE315A">
        <w:rPr>
          <w:rFonts w:cs="Arial"/>
          <w:szCs w:val="24"/>
        </w:rPr>
        <w:t xml:space="preserve">can </w:t>
      </w:r>
      <w:r w:rsidR="00515262">
        <w:rPr>
          <w:rFonts w:cs="Arial"/>
          <w:szCs w:val="24"/>
        </w:rPr>
        <w:t xml:space="preserve">cloud </w:t>
      </w:r>
      <w:r w:rsidR="001D42C9">
        <w:rPr>
          <w:rFonts w:cs="Arial"/>
          <w:szCs w:val="24"/>
        </w:rPr>
        <w:t>judgment</w:t>
      </w:r>
      <w:r w:rsidR="00515262">
        <w:rPr>
          <w:rFonts w:cs="Arial"/>
          <w:szCs w:val="24"/>
        </w:rPr>
        <w:t xml:space="preserve"> and impair s</w:t>
      </w:r>
      <w:r w:rsidR="00DE315A" w:rsidRPr="00B73772">
        <w:rPr>
          <w:rFonts w:cs="Arial"/>
          <w:szCs w:val="24"/>
        </w:rPr>
        <w:t>itu</w:t>
      </w:r>
      <w:r w:rsidR="00DE315A">
        <w:rPr>
          <w:rFonts w:cs="Arial"/>
          <w:szCs w:val="24"/>
        </w:rPr>
        <w:t>ational awareness</w:t>
      </w:r>
      <w:r w:rsidR="00DE315A" w:rsidRPr="00B73772">
        <w:rPr>
          <w:rFonts w:cs="Arial"/>
          <w:szCs w:val="24"/>
        </w:rPr>
        <w:t xml:space="preserve">. </w:t>
      </w:r>
    </w:p>
    <w:p w14:paraId="104C80D6" w14:textId="554A8AE7" w:rsidR="00C329EC" w:rsidRDefault="0092544D" w:rsidP="00DE315A">
      <w:pPr>
        <w:rPr>
          <w:rFonts w:cs="Arial"/>
          <w:szCs w:val="24"/>
        </w:rPr>
      </w:pPr>
      <w:r>
        <w:rPr>
          <w:rFonts w:cs="Arial"/>
          <w:szCs w:val="24"/>
        </w:rPr>
        <w:t>When exploring decision-making</w:t>
      </w:r>
      <w:r w:rsidR="001D3636">
        <w:rPr>
          <w:rFonts w:cs="Arial"/>
          <w:szCs w:val="24"/>
        </w:rPr>
        <w:t>,</w:t>
      </w:r>
      <w:r>
        <w:rPr>
          <w:rFonts w:cs="Arial"/>
          <w:szCs w:val="24"/>
        </w:rPr>
        <w:t xml:space="preserve"> </w:t>
      </w:r>
      <w:proofErr w:type="spellStart"/>
      <w:r>
        <w:rPr>
          <w:rFonts w:cs="Arial"/>
          <w:szCs w:val="24"/>
        </w:rPr>
        <w:t>Croskerry</w:t>
      </w:r>
      <w:proofErr w:type="spellEnd"/>
      <w:r>
        <w:rPr>
          <w:rFonts w:cs="Arial"/>
          <w:szCs w:val="24"/>
        </w:rPr>
        <w:t xml:space="preserve"> et al. </w:t>
      </w:r>
      <w:r w:rsidR="003E13D5">
        <w:rPr>
          <w:rFonts w:cs="Arial"/>
          <w:szCs w:val="24"/>
        </w:rPr>
        <w:t xml:space="preserve">(2014) </w:t>
      </w:r>
      <w:r>
        <w:rPr>
          <w:rFonts w:cs="Arial"/>
          <w:szCs w:val="24"/>
        </w:rPr>
        <w:t>repor</w:t>
      </w:r>
      <w:r w:rsidR="003E13D5">
        <w:rPr>
          <w:rFonts w:cs="Arial"/>
          <w:szCs w:val="24"/>
        </w:rPr>
        <w:t>t on ‘dual process theory’, considered</w:t>
      </w:r>
      <w:r>
        <w:rPr>
          <w:rFonts w:cs="Arial"/>
          <w:szCs w:val="24"/>
        </w:rPr>
        <w:t xml:space="preserve"> to be the most referred to conceptual framework for understanding cognitive processes that underpin and influence human decision</w:t>
      </w:r>
      <w:r w:rsidR="00A55453">
        <w:rPr>
          <w:rFonts w:cs="Arial"/>
          <w:szCs w:val="24"/>
        </w:rPr>
        <w:t>-</w:t>
      </w:r>
      <w:r>
        <w:rPr>
          <w:rFonts w:cs="Arial"/>
          <w:szCs w:val="24"/>
        </w:rPr>
        <w:t>making. ‘Dual’ refers to</w:t>
      </w:r>
      <w:r w:rsidR="003E13D5">
        <w:rPr>
          <w:rFonts w:cs="Arial"/>
          <w:szCs w:val="24"/>
        </w:rPr>
        <w:t xml:space="preserve"> two elements of cognitive thought processes</w:t>
      </w:r>
      <w:r w:rsidR="00995ECF">
        <w:rPr>
          <w:rFonts w:cs="Arial"/>
          <w:szCs w:val="24"/>
        </w:rPr>
        <w:t>. The first</w:t>
      </w:r>
      <w:r>
        <w:rPr>
          <w:rFonts w:cs="Arial"/>
          <w:szCs w:val="24"/>
        </w:rPr>
        <w:t xml:space="preserve"> </w:t>
      </w:r>
      <w:r w:rsidR="00995ECF">
        <w:rPr>
          <w:rFonts w:cs="Arial"/>
          <w:szCs w:val="24"/>
        </w:rPr>
        <w:t>i</w:t>
      </w:r>
      <w:r>
        <w:rPr>
          <w:rFonts w:cs="Arial"/>
          <w:szCs w:val="24"/>
        </w:rPr>
        <w:t>s ‘reflexive and autonomous’</w:t>
      </w:r>
      <w:r w:rsidR="00995ECF">
        <w:rPr>
          <w:rFonts w:cs="Arial"/>
          <w:szCs w:val="24"/>
        </w:rPr>
        <w:t>,</w:t>
      </w:r>
      <w:r>
        <w:rPr>
          <w:rFonts w:cs="Arial"/>
          <w:szCs w:val="24"/>
        </w:rPr>
        <w:t xml:space="preserve"> related to intuitive, faster thinking</w:t>
      </w:r>
      <w:r w:rsidR="00995ECF">
        <w:rPr>
          <w:rFonts w:cs="Arial"/>
          <w:szCs w:val="24"/>
        </w:rPr>
        <w:t xml:space="preserve"> that is</w:t>
      </w:r>
      <w:r>
        <w:rPr>
          <w:rFonts w:cs="Arial"/>
          <w:szCs w:val="24"/>
        </w:rPr>
        <w:t xml:space="preserve"> </w:t>
      </w:r>
      <w:r w:rsidR="00A55453">
        <w:rPr>
          <w:rFonts w:cs="Arial"/>
          <w:szCs w:val="24"/>
        </w:rPr>
        <w:t xml:space="preserve">linked </w:t>
      </w:r>
      <w:r w:rsidR="00995ECF">
        <w:rPr>
          <w:rFonts w:cs="Arial"/>
          <w:szCs w:val="24"/>
        </w:rPr>
        <w:t>to</w:t>
      </w:r>
      <w:r w:rsidR="00A55453">
        <w:rPr>
          <w:rFonts w:cs="Arial"/>
          <w:szCs w:val="24"/>
        </w:rPr>
        <w:t xml:space="preserve"> pattern recognition and application of protocol</w:t>
      </w:r>
      <w:r w:rsidR="00995ECF">
        <w:rPr>
          <w:rFonts w:cs="Arial"/>
          <w:szCs w:val="24"/>
        </w:rPr>
        <w:t>;</w:t>
      </w:r>
      <w:r w:rsidR="00A55453">
        <w:rPr>
          <w:rFonts w:cs="Arial"/>
          <w:szCs w:val="24"/>
        </w:rPr>
        <w:t xml:space="preserve"> </w:t>
      </w:r>
      <w:r>
        <w:rPr>
          <w:rFonts w:cs="Arial"/>
          <w:szCs w:val="24"/>
        </w:rPr>
        <w:t xml:space="preserve">and the </w:t>
      </w:r>
      <w:r w:rsidR="003E13D5">
        <w:rPr>
          <w:rFonts w:cs="Arial"/>
          <w:szCs w:val="24"/>
        </w:rPr>
        <w:t xml:space="preserve">other </w:t>
      </w:r>
      <w:r>
        <w:rPr>
          <w:rFonts w:cs="Arial"/>
          <w:szCs w:val="24"/>
        </w:rPr>
        <w:t>slower</w:t>
      </w:r>
      <w:r w:rsidR="00995ECF">
        <w:rPr>
          <w:rFonts w:cs="Arial"/>
          <w:szCs w:val="24"/>
        </w:rPr>
        <w:t>,</w:t>
      </w:r>
      <w:r>
        <w:rPr>
          <w:rFonts w:cs="Arial"/>
          <w:szCs w:val="24"/>
        </w:rPr>
        <w:t xml:space="preserve"> more deliberate evidence</w:t>
      </w:r>
      <w:r w:rsidR="00995ECF">
        <w:rPr>
          <w:rFonts w:cs="Arial"/>
          <w:szCs w:val="24"/>
        </w:rPr>
        <w:t>-</w:t>
      </w:r>
      <w:r>
        <w:rPr>
          <w:rFonts w:cs="Arial"/>
          <w:szCs w:val="24"/>
        </w:rPr>
        <w:t xml:space="preserve">based analytic reasoning. </w:t>
      </w:r>
    </w:p>
    <w:p w14:paraId="3DB98686" w14:textId="67C79E2E" w:rsidR="00C329EC" w:rsidRDefault="00B822B0" w:rsidP="00DE315A">
      <w:pPr>
        <w:rPr>
          <w:rFonts w:cs="Arial"/>
          <w:szCs w:val="24"/>
        </w:rPr>
      </w:pPr>
      <w:r>
        <w:rPr>
          <w:rFonts w:cs="Arial"/>
          <w:szCs w:val="24"/>
        </w:rPr>
        <w:t>U</w:t>
      </w:r>
      <w:r w:rsidR="0092544D">
        <w:rPr>
          <w:rFonts w:cs="Arial"/>
          <w:szCs w:val="24"/>
        </w:rPr>
        <w:t xml:space="preserve">nderstanding this is felt to be vital </w:t>
      </w:r>
      <w:r w:rsidR="00995ECF">
        <w:rPr>
          <w:rFonts w:cs="Arial"/>
          <w:szCs w:val="24"/>
        </w:rPr>
        <w:t xml:space="preserve">because of its </w:t>
      </w:r>
      <w:r w:rsidR="0092544D">
        <w:rPr>
          <w:rFonts w:cs="Arial"/>
          <w:szCs w:val="24"/>
        </w:rPr>
        <w:t>impact a</w:t>
      </w:r>
      <w:r w:rsidR="00A55453">
        <w:rPr>
          <w:rFonts w:cs="Arial"/>
          <w:szCs w:val="24"/>
        </w:rPr>
        <w:t>nd influence on patient safety</w:t>
      </w:r>
      <w:r>
        <w:rPr>
          <w:rFonts w:cs="Arial"/>
          <w:szCs w:val="24"/>
        </w:rPr>
        <w:t>. P</w:t>
      </w:r>
      <w:r w:rsidR="00A55453">
        <w:rPr>
          <w:rFonts w:cs="Arial"/>
          <w:szCs w:val="24"/>
        </w:rPr>
        <w:t>sychological literature supports that humans spend most of their time in the intuitive mode of thinking</w:t>
      </w:r>
      <w:r w:rsidR="003E13D5">
        <w:rPr>
          <w:rFonts w:cs="Arial"/>
          <w:szCs w:val="24"/>
        </w:rPr>
        <w:t>,</w:t>
      </w:r>
      <w:r w:rsidR="00A55453">
        <w:rPr>
          <w:rFonts w:cs="Arial"/>
          <w:szCs w:val="24"/>
        </w:rPr>
        <w:t xml:space="preserve"> where most decision-making errors have been isolated </w:t>
      </w:r>
      <w:r w:rsidR="00A55453">
        <w:rPr>
          <w:rFonts w:cs="Arial"/>
          <w:szCs w:val="24"/>
        </w:rPr>
        <w:fldChar w:fldCharType="begin"/>
      </w:r>
      <w:r w:rsidR="00A55453">
        <w:rPr>
          <w:rFonts w:cs="Arial"/>
          <w:szCs w:val="24"/>
        </w:rPr>
        <w:instrText xml:space="preserve"> ADDIN EN.CITE &lt;EndNote&gt;&lt;Cite&gt;&lt;Author&gt;Croskerry&lt;/Author&gt;&lt;Year&gt;2014&lt;/Year&gt;&lt;IDText&gt;Deciding about fast and slow decisions&lt;/IDText&gt;&lt;DisplayText&gt;(Croskerry et al., 2014)&lt;/DisplayText&gt;&lt;record&gt;&lt;dates&gt;&lt;pub-dates&gt;&lt;date&gt;Feb&lt;/date&gt;&lt;/pub-dates&gt;&lt;year&gt;2014&lt;/year&gt;&lt;/dates&gt;&lt;keywords&gt;&lt;keyword&gt;Clinical Competence&lt;/keyword&gt;&lt;keyword&gt;Decision Making&lt;/keyword&gt;&lt;keyword&gt;Diagnostic Errors&lt;/keyword&gt;&lt;keyword&gt;Female&lt;/keyword&gt;&lt;keyword&gt;Humans&lt;/keyword&gt;&lt;keyword&gt;Internal Medicine&lt;/keyword&gt;&lt;keyword&gt;Internship and Residency&lt;/keyword&gt;&lt;keyword&gt;Male&lt;/keyword&gt;&lt;keyword&gt;Physicians&lt;/keyword&gt;&lt;keyword&gt;Recognition (Psychology)&lt;/keyword&gt;&lt;keyword&gt;Repetition Priming&lt;/keyword&gt;&lt;/keywords&gt;&lt;urls&gt;&lt;related-urls&gt;&lt;url&gt;http://www.ncbi.nlm.nih.gov/pubmed/24362398&lt;/url&gt;&lt;/related-urls&gt;&lt;/urls&gt;&lt;isbn&gt;1938-808X&lt;/isbn&gt;&lt;titles&gt;&lt;title&gt;Deciding about fast and slow decisions&lt;/title&gt;&lt;secondary-title&gt;Acad Med&lt;/secondary-title&gt;&lt;/titles&gt;&lt;pages&gt;197-200&lt;/pages&gt;&lt;number&gt;2&lt;/number&gt;&lt;contributors&gt;&lt;authors&gt;&lt;author&gt;Croskerry, P.&lt;/author&gt;&lt;author&gt;Petrie, D. A.&lt;/author&gt;&lt;author&gt;Reilly, J. B.&lt;/author&gt;&lt;author&gt;Tait, G.&lt;/author&gt;&lt;/authors&gt;&lt;/contributors&gt;&lt;language&gt;eng&lt;/language&gt;&lt;added-date format="utc"&gt;1456825847&lt;/added-date&gt;&lt;ref-type name="Journal Article"&gt;17&lt;/ref-type&gt;&lt;rec-number&gt;201&lt;/rec-number&gt;&lt;last-updated-date format="utc"&gt;1456825847&lt;/last-updated-date&gt;&lt;accession-num&gt;24362398&lt;/accession-num&gt;&lt;electronic-resource-num&gt;10.1097/ACM.0000000000000121&lt;/electronic-resource-num&gt;&lt;volume&gt;89&lt;/volume&gt;&lt;/record&gt;&lt;/Cite&gt;&lt;/EndNote&gt;</w:instrText>
      </w:r>
      <w:r w:rsidR="00A55453">
        <w:rPr>
          <w:rFonts w:cs="Arial"/>
          <w:szCs w:val="24"/>
        </w:rPr>
        <w:fldChar w:fldCharType="separate"/>
      </w:r>
      <w:r w:rsidR="00A55453">
        <w:rPr>
          <w:rFonts w:cs="Arial"/>
          <w:noProof/>
          <w:szCs w:val="24"/>
        </w:rPr>
        <w:t>(Croskerry et al., 2014)</w:t>
      </w:r>
      <w:r w:rsidR="00A55453">
        <w:rPr>
          <w:rFonts w:cs="Arial"/>
          <w:szCs w:val="24"/>
        </w:rPr>
        <w:fldChar w:fldCharType="end"/>
      </w:r>
      <w:r w:rsidR="00A55453">
        <w:rPr>
          <w:rFonts w:cs="Arial"/>
          <w:szCs w:val="24"/>
        </w:rPr>
        <w:t xml:space="preserve">. </w:t>
      </w:r>
      <w:r>
        <w:rPr>
          <w:rFonts w:cs="Arial"/>
          <w:szCs w:val="24"/>
        </w:rPr>
        <w:t>I</w:t>
      </w:r>
      <w:r w:rsidR="00A55453">
        <w:rPr>
          <w:rFonts w:cs="Arial"/>
          <w:szCs w:val="24"/>
        </w:rPr>
        <w:t>t is important to move between these two processes and know when to trust one or force</w:t>
      </w:r>
      <w:r w:rsidR="00C329EC">
        <w:rPr>
          <w:rFonts w:cs="Arial"/>
          <w:szCs w:val="24"/>
        </w:rPr>
        <w:t xml:space="preserve"> oneself </w:t>
      </w:r>
      <w:r w:rsidR="000A27DF">
        <w:rPr>
          <w:rFonts w:cs="Arial"/>
          <w:szCs w:val="24"/>
        </w:rPr>
        <w:t>into</w:t>
      </w:r>
      <w:r w:rsidR="00C329EC">
        <w:rPr>
          <w:rFonts w:cs="Arial"/>
          <w:szCs w:val="24"/>
        </w:rPr>
        <w:t xml:space="preserve"> the other.</w:t>
      </w:r>
      <w:r w:rsidR="00A07666">
        <w:rPr>
          <w:rFonts w:cs="Arial"/>
          <w:szCs w:val="24"/>
        </w:rPr>
        <w:t xml:space="preserve"> E</w:t>
      </w:r>
      <w:r w:rsidR="00A55453">
        <w:rPr>
          <w:rFonts w:cs="Arial"/>
          <w:szCs w:val="24"/>
        </w:rPr>
        <w:t>xamples are given through this paper that highlight that fast decisions in the context of an experienced clinician may indeed be analytic</w:t>
      </w:r>
      <w:r w:rsidR="00995ECF">
        <w:rPr>
          <w:rFonts w:cs="Arial"/>
          <w:szCs w:val="24"/>
        </w:rPr>
        <w:t>,</w:t>
      </w:r>
      <w:r w:rsidR="00A55453">
        <w:rPr>
          <w:rFonts w:cs="Arial"/>
          <w:szCs w:val="24"/>
        </w:rPr>
        <w:t xml:space="preserve"> and experience has allowed a level of rapid accurate analysis and accurate diagnosis. </w:t>
      </w:r>
    </w:p>
    <w:p w14:paraId="6F668822" w14:textId="070E4965" w:rsidR="00C329EC" w:rsidRDefault="00A55453" w:rsidP="00DE315A">
      <w:pPr>
        <w:rPr>
          <w:rFonts w:cs="Arial"/>
          <w:szCs w:val="24"/>
        </w:rPr>
      </w:pPr>
      <w:r>
        <w:rPr>
          <w:rFonts w:cs="Arial"/>
          <w:szCs w:val="24"/>
        </w:rPr>
        <w:lastRenderedPageBreak/>
        <w:t>A better understanding of cognitive processes and biases m</w:t>
      </w:r>
      <w:r w:rsidR="00995ECF">
        <w:rPr>
          <w:rFonts w:cs="Arial"/>
          <w:szCs w:val="24"/>
        </w:rPr>
        <w:t>ight</w:t>
      </w:r>
      <w:r>
        <w:rPr>
          <w:rFonts w:cs="Arial"/>
          <w:szCs w:val="24"/>
        </w:rPr>
        <w:t xml:space="preserve"> be key to supporting junior</w:t>
      </w:r>
      <w:r w:rsidR="00A07666">
        <w:rPr>
          <w:rFonts w:cs="Arial"/>
          <w:szCs w:val="24"/>
        </w:rPr>
        <w:t>s who</w:t>
      </w:r>
      <w:r w:rsidR="00693688">
        <w:rPr>
          <w:rFonts w:cs="Arial"/>
          <w:szCs w:val="24"/>
        </w:rPr>
        <w:t xml:space="preserve"> </w:t>
      </w:r>
      <w:r w:rsidR="00FB2B0A">
        <w:rPr>
          <w:rFonts w:cs="Arial"/>
          <w:szCs w:val="24"/>
        </w:rPr>
        <w:t>are often the</w:t>
      </w:r>
      <w:r w:rsidR="00C329EC">
        <w:rPr>
          <w:rFonts w:cs="Arial"/>
          <w:szCs w:val="24"/>
        </w:rPr>
        <w:t xml:space="preserve"> first </w:t>
      </w:r>
      <w:r w:rsidR="00137253">
        <w:rPr>
          <w:rFonts w:cs="Arial"/>
          <w:szCs w:val="24"/>
        </w:rPr>
        <w:t>doctors</w:t>
      </w:r>
      <w:r w:rsidR="00C329EC">
        <w:rPr>
          <w:rFonts w:cs="Arial"/>
          <w:szCs w:val="24"/>
        </w:rPr>
        <w:t xml:space="preserve"> to see a patient</w:t>
      </w:r>
      <w:r w:rsidR="003E13D5">
        <w:rPr>
          <w:rFonts w:cs="Arial"/>
          <w:szCs w:val="24"/>
        </w:rPr>
        <w:t>,</w:t>
      </w:r>
      <w:r w:rsidR="00C329EC">
        <w:rPr>
          <w:rFonts w:cs="Arial"/>
          <w:szCs w:val="24"/>
        </w:rPr>
        <w:t xml:space="preserve"> </w:t>
      </w:r>
      <w:r w:rsidR="00995ECF">
        <w:rPr>
          <w:rFonts w:cs="Arial"/>
          <w:szCs w:val="24"/>
        </w:rPr>
        <w:t>and therefore</w:t>
      </w:r>
      <w:r w:rsidR="00A07666">
        <w:rPr>
          <w:rFonts w:cs="Arial"/>
          <w:szCs w:val="24"/>
        </w:rPr>
        <w:t xml:space="preserve"> </w:t>
      </w:r>
      <w:r w:rsidR="00FB2B0A">
        <w:rPr>
          <w:rFonts w:cs="Arial"/>
          <w:szCs w:val="24"/>
        </w:rPr>
        <w:t>experience the most diagnostic uncertainty. Once initial assessments and investigations are available</w:t>
      </w:r>
      <w:r w:rsidR="00A07666">
        <w:rPr>
          <w:rFonts w:cs="Arial"/>
          <w:szCs w:val="24"/>
        </w:rPr>
        <w:t>,</w:t>
      </w:r>
      <w:r w:rsidR="00FB2B0A">
        <w:rPr>
          <w:rFonts w:cs="Arial"/>
          <w:szCs w:val="24"/>
        </w:rPr>
        <w:t xml:space="preserve"> the job of the senior doctor is </w:t>
      </w:r>
      <w:r w:rsidR="00B822B0">
        <w:rPr>
          <w:rFonts w:cs="Arial"/>
          <w:szCs w:val="24"/>
        </w:rPr>
        <w:t>easier</w:t>
      </w:r>
      <w:r w:rsidR="00FB2B0A">
        <w:rPr>
          <w:rFonts w:cs="Arial"/>
          <w:szCs w:val="24"/>
        </w:rPr>
        <w:t xml:space="preserve">. </w:t>
      </w:r>
      <w:proofErr w:type="spellStart"/>
      <w:r w:rsidR="00FB2B0A">
        <w:rPr>
          <w:rFonts w:cs="Arial"/>
          <w:szCs w:val="24"/>
        </w:rPr>
        <w:t>Croskerry</w:t>
      </w:r>
      <w:proofErr w:type="spellEnd"/>
      <w:r w:rsidR="00FB2B0A">
        <w:rPr>
          <w:rFonts w:cs="Arial"/>
          <w:szCs w:val="24"/>
        </w:rPr>
        <w:t xml:space="preserve"> et al. </w:t>
      </w:r>
      <w:r w:rsidR="003E13D5">
        <w:rPr>
          <w:rFonts w:cs="Arial"/>
          <w:szCs w:val="24"/>
        </w:rPr>
        <w:t xml:space="preserve">(2014) </w:t>
      </w:r>
      <w:r w:rsidR="00FB2B0A">
        <w:rPr>
          <w:rFonts w:cs="Arial"/>
          <w:szCs w:val="24"/>
        </w:rPr>
        <w:t>refer to these as ‘well packaged’ encounters, allowing ‘fast analytic decision to be made’ owing to the fact that ‘all necessary information is available’</w:t>
      </w:r>
      <w:r w:rsidR="00A07666">
        <w:rPr>
          <w:rFonts w:cs="Arial"/>
          <w:szCs w:val="24"/>
        </w:rPr>
        <w:t>. They advocate</w:t>
      </w:r>
      <w:r w:rsidR="00804C11">
        <w:rPr>
          <w:rFonts w:cs="Arial"/>
          <w:szCs w:val="24"/>
        </w:rPr>
        <w:t xml:space="preserve"> ‘learning about bias, promoting thinking about thinking, promoting critical thinking, promoting vigilant scanning, using interdisciplinary knowledge and expert content knowledge’ </w:t>
      </w:r>
      <w:r w:rsidR="00804C11">
        <w:rPr>
          <w:rFonts w:cs="Arial"/>
          <w:szCs w:val="24"/>
        </w:rPr>
        <w:fldChar w:fldCharType="begin"/>
      </w:r>
      <w:r w:rsidR="00804C11">
        <w:rPr>
          <w:rFonts w:cs="Arial"/>
          <w:szCs w:val="24"/>
        </w:rPr>
        <w:instrText xml:space="preserve"> ADDIN EN.CITE &lt;EndNote&gt;&lt;Cite&gt;&lt;Author&gt;Croskerry&lt;/Author&gt;&lt;Year&gt;2014&lt;/Year&gt;&lt;IDText&gt;Deciding about fast and slow decisions&lt;/IDText&gt;&lt;DisplayText&gt;(Croskerry et al., 2014)&lt;/DisplayText&gt;&lt;record&gt;&lt;dates&gt;&lt;pub-dates&gt;&lt;date&gt;Feb&lt;/date&gt;&lt;/pub-dates&gt;&lt;year&gt;2014&lt;/year&gt;&lt;/dates&gt;&lt;keywords&gt;&lt;keyword&gt;Clinical Competence&lt;/keyword&gt;&lt;keyword&gt;Decision Making&lt;/keyword&gt;&lt;keyword&gt;Diagnostic Errors&lt;/keyword&gt;&lt;keyword&gt;Female&lt;/keyword&gt;&lt;keyword&gt;Humans&lt;/keyword&gt;&lt;keyword&gt;Internal Medicine&lt;/keyword&gt;&lt;keyword&gt;Internship and Residency&lt;/keyword&gt;&lt;keyword&gt;Male&lt;/keyword&gt;&lt;keyword&gt;Physicians&lt;/keyword&gt;&lt;keyword&gt;Recognition (Psychology)&lt;/keyword&gt;&lt;keyword&gt;Repetition Priming&lt;/keyword&gt;&lt;/keywords&gt;&lt;urls&gt;&lt;related-urls&gt;&lt;url&gt;http://www.ncbi.nlm.nih.gov/pubmed/24362398&lt;/url&gt;&lt;/related-urls&gt;&lt;/urls&gt;&lt;isbn&gt;1938-808X&lt;/isbn&gt;&lt;titles&gt;&lt;title&gt;Deciding about fast and slow decisions&lt;/title&gt;&lt;secondary-title&gt;Acad Med&lt;/secondary-title&gt;&lt;/titles&gt;&lt;pages&gt;197-200&lt;/pages&gt;&lt;number&gt;2&lt;/number&gt;&lt;contributors&gt;&lt;authors&gt;&lt;author&gt;Croskerry, P.&lt;/author&gt;&lt;author&gt;Petrie, D. A.&lt;/author&gt;&lt;author&gt;Reilly, J. B.&lt;/author&gt;&lt;author&gt;Tait, G.&lt;/author&gt;&lt;/authors&gt;&lt;/contributors&gt;&lt;language&gt;eng&lt;/language&gt;&lt;added-date format="utc"&gt;1456825847&lt;/added-date&gt;&lt;ref-type name="Journal Article"&gt;17&lt;/ref-type&gt;&lt;rec-number&gt;201&lt;/rec-number&gt;&lt;last-updated-date format="utc"&gt;1456825847&lt;/last-updated-date&gt;&lt;accession-num&gt;24362398&lt;/accession-num&gt;&lt;electronic-resource-num&gt;10.1097/ACM.0000000000000121&lt;/electronic-resource-num&gt;&lt;volume&gt;89&lt;/volume&gt;&lt;/record&gt;&lt;/Cite&gt;&lt;/EndNote&gt;</w:instrText>
      </w:r>
      <w:r w:rsidR="00804C11">
        <w:rPr>
          <w:rFonts w:cs="Arial"/>
          <w:szCs w:val="24"/>
        </w:rPr>
        <w:fldChar w:fldCharType="separate"/>
      </w:r>
      <w:r w:rsidR="00804C11">
        <w:rPr>
          <w:rFonts w:cs="Arial"/>
          <w:noProof/>
          <w:szCs w:val="24"/>
        </w:rPr>
        <w:t>(Croskerry et al., 2014)</w:t>
      </w:r>
      <w:r w:rsidR="00804C11">
        <w:rPr>
          <w:rFonts w:cs="Arial"/>
          <w:szCs w:val="24"/>
        </w:rPr>
        <w:fldChar w:fldCharType="end"/>
      </w:r>
      <w:r w:rsidR="00804C11">
        <w:rPr>
          <w:rFonts w:cs="Arial"/>
          <w:szCs w:val="24"/>
        </w:rPr>
        <w:t xml:space="preserve">.  </w:t>
      </w:r>
    </w:p>
    <w:p w14:paraId="301215F4" w14:textId="3F216B76" w:rsidR="00FB2B0A" w:rsidRDefault="00C329EC" w:rsidP="00DE315A">
      <w:pPr>
        <w:rPr>
          <w:rFonts w:cs="Arial"/>
          <w:szCs w:val="24"/>
        </w:rPr>
      </w:pPr>
      <w:r>
        <w:rPr>
          <w:rFonts w:cs="Arial"/>
          <w:szCs w:val="24"/>
        </w:rPr>
        <w:t>F</w:t>
      </w:r>
      <w:r w:rsidR="00804C11">
        <w:rPr>
          <w:rFonts w:cs="Arial"/>
          <w:szCs w:val="24"/>
        </w:rPr>
        <w:t>urther studies exploring decisions made under natu</w:t>
      </w:r>
      <w:r w:rsidR="003D60AC">
        <w:rPr>
          <w:rFonts w:cs="Arial"/>
          <w:szCs w:val="24"/>
        </w:rPr>
        <w:t>ral and experimental conditions</w:t>
      </w:r>
      <w:r w:rsidR="00804C11">
        <w:rPr>
          <w:rFonts w:cs="Arial"/>
          <w:szCs w:val="24"/>
        </w:rPr>
        <w:t xml:space="preserve"> as well as the ‘many contextual variables in medicine’ </w:t>
      </w:r>
      <w:r>
        <w:rPr>
          <w:rFonts w:cs="Arial"/>
          <w:szCs w:val="24"/>
        </w:rPr>
        <w:t>are recommended</w:t>
      </w:r>
      <w:r w:rsidR="00995ECF">
        <w:rPr>
          <w:rFonts w:cs="Arial"/>
          <w:szCs w:val="24"/>
        </w:rPr>
        <w:t>, as well as how this might be applied</w:t>
      </w:r>
      <w:r>
        <w:rPr>
          <w:rFonts w:cs="Arial"/>
          <w:szCs w:val="24"/>
        </w:rPr>
        <w:t xml:space="preserve"> </w:t>
      </w:r>
      <w:r w:rsidR="00B822B0">
        <w:rPr>
          <w:rFonts w:cs="Arial"/>
          <w:szCs w:val="24"/>
        </w:rPr>
        <w:t>in medical education</w:t>
      </w:r>
      <w:r w:rsidR="00804C11">
        <w:rPr>
          <w:rFonts w:cs="Arial"/>
          <w:szCs w:val="24"/>
        </w:rPr>
        <w:t>.</w:t>
      </w:r>
      <w:r w:rsidR="0083385B">
        <w:rPr>
          <w:rFonts w:cs="Arial"/>
          <w:szCs w:val="24"/>
        </w:rPr>
        <w:t xml:space="preserve"> In a letter to </w:t>
      </w:r>
      <w:proofErr w:type="spellStart"/>
      <w:r w:rsidR="00995ECF">
        <w:rPr>
          <w:rFonts w:cs="Arial"/>
          <w:szCs w:val="24"/>
        </w:rPr>
        <w:t>Croskerry</w:t>
      </w:r>
      <w:proofErr w:type="spellEnd"/>
      <w:r w:rsidR="00995ECF">
        <w:rPr>
          <w:rFonts w:cs="Arial"/>
          <w:szCs w:val="24"/>
        </w:rPr>
        <w:t xml:space="preserve"> et al. (2014), </w:t>
      </w:r>
      <w:r w:rsidR="0083385B">
        <w:rPr>
          <w:rFonts w:cs="Arial"/>
          <w:szCs w:val="24"/>
        </w:rPr>
        <w:t>Webster</w:t>
      </w:r>
      <w:r w:rsidR="003E13D5">
        <w:rPr>
          <w:rFonts w:cs="Arial"/>
          <w:szCs w:val="24"/>
        </w:rPr>
        <w:t xml:space="preserve"> (2015)</w:t>
      </w:r>
      <w:r w:rsidR="0083385B">
        <w:rPr>
          <w:rFonts w:cs="Arial"/>
          <w:szCs w:val="24"/>
        </w:rPr>
        <w:t xml:space="preserve"> highlights the fact that ‘doctors are human and future work on improving clinical </w:t>
      </w:r>
      <w:r w:rsidR="001D42C9">
        <w:rPr>
          <w:rFonts w:cs="Arial"/>
          <w:szCs w:val="24"/>
        </w:rPr>
        <w:t>decision-making</w:t>
      </w:r>
      <w:r w:rsidR="0083385B">
        <w:rPr>
          <w:rFonts w:cs="Arial"/>
          <w:szCs w:val="24"/>
        </w:rPr>
        <w:t xml:space="preserve"> lies in new practical ways to support and enhance skills and needs to be more than telling them to slow down’</w:t>
      </w:r>
      <w:r w:rsidR="003E13D5">
        <w:rPr>
          <w:rFonts w:cs="Arial"/>
          <w:szCs w:val="24"/>
        </w:rPr>
        <w:t xml:space="preserve">. </w:t>
      </w:r>
      <w:r w:rsidR="0083385B">
        <w:rPr>
          <w:rFonts w:cs="Arial"/>
          <w:szCs w:val="24"/>
        </w:rPr>
        <w:t>Simulation may act as a resource to allow this</w:t>
      </w:r>
      <w:r w:rsidR="00A07666">
        <w:rPr>
          <w:rFonts w:cs="Arial"/>
          <w:szCs w:val="24"/>
        </w:rPr>
        <w:t>.</w:t>
      </w:r>
    </w:p>
    <w:p w14:paraId="43FBD782" w14:textId="741E6D57" w:rsidR="005A010A" w:rsidRPr="005A010A" w:rsidRDefault="00DE315A" w:rsidP="005A010A">
      <w:r>
        <w:rPr>
          <w:rFonts w:cs="Arial"/>
          <w:szCs w:val="24"/>
        </w:rPr>
        <w:t xml:space="preserve">Simulation in </w:t>
      </w:r>
      <w:r w:rsidR="001D42C9">
        <w:rPr>
          <w:rFonts w:cs="Arial"/>
          <w:szCs w:val="24"/>
        </w:rPr>
        <w:t>healthcare</w:t>
      </w:r>
      <w:r>
        <w:rPr>
          <w:rFonts w:cs="Arial"/>
          <w:szCs w:val="24"/>
        </w:rPr>
        <w:t xml:space="preserve"> is being used to train in human factors because it allows mistakes to be made in a safe and controlled environment. </w:t>
      </w:r>
      <w:r w:rsidR="00A07666">
        <w:rPr>
          <w:rFonts w:cs="Arial"/>
          <w:szCs w:val="24"/>
        </w:rPr>
        <w:t xml:space="preserve">It </w:t>
      </w:r>
      <w:r>
        <w:rPr>
          <w:rFonts w:cs="Arial"/>
          <w:szCs w:val="24"/>
        </w:rPr>
        <w:t xml:space="preserve">has been shown to reduce error in specialities such as anaesthetics </w:t>
      </w:r>
      <w:r>
        <w:rPr>
          <w:rFonts w:cs="Arial"/>
          <w:szCs w:val="24"/>
        </w:rPr>
        <w:fldChar w:fldCharType="begin"/>
      </w:r>
      <w:r w:rsidR="00D41659">
        <w:rPr>
          <w:rFonts w:cs="Arial"/>
          <w:szCs w:val="24"/>
        </w:rPr>
        <w:instrText xml:space="preserve"> ADDIN EN.CITE &lt;EndNote&gt;&lt;Cite&gt;&lt;Author&gt;Flin&lt;/Author&gt;&lt;Year&gt;2009&lt;/Year&gt;&lt;IDText&gt;Improving patient safety through training in non-technical skills&lt;/IDText&gt;&lt;DisplayText&gt;(Flin and Patey, 2009)&lt;/DisplayText&gt;&lt;record&gt;&lt;dates&gt;&lt;pub-dates&gt;&lt;date&gt;Sep 23&lt;/date&gt;&lt;/pub-dates&gt;&lt;year&gt;2009&lt;/year&gt;&lt;/dates&gt;&lt;isbn&gt;0959-8146&lt;/isbn&gt;&lt;titles&gt;&lt;title&gt;Improving patient safety through training in non-technical skills&lt;/title&gt;&lt;secondary-title&gt;British Medical Journal&lt;/secondary-title&gt;&lt;/titles&gt;&lt;contributors&gt;&lt;authors&gt;&lt;author&gt;Flin, Rhona&lt;/author&gt;&lt;author&gt;Patey, Rona&lt;/author&gt;&lt;/authors&gt;&lt;/contributors&gt;&lt;custom7&gt;b3595&lt;/custom7&gt;&lt;added-date format="utc"&gt;1391016469&lt;/added-date&gt;&lt;ref-type name="Journal Article"&gt;17&lt;/ref-type&gt;&lt;rec-number&gt;40&lt;/rec-number&gt;&lt;last-updated-date format="utc"&gt;1391171448&lt;/last-updated-date&gt;&lt;accession-num&gt;WOS:000270231700003&lt;/accession-num&gt;&lt;electronic-resource-num&gt;10.1136/bmj.b3595&lt;/electronic-resource-num&gt;&lt;volume&gt;339&lt;/volume&gt;&lt;/record&gt;&lt;/Cite&gt;&lt;Cite&gt;&lt;Author&gt;Flin&lt;/Author&gt;&lt;Year&gt;2009&lt;/Year&gt;&lt;IDText&gt;Improving patient safety through training in non-technical skills&lt;/IDText&gt;&lt;record&gt;&lt;dates&gt;&lt;pub-dates&gt;&lt;date&gt;Sep 23&lt;/date&gt;&lt;/pub-dates&gt;&lt;year&gt;2009&lt;/year&gt;&lt;/dates&gt;&lt;urls&gt;&lt;related-urls&gt;&lt;url&gt;&amp;lt;Go to ISI&amp;gt;://WOS:000270231700003&lt;/url&gt;&lt;/related-urls&gt;&lt;/urls&gt;&lt;isbn&gt;0959-8146&lt;/isbn&gt;&lt;titles&gt;&lt;title&gt;Improving patient safety through training in non-technical skills&lt;/title&gt;&lt;secondary-title&gt;British Medical Journal&lt;/secondary-title&gt;&lt;/titles&gt;&lt;contributors&gt;&lt;authors&gt;&lt;author&gt;Flin, Rhona&lt;/author&gt;&lt;author&gt;Patey, Rona&lt;/author&gt;&lt;/authors&gt;&lt;/contributors&gt;&lt;custom7&gt;b3595&lt;/custom7&gt;&lt;added-date format="utc"&gt;1391016469&lt;/added-date&gt;&lt;ref-type name="Journal Article"&gt;17&lt;/ref-type&gt;&lt;rec-number&gt;40&lt;/rec-number&gt;&lt;last-updated-date format="utc"&gt;1391171448&lt;/last-updated-date&gt;&lt;accession-num&gt;WOS:000270231700003&lt;/accession-num&gt;&lt;electronic-resource-num&gt;10.1136/bmj.b3595&lt;/electronic-resource-num&gt;&lt;volume&gt;339&lt;/volume&gt;&lt;/record&gt;&lt;/Cite&gt;&lt;/EndNote&gt;</w:instrText>
      </w:r>
      <w:r>
        <w:rPr>
          <w:rFonts w:cs="Arial"/>
          <w:szCs w:val="24"/>
        </w:rPr>
        <w:fldChar w:fldCharType="separate"/>
      </w:r>
      <w:r>
        <w:rPr>
          <w:rFonts w:cs="Arial"/>
          <w:noProof/>
          <w:szCs w:val="24"/>
        </w:rPr>
        <w:t>(Flin and Patey, 2009)</w:t>
      </w:r>
      <w:r>
        <w:rPr>
          <w:rFonts w:cs="Arial"/>
          <w:szCs w:val="24"/>
        </w:rPr>
        <w:fldChar w:fldCharType="end"/>
      </w:r>
      <w:r>
        <w:rPr>
          <w:rFonts w:cs="Arial"/>
          <w:szCs w:val="24"/>
        </w:rPr>
        <w:t xml:space="preserve">. Though there are many organisational factors that contribute to an error, frontline staff </w:t>
      </w:r>
      <w:r w:rsidR="006C290A">
        <w:rPr>
          <w:rFonts w:cs="Arial"/>
          <w:szCs w:val="24"/>
        </w:rPr>
        <w:t xml:space="preserve">can be trained </w:t>
      </w:r>
      <w:r>
        <w:rPr>
          <w:rFonts w:cs="Arial"/>
          <w:szCs w:val="24"/>
        </w:rPr>
        <w:t xml:space="preserve">to be more aware and </w:t>
      </w:r>
      <w:r w:rsidR="00995ECF">
        <w:rPr>
          <w:rFonts w:cs="Arial"/>
          <w:szCs w:val="24"/>
        </w:rPr>
        <w:t xml:space="preserve">to </w:t>
      </w:r>
      <w:r>
        <w:rPr>
          <w:rFonts w:cs="Arial"/>
          <w:szCs w:val="24"/>
        </w:rPr>
        <w:t>reduce ‘active failures’ (‘</w:t>
      </w:r>
      <w:r w:rsidRPr="00DE7E4F">
        <w:rPr>
          <w:rFonts w:cs="Arial"/>
          <w:szCs w:val="24"/>
        </w:rPr>
        <w:t>inadequa</w:t>
      </w:r>
      <w:r>
        <w:rPr>
          <w:rFonts w:cs="Arial"/>
          <w:szCs w:val="24"/>
        </w:rPr>
        <w:t xml:space="preserve">te </w:t>
      </w:r>
      <w:r w:rsidRPr="00DE7E4F">
        <w:rPr>
          <w:rFonts w:cs="Arial"/>
          <w:szCs w:val="24"/>
        </w:rPr>
        <w:t>handover, failure to monit</w:t>
      </w:r>
      <w:r>
        <w:rPr>
          <w:rFonts w:cs="Arial"/>
          <w:szCs w:val="24"/>
        </w:rPr>
        <w:t>or, lack of preoperative check</w:t>
      </w:r>
      <w:r w:rsidRPr="00DE7E4F">
        <w:rPr>
          <w:rFonts w:cs="Arial"/>
          <w:szCs w:val="24"/>
        </w:rPr>
        <w:t>, incorre</w:t>
      </w:r>
      <w:r>
        <w:rPr>
          <w:rFonts w:cs="Arial"/>
          <w:szCs w:val="24"/>
        </w:rPr>
        <w:t xml:space="preserve">ct treatment, not seeking help’) </w:t>
      </w:r>
      <w:r>
        <w:rPr>
          <w:rFonts w:cs="Arial"/>
          <w:szCs w:val="24"/>
        </w:rPr>
        <w:fldChar w:fldCharType="begin"/>
      </w:r>
      <w:r>
        <w:rPr>
          <w:rFonts w:cs="Arial"/>
          <w:szCs w:val="24"/>
        </w:rPr>
        <w:instrText xml:space="preserve"> ADDIN EN.CITE &lt;EndNote&gt;&lt;Cite&gt;&lt;Author&gt;Mahajan&lt;/Author&gt;&lt;Year&gt;2010&lt;/Year&gt;&lt;IDText&gt;Critical incident reporting and learning&lt;/IDText&gt;&lt;DisplayText&gt;(Mahajan, 2010)&lt;/DisplayText&gt;&lt;record&gt;&lt;dates&gt;&lt;pub-dates&gt;&lt;date&gt;Jul&lt;/date&gt;&lt;/pub-dates&gt;&lt;year&gt;2010&lt;/year&gt;&lt;/dates&gt;&lt;urls&gt;&lt;related-urls&gt;&lt;url&gt;&amp;lt;Go to ISI&amp;gt;://WOS:000278969500012&lt;/url&gt;&lt;/related-urls&gt;&lt;/urls&gt;&lt;isbn&gt;0007-0912&lt;/isbn&gt;&lt;titles&gt;&lt;title&gt;Critical incident reporting and learning&lt;/title&gt;&lt;secondary-title&gt;British Journal of Anaesthesia&lt;/secondary-title&gt;&lt;/titles&gt;&lt;pages&gt;69-75&lt;/pages&gt;&lt;number&gt;1&lt;/number&gt;&lt;contributors&gt;&lt;authors&gt;&lt;author&gt;Mahajan, R. P.&lt;/author&gt;&lt;/authors&gt;&lt;/contributors&gt;&lt;added-date format="utc"&gt;1398169149&lt;/added-date&gt;&lt;ref-type name="Journal Article"&gt;17&lt;/ref-type&gt;&lt;rec-number&gt;77&lt;/rec-number&gt;&lt;last-updated-date format="utc"&gt;1398169262&lt;/last-updated-date&gt;&lt;accession-num&gt;WOS:000278969500012&lt;/accession-num&gt;&lt;electronic-resource-num&gt;10.1093/bja/aeq133&lt;/electronic-resource-num&gt;&lt;volume&gt;105&lt;/volume&gt;&lt;/record&gt;&lt;/Cite&gt;&lt;Cite&gt;&lt;Author&gt;Mahajan&lt;/Author&gt;&lt;Year&gt;2010&lt;/Year&gt;&lt;IDText&gt;Critical incident reporting and learning&lt;/IDText&gt;&lt;record&gt;&lt;dates&gt;&lt;pub-dates&gt;&lt;date&gt;Jul&lt;/date&gt;&lt;/pub-dates&gt;&lt;year&gt;2010&lt;/year&gt;&lt;/dates&gt;&lt;urls&gt;&lt;related-urls&gt;&lt;url&gt;&amp;lt;Go to ISI&amp;gt;://WOS:000278969500012&lt;/url&gt;&lt;/related-urls&gt;&lt;/urls&gt;&lt;isbn&gt;0007-0912&lt;/isbn&gt;&lt;titles&gt;&lt;title&gt;Critical incident reporting and learning&lt;/title&gt;&lt;secondary-title&gt;British Journal of Anaesthesia&lt;/secondary-title&gt;&lt;/titles&gt;&lt;pages&gt;69-75&lt;/pages&gt;&lt;number&gt;1&lt;/number&gt;&lt;contributors&gt;&lt;authors&gt;&lt;author&gt;Mahajan, R. P.&lt;/author&gt;&lt;/authors&gt;&lt;/contributors&gt;&lt;added-date format="utc"&gt;1398169149&lt;/added-date&gt;&lt;ref-type name="Journal Article"&gt;17&lt;/ref-type&gt;&lt;rec-number&gt;77&lt;/rec-number&gt;&lt;last-updated-date format="utc"&gt;1398169262&lt;/last-updated-date&gt;&lt;accession-num&gt;WOS:000278969500012&lt;/accession-num&gt;&lt;electronic-resource-num&gt;10.1093/bja/aeq133&lt;/electronic-resource-num&gt;&lt;volume&gt;105&lt;/volume&gt;&lt;/record&gt;&lt;/Cite&gt;&lt;/EndNote&gt;</w:instrText>
      </w:r>
      <w:r>
        <w:rPr>
          <w:rFonts w:cs="Arial"/>
          <w:szCs w:val="24"/>
        </w:rPr>
        <w:fldChar w:fldCharType="separate"/>
      </w:r>
      <w:r>
        <w:rPr>
          <w:rFonts w:cs="Arial"/>
          <w:noProof/>
          <w:szCs w:val="24"/>
        </w:rPr>
        <w:t>(Mahajan, 2010)</w:t>
      </w:r>
      <w:r>
        <w:rPr>
          <w:rFonts w:cs="Arial"/>
          <w:szCs w:val="24"/>
        </w:rPr>
        <w:fldChar w:fldCharType="end"/>
      </w:r>
      <w:r>
        <w:rPr>
          <w:rFonts w:cs="Arial"/>
          <w:szCs w:val="24"/>
        </w:rPr>
        <w:t>.</w:t>
      </w:r>
    </w:p>
    <w:p w14:paraId="18C68FC6" w14:textId="7F047E49" w:rsidR="00F6652D" w:rsidRDefault="00F6652D" w:rsidP="00CA53EB">
      <w:pPr>
        <w:pStyle w:val="Heading2"/>
      </w:pPr>
      <w:bookmarkStart w:id="47" w:name="_Toc343501096"/>
      <w:bookmarkStart w:id="48" w:name="_Toc348686297"/>
      <w:bookmarkStart w:id="49" w:name="_Toc419116095"/>
      <w:r w:rsidRPr="005F454B">
        <w:lastRenderedPageBreak/>
        <w:t>Simulation</w:t>
      </w:r>
      <w:bookmarkEnd w:id="47"/>
      <w:bookmarkEnd w:id="48"/>
      <w:r w:rsidR="00B04D44">
        <w:t xml:space="preserve"> in healthcare</w:t>
      </w:r>
      <w:bookmarkEnd w:id="49"/>
      <w:r w:rsidRPr="005F454B">
        <w:t xml:space="preserve"> </w:t>
      </w:r>
    </w:p>
    <w:p w14:paraId="79B3A07F" w14:textId="77777777" w:rsidR="00DE315A" w:rsidRDefault="00DE315A" w:rsidP="00DE315A"/>
    <w:p w14:paraId="75E78105" w14:textId="5DF8EF18" w:rsidR="005F4E8C" w:rsidRDefault="005F4E8C" w:rsidP="00DE315A">
      <w:pPr>
        <w:rPr>
          <w:rFonts w:cs="Arial"/>
          <w:szCs w:val="24"/>
        </w:rPr>
      </w:pPr>
      <w:r>
        <w:rPr>
          <w:rFonts w:cs="Arial"/>
          <w:szCs w:val="24"/>
        </w:rPr>
        <w:t>According to Issenberg et al. (1999), m</w:t>
      </w:r>
      <w:r w:rsidR="003E098E">
        <w:rPr>
          <w:rFonts w:cs="Arial"/>
          <w:szCs w:val="24"/>
        </w:rPr>
        <w:t xml:space="preserve">edical simulation </w:t>
      </w:r>
      <w:r>
        <w:rPr>
          <w:rFonts w:cs="Arial"/>
          <w:szCs w:val="24"/>
        </w:rPr>
        <w:t xml:space="preserve">is </w:t>
      </w:r>
      <w:r w:rsidR="00DE315A">
        <w:rPr>
          <w:rFonts w:cs="Arial"/>
          <w:szCs w:val="24"/>
        </w:rPr>
        <w:t xml:space="preserve">defined as “a person, device, or set of conditions which attempts to present [education and] evaluation problems authentically. The trainee receives performance feedback as if they were in the real situation” </w:t>
      </w:r>
      <w:r w:rsidR="00DE315A">
        <w:rPr>
          <w:rFonts w:cs="Arial"/>
          <w:szCs w:val="24"/>
        </w:rPr>
        <w:fldChar w:fldCharType="begin">
          <w:fldData xml:space="preserve">PEVuZE5vdGU+PENpdGU+PEF1dGhvcj5Jc3NlbmJlcmc8L0F1dGhvcj48WWVhcj4xOTk5PC9ZZWFy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</w:fldData>
        </w:fldChar>
      </w:r>
      <w:r w:rsidR="00D41659">
        <w:rPr>
          <w:rFonts w:cs="Arial"/>
          <w:szCs w:val="24"/>
        </w:rPr>
        <w:instrText xml:space="preserve"> ADDIN EN.CITE </w:instrText>
      </w:r>
      <w:r w:rsidR="00D41659">
        <w:rPr>
          <w:rFonts w:cs="Arial"/>
          <w:szCs w:val="24"/>
        </w:rPr>
        <w:fldChar w:fldCharType="begin">
          <w:fldData xml:space="preserve">PEVuZE5vdGU+PENpdGU+PEF1dGhvcj5Jc3NlbmJlcmc8L0F1dGhvcj48WWVhcj4xOTk5PC9ZZWFy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</w:fldData>
        </w:fldChar>
      </w:r>
      <w:r w:rsidR="00D41659">
        <w:rPr>
          <w:rFonts w:cs="Arial"/>
          <w:szCs w:val="24"/>
        </w:rPr>
        <w:instrText xml:space="preserve"> ADDIN EN.CITE.DATA </w:instrText>
      </w:r>
      <w:r w:rsidR="00D41659">
        <w:rPr>
          <w:rFonts w:cs="Arial"/>
          <w:szCs w:val="24"/>
        </w:rPr>
      </w:r>
      <w:r w:rsidR="00D41659">
        <w:rPr>
          <w:rFonts w:cs="Arial"/>
          <w:szCs w:val="24"/>
        </w:rPr>
        <w:fldChar w:fldCharType="end"/>
      </w:r>
      <w:r w:rsidR="00DE315A">
        <w:rPr>
          <w:rFonts w:cs="Arial"/>
          <w:szCs w:val="24"/>
        </w:rPr>
      </w:r>
      <w:r w:rsidR="00DE315A">
        <w:rPr>
          <w:rFonts w:cs="Arial"/>
          <w:szCs w:val="24"/>
        </w:rPr>
        <w:fldChar w:fldCharType="separate"/>
      </w:r>
      <w:r w:rsidR="00DE315A">
        <w:rPr>
          <w:rFonts w:cs="Arial"/>
          <w:noProof/>
          <w:szCs w:val="24"/>
        </w:rPr>
        <w:t>(Issenberg et al., 1999)</w:t>
      </w:r>
      <w:r w:rsidR="00DE315A">
        <w:rPr>
          <w:rFonts w:cs="Arial"/>
          <w:szCs w:val="24"/>
        </w:rPr>
        <w:fldChar w:fldCharType="end"/>
      </w:r>
      <w:r w:rsidR="00DE315A">
        <w:rPr>
          <w:rFonts w:cs="Arial"/>
          <w:szCs w:val="24"/>
        </w:rPr>
        <w:t xml:space="preserve">. </w:t>
      </w:r>
      <w:r w:rsidR="004F2BFB">
        <w:rPr>
          <w:rFonts w:cs="Arial"/>
          <w:szCs w:val="24"/>
        </w:rPr>
        <w:fldChar w:fldCharType="begin"/>
      </w:r>
      <w:r w:rsidR="006102D5">
        <w:rPr>
          <w:rFonts w:cs="Arial"/>
          <w:szCs w:val="24"/>
        </w:rPr>
        <w:instrText xml:space="preserve"> ADDIN EN.CITE &lt;EndNote&gt;&lt;Cite&gt;&lt;Author&gt;Gaba&lt;/Author&gt;&lt;Year&gt;2004&lt;/Year&gt;&lt;IDText&gt;The future vision of simulation in health care&lt;/IDText&gt;&lt;DisplayText&gt;(Gaba, 2004)&lt;/DisplayText&gt;&lt;record&gt;&lt;dates&gt;&lt;pub-dates&gt;&lt;date&gt;Oct&lt;/date&gt;&lt;/pub-dates&gt;&lt;year&gt;2004&lt;/year&gt;&lt;/dates&gt;&lt;urls&gt;&lt;related-urls&gt;&lt;url&gt;&amp;lt;Go to ISI&amp;gt;://WOS:000224749200002&lt;/url&gt;&lt;/related-urls&gt;&lt;/urls&gt;&lt;isbn&gt;1475-3898&lt;/isbn&gt;&lt;titles&gt;&lt;title&gt;The future vision of simulation in health care&lt;/title&gt;&lt;secondary-title&gt;Quality &amp;amp; Safety in Health Care&lt;/secondary-title&gt;&lt;/titles&gt;&lt;pages&gt;I2-I10&lt;/pages&gt;&lt;contributors&gt;&lt;authors&gt;&lt;author&gt;Gaba, D. M.&lt;/author&gt;&lt;/authors&gt;&lt;/contributors&gt;&lt;added-date format="utc"&gt;1391166501&lt;/added-date&gt;&lt;ref-type name="Journal Article"&gt;17&lt;/ref-type&gt;&lt;rec-number&gt;67&lt;/rec-number&gt;&lt;last-updated-date format="utc"&gt;1391171448&lt;/last-updated-date&gt;&lt;accession-num&gt;WOS:000224749200002&lt;/accession-num&gt;&lt;electronic-resource-num&gt;10.1136/qshc.2004.009878&lt;/electronic-resource-num&gt;&lt;volume&gt;13&lt;/volume&gt;&lt;/record&gt;&lt;/Cite&gt;&lt;/EndNote&gt;</w:instrText>
      </w:r>
      <w:r w:rsidR="004F2BFB">
        <w:rPr>
          <w:rFonts w:cs="Arial"/>
          <w:szCs w:val="24"/>
        </w:rPr>
        <w:fldChar w:fldCharType="separate"/>
      </w:r>
      <w:r w:rsidR="00324FC3">
        <w:rPr>
          <w:rFonts w:cs="Arial"/>
          <w:noProof/>
          <w:szCs w:val="24"/>
        </w:rPr>
        <w:t>Gaba</w:t>
      </w:r>
      <w:r w:rsidR="006102D5">
        <w:rPr>
          <w:rFonts w:cs="Arial"/>
          <w:noProof/>
          <w:szCs w:val="24"/>
        </w:rPr>
        <w:t xml:space="preserve"> </w:t>
      </w:r>
      <w:r w:rsidR="00324FC3">
        <w:rPr>
          <w:rFonts w:cs="Arial"/>
          <w:noProof/>
          <w:szCs w:val="24"/>
        </w:rPr>
        <w:t>(</w:t>
      </w:r>
      <w:r w:rsidR="006102D5">
        <w:rPr>
          <w:rFonts w:cs="Arial"/>
          <w:noProof/>
          <w:szCs w:val="24"/>
        </w:rPr>
        <w:t>2004)</w:t>
      </w:r>
      <w:r w:rsidR="004F2BFB">
        <w:rPr>
          <w:rFonts w:cs="Arial"/>
          <w:szCs w:val="24"/>
        </w:rPr>
        <w:fldChar w:fldCharType="end"/>
      </w:r>
      <w:r w:rsidR="004F2BFB">
        <w:rPr>
          <w:rFonts w:cs="Arial"/>
          <w:szCs w:val="24"/>
        </w:rPr>
        <w:t xml:space="preserve"> </w:t>
      </w:r>
      <w:r w:rsidR="00324FC3">
        <w:rPr>
          <w:rFonts w:cs="Arial"/>
          <w:szCs w:val="24"/>
        </w:rPr>
        <w:t>describes</w:t>
      </w:r>
      <w:r w:rsidR="00DE315A">
        <w:rPr>
          <w:rFonts w:cs="Arial"/>
          <w:szCs w:val="24"/>
        </w:rPr>
        <w:t xml:space="preserve"> the goal of simulation as ‘replicating a realistic patient care scenario for the purpose of feedback and assessment allowing learning through experimentation, error and ability to re-run the scenario without harming patients’</w:t>
      </w:r>
      <w:r w:rsidR="004F2BFB">
        <w:rPr>
          <w:rFonts w:cs="Arial"/>
          <w:szCs w:val="24"/>
        </w:rPr>
        <w:t xml:space="preserve">. </w:t>
      </w:r>
      <w:r w:rsidR="00DE315A">
        <w:rPr>
          <w:rFonts w:cs="Arial"/>
          <w:szCs w:val="24"/>
        </w:rPr>
        <w:t>Simulation is reproducible, safe and predictable</w:t>
      </w:r>
      <w:r w:rsidR="00A941E8">
        <w:rPr>
          <w:rFonts w:cs="Arial"/>
          <w:szCs w:val="24"/>
        </w:rPr>
        <w:t>,</w:t>
      </w:r>
      <w:r w:rsidR="00DE315A">
        <w:rPr>
          <w:rFonts w:cs="Arial"/>
          <w:szCs w:val="24"/>
        </w:rPr>
        <w:t xml:space="preserve"> in contrast to the traditional</w:t>
      </w:r>
      <w:r w:rsidR="00A941E8">
        <w:rPr>
          <w:rFonts w:cs="Arial"/>
          <w:szCs w:val="24"/>
        </w:rPr>
        <w:t>,</w:t>
      </w:r>
      <w:r w:rsidR="00DE315A">
        <w:rPr>
          <w:rFonts w:cs="Arial"/>
          <w:szCs w:val="24"/>
        </w:rPr>
        <w:t xml:space="preserve"> ward</w:t>
      </w:r>
      <w:r w:rsidR="00A941E8">
        <w:rPr>
          <w:rFonts w:cs="Arial"/>
          <w:szCs w:val="24"/>
        </w:rPr>
        <w:t>-</w:t>
      </w:r>
      <w:r w:rsidR="00DE315A">
        <w:rPr>
          <w:rFonts w:cs="Arial"/>
          <w:szCs w:val="24"/>
        </w:rPr>
        <w:t xml:space="preserve">based approach </w:t>
      </w:r>
      <w:r w:rsidR="00DE315A">
        <w:rPr>
          <w:rFonts w:cs="Arial"/>
          <w:szCs w:val="24"/>
        </w:rPr>
        <w:fldChar w:fldCharType="begin">
          <w:fldData xml:space="preserve">PEVuZE5vdGU+PENpdGU+PEF1dGhvcj5NY0dhZ2hpZTwvQXV0aG9yPjxZZWFyPjIwMDk8L1llYXI+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</w:fldData>
        </w:fldChar>
      </w:r>
      <w:r w:rsidR="00DE315A">
        <w:rPr>
          <w:rFonts w:cs="Arial"/>
          <w:szCs w:val="24"/>
        </w:rPr>
        <w:instrText xml:space="preserve"> ADDIN EN.CITE </w:instrText>
      </w:r>
      <w:r w:rsidR="00DE315A">
        <w:rPr>
          <w:rFonts w:cs="Arial"/>
          <w:szCs w:val="24"/>
        </w:rPr>
        <w:fldChar w:fldCharType="begin">
          <w:fldData xml:space="preserve">PEVuZE5vdGU+PENpdGU+PEF1dGhvcj5NY0dhZ2hpZTwvQXV0aG9yPjxZZWFyPjIwMDk8L1llYXI+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</w:fldData>
        </w:fldChar>
      </w:r>
      <w:r w:rsidR="00DE315A">
        <w:rPr>
          <w:rFonts w:cs="Arial"/>
          <w:szCs w:val="24"/>
        </w:rPr>
        <w:instrText xml:space="preserve"> ADDIN EN.CITE.DATA </w:instrText>
      </w:r>
      <w:r w:rsidR="00DE315A">
        <w:rPr>
          <w:rFonts w:cs="Arial"/>
          <w:szCs w:val="24"/>
        </w:rPr>
      </w:r>
      <w:r w:rsidR="00DE315A">
        <w:rPr>
          <w:rFonts w:cs="Arial"/>
          <w:szCs w:val="24"/>
        </w:rPr>
        <w:fldChar w:fldCharType="end"/>
      </w:r>
      <w:r w:rsidR="00DE315A">
        <w:rPr>
          <w:rFonts w:cs="Arial"/>
          <w:szCs w:val="24"/>
        </w:rPr>
      </w:r>
      <w:r w:rsidR="00DE315A">
        <w:rPr>
          <w:rFonts w:cs="Arial"/>
          <w:szCs w:val="24"/>
        </w:rPr>
        <w:fldChar w:fldCharType="separate"/>
      </w:r>
      <w:r w:rsidR="00DE315A">
        <w:rPr>
          <w:rFonts w:cs="Arial"/>
          <w:noProof/>
          <w:szCs w:val="24"/>
        </w:rPr>
        <w:t>(McGaghie et al., 2009)</w:t>
      </w:r>
      <w:r w:rsidR="00DE315A">
        <w:rPr>
          <w:rFonts w:cs="Arial"/>
          <w:szCs w:val="24"/>
        </w:rPr>
        <w:fldChar w:fldCharType="end"/>
      </w:r>
      <w:r w:rsidR="00DE315A">
        <w:rPr>
          <w:rFonts w:cs="Arial"/>
          <w:szCs w:val="24"/>
        </w:rPr>
        <w:t xml:space="preserve">. </w:t>
      </w:r>
      <w:r w:rsidR="00A06A6B">
        <w:rPr>
          <w:rFonts w:cs="Arial"/>
          <w:szCs w:val="24"/>
        </w:rPr>
        <w:t xml:space="preserve">Simulation relies on experiential learning though ‘verbal or physical interaction with the simulated </w:t>
      </w:r>
      <w:r w:rsidR="00A74AA5">
        <w:rPr>
          <w:rFonts w:cs="Arial"/>
          <w:szCs w:val="24"/>
        </w:rPr>
        <w:t>components</w:t>
      </w:r>
      <w:r w:rsidR="00A06A6B">
        <w:rPr>
          <w:rFonts w:cs="Arial"/>
          <w:szCs w:val="24"/>
        </w:rPr>
        <w:t xml:space="preserve"> or patients </w:t>
      </w:r>
      <w:r w:rsidR="004F2BFB">
        <w:rPr>
          <w:rFonts w:cs="Arial"/>
          <w:szCs w:val="24"/>
        </w:rPr>
        <w:fldChar w:fldCharType="begin">
          <w:fldData xml:space="preserve">PEVuZE5vdGU+PENpdGU+PEF1dGhvcj5HYWJhPC9BdXRob3I+PFllYXI+MTk5MjwvWWVhcj48SURU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</w:fldData>
        </w:fldChar>
      </w:r>
      <w:r w:rsidR="00A06A6B">
        <w:rPr>
          <w:rFonts w:cs="Arial"/>
          <w:szCs w:val="24"/>
        </w:rPr>
        <w:instrText xml:space="preserve"> ADDIN EN.CITE </w:instrText>
      </w:r>
      <w:r w:rsidR="00A06A6B">
        <w:rPr>
          <w:rFonts w:cs="Arial"/>
          <w:szCs w:val="24"/>
        </w:rPr>
        <w:fldChar w:fldCharType="begin">
          <w:fldData xml:space="preserve">PEVuZE5vdGU+PENpdGU+PEF1dGhvcj5HYWJhPC9BdXRob3I+PFllYXI+MTk5MjwvWWVhcj48SURU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</w:fldData>
        </w:fldChar>
      </w:r>
      <w:r w:rsidR="00A06A6B">
        <w:rPr>
          <w:rFonts w:cs="Arial"/>
          <w:szCs w:val="24"/>
        </w:rPr>
        <w:instrText xml:space="preserve"> ADDIN EN.CITE.DATA </w:instrText>
      </w:r>
      <w:r w:rsidR="00A06A6B">
        <w:rPr>
          <w:rFonts w:cs="Arial"/>
          <w:szCs w:val="24"/>
        </w:rPr>
      </w:r>
      <w:r w:rsidR="00A06A6B">
        <w:rPr>
          <w:rFonts w:cs="Arial"/>
          <w:szCs w:val="24"/>
        </w:rPr>
        <w:fldChar w:fldCharType="end"/>
      </w:r>
      <w:r w:rsidR="004F2BFB">
        <w:rPr>
          <w:rFonts w:cs="Arial"/>
          <w:szCs w:val="24"/>
        </w:rPr>
      </w:r>
      <w:r w:rsidR="004F2BFB">
        <w:rPr>
          <w:rFonts w:cs="Arial"/>
          <w:szCs w:val="24"/>
        </w:rPr>
        <w:fldChar w:fldCharType="separate"/>
      </w:r>
      <w:r w:rsidR="00A06A6B">
        <w:rPr>
          <w:rFonts w:cs="Arial"/>
          <w:noProof/>
          <w:szCs w:val="24"/>
        </w:rPr>
        <w:t>(Gaba, 1992, Chiniara et al., 2013)</w:t>
      </w:r>
      <w:r w:rsidR="004F2BFB">
        <w:rPr>
          <w:rFonts w:cs="Arial"/>
          <w:szCs w:val="24"/>
        </w:rPr>
        <w:fldChar w:fldCharType="end"/>
      </w:r>
      <w:r w:rsidR="006F0149">
        <w:rPr>
          <w:rFonts w:cs="Arial"/>
          <w:szCs w:val="24"/>
        </w:rPr>
        <w:t>. Gaba (1992)</w:t>
      </w:r>
      <w:r w:rsidR="004F2BFB">
        <w:rPr>
          <w:rFonts w:cs="Arial"/>
          <w:szCs w:val="24"/>
        </w:rPr>
        <w:t xml:space="preserve"> </w:t>
      </w:r>
      <w:r w:rsidR="00DE315A">
        <w:rPr>
          <w:rFonts w:cs="Arial"/>
          <w:szCs w:val="24"/>
        </w:rPr>
        <w:t>stresses that ‘no industry in which human lives depend on skilled performance has waited for unequivocal proof of the benefits of simulation before embracing it’</w:t>
      </w:r>
      <w:r w:rsidR="004F2BFB">
        <w:rPr>
          <w:rFonts w:cs="Arial"/>
          <w:szCs w:val="24"/>
        </w:rPr>
        <w:t xml:space="preserve">. </w:t>
      </w:r>
      <w:r w:rsidR="00DE315A">
        <w:rPr>
          <w:rFonts w:cs="Arial"/>
          <w:szCs w:val="24"/>
        </w:rPr>
        <w:t>However medic</w:t>
      </w:r>
      <w:r w:rsidR="00D64B71">
        <w:rPr>
          <w:rFonts w:cs="Arial"/>
          <w:szCs w:val="24"/>
        </w:rPr>
        <w:t>ine</w:t>
      </w:r>
      <w:r w:rsidR="00DE315A">
        <w:rPr>
          <w:rFonts w:cs="Arial"/>
          <w:szCs w:val="24"/>
        </w:rPr>
        <w:t xml:space="preserve"> has been slow to adopt </w:t>
      </w:r>
      <w:r w:rsidR="00122D9B">
        <w:rPr>
          <w:rFonts w:cs="Arial"/>
          <w:szCs w:val="24"/>
        </w:rPr>
        <w:t xml:space="preserve">simulation, </w:t>
      </w:r>
      <w:r w:rsidR="00B04D44">
        <w:rPr>
          <w:rFonts w:cs="Arial"/>
          <w:szCs w:val="24"/>
        </w:rPr>
        <w:t xml:space="preserve">likely </w:t>
      </w:r>
      <w:r w:rsidR="00DE315A">
        <w:rPr>
          <w:rFonts w:cs="Arial"/>
          <w:szCs w:val="24"/>
        </w:rPr>
        <w:t xml:space="preserve">due to traditional views on how medicine should be taught, equipment </w:t>
      </w:r>
      <w:r w:rsidR="00D64B71">
        <w:rPr>
          <w:rFonts w:cs="Arial"/>
          <w:szCs w:val="24"/>
        </w:rPr>
        <w:t xml:space="preserve">cost </w:t>
      </w:r>
      <w:r w:rsidR="00DE315A">
        <w:rPr>
          <w:rFonts w:cs="Arial"/>
          <w:szCs w:val="24"/>
        </w:rPr>
        <w:t xml:space="preserve">and </w:t>
      </w:r>
      <w:r w:rsidR="00D64B71">
        <w:rPr>
          <w:rFonts w:cs="Arial"/>
          <w:szCs w:val="24"/>
        </w:rPr>
        <w:t>requiring</w:t>
      </w:r>
      <w:r w:rsidR="00DE315A">
        <w:rPr>
          <w:rFonts w:cs="Arial"/>
          <w:szCs w:val="24"/>
        </w:rPr>
        <w:t xml:space="preserve"> a suitable environment </w:t>
      </w:r>
      <w:r w:rsidR="00B04D44">
        <w:rPr>
          <w:rFonts w:cs="Arial"/>
          <w:szCs w:val="24"/>
        </w:rPr>
        <w:t>with</w:t>
      </w:r>
      <w:r w:rsidR="00DE315A">
        <w:rPr>
          <w:rFonts w:cs="Arial"/>
          <w:szCs w:val="24"/>
        </w:rPr>
        <w:t xml:space="preserve"> faculty </w:t>
      </w:r>
      <w:r w:rsidR="00D64B71">
        <w:rPr>
          <w:rFonts w:cs="Arial"/>
          <w:szCs w:val="24"/>
        </w:rPr>
        <w:t>available</w:t>
      </w:r>
      <w:r w:rsidR="00DE315A">
        <w:rPr>
          <w:rFonts w:cs="Arial"/>
          <w:szCs w:val="24"/>
        </w:rPr>
        <w:t xml:space="preserve">. </w:t>
      </w:r>
      <w:r w:rsidR="008F7025">
        <w:rPr>
          <w:rFonts w:cs="Arial"/>
          <w:szCs w:val="24"/>
        </w:rPr>
        <w:t>Initially simulation focussed on the use of mannequins and education centres</w:t>
      </w:r>
      <w:r w:rsidR="00932CF0">
        <w:rPr>
          <w:rFonts w:cs="Arial"/>
          <w:szCs w:val="24"/>
        </w:rPr>
        <w:t>,</w:t>
      </w:r>
      <w:r w:rsidR="008F7025">
        <w:rPr>
          <w:rFonts w:cs="Arial"/>
          <w:szCs w:val="24"/>
        </w:rPr>
        <w:t xml:space="preserve"> however </w:t>
      </w:r>
      <w:r w:rsidR="00A74AA5">
        <w:rPr>
          <w:rFonts w:cs="Arial"/>
          <w:szCs w:val="24"/>
        </w:rPr>
        <w:t>attempts</w:t>
      </w:r>
      <w:r w:rsidR="008F7025">
        <w:rPr>
          <w:rFonts w:cs="Arial"/>
          <w:szCs w:val="24"/>
        </w:rPr>
        <w:t xml:space="preserve"> to improve reality have led to in-situ simulation to bring the learning in to actual clinical environments and use of simulated patients either actors or real patients with chronic conditions that can help educate</w:t>
      </w:r>
      <w:r w:rsidR="00DD738A">
        <w:rPr>
          <w:rFonts w:cs="Arial"/>
          <w:szCs w:val="24"/>
        </w:rPr>
        <w:t xml:space="preserve"> </w:t>
      </w:r>
      <w:r w:rsidR="00DD738A">
        <w:rPr>
          <w:rFonts w:cs="Arial"/>
          <w:szCs w:val="24"/>
        </w:rPr>
        <w:fldChar w:fldCharType="begin"/>
      </w:r>
      <w:r w:rsidR="00DD738A">
        <w:rPr>
          <w:rFonts w:cs="Arial"/>
          <w:szCs w:val="24"/>
        </w:rPr>
        <w:instrText xml:space="preserve"> ADDIN EN.CITE &lt;EndNote&gt;&lt;Cite&gt;&lt;Author&gt;Chiniara&lt;/Author&gt;&lt;Year&gt;2013&lt;/Year&gt;&lt;IDText&gt;Simulation in healthcare: a taxonomy and a conceptual framework for instructional design and media selection&lt;/IDText&gt;&lt;DisplayText&gt;(Chiniara et al., 2013)&lt;/DisplayText&gt;&lt;record&gt;&lt;dates&gt;&lt;pub-dates&gt;&lt;date&gt;Aug&lt;/date&gt;&lt;/pub-dates&gt;&lt;year&gt;2013&lt;/year&gt;&lt;/dates&gt;&lt;keywords&gt;&lt;keyword&gt;Computer Simulation&lt;/keyword&gt;&lt;keyword&gt;Education, Medical&lt;/keyword&gt;&lt;keyword&gt;Feedback&lt;/keyword&gt;&lt;keyword&gt;Humans&lt;/keyword&gt;&lt;keyword&gt;Learning&lt;/keyword&gt;&lt;keyword&gt;Models, Educational&lt;/keyword&gt;&lt;keyword&gt;Patient Simulation&lt;/keyword&gt;&lt;keyword&gt;Teaching&lt;/keyword&gt;&lt;/keywords&gt;&lt;urls&gt;&lt;related-urls&gt;&lt;url&gt;https://www.ncbi.nlm.nih.gov/pubmed/23121247&lt;/url&gt;&lt;/related-urls&gt;&lt;/urls&gt;&lt;isbn&gt;1466-187X&lt;/isbn&gt;&lt;titles&gt;&lt;title&gt;Simulation in healthcare: a taxonomy and a conceptual framework for instructional design and media selection&lt;/title&gt;&lt;secondary-title&gt;Med Teach&lt;/secondary-title&gt;&lt;/titles&gt;&lt;pages&gt;e1380-95&lt;/pages&gt;&lt;number&gt;8&lt;/number&gt;&lt;contributors&gt;&lt;authors&gt;&lt;author&gt;Chiniara, G.&lt;/author&gt;&lt;author&gt;Cole, G.&lt;/author&gt;&lt;author&gt;Brisbin, K.&lt;/author&gt;&lt;author&gt;Huffman, D.&lt;/author&gt;&lt;author&gt;Cragg, B.&lt;/author&gt;&lt;author&gt;Lamacchia, M.&lt;/author&gt;&lt;author&gt;Norman, D.&lt;/author&gt;&lt;author&gt;Canadian Network For Simulation In Healthcare, G.idelines Working Group&lt;/author&gt;&lt;/authors&gt;&lt;/contributors&gt;&lt;language&gt;eng&lt;/language&gt;&lt;added-date format="utc"&gt;1472551280&lt;/added-date&gt;&lt;ref-type name="Journal Article"&gt;17&lt;/ref-type&gt;&lt;rec-number&gt;268&lt;/rec-number&gt;&lt;last-updated-date format="utc"&gt;1472551280&lt;/last-updated-date&gt;&lt;accession-num&gt;23121247&lt;/accession-num&gt;&lt;electronic-resource-num&gt;10.3109/0142159X.2012.733451&lt;/electronic-resource-num&gt;&lt;volume&gt;35&lt;/volume&gt;&lt;/record&gt;&lt;/Cite&gt;&lt;/EndNote&gt;</w:instrText>
      </w:r>
      <w:r w:rsidR="00DD738A">
        <w:rPr>
          <w:rFonts w:cs="Arial"/>
          <w:szCs w:val="24"/>
        </w:rPr>
        <w:fldChar w:fldCharType="separate"/>
      </w:r>
      <w:r w:rsidR="00DD738A">
        <w:rPr>
          <w:rFonts w:cs="Arial"/>
          <w:noProof/>
          <w:szCs w:val="24"/>
        </w:rPr>
        <w:t>(Chiniara et al., 2013)</w:t>
      </w:r>
      <w:r w:rsidR="00DD738A">
        <w:rPr>
          <w:rFonts w:cs="Arial"/>
          <w:szCs w:val="24"/>
        </w:rPr>
        <w:fldChar w:fldCharType="end"/>
      </w:r>
      <w:r w:rsidR="008F7025">
        <w:rPr>
          <w:rFonts w:cs="Arial"/>
          <w:szCs w:val="24"/>
        </w:rPr>
        <w:t xml:space="preserve">. </w:t>
      </w:r>
    </w:p>
    <w:p w14:paraId="686F7A41" w14:textId="30D82CD9" w:rsidR="00A06A6B" w:rsidRDefault="00AB2377" w:rsidP="00DE315A">
      <w:pPr>
        <w:rPr>
          <w:rFonts w:cs="Arial"/>
          <w:szCs w:val="24"/>
        </w:rPr>
      </w:pPr>
      <w:r>
        <w:rPr>
          <w:rFonts w:cs="Arial"/>
          <w:szCs w:val="24"/>
        </w:rPr>
        <w:t>Simulation encounters can range from simple par</w:t>
      </w:r>
      <w:r w:rsidR="007A10B4">
        <w:rPr>
          <w:rFonts w:cs="Arial"/>
          <w:szCs w:val="24"/>
        </w:rPr>
        <w:t>t task trainers to learn a proc</w:t>
      </w:r>
      <w:r>
        <w:rPr>
          <w:rFonts w:cs="Arial"/>
          <w:szCs w:val="24"/>
        </w:rPr>
        <w:t xml:space="preserve">edure to </w:t>
      </w:r>
      <w:r w:rsidR="007A10B4">
        <w:rPr>
          <w:rFonts w:cs="Arial"/>
          <w:szCs w:val="24"/>
        </w:rPr>
        <w:t xml:space="preserve">complex communication skills, to </w:t>
      </w:r>
      <w:r>
        <w:rPr>
          <w:rFonts w:cs="Arial"/>
          <w:szCs w:val="24"/>
        </w:rPr>
        <w:t>large</w:t>
      </w:r>
      <w:r w:rsidR="007A10B4">
        <w:rPr>
          <w:rFonts w:cs="Arial"/>
          <w:szCs w:val="24"/>
        </w:rPr>
        <w:t xml:space="preserve"> strategic</w:t>
      </w:r>
      <w:r>
        <w:rPr>
          <w:rFonts w:cs="Arial"/>
          <w:szCs w:val="24"/>
        </w:rPr>
        <w:t xml:space="preserve"> team based </w:t>
      </w:r>
      <w:r>
        <w:rPr>
          <w:rFonts w:cs="Arial"/>
          <w:szCs w:val="24"/>
        </w:rPr>
        <w:lastRenderedPageBreak/>
        <w:t xml:space="preserve">educational sessions used to test standard operating procedures, the environment, team dynamics and human factors. </w:t>
      </w:r>
      <w:proofErr w:type="spellStart"/>
      <w:r w:rsidR="00A06A6B">
        <w:rPr>
          <w:rFonts w:cs="Arial"/>
          <w:szCs w:val="24"/>
        </w:rPr>
        <w:t>Chiniara</w:t>
      </w:r>
      <w:proofErr w:type="spellEnd"/>
      <w:r w:rsidR="00A06A6B">
        <w:rPr>
          <w:rFonts w:cs="Arial"/>
          <w:szCs w:val="24"/>
        </w:rPr>
        <w:t xml:space="preserve"> et al. (2013) describ</w:t>
      </w:r>
      <w:r w:rsidR="00493D20">
        <w:rPr>
          <w:rFonts w:cs="Arial"/>
          <w:szCs w:val="24"/>
        </w:rPr>
        <w:t>es a framework with four simula</w:t>
      </w:r>
      <w:r w:rsidR="00A06A6B">
        <w:rPr>
          <w:rFonts w:cs="Arial"/>
          <w:szCs w:val="24"/>
        </w:rPr>
        <w:t>t</w:t>
      </w:r>
      <w:r w:rsidR="00493D20">
        <w:rPr>
          <w:rFonts w:cs="Arial"/>
          <w:szCs w:val="24"/>
        </w:rPr>
        <w:t>i</w:t>
      </w:r>
      <w:r w:rsidR="00A06A6B">
        <w:rPr>
          <w:rFonts w:cs="Arial"/>
          <w:szCs w:val="24"/>
        </w:rPr>
        <w:t xml:space="preserve">on modalities; ‘procedural </w:t>
      </w:r>
      <w:r w:rsidR="00A74AA5">
        <w:rPr>
          <w:rFonts w:cs="Arial"/>
          <w:szCs w:val="24"/>
        </w:rPr>
        <w:t>simulation</w:t>
      </w:r>
      <w:r w:rsidR="00A06A6B">
        <w:rPr>
          <w:rFonts w:cs="Arial"/>
          <w:szCs w:val="24"/>
        </w:rPr>
        <w:t>, computer-based simulation, simulated clinical immersion and simulated patients’</w:t>
      </w:r>
      <w:r w:rsidR="005F4E8C">
        <w:rPr>
          <w:rFonts w:cs="Arial"/>
          <w:szCs w:val="24"/>
        </w:rPr>
        <w:t>, which largely captures the range of approaches to simulation</w:t>
      </w:r>
      <w:r w:rsidR="00A06A6B">
        <w:rPr>
          <w:rFonts w:cs="Arial"/>
          <w:szCs w:val="24"/>
        </w:rPr>
        <w:t xml:space="preserve">. </w:t>
      </w:r>
      <w:r w:rsidR="004D372A">
        <w:rPr>
          <w:rFonts w:cs="Arial"/>
          <w:szCs w:val="24"/>
        </w:rPr>
        <w:t>As such simulation is a complex term interpreted in many different ways by users and educators</w:t>
      </w:r>
      <w:r w:rsidR="00932CF0">
        <w:rPr>
          <w:rFonts w:cs="Arial"/>
          <w:szCs w:val="24"/>
        </w:rPr>
        <w:t xml:space="preserve"> and is dependent on role and experience</w:t>
      </w:r>
      <w:r w:rsidR="004D372A">
        <w:rPr>
          <w:rFonts w:cs="Arial"/>
          <w:szCs w:val="24"/>
        </w:rPr>
        <w:t>. This has the potential to lead to assumptions about what simulation based education will involve and what shape it will take, which may mean opportunities are missed due to inaccurate presumed lack of resource or equipment</w:t>
      </w:r>
      <w:r w:rsidR="00932CF0">
        <w:rPr>
          <w:rFonts w:cs="Arial"/>
          <w:szCs w:val="24"/>
        </w:rPr>
        <w:t xml:space="preserve"> or more complex areas related to human factors are not enhanced through educational episodes</w:t>
      </w:r>
      <w:r w:rsidR="004D372A">
        <w:rPr>
          <w:rFonts w:cs="Arial"/>
          <w:szCs w:val="24"/>
        </w:rPr>
        <w:t xml:space="preserve">. Indeed cognitive simulation is a form of simulation, where an action or encounter can be mentally rehearsed to try to explore consequences and outcomes to aid learning. This takes time but costs nothing. </w:t>
      </w:r>
    </w:p>
    <w:p w14:paraId="757CAA2E" w14:textId="3EE74A21" w:rsidR="0073187B" w:rsidRDefault="00AB2377" w:rsidP="00DE315A">
      <w:pPr>
        <w:rPr>
          <w:rFonts w:cs="Arial"/>
          <w:szCs w:val="24"/>
        </w:rPr>
      </w:pPr>
      <w:r>
        <w:rPr>
          <w:rFonts w:cs="Arial"/>
          <w:szCs w:val="24"/>
        </w:rPr>
        <w:t xml:space="preserve">There is concern that </w:t>
      </w:r>
      <w:r w:rsidR="00A74AA5">
        <w:rPr>
          <w:rFonts w:cs="Arial"/>
          <w:szCs w:val="24"/>
        </w:rPr>
        <w:t>simulation</w:t>
      </w:r>
      <w:r>
        <w:rPr>
          <w:rFonts w:cs="Arial"/>
          <w:szCs w:val="24"/>
        </w:rPr>
        <w:t xml:space="preserve"> when delivered in simulation centres can leave out vital elements needed for learning such as interaction with actual patients, relatives and the wider team required for safe patient care</w:t>
      </w:r>
      <w:r w:rsidR="00493D20">
        <w:rPr>
          <w:rFonts w:cs="Arial"/>
          <w:szCs w:val="24"/>
        </w:rPr>
        <w:t xml:space="preserve"> </w:t>
      </w:r>
      <w:r w:rsidR="00493D20">
        <w:rPr>
          <w:rFonts w:cs="Arial"/>
          <w:szCs w:val="24"/>
        </w:rPr>
        <w:fldChar w:fldCharType="begin">
          <w:fldData xml:space="preserve">PEVuZE5vdGU+PENpdGU+PEF1dGhvcj5LbmVlYm9uZTwvQXV0aG9yPjxZZWFyPjIwMTY8L1llYXI+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</w:fldData>
        </w:fldChar>
      </w:r>
      <w:r w:rsidR="00493D20">
        <w:rPr>
          <w:rFonts w:cs="Arial"/>
          <w:szCs w:val="24"/>
        </w:rPr>
        <w:instrText xml:space="preserve"> ADDIN EN.CITE </w:instrText>
      </w:r>
      <w:r w:rsidR="00493D20">
        <w:rPr>
          <w:rFonts w:cs="Arial"/>
          <w:szCs w:val="24"/>
        </w:rPr>
        <w:fldChar w:fldCharType="begin">
          <w:fldData xml:space="preserve">PEVuZE5vdGU+PENpdGU+PEF1dGhvcj5LbmVlYm9uZTwvQXV0aG9yPjxZZWFyPjIwMTY8L1llYXI+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</w:fldData>
        </w:fldChar>
      </w:r>
      <w:r w:rsidR="00493D20">
        <w:rPr>
          <w:rFonts w:cs="Arial"/>
          <w:szCs w:val="24"/>
        </w:rPr>
        <w:instrText xml:space="preserve"> ADDIN EN.CITE.DATA </w:instrText>
      </w:r>
      <w:r w:rsidR="00493D20">
        <w:rPr>
          <w:rFonts w:cs="Arial"/>
          <w:szCs w:val="24"/>
        </w:rPr>
      </w:r>
      <w:r w:rsidR="00493D20">
        <w:rPr>
          <w:rFonts w:cs="Arial"/>
          <w:szCs w:val="24"/>
        </w:rPr>
        <w:fldChar w:fldCharType="end"/>
      </w:r>
      <w:r w:rsidR="00493D20">
        <w:rPr>
          <w:rFonts w:cs="Arial"/>
          <w:szCs w:val="24"/>
        </w:rPr>
      </w:r>
      <w:r w:rsidR="00493D20">
        <w:rPr>
          <w:rFonts w:cs="Arial"/>
          <w:szCs w:val="24"/>
        </w:rPr>
        <w:fldChar w:fldCharType="separate"/>
      </w:r>
      <w:r w:rsidR="00493D20">
        <w:rPr>
          <w:rFonts w:cs="Arial"/>
          <w:noProof/>
          <w:szCs w:val="24"/>
        </w:rPr>
        <w:t>(Kneebone, 2016, Fenwick and Dahlgren, 2015, Ma, 2015)</w:t>
      </w:r>
      <w:r w:rsidR="00493D20">
        <w:rPr>
          <w:rFonts w:cs="Arial"/>
          <w:szCs w:val="24"/>
        </w:rPr>
        <w:fldChar w:fldCharType="end"/>
      </w:r>
      <w:r>
        <w:rPr>
          <w:rFonts w:cs="Arial"/>
          <w:szCs w:val="24"/>
        </w:rPr>
        <w:t>.</w:t>
      </w:r>
      <w:r w:rsidR="00C9305B">
        <w:rPr>
          <w:rFonts w:cs="Arial"/>
          <w:szCs w:val="24"/>
        </w:rPr>
        <w:t xml:space="preserve"> </w:t>
      </w:r>
      <w:r w:rsidR="00367328">
        <w:rPr>
          <w:rFonts w:cs="Arial"/>
          <w:szCs w:val="24"/>
        </w:rPr>
        <w:t>This presents the p</w:t>
      </w:r>
      <w:r w:rsidR="004D372A">
        <w:rPr>
          <w:rFonts w:cs="Arial"/>
          <w:szCs w:val="24"/>
        </w:rPr>
        <w:t>otential risk of dehumanising</w:t>
      </w:r>
      <w:r w:rsidR="00367328">
        <w:rPr>
          <w:rFonts w:cs="Arial"/>
          <w:szCs w:val="24"/>
        </w:rPr>
        <w:t xml:space="preserve"> patients and depersonalisation of care and inability to allow development of rapport with patient, family and team. </w:t>
      </w:r>
      <w:r w:rsidR="00015A5F">
        <w:rPr>
          <w:rFonts w:cs="Arial"/>
          <w:szCs w:val="24"/>
        </w:rPr>
        <w:t xml:space="preserve">This concern is emphasised by discussion surrounding ‘technology-focused taxonomy’ that assigns ‘fidelity to the tool itself (simulator), rather than the individual </w:t>
      </w:r>
      <w:r w:rsidR="00A74AA5">
        <w:rPr>
          <w:rFonts w:cs="Arial"/>
          <w:szCs w:val="24"/>
        </w:rPr>
        <w:t>education</w:t>
      </w:r>
      <w:r w:rsidR="00015A5F">
        <w:rPr>
          <w:rFonts w:cs="Arial"/>
          <w:szCs w:val="24"/>
        </w:rPr>
        <w:t xml:space="preserve"> experience’ </w:t>
      </w:r>
      <w:r w:rsidR="00015A5F">
        <w:rPr>
          <w:rFonts w:cs="Arial"/>
          <w:szCs w:val="24"/>
        </w:rPr>
        <w:fldChar w:fldCharType="begin"/>
      </w:r>
      <w:r w:rsidR="00015A5F">
        <w:rPr>
          <w:rFonts w:cs="Arial"/>
          <w:szCs w:val="24"/>
        </w:rPr>
        <w:instrText xml:space="preserve"> ADDIN EN.CITE &lt;EndNote&gt;&lt;Cite&gt;&lt;Author&gt;Chiniara&lt;/Author&gt;&lt;Year&gt;2013&lt;/Year&gt;&lt;IDText&gt;Simulation in healthcare: a taxonomy and a conceptual framework for instructional design and media selection&lt;/IDText&gt;&lt;DisplayText&gt;(Chiniara et al., 2013)&lt;/DisplayText&gt;&lt;record&gt;&lt;dates&gt;&lt;pub-dates&gt;&lt;date&gt;Aug&lt;/date&gt;&lt;/pub-dates&gt;&lt;year&gt;2013&lt;/year&gt;&lt;/dates&gt;&lt;keywords&gt;&lt;keyword&gt;Computer Simulation&lt;/keyword&gt;&lt;keyword&gt;Education, Medical&lt;/keyword&gt;&lt;keyword&gt;Feedback&lt;/keyword&gt;&lt;keyword&gt;Humans&lt;/keyword&gt;&lt;keyword&gt;Learning&lt;/keyword&gt;&lt;keyword&gt;Models, Educational&lt;/keyword&gt;&lt;keyword&gt;Patient Simulation&lt;/keyword&gt;&lt;keyword&gt;Teaching&lt;/keyword&gt;&lt;/keywords&gt;&lt;urls&gt;&lt;related-urls&gt;&lt;url&gt;https://www.ncbi.nlm.nih.gov/pubmed/23121247&lt;/url&gt;&lt;/related-urls&gt;&lt;/urls&gt;&lt;isbn&gt;1466-187X&lt;/isbn&gt;&lt;titles&gt;&lt;title&gt;Simulation in healthcare: a taxonomy and a conceptual framework for instructional design and media selection&lt;/title&gt;&lt;secondary-title&gt;Med Teach&lt;/secondary-title&gt;&lt;/titles&gt;&lt;pages&gt;e1380-95&lt;/pages&gt;&lt;number&gt;8&lt;/number&gt;&lt;contributors&gt;&lt;authors&gt;&lt;author&gt;Chiniara, G.&lt;/author&gt;&lt;author&gt;Cole, G.&lt;/author&gt;&lt;author&gt;Brisbin, K.&lt;/author&gt;&lt;author&gt;Huffman, D.&lt;/author&gt;&lt;author&gt;Cragg, B.&lt;/author&gt;&lt;author&gt;Lamacchia, M.&lt;/author&gt;&lt;author&gt;Norman, D.&lt;/author&gt;&lt;author&gt;Canadian Network For Simulation In Healthcare, G.idelines Working Group&lt;/author&gt;&lt;/authors&gt;&lt;/contributors&gt;&lt;language&gt;eng&lt;/language&gt;&lt;added-date format="utc"&gt;1472551280&lt;/added-date&gt;&lt;ref-type name="Journal Article"&gt;17&lt;/ref-type&gt;&lt;rec-number&gt;268&lt;/rec-number&gt;&lt;last-updated-date format="utc"&gt;1472551280&lt;/last-updated-date&gt;&lt;accession-num&gt;23121247&lt;/accession-num&gt;&lt;electronic-resource-num&gt;10.3109/0142159X.2012.733451&lt;/electronic-resource-num&gt;&lt;volume&gt;35&lt;/volume&gt;&lt;/record&gt;&lt;/Cite&gt;&lt;/EndNote&gt;</w:instrText>
      </w:r>
      <w:r w:rsidR="00015A5F">
        <w:rPr>
          <w:rFonts w:cs="Arial"/>
          <w:szCs w:val="24"/>
        </w:rPr>
        <w:fldChar w:fldCharType="separate"/>
      </w:r>
      <w:r w:rsidR="00015A5F">
        <w:rPr>
          <w:rFonts w:cs="Arial"/>
          <w:noProof/>
          <w:szCs w:val="24"/>
        </w:rPr>
        <w:t>(Chiniara et al., 2013)</w:t>
      </w:r>
      <w:r w:rsidR="00015A5F">
        <w:rPr>
          <w:rFonts w:cs="Arial"/>
          <w:szCs w:val="24"/>
        </w:rPr>
        <w:fldChar w:fldCharType="end"/>
      </w:r>
      <w:r w:rsidR="00015A5F">
        <w:rPr>
          <w:rFonts w:cs="Arial"/>
          <w:szCs w:val="24"/>
        </w:rPr>
        <w:t xml:space="preserve">. </w:t>
      </w:r>
      <w:r w:rsidR="00C9305B">
        <w:rPr>
          <w:rFonts w:cs="Arial"/>
          <w:szCs w:val="24"/>
        </w:rPr>
        <w:t xml:space="preserve">This has been said to ‘underplay the complexity and uncertainty of real-world clinical care’ </w:t>
      </w:r>
      <w:r w:rsidR="00A74AA5">
        <w:rPr>
          <w:rFonts w:cs="Arial"/>
          <w:szCs w:val="24"/>
        </w:rPr>
        <w:t>separating</w:t>
      </w:r>
      <w:r w:rsidR="00C9305B">
        <w:rPr>
          <w:rFonts w:cs="Arial"/>
          <w:szCs w:val="24"/>
        </w:rPr>
        <w:t xml:space="preserve"> the marriage of ‘technical skills’ from ‘nontechnical skills’ </w:t>
      </w:r>
      <w:r w:rsidR="00C9305B">
        <w:rPr>
          <w:rFonts w:cs="Arial"/>
          <w:szCs w:val="24"/>
        </w:rPr>
        <w:fldChar w:fldCharType="begin"/>
      </w:r>
      <w:r w:rsidR="00C9305B">
        <w:rPr>
          <w:rFonts w:cs="Arial"/>
          <w:szCs w:val="24"/>
        </w:rPr>
        <w:instrText xml:space="preserve"> ADDIN EN.CITE &lt;EndNote&gt;&lt;Cite&gt;&lt;Author&gt;Kneebone&lt;/Author&gt;&lt;Year&gt;2016&lt;/Year&gt;&lt;IDText&gt;Simulation reframed&lt;/IDText&gt;&lt;DisplayText&gt;(Kneebone, 2016)&lt;/DisplayText&gt;&lt;record&gt;&lt;keywords&gt;&lt;keyword&gt;Access&lt;/keyword&gt;&lt;keyword&gt;Distributed simulation&lt;/keyword&gt;&lt;keyword&gt;Frames&lt;/keyword&gt;&lt;keyword&gt;Reciprocal illumination&lt;/keyword&gt;&lt;keyword&gt;Sequential simulation&lt;/keyword&gt;&lt;keyword&gt;Simulated patients&lt;/keyword&gt;&lt;keyword&gt;Simulation&lt;/keyword&gt;&lt;keyword&gt;Simulation centres&lt;/keyword&gt;&lt;keyword&gt;Simulation fidelity&lt;/keyword&gt;&lt;/keywords&gt;&lt;urls&gt;&lt;related-urls&gt;&lt;url&gt;https://www.ncbi.nlm.nih.gov/pubmed/29449996&lt;/url&gt;&lt;/related-urls&gt;&lt;/urls&gt;&lt;isbn&gt;2059-0628&lt;/isbn&gt;&lt;custom2&gt;PMC5806314&lt;/custom2&gt;&lt;titles&gt;&lt;title&gt;Simulation reframed&lt;/title&gt;&lt;secondary-title&gt;Adv Simul (Lond)&lt;/secondary-title&gt;&lt;/titles&gt;&lt;pages&gt;27&lt;/pages&gt;&lt;contributors&gt;&lt;authors&gt;&lt;author&gt;Kneebone, R. L.&lt;/author&gt;&lt;/authors&gt;&lt;/contributors&gt;&lt;edition&gt;2016/09/29&lt;/edition&gt;&lt;language&gt;eng&lt;/language&gt;&lt;added-date format="utc"&gt;1533889275&lt;/added-date&gt;&lt;ref-type name="Journal Article"&gt;17&lt;/ref-type&gt;&lt;dates&gt;&lt;year&gt;2016&lt;/year&gt;&lt;/dates&gt;&lt;rec-number&gt;385&lt;/rec-number&gt;&lt;last-updated-date format="utc"&gt;1533889275&lt;/last-updated-date&gt;&lt;accession-num&gt;29449996&lt;/accession-num&gt;&lt;electronic-resource-num&gt;10.1186/s41077-016-0028-8&lt;/electronic-resource-num&gt;&lt;volume&gt;1&lt;/volume&gt;&lt;/record&gt;&lt;/Cite&gt;&lt;/EndNote&gt;</w:instrText>
      </w:r>
      <w:r w:rsidR="00C9305B">
        <w:rPr>
          <w:rFonts w:cs="Arial"/>
          <w:szCs w:val="24"/>
        </w:rPr>
        <w:fldChar w:fldCharType="separate"/>
      </w:r>
      <w:r w:rsidR="00C9305B">
        <w:rPr>
          <w:rFonts w:cs="Arial"/>
          <w:noProof/>
          <w:szCs w:val="24"/>
        </w:rPr>
        <w:t>(Kneebone, 2016)</w:t>
      </w:r>
      <w:r w:rsidR="00C9305B">
        <w:rPr>
          <w:rFonts w:cs="Arial"/>
          <w:szCs w:val="24"/>
        </w:rPr>
        <w:fldChar w:fldCharType="end"/>
      </w:r>
      <w:r w:rsidR="00C9305B">
        <w:rPr>
          <w:rFonts w:cs="Arial"/>
          <w:szCs w:val="24"/>
        </w:rPr>
        <w:t>.</w:t>
      </w:r>
      <w:r>
        <w:rPr>
          <w:rFonts w:cs="Arial"/>
          <w:szCs w:val="24"/>
        </w:rPr>
        <w:t xml:space="preserve"> </w:t>
      </w:r>
      <w:r w:rsidR="00415BEC">
        <w:rPr>
          <w:rFonts w:cs="Arial"/>
          <w:szCs w:val="24"/>
        </w:rPr>
        <w:t xml:space="preserve">In doing this there </w:t>
      </w:r>
      <w:r w:rsidR="00415BEC">
        <w:rPr>
          <w:rFonts w:cs="Arial"/>
          <w:szCs w:val="24"/>
        </w:rPr>
        <w:lastRenderedPageBreak/>
        <w:t xml:space="preserve">is reliance on the individual to be able to effectively ‘reintegrate these skills’ otherwise ‘something important might be lost’ </w:t>
      </w:r>
      <w:r w:rsidR="00415BEC">
        <w:rPr>
          <w:rFonts w:cs="Arial"/>
          <w:szCs w:val="24"/>
        </w:rPr>
        <w:fldChar w:fldCharType="begin"/>
      </w:r>
      <w:r w:rsidR="00415BEC">
        <w:rPr>
          <w:rFonts w:cs="Arial"/>
          <w:szCs w:val="24"/>
        </w:rPr>
        <w:instrText xml:space="preserve"> ADDIN EN.CITE &lt;EndNote&gt;&lt;Cite&gt;&lt;Author&gt;Kneebone&lt;/Author&gt;&lt;Year&gt;2009&lt;/Year&gt;&lt;IDText&gt;Perspective: Simulation and transformational change: the paradox of expertise&lt;/IDText&gt;&lt;DisplayText&gt;(Kneebone, 2009)&lt;/DisplayText&gt;&lt;record&gt;&lt;dates&gt;&lt;pub-dates&gt;&lt;date&gt;Jul&lt;/date&gt;&lt;/pub-dates&gt;&lt;year&gt;2009&lt;/year&gt;&lt;/dates&gt;&lt;keywords&gt;&lt;keyword&gt;Attitude of Health Personnel&lt;/keyword&gt;&lt;keyword&gt;Clinical Competence&lt;/keyword&gt;&lt;keyword&gt;Curriculum&lt;/keyword&gt;&lt;keyword&gt;Education, Medical&lt;/keyword&gt;&lt;keyword&gt;Humans&lt;/keyword&gt;&lt;keyword&gt;Manikins&lt;/keyword&gt;&lt;keyword&gt;Metaphor&lt;/keyword&gt;&lt;keyword&gt;Patient Simulation&lt;/keyword&gt;&lt;keyword&gt;Problem-Based Learning&lt;/keyword&gt;&lt;/keywords&gt;&lt;urls&gt;&lt;related-urls&gt;&lt;url&gt;http://www.ncbi.nlm.nih.gov/pubmed/19550196&lt;/url&gt;&lt;/related-urls&gt;&lt;/urls&gt;&lt;isbn&gt;1938-808X&lt;/isbn&gt;&lt;titles&gt;&lt;title&gt;Perspective: Simulation and transformational change: the paradox of expertise&lt;/title&gt;&lt;secondary-title&gt;Acad Med&lt;/secondary-title&gt;&lt;/titles&gt;&lt;pages&gt;954-7&lt;/pages&gt;&lt;number&gt;7&lt;/number&gt;&lt;contributors&gt;&lt;authors&gt;&lt;author&gt;Kneebone, R.&lt;/author&gt;&lt;/authors&gt;&lt;/contributors&gt;&lt;language&gt;eng&lt;/language&gt;&lt;added-date format="utc"&gt;1458296674&lt;/added-date&gt;&lt;ref-type name="Journal Article"&gt;17&lt;/ref-type&gt;&lt;rec-number&gt;224&lt;/rec-number&gt;&lt;last-updated-date format="utc"&gt;1458296674&lt;/last-updated-date&gt;&lt;accession-num&gt;19550196&lt;/accession-num&gt;&lt;electronic-resource-num&gt;10.1097/ACM.0b013e3181a843d6&lt;/electronic-resource-num&gt;&lt;volume&gt;84&lt;/volume&gt;&lt;/record&gt;&lt;/Cite&gt;&lt;/EndNote&gt;</w:instrText>
      </w:r>
      <w:r w:rsidR="00415BEC">
        <w:rPr>
          <w:rFonts w:cs="Arial"/>
          <w:szCs w:val="24"/>
        </w:rPr>
        <w:fldChar w:fldCharType="separate"/>
      </w:r>
      <w:r w:rsidR="00415BEC">
        <w:rPr>
          <w:rFonts w:cs="Arial"/>
          <w:noProof/>
          <w:szCs w:val="24"/>
        </w:rPr>
        <w:t>(Kneebone, 2009)</w:t>
      </w:r>
      <w:r w:rsidR="00415BEC">
        <w:rPr>
          <w:rFonts w:cs="Arial"/>
          <w:szCs w:val="24"/>
        </w:rPr>
        <w:fldChar w:fldCharType="end"/>
      </w:r>
      <w:r w:rsidR="0035155F">
        <w:rPr>
          <w:rFonts w:cs="Arial"/>
          <w:szCs w:val="24"/>
        </w:rPr>
        <w:t xml:space="preserve">. </w:t>
      </w:r>
      <w:r w:rsidR="0073187B">
        <w:rPr>
          <w:rFonts w:cs="Arial"/>
          <w:szCs w:val="24"/>
        </w:rPr>
        <w:t xml:space="preserve">An additional challenge of using simulation centres is that of cost for the equipment and maintenance and recruitment of separate faculty able to run the centre and equipment. </w:t>
      </w:r>
    </w:p>
    <w:p w14:paraId="60EE8058" w14:textId="7C2E3144" w:rsidR="00905100" w:rsidRDefault="00AB2377" w:rsidP="00DE315A">
      <w:pPr>
        <w:rPr>
          <w:rFonts w:cs="Arial"/>
          <w:szCs w:val="24"/>
        </w:rPr>
      </w:pPr>
      <w:r>
        <w:rPr>
          <w:rFonts w:cs="Arial"/>
          <w:szCs w:val="24"/>
        </w:rPr>
        <w:t xml:space="preserve">As such there is a reported need </w:t>
      </w:r>
      <w:r w:rsidR="0073187B">
        <w:rPr>
          <w:rFonts w:cs="Arial"/>
          <w:szCs w:val="24"/>
        </w:rPr>
        <w:t xml:space="preserve">in simulation </w:t>
      </w:r>
      <w:r>
        <w:rPr>
          <w:rFonts w:cs="Arial"/>
          <w:szCs w:val="24"/>
        </w:rPr>
        <w:t xml:space="preserve">for ‘recasting it as an educational resource which anyone can design and apply’ with focus on ‘imagination rather than technology’ </w:t>
      </w:r>
      <w:r w:rsidR="007A10B4">
        <w:rPr>
          <w:rFonts w:cs="Arial"/>
          <w:szCs w:val="24"/>
        </w:rPr>
        <w:fldChar w:fldCharType="begin"/>
      </w:r>
      <w:r w:rsidR="007A10B4">
        <w:rPr>
          <w:rFonts w:cs="Arial"/>
          <w:szCs w:val="24"/>
        </w:rPr>
        <w:instrText xml:space="preserve"> ADDIN EN.CITE &lt;EndNote&gt;&lt;Cite&gt;&lt;Author&gt;Kneebone&lt;/Author&gt;&lt;Year&gt;2016&lt;/Year&gt;&lt;IDText&gt;Simulation reframed&lt;/IDText&gt;&lt;DisplayText&gt;(Kneebone, 2016)&lt;/DisplayText&gt;&lt;record&gt;&lt;keywords&gt;&lt;keyword&gt;Access&lt;/keyword&gt;&lt;keyword&gt;Distributed simulation&lt;/keyword&gt;&lt;keyword&gt;Frames&lt;/keyword&gt;&lt;keyword&gt;Reciprocal illumination&lt;/keyword&gt;&lt;keyword&gt;Sequential simulation&lt;/keyword&gt;&lt;keyword&gt;Simulated patients&lt;/keyword&gt;&lt;keyword&gt;Simulation&lt;/keyword&gt;&lt;keyword&gt;Simulation centres&lt;/keyword&gt;&lt;keyword&gt;Simulation fidelity&lt;/keyword&gt;&lt;/keywords&gt;&lt;urls&gt;&lt;related-urls&gt;&lt;url&gt;https://www.ncbi.nlm.nih.gov/pubmed/29449996&lt;/url&gt;&lt;/related-urls&gt;&lt;/urls&gt;&lt;isbn&gt;2059-0628&lt;/isbn&gt;&lt;custom2&gt;PMC5806314&lt;/custom2&gt;&lt;titles&gt;&lt;title&gt;Simulation reframed&lt;/title&gt;&lt;secondary-title&gt;Adv Simul (Lond)&lt;/secondary-title&gt;&lt;/titles&gt;&lt;pages&gt;27&lt;/pages&gt;&lt;contributors&gt;&lt;authors&gt;&lt;author&gt;Kneebone, R. L.&lt;/author&gt;&lt;/authors&gt;&lt;/contributors&gt;&lt;edition&gt;2016/09/29&lt;/edition&gt;&lt;language&gt;eng&lt;/language&gt;&lt;added-date format="utc"&gt;1533889275&lt;/added-date&gt;&lt;ref-type name="Journal Article"&gt;17&lt;/ref-type&gt;&lt;dates&gt;&lt;year&gt;2016&lt;/year&gt;&lt;/dates&gt;&lt;rec-number&gt;385&lt;/rec-number&gt;&lt;last-updated-date format="utc"&gt;1533889275&lt;/last-updated-date&gt;&lt;accession-num&gt;29449996&lt;/accession-num&gt;&lt;electronic-resource-num&gt;10.1186/s41077-016-0028-8&lt;/electronic-resource-num&gt;&lt;volume&gt;1&lt;/volume&gt;&lt;/record&gt;&lt;/Cite&gt;&lt;/EndNote&gt;</w:instrText>
      </w:r>
      <w:r w:rsidR="007A10B4">
        <w:rPr>
          <w:rFonts w:cs="Arial"/>
          <w:szCs w:val="24"/>
        </w:rPr>
        <w:fldChar w:fldCharType="separate"/>
      </w:r>
      <w:r w:rsidR="007A10B4">
        <w:rPr>
          <w:rFonts w:cs="Arial"/>
          <w:noProof/>
          <w:szCs w:val="24"/>
        </w:rPr>
        <w:t>(Kneebone, 2016)</w:t>
      </w:r>
      <w:r w:rsidR="007A10B4">
        <w:rPr>
          <w:rFonts w:cs="Arial"/>
          <w:szCs w:val="24"/>
        </w:rPr>
        <w:fldChar w:fldCharType="end"/>
      </w:r>
      <w:r w:rsidR="007A10B4">
        <w:rPr>
          <w:rFonts w:cs="Arial"/>
          <w:szCs w:val="24"/>
        </w:rPr>
        <w:t>.</w:t>
      </w:r>
      <w:r w:rsidR="00D430AE">
        <w:rPr>
          <w:rFonts w:cs="Arial"/>
          <w:szCs w:val="24"/>
        </w:rPr>
        <w:t xml:space="preserve"> </w:t>
      </w:r>
      <w:r w:rsidR="00932CF0">
        <w:rPr>
          <w:rFonts w:cs="Arial"/>
          <w:szCs w:val="24"/>
        </w:rPr>
        <w:t xml:space="preserve">In addition there has been a described lack of ‘articulation of the pedagogy and theory behind simulation-based exercises’ </w:t>
      </w:r>
      <w:r w:rsidR="00932CF0">
        <w:rPr>
          <w:rFonts w:cs="Arial"/>
          <w:szCs w:val="24"/>
        </w:rPr>
        <w:fldChar w:fldCharType="begin">
          <w:fldData xml:space="preserve">PEVuZE5vdGU+PENpdGU+PEF1dGhvcj5NYTwvQXV0aG9yPjxZZWFyPjIwMTU8L1llYXI+PElEVGV4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</w:fldData>
        </w:fldChar>
      </w:r>
      <w:r w:rsidR="00932CF0">
        <w:rPr>
          <w:rFonts w:cs="Arial"/>
          <w:szCs w:val="24"/>
        </w:rPr>
        <w:instrText xml:space="preserve"> ADDIN EN.CITE </w:instrText>
      </w:r>
      <w:r w:rsidR="00932CF0">
        <w:rPr>
          <w:rFonts w:cs="Arial"/>
          <w:szCs w:val="24"/>
        </w:rPr>
        <w:fldChar w:fldCharType="begin">
          <w:fldData xml:space="preserve">PEVuZE5vdGU+PENpdGU+PEF1dGhvcj5NYTwvQXV0aG9yPjxZZWFyPjIwMTU8L1llYXI+PElEVGV4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</w:fldData>
        </w:fldChar>
      </w:r>
      <w:r w:rsidR="00932CF0">
        <w:rPr>
          <w:rFonts w:cs="Arial"/>
          <w:szCs w:val="24"/>
        </w:rPr>
        <w:instrText xml:space="preserve"> ADDIN EN.CITE.DATA </w:instrText>
      </w:r>
      <w:r w:rsidR="00932CF0">
        <w:rPr>
          <w:rFonts w:cs="Arial"/>
          <w:szCs w:val="24"/>
        </w:rPr>
      </w:r>
      <w:r w:rsidR="00932CF0">
        <w:rPr>
          <w:rFonts w:cs="Arial"/>
          <w:szCs w:val="24"/>
        </w:rPr>
        <w:fldChar w:fldCharType="end"/>
      </w:r>
      <w:r w:rsidR="00932CF0">
        <w:rPr>
          <w:rFonts w:cs="Arial"/>
          <w:szCs w:val="24"/>
        </w:rPr>
      </w:r>
      <w:r w:rsidR="00932CF0">
        <w:rPr>
          <w:rFonts w:cs="Arial"/>
          <w:szCs w:val="24"/>
        </w:rPr>
        <w:fldChar w:fldCharType="separate"/>
      </w:r>
      <w:r w:rsidR="00932CF0">
        <w:rPr>
          <w:rFonts w:cs="Arial"/>
          <w:noProof/>
          <w:szCs w:val="24"/>
        </w:rPr>
        <w:t>(Ma, 2015, Fenwick and Dahlgren, 2015, Reedy, 2015)</w:t>
      </w:r>
      <w:r w:rsidR="00932CF0">
        <w:rPr>
          <w:rFonts w:cs="Arial"/>
          <w:szCs w:val="24"/>
        </w:rPr>
        <w:fldChar w:fldCharType="end"/>
      </w:r>
      <w:r w:rsidR="00932CF0">
        <w:rPr>
          <w:rFonts w:cs="Arial"/>
          <w:szCs w:val="24"/>
        </w:rPr>
        <w:t>. This has the risk of an educational resource that should be widely available being</w:t>
      </w:r>
      <w:r w:rsidR="005F4E8C">
        <w:rPr>
          <w:rFonts w:cs="Arial"/>
          <w:szCs w:val="24"/>
        </w:rPr>
        <w:t xml:space="preserve"> under used due to logistical</w:t>
      </w:r>
      <w:r w:rsidR="00932CF0">
        <w:rPr>
          <w:rFonts w:cs="Arial"/>
          <w:szCs w:val="24"/>
        </w:rPr>
        <w:t xml:space="preserve"> behaviour</w:t>
      </w:r>
      <w:r w:rsidR="00905100">
        <w:rPr>
          <w:rFonts w:cs="Arial"/>
          <w:szCs w:val="24"/>
        </w:rPr>
        <w:t xml:space="preserve"> and uncertainty around learning theory</w:t>
      </w:r>
      <w:r w:rsidR="00932CF0">
        <w:rPr>
          <w:rFonts w:cs="Arial"/>
          <w:szCs w:val="24"/>
        </w:rPr>
        <w:t xml:space="preserve">. </w:t>
      </w:r>
    </w:p>
    <w:p w14:paraId="62FB949D" w14:textId="1B6FB58F" w:rsidR="009E6D6F" w:rsidRDefault="00EF3574" w:rsidP="00DE315A">
      <w:pPr>
        <w:rPr>
          <w:rFonts w:cs="Arial"/>
          <w:szCs w:val="24"/>
        </w:rPr>
      </w:pPr>
      <w:proofErr w:type="spellStart"/>
      <w:r>
        <w:rPr>
          <w:rFonts w:cs="Arial"/>
          <w:szCs w:val="24"/>
        </w:rPr>
        <w:t>Dieckmann</w:t>
      </w:r>
      <w:proofErr w:type="spellEnd"/>
      <w:r>
        <w:rPr>
          <w:rFonts w:cs="Arial"/>
          <w:szCs w:val="24"/>
        </w:rPr>
        <w:t xml:space="preserve"> et al. (2007), describe simulation as a ‘</w:t>
      </w:r>
      <w:r w:rsidR="009E6D6F">
        <w:rPr>
          <w:rFonts w:cs="Arial"/>
          <w:szCs w:val="24"/>
        </w:rPr>
        <w:t xml:space="preserve">complex </w:t>
      </w:r>
      <w:r>
        <w:rPr>
          <w:rFonts w:cs="Arial"/>
          <w:szCs w:val="24"/>
        </w:rPr>
        <w:t xml:space="preserve">social </w:t>
      </w:r>
      <w:r w:rsidR="00A74AA5">
        <w:rPr>
          <w:rFonts w:cs="Arial"/>
          <w:szCs w:val="24"/>
        </w:rPr>
        <w:t>endeavour</w:t>
      </w:r>
      <w:r>
        <w:rPr>
          <w:rFonts w:cs="Arial"/>
          <w:szCs w:val="24"/>
        </w:rPr>
        <w:t>’</w:t>
      </w:r>
      <w:r w:rsidR="009E6D6F">
        <w:rPr>
          <w:rFonts w:cs="Arial"/>
          <w:szCs w:val="24"/>
        </w:rPr>
        <w:t xml:space="preserve">, highlighting the need to consider the ‘physical, semantical and phenomenal’ aspects of realism in simulation. The relationship between physical realism and educational goals is challenged </w:t>
      </w:r>
      <w:r w:rsidR="00932CF0">
        <w:rPr>
          <w:rFonts w:cs="Arial"/>
          <w:szCs w:val="24"/>
        </w:rPr>
        <w:t xml:space="preserve">by </w:t>
      </w:r>
      <w:proofErr w:type="spellStart"/>
      <w:r w:rsidR="00932CF0">
        <w:rPr>
          <w:rFonts w:cs="Arial"/>
          <w:szCs w:val="24"/>
        </w:rPr>
        <w:t>Dieckmann</w:t>
      </w:r>
      <w:proofErr w:type="spellEnd"/>
      <w:r w:rsidR="00932CF0">
        <w:rPr>
          <w:rFonts w:cs="Arial"/>
          <w:szCs w:val="24"/>
        </w:rPr>
        <w:t xml:space="preserve"> et al. (2007), highlighting a need for better understanding about what makes an experience feel real and what the impact of that is on learning. </w:t>
      </w:r>
      <w:r w:rsidR="00EE2ECD">
        <w:rPr>
          <w:rFonts w:cs="Arial"/>
          <w:szCs w:val="24"/>
        </w:rPr>
        <w:t>Simulation allows deliberate practice which involves ‘repetitive performance of intended cognitive or psychomotor skills</w:t>
      </w:r>
      <w:r w:rsidR="009C12FB">
        <w:rPr>
          <w:rFonts w:cs="Arial"/>
          <w:szCs w:val="24"/>
        </w:rPr>
        <w:t xml:space="preserve"> in a focussed domain, coupled with </w:t>
      </w:r>
      <w:r w:rsidR="00A74AA5">
        <w:rPr>
          <w:rFonts w:cs="Arial"/>
          <w:szCs w:val="24"/>
        </w:rPr>
        <w:t>rigorous</w:t>
      </w:r>
      <w:r w:rsidR="009C12FB">
        <w:rPr>
          <w:rFonts w:cs="Arial"/>
          <w:szCs w:val="24"/>
        </w:rPr>
        <w:t xml:space="preserve"> skills assessment’ </w:t>
      </w:r>
      <w:r w:rsidR="009C2FFD">
        <w:rPr>
          <w:rFonts w:cs="Arial"/>
          <w:szCs w:val="24"/>
        </w:rPr>
        <w:fldChar w:fldCharType="begin"/>
      </w:r>
      <w:r w:rsidR="009C2FFD">
        <w:rPr>
          <w:rFonts w:cs="Arial"/>
          <w:szCs w:val="24"/>
        </w:rPr>
        <w:instrText xml:space="preserve"> ADDIN EN.CITE &lt;EndNote&gt;&lt;Cite&gt;&lt;Author&gt;Dieckmann&lt;/Author&gt;&lt;Year&gt;2007&lt;/Year&gt;&lt;IDText&gt;Deepening the theoretical foundations of patient simulation as social practice&lt;/IDText&gt;&lt;DisplayText&gt;(Dieckmann et al., 2007)&lt;/DisplayText&gt;&lt;record&gt;&lt;dates&gt;&lt;pub-dates&gt;&lt;date&gt;2007&lt;/date&gt;&lt;/pub-dates&gt;&lt;year&gt;2007&lt;/year&gt;&lt;/dates&gt;&lt;urls&gt;&lt;related-urls&gt;&lt;url&gt;&amp;lt;Go to ISI&amp;gt;://MEDLINE:19088622&lt;/url&gt;&lt;/related-urls&gt;&lt;/urls&gt;&lt;isbn&gt;1559-2332&lt;/isbn&gt;&lt;titles&gt;&lt;title&gt;Deepening the theoretical foundations of patient simulation as social practice&lt;/title&gt;&lt;secondary-title&gt;Simulation in healthcare : journal of the Society for Simulation in Healthcare&lt;/secondary-title&gt;&lt;/titles&gt;&lt;pages&gt;183-93&lt;/pages&gt;&lt;number&gt;3&lt;/number&gt;&lt;contributors&gt;&lt;authors&gt;&lt;author&gt;Dieckmann, Peter&lt;/author&gt;&lt;author&gt;Gaba, David&lt;/author&gt;&lt;author&gt;Rall, Marcus&lt;/author&gt;&lt;/authors&gt;&lt;/contributors&gt;&lt;added-date format="utc"&gt;1399991558&lt;/added-date&gt;&lt;ref-type name="Journal Article"&gt;17&lt;/ref-type&gt;&lt;rec-number&gt;133&lt;/rec-number&gt;&lt;last-updated-date format="utc"&gt;1400228406&lt;/last-updated-date&gt;&lt;accession-num&gt;MEDLINE:19088622&lt;/accession-num&gt;&lt;electronic-resource-num&gt;10.1097/SIH.0b013e3180f637f5&lt;/electronic-resource-num&gt;&lt;volume&gt;2&lt;/volume&gt;&lt;/record&gt;&lt;/Cite&gt;&lt;/EndNote&gt;</w:instrText>
      </w:r>
      <w:r w:rsidR="009C2FFD">
        <w:rPr>
          <w:rFonts w:cs="Arial"/>
          <w:szCs w:val="24"/>
        </w:rPr>
        <w:fldChar w:fldCharType="separate"/>
      </w:r>
      <w:r w:rsidR="009C2FFD">
        <w:rPr>
          <w:rFonts w:cs="Arial"/>
          <w:noProof/>
          <w:szCs w:val="24"/>
        </w:rPr>
        <w:t>(Dieckmann et al., 2007)</w:t>
      </w:r>
      <w:r w:rsidR="009C2FFD">
        <w:rPr>
          <w:rFonts w:cs="Arial"/>
          <w:szCs w:val="24"/>
        </w:rPr>
        <w:fldChar w:fldCharType="end"/>
      </w:r>
      <w:r w:rsidR="009C2FFD">
        <w:rPr>
          <w:rFonts w:cs="Arial"/>
          <w:szCs w:val="24"/>
        </w:rPr>
        <w:t xml:space="preserve">. </w:t>
      </w:r>
      <w:r w:rsidR="00932CF0">
        <w:rPr>
          <w:rFonts w:cs="Arial"/>
          <w:szCs w:val="24"/>
        </w:rPr>
        <w:t xml:space="preserve">Care must be taken to not allow assessment to over </w:t>
      </w:r>
      <w:proofErr w:type="spellStart"/>
      <w:r w:rsidR="00932CF0">
        <w:rPr>
          <w:rFonts w:cs="Arial"/>
          <w:szCs w:val="24"/>
        </w:rPr>
        <w:t>shaddow</w:t>
      </w:r>
      <w:proofErr w:type="spellEnd"/>
      <w:r w:rsidR="00932CF0">
        <w:rPr>
          <w:rFonts w:cs="Arial"/>
          <w:szCs w:val="24"/>
        </w:rPr>
        <w:t xml:space="preserve"> the learning opportunities offered by simulation through experiential learning and through facilitated debrief.</w:t>
      </w:r>
    </w:p>
    <w:p w14:paraId="0D9C8973" w14:textId="477A7C3E" w:rsidR="00582757" w:rsidRPr="009E6D6F" w:rsidRDefault="00324FC3" w:rsidP="00DE315A">
      <w:pPr>
        <w:rPr>
          <w:rFonts w:cs="Arial"/>
          <w:szCs w:val="24"/>
        </w:rPr>
      </w:pPr>
      <w:r>
        <w:rPr>
          <w:rFonts w:cs="Arial"/>
          <w:szCs w:val="24"/>
        </w:rPr>
        <w:lastRenderedPageBreak/>
        <w:t>Over</w:t>
      </w:r>
      <w:r w:rsidR="00582757">
        <w:rPr>
          <w:rFonts w:cs="Arial"/>
          <w:szCs w:val="24"/>
        </w:rPr>
        <w:t xml:space="preserve">all it is an exciting time for simulation, challenging historic perspectives and the need to explore full educational potential to learn how to enhance utility of simulation to be most beneficial in medical education and education as a whole. </w:t>
      </w:r>
    </w:p>
    <w:p w14:paraId="06635EF0" w14:textId="6A38AE81" w:rsidR="00DE315A" w:rsidRDefault="005A2B19" w:rsidP="00DE315A">
      <w:pPr>
        <w:rPr>
          <w:rFonts w:cs="Arial"/>
          <w:szCs w:val="24"/>
        </w:rPr>
      </w:pPr>
      <w:r>
        <w:rPr>
          <w:rFonts w:cs="Arial"/>
          <w:szCs w:val="24"/>
        </w:rPr>
        <w:t>T</w:t>
      </w:r>
      <w:r w:rsidR="00DE315A">
        <w:rPr>
          <w:rFonts w:cs="Arial"/>
          <w:szCs w:val="24"/>
        </w:rPr>
        <w:t>he use of simulation in postgr</w:t>
      </w:r>
      <w:r w:rsidR="004F2BFB">
        <w:rPr>
          <w:rFonts w:cs="Arial"/>
          <w:szCs w:val="24"/>
        </w:rPr>
        <w:t>aduate education has been</w:t>
      </w:r>
      <w:r w:rsidR="00DE315A">
        <w:rPr>
          <w:rFonts w:cs="Arial"/>
          <w:szCs w:val="24"/>
        </w:rPr>
        <w:t xml:space="preserve"> recognised as a valuable educational tool </w:t>
      </w:r>
      <w:r w:rsidR="00DE315A">
        <w:rPr>
          <w:rFonts w:cs="Arial"/>
          <w:szCs w:val="24"/>
        </w:rPr>
        <w:fldChar w:fldCharType="begin">
          <w:fldData xml:space="preserve">PEVuZE5vdGU+PENpdGU+PEF1dGhvcj5HYWJhPC9BdXRob3I+PFllYXI+MTk4ODwvWWVhcj48SURU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</w:fldData>
        </w:fldChar>
      </w:r>
      <w:r w:rsidR="00D41659">
        <w:rPr>
          <w:rFonts w:cs="Arial"/>
          <w:szCs w:val="24"/>
        </w:rPr>
        <w:instrText xml:space="preserve"> ADDIN EN.CITE </w:instrText>
      </w:r>
      <w:r w:rsidR="00D41659">
        <w:rPr>
          <w:rFonts w:cs="Arial"/>
          <w:szCs w:val="24"/>
        </w:rPr>
        <w:fldChar w:fldCharType="begin">
          <w:fldData xml:space="preserve">PEVuZE5vdGU+PENpdGU+PEF1dGhvcj5HYWJhPC9BdXRob3I+PFllYXI+MTk4ODwvWWVhcj48SURU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</w:fldData>
        </w:fldChar>
      </w:r>
      <w:r w:rsidR="00D41659">
        <w:rPr>
          <w:rFonts w:cs="Arial"/>
          <w:szCs w:val="24"/>
        </w:rPr>
        <w:instrText xml:space="preserve"> ADDIN EN.CITE.DATA </w:instrText>
      </w:r>
      <w:r w:rsidR="00D41659">
        <w:rPr>
          <w:rFonts w:cs="Arial"/>
          <w:szCs w:val="24"/>
        </w:rPr>
      </w:r>
      <w:r w:rsidR="00D41659">
        <w:rPr>
          <w:rFonts w:cs="Arial"/>
          <w:szCs w:val="24"/>
        </w:rPr>
        <w:fldChar w:fldCharType="end"/>
      </w:r>
      <w:r w:rsidR="00DE315A">
        <w:rPr>
          <w:rFonts w:cs="Arial"/>
          <w:szCs w:val="24"/>
        </w:rPr>
      </w:r>
      <w:r w:rsidR="00DE315A">
        <w:rPr>
          <w:rFonts w:cs="Arial"/>
          <w:szCs w:val="24"/>
        </w:rPr>
        <w:fldChar w:fldCharType="separate"/>
      </w:r>
      <w:r w:rsidR="00707662">
        <w:rPr>
          <w:rFonts w:cs="Arial"/>
          <w:noProof/>
          <w:szCs w:val="24"/>
        </w:rPr>
        <w:t>(Gaba and Deanda, 1988)</w:t>
      </w:r>
      <w:r w:rsidR="00DE315A">
        <w:rPr>
          <w:rFonts w:cs="Arial"/>
          <w:szCs w:val="24"/>
        </w:rPr>
        <w:fldChar w:fldCharType="end"/>
      </w:r>
      <w:r w:rsidR="00DE315A">
        <w:rPr>
          <w:rFonts w:cs="Arial"/>
          <w:szCs w:val="24"/>
        </w:rPr>
        <w:t>. There is data to support</w:t>
      </w:r>
      <w:r w:rsidR="00A941E8">
        <w:rPr>
          <w:rFonts w:cs="Arial"/>
          <w:szCs w:val="24"/>
        </w:rPr>
        <w:t xml:space="preserve"> the view</w:t>
      </w:r>
      <w:r w:rsidR="00DE315A">
        <w:rPr>
          <w:rFonts w:cs="Arial"/>
          <w:szCs w:val="24"/>
        </w:rPr>
        <w:t xml:space="preserve"> that simulation</w:t>
      </w:r>
      <w:r w:rsidR="00A941E8">
        <w:rPr>
          <w:rFonts w:cs="Arial"/>
          <w:szCs w:val="24"/>
        </w:rPr>
        <w:t>-</w:t>
      </w:r>
      <w:r w:rsidR="00DE315A">
        <w:rPr>
          <w:rFonts w:cs="Arial"/>
          <w:szCs w:val="24"/>
        </w:rPr>
        <w:t xml:space="preserve">based education does translate </w:t>
      </w:r>
      <w:r w:rsidR="000A27DF">
        <w:rPr>
          <w:rFonts w:cs="Arial"/>
          <w:szCs w:val="24"/>
        </w:rPr>
        <w:t>into</w:t>
      </w:r>
      <w:r w:rsidR="00DE315A">
        <w:rPr>
          <w:rFonts w:cs="Arial"/>
          <w:szCs w:val="24"/>
        </w:rPr>
        <w:t xml:space="preserve"> clinical practice with positive effects. In a quantitative meta-analysis by </w:t>
      </w:r>
      <w:proofErr w:type="spellStart"/>
      <w:r w:rsidR="00DE315A">
        <w:rPr>
          <w:rFonts w:cs="Arial"/>
          <w:szCs w:val="24"/>
        </w:rPr>
        <w:t>McGaghie</w:t>
      </w:r>
      <w:proofErr w:type="spellEnd"/>
      <w:r w:rsidR="00DE315A">
        <w:rPr>
          <w:rFonts w:cs="Arial"/>
          <w:szCs w:val="24"/>
        </w:rPr>
        <w:t xml:space="preserve"> et al</w:t>
      </w:r>
      <w:r>
        <w:rPr>
          <w:rFonts w:cs="Arial"/>
          <w:szCs w:val="24"/>
        </w:rPr>
        <w:t>.</w:t>
      </w:r>
      <w:r w:rsidR="00DE315A">
        <w:rPr>
          <w:rFonts w:cs="Arial"/>
          <w:szCs w:val="24"/>
        </w:rPr>
        <w:t xml:space="preserve"> (2011) </w:t>
      </w:r>
      <w:r w:rsidR="00A941E8">
        <w:rPr>
          <w:rFonts w:cs="Arial"/>
          <w:szCs w:val="24"/>
        </w:rPr>
        <w:t xml:space="preserve">that </w:t>
      </w:r>
      <w:r w:rsidR="00DE315A">
        <w:rPr>
          <w:rFonts w:cs="Arial"/>
          <w:szCs w:val="24"/>
        </w:rPr>
        <w:t>compar</w:t>
      </w:r>
      <w:r w:rsidR="00A941E8">
        <w:rPr>
          <w:rFonts w:cs="Arial"/>
          <w:szCs w:val="24"/>
        </w:rPr>
        <w:t>es</w:t>
      </w:r>
      <w:r w:rsidR="00DE315A">
        <w:rPr>
          <w:rFonts w:cs="Arial"/>
          <w:szCs w:val="24"/>
        </w:rPr>
        <w:t xml:space="preserve"> </w:t>
      </w:r>
      <w:r w:rsidR="00A941E8">
        <w:rPr>
          <w:rFonts w:cs="Arial"/>
          <w:szCs w:val="24"/>
        </w:rPr>
        <w:t xml:space="preserve">the </w:t>
      </w:r>
      <w:r w:rsidR="00DE315A">
        <w:rPr>
          <w:rFonts w:cs="Arial"/>
          <w:szCs w:val="24"/>
        </w:rPr>
        <w:t>effectiveness of simulation-based medical education and deliberate practice with traditional methods</w:t>
      </w:r>
      <w:r>
        <w:rPr>
          <w:rFonts w:cs="Arial"/>
          <w:szCs w:val="24"/>
        </w:rPr>
        <w:t>,</w:t>
      </w:r>
      <w:r w:rsidR="00DE315A">
        <w:rPr>
          <w:rFonts w:cs="Arial"/>
          <w:szCs w:val="24"/>
        </w:rPr>
        <w:t xml:space="preserve"> the outcomes favouring simulation were </w:t>
      </w:r>
      <w:r w:rsidR="00A941E8">
        <w:rPr>
          <w:rFonts w:cs="Arial"/>
          <w:szCs w:val="24"/>
        </w:rPr>
        <w:t>‘</w:t>
      </w:r>
      <w:r w:rsidR="00DE315A">
        <w:rPr>
          <w:rFonts w:cs="Arial"/>
          <w:szCs w:val="24"/>
        </w:rPr>
        <w:t>powerful, consistent and without exception</w:t>
      </w:r>
      <w:r w:rsidR="00A941E8">
        <w:rPr>
          <w:rFonts w:cs="Arial"/>
          <w:szCs w:val="24"/>
        </w:rPr>
        <w:t>’</w:t>
      </w:r>
      <w:r w:rsidR="00707662">
        <w:rPr>
          <w:rFonts w:cs="Arial"/>
          <w:szCs w:val="24"/>
        </w:rPr>
        <w:t xml:space="preserve"> </w:t>
      </w:r>
      <w:r w:rsidR="00707662">
        <w:rPr>
          <w:rFonts w:cs="Arial"/>
          <w:szCs w:val="24"/>
        </w:rPr>
        <w:fldChar w:fldCharType="begin"/>
      </w:r>
      <w:r w:rsidR="00707662">
        <w:rPr>
          <w:rFonts w:cs="Arial"/>
          <w:szCs w:val="24"/>
        </w:rPr>
        <w:instrText xml:space="preserve"> ADDIN EN.CITE &lt;EndNote&gt;&lt;Cite&gt;&lt;Author&gt;McGaghie&lt;/Author&gt;&lt;Year&gt;2011&lt;/Year&gt;&lt;IDText&gt;Does Simulation-Based Medical Education With Deliberate Practice Yield Better Results Than Traditional Clinical Education? A Meta-Analytic Comparative Review of the Evidence&lt;/IDText&gt;&lt;DisplayText&gt;(McGaghie et al., 2011)&lt;/DisplayText&gt;&lt;record&gt;&lt;dates&gt;&lt;pub-dates&gt;&lt;date&gt;Jun&lt;/date&gt;&lt;/pub-dates&gt;&lt;year&gt;2011&lt;/year&gt;&lt;/dates&gt;&lt;urls&gt;&lt;related-urls&gt;&lt;url&gt;&amp;lt;Go to ISI&amp;gt;://WOS:000291006100018&lt;/url&gt;&lt;/related-urls&gt;&lt;/urls&gt;&lt;isbn&gt;1040-2446&lt;/isbn&gt;&lt;titles&gt;&lt;title&gt;Does Simulation-Based Medical Education With Deliberate Practice Yield Better Results Than Traditional Clinical Education? A Meta-Analytic Comparative Review of the Evidence&lt;/title&gt;&lt;secondary-title&gt;Academic Medicine&lt;/secondary-title&gt;&lt;/titles&gt;&lt;pages&gt;706-711&lt;/pages&gt;&lt;number&gt;6&lt;/number&gt;&lt;contributors&gt;&lt;authors&gt;&lt;author&gt;McGaghie, William C.&lt;/author&gt;&lt;author&gt;Issenberg, S. Barry&lt;/author&gt;&lt;author&gt;Cohen, Elaine R.&lt;/author&gt;&lt;author&gt;Barsuk, Jeffrey H.&lt;/author&gt;&lt;author&gt;Wayne, Diane B.&lt;/author&gt;&lt;/authors&gt;&lt;/contributors&gt;&lt;added-date format="utc"&gt;1390841594&lt;/added-date&gt;&lt;ref-type name="Journal Article"&gt;17&lt;/ref-type&gt;&lt;rec-number&gt;14&lt;/rec-number&gt;&lt;last-updated-date format="utc"&gt;1390843746&lt;/last-updated-date&gt;&lt;accession-num&gt;WOS:000291006100018&lt;/accession-num&gt;&lt;electronic-resource-num&gt;10.1097/ACM.0b013e318217e119&lt;/electronic-resource-num&gt;&lt;volume&gt;86&lt;/volume&gt;&lt;/record&gt;&lt;/Cite&gt;&lt;/EndNote&gt;</w:instrText>
      </w:r>
      <w:r w:rsidR="00707662">
        <w:rPr>
          <w:rFonts w:cs="Arial"/>
          <w:szCs w:val="24"/>
        </w:rPr>
        <w:fldChar w:fldCharType="separate"/>
      </w:r>
      <w:r w:rsidR="00707662">
        <w:rPr>
          <w:rFonts w:cs="Arial"/>
          <w:noProof/>
          <w:szCs w:val="24"/>
        </w:rPr>
        <w:t>(McGaghie et al., 2011)</w:t>
      </w:r>
      <w:r w:rsidR="00707662">
        <w:rPr>
          <w:rFonts w:cs="Arial"/>
          <w:szCs w:val="24"/>
        </w:rPr>
        <w:fldChar w:fldCharType="end"/>
      </w:r>
      <w:r w:rsidR="00DE315A">
        <w:rPr>
          <w:rFonts w:cs="Arial"/>
          <w:szCs w:val="24"/>
        </w:rPr>
        <w:t>. The team did suggest that the development of best practice guidance on how to deliver optimum simulation</w:t>
      </w:r>
      <w:r w:rsidR="00447551">
        <w:rPr>
          <w:rFonts w:cs="Arial"/>
          <w:szCs w:val="24"/>
        </w:rPr>
        <w:t>-</w:t>
      </w:r>
      <w:r w:rsidR="00DE315A">
        <w:rPr>
          <w:rFonts w:cs="Arial"/>
          <w:szCs w:val="24"/>
        </w:rPr>
        <w:t>based medical education</w:t>
      </w:r>
      <w:r w:rsidR="00447551">
        <w:rPr>
          <w:rFonts w:cs="Arial"/>
          <w:szCs w:val="24"/>
        </w:rPr>
        <w:t xml:space="preserve"> (SBME)</w:t>
      </w:r>
      <w:r w:rsidR="00DE315A">
        <w:rPr>
          <w:rFonts w:cs="Arial"/>
          <w:szCs w:val="24"/>
        </w:rPr>
        <w:t xml:space="preserve"> was required </w:t>
      </w:r>
      <w:r w:rsidR="00447551">
        <w:rPr>
          <w:rFonts w:cs="Arial"/>
          <w:szCs w:val="24"/>
        </w:rPr>
        <w:t>and</w:t>
      </w:r>
      <w:r w:rsidR="00DE315A">
        <w:rPr>
          <w:rFonts w:cs="Arial"/>
          <w:szCs w:val="24"/>
        </w:rPr>
        <w:t xml:space="preserve"> that cost-effectiveness and utility can now be justified. </w:t>
      </w:r>
      <w:r w:rsidR="007A10B4">
        <w:rPr>
          <w:rFonts w:cs="Arial"/>
          <w:szCs w:val="24"/>
        </w:rPr>
        <w:t xml:space="preserve">Focus is reported to have now moved on to </w:t>
      </w:r>
      <w:r w:rsidR="00C9305B">
        <w:rPr>
          <w:rFonts w:cs="Arial"/>
          <w:szCs w:val="24"/>
        </w:rPr>
        <w:t xml:space="preserve">‘how it can best be embedded, supported and funded’ </w:t>
      </w:r>
      <w:r w:rsidR="00C9305B">
        <w:rPr>
          <w:rFonts w:cs="Arial"/>
          <w:szCs w:val="24"/>
        </w:rPr>
        <w:fldChar w:fldCharType="begin"/>
      </w:r>
      <w:r w:rsidR="00C9305B">
        <w:rPr>
          <w:rFonts w:cs="Arial"/>
          <w:szCs w:val="24"/>
        </w:rPr>
        <w:instrText xml:space="preserve"> ADDIN EN.CITE &lt;EndNote&gt;&lt;Cite&gt;&lt;Author&gt;Kneebone&lt;/Author&gt;&lt;Year&gt;2016&lt;/Year&gt;&lt;IDText&gt;Simulation reframed&lt;/IDText&gt;&lt;DisplayText&gt;(Kneebone, 2016)&lt;/DisplayText&gt;&lt;record&gt;&lt;keywords&gt;&lt;keyword&gt;Access&lt;/keyword&gt;&lt;keyword&gt;Distributed simulation&lt;/keyword&gt;&lt;keyword&gt;Frames&lt;/keyword&gt;&lt;keyword&gt;Reciprocal illumination&lt;/keyword&gt;&lt;keyword&gt;Sequential simulation&lt;/keyword&gt;&lt;keyword&gt;Simulated patients&lt;/keyword&gt;&lt;keyword&gt;Simulation&lt;/keyword&gt;&lt;keyword&gt;Simulation centres&lt;/keyword&gt;&lt;keyword&gt;Simulation fidelity&lt;/keyword&gt;&lt;/keywords&gt;&lt;urls&gt;&lt;related-urls&gt;&lt;url&gt;https://www.ncbi.nlm.nih.gov/pubmed/29449996&lt;/url&gt;&lt;/related-urls&gt;&lt;/urls&gt;&lt;isbn&gt;2059-0628&lt;/isbn&gt;&lt;custom2&gt;PMC5806314&lt;/custom2&gt;&lt;titles&gt;&lt;title&gt;Simulation reframed&lt;/title&gt;&lt;secondary-title&gt;Adv Simul (Lond)&lt;/secondary-title&gt;&lt;/titles&gt;&lt;pages&gt;27&lt;/pages&gt;&lt;contributors&gt;&lt;authors&gt;&lt;author&gt;Kneebone, R. L.&lt;/author&gt;&lt;/authors&gt;&lt;/contributors&gt;&lt;edition&gt;2016/09/29&lt;/edition&gt;&lt;language&gt;eng&lt;/language&gt;&lt;added-date format="utc"&gt;1533889275&lt;/added-date&gt;&lt;ref-type name="Journal Article"&gt;17&lt;/ref-type&gt;&lt;dates&gt;&lt;year&gt;2016&lt;/year&gt;&lt;/dates&gt;&lt;rec-number&gt;385&lt;/rec-number&gt;&lt;last-updated-date format="utc"&gt;1533889275&lt;/last-updated-date&gt;&lt;accession-num&gt;29449996&lt;/accession-num&gt;&lt;electronic-resource-num&gt;10.1186/s41077-016-0028-8&lt;/electronic-resource-num&gt;&lt;volume&gt;1&lt;/volume&gt;&lt;/record&gt;&lt;/Cite&gt;&lt;/EndNote&gt;</w:instrText>
      </w:r>
      <w:r w:rsidR="00C9305B">
        <w:rPr>
          <w:rFonts w:cs="Arial"/>
          <w:szCs w:val="24"/>
        </w:rPr>
        <w:fldChar w:fldCharType="separate"/>
      </w:r>
      <w:r w:rsidR="00C9305B">
        <w:rPr>
          <w:rFonts w:cs="Arial"/>
          <w:noProof/>
          <w:szCs w:val="24"/>
        </w:rPr>
        <w:t>(Kneebone, 2016)</w:t>
      </w:r>
      <w:r w:rsidR="00C9305B">
        <w:rPr>
          <w:rFonts w:cs="Arial"/>
          <w:szCs w:val="24"/>
        </w:rPr>
        <w:fldChar w:fldCharType="end"/>
      </w:r>
      <w:r w:rsidR="00C9305B">
        <w:rPr>
          <w:rFonts w:cs="Arial"/>
          <w:szCs w:val="24"/>
        </w:rPr>
        <w:t xml:space="preserve">. </w:t>
      </w:r>
      <w:r w:rsidR="00DE315A">
        <w:rPr>
          <w:rFonts w:cs="Arial"/>
          <w:szCs w:val="24"/>
        </w:rPr>
        <w:t xml:space="preserve">Studies demonstrate that surgical skills simulators and part task trainers improve performance in the clinical setting </w:t>
      </w:r>
      <w:r w:rsidR="00DE315A">
        <w:rPr>
          <w:rFonts w:cs="Arial"/>
          <w:szCs w:val="24"/>
        </w:rPr>
        <w:fldChar w:fldCharType="begin">
          <w:fldData xml:space="preserve">PEVuZE5vdGU+PENpdGU+PEF1dGhvcj5BbmRyZWF0dGE8L0F1dGhvcj48WWVhcj4yMDA2PC9ZZWFy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</w:fldData>
        </w:fldChar>
      </w:r>
      <w:r w:rsidR="00D41659">
        <w:rPr>
          <w:rFonts w:cs="Arial"/>
          <w:szCs w:val="24"/>
        </w:rPr>
        <w:instrText xml:space="preserve"> ADDIN EN.CITE </w:instrText>
      </w:r>
      <w:r w:rsidR="00D41659">
        <w:rPr>
          <w:rFonts w:cs="Arial"/>
          <w:szCs w:val="24"/>
        </w:rPr>
        <w:fldChar w:fldCharType="begin">
          <w:fldData xml:space="preserve">PEVuZE5vdGU+PENpdGU+PEF1dGhvcj5BbmRyZWF0dGE8L0F1dGhvcj48WWVhcj4yMDA2PC9ZZWFy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</w:fldData>
        </w:fldChar>
      </w:r>
      <w:r w:rsidR="00D41659">
        <w:rPr>
          <w:rFonts w:cs="Arial"/>
          <w:szCs w:val="24"/>
        </w:rPr>
        <w:instrText xml:space="preserve"> ADDIN EN.CITE.DATA </w:instrText>
      </w:r>
      <w:r w:rsidR="00D41659">
        <w:rPr>
          <w:rFonts w:cs="Arial"/>
          <w:szCs w:val="24"/>
        </w:rPr>
      </w:r>
      <w:r w:rsidR="00D41659">
        <w:rPr>
          <w:rFonts w:cs="Arial"/>
          <w:szCs w:val="24"/>
        </w:rPr>
        <w:fldChar w:fldCharType="end"/>
      </w:r>
      <w:r w:rsidR="00DE315A">
        <w:rPr>
          <w:rFonts w:cs="Arial"/>
          <w:szCs w:val="24"/>
        </w:rPr>
      </w:r>
      <w:r w:rsidR="00DE315A">
        <w:rPr>
          <w:rFonts w:cs="Arial"/>
          <w:szCs w:val="24"/>
        </w:rPr>
        <w:fldChar w:fldCharType="separate"/>
      </w:r>
      <w:r w:rsidR="00707662">
        <w:rPr>
          <w:rFonts w:cs="Arial"/>
          <w:noProof/>
          <w:szCs w:val="24"/>
        </w:rPr>
        <w:t>(Andreatta et al., 2006, Seymour et al., 2002, Blum et al., 2004)</w:t>
      </w:r>
      <w:r w:rsidR="00DE315A">
        <w:rPr>
          <w:rFonts w:cs="Arial"/>
          <w:szCs w:val="24"/>
        </w:rPr>
        <w:fldChar w:fldCharType="end"/>
      </w:r>
      <w:r w:rsidR="00447551">
        <w:rPr>
          <w:rFonts w:cs="Arial"/>
          <w:szCs w:val="24"/>
        </w:rPr>
        <w:t>,</w:t>
      </w:r>
      <w:r w:rsidR="00DE315A">
        <w:rPr>
          <w:rFonts w:cs="Arial"/>
          <w:szCs w:val="24"/>
        </w:rPr>
        <w:t xml:space="preserve"> as well as for medical management scenarios and adherence to guidelines in an acute setting to improve quality of patient care </w:t>
      </w:r>
      <w:r w:rsidR="00DE315A">
        <w:rPr>
          <w:rFonts w:cs="Arial"/>
          <w:szCs w:val="24"/>
        </w:rPr>
        <w:fldChar w:fldCharType="begin">
          <w:fldData xml:space="preserve">PEVuZE5vdGU+PENpdGU+PEF1dGhvcj5CdXR0ZXI8L0F1dGhvcj48WWVhcj4yMDEwPC9ZZWFyPjxJ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</w:fldData>
        </w:fldChar>
      </w:r>
      <w:r w:rsidR="005E11FB">
        <w:rPr>
          <w:rFonts w:cs="Arial"/>
          <w:szCs w:val="24"/>
        </w:rPr>
        <w:instrText xml:space="preserve"> ADDIN EN.CITE </w:instrText>
      </w:r>
      <w:r w:rsidR="005E11FB">
        <w:rPr>
          <w:rFonts w:cs="Arial"/>
          <w:szCs w:val="24"/>
        </w:rPr>
        <w:fldChar w:fldCharType="begin">
          <w:fldData xml:space="preserve">PEVuZE5vdGU+PENpdGU+PEF1dGhvcj5CdXR0ZXI8L0F1dGhvcj48WWVhcj4yMDEwPC9ZZWFyPjxJ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</w:fldData>
        </w:fldChar>
      </w:r>
      <w:r w:rsidR="005E11FB">
        <w:rPr>
          <w:rFonts w:cs="Arial"/>
          <w:szCs w:val="24"/>
        </w:rPr>
        <w:instrText xml:space="preserve"> ADDIN EN.CITE.DATA </w:instrText>
      </w:r>
      <w:r w:rsidR="005E11FB">
        <w:rPr>
          <w:rFonts w:cs="Arial"/>
          <w:szCs w:val="24"/>
        </w:rPr>
      </w:r>
      <w:r w:rsidR="005E11FB">
        <w:rPr>
          <w:rFonts w:cs="Arial"/>
          <w:szCs w:val="24"/>
        </w:rPr>
        <w:fldChar w:fldCharType="end"/>
      </w:r>
      <w:r w:rsidR="00DE315A">
        <w:rPr>
          <w:rFonts w:cs="Arial"/>
          <w:szCs w:val="24"/>
        </w:rPr>
      </w:r>
      <w:r w:rsidR="00DE315A">
        <w:rPr>
          <w:rFonts w:cs="Arial"/>
          <w:szCs w:val="24"/>
        </w:rPr>
        <w:fldChar w:fldCharType="separate"/>
      </w:r>
      <w:r w:rsidR="005E11FB">
        <w:rPr>
          <w:rFonts w:cs="Arial"/>
          <w:noProof/>
          <w:szCs w:val="24"/>
        </w:rPr>
        <w:t>(Butter et al., 2010, Wayne et al., 2005, Issenberg et al., 2002, Draycott et al., 2008b, Draycott et al., 2008a)</w:t>
      </w:r>
      <w:r w:rsidR="00DE315A">
        <w:rPr>
          <w:rFonts w:cs="Arial"/>
          <w:szCs w:val="24"/>
        </w:rPr>
        <w:fldChar w:fldCharType="end"/>
      </w:r>
      <w:r w:rsidR="00DE315A">
        <w:rPr>
          <w:rFonts w:cs="Arial"/>
          <w:szCs w:val="24"/>
        </w:rPr>
        <w:t xml:space="preserve">. Simulation has been shown to be reliable for teaching communication skills, </w:t>
      </w:r>
      <w:r w:rsidR="00137253">
        <w:rPr>
          <w:rFonts w:cs="Arial"/>
          <w:szCs w:val="24"/>
        </w:rPr>
        <w:t>teamwork</w:t>
      </w:r>
      <w:r w:rsidR="00DE315A">
        <w:rPr>
          <w:rFonts w:cs="Arial"/>
          <w:szCs w:val="24"/>
        </w:rPr>
        <w:t xml:space="preserve"> and for assessment </w:t>
      </w:r>
      <w:r w:rsidR="00DE315A">
        <w:rPr>
          <w:rFonts w:cs="Arial"/>
          <w:szCs w:val="24"/>
        </w:rPr>
        <w:fldChar w:fldCharType="begin">
          <w:fldData xml:space="preserve">PEVuZE5vdGU+PENpdGU+PEF1dGhvcj5Pa3VkYTwvQXV0aG9yPjxZZWFyPjIwMDk8L1llYXI+PElE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</w:fldData>
        </w:fldChar>
      </w:r>
      <w:r w:rsidR="00707662">
        <w:rPr>
          <w:rFonts w:cs="Arial"/>
          <w:szCs w:val="24"/>
        </w:rPr>
        <w:instrText xml:space="preserve"> ADDIN EN.CITE </w:instrText>
      </w:r>
      <w:r w:rsidR="00707662">
        <w:rPr>
          <w:rFonts w:cs="Arial"/>
          <w:szCs w:val="24"/>
        </w:rPr>
        <w:fldChar w:fldCharType="begin">
          <w:fldData xml:space="preserve">PEVuZE5vdGU+PENpdGU+PEF1dGhvcj5Pa3VkYTwvQXV0aG9yPjxZZWFyPjIwMDk8L1llYXI+PElE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</w:fldData>
        </w:fldChar>
      </w:r>
      <w:r w:rsidR="00707662">
        <w:rPr>
          <w:rFonts w:cs="Arial"/>
          <w:szCs w:val="24"/>
        </w:rPr>
        <w:instrText xml:space="preserve"> ADDIN EN.CITE.DATA </w:instrText>
      </w:r>
      <w:r w:rsidR="00707662">
        <w:rPr>
          <w:rFonts w:cs="Arial"/>
          <w:szCs w:val="24"/>
        </w:rPr>
      </w:r>
      <w:r w:rsidR="00707662">
        <w:rPr>
          <w:rFonts w:cs="Arial"/>
          <w:szCs w:val="24"/>
        </w:rPr>
        <w:fldChar w:fldCharType="end"/>
      </w:r>
      <w:r w:rsidR="00DE315A">
        <w:rPr>
          <w:rFonts w:cs="Arial"/>
          <w:szCs w:val="24"/>
        </w:rPr>
      </w:r>
      <w:r w:rsidR="00DE315A">
        <w:rPr>
          <w:rFonts w:cs="Arial"/>
          <w:szCs w:val="24"/>
        </w:rPr>
        <w:fldChar w:fldCharType="separate"/>
      </w:r>
      <w:r w:rsidR="00707662">
        <w:rPr>
          <w:rFonts w:cs="Arial"/>
          <w:noProof/>
          <w:szCs w:val="24"/>
        </w:rPr>
        <w:t>(Okuda et al., 2009)</w:t>
      </w:r>
      <w:r w:rsidR="00DE315A">
        <w:rPr>
          <w:rFonts w:cs="Arial"/>
          <w:szCs w:val="24"/>
        </w:rPr>
        <w:fldChar w:fldCharType="end"/>
      </w:r>
      <w:r w:rsidR="00DE315A">
        <w:rPr>
          <w:rFonts w:cs="Arial"/>
          <w:szCs w:val="24"/>
        </w:rPr>
        <w:t xml:space="preserve">. </w:t>
      </w:r>
    </w:p>
    <w:p w14:paraId="2D3DC128" w14:textId="28075BF3" w:rsidR="00DE315A" w:rsidRDefault="00637633" w:rsidP="00DE315A">
      <w:pPr>
        <w:rPr>
          <w:rFonts w:cs="Arial"/>
          <w:szCs w:val="24"/>
        </w:rPr>
      </w:pPr>
      <w:r>
        <w:rPr>
          <w:rFonts w:cs="Arial"/>
          <w:szCs w:val="24"/>
        </w:rPr>
        <w:t xml:space="preserve">Conversely, Gerson et al. (2003) </w:t>
      </w:r>
      <w:r w:rsidR="00DE315A">
        <w:rPr>
          <w:rFonts w:cs="Arial"/>
          <w:szCs w:val="24"/>
        </w:rPr>
        <w:t>found the use of a state-of the-art virtual reality endoscopy simulator to be inferior to traditional patient</w:t>
      </w:r>
      <w:r w:rsidR="00447551">
        <w:rPr>
          <w:rFonts w:cs="Arial"/>
          <w:szCs w:val="24"/>
        </w:rPr>
        <w:t>-</w:t>
      </w:r>
      <w:r w:rsidR="00DE315A">
        <w:rPr>
          <w:rFonts w:cs="Arial"/>
          <w:szCs w:val="24"/>
        </w:rPr>
        <w:t xml:space="preserve">based bedside teaching </w:t>
      </w:r>
      <w:r w:rsidR="00DE315A">
        <w:rPr>
          <w:rFonts w:cs="Arial"/>
          <w:szCs w:val="24"/>
        </w:rPr>
        <w:lastRenderedPageBreak/>
        <w:t xml:space="preserve">techniques when training juniors to perform sigmoidoscopy </w:t>
      </w:r>
      <w:r w:rsidR="00DE315A">
        <w:rPr>
          <w:rFonts w:cs="Arial"/>
          <w:szCs w:val="24"/>
        </w:rPr>
        <w:fldChar w:fldCharType="begin"/>
      </w:r>
      <w:r w:rsidR="00D41659">
        <w:rPr>
          <w:rFonts w:cs="Arial"/>
          <w:szCs w:val="24"/>
        </w:rPr>
        <w:instrText xml:space="preserve"> ADDIN EN.CITE &lt;EndNote&gt;&lt;Cite&gt;&lt;Author&gt;Gerson&lt;/Author&gt;&lt;Year&gt;2003&lt;/Year&gt;&lt;IDText&gt;A prospective randomized trial comparing a virtual reality simulator to bedside teaching for training in sigmoidoscopy&lt;/IDText&gt;&lt;DisplayText&gt;(Gerson and Van Dam, 2003)&lt;/DisplayText&gt;&lt;record&gt;&lt;dates&gt;&lt;pub-dates&gt;&lt;date&gt;Jul&lt;/date&gt;&lt;/pub-dates&gt;&lt;year&gt;2003&lt;/year&gt;&lt;/dates&gt;&lt;isbn&gt;0013-726X&lt;/isbn&gt;&lt;titles&gt;&lt;title&gt;A prospective randomized trial comparing a virtual reality simulator to bedside teaching for training in sigmoidoscopy&lt;/title&gt;&lt;secondary-title&gt;Endoscopy&lt;/secondary-title&gt;&lt;/titles&gt;&lt;pages&gt;569-575&lt;/pages&gt;&lt;number&gt;7&lt;/number&gt;&lt;contributors&gt;&lt;authors&gt;&lt;author&gt;Gerson, L. B.&lt;/author&gt;&lt;author&gt;Van Dam, J.&lt;/author&gt;&lt;/authors&gt;&lt;/contributors&gt;&lt;added-date format="utc"&gt;1391168521&lt;/added-date&gt;&lt;ref-type name="Journal Article"&gt;17&lt;/ref-type&gt;&lt;rec-number&gt;70&lt;/rec-number&gt;&lt;last-updated-date format="utc"&gt;1391171448&lt;/last-updated-date&gt;&lt;accession-num&gt;WOS:000183967500004&lt;/accession-num&gt;&lt;volume&gt;35&lt;/volume&gt;&lt;/record&gt;&lt;/Cite&gt;&lt;Cite&gt;&lt;Author&gt;Gerson&lt;/Author&gt;&lt;Year&gt;2003&lt;/Year&gt;&lt;IDText&gt;A prospective randomized trial comparing a virtual reality simulator to bedside teaching for training in sigmoidoscopy&lt;/IDText&gt;&lt;record&gt;&lt;dates&gt;&lt;pub-dates&gt;&lt;date&gt;Jul&lt;/date&gt;&lt;/pub-dates&gt;&lt;year&gt;2003&lt;/year&gt;&lt;/dates&gt;&lt;urls&gt;&lt;related-urls&gt;&lt;url&gt;&amp;lt;Go to ISI&amp;gt;://WOS:000183967500004&lt;/url&gt;&lt;/related-urls&gt;&lt;/urls&gt;&lt;isbn&gt;0013-726X&lt;/isbn&gt;&lt;titles&gt;&lt;title&gt;A prospective randomized trial comparing a virtual reality simulator to bedside teaching for training in sigmoidoscopy&lt;/title&gt;&lt;secondary-title&gt;Endoscopy&lt;/secondary-title&gt;&lt;/titles&gt;&lt;pages&gt;569-575&lt;/pages&gt;&lt;number&gt;7&lt;/number&gt;&lt;contributors&gt;&lt;authors&gt;&lt;author&gt;Gerson, L. B.&lt;/author&gt;&lt;author&gt;Van Dam, J.&lt;/author&gt;&lt;/authors&gt;&lt;/contributors&gt;&lt;added-date format="utc"&gt;1391168521&lt;/added-date&gt;&lt;ref-type name="Journal Article"&gt;17&lt;/ref-type&gt;&lt;rec-number&gt;70&lt;/rec-number&gt;&lt;last-updated-date format="utc"&gt;1391171448&lt;/last-updated-date&gt;&lt;accession-num&gt;WOS:000183967500004&lt;/accession-num&gt;&lt;volume&gt;35&lt;/volume&gt;&lt;/record&gt;&lt;/Cite&gt;&lt;/EndNote&gt;</w:instrText>
      </w:r>
      <w:r w:rsidR="00DE315A">
        <w:rPr>
          <w:rFonts w:cs="Arial"/>
          <w:szCs w:val="24"/>
        </w:rPr>
        <w:fldChar w:fldCharType="separate"/>
      </w:r>
      <w:r w:rsidR="00707662">
        <w:rPr>
          <w:rFonts w:cs="Arial"/>
          <w:noProof/>
          <w:szCs w:val="24"/>
        </w:rPr>
        <w:t>(Gerson and Van Dam, 2003)</w:t>
      </w:r>
      <w:r w:rsidR="00DE315A">
        <w:rPr>
          <w:rFonts w:cs="Arial"/>
          <w:szCs w:val="24"/>
        </w:rPr>
        <w:fldChar w:fldCharType="end"/>
      </w:r>
      <w:r w:rsidR="00DE315A">
        <w:rPr>
          <w:rFonts w:cs="Arial"/>
          <w:szCs w:val="24"/>
        </w:rPr>
        <w:t>. These variations in the literature support the need for guidelines on best practice for simulation education.</w:t>
      </w:r>
    </w:p>
    <w:p w14:paraId="3527D633" w14:textId="50303780" w:rsidR="00DE315A" w:rsidRDefault="00E20D04" w:rsidP="00DE315A">
      <w:pPr>
        <w:rPr>
          <w:rFonts w:cs="Arial"/>
          <w:szCs w:val="24"/>
        </w:rPr>
      </w:pPr>
      <w:r>
        <w:rPr>
          <w:rFonts w:cs="Arial"/>
          <w:szCs w:val="24"/>
        </w:rPr>
        <w:t>Evidence for the use of</w:t>
      </w:r>
      <w:r w:rsidR="00DE315A">
        <w:rPr>
          <w:rFonts w:cs="Arial"/>
          <w:szCs w:val="24"/>
        </w:rPr>
        <w:t xml:space="preserve"> simulation in undergraduate medical education is now emerging. </w:t>
      </w:r>
      <w:r w:rsidR="005A2B19">
        <w:rPr>
          <w:rFonts w:cs="Arial"/>
          <w:szCs w:val="24"/>
        </w:rPr>
        <w:fldChar w:fldCharType="begin">
          <w:fldData xml:space="preserve">PEVuZE5vdGU+PENpdGU+PEF1dGhvcj5TY2h3YXJ0ejwvQXV0aG9yPjxZZWFyPjIwMDc8L1llYXI+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=
</w:fldData>
        </w:fldChar>
      </w:r>
      <w:r w:rsidR="005823F4">
        <w:rPr>
          <w:rFonts w:cs="Arial"/>
          <w:szCs w:val="24"/>
        </w:rPr>
        <w:instrText xml:space="preserve"> ADDIN EN.CITE </w:instrText>
      </w:r>
      <w:r w:rsidR="005823F4">
        <w:rPr>
          <w:rFonts w:cs="Arial"/>
          <w:szCs w:val="24"/>
        </w:rPr>
        <w:fldChar w:fldCharType="begin">
          <w:fldData xml:space="preserve">PEVuZE5vdGU+PENpdGU+PEF1dGhvcj5TY2h3YXJ0ejwvQXV0aG9yPjxZZWFyPjIwMDc8L1llYXI+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=
</w:fldData>
        </w:fldChar>
      </w:r>
      <w:r w:rsidR="005823F4">
        <w:rPr>
          <w:rFonts w:cs="Arial"/>
          <w:szCs w:val="24"/>
        </w:rPr>
        <w:instrText xml:space="preserve"> ADDIN EN.CITE.DATA </w:instrText>
      </w:r>
      <w:r w:rsidR="005823F4">
        <w:rPr>
          <w:rFonts w:cs="Arial"/>
          <w:szCs w:val="24"/>
        </w:rPr>
      </w:r>
      <w:r w:rsidR="005823F4">
        <w:rPr>
          <w:rFonts w:cs="Arial"/>
          <w:szCs w:val="24"/>
        </w:rPr>
        <w:fldChar w:fldCharType="end"/>
      </w:r>
      <w:r w:rsidR="005A2B19">
        <w:rPr>
          <w:rFonts w:cs="Arial"/>
          <w:szCs w:val="24"/>
        </w:rPr>
      </w:r>
      <w:r w:rsidR="005A2B19">
        <w:rPr>
          <w:rFonts w:cs="Arial"/>
          <w:szCs w:val="24"/>
        </w:rPr>
        <w:fldChar w:fldCharType="separate"/>
      </w:r>
      <w:r w:rsidR="00324FC3">
        <w:rPr>
          <w:rFonts w:cs="Arial"/>
          <w:noProof/>
          <w:szCs w:val="24"/>
        </w:rPr>
        <w:t>Schwartz et al.</w:t>
      </w:r>
      <w:r w:rsidR="005823F4">
        <w:rPr>
          <w:rFonts w:cs="Arial"/>
          <w:noProof/>
          <w:szCs w:val="24"/>
        </w:rPr>
        <w:t xml:space="preserve"> </w:t>
      </w:r>
      <w:r w:rsidR="00324FC3">
        <w:rPr>
          <w:rFonts w:cs="Arial"/>
          <w:noProof/>
          <w:szCs w:val="24"/>
        </w:rPr>
        <w:t>(</w:t>
      </w:r>
      <w:r w:rsidR="005823F4">
        <w:rPr>
          <w:rFonts w:cs="Arial"/>
          <w:noProof/>
          <w:szCs w:val="24"/>
        </w:rPr>
        <w:t>2007)</w:t>
      </w:r>
      <w:r w:rsidR="005A2B19">
        <w:rPr>
          <w:rFonts w:cs="Arial"/>
          <w:szCs w:val="24"/>
        </w:rPr>
        <w:fldChar w:fldCharType="end"/>
      </w:r>
      <w:r w:rsidR="005A2B19">
        <w:rPr>
          <w:rFonts w:cs="Arial"/>
          <w:szCs w:val="24"/>
        </w:rPr>
        <w:t xml:space="preserve"> </w:t>
      </w:r>
      <w:r w:rsidR="00DE315A">
        <w:rPr>
          <w:rFonts w:cs="Arial"/>
          <w:szCs w:val="24"/>
        </w:rPr>
        <w:t>reported no significant difference in 102 4</w:t>
      </w:r>
      <w:r w:rsidR="00DE315A" w:rsidRPr="0092758C">
        <w:rPr>
          <w:rFonts w:cs="Arial"/>
          <w:szCs w:val="24"/>
          <w:vertAlign w:val="superscript"/>
        </w:rPr>
        <w:t>th</w:t>
      </w:r>
      <w:r w:rsidR="00DE315A">
        <w:rPr>
          <w:rFonts w:cs="Arial"/>
          <w:szCs w:val="24"/>
        </w:rPr>
        <w:t xml:space="preserve"> year medical students performance when using simulation versus standard educational case-based methods for teaching acute cardiology</w:t>
      </w:r>
      <w:r w:rsidR="005A2B19">
        <w:rPr>
          <w:rFonts w:cs="Arial"/>
          <w:szCs w:val="24"/>
        </w:rPr>
        <w:t>.</w:t>
      </w:r>
      <w:r w:rsidR="00DE315A">
        <w:rPr>
          <w:rFonts w:cs="Arial"/>
          <w:szCs w:val="24"/>
        </w:rPr>
        <w:t xml:space="preserve"> However </w:t>
      </w:r>
      <w:r w:rsidR="005A2B19">
        <w:rPr>
          <w:rFonts w:cs="Arial"/>
          <w:szCs w:val="24"/>
        </w:rPr>
        <w:t>t</w:t>
      </w:r>
      <w:r w:rsidR="00DE315A">
        <w:rPr>
          <w:rFonts w:cs="Arial"/>
          <w:szCs w:val="24"/>
        </w:rPr>
        <w:t>he</w:t>
      </w:r>
      <w:r w:rsidR="005A2B19">
        <w:rPr>
          <w:rFonts w:cs="Arial"/>
          <w:szCs w:val="24"/>
        </w:rPr>
        <w:t>y</w:t>
      </w:r>
      <w:r w:rsidR="00DE315A">
        <w:rPr>
          <w:rFonts w:cs="Arial"/>
          <w:szCs w:val="24"/>
        </w:rPr>
        <w:t xml:space="preserve"> did </w:t>
      </w:r>
      <w:r w:rsidR="005A2B19">
        <w:rPr>
          <w:rFonts w:cs="Arial"/>
          <w:szCs w:val="24"/>
        </w:rPr>
        <w:t>report</w:t>
      </w:r>
      <w:r w:rsidR="00DE315A">
        <w:rPr>
          <w:rFonts w:cs="Arial"/>
          <w:szCs w:val="24"/>
        </w:rPr>
        <w:t xml:space="preserve"> that a difference in studying strategies and habits outside of medical school could have affected outcomes. In contrast, </w:t>
      </w:r>
      <w:r w:rsidR="00637633">
        <w:rPr>
          <w:rFonts w:cs="Arial"/>
          <w:szCs w:val="24"/>
        </w:rPr>
        <w:fldChar w:fldCharType="begin"/>
      </w:r>
      <w:r w:rsidR="005823F4">
        <w:rPr>
          <w:rFonts w:cs="Arial"/>
          <w:szCs w:val="24"/>
        </w:rPr>
        <w:instrText xml:space="preserve"> ADDIN EN.CITE &lt;EndNote&gt;&lt;Cite&gt;&lt;Author&gt;Steadman&lt;/Author&gt;&lt;Year&gt;2006&lt;/Year&gt;&lt;IDText&gt;Simulation-based training is superior to problem-based learning for the acquisition of critical assessment and management skills&lt;/IDText&gt;&lt;DisplayText&gt;(Steadman et al., 2006)&lt;/DisplayText&gt;&lt;record&gt;&lt;dates&gt;&lt;pub-dates&gt;&lt;date&gt;Jan&lt;/date&gt;&lt;/pub-dates&gt;&lt;year&gt;2006&lt;/year&gt;&lt;/dates&gt;&lt;urls&gt;&lt;related-urls&gt;&lt;url&gt;&amp;lt;Go to ISI&amp;gt;://WOS:000234381900020&lt;/url&gt;&lt;/related-urls&gt;&lt;/urls&gt;&lt;isbn&gt;0090-3493&lt;/isbn&gt;&lt;titles&gt;&lt;title&gt;Simulation-based training is superior to problem-based learning for the acquisition of critical assessment and management skills&lt;/title&gt;&lt;secondary-title&gt;Critical Care Medicine&lt;/secondary-title&gt;&lt;/titles&gt;&lt;pages&gt;151-157&lt;/pages&gt;&lt;number&gt;1&lt;/number&gt;&lt;contributors&gt;&lt;authors&gt;&lt;author&gt;Steadman, R. H.&lt;/author&gt;&lt;author&gt;Coates, W. C.&lt;/author&gt;&lt;author&gt;Huang, Y. M.&lt;/author&gt;&lt;author&gt;Matevosian, R.&lt;/author&gt;&lt;author&gt;Larmon, B. R.&lt;/author&gt;&lt;author&gt;McCullough, L.&lt;/author&gt;&lt;author&gt;Ariel, D.&lt;/author&gt;&lt;/authors&gt;&lt;/contributors&gt;&lt;added-date format="utc"&gt;1391102979&lt;/added-date&gt;&lt;ref-type name="Journal Article"&gt;17&lt;/ref-type&gt;&lt;rec-number&gt;62&lt;/rec-number&gt;&lt;last-updated-date format="utc"&gt;1391171448&lt;/last-updated-date&gt;&lt;accession-num&gt;WOS:000234381900020&lt;/accession-num&gt;&lt;electronic-resource-num&gt;10.1097/01.ccm.0000190619.42013.94&lt;/electronic-resource-num&gt;&lt;volume&gt;34&lt;/volume&gt;&lt;/record&gt;&lt;/Cite&gt;&lt;/EndNote&gt;</w:instrText>
      </w:r>
      <w:r w:rsidR="00637633">
        <w:rPr>
          <w:rFonts w:cs="Arial"/>
          <w:szCs w:val="24"/>
        </w:rPr>
        <w:fldChar w:fldCharType="separate"/>
      </w:r>
      <w:r w:rsidR="005823F4">
        <w:rPr>
          <w:rFonts w:cs="Arial"/>
          <w:noProof/>
          <w:szCs w:val="24"/>
        </w:rPr>
        <w:t>(Steadman et al., 2006)</w:t>
      </w:r>
      <w:r w:rsidR="00637633">
        <w:rPr>
          <w:rFonts w:cs="Arial"/>
          <w:szCs w:val="24"/>
        </w:rPr>
        <w:fldChar w:fldCharType="end"/>
      </w:r>
      <w:r w:rsidR="00DE315A">
        <w:rPr>
          <w:rFonts w:cs="Arial"/>
          <w:szCs w:val="24"/>
        </w:rPr>
        <w:t xml:space="preserve"> found </w:t>
      </w:r>
      <w:r w:rsidR="00447551">
        <w:rPr>
          <w:rFonts w:cs="Arial"/>
          <w:szCs w:val="24"/>
        </w:rPr>
        <w:t xml:space="preserve">SBME </w:t>
      </w:r>
      <w:r w:rsidR="00DE315A">
        <w:rPr>
          <w:rFonts w:cs="Arial"/>
          <w:szCs w:val="24"/>
        </w:rPr>
        <w:t>with 4</w:t>
      </w:r>
      <w:r w:rsidR="00DE315A" w:rsidRPr="0092758C">
        <w:rPr>
          <w:rFonts w:cs="Arial"/>
          <w:szCs w:val="24"/>
          <w:vertAlign w:val="superscript"/>
        </w:rPr>
        <w:t>th</w:t>
      </w:r>
      <w:r w:rsidR="00DE315A">
        <w:rPr>
          <w:rFonts w:cs="Arial"/>
          <w:szCs w:val="24"/>
        </w:rPr>
        <w:t xml:space="preserve"> year medical students to be superior to </w:t>
      </w:r>
      <w:r w:rsidR="00447551">
        <w:rPr>
          <w:rFonts w:cs="Arial"/>
          <w:szCs w:val="24"/>
        </w:rPr>
        <w:t xml:space="preserve">PBL </w:t>
      </w:r>
      <w:r w:rsidR="00DE315A">
        <w:rPr>
          <w:rFonts w:cs="Arial"/>
          <w:szCs w:val="24"/>
        </w:rPr>
        <w:t>for development of critical assessment skills</w:t>
      </w:r>
      <w:r w:rsidR="00637633">
        <w:rPr>
          <w:rFonts w:cs="Arial"/>
          <w:szCs w:val="24"/>
        </w:rPr>
        <w:t>.</w:t>
      </w:r>
    </w:p>
    <w:p w14:paraId="545144FB" w14:textId="6837709E" w:rsidR="00DE315A" w:rsidRDefault="00DE315A" w:rsidP="00DE315A">
      <w:pPr>
        <w:rPr>
          <w:rFonts w:cs="Arial"/>
          <w:szCs w:val="24"/>
        </w:rPr>
      </w:pPr>
      <w:r>
        <w:rPr>
          <w:rFonts w:cs="Arial"/>
          <w:szCs w:val="24"/>
        </w:rPr>
        <w:t xml:space="preserve">In a </w:t>
      </w:r>
      <w:r w:rsidR="00637633">
        <w:rPr>
          <w:rFonts w:cs="Arial"/>
          <w:szCs w:val="24"/>
        </w:rPr>
        <w:t xml:space="preserve">systematic </w:t>
      </w:r>
      <w:r>
        <w:rPr>
          <w:rFonts w:cs="Arial"/>
          <w:szCs w:val="24"/>
        </w:rPr>
        <w:t xml:space="preserve">review by </w:t>
      </w:r>
      <w:r w:rsidR="00637633">
        <w:rPr>
          <w:rFonts w:cs="Arial"/>
          <w:szCs w:val="24"/>
        </w:rPr>
        <w:fldChar w:fldCharType="begin"/>
      </w:r>
      <w:r w:rsidR="005823F4">
        <w:rPr>
          <w:rFonts w:cs="Arial"/>
          <w:szCs w:val="24"/>
        </w:rPr>
        <w:instrText xml:space="preserve"> ADDIN EN.CITE &lt;EndNote&gt;&lt;Cite&gt;&lt;Author&gt;Laschinger&lt;/Author&gt;&lt;Year&gt;2008&lt;/Year&gt;&lt;IDText&gt;Effectiveness of simulation on health profession students&amp;apos; knowledge, skills, confidence and satisfaction&lt;/IDText&gt;&lt;DisplayText&gt;(Laschinger et al., 2008)&lt;/DisplayText&gt;&lt;record&gt;&lt;dates&gt;&lt;pub-dates&gt;&lt;date&gt;2008-Sep&lt;/date&gt;&lt;/pub-dates&gt;&lt;year&gt;2008&lt;/year&gt;&lt;/dates&gt;&lt;urls&gt;&lt;related-urls&gt;&lt;url&gt;&amp;lt;Go to ISI&amp;gt;://MEDLINE:21631826&lt;/url&gt;&lt;/related-urls&gt;&lt;/urls&gt;&lt;isbn&gt;1744-1595&lt;/isbn&gt;&lt;titles&gt;&lt;title&gt;Effectiveness of simulation on health profession students&amp;apos; knowledge, skills, confidence and satisfaction&lt;/title&gt;&lt;secondary-title&gt;International journal of evidence-based healthcare&lt;/secondary-title&gt;&lt;/titles&gt;&lt;pages&gt;278-302&lt;/pages&gt;&lt;number&gt;3&lt;/number&gt;&lt;contributors&gt;&lt;authors&gt;&lt;author&gt;Laschinger, Susan&lt;/author&gt;&lt;author&gt;Medves, Jennifer&lt;/author&gt;&lt;author&gt;Pulling, Cheryl&lt;/author&gt;&lt;author&gt;McGraw, Dr Robert&lt;/author&gt;&lt;author&gt;Waytuck, Brett&lt;/author&gt;&lt;author&gt;Harrison, Margaret B.&lt;/author&gt;&lt;author&gt;Gambeta, Kasey&lt;/author&gt;&lt;/authors&gt;&lt;/contributors&gt;&lt;added-date format="utc"&gt;1391173518&lt;/added-date&gt;&lt;ref-type name="Journal Article"&gt;17&lt;/ref-type&gt;&lt;rec-number&gt;72&lt;/rec-number&gt;&lt;last-updated-date format="utc"&gt;1397403004&lt;/last-updated-date&gt;&lt;accession-num&gt;MEDLINE:21631826&lt;/accession-num&gt;&lt;electronic-resource-num&gt;10.1111/j.1744-1609.2008.00108.x&lt;/electronic-resource-num&gt;&lt;volume&gt;6&lt;/volume&gt;&lt;/record&gt;&lt;/Cite&gt;&lt;/EndNote&gt;</w:instrText>
      </w:r>
      <w:r w:rsidR="00637633">
        <w:rPr>
          <w:rFonts w:cs="Arial"/>
          <w:szCs w:val="24"/>
        </w:rPr>
        <w:fldChar w:fldCharType="separate"/>
      </w:r>
      <w:r w:rsidR="00434C7E">
        <w:rPr>
          <w:rFonts w:cs="Arial"/>
          <w:noProof/>
          <w:szCs w:val="24"/>
        </w:rPr>
        <w:t>Laschinger et al. (</w:t>
      </w:r>
      <w:r w:rsidR="005823F4">
        <w:rPr>
          <w:rFonts w:cs="Arial"/>
          <w:noProof/>
          <w:szCs w:val="24"/>
        </w:rPr>
        <w:t>2008)</w:t>
      </w:r>
      <w:r w:rsidR="00637633">
        <w:rPr>
          <w:rFonts w:cs="Arial"/>
          <w:szCs w:val="24"/>
        </w:rPr>
        <w:fldChar w:fldCharType="end"/>
      </w:r>
      <w:r w:rsidR="00447551">
        <w:rPr>
          <w:rFonts w:cs="Arial"/>
          <w:szCs w:val="24"/>
        </w:rPr>
        <w:t>;</w:t>
      </w:r>
      <w:r w:rsidR="00637633">
        <w:rPr>
          <w:rFonts w:cs="Arial"/>
          <w:szCs w:val="24"/>
        </w:rPr>
        <w:t xml:space="preserve"> </w:t>
      </w:r>
      <w:r>
        <w:rPr>
          <w:rFonts w:cs="Arial"/>
          <w:szCs w:val="24"/>
        </w:rPr>
        <w:t>(23 studies)</w:t>
      </w:r>
      <w:r w:rsidR="00447551">
        <w:rPr>
          <w:rFonts w:cs="Arial"/>
          <w:szCs w:val="24"/>
        </w:rPr>
        <w:t>,</w:t>
      </w:r>
      <w:r w:rsidR="00260C40">
        <w:rPr>
          <w:rFonts w:cs="Arial"/>
          <w:szCs w:val="24"/>
        </w:rPr>
        <w:t xml:space="preserve"> </w:t>
      </w:r>
      <w:r>
        <w:rPr>
          <w:rFonts w:cs="Arial"/>
          <w:szCs w:val="24"/>
        </w:rPr>
        <w:t>the effect of simulation on undergraduate knowledge, skills, confidence and satisfaction d</w:t>
      </w:r>
      <w:r w:rsidR="00447551">
        <w:rPr>
          <w:rFonts w:cs="Arial"/>
          <w:szCs w:val="24"/>
        </w:rPr>
        <w:t>iscovered</w:t>
      </w:r>
      <w:r>
        <w:rPr>
          <w:rFonts w:cs="Arial"/>
          <w:szCs w:val="24"/>
        </w:rPr>
        <w:t xml:space="preserve"> mixed findings</w:t>
      </w:r>
      <w:r w:rsidR="00637633">
        <w:rPr>
          <w:rFonts w:cs="Arial"/>
          <w:szCs w:val="24"/>
        </w:rPr>
        <w:t xml:space="preserve">. </w:t>
      </w:r>
      <w:r w:rsidR="007C3650">
        <w:rPr>
          <w:rFonts w:cs="Arial"/>
          <w:szCs w:val="24"/>
        </w:rPr>
        <w:t xml:space="preserve">With </w:t>
      </w:r>
      <w:r>
        <w:rPr>
          <w:rFonts w:cs="Arial"/>
          <w:szCs w:val="24"/>
        </w:rPr>
        <w:t>knowledge acquisition, some findings were positive</w:t>
      </w:r>
      <w:r w:rsidR="00D73BD7">
        <w:rPr>
          <w:rFonts w:cs="Arial"/>
          <w:szCs w:val="24"/>
        </w:rPr>
        <w:t xml:space="preserve">, whilst </w:t>
      </w:r>
      <w:r>
        <w:rPr>
          <w:rFonts w:cs="Arial"/>
          <w:szCs w:val="24"/>
        </w:rPr>
        <w:t>some showed no significant cognitive gain. With skill performance</w:t>
      </w:r>
      <w:r w:rsidR="00447551">
        <w:rPr>
          <w:rFonts w:cs="Arial"/>
          <w:szCs w:val="24"/>
        </w:rPr>
        <w:t>,</w:t>
      </w:r>
      <w:r>
        <w:rPr>
          <w:rFonts w:cs="Arial"/>
          <w:szCs w:val="24"/>
        </w:rPr>
        <w:t xml:space="preserve"> there were studies showing greater improvement with simulation than a control group as well as those showing no evidence that simulation had an effect on performance. T</w:t>
      </w:r>
      <w:r w:rsidRPr="001B460F">
        <w:rPr>
          <w:rFonts w:cs="Arial"/>
          <w:szCs w:val="24"/>
        </w:rPr>
        <w:t xml:space="preserve">his </w:t>
      </w:r>
      <w:r w:rsidR="00D73BD7">
        <w:rPr>
          <w:rFonts w:cs="Arial"/>
          <w:szCs w:val="24"/>
        </w:rPr>
        <w:t xml:space="preserve">again </w:t>
      </w:r>
      <w:r w:rsidRPr="001B460F">
        <w:rPr>
          <w:rFonts w:cs="Arial"/>
          <w:szCs w:val="24"/>
        </w:rPr>
        <w:t>highlights the</w:t>
      </w:r>
      <w:r w:rsidR="00D73BD7">
        <w:rPr>
          <w:rFonts w:cs="Arial"/>
          <w:szCs w:val="24"/>
        </w:rPr>
        <w:t xml:space="preserve"> need for guidance to ensure</w:t>
      </w:r>
      <w:r w:rsidRPr="001B460F">
        <w:rPr>
          <w:rFonts w:cs="Arial"/>
          <w:szCs w:val="24"/>
        </w:rPr>
        <w:t xml:space="preserve"> </w:t>
      </w:r>
      <w:r w:rsidR="00D73BD7">
        <w:rPr>
          <w:rFonts w:cs="Arial"/>
          <w:szCs w:val="24"/>
        </w:rPr>
        <w:t>using simulation adds value</w:t>
      </w:r>
      <w:r w:rsidRPr="001B460F">
        <w:rPr>
          <w:rFonts w:cs="Arial"/>
          <w:szCs w:val="24"/>
        </w:rPr>
        <w:t>.</w:t>
      </w:r>
      <w:r w:rsidR="00707662">
        <w:rPr>
          <w:rFonts w:cs="Arial"/>
          <w:szCs w:val="24"/>
        </w:rPr>
        <w:t xml:space="preserve"> </w:t>
      </w:r>
      <w:r>
        <w:rPr>
          <w:rFonts w:cs="Arial"/>
          <w:szCs w:val="24"/>
        </w:rPr>
        <w:t>Overall</w:t>
      </w:r>
      <w:r w:rsidR="00D73BD7">
        <w:rPr>
          <w:rFonts w:cs="Arial"/>
          <w:szCs w:val="24"/>
        </w:rPr>
        <w:t>,</w:t>
      </w:r>
      <w:r>
        <w:rPr>
          <w:rFonts w:cs="Arial"/>
          <w:szCs w:val="24"/>
        </w:rPr>
        <w:t xml:space="preserve"> the majority of studies showed a positive effect but that this effect diminished over time</w:t>
      </w:r>
      <w:r w:rsidR="00D73BD7">
        <w:rPr>
          <w:rFonts w:cs="Arial"/>
          <w:szCs w:val="24"/>
        </w:rPr>
        <w:t>,</w:t>
      </w:r>
      <w:r>
        <w:rPr>
          <w:rFonts w:cs="Arial"/>
          <w:szCs w:val="24"/>
        </w:rPr>
        <w:t xml:space="preserve"> emphasising the importance of continued regular practice.</w:t>
      </w:r>
    </w:p>
    <w:p w14:paraId="3A4FEE43" w14:textId="3CBDC81B" w:rsidR="00DE315A" w:rsidRDefault="00DE315A" w:rsidP="00DE315A">
      <w:pPr>
        <w:rPr>
          <w:rFonts w:cs="Arial"/>
          <w:szCs w:val="24"/>
        </w:rPr>
      </w:pPr>
      <w:r>
        <w:rPr>
          <w:rFonts w:cs="Arial"/>
          <w:szCs w:val="24"/>
        </w:rPr>
        <w:t>There was high learner satisfaction with using simulators</w:t>
      </w:r>
      <w:r w:rsidR="00DC34B3">
        <w:rPr>
          <w:rFonts w:cs="Arial"/>
          <w:szCs w:val="24"/>
        </w:rPr>
        <w:t>,</w:t>
      </w:r>
      <w:r>
        <w:rPr>
          <w:rFonts w:cs="Arial"/>
          <w:szCs w:val="24"/>
        </w:rPr>
        <w:t xml:space="preserve"> </w:t>
      </w:r>
      <w:r w:rsidR="00251331">
        <w:rPr>
          <w:rFonts w:cs="Arial"/>
          <w:szCs w:val="24"/>
        </w:rPr>
        <w:t>with m</w:t>
      </w:r>
      <w:r>
        <w:rPr>
          <w:rFonts w:cs="Arial"/>
          <w:szCs w:val="24"/>
        </w:rPr>
        <w:t>ost studies show</w:t>
      </w:r>
      <w:r w:rsidR="00251331">
        <w:rPr>
          <w:rFonts w:cs="Arial"/>
          <w:szCs w:val="24"/>
        </w:rPr>
        <w:t>ing</w:t>
      </w:r>
      <w:r>
        <w:rPr>
          <w:rFonts w:cs="Arial"/>
          <w:szCs w:val="24"/>
        </w:rPr>
        <w:t xml:space="preserve"> an increase in self-reported confidence in skills following simulation </w:t>
      </w:r>
      <w:r>
        <w:rPr>
          <w:rFonts w:cs="Arial"/>
          <w:szCs w:val="24"/>
        </w:rPr>
        <w:lastRenderedPageBreak/>
        <w:t>education</w:t>
      </w:r>
      <w:r w:rsidR="00251331">
        <w:rPr>
          <w:rFonts w:cs="Arial"/>
          <w:szCs w:val="24"/>
        </w:rPr>
        <w:t>.</w:t>
      </w:r>
      <w:r>
        <w:rPr>
          <w:rFonts w:cs="Arial"/>
          <w:szCs w:val="24"/>
        </w:rPr>
        <w:t xml:space="preserve"> Though they describe their review as inconclusive</w:t>
      </w:r>
      <w:r w:rsidR="0078669C">
        <w:rPr>
          <w:rFonts w:cs="Arial"/>
          <w:szCs w:val="24"/>
        </w:rPr>
        <w:t>,</w:t>
      </w:r>
      <w:r>
        <w:rPr>
          <w:rFonts w:cs="Arial"/>
          <w:szCs w:val="24"/>
        </w:rPr>
        <w:t xml:space="preserve"> they point out that some studies do show that high-fidelity patient simul</w:t>
      </w:r>
      <w:r w:rsidR="00707662">
        <w:rPr>
          <w:rFonts w:cs="Arial"/>
          <w:szCs w:val="24"/>
        </w:rPr>
        <w:t>ation is useful to teach higher-</w:t>
      </w:r>
      <w:r>
        <w:rPr>
          <w:rFonts w:cs="Arial"/>
          <w:szCs w:val="24"/>
        </w:rPr>
        <w:t xml:space="preserve">level skills and physiological concepts. They feel that confidence and student enthusiasm for this method of learning is important as it may enhance student understanding. They discuss that one of the threats of simulation is the risk of negative learning, highlighting the importance of trained clinical instructors during the sessions and in debriefing </w:t>
      </w:r>
      <w:r>
        <w:rPr>
          <w:rFonts w:cs="Arial"/>
          <w:szCs w:val="24"/>
        </w:rPr>
        <w:fldChar w:fldCharType="begin">
          <w:fldData xml:space="preserve">PEVuZE5vdGU+PENpdGU+PEF1dGhvcj5MYXNjaGluZ2VyPC9BdXRob3I+PFllYXI+MjAwODwvWWVh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</w:fldData>
        </w:fldChar>
      </w:r>
      <w:r w:rsidR="00D41659">
        <w:rPr>
          <w:rFonts w:cs="Arial"/>
          <w:szCs w:val="24"/>
        </w:rPr>
        <w:instrText xml:space="preserve"> ADDIN EN.CITE </w:instrText>
      </w:r>
      <w:r w:rsidR="00D41659">
        <w:rPr>
          <w:rFonts w:cs="Arial"/>
          <w:szCs w:val="24"/>
        </w:rPr>
        <w:fldChar w:fldCharType="begin">
          <w:fldData xml:space="preserve">PEVuZE5vdGU+PENpdGU+PEF1dGhvcj5MYXNjaGluZ2VyPC9BdXRob3I+PFllYXI+MjAwODwvWWVh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</w:fldData>
        </w:fldChar>
      </w:r>
      <w:r w:rsidR="00D41659">
        <w:rPr>
          <w:rFonts w:cs="Arial"/>
          <w:szCs w:val="24"/>
        </w:rPr>
        <w:instrText xml:space="preserve"> ADDIN EN.CITE.DATA </w:instrText>
      </w:r>
      <w:r w:rsidR="00D41659">
        <w:rPr>
          <w:rFonts w:cs="Arial"/>
          <w:szCs w:val="24"/>
        </w:rPr>
      </w:r>
      <w:r w:rsidR="00D41659">
        <w:rPr>
          <w:rFonts w:cs="Arial"/>
          <w:szCs w:val="24"/>
        </w:rPr>
        <w:fldChar w:fldCharType="end"/>
      </w:r>
      <w:r>
        <w:rPr>
          <w:rFonts w:cs="Arial"/>
          <w:szCs w:val="24"/>
        </w:rPr>
      </w:r>
      <w:r>
        <w:rPr>
          <w:rFonts w:cs="Arial"/>
          <w:szCs w:val="24"/>
        </w:rPr>
        <w:fldChar w:fldCharType="separate"/>
      </w:r>
      <w:r w:rsidR="00707662">
        <w:rPr>
          <w:rFonts w:cs="Arial"/>
          <w:noProof/>
          <w:szCs w:val="24"/>
        </w:rPr>
        <w:t>(Laschinger et al., 2008)</w:t>
      </w:r>
      <w:r>
        <w:rPr>
          <w:rFonts w:cs="Arial"/>
          <w:szCs w:val="24"/>
        </w:rPr>
        <w:fldChar w:fldCharType="end"/>
      </w:r>
      <w:r>
        <w:rPr>
          <w:rFonts w:cs="Arial"/>
          <w:szCs w:val="24"/>
        </w:rPr>
        <w:t>.</w:t>
      </w:r>
      <w:r w:rsidR="00266C04">
        <w:rPr>
          <w:rFonts w:cs="Arial"/>
          <w:szCs w:val="24"/>
        </w:rPr>
        <w:t xml:space="preserve"> </w:t>
      </w:r>
      <w:r w:rsidR="00637633">
        <w:rPr>
          <w:rFonts w:cs="Arial"/>
          <w:szCs w:val="24"/>
        </w:rPr>
        <w:fldChar w:fldCharType="begin"/>
      </w:r>
      <w:r w:rsidR="005823F4">
        <w:rPr>
          <w:rFonts w:cs="Arial"/>
          <w:szCs w:val="24"/>
        </w:rPr>
        <w:instrText xml:space="preserve"> ADDIN EN.CITE &lt;EndNote&gt;&lt;Cite&gt;&lt;Author&gt;Bleakley&lt;/Author&gt;&lt;Year&gt;2008&lt;/Year&gt;&lt;IDText&gt;Students learning from patients: let&amp;apos;s get real in medical education&lt;/IDText&gt;&lt;DisplayText&gt;(Bleakley and Bligh, 2008)&lt;/DisplayText&gt;&lt;record&gt;&lt;titles&gt;&lt;title&gt;Students learning from patients: let&amp;apos;s get real in medical education&lt;/title&gt;&lt;secondary-title&gt;Adv Health Sci Educ Theory Pract&lt;/secondary-title&gt;&lt;/titles&gt;&lt;pages&gt;89 - 107&lt;/pages&gt;&lt;contributors&gt;&lt;authors&gt;&lt;author&gt;Bleakley, A.&lt;/author&gt;&lt;author&gt;Bligh, J.&lt;/author&gt;&lt;/authors&gt;&lt;/contributors&gt;&lt;added-date format="utc"&gt;1458056986&lt;/added-date&gt;&lt;ref-type name="Journal Article"&gt;17&lt;/ref-type&gt;&lt;dates&gt;&lt;year&gt;2008&lt;/year&gt;&lt;/dates&gt;&lt;rec-number&gt;223&lt;/rec-number&gt;&lt;last-updated-date format="utc"&gt;1458057160&lt;/last-updated-date&gt;&lt;volume&gt;13&lt;/volume&gt;&lt;/record&gt;&lt;/Cite&gt;&lt;/EndNote&gt;</w:instrText>
      </w:r>
      <w:r w:rsidR="00637633">
        <w:rPr>
          <w:rFonts w:cs="Arial"/>
          <w:szCs w:val="24"/>
        </w:rPr>
        <w:fldChar w:fldCharType="separate"/>
      </w:r>
      <w:r w:rsidR="00434C7E">
        <w:rPr>
          <w:rFonts w:cs="Arial"/>
          <w:noProof/>
          <w:szCs w:val="24"/>
        </w:rPr>
        <w:t>Bleakley and Bligh</w:t>
      </w:r>
      <w:r w:rsidR="005823F4">
        <w:rPr>
          <w:rFonts w:cs="Arial"/>
          <w:noProof/>
          <w:szCs w:val="24"/>
        </w:rPr>
        <w:t xml:space="preserve"> </w:t>
      </w:r>
      <w:r w:rsidR="00434C7E">
        <w:rPr>
          <w:rFonts w:cs="Arial"/>
          <w:noProof/>
          <w:szCs w:val="24"/>
        </w:rPr>
        <w:t>(</w:t>
      </w:r>
      <w:r w:rsidR="005823F4">
        <w:rPr>
          <w:rFonts w:cs="Arial"/>
          <w:noProof/>
          <w:szCs w:val="24"/>
        </w:rPr>
        <w:t>2008)</w:t>
      </w:r>
      <w:r w:rsidR="00637633">
        <w:rPr>
          <w:rFonts w:cs="Arial"/>
          <w:szCs w:val="24"/>
        </w:rPr>
        <w:fldChar w:fldCharType="end"/>
      </w:r>
      <w:r w:rsidR="00637633">
        <w:rPr>
          <w:rFonts w:cs="Arial"/>
          <w:szCs w:val="24"/>
        </w:rPr>
        <w:t xml:space="preserve"> </w:t>
      </w:r>
      <w:r w:rsidR="00A11FD1">
        <w:rPr>
          <w:rFonts w:cs="Arial"/>
          <w:szCs w:val="24"/>
        </w:rPr>
        <w:t xml:space="preserve">highlight the challenge of transferring learning from simulated </w:t>
      </w:r>
      <w:r w:rsidR="00447551">
        <w:rPr>
          <w:rFonts w:cs="Arial"/>
          <w:szCs w:val="24"/>
        </w:rPr>
        <w:t xml:space="preserve">practice </w:t>
      </w:r>
      <w:r w:rsidR="000A27DF">
        <w:rPr>
          <w:rFonts w:cs="Arial"/>
          <w:szCs w:val="24"/>
        </w:rPr>
        <w:t>into</w:t>
      </w:r>
      <w:r w:rsidR="00A11FD1">
        <w:rPr>
          <w:rFonts w:cs="Arial"/>
          <w:szCs w:val="24"/>
        </w:rPr>
        <w:t xml:space="preserve"> real practi</w:t>
      </w:r>
      <w:r w:rsidR="0078669C">
        <w:rPr>
          <w:rFonts w:cs="Arial"/>
          <w:szCs w:val="24"/>
        </w:rPr>
        <w:t>c</w:t>
      </w:r>
      <w:r w:rsidR="00A11FD1">
        <w:rPr>
          <w:rFonts w:cs="Arial"/>
          <w:szCs w:val="24"/>
        </w:rPr>
        <w:t>e</w:t>
      </w:r>
      <w:r w:rsidR="00637633">
        <w:rPr>
          <w:rFonts w:cs="Arial"/>
          <w:szCs w:val="24"/>
        </w:rPr>
        <w:t>.</w:t>
      </w:r>
    </w:p>
    <w:p w14:paraId="0F638156" w14:textId="283C063D" w:rsidR="00A4014A" w:rsidRDefault="00DC34B3" w:rsidP="00DE315A">
      <w:pPr>
        <w:rPr>
          <w:rFonts w:cs="Arial"/>
          <w:szCs w:val="24"/>
        </w:rPr>
      </w:pPr>
      <w:r>
        <w:rPr>
          <w:rFonts w:cs="Arial"/>
          <w:szCs w:val="24"/>
        </w:rPr>
        <w:t>In terms of simulation and preparedness, a</w:t>
      </w:r>
      <w:r w:rsidR="00A4014A">
        <w:rPr>
          <w:rFonts w:cs="Arial"/>
          <w:szCs w:val="24"/>
        </w:rPr>
        <w:t xml:space="preserve"> qu</w:t>
      </w:r>
      <w:r w:rsidR="00447551">
        <w:rPr>
          <w:rFonts w:cs="Arial"/>
          <w:szCs w:val="24"/>
        </w:rPr>
        <w:t>alitative study evaluating a 16-</w:t>
      </w:r>
      <w:r w:rsidR="00A4014A">
        <w:rPr>
          <w:rFonts w:cs="Arial"/>
          <w:szCs w:val="24"/>
        </w:rPr>
        <w:t>week acu</w:t>
      </w:r>
      <w:r w:rsidR="005A5376">
        <w:rPr>
          <w:rFonts w:cs="Arial"/>
          <w:szCs w:val="24"/>
        </w:rPr>
        <w:t>te care spiral curriculum with SBME</w:t>
      </w:r>
      <w:r w:rsidR="00A4014A">
        <w:rPr>
          <w:rFonts w:cs="Arial"/>
          <w:szCs w:val="24"/>
        </w:rPr>
        <w:t xml:space="preserve"> i</w:t>
      </w:r>
      <w:r w:rsidR="005A5376">
        <w:rPr>
          <w:rFonts w:cs="Arial"/>
          <w:szCs w:val="24"/>
        </w:rPr>
        <w:t>n a UK hospital, reported that four</w:t>
      </w:r>
      <w:r w:rsidR="00A4014A">
        <w:rPr>
          <w:rFonts w:cs="Arial"/>
          <w:szCs w:val="24"/>
        </w:rPr>
        <w:t xml:space="preserve"> months </w:t>
      </w:r>
      <w:r w:rsidR="000A27DF">
        <w:rPr>
          <w:rFonts w:cs="Arial"/>
          <w:szCs w:val="24"/>
        </w:rPr>
        <w:t>into</w:t>
      </w:r>
      <w:r w:rsidR="005A5376">
        <w:rPr>
          <w:rFonts w:cs="Arial"/>
          <w:szCs w:val="24"/>
        </w:rPr>
        <w:t xml:space="preserve"> FY1, seven</w:t>
      </w:r>
      <w:r w:rsidR="00A4014A">
        <w:rPr>
          <w:rFonts w:cs="Arial"/>
          <w:szCs w:val="24"/>
        </w:rPr>
        <w:t xml:space="preserve"> junior doctors ‘did feel prepared for managing a cardiac arrest and an acutely unwell patient upon qualifying’. They reported the benefits of being taught a structured ABCDE approach, having immediate life support training at undergraduate level and learning in a simulated environment </w:t>
      </w:r>
      <w:r w:rsidR="00A4014A">
        <w:rPr>
          <w:rFonts w:cs="Arial"/>
          <w:szCs w:val="24"/>
        </w:rPr>
        <w:fldChar w:fldCharType="begin"/>
      </w:r>
      <w:r w:rsidR="00A4014A">
        <w:rPr>
          <w:rFonts w:cs="Arial"/>
          <w:szCs w:val="24"/>
        </w:rPr>
        <w:instrText xml:space="preserve"> ADDIN EN.CITE &lt;EndNote&gt;&lt;Cite&gt;&lt;Author&gt;Carling&lt;/Author&gt;&lt;Year&gt;2010&lt;/Year&gt;&lt;IDText&gt;Are graduate doctors adequately prepared to manage acutely unwell patients?&lt;/IDText&gt;&lt;DisplayText&gt;(Carling, 2010)&lt;/DisplayText&gt;&lt;record&gt;&lt;dates&gt;&lt;pub-dates&gt;&lt;date&gt;Jun&lt;/date&gt;&lt;/pub-dates&gt;&lt;year&gt;2010&lt;/year&gt;&lt;/dates&gt;&lt;keywords&gt;&lt;keyword&gt;Acute Disease&lt;/keyword&gt;&lt;keyword&gt;Clinical Competence&lt;/keyword&gt;&lt;keyword&gt;Curriculum&lt;/keyword&gt;&lt;keyword&gt;Education, Medical, Graduate&lt;/keyword&gt;&lt;keyword&gt;Health Knowledge, Attitudes, Practice&lt;/keyword&gt;&lt;keyword&gt;Humans&lt;/keyword&gt;&lt;keyword&gt;Leadership&lt;/keyword&gt;&lt;keyword&gt;Peer Group&lt;/keyword&gt;&lt;keyword&gt;Qualitative Research&lt;/keyword&gt;&lt;keyword&gt;Students, Medical&lt;/keyword&gt;&lt;keyword&gt;Tape Recording&lt;/keyword&gt;&lt;keyword&gt;Teaching&lt;/keyword&gt;&lt;/keywords&gt;&lt;urls&gt;&lt;related-urls&gt;&lt;url&gt;http://www.ncbi.nlm.nih.gov/pubmed/21134157&lt;/url&gt;&lt;/related-urls&gt;&lt;/urls&gt;&lt;isbn&gt;1743-498X&lt;/isbn&gt;&lt;titles&gt;&lt;title&gt;Are graduate doctors adequately prepared to manage acutely unwell patients?&lt;/title&gt;&lt;secondary-title&gt;Clin Teach&lt;/secondary-title&gt;&lt;/titles&gt;&lt;pages&gt;102-5&lt;/pages&gt;&lt;number&gt;2&lt;/number&gt;&lt;contributors&gt;&lt;authors&gt;&lt;author&gt;Carling, J.&lt;/author&gt;&lt;/authors&gt;&lt;/contributors&gt;&lt;language&gt;eng&lt;/language&gt;&lt;added-date format="utc"&gt;1453474508&lt;/added-date&gt;&lt;ref-type name="Journal Article"&gt;17&lt;/ref-type&gt;&lt;rec-number&gt;158&lt;/rec-number&gt;&lt;last-updated-date format="utc"&gt;1453474508&lt;/last-updated-date&gt;&lt;accession-num&gt;21134157&lt;/accession-num&gt;&lt;electronic-resource-num&gt;10.1111/j.1743-498X.2010.00341.x&lt;/electronic-resource-num&gt;&lt;volume&gt;7&lt;/volume&gt;&lt;/record&gt;&lt;/Cite&gt;&lt;/EndNote&gt;</w:instrText>
      </w:r>
      <w:r w:rsidR="00A4014A">
        <w:rPr>
          <w:rFonts w:cs="Arial"/>
          <w:szCs w:val="24"/>
        </w:rPr>
        <w:fldChar w:fldCharType="separate"/>
      </w:r>
      <w:r w:rsidR="00A4014A">
        <w:rPr>
          <w:rFonts w:cs="Arial"/>
          <w:noProof/>
          <w:szCs w:val="24"/>
        </w:rPr>
        <w:t>(Carling, 2010)</w:t>
      </w:r>
      <w:r w:rsidR="00A4014A">
        <w:rPr>
          <w:rFonts w:cs="Arial"/>
          <w:szCs w:val="24"/>
        </w:rPr>
        <w:fldChar w:fldCharType="end"/>
      </w:r>
      <w:r w:rsidR="00A4014A">
        <w:rPr>
          <w:rFonts w:cs="Arial"/>
          <w:szCs w:val="24"/>
        </w:rPr>
        <w:t xml:space="preserve">. Though this is a small cohort of </w:t>
      </w:r>
      <w:r w:rsidR="005A5376">
        <w:rPr>
          <w:rFonts w:cs="Arial"/>
          <w:szCs w:val="24"/>
        </w:rPr>
        <w:t>students with no delayed follow-</w:t>
      </w:r>
      <w:r w:rsidR="00A4014A">
        <w:rPr>
          <w:rFonts w:cs="Arial"/>
          <w:szCs w:val="24"/>
        </w:rPr>
        <w:t>up assessment</w:t>
      </w:r>
      <w:r w:rsidR="0011686E">
        <w:rPr>
          <w:rFonts w:cs="Arial"/>
          <w:szCs w:val="24"/>
        </w:rPr>
        <w:t>,</w:t>
      </w:r>
      <w:r w:rsidR="00A4014A">
        <w:rPr>
          <w:rFonts w:cs="Arial"/>
          <w:szCs w:val="24"/>
        </w:rPr>
        <w:t xml:space="preserve"> it is valuable to have the views of the FY1s in their current posts. It is difficult to say</w:t>
      </w:r>
      <w:r w:rsidR="005A5376">
        <w:rPr>
          <w:rFonts w:cs="Arial"/>
          <w:szCs w:val="24"/>
        </w:rPr>
        <w:t xml:space="preserve"> whether this is generalis</w:t>
      </w:r>
      <w:r w:rsidR="00A4014A">
        <w:rPr>
          <w:rFonts w:cs="Arial"/>
          <w:szCs w:val="24"/>
        </w:rPr>
        <w:t>ab</w:t>
      </w:r>
      <w:r w:rsidR="0011686E">
        <w:rPr>
          <w:rFonts w:cs="Arial"/>
          <w:szCs w:val="24"/>
        </w:rPr>
        <w:t>le to all medical students and</w:t>
      </w:r>
      <w:r w:rsidR="00A4014A">
        <w:rPr>
          <w:rFonts w:cs="Arial"/>
          <w:szCs w:val="24"/>
        </w:rPr>
        <w:t xml:space="preserve"> </w:t>
      </w:r>
      <w:r w:rsidR="005A5376">
        <w:rPr>
          <w:rFonts w:cs="Arial"/>
          <w:szCs w:val="24"/>
        </w:rPr>
        <w:t xml:space="preserve">it </w:t>
      </w:r>
      <w:r w:rsidR="00A4014A">
        <w:rPr>
          <w:rFonts w:cs="Arial"/>
          <w:szCs w:val="24"/>
        </w:rPr>
        <w:t xml:space="preserve">is </w:t>
      </w:r>
      <w:r w:rsidR="005A5376">
        <w:rPr>
          <w:rFonts w:cs="Arial"/>
          <w:szCs w:val="24"/>
        </w:rPr>
        <w:t xml:space="preserve">a </w:t>
      </w:r>
      <w:r w:rsidR="00A4014A">
        <w:rPr>
          <w:rFonts w:cs="Arial"/>
          <w:szCs w:val="24"/>
        </w:rPr>
        <w:t>retrospe</w:t>
      </w:r>
      <w:r w:rsidR="0011686E">
        <w:rPr>
          <w:rFonts w:cs="Arial"/>
          <w:szCs w:val="24"/>
        </w:rPr>
        <w:t>ctive, subjective perception</w:t>
      </w:r>
      <w:r w:rsidR="00A4014A">
        <w:rPr>
          <w:rFonts w:cs="Arial"/>
          <w:szCs w:val="24"/>
        </w:rPr>
        <w:t xml:space="preserve"> at risk of recall and environmental biases.</w:t>
      </w:r>
    </w:p>
    <w:p w14:paraId="346E22FE" w14:textId="714410E1" w:rsidR="00B24E71" w:rsidRDefault="00B24E71" w:rsidP="00B24E71">
      <w:pPr>
        <w:rPr>
          <w:rFonts w:cs="Arial"/>
          <w:szCs w:val="24"/>
        </w:rPr>
      </w:pPr>
      <w:proofErr w:type="spellStart"/>
      <w:r>
        <w:rPr>
          <w:rFonts w:cs="Arial"/>
          <w:szCs w:val="24"/>
        </w:rPr>
        <w:t>Dalgaty</w:t>
      </w:r>
      <w:proofErr w:type="spellEnd"/>
      <w:r>
        <w:rPr>
          <w:rFonts w:cs="Arial"/>
          <w:szCs w:val="24"/>
        </w:rPr>
        <w:t xml:space="preserve"> et al. (2016) report on outcomes following 17 medical students participating in a ‘Medi</w:t>
      </w:r>
      <w:r w:rsidR="005A5376">
        <w:rPr>
          <w:rFonts w:cs="Arial"/>
          <w:szCs w:val="24"/>
        </w:rPr>
        <w:t>c</w:t>
      </w:r>
      <w:r>
        <w:rPr>
          <w:rFonts w:cs="Arial"/>
          <w:szCs w:val="24"/>
        </w:rPr>
        <w:t xml:space="preserve">al Mentorship Programme’ in Scotland. Seven junior doctors were involved in teaching and mentoring. They had a </w:t>
      </w:r>
      <w:r w:rsidR="00693688">
        <w:rPr>
          <w:rFonts w:cs="Arial"/>
          <w:szCs w:val="24"/>
        </w:rPr>
        <w:t>two-hour</w:t>
      </w:r>
      <w:r w:rsidR="005A5376">
        <w:rPr>
          <w:rFonts w:cs="Arial"/>
          <w:szCs w:val="24"/>
        </w:rPr>
        <w:t xml:space="preserve"> session focus</w:t>
      </w:r>
      <w:r>
        <w:rPr>
          <w:rFonts w:cs="Arial"/>
          <w:szCs w:val="24"/>
        </w:rPr>
        <w:t xml:space="preserve">ing on how to be a good mentor, and a </w:t>
      </w:r>
      <w:r w:rsidR="00693688">
        <w:rPr>
          <w:rFonts w:cs="Arial"/>
          <w:szCs w:val="24"/>
        </w:rPr>
        <w:t>three-hour</w:t>
      </w:r>
      <w:r>
        <w:rPr>
          <w:rFonts w:cs="Arial"/>
          <w:szCs w:val="24"/>
        </w:rPr>
        <w:t xml:space="preserve"> clinical practice session </w:t>
      </w:r>
      <w:r>
        <w:rPr>
          <w:rFonts w:cs="Arial"/>
          <w:szCs w:val="24"/>
        </w:rPr>
        <w:lastRenderedPageBreak/>
        <w:t xml:space="preserve">of </w:t>
      </w:r>
      <w:r w:rsidR="0011686E">
        <w:rPr>
          <w:rFonts w:cs="Arial"/>
          <w:szCs w:val="24"/>
        </w:rPr>
        <w:t>O</w:t>
      </w:r>
      <w:r w:rsidR="005A5376">
        <w:rPr>
          <w:rFonts w:cs="Arial"/>
          <w:szCs w:val="24"/>
        </w:rPr>
        <w:t xml:space="preserve">bjective </w:t>
      </w:r>
      <w:r w:rsidR="0011686E">
        <w:rPr>
          <w:rFonts w:cs="Arial"/>
          <w:szCs w:val="24"/>
        </w:rPr>
        <w:t>S</w:t>
      </w:r>
      <w:r w:rsidR="005A5376">
        <w:rPr>
          <w:rFonts w:cs="Arial"/>
          <w:szCs w:val="24"/>
        </w:rPr>
        <w:t xml:space="preserve">tructured </w:t>
      </w:r>
      <w:r w:rsidR="0011686E">
        <w:rPr>
          <w:rFonts w:cs="Arial"/>
          <w:szCs w:val="24"/>
        </w:rPr>
        <w:t>C</w:t>
      </w:r>
      <w:r w:rsidR="005A5376">
        <w:rPr>
          <w:rFonts w:cs="Arial"/>
          <w:szCs w:val="24"/>
        </w:rPr>
        <w:t xml:space="preserve">linical </w:t>
      </w:r>
      <w:r w:rsidR="0011686E">
        <w:rPr>
          <w:rFonts w:cs="Arial"/>
          <w:szCs w:val="24"/>
        </w:rPr>
        <w:t>E</w:t>
      </w:r>
      <w:r w:rsidR="005A5376">
        <w:rPr>
          <w:rFonts w:cs="Arial"/>
          <w:szCs w:val="24"/>
        </w:rPr>
        <w:t>xamination (OSCE)</w:t>
      </w:r>
      <w:r w:rsidR="0011686E">
        <w:rPr>
          <w:rFonts w:cs="Arial"/>
          <w:szCs w:val="24"/>
        </w:rPr>
        <w:t xml:space="preserve"> based simulation stations. </w:t>
      </w:r>
      <w:r>
        <w:rPr>
          <w:rFonts w:cs="Arial"/>
          <w:szCs w:val="24"/>
        </w:rPr>
        <w:t>Th</w:t>
      </w:r>
      <w:r w:rsidR="005A5376">
        <w:rPr>
          <w:rFonts w:cs="Arial"/>
          <w:szCs w:val="24"/>
        </w:rPr>
        <w:t>e final three-</w:t>
      </w:r>
      <w:r w:rsidR="0011686E">
        <w:rPr>
          <w:rFonts w:cs="Arial"/>
          <w:szCs w:val="24"/>
        </w:rPr>
        <w:t>hour session used simulated</w:t>
      </w:r>
      <w:r>
        <w:rPr>
          <w:rFonts w:cs="Arial"/>
          <w:szCs w:val="24"/>
        </w:rPr>
        <w:t xml:space="preserve"> OSCE stations and a human factors approach to work on ‘clinical decision-making, prioritisation, team communication and situational awareness’</w:t>
      </w:r>
      <w:r w:rsidR="005A5376">
        <w:rPr>
          <w:rFonts w:cs="Arial"/>
          <w:szCs w:val="24"/>
        </w:rPr>
        <w:t>,</w:t>
      </w:r>
      <w:r>
        <w:rPr>
          <w:rFonts w:cs="Arial"/>
          <w:szCs w:val="24"/>
        </w:rPr>
        <w:t xml:space="preserve"> ending in </w:t>
      </w:r>
      <w:r w:rsidR="005A5376">
        <w:rPr>
          <w:rFonts w:cs="Arial"/>
          <w:szCs w:val="24"/>
        </w:rPr>
        <w:t xml:space="preserve">a </w:t>
      </w:r>
      <w:r>
        <w:rPr>
          <w:rFonts w:cs="Arial"/>
          <w:szCs w:val="24"/>
        </w:rPr>
        <w:t xml:space="preserve">facilitated debrief. </w:t>
      </w:r>
    </w:p>
    <w:p w14:paraId="3643B055" w14:textId="57B28ED8" w:rsidR="00D569F5" w:rsidRDefault="00A37424" w:rsidP="00D569F5">
      <w:pPr>
        <w:rPr>
          <w:rFonts w:cs="Arial"/>
          <w:szCs w:val="24"/>
        </w:rPr>
      </w:pPr>
      <w:r>
        <w:rPr>
          <w:rFonts w:cs="Arial"/>
          <w:szCs w:val="24"/>
        </w:rPr>
        <w:t>F</w:t>
      </w:r>
      <w:r w:rsidR="00173DE4">
        <w:rPr>
          <w:rFonts w:cs="Arial"/>
          <w:szCs w:val="24"/>
        </w:rPr>
        <w:t>ocus group</w:t>
      </w:r>
      <w:r w:rsidR="0011686E">
        <w:rPr>
          <w:rFonts w:cs="Arial"/>
          <w:szCs w:val="24"/>
        </w:rPr>
        <w:t xml:space="preserve"> data</w:t>
      </w:r>
      <w:r w:rsidR="00434C7E">
        <w:rPr>
          <w:rFonts w:cs="Arial"/>
          <w:szCs w:val="24"/>
        </w:rPr>
        <w:t>,</w:t>
      </w:r>
      <w:r w:rsidR="00D569F5">
        <w:rPr>
          <w:rFonts w:cs="Arial"/>
          <w:szCs w:val="24"/>
        </w:rPr>
        <w:t xml:space="preserve"> anal</w:t>
      </w:r>
      <w:r w:rsidR="0011686E">
        <w:rPr>
          <w:rFonts w:cs="Arial"/>
          <w:szCs w:val="24"/>
        </w:rPr>
        <w:t xml:space="preserve">ysed using content analysis </w:t>
      </w:r>
      <w:r w:rsidR="00D569F5">
        <w:rPr>
          <w:rFonts w:cs="Arial"/>
          <w:szCs w:val="24"/>
        </w:rPr>
        <w:t>identified three main themes</w:t>
      </w:r>
      <w:r w:rsidR="005A5376">
        <w:rPr>
          <w:rFonts w:cs="Arial"/>
          <w:szCs w:val="24"/>
        </w:rPr>
        <w:t xml:space="preserve">: </w:t>
      </w:r>
      <w:r w:rsidR="00D569F5">
        <w:rPr>
          <w:rFonts w:cs="Arial"/>
          <w:szCs w:val="24"/>
        </w:rPr>
        <w:t xml:space="preserve"> ‘benchmarking professional development, the personal value of mentor-mentee relationship and addressing the performance gap’. It was felt that simulation was able to replicate the clinical scenarios in an authentic way and when combined with good mentoring, created effective learning. Mentoring was reported as being useful for ‘emotional support and reassurance’. Simulation was noted to be valuable to students for ‘determining their performance capacity’, which may fit with self-regulation and refle</w:t>
      </w:r>
      <w:r w:rsidR="005A5376">
        <w:rPr>
          <w:rFonts w:cs="Arial"/>
          <w:szCs w:val="24"/>
        </w:rPr>
        <w:t>ctive practice surrounding self-</w:t>
      </w:r>
      <w:r w:rsidR="00D569F5">
        <w:rPr>
          <w:rFonts w:cs="Arial"/>
          <w:szCs w:val="24"/>
        </w:rPr>
        <w:t xml:space="preserve">assessed capability.   </w:t>
      </w:r>
    </w:p>
    <w:p w14:paraId="6B7A54BB" w14:textId="70B78754" w:rsidR="00D569F5" w:rsidRDefault="00D569F5" w:rsidP="00B24E71">
      <w:pPr>
        <w:rPr>
          <w:rFonts w:cs="Arial"/>
          <w:szCs w:val="24"/>
        </w:rPr>
      </w:pPr>
      <w:r>
        <w:rPr>
          <w:rFonts w:cs="Arial"/>
          <w:szCs w:val="24"/>
        </w:rPr>
        <w:t xml:space="preserve">Though this is a small sample without a control and details on assessment validation, the qualitative aspects offer rich data and the team conclude that the programme had a ‘positive effect on the professional development of medical students’. The study recommends that simulation should be used ‘alongside clinical practice’ and be ‘contextual’ to achieve full potential.  ‘Individualistic learning’ as well as mentoring have been highlighted as important areas for preparedness in undergraduate medical students </w:t>
      </w:r>
      <w:r>
        <w:rPr>
          <w:rFonts w:cs="Arial"/>
          <w:szCs w:val="24"/>
        </w:rPr>
        <w:fldChar w:fldCharType="begin"/>
      </w:r>
      <w:r>
        <w:rPr>
          <w:rFonts w:cs="Arial"/>
          <w:szCs w:val="24"/>
        </w:rPr>
        <w:instrText xml:space="preserve"> ADDIN EN.CITE &lt;EndNote&gt;&lt;Cite&gt;&lt;Author&gt;Dalgaty&lt;/Author&gt;&lt;Year&gt;2016&lt;/Year&gt;&lt;IDText&gt;The value of mentorship in medical education&lt;/IDText&gt;&lt;DisplayText&gt;(Dalgaty et al., 2016)&lt;/DisplayText&gt;&lt;record&gt;&lt;dates&gt;&lt;pub-dates&gt;&lt;date&gt;Feb&lt;/date&gt;&lt;/pub-dates&gt;&lt;year&gt;2016&lt;/year&gt;&lt;/dates&gt;&lt;urls&gt;&lt;related-urls&gt;&lt;url&gt;http://www.ncbi.nlm.nih.gov/pubmed/26848105&lt;/url&gt;&lt;/related-urls&gt;&lt;/urls&gt;&lt;isbn&gt;1743-498X&lt;/isbn&gt;&lt;titles&gt;&lt;title&gt;The value of mentorship in medical education&lt;/title&gt;&lt;secondary-title&gt;Clin Teach&lt;/secondary-title&gt;&lt;/titles&gt;&lt;contributors&gt;&lt;authors&gt;&lt;author&gt;Dalgaty, F.&lt;/author&gt;&lt;author&gt;Guthrie, G.&lt;/author&gt;&lt;author&gt;Walker, H.&lt;/author&gt;&lt;author&gt;Stirling, K.&lt;/author&gt;&lt;/authors&gt;&lt;/contributors&gt;&lt;language&gt;ENG&lt;/language&gt;&lt;added-date format="utc"&gt;1457004136&lt;/added-date&gt;&lt;ref-type name="Journal Article"&gt;17&lt;/ref-type&gt;&lt;rec-number&gt;207&lt;/rec-number&gt;&lt;last-updated-date format="utc"&gt;1457004136&lt;/last-updated-date&gt;&lt;accession-num&gt;26848105&lt;/accession-num&gt;&lt;electronic-resource-num&gt;10.1111/tct.12510&lt;/electronic-resource-num&gt;&lt;/record&gt;&lt;/Cite&gt;&lt;/EndNote&gt;</w:instrText>
      </w:r>
      <w:r>
        <w:rPr>
          <w:rFonts w:cs="Arial"/>
          <w:szCs w:val="24"/>
        </w:rPr>
        <w:fldChar w:fldCharType="separate"/>
      </w:r>
      <w:r>
        <w:rPr>
          <w:rFonts w:cs="Arial"/>
          <w:noProof/>
          <w:szCs w:val="24"/>
        </w:rPr>
        <w:t>(Dalgaty et al., 2016)</w:t>
      </w:r>
      <w:r>
        <w:rPr>
          <w:rFonts w:cs="Arial"/>
          <w:szCs w:val="24"/>
        </w:rPr>
        <w:fldChar w:fldCharType="end"/>
      </w:r>
      <w:r>
        <w:rPr>
          <w:rFonts w:cs="Arial"/>
          <w:szCs w:val="24"/>
        </w:rPr>
        <w:t xml:space="preserve">. </w:t>
      </w:r>
    </w:p>
    <w:p w14:paraId="1BD83E4A" w14:textId="11E81300" w:rsidR="00260C40" w:rsidRDefault="00637633" w:rsidP="00260C40">
      <w:r>
        <w:rPr>
          <w:rFonts w:cs="Arial"/>
          <w:szCs w:val="24"/>
        </w:rPr>
        <w:fldChar w:fldCharType="begin"/>
      </w:r>
      <w:r w:rsidR="005823F4">
        <w:rPr>
          <w:rFonts w:cs="Arial"/>
          <w:szCs w:val="24"/>
        </w:rPr>
        <w:instrText xml:space="preserve"> ADDIN EN.CITE &lt;EndNote&gt;&lt;Cite&gt;&lt;Author&gt;Kneebone&lt;/Author&gt;&lt;Year&gt;2005&lt;/Year&gt;&lt;IDText&gt;Evaluating clinical simulations for learning procedural skills: a theory-based approach&lt;/IDText&gt;&lt;DisplayText&gt;(Kneebone, 2005)&lt;/DisplayText&gt;&lt;record&gt;&lt;dates&gt;&lt;pub-dates&gt;&lt;date&gt;Jun&lt;/date&gt;&lt;/pub-dates&gt;&lt;year&gt;2005&lt;/year&gt;&lt;/dates&gt;&lt;keywords&gt;&lt;keyword&gt;Computer Simulation&lt;/keyword&gt;&lt;keyword&gt;Computer-Assisted Instruction&lt;/keyword&gt;&lt;keyword&gt;Education, Medical&lt;/keyword&gt;&lt;keyword&gt;Evaluation Studies as Topic&lt;/keyword&gt;&lt;keyword&gt;Humans&lt;/keyword&gt;&lt;/keywords&gt;&lt;urls&gt;&lt;related-urls&gt;&lt;url&gt;http://www.ncbi.nlm.nih.gov/pubmed/15917357&lt;/url&gt;&lt;/related-urls&gt;&lt;/urls&gt;&lt;isbn&gt;1040-2446&lt;/isbn&gt;&lt;titles&gt;&lt;title&gt;Evaluating clinical simulations for learning procedural skills: a theory-based approach&lt;/title&gt;&lt;secondary-title&gt;Acad Med&lt;/secondary-title&gt;&lt;/titles&gt;&lt;pages&gt;549-53&lt;/pages&gt;&lt;number&gt;6&lt;/number&gt;&lt;contributors&gt;&lt;authors&gt;&lt;author&gt;Kneebone, R.&lt;/author&gt;&lt;/authors&gt;&lt;/contributors&gt;&lt;language&gt;eng&lt;/language&gt;&lt;added-date format="utc"&gt;1459414886&lt;/added-date&gt;&lt;ref-type name="Journal Article"&gt;17&lt;/ref-type&gt;&lt;rec-number&gt;243&lt;/rec-number&gt;&lt;last-updated-date format="utc"&gt;1459414886&lt;/last-updated-date&gt;&lt;accession-num&gt;15917357&lt;/accession-num&gt;&lt;volume&gt;80&lt;/volume&gt;&lt;/record&gt;&lt;/Cite&gt;&lt;/EndNote&gt;</w:instrText>
      </w:r>
      <w:r>
        <w:rPr>
          <w:rFonts w:cs="Arial"/>
          <w:szCs w:val="24"/>
        </w:rPr>
        <w:fldChar w:fldCharType="separate"/>
      </w:r>
      <w:r w:rsidR="00434C7E">
        <w:rPr>
          <w:rFonts w:cs="Arial"/>
          <w:noProof/>
          <w:szCs w:val="24"/>
        </w:rPr>
        <w:t>Kneebone</w:t>
      </w:r>
      <w:r w:rsidR="005823F4">
        <w:rPr>
          <w:rFonts w:cs="Arial"/>
          <w:noProof/>
          <w:szCs w:val="24"/>
        </w:rPr>
        <w:t xml:space="preserve"> </w:t>
      </w:r>
      <w:r w:rsidR="00434C7E">
        <w:rPr>
          <w:rFonts w:cs="Arial"/>
          <w:noProof/>
          <w:szCs w:val="24"/>
        </w:rPr>
        <w:t>(</w:t>
      </w:r>
      <w:r w:rsidR="005823F4">
        <w:rPr>
          <w:rFonts w:cs="Arial"/>
          <w:noProof/>
          <w:szCs w:val="24"/>
        </w:rPr>
        <w:t>2005)</w:t>
      </w:r>
      <w:r>
        <w:rPr>
          <w:rFonts w:cs="Arial"/>
          <w:szCs w:val="24"/>
        </w:rPr>
        <w:fldChar w:fldCharType="end"/>
      </w:r>
      <w:r>
        <w:rPr>
          <w:rFonts w:cs="Arial"/>
          <w:szCs w:val="24"/>
        </w:rPr>
        <w:t xml:space="preserve"> </w:t>
      </w:r>
      <w:r w:rsidR="00DC039F">
        <w:rPr>
          <w:rFonts w:cs="Arial"/>
          <w:szCs w:val="24"/>
        </w:rPr>
        <w:t xml:space="preserve">discusses the risk of technological ‘domination of </w:t>
      </w:r>
      <w:r w:rsidR="005A5376">
        <w:rPr>
          <w:rFonts w:cs="Arial"/>
          <w:szCs w:val="24"/>
        </w:rPr>
        <w:t xml:space="preserve">SBME </w:t>
      </w:r>
      <w:r w:rsidR="00DC039F">
        <w:rPr>
          <w:rFonts w:cs="Arial"/>
          <w:szCs w:val="24"/>
        </w:rPr>
        <w:t xml:space="preserve">interventions’ over and above the grounding in educational theory and links to the ‘wider world of </w:t>
      </w:r>
      <w:r w:rsidR="001D42C9">
        <w:rPr>
          <w:rFonts w:cs="Arial"/>
          <w:szCs w:val="24"/>
        </w:rPr>
        <w:t>healthcare</w:t>
      </w:r>
      <w:r w:rsidR="00DC039F">
        <w:rPr>
          <w:rFonts w:cs="Arial"/>
          <w:szCs w:val="24"/>
        </w:rPr>
        <w:t>’</w:t>
      </w:r>
      <w:r>
        <w:rPr>
          <w:rFonts w:cs="Arial"/>
          <w:szCs w:val="24"/>
        </w:rPr>
        <w:t xml:space="preserve">. </w:t>
      </w:r>
      <w:r w:rsidR="00DC039F">
        <w:rPr>
          <w:rFonts w:cs="Arial"/>
          <w:szCs w:val="24"/>
        </w:rPr>
        <w:t xml:space="preserve">He </w:t>
      </w:r>
      <w:r w:rsidR="005A5376">
        <w:rPr>
          <w:rFonts w:cs="Arial"/>
          <w:szCs w:val="24"/>
        </w:rPr>
        <w:t xml:space="preserve">calls </w:t>
      </w:r>
      <w:r w:rsidR="00DC039F">
        <w:rPr>
          <w:rFonts w:cs="Arial"/>
          <w:szCs w:val="24"/>
        </w:rPr>
        <w:t xml:space="preserve">simulation a ‘necessity’ in the current </w:t>
      </w:r>
      <w:r w:rsidR="001D42C9">
        <w:rPr>
          <w:rFonts w:cs="Arial"/>
          <w:szCs w:val="24"/>
        </w:rPr>
        <w:lastRenderedPageBreak/>
        <w:t>healthcare</w:t>
      </w:r>
      <w:r w:rsidR="00DC039F">
        <w:rPr>
          <w:rFonts w:cs="Arial"/>
          <w:szCs w:val="24"/>
        </w:rPr>
        <w:t xml:space="preserve"> climate, </w:t>
      </w:r>
      <w:r w:rsidR="005A5376">
        <w:rPr>
          <w:rFonts w:cs="Arial"/>
          <w:szCs w:val="24"/>
        </w:rPr>
        <w:t>though</w:t>
      </w:r>
      <w:r w:rsidR="00DC039F">
        <w:rPr>
          <w:rFonts w:cs="Arial"/>
          <w:szCs w:val="24"/>
        </w:rPr>
        <w:t xml:space="preserve"> </w:t>
      </w:r>
      <w:r w:rsidR="00652090">
        <w:rPr>
          <w:rFonts w:cs="Arial"/>
          <w:szCs w:val="24"/>
        </w:rPr>
        <w:t xml:space="preserve">describes one of </w:t>
      </w:r>
      <w:r w:rsidR="005A5376">
        <w:rPr>
          <w:rFonts w:cs="Arial"/>
          <w:szCs w:val="24"/>
        </w:rPr>
        <w:t>its</w:t>
      </w:r>
      <w:r w:rsidR="00652090">
        <w:rPr>
          <w:rFonts w:cs="Arial"/>
          <w:szCs w:val="24"/>
        </w:rPr>
        <w:t xml:space="preserve"> weaknesses as the isolation and disconnect that occurs with the use of skills centres. Kneebone concludes that though models such as ‘</w:t>
      </w:r>
      <w:r w:rsidR="00137253">
        <w:rPr>
          <w:rFonts w:cs="Arial"/>
          <w:szCs w:val="24"/>
        </w:rPr>
        <w:t>Kirkpatrick’s</w:t>
      </w:r>
      <w:r w:rsidR="00652090">
        <w:rPr>
          <w:rFonts w:cs="Arial"/>
          <w:szCs w:val="24"/>
        </w:rPr>
        <w:t xml:space="preserve"> four level model</w:t>
      </w:r>
      <w:r w:rsidR="0011686E">
        <w:rPr>
          <w:rFonts w:cs="Arial"/>
          <w:szCs w:val="24"/>
        </w:rPr>
        <w:t>’</w:t>
      </w:r>
      <w:r w:rsidR="00652090">
        <w:rPr>
          <w:rFonts w:cs="Arial"/>
          <w:szCs w:val="24"/>
        </w:rPr>
        <w:t xml:space="preserve"> are useful</w:t>
      </w:r>
      <w:r>
        <w:rPr>
          <w:rFonts w:cs="Arial"/>
          <w:szCs w:val="24"/>
        </w:rPr>
        <w:t xml:space="preserve"> for planning learning</w:t>
      </w:r>
      <w:r w:rsidR="00652090">
        <w:rPr>
          <w:rFonts w:cs="Arial"/>
          <w:szCs w:val="24"/>
        </w:rPr>
        <w:t>, they are not specific to simulation. He recommends that new or existing simulation should be evaluated by exploring whether they allow for ‘sustained deliberate practice in a safe environment, consolidation and a defined curriculum, access to expert tutors that fade away when no longer needed, map onto real life clinical experience and provide a supportive, learner centre</w:t>
      </w:r>
      <w:r w:rsidR="0011686E">
        <w:rPr>
          <w:rFonts w:cs="Arial"/>
          <w:szCs w:val="24"/>
        </w:rPr>
        <w:t>d</w:t>
      </w:r>
      <w:r w:rsidR="00652090">
        <w:rPr>
          <w:rFonts w:cs="Arial"/>
          <w:szCs w:val="24"/>
        </w:rPr>
        <w:t xml:space="preserve"> milieu’ </w:t>
      </w:r>
      <w:r w:rsidR="00652090">
        <w:rPr>
          <w:rFonts w:cs="Arial"/>
          <w:szCs w:val="24"/>
        </w:rPr>
        <w:fldChar w:fldCharType="begin"/>
      </w:r>
      <w:r w:rsidR="00652090">
        <w:rPr>
          <w:rFonts w:cs="Arial"/>
          <w:szCs w:val="24"/>
        </w:rPr>
        <w:instrText xml:space="preserve"> ADDIN EN.CITE &lt;EndNote&gt;&lt;Cite&gt;&lt;Author&gt;Kneebone&lt;/Author&gt;&lt;Year&gt;2005&lt;/Year&gt;&lt;IDText&gt;Evaluating clinical simulations for learning procedural skills: a theory-based approach&lt;/IDText&gt;&lt;DisplayText&gt;(Kneebone, 2005)&lt;/DisplayText&gt;&lt;record&gt;&lt;dates&gt;&lt;pub-dates&gt;&lt;date&gt;Jun&lt;/date&gt;&lt;/pub-dates&gt;&lt;year&gt;2005&lt;/year&gt;&lt;/dates&gt;&lt;keywords&gt;&lt;keyword&gt;Computer Simulation&lt;/keyword&gt;&lt;keyword&gt;Computer-Assisted Instruction&lt;/keyword&gt;&lt;keyword&gt;Education, Medical&lt;/keyword&gt;&lt;keyword&gt;Evaluation Studies as Topic&lt;/keyword&gt;&lt;keyword&gt;Humans&lt;/keyword&gt;&lt;/keywords&gt;&lt;urls&gt;&lt;related-urls&gt;&lt;url&gt;http://www.ncbi.nlm.nih.gov/pubmed/15917357&lt;/url&gt;&lt;/related-urls&gt;&lt;/urls&gt;&lt;isbn&gt;1040-2446&lt;/isbn&gt;&lt;titles&gt;&lt;title&gt;Evaluating clinical simulations for learning procedural skills: a theory-based approach&lt;/title&gt;&lt;secondary-title&gt;Acad Med&lt;/secondary-title&gt;&lt;/titles&gt;&lt;pages&gt;549-53&lt;/pages&gt;&lt;number&gt;6&lt;/number&gt;&lt;contributors&gt;&lt;authors&gt;&lt;author&gt;Kneebone, R.&lt;/author&gt;&lt;/authors&gt;&lt;/contributors&gt;&lt;language&gt;eng&lt;/language&gt;&lt;added-date format="utc"&gt;1459414886&lt;/added-date&gt;&lt;ref-type name="Journal Article"&gt;17&lt;/ref-type&gt;&lt;rec-number&gt;243&lt;/rec-number&gt;&lt;last-updated-date format="utc"&gt;1459414886&lt;/last-updated-date&gt;&lt;accession-num&gt;15917357&lt;/accession-num&gt;&lt;volume&gt;80&lt;/volume&gt;&lt;/record&gt;&lt;/Cite&gt;&lt;/EndNote&gt;</w:instrText>
      </w:r>
      <w:r w:rsidR="00652090">
        <w:rPr>
          <w:rFonts w:cs="Arial"/>
          <w:szCs w:val="24"/>
        </w:rPr>
        <w:fldChar w:fldCharType="separate"/>
      </w:r>
      <w:r w:rsidR="00652090">
        <w:rPr>
          <w:rFonts w:cs="Arial"/>
          <w:noProof/>
          <w:szCs w:val="24"/>
        </w:rPr>
        <w:t>(Kneebone, 2005)</w:t>
      </w:r>
      <w:r w:rsidR="00652090">
        <w:rPr>
          <w:rFonts w:cs="Arial"/>
          <w:szCs w:val="24"/>
        </w:rPr>
        <w:fldChar w:fldCharType="end"/>
      </w:r>
      <w:r w:rsidR="00652090">
        <w:rPr>
          <w:rFonts w:cs="Arial"/>
          <w:szCs w:val="24"/>
        </w:rPr>
        <w:t>.</w:t>
      </w:r>
    </w:p>
    <w:p w14:paraId="48628CF0" w14:textId="63C4897E" w:rsidR="00260C40" w:rsidRDefault="00637633" w:rsidP="00260C40">
      <w:pPr>
        <w:rPr>
          <w:rFonts w:cs="Arial"/>
          <w:szCs w:val="24"/>
        </w:rPr>
      </w:pPr>
      <w:r>
        <w:rPr>
          <w:rFonts w:cs="Arial"/>
          <w:szCs w:val="24"/>
        </w:rPr>
        <w:fldChar w:fldCharType="begin"/>
      </w:r>
      <w:r w:rsidR="005823F4">
        <w:rPr>
          <w:rFonts w:cs="Arial"/>
          <w:szCs w:val="24"/>
        </w:rPr>
        <w:instrText xml:space="preserve"> ADDIN EN.CITE &lt;EndNote&gt;&lt;Cite&gt;&lt;Author&gt;Issenberg&lt;/Author&gt;&lt;Year&gt;2006&lt;/Year&gt;&lt;IDText&gt;The scope of simulation-based healthcare education&lt;/IDText&gt;&lt;DisplayText&gt;(Issenberg, 2006)&lt;/DisplayText&gt;&lt;record&gt;&lt;titles&gt;&lt;title&gt;The scope of simulation-based healthcare education&lt;/title&gt;&lt;secondary-title&gt;Sim Healthcare&lt;/secondary-title&gt;&lt;/titles&gt;&lt;pages&gt;203-208&lt;/pages&gt;&lt;contributors&gt;&lt;authors&gt;&lt;author&gt;Issenberg, SB&lt;/author&gt;&lt;/authors&gt;&lt;/contributors&gt;&lt;added-date format="utc"&gt;1391164714&lt;/added-date&gt;&lt;ref-type name="Journal Article"&gt;17&lt;/ref-type&gt;&lt;dates&gt;&lt;year&gt;2006&lt;/year&gt;&lt;/dates&gt;&lt;rec-number&gt;66&lt;/rec-number&gt;&lt;last-updated-date format="utc"&gt;1391171448&lt;/last-updated-date&gt;&lt;volume&gt;1&lt;/volume&gt;&lt;/record&gt;&lt;/Cite&gt;&lt;/EndNote&gt;</w:instrText>
      </w:r>
      <w:r>
        <w:rPr>
          <w:rFonts w:cs="Arial"/>
          <w:szCs w:val="24"/>
        </w:rPr>
        <w:fldChar w:fldCharType="separate"/>
      </w:r>
      <w:r w:rsidR="00434C7E">
        <w:rPr>
          <w:rFonts w:cs="Arial"/>
          <w:noProof/>
          <w:szCs w:val="24"/>
        </w:rPr>
        <w:t>Issenberg</w:t>
      </w:r>
      <w:r w:rsidR="005823F4">
        <w:rPr>
          <w:rFonts w:cs="Arial"/>
          <w:noProof/>
          <w:szCs w:val="24"/>
        </w:rPr>
        <w:t xml:space="preserve"> </w:t>
      </w:r>
      <w:r w:rsidR="00434C7E">
        <w:rPr>
          <w:rFonts w:cs="Arial"/>
          <w:noProof/>
          <w:szCs w:val="24"/>
        </w:rPr>
        <w:t>(</w:t>
      </w:r>
      <w:r w:rsidR="005823F4">
        <w:rPr>
          <w:rFonts w:cs="Arial"/>
          <w:noProof/>
          <w:szCs w:val="24"/>
        </w:rPr>
        <w:t>2006)</w:t>
      </w:r>
      <w:r>
        <w:rPr>
          <w:rFonts w:cs="Arial"/>
          <w:szCs w:val="24"/>
        </w:rPr>
        <w:fldChar w:fldCharType="end"/>
      </w:r>
      <w:r>
        <w:rPr>
          <w:rFonts w:cs="Arial"/>
          <w:szCs w:val="24"/>
        </w:rPr>
        <w:t xml:space="preserve"> </w:t>
      </w:r>
      <w:r w:rsidR="002F2531">
        <w:rPr>
          <w:rFonts w:cs="Arial"/>
          <w:szCs w:val="24"/>
        </w:rPr>
        <w:t xml:space="preserve">concurs, reporting </w:t>
      </w:r>
      <w:r w:rsidR="005A5376">
        <w:rPr>
          <w:rFonts w:cs="Arial"/>
          <w:szCs w:val="24"/>
        </w:rPr>
        <w:t xml:space="preserve">that </w:t>
      </w:r>
      <w:r w:rsidR="00260C40" w:rsidRPr="001832E5">
        <w:rPr>
          <w:rFonts w:cs="Arial"/>
          <w:szCs w:val="24"/>
        </w:rPr>
        <w:t xml:space="preserve">the best </w:t>
      </w:r>
      <w:r w:rsidR="005A5376">
        <w:rPr>
          <w:rFonts w:cs="Arial"/>
          <w:szCs w:val="24"/>
        </w:rPr>
        <w:t xml:space="preserve">SBME </w:t>
      </w:r>
      <w:r w:rsidR="00260C40" w:rsidRPr="001832E5">
        <w:rPr>
          <w:rFonts w:cs="Arial"/>
          <w:szCs w:val="24"/>
        </w:rPr>
        <w:t>was a product of simulation technology, curriculum integration and prepared teachers</w:t>
      </w:r>
      <w:r w:rsidR="005A5376">
        <w:rPr>
          <w:rFonts w:cs="Arial"/>
          <w:szCs w:val="24"/>
        </w:rPr>
        <w:t>,</w:t>
      </w:r>
      <w:r w:rsidR="00260C40" w:rsidRPr="001832E5">
        <w:rPr>
          <w:rFonts w:cs="Arial"/>
          <w:szCs w:val="24"/>
        </w:rPr>
        <w:t xml:space="preserve"> with the opposite leading to a poor experience</w:t>
      </w:r>
      <w:r>
        <w:rPr>
          <w:rFonts w:cs="Arial"/>
          <w:szCs w:val="24"/>
        </w:rPr>
        <w:t xml:space="preserve">. </w:t>
      </w:r>
      <w:proofErr w:type="spellStart"/>
      <w:r w:rsidR="00260C40" w:rsidRPr="001832E5">
        <w:rPr>
          <w:rFonts w:cs="Arial"/>
          <w:szCs w:val="24"/>
        </w:rPr>
        <w:t>McGaghie</w:t>
      </w:r>
      <w:proofErr w:type="spellEnd"/>
      <w:r w:rsidR="00260C40">
        <w:rPr>
          <w:rFonts w:cs="Arial"/>
          <w:szCs w:val="24"/>
        </w:rPr>
        <w:t xml:space="preserve"> et al (2009)</w:t>
      </w:r>
      <w:r w:rsidR="00260C40" w:rsidRPr="001832E5">
        <w:rPr>
          <w:rFonts w:cs="Arial"/>
          <w:szCs w:val="24"/>
        </w:rPr>
        <w:t xml:space="preserve"> emphasise this point by stating that </w:t>
      </w:r>
      <w:r w:rsidR="00713A17">
        <w:rPr>
          <w:rFonts w:cs="Arial"/>
          <w:szCs w:val="24"/>
        </w:rPr>
        <w:t>‘</w:t>
      </w:r>
      <w:r w:rsidR="00260C40" w:rsidRPr="001832E5">
        <w:rPr>
          <w:rFonts w:cs="Arial"/>
          <w:szCs w:val="24"/>
        </w:rPr>
        <w:t>simple or sophisticated simulation technology will be ineffective or misused unless faculty members, including physicians and other health professionals, are prepared as simulation educators</w:t>
      </w:r>
      <w:r w:rsidR="00713A17">
        <w:rPr>
          <w:rFonts w:cs="Arial"/>
          <w:szCs w:val="24"/>
        </w:rPr>
        <w:t>’</w:t>
      </w:r>
      <w:r w:rsidR="006424DA">
        <w:rPr>
          <w:rFonts w:cs="Arial"/>
          <w:szCs w:val="24"/>
        </w:rPr>
        <w:t xml:space="preserve"> </w:t>
      </w:r>
      <w:r w:rsidR="006424DA">
        <w:rPr>
          <w:rFonts w:cs="Arial"/>
          <w:szCs w:val="24"/>
        </w:rPr>
        <w:fldChar w:fldCharType="begin"/>
      </w:r>
      <w:r w:rsidR="006424DA">
        <w:rPr>
          <w:rFonts w:cs="Arial"/>
          <w:szCs w:val="24"/>
        </w:rPr>
        <w:instrText xml:space="preserve"> ADDIN EN.CITE &lt;EndNote&gt;&lt;Cite&gt;&lt;Author&gt;McGaghie&lt;/Author&gt;&lt;Year&gt;2009&lt;/Year&gt;&lt;IDText&gt;Lessons for Continuing Medical Education From Simulation Research in Undergraduate and Graduate Medical Education Effectiveness of Continuing Medical Education: American College of Chest Physicians Evidence-Based Educational Guidelines&lt;/IDText&gt;&lt;DisplayText&gt;(McGaghie et al., 2009)&lt;/DisplayText&gt;&lt;record&gt;&lt;dates&gt;&lt;pub-dates&gt;&lt;date&gt;Mar&lt;/date&gt;&lt;/pub-dates&gt;&lt;year&gt;2009&lt;/year&gt;&lt;/dates&gt;&lt;urls&gt;&lt;related-urls&gt;&lt;url&gt;&amp;lt;Go to ISI&amp;gt;://WOS:000264309200011&lt;/url&gt;&lt;/related-urls&gt;&lt;/urls&gt;&lt;isbn&gt;0012-3692&lt;/isbn&gt;&lt;titles&gt;&lt;title&gt;Lessons for Continuing Medical Education From Simulation Research in Undergraduate and Graduate Medical Education Effectiveness of Continuing Medical Education: American College of Chest Physicians Evidence-Based Educational Guidelines&lt;/title&gt;&lt;secondary-title&gt;Chest&lt;/secondary-title&gt;&lt;/titles&gt;&lt;pages&gt;62S-68S&lt;/pages&gt;&lt;number&gt;3&lt;/number&gt;&lt;contributors&gt;&lt;authors&gt;&lt;author&gt;McGaghie, William C.&lt;/author&gt;&lt;author&gt;Siddall, Viva J.&lt;/author&gt;&lt;author&gt;Mazmanian, Paul E.&lt;/author&gt;&lt;author&gt;Myers, Janet&lt;/author&gt;&lt;/authors&gt;&lt;/contributors&gt;&lt;added-date format="utc"&gt;1390836663&lt;/added-date&gt;&lt;ref-type name="Journal Article"&gt;17&lt;/ref-type&gt;&lt;rec-number&gt;9&lt;/rec-number&gt;&lt;last-updated-date format="utc"&gt;1390837244&lt;/last-updated-date&gt;&lt;accession-num&gt;WOS:000264309200011&lt;/accession-num&gt;&lt;electronic-resource-num&gt;10.1378/chest.08-2521&lt;/electronic-resource-num&gt;&lt;volume&gt;135&lt;/volume&gt;&lt;/record&gt;&lt;/Cite&gt;&lt;/EndNote&gt;</w:instrText>
      </w:r>
      <w:r w:rsidR="006424DA">
        <w:rPr>
          <w:rFonts w:cs="Arial"/>
          <w:szCs w:val="24"/>
        </w:rPr>
        <w:fldChar w:fldCharType="separate"/>
      </w:r>
      <w:r w:rsidR="006424DA">
        <w:rPr>
          <w:rFonts w:cs="Arial"/>
          <w:noProof/>
          <w:szCs w:val="24"/>
        </w:rPr>
        <w:t>(McGaghie et al., 2009)</w:t>
      </w:r>
      <w:r w:rsidR="006424DA">
        <w:rPr>
          <w:rFonts w:cs="Arial"/>
          <w:szCs w:val="24"/>
        </w:rPr>
        <w:fldChar w:fldCharType="end"/>
      </w:r>
      <w:r w:rsidR="00260C40" w:rsidRPr="001832E5">
        <w:rPr>
          <w:rFonts w:cs="Arial"/>
          <w:szCs w:val="24"/>
        </w:rPr>
        <w:t xml:space="preserve">. This highlights the need to invest in </w:t>
      </w:r>
      <w:r w:rsidR="00F62994">
        <w:rPr>
          <w:rFonts w:cs="Arial"/>
          <w:szCs w:val="24"/>
        </w:rPr>
        <w:t>good, appropriately trained</w:t>
      </w:r>
      <w:r w:rsidR="00260C40" w:rsidRPr="001832E5">
        <w:rPr>
          <w:rFonts w:cs="Arial"/>
          <w:szCs w:val="24"/>
        </w:rPr>
        <w:t xml:space="preserve"> faculty.</w:t>
      </w:r>
    </w:p>
    <w:p w14:paraId="047332F7" w14:textId="2E6EE30B" w:rsidR="00260C40" w:rsidRDefault="00260C40" w:rsidP="00260C40">
      <w:pPr>
        <w:rPr>
          <w:rFonts w:cs="Arial"/>
          <w:szCs w:val="24"/>
        </w:rPr>
      </w:pPr>
      <w:r>
        <w:rPr>
          <w:rFonts w:cs="Arial"/>
          <w:szCs w:val="24"/>
        </w:rPr>
        <w:t xml:space="preserve">Issenberg et al. (2005) </w:t>
      </w:r>
      <w:r w:rsidR="005A5376">
        <w:rPr>
          <w:rFonts w:cs="Arial"/>
          <w:szCs w:val="24"/>
        </w:rPr>
        <w:t>argue</w:t>
      </w:r>
      <w:r>
        <w:rPr>
          <w:rFonts w:cs="Arial"/>
          <w:szCs w:val="24"/>
        </w:rPr>
        <w:t xml:space="preserve"> that although </w:t>
      </w:r>
      <w:r w:rsidR="002F2531">
        <w:rPr>
          <w:rFonts w:cs="Arial"/>
          <w:szCs w:val="24"/>
        </w:rPr>
        <w:t xml:space="preserve">weak in </w:t>
      </w:r>
      <w:r>
        <w:rPr>
          <w:rFonts w:cs="Arial"/>
          <w:szCs w:val="24"/>
        </w:rPr>
        <w:t>quality</w:t>
      </w:r>
      <w:r w:rsidR="002F2531">
        <w:rPr>
          <w:rFonts w:cs="Arial"/>
          <w:szCs w:val="24"/>
        </w:rPr>
        <w:t>,</w:t>
      </w:r>
      <w:r>
        <w:rPr>
          <w:rFonts w:cs="Arial"/>
          <w:szCs w:val="24"/>
        </w:rPr>
        <w:t xml:space="preserve"> the published data on high</w:t>
      </w:r>
      <w:r w:rsidR="005A5376">
        <w:rPr>
          <w:rFonts w:cs="Arial"/>
          <w:szCs w:val="24"/>
        </w:rPr>
        <w:t>-</w:t>
      </w:r>
      <w:r>
        <w:rPr>
          <w:rFonts w:cs="Arial"/>
          <w:szCs w:val="24"/>
        </w:rPr>
        <w:t>fidelity simulation does</w:t>
      </w:r>
      <w:r w:rsidR="00BD6C29">
        <w:rPr>
          <w:rFonts w:cs="Arial"/>
          <w:szCs w:val="24"/>
        </w:rPr>
        <w:t xml:space="preserve"> demonstrate </w:t>
      </w:r>
      <w:r>
        <w:rPr>
          <w:rFonts w:cs="Arial"/>
          <w:szCs w:val="24"/>
        </w:rPr>
        <w:t>facilitat</w:t>
      </w:r>
      <w:r w:rsidR="00BD6C29">
        <w:rPr>
          <w:rFonts w:cs="Arial"/>
          <w:szCs w:val="24"/>
        </w:rPr>
        <w:t>ion of</w:t>
      </w:r>
      <w:r>
        <w:rPr>
          <w:rFonts w:cs="Arial"/>
          <w:szCs w:val="24"/>
        </w:rPr>
        <w:t xml:space="preserve"> learning under the right conditions</w:t>
      </w:r>
      <w:r w:rsidR="00637633">
        <w:rPr>
          <w:rFonts w:cs="Arial"/>
          <w:szCs w:val="24"/>
        </w:rPr>
        <w:t xml:space="preserve">. </w:t>
      </w:r>
      <w:r>
        <w:rPr>
          <w:rFonts w:cs="Arial"/>
          <w:szCs w:val="24"/>
        </w:rPr>
        <w:t xml:space="preserve">Ten categories to guide educators in the features and uses of high-fidelity simulations that lead to effective learning include repetitive practice, curriculum integration, range of difficulty level, multiple learning strategies, capturing of clinical variation, a controlled environment, individualised learning, defined outcomes and simulator validity. </w:t>
      </w:r>
      <w:proofErr w:type="spellStart"/>
      <w:r>
        <w:rPr>
          <w:rFonts w:cs="Arial"/>
          <w:szCs w:val="24"/>
        </w:rPr>
        <w:t>Motola</w:t>
      </w:r>
      <w:proofErr w:type="spellEnd"/>
      <w:r>
        <w:rPr>
          <w:rFonts w:cs="Arial"/>
          <w:szCs w:val="24"/>
        </w:rPr>
        <w:t xml:space="preserve"> et al. (2013) support these concepts in a recently published best evidence practical guide </w:t>
      </w:r>
      <w:r w:rsidR="005A5376">
        <w:rPr>
          <w:rFonts w:cs="Arial"/>
          <w:szCs w:val="24"/>
        </w:rPr>
        <w:t xml:space="preserve">that </w:t>
      </w:r>
      <w:r>
        <w:rPr>
          <w:rFonts w:cs="Arial"/>
          <w:szCs w:val="24"/>
        </w:rPr>
        <w:t>stat</w:t>
      </w:r>
      <w:r w:rsidR="005A5376">
        <w:rPr>
          <w:rFonts w:cs="Arial"/>
          <w:szCs w:val="24"/>
        </w:rPr>
        <w:t>es</w:t>
      </w:r>
      <w:r>
        <w:rPr>
          <w:rFonts w:cs="Arial"/>
          <w:szCs w:val="24"/>
        </w:rPr>
        <w:t xml:space="preserve"> the </w:t>
      </w:r>
      <w:r>
        <w:rPr>
          <w:rFonts w:cs="Arial"/>
          <w:szCs w:val="24"/>
        </w:rPr>
        <w:lastRenderedPageBreak/>
        <w:t xml:space="preserve">importance of </w:t>
      </w:r>
      <w:r w:rsidR="001B490D">
        <w:rPr>
          <w:rFonts w:cs="Arial"/>
          <w:szCs w:val="24"/>
        </w:rPr>
        <w:t>‘</w:t>
      </w:r>
      <w:r>
        <w:rPr>
          <w:rFonts w:cs="Arial"/>
          <w:szCs w:val="24"/>
        </w:rPr>
        <w:t>determining the outcomes of using simulation and that feedback is critical to effective learning using simulation and should be guided by individual learning needs</w:t>
      </w:r>
      <w:r w:rsidR="001B490D">
        <w:rPr>
          <w:rFonts w:cs="Arial"/>
          <w:szCs w:val="24"/>
        </w:rPr>
        <w:t>’</w:t>
      </w:r>
      <w:r>
        <w:rPr>
          <w:rFonts w:cs="Arial"/>
          <w:szCs w:val="24"/>
        </w:rPr>
        <w:t xml:space="preserve">. They conclude that </w:t>
      </w:r>
      <w:r w:rsidR="002F2531">
        <w:rPr>
          <w:rFonts w:cs="Arial"/>
          <w:szCs w:val="24"/>
        </w:rPr>
        <w:t>‘</w:t>
      </w:r>
      <w:r>
        <w:rPr>
          <w:rFonts w:cs="Arial"/>
          <w:szCs w:val="24"/>
        </w:rPr>
        <w:t>simulation-based mastery learning significantly improves skills for all participants, and also leads to skill retention</w:t>
      </w:r>
      <w:r w:rsidR="002F2531">
        <w:rPr>
          <w:rFonts w:cs="Arial"/>
          <w:szCs w:val="24"/>
        </w:rPr>
        <w:t>’</w:t>
      </w:r>
      <w:r>
        <w:rPr>
          <w:rFonts w:cs="Arial"/>
          <w:szCs w:val="24"/>
        </w:rPr>
        <w:t xml:space="preserve"> </w:t>
      </w:r>
      <w:r>
        <w:rPr>
          <w:rFonts w:cs="Arial"/>
          <w:szCs w:val="24"/>
        </w:rPr>
        <w:fldChar w:fldCharType="begin"/>
      </w:r>
      <w:r w:rsidR="00707662">
        <w:rPr>
          <w:rFonts w:cs="Arial"/>
          <w:szCs w:val="24"/>
        </w:rPr>
        <w:instrText xml:space="preserve"> ADDIN EN.CITE &lt;EndNote&gt;&lt;Cite&gt;&lt;Author&gt;Motola&lt;/Author&gt;&lt;Year&gt;2013&lt;/Year&gt;&lt;IDText&gt;Simulation in healthcare education: A best evidence practical guide. AMEE Guide No. 82&lt;/IDText&gt;&lt;DisplayText&gt;(Motola et al., 2013)&lt;/DisplayText&gt;&lt;record&gt;&lt;titles&gt;&lt;title&gt;Simulation in healthcare education: A best evidence practical guide. AMEE Guide No. 82&lt;/title&gt;&lt;secondary-title&gt;Medical Teacher&lt;/secondary-title&gt;&lt;/titles&gt;&lt;pages&gt;1511 - 1530&lt;/pages&gt;&lt;contributors&gt;&lt;authors&gt;&lt;author&gt;Motola, I.&lt;/author&gt;&lt;author&gt;Devine, L.&lt;/author&gt;&lt;author&gt;Chung, H.&lt;/author&gt;&lt;author&gt;Sullivan, J.&lt;/author&gt;&lt;author&gt;Issenberg, B.&lt;/author&gt;&lt;/authors&gt;&lt;/contributors&gt;&lt;added-date format="utc"&gt;1390830724&lt;/added-date&gt;&lt;ref-type name="Journal Article"&gt;17&lt;/ref-type&gt;&lt;dates&gt;&lt;year&gt;2013&lt;/year&gt;&lt;/dates&gt;&lt;rec-number&gt;4&lt;/rec-number&gt;&lt;last-updated-date format="utc"&gt;1390830991&lt;/last-updated-date&gt;&lt;volume&gt;35&lt;/volume&gt;&lt;/record&gt;&lt;/Cite&gt;&lt;/EndNote&gt;</w:instrText>
      </w:r>
      <w:r>
        <w:rPr>
          <w:rFonts w:cs="Arial"/>
          <w:szCs w:val="24"/>
        </w:rPr>
        <w:fldChar w:fldCharType="separate"/>
      </w:r>
      <w:r w:rsidR="00707662">
        <w:rPr>
          <w:rFonts w:cs="Arial"/>
          <w:noProof/>
          <w:szCs w:val="24"/>
        </w:rPr>
        <w:t>(Motola et al., 2013)</w:t>
      </w:r>
      <w:r>
        <w:rPr>
          <w:rFonts w:cs="Arial"/>
          <w:szCs w:val="24"/>
        </w:rPr>
        <w:fldChar w:fldCharType="end"/>
      </w:r>
      <w:r>
        <w:rPr>
          <w:rFonts w:cs="Arial"/>
          <w:szCs w:val="24"/>
        </w:rPr>
        <w:t>.</w:t>
      </w:r>
      <w:r w:rsidR="007C7C22">
        <w:rPr>
          <w:rFonts w:cs="Arial"/>
          <w:szCs w:val="24"/>
        </w:rPr>
        <w:t xml:space="preserve"> </w:t>
      </w:r>
      <w:r>
        <w:rPr>
          <w:rFonts w:cs="Arial"/>
          <w:szCs w:val="24"/>
        </w:rPr>
        <w:t xml:space="preserve">Debriefing and simulation fits well with Kolb’s experiential learning cycle </w:t>
      </w:r>
      <w:r w:rsidR="00C70905">
        <w:rPr>
          <w:rFonts w:cs="Arial"/>
          <w:szCs w:val="24"/>
        </w:rPr>
        <w:t>in that an experience triggers refl</w:t>
      </w:r>
      <w:r w:rsidR="007C7C22">
        <w:rPr>
          <w:rFonts w:cs="Arial"/>
          <w:szCs w:val="24"/>
        </w:rPr>
        <w:t>e</w:t>
      </w:r>
      <w:r w:rsidR="00C70905">
        <w:rPr>
          <w:rFonts w:cs="Arial"/>
          <w:szCs w:val="24"/>
        </w:rPr>
        <w:t xml:space="preserve">ction and consolidation of learning </w:t>
      </w:r>
      <w:r>
        <w:rPr>
          <w:rFonts w:cs="Arial"/>
          <w:szCs w:val="24"/>
        </w:rPr>
        <w:t xml:space="preserve">(Appendix </w:t>
      </w:r>
      <w:r w:rsidR="009B45DE">
        <w:rPr>
          <w:rFonts w:cs="Arial"/>
          <w:szCs w:val="24"/>
        </w:rPr>
        <w:t>13</w:t>
      </w:r>
      <w:r w:rsidR="006424DA">
        <w:rPr>
          <w:rFonts w:cs="Arial"/>
          <w:szCs w:val="24"/>
        </w:rPr>
        <w:t>.</w:t>
      </w:r>
      <w:r w:rsidR="00C36810">
        <w:rPr>
          <w:rFonts w:cs="Arial"/>
          <w:szCs w:val="24"/>
        </w:rPr>
        <w:t>2)</w:t>
      </w:r>
      <w:r>
        <w:rPr>
          <w:rFonts w:cs="Arial"/>
          <w:szCs w:val="24"/>
        </w:rPr>
        <w:t>.</w:t>
      </w:r>
      <w:r w:rsidR="002F2531">
        <w:rPr>
          <w:rFonts w:cs="Arial"/>
          <w:szCs w:val="24"/>
        </w:rPr>
        <w:t xml:space="preserve"> </w:t>
      </w:r>
      <w:r>
        <w:rPr>
          <w:rFonts w:cs="Arial"/>
          <w:szCs w:val="24"/>
        </w:rPr>
        <w:t xml:space="preserve">Debriefing should allow </w:t>
      </w:r>
      <w:r w:rsidR="000F33C1">
        <w:rPr>
          <w:rFonts w:cs="Arial"/>
          <w:szCs w:val="24"/>
        </w:rPr>
        <w:t>c</w:t>
      </w:r>
      <w:r w:rsidR="005F705F">
        <w:rPr>
          <w:rFonts w:cs="Arial"/>
          <w:szCs w:val="24"/>
        </w:rPr>
        <w:t>andidate</w:t>
      </w:r>
      <w:r>
        <w:rPr>
          <w:rFonts w:cs="Arial"/>
          <w:szCs w:val="24"/>
        </w:rPr>
        <w:t>s to feel safe and supported and allow time for them to relax prior to starting the debriefing because simulation can be stressful especially when fully immersed</w:t>
      </w:r>
      <w:r w:rsidR="00637633">
        <w:rPr>
          <w:rFonts w:cs="Arial"/>
          <w:szCs w:val="24"/>
        </w:rPr>
        <w:t xml:space="preserve"> </w:t>
      </w:r>
      <w:r w:rsidR="00637633">
        <w:rPr>
          <w:rFonts w:cs="Arial"/>
          <w:szCs w:val="24"/>
        </w:rPr>
        <w:fldChar w:fldCharType="begin"/>
      </w:r>
      <w:r w:rsidR="00637633">
        <w:rPr>
          <w:rFonts w:cs="Arial"/>
          <w:szCs w:val="24"/>
        </w:rPr>
        <w:instrText xml:space="preserve"> ADDIN EN.CITE &lt;EndNote&gt;&lt;Cite&gt;&lt;Author&gt;Rudolph&lt;/Author&gt;&lt;Year&gt;2007&lt;/Year&gt;&lt;IDText&gt;Debriefing with good judgment: combining rigorous feedback with genuine inquiry&lt;/IDText&gt;&lt;DisplayText&gt;(Rudolph et al., 2007)&lt;/DisplayText&gt;&lt;record&gt;&lt;dates&gt;&lt;pub-dates&gt;&lt;date&gt;2007-Jun&lt;/date&gt;&lt;/pub-dates&gt;&lt;year&gt;2007&lt;/year&gt;&lt;/dates&gt;&lt;urls&gt;&lt;related-urls&gt;&lt;url&gt;&amp;lt;Go to ISI&amp;gt;://MEDLINE:17574196&lt;/url&gt;&lt;/related-urls&gt;&lt;/urls&gt;&lt;isbn&gt;1932-2275&lt;/isbn&gt;&lt;titles&gt;&lt;title&gt;Debriefing with good judgment: combining rigorous feedback with genuine inquiry&lt;/title&gt;&lt;secondary-title&gt;Anesthesiology clinics&lt;/secondary-title&gt;&lt;/titles&gt;&lt;pages&gt;361-76&lt;/pages&gt;&lt;number&gt;2&lt;/number&gt;&lt;contributors&gt;&lt;authors&gt;&lt;author&gt;Rudolph, Jenny W.&lt;/author&gt;&lt;author&gt;Simon, Robert&lt;/author&gt;&lt;author&gt;Rivard, Peter&lt;/author&gt;&lt;author&gt;Dufresne, Ronald L.&lt;/author&gt;&lt;author&gt;Raemer, Daniel B.&lt;/author&gt;&lt;/authors&gt;&lt;/contributors&gt;&lt;added-date format="utc"&gt;1399991869&lt;/added-date&gt;&lt;ref-type name="Journal Article"&gt;17&lt;/ref-type&gt;&lt;rec-number&gt;136&lt;/rec-number&gt;&lt;last-updated-date format="utc"&gt;1400228406&lt;/last-updated-date&gt;&lt;accession-num&gt;MEDLINE:17574196&lt;/accession-num&gt;&lt;electronic-resource-num&gt;10.1016/j.anclin.2007.03.007&lt;/electronic-resource-num&gt;&lt;volume&gt;25&lt;/volume&gt;&lt;/record&gt;&lt;/Cite&gt;&lt;/EndNote&gt;</w:instrText>
      </w:r>
      <w:r w:rsidR="00637633">
        <w:rPr>
          <w:rFonts w:cs="Arial"/>
          <w:szCs w:val="24"/>
        </w:rPr>
        <w:fldChar w:fldCharType="separate"/>
      </w:r>
      <w:r w:rsidR="00637633">
        <w:rPr>
          <w:rFonts w:cs="Arial"/>
          <w:noProof/>
          <w:szCs w:val="24"/>
        </w:rPr>
        <w:t>(Rudolph et al., 2007)</w:t>
      </w:r>
      <w:r w:rsidR="00637633">
        <w:rPr>
          <w:rFonts w:cs="Arial"/>
          <w:szCs w:val="24"/>
        </w:rPr>
        <w:fldChar w:fldCharType="end"/>
      </w:r>
      <w:r>
        <w:rPr>
          <w:rFonts w:cs="Arial"/>
          <w:szCs w:val="24"/>
        </w:rPr>
        <w:t>.</w:t>
      </w:r>
    </w:p>
    <w:p w14:paraId="6FAA3587" w14:textId="631A6B4F" w:rsidR="00064C22" w:rsidRDefault="00C70905" w:rsidP="00260C40">
      <w:pPr>
        <w:rPr>
          <w:rFonts w:eastAsiaTheme="minorEastAsia" w:cs="Arial"/>
          <w:szCs w:val="24"/>
          <w:lang w:val="en-US"/>
        </w:rPr>
      </w:pPr>
      <w:r>
        <w:rPr>
          <w:rFonts w:eastAsiaTheme="minorEastAsia" w:cs="Arial"/>
          <w:szCs w:val="24"/>
          <w:lang w:val="en-US"/>
        </w:rPr>
        <w:fldChar w:fldCharType="begin"/>
      </w:r>
      <w:r w:rsidR="005823F4">
        <w:rPr>
          <w:rFonts w:eastAsiaTheme="minorEastAsia" w:cs="Arial"/>
          <w:szCs w:val="24"/>
          <w:lang w:val="en-US"/>
        </w:rPr>
        <w:instrText xml:space="preserve"> ADDIN EN.CITE &lt;EndNote&gt;&lt;Cite&gt;&lt;Author&gt;Barsuk&lt;/Author&gt;&lt;Year&gt;2016&lt;/Year&gt;&lt;IDText&gt;Developing a Simulation-Based Mastery Learning Curriculum: Lessons From 11 Years of Advanced Cardiac Life Support&lt;/IDText&gt;&lt;DisplayText&gt;(Barsuk et al., 2016)&lt;/DisplayText&gt;&lt;record&gt;&lt;dates&gt;&lt;pub-dates&gt;&lt;date&gt;Feb&lt;/date&gt;&lt;/pub-dates&gt;&lt;year&gt;2016&lt;/year&gt;&lt;/dates&gt;&lt;urls&gt;&lt;related-urls&gt;&lt;url&gt;http://www.ncbi.nlm.nih.gov/pubmed/26536342&lt;/url&gt;&lt;/related-urls&gt;&lt;/urls&gt;&lt;isbn&gt;1559-713X&lt;/isbn&gt;&lt;titles&gt;&lt;title&gt;Developing a Simulation-Based Mastery Learning Curriculum: Lessons From 11 Years of Advanced Cardiac Life Support&lt;/title&gt;&lt;secondary-title&gt;Simul Healthc&lt;/secondary-title&gt;&lt;/titles&gt;&lt;pages&gt;52-9&lt;/pages&gt;&lt;number&gt;1&lt;/number&gt;&lt;contributors&gt;&lt;authors&gt;&lt;author&gt;Barsuk, J. H.&lt;/author&gt;&lt;author&gt;Cohen, E. R.&lt;/author&gt;&lt;author&gt;Wayne, D. B.&lt;/author&gt;&lt;author&gt;Siddall, V. J.&lt;/author&gt;&lt;author&gt;McGaghie, W. C.&lt;/author&gt;&lt;/authors&gt;&lt;/contributors&gt;&lt;language&gt;eng&lt;/language&gt;&lt;added-date format="utc"&gt;1457009806&lt;/added-date&gt;&lt;ref-type name="Journal Article"&gt;17&lt;/ref-type&gt;&lt;rec-number&gt;219&lt;/rec-number&gt;&lt;last-updated-date format="utc"&gt;1457009806&lt;/last-updated-date&gt;&lt;accession-num&gt;26536342&lt;/accession-num&gt;&lt;electronic-resource-num&gt;10.1097/SIH.0000000000000120&lt;/electronic-resource-num&gt;&lt;volume&gt;11&lt;/volume&gt;&lt;/record&gt;&lt;/Cite&gt;&lt;/EndNote&gt;</w:instrText>
      </w:r>
      <w:r>
        <w:rPr>
          <w:rFonts w:eastAsiaTheme="minorEastAsia" w:cs="Arial"/>
          <w:szCs w:val="24"/>
          <w:lang w:val="en-US"/>
        </w:rPr>
        <w:fldChar w:fldCharType="separate"/>
      </w:r>
      <w:r w:rsidR="00885299">
        <w:rPr>
          <w:rFonts w:eastAsiaTheme="minorEastAsia" w:cs="Arial"/>
          <w:noProof/>
          <w:szCs w:val="24"/>
          <w:lang w:val="en-US"/>
        </w:rPr>
        <w:t>Barsuk et al.</w:t>
      </w:r>
      <w:r w:rsidR="005823F4">
        <w:rPr>
          <w:rFonts w:eastAsiaTheme="minorEastAsia" w:cs="Arial"/>
          <w:noProof/>
          <w:szCs w:val="24"/>
          <w:lang w:val="en-US"/>
        </w:rPr>
        <w:t xml:space="preserve"> </w:t>
      </w:r>
      <w:r w:rsidR="00885299">
        <w:rPr>
          <w:rFonts w:eastAsiaTheme="minorEastAsia" w:cs="Arial"/>
          <w:noProof/>
          <w:szCs w:val="24"/>
          <w:lang w:val="en-US"/>
        </w:rPr>
        <w:t>(</w:t>
      </w:r>
      <w:r w:rsidR="005823F4">
        <w:rPr>
          <w:rFonts w:eastAsiaTheme="minorEastAsia" w:cs="Arial"/>
          <w:noProof/>
          <w:szCs w:val="24"/>
          <w:lang w:val="en-US"/>
        </w:rPr>
        <w:t>2016)</w:t>
      </w:r>
      <w:r>
        <w:rPr>
          <w:rFonts w:eastAsiaTheme="minorEastAsia" w:cs="Arial"/>
          <w:szCs w:val="24"/>
          <w:lang w:val="en-US"/>
        </w:rPr>
        <w:fldChar w:fldCharType="end"/>
      </w:r>
      <w:r w:rsidR="00064C22" w:rsidRPr="00064C22">
        <w:rPr>
          <w:rFonts w:eastAsiaTheme="minorEastAsia" w:cs="Arial"/>
          <w:szCs w:val="24"/>
          <w:lang w:val="en-US"/>
        </w:rPr>
        <w:t xml:space="preserve"> recommend that a simulation-based curriculum should ‘follow a planned, systematic approach fitted to the needs and conditions of a local institutional environment and its learners’. They use ‘advanced cardiac life support skills and transformation to a mastery learning program’ as an example, using the ‘Kern 6-step model involving problem identification and general needs assessment, targeted needs assessment, goals and objectives, educational strategies, implementation, and evaluation and feedback’</w:t>
      </w:r>
      <w:r w:rsidR="00287E6A">
        <w:rPr>
          <w:rFonts w:eastAsiaTheme="minorEastAsia" w:cs="Arial"/>
          <w:szCs w:val="24"/>
          <w:lang w:val="en-US"/>
        </w:rPr>
        <w:t xml:space="preserve"> (</w:t>
      </w:r>
      <w:r w:rsidR="00287E6A">
        <w:rPr>
          <w:rFonts w:eastAsiaTheme="minorEastAsia" w:cs="Arial"/>
          <w:szCs w:val="24"/>
          <w:lang w:val="en-US"/>
        </w:rPr>
        <w:fldChar w:fldCharType="begin"/>
      </w:r>
      <w:r w:rsidR="00287E6A">
        <w:rPr>
          <w:rFonts w:eastAsiaTheme="minorEastAsia" w:cs="Arial"/>
          <w:szCs w:val="24"/>
          <w:lang w:val="en-US"/>
        </w:rPr>
        <w:instrText xml:space="preserve"> ADDIN EN.CITE &lt;EndNote&gt;&lt;Cite&gt;&lt;Author&gt;Barsuk&lt;/Author&gt;&lt;Year&gt;2016&lt;/Year&gt;&lt;IDText&gt;Developing a Simulation-Based Mastery Learning Curriculum: Lessons From 11 Years of Advanced Cardiac Life Support&lt;/IDText&gt;&lt;DisplayText&gt;(Barsuk et al., 2016)&lt;/DisplayText&gt;&lt;record&gt;&lt;dates&gt;&lt;pub-dates&gt;&lt;date&gt;Feb&lt;/date&gt;&lt;/pub-dates&gt;&lt;year&gt;2016&lt;/year&gt;&lt;/dates&gt;&lt;urls&gt;&lt;related-urls&gt;&lt;url&gt;http://www.ncbi.nlm.nih.gov/pubmed/26536342&lt;/url&gt;&lt;/related-urls&gt;&lt;/urls&gt;&lt;isbn&gt;1559-713X&lt;/isbn&gt;&lt;titles&gt;&lt;title&gt;Developing a Simulation-Based Mastery Learning Curriculum: Lessons From 11 Years of Advanced Cardiac Life Support&lt;/title&gt;&lt;secondary-title&gt;Simul Healthc&lt;/secondary-title&gt;&lt;/titles&gt;&lt;pages&gt;52-9&lt;/pages&gt;&lt;number&gt;1&lt;/number&gt;&lt;contributors&gt;&lt;authors&gt;&lt;author&gt;Barsuk, J. H.&lt;/author&gt;&lt;author&gt;Cohen, E. R.&lt;/author&gt;&lt;author&gt;Wayne, D. B.&lt;/author&gt;&lt;author&gt;Siddall, V. J.&lt;/author&gt;&lt;author&gt;McGaghie, W. C.&lt;/author&gt;&lt;/authors&gt;&lt;/contributors&gt;&lt;language&gt;eng&lt;/language&gt;&lt;added-date format="utc"&gt;1457009806&lt;/added-date&gt;&lt;ref-type name="Journal Article"&gt;17&lt;/ref-type&gt;&lt;rec-number&gt;219&lt;/rec-number&gt;&lt;last-updated-date format="utc"&gt;1457009806&lt;/last-updated-date&gt;&lt;accession-num&gt;26536342&lt;/accession-num&gt;&lt;electronic-resource-num&gt;10.1097/SIH.0000000000000120&lt;/electronic-resource-num&gt;&lt;volume&gt;11&lt;/volume&gt;&lt;/record&gt;&lt;/Cite&gt;&lt;/EndNote&gt;</w:instrText>
      </w:r>
      <w:r w:rsidR="00287E6A">
        <w:rPr>
          <w:rFonts w:eastAsiaTheme="minorEastAsia" w:cs="Arial"/>
          <w:szCs w:val="24"/>
          <w:lang w:val="en-US"/>
        </w:rPr>
        <w:fldChar w:fldCharType="separate"/>
      </w:r>
      <w:r w:rsidR="00287E6A">
        <w:rPr>
          <w:rFonts w:eastAsiaTheme="minorEastAsia" w:cs="Arial"/>
          <w:noProof/>
          <w:szCs w:val="24"/>
          <w:lang w:val="en-US"/>
        </w:rPr>
        <w:t>Barsuk et al. 2016)</w:t>
      </w:r>
      <w:r w:rsidR="00287E6A">
        <w:rPr>
          <w:rFonts w:eastAsiaTheme="minorEastAsia" w:cs="Arial"/>
          <w:szCs w:val="24"/>
          <w:lang w:val="en-US"/>
        </w:rPr>
        <w:fldChar w:fldCharType="end"/>
      </w:r>
      <w:r w:rsidR="00064C22" w:rsidRPr="00064C22">
        <w:rPr>
          <w:rFonts w:eastAsiaTheme="minorEastAsia" w:cs="Arial"/>
          <w:szCs w:val="24"/>
          <w:lang w:val="en-US"/>
        </w:rPr>
        <w:t>. This was a two-year trial on a background of 11 years of studies to evaluate the curriculum effects and outcomes for postgraduate medical doctors</w:t>
      </w:r>
      <w:r>
        <w:rPr>
          <w:rFonts w:eastAsiaTheme="minorEastAsia" w:cs="Arial"/>
          <w:szCs w:val="24"/>
          <w:lang w:val="en-US"/>
        </w:rPr>
        <w:t xml:space="preserve">. </w:t>
      </w:r>
    </w:p>
    <w:p w14:paraId="51DA548E" w14:textId="34654374" w:rsidR="00260C40" w:rsidRDefault="0014032A" w:rsidP="00260C40">
      <w:pPr>
        <w:rPr>
          <w:rFonts w:eastAsiaTheme="minorEastAsia" w:cs="Arial"/>
          <w:szCs w:val="24"/>
          <w:lang w:val="en-US"/>
        </w:rPr>
      </w:pPr>
      <w:r>
        <w:rPr>
          <w:rFonts w:eastAsiaTheme="minorEastAsia" w:cs="Arial"/>
          <w:szCs w:val="24"/>
          <w:lang w:val="en-US"/>
        </w:rPr>
        <w:t xml:space="preserve"> ‘</w:t>
      </w:r>
      <w:r w:rsidR="00BD6C29">
        <w:rPr>
          <w:rFonts w:eastAsiaTheme="minorEastAsia" w:cs="Arial"/>
          <w:szCs w:val="24"/>
          <w:lang w:val="en-US"/>
        </w:rPr>
        <w:t>M</w:t>
      </w:r>
      <w:r>
        <w:rPr>
          <w:rFonts w:eastAsiaTheme="minorEastAsia" w:cs="Arial"/>
          <w:szCs w:val="24"/>
          <w:lang w:val="en-US"/>
        </w:rPr>
        <w:t>astery’ learning and transformation</w:t>
      </w:r>
      <w:r w:rsidR="00BD6C29">
        <w:rPr>
          <w:rFonts w:eastAsiaTheme="minorEastAsia" w:cs="Arial"/>
          <w:szCs w:val="24"/>
          <w:lang w:val="en-US"/>
        </w:rPr>
        <w:t xml:space="preserve"> are mentioned</w:t>
      </w:r>
      <w:r w:rsidR="002F2531">
        <w:rPr>
          <w:rFonts w:eastAsiaTheme="minorEastAsia" w:cs="Arial"/>
          <w:szCs w:val="24"/>
          <w:lang w:val="en-US"/>
        </w:rPr>
        <w:t xml:space="preserve"> with no clear definition</w:t>
      </w:r>
      <w:r>
        <w:rPr>
          <w:rFonts w:eastAsiaTheme="minorEastAsia" w:cs="Arial"/>
          <w:szCs w:val="24"/>
          <w:lang w:val="en-US"/>
        </w:rPr>
        <w:t xml:space="preserve"> </w:t>
      </w:r>
      <w:r w:rsidR="002F2531">
        <w:rPr>
          <w:rFonts w:eastAsiaTheme="minorEastAsia" w:cs="Arial"/>
          <w:szCs w:val="24"/>
          <w:lang w:val="en-US"/>
        </w:rPr>
        <w:t>or</w:t>
      </w:r>
      <w:r>
        <w:rPr>
          <w:rFonts w:eastAsiaTheme="minorEastAsia" w:cs="Arial"/>
          <w:szCs w:val="24"/>
          <w:lang w:val="en-US"/>
        </w:rPr>
        <w:t xml:space="preserve"> whether it is</w:t>
      </w:r>
      <w:r w:rsidR="00BD6C29">
        <w:rPr>
          <w:rFonts w:eastAsiaTheme="minorEastAsia" w:cs="Arial"/>
          <w:szCs w:val="24"/>
          <w:lang w:val="en-US"/>
        </w:rPr>
        <w:t xml:space="preserve"> from</w:t>
      </w:r>
      <w:r>
        <w:rPr>
          <w:rFonts w:eastAsiaTheme="minorEastAsia" w:cs="Arial"/>
          <w:szCs w:val="24"/>
          <w:lang w:val="en-US"/>
        </w:rPr>
        <w:t xml:space="preserve"> </w:t>
      </w:r>
      <w:r w:rsidR="00AD4539">
        <w:rPr>
          <w:rFonts w:eastAsiaTheme="minorEastAsia" w:cs="Arial"/>
          <w:szCs w:val="24"/>
          <w:lang w:val="en-US"/>
        </w:rPr>
        <w:t>a</w:t>
      </w:r>
      <w:r w:rsidR="00C70905">
        <w:rPr>
          <w:rFonts w:eastAsiaTheme="minorEastAsia" w:cs="Arial"/>
          <w:szCs w:val="24"/>
          <w:lang w:val="en-US"/>
        </w:rPr>
        <w:t xml:space="preserve"> learner or educator</w:t>
      </w:r>
      <w:r w:rsidR="00BD6C29">
        <w:rPr>
          <w:rFonts w:eastAsiaTheme="minorEastAsia" w:cs="Arial"/>
          <w:szCs w:val="24"/>
          <w:lang w:val="en-US"/>
        </w:rPr>
        <w:t xml:space="preserve"> perspective</w:t>
      </w:r>
      <w:r w:rsidR="00C70905">
        <w:rPr>
          <w:rFonts w:eastAsiaTheme="minorEastAsia" w:cs="Arial"/>
          <w:szCs w:val="24"/>
          <w:lang w:val="en-US"/>
        </w:rPr>
        <w:t xml:space="preserve">. </w:t>
      </w:r>
      <w:r w:rsidR="00C70905">
        <w:rPr>
          <w:rFonts w:eastAsiaTheme="minorEastAsia" w:cs="Arial"/>
          <w:szCs w:val="24"/>
          <w:lang w:val="en-US"/>
        </w:rPr>
        <w:fldChar w:fldCharType="begin"/>
      </w:r>
      <w:r w:rsidR="005823F4">
        <w:rPr>
          <w:rFonts w:eastAsiaTheme="minorEastAsia" w:cs="Arial"/>
          <w:szCs w:val="24"/>
          <w:lang w:val="en-US"/>
        </w:rPr>
        <w:instrText xml:space="preserve"> ADDIN EN.CITE &lt;EndNote&gt;&lt;Cite&gt;&lt;Author&gt;Kneebone&lt;/Author&gt;&lt;Year&gt;2009&lt;/Year&gt;&lt;IDText&gt;Perspective: Simulation and transformational change: the paradox of expertise&lt;/IDText&gt;&lt;DisplayText&gt;(Kneebone, 2009)&lt;/DisplayText&gt;&lt;record&gt;&lt;dates&gt;&lt;pub-dates&gt;&lt;date&gt;Jul&lt;/date&gt;&lt;/pub-dates&gt;&lt;year&gt;2009&lt;/year&gt;&lt;/dates&gt;&lt;keywords&gt;&lt;keyword&gt;Attitude of Health Personnel&lt;/keyword&gt;&lt;keyword&gt;Clinical Competence&lt;/keyword&gt;&lt;keyword&gt;Curriculum&lt;/keyword&gt;&lt;keyword&gt;Education, Medical&lt;/keyword&gt;&lt;keyword&gt;Humans&lt;/keyword&gt;&lt;keyword&gt;Manikins&lt;/keyword&gt;&lt;keyword&gt;Metaphor&lt;/keyword&gt;&lt;keyword&gt;Patient Simulation&lt;/keyword&gt;&lt;keyword&gt;Problem-Based Learning&lt;/keyword&gt;&lt;/keywords&gt;&lt;urls&gt;&lt;related-urls&gt;&lt;url&gt;http://www.ncbi.nlm.nih.gov/pubmed/19550196&lt;/url&gt;&lt;/related-urls&gt;&lt;/urls&gt;&lt;isbn&gt;1938-808X&lt;/isbn&gt;&lt;titles&gt;&lt;title&gt;Perspective: Simulation and transformational change: the paradox of expertise&lt;/title&gt;&lt;secondary-title&gt;Acad Med&lt;/secondary-title&gt;&lt;/titles&gt;&lt;pages&gt;954-7&lt;/pages&gt;&lt;number&gt;7&lt;/number&gt;&lt;contributors&gt;&lt;authors&gt;&lt;author&gt;Kneebone, R.&lt;/author&gt;&lt;/authors&gt;&lt;/contributors&gt;&lt;language&gt;eng&lt;/language&gt;&lt;added-date format="utc"&gt;1458297458&lt;/added-date&gt;&lt;ref-type name="Journal Article"&gt;17&lt;/ref-type&gt;&lt;rec-number&gt;227&lt;/rec-number&gt;&lt;last-updated-date format="utc"&gt;1458297458&lt;/last-updated-date&gt;&lt;accession-num&gt;19550196&lt;/accession-num&gt;&lt;electronic-resource-num&gt;10.1097/ACM.0b013e3181a843d6&lt;/electronic-resource-num&gt;&lt;volume&gt;84&lt;/volume&gt;&lt;/record&gt;&lt;/Cite&gt;&lt;/EndNote&gt;</w:instrText>
      </w:r>
      <w:r w:rsidR="00C70905">
        <w:rPr>
          <w:rFonts w:eastAsiaTheme="minorEastAsia" w:cs="Arial"/>
          <w:szCs w:val="24"/>
          <w:lang w:val="en-US"/>
        </w:rPr>
        <w:fldChar w:fldCharType="separate"/>
      </w:r>
      <w:r w:rsidR="00287E6A">
        <w:rPr>
          <w:rFonts w:eastAsiaTheme="minorEastAsia" w:cs="Arial"/>
          <w:noProof/>
          <w:szCs w:val="24"/>
          <w:lang w:val="en-US"/>
        </w:rPr>
        <w:t>Kneebone</w:t>
      </w:r>
      <w:r w:rsidR="005823F4">
        <w:rPr>
          <w:rFonts w:eastAsiaTheme="minorEastAsia" w:cs="Arial"/>
          <w:noProof/>
          <w:szCs w:val="24"/>
          <w:lang w:val="en-US"/>
        </w:rPr>
        <w:t xml:space="preserve"> </w:t>
      </w:r>
      <w:r w:rsidR="00287E6A">
        <w:rPr>
          <w:rFonts w:eastAsiaTheme="minorEastAsia" w:cs="Arial"/>
          <w:noProof/>
          <w:szCs w:val="24"/>
          <w:lang w:val="en-US"/>
        </w:rPr>
        <w:t>(</w:t>
      </w:r>
      <w:r w:rsidR="005823F4">
        <w:rPr>
          <w:rFonts w:eastAsiaTheme="minorEastAsia" w:cs="Arial"/>
          <w:noProof/>
          <w:szCs w:val="24"/>
          <w:lang w:val="en-US"/>
        </w:rPr>
        <w:t>2009)</w:t>
      </w:r>
      <w:r w:rsidR="00C70905">
        <w:rPr>
          <w:rFonts w:eastAsiaTheme="minorEastAsia" w:cs="Arial"/>
          <w:szCs w:val="24"/>
          <w:lang w:val="en-US"/>
        </w:rPr>
        <w:fldChar w:fldCharType="end"/>
      </w:r>
      <w:r>
        <w:rPr>
          <w:rFonts w:eastAsiaTheme="minorEastAsia" w:cs="Arial"/>
          <w:szCs w:val="24"/>
          <w:lang w:val="en-US"/>
        </w:rPr>
        <w:t xml:space="preserve"> explores this concept and the challenge of defining simplicity and ‘stripping down skills into component parts’. It is mentioned that procedural skills should begin by ‘mastering the basics’</w:t>
      </w:r>
      <w:r w:rsidR="00C70905">
        <w:rPr>
          <w:rFonts w:eastAsiaTheme="minorEastAsia" w:cs="Arial"/>
          <w:szCs w:val="24"/>
          <w:lang w:val="en-US"/>
        </w:rPr>
        <w:t xml:space="preserve">. </w:t>
      </w:r>
      <w:r w:rsidR="00080F7B">
        <w:rPr>
          <w:rFonts w:eastAsiaTheme="minorEastAsia" w:cs="Arial"/>
          <w:szCs w:val="24"/>
          <w:lang w:val="en-US"/>
        </w:rPr>
        <w:t xml:space="preserve">However Kneebone reflects that technical skills are </w:t>
      </w:r>
      <w:r w:rsidR="00080F7B">
        <w:rPr>
          <w:rFonts w:eastAsiaTheme="minorEastAsia" w:cs="Arial"/>
          <w:szCs w:val="24"/>
          <w:lang w:val="en-US"/>
        </w:rPr>
        <w:lastRenderedPageBreak/>
        <w:t>never</w:t>
      </w:r>
      <w:r w:rsidR="00AD4539">
        <w:rPr>
          <w:rFonts w:eastAsiaTheme="minorEastAsia" w:cs="Arial"/>
          <w:szCs w:val="24"/>
          <w:lang w:val="en-US"/>
        </w:rPr>
        <w:t xml:space="preserve"> used</w:t>
      </w:r>
      <w:r w:rsidR="00080F7B">
        <w:rPr>
          <w:rFonts w:eastAsiaTheme="minorEastAsia" w:cs="Arial"/>
          <w:szCs w:val="24"/>
          <w:lang w:val="en-US"/>
        </w:rPr>
        <w:t xml:space="preserve"> in </w:t>
      </w:r>
      <w:r w:rsidR="00F81F6A">
        <w:rPr>
          <w:rFonts w:eastAsiaTheme="minorEastAsia" w:cs="Arial"/>
          <w:szCs w:val="24"/>
          <w:lang w:val="en-US"/>
        </w:rPr>
        <w:t>isolation in the clinical envi</w:t>
      </w:r>
      <w:r w:rsidR="00080F7B">
        <w:rPr>
          <w:rFonts w:eastAsiaTheme="minorEastAsia" w:cs="Arial"/>
          <w:szCs w:val="24"/>
          <w:lang w:val="en-US"/>
        </w:rPr>
        <w:t>ronment and that learning is affected by ‘emotional responses and thoughts’ and having to manage ‘uncertainty, anxiety, overload and stress’</w:t>
      </w:r>
      <w:r w:rsidR="00F81F6A">
        <w:rPr>
          <w:rFonts w:eastAsiaTheme="minorEastAsia" w:cs="Arial"/>
          <w:szCs w:val="24"/>
          <w:lang w:val="en-US"/>
        </w:rPr>
        <w:t xml:space="preserve">. Kneebone warns </w:t>
      </w:r>
      <w:r w:rsidR="001F66D0">
        <w:rPr>
          <w:rFonts w:eastAsiaTheme="minorEastAsia" w:cs="Arial"/>
          <w:szCs w:val="24"/>
          <w:lang w:val="en-US"/>
        </w:rPr>
        <w:t>that</w:t>
      </w:r>
      <w:r w:rsidR="00F81F6A">
        <w:rPr>
          <w:rFonts w:eastAsiaTheme="minorEastAsia" w:cs="Arial"/>
          <w:szCs w:val="24"/>
          <w:lang w:val="en-US"/>
        </w:rPr>
        <w:t xml:space="preserve"> educators that have passed through stages of transition </w:t>
      </w:r>
      <w:r w:rsidR="001F66D0">
        <w:rPr>
          <w:rFonts w:eastAsiaTheme="minorEastAsia" w:cs="Arial"/>
          <w:szCs w:val="24"/>
          <w:lang w:val="en-US"/>
        </w:rPr>
        <w:t xml:space="preserve">and </w:t>
      </w:r>
      <w:r w:rsidR="00F81F6A">
        <w:rPr>
          <w:rFonts w:eastAsiaTheme="minorEastAsia" w:cs="Arial"/>
          <w:szCs w:val="24"/>
          <w:lang w:val="en-US"/>
        </w:rPr>
        <w:t>training may not</w:t>
      </w:r>
      <w:r w:rsidR="00AD4539">
        <w:rPr>
          <w:rFonts w:eastAsiaTheme="minorEastAsia" w:cs="Arial"/>
          <w:szCs w:val="24"/>
          <w:lang w:val="en-US"/>
        </w:rPr>
        <w:t xml:space="preserve"> be</w:t>
      </w:r>
      <w:r w:rsidR="00F81F6A">
        <w:rPr>
          <w:rFonts w:eastAsiaTheme="minorEastAsia" w:cs="Arial"/>
          <w:szCs w:val="24"/>
          <w:lang w:val="en-US"/>
        </w:rPr>
        <w:t xml:space="preserve"> best placed to design educational strategies to support</w:t>
      </w:r>
      <w:r w:rsidR="00AD4539">
        <w:rPr>
          <w:rFonts w:eastAsiaTheme="minorEastAsia" w:cs="Arial"/>
          <w:szCs w:val="24"/>
          <w:lang w:val="en-US"/>
        </w:rPr>
        <w:t xml:space="preserve"> the</w:t>
      </w:r>
      <w:r w:rsidR="00F81F6A">
        <w:rPr>
          <w:rFonts w:eastAsiaTheme="minorEastAsia" w:cs="Arial"/>
          <w:szCs w:val="24"/>
          <w:lang w:val="en-US"/>
        </w:rPr>
        <w:t xml:space="preserve"> development of skills for novices because the challenges </w:t>
      </w:r>
      <w:r w:rsidR="00AD4539">
        <w:rPr>
          <w:rFonts w:eastAsiaTheme="minorEastAsia" w:cs="Arial"/>
          <w:szCs w:val="24"/>
          <w:lang w:val="en-US"/>
        </w:rPr>
        <w:t xml:space="preserve">that </w:t>
      </w:r>
      <w:r w:rsidR="00F81F6A">
        <w:rPr>
          <w:rFonts w:eastAsiaTheme="minorEastAsia" w:cs="Arial"/>
          <w:szCs w:val="24"/>
          <w:lang w:val="en-US"/>
        </w:rPr>
        <w:t>they experienced have ‘faded’</w:t>
      </w:r>
      <w:r w:rsidR="00AD4539">
        <w:rPr>
          <w:rFonts w:eastAsiaTheme="minorEastAsia" w:cs="Arial"/>
          <w:szCs w:val="24"/>
          <w:lang w:val="en-US"/>
        </w:rPr>
        <w:t>,</w:t>
      </w:r>
      <w:r w:rsidR="00F81F6A">
        <w:rPr>
          <w:rFonts w:eastAsiaTheme="minorEastAsia" w:cs="Arial"/>
          <w:szCs w:val="24"/>
          <w:lang w:val="en-US"/>
        </w:rPr>
        <w:t xml:space="preserve"> and perspectives of novice and expert are ‘radically different’</w:t>
      </w:r>
      <w:r w:rsidR="002F2531">
        <w:rPr>
          <w:rFonts w:eastAsiaTheme="minorEastAsia" w:cs="Arial"/>
          <w:szCs w:val="24"/>
          <w:lang w:val="en-US"/>
        </w:rPr>
        <w:t>. This h</w:t>
      </w:r>
      <w:r w:rsidR="00F81F6A">
        <w:rPr>
          <w:rFonts w:eastAsiaTheme="minorEastAsia" w:cs="Arial"/>
          <w:szCs w:val="24"/>
          <w:lang w:val="en-US"/>
        </w:rPr>
        <w:t>ighligh</w:t>
      </w:r>
      <w:r w:rsidR="002F2531">
        <w:rPr>
          <w:rFonts w:eastAsiaTheme="minorEastAsia" w:cs="Arial"/>
          <w:szCs w:val="24"/>
          <w:lang w:val="en-US"/>
        </w:rPr>
        <w:t>ts</w:t>
      </w:r>
      <w:r w:rsidR="00F81F6A">
        <w:rPr>
          <w:rFonts w:eastAsiaTheme="minorEastAsia" w:cs="Arial"/>
          <w:szCs w:val="24"/>
          <w:lang w:val="en-US"/>
        </w:rPr>
        <w:t xml:space="preserve"> the need to inclu</w:t>
      </w:r>
      <w:r w:rsidR="00C70905">
        <w:rPr>
          <w:rFonts w:eastAsiaTheme="minorEastAsia" w:cs="Arial"/>
          <w:szCs w:val="24"/>
          <w:lang w:val="en-US"/>
        </w:rPr>
        <w:t>de novice views</w:t>
      </w:r>
      <w:r w:rsidR="00F81F6A">
        <w:rPr>
          <w:rFonts w:eastAsiaTheme="minorEastAsia" w:cs="Arial"/>
          <w:szCs w:val="24"/>
          <w:lang w:val="en-US"/>
        </w:rPr>
        <w:t>. Kneebone proposes that using a more realistic setting with simulated patients</w:t>
      </w:r>
      <w:r w:rsidR="001F66D0">
        <w:rPr>
          <w:rFonts w:eastAsiaTheme="minorEastAsia" w:cs="Arial"/>
          <w:szCs w:val="24"/>
          <w:lang w:val="en-US"/>
        </w:rPr>
        <w:t xml:space="preserve"> to</w:t>
      </w:r>
      <w:r w:rsidR="00F81F6A">
        <w:rPr>
          <w:rFonts w:eastAsiaTheme="minorEastAsia" w:cs="Arial"/>
          <w:szCs w:val="24"/>
          <w:lang w:val="en-US"/>
        </w:rPr>
        <w:t xml:space="preserve"> add the human uncertainty</w:t>
      </w:r>
      <w:r w:rsidR="00AD4539">
        <w:rPr>
          <w:rFonts w:eastAsiaTheme="minorEastAsia" w:cs="Arial"/>
          <w:szCs w:val="24"/>
          <w:lang w:val="en-US"/>
        </w:rPr>
        <w:t xml:space="preserve"> factor</w:t>
      </w:r>
      <w:r w:rsidR="00F81F6A">
        <w:rPr>
          <w:rFonts w:eastAsiaTheme="minorEastAsia" w:cs="Arial"/>
          <w:szCs w:val="24"/>
          <w:lang w:val="en-US"/>
        </w:rPr>
        <w:t xml:space="preserve">, could help support learners understanding how to </w:t>
      </w:r>
      <w:r w:rsidR="002F2531">
        <w:rPr>
          <w:rFonts w:eastAsiaTheme="minorEastAsia" w:cs="Arial"/>
          <w:szCs w:val="24"/>
          <w:lang w:val="en-US"/>
        </w:rPr>
        <w:t xml:space="preserve">better </w:t>
      </w:r>
      <w:r w:rsidR="00F81F6A">
        <w:rPr>
          <w:rFonts w:eastAsiaTheme="minorEastAsia" w:cs="Arial"/>
          <w:szCs w:val="24"/>
          <w:lang w:val="en-US"/>
        </w:rPr>
        <w:t xml:space="preserve">manage ‘uncertainty, fear and stress’. It is </w:t>
      </w:r>
      <w:proofErr w:type="spellStart"/>
      <w:r w:rsidR="00F81F6A">
        <w:rPr>
          <w:rFonts w:eastAsiaTheme="minorEastAsia" w:cs="Arial"/>
          <w:szCs w:val="24"/>
          <w:lang w:val="en-US"/>
        </w:rPr>
        <w:t>emphasi</w:t>
      </w:r>
      <w:r w:rsidR="00AD4539">
        <w:rPr>
          <w:rFonts w:eastAsiaTheme="minorEastAsia" w:cs="Arial"/>
          <w:szCs w:val="24"/>
          <w:lang w:val="en-US"/>
        </w:rPr>
        <w:t>s</w:t>
      </w:r>
      <w:r w:rsidR="00F81F6A">
        <w:rPr>
          <w:rFonts w:eastAsiaTheme="minorEastAsia" w:cs="Arial"/>
          <w:szCs w:val="24"/>
          <w:lang w:val="en-US"/>
        </w:rPr>
        <w:t>ed</w:t>
      </w:r>
      <w:proofErr w:type="spellEnd"/>
      <w:r w:rsidR="00F81F6A">
        <w:rPr>
          <w:rFonts w:eastAsiaTheme="minorEastAsia" w:cs="Arial"/>
          <w:szCs w:val="24"/>
          <w:lang w:val="en-US"/>
        </w:rPr>
        <w:t xml:space="preserve"> that simulation can never substitute a real clinical experience but can be an ‘adjunct allowing deliberate practice in a safe environment for learner and patient </w:t>
      </w:r>
      <w:r w:rsidR="00F81F6A">
        <w:rPr>
          <w:rFonts w:eastAsiaTheme="minorEastAsia" w:cs="Arial"/>
          <w:szCs w:val="24"/>
          <w:lang w:val="en-US"/>
        </w:rPr>
        <w:fldChar w:fldCharType="begin"/>
      </w:r>
      <w:r w:rsidR="00F81F6A">
        <w:rPr>
          <w:rFonts w:eastAsiaTheme="minorEastAsia" w:cs="Arial"/>
          <w:szCs w:val="24"/>
          <w:lang w:val="en-US"/>
        </w:rPr>
        <w:instrText xml:space="preserve"> ADDIN EN.CITE &lt;EndNote&gt;&lt;Cite&gt;&lt;Author&gt;Kneebone&lt;/Author&gt;&lt;Year&gt;2009&lt;/Year&gt;&lt;IDText&gt;Perspective: Simulation and transformational change: the paradox of expertise&lt;/IDText&gt;&lt;DisplayText&gt;(Kneebone, 2009)&lt;/DisplayText&gt;&lt;record&gt;&lt;dates&gt;&lt;pub-dates&gt;&lt;date&gt;Jul&lt;/date&gt;&lt;/pub-dates&gt;&lt;year&gt;2009&lt;/year&gt;&lt;/dates&gt;&lt;keywords&gt;&lt;keyword&gt;Attitude of Health Personnel&lt;/keyword&gt;&lt;keyword&gt;Clinical Competence&lt;/keyword&gt;&lt;keyword&gt;Curriculum&lt;/keyword&gt;&lt;keyword&gt;Education, Medical&lt;/keyword&gt;&lt;keyword&gt;Humans&lt;/keyword&gt;&lt;keyword&gt;Manikins&lt;/keyword&gt;&lt;keyword&gt;Metaphor&lt;/keyword&gt;&lt;keyword&gt;Patient Simulation&lt;/keyword&gt;&lt;keyword&gt;Problem-Based Learning&lt;/keyword&gt;&lt;/keywords&gt;&lt;urls&gt;&lt;related-urls&gt;&lt;url&gt;http://www.ncbi.nlm.nih.gov/pubmed/19550196&lt;/url&gt;&lt;/related-urls&gt;&lt;/urls&gt;&lt;isbn&gt;1938-808X&lt;/isbn&gt;&lt;titles&gt;&lt;title&gt;Perspective: Simulation and transformational change: the paradox of expertise&lt;/title&gt;&lt;secondary-title&gt;Acad Med&lt;/secondary-title&gt;&lt;/titles&gt;&lt;pages&gt;954-7&lt;/pages&gt;&lt;number&gt;7&lt;/number&gt;&lt;contributors&gt;&lt;authors&gt;&lt;author&gt;Kneebone, R.&lt;/author&gt;&lt;/authors&gt;&lt;/contributors&gt;&lt;language&gt;eng&lt;/language&gt;&lt;added-date format="utc"&gt;1458297458&lt;/added-date&gt;&lt;ref-type name="Journal Article"&gt;17&lt;/ref-type&gt;&lt;rec-number&gt;227&lt;/rec-number&gt;&lt;last-updated-date format="utc"&gt;1458297458&lt;/last-updated-date&gt;&lt;accession-num&gt;19550196&lt;/accession-num&gt;&lt;electronic-resource-num&gt;10.1097/ACM.0b013e3181a843d6&lt;/electronic-resource-num&gt;&lt;volume&gt;84&lt;/volume&gt;&lt;/record&gt;&lt;/Cite&gt;&lt;/EndNote&gt;</w:instrText>
      </w:r>
      <w:r w:rsidR="00F81F6A">
        <w:rPr>
          <w:rFonts w:eastAsiaTheme="minorEastAsia" w:cs="Arial"/>
          <w:szCs w:val="24"/>
          <w:lang w:val="en-US"/>
        </w:rPr>
        <w:fldChar w:fldCharType="separate"/>
      </w:r>
      <w:r w:rsidR="00F81F6A">
        <w:rPr>
          <w:rFonts w:eastAsiaTheme="minorEastAsia" w:cs="Arial"/>
          <w:noProof/>
          <w:szCs w:val="24"/>
          <w:lang w:val="en-US"/>
        </w:rPr>
        <w:t>(Kneebone, 2009)</w:t>
      </w:r>
      <w:r w:rsidR="00F81F6A">
        <w:rPr>
          <w:rFonts w:eastAsiaTheme="minorEastAsia" w:cs="Arial"/>
          <w:szCs w:val="24"/>
          <w:lang w:val="en-US"/>
        </w:rPr>
        <w:fldChar w:fldCharType="end"/>
      </w:r>
      <w:r w:rsidR="00F81F6A">
        <w:rPr>
          <w:rFonts w:eastAsiaTheme="minorEastAsia" w:cs="Arial"/>
          <w:szCs w:val="24"/>
          <w:lang w:val="en-US"/>
        </w:rPr>
        <w:t>.</w:t>
      </w:r>
    </w:p>
    <w:p w14:paraId="2BD98AF7" w14:textId="5C1B1F39" w:rsidR="00287E6A" w:rsidRPr="00260C40" w:rsidRDefault="00287E6A" w:rsidP="00260C40">
      <w:r>
        <w:rPr>
          <w:rFonts w:eastAsiaTheme="minorEastAsia" w:cs="Arial"/>
          <w:szCs w:val="24"/>
          <w:lang w:val="en-US"/>
        </w:rPr>
        <w:t xml:space="preserve">It is evident that simulation based education is complex and broad. </w:t>
      </w:r>
      <w:r w:rsidR="0002343C">
        <w:rPr>
          <w:rFonts w:eastAsiaTheme="minorEastAsia" w:cs="Arial"/>
          <w:szCs w:val="24"/>
          <w:lang w:val="en-US"/>
        </w:rPr>
        <w:t xml:space="preserve">It can include cognitive simulation, simple tasked based simulation, complex scenarios and team based simulation and the extent of immersion and fidelity appear important. The reported benefit of use of simulation-based education varies in the literature. </w:t>
      </w:r>
      <w:r>
        <w:rPr>
          <w:rFonts w:eastAsiaTheme="minorEastAsia" w:cs="Arial"/>
          <w:szCs w:val="24"/>
          <w:lang w:val="en-US"/>
        </w:rPr>
        <w:t xml:space="preserve">However, there is clear evidence of the potential to enhance the students experience with </w:t>
      </w:r>
      <w:r w:rsidR="0002343C">
        <w:rPr>
          <w:rFonts w:eastAsiaTheme="minorEastAsia" w:cs="Arial"/>
          <w:szCs w:val="24"/>
          <w:lang w:val="en-US"/>
        </w:rPr>
        <w:t xml:space="preserve">regards to preparedness when used as an adjunct. </w:t>
      </w:r>
    </w:p>
    <w:p w14:paraId="64756853" w14:textId="56EF4FE4" w:rsidR="00F6652D" w:rsidRDefault="00F6652D" w:rsidP="00CA53EB">
      <w:pPr>
        <w:pStyle w:val="Heading2"/>
      </w:pPr>
      <w:bookmarkStart w:id="50" w:name="_Toc343501099"/>
      <w:bookmarkStart w:id="51" w:name="_Toc348686300"/>
      <w:bookmarkStart w:id="52" w:name="_Toc419116096"/>
      <w:r w:rsidRPr="005F454B">
        <w:t>Me</w:t>
      </w:r>
      <w:r w:rsidR="00E325D3">
        <w:t xml:space="preserve">asurement of preparedness: </w:t>
      </w:r>
      <w:r w:rsidR="002C3458">
        <w:t>C</w:t>
      </w:r>
      <w:r w:rsidRPr="005F454B">
        <w:t>onfidence and competence</w:t>
      </w:r>
      <w:bookmarkEnd w:id="50"/>
      <w:bookmarkEnd w:id="51"/>
      <w:bookmarkEnd w:id="52"/>
    </w:p>
    <w:p w14:paraId="7168D8E1" w14:textId="77777777" w:rsidR="00260C40" w:rsidRDefault="00260C40" w:rsidP="00260C40"/>
    <w:p w14:paraId="56095E1E" w14:textId="604079C0" w:rsidR="009D4D85" w:rsidRDefault="009D4D85" w:rsidP="009D4D85">
      <w:pPr>
        <w:rPr>
          <w:rFonts w:cs="Arial"/>
          <w:szCs w:val="24"/>
        </w:rPr>
      </w:pPr>
      <w:r>
        <w:rPr>
          <w:rFonts w:cs="Arial"/>
          <w:szCs w:val="24"/>
        </w:rPr>
        <w:t>Preparedness for practice is a challenge to measur</w:t>
      </w:r>
      <w:r w:rsidR="00BB3E73">
        <w:rPr>
          <w:rFonts w:cs="Arial"/>
          <w:szCs w:val="24"/>
        </w:rPr>
        <w:t xml:space="preserve">e. </w:t>
      </w:r>
      <w:r w:rsidR="00C70905">
        <w:rPr>
          <w:rFonts w:cs="Arial"/>
          <w:szCs w:val="24"/>
        </w:rPr>
        <w:fldChar w:fldCharType="begin"/>
      </w:r>
      <w:r w:rsidR="005823F4">
        <w:rPr>
          <w:rFonts w:cs="Arial"/>
          <w:szCs w:val="24"/>
        </w:rPr>
        <w:instrText xml:space="preserve"> ADDIN EN.CITE &lt;EndNote&gt;&lt;Cite&gt;&lt;Author&gt;Cave&lt;/Author&gt;&lt;Year&gt;2009&lt;/Year&gt;&lt;IDText&gt;Easing the transition from student to doctor: how can medical schools help prepare their graduates for starting work?&lt;/IDText&gt;&lt;DisplayText&gt;(Cave et al., 2009)&lt;/DisplayText&gt;&lt;record&gt;&lt;dates&gt;&lt;pub-dates&gt;&lt;date&gt;May&lt;/date&gt;&lt;/pub-dates&gt;&lt;year&gt;2009&lt;/year&gt;&lt;/dates&gt;&lt;keywords&gt;&lt;keyword&gt;Clinical Competence&lt;/keyword&gt;&lt;keyword&gt;Employment&lt;/keyword&gt;&lt;keyword&gt;Female&lt;/keyword&gt;&lt;keyword&gt;Great Britain&lt;/keyword&gt;&lt;keyword&gt;Humans&lt;/keyword&gt;&lt;keyword&gt;Male&lt;/keyword&gt;&lt;keyword&gt;Schools, Medical&lt;/keyword&gt;&lt;keyword&gt;Students, Medical&lt;/keyword&gt;&lt;keyword&gt;Surveys and Questionnaires&lt;/keyword&gt;&lt;/keywords&gt;&lt;urls&gt;&lt;related-urls&gt;&lt;url&gt;http://www.ncbi.nlm.nih.gov/pubmed/19142797&lt;/url&gt;&lt;/related-urls&gt;&lt;/urls&gt;&lt;isbn&gt;1466-187X&lt;/isbn&gt;&lt;titles&gt;&lt;title&gt;Easing the transition from student to doctor: how can medical schools help prepare their graduates for starting work?&lt;/title&gt;&lt;secondary-title&gt;Med Teach&lt;/secondary-title&gt;&lt;/titles&gt;&lt;pages&gt;403-8&lt;/pages&gt;&lt;number&gt;5&lt;/number&gt;&lt;contributors&gt;&lt;authors&gt;&lt;author&gt;Cave, J.&lt;/author&gt;&lt;author&gt;Woolf, K.&lt;/author&gt;&lt;author&gt;Jones, A.&lt;/author&gt;&lt;author&gt;Dacre, J.&lt;/author&gt;&lt;/authors&gt;&lt;/contributors&gt;&lt;language&gt;eng&lt;/language&gt;&lt;added-date format="utc"&gt;1455791110&lt;/added-date&gt;&lt;ref-type name="Journal Article"&gt;17&lt;/ref-type&gt;&lt;rec-number&gt;187&lt;/rec-number&gt;&lt;last-updated-date format="utc"&gt;1455791110&lt;/last-updated-date&gt;&lt;accession-num&gt;19142797&lt;/accession-num&gt;&lt;electronic-resource-num&gt;10.1080/01421590802348127&lt;/electronic-resource-num&gt;&lt;volume&gt;31&lt;/volume&gt;&lt;/record&gt;&lt;/Cite&gt;&lt;/EndNote&gt;</w:instrText>
      </w:r>
      <w:r w:rsidR="00C70905">
        <w:rPr>
          <w:rFonts w:cs="Arial"/>
          <w:szCs w:val="24"/>
        </w:rPr>
        <w:fldChar w:fldCharType="separate"/>
      </w:r>
      <w:r w:rsidR="00E801FD">
        <w:rPr>
          <w:rFonts w:cs="Arial"/>
          <w:noProof/>
          <w:szCs w:val="24"/>
        </w:rPr>
        <w:t>Cave et al.</w:t>
      </w:r>
      <w:r w:rsidR="005823F4">
        <w:rPr>
          <w:rFonts w:cs="Arial"/>
          <w:noProof/>
          <w:szCs w:val="24"/>
        </w:rPr>
        <w:t xml:space="preserve"> </w:t>
      </w:r>
      <w:r w:rsidR="00E801FD">
        <w:rPr>
          <w:rFonts w:cs="Arial"/>
          <w:noProof/>
          <w:szCs w:val="24"/>
        </w:rPr>
        <w:t>(</w:t>
      </w:r>
      <w:r w:rsidR="005823F4">
        <w:rPr>
          <w:rFonts w:cs="Arial"/>
          <w:noProof/>
          <w:szCs w:val="24"/>
        </w:rPr>
        <w:t>2009)</w:t>
      </w:r>
      <w:r w:rsidR="00C70905">
        <w:rPr>
          <w:rFonts w:cs="Arial"/>
          <w:szCs w:val="24"/>
        </w:rPr>
        <w:fldChar w:fldCharType="end"/>
      </w:r>
      <w:r w:rsidR="00C70905">
        <w:rPr>
          <w:rFonts w:cs="Arial"/>
          <w:szCs w:val="24"/>
        </w:rPr>
        <w:t xml:space="preserve"> </w:t>
      </w:r>
      <w:r w:rsidR="003956C0">
        <w:rPr>
          <w:rFonts w:cs="Arial"/>
          <w:szCs w:val="24"/>
        </w:rPr>
        <w:t>highlight that though ‘subjective measure</w:t>
      </w:r>
      <w:r w:rsidR="00BB3E73">
        <w:rPr>
          <w:rFonts w:cs="Arial"/>
          <w:szCs w:val="24"/>
        </w:rPr>
        <w:t>s</w:t>
      </w:r>
      <w:r w:rsidR="003956C0">
        <w:rPr>
          <w:rFonts w:cs="Arial"/>
          <w:szCs w:val="24"/>
        </w:rPr>
        <w:t xml:space="preserve"> of preparedness appear to have </w:t>
      </w:r>
      <w:r w:rsidR="003956C0">
        <w:rPr>
          <w:rFonts w:cs="Arial"/>
          <w:szCs w:val="24"/>
        </w:rPr>
        <w:lastRenderedPageBreak/>
        <w:t xml:space="preserve">good face </w:t>
      </w:r>
      <w:r w:rsidR="00693688">
        <w:rPr>
          <w:rFonts w:cs="Arial"/>
          <w:szCs w:val="24"/>
        </w:rPr>
        <w:t>validity’</w:t>
      </w:r>
      <w:r w:rsidR="00AD4539">
        <w:rPr>
          <w:rFonts w:cs="Arial"/>
          <w:szCs w:val="24"/>
        </w:rPr>
        <w:t>,</w:t>
      </w:r>
      <w:r w:rsidR="003956C0">
        <w:rPr>
          <w:rFonts w:cs="Arial"/>
          <w:szCs w:val="24"/>
        </w:rPr>
        <w:t xml:space="preserve"> there is hu</w:t>
      </w:r>
      <w:r w:rsidR="00E0178C">
        <w:rPr>
          <w:rFonts w:cs="Arial"/>
          <w:szCs w:val="24"/>
        </w:rPr>
        <w:t>ge complexity in the ‘relationship between preparedness, competence and confidence’</w:t>
      </w:r>
      <w:r w:rsidR="00C70905">
        <w:rPr>
          <w:rFonts w:cs="Arial"/>
          <w:szCs w:val="24"/>
        </w:rPr>
        <w:t xml:space="preserve">. </w:t>
      </w:r>
      <w:r>
        <w:rPr>
          <w:rFonts w:cs="Arial"/>
          <w:szCs w:val="24"/>
        </w:rPr>
        <w:t xml:space="preserve">It is </w:t>
      </w:r>
      <w:r w:rsidR="00B56D7E">
        <w:rPr>
          <w:rFonts w:cs="Arial"/>
          <w:szCs w:val="24"/>
        </w:rPr>
        <w:t xml:space="preserve">difficult </w:t>
      </w:r>
      <w:r>
        <w:rPr>
          <w:rFonts w:cs="Arial"/>
          <w:szCs w:val="24"/>
        </w:rPr>
        <w:t xml:space="preserve">to move away from subjective measures to objective </w:t>
      </w:r>
      <w:r w:rsidR="00AD4539">
        <w:rPr>
          <w:rFonts w:cs="Arial"/>
          <w:szCs w:val="24"/>
        </w:rPr>
        <w:t xml:space="preserve">measurement </w:t>
      </w:r>
      <w:r w:rsidR="00B56D7E">
        <w:rPr>
          <w:rFonts w:cs="Arial"/>
          <w:szCs w:val="24"/>
        </w:rPr>
        <w:t xml:space="preserve">without risking the loss </w:t>
      </w:r>
      <w:r w:rsidR="00AD4539">
        <w:rPr>
          <w:rFonts w:cs="Arial"/>
          <w:szCs w:val="24"/>
        </w:rPr>
        <w:t>of</w:t>
      </w:r>
      <w:r w:rsidR="00B56D7E">
        <w:rPr>
          <w:rFonts w:cs="Arial"/>
          <w:szCs w:val="24"/>
        </w:rPr>
        <w:t xml:space="preserve"> rich and complex elements such as </w:t>
      </w:r>
      <w:r>
        <w:rPr>
          <w:rFonts w:cs="Arial"/>
          <w:szCs w:val="24"/>
        </w:rPr>
        <w:t>emotional preparedness</w:t>
      </w:r>
      <w:r w:rsidR="00B56D7E">
        <w:rPr>
          <w:rFonts w:cs="Arial"/>
          <w:szCs w:val="24"/>
        </w:rPr>
        <w:t xml:space="preserve">. Subjectivity appears important </w:t>
      </w:r>
      <w:r>
        <w:rPr>
          <w:rFonts w:cs="Arial"/>
          <w:szCs w:val="24"/>
        </w:rPr>
        <w:t>to understand</w:t>
      </w:r>
      <w:r w:rsidR="00B56D7E">
        <w:rPr>
          <w:rFonts w:cs="Arial"/>
          <w:szCs w:val="24"/>
        </w:rPr>
        <w:t>ing</w:t>
      </w:r>
      <w:r>
        <w:rPr>
          <w:rFonts w:cs="Arial"/>
          <w:szCs w:val="24"/>
        </w:rPr>
        <w:t xml:space="preserve"> </w:t>
      </w:r>
      <w:r w:rsidR="00B56D7E">
        <w:rPr>
          <w:rFonts w:cs="Arial"/>
          <w:szCs w:val="24"/>
        </w:rPr>
        <w:t xml:space="preserve">preparedness </w:t>
      </w:r>
      <w:r>
        <w:rPr>
          <w:rFonts w:cs="Arial"/>
          <w:szCs w:val="24"/>
        </w:rPr>
        <w:t xml:space="preserve">and </w:t>
      </w:r>
      <w:r w:rsidR="00B56D7E">
        <w:rPr>
          <w:rFonts w:cs="Arial"/>
          <w:szCs w:val="24"/>
        </w:rPr>
        <w:t>the</w:t>
      </w:r>
      <w:r>
        <w:rPr>
          <w:rFonts w:cs="Arial"/>
          <w:szCs w:val="24"/>
        </w:rPr>
        <w:t xml:space="preserve"> potential impact on performance. </w:t>
      </w:r>
      <w:r w:rsidR="005C787A">
        <w:rPr>
          <w:rFonts w:cs="Arial"/>
          <w:szCs w:val="24"/>
        </w:rPr>
        <w:fldChar w:fldCharType="begin"/>
      </w:r>
      <w:r w:rsidR="005823F4">
        <w:rPr>
          <w:rFonts w:cs="Arial"/>
          <w:szCs w:val="24"/>
        </w:rPr>
        <w:instrText xml:space="preserve"> ADDIN EN.CITE &lt;EndNote&gt;&lt;Cite&gt;&lt;Author&gt;Bandura&lt;/Author&gt;&lt;Year&gt;1982&lt;/Year&gt;&lt;IDText&gt;The assessment and predictive generality of self-percepts of efficacy&lt;/IDText&gt;&lt;DisplayText&gt;(Bandura, 1982)&lt;/DisplayText&gt;&lt;record&gt;&lt;dates&gt;&lt;pub-dates&gt;&lt;date&gt;Sep&lt;/date&gt;&lt;/pub-dates&gt;&lt;year&gt;1982&lt;/year&gt;&lt;/dates&gt;&lt;keywords&gt;&lt;keyword&gt;Arousal&lt;/keyword&gt;&lt;keyword&gt;Behavior Therapy&lt;/keyword&gt;&lt;keyword&gt;Humans&lt;/keyword&gt;&lt;keyword&gt;Phobic Disorders&lt;/keyword&gt;&lt;keyword&gt;Self Concept&lt;/keyword&gt;&lt;keyword&gt;Set (Psychology)&lt;/keyword&gt;&lt;keyword&gt;Social Adjustment&lt;/keyword&gt;&lt;keyword&gt;Social Perception&lt;/keyword&gt;&lt;/keywords&gt;&lt;urls&gt;&lt;related-urls&gt;&lt;url&gt;http://www.ncbi.nlm.nih.gov/pubmed/7142408&lt;/url&gt;&lt;/related-urls&gt;&lt;/urls&gt;&lt;isbn&gt;0005-7916&lt;/isbn&gt;&lt;titles&gt;&lt;title&gt;The assessment and predictive generality of self-percepts of efficacy&lt;/title&gt;&lt;secondary-title&gt;J Behav Ther Exp Psychiatry&lt;/secondary-title&gt;&lt;/titles&gt;&lt;pages&gt;195-9&lt;/pages&gt;&lt;number&gt;3&lt;/number&gt;&lt;contributors&gt;&lt;authors&gt;&lt;author&gt;Bandura, A.&lt;/author&gt;&lt;/authors&gt;&lt;/contributors&gt;&lt;language&gt;eng&lt;/language&gt;&lt;added-date format="utc"&gt;1457009314&lt;/added-date&gt;&lt;ref-type name="Journal Article"&gt;17&lt;/ref-type&gt;&lt;rec-number&gt;214&lt;/rec-number&gt;&lt;last-updated-date format="utc"&gt;1457009314&lt;/last-updated-date&gt;&lt;accession-num&gt;7142408&lt;/accession-num&gt;&lt;volume&gt;13&lt;/volume&gt;&lt;/record&gt;&lt;/Cite&gt;&lt;/EndNote&gt;</w:instrText>
      </w:r>
      <w:r w:rsidR="005C787A">
        <w:rPr>
          <w:rFonts w:cs="Arial"/>
          <w:szCs w:val="24"/>
        </w:rPr>
        <w:fldChar w:fldCharType="separate"/>
      </w:r>
      <w:r w:rsidR="00E801FD">
        <w:rPr>
          <w:rFonts w:cs="Arial"/>
          <w:noProof/>
          <w:szCs w:val="24"/>
        </w:rPr>
        <w:t>Bandura</w:t>
      </w:r>
      <w:r w:rsidR="005823F4">
        <w:rPr>
          <w:rFonts w:cs="Arial"/>
          <w:noProof/>
          <w:szCs w:val="24"/>
        </w:rPr>
        <w:t xml:space="preserve"> </w:t>
      </w:r>
      <w:r w:rsidR="00E801FD">
        <w:rPr>
          <w:rFonts w:cs="Arial"/>
          <w:noProof/>
          <w:szCs w:val="24"/>
        </w:rPr>
        <w:t>(</w:t>
      </w:r>
      <w:r w:rsidR="005823F4">
        <w:rPr>
          <w:rFonts w:cs="Arial"/>
          <w:noProof/>
          <w:szCs w:val="24"/>
        </w:rPr>
        <w:t>1982)</w:t>
      </w:r>
      <w:r w:rsidR="005C787A">
        <w:rPr>
          <w:rFonts w:cs="Arial"/>
          <w:szCs w:val="24"/>
        </w:rPr>
        <w:fldChar w:fldCharType="end"/>
      </w:r>
      <w:r w:rsidR="005C787A">
        <w:rPr>
          <w:rFonts w:cs="Arial"/>
          <w:szCs w:val="24"/>
        </w:rPr>
        <w:t xml:space="preserve"> emphasises the value and importance of perceptions of ability and self-ratings because they are precursors to behaviour and thus will influence performance.</w:t>
      </w:r>
    </w:p>
    <w:p w14:paraId="047EE957" w14:textId="321A0D66" w:rsidR="00260C40" w:rsidRDefault="009D4D85" w:rsidP="00260C40">
      <w:pPr>
        <w:rPr>
          <w:rFonts w:cs="Arial"/>
          <w:szCs w:val="24"/>
        </w:rPr>
      </w:pPr>
      <w:r>
        <w:rPr>
          <w:rFonts w:cs="Arial"/>
          <w:szCs w:val="24"/>
        </w:rPr>
        <w:t xml:space="preserve">Self-confidence has been reported as an important contributor to a feeling of preparedness </w:t>
      </w:r>
      <w:r>
        <w:rPr>
          <w:rFonts w:cs="Arial"/>
          <w:szCs w:val="24"/>
        </w:rPr>
        <w:fldChar w:fldCharType="begin"/>
      </w:r>
      <w:r w:rsidR="00B159B8">
        <w:rPr>
          <w:rFonts w:cs="Arial"/>
          <w:szCs w:val="24"/>
        </w:rPr>
        <w:instrText xml:space="preserve"> ADDIN EN.CITE &lt;EndNote&gt;&lt;Cite&gt;&lt;Author&gt;Tallentire&lt;/Author&gt;&lt;Year&gt;2011&lt;/Year&gt;&lt;IDText&gt;Understanding the behaviour of newly qualified doctors in acute care contexts&lt;/IDText&gt;&lt;DisplayText&gt;(Tallentire et al., 2011b)&lt;/DisplayText&gt;&lt;record&gt;&lt;dates&gt;&lt;pub-dates&gt;&lt;date&gt;Oct&lt;/date&gt;&lt;/pub-dates&gt;&lt;year&gt;2011&lt;/year&gt;&lt;/dates&gt;&lt;keywords&gt;&lt;keyword&gt;Adaptation, Psychological&lt;/keyword&gt;&lt;keyword&gt;Attitude of Health Personnel&lt;/keyword&gt;&lt;keyword&gt;Clinical Competence&lt;/keyword&gt;&lt;keyword&gt;Education, Medical, Graduate&lt;/keyword&gt;&lt;keyword&gt;Focus Groups&lt;/keyword&gt;&lt;keyword&gt;Humans&lt;/keyword&gt;&lt;keyword&gt;Internship and Residency&lt;/keyword&gt;&lt;keyword&gt;Interpersonal Relations&lt;/keyword&gt;&lt;keyword&gt;Medical Staff, Hospital&lt;/keyword&gt;&lt;keyword&gt;Scotland&lt;/keyword&gt;&lt;keyword&gt;State Medicine&lt;/keyword&gt;&lt;keyword&gt;Stress, Psychological&lt;/keyword&gt;&lt;keyword&gt;Students, Medical&lt;/keyword&gt;&lt;/keywords&gt;&lt;urls&gt;&lt;related-urls&gt;&lt;url&gt;http://www.ncbi.nlm.nih.gov/pubmed/21916939&lt;/url&gt;&lt;/related-urls&gt;&lt;/urls&gt;&lt;isbn&gt;1365-2923&lt;/isbn&gt;&lt;titles&gt;&lt;title&gt;Understanding the behaviour of newly qualified doctors in acute care contexts&lt;/title&gt;&lt;secondary-title&gt;Med Educ&lt;/secondary-title&gt;&lt;/titles&gt;&lt;pages&gt;995-1005&lt;/pages&gt;&lt;number&gt;10&lt;/number&gt;&lt;contributors&gt;&lt;authors&gt;&lt;author&gt;Tallentire, V. R.&lt;/author&gt;&lt;author&gt;Smith, S. E.&lt;/author&gt;&lt;author&gt;Skinner, J.&lt;/author&gt;&lt;author&gt;Cameron, H. S.&lt;/author&gt;&lt;/authors&gt;&lt;/contributors&gt;&lt;language&gt;eng&lt;/language&gt;&lt;added-date format="utc"&gt;1455789999&lt;/added-date&gt;&lt;ref-type name="Journal Article"&gt;17&lt;/ref-type&gt;&lt;rec-number&gt;183&lt;/rec-number&gt;&lt;last-updated-date format="utc"&gt;1455789999&lt;/last-updated-date&gt;&lt;accession-num&gt;21916939&lt;/accession-num&gt;&lt;electronic-resource-num&gt;10.1111/j.1365-2923.2011.04024.x&lt;/electronic-resource-num&gt;&lt;volume&gt;45&lt;/volume&gt;&lt;/record&gt;&lt;/Cite&gt;&lt;/EndNote&gt;</w:instrText>
      </w:r>
      <w:r>
        <w:rPr>
          <w:rFonts w:cs="Arial"/>
          <w:szCs w:val="24"/>
        </w:rPr>
        <w:fldChar w:fldCharType="separate"/>
      </w:r>
      <w:r w:rsidR="00B159B8">
        <w:rPr>
          <w:rFonts w:cs="Arial"/>
          <w:noProof/>
          <w:szCs w:val="24"/>
        </w:rPr>
        <w:t>(Tallentire et al., 2011b)</w:t>
      </w:r>
      <w:r>
        <w:rPr>
          <w:rFonts w:cs="Arial"/>
          <w:szCs w:val="24"/>
        </w:rPr>
        <w:fldChar w:fldCharType="end"/>
      </w:r>
      <w:r>
        <w:rPr>
          <w:rFonts w:cs="Arial"/>
          <w:szCs w:val="24"/>
        </w:rPr>
        <w:t xml:space="preserve">. </w:t>
      </w:r>
      <w:r w:rsidR="0051625C">
        <w:rPr>
          <w:rFonts w:cs="Arial"/>
          <w:szCs w:val="24"/>
        </w:rPr>
        <w:t xml:space="preserve">Confidence and preparedness are terms that have been used interchangeably for interpreting preparedness in undergraduates </w:t>
      </w:r>
      <w:r w:rsidR="0051625C">
        <w:rPr>
          <w:rFonts w:cs="Arial"/>
          <w:szCs w:val="24"/>
        </w:rPr>
        <w:fldChar w:fldCharType="begin"/>
      </w:r>
      <w:r w:rsidR="00E7208F">
        <w:rPr>
          <w:rFonts w:cs="Arial"/>
          <w:szCs w:val="24"/>
        </w:rPr>
        <w:instrText xml:space="preserve"> ADDIN EN.CITE &lt;EndNote&gt;&lt;Cite&gt;&lt;Author&gt;Tallentire&lt;/Author&gt;&lt;Year&gt;2012&lt;/Year&gt;&lt;IDText&gt;The preparedness of UK graduates in acute care: a systematic literature review&lt;/IDText&gt;&lt;DisplayText&gt;(Tallentire et al., 2012b)&lt;/DisplayText&gt;&lt;record&gt;&lt;dates&gt;&lt;pub-dates&gt;&lt;date&gt;Jul&lt;/date&gt;&lt;/pub-dates&gt;&lt;year&gt;2012&lt;/year&gt;&lt;/dates&gt;&lt;keywords&gt;&lt;keyword&gt;Attitude of Health Personnel&lt;/keyword&gt;&lt;keyword&gt;Clinical Competence&lt;/keyword&gt;&lt;keyword&gt;Critical Care&lt;/keyword&gt;&lt;keyword&gt;Education, Medical, Graduate&lt;/keyword&gt;&lt;keyword&gt;Educational Measurement&lt;/keyword&gt;&lt;keyword&gt;Female&lt;/keyword&gt;&lt;keyword&gt;Great Britain&lt;/keyword&gt;&lt;keyword&gt;Humans&lt;/keyword&gt;&lt;keyword&gt;Judgment&lt;/keyword&gt;&lt;keyword&gt;Male&lt;/keyword&gt;&lt;keyword&gt;Students, Medical&lt;/keyword&gt;&lt;keyword&gt;Surveys and Questionnaires&lt;/keyword&gt;&lt;/keywords&gt;&lt;urls&gt;&lt;related-urls&gt;&lt;url&gt;http://www.ncbi.nlm.nih.gov/pubmed/22167809&lt;/url&gt;&lt;/related-urls&gt;&lt;/urls&gt;&lt;isbn&gt;1469-0756&lt;/isbn&gt;&lt;titles&gt;&lt;title&gt;The preparedness of UK graduates in acute care: a systematic literature review&lt;/title&gt;&lt;secondary-title&gt;Postgrad Med J&lt;/secondary-title&gt;&lt;/titles&gt;&lt;pages&gt;365-71&lt;/pages&gt;&lt;number&gt;1041&lt;/number&gt;&lt;contributors&gt;&lt;authors&gt;&lt;author&gt;Tallentire, V. R.&lt;/author&gt;&lt;author&gt;Smith, S. E.&lt;/author&gt;&lt;author&gt;Skinner, J.&lt;/author&gt;&lt;author&gt;Cameron, H. S.&lt;/author&gt;&lt;/authors&gt;&lt;/contributors&gt;&lt;language&gt;eng&lt;/language&gt;&lt;added-date format="utc"&gt;1455617409&lt;/added-date&gt;&lt;ref-type name="Journal Article"&gt;17&lt;/ref-type&gt;&lt;rec-number&gt;163&lt;/rec-number&gt;&lt;last-updated-date format="utc"&gt;1455617409&lt;/last-updated-date&gt;&lt;accession-num&gt;22167809&lt;/accession-num&gt;&lt;electronic-resource-num&gt;10.1136/postgradmedj-2011-130232&lt;/electronic-resource-num&gt;&lt;volume&gt;88&lt;/volume&gt;&lt;/record&gt;&lt;/Cite&gt;&lt;/EndNote&gt;</w:instrText>
      </w:r>
      <w:r w:rsidR="0051625C">
        <w:rPr>
          <w:rFonts w:cs="Arial"/>
          <w:szCs w:val="24"/>
        </w:rPr>
        <w:fldChar w:fldCharType="separate"/>
      </w:r>
      <w:r w:rsidR="00E7208F">
        <w:rPr>
          <w:rFonts w:cs="Arial"/>
          <w:noProof/>
          <w:szCs w:val="24"/>
        </w:rPr>
        <w:t>(Tallentire et al., 2012b)</w:t>
      </w:r>
      <w:r w:rsidR="0051625C">
        <w:rPr>
          <w:rFonts w:cs="Arial"/>
          <w:szCs w:val="24"/>
        </w:rPr>
        <w:fldChar w:fldCharType="end"/>
      </w:r>
      <w:r w:rsidR="0051625C">
        <w:rPr>
          <w:rFonts w:cs="Arial"/>
          <w:szCs w:val="24"/>
        </w:rPr>
        <w:t xml:space="preserve">. </w:t>
      </w:r>
      <w:r w:rsidR="00260C40">
        <w:rPr>
          <w:rFonts w:cs="Arial"/>
          <w:szCs w:val="24"/>
        </w:rPr>
        <w:t>The scoring of confidence level is subjective</w:t>
      </w:r>
      <w:r w:rsidR="00D926D6">
        <w:rPr>
          <w:rFonts w:cs="Arial"/>
          <w:szCs w:val="24"/>
        </w:rPr>
        <w:t xml:space="preserve"> and</w:t>
      </w:r>
      <w:r w:rsidR="00A12C13">
        <w:rPr>
          <w:rFonts w:cs="Arial"/>
          <w:szCs w:val="24"/>
        </w:rPr>
        <w:t xml:space="preserve"> complex but being important for preparedn</w:t>
      </w:r>
      <w:r w:rsidR="00C70905">
        <w:rPr>
          <w:rFonts w:cs="Arial"/>
          <w:szCs w:val="24"/>
        </w:rPr>
        <w:t>ess</w:t>
      </w:r>
      <w:r w:rsidR="00AD4539">
        <w:rPr>
          <w:rFonts w:cs="Arial"/>
          <w:szCs w:val="24"/>
        </w:rPr>
        <w:t xml:space="preserve">, </w:t>
      </w:r>
      <w:r w:rsidR="00C70905">
        <w:rPr>
          <w:rFonts w:cs="Arial"/>
          <w:szCs w:val="24"/>
        </w:rPr>
        <w:t>warrants further exploration</w:t>
      </w:r>
      <w:r w:rsidR="00A12C13">
        <w:rPr>
          <w:rFonts w:cs="Arial"/>
          <w:szCs w:val="24"/>
        </w:rPr>
        <w:t xml:space="preserve">. </w:t>
      </w:r>
      <w:r w:rsidR="00260C40">
        <w:rPr>
          <w:rFonts w:cs="Arial"/>
          <w:szCs w:val="24"/>
        </w:rPr>
        <w:t xml:space="preserve"> </w:t>
      </w:r>
    </w:p>
    <w:p w14:paraId="13CA5E1D" w14:textId="368FE379" w:rsidR="00260C40" w:rsidRDefault="00C70905" w:rsidP="00260C40">
      <w:pPr>
        <w:rPr>
          <w:rFonts w:cs="Arial"/>
          <w:szCs w:val="24"/>
        </w:rPr>
      </w:pPr>
      <w:r>
        <w:rPr>
          <w:rFonts w:cs="Arial"/>
          <w:szCs w:val="24"/>
        </w:rPr>
        <w:fldChar w:fldCharType="begin"/>
      </w:r>
      <w:r w:rsidR="005823F4">
        <w:rPr>
          <w:rFonts w:cs="Arial"/>
          <w:szCs w:val="24"/>
        </w:rPr>
        <w:instrText xml:space="preserve"> ADDIN EN.CITE &lt;EndNote&gt;&lt;Cite&gt;&lt;Author&gt;Morgan&lt;/Author&gt;&lt;Year&gt;2002&lt;/Year&gt;&lt;IDText&gt;Comparison between medical students&amp;apos; experience, confidence and competence&lt;/IDText&gt;&lt;DisplayText&gt;(Morgan and Cleave-Hogg, 2002)&lt;/DisplayText&gt;&lt;record&gt;&lt;dates&gt;&lt;pub-dates&gt;&lt;date&gt;Jun&lt;/date&gt;&lt;/pub-dates&gt;&lt;year&gt;2002&lt;/year&gt;&lt;/dates&gt;&lt;urls&gt;&lt;related-urls&gt;&lt;url&gt;&amp;lt;Go to ISI&amp;gt;://WOS:000175907500010&lt;/url&gt;&lt;/related-urls&gt;&lt;/urls&gt;&lt;isbn&gt;0308-0110&lt;/isbn&gt;&lt;titles&gt;&lt;title&gt;Comparison between medical students&amp;apos; experience, confidence and competence&lt;/title&gt;&lt;secondary-title&gt;Medical Education&lt;/secondary-title&gt;&lt;/titles&gt;&lt;pages&gt;534-539&lt;/pages&gt;&lt;number&gt;6&lt;/number&gt;&lt;contributors&gt;&lt;authors&gt;&lt;author&gt;Morgan, P. J.&lt;/author&gt;&lt;author&gt;Cleave-Hogg, D.&lt;/author&gt;&lt;/authors&gt;&lt;/contributors&gt;&lt;added-date format="utc"&gt;1390842924&lt;/added-date&gt;&lt;ref-type name="Journal Article"&gt;17&lt;/ref-type&gt;&lt;rec-number&gt;21&lt;/rec-number&gt;&lt;last-updated-date format="utc"&gt;1390843746&lt;/last-updated-date&gt;&lt;accession-num&gt;WOS:000175907500010&lt;/accession-num&gt;&lt;electronic-resource-num&gt;10.1046/j.1365-2923.2002.01228.x&lt;/electronic-resource-num&gt;&lt;volume&gt;36&lt;/volume&gt;&lt;/record&gt;&lt;/Cite&gt;&lt;/EndNote&gt;</w:instrText>
      </w:r>
      <w:r>
        <w:rPr>
          <w:rFonts w:cs="Arial"/>
          <w:szCs w:val="24"/>
        </w:rPr>
        <w:fldChar w:fldCharType="separate"/>
      </w:r>
      <w:r w:rsidR="00E801FD">
        <w:rPr>
          <w:rFonts w:cs="Arial"/>
          <w:noProof/>
          <w:szCs w:val="24"/>
        </w:rPr>
        <w:t>Morgan and Cleave-Hogg</w:t>
      </w:r>
      <w:r w:rsidR="005823F4">
        <w:rPr>
          <w:rFonts w:cs="Arial"/>
          <w:noProof/>
          <w:szCs w:val="24"/>
        </w:rPr>
        <w:t xml:space="preserve"> </w:t>
      </w:r>
      <w:r w:rsidR="00E801FD">
        <w:rPr>
          <w:rFonts w:cs="Arial"/>
          <w:noProof/>
          <w:szCs w:val="24"/>
        </w:rPr>
        <w:t>(</w:t>
      </w:r>
      <w:r w:rsidR="005823F4">
        <w:rPr>
          <w:rFonts w:cs="Arial"/>
          <w:noProof/>
          <w:szCs w:val="24"/>
        </w:rPr>
        <w:t>2002)</w:t>
      </w:r>
      <w:r>
        <w:rPr>
          <w:rFonts w:cs="Arial"/>
          <w:szCs w:val="24"/>
        </w:rPr>
        <w:fldChar w:fldCharType="end"/>
      </w:r>
      <w:r>
        <w:rPr>
          <w:rFonts w:cs="Arial"/>
          <w:szCs w:val="24"/>
        </w:rPr>
        <w:t xml:space="preserve"> </w:t>
      </w:r>
      <w:r w:rsidR="00260C40">
        <w:rPr>
          <w:rFonts w:cs="Arial"/>
          <w:szCs w:val="24"/>
        </w:rPr>
        <w:t xml:space="preserve">looked </w:t>
      </w:r>
      <w:r w:rsidR="000A27DF">
        <w:rPr>
          <w:rFonts w:cs="Arial"/>
          <w:szCs w:val="24"/>
        </w:rPr>
        <w:t>into</w:t>
      </w:r>
      <w:r w:rsidR="00260C40">
        <w:rPr>
          <w:rFonts w:cs="Arial"/>
          <w:szCs w:val="24"/>
        </w:rPr>
        <w:t xml:space="preserve"> whether clinical experience and student levels of confidence were indicators of competence using simulators</w:t>
      </w:r>
      <w:r>
        <w:rPr>
          <w:rFonts w:cs="Arial"/>
          <w:szCs w:val="24"/>
        </w:rPr>
        <w:t xml:space="preserve">. </w:t>
      </w:r>
      <w:r w:rsidR="003E7173">
        <w:rPr>
          <w:rFonts w:cs="Arial"/>
          <w:szCs w:val="24"/>
        </w:rPr>
        <w:t>They</w:t>
      </w:r>
      <w:r w:rsidR="00260C40">
        <w:rPr>
          <w:rFonts w:cs="Arial"/>
          <w:szCs w:val="24"/>
        </w:rPr>
        <w:t xml:space="preserve"> found good correlation between clinical experience and confidence but no correlation between experience, confidence and performance. Some of the tasks (e.g. intubation) could be seen as inappropriate for medical students</w:t>
      </w:r>
      <w:r w:rsidR="006424DA">
        <w:rPr>
          <w:rFonts w:cs="Arial"/>
          <w:szCs w:val="24"/>
        </w:rPr>
        <w:t xml:space="preserve">. The lack of correlation was </w:t>
      </w:r>
      <w:r w:rsidR="00A10E3B">
        <w:rPr>
          <w:rFonts w:cs="Arial"/>
          <w:szCs w:val="24"/>
        </w:rPr>
        <w:t xml:space="preserve">felt to be </w:t>
      </w:r>
      <w:r w:rsidR="00260C40">
        <w:rPr>
          <w:rFonts w:cs="Arial"/>
          <w:szCs w:val="24"/>
        </w:rPr>
        <w:t xml:space="preserve">due to a lack of validity of the examination itself </w:t>
      </w:r>
      <w:r w:rsidR="00260C40">
        <w:rPr>
          <w:rFonts w:cs="Arial"/>
          <w:szCs w:val="24"/>
        </w:rPr>
        <w:fldChar w:fldCharType="begin">
          <w:fldData xml:space="preserve">PEVuZE5vdGU+PENpdGU+PEF1dGhvcj5NY01hbnVzPC9BdXRob3I+PFllYXI+MTk5ODwvWWVhcj48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</w:fldData>
        </w:fldChar>
      </w:r>
      <w:r w:rsidR="00D41659">
        <w:rPr>
          <w:rFonts w:cs="Arial"/>
          <w:szCs w:val="24"/>
        </w:rPr>
        <w:instrText xml:space="preserve"> ADDIN EN.CITE </w:instrText>
      </w:r>
      <w:r w:rsidR="00D41659">
        <w:rPr>
          <w:rFonts w:cs="Arial"/>
          <w:szCs w:val="24"/>
        </w:rPr>
        <w:fldChar w:fldCharType="begin">
          <w:fldData xml:space="preserve">PEVuZE5vdGU+PENpdGU+PEF1dGhvcj5NY01hbnVzPC9BdXRob3I+PFllYXI+MTk5ODwvWWVhcj48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</w:fldData>
        </w:fldChar>
      </w:r>
      <w:r w:rsidR="00D41659">
        <w:rPr>
          <w:rFonts w:cs="Arial"/>
          <w:szCs w:val="24"/>
        </w:rPr>
        <w:instrText xml:space="preserve"> ADDIN EN.CITE.DATA </w:instrText>
      </w:r>
      <w:r w:rsidR="00D41659">
        <w:rPr>
          <w:rFonts w:cs="Arial"/>
          <w:szCs w:val="24"/>
        </w:rPr>
      </w:r>
      <w:r w:rsidR="00D41659">
        <w:rPr>
          <w:rFonts w:cs="Arial"/>
          <w:szCs w:val="24"/>
        </w:rPr>
        <w:fldChar w:fldCharType="end"/>
      </w:r>
      <w:r w:rsidR="00260C40">
        <w:rPr>
          <w:rFonts w:cs="Arial"/>
          <w:szCs w:val="24"/>
        </w:rPr>
      </w:r>
      <w:r w:rsidR="00260C40">
        <w:rPr>
          <w:rFonts w:cs="Arial"/>
          <w:szCs w:val="24"/>
        </w:rPr>
        <w:fldChar w:fldCharType="separate"/>
      </w:r>
      <w:r w:rsidR="006424DA">
        <w:rPr>
          <w:rFonts w:cs="Arial"/>
          <w:noProof/>
          <w:szCs w:val="24"/>
        </w:rPr>
        <w:t>(McManus et al., 1998b, McManus et al., 1998a)</w:t>
      </w:r>
      <w:r w:rsidR="00260C40">
        <w:rPr>
          <w:rFonts w:cs="Arial"/>
          <w:szCs w:val="24"/>
        </w:rPr>
        <w:fldChar w:fldCharType="end"/>
      </w:r>
      <w:r w:rsidR="00260C40">
        <w:rPr>
          <w:rFonts w:cs="Arial"/>
          <w:szCs w:val="24"/>
        </w:rPr>
        <w:t xml:space="preserve"> and, or due to quality of the learning through debriefing, instructor enthusiasm and the relevance the medical students have placed on the skills. </w:t>
      </w:r>
    </w:p>
    <w:p w14:paraId="5E552BD1" w14:textId="5AAAE27D" w:rsidR="00260C40" w:rsidRDefault="00260C40" w:rsidP="00260C40">
      <w:pPr>
        <w:rPr>
          <w:rFonts w:cs="Arial"/>
          <w:szCs w:val="24"/>
        </w:rPr>
      </w:pPr>
      <w:r>
        <w:rPr>
          <w:rFonts w:cs="Arial"/>
          <w:szCs w:val="24"/>
        </w:rPr>
        <w:lastRenderedPageBreak/>
        <w:t xml:space="preserve">The </w:t>
      </w:r>
      <w:r w:rsidR="00A10E3B">
        <w:rPr>
          <w:rFonts w:cs="Arial"/>
          <w:szCs w:val="24"/>
        </w:rPr>
        <w:t>importance</w:t>
      </w:r>
      <w:r>
        <w:rPr>
          <w:rFonts w:cs="Arial"/>
          <w:szCs w:val="24"/>
        </w:rPr>
        <w:t xml:space="preserve"> of </w:t>
      </w:r>
      <w:r w:rsidR="00A10E3B">
        <w:rPr>
          <w:rFonts w:cs="Arial"/>
          <w:szCs w:val="24"/>
        </w:rPr>
        <w:t xml:space="preserve">experience through </w:t>
      </w:r>
      <w:r>
        <w:rPr>
          <w:rFonts w:cs="Arial"/>
          <w:szCs w:val="24"/>
        </w:rPr>
        <w:t>repeated exposure and deliberate practice</w:t>
      </w:r>
      <w:r w:rsidR="00A10E3B">
        <w:rPr>
          <w:rFonts w:cs="Arial"/>
          <w:szCs w:val="24"/>
        </w:rPr>
        <w:t xml:space="preserve"> on confidence and performance</w:t>
      </w:r>
      <w:r>
        <w:rPr>
          <w:rFonts w:cs="Arial"/>
          <w:szCs w:val="24"/>
        </w:rPr>
        <w:t xml:space="preserve"> is e</w:t>
      </w:r>
      <w:r w:rsidR="00A10E3B">
        <w:rPr>
          <w:rFonts w:cs="Arial"/>
          <w:szCs w:val="24"/>
        </w:rPr>
        <w:t>mphasised</w:t>
      </w:r>
      <w:r>
        <w:rPr>
          <w:rFonts w:cs="Arial"/>
          <w:szCs w:val="24"/>
        </w:rPr>
        <w:t xml:space="preserve"> by</w:t>
      </w:r>
      <w:r w:rsidR="00A10E3B">
        <w:rPr>
          <w:rFonts w:cs="Arial"/>
          <w:szCs w:val="24"/>
        </w:rPr>
        <w:t xml:space="preserve"> </w:t>
      </w:r>
      <w:r w:rsidR="006424DA">
        <w:rPr>
          <w:rFonts w:cs="Arial"/>
          <w:szCs w:val="24"/>
        </w:rPr>
        <w:fldChar w:fldCharType="begin"/>
      </w:r>
      <w:r w:rsidR="005A1E45">
        <w:rPr>
          <w:rFonts w:cs="Arial"/>
          <w:szCs w:val="24"/>
        </w:rPr>
        <w:instrText xml:space="preserve"> ADDIN EN.CITE &lt;EndNote&gt;&lt;Cite&gt;&lt;Author&gt;Avisar&lt;/Author&gt;&lt;Year&gt;2013&lt;/Year&gt;&lt;IDText&gt;Cardiopulmonary Resuscitation Skills Retention and Self-Confidence of Preclinical Medical Students&lt;/IDText&gt;&lt;DisplayText&gt;(Avisar et al., 2013)&lt;/DisplayText&gt;&lt;record&gt;&lt;dates&gt;&lt;pub-dates&gt;&lt;date&gt;Oct&lt;/date&gt;&lt;/pub-dates&gt;&lt;year&gt;2013&lt;/year&gt;&lt;/dates&gt;&lt;urls&gt;&lt;related-urls&gt;&lt;url&gt;&amp;lt;Go to ISI&amp;gt;://WOS:000326560800006&lt;/url&gt;&lt;/related-urls&gt;&lt;/urls&gt;&lt;isbn&gt;1565-1088&lt;/isbn&gt;&lt;titles&gt;&lt;title&gt;Cardiopulmonary Resuscitation Skills Retention and Self-Confidence of Preclinical Medical Students&lt;/title&gt;&lt;secondary-title&gt;Israel Medical Association Journal&lt;/secondary-title&gt;&lt;/titles&gt;&lt;pages&gt;622-627&lt;/pages&gt;&lt;number&gt;10&lt;/number&gt;&lt;contributors&gt;&lt;authors&gt;&lt;author&gt;Avisar, L.&lt;/author&gt;&lt;author&gt;Shiyovich, A.&lt;/author&gt;&lt;author&gt;Aharonson-Daniel, L.&lt;/author&gt;&lt;author&gt;Nesher, L.&lt;/author&gt;&lt;/authors&gt;&lt;/contributors&gt;&lt;added-date format="utc"&gt;1391097362&lt;/added-date&gt;&lt;ref-type name="Journal Article"&gt;17&lt;/ref-type&gt;&lt;rec-number&gt;53&lt;/rec-number&gt;&lt;last-updated-date format="utc"&gt;1391171448&lt;/last-updated-date&gt;&lt;accession-num&gt;WOS:000326560800006&lt;/accession-num&gt;&lt;volume&gt;15&lt;/volume&gt;&lt;/record&gt;&lt;/Cite&gt;&lt;/EndNote&gt;</w:instrText>
      </w:r>
      <w:r w:rsidR="006424DA">
        <w:rPr>
          <w:rFonts w:cs="Arial"/>
          <w:szCs w:val="24"/>
        </w:rPr>
        <w:fldChar w:fldCharType="separate"/>
      </w:r>
      <w:r w:rsidR="00DF1E84">
        <w:rPr>
          <w:rFonts w:cs="Arial"/>
          <w:noProof/>
          <w:szCs w:val="24"/>
        </w:rPr>
        <w:t>Avisar et al.</w:t>
      </w:r>
      <w:r w:rsidR="005A1E45">
        <w:rPr>
          <w:rFonts w:cs="Arial"/>
          <w:noProof/>
          <w:szCs w:val="24"/>
        </w:rPr>
        <w:t xml:space="preserve"> </w:t>
      </w:r>
      <w:r w:rsidR="00DF1E84">
        <w:rPr>
          <w:rFonts w:cs="Arial"/>
          <w:noProof/>
          <w:szCs w:val="24"/>
        </w:rPr>
        <w:t>(</w:t>
      </w:r>
      <w:r w:rsidR="005A1E45">
        <w:rPr>
          <w:rFonts w:cs="Arial"/>
          <w:noProof/>
          <w:szCs w:val="24"/>
        </w:rPr>
        <w:t>2013)</w:t>
      </w:r>
      <w:r w:rsidR="006424DA">
        <w:rPr>
          <w:rFonts w:cs="Arial"/>
          <w:szCs w:val="24"/>
        </w:rPr>
        <w:fldChar w:fldCharType="end"/>
      </w:r>
      <w:r>
        <w:rPr>
          <w:rFonts w:cs="Arial"/>
          <w:szCs w:val="24"/>
        </w:rPr>
        <w:t xml:space="preserve">. </w:t>
      </w:r>
      <w:r w:rsidR="003E7173">
        <w:rPr>
          <w:rFonts w:cs="Arial"/>
          <w:szCs w:val="24"/>
        </w:rPr>
        <w:t>M</w:t>
      </w:r>
      <w:r>
        <w:rPr>
          <w:rFonts w:cs="Arial"/>
          <w:szCs w:val="24"/>
        </w:rPr>
        <w:t xml:space="preserve">edical students </w:t>
      </w:r>
      <w:r w:rsidR="00D9484C">
        <w:rPr>
          <w:rFonts w:cs="Arial"/>
          <w:szCs w:val="24"/>
        </w:rPr>
        <w:t>two</w:t>
      </w:r>
      <w:r>
        <w:rPr>
          <w:rFonts w:cs="Arial"/>
          <w:szCs w:val="24"/>
        </w:rPr>
        <w:t xml:space="preserve"> years on from</w:t>
      </w:r>
      <w:r w:rsidR="003E7173">
        <w:rPr>
          <w:rFonts w:cs="Arial"/>
          <w:szCs w:val="24"/>
        </w:rPr>
        <w:t xml:space="preserve"> </w:t>
      </w:r>
      <w:r w:rsidR="00693688">
        <w:rPr>
          <w:rFonts w:cs="Arial"/>
          <w:szCs w:val="24"/>
        </w:rPr>
        <w:t>resuscitation</w:t>
      </w:r>
      <w:r>
        <w:rPr>
          <w:rFonts w:cs="Arial"/>
          <w:szCs w:val="24"/>
        </w:rPr>
        <w:t xml:space="preserve"> training versus </w:t>
      </w:r>
      <w:r w:rsidR="00D9484C">
        <w:rPr>
          <w:rFonts w:cs="Arial"/>
          <w:szCs w:val="24"/>
        </w:rPr>
        <w:t>one</w:t>
      </w:r>
      <w:r>
        <w:rPr>
          <w:rFonts w:cs="Arial"/>
          <w:szCs w:val="24"/>
        </w:rPr>
        <w:t xml:space="preserve"> year</w:t>
      </w:r>
      <w:r w:rsidR="00D9484C">
        <w:rPr>
          <w:rFonts w:cs="Arial"/>
          <w:szCs w:val="24"/>
        </w:rPr>
        <w:t xml:space="preserve"> on</w:t>
      </w:r>
      <w:r w:rsidR="003E7173">
        <w:rPr>
          <w:rFonts w:cs="Arial"/>
          <w:szCs w:val="24"/>
        </w:rPr>
        <w:t>,</w:t>
      </w:r>
      <w:r>
        <w:rPr>
          <w:rFonts w:cs="Arial"/>
          <w:szCs w:val="24"/>
        </w:rPr>
        <w:t xml:space="preserve"> were found to be less prepared</w:t>
      </w:r>
      <w:r w:rsidR="00D9484C">
        <w:rPr>
          <w:rFonts w:cs="Arial"/>
          <w:szCs w:val="24"/>
        </w:rPr>
        <w:t xml:space="preserve"> and</w:t>
      </w:r>
      <w:r>
        <w:rPr>
          <w:rFonts w:cs="Arial"/>
          <w:szCs w:val="24"/>
        </w:rPr>
        <w:t xml:space="preserve"> less confident</w:t>
      </w:r>
      <w:r w:rsidR="003E7173">
        <w:rPr>
          <w:rFonts w:cs="Arial"/>
          <w:szCs w:val="24"/>
        </w:rPr>
        <w:t xml:space="preserve"> with worse</w:t>
      </w:r>
      <w:r>
        <w:rPr>
          <w:rFonts w:cs="Arial"/>
          <w:szCs w:val="24"/>
        </w:rPr>
        <w:t xml:space="preserve"> perform</w:t>
      </w:r>
      <w:r w:rsidR="003E7173">
        <w:rPr>
          <w:rFonts w:cs="Arial"/>
          <w:szCs w:val="24"/>
        </w:rPr>
        <w:t>ance</w:t>
      </w:r>
      <w:r>
        <w:rPr>
          <w:rFonts w:cs="Arial"/>
          <w:szCs w:val="24"/>
        </w:rPr>
        <w:t xml:space="preserve"> </w:t>
      </w:r>
      <w:r>
        <w:rPr>
          <w:rFonts w:cs="Arial"/>
          <w:szCs w:val="24"/>
        </w:rPr>
        <w:fldChar w:fldCharType="begin"/>
      </w:r>
      <w:r w:rsidR="00D41659">
        <w:rPr>
          <w:rFonts w:cs="Arial"/>
          <w:szCs w:val="24"/>
        </w:rPr>
        <w:instrText xml:space="preserve"> ADDIN EN.CITE &lt;EndNote&gt;&lt;Cite&gt;&lt;Author&gt;Avisar&lt;/Author&gt;&lt;Year&gt;2013&lt;/Year&gt;&lt;IDText&gt;Cardiopulmonary Resuscitation Skills Retention and Self-Confidence of Preclinical Medical Students&lt;/IDText&gt;&lt;DisplayText&gt;(Avisar et al., 2013)&lt;/DisplayText&gt;&lt;record&gt;&lt;dates&gt;&lt;pub-dates&gt;&lt;date&gt;Oct&lt;/date&gt;&lt;/pub-dates&gt;&lt;year&gt;2013&lt;/year&gt;&lt;/dates&gt;&lt;isbn&gt;1565-1088&lt;/isbn&gt;&lt;titles&gt;&lt;title&gt;Cardiopulmonary Resuscitation Skills Retention and Self-Confidence of Preclinical Medical Students&lt;/title&gt;&lt;secondary-title&gt;Israel Medical Association Journal&lt;/secondary-title&gt;&lt;/titles&gt;&lt;pages&gt;622-627&lt;/pages&gt;&lt;number&gt;10&lt;/number&gt;&lt;contributors&gt;&lt;authors&gt;&lt;author&gt;Avisar, L.&lt;/author&gt;&lt;author&gt;Shiyovich, A.&lt;/author&gt;&lt;author&gt;Aharonson-Daniel, L.&lt;/author&gt;&lt;author&gt;Nesher, L.&lt;/author&gt;&lt;/authors&gt;&lt;/contributors&gt;&lt;added-date format="utc"&gt;1391097362&lt;/added-date&gt;&lt;ref-type name="Journal Article"&gt;17&lt;/ref-type&gt;&lt;rec-number&gt;53&lt;/rec-number&gt;&lt;last-updated-date format="utc"&gt;1391171448&lt;/last-updated-date&gt;&lt;accession-num&gt;WOS:000326560800006&lt;/accession-num&gt;&lt;volume&gt;15&lt;/volume&gt;&lt;/record&gt;&lt;/Cite&gt;&lt;/EndNote&gt;</w:instrText>
      </w:r>
      <w:r>
        <w:rPr>
          <w:rFonts w:cs="Arial"/>
          <w:szCs w:val="24"/>
        </w:rPr>
        <w:fldChar w:fldCharType="separate"/>
      </w:r>
      <w:r w:rsidR="00707662">
        <w:rPr>
          <w:rFonts w:cs="Arial"/>
          <w:noProof/>
          <w:szCs w:val="24"/>
        </w:rPr>
        <w:t>(Avisar et al., 2013)</w:t>
      </w:r>
      <w:r>
        <w:rPr>
          <w:rFonts w:cs="Arial"/>
          <w:szCs w:val="24"/>
        </w:rPr>
        <w:fldChar w:fldCharType="end"/>
      </w:r>
      <w:r>
        <w:rPr>
          <w:rFonts w:cs="Arial"/>
          <w:szCs w:val="24"/>
        </w:rPr>
        <w:t xml:space="preserve">. </w:t>
      </w:r>
      <w:r w:rsidR="00D9484C">
        <w:rPr>
          <w:rFonts w:cs="Arial"/>
          <w:szCs w:val="24"/>
        </w:rPr>
        <w:t>Follow-</w:t>
      </w:r>
      <w:r w:rsidR="003E7173">
        <w:rPr>
          <w:rFonts w:cs="Arial"/>
          <w:szCs w:val="24"/>
        </w:rPr>
        <w:t xml:space="preserve">up over time appears important. </w:t>
      </w:r>
    </w:p>
    <w:p w14:paraId="3569A499" w14:textId="56486BF4" w:rsidR="006645F3" w:rsidRDefault="006C7331" w:rsidP="00260C40">
      <w:pPr>
        <w:rPr>
          <w:rFonts w:cs="Arial"/>
          <w:szCs w:val="24"/>
        </w:rPr>
      </w:pPr>
      <w:r>
        <w:rPr>
          <w:rFonts w:cs="Arial"/>
          <w:szCs w:val="24"/>
        </w:rPr>
        <w:fldChar w:fldCharType="begin">
          <w:fldData xml:space="preserve">PEVuZE5vdGU+PENpdGU+PEF1dGhvcj5Ib3BwZTwvQXV0aG9yPjxZZWFyPjIwMDk8L1llYXI+PElE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</w:fldData>
        </w:fldChar>
      </w:r>
      <w:r w:rsidR="005823F4">
        <w:rPr>
          <w:rFonts w:cs="Arial"/>
          <w:szCs w:val="24"/>
        </w:rPr>
        <w:instrText xml:space="preserve"> ADDIN EN.CITE </w:instrText>
      </w:r>
      <w:r w:rsidR="005823F4">
        <w:rPr>
          <w:rFonts w:cs="Arial"/>
          <w:szCs w:val="24"/>
        </w:rPr>
        <w:fldChar w:fldCharType="begin">
          <w:fldData xml:space="preserve">PEVuZE5vdGU+PENpdGU+PEF1dGhvcj5Ib3BwZTwvQXV0aG9yPjxZZWFyPjIwMDk8L1llYXI+PElE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</w:fldData>
        </w:fldChar>
      </w:r>
      <w:r w:rsidR="005823F4">
        <w:rPr>
          <w:rFonts w:cs="Arial"/>
          <w:szCs w:val="24"/>
        </w:rPr>
        <w:instrText xml:space="preserve"> ADDIN EN.CITE.DATA </w:instrText>
      </w:r>
      <w:r w:rsidR="005823F4">
        <w:rPr>
          <w:rFonts w:cs="Arial"/>
          <w:szCs w:val="24"/>
        </w:rPr>
      </w:r>
      <w:r w:rsidR="005823F4">
        <w:rPr>
          <w:rFonts w:cs="Arial"/>
          <w:szCs w:val="24"/>
        </w:rPr>
        <w:fldChar w:fldCharType="end"/>
      </w:r>
      <w:r>
        <w:rPr>
          <w:rFonts w:cs="Arial"/>
          <w:szCs w:val="24"/>
        </w:rPr>
      </w:r>
      <w:r>
        <w:rPr>
          <w:rFonts w:cs="Arial"/>
          <w:szCs w:val="24"/>
        </w:rPr>
        <w:fldChar w:fldCharType="separate"/>
      </w:r>
      <w:r w:rsidR="00FE7960">
        <w:rPr>
          <w:rFonts w:cs="Arial"/>
          <w:noProof/>
          <w:szCs w:val="24"/>
        </w:rPr>
        <w:t>Hoppe et al.</w:t>
      </w:r>
      <w:r w:rsidR="005823F4">
        <w:rPr>
          <w:rFonts w:cs="Arial"/>
          <w:noProof/>
          <w:szCs w:val="24"/>
        </w:rPr>
        <w:t xml:space="preserve"> </w:t>
      </w:r>
      <w:r w:rsidR="00FE7960">
        <w:rPr>
          <w:rFonts w:cs="Arial"/>
          <w:noProof/>
          <w:szCs w:val="24"/>
        </w:rPr>
        <w:t>(</w:t>
      </w:r>
      <w:r w:rsidR="005823F4">
        <w:rPr>
          <w:rFonts w:cs="Arial"/>
          <w:noProof/>
          <w:szCs w:val="24"/>
        </w:rPr>
        <w:t>2009)</w:t>
      </w:r>
      <w:r>
        <w:rPr>
          <w:rFonts w:cs="Arial"/>
          <w:szCs w:val="24"/>
        </w:rPr>
        <w:fldChar w:fldCharType="end"/>
      </w:r>
      <w:r>
        <w:rPr>
          <w:rFonts w:cs="Arial"/>
          <w:szCs w:val="24"/>
        </w:rPr>
        <w:t xml:space="preserve"> </w:t>
      </w:r>
      <w:r w:rsidR="003E7173">
        <w:rPr>
          <w:rFonts w:cs="Arial"/>
          <w:szCs w:val="24"/>
        </w:rPr>
        <w:t xml:space="preserve">highlight the importance of subjective assessment and </w:t>
      </w:r>
      <w:r w:rsidR="006127A3">
        <w:rPr>
          <w:rFonts w:cs="Arial"/>
          <w:szCs w:val="24"/>
        </w:rPr>
        <w:t xml:space="preserve">demonstrate a </w:t>
      </w:r>
      <w:r w:rsidR="00B02FE7">
        <w:rPr>
          <w:rFonts w:cs="Arial"/>
          <w:szCs w:val="24"/>
        </w:rPr>
        <w:t xml:space="preserve">link between </w:t>
      </w:r>
      <w:proofErr w:type="spellStart"/>
      <w:r w:rsidR="00DD1567">
        <w:rPr>
          <w:rFonts w:cs="Arial"/>
          <w:szCs w:val="24"/>
        </w:rPr>
        <w:t>self perceived</w:t>
      </w:r>
      <w:proofErr w:type="spellEnd"/>
      <w:r w:rsidR="00DD1567">
        <w:rPr>
          <w:rFonts w:cs="Arial"/>
          <w:szCs w:val="24"/>
        </w:rPr>
        <w:t xml:space="preserve"> </w:t>
      </w:r>
      <w:r w:rsidR="00B02FE7">
        <w:rPr>
          <w:rFonts w:cs="Arial"/>
          <w:szCs w:val="24"/>
        </w:rPr>
        <w:t xml:space="preserve">satisfaction and </w:t>
      </w:r>
      <w:r w:rsidR="006127A3">
        <w:rPr>
          <w:rFonts w:cs="Arial"/>
          <w:szCs w:val="24"/>
        </w:rPr>
        <w:t xml:space="preserve">clinical </w:t>
      </w:r>
      <w:r w:rsidR="00B02FE7">
        <w:rPr>
          <w:rFonts w:cs="Arial"/>
          <w:szCs w:val="24"/>
        </w:rPr>
        <w:t xml:space="preserve">skills acquired </w:t>
      </w:r>
      <w:r w:rsidR="006127A3">
        <w:rPr>
          <w:rFonts w:cs="Arial"/>
          <w:szCs w:val="24"/>
        </w:rPr>
        <w:t>during undergraduate medical education</w:t>
      </w:r>
      <w:r w:rsidR="003E7173">
        <w:rPr>
          <w:rFonts w:cs="Arial"/>
          <w:szCs w:val="24"/>
        </w:rPr>
        <w:t xml:space="preserve">. </w:t>
      </w:r>
      <w:r>
        <w:rPr>
          <w:rFonts w:cs="Arial"/>
          <w:szCs w:val="24"/>
        </w:rPr>
        <w:fldChar w:fldCharType="begin"/>
      </w:r>
      <w:r w:rsidR="005823F4">
        <w:rPr>
          <w:rFonts w:cs="Arial"/>
          <w:szCs w:val="24"/>
        </w:rPr>
        <w:instrText xml:space="preserve"> ADDIN EN.CITE &lt;EndNote&gt;&lt;Cite&gt;&lt;Author&gt;Gordon&lt;/Author&gt;&lt;Year&gt;1991&lt;/Year&gt;&lt;IDText&gt;A review of the validity and accuracy of self-assessments in health professions training&lt;/IDText&gt;&lt;DisplayText&gt;(Gordon, 1991)&lt;/DisplayText&gt;&lt;record&gt;&lt;dates&gt;&lt;pub-dates&gt;&lt;date&gt;Dec&lt;/date&gt;&lt;/pub-dates&gt;&lt;year&gt;1991&lt;/year&gt;&lt;/dates&gt;&lt;keywords&gt;&lt;keyword&gt;Health Personnel&lt;/keyword&gt;&lt;keyword&gt;Reproducibility of Results&lt;/keyword&gt;&lt;keyword&gt;Self-Assessment&lt;/keyword&gt;&lt;keyword&gt;Self-Evaluation Programs&lt;/keyword&gt;&lt;/keywords&gt;&lt;urls&gt;&lt;related-urls&gt;&lt;url&gt;http://www.ncbi.nlm.nih.gov/pubmed/1750956&lt;/url&gt;&lt;/related-urls&gt;&lt;/urls&gt;&lt;isbn&gt;1040-2446&lt;/isbn&gt;&lt;titles&gt;&lt;title&gt;A review of the validity and accuracy of self-assessments in health professions training&lt;/title&gt;&lt;secondary-title&gt;Acad Med&lt;/secondary-title&gt;&lt;/titles&gt;&lt;pages&gt;762-9&lt;/pages&gt;&lt;number&gt;12&lt;/number&gt;&lt;contributors&gt;&lt;authors&gt;&lt;author&gt;Gordon, M. J.&lt;/author&gt;&lt;/authors&gt;&lt;/contributors&gt;&lt;language&gt;eng&lt;/language&gt;&lt;added-date format="utc"&gt;1456825068&lt;/added-date&gt;&lt;ref-type name="Journal Article"&gt;17&lt;/ref-type&gt;&lt;rec-number&gt;200&lt;/rec-number&gt;&lt;last-updated-date format="utc"&gt;1456825068&lt;/last-updated-date&gt;&lt;accession-num&gt;1750956&lt;/accession-num&gt;&lt;volume&gt;66&lt;/volume&gt;&lt;/record&gt;&lt;/Cite&gt;&lt;/EndNote&gt;</w:instrText>
      </w:r>
      <w:r>
        <w:rPr>
          <w:rFonts w:cs="Arial"/>
          <w:szCs w:val="24"/>
        </w:rPr>
        <w:fldChar w:fldCharType="separate"/>
      </w:r>
      <w:r w:rsidR="00E22423">
        <w:rPr>
          <w:rFonts w:cs="Arial"/>
          <w:noProof/>
          <w:szCs w:val="24"/>
        </w:rPr>
        <w:t>Gordon</w:t>
      </w:r>
      <w:r w:rsidR="005823F4">
        <w:rPr>
          <w:rFonts w:cs="Arial"/>
          <w:noProof/>
          <w:szCs w:val="24"/>
        </w:rPr>
        <w:t xml:space="preserve"> </w:t>
      </w:r>
      <w:r w:rsidR="00E22423">
        <w:rPr>
          <w:rFonts w:cs="Arial"/>
          <w:noProof/>
          <w:szCs w:val="24"/>
        </w:rPr>
        <w:t>(</w:t>
      </w:r>
      <w:r w:rsidR="005823F4">
        <w:rPr>
          <w:rFonts w:cs="Arial"/>
          <w:noProof/>
          <w:szCs w:val="24"/>
        </w:rPr>
        <w:t>1991)</w:t>
      </w:r>
      <w:r>
        <w:rPr>
          <w:rFonts w:cs="Arial"/>
          <w:szCs w:val="24"/>
        </w:rPr>
        <w:fldChar w:fldCharType="end"/>
      </w:r>
      <w:r w:rsidR="005A1E45">
        <w:rPr>
          <w:rFonts w:cs="Arial"/>
          <w:szCs w:val="24"/>
        </w:rPr>
        <w:t xml:space="preserve"> </w:t>
      </w:r>
      <w:r>
        <w:rPr>
          <w:rFonts w:cs="Arial"/>
          <w:szCs w:val="24"/>
        </w:rPr>
        <w:t xml:space="preserve"> </w:t>
      </w:r>
      <w:r w:rsidR="00E03B8D">
        <w:rPr>
          <w:rFonts w:cs="Arial"/>
          <w:szCs w:val="24"/>
        </w:rPr>
        <w:t xml:space="preserve">states </w:t>
      </w:r>
      <w:r w:rsidR="00C96BE5">
        <w:rPr>
          <w:rFonts w:cs="Arial"/>
          <w:szCs w:val="24"/>
        </w:rPr>
        <w:t>that</w:t>
      </w:r>
      <w:r w:rsidR="00E03B8D">
        <w:rPr>
          <w:rFonts w:cs="Arial"/>
          <w:szCs w:val="24"/>
        </w:rPr>
        <w:t xml:space="preserve"> ‘valid</w:t>
      </w:r>
      <w:r w:rsidR="00C96BE5">
        <w:rPr>
          <w:rFonts w:cs="Arial"/>
          <w:szCs w:val="24"/>
        </w:rPr>
        <w:t xml:space="preserve"> self-assessment </w:t>
      </w:r>
      <w:r w:rsidR="00E03B8D">
        <w:rPr>
          <w:rFonts w:cs="Arial"/>
          <w:szCs w:val="24"/>
        </w:rPr>
        <w:t>is fundamental to continuing professional competence’</w:t>
      </w:r>
      <w:r w:rsidR="00D9484C">
        <w:rPr>
          <w:rFonts w:cs="Arial"/>
          <w:szCs w:val="24"/>
        </w:rPr>
        <w:t>,</w:t>
      </w:r>
      <w:r w:rsidR="00E03B8D">
        <w:rPr>
          <w:rFonts w:cs="Arial"/>
          <w:szCs w:val="24"/>
        </w:rPr>
        <w:t xml:space="preserve"> but reports that self-assessment may not represent</w:t>
      </w:r>
      <w:r w:rsidR="00C96BE5">
        <w:rPr>
          <w:rFonts w:cs="Arial"/>
          <w:szCs w:val="24"/>
        </w:rPr>
        <w:t xml:space="preserve"> </w:t>
      </w:r>
      <w:r w:rsidR="00E03B8D">
        <w:rPr>
          <w:rFonts w:cs="Arial"/>
          <w:szCs w:val="24"/>
        </w:rPr>
        <w:t xml:space="preserve">actual </w:t>
      </w:r>
      <w:r w:rsidR="00C96BE5">
        <w:rPr>
          <w:rFonts w:cs="Arial"/>
          <w:szCs w:val="24"/>
        </w:rPr>
        <w:t>performance</w:t>
      </w:r>
      <w:r>
        <w:rPr>
          <w:rFonts w:cs="Arial"/>
          <w:szCs w:val="24"/>
        </w:rPr>
        <w:t xml:space="preserve">. </w:t>
      </w:r>
      <w:r w:rsidR="00614CA7">
        <w:rPr>
          <w:rFonts w:cs="Arial"/>
          <w:szCs w:val="24"/>
        </w:rPr>
        <w:t>Only when ‘self</w:t>
      </w:r>
      <w:r w:rsidR="00D9484C">
        <w:rPr>
          <w:rFonts w:cs="Arial"/>
          <w:szCs w:val="24"/>
        </w:rPr>
        <w:t>-</w:t>
      </w:r>
      <w:r w:rsidR="00614CA7">
        <w:rPr>
          <w:rFonts w:cs="Arial"/>
          <w:szCs w:val="24"/>
        </w:rPr>
        <w:t>assessment goals and training strategies were explicit’ was validity high and improvements over time demonstrated</w:t>
      </w:r>
      <w:r>
        <w:rPr>
          <w:rFonts w:cs="Arial"/>
          <w:szCs w:val="24"/>
        </w:rPr>
        <w:t xml:space="preserve">. </w:t>
      </w:r>
      <w:r w:rsidR="00EC480D">
        <w:rPr>
          <w:rFonts w:cs="Arial"/>
          <w:szCs w:val="24"/>
        </w:rPr>
        <w:t xml:space="preserve">Gordon </w:t>
      </w:r>
      <w:r w:rsidR="00E22423">
        <w:rPr>
          <w:rFonts w:cs="Arial"/>
          <w:szCs w:val="24"/>
        </w:rPr>
        <w:t xml:space="preserve">(1991) </w:t>
      </w:r>
      <w:r w:rsidR="00EC480D">
        <w:rPr>
          <w:rFonts w:cs="Arial"/>
          <w:szCs w:val="24"/>
        </w:rPr>
        <w:t xml:space="preserve">reports that the skill of accurate self-assessment and reflection are assumed and not taught in the undergraduate medical curriculum. </w:t>
      </w:r>
      <w:r w:rsidR="00D653E0">
        <w:rPr>
          <w:rFonts w:cs="Arial"/>
          <w:szCs w:val="24"/>
        </w:rPr>
        <w:t>Recommendations include effective self-assessment training to develop this skill</w:t>
      </w:r>
      <w:r w:rsidR="003B09A6">
        <w:rPr>
          <w:rFonts w:cs="Arial"/>
          <w:szCs w:val="24"/>
        </w:rPr>
        <w:t xml:space="preserve"> to help individuals recognise </w:t>
      </w:r>
      <w:r w:rsidR="00D9484C">
        <w:rPr>
          <w:rFonts w:cs="Arial"/>
          <w:szCs w:val="24"/>
        </w:rPr>
        <w:t xml:space="preserve">their </w:t>
      </w:r>
      <w:r w:rsidR="003B09A6">
        <w:rPr>
          <w:rFonts w:cs="Arial"/>
          <w:szCs w:val="24"/>
        </w:rPr>
        <w:t>own strengths and weaknesses</w:t>
      </w:r>
      <w:r w:rsidR="00D653E0">
        <w:rPr>
          <w:rFonts w:cs="Arial"/>
          <w:szCs w:val="24"/>
        </w:rPr>
        <w:t xml:space="preserve">. </w:t>
      </w:r>
      <w:r w:rsidR="003B09A6">
        <w:rPr>
          <w:rFonts w:cs="Arial"/>
          <w:szCs w:val="24"/>
        </w:rPr>
        <w:t>S</w:t>
      </w:r>
      <w:r w:rsidR="00D653E0">
        <w:rPr>
          <w:rFonts w:cs="Arial"/>
          <w:szCs w:val="24"/>
        </w:rPr>
        <w:t>elf-regulation</w:t>
      </w:r>
      <w:r w:rsidR="003B09A6">
        <w:rPr>
          <w:rFonts w:cs="Arial"/>
          <w:szCs w:val="24"/>
        </w:rPr>
        <w:t xml:space="preserve"> through self-assessment and reflection is</w:t>
      </w:r>
      <w:r w:rsidR="009E5241">
        <w:rPr>
          <w:rFonts w:cs="Arial"/>
          <w:szCs w:val="24"/>
        </w:rPr>
        <w:t xml:space="preserve"> thought to be the ‘most distinguishing characteristic of a profession’ and referred to as ‘legitimate autonomy’</w:t>
      </w:r>
      <w:r w:rsidR="00A1331A">
        <w:rPr>
          <w:rFonts w:cs="Arial"/>
          <w:szCs w:val="24"/>
        </w:rPr>
        <w:t xml:space="preserve"> by Friedson</w:t>
      </w:r>
      <w:r w:rsidR="00E22423">
        <w:rPr>
          <w:rFonts w:cs="Arial"/>
          <w:szCs w:val="24"/>
        </w:rPr>
        <w:t xml:space="preserve"> (1970)</w:t>
      </w:r>
      <w:r w:rsidR="00EC480D">
        <w:rPr>
          <w:rFonts w:cs="Arial"/>
          <w:szCs w:val="24"/>
        </w:rPr>
        <w:t xml:space="preserve">. </w:t>
      </w:r>
    </w:p>
    <w:p w14:paraId="2A65E18F" w14:textId="06C7D1D6" w:rsidR="00C96BE5" w:rsidRDefault="0092544D" w:rsidP="00260C40">
      <w:pPr>
        <w:rPr>
          <w:rFonts w:cs="Arial"/>
          <w:szCs w:val="24"/>
        </w:rPr>
      </w:pPr>
      <w:r>
        <w:rPr>
          <w:rFonts w:cs="Arial"/>
          <w:szCs w:val="24"/>
        </w:rPr>
        <w:t xml:space="preserve">Most </w:t>
      </w:r>
      <w:r w:rsidR="005859D6">
        <w:rPr>
          <w:rFonts w:cs="Arial"/>
          <w:szCs w:val="24"/>
        </w:rPr>
        <w:t xml:space="preserve">studies </w:t>
      </w:r>
      <w:r w:rsidR="005C787A">
        <w:rPr>
          <w:rFonts w:cs="Arial"/>
          <w:szCs w:val="24"/>
        </w:rPr>
        <w:t xml:space="preserve">available are </w:t>
      </w:r>
      <w:r w:rsidR="005859D6">
        <w:rPr>
          <w:rFonts w:cs="Arial"/>
          <w:szCs w:val="24"/>
        </w:rPr>
        <w:t xml:space="preserve">based on medical knowledge as opposed to other more difficult to measure skills such as communication, prioritisation, situational awareness and </w:t>
      </w:r>
      <w:r w:rsidR="001D42C9">
        <w:rPr>
          <w:rFonts w:cs="Arial"/>
          <w:szCs w:val="24"/>
        </w:rPr>
        <w:t>judgment</w:t>
      </w:r>
      <w:r w:rsidR="005859D6">
        <w:rPr>
          <w:rFonts w:cs="Arial"/>
          <w:szCs w:val="24"/>
        </w:rPr>
        <w:t xml:space="preserve">. In one </w:t>
      </w:r>
      <w:r w:rsidR="00DF30C2">
        <w:rPr>
          <w:rFonts w:cs="Arial"/>
          <w:szCs w:val="24"/>
        </w:rPr>
        <w:t xml:space="preserve">dated </w:t>
      </w:r>
      <w:r w:rsidR="005859D6">
        <w:rPr>
          <w:rFonts w:cs="Arial"/>
          <w:szCs w:val="24"/>
        </w:rPr>
        <w:t>study</w:t>
      </w:r>
      <w:r w:rsidR="0010183B">
        <w:rPr>
          <w:rFonts w:cs="Arial"/>
          <w:szCs w:val="24"/>
        </w:rPr>
        <w:t>,</w:t>
      </w:r>
      <w:r w:rsidR="005859D6">
        <w:rPr>
          <w:rFonts w:cs="Arial"/>
          <w:szCs w:val="24"/>
        </w:rPr>
        <w:t xml:space="preserve"> a bias to</w:t>
      </w:r>
      <w:r w:rsidR="0010183B">
        <w:rPr>
          <w:rFonts w:cs="Arial"/>
          <w:szCs w:val="24"/>
        </w:rPr>
        <w:t>wards</w:t>
      </w:r>
      <w:r w:rsidR="005859D6">
        <w:rPr>
          <w:rFonts w:cs="Arial"/>
          <w:szCs w:val="24"/>
        </w:rPr>
        <w:t xml:space="preserve"> overconfidence </w:t>
      </w:r>
      <w:r w:rsidR="0010183B">
        <w:rPr>
          <w:rFonts w:cs="Arial"/>
          <w:szCs w:val="24"/>
        </w:rPr>
        <w:t xml:space="preserve">was flagged, </w:t>
      </w:r>
      <w:r w:rsidR="005859D6">
        <w:rPr>
          <w:rFonts w:cs="Arial"/>
          <w:szCs w:val="24"/>
        </w:rPr>
        <w:t>and students with poor knowledge were reported as being ‘vastly overconfident’</w:t>
      </w:r>
      <w:r w:rsidR="0010183B">
        <w:rPr>
          <w:rFonts w:cs="Arial"/>
          <w:szCs w:val="24"/>
        </w:rPr>
        <w:t>,</w:t>
      </w:r>
      <w:r w:rsidR="005859D6">
        <w:rPr>
          <w:rFonts w:cs="Arial"/>
          <w:szCs w:val="24"/>
        </w:rPr>
        <w:t xml:space="preserve"> and those with better knowledge were ‘less overconfident’</w:t>
      </w:r>
      <w:r w:rsidR="00543BC1">
        <w:rPr>
          <w:rFonts w:cs="Arial"/>
          <w:szCs w:val="24"/>
        </w:rPr>
        <w:t xml:space="preserve"> (</w:t>
      </w:r>
      <w:proofErr w:type="spellStart"/>
      <w:r w:rsidR="00543BC1">
        <w:rPr>
          <w:rFonts w:cs="Arial"/>
          <w:szCs w:val="24"/>
        </w:rPr>
        <w:t>Lichenstein</w:t>
      </w:r>
      <w:proofErr w:type="spellEnd"/>
      <w:r w:rsidR="00543BC1">
        <w:rPr>
          <w:rFonts w:cs="Arial"/>
          <w:szCs w:val="24"/>
        </w:rPr>
        <w:t xml:space="preserve"> </w:t>
      </w:r>
      <w:r w:rsidR="009B3879">
        <w:rPr>
          <w:rFonts w:cs="Arial"/>
          <w:szCs w:val="24"/>
        </w:rPr>
        <w:t>and</w:t>
      </w:r>
      <w:r w:rsidR="00543BC1">
        <w:rPr>
          <w:rFonts w:cs="Arial"/>
          <w:szCs w:val="24"/>
        </w:rPr>
        <w:t xml:space="preserve"> </w:t>
      </w:r>
      <w:proofErr w:type="spellStart"/>
      <w:r w:rsidR="00543BC1">
        <w:rPr>
          <w:rFonts w:cs="Arial"/>
          <w:szCs w:val="24"/>
        </w:rPr>
        <w:t>Fischoff</w:t>
      </w:r>
      <w:proofErr w:type="spellEnd"/>
      <w:r w:rsidR="00543BC1">
        <w:rPr>
          <w:rFonts w:cs="Arial"/>
          <w:szCs w:val="24"/>
        </w:rPr>
        <w:t xml:space="preserve"> 1977)</w:t>
      </w:r>
      <w:r w:rsidR="005859D6">
        <w:rPr>
          <w:rFonts w:cs="Arial"/>
          <w:szCs w:val="24"/>
        </w:rPr>
        <w:t>. Another study found a</w:t>
      </w:r>
      <w:r w:rsidR="00543BC1">
        <w:rPr>
          <w:rFonts w:cs="Arial"/>
          <w:szCs w:val="24"/>
        </w:rPr>
        <w:t xml:space="preserve"> correlation between </w:t>
      </w:r>
      <w:r w:rsidR="00543BC1">
        <w:rPr>
          <w:rFonts w:cs="Arial"/>
          <w:szCs w:val="24"/>
        </w:rPr>
        <w:lastRenderedPageBreak/>
        <w:t xml:space="preserve">high self-ratings, high confidence and best predicted </w:t>
      </w:r>
      <w:r w:rsidR="006C7331">
        <w:rPr>
          <w:rFonts w:cs="Arial"/>
          <w:szCs w:val="24"/>
        </w:rPr>
        <w:t>medical grades (Kegel-</w:t>
      </w:r>
      <w:proofErr w:type="spellStart"/>
      <w:r w:rsidR="006C7331">
        <w:rPr>
          <w:rFonts w:cs="Arial"/>
          <w:szCs w:val="24"/>
        </w:rPr>
        <w:t>Flom</w:t>
      </w:r>
      <w:proofErr w:type="spellEnd"/>
      <w:r w:rsidR="006C7331">
        <w:rPr>
          <w:rFonts w:cs="Arial"/>
          <w:szCs w:val="24"/>
        </w:rPr>
        <w:t xml:space="preserve"> 1975 cited in</w:t>
      </w:r>
      <w:r w:rsidR="00543BC1">
        <w:rPr>
          <w:rFonts w:cs="Arial"/>
          <w:szCs w:val="24"/>
        </w:rPr>
        <w:t xml:space="preserve"> </w:t>
      </w:r>
      <w:r w:rsidR="00543BC1">
        <w:rPr>
          <w:rFonts w:cs="Arial"/>
          <w:szCs w:val="24"/>
        </w:rPr>
        <w:fldChar w:fldCharType="begin"/>
      </w:r>
      <w:r w:rsidR="006C7331">
        <w:rPr>
          <w:rFonts w:cs="Arial"/>
          <w:szCs w:val="24"/>
        </w:rPr>
        <w:instrText xml:space="preserve"> ADDIN EN.CITE &lt;EndNote&gt;&lt;Cite&gt;&lt;Author&gt;Gordon&lt;/Author&gt;&lt;Year&gt;1991&lt;/Year&gt;&lt;IDText&gt;A review of the validity and accuracy of self-assessments in health professions training&lt;/IDText&gt;&lt;DisplayText&gt;(Gordon, 1991)&lt;/DisplayText&gt;&lt;record&gt;&lt;dates&gt;&lt;pub-dates&gt;&lt;date&gt;Dec&lt;/date&gt;&lt;/pub-dates&gt;&lt;year&gt;1991&lt;/year&gt;&lt;/dates&gt;&lt;keywords&gt;&lt;keyword&gt;Health Personnel&lt;/keyword&gt;&lt;keyword&gt;Reproducibility of Results&lt;/keyword&gt;&lt;keyword&gt;Self-Assessment&lt;/keyword&gt;&lt;keyword&gt;Self-Evaluation Programs&lt;/keyword&gt;&lt;/keywords&gt;&lt;urls&gt;&lt;related-urls&gt;&lt;url&gt;http://www.ncbi.nlm.nih.gov/pubmed/1750956&lt;/url&gt;&lt;/related-urls&gt;&lt;/urls&gt;&lt;isbn&gt;1040-2446&lt;/isbn&gt;&lt;titles&gt;&lt;title&gt;A review of the validity and accuracy of self-assessments in health professions training&lt;/title&gt;&lt;secondary-title&gt;Acad Med&lt;/secondary-title&gt;&lt;/titles&gt;&lt;pages&gt;762-9&lt;/pages&gt;&lt;number&gt;12&lt;/number&gt;&lt;contributors&gt;&lt;authors&gt;&lt;author&gt;Gordon, M. J.&lt;/author&gt;&lt;/authors&gt;&lt;/contributors&gt;&lt;language&gt;eng&lt;/language&gt;&lt;added-date format="utc"&gt;1456825068&lt;/added-date&gt;&lt;ref-type name="Journal Article"&gt;17&lt;/ref-type&gt;&lt;rec-number&gt;200&lt;/rec-number&gt;&lt;last-updated-date format="utc"&gt;1456825068&lt;/last-updated-date&gt;&lt;accession-num&gt;1750956&lt;/accession-num&gt;&lt;volume&gt;66&lt;/volume&gt;&lt;/record&gt;&lt;/Cite&gt;&lt;/EndNote&gt;</w:instrText>
      </w:r>
      <w:r w:rsidR="00543BC1">
        <w:rPr>
          <w:rFonts w:cs="Arial"/>
          <w:szCs w:val="24"/>
        </w:rPr>
        <w:fldChar w:fldCharType="separate"/>
      </w:r>
      <w:r w:rsidR="006C7331">
        <w:rPr>
          <w:rFonts w:cs="Arial"/>
          <w:noProof/>
          <w:szCs w:val="24"/>
        </w:rPr>
        <w:t>(Gordon, 1991)</w:t>
      </w:r>
      <w:r w:rsidR="00543BC1">
        <w:rPr>
          <w:rFonts w:cs="Arial"/>
          <w:szCs w:val="24"/>
        </w:rPr>
        <w:fldChar w:fldCharType="end"/>
      </w:r>
      <w:r w:rsidR="00543BC1">
        <w:rPr>
          <w:rFonts w:cs="Arial"/>
          <w:szCs w:val="24"/>
        </w:rPr>
        <w:t>.</w:t>
      </w:r>
      <w:r w:rsidR="006C7331">
        <w:rPr>
          <w:rFonts w:cs="Arial"/>
          <w:szCs w:val="24"/>
        </w:rPr>
        <w:t xml:space="preserve"> </w:t>
      </w:r>
    </w:p>
    <w:p w14:paraId="5E67F6AB" w14:textId="650469E5" w:rsidR="00787821" w:rsidRDefault="006C7331" w:rsidP="00260C40">
      <w:pPr>
        <w:rPr>
          <w:rFonts w:cs="Arial"/>
          <w:szCs w:val="24"/>
        </w:rPr>
      </w:pPr>
      <w:r>
        <w:rPr>
          <w:rFonts w:cs="Arial"/>
          <w:szCs w:val="24"/>
        </w:rPr>
        <w:fldChar w:fldCharType="begin"/>
      </w:r>
      <w:r w:rsidR="005823F4">
        <w:rPr>
          <w:rFonts w:cs="Arial"/>
          <w:szCs w:val="24"/>
        </w:rPr>
        <w:instrText xml:space="preserve"> ADDIN EN.CITE &lt;EndNote&gt;&lt;Cite&gt;&lt;Author&gt;Evans&lt;/Author&gt;&lt;Year&gt;2004&lt;/Year&gt;&lt;IDText&gt;The effect of an extended hospital induction on perceived confidence and assessed clinical skills of newly qualified pre-registration house officers&lt;/IDText&gt;&lt;DisplayText&gt;(Evans et al., 2004)&lt;/DisplayText&gt;&lt;record&gt;&lt;dates&gt;&lt;pub-dates&gt;&lt;date&gt;Sep&lt;/date&gt;&lt;/pub-dates&gt;&lt;year&gt;2004&lt;/year&gt;&lt;/dates&gt;&lt;urls&gt;&lt;related-urls&gt;&lt;url&gt;&amp;lt;Go to ISI&amp;gt;://WOS:000223534200015&lt;/url&gt;&lt;/related-urls&gt;&lt;/urls&gt;&lt;isbn&gt;0308-0110&lt;/isbn&gt;&lt;titles&gt;&lt;title&gt;The effect of an extended hospital induction on perceived confidence and assessed clinical skills of newly qualified pre-registration house officers&lt;/title&gt;&lt;secondary-title&gt;Medical Education&lt;/secondary-title&gt;&lt;/titles&gt;&lt;pages&gt;998-1001&lt;/pages&gt;&lt;number&gt;9&lt;/number&gt;&lt;contributors&gt;&lt;authors&gt;&lt;author&gt;Evans, D. E.&lt;/author&gt;&lt;author&gt;Wood, D. F.&lt;/author&gt;&lt;author&gt;Roberts, C. M.&lt;/author&gt;&lt;/authors&gt;&lt;/contributors&gt;&lt;added-date format="utc"&gt;1399936194&lt;/added-date&gt;&lt;ref-type name="Journal Article"&gt;17&lt;/ref-type&gt;&lt;rec-number&gt;121&lt;/rec-number&gt;&lt;last-updated-date format="utc"&gt;1399937123&lt;/last-updated-date&gt;&lt;accession-num&gt;WOS:000223534200015&lt;/accession-num&gt;&lt;electronic-resource-num&gt;10.1111/j.1365-2929.2004.01908.x&lt;/electronic-resource-num&gt;&lt;volume&gt;38&lt;/volume&gt;&lt;/record&gt;&lt;/Cite&gt;&lt;/EndNote&gt;</w:instrText>
      </w:r>
      <w:r>
        <w:rPr>
          <w:rFonts w:cs="Arial"/>
          <w:szCs w:val="24"/>
        </w:rPr>
        <w:fldChar w:fldCharType="separate"/>
      </w:r>
      <w:r w:rsidR="00E22423">
        <w:rPr>
          <w:rFonts w:cs="Arial"/>
          <w:noProof/>
          <w:szCs w:val="24"/>
        </w:rPr>
        <w:t>Evans et al.</w:t>
      </w:r>
      <w:r w:rsidR="005823F4">
        <w:rPr>
          <w:rFonts w:cs="Arial"/>
          <w:noProof/>
          <w:szCs w:val="24"/>
        </w:rPr>
        <w:t xml:space="preserve"> </w:t>
      </w:r>
      <w:r w:rsidR="00E22423">
        <w:rPr>
          <w:rFonts w:cs="Arial"/>
          <w:noProof/>
          <w:szCs w:val="24"/>
        </w:rPr>
        <w:t>(</w:t>
      </w:r>
      <w:r w:rsidR="005823F4">
        <w:rPr>
          <w:rFonts w:cs="Arial"/>
          <w:noProof/>
          <w:szCs w:val="24"/>
        </w:rPr>
        <w:t>2004)</w:t>
      </w:r>
      <w:r>
        <w:rPr>
          <w:rFonts w:cs="Arial"/>
          <w:szCs w:val="24"/>
        </w:rPr>
        <w:fldChar w:fldCharType="end"/>
      </w:r>
      <w:r w:rsidR="000B1403">
        <w:rPr>
          <w:rFonts w:cs="Arial"/>
          <w:szCs w:val="24"/>
        </w:rPr>
        <w:t xml:space="preserve"> </w:t>
      </w:r>
      <w:r w:rsidR="005C787A">
        <w:rPr>
          <w:rFonts w:cs="Arial"/>
          <w:szCs w:val="24"/>
        </w:rPr>
        <w:t xml:space="preserve">explore </w:t>
      </w:r>
      <w:r w:rsidR="007B0D79">
        <w:rPr>
          <w:rFonts w:cs="Arial"/>
          <w:szCs w:val="24"/>
        </w:rPr>
        <w:t xml:space="preserve">subjective confidence and objective competence in clinical skills (catheterisation, blood pressure measurement, venepuncture and cannulation) of </w:t>
      </w:r>
      <w:r w:rsidR="0010183B">
        <w:rPr>
          <w:rFonts w:cs="Arial"/>
          <w:szCs w:val="24"/>
        </w:rPr>
        <w:t xml:space="preserve">21 </w:t>
      </w:r>
      <w:r w:rsidR="007B0D79">
        <w:rPr>
          <w:rFonts w:cs="Arial"/>
          <w:szCs w:val="24"/>
        </w:rPr>
        <w:t xml:space="preserve">newly qualified medical students from a London medical school before and after </w:t>
      </w:r>
      <w:r w:rsidR="005C787A">
        <w:rPr>
          <w:rFonts w:cs="Arial"/>
          <w:szCs w:val="24"/>
        </w:rPr>
        <w:t xml:space="preserve">a </w:t>
      </w:r>
      <w:r w:rsidR="007B0D79">
        <w:rPr>
          <w:rFonts w:cs="Arial"/>
          <w:szCs w:val="24"/>
        </w:rPr>
        <w:t>hospital induction. They were volunteers and received payment. It is unclear how confidence was measured but a questionnaire related to FY1 duties is described. Clinical skills were assessed in an OSCE.</w:t>
      </w:r>
      <w:r w:rsidR="005C787A">
        <w:rPr>
          <w:rFonts w:cs="Arial"/>
          <w:szCs w:val="24"/>
        </w:rPr>
        <w:t xml:space="preserve"> </w:t>
      </w:r>
      <w:r w:rsidR="007B0D79">
        <w:rPr>
          <w:rFonts w:cs="Arial"/>
          <w:szCs w:val="24"/>
        </w:rPr>
        <w:t xml:space="preserve">These data demonstrate initial low confidence in skills for FY1 (particularly prescribing, death certification, drawing up drugs and cannulation), which </w:t>
      </w:r>
      <w:r w:rsidR="002A7966">
        <w:rPr>
          <w:rFonts w:cs="Arial"/>
          <w:szCs w:val="24"/>
        </w:rPr>
        <w:t xml:space="preserve">this time </w:t>
      </w:r>
      <w:r w:rsidR="007B0D79">
        <w:rPr>
          <w:rFonts w:cs="Arial"/>
          <w:szCs w:val="24"/>
        </w:rPr>
        <w:t>m</w:t>
      </w:r>
      <w:r w:rsidR="002A7966">
        <w:rPr>
          <w:rFonts w:cs="Arial"/>
          <w:szCs w:val="24"/>
        </w:rPr>
        <w:t>irrored</w:t>
      </w:r>
      <w:r w:rsidR="007B0D79">
        <w:rPr>
          <w:rFonts w:cs="Arial"/>
          <w:szCs w:val="24"/>
        </w:rPr>
        <w:t xml:space="preserve"> poor competence in clinical skills with only one of the graduates passing the OSCE stations at the start, </w:t>
      </w:r>
      <w:r w:rsidR="0010183B">
        <w:rPr>
          <w:rFonts w:cs="Arial"/>
          <w:szCs w:val="24"/>
        </w:rPr>
        <w:t>seven</w:t>
      </w:r>
      <w:r w:rsidR="007B0D79">
        <w:rPr>
          <w:rFonts w:cs="Arial"/>
          <w:szCs w:val="24"/>
        </w:rPr>
        <w:t xml:space="preserve"> failed on one of more skills after induction</w:t>
      </w:r>
      <w:r w:rsidR="00DF30C2">
        <w:rPr>
          <w:rFonts w:cs="Arial"/>
          <w:szCs w:val="24"/>
        </w:rPr>
        <w:t>,</w:t>
      </w:r>
      <w:r w:rsidR="007B0D79">
        <w:rPr>
          <w:rFonts w:cs="Arial"/>
          <w:szCs w:val="24"/>
        </w:rPr>
        <w:t xml:space="preserve"> then all passed one month </w:t>
      </w:r>
      <w:r w:rsidR="000A27DF">
        <w:rPr>
          <w:rFonts w:cs="Arial"/>
          <w:szCs w:val="24"/>
        </w:rPr>
        <w:t>into</w:t>
      </w:r>
      <w:r w:rsidR="007B0D79">
        <w:rPr>
          <w:rFonts w:cs="Arial"/>
          <w:szCs w:val="24"/>
        </w:rPr>
        <w:t xml:space="preserve"> FY1. Confidence in prescribing and death certification remained low during shadowing and only increased after one month </w:t>
      </w:r>
      <w:r w:rsidR="000A27DF">
        <w:rPr>
          <w:rFonts w:cs="Arial"/>
          <w:szCs w:val="24"/>
        </w:rPr>
        <w:t>into</w:t>
      </w:r>
      <w:r w:rsidR="007B0D79">
        <w:rPr>
          <w:rFonts w:cs="Arial"/>
          <w:szCs w:val="24"/>
        </w:rPr>
        <w:t xml:space="preserve"> the job. </w:t>
      </w:r>
    </w:p>
    <w:p w14:paraId="45C6D6F8" w14:textId="3974A37A" w:rsidR="00167BB9" w:rsidRDefault="006C7331" w:rsidP="00260C40">
      <w:pPr>
        <w:rPr>
          <w:rFonts w:cs="Arial"/>
          <w:szCs w:val="24"/>
        </w:rPr>
      </w:pPr>
      <w:r>
        <w:rPr>
          <w:rFonts w:cs="Arial"/>
          <w:szCs w:val="24"/>
        </w:rPr>
        <w:fldChar w:fldCharType="begin"/>
      </w:r>
      <w:r w:rsidR="005823F4">
        <w:rPr>
          <w:rFonts w:cs="Arial"/>
          <w:szCs w:val="24"/>
        </w:rPr>
        <w:instrText xml:space="preserve"> ADDIN EN.CITE &lt;EndNote&gt;&lt;Cite&gt;&lt;Author&gt;Hirsh&lt;/Author&gt;&lt;Year&gt;2014&lt;/Year&gt;&lt;IDText&gt;Time to trust: longitudinal integrated clerkships and entrustable professional activities&lt;/IDText&gt;&lt;DisplayText&gt;(Hirsh et al., 2014)&lt;/DisplayText&gt;&lt;record&gt;&lt;dates&gt;&lt;pub-dates&gt;&lt;date&gt;Feb&lt;/date&gt;&lt;/pub-dates&gt;&lt;year&gt;2014&lt;/year&gt;&lt;/dates&gt;&lt;keywords&gt;&lt;keyword&gt;Clinical Clerkship&lt;/keyword&gt;&lt;keyword&gt;Clinical Competence&lt;/keyword&gt;&lt;keyword&gt;Education, Medical, Undergraduate&lt;/keyword&gt;&lt;keyword&gt;Educational Measurement&lt;/keyword&gt;&lt;keyword&gt;Family Practice&lt;/keyword&gt;&lt;keyword&gt;Female&lt;/keyword&gt;&lt;keyword&gt;Humans&lt;/keyword&gt;&lt;keyword&gt;Internship and Residency&lt;/keyword&gt;&lt;keyword&gt;Male&lt;/keyword&gt;&lt;/keywords&gt;&lt;urls&gt;&lt;related-urls&gt;&lt;url&gt;http://www.ncbi.nlm.nih.gov/pubmed/24362396&lt;/url&gt;&lt;/related-urls&gt;&lt;/urls&gt;&lt;isbn&gt;1938-808X&lt;/isbn&gt;&lt;titles&gt;&lt;title&gt;Time to trust: longitudinal integrated clerkships and entrustable professional activities&lt;/title&gt;&lt;secondary-title&gt;Acad Med&lt;/secondary-title&gt;&lt;/titles&gt;&lt;pages&gt;201-4&lt;/pages&gt;&lt;number&gt;2&lt;/number&gt;&lt;contributors&gt;&lt;authors&gt;&lt;author&gt;Hirsh, D. A.&lt;/author&gt;&lt;author&gt;Holmboe, E. S.&lt;/author&gt;&lt;author&gt;ten Cate, O.&lt;/author&gt;&lt;/authors&gt;&lt;/contributors&gt;&lt;language&gt;eng&lt;/language&gt;&lt;added-date format="utc"&gt;1458298052&lt;/added-date&gt;&lt;ref-type name="Journal Article"&gt;17&lt;/ref-type&gt;&lt;rec-number&gt;231&lt;/rec-number&gt;&lt;last-updated-date format="utc"&gt;1458298052&lt;/last-updated-date&gt;&lt;accession-num&gt;24362396&lt;/accession-num&gt;&lt;electronic-resource-num&gt;10.1097/ACM.0000000000000111&lt;/electronic-resource-num&gt;&lt;volume&gt;89&lt;/volume&gt;&lt;/record&gt;&lt;/Cite&gt;&lt;/EndNote&gt;</w:instrText>
      </w:r>
      <w:r>
        <w:rPr>
          <w:rFonts w:cs="Arial"/>
          <w:szCs w:val="24"/>
        </w:rPr>
        <w:fldChar w:fldCharType="separate"/>
      </w:r>
      <w:r w:rsidR="00E22423">
        <w:rPr>
          <w:rFonts w:cs="Arial"/>
          <w:noProof/>
          <w:szCs w:val="24"/>
        </w:rPr>
        <w:t>Hirsh et al.</w:t>
      </w:r>
      <w:r w:rsidR="005823F4">
        <w:rPr>
          <w:rFonts w:cs="Arial"/>
          <w:noProof/>
          <w:szCs w:val="24"/>
        </w:rPr>
        <w:t xml:space="preserve"> </w:t>
      </w:r>
      <w:r w:rsidR="00E22423">
        <w:rPr>
          <w:rFonts w:cs="Arial"/>
          <w:noProof/>
          <w:szCs w:val="24"/>
        </w:rPr>
        <w:t>(</w:t>
      </w:r>
      <w:r w:rsidR="005823F4">
        <w:rPr>
          <w:rFonts w:cs="Arial"/>
          <w:noProof/>
          <w:szCs w:val="24"/>
        </w:rPr>
        <w:t>2014)</w:t>
      </w:r>
      <w:r>
        <w:rPr>
          <w:rFonts w:cs="Arial"/>
          <w:szCs w:val="24"/>
        </w:rPr>
        <w:fldChar w:fldCharType="end"/>
      </w:r>
      <w:r>
        <w:rPr>
          <w:rFonts w:cs="Arial"/>
          <w:szCs w:val="24"/>
        </w:rPr>
        <w:t xml:space="preserve"> </w:t>
      </w:r>
      <w:r w:rsidR="00167BB9">
        <w:rPr>
          <w:rFonts w:cs="Arial"/>
          <w:szCs w:val="24"/>
        </w:rPr>
        <w:t>describe competence as ‘a developmental progression under decreasing levels of supervision’ and that making ‘entrustments’ between learner</w:t>
      </w:r>
      <w:r w:rsidR="002A7966">
        <w:rPr>
          <w:rFonts w:cs="Arial"/>
          <w:szCs w:val="24"/>
        </w:rPr>
        <w:t xml:space="preserve">, </w:t>
      </w:r>
      <w:r w:rsidR="00167BB9">
        <w:rPr>
          <w:rFonts w:cs="Arial"/>
          <w:szCs w:val="24"/>
        </w:rPr>
        <w:t xml:space="preserve">supervisor, patient and </w:t>
      </w:r>
      <w:r w:rsidR="00A645DC">
        <w:rPr>
          <w:rFonts w:cs="Arial"/>
          <w:szCs w:val="24"/>
        </w:rPr>
        <w:t>interprofessional</w:t>
      </w:r>
      <w:r w:rsidR="00167BB9">
        <w:rPr>
          <w:rFonts w:cs="Arial"/>
          <w:szCs w:val="24"/>
        </w:rPr>
        <w:t xml:space="preserve"> team are vital to ‘competency based medical education’</w:t>
      </w:r>
      <w:r>
        <w:rPr>
          <w:rFonts w:cs="Arial"/>
          <w:szCs w:val="24"/>
        </w:rPr>
        <w:t xml:space="preserve">. </w:t>
      </w:r>
      <w:r w:rsidR="00575F1A">
        <w:rPr>
          <w:rFonts w:cs="Arial"/>
          <w:szCs w:val="24"/>
        </w:rPr>
        <w:t xml:space="preserve">The importance of </w:t>
      </w:r>
      <w:r w:rsidR="0010183B">
        <w:rPr>
          <w:rFonts w:cs="Arial"/>
          <w:szCs w:val="24"/>
        </w:rPr>
        <w:t xml:space="preserve">a </w:t>
      </w:r>
      <w:r w:rsidR="00575F1A">
        <w:rPr>
          <w:rFonts w:cs="Arial"/>
          <w:szCs w:val="24"/>
        </w:rPr>
        <w:t xml:space="preserve">gradual reduction in supervision to build ‘trainee self-confidence and trustworthiness in trainees’ is described when considering how to improve medical education for the future. </w:t>
      </w:r>
    </w:p>
    <w:p w14:paraId="4FE6085E" w14:textId="027F2FEB" w:rsidR="009E5241" w:rsidRPr="00725A65" w:rsidRDefault="007B0D79" w:rsidP="00260C40">
      <w:pPr>
        <w:rPr>
          <w:rFonts w:cs="Arial"/>
          <w:szCs w:val="24"/>
        </w:rPr>
      </w:pPr>
      <w:r>
        <w:rPr>
          <w:rFonts w:cs="Arial"/>
          <w:szCs w:val="24"/>
        </w:rPr>
        <w:t xml:space="preserve">These </w:t>
      </w:r>
      <w:r w:rsidR="002A7966">
        <w:rPr>
          <w:rFonts w:cs="Arial"/>
          <w:szCs w:val="24"/>
        </w:rPr>
        <w:t>studies</w:t>
      </w:r>
      <w:r>
        <w:rPr>
          <w:rFonts w:cs="Arial"/>
          <w:szCs w:val="24"/>
        </w:rPr>
        <w:t xml:space="preserve"> support </w:t>
      </w:r>
      <w:r w:rsidR="00693688">
        <w:rPr>
          <w:rFonts w:cs="Arial"/>
          <w:szCs w:val="24"/>
        </w:rPr>
        <w:t>that ideas</w:t>
      </w:r>
      <w:r>
        <w:rPr>
          <w:rFonts w:cs="Arial"/>
          <w:szCs w:val="24"/>
        </w:rPr>
        <w:t xml:space="preserve"> such as pre-prescribing may </w:t>
      </w:r>
      <w:r w:rsidR="00455982">
        <w:rPr>
          <w:rFonts w:cs="Arial"/>
          <w:szCs w:val="24"/>
        </w:rPr>
        <w:t xml:space="preserve">be an important </w:t>
      </w:r>
      <w:r>
        <w:rPr>
          <w:rFonts w:cs="Arial"/>
          <w:szCs w:val="24"/>
        </w:rPr>
        <w:t xml:space="preserve">way to improve skills in this area prior to FY1 </w:t>
      </w:r>
      <w:r>
        <w:rPr>
          <w:rFonts w:cs="Arial"/>
          <w:szCs w:val="24"/>
        </w:rPr>
        <w:fldChar w:fldCharType="begin"/>
      </w:r>
      <w:r>
        <w:rPr>
          <w:rFonts w:cs="Arial"/>
          <w:szCs w:val="24"/>
        </w:rPr>
        <w:instrText xml:space="preserve"> ADDIN EN.CITE &lt;EndNote&gt;&lt;Cite&gt;&lt;Author&gt;Smith&lt;/Author&gt;&lt;Year&gt;2013&lt;/Year&gt;&lt;IDText&gt;The effects of contributing to patient care on medical students&amp;apos; workplace learning&lt;/IDText&gt;&lt;DisplayText&gt;(Smith et al., 2013)&lt;/DisplayText&gt;&lt;record&gt;&lt;dates&gt;&lt;pub-dates&gt;&lt;date&gt;Dec&lt;/date&gt;&lt;/pub-dates&gt;&lt;year&gt;2013&lt;/year&gt;&lt;/dates&gt;&lt;keywords&gt;&lt;keyword&gt;Adult&lt;/keyword&gt;&lt;keyword&gt;Education, Medical, Undergraduate&lt;/keyword&gt;&lt;keyword&gt;Female&lt;/keyword&gt;&lt;keyword&gt;Focus Groups&lt;/keyword&gt;&lt;keyword&gt;Great Britain&lt;/keyword&gt;&lt;keyword&gt;Health Knowledge, Attitudes, Practice&lt;/keyword&gt;&lt;keyword&gt;Humans&lt;/keyword&gt;&lt;keyword&gt;Learning&lt;/keyword&gt;&lt;keyword&gt;Male&lt;/keyword&gt;&lt;keyword&gt;Patient Care&lt;/keyword&gt;&lt;keyword&gt;Patient Care Team&lt;/keyword&gt;&lt;keyword&gt;Professional Role&lt;/keyword&gt;&lt;keyword&gt;Students, Medical&lt;/keyword&gt;&lt;keyword&gt;Workplace&lt;/keyword&gt;&lt;/keywords&gt;&lt;urls&gt;&lt;related-urls&gt;&lt;url&gt;http://www.ncbi.nlm.nih.gov/pubmed/24206152&lt;/url&gt;&lt;/related-urls&gt;&lt;/urls&gt;&lt;isbn&gt;1365-2923&lt;/isbn&gt;&lt;titles&gt;&lt;title&gt;The effects of contributing to patient care on medical students&amp;apos; workplace learning&lt;/title&gt;&lt;secondary-title&gt;Med Educ&lt;/secondary-title&gt;&lt;/titles&gt;&lt;pages&gt;1184-96&lt;/pages&gt;&lt;number&gt;12&lt;/number&gt;&lt;contributors&gt;&lt;authors&gt;&lt;author&gt;Smith, S. E.&lt;/author&gt;&lt;author&gt;Tallentire, V. R.&lt;/author&gt;&lt;author&gt;Cameron, H. S.&lt;/author&gt;&lt;author&gt;Wood, S. M.&lt;/author&gt;&lt;/authors&gt;&lt;/contributors&gt;&lt;language&gt;eng&lt;/language&gt;&lt;added-date format="utc"&gt;1455789390&lt;/added-date&gt;&lt;ref-type name="Journal Article"&gt;17&lt;/ref-type&gt;&lt;rec-number&gt;180&lt;/rec-number&gt;&lt;last-updated-date format="utc"&gt;1455789390&lt;/last-updated-date&gt;&lt;accession-num&gt;24206152&lt;/accession-num&gt;&lt;electronic-resource-num&gt;10.1111/medu.12217&lt;/electronic-resource-num&gt;&lt;volume&gt;47&lt;/volume&gt;&lt;/record&gt;&lt;/Cite&gt;&lt;/EndNote&gt;</w:instrText>
      </w:r>
      <w:r>
        <w:rPr>
          <w:rFonts w:cs="Arial"/>
          <w:szCs w:val="24"/>
        </w:rPr>
        <w:fldChar w:fldCharType="separate"/>
      </w:r>
      <w:r>
        <w:rPr>
          <w:rFonts w:cs="Arial"/>
          <w:noProof/>
          <w:szCs w:val="24"/>
        </w:rPr>
        <w:t>(Smith et al., 2013)</w:t>
      </w:r>
      <w:r>
        <w:rPr>
          <w:rFonts w:cs="Arial"/>
          <w:szCs w:val="24"/>
        </w:rPr>
        <w:fldChar w:fldCharType="end"/>
      </w:r>
      <w:r w:rsidR="00787821">
        <w:rPr>
          <w:rFonts w:cs="Arial"/>
          <w:szCs w:val="24"/>
        </w:rPr>
        <w:t>.</w:t>
      </w:r>
      <w:r w:rsidR="006C7331">
        <w:rPr>
          <w:rFonts w:cs="Arial"/>
          <w:szCs w:val="24"/>
        </w:rPr>
        <w:t xml:space="preserve"> </w:t>
      </w:r>
      <w:r w:rsidR="006C7331">
        <w:rPr>
          <w:rFonts w:cs="Arial"/>
          <w:szCs w:val="24"/>
        </w:rPr>
        <w:fldChar w:fldCharType="begin"/>
      </w:r>
      <w:r w:rsidR="005823F4">
        <w:rPr>
          <w:rFonts w:cs="Arial"/>
          <w:szCs w:val="24"/>
        </w:rPr>
        <w:instrText xml:space="preserve"> ADDIN EN.CITE &lt;EndNote&gt;&lt;Cite&gt;&lt;Author&gt;Evans&lt;/Author&gt;&lt;Year&gt;2004&lt;/Year&gt;&lt;IDText&gt;The effect of an extended hospital induction on perceived confidence and assessed clinical skills of newly qualified pre-registration house officers&lt;/IDText&gt;&lt;DisplayText&gt;(Evans et al., 2004)&lt;/DisplayText&gt;&lt;record&gt;&lt;dates&gt;&lt;pub-dates&gt;&lt;date&gt;Sep&lt;/date&gt;&lt;/pub-dates&gt;&lt;year&gt;2004&lt;/year&gt;&lt;/dates&gt;&lt;urls&gt;&lt;related-urls&gt;&lt;url&gt;&amp;lt;Go to ISI&amp;gt;://WOS:000223534200015&lt;/url&gt;&lt;/related-urls&gt;&lt;/urls&gt;&lt;isbn&gt;0308-0110&lt;/isbn&gt;&lt;titles&gt;&lt;title&gt;The effect of an extended hospital induction on perceived confidence and assessed clinical skills of newly qualified pre-registration house officers&lt;/title&gt;&lt;secondary-title&gt;Medical Education&lt;/secondary-title&gt;&lt;/titles&gt;&lt;pages&gt;998-1001&lt;/pages&gt;&lt;number&gt;9&lt;/number&gt;&lt;contributors&gt;&lt;authors&gt;&lt;author&gt;Evans, D. E.&lt;/author&gt;&lt;author&gt;Wood, D. F.&lt;/author&gt;&lt;author&gt;Roberts, C. M.&lt;/author&gt;&lt;/authors&gt;&lt;/contributors&gt;&lt;added-date format="utc"&gt;1399936194&lt;/added-date&gt;&lt;ref-type name="Journal Article"&gt;17&lt;/ref-type&gt;&lt;rec-number&gt;121&lt;/rec-number&gt;&lt;last-updated-date format="utc"&gt;1399937123&lt;/last-updated-date&gt;&lt;accession-num&gt;WOS:000223534200015&lt;/accession-num&gt;&lt;electronic-resource-num&gt;10.1111/j.1365-2929.2004.01908.x&lt;/electronic-resource-num&gt;&lt;volume&gt;38&lt;/volume&gt;&lt;/record&gt;&lt;/Cite&gt;&lt;/EndNote&gt;</w:instrText>
      </w:r>
      <w:r w:rsidR="006C7331">
        <w:rPr>
          <w:rFonts w:cs="Arial"/>
          <w:szCs w:val="24"/>
        </w:rPr>
        <w:fldChar w:fldCharType="separate"/>
      </w:r>
      <w:r w:rsidR="00E22423">
        <w:rPr>
          <w:rFonts w:cs="Arial"/>
          <w:noProof/>
          <w:szCs w:val="24"/>
        </w:rPr>
        <w:t>Evans et al.</w:t>
      </w:r>
      <w:r w:rsidR="005823F4">
        <w:rPr>
          <w:rFonts w:cs="Arial"/>
          <w:noProof/>
          <w:szCs w:val="24"/>
        </w:rPr>
        <w:t xml:space="preserve"> </w:t>
      </w:r>
      <w:r w:rsidR="00E22423">
        <w:rPr>
          <w:rFonts w:cs="Arial"/>
          <w:noProof/>
          <w:szCs w:val="24"/>
        </w:rPr>
        <w:lastRenderedPageBreak/>
        <w:t>(</w:t>
      </w:r>
      <w:r w:rsidR="005823F4">
        <w:rPr>
          <w:rFonts w:cs="Arial"/>
          <w:noProof/>
          <w:szCs w:val="24"/>
        </w:rPr>
        <w:t>2004)</w:t>
      </w:r>
      <w:r w:rsidR="006C7331">
        <w:rPr>
          <w:rFonts w:cs="Arial"/>
          <w:szCs w:val="24"/>
        </w:rPr>
        <w:fldChar w:fldCharType="end"/>
      </w:r>
      <w:r w:rsidR="00787821">
        <w:rPr>
          <w:rFonts w:cs="Arial"/>
          <w:szCs w:val="24"/>
        </w:rPr>
        <w:t xml:space="preserve"> conclude that ‘self</w:t>
      </w:r>
      <w:r w:rsidR="0076277E">
        <w:rPr>
          <w:rFonts w:cs="Arial"/>
          <w:szCs w:val="24"/>
        </w:rPr>
        <w:t>-</w:t>
      </w:r>
      <w:r w:rsidR="00787821">
        <w:rPr>
          <w:rFonts w:cs="Arial"/>
          <w:szCs w:val="24"/>
        </w:rPr>
        <w:t xml:space="preserve"> and objective assessment at the beginning of induction may allow targeted training and support’ for new FY1s</w:t>
      </w:r>
      <w:r w:rsidR="006C7331">
        <w:rPr>
          <w:rFonts w:cs="Arial"/>
          <w:szCs w:val="24"/>
        </w:rPr>
        <w:t xml:space="preserve">. </w:t>
      </w:r>
      <w:r w:rsidR="00787821">
        <w:rPr>
          <w:rFonts w:cs="Arial"/>
          <w:szCs w:val="24"/>
        </w:rPr>
        <w:t>However the GMC state</w:t>
      </w:r>
      <w:r w:rsidR="0076277E">
        <w:rPr>
          <w:rFonts w:cs="Arial"/>
          <w:szCs w:val="24"/>
        </w:rPr>
        <w:t>s</w:t>
      </w:r>
      <w:r w:rsidR="00787821">
        <w:rPr>
          <w:rFonts w:cs="Arial"/>
          <w:szCs w:val="24"/>
        </w:rPr>
        <w:t xml:space="preserve"> that FY1s should be prepared for these skills </w:t>
      </w:r>
      <w:r w:rsidR="0076277E">
        <w:rPr>
          <w:rFonts w:cs="Arial"/>
          <w:szCs w:val="24"/>
        </w:rPr>
        <w:t>through</w:t>
      </w:r>
      <w:r w:rsidR="00787821">
        <w:rPr>
          <w:rFonts w:cs="Arial"/>
          <w:szCs w:val="24"/>
        </w:rPr>
        <w:t xml:space="preserve"> the</w:t>
      </w:r>
      <w:r w:rsidR="002A7966">
        <w:rPr>
          <w:rFonts w:cs="Arial"/>
          <w:szCs w:val="24"/>
        </w:rPr>
        <w:t>ir</w:t>
      </w:r>
      <w:r w:rsidR="00787821">
        <w:rPr>
          <w:rFonts w:cs="Arial"/>
          <w:szCs w:val="24"/>
        </w:rPr>
        <w:t xml:space="preserve"> undergraduate curriculum</w:t>
      </w:r>
      <w:r w:rsidR="002A7966">
        <w:rPr>
          <w:rFonts w:cs="Arial"/>
          <w:szCs w:val="24"/>
        </w:rPr>
        <w:t xml:space="preserve">. </w:t>
      </w:r>
      <w:r w:rsidR="00787821">
        <w:rPr>
          <w:rFonts w:cs="Arial"/>
          <w:szCs w:val="24"/>
        </w:rPr>
        <w:t>These issues should be addressed at undergraduate level and not left to induction programmes, which should focus on environmental and team familiarisation.</w:t>
      </w:r>
    </w:p>
    <w:p w14:paraId="27DE2694" w14:textId="7F11DECA" w:rsidR="00F6652D" w:rsidRDefault="00F6652D" w:rsidP="00CA53EB">
      <w:pPr>
        <w:pStyle w:val="Heading2"/>
      </w:pPr>
      <w:bookmarkStart w:id="53" w:name="_Toc343501100"/>
      <w:bookmarkStart w:id="54" w:name="_Toc348686301"/>
      <w:bookmarkStart w:id="55" w:name="_Toc419116097"/>
      <w:r w:rsidRPr="005F454B">
        <w:t>Summary</w:t>
      </w:r>
      <w:bookmarkEnd w:id="53"/>
      <w:bookmarkEnd w:id="54"/>
      <w:bookmarkEnd w:id="55"/>
    </w:p>
    <w:p w14:paraId="0C3C2429" w14:textId="77777777" w:rsidR="00260C40" w:rsidRDefault="00260C40" w:rsidP="00260C40"/>
    <w:p w14:paraId="78AC4AD4" w14:textId="580E2B9E" w:rsidR="006645F3" w:rsidRDefault="00260C40" w:rsidP="00260C40">
      <w:pPr>
        <w:rPr>
          <w:rFonts w:cs="Arial"/>
          <w:szCs w:val="24"/>
        </w:rPr>
      </w:pPr>
      <w:r>
        <w:rPr>
          <w:rFonts w:cs="Arial"/>
          <w:szCs w:val="24"/>
        </w:rPr>
        <w:t>From this review of the literature it is clear that medical students (</w:t>
      </w:r>
      <w:r w:rsidRPr="009E0A6E">
        <w:rPr>
          <w:rFonts w:cs="Arial"/>
          <w:szCs w:val="24"/>
        </w:rPr>
        <w:t>over 40% of UK medical graduates</w:t>
      </w:r>
      <w:r>
        <w:rPr>
          <w:rFonts w:cs="Arial"/>
          <w:szCs w:val="24"/>
        </w:rPr>
        <w:t>) do not feel prepared for clinical practice by the</w:t>
      </w:r>
      <w:r w:rsidR="00715DC2">
        <w:rPr>
          <w:rFonts w:cs="Arial"/>
          <w:szCs w:val="24"/>
        </w:rPr>
        <w:t>ir undergraduate curriculum</w:t>
      </w:r>
      <w:r w:rsidR="00AE49A2">
        <w:rPr>
          <w:rFonts w:cs="Arial"/>
          <w:szCs w:val="24"/>
        </w:rPr>
        <w:t xml:space="preserve"> </w:t>
      </w:r>
      <w:r w:rsidR="00AE49A2">
        <w:rPr>
          <w:rFonts w:cs="Arial"/>
          <w:szCs w:val="24"/>
        </w:rPr>
        <w:fldChar w:fldCharType="begin">
          <w:fldData xml:space="preserve">PEVuZE5vdGU+PENpdGU+PEF1dGhvcj5Hb2xkYWNyZTwvQXV0aG9yPjxZZWFyPjIwMTA8L1llYXI+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=
</w:fldData>
        </w:fldChar>
      </w:r>
      <w:r w:rsidR="00AE49A2">
        <w:rPr>
          <w:rFonts w:cs="Arial"/>
          <w:szCs w:val="24"/>
        </w:rPr>
        <w:instrText xml:space="preserve"> ADDIN EN.CITE </w:instrText>
      </w:r>
      <w:r w:rsidR="00AE49A2">
        <w:rPr>
          <w:rFonts w:cs="Arial"/>
          <w:szCs w:val="24"/>
        </w:rPr>
        <w:fldChar w:fldCharType="begin">
          <w:fldData xml:space="preserve">PEVuZE5vdGU+PENpdGU+PEF1dGhvcj5Hb2xkYWNyZTwvQXV0aG9yPjxZZWFyPjIwMTA8L1llYXI+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=
</w:fldData>
        </w:fldChar>
      </w:r>
      <w:r w:rsidR="00AE49A2">
        <w:rPr>
          <w:rFonts w:cs="Arial"/>
          <w:szCs w:val="24"/>
        </w:rPr>
        <w:instrText xml:space="preserve"> ADDIN EN.CITE.DATA </w:instrText>
      </w:r>
      <w:r w:rsidR="00AE49A2">
        <w:rPr>
          <w:rFonts w:cs="Arial"/>
          <w:szCs w:val="24"/>
        </w:rPr>
      </w:r>
      <w:r w:rsidR="00AE49A2">
        <w:rPr>
          <w:rFonts w:cs="Arial"/>
          <w:szCs w:val="24"/>
        </w:rPr>
        <w:fldChar w:fldCharType="end"/>
      </w:r>
      <w:r w:rsidR="00AE49A2">
        <w:rPr>
          <w:rFonts w:cs="Arial"/>
          <w:szCs w:val="24"/>
        </w:rPr>
      </w:r>
      <w:r w:rsidR="00AE49A2">
        <w:rPr>
          <w:rFonts w:cs="Arial"/>
          <w:szCs w:val="24"/>
        </w:rPr>
        <w:fldChar w:fldCharType="separate"/>
      </w:r>
      <w:r w:rsidR="00AE49A2">
        <w:rPr>
          <w:rFonts w:cs="Arial"/>
          <w:noProof/>
          <w:szCs w:val="24"/>
        </w:rPr>
        <w:t>(Goldacre et al., 2010, Cave et al., 2007)</w:t>
      </w:r>
      <w:r w:rsidR="00AE49A2">
        <w:rPr>
          <w:rFonts w:cs="Arial"/>
          <w:szCs w:val="24"/>
        </w:rPr>
        <w:fldChar w:fldCharType="end"/>
      </w:r>
      <w:r w:rsidR="00715DC2">
        <w:rPr>
          <w:rFonts w:cs="Arial"/>
          <w:szCs w:val="24"/>
        </w:rPr>
        <w:t>.</w:t>
      </w:r>
      <w:r w:rsidR="006645F3">
        <w:rPr>
          <w:rFonts w:cs="Arial"/>
          <w:szCs w:val="24"/>
        </w:rPr>
        <w:t xml:space="preserve"> It is less clear whether this pattern is increasing or decreasing owing to variability in studies.</w:t>
      </w:r>
      <w:r w:rsidR="00715DC2">
        <w:rPr>
          <w:rFonts w:cs="Arial"/>
          <w:szCs w:val="24"/>
        </w:rPr>
        <w:t xml:space="preserve"> </w:t>
      </w:r>
    </w:p>
    <w:p w14:paraId="450F1D3B" w14:textId="07166655" w:rsidR="006645F3" w:rsidRDefault="00535D46" w:rsidP="00260C40">
      <w:pPr>
        <w:rPr>
          <w:rFonts w:cs="Arial"/>
          <w:szCs w:val="24"/>
        </w:rPr>
      </w:pPr>
      <w:r>
        <w:rPr>
          <w:rFonts w:cs="Arial"/>
          <w:szCs w:val="24"/>
        </w:rPr>
        <w:t>Undergraduates</w:t>
      </w:r>
      <w:r w:rsidR="00124AD2">
        <w:rPr>
          <w:rFonts w:cs="Arial"/>
          <w:szCs w:val="24"/>
        </w:rPr>
        <w:t xml:space="preserve"> appear to be least prepared </w:t>
      </w:r>
      <w:r w:rsidR="002A7100">
        <w:rPr>
          <w:rFonts w:cs="Arial"/>
          <w:szCs w:val="24"/>
        </w:rPr>
        <w:t xml:space="preserve">(subjectively and objectively) </w:t>
      </w:r>
      <w:r w:rsidR="00124AD2">
        <w:rPr>
          <w:rFonts w:cs="Arial"/>
          <w:szCs w:val="24"/>
        </w:rPr>
        <w:t xml:space="preserve">for clinical </w:t>
      </w:r>
      <w:r w:rsidR="001D42C9">
        <w:rPr>
          <w:rFonts w:cs="Arial"/>
          <w:szCs w:val="24"/>
        </w:rPr>
        <w:t>decision-making</w:t>
      </w:r>
      <w:r w:rsidR="00124AD2">
        <w:rPr>
          <w:rFonts w:cs="Arial"/>
          <w:szCs w:val="24"/>
        </w:rPr>
        <w:t xml:space="preserve">, </w:t>
      </w:r>
      <w:r w:rsidR="002A7100">
        <w:rPr>
          <w:rFonts w:cs="Arial"/>
          <w:szCs w:val="24"/>
        </w:rPr>
        <w:t xml:space="preserve">acute care management </w:t>
      </w:r>
      <w:r w:rsidR="00124AD2">
        <w:rPr>
          <w:rFonts w:cs="Arial"/>
          <w:szCs w:val="24"/>
        </w:rPr>
        <w:t>and prioritisati</w:t>
      </w:r>
      <w:r w:rsidR="002A7100">
        <w:rPr>
          <w:rFonts w:cs="Arial"/>
          <w:szCs w:val="24"/>
        </w:rPr>
        <w:t xml:space="preserve">on of tasks when under pressure </w:t>
      </w:r>
      <w:r w:rsidR="002A7100">
        <w:rPr>
          <w:rFonts w:cs="Arial"/>
          <w:szCs w:val="24"/>
        </w:rPr>
        <w:fldChar w:fldCharType="begin"/>
      </w:r>
      <w:r w:rsidR="002A7100">
        <w:rPr>
          <w:rFonts w:cs="Arial"/>
          <w:szCs w:val="24"/>
        </w:rPr>
        <w:instrText xml:space="preserve"> ADDIN EN.CITE &lt;EndNote&gt;&lt;Cite&gt;&lt;Author&gt;Tallentire&lt;/Author&gt;&lt;Year&gt;2012&lt;/Year&gt;&lt;IDText&gt;The preparedness of UK graduates in acute care: a systematic literature review&lt;/IDText&gt;&lt;DisplayText&gt;(Tallentire et al., 2012b)&lt;/DisplayText&gt;&lt;record&gt;&lt;dates&gt;&lt;pub-dates&gt;&lt;date&gt;Jul&lt;/date&gt;&lt;/pub-dates&gt;&lt;year&gt;2012&lt;/year&gt;&lt;/dates&gt;&lt;keywords&gt;&lt;keyword&gt;Attitude of Health Personnel&lt;/keyword&gt;&lt;keyword&gt;Clinical Competence&lt;/keyword&gt;&lt;keyword&gt;Critical Care&lt;/keyword&gt;&lt;keyword&gt;Education, Medical, Graduate&lt;/keyword&gt;&lt;keyword&gt;Educational Measurement&lt;/keyword&gt;&lt;keyword&gt;Female&lt;/keyword&gt;&lt;keyword&gt;Great Britain&lt;/keyword&gt;&lt;keyword&gt;Humans&lt;/keyword&gt;&lt;keyword&gt;Judgment&lt;/keyword&gt;&lt;keyword&gt;Male&lt;/keyword&gt;&lt;keyword&gt;Students, Medical&lt;/keyword&gt;&lt;keyword&gt;Surveys and Questionnaires&lt;/keyword&gt;&lt;/keywords&gt;&lt;urls&gt;&lt;related-urls&gt;&lt;url&gt;http://www.ncbi.nlm.nih.gov/pubmed/22167809&lt;/url&gt;&lt;/related-urls&gt;&lt;/urls&gt;&lt;isbn&gt;1469-0756&lt;/isbn&gt;&lt;titles&gt;&lt;title&gt;The preparedness of UK graduates in acute care: a systematic literature review&lt;/title&gt;&lt;secondary-title&gt;Postgrad Med J&lt;/secondary-title&gt;&lt;/titles&gt;&lt;pages&gt;365-71&lt;/pages&gt;&lt;number&gt;1041&lt;/number&gt;&lt;contributors&gt;&lt;authors&gt;&lt;author&gt;Tallentire, V. R.&lt;/author&gt;&lt;author&gt;Smith, S. E.&lt;/author&gt;&lt;author&gt;Skinner, J.&lt;/author&gt;&lt;author&gt;Cameron, H. S.&lt;/author&gt;&lt;/authors&gt;&lt;/contributors&gt;&lt;language&gt;eng&lt;/language&gt;&lt;added-date format="utc"&gt;1455617409&lt;/added-date&gt;&lt;ref-type name="Journal Article"&gt;17&lt;/ref-type&gt;&lt;rec-number&gt;163&lt;/rec-number&gt;&lt;last-updated-date format="utc"&gt;1455617409&lt;/last-updated-date&gt;&lt;accession-num&gt;22167809&lt;/accession-num&gt;&lt;electronic-resource-num&gt;10.1136/postgradmedj-2011-130232&lt;/electronic-resource-num&gt;&lt;volume&gt;88&lt;/volume&gt;&lt;/record&gt;&lt;/Cite&gt;&lt;/EndNote&gt;</w:instrText>
      </w:r>
      <w:r w:rsidR="002A7100">
        <w:rPr>
          <w:rFonts w:cs="Arial"/>
          <w:szCs w:val="24"/>
        </w:rPr>
        <w:fldChar w:fldCharType="separate"/>
      </w:r>
      <w:r w:rsidR="002A7100">
        <w:rPr>
          <w:rFonts w:cs="Arial"/>
          <w:noProof/>
          <w:szCs w:val="24"/>
        </w:rPr>
        <w:t>(Tallentire et al., 2012b)</w:t>
      </w:r>
      <w:r w:rsidR="002A7100">
        <w:rPr>
          <w:rFonts w:cs="Arial"/>
          <w:szCs w:val="24"/>
        </w:rPr>
        <w:fldChar w:fldCharType="end"/>
      </w:r>
      <w:r w:rsidR="002A7100">
        <w:rPr>
          <w:rFonts w:cs="Arial"/>
          <w:szCs w:val="24"/>
        </w:rPr>
        <w:t xml:space="preserve">. </w:t>
      </w:r>
      <w:r w:rsidR="004D052A">
        <w:rPr>
          <w:rFonts w:cs="Arial"/>
          <w:szCs w:val="24"/>
        </w:rPr>
        <w:t>Human factors education is important to support clinical decision-making, managing complexity and enhancing patient safety.</w:t>
      </w:r>
      <w:r w:rsidR="002A7100" w:rsidRPr="002A7100">
        <w:rPr>
          <w:rFonts w:cs="Arial"/>
          <w:szCs w:val="24"/>
        </w:rPr>
        <w:t xml:space="preserve"> </w:t>
      </w:r>
      <w:r w:rsidR="002A7100">
        <w:rPr>
          <w:rFonts w:cs="Arial"/>
          <w:szCs w:val="24"/>
        </w:rPr>
        <w:t>Multiple perspectives appear to add value when exploring preparedness.</w:t>
      </w:r>
    </w:p>
    <w:p w14:paraId="1C8BCA52" w14:textId="51E74E32" w:rsidR="00260C40" w:rsidRDefault="002A7100" w:rsidP="00260C40">
      <w:pPr>
        <w:rPr>
          <w:rFonts w:cs="Arial"/>
          <w:szCs w:val="24"/>
        </w:rPr>
      </w:pPr>
      <w:r>
        <w:rPr>
          <w:rFonts w:cs="Arial"/>
          <w:szCs w:val="24"/>
        </w:rPr>
        <w:t>Assessment of preparedness for practice appears to be important because it is used by the GMC to rank medical schools. What is meant and interpreted by preparedness is unclear (anticipated vs. retrospective, subjective vs. objective, confidence vs. capability), leading to</w:t>
      </w:r>
      <w:r w:rsidR="00D50891">
        <w:rPr>
          <w:rFonts w:cs="Arial"/>
          <w:szCs w:val="24"/>
        </w:rPr>
        <w:t xml:space="preserve"> </w:t>
      </w:r>
      <w:r w:rsidR="0076277E">
        <w:rPr>
          <w:rFonts w:cs="Arial"/>
          <w:szCs w:val="24"/>
        </w:rPr>
        <w:t xml:space="preserve">a </w:t>
      </w:r>
      <w:r w:rsidR="00D50891">
        <w:rPr>
          <w:rFonts w:cs="Arial"/>
          <w:szCs w:val="24"/>
        </w:rPr>
        <w:t>challenge in</w:t>
      </w:r>
      <w:r>
        <w:rPr>
          <w:rFonts w:cs="Arial"/>
          <w:szCs w:val="24"/>
        </w:rPr>
        <w:t xml:space="preserve"> appropriate </w:t>
      </w:r>
      <w:r w:rsidR="00D50891">
        <w:rPr>
          <w:rFonts w:cs="Arial"/>
          <w:szCs w:val="24"/>
        </w:rPr>
        <w:t>measure</w:t>
      </w:r>
      <w:r>
        <w:rPr>
          <w:rFonts w:cs="Arial"/>
          <w:szCs w:val="24"/>
        </w:rPr>
        <w:t>ment</w:t>
      </w:r>
      <w:r w:rsidR="0051625C">
        <w:rPr>
          <w:rFonts w:cs="Arial"/>
          <w:szCs w:val="24"/>
        </w:rPr>
        <w:t xml:space="preserve">. </w:t>
      </w:r>
      <w:r w:rsidR="00535D46">
        <w:rPr>
          <w:rFonts w:cs="Arial"/>
          <w:szCs w:val="24"/>
        </w:rPr>
        <w:lastRenderedPageBreak/>
        <w:t>S</w:t>
      </w:r>
      <w:r w:rsidR="00D50891">
        <w:rPr>
          <w:rFonts w:cs="Arial"/>
          <w:szCs w:val="24"/>
        </w:rPr>
        <w:t>elf</w:t>
      </w:r>
      <w:r w:rsidR="0051625C">
        <w:rPr>
          <w:rFonts w:cs="Arial"/>
          <w:szCs w:val="24"/>
        </w:rPr>
        <w:t>-</w:t>
      </w:r>
      <w:r w:rsidR="00D50891">
        <w:rPr>
          <w:rFonts w:cs="Arial"/>
          <w:szCs w:val="24"/>
        </w:rPr>
        <w:t>perceived anticipated preparedness does seem to correlate</w:t>
      </w:r>
      <w:r w:rsidR="00535D46">
        <w:rPr>
          <w:rFonts w:cs="Arial"/>
          <w:szCs w:val="24"/>
        </w:rPr>
        <w:t xml:space="preserve"> with</w:t>
      </w:r>
      <w:r w:rsidR="00D50891">
        <w:rPr>
          <w:rFonts w:cs="Arial"/>
          <w:szCs w:val="24"/>
        </w:rPr>
        <w:t xml:space="preserve"> objective performance in the workplace</w:t>
      </w:r>
      <w:r w:rsidR="00AE1F89">
        <w:rPr>
          <w:rFonts w:cs="Arial"/>
          <w:szCs w:val="24"/>
        </w:rPr>
        <w:t xml:space="preserve"> </w:t>
      </w:r>
      <w:r w:rsidR="00AE49A2">
        <w:rPr>
          <w:rFonts w:cs="Arial"/>
          <w:szCs w:val="24"/>
        </w:rPr>
        <w:fldChar w:fldCharType="begin">
          <w:fldData xml:space="preserve">PEVuZE5vdGU+PENpdGU+PEF1dGhvcj5UYWxsZW50aXJlPC9BdXRob3I+PFllYXI+MjAxMTwvWWVh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</w:fldData>
        </w:fldChar>
      </w:r>
      <w:r w:rsidR="00AE1F89">
        <w:rPr>
          <w:rFonts w:cs="Arial"/>
          <w:szCs w:val="24"/>
        </w:rPr>
        <w:instrText xml:space="preserve"> ADDIN EN.CITE </w:instrText>
      </w:r>
      <w:r w:rsidR="00AE1F89">
        <w:rPr>
          <w:rFonts w:cs="Arial"/>
          <w:szCs w:val="24"/>
        </w:rPr>
        <w:fldChar w:fldCharType="begin">
          <w:fldData xml:space="preserve">PEVuZE5vdGU+PENpdGU+PEF1dGhvcj5UYWxsZW50aXJlPC9BdXRob3I+PFllYXI+MjAxMTwvWWVh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</w:fldData>
        </w:fldChar>
      </w:r>
      <w:r w:rsidR="00AE1F89">
        <w:rPr>
          <w:rFonts w:cs="Arial"/>
          <w:szCs w:val="24"/>
        </w:rPr>
        <w:instrText xml:space="preserve"> ADDIN EN.CITE.DATA </w:instrText>
      </w:r>
      <w:r w:rsidR="00AE1F89">
        <w:rPr>
          <w:rFonts w:cs="Arial"/>
          <w:szCs w:val="24"/>
        </w:rPr>
      </w:r>
      <w:r w:rsidR="00AE1F89">
        <w:rPr>
          <w:rFonts w:cs="Arial"/>
          <w:szCs w:val="24"/>
        </w:rPr>
        <w:fldChar w:fldCharType="end"/>
      </w:r>
      <w:r w:rsidR="00AE49A2">
        <w:rPr>
          <w:rFonts w:cs="Arial"/>
          <w:szCs w:val="24"/>
        </w:rPr>
      </w:r>
      <w:r w:rsidR="00AE49A2">
        <w:rPr>
          <w:rFonts w:cs="Arial"/>
          <w:szCs w:val="24"/>
        </w:rPr>
        <w:fldChar w:fldCharType="separate"/>
      </w:r>
      <w:r w:rsidR="00AE1F89">
        <w:rPr>
          <w:rFonts w:cs="Arial"/>
          <w:noProof/>
          <w:szCs w:val="24"/>
        </w:rPr>
        <w:t>(Tallentire, 2011, Gordon, 1991, Morgan and Cleave-Hogg, 2002)</w:t>
      </w:r>
      <w:r w:rsidR="00AE49A2">
        <w:rPr>
          <w:rFonts w:cs="Arial"/>
          <w:szCs w:val="24"/>
        </w:rPr>
        <w:fldChar w:fldCharType="end"/>
      </w:r>
      <w:r w:rsidR="00D50891">
        <w:rPr>
          <w:rFonts w:cs="Arial"/>
          <w:szCs w:val="24"/>
        </w:rPr>
        <w:t>.</w:t>
      </w:r>
      <w:r w:rsidR="00535D46">
        <w:rPr>
          <w:rFonts w:cs="Arial"/>
          <w:szCs w:val="24"/>
        </w:rPr>
        <w:t xml:space="preserve"> </w:t>
      </w:r>
    </w:p>
    <w:p w14:paraId="39DD6D21" w14:textId="416FBB0E" w:rsidR="00260C40" w:rsidRDefault="006645F3" w:rsidP="00260C40">
      <w:pPr>
        <w:rPr>
          <w:rFonts w:cs="Arial"/>
          <w:szCs w:val="24"/>
        </w:rPr>
      </w:pPr>
      <w:r>
        <w:rPr>
          <w:rFonts w:cs="Arial"/>
          <w:szCs w:val="24"/>
        </w:rPr>
        <w:t>Some undergraduate curricula</w:t>
      </w:r>
      <w:r w:rsidR="00260C40">
        <w:rPr>
          <w:rFonts w:cs="Arial"/>
          <w:szCs w:val="24"/>
        </w:rPr>
        <w:t xml:space="preserve"> </w:t>
      </w:r>
      <w:r w:rsidR="00535D46">
        <w:rPr>
          <w:rFonts w:cs="Arial"/>
          <w:szCs w:val="24"/>
        </w:rPr>
        <w:t xml:space="preserve">have responded to </w:t>
      </w:r>
      <w:proofErr w:type="spellStart"/>
      <w:r w:rsidR="001D42C9">
        <w:rPr>
          <w:rFonts w:cs="Arial"/>
          <w:szCs w:val="24"/>
        </w:rPr>
        <w:t>underpreparedness</w:t>
      </w:r>
      <w:proofErr w:type="spellEnd"/>
      <w:r w:rsidR="00535D46">
        <w:rPr>
          <w:rFonts w:cs="Arial"/>
          <w:szCs w:val="24"/>
        </w:rPr>
        <w:t xml:space="preserve"> </w:t>
      </w:r>
      <w:r w:rsidR="00260C40">
        <w:rPr>
          <w:rFonts w:cs="Arial"/>
          <w:szCs w:val="24"/>
        </w:rPr>
        <w:t>with altered shadowing programmes, student assistantships</w:t>
      </w:r>
      <w:r w:rsidR="00D50891">
        <w:rPr>
          <w:rFonts w:cs="Arial"/>
          <w:szCs w:val="24"/>
        </w:rPr>
        <w:t xml:space="preserve"> </w:t>
      </w:r>
      <w:r w:rsidR="00260C40">
        <w:rPr>
          <w:rFonts w:cs="Arial"/>
          <w:szCs w:val="24"/>
        </w:rPr>
        <w:t>and prolonged induction</w:t>
      </w:r>
      <w:r w:rsidR="0076277E">
        <w:rPr>
          <w:rFonts w:cs="Arial"/>
          <w:szCs w:val="24"/>
        </w:rPr>
        <w:t>,</w:t>
      </w:r>
      <w:r w:rsidR="004D052A">
        <w:rPr>
          <w:rFonts w:cs="Arial"/>
          <w:szCs w:val="24"/>
        </w:rPr>
        <w:t xml:space="preserve"> with mixed success</w:t>
      </w:r>
      <w:r w:rsidR="00D50891">
        <w:rPr>
          <w:rFonts w:cs="Arial"/>
          <w:szCs w:val="24"/>
        </w:rPr>
        <w:t xml:space="preserve"> </w:t>
      </w:r>
      <w:r w:rsidR="00AE1F89">
        <w:rPr>
          <w:rFonts w:cs="Arial"/>
          <w:szCs w:val="24"/>
        </w:rPr>
        <w:fldChar w:fldCharType="begin">
          <w:fldData xml:space="preserve">PEVuZE5vdGU+PENpdGU+PEF1dGhvcj5CbGVuY293ZTwvQXV0aG9yPjxZZWFyPjIwMTU8L1llYXI+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</w:fldData>
        </w:fldChar>
      </w:r>
      <w:r w:rsidR="00A53C43">
        <w:rPr>
          <w:rFonts w:cs="Arial"/>
          <w:szCs w:val="24"/>
        </w:rPr>
        <w:instrText xml:space="preserve"> ADDIN EN.CITE </w:instrText>
      </w:r>
      <w:r w:rsidR="00A53C43">
        <w:rPr>
          <w:rFonts w:cs="Arial"/>
          <w:szCs w:val="24"/>
        </w:rPr>
        <w:fldChar w:fldCharType="begin">
          <w:fldData xml:space="preserve">PEVuZE5vdGU+PENpdGU+PEF1dGhvcj5CbGVuY293ZTwvQXV0aG9yPjxZZWFyPjIwMTU8L1llYXI+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</w:fldData>
        </w:fldChar>
      </w:r>
      <w:r w:rsidR="00A53C43">
        <w:rPr>
          <w:rFonts w:cs="Arial"/>
          <w:szCs w:val="24"/>
        </w:rPr>
        <w:instrText xml:space="preserve"> ADDIN EN.CITE.DATA </w:instrText>
      </w:r>
      <w:r w:rsidR="00A53C43">
        <w:rPr>
          <w:rFonts w:cs="Arial"/>
          <w:szCs w:val="24"/>
        </w:rPr>
      </w:r>
      <w:r w:rsidR="00A53C43">
        <w:rPr>
          <w:rFonts w:cs="Arial"/>
          <w:szCs w:val="24"/>
        </w:rPr>
        <w:fldChar w:fldCharType="end"/>
      </w:r>
      <w:r w:rsidR="00AE1F89">
        <w:rPr>
          <w:rFonts w:cs="Arial"/>
          <w:szCs w:val="24"/>
        </w:rPr>
      </w:r>
      <w:r w:rsidR="00AE1F89">
        <w:rPr>
          <w:rFonts w:cs="Arial"/>
          <w:szCs w:val="24"/>
        </w:rPr>
        <w:fldChar w:fldCharType="separate"/>
      </w:r>
      <w:r w:rsidR="00A53C43">
        <w:rPr>
          <w:rFonts w:cs="Arial"/>
          <w:noProof/>
          <w:szCs w:val="24"/>
        </w:rPr>
        <w:t>(Blencowe et al., 2015, Evans et al., 2004, Berridge et al., 2007)</w:t>
      </w:r>
      <w:r w:rsidR="00AE1F89">
        <w:rPr>
          <w:rFonts w:cs="Arial"/>
          <w:szCs w:val="24"/>
        </w:rPr>
        <w:fldChar w:fldCharType="end"/>
      </w:r>
      <w:r w:rsidR="00260C40">
        <w:rPr>
          <w:rFonts w:cs="Arial"/>
          <w:szCs w:val="24"/>
        </w:rPr>
        <w:t xml:space="preserve">. </w:t>
      </w:r>
      <w:r w:rsidR="004D052A">
        <w:rPr>
          <w:rFonts w:cs="Arial"/>
          <w:szCs w:val="24"/>
        </w:rPr>
        <w:t xml:space="preserve"> </w:t>
      </w:r>
      <w:r w:rsidR="00D50891">
        <w:rPr>
          <w:rFonts w:cs="Arial"/>
          <w:szCs w:val="24"/>
        </w:rPr>
        <w:t xml:space="preserve">Almost all studies in the literature recommend </w:t>
      </w:r>
      <w:r w:rsidR="00535D46">
        <w:rPr>
          <w:rFonts w:cs="Arial"/>
          <w:szCs w:val="24"/>
        </w:rPr>
        <w:t>increase of</w:t>
      </w:r>
      <w:r w:rsidR="00D50891">
        <w:rPr>
          <w:rFonts w:cs="Arial"/>
          <w:szCs w:val="24"/>
        </w:rPr>
        <w:t xml:space="preserve"> workplace learning</w:t>
      </w:r>
      <w:r w:rsidR="00F13527">
        <w:rPr>
          <w:rFonts w:cs="Arial"/>
          <w:szCs w:val="24"/>
        </w:rPr>
        <w:t xml:space="preserve"> and</w:t>
      </w:r>
      <w:r w:rsidR="00D50891">
        <w:rPr>
          <w:rFonts w:cs="Arial"/>
          <w:szCs w:val="24"/>
        </w:rPr>
        <w:t xml:space="preserve"> more integration </w:t>
      </w:r>
      <w:r w:rsidR="000A27DF">
        <w:rPr>
          <w:rFonts w:cs="Arial"/>
          <w:szCs w:val="24"/>
        </w:rPr>
        <w:t>into</w:t>
      </w:r>
      <w:r w:rsidR="00D50891">
        <w:rPr>
          <w:rFonts w:cs="Arial"/>
          <w:szCs w:val="24"/>
        </w:rPr>
        <w:t xml:space="preserve"> patient care</w:t>
      </w:r>
      <w:r w:rsidR="00535D46">
        <w:rPr>
          <w:rFonts w:cs="Arial"/>
          <w:szCs w:val="24"/>
        </w:rPr>
        <w:t xml:space="preserve">. They </w:t>
      </w:r>
      <w:r w:rsidR="00D50891">
        <w:rPr>
          <w:rFonts w:cs="Arial"/>
          <w:szCs w:val="24"/>
        </w:rPr>
        <w:t>highlight issues with patient safety</w:t>
      </w:r>
      <w:r w:rsidR="004D052A">
        <w:rPr>
          <w:rFonts w:cs="Arial"/>
          <w:szCs w:val="24"/>
        </w:rPr>
        <w:t xml:space="preserve">, </w:t>
      </w:r>
      <w:r w:rsidR="00D50891">
        <w:rPr>
          <w:rFonts w:cs="Arial"/>
          <w:szCs w:val="24"/>
        </w:rPr>
        <w:t xml:space="preserve">exposure and quality </w:t>
      </w:r>
      <w:r w:rsidR="004D052A">
        <w:rPr>
          <w:rFonts w:cs="Arial"/>
          <w:szCs w:val="24"/>
        </w:rPr>
        <w:t xml:space="preserve">assurance </w:t>
      </w:r>
      <w:r w:rsidR="00A53C43">
        <w:rPr>
          <w:rFonts w:cs="Arial"/>
          <w:szCs w:val="24"/>
        </w:rPr>
        <w:fldChar w:fldCharType="begin">
          <w:fldData xml:space="preserve">PEVuZE5vdGU+PENpdGU+PEF1dGhvcj5IaXJzaDwvQXV0aG9yPjxZZWFyPjIwMTQ8L1llYXI+PElE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</w:fldData>
        </w:fldChar>
      </w:r>
      <w:r w:rsidR="004200FC">
        <w:rPr>
          <w:rFonts w:cs="Arial"/>
          <w:szCs w:val="24"/>
        </w:rPr>
        <w:instrText xml:space="preserve"> ADDIN EN.CITE </w:instrText>
      </w:r>
      <w:r w:rsidR="004200FC">
        <w:rPr>
          <w:rFonts w:cs="Arial"/>
          <w:szCs w:val="24"/>
        </w:rPr>
        <w:fldChar w:fldCharType="begin">
          <w:fldData xml:space="preserve">PEVuZE5vdGU+PENpdGU+PEF1dGhvcj5IaXJzaDwvQXV0aG9yPjxZZWFyPjIwMTQ8L1llYXI+PElE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</w:fldData>
        </w:fldChar>
      </w:r>
      <w:r w:rsidR="004200FC">
        <w:rPr>
          <w:rFonts w:cs="Arial"/>
          <w:szCs w:val="24"/>
        </w:rPr>
        <w:instrText xml:space="preserve"> ADDIN EN.CITE.DATA </w:instrText>
      </w:r>
      <w:r w:rsidR="004200FC">
        <w:rPr>
          <w:rFonts w:cs="Arial"/>
          <w:szCs w:val="24"/>
        </w:rPr>
      </w:r>
      <w:r w:rsidR="004200FC">
        <w:rPr>
          <w:rFonts w:cs="Arial"/>
          <w:szCs w:val="24"/>
        </w:rPr>
        <w:fldChar w:fldCharType="end"/>
      </w:r>
      <w:r w:rsidR="00A53C43">
        <w:rPr>
          <w:rFonts w:cs="Arial"/>
          <w:szCs w:val="24"/>
        </w:rPr>
      </w:r>
      <w:r w:rsidR="00A53C43">
        <w:rPr>
          <w:rFonts w:cs="Arial"/>
          <w:szCs w:val="24"/>
        </w:rPr>
        <w:fldChar w:fldCharType="separate"/>
      </w:r>
      <w:r w:rsidR="004200FC">
        <w:rPr>
          <w:rFonts w:cs="Arial"/>
          <w:noProof/>
          <w:szCs w:val="24"/>
        </w:rPr>
        <w:t>(Hirsh et al., 2014, Smith et al., 2013)</w:t>
      </w:r>
      <w:r w:rsidR="00A53C43">
        <w:rPr>
          <w:rFonts w:cs="Arial"/>
          <w:szCs w:val="24"/>
        </w:rPr>
        <w:fldChar w:fldCharType="end"/>
      </w:r>
      <w:r w:rsidR="00D50891">
        <w:rPr>
          <w:rFonts w:cs="Arial"/>
          <w:szCs w:val="24"/>
        </w:rPr>
        <w:t xml:space="preserve">. </w:t>
      </w:r>
      <w:r w:rsidR="002A7100">
        <w:rPr>
          <w:rFonts w:cs="Arial"/>
          <w:szCs w:val="24"/>
        </w:rPr>
        <w:t xml:space="preserve">There seems to be development required for medical school curricula, student development and supervisor skills. </w:t>
      </w:r>
    </w:p>
    <w:p w14:paraId="4C981309" w14:textId="7FE48829" w:rsidR="00260C40" w:rsidRDefault="00260C40" w:rsidP="00260C40">
      <w:pPr>
        <w:rPr>
          <w:rFonts w:cs="Arial"/>
          <w:szCs w:val="24"/>
        </w:rPr>
      </w:pPr>
      <w:r>
        <w:rPr>
          <w:rFonts w:cs="Arial"/>
          <w:szCs w:val="24"/>
        </w:rPr>
        <w:t xml:space="preserve">The GMC recommends the use of simulated environments and patients to aid experiential learning and highlights the importance of </w:t>
      </w:r>
      <w:r w:rsidR="00A645DC">
        <w:rPr>
          <w:rFonts w:cs="Arial"/>
          <w:szCs w:val="24"/>
        </w:rPr>
        <w:t>interprofessional</w:t>
      </w:r>
      <w:r>
        <w:rPr>
          <w:rFonts w:cs="Arial"/>
          <w:szCs w:val="24"/>
        </w:rPr>
        <w:t xml:space="preserve"> learning.</w:t>
      </w:r>
      <w:r w:rsidR="00715DC2">
        <w:rPr>
          <w:rFonts w:cs="Arial"/>
          <w:szCs w:val="24"/>
        </w:rPr>
        <w:t xml:space="preserve"> </w:t>
      </w:r>
      <w:r w:rsidR="002A7100">
        <w:rPr>
          <w:rFonts w:cs="Arial"/>
          <w:szCs w:val="24"/>
        </w:rPr>
        <w:t xml:space="preserve"> </w:t>
      </w:r>
      <w:r>
        <w:rPr>
          <w:rFonts w:cs="Arial"/>
          <w:szCs w:val="24"/>
        </w:rPr>
        <w:t>With increased technology available for education, particular</w:t>
      </w:r>
      <w:r w:rsidR="006645F3">
        <w:rPr>
          <w:rFonts w:cs="Arial"/>
          <w:szCs w:val="24"/>
        </w:rPr>
        <w:t>ly high-fidelity simulators, utility and methodology must be evaluated</w:t>
      </w:r>
      <w:r>
        <w:rPr>
          <w:rFonts w:cs="Arial"/>
          <w:szCs w:val="24"/>
        </w:rPr>
        <w:t xml:space="preserve"> appropriately</w:t>
      </w:r>
      <w:r w:rsidR="002A7100">
        <w:rPr>
          <w:rFonts w:cs="Arial"/>
          <w:szCs w:val="24"/>
        </w:rPr>
        <w:t xml:space="preserve">. </w:t>
      </w:r>
      <w:r w:rsidR="004200FC">
        <w:rPr>
          <w:rFonts w:cs="Arial"/>
          <w:szCs w:val="24"/>
        </w:rPr>
        <w:t>The literature</w:t>
      </w:r>
      <w:r w:rsidR="006959A7">
        <w:rPr>
          <w:rFonts w:cs="Arial"/>
          <w:szCs w:val="24"/>
        </w:rPr>
        <w:t xml:space="preserve"> </w:t>
      </w:r>
      <w:r w:rsidR="004200FC">
        <w:rPr>
          <w:rFonts w:cs="Arial"/>
          <w:szCs w:val="24"/>
        </w:rPr>
        <w:t>demonstrates</w:t>
      </w:r>
      <w:r>
        <w:rPr>
          <w:rFonts w:cs="Arial"/>
          <w:szCs w:val="24"/>
        </w:rPr>
        <w:t xml:space="preserve"> that </w:t>
      </w:r>
      <w:r w:rsidR="0076277E">
        <w:rPr>
          <w:rFonts w:cs="Arial"/>
          <w:szCs w:val="24"/>
        </w:rPr>
        <w:t xml:space="preserve">SBME </w:t>
      </w:r>
      <w:r>
        <w:rPr>
          <w:rFonts w:cs="Arial"/>
          <w:szCs w:val="24"/>
        </w:rPr>
        <w:t xml:space="preserve">does translate </w:t>
      </w:r>
      <w:r w:rsidR="000A27DF">
        <w:rPr>
          <w:rFonts w:cs="Arial"/>
          <w:szCs w:val="24"/>
        </w:rPr>
        <w:t>into</w:t>
      </w:r>
      <w:r>
        <w:rPr>
          <w:rFonts w:cs="Arial"/>
          <w:szCs w:val="24"/>
        </w:rPr>
        <w:t xml:space="preserve"> clinical practice with positive effects</w:t>
      </w:r>
      <w:r w:rsidR="004200FC">
        <w:rPr>
          <w:rFonts w:cs="Arial"/>
          <w:szCs w:val="24"/>
        </w:rPr>
        <w:t xml:space="preserve"> </w:t>
      </w:r>
      <w:r w:rsidR="004200FC">
        <w:rPr>
          <w:rFonts w:cs="Arial"/>
          <w:szCs w:val="24"/>
        </w:rPr>
        <w:fldChar w:fldCharType="begin"/>
      </w:r>
      <w:r w:rsidR="004200FC">
        <w:rPr>
          <w:rFonts w:cs="Arial"/>
          <w:szCs w:val="24"/>
        </w:rPr>
        <w:instrText xml:space="preserve"> ADDIN EN.CITE &lt;EndNote&gt;&lt;Cite&gt;&lt;Author&gt;McGaghie&lt;/Author&gt;&lt;Year&gt;2011&lt;/Year&gt;&lt;IDText&gt;Does Simulation-Based Medical Education With Deliberate Practice Yield Better Results Than Traditional Clinical Education? A Meta-Analytic Comparative Review of the Evidence&lt;/IDText&gt;&lt;DisplayText&gt;(McGaghie et al., 2011)&lt;/DisplayText&gt;&lt;record&gt;&lt;dates&gt;&lt;pub-dates&gt;&lt;date&gt;Jun&lt;/date&gt;&lt;/pub-dates&gt;&lt;year&gt;2011&lt;/year&gt;&lt;/dates&gt;&lt;urls&gt;&lt;related-urls&gt;&lt;url&gt;&amp;lt;Go to ISI&amp;gt;://WOS:000291006100018&lt;/url&gt;&lt;/related-urls&gt;&lt;/urls&gt;&lt;isbn&gt;1040-2446&lt;/isbn&gt;&lt;titles&gt;&lt;title&gt;Does Simulation-Based Medical Education With Deliberate Practice Yield Better Results Than Traditional Clinical Education? A Meta-Analytic Comparative Review of the Evidence&lt;/title&gt;&lt;secondary-title&gt;Academic Medicine&lt;/secondary-title&gt;&lt;/titles&gt;&lt;pages&gt;706-711&lt;/pages&gt;&lt;number&gt;6&lt;/number&gt;&lt;contributors&gt;&lt;authors&gt;&lt;author&gt;McGaghie, William C.&lt;/author&gt;&lt;author&gt;Issenberg, S. Barry&lt;/author&gt;&lt;author&gt;Cohen, Elaine R.&lt;/author&gt;&lt;author&gt;Barsuk, Jeffrey H.&lt;/author&gt;&lt;author&gt;Wayne, Diane B.&lt;/author&gt;&lt;/authors&gt;&lt;/contributors&gt;&lt;added-date format="utc"&gt;1390841594&lt;/added-date&gt;&lt;ref-type name="Journal Article"&gt;17&lt;/ref-type&gt;&lt;rec-number&gt;14&lt;/rec-number&gt;&lt;last-updated-date format="utc"&gt;1390843746&lt;/last-updated-date&gt;&lt;accession-num&gt;WOS:000291006100018&lt;/accession-num&gt;&lt;electronic-resource-num&gt;10.1097/ACM.0b013e318217e119&lt;/electronic-resource-num&gt;&lt;volume&gt;86&lt;/volume&gt;&lt;/record&gt;&lt;/Cite&gt;&lt;/EndNote&gt;</w:instrText>
      </w:r>
      <w:r w:rsidR="004200FC">
        <w:rPr>
          <w:rFonts w:cs="Arial"/>
          <w:szCs w:val="24"/>
        </w:rPr>
        <w:fldChar w:fldCharType="separate"/>
      </w:r>
      <w:r w:rsidR="004200FC">
        <w:rPr>
          <w:rFonts w:cs="Arial"/>
          <w:noProof/>
          <w:szCs w:val="24"/>
        </w:rPr>
        <w:t>(McGaghie et al., 2011)</w:t>
      </w:r>
      <w:r w:rsidR="004200FC">
        <w:rPr>
          <w:rFonts w:cs="Arial"/>
          <w:szCs w:val="24"/>
        </w:rPr>
        <w:fldChar w:fldCharType="end"/>
      </w:r>
      <w:r>
        <w:rPr>
          <w:rFonts w:cs="Arial"/>
          <w:szCs w:val="24"/>
        </w:rPr>
        <w:t xml:space="preserve">. </w:t>
      </w:r>
      <w:r w:rsidR="006959A7">
        <w:rPr>
          <w:rFonts w:cs="Arial"/>
          <w:szCs w:val="24"/>
        </w:rPr>
        <w:t xml:space="preserve">A </w:t>
      </w:r>
      <w:r>
        <w:rPr>
          <w:rFonts w:cs="Arial"/>
          <w:szCs w:val="24"/>
        </w:rPr>
        <w:t xml:space="preserve">well-designed </w:t>
      </w:r>
      <w:r w:rsidR="006959A7">
        <w:rPr>
          <w:rFonts w:cs="Arial"/>
          <w:szCs w:val="24"/>
        </w:rPr>
        <w:t xml:space="preserve">high fidelity </w:t>
      </w:r>
      <w:r>
        <w:rPr>
          <w:rFonts w:cs="Arial"/>
          <w:szCs w:val="24"/>
        </w:rPr>
        <w:t xml:space="preserve">simulation </w:t>
      </w:r>
      <w:r w:rsidR="006959A7">
        <w:rPr>
          <w:rFonts w:cs="Arial"/>
          <w:szCs w:val="24"/>
        </w:rPr>
        <w:t xml:space="preserve">intervention, </w:t>
      </w:r>
      <w:r>
        <w:rPr>
          <w:rFonts w:cs="Arial"/>
          <w:szCs w:val="24"/>
        </w:rPr>
        <w:t>addressing the requirements by the G</w:t>
      </w:r>
      <w:r w:rsidR="006645F3">
        <w:rPr>
          <w:rFonts w:cs="Arial"/>
          <w:szCs w:val="24"/>
        </w:rPr>
        <w:t xml:space="preserve">MC may be a feasible way of </w:t>
      </w:r>
      <w:r>
        <w:rPr>
          <w:rFonts w:cs="Arial"/>
          <w:szCs w:val="24"/>
        </w:rPr>
        <w:t xml:space="preserve">improving undergraduate medical students’ preparedness for practice as a junior doctor. </w:t>
      </w:r>
    </w:p>
    <w:p w14:paraId="7A43F343" w14:textId="499A6AFB" w:rsidR="00260C40" w:rsidRDefault="0076277E" w:rsidP="00260C40">
      <w:pPr>
        <w:rPr>
          <w:rFonts w:cs="Arial"/>
          <w:szCs w:val="24"/>
        </w:rPr>
      </w:pPr>
      <w:r>
        <w:rPr>
          <w:rFonts w:cs="Arial"/>
          <w:szCs w:val="24"/>
        </w:rPr>
        <w:t>The f</w:t>
      </w:r>
      <w:r w:rsidR="00907289">
        <w:rPr>
          <w:rFonts w:cs="Arial"/>
          <w:szCs w:val="24"/>
        </w:rPr>
        <w:t>ocus will be on whether a simulated encounter</w:t>
      </w:r>
      <w:r w:rsidR="000E7D95">
        <w:rPr>
          <w:rFonts w:cs="Arial"/>
          <w:szCs w:val="24"/>
        </w:rPr>
        <w:t xml:space="preserve"> can be created</w:t>
      </w:r>
      <w:r w:rsidR="00907289">
        <w:rPr>
          <w:rFonts w:cs="Arial"/>
          <w:szCs w:val="24"/>
        </w:rPr>
        <w:t xml:space="preserve"> to try</w:t>
      </w:r>
      <w:r>
        <w:rPr>
          <w:rFonts w:cs="Arial"/>
          <w:szCs w:val="24"/>
        </w:rPr>
        <w:t xml:space="preserve"> to</w:t>
      </w:r>
      <w:r w:rsidR="00907289">
        <w:rPr>
          <w:rFonts w:cs="Arial"/>
          <w:szCs w:val="24"/>
        </w:rPr>
        <w:t xml:space="preserve"> address these issues and expectations. Th</w:t>
      </w:r>
      <w:r w:rsidR="00A71E69">
        <w:rPr>
          <w:rFonts w:cs="Arial"/>
          <w:szCs w:val="24"/>
        </w:rPr>
        <w:t>e</w:t>
      </w:r>
      <w:r w:rsidR="00907289">
        <w:rPr>
          <w:rFonts w:cs="Arial"/>
          <w:szCs w:val="24"/>
        </w:rPr>
        <w:t xml:space="preserve"> literature has emphasised the </w:t>
      </w:r>
      <w:r w:rsidR="00907289">
        <w:rPr>
          <w:rFonts w:cs="Arial"/>
          <w:szCs w:val="24"/>
        </w:rPr>
        <w:lastRenderedPageBreak/>
        <w:t xml:space="preserve">value of both quantitative and qualitative methods to understand and guide future work. </w:t>
      </w:r>
    </w:p>
    <w:p w14:paraId="4406F401" w14:textId="77777777" w:rsidR="0012454C" w:rsidRPr="0012454C" w:rsidRDefault="0012454C" w:rsidP="00260C40">
      <w:pPr>
        <w:rPr>
          <w:rFonts w:cs="Arial"/>
          <w:szCs w:val="24"/>
        </w:rPr>
      </w:pPr>
    </w:p>
    <w:p w14:paraId="7325F5EB" w14:textId="4CD9A372" w:rsidR="00E830C5" w:rsidRDefault="00F6652D" w:rsidP="00CA53EB">
      <w:pPr>
        <w:pStyle w:val="Heading2"/>
      </w:pPr>
      <w:bookmarkStart w:id="56" w:name="_Toc343501101"/>
      <w:bookmarkStart w:id="57" w:name="_Toc348686302"/>
      <w:bookmarkStart w:id="58" w:name="_Toc419116098"/>
      <w:r w:rsidRPr="005F454B">
        <w:t>Research question</w:t>
      </w:r>
      <w:bookmarkEnd w:id="56"/>
      <w:bookmarkEnd w:id="57"/>
      <w:bookmarkEnd w:id="58"/>
    </w:p>
    <w:p w14:paraId="33EE446F" w14:textId="77777777" w:rsidR="00260C40" w:rsidRDefault="00260C40" w:rsidP="00260C40"/>
    <w:p w14:paraId="2972EAB0" w14:textId="5ACB4E43" w:rsidR="00DD47DD" w:rsidRDefault="00DD47DD" w:rsidP="00260C40">
      <w:pPr>
        <w:rPr>
          <w:rFonts w:cs="Arial"/>
          <w:szCs w:val="24"/>
        </w:rPr>
      </w:pPr>
      <w:r>
        <w:rPr>
          <w:rFonts w:cs="Arial"/>
          <w:szCs w:val="24"/>
        </w:rPr>
        <w:t xml:space="preserve">This study aimed to address the gap in the literature by asking: </w:t>
      </w:r>
    </w:p>
    <w:p w14:paraId="010BEDCD" w14:textId="4A0E87E5" w:rsidR="00260C40" w:rsidRDefault="00260C40" w:rsidP="00260C40">
      <w:pPr>
        <w:rPr>
          <w:rFonts w:cs="Arial"/>
          <w:szCs w:val="24"/>
        </w:rPr>
      </w:pPr>
      <w:r>
        <w:rPr>
          <w:rFonts w:cs="Arial"/>
          <w:szCs w:val="24"/>
        </w:rPr>
        <w:t xml:space="preserve">How does a realistic simulation course affect </w:t>
      </w:r>
      <w:r w:rsidR="007C1B21">
        <w:rPr>
          <w:rFonts w:cs="Arial"/>
          <w:szCs w:val="24"/>
        </w:rPr>
        <w:t xml:space="preserve">preparedness and confidence of final </w:t>
      </w:r>
      <w:r>
        <w:rPr>
          <w:rFonts w:cs="Arial"/>
          <w:szCs w:val="24"/>
        </w:rPr>
        <w:t xml:space="preserve">year medical </w:t>
      </w:r>
      <w:r w:rsidR="007C1B21">
        <w:rPr>
          <w:rFonts w:cs="Arial"/>
          <w:szCs w:val="24"/>
        </w:rPr>
        <w:t xml:space="preserve">students for </w:t>
      </w:r>
      <w:r w:rsidR="00473F23">
        <w:rPr>
          <w:rFonts w:cs="Arial"/>
          <w:szCs w:val="24"/>
        </w:rPr>
        <w:t>FY1</w:t>
      </w:r>
      <w:r w:rsidR="007C1B21">
        <w:rPr>
          <w:rFonts w:cs="Arial"/>
          <w:szCs w:val="24"/>
        </w:rPr>
        <w:t>?</w:t>
      </w:r>
    </w:p>
    <w:p w14:paraId="6ECCDF3C" w14:textId="10BF5A4C" w:rsidR="007C1B21" w:rsidRDefault="007C1B21" w:rsidP="00260C40">
      <w:pPr>
        <w:rPr>
          <w:rFonts w:cs="Arial"/>
          <w:szCs w:val="24"/>
        </w:rPr>
      </w:pPr>
      <w:r>
        <w:rPr>
          <w:rFonts w:cs="Arial"/>
          <w:szCs w:val="24"/>
        </w:rPr>
        <w:t xml:space="preserve">Research question: </w:t>
      </w:r>
      <w:r w:rsidR="00473F23">
        <w:rPr>
          <w:rFonts w:cs="Arial"/>
          <w:szCs w:val="24"/>
        </w:rPr>
        <w:t xml:space="preserve">How can </w:t>
      </w:r>
      <w:r>
        <w:rPr>
          <w:rFonts w:cs="Arial"/>
          <w:szCs w:val="24"/>
        </w:rPr>
        <w:t xml:space="preserve">simulation </w:t>
      </w:r>
      <w:r w:rsidR="00473F23">
        <w:rPr>
          <w:rFonts w:cs="Arial"/>
          <w:szCs w:val="24"/>
        </w:rPr>
        <w:t xml:space="preserve">be best used </w:t>
      </w:r>
      <w:r>
        <w:rPr>
          <w:rFonts w:cs="Arial"/>
          <w:szCs w:val="24"/>
        </w:rPr>
        <w:t xml:space="preserve">in the undergraduate curriculum </w:t>
      </w:r>
      <w:r w:rsidR="00DC1FE8">
        <w:rPr>
          <w:rFonts w:cs="Arial"/>
          <w:szCs w:val="24"/>
        </w:rPr>
        <w:t>for supporting</w:t>
      </w:r>
      <w:r>
        <w:rPr>
          <w:rFonts w:cs="Arial"/>
          <w:szCs w:val="24"/>
        </w:rPr>
        <w:t xml:space="preserve"> preparedness for practice</w:t>
      </w:r>
      <w:r w:rsidR="00DC1FE8">
        <w:rPr>
          <w:rFonts w:cs="Arial"/>
          <w:szCs w:val="24"/>
        </w:rPr>
        <w:t>?</w:t>
      </w:r>
      <w:r>
        <w:rPr>
          <w:rFonts w:cs="Arial"/>
          <w:szCs w:val="24"/>
        </w:rPr>
        <w:t xml:space="preserve"> </w:t>
      </w:r>
    </w:p>
    <w:p w14:paraId="130B6B6E" w14:textId="17F7D5D3" w:rsidR="00DD47DD" w:rsidRDefault="00DD47DD" w:rsidP="00260C40">
      <w:pPr>
        <w:rPr>
          <w:rFonts w:cs="Arial"/>
          <w:szCs w:val="24"/>
        </w:rPr>
      </w:pPr>
      <w:r>
        <w:rPr>
          <w:rFonts w:cs="Arial"/>
          <w:szCs w:val="24"/>
        </w:rPr>
        <w:t>In order to me</w:t>
      </w:r>
      <w:r w:rsidR="007C1B21">
        <w:rPr>
          <w:rFonts w:cs="Arial"/>
          <w:szCs w:val="24"/>
        </w:rPr>
        <w:t>et th</w:t>
      </w:r>
      <w:r w:rsidR="00FE1F2C">
        <w:rPr>
          <w:rFonts w:cs="Arial"/>
          <w:szCs w:val="24"/>
        </w:rPr>
        <w:t>is</w:t>
      </w:r>
      <w:r w:rsidR="007C1B21">
        <w:rPr>
          <w:rFonts w:cs="Arial"/>
          <w:szCs w:val="24"/>
        </w:rPr>
        <w:t xml:space="preserve"> aim, supplementary questions we</w:t>
      </w:r>
      <w:r>
        <w:rPr>
          <w:rFonts w:cs="Arial"/>
          <w:szCs w:val="24"/>
        </w:rPr>
        <w:t>re:</w:t>
      </w:r>
    </w:p>
    <w:p w14:paraId="3825187A" w14:textId="13AD820C" w:rsidR="00DD47DD" w:rsidRPr="00DD47DD" w:rsidRDefault="007C1B21" w:rsidP="002424E3">
      <w:pPr>
        <w:pStyle w:val="ListParagraph"/>
        <w:numPr>
          <w:ilvl w:val="0"/>
          <w:numId w:val="2"/>
        </w:numPr>
        <w:spacing w:line="480" w:lineRule="auto"/>
        <w:rPr>
          <w:rFonts w:ascii="Arial" w:hAnsi="Arial" w:cs="Arial"/>
          <w:sz w:val="24"/>
          <w:szCs w:val="24"/>
        </w:rPr>
      </w:pPr>
      <w:r>
        <w:rPr>
          <w:rFonts w:ascii="Arial" w:hAnsi="Arial" w:cs="Arial"/>
          <w:sz w:val="24"/>
          <w:szCs w:val="24"/>
        </w:rPr>
        <w:t>W</w:t>
      </w:r>
      <w:r w:rsidR="00DD47DD" w:rsidRPr="00DD47DD">
        <w:rPr>
          <w:rFonts w:ascii="Arial" w:hAnsi="Arial" w:cs="Arial"/>
          <w:sz w:val="24"/>
          <w:szCs w:val="24"/>
        </w:rPr>
        <w:t>hat is meant and understood by preparedness by medical students and clinicians</w:t>
      </w:r>
      <w:r>
        <w:rPr>
          <w:rFonts w:ascii="Arial" w:hAnsi="Arial" w:cs="Arial"/>
          <w:sz w:val="24"/>
          <w:szCs w:val="24"/>
        </w:rPr>
        <w:t>?</w:t>
      </w:r>
    </w:p>
    <w:p w14:paraId="4BBBA5B5" w14:textId="58EC9B80" w:rsidR="00DD47DD" w:rsidRPr="00DD47DD" w:rsidRDefault="007C1B21" w:rsidP="002424E3">
      <w:pPr>
        <w:pStyle w:val="ListParagraph"/>
        <w:numPr>
          <w:ilvl w:val="0"/>
          <w:numId w:val="2"/>
        </w:numPr>
        <w:spacing w:line="480" w:lineRule="auto"/>
        <w:rPr>
          <w:rFonts w:ascii="Arial" w:hAnsi="Arial" w:cs="Arial"/>
          <w:sz w:val="24"/>
          <w:szCs w:val="24"/>
        </w:rPr>
      </w:pPr>
      <w:r>
        <w:rPr>
          <w:rFonts w:ascii="Arial" w:hAnsi="Arial" w:cs="Arial"/>
          <w:sz w:val="24"/>
          <w:szCs w:val="24"/>
        </w:rPr>
        <w:t xml:space="preserve">What is the </w:t>
      </w:r>
      <w:r w:rsidR="00DD47DD" w:rsidRPr="00DD47DD">
        <w:rPr>
          <w:rFonts w:ascii="Arial" w:hAnsi="Arial" w:cs="Arial"/>
          <w:sz w:val="24"/>
          <w:szCs w:val="24"/>
        </w:rPr>
        <w:t>impact of the intervention</w:t>
      </w:r>
      <w:r w:rsidR="00473F23">
        <w:rPr>
          <w:rFonts w:ascii="Arial" w:hAnsi="Arial" w:cs="Arial"/>
          <w:sz w:val="24"/>
          <w:szCs w:val="24"/>
        </w:rPr>
        <w:t>,</w:t>
      </w:r>
      <w:r w:rsidR="00DD47DD" w:rsidRPr="00DD47DD">
        <w:rPr>
          <w:rFonts w:ascii="Arial" w:hAnsi="Arial" w:cs="Arial"/>
          <w:sz w:val="24"/>
          <w:szCs w:val="24"/>
        </w:rPr>
        <w:t xml:space="preserve"> </w:t>
      </w:r>
      <w:r w:rsidR="00337A7E">
        <w:rPr>
          <w:rFonts w:ascii="Arial" w:hAnsi="Arial" w:cs="Arial"/>
          <w:sz w:val="24"/>
          <w:szCs w:val="24"/>
        </w:rPr>
        <w:t>using</w:t>
      </w:r>
      <w:r>
        <w:rPr>
          <w:rFonts w:ascii="Arial" w:hAnsi="Arial" w:cs="Arial"/>
          <w:sz w:val="24"/>
          <w:szCs w:val="24"/>
        </w:rPr>
        <w:t xml:space="preserve"> confidence as a </w:t>
      </w:r>
      <w:r w:rsidR="00473F23">
        <w:rPr>
          <w:rFonts w:ascii="Arial" w:hAnsi="Arial" w:cs="Arial"/>
          <w:sz w:val="24"/>
          <w:szCs w:val="24"/>
        </w:rPr>
        <w:t xml:space="preserve">surrogate </w:t>
      </w:r>
      <w:r>
        <w:rPr>
          <w:rFonts w:ascii="Arial" w:hAnsi="Arial" w:cs="Arial"/>
          <w:sz w:val="24"/>
          <w:szCs w:val="24"/>
        </w:rPr>
        <w:t>marker of preparedness</w:t>
      </w:r>
      <w:r w:rsidR="00EB3F65">
        <w:rPr>
          <w:rFonts w:ascii="Arial" w:hAnsi="Arial" w:cs="Arial"/>
          <w:sz w:val="24"/>
          <w:szCs w:val="24"/>
        </w:rPr>
        <w:t>?</w:t>
      </w:r>
    </w:p>
    <w:p w14:paraId="5D94FAA8" w14:textId="129D25A8" w:rsidR="00DD47DD" w:rsidRDefault="007C1B21" w:rsidP="002424E3">
      <w:pPr>
        <w:pStyle w:val="ListParagraph"/>
        <w:numPr>
          <w:ilvl w:val="0"/>
          <w:numId w:val="2"/>
        </w:numPr>
        <w:spacing w:line="480" w:lineRule="auto"/>
        <w:rPr>
          <w:rFonts w:ascii="Arial" w:hAnsi="Arial" w:cs="Arial"/>
          <w:sz w:val="24"/>
          <w:szCs w:val="24"/>
        </w:rPr>
      </w:pPr>
      <w:r>
        <w:rPr>
          <w:rFonts w:ascii="Arial" w:hAnsi="Arial" w:cs="Arial"/>
          <w:sz w:val="24"/>
          <w:szCs w:val="24"/>
        </w:rPr>
        <w:t xml:space="preserve">What is </w:t>
      </w:r>
      <w:r w:rsidR="00DD47DD" w:rsidRPr="00DD47DD">
        <w:rPr>
          <w:rFonts w:ascii="Arial" w:hAnsi="Arial" w:cs="Arial"/>
          <w:sz w:val="24"/>
          <w:szCs w:val="24"/>
        </w:rPr>
        <w:t>the added value of simulation related to preparedness for practice and the undergraduate curriculum</w:t>
      </w:r>
      <w:r w:rsidR="00407220">
        <w:rPr>
          <w:rFonts w:ascii="Arial" w:hAnsi="Arial" w:cs="Arial"/>
          <w:sz w:val="24"/>
          <w:szCs w:val="24"/>
        </w:rPr>
        <w:t>,</w:t>
      </w:r>
      <w:r>
        <w:rPr>
          <w:rFonts w:ascii="Arial" w:hAnsi="Arial" w:cs="Arial"/>
          <w:sz w:val="24"/>
          <w:szCs w:val="24"/>
        </w:rPr>
        <w:t xml:space="preserve"> from student and </w:t>
      </w:r>
      <w:r w:rsidR="00473F23">
        <w:rPr>
          <w:rFonts w:ascii="Arial" w:hAnsi="Arial" w:cs="Arial"/>
          <w:sz w:val="24"/>
          <w:szCs w:val="24"/>
        </w:rPr>
        <w:t xml:space="preserve">UK </w:t>
      </w:r>
      <w:r>
        <w:rPr>
          <w:rFonts w:ascii="Arial" w:hAnsi="Arial" w:cs="Arial"/>
          <w:sz w:val="24"/>
          <w:szCs w:val="24"/>
        </w:rPr>
        <w:t>simulation educational expert</w:t>
      </w:r>
      <w:r w:rsidR="00407220">
        <w:rPr>
          <w:rFonts w:ascii="Arial" w:hAnsi="Arial" w:cs="Arial"/>
          <w:sz w:val="24"/>
          <w:szCs w:val="24"/>
        </w:rPr>
        <w:t xml:space="preserve"> perspectives</w:t>
      </w:r>
      <w:r w:rsidR="00EB3F65">
        <w:rPr>
          <w:rFonts w:ascii="Arial" w:hAnsi="Arial" w:cs="Arial"/>
          <w:sz w:val="24"/>
          <w:szCs w:val="24"/>
        </w:rPr>
        <w:t>?</w:t>
      </w:r>
    </w:p>
    <w:p w14:paraId="5658417D" w14:textId="1E14A578" w:rsidR="00F30A4E" w:rsidRDefault="00693688" w:rsidP="002424E3">
      <w:pPr>
        <w:pStyle w:val="ListParagraph"/>
        <w:numPr>
          <w:ilvl w:val="0"/>
          <w:numId w:val="2"/>
        </w:numPr>
        <w:spacing w:line="480" w:lineRule="auto"/>
        <w:rPr>
          <w:rFonts w:ascii="Arial" w:hAnsi="Arial" w:cs="Arial"/>
          <w:sz w:val="24"/>
          <w:szCs w:val="24"/>
        </w:rPr>
      </w:pPr>
      <w:r>
        <w:rPr>
          <w:rFonts w:ascii="Arial" w:hAnsi="Arial" w:cs="Arial"/>
          <w:sz w:val="24"/>
          <w:szCs w:val="24"/>
        </w:rPr>
        <w:t xml:space="preserve">Can emergent </w:t>
      </w:r>
      <w:r w:rsidRPr="00DD47DD">
        <w:rPr>
          <w:rFonts w:ascii="Arial" w:hAnsi="Arial" w:cs="Arial"/>
          <w:sz w:val="24"/>
          <w:szCs w:val="24"/>
        </w:rPr>
        <w:t xml:space="preserve">themes </w:t>
      </w:r>
      <w:r>
        <w:rPr>
          <w:rFonts w:ascii="Arial" w:hAnsi="Arial" w:cs="Arial"/>
          <w:sz w:val="24"/>
          <w:szCs w:val="24"/>
        </w:rPr>
        <w:t xml:space="preserve">from data triangulation be used to inform </w:t>
      </w:r>
      <w:r w:rsidRPr="00DD47DD">
        <w:rPr>
          <w:rFonts w:ascii="Arial" w:hAnsi="Arial" w:cs="Arial"/>
          <w:sz w:val="24"/>
          <w:szCs w:val="24"/>
        </w:rPr>
        <w:t>a conceptual framework that demonstrates the added value of simulation to the u</w:t>
      </w:r>
      <w:r>
        <w:rPr>
          <w:rFonts w:ascii="Arial" w:hAnsi="Arial" w:cs="Arial"/>
          <w:sz w:val="24"/>
          <w:szCs w:val="24"/>
        </w:rPr>
        <w:t>ndergraduate medical curriculum?</w:t>
      </w:r>
    </w:p>
    <w:p w14:paraId="4CE24D2B" w14:textId="191CAB50" w:rsidR="00DD47DD" w:rsidRPr="00DD47DD" w:rsidRDefault="00F30A4E" w:rsidP="002424E3">
      <w:pPr>
        <w:pStyle w:val="ListParagraph"/>
        <w:numPr>
          <w:ilvl w:val="0"/>
          <w:numId w:val="2"/>
        </w:numPr>
        <w:spacing w:line="480" w:lineRule="auto"/>
        <w:rPr>
          <w:rFonts w:ascii="Arial" w:hAnsi="Arial" w:cs="Arial"/>
          <w:sz w:val="24"/>
          <w:szCs w:val="24"/>
        </w:rPr>
      </w:pPr>
      <w:r w:rsidRPr="00F30A4E">
        <w:rPr>
          <w:rFonts w:ascii="Arial" w:hAnsi="Arial" w:cs="Arial"/>
          <w:sz w:val="24"/>
          <w:szCs w:val="24"/>
        </w:rPr>
        <w:lastRenderedPageBreak/>
        <w:t>Can the conceptual diagram be used to inform the development of best practice guidance for use of simulation in the undergraduate curriculum and influence wider impacts of learning theory for medical undergraduates?</w:t>
      </w:r>
    </w:p>
    <w:p w14:paraId="2B0D7AFA" w14:textId="77777777" w:rsidR="003F051D" w:rsidRDefault="003F051D" w:rsidP="00CA53EB">
      <w:pPr>
        <w:pStyle w:val="Heading2"/>
      </w:pPr>
      <w:bookmarkStart w:id="59" w:name="_Toc419116099"/>
      <w:r>
        <w:lastRenderedPageBreak/>
        <w:t xml:space="preserve">Overall flow </w:t>
      </w:r>
      <w:r w:rsidRPr="00B66AC6">
        <w:t>diagram of plan</w:t>
      </w:r>
      <w:bookmarkEnd w:id="59"/>
    </w:p>
    <w:p w14:paraId="3F338B6F" w14:textId="77777777" w:rsidR="003F051D" w:rsidRDefault="003F051D" w:rsidP="003F051D">
      <w:pPr>
        <w:keepNext/>
      </w:pPr>
      <w:r>
        <w:rPr>
          <w:noProof/>
          <w:lang w:val="en-US"/>
        </w:rPr>
        <w:drawing>
          <wp:inline distT="0" distB="0" distL="0" distR="0" wp14:anchorId="3448CE76" wp14:editId="2410D72F">
            <wp:extent cx="5897880" cy="7806690"/>
            <wp:effectExtent l="57150" t="19050" r="64770" b="80010"/>
            <wp:docPr id="81" name="Diagram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73A968E8" w14:textId="1409053A" w:rsidR="00625513" w:rsidRDefault="003F051D" w:rsidP="007000F8">
      <w:pPr>
        <w:pStyle w:val="Caption"/>
        <w:sectPr w:rsidR="00625513" w:rsidSect="005F454B">
          <w:pgSz w:w="11900" w:h="16840"/>
          <w:pgMar w:top="1134" w:right="1134" w:bottom="1134" w:left="2268" w:header="1134" w:footer="1134" w:gutter="0"/>
          <w:cols w:space="708"/>
          <w:docGrid w:linePitch="360"/>
        </w:sectPr>
      </w:pPr>
      <w:bookmarkStart w:id="60" w:name="_Toc365579433"/>
      <w:bookmarkStart w:id="61" w:name="_Toc368056032"/>
      <w:bookmarkStart w:id="62" w:name="_Toc419116456"/>
      <w:r>
        <w:t xml:space="preserve">Figure </w:t>
      </w:r>
      <w:r w:rsidR="009A2F08">
        <w:fldChar w:fldCharType="begin"/>
      </w:r>
      <w:r w:rsidR="009A2F08">
        <w:instrText xml:space="preserve"> STYLEREF 1 \s </w:instrText>
      </w:r>
      <w:r w:rsidR="009A2F08">
        <w:fldChar w:fldCharType="separate"/>
      </w:r>
      <w:r w:rsidR="007220A7">
        <w:rPr>
          <w:noProof/>
        </w:rPr>
        <w:t>2</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2</w:t>
      </w:r>
      <w:r w:rsidR="009A2F08">
        <w:fldChar w:fldCharType="end"/>
      </w:r>
      <w:r>
        <w:t xml:space="preserve"> Process diagram to demonstrate initial stages of pilot then final study design</w:t>
      </w:r>
      <w:bookmarkEnd w:id="60"/>
      <w:bookmarkEnd w:id="61"/>
      <w:bookmarkEnd w:id="62"/>
    </w:p>
    <w:p w14:paraId="4AFCDBDC" w14:textId="3C5AA27A" w:rsidR="00E830C5" w:rsidRDefault="001D42C9" w:rsidP="006F09AC">
      <w:pPr>
        <w:pStyle w:val="Heading1"/>
      </w:pPr>
      <w:bookmarkStart w:id="63" w:name="_Toc343501102"/>
      <w:bookmarkStart w:id="64" w:name="_Toc348686303"/>
      <w:bookmarkStart w:id="65" w:name="_Toc419116100"/>
      <w:r>
        <w:lastRenderedPageBreak/>
        <w:t>Chapter</w:t>
      </w:r>
      <w:r w:rsidR="007A3B76">
        <w:t xml:space="preserve"> 3</w:t>
      </w:r>
      <w:r w:rsidR="00E830C5" w:rsidRPr="00625513">
        <w:t>: Methodology</w:t>
      </w:r>
      <w:bookmarkEnd w:id="63"/>
      <w:bookmarkEnd w:id="64"/>
      <w:bookmarkEnd w:id="65"/>
      <w:r w:rsidR="00E830C5">
        <w:t xml:space="preserve"> </w:t>
      </w:r>
    </w:p>
    <w:p w14:paraId="46AE3189" w14:textId="7026DEE6" w:rsidR="009E38AF" w:rsidRPr="009E38AF" w:rsidRDefault="00372241" w:rsidP="009E38AF">
      <w:r>
        <w:rPr>
          <w:noProof/>
          <w:lang w:val="en-US"/>
        </w:rPr>
        <w:drawing>
          <wp:inline distT="0" distB="0" distL="0" distR="0" wp14:anchorId="1E420808" wp14:editId="69DF6494">
            <wp:extent cx="5123180" cy="7882890"/>
            <wp:effectExtent l="38100" t="19050" r="20320" b="22860"/>
            <wp:docPr id="72" name="Diagram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618B5AD7" w14:textId="3C93C0B3" w:rsidR="00E830C5" w:rsidRDefault="00A3469E" w:rsidP="00CA53EB">
      <w:pPr>
        <w:pStyle w:val="Heading2"/>
      </w:pPr>
      <w:bookmarkStart w:id="66" w:name="_Toc419116101"/>
      <w:bookmarkStart w:id="67" w:name="_Toc343501103"/>
      <w:bookmarkStart w:id="68" w:name="_Toc348686304"/>
      <w:r>
        <w:lastRenderedPageBreak/>
        <w:t>Mixed methods research</w:t>
      </w:r>
      <w:bookmarkEnd w:id="66"/>
      <w:r>
        <w:t xml:space="preserve"> </w:t>
      </w:r>
      <w:bookmarkEnd w:id="67"/>
      <w:bookmarkEnd w:id="68"/>
      <w:r w:rsidR="00E830C5" w:rsidRPr="001A6CB4">
        <w:t xml:space="preserve"> </w:t>
      </w:r>
    </w:p>
    <w:p w14:paraId="5C47983E" w14:textId="77777777" w:rsidR="00372241" w:rsidRDefault="00372241" w:rsidP="009E38AF">
      <w:pPr>
        <w:rPr>
          <w:rFonts w:cs="Arial"/>
          <w:szCs w:val="24"/>
        </w:rPr>
      </w:pPr>
    </w:p>
    <w:p w14:paraId="4DE83D20" w14:textId="67F9841A" w:rsidR="00FA206A" w:rsidRDefault="00C87F8C" w:rsidP="009E38AF">
      <w:pPr>
        <w:rPr>
          <w:rFonts w:cs="Arial"/>
          <w:szCs w:val="24"/>
        </w:rPr>
      </w:pPr>
      <w:r>
        <w:rPr>
          <w:rFonts w:cs="Arial"/>
          <w:szCs w:val="24"/>
        </w:rPr>
        <w:t>T</w:t>
      </w:r>
      <w:r w:rsidR="00434E16">
        <w:rPr>
          <w:rFonts w:cs="Arial"/>
          <w:szCs w:val="24"/>
        </w:rPr>
        <w:t>his study re</w:t>
      </w:r>
      <w:r w:rsidR="005864F0">
        <w:rPr>
          <w:rFonts w:cs="Arial"/>
          <w:szCs w:val="24"/>
        </w:rPr>
        <w:t>presents a multistage exploratory</w:t>
      </w:r>
      <w:r w:rsidR="00434E16">
        <w:rPr>
          <w:rFonts w:cs="Arial"/>
          <w:szCs w:val="24"/>
        </w:rPr>
        <w:t xml:space="preserve"> design conducted </w:t>
      </w:r>
      <w:r w:rsidR="00FE2918">
        <w:rPr>
          <w:rFonts w:cs="Arial"/>
          <w:szCs w:val="24"/>
        </w:rPr>
        <w:t xml:space="preserve">from </w:t>
      </w:r>
      <w:r w:rsidR="00434E16">
        <w:rPr>
          <w:rFonts w:cs="Arial"/>
          <w:szCs w:val="24"/>
        </w:rPr>
        <w:t>May 2013 to June 2015, with the ‘central objective of a sustained line of enquiry’ surrounding evalu</w:t>
      </w:r>
      <w:r w:rsidR="004F2F62">
        <w:rPr>
          <w:rFonts w:cs="Arial"/>
          <w:szCs w:val="24"/>
        </w:rPr>
        <w:t xml:space="preserve">ation and exploration of simulation </w:t>
      </w:r>
      <w:r w:rsidR="00FE2918">
        <w:rPr>
          <w:rFonts w:cs="Arial"/>
          <w:szCs w:val="24"/>
        </w:rPr>
        <w:t>to</w:t>
      </w:r>
      <w:r w:rsidR="004F2F62">
        <w:rPr>
          <w:rFonts w:cs="Arial"/>
          <w:szCs w:val="24"/>
        </w:rPr>
        <w:t xml:space="preserve"> address </w:t>
      </w:r>
      <w:r w:rsidR="00693688">
        <w:rPr>
          <w:rFonts w:cs="Arial"/>
          <w:szCs w:val="24"/>
        </w:rPr>
        <w:t>preparedness</w:t>
      </w:r>
      <w:r w:rsidR="00434E16">
        <w:rPr>
          <w:rFonts w:cs="Arial"/>
          <w:szCs w:val="24"/>
        </w:rPr>
        <w:t xml:space="preserve"> for practice</w:t>
      </w:r>
      <w:r w:rsidR="000A7E86">
        <w:rPr>
          <w:rFonts w:cs="Arial"/>
          <w:szCs w:val="24"/>
        </w:rPr>
        <w:t xml:space="preserve"> </w:t>
      </w:r>
      <w:r w:rsidR="00434E16">
        <w:rPr>
          <w:rFonts w:cs="Arial"/>
          <w:szCs w:val="24"/>
        </w:rPr>
        <w:fldChar w:fldCharType="begin"/>
      </w:r>
      <w:r w:rsidR="00434E16">
        <w:rPr>
          <w:rFonts w:cs="Arial"/>
          <w:szCs w:val="24"/>
        </w:rPr>
        <w:instrText xml:space="preserve"> ADDIN EN.CITE &lt;EndNote&gt;&lt;Cite&gt;&lt;Author&gt;Creswell&lt;/Author&gt;&lt;Year&gt;2015&lt;/Year&gt;&lt;IDText&gt;A Concise Introduction to Mixed Methods Research&lt;/IDText&gt;&lt;DisplayText&gt;(Creswell, 2015)&lt;/DisplayText&gt;&lt;record&gt;&lt;titles&gt;&lt;title&gt;A Concise Introduction to Mixed Methods Research&lt;/title&gt;&lt;/titles&gt;&lt;contributors&gt;&lt;authors&gt;&lt;author&gt;Creswell, John W&lt;/author&gt;&lt;/authors&gt;&lt;/contributors&gt;&lt;added-date format="utc"&gt;1472820280&lt;/added-date&gt;&lt;pub-location&gt;Thousand Oaks, California&amp;#xA;London&amp;#xA;New Delhi&amp;#xA;Singapore &lt;/pub-location&gt;&lt;ref-type name="Book"&gt;6&lt;/ref-type&gt;&lt;dates&gt;&lt;year&gt;2015&lt;/year&gt;&lt;/dates&gt;&lt;rec-number&gt;297&lt;/rec-number&gt;&lt;publisher&gt;Sage&lt;/publisher&gt;&lt;last-updated-date format="utc"&gt;1472820406&lt;/last-updated-date&gt;&lt;/record&gt;&lt;/Cite&gt;&lt;/EndNote&gt;</w:instrText>
      </w:r>
      <w:r w:rsidR="00434E16">
        <w:rPr>
          <w:rFonts w:cs="Arial"/>
          <w:szCs w:val="24"/>
        </w:rPr>
        <w:fldChar w:fldCharType="separate"/>
      </w:r>
      <w:r w:rsidR="00434E16">
        <w:rPr>
          <w:rFonts w:cs="Arial"/>
          <w:noProof/>
          <w:szCs w:val="24"/>
        </w:rPr>
        <w:t>(Creswell, 2015)</w:t>
      </w:r>
      <w:r w:rsidR="00434E16">
        <w:rPr>
          <w:rFonts w:cs="Arial"/>
          <w:szCs w:val="24"/>
        </w:rPr>
        <w:fldChar w:fldCharType="end"/>
      </w:r>
      <w:r w:rsidR="00434E16">
        <w:rPr>
          <w:rFonts w:cs="Arial"/>
          <w:szCs w:val="24"/>
        </w:rPr>
        <w:t xml:space="preserve">. </w:t>
      </w:r>
      <w:r w:rsidR="004F2F62">
        <w:rPr>
          <w:rFonts w:cs="Arial"/>
          <w:szCs w:val="24"/>
        </w:rPr>
        <w:t xml:space="preserve">Using a </w:t>
      </w:r>
      <w:r w:rsidR="005F42BC">
        <w:rPr>
          <w:rFonts w:cs="Arial"/>
          <w:szCs w:val="24"/>
        </w:rPr>
        <w:t xml:space="preserve">mixed methods </w:t>
      </w:r>
      <w:r w:rsidR="004F2F62">
        <w:rPr>
          <w:rFonts w:cs="Arial"/>
          <w:szCs w:val="24"/>
        </w:rPr>
        <w:t>approach has allowed each stage to inform the next as an iterative and dynamic</w:t>
      </w:r>
      <w:r w:rsidR="00FE2918">
        <w:rPr>
          <w:rFonts w:cs="Arial"/>
          <w:szCs w:val="24"/>
        </w:rPr>
        <w:t xml:space="preserve"> emerging design</w:t>
      </w:r>
      <w:r w:rsidR="004F2F62">
        <w:rPr>
          <w:rFonts w:cs="Arial"/>
          <w:szCs w:val="24"/>
        </w:rPr>
        <w:t xml:space="preserve">. </w:t>
      </w:r>
    </w:p>
    <w:p w14:paraId="459E3C02" w14:textId="661016F6" w:rsidR="000A7E86" w:rsidRDefault="004F2F62" w:rsidP="009E38AF">
      <w:pPr>
        <w:rPr>
          <w:rFonts w:cs="Arial"/>
          <w:szCs w:val="24"/>
        </w:rPr>
      </w:pPr>
      <w:r>
        <w:rPr>
          <w:rFonts w:cs="Arial"/>
          <w:szCs w:val="24"/>
        </w:rPr>
        <w:t xml:space="preserve">These data and findings are intentionally based on participatory research </w:t>
      </w:r>
      <w:r w:rsidR="008B1BEA">
        <w:rPr>
          <w:rFonts w:cs="Arial"/>
          <w:szCs w:val="24"/>
        </w:rPr>
        <w:t>where</w:t>
      </w:r>
      <w:r>
        <w:rPr>
          <w:rFonts w:cs="Arial"/>
          <w:szCs w:val="24"/>
        </w:rPr>
        <w:t xml:space="preserve"> stakeholders (</w:t>
      </w:r>
      <w:r w:rsidR="00DF7ADC">
        <w:rPr>
          <w:rFonts w:cs="Arial"/>
          <w:szCs w:val="24"/>
        </w:rPr>
        <w:t>s</w:t>
      </w:r>
      <w:r>
        <w:rPr>
          <w:rFonts w:cs="Arial"/>
          <w:szCs w:val="24"/>
        </w:rPr>
        <w:t>tudents and educati</w:t>
      </w:r>
      <w:r w:rsidR="005F42BC">
        <w:rPr>
          <w:rFonts w:cs="Arial"/>
          <w:szCs w:val="24"/>
        </w:rPr>
        <w:t>o</w:t>
      </w:r>
      <w:r>
        <w:rPr>
          <w:rFonts w:cs="Arial"/>
          <w:szCs w:val="24"/>
        </w:rPr>
        <w:t>nal experts) have been active</w:t>
      </w:r>
      <w:r w:rsidR="00B1576B">
        <w:rPr>
          <w:rFonts w:cs="Arial"/>
          <w:szCs w:val="24"/>
        </w:rPr>
        <w:t>ly</w:t>
      </w:r>
      <w:r>
        <w:rPr>
          <w:rFonts w:cs="Arial"/>
          <w:szCs w:val="24"/>
        </w:rPr>
        <w:t xml:space="preserve"> involved in supporting the development of subsequent</w:t>
      </w:r>
      <w:r w:rsidR="00B1576B">
        <w:rPr>
          <w:rFonts w:cs="Arial"/>
          <w:szCs w:val="24"/>
        </w:rPr>
        <w:t xml:space="preserve"> study</w:t>
      </w:r>
      <w:r>
        <w:rPr>
          <w:rFonts w:cs="Arial"/>
          <w:szCs w:val="24"/>
        </w:rPr>
        <w:t xml:space="preserve"> phases. </w:t>
      </w:r>
    </w:p>
    <w:p w14:paraId="462FCA4B" w14:textId="77777777" w:rsidR="00A02C52" w:rsidRDefault="00A02C52" w:rsidP="00A02C52">
      <w:pPr>
        <w:rPr>
          <w:rFonts w:cs="Arial"/>
          <w:szCs w:val="24"/>
        </w:rPr>
      </w:pPr>
      <w:r>
        <w:rPr>
          <w:rFonts w:cs="Arial"/>
          <w:szCs w:val="24"/>
        </w:rPr>
        <w:t>In using a mixed methods approach (</w:t>
      </w:r>
      <w:r w:rsidRPr="002909FE">
        <w:rPr>
          <w:rFonts w:cs="Arial"/>
          <w:szCs w:val="24"/>
        </w:rPr>
        <w:t>quantitative and qualitative paradigms</w:t>
      </w:r>
      <w:r>
        <w:rPr>
          <w:rFonts w:cs="Arial"/>
          <w:szCs w:val="24"/>
        </w:rPr>
        <w:t xml:space="preserve">), as stated by </w:t>
      </w:r>
      <w:r>
        <w:rPr>
          <w:rFonts w:cs="Arial"/>
          <w:szCs w:val="24"/>
        </w:rPr>
        <w:fldChar w:fldCharType="begin"/>
      </w:r>
      <w:r>
        <w:rPr>
          <w:rFonts w:cs="Arial"/>
          <w:szCs w:val="24"/>
        </w:rPr>
        <w:instrText xml:space="preserve"> ADDIN EN.CITE &lt;EndNote&gt;&lt;Cite&gt;&lt;Author&gt;Bordage&lt;/Author&gt;&lt;Year&gt;2007&lt;/Year&gt;&lt;IDText&gt;Moving the field forward: going beyond quantitative-qualitative&lt;/IDText&gt;&lt;DisplayText&gt;(Bordage, 2007)&lt;/DisplayText&gt;&lt;record&gt;&lt;dates&gt;&lt;pub-dates&gt;&lt;date&gt;Oct&lt;/date&gt;&lt;/pub-dates&gt;&lt;year&gt;2007&lt;/year&gt;&lt;/dates&gt;&lt;keywords&gt;&lt;keyword&gt;Education, Medical&lt;/keyword&gt;&lt;keyword&gt;Humans&lt;/keyword&gt;&lt;keyword&gt;Models, Educational&lt;/keyword&gt;&lt;keyword&gt;Research&lt;/keyword&gt;&lt;/keywords&gt;&lt;urls&gt;&lt;related-urls&gt;&lt;url&gt;https://www.ncbi.nlm.nih.gov/pubmed/17895677&lt;/url&gt;&lt;/related-urls&gt;&lt;/urls&gt;&lt;isbn&gt;1040-2446&lt;/isbn&gt;&lt;titles&gt;&lt;title&gt;Moving the field forward: going beyond quantitative-qualitative&lt;/title&gt;&lt;secondary-title&gt;Acad Med&lt;/secondary-title&gt;&lt;/titles&gt;&lt;pages&gt;S126-8&lt;/pages&gt;&lt;number&gt;10 Suppl&lt;/number&gt;&lt;contributors&gt;&lt;authors&gt;&lt;author&gt;Bordage, G.&lt;/author&gt;&lt;/authors&gt;&lt;/contributors&gt;&lt;language&gt;eng&lt;/language&gt;&lt;added-date format="utc"&gt;1481103106&lt;/added-date&gt;&lt;ref-type name="Journal Article"&gt;17&lt;/ref-type&gt;&lt;rec-number&gt;313&lt;/rec-number&gt;&lt;last-updated-date format="utc"&gt;1481103106&lt;/last-updated-date&gt;&lt;accession-num&gt;17895677&lt;/accession-num&gt;&lt;electronic-resource-num&gt;10.1097/ACM.0b013e31813e661d&lt;/electronic-resource-num&gt;&lt;volume&gt;82&lt;/volume&gt;&lt;/record&gt;&lt;/Cite&gt;&lt;/EndNote&gt;</w:instrText>
      </w:r>
      <w:r>
        <w:rPr>
          <w:rFonts w:cs="Arial"/>
          <w:szCs w:val="24"/>
        </w:rPr>
        <w:fldChar w:fldCharType="separate"/>
      </w:r>
      <w:r>
        <w:rPr>
          <w:rFonts w:cs="Arial"/>
          <w:noProof/>
          <w:szCs w:val="24"/>
        </w:rPr>
        <w:t>(Bordage, 2007)</w:t>
      </w:r>
      <w:r>
        <w:rPr>
          <w:rFonts w:cs="Arial"/>
          <w:szCs w:val="24"/>
        </w:rPr>
        <w:fldChar w:fldCharType="end"/>
      </w:r>
      <w:r>
        <w:rPr>
          <w:rFonts w:cs="Arial"/>
          <w:szCs w:val="24"/>
        </w:rPr>
        <w:t xml:space="preserve">: ‘each approach is useful in </w:t>
      </w:r>
      <w:proofErr w:type="spellStart"/>
      <w:r>
        <w:rPr>
          <w:rFonts w:cs="Arial"/>
          <w:szCs w:val="24"/>
        </w:rPr>
        <w:t>it’s</w:t>
      </w:r>
      <w:proofErr w:type="spellEnd"/>
      <w:r>
        <w:rPr>
          <w:rFonts w:cs="Arial"/>
          <w:szCs w:val="24"/>
        </w:rPr>
        <w:t xml:space="preserve"> own right and is often most productive when complementary’. The rationale for employing mixed methods was to allow course evaluation and depth of understanding of phenomena related to preparedness and simulation whilst enhancing quality. </w:t>
      </w:r>
    </w:p>
    <w:p w14:paraId="543D13DC" w14:textId="4D997F2A" w:rsidR="00A02C52" w:rsidRDefault="00A02C52" w:rsidP="009E38AF">
      <w:pPr>
        <w:rPr>
          <w:rFonts w:cs="Arial"/>
          <w:szCs w:val="24"/>
        </w:rPr>
      </w:pPr>
      <w:r>
        <w:rPr>
          <w:rFonts w:cs="Arial"/>
          <w:szCs w:val="24"/>
        </w:rPr>
        <w:t xml:space="preserve">Mixed methods research can be viewed from a ‘philosophical stance, presented as a methodology’ or can be ‘positioned within a transformative perspective’, </w:t>
      </w:r>
      <w:r>
        <w:rPr>
          <w:rFonts w:cs="Arial"/>
          <w:szCs w:val="24"/>
        </w:rPr>
        <w:fldChar w:fldCharType="begin"/>
      </w:r>
      <w:r>
        <w:rPr>
          <w:rFonts w:cs="Arial"/>
          <w:szCs w:val="24"/>
        </w:rPr>
        <w:instrText xml:space="preserve"> ADDIN EN.CITE &lt;EndNote&gt;&lt;Cite&gt;&lt;Author&gt;Creswell&lt;/Author&gt;&lt;Year&gt;2015&lt;/Year&gt;&lt;IDText&gt;A Concise Introduction to Mixed Methods Research&lt;/IDText&gt;&lt;DisplayText&gt;(Creswell, 2015)&lt;/DisplayText&gt;&lt;record&gt;&lt;titles&gt;&lt;title&gt;A Concise Introduction to Mixed Methods Research&lt;/title&gt;&lt;/titles&gt;&lt;contributors&gt;&lt;authors&gt;&lt;author&gt;Creswell, John W&lt;/author&gt;&lt;/authors&gt;&lt;/contributors&gt;&lt;added-date format="utc"&gt;1472820280&lt;/added-date&gt;&lt;pub-location&gt;Thousand Oaks, California&amp;#xA;London&amp;#xA;New Delhi&amp;#xA;Singapore &lt;/pub-location&gt;&lt;ref-type name="Book"&gt;6&lt;/ref-type&gt;&lt;dates&gt;&lt;year&gt;2015&lt;/year&gt;&lt;/dates&gt;&lt;rec-number&gt;297&lt;/rec-number&gt;&lt;publisher&gt;Sage&lt;/publisher&gt;&lt;last-updated-date format="utc"&gt;1472820406&lt;/last-updated-date&gt;&lt;/record&gt;&lt;/Cite&gt;&lt;/EndNote&gt;</w:instrText>
      </w:r>
      <w:r>
        <w:rPr>
          <w:rFonts w:cs="Arial"/>
          <w:szCs w:val="24"/>
        </w:rPr>
        <w:fldChar w:fldCharType="separate"/>
      </w:r>
      <w:r>
        <w:rPr>
          <w:rFonts w:cs="Arial"/>
          <w:noProof/>
          <w:szCs w:val="24"/>
        </w:rPr>
        <w:t>(Creswell, 2015)</w:t>
      </w:r>
      <w:r>
        <w:rPr>
          <w:rFonts w:cs="Arial"/>
          <w:szCs w:val="24"/>
        </w:rPr>
        <w:fldChar w:fldCharType="end"/>
      </w:r>
      <w:r>
        <w:rPr>
          <w:rFonts w:cs="Arial"/>
          <w:szCs w:val="24"/>
        </w:rPr>
        <w:t xml:space="preserve">. The researcher views concur with those of Creswell, in that the approach has meant the collection, analysis and integration of quantitative (closed-ended) and qualitative (open-ended) data, through the process of triangulation. Conclusions are drawn </w:t>
      </w:r>
      <w:r w:rsidR="003A7D42">
        <w:rPr>
          <w:rFonts w:cs="Arial"/>
          <w:szCs w:val="24"/>
        </w:rPr>
        <w:t>from ‘the</w:t>
      </w:r>
      <w:r>
        <w:rPr>
          <w:rFonts w:cs="Arial"/>
          <w:szCs w:val="24"/>
        </w:rPr>
        <w:t xml:space="preserve"> combined strengths of both sets of data to understand the research problem’ </w:t>
      </w:r>
      <w:r>
        <w:rPr>
          <w:rFonts w:cs="Arial"/>
          <w:szCs w:val="24"/>
        </w:rPr>
        <w:fldChar w:fldCharType="begin"/>
      </w:r>
      <w:r w:rsidR="006102D5">
        <w:rPr>
          <w:rFonts w:cs="Arial"/>
          <w:szCs w:val="24"/>
        </w:rPr>
        <w:instrText xml:space="preserve"> ADDIN EN.CITE &lt;EndNote&gt;&lt;Cite&gt;&lt;Author&gt;Creswell&lt;/Author&gt;&lt;Year&gt;2015&lt;/Year&gt;&lt;IDText&gt;A Concise Introduction to Mixed Methods Research&lt;/IDText&gt;&lt;DisplayText&gt;(Creswell, 2015)&lt;/DisplayText&gt;&lt;record&gt;&lt;titles&gt;&lt;title&gt;A Concise Introduction to Mixed Methods Research&lt;/title&gt;&lt;/titles&gt;&lt;contributors&gt;&lt;authors&gt;&lt;author&gt;Creswell, John W&lt;/author&gt;&lt;/authors&gt;&lt;/contributors&gt;&lt;added-date format="utc"&gt;1472820280&lt;/added-date&gt;&lt;pub-location&gt;Thousand Oaks, California&amp;#xA;London&amp;#xA;New Delhi&amp;#xA;Singapore &lt;/pub-location&gt;&lt;ref-type name="Book"&gt;6&lt;/ref-type&gt;&lt;dates&gt;&lt;year&gt;2015&lt;/year&gt;&lt;/dates&gt;&lt;rec-number&gt;297&lt;/rec-number&gt;&lt;publisher&gt;Sage&lt;/publisher&gt;&lt;last-updated-date format="utc"&gt;1472820406&lt;/last-updated-date&gt;&lt;/record&gt;&lt;/Cite&gt;&lt;/EndNote&gt;</w:instrText>
      </w:r>
      <w:r>
        <w:rPr>
          <w:rFonts w:cs="Arial"/>
          <w:szCs w:val="24"/>
        </w:rPr>
        <w:fldChar w:fldCharType="separate"/>
      </w:r>
      <w:r w:rsidR="006102D5">
        <w:rPr>
          <w:rFonts w:cs="Arial"/>
          <w:noProof/>
          <w:szCs w:val="24"/>
        </w:rPr>
        <w:t>(Creswell, 2015</w:t>
      </w:r>
      <w:r w:rsidR="00EC4303">
        <w:rPr>
          <w:rFonts w:cs="Arial"/>
          <w:noProof/>
          <w:szCs w:val="24"/>
        </w:rPr>
        <w:t xml:space="preserve"> </w:t>
      </w:r>
      <w:r>
        <w:rPr>
          <w:rFonts w:cs="Arial"/>
          <w:szCs w:val="24"/>
        </w:rPr>
        <w:fldChar w:fldCharType="end"/>
      </w:r>
      <w:r>
        <w:rPr>
          <w:rFonts w:cs="Arial"/>
          <w:szCs w:val="24"/>
        </w:rPr>
        <w:t xml:space="preserve">p2). The </w:t>
      </w:r>
      <w:r>
        <w:rPr>
          <w:rFonts w:cs="Arial"/>
          <w:szCs w:val="24"/>
        </w:rPr>
        <w:lastRenderedPageBreak/>
        <w:t xml:space="preserve">researcher’s philosophical stance is that of pragmatism or more simply ‘what works’, and then allowing the exploration of how and why it works. </w:t>
      </w:r>
    </w:p>
    <w:p w14:paraId="2A1483E6" w14:textId="24538F82" w:rsidR="005A690E" w:rsidRDefault="005A690E" w:rsidP="009E38AF">
      <w:pPr>
        <w:rPr>
          <w:rFonts w:cs="Arial"/>
          <w:szCs w:val="24"/>
        </w:rPr>
      </w:pPr>
      <w:r>
        <w:rPr>
          <w:rFonts w:cs="Arial"/>
          <w:szCs w:val="24"/>
        </w:rPr>
        <w:t>I am a year four urological registrar who has personal experience of undergraduate and postgraduate education and training. I have completed a 12-month simulation and clinical leadership fellowship and a postgraduate certificate in medical education. I have experienced the transition from learner to teacher as a clinical lecturer but remain ever keen to learn from others. I believe that learning is a journey of development and that other people are central to this, particularly in terms of role modelling, the offering of specific individual feedback and su</w:t>
      </w:r>
      <w:r w:rsidR="006425B9">
        <w:rPr>
          <w:rFonts w:cs="Arial"/>
          <w:szCs w:val="24"/>
        </w:rPr>
        <w:t>pport. I remain aware that my</w:t>
      </w:r>
      <w:r>
        <w:rPr>
          <w:rFonts w:cs="Arial"/>
          <w:szCs w:val="24"/>
        </w:rPr>
        <w:t xml:space="preserve"> own</w:t>
      </w:r>
      <w:r w:rsidR="006425B9">
        <w:rPr>
          <w:rFonts w:cs="Arial"/>
          <w:szCs w:val="24"/>
        </w:rPr>
        <w:t xml:space="preserve"> and participant’s </w:t>
      </w:r>
      <w:r>
        <w:rPr>
          <w:rFonts w:cs="Arial"/>
          <w:szCs w:val="24"/>
        </w:rPr>
        <w:t xml:space="preserve"> beliefs have influenced the data collection, interpretation and conclusions, and believe simulation has a place. </w:t>
      </w:r>
      <w:r w:rsidR="006425B9">
        <w:rPr>
          <w:rFonts w:cs="Arial"/>
          <w:szCs w:val="24"/>
        </w:rPr>
        <w:t>Being mindful of my views</w:t>
      </w:r>
      <w:r w:rsidR="00EC4303">
        <w:rPr>
          <w:rFonts w:cs="Arial"/>
          <w:szCs w:val="24"/>
        </w:rPr>
        <w:t>,</w:t>
      </w:r>
      <w:r w:rsidR="006425B9">
        <w:rPr>
          <w:rFonts w:cs="Arial"/>
          <w:szCs w:val="24"/>
        </w:rPr>
        <w:t xml:space="preserve"> as the researcher ensured that questions were framed in a neutral way so that other </w:t>
      </w:r>
      <w:proofErr w:type="spellStart"/>
      <w:r w:rsidR="006425B9">
        <w:rPr>
          <w:rFonts w:cs="Arial"/>
          <w:szCs w:val="24"/>
        </w:rPr>
        <w:t>peoples</w:t>
      </w:r>
      <w:proofErr w:type="spellEnd"/>
      <w:r w:rsidR="006425B9">
        <w:rPr>
          <w:rFonts w:cs="Arial"/>
          <w:szCs w:val="24"/>
        </w:rPr>
        <w:t xml:space="preserve"> views were at the forefront and discussion occurred within the supervisory process surrounding this. </w:t>
      </w:r>
      <w:r>
        <w:rPr>
          <w:rFonts w:cs="Arial"/>
          <w:szCs w:val="24"/>
        </w:rPr>
        <w:t>This research has allowed the exploratio</w:t>
      </w:r>
      <w:r w:rsidR="00EC4303">
        <w:rPr>
          <w:rFonts w:cs="Arial"/>
          <w:szCs w:val="24"/>
        </w:rPr>
        <w:t>n of how and where to use simulation</w:t>
      </w:r>
      <w:r>
        <w:rPr>
          <w:rFonts w:cs="Arial"/>
          <w:szCs w:val="24"/>
        </w:rPr>
        <w:t xml:space="preserve"> to complement the undergraduate medical curriculum and support preparedness.</w:t>
      </w:r>
    </w:p>
    <w:p w14:paraId="2432966C" w14:textId="12C572A8" w:rsidR="005A690E" w:rsidRDefault="00B10437" w:rsidP="009E38AF">
      <w:pPr>
        <w:rPr>
          <w:rFonts w:cs="Arial"/>
          <w:szCs w:val="24"/>
        </w:rPr>
      </w:pPr>
      <w:r>
        <w:rPr>
          <w:rFonts w:cs="Arial"/>
          <w:szCs w:val="24"/>
        </w:rPr>
        <w:t xml:space="preserve">There has been increased recognition of ‘the advantages of mixing quantitative and qualitative data collection in a single study’ and ‘arguments for why it might be considered a </w:t>
      </w:r>
      <w:r w:rsidR="00C3311E">
        <w:rPr>
          <w:rFonts w:cs="Arial"/>
          <w:szCs w:val="24"/>
        </w:rPr>
        <w:t>separate</w:t>
      </w:r>
      <w:r>
        <w:rPr>
          <w:rFonts w:cs="Arial"/>
          <w:szCs w:val="24"/>
        </w:rPr>
        <w:t xml:space="preserve"> research design in social sciences’, though a single definition has been slow to evolve</w:t>
      </w:r>
      <w:r w:rsidR="00784799">
        <w:rPr>
          <w:rFonts w:cs="Arial"/>
          <w:szCs w:val="24"/>
        </w:rPr>
        <w:t xml:space="preserve"> with huge variation in terminology</w:t>
      </w:r>
      <w:r>
        <w:rPr>
          <w:rFonts w:cs="Arial"/>
          <w:szCs w:val="24"/>
        </w:rPr>
        <w:t xml:space="preserve"> </w:t>
      </w:r>
      <w:r>
        <w:rPr>
          <w:rFonts w:cs="Arial"/>
          <w:szCs w:val="24"/>
        </w:rPr>
        <w:fldChar w:fldCharType="begin"/>
      </w:r>
      <w:r>
        <w:rPr>
          <w:rFonts w:cs="Arial"/>
          <w:szCs w:val="24"/>
        </w:rPr>
        <w:instrText xml:space="preserve"> ADDIN EN.CITE &lt;EndNote&gt;&lt;Cite&gt;&lt;Author&gt;Creswell&lt;/Author&gt;&lt;Year&gt;2007&lt;/Year&gt;&lt;IDText&gt;Designing and conducting mixed methods research&lt;/IDText&gt;&lt;DisplayText&gt;(Creswell and Plano Clark, 2007)&lt;/DisplayText&gt;&lt;record&gt;&lt;titles&gt;&lt;title&gt;Designing and conducting mixed methods research&lt;/title&gt;&lt;/titles&gt;&lt;contributors&gt;&lt;authors&gt;&lt;author&gt;Creswell, J. W.&lt;/author&gt;&lt;author&gt;Plano Clark, V. L.&lt;/author&gt;&lt;/authors&gt;&lt;/contributors&gt;&lt;added-date format="utc"&gt;1533933141&lt;/added-date&gt;&lt;pub-location&gt;Thousand Oaks, CA&lt;/pub-location&gt;&lt;ref-type name="Book"&gt;6&lt;/ref-type&gt;&lt;dates&gt;&lt;year&gt;2007&lt;/year&gt;&lt;/dates&gt;&lt;rec-number&gt;388&lt;/rec-number&gt;&lt;publisher&gt;Sage&lt;/publisher&gt;&lt;last-updated-date format="utc"&gt;1533933233&lt;/last-updated-date&gt;&lt;/record&gt;&lt;/Cite&gt;&lt;/EndNote&gt;</w:instrText>
      </w:r>
      <w:r>
        <w:rPr>
          <w:rFonts w:cs="Arial"/>
          <w:szCs w:val="24"/>
        </w:rPr>
        <w:fldChar w:fldCharType="separate"/>
      </w:r>
      <w:r>
        <w:rPr>
          <w:rFonts w:cs="Arial"/>
          <w:noProof/>
          <w:szCs w:val="24"/>
        </w:rPr>
        <w:t>(Creswell and Plano Clark, 2007)</w:t>
      </w:r>
      <w:r>
        <w:rPr>
          <w:rFonts w:cs="Arial"/>
          <w:szCs w:val="24"/>
        </w:rPr>
        <w:fldChar w:fldCharType="end"/>
      </w:r>
      <w:r>
        <w:rPr>
          <w:rFonts w:cs="Arial"/>
          <w:szCs w:val="24"/>
        </w:rPr>
        <w:t xml:space="preserve">. Employment of mixed methods has the advantage of potentially ‘neutralising’ or minimising some of the ‘disadvantages of </w:t>
      </w:r>
      <w:r w:rsidR="00C3311E">
        <w:rPr>
          <w:rFonts w:cs="Arial"/>
          <w:szCs w:val="24"/>
        </w:rPr>
        <w:t>certain</w:t>
      </w:r>
      <w:r>
        <w:rPr>
          <w:rFonts w:cs="Arial"/>
          <w:szCs w:val="24"/>
        </w:rPr>
        <w:t xml:space="preserve"> methods’</w:t>
      </w:r>
      <w:r w:rsidR="00ED4865">
        <w:rPr>
          <w:rFonts w:cs="Arial"/>
          <w:szCs w:val="24"/>
        </w:rPr>
        <w:t xml:space="preserve"> to enhance strength of research</w:t>
      </w:r>
      <w:r>
        <w:rPr>
          <w:rFonts w:cs="Arial"/>
          <w:szCs w:val="24"/>
        </w:rPr>
        <w:t xml:space="preserve"> </w:t>
      </w:r>
      <w:r w:rsidR="00ED4865">
        <w:rPr>
          <w:rFonts w:cs="Arial"/>
          <w:szCs w:val="24"/>
        </w:rPr>
        <w:t xml:space="preserve">undertaken </w:t>
      </w:r>
      <w:r>
        <w:rPr>
          <w:rFonts w:cs="Arial"/>
          <w:szCs w:val="24"/>
        </w:rPr>
        <w:fldChar w:fldCharType="begin"/>
      </w:r>
      <w:r w:rsidR="00ED4865">
        <w:rPr>
          <w:rFonts w:cs="Arial"/>
          <w:szCs w:val="24"/>
        </w:rPr>
        <w:instrText xml:space="preserve"> ADDIN EN.CITE &lt;EndNote&gt;&lt;Cite&gt;&lt;Author&gt;Creswell&lt;/Author&gt;&lt;Year&gt;2007&lt;/Year&gt;&lt;IDText&gt;Designing and conducting mixed methods research&lt;/IDText&gt;&lt;DisplayText&gt;(Creswell and Plano Clark, 2007)&lt;/DisplayText&gt;&lt;record&gt;&lt;titles&gt;&lt;title&gt;Designing and conducting mixed methods research&lt;/title&gt;&lt;/titles&gt;&lt;contributors&gt;&lt;authors&gt;&lt;author&gt;Creswell, J. W.&lt;/author&gt;&lt;author&gt;Plano Clark, V. L.&lt;/author&gt;&lt;/authors&gt;&lt;/contributors&gt;&lt;added-date format="utc"&gt;1533933141&lt;/added-date&gt;&lt;pub-location&gt;Thousand Oaks, CA&lt;/pub-location&gt;&lt;ref-type name="Book"&gt;6&lt;/ref-type&gt;&lt;dates&gt;&lt;year&gt;2007&lt;/year&gt;&lt;/dates&gt;&lt;rec-number&gt;388&lt;/rec-number&gt;&lt;publisher&gt;Sage&lt;/publisher&gt;&lt;last-updated-date format="utc"&gt;1533933233&lt;/last-updated-date&gt;&lt;/record&gt;&lt;/Cite&gt;&lt;/EndNote&gt;</w:instrText>
      </w:r>
      <w:r>
        <w:rPr>
          <w:rFonts w:cs="Arial"/>
          <w:szCs w:val="24"/>
        </w:rPr>
        <w:fldChar w:fldCharType="separate"/>
      </w:r>
      <w:r w:rsidR="00ED4865">
        <w:rPr>
          <w:rFonts w:cs="Arial"/>
          <w:noProof/>
          <w:szCs w:val="24"/>
        </w:rPr>
        <w:t xml:space="preserve">(Creswell and Plano </w:t>
      </w:r>
      <w:r w:rsidR="00ED4865">
        <w:rPr>
          <w:rFonts w:cs="Arial"/>
          <w:noProof/>
          <w:szCs w:val="24"/>
        </w:rPr>
        <w:lastRenderedPageBreak/>
        <w:t>Clark, 2007)</w:t>
      </w:r>
      <w:r>
        <w:rPr>
          <w:rFonts w:cs="Arial"/>
          <w:szCs w:val="24"/>
        </w:rPr>
        <w:fldChar w:fldCharType="end"/>
      </w:r>
      <w:r w:rsidR="00ED4865">
        <w:rPr>
          <w:rFonts w:cs="Arial"/>
          <w:szCs w:val="24"/>
        </w:rPr>
        <w:t xml:space="preserve">. </w:t>
      </w:r>
      <w:r w:rsidR="00784799">
        <w:rPr>
          <w:rFonts w:cs="Arial"/>
          <w:szCs w:val="24"/>
        </w:rPr>
        <w:t xml:space="preserve">In addition social phenomena are known to be fraught with complexity thus requiring potential variation in data collection to aid understanding and explanation. </w:t>
      </w:r>
    </w:p>
    <w:p w14:paraId="54494309" w14:textId="3B236840" w:rsidR="00784799" w:rsidRDefault="00784799" w:rsidP="009E38AF">
      <w:pPr>
        <w:rPr>
          <w:rFonts w:cs="Arial"/>
          <w:szCs w:val="24"/>
        </w:rPr>
      </w:pPr>
      <w:r>
        <w:rPr>
          <w:rFonts w:cs="Arial"/>
          <w:szCs w:val="24"/>
        </w:rPr>
        <w:t xml:space="preserve">This study due to the iterative process and emergent complexity surrounding preparedness, and drive to create a larger vision and useful application in medical education, meant the design became complex and multistage. This is presented below (Figure </w:t>
      </w:r>
      <w:r w:rsidR="00333C46">
        <w:rPr>
          <w:rFonts w:cs="Arial"/>
          <w:szCs w:val="24"/>
        </w:rPr>
        <w:t>3.1</w:t>
      </w:r>
      <w:r>
        <w:rPr>
          <w:rFonts w:cs="Arial"/>
          <w:szCs w:val="24"/>
        </w:rPr>
        <w:t>).</w:t>
      </w:r>
    </w:p>
    <w:p w14:paraId="7D77B734" w14:textId="77777777" w:rsidR="00333C46" w:rsidRDefault="00784799" w:rsidP="00333C46">
      <w:pPr>
        <w:keepNext/>
      </w:pPr>
      <w:r>
        <w:rPr>
          <w:rFonts w:cs="Arial"/>
          <w:noProof/>
          <w:szCs w:val="24"/>
          <w:lang w:val="en-US"/>
        </w:rPr>
        <w:drawing>
          <wp:inline distT="0" distB="0" distL="0" distR="0" wp14:anchorId="59FC18E3" wp14:editId="73E11A44">
            <wp:extent cx="5920740" cy="3516630"/>
            <wp:effectExtent l="57150" t="0" r="60960" b="0"/>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4781AFB1" w14:textId="1ED47D52" w:rsidR="00784799" w:rsidRDefault="00333C46" w:rsidP="007000F8">
      <w:pPr>
        <w:pStyle w:val="Caption"/>
      </w:pPr>
      <w:bookmarkStart w:id="69" w:name="_Toc419116457"/>
      <w:r>
        <w:t xml:space="preserve">Figure </w:t>
      </w:r>
      <w:r w:rsidR="009A2F08">
        <w:fldChar w:fldCharType="begin"/>
      </w:r>
      <w:r w:rsidR="009A2F08">
        <w:instrText xml:space="preserve"> STYLEREF 1 \s </w:instrText>
      </w:r>
      <w:r w:rsidR="009A2F08">
        <w:fldChar w:fldCharType="separate"/>
      </w:r>
      <w:r w:rsidR="007220A7">
        <w:rPr>
          <w:noProof/>
        </w:rPr>
        <w:t>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w:t>
      </w:r>
      <w:r w:rsidR="009A2F08">
        <w:fldChar w:fldCharType="end"/>
      </w:r>
      <w:r>
        <w:t xml:space="preserve"> Visual presentation of procedures for mixed methods design</w:t>
      </w:r>
      <w:bookmarkEnd w:id="69"/>
    </w:p>
    <w:p w14:paraId="6588ADE7" w14:textId="74E51906" w:rsidR="00333C46" w:rsidRDefault="00333C46" w:rsidP="00333C46">
      <w:r>
        <w:t xml:space="preserve">Though displayed as a sequential design, focus groups were performed following the intervention and collection of </w:t>
      </w:r>
      <w:r w:rsidR="00C3311E">
        <w:t>quantitative</w:t>
      </w:r>
      <w:r>
        <w:t xml:space="preserve"> data</w:t>
      </w:r>
      <w:r w:rsidR="002C4AE5">
        <w:t xml:space="preserve"> for ease of participants and to capture raw feelings</w:t>
      </w:r>
      <w:r>
        <w:t xml:space="preserve">. The </w:t>
      </w:r>
      <w:r w:rsidR="00C3311E">
        <w:t>quantitative</w:t>
      </w:r>
      <w:r>
        <w:t xml:space="preserve"> data was a repeated measures design </w:t>
      </w:r>
      <w:r w:rsidR="002C4AE5">
        <w:t xml:space="preserve">as </w:t>
      </w:r>
      <w:r>
        <w:t xml:space="preserve">explained later so data collection was initially sequential, then </w:t>
      </w:r>
      <w:r w:rsidR="002C4AE5">
        <w:t xml:space="preserve">simultaneous at the point of intervention study, then back to sequential </w:t>
      </w:r>
      <w:r w:rsidR="002C4AE5">
        <w:lastRenderedPageBreak/>
        <w:t>with the interviews performed. There was initially equal weight given to qualitative and quan</w:t>
      </w:r>
      <w:r w:rsidR="00EC4303">
        <w:t>titative data to allow emergence</w:t>
      </w:r>
      <w:r w:rsidR="002C4AE5">
        <w:t xml:space="preserve"> and checking of concepts. However towards the final part of the study the complexity of understanding preparedness and how to enhance it through education and in </w:t>
      </w:r>
      <w:r w:rsidR="00C3311E">
        <w:t>particular</w:t>
      </w:r>
      <w:r w:rsidR="002C4AE5">
        <w:t xml:space="preserve"> simulation meant that the </w:t>
      </w:r>
      <w:r w:rsidR="00C3311E">
        <w:t>qualitative</w:t>
      </w:r>
      <w:r w:rsidR="002C4AE5">
        <w:t xml:space="preserve"> data became more important to understanding and abstract conceptualisation.</w:t>
      </w:r>
    </w:p>
    <w:p w14:paraId="38E139C5" w14:textId="69889FC4" w:rsidR="002C4AE5" w:rsidRDefault="00EC4303" w:rsidP="00333C46">
      <w:r>
        <w:t>This study design is presented within the</w:t>
      </w:r>
      <w:r w:rsidR="002C4AE5">
        <w:t xml:space="preserve"> decision matrix as suggested by Creswell and Clark (2007)</w:t>
      </w:r>
      <w:r w:rsidR="00B13DC8">
        <w:t xml:space="preserve"> (Figure 3.2). In this decision matrix,</w:t>
      </w:r>
      <w:r w:rsidR="002C4AE5">
        <w:t xml:space="preserve"> the</w:t>
      </w:r>
      <w:r w:rsidR="00B13DC8">
        <w:t>y suggest</w:t>
      </w:r>
      <w:r w:rsidR="002C4AE5">
        <w:t xml:space="preserve"> four factors to aid study design</w:t>
      </w:r>
      <w:r w:rsidR="00B13DC8">
        <w:t>. These</w:t>
      </w:r>
      <w:r w:rsidR="002C4AE5">
        <w:t xml:space="preserve"> are implementation of data </w:t>
      </w:r>
      <w:r w:rsidR="00C3311E">
        <w:t>collection,</w:t>
      </w:r>
      <w:r w:rsidR="002C4AE5">
        <w:t xml:space="preserve"> the sequence as described above, priority weighting, integration of data and theoretical perspective. </w:t>
      </w:r>
    </w:p>
    <w:tbl>
      <w:tblPr>
        <w:tblStyle w:val="TableGrid"/>
        <w:tblW w:w="0" w:type="auto"/>
        <w:tblLook w:val="04A0" w:firstRow="1" w:lastRow="0" w:firstColumn="1" w:lastColumn="0" w:noHBand="0" w:noVBand="1"/>
      </w:tblPr>
      <w:tblGrid>
        <w:gridCol w:w="2147"/>
        <w:gridCol w:w="2108"/>
        <w:gridCol w:w="2125"/>
        <w:gridCol w:w="2108"/>
      </w:tblGrid>
      <w:tr w:rsidR="002C4AE5" w14:paraId="2CC34D42" w14:textId="77777777" w:rsidTr="002C4AE5">
        <w:tc>
          <w:tcPr>
            <w:tcW w:w="2178" w:type="dxa"/>
          </w:tcPr>
          <w:p w14:paraId="6A568E38" w14:textId="5D089CF0" w:rsidR="002C4AE5" w:rsidRDefault="002C4AE5" w:rsidP="00333C46">
            <w:r>
              <w:t>Implementation</w:t>
            </w:r>
          </w:p>
        </w:tc>
        <w:tc>
          <w:tcPr>
            <w:tcW w:w="2178" w:type="dxa"/>
          </w:tcPr>
          <w:p w14:paraId="159AED96" w14:textId="210A4CAB" w:rsidR="002C4AE5" w:rsidRDefault="002C4AE5" w:rsidP="00333C46">
            <w:r>
              <w:t>Priority</w:t>
            </w:r>
          </w:p>
        </w:tc>
        <w:tc>
          <w:tcPr>
            <w:tcW w:w="2179" w:type="dxa"/>
          </w:tcPr>
          <w:p w14:paraId="739954E7" w14:textId="743767ED" w:rsidR="002C4AE5" w:rsidRDefault="002C4AE5" w:rsidP="00333C46">
            <w:r>
              <w:t>Integration</w:t>
            </w:r>
          </w:p>
        </w:tc>
        <w:tc>
          <w:tcPr>
            <w:tcW w:w="2179" w:type="dxa"/>
          </w:tcPr>
          <w:p w14:paraId="5C5B11B6" w14:textId="1BAA7D3E" w:rsidR="002C4AE5" w:rsidRDefault="009A2F08" w:rsidP="00333C46">
            <w:r>
              <w:t>Theoretical perspective</w:t>
            </w:r>
          </w:p>
        </w:tc>
      </w:tr>
      <w:tr w:rsidR="002C4AE5" w14:paraId="5FCD2B72" w14:textId="77777777" w:rsidTr="002C4AE5">
        <w:tc>
          <w:tcPr>
            <w:tcW w:w="2178" w:type="dxa"/>
          </w:tcPr>
          <w:p w14:paraId="19517D17" w14:textId="66389CD7" w:rsidR="002C4AE5" w:rsidRDefault="002C4AE5" w:rsidP="00333C46">
            <w:r>
              <w:t>Sequential – qualitative first</w:t>
            </w:r>
          </w:p>
          <w:p w14:paraId="5B77A428" w14:textId="0F71FF5F" w:rsidR="002C4AE5" w:rsidRDefault="002C4AE5" w:rsidP="00333C46">
            <w:r>
              <w:t xml:space="preserve">Later - </w:t>
            </w:r>
            <w:r w:rsidR="00C3311E">
              <w:t>simultaneous</w:t>
            </w:r>
          </w:p>
        </w:tc>
        <w:tc>
          <w:tcPr>
            <w:tcW w:w="2178" w:type="dxa"/>
          </w:tcPr>
          <w:p w14:paraId="232C03AE" w14:textId="77777777" w:rsidR="002C4AE5" w:rsidRDefault="002C4AE5" w:rsidP="00333C46">
            <w:r>
              <w:t>Equal up to completion of intervention study</w:t>
            </w:r>
          </w:p>
          <w:p w14:paraId="17E181CD" w14:textId="15157BB4" w:rsidR="002C4AE5" w:rsidRDefault="002C4AE5" w:rsidP="00333C46">
            <w:r>
              <w:t>Later - Qualitative</w:t>
            </w:r>
          </w:p>
        </w:tc>
        <w:tc>
          <w:tcPr>
            <w:tcW w:w="2179" w:type="dxa"/>
          </w:tcPr>
          <w:p w14:paraId="413D6532" w14:textId="0E02C775" w:rsidR="002C4AE5" w:rsidRDefault="009A2F08" w:rsidP="00333C46">
            <w:r>
              <w:t>At data interpretation</w:t>
            </w:r>
          </w:p>
        </w:tc>
        <w:tc>
          <w:tcPr>
            <w:tcW w:w="2179" w:type="dxa"/>
          </w:tcPr>
          <w:p w14:paraId="6B601331" w14:textId="76936DAA" w:rsidR="002C4AE5" w:rsidRDefault="009A2F08" w:rsidP="009A2F08">
            <w:pPr>
              <w:keepNext/>
            </w:pPr>
            <w:r>
              <w:t>Explicit</w:t>
            </w:r>
          </w:p>
        </w:tc>
      </w:tr>
    </w:tbl>
    <w:p w14:paraId="667C251D" w14:textId="71DD81FC" w:rsidR="002C4AE5" w:rsidRDefault="009A2F08" w:rsidP="007000F8">
      <w:pPr>
        <w:pStyle w:val="Caption"/>
      </w:pPr>
      <w:bookmarkStart w:id="70" w:name="_Toc419116458"/>
      <w:r>
        <w:lastRenderedPageBreak/>
        <w:t xml:space="preserve">Figure </w:t>
      </w:r>
      <w:r>
        <w:fldChar w:fldCharType="begin"/>
      </w:r>
      <w:r>
        <w:instrText xml:space="preserve"> STYLEREF 1 \s </w:instrText>
      </w:r>
      <w:r>
        <w:fldChar w:fldCharType="separate"/>
      </w:r>
      <w:r w:rsidR="007220A7">
        <w:rPr>
          <w:noProof/>
        </w:rPr>
        <w:t>3</w:t>
      </w:r>
      <w:r>
        <w:fldChar w:fldCharType="end"/>
      </w:r>
      <w:r>
        <w:noBreakHyphen/>
      </w:r>
      <w:r>
        <w:fldChar w:fldCharType="begin"/>
      </w:r>
      <w:r>
        <w:instrText xml:space="preserve"> SEQ Figure \* ARABIC \s 1 </w:instrText>
      </w:r>
      <w:r>
        <w:fldChar w:fldCharType="separate"/>
      </w:r>
      <w:r w:rsidR="007220A7">
        <w:rPr>
          <w:noProof/>
        </w:rPr>
        <w:t>2</w:t>
      </w:r>
      <w:r>
        <w:fldChar w:fldCharType="end"/>
      </w:r>
      <w:r>
        <w:t xml:space="preserve"> Decision matrix for determining mixed methods design </w:t>
      </w:r>
      <w:r>
        <w:fldChar w:fldCharType="begin"/>
      </w:r>
      <w:r>
        <w:instrText xml:space="preserve"> ADDIN EN.CITE &lt;EndNote&gt;&lt;Cite&gt;&lt;Author&gt;Creswell&lt;/Author&gt;&lt;Year&gt;2007&lt;/Year&gt;&lt;IDText&gt;Designing and conducting mixed methods research&lt;/IDText&gt;&lt;DisplayText&gt;(Creswell and Plano Clark, 2007)&lt;/DisplayText&gt;&lt;record&gt;&lt;titles&gt;&lt;title&gt;Designing and conducting mixed methods research&lt;/title&gt;&lt;/titles&gt;&lt;contributors&gt;&lt;authors&gt;&lt;author&gt;Creswell, J. W.&lt;/author&gt;&lt;author&gt;Plano Clark, V. L.&lt;/author&gt;&lt;/authors&gt;&lt;/contributors&gt;&lt;added-date format="utc"&gt;1533933141&lt;/added-date&gt;&lt;pub-location&gt;Thousand Oaks, CA&lt;/pub-location&gt;&lt;ref-type name="Book"&gt;6&lt;/ref-type&gt;&lt;dates&gt;&lt;year&gt;2007&lt;/year&gt;&lt;/dates&gt;&lt;rec-number&gt;388&lt;/rec-number&gt;&lt;publisher&gt;Sage&lt;/publisher&gt;&lt;last-updated-date format="utc"&gt;1533933233&lt;/last-updated-date&gt;&lt;/record&gt;&lt;/Cite&gt;&lt;/EndNote&gt;</w:instrText>
      </w:r>
      <w:r>
        <w:fldChar w:fldCharType="separate"/>
      </w:r>
      <w:r>
        <w:rPr>
          <w:noProof/>
        </w:rPr>
        <w:t>(Creswell and Plano Clark, 2007)</w:t>
      </w:r>
      <w:bookmarkEnd w:id="70"/>
      <w:r>
        <w:fldChar w:fldCharType="end"/>
      </w:r>
    </w:p>
    <w:p w14:paraId="5087308C" w14:textId="77777777" w:rsidR="0014729D" w:rsidRDefault="0014729D" w:rsidP="00333C46">
      <w:r>
        <w:t xml:space="preserve">In terms of where this study is located within the taxonomy described by Creswell and Clark (2007), it sits within two taxonomies, a sequential exploratory design and concurrent triangulation design. </w:t>
      </w:r>
    </w:p>
    <w:p w14:paraId="7C58ADBB" w14:textId="6D5E4B37" w:rsidR="005864F0" w:rsidRDefault="00C3311E" w:rsidP="00333C46">
      <w:r>
        <w:t xml:space="preserve">Sequential exploratory design describes an initial phase of qualitative data collection, as performed with focus groups to gain insight in to what preparedness meant to help inform the next stage of design, followed by quantitative data collection, from the intervention study. </w:t>
      </w:r>
      <w:r w:rsidR="005864F0">
        <w:t>Findin</w:t>
      </w:r>
      <w:r w:rsidR="002628CD">
        <w:t>g</w:t>
      </w:r>
      <w:r w:rsidR="005864F0">
        <w:t>s are then integrated to help w</w:t>
      </w:r>
      <w:r w:rsidR="002628CD">
        <w:t>ith understanding the data so</w:t>
      </w:r>
      <w:r w:rsidR="005864F0">
        <w:t xml:space="preserve"> suited to ‘explaining and interpreting relationships, to explore a phenomenon’ </w:t>
      </w:r>
      <w:r w:rsidR="005864F0">
        <w:fldChar w:fldCharType="begin"/>
      </w:r>
      <w:r w:rsidR="005864F0">
        <w:instrText xml:space="preserve"> ADDIN EN.CITE &lt;EndNote&gt;&lt;Cite&gt;&lt;Author&gt;Creswell&lt;/Author&gt;&lt;Year&gt;2007&lt;/Year&gt;&lt;IDText&gt;Designing and conducting mixed methods research&lt;/IDText&gt;&lt;DisplayText&gt;(Creswell and Plano Clark, 2007)&lt;/DisplayText&gt;&lt;record&gt;&lt;titles&gt;&lt;title&gt;Designing and conducting mixed methods research&lt;/title&gt;&lt;/titles&gt;&lt;contributors&gt;&lt;authors&gt;&lt;author&gt;Creswell, J. W.&lt;/author&gt;&lt;author&gt;Plano Clark, V. L.&lt;/author&gt;&lt;/authors&gt;&lt;/contributors&gt;&lt;added-date format="utc"&gt;1533933141&lt;/added-date&gt;&lt;pub-location&gt;Thousand Oaks, CA&lt;/pub-location&gt;&lt;ref-type name="Book"&gt;6&lt;/ref-type&gt;&lt;dates&gt;&lt;year&gt;2007&lt;/year&gt;&lt;/dates&gt;&lt;rec-number&gt;388&lt;/rec-number&gt;&lt;publisher&gt;Sage&lt;/publisher&gt;&lt;last-updated-date format="utc"&gt;1533933233&lt;/last-updated-date&gt;&lt;/record&gt;&lt;/Cite&gt;&lt;/EndNote&gt;</w:instrText>
      </w:r>
      <w:r w:rsidR="005864F0">
        <w:fldChar w:fldCharType="separate"/>
      </w:r>
      <w:r w:rsidR="005864F0">
        <w:rPr>
          <w:noProof/>
        </w:rPr>
        <w:t>(Creswell and Plano Clark, 2007)</w:t>
      </w:r>
      <w:r w:rsidR="005864F0">
        <w:fldChar w:fldCharType="end"/>
      </w:r>
      <w:r w:rsidR="002628CD">
        <w:t xml:space="preserve">. Morgan (1998) recommends this design for ‘testing emergent theory’ and is of particular use where an instrument has been designed and is being assessed. </w:t>
      </w:r>
    </w:p>
    <w:p w14:paraId="28ED25E7" w14:textId="69A3A3B7" w:rsidR="002628CD" w:rsidRDefault="002628CD" w:rsidP="00333C46">
      <w:r>
        <w:t>The ‘concurrent triangulation design’ uses the mixed methodologies to triangulate and assess corroboration between results when merged at the interpretation phase. One</w:t>
      </w:r>
      <w:r w:rsidR="00490912">
        <w:t xml:space="preserve"> of the challenges is the diffi</w:t>
      </w:r>
      <w:r>
        <w:t xml:space="preserve">culty in making a comparison of the different results when the data </w:t>
      </w:r>
      <w:r w:rsidR="00490912">
        <w:t xml:space="preserve">is so contrasting though is </w:t>
      </w:r>
      <w:r w:rsidR="00C3311E">
        <w:t>accepted</w:t>
      </w:r>
      <w:r w:rsidR="00490912">
        <w:t xml:space="preserve"> in the literature </w:t>
      </w:r>
      <w:r w:rsidR="00490912">
        <w:fldChar w:fldCharType="begin"/>
      </w:r>
      <w:r w:rsidR="00490912">
        <w:instrText xml:space="preserve"> ADDIN EN.CITE &lt;EndNote&gt;&lt;Cite&gt;&lt;Author&gt;Creswell&lt;/Author&gt;&lt;Year&gt;2007&lt;/Year&gt;&lt;IDText&gt;Designing and conducting mixed methods research&lt;/IDText&gt;&lt;DisplayText&gt;(Creswell and Plano Clark, 2007)&lt;/DisplayText&gt;&lt;record&gt;&lt;titles&gt;&lt;title&gt;Designing and conducting mixed methods research&lt;/title&gt;&lt;/titles&gt;&lt;contributors&gt;&lt;authors&gt;&lt;author&gt;Creswell, J. W.&lt;/author&gt;&lt;author&gt;Plano Clark, V. L.&lt;/author&gt;&lt;/authors&gt;&lt;/contributors&gt;&lt;added-date format="utc"&gt;1533933141&lt;/added-date&gt;&lt;pub-location&gt;Thousand Oaks, CA&lt;/pub-location&gt;&lt;ref-type name="Book"&gt;6&lt;/ref-type&gt;&lt;dates&gt;&lt;year&gt;2007&lt;/year&gt;&lt;/dates&gt;&lt;rec-number&gt;388&lt;/rec-number&gt;&lt;publisher&gt;Sage&lt;/publisher&gt;&lt;last-updated-date format="utc"&gt;1533933233&lt;/last-updated-date&gt;&lt;/record&gt;&lt;/Cite&gt;&lt;/EndNote&gt;</w:instrText>
      </w:r>
      <w:r w:rsidR="00490912">
        <w:fldChar w:fldCharType="separate"/>
      </w:r>
      <w:r w:rsidR="00490912">
        <w:rPr>
          <w:noProof/>
        </w:rPr>
        <w:t>(Creswell and Plano Clark, 2007)</w:t>
      </w:r>
      <w:r w:rsidR="00490912">
        <w:fldChar w:fldCharType="end"/>
      </w:r>
      <w:r w:rsidR="00490912">
        <w:t xml:space="preserve">. </w:t>
      </w:r>
      <w:r w:rsidR="00735ED9">
        <w:t xml:space="preserve">One issue is that of whether </w:t>
      </w:r>
      <w:r w:rsidR="00EB7E1D">
        <w:t xml:space="preserve">qualitative data analysis software such as </w:t>
      </w:r>
      <w:proofErr w:type="spellStart"/>
      <w:r w:rsidR="00EB7E1D">
        <w:t>Nvivo</w:t>
      </w:r>
      <w:proofErr w:type="spellEnd"/>
      <w:r w:rsidR="00EB7E1D">
        <w:t xml:space="preserve"> (</w:t>
      </w:r>
      <w:r w:rsidR="00735ED9">
        <w:t>computer aided design packages</w:t>
      </w:r>
      <w:r w:rsidR="00EB7E1D">
        <w:t>)</w:t>
      </w:r>
      <w:r w:rsidR="00735ED9">
        <w:t xml:space="preserve"> should be used to support analysis of mixed methods research and this will be discussed in more detail in section 7.3.7. </w:t>
      </w:r>
    </w:p>
    <w:p w14:paraId="4CB789BF" w14:textId="380C4D68" w:rsidR="00B13DC8" w:rsidRDefault="00B13DC8" w:rsidP="00333C46">
      <w:r>
        <w:t xml:space="preserve">The benefits </w:t>
      </w:r>
      <w:r w:rsidR="0014729D">
        <w:t xml:space="preserve">of sequential exploratory design </w:t>
      </w:r>
      <w:r>
        <w:t>are that it is simple to start and describe</w:t>
      </w:r>
      <w:r w:rsidR="00B414D1">
        <w:t xml:space="preserve"> and offers a visual to the reader</w:t>
      </w:r>
      <w:r>
        <w:t xml:space="preserve">, however the stages can take a long </w:t>
      </w:r>
      <w:r>
        <w:lastRenderedPageBreak/>
        <w:t>time in terms of data collection. It is somewhat a challenge owing to the size of this study to say it is a simple design because as it emerged and developed though an iterative process really the final phases of interviews and abstract concep</w:t>
      </w:r>
      <w:r w:rsidR="00B36A45">
        <w:t>tualisation concur more with</w:t>
      </w:r>
      <w:r>
        <w:t xml:space="preserve"> ‘concurrent triangulation’ design.</w:t>
      </w:r>
    </w:p>
    <w:p w14:paraId="22AE602B" w14:textId="0CD27736" w:rsidR="00DC05EF" w:rsidRPr="00333C46" w:rsidRDefault="00DC05EF" w:rsidP="00333C46">
      <w:r>
        <w:t>The study aims to be transformative both at the time for the students pa</w:t>
      </w:r>
      <w:r w:rsidR="00735ED9">
        <w:t xml:space="preserve">ssing through the specifically </w:t>
      </w:r>
      <w:r>
        <w:t>d</w:t>
      </w:r>
      <w:r w:rsidR="00735ED9">
        <w:t>esigned educati</w:t>
      </w:r>
      <w:r>
        <w:t xml:space="preserve">on intervention and at completion with new ideas and concepts to help drive change and improvement in medical </w:t>
      </w:r>
      <w:r w:rsidR="00C3311E">
        <w:t>education</w:t>
      </w:r>
      <w:r>
        <w:t xml:space="preserve"> to support preparedness for practice. </w:t>
      </w:r>
    </w:p>
    <w:p w14:paraId="7C6DAE76" w14:textId="63D02590" w:rsidR="00A3469E" w:rsidRDefault="00A3469E" w:rsidP="00AF299A">
      <w:pPr>
        <w:pStyle w:val="Heading3"/>
      </w:pPr>
      <w:bookmarkStart w:id="71" w:name="_Toc419116102"/>
      <w:r>
        <w:t>Mixed methods research: quality</w:t>
      </w:r>
      <w:bookmarkEnd w:id="71"/>
    </w:p>
    <w:p w14:paraId="00135D41" w14:textId="77777777" w:rsidR="00A3469E" w:rsidRDefault="00A3469E"/>
    <w:p w14:paraId="44B8F811" w14:textId="299DB399" w:rsidR="00A3469E" w:rsidRDefault="00A3469E" w:rsidP="00A3469E">
      <w:r>
        <w:t xml:space="preserve">In terms of assessing quality in mixed methods study design, Plano Clark and </w:t>
      </w:r>
      <w:proofErr w:type="spellStart"/>
      <w:r>
        <w:t>Ivankova</w:t>
      </w:r>
      <w:proofErr w:type="spellEnd"/>
      <w:r>
        <w:t xml:space="preserve"> (2016) describe five conceptual frameworks by different researchers. The first from </w:t>
      </w:r>
      <w:r>
        <w:rPr>
          <w:noProof/>
        </w:rPr>
        <w:t xml:space="preserve">Onwuegbuzie and Johnson (2006) is </w:t>
      </w:r>
      <w:r>
        <w:t xml:space="preserve">the ‘legitimation model’ </w:t>
      </w:r>
      <w:r w:rsidR="003A7D42">
        <w:t>which</w:t>
      </w:r>
      <w:r>
        <w:t xml:space="preserve"> describes the use of nine domains of quality, including sampling procedures, the balancing of views from ‘insiders’ and ‘outsiders’, observation of the sequence of the qualitative and quantitative data, considering consumer perspectives, political perspectives, mixing of paradigms, inclusion of world views and ensuring transformation of data. They hold the belief and understanding that assessment of quality is a continuous process requiring constant evaluation and exposure of potential threats to quality to allow processes to be as consistent and reliable as possible </w:t>
      </w:r>
      <w:r>
        <w:fldChar w:fldCharType="begin"/>
      </w:r>
      <w:r>
        <w:instrText xml:space="preserve"> ADDIN EN.CITE &lt;EndNote&gt;&lt;Cite&gt;&lt;Author&gt;Onwuegbuzie&lt;/Author&gt;&lt;Year&gt;2006&lt;/Year&gt;&lt;IDText&gt;The validity issue in mixed research&lt;/IDText&gt;&lt;DisplayText&gt;(Onwuegbuzie and Johnson, 2006)&lt;/DisplayText&gt;&lt;record&gt;&lt;titles&gt;&lt;title&gt;The validity issue in mixed research&lt;/title&gt;&lt;secondary-title&gt;Research in the schools&lt;/secondary-title&gt;&lt;/titles&gt;&lt;pages&gt;48 - 63&lt;/pages&gt;&lt;number&gt;1&lt;/number&gt;&lt;contributors&gt;&lt;authors&gt;&lt;author&gt;Onwuegbuzie, A. J&lt;/author&gt;&lt;author&gt;Johnson, R. B&lt;/author&gt;&lt;/authors&gt;&lt;/contributors&gt;&lt;added-date format="utc"&gt;1481111261&lt;/added-date&gt;&lt;ref-type name="Journal Article"&gt;17&lt;/ref-type&gt;&lt;dates&gt;&lt;year&gt;2006&lt;/year&gt;&lt;/dates&gt;&lt;rec-number&gt;315&lt;/rec-number&gt;&lt;last-updated-date format="utc"&gt;1481111355&lt;/last-updated-date&gt;&lt;volume&gt;13&lt;/volume&gt;&lt;/record&gt;&lt;/Cite&gt;&lt;/EndNote&gt;</w:instrText>
      </w:r>
      <w:r>
        <w:fldChar w:fldCharType="separate"/>
      </w:r>
      <w:r>
        <w:rPr>
          <w:noProof/>
        </w:rPr>
        <w:t>(Onwuegbuzie and Johnson, 2006)</w:t>
      </w:r>
      <w:r>
        <w:fldChar w:fldCharType="end"/>
      </w:r>
      <w:r>
        <w:t xml:space="preserve">.  </w:t>
      </w:r>
    </w:p>
    <w:p w14:paraId="0711909A" w14:textId="77777777" w:rsidR="00A3469E" w:rsidRDefault="00A3469E" w:rsidP="00A3469E">
      <w:r>
        <w:lastRenderedPageBreak/>
        <w:t xml:space="preserve">The second from Leech et al. (2010) is ‘validation framework’ which describes five areas of quality related to the researcher’s background, consistency with design of study, measurement and analysis, validation strategies for qualitative, quantitative and mixed methods research, mostly based on construct validity, social acceptability, use of multiple measures and relevance of process </w:t>
      </w:r>
      <w:r>
        <w:fldChar w:fldCharType="begin"/>
      </w:r>
      <w:r>
        <w:instrText xml:space="preserve"> ADDIN EN.CITE &lt;EndNote&gt;&lt;Cite&gt;&lt;Author&gt;Leech&lt;/Author&gt;&lt;Year&gt;2010&lt;/Year&gt;&lt;IDText&gt;Evaluating mixed research studies: A mixed methods approach&lt;/IDText&gt;&lt;DisplayText&gt;(Leech et al., 2010)&lt;/DisplayText&gt;&lt;record&gt;&lt;titles&gt;&lt;title&gt;Evaluating mixed research studies: A mixed methods approach&lt;/title&gt;&lt;secondary-title&gt;Journal of Mixed Methods Research&lt;/secondary-title&gt;&lt;/titles&gt;&lt;pages&gt;17-31&lt;/pages&gt;&lt;number&gt;1&lt;/number&gt;&lt;contributors&gt;&lt;authors&gt;&lt;author&gt;Leech, N. L&lt;/author&gt;&lt;author&gt;Dellinger, A. B&lt;/author&gt;&lt;author&gt;Brannagan, K. B&lt;/author&gt;&lt;author&gt;Tanaka, H.&lt;/author&gt;&lt;/authors&gt;&lt;/contributors&gt;&lt;added-date format="utc"&gt;1481278309&lt;/added-date&gt;&lt;ref-type name="Journal Article"&gt;17&lt;/ref-type&gt;&lt;dates&gt;&lt;year&gt;2010&lt;/year&gt;&lt;/dates&gt;&lt;rec-number&gt;316&lt;/rec-number&gt;&lt;last-updated-date format="utc"&gt;1481278422&lt;/last-updated-date&gt;&lt;volume&gt;4&lt;/volume&gt;&lt;/record&gt;&lt;/Cite&gt;&lt;/EndNote&gt;</w:instrText>
      </w:r>
      <w:r>
        <w:fldChar w:fldCharType="separate"/>
      </w:r>
      <w:r>
        <w:rPr>
          <w:noProof/>
        </w:rPr>
        <w:t>(Leech et al., 2010)</w:t>
      </w:r>
      <w:r>
        <w:fldChar w:fldCharType="end"/>
      </w:r>
      <w:r>
        <w:t xml:space="preserve">. </w:t>
      </w:r>
    </w:p>
    <w:p w14:paraId="47E5110D" w14:textId="7D610F6D" w:rsidR="00A3469E" w:rsidRDefault="00A3469E" w:rsidP="00A3469E">
      <w:r>
        <w:rPr>
          <w:noProof/>
        </w:rPr>
        <w:t>Teddlie and Tashakkori (2009a)</w:t>
      </w:r>
      <w:r>
        <w:t xml:space="preserve"> describe the ‘integrative framework for inference quality’ sets out four main areas, including suitability to answer the research question, study fidelity, rigour of methodology, study consistency and adequacy of analysis. Interpretive rigour is included as a separate area to include six quality areas that cover consistency with established theories and previous findings, other potential interpretations and credibility of conclusions </w:t>
      </w:r>
      <w:r>
        <w:fldChar w:fldCharType="begin"/>
      </w:r>
      <w:r w:rsidR="005823F4">
        <w:instrText xml:space="preserve"> ADDIN EN.CITE &lt;EndNote&gt;&lt;Cite&gt;&lt;Author&gt;Teddlie&lt;/Author&gt;&lt;Year&gt;2009&lt;/Year&gt;&lt;IDText&gt;Foundations of mixed methods research: Integrating quantitative and qualitative approaches in the social and behavioural sciences&lt;/IDText&gt;&lt;DisplayText&gt;(Teddlie and Tashakkori, 2009)&lt;/DisplayText&gt;&lt;record&gt;&lt;titles&gt;&lt;title&gt;Foundations of mixed methods research: Integrating quantitative and qualitative approaches in the social and behavioural sciences&lt;/title&gt;&lt;/titles&gt;&lt;contributors&gt;&lt;authors&gt;&lt;author&gt;Teddlie, C&lt;/author&gt;&lt;author&gt;Tashakkori, A&lt;/author&gt;&lt;/authors&gt;&lt;/contributors&gt;&lt;added-date format="utc"&gt;1481110375&lt;/added-date&gt;&lt;pub-location&gt;Thousand Oaks, CA&lt;/pub-location&gt;&lt;ref-type name="Book"&gt;6&lt;/ref-type&gt;&lt;dates&gt;&lt;year&gt;2009&lt;/year&gt;&lt;/dates&gt;&lt;rec-number&gt;314&lt;/rec-number&gt;&lt;publisher&gt;Sage&lt;/publisher&gt;&lt;last-updated-date format="utc"&gt;1481110518&lt;/last-updated-date&gt;&lt;/record&gt;&lt;/Cite&gt;&lt;/EndNote&gt;</w:instrText>
      </w:r>
      <w:r>
        <w:fldChar w:fldCharType="separate"/>
      </w:r>
      <w:r w:rsidR="005823F4">
        <w:rPr>
          <w:noProof/>
        </w:rPr>
        <w:t>(Teddlie and Tashakkori, 2009)</w:t>
      </w:r>
      <w:r>
        <w:fldChar w:fldCharType="end"/>
      </w:r>
      <w:r>
        <w:t xml:space="preserve">. </w:t>
      </w:r>
    </w:p>
    <w:p w14:paraId="39CC06E6" w14:textId="77777777" w:rsidR="00A3469E" w:rsidRDefault="00A3469E" w:rsidP="00A3469E">
      <w:r>
        <w:rPr>
          <w:noProof/>
        </w:rPr>
        <w:t>O'Cathain (2010) describes t</w:t>
      </w:r>
      <w:r>
        <w:t xml:space="preserve">he ‘comprehensive framework for assessing quality of mixed methods research’ which lists eight areas of quality to encompass planning, study design, data collection, interpretation, transferability, the quality of reporting the data, and what the data adds to wider understanding and utility </w:t>
      </w:r>
      <w:r>
        <w:fldChar w:fldCharType="begin"/>
      </w:r>
      <w:r>
        <w:instrText xml:space="preserve"> ADDIN EN.CITE &lt;EndNote&gt;&lt;Cite&gt;&lt;Author&gt;O&amp;apos;Cathain&lt;/Author&gt;&lt;Year&gt;2010&lt;/Year&gt;&lt;IDText&gt;Assessing the quality of mixed methods research: Toward a comprehensive framework&lt;/IDText&gt;&lt;DisplayText&gt;(O&amp;apos;Cathain, 2010)&lt;/DisplayText&gt;&lt;record&gt;&lt;titles&gt;&lt;title&gt;Assessing the quality of mixed methods research: Toward a comprehensive framework&lt;/title&gt;&lt;secondary-title&gt;SAGE handbook of mixed methods in social and behavioural research&lt;/secondary-title&gt;&lt;/titles&gt;&lt;pages&gt;531-555&lt;/pages&gt;&lt;contributors&gt;&lt;authors&gt;&lt;author&gt;O&amp;apos;Cathain, A&lt;/author&gt;&lt;/authors&gt;&lt;/contributors&gt;&lt;edition&gt;2nd&lt;/edition&gt;&lt;added-date format="utc"&gt;1481279664&lt;/added-date&gt;&lt;pub-location&gt;Thousand Oaks, CA&lt;/pub-location&gt;&lt;ref-type name="Book Section"&gt;5&lt;/ref-type&gt;&lt;dates&gt;&lt;year&gt;2010&lt;/year&gt;&lt;/dates&gt;&lt;rec-number&gt;317&lt;/rec-number&gt;&lt;publisher&gt;Sage&lt;/publisher&gt;&lt;last-updated-date format="utc"&gt;1481279936&lt;/last-updated-date&gt;&lt;contributors&gt;&lt;secondary-authors&gt;&lt;author&gt;A. Tashakkori &amp;amp; C. Teddlie&lt;/author&gt;&lt;/secondary-authors&gt;&lt;/contributors&gt;&lt;/record&gt;&lt;/Cite&gt;&lt;/EndNote&gt;</w:instrText>
      </w:r>
      <w:r>
        <w:fldChar w:fldCharType="separate"/>
      </w:r>
      <w:r>
        <w:rPr>
          <w:noProof/>
        </w:rPr>
        <w:t>(O'Cathain, 2010)</w:t>
      </w:r>
      <w:r>
        <w:fldChar w:fldCharType="end"/>
      </w:r>
      <w:r>
        <w:t xml:space="preserve">. </w:t>
      </w:r>
    </w:p>
    <w:p w14:paraId="633183F6" w14:textId="77777777" w:rsidR="00A3469E" w:rsidRDefault="00A3469E" w:rsidP="00A3469E">
      <w:r>
        <w:t xml:space="preserve">The fifth and final conceptual framework from </w:t>
      </w:r>
      <w:r>
        <w:rPr>
          <w:noProof/>
        </w:rPr>
        <w:t xml:space="preserve">Curry and Nunez-Smith (2015) </w:t>
      </w:r>
      <w:r>
        <w:t xml:space="preserve">is entitled ‘critical appraisal framework for quality in mixed methods studies in health sciences’. It describes six quality domains including the justification of study, quality of design (sampling, data collection, transparency for adherence </w:t>
      </w:r>
      <w:r>
        <w:lastRenderedPageBreak/>
        <w:t xml:space="preserve">to standards of data analysis) and integration and quality of reported outcomes </w:t>
      </w:r>
      <w:r>
        <w:fldChar w:fldCharType="begin"/>
      </w:r>
      <w:r>
        <w:instrText xml:space="preserve"> ADDIN EN.CITE &lt;EndNote&gt;&lt;Cite&gt;&lt;Author&gt;Curry&lt;/Author&gt;&lt;Year&gt;2015&lt;/Year&gt;&lt;IDText&gt;Mixed methods in health sciences research: A practical primer&lt;/IDText&gt;&lt;DisplayText&gt;(Curry and Nunez-Smith, 2015)&lt;/DisplayText&gt;&lt;record&gt;&lt;titles&gt;&lt;title&gt;Mixed methods in health sciences research: A practical primer&lt;/title&gt;&lt;/titles&gt;&lt;contributors&gt;&lt;authors&gt;&lt;author&gt;Curry, L. A&lt;/author&gt;&lt;author&gt;Nunez-Smith, M.&lt;/author&gt;&lt;/authors&gt;&lt;/contributors&gt;&lt;added-date format="utc"&gt;1481280936&lt;/added-date&gt;&lt;pub-location&gt;Thousand Oaks, CA&lt;/pub-location&gt;&lt;ref-type name="Book"&gt;6&lt;/ref-type&gt;&lt;dates&gt;&lt;year&gt;2015&lt;/year&gt;&lt;/dates&gt;&lt;rec-number&gt;319&lt;/rec-number&gt;&lt;publisher&gt;Sage&lt;/publisher&gt;&lt;last-updated-date format="utc"&gt;1481281028&lt;/last-updated-date&gt;&lt;/record&gt;&lt;/Cite&gt;&lt;/EndNote&gt;</w:instrText>
      </w:r>
      <w:r>
        <w:fldChar w:fldCharType="separate"/>
      </w:r>
      <w:r>
        <w:rPr>
          <w:noProof/>
        </w:rPr>
        <w:t>(Curry and Nunez-Smith, 2015)</w:t>
      </w:r>
      <w:r>
        <w:fldChar w:fldCharType="end"/>
      </w:r>
      <w:r>
        <w:t xml:space="preserve">. </w:t>
      </w:r>
    </w:p>
    <w:p w14:paraId="7DA06F79" w14:textId="6A4DFF90" w:rsidR="00A3469E" w:rsidRDefault="00A3469E" w:rsidP="00A3469E">
      <w:r>
        <w:t xml:space="preserve">Messick </w:t>
      </w:r>
      <w:r w:rsidR="00AA569C">
        <w:t xml:space="preserve">(1995) </w:t>
      </w:r>
      <w:r>
        <w:t>describes ‘consequential validity’, which represents the extent to which the assessment measure influences student behaviour and learning. Messick argues that reliability, validity, feasibility and acceptability of an educational research project or evaluation may not align with educational impact and this is something to be aware of.</w:t>
      </w:r>
    </w:p>
    <w:p w14:paraId="0EE15F82" w14:textId="77777777" w:rsidR="00A3469E" w:rsidRDefault="00A3469E" w:rsidP="00A3469E">
      <w:proofErr w:type="spellStart"/>
      <w:r>
        <w:t>Frambach</w:t>
      </w:r>
      <w:proofErr w:type="spellEnd"/>
      <w:r>
        <w:t xml:space="preserve"> et al. describe four quality principles applicable to both qualitative and quantitative research, focus remains on quantitative educational research here </w:t>
      </w:r>
      <w:r>
        <w:fldChar w:fldCharType="begin"/>
      </w:r>
      <w:r>
        <w:instrText xml:space="preserve"> ADDIN EN.CITE &lt;EndNote&gt;&lt;Cite&gt;&lt;Author&gt;Frambach&lt;/Author&gt;&lt;Year&gt;2013&lt;/Year&gt;&lt;IDText&gt;AM last page. Quality criteria in qualitative and quantitative research&lt;/IDText&gt;&lt;DisplayText&gt;(Frambach et al., 2013)&lt;/DisplayText&gt;&lt;record&gt;&lt;dates&gt;&lt;pub-dates&gt;&lt;date&gt;Apr&lt;/date&gt;&lt;/pub-dates&gt;&lt;year&gt;2013&lt;/year&gt;&lt;/dates&gt;&lt;keywords&gt;&lt;keyword&gt;Education, Medical&lt;/keyword&gt;&lt;keyword&gt;Humans&lt;/keyword&gt;&lt;keyword&gt;Qualitative Research&lt;/keyword&gt;&lt;keyword&gt;Research Design&lt;/keyword&gt;&lt;/keywords&gt;&lt;urls&gt;&lt;related-urls&gt;&lt;url&gt;http://www.ncbi.nlm.nih.gov/pubmed/23531762&lt;/url&gt;&lt;/related-urls&gt;&lt;/urls&gt;&lt;isbn&gt;1938-808X&lt;/isbn&gt;&lt;titles&gt;&lt;title&gt;AM last page. Quality criteria in qualitative and quantitative research&lt;/title&gt;&lt;secondary-title&gt;Acad Med&lt;/secondary-title&gt;&lt;/titles&gt;&lt;pages&gt;552&lt;/pages&gt;&lt;number&gt;4&lt;/number&gt;&lt;contributors&gt;&lt;authors&gt;&lt;author&gt;Frambach, J. M.&lt;/author&gt;&lt;author&gt;van der Vleuten, C. P.&lt;/author&gt;&lt;author&gt;Durning, S. J.&lt;/author&gt;&lt;/authors&gt;&lt;/contributors&gt;&lt;language&gt;eng&lt;/language&gt;&lt;added-date format="utc"&gt;1466152163&lt;/added-date&gt;&lt;ref-type name="Journal Article"&gt;17&lt;/ref-type&gt;&lt;rec-number&gt;253&lt;/rec-number&gt;&lt;last-updated-date format="utc"&gt;1466152163&lt;/last-updated-date&gt;&lt;accession-num&gt;23531762&lt;/accession-num&gt;&lt;electronic-resource-num&gt;10.1097/ACM.0b013e31828abf7f&lt;/electronic-resource-num&gt;&lt;volume&gt;88&lt;/volume&gt;&lt;/record&gt;&lt;/Cite&gt;&lt;/EndNote&gt;</w:instrText>
      </w:r>
      <w:r>
        <w:fldChar w:fldCharType="separate"/>
      </w:r>
      <w:r>
        <w:rPr>
          <w:noProof/>
        </w:rPr>
        <w:t>(Frambach et al., 2013)</w:t>
      </w:r>
      <w:r>
        <w:fldChar w:fldCharType="end"/>
      </w:r>
      <w:r>
        <w:t xml:space="preserve">. ‘Truth value of evidence’ is described as ‘internal validity’, which relates to how well the effects recorded are ‘attributed to the independent variable’. Techniques highlighted to enhance quality are to employ a power calculation as completed in this study and give a detailed description of the intervention and educational context so that it is replicable and transparent. Chapter 5 is dedicated to intervention design and underpinning education principles. The third recommendation is to ‘avoid loss of participants or provide information on non-participants’, which has been followed </w:t>
      </w:r>
      <w:r>
        <w:fldChar w:fldCharType="begin"/>
      </w:r>
      <w:r>
        <w:instrText xml:space="preserve"> ADDIN EN.CITE &lt;EndNote&gt;&lt;Cite&gt;&lt;Author&gt;Frambach&lt;/Author&gt;&lt;Year&gt;2013&lt;/Year&gt;&lt;IDText&gt;AM last page. Quality criteria in qualitative and quantitative research&lt;/IDText&gt;&lt;DisplayText&gt;(Frambach et al., 2013)&lt;/DisplayText&gt;&lt;record&gt;&lt;dates&gt;&lt;pub-dates&gt;&lt;date&gt;Apr&lt;/date&gt;&lt;/pub-dates&gt;&lt;year&gt;2013&lt;/year&gt;&lt;/dates&gt;&lt;keywords&gt;&lt;keyword&gt;Education, Medical&lt;/keyword&gt;&lt;keyword&gt;Humans&lt;/keyword&gt;&lt;keyword&gt;Qualitative Research&lt;/keyword&gt;&lt;keyword&gt;Research Design&lt;/keyword&gt;&lt;/keywords&gt;&lt;urls&gt;&lt;related-urls&gt;&lt;url&gt;http://www.ncbi.nlm.nih.gov/pubmed/23531762&lt;/url&gt;&lt;/related-urls&gt;&lt;/urls&gt;&lt;isbn&gt;1938-808X&lt;/isbn&gt;&lt;titles&gt;&lt;title&gt;AM last page. Quality criteria in qualitative and quantitative research&lt;/title&gt;&lt;secondary-title&gt;Acad Med&lt;/secondary-title&gt;&lt;/titles&gt;&lt;pages&gt;552&lt;/pages&gt;&lt;number&gt;4&lt;/number&gt;&lt;contributors&gt;&lt;authors&gt;&lt;author&gt;Frambach, J. M.&lt;/author&gt;&lt;author&gt;van der Vleuten, C. P.&lt;/author&gt;&lt;author&gt;Durning, S. J.&lt;/author&gt;&lt;/authors&gt;&lt;/contributors&gt;&lt;language&gt;eng&lt;/language&gt;&lt;added-date format="utc"&gt;1466152163&lt;/added-date&gt;&lt;ref-type name="Journal Article"&gt;17&lt;/ref-type&gt;&lt;rec-number&gt;253&lt;/rec-number&gt;&lt;last-updated-date format="utc"&gt;1466152163&lt;/last-updated-date&gt;&lt;accession-num&gt;23531762&lt;/accession-num&gt;&lt;electronic-resource-num&gt;10.1097/ACM.0b013e31828abf7f&lt;/electronic-resource-num&gt;&lt;volume&gt;88&lt;/volume&gt;&lt;/record&gt;&lt;/Cite&gt;&lt;/EndNote&gt;</w:instrText>
      </w:r>
      <w:r>
        <w:fldChar w:fldCharType="separate"/>
      </w:r>
      <w:r>
        <w:rPr>
          <w:noProof/>
        </w:rPr>
        <w:t>(Frambach et al., 2013)</w:t>
      </w:r>
      <w:r>
        <w:fldChar w:fldCharType="end"/>
      </w:r>
      <w:r>
        <w:t xml:space="preserve">. The fourth recommendation is that treatment conditions are standardised. The methods employed to aim for this were use of the same trained faculty, teaching environment, equipment and curriculum-mapped scenarios. A peer-reviewed debriefing model structure from the literature was used to standardise the debriefing delivered and faculty were able to peer review one another </w:t>
      </w:r>
      <w:r>
        <w:fldChar w:fldCharType="begin"/>
      </w:r>
      <w:r>
        <w:instrText xml:space="preserve"> ADDIN EN.CITE &lt;EndNote&gt;&lt;Cite&gt;&lt;Author&gt;Rudolph&lt;/Author&gt;&lt;Year&gt;2007&lt;/Year&gt;&lt;IDText&gt;Debriefing with good judgment: combining rigorous feedback with genuine inquiry&lt;/IDText&gt;&lt;DisplayText&gt;(Rudolph et al., 2007)&lt;/DisplayText&gt;&lt;record&gt;&lt;dates&gt;&lt;pub-dates&gt;&lt;date&gt;2007-Jun&lt;/date&gt;&lt;/pub-dates&gt;&lt;year&gt;2007&lt;/year&gt;&lt;/dates&gt;&lt;urls&gt;&lt;related-urls&gt;&lt;url&gt;&amp;lt;Go to ISI&amp;gt;://MEDLINE:17574196&lt;/url&gt;&lt;/related-urls&gt;&lt;/urls&gt;&lt;isbn&gt;1932-2275&lt;/isbn&gt;&lt;titles&gt;&lt;title&gt;Debriefing with good judgment: combining rigorous feedback with genuine inquiry&lt;/title&gt;&lt;secondary-title&gt;Anesthesiology clinics&lt;/secondary-title&gt;&lt;/titles&gt;&lt;pages&gt;361-76&lt;/pages&gt;&lt;number&gt;2&lt;/number&gt;&lt;contributors&gt;&lt;authors&gt;&lt;author&gt;Rudolph, Jenny W.&lt;/author&gt;&lt;author&gt;Simon, Robert&lt;/author&gt;&lt;author&gt;Rivard, Peter&lt;/author&gt;&lt;author&gt;Dufresne, Ronald L.&lt;/author&gt;&lt;author&gt;Raemer, Daniel B.&lt;/author&gt;&lt;/authors&gt;&lt;/contributors&gt;&lt;added-date format="utc"&gt;1399991869&lt;/added-date&gt;&lt;ref-type name="Journal Article"&gt;17&lt;/ref-type&gt;&lt;rec-number&gt;136&lt;/rec-number&gt;&lt;last-updated-date format="utc"&gt;1400228406&lt;/last-updated-date&gt;&lt;accession-num&gt;MEDLINE:17574196&lt;/accession-num&gt;&lt;electronic-resource-num&gt;10.1016/j.anclin.2007.03.007&lt;/electronic-resource-num&gt;&lt;volume&gt;25&lt;/volume&gt;&lt;/record&gt;&lt;/Cite&gt;&lt;/EndNote&gt;</w:instrText>
      </w:r>
      <w:r>
        <w:fldChar w:fldCharType="separate"/>
      </w:r>
      <w:r>
        <w:rPr>
          <w:noProof/>
        </w:rPr>
        <w:t>(Rudolph et al., 2007)</w:t>
      </w:r>
      <w:r>
        <w:fldChar w:fldCharType="end"/>
      </w:r>
      <w:r>
        <w:t xml:space="preserve">. In addition, data collection tools </w:t>
      </w:r>
      <w:r>
        <w:lastRenderedPageBreak/>
        <w:t xml:space="preserve">previously validated were standardised and unsystematic variation and biases related to the collection of these data have been discussed above. </w:t>
      </w:r>
    </w:p>
    <w:p w14:paraId="7719BD17" w14:textId="5AB6C8D9" w:rsidR="00A3469E" w:rsidRDefault="00A3469E" w:rsidP="00A3469E">
      <w:r>
        <w:t xml:space="preserve">The second quality principle described by </w:t>
      </w:r>
      <w:proofErr w:type="spellStart"/>
      <w:r>
        <w:t>Frambach</w:t>
      </w:r>
      <w:proofErr w:type="spellEnd"/>
      <w:r>
        <w:t xml:space="preserve"> et al (2013), ‘applicability of evidence’ or ‘external validity’, relates to how well research study results can be generalised and applied to the rest of the population. Methods to enhance quality in this area include the use of random or ‘stratified sampling’. Sampling is discussed below (section </w:t>
      </w:r>
      <w:r w:rsidR="00F30A4E">
        <w:t>3.2.4)</w:t>
      </w:r>
      <w:r>
        <w:t xml:space="preserve"> and because it was important to select 5</w:t>
      </w:r>
      <w:r w:rsidRPr="00ED04B1">
        <w:rPr>
          <w:vertAlign w:val="superscript"/>
        </w:rPr>
        <w:t>th</w:t>
      </w:r>
      <w:r>
        <w:t xml:space="preserve"> year medical students, totally random sampling was not appropriate. The ethics and challenges of trying to randomise medical students are discussed during the sampling section. The second recommendation is to ‘replicate the study in other contexts’, however the gap in the literature is specific to preparedness for practice in 5</w:t>
      </w:r>
      <w:r w:rsidRPr="00ED04B1">
        <w:rPr>
          <w:vertAlign w:val="superscript"/>
        </w:rPr>
        <w:t>th</w:t>
      </w:r>
      <w:r>
        <w:t xml:space="preserve"> year medical students taking up new FY1 posts. Though work has been done about confidence and performance in sport, this is not the focus of the study and would not support the work by taking it into a different context. Using two different medical schools was one method to allow comparison. The final recommendation relates to construct validity, which has been covered previously. </w:t>
      </w:r>
    </w:p>
    <w:p w14:paraId="31780468" w14:textId="6A62FC26" w:rsidR="00A3469E" w:rsidRDefault="00A3469E" w:rsidP="00A3469E">
      <w:r>
        <w:t xml:space="preserve">‘Consistency of evidence’ is the third described quality principle and relates to reliability and how similar or consistent results would be if the research methods and study were repeated. Techniques recommended to improve quality include ‘estimation of internal consistency across repeated-measures’ </w:t>
      </w:r>
      <w:r w:rsidR="003A7D42">
        <w:t>- the</w:t>
      </w:r>
      <w:r>
        <w:t xml:space="preserve"> author highlights ‘classical test theory’ as a method to achieve this. Estimation of sources of variance affecting measurement through exploring generalisability theory is recommended, and discussion surrounding variation has occurred </w:t>
      </w:r>
      <w:r>
        <w:lastRenderedPageBreak/>
        <w:t>above. They finally recommend use of ‘item response theory’ to estimate parameters linked to the test, item and participants.</w:t>
      </w:r>
    </w:p>
    <w:p w14:paraId="644DD6BB" w14:textId="77777777" w:rsidR="00A3469E" w:rsidRDefault="00A3469E" w:rsidP="00A3469E">
      <w:r>
        <w:t xml:space="preserve">The fourth quality principle - ‘neutrality of evidence’ or ‘objectivity’ - relates to the importance of awareness of biases and attempts to remove them. Techniques related to this domain are emphasised as the use of blind assessors or coders. This was not possible during the research due to the importance of being embedded within the research and the need for consistency of formative assessment, as well as the inability to use a randomised trial due to ethical issues. Anonymisation of respondents was employed and is recommended. Each participant was given a unique identification number and this number used to collect ongoing data across the four conditions. The third technique is described as ‘letting the facts speak for themselves’, which is interpreted as transparency and simplicity in data analysis and presentation with focus on the overall message. The final recommendation under ‘objectivity’ is the maintenance and safeguarding of data for ‘accountability’. All original anonymised data is secure and any identifiable information is stored on an encrypted memory stick that is password protected. </w:t>
      </w:r>
    </w:p>
    <w:p w14:paraId="4A7923A4" w14:textId="387BEE54" w:rsidR="007B78B2" w:rsidRPr="00A3469E" w:rsidRDefault="00A3469E" w:rsidP="00A3469E">
      <w:r>
        <w:t xml:space="preserve">It is hoped that by attempting to address and employ as many of these techniques as possible that the quality of quantitative methodology and data is optimised and where this has not been possible, that there is transparency about why. Quantitative and qualitative research </w:t>
      </w:r>
      <w:r w:rsidR="003A7D42">
        <w:t>methodologies are</w:t>
      </w:r>
      <w:r>
        <w:t xml:space="preserve"> discussed in the following sections. </w:t>
      </w:r>
    </w:p>
    <w:p w14:paraId="46332B0C" w14:textId="68B3F0BA" w:rsidR="007B78B2" w:rsidRDefault="009F104E" w:rsidP="00B74756">
      <w:pPr>
        <w:pStyle w:val="Heading2"/>
      </w:pPr>
      <w:bookmarkStart w:id="72" w:name="_Toc419116103"/>
      <w:bookmarkStart w:id="73" w:name="_Toc343501105"/>
      <w:bookmarkStart w:id="74" w:name="_Toc348686306"/>
      <w:r w:rsidRPr="00A331CA">
        <w:t xml:space="preserve">Quantitative </w:t>
      </w:r>
      <w:r w:rsidR="00305946" w:rsidRPr="00DC59C0">
        <w:t>research</w:t>
      </w:r>
      <w:r w:rsidR="00A3469E" w:rsidRPr="00EF11CB">
        <w:t xml:space="preserve"> methodology</w:t>
      </w:r>
      <w:bookmarkEnd w:id="72"/>
      <w:r w:rsidR="00305946" w:rsidRPr="00332974">
        <w:t xml:space="preserve"> </w:t>
      </w:r>
    </w:p>
    <w:p w14:paraId="40E401A8" w14:textId="77777777" w:rsidR="00B74756" w:rsidRPr="00B74756" w:rsidRDefault="00B74756" w:rsidP="00B74756"/>
    <w:p w14:paraId="16268DF5" w14:textId="75CE8B9E" w:rsidR="009F104E" w:rsidRDefault="00A3469E" w:rsidP="00CF19BD">
      <w:pPr>
        <w:pStyle w:val="Heading3"/>
      </w:pPr>
      <w:bookmarkStart w:id="75" w:name="_Toc419116104"/>
      <w:r>
        <w:lastRenderedPageBreak/>
        <w:t>Quantitative research: t</w:t>
      </w:r>
      <w:r w:rsidR="009F104E">
        <w:t>heory</w:t>
      </w:r>
      <w:bookmarkEnd w:id="73"/>
      <w:bookmarkEnd w:id="74"/>
      <w:bookmarkEnd w:id="75"/>
    </w:p>
    <w:p w14:paraId="06205DE1" w14:textId="77777777" w:rsidR="00B74756" w:rsidRDefault="00B74756" w:rsidP="00CF19BD">
      <w:pPr>
        <w:shd w:val="clear" w:color="auto" w:fill="FFFFFF"/>
        <w:spacing w:before="100" w:beforeAutospacing="1" w:after="100" w:afterAutospacing="1"/>
      </w:pPr>
    </w:p>
    <w:p w14:paraId="45E5B647" w14:textId="62011854" w:rsidR="009F104E" w:rsidRDefault="009F104E" w:rsidP="00CF19BD">
      <w:pPr>
        <w:shd w:val="clear" w:color="auto" w:fill="FFFFFF"/>
        <w:spacing w:before="100" w:beforeAutospacing="1" w:after="100" w:afterAutospacing="1"/>
      </w:pPr>
      <w:r w:rsidRPr="007B5F09">
        <w:rPr>
          <w:rFonts w:eastAsiaTheme="minorEastAsia" w:cs="Arial"/>
          <w:szCs w:val="24"/>
        </w:rPr>
        <w:t>Qua</w:t>
      </w:r>
      <w:r>
        <w:rPr>
          <w:rFonts w:eastAsiaTheme="minorEastAsia" w:cs="Arial"/>
          <w:szCs w:val="24"/>
        </w:rPr>
        <w:t>n</w:t>
      </w:r>
      <w:r w:rsidRPr="007B5F09">
        <w:rPr>
          <w:rFonts w:eastAsiaTheme="minorEastAsia" w:cs="Arial"/>
          <w:szCs w:val="24"/>
        </w:rPr>
        <w:t>titative research involves the collection and analysis of objective</w:t>
      </w:r>
      <w:r>
        <w:rPr>
          <w:rFonts w:eastAsiaTheme="minorEastAsia" w:cs="Arial"/>
          <w:szCs w:val="24"/>
        </w:rPr>
        <w:t>,</w:t>
      </w:r>
      <w:r w:rsidRPr="007B5F09">
        <w:rPr>
          <w:rFonts w:eastAsiaTheme="minorEastAsia" w:cs="Arial"/>
          <w:szCs w:val="24"/>
        </w:rPr>
        <w:t xml:space="preserve"> usually numerical measures to study a hypothesis.</w:t>
      </w:r>
      <w:r>
        <w:rPr>
          <w:rFonts w:eastAsiaTheme="minorEastAsia" w:cs="Arial"/>
          <w:szCs w:val="24"/>
        </w:rPr>
        <w:t xml:space="preserve"> </w:t>
      </w:r>
      <w:proofErr w:type="spellStart"/>
      <w:r w:rsidRPr="007C1E85">
        <w:t>Aliaga</w:t>
      </w:r>
      <w:proofErr w:type="spellEnd"/>
      <w:r w:rsidRPr="007C1E85">
        <w:t xml:space="preserve"> and Gunderson (2000) describe q</w:t>
      </w:r>
      <w:r w:rsidRPr="007C1E85">
        <w:rPr>
          <w:rFonts w:eastAsiaTheme="minorEastAsia"/>
        </w:rPr>
        <w:t>uantitative research a</w:t>
      </w:r>
      <w:r>
        <w:rPr>
          <w:rFonts w:eastAsiaTheme="minorEastAsia"/>
        </w:rPr>
        <w:t>s</w:t>
      </w:r>
      <w:r w:rsidR="00697828">
        <w:rPr>
          <w:rFonts w:eastAsiaTheme="minorEastAsia"/>
        </w:rPr>
        <w:t>:</w:t>
      </w:r>
      <w:r w:rsidRPr="007C1E85">
        <w:rPr>
          <w:rFonts w:eastAsiaTheme="minorEastAsia"/>
        </w:rPr>
        <w:t xml:space="preserve"> ‘</w:t>
      </w:r>
      <w:r w:rsidR="00697828">
        <w:rPr>
          <w:rFonts w:eastAsiaTheme="minorEastAsia"/>
        </w:rPr>
        <w:t>e</w:t>
      </w:r>
      <w:r w:rsidRPr="007C1E85">
        <w:rPr>
          <w:rFonts w:eastAsiaTheme="minorEastAsia"/>
        </w:rPr>
        <w:t>xplaining phenomena by collecting numerical data that are analysed using mathematically based methods (in particular statistics)’</w:t>
      </w:r>
      <w:r w:rsidR="00697828">
        <w:rPr>
          <w:rFonts w:eastAsiaTheme="minorEastAsia"/>
        </w:rPr>
        <w:t>,</w:t>
      </w:r>
      <w:r w:rsidRPr="007C1E85">
        <w:rPr>
          <w:rFonts w:eastAsiaTheme="minorEastAsia"/>
        </w:rPr>
        <w:t xml:space="preserve"> </w:t>
      </w:r>
      <w:r>
        <w:rPr>
          <w:rFonts w:eastAsiaTheme="minorEastAsia"/>
        </w:rPr>
        <w:fldChar w:fldCharType="begin"/>
      </w:r>
      <w:r>
        <w:rPr>
          <w:rFonts w:eastAsiaTheme="minorEastAsia"/>
        </w:rPr>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Pr>
          <w:rFonts w:eastAsiaTheme="minorEastAsia"/>
        </w:rPr>
        <w:fldChar w:fldCharType="separate"/>
      </w:r>
      <w:r>
        <w:rPr>
          <w:rFonts w:eastAsiaTheme="minorEastAsia"/>
          <w:noProof/>
        </w:rPr>
        <w:t>(Cohen et al., 2000)</w:t>
      </w:r>
      <w:r>
        <w:rPr>
          <w:rFonts w:eastAsiaTheme="minorEastAsia"/>
        </w:rPr>
        <w:fldChar w:fldCharType="end"/>
      </w:r>
      <w:r w:rsidR="00FA206A">
        <w:rPr>
          <w:rFonts w:eastAsiaTheme="minorEastAsia"/>
        </w:rPr>
        <w:t xml:space="preserve">. </w:t>
      </w:r>
      <w:r>
        <w:t xml:space="preserve">It is possible to collect quantitative data where measures do not lend themselves automatically to numerical form. </w:t>
      </w:r>
    </w:p>
    <w:p w14:paraId="31D8A8D1" w14:textId="5C7AA775" w:rsidR="009F104E" w:rsidRPr="007221BF" w:rsidRDefault="009F104E" w:rsidP="009F104E">
      <w:pPr>
        <w:pStyle w:val="NormalWeb"/>
        <w:shd w:val="clear" w:color="auto" w:fill="FFFFFF"/>
        <w:spacing w:line="480" w:lineRule="auto"/>
        <w:rPr>
          <w:rFonts w:ascii="Arial" w:eastAsiaTheme="minorEastAsia" w:hAnsi="Arial" w:cs="Arial"/>
          <w:lang w:val="en-US"/>
        </w:rPr>
      </w:pPr>
      <w:r w:rsidRPr="007221BF">
        <w:rPr>
          <w:rFonts w:ascii="Arial" w:eastAsiaTheme="minorEastAsia" w:hAnsi="Arial" w:cs="Arial"/>
          <w:bCs/>
          <w:lang w:val="en-US"/>
        </w:rPr>
        <w:t>Positivism</w:t>
      </w:r>
      <w:r w:rsidRPr="007221BF">
        <w:rPr>
          <w:rFonts w:ascii="Arial" w:eastAsiaTheme="minorEastAsia" w:hAnsi="Arial" w:cs="Arial"/>
          <w:lang w:val="en-US"/>
        </w:rPr>
        <w:t xml:space="preserve"> reflects a view that real knowledge is scientific, and can only be derived from scientific methodology that seeks to prove a hypothesis or explain a phenomenon</w:t>
      </w:r>
      <w:r w:rsidR="00D12100" w:rsidRPr="007221BF">
        <w:rPr>
          <w:rFonts w:ascii="Arial" w:eastAsiaTheme="minorEastAsia" w:hAnsi="Arial" w:cs="Arial"/>
          <w:lang w:val="en-US"/>
        </w:rPr>
        <w:t xml:space="preserve">, </w:t>
      </w:r>
      <w:r w:rsidRPr="007221BF">
        <w:rPr>
          <w:rFonts w:ascii="Arial" w:eastAsiaTheme="minorEastAsia" w:hAnsi="Arial" w:cs="Arial"/>
          <w:lang w:val="en-US"/>
        </w:rPr>
        <w:t>involv</w:t>
      </w:r>
      <w:r w:rsidR="00D12100" w:rsidRPr="007221BF">
        <w:rPr>
          <w:rFonts w:ascii="Arial" w:eastAsiaTheme="minorEastAsia" w:hAnsi="Arial" w:cs="Arial"/>
          <w:lang w:val="en-US"/>
        </w:rPr>
        <w:t>ing</w:t>
      </w:r>
      <w:r w:rsidRPr="007221BF">
        <w:rPr>
          <w:rFonts w:ascii="Arial" w:eastAsiaTheme="minorEastAsia" w:hAnsi="Arial" w:cs="Arial"/>
          <w:lang w:val="en-US"/>
        </w:rPr>
        <w:t xml:space="preserve"> logical, mathematical or statistical proof</w:t>
      </w:r>
      <w:r w:rsidR="00ED7184" w:rsidRPr="007221BF">
        <w:rPr>
          <w:rFonts w:ascii="Arial" w:eastAsiaTheme="minorEastAsia" w:hAnsi="Arial" w:cs="Arial"/>
          <w:lang w:val="en-US"/>
        </w:rPr>
        <w:t>.</w:t>
      </w:r>
      <w:r w:rsidRPr="007221BF">
        <w:rPr>
          <w:rFonts w:ascii="Arial" w:eastAsiaTheme="minorEastAsia" w:hAnsi="Arial" w:cs="Arial"/>
          <w:lang w:val="en-US"/>
        </w:rPr>
        <w:t xml:space="preserve"> Positivism is said to allow </w:t>
      </w:r>
      <w:proofErr w:type="spellStart"/>
      <w:r w:rsidRPr="007221BF">
        <w:rPr>
          <w:rFonts w:ascii="Arial" w:eastAsiaTheme="minorEastAsia" w:hAnsi="Arial" w:cs="Arial"/>
          <w:lang w:val="en-US"/>
        </w:rPr>
        <w:t>generalisations</w:t>
      </w:r>
      <w:proofErr w:type="spellEnd"/>
      <w:r w:rsidRPr="007221BF">
        <w:rPr>
          <w:rFonts w:ascii="Arial" w:eastAsiaTheme="minorEastAsia" w:hAnsi="Arial" w:cs="Arial"/>
          <w:lang w:val="en-US"/>
        </w:rPr>
        <w:t xml:space="preserve"> related to scientific natural phenomena due to the belief that ‘science provides the clearest possible ideal of knowledge’</w:t>
      </w:r>
      <w:r w:rsidR="00ED7184" w:rsidRPr="007221BF">
        <w:rPr>
          <w:rFonts w:ascii="Arial" w:eastAsiaTheme="minorEastAsia" w:hAnsi="Arial" w:cs="Arial"/>
          <w:lang w:val="en-US"/>
        </w:rPr>
        <w:t xml:space="preserve"> </w:t>
      </w:r>
      <w:r w:rsidR="00ED7184" w:rsidRPr="007221BF">
        <w:rPr>
          <w:rFonts w:ascii="Arial" w:eastAsiaTheme="minorEastAsia" w:hAnsi="Arial" w:cs="Arial"/>
          <w:lang w:val="en-US"/>
        </w:rPr>
        <w:fldChar w:fldCharType="begin"/>
      </w:r>
      <w:r w:rsidR="00ED7184" w:rsidRPr="007221BF">
        <w:rPr>
          <w:rFonts w:ascii="Arial" w:eastAsiaTheme="minorEastAsia" w:hAnsi="Arial" w:cs="Arial"/>
          <w:lang w:val="en-US"/>
        </w:rPr>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ED7184" w:rsidRPr="007221BF">
        <w:rPr>
          <w:rFonts w:ascii="Arial" w:eastAsiaTheme="minorEastAsia" w:hAnsi="Arial" w:cs="Arial"/>
          <w:lang w:val="en-US"/>
        </w:rPr>
        <w:fldChar w:fldCharType="separate"/>
      </w:r>
      <w:r w:rsidR="00ED7184" w:rsidRPr="007221BF">
        <w:rPr>
          <w:rFonts w:ascii="Arial" w:eastAsiaTheme="minorEastAsia" w:hAnsi="Arial" w:cs="Arial"/>
          <w:noProof/>
          <w:lang w:val="en-US"/>
        </w:rPr>
        <w:t>(Cohen et al., 2000)</w:t>
      </w:r>
      <w:r w:rsidR="00ED7184" w:rsidRPr="007221BF">
        <w:rPr>
          <w:rFonts w:ascii="Arial" w:eastAsiaTheme="minorEastAsia" w:hAnsi="Arial" w:cs="Arial"/>
          <w:lang w:val="en-US"/>
        </w:rPr>
        <w:fldChar w:fldCharType="end"/>
      </w:r>
      <w:r w:rsidR="00D12100" w:rsidRPr="007221BF">
        <w:rPr>
          <w:rFonts w:ascii="Arial" w:eastAsiaTheme="minorEastAsia" w:hAnsi="Arial" w:cs="Arial"/>
          <w:lang w:val="en-US"/>
        </w:rPr>
        <w:t xml:space="preserve">. </w:t>
      </w:r>
    </w:p>
    <w:p w14:paraId="7817B3BC" w14:textId="68148CDA" w:rsidR="009F104E" w:rsidRPr="007221BF" w:rsidRDefault="009F104E" w:rsidP="009F104E">
      <w:pPr>
        <w:pStyle w:val="NormalWeb"/>
        <w:shd w:val="clear" w:color="auto" w:fill="FFFFFF"/>
        <w:spacing w:line="480" w:lineRule="auto"/>
        <w:rPr>
          <w:rFonts w:ascii="Arial" w:eastAsiaTheme="minorEastAsia" w:hAnsi="Arial" w:cs="Arial"/>
          <w:lang w:val="en-US"/>
        </w:rPr>
      </w:pPr>
      <w:r w:rsidRPr="007221BF">
        <w:rPr>
          <w:rFonts w:ascii="Arial" w:eastAsiaTheme="minorEastAsia" w:hAnsi="Arial" w:cs="Arial"/>
          <w:lang w:val="en-US"/>
        </w:rPr>
        <w:t>Cohen et al</w:t>
      </w:r>
      <w:r w:rsidR="00D12100" w:rsidRPr="007221BF">
        <w:rPr>
          <w:rFonts w:ascii="Arial" w:eastAsiaTheme="minorEastAsia" w:hAnsi="Arial" w:cs="Arial"/>
          <w:lang w:val="en-US"/>
        </w:rPr>
        <w:t xml:space="preserve">. (2000) </w:t>
      </w:r>
      <w:r w:rsidRPr="007221BF">
        <w:rPr>
          <w:rFonts w:ascii="Arial" w:eastAsiaTheme="minorEastAsia" w:hAnsi="Arial" w:cs="Arial"/>
          <w:lang w:val="en-US"/>
        </w:rPr>
        <w:t>describe four</w:t>
      </w:r>
      <w:r w:rsidR="00D12100" w:rsidRPr="007221BF">
        <w:rPr>
          <w:rFonts w:ascii="Arial" w:eastAsiaTheme="minorEastAsia" w:hAnsi="Arial" w:cs="Arial"/>
          <w:lang w:val="en-US"/>
        </w:rPr>
        <w:t xml:space="preserve"> assumptions related to scientific method</w:t>
      </w:r>
      <w:r w:rsidRPr="007221BF">
        <w:rPr>
          <w:rFonts w:ascii="Arial" w:eastAsiaTheme="minorEastAsia" w:hAnsi="Arial" w:cs="Arial"/>
          <w:lang w:val="en-US"/>
        </w:rPr>
        <w:t>. The first, ‘determinism’</w:t>
      </w:r>
      <w:r w:rsidR="00697828" w:rsidRPr="007221BF">
        <w:rPr>
          <w:rFonts w:ascii="Arial" w:eastAsiaTheme="minorEastAsia" w:hAnsi="Arial" w:cs="Arial"/>
          <w:lang w:val="en-US"/>
        </w:rPr>
        <w:t>,</w:t>
      </w:r>
      <w:r w:rsidRPr="007221BF">
        <w:rPr>
          <w:rFonts w:ascii="Arial" w:eastAsiaTheme="minorEastAsia" w:hAnsi="Arial" w:cs="Arial"/>
          <w:lang w:val="en-US"/>
        </w:rPr>
        <w:t xml:space="preserve"> </w:t>
      </w:r>
      <w:r w:rsidR="00697828" w:rsidRPr="007221BF">
        <w:rPr>
          <w:rFonts w:ascii="Arial" w:eastAsiaTheme="minorEastAsia" w:hAnsi="Arial" w:cs="Arial"/>
          <w:lang w:val="en-US"/>
        </w:rPr>
        <w:t>follow</w:t>
      </w:r>
      <w:r w:rsidRPr="007221BF">
        <w:rPr>
          <w:rFonts w:ascii="Arial" w:eastAsiaTheme="minorEastAsia" w:hAnsi="Arial" w:cs="Arial"/>
          <w:lang w:val="en-US"/>
        </w:rPr>
        <w:t>s that occurrences of events will have traceable causes and there are relationships and causal links between events and outcomes. ‘</w:t>
      </w:r>
      <w:r w:rsidR="00D12100" w:rsidRPr="007221BF">
        <w:rPr>
          <w:rFonts w:ascii="Arial" w:eastAsiaTheme="minorEastAsia" w:hAnsi="Arial" w:cs="Arial"/>
          <w:lang w:val="en-US"/>
        </w:rPr>
        <w:t>E</w:t>
      </w:r>
      <w:r w:rsidRPr="007221BF">
        <w:rPr>
          <w:rFonts w:ascii="Arial" w:eastAsiaTheme="minorEastAsia" w:hAnsi="Arial" w:cs="Arial"/>
          <w:lang w:val="en-US"/>
        </w:rPr>
        <w:t>mpiricism’</w:t>
      </w:r>
      <w:r w:rsidR="00697828" w:rsidRPr="007221BF">
        <w:rPr>
          <w:rFonts w:ascii="Arial" w:eastAsiaTheme="minorEastAsia" w:hAnsi="Arial" w:cs="Arial"/>
          <w:lang w:val="en-US"/>
        </w:rPr>
        <w:t xml:space="preserve"> argues</w:t>
      </w:r>
      <w:r w:rsidRPr="007221BF">
        <w:rPr>
          <w:rFonts w:ascii="Arial" w:eastAsiaTheme="minorEastAsia" w:hAnsi="Arial" w:cs="Arial"/>
          <w:lang w:val="en-US"/>
        </w:rPr>
        <w:t xml:space="preserve"> that a scientific understanding emerges from ‘evidence from direct experience’</w:t>
      </w:r>
      <w:r w:rsidR="00D12100" w:rsidRPr="007221BF">
        <w:rPr>
          <w:rFonts w:ascii="Arial" w:eastAsiaTheme="minorEastAsia" w:hAnsi="Arial" w:cs="Arial"/>
          <w:lang w:val="en-US"/>
        </w:rPr>
        <w:t>,</w:t>
      </w:r>
      <w:r w:rsidRPr="007221BF">
        <w:rPr>
          <w:rFonts w:ascii="Arial" w:eastAsiaTheme="minorEastAsia" w:hAnsi="Arial" w:cs="Arial"/>
          <w:lang w:val="en-US"/>
        </w:rPr>
        <w:t xml:space="preserve"> subjectively or objectively explored. ‘</w:t>
      </w:r>
      <w:r w:rsidR="00D12100" w:rsidRPr="007221BF">
        <w:rPr>
          <w:rFonts w:ascii="Arial" w:eastAsiaTheme="minorEastAsia" w:hAnsi="Arial" w:cs="Arial"/>
          <w:lang w:val="en-US"/>
        </w:rPr>
        <w:t>P</w:t>
      </w:r>
      <w:r w:rsidRPr="007221BF">
        <w:rPr>
          <w:rFonts w:ascii="Arial" w:eastAsiaTheme="minorEastAsia" w:hAnsi="Arial" w:cs="Arial"/>
          <w:lang w:val="en-US"/>
        </w:rPr>
        <w:t xml:space="preserve">arsimony’ relates to the explanation of outcome needing to be economical with a simple theory </w:t>
      </w:r>
      <w:r w:rsidR="00697828" w:rsidRPr="007221BF">
        <w:rPr>
          <w:rFonts w:ascii="Arial" w:eastAsiaTheme="minorEastAsia" w:hAnsi="Arial" w:cs="Arial"/>
          <w:lang w:val="en-US"/>
        </w:rPr>
        <w:t xml:space="preserve">rather than </w:t>
      </w:r>
      <w:r w:rsidRPr="007221BF">
        <w:rPr>
          <w:rFonts w:ascii="Arial" w:eastAsiaTheme="minorEastAsia" w:hAnsi="Arial" w:cs="Arial"/>
          <w:lang w:val="en-US"/>
        </w:rPr>
        <w:t>a complex one. The fourth</w:t>
      </w:r>
      <w:r w:rsidR="006E1F44" w:rsidRPr="007221BF">
        <w:rPr>
          <w:rFonts w:ascii="Arial" w:eastAsiaTheme="minorEastAsia" w:hAnsi="Arial" w:cs="Arial"/>
          <w:lang w:val="en-US"/>
        </w:rPr>
        <w:t xml:space="preserve">, </w:t>
      </w:r>
      <w:r w:rsidRPr="007221BF">
        <w:rPr>
          <w:rFonts w:ascii="Arial" w:eastAsiaTheme="minorEastAsia" w:hAnsi="Arial" w:cs="Arial"/>
          <w:lang w:val="en-US"/>
        </w:rPr>
        <w:t xml:space="preserve">‘generality’, describes the contrast between ‘concrete particular’ versus ‘abstract general’ knowledge </w:t>
      </w:r>
      <w:r w:rsidRPr="007221BF">
        <w:rPr>
          <w:rFonts w:ascii="Arial" w:eastAsiaTheme="minorEastAsia" w:hAnsi="Arial" w:cs="Arial"/>
          <w:lang w:val="en-US"/>
        </w:rPr>
        <w:fldChar w:fldCharType="begin"/>
      </w:r>
      <w:r w:rsidRPr="007221BF">
        <w:rPr>
          <w:rFonts w:ascii="Arial" w:eastAsiaTheme="minorEastAsia" w:hAnsi="Arial" w:cs="Arial"/>
          <w:lang w:val="en-US"/>
        </w:rPr>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Pr="007221BF">
        <w:rPr>
          <w:rFonts w:ascii="Arial" w:eastAsiaTheme="minorEastAsia" w:hAnsi="Arial" w:cs="Arial"/>
          <w:lang w:val="en-US"/>
        </w:rPr>
        <w:fldChar w:fldCharType="separate"/>
      </w:r>
      <w:r w:rsidRPr="007221BF">
        <w:rPr>
          <w:rFonts w:ascii="Arial" w:eastAsiaTheme="minorEastAsia" w:hAnsi="Arial" w:cs="Arial"/>
          <w:noProof/>
          <w:lang w:val="en-US"/>
        </w:rPr>
        <w:t>(Cohen et al., 2000)</w:t>
      </w:r>
      <w:r w:rsidRPr="007221BF">
        <w:rPr>
          <w:rFonts w:ascii="Arial" w:eastAsiaTheme="minorEastAsia" w:hAnsi="Arial" w:cs="Arial"/>
          <w:lang w:val="en-US"/>
        </w:rPr>
        <w:fldChar w:fldCharType="end"/>
      </w:r>
      <w:r w:rsidRPr="007221BF">
        <w:rPr>
          <w:rFonts w:ascii="Arial" w:eastAsiaTheme="minorEastAsia" w:hAnsi="Arial" w:cs="Arial"/>
          <w:lang w:val="en-US"/>
        </w:rPr>
        <w:t>.</w:t>
      </w:r>
    </w:p>
    <w:p w14:paraId="40572244" w14:textId="5DE35460" w:rsidR="009F104E" w:rsidRPr="007221BF" w:rsidRDefault="00ED7184" w:rsidP="009F104E">
      <w:r w:rsidRPr="007221BF">
        <w:lastRenderedPageBreak/>
        <w:t xml:space="preserve">According to </w:t>
      </w:r>
      <w:proofErr w:type="spellStart"/>
      <w:r w:rsidR="009F104E" w:rsidRPr="007221BF">
        <w:t>Mouly</w:t>
      </w:r>
      <w:proofErr w:type="spellEnd"/>
      <w:r w:rsidR="009F104E" w:rsidRPr="007221BF">
        <w:t xml:space="preserve"> the researcher begins in an </w:t>
      </w:r>
      <w:r w:rsidRPr="007221BF">
        <w:t>‘</w:t>
      </w:r>
      <w:r w:rsidR="009F104E" w:rsidRPr="007221BF">
        <w:t>inductive</w:t>
      </w:r>
      <w:r w:rsidRPr="007221BF">
        <w:t>’</w:t>
      </w:r>
      <w:r w:rsidR="009F104E" w:rsidRPr="007221BF">
        <w:t xml:space="preserve"> process by observation to form a hypothesis, then employs deductive reasoning</w:t>
      </w:r>
      <w:r w:rsidRPr="007221BF">
        <w:t>, which is based on formal logic</w:t>
      </w:r>
      <w:r w:rsidR="009F104E" w:rsidRPr="007221BF">
        <w:t xml:space="preserve"> to assess implications and checks findings with current available evidence or knowledge (‘inductive-deductive’)</w:t>
      </w:r>
      <w:r w:rsidR="00697828" w:rsidRPr="007221BF">
        <w:t xml:space="preserve"> </w:t>
      </w:r>
      <w:r w:rsidR="009F104E" w:rsidRPr="007221BF">
        <w:fldChar w:fldCharType="begin"/>
      </w:r>
      <w:r w:rsidR="009F104E" w:rsidRPr="007221BF">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9F104E" w:rsidRPr="007221BF">
        <w:fldChar w:fldCharType="separate"/>
      </w:r>
      <w:r w:rsidR="009F104E" w:rsidRPr="007221BF">
        <w:rPr>
          <w:noProof/>
        </w:rPr>
        <w:t>(Cohen et al., 2000)</w:t>
      </w:r>
      <w:r w:rsidR="009F104E" w:rsidRPr="007221BF">
        <w:fldChar w:fldCharType="end"/>
      </w:r>
      <w:r w:rsidR="009F104E" w:rsidRPr="007221BF">
        <w:t xml:space="preserve">. Douglas, </w:t>
      </w:r>
      <w:r w:rsidR="00697828" w:rsidRPr="007221BF">
        <w:t>(</w:t>
      </w:r>
      <w:r w:rsidR="009F104E" w:rsidRPr="007221BF">
        <w:t>1973</w:t>
      </w:r>
      <w:r w:rsidR="00697828" w:rsidRPr="007221BF">
        <w:t>)</w:t>
      </w:r>
      <w:r w:rsidR="009F104E" w:rsidRPr="007221BF">
        <w:t xml:space="preserve"> described the ‘normative model’, which is ‘positivist’, where ‘human behaviour is thought to be rule-governed’ and should be investigated through ‘natural science’ methodologies</w:t>
      </w:r>
      <w:r w:rsidR="00AC3678" w:rsidRPr="007221BF">
        <w:t xml:space="preserve"> </w:t>
      </w:r>
      <w:r w:rsidR="009F104E" w:rsidRPr="007221BF">
        <w:fldChar w:fldCharType="begin"/>
      </w:r>
      <w:r w:rsidR="009F104E" w:rsidRPr="007221BF">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9F104E" w:rsidRPr="007221BF">
        <w:fldChar w:fldCharType="separate"/>
      </w:r>
      <w:r w:rsidR="009F104E" w:rsidRPr="007221BF">
        <w:rPr>
          <w:noProof/>
        </w:rPr>
        <w:t>(Cohen et al., 2000)</w:t>
      </w:r>
      <w:r w:rsidR="009F104E" w:rsidRPr="007221BF">
        <w:fldChar w:fldCharType="end"/>
      </w:r>
      <w:r w:rsidR="009F104E" w:rsidRPr="007221BF">
        <w:t xml:space="preserve">. </w:t>
      </w:r>
      <w:r w:rsidR="006E1F44" w:rsidRPr="007221BF">
        <w:t xml:space="preserve">These </w:t>
      </w:r>
      <w:r w:rsidR="009F104E" w:rsidRPr="007221BF">
        <w:t xml:space="preserve">methodologies </w:t>
      </w:r>
      <w:r w:rsidR="00E633E0" w:rsidRPr="007221BF">
        <w:t>d</w:t>
      </w:r>
      <w:r w:rsidR="009F104E" w:rsidRPr="007221BF">
        <w:t>o not assist in the understanding of ‘the subjective world of human experience’</w:t>
      </w:r>
      <w:r w:rsidR="00AC3678" w:rsidRPr="007221BF">
        <w:t xml:space="preserve"> </w:t>
      </w:r>
      <w:r w:rsidR="00AC3678" w:rsidRPr="007221BF">
        <w:fldChar w:fldCharType="begin"/>
      </w:r>
      <w:r w:rsidR="00AC3678" w:rsidRPr="007221BF">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AC3678" w:rsidRPr="007221BF">
        <w:fldChar w:fldCharType="separate"/>
      </w:r>
      <w:r w:rsidR="00AC3678" w:rsidRPr="007221BF">
        <w:rPr>
          <w:noProof/>
        </w:rPr>
        <w:t>(Cohen et al., 2000)</w:t>
      </w:r>
      <w:r w:rsidR="00AC3678" w:rsidRPr="007221BF">
        <w:fldChar w:fldCharType="end"/>
      </w:r>
      <w:r w:rsidR="006E1F44" w:rsidRPr="007221BF">
        <w:t>.</w:t>
      </w:r>
      <w:r w:rsidR="009F104E" w:rsidRPr="007221BF">
        <w:t xml:space="preserve"> </w:t>
      </w:r>
    </w:p>
    <w:p w14:paraId="14913965" w14:textId="28FB7D6F" w:rsidR="009F104E" w:rsidRPr="007B5F09" w:rsidRDefault="009F104E" w:rsidP="009F104E">
      <w:r>
        <w:t>Normative research sets out to generate a generalised theoretical framework about human behaviour</w:t>
      </w:r>
      <w:r w:rsidR="006E1F44">
        <w:t>,</w:t>
      </w:r>
      <w:r>
        <w:t xml:space="preserve"> </w:t>
      </w:r>
      <w:r w:rsidR="00693688">
        <w:t>and then</w:t>
      </w:r>
      <w:r>
        <w:t xml:space="preserve"> develop scientific methods to test them </w:t>
      </w:r>
      <w:r w:rsidR="006E1F44">
        <w:t xml:space="preserve">to aid </w:t>
      </w:r>
      <w:r>
        <w:t>understanding or improv</w:t>
      </w:r>
      <w:r w:rsidR="006E1F44">
        <w:t>e</w:t>
      </w:r>
      <w:r>
        <w:t xml:space="preserve"> efficiency of the educational process. Hitchcock and Hughes (1995) describe the ‘eight stage model’ of scientific methodology </w:t>
      </w:r>
      <w:r w:rsidR="00697828">
        <w:t>that</w:t>
      </w:r>
      <w:r>
        <w:t xml:space="preserve"> begins with a hypothesis or guess</w:t>
      </w:r>
      <w:r w:rsidR="007221BF">
        <w:t>.</w:t>
      </w:r>
      <w:r>
        <w:t xml:space="preserve"> </w:t>
      </w:r>
      <w:r w:rsidR="00697828">
        <w:t>S</w:t>
      </w:r>
      <w:r>
        <w:t xml:space="preserve">tage </w:t>
      </w:r>
      <w:r w:rsidR="00697828">
        <w:t>two</w:t>
      </w:r>
      <w:r>
        <w:t xml:space="preserve"> represents experiment design and isolation of variable</w:t>
      </w:r>
      <w:r w:rsidR="00697828">
        <w:t>. S</w:t>
      </w:r>
      <w:r>
        <w:t xml:space="preserve">tage </w:t>
      </w:r>
      <w:r w:rsidR="00697828">
        <w:t>three</w:t>
      </w:r>
      <w:r>
        <w:t>, correlations and patterns seen</w:t>
      </w:r>
      <w:r w:rsidR="00697828">
        <w:t>, stage four</w:t>
      </w:r>
      <w:r>
        <w:t xml:space="preserve"> follow</w:t>
      </w:r>
      <w:r w:rsidR="00697828">
        <w:t>s</w:t>
      </w:r>
      <w:r w:rsidR="00C07C41">
        <w:t xml:space="preserve"> with</w:t>
      </w:r>
      <w:r>
        <w:t xml:space="preserve"> formation of hypotheses</w:t>
      </w:r>
      <w:r w:rsidR="00C07C41">
        <w:t xml:space="preserve"> and </w:t>
      </w:r>
      <w:r>
        <w:t>explanations</w:t>
      </w:r>
      <w:r w:rsidR="00C07C41">
        <w:t>. Stage five is when</w:t>
      </w:r>
      <w:r>
        <w:t xml:space="preserve"> laws </w:t>
      </w:r>
      <w:r w:rsidR="00C07C41">
        <w:t xml:space="preserve">are </w:t>
      </w:r>
      <w:r>
        <w:t>developed</w:t>
      </w:r>
      <w:r w:rsidR="00C07C41">
        <w:t>,</w:t>
      </w:r>
      <w:r>
        <w:t xml:space="preserve"> and</w:t>
      </w:r>
      <w:r w:rsidR="00C07C41">
        <w:t xml:space="preserve"> stage six when</w:t>
      </w:r>
      <w:r>
        <w:t xml:space="preserve"> evidence to accept or reject hypothesis</w:t>
      </w:r>
      <w:r w:rsidR="00C07C41">
        <w:t xml:space="preserve"> is presented.</w:t>
      </w:r>
      <w:r>
        <w:t xml:space="preserve"> </w:t>
      </w:r>
      <w:r w:rsidR="00C07C41">
        <w:t>S</w:t>
      </w:r>
      <w:r>
        <w:t xml:space="preserve">tage </w:t>
      </w:r>
      <w:r w:rsidR="00C07C41">
        <w:t>seven</w:t>
      </w:r>
      <w:r>
        <w:t xml:space="preserve"> represents generalisations</w:t>
      </w:r>
      <w:r w:rsidR="00C07C41">
        <w:t>,</w:t>
      </w:r>
      <w:r>
        <w:t xml:space="preserve"> and the final stage</w:t>
      </w:r>
      <w:r w:rsidR="00C07C41">
        <w:t xml:space="preserve"> – eight -</w:t>
      </w:r>
      <w:r>
        <w:t xml:space="preserve"> the development of new theories </w:t>
      </w:r>
      <w:r>
        <w:fldChar w:fldCharType="begin"/>
      </w:r>
      <w:r w:rsidR="005A1E45">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fldChar w:fldCharType="separate"/>
      </w:r>
      <w:r w:rsidR="005A1E45">
        <w:rPr>
          <w:noProof/>
        </w:rPr>
        <w:t>(Cohen et al., 2000)</w:t>
      </w:r>
      <w:r>
        <w:fldChar w:fldCharType="end"/>
      </w:r>
      <w:r>
        <w:t xml:space="preserve">. </w:t>
      </w:r>
    </w:p>
    <w:p w14:paraId="2253985B" w14:textId="34E69452" w:rsidR="009F104E" w:rsidRDefault="00693688" w:rsidP="005367B9">
      <w:pPr>
        <w:pStyle w:val="Heading3"/>
      </w:pPr>
      <w:bookmarkStart w:id="76" w:name="_Toc343501106"/>
      <w:bookmarkStart w:id="77" w:name="_Toc348686307"/>
      <w:bookmarkStart w:id="78" w:name="_Toc419116105"/>
      <w:r>
        <w:t>Quantitative</w:t>
      </w:r>
      <w:r w:rsidR="009F104E">
        <w:t xml:space="preserve"> research: </w:t>
      </w:r>
      <w:r w:rsidR="003E35F0">
        <w:t>q</w:t>
      </w:r>
      <w:r w:rsidR="009F104E">
        <w:t>uality</w:t>
      </w:r>
      <w:r w:rsidR="00E633E0">
        <w:t xml:space="preserve">, validity </w:t>
      </w:r>
      <w:r w:rsidR="009B3879">
        <w:t>and</w:t>
      </w:r>
      <w:r w:rsidR="00E633E0">
        <w:t xml:space="preserve"> reliability</w:t>
      </w:r>
      <w:bookmarkEnd w:id="76"/>
      <w:bookmarkEnd w:id="77"/>
      <w:bookmarkEnd w:id="78"/>
    </w:p>
    <w:p w14:paraId="7C08AB87" w14:textId="77777777" w:rsidR="009F104E" w:rsidRDefault="009F104E" w:rsidP="009F104E"/>
    <w:p w14:paraId="77571AB3" w14:textId="2F4208DF" w:rsidR="00B66518" w:rsidRDefault="009F104E" w:rsidP="009F104E">
      <w:r>
        <w:t xml:space="preserve">Medical educational research with experimental quantitative design has been described as uncovering relationships </w:t>
      </w:r>
      <w:r w:rsidR="00330A61">
        <w:t xml:space="preserve">through </w:t>
      </w:r>
      <w:r w:rsidR="00110424">
        <w:t xml:space="preserve">the </w:t>
      </w:r>
      <w:r>
        <w:t>appl</w:t>
      </w:r>
      <w:r w:rsidR="00330A61">
        <w:t>ication of</w:t>
      </w:r>
      <w:r>
        <w:t xml:space="preserve"> probability and deductive logic to handle uncertainty, in contrast to physical </w:t>
      </w:r>
      <w:r w:rsidR="003A7D42">
        <w:t>sciences, and</w:t>
      </w:r>
      <w:r>
        <w:t xml:space="preserve"> that </w:t>
      </w:r>
      <w:r>
        <w:lastRenderedPageBreak/>
        <w:t xml:space="preserve">the ‘causal relationship is almost always swimming in a sea of noise’ </w:t>
      </w:r>
      <w:r>
        <w:fldChar w:fldCharType="begin"/>
      </w:r>
      <w:r w:rsidR="005A1E45">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fldChar w:fldCharType="separate"/>
      </w:r>
      <w:r w:rsidR="005A1E45">
        <w:rPr>
          <w:noProof/>
        </w:rPr>
        <w:t>(Swanick, 2010)</w:t>
      </w:r>
      <w:r>
        <w:fldChar w:fldCharType="end"/>
      </w:r>
      <w:r>
        <w:t xml:space="preserve">. </w:t>
      </w:r>
      <w:r w:rsidR="00F64BE8">
        <w:t>Noise relates to confounding va</w:t>
      </w:r>
      <w:r w:rsidR="003A6F9C">
        <w:t>riables that are likely to influence out</w:t>
      </w:r>
      <w:r w:rsidR="00F64BE8">
        <w:t>c</w:t>
      </w:r>
      <w:r w:rsidR="003A6F9C">
        <w:t>o</w:t>
      </w:r>
      <w:r w:rsidR="00F64BE8">
        <w:t xml:space="preserve">mes and results. Methods to </w:t>
      </w:r>
      <w:r w:rsidR="007221BF">
        <w:t>reduce these include use</w:t>
      </w:r>
      <w:r w:rsidR="00F64BE8">
        <w:t xml:space="preserve"> of controls and power calculations, inclusion criteria for sample size</w:t>
      </w:r>
      <w:r w:rsidR="00110424">
        <w:t>,</w:t>
      </w:r>
      <w:r w:rsidR="00F64BE8">
        <w:t xml:space="preserve"> and consi</w:t>
      </w:r>
      <w:r w:rsidR="003A6F9C">
        <w:t>dering if a randomised controlle</w:t>
      </w:r>
      <w:r w:rsidR="00F64BE8">
        <w:t>d</w:t>
      </w:r>
      <w:r w:rsidR="00330A61">
        <w:t xml:space="preserve"> trial could answer</w:t>
      </w:r>
      <w:r w:rsidR="00F64BE8">
        <w:t xml:space="preserve"> the research question</w:t>
      </w:r>
      <w:r w:rsidR="00330A61">
        <w:t xml:space="preserve">. These areas related to methods </w:t>
      </w:r>
      <w:r w:rsidR="00F64BE8">
        <w:t xml:space="preserve">are described </w:t>
      </w:r>
      <w:r w:rsidR="00330A61">
        <w:t xml:space="preserve">within each </w:t>
      </w:r>
      <w:r w:rsidR="00693688">
        <w:t>relevant</w:t>
      </w:r>
      <w:r w:rsidR="00330A61">
        <w:t xml:space="preserve"> </w:t>
      </w:r>
      <w:r w:rsidR="001D42C9">
        <w:t>Chapter</w:t>
      </w:r>
      <w:r w:rsidR="00330A61">
        <w:t xml:space="preserve"> </w:t>
      </w:r>
      <w:r w:rsidR="00F64BE8">
        <w:t>(</w:t>
      </w:r>
      <w:r w:rsidR="001D42C9">
        <w:t>Chapter</w:t>
      </w:r>
      <w:r w:rsidR="00110424">
        <w:t>s</w:t>
      </w:r>
      <w:r w:rsidR="00B66518">
        <w:t xml:space="preserve"> 5,</w:t>
      </w:r>
      <w:r w:rsidR="00F64BE8">
        <w:t xml:space="preserve"> </w:t>
      </w:r>
      <w:r w:rsidR="003A6F9C">
        <w:t xml:space="preserve">6 and 7). </w:t>
      </w:r>
    </w:p>
    <w:p w14:paraId="4370AF34" w14:textId="135B1866" w:rsidR="009F104E" w:rsidRDefault="003A6F9C" w:rsidP="009F104E">
      <w:r>
        <w:t>C</w:t>
      </w:r>
      <w:r w:rsidR="009F104E">
        <w:t>ontrols were u</w:t>
      </w:r>
      <w:r w:rsidR="00110424">
        <w:t>sed</w:t>
      </w:r>
      <w:r w:rsidR="009F104E">
        <w:t xml:space="preserve"> in the pilot study to inform a power calculation</w:t>
      </w:r>
      <w:r w:rsidR="00E633E0">
        <w:t xml:space="preserve">. Power relates to whether the study has a large enough sample size </w:t>
      </w:r>
      <w:r w:rsidR="005F096E">
        <w:t>to be represe</w:t>
      </w:r>
      <w:r w:rsidR="00E633E0">
        <w:t>n</w:t>
      </w:r>
      <w:r w:rsidR="005F096E">
        <w:t>ta</w:t>
      </w:r>
      <w:r w:rsidR="00E633E0">
        <w:t>tive of a particular group</w:t>
      </w:r>
      <w:r w:rsidR="00B66518">
        <w:t>. T</w:t>
      </w:r>
      <w:r w:rsidR="00E633E0">
        <w:t xml:space="preserve">he standard of P &lt;0.05 </w:t>
      </w:r>
      <w:r w:rsidR="00B66518">
        <w:t>means</w:t>
      </w:r>
      <w:r w:rsidR="00E633E0">
        <w:t xml:space="preserve"> that </w:t>
      </w:r>
      <w:r w:rsidR="005F096E">
        <w:t xml:space="preserve">the ‘likelihood of an observed </w:t>
      </w:r>
      <w:r w:rsidR="00693688">
        <w:t>difference</w:t>
      </w:r>
      <w:r w:rsidR="005F096E">
        <w:t xml:space="preserve"> arose due to chance is less than 5%’</w:t>
      </w:r>
      <w:r w:rsidR="00110424">
        <w:t xml:space="preserve"> </w:t>
      </w:r>
      <w:r w:rsidR="005F096E">
        <w:t xml:space="preserve">meaning it is more likely that </w:t>
      </w:r>
      <w:r w:rsidR="00110424">
        <w:t xml:space="preserve">it </w:t>
      </w:r>
      <w:r w:rsidR="00B66518">
        <w:t>has arisen due to the intervention</w:t>
      </w:r>
      <w:r w:rsidR="005F096E">
        <w:t>. Power calculations are still considered</w:t>
      </w:r>
      <w:r w:rsidR="00110424">
        <w:t xml:space="preserve"> to be rough estimates</w:t>
      </w:r>
      <w:r w:rsidR="007221BF">
        <w:t>,</w:t>
      </w:r>
      <w:r w:rsidR="005F096E">
        <w:t xml:space="preserve"> however if a statistically significant difference is noted, the study should be powered sufficiently </w:t>
      </w:r>
      <w:r w:rsidR="0015713A">
        <w:fldChar w:fldCharType="begin"/>
      </w:r>
      <w:r w:rsidR="00444E83">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rsidR="0015713A">
        <w:fldChar w:fldCharType="separate"/>
      </w:r>
      <w:r w:rsidR="00444E83">
        <w:rPr>
          <w:noProof/>
        </w:rPr>
        <w:t>(Swanick, 2010)</w:t>
      </w:r>
      <w:r w:rsidR="0015713A">
        <w:fldChar w:fldCharType="end"/>
      </w:r>
      <w:r w:rsidR="0015713A">
        <w:t>.</w:t>
      </w:r>
      <w:r w:rsidR="005F096E">
        <w:t xml:space="preserve"> </w:t>
      </w:r>
      <w:r w:rsidR="00B66518">
        <w:t>D</w:t>
      </w:r>
      <w:r w:rsidR="009F104E">
        <w:t>ue to variability between individuals</w:t>
      </w:r>
      <w:r w:rsidR="00B66518">
        <w:t>, in the final intervention study</w:t>
      </w:r>
      <w:r w:rsidR="009F104E">
        <w:t xml:space="preserve"> a separate control group was not used</w:t>
      </w:r>
      <w:r w:rsidR="00B66518">
        <w:t>. Instead,</w:t>
      </w:r>
      <w:r w:rsidR="009F104E">
        <w:t xml:space="preserve"> the baseline scores for individuals were used as a control </w:t>
      </w:r>
      <w:r w:rsidR="00B66518">
        <w:t>with</w:t>
      </w:r>
      <w:r w:rsidR="009F104E">
        <w:t xml:space="preserve"> </w:t>
      </w:r>
      <w:r w:rsidR="00082BB6">
        <w:t>repeated-measures</w:t>
      </w:r>
      <w:r w:rsidR="009F104E">
        <w:t xml:space="preserve"> applied </w:t>
      </w:r>
      <w:r w:rsidR="00B66518">
        <w:t xml:space="preserve">to </w:t>
      </w:r>
      <w:r w:rsidR="009F104E">
        <w:t xml:space="preserve">the same </w:t>
      </w:r>
      <w:r w:rsidR="00B66518">
        <w:t>cohort</w:t>
      </w:r>
      <w:r w:rsidR="00E633E0">
        <w:t xml:space="preserve">. </w:t>
      </w:r>
    </w:p>
    <w:p w14:paraId="35B8A91C" w14:textId="74709E0B" w:rsidR="009F104E" w:rsidRDefault="009F104E" w:rsidP="009F104E">
      <w:r>
        <w:t>Though randomised controlled trials are felt to be the highest level of experimental design, it was not possible to randomise students in this setting</w:t>
      </w:r>
      <w:r w:rsidR="00B66518">
        <w:t xml:space="preserve">. It would be </w:t>
      </w:r>
      <w:r>
        <w:t>unethical to withdraw an extra simulation education</w:t>
      </w:r>
      <w:r w:rsidR="00B66518">
        <w:t xml:space="preserve"> session when </w:t>
      </w:r>
      <w:r w:rsidR="00693688">
        <w:t>it has</w:t>
      </w:r>
      <w:r>
        <w:t xml:space="preserve"> been proven superior to traditional methods</w:t>
      </w:r>
      <w:r w:rsidR="00B66518">
        <w:t xml:space="preserve"> </w:t>
      </w:r>
      <w:r w:rsidR="00444E83">
        <w:fldChar w:fldCharType="begin"/>
      </w:r>
      <w:r w:rsidR="00444E83">
        <w:instrText xml:space="preserve"> ADDIN EN.CITE &lt;EndNote&gt;&lt;Cite&gt;&lt;Author&gt;McGaghie&lt;/Author&gt;&lt;Year&gt;2011&lt;/Year&gt;&lt;IDText&gt;Does Simulation-Based Medical Education With Deliberate Practice Yield Better Results Than Traditional Clinical Education? A Meta-Analytic Comparative Review of the Evidence&lt;/IDText&gt;&lt;DisplayText&gt;(McGaghie et al., 2011)&lt;/DisplayText&gt;&lt;record&gt;&lt;dates&gt;&lt;pub-dates&gt;&lt;date&gt;Jun&lt;/date&gt;&lt;/pub-dates&gt;&lt;year&gt;2011&lt;/year&gt;&lt;/dates&gt;&lt;urls&gt;&lt;related-urls&gt;&lt;url&gt;&amp;lt;Go to ISI&amp;gt;://WOS:000291006100018&lt;/url&gt;&lt;/related-urls&gt;&lt;/urls&gt;&lt;isbn&gt;1040-2446&lt;/isbn&gt;&lt;titles&gt;&lt;title&gt;Does Simulation-Based Medical Education With Deliberate Practice Yield Better Results Than Traditional Clinical Education? A Meta-Analytic Comparative Review of the Evidence&lt;/title&gt;&lt;secondary-title&gt;Academic Medicine&lt;/secondary-title&gt;&lt;/titles&gt;&lt;pages&gt;706-711&lt;/pages&gt;&lt;number&gt;6&lt;/number&gt;&lt;contributors&gt;&lt;authors&gt;&lt;author&gt;McGaghie, William C.&lt;/author&gt;&lt;author&gt;Issenberg, S. Barry&lt;/author&gt;&lt;author&gt;Cohen, Elaine R.&lt;/author&gt;&lt;author&gt;Barsuk, Jeffrey H.&lt;/author&gt;&lt;author&gt;Wayne, Diane B.&lt;/author&gt;&lt;/authors&gt;&lt;/contributors&gt;&lt;added-date format="utc"&gt;1390841594&lt;/added-date&gt;&lt;ref-type name="Journal Article"&gt;17&lt;/ref-type&gt;&lt;rec-number&gt;14&lt;/rec-number&gt;&lt;last-updated-date format="utc"&gt;1390843746&lt;/last-updated-date&gt;&lt;accession-num&gt;WOS:000291006100018&lt;/accession-num&gt;&lt;electronic-resource-num&gt;10.1097/ACM.0b013e318217e119&lt;/electronic-resource-num&gt;&lt;volume&gt;86&lt;/volume&gt;&lt;/record&gt;&lt;/Cite&gt;&lt;/EndNote&gt;</w:instrText>
      </w:r>
      <w:r w:rsidR="00444E83">
        <w:fldChar w:fldCharType="separate"/>
      </w:r>
      <w:r w:rsidR="00444E83">
        <w:rPr>
          <w:noProof/>
        </w:rPr>
        <w:t>(McGaghie et al., 2011)</w:t>
      </w:r>
      <w:r w:rsidR="00444E83">
        <w:fldChar w:fldCharType="end"/>
      </w:r>
      <w:r>
        <w:t>.</w:t>
      </w:r>
      <w:r w:rsidR="00B66518">
        <w:t xml:space="preserve"> T</w:t>
      </w:r>
      <w:r>
        <w:t>here is a</w:t>
      </w:r>
      <w:r w:rsidR="00B66518">
        <w:t>lso</w:t>
      </w:r>
      <w:r>
        <w:t xml:space="preserve"> risk that overcomplicating studies in medical education can lead to challenges in </w:t>
      </w:r>
      <w:r w:rsidR="00B66518">
        <w:t xml:space="preserve">future </w:t>
      </w:r>
      <w:r>
        <w:t>replicat</w:t>
      </w:r>
      <w:r w:rsidR="00B66518">
        <w:t>ion.</w:t>
      </w:r>
    </w:p>
    <w:p w14:paraId="083C64BA" w14:textId="2FAF0FEA" w:rsidR="009F104E" w:rsidRDefault="00782E3D" w:rsidP="009F104E">
      <w:r>
        <w:lastRenderedPageBreak/>
        <w:t>There are f</w:t>
      </w:r>
      <w:r w:rsidR="009F104E">
        <w:t>our main areas to focus on</w:t>
      </w:r>
      <w:r w:rsidRPr="00782E3D">
        <w:t xml:space="preserve"> </w:t>
      </w:r>
      <w:r>
        <w:t>with regards to ensuring quality in research</w:t>
      </w:r>
      <w:r w:rsidR="00693688">
        <w:t>.</w:t>
      </w:r>
      <w:r w:rsidR="009F104E">
        <w:t xml:space="preserve"> Feasibility and acceptability </w:t>
      </w:r>
      <w:r w:rsidR="00407D33">
        <w:t>relate to how easi</w:t>
      </w:r>
      <w:r>
        <w:t>ly the data can be collected,</w:t>
      </w:r>
      <w:r w:rsidR="00407D33">
        <w:t xml:space="preserve"> how user friendly the tools for data collection are and how acceptable </w:t>
      </w:r>
      <w:r>
        <w:t xml:space="preserve">they </w:t>
      </w:r>
      <w:r w:rsidR="00407D33">
        <w:t>are to participants. Th</w:t>
      </w:r>
      <w:r>
        <w:t>is has</w:t>
      </w:r>
      <w:r w:rsidR="009F104E">
        <w:t xml:space="preserve"> been explored through the pilot study and acceptability assessed qualitatively through </w:t>
      </w:r>
      <w:r w:rsidR="00173DE4">
        <w:t>focus group</w:t>
      </w:r>
      <w:r w:rsidR="009F104E">
        <w:t xml:space="preserve">s, field notes and university ethics approval. </w:t>
      </w:r>
      <w:r w:rsidR="00693688">
        <w:t>The use of undergraduate medical education experts to gain consensus in course design was another important tool to ensure acceptability for 5</w:t>
      </w:r>
      <w:r w:rsidR="00693688" w:rsidRPr="00C81DF7">
        <w:rPr>
          <w:vertAlign w:val="superscript"/>
        </w:rPr>
        <w:t>th</w:t>
      </w:r>
      <w:r w:rsidR="00693688">
        <w:t xml:space="preserve"> year undergraduate medical students and feasibility in terms of time, equipment and facilities. </w:t>
      </w:r>
    </w:p>
    <w:p w14:paraId="054930D9" w14:textId="424B0B39" w:rsidR="004B694D" w:rsidRDefault="004B694D" w:rsidP="009F104E">
      <w:r>
        <w:t xml:space="preserve">Teddlie and </w:t>
      </w:r>
      <w:proofErr w:type="spellStart"/>
      <w:r>
        <w:t>Tashakkori</w:t>
      </w:r>
      <w:proofErr w:type="spellEnd"/>
      <w:r>
        <w:t xml:space="preserve"> (2009) advocate four criteria of quality when designing a study</w:t>
      </w:r>
      <w:r w:rsidR="00110424">
        <w:t>:</w:t>
      </w:r>
      <w:r>
        <w:t xml:space="preserve">  ‘1. Design suitability or appropri</w:t>
      </w:r>
      <w:r w:rsidR="00110424">
        <w:t>ateness for answering questions;</w:t>
      </w:r>
      <w:r>
        <w:t xml:space="preserve"> 2. Design fid</w:t>
      </w:r>
      <w:r w:rsidR="00110424">
        <w:t>elity or adequacy of procedures;</w:t>
      </w:r>
      <w:r>
        <w:t xml:space="preserve"> </w:t>
      </w:r>
      <w:r w:rsidR="00FE0C8D">
        <w:t>3. Within-design consistency of all components</w:t>
      </w:r>
      <w:r w:rsidR="00110424">
        <w:t>;</w:t>
      </w:r>
      <w:r w:rsidR="00FE0C8D">
        <w:t xml:space="preserve"> and 4. Analytic adequacy of data analysis procedures’ </w:t>
      </w:r>
      <w:r w:rsidR="00CF0989">
        <w:fldChar w:fldCharType="begin"/>
      </w:r>
      <w:r w:rsidR="005823F4">
        <w:instrText xml:space="preserve"> ADDIN EN.CITE &lt;EndNote&gt;&lt;Cite&gt;&lt;Author&gt;Teddlie&lt;/Author&gt;&lt;Year&gt;2009&lt;/Year&gt;&lt;IDText&gt;Foundations of mixed methods research: Integrating quantitative and qualitative approaches in the social and behavioural sciences&lt;/IDText&gt;&lt;DisplayText&gt;(Teddlie and Tashakkori, 2009)&lt;/DisplayText&gt;&lt;record&gt;&lt;titles&gt;&lt;title&gt;Foundations of mixed methods research: Integrating quantitative and qualitative approaches in the social and behavioural sciences&lt;/title&gt;&lt;/titles&gt;&lt;contributors&gt;&lt;authors&gt;&lt;author&gt;Teddlie, C&lt;/author&gt;&lt;author&gt;Tashakkori, A&lt;/author&gt;&lt;/authors&gt;&lt;/contributors&gt;&lt;added-date format="utc"&gt;1481110375&lt;/added-date&gt;&lt;pub-location&gt;Thousand Oaks, CA&lt;/pub-location&gt;&lt;ref-type name="Book"&gt;6&lt;/ref-type&gt;&lt;dates&gt;&lt;year&gt;2009&lt;/year&gt;&lt;/dates&gt;&lt;rec-number&gt;314&lt;/rec-number&gt;&lt;publisher&gt;Sage&lt;/publisher&gt;&lt;last-updated-date format="utc"&gt;1481110518&lt;/last-updated-date&gt;&lt;/record&gt;&lt;/Cite&gt;&lt;/EndNote&gt;</w:instrText>
      </w:r>
      <w:r w:rsidR="00CF0989">
        <w:fldChar w:fldCharType="separate"/>
      </w:r>
      <w:r w:rsidR="005823F4">
        <w:rPr>
          <w:noProof/>
        </w:rPr>
        <w:t>(Teddlie and Tashakkori, 2009)</w:t>
      </w:r>
      <w:r w:rsidR="00CF0989">
        <w:fldChar w:fldCharType="end"/>
      </w:r>
      <w:r w:rsidR="00CF0989">
        <w:t xml:space="preserve">. </w:t>
      </w:r>
    </w:p>
    <w:p w14:paraId="0FF0E6F9" w14:textId="640F0CCF" w:rsidR="009F104E" w:rsidRDefault="009F104E" w:rsidP="009F104E">
      <w:r>
        <w:t xml:space="preserve">Reliability, a statistical term, refers to ‘ability to consistently differentiate between individual subjects’ </w:t>
      </w:r>
      <w:r>
        <w:fldChar w:fldCharType="begin"/>
      </w:r>
      <w:r w:rsidR="006102D5">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fldChar w:fldCharType="separate"/>
      </w:r>
      <w:r w:rsidR="006102D5">
        <w:rPr>
          <w:noProof/>
        </w:rPr>
        <w:t>(Swanick, 2010</w:t>
      </w:r>
      <w:r>
        <w:fldChar w:fldCharType="end"/>
      </w:r>
      <w:r w:rsidR="007221BF">
        <w:t>; p313</w:t>
      </w:r>
      <w:r w:rsidR="00110424">
        <w:t>)</w:t>
      </w:r>
      <w:r>
        <w:t xml:space="preserve">. The hope is that differences seen are due to students however there will always be the influence of systematic biases that cannot be entirely eliminated. Generalisability refers to the extent to which ‘scores assigned to individual subjects generalise to the scores assigned in another context e.g. another rater or another time point’ </w:t>
      </w:r>
      <w:r>
        <w:fldChar w:fldCharType="begin"/>
      </w:r>
      <w:r w:rsidR="005823F4">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fldChar w:fldCharType="separate"/>
      </w:r>
      <w:r w:rsidR="005823F4">
        <w:rPr>
          <w:noProof/>
        </w:rPr>
        <w:t>(Swanick, 2010</w:t>
      </w:r>
      <w:r>
        <w:fldChar w:fldCharType="end"/>
      </w:r>
      <w:r w:rsidR="00407D33">
        <w:t xml:space="preserve">; </w:t>
      </w:r>
      <w:r>
        <w:t>p312). Development and validation of the confidence</w:t>
      </w:r>
      <w:r w:rsidR="00F53FC5">
        <w:t xml:space="preserve"> </w:t>
      </w:r>
      <w:r>
        <w:t xml:space="preserve">scoring and formative assessment tool </w:t>
      </w:r>
      <w:r w:rsidR="004C75F0">
        <w:t xml:space="preserve">are </w:t>
      </w:r>
      <w:r>
        <w:t xml:space="preserve">explained in </w:t>
      </w:r>
      <w:r w:rsidR="001D42C9">
        <w:t>Chapter</w:t>
      </w:r>
      <w:r>
        <w:t xml:space="preserve"> </w:t>
      </w:r>
      <w:r w:rsidR="004C75F0">
        <w:t>5</w:t>
      </w:r>
      <w:r>
        <w:t xml:space="preserve">. </w:t>
      </w:r>
    </w:p>
    <w:p w14:paraId="27D9A92A" w14:textId="7FE8803E" w:rsidR="009F104E" w:rsidRDefault="009F104E" w:rsidP="009F104E">
      <w:r>
        <w:lastRenderedPageBreak/>
        <w:t xml:space="preserve">Validity refers to the ‘trustworthiness’ of a set of data and can be divided </w:t>
      </w:r>
      <w:r w:rsidR="000A27DF">
        <w:t>into</w:t>
      </w:r>
      <w:r>
        <w:t xml:space="preserve"> content, criterion and construct validity. Content validity represents how closely and specifically the research </w:t>
      </w:r>
      <w:r w:rsidR="00693688">
        <w:t>tool samples</w:t>
      </w:r>
      <w:r>
        <w:t xml:space="preserve"> the area of focus. By using the </w:t>
      </w:r>
      <w:r w:rsidR="001D42C9">
        <w:t>Tomorrow’s Doctors</w:t>
      </w:r>
      <w:r>
        <w:t xml:space="preserve"> document and the foundation programme curriculum</w:t>
      </w:r>
      <w:r w:rsidR="00F53FC5">
        <w:t>,</w:t>
      </w:r>
      <w:r>
        <w:t xml:space="preserve"> the </w:t>
      </w:r>
      <w:r w:rsidR="003A7D42">
        <w:t>confidence-scoring</w:t>
      </w:r>
      <w:r>
        <w:t xml:space="preserve"> tool had content validity and face validity. In addition</w:t>
      </w:r>
      <w:r w:rsidR="00F5045F">
        <w:t>,</w:t>
      </w:r>
      <w:r>
        <w:t xml:space="preserve"> the undergraduate expert consensus group</w:t>
      </w:r>
      <w:r w:rsidR="00F5045F">
        <w:t xml:space="preserve"> and pilot study</w:t>
      </w:r>
      <w:r>
        <w:t xml:space="preserve"> allowed content validity to be assessed</w:t>
      </w:r>
      <w:r w:rsidR="00F5045F">
        <w:t>.</w:t>
      </w:r>
    </w:p>
    <w:p w14:paraId="643B6767" w14:textId="1A87C18E" w:rsidR="009F104E" w:rsidRDefault="009F104E" w:rsidP="009F104E">
      <w:r>
        <w:t xml:space="preserve">Criterion validity represents the ‘extent to which the measure correlates well with another measure of the same underlying construct’ </w:t>
      </w:r>
      <w:r>
        <w:fldChar w:fldCharType="begin"/>
      </w:r>
      <w:r w:rsidR="005A1E45">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fldChar w:fldCharType="separate"/>
      </w:r>
      <w:r w:rsidR="005A1E45">
        <w:rPr>
          <w:noProof/>
        </w:rPr>
        <w:t>(Swanick, 2010)</w:t>
      </w:r>
      <w:r>
        <w:fldChar w:fldCharType="end"/>
      </w:r>
      <w:r>
        <w:t>. There is little published</w:t>
      </w:r>
      <w:r w:rsidR="00407D33">
        <w:t xml:space="preserve"> data</w:t>
      </w:r>
      <w:r>
        <w:t xml:space="preserve"> surrounding confidence and performance and potential correlation</w:t>
      </w:r>
      <w:r w:rsidR="00537678">
        <w:t>. E</w:t>
      </w:r>
      <w:r>
        <w:t xml:space="preserve">xploring both simultaneously </w:t>
      </w:r>
      <w:r w:rsidR="00537678">
        <w:t xml:space="preserve">following </w:t>
      </w:r>
      <w:r>
        <w:t>the simulation intervention</w:t>
      </w:r>
      <w:r w:rsidR="00F53FC5">
        <w:t>.</w:t>
      </w:r>
      <w:r>
        <w:t xml:space="preserve"> </w:t>
      </w:r>
      <w:r w:rsidR="00F53FC5">
        <w:t>T</w:t>
      </w:r>
      <w:r>
        <w:t>his potential relationship has been explored subjective</w:t>
      </w:r>
      <w:r w:rsidR="00537678">
        <w:t xml:space="preserve">ly </w:t>
      </w:r>
      <w:r>
        <w:t>and objective</w:t>
      </w:r>
      <w:r w:rsidR="00537678">
        <w:t>ly and</w:t>
      </w:r>
      <w:r>
        <w:t xml:space="preserve"> is discussed within </w:t>
      </w:r>
      <w:r w:rsidR="001D42C9">
        <w:t>Chapter</w:t>
      </w:r>
      <w:r>
        <w:t xml:space="preserve"> 7. </w:t>
      </w:r>
    </w:p>
    <w:p w14:paraId="09CBAED3" w14:textId="6F18C337" w:rsidR="0016346F" w:rsidRPr="0016346F" w:rsidRDefault="009F104E">
      <w:r>
        <w:t xml:space="preserve">Construct validity describes the extent to which outcomes compare with ‘expectations based on the underlying construct that the tool was intended to measure’ </w:t>
      </w:r>
      <w:r>
        <w:fldChar w:fldCharType="begin"/>
      </w:r>
      <w:r w:rsidR="005823F4">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fldChar w:fldCharType="separate"/>
      </w:r>
      <w:r w:rsidR="005823F4">
        <w:rPr>
          <w:noProof/>
        </w:rPr>
        <w:t>(Swanick, 2010</w:t>
      </w:r>
      <w:r>
        <w:fldChar w:fldCharType="end"/>
      </w:r>
      <w:r w:rsidR="004B694D">
        <w:t xml:space="preserve">; </w:t>
      </w:r>
      <w:r>
        <w:t>p313). Construct validity refers to how well the theoretical concept matches up to the measurement used. Initially, review of the literature highlighted preparedness as an issue for new FY1s</w:t>
      </w:r>
      <w:r w:rsidR="00F53FC5">
        <w:t>. T</w:t>
      </w:r>
      <w:r w:rsidR="00046F9A">
        <w:t xml:space="preserve">his was explored through </w:t>
      </w:r>
      <w:r w:rsidR="00693688">
        <w:t>pre-pilot</w:t>
      </w:r>
      <w:r w:rsidR="00046F9A">
        <w:t xml:space="preserve"> </w:t>
      </w:r>
      <w:r w:rsidR="00173DE4">
        <w:t>focus group</w:t>
      </w:r>
      <w:r w:rsidR="00046F9A">
        <w:t xml:space="preserve">s as presented in </w:t>
      </w:r>
      <w:r w:rsidR="001D42C9">
        <w:t>Chapter</w:t>
      </w:r>
      <w:r w:rsidR="00046F9A">
        <w:t xml:space="preserve"> </w:t>
      </w:r>
      <w:r w:rsidR="00537678">
        <w:t>4</w:t>
      </w:r>
      <w:r>
        <w:t xml:space="preserve">. </w:t>
      </w:r>
    </w:p>
    <w:p w14:paraId="355C4212" w14:textId="4D971409" w:rsidR="009F104E" w:rsidRDefault="009F104E" w:rsidP="005367B9">
      <w:pPr>
        <w:pStyle w:val="Heading3"/>
      </w:pPr>
      <w:bookmarkStart w:id="79" w:name="_Toc343501107"/>
      <w:bookmarkStart w:id="80" w:name="_Toc348686308"/>
      <w:bookmarkStart w:id="81" w:name="_Toc419116106"/>
      <w:r>
        <w:t xml:space="preserve">Quantitative research: </w:t>
      </w:r>
      <w:r w:rsidR="006032E9">
        <w:t>l</w:t>
      </w:r>
      <w:r>
        <w:t>imitations</w:t>
      </w:r>
      <w:bookmarkEnd w:id="79"/>
      <w:bookmarkEnd w:id="80"/>
      <w:bookmarkEnd w:id="81"/>
    </w:p>
    <w:p w14:paraId="2F5F76A5" w14:textId="77777777" w:rsidR="009F104E" w:rsidRDefault="009F104E" w:rsidP="009F104E"/>
    <w:p w14:paraId="7C576411" w14:textId="042BE8EE" w:rsidR="009F104E" w:rsidRDefault="009F104E" w:rsidP="009F104E">
      <w:r>
        <w:t xml:space="preserve">Positivism and the scientific method have been criticised for having a ‘mechanistic and </w:t>
      </w:r>
      <w:proofErr w:type="spellStart"/>
      <w:r>
        <w:t>reducationalist</w:t>
      </w:r>
      <w:proofErr w:type="spellEnd"/>
      <w:r>
        <w:t xml:space="preserve"> view of nature’ and as such excludes ‘living </w:t>
      </w:r>
      <w:r>
        <w:lastRenderedPageBreak/>
        <w:t xml:space="preserve">and inner experience’ </w:t>
      </w:r>
      <w:r>
        <w:fldChar w:fldCharType="begin"/>
      </w:r>
      <w:r>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fldChar w:fldCharType="separate"/>
      </w:r>
      <w:r>
        <w:rPr>
          <w:noProof/>
        </w:rPr>
        <w:t>(Cohen et al., 2000)</w:t>
      </w:r>
      <w:r>
        <w:fldChar w:fldCharType="end"/>
      </w:r>
      <w:r>
        <w:t>. Quantitative research could be seen as simplifying life and relationships in order to create order</w:t>
      </w:r>
      <w:r w:rsidR="00D30961">
        <w:t>,</w:t>
      </w:r>
      <w:r>
        <w:t xml:space="preserve"> numerical and mathematical answers</w:t>
      </w:r>
      <w:r w:rsidR="00D30961">
        <w:t>,</w:t>
      </w:r>
      <w:r>
        <w:t xml:space="preserve"> and as such could potentially lose some of the more in-depth relationships, important qualities and potential causal links that may be uncovered using different methodology. Concern has been raised over the control linked to positivism and the assumptions that human behaviour can be explained by science alone, </w:t>
      </w:r>
      <w:r w:rsidR="00337A7E">
        <w:t xml:space="preserve">that </w:t>
      </w:r>
      <w:r>
        <w:t>risk</w:t>
      </w:r>
      <w:r w:rsidR="00337A7E">
        <w:t>s a</w:t>
      </w:r>
      <w:r>
        <w:t xml:space="preserve"> dehumanisation when interpreting results and conceptualising findings. Anti-positivists argue that ‘individuals’ behaviour can only be understood by the researcher sharing their frame of reference’ </w:t>
      </w:r>
      <w:r>
        <w:fldChar w:fldCharType="begin"/>
      </w:r>
      <w:r>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fldChar w:fldCharType="separate"/>
      </w:r>
      <w:r>
        <w:rPr>
          <w:noProof/>
        </w:rPr>
        <w:t>(Cohen et al., 2000)</w:t>
      </w:r>
      <w:r>
        <w:fldChar w:fldCharType="end"/>
      </w:r>
      <w:r>
        <w:t xml:space="preserve">. Social science is seen more as subjective and inside interpretations rather than outside objective interpretation. It is for this reason that qualitative methods have been employed and data triangulated to allow for a richer understanding of human behaviour observed and discussed within this study. </w:t>
      </w:r>
    </w:p>
    <w:p w14:paraId="3FA6CEFF" w14:textId="222CAD6E" w:rsidR="009F104E" w:rsidRPr="006E3A62" w:rsidRDefault="009F104E" w:rsidP="009F104E">
      <w:r>
        <w:t xml:space="preserve">One of the risks of </w:t>
      </w:r>
      <w:r w:rsidR="00337A7E">
        <w:t>using</w:t>
      </w:r>
      <w:r>
        <w:t xml:space="preserve"> quantitative methodology in medical educational research is that of over</w:t>
      </w:r>
      <w:r w:rsidR="00337A7E">
        <w:t>-</w:t>
      </w:r>
      <w:r>
        <w:t xml:space="preserve">simplification to generate a hypothesis </w:t>
      </w:r>
      <w:r w:rsidR="00337A7E">
        <w:t>that</w:t>
      </w:r>
      <w:r>
        <w:t xml:space="preserve"> may give ‘insufficient attention to the nature and adequacy of the research question’, thus not capturing the main outcome or aim of the research </w:t>
      </w:r>
      <w:r>
        <w:fldChar w:fldCharType="begin"/>
      </w:r>
      <w:r w:rsidR="006102D5">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fldChar w:fldCharType="separate"/>
      </w:r>
      <w:r w:rsidR="006102D5">
        <w:rPr>
          <w:noProof/>
        </w:rPr>
        <w:t>(Swanick, 2010</w:t>
      </w:r>
      <w:r>
        <w:fldChar w:fldCharType="end"/>
      </w:r>
      <w:r w:rsidR="007221BF">
        <w:t>;</w:t>
      </w:r>
      <w:r w:rsidR="00337A7E">
        <w:t xml:space="preserve"> </w:t>
      </w:r>
      <w:r w:rsidR="007221BF">
        <w:t>p302</w:t>
      </w:r>
      <w:r w:rsidR="00337A7E">
        <w:t>)</w:t>
      </w:r>
      <w:r>
        <w:t>.</w:t>
      </w:r>
    </w:p>
    <w:p w14:paraId="7D5FD8FC" w14:textId="50C6D5AF" w:rsidR="009F104E" w:rsidRDefault="009F104E" w:rsidP="005367B9">
      <w:pPr>
        <w:pStyle w:val="Heading3"/>
      </w:pPr>
      <w:r>
        <w:t xml:space="preserve"> </w:t>
      </w:r>
      <w:bookmarkStart w:id="82" w:name="_Toc343501108"/>
      <w:bookmarkStart w:id="83" w:name="_Toc348686309"/>
      <w:bookmarkStart w:id="84" w:name="_Toc419116107"/>
      <w:r>
        <w:t xml:space="preserve">Quantitative research: </w:t>
      </w:r>
      <w:r w:rsidR="00337A7E">
        <w:t>s</w:t>
      </w:r>
      <w:r>
        <w:t>ampling</w:t>
      </w:r>
      <w:bookmarkEnd w:id="82"/>
      <w:bookmarkEnd w:id="83"/>
      <w:bookmarkEnd w:id="84"/>
    </w:p>
    <w:p w14:paraId="61143F45" w14:textId="77777777" w:rsidR="009F104E" w:rsidRDefault="009F104E" w:rsidP="009F104E"/>
    <w:p w14:paraId="363C74AF" w14:textId="7B3B8144" w:rsidR="00E606ED" w:rsidRDefault="00E606ED" w:rsidP="009F104E">
      <w:pPr>
        <w:rPr>
          <w:rFonts w:cs="Arial"/>
          <w:szCs w:val="24"/>
        </w:rPr>
      </w:pPr>
      <w:r>
        <w:rPr>
          <w:rFonts w:cs="Arial"/>
          <w:szCs w:val="24"/>
        </w:rPr>
        <w:t xml:space="preserve">Sampling methods for quantitative research can </w:t>
      </w:r>
      <w:r w:rsidR="003A7D42">
        <w:rPr>
          <w:rFonts w:cs="Arial"/>
          <w:szCs w:val="24"/>
        </w:rPr>
        <w:t>be</w:t>
      </w:r>
      <w:r>
        <w:rPr>
          <w:rFonts w:cs="Arial"/>
          <w:szCs w:val="24"/>
        </w:rPr>
        <w:t xml:space="preserve"> random or </w:t>
      </w:r>
      <w:proofErr w:type="spellStart"/>
      <w:r>
        <w:rPr>
          <w:rFonts w:cs="Arial"/>
          <w:szCs w:val="24"/>
        </w:rPr>
        <w:t>non random</w:t>
      </w:r>
      <w:proofErr w:type="spellEnd"/>
      <w:r>
        <w:rPr>
          <w:rFonts w:cs="Arial"/>
          <w:szCs w:val="24"/>
        </w:rPr>
        <w:t xml:space="preserve">. Random sampling ‘gives each of the units in the population targeted a calculable probability of being selected’ </w:t>
      </w:r>
      <w:r w:rsidR="005A1E45">
        <w:rPr>
          <w:rFonts w:cs="Arial"/>
          <w:szCs w:val="24"/>
        </w:rPr>
        <w:fldChar w:fldCharType="begin"/>
      </w:r>
      <w:r w:rsidR="006102D5">
        <w:rPr>
          <w:rFonts w:cs="Arial"/>
          <w:szCs w:val="24"/>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format="utc"&gt;1505395372&lt;/added-date&gt;&lt;pub-location&gt;Berkshire, England &amp;#xA;New York&lt;/pub-location&gt;&lt;ref-type name="Book"&gt;6&lt;/ref-type&gt;&lt;dates&gt;&lt;year&gt;2014&lt;/year&gt;&lt;/dates&gt;&lt;rec-number&gt;372&lt;/rec-number&gt;&lt;publisher&gt;Open University Press&amp;#xA;Two Penn Plaza&lt;/publisher&gt;&lt;last-updated-date format="utc"&gt;1505395536&lt;/last-updated-date&gt;&lt;/record&gt;&lt;/Cite&gt;&lt;/EndNote&gt;</w:instrText>
      </w:r>
      <w:r w:rsidR="005A1E45">
        <w:rPr>
          <w:rFonts w:cs="Arial"/>
          <w:szCs w:val="24"/>
        </w:rPr>
        <w:fldChar w:fldCharType="separate"/>
      </w:r>
      <w:r w:rsidR="006102D5">
        <w:rPr>
          <w:rFonts w:cs="Arial"/>
          <w:noProof/>
          <w:szCs w:val="24"/>
        </w:rPr>
        <w:t>(Bowling, 2014</w:t>
      </w:r>
      <w:r w:rsidR="00923A79">
        <w:rPr>
          <w:rFonts w:cs="Arial"/>
          <w:noProof/>
          <w:szCs w:val="24"/>
        </w:rPr>
        <w:t>;</w:t>
      </w:r>
      <w:r w:rsidR="005A1E45">
        <w:rPr>
          <w:rFonts w:cs="Arial"/>
          <w:szCs w:val="24"/>
        </w:rPr>
        <w:fldChar w:fldCharType="end"/>
      </w:r>
      <w:r w:rsidR="00DA1BF4">
        <w:rPr>
          <w:rFonts w:cs="Arial"/>
          <w:szCs w:val="24"/>
        </w:rPr>
        <w:t xml:space="preserve"> </w:t>
      </w:r>
      <w:r w:rsidR="002C1958">
        <w:rPr>
          <w:rFonts w:cs="Arial"/>
          <w:szCs w:val="24"/>
        </w:rPr>
        <w:t>p206)</w:t>
      </w:r>
      <w:r>
        <w:rPr>
          <w:rFonts w:cs="Arial"/>
          <w:szCs w:val="24"/>
        </w:rPr>
        <w:t>.</w:t>
      </w:r>
      <w:r w:rsidR="002C1958">
        <w:rPr>
          <w:rFonts w:cs="Arial"/>
          <w:szCs w:val="24"/>
        </w:rPr>
        <w:t xml:space="preserve"> Moser </w:t>
      </w:r>
      <w:r w:rsidR="00CF4C75">
        <w:rPr>
          <w:rFonts w:cs="Arial"/>
          <w:szCs w:val="24"/>
        </w:rPr>
        <w:t xml:space="preserve">and </w:t>
      </w:r>
      <w:proofErr w:type="spellStart"/>
      <w:r w:rsidR="00CF4C75">
        <w:rPr>
          <w:rFonts w:cs="Arial"/>
          <w:szCs w:val="24"/>
        </w:rPr>
        <w:t>Kalton</w:t>
      </w:r>
      <w:proofErr w:type="spellEnd"/>
      <w:r w:rsidR="00CF4C75">
        <w:rPr>
          <w:rFonts w:cs="Arial"/>
          <w:szCs w:val="24"/>
        </w:rPr>
        <w:t xml:space="preserve"> (1971) describe six</w:t>
      </w:r>
      <w:r w:rsidR="002C1958">
        <w:rPr>
          <w:rFonts w:cs="Arial"/>
          <w:szCs w:val="24"/>
        </w:rPr>
        <w:t xml:space="preserve"> methods of random sampling which include ‘simple </w:t>
      </w:r>
      <w:r w:rsidR="002C1958">
        <w:rPr>
          <w:rFonts w:cs="Arial"/>
          <w:szCs w:val="24"/>
        </w:rPr>
        <w:lastRenderedPageBreak/>
        <w:t>random sampling’ – where population members are given a number and selected randomly, ‘systematic random sampling’ –</w:t>
      </w:r>
      <w:r w:rsidR="00A64C92">
        <w:rPr>
          <w:rFonts w:cs="Arial"/>
          <w:szCs w:val="24"/>
        </w:rPr>
        <w:t xml:space="preserve"> </w:t>
      </w:r>
      <w:r w:rsidR="002C1958">
        <w:rPr>
          <w:rFonts w:cs="Arial"/>
          <w:szCs w:val="24"/>
        </w:rPr>
        <w:t>selection from a list where one member is linked and rel</w:t>
      </w:r>
      <w:r w:rsidR="00A64C92">
        <w:rPr>
          <w:rFonts w:cs="Arial"/>
          <w:szCs w:val="24"/>
        </w:rPr>
        <w:t>i</w:t>
      </w:r>
      <w:r w:rsidR="002C1958">
        <w:rPr>
          <w:rFonts w:cs="Arial"/>
          <w:szCs w:val="24"/>
        </w:rPr>
        <w:t>ant on the previous selected member. ‘Stratified random sampling’</w:t>
      </w:r>
      <w:r w:rsidR="00A64C92">
        <w:rPr>
          <w:rFonts w:cs="Arial"/>
          <w:szCs w:val="24"/>
        </w:rPr>
        <w:t xml:space="preserve"> increases the accuracy of the sample by </w:t>
      </w:r>
      <w:r w:rsidR="00107F2C">
        <w:rPr>
          <w:rFonts w:cs="Arial"/>
          <w:szCs w:val="24"/>
        </w:rPr>
        <w:t>separation</w:t>
      </w:r>
      <w:r w:rsidR="00A64C92">
        <w:rPr>
          <w:rFonts w:cs="Arial"/>
          <w:szCs w:val="24"/>
        </w:rPr>
        <w:t xml:space="preserve"> into groups then sampling from each group. </w:t>
      </w:r>
      <w:r w:rsidR="00107F2C">
        <w:rPr>
          <w:rFonts w:cs="Arial"/>
          <w:szCs w:val="24"/>
        </w:rPr>
        <w:t xml:space="preserve">‘Cluster sampling’ divides into sub-populations grouped in to clusters, which are then sampled for economic reasons. </w:t>
      </w:r>
      <w:r w:rsidR="00A64C92">
        <w:rPr>
          <w:rFonts w:cs="Arial"/>
          <w:szCs w:val="24"/>
        </w:rPr>
        <w:t>‘Multistage sampling’ involves ‘primary sampling units’</w:t>
      </w:r>
      <w:r w:rsidR="00CF4C75">
        <w:rPr>
          <w:rFonts w:cs="Arial"/>
          <w:szCs w:val="24"/>
        </w:rPr>
        <w:t xml:space="preserve"> within a sample to ‘concentrate fieldwork’ </w:t>
      </w:r>
      <w:r w:rsidR="00CF4C75">
        <w:rPr>
          <w:rFonts w:cs="Arial"/>
          <w:szCs w:val="24"/>
        </w:rPr>
        <w:fldChar w:fldCharType="begin"/>
      </w:r>
      <w:r w:rsidR="006102D5">
        <w:rPr>
          <w:rFonts w:cs="Arial"/>
          <w:szCs w:val="24"/>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format="utc"&gt;1505395372&lt;/added-date&gt;&lt;pub-location&gt;Berkshire, England &amp;#xA;New York&lt;/pub-location&gt;&lt;ref-type name="Book"&gt;6&lt;/ref-type&gt;&lt;dates&gt;&lt;year&gt;2014&lt;/year&gt;&lt;/dates&gt;&lt;rec-number&gt;372&lt;/rec-number&gt;&lt;publisher&gt;Open University Press&amp;#xA;Two Penn Plaza&lt;/publisher&gt;&lt;last-updated-date format="utc"&gt;1505395536&lt;/last-updated-date&gt;&lt;/record&gt;&lt;/Cite&gt;&lt;/EndNote&gt;</w:instrText>
      </w:r>
      <w:r w:rsidR="00CF4C75">
        <w:rPr>
          <w:rFonts w:cs="Arial"/>
          <w:szCs w:val="24"/>
        </w:rPr>
        <w:fldChar w:fldCharType="separate"/>
      </w:r>
      <w:r w:rsidR="006102D5">
        <w:rPr>
          <w:rFonts w:cs="Arial"/>
          <w:noProof/>
          <w:szCs w:val="24"/>
        </w:rPr>
        <w:t>(Bowling, 2014</w:t>
      </w:r>
      <w:r w:rsidR="00CF4C75">
        <w:rPr>
          <w:rFonts w:cs="Arial"/>
          <w:szCs w:val="24"/>
        </w:rPr>
        <w:fldChar w:fldCharType="end"/>
      </w:r>
      <w:r w:rsidR="00DA1BF4">
        <w:rPr>
          <w:rFonts w:cs="Arial"/>
          <w:szCs w:val="24"/>
        </w:rPr>
        <w:t xml:space="preserve">; </w:t>
      </w:r>
      <w:r w:rsidR="00CF4C75">
        <w:rPr>
          <w:rFonts w:cs="Arial"/>
          <w:szCs w:val="24"/>
        </w:rPr>
        <w:t>p208). ‘Sampling with probability proportional to size’ allows for primary sampling units twice the size of others to have twice the chance of selection.</w:t>
      </w:r>
    </w:p>
    <w:p w14:paraId="638A04EC" w14:textId="3E071847" w:rsidR="00CF4C75" w:rsidRDefault="00CF4C75" w:rsidP="009F104E">
      <w:pPr>
        <w:rPr>
          <w:rFonts w:cs="Arial"/>
          <w:szCs w:val="24"/>
        </w:rPr>
      </w:pPr>
      <w:r>
        <w:rPr>
          <w:rFonts w:cs="Arial"/>
          <w:szCs w:val="24"/>
        </w:rPr>
        <w:t xml:space="preserve">Non-random sampling includes quota </w:t>
      </w:r>
      <w:r w:rsidR="00107F2C">
        <w:rPr>
          <w:rFonts w:cs="Arial"/>
          <w:szCs w:val="24"/>
        </w:rPr>
        <w:t>sampling, which</w:t>
      </w:r>
      <w:r>
        <w:rPr>
          <w:rFonts w:cs="Arial"/>
          <w:szCs w:val="24"/>
        </w:rPr>
        <w:t xml:space="preserve"> is stratified and sampled within a geographical group until a </w:t>
      </w:r>
      <w:r w:rsidR="00107F2C">
        <w:rPr>
          <w:rFonts w:cs="Arial"/>
          <w:szCs w:val="24"/>
        </w:rPr>
        <w:t>pre-decided</w:t>
      </w:r>
      <w:r>
        <w:rPr>
          <w:rFonts w:cs="Arial"/>
          <w:szCs w:val="24"/>
        </w:rPr>
        <w:t xml:space="preserve"> quota is reached</w:t>
      </w:r>
      <w:r w:rsidR="0054771D">
        <w:rPr>
          <w:rFonts w:cs="Arial"/>
          <w:szCs w:val="24"/>
        </w:rPr>
        <w:t xml:space="preserve"> </w:t>
      </w:r>
      <w:r w:rsidR="0054771D">
        <w:rPr>
          <w:rFonts w:cs="Arial"/>
          <w:szCs w:val="24"/>
        </w:rPr>
        <w:fldChar w:fldCharType="begin"/>
      </w:r>
      <w:r w:rsidR="006102D5">
        <w:rPr>
          <w:rFonts w:cs="Arial"/>
          <w:szCs w:val="24"/>
        </w:rPr>
        <w:instrText xml:space="preserve"> ADDIN EN.CITE &lt;EndNote&gt;&lt;Cite&gt;&lt;Author&gt;Bowling&lt;/Author&gt;&lt;Year&gt;2014&lt;/Year&gt;&lt;IDText&gt;Research Methods in Health: Investigating health and health services&lt;/IDText&gt;&lt;DisplayText&gt;(Bowling, 2014)&lt;/DisplayText&gt;&lt;record&gt;&lt;titles&gt;&lt;title&gt;Research Methods in Health: Investigating health and health services&lt;/title&gt;&lt;/titles&gt;&lt;contributors&gt;&lt;authors&gt;&lt;author&gt;Bowling, Ann&lt;/author&gt;&lt;/authors&gt;&lt;/contributors&gt;&lt;edition&gt;4th&lt;/edition&gt;&lt;added-date format="utc"&gt;1505395372&lt;/added-date&gt;&lt;pub-location&gt;Berkshire, England &amp;#xA;New York&lt;/pub-location&gt;&lt;ref-type name="Book"&gt;6&lt;/ref-type&gt;&lt;dates&gt;&lt;year&gt;2014&lt;/year&gt;&lt;/dates&gt;&lt;rec-number&gt;372&lt;/rec-number&gt;&lt;publisher&gt;Open University Press&amp;#xA;Two Penn Plaza&lt;/publisher&gt;&lt;last-updated-date format="utc"&gt;1505395536&lt;/last-updated-date&gt;&lt;/record&gt;&lt;/Cite&gt;&lt;/EndNote&gt;</w:instrText>
      </w:r>
      <w:r w:rsidR="0054771D">
        <w:rPr>
          <w:rFonts w:cs="Arial"/>
          <w:szCs w:val="24"/>
        </w:rPr>
        <w:fldChar w:fldCharType="separate"/>
      </w:r>
      <w:r w:rsidR="006102D5">
        <w:rPr>
          <w:rFonts w:cs="Arial"/>
          <w:noProof/>
          <w:szCs w:val="24"/>
        </w:rPr>
        <w:t>(Bowling, 2014</w:t>
      </w:r>
      <w:r w:rsidR="002455CD">
        <w:rPr>
          <w:rFonts w:cs="Arial"/>
          <w:noProof/>
          <w:szCs w:val="24"/>
        </w:rPr>
        <w:t>;</w:t>
      </w:r>
      <w:r w:rsidR="0054771D">
        <w:rPr>
          <w:rFonts w:cs="Arial"/>
          <w:szCs w:val="24"/>
        </w:rPr>
        <w:fldChar w:fldCharType="end"/>
      </w:r>
      <w:r w:rsidR="00DA1BF4">
        <w:rPr>
          <w:rFonts w:cs="Arial"/>
          <w:szCs w:val="24"/>
        </w:rPr>
        <w:t xml:space="preserve"> </w:t>
      </w:r>
      <w:r w:rsidR="0054771D">
        <w:rPr>
          <w:rFonts w:cs="Arial"/>
          <w:szCs w:val="24"/>
        </w:rPr>
        <w:t>p208)</w:t>
      </w:r>
      <w:r>
        <w:rPr>
          <w:rFonts w:cs="Arial"/>
          <w:szCs w:val="24"/>
        </w:rPr>
        <w:t xml:space="preserve">. </w:t>
      </w:r>
    </w:p>
    <w:p w14:paraId="6D1393D9" w14:textId="38E7EC67" w:rsidR="009F104E" w:rsidRDefault="009F104E" w:rsidP="009F104E">
      <w:pPr>
        <w:rPr>
          <w:rFonts w:cs="Arial"/>
          <w:szCs w:val="24"/>
        </w:rPr>
      </w:pPr>
      <w:r>
        <w:rPr>
          <w:rFonts w:cs="Arial"/>
          <w:szCs w:val="24"/>
        </w:rPr>
        <w:t>Power is making sure the study has a sample size that means one is less likely to assume there is no difference in results when there is</w:t>
      </w:r>
      <w:r w:rsidR="009C023B">
        <w:rPr>
          <w:rFonts w:cs="Arial"/>
          <w:szCs w:val="24"/>
        </w:rPr>
        <w:t xml:space="preserve"> (a type II error)</w:t>
      </w:r>
      <w:r>
        <w:rPr>
          <w:rFonts w:cs="Arial"/>
          <w:szCs w:val="24"/>
        </w:rPr>
        <w:t>, due to too small</w:t>
      </w:r>
      <w:r w:rsidR="00337A7E">
        <w:rPr>
          <w:rFonts w:cs="Arial"/>
          <w:szCs w:val="24"/>
        </w:rPr>
        <w:t xml:space="preserve"> a</w:t>
      </w:r>
      <w:r w:rsidR="007221BF">
        <w:rPr>
          <w:rFonts w:cs="Arial"/>
          <w:szCs w:val="24"/>
        </w:rPr>
        <w:t xml:space="preserve"> number of study</w:t>
      </w:r>
      <w:r>
        <w:rPr>
          <w:rFonts w:cs="Arial"/>
          <w:szCs w:val="24"/>
        </w:rPr>
        <w:t xml:space="preserve"> participants. If a statistically significant difference is demonstrated then the study is said to be adequately powered, however the power calculations do still represent an estimate. </w:t>
      </w:r>
    </w:p>
    <w:p w14:paraId="7FCDD75D" w14:textId="0C089003" w:rsidR="009F104E" w:rsidRPr="004959BD" w:rsidRDefault="009F104E" w:rsidP="009F104E">
      <w:r>
        <w:rPr>
          <w:rFonts w:cs="Arial"/>
          <w:szCs w:val="24"/>
        </w:rPr>
        <w:t xml:space="preserve">Effect size is important to be considered and </w:t>
      </w:r>
      <w:r w:rsidR="00337A7E">
        <w:rPr>
          <w:rFonts w:cs="Arial"/>
          <w:szCs w:val="24"/>
        </w:rPr>
        <w:t>is</w:t>
      </w:r>
      <w:r>
        <w:rPr>
          <w:rFonts w:cs="Arial"/>
          <w:szCs w:val="24"/>
        </w:rPr>
        <w:t xml:space="preserve"> generally labelled as </w:t>
      </w:r>
      <w:r w:rsidR="00337A7E">
        <w:rPr>
          <w:rFonts w:cs="Arial"/>
          <w:szCs w:val="24"/>
        </w:rPr>
        <w:t>‘</w:t>
      </w:r>
      <w:r>
        <w:rPr>
          <w:rFonts w:cs="Arial"/>
          <w:szCs w:val="24"/>
        </w:rPr>
        <w:t>small</w:t>
      </w:r>
      <w:r w:rsidR="00337A7E">
        <w:rPr>
          <w:rFonts w:cs="Arial"/>
          <w:szCs w:val="24"/>
        </w:rPr>
        <w:t>’</w:t>
      </w:r>
      <w:r>
        <w:rPr>
          <w:rFonts w:cs="Arial"/>
          <w:szCs w:val="24"/>
        </w:rPr>
        <w:t xml:space="preserve"> (0.2 or 20% difference of standard deviation), </w:t>
      </w:r>
      <w:r w:rsidR="00337A7E">
        <w:rPr>
          <w:rFonts w:cs="Arial"/>
          <w:szCs w:val="24"/>
        </w:rPr>
        <w:t>‘</w:t>
      </w:r>
      <w:r>
        <w:rPr>
          <w:rFonts w:cs="Arial"/>
          <w:szCs w:val="24"/>
        </w:rPr>
        <w:t>medium</w:t>
      </w:r>
      <w:r w:rsidR="00337A7E">
        <w:rPr>
          <w:rFonts w:cs="Arial"/>
          <w:szCs w:val="24"/>
        </w:rPr>
        <w:t>’</w:t>
      </w:r>
      <w:r>
        <w:rPr>
          <w:rFonts w:cs="Arial"/>
          <w:szCs w:val="24"/>
        </w:rPr>
        <w:t xml:space="preserve"> (0.5 or 50% difference of standard deviation), or </w:t>
      </w:r>
      <w:r w:rsidR="00337A7E">
        <w:rPr>
          <w:rFonts w:cs="Arial"/>
          <w:szCs w:val="24"/>
        </w:rPr>
        <w:t>‘</w:t>
      </w:r>
      <w:r>
        <w:rPr>
          <w:rFonts w:cs="Arial"/>
          <w:szCs w:val="24"/>
        </w:rPr>
        <w:t>large</w:t>
      </w:r>
      <w:r w:rsidR="00337A7E">
        <w:rPr>
          <w:rFonts w:cs="Arial"/>
          <w:szCs w:val="24"/>
        </w:rPr>
        <w:t>’</w:t>
      </w:r>
      <w:r>
        <w:rPr>
          <w:rFonts w:cs="Arial"/>
          <w:szCs w:val="24"/>
        </w:rPr>
        <w:t xml:space="preserve"> (0.8 or 80% difference of standard deviation). A </w:t>
      </w:r>
      <w:r w:rsidR="00337A7E">
        <w:rPr>
          <w:rFonts w:cs="Arial"/>
          <w:szCs w:val="24"/>
        </w:rPr>
        <w:t xml:space="preserve">45% </w:t>
      </w:r>
      <w:r>
        <w:rPr>
          <w:rFonts w:cs="Arial"/>
          <w:szCs w:val="24"/>
        </w:rPr>
        <w:t xml:space="preserve">(0.45) difference in standard deviation between two means is felt to be the ‘typical effect size’ observed in educational interventions </w:t>
      </w:r>
      <w:r>
        <w:rPr>
          <w:rFonts w:cs="Arial"/>
          <w:szCs w:val="24"/>
        </w:rPr>
        <w:fldChar w:fldCharType="begin"/>
      </w:r>
      <w:r w:rsidR="006102D5">
        <w:rPr>
          <w:rFonts w:cs="Arial"/>
          <w:szCs w:val="24"/>
        </w:rPr>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rPr>
          <w:rFonts w:cs="Arial"/>
          <w:szCs w:val="24"/>
        </w:rPr>
        <w:fldChar w:fldCharType="separate"/>
      </w:r>
      <w:r w:rsidR="006102D5">
        <w:rPr>
          <w:rFonts w:cs="Arial"/>
          <w:noProof/>
          <w:szCs w:val="24"/>
        </w:rPr>
        <w:t>(Swanick, 2010</w:t>
      </w:r>
      <w:r>
        <w:rPr>
          <w:rFonts w:cs="Arial"/>
          <w:szCs w:val="24"/>
        </w:rPr>
        <w:fldChar w:fldCharType="end"/>
      </w:r>
      <w:r w:rsidR="00DA1BF4">
        <w:rPr>
          <w:rFonts w:cs="Arial"/>
          <w:szCs w:val="24"/>
        </w:rPr>
        <w:t xml:space="preserve">; </w:t>
      </w:r>
      <w:r>
        <w:rPr>
          <w:rFonts w:cs="Arial"/>
          <w:szCs w:val="24"/>
        </w:rPr>
        <w:t>p310).</w:t>
      </w:r>
    </w:p>
    <w:p w14:paraId="16CBFCD4" w14:textId="04D3A6D7" w:rsidR="009F104E" w:rsidRDefault="009F104E" w:rsidP="005367B9">
      <w:pPr>
        <w:pStyle w:val="Heading3"/>
      </w:pPr>
      <w:bookmarkStart w:id="85" w:name="_Toc343501109"/>
      <w:bookmarkStart w:id="86" w:name="_Toc348686310"/>
      <w:bookmarkStart w:id="87" w:name="_Toc419116108"/>
      <w:r>
        <w:lastRenderedPageBreak/>
        <w:t xml:space="preserve">Quantitative research: </w:t>
      </w:r>
      <w:r w:rsidR="00337A7E">
        <w:t>s</w:t>
      </w:r>
      <w:r>
        <w:t>tatistical data analysis</w:t>
      </w:r>
      <w:bookmarkEnd w:id="85"/>
      <w:bookmarkEnd w:id="86"/>
      <w:bookmarkEnd w:id="87"/>
    </w:p>
    <w:p w14:paraId="2AAF162D" w14:textId="77777777" w:rsidR="009F104E" w:rsidRDefault="009F104E" w:rsidP="009F104E"/>
    <w:p w14:paraId="19F288ED" w14:textId="46B42919" w:rsidR="009F104E" w:rsidRDefault="009F104E" w:rsidP="009F104E">
      <w:r>
        <w:t xml:space="preserve">Statistical tests are based on trying to estimate the variation in performance and the quantity that can be attributed to systematic variation </w:t>
      </w:r>
      <w:r w:rsidR="002B4924">
        <w:t xml:space="preserve">versus </w:t>
      </w:r>
      <w:r>
        <w:t>unsystematic variation.</w:t>
      </w:r>
    </w:p>
    <w:p w14:paraId="087BB801" w14:textId="0280C3EC" w:rsidR="009F104E" w:rsidRDefault="009F104E" w:rsidP="009F104E">
      <w:r>
        <w:t>Initial histograms were useful to demonstrate distribut</w:t>
      </w:r>
      <w:r w:rsidR="002B4924">
        <w:t>ion</w:t>
      </w:r>
      <w:r>
        <w:t>. These data for overall confidence scores were likely to not be entirely normally distributed owing to the data being a continuous variable.</w:t>
      </w:r>
    </w:p>
    <w:p w14:paraId="0D4EB1EB" w14:textId="17AA8972" w:rsidR="009F104E" w:rsidRDefault="009F104E" w:rsidP="009F104E">
      <w:r>
        <w:t xml:space="preserve">Another option for exploring the normality of the data was to </w:t>
      </w:r>
      <w:r w:rsidR="00337A7E">
        <w:t>use</w:t>
      </w:r>
      <w:r>
        <w:t xml:space="preserve"> standardised residuals to detect outliers that may differ from the main pattern seen in the data. Residuals represent the difference between the model</w:t>
      </w:r>
      <w:r w:rsidR="00337A7E">
        <w:t xml:space="preserve"> </w:t>
      </w:r>
      <w:r>
        <w:t xml:space="preserve">predicted and actual observed outcomes. If a model of analysis fits the data well then residuals are small. Standardised residuals were calculated by converting residuals to a standard deviation score (z score where mean=0 and standard deviation is 1). If a sample is normally distributed then ‘95% of z scores should fall between -1.96 and +1.96, 99% between -2.58 and +2.58 and 99.9% between -3.29 and +3.29’ </w:t>
      </w:r>
      <w:r>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fldChar w:fldCharType="separate"/>
      </w:r>
      <w:r w:rsidR="006102D5">
        <w:rPr>
          <w:noProof/>
        </w:rPr>
        <w:t>(Field, 2012</w:t>
      </w:r>
      <w:r w:rsidR="009768F3">
        <w:rPr>
          <w:noProof/>
        </w:rPr>
        <w:t>;</w:t>
      </w:r>
      <w:r>
        <w:fldChar w:fldCharType="end"/>
      </w:r>
      <w:r w:rsidR="00DA1BF4">
        <w:t xml:space="preserve"> p306</w:t>
      </w:r>
      <w:r w:rsidR="00337A7E">
        <w:t>)</w:t>
      </w:r>
      <w:r>
        <w:t>.</w:t>
      </w:r>
    </w:p>
    <w:p w14:paraId="1F0C36A6" w14:textId="046796F6" w:rsidR="009F104E" w:rsidRDefault="00101A5A" w:rsidP="009F104E">
      <w:r>
        <w:t>If</w:t>
      </w:r>
      <w:r w:rsidR="009F104E">
        <w:t xml:space="preserve"> the dependent variable (confidence) ha</w:t>
      </w:r>
      <w:r>
        <w:t>s</w:t>
      </w:r>
      <w:r w:rsidR="009F104E">
        <w:t xml:space="preserve"> been manipulated in a systematic way it is a stronger research tool than observation alone </w:t>
      </w:r>
      <w:r w:rsidR="009F104E">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rsidR="009F104E">
        <w:fldChar w:fldCharType="separate"/>
      </w:r>
      <w:r w:rsidR="006102D5">
        <w:rPr>
          <w:noProof/>
        </w:rPr>
        <w:t>(Field, 2012</w:t>
      </w:r>
      <w:r w:rsidR="009F104E">
        <w:fldChar w:fldCharType="end"/>
      </w:r>
      <w:r w:rsidR="00772A11">
        <w:t>; p358</w:t>
      </w:r>
      <w:r w:rsidR="00337A7E">
        <w:t>)</w:t>
      </w:r>
      <w:r w:rsidR="009F104E">
        <w:t xml:space="preserve">. </w:t>
      </w:r>
    </w:p>
    <w:p w14:paraId="32995393" w14:textId="151705DB" w:rsidR="009F104E" w:rsidRDefault="009F104E" w:rsidP="009F104E">
      <w:r>
        <w:t xml:space="preserve">Analysis of Variance (ANOVA) allows the comparison of two means </w:t>
      </w:r>
      <w:r w:rsidR="00337A7E">
        <w:t>using</w:t>
      </w:r>
      <w:r>
        <w:t xml:space="preserve"> a general linear model (GLM). It allows ‘comparison of the ratio of systematic variance to unsystematic variance in an experimental study’</w:t>
      </w:r>
      <w:r w:rsidR="00337A7E">
        <w:t>,</w:t>
      </w:r>
      <w:r>
        <w:t xml:space="preserve"> known as the F ratio </w:t>
      </w:r>
      <w:r>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fldChar w:fldCharType="separate"/>
      </w:r>
      <w:r w:rsidR="006102D5">
        <w:rPr>
          <w:noProof/>
        </w:rPr>
        <w:t>(Field, 2012</w:t>
      </w:r>
      <w:r>
        <w:fldChar w:fldCharType="end"/>
      </w:r>
      <w:r w:rsidR="00772A11">
        <w:t>; p.430</w:t>
      </w:r>
      <w:r w:rsidR="00337A7E">
        <w:t>)</w:t>
      </w:r>
      <w:r>
        <w:t>.</w:t>
      </w:r>
    </w:p>
    <w:p w14:paraId="3F27FD01" w14:textId="6D3EA75A" w:rsidR="009F104E" w:rsidRDefault="00337A7E" w:rsidP="009F104E">
      <w:r>
        <w:lastRenderedPageBreak/>
        <w:t>Using</w:t>
      </w:r>
      <w:r w:rsidR="009F104E">
        <w:t xml:space="preserve"> ANOVA, it is important that scores within groups are normally distributed</w:t>
      </w:r>
      <w:r>
        <w:t>.</w:t>
      </w:r>
      <w:r w:rsidR="009F104E">
        <w:t xml:space="preserve"> </w:t>
      </w:r>
      <w:r>
        <w:t>T</w:t>
      </w:r>
      <w:r w:rsidR="009F104E">
        <w:t>he first step therefor</w:t>
      </w:r>
      <w:r w:rsidR="00570924">
        <w:t>e</w:t>
      </w:r>
      <w:r w:rsidR="009F104E">
        <w:t xml:space="preserve"> was to explore the data to check for outliers, normality and homogeneity </w:t>
      </w:r>
      <w:r>
        <w:t>using</w:t>
      </w:r>
      <w:r w:rsidR="009F104E">
        <w:t xml:space="preserve"> histograms and descriptive statistics. Outliers and normality issues must then be corrected. The ANOVA is then </w:t>
      </w:r>
      <w:r w:rsidR="00570924">
        <w:t>applied</w:t>
      </w:r>
      <w:r w:rsidR="009F104E">
        <w:t xml:space="preserve">. </w:t>
      </w:r>
    </w:p>
    <w:p w14:paraId="7C21D797" w14:textId="137BAD7D" w:rsidR="009F104E" w:rsidRDefault="00202330" w:rsidP="009F104E">
      <w:r>
        <w:t>Follow-up</w:t>
      </w:r>
      <w:r w:rsidR="009F104E">
        <w:t xml:space="preserve"> tests are used to address hypothesis and if a specific hypothesis is present then planned comparisons are run</w:t>
      </w:r>
      <w:r>
        <w:t>.</w:t>
      </w:r>
      <w:r w:rsidR="009F104E">
        <w:t xml:space="preserve"> </w:t>
      </w:r>
      <w:r>
        <w:t>I</w:t>
      </w:r>
      <w:r w:rsidR="009F104E">
        <w:t>f there is no hypothesis then post</w:t>
      </w:r>
      <w:r>
        <w:t>-</w:t>
      </w:r>
      <w:r w:rsidR="009F104E">
        <w:t xml:space="preserve">hoc tests are completed. Following this, effect size can be calculated </w:t>
      </w:r>
      <w:r w:rsidR="009F104E">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rsidR="009F104E">
        <w:fldChar w:fldCharType="separate"/>
      </w:r>
      <w:r w:rsidR="006102D5">
        <w:rPr>
          <w:noProof/>
        </w:rPr>
        <w:t>(Field, 2012</w:t>
      </w:r>
      <w:r w:rsidR="009F104E">
        <w:fldChar w:fldCharType="end"/>
      </w:r>
      <w:r w:rsidR="00772A11">
        <w:t>; p460 diagram 11.9</w:t>
      </w:r>
      <w:r>
        <w:t>)</w:t>
      </w:r>
      <w:r w:rsidR="009F104E">
        <w:t>.</w:t>
      </w:r>
    </w:p>
    <w:p w14:paraId="3958BFF4" w14:textId="0ABB60C4" w:rsidR="009F104E" w:rsidRDefault="009F104E" w:rsidP="009F104E">
      <w:r>
        <w:t xml:space="preserve">The F ratio demonstrates whether the ‘model fitted to the data accounts for more variation than extraneous factors’ but does not highlight where the differences between groups lie’. If the F ratio is large and statistically significant then it can be deciphered that ‘one or more of the differences between means are statistically significant’ </w:t>
      </w:r>
      <w:r>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fldChar w:fldCharType="separate"/>
      </w:r>
      <w:r w:rsidR="006102D5">
        <w:rPr>
          <w:noProof/>
        </w:rPr>
        <w:t>(Field, 2012</w:t>
      </w:r>
      <w:r>
        <w:fldChar w:fldCharType="end"/>
      </w:r>
      <w:r w:rsidR="00772A11">
        <w:t xml:space="preserve">; </w:t>
      </w:r>
      <w:r>
        <w:t>p44</w:t>
      </w:r>
      <w:r w:rsidR="00772A11">
        <w:t>5</w:t>
      </w:r>
      <w:r w:rsidR="00202330">
        <w:t>)</w:t>
      </w:r>
      <w:r>
        <w:t xml:space="preserve">. It is then possible to carry out planned contrasts to compare where the differences are. </w:t>
      </w:r>
    </w:p>
    <w:p w14:paraId="1CC8D679" w14:textId="7F4CFB8B" w:rsidR="009F104E" w:rsidRDefault="009F104E" w:rsidP="009F104E">
      <w:r>
        <w:t>In repeated-measures ANOVA, the within participant variance between conditions allows the experimental effect to be seen. The variance is made up of the effect of the intervention as well as variation in individual performance. Because the same participants are being used then any differences not due to the experimental manipulation will be due to random factors</w:t>
      </w:r>
      <w:r w:rsidR="00082BB6">
        <w:t>.</w:t>
      </w:r>
      <w:r>
        <w:t xml:space="preserve"> </w:t>
      </w:r>
      <w:r w:rsidR="00082BB6">
        <w:t>T</w:t>
      </w:r>
      <w:r>
        <w:t>his ‘error’ is not related to the experiment and we are unable to control it. The F ratio again compares variation size due to experiment with that of random factors</w:t>
      </w:r>
      <w:r w:rsidR="00082BB6">
        <w:t>.</w:t>
      </w:r>
      <w:r>
        <w:t xml:space="preserve"> </w:t>
      </w:r>
      <w:r w:rsidR="00082BB6">
        <w:t>A</w:t>
      </w:r>
      <w:r>
        <w:t xml:space="preserve"> large F ratio means that experiment variation is greater than that from random factors </w:t>
      </w:r>
      <w:r>
        <w:lastRenderedPageBreak/>
        <w:t>so the results are unlikely to have happened if there was not a change in the participants due to the intervention.</w:t>
      </w:r>
    </w:p>
    <w:p w14:paraId="5FD8A9D6" w14:textId="1BA0E8CF" w:rsidR="009F104E" w:rsidRDefault="009F104E" w:rsidP="009F104E">
      <w:r>
        <w:t>ANOVA ‘depends upon the assumption that scores in different conditions are independent’</w:t>
      </w:r>
      <w:r w:rsidR="00772A11">
        <w:t xml:space="preserve"> </w:t>
      </w:r>
      <w:r>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fldChar w:fldCharType="separate"/>
      </w:r>
      <w:r w:rsidR="006102D5">
        <w:rPr>
          <w:noProof/>
        </w:rPr>
        <w:t>(Field, 2012</w:t>
      </w:r>
      <w:r w:rsidR="0047050A">
        <w:rPr>
          <w:noProof/>
        </w:rPr>
        <w:t>;</w:t>
      </w:r>
      <w:r>
        <w:fldChar w:fldCharType="end"/>
      </w:r>
      <w:r w:rsidR="00772A11">
        <w:t xml:space="preserve"> p545</w:t>
      </w:r>
      <w:r w:rsidR="00082BB6">
        <w:t>)</w:t>
      </w:r>
      <w:r>
        <w:t>. In employing a repeated</w:t>
      </w:r>
      <w:r w:rsidR="00082BB6">
        <w:t>-</w:t>
      </w:r>
      <w:r>
        <w:t xml:space="preserve">measures design, where the measures from each condition are likely to be related because they are from the same participants, this assumption has been ‘violated’, meaning that the F test will no longer be as reliable to interpret. For this reason with a </w:t>
      </w:r>
      <w:r w:rsidR="00082BB6">
        <w:t>repeated-measures</w:t>
      </w:r>
      <w:r>
        <w:t xml:space="preserve"> design a further assumption of ‘sphericity’ must be made</w:t>
      </w:r>
      <w:r w:rsidR="00082BB6">
        <w:t>,</w:t>
      </w:r>
      <w:r>
        <w:t xml:space="preserve"> which is the assumption that the results between pairs of conditions are likely to be similar.</w:t>
      </w:r>
    </w:p>
    <w:p w14:paraId="15F85455" w14:textId="2BBDB356" w:rsidR="009F104E" w:rsidRDefault="009F104E" w:rsidP="009F104E">
      <w:r>
        <w:t>‘Mauchly’s test’ allows assessment of sphericity, which compares whether the difference between the variance from each of the conditions is equal. It depends upon sample size.  If Mauchly’s test is significant (p&lt;0.05), thus demonstrates a significant difference between the ‘variances of differences’</w:t>
      </w:r>
      <w:r w:rsidR="00095428">
        <w:t>,</w:t>
      </w:r>
      <w:r>
        <w:t xml:space="preserve"> then the assumption of sphericity has not been met and the F statistic is one to be wary of</w:t>
      </w:r>
      <w:r w:rsidR="00305946">
        <w:t xml:space="preserve"> (</w:t>
      </w:r>
      <w:r>
        <w:t>If the p value is &gt;0.05 then we can safely interpret the F ratio</w:t>
      </w:r>
      <w:r w:rsidR="00305946">
        <w:t>)</w:t>
      </w:r>
      <w:r>
        <w:t xml:space="preserve">. </w:t>
      </w:r>
    </w:p>
    <w:p w14:paraId="72C7EF55" w14:textId="3E5DB0B2" w:rsidR="009F104E" w:rsidRDefault="009F104E" w:rsidP="009F104E">
      <w:r>
        <w:t>When sphericity is violated, in order to control the type 1 error rate or alpha level (the inaccurate rejection of a true null hypothesis or ‘false positive’), Bonferroni’s procedure or correction is reported to be the most appropriate of methods</w:t>
      </w:r>
      <w:r w:rsidR="004279FF">
        <w:t xml:space="preserve"> </w:t>
      </w:r>
      <w:r>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fldChar w:fldCharType="separate"/>
      </w:r>
      <w:r w:rsidR="006102D5">
        <w:rPr>
          <w:noProof/>
        </w:rPr>
        <w:t>(Field, 2012</w:t>
      </w:r>
      <w:r w:rsidR="0047050A">
        <w:rPr>
          <w:noProof/>
        </w:rPr>
        <w:t>;</w:t>
      </w:r>
      <w:r>
        <w:fldChar w:fldCharType="end"/>
      </w:r>
      <w:r w:rsidR="001C4BB0">
        <w:t xml:space="preserve"> p548</w:t>
      </w:r>
      <w:r w:rsidR="00095428">
        <w:t>)</w:t>
      </w:r>
      <w:r>
        <w:t xml:space="preserve">. The Bonferroni method allows adjustment of the degrees of freedom of the F ratios that have been influenced by the violation. Having spherical data gives a result of 1, non-spherical data has a result of less than </w:t>
      </w:r>
      <w:r w:rsidR="00095428">
        <w:t>1</w:t>
      </w:r>
      <w:r>
        <w:t xml:space="preserve"> and this is used to multiply with the degrees of freedom. When there is </w:t>
      </w:r>
      <w:r>
        <w:lastRenderedPageBreak/>
        <w:t>sphericity there are no changes (x1)</w:t>
      </w:r>
      <w:r w:rsidR="00095428">
        <w:t>,</w:t>
      </w:r>
      <w:r>
        <w:t xml:space="preserve"> and when there is not there will be changes (x &lt;1) so that the degrees of freedom will reduce. ‘Smaller degrees of freedom make the p-value associated with the F ratio more conservative when sphericity is violated’, which makes the F ratio more ‘conservative’ </w:t>
      </w:r>
      <w:r>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fldChar w:fldCharType="separate"/>
      </w:r>
      <w:r w:rsidR="006102D5">
        <w:rPr>
          <w:noProof/>
        </w:rPr>
        <w:t>(Field, 2012</w:t>
      </w:r>
      <w:r w:rsidR="0047050A">
        <w:rPr>
          <w:noProof/>
        </w:rPr>
        <w:t xml:space="preserve">; </w:t>
      </w:r>
      <w:r>
        <w:fldChar w:fldCharType="end"/>
      </w:r>
      <w:r w:rsidR="001C4BB0">
        <w:t>p548</w:t>
      </w:r>
      <w:r w:rsidR="00095428">
        <w:t>)</w:t>
      </w:r>
      <w:r>
        <w:t>. The calculation usually employed for this purpose is the ‘Greenhouse-</w:t>
      </w:r>
      <w:proofErr w:type="spellStart"/>
      <w:r>
        <w:t>Geisser</w:t>
      </w:r>
      <w:proofErr w:type="spellEnd"/>
      <w:r>
        <w:t xml:space="preserve">’ correction, which takes </w:t>
      </w:r>
      <w:r w:rsidR="000A27DF">
        <w:t>into</w:t>
      </w:r>
      <w:r>
        <w:t xml:space="preserve"> account the sphericity and the number of conditions in which there are </w:t>
      </w:r>
      <w:r w:rsidR="00082BB6">
        <w:t>repeated-measures</w:t>
      </w:r>
      <w:r>
        <w:t xml:space="preserve"> outcomes (in </w:t>
      </w:r>
      <w:proofErr w:type="spellStart"/>
      <w:r>
        <w:t>theses</w:t>
      </w:r>
      <w:proofErr w:type="spellEnd"/>
      <w:r>
        <w:t xml:space="preserve"> data conditions = 4). It is recommended that when the ‘Greenhouse-</w:t>
      </w:r>
      <w:proofErr w:type="spellStart"/>
      <w:r>
        <w:t>Geisser</w:t>
      </w:r>
      <w:proofErr w:type="spellEnd"/>
      <w:r>
        <w:t xml:space="preserve"> estimate is less than 0.75 then the Gr</w:t>
      </w:r>
      <w:r w:rsidR="00570924">
        <w:t>e</w:t>
      </w:r>
      <w:r>
        <w:t>enhouse</w:t>
      </w:r>
      <w:r w:rsidR="00693688">
        <w:t>-</w:t>
      </w:r>
      <w:proofErr w:type="spellStart"/>
      <w:r w:rsidR="00693688">
        <w:t>Geisse</w:t>
      </w:r>
      <w:r>
        <w:t>r</w:t>
      </w:r>
      <w:proofErr w:type="spellEnd"/>
      <w:r>
        <w:t xml:space="preserve"> correction should be used’ </w:t>
      </w:r>
      <w:r>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fldChar w:fldCharType="separate"/>
      </w:r>
      <w:r w:rsidR="006102D5">
        <w:rPr>
          <w:noProof/>
        </w:rPr>
        <w:t>(Field, 2012)</w:t>
      </w:r>
      <w:r>
        <w:fldChar w:fldCharType="end"/>
      </w:r>
      <w:r w:rsidR="001C4BB0">
        <w:t xml:space="preserve"> p548</w:t>
      </w:r>
      <w:r w:rsidR="00095428">
        <w:t>)</w:t>
      </w:r>
      <w:r>
        <w:t>.</w:t>
      </w:r>
    </w:p>
    <w:p w14:paraId="7B358164" w14:textId="04F2D16C" w:rsidR="009F104E" w:rsidRDefault="009F104E" w:rsidP="009F104E">
      <w:r>
        <w:t>ANOVA is a univariate approach that depends upon the assumption of sphericity. In the case of violation of the assumption of sphericity, it is possible to use multivariate test statistics (MANOVA), which do not depend upon this. However ‘univariate tests tend to be more powerful than multivariate ones in small samples’</w:t>
      </w:r>
      <w:r w:rsidR="00095428">
        <w:t>,</w:t>
      </w:r>
      <w:r>
        <w:t xml:space="preserve"> which is why ANOVA was the planned choice for statistical analysis because it was unclear how many participants would drop out between conditions 2 and 4. </w:t>
      </w:r>
    </w:p>
    <w:p w14:paraId="5FE41E0A" w14:textId="5F01595A" w:rsidR="004F2F62" w:rsidRDefault="00082BB6" w:rsidP="0076065B">
      <w:r>
        <w:t>Repeated-measures</w:t>
      </w:r>
      <w:r w:rsidR="009F104E">
        <w:t xml:space="preserve"> ANOVA was run on IBM SPSS Statistics (Statistical Package for the Social Sciences) V21. Results are presented within </w:t>
      </w:r>
      <w:r w:rsidR="001D42C9">
        <w:t>Chapter</w:t>
      </w:r>
      <w:r w:rsidR="009F104E">
        <w:t xml:space="preserve"> 7, the intervention study.</w:t>
      </w:r>
    </w:p>
    <w:p w14:paraId="4B75CF9E" w14:textId="42FE8C92" w:rsidR="00E830C5" w:rsidRDefault="00E830C5" w:rsidP="00CA53EB">
      <w:pPr>
        <w:pStyle w:val="Heading2"/>
      </w:pPr>
      <w:bookmarkStart w:id="88" w:name="_Toc343501110"/>
      <w:bookmarkStart w:id="89" w:name="_Toc348686311"/>
      <w:bookmarkStart w:id="90" w:name="_Toc419116109"/>
      <w:r w:rsidRPr="00B66AC6">
        <w:t>Research design</w:t>
      </w:r>
      <w:r w:rsidR="00FF60D7">
        <w:t xml:space="preserve">: </w:t>
      </w:r>
      <w:r w:rsidR="00F6438B">
        <w:t>Use</w:t>
      </w:r>
      <w:r w:rsidR="00FF60D7">
        <w:t xml:space="preserve"> of </w:t>
      </w:r>
      <w:bookmarkEnd w:id="88"/>
      <w:bookmarkEnd w:id="89"/>
      <w:r w:rsidR="00082BB6">
        <w:t>repeated-measures</w:t>
      </w:r>
      <w:bookmarkEnd w:id="90"/>
      <w:r>
        <w:t xml:space="preserve"> </w:t>
      </w:r>
    </w:p>
    <w:p w14:paraId="5FC1AB47" w14:textId="77777777" w:rsidR="00D5373A" w:rsidRDefault="00D5373A" w:rsidP="00D5373A"/>
    <w:p w14:paraId="419AF69B" w14:textId="623ADA80" w:rsidR="00B86AA8" w:rsidRDefault="00D5373A" w:rsidP="00D5373A">
      <w:r>
        <w:lastRenderedPageBreak/>
        <w:t xml:space="preserve">Kerlinger (1970) describes a hypothesis as ‘a conjectural statement of the relationship between two or more variables’ or ‘an educated guess’. Kerlinger states that a good hypothesis requires a statement about relations between variables, carries ‘clear implications for testing the relations’, will add to current knowledge and are economical </w:t>
      </w:r>
      <w:r>
        <w:fldChar w:fldCharType="begin"/>
      </w:r>
      <w:r w:rsidR="006E3A62">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fldChar w:fldCharType="separate"/>
      </w:r>
      <w:r w:rsidR="006E3A62">
        <w:rPr>
          <w:noProof/>
        </w:rPr>
        <w:t>(Cohen et al., 2000)</w:t>
      </w:r>
      <w:r>
        <w:fldChar w:fldCharType="end"/>
      </w:r>
      <w:r>
        <w:t xml:space="preserve">. </w:t>
      </w:r>
      <w:r w:rsidR="00C063E3">
        <w:t xml:space="preserve">When embarking on this research, there was a perception that by participating in a </w:t>
      </w:r>
      <w:r w:rsidR="002568B6">
        <w:t>curriculum-mapped</w:t>
      </w:r>
      <w:r w:rsidR="00C063E3">
        <w:t xml:space="preserve"> simulated intervention to recreate ward pressures</w:t>
      </w:r>
      <w:r w:rsidR="00095428">
        <w:t>,</w:t>
      </w:r>
      <w:r w:rsidR="00C063E3">
        <w:t xml:space="preserve"> students would demonstrate an improvement in preparedness as measured by self</w:t>
      </w:r>
      <w:r w:rsidR="00095428">
        <w:t>-</w:t>
      </w:r>
      <w:r w:rsidR="00C063E3">
        <w:t xml:space="preserve">rated confidence. </w:t>
      </w:r>
      <w:r w:rsidR="00137253">
        <w:t>The reason for selecting confidence as the variable tested is discussed during</w:t>
      </w:r>
      <w:r w:rsidR="006903F9">
        <w:t xml:space="preserve"> </w:t>
      </w:r>
      <w:r w:rsidR="001D42C9">
        <w:t>Chapter</w:t>
      </w:r>
      <w:r w:rsidR="00137253">
        <w:t xml:space="preserve"> </w:t>
      </w:r>
      <w:r w:rsidR="006903F9">
        <w:t>4</w:t>
      </w:r>
      <w:r w:rsidR="00095428">
        <w:t>,</w:t>
      </w:r>
      <w:r w:rsidR="00137253">
        <w:t xml:space="preserve"> where initial </w:t>
      </w:r>
      <w:r w:rsidR="00173DE4">
        <w:t>focus group</w:t>
      </w:r>
      <w:r w:rsidR="00137253">
        <w:t xml:space="preserve"> data is presented</w:t>
      </w:r>
      <w:r w:rsidR="00095428">
        <w:t>.</w:t>
      </w:r>
      <w:r w:rsidR="00137253">
        <w:t xml:space="preserve"> </w:t>
      </w:r>
      <w:r w:rsidR="00C063E3">
        <w:t>This is an educated guess and when trying to understand human behaviour and reactions to stressful situations it is important to capture outcomes in a scientific, transparent way that can allow repetition.</w:t>
      </w:r>
      <w:r w:rsidR="00917FD4">
        <w:t xml:space="preserve"> </w:t>
      </w:r>
    </w:p>
    <w:p w14:paraId="144C7890" w14:textId="45DF8711" w:rsidR="00B86AA8" w:rsidRDefault="00B86AA8" w:rsidP="00B86AA8">
      <w:pPr>
        <w:pStyle w:val="NormalWeb"/>
        <w:shd w:val="clear" w:color="auto" w:fill="FFFFFF"/>
        <w:spacing w:line="480" w:lineRule="auto"/>
        <w:rPr>
          <w:rFonts w:ascii="Arial" w:hAnsi="Arial" w:cs="Arial"/>
        </w:rPr>
      </w:pPr>
      <w:r>
        <w:rPr>
          <w:rFonts w:ascii="Arial" w:hAnsi="Arial" w:cs="Arial"/>
        </w:rPr>
        <w:t>In employing quantitative methods the study is prospective and experimental which means that the study design is tailored towards answering the research question</w:t>
      </w:r>
      <w:r w:rsidR="004279FF">
        <w:rPr>
          <w:rFonts w:ascii="Arial" w:hAnsi="Arial" w:cs="Arial"/>
        </w:rPr>
        <w:t>.</w:t>
      </w:r>
      <w:r>
        <w:rPr>
          <w:rFonts w:ascii="Arial" w:hAnsi="Arial" w:cs="Arial"/>
        </w:rPr>
        <w:t xml:space="preserve"> </w:t>
      </w:r>
      <w:r w:rsidR="004279FF">
        <w:rPr>
          <w:rFonts w:ascii="Arial" w:hAnsi="Arial" w:cs="Arial"/>
        </w:rPr>
        <w:t>This</w:t>
      </w:r>
      <w:r>
        <w:rPr>
          <w:rFonts w:ascii="Arial" w:hAnsi="Arial" w:cs="Arial"/>
        </w:rPr>
        <w:t xml:space="preserve"> contrast</w:t>
      </w:r>
      <w:r w:rsidR="004279FF">
        <w:rPr>
          <w:rFonts w:ascii="Arial" w:hAnsi="Arial" w:cs="Arial"/>
        </w:rPr>
        <w:t>s</w:t>
      </w:r>
      <w:r>
        <w:rPr>
          <w:rFonts w:ascii="Arial" w:hAnsi="Arial" w:cs="Arial"/>
        </w:rPr>
        <w:t xml:space="preserve"> to correlational studies that are often retrospective and rely on results and data available</w:t>
      </w:r>
      <w:r w:rsidR="004279FF">
        <w:rPr>
          <w:rFonts w:ascii="Arial" w:hAnsi="Arial" w:cs="Arial"/>
        </w:rPr>
        <w:t>,</w:t>
      </w:r>
      <w:r w:rsidR="001C4BB0">
        <w:rPr>
          <w:rFonts w:ascii="Arial" w:hAnsi="Arial" w:cs="Arial"/>
        </w:rPr>
        <w:t xml:space="preserve"> which in turn may bias results</w:t>
      </w:r>
      <w:r>
        <w:rPr>
          <w:rFonts w:ascii="Arial" w:hAnsi="Arial" w:cs="Arial"/>
        </w:rPr>
        <w:t xml:space="preserve"> </w:t>
      </w:r>
      <w:r>
        <w:rPr>
          <w:rFonts w:ascii="Arial" w:hAnsi="Arial" w:cs="Arial"/>
        </w:rPr>
        <w:fldChar w:fldCharType="begin"/>
      </w:r>
      <w:r w:rsidR="006102D5">
        <w:rPr>
          <w:rFonts w:ascii="Arial" w:hAnsi="Arial" w:cs="Arial"/>
        </w:rPr>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rPr>
          <w:rFonts w:ascii="Arial" w:hAnsi="Arial" w:cs="Arial"/>
        </w:rPr>
        <w:fldChar w:fldCharType="separate"/>
      </w:r>
      <w:r w:rsidR="006102D5">
        <w:rPr>
          <w:rFonts w:ascii="Arial" w:hAnsi="Arial" w:cs="Arial"/>
          <w:noProof/>
        </w:rPr>
        <w:t>(Swanick, 2010</w:t>
      </w:r>
      <w:r w:rsidR="0047050A">
        <w:rPr>
          <w:rFonts w:ascii="Arial" w:hAnsi="Arial" w:cs="Arial"/>
          <w:noProof/>
        </w:rPr>
        <w:t>;</w:t>
      </w:r>
      <w:r>
        <w:rPr>
          <w:rFonts w:ascii="Arial" w:hAnsi="Arial" w:cs="Arial"/>
        </w:rPr>
        <w:fldChar w:fldCharType="end"/>
      </w:r>
      <w:r w:rsidR="001C4BB0">
        <w:rPr>
          <w:rFonts w:ascii="Arial" w:hAnsi="Arial" w:cs="Arial"/>
        </w:rPr>
        <w:t xml:space="preserve"> p304</w:t>
      </w:r>
      <w:r w:rsidR="00095428">
        <w:rPr>
          <w:rFonts w:ascii="Arial" w:hAnsi="Arial" w:cs="Arial"/>
        </w:rPr>
        <w:t>)</w:t>
      </w:r>
      <w:r>
        <w:rPr>
          <w:rFonts w:ascii="Arial" w:hAnsi="Arial" w:cs="Arial"/>
        </w:rPr>
        <w:t>.</w:t>
      </w:r>
    </w:p>
    <w:p w14:paraId="54B9DE24" w14:textId="530FADFB" w:rsidR="00B86AA8" w:rsidRDefault="00B86AA8" w:rsidP="00B86AA8">
      <w:pPr>
        <w:pStyle w:val="NormalWeb"/>
        <w:shd w:val="clear" w:color="auto" w:fill="FFFFFF"/>
        <w:spacing w:line="480" w:lineRule="auto"/>
        <w:rPr>
          <w:rFonts w:ascii="Arial" w:hAnsi="Arial" w:cs="Arial"/>
        </w:rPr>
      </w:pPr>
      <w:r>
        <w:rPr>
          <w:rFonts w:ascii="Arial" w:hAnsi="Arial" w:cs="Arial"/>
        </w:rPr>
        <w:t xml:space="preserve">In terms of discovery and the experimental design, the independent variable </w:t>
      </w:r>
      <w:r w:rsidR="002D7396">
        <w:rPr>
          <w:rFonts w:ascii="Arial" w:hAnsi="Arial" w:cs="Arial"/>
        </w:rPr>
        <w:t xml:space="preserve">in this study </w:t>
      </w:r>
      <w:r w:rsidR="004279FF">
        <w:rPr>
          <w:rFonts w:ascii="Arial" w:hAnsi="Arial" w:cs="Arial"/>
        </w:rPr>
        <w:t xml:space="preserve">was time, </w:t>
      </w:r>
      <w:r>
        <w:rPr>
          <w:rFonts w:ascii="Arial" w:hAnsi="Arial" w:cs="Arial"/>
        </w:rPr>
        <w:t xml:space="preserve">with </w:t>
      </w:r>
      <w:r w:rsidR="00082BB6">
        <w:rPr>
          <w:rFonts w:ascii="Arial" w:hAnsi="Arial" w:cs="Arial"/>
        </w:rPr>
        <w:t>repeated-measures</w:t>
      </w:r>
      <w:r>
        <w:rPr>
          <w:rFonts w:ascii="Arial" w:hAnsi="Arial" w:cs="Arial"/>
        </w:rPr>
        <w:t xml:space="preserve"> </w:t>
      </w:r>
      <w:r w:rsidR="002D7396">
        <w:rPr>
          <w:rFonts w:ascii="Arial" w:hAnsi="Arial" w:cs="Arial"/>
        </w:rPr>
        <w:t xml:space="preserve">over </w:t>
      </w:r>
      <w:r>
        <w:rPr>
          <w:rFonts w:ascii="Arial" w:hAnsi="Arial" w:cs="Arial"/>
        </w:rPr>
        <w:t xml:space="preserve">four time points </w:t>
      </w:r>
      <w:r w:rsidR="00FF60D7">
        <w:rPr>
          <w:rFonts w:ascii="Arial" w:hAnsi="Arial" w:cs="Arial"/>
        </w:rPr>
        <w:t>(conditions)</w:t>
      </w:r>
      <w:r>
        <w:rPr>
          <w:rFonts w:ascii="Arial" w:hAnsi="Arial" w:cs="Arial"/>
        </w:rPr>
        <w:t xml:space="preserve">. A </w:t>
      </w:r>
      <w:r w:rsidR="001D42C9">
        <w:rPr>
          <w:rFonts w:ascii="Arial" w:hAnsi="Arial" w:cs="Arial"/>
        </w:rPr>
        <w:t>pre-course</w:t>
      </w:r>
      <w:r>
        <w:rPr>
          <w:rFonts w:ascii="Arial" w:hAnsi="Arial" w:cs="Arial"/>
        </w:rPr>
        <w:t xml:space="preserve"> value </w:t>
      </w:r>
      <w:r w:rsidR="002D7396">
        <w:rPr>
          <w:rFonts w:ascii="Arial" w:hAnsi="Arial" w:cs="Arial"/>
        </w:rPr>
        <w:t xml:space="preserve">was </w:t>
      </w:r>
      <w:r>
        <w:rPr>
          <w:rFonts w:ascii="Arial" w:hAnsi="Arial" w:cs="Arial"/>
        </w:rPr>
        <w:t xml:space="preserve">used as a control or baseline for each student, followed by a </w:t>
      </w:r>
      <w:r w:rsidR="001D42C9">
        <w:rPr>
          <w:rFonts w:ascii="Arial" w:hAnsi="Arial" w:cs="Arial"/>
        </w:rPr>
        <w:t>post-course</w:t>
      </w:r>
      <w:r>
        <w:rPr>
          <w:rFonts w:ascii="Arial" w:hAnsi="Arial" w:cs="Arial"/>
        </w:rPr>
        <w:t xml:space="preserve"> immediate score, a delayed score at one week and then a further score one month </w:t>
      </w:r>
      <w:r w:rsidR="000A27DF">
        <w:rPr>
          <w:rFonts w:ascii="Arial" w:hAnsi="Arial" w:cs="Arial"/>
        </w:rPr>
        <w:t>into</w:t>
      </w:r>
      <w:r>
        <w:rPr>
          <w:rFonts w:ascii="Arial" w:hAnsi="Arial" w:cs="Arial"/>
        </w:rPr>
        <w:t xml:space="preserve"> their FY1 job</w:t>
      </w:r>
      <w:r w:rsidR="002D7396">
        <w:rPr>
          <w:rFonts w:ascii="Arial" w:hAnsi="Arial" w:cs="Arial"/>
        </w:rPr>
        <w:t>. This allowed</w:t>
      </w:r>
      <w:r>
        <w:rPr>
          <w:rFonts w:ascii="Arial" w:hAnsi="Arial" w:cs="Arial"/>
        </w:rPr>
        <w:t xml:space="preserve"> experience and exposure to the reality and expectations of the job. The dependent variable was </w:t>
      </w:r>
      <w:r w:rsidR="00693688">
        <w:rPr>
          <w:rFonts w:ascii="Arial" w:hAnsi="Arial" w:cs="Arial"/>
        </w:rPr>
        <w:lastRenderedPageBreak/>
        <w:t>self-rated</w:t>
      </w:r>
      <w:r>
        <w:rPr>
          <w:rFonts w:ascii="Arial" w:hAnsi="Arial" w:cs="Arial"/>
        </w:rPr>
        <w:t xml:space="preserve"> confidence scores</w:t>
      </w:r>
      <w:r w:rsidR="00FD3D08">
        <w:rPr>
          <w:rFonts w:ascii="Arial" w:hAnsi="Arial" w:cs="Arial"/>
        </w:rPr>
        <w:t>,</w:t>
      </w:r>
      <w:r>
        <w:rPr>
          <w:rFonts w:ascii="Arial" w:hAnsi="Arial" w:cs="Arial"/>
        </w:rPr>
        <w:t xml:space="preserve"> </w:t>
      </w:r>
      <w:r w:rsidR="006903F9">
        <w:rPr>
          <w:rFonts w:ascii="Arial" w:hAnsi="Arial" w:cs="Arial"/>
        </w:rPr>
        <w:t>mapped</w:t>
      </w:r>
      <w:r>
        <w:rPr>
          <w:rFonts w:ascii="Arial" w:hAnsi="Arial" w:cs="Arial"/>
        </w:rPr>
        <w:t xml:space="preserve"> to the </w:t>
      </w:r>
      <w:r w:rsidR="00AE0A2B">
        <w:rPr>
          <w:rFonts w:ascii="Arial" w:hAnsi="Arial" w:cs="Arial"/>
        </w:rPr>
        <w:t>F</w:t>
      </w:r>
      <w:r>
        <w:rPr>
          <w:rFonts w:ascii="Arial" w:hAnsi="Arial" w:cs="Arial"/>
        </w:rPr>
        <w:t xml:space="preserve">oundation Programme curriculum and </w:t>
      </w:r>
      <w:r w:rsidR="00685655">
        <w:rPr>
          <w:rFonts w:ascii="Arial" w:hAnsi="Arial" w:cs="Arial"/>
        </w:rPr>
        <w:t>Tomorrow’s Doctors document (2016)</w:t>
      </w:r>
      <w:r>
        <w:rPr>
          <w:rFonts w:ascii="Arial" w:hAnsi="Arial" w:cs="Arial"/>
        </w:rPr>
        <w:t xml:space="preserve"> of expectations as a FY1. The dependent variable is ‘observed to change as a consequence of the intervention’ </w:t>
      </w:r>
      <w:r>
        <w:rPr>
          <w:rFonts w:ascii="Arial" w:hAnsi="Arial" w:cs="Arial"/>
        </w:rPr>
        <w:fldChar w:fldCharType="begin"/>
      </w:r>
      <w:r w:rsidR="006102D5">
        <w:rPr>
          <w:rFonts w:ascii="Arial" w:hAnsi="Arial" w:cs="Arial"/>
        </w:rPr>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rPr>
          <w:rFonts w:ascii="Arial" w:hAnsi="Arial" w:cs="Arial"/>
        </w:rPr>
        <w:fldChar w:fldCharType="separate"/>
      </w:r>
      <w:r w:rsidR="006102D5">
        <w:rPr>
          <w:rFonts w:ascii="Arial" w:hAnsi="Arial" w:cs="Arial"/>
          <w:noProof/>
        </w:rPr>
        <w:t>(Swanick, 2010</w:t>
      </w:r>
      <w:r w:rsidR="0047050A">
        <w:rPr>
          <w:rFonts w:ascii="Arial" w:hAnsi="Arial" w:cs="Arial"/>
          <w:noProof/>
        </w:rPr>
        <w:t>;</w:t>
      </w:r>
      <w:r>
        <w:rPr>
          <w:rFonts w:ascii="Arial" w:hAnsi="Arial" w:cs="Arial"/>
        </w:rPr>
        <w:fldChar w:fldCharType="end"/>
      </w:r>
      <w:r w:rsidR="001C4BB0">
        <w:rPr>
          <w:rFonts w:ascii="Arial" w:hAnsi="Arial" w:cs="Arial"/>
        </w:rPr>
        <w:t xml:space="preserve"> p.304</w:t>
      </w:r>
      <w:r w:rsidR="00095428">
        <w:rPr>
          <w:rFonts w:ascii="Arial" w:hAnsi="Arial" w:cs="Arial"/>
        </w:rPr>
        <w:t>)</w:t>
      </w:r>
      <w:r>
        <w:rPr>
          <w:rFonts w:ascii="Arial" w:hAnsi="Arial" w:cs="Arial"/>
        </w:rPr>
        <w:t>. Confidence was used as a surrogate ma</w:t>
      </w:r>
      <w:r w:rsidR="00095428">
        <w:rPr>
          <w:rFonts w:ascii="Arial" w:hAnsi="Arial" w:cs="Arial"/>
        </w:rPr>
        <w:t>r</w:t>
      </w:r>
      <w:r>
        <w:rPr>
          <w:rFonts w:ascii="Arial" w:hAnsi="Arial" w:cs="Arial"/>
        </w:rPr>
        <w:t>ker for subjective preparedness</w:t>
      </w:r>
      <w:r w:rsidR="00FD3D08">
        <w:rPr>
          <w:rFonts w:ascii="Arial" w:hAnsi="Arial" w:cs="Arial"/>
        </w:rPr>
        <w:t xml:space="preserve">, </w:t>
      </w:r>
      <w:r>
        <w:rPr>
          <w:rFonts w:ascii="Arial" w:hAnsi="Arial" w:cs="Arial"/>
        </w:rPr>
        <w:t>just</w:t>
      </w:r>
      <w:r w:rsidR="00FF60D7">
        <w:rPr>
          <w:rFonts w:ascii="Arial" w:hAnsi="Arial" w:cs="Arial"/>
        </w:rPr>
        <w:t>ifi</w:t>
      </w:r>
      <w:r w:rsidR="00FD3D08">
        <w:rPr>
          <w:rFonts w:ascii="Arial" w:hAnsi="Arial" w:cs="Arial"/>
        </w:rPr>
        <w:t>ed by the</w:t>
      </w:r>
      <w:r w:rsidR="00FF60D7">
        <w:rPr>
          <w:rFonts w:ascii="Arial" w:hAnsi="Arial" w:cs="Arial"/>
        </w:rPr>
        <w:t xml:space="preserve"> emergent concepts from</w:t>
      </w:r>
      <w:r>
        <w:rPr>
          <w:rFonts w:ascii="Arial" w:hAnsi="Arial" w:cs="Arial"/>
        </w:rPr>
        <w:t xml:space="preserve"> pre-pilot </w:t>
      </w:r>
      <w:r w:rsidR="00173DE4">
        <w:rPr>
          <w:rFonts w:ascii="Arial" w:hAnsi="Arial" w:cs="Arial"/>
        </w:rPr>
        <w:t>focus group</w:t>
      </w:r>
      <w:r>
        <w:rPr>
          <w:rFonts w:ascii="Arial" w:hAnsi="Arial" w:cs="Arial"/>
        </w:rPr>
        <w:t>s</w:t>
      </w:r>
      <w:r w:rsidR="00FD3D08">
        <w:rPr>
          <w:rFonts w:ascii="Arial" w:hAnsi="Arial" w:cs="Arial"/>
        </w:rPr>
        <w:t xml:space="preserve"> (</w:t>
      </w:r>
      <w:r w:rsidR="001D42C9">
        <w:rPr>
          <w:rFonts w:ascii="Arial" w:hAnsi="Arial" w:cs="Arial"/>
        </w:rPr>
        <w:t>Chapter</w:t>
      </w:r>
      <w:r w:rsidR="00FD3D08">
        <w:rPr>
          <w:rFonts w:ascii="Arial" w:hAnsi="Arial" w:cs="Arial"/>
        </w:rPr>
        <w:t xml:space="preserve"> 4).</w:t>
      </w:r>
      <w:r>
        <w:rPr>
          <w:rFonts w:ascii="Arial" w:hAnsi="Arial" w:cs="Arial"/>
        </w:rPr>
        <w:t xml:space="preserve"> </w:t>
      </w:r>
    </w:p>
    <w:p w14:paraId="283B8BFE" w14:textId="57E69E69" w:rsidR="000219B1" w:rsidRDefault="00082BB6" w:rsidP="00D5373A">
      <w:r>
        <w:t>Repeated-measures</w:t>
      </w:r>
      <w:r w:rsidR="001C2389">
        <w:t xml:space="preserve"> study designs on a single group (pre-test, post-test), have been shown in medical education research to be the most commonly employed methodology (32% of 105 studies) </w:t>
      </w:r>
      <w:r w:rsidR="001C2389">
        <w:fldChar w:fldCharType="begin"/>
      </w:r>
      <w:r w:rsidR="006102D5">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rsidR="001C2389">
        <w:fldChar w:fldCharType="separate"/>
      </w:r>
      <w:r w:rsidR="006102D5">
        <w:rPr>
          <w:noProof/>
        </w:rPr>
        <w:t>(Swanick, 2010</w:t>
      </w:r>
      <w:r w:rsidR="0047050A">
        <w:rPr>
          <w:noProof/>
        </w:rPr>
        <w:t>;</w:t>
      </w:r>
      <w:r w:rsidR="001C2389">
        <w:fldChar w:fldCharType="end"/>
      </w:r>
      <w:r w:rsidR="001C4BB0">
        <w:t xml:space="preserve"> p.305</w:t>
      </w:r>
      <w:r w:rsidR="00095428">
        <w:t>)</w:t>
      </w:r>
      <w:r w:rsidR="00FF60D7">
        <w:t>. U</w:t>
      </w:r>
      <w:r w:rsidR="001C2389">
        <w:t>tility of a control group that does not receive the intervention</w:t>
      </w:r>
      <w:r w:rsidR="00AE0A2B">
        <w:t xml:space="preserve"> in the final study</w:t>
      </w:r>
      <w:r w:rsidR="001C2389">
        <w:t xml:space="preserve"> would </w:t>
      </w:r>
      <w:r w:rsidR="003A7D42">
        <w:t>be unethical</w:t>
      </w:r>
      <w:r w:rsidR="001C2389">
        <w:t xml:space="preserve"> and unfair</w:t>
      </w:r>
      <w:r w:rsidR="00FF60D7">
        <w:t xml:space="preserve"> to students</w:t>
      </w:r>
      <w:r w:rsidR="00FD3D08">
        <w:t xml:space="preserve"> </w:t>
      </w:r>
      <w:r w:rsidR="00A77F31">
        <w:fldChar w:fldCharType="begin"/>
      </w:r>
      <w:r w:rsidR="00A77F31">
        <w:instrText xml:space="preserve"> ADDIN EN.CITE &lt;EndNote&gt;&lt;Cite&gt;&lt;Author&gt;McGaghie&lt;/Author&gt;&lt;Year&gt;2011&lt;/Year&gt;&lt;IDText&gt;Does Simulation-Based Medical Education With Deliberate Practice Yield Better Results Than Traditional Clinical Education? A Meta-Analytic Comparative Review of the Evidence&lt;/IDText&gt;&lt;DisplayText&gt;(McGaghie et al., 2011)&lt;/DisplayText&gt;&lt;record&gt;&lt;dates&gt;&lt;pub-dates&gt;&lt;date&gt;Jun&lt;/date&gt;&lt;/pub-dates&gt;&lt;year&gt;2011&lt;/year&gt;&lt;/dates&gt;&lt;urls&gt;&lt;related-urls&gt;&lt;url&gt;&amp;lt;Go to ISI&amp;gt;://WOS:000291006100018&lt;/url&gt;&lt;/related-urls&gt;&lt;/urls&gt;&lt;isbn&gt;1040-2446&lt;/isbn&gt;&lt;titles&gt;&lt;title&gt;Does Simulation-Based Medical Education With Deliberate Practice Yield Better Results Than Traditional Clinical Education? A Meta-Analytic Comparative Review of the Evidence&lt;/title&gt;&lt;secondary-title&gt;Academic Medicine&lt;/secondary-title&gt;&lt;/titles&gt;&lt;pages&gt;706-711&lt;/pages&gt;&lt;number&gt;6&lt;/number&gt;&lt;contributors&gt;&lt;authors&gt;&lt;author&gt;McGaghie, William C.&lt;/author&gt;&lt;author&gt;Issenberg, S. Barry&lt;/author&gt;&lt;author&gt;Cohen, Elaine R.&lt;/author&gt;&lt;author&gt;Barsuk, Jeffrey H.&lt;/author&gt;&lt;author&gt;Wayne, Diane B.&lt;/author&gt;&lt;/authors&gt;&lt;/contributors&gt;&lt;added-date format="utc"&gt;1390841594&lt;/added-date&gt;&lt;ref-type name="Journal Article"&gt;17&lt;/ref-type&gt;&lt;rec-number&gt;14&lt;/rec-number&gt;&lt;last-updated-date format="utc"&gt;1390843746&lt;/last-updated-date&gt;&lt;accession-num&gt;WOS:000291006100018&lt;/accession-num&gt;&lt;electronic-resource-num&gt;10.1097/ACM.0b013e318217e119&lt;/electronic-resource-num&gt;&lt;volume&gt;86&lt;/volume&gt;&lt;/record&gt;&lt;/Cite&gt;&lt;/EndNote&gt;</w:instrText>
      </w:r>
      <w:r w:rsidR="00A77F31">
        <w:fldChar w:fldCharType="separate"/>
      </w:r>
      <w:r w:rsidR="00A77F31">
        <w:rPr>
          <w:noProof/>
        </w:rPr>
        <w:t>(McGaghie et al., 2011)</w:t>
      </w:r>
      <w:r w:rsidR="00A77F31">
        <w:fldChar w:fldCharType="end"/>
      </w:r>
      <w:r w:rsidR="001C2389">
        <w:t>. In addition to this, there are differences between participants in terms of personality, know</w:t>
      </w:r>
      <w:r w:rsidR="00797518">
        <w:t>led</w:t>
      </w:r>
      <w:r w:rsidR="001C2389">
        <w:t xml:space="preserve">ge, skills and </w:t>
      </w:r>
      <w:r w:rsidR="00797518">
        <w:t>attitudes</w:t>
      </w:r>
      <w:r w:rsidR="000219B1">
        <w:t>,</w:t>
      </w:r>
      <w:r w:rsidR="00797518">
        <w:t xml:space="preserve"> which will act as noise when comparing two separate groups.  </w:t>
      </w:r>
    </w:p>
    <w:p w14:paraId="1EF615A1" w14:textId="3A16BC59" w:rsidR="00F14A9C" w:rsidRDefault="000219B1" w:rsidP="00D5373A">
      <w:r>
        <w:t>The measurement of conf</w:t>
      </w:r>
      <w:r w:rsidR="000C62F6">
        <w:t>idence is subjective but how</w:t>
      </w:r>
      <w:r>
        <w:t xml:space="preserve"> learners feel is important and if trying to explore a phenomenon</w:t>
      </w:r>
      <w:r w:rsidR="00F14A9C">
        <w:t xml:space="preserve"> s</w:t>
      </w:r>
      <w:r>
        <w:t>urroundi</w:t>
      </w:r>
      <w:r w:rsidR="00F14A9C">
        <w:t>ng how they interpret their worl</w:t>
      </w:r>
      <w:r>
        <w:t xml:space="preserve">d it is important to get the subjective view, value it and learn from it. </w:t>
      </w:r>
    </w:p>
    <w:p w14:paraId="6E65DFA6" w14:textId="6158ACB5" w:rsidR="00E044F7" w:rsidRDefault="00082BB6" w:rsidP="00D5373A">
      <w:r>
        <w:t>Repeated-measures</w:t>
      </w:r>
      <w:r w:rsidR="00E044F7">
        <w:t xml:space="preserve"> study design using the same participants and repeating measures</w:t>
      </w:r>
      <w:r w:rsidR="00A77F31">
        <w:t xml:space="preserve"> over conditions (time) mean</w:t>
      </w:r>
      <w:r w:rsidR="00C710FC">
        <w:t>s</w:t>
      </w:r>
      <w:r w:rsidR="00E044F7">
        <w:t xml:space="preserve"> that external factors such as age, sex,</w:t>
      </w:r>
      <w:r w:rsidR="00B11D97">
        <w:t xml:space="preserve"> gender, attitude</w:t>
      </w:r>
      <w:r w:rsidR="00095428">
        <w:t>, and</w:t>
      </w:r>
      <w:r w:rsidR="00B11D97">
        <w:t xml:space="preserve"> personality remain</w:t>
      </w:r>
      <w:r w:rsidR="00E044F7">
        <w:t xml:space="preserve"> the same in each </w:t>
      </w:r>
      <w:r w:rsidR="00C30777">
        <w:t xml:space="preserve">of the four </w:t>
      </w:r>
      <w:r w:rsidR="00E044F7">
        <w:t>condition</w:t>
      </w:r>
      <w:r w:rsidR="00C30777">
        <w:t>s (1=pre-course, 2=</w:t>
      </w:r>
      <w:r w:rsidR="001D42C9">
        <w:t>post-course</w:t>
      </w:r>
      <w:r w:rsidR="00C30777">
        <w:t xml:space="preserve"> immediate, 3=1 week </w:t>
      </w:r>
      <w:r w:rsidR="001D42C9">
        <w:t>post-course</w:t>
      </w:r>
      <w:r w:rsidR="00C30777">
        <w:t xml:space="preserve"> and 4=1 month </w:t>
      </w:r>
      <w:r w:rsidR="000A27DF">
        <w:t>into</w:t>
      </w:r>
      <w:r w:rsidR="00C30777">
        <w:t xml:space="preserve"> FY1). </w:t>
      </w:r>
      <w:r w:rsidR="00C710FC">
        <w:t>By introducing t</w:t>
      </w:r>
      <w:r w:rsidR="00C30777">
        <w:t>he experimental manipulation (the simulation course) between condition</w:t>
      </w:r>
      <w:r w:rsidR="00095428">
        <w:t>s</w:t>
      </w:r>
      <w:r w:rsidR="00C30777">
        <w:t xml:space="preserve"> 1 and 2</w:t>
      </w:r>
      <w:r w:rsidR="00C710FC">
        <w:t>,</w:t>
      </w:r>
      <w:r w:rsidR="00C30777">
        <w:t xml:space="preserve"> it is likely that any difference between means for the two conditions are due to the simulation intervention (systematic variation). </w:t>
      </w:r>
    </w:p>
    <w:p w14:paraId="15B29F0C" w14:textId="24BAF18B" w:rsidR="00CD062E" w:rsidRDefault="00D052A6" w:rsidP="00D5373A">
      <w:r>
        <w:lastRenderedPageBreak/>
        <w:t xml:space="preserve">Within the </w:t>
      </w:r>
      <w:r w:rsidR="00082BB6">
        <w:t>repeated-measures</w:t>
      </w:r>
      <w:r>
        <w:t xml:space="preserve"> design, at the first condition, participants are said to be ‘naïve</w:t>
      </w:r>
      <w:r w:rsidR="006023B6">
        <w:t>’,</w:t>
      </w:r>
      <w:r>
        <w:t xml:space="preserve"> then following the experience they have had,</w:t>
      </w:r>
      <w:r w:rsidR="006023B6">
        <w:t xml:space="preserve"> are more aware of expectations and familiar with the assessment proce</w:t>
      </w:r>
      <w:r w:rsidR="00CD062E">
        <w:t>ss and the dependent measure (</w:t>
      </w:r>
      <w:r w:rsidR="006023B6">
        <w:t>the confidence scoring tool). This is said to lead to two sources of systematic variation, the first ‘practice effects’ because of this familiarity with the study and assessment tool. The second, ‘boredom effects’ relates to being fatigued following the first condition.</w:t>
      </w:r>
      <w:r w:rsidR="00330B62">
        <w:t xml:space="preserve"> These forms of variation can</w:t>
      </w:r>
      <w:r w:rsidR="00CD062E">
        <w:t>not be eradicated but can be ‘counterbalanced’ by altering the order in which participants are exposed to a condition. Within this study the conditions are time intervals and there are no other components of the conditions so it is not possi</w:t>
      </w:r>
      <w:r w:rsidR="00330B62">
        <w:t>ble to use counterbalancing</w:t>
      </w:r>
      <w:r w:rsidR="00095428">
        <w:t>.</w:t>
      </w:r>
      <w:r w:rsidR="00330B62">
        <w:t xml:space="preserve"> </w:t>
      </w:r>
      <w:r w:rsidR="00095428">
        <w:t>Therefore</w:t>
      </w:r>
      <w:r w:rsidR="00330B62">
        <w:t xml:space="preserve"> t</w:t>
      </w:r>
      <w:r w:rsidR="00CD062E">
        <w:t>his level of variation needs to be accepted and factored in when analysing data</w:t>
      </w:r>
      <w:r w:rsidR="00330B62">
        <w:t xml:space="preserve"> </w:t>
      </w:r>
      <w:r w:rsidR="00330B62">
        <w:fldChar w:fldCharType="begin"/>
      </w:r>
      <w:r w:rsidR="00330B62">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rsidR="00330B62">
        <w:fldChar w:fldCharType="separate"/>
      </w:r>
      <w:r w:rsidR="00330B62">
        <w:rPr>
          <w:noProof/>
        </w:rPr>
        <w:t>(Field, 2012)</w:t>
      </w:r>
      <w:r w:rsidR="00330B62">
        <w:fldChar w:fldCharType="end"/>
      </w:r>
      <w:r w:rsidR="00CD062E">
        <w:t>.</w:t>
      </w:r>
    </w:p>
    <w:p w14:paraId="76486F83" w14:textId="5C425A85" w:rsidR="007508DF" w:rsidRDefault="007508DF" w:rsidP="00D5373A">
      <w:r>
        <w:t xml:space="preserve">If two different groups were </w:t>
      </w:r>
      <w:r w:rsidR="00337A7E">
        <w:t>used</w:t>
      </w:r>
      <w:r>
        <w:t xml:space="preserve"> to participate in the two different conditions there would be an increased amount of unsystematic variation even if taken fr</w:t>
      </w:r>
      <w:r w:rsidR="00954E2B">
        <w:t>o</w:t>
      </w:r>
      <w:r>
        <w:t>m a similar population (5</w:t>
      </w:r>
      <w:r w:rsidRPr="007508DF">
        <w:rPr>
          <w:vertAlign w:val="superscript"/>
        </w:rPr>
        <w:t>th</w:t>
      </w:r>
      <w:r>
        <w:t xml:space="preserve"> year medical students), making it less reliable to interpret the effects as being due to the simulation experimental manipulation. </w:t>
      </w:r>
      <w:r w:rsidR="00190745">
        <w:t>This means that ‘</w:t>
      </w:r>
      <w:r w:rsidR="00082BB6">
        <w:t>repeated-measures</w:t>
      </w:r>
      <w:r w:rsidR="00190745">
        <w:t xml:space="preserve"> designs have more power to detect effects than independent designs’ </w:t>
      </w:r>
      <w:r w:rsidR="00732C76">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rsidR="00732C76">
        <w:fldChar w:fldCharType="separate"/>
      </w:r>
      <w:r w:rsidR="006102D5">
        <w:rPr>
          <w:noProof/>
        </w:rPr>
        <w:t>(Field, 2012</w:t>
      </w:r>
      <w:r w:rsidR="0047050A">
        <w:rPr>
          <w:noProof/>
        </w:rPr>
        <w:t>;</w:t>
      </w:r>
      <w:r w:rsidR="00732C76">
        <w:fldChar w:fldCharType="end"/>
      </w:r>
      <w:r w:rsidR="001C4BB0">
        <w:t xml:space="preserve"> </w:t>
      </w:r>
      <w:r w:rsidR="00732C76">
        <w:t>p17).</w:t>
      </w:r>
    </w:p>
    <w:p w14:paraId="526D0E7C" w14:textId="65D186BA" w:rsidR="006862CB" w:rsidRDefault="006862CB" w:rsidP="00D5373A">
      <w:r>
        <w:t>Initial plans had been to collect self</w:t>
      </w:r>
      <w:r w:rsidR="00095428">
        <w:t>-</w:t>
      </w:r>
      <w:r>
        <w:t xml:space="preserve">reported capability scores however ‘self-reported </w:t>
      </w:r>
      <w:r w:rsidR="001D42C9">
        <w:t>judgment</w:t>
      </w:r>
      <w:r>
        <w:t>s of competence have been shown to have minimal relationships with observed competence’</w:t>
      </w:r>
      <w:r w:rsidR="00095428">
        <w:t>,</w:t>
      </w:r>
      <w:r>
        <w:t xml:space="preserve"> so are advised not to be used in isolation</w:t>
      </w:r>
      <w:r w:rsidR="00954E2B">
        <w:t xml:space="preserve"> </w:t>
      </w:r>
      <w:r>
        <w:fldChar w:fldCharType="begin"/>
      </w:r>
      <w:r w:rsidR="006102D5">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fldChar w:fldCharType="separate"/>
      </w:r>
      <w:r w:rsidR="006102D5">
        <w:rPr>
          <w:noProof/>
        </w:rPr>
        <w:t>(Swanick, 2010</w:t>
      </w:r>
      <w:r w:rsidR="0047050A">
        <w:rPr>
          <w:noProof/>
        </w:rPr>
        <w:t>;</w:t>
      </w:r>
      <w:r>
        <w:fldChar w:fldCharType="end"/>
      </w:r>
      <w:r w:rsidR="001C4BB0">
        <w:t xml:space="preserve"> </w:t>
      </w:r>
      <w:r>
        <w:t xml:space="preserve">p308). </w:t>
      </w:r>
      <w:r w:rsidR="00954E2B">
        <w:t>T</w:t>
      </w:r>
      <w:r w:rsidR="000C62F6">
        <w:t xml:space="preserve">he initial testing of capability scores demonstrated that students </w:t>
      </w:r>
      <w:r w:rsidR="00954E2B">
        <w:t>were</w:t>
      </w:r>
      <w:r w:rsidR="000C62F6">
        <w:t xml:space="preserve"> unable to answer about capability</w:t>
      </w:r>
      <w:r w:rsidR="00954E2B">
        <w:t xml:space="preserve"> </w:t>
      </w:r>
      <w:r w:rsidR="000C62F6">
        <w:t>especially for tasks they had not been exposed to</w:t>
      </w:r>
      <w:r w:rsidR="00954E2B">
        <w:t>.</w:t>
      </w:r>
      <w:r w:rsidR="000C62F6">
        <w:t xml:space="preserve"> </w:t>
      </w:r>
      <w:r w:rsidR="00954E2B">
        <w:t>T</w:t>
      </w:r>
      <w:r w:rsidR="000C62F6">
        <w:t xml:space="preserve">hey could however rate how confident </w:t>
      </w:r>
      <w:r w:rsidR="000C62F6">
        <w:lastRenderedPageBreak/>
        <w:t>they felt to perform the task</w:t>
      </w:r>
      <w:r w:rsidR="00D518C0">
        <w:t xml:space="preserve"> </w:t>
      </w:r>
      <w:r w:rsidR="00954E2B">
        <w:t>(</w:t>
      </w:r>
      <w:r w:rsidR="001D42C9">
        <w:t>Chapter</w:t>
      </w:r>
      <w:r w:rsidR="00954E2B">
        <w:t xml:space="preserve"> 5)</w:t>
      </w:r>
      <w:r w:rsidR="000C62F6">
        <w:t xml:space="preserve">. The </w:t>
      </w:r>
      <w:r w:rsidR="00173DE4">
        <w:t>focus group</w:t>
      </w:r>
      <w:r w:rsidR="000C62F6">
        <w:t xml:space="preserve"> data also demonstrated that students perceived and interpreted preparedness for</w:t>
      </w:r>
      <w:r w:rsidR="00B11D97">
        <w:t xml:space="preserve"> practice overwhelmingly</w:t>
      </w:r>
      <w:r w:rsidR="000C62F6">
        <w:t xml:space="preserve"> as how confident they felt</w:t>
      </w:r>
      <w:r w:rsidR="00954E2B">
        <w:t xml:space="preserve"> (C</w:t>
      </w:r>
      <w:r w:rsidR="000C62F6">
        <w:t>hapter 5</w:t>
      </w:r>
      <w:r w:rsidR="00954E2B">
        <w:t>).</w:t>
      </w:r>
    </w:p>
    <w:p w14:paraId="161345E9" w14:textId="138D7CA3" w:rsidR="007B78B2" w:rsidRDefault="00CA49F2" w:rsidP="0052347A">
      <w:r>
        <w:t xml:space="preserve">Medical students remain underprepared for FY1, </w:t>
      </w:r>
      <w:r w:rsidR="00F14A9C">
        <w:t>simulation with deliberate practice is superior to traditional methods of education</w:t>
      </w:r>
      <w:r w:rsidR="00954E2B">
        <w:t>.</w:t>
      </w:r>
      <w:r w:rsidR="00F14A9C">
        <w:t xml:space="preserve"> </w:t>
      </w:r>
      <w:r>
        <w:t xml:space="preserve">A </w:t>
      </w:r>
      <w:r w:rsidR="00B11D97">
        <w:t>mixed methods approach was</w:t>
      </w:r>
      <w:r w:rsidR="00F14A9C">
        <w:t xml:space="preserve"> employed to allow </w:t>
      </w:r>
      <w:r>
        <w:t xml:space="preserve">exploration of whether simulation could be used to improve preparedness and </w:t>
      </w:r>
      <w:r w:rsidR="00F14A9C">
        <w:t xml:space="preserve">emergence of rich data to aid understanding surrounding </w:t>
      </w:r>
      <w:r>
        <w:t>preparedness.</w:t>
      </w:r>
    </w:p>
    <w:p w14:paraId="62F9EDE2" w14:textId="77777777" w:rsidR="001133EA" w:rsidRPr="0052347A" w:rsidRDefault="001133EA" w:rsidP="0052347A"/>
    <w:p w14:paraId="7644CF7F" w14:textId="77777777" w:rsidR="008E7172" w:rsidRDefault="00E830C5" w:rsidP="00CA53EB">
      <w:pPr>
        <w:pStyle w:val="Heading2"/>
      </w:pPr>
      <w:bookmarkStart w:id="91" w:name="_Toc419116110"/>
      <w:bookmarkStart w:id="92" w:name="_Toc343501116"/>
      <w:bookmarkStart w:id="93" w:name="_Toc348686317"/>
      <w:r w:rsidRPr="00B66AC6">
        <w:t>Qualitative</w:t>
      </w:r>
      <w:r w:rsidR="006F6288">
        <w:t xml:space="preserve"> research</w:t>
      </w:r>
      <w:r w:rsidR="008E7172">
        <w:t xml:space="preserve"> methodology</w:t>
      </w:r>
      <w:bookmarkEnd w:id="91"/>
    </w:p>
    <w:bookmarkEnd w:id="92"/>
    <w:bookmarkEnd w:id="93"/>
    <w:p w14:paraId="30FEC7AB" w14:textId="189B2BD1" w:rsidR="008E7172" w:rsidRDefault="008E7172" w:rsidP="000F2A45">
      <w:pPr>
        <w:pStyle w:val="Heading2"/>
        <w:numPr>
          <w:ilvl w:val="0"/>
          <w:numId w:val="0"/>
        </w:numPr>
        <w:ind w:left="1152"/>
      </w:pPr>
    </w:p>
    <w:p w14:paraId="4D213826" w14:textId="7F990886" w:rsidR="00E830C5" w:rsidRDefault="008E7172" w:rsidP="005266AE">
      <w:pPr>
        <w:pStyle w:val="Heading3"/>
      </w:pPr>
      <w:bookmarkStart w:id="94" w:name="_Toc419116111"/>
      <w:r>
        <w:t xml:space="preserve">Qualitative </w:t>
      </w:r>
      <w:r w:rsidR="003A7D42">
        <w:t>research</w:t>
      </w:r>
      <w:r>
        <w:t>: theory</w:t>
      </w:r>
      <w:bookmarkEnd w:id="94"/>
      <w:r w:rsidR="00E830C5">
        <w:t xml:space="preserve"> </w:t>
      </w:r>
    </w:p>
    <w:p w14:paraId="26AF5BBA" w14:textId="77777777" w:rsidR="008702AF" w:rsidRDefault="008702AF" w:rsidP="00C06D1A">
      <w:pPr>
        <w:rPr>
          <w:rFonts w:cs="Arial"/>
          <w:szCs w:val="24"/>
        </w:rPr>
      </w:pPr>
    </w:p>
    <w:p w14:paraId="305EB6E1" w14:textId="322A842F" w:rsidR="008702AF" w:rsidRDefault="004E2E10" w:rsidP="00C06D1A">
      <w:pPr>
        <w:rPr>
          <w:rFonts w:cs="Arial"/>
          <w:szCs w:val="24"/>
        </w:rPr>
      </w:pPr>
      <w:r>
        <w:rPr>
          <w:rFonts w:cs="Arial"/>
          <w:szCs w:val="24"/>
        </w:rPr>
        <w:t xml:space="preserve">Silverman (1993) describes theory as a ‘set of concepts used to define and, or explain some phenomenon’. </w:t>
      </w:r>
      <w:proofErr w:type="spellStart"/>
      <w:r>
        <w:rPr>
          <w:rFonts w:cs="Arial"/>
          <w:szCs w:val="24"/>
        </w:rPr>
        <w:t>Gubrium</w:t>
      </w:r>
      <w:proofErr w:type="spellEnd"/>
      <w:r>
        <w:rPr>
          <w:rFonts w:cs="Arial"/>
          <w:szCs w:val="24"/>
        </w:rPr>
        <w:t xml:space="preserve">, in (personal </w:t>
      </w:r>
      <w:r w:rsidR="00693688">
        <w:rPr>
          <w:rFonts w:cs="Arial"/>
          <w:szCs w:val="24"/>
        </w:rPr>
        <w:t>correspondence</w:t>
      </w:r>
      <w:r>
        <w:rPr>
          <w:rFonts w:cs="Arial"/>
          <w:szCs w:val="24"/>
        </w:rPr>
        <w:t xml:space="preserve"> to Silverman </w:t>
      </w:r>
      <w:r w:rsidR="0047050A">
        <w:rPr>
          <w:rFonts w:cs="Arial"/>
          <w:szCs w:val="24"/>
        </w:rPr>
        <w:t>(</w:t>
      </w:r>
      <w:r>
        <w:rPr>
          <w:rFonts w:cs="Arial"/>
          <w:szCs w:val="24"/>
        </w:rPr>
        <w:t xml:space="preserve">1993) suggests theory allows a framework to assist with understanding and a foundation to begin </w:t>
      </w:r>
      <w:r w:rsidR="00693688">
        <w:rPr>
          <w:rFonts w:cs="Arial"/>
          <w:szCs w:val="24"/>
        </w:rPr>
        <w:t>organising</w:t>
      </w:r>
      <w:r>
        <w:rPr>
          <w:rFonts w:cs="Arial"/>
          <w:szCs w:val="24"/>
        </w:rPr>
        <w:t xml:space="preserve"> what is already known and understood</w:t>
      </w:r>
      <w:r w:rsidR="00095428">
        <w:rPr>
          <w:rFonts w:cs="Arial"/>
          <w:szCs w:val="24"/>
        </w:rPr>
        <w:t>,</w:t>
      </w:r>
      <w:r>
        <w:rPr>
          <w:rFonts w:cs="Arial"/>
          <w:szCs w:val="24"/>
        </w:rPr>
        <w:t xml:space="preserve"> and what is not. </w:t>
      </w:r>
      <w:r w:rsidR="00A129D3">
        <w:rPr>
          <w:rFonts w:cs="Arial"/>
          <w:szCs w:val="24"/>
        </w:rPr>
        <w:t xml:space="preserve">Naturalistic, qualitative approaches are alternatives to </w:t>
      </w:r>
      <w:r w:rsidR="00137253">
        <w:rPr>
          <w:rFonts w:cs="Arial"/>
          <w:szCs w:val="24"/>
        </w:rPr>
        <w:t>positivist</w:t>
      </w:r>
      <w:r w:rsidR="00A129D3">
        <w:rPr>
          <w:rFonts w:cs="Arial"/>
          <w:szCs w:val="24"/>
        </w:rPr>
        <w:t xml:space="preserve"> and differ </w:t>
      </w:r>
      <w:r w:rsidR="00312AAA">
        <w:rPr>
          <w:rFonts w:cs="Arial"/>
          <w:szCs w:val="24"/>
        </w:rPr>
        <w:t xml:space="preserve">by </w:t>
      </w:r>
      <w:r w:rsidR="00A129D3">
        <w:rPr>
          <w:rFonts w:cs="Arial"/>
          <w:szCs w:val="24"/>
        </w:rPr>
        <w:t>seeing people as ‘deliberate and creative</w:t>
      </w:r>
      <w:r w:rsidR="00312AAA">
        <w:rPr>
          <w:rFonts w:cs="Arial"/>
          <w:szCs w:val="24"/>
        </w:rPr>
        <w:t xml:space="preserve">, </w:t>
      </w:r>
      <w:r w:rsidR="00A129D3">
        <w:rPr>
          <w:rFonts w:cs="Arial"/>
          <w:szCs w:val="24"/>
        </w:rPr>
        <w:t>mak</w:t>
      </w:r>
      <w:r w:rsidR="00312AAA">
        <w:rPr>
          <w:rFonts w:cs="Arial"/>
          <w:szCs w:val="24"/>
        </w:rPr>
        <w:t>ing</w:t>
      </w:r>
      <w:r w:rsidR="00A129D3">
        <w:rPr>
          <w:rFonts w:cs="Arial"/>
          <w:szCs w:val="24"/>
        </w:rPr>
        <w:t xml:space="preserve"> meaning through activity’</w:t>
      </w:r>
      <w:r w:rsidR="00A3189A">
        <w:rPr>
          <w:rFonts w:cs="Arial"/>
          <w:szCs w:val="24"/>
        </w:rPr>
        <w:t>.</w:t>
      </w:r>
      <w:r w:rsidR="00A129D3">
        <w:rPr>
          <w:rFonts w:cs="Arial"/>
          <w:szCs w:val="24"/>
        </w:rPr>
        <w:t xml:space="preserve"> </w:t>
      </w:r>
      <w:r w:rsidR="00A3189A">
        <w:rPr>
          <w:rFonts w:cs="Arial"/>
          <w:szCs w:val="24"/>
        </w:rPr>
        <w:t>T</w:t>
      </w:r>
      <w:r w:rsidR="00A129D3">
        <w:rPr>
          <w:rFonts w:cs="Arial"/>
          <w:szCs w:val="24"/>
        </w:rPr>
        <w:t>hey ‘actively construct their social world’</w:t>
      </w:r>
      <w:r w:rsidR="00095428">
        <w:rPr>
          <w:rFonts w:cs="Arial"/>
          <w:szCs w:val="24"/>
        </w:rPr>
        <w:t xml:space="preserve"> and</w:t>
      </w:r>
      <w:r w:rsidR="00A129D3">
        <w:rPr>
          <w:rFonts w:cs="Arial"/>
          <w:szCs w:val="24"/>
        </w:rPr>
        <w:t xml:space="preserve"> ‘situations are fluid and changing’</w:t>
      </w:r>
      <w:r w:rsidR="00312AAA">
        <w:rPr>
          <w:rFonts w:cs="Arial"/>
          <w:szCs w:val="24"/>
        </w:rPr>
        <w:t xml:space="preserve">. </w:t>
      </w:r>
      <w:r w:rsidR="00A3189A">
        <w:rPr>
          <w:rFonts w:cs="Arial"/>
          <w:szCs w:val="24"/>
        </w:rPr>
        <w:t>E</w:t>
      </w:r>
      <w:r w:rsidR="00A129D3">
        <w:rPr>
          <w:rFonts w:cs="Arial"/>
          <w:szCs w:val="24"/>
        </w:rPr>
        <w:t xml:space="preserve">vents should be studied in their ‘natural state’ so </w:t>
      </w:r>
      <w:r w:rsidR="00095428">
        <w:rPr>
          <w:rFonts w:cs="Arial"/>
          <w:szCs w:val="24"/>
        </w:rPr>
        <w:t xml:space="preserve">that the </w:t>
      </w:r>
      <w:r w:rsidR="00A129D3">
        <w:rPr>
          <w:rFonts w:cs="Arial"/>
          <w:szCs w:val="24"/>
        </w:rPr>
        <w:t xml:space="preserve">phenomena being studied </w:t>
      </w:r>
      <w:r w:rsidR="003C011A">
        <w:rPr>
          <w:rFonts w:cs="Arial"/>
          <w:szCs w:val="24"/>
        </w:rPr>
        <w:t>are</w:t>
      </w:r>
      <w:r w:rsidR="00A129D3">
        <w:rPr>
          <w:rFonts w:cs="Arial"/>
          <w:szCs w:val="24"/>
        </w:rPr>
        <w:t xml:space="preserve"> authentic</w:t>
      </w:r>
      <w:r w:rsidR="00312AAA">
        <w:rPr>
          <w:rFonts w:cs="Arial"/>
          <w:szCs w:val="24"/>
        </w:rPr>
        <w:t>.</w:t>
      </w:r>
      <w:r w:rsidR="00A129D3">
        <w:rPr>
          <w:rFonts w:cs="Arial"/>
          <w:szCs w:val="24"/>
        </w:rPr>
        <w:t xml:space="preserve"> </w:t>
      </w:r>
      <w:r w:rsidR="00312AAA">
        <w:rPr>
          <w:rFonts w:cs="Arial"/>
          <w:szCs w:val="24"/>
        </w:rPr>
        <w:t>R</w:t>
      </w:r>
      <w:r w:rsidR="00A129D3">
        <w:rPr>
          <w:rFonts w:cs="Arial"/>
          <w:szCs w:val="24"/>
        </w:rPr>
        <w:t xml:space="preserve">ich descriptions are </w:t>
      </w:r>
      <w:r w:rsidR="00312AAA">
        <w:rPr>
          <w:rFonts w:cs="Arial"/>
          <w:szCs w:val="24"/>
        </w:rPr>
        <w:t>core and</w:t>
      </w:r>
      <w:r w:rsidR="00A129D3">
        <w:rPr>
          <w:rFonts w:cs="Arial"/>
          <w:szCs w:val="24"/>
        </w:rPr>
        <w:t xml:space="preserve"> situations should be explored ‘through the eyes of the participants’ </w:t>
      </w:r>
      <w:r w:rsidR="00A129D3">
        <w:rPr>
          <w:rFonts w:cs="Arial"/>
          <w:szCs w:val="24"/>
        </w:rPr>
        <w:lastRenderedPageBreak/>
        <w:fldChar w:fldCharType="begin"/>
      </w:r>
      <w:r w:rsidR="00A129D3">
        <w:rPr>
          <w:rFonts w:cs="Arial"/>
          <w:szCs w:val="24"/>
        </w:rPr>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A129D3">
        <w:rPr>
          <w:rFonts w:cs="Arial"/>
          <w:szCs w:val="24"/>
        </w:rPr>
        <w:fldChar w:fldCharType="separate"/>
      </w:r>
      <w:r w:rsidR="00A129D3">
        <w:rPr>
          <w:rFonts w:cs="Arial"/>
          <w:noProof/>
          <w:szCs w:val="24"/>
        </w:rPr>
        <w:t>(Cohen et al., 2000)</w:t>
      </w:r>
      <w:r w:rsidR="00A129D3">
        <w:rPr>
          <w:rFonts w:cs="Arial"/>
          <w:szCs w:val="24"/>
        </w:rPr>
        <w:fldChar w:fldCharType="end"/>
      </w:r>
      <w:r w:rsidR="00A129D3">
        <w:rPr>
          <w:rFonts w:cs="Arial"/>
          <w:szCs w:val="24"/>
        </w:rPr>
        <w:t xml:space="preserve">. </w:t>
      </w:r>
      <w:r w:rsidR="00717D19">
        <w:rPr>
          <w:rFonts w:cs="Arial"/>
          <w:szCs w:val="24"/>
        </w:rPr>
        <w:t xml:space="preserve">This allows observation of relationships and social phenomena but also interaction with participants within the environment.  </w:t>
      </w:r>
    </w:p>
    <w:p w14:paraId="6A645477" w14:textId="70A0668A" w:rsidR="00D23E19" w:rsidRDefault="00D23E19" w:rsidP="00C06D1A">
      <w:pPr>
        <w:rPr>
          <w:rFonts w:cs="Arial"/>
          <w:szCs w:val="24"/>
        </w:rPr>
      </w:pPr>
      <w:r>
        <w:rPr>
          <w:rFonts w:cs="Arial"/>
          <w:szCs w:val="24"/>
        </w:rPr>
        <w:t>‘</w:t>
      </w:r>
      <w:r w:rsidR="00312AAA">
        <w:rPr>
          <w:rFonts w:cs="Arial"/>
          <w:szCs w:val="24"/>
        </w:rPr>
        <w:t>P</w:t>
      </w:r>
      <w:r>
        <w:rPr>
          <w:rFonts w:cs="Arial"/>
          <w:szCs w:val="24"/>
        </w:rPr>
        <w:t xml:space="preserve">ost-positivism’ and </w:t>
      </w:r>
      <w:r w:rsidR="001F6718">
        <w:rPr>
          <w:rFonts w:cs="Arial"/>
          <w:szCs w:val="24"/>
        </w:rPr>
        <w:t>‘</w:t>
      </w:r>
      <w:r>
        <w:rPr>
          <w:rFonts w:cs="Arial"/>
          <w:szCs w:val="24"/>
        </w:rPr>
        <w:t>constructivism</w:t>
      </w:r>
      <w:r w:rsidR="001F6718">
        <w:rPr>
          <w:rFonts w:cs="Arial"/>
          <w:szCs w:val="24"/>
        </w:rPr>
        <w:t>’</w:t>
      </w:r>
      <w:r>
        <w:rPr>
          <w:rFonts w:cs="Arial"/>
          <w:szCs w:val="24"/>
        </w:rPr>
        <w:t xml:space="preserve"> are the dominant frameworks </w:t>
      </w:r>
      <w:r w:rsidR="00337A7E">
        <w:rPr>
          <w:rFonts w:cs="Arial"/>
          <w:szCs w:val="24"/>
        </w:rPr>
        <w:t>used</w:t>
      </w:r>
      <w:r>
        <w:rPr>
          <w:rFonts w:cs="Arial"/>
          <w:szCs w:val="24"/>
        </w:rPr>
        <w:t xml:space="preserve"> in qualitative theoretical methodology</w:t>
      </w:r>
      <w:r w:rsidR="00312AAA">
        <w:rPr>
          <w:rFonts w:cs="Arial"/>
          <w:szCs w:val="24"/>
        </w:rPr>
        <w:t xml:space="preserve"> in medical education research</w:t>
      </w:r>
      <w:r>
        <w:rPr>
          <w:rFonts w:cs="Arial"/>
          <w:szCs w:val="24"/>
        </w:rPr>
        <w:t>. Post-positivism is said to align with the objective beliefs of positivism, where employment of appropriate research techniques will uncover reality</w:t>
      </w:r>
      <w:r w:rsidR="0075510F">
        <w:rPr>
          <w:rFonts w:cs="Arial"/>
          <w:szCs w:val="24"/>
        </w:rPr>
        <w:t>. However in addition to this objectivity, post-positivism also embraces and acknowledges the complexity that influences reality, such as human behaviour, individuality, culture and environmental influences. Constructivis</w:t>
      </w:r>
      <w:r w:rsidR="00570924">
        <w:rPr>
          <w:rFonts w:cs="Arial"/>
          <w:szCs w:val="24"/>
        </w:rPr>
        <w:t>ts argue</w:t>
      </w:r>
      <w:r w:rsidR="0075510F">
        <w:rPr>
          <w:rFonts w:cs="Arial"/>
          <w:szCs w:val="24"/>
        </w:rPr>
        <w:t xml:space="preserve"> that reality </w:t>
      </w:r>
      <w:r w:rsidR="00EB5F6B">
        <w:rPr>
          <w:rFonts w:cs="Arial"/>
          <w:szCs w:val="24"/>
        </w:rPr>
        <w:t>is derived from the interaction between the ‘researcher and the researched’</w:t>
      </w:r>
      <w:r w:rsidR="00717D19">
        <w:rPr>
          <w:rFonts w:cs="Arial"/>
          <w:szCs w:val="24"/>
        </w:rPr>
        <w:t>. They</w:t>
      </w:r>
      <w:r w:rsidR="00EB5F6B">
        <w:rPr>
          <w:rFonts w:cs="Arial"/>
          <w:szCs w:val="24"/>
        </w:rPr>
        <w:t xml:space="preserve"> acknowledge the researcher</w:t>
      </w:r>
      <w:r w:rsidR="004F090C">
        <w:rPr>
          <w:rFonts w:cs="Arial"/>
          <w:szCs w:val="24"/>
        </w:rPr>
        <w:t>’</w:t>
      </w:r>
      <w:r w:rsidR="00EB5F6B">
        <w:rPr>
          <w:rFonts w:cs="Arial"/>
          <w:szCs w:val="24"/>
        </w:rPr>
        <w:t>s interpretation of phenomena as subjective</w:t>
      </w:r>
      <w:r w:rsidR="00717D19">
        <w:rPr>
          <w:rFonts w:cs="Arial"/>
          <w:szCs w:val="24"/>
        </w:rPr>
        <w:t>,</w:t>
      </w:r>
      <w:r w:rsidR="00EB5F6B">
        <w:rPr>
          <w:rFonts w:cs="Arial"/>
          <w:szCs w:val="24"/>
        </w:rPr>
        <w:t xml:space="preserve"> and due to their unique interaction during the research </w:t>
      </w:r>
      <w:r>
        <w:rPr>
          <w:rFonts w:cs="Arial"/>
          <w:szCs w:val="24"/>
        </w:rPr>
        <w:fldChar w:fldCharType="begin"/>
      </w:r>
      <w:r w:rsidR="006102D5">
        <w:rPr>
          <w:rFonts w:cs="Arial"/>
          <w:szCs w:val="24"/>
        </w:rPr>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rPr>
          <w:rFonts w:cs="Arial"/>
          <w:szCs w:val="24"/>
        </w:rPr>
        <w:fldChar w:fldCharType="separate"/>
      </w:r>
      <w:r w:rsidR="006102D5">
        <w:rPr>
          <w:rFonts w:cs="Arial"/>
          <w:noProof/>
          <w:szCs w:val="24"/>
        </w:rPr>
        <w:t>(Swanick, 2010</w:t>
      </w:r>
      <w:r w:rsidR="00D15D99">
        <w:rPr>
          <w:rFonts w:cs="Arial"/>
          <w:noProof/>
          <w:szCs w:val="24"/>
        </w:rPr>
        <w:t>;</w:t>
      </w:r>
      <w:r>
        <w:rPr>
          <w:rFonts w:cs="Arial"/>
          <w:szCs w:val="24"/>
        </w:rPr>
        <w:fldChar w:fldCharType="end"/>
      </w:r>
      <w:r w:rsidR="001C4BB0">
        <w:rPr>
          <w:rFonts w:cs="Arial"/>
          <w:szCs w:val="24"/>
        </w:rPr>
        <w:t xml:space="preserve"> p324</w:t>
      </w:r>
      <w:r w:rsidR="001F6718">
        <w:rPr>
          <w:rFonts w:cs="Arial"/>
          <w:szCs w:val="24"/>
        </w:rPr>
        <w:t>)</w:t>
      </w:r>
      <w:r>
        <w:rPr>
          <w:rFonts w:cs="Arial"/>
          <w:szCs w:val="24"/>
        </w:rPr>
        <w:t>.</w:t>
      </w:r>
    </w:p>
    <w:p w14:paraId="6CD97ED3" w14:textId="24F86464" w:rsidR="00D64832" w:rsidRDefault="00C06D1A" w:rsidP="00C06D1A">
      <w:pPr>
        <w:rPr>
          <w:rFonts w:cs="Arial"/>
          <w:szCs w:val="24"/>
        </w:rPr>
      </w:pPr>
      <w:r>
        <w:rPr>
          <w:rFonts w:cs="Arial"/>
          <w:szCs w:val="24"/>
        </w:rPr>
        <w:t xml:space="preserve">Denzin (2013) stated that qualitative research is a ‘situated activity that locates the observer in the world’. </w:t>
      </w:r>
      <w:r w:rsidR="00A40716">
        <w:rPr>
          <w:rFonts w:cs="Arial"/>
          <w:szCs w:val="24"/>
        </w:rPr>
        <w:t xml:space="preserve">It can be employed where the study of behaviour in social science </w:t>
      </w:r>
      <w:r w:rsidR="001F6718">
        <w:rPr>
          <w:rFonts w:cs="Arial"/>
          <w:szCs w:val="24"/>
        </w:rPr>
        <w:t>is required</w:t>
      </w:r>
      <w:r w:rsidR="00A40716">
        <w:rPr>
          <w:rFonts w:cs="Arial"/>
          <w:szCs w:val="24"/>
        </w:rPr>
        <w:t>, which does not fit with quantifiable methods such as survey or statistics</w:t>
      </w:r>
      <w:r w:rsidR="00532B6A">
        <w:rPr>
          <w:rFonts w:cs="Arial"/>
          <w:szCs w:val="24"/>
        </w:rPr>
        <w:t xml:space="preserve"> </w:t>
      </w:r>
      <w:r w:rsidR="00532B6A">
        <w:rPr>
          <w:rFonts w:cs="Arial"/>
          <w:szCs w:val="24"/>
        </w:rPr>
        <w:fldChar w:fldCharType="begin"/>
      </w:r>
      <w:r w:rsidR="00532B6A">
        <w:rPr>
          <w:rFonts w:cs="Arial"/>
          <w:szCs w:val="24"/>
        </w:rPr>
        <w:instrText xml:space="preserve"> ADDIN EN.CITE &lt;EndNote&gt;&lt;Cite&gt;&lt;Author&gt;Silverman&lt;/Author&gt;&lt;Year&gt;2000&lt;/Year&gt;&lt;IDText&gt;Doing Qualitative Research; A Practical Handbook&lt;/IDText&gt;&lt;DisplayText&gt;(Silverman, 2000)&lt;/DisplayText&gt;&lt;record&gt;&lt;titles&gt;&lt;title&gt;Doing Qualitative Research; A Practical Handbook&lt;/title&gt;&lt;/titles&gt;&lt;contributors&gt;&lt;authors&gt;&lt;author&gt;Silverman, David&lt;/author&gt;&lt;/authors&gt;&lt;/contributors&gt;&lt;added-date format="utc"&gt;1466501105&lt;/added-date&gt;&lt;pub-location&gt;London, Thousand Oaks, New Delhi&lt;/pub-location&gt;&lt;ref-type name="Book"&gt;6&lt;/ref-type&gt;&lt;dates&gt;&lt;year&gt;2000&lt;/year&gt;&lt;/dates&gt;&lt;rec-number&gt;260&lt;/rec-number&gt;&lt;publisher&gt;Sage publications Ltd&lt;/publisher&gt;&lt;last-updated-date format="utc"&gt;1466501226&lt;/last-updated-date&gt;&lt;/record&gt;&lt;/Cite&gt;&lt;/EndNote&gt;</w:instrText>
      </w:r>
      <w:r w:rsidR="00532B6A">
        <w:rPr>
          <w:rFonts w:cs="Arial"/>
          <w:szCs w:val="24"/>
        </w:rPr>
        <w:fldChar w:fldCharType="separate"/>
      </w:r>
      <w:r w:rsidR="00532B6A">
        <w:rPr>
          <w:rFonts w:cs="Arial"/>
          <w:noProof/>
          <w:szCs w:val="24"/>
        </w:rPr>
        <w:t>(Silverman, 2000)</w:t>
      </w:r>
      <w:r w:rsidR="00532B6A">
        <w:rPr>
          <w:rFonts w:cs="Arial"/>
          <w:szCs w:val="24"/>
        </w:rPr>
        <w:fldChar w:fldCharType="end"/>
      </w:r>
      <w:r w:rsidR="00532B6A">
        <w:rPr>
          <w:rFonts w:cs="Arial"/>
          <w:szCs w:val="24"/>
        </w:rPr>
        <w:t xml:space="preserve">. </w:t>
      </w:r>
      <w:r w:rsidR="00532B6A">
        <w:rPr>
          <w:rFonts w:cs="Arial"/>
          <w:szCs w:val="24"/>
        </w:rPr>
        <w:fldChar w:fldCharType="begin"/>
      </w:r>
      <w:r w:rsidR="006102D5">
        <w:rPr>
          <w:rFonts w:cs="Arial"/>
          <w:szCs w:val="24"/>
        </w:rPr>
        <w:instrText xml:space="preserve"> ADDIN EN.CITE &lt;EndNote&gt;&lt;Cite&gt;&lt;Author&gt;Hammersley&lt;/Author&gt;&lt;Year&gt;1992&lt;/Year&gt;&lt;IDText&gt;What&amp;apos;s wrong with Ethnography? Methodological Explorations&lt;/IDText&gt;&lt;DisplayText&gt;(Hammersley, 1992)&lt;/DisplayText&gt;&lt;record&gt;&lt;titles&gt;&lt;title&gt;What&amp;apos;s wrong with Ethnography? Methodological Explorations&lt;/title&gt;&lt;/titles&gt;&lt;contributors&gt;&lt;authors&gt;&lt;author&gt;Hammersley, M.&lt;/author&gt;&lt;/authors&gt;&lt;/contributors&gt;&lt;added-date format="utc"&gt;1481536705&lt;/added-date&gt;&lt;pub-location&gt;London&lt;/pub-location&gt;&lt;ref-type name="Book"&gt;6&lt;/ref-type&gt;&lt;dates&gt;&lt;year&gt;1992&lt;/year&gt;&lt;/dates&gt;&lt;rec-number&gt;320&lt;/rec-number&gt;&lt;publisher&gt;Routledge&lt;/publisher&gt;&lt;last-updated-date format="utc"&gt;1481536799&lt;/last-updated-date&gt;&lt;/record&gt;&lt;/Cite&gt;&lt;/EndNote&gt;</w:instrText>
      </w:r>
      <w:r w:rsidR="00532B6A">
        <w:rPr>
          <w:rFonts w:cs="Arial"/>
          <w:szCs w:val="24"/>
        </w:rPr>
        <w:fldChar w:fldCharType="separate"/>
      </w:r>
      <w:r w:rsidR="00D15D99">
        <w:rPr>
          <w:rFonts w:cs="Arial"/>
          <w:noProof/>
          <w:szCs w:val="24"/>
        </w:rPr>
        <w:t>Hammersley</w:t>
      </w:r>
      <w:r w:rsidR="006102D5">
        <w:rPr>
          <w:rFonts w:cs="Arial"/>
          <w:noProof/>
          <w:szCs w:val="24"/>
        </w:rPr>
        <w:t xml:space="preserve"> </w:t>
      </w:r>
      <w:r w:rsidR="00D15D99">
        <w:rPr>
          <w:rFonts w:cs="Arial"/>
          <w:noProof/>
          <w:szCs w:val="24"/>
        </w:rPr>
        <w:t>(</w:t>
      </w:r>
      <w:r w:rsidR="006102D5">
        <w:rPr>
          <w:rFonts w:cs="Arial"/>
          <w:noProof/>
          <w:szCs w:val="24"/>
        </w:rPr>
        <w:t>1992)</w:t>
      </w:r>
      <w:r w:rsidR="00532B6A">
        <w:rPr>
          <w:rFonts w:cs="Arial"/>
          <w:szCs w:val="24"/>
        </w:rPr>
        <w:fldChar w:fldCharType="end"/>
      </w:r>
      <w:r w:rsidR="00532B6A">
        <w:rPr>
          <w:rFonts w:cs="Arial"/>
          <w:szCs w:val="24"/>
        </w:rPr>
        <w:t xml:space="preserve"> described five main preferences for qualitative research to include analysis of words and images</w:t>
      </w:r>
      <w:r w:rsidR="00693688">
        <w:rPr>
          <w:rFonts w:cs="Arial"/>
          <w:szCs w:val="24"/>
        </w:rPr>
        <w:t>, for</w:t>
      </w:r>
      <w:r w:rsidR="00532B6A">
        <w:rPr>
          <w:rFonts w:cs="Arial"/>
          <w:szCs w:val="24"/>
        </w:rPr>
        <w:t xml:space="preserve"> ‘naturally </w:t>
      </w:r>
      <w:r w:rsidR="00693688">
        <w:rPr>
          <w:rFonts w:cs="Arial"/>
          <w:szCs w:val="24"/>
        </w:rPr>
        <w:t>occurring data</w:t>
      </w:r>
      <w:r w:rsidR="00532B6A">
        <w:rPr>
          <w:rFonts w:cs="Arial"/>
          <w:szCs w:val="24"/>
        </w:rPr>
        <w:t>, for observations and meanings and for ‘inductive hypothesis generating research’</w:t>
      </w:r>
      <w:r w:rsidR="001F6718">
        <w:rPr>
          <w:rFonts w:cs="Arial"/>
          <w:szCs w:val="24"/>
        </w:rPr>
        <w:t>,</w:t>
      </w:r>
      <w:r w:rsidR="00532B6A">
        <w:rPr>
          <w:rFonts w:cs="Arial"/>
          <w:szCs w:val="24"/>
        </w:rPr>
        <w:t xml:space="preserve"> which ‘rejects natural science as a model’</w:t>
      </w:r>
      <w:r w:rsidR="001F6718">
        <w:rPr>
          <w:rFonts w:cs="Arial"/>
          <w:szCs w:val="24"/>
        </w:rPr>
        <w:t xml:space="preserve"> (p</w:t>
      </w:r>
      <w:r w:rsidR="00532B6A">
        <w:rPr>
          <w:rFonts w:cs="Arial"/>
          <w:szCs w:val="24"/>
        </w:rPr>
        <w:t xml:space="preserve">160-72). </w:t>
      </w:r>
    </w:p>
    <w:p w14:paraId="38578531" w14:textId="0B4BBE38" w:rsidR="002432EA" w:rsidRDefault="00D64832" w:rsidP="00C06D1A">
      <w:pPr>
        <w:rPr>
          <w:rFonts w:cs="Arial"/>
          <w:szCs w:val="24"/>
        </w:rPr>
      </w:pPr>
      <w:r>
        <w:rPr>
          <w:rFonts w:cs="Arial"/>
          <w:szCs w:val="24"/>
        </w:rPr>
        <w:t>Interpretative researchers are said to study individual human behaviour, allow emergent theory to arise</w:t>
      </w:r>
      <w:r w:rsidR="002432EA">
        <w:rPr>
          <w:rFonts w:cs="Arial"/>
          <w:szCs w:val="24"/>
        </w:rPr>
        <w:t>,</w:t>
      </w:r>
      <w:r>
        <w:rPr>
          <w:rFonts w:cs="Arial"/>
          <w:szCs w:val="24"/>
        </w:rPr>
        <w:t xml:space="preserve"> which is ‘grounded in the original data</w:t>
      </w:r>
      <w:r w:rsidR="002432EA">
        <w:rPr>
          <w:rFonts w:cs="Arial"/>
          <w:szCs w:val="24"/>
        </w:rPr>
        <w:t>’</w:t>
      </w:r>
      <w:r>
        <w:rPr>
          <w:rFonts w:cs="Arial"/>
          <w:szCs w:val="24"/>
        </w:rPr>
        <w:t xml:space="preserve">, in order to </w:t>
      </w:r>
      <w:r w:rsidR="002432EA">
        <w:rPr>
          <w:rFonts w:cs="Arial"/>
          <w:szCs w:val="24"/>
        </w:rPr>
        <w:lastRenderedPageBreak/>
        <w:t>explore and understand individual interpretation of the surrounding world’</w:t>
      </w:r>
      <w:r w:rsidR="00934444">
        <w:rPr>
          <w:rFonts w:cs="Arial"/>
          <w:szCs w:val="24"/>
        </w:rPr>
        <w:t xml:space="preserve"> </w:t>
      </w:r>
      <w:r w:rsidR="002432EA">
        <w:rPr>
          <w:rFonts w:cs="Arial"/>
          <w:szCs w:val="24"/>
        </w:rPr>
        <w:fldChar w:fldCharType="begin"/>
      </w:r>
      <w:r w:rsidR="002432EA">
        <w:rPr>
          <w:rFonts w:cs="Arial"/>
          <w:szCs w:val="24"/>
        </w:rPr>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2432EA">
        <w:rPr>
          <w:rFonts w:cs="Arial"/>
          <w:szCs w:val="24"/>
        </w:rPr>
        <w:fldChar w:fldCharType="separate"/>
      </w:r>
      <w:r w:rsidR="002432EA">
        <w:rPr>
          <w:rFonts w:cs="Arial"/>
          <w:noProof/>
          <w:szCs w:val="24"/>
        </w:rPr>
        <w:t>(Cohen et al., 2000)</w:t>
      </w:r>
      <w:r w:rsidR="002432EA">
        <w:rPr>
          <w:rFonts w:cs="Arial"/>
          <w:szCs w:val="24"/>
        </w:rPr>
        <w:fldChar w:fldCharType="end"/>
      </w:r>
      <w:r w:rsidR="002432EA">
        <w:rPr>
          <w:rFonts w:cs="Arial"/>
          <w:szCs w:val="24"/>
        </w:rPr>
        <w:t xml:space="preserve">. </w:t>
      </w:r>
    </w:p>
    <w:p w14:paraId="73CD0F6E" w14:textId="1598C14E" w:rsidR="00934444" w:rsidRDefault="00934444" w:rsidP="00C06D1A">
      <w:pPr>
        <w:rPr>
          <w:rFonts w:cs="Arial"/>
          <w:szCs w:val="24"/>
        </w:rPr>
      </w:pPr>
      <w:r>
        <w:rPr>
          <w:rFonts w:cs="Arial"/>
          <w:szCs w:val="24"/>
        </w:rPr>
        <w:t>Qualitative methodology in educational research aims to reach a deeper understanding of not just whether an educational intervention works, but why</w:t>
      </w:r>
      <w:r w:rsidR="00717D19">
        <w:rPr>
          <w:rFonts w:cs="Arial"/>
          <w:szCs w:val="24"/>
        </w:rPr>
        <w:t>,</w:t>
      </w:r>
      <w:r>
        <w:rPr>
          <w:rFonts w:cs="Arial"/>
          <w:szCs w:val="24"/>
        </w:rPr>
        <w:t xml:space="preserve"> </w:t>
      </w:r>
      <w:r w:rsidR="00717D19">
        <w:rPr>
          <w:rFonts w:cs="Arial"/>
          <w:szCs w:val="24"/>
        </w:rPr>
        <w:t xml:space="preserve">for whom </w:t>
      </w:r>
      <w:r>
        <w:rPr>
          <w:rFonts w:cs="Arial"/>
          <w:szCs w:val="24"/>
        </w:rPr>
        <w:t xml:space="preserve">and </w:t>
      </w:r>
      <w:r w:rsidR="00717D19">
        <w:rPr>
          <w:rFonts w:cs="Arial"/>
          <w:szCs w:val="24"/>
        </w:rPr>
        <w:t xml:space="preserve">in which </w:t>
      </w:r>
      <w:r>
        <w:rPr>
          <w:rFonts w:cs="Arial"/>
          <w:szCs w:val="24"/>
        </w:rPr>
        <w:t>context. In answering these items</w:t>
      </w:r>
      <w:r w:rsidR="001F6718">
        <w:rPr>
          <w:rFonts w:cs="Arial"/>
          <w:szCs w:val="24"/>
        </w:rPr>
        <w:t>,</w:t>
      </w:r>
      <w:r>
        <w:rPr>
          <w:rFonts w:cs="Arial"/>
          <w:szCs w:val="24"/>
        </w:rPr>
        <w:t xml:space="preserve"> theoretical constructs can be drawn upon and any new theory in light of pre-existing ones exposed and shared to transfer understanding to the wider educational community. This information and new theory has the potential to inform curricular changes</w:t>
      </w:r>
      <w:r w:rsidR="00717D19">
        <w:rPr>
          <w:rFonts w:cs="Arial"/>
          <w:szCs w:val="24"/>
        </w:rPr>
        <w:t xml:space="preserve"> and</w:t>
      </w:r>
      <w:r>
        <w:rPr>
          <w:rFonts w:cs="Arial"/>
          <w:szCs w:val="24"/>
        </w:rPr>
        <w:t xml:space="preserve"> best practice guidance</w:t>
      </w:r>
      <w:r w:rsidR="00766753">
        <w:rPr>
          <w:rFonts w:cs="Arial"/>
          <w:szCs w:val="24"/>
        </w:rPr>
        <w:t>,</w:t>
      </w:r>
      <w:r w:rsidR="00717D19">
        <w:rPr>
          <w:rFonts w:cs="Arial"/>
          <w:szCs w:val="24"/>
        </w:rPr>
        <w:t xml:space="preserve"> </w:t>
      </w:r>
      <w:r>
        <w:rPr>
          <w:rFonts w:cs="Arial"/>
          <w:szCs w:val="24"/>
        </w:rPr>
        <w:t>important for educational practice. That said, it is important to not</w:t>
      </w:r>
      <w:r w:rsidR="00766753">
        <w:rPr>
          <w:rFonts w:cs="Arial"/>
          <w:szCs w:val="24"/>
        </w:rPr>
        <w:t>e</w:t>
      </w:r>
      <w:r>
        <w:rPr>
          <w:rFonts w:cs="Arial"/>
          <w:szCs w:val="24"/>
        </w:rPr>
        <w:t xml:space="preserve"> that qualitative research is reported to ‘value situated understanding and theory building’ over and above </w:t>
      </w:r>
      <w:r w:rsidR="001F6718">
        <w:rPr>
          <w:rFonts w:cs="Arial"/>
          <w:szCs w:val="24"/>
        </w:rPr>
        <w:t>generalisability</w:t>
      </w:r>
      <w:r>
        <w:rPr>
          <w:rFonts w:cs="Arial"/>
          <w:szCs w:val="24"/>
        </w:rPr>
        <w:t xml:space="preserve"> unlike some aspects of quantitative methodology</w:t>
      </w:r>
      <w:r w:rsidR="003D3B6F">
        <w:rPr>
          <w:rFonts w:cs="Arial"/>
          <w:szCs w:val="24"/>
        </w:rPr>
        <w:t xml:space="preserve"> </w:t>
      </w:r>
      <w:r w:rsidR="003D3B6F">
        <w:rPr>
          <w:rFonts w:cs="Arial"/>
          <w:szCs w:val="24"/>
        </w:rPr>
        <w:fldChar w:fldCharType="begin"/>
      </w:r>
      <w:r w:rsidR="006102D5">
        <w:rPr>
          <w:rFonts w:cs="Arial"/>
          <w:szCs w:val="24"/>
        </w:rPr>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rsidR="003D3B6F">
        <w:rPr>
          <w:rFonts w:cs="Arial"/>
          <w:szCs w:val="24"/>
        </w:rPr>
        <w:fldChar w:fldCharType="separate"/>
      </w:r>
      <w:r w:rsidR="006102D5">
        <w:rPr>
          <w:rFonts w:cs="Arial"/>
          <w:noProof/>
          <w:szCs w:val="24"/>
        </w:rPr>
        <w:t>(Swanick, 2010</w:t>
      </w:r>
      <w:r w:rsidR="00D15D99">
        <w:rPr>
          <w:rFonts w:cs="Arial"/>
          <w:noProof/>
          <w:szCs w:val="24"/>
        </w:rPr>
        <w:t>;</w:t>
      </w:r>
      <w:r w:rsidR="003D3B6F">
        <w:rPr>
          <w:rFonts w:cs="Arial"/>
          <w:szCs w:val="24"/>
        </w:rPr>
        <w:fldChar w:fldCharType="end"/>
      </w:r>
      <w:r w:rsidR="00E41FF6">
        <w:rPr>
          <w:rFonts w:cs="Arial"/>
          <w:szCs w:val="24"/>
        </w:rPr>
        <w:t xml:space="preserve"> p323</w:t>
      </w:r>
      <w:r w:rsidR="005E1111">
        <w:rPr>
          <w:rFonts w:cs="Arial"/>
          <w:szCs w:val="24"/>
        </w:rPr>
        <w:t>)</w:t>
      </w:r>
      <w:r>
        <w:rPr>
          <w:rFonts w:cs="Arial"/>
          <w:szCs w:val="24"/>
        </w:rPr>
        <w:t xml:space="preserve">. </w:t>
      </w:r>
    </w:p>
    <w:p w14:paraId="3A5EDF1E" w14:textId="0BCB4E3A" w:rsidR="00434DD2" w:rsidRDefault="003D3B6F" w:rsidP="00C06D1A">
      <w:pPr>
        <w:rPr>
          <w:rFonts w:cs="Arial"/>
          <w:szCs w:val="24"/>
        </w:rPr>
      </w:pPr>
      <w:r>
        <w:rPr>
          <w:rFonts w:cs="Arial"/>
          <w:szCs w:val="24"/>
        </w:rPr>
        <w:t>Denzin and Lincoln describe qualitative paradigms as a ‘basic set of beliefs that guide action that help researcher</w:t>
      </w:r>
      <w:r w:rsidR="008708CB">
        <w:rPr>
          <w:rFonts w:cs="Arial"/>
          <w:szCs w:val="24"/>
        </w:rPr>
        <w:t>s</w:t>
      </w:r>
      <w:r>
        <w:rPr>
          <w:rFonts w:cs="Arial"/>
          <w:szCs w:val="24"/>
        </w:rPr>
        <w:t xml:space="preserve"> attribute meaning to research findings</w:t>
      </w:r>
      <w:r w:rsidR="00766753">
        <w:rPr>
          <w:rFonts w:cs="Arial"/>
          <w:szCs w:val="24"/>
        </w:rPr>
        <w:t>’</w:t>
      </w:r>
      <w:r>
        <w:rPr>
          <w:rFonts w:cs="Arial"/>
          <w:szCs w:val="24"/>
        </w:rPr>
        <w:t xml:space="preserve">. </w:t>
      </w:r>
      <w:r w:rsidR="00D23E19">
        <w:rPr>
          <w:rFonts w:cs="Arial"/>
          <w:szCs w:val="24"/>
        </w:rPr>
        <w:t>They describe three elements</w:t>
      </w:r>
      <w:r w:rsidR="00766753">
        <w:rPr>
          <w:rFonts w:cs="Arial"/>
          <w:szCs w:val="24"/>
        </w:rPr>
        <w:t xml:space="preserve">; </w:t>
      </w:r>
      <w:r w:rsidR="00D23E19">
        <w:rPr>
          <w:rFonts w:cs="Arial"/>
          <w:szCs w:val="24"/>
        </w:rPr>
        <w:t>epistemology or ‘world view’, ontology meaning ‘beliefs about reality</w:t>
      </w:r>
      <w:r w:rsidR="00E41FF6">
        <w:rPr>
          <w:rFonts w:cs="Arial"/>
          <w:szCs w:val="24"/>
        </w:rPr>
        <w:t>’</w:t>
      </w:r>
      <w:r w:rsidR="005E1111">
        <w:rPr>
          <w:rFonts w:cs="Arial"/>
          <w:szCs w:val="24"/>
        </w:rPr>
        <w:t>,</w:t>
      </w:r>
      <w:r w:rsidR="00D23E19">
        <w:rPr>
          <w:rFonts w:cs="Arial"/>
          <w:szCs w:val="24"/>
        </w:rPr>
        <w:t xml:space="preserve"> and finally methodology meaning ‘tools for data collection and analysis’ </w:t>
      </w:r>
      <w:r w:rsidR="00D23E19">
        <w:rPr>
          <w:rFonts w:cs="Arial"/>
          <w:szCs w:val="24"/>
        </w:rPr>
        <w:fldChar w:fldCharType="begin"/>
      </w:r>
      <w:r w:rsidR="006102D5">
        <w:rPr>
          <w:rFonts w:cs="Arial"/>
          <w:szCs w:val="24"/>
        </w:rPr>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rsidR="00D23E19">
        <w:rPr>
          <w:rFonts w:cs="Arial"/>
          <w:szCs w:val="24"/>
        </w:rPr>
        <w:fldChar w:fldCharType="separate"/>
      </w:r>
      <w:r w:rsidR="006102D5">
        <w:rPr>
          <w:rFonts w:cs="Arial"/>
          <w:noProof/>
          <w:szCs w:val="24"/>
        </w:rPr>
        <w:t>(Swanick, 2010</w:t>
      </w:r>
      <w:r w:rsidR="003C4B2E">
        <w:rPr>
          <w:rFonts w:cs="Arial"/>
          <w:noProof/>
          <w:szCs w:val="24"/>
        </w:rPr>
        <w:t xml:space="preserve">; </w:t>
      </w:r>
      <w:r w:rsidR="00D23E19">
        <w:rPr>
          <w:rFonts w:cs="Arial"/>
          <w:szCs w:val="24"/>
        </w:rPr>
        <w:fldChar w:fldCharType="end"/>
      </w:r>
      <w:r w:rsidR="00D23E19">
        <w:rPr>
          <w:rFonts w:cs="Arial"/>
          <w:szCs w:val="24"/>
        </w:rPr>
        <w:t>p324).</w:t>
      </w:r>
      <w:r w:rsidR="009A2D4C">
        <w:rPr>
          <w:rFonts w:cs="Arial"/>
          <w:szCs w:val="24"/>
        </w:rPr>
        <w:t xml:space="preserve"> </w:t>
      </w:r>
    </w:p>
    <w:p w14:paraId="6F55FB29" w14:textId="5EE2A963" w:rsidR="003D3B6F" w:rsidRDefault="0055118D" w:rsidP="00C06D1A">
      <w:pPr>
        <w:rPr>
          <w:rFonts w:cs="Arial"/>
          <w:szCs w:val="24"/>
        </w:rPr>
      </w:pPr>
      <w:r>
        <w:rPr>
          <w:rFonts w:cs="Arial"/>
          <w:szCs w:val="24"/>
        </w:rPr>
        <w:t>Tai et al</w:t>
      </w:r>
      <w:r w:rsidR="00434DD2">
        <w:rPr>
          <w:rFonts w:cs="Arial"/>
          <w:szCs w:val="24"/>
        </w:rPr>
        <w:t xml:space="preserve">. (2016) </w:t>
      </w:r>
      <w:r>
        <w:rPr>
          <w:rFonts w:cs="Arial"/>
          <w:szCs w:val="24"/>
        </w:rPr>
        <w:t>describe epistemologies as ‘theories of how we come to know and understand things or ideas’</w:t>
      </w:r>
      <w:r w:rsidR="005E1111">
        <w:rPr>
          <w:rFonts w:cs="Arial"/>
          <w:szCs w:val="24"/>
        </w:rPr>
        <w:t>,</w:t>
      </w:r>
      <w:r>
        <w:rPr>
          <w:rFonts w:cs="Arial"/>
          <w:szCs w:val="24"/>
        </w:rPr>
        <w:t xml:space="preserve"> and </w:t>
      </w:r>
      <w:r w:rsidR="00137253">
        <w:rPr>
          <w:rFonts w:cs="Arial"/>
          <w:szCs w:val="24"/>
        </w:rPr>
        <w:t>describe</w:t>
      </w:r>
      <w:r>
        <w:rPr>
          <w:rFonts w:cs="Arial"/>
          <w:szCs w:val="24"/>
        </w:rPr>
        <w:t xml:space="preserve"> positivists </w:t>
      </w:r>
      <w:r w:rsidR="005E1111">
        <w:rPr>
          <w:rFonts w:cs="Arial"/>
          <w:szCs w:val="24"/>
        </w:rPr>
        <w:t>who</w:t>
      </w:r>
      <w:r>
        <w:rPr>
          <w:rFonts w:cs="Arial"/>
          <w:szCs w:val="24"/>
        </w:rPr>
        <w:t xml:space="preserve"> rely on scientific data as having only one explanation or ‘truth’. Theorists now believe that the gaining of knowledge is more complex and is developed from participation, particularly with others rather than just from experience. </w:t>
      </w:r>
      <w:r w:rsidR="003A7D42">
        <w:rPr>
          <w:rFonts w:cs="Arial"/>
          <w:szCs w:val="24"/>
        </w:rPr>
        <w:t xml:space="preserve">This has been brought into the design of the intervention, and the concept of social constructivism or </w:t>
      </w:r>
      <w:r w:rsidR="003A7D42">
        <w:rPr>
          <w:rFonts w:cs="Arial"/>
          <w:szCs w:val="24"/>
        </w:rPr>
        <w:lastRenderedPageBreak/>
        <w:t>participating and learning with others, is</w:t>
      </w:r>
      <w:r w:rsidR="002F1FA0">
        <w:rPr>
          <w:rFonts w:cs="Arial"/>
          <w:szCs w:val="24"/>
        </w:rPr>
        <w:t xml:space="preserve"> explored</w:t>
      </w:r>
      <w:r w:rsidR="008708CB">
        <w:rPr>
          <w:rFonts w:cs="Arial"/>
          <w:szCs w:val="24"/>
        </w:rPr>
        <w:t>. T</w:t>
      </w:r>
      <w:r w:rsidR="00717D19">
        <w:rPr>
          <w:rFonts w:cs="Arial"/>
          <w:szCs w:val="24"/>
        </w:rPr>
        <w:t xml:space="preserve">his </w:t>
      </w:r>
      <w:r w:rsidR="008708CB">
        <w:rPr>
          <w:rFonts w:cs="Arial"/>
          <w:szCs w:val="24"/>
        </w:rPr>
        <w:t xml:space="preserve">provides </w:t>
      </w:r>
      <w:r w:rsidR="002F1FA0">
        <w:rPr>
          <w:rFonts w:cs="Arial"/>
          <w:szCs w:val="24"/>
        </w:rPr>
        <w:t>a variety of perspectives</w:t>
      </w:r>
      <w:r w:rsidR="00434DD2">
        <w:rPr>
          <w:rFonts w:cs="Arial"/>
          <w:szCs w:val="24"/>
        </w:rPr>
        <w:t>,</w:t>
      </w:r>
      <w:r w:rsidR="002F1FA0">
        <w:rPr>
          <w:rFonts w:cs="Arial"/>
          <w:szCs w:val="24"/>
        </w:rPr>
        <w:t xml:space="preserve"> </w:t>
      </w:r>
      <w:r w:rsidR="008708CB">
        <w:rPr>
          <w:rFonts w:cs="Arial"/>
          <w:szCs w:val="24"/>
        </w:rPr>
        <w:t>which</w:t>
      </w:r>
      <w:r w:rsidR="002F1FA0">
        <w:rPr>
          <w:rFonts w:cs="Arial"/>
          <w:szCs w:val="24"/>
        </w:rPr>
        <w:t xml:space="preserve"> contribute to rich data and a deeper understanding about how medical undergraduates learn together within the context of </w:t>
      </w:r>
      <w:r w:rsidR="005E1111">
        <w:rPr>
          <w:rFonts w:cs="Arial"/>
          <w:szCs w:val="24"/>
        </w:rPr>
        <w:t xml:space="preserve">SBME </w:t>
      </w:r>
      <w:r w:rsidR="002F1FA0">
        <w:rPr>
          <w:rFonts w:cs="Arial"/>
          <w:szCs w:val="24"/>
        </w:rPr>
        <w:fldChar w:fldCharType="begin"/>
      </w:r>
      <w:r w:rsidR="002F1FA0">
        <w:rPr>
          <w:rFonts w:cs="Arial"/>
          <w:szCs w:val="24"/>
        </w:rPr>
        <w:instrText xml:space="preserve"> ADDIN EN.CITE &lt;EndNote&gt;&lt;Cite&gt;&lt;Author&gt;Tai&lt;/Author&gt;&lt;Year&gt;2016&lt;/Year&gt;&lt;IDText&gt;Undertaking and reporting qualitative research&lt;/IDText&gt;&lt;DisplayText&gt;(Tai and Ajjawi, 2016)&lt;/DisplayText&gt;&lt;record&gt;&lt;dates&gt;&lt;pub-dates&gt;&lt;date&gt;Jun&lt;/date&gt;&lt;/pub-dates&gt;&lt;year&gt;2016&lt;/year&gt;&lt;/dates&gt;&lt;urls&gt;&lt;related-urls&gt;&lt;url&gt;http://www.ncbi.nlm.nih.gov/pubmed/27146221&lt;/url&gt;&lt;/related-urls&gt;&lt;/urls&gt;&lt;isbn&gt;1743-498X&lt;/isbn&gt;&lt;titles&gt;&lt;title&gt;Undertaking and reporting qualitative research&lt;/title&gt;&lt;secondary-title&gt;Clin Teach&lt;/secondary-title&gt;&lt;/titles&gt;&lt;pages&gt;175-82&lt;/pages&gt;&lt;number&gt;3&lt;/number&gt;&lt;contributors&gt;&lt;authors&gt;&lt;author&gt;Tai, J.&lt;/author&gt;&lt;author&gt;Ajjawi, R.&lt;/author&gt;&lt;/authors&gt;&lt;/contributors&gt;&lt;language&gt;eng&lt;/language&gt;&lt;added-date format="utc"&gt;1466500016&lt;/added-date&gt;&lt;ref-type name="Journal Article"&gt;17&lt;/ref-type&gt;&lt;rec-number&gt;254&lt;/rec-number&gt;&lt;last-updated-date format="utc"&gt;1466500016&lt;/last-updated-date&gt;&lt;accession-num&gt;27146221&lt;/accession-num&gt;&lt;electronic-resource-num&gt;10.1111/tct.12552&lt;/electronic-resource-num&gt;&lt;volume&gt;13&lt;/volume&gt;&lt;/record&gt;&lt;/Cite&gt;&lt;/EndNote&gt;</w:instrText>
      </w:r>
      <w:r w:rsidR="002F1FA0">
        <w:rPr>
          <w:rFonts w:cs="Arial"/>
          <w:szCs w:val="24"/>
        </w:rPr>
        <w:fldChar w:fldCharType="separate"/>
      </w:r>
      <w:r w:rsidR="002F1FA0">
        <w:rPr>
          <w:rFonts w:cs="Arial"/>
          <w:noProof/>
          <w:szCs w:val="24"/>
        </w:rPr>
        <w:t>(Tai and Ajjawi, 2016)</w:t>
      </w:r>
      <w:r w:rsidR="002F1FA0">
        <w:rPr>
          <w:rFonts w:cs="Arial"/>
          <w:szCs w:val="24"/>
        </w:rPr>
        <w:fldChar w:fldCharType="end"/>
      </w:r>
      <w:r w:rsidR="002F1FA0">
        <w:rPr>
          <w:rFonts w:cs="Arial"/>
          <w:szCs w:val="24"/>
        </w:rPr>
        <w:t>.</w:t>
      </w:r>
      <w:r w:rsidR="00455010">
        <w:rPr>
          <w:rFonts w:cs="Arial"/>
          <w:szCs w:val="24"/>
        </w:rPr>
        <w:t xml:space="preserve"> Tai et al</w:t>
      </w:r>
      <w:r w:rsidR="00434DD2">
        <w:rPr>
          <w:rFonts w:cs="Arial"/>
          <w:szCs w:val="24"/>
        </w:rPr>
        <w:t>. (2016)</w:t>
      </w:r>
      <w:r w:rsidR="00455010">
        <w:rPr>
          <w:rFonts w:cs="Arial"/>
          <w:szCs w:val="24"/>
        </w:rPr>
        <w:t xml:space="preserve"> describe </w:t>
      </w:r>
      <w:r w:rsidR="005E1111">
        <w:rPr>
          <w:rFonts w:cs="Arial"/>
          <w:szCs w:val="24"/>
        </w:rPr>
        <w:t>o</w:t>
      </w:r>
      <w:r w:rsidR="00455010">
        <w:rPr>
          <w:rFonts w:cs="Arial"/>
          <w:szCs w:val="24"/>
        </w:rPr>
        <w:t xml:space="preserve">ntology as the ‘existence of objects and experiences’ and whether the items seen are in fact actually present. </w:t>
      </w:r>
    </w:p>
    <w:p w14:paraId="31F3CAA1" w14:textId="242391A9" w:rsidR="001E77A1" w:rsidRDefault="00434DD2" w:rsidP="00C06D1A">
      <w:pPr>
        <w:rPr>
          <w:rFonts w:cs="Arial"/>
          <w:szCs w:val="24"/>
        </w:rPr>
      </w:pPr>
      <w:r>
        <w:rPr>
          <w:rFonts w:cs="Arial"/>
          <w:szCs w:val="24"/>
        </w:rPr>
        <w:t>W</w:t>
      </w:r>
      <w:r w:rsidR="00EB5F6B">
        <w:rPr>
          <w:rFonts w:cs="Arial"/>
          <w:szCs w:val="24"/>
        </w:rPr>
        <w:t>ith qualitative research, the researcher is embedded within the environment and context to allow</w:t>
      </w:r>
      <w:r w:rsidR="005E1111">
        <w:rPr>
          <w:rFonts w:cs="Arial"/>
          <w:szCs w:val="24"/>
        </w:rPr>
        <w:t xml:space="preserve"> for</w:t>
      </w:r>
      <w:r w:rsidR="00EB5F6B">
        <w:rPr>
          <w:rFonts w:cs="Arial"/>
          <w:szCs w:val="24"/>
        </w:rPr>
        <w:t xml:space="preserve"> interaction, observation and a rich understanding of phenomena. For this reason it is said to be important to state one</w:t>
      </w:r>
      <w:r w:rsidR="005E1111">
        <w:rPr>
          <w:rFonts w:cs="Arial"/>
          <w:szCs w:val="24"/>
        </w:rPr>
        <w:t>’</w:t>
      </w:r>
      <w:r w:rsidR="00EB5F6B">
        <w:rPr>
          <w:rFonts w:cs="Arial"/>
          <w:szCs w:val="24"/>
        </w:rPr>
        <w:t>s individual ‘philosophical stance’ or ‘belief on how things are known, learned about and experienced’</w:t>
      </w:r>
      <w:r w:rsidR="004471FC">
        <w:rPr>
          <w:rFonts w:cs="Arial"/>
          <w:szCs w:val="24"/>
        </w:rPr>
        <w:t>. This</w:t>
      </w:r>
      <w:r w:rsidR="00EB5F6B">
        <w:rPr>
          <w:rFonts w:cs="Arial"/>
          <w:szCs w:val="24"/>
        </w:rPr>
        <w:t xml:space="preserve"> allow</w:t>
      </w:r>
      <w:r w:rsidR="004471FC">
        <w:rPr>
          <w:rFonts w:cs="Arial"/>
          <w:szCs w:val="24"/>
        </w:rPr>
        <w:t>s</w:t>
      </w:r>
      <w:r w:rsidR="00EB5F6B">
        <w:rPr>
          <w:rFonts w:cs="Arial"/>
          <w:szCs w:val="24"/>
        </w:rPr>
        <w:t xml:space="preserve"> transparency about assumptions and potential biases when research methodology, design, data collection, analysis and results are being read </w:t>
      </w:r>
      <w:r w:rsidR="009A2D4C">
        <w:rPr>
          <w:rFonts w:cs="Arial"/>
          <w:szCs w:val="24"/>
        </w:rPr>
        <w:fldChar w:fldCharType="begin"/>
      </w:r>
      <w:r w:rsidR="009A2D4C">
        <w:rPr>
          <w:rFonts w:cs="Arial"/>
          <w:szCs w:val="24"/>
        </w:rPr>
        <w:instrText xml:space="preserve"> ADDIN EN.CITE &lt;EndNote&gt;&lt;Cite&gt;&lt;Author&gt;Tai&lt;/Author&gt;&lt;Year&gt;2016&lt;/Year&gt;&lt;IDText&gt;Undertaking and reporting qualitative research&lt;/IDText&gt;&lt;DisplayText&gt;(Tai and Ajjawi, 2016)&lt;/DisplayText&gt;&lt;record&gt;&lt;dates&gt;&lt;pub-dates&gt;&lt;date&gt;Jun&lt;/date&gt;&lt;/pub-dates&gt;&lt;year&gt;2016&lt;/year&gt;&lt;/dates&gt;&lt;urls&gt;&lt;related-urls&gt;&lt;url&gt;http://www.ncbi.nlm.nih.gov/pubmed/27146221&lt;/url&gt;&lt;/related-urls&gt;&lt;/urls&gt;&lt;isbn&gt;1743-498X&lt;/isbn&gt;&lt;titles&gt;&lt;title&gt;Undertaking and reporting qualitative research&lt;/title&gt;&lt;secondary-title&gt;Clin Teach&lt;/secondary-title&gt;&lt;/titles&gt;&lt;pages&gt;175-82&lt;/pages&gt;&lt;number&gt;3&lt;/number&gt;&lt;contributors&gt;&lt;authors&gt;&lt;author&gt;Tai, J.&lt;/author&gt;&lt;author&gt;Ajjawi, R.&lt;/author&gt;&lt;/authors&gt;&lt;/contributors&gt;&lt;language&gt;eng&lt;/language&gt;&lt;added-date format="utc"&gt;1466500016&lt;/added-date&gt;&lt;ref-type name="Journal Article"&gt;17&lt;/ref-type&gt;&lt;rec-number&gt;254&lt;/rec-number&gt;&lt;last-updated-date format="utc"&gt;1466500016&lt;/last-updated-date&gt;&lt;accession-num&gt;27146221&lt;/accession-num&gt;&lt;electronic-resource-num&gt;10.1111/tct.12552&lt;/electronic-resource-num&gt;&lt;volume&gt;13&lt;/volume&gt;&lt;/record&gt;&lt;/Cite&gt;&lt;/EndNote&gt;</w:instrText>
      </w:r>
      <w:r w:rsidR="009A2D4C">
        <w:rPr>
          <w:rFonts w:cs="Arial"/>
          <w:szCs w:val="24"/>
        </w:rPr>
        <w:fldChar w:fldCharType="separate"/>
      </w:r>
      <w:r w:rsidR="009A2D4C">
        <w:rPr>
          <w:rFonts w:cs="Arial"/>
          <w:noProof/>
          <w:szCs w:val="24"/>
        </w:rPr>
        <w:t>(Tai and Ajjawi, 2016)</w:t>
      </w:r>
      <w:r w:rsidR="009A2D4C">
        <w:rPr>
          <w:rFonts w:cs="Arial"/>
          <w:szCs w:val="24"/>
        </w:rPr>
        <w:fldChar w:fldCharType="end"/>
      </w:r>
      <w:r w:rsidR="00EB5F6B">
        <w:rPr>
          <w:rFonts w:cs="Arial"/>
          <w:szCs w:val="24"/>
        </w:rPr>
        <w:t xml:space="preserve">. </w:t>
      </w:r>
    </w:p>
    <w:p w14:paraId="3244412A" w14:textId="72F9AA3C" w:rsidR="00C06D1A" w:rsidRPr="005C6958" w:rsidRDefault="00EB5F6B" w:rsidP="00C06D1A">
      <w:pPr>
        <w:rPr>
          <w:rFonts w:cs="Arial"/>
          <w:szCs w:val="24"/>
        </w:rPr>
      </w:pPr>
      <w:r>
        <w:rPr>
          <w:rFonts w:cs="Arial"/>
          <w:szCs w:val="24"/>
        </w:rPr>
        <w:t>Within quantitative data, stance is generally assumed</w:t>
      </w:r>
      <w:r w:rsidR="005E1111">
        <w:rPr>
          <w:rFonts w:cs="Arial"/>
          <w:szCs w:val="24"/>
        </w:rPr>
        <w:t>,</w:t>
      </w:r>
      <w:r>
        <w:rPr>
          <w:rFonts w:cs="Arial"/>
          <w:szCs w:val="24"/>
        </w:rPr>
        <w:t xml:space="preserve"> so considered less important. </w:t>
      </w:r>
      <w:r w:rsidR="004471FC">
        <w:rPr>
          <w:rFonts w:cs="Arial"/>
          <w:szCs w:val="24"/>
        </w:rPr>
        <w:t>T</w:t>
      </w:r>
      <w:r w:rsidR="008708CB">
        <w:rPr>
          <w:rFonts w:cs="Arial"/>
          <w:szCs w:val="24"/>
        </w:rPr>
        <w:t>his</w:t>
      </w:r>
      <w:r w:rsidR="0026367B">
        <w:rPr>
          <w:rFonts w:cs="Arial"/>
          <w:szCs w:val="24"/>
        </w:rPr>
        <w:t xml:space="preserve"> researcher</w:t>
      </w:r>
      <w:r w:rsidR="004471FC">
        <w:rPr>
          <w:rFonts w:cs="Arial"/>
          <w:szCs w:val="24"/>
        </w:rPr>
        <w:t xml:space="preserve"> holds the belief</w:t>
      </w:r>
      <w:r w:rsidR="00684143">
        <w:rPr>
          <w:rFonts w:cs="Arial"/>
          <w:szCs w:val="24"/>
        </w:rPr>
        <w:t xml:space="preserve"> </w:t>
      </w:r>
      <w:r w:rsidR="004471FC">
        <w:rPr>
          <w:rFonts w:cs="Arial"/>
          <w:szCs w:val="24"/>
        </w:rPr>
        <w:t xml:space="preserve">that </w:t>
      </w:r>
      <w:r w:rsidR="00684143">
        <w:rPr>
          <w:rFonts w:cs="Arial"/>
          <w:szCs w:val="24"/>
        </w:rPr>
        <w:t xml:space="preserve">knowledge is gained through experience but that there are many other </w:t>
      </w:r>
      <w:r w:rsidR="004471FC">
        <w:rPr>
          <w:rFonts w:cs="Arial"/>
          <w:szCs w:val="24"/>
        </w:rPr>
        <w:t xml:space="preserve">complex inter-related </w:t>
      </w:r>
      <w:r w:rsidR="00684143">
        <w:rPr>
          <w:rFonts w:cs="Arial"/>
          <w:szCs w:val="24"/>
        </w:rPr>
        <w:t>factors</w:t>
      </w:r>
      <w:r w:rsidR="004471FC">
        <w:rPr>
          <w:rFonts w:cs="Arial"/>
          <w:szCs w:val="24"/>
        </w:rPr>
        <w:t xml:space="preserve"> to consider.</w:t>
      </w:r>
      <w:r w:rsidR="00684143">
        <w:rPr>
          <w:rFonts w:cs="Arial"/>
          <w:szCs w:val="24"/>
        </w:rPr>
        <w:t xml:space="preserve"> </w:t>
      </w:r>
      <w:r w:rsidR="008708CB">
        <w:rPr>
          <w:rFonts w:cs="Arial"/>
          <w:szCs w:val="24"/>
        </w:rPr>
        <w:t>Whilst</w:t>
      </w:r>
      <w:r w:rsidR="00502A56">
        <w:rPr>
          <w:rFonts w:cs="Arial"/>
          <w:szCs w:val="24"/>
        </w:rPr>
        <w:t xml:space="preserve"> </w:t>
      </w:r>
      <w:r w:rsidR="00684143">
        <w:rPr>
          <w:rFonts w:cs="Arial"/>
          <w:szCs w:val="24"/>
        </w:rPr>
        <w:t>not claim</w:t>
      </w:r>
      <w:r w:rsidR="008708CB">
        <w:rPr>
          <w:rFonts w:cs="Arial"/>
          <w:szCs w:val="24"/>
        </w:rPr>
        <w:t>ing</w:t>
      </w:r>
      <w:r w:rsidR="00684143">
        <w:rPr>
          <w:rFonts w:cs="Arial"/>
          <w:szCs w:val="24"/>
        </w:rPr>
        <w:t xml:space="preserve"> to understand them all</w:t>
      </w:r>
      <w:r w:rsidR="008708CB">
        <w:rPr>
          <w:rFonts w:cs="Arial"/>
          <w:szCs w:val="24"/>
        </w:rPr>
        <w:t>,</w:t>
      </w:r>
      <w:r w:rsidR="00684143">
        <w:rPr>
          <w:rFonts w:cs="Arial"/>
          <w:szCs w:val="24"/>
        </w:rPr>
        <w:t xml:space="preserve"> </w:t>
      </w:r>
      <w:r w:rsidR="00E41FF6">
        <w:rPr>
          <w:rFonts w:cs="Arial"/>
          <w:szCs w:val="24"/>
        </w:rPr>
        <w:t xml:space="preserve">I </w:t>
      </w:r>
      <w:r w:rsidR="00684143">
        <w:rPr>
          <w:rFonts w:cs="Arial"/>
          <w:szCs w:val="24"/>
        </w:rPr>
        <w:t xml:space="preserve">feel that efforts should be made to understand the areas that add depth and quality </w:t>
      </w:r>
      <w:r w:rsidR="004471FC">
        <w:rPr>
          <w:rFonts w:cs="Arial"/>
          <w:szCs w:val="24"/>
        </w:rPr>
        <w:t>to</w:t>
      </w:r>
      <w:r w:rsidR="00684143">
        <w:rPr>
          <w:rFonts w:cs="Arial"/>
          <w:szCs w:val="24"/>
        </w:rPr>
        <w:t xml:space="preserve"> learning that </w:t>
      </w:r>
      <w:r w:rsidR="004471FC">
        <w:rPr>
          <w:rFonts w:cs="Arial"/>
          <w:szCs w:val="24"/>
        </w:rPr>
        <w:t>is</w:t>
      </w:r>
      <w:r w:rsidR="00684143">
        <w:rPr>
          <w:rFonts w:cs="Arial"/>
          <w:szCs w:val="24"/>
        </w:rPr>
        <w:t xml:space="preserve"> context specific</w:t>
      </w:r>
      <w:r w:rsidR="004471FC">
        <w:rPr>
          <w:rFonts w:cs="Arial"/>
          <w:szCs w:val="24"/>
        </w:rPr>
        <w:t>, authentic and</w:t>
      </w:r>
      <w:r w:rsidR="00684143">
        <w:rPr>
          <w:rFonts w:cs="Arial"/>
          <w:szCs w:val="24"/>
        </w:rPr>
        <w:t xml:space="preserve"> tail</w:t>
      </w:r>
      <w:r w:rsidR="0026367B">
        <w:rPr>
          <w:rFonts w:cs="Arial"/>
          <w:szCs w:val="24"/>
        </w:rPr>
        <w:t>or</w:t>
      </w:r>
      <w:r w:rsidR="00684143">
        <w:rPr>
          <w:rFonts w:cs="Arial"/>
          <w:szCs w:val="24"/>
        </w:rPr>
        <w:t xml:space="preserve">ed to the environment that one will be working in. </w:t>
      </w:r>
    </w:p>
    <w:p w14:paraId="0E73E8BE" w14:textId="04C17FDD" w:rsidR="00E830C5" w:rsidRDefault="001E391A" w:rsidP="005367B9">
      <w:pPr>
        <w:pStyle w:val="Heading3"/>
      </w:pPr>
      <w:r>
        <w:t xml:space="preserve">    </w:t>
      </w:r>
      <w:bookmarkStart w:id="95" w:name="_Toc343501117"/>
      <w:bookmarkStart w:id="96" w:name="_Toc348686318"/>
      <w:bookmarkStart w:id="97" w:name="_Toc419116112"/>
      <w:r w:rsidR="006F6288">
        <w:t xml:space="preserve">Qualitative research: </w:t>
      </w:r>
      <w:bookmarkEnd w:id="95"/>
      <w:bookmarkEnd w:id="96"/>
      <w:r w:rsidR="001D42C9">
        <w:t>Grounded Theory</w:t>
      </w:r>
      <w:bookmarkEnd w:id="97"/>
    </w:p>
    <w:p w14:paraId="41A863DB" w14:textId="77777777" w:rsidR="00372241" w:rsidRPr="00372241" w:rsidRDefault="00372241" w:rsidP="00372241"/>
    <w:p w14:paraId="5A12E51C" w14:textId="1723C35D" w:rsidR="00C06D1A" w:rsidRDefault="001D42C9" w:rsidP="00C06D1A">
      <w:pPr>
        <w:rPr>
          <w:rFonts w:cs="Arial"/>
          <w:szCs w:val="24"/>
        </w:rPr>
      </w:pPr>
      <w:r>
        <w:rPr>
          <w:rFonts w:cs="Arial"/>
          <w:szCs w:val="24"/>
        </w:rPr>
        <w:lastRenderedPageBreak/>
        <w:t>Grounded Theory</w:t>
      </w:r>
      <w:r w:rsidR="00C06D1A">
        <w:rPr>
          <w:rFonts w:cs="Arial"/>
          <w:szCs w:val="24"/>
        </w:rPr>
        <w:t xml:space="preserve"> is a method </w:t>
      </w:r>
      <w:r w:rsidR="00337A7E">
        <w:rPr>
          <w:rFonts w:cs="Arial"/>
          <w:szCs w:val="24"/>
        </w:rPr>
        <w:t>used</w:t>
      </w:r>
      <w:r w:rsidR="00C06D1A">
        <w:rPr>
          <w:rFonts w:cs="Arial"/>
          <w:szCs w:val="24"/>
        </w:rPr>
        <w:t xml:space="preserve"> in qualitative research where</w:t>
      </w:r>
      <w:r w:rsidR="00B06814">
        <w:rPr>
          <w:rFonts w:cs="Arial"/>
          <w:szCs w:val="24"/>
        </w:rPr>
        <w:t>-</w:t>
      </w:r>
      <w:r w:rsidR="00C06D1A">
        <w:rPr>
          <w:rFonts w:cs="Arial"/>
          <w:szCs w:val="24"/>
        </w:rPr>
        <w:t xml:space="preserve">by themes that emerge can then be developed and expanded upon as a process of developing inquiry. </w:t>
      </w:r>
      <w:r w:rsidR="0016346F">
        <w:rPr>
          <w:rFonts w:cs="Arial"/>
          <w:szCs w:val="24"/>
        </w:rPr>
        <w:t>A</w:t>
      </w:r>
      <w:r w:rsidR="00C06D1A">
        <w:rPr>
          <w:rFonts w:cs="Arial"/>
          <w:szCs w:val="24"/>
        </w:rPr>
        <w:t>pproaches based on</w:t>
      </w:r>
      <w:r w:rsidR="007F527A">
        <w:rPr>
          <w:rFonts w:cs="Arial"/>
          <w:szCs w:val="24"/>
        </w:rPr>
        <w:t xml:space="preserve"> </w:t>
      </w:r>
      <w:r>
        <w:rPr>
          <w:rFonts w:cs="Arial"/>
          <w:szCs w:val="24"/>
        </w:rPr>
        <w:t>Grounded Theory</w:t>
      </w:r>
      <w:r w:rsidR="007F527A">
        <w:rPr>
          <w:rFonts w:cs="Arial"/>
          <w:szCs w:val="24"/>
        </w:rPr>
        <w:t xml:space="preserve"> principles have</w:t>
      </w:r>
      <w:r w:rsidR="00C06D1A">
        <w:rPr>
          <w:rFonts w:cs="Arial"/>
          <w:szCs w:val="24"/>
        </w:rPr>
        <w:t xml:space="preserve"> be</w:t>
      </w:r>
      <w:r w:rsidR="007F527A">
        <w:rPr>
          <w:rFonts w:cs="Arial"/>
          <w:szCs w:val="24"/>
        </w:rPr>
        <w:t xml:space="preserve">en </w:t>
      </w:r>
      <w:r w:rsidR="00337A7E">
        <w:rPr>
          <w:rFonts w:cs="Arial"/>
          <w:szCs w:val="24"/>
        </w:rPr>
        <w:t>used</w:t>
      </w:r>
      <w:r w:rsidR="0016346F">
        <w:rPr>
          <w:rFonts w:cs="Arial"/>
          <w:szCs w:val="24"/>
        </w:rPr>
        <w:t xml:space="preserve"> in this study</w:t>
      </w:r>
      <w:r w:rsidR="007F527A">
        <w:rPr>
          <w:rFonts w:cs="Arial"/>
          <w:szCs w:val="24"/>
        </w:rPr>
        <w:t xml:space="preserve"> to</w:t>
      </w:r>
      <w:r w:rsidR="0016346F">
        <w:rPr>
          <w:rFonts w:cs="Arial"/>
          <w:szCs w:val="24"/>
        </w:rPr>
        <w:t xml:space="preserve"> support </w:t>
      </w:r>
      <w:r w:rsidR="00B06814">
        <w:rPr>
          <w:rFonts w:cs="Arial"/>
          <w:szCs w:val="24"/>
        </w:rPr>
        <w:t xml:space="preserve">the </w:t>
      </w:r>
      <w:r w:rsidR="0016346F">
        <w:rPr>
          <w:rFonts w:cs="Arial"/>
          <w:szCs w:val="24"/>
        </w:rPr>
        <w:t>development of</w:t>
      </w:r>
      <w:r w:rsidR="007F527A">
        <w:rPr>
          <w:rFonts w:cs="Arial"/>
          <w:szCs w:val="24"/>
        </w:rPr>
        <w:t xml:space="preserve"> educa</w:t>
      </w:r>
      <w:r w:rsidR="002B3E28">
        <w:rPr>
          <w:rFonts w:cs="Arial"/>
          <w:szCs w:val="24"/>
        </w:rPr>
        <w:t xml:space="preserve">tional theory </w:t>
      </w:r>
      <w:r w:rsidR="00B06814">
        <w:rPr>
          <w:rFonts w:cs="Arial"/>
          <w:szCs w:val="24"/>
        </w:rPr>
        <w:t xml:space="preserve">that is </w:t>
      </w:r>
      <w:r w:rsidR="002B3E28">
        <w:rPr>
          <w:rFonts w:cs="Arial"/>
          <w:szCs w:val="24"/>
        </w:rPr>
        <w:t xml:space="preserve">based on </w:t>
      </w:r>
      <w:r w:rsidR="00B06814">
        <w:rPr>
          <w:rFonts w:cs="Arial"/>
          <w:szCs w:val="24"/>
        </w:rPr>
        <w:t xml:space="preserve">the </w:t>
      </w:r>
      <w:r w:rsidR="007F527A">
        <w:rPr>
          <w:rFonts w:cs="Arial"/>
          <w:szCs w:val="24"/>
        </w:rPr>
        <w:t>experiences, beliefs and views</w:t>
      </w:r>
      <w:r w:rsidR="0016346F">
        <w:rPr>
          <w:rFonts w:cs="Arial"/>
          <w:szCs w:val="24"/>
        </w:rPr>
        <w:t xml:space="preserve"> of </w:t>
      </w:r>
      <w:r w:rsidR="00B06814">
        <w:rPr>
          <w:rFonts w:cs="Arial"/>
          <w:szCs w:val="24"/>
        </w:rPr>
        <w:t xml:space="preserve">its </w:t>
      </w:r>
      <w:r w:rsidR="0016346F">
        <w:rPr>
          <w:rFonts w:cs="Arial"/>
          <w:szCs w:val="24"/>
        </w:rPr>
        <w:t>participants</w:t>
      </w:r>
      <w:r w:rsidR="00F64A34">
        <w:rPr>
          <w:rFonts w:cs="Arial"/>
          <w:szCs w:val="24"/>
        </w:rPr>
        <w:t>,</w:t>
      </w:r>
      <w:r w:rsidR="007F527A">
        <w:rPr>
          <w:rFonts w:cs="Arial"/>
          <w:szCs w:val="24"/>
        </w:rPr>
        <w:t xml:space="preserve"> </w:t>
      </w:r>
      <w:r w:rsidR="002B3E28">
        <w:rPr>
          <w:rFonts w:cs="Arial"/>
          <w:szCs w:val="24"/>
        </w:rPr>
        <w:t xml:space="preserve">grounded in the data. </w:t>
      </w:r>
      <w:r w:rsidR="003C4B2E">
        <w:rPr>
          <w:rFonts w:cs="Arial"/>
          <w:szCs w:val="24"/>
        </w:rPr>
        <w:t>T</w:t>
      </w:r>
      <w:r w:rsidR="00B02501">
        <w:rPr>
          <w:rFonts w:cs="Arial"/>
          <w:szCs w:val="24"/>
        </w:rPr>
        <w:t>his is by no means a pure Grounded Theory s</w:t>
      </w:r>
      <w:r w:rsidR="003C4B2E">
        <w:rPr>
          <w:rFonts w:cs="Arial"/>
          <w:szCs w:val="24"/>
        </w:rPr>
        <w:t xml:space="preserve">tudy, it </w:t>
      </w:r>
      <w:r w:rsidR="00B02501">
        <w:rPr>
          <w:rFonts w:cs="Arial"/>
          <w:szCs w:val="24"/>
        </w:rPr>
        <w:t>employs some of the tools of Grounded Theory to ensure concepts have been developed in line with origina</w:t>
      </w:r>
      <w:r w:rsidR="00997345">
        <w:rPr>
          <w:rFonts w:cs="Arial"/>
          <w:szCs w:val="24"/>
        </w:rPr>
        <w:t>l data to info</w:t>
      </w:r>
      <w:r w:rsidR="00B02501">
        <w:rPr>
          <w:rFonts w:cs="Arial"/>
          <w:szCs w:val="24"/>
        </w:rPr>
        <w:t>r</w:t>
      </w:r>
      <w:r w:rsidR="00997345">
        <w:rPr>
          <w:rFonts w:cs="Arial"/>
          <w:szCs w:val="24"/>
        </w:rPr>
        <w:t>m the next stage of the stud</w:t>
      </w:r>
      <w:r w:rsidR="00B02501">
        <w:rPr>
          <w:rFonts w:cs="Arial"/>
          <w:szCs w:val="24"/>
        </w:rPr>
        <w:t xml:space="preserve">y in an iterative process. </w:t>
      </w:r>
    </w:p>
    <w:p w14:paraId="21EC4973" w14:textId="2EDC14AB" w:rsidR="00C06D1A" w:rsidRDefault="001D42C9" w:rsidP="00C06D1A">
      <w:pPr>
        <w:rPr>
          <w:rFonts w:cs="Arial"/>
          <w:szCs w:val="24"/>
        </w:rPr>
      </w:pPr>
      <w:r>
        <w:rPr>
          <w:rFonts w:cs="Arial"/>
          <w:szCs w:val="24"/>
        </w:rPr>
        <w:t>Grounded Theory</w:t>
      </w:r>
      <w:r w:rsidR="00C06D1A">
        <w:rPr>
          <w:rFonts w:cs="Arial"/>
          <w:szCs w:val="24"/>
        </w:rPr>
        <w:t xml:space="preserve"> is used predominantly in social justice research</w:t>
      </w:r>
      <w:r w:rsidR="00B06814">
        <w:rPr>
          <w:rFonts w:cs="Arial"/>
          <w:szCs w:val="24"/>
        </w:rPr>
        <w:t>,</w:t>
      </w:r>
      <w:r w:rsidR="00C06D1A">
        <w:rPr>
          <w:rFonts w:cs="Arial"/>
          <w:szCs w:val="24"/>
        </w:rPr>
        <w:t xml:space="preserve"> </w:t>
      </w:r>
      <w:r w:rsidR="00B06814">
        <w:rPr>
          <w:rFonts w:cs="Arial"/>
          <w:szCs w:val="24"/>
        </w:rPr>
        <w:t xml:space="preserve">in </w:t>
      </w:r>
      <w:r w:rsidR="00C06D1A">
        <w:rPr>
          <w:rFonts w:cs="Arial"/>
          <w:szCs w:val="24"/>
        </w:rPr>
        <w:t>the form of interviews. It is during these interviews that themes emerge. Thematic analysis following</w:t>
      </w:r>
      <w:r w:rsidR="00B06814">
        <w:rPr>
          <w:rFonts w:cs="Arial"/>
          <w:szCs w:val="24"/>
        </w:rPr>
        <w:t xml:space="preserve"> a</w:t>
      </w:r>
      <w:r w:rsidR="00C06D1A">
        <w:rPr>
          <w:rFonts w:cs="Arial"/>
          <w:szCs w:val="24"/>
        </w:rPr>
        <w:t xml:space="preserve"> saturation of themes allows</w:t>
      </w:r>
      <w:r w:rsidR="00B06814">
        <w:rPr>
          <w:rFonts w:cs="Arial"/>
          <w:szCs w:val="24"/>
        </w:rPr>
        <w:t xml:space="preserve"> for</w:t>
      </w:r>
      <w:r w:rsidR="00C06D1A">
        <w:rPr>
          <w:rFonts w:cs="Arial"/>
          <w:szCs w:val="24"/>
        </w:rPr>
        <w:t xml:space="preserve"> the creation of a scaffold on which to expand and explore </w:t>
      </w:r>
      <w:r w:rsidR="0016346F">
        <w:rPr>
          <w:rFonts w:cs="Arial"/>
          <w:szCs w:val="24"/>
        </w:rPr>
        <w:t>data</w:t>
      </w:r>
      <w:r w:rsidR="008E30ED">
        <w:rPr>
          <w:rFonts w:cs="Arial"/>
          <w:szCs w:val="24"/>
        </w:rPr>
        <w:t xml:space="preserve"> further</w:t>
      </w:r>
      <w:r w:rsidR="00C06D1A">
        <w:rPr>
          <w:rFonts w:cs="Arial"/>
          <w:szCs w:val="24"/>
        </w:rPr>
        <w:t xml:space="preserve">. Glaser and Straus (1967), state that ‘the process of </w:t>
      </w:r>
      <w:r>
        <w:rPr>
          <w:rFonts w:cs="Arial"/>
          <w:szCs w:val="24"/>
        </w:rPr>
        <w:t>Grounded Theory</w:t>
      </w:r>
      <w:r w:rsidR="00C06D1A">
        <w:rPr>
          <w:rFonts w:cs="Arial"/>
          <w:szCs w:val="24"/>
        </w:rPr>
        <w:t xml:space="preserve"> assumes that researchers through their actions create and build on both the study question as well as the research process’. Lincoln and Denzin (2013) </w:t>
      </w:r>
      <w:r w:rsidR="00B06814">
        <w:rPr>
          <w:rFonts w:cs="Arial"/>
          <w:szCs w:val="24"/>
        </w:rPr>
        <w:t xml:space="preserve">explain </w:t>
      </w:r>
      <w:r>
        <w:rPr>
          <w:rFonts w:cs="Arial"/>
          <w:szCs w:val="24"/>
        </w:rPr>
        <w:t>Grounded Theory</w:t>
      </w:r>
      <w:r w:rsidR="00C06D1A">
        <w:rPr>
          <w:rFonts w:cs="Arial"/>
          <w:szCs w:val="24"/>
        </w:rPr>
        <w:t xml:space="preserve"> leads to ‘defining relevant processes, demonstrating their contexts, specifying conditions in which they occur, conceptualising their phases, explaining what contributes to stability or change and outlining their consequence</w:t>
      </w:r>
      <w:r w:rsidR="00E42EDE">
        <w:rPr>
          <w:rFonts w:cs="Arial"/>
          <w:szCs w:val="24"/>
        </w:rPr>
        <w:t>’</w:t>
      </w:r>
      <w:r w:rsidR="00C06D1A">
        <w:rPr>
          <w:rFonts w:cs="Arial"/>
          <w:szCs w:val="24"/>
        </w:rPr>
        <w:t xml:space="preserve"> </w:t>
      </w:r>
      <w:r w:rsidR="00C06D1A">
        <w:rPr>
          <w:rFonts w:cs="Arial"/>
          <w:szCs w:val="24"/>
        </w:rPr>
        <w:fldChar w:fldCharType="begin"/>
      </w:r>
      <w:r w:rsidR="005823F4">
        <w:rPr>
          <w:rFonts w:cs="Arial"/>
          <w:szCs w:val="24"/>
        </w:rPr>
        <w:instrText xml:space="preserve"> ADDIN EN.CITE &lt;EndNote&gt;&lt;Cite&gt;&lt;Author&gt;Denzin&lt;/Author&gt;&lt;Year&gt;2013&lt;/Year&gt;&lt;IDText&gt;Strategies of qualitative inquiry&lt;/IDText&gt;&lt;DisplayText&gt;(Denzin and Lincoln, 2013)&lt;/DisplayText&gt;&lt;record&gt;&lt;titles&gt;&lt;title&gt;Strategies of qualitative inquiry&lt;/title&gt;&lt;/titles&gt;&lt;contributors&gt;&lt;authors&gt;&lt;author&gt;Denzin, N K&lt;/author&gt;&lt;author&gt;Lincoln, Y S&lt;/author&gt;&lt;/authors&gt;&lt;/contributors&gt;&lt;edition&gt;4th&lt;/edition&gt;&lt;added-date format="utc"&gt;1400250453&lt;/added-date&gt;&lt;pub-location&gt;Thousand Oaks, CA&lt;/pub-location&gt;&lt;ref-type name="Book"&gt;6&lt;/ref-type&gt;&lt;dates&gt;&lt;year&gt;2013&lt;/year&gt;&lt;/dates&gt;&lt;rec-number&gt;144&lt;/rec-number&gt;&lt;publisher&gt;Sage&lt;/publisher&gt;&lt;last-updated-date format="utc"&gt;1400250569&lt;/last-updated-date&gt;&lt;/record&gt;&lt;/Cite&gt;&lt;/EndNote&gt;</w:instrText>
      </w:r>
      <w:r w:rsidR="00C06D1A">
        <w:rPr>
          <w:rFonts w:cs="Arial"/>
          <w:szCs w:val="24"/>
        </w:rPr>
        <w:fldChar w:fldCharType="separate"/>
      </w:r>
      <w:r w:rsidR="005823F4">
        <w:rPr>
          <w:rFonts w:cs="Arial"/>
          <w:noProof/>
          <w:szCs w:val="24"/>
        </w:rPr>
        <w:t>(Denzin and Lincoln, 2013)</w:t>
      </w:r>
      <w:r w:rsidR="00C06D1A">
        <w:rPr>
          <w:rFonts w:cs="Arial"/>
          <w:szCs w:val="24"/>
        </w:rPr>
        <w:fldChar w:fldCharType="end"/>
      </w:r>
      <w:r w:rsidR="00C06D1A">
        <w:rPr>
          <w:rFonts w:cs="Arial"/>
          <w:szCs w:val="24"/>
        </w:rPr>
        <w:t xml:space="preserve">. </w:t>
      </w:r>
    </w:p>
    <w:p w14:paraId="00CA984C" w14:textId="40F89FB1" w:rsidR="00C06D1A" w:rsidRDefault="001D42C9" w:rsidP="00C06D1A">
      <w:pPr>
        <w:rPr>
          <w:rFonts w:cs="Arial"/>
          <w:szCs w:val="24"/>
        </w:rPr>
      </w:pPr>
      <w:r>
        <w:rPr>
          <w:rFonts w:cs="Arial"/>
          <w:szCs w:val="24"/>
        </w:rPr>
        <w:t>Grounded Theory</w:t>
      </w:r>
      <w:r w:rsidR="00C06D1A">
        <w:rPr>
          <w:rFonts w:cs="Arial"/>
          <w:szCs w:val="24"/>
        </w:rPr>
        <w:t xml:space="preserve"> can allow</w:t>
      </w:r>
      <w:r w:rsidR="00DF2C5D">
        <w:rPr>
          <w:rFonts w:cs="Arial"/>
          <w:szCs w:val="24"/>
        </w:rPr>
        <w:t xml:space="preserve"> for</w:t>
      </w:r>
      <w:r w:rsidR="00C06D1A">
        <w:rPr>
          <w:rFonts w:cs="Arial"/>
          <w:szCs w:val="24"/>
        </w:rPr>
        <w:t xml:space="preserve"> thorough analyses of findings t</w:t>
      </w:r>
      <w:r w:rsidR="00DF2C5D">
        <w:rPr>
          <w:rFonts w:cs="Arial"/>
          <w:szCs w:val="24"/>
        </w:rPr>
        <w:t>hat</w:t>
      </w:r>
      <w:r w:rsidR="00C06D1A">
        <w:rPr>
          <w:rFonts w:cs="Arial"/>
          <w:szCs w:val="24"/>
        </w:rPr>
        <w:t xml:space="preserve"> deepen understanding and </w:t>
      </w:r>
      <w:r w:rsidR="00DF2C5D">
        <w:rPr>
          <w:rFonts w:cs="Arial"/>
          <w:szCs w:val="24"/>
        </w:rPr>
        <w:t xml:space="preserve">create </w:t>
      </w:r>
      <w:r w:rsidR="00C06D1A">
        <w:rPr>
          <w:rFonts w:cs="Arial"/>
          <w:szCs w:val="24"/>
        </w:rPr>
        <w:t xml:space="preserve">trustworthy explanations for </w:t>
      </w:r>
      <w:r w:rsidR="00DF2C5D">
        <w:rPr>
          <w:rFonts w:cs="Arial"/>
          <w:szCs w:val="24"/>
        </w:rPr>
        <w:t xml:space="preserve">the </w:t>
      </w:r>
      <w:r w:rsidR="00C06D1A">
        <w:rPr>
          <w:rFonts w:cs="Arial"/>
          <w:szCs w:val="24"/>
        </w:rPr>
        <w:t>behaviours or actions of a selected group of people. This i</w:t>
      </w:r>
      <w:r w:rsidR="00502A56">
        <w:rPr>
          <w:rFonts w:cs="Arial"/>
          <w:szCs w:val="24"/>
        </w:rPr>
        <w:t>n</w:t>
      </w:r>
      <w:r w:rsidR="00C06D1A">
        <w:rPr>
          <w:rFonts w:cs="Arial"/>
          <w:szCs w:val="24"/>
        </w:rPr>
        <w:t xml:space="preserve"> turn can lead to the construction of relationships, questions about their interplay</w:t>
      </w:r>
      <w:r w:rsidR="00DF2C5D">
        <w:rPr>
          <w:rFonts w:cs="Arial"/>
          <w:szCs w:val="24"/>
        </w:rPr>
        <w:t>,</w:t>
      </w:r>
      <w:r w:rsidR="00C06D1A">
        <w:rPr>
          <w:rFonts w:cs="Arial"/>
          <w:szCs w:val="24"/>
        </w:rPr>
        <w:t xml:space="preserve"> </w:t>
      </w:r>
      <w:r w:rsidR="0016346F">
        <w:rPr>
          <w:rFonts w:cs="Arial"/>
          <w:szCs w:val="24"/>
        </w:rPr>
        <w:t xml:space="preserve">and </w:t>
      </w:r>
      <w:r w:rsidR="00C06D1A">
        <w:rPr>
          <w:rFonts w:cs="Arial"/>
          <w:szCs w:val="24"/>
        </w:rPr>
        <w:t xml:space="preserve">resultant consequences. It </w:t>
      </w:r>
      <w:r w:rsidR="00DF2C5D">
        <w:rPr>
          <w:rFonts w:cs="Arial"/>
          <w:szCs w:val="24"/>
        </w:rPr>
        <w:t xml:space="preserve">enables </w:t>
      </w:r>
      <w:r w:rsidR="00C06D1A">
        <w:rPr>
          <w:rFonts w:cs="Arial"/>
          <w:szCs w:val="24"/>
        </w:rPr>
        <w:t xml:space="preserve">the exploration of variation under different conditions and settings </w:t>
      </w:r>
      <w:r w:rsidR="00C06D1A">
        <w:rPr>
          <w:rFonts w:cs="Arial"/>
          <w:szCs w:val="24"/>
        </w:rPr>
        <w:fldChar w:fldCharType="begin"/>
      </w:r>
      <w:r w:rsidR="005823F4">
        <w:rPr>
          <w:rFonts w:cs="Arial"/>
          <w:szCs w:val="24"/>
        </w:rPr>
        <w:instrText xml:space="preserve"> ADDIN EN.CITE &lt;EndNote&gt;&lt;Cite&gt;&lt;Author&gt;Denzin&lt;/Author&gt;&lt;Year&gt;2013&lt;/Year&gt;&lt;IDText&gt;Strategies of qualitative inquiry&lt;/IDText&gt;&lt;DisplayText&gt;(Denzin and Lincoln, 2013)&lt;/DisplayText&gt;&lt;record&gt;&lt;titles&gt;&lt;title&gt;Strategies of qualitative inquiry&lt;/title&gt;&lt;/titles&gt;&lt;contributors&gt;&lt;authors&gt;&lt;author&gt;Denzin, N K&lt;/author&gt;&lt;author&gt;Lincoln, Y S&lt;/author&gt;&lt;/authors&gt;&lt;/contributors&gt;&lt;edition&gt;4th&lt;/edition&gt;&lt;added-date format="utc"&gt;1400250453&lt;/added-date&gt;&lt;pub-location&gt;Thousand Oaks, CA&lt;/pub-location&gt;&lt;ref-type name="Book"&gt;6&lt;/ref-type&gt;&lt;dates&gt;&lt;year&gt;2013&lt;/year&gt;&lt;/dates&gt;&lt;rec-number&gt;144&lt;/rec-number&gt;&lt;publisher&gt;Sage&lt;/publisher&gt;&lt;last-updated-date format="utc"&gt;1400250569&lt;/last-updated-date&gt;&lt;/record&gt;&lt;/Cite&gt;&lt;/EndNote&gt;</w:instrText>
      </w:r>
      <w:r w:rsidR="00C06D1A">
        <w:rPr>
          <w:rFonts w:cs="Arial"/>
          <w:szCs w:val="24"/>
        </w:rPr>
        <w:fldChar w:fldCharType="separate"/>
      </w:r>
      <w:r w:rsidR="005823F4">
        <w:rPr>
          <w:rFonts w:cs="Arial"/>
          <w:noProof/>
          <w:szCs w:val="24"/>
        </w:rPr>
        <w:t>(Denzin and Lincoln, 2013)</w:t>
      </w:r>
      <w:r w:rsidR="00C06D1A">
        <w:rPr>
          <w:rFonts w:cs="Arial"/>
          <w:szCs w:val="24"/>
        </w:rPr>
        <w:fldChar w:fldCharType="end"/>
      </w:r>
      <w:r w:rsidR="00C06D1A">
        <w:rPr>
          <w:rFonts w:cs="Arial"/>
          <w:szCs w:val="24"/>
        </w:rPr>
        <w:t xml:space="preserve">. One of the key elements that </w:t>
      </w:r>
      <w:r w:rsidR="00137253">
        <w:rPr>
          <w:rFonts w:cs="Arial"/>
          <w:szCs w:val="24"/>
        </w:rPr>
        <w:t>distinguish</w:t>
      </w:r>
      <w:r w:rsidR="00C06D1A">
        <w:rPr>
          <w:rFonts w:cs="Arial"/>
          <w:szCs w:val="24"/>
        </w:rPr>
        <w:t xml:space="preserve"> </w:t>
      </w:r>
      <w:r>
        <w:rPr>
          <w:rFonts w:cs="Arial"/>
          <w:szCs w:val="24"/>
        </w:rPr>
        <w:t xml:space="preserve">Grounded </w:t>
      </w:r>
      <w:r>
        <w:rPr>
          <w:rFonts w:cs="Arial"/>
          <w:szCs w:val="24"/>
        </w:rPr>
        <w:lastRenderedPageBreak/>
        <w:t>Theory</w:t>
      </w:r>
      <w:r w:rsidR="00C06D1A">
        <w:rPr>
          <w:rFonts w:cs="Arial"/>
          <w:szCs w:val="24"/>
        </w:rPr>
        <w:t xml:space="preserve"> from other types of qualitative inquiry is the simultaneous conduction of data collection and </w:t>
      </w:r>
      <w:r w:rsidR="00137253">
        <w:rPr>
          <w:rFonts w:cs="Arial"/>
          <w:szCs w:val="24"/>
        </w:rPr>
        <w:t>analysis, which</w:t>
      </w:r>
      <w:r w:rsidR="00C06D1A">
        <w:rPr>
          <w:rFonts w:cs="Arial"/>
          <w:szCs w:val="24"/>
        </w:rPr>
        <w:t xml:space="preserve"> then informs further process and inquiry. </w:t>
      </w:r>
      <w:r w:rsidR="00DF2C5D">
        <w:rPr>
          <w:rFonts w:cs="Arial"/>
          <w:szCs w:val="24"/>
        </w:rPr>
        <w:t>For</w:t>
      </w:r>
      <w:r w:rsidR="00F64A34">
        <w:rPr>
          <w:rFonts w:cs="Arial"/>
          <w:szCs w:val="24"/>
        </w:rPr>
        <w:t xml:space="preserve"> this study, emergent themes from</w:t>
      </w:r>
      <w:r w:rsidR="00DF2C5D">
        <w:rPr>
          <w:rFonts w:cs="Arial"/>
          <w:szCs w:val="24"/>
        </w:rPr>
        <w:t xml:space="preserve"> the</w:t>
      </w:r>
      <w:r w:rsidR="00F64A34">
        <w:rPr>
          <w:rFonts w:cs="Arial"/>
          <w:szCs w:val="24"/>
        </w:rPr>
        <w:t xml:space="preserve"> initial </w:t>
      </w:r>
      <w:r w:rsidR="00173DE4">
        <w:rPr>
          <w:rFonts w:cs="Arial"/>
          <w:szCs w:val="24"/>
        </w:rPr>
        <w:t>focus group</w:t>
      </w:r>
      <w:r w:rsidR="00F64A34">
        <w:rPr>
          <w:rFonts w:cs="Arial"/>
          <w:szCs w:val="24"/>
        </w:rPr>
        <w:t>s informed</w:t>
      </w:r>
      <w:r w:rsidR="00DF2C5D">
        <w:rPr>
          <w:rFonts w:cs="Arial"/>
          <w:szCs w:val="24"/>
        </w:rPr>
        <w:t xml:space="preserve"> the</w:t>
      </w:r>
      <w:r w:rsidR="00F64A34">
        <w:rPr>
          <w:rFonts w:cs="Arial"/>
          <w:szCs w:val="24"/>
        </w:rPr>
        <w:t xml:space="preserve"> intervention and assessment </w:t>
      </w:r>
      <w:r w:rsidR="00693688">
        <w:rPr>
          <w:rFonts w:cs="Arial"/>
          <w:szCs w:val="24"/>
        </w:rPr>
        <w:t>design. Emergent</w:t>
      </w:r>
      <w:r w:rsidR="00F64A34">
        <w:rPr>
          <w:rFonts w:cs="Arial"/>
          <w:szCs w:val="24"/>
        </w:rPr>
        <w:t xml:space="preserve"> themes fr</w:t>
      </w:r>
      <w:r w:rsidR="0016346F">
        <w:rPr>
          <w:rFonts w:cs="Arial"/>
          <w:szCs w:val="24"/>
        </w:rPr>
        <w:t>o</w:t>
      </w:r>
      <w:r w:rsidR="00F64A34">
        <w:rPr>
          <w:rFonts w:cs="Arial"/>
          <w:szCs w:val="24"/>
        </w:rPr>
        <w:t xml:space="preserve">m </w:t>
      </w:r>
      <w:r>
        <w:rPr>
          <w:rFonts w:cs="Arial"/>
          <w:szCs w:val="24"/>
        </w:rPr>
        <w:t>post-course</w:t>
      </w:r>
      <w:r w:rsidR="00F64A34">
        <w:rPr>
          <w:rFonts w:cs="Arial"/>
          <w:szCs w:val="24"/>
        </w:rPr>
        <w:t xml:space="preserve"> </w:t>
      </w:r>
      <w:r w:rsidR="00173DE4">
        <w:rPr>
          <w:rFonts w:cs="Arial"/>
          <w:szCs w:val="24"/>
        </w:rPr>
        <w:t>focus group</w:t>
      </w:r>
      <w:r w:rsidR="00F64A34">
        <w:rPr>
          <w:rFonts w:cs="Arial"/>
          <w:szCs w:val="24"/>
        </w:rPr>
        <w:t xml:space="preserve">s informed development and structure of the topic guide for qualitative </w:t>
      </w:r>
      <w:r>
        <w:rPr>
          <w:rFonts w:cs="Arial"/>
          <w:szCs w:val="24"/>
        </w:rPr>
        <w:t>in-depth interviews</w:t>
      </w:r>
      <w:r w:rsidR="00F64A34">
        <w:rPr>
          <w:rFonts w:cs="Arial"/>
          <w:szCs w:val="24"/>
        </w:rPr>
        <w:t xml:space="preserve"> with education and simulation experts. </w:t>
      </w:r>
      <w:r w:rsidR="0016346F">
        <w:rPr>
          <w:rFonts w:cs="Arial"/>
          <w:szCs w:val="24"/>
        </w:rPr>
        <w:t>These t</w:t>
      </w:r>
      <w:r w:rsidR="00F64A34">
        <w:rPr>
          <w:rFonts w:cs="Arial"/>
          <w:szCs w:val="24"/>
        </w:rPr>
        <w:t>hemes</w:t>
      </w:r>
      <w:r w:rsidR="00DF2C5D">
        <w:rPr>
          <w:rFonts w:cs="Arial"/>
          <w:szCs w:val="24"/>
        </w:rPr>
        <w:t>,</w:t>
      </w:r>
      <w:r w:rsidR="00F64A34">
        <w:rPr>
          <w:rFonts w:cs="Arial"/>
          <w:szCs w:val="24"/>
        </w:rPr>
        <w:t xml:space="preserve"> grounded in the original data</w:t>
      </w:r>
      <w:r w:rsidR="00DF2C5D">
        <w:rPr>
          <w:rFonts w:cs="Arial"/>
          <w:szCs w:val="24"/>
        </w:rPr>
        <w:t>,</w:t>
      </w:r>
      <w:r w:rsidR="00F64A34">
        <w:rPr>
          <w:rFonts w:cs="Arial"/>
          <w:szCs w:val="24"/>
        </w:rPr>
        <w:t xml:space="preserve"> were then triangulated and </w:t>
      </w:r>
      <w:r w:rsidR="00337A7E">
        <w:rPr>
          <w:rFonts w:cs="Arial"/>
          <w:szCs w:val="24"/>
        </w:rPr>
        <w:t>used</w:t>
      </w:r>
      <w:r w:rsidR="00F64A34">
        <w:rPr>
          <w:rFonts w:cs="Arial"/>
          <w:szCs w:val="24"/>
        </w:rPr>
        <w:t xml:space="preserve"> to </w:t>
      </w:r>
      <w:r w:rsidR="0016346F">
        <w:rPr>
          <w:rFonts w:cs="Arial"/>
          <w:szCs w:val="24"/>
        </w:rPr>
        <w:t xml:space="preserve">cross check </w:t>
      </w:r>
      <w:r w:rsidR="00F64A34">
        <w:rPr>
          <w:rFonts w:cs="Arial"/>
          <w:szCs w:val="24"/>
        </w:rPr>
        <w:t>fit with original findings, themes and data</w:t>
      </w:r>
      <w:r w:rsidR="0016346F">
        <w:rPr>
          <w:rFonts w:cs="Arial"/>
          <w:szCs w:val="24"/>
        </w:rPr>
        <w:t>,</w:t>
      </w:r>
      <w:r w:rsidR="00F64A34">
        <w:rPr>
          <w:rFonts w:cs="Arial"/>
          <w:szCs w:val="24"/>
        </w:rPr>
        <w:t xml:space="preserve"> in an iterative process. This</w:t>
      </w:r>
      <w:r w:rsidR="0016346F">
        <w:rPr>
          <w:rFonts w:cs="Arial"/>
          <w:szCs w:val="24"/>
        </w:rPr>
        <w:t xml:space="preserve"> facilitates</w:t>
      </w:r>
      <w:r w:rsidR="00DF2C5D">
        <w:rPr>
          <w:rFonts w:cs="Arial"/>
          <w:szCs w:val="24"/>
        </w:rPr>
        <w:t xml:space="preserve"> a</w:t>
      </w:r>
      <w:r w:rsidR="0016346F">
        <w:rPr>
          <w:rFonts w:cs="Arial"/>
          <w:szCs w:val="24"/>
        </w:rPr>
        <w:t xml:space="preserve"> confirmation of </w:t>
      </w:r>
      <w:r w:rsidR="00F64A34">
        <w:rPr>
          <w:rFonts w:cs="Arial"/>
          <w:szCs w:val="24"/>
        </w:rPr>
        <w:t xml:space="preserve">trustworthiness </w:t>
      </w:r>
      <w:r w:rsidR="00DF2C5D">
        <w:rPr>
          <w:rFonts w:cs="Arial"/>
          <w:szCs w:val="24"/>
        </w:rPr>
        <w:t>in the</w:t>
      </w:r>
      <w:r w:rsidR="00F64A34">
        <w:rPr>
          <w:rFonts w:cs="Arial"/>
          <w:szCs w:val="24"/>
        </w:rPr>
        <w:t xml:space="preserve"> data and results. </w:t>
      </w:r>
    </w:p>
    <w:p w14:paraId="77415514" w14:textId="6AEF32BB" w:rsidR="00C06D1A" w:rsidRDefault="00DF2C5D" w:rsidP="00C06D1A">
      <w:pPr>
        <w:rPr>
          <w:rFonts w:cs="Arial"/>
          <w:szCs w:val="24"/>
        </w:rPr>
      </w:pPr>
      <w:r>
        <w:rPr>
          <w:rFonts w:cs="Arial"/>
          <w:szCs w:val="24"/>
        </w:rPr>
        <w:t xml:space="preserve">There are three versions of </w:t>
      </w:r>
      <w:r w:rsidR="001D42C9">
        <w:rPr>
          <w:rFonts w:cs="Arial"/>
          <w:szCs w:val="24"/>
        </w:rPr>
        <w:t>Grounded Theory</w:t>
      </w:r>
      <w:r>
        <w:rPr>
          <w:rFonts w:cs="Arial"/>
          <w:szCs w:val="24"/>
        </w:rPr>
        <w:t xml:space="preserve">. </w:t>
      </w:r>
      <w:r w:rsidR="00C06D1A">
        <w:rPr>
          <w:rFonts w:cs="Arial"/>
          <w:szCs w:val="24"/>
        </w:rPr>
        <w:t xml:space="preserve">The constructivist (Glaser </w:t>
      </w:r>
      <w:r w:rsidR="009B3879">
        <w:rPr>
          <w:rFonts w:cs="Arial"/>
          <w:szCs w:val="24"/>
        </w:rPr>
        <w:t>and</w:t>
      </w:r>
      <w:r w:rsidR="00C06D1A">
        <w:rPr>
          <w:rFonts w:cs="Arial"/>
          <w:szCs w:val="24"/>
        </w:rPr>
        <w:t xml:space="preserve"> Strauss) view</w:t>
      </w:r>
      <w:r w:rsidR="0016346F">
        <w:rPr>
          <w:rFonts w:cs="Arial"/>
          <w:szCs w:val="24"/>
        </w:rPr>
        <w:t>s</w:t>
      </w:r>
      <w:r w:rsidR="00C06D1A">
        <w:rPr>
          <w:rFonts w:cs="Arial"/>
          <w:szCs w:val="24"/>
        </w:rPr>
        <w:t xml:space="preserve"> ‘knowledge as located in time, space and situation’ </w:t>
      </w:r>
      <w:r w:rsidR="00C06D1A">
        <w:rPr>
          <w:rFonts w:cs="Arial"/>
          <w:szCs w:val="24"/>
        </w:rPr>
        <w:fldChar w:fldCharType="begin"/>
      </w:r>
      <w:r w:rsidR="005823F4">
        <w:rPr>
          <w:rFonts w:cs="Arial"/>
          <w:szCs w:val="24"/>
        </w:rPr>
        <w:instrText xml:space="preserve"> ADDIN EN.CITE &lt;EndNote&gt;&lt;Cite&gt;&lt;Author&gt;Denzin&lt;/Author&gt;&lt;Year&gt;2013&lt;/Year&gt;&lt;IDText&gt;Strategies of qualitative inquiry&lt;/IDText&gt;&lt;DisplayText&gt;(Denzin and Lincoln, 2013)&lt;/DisplayText&gt;&lt;record&gt;&lt;titles&gt;&lt;title&gt;Strategies of qualitative inquiry&lt;/title&gt;&lt;/titles&gt;&lt;contributors&gt;&lt;authors&gt;&lt;author&gt;Denzin, N K&lt;/author&gt;&lt;author&gt;Lincoln, Y S&lt;/author&gt;&lt;/authors&gt;&lt;/contributors&gt;&lt;edition&gt;4th&lt;/edition&gt;&lt;added-date format="utc"&gt;1400250453&lt;/added-date&gt;&lt;pub-location&gt;Thousand Oaks, CA&lt;/pub-location&gt;&lt;ref-type name="Book"&gt;6&lt;/ref-type&gt;&lt;dates&gt;&lt;year&gt;2013&lt;/year&gt;&lt;/dates&gt;&lt;rec-number&gt;144&lt;/rec-number&gt;&lt;publisher&gt;Sage&lt;/publisher&gt;&lt;last-updated-date format="utc"&gt;1400250569&lt;/last-updated-date&gt;&lt;/record&gt;&lt;/Cite&gt;&lt;/EndNote&gt;</w:instrText>
      </w:r>
      <w:r w:rsidR="00C06D1A">
        <w:rPr>
          <w:rFonts w:cs="Arial"/>
          <w:szCs w:val="24"/>
        </w:rPr>
        <w:fldChar w:fldCharType="separate"/>
      </w:r>
      <w:r w:rsidR="005823F4">
        <w:rPr>
          <w:rFonts w:cs="Arial"/>
          <w:noProof/>
          <w:szCs w:val="24"/>
        </w:rPr>
        <w:t>(Denzin and Lincoln, 2013)</w:t>
      </w:r>
      <w:r w:rsidR="00C06D1A">
        <w:rPr>
          <w:rFonts w:cs="Arial"/>
          <w:szCs w:val="24"/>
        </w:rPr>
        <w:fldChar w:fldCharType="end"/>
      </w:r>
      <w:r w:rsidR="00C06D1A">
        <w:rPr>
          <w:rFonts w:cs="Arial"/>
          <w:szCs w:val="24"/>
        </w:rPr>
        <w:t>. The objectivist</w:t>
      </w:r>
      <w:r w:rsidR="0016346F">
        <w:rPr>
          <w:rFonts w:cs="Arial"/>
          <w:szCs w:val="24"/>
        </w:rPr>
        <w:t>,</w:t>
      </w:r>
      <w:r w:rsidR="00C06D1A">
        <w:rPr>
          <w:rFonts w:cs="Arial"/>
          <w:szCs w:val="24"/>
        </w:rPr>
        <w:t xml:space="preserve"> while mirroring the construction of emerging concepts</w:t>
      </w:r>
      <w:r w:rsidR="0016346F">
        <w:rPr>
          <w:rFonts w:cs="Arial"/>
          <w:szCs w:val="24"/>
        </w:rPr>
        <w:t>,</w:t>
      </w:r>
      <w:r w:rsidR="00C06D1A">
        <w:rPr>
          <w:rFonts w:cs="Arial"/>
          <w:szCs w:val="24"/>
        </w:rPr>
        <w:t xml:space="preserve"> aims for ‘abstract generalisations, independent o</w:t>
      </w:r>
      <w:r w:rsidR="0016346F">
        <w:rPr>
          <w:rFonts w:cs="Arial"/>
          <w:szCs w:val="24"/>
        </w:rPr>
        <w:t>f</w:t>
      </w:r>
      <w:r w:rsidR="00C06D1A">
        <w:rPr>
          <w:rFonts w:cs="Arial"/>
          <w:szCs w:val="24"/>
        </w:rPr>
        <w:t xml:space="preserve"> time, place and people’ </w:t>
      </w:r>
      <w:r w:rsidR="00C06D1A">
        <w:rPr>
          <w:rFonts w:cs="Arial"/>
          <w:szCs w:val="24"/>
        </w:rPr>
        <w:fldChar w:fldCharType="begin"/>
      </w:r>
      <w:r w:rsidR="005823F4">
        <w:rPr>
          <w:rFonts w:cs="Arial"/>
          <w:szCs w:val="24"/>
        </w:rPr>
        <w:instrText xml:space="preserve"> ADDIN EN.CITE &lt;EndNote&gt;&lt;Cite&gt;&lt;Author&gt;Denzin&lt;/Author&gt;&lt;Year&gt;2013&lt;/Year&gt;&lt;IDText&gt;Strategies of qualitative inquiry&lt;/IDText&gt;&lt;DisplayText&gt;(Denzin and Lincoln, 2013)&lt;/DisplayText&gt;&lt;record&gt;&lt;titles&gt;&lt;title&gt;Strategies of qualitative inquiry&lt;/title&gt;&lt;/titles&gt;&lt;contributors&gt;&lt;authors&gt;&lt;author&gt;Denzin, N K&lt;/author&gt;&lt;author&gt;Lincoln, Y S&lt;/author&gt;&lt;/authors&gt;&lt;/contributors&gt;&lt;edition&gt;4th&lt;/edition&gt;&lt;added-date format="utc"&gt;1400250453&lt;/added-date&gt;&lt;pub-location&gt;Thousand Oaks, CA&lt;/pub-location&gt;&lt;ref-type name="Book"&gt;6&lt;/ref-type&gt;&lt;dates&gt;&lt;year&gt;2013&lt;/year&gt;&lt;/dates&gt;&lt;rec-number&gt;144&lt;/rec-number&gt;&lt;publisher&gt;Sage&lt;/publisher&gt;&lt;last-updated-date format="utc"&gt;1400250569&lt;/last-updated-date&gt;&lt;/record&gt;&lt;/Cite&gt;&lt;/EndNote&gt;</w:instrText>
      </w:r>
      <w:r w:rsidR="00C06D1A">
        <w:rPr>
          <w:rFonts w:cs="Arial"/>
          <w:szCs w:val="24"/>
        </w:rPr>
        <w:fldChar w:fldCharType="separate"/>
      </w:r>
      <w:r w:rsidR="005823F4">
        <w:rPr>
          <w:rFonts w:cs="Arial"/>
          <w:noProof/>
          <w:szCs w:val="24"/>
        </w:rPr>
        <w:t>(Denzin and Lincoln, 2013)</w:t>
      </w:r>
      <w:r w:rsidR="00C06D1A">
        <w:rPr>
          <w:rFonts w:cs="Arial"/>
          <w:szCs w:val="24"/>
        </w:rPr>
        <w:fldChar w:fldCharType="end"/>
      </w:r>
      <w:r w:rsidR="00C06D1A">
        <w:rPr>
          <w:rFonts w:cs="Arial"/>
          <w:szCs w:val="24"/>
        </w:rPr>
        <w:t xml:space="preserve">. Post-positivist </w:t>
      </w:r>
      <w:r w:rsidR="001D42C9">
        <w:rPr>
          <w:rFonts w:cs="Arial"/>
          <w:szCs w:val="24"/>
        </w:rPr>
        <w:t>Grounded Theory</w:t>
      </w:r>
      <w:r w:rsidR="00C06D1A">
        <w:rPr>
          <w:rFonts w:cs="Arial"/>
          <w:szCs w:val="24"/>
        </w:rPr>
        <w:t xml:space="preserve"> (Corbin </w:t>
      </w:r>
      <w:r w:rsidR="009B3879">
        <w:rPr>
          <w:rFonts w:cs="Arial"/>
          <w:szCs w:val="24"/>
        </w:rPr>
        <w:t>and</w:t>
      </w:r>
      <w:r w:rsidR="00C06D1A">
        <w:rPr>
          <w:rFonts w:cs="Arial"/>
          <w:szCs w:val="24"/>
        </w:rPr>
        <w:t xml:space="preserve"> Strauss 1990</w:t>
      </w:r>
      <w:r w:rsidR="003A7D42">
        <w:rPr>
          <w:rFonts w:cs="Arial"/>
          <w:szCs w:val="24"/>
        </w:rPr>
        <w:t>)</w:t>
      </w:r>
      <w:r w:rsidR="00C06D1A">
        <w:rPr>
          <w:rFonts w:cs="Arial"/>
          <w:szCs w:val="24"/>
        </w:rPr>
        <w:t xml:space="preserve"> represents a ‘middle ground’ between the two models</w:t>
      </w:r>
      <w:r w:rsidR="009E1E4A">
        <w:rPr>
          <w:rFonts w:cs="Arial"/>
          <w:szCs w:val="24"/>
        </w:rPr>
        <w:t>, with</w:t>
      </w:r>
      <w:r w:rsidR="00C06D1A">
        <w:rPr>
          <w:rFonts w:cs="Arial"/>
          <w:szCs w:val="24"/>
        </w:rPr>
        <w:t xml:space="preserve"> reduced emphasis on emergent themes by creating pre-planned coding and data framework analysis tools. There is an increased belief in evolution and ‘openness to change’ describing ‘reality as fluid’ </w:t>
      </w:r>
      <w:r w:rsidR="00C06D1A">
        <w:rPr>
          <w:rFonts w:cs="Arial"/>
          <w:szCs w:val="24"/>
        </w:rPr>
        <w:fldChar w:fldCharType="begin"/>
      </w:r>
      <w:r w:rsidR="005823F4">
        <w:rPr>
          <w:rFonts w:cs="Arial"/>
          <w:szCs w:val="24"/>
        </w:rPr>
        <w:instrText xml:space="preserve"> ADDIN EN.CITE &lt;EndNote&gt;&lt;Cite&gt;&lt;Author&gt;Denzin&lt;/Author&gt;&lt;Year&gt;2013&lt;/Year&gt;&lt;IDText&gt;Strategies of qualitative inquiry&lt;/IDText&gt;&lt;DisplayText&gt;(Denzin and Lincoln, 2013)&lt;/DisplayText&gt;&lt;record&gt;&lt;titles&gt;&lt;title&gt;Strategies of qualitative inquiry&lt;/title&gt;&lt;/titles&gt;&lt;contributors&gt;&lt;authors&gt;&lt;author&gt;Denzin, N K&lt;/author&gt;&lt;author&gt;Lincoln, Y S&lt;/author&gt;&lt;/authors&gt;&lt;/contributors&gt;&lt;edition&gt;4th&lt;/edition&gt;&lt;added-date format="utc"&gt;1400250453&lt;/added-date&gt;&lt;pub-location&gt;Thousand Oaks, CA&lt;/pub-location&gt;&lt;ref-type name="Book"&gt;6&lt;/ref-type&gt;&lt;dates&gt;&lt;year&gt;2013&lt;/year&gt;&lt;/dates&gt;&lt;rec-number&gt;144&lt;/rec-number&gt;&lt;publisher&gt;Sage&lt;/publisher&gt;&lt;last-updated-date format="utc"&gt;1400250569&lt;/last-updated-date&gt;&lt;/record&gt;&lt;/Cite&gt;&lt;/EndNote&gt;</w:instrText>
      </w:r>
      <w:r w:rsidR="00C06D1A">
        <w:rPr>
          <w:rFonts w:cs="Arial"/>
          <w:szCs w:val="24"/>
        </w:rPr>
        <w:fldChar w:fldCharType="separate"/>
      </w:r>
      <w:r w:rsidR="005823F4">
        <w:rPr>
          <w:rFonts w:cs="Arial"/>
          <w:noProof/>
          <w:szCs w:val="24"/>
        </w:rPr>
        <w:t>(Denzin and Lincoln, 2013)</w:t>
      </w:r>
      <w:r w:rsidR="00C06D1A">
        <w:rPr>
          <w:rFonts w:cs="Arial"/>
          <w:szCs w:val="24"/>
        </w:rPr>
        <w:fldChar w:fldCharType="end"/>
      </w:r>
      <w:r w:rsidR="00C06D1A">
        <w:rPr>
          <w:rFonts w:cs="Arial"/>
          <w:szCs w:val="24"/>
        </w:rPr>
        <w:t xml:space="preserve">. </w:t>
      </w:r>
      <w:r w:rsidR="001D42C9">
        <w:rPr>
          <w:rFonts w:cs="Arial"/>
          <w:szCs w:val="24"/>
        </w:rPr>
        <w:t>Grounded Theory</w:t>
      </w:r>
      <w:r w:rsidR="00C06D1A">
        <w:rPr>
          <w:rFonts w:cs="Arial"/>
          <w:szCs w:val="24"/>
        </w:rPr>
        <w:t xml:space="preserve"> has been acknowledged as a useful qualitative method to </w:t>
      </w:r>
      <w:r w:rsidR="00337A7E">
        <w:rPr>
          <w:rFonts w:cs="Arial"/>
          <w:szCs w:val="24"/>
        </w:rPr>
        <w:t>use</w:t>
      </w:r>
      <w:r w:rsidR="00C06D1A">
        <w:rPr>
          <w:rFonts w:cs="Arial"/>
          <w:szCs w:val="24"/>
        </w:rPr>
        <w:t xml:space="preserve"> in mixed methods research. </w:t>
      </w:r>
    </w:p>
    <w:p w14:paraId="2069C652" w14:textId="20C899E5" w:rsidR="00C06D1A" w:rsidRDefault="00C06D1A" w:rsidP="00C06D1A">
      <w:pPr>
        <w:rPr>
          <w:rFonts w:cs="Arial"/>
          <w:szCs w:val="24"/>
        </w:rPr>
      </w:pPr>
      <w:r>
        <w:rPr>
          <w:rFonts w:cs="Arial"/>
          <w:szCs w:val="24"/>
        </w:rPr>
        <w:t>Mixed methods research</w:t>
      </w:r>
      <w:r w:rsidR="00E41FF6">
        <w:rPr>
          <w:rFonts w:cs="Arial"/>
          <w:szCs w:val="24"/>
        </w:rPr>
        <w:t>ers have been criticised for</w:t>
      </w:r>
      <w:r>
        <w:rPr>
          <w:rFonts w:cs="Arial"/>
          <w:szCs w:val="24"/>
        </w:rPr>
        <w:t xml:space="preserve"> u</w:t>
      </w:r>
      <w:r w:rsidR="00DF2C5D">
        <w:rPr>
          <w:rFonts w:cs="Arial"/>
          <w:szCs w:val="24"/>
        </w:rPr>
        <w:t>sing</w:t>
      </w:r>
      <w:r>
        <w:rPr>
          <w:rFonts w:cs="Arial"/>
          <w:szCs w:val="24"/>
        </w:rPr>
        <w:t xml:space="preserve"> this process as a tool to produce outcomes, regardless of the reasons for adopting the</w:t>
      </w:r>
      <w:r w:rsidR="00DF2C5D">
        <w:rPr>
          <w:rFonts w:cs="Arial"/>
          <w:szCs w:val="24"/>
        </w:rPr>
        <w:t>m</w:t>
      </w:r>
      <w:r>
        <w:rPr>
          <w:rFonts w:cs="Arial"/>
          <w:szCs w:val="24"/>
        </w:rPr>
        <w:t xml:space="preserve"> </w:t>
      </w:r>
      <w:r>
        <w:rPr>
          <w:rFonts w:cs="Arial"/>
          <w:szCs w:val="24"/>
        </w:rPr>
        <w:fldChar w:fldCharType="begin"/>
      </w:r>
      <w:r w:rsidR="005823F4">
        <w:rPr>
          <w:rFonts w:cs="Arial"/>
          <w:szCs w:val="24"/>
        </w:rPr>
        <w:instrText xml:space="preserve"> ADDIN EN.CITE &lt;EndNote&gt;&lt;Cite&gt;&lt;Author&gt;Denzin&lt;/Author&gt;&lt;Year&gt;2013&lt;/Year&gt;&lt;IDText&gt;Strategies of qualitative inquiry&lt;/IDText&gt;&lt;DisplayText&gt;(Denzin and Lincoln, 2013)&lt;/DisplayText&gt;&lt;record&gt;&lt;titles&gt;&lt;title&gt;Strategies of qualitative inquiry&lt;/title&gt;&lt;/titles&gt;&lt;contributors&gt;&lt;authors&gt;&lt;author&gt;Denzin, N K&lt;/author&gt;&lt;author&gt;Lincoln, Y S&lt;/author&gt;&lt;/authors&gt;&lt;/contributors&gt;&lt;edition&gt;4th&lt;/edition&gt;&lt;added-date format="utc"&gt;1400250453&lt;/added-date&gt;&lt;pub-location&gt;Thousand Oaks, CA&lt;/pub-location&gt;&lt;ref-type name="Book"&gt;6&lt;/ref-type&gt;&lt;dates&gt;&lt;year&gt;2013&lt;/year&gt;&lt;/dates&gt;&lt;rec-number&gt;144&lt;/rec-number&gt;&lt;publisher&gt;Sage&lt;/publisher&gt;&lt;last-updated-date format="utc"&gt;1400250569&lt;/last-updated-date&gt;&lt;/record&gt;&lt;/Cite&gt;&lt;/EndNote&gt;</w:instrText>
      </w:r>
      <w:r>
        <w:rPr>
          <w:rFonts w:cs="Arial"/>
          <w:szCs w:val="24"/>
        </w:rPr>
        <w:fldChar w:fldCharType="separate"/>
      </w:r>
      <w:r w:rsidR="005823F4">
        <w:rPr>
          <w:rFonts w:cs="Arial"/>
          <w:noProof/>
          <w:szCs w:val="24"/>
        </w:rPr>
        <w:t>(Denzin and Lincoln, 2013)</w:t>
      </w:r>
      <w:r>
        <w:rPr>
          <w:rFonts w:cs="Arial"/>
          <w:szCs w:val="24"/>
        </w:rPr>
        <w:fldChar w:fldCharType="end"/>
      </w:r>
      <w:r>
        <w:rPr>
          <w:rFonts w:cs="Arial"/>
          <w:szCs w:val="24"/>
        </w:rPr>
        <w:t xml:space="preserve">. </w:t>
      </w:r>
      <w:r w:rsidR="009547CF">
        <w:rPr>
          <w:rFonts w:cs="Arial"/>
          <w:szCs w:val="24"/>
        </w:rPr>
        <w:t>M</w:t>
      </w:r>
      <w:r>
        <w:rPr>
          <w:rFonts w:cs="Arial"/>
          <w:szCs w:val="24"/>
        </w:rPr>
        <w:t>ixed methods</w:t>
      </w:r>
      <w:r w:rsidR="009547CF">
        <w:rPr>
          <w:rFonts w:cs="Arial"/>
          <w:szCs w:val="24"/>
        </w:rPr>
        <w:t xml:space="preserve"> h</w:t>
      </w:r>
      <w:r w:rsidR="00EA7A7A">
        <w:rPr>
          <w:rFonts w:cs="Arial"/>
          <w:szCs w:val="24"/>
        </w:rPr>
        <w:t xml:space="preserve">ave been </w:t>
      </w:r>
      <w:r w:rsidR="00337A7E">
        <w:rPr>
          <w:rFonts w:cs="Arial"/>
          <w:szCs w:val="24"/>
        </w:rPr>
        <w:t>used</w:t>
      </w:r>
      <w:r w:rsidR="00EA7A7A">
        <w:rPr>
          <w:rFonts w:cs="Arial"/>
          <w:szCs w:val="24"/>
        </w:rPr>
        <w:t xml:space="preserve"> in this resear</w:t>
      </w:r>
      <w:r w:rsidR="009547CF">
        <w:rPr>
          <w:rFonts w:cs="Arial"/>
          <w:szCs w:val="24"/>
        </w:rPr>
        <w:t>ch</w:t>
      </w:r>
      <w:r>
        <w:rPr>
          <w:rFonts w:cs="Arial"/>
          <w:szCs w:val="24"/>
        </w:rPr>
        <w:t xml:space="preserve"> </w:t>
      </w:r>
      <w:r w:rsidR="009547CF">
        <w:rPr>
          <w:rFonts w:cs="Arial"/>
          <w:szCs w:val="24"/>
        </w:rPr>
        <w:t>to</w:t>
      </w:r>
      <w:r>
        <w:rPr>
          <w:rFonts w:cs="Arial"/>
          <w:szCs w:val="24"/>
        </w:rPr>
        <w:t xml:space="preserve"> challenge </w:t>
      </w:r>
      <w:r w:rsidR="00EA7A7A">
        <w:rPr>
          <w:rFonts w:cs="Arial"/>
          <w:szCs w:val="24"/>
        </w:rPr>
        <w:t>and</w:t>
      </w:r>
      <w:r>
        <w:rPr>
          <w:rFonts w:cs="Arial"/>
          <w:szCs w:val="24"/>
        </w:rPr>
        <w:t xml:space="preserve"> confirm findings, reduce single investigator biases</w:t>
      </w:r>
      <w:r w:rsidR="00EA7A7A">
        <w:rPr>
          <w:rFonts w:cs="Arial"/>
          <w:szCs w:val="24"/>
        </w:rPr>
        <w:t xml:space="preserve"> and</w:t>
      </w:r>
      <w:r>
        <w:rPr>
          <w:rFonts w:cs="Arial"/>
          <w:szCs w:val="24"/>
        </w:rPr>
        <w:t xml:space="preserve"> increase </w:t>
      </w:r>
      <w:r w:rsidR="001F6718">
        <w:rPr>
          <w:rFonts w:cs="Arial"/>
          <w:szCs w:val="24"/>
        </w:rPr>
        <w:lastRenderedPageBreak/>
        <w:t>generalisability</w:t>
      </w:r>
      <w:r>
        <w:rPr>
          <w:rFonts w:cs="Arial"/>
          <w:szCs w:val="24"/>
        </w:rPr>
        <w:t xml:space="preserve"> </w:t>
      </w:r>
      <w:r w:rsidR="00EA7A7A">
        <w:rPr>
          <w:rFonts w:cs="Arial"/>
          <w:szCs w:val="24"/>
        </w:rPr>
        <w:t xml:space="preserve">to </w:t>
      </w:r>
      <w:r>
        <w:rPr>
          <w:rFonts w:cs="Arial"/>
          <w:szCs w:val="24"/>
        </w:rPr>
        <w:t>inform changes to professional practice within undergraduate medical education</w:t>
      </w:r>
      <w:r w:rsidR="00EA7A7A">
        <w:rPr>
          <w:rFonts w:cs="Arial"/>
          <w:szCs w:val="24"/>
        </w:rPr>
        <w:t>.</w:t>
      </w:r>
    </w:p>
    <w:p w14:paraId="14EA05F1" w14:textId="35B9E30C" w:rsidR="00C06D1A" w:rsidRDefault="001D42C9" w:rsidP="00C06D1A">
      <w:pPr>
        <w:rPr>
          <w:rFonts w:cs="Arial"/>
          <w:szCs w:val="24"/>
        </w:rPr>
      </w:pPr>
      <w:r>
        <w:rPr>
          <w:rFonts w:cs="Arial"/>
          <w:szCs w:val="24"/>
        </w:rPr>
        <w:t>Grounded Theory</w:t>
      </w:r>
      <w:r w:rsidR="00C06D1A">
        <w:rPr>
          <w:rFonts w:cs="Arial"/>
          <w:szCs w:val="24"/>
        </w:rPr>
        <w:t xml:space="preserve"> in practice includes the </w:t>
      </w:r>
      <w:r w:rsidR="00F6438B">
        <w:rPr>
          <w:rFonts w:cs="Arial"/>
          <w:szCs w:val="24"/>
        </w:rPr>
        <w:t>use</w:t>
      </w:r>
      <w:r w:rsidR="00C06D1A">
        <w:rPr>
          <w:rFonts w:cs="Arial"/>
          <w:szCs w:val="24"/>
        </w:rPr>
        <w:t xml:space="preserve"> of coding, theoretical sampling, saturation, memo</w:t>
      </w:r>
      <w:r w:rsidR="00F6438B">
        <w:rPr>
          <w:rFonts w:cs="Arial"/>
          <w:szCs w:val="24"/>
        </w:rPr>
        <w:t>-</w:t>
      </w:r>
      <w:r w:rsidR="00C06D1A">
        <w:rPr>
          <w:rFonts w:cs="Arial"/>
          <w:szCs w:val="24"/>
        </w:rPr>
        <w:t>writing and sorting.</w:t>
      </w:r>
      <w:r w:rsidR="00C06D1A" w:rsidRPr="004B2069">
        <w:rPr>
          <w:rFonts w:cs="Arial"/>
          <w:szCs w:val="24"/>
        </w:rPr>
        <w:t xml:space="preserve"> </w:t>
      </w:r>
      <w:r w:rsidR="00C06D1A">
        <w:rPr>
          <w:rFonts w:cs="Arial"/>
          <w:szCs w:val="24"/>
        </w:rPr>
        <w:t>Coding data for actions allows definition and exploration of what is happening in a particular piece of data or description of interaction or event. Coding for topics and themes allows</w:t>
      </w:r>
      <w:r w:rsidR="00F6438B">
        <w:rPr>
          <w:rFonts w:cs="Arial"/>
          <w:szCs w:val="24"/>
        </w:rPr>
        <w:t xml:space="preserve"> for a</w:t>
      </w:r>
      <w:r w:rsidR="00C06D1A">
        <w:rPr>
          <w:rFonts w:cs="Arial"/>
          <w:szCs w:val="24"/>
        </w:rPr>
        <w:t xml:space="preserve"> clearer synthesis of data but cannot divide topics as easily as actions do, </w:t>
      </w:r>
      <w:r w:rsidR="00137253">
        <w:rPr>
          <w:rFonts w:cs="Arial"/>
          <w:szCs w:val="24"/>
        </w:rPr>
        <w:t>or</w:t>
      </w:r>
      <w:r w:rsidR="00C06D1A">
        <w:rPr>
          <w:rFonts w:cs="Arial"/>
          <w:szCs w:val="24"/>
        </w:rPr>
        <w:t xml:space="preserve"> display relationships between themes.</w:t>
      </w:r>
    </w:p>
    <w:p w14:paraId="280A9E67" w14:textId="07274965" w:rsidR="009547CF" w:rsidRDefault="00250F50" w:rsidP="009547CF">
      <w:pPr>
        <w:rPr>
          <w:rFonts w:cs="Arial"/>
          <w:szCs w:val="24"/>
        </w:rPr>
      </w:pPr>
      <w:r>
        <w:rPr>
          <w:rFonts w:cs="Arial"/>
          <w:szCs w:val="24"/>
        </w:rPr>
        <w:t xml:space="preserve">Charmaz (2014, 2015) </w:t>
      </w:r>
      <w:r w:rsidR="009547CF">
        <w:rPr>
          <w:rFonts w:cs="Arial"/>
          <w:szCs w:val="24"/>
        </w:rPr>
        <w:t xml:space="preserve">has moved </w:t>
      </w:r>
      <w:r w:rsidR="001D42C9">
        <w:rPr>
          <w:rFonts w:cs="Arial"/>
          <w:szCs w:val="24"/>
        </w:rPr>
        <w:t>Grounded Theory</w:t>
      </w:r>
      <w:r w:rsidR="009547CF">
        <w:rPr>
          <w:rFonts w:cs="Arial"/>
          <w:szCs w:val="24"/>
        </w:rPr>
        <w:t xml:space="preserve"> thinking on, in terms of </w:t>
      </w:r>
      <w:r w:rsidR="00F6438B">
        <w:rPr>
          <w:rFonts w:cs="Arial"/>
          <w:szCs w:val="24"/>
        </w:rPr>
        <w:t xml:space="preserve">its </w:t>
      </w:r>
      <w:r w:rsidR="009547CF">
        <w:rPr>
          <w:rFonts w:cs="Arial"/>
          <w:szCs w:val="24"/>
        </w:rPr>
        <w:t xml:space="preserve">construction </w:t>
      </w:r>
      <w:r w:rsidR="00EA7A7A">
        <w:rPr>
          <w:rFonts w:cs="Arial"/>
          <w:szCs w:val="24"/>
        </w:rPr>
        <w:t>and abstract conceptualisation. P</w:t>
      </w:r>
      <w:r w:rsidR="009547CF">
        <w:rPr>
          <w:rFonts w:cs="Arial"/>
          <w:szCs w:val="24"/>
        </w:rPr>
        <w:t>revious views of ‘theoretical sampling, saturating categories, sorting and integration’</w:t>
      </w:r>
      <w:r w:rsidR="00F6438B">
        <w:rPr>
          <w:rFonts w:cs="Arial"/>
          <w:szCs w:val="24"/>
        </w:rPr>
        <w:t>,</w:t>
      </w:r>
      <w:r w:rsidR="009547CF">
        <w:rPr>
          <w:rFonts w:cs="Arial"/>
          <w:szCs w:val="24"/>
        </w:rPr>
        <w:t xml:space="preserve"> </w:t>
      </w:r>
      <w:r w:rsidR="00EA7A7A">
        <w:rPr>
          <w:rFonts w:cs="Arial"/>
          <w:szCs w:val="24"/>
        </w:rPr>
        <w:t xml:space="preserve">have moved </w:t>
      </w:r>
      <w:r w:rsidR="009547CF">
        <w:rPr>
          <w:rFonts w:cs="Arial"/>
          <w:szCs w:val="24"/>
        </w:rPr>
        <w:t>to ‘engagement in theory construction from the start of research through sharpening of comparative analysis and resultant theoretical sampling’</w:t>
      </w:r>
      <w:r>
        <w:rPr>
          <w:rFonts w:cs="Arial"/>
          <w:szCs w:val="24"/>
        </w:rPr>
        <w:fldChar w:fldCharType="begin"/>
      </w:r>
      <w:r>
        <w:rPr>
          <w:rFonts w:cs="Arial"/>
          <w:szCs w:val="24"/>
        </w:rPr>
        <w:instrText xml:space="preserve"> ADDIN EN.CITE &lt;EndNote&gt;&lt;Cite&gt;&lt;Author&gt;Charmaz&lt;/Author&gt;&lt;Year&gt;2015&lt;/Year&gt;&lt;IDText&gt;Teaching Theory Construction With Initial Grounded Theory Tools: A Reflection on Lessons and Learning&lt;/IDText&gt;&lt;DisplayText&gt;(Charmaz, 2015, Charmaz, 2014)&lt;/DisplayText&gt;&lt;record&gt;&lt;dates&gt;&lt;pub-dates&gt;&lt;date&gt;Dec&lt;/date&gt;&lt;/pub-dates&gt;&lt;year&gt;2015&lt;/year&gt;&lt;/dates&gt;&lt;urls&gt;&lt;related-urls&gt;&lt;url&gt;https://www.ncbi.nlm.nih.gov/pubmed/26646825&lt;/url&gt;&lt;/related-urls&gt;&lt;/urls&gt;&lt;isbn&gt;1049-7323&lt;/isbn&gt;&lt;titles&gt;&lt;title&gt;Teaching Theory Construction With Initial Grounded Theory Tools: A Reflection on Lessons and Learning&lt;/title&gt;&lt;secondary-title&gt;Qual Health Res&lt;/secondary-title&gt;&lt;/titles&gt;&lt;pages&gt;1610-22&lt;/pages&gt;&lt;number&gt;12&lt;/number&gt;&lt;contributors&gt;&lt;authors&gt;&lt;author&gt;Charmaz, K.&lt;/author&gt;&lt;/authors&gt;&lt;/contributors&gt;&lt;language&gt;eng&lt;/language&gt;&lt;added-date format="utc"&gt;1481539979&lt;/added-date&gt;&lt;ref-type name="Journal Article"&gt;17&lt;/ref-type&gt;&lt;rec-number&gt;321&lt;/rec-number&gt;&lt;last-updated-date format="utc"&gt;1481539979&lt;/last-updated-date&gt;&lt;accession-num&gt;26646825&lt;/accession-num&gt;&lt;electronic-resource-num&gt;10.1177/1049732315613982&lt;/electronic-resource-num&gt;&lt;volume&gt;25&lt;/volume&gt;&lt;/record&gt;&lt;/Cite&gt;&lt;Cite&gt;&lt;Author&gt;Charmaz&lt;/Author&gt;&lt;Year&gt;2014&lt;/Year&gt;&lt;IDText&gt;Constructing grounded theory&lt;/IDText&gt;&lt;record&gt;&lt;titles&gt;&lt;title&gt;Constructing grounded theory&lt;/title&gt;&lt;/titles&gt;&lt;contributors&gt;&lt;authors&gt;&lt;author&gt;Charmaz, K.&lt;/author&gt;&lt;/authors&gt;&lt;/contributors&gt;&lt;added-date format="utc"&gt;1481541850&lt;/added-date&gt;&lt;pub-location&gt;London&lt;/pub-location&gt;&lt;ref-type name="Book"&gt;6&lt;/ref-type&gt;&lt;dates&gt;&lt;year&gt;2014&lt;/year&gt;&lt;/dates&gt;&lt;rec-number&gt;322&lt;/rec-number&gt;&lt;publisher&gt;Sage&lt;/publisher&gt;&lt;last-updated-date format="utc"&gt;1481541886&lt;/last-updated-date&gt;&lt;/record&gt;&lt;/Cite&gt;&lt;Cite&gt;&lt;record&gt;&lt;added-date format="utc"&gt;1481542336&lt;/added-date&gt;&lt;ref-type name="Book Section"&gt;5&lt;/ref-type&gt;&lt;rec-number&gt;337&lt;/rec-number&gt;&lt;last-updated-date format="utc"&gt;1481542336&lt;/last-updated-date&gt;&lt;contributors&gt;&lt;secondary-authors&gt;&lt;author&gt;J. Morse, P. Stern, J. Corbin, B. Bowers, K. Charmaz &amp;amp; A. Clark&lt;/author&gt;&lt;/secondary-authors&gt;&lt;/contributors&gt;&lt;/record&gt;&lt;/Cite&gt;&lt;/EndNote&gt;</w:instrText>
      </w:r>
      <w:r>
        <w:rPr>
          <w:rFonts w:cs="Arial"/>
          <w:szCs w:val="24"/>
        </w:rPr>
        <w:fldChar w:fldCharType="separate"/>
      </w:r>
      <w:r>
        <w:rPr>
          <w:rFonts w:cs="Arial"/>
          <w:noProof/>
          <w:szCs w:val="24"/>
        </w:rPr>
        <w:t>(Charmaz, 2015, Charmaz, 2014)</w:t>
      </w:r>
      <w:r>
        <w:rPr>
          <w:rFonts w:cs="Arial"/>
          <w:szCs w:val="24"/>
        </w:rPr>
        <w:fldChar w:fldCharType="end"/>
      </w:r>
      <w:r w:rsidR="009547CF">
        <w:rPr>
          <w:rFonts w:cs="Arial"/>
          <w:szCs w:val="24"/>
        </w:rPr>
        <w:t xml:space="preserve">. </w:t>
      </w:r>
    </w:p>
    <w:p w14:paraId="22BE3E08" w14:textId="77777777" w:rsidR="00B74756" w:rsidRDefault="009547CF" w:rsidP="00C06D1A">
      <w:pPr>
        <w:rPr>
          <w:rFonts w:cs="Arial"/>
          <w:szCs w:val="24"/>
        </w:rPr>
      </w:pPr>
      <w:r>
        <w:rPr>
          <w:rFonts w:cs="Arial"/>
          <w:szCs w:val="24"/>
        </w:rPr>
        <w:t>Charmaz (2009, 2014, 2015) describes the importance of ‘co-construction of data’ to explore meaning and the use of multiple data sources to ‘challenge assumptions of objectivity’. S</w:t>
      </w:r>
      <w:r w:rsidR="00F6438B">
        <w:rPr>
          <w:rFonts w:cs="Arial"/>
          <w:szCs w:val="24"/>
        </w:rPr>
        <w:t>he emphasis</w:t>
      </w:r>
      <w:r w:rsidR="00EA7A7A">
        <w:rPr>
          <w:rFonts w:cs="Arial"/>
          <w:szCs w:val="24"/>
        </w:rPr>
        <w:t>es that res</w:t>
      </w:r>
      <w:r>
        <w:rPr>
          <w:rFonts w:cs="Arial"/>
          <w:szCs w:val="24"/>
        </w:rPr>
        <w:t>ear</w:t>
      </w:r>
      <w:r w:rsidR="00EA7A7A">
        <w:rPr>
          <w:rFonts w:cs="Arial"/>
          <w:szCs w:val="24"/>
        </w:rPr>
        <w:t>ch</w:t>
      </w:r>
      <w:r>
        <w:rPr>
          <w:rFonts w:cs="Arial"/>
          <w:szCs w:val="24"/>
        </w:rPr>
        <w:t xml:space="preserve">ers should be </w:t>
      </w:r>
      <w:proofErr w:type="spellStart"/>
      <w:r>
        <w:rPr>
          <w:rFonts w:cs="Arial"/>
          <w:szCs w:val="24"/>
        </w:rPr>
        <w:t>reflexic</w:t>
      </w:r>
      <w:proofErr w:type="spellEnd"/>
      <w:r>
        <w:rPr>
          <w:rFonts w:cs="Arial"/>
          <w:szCs w:val="24"/>
        </w:rPr>
        <w:t xml:space="preserve"> and ‘acknowledge relationships with research participants’</w:t>
      </w:r>
      <w:r w:rsidR="00F6438B">
        <w:rPr>
          <w:rFonts w:cs="Arial"/>
          <w:szCs w:val="24"/>
        </w:rPr>
        <w:t>,</w:t>
      </w:r>
      <w:r>
        <w:rPr>
          <w:rFonts w:cs="Arial"/>
          <w:szCs w:val="24"/>
        </w:rPr>
        <w:t xml:space="preserve"> which is believed to enhance rigo</w:t>
      </w:r>
      <w:r w:rsidR="00F6438B">
        <w:rPr>
          <w:rFonts w:cs="Arial"/>
          <w:szCs w:val="24"/>
        </w:rPr>
        <w:t>u</w:t>
      </w:r>
      <w:r>
        <w:rPr>
          <w:rFonts w:cs="Arial"/>
          <w:szCs w:val="24"/>
        </w:rPr>
        <w:t>r</w:t>
      </w:r>
      <w:r w:rsidR="003F6F7E">
        <w:rPr>
          <w:rFonts w:cs="Arial"/>
          <w:szCs w:val="24"/>
        </w:rPr>
        <w:t xml:space="preserve">. </w:t>
      </w:r>
      <w:r w:rsidR="00914D03">
        <w:rPr>
          <w:rFonts w:cs="Arial"/>
          <w:szCs w:val="24"/>
        </w:rPr>
        <w:t xml:space="preserve">Critics of </w:t>
      </w:r>
      <w:r w:rsidR="005A785C">
        <w:rPr>
          <w:rFonts w:cs="Arial"/>
          <w:szCs w:val="24"/>
        </w:rPr>
        <w:t>qu</w:t>
      </w:r>
      <w:r w:rsidR="00914D03">
        <w:rPr>
          <w:rFonts w:cs="Arial"/>
          <w:szCs w:val="24"/>
        </w:rPr>
        <w:t>a</w:t>
      </w:r>
      <w:r w:rsidR="005A785C">
        <w:rPr>
          <w:rFonts w:cs="Arial"/>
          <w:szCs w:val="24"/>
        </w:rPr>
        <w:t>l</w:t>
      </w:r>
      <w:r w:rsidR="00914D03">
        <w:rPr>
          <w:rFonts w:cs="Arial"/>
          <w:szCs w:val="24"/>
        </w:rPr>
        <w:t xml:space="preserve">itative interviewing suggest </w:t>
      </w:r>
      <w:r w:rsidR="00F6438B">
        <w:rPr>
          <w:rFonts w:cs="Arial"/>
          <w:szCs w:val="24"/>
        </w:rPr>
        <w:t xml:space="preserve">that </w:t>
      </w:r>
      <w:r w:rsidR="00914D03">
        <w:rPr>
          <w:rFonts w:cs="Arial"/>
          <w:szCs w:val="24"/>
        </w:rPr>
        <w:t xml:space="preserve">collusion influences participant comments and thus outcomes and interpretations </w:t>
      </w:r>
      <w:r w:rsidR="005A785C">
        <w:rPr>
          <w:rFonts w:cs="Arial"/>
          <w:szCs w:val="24"/>
        </w:rPr>
        <w:fldChar w:fldCharType="begin"/>
      </w:r>
      <w:r w:rsidR="005A785C">
        <w:rPr>
          <w:rFonts w:cs="Arial"/>
          <w:szCs w:val="24"/>
        </w:rPr>
        <w:instrText xml:space="preserve"> ADDIN EN.CITE &lt;EndNote&gt;&lt;Cite&gt;&lt;Author&gt;Miczo&lt;/Author&gt;&lt;Year&gt;2003&lt;/Year&gt;&lt;IDText&gt;Beyond the &amp;quot;fetishism of words&amp;quot;: considerations on the use of the interview to gather chronic illness narratives&lt;/IDText&gt;&lt;DisplayText&gt;(Miczo, 2003, Silverman, 2007)&lt;/DisplayText&gt;&lt;record&gt;&lt;dates&gt;&lt;pub-dates&gt;&lt;date&gt;Apr&lt;/date&gt;&lt;/pub-dates&gt;&lt;year&gt;2003&lt;/year&gt;&lt;/dates&gt;&lt;keywords&gt;&lt;keyword&gt;Chronic Disease&lt;/keyword&gt;&lt;keyword&gt;Communication&lt;/keyword&gt;&lt;keyword&gt;Humans&lt;/keyword&gt;&lt;keyword&gt;Interview, Psychological&lt;/keyword&gt;&lt;keyword&gt;Life Change Events&lt;/keyword&gt;&lt;keyword&gt;Narration&lt;/keyword&gt;&lt;keyword&gt;Qualitative Research&lt;/keyword&gt;&lt;keyword&gt;Self Concept&lt;/keyword&gt;&lt;keyword&gt;Social Support&lt;/keyword&gt;&lt;keyword&gt;United States&lt;/keyword&gt;&lt;/keywords&gt;&lt;urls&gt;&lt;related-urls&gt;&lt;url&gt;https://www.ncbi.nlm.nih.gov/pubmed/12703411&lt;/url&gt;&lt;/related-urls&gt;&lt;/urls&gt;&lt;isbn&gt;1049-7323&lt;/isbn&gt;&lt;titles&gt;&lt;title&gt;Beyond the &amp;quot;fetishism of words&amp;quot;: considerations on the use of the interview to gather chronic illness narratives&lt;/title&gt;&lt;secondary-title&gt;Qual Health Res&lt;/secondary-title&gt;&lt;/titles&gt;&lt;pages&gt;469-90&lt;/pages&gt;&lt;number&gt;4&lt;/number&gt;&lt;contributors&gt;&lt;authors&gt;&lt;author&gt;Miczo, N.&lt;/author&gt;&lt;/authors&gt;&lt;/contributors&gt;&lt;language&gt;eng&lt;/language&gt;&lt;added-date format="utc"&gt;1481628233&lt;/added-date&gt;&lt;ref-type name="Journal Article"&gt;17&lt;/ref-type&gt;&lt;rec-number&gt;339&lt;/rec-number&gt;&lt;last-updated-date format="utc"&gt;1481628233&lt;/last-updated-date&gt;&lt;accession-num&gt;12703411&lt;/accession-num&gt;&lt;volume&gt;13&lt;/volume&gt;&lt;/record&gt;&lt;/Cite&gt;&lt;Cite&gt;&lt;Author&gt;Silverman&lt;/Author&gt;&lt;Year&gt;2007&lt;/Year&gt;&lt;IDText&gt;A very short, fairly interesting and reasonably cheap book about qualitative research&lt;/IDText&gt;&lt;record&gt;&lt;titles&gt;&lt;title&gt;A very short, fairly interesting and reasonably cheap book about qualitative research&lt;/title&gt;&lt;/titles&gt;&lt;contributors&gt;&lt;authors&gt;&lt;author&gt;Silverman, D&lt;/author&gt;&lt;/authors&gt;&lt;/contributors&gt;&lt;added-date format="utc"&gt;1481628330&lt;/added-date&gt;&lt;pub-location&gt;London&lt;/pub-location&gt;&lt;ref-type name="Book"&gt;6&lt;/ref-type&gt;&lt;dates&gt;&lt;year&gt;2007&lt;/year&gt;&lt;/dates&gt;&lt;rec-number&gt;340&lt;/rec-number&gt;&lt;publisher&gt;Sage&lt;/publisher&gt;&lt;last-updated-date format="utc"&gt;1481628398&lt;/last-updated-date&gt;&lt;/record&gt;&lt;/Cite&gt;&lt;/EndNote&gt;</w:instrText>
      </w:r>
      <w:r w:rsidR="005A785C">
        <w:rPr>
          <w:rFonts w:cs="Arial"/>
          <w:szCs w:val="24"/>
        </w:rPr>
        <w:fldChar w:fldCharType="separate"/>
      </w:r>
      <w:r w:rsidR="005A785C">
        <w:rPr>
          <w:rFonts w:cs="Arial"/>
          <w:noProof/>
          <w:szCs w:val="24"/>
        </w:rPr>
        <w:t>(Miczo, 2003, Silverman, 2007)</w:t>
      </w:r>
      <w:r w:rsidR="005A785C">
        <w:rPr>
          <w:rFonts w:cs="Arial"/>
          <w:szCs w:val="24"/>
        </w:rPr>
        <w:fldChar w:fldCharType="end"/>
      </w:r>
      <w:r w:rsidR="005A785C">
        <w:rPr>
          <w:rFonts w:cs="Arial"/>
          <w:szCs w:val="24"/>
        </w:rPr>
        <w:t xml:space="preserve">. However Charmaz (2009, 2014, 2015) describes co-construction as a ‘major </w:t>
      </w:r>
      <w:r w:rsidR="00511ED1">
        <w:rPr>
          <w:rFonts w:cs="Arial"/>
          <w:szCs w:val="24"/>
        </w:rPr>
        <w:t>strength</w:t>
      </w:r>
      <w:r w:rsidR="005A785C">
        <w:rPr>
          <w:rFonts w:cs="Arial"/>
          <w:szCs w:val="24"/>
        </w:rPr>
        <w:t xml:space="preserve"> to foster teaching reflexivity about the researcher’s role’</w:t>
      </w:r>
      <w:r w:rsidR="00EA7A7A">
        <w:rPr>
          <w:rFonts w:cs="Arial"/>
          <w:szCs w:val="24"/>
        </w:rPr>
        <w:t>,</w:t>
      </w:r>
      <w:r w:rsidR="005A785C">
        <w:rPr>
          <w:rFonts w:cs="Arial"/>
          <w:szCs w:val="24"/>
        </w:rPr>
        <w:t xml:space="preserve"> which in turn supports </w:t>
      </w:r>
      <w:r w:rsidR="00F6438B">
        <w:rPr>
          <w:rFonts w:cs="Arial"/>
          <w:szCs w:val="24"/>
        </w:rPr>
        <w:t xml:space="preserve">a </w:t>
      </w:r>
      <w:r w:rsidR="00511ED1">
        <w:rPr>
          <w:rFonts w:cs="Arial"/>
          <w:szCs w:val="24"/>
        </w:rPr>
        <w:t>self-critique</w:t>
      </w:r>
      <w:r w:rsidR="005A785C">
        <w:rPr>
          <w:rFonts w:cs="Arial"/>
          <w:szCs w:val="24"/>
        </w:rPr>
        <w:t xml:space="preserve"> of interviewing skills and </w:t>
      </w:r>
      <w:r w:rsidR="005A785C">
        <w:rPr>
          <w:rFonts w:cs="Arial"/>
          <w:szCs w:val="24"/>
        </w:rPr>
        <w:lastRenderedPageBreak/>
        <w:t xml:space="preserve">interview topic guide. Charmaz states that this process of critique exposes and highlights ‘tacit ethical issues, hidden assumptions and taken-for-granted standpoints’ </w:t>
      </w:r>
      <w:r w:rsidR="005A785C">
        <w:rPr>
          <w:rFonts w:cs="Arial"/>
          <w:szCs w:val="24"/>
        </w:rPr>
        <w:fldChar w:fldCharType="begin"/>
      </w:r>
      <w:r w:rsidR="005A785C">
        <w:rPr>
          <w:rFonts w:cs="Arial"/>
          <w:szCs w:val="24"/>
        </w:rPr>
        <w:instrText xml:space="preserve"> ADDIN EN.CITE &lt;EndNote&gt;&lt;Cite&gt;&lt;Author&gt;Charmaz&lt;/Author&gt;&lt;Year&gt;2015&lt;/Year&gt;&lt;IDText&gt;Teaching Theory Construction With Initial Grounded Theory Tools: A Reflection on Lessons and Learning&lt;/IDText&gt;&lt;DisplayText&gt;(Charmaz, 2015)&lt;/DisplayText&gt;&lt;record&gt;&lt;dates&gt;&lt;pub-dates&gt;&lt;date&gt;Dec&lt;/date&gt;&lt;/pub-dates&gt;&lt;year&gt;2015&lt;/year&gt;&lt;/dates&gt;&lt;urls&gt;&lt;related-urls&gt;&lt;url&gt;https://www.ncbi.nlm.nih.gov/pubmed/26646825&lt;/url&gt;&lt;/related-urls&gt;&lt;/urls&gt;&lt;isbn&gt;1049-7323&lt;/isbn&gt;&lt;titles&gt;&lt;title&gt;Teaching Theory Construction With Initial Grounded Theory Tools: A Reflection on Lessons and Learning&lt;/title&gt;&lt;secondary-title&gt;Qual Health Res&lt;/secondary-title&gt;&lt;/titles&gt;&lt;pages&gt;1610-22&lt;/pages&gt;&lt;number&gt;12&lt;/number&gt;&lt;contributors&gt;&lt;authors&gt;&lt;author&gt;Charmaz, K.&lt;/author&gt;&lt;/authors&gt;&lt;/contributors&gt;&lt;language&gt;eng&lt;/language&gt;&lt;added-date format="utc"&gt;1481539979&lt;/added-date&gt;&lt;ref-type name="Journal Article"&gt;17&lt;/ref-type&gt;&lt;rec-number&gt;321&lt;/rec-number&gt;&lt;last-updated-date format="utc"&gt;1481539979&lt;/last-updated-date&gt;&lt;accession-num&gt;26646825&lt;/accession-num&gt;&lt;electronic-resource-num&gt;10.1177/1049732315613982&lt;/electronic-resource-num&gt;&lt;volume&gt;25&lt;/volume&gt;&lt;/record&gt;&lt;/Cite&gt;&lt;/EndNote&gt;</w:instrText>
      </w:r>
      <w:r w:rsidR="005A785C">
        <w:rPr>
          <w:rFonts w:cs="Arial"/>
          <w:szCs w:val="24"/>
        </w:rPr>
        <w:fldChar w:fldCharType="separate"/>
      </w:r>
      <w:r w:rsidR="005A785C">
        <w:rPr>
          <w:rFonts w:cs="Arial"/>
          <w:noProof/>
          <w:szCs w:val="24"/>
        </w:rPr>
        <w:t>(Charmaz, 2015)</w:t>
      </w:r>
      <w:r w:rsidR="005A785C">
        <w:rPr>
          <w:rFonts w:cs="Arial"/>
          <w:szCs w:val="24"/>
        </w:rPr>
        <w:fldChar w:fldCharType="end"/>
      </w:r>
      <w:r w:rsidR="002E51D4">
        <w:rPr>
          <w:rFonts w:cs="Arial"/>
          <w:szCs w:val="24"/>
        </w:rPr>
        <w:t xml:space="preserve">. </w:t>
      </w:r>
      <w:r w:rsidR="002E51D4">
        <w:rPr>
          <w:rFonts w:cs="Arial"/>
          <w:szCs w:val="24"/>
        </w:rPr>
        <w:fldChar w:fldCharType="begin"/>
      </w:r>
      <w:r w:rsidR="008D598C">
        <w:rPr>
          <w:rFonts w:cs="Arial"/>
          <w:szCs w:val="24"/>
        </w:rPr>
        <w:instrText xml:space="preserve"> ADDIN EN.CITE &lt;EndNote&gt;&lt;Cite&gt;&lt;Author&gt;Charmaz&lt;/Author&gt;&lt;Year&gt;2009&lt;/Year&gt;&lt;IDText&gt;Shifting the grounds: Constructivist grounded theory methods for the twenty-first century&lt;/IDText&gt;&lt;DisplayText&gt;(Charmaz, 2009)&lt;/DisplayText&gt;&lt;record&gt;&lt;titles&gt;&lt;title&gt;Shifting the grounds: Constructivist grounded theory methods for the twenty-first century&lt;/title&gt;&lt;secondary-title&gt;Developing grounded theory: The second generation&lt;/secondary-title&gt;&lt;/titles&gt;&lt;pages&gt;127 - 154&lt;/pages&gt;&lt;contributors&gt;&lt;authors&gt;&lt;author&gt;Charmaz, K.&lt;/author&gt;&lt;/authors&gt;&lt;/contributors&gt;&lt;added-date format="utc"&gt;1481542336&lt;/added-date&gt;&lt;pub-location&gt;Walnut Creek, CA&lt;/pub-location&gt;&lt;ref-type name="Book Section"&gt;5&lt;/ref-type&gt;&lt;dates&gt;&lt;year&gt;2009&lt;/year&gt;&lt;/dates&gt;&lt;rec-number&gt;338&lt;/rec-number&gt;&lt;publisher&gt;Left Coast Press&lt;/publisher&gt;&lt;last-updated-date format="utc"&gt;1481629287&lt;/last-updated-date&gt;&lt;contributors&gt;&lt;secondary-authors&gt;&lt;author&gt;J. Morse, P. Stern, J. Corbin, B. Bowers, K. Charmaz &amp;amp; A. Clarke&lt;/author&gt;&lt;/secondary-authors&gt;&lt;/contributors&gt;&lt;/record&gt;&lt;/Cite&gt;&lt;/EndNote&gt;</w:instrText>
      </w:r>
      <w:r w:rsidR="002E51D4">
        <w:rPr>
          <w:rFonts w:cs="Arial"/>
          <w:szCs w:val="24"/>
        </w:rPr>
        <w:fldChar w:fldCharType="separate"/>
      </w:r>
      <w:r w:rsidR="003C4B2E">
        <w:rPr>
          <w:rFonts w:cs="Arial"/>
          <w:noProof/>
          <w:szCs w:val="24"/>
        </w:rPr>
        <w:t>Charmaz</w:t>
      </w:r>
      <w:r w:rsidR="008D598C">
        <w:rPr>
          <w:rFonts w:cs="Arial"/>
          <w:noProof/>
          <w:szCs w:val="24"/>
        </w:rPr>
        <w:t xml:space="preserve"> </w:t>
      </w:r>
      <w:r w:rsidR="003C4B2E">
        <w:rPr>
          <w:rFonts w:cs="Arial"/>
          <w:noProof/>
          <w:szCs w:val="24"/>
        </w:rPr>
        <w:t>(</w:t>
      </w:r>
      <w:r w:rsidR="008D598C">
        <w:rPr>
          <w:rFonts w:cs="Arial"/>
          <w:noProof/>
          <w:szCs w:val="24"/>
        </w:rPr>
        <w:t>2009)</w:t>
      </w:r>
      <w:r w:rsidR="002E51D4">
        <w:rPr>
          <w:rFonts w:cs="Arial"/>
          <w:szCs w:val="24"/>
        </w:rPr>
        <w:fldChar w:fldCharType="end"/>
      </w:r>
      <w:r w:rsidR="00F6438B">
        <w:rPr>
          <w:rFonts w:cs="Arial"/>
          <w:szCs w:val="24"/>
        </w:rPr>
        <w:t>, advocates line-by-</w:t>
      </w:r>
      <w:r w:rsidR="002E51D4">
        <w:rPr>
          <w:rFonts w:cs="Arial"/>
          <w:szCs w:val="24"/>
        </w:rPr>
        <w:t>line coding and memo-writing</w:t>
      </w:r>
      <w:r w:rsidR="009874EF">
        <w:rPr>
          <w:rFonts w:cs="Arial"/>
          <w:szCs w:val="24"/>
        </w:rPr>
        <w:t>, a form of private note making by the researcher,</w:t>
      </w:r>
      <w:r w:rsidR="002E51D4">
        <w:rPr>
          <w:rFonts w:cs="Arial"/>
          <w:szCs w:val="24"/>
        </w:rPr>
        <w:t xml:space="preserve"> to make connections and allow </w:t>
      </w:r>
      <w:r w:rsidR="009874EF">
        <w:rPr>
          <w:rFonts w:cs="Arial"/>
          <w:szCs w:val="24"/>
        </w:rPr>
        <w:t>comparative analyses and themes to</w:t>
      </w:r>
      <w:r w:rsidR="002E51D4">
        <w:rPr>
          <w:rFonts w:cs="Arial"/>
          <w:szCs w:val="24"/>
        </w:rPr>
        <w:t xml:space="preserve"> emerge</w:t>
      </w:r>
      <w:r w:rsidR="00F6438B">
        <w:rPr>
          <w:rFonts w:cs="Arial"/>
          <w:szCs w:val="24"/>
        </w:rPr>
        <w:t>. This is</w:t>
      </w:r>
      <w:r w:rsidR="002E51D4">
        <w:rPr>
          <w:rFonts w:cs="Arial"/>
          <w:szCs w:val="24"/>
        </w:rPr>
        <w:t xml:space="preserve"> in contrast to previous grounded theorists who </w:t>
      </w:r>
      <w:r w:rsidR="00511ED1">
        <w:rPr>
          <w:rFonts w:cs="Arial"/>
          <w:szCs w:val="24"/>
        </w:rPr>
        <w:t>advocated</w:t>
      </w:r>
      <w:r w:rsidR="002E51D4">
        <w:rPr>
          <w:rFonts w:cs="Arial"/>
          <w:szCs w:val="24"/>
        </w:rPr>
        <w:t xml:space="preserve"> initial codes to be </w:t>
      </w:r>
      <w:r w:rsidR="009874EF">
        <w:rPr>
          <w:rFonts w:cs="Arial"/>
          <w:szCs w:val="24"/>
        </w:rPr>
        <w:t>kept ‘concrete and descriptive’</w:t>
      </w:r>
      <w:r w:rsidR="003C4B2E">
        <w:rPr>
          <w:rFonts w:cs="Arial"/>
          <w:szCs w:val="24"/>
        </w:rPr>
        <w:t xml:space="preserve"> </w:t>
      </w:r>
      <w:r w:rsidR="009874EF">
        <w:rPr>
          <w:rFonts w:cs="Arial"/>
          <w:szCs w:val="24"/>
        </w:rPr>
        <w:fldChar w:fldCharType="begin"/>
      </w:r>
      <w:r w:rsidR="009874EF">
        <w:rPr>
          <w:rFonts w:cs="Arial"/>
          <w:szCs w:val="24"/>
        </w:rPr>
        <w:instrText xml:space="preserve"> ADDIN EN.CITE &lt;EndNote&gt;&lt;Cite&gt;&lt;Author&gt;Charmaz&lt;/Author&gt;&lt;Year&gt;2015&lt;/Year&gt;&lt;IDText&gt;Teaching Theory Construction With Initial Grounded Theory Tools: A Reflection on Lessons and Learning&lt;/IDText&gt;&lt;DisplayText&gt;(Charmaz, 2015)&lt;/DisplayText&gt;&lt;record&gt;&lt;dates&gt;&lt;pub-dates&gt;&lt;date&gt;Dec&lt;/date&gt;&lt;/pub-dates&gt;&lt;year&gt;2015&lt;/year&gt;&lt;/dates&gt;&lt;urls&gt;&lt;related-urls&gt;&lt;url&gt;https://www.ncbi.nlm.nih.gov/pubmed/26646825&lt;/url&gt;&lt;/related-urls&gt;&lt;/urls&gt;&lt;isbn&gt;1049-7323&lt;/isbn&gt;&lt;titles&gt;&lt;title&gt;Teaching Theory Construction With Initial Grounded Theory Tools: A Reflection on Lessons and Learning&lt;/title&gt;&lt;secondary-title&gt;Qual Health Res&lt;/secondary-title&gt;&lt;/titles&gt;&lt;pages&gt;1610-22&lt;/pages&gt;&lt;number&gt;12&lt;/number&gt;&lt;contributors&gt;&lt;authors&gt;&lt;author&gt;Charmaz, K.&lt;/author&gt;&lt;/authors&gt;&lt;/contributors&gt;&lt;language&gt;eng&lt;/language&gt;&lt;added-date format="utc"&gt;1481539979&lt;/added-date&gt;&lt;ref-type name="Journal Article"&gt;17&lt;/ref-type&gt;&lt;rec-number&gt;321&lt;/rec-number&gt;&lt;last-updated-date format="utc"&gt;1481539979&lt;/last-updated-date&gt;&lt;accession-num&gt;26646825&lt;/accession-num&gt;&lt;electronic-resource-num&gt;10.1177/1049732315613982&lt;/electronic-resource-num&gt;&lt;volume&gt;25&lt;/volume&gt;&lt;/record&gt;&lt;/Cite&gt;&lt;/EndNote&gt;</w:instrText>
      </w:r>
      <w:r w:rsidR="009874EF">
        <w:rPr>
          <w:rFonts w:cs="Arial"/>
          <w:szCs w:val="24"/>
        </w:rPr>
        <w:fldChar w:fldCharType="separate"/>
      </w:r>
      <w:r w:rsidR="009874EF">
        <w:rPr>
          <w:rFonts w:cs="Arial"/>
          <w:noProof/>
          <w:szCs w:val="24"/>
        </w:rPr>
        <w:t>(Charmaz, 2015)</w:t>
      </w:r>
      <w:r w:rsidR="009874EF">
        <w:rPr>
          <w:rFonts w:cs="Arial"/>
          <w:szCs w:val="24"/>
        </w:rPr>
        <w:fldChar w:fldCharType="end"/>
      </w:r>
      <w:r w:rsidR="009874EF">
        <w:rPr>
          <w:rFonts w:cs="Arial"/>
          <w:szCs w:val="24"/>
        </w:rPr>
        <w:t xml:space="preserve">. This constructivist approach has been followed in this study to encourage and allow emergence of new theory. </w:t>
      </w:r>
      <w:r w:rsidR="002E51D4">
        <w:rPr>
          <w:rFonts w:cs="Arial"/>
          <w:szCs w:val="24"/>
        </w:rPr>
        <w:t xml:space="preserve"> </w:t>
      </w:r>
    </w:p>
    <w:p w14:paraId="238CE574" w14:textId="775E82B5" w:rsidR="00C06D1A" w:rsidRPr="00C06D1A" w:rsidRDefault="002E51D4" w:rsidP="00C06D1A">
      <w:r>
        <w:rPr>
          <w:rFonts w:cs="Arial"/>
          <w:szCs w:val="24"/>
        </w:rPr>
        <w:t xml:space="preserve"> </w:t>
      </w:r>
    </w:p>
    <w:p w14:paraId="0FB479D3" w14:textId="31059419" w:rsidR="00E830C5" w:rsidRDefault="001E391A" w:rsidP="005367B9">
      <w:pPr>
        <w:pStyle w:val="Heading3"/>
      </w:pPr>
      <w:r>
        <w:t xml:space="preserve">    </w:t>
      </w:r>
      <w:bookmarkStart w:id="98" w:name="_Toc343501118"/>
      <w:bookmarkStart w:id="99" w:name="_Toc348686319"/>
      <w:bookmarkStart w:id="100" w:name="_Toc419116113"/>
      <w:r w:rsidR="006F6288">
        <w:t xml:space="preserve">Qualitative research: </w:t>
      </w:r>
      <w:r w:rsidR="008E7172">
        <w:t>q</w:t>
      </w:r>
      <w:r w:rsidR="00E830C5">
        <w:t>uality</w:t>
      </w:r>
      <w:bookmarkEnd w:id="98"/>
      <w:bookmarkEnd w:id="99"/>
      <w:bookmarkEnd w:id="100"/>
      <w:r w:rsidR="00E830C5">
        <w:t xml:space="preserve"> </w:t>
      </w:r>
    </w:p>
    <w:p w14:paraId="579A995B" w14:textId="77777777" w:rsidR="000121E2" w:rsidRDefault="000121E2" w:rsidP="00C06D1A">
      <w:pPr>
        <w:spacing w:before="100" w:beforeAutospacing="1" w:after="100" w:afterAutospacing="1"/>
        <w:rPr>
          <w:rFonts w:cs="Arial"/>
          <w:szCs w:val="24"/>
        </w:rPr>
      </w:pPr>
    </w:p>
    <w:p w14:paraId="4EF70BDB" w14:textId="0953A229" w:rsidR="00C06D1A" w:rsidRPr="004700FE" w:rsidRDefault="00C06D1A" w:rsidP="00C06D1A">
      <w:pPr>
        <w:spacing w:before="100" w:beforeAutospacing="1" w:after="100" w:afterAutospacing="1"/>
        <w:rPr>
          <w:rFonts w:eastAsia="Times New Roman" w:cs="Arial"/>
          <w:color w:val="000000"/>
          <w:szCs w:val="24"/>
          <w:lang w:eastAsia="en-GB"/>
        </w:rPr>
      </w:pPr>
      <w:r>
        <w:rPr>
          <w:rFonts w:cs="Arial"/>
          <w:szCs w:val="24"/>
        </w:rPr>
        <w:t>Many amongst the research community feel that qualitative research should be analysed by the same means employed for quantitative research. However</w:t>
      </w:r>
      <w:r w:rsidR="00235D0B">
        <w:rPr>
          <w:rFonts w:cs="Arial"/>
          <w:szCs w:val="24"/>
        </w:rPr>
        <w:t xml:space="preserve"> </w:t>
      </w:r>
      <w:r>
        <w:rPr>
          <w:rFonts w:cs="Arial"/>
          <w:szCs w:val="24"/>
        </w:rPr>
        <w:t xml:space="preserve">qualitative data does not lend itself to this. </w:t>
      </w:r>
      <w:r w:rsidR="00DE6FCF">
        <w:rPr>
          <w:rFonts w:eastAsia="Times New Roman" w:cs="Arial"/>
          <w:color w:val="000000"/>
          <w:szCs w:val="24"/>
          <w:lang w:eastAsia="en-GB"/>
        </w:rPr>
        <w:fldChar w:fldCharType="begin"/>
      </w:r>
      <w:r w:rsidR="008D598C">
        <w:rPr>
          <w:rFonts w:eastAsia="Times New Roman" w:cs="Arial"/>
          <w:color w:val="000000"/>
          <w:szCs w:val="24"/>
          <w:lang w:eastAsia="en-GB"/>
        </w:rPr>
        <w:instrText xml:space="preserve"> ADDIN EN.CITE &lt;EndNote&gt;&lt;Cite&gt;&lt;Author&gt;Gall&lt;/Author&gt;&lt;Year&gt;1996&lt;/Year&gt;&lt;IDText&gt;Educational research: An introduction&lt;/IDText&gt;&lt;DisplayText&gt;(Gall et al., 1996)&lt;/DisplayText&gt;&lt;record&gt;&lt;titles&gt;&lt;title&gt;Educational research: An introduction&lt;/title&gt;&lt;/titles&gt;&lt;contributors&gt;&lt;authors&gt;&lt;author&gt;Gall, M D&lt;/author&gt;&lt;author&gt;Borg, W R&lt;/author&gt;&lt;author&gt;Gall, J P&lt;/author&gt;&lt;/authors&gt;&lt;/contributors&gt;&lt;edition&gt;6th&lt;/edition&gt;&lt;added-date format="utc"&gt;1400252859&lt;/added-date&gt;&lt;pub-location&gt;White Plains, NY&lt;/pub-location&gt;&lt;ref-type name="Book"&gt;6&lt;/ref-type&gt;&lt;dates&gt;&lt;year&gt;1996&lt;/year&gt;&lt;/dates&gt;&lt;rec-number&gt;147&lt;/rec-number&gt;&lt;publisher&gt;Longman&lt;/publisher&gt;&lt;last-updated-date format="utc"&gt;1400252938&lt;/last-updated-date&gt;&lt;/record&gt;&lt;/Cite&gt;&lt;/EndNote&gt;</w:instrText>
      </w:r>
      <w:r w:rsidR="00DE6FCF">
        <w:rPr>
          <w:rFonts w:eastAsia="Times New Roman" w:cs="Arial"/>
          <w:color w:val="000000"/>
          <w:szCs w:val="24"/>
          <w:lang w:eastAsia="en-GB"/>
        </w:rPr>
        <w:fldChar w:fldCharType="separate"/>
      </w:r>
      <w:r w:rsidR="003C4B2E">
        <w:rPr>
          <w:rFonts w:eastAsia="Times New Roman" w:cs="Arial"/>
          <w:noProof/>
          <w:color w:val="000000"/>
          <w:szCs w:val="24"/>
          <w:lang w:eastAsia="en-GB"/>
        </w:rPr>
        <w:t>Gall et al.</w:t>
      </w:r>
      <w:r w:rsidR="008D598C">
        <w:rPr>
          <w:rFonts w:eastAsia="Times New Roman" w:cs="Arial"/>
          <w:noProof/>
          <w:color w:val="000000"/>
          <w:szCs w:val="24"/>
          <w:lang w:eastAsia="en-GB"/>
        </w:rPr>
        <w:t xml:space="preserve"> </w:t>
      </w:r>
      <w:r w:rsidR="003C4B2E">
        <w:rPr>
          <w:rFonts w:eastAsia="Times New Roman" w:cs="Arial"/>
          <w:noProof/>
          <w:color w:val="000000"/>
          <w:szCs w:val="24"/>
          <w:lang w:eastAsia="en-GB"/>
        </w:rPr>
        <w:t>(</w:t>
      </w:r>
      <w:r w:rsidR="008D598C">
        <w:rPr>
          <w:rFonts w:eastAsia="Times New Roman" w:cs="Arial"/>
          <w:noProof/>
          <w:color w:val="000000"/>
          <w:szCs w:val="24"/>
          <w:lang w:eastAsia="en-GB"/>
        </w:rPr>
        <w:t>1996)</w:t>
      </w:r>
      <w:r w:rsidR="00DE6FCF">
        <w:rPr>
          <w:rFonts w:eastAsia="Times New Roman" w:cs="Arial"/>
          <w:color w:val="000000"/>
          <w:szCs w:val="24"/>
          <w:lang w:eastAsia="en-GB"/>
        </w:rPr>
        <w:fldChar w:fldCharType="end"/>
      </w:r>
      <w:r w:rsidR="00DE6FCF">
        <w:rPr>
          <w:rFonts w:eastAsia="Times New Roman" w:cs="Arial"/>
          <w:color w:val="000000"/>
          <w:szCs w:val="24"/>
          <w:lang w:eastAsia="en-GB"/>
        </w:rPr>
        <w:t xml:space="preserve"> </w:t>
      </w:r>
      <w:r w:rsidRPr="00367217">
        <w:rPr>
          <w:rFonts w:eastAsia="Times New Roman" w:cs="Arial"/>
          <w:color w:val="000000"/>
          <w:szCs w:val="24"/>
          <w:lang w:eastAsia="en-GB"/>
        </w:rPr>
        <w:t>de</w:t>
      </w:r>
      <w:r>
        <w:rPr>
          <w:rFonts w:eastAsia="Times New Roman" w:cs="Arial"/>
          <w:color w:val="000000"/>
          <w:szCs w:val="24"/>
          <w:lang w:eastAsia="en-GB"/>
        </w:rPr>
        <w:t>scribe the purpose of qualitative research as</w:t>
      </w:r>
      <w:r w:rsidR="00186C5F">
        <w:rPr>
          <w:rFonts w:eastAsia="Times New Roman" w:cs="Arial"/>
          <w:color w:val="000000"/>
          <w:szCs w:val="24"/>
          <w:lang w:eastAsia="en-GB"/>
        </w:rPr>
        <w:t>:</w:t>
      </w:r>
      <w:r>
        <w:rPr>
          <w:rFonts w:eastAsia="Times New Roman" w:cs="Arial"/>
          <w:color w:val="000000"/>
          <w:szCs w:val="24"/>
          <w:lang w:eastAsia="en-GB"/>
        </w:rPr>
        <w:t xml:space="preserve"> ‘verification of a causal relationship </w:t>
      </w:r>
      <w:r w:rsidRPr="00367217">
        <w:rPr>
          <w:rFonts w:eastAsia="Times New Roman" w:cs="Arial"/>
          <w:color w:val="000000"/>
          <w:szCs w:val="24"/>
          <w:lang w:eastAsia="en-GB"/>
        </w:rPr>
        <w:t>by falsifying a no-relationship hypothesis</w:t>
      </w:r>
      <w:r>
        <w:rPr>
          <w:rFonts w:eastAsia="Times New Roman" w:cs="Arial"/>
          <w:color w:val="000000"/>
          <w:szCs w:val="24"/>
          <w:lang w:eastAsia="en-GB"/>
        </w:rPr>
        <w:t xml:space="preserve"> that </w:t>
      </w:r>
      <w:r w:rsidRPr="00367217">
        <w:rPr>
          <w:rFonts w:eastAsia="Times New Roman" w:cs="Arial"/>
          <w:color w:val="000000"/>
          <w:szCs w:val="24"/>
          <w:lang w:eastAsia="en-GB"/>
        </w:rPr>
        <w:t>recogni</w:t>
      </w:r>
      <w:r w:rsidR="00186C5F">
        <w:rPr>
          <w:rFonts w:eastAsia="Times New Roman" w:cs="Arial"/>
          <w:color w:val="000000"/>
          <w:szCs w:val="24"/>
          <w:lang w:eastAsia="en-GB"/>
        </w:rPr>
        <w:t>s</w:t>
      </w:r>
      <w:r w:rsidRPr="00367217">
        <w:rPr>
          <w:rFonts w:eastAsia="Times New Roman" w:cs="Arial"/>
          <w:color w:val="000000"/>
          <w:szCs w:val="24"/>
          <w:lang w:eastAsia="en-GB"/>
        </w:rPr>
        <w:t>es the multifaceted interpretations of human experience</w:t>
      </w:r>
      <w:r>
        <w:rPr>
          <w:rFonts w:eastAsia="Times New Roman" w:cs="Arial"/>
          <w:color w:val="000000"/>
          <w:szCs w:val="24"/>
          <w:lang w:eastAsia="en-GB"/>
        </w:rPr>
        <w:t>’</w:t>
      </w:r>
      <w:r w:rsidR="00DE6FCF">
        <w:rPr>
          <w:rFonts w:eastAsia="Times New Roman" w:cs="Arial"/>
          <w:color w:val="000000"/>
          <w:szCs w:val="24"/>
          <w:lang w:eastAsia="en-GB"/>
        </w:rPr>
        <w:t>.</w:t>
      </w:r>
      <w:r>
        <w:rPr>
          <w:rFonts w:eastAsia="Times New Roman" w:cs="Arial"/>
          <w:color w:val="000000"/>
          <w:szCs w:val="24"/>
          <w:lang w:eastAsia="en-GB"/>
        </w:rPr>
        <w:t xml:space="preserve"> Qualitative research aims to focus on eliciting how people make ‘sense of the world’</w:t>
      </w:r>
      <w:r w:rsidR="00186C5F">
        <w:rPr>
          <w:rFonts w:eastAsia="Times New Roman" w:cs="Arial"/>
          <w:color w:val="000000"/>
          <w:szCs w:val="24"/>
          <w:lang w:eastAsia="en-GB"/>
        </w:rPr>
        <w:t>,</w:t>
      </w:r>
      <w:r>
        <w:rPr>
          <w:rFonts w:eastAsia="Times New Roman" w:cs="Arial"/>
          <w:color w:val="000000"/>
          <w:szCs w:val="24"/>
          <w:lang w:eastAsia="en-GB"/>
        </w:rPr>
        <w:t xml:space="preserve"> and as such creates a ‘discovering experience’ for both participants and researchers </w:t>
      </w:r>
      <w:r>
        <w:rPr>
          <w:rFonts w:eastAsia="Times New Roman" w:cs="Arial"/>
          <w:color w:val="000000"/>
          <w:szCs w:val="24"/>
          <w:lang w:eastAsia="en-GB"/>
        </w:rPr>
        <w:fldChar w:fldCharType="begin"/>
      </w:r>
      <w:r w:rsidR="000612D3">
        <w:rPr>
          <w:rFonts w:eastAsia="Times New Roman" w:cs="Arial"/>
          <w:color w:val="000000"/>
          <w:szCs w:val="24"/>
          <w:lang w:eastAsia="en-GB"/>
        </w:rPr>
        <w:instrText xml:space="preserve"> ADDIN EN.CITE &lt;EndNote&gt;&lt;Cite&gt;&lt;Author&gt;Denzin&lt;/Author&gt;&lt;Year&gt;2006&lt;/Year&gt;&lt;IDText&gt;Sociological Methods: A Sourcebook&lt;/IDText&gt;&lt;DisplayText&gt;(Denzin, 2006)&lt;/DisplayText&gt;&lt;record&gt;&lt;isbn&gt;978-0-202-30840-1&lt;/isbn&gt;&lt;titles&gt;&lt;title&gt;Sociological Methods: A Sourcebook&lt;/title&gt;&lt;/titles&gt;&lt;contributors&gt;&lt;authors&gt;&lt;author&gt;Denzin, N&lt;/author&gt;&lt;/authors&gt;&lt;/contributors&gt;&lt;edition&gt;5th&lt;/edition&gt;&lt;added-date format="utc"&gt;1400250256&lt;/added-date&gt;&lt;ref-type name="Book"&gt;6&lt;/ref-type&gt;&lt;dates&gt;&lt;year&gt;2006&lt;/year&gt;&lt;/dates&gt;&lt;rec-number&gt;143&lt;/rec-number&gt;&lt;publisher&gt;Aldine Transaction&lt;/publisher&gt;&lt;last-updated-date format="utc"&gt;1400250569&lt;/last-updated-date&gt;&lt;/record&gt;&lt;/Cite&gt;&lt;/EndNote&gt;</w:instrText>
      </w:r>
      <w:r>
        <w:rPr>
          <w:rFonts w:eastAsia="Times New Roman" w:cs="Arial"/>
          <w:color w:val="000000"/>
          <w:szCs w:val="24"/>
          <w:lang w:eastAsia="en-GB"/>
        </w:rPr>
        <w:fldChar w:fldCharType="separate"/>
      </w:r>
      <w:r w:rsidR="000612D3">
        <w:rPr>
          <w:rFonts w:eastAsia="Times New Roman" w:cs="Arial"/>
          <w:noProof/>
          <w:color w:val="000000"/>
          <w:szCs w:val="24"/>
          <w:lang w:eastAsia="en-GB"/>
        </w:rPr>
        <w:t>(Denzin, 2006)</w:t>
      </w:r>
      <w:r>
        <w:rPr>
          <w:rFonts w:eastAsia="Times New Roman" w:cs="Arial"/>
          <w:color w:val="000000"/>
          <w:szCs w:val="24"/>
          <w:lang w:eastAsia="en-GB"/>
        </w:rPr>
        <w:fldChar w:fldCharType="end"/>
      </w:r>
      <w:r>
        <w:rPr>
          <w:rFonts w:eastAsia="Times New Roman" w:cs="Arial"/>
          <w:color w:val="000000"/>
          <w:szCs w:val="24"/>
          <w:lang w:eastAsia="en-GB"/>
        </w:rPr>
        <w:t xml:space="preserve">. </w:t>
      </w:r>
    </w:p>
    <w:p w14:paraId="768EA1A1" w14:textId="2FE84BC7" w:rsidR="00C06D1A" w:rsidRDefault="00C06D1A" w:rsidP="00C06D1A">
      <w:pPr>
        <w:spacing w:before="100" w:beforeAutospacing="1" w:after="100" w:afterAutospacing="1"/>
        <w:rPr>
          <w:rFonts w:cs="Arial"/>
          <w:szCs w:val="24"/>
        </w:rPr>
      </w:pPr>
      <w:r w:rsidRPr="00283E43">
        <w:rPr>
          <w:rFonts w:cs="Arial"/>
          <w:szCs w:val="24"/>
        </w:rPr>
        <w:t xml:space="preserve">Lincoln </w:t>
      </w:r>
      <w:r w:rsidR="009B3879">
        <w:rPr>
          <w:rFonts w:cs="Arial"/>
          <w:szCs w:val="24"/>
        </w:rPr>
        <w:t>and</w:t>
      </w:r>
      <w:r>
        <w:rPr>
          <w:rFonts w:cs="Arial"/>
          <w:szCs w:val="24"/>
        </w:rPr>
        <w:t xml:space="preserve"> Denzin describe four criteria to judge the value of qualitative research. These include credibility (internal validity), transferability (external validity), dependability (reliability) and confirmability (objectivity). </w:t>
      </w:r>
      <w:r w:rsidR="00DE6FCF">
        <w:rPr>
          <w:rFonts w:cs="Arial"/>
          <w:szCs w:val="24"/>
        </w:rPr>
        <w:fldChar w:fldCharType="begin"/>
      </w:r>
      <w:r w:rsidR="008D598C">
        <w:rPr>
          <w:rFonts w:cs="Arial"/>
          <w:szCs w:val="24"/>
        </w:rPr>
        <w:instrText xml:space="preserve"> ADDIN EN.CITE &lt;EndNote&gt;&lt;Cite&gt;&lt;Author&gt;Rossman&lt;/Author&gt;&lt;Year&gt;1998&lt;/Year&gt;&lt;IDText&gt;Learning in the field: An introduction to Qualitative Research&lt;/IDText&gt;&lt;DisplayText&gt;(Rossman and Rallis, 1998)&lt;/DisplayText&gt;&lt;record&gt;&lt;titles&gt;&lt;title&gt;Learning in the field: An introduction to Qualitative Research&lt;/title&gt;&lt;/titles&gt;&lt;contributors&gt;&lt;authors&gt;&lt;author&gt;Rossman, R B&lt;/author&gt;&lt;author&gt;Rallis, S F&lt;/author&gt;&lt;/authors&gt;&lt;/contributors&gt;&lt;added-date format="utc"&gt;1400252658&lt;/added-date&gt;&lt;pub-location&gt;Thousand Oaks, CA&lt;/pub-location&gt;&lt;ref-type name="Book"&gt;6&lt;/ref-type&gt;&lt;dates&gt;&lt;year&gt;1998&lt;/year&gt;&lt;/dates&gt;&lt;rec-number&gt;146&lt;/rec-number&gt;&lt;publisher&gt;Sage&lt;/publisher&gt;&lt;last-updated-date format="utc"&gt;1400252738&lt;/last-updated-date&gt;&lt;/record&gt;&lt;/Cite&gt;&lt;/EndNote&gt;</w:instrText>
      </w:r>
      <w:r w:rsidR="00DE6FCF">
        <w:rPr>
          <w:rFonts w:cs="Arial"/>
          <w:szCs w:val="24"/>
        </w:rPr>
        <w:fldChar w:fldCharType="separate"/>
      </w:r>
      <w:r w:rsidR="00DC2684">
        <w:rPr>
          <w:rFonts w:cs="Arial"/>
          <w:noProof/>
          <w:szCs w:val="24"/>
        </w:rPr>
        <w:t>Rossman and Rallis</w:t>
      </w:r>
      <w:r w:rsidR="008D598C">
        <w:rPr>
          <w:rFonts w:cs="Arial"/>
          <w:noProof/>
          <w:szCs w:val="24"/>
        </w:rPr>
        <w:t xml:space="preserve"> </w:t>
      </w:r>
      <w:r w:rsidR="00DC2684">
        <w:rPr>
          <w:rFonts w:cs="Arial"/>
          <w:noProof/>
          <w:szCs w:val="24"/>
        </w:rPr>
        <w:t>(</w:t>
      </w:r>
      <w:r w:rsidR="008D598C">
        <w:rPr>
          <w:rFonts w:cs="Arial"/>
          <w:noProof/>
          <w:szCs w:val="24"/>
        </w:rPr>
        <w:t>1998)</w:t>
      </w:r>
      <w:r w:rsidR="00DE6FCF">
        <w:rPr>
          <w:rFonts w:cs="Arial"/>
          <w:szCs w:val="24"/>
        </w:rPr>
        <w:fldChar w:fldCharType="end"/>
      </w:r>
      <w:r w:rsidR="001A2BC9">
        <w:rPr>
          <w:rFonts w:cs="Arial"/>
          <w:szCs w:val="24"/>
        </w:rPr>
        <w:t xml:space="preserve"> </w:t>
      </w:r>
      <w:r>
        <w:rPr>
          <w:rFonts w:cs="Arial"/>
          <w:szCs w:val="24"/>
        </w:rPr>
        <w:t xml:space="preserve">make quality </w:t>
      </w:r>
      <w:r w:rsidR="001D42C9">
        <w:rPr>
          <w:rFonts w:cs="Arial"/>
          <w:szCs w:val="24"/>
        </w:rPr>
        <w:t>judgment</w:t>
      </w:r>
      <w:r>
        <w:rPr>
          <w:rFonts w:cs="Arial"/>
          <w:szCs w:val="24"/>
        </w:rPr>
        <w:t>s in term</w:t>
      </w:r>
      <w:r w:rsidR="00DE6FCF">
        <w:rPr>
          <w:rFonts w:cs="Arial"/>
          <w:szCs w:val="24"/>
        </w:rPr>
        <w:t>s</w:t>
      </w:r>
      <w:r>
        <w:rPr>
          <w:rFonts w:cs="Arial"/>
          <w:szCs w:val="24"/>
        </w:rPr>
        <w:t xml:space="preserve"> of the truth of the research, which </w:t>
      </w:r>
      <w:r>
        <w:rPr>
          <w:rFonts w:cs="Arial"/>
          <w:szCs w:val="24"/>
        </w:rPr>
        <w:lastRenderedPageBreak/>
        <w:t>depends on how adequately multiple understandings are presented. They suggest that a researcher should gather data over a period of time, share interpretations with participants, design the study as action research, triangulate from several data sources, methods or investigators</w:t>
      </w:r>
      <w:r w:rsidR="001A2BC9">
        <w:rPr>
          <w:rFonts w:cs="Arial"/>
          <w:szCs w:val="24"/>
        </w:rPr>
        <w:t>,</w:t>
      </w:r>
      <w:r>
        <w:rPr>
          <w:rFonts w:cs="Arial"/>
          <w:szCs w:val="24"/>
        </w:rPr>
        <w:t xml:space="preserve"> and to contextualise the findings to the specific setting</w:t>
      </w:r>
      <w:r w:rsidR="00DE6FCF">
        <w:rPr>
          <w:rFonts w:cs="Arial"/>
          <w:szCs w:val="24"/>
        </w:rPr>
        <w:t>.</w:t>
      </w:r>
    </w:p>
    <w:p w14:paraId="58DB8BDB" w14:textId="0A368C3C" w:rsidR="00C06D1A" w:rsidRDefault="00C06D1A" w:rsidP="00C06D1A">
      <w:pPr>
        <w:spacing w:before="100" w:beforeAutospacing="1" w:after="100" w:afterAutospacing="1"/>
        <w:rPr>
          <w:rFonts w:cs="Arial"/>
          <w:szCs w:val="24"/>
        </w:rPr>
      </w:pPr>
      <w:r>
        <w:rPr>
          <w:rFonts w:cs="Arial"/>
          <w:szCs w:val="24"/>
        </w:rPr>
        <w:t>In terms of rigo</w:t>
      </w:r>
      <w:r w:rsidR="001A2BC9">
        <w:rPr>
          <w:rFonts w:cs="Arial"/>
          <w:szCs w:val="24"/>
        </w:rPr>
        <w:t>u</w:t>
      </w:r>
      <w:r>
        <w:rPr>
          <w:rFonts w:cs="Arial"/>
          <w:szCs w:val="24"/>
        </w:rPr>
        <w:t xml:space="preserve">r, the data must be replicable. Reliability relates to ‘whether a particular research technique will yield the same results if applied repeatedly to the same object’ </w:t>
      </w:r>
      <w:r>
        <w:rPr>
          <w:rFonts w:cs="Arial"/>
          <w:szCs w:val="24"/>
        </w:rPr>
        <w:fldChar w:fldCharType="begin"/>
      </w:r>
      <w:r w:rsidR="000612D3">
        <w:rPr>
          <w:rFonts w:cs="Arial"/>
          <w:szCs w:val="24"/>
        </w:rPr>
        <w:instrText xml:space="preserve"> ADDIN EN.CITE &lt;EndNote&gt;&lt;Cite&gt;&lt;Author&gt;Babbie&lt;/Author&gt;&lt;Year&gt;1997&lt;/Year&gt;&lt;IDText&gt;The practice of social research&lt;/IDText&gt;&lt;DisplayText&gt;(Babbie, 1997)&lt;/DisplayText&gt;&lt;record&gt;&lt;titles&gt;&lt;title&gt;The practice of social research&lt;/title&gt;&lt;/titles&gt;&lt;contributors&gt;&lt;authors&gt;&lt;author&gt;Babbie, E.&lt;/author&gt;&lt;/authors&gt;&lt;/contributors&gt;&lt;edition&gt;8th&lt;/edition&gt;&lt;added-date format="utc"&gt;1399927711&lt;/added-date&gt;&lt;pub-location&gt;Belmont, CA&lt;/pub-location&gt;&lt;ref-type name="Generic"&gt;13&lt;/ref-type&gt;&lt;dates&gt;&lt;year&gt;1997&lt;/year&gt;&lt;/dates&gt;&lt;rec-number&gt;82&lt;/rec-number&gt;&lt;publisher&gt;Wadsworth&lt;/publisher&gt;&lt;last-updated-date format="utc"&gt;1399937123&lt;/last-updated-date&gt;&lt;/record&gt;&lt;/Cite&gt;&lt;/EndNote&gt;</w:instrText>
      </w:r>
      <w:r>
        <w:rPr>
          <w:rFonts w:cs="Arial"/>
          <w:szCs w:val="24"/>
        </w:rPr>
        <w:fldChar w:fldCharType="separate"/>
      </w:r>
      <w:r w:rsidR="000612D3">
        <w:rPr>
          <w:rFonts w:cs="Arial"/>
          <w:noProof/>
          <w:szCs w:val="24"/>
        </w:rPr>
        <w:t>(Babbie, 1997)</w:t>
      </w:r>
      <w:r>
        <w:rPr>
          <w:rFonts w:cs="Arial"/>
          <w:szCs w:val="24"/>
        </w:rPr>
        <w:fldChar w:fldCharType="end"/>
      </w:r>
      <w:r>
        <w:rPr>
          <w:rFonts w:cs="Arial"/>
          <w:szCs w:val="24"/>
        </w:rPr>
        <w:t xml:space="preserve">. The significance of the research relates to </w:t>
      </w:r>
      <w:r w:rsidR="001A2BC9">
        <w:rPr>
          <w:rFonts w:cs="Arial"/>
          <w:szCs w:val="24"/>
        </w:rPr>
        <w:t xml:space="preserve">its </w:t>
      </w:r>
      <w:r>
        <w:rPr>
          <w:rFonts w:cs="Arial"/>
          <w:szCs w:val="24"/>
        </w:rPr>
        <w:t xml:space="preserve">applicability to other situations. </w:t>
      </w:r>
      <w:r w:rsidR="00DE6FCF">
        <w:rPr>
          <w:rFonts w:cs="Arial"/>
          <w:szCs w:val="24"/>
        </w:rPr>
        <w:t xml:space="preserve">Because </w:t>
      </w:r>
      <w:r>
        <w:rPr>
          <w:rFonts w:cs="Arial"/>
          <w:szCs w:val="24"/>
        </w:rPr>
        <w:t>the world changes so rapidly</w:t>
      </w:r>
      <w:r w:rsidR="00DE6FCF">
        <w:rPr>
          <w:rFonts w:cs="Arial"/>
          <w:szCs w:val="24"/>
        </w:rPr>
        <w:t>,</w:t>
      </w:r>
      <w:r>
        <w:rPr>
          <w:rFonts w:cs="Arial"/>
          <w:szCs w:val="24"/>
        </w:rPr>
        <w:t xml:space="preserve"> research now would be difficult to replicate later</w:t>
      </w:r>
      <w:r w:rsidR="00DE6FCF">
        <w:rPr>
          <w:rFonts w:cs="Arial"/>
          <w:szCs w:val="24"/>
        </w:rPr>
        <w:t>, so this remains a challenge</w:t>
      </w:r>
      <w:r>
        <w:rPr>
          <w:rFonts w:cs="Arial"/>
          <w:szCs w:val="24"/>
        </w:rPr>
        <w:t xml:space="preserve">. In addition, environmental changes mean that people’s reactions and interpretations will be different for any alteration in day, time and season. </w:t>
      </w:r>
      <w:r w:rsidR="00A65657">
        <w:rPr>
          <w:rFonts w:cs="Arial"/>
          <w:szCs w:val="24"/>
        </w:rPr>
        <w:t>In order to</w:t>
      </w:r>
      <w:r w:rsidR="00DE6FCF">
        <w:rPr>
          <w:rFonts w:cs="Arial"/>
          <w:szCs w:val="24"/>
        </w:rPr>
        <w:t xml:space="preserve"> remain</w:t>
      </w:r>
      <w:r w:rsidR="00A65657">
        <w:rPr>
          <w:rFonts w:cs="Arial"/>
          <w:szCs w:val="24"/>
        </w:rPr>
        <w:t xml:space="preserve"> transparent, reflection</w:t>
      </w:r>
      <w:r w:rsidR="00DE6FCF">
        <w:rPr>
          <w:rFonts w:cs="Arial"/>
          <w:szCs w:val="24"/>
        </w:rPr>
        <w:t>s</w:t>
      </w:r>
      <w:r w:rsidR="00A65657">
        <w:rPr>
          <w:rFonts w:cs="Arial"/>
          <w:szCs w:val="24"/>
        </w:rPr>
        <w:t xml:space="preserve"> and </w:t>
      </w:r>
      <w:r w:rsidR="00DE6FCF">
        <w:rPr>
          <w:rFonts w:cs="Arial"/>
          <w:szCs w:val="24"/>
        </w:rPr>
        <w:t xml:space="preserve">findings </w:t>
      </w:r>
      <w:r w:rsidR="00A65657">
        <w:rPr>
          <w:rFonts w:cs="Arial"/>
          <w:szCs w:val="24"/>
        </w:rPr>
        <w:t xml:space="preserve">that informed the next stage of study design have been included at the end of each </w:t>
      </w:r>
      <w:r w:rsidR="009E1E4A">
        <w:rPr>
          <w:rFonts w:cs="Arial"/>
          <w:szCs w:val="24"/>
        </w:rPr>
        <w:t>c</w:t>
      </w:r>
      <w:r w:rsidR="001D42C9">
        <w:rPr>
          <w:rFonts w:cs="Arial"/>
          <w:szCs w:val="24"/>
        </w:rPr>
        <w:t>hapter</w:t>
      </w:r>
      <w:r w:rsidR="00DE6FCF">
        <w:rPr>
          <w:rFonts w:cs="Arial"/>
          <w:szCs w:val="24"/>
        </w:rPr>
        <w:t>.</w:t>
      </w:r>
      <w:r w:rsidR="00A65657">
        <w:rPr>
          <w:rFonts w:cs="Arial"/>
          <w:szCs w:val="24"/>
        </w:rPr>
        <w:t xml:space="preserve"> </w:t>
      </w:r>
    </w:p>
    <w:p w14:paraId="79913FD3" w14:textId="77777777" w:rsidR="00C06D1A" w:rsidRDefault="00C06D1A" w:rsidP="00C06D1A">
      <w:pPr>
        <w:spacing w:before="100" w:beforeAutospacing="1" w:after="100" w:afterAutospacing="1"/>
        <w:rPr>
          <w:rFonts w:cs="Arial"/>
          <w:szCs w:val="24"/>
        </w:rPr>
      </w:pPr>
      <w:r>
        <w:rPr>
          <w:rFonts w:cs="Arial"/>
          <w:szCs w:val="24"/>
        </w:rPr>
        <w:t xml:space="preserve">Issues for qualitative research have been said to be more about transferability, faithfulness and dependability rather than validity and reliability. The expectation of robust research is to provide in depth, rich descriptions that allow readers to decide whether the research is applicable to their wider community (transferability). Trustworthiness relates to how reliable the data is and aiming for neutrality to ensure findings are from participants and not biases or interests of the researcher (Lincoln and </w:t>
      </w:r>
      <w:proofErr w:type="spellStart"/>
      <w:r>
        <w:rPr>
          <w:rFonts w:cs="Arial"/>
          <w:szCs w:val="24"/>
        </w:rPr>
        <w:t>Guber</w:t>
      </w:r>
      <w:proofErr w:type="spellEnd"/>
      <w:r>
        <w:rPr>
          <w:rFonts w:cs="Arial"/>
          <w:szCs w:val="24"/>
        </w:rPr>
        <w:t xml:space="preserve"> 1985). They define reliability by ‘stability, consistency and predictability’.</w:t>
      </w:r>
    </w:p>
    <w:p w14:paraId="544A77BD" w14:textId="14CE71C8" w:rsidR="00C06D1A" w:rsidRDefault="00C06D1A" w:rsidP="00C06D1A">
      <w:pPr>
        <w:spacing w:before="100" w:beforeAutospacing="1" w:after="100" w:afterAutospacing="1"/>
        <w:rPr>
          <w:rFonts w:cs="Arial"/>
          <w:szCs w:val="24"/>
        </w:rPr>
      </w:pPr>
      <w:r>
        <w:rPr>
          <w:rFonts w:cs="Arial"/>
          <w:szCs w:val="24"/>
        </w:rPr>
        <w:t xml:space="preserve">In terms of </w:t>
      </w:r>
      <w:r w:rsidRPr="00283E43">
        <w:rPr>
          <w:rFonts w:cs="Arial"/>
          <w:szCs w:val="24"/>
        </w:rPr>
        <w:t>credibility,</w:t>
      </w:r>
      <w:r>
        <w:rPr>
          <w:rFonts w:cs="Arial"/>
          <w:szCs w:val="24"/>
        </w:rPr>
        <w:t xml:space="preserve"> </w:t>
      </w:r>
      <w:r w:rsidR="00DE6FCF">
        <w:rPr>
          <w:rFonts w:cs="Arial"/>
          <w:szCs w:val="24"/>
        </w:rPr>
        <w:fldChar w:fldCharType="begin"/>
      </w:r>
      <w:r w:rsidR="005823F4">
        <w:rPr>
          <w:rFonts w:cs="Arial"/>
          <w:szCs w:val="24"/>
        </w:rPr>
        <w:instrText xml:space="preserve"> ADDIN EN.CITE &lt;EndNote&gt;&lt;Cite&gt;&lt;Author&gt;Patton&lt;/Author&gt;&lt;Year&gt;1990&lt;/Year&gt;&lt;IDText&gt;Qualitative evaluation and research methods&lt;/IDText&gt;&lt;DisplayText&gt;(Patton, 1990)&lt;/DisplayText&gt;&lt;record&gt;&lt;titles&gt;&lt;title&gt;Qualitative evaluation and research methods&lt;/title&gt;&lt;/titles&gt;&lt;contributors&gt;&lt;authors&gt;&lt;author&gt;Patton, M Q&lt;/author&gt;&lt;/authors&gt;&lt;/contributors&gt;&lt;edition&gt;2nd&lt;/edition&gt;&lt;added-date format="utc"&gt;1400252501&lt;/added-date&gt;&lt;pub-location&gt;Newbury Park, CA&lt;/pub-location&gt;&lt;ref-type name="Book"&gt;6&lt;/ref-type&gt;&lt;dates&gt;&lt;year&gt;1990&lt;/year&gt;&lt;/dates&gt;&lt;rec-number&gt;145&lt;/rec-number&gt;&lt;publisher&gt;Sage&lt;/publisher&gt;&lt;last-updated-date format="utc"&gt;1400252738&lt;/last-updated-date&gt;&lt;/record&gt;&lt;/Cite&gt;&lt;/EndNote&gt;</w:instrText>
      </w:r>
      <w:r w:rsidR="00DE6FCF">
        <w:rPr>
          <w:rFonts w:cs="Arial"/>
          <w:szCs w:val="24"/>
        </w:rPr>
        <w:fldChar w:fldCharType="separate"/>
      </w:r>
      <w:r w:rsidR="005823F4">
        <w:rPr>
          <w:rFonts w:cs="Arial"/>
          <w:noProof/>
          <w:szCs w:val="24"/>
        </w:rPr>
        <w:t>(Patton, 1990)</w:t>
      </w:r>
      <w:r w:rsidR="00DE6FCF">
        <w:rPr>
          <w:rFonts w:cs="Arial"/>
          <w:szCs w:val="24"/>
        </w:rPr>
        <w:fldChar w:fldCharType="end"/>
      </w:r>
      <w:r w:rsidR="00DE6FCF">
        <w:rPr>
          <w:rFonts w:cs="Arial"/>
          <w:szCs w:val="24"/>
        </w:rPr>
        <w:t xml:space="preserve"> </w:t>
      </w:r>
      <w:r>
        <w:rPr>
          <w:rFonts w:cs="Arial"/>
          <w:szCs w:val="24"/>
        </w:rPr>
        <w:t xml:space="preserve">advises that qualitative studies should justify </w:t>
      </w:r>
      <w:r w:rsidR="00FD58E5">
        <w:rPr>
          <w:rFonts w:cs="Arial"/>
          <w:szCs w:val="24"/>
        </w:rPr>
        <w:t xml:space="preserve">its </w:t>
      </w:r>
      <w:r>
        <w:rPr>
          <w:rFonts w:cs="Arial"/>
          <w:szCs w:val="24"/>
        </w:rPr>
        <w:t>techniques and methods</w:t>
      </w:r>
      <w:r w:rsidR="00DE6FCF">
        <w:rPr>
          <w:rFonts w:cs="Arial"/>
          <w:szCs w:val="24"/>
        </w:rPr>
        <w:t>,</w:t>
      </w:r>
      <w:r>
        <w:rPr>
          <w:rFonts w:cs="Arial"/>
          <w:szCs w:val="24"/>
        </w:rPr>
        <w:t xml:space="preserve"> how integrity, validity and accuracy of </w:t>
      </w:r>
      <w:r>
        <w:rPr>
          <w:rFonts w:cs="Arial"/>
          <w:szCs w:val="24"/>
        </w:rPr>
        <w:lastRenderedPageBreak/>
        <w:t>findings have been confirmed.</w:t>
      </w:r>
      <w:r w:rsidRPr="00283E43">
        <w:rPr>
          <w:rFonts w:cs="Arial"/>
          <w:szCs w:val="24"/>
        </w:rPr>
        <w:t xml:space="preserve"> </w:t>
      </w:r>
      <w:r>
        <w:rPr>
          <w:rFonts w:cs="Arial"/>
          <w:szCs w:val="24"/>
        </w:rPr>
        <w:t>Patton (1990) explains the importance of the researcher</w:t>
      </w:r>
      <w:r w:rsidR="00DE6FCF">
        <w:rPr>
          <w:rFonts w:cs="Arial"/>
          <w:szCs w:val="24"/>
        </w:rPr>
        <w:t>’</w:t>
      </w:r>
      <w:r>
        <w:rPr>
          <w:rFonts w:cs="Arial"/>
          <w:szCs w:val="24"/>
        </w:rPr>
        <w:t>s qualifications and credentials and also</w:t>
      </w:r>
      <w:r w:rsidR="00FD58E5">
        <w:rPr>
          <w:rFonts w:cs="Arial"/>
          <w:szCs w:val="24"/>
        </w:rPr>
        <w:t xml:space="preserve"> in</w:t>
      </w:r>
      <w:r>
        <w:rPr>
          <w:rFonts w:cs="Arial"/>
          <w:szCs w:val="24"/>
        </w:rPr>
        <w:t xml:space="preserve"> making transparent</w:t>
      </w:r>
      <w:r w:rsidR="00FD58E5">
        <w:rPr>
          <w:rFonts w:cs="Arial"/>
          <w:szCs w:val="24"/>
        </w:rPr>
        <w:t xml:space="preserve"> </w:t>
      </w:r>
      <w:r>
        <w:rPr>
          <w:rFonts w:cs="Arial"/>
          <w:szCs w:val="24"/>
        </w:rPr>
        <w:t>assumptions made prior to the study</w:t>
      </w:r>
      <w:r w:rsidR="00DE6FCF">
        <w:rPr>
          <w:rFonts w:cs="Arial"/>
          <w:szCs w:val="24"/>
        </w:rPr>
        <w:t>.</w:t>
      </w:r>
      <w:r>
        <w:rPr>
          <w:rFonts w:cs="Arial"/>
          <w:szCs w:val="24"/>
        </w:rPr>
        <w:t xml:space="preserve"> Qualitative researchers agree that truthfulness is essential in qualitative research however they do not all agree that validity and reliability as per quantitative research is applicable in the same way </w:t>
      </w:r>
      <w:r>
        <w:rPr>
          <w:rFonts w:cs="Arial"/>
          <w:szCs w:val="24"/>
        </w:rPr>
        <w:fldChar w:fldCharType="begin"/>
      </w:r>
      <w:r w:rsidR="000612D3">
        <w:rPr>
          <w:rFonts w:cs="Arial"/>
          <w:szCs w:val="24"/>
        </w:rPr>
        <w:instrText xml:space="preserve"> ADDIN EN.CITE &lt;EndNote&gt;&lt;Cite&gt;&lt;Author&gt;Lewis&lt;/Author&gt;&lt;Year&gt;2009&lt;/Year&gt;&lt;IDText&gt;Redefining Qualitative Methods: Believability in the Fifth Moment&lt;/IDText&gt;&lt;DisplayText&gt;(Lewis, 2009)&lt;/DisplayText&gt;&lt;record&gt;&lt;titles&gt;&lt;title&gt;Redefining Qualitative Methods: Believability in the Fifth Moment&lt;/title&gt;&lt;secondary-title&gt;International Journal of Qualitative Methods&lt;/secondary-title&gt;&lt;/titles&gt;&lt;pages&gt;1 - 13&lt;/pages&gt;&lt;number&gt;2&lt;/number&gt;&lt;contributors&gt;&lt;authors&gt;&lt;author&gt;Lewis, J&lt;/author&gt;&lt;/authors&gt;&lt;/contributors&gt;&lt;added-date format="utc"&gt;1399930413&lt;/added-date&gt;&lt;pub-location&gt;Indiana, Pennsylvania, USA&lt;/pub-location&gt;&lt;ref-type name="Journal Article"&gt;17&lt;/ref-type&gt;&lt;dates&gt;&lt;year&gt;2009&lt;/year&gt;&lt;/dates&gt;&lt;rec-number&gt;94&lt;/rec-number&gt;&lt;last-updated-date format="utc"&gt;1399937123&lt;/last-updated-date&gt;&lt;volume&gt;8&lt;/volume&gt;&lt;/record&gt;&lt;/Cite&gt;&lt;/EndNote&gt;</w:instrText>
      </w:r>
      <w:r>
        <w:rPr>
          <w:rFonts w:cs="Arial"/>
          <w:szCs w:val="24"/>
        </w:rPr>
        <w:fldChar w:fldCharType="separate"/>
      </w:r>
      <w:r w:rsidR="000612D3">
        <w:rPr>
          <w:rFonts w:cs="Arial"/>
          <w:noProof/>
          <w:szCs w:val="24"/>
        </w:rPr>
        <w:t>(Lewis, 2009)</w:t>
      </w:r>
      <w:r>
        <w:rPr>
          <w:rFonts w:cs="Arial"/>
          <w:szCs w:val="24"/>
        </w:rPr>
        <w:fldChar w:fldCharType="end"/>
      </w:r>
      <w:r>
        <w:rPr>
          <w:rFonts w:cs="Arial"/>
          <w:szCs w:val="24"/>
        </w:rPr>
        <w:t>.</w:t>
      </w:r>
    </w:p>
    <w:p w14:paraId="47E071B0" w14:textId="7E2472F9" w:rsidR="00C06D1A" w:rsidRDefault="00C06D1A" w:rsidP="00C06D1A">
      <w:pPr>
        <w:spacing w:before="100" w:beforeAutospacing="1" w:after="100" w:afterAutospacing="1"/>
        <w:rPr>
          <w:rFonts w:cs="Arial"/>
          <w:szCs w:val="24"/>
        </w:rPr>
      </w:pPr>
      <w:r>
        <w:rPr>
          <w:rFonts w:cs="Arial"/>
          <w:szCs w:val="24"/>
        </w:rPr>
        <w:t xml:space="preserve">Reliability in qualitative research is considered equal to consistency. Research is considered to be reliable if another researcher can reproduce the results. Field notes and memos are important to capture details about study design and process that would allow another researcher to mirror actions in an aim to re-test. Schwandt (2007) describes methods to improve validity in qualitative inquiry such as ‘analysing transcriptions, inter-rater checks on coding, categorisation procedures, detailed information about </w:t>
      </w:r>
      <w:r w:rsidR="001D42C9">
        <w:rPr>
          <w:rFonts w:cs="Arial"/>
          <w:szCs w:val="24"/>
        </w:rPr>
        <w:t>decision-making</w:t>
      </w:r>
      <w:r>
        <w:rPr>
          <w:rFonts w:cs="Arial"/>
          <w:szCs w:val="24"/>
        </w:rPr>
        <w:t xml:space="preserve"> and variations in observations’ </w:t>
      </w:r>
      <w:r>
        <w:rPr>
          <w:rFonts w:cs="Arial"/>
          <w:szCs w:val="24"/>
        </w:rPr>
        <w:fldChar w:fldCharType="begin"/>
      </w:r>
      <w:r w:rsidR="000612D3">
        <w:rPr>
          <w:rFonts w:cs="Arial"/>
          <w:szCs w:val="24"/>
        </w:rPr>
        <w:instrText xml:space="preserve"> ADDIN EN.CITE &lt;EndNote&gt;&lt;Cite&gt;&lt;Author&gt;Schwandt&lt;/Author&gt;&lt;Year&gt;2007&lt;/Year&gt;&lt;IDText&gt;The Sage dictionary of qualitative inquiry&lt;/IDText&gt;&lt;DisplayText&gt;(Schwandt, 2007)&lt;/DisplayText&gt;&lt;record&gt;&lt;titles&gt;&lt;title&gt;The Sage dictionary of qualitative inquiry&lt;/title&gt;&lt;/titles&gt;&lt;contributors&gt;&lt;authors&gt;&lt;author&gt;Schwandt, TA&lt;/author&gt;&lt;/authors&gt;&lt;/contributors&gt;&lt;edition&gt;3rd&lt;/edition&gt;&lt;added-date format="utc"&gt;1399929823&lt;/added-date&gt;&lt;pub-location&gt;Thousand Oaks, CA&lt;/pub-location&gt;&lt;ref-type name="Generic"&gt;13&lt;/ref-type&gt;&lt;dates&gt;&lt;year&gt;2007&lt;/year&gt;&lt;/dates&gt;&lt;rec-number&gt;91&lt;/rec-number&gt;&lt;publisher&gt;Sage&lt;/publisher&gt;&lt;last-updated-date format="utc"&gt;1399937123&lt;/last-updated-date&gt;&lt;/record&gt;&lt;/Cite&gt;&lt;/EndNote&gt;</w:instrText>
      </w:r>
      <w:r>
        <w:rPr>
          <w:rFonts w:cs="Arial"/>
          <w:szCs w:val="24"/>
        </w:rPr>
        <w:fldChar w:fldCharType="separate"/>
      </w:r>
      <w:r w:rsidR="000612D3">
        <w:rPr>
          <w:rFonts w:cs="Arial"/>
          <w:noProof/>
          <w:szCs w:val="24"/>
        </w:rPr>
        <w:t>(Schwandt, 2007)</w:t>
      </w:r>
      <w:r>
        <w:rPr>
          <w:rFonts w:cs="Arial"/>
          <w:szCs w:val="24"/>
        </w:rPr>
        <w:fldChar w:fldCharType="end"/>
      </w:r>
      <w:r>
        <w:rPr>
          <w:rFonts w:cs="Arial"/>
          <w:szCs w:val="24"/>
        </w:rPr>
        <w:t xml:space="preserve">. </w:t>
      </w:r>
    </w:p>
    <w:p w14:paraId="08765996" w14:textId="39BDA4A1" w:rsidR="00C06D1A" w:rsidRDefault="000858EB" w:rsidP="00C06D1A">
      <w:pPr>
        <w:spacing w:before="100" w:beforeAutospacing="1" w:after="100" w:afterAutospacing="1"/>
        <w:rPr>
          <w:rFonts w:cs="Arial"/>
          <w:szCs w:val="24"/>
        </w:rPr>
      </w:pPr>
      <w:r>
        <w:rPr>
          <w:rFonts w:cs="Arial"/>
          <w:szCs w:val="24"/>
        </w:rPr>
        <w:t xml:space="preserve">It was important to be in </w:t>
      </w:r>
      <w:r w:rsidR="00C06D1A">
        <w:rPr>
          <w:rFonts w:cs="Arial"/>
          <w:szCs w:val="24"/>
        </w:rPr>
        <w:t>direct contact with the participants</w:t>
      </w:r>
      <w:r w:rsidR="00FD58E5">
        <w:rPr>
          <w:rFonts w:cs="Arial"/>
          <w:szCs w:val="24"/>
        </w:rPr>
        <w:t xml:space="preserve"> -</w:t>
      </w:r>
      <w:r>
        <w:rPr>
          <w:rFonts w:cs="Arial"/>
          <w:szCs w:val="24"/>
        </w:rPr>
        <w:t xml:space="preserve"> to embed oneself in the research environment,</w:t>
      </w:r>
      <w:r w:rsidR="00C06D1A">
        <w:rPr>
          <w:rFonts w:cs="Arial"/>
          <w:szCs w:val="24"/>
        </w:rPr>
        <w:t xml:space="preserve"> </w:t>
      </w:r>
      <w:r>
        <w:rPr>
          <w:rFonts w:cs="Arial"/>
          <w:szCs w:val="24"/>
        </w:rPr>
        <w:t>however in doing this</w:t>
      </w:r>
      <w:r w:rsidR="009E624D">
        <w:rPr>
          <w:rFonts w:cs="Arial"/>
          <w:szCs w:val="24"/>
        </w:rPr>
        <w:t>, t</w:t>
      </w:r>
      <w:r w:rsidR="00137253">
        <w:rPr>
          <w:rFonts w:cs="Arial"/>
          <w:szCs w:val="24"/>
        </w:rPr>
        <w:t>here</w:t>
      </w:r>
      <w:r>
        <w:rPr>
          <w:rFonts w:cs="Arial"/>
          <w:szCs w:val="24"/>
        </w:rPr>
        <w:t xml:space="preserve"> wa</w:t>
      </w:r>
      <w:r w:rsidR="00C06D1A">
        <w:rPr>
          <w:rFonts w:cs="Arial"/>
          <w:szCs w:val="24"/>
        </w:rPr>
        <w:t>s a level of researcher bias and reactivity</w:t>
      </w:r>
      <w:r>
        <w:rPr>
          <w:rFonts w:cs="Arial"/>
          <w:szCs w:val="24"/>
        </w:rPr>
        <w:t xml:space="preserve"> that is important to be aware of </w:t>
      </w:r>
      <w:r w:rsidR="00DC2684">
        <w:rPr>
          <w:rFonts w:cs="Arial"/>
          <w:szCs w:val="24"/>
        </w:rPr>
        <w:t xml:space="preserve">(reflexivity) </w:t>
      </w:r>
      <w:r>
        <w:rPr>
          <w:rFonts w:cs="Arial"/>
          <w:szCs w:val="24"/>
        </w:rPr>
        <w:t>and consider when interpreting results</w:t>
      </w:r>
      <w:r w:rsidR="00C06D1A">
        <w:rPr>
          <w:rFonts w:cs="Arial"/>
          <w:szCs w:val="24"/>
        </w:rPr>
        <w:t xml:space="preserve">. Though </w:t>
      </w:r>
      <w:r>
        <w:rPr>
          <w:rFonts w:cs="Arial"/>
          <w:szCs w:val="24"/>
        </w:rPr>
        <w:t>simulation appears to be an</w:t>
      </w:r>
      <w:r w:rsidR="00C06D1A">
        <w:rPr>
          <w:rFonts w:cs="Arial"/>
          <w:szCs w:val="24"/>
        </w:rPr>
        <w:t xml:space="preserve"> excellent tool for learnin</w:t>
      </w:r>
      <w:r>
        <w:rPr>
          <w:rFonts w:cs="Arial"/>
          <w:szCs w:val="24"/>
        </w:rPr>
        <w:t>g for postgraduate students it is unclear whether</w:t>
      </w:r>
      <w:r w:rsidR="00C06D1A">
        <w:rPr>
          <w:rFonts w:cs="Arial"/>
          <w:szCs w:val="24"/>
        </w:rPr>
        <w:t xml:space="preserve"> this is the case for undergraduates. </w:t>
      </w:r>
      <w:r w:rsidR="00AD03EC">
        <w:rPr>
          <w:rFonts w:cs="Arial"/>
          <w:szCs w:val="24"/>
        </w:rPr>
        <w:t>A</w:t>
      </w:r>
      <w:r>
        <w:rPr>
          <w:rFonts w:cs="Arial"/>
          <w:szCs w:val="24"/>
        </w:rPr>
        <w:t>t the time</w:t>
      </w:r>
      <w:r w:rsidR="00AD03EC">
        <w:rPr>
          <w:rFonts w:cs="Arial"/>
          <w:szCs w:val="24"/>
        </w:rPr>
        <w:t xml:space="preserve"> of the study,</w:t>
      </w:r>
      <w:r>
        <w:rPr>
          <w:rFonts w:cs="Arial"/>
          <w:szCs w:val="24"/>
        </w:rPr>
        <w:t xml:space="preserve"> </w:t>
      </w:r>
      <w:r w:rsidR="009874EF">
        <w:rPr>
          <w:rFonts w:cs="Arial"/>
          <w:szCs w:val="24"/>
        </w:rPr>
        <w:t>the researcher</w:t>
      </w:r>
      <w:r>
        <w:rPr>
          <w:rFonts w:cs="Arial"/>
          <w:szCs w:val="24"/>
        </w:rPr>
        <w:t xml:space="preserve"> did</w:t>
      </w:r>
      <w:r w:rsidR="00C06D1A">
        <w:rPr>
          <w:rFonts w:cs="Arial"/>
          <w:szCs w:val="24"/>
        </w:rPr>
        <w:t xml:space="preserve"> not have a clin</w:t>
      </w:r>
      <w:r>
        <w:rPr>
          <w:rFonts w:cs="Arial"/>
          <w:szCs w:val="24"/>
        </w:rPr>
        <w:t xml:space="preserve">ical role in </w:t>
      </w:r>
      <w:r w:rsidR="009874EF">
        <w:rPr>
          <w:rFonts w:cs="Arial"/>
          <w:szCs w:val="24"/>
        </w:rPr>
        <w:t>University 1 or 2</w:t>
      </w:r>
      <w:r>
        <w:rPr>
          <w:rFonts w:cs="Arial"/>
          <w:szCs w:val="24"/>
        </w:rPr>
        <w:t>,</w:t>
      </w:r>
      <w:r w:rsidR="00AD03EC">
        <w:rPr>
          <w:rFonts w:cs="Arial"/>
          <w:szCs w:val="24"/>
        </w:rPr>
        <w:t xml:space="preserve"> so</w:t>
      </w:r>
      <w:r w:rsidR="00C06D1A">
        <w:rPr>
          <w:rFonts w:cs="Arial"/>
          <w:szCs w:val="24"/>
        </w:rPr>
        <w:t xml:space="preserve"> participants seemed more open</w:t>
      </w:r>
      <w:r w:rsidR="00AD03EC">
        <w:rPr>
          <w:rFonts w:cs="Arial"/>
          <w:szCs w:val="24"/>
        </w:rPr>
        <w:t xml:space="preserve">, </w:t>
      </w:r>
      <w:r w:rsidR="00C06D1A">
        <w:rPr>
          <w:rFonts w:cs="Arial"/>
          <w:szCs w:val="24"/>
        </w:rPr>
        <w:t xml:space="preserve">honest and willing to voice opinions. </w:t>
      </w:r>
      <w:r w:rsidR="00AD03EC">
        <w:rPr>
          <w:rFonts w:cs="Arial"/>
          <w:szCs w:val="24"/>
        </w:rPr>
        <w:t>T</w:t>
      </w:r>
      <w:r w:rsidR="00C06D1A">
        <w:rPr>
          <w:rFonts w:cs="Arial"/>
          <w:szCs w:val="24"/>
        </w:rPr>
        <w:t>hough researcher bias</w:t>
      </w:r>
      <w:r>
        <w:rPr>
          <w:rFonts w:cs="Arial"/>
          <w:szCs w:val="24"/>
        </w:rPr>
        <w:t xml:space="preserve"> </w:t>
      </w:r>
      <w:r w:rsidR="00AD03EC">
        <w:rPr>
          <w:rFonts w:cs="Arial"/>
          <w:szCs w:val="24"/>
        </w:rPr>
        <w:t>wa</w:t>
      </w:r>
      <w:r>
        <w:rPr>
          <w:rFonts w:cs="Arial"/>
          <w:szCs w:val="24"/>
        </w:rPr>
        <w:t>s present</w:t>
      </w:r>
      <w:r w:rsidR="00C06D1A">
        <w:rPr>
          <w:rFonts w:cs="Arial"/>
          <w:szCs w:val="24"/>
        </w:rPr>
        <w:t xml:space="preserve"> due to collecting data and teaching, </w:t>
      </w:r>
      <w:r w:rsidR="009E624D">
        <w:rPr>
          <w:rFonts w:cs="Arial"/>
          <w:szCs w:val="24"/>
        </w:rPr>
        <w:t xml:space="preserve">the researcher’s </w:t>
      </w:r>
      <w:r>
        <w:rPr>
          <w:rFonts w:cs="Arial"/>
          <w:szCs w:val="24"/>
        </w:rPr>
        <w:t xml:space="preserve">perceived </w:t>
      </w:r>
      <w:r w:rsidR="00C06D1A">
        <w:rPr>
          <w:rFonts w:cs="Arial"/>
          <w:szCs w:val="24"/>
        </w:rPr>
        <w:t xml:space="preserve">unintimidating </w:t>
      </w:r>
      <w:r>
        <w:rPr>
          <w:rFonts w:cs="Arial"/>
          <w:szCs w:val="24"/>
        </w:rPr>
        <w:t xml:space="preserve">nature </w:t>
      </w:r>
      <w:r w:rsidR="00FD58E5">
        <w:rPr>
          <w:rFonts w:cs="Arial"/>
          <w:szCs w:val="24"/>
        </w:rPr>
        <w:t>(</w:t>
      </w:r>
      <w:r>
        <w:rPr>
          <w:rFonts w:cs="Arial"/>
          <w:szCs w:val="24"/>
        </w:rPr>
        <w:t xml:space="preserve">due to having no links </w:t>
      </w:r>
      <w:r w:rsidR="00FD58E5">
        <w:rPr>
          <w:rFonts w:cs="Arial"/>
          <w:szCs w:val="24"/>
        </w:rPr>
        <w:t>with</w:t>
      </w:r>
      <w:r>
        <w:rPr>
          <w:rFonts w:cs="Arial"/>
          <w:szCs w:val="24"/>
        </w:rPr>
        <w:t xml:space="preserve"> students</w:t>
      </w:r>
      <w:r w:rsidR="00FD58E5">
        <w:rPr>
          <w:rFonts w:cs="Arial"/>
          <w:szCs w:val="24"/>
        </w:rPr>
        <w:t>)</w:t>
      </w:r>
      <w:r>
        <w:rPr>
          <w:rFonts w:cs="Arial"/>
          <w:szCs w:val="24"/>
        </w:rPr>
        <w:t xml:space="preserve">, appeared important </w:t>
      </w:r>
      <w:r w:rsidR="00FD58E5">
        <w:rPr>
          <w:rFonts w:cs="Arial"/>
          <w:szCs w:val="24"/>
        </w:rPr>
        <w:t>in</w:t>
      </w:r>
      <w:r>
        <w:rPr>
          <w:rFonts w:cs="Arial"/>
          <w:szCs w:val="24"/>
        </w:rPr>
        <w:t xml:space="preserve"> allow</w:t>
      </w:r>
      <w:r w:rsidR="00FD58E5">
        <w:rPr>
          <w:rFonts w:cs="Arial"/>
          <w:szCs w:val="24"/>
        </w:rPr>
        <w:t>ing</w:t>
      </w:r>
      <w:r>
        <w:rPr>
          <w:rFonts w:cs="Arial"/>
          <w:szCs w:val="24"/>
        </w:rPr>
        <w:t xml:space="preserve"> </w:t>
      </w:r>
      <w:r w:rsidR="00AD03EC">
        <w:rPr>
          <w:rFonts w:cs="Arial"/>
          <w:szCs w:val="24"/>
        </w:rPr>
        <w:lastRenderedPageBreak/>
        <w:t xml:space="preserve">them </w:t>
      </w:r>
      <w:r>
        <w:rPr>
          <w:rFonts w:cs="Arial"/>
          <w:szCs w:val="24"/>
        </w:rPr>
        <w:t>to speak freely</w:t>
      </w:r>
      <w:r w:rsidR="00FD58E5">
        <w:rPr>
          <w:rFonts w:cs="Arial"/>
          <w:szCs w:val="24"/>
        </w:rPr>
        <w:t>. This</w:t>
      </w:r>
      <w:r>
        <w:rPr>
          <w:rFonts w:cs="Arial"/>
          <w:szCs w:val="24"/>
        </w:rPr>
        <w:t xml:space="preserve"> was vital to gain</w:t>
      </w:r>
      <w:r w:rsidR="00FD58E5">
        <w:rPr>
          <w:rFonts w:cs="Arial"/>
          <w:szCs w:val="24"/>
        </w:rPr>
        <w:t xml:space="preserve"> a</w:t>
      </w:r>
      <w:r>
        <w:rPr>
          <w:rFonts w:cs="Arial"/>
          <w:szCs w:val="24"/>
        </w:rPr>
        <w:t xml:space="preserve"> de</w:t>
      </w:r>
      <w:r w:rsidR="00FD58E5">
        <w:rPr>
          <w:rFonts w:cs="Arial"/>
          <w:szCs w:val="24"/>
        </w:rPr>
        <w:t xml:space="preserve">eper </w:t>
      </w:r>
      <w:r>
        <w:rPr>
          <w:rFonts w:cs="Arial"/>
          <w:szCs w:val="24"/>
        </w:rPr>
        <w:t>understandi</w:t>
      </w:r>
      <w:r w:rsidR="00B92CF3">
        <w:rPr>
          <w:rFonts w:cs="Arial"/>
          <w:szCs w:val="24"/>
        </w:rPr>
        <w:t xml:space="preserve">ng </w:t>
      </w:r>
      <w:r w:rsidR="00FD58E5">
        <w:rPr>
          <w:rFonts w:cs="Arial"/>
          <w:szCs w:val="24"/>
        </w:rPr>
        <w:t>of</w:t>
      </w:r>
      <w:r w:rsidR="00B92CF3">
        <w:rPr>
          <w:rFonts w:cs="Arial"/>
          <w:szCs w:val="24"/>
        </w:rPr>
        <w:t xml:space="preserve"> feeling</w:t>
      </w:r>
      <w:r w:rsidR="00AD03EC">
        <w:rPr>
          <w:rFonts w:cs="Arial"/>
          <w:szCs w:val="24"/>
        </w:rPr>
        <w:t>s</w:t>
      </w:r>
      <w:r>
        <w:rPr>
          <w:rFonts w:cs="Arial"/>
          <w:szCs w:val="24"/>
        </w:rPr>
        <w:t xml:space="preserve"> and views. </w:t>
      </w:r>
    </w:p>
    <w:p w14:paraId="3F579181" w14:textId="6C425FF1" w:rsidR="00C06D1A" w:rsidRDefault="00C06D1A" w:rsidP="00C06D1A">
      <w:pPr>
        <w:spacing w:before="100" w:beforeAutospacing="1" w:after="100" w:afterAutospacing="1"/>
        <w:rPr>
          <w:rFonts w:cs="Arial"/>
          <w:szCs w:val="24"/>
        </w:rPr>
      </w:pPr>
      <w:r>
        <w:rPr>
          <w:rFonts w:cs="Arial"/>
          <w:szCs w:val="24"/>
        </w:rPr>
        <w:t xml:space="preserve">External validity relates to </w:t>
      </w:r>
      <w:r w:rsidR="001F6718">
        <w:rPr>
          <w:rFonts w:cs="Arial"/>
          <w:szCs w:val="24"/>
        </w:rPr>
        <w:t>generalisability</w:t>
      </w:r>
      <w:r>
        <w:rPr>
          <w:rFonts w:cs="Arial"/>
          <w:szCs w:val="24"/>
        </w:rPr>
        <w:t xml:space="preserve">, the concept that an observation found in one group would be observed in the same way in another group at a different time, place and in a specific population </w:t>
      </w:r>
      <w:r>
        <w:rPr>
          <w:rFonts w:cs="Arial"/>
          <w:szCs w:val="24"/>
        </w:rPr>
        <w:fldChar w:fldCharType="begin"/>
      </w:r>
      <w:r w:rsidR="000612D3">
        <w:rPr>
          <w:rFonts w:cs="Arial"/>
          <w:szCs w:val="24"/>
        </w:rPr>
        <w:instrText xml:space="preserve"> ADDIN EN.CITE &lt;EndNote&gt;&lt;Cite&gt;&lt;Author&gt;Maxfield&lt;/Author&gt;&lt;Year&gt;2001&lt;/Year&gt;&lt;IDText&gt;Research methods for criminal justice and criminology&lt;/IDText&gt;&lt;DisplayText&gt;(Maxfield, 2001)&lt;/DisplayText&gt;&lt;record&gt;&lt;titles&gt;&lt;title&gt;Research methods for criminal justice and criminology&lt;/title&gt;&lt;/titles&gt;&lt;contributors&gt;&lt;authors&gt;&lt;author&gt;Maxfield, M G&lt;/author&gt;&lt;/authors&gt;&lt;/contributors&gt;&lt;edition&gt;3rd&lt;/edition&gt;&lt;added-date format="utc"&gt;1399929648&lt;/added-date&gt;&lt;pub-location&gt;Belmont, CA&lt;/pub-location&gt;&lt;ref-type name="Generic"&gt;13&lt;/ref-type&gt;&lt;dates&gt;&lt;year&gt;2001&lt;/year&gt;&lt;/dates&gt;&lt;rec-number&gt;90&lt;/rec-number&gt;&lt;publisher&gt;Wadsworth/ Thomson learning&lt;/publisher&gt;&lt;last-updated-date format="utc"&gt;1399937123&lt;/last-updated-date&gt;&lt;contributors&gt;&lt;secondary-authors&gt;&lt;author&gt;Babbie, E&lt;/author&gt;&lt;/secondary-authors&gt;&lt;/contributors&gt;&lt;/record&gt;&lt;/Cite&gt;&lt;/EndNote&gt;</w:instrText>
      </w:r>
      <w:r>
        <w:rPr>
          <w:rFonts w:cs="Arial"/>
          <w:szCs w:val="24"/>
        </w:rPr>
        <w:fldChar w:fldCharType="separate"/>
      </w:r>
      <w:r w:rsidR="000612D3">
        <w:rPr>
          <w:rFonts w:cs="Arial"/>
          <w:noProof/>
          <w:szCs w:val="24"/>
        </w:rPr>
        <w:t>(Maxfield, 2001)</w:t>
      </w:r>
      <w:r>
        <w:rPr>
          <w:rFonts w:cs="Arial"/>
          <w:szCs w:val="24"/>
        </w:rPr>
        <w:fldChar w:fldCharType="end"/>
      </w:r>
      <w:r>
        <w:rPr>
          <w:rFonts w:cs="Arial"/>
          <w:szCs w:val="24"/>
        </w:rPr>
        <w:t xml:space="preserve">. Constructivists prefer the term transferability instead of </w:t>
      </w:r>
      <w:r w:rsidR="001F6718">
        <w:rPr>
          <w:rFonts w:cs="Arial"/>
          <w:szCs w:val="24"/>
        </w:rPr>
        <w:t>generalisability</w:t>
      </w:r>
      <w:r>
        <w:rPr>
          <w:rFonts w:cs="Arial"/>
          <w:szCs w:val="24"/>
        </w:rPr>
        <w:t xml:space="preserve"> because they feel a researcher should provide an in</w:t>
      </w:r>
      <w:r w:rsidR="0030793D">
        <w:rPr>
          <w:rFonts w:cs="Arial"/>
          <w:szCs w:val="24"/>
        </w:rPr>
        <w:t>-</w:t>
      </w:r>
      <w:r>
        <w:rPr>
          <w:rFonts w:cs="Arial"/>
          <w:szCs w:val="24"/>
        </w:rPr>
        <w:t xml:space="preserve">depth account of findings </w:t>
      </w:r>
      <w:r w:rsidR="0030793D">
        <w:rPr>
          <w:rFonts w:cs="Arial"/>
          <w:szCs w:val="24"/>
        </w:rPr>
        <w:t>that</w:t>
      </w:r>
      <w:r>
        <w:rPr>
          <w:rFonts w:cs="Arial"/>
          <w:szCs w:val="24"/>
        </w:rPr>
        <w:t xml:space="preserve"> is then left to the reader/research community to decide if these findings or data are transferable</w:t>
      </w:r>
      <w:r w:rsidR="00AD03EC">
        <w:rPr>
          <w:rFonts w:cs="Arial"/>
          <w:szCs w:val="24"/>
        </w:rPr>
        <w:t>.</w:t>
      </w:r>
      <w:r>
        <w:rPr>
          <w:rFonts w:cs="Arial"/>
          <w:szCs w:val="24"/>
        </w:rPr>
        <w:t xml:space="preserve"> </w:t>
      </w:r>
    </w:p>
    <w:p w14:paraId="1D75DCAE" w14:textId="496789C0" w:rsidR="00C06D1A" w:rsidRDefault="00C06D1A" w:rsidP="00C06D1A">
      <w:pPr>
        <w:spacing w:before="100" w:beforeAutospacing="1" w:after="100" w:afterAutospacing="1"/>
        <w:rPr>
          <w:rFonts w:cs="Arial"/>
          <w:szCs w:val="24"/>
        </w:rPr>
      </w:pPr>
      <w:r>
        <w:rPr>
          <w:rFonts w:cs="Arial"/>
          <w:szCs w:val="24"/>
        </w:rPr>
        <w:t>Objectivity has been replaced by confirmability</w:t>
      </w:r>
      <w:r w:rsidR="0030793D">
        <w:rPr>
          <w:rFonts w:cs="Arial"/>
          <w:szCs w:val="24"/>
        </w:rPr>
        <w:t>,</w:t>
      </w:r>
      <w:r>
        <w:rPr>
          <w:rFonts w:cs="Arial"/>
          <w:szCs w:val="24"/>
        </w:rPr>
        <w:t xml:space="preserve"> which places the emphasis on whether the ‘data are capable of being confirmed’ by the researcher rather than needing large numbers of people to report the same findings (objectivity) </w:t>
      </w:r>
      <w:r>
        <w:rPr>
          <w:rFonts w:cs="Arial"/>
          <w:szCs w:val="24"/>
        </w:rPr>
        <w:fldChar w:fldCharType="begin"/>
      </w:r>
      <w:r w:rsidR="000612D3">
        <w:rPr>
          <w:rFonts w:cs="Arial"/>
          <w:szCs w:val="24"/>
        </w:rPr>
        <w:instrText xml:space="preserve"> ADDIN EN.CITE &lt;EndNote&gt;&lt;Cite&gt;&lt;Author&gt;Lewis&lt;/Author&gt;&lt;Year&gt;2009&lt;/Year&gt;&lt;IDText&gt;Redefining Qualitative Methods: Believability in the Fifth Moment&lt;/IDText&gt;&lt;DisplayText&gt;(Lewis, 2009, Creswell and Miller, 2000)&lt;/DisplayText&gt;&lt;record&gt;&lt;titles&gt;&lt;title&gt;Redefining Qualitative Methods: Believability in the Fifth Moment&lt;/title&gt;&lt;secondary-title&gt;International Journal of Qualitative Methods&lt;/secondary-title&gt;&lt;/titles&gt;&lt;pages&gt;1 - 13&lt;/pages&gt;&lt;number&gt;2&lt;/number&gt;&lt;contributors&gt;&lt;authors&gt;&lt;author&gt;Lewis, J&lt;/author&gt;&lt;/authors&gt;&lt;/contributors&gt;&lt;added-date format="utc"&gt;1399930413&lt;/added-date&gt;&lt;pub-location&gt;Indiana, Pennsylvania, USA&lt;/pub-location&gt;&lt;ref-type name="Journal Article"&gt;17&lt;/ref-type&gt;&lt;dates&gt;&lt;year&gt;2009&lt;/year&gt;&lt;/dates&gt;&lt;rec-number&gt;94&lt;/rec-number&gt;&lt;last-updated-date format="utc"&gt;1399937123&lt;/last-updated-date&gt;&lt;volume&gt;8&lt;/volume&gt;&lt;/record&gt;&lt;/Cite&gt;&lt;Cite&gt;&lt;Author&gt;Creswell&lt;/Author&gt;&lt;Year&gt;2000&lt;/Year&gt;&lt;IDText&gt;Determining validity in qualitative inquiry&lt;/IDText&gt;&lt;record&gt;&lt;dates&gt;&lt;pub-dates&gt;&lt;date&gt;Sum&lt;/date&gt;&lt;/pub-dates&gt;&lt;year&gt;2000&lt;/year&gt;&lt;/dates&gt;&lt;urls&gt;&lt;related-urls&gt;&lt;url&gt;&amp;lt;Go to ISI&amp;gt;://WOS:000088732100002&lt;/url&gt;&lt;/related-urls&gt;&lt;/urls&gt;&lt;isbn&gt;0040-5841&lt;/isbn&gt;&lt;titles&gt;&lt;title&gt;Determining validity in qualitative inquiry&lt;/title&gt;&lt;secondary-title&gt;Theory into Practice&lt;/secondary-title&gt;&lt;/titles&gt;&lt;pages&gt;124-130&lt;/pages&gt;&lt;number&gt;3&lt;/number&gt;&lt;contributors&gt;&lt;authors&gt;&lt;author&gt;Creswell, J. W.&lt;/author&gt;&lt;author&gt;Miller, D. L.&lt;/author&gt;&lt;/authors&gt;&lt;/contributors&gt;&lt;added-date format="utc"&gt;1399928005&lt;/added-date&gt;&lt;ref-type name="Journal Article"&gt;17&lt;/ref-type&gt;&lt;rec-number&gt;83&lt;/rec-number&gt;&lt;last-updated-date format="utc"&gt;1399937123&lt;/last-updated-date&gt;&lt;accession-num&gt;WOS:000088732100002&lt;/accession-num&gt;&lt;electronic-resource-num&gt;10.1207/s15430421tip3903_2&lt;/electronic-resource-num&gt;&lt;volume&gt;39&lt;/volume&gt;&lt;/record&gt;&lt;/Cite&gt;&lt;/EndNote&gt;</w:instrText>
      </w:r>
      <w:r>
        <w:rPr>
          <w:rFonts w:cs="Arial"/>
          <w:szCs w:val="24"/>
        </w:rPr>
        <w:fldChar w:fldCharType="separate"/>
      </w:r>
      <w:r w:rsidR="000612D3">
        <w:rPr>
          <w:rFonts w:cs="Arial"/>
          <w:noProof/>
          <w:szCs w:val="24"/>
        </w:rPr>
        <w:t>(Lewis, 2009, Creswell and Miller, 2000)</w:t>
      </w:r>
      <w:r>
        <w:rPr>
          <w:rFonts w:cs="Arial"/>
          <w:szCs w:val="24"/>
        </w:rPr>
        <w:fldChar w:fldCharType="end"/>
      </w:r>
      <w:r>
        <w:rPr>
          <w:rFonts w:cs="Arial"/>
          <w:szCs w:val="24"/>
        </w:rPr>
        <w:t xml:space="preserve">. </w:t>
      </w:r>
    </w:p>
    <w:p w14:paraId="4D9FB861" w14:textId="42634909" w:rsidR="00C06D1A" w:rsidRDefault="00C06D1A" w:rsidP="00C06D1A">
      <w:pPr>
        <w:spacing w:before="100" w:beforeAutospacing="1" w:after="100" w:afterAutospacing="1"/>
        <w:rPr>
          <w:rFonts w:cs="Arial"/>
          <w:szCs w:val="24"/>
        </w:rPr>
      </w:pPr>
      <w:r>
        <w:rPr>
          <w:rFonts w:cs="Arial"/>
          <w:szCs w:val="24"/>
        </w:rPr>
        <w:t xml:space="preserve">Four methods have been suggested to enhance reliability. The first is related to research worker reliability, ensuring that they are familiar with the environment they are working in. </w:t>
      </w:r>
      <w:proofErr w:type="spellStart"/>
      <w:r>
        <w:rPr>
          <w:rFonts w:cs="Arial"/>
          <w:szCs w:val="24"/>
        </w:rPr>
        <w:t>Kvale</w:t>
      </w:r>
      <w:proofErr w:type="spellEnd"/>
      <w:r>
        <w:rPr>
          <w:rFonts w:cs="Arial"/>
          <w:szCs w:val="24"/>
        </w:rPr>
        <w:t xml:space="preserve"> (1996) describes seven areas to address</w:t>
      </w:r>
      <w:r w:rsidR="001C5AEC">
        <w:rPr>
          <w:rFonts w:cs="Arial"/>
          <w:szCs w:val="24"/>
        </w:rPr>
        <w:t>,</w:t>
      </w:r>
      <w:r>
        <w:rPr>
          <w:rFonts w:cs="Arial"/>
          <w:szCs w:val="24"/>
        </w:rPr>
        <w:t xml:space="preserve"> including</w:t>
      </w:r>
      <w:r w:rsidR="001C5AEC">
        <w:rPr>
          <w:rFonts w:cs="Arial"/>
          <w:szCs w:val="24"/>
        </w:rPr>
        <w:t>:</w:t>
      </w:r>
      <w:r>
        <w:rPr>
          <w:rFonts w:cs="Arial"/>
          <w:szCs w:val="24"/>
        </w:rPr>
        <w:t xml:space="preserve"> analysis methods (interpretation by different researchers), answer reliability (ask</w:t>
      </w:r>
      <w:r w:rsidR="007464C8">
        <w:rPr>
          <w:rFonts w:cs="Arial"/>
          <w:szCs w:val="24"/>
        </w:rPr>
        <w:t>ing</w:t>
      </w:r>
      <w:r>
        <w:rPr>
          <w:rFonts w:cs="Arial"/>
          <w:szCs w:val="24"/>
        </w:rPr>
        <w:t xml:space="preserve"> same questions several different ways), coder reliability (asking same thing unbiased), critical checking (critical questions to test story), follow-up questions (collection of rich data), leading questions (to be avoided, inaccurate) and transcription (correct and accurate transcription) </w:t>
      </w:r>
      <w:r>
        <w:rPr>
          <w:rFonts w:cs="Arial"/>
          <w:szCs w:val="24"/>
        </w:rPr>
        <w:fldChar w:fldCharType="begin"/>
      </w:r>
      <w:r w:rsidR="000612D3">
        <w:rPr>
          <w:rFonts w:cs="Arial"/>
          <w:szCs w:val="24"/>
        </w:rPr>
        <w:instrText xml:space="preserve"> ADDIN EN.CITE &lt;EndNote&gt;&lt;Cite&gt;&lt;Author&gt;Kvale&lt;/Author&gt;&lt;Year&gt;1996&lt;/Year&gt;&lt;IDText&gt;InterViews:An introduction to qualitative research interviewing&lt;/IDText&gt;&lt;DisplayText&gt;(Kvale, 1996)&lt;/DisplayText&gt;&lt;record&gt;&lt;titles&gt;&lt;title&gt;InterViews:An introduction to qualitative research interviewing&lt;/title&gt;&lt;/titles&gt;&lt;contributors&gt;&lt;authors&gt;&lt;author&gt;Kvale, S&lt;/author&gt;&lt;/authors&gt;&lt;/contributors&gt;&lt;added-date format="utc"&gt;1399929236&lt;/added-date&gt;&lt;pub-location&gt;Thousand Oaks, CA&lt;/pub-location&gt;&lt;ref-type name="Generic"&gt;13&lt;/ref-type&gt;&lt;dates&gt;&lt;year&gt;1996&lt;/year&gt;&lt;/dates&gt;&lt;rec-number&gt;87&lt;/rec-number&gt;&lt;publisher&gt;Sage&lt;/publisher&gt;&lt;last-updated-date format="utc"&gt;1399937123&lt;/last-updated-date&gt;&lt;/record&gt;&lt;/Cite&gt;&lt;/EndNote&gt;</w:instrText>
      </w:r>
      <w:r>
        <w:rPr>
          <w:rFonts w:cs="Arial"/>
          <w:szCs w:val="24"/>
        </w:rPr>
        <w:fldChar w:fldCharType="separate"/>
      </w:r>
      <w:r w:rsidR="000612D3">
        <w:rPr>
          <w:rFonts w:cs="Arial"/>
          <w:noProof/>
          <w:szCs w:val="24"/>
        </w:rPr>
        <w:t>(Kvale, 1996)</w:t>
      </w:r>
      <w:r>
        <w:rPr>
          <w:rFonts w:cs="Arial"/>
          <w:szCs w:val="24"/>
        </w:rPr>
        <w:fldChar w:fldCharType="end"/>
      </w:r>
      <w:r w:rsidR="0002357B">
        <w:rPr>
          <w:rFonts w:cs="Arial"/>
          <w:szCs w:val="24"/>
        </w:rPr>
        <w:t xml:space="preserve">. </w:t>
      </w:r>
    </w:p>
    <w:p w14:paraId="1F9D0873" w14:textId="7169042C" w:rsidR="00C06D1A" w:rsidRDefault="00C06D1A" w:rsidP="00C06D1A">
      <w:pPr>
        <w:spacing w:before="100" w:beforeAutospacing="1" w:after="100" w:afterAutospacing="1"/>
        <w:rPr>
          <w:rFonts w:cs="Arial"/>
          <w:szCs w:val="24"/>
        </w:rPr>
      </w:pPr>
      <w:r>
        <w:rPr>
          <w:rFonts w:cs="Arial"/>
          <w:szCs w:val="24"/>
        </w:rPr>
        <w:t xml:space="preserve">The second </w:t>
      </w:r>
      <w:r w:rsidR="003467EE">
        <w:rPr>
          <w:rFonts w:cs="Arial"/>
          <w:szCs w:val="24"/>
        </w:rPr>
        <w:t xml:space="preserve">method </w:t>
      </w:r>
      <w:r>
        <w:rPr>
          <w:rFonts w:cs="Arial"/>
          <w:szCs w:val="24"/>
        </w:rPr>
        <w:t>is variation in</w:t>
      </w:r>
      <w:r w:rsidR="00FE6005">
        <w:rPr>
          <w:rFonts w:cs="Arial"/>
          <w:szCs w:val="24"/>
        </w:rPr>
        <w:t xml:space="preserve"> observations. </w:t>
      </w:r>
      <w:r>
        <w:rPr>
          <w:rFonts w:cs="Arial"/>
          <w:szCs w:val="24"/>
        </w:rPr>
        <w:t xml:space="preserve">The third is the test-retest method where observations are made at differing times and places. It can be </w:t>
      </w:r>
      <w:r>
        <w:rPr>
          <w:rFonts w:cs="Arial"/>
          <w:szCs w:val="24"/>
        </w:rPr>
        <w:lastRenderedPageBreak/>
        <w:t>useful to check accuracy in previously collected dat</w:t>
      </w:r>
      <w:r w:rsidR="00FE6005">
        <w:rPr>
          <w:rFonts w:cs="Arial"/>
          <w:szCs w:val="24"/>
        </w:rPr>
        <w:t xml:space="preserve">a. </w:t>
      </w:r>
      <w:r>
        <w:rPr>
          <w:rFonts w:cs="Arial"/>
          <w:szCs w:val="24"/>
        </w:rPr>
        <w:t xml:space="preserve">The fourth method, described as the split-half method refers to drawing several responses from a participant to the same question by altering how it is asked. The responses should be the same. Mismatching answers can be explored </w:t>
      </w:r>
      <w:r>
        <w:rPr>
          <w:rFonts w:cs="Arial"/>
          <w:szCs w:val="24"/>
        </w:rPr>
        <w:fldChar w:fldCharType="begin"/>
      </w:r>
      <w:r w:rsidR="000612D3">
        <w:rPr>
          <w:rFonts w:cs="Arial"/>
          <w:szCs w:val="24"/>
        </w:rPr>
        <w:instrText xml:space="preserve"> ADDIN EN.CITE &lt;EndNote&gt;&lt;Cite&gt;&lt;Author&gt;Lewis&lt;/Author&gt;&lt;Year&gt;2009&lt;/Year&gt;&lt;IDText&gt;Redefining Qualitative Methods: Believability in the Fifth Moment&lt;/IDText&gt;&lt;DisplayText&gt;(Lewis, 2009)&lt;/DisplayText&gt;&lt;record&gt;&lt;titles&gt;&lt;title&gt;Redefining Qualitative Methods: Believability in the Fifth Moment&lt;/title&gt;&lt;secondary-title&gt;International Journal of Qualitative Methods&lt;/secondary-title&gt;&lt;/titles&gt;&lt;pages&gt;1 - 13&lt;/pages&gt;&lt;number&gt;2&lt;/number&gt;&lt;contributors&gt;&lt;authors&gt;&lt;author&gt;Lewis, J&lt;/author&gt;&lt;/authors&gt;&lt;/contributors&gt;&lt;added-date format="utc"&gt;1399930413&lt;/added-date&gt;&lt;pub-location&gt;Indiana, Pennsylvania, USA&lt;/pub-location&gt;&lt;ref-type name="Journal Article"&gt;17&lt;/ref-type&gt;&lt;dates&gt;&lt;year&gt;2009&lt;/year&gt;&lt;/dates&gt;&lt;rec-number&gt;94&lt;/rec-number&gt;&lt;last-updated-date format="utc"&gt;1399937123&lt;/last-updated-date&gt;&lt;volume&gt;8&lt;/volume&gt;&lt;/record&gt;&lt;/Cite&gt;&lt;/EndNote&gt;</w:instrText>
      </w:r>
      <w:r>
        <w:rPr>
          <w:rFonts w:cs="Arial"/>
          <w:szCs w:val="24"/>
        </w:rPr>
        <w:fldChar w:fldCharType="separate"/>
      </w:r>
      <w:r w:rsidR="000612D3">
        <w:rPr>
          <w:rFonts w:cs="Arial"/>
          <w:noProof/>
          <w:szCs w:val="24"/>
        </w:rPr>
        <w:t>(Lewis, 2009)</w:t>
      </w:r>
      <w:r>
        <w:rPr>
          <w:rFonts w:cs="Arial"/>
          <w:szCs w:val="24"/>
        </w:rPr>
        <w:fldChar w:fldCharType="end"/>
      </w:r>
      <w:r>
        <w:rPr>
          <w:rFonts w:cs="Arial"/>
          <w:szCs w:val="24"/>
        </w:rPr>
        <w:t xml:space="preserve">. </w:t>
      </w:r>
    </w:p>
    <w:p w14:paraId="3BEE1C76" w14:textId="5F38639D" w:rsidR="009F198F" w:rsidRDefault="009F198F" w:rsidP="00C06D1A">
      <w:pPr>
        <w:spacing w:before="100" w:beforeAutospacing="1" w:after="100" w:afterAutospacing="1"/>
        <w:rPr>
          <w:rFonts w:cs="Arial"/>
          <w:szCs w:val="24"/>
        </w:rPr>
      </w:pPr>
      <w:r>
        <w:rPr>
          <w:rFonts w:cs="Arial"/>
          <w:szCs w:val="24"/>
        </w:rPr>
        <w:t xml:space="preserve">Methods employed within this study to improve credibility and trustworthiness include </w:t>
      </w:r>
      <w:r w:rsidR="001F7717">
        <w:rPr>
          <w:rFonts w:cs="Arial"/>
          <w:szCs w:val="24"/>
        </w:rPr>
        <w:t>‘</w:t>
      </w:r>
      <w:r>
        <w:rPr>
          <w:rFonts w:cs="Arial"/>
          <w:szCs w:val="24"/>
        </w:rPr>
        <w:t>triangulation of data, member-checking and data saturation</w:t>
      </w:r>
      <w:r w:rsidR="001F7717">
        <w:rPr>
          <w:rFonts w:cs="Arial"/>
          <w:szCs w:val="24"/>
        </w:rPr>
        <w:t xml:space="preserve">’ </w:t>
      </w:r>
      <w:r w:rsidR="001F7717">
        <w:rPr>
          <w:rFonts w:cs="Arial"/>
          <w:szCs w:val="24"/>
        </w:rPr>
        <w:fldChar w:fldCharType="begin"/>
      </w:r>
      <w:r w:rsidR="001F7717">
        <w:rPr>
          <w:rFonts w:cs="Arial"/>
          <w:szCs w:val="24"/>
        </w:rPr>
        <w:instrText xml:space="preserve"> ADDIN EN.CITE &lt;EndNote&gt;&lt;Cite&gt;&lt;Author&gt;Tai&lt;/Author&gt;&lt;Year&gt;2016&lt;/Year&gt;&lt;IDText&gt;Undertaking and reporting qualitative research&lt;/IDText&gt;&lt;DisplayText&gt;(Tai and Ajjawi, 2016)&lt;/DisplayText&gt;&lt;record&gt;&lt;dates&gt;&lt;pub-dates&gt;&lt;date&gt;Jun&lt;/date&gt;&lt;/pub-dates&gt;&lt;year&gt;2016&lt;/year&gt;&lt;/dates&gt;&lt;urls&gt;&lt;related-urls&gt;&lt;url&gt;http://www.ncbi.nlm.nih.gov/pubmed/27146221&lt;/url&gt;&lt;/related-urls&gt;&lt;/urls&gt;&lt;isbn&gt;1743-498X&lt;/isbn&gt;&lt;titles&gt;&lt;title&gt;Undertaking and reporting qualitative research&lt;/title&gt;&lt;secondary-title&gt;Clin Teach&lt;/secondary-title&gt;&lt;/titles&gt;&lt;pages&gt;175-82&lt;/pages&gt;&lt;number&gt;3&lt;/number&gt;&lt;contributors&gt;&lt;authors&gt;&lt;author&gt;Tai, J.&lt;/author&gt;&lt;author&gt;Ajjawi, R.&lt;/author&gt;&lt;/authors&gt;&lt;/contributors&gt;&lt;language&gt;eng&lt;/language&gt;&lt;added-date format="utc"&gt;1466500016&lt;/added-date&gt;&lt;ref-type name="Journal Article"&gt;17&lt;/ref-type&gt;&lt;rec-number&gt;254&lt;/rec-number&gt;&lt;last-updated-date format="utc"&gt;1466500016&lt;/last-updated-date&gt;&lt;accession-num&gt;27146221&lt;/accession-num&gt;&lt;electronic-resource-num&gt;10.1111/tct.12552&lt;/electronic-resource-num&gt;&lt;volume&gt;13&lt;/volume&gt;&lt;/record&gt;&lt;/Cite&gt;&lt;/EndNote&gt;</w:instrText>
      </w:r>
      <w:r w:rsidR="001F7717">
        <w:rPr>
          <w:rFonts w:cs="Arial"/>
          <w:szCs w:val="24"/>
        </w:rPr>
        <w:fldChar w:fldCharType="separate"/>
      </w:r>
      <w:r w:rsidR="001F7717">
        <w:rPr>
          <w:rFonts w:cs="Arial"/>
          <w:noProof/>
          <w:szCs w:val="24"/>
        </w:rPr>
        <w:t>(Tai and Ajjawi, 2016)</w:t>
      </w:r>
      <w:r w:rsidR="001F7717">
        <w:rPr>
          <w:rFonts w:cs="Arial"/>
          <w:szCs w:val="24"/>
        </w:rPr>
        <w:fldChar w:fldCharType="end"/>
      </w:r>
      <w:r>
        <w:rPr>
          <w:rFonts w:cs="Arial"/>
          <w:szCs w:val="24"/>
        </w:rPr>
        <w:t xml:space="preserve">. </w:t>
      </w:r>
    </w:p>
    <w:p w14:paraId="6659F06D" w14:textId="223DD8CE" w:rsidR="00C06D1A" w:rsidRDefault="00C06D1A" w:rsidP="00C06D1A">
      <w:pPr>
        <w:pStyle w:val="NormalWeb"/>
        <w:spacing w:line="480" w:lineRule="auto"/>
        <w:rPr>
          <w:rFonts w:ascii="Arial" w:hAnsi="Arial" w:cs="Arial"/>
        </w:rPr>
      </w:pPr>
      <w:r>
        <w:rPr>
          <w:rFonts w:ascii="Arial" w:hAnsi="Arial" w:cs="Arial"/>
        </w:rPr>
        <w:t>Maxwell (1996)</w:t>
      </w:r>
      <w:r w:rsidR="007464C8">
        <w:rPr>
          <w:rFonts w:ascii="Arial" w:hAnsi="Arial" w:cs="Arial"/>
        </w:rPr>
        <w:t>,</w:t>
      </w:r>
      <w:r>
        <w:rPr>
          <w:rFonts w:ascii="Arial" w:hAnsi="Arial" w:cs="Arial"/>
        </w:rPr>
        <w:t xml:space="preserve"> when exploring qualitative research</w:t>
      </w:r>
      <w:r w:rsidR="007464C8">
        <w:rPr>
          <w:rFonts w:ascii="Arial" w:hAnsi="Arial" w:cs="Arial"/>
        </w:rPr>
        <w:t>,</w:t>
      </w:r>
      <w:r>
        <w:rPr>
          <w:rFonts w:ascii="Arial" w:hAnsi="Arial" w:cs="Arial"/>
        </w:rPr>
        <w:t xml:space="preserve"> describes five threats to validity. The first relates to descriptive validity</w:t>
      </w:r>
      <w:r w:rsidR="007464C8">
        <w:rPr>
          <w:rFonts w:ascii="Arial" w:hAnsi="Arial" w:cs="Arial"/>
        </w:rPr>
        <w:t>,</w:t>
      </w:r>
      <w:r>
        <w:rPr>
          <w:rFonts w:ascii="Arial" w:hAnsi="Arial" w:cs="Arial"/>
        </w:rPr>
        <w:t xml:space="preserve"> meaning how observations are recorded, described and interpreted. To address this, field notes and memos are kept and Dictaphone recordings </w:t>
      </w:r>
      <w:r w:rsidR="007464C8">
        <w:rPr>
          <w:rFonts w:ascii="Arial" w:hAnsi="Arial" w:cs="Arial"/>
        </w:rPr>
        <w:t>of</w:t>
      </w:r>
      <w:r>
        <w:rPr>
          <w:rFonts w:ascii="Arial" w:hAnsi="Arial" w:cs="Arial"/>
        </w:rPr>
        <w:t xml:space="preserve"> interviews. Interpretation validity relates to the risk of incorrectly interpreting findings. This can be minimised by using open-ended questions that are not misleading. It is essential that the participant</w:t>
      </w:r>
      <w:r w:rsidR="007464C8">
        <w:rPr>
          <w:rFonts w:ascii="Arial" w:hAnsi="Arial" w:cs="Arial"/>
        </w:rPr>
        <w:t>’</w:t>
      </w:r>
      <w:r>
        <w:rPr>
          <w:rFonts w:ascii="Arial" w:hAnsi="Arial" w:cs="Arial"/>
        </w:rPr>
        <w:t xml:space="preserve">s perspective is represented and not the view of the researcher. </w:t>
      </w:r>
    </w:p>
    <w:p w14:paraId="23697ED5" w14:textId="45E4D64A" w:rsidR="00C06D1A" w:rsidRDefault="00C06D1A" w:rsidP="00C06D1A">
      <w:pPr>
        <w:pStyle w:val="NormalWeb"/>
        <w:spacing w:line="480" w:lineRule="auto"/>
        <w:rPr>
          <w:rFonts w:ascii="Arial" w:hAnsi="Arial" w:cs="Arial"/>
        </w:rPr>
      </w:pPr>
      <w:r>
        <w:rPr>
          <w:rFonts w:ascii="Arial" w:hAnsi="Arial" w:cs="Arial"/>
        </w:rPr>
        <w:t>Theory validity relates to accidently or consciously manipulating findings to fit a certain theory. Researcher bias as discussed above coul</w:t>
      </w:r>
      <w:r w:rsidR="0045354D">
        <w:rPr>
          <w:rFonts w:ascii="Arial" w:hAnsi="Arial" w:cs="Arial"/>
        </w:rPr>
        <w:t>d</w:t>
      </w:r>
      <w:r>
        <w:rPr>
          <w:rFonts w:ascii="Arial" w:hAnsi="Arial" w:cs="Arial"/>
        </w:rPr>
        <w:t xml:space="preserve"> support one theory over another. The importance of highlighting biases allows </w:t>
      </w:r>
      <w:r w:rsidR="007464C8">
        <w:rPr>
          <w:rFonts w:ascii="Arial" w:hAnsi="Arial" w:cs="Arial"/>
        </w:rPr>
        <w:t xml:space="preserve">for a </w:t>
      </w:r>
      <w:r>
        <w:rPr>
          <w:rFonts w:ascii="Arial" w:hAnsi="Arial" w:cs="Arial"/>
        </w:rPr>
        <w:t xml:space="preserve">reduction in influences on results. </w:t>
      </w:r>
      <w:r w:rsidR="008A605F">
        <w:rPr>
          <w:rFonts w:ascii="Arial" w:hAnsi="Arial" w:cs="Arial"/>
        </w:rPr>
        <w:t>The researcher has</w:t>
      </w:r>
      <w:r>
        <w:rPr>
          <w:rFonts w:ascii="Arial" w:hAnsi="Arial" w:cs="Arial"/>
        </w:rPr>
        <w:t xml:space="preserve"> no vested interest in ensuring simulation is either useful or not in undergraduate training in </w:t>
      </w:r>
      <w:r w:rsidR="008A605F">
        <w:rPr>
          <w:rFonts w:ascii="Arial" w:hAnsi="Arial" w:cs="Arial"/>
        </w:rPr>
        <w:t>University 1 or 2</w:t>
      </w:r>
      <w:r>
        <w:rPr>
          <w:rFonts w:ascii="Arial" w:hAnsi="Arial" w:cs="Arial"/>
        </w:rPr>
        <w:t xml:space="preserve">. </w:t>
      </w:r>
      <w:r w:rsidR="008A605F">
        <w:rPr>
          <w:rFonts w:ascii="Arial" w:hAnsi="Arial" w:cs="Arial"/>
        </w:rPr>
        <w:t>The researcher</w:t>
      </w:r>
      <w:r>
        <w:rPr>
          <w:rFonts w:ascii="Arial" w:hAnsi="Arial" w:cs="Arial"/>
        </w:rPr>
        <w:t xml:space="preserve"> enjoy</w:t>
      </w:r>
      <w:r w:rsidR="008A605F">
        <w:rPr>
          <w:rFonts w:ascii="Arial" w:hAnsi="Arial" w:cs="Arial"/>
        </w:rPr>
        <w:t>s</w:t>
      </w:r>
      <w:r>
        <w:rPr>
          <w:rFonts w:ascii="Arial" w:hAnsi="Arial" w:cs="Arial"/>
        </w:rPr>
        <w:t xml:space="preserve"> teaching but </w:t>
      </w:r>
      <w:r w:rsidR="008A605F">
        <w:rPr>
          <w:rFonts w:ascii="Arial" w:hAnsi="Arial" w:cs="Arial"/>
        </w:rPr>
        <w:t>is</w:t>
      </w:r>
      <w:r>
        <w:rPr>
          <w:rFonts w:ascii="Arial" w:hAnsi="Arial" w:cs="Arial"/>
        </w:rPr>
        <w:t xml:space="preserve"> aware there are other methods to achieve the same learning. Simulation is expensive and faculty intensive</w:t>
      </w:r>
      <w:r w:rsidR="007464C8">
        <w:rPr>
          <w:rFonts w:ascii="Arial" w:hAnsi="Arial" w:cs="Arial"/>
        </w:rPr>
        <w:t>,</w:t>
      </w:r>
      <w:r>
        <w:rPr>
          <w:rFonts w:ascii="Arial" w:hAnsi="Arial" w:cs="Arial"/>
        </w:rPr>
        <w:t xml:space="preserve"> so evidence would need to be very good to support a national undergraduate curriculum. </w:t>
      </w:r>
    </w:p>
    <w:p w14:paraId="2133872D" w14:textId="4B1A5660" w:rsidR="00C06D1A" w:rsidRDefault="00C06D1A" w:rsidP="00C06D1A">
      <w:pPr>
        <w:pStyle w:val="NormalWeb"/>
        <w:spacing w:line="480" w:lineRule="auto"/>
        <w:rPr>
          <w:rFonts w:ascii="Arial" w:hAnsi="Arial" w:cs="Arial"/>
        </w:rPr>
      </w:pPr>
      <w:r>
        <w:rPr>
          <w:rFonts w:ascii="Arial" w:hAnsi="Arial" w:cs="Arial"/>
        </w:rPr>
        <w:lastRenderedPageBreak/>
        <w:t xml:space="preserve">Reactivity relates to how much of what is happening is related to </w:t>
      </w:r>
      <w:r w:rsidR="008A605F">
        <w:rPr>
          <w:rFonts w:ascii="Arial" w:hAnsi="Arial" w:cs="Arial"/>
        </w:rPr>
        <w:t>researcher</w:t>
      </w:r>
      <w:r>
        <w:rPr>
          <w:rFonts w:ascii="Arial" w:hAnsi="Arial" w:cs="Arial"/>
        </w:rPr>
        <w:t xml:space="preserve"> presence. Eliminating this is impossible but Maxwell (1996) expresses the importance of being aware of it and how it is affecting what is being observed. </w:t>
      </w:r>
      <w:r w:rsidR="008A605F">
        <w:rPr>
          <w:rFonts w:ascii="Arial" w:hAnsi="Arial" w:cs="Arial"/>
        </w:rPr>
        <w:t>The researcher</w:t>
      </w:r>
      <w:r>
        <w:rPr>
          <w:rFonts w:ascii="Arial" w:hAnsi="Arial" w:cs="Arial"/>
        </w:rPr>
        <w:t xml:space="preserve"> </w:t>
      </w:r>
      <w:r w:rsidR="008A605F">
        <w:rPr>
          <w:rFonts w:ascii="Arial" w:hAnsi="Arial" w:cs="Arial"/>
        </w:rPr>
        <w:t xml:space="preserve">remained </w:t>
      </w:r>
      <w:r>
        <w:rPr>
          <w:rFonts w:ascii="Arial" w:hAnsi="Arial" w:cs="Arial"/>
        </w:rPr>
        <w:t>aware that reactions of participant</w:t>
      </w:r>
      <w:r w:rsidR="008A605F">
        <w:rPr>
          <w:rFonts w:ascii="Arial" w:hAnsi="Arial" w:cs="Arial"/>
        </w:rPr>
        <w:t>s</w:t>
      </w:r>
      <w:r>
        <w:rPr>
          <w:rFonts w:ascii="Arial" w:hAnsi="Arial" w:cs="Arial"/>
        </w:rPr>
        <w:t xml:space="preserve"> </w:t>
      </w:r>
      <w:r w:rsidR="00511ED1">
        <w:rPr>
          <w:rFonts w:ascii="Arial" w:hAnsi="Arial" w:cs="Arial"/>
        </w:rPr>
        <w:t>might</w:t>
      </w:r>
      <w:r>
        <w:rPr>
          <w:rFonts w:ascii="Arial" w:hAnsi="Arial" w:cs="Arial"/>
        </w:rPr>
        <w:t xml:space="preserve"> </w:t>
      </w:r>
      <w:r w:rsidR="008A605F">
        <w:rPr>
          <w:rFonts w:ascii="Arial" w:hAnsi="Arial" w:cs="Arial"/>
        </w:rPr>
        <w:t xml:space="preserve">have </w:t>
      </w:r>
      <w:r>
        <w:rPr>
          <w:rFonts w:ascii="Arial" w:hAnsi="Arial" w:cs="Arial"/>
        </w:rPr>
        <w:t>be</w:t>
      </w:r>
      <w:r w:rsidR="008A605F">
        <w:rPr>
          <w:rFonts w:ascii="Arial" w:hAnsi="Arial" w:cs="Arial"/>
        </w:rPr>
        <w:t>en</w:t>
      </w:r>
      <w:r>
        <w:rPr>
          <w:rFonts w:ascii="Arial" w:hAnsi="Arial" w:cs="Arial"/>
        </w:rPr>
        <w:t xml:space="preserve"> reactions to </w:t>
      </w:r>
      <w:r w:rsidR="008A605F">
        <w:rPr>
          <w:rFonts w:ascii="Arial" w:hAnsi="Arial" w:cs="Arial"/>
        </w:rPr>
        <w:t>them</w:t>
      </w:r>
      <w:r>
        <w:rPr>
          <w:rFonts w:ascii="Arial" w:hAnsi="Arial" w:cs="Arial"/>
        </w:rPr>
        <w:t xml:space="preserve"> rather than the intervention. </w:t>
      </w:r>
      <w:r w:rsidR="00FF420D">
        <w:rPr>
          <w:rFonts w:ascii="Arial" w:hAnsi="Arial" w:cs="Arial"/>
        </w:rPr>
        <w:t>In order to prepare for this role as interviewer</w:t>
      </w:r>
      <w:r w:rsidR="007464C8">
        <w:rPr>
          <w:rFonts w:ascii="Arial" w:hAnsi="Arial" w:cs="Arial"/>
        </w:rPr>
        <w:t>,</w:t>
      </w:r>
      <w:r w:rsidR="00FF420D">
        <w:rPr>
          <w:rFonts w:ascii="Arial" w:hAnsi="Arial" w:cs="Arial"/>
        </w:rPr>
        <w:t xml:space="preserve"> the researcher attended an in-depth interviewing course at the National Centre for Social Research (</w:t>
      </w:r>
      <w:r w:rsidR="00511ED1">
        <w:rPr>
          <w:rFonts w:ascii="Arial" w:hAnsi="Arial" w:cs="Arial"/>
        </w:rPr>
        <w:t>Nat Cen</w:t>
      </w:r>
      <w:r w:rsidR="00FF420D">
        <w:rPr>
          <w:rFonts w:ascii="Arial" w:hAnsi="Arial" w:cs="Arial"/>
        </w:rPr>
        <w:t xml:space="preserve">). </w:t>
      </w:r>
    </w:p>
    <w:p w14:paraId="50D57C00" w14:textId="30535887" w:rsidR="00C06D1A" w:rsidRDefault="00C06D1A" w:rsidP="00C06D1A">
      <w:pPr>
        <w:pStyle w:val="NormalWeb"/>
        <w:spacing w:line="480" w:lineRule="auto"/>
        <w:rPr>
          <w:rFonts w:ascii="Arial" w:hAnsi="Arial" w:cs="Arial"/>
        </w:rPr>
      </w:pPr>
      <w:r>
        <w:rPr>
          <w:rFonts w:ascii="Arial" w:hAnsi="Arial" w:cs="Arial"/>
        </w:rPr>
        <w:t xml:space="preserve">Credibility relates to using a validity checklist to enhance reliability and strengthen validity </w:t>
      </w:r>
      <w:r>
        <w:rPr>
          <w:rFonts w:ascii="Arial" w:hAnsi="Arial" w:cs="Arial"/>
        </w:rPr>
        <w:fldChar w:fldCharType="begin">
          <w:fldData xml:space="preserve">PEVuZE5vdGU+PENpdGU+PEF1dGhvcj5DcmVzd2VsbDwvQXV0aG9yPjxZZWFyPjIwMDA8L1llYXI+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</w:fldData>
        </w:fldChar>
      </w:r>
      <w:r w:rsidR="000612D3">
        <w:rPr>
          <w:rFonts w:ascii="Arial" w:hAnsi="Arial" w:cs="Arial"/>
        </w:rPr>
        <w:instrText xml:space="preserve"> ADDIN EN.CITE </w:instrText>
      </w:r>
      <w:r w:rsidR="000612D3">
        <w:rPr>
          <w:rFonts w:ascii="Arial" w:hAnsi="Arial" w:cs="Arial"/>
        </w:rPr>
        <w:fldChar w:fldCharType="begin">
          <w:fldData xml:space="preserve">PEVuZE5vdGU+PENpdGU+PEF1dGhvcj5DcmVzd2VsbDwvQXV0aG9yPjxZZWFyPjIwMDA8L1llYXI+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</w:fldData>
        </w:fldChar>
      </w:r>
      <w:r w:rsidR="000612D3">
        <w:rPr>
          <w:rFonts w:ascii="Arial" w:hAnsi="Arial" w:cs="Arial"/>
        </w:rPr>
        <w:instrText xml:space="preserve"> ADDIN EN.CITE.DATA </w:instrText>
      </w:r>
      <w:r w:rsidR="000612D3">
        <w:rPr>
          <w:rFonts w:ascii="Arial" w:hAnsi="Arial" w:cs="Arial"/>
        </w:rPr>
      </w:r>
      <w:r w:rsidR="000612D3">
        <w:rPr>
          <w:rFonts w:ascii="Arial" w:hAnsi="Arial" w:cs="Arial"/>
        </w:rPr>
        <w:fldChar w:fldCharType="end"/>
      </w:r>
      <w:r>
        <w:rPr>
          <w:rFonts w:ascii="Arial" w:hAnsi="Arial" w:cs="Arial"/>
        </w:rPr>
      </w:r>
      <w:r>
        <w:rPr>
          <w:rFonts w:ascii="Arial" w:hAnsi="Arial" w:cs="Arial"/>
        </w:rPr>
        <w:fldChar w:fldCharType="separate"/>
      </w:r>
      <w:r w:rsidR="000612D3">
        <w:rPr>
          <w:rFonts w:ascii="Arial" w:hAnsi="Arial" w:cs="Arial"/>
          <w:noProof/>
        </w:rPr>
        <w:t>(Creswell and Miller, 2000, Maxwell, 1996, Guba, 1989)</w:t>
      </w:r>
      <w:r>
        <w:rPr>
          <w:rFonts w:ascii="Arial" w:hAnsi="Arial" w:cs="Arial"/>
        </w:rPr>
        <w:fldChar w:fldCharType="end"/>
      </w:r>
      <w:r>
        <w:rPr>
          <w:rFonts w:ascii="Arial" w:hAnsi="Arial" w:cs="Arial"/>
        </w:rPr>
        <w:t xml:space="preserve">. Triangulation </w:t>
      </w:r>
      <w:r w:rsidR="00FF420D">
        <w:rPr>
          <w:rFonts w:ascii="Arial" w:hAnsi="Arial" w:cs="Arial"/>
        </w:rPr>
        <w:t xml:space="preserve">has been used </w:t>
      </w:r>
      <w:r>
        <w:rPr>
          <w:rFonts w:ascii="Arial" w:hAnsi="Arial" w:cs="Arial"/>
        </w:rPr>
        <w:t>to improve validity</w:t>
      </w:r>
      <w:r w:rsidR="0045354D">
        <w:rPr>
          <w:rFonts w:ascii="Arial" w:hAnsi="Arial" w:cs="Arial"/>
        </w:rPr>
        <w:t xml:space="preserve">, </w:t>
      </w:r>
      <w:r>
        <w:rPr>
          <w:rFonts w:ascii="Arial" w:hAnsi="Arial" w:cs="Arial"/>
        </w:rPr>
        <w:t>which if resulting in the emergence of similar themes</w:t>
      </w:r>
      <w:r w:rsidR="0045354D">
        <w:rPr>
          <w:rFonts w:ascii="Arial" w:hAnsi="Arial" w:cs="Arial"/>
        </w:rPr>
        <w:t xml:space="preserve">, </w:t>
      </w:r>
      <w:r>
        <w:rPr>
          <w:rFonts w:ascii="Arial" w:hAnsi="Arial" w:cs="Arial"/>
        </w:rPr>
        <w:t>is more reliable than one single method. Because</w:t>
      </w:r>
      <w:r w:rsidR="00FF420D">
        <w:rPr>
          <w:rFonts w:ascii="Arial" w:hAnsi="Arial" w:cs="Arial"/>
        </w:rPr>
        <w:t xml:space="preserve"> this constitutes</w:t>
      </w:r>
      <w:r>
        <w:rPr>
          <w:rFonts w:ascii="Arial" w:hAnsi="Arial" w:cs="Arial"/>
        </w:rPr>
        <w:t xml:space="preserve"> single person research, using these methods allows the </w:t>
      </w:r>
      <w:r w:rsidR="0045354D">
        <w:rPr>
          <w:rFonts w:ascii="Arial" w:hAnsi="Arial" w:cs="Arial"/>
        </w:rPr>
        <w:t xml:space="preserve">associated </w:t>
      </w:r>
      <w:r>
        <w:rPr>
          <w:rFonts w:ascii="Arial" w:hAnsi="Arial" w:cs="Arial"/>
        </w:rPr>
        <w:t xml:space="preserve">biases </w:t>
      </w:r>
      <w:r w:rsidR="00FF420D">
        <w:rPr>
          <w:rFonts w:ascii="Arial" w:hAnsi="Arial" w:cs="Arial"/>
        </w:rPr>
        <w:t>to be minimised</w:t>
      </w:r>
      <w:r>
        <w:rPr>
          <w:rFonts w:ascii="Arial" w:hAnsi="Arial" w:cs="Arial"/>
        </w:rPr>
        <w:t xml:space="preserve">. </w:t>
      </w:r>
    </w:p>
    <w:p w14:paraId="2902DDC0" w14:textId="3DD090E2" w:rsidR="00C06D1A" w:rsidRDefault="00C06D1A" w:rsidP="00C06D1A">
      <w:pPr>
        <w:pStyle w:val="NormalWeb"/>
        <w:spacing w:line="480" w:lineRule="auto"/>
        <w:rPr>
          <w:rFonts w:ascii="Arial" w:hAnsi="Arial" w:cs="Arial"/>
        </w:rPr>
      </w:pPr>
      <w:r>
        <w:rPr>
          <w:rFonts w:ascii="Arial" w:hAnsi="Arial" w:cs="Arial"/>
        </w:rPr>
        <w:t xml:space="preserve">Denzin (1978) describes four types of </w:t>
      </w:r>
      <w:r w:rsidR="00137253">
        <w:rPr>
          <w:rFonts w:ascii="Arial" w:hAnsi="Arial" w:cs="Arial"/>
        </w:rPr>
        <w:t>triangulation</w:t>
      </w:r>
      <w:r w:rsidR="007464C8">
        <w:rPr>
          <w:rFonts w:ascii="Arial" w:hAnsi="Arial" w:cs="Arial"/>
        </w:rPr>
        <w:t>.</w:t>
      </w:r>
      <w:r>
        <w:rPr>
          <w:rFonts w:ascii="Arial" w:hAnsi="Arial" w:cs="Arial"/>
        </w:rPr>
        <w:t xml:space="preserve"> </w:t>
      </w:r>
      <w:r w:rsidR="007464C8">
        <w:rPr>
          <w:rFonts w:ascii="Arial" w:hAnsi="Arial" w:cs="Arial"/>
        </w:rPr>
        <w:t>T</w:t>
      </w:r>
      <w:r>
        <w:rPr>
          <w:rFonts w:ascii="Arial" w:hAnsi="Arial" w:cs="Arial"/>
        </w:rPr>
        <w:t xml:space="preserve">he first is data </w:t>
      </w:r>
      <w:r w:rsidR="00137253">
        <w:rPr>
          <w:rFonts w:ascii="Arial" w:hAnsi="Arial" w:cs="Arial"/>
        </w:rPr>
        <w:t>triangulation, which</w:t>
      </w:r>
      <w:r>
        <w:rPr>
          <w:rFonts w:ascii="Arial" w:hAnsi="Arial" w:cs="Arial"/>
        </w:rPr>
        <w:t xml:space="preserve"> involves time, space and person. The second is ‘investigator triangulation’</w:t>
      </w:r>
      <w:r w:rsidR="007464C8">
        <w:rPr>
          <w:rFonts w:ascii="Arial" w:hAnsi="Arial" w:cs="Arial"/>
        </w:rPr>
        <w:t>,</w:t>
      </w:r>
      <w:r>
        <w:rPr>
          <w:rFonts w:ascii="Arial" w:hAnsi="Arial" w:cs="Arial"/>
        </w:rPr>
        <w:t xml:space="preserve"> which involves multiple researchers</w:t>
      </w:r>
      <w:r w:rsidR="007464C8">
        <w:rPr>
          <w:rFonts w:ascii="Arial" w:hAnsi="Arial" w:cs="Arial"/>
        </w:rPr>
        <w:t>,</w:t>
      </w:r>
      <w:r>
        <w:rPr>
          <w:rFonts w:ascii="Arial" w:hAnsi="Arial" w:cs="Arial"/>
        </w:rPr>
        <w:t xml:space="preserve"> and the third, theory triangulation involving more than one theoretical scheme in interpreting findings. The fourth is methodological triangulation </w:t>
      </w:r>
      <w:r w:rsidR="00FF420D">
        <w:rPr>
          <w:rFonts w:ascii="Arial" w:hAnsi="Arial" w:cs="Arial"/>
        </w:rPr>
        <w:t xml:space="preserve">which is </w:t>
      </w:r>
      <w:r w:rsidR="00337A7E">
        <w:rPr>
          <w:rFonts w:ascii="Arial" w:hAnsi="Arial" w:cs="Arial"/>
        </w:rPr>
        <w:t>used</w:t>
      </w:r>
      <w:r w:rsidR="00FF420D">
        <w:rPr>
          <w:rFonts w:ascii="Arial" w:hAnsi="Arial" w:cs="Arial"/>
        </w:rPr>
        <w:t xml:space="preserve"> within this study and involves employing </w:t>
      </w:r>
      <w:r>
        <w:rPr>
          <w:rFonts w:ascii="Arial" w:hAnsi="Arial" w:cs="Arial"/>
        </w:rPr>
        <w:t xml:space="preserve">more than one method to gather data </w:t>
      </w:r>
      <w:r>
        <w:rPr>
          <w:rFonts w:ascii="Arial" w:hAnsi="Arial" w:cs="Arial"/>
        </w:rPr>
        <w:fldChar w:fldCharType="begin"/>
      </w:r>
      <w:r w:rsidR="000612D3">
        <w:rPr>
          <w:rFonts w:ascii="Arial" w:hAnsi="Arial" w:cs="Arial"/>
        </w:rPr>
        <w:instrText xml:space="preserve"> ADDIN EN.CITE &lt;EndNote&gt;&lt;Cite&gt;&lt;Author&gt;Denzin&lt;/Author&gt;&lt;Year&gt;2006&lt;/Year&gt;&lt;IDText&gt;Sociological Methods: A Sourcebook&lt;/IDText&gt;&lt;DisplayText&gt;(Denzin, 2006)&lt;/DisplayText&gt;&lt;record&gt;&lt;isbn&gt;978-0-202-30840-1&lt;/isbn&gt;&lt;titles&gt;&lt;title&gt;Sociological Methods: A Sourcebook&lt;/title&gt;&lt;/titles&gt;&lt;contributors&gt;&lt;authors&gt;&lt;author&gt;Denzin, N&lt;/author&gt;&lt;/authors&gt;&lt;/contributors&gt;&lt;edition&gt;5th&lt;/edition&gt;&lt;added-date format="utc"&gt;1400250256&lt;/added-date&gt;&lt;ref-type name="Book"&gt;6&lt;/ref-type&gt;&lt;dates&gt;&lt;year&gt;2006&lt;/year&gt;&lt;/dates&gt;&lt;rec-number&gt;143&lt;/rec-number&gt;&lt;publisher&gt;Aldine Transaction&lt;/publisher&gt;&lt;last-updated-date format="utc"&gt;1400250569&lt;/last-updated-date&gt;&lt;/record&gt;&lt;/Cite&gt;&lt;/EndNote&gt;</w:instrText>
      </w:r>
      <w:r>
        <w:rPr>
          <w:rFonts w:ascii="Arial" w:hAnsi="Arial" w:cs="Arial"/>
        </w:rPr>
        <w:fldChar w:fldCharType="separate"/>
      </w:r>
      <w:r w:rsidR="000612D3">
        <w:rPr>
          <w:rFonts w:ascii="Arial" w:hAnsi="Arial" w:cs="Arial"/>
          <w:noProof/>
        </w:rPr>
        <w:t>(Denzin, 2006)</w:t>
      </w:r>
      <w:r>
        <w:rPr>
          <w:rFonts w:ascii="Arial" w:hAnsi="Arial" w:cs="Arial"/>
        </w:rPr>
        <w:fldChar w:fldCharType="end"/>
      </w:r>
      <w:r>
        <w:rPr>
          <w:rFonts w:ascii="Arial" w:hAnsi="Arial" w:cs="Arial"/>
        </w:rPr>
        <w:t xml:space="preserve">. Triangulation allows </w:t>
      </w:r>
      <w:r w:rsidR="007464C8">
        <w:rPr>
          <w:rFonts w:ascii="Arial" w:hAnsi="Arial" w:cs="Arial"/>
        </w:rPr>
        <w:t xml:space="preserve">for </w:t>
      </w:r>
      <w:r>
        <w:rPr>
          <w:rFonts w:ascii="Arial" w:hAnsi="Arial" w:cs="Arial"/>
        </w:rPr>
        <w:t xml:space="preserve">the highlighting of themes that do not fit </w:t>
      </w:r>
      <w:r w:rsidR="000A27DF">
        <w:rPr>
          <w:rFonts w:ascii="Arial" w:hAnsi="Arial" w:cs="Arial"/>
        </w:rPr>
        <w:t>into</w:t>
      </w:r>
      <w:r>
        <w:rPr>
          <w:rFonts w:ascii="Arial" w:hAnsi="Arial" w:cs="Arial"/>
        </w:rPr>
        <w:t xml:space="preserve"> categories and thus can be used to disprove themes or theories </w:t>
      </w:r>
      <w:r>
        <w:rPr>
          <w:rFonts w:ascii="Arial" w:hAnsi="Arial" w:cs="Arial"/>
        </w:rPr>
        <w:fldChar w:fldCharType="begin"/>
      </w:r>
      <w:r w:rsidR="000612D3">
        <w:rPr>
          <w:rFonts w:ascii="Arial" w:hAnsi="Arial" w:cs="Arial"/>
        </w:rPr>
        <w:instrText xml:space="preserve"> ADDIN EN.CITE &lt;EndNote&gt;&lt;Cite&gt;&lt;Author&gt;Creswell&lt;/Author&gt;&lt;Year&gt;2000&lt;/Year&gt;&lt;IDText&gt;Determining validity in qualitative inquiry&lt;/IDText&gt;&lt;DisplayText&gt;(Creswell and Miller, 2000)&lt;/DisplayText&gt;&lt;record&gt;&lt;dates&gt;&lt;pub-dates&gt;&lt;date&gt;Sum&lt;/date&gt;&lt;/pub-dates&gt;&lt;year&gt;2000&lt;/year&gt;&lt;/dates&gt;&lt;urls&gt;&lt;related-urls&gt;&lt;url&gt;&amp;lt;Go to ISI&amp;gt;://WOS:000088732100002&lt;/url&gt;&lt;/related-urls&gt;&lt;/urls&gt;&lt;isbn&gt;0040-5841&lt;/isbn&gt;&lt;titles&gt;&lt;title&gt;Determining validity in qualitative inquiry&lt;/title&gt;&lt;secondary-title&gt;Theory into Practice&lt;/secondary-title&gt;&lt;/titles&gt;&lt;pages&gt;124-130&lt;/pages&gt;&lt;number&gt;3&lt;/number&gt;&lt;contributors&gt;&lt;authors&gt;&lt;author&gt;Creswell, J. W.&lt;/author&gt;&lt;author&gt;Miller, D. L.&lt;/author&gt;&lt;/authors&gt;&lt;/contributors&gt;&lt;added-date format="utc"&gt;1399928005&lt;/added-date&gt;&lt;ref-type name="Journal Article"&gt;17&lt;/ref-type&gt;&lt;rec-number&gt;83&lt;/rec-number&gt;&lt;last-updated-date format="utc"&gt;1399937123&lt;/last-updated-date&gt;&lt;accession-num&gt;WOS:000088732100002&lt;/accession-num&gt;&lt;electronic-resource-num&gt;10.1207/s15430421tip3903_2&lt;/electronic-resource-num&gt;&lt;volume&gt;39&lt;/volume&gt;&lt;/record&gt;&lt;/Cite&gt;&lt;/EndNote&gt;</w:instrText>
      </w:r>
      <w:r>
        <w:rPr>
          <w:rFonts w:ascii="Arial" w:hAnsi="Arial" w:cs="Arial"/>
        </w:rPr>
        <w:fldChar w:fldCharType="separate"/>
      </w:r>
      <w:r w:rsidR="000612D3">
        <w:rPr>
          <w:rFonts w:ascii="Arial" w:hAnsi="Arial" w:cs="Arial"/>
          <w:noProof/>
        </w:rPr>
        <w:t>(Creswell and Miller, 2000)</w:t>
      </w:r>
      <w:r>
        <w:rPr>
          <w:rFonts w:ascii="Arial" w:hAnsi="Arial" w:cs="Arial"/>
        </w:rPr>
        <w:fldChar w:fldCharType="end"/>
      </w:r>
      <w:r>
        <w:rPr>
          <w:rFonts w:ascii="Arial" w:hAnsi="Arial" w:cs="Arial"/>
        </w:rPr>
        <w:t>. Discrepancies in data must be highlighted and explained or explored.</w:t>
      </w:r>
    </w:p>
    <w:p w14:paraId="6E01C8BE" w14:textId="0552F955" w:rsidR="00C06D1A" w:rsidRDefault="00C06D1A" w:rsidP="00C06D1A">
      <w:pPr>
        <w:pStyle w:val="NormalWeb"/>
        <w:spacing w:line="480" w:lineRule="auto"/>
        <w:rPr>
          <w:rFonts w:ascii="Arial" w:hAnsi="Arial" w:cs="Arial"/>
        </w:rPr>
      </w:pPr>
      <w:r>
        <w:rPr>
          <w:rFonts w:ascii="Arial" w:hAnsi="Arial" w:cs="Arial"/>
        </w:rPr>
        <w:lastRenderedPageBreak/>
        <w:t xml:space="preserve">Member checking refers to the opportunity for stakeholders to check data collected, interpretations and conclusions. </w:t>
      </w:r>
      <w:r w:rsidR="00FF420D">
        <w:rPr>
          <w:rFonts w:ascii="Arial" w:hAnsi="Arial" w:cs="Arial"/>
        </w:rPr>
        <w:t>This</w:t>
      </w:r>
      <w:r>
        <w:rPr>
          <w:rFonts w:ascii="Arial" w:hAnsi="Arial" w:cs="Arial"/>
        </w:rPr>
        <w:t xml:space="preserve"> allows the opportunity for additional information, corrections and improves credibility through confirmation of data with participants </w:t>
      </w:r>
      <w:r>
        <w:rPr>
          <w:rFonts w:ascii="Arial" w:hAnsi="Arial" w:cs="Arial"/>
        </w:rPr>
        <w:fldChar w:fldCharType="begin"/>
      </w:r>
      <w:r w:rsidR="000612D3">
        <w:rPr>
          <w:rFonts w:ascii="Arial" w:hAnsi="Arial" w:cs="Arial"/>
        </w:rPr>
        <w:instrText xml:space="preserve"> ADDIN EN.CITE &lt;EndNote&gt;&lt;Cite&gt;&lt;Author&gt;Guba&lt;/Author&gt;&lt;Year&gt;1989&lt;/Year&gt;&lt;IDText&gt;Fourth generation evaluation&lt;/IDText&gt;&lt;DisplayText&gt;(Guba, 1989)&lt;/DisplayText&gt;&lt;record&gt;&lt;titles&gt;&lt;title&gt;Fourth generation evaluation&lt;/title&gt;&lt;/titles&gt;&lt;contributors&gt;&lt;authors&gt;&lt;author&gt;Guba, E G&lt;/author&gt;&lt;/authors&gt;&lt;/contributors&gt;&lt;added-date format="utc"&gt;1399929117&lt;/added-date&gt;&lt;pub-location&gt;Newbury Park, CA&lt;/pub-location&gt;&lt;ref-type name="Generic"&gt;13&lt;/ref-type&gt;&lt;dates&gt;&lt;year&gt;1989&lt;/year&gt;&lt;/dates&gt;&lt;rec-number&gt;86&lt;/rec-number&gt;&lt;publisher&gt;Sage&lt;/publisher&gt;&lt;last-updated-date format="utc"&gt;1399937123&lt;/last-updated-date&gt;&lt;contributors&gt;&lt;secondary-authors&gt;&lt;author&gt;Lincoln, Y S&lt;/author&gt;&lt;/secondary-authors&gt;&lt;/contributors&gt;&lt;/record&gt;&lt;/Cite&gt;&lt;/EndNote&gt;</w:instrText>
      </w:r>
      <w:r>
        <w:rPr>
          <w:rFonts w:ascii="Arial" w:hAnsi="Arial" w:cs="Arial"/>
        </w:rPr>
        <w:fldChar w:fldCharType="separate"/>
      </w:r>
      <w:r w:rsidR="000612D3">
        <w:rPr>
          <w:rFonts w:ascii="Arial" w:hAnsi="Arial" w:cs="Arial"/>
          <w:noProof/>
        </w:rPr>
        <w:t>(Guba, 1989)</w:t>
      </w:r>
      <w:r>
        <w:rPr>
          <w:rFonts w:ascii="Arial" w:hAnsi="Arial" w:cs="Arial"/>
        </w:rPr>
        <w:fldChar w:fldCharType="end"/>
      </w:r>
      <w:r>
        <w:rPr>
          <w:rFonts w:ascii="Arial" w:hAnsi="Arial" w:cs="Arial"/>
        </w:rPr>
        <w:t>.</w:t>
      </w:r>
    </w:p>
    <w:p w14:paraId="557F117D" w14:textId="35FB343C" w:rsidR="00C06D1A" w:rsidRDefault="00C06D1A" w:rsidP="00C06D1A">
      <w:pPr>
        <w:pStyle w:val="NormalWeb"/>
        <w:spacing w:line="480" w:lineRule="auto"/>
        <w:rPr>
          <w:rFonts w:ascii="Arial" w:hAnsi="Arial" w:cs="Arial"/>
        </w:rPr>
      </w:pPr>
      <w:r>
        <w:rPr>
          <w:rFonts w:ascii="Arial" w:hAnsi="Arial" w:cs="Arial"/>
        </w:rPr>
        <w:t>Prolonged engagement in the field means that the researcher is comfortable</w:t>
      </w:r>
      <w:r w:rsidR="007464C8">
        <w:rPr>
          <w:rFonts w:ascii="Arial" w:hAnsi="Arial" w:cs="Arial"/>
        </w:rPr>
        <w:t xml:space="preserve"> in</w:t>
      </w:r>
      <w:r>
        <w:rPr>
          <w:rFonts w:ascii="Arial" w:hAnsi="Arial" w:cs="Arial"/>
        </w:rPr>
        <w:t xml:space="preserve"> and becomes part of the environment. Having working in </w:t>
      </w:r>
      <w:r w:rsidR="00FF420D">
        <w:rPr>
          <w:rFonts w:ascii="Arial" w:hAnsi="Arial" w:cs="Arial"/>
        </w:rPr>
        <w:t xml:space="preserve">Medical School 1 </w:t>
      </w:r>
      <w:r>
        <w:rPr>
          <w:rFonts w:ascii="Arial" w:hAnsi="Arial" w:cs="Arial"/>
        </w:rPr>
        <w:t xml:space="preserve">and trained in </w:t>
      </w:r>
      <w:r w:rsidR="00FF420D">
        <w:rPr>
          <w:rFonts w:ascii="Arial" w:hAnsi="Arial" w:cs="Arial"/>
        </w:rPr>
        <w:t xml:space="preserve">Hospital 2, the researcher was </w:t>
      </w:r>
      <w:r>
        <w:rPr>
          <w:rFonts w:ascii="Arial" w:hAnsi="Arial" w:cs="Arial"/>
        </w:rPr>
        <w:t xml:space="preserve">very comfortable in the environments and with the equipment. </w:t>
      </w:r>
    </w:p>
    <w:p w14:paraId="4BE3ACFA" w14:textId="0174DB05" w:rsidR="00C97DE0" w:rsidRDefault="00C06D1A" w:rsidP="002D5484">
      <w:pPr>
        <w:pStyle w:val="NormalWeb"/>
        <w:spacing w:line="480" w:lineRule="auto"/>
        <w:rPr>
          <w:rFonts w:ascii="Arial" w:hAnsi="Arial" w:cs="Arial"/>
        </w:rPr>
      </w:pPr>
      <w:r>
        <w:rPr>
          <w:rFonts w:ascii="Arial" w:hAnsi="Arial" w:cs="Arial"/>
        </w:rPr>
        <w:t xml:space="preserve">Audit trail is essential to demonstrate robust methodology and data collection. This process includes ‘reviewing memos, logs, journals, field notes, computer files and any other data’ </w:t>
      </w:r>
      <w:r>
        <w:rPr>
          <w:rFonts w:cs="Arial"/>
        </w:rPr>
        <w:fldChar w:fldCharType="begin"/>
      </w:r>
      <w:r w:rsidR="000612D3">
        <w:rPr>
          <w:rFonts w:ascii="Arial" w:hAnsi="Arial" w:cs="Arial"/>
        </w:rPr>
        <w:instrText xml:space="preserve"> ADDIN EN.CITE &lt;EndNote&gt;&lt;Cite&gt;&lt;Author&gt;Lewis&lt;/Author&gt;&lt;Year&gt;2009&lt;/Year&gt;&lt;IDText&gt;Redefining Qualitative Methods: Believability in the Fifth Moment&lt;/IDText&gt;&lt;DisplayText&gt;(Lewis, 2009)&lt;/DisplayText&gt;&lt;record&gt;&lt;titles&gt;&lt;title&gt;Redefining Qualitative Methods: Believability in the Fifth Moment&lt;/title&gt;&lt;secondary-title&gt;International Journal of Qualitative Methods&lt;/secondary-title&gt;&lt;/titles&gt;&lt;pages&gt;1 - 13&lt;/pages&gt;&lt;number&gt;2&lt;/number&gt;&lt;contributors&gt;&lt;authors&gt;&lt;author&gt;Lewis, J&lt;/author&gt;&lt;/authors&gt;&lt;/contributors&gt;&lt;added-date format="utc"&gt;1399930413&lt;/added-date&gt;&lt;pub-location&gt;Indiana, Pennsylvania, USA&lt;/pub-location&gt;&lt;ref-type name="Journal Article"&gt;17&lt;/ref-type&gt;&lt;dates&gt;&lt;year&gt;2009&lt;/year&gt;&lt;/dates&gt;&lt;rec-number&gt;94&lt;/rec-number&gt;&lt;last-updated-date format="utc"&gt;1399937123&lt;/last-updated-date&gt;&lt;volume&gt;8&lt;/volume&gt;&lt;/record&gt;&lt;/Cite&gt;&lt;/EndNote&gt;</w:instrText>
      </w:r>
      <w:r>
        <w:rPr>
          <w:rFonts w:cs="Arial"/>
        </w:rPr>
        <w:fldChar w:fldCharType="separate"/>
      </w:r>
      <w:r w:rsidR="000612D3">
        <w:rPr>
          <w:rFonts w:ascii="Arial" w:hAnsi="Arial" w:cs="Arial"/>
          <w:noProof/>
        </w:rPr>
        <w:t>(Lewis, 2009)</w:t>
      </w:r>
      <w:r>
        <w:rPr>
          <w:rFonts w:cs="Arial"/>
        </w:rPr>
        <w:fldChar w:fldCharType="end"/>
      </w:r>
      <w:r>
        <w:rPr>
          <w:rFonts w:ascii="Arial" w:hAnsi="Arial" w:cs="Arial"/>
        </w:rPr>
        <w:t xml:space="preserve">. </w:t>
      </w:r>
      <w:r w:rsidR="00FF420D">
        <w:rPr>
          <w:rFonts w:ascii="Arial" w:hAnsi="Arial" w:cs="Arial"/>
        </w:rPr>
        <w:t>The researcher had</w:t>
      </w:r>
      <w:r>
        <w:rPr>
          <w:rFonts w:ascii="Arial" w:hAnsi="Arial" w:cs="Arial"/>
        </w:rPr>
        <w:t xml:space="preserve"> peer review</w:t>
      </w:r>
      <w:r w:rsidR="007464C8">
        <w:rPr>
          <w:rFonts w:ascii="Arial" w:hAnsi="Arial" w:cs="Arial"/>
        </w:rPr>
        <w:t>s</w:t>
      </w:r>
      <w:r>
        <w:rPr>
          <w:rFonts w:ascii="Arial" w:hAnsi="Arial" w:cs="Arial"/>
        </w:rPr>
        <w:t xml:space="preserve"> with regular supervisor meetings and through sharing results at PhD presentation</w:t>
      </w:r>
      <w:r w:rsidR="00FF420D">
        <w:rPr>
          <w:rFonts w:ascii="Arial" w:hAnsi="Arial" w:cs="Arial"/>
        </w:rPr>
        <w:t>s</w:t>
      </w:r>
      <w:r>
        <w:rPr>
          <w:rFonts w:ascii="Arial" w:hAnsi="Arial" w:cs="Arial"/>
        </w:rPr>
        <w:t xml:space="preserve"> </w:t>
      </w:r>
      <w:r w:rsidR="00FF420D">
        <w:rPr>
          <w:rFonts w:ascii="Arial" w:hAnsi="Arial" w:cs="Arial"/>
        </w:rPr>
        <w:t>and</w:t>
      </w:r>
      <w:r>
        <w:rPr>
          <w:rFonts w:ascii="Arial" w:hAnsi="Arial" w:cs="Arial"/>
        </w:rPr>
        <w:t xml:space="preserve"> contact days</w:t>
      </w:r>
      <w:r w:rsidR="00FF420D">
        <w:rPr>
          <w:rFonts w:ascii="Arial" w:hAnsi="Arial" w:cs="Arial"/>
        </w:rPr>
        <w:t>. Field notes and research journals are available to view</w:t>
      </w:r>
      <w:r>
        <w:rPr>
          <w:rFonts w:ascii="Arial" w:hAnsi="Arial" w:cs="Arial"/>
        </w:rPr>
        <w:t>. Feedback from peer</w:t>
      </w:r>
      <w:r w:rsidR="00FF420D">
        <w:rPr>
          <w:rFonts w:ascii="Arial" w:hAnsi="Arial" w:cs="Arial"/>
        </w:rPr>
        <w:t>s</w:t>
      </w:r>
      <w:r>
        <w:rPr>
          <w:rFonts w:ascii="Arial" w:hAnsi="Arial" w:cs="Arial"/>
        </w:rPr>
        <w:t xml:space="preserve"> is said to be essential to ‘keep the researcher honest’</w:t>
      </w:r>
      <w:r w:rsidR="009C31D3">
        <w:rPr>
          <w:rFonts w:ascii="Arial" w:hAnsi="Arial" w:cs="Arial"/>
        </w:rPr>
        <w:t xml:space="preserve"> </w:t>
      </w:r>
      <w:r>
        <w:rPr>
          <w:rFonts w:cs="Arial"/>
        </w:rPr>
        <w:fldChar w:fldCharType="begin"/>
      </w:r>
      <w:r w:rsidR="000612D3">
        <w:rPr>
          <w:rFonts w:ascii="Arial" w:hAnsi="Arial" w:cs="Arial"/>
        </w:rPr>
        <w:instrText xml:space="preserve"> ADDIN EN.CITE &lt;EndNote&gt;&lt;Cite&gt;&lt;Author&gt;Lewis&lt;/Author&gt;&lt;Year&gt;2009&lt;/Year&gt;&lt;IDText&gt;Redefining Qualitative Methods: Believability in the Fifth Moment&lt;/IDText&gt;&lt;DisplayText&gt;(Lewis, 2009)&lt;/DisplayText&gt;&lt;record&gt;&lt;titles&gt;&lt;title&gt;Redefining Qualitative Methods: Believability in the Fifth Moment&lt;/title&gt;&lt;secondary-title&gt;International Journal of Qualitative Methods&lt;/secondary-title&gt;&lt;/titles&gt;&lt;pages&gt;1 - 13&lt;/pages&gt;&lt;number&gt;2&lt;/number&gt;&lt;contributors&gt;&lt;authors&gt;&lt;author&gt;Lewis, J&lt;/author&gt;&lt;/authors&gt;&lt;/contributors&gt;&lt;added-date format="utc"&gt;1399930413&lt;/added-date&gt;&lt;pub-location&gt;Indiana, Pennsylvania, USA&lt;/pub-location&gt;&lt;ref-type name="Journal Article"&gt;17&lt;/ref-type&gt;&lt;dates&gt;&lt;year&gt;2009&lt;/year&gt;&lt;/dates&gt;&lt;rec-number&gt;94&lt;/rec-number&gt;&lt;last-updated-date format="utc"&gt;1399937123&lt;/last-updated-date&gt;&lt;volume&gt;8&lt;/volume&gt;&lt;/record&gt;&lt;/Cite&gt;&lt;/EndNote&gt;</w:instrText>
      </w:r>
      <w:r>
        <w:rPr>
          <w:rFonts w:cs="Arial"/>
        </w:rPr>
        <w:fldChar w:fldCharType="separate"/>
      </w:r>
      <w:r w:rsidR="000612D3">
        <w:rPr>
          <w:rFonts w:ascii="Arial" w:hAnsi="Arial" w:cs="Arial"/>
          <w:noProof/>
        </w:rPr>
        <w:t>(Lewis, 2009)</w:t>
      </w:r>
      <w:r>
        <w:rPr>
          <w:rFonts w:cs="Arial"/>
        </w:rPr>
        <w:fldChar w:fldCharType="end"/>
      </w:r>
      <w:r>
        <w:rPr>
          <w:rFonts w:ascii="Arial" w:hAnsi="Arial" w:cs="Arial"/>
        </w:rPr>
        <w:t>.</w:t>
      </w:r>
    </w:p>
    <w:p w14:paraId="658DE39C" w14:textId="4F2B1CC4" w:rsidR="00E830C5" w:rsidRDefault="006F6288" w:rsidP="005367B9">
      <w:pPr>
        <w:pStyle w:val="Heading3"/>
      </w:pPr>
      <w:bookmarkStart w:id="101" w:name="_Toc343501119"/>
      <w:bookmarkStart w:id="102" w:name="_Toc348686320"/>
      <w:bookmarkStart w:id="103" w:name="_Toc419116114"/>
      <w:r>
        <w:t xml:space="preserve">Qualitative research: </w:t>
      </w:r>
      <w:r w:rsidR="008E7172">
        <w:t>s</w:t>
      </w:r>
      <w:r w:rsidR="00E830C5">
        <w:t>ampling</w:t>
      </w:r>
      <w:bookmarkEnd w:id="101"/>
      <w:bookmarkEnd w:id="102"/>
      <w:bookmarkEnd w:id="103"/>
    </w:p>
    <w:p w14:paraId="5EB0B8BC" w14:textId="77777777" w:rsidR="000C331F" w:rsidRDefault="000C331F" w:rsidP="000C331F"/>
    <w:p w14:paraId="5EAEB0DE" w14:textId="65D082CC" w:rsidR="001D1F6D" w:rsidRDefault="001D1F6D" w:rsidP="000C331F">
      <w:r>
        <w:t>Sampling</w:t>
      </w:r>
      <w:r w:rsidR="00501CA5">
        <w:t xml:space="preserve"> strategy</w:t>
      </w:r>
      <w:r>
        <w:t xml:space="preserve"> in qu</w:t>
      </w:r>
      <w:r w:rsidR="00501CA5">
        <w:t xml:space="preserve">alitative research is a vital part of design because it will ‘affect the usefulness of the data collected, the type of analysis possible and the extent of opportunities to draw wider inferences’ </w:t>
      </w:r>
      <w:r w:rsidR="00501CA5">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501CA5">
        <w:fldChar w:fldCharType="separate"/>
      </w:r>
      <w:r w:rsidR="006102D5">
        <w:rPr>
          <w:noProof/>
        </w:rPr>
        <w:t>(Ritchie et al., 2014</w:t>
      </w:r>
      <w:r w:rsidR="00DC2684">
        <w:rPr>
          <w:noProof/>
        </w:rPr>
        <w:t xml:space="preserve">; </w:t>
      </w:r>
      <w:r w:rsidR="00501CA5">
        <w:fldChar w:fldCharType="end"/>
      </w:r>
      <w:r w:rsidR="00E41FF6">
        <w:t>p112</w:t>
      </w:r>
      <w:r w:rsidR="005E0726">
        <w:t>)</w:t>
      </w:r>
      <w:r w:rsidR="00501CA5">
        <w:t xml:space="preserve">. </w:t>
      </w:r>
      <w:r w:rsidR="00245DB3">
        <w:t xml:space="preserve">In contrast to quantitative methodology, qualitative sample sizes are generally small to allow for deep exploration of area to be studied. Another contrast is that qualitative sampling involves a ‘non-probability sample’ in that a particular group </w:t>
      </w:r>
      <w:r w:rsidR="00245DB3">
        <w:lastRenderedPageBreak/>
        <w:t xml:space="preserve">of people are selected due to their specific qualities. The </w:t>
      </w:r>
      <w:r w:rsidR="007464C8">
        <w:t>rigour</w:t>
      </w:r>
      <w:r w:rsidR="00245DB3">
        <w:t xml:space="preserve"> of a qualitative sample is assessed through </w:t>
      </w:r>
      <w:r w:rsidR="00E83A14">
        <w:t xml:space="preserve">its ‘ability to represent specific characteristics prioritised in sample design’ </w:t>
      </w:r>
      <w:r w:rsidR="00E83A14">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E83A14">
        <w:fldChar w:fldCharType="separate"/>
      </w:r>
      <w:r w:rsidR="006102D5">
        <w:rPr>
          <w:noProof/>
        </w:rPr>
        <w:t>(Ritchie et al., 2014</w:t>
      </w:r>
      <w:r w:rsidR="00DC2684">
        <w:rPr>
          <w:noProof/>
        </w:rPr>
        <w:t>;</w:t>
      </w:r>
      <w:r w:rsidR="00E83A14">
        <w:fldChar w:fldCharType="end"/>
      </w:r>
      <w:r w:rsidR="005E0726">
        <w:t xml:space="preserve"> </w:t>
      </w:r>
      <w:r w:rsidR="00E41FF6">
        <w:t>p113</w:t>
      </w:r>
      <w:r w:rsidR="005E0726">
        <w:t>)</w:t>
      </w:r>
      <w:r w:rsidR="00E83A14">
        <w:t>.</w:t>
      </w:r>
    </w:p>
    <w:p w14:paraId="4FE8FEB9" w14:textId="0B36B23D" w:rsidR="007137BA" w:rsidRDefault="000121E2" w:rsidP="000C331F">
      <w:r>
        <w:t>Purp</w:t>
      </w:r>
      <w:r w:rsidR="00E83A14">
        <w:t xml:space="preserve">osive or criterion-based sampling has been </w:t>
      </w:r>
      <w:r w:rsidR="00337A7E">
        <w:t>used</w:t>
      </w:r>
      <w:r w:rsidR="00E83A14">
        <w:t xml:space="preserve"> for </w:t>
      </w:r>
      <w:r w:rsidR="00173DE4">
        <w:t>focus group</w:t>
      </w:r>
      <w:r w:rsidR="00E83A14">
        <w:t xml:space="preserve">s </w:t>
      </w:r>
      <w:r w:rsidR="009C31D3">
        <w:t xml:space="preserve">and </w:t>
      </w:r>
      <w:r w:rsidR="001D42C9">
        <w:t>in-depth interviews</w:t>
      </w:r>
      <w:r w:rsidR="009C31D3">
        <w:t xml:space="preserve">. </w:t>
      </w:r>
      <w:r w:rsidR="00984702">
        <w:t>Bryman (2012) states that the sample should possess ‘characteristics that allow detailed exploration and understanding of central themes and questions due to be studied’</w:t>
      </w:r>
      <w:r w:rsidR="005E0726">
        <w:t>,</w:t>
      </w:r>
      <w:r w:rsidR="00984702">
        <w:t xml:space="preserve"> and as such members are chosen ‘with a purpose’ </w:t>
      </w:r>
      <w:r w:rsidR="00984702">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984702">
        <w:fldChar w:fldCharType="separate"/>
      </w:r>
      <w:r w:rsidR="006102D5">
        <w:rPr>
          <w:noProof/>
        </w:rPr>
        <w:t>(Ritchie et al., 2014</w:t>
      </w:r>
      <w:r w:rsidR="00984702">
        <w:fldChar w:fldCharType="end"/>
      </w:r>
      <w:r w:rsidR="00ED132A">
        <w:t>; p113</w:t>
      </w:r>
      <w:r w:rsidR="005E0726">
        <w:t>)</w:t>
      </w:r>
      <w:r w:rsidR="00984702">
        <w:t xml:space="preserve">. </w:t>
      </w:r>
      <w:r>
        <w:t xml:space="preserve">Random sampling would not reliably select the appropriate sample of informants. </w:t>
      </w:r>
    </w:p>
    <w:p w14:paraId="7183E5A5" w14:textId="30AA15BD" w:rsidR="00A33CB9" w:rsidRDefault="006F72E0" w:rsidP="000C331F">
      <w:r>
        <w:t xml:space="preserve">Convenience sampling, described by Berg and Lune (2012) is </w:t>
      </w:r>
      <w:r w:rsidR="00337A7E">
        <w:t>used</w:t>
      </w:r>
      <w:r>
        <w:t xml:space="preserve"> in qualitative research where participants are selected based on availabilit</w:t>
      </w:r>
      <w:r w:rsidR="00A33CB9">
        <w:t xml:space="preserve">y. The limitations </w:t>
      </w:r>
      <w:r w:rsidR="00275939">
        <w:t xml:space="preserve">include the </w:t>
      </w:r>
      <w:r>
        <w:t xml:space="preserve">challenge to ensure </w:t>
      </w:r>
      <w:r w:rsidR="00275939">
        <w:t xml:space="preserve">group </w:t>
      </w:r>
      <w:r>
        <w:t xml:space="preserve">diversity, however it can be a useful to gain early insight </w:t>
      </w:r>
      <w:r w:rsidR="000A27DF">
        <w:t>into</w:t>
      </w:r>
      <w:r>
        <w:t xml:space="preserve"> ideas and concepts </w:t>
      </w:r>
      <w:r w:rsidR="00275939">
        <w:t xml:space="preserve">for </w:t>
      </w:r>
      <w:r>
        <w:t>initial planning</w:t>
      </w:r>
      <w:r w:rsidR="00275939">
        <w:t xml:space="preserve"> </w:t>
      </w:r>
      <w:r w:rsidR="00A33CB9">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A33CB9">
        <w:fldChar w:fldCharType="separate"/>
      </w:r>
      <w:r w:rsidR="006102D5">
        <w:rPr>
          <w:noProof/>
        </w:rPr>
        <w:t>(Ritchie et al., 2014</w:t>
      </w:r>
      <w:r w:rsidR="00DC2684">
        <w:rPr>
          <w:noProof/>
        </w:rPr>
        <w:t>;</w:t>
      </w:r>
      <w:r w:rsidR="00A33CB9">
        <w:fldChar w:fldCharType="end"/>
      </w:r>
      <w:r w:rsidR="00CB554F">
        <w:t xml:space="preserve"> p116</w:t>
      </w:r>
      <w:r w:rsidR="005B72EC">
        <w:t>)</w:t>
      </w:r>
      <w:r>
        <w:t>.</w:t>
      </w:r>
    </w:p>
    <w:p w14:paraId="1B9AF97F" w14:textId="03A0879B" w:rsidR="003C311B" w:rsidRDefault="00A33CB9" w:rsidP="000C331F">
      <w:r>
        <w:t>Ritchie et al (2014) describe three features essential for qualitative sampling. The first</w:t>
      </w:r>
      <w:r w:rsidR="00AE5886">
        <w:t xml:space="preserve"> is</w:t>
      </w:r>
      <w:r w:rsidR="00772F9E">
        <w:t xml:space="preserve"> </w:t>
      </w:r>
      <w:r>
        <w:t>‘use of prescribed selection criteria’</w:t>
      </w:r>
      <w:r w:rsidR="00AE5886">
        <w:t>, which</w:t>
      </w:r>
      <w:r>
        <w:t xml:space="preserve"> is described as the sample having ‘symbolic representation’</w:t>
      </w:r>
      <w:r w:rsidR="00AE5886">
        <w:t>,</w:t>
      </w:r>
      <w:r>
        <w:t xml:space="preserve"> where characteristics are relevant to the phenomena being</w:t>
      </w:r>
      <w:r w:rsidR="00543431">
        <w:t xml:space="preserve"> studied. They describe the importance of </w:t>
      </w:r>
      <w:r>
        <w:t xml:space="preserve">diversity </w:t>
      </w:r>
      <w:r w:rsidR="00772F9E">
        <w:t xml:space="preserve">to </w:t>
      </w:r>
      <w:r>
        <w:t>‘identify the full range of features associated w</w:t>
      </w:r>
      <w:r w:rsidR="00543431">
        <w:t>ith the phenomenon being studied</w:t>
      </w:r>
      <w:r>
        <w:t>’</w:t>
      </w:r>
      <w:r w:rsidR="00AE5886">
        <w:t>,</w:t>
      </w:r>
      <w:r w:rsidR="00543431">
        <w:t xml:space="preserve"> as well as identifying those elements thought to be most important to allow</w:t>
      </w:r>
      <w:r w:rsidR="00772F9E">
        <w:t xml:space="preserve"> detailed exploration</w:t>
      </w:r>
      <w:r w:rsidR="00543431">
        <w:t xml:space="preserve"> </w:t>
      </w:r>
      <w:r w:rsidR="00543431">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543431">
        <w:fldChar w:fldCharType="separate"/>
      </w:r>
      <w:r w:rsidR="006102D5">
        <w:rPr>
          <w:noProof/>
        </w:rPr>
        <w:t>(Ritchie et al., 2014</w:t>
      </w:r>
      <w:r w:rsidR="00DC2684">
        <w:rPr>
          <w:noProof/>
        </w:rPr>
        <w:t>;</w:t>
      </w:r>
      <w:r w:rsidR="00543431">
        <w:fldChar w:fldCharType="end"/>
      </w:r>
      <w:r w:rsidR="00CB554F">
        <w:t xml:space="preserve"> p116</w:t>
      </w:r>
      <w:r w:rsidR="00AE5886">
        <w:t>)</w:t>
      </w:r>
      <w:r w:rsidR="00543431">
        <w:t xml:space="preserve">. </w:t>
      </w:r>
    </w:p>
    <w:p w14:paraId="5D3366F7" w14:textId="5F88C64E" w:rsidR="0035273C" w:rsidRDefault="00543431" w:rsidP="000C331F">
      <w:r>
        <w:t>The second feature</w:t>
      </w:r>
      <w:r w:rsidR="00CD31E8">
        <w:t>,</w:t>
      </w:r>
      <w:r>
        <w:t xml:space="preserve"> sample size, is generally small because if analysis is thorough, the richness of data means there is a lot of information</w:t>
      </w:r>
      <w:r w:rsidR="00CD31E8">
        <w:t>.</w:t>
      </w:r>
      <w:r>
        <w:t xml:space="preserve"> </w:t>
      </w:r>
      <w:r w:rsidR="00CD31E8">
        <w:t>D</w:t>
      </w:r>
      <w:r>
        <w:t xml:space="preserve">ata </w:t>
      </w:r>
      <w:r>
        <w:lastRenderedPageBreak/>
        <w:t xml:space="preserve">collection is intense and time consuming </w:t>
      </w:r>
      <w:r w:rsidR="00A23861">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A23861">
        <w:fldChar w:fldCharType="separate"/>
      </w:r>
      <w:r w:rsidR="006102D5">
        <w:rPr>
          <w:noProof/>
        </w:rPr>
        <w:t>(Ritchie et al., 2014</w:t>
      </w:r>
      <w:r w:rsidR="00DC2684">
        <w:rPr>
          <w:noProof/>
        </w:rPr>
        <w:t xml:space="preserve">; </w:t>
      </w:r>
      <w:r w:rsidR="00A23861">
        <w:fldChar w:fldCharType="end"/>
      </w:r>
      <w:r w:rsidR="00A23861">
        <w:t>p117).</w:t>
      </w:r>
      <w:r>
        <w:t xml:space="preserve"> </w:t>
      </w:r>
      <w:r w:rsidR="007137BA">
        <w:t xml:space="preserve">The concept of ‘saturation of themes’ relates to </w:t>
      </w:r>
      <w:r w:rsidR="00491A36">
        <w:t>exploring emergent themes fr</w:t>
      </w:r>
      <w:r w:rsidR="00CD31E8">
        <w:t>o</w:t>
      </w:r>
      <w:r w:rsidR="00491A36">
        <w:t>m data gathered until no new themes appear</w:t>
      </w:r>
      <w:r w:rsidR="00E1545B">
        <w:t>.</w:t>
      </w:r>
      <w:r w:rsidR="00461912">
        <w:t xml:space="preserve"> </w:t>
      </w:r>
    </w:p>
    <w:p w14:paraId="60FA157F" w14:textId="6D8B74D1" w:rsidR="000121E2" w:rsidRDefault="00A23861" w:rsidP="000C331F">
      <w:r>
        <w:t>Baker and Edwards (2012) report that the amount of data required depends mostly on factors such as</w:t>
      </w:r>
      <w:r w:rsidR="00AE5886">
        <w:t>:</w:t>
      </w:r>
      <w:r>
        <w:t xml:space="preserve"> ‘population heterogeneity’</w:t>
      </w:r>
      <w:r w:rsidR="00AE5886">
        <w:t xml:space="preserve"> -</w:t>
      </w:r>
      <w:r>
        <w:t xml:space="preserve"> if diverse, more interviews are likely to be required</w:t>
      </w:r>
      <w:r w:rsidR="00AE5886">
        <w:t>;</w:t>
      </w:r>
      <w:r>
        <w:t xml:space="preserve"> ‘selection criteria number’</w:t>
      </w:r>
      <w:r w:rsidR="00AE5886">
        <w:t xml:space="preserve"> -</w:t>
      </w:r>
      <w:r>
        <w:t xml:space="preserve"> the greater number</w:t>
      </w:r>
      <w:r w:rsidR="00AE5886">
        <w:t>,</w:t>
      </w:r>
      <w:r>
        <w:t xml:space="preserve"> the greater sample size required; the number of stakeholders</w:t>
      </w:r>
      <w:r w:rsidR="00AE5886">
        <w:t>; the</w:t>
      </w:r>
      <w:r>
        <w:t xml:space="preserve"> ‘type of data collection method’</w:t>
      </w:r>
      <w:r w:rsidR="00AE5886">
        <w:t xml:space="preserve"> -</w:t>
      </w:r>
      <w:r>
        <w:t xml:space="preserve"> interviews versus small group discussions</w:t>
      </w:r>
      <w:r w:rsidR="00AE5886">
        <w:t>,</w:t>
      </w:r>
      <w:r>
        <w:t xml:space="preserve"> and finally resources and budget</w:t>
      </w:r>
      <w:r w:rsidR="00AE5886">
        <w:t xml:space="preserve"> -</w:t>
      </w:r>
      <w:r>
        <w:t xml:space="preserve"> limit sample size (p117-118).</w:t>
      </w:r>
      <w:r w:rsidR="007137BA">
        <w:t xml:space="preserve"> </w:t>
      </w:r>
    </w:p>
    <w:p w14:paraId="291D203E" w14:textId="681E2310" w:rsidR="00F6188E" w:rsidRDefault="00187756" w:rsidP="00037685">
      <w:pPr>
        <w:pStyle w:val="Heading3"/>
      </w:pPr>
      <w:bookmarkStart w:id="104" w:name="_Toc419116115"/>
      <w:r>
        <w:t>Qualitative research: limitations</w:t>
      </w:r>
      <w:bookmarkEnd w:id="104"/>
    </w:p>
    <w:p w14:paraId="692C87CB" w14:textId="77777777" w:rsidR="00187756" w:rsidRPr="00187756" w:rsidRDefault="00187756"/>
    <w:p w14:paraId="5D6AAFD5" w14:textId="416FEF37" w:rsidR="00F6188E" w:rsidRDefault="00F6188E" w:rsidP="00F6188E">
      <w:r>
        <w:t>There is risk of bias by employing a social science view as described by Hampden-Turner (1970), who comments that a conservative approach ignores ‘important qualities’ within human behaviour that are individual. He believes this occurs because social scientists focus on the ‘repetitive, predicable, visible person aspects’, which exclude the ‘subjective world’</w:t>
      </w:r>
      <w:r w:rsidR="006F0C7D">
        <w:t xml:space="preserve"> </w:t>
      </w:r>
      <w:r>
        <w:fldChar w:fldCharType="begin"/>
      </w:r>
      <w:r>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fldChar w:fldCharType="separate"/>
      </w:r>
      <w:r>
        <w:rPr>
          <w:noProof/>
        </w:rPr>
        <w:t>(Cohen et al., 2000)</w:t>
      </w:r>
      <w:r>
        <w:fldChar w:fldCharType="end"/>
      </w:r>
      <w:r>
        <w:t xml:space="preserve">. By employing multiple </w:t>
      </w:r>
      <w:r w:rsidR="003A7D42">
        <w:t>methods of</w:t>
      </w:r>
      <w:r>
        <w:t xml:space="preserve"> data collection the researcher hoped to minimise this risk of bias. </w:t>
      </w:r>
    </w:p>
    <w:p w14:paraId="60E858E4" w14:textId="77777777" w:rsidR="00F6188E" w:rsidRDefault="00F6188E" w:rsidP="00F6188E">
      <w:r>
        <w:t xml:space="preserve">Care was taken to get enough data for saturation of themes, but not too much that data analysis was impossible. The use of computer added analysis tools (NVIVO) allowed for transparency and ability for supervisors to cross check emergent themes with ability to go back to the original data. </w:t>
      </w:r>
    </w:p>
    <w:p w14:paraId="4CA70CDA" w14:textId="516C6117" w:rsidR="00F6188E" w:rsidRDefault="00F6188E" w:rsidP="00F6188E">
      <w:r>
        <w:lastRenderedPageBreak/>
        <w:t xml:space="preserve">The ‘Hawthorne’ or observer effect, relates to whether participants would have behaved differently if the researcher was not present </w:t>
      </w:r>
      <w:r>
        <w:fldChar w:fldCharType="begin"/>
      </w:r>
      <w:r w:rsidR="006102D5">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fldChar w:fldCharType="separate"/>
      </w:r>
      <w:r w:rsidR="006102D5">
        <w:rPr>
          <w:noProof/>
        </w:rPr>
        <w:t>(Swanick, 2010</w:t>
      </w:r>
      <w:r w:rsidR="00DC2684">
        <w:rPr>
          <w:noProof/>
        </w:rPr>
        <w:t>;</w:t>
      </w:r>
      <w:r>
        <w:fldChar w:fldCharType="end"/>
      </w:r>
      <w:r w:rsidR="00FD553B">
        <w:t xml:space="preserve"> </w:t>
      </w:r>
      <w:r>
        <w:t>p331). This was considered at every stage of data collection and analysis. Planned steps taken to minimise this were: embedding self into the teaching environme</w:t>
      </w:r>
      <w:r w:rsidR="00857223">
        <w:t>nt as faculty and sitting with c</w:t>
      </w:r>
      <w:r>
        <w:t xml:space="preserve">andidates in breaks to allow extra time to build rapport trust and to break down the hierarchy. This recreational time allowed participants to check researcher stance surrounding simulation. </w:t>
      </w:r>
    </w:p>
    <w:p w14:paraId="3FA4E1DC" w14:textId="2FC00983" w:rsidR="00F6188E" w:rsidRDefault="00F6188E" w:rsidP="00F6188E">
      <w:r>
        <w:t xml:space="preserve">It has been argued that the use of coding qualitative data can oversimplify the complexity of collected data </w:t>
      </w:r>
      <w:r>
        <w:fldChar w:fldCharType="begin"/>
      </w:r>
      <w:r w:rsidR="006102D5">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fldChar w:fldCharType="separate"/>
      </w:r>
      <w:r w:rsidR="006102D5">
        <w:rPr>
          <w:noProof/>
        </w:rPr>
        <w:t>(Swanick, 2010</w:t>
      </w:r>
      <w:r w:rsidR="00DC2684">
        <w:rPr>
          <w:noProof/>
        </w:rPr>
        <w:t>;</w:t>
      </w:r>
      <w:r>
        <w:fldChar w:fldCharType="end"/>
      </w:r>
      <w:r w:rsidR="00FD553B">
        <w:t xml:space="preserve"> </w:t>
      </w:r>
      <w:r>
        <w:t>p3</w:t>
      </w:r>
      <w:r w:rsidR="00FD553B">
        <w:t>32</w:t>
      </w:r>
      <w:r>
        <w:t xml:space="preserve">). For this reason it is essential to be able to trace back to original data to provide transparency and a clear audit trail. Member checking, cross checking with peers and constant comparison has allowed this impact to be minimised. </w:t>
      </w:r>
    </w:p>
    <w:p w14:paraId="600A0001" w14:textId="1A8DEBC4" w:rsidR="00F6188E" w:rsidRPr="000C331F" w:rsidRDefault="00F6188E" w:rsidP="000C331F">
      <w:r>
        <w:t xml:space="preserve">Triangulation has received criticism from Silverman (1970) as being ‘positivistic by assuming multiple data sources are superior to a single data source or instrument’ and by replicating collection ‘violates the principles of emergence, fluidity, uniqueness and specificity’ </w:t>
      </w:r>
      <w:r>
        <w:fldChar w:fldCharType="begin"/>
      </w:r>
      <w:r w:rsidR="006102D5">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fldChar w:fldCharType="separate"/>
      </w:r>
      <w:r w:rsidR="006102D5">
        <w:rPr>
          <w:noProof/>
        </w:rPr>
        <w:t>(Cohen et al., 2000</w:t>
      </w:r>
      <w:r w:rsidR="00DC2684">
        <w:rPr>
          <w:noProof/>
        </w:rPr>
        <w:t>;</w:t>
      </w:r>
      <w:r>
        <w:fldChar w:fldCharType="end"/>
      </w:r>
      <w:r w:rsidR="00FD553B">
        <w:t xml:space="preserve"> p115</w:t>
      </w:r>
      <w:r>
        <w:t xml:space="preserve">, </w:t>
      </w:r>
      <w:r>
        <w:fldChar w:fldCharType="begin"/>
      </w:r>
      <w:r w:rsidR="006102D5">
        <w:instrText xml:space="preserve"> ADDIN EN.CITE &lt;EndNote&gt;&lt;Cite&gt;&lt;Author&gt;Denzin&lt;/Author&gt;&lt;Year&gt;1998&lt;/Year&gt;&lt;IDText&gt;Collecting and interpreting qualitative material&lt;/IDText&gt;&lt;DisplayText&gt;(Denzin and Lincoln, 1998)&lt;/DisplayText&gt;&lt;record&gt;&lt;titles&gt;&lt;title&gt;Collecting and interpreting qualitative material&lt;/title&gt;&lt;/titles&gt;&lt;contributors&gt;&lt;authors&gt;&lt;author&gt;Denzin, N K&lt;/author&gt;&lt;author&gt;Lincoln, Y S&lt;/author&gt;&lt;/authors&gt;&lt;/contributors&gt;&lt;added-date format="utc"&gt;1399928733&lt;/added-date&gt;&lt;pub-location&gt;Thousand Oaks, CA&lt;/pub-location&gt;&lt;ref-type name="Generic"&gt;13&lt;/ref-type&gt;&lt;dates&gt;&lt;year&gt;1998&lt;/year&gt;&lt;/dates&gt;&lt;rec-number&gt;84&lt;/rec-number&gt;&lt;publisher&gt;Sage&lt;/publisher&gt;&lt;last-updated-date format="utc"&gt;1399937123&lt;/last-updated-date&gt;&lt;/record&gt;&lt;/Cite&gt;&lt;/EndNote&gt;</w:instrText>
      </w:r>
      <w:r>
        <w:fldChar w:fldCharType="separate"/>
      </w:r>
      <w:r w:rsidR="006102D5">
        <w:rPr>
          <w:noProof/>
        </w:rPr>
        <w:t>Denzin and Lincoln, 1998)</w:t>
      </w:r>
      <w:r>
        <w:fldChar w:fldCharType="end"/>
      </w:r>
      <w:r>
        <w:t xml:space="preserve">. Lincoln and Guba (1985) argue that multiple theories will not fully explain a particular phenomenon and others argue that ‘methodological triangulation does not necessarily increase validity, reduce bias or bring objectivity’ </w:t>
      </w:r>
      <w:r>
        <w:fldChar w:fldCharType="begin"/>
      </w:r>
      <w:r w:rsidR="006102D5">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fldChar w:fldCharType="separate"/>
      </w:r>
      <w:r w:rsidR="006102D5">
        <w:rPr>
          <w:noProof/>
        </w:rPr>
        <w:t>(Cohen et al., 2000</w:t>
      </w:r>
      <w:r w:rsidR="00DC2684">
        <w:rPr>
          <w:noProof/>
        </w:rPr>
        <w:t>;</w:t>
      </w:r>
      <w:r>
        <w:fldChar w:fldCharType="end"/>
      </w:r>
      <w:r w:rsidR="00FD553B">
        <w:t xml:space="preserve"> p115</w:t>
      </w:r>
      <w:r>
        <w:t>).</w:t>
      </w:r>
    </w:p>
    <w:p w14:paraId="0351367F" w14:textId="02F04B1E" w:rsidR="00FB62B8" w:rsidRDefault="001E391A" w:rsidP="005367B9">
      <w:pPr>
        <w:pStyle w:val="Heading3"/>
      </w:pPr>
      <w:r>
        <w:t xml:space="preserve">    </w:t>
      </w:r>
      <w:bookmarkStart w:id="105" w:name="_Toc343501120"/>
      <w:bookmarkStart w:id="106" w:name="_Toc348686321"/>
      <w:bookmarkStart w:id="107" w:name="_Toc419116116"/>
      <w:r w:rsidR="003A7D42">
        <w:t>Qualitative</w:t>
      </w:r>
      <w:r w:rsidR="008E7172">
        <w:t xml:space="preserve"> research: </w:t>
      </w:r>
      <w:r w:rsidR="00173DE4">
        <w:t>focus group</w:t>
      </w:r>
      <w:r w:rsidR="00E830C5">
        <w:t>s</w:t>
      </w:r>
      <w:bookmarkEnd w:id="105"/>
      <w:bookmarkEnd w:id="106"/>
      <w:bookmarkEnd w:id="107"/>
      <w:r w:rsidR="00E830C5">
        <w:t xml:space="preserve"> </w:t>
      </w:r>
    </w:p>
    <w:p w14:paraId="24956B1C" w14:textId="77777777" w:rsidR="009B7D91" w:rsidRDefault="009B7D91" w:rsidP="00C06D1A">
      <w:pPr>
        <w:rPr>
          <w:rFonts w:cs="Arial"/>
          <w:szCs w:val="24"/>
        </w:rPr>
      </w:pPr>
    </w:p>
    <w:p w14:paraId="51F9EC13" w14:textId="2D693F8F" w:rsidR="00215484" w:rsidRDefault="00A331CA" w:rsidP="00C06D1A">
      <w:pPr>
        <w:rPr>
          <w:rFonts w:cs="Arial"/>
          <w:szCs w:val="24"/>
        </w:rPr>
      </w:pPr>
      <w:r>
        <w:rPr>
          <w:rFonts w:cs="Arial"/>
          <w:szCs w:val="24"/>
        </w:rPr>
        <w:lastRenderedPageBreak/>
        <w:t>F</w:t>
      </w:r>
      <w:r w:rsidR="00173DE4">
        <w:rPr>
          <w:rFonts w:cs="Arial"/>
          <w:szCs w:val="24"/>
        </w:rPr>
        <w:t>ocus group</w:t>
      </w:r>
      <w:r w:rsidR="00435866">
        <w:rPr>
          <w:rFonts w:cs="Arial"/>
          <w:szCs w:val="24"/>
        </w:rPr>
        <w:t xml:space="preserve">s are described simply as ‘group interviews’ </w:t>
      </w:r>
      <w:r w:rsidR="00435866">
        <w:rPr>
          <w:rFonts w:cs="Arial"/>
          <w:szCs w:val="24"/>
        </w:rPr>
        <w:fldChar w:fldCharType="begin"/>
      </w:r>
      <w:r w:rsidR="006102D5">
        <w:rPr>
          <w:rFonts w:cs="Arial"/>
          <w:szCs w:val="24"/>
        </w:rPr>
        <w:instrText xml:space="preserve"> ADDIN EN.CITE &lt;EndNote&gt;&lt;Cite&gt;&lt;Author&gt;Morgan&lt;/Author&gt;&lt;Year&gt;1997&lt;/Year&gt;&lt;IDText&gt;Focus groups as qualitative research&lt;/IDText&gt;&lt;DisplayText&gt;(Morgan, 1997)&lt;/DisplayText&gt;&lt;record&gt;&lt;titles&gt;&lt;title&gt;Focus groups as qualitative research&lt;/title&gt;&lt;secondary-title&gt;Qualitative Research Methods Series&lt;/secondary-title&gt;&lt;/titles&gt;&lt;contributors&gt;&lt;authors&gt;&lt;author&gt;Morgan, David L&lt;/author&gt;&lt;/authors&gt;&lt;/contributors&gt;&lt;edition&gt;2nd&lt;/edition&gt;&lt;added-date format="utc"&gt;1401118285&lt;/added-date&gt;&lt;pub-location&gt;Thousand Oaks, CA&lt;/pub-location&gt;&lt;ref-type name="Book"&gt;6&lt;/ref-type&gt;&lt;dates&gt;&lt;year&gt;1997&lt;/year&gt;&lt;/dates&gt;&lt;rec-number&gt;149&lt;/rec-number&gt;&lt;publisher&gt;Sage&lt;/publisher&gt;&lt;last-updated-date format="utc"&gt;1401118446&lt;/last-updated-date&gt;&lt;volume&gt;16&lt;/volume&gt;&lt;/record&gt;&lt;/Cite&gt;&lt;/EndNote&gt;</w:instrText>
      </w:r>
      <w:r w:rsidR="00435866">
        <w:rPr>
          <w:rFonts w:cs="Arial"/>
          <w:szCs w:val="24"/>
        </w:rPr>
        <w:fldChar w:fldCharType="separate"/>
      </w:r>
      <w:r w:rsidR="006102D5">
        <w:rPr>
          <w:rFonts w:cs="Arial"/>
          <w:noProof/>
          <w:szCs w:val="24"/>
        </w:rPr>
        <w:t>(Morgan, 1997</w:t>
      </w:r>
      <w:r w:rsidR="00DC2684">
        <w:rPr>
          <w:rFonts w:cs="Arial"/>
          <w:noProof/>
          <w:szCs w:val="24"/>
        </w:rPr>
        <w:t xml:space="preserve">; </w:t>
      </w:r>
      <w:r w:rsidR="00435866">
        <w:rPr>
          <w:rFonts w:cs="Arial"/>
          <w:szCs w:val="24"/>
        </w:rPr>
        <w:fldChar w:fldCharType="end"/>
      </w:r>
      <w:r w:rsidR="00FD553B">
        <w:rPr>
          <w:rFonts w:cs="Arial"/>
          <w:szCs w:val="24"/>
        </w:rPr>
        <w:t>p 2</w:t>
      </w:r>
      <w:r w:rsidR="007C68F3">
        <w:rPr>
          <w:rFonts w:cs="Arial"/>
          <w:szCs w:val="24"/>
        </w:rPr>
        <w:t>)</w:t>
      </w:r>
      <w:r w:rsidR="00435866">
        <w:rPr>
          <w:rFonts w:cs="Arial"/>
          <w:szCs w:val="24"/>
        </w:rPr>
        <w:t>.</w:t>
      </w:r>
      <w:r>
        <w:rPr>
          <w:rFonts w:cs="Arial"/>
          <w:szCs w:val="24"/>
        </w:rPr>
        <w:t xml:space="preserve"> </w:t>
      </w:r>
      <w:r w:rsidR="00435866">
        <w:rPr>
          <w:rFonts w:cs="Arial"/>
          <w:szCs w:val="24"/>
        </w:rPr>
        <w:t>The reliance is on the ‘interaction within the group’</w:t>
      </w:r>
      <w:r w:rsidR="007C68F3">
        <w:rPr>
          <w:rFonts w:cs="Arial"/>
          <w:szCs w:val="24"/>
        </w:rPr>
        <w:t>,</w:t>
      </w:r>
      <w:r w:rsidR="00435866">
        <w:rPr>
          <w:rFonts w:cs="Arial"/>
          <w:szCs w:val="24"/>
        </w:rPr>
        <w:t xml:space="preserve"> based on researcher</w:t>
      </w:r>
      <w:r w:rsidR="007C68F3">
        <w:rPr>
          <w:rFonts w:cs="Arial"/>
          <w:szCs w:val="24"/>
        </w:rPr>
        <w:t>-</w:t>
      </w:r>
      <w:r w:rsidR="00435866">
        <w:rPr>
          <w:rFonts w:cs="Arial"/>
          <w:szCs w:val="24"/>
        </w:rPr>
        <w:t>generated and shared topics</w:t>
      </w:r>
      <w:r w:rsidR="007C68F3">
        <w:rPr>
          <w:rFonts w:cs="Arial"/>
          <w:szCs w:val="24"/>
        </w:rPr>
        <w:t>,</w:t>
      </w:r>
      <w:r w:rsidR="00435866">
        <w:rPr>
          <w:rFonts w:cs="Arial"/>
          <w:szCs w:val="24"/>
        </w:rPr>
        <w:t xml:space="preserve"> which leads to ‘data and insights that would be less accessible without the interaction found in a group’ </w:t>
      </w:r>
      <w:r w:rsidR="00435866">
        <w:rPr>
          <w:rFonts w:cs="Arial"/>
          <w:szCs w:val="24"/>
        </w:rPr>
        <w:fldChar w:fldCharType="begin"/>
      </w:r>
      <w:r w:rsidR="00435866">
        <w:rPr>
          <w:rFonts w:cs="Arial"/>
          <w:szCs w:val="24"/>
        </w:rPr>
        <w:instrText xml:space="preserve"> ADDIN EN.CITE &lt;EndNote&gt;&lt;Cite&gt;&lt;Author&gt;Morgan&lt;/Author&gt;&lt;Year&gt;1997&lt;/Year&gt;&lt;IDText&gt;Focus groups as qualitative research&lt;/IDText&gt;&lt;DisplayText&gt;(Morgan, 1997)&lt;/DisplayText&gt;&lt;record&gt;&lt;titles&gt;&lt;title&gt;Focus groups as qualitative research&lt;/title&gt;&lt;secondary-title&gt;Qualitative Research Methods Series&lt;/secondary-title&gt;&lt;/titles&gt;&lt;contributors&gt;&lt;authors&gt;&lt;author&gt;Morgan, David L&lt;/author&gt;&lt;/authors&gt;&lt;/contributors&gt;&lt;edition&gt;2nd&lt;/edition&gt;&lt;added-date format="utc"&gt;1401118285&lt;/added-date&gt;&lt;pub-location&gt;Thousand Oaks, CA&lt;/pub-location&gt;&lt;ref-type name="Book"&gt;6&lt;/ref-type&gt;&lt;dates&gt;&lt;year&gt;1997&lt;/year&gt;&lt;/dates&gt;&lt;rec-number&gt;149&lt;/rec-number&gt;&lt;publisher&gt;Sage&lt;/publisher&gt;&lt;last-updated-date format="utc"&gt;1401118446&lt;/last-updated-date&gt;&lt;volume&gt;16&lt;/volume&gt;&lt;/record&gt;&lt;/Cite&gt;&lt;/EndNote&gt;</w:instrText>
      </w:r>
      <w:r w:rsidR="00435866">
        <w:rPr>
          <w:rFonts w:cs="Arial"/>
          <w:szCs w:val="24"/>
        </w:rPr>
        <w:fldChar w:fldCharType="separate"/>
      </w:r>
      <w:r w:rsidR="00435866">
        <w:rPr>
          <w:rFonts w:cs="Arial"/>
          <w:noProof/>
          <w:szCs w:val="24"/>
        </w:rPr>
        <w:t>(Morgan, 1997)</w:t>
      </w:r>
      <w:r w:rsidR="00435866">
        <w:rPr>
          <w:rFonts w:cs="Arial"/>
          <w:szCs w:val="24"/>
        </w:rPr>
        <w:fldChar w:fldCharType="end"/>
      </w:r>
      <w:r w:rsidR="00435866">
        <w:rPr>
          <w:rFonts w:cs="Arial"/>
          <w:szCs w:val="24"/>
        </w:rPr>
        <w:t xml:space="preserve">. </w:t>
      </w:r>
      <w:r w:rsidR="00B2319C">
        <w:rPr>
          <w:rFonts w:cs="Arial"/>
          <w:szCs w:val="24"/>
        </w:rPr>
        <w:t xml:space="preserve">The data generated ‘are based on verbal communication and spoken narratives’, </w:t>
      </w:r>
      <w:r w:rsidR="00390B2D">
        <w:rPr>
          <w:rFonts w:cs="Arial"/>
          <w:szCs w:val="24"/>
        </w:rPr>
        <w:t xml:space="preserve">founded </w:t>
      </w:r>
      <w:r w:rsidR="00B2319C">
        <w:rPr>
          <w:rFonts w:cs="Arial"/>
          <w:szCs w:val="24"/>
        </w:rPr>
        <w:t>on the understanding that the ‘participants are individuals who actively construct their social worlds and can communicate insight about it verbally</w:t>
      </w:r>
      <w:r w:rsidR="00435866">
        <w:rPr>
          <w:rFonts w:cs="Arial"/>
          <w:szCs w:val="24"/>
        </w:rPr>
        <w:t>’</w:t>
      </w:r>
      <w:r w:rsidR="00B2319C">
        <w:rPr>
          <w:rFonts w:cs="Arial"/>
          <w:szCs w:val="24"/>
        </w:rPr>
        <w:t xml:space="preserve"> </w:t>
      </w:r>
      <w:r w:rsidR="00B2319C">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B2319C">
        <w:rPr>
          <w:rFonts w:cs="Arial"/>
          <w:szCs w:val="24"/>
        </w:rPr>
        <w:fldChar w:fldCharType="separate"/>
      </w:r>
      <w:r w:rsidR="006102D5">
        <w:rPr>
          <w:rFonts w:cs="Arial"/>
          <w:noProof/>
          <w:szCs w:val="24"/>
        </w:rPr>
        <w:t>(Ritchie et al., 2014</w:t>
      </w:r>
      <w:r w:rsidR="00DC2684">
        <w:rPr>
          <w:rFonts w:cs="Arial"/>
          <w:noProof/>
          <w:szCs w:val="24"/>
        </w:rPr>
        <w:t xml:space="preserve">; </w:t>
      </w:r>
      <w:r w:rsidR="00B2319C">
        <w:rPr>
          <w:rFonts w:cs="Arial"/>
          <w:szCs w:val="24"/>
        </w:rPr>
        <w:fldChar w:fldCharType="end"/>
      </w:r>
      <w:r w:rsidR="00FD553B">
        <w:rPr>
          <w:rFonts w:cs="Arial"/>
          <w:szCs w:val="24"/>
        </w:rPr>
        <w:t>p55</w:t>
      </w:r>
      <w:r w:rsidR="00390B2D">
        <w:rPr>
          <w:rFonts w:cs="Arial"/>
          <w:szCs w:val="24"/>
        </w:rPr>
        <w:t>)</w:t>
      </w:r>
      <w:r w:rsidR="00B2319C">
        <w:rPr>
          <w:rFonts w:cs="Arial"/>
          <w:szCs w:val="24"/>
        </w:rPr>
        <w:t xml:space="preserve">. </w:t>
      </w:r>
      <w:r w:rsidR="00E10615">
        <w:rPr>
          <w:rFonts w:cs="Arial"/>
          <w:szCs w:val="24"/>
        </w:rPr>
        <w:t>The group should represent the population being studied to allow transfer</w:t>
      </w:r>
      <w:r w:rsidR="00435866">
        <w:rPr>
          <w:rFonts w:cs="Arial"/>
          <w:szCs w:val="24"/>
        </w:rPr>
        <w:t>ability</w:t>
      </w:r>
      <w:r w:rsidR="00E10615">
        <w:rPr>
          <w:rFonts w:cs="Arial"/>
          <w:szCs w:val="24"/>
        </w:rPr>
        <w:t xml:space="preserve">. </w:t>
      </w:r>
    </w:p>
    <w:p w14:paraId="7573992C" w14:textId="202DB34C" w:rsidR="00264BB2" w:rsidRDefault="00B2319C" w:rsidP="00E10615">
      <w:pPr>
        <w:rPr>
          <w:rFonts w:cs="Arial"/>
          <w:szCs w:val="24"/>
        </w:rPr>
      </w:pPr>
      <w:r>
        <w:rPr>
          <w:rFonts w:cs="Arial"/>
          <w:szCs w:val="24"/>
        </w:rPr>
        <w:t>The strength of this method lies in</w:t>
      </w:r>
      <w:r w:rsidR="00390B2D">
        <w:rPr>
          <w:rFonts w:cs="Arial"/>
          <w:szCs w:val="24"/>
        </w:rPr>
        <w:t xml:space="preserve"> the</w:t>
      </w:r>
      <w:r>
        <w:rPr>
          <w:rFonts w:cs="Arial"/>
          <w:szCs w:val="24"/>
        </w:rPr>
        <w:t xml:space="preserve"> </w:t>
      </w:r>
      <w:r w:rsidR="00435866">
        <w:rPr>
          <w:rFonts w:cs="Arial"/>
          <w:szCs w:val="24"/>
        </w:rPr>
        <w:t>generation of</w:t>
      </w:r>
      <w:r>
        <w:rPr>
          <w:rFonts w:cs="Arial"/>
          <w:szCs w:val="24"/>
        </w:rPr>
        <w:t xml:space="preserve"> rich accounts</w:t>
      </w:r>
      <w:r w:rsidR="00E74819">
        <w:rPr>
          <w:rFonts w:cs="Arial"/>
          <w:szCs w:val="24"/>
        </w:rPr>
        <w:t xml:space="preserve"> and</w:t>
      </w:r>
      <w:r>
        <w:rPr>
          <w:rFonts w:cs="Arial"/>
          <w:szCs w:val="24"/>
        </w:rPr>
        <w:t xml:space="preserve"> the interplay between group members</w:t>
      </w:r>
      <w:r w:rsidR="00E74819">
        <w:rPr>
          <w:rFonts w:cs="Arial"/>
          <w:szCs w:val="24"/>
        </w:rPr>
        <w:t xml:space="preserve">. Interactions are more likely to lead to a clearer description of </w:t>
      </w:r>
      <w:r w:rsidR="00390B2D">
        <w:rPr>
          <w:rFonts w:cs="Arial"/>
          <w:szCs w:val="24"/>
        </w:rPr>
        <w:t xml:space="preserve">an </w:t>
      </w:r>
      <w:r w:rsidR="00E74819">
        <w:rPr>
          <w:rFonts w:cs="Arial"/>
          <w:szCs w:val="24"/>
        </w:rPr>
        <w:t xml:space="preserve">individual’s own frame of reference related to the phenomenon being researched </w:t>
      </w:r>
      <w:r w:rsidR="00E74819">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E74819">
        <w:rPr>
          <w:rFonts w:cs="Arial"/>
          <w:szCs w:val="24"/>
        </w:rPr>
        <w:fldChar w:fldCharType="separate"/>
      </w:r>
      <w:r w:rsidR="006102D5">
        <w:rPr>
          <w:rFonts w:cs="Arial"/>
          <w:noProof/>
          <w:szCs w:val="24"/>
        </w:rPr>
        <w:t>(Ritchie et al., 2014</w:t>
      </w:r>
      <w:r w:rsidR="00DC2684">
        <w:rPr>
          <w:rFonts w:cs="Arial"/>
          <w:noProof/>
          <w:szCs w:val="24"/>
        </w:rPr>
        <w:t xml:space="preserve">; </w:t>
      </w:r>
      <w:r w:rsidR="00E74819">
        <w:rPr>
          <w:rFonts w:cs="Arial"/>
          <w:szCs w:val="24"/>
        </w:rPr>
        <w:fldChar w:fldCharType="end"/>
      </w:r>
      <w:r w:rsidR="00376ACA">
        <w:rPr>
          <w:rFonts w:cs="Arial"/>
          <w:szCs w:val="24"/>
        </w:rPr>
        <w:t>p213</w:t>
      </w:r>
      <w:r w:rsidR="00390B2D">
        <w:rPr>
          <w:rFonts w:cs="Arial"/>
          <w:szCs w:val="24"/>
        </w:rPr>
        <w:t>)</w:t>
      </w:r>
      <w:r w:rsidR="00E74819">
        <w:rPr>
          <w:rFonts w:cs="Arial"/>
          <w:szCs w:val="24"/>
        </w:rPr>
        <w:t>.</w:t>
      </w:r>
      <w:r>
        <w:rPr>
          <w:rFonts w:cs="Arial"/>
          <w:szCs w:val="24"/>
        </w:rPr>
        <w:t xml:space="preserve"> </w:t>
      </w:r>
      <w:r w:rsidR="003A5253">
        <w:rPr>
          <w:rFonts w:cs="Arial"/>
          <w:szCs w:val="24"/>
        </w:rPr>
        <w:t>Participants are able to ‘listen to each other and reflect’ on the discussion</w:t>
      </w:r>
      <w:r w:rsidR="00E74819">
        <w:rPr>
          <w:rFonts w:cs="Arial"/>
          <w:szCs w:val="24"/>
        </w:rPr>
        <w:t>, question and clarify,</w:t>
      </w:r>
      <w:r w:rsidR="003A5253">
        <w:rPr>
          <w:rFonts w:cs="Arial"/>
          <w:szCs w:val="24"/>
        </w:rPr>
        <w:t xml:space="preserve"> then share their own views and opinions. </w:t>
      </w:r>
      <w:r w:rsidR="00E74819">
        <w:rPr>
          <w:rFonts w:cs="Arial"/>
          <w:szCs w:val="24"/>
        </w:rPr>
        <w:t>D</w:t>
      </w:r>
      <w:r w:rsidR="003A5253">
        <w:rPr>
          <w:rFonts w:cs="Arial"/>
          <w:szCs w:val="24"/>
        </w:rPr>
        <w:t>uring this collective process</w:t>
      </w:r>
      <w:r w:rsidR="00E74819">
        <w:rPr>
          <w:rFonts w:cs="Arial"/>
          <w:szCs w:val="24"/>
        </w:rPr>
        <w:t>,</w:t>
      </w:r>
      <w:r w:rsidR="003A5253">
        <w:rPr>
          <w:rFonts w:cs="Arial"/>
          <w:szCs w:val="24"/>
        </w:rPr>
        <w:t xml:space="preserve"> responses are said to become ‘deeper and more considered’ </w:t>
      </w:r>
      <w:r w:rsidR="003A5253">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3A5253">
        <w:rPr>
          <w:rFonts w:cs="Arial"/>
          <w:szCs w:val="24"/>
        </w:rPr>
        <w:fldChar w:fldCharType="separate"/>
      </w:r>
      <w:r w:rsidR="006102D5">
        <w:rPr>
          <w:rFonts w:cs="Arial"/>
          <w:noProof/>
          <w:szCs w:val="24"/>
        </w:rPr>
        <w:t>(Ritchie et al., 2014</w:t>
      </w:r>
      <w:r w:rsidR="00DC2684">
        <w:rPr>
          <w:rFonts w:cs="Arial"/>
          <w:noProof/>
          <w:szCs w:val="24"/>
        </w:rPr>
        <w:t>;</w:t>
      </w:r>
      <w:r w:rsidR="003A5253">
        <w:rPr>
          <w:rFonts w:cs="Arial"/>
          <w:szCs w:val="24"/>
        </w:rPr>
        <w:fldChar w:fldCharType="end"/>
      </w:r>
      <w:r w:rsidR="00376ACA">
        <w:rPr>
          <w:rFonts w:cs="Arial"/>
          <w:szCs w:val="24"/>
        </w:rPr>
        <w:t xml:space="preserve"> </w:t>
      </w:r>
      <w:r w:rsidR="003A5253">
        <w:rPr>
          <w:rFonts w:cs="Arial"/>
          <w:szCs w:val="24"/>
        </w:rPr>
        <w:t>p212).</w:t>
      </w:r>
      <w:r w:rsidR="00264BB2">
        <w:rPr>
          <w:rFonts w:cs="Arial"/>
          <w:szCs w:val="24"/>
        </w:rPr>
        <w:t xml:space="preserve"> Because </w:t>
      </w:r>
      <w:r w:rsidR="00E74819">
        <w:rPr>
          <w:rFonts w:cs="Arial"/>
          <w:szCs w:val="24"/>
        </w:rPr>
        <w:t xml:space="preserve">of this, </w:t>
      </w:r>
      <w:r w:rsidR="00264BB2">
        <w:rPr>
          <w:rFonts w:cs="Arial"/>
          <w:szCs w:val="24"/>
        </w:rPr>
        <w:t>the environment can become more natural than in a single one</w:t>
      </w:r>
      <w:r w:rsidR="00390B2D">
        <w:rPr>
          <w:rFonts w:cs="Arial"/>
          <w:szCs w:val="24"/>
        </w:rPr>
        <w:t>-</w:t>
      </w:r>
      <w:r w:rsidR="00264BB2">
        <w:rPr>
          <w:rFonts w:cs="Arial"/>
          <w:szCs w:val="24"/>
        </w:rPr>
        <w:t>to</w:t>
      </w:r>
      <w:r w:rsidR="00390B2D">
        <w:rPr>
          <w:rFonts w:cs="Arial"/>
          <w:szCs w:val="24"/>
        </w:rPr>
        <w:t>-</w:t>
      </w:r>
      <w:r w:rsidR="00264BB2">
        <w:rPr>
          <w:rFonts w:cs="Arial"/>
          <w:szCs w:val="24"/>
        </w:rPr>
        <w:t xml:space="preserve">one interview. </w:t>
      </w:r>
    </w:p>
    <w:p w14:paraId="1440D74C" w14:textId="2673A696" w:rsidR="00215484" w:rsidRDefault="00E74819" w:rsidP="00E10615">
      <w:pPr>
        <w:rPr>
          <w:rFonts w:cs="Arial"/>
          <w:szCs w:val="24"/>
        </w:rPr>
      </w:pPr>
      <w:r>
        <w:rPr>
          <w:rFonts w:cs="Arial"/>
          <w:szCs w:val="24"/>
        </w:rPr>
        <w:t>G</w:t>
      </w:r>
      <w:r w:rsidR="00B2319C">
        <w:rPr>
          <w:rFonts w:cs="Arial"/>
          <w:szCs w:val="24"/>
        </w:rPr>
        <w:t xml:space="preserve">roup dynamics can influence conversations, so </w:t>
      </w:r>
      <w:r>
        <w:rPr>
          <w:rFonts w:cs="Arial"/>
          <w:szCs w:val="24"/>
        </w:rPr>
        <w:t xml:space="preserve">requires management by the facilitator </w:t>
      </w:r>
      <w:r w:rsidR="00B2319C">
        <w:rPr>
          <w:rFonts w:cs="Arial"/>
          <w:szCs w:val="24"/>
        </w:rPr>
        <w:t>to</w:t>
      </w:r>
      <w:r>
        <w:rPr>
          <w:rFonts w:cs="Arial"/>
          <w:szCs w:val="24"/>
        </w:rPr>
        <w:t xml:space="preserve"> allow</w:t>
      </w:r>
      <w:r w:rsidR="00B2319C">
        <w:rPr>
          <w:rFonts w:cs="Arial"/>
          <w:szCs w:val="24"/>
        </w:rPr>
        <w:t xml:space="preserve"> a bal</w:t>
      </w:r>
      <w:r w:rsidR="00EB339E">
        <w:rPr>
          <w:rFonts w:cs="Arial"/>
          <w:szCs w:val="24"/>
        </w:rPr>
        <w:t>anced view and a fair opportunity for all</w:t>
      </w:r>
      <w:r w:rsidR="003A5253">
        <w:rPr>
          <w:rFonts w:cs="Arial"/>
          <w:szCs w:val="24"/>
        </w:rPr>
        <w:t xml:space="preserve">. </w:t>
      </w:r>
      <w:r w:rsidR="00215484">
        <w:rPr>
          <w:rFonts w:cs="Arial"/>
          <w:szCs w:val="24"/>
        </w:rPr>
        <w:t xml:space="preserve">By running </w:t>
      </w:r>
      <w:r w:rsidR="00173DE4">
        <w:rPr>
          <w:rFonts w:cs="Arial"/>
          <w:szCs w:val="24"/>
        </w:rPr>
        <w:t>focus group</w:t>
      </w:r>
      <w:r w:rsidR="00215484">
        <w:rPr>
          <w:rFonts w:cs="Arial"/>
          <w:szCs w:val="24"/>
        </w:rPr>
        <w:t>s at the end of each teaching intervention</w:t>
      </w:r>
      <w:r>
        <w:rPr>
          <w:rFonts w:cs="Arial"/>
          <w:szCs w:val="24"/>
        </w:rPr>
        <w:t xml:space="preserve">, the </w:t>
      </w:r>
      <w:r w:rsidR="00215484">
        <w:rPr>
          <w:rFonts w:cs="Arial"/>
          <w:szCs w:val="24"/>
        </w:rPr>
        <w:t>students had</w:t>
      </w:r>
      <w:r w:rsidR="00390B2D">
        <w:rPr>
          <w:rFonts w:cs="Arial"/>
          <w:szCs w:val="24"/>
        </w:rPr>
        <w:t xml:space="preserve"> already</w:t>
      </w:r>
      <w:r w:rsidR="00215484">
        <w:rPr>
          <w:rFonts w:cs="Arial"/>
          <w:szCs w:val="24"/>
        </w:rPr>
        <w:t xml:space="preserve"> buil</w:t>
      </w:r>
      <w:r w:rsidR="00520A58">
        <w:rPr>
          <w:rFonts w:cs="Arial"/>
          <w:szCs w:val="24"/>
        </w:rPr>
        <w:t>t</w:t>
      </w:r>
      <w:r w:rsidR="00215484">
        <w:rPr>
          <w:rFonts w:cs="Arial"/>
          <w:szCs w:val="24"/>
        </w:rPr>
        <w:t xml:space="preserve"> a rapport and learn</w:t>
      </w:r>
      <w:r w:rsidR="00520A58">
        <w:rPr>
          <w:rFonts w:cs="Arial"/>
          <w:szCs w:val="24"/>
        </w:rPr>
        <w:t>t</w:t>
      </w:r>
      <w:r w:rsidR="00215484">
        <w:rPr>
          <w:rFonts w:cs="Arial"/>
          <w:szCs w:val="24"/>
        </w:rPr>
        <w:t xml:space="preserve"> to support each other through the scenarios</w:t>
      </w:r>
      <w:r w:rsidR="00390B2D">
        <w:rPr>
          <w:rFonts w:cs="Arial"/>
          <w:szCs w:val="24"/>
        </w:rPr>
        <w:t>.</w:t>
      </w:r>
      <w:r w:rsidR="00215484">
        <w:rPr>
          <w:rFonts w:cs="Arial"/>
          <w:szCs w:val="24"/>
        </w:rPr>
        <w:t xml:space="preserve"> </w:t>
      </w:r>
      <w:r w:rsidR="00390B2D">
        <w:rPr>
          <w:rFonts w:cs="Arial"/>
          <w:szCs w:val="24"/>
        </w:rPr>
        <w:t>T</w:t>
      </w:r>
      <w:r w:rsidR="00215484">
        <w:rPr>
          <w:rFonts w:cs="Arial"/>
          <w:szCs w:val="24"/>
        </w:rPr>
        <w:t>his trust appeared to allow free</w:t>
      </w:r>
      <w:r w:rsidR="00390B2D">
        <w:rPr>
          <w:rFonts w:cs="Arial"/>
          <w:szCs w:val="24"/>
        </w:rPr>
        <w:t>-</w:t>
      </w:r>
      <w:r w:rsidR="00215484">
        <w:rPr>
          <w:rFonts w:cs="Arial"/>
          <w:szCs w:val="24"/>
        </w:rPr>
        <w:t xml:space="preserve">flowing </w:t>
      </w:r>
      <w:r w:rsidR="00511ED1">
        <w:rPr>
          <w:rFonts w:cs="Arial"/>
          <w:szCs w:val="24"/>
        </w:rPr>
        <w:t>conversation. The</w:t>
      </w:r>
      <w:r w:rsidR="00520A58">
        <w:rPr>
          <w:rFonts w:cs="Arial"/>
          <w:szCs w:val="24"/>
        </w:rPr>
        <w:t xml:space="preserve"> </w:t>
      </w:r>
      <w:r w:rsidR="00173DE4">
        <w:rPr>
          <w:rFonts w:cs="Arial"/>
          <w:szCs w:val="24"/>
        </w:rPr>
        <w:t>focus group</w:t>
      </w:r>
      <w:r w:rsidR="00520A58">
        <w:rPr>
          <w:rFonts w:cs="Arial"/>
          <w:szCs w:val="24"/>
        </w:rPr>
        <w:t>s allowed</w:t>
      </w:r>
      <w:r w:rsidR="00390B2D">
        <w:rPr>
          <w:rFonts w:cs="Arial"/>
          <w:szCs w:val="24"/>
        </w:rPr>
        <w:t xml:space="preserve"> for</w:t>
      </w:r>
      <w:r w:rsidR="00520A58">
        <w:rPr>
          <w:rFonts w:cs="Arial"/>
          <w:szCs w:val="24"/>
        </w:rPr>
        <w:t xml:space="preserve"> a safe place to listen to others, challenge own thoughts and allow refinement of </w:t>
      </w:r>
      <w:r w:rsidR="00520A58">
        <w:rPr>
          <w:rFonts w:cs="Arial"/>
          <w:szCs w:val="24"/>
        </w:rPr>
        <w:lastRenderedPageBreak/>
        <w:t>views. Ritchie et al. (2014) reports that it can be easier to explain or account for own attitudes when individuals ‘hear different attitudes’</w:t>
      </w:r>
      <w:r w:rsidR="00390B2D">
        <w:rPr>
          <w:rFonts w:cs="Arial"/>
          <w:szCs w:val="24"/>
        </w:rPr>
        <w:t xml:space="preserve"> </w:t>
      </w:r>
      <w:r w:rsidR="00520A58">
        <w:rPr>
          <w:rFonts w:cs="Arial"/>
          <w:szCs w:val="24"/>
        </w:rPr>
        <w:fldChar w:fldCharType="begin"/>
      </w:r>
      <w:r w:rsidR="00520A58">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520A58">
        <w:rPr>
          <w:rFonts w:cs="Arial"/>
          <w:szCs w:val="24"/>
        </w:rPr>
        <w:fldChar w:fldCharType="separate"/>
      </w:r>
      <w:r w:rsidR="00520A58">
        <w:rPr>
          <w:rFonts w:cs="Arial"/>
          <w:noProof/>
          <w:szCs w:val="24"/>
        </w:rPr>
        <w:t>(Ritchie et</w:t>
      </w:r>
      <w:r w:rsidR="00DC2684">
        <w:rPr>
          <w:rFonts w:cs="Arial"/>
          <w:noProof/>
          <w:szCs w:val="24"/>
        </w:rPr>
        <w:t xml:space="preserve"> al.</w:t>
      </w:r>
      <w:r w:rsidR="00520A58">
        <w:rPr>
          <w:rFonts w:cs="Arial"/>
          <w:noProof/>
          <w:szCs w:val="24"/>
        </w:rPr>
        <w:t xml:space="preserve"> 2014)</w:t>
      </w:r>
      <w:r w:rsidR="00520A58">
        <w:rPr>
          <w:rFonts w:cs="Arial"/>
          <w:szCs w:val="24"/>
        </w:rPr>
        <w:fldChar w:fldCharType="end"/>
      </w:r>
      <w:r w:rsidR="00520A58">
        <w:rPr>
          <w:rFonts w:cs="Arial"/>
          <w:szCs w:val="24"/>
        </w:rPr>
        <w:t xml:space="preserve">. </w:t>
      </w:r>
      <w:r w:rsidR="003A7D42">
        <w:rPr>
          <w:rFonts w:cs="Arial"/>
          <w:szCs w:val="24"/>
        </w:rPr>
        <w:t>Focus</w:t>
      </w:r>
      <w:r w:rsidR="00173DE4">
        <w:rPr>
          <w:rFonts w:cs="Arial"/>
          <w:szCs w:val="24"/>
        </w:rPr>
        <w:t xml:space="preserve"> group</w:t>
      </w:r>
      <w:r w:rsidR="00520A58">
        <w:rPr>
          <w:rFonts w:cs="Arial"/>
          <w:szCs w:val="24"/>
        </w:rPr>
        <w:t>s also allow ‘group context to vividly display differences between participants’</w:t>
      </w:r>
      <w:r w:rsidR="00390B2D">
        <w:rPr>
          <w:rFonts w:cs="Arial"/>
          <w:szCs w:val="24"/>
        </w:rPr>
        <w:t>,</w:t>
      </w:r>
      <w:r w:rsidR="00520A58">
        <w:rPr>
          <w:rFonts w:cs="Arial"/>
          <w:szCs w:val="24"/>
        </w:rPr>
        <w:t xml:space="preserve"> which can then be ‘explicitly and deliberately discussed’ </w:t>
      </w:r>
      <w:r w:rsidR="00520A58">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520A58">
        <w:rPr>
          <w:rFonts w:cs="Arial"/>
          <w:szCs w:val="24"/>
        </w:rPr>
        <w:fldChar w:fldCharType="separate"/>
      </w:r>
      <w:r w:rsidR="006102D5">
        <w:rPr>
          <w:rFonts w:cs="Arial"/>
          <w:noProof/>
          <w:szCs w:val="24"/>
        </w:rPr>
        <w:t>(Ritchie et al., 2014</w:t>
      </w:r>
      <w:r w:rsidR="00DC2684">
        <w:rPr>
          <w:rFonts w:cs="Arial"/>
          <w:noProof/>
          <w:szCs w:val="24"/>
        </w:rPr>
        <w:t>;</w:t>
      </w:r>
      <w:r w:rsidR="00520A58">
        <w:rPr>
          <w:rFonts w:cs="Arial"/>
          <w:szCs w:val="24"/>
        </w:rPr>
        <w:fldChar w:fldCharType="end"/>
      </w:r>
      <w:r w:rsidR="00376ACA">
        <w:rPr>
          <w:rFonts w:cs="Arial"/>
          <w:szCs w:val="24"/>
        </w:rPr>
        <w:t xml:space="preserve"> p56</w:t>
      </w:r>
      <w:r w:rsidR="00390B2D">
        <w:rPr>
          <w:rFonts w:cs="Arial"/>
          <w:szCs w:val="24"/>
        </w:rPr>
        <w:t>)</w:t>
      </w:r>
      <w:r w:rsidR="00520A58">
        <w:rPr>
          <w:rFonts w:cs="Arial"/>
          <w:szCs w:val="24"/>
        </w:rPr>
        <w:t xml:space="preserve">. </w:t>
      </w:r>
    </w:p>
    <w:p w14:paraId="08AF703E" w14:textId="2526D8CE" w:rsidR="00B2319C" w:rsidRDefault="00B2319C" w:rsidP="00E10615">
      <w:pPr>
        <w:rPr>
          <w:rFonts w:cs="Arial"/>
          <w:szCs w:val="24"/>
        </w:rPr>
      </w:pPr>
      <w:r>
        <w:rPr>
          <w:rFonts w:cs="Arial"/>
          <w:szCs w:val="24"/>
        </w:rPr>
        <w:t xml:space="preserve">Silverman (2011) </w:t>
      </w:r>
      <w:r w:rsidR="00E74819">
        <w:rPr>
          <w:rFonts w:cs="Arial"/>
          <w:szCs w:val="24"/>
        </w:rPr>
        <w:t>warns</w:t>
      </w:r>
      <w:r>
        <w:rPr>
          <w:rFonts w:cs="Arial"/>
          <w:szCs w:val="24"/>
        </w:rPr>
        <w:t xml:space="preserve"> that interviewing and </w:t>
      </w:r>
      <w:r w:rsidR="00173DE4">
        <w:rPr>
          <w:rFonts w:cs="Arial"/>
          <w:szCs w:val="24"/>
        </w:rPr>
        <w:t>focus group</w:t>
      </w:r>
      <w:r>
        <w:rPr>
          <w:rFonts w:cs="Arial"/>
          <w:szCs w:val="24"/>
        </w:rPr>
        <w:t>s may elevate the ‘experiential as the authentic’</w:t>
      </w:r>
      <w:r w:rsidR="00390B2D">
        <w:rPr>
          <w:rFonts w:cs="Arial"/>
          <w:szCs w:val="24"/>
        </w:rPr>
        <w:t>,</w:t>
      </w:r>
      <w:r>
        <w:rPr>
          <w:rFonts w:cs="Arial"/>
          <w:szCs w:val="24"/>
        </w:rPr>
        <w:t xml:space="preserve"> and in doing so may give an over</w:t>
      </w:r>
      <w:r w:rsidR="00390B2D">
        <w:rPr>
          <w:rFonts w:cs="Arial"/>
          <w:szCs w:val="24"/>
        </w:rPr>
        <w:t>-</w:t>
      </w:r>
      <w:r>
        <w:rPr>
          <w:rFonts w:cs="Arial"/>
          <w:szCs w:val="24"/>
        </w:rPr>
        <w:t xml:space="preserve">dramatized account of the phenomenon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Pr>
          <w:rFonts w:cs="Arial"/>
          <w:szCs w:val="24"/>
        </w:rPr>
        <w:fldChar w:fldCharType="end"/>
      </w:r>
      <w:r w:rsidR="00376ACA">
        <w:rPr>
          <w:rFonts w:cs="Arial"/>
          <w:szCs w:val="24"/>
        </w:rPr>
        <w:t xml:space="preserve">; </w:t>
      </w:r>
      <w:r>
        <w:rPr>
          <w:rFonts w:cs="Arial"/>
          <w:szCs w:val="24"/>
        </w:rPr>
        <w:t xml:space="preserve">p55). </w:t>
      </w:r>
      <w:r w:rsidR="00520A58">
        <w:rPr>
          <w:rFonts w:cs="Arial"/>
          <w:szCs w:val="24"/>
        </w:rPr>
        <w:t>P</w:t>
      </w:r>
      <w:r>
        <w:rPr>
          <w:rFonts w:cs="Arial"/>
          <w:szCs w:val="24"/>
        </w:rPr>
        <w:t>articipants (5</w:t>
      </w:r>
      <w:r w:rsidRPr="00B2319C">
        <w:rPr>
          <w:rFonts w:cs="Arial"/>
          <w:szCs w:val="24"/>
          <w:vertAlign w:val="superscript"/>
        </w:rPr>
        <w:t>th</w:t>
      </w:r>
      <w:r>
        <w:rPr>
          <w:rFonts w:cs="Arial"/>
          <w:szCs w:val="24"/>
        </w:rPr>
        <w:t xml:space="preserve"> year medical students) are </w:t>
      </w:r>
      <w:r w:rsidR="00A458DB">
        <w:rPr>
          <w:rFonts w:cs="Arial"/>
          <w:szCs w:val="24"/>
        </w:rPr>
        <w:t xml:space="preserve">key </w:t>
      </w:r>
      <w:r>
        <w:rPr>
          <w:rFonts w:cs="Arial"/>
          <w:szCs w:val="24"/>
        </w:rPr>
        <w:t xml:space="preserve">stakeholders </w:t>
      </w:r>
      <w:r w:rsidR="00A458DB">
        <w:rPr>
          <w:rFonts w:cs="Arial"/>
          <w:szCs w:val="24"/>
        </w:rPr>
        <w:t xml:space="preserve">so </w:t>
      </w:r>
      <w:r>
        <w:rPr>
          <w:rFonts w:cs="Arial"/>
          <w:szCs w:val="24"/>
        </w:rPr>
        <w:t xml:space="preserve">their views surrounding </w:t>
      </w:r>
      <w:r w:rsidR="00A458DB">
        <w:rPr>
          <w:rFonts w:cs="Arial"/>
          <w:szCs w:val="24"/>
        </w:rPr>
        <w:t xml:space="preserve">preparedness and </w:t>
      </w:r>
      <w:r>
        <w:rPr>
          <w:rFonts w:cs="Arial"/>
          <w:szCs w:val="24"/>
        </w:rPr>
        <w:t>simulation are central</w:t>
      </w:r>
      <w:r w:rsidR="0062489B">
        <w:rPr>
          <w:rFonts w:cs="Arial"/>
          <w:szCs w:val="24"/>
        </w:rPr>
        <w:t xml:space="preserve"> to understanding the phe</w:t>
      </w:r>
      <w:r w:rsidR="00EB339E">
        <w:rPr>
          <w:rFonts w:cs="Arial"/>
          <w:szCs w:val="24"/>
        </w:rPr>
        <w:t>nomena</w:t>
      </w:r>
      <w:r w:rsidR="00A458DB">
        <w:rPr>
          <w:rFonts w:cs="Arial"/>
          <w:szCs w:val="24"/>
        </w:rPr>
        <w:t>.</w:t>
      </w:r>
    </w:p>
    <w:p w14:paraId="7D7C08C9" w14:textId="7D7BA359" w:rsidR="00393DF0" w:rsidRPr="008E7172" w:rsidRDefault="00811BF2" w:rsidP="00C06D1A">
      <w:pPr>
        <w:rPr>
          <w:rFonts w:cs="Arial"/>
          <w:szCs w:val="24"/>
        </w:rPr>
      </w:pPr>
      <w:r>
        <w:rPr>
          <w:rFonts w:cs="Arial"/>
          <w:szCs w:val="24"/>
        </w:rPr>
        <w:t xml:space="preserve">Design of </w:t>
      </w:r>
      <w:r w:rsidR="00173DE4">
        <w:rPr>
          <w:rFonts w:cs="Arial"/>
          <w:szCs w:val="24"/>
        </w:rPr>
        <w:t>focus group</w:t>
      </w:r>
      <w:r>
        <w:rPr>
          <w:rFonts w:cs="Arial"/>
          <w:szCs w:val="24"/>
        </w:rPr>
        <w:t xml:space="preserve">s is presented in </w:t>
      </w:r>
      <w:r w:rsidR="001D42C9">
        <w:rPr>
          <w:rFonts w:cs="Arial"/>
          <w:szCs w:val="24"/>
        </w:rPr>
        <w:t>Chapter</w:t>
      </w:r>
      <w:r>
        <w:rPr>
          <w:rFonts w:cs="Arial"/>
          <w:szCs w:val="24"/>
        </w:rPr>
        <w:t xml:space="preserve"> </w:t>
      </w:r>
      <w:r w:rsidR="00436AF3">
        <w:rPr>
          <w:rFonts w:cs="Arial"/>
          <w:szCs w:val="24"/>
        </w:rPr>
        <w:t>4</w:t>
      </w:r>
      <w:r>
        <w:rPr>
          <w:rFonts w:cs="Arial"/>
          <w:szCs w:val="24"/>
        </w:rPr>
        <w:t xml:space="preserve"> and method for data analysis expl</w:t>
      </w:r>
      <w:r w:rsidR="00436AF3">
        <w:rPr>
          <w:rFonts w:cs="Arial"/>
          <w:szCs w:val="24"/>
        </w:rPr>
        <w:t>ai</w:t>
      </w:r>
      <w:r>
        <w:rPr>
          <w:rFonts w:cs="Arial"/>
          <w:szCs w:val="24"/>
        </w:rPr>
        <w:t>ned in section 4.5.7.</w:t>
      </w:r>
      <w:r w:rsidR="00520A58" w:rsidRPr="00520A58">
        <w:rPr>
          <w:rFonts w:cs="Arial"/>
          <w:szCs w:val="24"/>
        </w:rPr>
        <w:t xml:space="preserve"> </w:t>
      </w:r>
      <w:r w:rsidR="00520A58">
        <w:rPr>
          <w:rFonts w:cs="Arial"/>
          <w:szCs w:val="24"/>
        </w:rPr>
        <w:t xml:space="preserve">Though </w:t>
      </w:r>
      <w:r w:rsidR="00173DE4">
        <w:rPr>
          <w:rFonts w:cs="Arial"/>
          <w:szCs w:val="24"/>
        </w:rPr>
        <w:t>focus group</w:t>
      </w:r>
      <w:r w:rsidR="00520A58">
        <w:rPr>
          <w:rFonts w:cs="Arial"/>
          <w:szCs w:val="24"/>
        </w:rPr>
        <w:t>s allow</w:t>
      </w:r>
      <w:r w:rsidR="00390B2D">
        <w:rPr>
          <w:rFonts w:cs="Arial"/>
          <w:szCs w:val="24"/>
        </w:rPr>
        <w:t xml:space="preserve"> for</w:t>
      </w:r>
      <w:r w:rsidR="00520A58">
        <w:rPr>
          <w:rFonts w:cs="Arial"/>
          <w:szCs w:val="24"/>
        </w:rPr>
        <w:t xml:space="preserve"> the exploration of individual views, there is less opportunity for deep and detailed individual </w:t>
      </w:r>
      <w:r w:rsidR="00390B2D">
        <w:rPr>
          <w:rFonts w:cs="Arial"/>
          <w:szCs w:val="24"/>
        </w:rPr>
        <w:t>accounts as there is with a one-to-</w:t>
      </w:r>
      <w:r w:rsidR="00520A58">
        <w:rPr>
          <w:rFonts w:cs="Arial"/>
          <w:szCs w:val="24"/>
        </w:rPr>
        <w:t>one interview.</w:t>
      </w:r>
    </w:p>
    <w:p w14:paraId="3422A666" w14:textId="0B3676B0" w:rsidR="00E830C5" w:rsidRDefault="001E391A" w:rsidP="005367B9">
      <w:pPr>
        <w:pStyle w:val="Heading3"/>
      </w:pPr>
      <w:r>
        <w:t xml:space="preserve">    </w:t>
      </w:r>
      <w:bookmarkStart w:id="108" w:name="_Toc343501121"/>
      <w:bookmarkStart w:id="109" w:name="_Toc348686322"/>
      <w:bookmarkStart w:id="110" w:name="_Toc419116117"/>
      <w:r w:rsidR="00FC5CA8">
        <w:t xml:space="preserve">Qualitative research: </w:t>
      </w:r>
      <w:r w:rsidR="008E7172">
        <w:t>i</w:t>
      </w:r>
      <w:r w:rsidR="00E830C5">
        <w:t>nterviews</w:t>
      </w:r>
      <w:bookmarkEnd w:id="108"/>
      <w:bookmarkEnd w:id="109"/>
      <w:bookmarkEnd w:id="110"/>
      <w:r w:rsidR="00E830C5">
        <w:t xml:space="preserve"> </w:t>
      </w:r>
    </w:p>
    <w:p w14:paraId="7D1A17F5" w14:textId="77777777" w:rsidR="00372241" w:rsidRPr="00372241" w:rsidRDefault="00372241" w:rsidP="00372241"/>
    <w:p w14:paraId="48C38F9B" w14:textId="753C91F4" w:rsidR="00436AF3" w:rsidRDefault="001D42C9" w:rsidP="00A53A3B">
      <w:pPr>
        <w:rPr>
          <w:rFonts w:cs="Arial"/>
          <w:szCs w:val="24"/>
        </w:rPr>
      </w:pPr>
      <w:r>
        <w:rPr>
          <w:rFonts w:cs="Arial"/>
          <w:szCs w:val="24"/>
        </w:rPr>
        <w:t>In-depth interviews</w:t>
      </w:r>
      <w:r w:rsidR="00A95439">
        <w:rPr>
          <w:rFonts w:cs="Arial"/>
          <w:szCs w:val="24"/>
        </w:rPr>
        <w:t xml:space="preserve"> </w:t>
      </w:r>
      <w:r w:rsidR="00AE62DE">
        <w:rPr>
          <w:rFonts w:cs="Arial"/>
          <w:szCs w:val="24"/>
        </w:rPr>
        <w:t>is</w:t>
      </w:r>
      <w:r w:rsidR="00A95439">
        <w:rPr>
          <w:rFonts w:cs="Arial"/>
          <w:szCs w:val="24"/>
        </w:rPr>
        <w:t xml:space="preserve"> a methodology employed to ‘generate description and interpretation of people’s social world’ </w:t>
      </w:r>
      <w:r w:rsidR="000763BC">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0763BC">
        <w:rPr>
          <w:rFonts w:cs="Arial"/>
          <w:szCs w:val="24"/>
        </w:rPr>
        <w:fldChar w:fldCharType="separate"/>
      </w:r>
      <w:r w:rsidR="006102D5">
        <w:rPr>
          <w:rFonts w:cs="Arial"/>
          <w:noProof/>
          <w:szCs w:val="24"/>
        </w:rPr>
        <w:t>(Ritchie et al., 2014</w:t>
      </w:r>
      <w:r w:rsidR="00CA1E0A">
        <w:rPr>
          <w:rFonts w:cs="Arial"/>
          <w:noProof/>
          <w:szCs w:val="24"/>
        </w:rPr>
        <w:t>;</w:t>
      </w:r>
      <w:r w:rsidR="000763BC">
        <w:rPr>
          <w:rFonts w:cs="Arial"/>
          <w:szCs w:val="24"/>
        </w:rPr>
        <w:fldChar w:fldCharType="end"/>
      </w:r>
      <w:r w:rsidR="00C46222">
        <w:rPr>
          <w:rFonts w:cs="Arial"/>
          <w:szCs w:val="24"/>
        </w:rPr>
        <w:t xml:space="preserve"> </w:t>
      </w:r>
      <w:r w:rsidR="000763BC">
        <w:rPr>
          <w:rFonts w:cs="Arial"/>
          <w:szCs w:val="24"/>
        </w:rPr>
        <w:t>p178)</w:t>
      </w:r>
      <w:r w:rsidR="00E45FAE">
        <w:rPr>
          <w:rFonts w:cs="Arial"/>
          <w:szCs w:val="24"/>
        </w:rPr>
        <w:t xml:space="preserve">. </w:t>
      </w:r>
      <w:r w:rsidR="00922426">
        <w:rPr>
          <w:rFonts w:cs="Arial"/>
          <w:szCs w:val="24"/>
        </w:rPr>
        <w:t>T</w:t>
      </w:r>
      <w:r w:rsidR="00E45FAE">
        <w:rPr>
          <w:rFonts w:cs="Arial"/>
          <w:szCs w:val="24"/>
        </w:rPr>
        <w:t>here is opportunity to probe and discover rich descriptions of phenomena to help the researcher view the topic or social world through the eyes of the interviewee. By selecting interviewees with particular experience in the field</w:t>
      </w:r>
      <w:r w:rsidR="00922426">
        <w:rPr>
          <w:rFonts w:cs="Arial"/>
          <w:szCs w:val="24"/>
        </w:rPr>
        <w:t>,</w:t>
      </w:r>
      <w:r w:rsidR="00E45FAE">
        <w:rPr>
          <w:rFonts w:cs="Arial"/>
          <w:szCs w:val="24"/>
        </w:rPr>
        <w:t xml:space="preserve"> </w:t>
      </w:r>
      <w:r w:rsidR="00AE62DE">
        <w:rPr>
          <w:rFonts w:cs="Arial"/>
          <w:szCs w:val="24"/>
        </w:rPr>
        <w:t>it creates</w:t>
      </w:r>
      <w:r w:rsidR="00E45FAE">
        <w:rPr>
          <w:rFonts w:cs="Arial"/>
          <w:szCs w:val="24"/>
        </w:rPr>
        <w:t xml:space="preserve"> a reassurance that they will be able to offer a clear understanding and </w:t>
      </w:r>
      <w:r w:rsidR="00AE62DE">
        <w:rPr>
          <w:rFonts w:cs="Arial"/>
          <w:szCs w:val="24"/>
        </w:rPr>
        <w:t xml:space="preserve">a </w:t>
      </w:r>
      <w:r w:rsidR="00E45FAE">
        <w:rPr>
          <w:rFonts w:cs="Arial"/>
          <w:szCs w:val="24"/>
        </w:rPr>
        <w:t>rich insight.</w:t>
      </w:r>
      <w:r w:rsidR="004D37B3">
        <w:rPr>
          <w:rFonts w:cs="Arial"/>
          <w:szCs w:val="24"/>
        </w:rPr>
        <w:t xml:space="preserve"> This contrasts </w:t>
      </w:r>
      <w:r w:rsidR="00AE62DE">
        <w:rPr>
          <w:rFonts w:cs="Arial"/>
          <w:szCs w:val="24"/>
        </w:rPr>
        <w:t>with</w:t>
      </w:r>
      <w:r w:rsidR="004D37B3">
        <w:rPr>
          <w:rFonts w:cs="Arial"/>
          <w:szCs w:val="24"/>
        </w:rPr>
        <w:t xml:space="preserve"> the purpose </w:t>
      </w:r>
      <w:r w:rsidR="00AE62DE">
        <w:rPr>
          <w:rFonts w:cs="Arial"/>
          <w:szCs w:val="24"/>
        </w:rPr>
        <w:t>of</w:t>
      </w:r>
      <w:r w:rsidR="004D37B3">
        <w:rPr>
          <w:rFonts w:cs="Arial"/>
          <w:szCs w:val="24"/>
        </w:rPr>
        <w:t xml:space="preserve"> </w:t>
      </w:r>
      <w:r w:rsidR="00173DE4">
        <w:rPr>
          <w:rFonts w:cs="Arial"/>
          <w:szCs w:val="24"/>
        </w:rPr>
        <w:t>focus group</w:t>
      </w:r>
      <w:r w:rsidR="004D37B3">
        <w:rPr>
          <w:rFonts w:cs="Arial"/>
          <w:szCs w:val="24"/>
        </w:rPr>
        <w:t>s</w:t>
      </w:r>
      <w:r w:rsidR="00AE62DE">
        <w:rPr>
          <w:rFonts w:cs="Arial"/>
          <w:szCs w:val="24"/>
        </w:rPr>
        <w:t>,</w:t>
      </w:r>
      <w:r w:rsidR="004D37B3">
        <w:rPr>
          <w:rFonts w:cs="Arial"/>
          <w:szCs w:val="24"/>
        </w:rPr>
        <w:t xml:space="preserve"> where the group and </w:t>
      </w:r>
      <w:r w:rsidR="004D37B3">
        <w:rPr>
          <w:rFonts w:cs="Arial"/>
          <w:szCs w:val="24"/>
        </w:rPr>
        <w:lastRenderedPageBreak/>
        <w:t>interaction</w:t>
      </w:r>
      <w:r w:rsidR="00801ED2">
        <w:rPr>
          <w:rFonts w:cs="Arial"/>
          <w:szCs w:val="24"/>
        </w:rPr>
        <w:t>s</w:t>
      </w:r>
      <w:r w:rsidR="004D37B3">
        <w:rPr>
          <w:rFonts w:cs="Arial"/>
          <w:szCs w:val="24"/>
        </w:rPr>
        <w:t xml:space="preserve"> are acting as a nidus to trigger </w:t>
      </w:r>
      <w:r w:rsidR="003A7D42">
        <w:rPr>
          <w:rFonts w:cs="Arial"/>
          <w:szCs w:val="24"/>
        </w:rPr>
        <w:t>discussion that clarifies</w:t>
      </w:r>
      <w:r w:rsidR="004D37B3">
        <w:rPr>
          <w:rFonts w:cs="Arial"/>
          <w:szCs w:val="24"/>
        </w:rPr>
        <w:t xml:space="preserve"> standpoints and views</w:t>
      </w:r>
      <w:r w:rsidR="00922426">
        <w:rPr>
          <w:rFonts w:cs="Arial"/>
          <w:szCs w:val="24"/>
        </w:rPr>
        <w:t>.</w:t>
      </w:r>
      <w:r w:rsidR="004D37B3">
        <w:rPr>
          <w:rFonts w:cs="Arial"/>
          <w:szCs w:val="24"/>
        </w:rPr>
        <w:t xml:space="preserve"> </w:t>
      </w:r>
    </w:p>
    <w:p w14:paraId="7F1F9305" w14:textId="406A510E" w:rsidR="00A572C0" w:rsidRDefault="004D37B3" w:rsidP="00101639">
      <w:r>
        <w:rPr>
          <w:rFonts w:cs="Arial"/>
          <w:szCs w:val="24"/>
        </w:rPr>
        <w:t>Interviewees do interact with the interviewer</w:t>
      </w:r>
      <w:r w:rsidR="00922426">
        <w:rPr>
          <w:rFonts w:cs="Arial"/>
          <w:szCs w:val="24"/>
        </w:rPr>
        <w:t>,</w:t>
      </w:r>
      <w:r>
        <w:rPr>
          <w:rFonts w:cs="Arial"/>
          <w:szCs w:val="24"/>
        </w:rPr>
        <w:t xml:space="preserve"> but the </w:t>
      </w:r>
      <w:r w:rsidR="00D51D54">
        <w:rPr>
          <w:rFonts w:cs="Arial"/>
          <w:szCs w:val="24"/>
        </w:rPr>
        <w:t>one-to-one</w:t>
      </w:r>
      <w:r>
        <w:rPr>
          <w:rFonts w:cs="Arial"/>
          <w:szCs w:val="24"/>
        </w:rPr>
        <w:t xml:space="preserve"> nature allows a more personal level of probing</w:t>
      </w:r>
      <w:r w:rsidR="00922426">
        <w:rPr>
          <w:rFonts w:cs="Arial"/>
          <w:szCs w:val="24"/>
        </w:rPr>
        <w:t>,</w:t>
      </w:r>
      <w:r>
        <w:rPr>
          <w:rFonts w:cs="Arial"/>
          <w:szCs w:val="24"/>
        </w:rPr>
        <w:t xml:space="preserve"> focus</w:t>
      </w:r>
      <w:r w:rsidR="00922426">
        <w:rPr>
          <w:rFonts w:cs="Arial"/>
          <w:szCs w:val="24"/>
        </w:rPr>
        <w:t xml:space="preserve">, </w:t>
      </w:r>
      <w:r>
        <w:rPr>
          <w:rFonts w:cs="Arial"/>
          <w:szCs w:val="24"/>
        </w:rPr>
        <w:t xml:space="preserve">attention to detail and understanding. </w:t>
      </w:r>
      <w:r w:rsidR="001B7871">
        <w:rPr>
          <w:rFonts w:cs="Arial"/>
          <w:szCs w:val="24"/>
        </w:rPr>
        <w:t>T</w:t>
      </w:r>
      <w:r>
        <w:rPr>
          <w:rFonts w:cs="Arial"/>
          <w:szCs w:val="24"/>
        </w:rPr>
        <w:t xml:space="preserve">he interviewee standpoint is often clear but attempts to understand the roots are </w:t>
      </w:r>
      <w:r w:rsidR="00922426">
        <w:rPr>
          <w:rFonts w:cs="Arial"/>
          <w:szCs w:val="24"/>
        </w:rPr>
        <w:t xml:space="preserve">vital </w:t>
      </w:r>
      <w:r>
        <w:rPr>
          <w:rFonts w:cs="Arial"/>
          <w:szCs w:val="24"/>
        </w:rPr>
        <w:t xml:space="preserve">to </w:t>
      </w:r>
      <w:r w:rsidR="00922426">
        <w:rPr>
          <w:rFonts w:cs="Arial"/>
          <w:szCs w:val="24"/>
        </w:rPr>
        <w:t>appreciate</w:t>
      </w:r>
      <w:r>
        <w:rPr>
          <w:rFonts w:cs="Arial"/>
          <w:szCs w:val="24"/>
        </w:rPr>
        <w:t xml:space="preserve"> their point of view. Interviews can be described as conversation and may appear that way, however there is a lot more </w:t>
      </w:r>
      <w:r w:rsidR="00922426">
        <w:rPr>
          <w:rFonts w:cs="Arial"/>
          <w:szCs w:val="24"/>
        </w:rPr>
        <w:t xml:space="preserve">occurring for </w:t>
      </w:r>
      <w:r>
        <w:rPr>
          <w:rFonts w:cs="Arial"/>
          <w:szCs w:val="24"/>
        </w:rPr>
        <w:t>both interviewee and interviewer. A good interview should cover ‘breadth and depth’ of topics and requires skills fr</w:t>
      </w:r>
      <w:r w:rsidR="00922426">
        <w:rPr>
          <w:rFonts w:cs="Arial"/>
          <w:szCs w:val="24"/>
        </w:rPr>
        <w:t>o</w:t>
      </w:r>
      <w:r>
        <w:rPr>
          <w:rFonts w:cs="Arial"/>
          <w:szCs w:val="24"/>
        </w:rPr>
        <w:t>m the interviewer and an awareness of the challenges that different interviewees may pose. One area relevan</w:t>
      </w:r>
      <w:r w:rsidR="00922426">
        <w:rPr>
          <w:rFonts w:cs="Arial"/>
          <w:szCs w:val="24"/>
        </w:rPr>
        <w:t>t</w:t>
      </w:r>
      <w:r>
        <w:rPr>
          <w:rFonts w:cs="Arial"/>
          <w:szCs w:val="24"/>
        </w:rPr>
        <w:t xml:space="preserve"> to this </w:t>
      </w:r>
      <w:r w:rsidR="003A7D42">
        <w:rPr>
          <w:rFonts w:cs="Arial"/>
          <w:szCs w:val="24"/>
        </w:rPr>
        <w:t>research</w:t>
      </w:r>
      <w:r>
        <w:rPr>
          <w:rFonts w:cs="Arial"/>
          <w:szCs w:val="24"/>
        </w:rPr>
        <w:t xml:space="preserve"> is that of the challenge of interviewing professionals and strategies to manage this. </w:t>
      </w:r>
      <w:r w:rsidR="00A572C0">
        <w:t>The relationship between interviewee and interviewer is discussed in a separate section below (</w:t>
      </w:r>
      <w:r w:rsidR="00436AF3">
        <w:t>3</w:t>
      </w:r>
      <w:r w:rsidR="00A572C0">
        <w:t>.</w:t>
      </w:r>
      <w:r w:rsidR="00A331CA">
        <w:t>4</w:t>
      </w:r>
      <w:r w:rsidR="00A572C0">
        <w:t>.</w:t>
      </w:r>
      <w:r w:rsidR="00A331CA">
        <w:t>3</w:t>
      </w:r>
      <w:r w:rsidR="00A572C0">
        <w:t>.</w:t>
      </w:r>
      <w:r w:rsidR="00A331CA">
        <w:t>1</w:t>
      </w:r>
      <w:r w:rsidR="00A572C0">
        <w:t xml:space="preserve">). </w:t>
      </w:r>
    </w:p>
    <w:p w14:paraId="510D528A" w14:textId="46D67F7F" w:rsidR="00A572C0" w:rsidRDefault="001B7871" w:rsidP="00101639">
      <w:r>
        <w:t xml:space="preserve">Multiple </w:t>
      </w:r>
      <w:r w:rsidR="00E140CD">
        <w:t xml:space="preserve">methods and </w:t>
      </w:r>
      <w:r>
        <w:t xml:space="preserve">data </w:t>
      </w:r>
      <w:r w:rsidR="00E140CD">
        <w:t xml:space="preserve">triangulation </w:t>
      </w:r>
      <w:r>
        <w:t xml:space="preserve">have </w:t>
      </w:r>
      <w:r w:rsidR="00E140CD">
        <w:t xml:space="preserve">been employed </w:t>
      </w:r>
      <w:r>
        <w:t xml:space="preserve">in this study to avoid the potential </w:t>
      </w:r>
      <w:r w:rsidR="00511ED1">
        <w:t>risk</w:t>
      </w:r>
      <w:r>
        <w:t xml:space="preserve"> of ‘overreliance on interviews as a research method’ </w:t>
      </w:r>
      <w:r>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6102D5">
        <w:rPr>
          <w:noProof/>
        </w:rPr>
        <w:t>(Ritchie et al., 2014</w:t>
      </w:r>
      <w:r w:rsidR="00CA1E0A">
        <w:rPr>
          <w:noProof/>
        </w:rPr>
        <w:t xml:space="preserve">; </w:t>
      </w:r>
      <w:r>
        <w:fldChar w:fldCharType="end"/>
      </w:r>
      <w:r>
        <w:t>p181).</w:t>
      </w:r>
    </w:p>
    <w:p w14:paraId="23A50984" w14:textId="6C28DEB0" w:rsidR="00436AF3" w:rsidRDefault="00E140CD" w:rsidP="00101639">
      <w:r>
        <w:t xml:space="preserve">Ritchie </w:t>
      </w:r>
      <w:r w:rsidR="006C046D">
        <w:t xml:space="preserve">et al. (2014) refers to </w:t>
      </w:r>
      <w:r>
        <w:t xml:space="preserve">Silverman’s (2011) description of three different </w:t>
      </w:r>
      <w:r w:rsidR="006C046D">
        <w:t xml:space="preserve">epistemological theories that are linked to interviewing models: positivism, emotionalism and constructionism. </w:t>
      </w:r>
      <w:r w:rsidR="001B7871">
        <w:t>P</w:t>
      </w:r>
      <w:r w:rsidR="006C046D">
        <w:t>ositivism is</w:t>
      </w:r>
      <w:r w:rsidR="001B7871">
        <w:t xml:space="preserve"> </w:t>
      </w:r>
      <w:r w:rsidR="006C046D">
        <w:t>the belief that ‘knowledge exists’</w:t>
      </w:r>
      <w:r w:rsidR="001B7871">
        <w:t xml:space="preserve">, </w:t>
      </w:r>
      <w:r w:rsidR="006C046D">
        <w:t>offers meaning</w:t>
      </w:r>
      <w:r w:rsidR="00B95752">
        <w:t>,</w:t>
      </w:r>
      <w:r w:rsidR="006C046D">
        <w:t xml:space="preserve"> and is understood by objective experiences described through the interview process. Emotionalism</w:t>
      </w:r>
      <w:r w:rsidR="001B7871">
        <w:t xml:space="preserve"> has </w:t>
      </w:r>
      <w:r w:rsidR="006C046D">
        <w:t>a romantic view of the participant</w:t>
      </w:r>
      <w:r w:rsidR="001B7871">
        <w:t>’</w:t>
      </w:r>
      <w:r w:rsidR="006C046D">
        <w:t xml:space="preserve">s world that goes uncriticised and is accepted as the truth without consideration of interviewee and interviewer relationship and context.  </w:t>
      </w:r>
      <w:r w:rsidR="001B7871">
        <w:lastRenderedPageBreak/>
        <w:t>C</w:t>
      </w:r>
      <w:r w:rsidR="006C046D">
        <w:t>onstructionism acknowledges the interview influence on the discovery and creation of knowledge</w:t>
      </w:r>
      <w:r w:rsidR="004F5BBE">
        <w:t xml:space="preserve"> and understanding</w:t>
      </w:r>
      <w:r w:rsidR="001B7871">
        <w:t xml:space="preserve"> </w:t>
      </w:r>
      <w:r w:rsidR="004F5BBE">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4F5BBE">
        <w:fldChar w:fldCharType="separate"/>
      </w:r>
      <w:r w:rsidR="006102D5">
        <w:rPr>
          <w:noProof/>
        </w:rPr>
        <w:t>(Ritchie et al., 2014</w:t>
      </w:r>
      <w:r w:rsidR="00CA1E0A">
        <w:rPr>
          <w:noProof/>
        </w:rPr>
        <w:t xml:space="preserve">; </w:t>
      </w:r>
      <w:r w:rsidR="004F5BBE">
        <w:fldChar w:fldCharType="end"/>
      </w:r>
      <w:r w:rsidR="004F5BBE">
        <w:t xml:space="preserve">p182). </w:t>
      </w:r>
    </w:p>
    <w:p w14:paraId="5DF7A6E9" w14:textId="1CA13579" w:rsidR="00101639" w:rsidRPr="00101639" w:rsidRDefault="004F5BBE" w:rsidP="00101639">
      <w:r>
        <w:t xml:space="preserve">From a researcher stance it has proved important to explore the positive and negative features and views shared by other researchers surrounding interviews. </w:t>
      </w:r>
    </w:p>
    <w:p w14:paraId="444A4BBC" w14:textId="0A2DD894" w:rsidR="00FB62B8" w:rsidRPr="005E7E2B" w:rsidRDefault="00FB62B8" w:rsidP="005E7E2B">
      <w:pPr>
        <w:pStyle w:val="Heading4"/>
      </w:pPr>
      <w:r w:rsidRPr="005E7E2B">
        <w:t>Interviewer-respondent relationship</w:t>
      </w:r>
    </w:p>
    <w:p w14:paraId="00E82279" w14:textId="77777777" w:rsidR="00372241" w:rsidRPr="00372241" w:rsidRDefault="00372241" w:rsidP="00372241"/>
    <w:p w14:paraId="080C1D82" w14:textId="098B510A" w:rsidR="00A53A3B" w:rsidRDefault="00FE5D19" w:rsidP="00A53A3B">
      <w:r>
        <w:t>Ritchie et al. (2014) state that the interviewee and interviewer relationship may be ‘reciprocal’</w:t>
      </w:r>
      <w:r w:rsidR="001B7871">
        <w:t xml:space="preserve">, </w:t>
      </w:r>
      <w:r w:rsidR="005F2683">
        <w:t>‘interactive’ and ‘non</w:t>
      </w:r>
      <w:r w:rsidR="006F5502">
        <w:t>-</w:t>
      </w:r>
      <w:r w:rsidR="005F2683">
        <w:t>hierarchical’, moving towards a more ‘collaborative approach’</w:t>
      </w:r>
      <w:r w:rsidR="006F5502">
        <w:t>,</w:t>
      </w:r>
      <w:r w:rsidR="005F2683">
        <w:t xml:space="preserve"> with shared ‘understanding and meaning’</w:t>
      </w:r>
      <w:r w:rsidR="00D95FEE">
        <w:t xml:space="preserve"> </w:t>
      </w:r>
      <w:r w:rsidR="00D95FEE">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D95FEE">
        <w:fldChar w:fldCharType="separate"/>
      </w:r>
      <w:r w:rsidR="006102D5">
        <w:rPr>
          <w:noProof/>
        </w:rPr>
        <w:t>(Ritchie et al., 2014</w:t>
      </w:r>
      <w:r w:rsidR="00CA1E0A">
        <w:rPr>
          <w:noProof/>
        </w:rPr>
        <w:t>;</w:t>
      </w:r>
      <w:r w:rsidR="00D95FEE">
        <w:fldChar w:fldCharType="end"/>
      </w:r>
      <w:r w:rsidR="004D4FFB">
        <w:t xml:space="preserve"> </w:t>
      </w:r>
      <w:r w:rsidR="00D95FEE">
        <w:t>p180)</w:t>
      </w:r>
      <w:r w:rsidR="005F2683">
        <w:t xml:space="preserve">. </w:t>
      </w:r>
      <w:r w:rsidR="001B7871">
        <w:t>T</w:t>
      </w:r>
      <w:r w:rsidR="005F2683">
        <w:t>he researcher found that owing to the professional nature of interviewees</w:t>
      </w:r>
      <w:r w:rsidR="001B7871">
        <w:t>,</w:t>
      </w:r>
      <w:r w:rsidR="005F2683">
        <w:t xml:space="preserve"> having often been involved in research themselves, there was occasionally th</w:t>
      </w:r>
      <w:r w:rsidR="001B7871">
        <w:t>e</w:t>
      </w:r>
      <w:r w:rsidR="005F2683">
        <w:t xml:space="preserve"> feeling of the interview being flipped or assumptions made surrounding the researcher’s standpoint regarding simulation</w:t>
      </w:r>
      <w:r w:rsidR="006F5502">
        <w:t>,</w:t>
      </w:r>
      <w:r w:rsidR="005F2683">
        <w:t xml:space="preserve"> particularly with regard to understanding the added value. Phrases such as ‘as I am sure you agree</w:t>
      </w:r>
      <w:r w:rsidR="006F5502">
        <w:t>’, and</w:t>
      </w:r>
      <w:r w:rsidR="005F2683">
        <w:t xml:space="preserve"> ‘as I am sure you find’. The positive outcome of this was that interviewees maintained a useful level of respect at the understanding of the researcher and</w:t>
      </w:r>
      <w:r w:rsidR="00D61B4F">
        <w:t xml:space="preserve"> that</w:t>
      </w:r>
      <w:r w:rsidR="005F2683">
        <w:t xml:space="preserve"> opportunities for deeper explanations could be sought</w:t>
      </w:r>
      <w:r w:rsidR="001B7871">
        <w:t>.</w:t>
      </w:r>
      <w:r w:rsidR="005F2683">
        <w:t xml:space="preserve"> </w:t>
      </w:r>
      <w:r w:rsidR="001B7871">
        <w:t>H</w:t>
      </w:r>
      <w:r w:rsidR="005F2683">
        <w:t>owever this also became challenging because the assumptions meant that the</w:t>
      </w:r>
      <w:r w:rsidR="00D95FEE">
        <w:t xml:space="preserve">re was </w:t>
      </w:r>
      <w:r w:rsidR="00D61B4F">
        <w:t xml:space="preserve">a </w:t>
      </w:r>
      <w:r w:rsidR="00D95FEE">
        <w:t>lack of clarity</w:t>
      </w:r>
      <w:r w:rsidR="00D61B4F">
        <w:t xml:space="preserve"> -</w:t>
      </w:r>
      <w:r w:rsidR="00D95FEE">
        <w:t xml:space="preserve"> that if </w:t>
      </w:r>
      <w:r w:rsidR="005F2683">
        <w:t>as the researcher ‘you get it’</w:t>
      </w:r>
      <w:r w:rsidR="0057754B">
        <w:t>,</w:t>
      </w:r>
      <w:r w:rsidR="005F2683">
        <w:t xml:space="preserve"> the concept or phenomenon did not require further explanation. Techniques </w:t>
      </w:r>
      <w:r w:rsidR="00337A7E">
        <w:t>used</w:t>
      </w:r>
      <w:r w:rsidR="005F2683">
        <w:t xml:space="preserve"> included restating ‘for the benefit of the tape, please could you explain that i</w:t>
      </w:r>
      <w:r w:rsidR="00D61B4F">
        <w:t>n</w:t>
      </w:r>
      <w:r w:rsidR="005F2683">
        <w:t xml:space="preserve"> a bit more detail’</w:t>
      </w:r>
      <w:r w:rsidR="00D61B4F">
        <w:t>,</w:t>
      </w:r>
      <w:r w:rsidR="005F2683">
        <w:t xml:space="preserve"> and </w:t>
      </w:r>
      <w:r w:rsidR="00D61B4F">
        <w:t>a</w:t>
      </w:r>
      <w:r w:rsidR="005F2683">
        <w:t xml:space="preserve"> re-iteration </w:t>
      </w:r>
      <w:r w:rsidR="00D61B4F">
        <w:t xml:space="preserve">of </w:t>
      </w:r>
      <w:r w:rsidR="005F2683">
        <w:t xml:space="preserve">the aim of the interview to gain insight </w:t>
      </w:r>
      <w:r w:rsidR="000A27DF">
        <w:t>into</w:t>
      </w:r>
      <w:r w:rsidR="005F2683">
        <w:t xml:space="preserve"> their views and opinions and why they held them. </w:t>
      </w:r>
    </w:p>
    <w:p w14:paraId="7A219163" w14:textId="794FCEEF" w:rsidR="005F2683" w:rsidRDefault="005F2683" w:rsidP="00A53A3B">
      <w:r>
        <w:lastRenderedPageBreak/>
        <w:t>The other relationship described by Ritchie</w:t>
      </w:r>
      <w:r w:rsidR="00D95FEE">
        <w:t xml:space="preserve"> et al (2014) </w:t>
      </w:r>
      <w:r w:rsidR="00612FC3">
        <w:t>is</w:t>
      </w:r>
      <w:r w:rsidR="00D95FEE">
        <w:t xml:space="preserve"> that of maintaining ‘distinctive roles’ with no blurring or confusion.</w:t>
      </w:r>
      <w:r w:rsidR="0057754B">
        <w:t xml:space="preserve"> However, it is acknowledged that it is important to build a level of trust between interviewer and interviewee so that the conversation flows and does not lead to superficial answers. In lear</w:t>
      </w:r>
      <w:r w:rsidR="005874D7">
        <w:t>n</w:t>
      </w:r>
      <w:r w:rsidR="0057754B">
        <w:t xml:space="preserve">ing about how to undertake </w:t>
      </w:r>
      <w:r w:rsidR="001D42C9">
        <w:t>in-depth interviews</w:t>
      </w:r>
      <w:r w:rsidR="00D61B4F">
        <w:t>,</w:t>
      </w:r>
      <w:r w:rsidR="0057754B">
        <w:t xml:space="preserve"> the researcher took part in a </w:t>
      </w:r>
      <w:r w:rsidR="00137253">
        <w:t>two-day</w:t>
      </w:r>
      <w:r w:rsidR="0057754B">
        <w:t xml:space="preserve"> course at the National Centre for Social Research in London</w:t>
      </w:r>
      <w:r w:rsidR="00D61B4F">
        <w:t>,</w:t>
      </w:r>
      <w:r w:rsidR="0057754B">
        <w:t xml:space="preserve"> where experience was gained </w:t>
      </w:r>
      <w:r w:rsidR="00436AF3">
        <w:t>a</w:t>
      </w:r>
      <w:r w:rsidR="0057754B">
        <w:t xml:space="preserve">s interviewee and interviewer. </w:t>
      </w:r>
      <w:r w:rsidR="00FA6CF2">
        <w:t xml:space="preserve">This was </w:t>
      </w:r>
      <w:r w:rsidR="0057754B">
        <w:t>invaluable because the</w:t>
      </w:r>
      <w:r w:rsidR="00FA6CF2">
        <w:t xml:space="preserve"> researcher was</w:t>
      </w:r>
      <w:r w:rsidR="0057754B">
        <w:t xml:space="preserve"> exposed to the probing and seeking out of </w:t>
      </w:r>
      <w:r w:rsidR="00D61B4F">
        <w:t>in-</w:t>
      </w:r>
      <w:r w:rsidR="0057754B">
        <w:t>depth</w:t>
      </w:r>
      <w:r w:rsidR="00D61B4F">
        <w:t xml:space="preserve"> </w:t>
      </w:r>
      <w:r w:rsidR="00137253">
        <w:t>answers, which</w:t>
      </w:r>
      <w:r w:rsidR="0057754B">
        <w:t xml:space="preserve"> lead to feelings at times of vulnerability and exposure due to the personal nature of questioning. Though topics were dry such as ‘recycling’</w:t>
      </w:r>
      <w:r w:rsidR="00D61B4F">
        <w:t>,</w:t>
      </w:r>
      <w:r w:rsidR="0057754B">
        <w:t xml:space="preserve"> there was still the occasional perception of </w:t>
      </w:r>
      <w:r w:rsidR="001D42C9">
        <w:t>judgment</w:t>
      </w:r>
      <w:r w:rsidR="0057754B">
        <w:t xml:space="preserve"> and risk of feeling </w:t>
      </w:r>
      <w:r w:rsidR="0068551B">
        <w:t xml:space="preserve">keen </w:t>
      </w:r>
      <w:r w:rsidR="0057754B">
        <w:t>to please the interviewer. This highlighted the influence of individual internal factors such as personality</w:t>
      </w:r>
      <w:r w:rsidR="00612FC3">
        <w:t>. S</w:t>
      </w:r>
      <w:r w:rsidR="0080104D">
        <w:t>ome participants may en</w:t>
      </w:r>
      <w:r w:rsidR="0057754B">
        <w:t xml:space="preserve">joy being controversial and others may </w:t>
      </w:r>
      <w:r w:rsidR="0068551B">
        <w:t xml:space="preserve">remain </w:t>
      </w:r>
      <w:r w:rsidR="0057754B">
        <w:t>collaborative and be keen to agree with the researcher. This make</w:t>
      </w:r>
      <w:r w:rsidR="0080104D">
        <w:t>s</w:t>
      </w:r>
      <w:r w:rsidR="0057754B">
        <w:t xml:space="preserve"> shar</w:t>
      </w:r>
      <w:r w:rsidR="0080104D">
        <w:t xml:space="preserve">ing </w:t>
      </w:r>
      <w:r w:rsidR="00137253">
        <w:t>standpoints</w:t>
      </w:r>
      <w:r w:rsidR="0080104D">
        <w:t xml:space="preserve"> a challenge. </w:t>
      </w:r>
      <w:r w:rsidR="0068551B">
        <w:t>S</w:t>
      </w:r>
      <w:r w:rsidR="0057754B">
        <w:t xml:space="preserve">haring </w:t>
      </w:r>
      <w:r w:rsidR="0068551B">
        <w:t xml:space="preserve">does help </w:t>
      </w:r>
      <w:r w:rsidR="0057754B">
        <w:t>to build trust because own views are exposed to the interviewee</w:t>
      </w:r>
      <w:r w:rsidR="0068551B">
        <w:t>,</w:t>
      </w:r>
      <w:r w:rsidR="0057754B">
        <w:t xml:space="preserve"> placing </w:t>
      </w:r>
      <w:r w:rsidR="0068551B">
        <w:t>both</w:t>
      </w:r>
      <w:r w:rsidR="0057754B">
        <w:t xml:space="preserve"> on </w:t>
      </w:r>
      <w:r w:rsidR="00D61B4F">
        <w:t xml:space="preserve">a </w:t>
      </w:r>
      <w:r w:rsidR="0057754B">
        <w:t>mor</w:t>
      </w:r>
      <w:r w:rsidR="00D61B4F">
        <w:t>e equal footing.</w:t>
      </w:r>
      <w:r w:rsidR="0057754B">
        <w:t xml:space="preserve"> </w:t>
      </w:r>
      <w:r w:rsidR="00D61B4F">
        <w:t>H</w:t>
      </w:r>
      <w:r w:rsidR="0057754B">
        <w:t>owever it may make those keen to please more likely to agree with</w:t>
      </w:r>
      <w:r w:rsidR="00D61B4F">
        <w:t xml:space="preserve"> the</w:t>
      </w:r>
      <w:r w:rsidR="0057754B">
        <w:t xml:space="preserve"> </w:t>
      </w:r>
      <w:r w:rsidR="0068551B">
        <w:t>interviewer</w:t>
      </w:r>
      <w:r w:rsidR="0057754B">
        <w:t xml:space="preserve"> standpoint. </w:t>
      </w:r>
      <w:r w:rsidR="00721E4B">
        <w:t>Rubin and Rubin (2012) describe ‘responsive interviewing’, in which they emphasise ‘building trust and a relationship’</w:t>
      </w:r>
      <w:r w:rsidR="00D61B4F">
        <w:t>,</w:t>
      </w:r>
      <w:r w:rsidR="00721E4B">
        <w:t xml:space="preserve"> where interviewing is more conversational and there is more equal participation. </w:t>
      </w:r>
      <w:r w:rsidR="0068551B">
        <w:t xml:space="preserve">When </w:t>
      </w:r>
      <w:r w:rsidR="0057754B">
        <w:t>interviewing experienced professional educationalists</w:t>
      </w:r>
      <w:r w:rsidR="0068551B">
        <w:t>,</w:t>
      </w:r>
      <w:r w:rsidR="0057754B">
        <w:t xml:space="preserve"> </w:t>
      </w:r>
      <w:r w:rsidR="0080104D">
        <w:t>they were able to access rich descriptions and examples to back up and explain their standpoint</w:t>
      </w:r>
      <w:r w:rsidR="00D61B4F">
        <w:t>,</w:t>
      </w:r>
      <w:r w:rsidR="0080104D">
        <w:t xml:space="preserve"> and they were confident in their skills and credibility</w:t>
      </w:r>
      <w:r w:rsidR="0068551B">
        <w:t xml:space="preserve">, so not influenced by </w:t>
      </w:r>
      <w:r w:rsidR="0080104D">
        <w:t xml:space="preserve">researcher standpoint. </w:t>
      </w:r>
    </w:p>
    <w:p w14:paraId="0087A237" w14:textId="3E0191F0" w:rsidR="004D4FFB" w:rsidRDefault="00F446A2" w:rsidP="00A53A3B">
      <w:r>
        <w:lastRenderedPageBreak/>
        <w:t>Ritchie highlights the importance of remaining flexible about own ‘position and behaviour’ during the interview process</w:t>
      </w:r>
      <w:r w:rsidR="00D61B4F">
        <w:t>,</w:t>
      </w:r>
      <w:r>
        <w:t xml:space="preserve"> depending on the ‘purpose of the interview’ </w:t>
      </w:r>
      <w:r>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6102D5">
        <w:rPr>
          <w:noProof/>
        </w:rPr>
        <w:t>(Ritchie et al., 2014</w:t>
      </w:r>
      <w:r w:rsidR="00CA1E0A">
        <w:rPr>
          <w:noProof/>
        </w:rPr>
        <w:t xml:space="preserve">; </w:t>
      </w:r>
      <w:r>
        <w:fldChar w:fldCharType="end"/>
      </w:r>
      <w:r>
        <w:t>p181). During the interview course attended</w:t>
      </w:r>
      <w:r w:rsidR="00B71686">
        <w:t>, t</w:t>
      </w:r>
      <w:r>
        <w:t xml:space="preserve">he researcher was </w:t>
      </w:r>
      <w:r w:rsidR="00B71686">
        <w:t>described</w:t>
      </w:r>
      <w:r>
        <w:t xml:space="preserve"> as being very ‘professional’</w:t>
      </w:r>
      <w:r w:rsidR="00B71686">
        <w:t>,</w:t>
      </w:r>
      <w:r>
        <w:t xml:space="preserve"> likely owing to years of clinical consul</w:t>
      </w:r>
      <w:r w:rsidR="005A32E2">
        <w:t>tat</w:t>
      </w:r>
      <w:r>
        <w:t>ion skills development in the context of patient</w:t>
      </w:r>
      <w:r w:rsidR="00B71686">
        <w:t xml:space="preserve"> encounters</w:t>
      </w:r>
      <w:r>
        <w:t>. This was useful feedback and on reflect</w:t>
      </w:r>
      <w:r w:rsidR="00B71686">
        <w:t>ion</w:t>
      </w:r>
      <w:r>
        <w:t xml:space="preserve"> was felt this would suit the</w:t>
      </w:r>
      <w:r w:rsidR="00B71686">
        <w:t xml:space="preserve"> selected</w:t>
      </w:r>
      <w:r>
        <w:t xml:space="preserve"> interviewees</w:t>
      </w:r>
      <w:r w:rsidR="00B71686">
        <w:t xml:space="preserve"> as they</w:t>
      </w:r>
      <w:r>
        <w:t xml:space="preserve"> would recognise and be comfortable with this behaviour. However, if further research </w:t>
      </w:r>
      <w:r w:rsidR="00137253">
        <w:t>were</w:t>
      </w:r>
      <w:r>
        <w:t xml:space="preserve"> to be carried ou</w:t>
      </w:r>
      <w:r w:rsidR="00B71686">
        <w:t>t with non-</w:t>
      </w:r>
      <w:r w:rsidR="005A32E2">
        <w:t>professionals</w:t>
      </w:r>
      <w:r w:rsidR="00B71686">
        <w:t>,</w:t>
      </w:r>
      <w:r w:rsidR="005A32E2">
        <w:t xml:space="preserve"> this</w:t>
      </w:r>
      <w:r w:rsidR="00B71686">
        <w:t xml:space="preserve"> </w:t>
      </w:r>
      <w:r w:rsidR="005A32E2">
        <w:t xml:space="preserve">personality influence would need modification to </w:t>
      </w:r>
      <w:r w:rsidR="00B71686">
        <w:t xml:space="preserve">avoid </w:t>
      </w:r>
      <w:r w:rsidR="005A32E2">
        <w:t>inhibit</w:t>
      </w:r>
      <w:r w:rsidR="00B71686">
        <w:t>ing conversation</w:t>
      </w:r>
      <w:r w:rsidR="005A32E2">
        <w:t xml:space="preserve"> a</w:t>
      </w:r>
      <w:r w:rsidR="00B71686">
        <w:t>nd</w:t>
      </w:r>
      <w:r w:rsidR="005A32E2">
        <w:t xml:space="preserve"> relationship. </w:t>
      </w:r>
    </w:p>
    <w:p w14:paraId="7FC956BB" w14:textId="77777777" w:rsidR="00B74756" w:rsidRDefault="00B74756" w:rsidP="00A53A3B"/>
    <w:p w14:paraId="7AA8DF55" w14:textId="77777777" w:rsidR="00250F50" w:rsidRPr="005E7E2B" w:rsidRDefault="00250F50" w:rsidP="00250F50">
      <w:pPr>
        <w:pStyle w:val="Heading4"/>
      </w:pPr>
      <w:r w:rsidRPr="005E7E2B">
        <w:t>Conducting interviews</w:t>
      </w:r>
    </w:p>
    <w:p w14:paraId="3B8CA70E" w14:textId="77777777" w:rsidR="00250F50" w:rsidRPr="00372241" w:rsidRDefault="00250F50" w:rsidP="00250F50"/>
    <w:p w14:paraId="1DF1A293" w14:textId="2799906D" w:rsidR="00250F50" w:rsidRDefault="00250F50" w:rsidP="00250F50">
      <w:pPr>
        <w:rPr>
          <w:rFonts w:cs="Arial"/>
          <w:szCs w:val="24"/>
        </w:rPr>
      </w:pPr>
      <w:r>
        <w:rPr>
          <w:rFonts w:cs="Arial"/>
          <w:szCs w:val="24"/>
        </w:rPr>
        <w:t xml:space="preserve">Ritchie et al. report that it takes ‘at least an hour to gather the right level of depth’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sidR="00CA1E0A">
        <w:rPr>
          <w:rFonts w:cs="Arial"/>
          <w:noProof/>
          <w:szCs w:val="24"/>
        </w:rPr>
        <w:t xml:space="preserve">; </w:t>
      </w:r>
      <w:r>
        <w:rPr>
          <w:rFonts w:cs="Arial"/>
          <w:szCs w:val="24"/>
        </w:rPr>
        <w:fldChar w:fldCharType="end"/>
      </w:r>
      <w:r w:rsidR="004D4FFB">
        <w:rPr>
          <w:rFonts w:cs="Arial"/>
          <w:szCs w:val="24"/>
        </w:rPr>
        <w:t>p206</w:t>
      </w:r>
      <w:r>
        <w:rPr>
          <w:rFonts w:cs="Arial"/>
          <w:szCs w:val="24"/>
        </w:rPr>
        <w:t xml:space="preserve">). Due to the focus and concentration required, no more than three interviews are recommended in one day and a good amount of time left between them to allow an overrun and some time out (p207). </w:t>
      </w:r>
    </w:p>
    <w:p w14:paraId="4218E5CD" w14:textId="2D6EE192" w:rsidR="00250F50" w:rsidRDefault="00250F50" w:rsidP="00250F50">
      <w:pPr>
        <w:rPr>
          <w:rFonts w:cs="Arial"/>
          <w:szCs w:val="24"/>
        </w:rPr>
      </w:pPr>
      <w:r>
        <w:rPr>
          <w:rFonts w:cs="Arial"/>
          <w:szCs w:val="24"/>
        </w:rPr>
        <w:t xml:space="preserve">In terms of structuring an in-depth interview, Ritchie et al. (2014) describe six stages, which have been used to inform the researcher’s strategy for interview conduction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sidR="00CA1E0A">
        <w:rPr>
          <w:rFonts w:cs="Arial"/>
          <w:noProof/>
          <w:szCs w:val="24"/>
        </w:rPr>
        <w:t xml:space="preserve">; </w:t>
      </w:r>
      <w:r>
        <w:rPr>
          <w:rFonts w:cs="Arial"/>
          <w:szCs w:val="24"/>
        </w:rPr>
        <w:fldChar w:fldCharType="end"/>
      </w:r>
      <w:r>
        <w:rPr>
          <w:rFonts w:cs="Arial"/>
          <w:szCs w:val="24"/>
        </w:rPr>
        <w:t xml:space="preserve">p186). The first stage entitled ‘arrival and introductions’ was an essential part of the interview, where initial interaction allowed the opportunity to facilitate a good rapport. </w:t>
      </w:r>
    </w:p>
    <w:p w14:paraId="5034C110" w14:textId="17872873" w:rsidR="00250F50" w:rsidRDefault="00250F50" w:rsidP="00250F50">
      <w:pPr>
        <w:rPr>
          <w:rFonts w:cs="Arial"/>
          <w:szCs w:val="24"/>
        </w:rPr>
      </w:pPr>
      <w:r>
        <w:rPr>
          <w:rFonts w:cs="Arial"/>
          <w:szCs w:val="24"/>
        </w:rPr>
        <w:lastRenderedPageBreak/>
        <w:t xml:space="preserve">The second stage, entitled ‘introducing the research’, began with re-confirming purpose and expectations. </w:t>
      </w:r>
    </w:p>
    <w:p w14:paraId="1FE38DF8" w14:textId="1A83CFC2" w:rsidR="00250F50" w:rsidRDefault="00250F50" w:rsidP="00250F50">
      <w:pPr>
        <w:rPr>
          <w:rFonts w:cs="Arial"/>
          <w:szCs w:val="24"/>
        </w:rPr>
      </w:pPr>
      <w:r>
        <w:rPr>
          <w:rFonts w:cs="Arial"/>
          <w:szCs w:val="24"/>
        </w:rPr>
        <w:t>Stage three, ‘beginni</w:t>
      </w:r>
      <w:r w:rsidR="0027013E">
        <w:rPr>
          <w:rFonts w:cs="Arial"/>
          <w:szCs w:val="24"/>
        </w:rPr>
        <w:t>ng the interview’, acts</w:t>
      </w:r>
      <w:r>
        <w:rPr>
          <w:rFonts w:cs="Arial"/>
          <w:szCs w:val="24"/>
        </w:rPr>
        <w:t xml:space="preserve"> as a platform to gain contextual information and characteristics</w:t>
      </w:r>
      <w:r w:rsidR="0027013E">
        <w:rPr>
          <w:rFonts w:cs="Arial"/>
          <w:szCs w:val="24"/>
        </w:rPr>
        <w:t>.</w:t>
      </w:r>
      <w:r>
        <w:rPr>
          <w:rFonts w:cs="Arial"/>
          <w:szCs w:val="24"/>
        </w:rPr>
        <w:t xml:space="preserve"> </w:t>
      </w:r>
    </w:p>
    <w:p w14:paraId="77CA2614" w14:textId="577D01E3" w:rsidR="00250F50" w:rsidRDefault="00250F50" w:rsidP="00250F50">
      <w:pPr>
        <w:rPr>
          <w:rFonts w:cs="Arial"/>
          <w:szCs w:val="24"/>
        </w:rPr>
      </w:pPr>
      <w:r>
        <w:rPr>
          <w:rFonts w:cs="Arial"/>
          <w:szCs w:val="24"/>
        </w:rPr>
        <w:t xml:space="preserve">Stage four, ‘during the interview’, was where the participant was navigated through the topic guide, whilst giving them the opportunity to influence and add to the topics. This allowed for the emergence of ‘breadth and depth’ related to the interviewee’s account and dialogue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sidR="00CA1E0A">
        <w:rPr>
          <w:rFonts w:cs="Arial"/>
          <w:noProof/>
          <w:szCs w:val="24"/>
        </w:rPr>
        <w:t xml:space="preserve">; </w:t>
      </w:r>
      <w:r>
        <w:rPr>
          <w:rFonts w:cs="Arial"/>
          <w:szCs w:val="24"/>
        </w:rPr>
        <w:fldChar w:fldCharType="end"/>
      </w:r>
      <w:r>
        <w:rPr>
          <w:rFonts w:cs="Arial"/>
          <w:szCs w:val="24"/>
        </w:rPr>
        <w:t xml:space="preserve">p188). Ritchie et al. (2014) describe mapping questions and use the metaphor of cartography where initial questions give an idea of the ‘landscape of thought and ideas and how far that stretches, then the depth gives rich and vivid descriptions of the specific details that you may be able to sense, see and feel to aid one’s understanding’. Ritchie et al. (2014) describe the role of probing as the opportunity to ‘explore impacts, effects and consequences, understand underlying values, views or experiences and to clarify’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sidR="00CA1E0A">
        <w:rPr>
          <w:rFonts w:cs="Arial"/>
          <w:noProof/>
          <w:szCs w:val="24"/>
        </w:rPr>
        <w:t xml:space="preserve">; </w:t>
      </w:r>
      <w:r>
        <w:rPr>
          <w:rFonts w:cs="Arial"/>
          <w:szCs w:val="24"/>
        </w:rPr>
        <w:fldChar w:fldCharType="end"/>
      </w:r>
      <w:r w:rsidR="00EB7458">
        <w:rPr>
          <w:rFonts w:cs="Arial"/>
          <w:szCs w:val="24"/>
        </w:rPr>
        <w:t>p194</w:t>
      </w:r>
      <w:r>
        <w:rPr>
          <w:rFonts w:cs="Arial"/>
          <w:szCs w:val="24"/>
        </w:rPr>
        <w:t>).</w:t>
      </w:r>
    </w:p>
    <w:p w14:paraId="42E94F44" w14:textId="6A11433C" w:rsidR="0096321B" w:rsidRPr="00FD74E9" w:rsidRDefault="00250F50" w:rsidP="00250F50">
      <w:pPr>
        <w:rPr>
          <w:rFonts w:cs="Arial"/>
          <w:szCs w:val="24"/>
        </w:rPr>
      </w:pPr>
      <w:r>
        <w:rPr>
          <w:rFonts w:cs="Arial"/>
          <w:szCs w:val="24"/>
        </w:rPr>
        <w:t xml:space="preserve">Stage five, ‘ending the interview’, Ritchie et al. (2014) suggest signposting the closure ‘five to ten minutes beforehand’ and aiming to finish on a ‘positive note’. The signposting had the aim of ‘re-energising’ someone if getting tired, allowing them to highlight anything they felt was important that had not been covered so far (‘final points’) and allowing them to re-set their communication skills from in-depth interviewing to normal conversation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sidR="00CA1E0A">
        <w:rPr>
          <w:rFonts w:cs="Arial"/>
          <w:noProof/>
          <w:szCs w:val="24"/>
        </w:rPr>
        <w:t xml:space="preserve">; </w:t>
      </w:r>
      <w:r>
        <w:rPr>
          <w:rFonts w:cs="Arial"/>
          <w:szCs w:val="24"/>
        </w:rPr>
        <w:fldChar w:fldCharType="end"/>
      </w:r>
      <w:r w:rsidR="00EB7458">
        <w:rPr>
          <w:rFonts w:cs="Arial"/>
          <w:szCs w:val="24"/>
        </w:rPr>
        <w:t>p189</w:t>
      </w:r>
      <w:r>
        <w:rPr>
          <w:rFonts w:cs="Arial"/>
          <w:szCs w:val="24"/>
        </w:rPr>
        <w:t>). Ritchie et al. (2014) also highlight the importance of the time following the completion of the interview entitled ‘stage 6’, which allows thanking of the interviewee, re-</w:t>
      </w:r>
      <w:r>
        <w:rPr>
          <w:rFonts w:cs="Arial"/>
          <w:szCs w:val="24"/>
        </w:rPr>
        <w:lastRenderedPageBreak/>
        <w:t xml:space="preserve">iteration about what will happen with the data and how to access further information. Ritchie et al. describe potential ‘doorstep data’ emerging at this point where new and additional thoughts may be shared when reflecting. </w:t>
      </w:r>
    </w:p>
    <w:p w14:paraId="2F8E2B5F" w14:textId="77777777" w:rsidR="00250F50" w:rsidRPr="005E7E2B" w:rsidRDefault="00250F50" w:rsidP="00250F50">
      <w:pPr>
        <w:pStyle w:val="Heading4"/>
      </w:pPr>
      <w:r w:rsidRPr="005E7E2B">
        <w:t>Interpreting response</w:t>
      </w:r>
    </w:p>
    <w:p w14:paraId="7C22B68C" w14:textId="77777777" w:rsidR="00250F50" w:rsidRPr="00372241" w:rsidRDefault="00250F50" w:rsidP="00250F50"/>
    <w:p w14:paraId="5AC20D4C" w14:textId="2FDB860E" w:rsidR="00250F50" w:rsidRDefault="00250F50" w:rsidP="00250F50">
      <w:r>
        <w:t xml:space="preserve">Keats (2000) describes the need to ‘constantly interpret and evaluate the meaning of replies to questions’, due to the ‘dynamic nature of the interviewer-respondent relationship’ (p59). Where respondents are required to conceptualise a complex idea they may ‘ mumble’ or alter their speed of conversation and words may not necessarily convey their feelings and views adequately </w:t>
      </w:r>
      <w:r>
        <w:fldChar w:fldCharType="begin"/>
      </w:r>
      <w:r w:rsidR="006102D5">
        <w:instrText xml:space="preserve"> ADDIN EN.CITE &lt;EndNote&gt;&lt;Cite&gt;&lt;Author&gt;Keats&lt;/Author&gt;&lt;Year&gt;2000&lt;/Year&gt;&lt;IDText&gt;Interviewing; A practical guide for students and professionals&lt;/IDText&gt;&lt;DisplayText&gt;(Keats, 2000)&lt;/DisplayText&gt;&lt;record&gt;&lt;titles&gt;&lt;title&gt;Interviewing; A practical guide for students and professionals&lt;/title&gt;&lt;/titles&gt;&lt;contributors&gt;&lt;authors&gt;&lt;author&gt;Keats, Daphne m.&lt;/author&gt;&lt;/authors&gt;&lt;/contributors&gt;&lt;added-date format="utc"&gt;1467883719&lt;/added-date&gt;&lt;pub-location&gt;Buckingham, Philadelphia&lt;/pub-location&gt;&lt;ref-type name="Book"&gt;6&lt;/ref-type&gt;&lt;dates&gt;&lt;year&gt;2000&lt;/year&gt;&lt;/dates&gt;&lt;rec-number&gt;262&lt;/rec-number&gt;&lt;publisher&gt;Open University Press&lt;/publisher&gt;&lt;last-updated-date format="utc"&gt;1467883833&lt;/last-updated-date&gt;&lt;/record&gt;&lt;/Cite&gt;&lt;/EndNote&gt;</w:instrText>
      </w:r>
      <w:r>
        <w:fldChar w:fldCharType="separate"/>
      </w:r>
      <w:r w:rsidR="006102D5">
        <w:rPr>
          <w:noProof/>
        </w:rPr>
        <w:t>(Keats, 2000</w:t>
      </w:r>
      <w:r w:rsidR="00CA1E0A">
        <w:rPr>
          <w:noProof/>
        </w:rPr>
        <w:t xml:space="preserve">; </w:t>
      </w:r>
      <w:r>
        <w:fldChar w:fldCharType="end"/>
      </w:r>
      <w:r>
        <w:t xml:space="preserve">p59). </w:t>
      </w:r>
    </w:p>
    <w:p w14:paraId="09376CB4" w14:textId="0A91990C" w:rsidR="00250F50" w:rsidRPr="00A53A3B" w:rsidRDefault="00250F50" w:rsidP="00A53A3B">
      <w:r>
        <w:t xml:space="preserve">Keats (2000) describes some of the challenges that can be experienced with interviewing such as ‘non-cooperation’, ‘inaccuracy in recall’, ‘inconsistency’, ‘lack of verbal skills’, ‘bias’ and ‘conceptual difficulty’ </w:t>
      </w:r>
      <w:r>
        <w:fldChar w:fldCharType="begin"/>
      </w:r>
      <w:r>
        <w:instrText xml:space="preserve"> ADDIN EN.CITE &lt;EndNote&gt;&lt;Cite&gt;&lt;Author&gt;Keats&lt;/Author&gt;&lt;Year&gt;2000&lt;/Year&gt;&lt;IDText&gt;Interviewing; A practical guide for students and professionals&lt;/IDText&gt;&lt;DisplayText&gt;(Keats, 2000)&lt;/DisplayText&gt;&lt;record&gt;&lt;titles&gt;&lt;title&gt;Interviewing; A practical guide for students and professionals&lt;/title&gt;&lt;/titles&gt;&lt;contributors&gt;&lt;authors&gt;&lt;author&gt;Keats, Daphne m.&lt;/author&gt;&lt;/authors&gt;&lt;/contributors&gt;&lt;added-date format="utc"&gt;1467883719&lt;/added-date&gt;&lt;pub-location&gt;Buckingham, Philadelphia&lt;/pub-location&gt;&lt;ref-type name="Book"&gt;6&lt;/ref-type&gt;&lt;dates&gt;&lt;year&gt;2000&lt;/year&gt;&lt;/dates&gt;&lt;rec-number&gt;262&lt;/rec-number&gt;&lt;publisher&gt;Open University Press&lt;/publisher&gt;&lt;last-updated-date format="utc"&gt;1467883833&lt;/last-updated-date&gt;&lt;/record&gt;&lt;/Cite&gt;&lt;/EndNote&gt;</w:instrText>
      </w:r>
      <w:r>
        <w:fldChar w:fldCharType="separate"/>
      </w:r>
      <w:r>
        <w:rPr>
          <w:noProof/>
        </w:rPr>
        <w:t>(Keats, 2000)</w:t>
      </w:r>
      <w:r>
        <w:fldChar w:fldCharType="end"/>
      </w:r>
      <w:r>
        <w:t xml:space="preserve">. </w:t>
      </w:r>
    </w:p>
    <w:p w14:paraId="72C44EDF" w14:textId="7012B23A" w:rsidR="00F736C6" w:rsidRPr="005E7E2B" w:rsidRDefault="00F736C6" w:rsidP="00F736C6">
      <w:pPr>
        <w:pStyle w:val="Heading4"/>
      </w:pPr>
      <w:r w:rsidRPr="005E7E2B">
        <w:t>Reliability and validity in interviewing for research</w:t>
      </w:r>
    </w:p>
    <w:p w14:paraId="43CAD7C1" w14:textId="77777777" w:rsidR="00372241" w:rsidRPr="00372241" w:rsidRDefault="00372241" w:rsidP="00372241"/>
    <w:p w14:paraId="184C4698" w14:textId="4658DB55" w:rsidR="00F736C6" w:rsidRDefault="003C5C7C" w:rsidP="00F736C6">
      <w:r>
        <w:t xml:space="preserve">Reliability in the context of </w:t>
      </w:r>
      <w:r w:rsidR="00D61B4F">
        <w:t>in-</w:t>
      </w:r>
      <w:r>
        <w:t xml:space="preserve">depth interviewing relates to the ‘degree of consistency that the interview has for the persons interviewed’ </w:t>
      </w:r>
      <w:r>
        <w:fldChar w:fldCharType="begin"/>
      </w:r>
      <w:r w:rsidR="006102D5">
        <w:instrText xml:space="preserve"> ADDIN EN.CITE &lt;EndNote&gt;&lt;Cite&gt;&lt;Author&gt;Keats&lt;/Author&gt;&lt;Year&gt;2000&lt;/Year&gt;&lt;IDText&gt;Interviewing; A practical guide for students and professionals&lt;/IDText&gt;&lt;DisplayText&gt;(Keats, 2000)&lt;/DisplayText&gt;&lt;record&gt;&lt;titles&gt;&lt;title&gt;Interviewing; A practical guide for students and professionals&lt;/title&gt;&lt;/titles&gt;&lt;contributors&gt;&lt;authors&gt;&lt;author&gt;Keats, Daphne m.&lt;/author&gt;&lt;/authors&gt;&lt;/contributors&gt;&lt;added-date format="utc"&gt;1467883719&lt;/added-date&gt;&lt;pub-location&gt;Buckingham, Philadelphia&lt;/pub-location&gt;&lt;ref-type name="Book"&gt;6&lt;/ref-type&gt;&lt;dates&gt;&lt;year&gt;2000&lt;/year&gt;&lt;/dates&gt;&lt;rec-number&gt;262&lt;/rec-number&gt;&lt;publisher&gt;Open University Press&lt;/publisher&gt;&lt;last-updated-date format="utc"&gt;1467883833&lt;/last-updated-date&gt;&lt;/record&gt;&lt;/Cite&gt;&lt;/EndNote&gt;</w:instrText>
      </w:r>
      <w:r>
        <w:fldChar w:fldCharType="separate"/>
      </w:r>
      <w:r w:rsidR="006102D5">
        <w:rPr>
          <w:noProof/>
        </w:rPr>
        <w:t>(Keats, 2000</w:t>
      </w:r>
      <w:r w:rsidR="00CA1E0A">
        <w:rPr>
          <w:noProof/>
        </w:rPr>
        <w:t xml:space="preserve">; </w:t>
      </w:r>
      <w:r>
        <w:fldChar w:fldCharType="end"/>
      </w:r>
      <w:r>
        <w:t xml:space="preserve">p76). Reliability can be demonstrated by repeating the interview at a different time point or by checking question response by altering the questions. Owing to the fact it was not feasible or acceptable to repeat the interviews mostly due to participant time, the </w:t>
      </w:r>
      <w:r w:rsidR="00F6438B">
        <w:t>use</w:t>
      </w:r>
      <w:r>
        <w:t xml:space="preserve"> of variety in questioning during the interviews was employed. Responses were found to be similar especially where</w:t>
      </w:r>
      <w:r w:rsidR="00D61B4F">
        <w:t>:</w:t>
      </w:r>
      <w:r>
        <w:t xml:space="preserve"> participants </w:t>
      </w:r>
      <w:r>
        <w:lastRenderedPageBreak/>
        <w:t xml:space="preserve">were able to share experiences, the answers were found to be grounded in their lives </w:t>
      </w:r>
      <w:r w:rsidR="00DC65A9">
        <w:t xml:space="preserve">with consistent </w:t>
      </w:r>
      <w:r>
        <w:t>interpretation</w:t>
      </w:r>
      <w:r w:rsidR="00DC65A9">
        <w:t xml:space="preserve">, </w:t>
      </w:r>
      <w:r>
        <w:t xml:space="preserve">matching responses and viewpoints given each time. </w:t>
      </w:r>
    </w:p>
    <w:p w14:paraId="3ED22D2D" w14:textId="57FCE33A" w:rsidR="003C5C7C" w:rsidRDefault="00A331CA" w:rsidP="00F736C6">
      <w:r>
        <w:fldChar w:fldCharType="begin"/>
      </w:r>
      <w:r w:rsidR="006102D5">
        <w:instrText xml:space="preserve"> ADDIN EN.CITE &lt;EndNote&gt;&lt;Cite&gt;&lt;Author&gt;Keats&lt;/Author&gt;&lt;Year&gt;2000&lt;/Year&gt;&lt;IDText&gt;Interviewing; A practical guide for students and professionals&lt;/IDText&gt;&lt;DisplayText&gt;(Keats, 2000)&lt;/DisplayText&gt;&lt;record&gt;&lt;titles&gt;&lt;title&gt;Interviewing; A practical guide for students and professionals&lt;/title&gt;&lt;/titles&gt;&lt;contributors&gt;&lt;authors&gt;&lt;author&gt;Keats, Daphne m.&lt;/author&gt;&lt;/authors&gt;&lt;/contributors&gt;&lt;added-date format="utc"&gt;1467883719&lt;/added-date&gt;&lt;pub-location&gt;Buckingham, Philadelphia&lt;/pub-location&gt;&lt;ref-type name="Book"&gt;6&lt;/ref-type&gt;&lt;dates&gt;&lt;year&gt;2000&lt;/year&gt;&lt;/dates&gt;&lt;rec-number&gt;262&lt;/rec-number&gt;&lt;publisher&gt;Open University Press&lt;/publisher&gt;&lt;last-updated-date format="utc"&gt;1467883833&lt;/last-updated-date&gt;&lt;/record&gt;&lt;/Cite&gt;&lt;/EndNote&gt;</w:instrText>
      </w:r>
      <w:r>
        <w:fldChar w:fldCharType="separate"/>
      </w:r>
      <w:r w:rsidR="006102D5">
        <w:rPr>
          <w:noProof/>
        </w:rPr>
        <w:t>(Keats, 2000)</w:t>
      </w:r>
      <w:r>
        <w:fldChar w:fldCharType="end"/>
      </w:r>
      <w:r>
        <w:t xml:space="preserve"> </w:t>
      </w:r>
      <w:r w:rsidR="003C5C7C">
        <w:t>describes the importance of interviewer reliability</w:t>
      </w:r>
      <w:r w:rsidR="003A06E2">
        <w:t xml:space="preserve"> to ensure consistency</w:t>
      </w:r>
      <w:r w:rsidR="00B1605B">
        <w:t xml:space="preserve"> (p76)</w:t>
      </w:r>
      <w:r w:rsidR="003A06E2">
        <w:t>. For this reason</w:t>
      </w:r>
      <w:r w:rsidR="00D61B4F">
        <w:t>,</w:t>
      </w:r>
      <w:r w:rsidR="003A06E2">
        <w:t xml:space="preserve"> to maximise consistency</w:t>
      </w:r>
      <w:r w:rsidR="00B1605B">
        <w:t xml:space="preserve">, </w:t>
      </w:r>
      <w:r w:rsidR="00137253">
        <w:t>one researcher completed all interviews</w:t>
      </w:r>
      <w:r w:rsidR="003A06E2">
        <w:t xml:space="preserve">. Even with this level of consistency it was important to confirm that the interviewer was following the topic guide and overall proposed structure. It was possible to check this when transcribing the interviews and also when organising and summarising data </w:t>
      </w:r>
      <w:r w:rsidR="000A27DF">
        <w:t>into</w:t>
      </w:r>
      <w:r w:rsidR="003A06E2">
        <w:t xml:space="preserve"> the framework matrix</w:t>
      </w:r>
      <w:r w:rsidR="00DC65A9">
        <w:t>,</w:t>
      </w:r>
      <w:r w:rsidR="003A06E2">
        <w:t xml:space="preserve"> where each row and column for each interview under main themes</w:t>
      </w:r>
      <w:r w:rsidR="00D61B4F">
        <w:t xml:space="preserve"> </w:t>
      </w:r>
      <w:r w:rsidR="003A06E2">
        <w:t>include</w:t>
      </w:r>
      <w:r w:rsidR="00D61B4F">
        <w:t>d</w:t>
      </w:r>
      <w:r w:rsidR="003A06E2">
        <w:t xml:space="preserve"> comments fr</w:t>
      </w:r>
      <w:r w:rsidR="00D61B4F">
        <w:t>o</w:t>
      </w:r>
      <w:r w:rsidR="003A06E2">
        <w:t>m each interview. Some comments a</w:t>
      </w:r>
      <w:r w:rsidR="00FC5977">
        <w:t>nd</w:t>
      </w:r>
      <w:r w:rsidR="003A06E2">
        <w:t xml:space="preserve"> summarised notes were longer than other</w:t>
      </w:r>
      <w:r w:rsidR="00FC5977">
        <w:t>s</w:t>
      </w:r>
      <w:r w:rsidR="003A06E2">
        <w:t xml:space="preserve"> but consistency in covering the topic guide was seen. </w:t>
      </w:r>
      <w:r w:rsidR="00DD5BFC">
        <w:t xml:space="preserve">Multiple methods of recording </w:t>
      </w:r>
      <w:r w:rsidR="00FC5977">
        <w:t>were</w:t>
      </w:r>
      <w:r w:rsidR="00DD5BFC">
        <w:t xml:space="preserve"> also a way of improving reliability</w:t>
      </w:r>
      <w:r w:rsidR="00FC5977">
        <w:t>,</w:t>
      </w:r>
      <w:r w:rsidR="00DD5BFC">
        <w:t xml:space="preserve"> so alongside the audio recording</w:t>
      </w:r>
      <w:r w:rsidR="00D61B4F">
        <w:t>,</w:t>
      </w:r>
      <w:r w:rsidR="00DD5BFC">
        <w:t xml:space="preserve"> occasional field note</w:t>
      </w:r>
      <w:r w:rsidR="00DC65A9">
        <w:t>s</w:t>
      </w:r>
      <w:r w:rsidR="00DD5BFC">
        <w:t xml:space="preserve"> w</w:t>
      </w:r>
      <w:r w:rsidR="00DC65A9">
        <w:t>ere</w:t>
      </w:r>
      <w:r w:rsidR="00DD5BFC">
        <w:t xml:space="preserve"> made alongside the topic guide</w:t>
      </w:r>
      <w:r w:rsidR="00DC65A9">
        <w:t xml:space="preserve">, </w:t>
      </w:r>
      <w:r w:rsidR="00DD5BFC">
        <w:t xml:space="preserve">particularly for features such as body language and behaviour that may not have been captured on the tape. </w:t>
      </w:r>
    </w:p>
    <w:p w14:paraId="7382A1C6" w14:textId="2CD1BF70" w:rsidR="003C07DA" w:rsidRPr="00F736C6" w:rsidRDefault="003C07DA" w:rsidP="00F736C6">
      <w:r>
        <w:t xml:space="preserve">Validity in interviewing relates to ‘how well an instrument </w:t>
      </w:r>
      <w:r w:rsidR="003C7B19">
        <w:t xml:space="preserve">(interview output) </w:t>
      </w:r>
      <w:r>
        <w:t xml:space="preserve">measures what it is intended to measure’ </w:t>
      </w:r>
      <w:r>
        <w:fldChar w:fldCharType="begin"/>
      </w:r>
      <w:r w:rsidR="006102D5">
        <w:instrText xml:space="preserve"> ADDIN EN.CITE &lt;EndNote&gt;&lt;Cite&gt;&lt;Author&gt;Keats&lt;/Author&gt;&lt;Year&gt;2000&lt;/Year&gt;&lt;IDText&gt;Interviewing; A practical guide for students and professionals&lt;/IDText&gt;&lt;DisplayText&gt;(Keats, 2000)&lt;/DisplayText&gt;&lt;record&gt;&lt;titles&gt;&lt;title&gt;Interviewing; A practical guide for students and professionals&lt;/title&gt;&lt;/titles&gt;&lt;contributors&gt;&lt;authors&gt;&lt;author&gt;Keats, Daphne m.&lt;/author&gt;&lt;/authors&gt;&lt;/contributors&gt;&lt;added-date format="utc"&gt;1467883719&lt;/added-date&gt;&lt;pub-location&gt;Buckingham, Philadelphia&lt;/pub-location&gt;&lt;ref-type name="Book"&gt;6&lt;/ref-type&gt;&lt;dates&gt;&lt;year&gt;2000&lt;/year&gt;&lt;/dates&gt;&lt;rec-number&gt;262&lt;/rec-number&gt;&lt;publisher&gt;Open University Press&lt;/publisher&gt;&lt;last-updated-date format="utc"&gt;1467883833&lt;/last-updated-date&gt;&lt;/record&gt;&lt;/Cite&gt;&lt;/EndNote&gt;</w:instrText>
      </w:r>
      <w:r>
        <w:fldChar w:fldCharType="separate"/>
      </w:r>
      <w:r w:rsidR="006102D5">
        <w:rPr>
          <w:noProof/>
        </w:rPr>
        <w:t>(Keats, 2000</w:t>
      </w:r>
      <w:r w:rsidR="00CA1E0A">
        <w:rPr>
          <w:noProof/>
        </w:rPr>
        <w:t xml:space="preserve">; </w:t>
      </w:r>
      <w:r>
        <w:fldChar w:fldCharType="end"/>
      </w:r>
      <w:r>
        <w:t>p77).</w:t>
      </w:r>
      <w:r w:rsidR="003C7B19">
        <w:t xml:space="preserve"> Construct validity in interviewing relates to how well the questions </w:t>
      </w:r>
      <w:r w:rsidR="001E646D">
        <w:t>reflect the ‘constructs’ under investigation. Content validity relates to how thoroughly the ‘questions sample the field of behaviour’</w:t>
      </w:r>
      <w:r w:rsidR="00D61B4F">
        <w:t>.</w:t>
      </w:r>
      <w:r w:rsidR="001E646D">
        <w:t xml:space="preserve"> </w:t>
      </w:r>
      <w:r w:rsidR="00D61B4F">
        <w:t>F</w:t>
      </w:r>
      <w:r w:rsidR="001E646D">
        <w:t>ace validity</w:t>
      </w:r>
      <w:r w:rsidR="00D61B4F">
        <w:t xml:space="preserve"> relates to</w:t>
      </w:r>
      <w:r w:rsidR="001E646D">
        <w:t xml:space="preserve"> how the questions are perceived by the respondent in terms of how they interpret what they are concerning</w:t>
      </w:r>
      <w:r w:rsidR="00CC00D6">
        <w:t xml:space="preserve"> </w:t>
      </w:r>
      <w:r w:rsidR="00CC00D6">
        <w:fldChar w:fldCharType="begin"/>
      </w:r>
      <w:r w:rsidR="006102D5">
        <w:instrText xml:space="preserve"> ADDIN EN.CITE &lt;EndNote&gt;&lt;Cite&gt;&lt;Author&gt;Keats&lt;/Author&gt;&lt;Year&gt;2000&lt;/Year&gt;&lt;IDText&gt;Interviewing; A practical guide for students and professionals&lt;/IDText&gt;&lt;DisplayText&gt;(Keats, 2000)&lt;/DisplayText&gt;&lt;record&gt;&lt;titles&gt;&lt;title&gt;Interviewing; A practical guide for students and professionals&lt;/title&gt;&lt;/titles&gt;&lt;contributors&gt;&lt;authors&gt;&lt;author&gt;Keats, Daphne m.&lt;/author&gt;&lt;/authors&gt;&lt;/contributors&gt;&lt;added-date format="utc"&gt;1467883719&lt;/added-date&gt;&lt;pub-location&gt;Buckingham, Philadelphia&lt;/pub-location&gt;&lt;ref-type name="Book"&gt;6&lt;/ref-type&gt;&lt;dates&gt;&lt;year&gt;2000&lt;/year&gt;&lt;/dates&gt;&lt;rec-number&gt;262&lt;/rec-number&gt;&lt;publisher&gt;Open University Press&lt;/publisher&gt;&lt;last-updated-date format="utc"&gt;1467883833&lt;/last-updated-date&gt;&lt;/record&gt;&lt;/Cite&gt;&lt;/EndNote&gt;</w:instrText>
      </w:r>
      <w:r w:rsidR="00CC00D6">
        <w:fldChar w:fldCharType="separate"/>
      </w:r>
      <w:r w:rsidR="006102D5">
        <w:rPr>
          <w:noProof/>
        </w:rPr>
        <w:t>(Keats, 2000</w:t>
      </w:r>
      <w:r w:rsidR="00CA1E0A">
        <w:rPr>
          <w:noProof/>
        </w:rPr>
        <w:t xml:space="preserve">; </w:t>
      </w:r>
      <w:r w:rsidR="00CC00D6">
        <w:fldChar w:fldCharType="end"/>
      </w:r>
      <w:r w:rsidR="00CC00D6">
        <w:t>p77)</w:t>
      </w:r>
      <w:r w:rsidR="001E646D">
        <w:t xml:space="preserve">. </w:t>
      </w:r>
      <w:r w:rsidR="00D61B4F">
        <w:t xml:space="preserve">Both </w:t>
      </w:r>
      <w:r w:rsidR="001E646D">
        <w:t xml:space="preserve">elements were addressed by designing a topic guide that incorporated themes that had emerged from pilot </w:t>
      </w:r>
      <w:r w:rsidR="00173DE4">
        <w:t>focus group</w:t>
      </w:r>
      <w:r w:rsidR="001E646D">
        <w:t>s</w:t>
      </w:r>
      <w:r w:rsidR="0080730A">
        <w:t>,</w:t>
      </w:r>
      <w:r w:rsidR="001E646D">
        <w:t xml:space="preserve"> so were </w:t>
      </w:r>
      <w:r w:rsidR="001E646D">
        <w:lastRenderedPageBreak/>
        <w:t>grounded in the original data and linked back specifically to the research question. The content validity was assessed through research supervisors, two of w</w:t>
      </w:r>
      <w:r w:rsidR="00D61B4F">
        <w:t>hom</w:t>
      </w:r>
      <w:r w:rsidR="001E646D">
        <w:t xml:space="preserve"> had experience and expertise in qualitative research and </w:t>
      </w:r>
      <w:r w:rsidR="00D61B4F">
        <w:t>in-</w:t>
      </w:r>
      <w:r w:rsidR="001E646D">
        <w:t>depth interviewing, checking over transcripts alongside the topic guide</w:t>
      </w:r>
      <w:r w:rsidR="00DF11EE">
        <w:t>,</w:t>
      </w:r>
      <w:r w:rsidR="001E646D">
        <w:t xml:space="preserve"> and themes that had emerged through the analytical process performed by the researcher. The transcripts where selected and checked at random and were felt to demonstrate both content validity and face validity based on the answers given by the respondents, which were relevant and broad, covering all topics. </w:t>
      </w:r>
    </w:p>
    <w:p w14:paraId="285205DA" w14:textId="2783D52C" w:rsidR="00D41D21" w:rsidRDefault="00FC5CA8" w:rsidP="00D41D21">
      <w:pPr>
        <w:pStyle w:val="Heading3"/>
      </w:pPr>
      <w:bookmarkStart w:id="111" w:name="_Toc343501122"/>
      <w:bookmarkStart w:id="112" w:name="_Toc348686323"/>
      <w:bookmarkStart w:id="113" w:name="_Toc419116118"/>
      <w:r>
        <w:t xml:space="preserve">Qualitative data: </w:t>
      </w:r>
      <w:r w:rsidR="00853870">
        <w:t xml:space="preserve">Thematic analysis </w:t>
      </w:r>
      <w:proofErr w:type="spellStart"/>
      <w:r w:rsidR="00853870">
        <w:t>utilising</w:t>
      </w:r>
      <w:proofErr w:type="spellEnd"/>
      <w:r w:rsidR="00853870">
        <w:t xml:space="preserve"> </w:t>
      </w:r>
      <w:r w:rsidR="00C02A5C">
        <w:t>f</w:t>
      </w:r>
      <w:r w:rsidR="00E830C5">
        <w:t xml:space="preserve">ramework </w:t>
      </w:r>
      <w:bookmarkEnd w:id="111"/>
      <w:bookmarkEnd w:id="112"/>
      <w:r w:rsidR="00853870">
        <w:t xml:space="preserve">in </w:t>
      </w:r>
      <w:proofErr w:type="spellStart"/>
      <w:r w:rsidR="00853870">
        <w:t>Nvivo</w:t>
      </w:r>
      <w:bookmarkEnd w:id="113"/>
      <w:proofErr w:type="spellEnd"/>
      <w:r w:rsidR="00E830C5">
        <w:t xml:space="preserve"> </w:t>
      </w:r>
    </w:p>
    <w:p w14:paraId="1D27BDAC" w14:textId="77777777" w:rsidR="00D41D21" w:rsidRDefault="00D41D21" w:rsidP="00FB699E"/>
    <w:p w14:paraId="0A9C64BE" w14:textId="29C173F7" w:rsidR="00EA6DA1" w:rsidRDefault="002B159A" w:rsidP="00FB699E">
      <w:r>
        <w:t xml:space="preserve">The processes involved in analysing qualitative data can be divided </w:t>
      </w:r>
      <w:r w:rsidR="000A27DF">
        <w:t>into</w:t>
      </w:r>
      <w:r>
        <w:t xml:space="preserve"> ‘data management’</w:t>
      </w:r>
      <w:r w:rsidR="00DF11EE">
        <w:t>,</w:t>
      </w:r>
      <w:r>
        <w:t xml:space="preserve"> followed by ‘abstraction and interpretation’ </w:t>
      </w:r>
      <w:r>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6102D5">
        <w:rPr>
          <w:noProof/>
        </w:rPr>
        <w:t>(Ritchie et al., 2014</w:t>
      </w:r>
      <w:r w:rsidR="00CA1E0A">
        <w:rPr>
          <w:noProof/>
        </w:rPr>
        <w:t xml:space="preserve">; </w:t>
      </w:r>
      <w:r>
        <w:fldChar w:fldCharType="end"/>
      </w:r>
      <w:r>
        <w:t xml:space="preserve">p270). The primary approach </w:t>
      </w:r>
      <w:r w:rsidR="00337A7E">
        <w:t>used</w:t>
      </w:r>
      <w:r>
        <w:t xml:space="preserve"> in this study was thematic analysis</w:t>
      </w:r>
      <w:r w:rsidR="000C3B36">
        <w:t xml:space="preserve"> of focus groups,</w:t>
      </w:r>
      <w:r w:rsidR="00A331CA">
        <w:t xml:space="preserve"> interviews</w:t>
      </w:r>
      <w:r w:rsidR="000C3B36">
        <w:t>, then all data</w:t>
      </w:r>
      <w:r>
        <w:t xml:space="preserve"> where ‘clusters and patterns of meaning within the data’ are ‘discovered, interpreted and reported’ </w:t>
      </w:r>
      <w:r>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6102D5">
        <w:rPr>
          <w:noProof/>
        </w:rPr>
        <w:t>(Ritchie et al., 2014</w:t>
      </w:r>
      <w:r w:rsidR="00CA1E0A">
        <w:rPr>
          <w:noProof/>
        </w:rPr>
        <w:t xml:space="preserve">; </w:t>
      </w:r>
      <w:r>
        <w:fldChar w:fldCharType="end"/>
      </w:r>
      <w:r w:rsidR="00853870">
        <w:t>p271</w:t>
      </w:r>
      <w:r w:rsidR="00DF11EE">
        <w:t>)</w:t>
      </w:r>
      <w:r>
        <w:t>. During this iterative process employing constant comparison with previous data, key</w:t>
      </w:r>
      <w:r w:rsidR="00EA6DA1">
        <w:t xml:space="preserve"> emergent</w:t>
      </w:r>
      <w:r>
        <w:t xml:space="preserve"> themes and recognisable topics </w:t>
      </w:r>
      <w:r w:rsidR="00EA6DA1">
        <w:t>were noted. S</w:t>
      </w:r>
      <w:r>
        <w:t>imilar</w:t>
      </w:r>
      <w:r w:rsidR="00EA6DA1">
        <w:t xml:space="preserve"> </w:t>
      </w:r>
      <w:r>
        <w:t>themes</w:t>
      </w:r>
      <w:r w:rsidR="00EA6DA1">
        <w:t xml:space="preserve"> were grouped</w:t>
      </w:r>
      <w:r>
        <w:t xml:space="preserve"> </w:t>
      </w:r>
      <w:r w:rsidR="00EA6DA1">
        <w:t>and related supporting</w:t>
      </w:r>
      <w:r>
        <w:t xml:space="preserve"> topics </w:t>
      </w:r>
      <w:r w:rsidR="00EA6DA1">
        <w:t>became</w:t>
      </w:r>
      <w:r>
        <w:t xml:space="preserve"> </w:t>
      </w:r>
      <w:r w:rsidR="00EE6345">
        <w:t>sub-themes</w:t>
      </w:r>
      <w:r>
        <w:t>.</w:t>
      </w:r>
      <w:r w:rsidR="00DC59C0">
        <w:t xml:space="preserve"> A more </w:t>
      </w:r>
      <w:r w:rsidR="003A7D42">
        <w:t>in depth</w:t>
      </w:r>
      <w:r w:rsidR="000C3B36">
        <w:t xml:space="preserve"> </w:t>
      </w:r>
      <w:r w:rsidR="00DC59C0">
        <w:t>approach was then employed as data was triangulated.</w:t>
      </w:r>
      <w:r>
        <w:t xml:space="preserve"> </w:t>
      </w:r>
      <w:r w:rsidR="000C3B36">
        <w:t xml:space="preserve">This involved mapping themes back to initial data to look for comparisons that were interwoven throughout data. Space to allow time to think was allowed between each stage of interpretation to allow for abstract </w:t>
      </w:r>
      <w:proofErr w:type="spellStart"/>
      <w:r w:rsidR="000C3B36">
        <w:t>conceptualisiation</w:t>
      </w:r>
      <w:proofErr w:type="spellEnd"/>
      <w:r w:rsidR="000C3B36">
        <w:t xml:space="preserve"> and to tap in to personal observations. </w:t>
      </w:r>
      <w:r w:rsidR="00EA6DA1">
        <w:t xml:space="preserve">The specific method used in this study is described in </w:t>
      </w:r>
      <w:r w:rsidR="001D42C9">
        <w:t>Chapter</w:t>
      </w:r>
      <w:r w:rsidR="00EA6DA1">
        <w:t xml:space="preserve"> 7 (7.3.6) with examples in appendices. </w:t>
      </w:r>
      <w:r>
        <w:t xml:space="preserve">Braun and Clarke (2006) </w:t>
      </w:r>
      <w:r w:rsidR="00511ED1">
        <w:t>and Joffe</w:t>
      </w:r>
      <w:r>
        <w:t xml:space="preserve"> (2012) </w:t>
      </w:r>
      <w:r w:rsidR="00511ED1">
        <w:lastRenderedPageBreak/>
        <w:t>concur</w:t>
      </w:r>
      <w:r w:rsidR="00EA6DA1">
        <w:t xml:space="preserve"> that </w:t>
      </w:r>
      <w:r>
        <w:t xml:space="preserve">this process should ‘address the overall research question’ </w:t>
      </w:r>
      <w:r>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6102D5">
        <w:rPr>
          <w:noProof/>
        </w:rPr>
        <w:t>(Ritchie et al., 2014</w:t>
      </w:r>
      <w:r w:rsidR="00CA1E0A">
        <w:rPr>
          <w:noProof/>
        </w:rPr>
        <w:t xml:space="preserve">; </w:t>
      </w:r>
      <w:r>
        <w:fldChar w:fldCharType="end"/>
      </w:r>
      <w:r w:rsidR="00853870">
        <w:t>p271</w:t>
      </w:r>
      <w:r w:rsidR="00DF11EE">
        <w:t>)</w:t>
      </w:r>
      <w:r>
        <w:t xml:space="preserve">. </w:t>
      </w:r>
    </w:p>
    <w:p w14:paraId="72EE83A2" w14:textId="0D7FEDB6" w:rsidR="002B159A" w:rsidRDefault="002B159A" w:rsidP="00FB699E">
      <w:r>
        <w:t>Thematic analysis is considered by some</w:t>
      </w:r>
      <w:r w:rsidR="009F6076">
        <w:t>,</w:t>
      </w:r>
      <w:r>
        <w:t xml:space="preserve"> such as Ryan and Bernard (2000) to be more of a general analytical process </w:t>
      </w:r>
      <w:r w:rsidR="00EA6DA1">
        <w:t xml:space="preserve">due to lack of </w:t>
      </w:r>
      <w:r>
        <w:t>‘theoretical constructs’</w:t>
      </w:r>
      <w:r w:rsidR="009F6076">
        <w:t xml:space="preserve"> </w:t>
      </w:r>
      <w:r w:rsidR="009F6076">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9F6076">
        <w:fldChar w:fldCharType="separate"/>
      </w:r>
      <w:r w:rsidR="006102D5">
        <w:rPr>
          <w:noProof/>
        </w:rPr>
        <w:t>(Ritchie et al., 2014</w:t>
      </w:r>
      <w:r w:rsidR="00CA1E0A">
        <w:rPr>
          <w:noProof/>
        </w:rPr>
        <w:t xml:space="preserve">; </w:t>
      </w:r>
      <w:r w:rsidR="009F6076">
        <w:fldChar w:fldCharType="end"/>
      </w:r>
      <w:r w:rsidR="009F6076">
        <w:t>p271). Along with thematic analysis</w:t>
      </w:r>
      <w:r w:rsidR="00EA6DA1">
        <w:t xml:space="preserve"> in this study</w:t>
      </w:r>
      <w:r w:rsidR="009F6076">
        <w:t>, a</w:t>
      </w:r>
      <w:r w:rsidR="006D5A3C">
        <w:t>n approach based on</w:t>
      </w:r>
      <w:r w:rsidR="009F6076">
        <w:t xml:space="preserve"> </w:t>
      </w:r>
      <w:r w:rsidR="001D42C9">
        <w:t>Grounded Theory</w:t>
      </w:r>
      <w:r w:rsidR="009F6076">
        <w:t xml:space="preserve"> was employed</w:t>
      </w:r>
      <w:r w:rsidR="006D5A3C">
        <w:t>, using some of the tools of Grounded Theory only</w:t>
      </w:r>
      <w:r w:rsidR="00EA6DA1">
        <w:t>,</w:t>
      </w:r>
      <w:r w:rsidR="009F6076">
        <w:t xml:space="preserve"> which is underpinned by theoretical constructs. This process involve</w:t>
      </w:r>
      <w:r w:rsidR="00EA6DA1">
        <w:t>d</w:t>
      </w:r>
      <w:r w:rsidR="009F6076">
        <w:t xml:space="preserve"> the ‘generation of analytic categories and their dimensions, and the identification of relationships between them’ </w:t>
      </w:r>
      <w:r w:rsidR="009F6076">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9F6076">
        <w:fldChar w:fldCharType="separate"/>
      </w:r>
      <w:r w:rsidR="006102D5">
        <w:rPr>
          <w:noProof/>
        </w:rPr>
        <w:t>(Ritchie et al., 2014</w:t>
      </w:r>
      <w:r w:rsidR="00CA1E0A">
        <w:rPr>
          <w:noProof/>
        </w:rPr>
        <w:t xml:space="preserve">; </w:t>
      </w:r>
      <w:r w:rsidR="009F6076">
        <w:fldChar w:fldCharType="end"/>
      </w:r>
      <w:r w:rsidR="009F6076">
        <w:t xml:space="preserve">p271). This approach championed by Charmaz (2006), Glaser and Strauss (1967) and Strauss and Corbin (1998) described collection of qualitative data until ‘saturation’ of themes is experienced as described </w:t>
      </w:r>
      <w:r w:rsidR="00EA6DA1">
        <w:t xml:space="preserve">in </w:t>
      </w:r>
      <w:r w:rsidR="009F6076">
        <w:t>sampling. This ‘saturation’ equates to the emergence of no new themes or ideas that will inform or change the shape of the emergent theory that has been discovered or interpreted fr</w:t>
      </w:r>
      <w:r w:rsidR="002C6F84">
        <w:t>o</w:t>
      </w:r>
      <w:r w:rsidR="009F6076">
        <w:t xml:space="preserve">m the data </w:t>
      </w:r>
      <w:r w:rsidR="009F6076">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9F6076">
        <w:fldChar w:fldCharType="separate"/>
      </w:r>
      <w:r w:rsidR="006102D5">
        <w:rPr>
          <w:noProof/>
        </w:rPr>
        <w:t>(Ritchie et al., 2014</w:t>
      </w:r>
      <w:r w:rsidR="00CA1E0A">
        <w:rPr>
          <w:noProof/>
        </w:rPr>
        <w:t xml:space="preserve">; </w:t>
      </w:r>
      <w:r w:rsidR="009F6076">
        <w:fldChar w:fldCharType="end"/>
      </w:r>
      <w:r w:rsidR="0030676D">
        <w:t>p271</w:t>
      </w:r>
      <w:r w:rsidR="00DF11EE">
        <w:t>)</w:t>
      </w:r>
      <w:r w:rsidR="009F6076">
        <w:t xml:space="preserve">. </w:t>
      </w:r>
    </w:p>
    <w:p w14:paraId="26837AF9" w14:textId="47061783" w:rsidR="006D5A3C" w:rsidRDefault="009F6076" w:rsidP="002C6F84">
      <w:r>
        <w:t xml:space="preserve">In terms of approaches to the process of qualitative data analysis, Ritchie et al. (2014) describe both </w:t>
      </w:r>
      <w:r w:rsidR="001D42C9">
        <w:t>Grounded Theory</w:t>
      </w:r>
      <w:r>
        <w:t xml:space="preserve"> and thematic analysis as ‘substantive approaches’, ‘concerned with capturing and interpreting meanings within the data’ </w:t>
      </w:r>
      <w:r>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6102D5">
        <w:rPr>
          <w:noProof/>
        </w:rPr>
        <w:t>(Ritchie et al., 2014</w:t>
      </w:r>
      <w:r w:rsidR="00CA1E0A">
        <w:rPr>
          <w:noProof/>
        </w:rPr>
        <w:t xml:space="preserve">; </w:t>
      </w:r>
      <w:r>
        <w:fldChar w:fldCharType="end"/>
      </w:r>
      <w:r w:rsidR="00C2222F">
        <w:t>p272</w:t>
      </w:r>
      <w:r w:rsidR="00DF11EE">
        <w:t>)</w:t>
      </w:r>
      <w:r>
        <w:t>. The meaning interpreted comes fr</w:t>
      </w:r>
      <w:r w:rsidR="00DF11EE">
        <w:t>o</w:t>
      </w:r>
      <w:r>
        <w:t>m ‘feelings</w:t>
      </w:r>
      <w:r w:rsidR="002C6F84">
        <w:t>’</w:t>
      </w:r>
      <w:r>
        <w:t xml:space="preserve"> and ‘perceptions of events’ through the eyes of the participants</w:t>
      </w:r>
      <w:r w:rsidR="00305570">
        <w:t xml:space="preserve"> (p272)</w:t>
      </w:r>
      <w:r>
        <w:t xml:space="preserve">. </w:t>
      </w:r>
      <w:r w:rsidR="00305570">
        <w:t>This contrasts to other forms of analysis (e.g. Conversation analysis</w:t>
      </w:r>
      <w:r w:rsidR="00511ED1">
        <w:t>), which</w:t>
      </w:r>
      <w:r w:rsidR="00305570">
        <w:t xml:space="preserve"> focus on the words or language used</w:t>
      </w:r>
      <w:r w:rsidR="002C6F84">
        <w:t xml:space="preserve">. </w:t>
      </w:r>
    </w:p>
    <w:p w14:paraId="3E5E245D" w14:textId="3148AA28" w:rsidR="002C6F84" w:rsidRDefault="002C6F84" w:rsidP="002C6F84">
      <w:r>
        <w:lastRenderedPageBreak/>
        <w:t>Miles and Huberman (1994) support this by stating that the aim of qualitative research is to ‘understand the patterns, the recurrences and the whys’ and that ‘just naming and classifying’, ‘is not enough’</w:t>
      </w:r>
      <w:r w:rsidR="003D6D04">
        <w:t xml:space="preserve"> </w:t>
      </w:r>
      <w:r>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6102D5">
        <w:rPr>
          <w:noProof/>
        </w:rPr>
        <w:t>(Ritchie et al., 2014</w:t>
      </w:r>
      <w:r w:rsidR="00CA1E0A">
        <w:rPr>
          <w:noProof/>
        </w:rPr>
        <w:t xml:space="preserve">; </w:t>
      </w:r>
      <w:r>
        <w:fldChar w:fldCharType="end"/>
      </w:r>
      <w:r>
        <w:t xml:space="preserve">p275). Others </w:t>
      </w:r>
      <w:r w:rsidR="006D5A3C">
        <w:t xml:space="preserve">expand </w:t>
      </w:r>
      <w:r>
        <w:t>and describe that in addition to the deep explanations and understanding, there should also be generation of new theory</w:t>
      </w:r>
      <w:r w:rsidR="006D5A3C">
        <w:t>, which this study has aimed to do (Richards and Richards 1994)</w:t>
      </w:r>
      <w:r>
        <w:t xml:space="preserve">. </w:t>
      </w:r>
    </w:p>
    <w:p w14:paraId="69C9B398" w14:textId="2C41708D" w:rsidR="00AC38C3" w:rsidRDefault="006B7B19" w:rsidP="00FB699E">
      <w:r>
        <w:t>The concept of ‘framework matrices’ are based on initial works by Miles and Huberman (1994) as a way of managing the data</w:t>
      </w:r>
      <w:r w:rsidR="00C90783">
        <w:t>,</w:t>
      </w:r>
      <w:r>
        <w:t xml:space="preserve"> to allow the researcher to move between cases (interviews or </w:t>
      </w:r>
      <w:r w:rsidR="00173DE4">
        <w:t>focus group</w:t>
      </w:r>
      <w:r>
        <w:t>s) and within cases</w:t>
      </w:r>
      <w:r w:rsidR="002C6F84">
        <w:t>,</w:t>
      </w:r>
      <w:r>
        <w:t xml:space="preserve"> and allow the original data to be linked back to and accessed. </w:t>
      </w:r>
      <w:r w:rsidR="007A5DE3">
        <w:t>They were initially designed o</w:t>
      </w:r>
      <w:r w:rsidR="00AB671C">
        <w:t xml:space="preserve">n paper in the 1980s at </w:t>
      </w:r>
      <w:r w:rsidR="001150AF">
        <w:t xml:space="preserve">the </w:t>
      </w:r>
      <w:r w:rsidR="00511ED1">
        <w:t>Nat</w:t>
      </w:r>
      <w:r w:rsidR="001150AF">
        <w:t>ional</w:t>
      </w:r>
      <w:r w:rsidR="00511ED1">
        <w:t xml:space="preserve"> Cen</w:t>
      </w:r>
      <w:r w:rsidR="001150AF">
        <w:t>tre for Social Research</w:t>
      </w:r>
      <w:r w:rsidR="006D5A3C">
        <w:t xml:space="preserve"> which initially limited the ability to move easily between cases and data, but </w:t>
      </w:r>
      <w:r w:rsidR="007A5DE3">
        <w:t>in 2009</w:t>
      </w:r>
      <w:r w:rsidR="002C6F84">
        <w:t>,</w:t>
      </w:r>
      <w:r w:rsidR="007A5DE3">
        <w:t xml:space="preserve"> were </w:t>
      </w:r>
      <w:r w:rsidR="00511ED1">
        <w:t>incorporated</w:t>
      </w:r>
      <w:r w:rsidR="007A5DE3">
        <w:t xml:space="preserve"> </w:t>
      </w:r>
      <w:r w:rsidR="000A27DF">
        <w:t>into</w:t>
      </w:r>
      <w:r w:rsidR="007A5DE3">
        <w:t xml:space="preserve"> a computer-assisted qualitative data analysis software programme (CAQ-DAS) (</w:t>
      </w:r>
      <w:r w:rsidR="00511ED1">
        <w:t>NVivo</w:t>
      </w:r>
      <w:r w:rsidR="007A5DE3">
        <w:t>)</w:t>
      </w:r>
      <w:r w:rsidR="003A7D42">
        <w:t>. Using</w:t>
      </w:r>
      <w:r w:rsidR="00B30B71">
        <w:t xml:space="preserve"> </w:t>
      </w:r>
      <w:r w:rsidR="00527A68">
        <w:t>CAQ-DAS for analysis</w:t>
      </w:r>
      <w:r w:rsidR="00B30B71">
        <w:t xml:space="preserve"> </w:t>
      </w:r>
      <w:r w:rsidR="00527A68">
        <w:t>allow</w:t>
      </w:r>
      <w:r w:rsidR="00C90783">
        <w:t>s</w:t>
      </w:r>
      <w:r w:rsidR="00527A68">
        <w:t xml:space="preserve"> data storage all in one place</w:t>
      </w:r>
      <w:r w:rsidR="006256D0">
        <w:t>; the summarised information to be linked back to original data stored; development of an ‘analytic structure’ to ‘group’ the data</w:t>
      </w:r>
      <w:r w:rsidR="00B30B71">
        <w:t xml:space="preserve"> and </w:t>
      </w:r>
      <w:r w:rsidR="006256D0">
        <w:t>allow</w:t>
      </w:r>
      <w:r w:rsidR="00C90783">
        <w:t>s</w:t>
      </w:r>
      <w:r w:rsidR="006256D0">
        <w:t xml:space="preserve"> coding of the data within this ‘structure’</w:t>
      </w:r>
      <w:r w:rsidR="00B30B71">
        <w:t xml:space="preserve"> </w:t>
      </w:r>
      <w:r w:rsidR="006D5A3C">
        <w:t xml:space="preserve">and addresses some of the limitations </w:t>
      </w:r>
      <w:proofErr w:type="spellStart"/>
      <w:r w:rsidR="006D5A3C">
        <w:t>previosuly</w:t>
      </w:r>
      <w:proofErr w:type="spellEnd"/>
      <w:r w:rsidR="006D5A3C">
        <w:t xml:space="preserve"> identified </w:t>
      </w:r>
      <w:r w:rsidR="006256D0">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6256D0">
        <w:fldChar w:fldCharType="separate"/>
      </w:r>
      <w:r w:rsidR="006102D5">
        <w:rPr>
          <w:noProof/>
        </w:rPr>
        <w:t>(Ritchie et al., 2014</w:t>
      </w:r>
      <w:r w:rsidR="00CA1E0A">
        <w:rPr>
          <w:noProof/>
        </w:rPr>
        <w:t>;</w:t>
      </w:r>
      <w:r w:rsidR="006256D0">
        <w:fldChar w:fldCharType="end"/>
      </w:r>
      <w:r w:rsidR="00C2222F">
        <w:t xml:space="preserve"> </w:t>
      </w:r>
      <w:r w:rsidR="006256D0">
        <w:t xml:space="preserve">p288). </w:t>
      </w:r>
      <w:r w:rsidR="00B30B71">
        <w:t xml:space="preserve">It </w:t>
      </w:r>
      <w:r w:rsidR="006256D0">
        <w:t xml:space="preserve">is </w:t>
      </w:r>
      <w:r w:rsidR="00B30B71">
        <w:t xml:space="preserve">possible to perform framework analysis on paper, but </w:t>
      </w:r>
      <w:r w:rsidR="006256D0">
        <w:t xml:space="preserve">very challenging </w:t>
      </w:r>
      <w:r w:rsidR="006D5A3C">
        <w:t xml:space="preserve">due to the volume of data, </w:t>
      </w:r>
      <w:r w:rsidR="006256D0">
        <w:t xml:space="preserve">to add new cases or themes and link </w:t>
      </w:r>
      <w:r w:rsidR="006D5A3C">
        <w:t xml:space="preserve">these </w:t>
      </w:r>
      <w:r w:rsidR="006256D0">
        <w:t xml:space="preserve">back to original data. </w:t>
      </w:r>
    </w:p>
    <w:p w14:paraId="64C5B215" w14:textId="77777777" w:rsidR="00B32950" w:rsidRDefault="00295F77" w:rsidP="00A95439">
      <w:r>
        <w:t xml:space="preserve">Part of the analytic process is </w:t>
      </w:r>
      <w:r w:rsidR="00137253">
        <w:t>generalising</w:t>
      </w:r>
      <w:r>
        <w:t xml:space="preserve"> fr</w:t>
      </w:r>
      <w:r w:rsidR="008C7151">
        <w:t>o</w:t>
      </w:r>
      <w:r>
        <w:t xml:space="preserve">m the </w:t>
      </w:r>
      <w:r w:rsidR="00137253">
        <w:t>data, which</w:t>
      </w:r>
      <w:r>
        <w:t xml:space="preserve"> Hammersley (1992) describes as being ‘empirical’ (‘application to populations beyond the sample study’/ ‘transferability’/‘external validity’) or ‘theoretical’ (‘theory </w:t>
      </w:r>
      <w:r>
        <w:lastRenderedPageBreak/>
        <w:t xml:space="preserve">building’/‘wider or universal application’). This research has allowed both levels of </w:t>
      </w:r>
      <w:r w:rsidR="001F6718">
        <w:t>generalisability</w:t>
      </w:r>
      <w:r>
        <w:t xml:space="preserve">. </w:t>
      </w:r>
      <w:r w:rsidR="005E11FB">
        <w:t xml:space="preserve"> </w:t>
      </w:r>
    </w:p>
    <w:p w14:paraId="423F1CB6" w14:textId="49222BF1" w:rsidR="00E152EA" w:rsidRPr="00A95439" w:rsidRDefault="005E11FB" w:rsidP="00A95439">
      <w:r>
        <w:t xml:space="preserve">The main benefits of using CAQDAS are </w:t>
      </w:r>
      <w:r w:rsidR="007F0386">
        <w:t xml:space="preserve">firstly </w:t>
      </w:r>
      <w:r>
        <w:t>that of saving time through ability to</w:t>
      </w:r>
      <w:r w:rsidR="00B32950">
        <w:t xml:space="preserve"> handle a large amount of data</w:t>
      </w:r>
      <w:r w:rsidR="004442F1">
        <w:t xml:space="preserve"> which</w:t>
      </w:r>
      <w:r w:rsidR="007F0386">
        <w:t xml:space="preserve"> free</w:t>
      </w:r>
      <w:r w:rsidR="004442F1">
        <w:t>s</w:t>
      </w:r>
      <w:r w:rsidR="007F0386">
        <w:t xml:space="preserve"> up time for the researcher to ‘think more about meaning’ </w:t>
      </w:r>
      <w:r w:rsidR="007F0386">
        <w:fldChar w:fldCharType="begin"/>
      </w:r>
      <w:r w:rsidR="007F0386">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7F0386">
        <w:fldChar w:fldCharType="separate"/>
      </w:r>
      <w:r w:rsidR="007F0386">
        <w:rPr>
          <w:noProof/>
        </w:rPr>
        <w:t>(Ritchie et al., 2014)</w:t>
      </w:r>
      <w:r w:rsidR="007F0386">
        <w:fldChar w:fldCharType="end"/>
      </w:r>
      <w:r w:rsidR="00076782">
        <w:t>. Secondly, a</w:t>
      </w:r>
      <w:r>
        <w:t xml:space="preserve">bility to work as a team from different locations and </w:t>
      </w:r>
      <w:r w:rsidR="00076782">
        <w:t>finally adding</w:t>
      </w:r>
      <w:r>
        <w:t xml:space="preserve"> rigour </w:t>
      </w:r>
      <w:r w:rsidR="00B32950">
        <w:t xml:space="preserve">through making ‘quality easier to demonstrate’, through </w:t>
      </w:r>
      <w:r w:rsidR="004442F1">
        <w:t xml:space="preserve">the </w:t>
      </w:r>
      <w:r w:rsidR="003A0536">
        <w:t xml:space="preserve">visible </w:t>
      </w:r>
      <w:r w:rsidR="00B32950">
        <w:t xml:space="preserve">interrogation of all data sources </w:t>
      </w:r>
      <w:r w:rsidR="00B32950">
        <w:fldChar w:fldCharType="begin"/>
      </w:r>
      <w:r w:rsidR="00B32950">
        <w:instrText xml:space="preserve"> ADDIN EN.CITE &lt;EndNote&gt;&lt;Cite&gt;&lt;Author&gt;Flick&lt;/Author&gt;&lt;Year&gt;2009&lt;/Year&gt;&lt;IDText&gt;An Introduction to Qualitative Research&lt;/IDText&gt;&lt;DisplayText&gt;(Flick, 2009, Seale, 2010)&lt;/DisplayText&gt;&lt;record&gt;&lt;titles&gt;&lt;title&gt;An Introduction to Qualitative Research&lt;/title&gt;&lt;/titles&gt;&lt;contributors&gt;&lt;authors&gt;&lt;author&gt;Flick, U.&lt;/author&gt;&lt;/authors&gt;&lt;/contributors&gt;&lt;edition&gt;4th&lt;/edition&gt;&lt;added-date format="utc"&gt;1534017980&lt;/added-date&gt;&lt;pub-location&gt;London&lt;/pub-location&gt;&lt;ref-type name="Book"&gt;6&lt;/ref-type&gt;&lt;dates&gt;&lt;year&gt;2009&lt;/year&gt;&lt;/dates&gt;&lt;rec-number&gt;391&lt;/rec-number&gt;&lt;publisher&gt;Sage&lt;/publisher&gt;&lt;last-updated-date format="utc"&gt;1534018040&lt;/last-updated-date&gt;&lt;/record&gt;&lt;/Cite&gt;&lt;Cite&gt;&lt;Author&gt;Seale&lt;/Author&gt;&lt;Year&gt;2010&lt;/Year&gt;&lt;IDText&gt;Using computers to analyse qualitative data&lt;/IDText&gt;&lt;record&gt;&lt;titles&gt;&lt;title&gt;Using computers to analyse qualitative data&lt;/title&gt;&lt;secondary-title&gt;Doing Qualitative Research: a Practical Handbook&lt;/secondary-title&gt;&lt;/titles&gt;&lt;pages&gt;251 - 267&lt;/pages&gt;&lt;contributors&gt;&lt;authors&gt;&lt;author&gt;Seale, C.&lt;/author&gt;&lt;/authors&gt;&lt;/contributors&gt;&lt;edition&gt;3rd&lt;/edition&gt;&lt;added-date format="utc"&gt;1534018098&lt;/added-date&gt;&lt;pub-location&gt;London&lt;/pub-location&gt;&lt;ref-type name="Book Section"&gt;5&lt;/ref-type&gt;&lt;dates&gt;&lt;year&gt;2010&lt;/year&gt;&lt;/dates&gt;&lt;rec-number&gt;392&lt;/rec-number&gt;&lt;publisher&gt;Sage&lt;/publisher&gt;&lt;last-updated-date format="utc"&gt;1534018226&lt;/last-updated-date&gt;&lt;contributors&gt;&lt;secondary-authors&gt;&lt;author&gt;Silverman, D&lt;/author&gt;&lt;/secondary-authors&gt;&lt;/contributors&gt;&lt;/record&gt;&lt;/Cite&gt;&lt;/EndNote&gt;</w:instrText>
      </w:r>
      <w:r w:rsidR="00B32950">
        <w:fldChar w:fldCharType="separate"/>
      </w:r>
      <w:r w:rsidR="00B32950">
        <w:rPr>
          <w:noProof/>
        </w:rPr>
        <w:t>(Flick, 2009, Seale, 2010)</w:t>
      </w:r>
      <w:r w:rsidR="00B32950">
        <w:fldChar w:fldCharType="end"/>
      </w:r>
      <w:r w:rsidR="00B32950">
        <w:t>.</w:t>
      </w:r>
      <w:r w:rsidR="007F0386">
        <w:t xml:space="preserve"> Others opine that these benefits are </w:t>
      </w:r>
      <w:r w:rsidR="00C231FD">
        <w:t>limitations</w:t>
      </w:r>
      <w:r w:rsidR="007F0386">
        <w:t xml:space="preserve"> and can encourage ‘short-cuts’ in data analysis </w:t>
      </w:r>
      <w:r w:rsidR="007F0386">
        <w:fldChar w:fldCharType="begin"/>
      </w:r>
      <w:r w:rsidR="007F0386">
        <w:instrText xml:space="preserve"> ADDIN EN.CITE &lt;EndNote&gt;&lt;Cite&gt;&lt;Author&gt;Weitzman&lt;/Author&gt;&lt;Year&gt;2000&lt;/Year&gt;&lt;IDText&gt;Software and qualitative research&lt;/IDText&gt;&lt;DisplayText&gt;(Weitzman, 2000)&lt;/DisplayText&gt;&lt;record&gt;&lt;titles&gt;&lt;title&gt;Software and qualitative research&lt;/title&gt;&lt;secondary-title&gt;Handbook of Qualitative Research&lt;/secondary-title&gt;&lt;/titles&gt;&lt;pages&gt;803 - 820&lt;/pages&gt;&lt;contributors&gt;&lt;authors&gt;&lt;author&gt;Weitzman, E. A.&lt;/author&gt;&lt;/authors&gt;&lt;/contributors&gt;&lt;edition&gt;2nd&lt;/edition&gt;&lt;added-date format="utc"&gt;1534017518&lt;/added-date&gt;&lt;pub-location&gt;Thousand Oaks, CA&lt;/pub-location&gt;&lt;ref-type name="Book Section"&gt;5&lt;/ref-type&gt;&lt;dates&gt;&lt;year&gt;2000&lt;/year&gt;&lt;/dates&gt;&lt;rec-number&gt;389&lt;/rec-number&gt;&lt;publisher&gt;Sage&lt;/publisher&gt;&lt;last-updated-date format="utc"&gt;1534017690&lt;/last-updated-date&gt;&lt;contributors&gt;&lt;secondary-authors&gt;&lt;author&gt;Denzin, N.K.&lt;/author&gt;&lt;author&gt;Lincoln, Y. S.&lt;/author&gt;&lt;/secondary-authors&gt;&lt;/contributors&gt;&lt;/record&gt;&lt;/Cite&gt;&lt;/EndNote&gt;</w:instrText>
      </w:r>
      <w:r w:rsidR="007F0386">
        <w:fldChar w:fldCharType="separate"/>
      </w:r>
      <w:r w:rsidR="007F0386">
        <w:rPr>
          <w:noProof/>
        </w:rPr>
        <w:t>(Weitzman, 2000)</w:t>
      </w:r>
      <w:r w:rsidR="007F0386">
        <w:fldChar w:fldCharType="end"/>
      </w:r>
      <w:r w:rsidR="007F0386">
        <w:t xml:space="preserve">. </w:t>
      </w:r>
      <w:r w:rsidR="00076782">
        <w:t>Though some feel CAQDAS</w:t>
      </w:r>
      <w:r w:rsidR="0062266D">
        <w:t xml:space="preserve"> can support coding in Grounded Theory, they warn of inability to use in discourse analysis </w:t>
      </w:r>
      <w:r w:rsidR="00076782">
        <w:t xml:space="preserve">where exploration is required surrounding the way ‘language </w:t>
      </w:r>
      <w:r w:rsidR="00C231FD">
        <w:t>constructs</w:t>
      </w:r>
      <w:r w:rsidR="00076782">
        <w:t xml:space="preserve"> meaning’ </w:t>
      </w:r>
      <w:r w:rsidR="0062266D">
        <w:fldChar w:fldCharType="begin"/>
      </w:r>
      <w:r w:rsidR="0062266D">
        <w:instrText xml:space="preserve"> ADDIN EN.CITE &lt;EndNote&gt;&lt;Cite&gt;&lt;Author&gt;Coffey&lt;/Author&gt;&lt;Year&gt;1996&lt;/Year&gt;&lt;IDText&gt;Making sense of Qualitative Data: Complementary Research Strategies&lt;/IDText&gt;&lt;DisplayText&gt;(Coffey and Atkinson, 1996)&lt;/DisplayText&gt;&lt;record&gt;&lt;titles&gt;&lt;title&gt;Making sense of Qualitative Data: Complementary Research Strategies&lt;/title&gt;&lt;/titles&gt;&lt;contributors&gt;&lt;authors&gt;&lt;author&gt;Coffey, A.&lt;/author&gt;&lt;author&gt;Atkinson, P&lt;/author&gt;&lt;/authors&gt;&lt;/contributors&gt;&lt;added-date format="utc"&gt;1534017803&lt;/added-date&gt;&lt;pub-location&gt;London&lt;/pub-location&gt;&lt;ref-type name="Book"&gt;6&lt;/ref-type&gt;&lt;dates&gt;&lt;year&gt;1996&lt;/year&gt;&lt;/dates&gt;&lt;rec-number&gt;390&lt;/rec-number&gt;&lt;publisher&gt;Sage&lt;/publisher&gt;&lt;last-updated-date format="utc"&gt;1534017893&lt;/last-updated-date&gt;&lt;/record&gt;&lt;/Cite&gt;&lt;/EndNote&gt;</w:instrText>
      </w:r>
      <w:r w:rsidR="0062266D">
        <w:fldChar w:fldCharType="separate"/>
      </w:r>
      <w:r w:rsidR="0062266D">
        <w:rPr>
          <w:noProof/>
        </w:rPr>
        <w:t>(Coffey and Atkinson, 1996)</w:t>
      </w:r>
      <w:r w:rsidR="0062266D">
        <w:fldChar w:fldCharType="end"/>
      </w:r>
      <w:r w:rsidR="0062266D">
        <w:t xml:space="preserve">. There is agreement in the literature that the researcher is core to analysis and certainly framework analysis has been employed in this study purely as a data </w:t>
      </w:r>
      <w:r w:rsidR="00C231FD">
        <w:t>management</w:t>
      </w:r>
      <w:r w:rsidR="0062266D">
        <w:t xml:space="preserve"> tool with thematic analysis driven </w:t>
      </w:r>
      <w:r w:rsidR="007736F6">
        <w:t>purely by the researcher (FF)</w:t>
      </w:r>
      <w:r w:rsidR="001314D0">
        <w:t xml:space="preserve"> immersion into participants’ responses</w:t>
      </w:r>
      <w:r w:rsidR="007736F6">
        <w:t xml:space="preserve">. </w:t>
      </w:r>
      <w:r w:rsidR="004442F1">
        <w:t>The advantage of CAQDAS was that it enabled full access to all data and comparisons between interviews and across themes, rather than a reliance on ‘summaries’ which was the case in earlier developments of framework</w:t>
      </w:r>
      <w:r w:rsidR="004F08F6">
        <w:t xml:space="preserve"> which has since evolved</w:t>
      </w:r>
      <w:r w:rsidR="006102D5">
        <w:t xml:space="preserve"> </w:t>
      </w:r>
      <w:r w:rsidR="006102D5">
        <w:fldChar w:fldCharType="begin"/>
      </w:r>
      <w:r w:rsidR="006102D5">
        <w:instrText xml:space="preserve"> ADDIN EN.CITE &lt;EndNote&gt;&lt;Cite&gt;&lt;Author&gt;Gale&lt;/Author&gt;&lt;Year&gt;2013&lt;/Year&gt;&lt;IDText&gt;Using the framework method for the analysis of qualitative data in multi-disciplinary health research&lt;/IDText&gt;&lt;DisplayText&gt;(Gale et al., 2013)&lt;/DisplayText&gt;&lt;record&gt;&lt;dates&gt;&lt;pub-dates&gt;&lt;date&gt;Sep&lt;/date&gt;&lt;/pub-dates&gt;&lt;year&gt;2013&lt;/year&gt;&lt;/dates&gt;&lt;keywords&gt;&lt;keyword&gt;Health Services Research&lt;/keyword&gt;&lt;keyword&gt;Humans&lt;/keyword&gt;&lt;keyword&gt;Qualitative Research&lt;/keyword&gt;&lt;keyword&gt;Research Design&lt;/keyword&gt;&lt;/keywords&gt;&lt;urls&gt;&lt;related-urls&gt;&lt;url&gt;https://www.ncbi.nlm.nih.gov/pubmed/24047204&lt;/url&gt;&lt;/related-urls&gt;&lt;/urls&gt;&lt;isbn&gt;1471-2288&lt;/isbn&gt;&lt;custom2&gt;PMC3848812&lt;/custom2&gt;&lt;titles&gt;&lt;title&gt;Using the framework method for the analysis of qualitative data in multi-disciplinary health research&lt;/title&gt;&lt;secondary-title&gt;BMC Med Res Methodol&lt;/secondary-title&gt;&lt;/titles&gt;&lt;pages&gt;117&lt;/pages&gt;&lt;contributors&gt;&lt;authors&gt;&lt;author&gt;Gale, N. K.&lt;/author&gt;&lt;author&gt;Heath, G.&lt;/author&gt;&lt;author&gt;Cameron, E.&lt;/author&gt;&lt;author&gt;Rashid, S.&lt;/author&gt;&lt;author&gt;Redwood, S.&lt;/author&gt;&lt;/authors&gt;&lt;/contributors&gt;&lt;edition&gt;2013/09/18&lt;/edition&gt;&lt;language&gt;eng&lt;/language&gt;&lt;added-date format="utc"&gt;1535106680&lt;/added-date&gt;&lt;ref-type name="Journal Article"&gt;17&lt;/ref-type&gt;&lt;rec-number&gt;393&lt;/rec-number&gt;&lt;last-updated-date format="utc"&gt;1535106680&lt;/last-updated-date&gt;&lt;accession-num&gt;24047204&lt;/accession-num&gt;&lt;electronic-resource-num&gt;10.1186/1471-2288-13-117&lt;/electronic-resource-num&gt;&lt;volume&gt;13&lt;/volume&gt;&lt;/record&gt;&lt;/Cite&gt;&lt;/EndNote&gt;</w:instrText>
      </w:r>
      <w:r w:rsidR="006102D5">
        <w:fldChar w:fldCharType="separate"/>
      </w:r>
      <w:r w:rsidR="006102D5">
        <w:rPr>
          <w:noProof/>
        </w:rPr>
        <w:t>(Gale et al., 2013)</w:t>
      </w:r>
      <w:r w:rsidR="006102D5">
        <w:fldChar w:fldCharType="end"/>
      </w:r>
      <w:r w:rsidR="006102D5">
        <w:t xml:space="preserve">. </w:t>
      </w:r>
      <w:r w:rsidR="0062266D">
        <w:t xml:space="preserve">The ability to hyperlink from a summarised box in the framework back to the original verbatim text </w:t>
      </w:r>
      <w:r w:rsidR="00A15829">
        <w:t xml:space="preserve">allowed wider coding and ability to display transparency. </w:t>
      </w:r>
    </w:p>
    <w:p w14:paraId="7C5BB3B5" w14:textId="0F404C54" w:rsidR="00E830C5" w:rsidRDefault="00E830C5" w:rsidP="005E7E2B">
      <w:pPr>
        <w:pStyle w:val="Heading2"/>
      </w:pPr>
      <w:bookmarkStart w:id="114" w:name="_Toc343501123"/>
      <w:bookmarkStart w:id="115" w:name="_Toc348686324"/>
      <w:bookmarkStart w:id="116" w:name="_Toc419116119"/>
      <w:r w:rsidRPr="005D2EEA">
        <w:t>Triangulation</w:t>
      </w:r>
      <w:r>
        <w:t xml:space="preserve"> of data</w:t>
      </w:r>
      <w:bookmarkEnd w:id="114"/>
      <w:bookmarkEnd w:id="115"/>
      <w:bookmarkEnd w:id="116"/>
      <w:r>
        <w:t xml:space="preserve"> </w:t>
      </w:r>
    </w:p>
    <w:p w14:paraId="34E3CABB" w14:textId="77777777" w:rsidR="00935FAF" w:rsidRDefault="00935FAF" w:rsidP="00935FAF"/>
    <w:p w14:paraId="75B41617" w14:textId="3F230D94" w:rsidR="00F4377A" w:rsidRDefault="008771FF" w:rsidP="00935FAF">
      <w:r>
        <w:lastRenderedPageBreak/>
        <w:t>Cohen et al.</w:t>
      </w:r>
      <w:r w:rsidR="00CD098B">
        <w:t xml:space="preserve"> (2000)</w:t>
      </w:r>
      <w:r>
        <w:t xml:space="preserve"> describe triangulation as the ‘use of two or more methods of data collection in the study of some aspect of human behaviour’ </w:t>
      </w:r>
      <w:r w:rsidR="00CD098B">
        <w:fldChar w:fldCharType="begin"/>
      </w:r>
      <w:r w:rsidR="006102D5">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CD098B">
        <w:fldChar w:fldCharType="separate"/>
      </w:r>
      <w:r w:rsidR="006102D5">
        <w:rPr>
          <w:noProof/>
        </w:rPr>
        <w:t>(Cohen et al., 2000</w:t>
      </w:r>
      <w:r w:rsidR="001314D0">
        <w:rPr>
          <w:noProof/>
        </w:rPr>
        <w:t xml:space="preserve">; </w:t>
      </w:r>
      <w:r w:rsidR="00CD098B">
        <w:fldChar w:fldCharType="end"/>
      </w:r>
      <w:r>
        <w:t>p112).</w:t>
      </w:r>
      <w:r w:rsidR="00CD098B">
        <w:t xml:space="preserve"> </w:t>
      </w:r>
      <w:r w:rsidR="00935FAF">
        <w:t xml:space="preserve">Triangulation is a method </w:t>
      </w:r>
      <w:r w:rsidR="00337A7E">
        <w:t>used</w:t>
      </w:r>
      <w:r w:rsidR="00935FAF">
        <w:t xml:space="preserve"> in qualitative research with the aim to improve data quality</w:t>
      </w:r>
      <w:r w:rsidR="00CD098B">
        <w:t xml:space="preserve"> by ‘demonstrating concurrent validity’ </w:t>
      </w:r>
      <w:r w:rsidR="00CD098B">
        <w:fldChar w:fldCharType="begin"/>
      </w:r>
      <w:r w:rsidR="006102D5">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CD098B">
        <w:fldChar w:fldCharType="separate"/>
      </w:r>
      <w:r w:rsidR="006102D5">
        <w:rPr>
          <w:noProof/>
        </w:rPr>
        <w:t>(Cohen et al., 2000</w:t>
      </w:r>
      <w:r w:rsidR="001314D0">
        <w:rPr>
          <w:noProof/>
        </w:rPr>
        <w:t xml:space="preserve">; </w:t>
      </w:r>
      <w:r w:rsidR="00CD098B">
        <w:fldChar w:fldCharType="end"/>
      </w:r>
      <w:r w:rsidR="00CD098B">
        <w:t>p112)</w:t>
      </w:r>
      <w:r w:rsidR="00935FAF">
        <w:t xml:space="preserve">. It is said to come from the term from ‘cartography, referring to a process of finding one’s position on a map with reference to multiple other mapped positions’ </w:t>
      </w:r>
      <w:r w:rsidR="00935FAF">
        <w:fldChar w:fldCharType="begin"/>
      </w:r>
      <w:r w:rsidR="006102D5">
        <w:instrText xml:space="preserve"> ADDIN EN.CITE &lt;EndNote&gt;&lt;Cite&gt;&lt;Author&gt;Swanick&lt;/Author&gt;&lt;Year&gt;2010&lt;/Year&gt;&lt;IDText&gt;Understanding Medical Education. Evidence. theory and practice&lt;/IDText&gt;&lt;DisplayText&gt;(Swanick, 2010)&lt;/DisplayText&gt;&lt;record&gt;&lt;contributors&gt;&lt;tertiary-authors&gt;&lt;author&gt;Swanick&lt;/author&gt;&lt;/tertiary-authors&gt;&lt;/contributors&gt;&lt;titles&gt;&lt;title&gt;Understanding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Tim&lt;/author&gt;&lt;/secondary-authors&gt;&lt;/contributors&gt;&lt;/record&gt;&lt;/Cite&gt;&lt;/EndNote&gt;</w:instrText>
      </w:r>
      <w:r w:rsidR="00935FAF">
        <w:fldChar w:fldCharType="separate"/>
      </w:r>
      <w:r w:rsidR="006102D5">
        <w:rPr>
          <w:noProof/>
        </w:rPr>
        <w:t>(Swanick, 2010</w:t>
      </w:r>
      <w:r w:rsidR="001314D0">
        <w:rPr>
          <w:noProof/>
        </w:rPr>
        <w:t xml:space="preserve">; </w:t>
      </w:r>
      <w:r w:rsidR="00935FAF">
        <w:fldChar w:fldCharType="end"/>
      </w:r>
      <w:r w:rsidR="00935FAF">
        <w:t>p331)</w:t>
      </w:r>
      <w:r w:rsidR="005D14ED">
        <w:t xml:space="preserve">. </w:t>
      </w:r>
    </w:p>
    <w:p w14:paraId="21E526A7" w14:textId="7B99526C" w:rsidR="00935FAF" w:rsidRDefault="00F4377A" w:rsidP="00935FAF">
      <w:r>
        <w:t>Triangulation of the different d</w:t>
      </w:r>
      <w:r w:rsidR="00CD098B">
        <w:t>ata collection strategies</w:t>
      </w:r>
      <w:r w:rsidR="008E05D8">
        <w:t xml:space="preserve"> in this study</w:t>
      </w:r>
      <w:r w:rsidR="00CD098B">
        <w:t xml:space="preserve"> </w:t>
      </w:r>
      <w:r w:rsidR="008E05D8">
        <w:t xml:space="preserve">facilitated an </w:t>
      </w:r>
      <w:r>
        <w:t>iterative process</w:t>
      </w:r>
      <w:r w:rsidR="008E05D8">
        <w:t>,</w:t>
      </w:r>
      <w:r>
        <w:t xml:space="preserve"> </w:t>
      </w:r>
      <w:r w:rsidR="008B1BEA">
        <w:t>where</w:t>
      </w:r>
      <w:r>
        <w:t xml:space="preserve"> the outco</w:t>
      </w:r>
      <w:r w:rsidR="00CD098B">
        <w:t>mes from one methodology informed</w:t>
      </w:r>
      <w:r>
        <w:t xml:space="preserve"> the next</w:t>
      </w:r>
      <w:r w:rsidR="008E05D8">
        <w:t>. S</w:t>
      </w:r>
      <w:r>
        <w:t xml:space="preserve">alient points </w:t>
      </w:r>
      <w:r w:rsidR="00CD098B">
        <w:t xml:space="preserve">were </w:t>
      </w:r>
      <w:r>
        <w:t>pick</w:t>
      </w:r>
      <w:r w:rsidR="00CD098B">
        <w:t>ed</w:t>
      </w:r>
      <w:r>
        <w:t xml:space="preserve"> up on and taken to another level of depth </w:t>
      </w:r>
      <w:r w:rsidR="008E05D8">
        <w:t xml:space="preserve">in order to </w:t>
      </w:r>
      <w:r>
        <w:t>answer the research question</w:t>
      </w:r>
      <w:r w:rsidR="004F08F6">
        <w:t>, based on the principles of Grounded Theory</w:t>
      </w:r>
      <w:r w:rsidR="008E05D8">
        <w:t xml:space="preserve">. </w:t>
      </w:r>
      <w:r>
        <w:t xml:space="preserve">This describes the </w:t>
      </w:r>
      <w:r w:rsidR="001D42C9">
        <w:t>Grounded Theory</w:t>
      </w:r>
      <w:r>
        <w:t xml:space="preserve"> approach embedded in this </w:t>
      </w:r>
      <w:r w:rsidR="008E05D8">
        <w:t>research.</w:t>
      </w:r>
    </w:p>
    <w:p w14:paraId="52628F8F" w14:textId="4F1A1696" w:rsidR="005A4C3E" w:rsidRDefault="00F4377A" w:rsidP="00935FAF">
      <w:r>
        <w:t xml:space="preserve">The process of triangulation allows the ‘validation’ or ‘enrichment’ of understanding of findings from the data </w:t>
      </w:r>
      <w:r>
        <w:fldChar w:fldCharType="begin"/>
      </w:r>
      <w:r w:rsidR="006102D5">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6102D5">
        <w:rPr>
          <w:noProof/>
        </w:rPr>
        <w:t>(Ritchie et al., 2014</w:t>
      </w:r>
      <w:r w:rsidR="001314D0">
        <w:rPr>
          <w:noProof/>
        </w:rPr>
        <w:t xml:space="preserve">; </w:t>
      </w:r>
      <w:r>
        <w:fldChar w:fldCharType="end"/>
      </w:r>
      <w:r w:rsidR="00C2222F">
        <w:t>p58</w:t>
      </w:r>
      <w:r w:rsidR="008B1BEA">
        <w:t>)</w:t>
      </w:r>
      <w:r>
        <w:t>. It may also expose discrepancies</w:t>
      </w:r>
      <w:r w:rsidR="008771FF">
        <w:t>,</w:t>
      </w:r>
      <w:r>
        <w:t xml:space="preserve"> which again can then be explored. The ability to adapt the methods </w:t>
      </w:r>
      <w:r w:rsidR="0019287A">
        <w:t xml:space="preserve">to provide clarity and explanation </w:t>
      </w:r>
      <w:r>
        <w:t>is unique to qualitative research</w:t>
      </w:r>
      <w:r w:rsidR="0019287A">
        <w:t>. In quantitative methodology the interpretation of data once analysed may show patterns</w:t>
      </w:r>
      <w:r w:rsidR="008E05D8">
        <w:t>,</w:t>
      </w:r>
      <w:r w:rsidR="0019287A">
        <w:t xml:space="preserve"> but explanations </w:t>
      </w:r>
      <w:r w:rsidR="00CD098B">
        <w:t>for results and relationships a</w:t>
      </w:r>
      <w:r w:rsidR="0019287A">
        <w:t>re reliant on an educated guess fr</w:t>
      </w:r>
      <w:r w:rsidR="008E05D8">
        <w:t>o</w:t>
      </w:r>
      <w:r w:rsidR="0019287A">
        <w:t xml:space="preserve">m the research team. In </w:t>
      </w:r>
      <w:r w:rsidR="00337A7E">
        <w:t>using</w:t>
      </w:r>
      <w:r w:rsidR="0019287A">
        <w:t xml:space="preserve"> mixed methods, an educated guess to explain findings is not required and as such provides a potentially more robust methodology.</w:t>
      </w:r>
      <w:r w:rsidR="00CD098B">
        <w:t xml:space="preserve"> </w:t>
      </w:r>
    </w:p>
    <w:p w14:paraId="0B6A6035" w14:textId="71F4AA3F" w:rsidR="00CD098B" w:rsidRDefault="000708C2" w:rsidP="00935FAF">
      <w:r>
        <w:t>T</w:t>
      </w:r>
      <w:r w:rsidR="00CD098B">
        <w:t xml:space="preserve">riangulation in social research offers multiple views to capture and explore the complexity of human behaviour. Scientific research may not always need </w:t>
      </w:r>
      <w:r w:rsidR="00CD098B">
        <w:lastRenderedPageBreak/>
        <w:t xml:space="preserve">multiple </w:t>
      </w:r>
      <w:proofErr w:type="spellStart"/>
      <w:r w:rsidR="00CD098B">
        <w:t>view points</w:t>
      </w:r>
      <w:proofErr w:type="spellEnd"/>
      <w:r w:rsidR="00CD098B">
        <w:t xml:space="preserve"> because the understanding may be clear and linked to statistically checked quantitative methods. Relying on one method for exploring complex human behaviour where there are human – human interactions </w:t>
      </w:r>
      <w:r w:rsidR="00CA17F4">
        <w:t xml:space="preserve">may ‘bias or distort the researcher’s picture of the reality being investigated’ </w:t>
      </w:r>
      <w:r w:rsidR="00CA17F4">
        <w:fldChar w:fldCharType="begin"/>
      </w:r>
      <w:r w:rsidR="006102D5">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CA17F4">
        <w:fldChar w:fldCharType="separate"/>
      </w:r>
      <w:r w:rsidR="006102D5">
        <w:rPr>
          <w:noProof/>
        </w:rPr>
        <w:t>(Cohen et al., 2000</w:t>
      </w:r>
      <w:r w:rsidR="001314D0">
        <w:rPr>
          <w:noProof/>
        </w:rPr>
        <w:t xml:space="preserve">; </w:t>
      </w:r>
      <w:r w:rsidR="00CA17F4">
        <w:fldChar w:fldCharType="end"/>
      </w:r>
      <w:r w:rsidR="006B162B">
        <w:t>p112</w:t>
      </w:r>
      <w:r w:rsidR="008B1BEA">
        <w:t>)</w:t>
      </w:r>
      <w:r w:rsidR="00CA17F4">
        <w:t>.</w:t>
      </w:r>
      <w:r w:rsidR="00CD098B">
        <w:t xml:space="preserve"> </w:t>
      </w:r>
      <w:r w:rsidR="00CA17F4">
        <w:t>To ensure that emergent findings are not just ‘artefacts of one methodology’ triangulation allows a certain level of reliability when ‘different methods yield similar results’</w:t>
      </w:r>
      <w:r>
        <w:t>,</w:t>
      </w:r>
      <w:r w:rsidR="00CA17F4">
        <w:t xml:space="preserve"> particularly when more polar and contrasting methods are used</w:t>
      </w:r>
      <w:r w:rsidR="00D86631">
        <w:t>. Triangulati</w:t>
      </w:r>
      <w:r w:rsidR="005A4C3E">
        <w:t>on has been said to overcome this</w:t>
      </w:r>
      <w:r w:rsidR="00D86631">
        <w:t xml:space="preserve"> issue of ‘method boundedness’</w:t>
      </w:r>
      <w:r w:rsidR="00CA17F4">
        <w:t xml:space="preserve"> </w:t>
      </w:r>
      <w:r w:rsidR="005A4C3E">
        <w:t xml:space="preserve">by validating outcomes from more than one method to allow correlation </w:t>
      </w:r>
      <w:r w:rsidR="00CA17F4">
        <w:fldChar w:fldCharType="begin"/>
      </w:r>
      <w:r w:rsidR="006102D5">
        <w:instrText xml:space="preserve"> ADDIN EN.CITE &lt;EndNote&gt;&lt;Cite&gt;&lt;Author&gt;Cohen&lt;/Author&gt;&lt;Year&gt;2000&lt;/Year&gt;&lt;IDText&gt;Research Methods in Education&lt;/IDText&gt;&lt;DisplayText&gt;(Cohen et al., 2000)&lt;/DisplayText&gt;&lt;record&gt;&lt;titles&gt;&lt;title&gt;Research Methods in Education&lt;/title&gt;&lt;/titles&gt;&lt;contributors&gt;&lt;authors&gt;&lt;author&gt;Cohen, Louis&lt;/author&gt;&lt;author&gt;Manion, Lawrence&lt;/author&gt;&lt;author&gt;Morrison, Keith&lt;/author&gt;&lt;/authors&gt;&lt;/contributors&gt;&lt;edition&gt;5th&lt;/edition&gt;&lt;added-date format="utc"&gt;1463128642&lt;/added-date&gt;&lt;pub-location&gt;London&lt;/pub-location&gt;&lt;ref-type name="Book"&gt;6&lt;/ref-type&gt;&lt;dates&gt;&lt;year&gt;2000&lt;/year&gt;&lt;/dates&gt;&lt;rec-number&gt;249&lt;/rec-number&gt;&lt;publisher&gt;RoutledgeFalmer&lt;/publisher&gt;&lt;last-updated-date format="utc"&gt;1463128756&lt;/last-updated-date&gt;&lt;/record&gt;&lt;/Cite&gt;&lt;/EndNote&gt;</w:instrText>
      </w:r>
      <w:r w:rsidR="00CA17F4">
        <w:fldChar w:fldCharType="separate"/>
      </w:r>
      <w:r w:rsidR="006102D5">
        <w:rPr>
          <w:noProof/>
        </w:rPr>
        <w:t>(Cohen et al., 2000</w:t>
      </w:r>
      <w:r w:rsidR="001314D0">
        <w:rPr>
          <w:noProof/>
        </w:rPr>
        <w:t xml:space="preserve">; </w:t>
      </w:r>
      <w:r w:rsidR="00CA17F4">
        <w:fldChar w:fldCharType="end"/>
      </w:r>
      <w:r w:rsidR="00CA17F4">
        <w:t>p112</w:t>
      </w:r>
      <w:r w:rsidR="005A4C3E">
        <w:t>-113</w:t>
      </w:r>
      <w:r w:rsidR="008B1BEA">
        <w:t>)</w:t>
      </w:r>
      <w:r w:rsidR="00CA17F4">
        <w:t>.</w:t>
      </w:r>
    </w:p>
    <w:p w14:paraId="151CEA97" w14:textId="11604D31" w:rsidR="0096321B" w:rsidRDefault="00A70B3A" w:rsidP="00935FAF">
      <w:r>
        <w:t>Ritchie et al. (2014) describe applications</w:t>
      </w:r>
      <w:r w:rsidR="000D2DE5" w:rsidRPr="000D2DE5">
        <w:t xml:space="preserve"> </w:t>
      </w:r>
      <w:r w:rsidR="000D2DE5">
        <w:t>of different qualitative methodologies</w:t>
      </w:r>
      <w:r>
        <w:t xml:space="preserve"> in terms of ’nature of data’, ‘subject matter’ and ‘study population’</w:t>
      </w:r>
      <w:r w:rsidR="000D2DE5">
        <w:t>,</w:t>
      </w:r>
      <w:r>
        <w:t xml:space="preserve"> to aid understanding </w:t>
      </w:r>
      <w:r w:rsidR="000D2DE5">
        <w:t xml:space="preserve">of uses </w:t>
      </w:r>
      <w:r>
        <w:t xml:space="preserve">and allow comparison.  </w:t>
      </w:r>
      <w:r w:rsidR="001D42C9">
        <w:t>In-depth interviews</w:t>
      </w:r>
      <w:r w:rsidR="0019287A">
        <w:t xml:space="preserve"> are</w:t>
      </w:r>
      <w:r>
        <w:t xml:space="preserve"> </w:t>
      </w:r>
      <w:r w:rsidR="0019287A">
        <w:t>generally used where personal context and accounts are required with in</w:t>
      </w:r>
      <w:r w:rsidR="008B1BEA">
        <w:t>-</w:t>
      </w:r>
      <w:r w:rsidR="0019287A">
        <w:t>depth answers</w:t>
      </w:r>
      <w:r w:rsidR="000D2DE5">
        <w:t xml:space="preserve">. </w:t>
      </w:r>
      <w:r w:rsidR="0019287A">
        <w:t>Observation allows an account of what is ‘naturally occurring’ and exposes behaviours that participants may not be aware of. This was very useful in the context of r</w:t>
      </w:r>
      <w:r>
        <w:t>unning the teaching interventio</w:t>
      </w:r>
      <w:r w:rsidR="0019287A">
        <w:t>n</w:t>
      </w:r>
      <w:r>
        <w:t>,</w:t>
      </w:r>
      <w:r w:rsidR="0019287A">
        <w:t xml:space="preserve"> because observed behaviours were noted and the ability to explore those with </w:t>
      </w:r>
      <w:r w:rsidR="001314D0">
        <w:t>c</w:t>
      </w:r>
      <w:r w:rsidR="005F705F">
        <w:t>andidate</w:t>
      </w:r>
      <w:r w:rsidR="0019287A">
        <w:t xml:space="preserve">s was facilitated by debriefing and then further through a </w:t>
      </w:r>
      <w:r w:rsidR="00173DE4">
        <w:t>focus group</w:t>
      </w:r>
      <w:r w:rsidR="0019287A">
        <w:t xml:space="preserve">. </w:t>
      </w:r>
    </w:p>
    <w:p w14:paraId="51DFCCCD" w14:textId="2E564BE1" w:rsidR="00E830C5" w:rsidRDefault="00E830C5" w:rsidP="005367B9">
      <w:pPr>
        <w:pStyle w:val="Heading3"/>
      </w:pPr>
      <w:bookmarkStart w:id="117" w:name="_Toc343501125"/>
      <w:bookmarkStart w:id="118" w:name="_Toc348686326"/>
      <w:bookmarkStart w:id="119" w:name="_Toc419116120"/>
      <w:r>
        <w:t>Data analysis</w:t>
      </w:r>
      <w:bookmarkEnd w:id="117"/>
      <w:bookmarkEnd w:id="118"/>
      <w:bookmarkEnd w:id="119"/>
    </w:p>
    <w:p w14:paraId="7FBCA589" w14:textId="77777777" w:rsidR="00332974" w:rsidRDefault="00332974" w:rsidP="003C3FFB"/>
    <w:p w14:paraId="49B99732" w14:textId="2927F356" w:rsidR="003C3FFB" w:rsidRDefault="003C3FFB" w:rsidP="003C3FFB">
      <w:r>
        <w:t>To ensure data were triangulated to enhance richness</w:t>
      </w:r>
      <w:r w:rsidR="00490493">
        <w:t>,</w:t>
      </w:r>
      <w:r>
        <w:t xml:space="preserve"> framework analysis was employed. </w:t>
      </w:r>
      <w:r w:rsidR="008771FF">
        <w:t>This process has been described fully in</w:t>
      </w:r>
      <w:r w:rsidR="00A1313C">
        <w:t xml:space="preserve"> </w:t>
      </w:r>
      <w:r w:rsidR="001D42C9">
        <w:t>Chapter</w:t>
      </w:r>
      <w:r w:rsidR="00A1313C">
        <w:t xml:space="preserve"> 7 to allow replicability</w:t>
      </w:r>
      <w:r w:rsidR="008771FF">
        <w:t xml:space="preserve">. </w:t>
      </w:r>
      <w:r w:rsidR="00A7205B">
        <w:t>F</w:t>
      </w:r>
      <w:r>
        <w:t>ield notes, case studies</w:t>
      </w:r>
      <w:r w:rsidR="00E6155D">
        <w:t xml:space="preserve">, </w:t>
      </w:r>
      <w:r>
        <w:t>observations</w:t>
      </w:r>
      <w:r w:rsidR="00E6155D">
        <w:t xml:space="preserve">, </w:t>
      </w:r>
      <w:r>
        <w:t xml:space="preserve">interview and </w:t>
      </w:r>
      <w:r w:rsidR="00173DE4">
        <w:t>focus group</w:t>
      </w:r>
      <w:r>
        <w:t xml:space="preserve"> </w:t>
      </w:r>
      <w:r>
        <w:lastRenderedPageBreak/>
        <w:t xml:space="preserve">transcripts </w:t>
      </w:r>
      <w:r w:rsidR="00E6155D">
        <w:t xml:space="preserve">were </w:t>
      </w:r>
      <w:r>
        <w:t xml:space="preserve">uploaded </w:t>
      </w:r>
      <w:r w:rsidR="008771FF">
        <w:t>in one</w:t>
      </w:r>
      <w:r w:rsidR="00E6155D">
        <w:t xml:space="preserve"> place.</w:t>
      </w:r>
      <w:r>
        <w:t xml:space="preserve"> This allowed quotes to be used and rich descriptions</w:t>
      </w:r>
      <w:r w:rsidR="00490493">
        <w:t>,</w:t>
      </w:r>
      <w:r>
        <w:t xml:space="preserve"> which</w:t>
      </w:r>
      <w:r w:rsidR="00490493">
        <w:t xml:space="preserve"> were</w:t>
      </w:r>
      <w:r>
        <w:t xml:space="preserve"> felt to be superior to </w:t>
      </w:r>
      <w:r w:rsidR="00E51676">
        <w:t>attributing</w:t>
      </w:r>
      <w:r>
        <w:t xml:space="preserve"> codes </w:t>
      </w:r>
      <w:r w:rsidR="00E6155D">
        <w:t>alone.</w:t>
      </w:r>
    </w:p>
    <w:p w14:paraId="03496B3E" w14:textId="67B8C5D8" w:rsidR="008F4BED" w:rsidRDefault="004F08F6" w:rsidP="003C3FFB">
      <w:r>
        <w:t xml:space="preserve">Though this study employs approaches based on </w:t>
      </w:r>
      <w:r w:rsidR="008F4BED">
        <w:t>gr</w:t>
      </w:r>
      <w:r w:rsidR="006F55AB">
        <w:t>ounded theory to allow emergence</w:t>
      </w:r>
      <w:r w:rsidR="008F4BED">
        <w:t xml:space="preserve"> from original data</w:t>
      </w:r>
      <w:r w:rsidR="006F55AB">
        <w:t xml:space="preserve"> using coding and memo writing</w:t>
      </w:r>
      <w:r w:rsidR="008F4BED">
        <w:t>, this is by no means a pure grounded theory</w:t>
      </w:r>
      <w:r w:rsidR="00780873">
        <w:t xml:space="preserve"> study and does not claim to be. Some contentions surrounding the use of framework analysis exist in the literature</w:t>
      </w:r>
      <w:r>
        <w:t xml:space="preserve"> </w:t>
      </w:r>
      <w:r w:rsidR="006102D5">
        <w:fldChar w:fldCharType="begin"/>
      </w:r>
      <w:r w:rsidR="006102D5">
        <w:instrText xml:space="preserve"> ADDIN EN.CITE &lt;EndNote&gt;&lt;Cite&gt;&lt;Author&gt;Gale&lt;/Author&gt;&lt;Year&gt;2013&lt;/Year&gt;&lt;IDText&gt;Using the framework method for the analysis of qualitative data in multi-disciplinary health research&lt;/IDText&gt;&lt;DisplayText&gt;(Gale et al., 2013)&lt;/DisplayText&gt;&lt;record&gt;&lt;dates&gt;&lt;pub-dates&gt;&lt;date&gt;Sep&lt;/date&gt;&lt;/pub-dates&gt;&lt;year&gt;2013&lt;/year&gt;&lt;/dates&gt;&lt;keywords&gt;&lt;keyword&gt;Health Services Research&lt;/keyword&gt;&lt;keyword&gt;Humans&lt;/keyword&gt;&lt;keyword&gt;Qualitative Research&lt;/keyword&gt;&lt;keyword&gt;Research Design&lt;/keyword&gt;&lt;/keywords&gt;&lt;urls&gt;&lt;related-urls&gt;&lt;url&gt;https://www.ncbi.nlm.nih.gov/pubmed/24047204&lt;/url&gt;&lt;/related-urls&gt;&lt;/urls&gt;&lt;isbn&gt;1471-2288&lt;/isbn&gt;&lt;custom2&gt;PMC3848812&lt;/custom2&gt;&lt;titles&gt;&lt;title&gt;Using the framework method for the analysis of qualitative data in multi-disciplinary health research&lt;/title&gt;&lt;secondary-title&gt;BMC Med Res Methodol&lt;/secondary-title&gt;&lt;/titles&gt;&lt;pages&gt;117&lt;/pages&gt;&lt;contributors&gt;&lt;authors&gt;&lt;author&gt;Gale, N. K.&lt;/author&gt;&lt;author&gt;Heath, G.&lt;/author&gt;&lt;author&gt;Cameron, E.&lt;/author&gt;&lt;author&gt;Rashid, S.&lt;/author&gt;&lt;author&gt;Redwood, S.&lt;/author&gt;&lt;/authors&gt;&lt;/contributors&gt;&lt;edition&gt;2013/09/18&lt;/edition&gt;&lt;language&gt;eng&lt;/language&gt;&lt;added-date format="utc"&gt;1535106680&lt;/added-date&gt;&lt;ref-type name="Journal Article"&gt;17&lt;/ref-type&gt;&lt;rec-number&gt;393&lt;/rec-number&gt;&lt;last-updated-date format="utc"&gt;1535106680&lt;/last-updated-date&gt;&lt;accession-num&gt;24047204&lt;/accession-num&gt;&lt;electronic-resource-num&gt;10.1186/1471-2288-13-117&lt;/electronic-resource-num&gt;&lt;volume&gt;13&lt;/volume&gt;&lt;/record&gt;&lt;/Cite&gt;&lt;/EndNote&gt;</w:instrText>
      </w:r>
      <w:r w:rsidR="006102D5">
        <w:fldChar w:fldCharType="separate"/>
      </w:r>
      <w:r w:rsidR="006102D5">
        <w:rPr>
          <w:noProof/>
        </w:rPr>
        <w:t>(Gale et al., 2013)</w:t>
      </w:r>
      <w:r w:rsidR="006102D5">
        <w:fldChar w:fldCharType="end"/>
      </w:r>
      <w:r w:rsidR="00780873">
        <w:t xml:space="preserve">. FF sees the use of framework analysis as purely a data management system to aid analysis allowing ability to summarise and group huge amounts of data produced by this </w:t>
      </w:r>
      <w:proofErr w:type="spellStart"/>
      <w:r w:rsidR="00780873">
        <w:t>reseach</w:t>
      </w:r>
      <w:proofErr w:type="spellEnd"/>
      <w:r w:rsidR="00780873">
        <w:t xml:space="preserve"> to allow it to be managed and analysed</w:t>
      </w:r>
      <w:r w:rsidR="009824C1">
        <w:t xml:space="preserve"> and aim to give the data equal weighting and allow a strategic method to ensure all data gathered is included. The </w:t>
      </w:r>
      <w:r w:rsidR="00780873">
        <w:t xml:space="preserve">ability to link from summarised work back to original data is a huge benefit when it comes to </w:t>
      </w:r>
      <w:proofErr w:type="spellStart"/>
      <w:r w:rsidR="00780873">
        <w:t>transparecy</w:t>
      </w:r>
      <w:proofErr w:type="spellEnd"/>
      <w:r w:rsidR="00780873">
        <w:t xml:space="preserve">, </w:t>
      </w:r>
      <w:proofErr w:type="spellStart"/>
      <w:r w:rsidR="00780873">
        <w:t>reprodcuibility</w:t>
      </w:r>
      <w:proofErr w:type="spellEnd"/>
      <w:r w:rsidR="00780873">
        <w:t xml:space="preserve"> and ability to trace back themes and data to demonstrate its grounding in original data. </w:t>
      </w:r>
    </w:p>
    <w:p w14:paraId="4FBE96B1" w14:textId="0DE4C707" w:rsidR="001C5DE8" w:rsidRDefault="001C5DE8" w:rsidP="00CA53EB">
      <w:pPr>
        <w:pStyle w:val="Heading2"/>
      </w:pPr>
      <w:bookmarkStart w:id="120" w:name="_Toc343501126"/>
      <w:bookmarkStart w:id="121" w:name="_Toc348686327"/>
      <w:bookmarkStart w:id="122" w:name="_Toc419116121"/>
      <w:r>
        <w:t>Ethics</w:t>
      </w:r>
      <w:bookmarkEnd w:id="120"/>
      <w:bookmarkEnd w:id="121"/>
      <w:bookmarkEnd w:id="122"/>
    </w:p>
    <w:p w14:paraId="0E4C7CD4" w14:textId="77777777" w:rsidR="00372241" w:rsidRPr="00372241" w:rsidRDefault="00372241" w:rsidP="00372241"/>
    <w:p w14:paraId="3C50CA61" w14:textId="42D23B04" w:rsidR="001569C8" w:rsidRPr="001569C8" w:rsidRDefault="001C5DE8" w:rsidP="001C5DE8">
      <w:pPr>
        <w:rPr>
          <w:rFonts w:cs="Arial"/>
          <w:szCs w:val="24"/>
        </w:rPr>
      </w:pPr>
      <w:r>
        <w:rPr>
          <w:rFonts w:cs="Arial"/>
          <w:szCs w:val="24"/>
        </w:rPr>
        <w:t>Research proposal</w:t>
      </w:r>
      <w:r w:rsidRPr="0088747C">
        <w:rPr>
          <w:rFonts w:cs="Arial"/>
          <w:szCs w:val="24"/>
        </w:rPr>
        <w:t xml:space="preserve"> and plans have successfully passed though the Sheffield University Research Ethics committee and </w:t>
      </w:r>
      <w:r w:rsidR="001569C8">
        <w:rPr>
          <w:rFonts w:cs="Arial"/>
          <w:szCs w:val="24"/>
        </w:rPr>
        <w:t xml:space="preserve">have </w:t>
      </w:r>
      <w:r w:rsidRPr="0088747C">
        <w:rPr>
          <w:rFonts w:cs="Arial"/>
          <w:szCs w:val="24"/>
        </w:rPr>
        <w:t>been approved</w:t>
      </w:r>
      <w:r w:rsidR="008771FF">
        <w:rPr>
          <w:rFonts w:cs="Arial"/>
          <w:szCs w:val="24"/>
        </w:rPr>
        <w:t xml:space="preserve"> (Appendix</w:t>
      </w:r>
      <w:r w:rsidR="00084242">
        <w:rPr>
          <w:rFonts w:cs="Arial"/>
          <w:szCs w:val="24"/>
        </w:rPr>
        <w:t xml:space="preserve"> 13</w:t>
      </w:r>
      <w:r w:rsidR="00D518C0">
        <w:rPr>
          <w:rFonts w:cs="Arial"/>
          <w:szCs w:val="24"/>
        </w:rPr>
        <w:t>.6</w:t>
      </w:r>
      <w:r w:rsidR="008771FF">
        <w:rPr>
          <w:rFonts w:cs="Arial"/>
          <w:szCs w:val="24"/>
        </w:rPr>
        <w:t>)</w:t>
      </w:r>
      <w:r w:rsidRPr="0088747C">
        <w:rPr>
          <w:rFonts w:cs="Arial"/>
          <w:szCs w:val="24"/>
        </w:rPr>
        <w:t xml:space="preserve">. </w:t>
      </w:r>
      <w:r w:rsidR="00E6155D">
        <w:rPr>
          <w:rFonts w:cs="Arial"/>
          <w:szCs w:val="24"/>
        </w:rPr>
        <w:t>E</w:t>
      </w:r>
      <w:r w:rsidRPr="0088747C">
        <w:rPr>
          <w:rFonts w:cs="Arial"/>
          <w:szCs w:val="24"/>
        </w:rPr>
        <w:t xml:space="preserve">nsuring confidentiality for </w:t>
      </w:r>
      <w:r w:rsidR="001A01A7">
        <w:rPr>
          <w:rFonts w:cs="Arial"/>
          <w:szCs w:val="24"/>
        </w:rPr>
        <w:t>c</w:t>
      </w:r>
      <w:r w:rsidR="005F705F">
        <w:rPr>
          <w:rFonts w:cs="Arial"/>
          <w:szCs w:val="24"/>
        </w:rPr>
        <w:t>andidate</w:t>
      </w:r>
      <w:r w:rsidRPr="0088747C">
        <w:rPr>
          <w:rFonts w:cs="Arial"/>
          <w:szCs w:val="24"/>
        </w:rPr>
        <w:t xml:space="preserve">s </w:t>
      </w:r>
      <w:r w:rsidR="00E6155D">
        <w:rPr>
          <w:rFonts w:cs="Arial"/>
          <w:szCs w:val="24"/>
        </w:rPr>
        <w:t>whilst</w:t>
      </w:r>
      <w:r w:rsidRPr="0088747C">
        <w:rPr>
          <w:rFonts w:cs="Arial"/>
          <w:szCs w:val="24"/>
        </w:rPr>
        <w:t xml:space="preserve"> acting with integrity in any c</w:t>
      </w:r>
      <w:r>
        <w:rPr>
          <w:rFonts w:cs="Arial"/>
          <w:szCs w:val="24"/>
        </w:rPr>
        <w:t>ases of poor perform</w:t>
      </w:r>
      <w:r w:rsidRPr="0088747C">
        <w:rPr>
          <w:rFonts w:cs="Arial"/>
          <w:szCs w:val="24"/>
        </w:rPr>
        <w:t>ance</w:t>
      </w:r>
      <w:r w:rsidR="00E6155D">
        <w:rPr>
          <w:rFonts w:cs="Arial"/>
          <w:szCs w:val="24"/>
        </w:rPr>
        <w:t xml:space="preserve"> was highlighted</w:t>
      </w:r>
      <w:r w:rsidRPr="0088747C">
        <w:rPr>
          <w:rFonts w:cs="Arial"/>
          <w:szCs w:val="24"/>
        </w:rPr>
        <w:t xml:space="preserve">. </w:t>
      </w:r>
      <w:r w:rsidR="00E6155D">
        <w:rPr>
          <w:rFonts w:cs="Arial"/>
          <w:szCs w:val="24"/>
        </w:rPr>
        <w:t xml:space="preserve">They were felt </w:t>
      </w:r>
      <w:r>
        <w:rPr>
          <w:rFonts w:cs="Arial"/>
          <w:szCs w:val="24"/>
        </w:rPr>
        <w:t xml:space="preserve">unlikely to have </w:t>
      </w:r>
      <w:r w:rsidRPr="0088747C">
        <w:rPr>
          <w:rFonts w:cs="Arial"/>
          <w:szCs w:val="24"/>
        </w:rPr>
        <w:t>probity issues, however</w:t>
      </w:r>
      <w:r w:rsidR="00E6155D">
        <w:rPr>
          <w:rFonts w:cs="Arial"/>
          <w:szCs w:val="24"/>
        </w:rPr>
        <w:t xml:space="preserve"> were</w:t>
      </w:r>
      <w:r>
        <w:rPr>
          <w:rFonts w:cs="Arial"/>
          <w:szCs w:val="24"/>
        </w:rPr>
        <w:t xml:space="preserve"> asked</w:t>
      </w:r>
      <w:r w:rsidRPr="0088747C">
        <w:rPr>
          <w:rFonts w:cs="Arial"/>
          <w:szCs w:val="24"/>
        </w:rPr>
        <w:t xml:space="preserve"> to</w:t>
      </w:r>
      <w:r>
        <w:rPr>
          <w:rFonts w:cs="Arial"/>
          <w:szCs w:val="24"/>
        </w:rPr>
        <w:t xml:space="preserve"> see and discuss with</w:t>
      </w:r>
      <w:r w:rsidRPr="0088747C">
        <w:rPr>
          <w:rFonts w:cs="Arial"/>
          <w:szCs w:val="24"/>
        </w:rPr>
        <w:t xml:space="preserve"> their</w:t>
      </w:r>
      <w:r>
        <w:rPr>
          <w:rFonts w:cs="Arial"/>
          <w:szCs w:val="24"/>
        </w:rPr>
        <w:t xml:space="preserve"> educational supervisor should this occur</w:t>
      </w:r>
      <w:r w:rsidRPr="0088747C">
        <w:rPr>
          <w:rFonts w:cs="Arial"/>
          <w:szCs w:val="24"/>
        </w:rPr>
        <w:t>.</w:t>
      </w:r>
    </w:p>
    <w:p w14:paraId="11C0ACAB" w14:textId="69CC6F5A" w:rsidR="00E830C5" w:rsidRDefault="00E830C5" w:rsidP="00CA53EB">
      <w:pPr>
        <w:pStyle w:val="Heading2"/>
      </w:pPr>
      <w:bookmarkStart w:id="123" w:name="_Toc343501127"/>
      <w:bookmarkStart w:id="124" w:name="_Toc348686328"/>
      <w:bookmarkStart w:id="125" w:name="_Toc419116122"/>
      <w:r>
        <w:lastRenderedPageBreak/>
        <w:t>Summary</w:t>
      </w:r>
      <w:bookmarkEnd w:id="123"/>
      <w:bookmarkEnd w:id="124"/>
      <w:bookmarkEnd w:id="125"/>
      <w:r>
        <w:t xml:space="preserve"> </w:t>
      </w:r>
    </w:p>
    <w:p w14:paraId="5446748D" w14:textId="77777777" w:rsidR="00372241" w:rsidRDefault="00372241" w:rsidP="001E391A"/>
    <w:p w14:paraId="237FE45E" w14:textId="267C61ED" w:rsidR="00253B81" w:rsidRDefault="00372241" w:rsidP="001E391A">
      <w:r>
        <w:t xml:space="preserve">This </w:t>
      </w:r>
      <w:r w:rsidR="001A01A7">
        <w:t>c</w:t>
      </w:r>
      <w:r w:rsidR="001D42C9">
        <w:t>hapter</w:t>
      </w:r>
      <w:r>
        <w:t xml:space="preserve"> has focused on methodology including quantitative and qualitative theory</w:t>
      </w:r>
      <w:r w:rsidR="00253B81">
        <w:t>,</w:t>
      </w:r>
      <w:r>
        <w:t xml:space="preserve"> to support the mixed methods approach</w:t>
      </w:r>
      <w:r w:rsidR="00A1313C">
        <w:t xml:space="preserve"> </w:t>
      </w:r>
      <w:r w:rsidR="00337A7E">
        <w:t>used</w:t>
      </w:r>
      <w:r w:rsidR="00253B81">
        <w:t xml:space="preserve"> in this study</w:t>
      </w:r>
      <w:r>
        <w:t xml:space="preserve">. </w:t>
      </w:r>
    </w:p>
    <w:p w14:paraId="1F722A08" w14:textId="05FDF282" w:rsidR="001E391A" w:rsidRDefault="00372241" w:rsidP="001E391A">
      <w:r>
        <w:t>Limitations and quality have been explored</w:t>
      </w:r>
      <w:r w:rsidR="00253B81">
        <w:t xml:space="preserve">. </w:t>
      </w:r>
      <w:r>
        <w:t xml:space="preserve">Methods employed will be expanded on in subsequent </w:t>
      </w:r>
      <w:r w:rsidR="001A01A7">
        <w:t>c</w:t>
      </w:r>
      <w:r w:rsidR="001D42C9">
        <w:t>hapter</w:t>
      </w:r>
      <w:r>
        <w:t>s.</w:t>
      </w:r>
    </w:p>
    <w:p w14:paraId="43053FF2" w14:textId="5E5789DF" w:rsidR="001E391A" w:rsidRDefault="00341BA8" w:rsidP="001E391A">
      <w:pPr>
        <w:sectPr w:rsidR="001E391A" w:rsidSect="008E34DE">
          <w:pgSz w:w="11900" w:h="16840"/>
          <w:pgMar w:top="1134" w:right="1134" w:bottom="1134" w:left="2268" w:header="1134" w:footer="1134" w:gutter="0"/>
          <w:cols w:space="708"/>
          <w:docGrid w:linePitch="360"/>
        </w:sectPr>
      </w:pPr>
      <w:r>
        <w:t xml:space="preserve">The </w:t>
      </w:r>
      <w:r w:rsidR="00253B81">
        <w:t>following</w:t>
      </w:r>
      <w:r>
        <w:t xml:space="preserve"> four </w:t>
      </w:r>
      <w:r w:rsidR="001A01A7">
        <w:t>c</w:t>
      </w:r>
      <w:r w:rsidR="001D42C9">
        <w:t>hapter</w:t>
      </w:r>
      <w:r>
        <w:t xml:space="preserve">s present the </w:t>
      </w:r>
      <w:r w:rsidR="00511ED1">
        <w:t>components</w:t>
      </w:r>
      <w:r>
        <w:t xml:space="preserve"> of the intervention </w:t>
      </w:r>
      <w:r w:rsidR="00511ED1">
        <w:t>study, which</w:t>
      </w:r>
      <w:r>
        <w:t xml:space="preserve"> include the pre-pilot </w:t>
      </w:r>
      <w:r w:rsidR="00173DE4">
        <w:t>focus group</w:t>
      </w:r>
      <w:r>
        <w:t xml:space="preserve"> outcomes, the pilot study and the final intervention study</w:t>
      </w:r>
      <w:r w:rsidR="00253B81">
        <w:t>,</w:t>
      </w:r>
      <w:r>
        <w:t xml:space="preserve"> which includes tria</w:t>
      </w:r>
      <w:r w:rsidR="00253B81">
        <w:t>n</w:t>
      </w:r>
      <w:r>
        <w:t>gulation of multiple stakeholder views</w:t>
      </w:r>
      <w:r w:rsidR="00253B81">
        <w:t>.</w:t>
      </w:r>
    </w:p>
    <w:p w14:paraId="339E589E" w14:textId="0D3DEF90" w:rsidR="001E391A" w:rsidRDefault="001D42C9" w:rsidP="006F09AC">
      <w:pPr>
        <w:pStyle w:val="Heading1"/>
      </w:pPr>
      <w:bookmarkStart w:id="126" w:name="_Toc343501128"/>
      <w:bookmarkStart w:id="127" w:name="_Toc348686329"/>
      <w:bookmarkStart w:id="128" w:name="_Toc419116123"/>
      <w:r>
        <w:lastRenderedPageBreak/>
        <w:t>Chapter</w:t>
      </w:r>
      <w:r w:rsidR="007A3B76">
        <w:t xml:space="preserve"> 4</w:t>
      </w:r>
      <w:r w:rsidR="001E391A" w:rsidRPr="00B66AC6">
        <w:t xml:space="preserve">: </w:t>
      </w:r>
      <w:r w:rsidR="0093305B">
        <w:t xml:space="preserve">Pre-pilot study: </w:t>
      </w:r>
      <w:r w:rsidR="00173DE4">
        <w:t>focus group</w:t>
      </w:r>
      <w:r w:rsidR="001E391A" w:rsidRPr="001A6CB4">
        <w:t>s with students</w:t>
      </w:r>
      <w:bookmarkEnd w:id="126"/>
      <w:bookmarkEnd w:id="127"/>
      <w:bookmarkEnd w:id="128"/>
      <w:r w:rsidR="001E391A" w:rsidRPr="001A6CB4">
        <w:t xml:space="preserve"> </w:t>
      </w:r>
    </w:p>
    <w:p w14:paraId="2F468A3B" w14:textId="275D84DE" w:rsidR="00421DA8" w:rsidRPr="00421DA8" w:rsidRDefault="00372241" w:rsidP="00421DA8">
      <w:r>
        <w:rPr>
          <w:noProof/>
          <w:lang w:val="en-US"/>
        </w:rPr>
        <w:drawing>
          <wp:inline distT="0" distB="0" distL="0" distR="0" wp14:anchorId="49BF06CC" wp14:editId="73603B08">
            <wp:extent cx="4780280" cy="7654290"/>
            <wp:effectExtent l="38100" t="19050" r="20320" b="41910"/>
            <wp:docPr id="73" name="Diagram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5CBA7053" w14:textId="2FEF4DB2" w:rsidR="001E391A" w:rsidRDefault="001E391A" w:rsidP="00CA53EB">
      <w:pPr>
        <w:pStyle w:val="Heading2"/>
      </w:pPr>
      <w:bookmarkStart w:id="129" w:name="_Toc343501129"/>
      <w:bookmarkStart w:id="130" w:name="_Toc348686330"/>
      <w:bookmarkStart w:id="131" w:name="_Toc419116124"/>
      <w:r>
        <w:lastRenderedPageBreak/>
        <w:t>Introduction</w:t>
      </w:r>
      <w:bookmarkEnd w:id="129"/>
      <w:bookmarkEnd w:id="130"/>
      <w:bookmarkEnd w:id="131"/>
    </w:p>
    <w:p w14:paraId="1696B911" w14:textId="77777777" w:rsidR="00421DA8" w:rsidRPr="00421DA8" w:rsidRDefault="00421DA8" w:rsidP="00421DA8"/>
    <w:p w14:paraId="42569C89" w14:textId="03276B57" w:rsidR="0093305B" w:rsidRDefault="00511ED1" w:rsidP="00571331">
      <w:r>
        <w:t xml:space="preserve">Development of </w:t>
      </w:r>
      <w:r w:rsidR="00332974">
        <w:t xml:space="preserve">the </w:t>
      </w:r>
      <w:r>
        <w:t xml:space="preserve">pilot study involved </w:t>
      </w:r>
      <w:r w:rsidR="00173DE4">
        <w:t>focus group</w:t>
      </w:r>
      <w:r>
        <w:t>s, followed by development of the intervention (</w:t>
      </w:r>
      <w:r w:rsidR="001D42C9">
        <w:t>Chapter</w:t>
      </w:r>
      <w:r>
        <w:t xml:space="preserve"> 5) and pilot study (</w:t>
      </w:r>
      <w:r w:rsidR="001D42C9">
        <w:t>Chapter</w:t>
      </w:r>
      <w:r>
        <w:t xml:space="preserve"> 6). </w:t>
      </w:r>
    </w:p>
    <w:p w14:paraId="397ABC2C" w14:textId="1894E926" w:rsidR="00C97DE0" w:rsidRDefault="0093305B" w:rsidP="00571331">
      <w:r>
        <w:t xml:space="preserve">Each </w:t>
      </w:r>
      <w:r w:rsidR="001D42C9">
        <w:t>Chapter</w:t>
      </w:r>
      <w:r w:rsidR="00B927EB">
        <w:t xml:space="preserve"> presents methods, results, discussion</w:t>
      </w:r>
      <w:r>
        <w:t xml:space="preserve"> and conclusions.</w:t>
      </w:r>
    </w:p>
    <w:p w14:paraId="77741291" w14:textId="66EAE7AF" w:rsidR="001E391A" w:rsidRDefault="00811BF2" w:rsidP="00CA53EB">
      <w:pPr>
        <w:pStyle w:val="Heading2"/>
      </w:pPr>
      <w:bookmarkStart w:id="132" w:name="_Toc343501130"/>
      <w:bookmarkStart w:id="133" w:name="_Toc348686331"/>
      <w:bookmarkStart w:id="134" w:name="_Toc419116125"/>
      <w:r>
        <w:t>Aim</w:t>
      </w:r>
      <w:r w:rsidR="001E391A">
        <w:t xml:space="preserve">: </w:t>
      </w:r>
      <w:r>
        <w:t>E</w:t>
      </w:r>
      <w:r w:rsidR="001E391A" w:rsidRPr="001A6CB4">
        <w:t xml:space="preserve">xploring preparedness </w:t>
      </w:r>
      <w:r>
        <w:t>for practice</w:t>
      </w:r>
      <w:bookmarkEnd w:id="132"/>
      <w:bookmarkEnd w:id="133"/>
      <w:bookmarkEnd w:id="134"/>
    </w:p>
    <w:p w14:paraId="74CA7927" w14:textId="77777777" w:rsidR="00421DA8" w:rsidRDefault="00421DA8" w:rsidP="00424201"/>
    <w:p w14:paraId="5775E795" w14:textId="4D53E65B" w:rsidR="00424201" w:rsidRDefault="00424201" w:rsidP="00424201">
      <w:r>
        <w:t xml:space="preserve">In order to better understand the perception of preparedness as understood and interpreted by </w:t>
      </w:r>
      <w:r w:rsidR="001D42C9">
        <w:t>5th-year</w:t>
      </w:r>
      <w:r>
        <w:t xml:space="preserve"> medical students, </w:t>
      </w:r>
      <w:r w:rsidR="00E46FAB">
        <w:t xml:space="preserve">four </w:t>
      </w:r>
      <w:r w:rsidR="00173DE4">
        <w:t>focus group</w:t>
      </w:r>
      <w:r>
        <w:t xml:space="preserve">s were performed. </w:t>
      </w:r>
    </w:p>
    <w:p w14:paraId="6BDDDD2B" w14:textId="110152C4" w:rsidR="00C97DE0" w:rsidRPr="00425738" w:rsidRDefault="00E46FAB" w:rsidP="00E46FAB">
      <w:r>
        <w:t>At this stage in the study, the</w:t>
      </w:r>
      <w:r w:rsidR="00424201">
        <w:t xml:space="preserve"> ma</w:t>
      </w:r>
      <w:r w:rsidR="000A27DF">
        <w:t>in</w:t>
      </w:r>
      <w:r w:rsidR="001569C8">
        <w:t xml:space="preserve"> </w:t>
      </w:r>
      <w:r w:rsidR="000A27DF">
        <w:t>to</w:t>
      </w:r>
      <w:r w:rsidR="00424201">
        <w:t xml:space="preserve">pic explored was preparedness. </w:t>
      </w:r>
      <w:r w:rsidR="00425738">
        <w:t xml:space="preserve"> </w:t>
      </w:r>
    </w:p>
    <w:p w14:paraId="3AF92C87" w14:textId="15422A63" w:rsidR="001E391A" w:rsidRDefault="001E391A" w:rsidP="00CA53EB">
      <w:pPr>
        <w:pStyle w:val="Heading2"/>
      </w:pPr>
      <w:bookmarkStart w:id="135" w:name="_Toc343501131"/>
      <w:bookmarkStart w:id="136" w:name="_Toc348686332"/>
      <w:bookmarkStart w:id="137" w:name="_Toc419116126"/>
      <w:r>
        <w:t>Methods</w:t>
      </w:r>
      <w:bookmarkEnd w:id="135"/>
      <w:bookmarkEnd w:id="136"/>
      <w:bookmarkEnd w:id="137"/>
    </w:p>
    <w:p w14:paraId="5CC714D1" w14:textId="77777777" w:rsidR="00811BF2" w:rsidRDefault="00811BF2" w:rsidP="00811BF2">
      <w:pPr>
        <w:rPr>
          <w:rFonts w:cs="Arial"/>
          <w:szCs w:val="24"/>
        </w:rPr>
      </w:pPr>
    </w:p>
    <w:p w14:paraId="038DBFDB" w14:textId="7005DA65" w:rsidR="00E46FAB" w:rsidRDefault="00E46FAB" w:rsidP="00AC79EC">
      <w:pPr>
        <w:pStyle w:val="Heading3"/>
      </w:pPr>
      <w:bookmarkStart w:id="138" w:name="_Toc419116127"/>
      <w:r>
        <w:t>Sample</w:t>
      </w:r>
      <w:bookmarkEnd w:id="138"/>
    </w:p>
    <w:p w14:paraId="1C77666B" w14:textId="77777777" w:rsidR="00315AFB" w:rsidRPr="00315AFB" w:rsidRDefault="00315AFB"/>
    <w:p w14:paraId="5A9A8ACF" w14:textId="0F6E51E1" w:rsidR="00002B39" w:rsidRDefault="00002B39" w:rsidP="00811BF2">
      <w:pPr>
        <w:rPr>
          <w:rFonts w:cs="Arial"/>
          <w:szCs w:val="24"/>
        </w:rPr>
      </w:pPr>
      <w:r>
        <w:rPr>
          <w:rFonts w:cs="Arial"/>
          <w:szCs w:val="24"/>
        </w:rPr>
        <w:t xml:space="preserve">The study population for the pre-pilot </w:t>
      </w:r>
      <w:r w:rsidR="00173DE4">
        <w:rPr>
          <w:rFonts w:cs="Arial"/>
          <w:szCs w:val="24"/>
        </w:rPr>
        <w:t>focus group</w:t>
      </w:r>
      <w:r>
        <w:rPr>
          <w:rFonts w:cs="Arial"/>
          <w:szCs w:val="24"/>
        </w:rPr>
        <w:t xml:space="preserve">s were </w:t>
      </w:r>
      <w:r w:rsidR="001D42C9">
        <w:rPr>
          <w:rFonts w:cs="Arial"/>
          <w:szCs w:val="24"/>
        </w:rPr>
        <w:t>5th-year</w:t>
      </w:r>
      <w:r w:rsidR="008C4A7C">
        <w:rPr>
          <w:rFonts w:cs="Arial"/>
          <w:szCs w:val="24"/>
        </w:rPr>
        <w:t xml:space="preserve"> medical students</w:t>
      </w:r>
      <w:r w:rsidR="00B927EB">
        <w:rPr>
          <w:rFonts w:cs="Arial"/>
          <w:szCs w:val="24"/>
        </w:rPr>
        <w:t xml:space="preserve"> from a single UK university,</w:t>
      </w:r>
      <w:r w:rsidR="008C4A7C">
        <w:rPr>
          <w:rFonts w:cs="Arial"/>
          <w:szCs w:val="24"/>
        </w:rPr>
        <w:t xml:space="preserve"> purposively sampled</w:t>
      </w:r>
      <w:r w:rsidR="00B927EB">
        <w:rPr>
          <w:rFonts w:cs="Arial"/>
          <w:szCs w:val="24"/>
        </w:rPr>
        <w:t>,</w:t>
      </w:r>
      <w:r w:rsidR="008C4A7C">
        <w:rPr>
          <w:rFonts w:cs="Arial"/>
          <w:szCs w:val="24"/>
        </w:rPr>
        <w:t xml:space="preserve"> which led to four groups of f</w:t>
      </w:r>
      <w:r w:rsidR="001569C8">
        <w:rPr>
          <w:rFonts w:cs="Arial"/>
          <w:szCs w:val="24"/>
        </w:rPr>
        <w:t>ive</w:t>
      </w:r>
      <w:r w:rsidR="008C4A7C">
        <w:rPr>
          <w:rFonts w:cs="Arial"/>
          <w:szCs w:val="24"/>
        </w:rPr>
        <w:t xml:space="preserve"> to six members. </w:t>
      </w:r>
    </w:p>
    <w:p w14:paraId="0E7EFD9C" w14:textId="39277B05" w:rsidR="00DC33B5" w:rsidRDefault="00DC33B5" w:rsidP="00AC79EC">
      <w:pPr>
        <w:pStyle w:val="Heading3"/>
      </w:pPr>
      <w:bookmarkStart w:id="139" w:name="_Toc419116128"/>
      <w:r>
        <w:t>Context</w:t>
      </w:r>
      <w:bookmarkEnd w:id="139"/>
    </w:p>
    <w:p w14:paraId="67FA5469" w14:textId="77777777" w:rsidR="00A616D1" w:rsidRPr="00A616D1" w:rsidRDefault="00A616D1"/>
    <w:p w14:paraId="38D40744" w14:textId="30F76E3D" w:rsidR="00DC33B5" w:rsidRDefault="00A616D1" w:rsidP="00811BF2">
      <w:pPr>
        <w:rPr>
          <w:rFonts w:cs="Arial"/>
          <w:szCs w:val="24"/>
        </w:rPr>
      </w:pPr>
      <w:r>
        <w:rPr>
          <w:rFonts w:cs="Arial"/>
          <w:szCs w:val="24"/>
        </w:rPr>
        <w:t>The U</w:t>
      </w:r>
      <w:r w:rsidR="00DC33B5">
        <w:rPr>
          <w:rFonts w:cs="Arial"/>
          <w:szCs w:val="24"/>
        </w:rPr>
        <w:t>niversity is a member of the Russell Group of r</w:t>
      </w:r>
      <w:r>
        <w:rPr>
          <w:rFonts w:cs="Arial"/>
          <w:szCs w:val="24"/>
        </w:rPr>
        <w:t xml:space="preserve">esearch-intensive universities </w:t>
      </w:r>
      <w:r w:rsidR="00DC33B5">
        <w:rPr>
          <w:rFonts w:cs="Arial"/>
          <w:szCs w:val="24"/>
        </w:rPr>
        <w:t>with an integrated curriculum</w:t>
      </w:r>
      <w:r>
        <w:rPr>
          <w:rFonts w:cs="Arial"/>
          <w:szCs w:val="24"/>
        </w:rPr>
        <w:t xml:space="preserve">, technology enhanced learning and a </w:t>
      </w:r>
      <w:r>
        <w:rPr>
          <w:rFonts w:cs="Arial"/>
          <w:szCs w:val="24"/>
        </w:rPr>
        <w:lastRenderedPageBreak/>
        <w:t xml:space="preserve">final year </w:t>
      </w:r>
      <w:r w:rsidR="00AD12D9">
        <w:rPr>
          <w:rFonts w:cs="Arial"/>
          <w:szCs w:val="24"/>
        </w:rPr>
        <w:t xml:space="preserve">group </w:t>
      </w:r>
      <w:r>
        <w:rPr>
          <w:rFonts w:cs="Arial"/>
          <w:szCs w:val="24"/>
        </w:rPr>
        <w:t xml:space="preserve">of 234 medical students. </w:t>
      </w:r>
      <w:r w:rsidR="00AD5CDA">
        <w:rPr>
          <w:rFonts w:cs="Arial"/>
          <w:szCs w:val="24"/>
        </w:rPr>
        <w:t>The medical course is 5 years (MBChB).</w:t>
      </w:r>
    </w:p>
    <w:p w14:paraId="0DC286D6" w14:textId="7ABB7A1C" w:rsidR="00E46FAB" w:rsidRDefault="00E46FAB" w:rsidP="000D141B">
      <w:pPr>
        <w:pStyle w:val="Heading3"/>
      </w:pPr>
      <w:bookmarkStart w:id="140" w:name="_Toc419116129"/>
      <w:r>
        <w:t>Setting</w:t>
      </w:r>
      <w:bookmarkEnd w:id="140"/>
    </w:p>
    <w:p w14:paraId="2BA0D942" w14:textId="77777777" w:rsidR="00315AFB" w:rsidRPr="00315AFB" w:rsidRDefault="00315AFB"/>
    <w:p w14:paraId="3491C013" w14:textId="1A572AF2" w:rsidR="00C97DE0" w:rsidRDefault="00DC33B5" w:rsidP="00811BF2">
      <w:pPr>
        <w:rPr>
          <w:rFonts w:cs="Arial"/>
          <w:szCs w:val="24"/>
        </w:rPr>
      </w:pPr>
      <w:r>
        <w:rPr>
          <w:rFonts w:cs="Arial"/>
          <w:szCs w:val="24"/>
        </w:rPr>
        <w:t>F</w:t>
      </w:r>
      <w:r w:rsidR="00173DE4">
        <w:rPr>
          <w:rFonts w:cs="Arial"/>
          <w:szCs w:val="24"/>
        </w:rPr>
        <w:t>ocus group</w:t>
      </w:r>
      <w:r w:rsidR="00B927EB">
        <w:rPr>
          <w:rFonts w:cs="Arial"/>
          <w:szCs w:val="24"/>
        </w:rPr>
        <w:t>s were conducted in the medical education building linked to the University. G</w:t>
      </w:r>
      <w:r w:rsidR="00811BF2">
        <w:rPr>
          <w:rFonts w:cs="Arial"/>
          <w:szCs w:val="24"/>
        </w:rPr>
        <w:t xml:space="preserve">roup discussions are said </w:t>
      </w:r>
      <w:r w:rsidR="00B927EB">
        <w:rPr>
          <w:rFonts w:cs="Arial"/>
          <w:szCs w:val="24"/>
        </w:rPr>
        <w:t xml:space="preserve">to </w:t>
      </w:r>
      <w:r w:rsidR="00811BF2">
        <w:rPr>
          <w:rFonts w:cs="Arial"/>
          <w:szCs w:val="24"/>
        </w:rPr>
        <w:t xml:space="preserve">benefit from having ‘commonality in participants socio-demographic characteristics and relationship to the research topic’ </w:t>
      </w:r>
      <w:r w:rsidR="00811BF2">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811BF2">
        <w:rPr>
          <w:rFonts w:cs="Arial"/>
          <w:szCs w:val="24"/>
        </w:rPr>
        <w:fldChar w:fldCharType="separate"/>
      </w:r>
      <w:r w:rsidR="006102D5">
        <w:rPr>
          <w:rFonts w:cs="Arial"/>
          <w:noProof/>
          <w:szCs w:val="24"/>
        </w:rPr>
        <w:t>(Ritchie et al., 2014</w:t>
      </w:r>
      <w:r w:rsidR="003961BA">
        <w:rPr>
          <w:rFonts w:cs="Arial"/>
          <w:noProof/>
          <w:szCs w:val="24"/>
        </w:rPr>
        <w:t xml:space="preserve">; </w:t>
      </w:r>
      <w:r w:rsidR="00811BF2">
        <w:rPr>
          <w:rFonts w:cs="Arial"/>
          <w:szCs w:val="24"/>
        </w:rPr>
        <w:fldChar w:fldCharType="end"/>
      </w:r>
      <w:r w:rsidR="00811BF2">
        <w:rPr>
          <w:rFonts w:cs="Arial"/>
          <w:szCs w:val="24"/>
        </w:rPr>
        <w:t xml:space="preserve">p57). </w:t>
      </w:r>
      <w:r w:rsidR="00B927EB">
        <w:rPr>
          <w:rFonts w:cs="Arial"/>
          <w:szCs w:val="24"/>
        </w:rPr>
        <w:t>A</w:t>
      </w:r>
      <w:r w:rsidR="00811BF2">
        <w:rPr>
          <w:rFonts w:cs="Arial"/>
          <w:szCs w:val="24"/>
        </w:rPr>
        <w:t xml:space="preserve">ll members of the </w:t>
      </w:r>
      <w:r w:rsidR="00173DE4">
        <w:rPr>
          <w:rFonts w:cs="Arial"/>
          <w:szCs w:val="24"/>
        </w:rPr>
        <w:t>focus group</w:t>
      </w:r>
      <w:r w:rsidR="00B927EB">
        <w:rPr>
          <w:rFonts w:cs="Arial"/>
          <w:szCs w:val="24"/>
        </w:rPr>
        <w:t>s</w:t>
      </w:r>
      <w:r w:rsidR="00811BF2">
        <w:rPr>
          <w:rFonts w:cs="Arial"/>
          <w:szCs w:val="24"/>
        </w:rPr>
        <w:t xml:space="preserve"> were of equal level</w:t>
      </w:r>
      <w:r w:rsidR="00B927EB">
        <w:rPr>
          <w:rFonts w:cs="Arial"/>
          <w:szCs w:val="24"/>
        </w:rPr>
        <w:t xml:space="preserve"> and</w:t>
      </w:r>
      <w:r w:rsidR="00811BF2">
        <w:rPr>
          <w:rFonts w:cs="Arial"/>
          <w:szCs w:val="24"/>
        </w:rPr>
        <w:t xml:space="preserve"> the use of small groups was more personal</w:t>
      </w:r>
      <w:r w:rsidR="00B927EB">
        <w:rPr>
          <w:rFonts w:cs="Arial"/>
          <w:szCs w:val="24"/>
        </w:rPr>
        <w:t>,</w:t>
      </w:r>
      <w:r w:rsidR="00811BF2">
        <w:rPr>
          <w:rFonts w:cs="Arial"/>
          <w:szCs w:val="24"/>
        </w:rPr>
        <w:t xml:space="preserve"> allow</w:t>
      </w:r>
      <w:r w:rsidR="00B927EB">
        <w:rPr>
          <w:rFonts w:cs="Arial"/>
          <w:szCs w:val="24"/>
        </w:rPr>
        <w:t>ing</w:t>
      </w:r>
      <w:r w:rsidR="00811BF2">
        <w:rPr>
          <w:rFonts w:cs="Arial"/>
          <w:szCs w:val="24"/>
        </w:rPr>
        <w:t xml:space="preserve"> individual time to speak</w:t>
      </w:r>
      <w:r w:rsidR="00B927EB">
        <w:rPr>
          <w:rFonts w:cs="Arial"/>
          <w:szCs w:val="24"/>
        </w:rPr>
        <w:t>,</w:t>
      </w:r>
      <w:r w:rsidR="00811BF2">
        <w:rPr>
          <w:rFonts w:cs="Arial"/>
          <w:szCs w:val="24"/>
        </w:rPr>
        <w:t xml:space="preserve"> adding to the depth and context of data collected. </w:t>
      </w:r>
    </w:p>
    <w:p w14:paraId="5093FDA1" w14:textId="5875E08E" w:rsidR="00E46FAB" w:rsidRDefault="00E46FAB" w:rsidP="000D141B">
      <w:pPr>
        <w:pStyle w:val="Heading3"/>
      </w:pPr>
      <w:bookmarkStart w:id="141" w:name="_Toc419116130"/>
      <w:r>
        <w:t>Topic guide</w:t>
      </w:r>
      <w:bookmarkEnd w:id="141"/>
    </w:p>
    <w:p w14:paraId="54BB9044" w14:textId="77777777" w:rsidR="00315AFB" w:rsidRPr="00315AFB" w:rsidRDefault="00315AFB"/>
    <w:p w14:paraId="6FD5A103" w14:textId="1D1743BB" w:rsidR="00737BBE" w:rsidRDefault="00811BF2" w:rsidP="00811BF2">
      <w:pPr>
        <w:rPr>
          <w:rFonts w:cs="Arial"/>
          <w:szCs w:val="24"/>
        </w:rPr>
      </w:pPr>
      <w:r>
        <w:rPr>
          <w:rFonts w:cs="Arial"/>
          <w:szCs w:val="24"/>
        </w:rPr>
        <w:t xml:space="preserve">Design of </w:t>
      </w:r>
      <w:r w:rsidR="00173DE4">
        <w:rPr>
          <w:rFonts w:cs="Arial"/>
          <w:szCs w:val="24"/>
        </w:rPr>
        <w:t>focus group</w:t>
      </w:r>
      <w:r>
        <w:rPr>
          <w:rFonts w:cs="Arial"/>
          <w:szCs w:val="24"/>
        </w:rPr>
        <w:t xml:space="preserve"> questions </w:t>
      </w:r>
      <w:r w:rsidR="00337A7E">
        <w:rPr>
          <w:rFonts w:cs="Arial"/>
          <w:szCs w:val="24"/>
        </w:rPr>
        <w:t>used</w:t>
      </w:r>
      <w:r>
        <w:rPr>
          <w:rFonts w:cs="Arial"/>
          <w:szCs w:val="24"/>
        </w:rPr>
        <w:t xml:space="preserve"> the f</w:t>
      </w:r>
      <w:r w:rsidRPr="009C4833">
        <w:rPr>
          <w:rFonts w:cs="Arial"/>
          <w:szCs w:val="24"/>
        </w:rPr>
        <w:t>unnel method</w:t>
      </w:r>
      <w:r w:rsidR="00A06DCF">
        <w:rPr>
          <w:rFonts w:cs="Arial"/>
          <w:szCs w:val="24"/>
        </w:rPr>
        <w:t>,</w:t>
      </w:r>
      <w:r w:rsidRPr="009C4833">
        <w:rPr>
          <w:rFonts w:cs="Arial"/>
          <w:szCs w:val="24"/>
        </w:rPr>
        <w:t xml:space="preserve"> </w:t>
      </w:r>
      <w:r>
        <w:rPr>
          <w:rFonts w:cs="Arial"/>
          <w:szCs w:val="24"/>
        </w:rPr>
        <w:t>wher</w:t>
      </w:r>
      <w:r w:rsidR="00A06DCF">
        <w:rPr>
          <w:rFonts w:cs="Arial"/>
          <w:szCs w:val="24"/>
        </w:rPr>
        <w:t>e</w:t>
      </w:r>
      <w:r>
        <w:rPr>
          <w:rFonts w:cs="Arial"/>
          <w:szCs w:val="24"/>
        </w:rPr>
        <w:t xml:space="preserve"> initial open questions </w:t>
      </w:r>
      <w:r w:rsidR="00A06DCF">
        <w:rPr>
          <w:rFonts w:cs="Arial"/>
          <w:szCs w:val="24"/>
        </w:rPr>
        <w:t xml:space="preserve">become </w:t>
      </w:r>
      <w:r>
        <w:rPr>
          <w:rFonts w:cs="Arial"/>
          <w:szCs w:val="24"/>
        </w:rPr>
        <w:t xml:space="preserve">more specific towards the end </w:t>
      </w:r>
      <w:r w:rsidR="00A06DCF">
        <w:rPr>
          <w:rFonts w:cs="Arial"/>
          <w:szCs w:val="24"/>
        </w:rPr>
        <w:t xml:space="preserve">(‘funnelling’), </w:t>
      </w:r>
      <w:r>
        <w:rPr>
          <w:rFonts w:cs="Arial"/>
          <w:szCs w:val="24"/>
        </w:rPr>
        <w:t xml:space="preserve">to allow collection of rich data </w:t>
      </w:r>
      <w:r>
        <w:rPr>
          <w:rFonts w:cs="Arial"/>
          <w:szCs w:val="24"/>
        </w:rPr>
        <w:fldChar w:fldCharType="begin"/>
      </w:r>
      <w:r>
        <w:rPr>
          <w:rFonts w:cs="Arial"/>
          <w:szCs w:val="24"/>
        </w:rPr>
        <w:instrText xml:space="preserve"> ADDIN EN.CITE &lt;EndNote&gt;&lt;Cite&gt;&lt;Author&gt;Morgan&lt;/Author&gt;&lt;Year&gt;1997&lt;/Year&gt;&lt;IDText&gt;Focus groups as qualitative research&lt;/IDText&gt;&lt;DisplayText&gt;(Morgan, 1997)&lt;/DisplayText&gt;&lt;record&gt;&lt;titles&gt;&lt;title&gt;Focus groups as qualitative research&lt;/title&gt;&lt;secondary-title&gt;Qualitative Research Methods Series&lt;/secondary-title&gt;&lt;/titles&gt;&lt;contributors&gt;&lt;authors&gt;&lt;author&gt;Morgan, David L&lt;/author&gt;&lt;/authors&gt;&lt;/contributors&gt;&lt;edition&gt;2nd&lt;/edition&gt;&lt;added-date format="utc"&gt;1401118285&lt;/added-date&gt;&lt;pub-location&gt;Thousand Oaks, CA&lt;/pub-location&gt;&lt;ref-type name="Book"&gt;6&lt;/ref-type&gt;&lt;dates&gt;&lt;year&gt;1997&lt;/year&gt;&lt;/dates&gt;&lt;rec-number&gt;149&lt;/rec-number&gt;&lt;publisher&gt;Sage&lt;/publisher&gt;&lt;last-updated-date format="utc"&gt;1401118446&lt;/last-updated-date&gt;&lt;volume&gt;16&lt;/volume&gt;&lt;/record&gt;&lt;/Cite&gt;&lt;/EndNote&gt;</w:instrText>
      </w:r>
      <w:r>
        <w:rPr>
          <w:rFonts w:cs="Arial"/>
          <w:szCs w:val="24"/>
        </w:rPr>
        <w:fldChar w:fldCharType="separate"/>
      </w:r>
      <w:r>
        <w:rPr>
          <w:rFonts w:cs="Arial"/>
          <w:noProof/>
          <w:szCs w:val="24"/>
        </w:rPr>
        <w:t>(Morgan, 1997)</w:t>
      </w:r>
      <w:r>
        <w:rPr>
          <w:rFonts w:cs="Arial"/>
          <w:szCs w:val="24"/>
        </w:rPr>
        <w:fldChar w:fldCharType="end"/>
      </w:r>
      <w:r>
        <w:rPr>
          <w:rFonts w:cs="Arial"/>
          <w:szCs w:val="24"/>
        </w:rPr>
        <w:t xml:space="preserve">. </w:t>
      </w:r>
      <w:r w:rsidR="00E46FAB">
        <w:rPr>
          <w:rFonts w:cs="Arial"/>
          <w:szCs w:val="24"/>
        </w:rPr>
        <w:t xml:space="preserve"> An example of the topic guide used for questions is demonstrated in A</w:t>
      </w:r>
      <w:r w:rsidR="00A06DCF">
        <w:rPr>
          <w:rFonts w:cs="Arial"/>
          <w:szCs w:val="24"/>
        </w:rPr>
        <w:t>pp</w:t>
      </w:r>
      <w:r w:rsidR="00E46FAB">
        <w:rPr>
          <w:rFonts w:cs="Arial"/>
          <w:szCs w:val="24"/>
        </w:rPr>
        <w:t>endix</w:t>
      </w:r>
      <w:r w:rsidR="00844541">
        <w:rPr>
          <w:rFonts w:cs="Arial"/>
          <w:szCs w:val="24"/>
        </w:rPr>
        <w:t xml:space="preserve"> 1</w:t>
      </w:r>
      <w:r w:rsidR="00084242">
        <w:rPr>
          <w:rFonts w:cs="Arial"/>
          <w:szCs w:val="24"/>
        </w:rPr>
        <w:t>3</w:t>
      </w:r>
      <w:r w:rsidR="00844541">
        <w:rPr>
          <w:rFonts w:cs="Arial"/>
          <w:szCs w:val="24"/>
        </w:rPr>
        <w:t xml:space="preserve">.20. </w:t>
      </w:r>
      <w:r w:rsidR="00487342">
        <w:rPr>
          <w:rFonts w:cs="Arial"/>
          <w:szCs w:val="24"/>
        </w:rPr>
        <w:t xml:space="preserve">The researcher (FF) conducted training at the National Centre for Social research in </w:t>
      </w:r>
      <w:proofErr w:type="spellStart"/>
      <w:r w:rsidR="00487342">
        <w:rPr>
          <w:rFonts w:cs="Arial"/>
          <w:szCs w:val="24"/>
        </w:rPr>
        <w:t>london</w:t>
      </w:r>
      <w:proofErr w:type="spellEnd"/>
      <w:r w:rsidR="00487342">
        <w:rPr>
          <w:rFonts w:cs="Arial"/>
          <w:szCs w:val="24"/>
        </w:rPr>
        <w:t xml:space="preserve"> on how to develop a topic guide. Furth</w:t>
      </w:r>
      <w:r w:rsidR="00737BBE">
        <w:rPr>
          <w:rFonts w:cs="Arial"/>
          <w:szCs w:val="24"/>
        </w:rPr>
        <w:t>e</w:t>
      </w:r>
      <w:r w:rsidR="00487342">
        <w:rPr>
          <w:rFonts w:cs="Arial"/>
          <w:szCs w:val="24"/>
        </w:rPr>
        <w:t xml:space="preserve">r instruction and </w:t>
      </w:r>
      <w:proofErr w:type="spellStart"/>
      <w:r w:rsidR="00487342">
        <w:rPr>
          <w:rFonts w:cs="Arial"/>
          <w:szCs w:val="24"/>
        </w:rPr>
        <w:t>guidence</w:t>
      </w:r>
      <w:proofErr w:type="spellEnd"/>
      <w:r w:rsidR="00487342">
        <w:rPr>
          <w:rFonts w:cs="Arial"/>
          <w:szCs w:val="24"/>
        </w:rPr>
        <w:t xml:space="preserve"> was received from </w:t>
      </w:r>
      <w:r w:rsidR="00737BBE">
        <w:rPr>
          <w:rFonts w:cs="Arial"/>
          <w:szCs w:val="24"/>
        </w:rPr>
        <w:t xml:space="preserve">the two main research supervisors experienced in focus group facilitation. Challenges experienced were discussed </w:t>
      </w:r>
      <w:r w:rsidR="003961BA">
        <w:rPr>
          <w:rFonts w:cs="Arial"/>
          <w:szCs w:val="24"/>
        </w:rPr>
        <w:t>a</w:t>
      </w:r>
      <w:r w:rsidR="00737BBE">
        <w:rPr>
          <w:rFonts w:cs="Arial"/>
          <w:szCs w:val="24"/>
        </w:rPr>
        <w:t xml:space="preserve">nd support given to address these. A peer research student with experience of focus groups was also able to sit in on two focus groups and provide feedback to improve technique. </w:t>
      </w:r>
    </w:p>
    <w:p w14:paraId="1E30CEA8" w14:textId="6C8DB95F" w:rsidR="00811BF2" w:rsidRDefault="00844541" w:rsidP="00811BF2">
      <w:pPr>
        <w:rPr>
          <w:rFonts w:cs="Arial"/>
          <w:szCs w:val="24"/>
        </w:rPr>
      </w:pPr>
      <w:r>
        <w:rPr>
          <w:rFonts w:cs="Arial"/>
          <w:szCs w:val="24"/>
        </w:rPr>
        <w:lastRenderedPageBreak/>
        <w:t>M</w:t>
      </w:r>
      <w:r w:rsidR="00811BF2">
        <w:rPr>
          <w:rFonts w:cs="Arial"/>
          <w:szCs w:val="24"/>
        </w:rPr>
        <w:t>ultiple similar questions were asked to improve reliability of data.</w:t>
      </w:r>
      <w:r w:rsidR="00E46FAB">
        <w:rPr>
          <w:rFonts w:cs="Arial"/>
          <w:szCs w:val="24"/>
        </w:rPr>
        <w:t xml:space="preserve"> </w:t>
      </w:r>
      <w:r w:rsidR="00811BF2">
        <w:rPr>
          <w:rFonts w:cs="Arial"/>
          <w:szCs w:val="24"/>
        </w:rPr>
        <w:t xml:space="preserve">No leading questions were used. </w:t>
      </w:r>
      <w:r w:rsidR="001569C8">
        <w:rPr>
          <w:rFonts w:cs="Arial"/>
          <w:szCs w:val="24"/>
        </w:rPr>
        <w:t>The topic guide was useful</w:t>
      </w:r>
      <w:r w:rsidR="00430FEB">
        <w:rPr>
          <w:rFonts w:cs="Arial"/>
          <w:szCs w:val="24"/>
        </w:rPr>
        <w:t>,</w:t>
      </w:r>
      <w:r w:rsidR="00A06DCF">
        <w:rPr>
          <w:rFonts w:cs="Arial"/>
          <w:szCs w:val="24"/>
        </w:rPr>
        <w:t xml:space="preserve"> however</w:t>
      </w:r>
      <w:r w:rsidR="00E46FAB">
        <w:rPr>
          <w:rFonts w:cs="Arial"/>
          <w:szCs w:val="24"/>
        </w:rPr>
        <w:t xml:space="preserve"> </w:t>
      </w:r>
      <w:r w:rsidR="00811BF2">
        <w:rPr>
          <w:rFonts w:cs="Arial"/>
          <w:szCs w:val="24"/>
        </w:rPr>
        <w:t>flexibility was key to allow participants to embrace an</w:t>
      </w:r>
      <w:r w:rsidR="00A06DCF">
        <w:rPr>
          <w:rFonts w:cs="Arial"/>
          <w:szCs w:val="24"/>
        </w:rPr>
        <w:t>d</w:t>
      </w:r>
      <w:r w:rsidR="00811BF2">
        <w:rPr>
          <w:rFonts w:cs="Arial"/>
          <w:szCs w:val="24"/>
        </w:rPr>
        <w:t xml:space="preserve"> explore </w:t>
      </w:r>
      <w:r w:rsidR="00A06DCF">
        <w:rPr>
          <w:rFonts w:cs="Arial"/>
          <w:szCs w:val="24"/>
        </w:rPr>
        <w:t xml:space="preserve">phenomena that </w:t>
      </w:r>
      <w:r w:rsidR="00811BF2">
        <w:rPr>
          <w:rFonts w:cs="Arial"/>
          <w:szCs w:val="24"/>
        </w:rPr>
        <w:t>naturally occurred in conversation. Initially</w:t>
      </w:r>
      <w:r w:rsidR="00A06DCF">
        <w:rPr>
          <w:rFonts w:cs="Arial"/>
          <w:szCs w:val="24"/>
        </w:rPr>
        <w:t xml:space="preserve"> </w:t>
      </w:r>
      <w:r w:rsidR="00811BF2">
        <w:rPr>
          <w:rFonts w:cs="Arial"/>
          <w:szCs w:val="24"/>
        </w:rPr>
        <w:t>topics were found to be unstructured but as familiarity developed with the groups, topics and format became more ordered to the researcher and easier to follow. Owing to the homogeneous nature of the participants</w:t>
      </w:r>
      <w:r w:rsidR="00A06DCF">
        <w:rPr>
          <w:rFonts w:cs="Arial"/>
          <w:szCs w:val="24"/>
        </w:rPr>
        <w:t>,</w:t>
      </w:r>
      <w:r w:rsidR="00811BF2">
        <w:rPr>
          <w:rFonts w:cs="Arial"/>
          <w:szCs w:val="24"/>
        </w:rPr>
        <w:t xml:space="preserve"> these followed similar pathways but still allowed </w:t>
      </w:r>
      <w:r w:rsidR="00A06DCF">
        <w:rPr>
          <w:rFonts w:cs="Arial"/>
          <w:szCs w:val="24"/>
        </w:rPr>
        <w:t xml:space="preserve">exposure and exploration of </w:t>
      </w:r>
      <w:r w:rsidR="00811BF2">
        <w:rPr>
          <w:rFonts w:cs="Arial"/>
          <w:szCs w:val="24"/>
        </w:rPr>
        <w:t xml:space="preserve">differences between participants. </w:t>
      </w:r>
    </w:p>
    <w:p w14:paraId="5174BDD9" w14:textId="0A00854E" w:rsidR="00811BF2" w:rsidRDefault="00811BF2" w:rsidP="00811BF2">
      <w:pPr>
        <w:rPr>
          <w:rFonts w:cs="Arial"/>
          <w:szCs w:val="24"/>
        </w:rPr>
      </w:pPr>
      <w:r>
        <w:rPr>
          <w:rFonts w:cs="Arial"/>
          <w:szCs w:val="24"/>
        </w:rPr>
        <w:t>Probing questions</w:t>
      </w:r>
      <w:r w:rsidR="00AD53EF">
        <w:rPr>
          <w:rFonts w:cs="Arial"/>
          <w:szCs w:val="24"/>
        </w:rPr>
        <w:t xml:space="preserve">, </w:t>
      </w:r>
      <w:r>
        <w:rPr>
          <w:rFonts w:cs="Arial"/>
          <w:szCs w:val="24"/>
        </w:rPr>
        <w:t xml:space="preserve">such as ‘can you expand on that?’ and </w:t>
      </w:r>
      <w:r w:rsidR="00337A7E">
        <w:rPr>
          <w:rFonts w:cs="Arial"/>
          <w:szCs w:val="24"/>
        </w:rPr>
        <w:t>using</w:t>
      </w:r>
      <w:r>
        <w:rPr>
          <w:rFonts w:cs="Arial"/>
          <w:szCs w:val="24"/>
        </w:rPr>
        <w:t xml:space="preserve"> ‘expectant silences’ encourage</w:t>
      </w:r>
      <w:r w:rsidR="00AD53EF">
        <w:rPr>
          <w:rFonts w:cs="Arial"/>
          <w:szCs w:val="24"/>
        </w:rPr>
        <w:t>d</w:t>
      </w:r>
      <w:r>
        <w:rPr>
          <w:rFonts w:cs="Arial"/>
          <w:szCs w:val="24"/>
        </w:rPr>
        <w:t xml:space="preserve"> further reflection during the narrowing of the funnelling process</w:t>
      </w:r>
      <w:r w:rsidR="00AD53EF">
        <w:rPr>
          <w:rFonts w:cs="Arial"/>
          <w:szCs w:val="24"/>
        </w:rPr>
        <w:t>,</w:t>
      </w:r>
      <w:r>
        <w:rPr>
          <w:rFonts w:cs="Arial"/>
          <w:szCs w:val="24"/>
        </w:rPr>
        <w:t xml:space="preserve"> </w:t>
      </w:r>
      <w:r w:rsidR="00AD53EF">
        <w:rPr>
          <w:rFonts w:cs="Arial"/>
          <w:szCs w:val="24"/>
        </w:rPr>
        <w:t xml:space="preserve">to add depth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sidR="003961BA">
        <w:rPr>
          <w:rFonts w:cs="Arial"/>
          <w:noProof/>
          <w:szCs w:val="24"/>
        </w:rPr>
        <w:t>;</w:t>
      </w:r>
      <w:r>
        <w:rPr>
          <w:rFonts w:cs="Arial"/>
          <w:szCs w:val="24"/>
        </w:rPr>
        <w:fldChar w:fldCharType="end"/>
      </w:r>
      <w:r w:rsidR="00430FEB">
        <w:rPr>
          <w:rFonts w:cs="Arial"/>
          <w:szCs w:val="24"/>
        </w:rPr>
        <w:t xml:space="preserve"> p224</w:t>
      </w:r>
      <w:r w:rsidR="001569C8">
        <w:rPr>
          <w:rFonts w:cs="Arial"/>
          <w:szCs w:val="24"/>
        </w:rPr>
        <w:t>)</w:t>
      </w:r>
      <w:r>
        <w:rPr>
          <w:rFonts w:cs="Arial"/>
          <w:szCs w:val="24"/>
        </w:rPr>
        <w:t xml:space="preserve">. Managing dominant members involved </w:t>
      </w:r>
      <w:r w:rsidR="00337A7E">
        <w:rPr>
          <w:rFonts w:cs="Arial"/>
          <w:szCs w:val="24"/>
        </w:rPr>
        <w:t>using</w:t>
      </w:r>
      <w:r>
        <w:rPr>
          <w:rFonts w:cs="Arial"/>
          <w:szCs w:val="24"/>
        </w:rPr>
        <w:t xml:space="preserve"> other individual</w:t>
      </w:r>
      <w:r w:rsidR="00AD53EF">
        <w:rPr>
          <w:rFonts w:cs="Arial"/>
          <w:szCs w:val="24"/>
        </w:rPr>
        <w:t>’</w:t>
      </w:r>
      <w:r>
        <w:rPr>
          <w:rFonts w:cs="Arial"/>
          <w:szCs w:val="24"/>
        </w:rPr>
        <w:t xml:space="preserve">s names to involve everyone and shift the attention, </w:t>
      </w:r>
      <w:r w:rsidR="001569C8">
        <w:rPr>
          <w:rFonts w:cs="Arial"/>
          <w:szCs w:val="24"/>
        </w:rPr>
        <w:t xml:space="preserve">and </w:t>
      </w:r>
      <w:r w:rsidR="00337A7E">
        <w:rPr>
          <w:rFonts w:cs="Arial"/>
          <w:szCs w:val="24"/>
        </w:rPr>
        <w:t>using</w:t>
      </w:r>
      <w:r>
        <w:rPr>
          <w:rFonts w:cs="Arial"/>
          <w:szCs w:val="24"/>
        </w:rPr>
        <w:t xml:space="preserve"> body language to encourage others</w:t>
      </w:r>
      <w:r w:rsidR="00AD53EF">
        <w:rPr>
          <w:rFonts w:cs="Arial"/>
          <w:szCs w:val="24"/>
        </w:rPr>
        <w:t>,</w:t>
      </w:r>
      <w:r>
        <w:rPr>
          <w:rFonts w:cs="Arial"/>
          <w:szCs w:val="24"/>
        </w:rPr>
        <w:t xml:space="preserve"> </w:t>
      </w:r>
      <w:r w:rsidR="001569C8">
        <w:rPr>
          <w:rFonts w:cs="Arial"/>
          <w:szCs w:val="24"/>
        </w:rPr>
        <w:t xml:space="preserve">thereby </w:t>
      </w:r>
      <w:r w:rsidR="00AD53EF">
        <w:rPr>
          <w:rFonts w:cs="Arial"/>
          <w:szCs w:val="24"/>
        </w:rPr>
        <w:t xml:space="preserve">ensuring </w:t>
      </w:r>
      <w:r>
        <w:rPr>
          <w:rFonts w:cs="Arial"/>
          <w:szCs w:val="24"/>
        </w:rPr>
        <w:t xml:space="preserve">their opinion was noted and valued. For those </w:t>
      </w:r>
      <w:r w:rsidR="001569C8">
        <w:rPr>
          <w:rFonts w:cs="Arial"/>
          <w:szCs w:val="24"/>
        </w:rPr>
        <w:t>who</w:t>
      </w:r>
      <w:r>
        <w:rPr>
          <w:rFonts w:cs="Arial"/>
          <w:szCs w:val="24"/>
        </w:rPr>
        <w:t xml:space="preserve"> were quieter</w:t>
      </w:r>
      <w:r w:rsidR="00AD53EF">
        <w:rPr>
          <w:rFonts w:cs="Arial"/>
          <w:szCs w:val="24"/>
        </w:rPr>
        <w:t>,</w:t>
      </w:r>
      <w:r>
        <w:rPr>
          <w:rFonts w:cs="Arial"/>
          <w:szCs w:val="24"/>
        </w:rPr>
        <w:t xml:space="preserve"> being open and maintaining good eye contact and positive</w:t>
      </w:r>
      <w:r w:rsidR="001569C8">
        <w:rPr>
          <w:rFonts w:cs="Arial"/>
          <w:szCs w:val="24"/>
        </w:rPr>
        <w:t>,</w:t>
      </w:r>
      <w:r>
        <w:rPr>
          <w:rFonts w:cs="Arial"/>
          <w:szCs w:val="24"/>
        </w:rPr>
        <w:t xml:space="preserve"> open body language was important</w:t>
      </w:r>
      <w:r w:rsidR="00AD53EF">
        <w:rPr>
          <w:rFonts w:cs="Arial"/>
          <w:szCs w:val="24"/>
        </w:rPr>
        <w:t>.</w:t>
      </w:r>
      <w:r>
        <w:rPr>
          <w:rFonts w:cs="Arial"/>
          <w:szCs w:val="24"/>
        </w:rPr>
        <w:t xml:space="preserve"> </w:t>
      </w:r>
      <w:r w:rsidR="00AD53EF">
        <w:rPr>
          <w:rFonts w:cs="Arial"/>
          <w:szCs w:val="24"/>
        </w:rPr>
        <w:t>V</w:t>
      </w:r>
      <w:r>
        <w:rPr>
          <w:rFonts w:cs="Arial"/>
          <w:szCs w:val="24"/>
        </w:rPr>
        <w:t xml:space="preserve">alue statements, for example, ‘I would be really interested and would really value your views on this area’, </w:t>
      </w:r>
      <w:r w:rsidR="00AD53EF">
        <w:rPr>
          <w:rFonts w:cs="Arial"/>
          <w:szCs w:val="24"/>
        </w:rPr>
        <w:t xml:space="preserve">and </w:t>
      </w:r>
      <w:r w:rsidR="00337A7E">
        <w:rPr>
          <w:rFonts w:cs="Arial"/>
          <w:szCs w:val="24"/>
        </w:rPr>
        <w:t>using</w:t>
      </w:r>
      <w:r>
        <w:rPr>
          <w:rFonts w:cs="Arial"/>
          <w:szCs w:val="24"/>
        </w:rPr>
        <w:t xml:space="preserve"> their name</w:t>
      </w:r>
      <w:r w:rsidR="001569C8">
        <w:rPr>
          <w:rFonts w:cs="Arial"/>
          <w:szCs w:val="24"/>
        </w:rPr>
        <w:t xml:space="preserve"> also</w:t>
      </w:r>
      <w:r w:rsidR="00AD53EF">
        <w:rPr>
          <w:rFonts w:cs="Arial"/>
          <w:szCs w:val="24"/>
        </w:rPr>
        <w:t xml:space="preserve"> proved to be beneficial</w:t>
      </w:r>
      <w:r>
        <w:rPr>
          <w:rFonts w:cs="Arial"/>
          <w:szCs w:val="24"/>
        </w:rPr>
        <w:t>.</w:t>
      </w:r>
    </w:p>
    <w:p w14:paraId="06A41E3A" w14:textId="6D621C2B" w:rsidR="00811BF2" w:rsidRDefault="00811BF2" w:rsidP="00811BF2">
      <w:pPr>
        <w:rPr>
          <w:rFonts w:cs="Arial"/>
          <w:szCs w:val="24"/>
        </w:rPr>
      </w:pPr>
      <w:r>
        <w:rPr>
          <w:rFonts w:cs="Arial"/>
          <w:szCs w:val="24"/>
        </w:rPr>
        <w:t>A hugely important part of design involve</w:t>
      </w:r>
      <w:r w:rsidR="00AD53EF">
        <w:rPr>
          <w:rFonts w:cs="Arial"/>
          <w:szCs w:val="24"/>
        </w:rPr>
        <w:t>d</w:t>
      </w:r>
      <w:r>
        <w:rPr>
          <w:rFonts w:cs="Arial"/>
          <w:szCs w:val="24"/>
        </w:rPr>
        <w:t xml:space="preserve"> the process of informed consent and consideration of the </w:t>
      </w:r>
      <w:r w:rsidR="00AD53EF">
        <w:rPr>
          <w:rFonts w:cs="Arial"/>
          <w:szCs w:val="24"/>
        </w:rPr>
        <w:t xml:space="preserve">related </w:t>
      </w:r>
      <w:r>
        <w:rPr>
          <w:rFonts w:cs="Arial"/>
          <w:szCs w:val="24"/>
        </w:rPr>
        <w:t>research ethics</w:t>
      </w:r>
      <w:r w:rsidR="00AD53EF">
        <w:rPr>
          <w:rFonts w:cs="Arial"/>
          <w:szCs w:val="24"/>
        </w:rPr>
        <w:t>,</w:t>
      </w:r>
      <w:r>
        <w:rPr>
          <w:rFonts w:cs="Arial"/>
          <w:szCs w:val="24"/>
        </w:rPr>
        <w:t xml:space="preserve"> </w:t>
      </w:r>
      <w:r w:rsidR="00AD53EF">
        <w:rPr>
          <w:rFonts w:cs="Arial"/>
          <w:szCs w:val="24"/>
        </w:rPr>
        <w:t xml:space="preserve">both </w:t>
      </w:r>
      <w:r>
        <w:rPr>
          <w:rFonts w:cs="Arial"/>
          <w:szCs w:val="24"/>
        </w:rPr>
        <w:t>covered in the following section.</w:t>
      </w:r>
    </w:p>
    <w:p w14:paraId="51AE1568" w14:textId="77777777" w:rsidR="00430FEB" w:rsidRDefault="00430FEB" w:rsidP="00811BF2">
      <w:pPr>
        <w:rPr>
          <w:rFonts w:cs="Arial"/>
          <w:szCs w:val="24"/>
        </w:rPr>
      </w:pPr>
    </w:p>
    <w:p w14:paraId="61285C3A" w14:textId="77777777" w:rsidR="00811BF2" w:rsidRDefault="00811BF2" w:rsidP="005367B9">
      <w:pPr>
        <w:pStyle w:val="Heading3"/>
      </w:pPr>
      <w:bookmarkStart w:id="142" w:name="_Toc343501132"/>
      <w:bookmarkStart w:id="143" w:name="_Toc348686333"/>
      <w:bookmarkStart w:id="144" w:name="_Toc419116131"/>
      <w:r>
        <w:lastRenderedPageBreak/>
        <w:t>Consent and Research Ethics</w:t>
      </w:r>
      <w:bookmarkEnd w:id="142"/>
      <w:bookmarkEnd w:id="143"/>
      <w:bookmarkEnd w:id="144"/>
    </w:p>
    <w:p w14:paraId="73C297C3" w14:textId="77777777" w:rsidR="00FC5CA8" w:rsidRPr="00FC5CA8" w:rsidRDefault="00FC5CA8" w:rsidP="00FC5CA8"/>
    <w:p w14:paraId="64671002" w14:textId="3E4708D2" w:rsidR="00811BF2" w:rsidRDefault="00811BF2" w:rsidP="00811BF2">
      <w:pPr>
        <w:rPr>
          <w:rFonts w:cs="Arial"/>
          <w:szCs w:val="24"/>
        </w:rPr>
      </w:pPr>
      <w:r>
        <w:rPr>
          <w:rFonts w:cs="Arial"/>
          <w:szCs w:val="24"/>
        </w:rPr>
        <w:t>Consent was sought within the initial consenting process to take part in the course</w:t>
      </w:r>
      <w:r w:rsidR="00084242">
        <w:rPr>
          <w:rFonts w:cs="Arial"/>
          <w:szCs w:val="24"/>
        </w:rPr>
        <w:t xml:space="preserve"> (Appendix 13.11, 13</w:t>
      </w:r>
      <w:r w:rsidR="0017596F">
        <w:rPr>
          <w:rFonts w:cs="Arial"/>
          <w:szCs w:val="24"/>
        </w:rPr>
        <w:t>.12)</w:t>
      </w:r>
      <w:r w:rsidR="00E9446A">
        <w:rPr>
          <w:rFonts w:cs="Arial"/>
          <w:szCs w:val="24"/>
        </w:rPr>
        <w:t xml:space="preserve">. This included initial </w:t>
      </w:r>
      <w:r w:rsidR="00173DE4">
        <w:rPr>
          <w:rFonts w:cs="Arial"/>
          <w:szCs w:val="24"/>
        </w:rPr>
        <w:t>focus group</w:t>
      </w:r>
      <w:r w:rsidR="00E9446A">
        <w:rPr>
          <w:rFonts w:cs="Arial"/>
          <w:szCs w:val="24"/>
        </w:rPr>
        <w:t xml:space="preserve">, course, </w:t>
      </w:r>
      <w:r w:rsidR="001D42C9">
        <w:rPr>
          <w:rFonts w:cs="Arial"/>
          <w:szCs w:val="24"/>
        </w:rPr>
        <w:t>post-course</w:t>
      </w:r>
      <w:r w:rsidR="00E9446A">
        <w:rPr>
          <w:rFonts w:cs="Arial"/>
          <w:szCs w:val="24"/>
        </w:rPr>
        <w:t xml:space="preserve"> </w:t>
      </w:r>
      <w:r w:rsidR="00173DE4">
        <w:rPr>
          <w:rFonts w:cs="Arial"/>
          <w:szCs w:val="24"/>
        </w:rPr>
        <w:t>focus group</w:t>
      </w:r>
      <w:r w:rsidR="00E9446A">
        <w:rPr>
          <w:rFonts w:cs="Arial"/>
          <w:szCs w:val="24"/>
        </w:rPr>
        <w:t xml:space="preserve"> then </w:t>
      </w:r>
      <w:r w:rsidR="00202330">
        <w:rPr>
          <w:rFonts w:cs="Arial"/>
          <w:szCs w:val="24"/>
        </w:rPr>
        <w:t>follow-up</w:t>
      </w:r>
      <w:r w:rsidR="00E9446A">
        <w:rPr>
          <w:rFonts w:cs="Arial"/>
          <w:szCs w:val="24"/>
        </w:rPr>
        <w:t xml:space="preserve"> emailed confidence scoring. </w:t>
      </w:r>
      <w:r w:rsidR="00511ED1">
        <w:rPr>
          <w:rFonts w:cs="Arial"/>
          <w:szCs w:val="24"/>
        </w:rPr>
        <w:t xml:space="preserve">Each </w:t>
      </w:r>
      <w:r w:rsidR="00173DE4">
        <w:rPr>
          <w:rFonts w:cs="Arial"/>
          <w:szCs w:val="24"/>
        </w:rPr>
        <w:t>focus group</w:t>
      </w:r>
      <w:r w:rsidR="00511ED1">
        <w:rPr>
          <w:rFonts w:cs="Arial"/>
          <w:szCs w:val="24"/>
        </w:rPr>
        <w:t xml:space="preserve"> would last 45 minutes. </w:t>
      </w:r>
    </w:p>
    <w:p w14:paraId="60DE0EFE" w14:textId="0DF91F20" w:rsidR="00811BF2" w:rsidRDefault="00811BF2" w:rsidP="00811BF2">
      <w:pPr>
        <w:rPr>
          <w:rFonts w:cs="Arial"/>
          <w:szCs w:val="24"/>
        </w:rPr>
      </w:pPr>
      <w:r>
        <w:rPr>
          <w:rFonts w:cs="Arial"/>
          <w:szCs w:val="24"/>
        </w:rPr>
        <w:t>Consideration was given to any vulnerability of participants</w:t>
      </w:r>
      <w:r w:rsidR="00E9446A">
        <w:rPr>
          <w:rFonts w:cs="Arial"/>
          <w:szCs w:val="24"/>
        </w:rPr>
        <w:t>,</w:t>
      </w:r>
      <w:r>
        <w:rPr>
          <w:rFonts w:cs="Arial"/>
          <w:szCs w:val="24"/>
        </w:rPr>
        <w:t xml:space="preserve"> particularly if any students had found the course particularly challenging. The importance of creating a safe and comfortable environment from the start was key and in sharing researchers</w:t>
      </w:r>
      <w:r w:rsidR="00135C28">
        <w:rPr>
          <w:rFonts w:cs="Arial"/>
          <w:szCs w:val="24"/>
        </w:rPr>
        <w:t>’</w:t>
      </w:r>
      <w:r>
        <w:rPr>
          <w:rFonts w:cs="Arial"/>
          <w:szCs w:val="24"/>
        </w:rPr>
        <w:t xml:space="preserve"> own personal challenges and mistakes</w:t>
      </w:r>
      <w:r w:rsidR="00E9446A">
        <w:rPr>
          <w:rFonts w:cs="Arial"/>
          <w:szCs w:val="24"/>
        </w:rPr>
        <w:t>,</w:t>
      </w:r>
      <w:r>
        <w:rPr>
          <w:rFonts w:cs="Arial"/>
          <w:szCs w:val="24"/>
        </w:rPr>
        <w:t xml:space="preserve"> an open forum for discussion </w:t>
      </w:r>
      <w:r w:rsidR="00E9446A">
        <w:rPr>
          <w:rFonts w:cs="Arial"/>
          <w:szCs w:val="24"/>
        </w:rPr>
        <w:t xml:space="preserve">was </w:t>
      </w:r>
      <w:r>
        <w:rPr>
          <w:rFonts w:cs="Arial"/>
          <w:szCs w:val="24"/>
        </w:rPr>
        <w:t>created.</w:t>
      </w:r>
    </w:p>
    <w:p w14:paraId="41F20030" w14:textId="28DD9610" w:rsidR="00811BF2" w:rsidRDefault="00811BF2" w:rsidP="00811BF2">
      <w:pPr>
        <w:rPr>
          <w:rFonts w:cs="Arial"/>
          <w:szCs w:val="24"/>
        </w:rPr>
      </w:pPr>
      <w:r>
        <w:rPr>
          <w:rFonts w:cs="Arial"/>
          <w:szCs w:val="24"/>
        </w:rPr>
        <w:t>In terms of protecting confidentiality and anonymity</w:t>
      </w:r>
      <w:r w:rsidR="00135C28">
        <w:rPr>
          <w:rFonts w:cs="Arial"/>
          <w:szCs w:val="24"/>
        </w:rPr>
        <w:t>,</w:t>
      </w:r>
      <w:r>
        <w:rPr>
          <w:rFonts w:cs="Arial"/>
          <w:szCs w:val="24"/>
        </w:rPr>
        <w:t xml:space="preserve"> the consent form and introductory letter sent to students prior to the course explained how confidentiality would be maintained with no names being </w:t>
      </w:r>
      <w:r w:rsidR="00337A7E">
        <w:rPr>
          <w:rFonts w:cs="Arial"/>
          <w:szCs w:val="24"/>
        </w:rPr>
        <w:t>used</w:t>
      </w:r>
      <w:r>
        <w:rPr>
          <w:rFonts w:cs="Arial"/>
          <w:szCs w:val="24"/>
        </w:rPr>
        <w:t xml:space="preserve"> in data collection (a unique identification number)</w:t>
      </w:r>
      <w:r w:rsidR="00135C28">
        <w:rPr>
          <w:rFonts w:cs="Arial"/>
          <w:szCs w:val="24"/>
        </w:rPr>
        <w:t>,</w:t>
      </w:r>
      <w:r>
        <w:rPr>
          <w:rFonts w:cs="Arial"/>
          <w:szCs w:val="24"/>
        </w:rPr>
        <w:t xml:space="preserve"> and no quotations </w:t>
      </w:r>
      <w:r w:rsidR="00337A7E">
        <w:rPr>
          <w:rFonts w:cs="Arial"/>
          <w:szCs w:val="24"/>
        </w:rPr>
        <w:t>used</w:t>
      </w:r>
      <w:r>
        <w:rPr>
          <w:rFonts w:cs="Arial"/>
          <w:szCs w:val="24"/>
        </w:rPr>
        <w:t xml:space="preserve"> would allow participants to be recognised if used in thesis or publications</w:t>
      </w:r>
      <w:r w:rsidR="00084242">
        <w:rPr>
          <w:rFonts w:cs="Arial"/>
          <w:szCs w:val="24"/>
        </w:rPr>
        <w:t xml:space="preserve"> (Appendix 13.11, 13</w:t>
      </w:r>
      <w:r w:rsidR="002147C8">
        <w:rPr>
          <w:rFonts w:cs="Arial"/>
          <w:szCs w:val="24"/>
        </w:rPr>
        <w:t>.12)</w:t>
      </w:r>
      <w:r>
        <w:rPr>
          <w:rFonts w:cs="Arial"/>
          <w:szCs w:val="24"/>
        </w:rPr>
        <w:t xml:space="preserve">. </w:t>
      </w:r>
    </w:p>
    <w:p w14:paraId="7BFE0A13" w14:textId="5F22C486" w:rsidR="00811BF2" w:rsidRDefault="00811BF2" w:rsidP="005367B9">
      <w:pPr>
        <w:pStyle w:val="Heading3"/>
      </w:pPr>
      <w:bookmarkStart w:id="145" w:name="_Toc343501133"/>
      <w:bookmarkStart w:id="146" w:name="_Toc348686334"/>
      <w:bookmarkStart w:id="147" w:name="_Toc419116132"/>
      <w:r>
        <w:t xml:space="preserve">Conducting </w:t>
      </w:r>
      <w:r w:rsidR="00173DE4">
        <w:t>focus group</w:t>
      </w:r>
      <w:r>
        <w:t>s</w:t>
      </w:r>
      <w:bookmarkEnd w:id="145"/>
      <w:bookmarkEnd w:id="146"/>
      <w:bookmarkEnd w:id="147"/>
    </w:p>
    <w:p w14:paraId="0B4503DC" w14:textId="77777777" w:rsidR="00FC5CA8" w:rsidRPr="00FC5CA8" w:rsidRDefault="00FC5CA8" w:rsidP="00FC5CA8"/>
    <w:p w14:paraId="5BD57688" w14:textId="09957E43" w:rsidR="00811BF2" w:rsidRDefault="00811BF2" w:rsidP="00811BF2">
      <w:pPr>
        <w:rPr>
          <w:rFonts w:cs="Arial"/>
          <w:szCs w:val="24"/>
        </w:rPr>
      </w:pPr>
      <w:r>
        <w:rPr>
          <w:rFonts w:cs="Arial"/>
          <w:szCs w:val="24"/>
        </w:rPr>
        <w:t xml:space="preserve">Each </w:t>
      </w:r>
      <w:r w:rsidR="00173DE4">
        <w:rPr>
          <w:rFonts w:cs="Arial"/>
          <w:szCs w:val="24"/>
        </w:rPr>
        <w:t>focus group</w:t>
      </w:r>
      <w:r w:rsidR="00D8191D">
        <w:rPr>
          <w:rFonts w:cs="Arial"/>
          <w:szCs w:val="24"/>
        </w:rPr>
        <w:t xml:space="preserve"> aimed for</w:t>
      </w:r>
      <w:r>
        <w:rPr>
          <w:rFonts w:cs="Arial"/>
          <w:szCs w:val="24"/>
        </w:rPr>
        <w:t xml:space="preserve"> between five and eight particip</w:t>
      </w:r>
      <w:r w:rsidR="008A7C55">
        <w:rPr>
          <w:rFonts w:cs="Arial"/>
          <w:szCs w:val="24"/>
        </w:rPr>
        <w:t>ants and one facilitator (the researcher)</w:t>
      </w:r>
      <w:r>
        <w:rPr>
          <w:rFonts w:cs="Arial"/>
          <w:szCs w:val="24"/>
        </w:rPr>
        <w:t xml:space="preserve">. </w:t>
      </w:r>
      <w:r w:rsidR="000A1CFE">
        <w:rPr>
          <w:rFonts w:cs="Arial"/>
          <w:szCs w:val="24"/>
        </w:rPr>
        <w:t>F</w:t>
      </w:r>
      <w:r w:rsidR="00173DE4">
        <w:rPr>
          <w:rFonts w:cs="Arial"/>
          <w:szCs w:val="24"/>
        </w:rPr>
        <w:t>ocus group</w:t>
      </w:r>
      <w:r>
        <w:rPr>
          <w:rFonts w:cs="Arial"/>
          <w:szCs w:val="24"/>
        </w:rPr>
        <w:t xml:space="preserve">s should contain between six to </w:t>
      </w:r>
      <w:r w:rsidR="00135C28">
        <w:rPr>
          <w:rFonts w:cs="Arial"/>
          <w:szCs w:val="24"/>
        </w:rPr>
        <w:t>10</w:t>
      </w:r>
      <w:r>
        <w:rPr>
          <w:rFonts w:cs="Arial"/>
          <w:szCs w:val="24"/>
        </w:rPr>
        <w:t xml:space="preserve"> participants </w:t>
      </w:r>
      <w:r>
        <w:rPr>
          <w:rFonts w:cs="Arial"/>
          <w:szCs w:val="24"/>
        </w:rPr>
        <w:fldChar w:fldCharType="begin">
          <w:fldData xml:space="preserve">PEVuZE5vdGU+PENpdGU+PEF1dGhvcj5Nb3JnYW48L0F1dGhvcj48WWVhcj4xOTk3PC9ZZWFyPjxJ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</w:fldData>
        </w:fldChar>
      </w:r>
      <w:r w:rsidR="00473F5C">
        <w:rPr>
          <w:rFonts w:cs="Arial"/>
          <w:szCs w:val="24"/>
        </w:rPr>
        <w:instrText xml:space="preserve"> ADDIN EN.CITE </w:instrText>
      </w:r>
      <w:r w:rsidR="00473F5C">
        <w:rPr>
          <w:rFonts w:cs="Arial"/>
          <w:szCs w:val="24"/>
        </w:rPr>
        <w:fldChar w:fldCharType="begin">
          <w:fldData xml:space="preserve">PEVuZE5vdGU+PENpdGU+PEF1dGhvcj5Nb3JnYW48L0F1dGhvcj48WWVhcj4xOTk3PC9ZZWFyPjxJ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</w:fldData>
        </w:fldChar>
      </w:r>
      <w:r w:rsidR="00473F5C">
        <w:rPr>
          <w:rFonts w:cs="Arial"/>
          <w:szCs w:val="24"/>
        </w:rPr>
        <w:instrText xml:space="preserve"> ADDIN EN.CITE.DATA </w:instrText>
      </w:r>
      <w:r w:rsidR="00473F5C">
        <w:rPr>
          <w:rFonts w:cs="Arial"/>
          <w:szCs w:val="24"/>
        </w:rPr>
      </w:r>
      <w:r w:rsidR="00473F5C">
        <w:rPr>
          <w:rFonts w:cs="Arial"/>
          <w:szCs w:val="24"/>
        </w:rPr>
        <w:fldChar w:fldCharType="end"/>
      </w:r>
      <w:r>
        <w:rPr>
          <w:rFonts w:cs="Arial"/>
          <w:szCs w:val="24"/>
        </w:rPr>
      </w:r>
      <w:r>
        <w:rPr>
          <w:rFonts w:cs="Arial"/>
          <w:szCs w:val="24"/>
        </w:rPr>
        <w:fldChar w:fldCharType="separate"/>
      </w:r>
      <w:r w:rsidR="00473F5C">
        <w:rPr>
          <w:rFonts w:cs="Arial"/>
          <w:noProof/>
          <w:szCs w:val="24"/>
        </w:rPr>
        <w:t>(Morgan, 1997, Barbour, 2005, Bowling, 2014)</w:t>
      </w:r>
      <w:r>
        <w:rPr>
          <w:rFonts w:cs="Arial"/>
          <w:szCs w:val="24"/>
        </w:rPr>
        <w:fldChar w:fldCharType="end"/>
      </w:r>
      <w:r>
        <w:rPr>
          <w:rFonts w:cs="Arial"/>
          <w:szCs w:val="24"/>
        </w:rPr>
        <w:t xml:space="preserve">. Group sizes were kept as small as possible so that depth of topics could be achieved. In groups </w:t>
      </w:r>
      <w:r>
        <w:rPr>
          <w:rFonts w:cs="Arial"/>
          <w:szCs w:val="24"/>
        </w:rPr>
        <w:lastRenderedPageBreak/>
        <w:t>larger than eight</w:t>
      </w:r>
      <w:r w:rsidR="00135C28">
        <w:rPr>
          <w:rFonts w:cs="Arial"/>
          <w:szCs w:val="24"/>
        </w:rPr>
        <w:t>,</w:t>
      </w:r>
      <w:r>
        <w:rPr>
          <w:rFonts w:cs="Arial"/>
          <w:szCs w:val="24"/>
        </w:rPr>
        <w:t xml:space="preserve"> there is the increased risk of </w:t>
      </w:r>
      <w:r w:rsidR="00E9446A">
        <w:rPr>
          <w:rFonts w:cs="Arial"/>
          <w:szCs w:val="24"/>
        </w:rPr>
        <w:t>une</w:t>
      </w:r>
      <w:r w:rsidR="005C34C6">
        <w:rPr>
          <w:rFonts w:cs="Arial"/>
          <w:szCs w:val="24"/>
        </w:rPr>
        <w:t>qual</w:t>
      </w:r>
      <w:r w:rsidR="00E9446A">
        <w:rPr>
          <w:rFonts w:cs="Arial"/>
          <w:szCs w:val="24"/>
        </w:rPr>
        <w:t xml:space="preserve"> participation </w:t>
      </w:r>
      <w:r>
        <w:rPr>
          <w:rFonts w:cs="Arial"/>
          <w:szCs w:val="24"/>
        </w:rPr>
        <w:t xml:space="preserve">and risk of subgroup formation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sidR="003961BA">
        <w:rPr>
          <w:rFonts w:cs="Arial"/>
          <w:noProof/>
          <w:szCs w:val="24"/>
        </w:rPr>
        <w:t>;</w:t>
      </w:r>
      <w:r>
        <w:rPr>
          <w:rFonts w:cs="Arial"/>
          <w:szCs w:val="24"/>
        </w:rPr>
        <w:fldChar w:fldCharType="end"/>
      </w:r>
      <w:r w:rsidR="00135C28">
        <w:rPr>
          <w:rFonts w:cs="Arial"/>
          <w:szCs w:val="24"/>
        </w:rPr>
        <w:t xml:space="preserve"> </w:t>
      </w:r>
      <w:r w:rsidR="00430FEB">
        <w:rPr>
          <w:rFonts w:cs="Arial"/>
          <w:szCs w:val="24"/>
        </w:rPr>
        <w:t>p234</w:t>
      </w:r>
      <w:r w:rsidR="00135C28">
        <w:rPr>
          <w:rFonts w:cs="Arial"/>
          <w:szCs w:val="24"/>
        </w:rPr>
        <w:t>)</w:t>
      </w:r>
      <w:r>
        <w:rPr>
          <w:rFonts w:cs="Arial"/>
          <w:szCs w:val="24"/>
        </w:rPr>
        <w:t xml:space="preserve">. The participants were aware that their general views of </w:t>
      </w:r>
      <w:r w:rsidR="005C34C6">
        <w:rPr>
          <w:rFonts w:cs="Arial"/>
          <w:szCs w:val="24"/>
        </w:rPr>
        <w:t xml:space="preserve">preparedness and </w:t>
      </w:r>
      <w:r>
        <w:rPr>
          <w:rFonts w:cs="Arial"/>
          <w:szCs w:val="24"/>
        </w:rPr>
        <w:t xml:space="preserve">simulation would be explored. Each </w:t>
      </w:r>
      <w:r w:rsidR="00173DE4">
        <w:rPr>
          <w:rFonts w:cs="Arial"/>
          <w:szCs w:val="24"/>
        </w:rPr>
        <w:t>focus group</w:t>
      </w:r>
      <w:r>
        <w:rPr>
          <w:rFonts w:cs="Arial"/>
          <w:szCs w:val="24"/>
        </w:rPr>
        <w:t xml:space="preserve"> was allocated </w:t>
      </w:r>
      <w:r w:rsidR="00135C28">
        <w:rPr>
          <w:rFonts w:cs="Arial"/>
          <w:szCs w:val="24"/>
        </w:rPr>
        <w:t xml:space="preserve">45 </w:t>
      </w:r>
      <w:r>
        <w:rPr>
          <w:rFonts w:cs="Arial"/>
          <w:szCs w:val="24"/>
        </w:rPr>
        <w:t>minutes to one hour</w:t>
      </w:r>
      <w:r w:rsidR="005C34C6">
        <w:rPr>
          <w:rFonts w:cs="Arial"/>
          <w:szCs w:val="24"/>
        </w:rPr>
        <w:t>.</w:t>
      </w:r>
      <w:r w:rsidR="000A1CFE">
        <w:rPr>
          <w:rFonts w:cs="Arial"/>
          <w:szCs w:val="24"/>
        </w:rPr>
        <w:t xml:space="preserve"> Focus groups were used to allow ‘interactive exchange’ to explore views, opinions and reflections that may align or contrast to generate data </w:t>
      </w:r>
      <w:r w:rsidR="000A1CFE">
        <w:rPr>
          <w:rFonts w:cs="Arial"/>
          <w:szCs w:val="24"/>
        </w:rPr>
        <w:fldChar w:fldCharType="begin">
          <w:fldData xml:space="preserve">PEVuZE5vdGU+PENpdGU+PEF1dGhvcj5Ccm93bjwvQXV0aG9yPjxZZWFyPjE5OTk8L1llYXI+PElE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</w:fldData>
        </w:fldChar>
      </w:r>
      <w:r w:rsidR="000A1CFE">
        <w:rPr>
          <w:rFonts w:cs="Arial"/>
          <w:szCs w:val="24"/>
        </w:rPr>
        <w:instrText xml:space="preserve"> ADDIN EN.CITE </w:instrText>
      </w:r>
      <w:r w:rsidR="000A1CFE">
        <w:rPr>
          <w:rFonts w:cs="Arial"/>
          <w:szCs w:val="24"/>
        </w:rPr>
        <w:fldChar w:fldCharType="begin">
          <w:fldData xml:space="preserve">PEVuZE5vdGU+PENpdGU+PEF1dGhvcj5Ccm93bjwvQXV0aG9yPjxZZWFyPjE5OTk8L1llYXI+PElE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</w:fldData>
        </w:fldChar>
      </w:r>
      <w:r w:rsidR="000A1CFE">
        <w:rPr>
          <w:rFonts w:cs="Arial"/>
          <w:szCs w:val="24"/>
        </w:rPr>
        <w:instrText xml:space="preserve"> ADDIN EN.CITE.DATA </w:instrText>
      </w:r>
      <w:r w:rsidR="000A1CFE">
        <w:rPr>
          <w:rFonts w:cs="Arial"/>
          <w:szCs w:val="24"/>
        </w:rPr>
      </w:r>
      <w:r w:rsidR="000A1CFE">
        <w:rPr>
          <w:rFonts w:cs="Arial"/>
          <w:szCs w:val="24"/>
        </w:rPr>
        <w:fldChar w:fldCharType="end"/>
      </w:r>
      <w:r w:rsidR="000A1CFE">
        <w:rPr>
          <w:rFonts w:cs="Arial"/>
          <w:szCs w:val="24"/>
        </w:rPr>
      </w:r>
      <w:r w:rsidR="000A1CFE">
        <w:rPr>
          <w:rFonts w:cs="Arial"/>
          <w:szCs w:val="24"/>
        </w:rPr>
        <w:fldChar w:fldCharType="separate"/>
      </w:r>
      <w:r w:rsidR="000A1CFE">
        <w:rPr>
          <w:rFonts w:cs="Arial"/>
          <w:noProof/>
          <w:szCs w:val="24"/>
        </w:rPr>
        <w:t>(Brown, 1999, Maa and McCullough, 2006, Bowling, 2014)</w:t>
      </w:r>
      <w:r w:rsidR="000A1CFE">
        <w:rPr>
          <w:rFonts w:cs="Arial"/>
          <w:szCs w:val="24"/>
        </w:rPr>
        <w:fldChar w:fldCharType="end"/>
      </w:r>
      <w:r w:rsidR="000A1CFE">
        <w:rPr>
          <w:rFonts w:cs="Arial"/>
          <w:szCs w:val="24"/>
        </w:rPr>
        <w:t>.</w:t>
      </w:r>
    </w:p>
    <w:p w14:paraId="4A3C8AE6" w14:textId="5104AE28" w:rsidR="00846AA0" w:rsidRDefault="006B2558" w:rsidP="003C3F6C">
      <w:pPr>
        <w:rPr>
          <w:rFonts w:cs="Arial"/>
          <w:szCs w:val="24"/>
        </w:rPr>
      </w:pPr>
      <w:r>
        <w:rPr>
          <w:rFonts w:cs="Arial"/>
          <w:szCs w:val="24"/>
        </w:rPr>
        <w:t>F</w:t>
      </w:r>
      <w:r w:rsidR="00173DE4">
        <w:rPr>
          <w:rFonts w:cs="Arial"/>
          <w:szCs w:val="24"/>
        </w:rPr>
        <w:t>ocus group</w:t>
      </w:r>
      <w:r w:rsidR="00811BF2">
        <w:rPr>
          <w:rFonts w:cs="Arial"/>
          <w:szCs w:val="24"/>
        </w:rPr>
        <w:t>s were run as a single research episode immediately following the course (half</w:t>
      </w:r>
      <w:r w:rsidR="00F96229">
        <w:rPr>
          <w:rFonts w:cs="Arial"/>
          <w:szCs w:val="24"/>
        </w:rPr>
        <w:t>-</w:t>
      </w:r>
      <w:r w:rsidR="00811BF2">
        <w:rPr>
          <w:rFonts w:cs="Arial"/>
          <w:szCs w:val="24"/>
        </w:rPr>
        <w:t>day) to capture views and opinions immediately after the experience</w:t>
      </w:r>
      <w:r w:rsidR="00F96229">
        <w:rPr>
          <w:rFonts w:cs="Arial"/>
          <w:szCs w:val="24"/>
        </w:rPr>
        <w:t>,</w:t>
      </w:r>
      <w:r w:rsidR="00811BF2">
        <w:rPr>
          <w:rFonts w:cs="Arial"/>
          <w:szCs w:val="24"/>
        </w:rPr>
        <w:t xml:space="preserve"> while fresh and easy to recall. </w:t>
      </w:r>
      <w:r w:rsidR="005C34C6">
        <w:rPr>
          <w:rFonts w:cs="Arial"/>
          <w:szCs w:val="24"/>
        </w:rPr>
        <w:t xml:space="preserve">Pre-pilot </w:t>
      </w:r>
      <w:r w:rsidR="00173DE4">
        <w:rPr>
          <w:rFonts w:cs="Arial"/>
          <w:szCs w:val="24"/>
        </w:rPr>
        <w:t>focus group</w:t>
      </w:r>
      <w:r w:rsidR="00F96229">
        <w:rPr>
          <w:rFonts w:cs="Arial"/>
          <w:szCs w:val="24"/>
        </w:rPr>
        <w:t>s were run before the course and</w:t>
      </w:r>
      <w:r w:rsidR="005C34C6">
        <w:rPr>
          <w:rFonts w:cs="Arial"/>
          <w:szCs w:val="24"/>
        </w:rPr>
        <w:t xml:space="preserve"> </w:t>
      </w:r>
      <w:r w:rsidR="00F96229">
        <w:rPr>
          <w:rFonts w:cs="Arial"/>
          <w:szCs w:val="24"/>
        </w:rPr>
        <w:t>f</w:t>
      </w:r>
      <w:r w:rsidR="00202330">
        <w:rPr>
          <w:rFonts w:cs="Arial"/>
          <w:szCs w:val="24"/>
        </w:rPr>
        <w:t>ollow-up</w:t>
      </w:r>
      <w:r w:rsidR="00811BF2">
        <w:rPr>
          <w:rFonts w:cs="Arial"/>
          <w:szCs w:val="24"/>
        </w:rPr>
        <w:t xml:space="preserve"> longitudinal confidence logs allow</w:t>
      </w:r>
      <w:r w:rsidR="005C34C6">
        <w:rPr>
          <w:rFonts w:cs="Arial"/>
          <w:szCs w:val="24"/>
        </w:rPr>
        <w:t>ed</w:t>
      </w:r>
      <w:r w:rsidR="00811BF2">
        <w:rPr>
          <w:rFonts w:cs="Arial"/>
          <w:szCs w:val="24"/>
        </w:rPr>
        <w:t xml:space="preserve"> </w:t>
      </w:r>
      <w:r w:rsidR="00F96229">
        <w:rPr>
          <w:rFonts w:cs="Arial"/>
          <w:szCs w:val="24"/>
        </w:rPr>
        <w:t xml:space="preserve">for the </w:t>
      </w:r>
      <w:r w:rsidR="00811BF2">
        <w:rPr>
          <w:rFonts w:cs="Arial"/>
          <w:szCs w:val="24"/>
        </w:rPr>
        <w:t>capturing of some repeat qualitative views. The groups were facilitated in a private teaching room in the same educational building that the teaching had occurred</w:t>
      </w:r>
      <w:r w:rsidR="00F96229">
        <w:rPr>
          <w:rFonts w:cs="Arial"/>
          <w:szCs w:val="24"/>
        </w:rPr>
        <w:t>,</w:t>
      </w:r>
      <w:r w:rsidR="00811BF2">
        <w:rPr>
          <w:rFonts w:cs="Arial"/>
          <w:szCs w:val="24"/>
        </w:rPr>
        <w:t xml:space="preserve"> for convenience and familiarity. Seat</w:t>
      </w:r>
      <w:r w:rsidR="00F96229">
        <w:rPr>
          <w:rFonts w:cs="Arial"/>
          <w:szCs w:val="24"/>
        </w:rPr>
        <w:t>s</w:t>
      </w:r>
      <w:r w:rsidR="00811BF2">
        <w:rPr>
          <w:rFonts w:cs="Arial"/>
          <w:szCs w:val="24"/>
        </w:rPr>
        <w:t xml:space="preserve"> w</w:t>
      </w:r>
      <w:r w:rsidR="00F96229">
        <w:rPr>
          <w:rFonts w:cs="Arial"/>
          <w:szCs w:val="24"/>
        </w:rPr>
        <w:t>ere</w:t>
      </w:r>
      <w:r w:rsidR="00811BF2">
        <w:rPr>
          <w:rFonts w:cs="Arial"/>
          <w:szCs w:val="24"/>
        </w:rPr>
        <w:t xml:space="preserve"> placed in a circle where the researche</w:t>
      </w:r>
      <w:r w:rsidR="005C34C6">
        <w:rPr>
          <w:rFonts w:cs="Arial"/>
          <w:szCs w:val="24"/>
        </w:rPr>
        <w:t>r</w:t>
      </w:r>
      <w:r w:rsidR="00811BF2">
        <w:rPr>
          <w:rFonts w:cs="Arial"/>
          <w:szCs w:val="24"/>
        </w:rPr>
        <w:t xml:space="preserve"> was embedded as an equal. Refreshments were offered. Where recordings were </w:t>
      </w:r>
      <w:r w:rsidR="00337A7E">
        <w:rPr>
          <w:rFonts w:cs="Arial"/>
          <w:szCs w:val="24"/>
        </w:rPr>
        <w:t>used</w:t>
      </w:r>
      <w:r w:rsidR="00811BF2">
        <w:rPr>
          <w:rFonts w:cs="Arial"/>
          <w:szCs w:val="24"/>
        </w:rPr>
        <w:t xml:space="preserve"> it was possible to </w:t>
      </w:r>
      <w:r w:rsidR="00511ED1">
        <w:rPr>
          <w:rFonts w:cs="Arial"/>
          <w:szCs w:val="24"/>
        </w:rPr>
        <w:t>cross</w:t>
      </w:r>
      <w:r w:rsidR="00F96229">
        <w:rPr>
          <w:rFonts w:cs="Arial"/>
          <w:szCs w:val="24"/>
        </w:rPr>
        <w:t xml:space="preserve"> </w:t>
      </w:r>
      <w:r w:rsidR="00511ED1">
        <w:rPr>
          <w:rFonts w:cs="Arial"/>
          <w:szCs w:val="24"/>
        </w:rPr>
        <w:t>check</w:t>
      </w:r>
      <w:r w:rsidR="005C34C6">
        <w:rPr>
          <w:rFonts w:cs="Arial"/>
          <w:szCs w:val="24"/>
        </w:rPr>
        <w:t xml:space="preserve"> transcripts </w:t>
      </w:r>
      <w:r w:rsidR="00811BF2">
        <w:rPr>
          <w:rFonts w:cs="Arial"/>
          <w:szCs w:val="24"/>
        </w:rPr>
        <w:t xml:space="preserve">with co-moderators or faculty. Any recordings were </w:t>
      </w:r>
      <w:r w:rsidR="005C34C6">
        <w:rPr>
          <w:rFonts w:cs="Arial"/>
          <w:szCs w:val="24"/>
        </w:rPr>
        <w:t xml:space="preserve">taken on an encrypted device and </w:t>
      </w:r>
      <w:r w:rsidR="00811BF2">
        <w:rPr>
          <w:rFonts w:cs="Arial"/>
          <w:szCs w:val="24"/>
        </w:rPr>
        <w:t xml:space="preserve">checked before and after the group. </w:t>
      </w:r>
    </w:p>
    <w:p w14:paraId="66C06DD1" w14:textId="7AEC251B" w:rsidR="000824A3" w:rsidRDefault="000824A3" w:rsidP="00811BF2">
      <w:pPr>
        <w:rPr>
          <w:rFonts w:cs="Arial"/>
          <w:szCs w:val="24"/>
        </w:rPr>
      </w:pPr>
      <w:r>
        <w:rPr>
          <w:rFonts w:cs="Arial"/>
          <w:szCs w:val="24"/>
        </w:rPr>
        <w:t xml:space="preserve">FF </w:t>
      </w:r>
      <w:r w:rsidR="00082638">
        <w:rPr>
          <w:rFonts w:cs="Arial"/>
          <w:szCs w:val="24"/>
        </w:rPr>
        <w:t>performed</w:t>
      </w:r>
      <w:r>
        <w:rPr>
          <w:rFonts w:cs="Arial"/>
          <w:szCs w:val="24"/>
        </w:rPr>
        <w:t xml:space="preserve"> all focus groups </w:t>
      </w:r>
      <w:r w:rsidR="00082638">
        <w:rPr>
          <w:rFonts w:cs="Arial"/>
          <w:szCs w:val="24"/>
        </w:rPr>
        <w:t>herself</w:t>
      </w:r>
      <w:r>
        <w:rPr>
          <w:rFonts w:cs="Arial"/>
          <w:szCs w:val="24"/>
        </w:rPr>
        <w:t xml:space="preserve">. The challenge of this was the volume of work and fatigue after having run and facilitated the course for the day. The benefits of running focus groups straight after the course was that feelings and emotions were raw and present and students were able to articulate those. They had all been through a facilitated debrief for their encounter so had had time to come out of it if felt to be under pressure and had had time to reflect and </w:t>
      </w:r>
      <w:r w:rsidR="00082638">
        <w:rPr>
          <w:rFonts w:cs="Arial"/>
          <w:szCs w:val="24"/>
        </w:rPr>
        <w:lastRenderedPageBreak/>
        <w:t>gather</w:t>
      </w:r>
      <w:r>
        <w:rPr>
          <w:rFonts w:cs="Arial"/>
          <w:szCs w:val="24"/>
        </w:rPr>
        <w:t xml:space="preserve"> their thoughts. It was a practical arrangement as students were there</w:t>
      </w:r>
      <w:r w:rsidR="00846AA0">
        <w:rPr>
          <w:rFonts w:cs="Arial"/>
          <w:szCs w:val="24"/>
        </w:rPr>
        <w:t xml:space="preserve"> and did not need to </w:t>
      </w:r>
      <w:r w:rsidR="003C3F6C">
        <w:rPr>
          <w:rFonts w:cs="Arial"/>
          <w:szCs w:val="24"/>
        </w:rPr>
        <w:t>be recalled, saving time and kept</w:t>
      </w:r>
      <w:r w:rsidR="00846AA0">
        <w:rPr>
          <w:rFonts w:cs="Arial"/>
          <w:szCs w:val="24"/>
        </w:rPr>
        <w:t xml:space="preserve"> the same groups</w:t>
      </w:r>
      <w:r>
        <w:rPr>
          <w:rFonts w:cs="Arial"/>
          <w:szCs w:val="24"/>
        </w:rPr>
        <w:t xml:space="preserve">. </w:t>
      </w:r>
      <w:r w:rsidR="00082638">
        <w:rPr>
          <w:rFonts w:cs="Arial"/>
          <w:szCs w:val="24"/>
        </w:rPr>
        <w:t xml:space="preserve">They had got to know their group and build a rapport, which made ice breaking quicker and more efficient, as a level of comfort, and trust existed between the groups from the outset. </w:t>
      </w:r>
      <w:r w:rsidR="00FC54E9">
        <w:rPr>
          <w:rFonts w:cs="Arial"/>
          <w:szCs w:val="24"/>
        </w:rPr>
        <w:t xml:space="preserve">One of the risks of holding them on the same day was fatigue for students if found the course tiring, they may have been less engaged. This was witnessed but was rare. If there had been a </w:t>
      </w:r>
      <w:r w:rsidR="00082638">
        <w:rPr>
          <w:rFonts w:cs="Arial"/>
          <w:szCs w:val="24"/>
        </w:rPr>
        <w:t>delay</w:t>
      </w:r>
      <w:r w:rsidR="00FC54E9">
        <w:rPr>
          <w:rFonts w:cs="Arial"/>
          <w:szCs w:val="24"/>
        </w:rPr>
        <w:t xml:space="preserve"> it would have used more of their time and initial feelings may have been lost from the time taken away from the event. The students had </w:t>
      </w:r>
      <w:r w:rsidR="003C3F6C">
        <w:rPr>
          <w:rFonts w:cs="Arial"/>
          <w:szCs w:val="24"/>
        </w:rPr>
        <w:t xml:space="preserve">become </w:t>
      </w:r>
      <w:r w:rsidR="00082638">
        <w:rPr>
          <w:rFonts w:cs="Arial"/>
          <w:szCs w:val="24"/>
        </w:rPr>
        <w:t>comfortable</w:t>
      </w:r>
      <w:r w:rsidR="00FC54E9">
        <w:rPr>
          <w:rFonts w:cs="Arial"/>
          <w:szCs w:val="24"/>
        </w:rPr>
        <w:t xml:space="preserve"> talking in front of their group and </w:t>
      </w:r>
      <w:r w:rsidR="003C3F6C">
        <w:rPr>
          <w:rFonts w:cs="Arial"/>
          <w:szCs w:val="24"/>
        </w:rPr>
        <w:t xml:space="preserve">this </w:t>
      </w:r>
      <w:r w:rsidR="00FC54E9">
        <w:rPr>
          <w:rFonts w:cs="Arial"/>
          <w:szCs w:val="24"/>
        </w:rPr>
        <w:t xml:space="preserve">created a safe space to share thoughts. If </w:t>
      </w:r>
      <w:r w:rsidR="00082638">
        <w:rPr>
          <w:rFonts w:cs="Arial"/>
          <w:szCs w:val="24"/>
        </w:rPr>
        <w:t>performed</w:t>
      </w:r>
      <w:r w:rsidR="00FC54E9">
        <w:rPr>
          <w:rFonts w:cs="Arial"/>
          <w:szCs w:val="24"/>
        </w:rPr>
        <w:t xml:space="preserve"> on a different day it may mean that groups would have to be mixed which would have altered the dynamic. </w:t>
      </w:r>
      <w:r w:rsidR="008C1447">
        <w:rPr>
          <w:rFonts w:cs="Arial"/>
          <w:szCs w:val="24"/>
        </w:rPr>
        <w:t xml:space="preserve">In addition FF was able to tap in to personal </w:t>
      </w:r>
      <w:r w:rsidR="003C3F6C">
        <w:rPr>
          <w:rFonts w:cs="Arial"/>
          <w:szCs w:val="24"/>
        </w:rPr>
        <w:t>observations fro</w:t>
      </w:r>
      <w:r w:rsidR="008C1447">
        <w:rPr>
          <w:rFonts w:cs="Arial"/>
          <w:szCs w:val="24"/>
        </w:rPr>
        <w:t>m the day to encourage reflection</w:t>
      </w:r>
      <w:r w:rsidR="003C3F6C">
        <w:rPr>
          <w:rFonts w:cs="Arial"/>
          <w:szCs w:val="24"/>
        </w:rPr>
        <w:t xml:space="preserve"> on their experience. </w:t>
      </w:r>
    </w:p>
    <w:p w14:paraId="27313485" w14:textId="09531BAE" w:rsidR="00811BF2" w:rsidRDefault="00737BBE" w:rsidP="00811BF2">
      <w:pPr>
        <w:rPr>
          <w:rFonts w:cs="Arial"/>
          <w:szCs w:val="24"/>
        </w:rPr>
      </w:pPr>
      <w:r>
        <w:rPr>
          <w:rFonts w:cs="Arial"/>
          <w:szCs w:val="24"/>
        </w:rPr>
        <w:t xml:space="preserve">It was a challenge to facilitate different personalities, learning how to manage those that said a lot to slow them down and allow others to speak and those that were quiet. </w:t>
      </w:r>
      <w:r w:rsidR="003C3F6C">
        <w:rPr>
          <w:rFonts w:cs="Arial"/>
          <w:szCs w:val="24"/>
        </w:rPr>
        <w:t xml:space="preserve">The pilot study was useful for practicing these skills. </w:t>
      </w:r>
      <w:r>
        <w:rPr>
          <w:rFonts w:cs="Arial"/>
          <w:szCs w:val="24"/>
        </w:rPr>
        <w:t xml:space="preserve">Though the initial introductory letter had explained the purpose of the focus group the students said they had not given </w:t>
      </w:r>
      <w:r w:rsidR="00082638">
        <w:rPr>
          <w:rFonts w:cs="Arial"/>
          <w:szCs w:val="24"/>
        </w:rPr>
        <w:t>it</w:t>
      </w:r>
      <w:r>
        <w:rPr>
          <w:rFonts w:cs="Arial"/>
          <w:szCs w:val="24"/>
        </w:rPr>
        <w:t xml:space="preserve"> much thought. This contrasted with the in-depth interviews described in chapter 7 where experts already had thought a lot about the subject and were able to talk freely, with depth and experience </w:t>
      </w:r>
      <w:r w:rsidR="000824A3">
        <w:rPr>
          <w:rFonts w:cs="Arial"/>
          <w:szCs w:val="24"/>
        </w:rPr>
        <w:t xml:space="preserve">with little prompting. The participants in the focus groups would often answer with short sentences </w:t>
      </w:r>
      <w:r w:rsidR="003C3F6C">
        <w:rPr>
          <w:rFonts w:cs="Arial"/>
          <w:szCs w:val="24"/>
        </w:rPr>
        <w:t>and the researcher found it</w:t>
      </w:r>
      <w:r w:rsidR="000824A3">
        <w:rPr>
          <w:rFonts w:cs="Arial"/>
          <w:szCs w:val="24"/>
        </w:rPr>
        <w:t xml:space="preserve"> challenging to try and </w:t>
      </w:r>
      <w:r w:rsidR="00082638">
        <w:rPr>
          <w:rFonts w:cs="Arial"/>
          <w:szCs w:val="24"/>
        </w:rPr>
        <w:t>encourage</w:t>
      </w:r>
      <w:r w:rsidR="000824A3">
        <w:rPr>
          <w:rFonts w:cs="Arial"/>
          <w:szCs w:val="24"/>
        </w:rPr>
        <w:t xml:space="preserve"> some groups to talk in detail about their interpretation and views. </w:t>
      </w:r>
    </w:p>
    <w:p w14:paraId="3AA52A9F" w14:textId="0F4546D2" w:rsidR="000824A3" w:rsidRDefault="000824A3" w:rsidP="00811BF2">
      <w:pPr>
        <w:rPr>
          <w:rFonts w:cs="Arial"/>
          <w:szCs w:val="24"/>
        </w:rPr>
      </w:pPr>
      <w:r>
        <w:rPr>
          <w:rFonts w:cs="Arial"/>
          <w:szCs w:val="24"/>
        </w:rPr>
        <w:lastRenderedPageBreak/>
        <w:t xml:space="preserve">The researcher tried to create a safe and open space for discussion by sharing own mistakes during the day creating an environment of honesty and openness. Students found it hard to project how they would feel and about preparedness saying we ‘have not done the job so we don’t </w:t>
      </w:r>
      <w:proofErr w:type="spellStart"/>
      <w:r>
        <w:rPr>
          <w:rFonts w:cs="Arial"/>
          <w:szCs w:val="24"/>
        </w:rPr>
        <w:t>known</w:t>
      </w:r>
      <w:proofErr w:type="spellEnd"/>
      <w:r>
        <w:rPr>
          <w:rFonts w:cs="Arial"/>
          <w:szCs w:val="24"/>
        </w:rPr>
        <w:t xml:space="preserve"> what it would be like ‘ (Candidate 3, FG1). This was a challenge to get around but helped support the use of confidence as a surrogate marker of preparedness in this group as described later in this chapter.</w:t>
      </w:r>
    </w:p>
    <w:p w14:paraId="69C35F3C" w14:textId="77FDB99E" w:rsidR="00811BF2" w:rsidRDefault="00811BF2" w:rsidP="00811BF2">
      <w:pPr>
        <w:rPr>
          <w:rFonts w:cs="Arial"/>
          <w:szCs w:val="24"/>
        </w:rPr>
      </w:pPr>
      <w:r>
        <w:rPr>
          <w:rFonts w:cs="Arial"/>
          <w:szCs w:val="24"/>
        </w:rPr>
        <w:t>The researcher was an a</w:t>
      </w:r>
      <w:r w:rsidRPr="009C4833">
        <w:rPr>
          <w:rFonts w:cs="Arial"/>
          <w:szCs w:val="24"/>
        </w:rPr>
        <w:t>ctive facilitator</w:t>
      </w:r>
      <w:r>
        <w:rPr>
          <w:rFonts w:cs="Arial"/>
          <w:szCs w:val="24"/>
        </w:rPr>
        <w:t>, asking questions and engaging with the group</w:t>
      </w:r>
      <w:r w:rsidR="006436EE" w:rsidRPr="006436EE">
        <w:rPr>
          <w:rFonts w:cs="Arial"/>
          <w:szCs w:val="24"/>
        </w:rPr>
        <w:t xml:space="preserve"> </w:t>
      </w:r>
      <w:r w:rsidR="006436EE">
        <w:rPr>
          <w:rFonts w:cs="Arial"/>
          <w:szCs w:val="24"/>
        </w:rPr>
        <w:t>(Ritchie et al. 2014)</w:t>
      </w:r>
      <w:r w:rsidRPr="009C4833">
        <w:rPr>
          <w:rFonts w:cs="Arial"/>
          <w:szCs w:val="24"/>
        </w:rPr>
        <w:t>.</w:t>
      </w:r>
      <w:r w:rsidRPr="00FD423C">
        <w:rPr>
          <w:rFonts w:cs="Arial"/>
          <w:szCs w:val="24"/>
        </w:rPr>
        <w:t xml:space="preserve"> </w:t>
      </w:r>
      <w:r w:rsidR="00511ED1">
        <w:rPr>
          <w:rFonts w:cs="Arial"/>
          <w:szCs w:val="24"/>
        </w:rPr>
        <w:t>An</w:t>
      </w:r>
      <w:r>
        <w:rPr>
          <w:rFonts w:cs="Arial"/>
          <w:szCs w:val="24"/>
        </w:rPr>
        <w:t xml:space="preserve"> icebreaker </w:t>
      </w:r>
      <w:r w:rsidR="00DA30E6">
        <w:rPr>
          <w:rFonts w:cs="Arial"/>
          <w:szCs w:val="24"/>
        </w:rPr>
        <w:t xml:space="preserve">was used </w:t>
      </w:r>
      <w:r>
        <w:rPr>
          <w:rFonts w:cs="Arial"/>
          <w:szCs w:val="24"/>
        </w:rPr>
        <w:t>to begin, asking</w:t>
      </w:r>
      <w:r w:rsidRPr="009C4833">
        <w:rPr>
          <w:rFonts w:cs="Arial"/>
          <w:szCs w:val="24"/>
        </w:rPr>
        <w:t xml:space="preserve"> what</w:t>
      </w:r>
      <w:r w:rsidR="00DA30E6">
        <w:rPr>
          <w:rFonts w:cs="Arial"/>
          <w:szCs w:val="24"/>
        </w:rPr>
        <w:t xml:space="preserve"> </w:t>
      </w:r>
      <w:r w:rsidRPr="009C4833">
        <w:rPr>
          <w:rFonts w:cs="Arial"/>
          <w:szCs w:val="24"/>
        </w:rPr>
        <w:t>previous experience they had had of simulation.</w:t>
      </w:r>
    </w:p>
    <w:p w14:paraId="07296DE5" w14:textId="471997AC" w:rsidR="00811BF2" w:rsidRDefault="00811BF2" w:rsidP="00811BF2">
      <w:pPr>
        <w:rPr>
          <w:rFonts w:cs="Arial"/>
          <w:szCs w:val="24"/>
        </w:rPr>
      </w:pPr>
      <w:r>
        <w:rPr>
          <w:rFonts w:cs="Arial"/>
          <w:szCs w:val="24"/>
        </w:rPr>
        <w:t xml:space="preserve">The structure set out by Ritchie et al (2014) was followed when running each </w:t>
      </w:r>
      <w:r w:rsidR="00173DE4">
        <w:rPr>
          <w:rFonts w:cs="Arial"/>
          <w:szCs w:val="24"/>
        </w:rPr>
        <w:t>focus group</w:t>
      </w:r>
      <w:r>
        <w:rPr>
          <w:rFonts w:cs="Arial"/>
          <w:szCs w:val="24"/>
        </w:rPr>
        <w:t xml:space="preserve">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Pr>
          <w:rFonts w:cs="Arial"/>
          <w:szCs w:val="24"/>
        </w:rPr>
        <w:fldChar w:fldCharType="end"/>
      </w:r>
      <w:r w:rsidR="00430FEB">
        <w:rPr>
          <w:rFonts w:cs="Arial"/>
          <w:szCs w:val="24"/>
        </w:rPr>
        <w:t xml:space="preserve">; </w:t>
      </w:r>
      <w:r>
        <w:rPr>
          <w:rFonts w:cs="Arial"/>
          <w:szCs w:val="24"/>
        </w:rPr>
        <w:t xml:space="preserve">p218 Box 8.1). ‘Scene-setting and ground rules’ </w:t>
      </w:r>
      <w:r w:rsidR="006436EE">
        <w:rPr>
          <w:rFonts w:cs="Arial"/>
          <w:szCs w:val="24"/>
        </w:rPr>
        <w:t xml:space="preserve">(Stage One) </w:t>
      </w:r>
      <w:r>
        <w:rPr>
          <w:rFonts w:cs="Arial"/>
          <w:szCs w:val="24"/>
        </w:rPr>
        <w:t xml:space="preserve">allowed the researcher to introduce the </w:t>
      </w:r>
      <w:r w:rsidR="00173DE4">
        <w:rPr>
          <w:rFonts w:cs="Arial"/>
          <w:szCs w:val="24"/>
        </w:rPr>
        <w:t>focus group</w:t>
      </w:r>
      <w:r w:rsidR="00DA30E6">
        <w:rPr>
          <w:rFonts w:cs="Arial"/>
          <w:szCs w:val="24"/>
        </w:rPr>
        <w:t xml:space="preserve"> and</w:t>
      </w:r>
      <w:r>
        <w:rPr>
          <w:rFonts w:cs="Arial"/>
          <w:szCs w:val="24"/>
        </w:rPr>
        <w:t xml:space="preserve"> try to make participants feel welcome and relaxed. Informal conversation aided with the process at the start</w:t>
      </w:r>
      <w:r w:rsidR="00DA30E6">
        <w:rPr>
          <w:rFonts w:cs="Arial"/>
          <w:szCs w:val="24"/>
        </w:rPr>
        <w:t>,</w:t>
      </w:r>
      <w:r>
        <w:rPr>
          <w:rFonts w:cs="Arial"/>
          <w:szCs w:val="24"/>
        </w:rPr>
        <w:t xml:space="preserve"> which then moved </w:t>
      </w:r>
      <w:r w:rsidR="000A27DF">
        <w:rPr>
          <w:rFonts w:cs="Arial"/>
          <w:szCs w:val="24"/>
        </w:rPr>
        <w:t>to</w:t>
      </w:r>
      <w:r>
        <w:rPr>
          <w:rFonts w:cs="Arial"/>
          <w:szCs w:val="24"/>
        </w:rPr>
        <w:t xml:space="preserve"> intentions and rules regarding respect for each other’s opinions, not interrupting and confidentiality</w:t>
      </w:r>
      <w:r w:rsidR="00DA30E6">
        <w:rPr>
          <w:rFonts w:cs="Arial"/>
          <w:szCs w:val="24"/>
        </w:rPr>
        <w:t>.</w:t>
      </w:r>
      <w:r>
        <w:rPr>
          <w:rFonts w:cs="Arial"/>
          <w:szCs w:val="24"/>
        </w:rPr>
        <w:t xml:space="preserve"> </w:t>
      </w:r>
      <w:r w:rsidR="00DA30E6">
        <w:rPr>
          <w:rFonts w:cs="Arial"/>
          <w:szCs w:val="24"/>
        </w:rPr>
        <w:t>V</w:t>
      </w:r>
      <w:r>
        <w:rPr>
          <w:rFonts w:cs="Arial"/>
          <w:szCs w:val="24"/>
        </w:rPr>
        <w:t>iews shared would be anonymised and not shared with others outside of the group in a way that would identify participant</w:t>
      </w:r>
      <w:r w:rsidR="00DA30E6">
        <w:rPr>
          <w:rFonts w:cs="Arial"/>
          <w:szCs w:val="24"/>
        </w:rPr>
        <w:t>’</w:t>
      </w:r>
      <w:r>
        <w:rPr>
          <w:rFonts w:cs="Arial"/>
          <w:szCs w:val="24"/>
        </w:rPr>
        <w:t xml:space="preserve">s views. </w:t>
      </w:r>
      <w:r w:rsidR="00F96229">
        <w:rPr>
          <w:rFonts w:cs="Arial"/>
          <w:szCs w:val="24"/>
        </w:rPr>
        <w:t>It was also an o</w:t>
      </w:r>
      <w:r>
        <w:rPr>
          <w:rFonts w:cs="Arial"/>
          <w:szCs w:val="24"/>
        </w:rPr>
        <w:t xml:space="preserve">pportunity to reiterate study aims and reassure </w:t>
      </w:r>
      <w:r w:rsidR="00F96229">
        <w:rPr>
          <w:rFonts w:cs="Arial"/>
          <w:szCs w:val="24"/>
        </w:rPr>
        <w:t xml:space="preserve">them </w:t>
      </w:r>
      <w:r>
        <w:rPr>
          <w:rFonts w:cs="Arial"/>
          <w:szCs w:val="24"/>
        </w:rPr>
        <w:t xml:space="preserve">that all views and opinions were valued and that no answer was incorrect. </w:t>
      </w:r>
    </w:p>
    <w:p w14:paraId="00845BC2" w14:textId="70022138" w:rsidR="00811BF2" w:rsidRDefault="00811BF2" w:rsidP="00811BF2">
      <w:pPr>
        <w:rPr>
          <w:rFonts w:cs="Arial"/>
          <w:szCs w:val="24"/>
        </w:rPr>
      </w:pPr>
      <w:r>
        <w:rPr>
          <w:rFonts w:cs="Arial"/>
          <w:szCs w:val="24"/>
        </w:rPr>
        <w:t>Stage two</w:t>
      </w:r>
      <w:r w:rsidR="00F96229">
        <w:rPr>
          <w:rFonts w:cs="Arial"/>
          <w:szCs w:val="24"/>
        </w:rPr>
        <w:t xml:space="preserve"> -</w:t>
      </w:r>
      <w:r>
        <w:rPr>
          <w:rFonts w:cs="Arial"/>
          <w:szCs w:val="24"/>
        </w:rPr>
        <w:t xml:space="preserve"> ‘individual introductions’</w:t>
      </w:r>
      <w:r w:rsidR="00F96229">
        <w:rPr>
          <w:rFonts w:cs="Arial"/>
          <w:szCs w:val="24"/>
        </w:rPr>
        <w:t xml:space="preserve"> -</w:t>
      </w:r>
      <w:r>
        <w:rPr>
          <w:rFonts w:cs="Arial"/>
          <w:szCs w:val="24"/>
        </w:rPr>
        <w:t xml:space="preserve"> acted as an opportunity for the group to speak and listen and</w:t>
      </w:r>
      <w:r w:rsidR="00DA30E6">
        <w:rPr>
          <w:rFonts w:cs="Arial"/>
          <w:szCs w:val="24"/>
        </w:rPr>
        <w:t xml:space="preserve"> highlighted</w:t>
      </w:r>
      <w:r>
        <w:rPr>
          <w:rFonts w:cs="Arial"/>
          <w:szCs w:val="24"/>
        </w:rPr>
        <w:t xml:space="preserve"> those that may have differences of opinions. It allowed </w:t>
      </w:r>
      <w:r w:rsidR="00F96229">
        <w:rPr>
          <w:rFonts w:cs="Arial"/>
          <w:szCs w:val="24"/>
        </w:rPr>
        <w:t xml:space="preserve">for </w:t>
      </w:r>
      <w:r>
        <w:rPr>
          <w:rFonts w:cs="Arial"/>
          <w:szCs w:val="24"/>
        </w:rPr>
        <w:t>an introduction</w:t>
      </w:r>
      <w:r w:rsidR="00F96229">
        <w:rPr>
          <w:rFonts w:cs="Arial"/>
          <w:szCs w:val="24"/>
        </w:rPr>
        <w:t>,</w:t>
      </w:r>
      <w:r>
        <w:rPr>
          <w:rFonts w:cs="Arial"/>
          <w:szCs w:val="24"/>
        </w:rPr>
        <w:t xml:space="preserve"> to being probed on some answers</w:t>
      </w:r>
      <w:r w:rsidR="00F96229">
        <w:rPr>
          <w:rFonts w:cs="Arial"/>
          <w:szCs w:val="24"/>
        </w:rPr>
        <w:t>,</w:t>
      </w:r>
      <w:r>
        <w:rPr>
          <w:rFonts w:cs="Arial"/>
          <w:szCs w:val="24"/>
        </w:rPr>
        <w:t xml:space="preserve"> to set the scene </w:t>
      </w:r>
      <w:r>
        <w:rPr>
          <w:rFonts w:cs="Arial"/>
          <w:szCs w:val="24"/>
        </w:rPr>
        <w:lastRenderedPageBreak/>
        <w:t>and expectations about the researcher</w:t>
      </w:r>
      <w:r w:rsidR="00CB1AE7">
        <w:rPr>
          <w:rFonts w:cs="Arial"/>
          <w:szCs w:val="24"/>
        </w:rPr>
        <w:t>’</w:t>
      </w:r>
      <w:r>
        <w:rPr>
          <w:rFonts w:cs="Arial"/>
          <w:szCs w:val="24"/>
        </w:rPr>
        <w:t>s role. By employing this iterative process and building on previous information, participants appeared comfortable an</w:t>
      </w:r>
      <w:r w:rsidR="00CB1AE7">
        <w:rPr>
          <w:rFonts w:cs="Arial"/>
          <w:szCs w:val="24"/>
        </w:rPr>
        <w:t>d</w:t>
      </w:r>
      <w:r>
        <w:rPr>
          <w:rFonts w:cs="Arial"/>
          <w:szCs w:val="24"/>
        </w:rPr>
        <w:t xml:space="preserve"> value</w:t>
      </w:r>
      <w:r w:rsidR="00CB1AE7">
        <w:rPr>
          <w:rFonts w:cs="Arial"/>
          <w:szCs w:val="24"/>
        </w:rPr>
        <w:t>d</w:t>
      </w:r>
      <w:r>
        <w:rPr>
          <w:rFonts w:cs="Arial"/>
          <w:szCs w:val="24"/>
        </w:rPr>
        <w:t xml:space="preserve"> that the researcher was able to recall individual views. Stage two is often where recording devices are s</w:t>
      </w:r>
      <w:r w:rsidR="00DA30E6">
        <w:rPr>
          <w:rFonts w:cs="Arial"/>
          <w:szCs w:val="24"/>
        </w:rPr>
        <w:t>w</w:t>
      </w:r>
      <w:r>
        <w:rPr>
          <w:rFonts w:cs="Arial"/>
          <w:szCs w:val="24"/>
        </w:rPr>
        <w:t>itched on. Different reactions were found from each group, some were very comfortable but most were not at all and would glance at the recording device. This contrasts with the educational and simulation experts interviewed</w:t>
      </w:r>
      <w:r w:rsidR="00535F6C">
        <w:rPr>
          <w:rFonts w:cs="Arial"/>
          <w:szCs w:val="24"/>
        </w:rPr>
        <w:t xml:space="preserve"> (</w:t>
      </w:r>
      <w:r w:rsidR="001D42C9">
        <w:rPr>
          <w:rFonts w:cs="Arial"/>
          <w:szCs w:val="24"/>
        </w:rPr>
        <w:t>Chapter</w:t>
      </w:r>
      <w:r w:rsidR="00535F6C">
        <w:rPr>
          <w:rFonts w:cs="Arial"/>
          <w:szCs w:val="24"/>
        </w:rPr>
        <w:t xml:space="preserve"> 7),</w:t>
      </w:r>
      <w:r>
        <w:rPr>
          <w:rFonts w:cs="Arial"/>
          <w:szCs w:val="24"/>
        </w:rPr>
        <w:t xml:space="preserve"> who were keen to be recorded to capture everything. Where the recorder</w:t>
      </w:r>
      <w:r w:rsidR="006E0352">
        <w:rPr>
          <w:rFonts w:cs="Arial"/>
          <w:szCs w:val="24"/>
        </w:rPr>
        <w:t xml:space="preserve"> </w:t>
      </w:r>
      <w:r>
        <w:rPr>
          <w:rFonts w:cs="Arial"/>
          <w:szCs w:val="24"/>
        </w:rPr>
        <w:t>appeared to be inhibiting discussions</w:t>
      </w:r>
      <w:r w:rsidR="00535F6C">
        <w:rPr>
          <w:rFonts w:cs="Arial"/>
          <w:szCs w:val="24"/>
        </w:rPr>
        <w:t>,</w:t>
      </w:r>
      <w:r>
        <w:rPr>
          <w:rFonts w:cs="Arial"/>
          <w:szCs w:val="24"/>
        </w:rPr>
        <w:t xml:space="preserve"> it was switched off and in</w:t>
      </w:r>
      <w:r w:rsidR="00F96229">
        <w:rPr>
          <w:rFonts w:cs="Arial"/>
          <w:szCs w:val="24"/>
        </w:rPr>
        <w:t>-</w:t>
      </w:r>
      <w:r w:rsidR="006436EE">
        <w:rPr>
          <w:rFonts w:cs="Arial"/>
          <w:szCs w:val="24"/>
        </w:rPr>
        <w:t>depth notes taken</w:t>
      </w:r>
      <w:r>
        <w:rPr>
          <w:rFonts w:cs="Arial"/>
          <w:szCs w:val="24"/>
        </w:rPr>
        <w:t xml:space="preserve">, </w:t>
      </w:r>
      <w:r w:rsidR="006E0352">
        <w:rPr>
          <w:rFonts w:cs="Arial"/>
          <w:szCs w:val="24"/>
        </w:rPr>
        <w:t xml:space="preserve">otherwise </w:t>
      </w:r>
      <w:r>
        <w:rPr>
          <w:rFonts w:cs="Arial"/>
          <w:szCs w:val="24"/>
        </w:rPr>
        <w:t xml:space="preserve">it was kept running and transcribed. The benefits of recording were that full focus could be placed on the group and the researcher did not feel they might be missing anything. Due to this the researcher was also able to observe everyone and make sure each individual was contributing. </w:t>
      </w:r>
    </w:p>
    <w:p w14:paraId="70C0DCE4" w14:textId="72103330" w:rsidR="00811BF2" w:rsidRDefault="00811BF2" w:rsidP="00811BF2">
      <w:pPr>
        <w:rPr>
          <w:rFonts w:cs="Arial"/>
          <w:szCs w:val="24"/>
        </w:rPr>
      </w:pPr>
      <w:r>
        <w:rPr>
          <w:rFonts w:cs="Arial"/>
          <w:szCs w:val="24"/>
        </w:rPr>
        <w:t>Stage three</w:t>
      </w:r>
      <w:r w:rsidR="00667202">
        <w:rPr>
          <w:rFonts w:cs="Arial"/>
          <w:szCs w:val="24"/>
        </w:rPr>
        <w:t xml:space="preserve"> -</w:t>
      </w:r>
      <w:r>
        <w:rPr>
          <w:rFonts w:cs="Arial"/>
          <w:szCs w:val="24"/>
        </w:rPr>
        <w:t xml:space="preserve"> ‘the opening topic’ </w:t>
      </w:r>
      <w:r w:rsidR="00667202">
        <w:rPr>
          <w:rFonts w:cs="Arial"/>
          <w:szCs w:val="24"/>
        </w:rPr>
        <w:t xml:space="preserve">- </w:t>
      </w:r>
      <w:r>
        <w:rPr>
          <w:rFonts w:cs="Arial"/>
          <w:szCs w:val="24"/>
        </w:rPr>
        <w:t xml:space="preserve">allowed </w:t>
      </w:r>
      <w:r w:rsidR="00667202">
        <w:rPr>
          <w:rFonts w:cs="Arial"/>
          <w:szCs w:val="24"/>
        </w:rPr>
        <w:t xml:space="preserve">for the </w:t>
      </w:r>
      <w:r>
        <w:rPr>
          <w:rFonts w:cs="Arial"/>
          <w:szCs w:val="24"/>
        </w:rPr>
        <w:t xml:space="preserve">introduction of preparedness for the pre-pilot study </w:t>
      </w:r>
      <w:r w:rsidR="00173DE4">
        <w:rPr>
          <w:rFonts w:cs="Arial"/>
          <w:szCs w:val="24"/>
        </w:rPr>
        <w:t>focus group</w:t>
      </w:r>
      <w:r>
        <w:rPr>
          <w:rFonts w:cs="Arial"/>
          <w:szCs w:val="24"/>
        </w:rPr>
        <w:t xml:space="preserve">s and simulation for the pilot and final intervention study </w:t>
      </w:r>
      <w:r w:rsidR="00173DE4">
        <w:rPr>
          <w:rFonts w:cs="Arial"/>
          <w:szCs w:val="24"/>
        </w:rPr>
        <w:t>focus group</w:t>
      </w:r>
      <w:r>
        <w:rPr>
          <w:rFonts w:cs="Arial"/>
          <w:szCs w:val="24"/>
        </w:rPr>
        <w:t xml:space="preserve">s. In the majority of </w:t>
      </w:r>
      <w:r w:rsidR="00173DE4">
        <w:rPr>
          <w:rFonts w:cs="Arial"/>
          <w:szCs w:val="24"/>
        </w:rPr>
        <w:t>focus group</w:t>
      </w:r>
      <w:r>
        <w:rPr>
          <w:rFonts w:cs="Arial"/>
          <w:szCs w:val="24"/>
        </w:rPr>
        <w:t xml:space="preserve">s this lead to short descriptions of views aimed at the researcher rather than being shared around the group. </w:t>
      </w:r>
    </w:p>
    <w:p w14:paraId="31E7189B" w14:textId="2801C653" w:rsidR="00811BF2" w:rsidRPr="009C4833" w:rsidRDefault="00811BF2" w:rsidP="00811BF2">
      <w:pPr>
        <w:rPr>
          <w:rFonts w:cs="Arial"/>
          <w:szCs w:val="24"/>
        </w:rPr>
      </w:pPr>
      <w:r>
        <w:rPr>
          <w:rFonts w:cs="Arial"/>
          <w:szCs w:val="24"/>
        </w:rPr>
        <w:t>Stage four</w:t>
      </w:r>
      <w:r w:rsidR="00667202">
        <w:rPr>
          <w:rFonts w:cs="Arial"/>
          <w:szCs w:val="24"/>
        </w:rPr>
        <w:t>,</w:t>
      </w:r>
      <w:r>
        <w:rPr>
          <w:rFonts w:cs="Arial"/>
          <w:szCs w:val="24"/>
        </w:rPr>
        <w:t xml:space="preserve"> entitled ‘discussion’</w:t>
      </w:r>
      <w:r w:rsidR="00667202">
        <w:rPr>
          <w:rFonts w:cs="Arial"/>
          <w:szCs w:val="24"/>
        </w:rPr>
        <w:t>,</w:t>
      </w:r>
      <w:r>
        <w:rPr>
          <w:rFonts w:cs="Arial"/>
          <w:szCs w:val="24"/>
        </w:rPr>
        <w:t xml:space="preserve"> was challenging at first owing to some heated debates and strong dominating members in some groups</w:t>
      </w:r>
      <w:r w:rsidR="00DA7AE8">
        <w:rPr>
          <w:rFonts w:cs="Arial"/>
          <w:szCs w:val="24"/>
        </w:rPr>
        <w:t>. F</w:t>
      </w:r>
      <w:r>
        <w:rPr>
          <w:rFonts w:cs="Arial"/>
          <w:szCs w:val="24"/>
        </w:rPr>
        <w:t xml:space="preserve">acilitation skills </w:t>
      </w:r>
      <w:r w:rsidR="00DA7AE8">
        <w:rPr>
          <w:rFonts w:cs="Arial"/>
          <w:szCs w:val="24"/>
        </w:rPr>
        <w:t xml:space="preserve">and </w:t>
      </w:r>
      <w:r>
        <w:rPr>
          <w:rFonts w:cs="Arial"/>
          <w:szCs w:val="24"/>
        </w:rPr>
        <w:t xml:space="preserve">people management skills were required. </w:t>
      </w:r>
    </w:p>
    <w:p w14:paraId="09A7C868" w14:textId="65A5B5ED" w:rsidR="00811BF2" w:rsidRDefault="00811BF2" w:rsidP="00811BF2">
      <w:pPr>
        <w:rPr>
          <w:rFonts w:cs="Arial"/>
          <w:szCs w:val="24"/>
        </w:rPr>
      </w:pPr>
      <w:r>
        <w:rPr>
          <w:rFonts w:cs="Arial"/>
          <w:szCs w:val="24"/>
        </w:rPr>
        <w:t>The researcher ensured that they were</w:t>
      </w:r>
      <w:r w:rsidRPr="009C4833">
        <w:rPr>
          <w:rFonts w:cs="Arial"/>
          <w:szCs w:val="24"/>
        </w:rPr>
        <w:t xml:space="preserve"> the only </w:t>
      </w:r>
      <w:r>
        <w:rPr>
          <w:rFonts w:cs="Arial"/>
          <w:szCs w:val="24"/>
        </w:rPr>
        <w:t>member of faculty in the room. It was believed to have</w:t>
      </w:r>
      <w:r w:rsidRPr="009C4833">
        <w:rPr>
          <w:rFonts w:cs="Arial"/>
          <w:szCs w:val="24"/>
        </w:rPr>
        <w:t xml:space="preserve"> helped that none of </w:t>
      </w:r>
      <w:r>
        <w:rPr>
          <w:rFonts w:cs="Arial"/>
          <w:szCs w:val="24"/>
        </w:rPr>
        <w:t xml:space="preserve">the students knew the researcher </w:t>
      </w:r>
      <w:r>
        <w:rPr>
          <w:rFonts w:cs="Arial"/>
          <w:szCs w:val="24"/>
        </w:rPr>
        <w:lastRenderedPageBreak/>
        <w:t>previously and that the researcher would not have a role in their clinical future jobs</w:t>
      </w:r>
      <w:r w:rsidRPr="009C4833">
        <w:rPr>
          <w:rFonts w:cs="Arial"/>
          <w:szCs w:val="24"/>
        </w:rPr>
        <w:t>. They seemed to be more relaxed</w:t>
      </w:r>
      <w:r>
        <w:rPr>
          <w:rFonts w:cs="Arial"/>
          <w:szCs w:val="24"/>
        </w:rPr>
        <w:t xml:space="preserve"> by this</w:t>
      </w:r>
      <w:r w:rsidR="006D1B62">
        <w:rPr>
          <w:rFonts w:cs="Arial"/>
          <w:szCs w:val="24"/>
        </w:rPr>
        <w:t>, sitting with open postures and seeming to talk freely when prompted with good eye contact</w:t>
      </w:r>
      <w:r>
        <w:rPr>
          <w:rFonts w:cs="Arial"/>
          <w:szCs w:val="24"/>
        </w:rPr>
        <w:t xml:space="preserve">. </w:t>
      </w:r>
      <w:r w:rsidR="00511ED1">
        <w:rPr>
          <w:rFonts w:cs="Arial"/>
          <w:szCs w:val="24"/>
        </w:rPr>
        <w:t>It is believed also that having a researcher that has been through the same process as the participants and has prior experience of their world helped with familiarity and trust, both for participants and researcher</w:t>
      </w:r>
      <w:r w:rsidR="006436EE">
        <w:rPr>
          <w:rFonts w:cs="Arial"/>
          <w:szCs w:val="24"/>
        </w:rPr>
        <w:t xml:space="preserve"> (Field notes Pilot study)</w:t>
      </w:r>
      <w:r w:rsidR="00511ED1" w:rsidRPr="009C4833">
        <w:rPr>
          <w:rFonts w:cs="Arial"/>
          <w:szCs w:val="24"/>
        </w:rPr>
        <w:t>.</w:t>
      </w:r>
      <w:r w:rsidR="00511ED1">
        <w:rPr>
          <w:rFonts w:cs="Arial"/>
          <w:szCs w:val="24"/>
        </w:rPr>
        <w:t xml:space="preserve"> </w:t>
      </w:r>
      <w:r w:rsidR="00DA7AE8">
        <w:rPr>
          <w:rFonts w:cs="Arial"/>
          <w:szCs w:val="24"/>
        </w:rPr>
        <w:t>T</w:t>
      </w:r>
      <w:r>
        <w:rPr>
          <w:rFonts w:cs="Arial"/>
          <w:szCs w:val="24"/>
        </w:rPr>
        <w:t>he familiarity and ability to share similar language</w:t>
      </w:r>
      <w:r w:rsidR="00DA7AE8">
        <w:rPr>
          <w:rFonts w:cs="Arial"/>
          <w:szCs w:val="24"/>
        </w:rPr>
        <w:t xml:space="preserve"> meant a rapport was quick to develop</w:t>
      </w:r>
      <w:r>
        <w:rPr>
          <w:rFonts w:cs="Arial"/>
          <w:szCs w:val="24"/>
        </w:rPr>
        <w:t>. There is also a feeling that when an ‘insider’ probes they are doing it because they understand the participant and are generally interested</w:t>
      </w:r>
      <w:r w:rsidR="006436EE">
        <w:rPr>
          <w:rFonts w:cs="Arial"/>
          <w:szCs w:val="24"/>
        </w:rPr>
        <w:t xml:space="preserve"> </w:t>
      </w:r>
      <w:r w:rsidR="006436EE">
        <w:rPr>
          <w:rFonts w:cs="Arial"/>
          <w:szCs w:val="24"/>
        </w:rPr>
        <w:fldChar w:fldCharType="begin"/>
      </w:r>
      <w:r w:rsidR="006436EE">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sidR="006436EE">
        <w:rPr>
          <w:rFonts w:cs="Arial"/>
          <w:szCs w:val="24"/>
        </w:rPr>
        <w:fldChar w:fldCharType="separate"/>
      </w:r>
      <w:r w:rsidR="006436EE">
        <w:rPr>
          <w:rFonts w:cs="Arial"/>
          <w:noProof/>
          <w:szCs w:val="24"/>
        </w:rPr>
        <w:t>(Ritchie et al., 2014)</w:t>
      </w:r>
      <w:r w:rsidR="006436EE">
        <w:rPr>
          <w:rFonts w:cs="Arial"/>
          <w:szCs w:val="24"/>
        </w:rPr>
        <w:fldChar w:fldCharType="end"/>
      </w:r>
      <w:r w:rsidR="00DA7AE8">
        <w:rPr>
          <w:rFonts w:cs="Arial"/>
          <w:szCs w:val="24"/>
        </w:rPr>
        <w:t>.</w:t>
      </w:r>
    </w:p>
    <w:p w14:paraId="04BFE5F2" w14:textId="1400F600" w:rsidR="00811BF2" w:rsidRDefault="00811BF2" w:rsidP="00811BF2">
      <w:pPr>
        <w:rPr>
          <w:rFonts w:cs="Arial"/>
          <w:szCs w:val="24"/>
        </w:rPr>
      </w:pPr>
      <w:r>
        <w:rPr>
          <w:rFonts w:cs="Arial"/>
          <w:szCs w:val="24"/>
        </w:rPr>
        <w:t>The final stage</w:t>
      </w:r>
      <w:r w:rsidR="00667202">
        <w:rPr>
          <w:rFonts w:cs="Arial"/>
          <w:szCs w:val="24"/>
        </w:rPr>
        <w:t xml:space="preserve"> -</w:t>
      </w:r>
      <w:r>
        <w:rPr>
          <w:rFonts w:cs="Arial"/>
          <w:szCs w:val="24"/>
        </w:rPr>
        <w:t xml:space="preserve"> entitled ‘ending the discussion’</w:t>
      </w:r>
      <w:r w:rsidR="00667202">
        <w:rPr>
          <w:rFonts w:cs="Arial"/>
          <w:szCs w:val="24"/>
        </w:rPr>
        <w:t xml:space="preserve"> -</w:t>
      </w:r>
      <w:r>
        <w:rPr>
          <w:rFonts w:cs="Arial"/>
          <w:szCs w:val="24"/>
        </w:rPr>
        <w:t xml:space="preserve"> involved the predefined final topic. Ritchie et al (2014) advise to finish on a ‘positive and completed note’ at the end of the </w:t>
      </w:r>
      <w:r w:rsidR="00173DE4">
        <w:rPr>
          <w:rFonts w:cs="Arial"/>
          <w:szCs w:val="24"/>
        </w:rPr>
        <w:t>focus group</w:t>
      </w:r>
      <w:r>
        <w:rPr>
          <w:rFonts w:cs="Arial"/>
          <w:szCs w:val="24"/>
        </w:rPr>
        <w:t xml:space="preserve">, perhaps summarising positive outcomes and potential ways to improve. With simulation, this was based </w:t>
      </w:r>
      <w:r w:rsidR="00667202">
        <w:rPr>
          <w:rFonts w:cs="Arial"/>
          <w:szCs w:val="24"/>
        </w:rPr>
        <w:t>on</w:t>
      </w:r>
      <w:r>
        <w:rPr>
          <w:rFonts w:cs="Arial"/>
          <w:szCs w:val="24"/>
        </w:rPr>
        <w:t xml:space="preserve"> what participants felt was good about it and how to achieve this. Signposting the finish is important to participants</w:t>
      </w:r>
      <w:r w:rsidR="00DA7AE8">
        <w:rPr>
          <w:rFonts w:cs="Arial"/>
          <w:szCs w:val="24"/>
        </w:rPr>
        <w:t>,</w:t>
      </w:r>
      <w:r>
        <w:rPr>
          <w:rFonts w:cs="Arial"/>
          <w:szCs w:val="24"/>
        </w:rPr>
        <w:t xml:space="preserve"> particularly when debates have become animated. Questions were </w:t>
      </w:r>
      <w:r w:rsidR="00337A7E">
        <w:rPr>
          <w:rFonts w:cs="Arial"/>
          <w:szCs w:val="24"/>
        </w:rPr>
        <w:t>used</w:t>
      </w:r>
      <w:r>
        <w:rPr>
          <w:rFonts w:cs="Arial"/>
          <w:szCs w:val="24"/>
        </w:rPr>
        <w:t xml:space="preserve"> to close</w:t>
      </w:r>
      <w:r w:rsidR="00667202">
        <w:rPr>
          <w:rFonts w:cs="Arial"/>
          <w:szCs w:val="24"/>
        </w:rPr>
        <w:t>,</w:t>
      </w:r>
      <w:r>
        <w:rPr>
          <w:rFonts w:cs="Arial"/>
          <w:szCs w:val="24"/>
        </w:rPr>
        <w:t xml:space="preserve"> such as ‘is there anything you feel we have left out or that you have not had a chance to say?’</w:t>
      </w:r>
      <w:r w:rsidR="00DA7AE8">
        <w:rPr>
          <w:rFonts w:cs="Arial"/>
          <w:szCs w:val="24"/>
        </w:rPr>
        <w:t xml:space="preserve"> The groups were</w:t>
      </w:r>
      <w:r>
        <w:rPr>
          <w:rFonts w:cs="Arial"/>
          <w:szCs w:val="24"/>
        </w:rPr>
        <w:t xml:space="preserve"> thank</w:t>
      </w:r>
      <w:r w:rsidR="00DA7AE8">
        <w:rPr>
          <w:rFonts w:cs="Arial"/>
          <w:szCs w:val="24"/>
        </w:rPr>
        <w:t>ed</w:t>
      </w:r>
      <w:r>
        <w:rPr>
          <w:rFonts w:cs="Arial"/>
          <w:szCs w:val="24"/>
        </w:rPr>
        <w:t xml:space="preserve"> and </w:t>
      </w:r>
      <w:r w:rsidR="00DA7AE8">
        <w:rPr>
          <w:rFonts w:cs="Arial"/>
          <w:szCs w:val="24"/>
        </w:rPr>
        <w:t xml:space="preserve">opportunity taken to </w:t>
      </w:r>
      <w:r>
        <w:rPr>
          <w:rFonts w:cs="Arial"/>
          <w:szCs w:val="24"/>
        </w:rPr>
        <w:t>reitera</w:t>
      </w:r>
      <w:r w:rsidR="00DA7AE8">
        <w:rPr>
          <w:rFonts w:cs="Arial"/>
          <w:szCs w:val="24"/>
        </w:rPr>
        <w:t>te</w:t>
      </w:r>
      <w:r>
        <w:rPr>
          <w:rFonts w:cs="Arial"/>
          <w:szCs w:val="24"/>
        </w:rPr>
        <w:t xml:space="preserve"> confidentiality, anonymity and how the data would be handled</w:t>
      </w:r>
      <w:r w:rsidR="003F23F2">
        <w:rPr>
          <w:rFonts w:cs="Arial"/>
          <w:szCs w:val="24"/>
        </w:rPr>
        <w:t xml:space="preserve">, </w:t>
      </w:r>
      <w:r>
        <w:rPr>
          <w:rFonts w:cs="Arial"/>
          <w:szCs w:val="24"/>
        </w:rPr>
        <w:t xml:space="preserve">presented and shared and any questions addressed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sidR="003961BA">
        <w:rPr>
          <w:rFonts w:cs="Arial"/>
          <w:noProof/>
          <w:szCs w:val="24"/>
        </w:rPr>
        <w:t xml:space="preserve">; </w:t>
      </w:r>
      <w:r>
        <w:rPr>
          <w:rFonts w:cs="Arial"/>
          <w:szCs w:val="24"/>
        </w:rPr>
        <w:fldChar w:fldCharType="end"/>
      </w:r>
      <w:r w:rsidR="00430FEB">
        <w:rPr>
          <w:rFonts w:cs="Arial"/>
          <w:szCs w:val="24"/>
        </w:rPr>
        <w:t>p221</w:t>
      </w:r>
      <w:r w:rsidR="00667202">
        <w:rPr>
          <w:rFonts w:cs="Arial"/>
          <w:szCs w:val="24"/>
        </w:rPr>
        <w:t>)</w:t>
      </w:r>
      <w:r>
        <w:rPr>
          <w:rFonts w:cs="Arial"/>
          <w:szCs w:val="24"/>
        </w:rPr>
        <w:t xml:space="preserve">. </w:t>
      </w:r>
    </w:p>
    <w:p w14:paraId="4031D718" w14:textId="3C82D2F8" w:rsidR="00421DA8" w:rsidRPr="00421DA8" w:rsidRDefault="003A7D42" w:rsidP="00811BF2">
      <w:r>
        <w:rPr>
          <w:rFonts w:cs="Arial"/>
          <w:szCs w:val="24"/>
        </w:rPr>
        <w:t>Focus</w:t>
      </w:r>
      <w:r w:rsidR="00173DE4">
        <w:rPr>
          <w:rFonts w:cs="Arial"/>
          <w:szCs w:val="24"/>
        </w:rPr>
        <w:t xml:space="preserve"> group</w:t>
      </w:r>
      <w:r w:rsidR="00811BF2">
        <w:rPr>
          <w:rFonts w:cs="Arial"/>
          <w:szCs w:val="24"/>
        </w:rPr>
        <w:t xml:space="preserve"> outcomes were recorded with a mix of transcriptions, memos and Dictaphone recordings. They were then transcribed </w:t>
      </w:r>
      <w:r w:rsidR="00082638">
        <w:rPr>
          <w:rFonts w:cs="Arial"/>
          <w:szCs w:val="24"/>
        </w:rPr>
        <w:t>verbatim</w:t>
      </w:r>
      <w:r w:rsidR="00840EC7">
        <w:rPr>
          <w:rFonts w:cs="Arial"/>
          <w:szCs w:val="24"/>
        </w:rPr>
        <w:t xml:space="preserve"> </w:t>
      </w:r>
      <w:r w:rsidR="00811BF2">
        <w:rPr>
          <w:rFonts w:cs="Arial"/>
          <w:szCs w:val="24"/>
        </w:rPr>
        <w:t>and themes explored.</w:t>
      </w:r>
      <w:r w:rsidR="00840EC7">
        <w:rPr>
          <w:rFonts w:cs="Arial"/>
          <w:szCs w:val="24"/>
        </w:rPr>
        <w:t xml:space="preserve"> As mentioned above some of the transcriptions had smaller quotes </w:t>
      </w:r>
      <w:r w:rsidR="00840EC7">
        <w:rPr>
          <w:rFonts w:cs="Arial"/>
          <w:szCs w:val="24"/>
        </w:rPr>
        <w:lastRenderedPageBreak/>
        <w:t xml:space="preserve">owing to the challenges of students not talking feely with the </w:t>
      </w:r>
      <w:r w:rsidR="00082638">
        <w:rPr>
          <w:rFonts w:cs="Arial"/>
          <w:szCs w:val="24"/>
        </w:rPr>
        <w:t>Dictaphone</w:t>
      </w:r>
      <w:r w:rsidR="00840EC7">
        <w:rPr>
          <w:rFonts w:cs="Arial"/>
          <w:szCs w:val="24"/>
        </w:rPr>
        <w:t xml:space="preserve"> and FF finding it difficult to keep notes that were </w:t>
      </w:r>
      <w:r w:rsidR="00082638">
        <w:rPr>
          <w:rFonts w:cs="Arial"/>
          <w:szCs w:val="24"/>
        </w:rPr>
        <w:t>entirely</w:t>
      </w:r>
      <w:r w:rsidR="00840EC7">
        <w:rPr>
          <w:rFonts w:cs="Arial"/>
          <w:szCs w:val="24"/>
        </w:rPr>
        <w:t xml:space="preserve"> </w:t>
      </w:r>
      <w:r w:rsidR="00082638">
        <w:rPr>
          <w:rFonts w:cs="Arial"/>
          <w:szCs w:val="24"/>
        </w:rPr>
        <w:t>verbatim</w:t>
      </w:r>
      <w:r w:rsidR="00840EC7">
        <w:rPr>
          <w:rFonts w:cs="Arial"/>
          <w:szCs w:val="24"/>
        </w:rPr>
        <w:t xml:space="preserve">. Because the </w:t>
      </w:r>
      <w:r w:rsidR="00082638">
        <w:rPr>
          <w:rFonts w:cs="Arial"/>
          <w:szCs w:val="24"/>
        </w:rPr>
        <w:t>Dictaphone</w:t>
      </w:r>
      <w:r w:rsidR="00840EC7">
        <w:rPr>
          <w:rFonts w:cs="Arial"/>
          <w:szCs w:val="24"/>
        </w:rPr>
        <w:t xml:space="preserve"> was such a barrier to discussions it </w:t>
      </w:r>
      <w:r w:rsidR="006436EE">
        <w:rPr>
          <w:rFonts w:cs="Arial"/>
          <w:szCs w:val="24"/>
        </w:rPr>
        <w:t xml:space="preserve">was </w:t>
      </w:r>
      <w:r w:rsidR="00082638">
        <w:rPr>
          <w:rFonts w:cs="Arial"/>
          <w:szCs w:val="24"/>
        </w:rPr>
        <w:t>abandoned</w:t>
      </w:r>
      <w:r w:rsidR="00840EC7">
        <w:rPr>
          <w:rFonts w:cs="Arial"/>
          <w:szCs w:val="24"/>
        </w:rPr>
        <w:t xml:space="preserve"> </w:t>
      </w:r>
      <w:proofErr w:type="spellStart"/>
      <w:r w:rsidR="00840EC7">
        <w:rPr>
          <w:rFonts w:cs="Arial"/>
          <w:szCs w:val="24"/>
        </w:rPr>
        <w:t>mid way</w:t>
      </w:r>
      <w:proofErr w:type="spellEnd"/>
      <w:r w:rsidR="00840EC7">
        <w:rPr>
          <w:rFonts w:cs="Arial"/>
          <w:szCs w:val="24"/>
        </w:rPr>
        <w:t xml:space="preserve"> through the first focus group and switching to memos and note making. In retrospect it would have been a lot easier to have a </w:t>
      </w:r>
      <w:r w:rsidR="00082638">
        <w:rPr>
          <w:rFonts w:cs="Arial"/>
          <w:szCs w:val="24"/>
        </w:rPr>
        <w:t>second</w:t>
      </w:r>
      <w:r w:rsidR="00840EC7">
        <w:rPr>
          <w:rFonts w:cs="Arial"/>
          <w:szCs w:val="24"/>
        </w:rPr>
        <w:t xml:space="preserve"> person to make notes to improve </w:t>
      </w:r>
      <w:r w:rsidR="00082638">
        <w:rPr>
          <w:rFonts w:cs="Arial"/>
          <w:szCs w:val="24"/>
        </w:rPr>
        <w:t>verbatim</w:t>
      </w:r>
      <w:r w:rsidR="00840EC7">
        <w:rPr>
          <w:rFonts w:cs="Arial"/>
          <w:szCs w:val="24"/>
        </w:rPr>
        <w:t xml:space="preserve"> quotes. However as described above the students were a lot more comfortable with just FF present than additional people. They were discussing their vulnerabilities and weaknesses and so </w:t>
      </w:r>
      <w:r w:rsidR="006436EE">
        <w:rPr>
          <w:rFonts w:cs="Arial"/>
          <w:szCs w:val="24"/>
        </w:rPr>
        <w:t xml:space="preserve">the need to create </w:t>
      </w:r>
      <w:r w:rsidR="00840EC7">
        <w:rPr>
          <w:rFonts w:cs="Arial"/>
          <w:szCs w:val="24"/>
        </w:rPr>
        <w:t>a non-judgemental space</w:t>
      </w:r>
      <w:r w:rsidR="006436EE">
        <w:rPr>
          <w:rFonts w:cs="Arial"/>
          <w:szCs w:val="24"/>
        </w:rPr>
        <w:t xml:space="preserve"> was important. Extra people if</w:t>
      </w:r>
      <w:r w:rsidR="00840EC7">
        <w:rPr>
          <w:rFonts w:cs="Arial"/>
          <w:szCs w:val="24"/>
        </w:rPr>
        <w:t xml:space="preserve"> unfamiliar and the recording device were seen to stifle and inhibit discussion</w:t>
      </w:r>
      <w:r w:rsidR="00944DF5">
        <w:rPr>
          <w:rFonts w:cs="Arial"/>
          <w:szCs w:val="24"/>
        </w:rPr>
        <w:t xml:space="preserve"> a</w:t>
      </w:r>
      <w:r w:rsidR="00840EC7">
        <w:rPr>
          <w:rFonts w:cs="Arial"/>
          <w:szCs w:val="24"/>
        </w:rPr>
        <w:t xml:space="preserve">nd flow. </w:t>
      </w:r>
      <w:r w:rsidR="00944DF5">
        <w:rPr>
          <w:rFonts w:cs="Arial"/>
          <w:szCs w:val="24"/>
        </w:rPr>
        <w:t xml:space="preserve">When it came </w:t>
      </w:r>
      <w:r w:rsidR="00082638">
        <w:rPr>
          <w:rFonts w:cs="Arial"/>
          <w:szCs w:val="24"/>
        </w:rPr>
        <w:t>to</w:t>
      </w:r>
      <w:r w:rsidR="006436EE">
        <w:rPr>
          <w:rFonts w:cs="Arial"/>
          <w:szCs w:val="24"/>
        </w:rPr>
        <w:t xml:space="preserve"> transcribing</w:t>
      </w:r>
      <w:r w:rsidR="00944DF5">
        <w:rPr>
          <w:rFonts w:cs="Arial"/>
          <w:szCs w:val="24"/>
        </w:rPr>
        <w:t xml:space="preserve"> notes</w:t>
      </w:r>
      <w:r w:rsidR="006436EE">
        <w:rPr>
          <w:rFonts w:cs="Arial"/>
          <w:szCs w:val="24"/>
        </w:rPr>
        <w:t>,</w:t>
      </w:r>
      <w:r w:rsidR="00944DF5">
        <w:rPr>
          <w:rFonts w:cs="Arial"/>
          <w:szCs w:val="24"/>
        </w:rPr>
        <w:t xml:space="preserve"> quotes were less in depth, however with analysis it was easy to see the recurrent themes and patterns. Though it was a challenge time wise and concentration wise for FF to conduct all it was felt essential to be embedded in this process to enhance trust, understanding and to support data analysis, interpretation and abstraction. </w:t>
      </w:r>
      <w:r w:rsidR="004605C2">
        <w:rPr>
          <w:rFonts w:cs="Arial"/>
          <w:szCs w:val="24"/>
        </w:rPr>
        <w:t xml:space="preserve">The use of memos and notes actually aided the data analysis stage because it was possible to scan in notes and </w:t>
      </w:r>
      <w:r w:rsidR="00082638">
        <w:rPr>
          <w:rFonts w:cs="Arial"/>
          <w:szCs w:val="24"/>
        </w:rPr>
        <w:t>memos</w:t>
      </w:r>
      <w:r w:rsidR="004605C2">
        <w:rPr>
          <w:rFonts w:cs="Arial"/>
          <w:szCs w:val="24"/>
        </w:rPr>
        <w:t xml:space="preserve"> so available on the computer and they could be physically moved around a grouped with ease highlighting common themes in different</w:t>
      </w:r>
      <w:r w:rsidR="006436EE">
        <w:rPr>
          <w:rFonts w:cs="Arial"/>
          <w:szCs w:val="24"/>
        </w:rPr>
        <w:t xml:space="preserve"> colours and then regrouping. With</w:t>
      </w:r>
      <w:r w:rsidR="004605C2">
        <w:rPr>
          <w:rFonts w:cs="Arial"/>
          <w:szCs w:val="24"/>
        </w:rPr>
        <w:t xml:space="preserve"> hand written</w:t>
      </w:r>
      <w:r w:rsidR="006436EE">
        <w:rPr>
          <w:rFonts w:cs="Arial"/>
          <w:szCs w:val="24"/>
        </w:rPr>
        <w:t xml:space="preserve"> notes however it was</w:t>
      </w:r>
      <w:r w:rsidR="004605C2">
        <w:rPr>
          <w:rFonts w:cs="Arial"/>
          <w:szCs w:val="24"/>
        </w:rPr>
        <w:t xml:space="preserve"> not possible to lift quotes directly</w:t>
      </w:r>
      <w:r w:rsidR="006436EE">
        <w:rPr>
          <w:rFonts w:cs="Arial"/>
          <w:szCs w:val="24"/>
        </w:rPr>
        <w:t>,</w:t>
      </w:r>
      <w:r w:rsidR="004605C2">
        <w:rPr>
          <w:rFonts w:cs="Arial"/>
          <w:szCs w:val="24"/>
        </w:rPr>
        <w:t xml:space="preserve"> without re-typing to enter in to thesis to support points and quotes were found to not be as rich as those from in-depth interviews</w:t>
      </w:r>
      <w:r w:rsidR="006436EE">
        <w:rPr>
          <w:rFonts w:cs="Arial"/>
          <w:szCs w:val="24"/>
        </w:rPr>
        <w:t xml:space="preserve"> with experts</w:t>
      </w:r>
      <w:r w:rsidR="004605C2">
        <w:rPr>
          <w:rFonts w:cs="Arial"/>
          <w:szCs w:val="24"/>
        </w:rPr>
        <w:t xml:space="preserve"> </w:t>
      </w:r>
      <w:r w:rsidR="00082638">
        <w:rPr>
          <w:rFonts w:cs="Arial"/>
          <w:szCs w:val="24"/>
        </w:rPr>
        <w:t>reflecting</w:t>
      </w:r>
      <w:r w:rsidR="004605C2">
        <w:rPr>
          <w:rFonts w:cs="Arial"/>
          <w:szCs w:val="24"/>
        </w:rPr>
        <w:t xml:space="preserve"> the </w:t>
      </w:r>
      <w:r w:rsidR="00082638">
        <w:rPr>
          <w:rFonts w:cs="Arial"/>
          <w:szCs w:val="24"/>
        </w:rPr>
        <w:t>difference</w:t>
      </w:r>
      <w:r w:rsidR="004605C2">
        <w:rPr>
          <w:rFonts w:cs="Arial"/>
          <w:szCs w:val="24"/>
        </w:rPr>
        <w:t xml:space="preserve"> in purpose and technique. </w:t>
      </w:r>
      <w:r w:rsidR="00082638">
        <w:rPr>
          <w:rFonts w:cs="Arial"/>
          <w:szCs w:val="24"/>
        </w:rPr>
        <w:t xml:space="preserve">This experience with students contrasted with that with experts as described in chapter 7 who were so familiar with their subject, so confident and credible and used to public speaking that they did not even notice the Dictaphone and almost wanted their </w:t>
      </w:r>
      <w:r w:rsidR="00082638">
        <w:rPr>
          <w:rFonts w:cs="Arial"/>
          <w:szCs w:val="24"/>
        </w:rPr>
        <w:lastRenderedPageBreak/>
        <w:t xml:space="preserve">comments to be recorded to ensure accuracy of transcription and clarity over views. </w:t>
      </w:r>
      <w:r w:rsidR="004605C2">
        <w:rPr>
          <w:rFonts w:cs="Arial"/>
          <w:szCs w:val="24"/>
        </w:rPr>
        <w:t xml:space="preserve">This </w:t>
      </w:r>
      <w:r w:rsidR="00082638">
        <w:rPr>
          <w:rFonts w:cs="Arial"/>
          <w:szCs w:val="24"/>
        </w:rPr>
        <w:t>is</w:t>
      </w:r>
      <w:r w:rsidR="004605C2">
        <w:rPr>
          <w:rFonts w:cs="Arial"/>
          <w:szCs w:val="24"/>
        </w:rPr>
        <w:t xml:space="preserve"> explored further in chapter 7 when discussing in-depth interviews. </w:t>
      </w:r>
    </w:p>
    <w:p w14:paraId="61CB3345" w14:textId="2D1C12BC" w:rsidR="00811BF2" w:rsidRPr="00425738" w:rsidRDefault="00B71FBC" w:rsidP="00425738">
      <w:r>
        <w:rPr>
          <w:rFonts w:cs="Arial"/>
          <w:szCs w:val="24"/>
        </w:rPr>
        <w:t>Framework analysis</w:t>
      </w:r>
      <w:r w:rsidR="00EE6345">
        <w:rPr>
          <w:rFonts w:cs="Arial"/>
          <w:szCs w:val="24"/>
        </w:rPr>
        <w:t xml:space="preserve"> -</w:t>
      </w:r>
      <w:r>
        <w:rPr>
          <w:rFonts w:cs="Arial"/>
          <w:szCs w:val="24"/>
        </w:rPr>
        <w:t xml:space="preserve"> the technique used for data analysis is</w:t>
      </w:r>
      <w:r w:rsidR="001B0DE1">
        <w:rPr>
          <w:rFonts w:cs="Arial"/>
          <w:szCs w:val="24"/>
        </w:rPr>
        <w:t xml:space="preserve"> discussed in detail in section</w:t>
      </w:r>
      <w:r w:rsidR="002147C8">
        <w:rPr>
          <w:rFonts w:cs="Arial"/>
          <w:szCs w:val="24"/>
        </w:rPr>
        <w:t xml:space="preserve"> 7</w:t>
      </w:r>
      <w:r w:rsidR="001B0DE1">
        <w:rPr>
          <w:rFonts w:cs="Arial"/>
          <w:szCs w:val="24"/>
        </w:rPr>
        <w:t>.3.7</w:t>
      </w:r>
      <w:r>
        <w:rPr>
          <w:rFonts w:cs="Arial"/>
          <w:szCs w:val="24"/>
        </w:rPr>
        <w:t>.</w:t>
      </w:r>
      <w:r w:rsidR="003F23F2" w:rsidRPr="003F23F2">
        <w:rPr>
          <w:rFonts w:cs="Arial"/>
          <w:szCs w:val="24"/>
        </w:rPr>
        <w:t xml:space="preserve"> </w:t>
      </w:r>
      <w:r w:rsidR="003F23F2">
        <w:rPr>
          <w:rFonts w:cs="Arial"/>
          <w:szCs w:val="24"/>
        </w:rPr>
        <w:t xml:space="preserve">In allowing fresh and previous data to be organised next to each other in a framework, the ability to compare and contrast </w:t>
      </w:r>
      <w:r w:rsidR="00EE6345">
        <w:rPr>
          <w:rFonts w:cs="Arial"/>
          <w:szCs w:val="24"/>
        </w:rPr>
        <w:t xml:space="preserve">data </w:t>
      </w:r>
      <w:r w:rsidR="003F23F2">
        <w:rPr>
          <w:rFonts w:cs="Arial"/>
          <w:szCs w:val="24"/>
        </w:rPr>
        <w:t>supported</w:t>
      </w:r>
      <w:r w:rsidR="00EE6345">
        <w:rPr>
          <w:rFonts w:cs="Arial"/>
          <w:szCs w:val="24"/>
        </w:rPr>
        <w:t xml:space="preserve"> the</w:t>
      </w:r>
      <w:r w:rsidR="003F23F2">
        <w:rPr>
          <w:rFonts w:cs="Arial"/>
          <w:szCs w:val="24"/>
        </w:rPr>
        <w:t xml:space="preserve"> interpretation</w:t>
      </w:r>
      <w:r w:rsidR="00EE6345">
        <w:rPr>
          <w:rFonts w:cs="Arial"/>
          <w:szCs w:val="24"/>
        </w:rPr>
        <w:t xml:space="preserve"> phase</w:t>
      </w:r>
      <w:r w:rsidR="001B0DE1">
        <w:rPr>
          <w:rFonts w:cs="Arial"/>
          <w:szCs w:val="24"/>
        </w:rPr>
        <w:t xml:space="preserve"> (Appendix 13</w:t>
      </w:r>
      <w:r w:rsidR="002147C8">
        <w:rPr>
          <w:rFonts w:cs="Arial"/>
          <w:szCs w:val="24"/>
        </w:rPr>
        <w:t>.36)</w:t>
      </w:r>
      <w:r w:rsidR="003F23F2">
        <w:rPr>
          <w:rFonts w:cs="Arial"/>
          <w:szCs w:val="24"/>
        </w:rPr>
        <w:t xml:space="preserve">. </w:t>
      </w:r>
      <w:r w:rsidR="00AD4A8C">
        <w:rPr>
          <w:rFonts w:cs="Arial"/>
          <w:szCs w:val="24"/>
        </w:rPr>
        <w:t xml:space="preserve">It must be highlighted that though some tools of grounded theory have been utilised in this study this is by no means a pure grounded theory study </w:t>
      </w:r>
      <w:r w:rsidR="00082638">
        <w:rPr>
          <w:rFonts w:cs="Arial"/>
          <w:szCs w:val="24"/>
        </w:rPr>
        <w:t>and</w:t>
      </w:r>
      <w:r w:rsidR="00AD4A8C">
        <w:rPr>
          <w:rFonts w:cs="Arial"/>
          <w:szCs w:val="24"/>
        </w:rPr>
        <w:t xml:space="preserve"> as such should not be viewed through this frame. The tools have been used in an approac</w:t>
      </w:r>
      <w:r w:rsidR="0080397F">
        <w:rPr>
          <w:rFonts w:cs="Arial"/>
          <w:szCs w:val="24"/>
        </w:rPr>
        <w:t xml:space="preserve">h to allow </w:t>
      </w:r>
      <w:r w:rsidR="00082638">
        <w:rPr>
          <w:rFonts w:cs="Arial"/>
          <w:szCs w:val="24"/>
        </w:rPr>
        <w:t>emergence</w:t>
      </w:r>
      <w:r w:rsidR="0080397F">
        <w:rPr>
          <w:rFonts w:cs="Arial"/>
          <w:szCs w:val="24"/>
        </w:rPr>
        <w:t xml:space="preserve"> of themes t</w:t>
      </w:r>
      <w:r w:rsidR="00AD4A8C">
        <w:rPr>
          <w:rFonts w:cs="Arial"/>
          <w:szCs w:val="24"/>
        </w:rPr>
        <w:t>h</w:t>
      </w:r>
      <w:r w:rsidR="0080397F">
        <w:rPr>
          <w:rFonts w:cs="Arial"/>
          <w:szCs w:val="24"/>
        </w:rPr>
        <w:t>r</w:t>
      </w:r>
      <w:r w:rsidR="00AD4A8C">
        <w:rPr>
          <w:rFonts w:cs="Arial"/>
          <w:szCs w:val="24"/>
        </w:rPr>
        <w:t>ough the data in an iterative process</w:t>
      </w:r>
      <w:r w:rsidR="00E43009">
        <w:rPr>
          <w:rFonts w:cs="Arial"/>
          <w:szCs w:val="24"/>
        </w:rPr>
        <w:t>,</w:t>
      </w:r>
      <w:r w:rsidR="00AD4A8C">
        <w:rPr>
          <w:rFonts w:cs="Arial"/>
          <w:szCs w:val="24"/>
        </w:rPr>
        <w:t xml:space="preserve"> grounded in original </w:t>
      </w:r>
      <w:r w:rsidR="00082638">
        <w:rPr>
          <w:rFonts w:cs="Arial"/>
          <w:szCs w:val="24"/>
        </w:rPr>
        <w:t>data, which</w:t>
      </w:r>
      <w:r w:rsidR="00AD4A8C">
        <w:rPr>
          <w:rFonts w:cs="Arial"/>
          <w:szCs w:val="24"/>
        </w:rPr>
        <w:t xml:space="preserve"> should be </w:t>
      </w:r>
      <w:r w:rsidR="00082638">
        <w:rPr>
          <w:rFonts w:cs="Arial"/>
          <w:szCs w:val="24"/>
        </w:rPr>
        <w:t>traceable</w:t>
      </w:r>
      <w:r w:rsidR="00AD4A8C">
        <w:rPr>
          <w:rFonts w:cs="Arial"/>
          <w:szCs w:val="24"/>
        </w:rPr>
        <w:t xml:space="preserve"> from the outset. </w:t>
      </w:r>
      <w:r w:rsidR="0080397F">
        <w:rPr>
          <w:rFonts w:cs="Arial"/>
          <w:szCs w:val="24"/>
        </w:rPr>
        <w:t>This was to ensure u</w:t>
      </w:r>
      <w:r w:rsidR="00E43009">
        <w:rPr>
          <w:rFonts w:cs="Arial"/>
          <w:szCs w:val="24"/>
        </w:rPr>
        <w:t>nderstanding and later</w:t>
      </w:r>
      <w:r w:rsidR="0080397F">
        <w:rPr>
          <w:rFonts w:cs="Arial"/>
          <w:szCs w:val="24"/>
        </w:rPr>
        <w:t xml:space="preserve"> stages remained </w:t>
      </w:r>
      <w:r w:rsidR="00E43009">
        <w:rPr>
          <w:rFonts w:cs="Arial"/>
          <w:szCs w:val="24"/>
        </w:rPr>
        <w:t xml:space="preserve">focussed on the views of final </w:t>
      </w:r>
      <w:r w:rsidR="0080397F">
        <w:rPr>
          <w:rFonts w:cs="Arial"/>
          <w:szCs w:val="24"/>
        </w:rPr>
        <w:t xml:space="preserve">year medical students. </w:t>
      </w:r>
    </w:p>
    <w:p w14:paraId="042E0798" w14:textId="3AD79E4A" w:rsidR="001E391A" w:rsidRDefault="001E391A" w:rsidP="00CA53EB">
      <w:pPr>
        <w:pStyle w:val="Heading2"/>
      </w:pPr>
      <w:bookmarkStart w:id="148" w:name="_Toc343501134"/>
      <w:bookmarkStart w:id="149" w:name="_Toc348686335"/>
      <w:bookmarkStart w:id="150" w:name="_Toc419116133"/>
      <w:r>
        <w:t>Results - Emergent themes</w:t>
      </w:r>
      <w:bookmarkEnd w:id="148"/>
      <w:bookmarkEnd w:id="149"/>
      <w:bookmarkEnd w:id="150"/>
    </w:p>
    <w:p w14:paraId="60C9E7CD" w14:textId="77777777" w:rsidR="00731CE6" w:rsidRDefault="00731CE6" w:rsidP="00731CE6"/>
    <w:p w14:paraId="6E6D6CEE" w14:textId="409660C0" w:rsidR="00724727" w:rsidRDefault="0070501C" w:rsidP="00731CE6">
      <w:r>
        <w:t xml:space="preserve">During the </w:t>
      </w:r>
      <w:r w:rsidR="00276C57">
        <w:t xml:space="preserve">pre-pilot </w:t>
      </w:r>
      <w:r w:rsidR="00173DE4">
        <w:t>focus group</w:t>
      </w:r>
      <w:r>
        <w:t>s</w:t>
      </w:r>
      <w:r w:rsidR="00276C57">
        <w:t>,</w:t>
      </w:r>
      <w:r>
        <w:t xml:space="preserve"> the students talked overwhelmingly about confidence</w:t>
      </w:r>
      <w:r w:rsidR="00276C57">
        <w:t xml:space="preserve"> when describing preparedness</w:t>
      </w:r>
      <w:r>
        <w:t xml:space="preserve">. Confidence was the overarching theme that acted as an umbrella theme. </w:t>
      </w:r>
      <w:r w:rsidR="00276C57">
        <w:t>The f</w:t>
      </w:r>
      <w:r w:rsidR="00B23096">
        <w:t>ive</w:t>
      </w:r>
      <w:r>
        <w:t xml:space="preserve"> main emergent </w:t>
      </w:r>
      <w:r w:rsidR="00EE6345">
        <w:t>sub-themes</w:t>
      </w:r>
      <w:r>
        <w:t xml:space="preserve"> surrounding preparedness for practice were ‘knowledge’, ‘transference’, ‘skills’, ‘ability’ and ‘expectations’.</w:t>
      </w:r>
      <w:r w:rsidR="00927ED9">
        <w:t xml:space="preserve"> Results are demonstrated diagrammatically below (</w:t>
      </w:r>
      <w:r w:rsidR="00511ED1">
        <w:t>Section</w:t>
      </w:r>
      <w:r w:rsidR="00927ED9">
        <w:t xml:space="preserve"> 4.5).</w:t>
      </w:r>
    </w:p>
    <w:p w14:paraId="2A84D7E7" w14:textId="52D866AD" w:rsidR="0070501C" w:rsidRDefault="0070501C" w:rsidP="00731CE6">
      <w:r>
        <w:t>In terms of preparedness</w:t>
      </w:r>
      <w:r w:rsidR="000B1C02">
        <w:t>,</w:t>
      </w:r>
      <w:r>
        <w:t xml:space="preserve"> the students described this as how confident they felt to perform their skills, make decisions, get things correct and generally how confident they felt to be a FY1</w:t>
      </w:r>
      <w:r w:rsidR="000B1C02">
        <w:t>.</w:t>
      </w:r>
      <w:r>
        <w:t xml:space="preserve"> </w:t>
      </w:r>
      <w:r w:rsidR="000B1C02">
        <w:t>T</w:t>
      </w:r>
      <w:r>
        <w:t xml:space="preserve">his was heavily linked to the expectations they </w:t>
      </w:r>
      <w:r>
        <w:lastRenderedPageBreak/>
        <w:t xml:space="preserve">had of being a FY1 and needing to </w:t>
      </w:r>
      <w:r w:rsidR="00365317">
        <w:t>‘</w:t>
      </w:r>
      <w:r>
        <w:t>not make mistakes</w:t>
      </w:r>
      <w:r w:rsidR="00365317">
        <w:t>’</w:t>
      </w:r>
      <w:r>
        <w:t xml:space="preserve"> </w:t>
      </w:r>
      <w:r w:rsidR="00365317">
        <w:t xml:space="preserve">or </w:t>
      </w:r>
      <w:r>
        <w:t>‘bother seniors’</w:t>
      </w:r>
      <w:r w:rsidR="00365317">
        <w:t xml:space="preserve"> (</w:t>
      </w:r>
      <w:r w:rsidR="00173DE4">
        <w:t>focus group</w:t>
      </w:r>
      <w:r w:rsidR="00EE6345">
        <w:t>s</w:t>
      </w:r>
      <w:r w:rsidR="00365317">
        <w:t xml:space="preserve"> A</w:t>
      </w:r>
      <w:r w:rsidR="002938BF">
        <w:t>, B, C, D</w:t>
      </w:r>
      <w:r w:rsidR="00365317">
        <w:t>)</w:t>
      </w:r>
      <w:r>
        <w:t xml:space="preserve">. </w:t>
      </w:r>
    </w:p>
    <w:p w14:paraId="74D495E7" w14:textId="4750F41C" w:rsidR="0070501C" w:rsidRDefault="0070501C" w:rsidP="00731CE6">
      <w:r>
        <w:t>In terms of ‘knowledge’ they described how confi</w:t>
      </w:r>
      <w:r w:rsidR="00884530">
        <w:t>dent they were to access the kn</w:t>
      </w:r>
      <w:r>
        <w:t>o</w:t>
      </w:r>
      <w:r w:rsidR="00884530">
        <w:t>w</w:t>
      </w:r>
      <w:r>
        <w:t>l</w:t>
      </w:r>
      <w:r w:rsidR="00884530">
        <w:t>e</w:t>
      </w:r>
      <w:r>
        <w:t>dge they had fr</w:t>
      </w:r>
      <w:r w:rsidR="000B1C02">
        <w:t>o</w:t>
      </w:r>
      <w:r>
        <w:t xml:space="preserve">m medical school and to </w:t>
      </w:r>
      <w:r w:rsidR="00365317">
        <w:t>‘</w:t>
      </w:r>
      <w:r>
        <w:t>remember everything</w:t>
      </w:r>
      <w:r w:rsidR="00365317">
        <w:t>’ (</w:t>
      </w:r>
      <w:r w:rsidR="00173DE4">
        <w:t>focus group</w:t>
      </w:r>
      <w:r w:rsidR="00EE6345">
        <w:t>s</w:t>
      </w:r>
      <w:r w:rsidR="00365317">
        <w:t xml:space="preserve"> A</w:t>
      </w:r>
      <w:r w:rsidR="002938BF">
        <w:t>, C</w:t>
      </w:r>
      <w:r w:rsidR="00365317">
        <w:t>)</w:t>
      </w:r>
      <w:r>
        <w:t>. The</w:t>
      </w:r>
      <w:r w:rsidR="00B23096">
        <w:t>y</w:t>
      </w:r>
      <w:r>
        <w:t xml:space="preserve"> discussed how </w:t>
      </w:r>
      <w:r w:rsidR="003961BA">
        <w:t>confide</w:t>
      </w:r>
      <w:r w:rsidR="00082638">
        <w:t>nt</w:t>
      </w:r>
      <w:r>
        <w:t xml:space="preserve"> they would fe</w:t>
      </w:r>
      <w:r w:rsidR="000B1C02">
        <w:t>e</w:t>
      </w:r>
      <w:r>
        <w:t>l to apply their knowledge in clinical situation</w:t>
      </w:r>
      <w:r w:rsidR="000B1C02">
        <w:t>s,</w:t>
      </w:r>
      <w:r>
        <w:t xml:space="preserve"> particularly when under pressure and how this may affect their </w:t>
      </w:r>
      <w:r w:rsidR="001D42C9">
        <w:t>decision-making</w:t>
      </w:r>
      <w:r w:rsidR="000B1C02">
        <w:t xml:space="preserve">. They were concerned about </w:t>
      </w:r>
      <w:r>
        <w:t xml:space="preserve">whether their </w:t>
      </w:r>
      <w:r w:rsidR="00365317">
        <w:t>‘</w:t>
      </w:r>
      <w:r>
        <w:t>mind</w:t>
      </w:r>
      <w:r w:rsidR="00884530">
        <w:t xml:space="preserve"> would go blank</w:t>
      </w:r>
      <w:r w:rsidR="00365317">
        <w:t xml:space="preserve">’, </w:t>
      </w:r>
      <w:r>
        <w:t>not knowing what to do</w:t>
      </w:r>
      <w:r w:rsidR="00EE6345">
        <w:t>,</w:t>
      </w:r>
      <w:r>
        <w:t xml:space="preserve"> and the stress related to </w:t>
      </w:r>
      <w:r w:rsidR="00884530">
        <w:t>hierarchical</w:t>
      </w:r>
      <w:r>
        <w:t xml:space="preserve"> </w:t>
      </w:r>
      <w:r w:rsidR="00365317">
        <w:t xml:space="preserve">team </w:t>
      </w:r>
      <w:r>
        <w:t>perceptions</w:t>
      </w:r>
      <w:r w:rsidR="00365317">
        <w:t xml:space="preserve"> (</w:t>
      </w:r>
      <w:r w:rsidR="00173DE4">
        <w:t>focus group</w:t>
      </w:r>
      <w:r w:rsidR="00EE6345">
        <w:t>s</w:t>
      </w:r>
      <w:r w:rsidR="00365317">
        <w:t xml:space="preserve"> A</w:t>
      </w:r>
      <w:r w:rsidR="002938BF">
        <w:t>, B, D</w:t>
      </w:r>
      <w:r w:rsidR="00365317">
        <w:t>)</w:t>
      </w:r>
      <w:r>
        <w:t xml:space="preserve">. </w:t>
      </w:r>
      <w:r w:rsidR="00884530">
        <w:t xml:space="preserve">They were concerned about exposure of </w:t>
      </w:r>
      <w:r w:rsidR="00EE6345">
        <w:t xml:space="preserve">a </w:t>
      </w:r>
      <w:r w:rsidR="00884530">
        <w:t xml:space="preserve">lack of knowledge and that this may undermine their credibility with staff and patients. There was a definite vulnerability and uncertainty surrounding knowledge and this was related in part to perceptions and expectations. </w:t>
      </w:r>
    </w:p>
    <w:p w14:paraId="1FF4D73E" w14:textId="0946AE26" w:rsidR="00884530" w:rsidRDefault="00884530" w:rsidP="00731CE6">
      <w:r>
        <w:t xml:space="preserve">In terms of skills, this theme was interwoven with transference </w:t>
      </w:r>
      <w:r w:rsidR="000A27DF">
        <w:t>into</w:t>
      </w:r>
      <w:r>
        <w:t xml:space="preserve"> the clinical environment and ability, which were all linked with confidence. </w:t>
      </w:r>
      <w:r w:rsidR="00511ED1">
        <w:t xml:space="preserve">Skills described were decision-making, </w:t>
      </w:r>
      <w:r w:rsidR="001D42C9">
        <w:t>judgment</w:t>
      </w:r>
      <w:r w:rsidR="00511ED1">
        <w:t>, insight, ability to self-correct and ability to manage self under pressure</w:t>
      </w:r>
      <w:r w:rsidR="00EE6345">
        <w:t>,</w:t>
      </w:r>
      <w:r w:rsidR="00511ED1">
        <w:t xml:space="preserve"> and whether they felt confident to do this. </w:t>
      </w:r>
      <w:r>
        <w:t>They discussed concerns based</w:t>
      </w:r>
      <w:r w:rsidR="00EE6345">
        <w:t xml:space="preserve"> on</w:t>
      </w:r>
      <w:r>
        <w:t xml:space="preserve"> their own limitations</w:t>
      </w:r>
      <w:r w:rsidR="004F47C8">
        <w:t>,</w:t>
      </w:r>
      <w:r>
        <w:t xml:space="preserve"> how to recognise them</w:t>
      </w:r>
      <w:r w:rsidR="00EE6345">
        <w:t>,</w:t>
      </w:r>
      <w:r>
        <w:t xml:space="preserve"> and know how to get help when managing patients. The students reported feeling happy with clinical practical skills but </w:t>
      </w:r>
      <w:r w:rsidR="00B55850">
        <w:t xml:space="preserve">there was </w:t>
      </w:r>
      <w:r>
        <w:t>uncertainty about different equipment and how confident they felt to transfer those skills</w:t>
      </w:r>
      <w:r w:rsidR="00B55850">
        <w:t xml:space="preserve"> </w:t>
      </w:r>
      <w:r w:rsidR="000A27DF">
        <w:t>into</w:t>
      </w:r>
      <w:r w:rsidR="00B55850">
        <w:t xml:space="preserve"> the clinical environment</w:t>
      </w:r>
      <w:r>
        <w:t>.</w:t>
      </w:r>
      <w:r w:rsidR="00B55850" w:rsidRPr="00B55850">
        <w:t xml:space="preserve"> </w:t>
      </w:r>
      <w:r w:rsidR="00B55850">
        <w:t>It was the non-technical skills and human factors elements they were most concerned about and felt least prepared for.</w:t>
      </w:r>
    </w:p>
    <w:p w14:paraId="7F48BFCC" w14:textId="19EB9F38" w:rsidR="00884530" w:rsidRDefault="00884530" w:rsidP="00731CE6">
      <w:r>
        <w:lastRenderedPageBreak/>
        <w:t>Transference as a sub</w:t>
      </w:r>
      <w:r w:rsidR="00EE6345">
        <w:t>-</w:t>
      </w:r>
      <w:r>
        <w:t>theme</w:t>
      </w:r>
      <w:r w:rsidR="00927ED9">
        <w:t>,</w:t>
      </w:r>
      <w:r>
        <w:t xml:space="preserve"> included the concern over transferring knowledge </w:t>
      </w:r>
      <w:r w:rsidR="000A27DF">
        <w:t>into</w:t>
      </w:r>
      <w:r>
        <w:t xml:space="preserve"> practice</w:t>
      </w:r>
      <w:r w:rsidR="00473F5C">
        <w:t>,</w:t>
      </w:r>
      <w:r>
        <w:t xml:space="preserve"> as </w:t>
      </w:r>
      <w:r w:rsidR="00927ED9">
        <w:t>students</w:t>
      </w:r>
      <w:r>
        <w:t xml:space="preserve"> felt that they had been doing more observing and felt less embedded in </w:t>
      </w:r>
      <w:r w:rsidR="001D42C9">
        <w:t>decision-making</w:t>
      </w:r>
      <w:r>
        <w:t xml:space="preserve"> and patient care</w:t>
      </w:r>
      <w:r w:rsidR="00927ED9">
        <w:t>. They were</w:t>
      </w:r>
      <w:r>
        <w:t xml:space="preserve"> unconfident about how able they would be to do this and they had anxiety over missing a diagnosis or making a mistake</w:t>
      </w:r>
      <w:r w:rsidR="00927ED9">
        <w:t xml:space="preserve"> (</w:t>
      </w:r>
      <w:r w:rsidR="00173DE4">
        <w:t>focus group</w:t>
      </w:r>
      <w:r w:rsidR="00EE6345">
        <w:t>s</w:t>
      </w:r>
      <w:r w:rsidR="00927ED9">
        <w:t xml:space="preserve"> A</w:t>
      </w:r>
      <w:r w:rsidR="002938BF">
        <w:t>, B, C, D</w:t>
      </w:r>
      <w:r w:rsidR="00927ED9">
        <w:t>)</w:t>
      </w:r>
      <w:r>
        <w:t xml:space="preserve">.  </w:t>
      </w:r>
    </w:p>
    <w:p w14:paraId="17D5FE23" w14:textId="20B8AB60" w:rsidR="008E34DE" w:rsidRDefault="008E34DE" w:rsidP="00731CE6">
      <w:r>
        <w:t>Ability as a sub</w:t>
      </w:r>
      <w:r w:rsidR="00EE6345">
        <w:t>-</w:t>
      </w:r>
      <w:r>
        <w:t>theme</w:t>
      </w:r>
      <w:r w:rsidR="00927ED9">
        <w:t>,</w:t>
      </w:r>
      <w:r>
        <w:t xml:space="preserve"> surrounded the student</w:t>
      </w:r>
      <w:r w:rsidR="00927ED9">
        <w:t>’</w:t>
      </w:r>
      <w:r>
        <w:t>s perceived performance and competence</w:t>
      </w:r>
      <w:r w:rsidR="00927ED9">
        <w:t>. It</w:t>
      </w:r>
      <w:r>
        <w:t xml:space="preserve"> represented a much smaller topic or weighting than confidence</w:t>
      </w:r>
      <w:r w:rsidR="00927ED9">
        <w:t>,</w:t>
      </w:r>
      <w:r>
        <w:t xml:space="preserve"> as represented in the diagram below. They had concerns over their ability to ‘be effective’ and ‘</w:t>
      </w:r>
      <w:r w:rsidR="002568B6">
        <w:t>self-correct</w:t>
      </w:r>
      <w:r>
        <w:t>’ as well as when and how to access help</w:t>
      </w:r>
      <w:r w:rsidR="00927ED9">
        <w:t xml:space="preserve"> (</w:t>
      </w:r>
      <w:r w:rsidR="00173DE4">
        <w:t>focus group</w:t>
      </w:r>
      <w:r w:rsidR="00EE6345">
        <w:t>s</w:t>
      </w:r>
      <w:r w:rsidR="00927ED9">
        <w:t xml:space="preserve"> B</w:t>
      </w:r>
      <w:r w:rsidR="002938BF">
        <w:t>, C, D</w:t>
      </w:r>
      <w:r w:rsidR="00927ED9">
        <w:t>)</w:t>
      </w:r>
      <w:r>
        <w:t xml:space="preserve">. They were under confident in their ability to assess and manage patients. </w:t>
      </w:r>
    </w:p>
    <w:p w14:paraId="48271F02" w14:textId="53613CE4" w:rsidR="008E34DE" w:rsidRDefault="001D0009" w:rsidP="00731CE6">
      <w:r>
        <w:t>Expectations</w:t>
      </w:r>
      <w:r w:rsidR="00EE6345">
        <w:t xml:space="preserve"> -</w:t>
      </w:r>
      <w:r>
        <w:t xml:space="preserve"> </w:t>
      </w:r>
      <w:r w:rsidR="008E34DE">
        <w:t xml:space="preserve">the final </w:t>
      </w:r>
      <w:r w:rsidR="00EE6345">
        <w:t>sub-theme -</w:t>
      </w:r>
      <w:r w:rsidR="008E34DE">
        <w:t xml:space="preserve"> was based </w:t>
      </w:r>
      <w:r w:rsidR="00EE6345">
        <w:t>on</w:t>
      </w:r>
      <w:r w:rsidR="008E34DE">
        <w:t xml:space="preserve"> the importance of understanding expectations fr</w:t>
      </w:r>
      <w:r w:rsidR="00927ED9">
        <w:t>o</w:t>
      </w:r>
      <w:r w:rsidR="008E34DE">
        <w:t>m senior members of the team and ward team. Again this was linked closely with how confident they felt to meet the assumed expectations and whether these expectations were correct. Unfortunately all to</w:t>
      </w:r>
      <w:r>
        <w:t>o</w:t>
      </w:r>
      <w:r w:rsidR="008E34DE">
        <w:t xml:space="preserve"> often the students felt their role was to manage the patient and not </w:t>
      </w:r>
      <w:r w:rsidR="00F903CB">
        <w:t>‘</w:t>
      </w:r>
      <w:r w:rsidR="008E34DE">
        <w:t>bother</w:t>
      </w:r>
      <w:r w:rsidR="00F903CB">
        <w:t>’</w:t>
      </w:r>
      <w:r w:rsidR="008E34DE">
        <w:t xml:space="preserve"> the senior team in case they felt they were incompetent</w:t>
      </w:r>
      <w:r w:rsidR="00B23096">
        <w:t>;</w:t>
      </w:r>
      <w:r w:rsidR="008E34DE">
        <w:t xml:space="preserve"> again </w:t>
      </w:r>
      <w:r>
        <w:t>a huge and potentially dangerous</w:t>
      </w:r>
      <w:r w:rsidR="008E34DE">
        <w:t xml:space="preserve"> </w:t>
      </w:r>
      <w:r>
        <w:t>hierarchical</w:t>
      </w:r>
      <w:r w:rsidR="008E34DE">
        <w:t xml:space="preserve"> influence on behaviour and </w:t>
      </w:r>
      <w:r w:rsidR="001D42C9">
        <w:t>judgment</w:t>
      </w:r>
      <w:r w:rsidR="00F903CB">
        <w:t xml:space="preserve"> (</w:t>
      </w:r>
      <w:r w:rsidR="00173DE4">
        <w:t>focus group</w:t>
      </w:r>
      <w:r w:rsidR="00EE6345">
        <w:t>s</w:t>
      </w:r>
      <w:r w:rsidR="00F903CB">
        <w:t xml:space="preserve"> A</w:t>
      </w:r>
      <w:r w:rsidR="002938BF">
        <w:t>, B, D</w:t>
      </w:r>
      <w:r w:rsidR="00F903CB">
        <w:t>)</w:t>
      </w:r>
      <w:r w:rsidR="008E34DE">
        <w:t xml:space="preserve">. </w:t>
      </w:r>
    </w:p>
    <w:p w14:paraId="0C4BB80E" w14:textId="325C98C5" w:rsidR="008E34DE" w:rsidRDefault="008E34DE" w:rsidP="00731CE6">
      <w:r>
        <w:t xml:space="preserve">There was an overall feeling that the undergraduate curriculum had ‘given them the knowledge but not the full skills set to work as </w:t>
      </w:r>
      <w:r w:rsidR="00BC4377">
        <w:t>a FY1</w:t>
      </w:r>
      <w:r>
        <w:t>’ (</w:t>
      </w:r>
      <w:r w:rsidR="00173DE4">
        <w:t>focus group</w:t>
      </w:r>
      <w:r w:rsidR="00EE6345">
        <w:t>s</w:t>
      </w:r>
      <w:r>
        <w:t xml:space="preserve"> </w:t>
      </w:r>
      <w:r w:rsidR="00F903CB">
        <w:t>A</w:t>
      </w:r>
      <w:r w:rsidR="002938BF">
        <w:t>, C</w:t>
      </w:r>
      <w:r>
        <w:t xml:space="preserve">). </w:t>
      </w:r>
    </w:p>
    <w:p w14:paraId="07B1BBB4" w14:textId="77777777" w:rsidR="003961BA" w:rsidRPr="00731CE6" w:rsidRDefault="003961BA" w:rsidP="00731CE6"/>
    <w:p w14:paraId="74E60FCF" w14:textId="45CD847B" w:rsidR="001E391A" w:rsidRDefault="001E391A" w:rsidP="00CA53EB">
      <w:pPr>
        <w:pStyle w:val="Heading2"/>
      </w:pPr>
      <w:bookmarkStart w:id="151" w:name="_Toc343501135"/>
      <w:bookmarkStart w:id="152" w:name="_Toc348686336"/>
      <w:bookmarkStart w:id="153" w:name="_Toc419116134"/>
      <w:r w:rsidRPr="001A6CB4">
        <w:lastRenderedPageBreak/>
        <w:t>Venn diagram as summary</w:t>
      </w:r>
      <w:bookmarkEnd w:id="151"/>
      <w:bookmarkEnd w:id="152"/>
      <w:bookmarkEnd w:id="153"/>
    </w:p>
    <w:p w14:paraId="13521823" w14:textId="77777777" w:rsidR="003025D8" w:rsidRDefault="003025D8" w:rsidP="00424201"/>
    <w:p w14:paraId="2E11C696" w14:textId="0844A0BF" w:rsidR="007B78B2" w:rsidRDefault="003025D8" w:rsidP="00424201">
      <w:r>
        <w:t>The Venn diagram below demonstrates 5</w:t>
      </w:r>
      <w:r w:rsidRPr="00283C77">
        <w:rPr>
          <w:vertAlign w:val="superscript"/>
        </w:rPr>
        <w:t>th</w:t>
      </w:r>
      <w:r>
        <w:t xml:space="preserve"> year medical student views on their interpretation of preparedness from </w:t>
      </w:r>
      <w:r w:rsidR="00173DE4">
        <w:t>focus group</w:t>
      </w:r>
      <w:r>
        <w:t xml:space="preserve"> transcripts and thematic analysis. It demonstrates tha</w:t>
      </w:r>
      <w:r w:rsidR="00EE6345">
        <w:t>t overall</w:t>
      </w:r>
      <w:r>
        <w:t xml:space="preserve"> preparedness </w:t>
      </w:r>
      <w:r w:rsidR="003D4D75">
        <w:t>was</w:t>
      </w:r>
      <w:r>
        <w:t xml:space="preserve"> about confidence, ability, skills</w:t>
      </w:r>
      <w:r w:rsidR="003D4D75">
        <w:t xml:space="preserve"> and</w:t>
      </w:r>
      <w:r>
        <w:t xml:space="preserve"> application of knowledge. Confidence was central to preparedness and was a subjective feeling. When asked to rate ability to do </w:t>
      </w:r>
      <w:r w:rsidR="003D4D75">
        <w:t xml:space="preserve">a </w:t>
      </w:r>
      <w:r>
        <w:t xml:space="preserve">task </w:t>
      </w:r>
      <w:r w:rsidR="003D4D75">
        <w:t xml:space="preserve">(capability), </w:t>
      </w:r>
      <w:r>
        <w:t>they always came back to confidence.</w:t>
      </w:r>
    </w:p>
    <w:p w14:paraId="5800CD3B" w14:textId="77777777" w:rsidR="007B78B2" w:rsidRDefault="007B78B2" w:rsidP="00424201"/>
    <w:p w14:paraId="1D1E6CFC" w14:textId="77777777" w:rsidR="003F1897" w:rsidRDefault="003F1897" w:rsidP="00424201"/>
    <w:p w14:paraId="5BCABB1C" w14:textId="77777777" w:rsidR="00A7690B" w:rsidRDefault="00E217A0" w:rsidP="00A7690B">
      <w:pPr>
        <w:pStyle w:val="Header"/>
        <w:keepNext/>
        <w:jc w:val="center"/>
      </w:pPr>
      <w:r>
        <w:rPr>
          <w:noProof/>
          <w:lang w:val="en-US"/>
        </w:rPr>
        <w:lastRenderedPageBreak/>
        <w:drawing>
          <wp:inline distT="0" distB="0" distL="0" distR="0" wp14:anchorId="1147F4ED" wp14:editId="49FDC2FE">
            <wp:extent cx="7205980" cy="5952490"/>
            <wp:effectExtent l="0" t="0" r="0"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0B791756" w14:textId="75B734C1" w:rsidR="00A7690B" w:rsidRDefault="00A7690B" w:rsidP="007000F8">
      <w:pPr>
        <w:pStyle w:val="Caption"/>
      </w:pPr>
      <w:bookmarkStart w:id="154" w:name="_Ref330114009"/>
      <w:bookmarkStart w:id="155" w:name="_Toc419116459"/>
      <w:r>
        <w:t xml:space="preserve">Figure </w:t>
      </w:r>
      <w:r w:rsidR="009A2F08">
        <w:fldChar w:fldCharType="begin"/>
      </w:r>
      <w:r w:rsidR="009A2F08">
        <w:instrText xml:space="preserve"> STYLEREF 1 \s </w:instrText>
      </w:r>
      <w:r w:rsidR="009A2F08">
        <w:fldChar w:fldCharType="separate"/>
      </w:r>
      <w:r w:rsidR="007220A7">
        <w:rPr>
          <w:noProof/>
        </w:rPr>
        <w:t>4</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w:t>
      </w:r>
      <w:r w:rsidR="009A2F08">
        <w:fldChar w:fldCharType="end"/>
      </w:r>
      <w:r>
        <w:t xml:space="preserve"> Preparedness for practice - 5th year medical student view</w:t>
      </w:r>
      <w:r w:rsidR="008E34DE">
        <w:t xml:space="preserve">s from </w:t>
      </w:r>
      <w:r w:rsidR="00173DE4">
        <w:t>focus group</w:t>
      </w:r>
      <w:r w:rsidR="008E34DE">
        <w:t>s</w:t>
      </w:r>
      <w:r>
        <w:t xml:space="preserve"> - Venn </w:t>
      </w:r>
      <w:bookmarkEnd w:id="154"/>
      <w:r w:rsidR="00E51676">
        <w:t>diagram</w:t>
      </w:r>
      <w:bookmarkEnd w:id="155"/>
    </w:p>
    <w:p w14:paraId="28EA53E3" w14:textId="77777777" w:rsidR="00725549" w:rsidRDefault="00725549" w:rsidP="004367CF"/>
    <w:p w14:paraId="349FA188" w14:textId="77777777" w:rsidR="007B78B2" w:rsidRDefault="007B78B2" w:rsidP="004367CF"/>
    <w:p w14:paraId="6B04B146" w14:textId="77777777" w:rsidR="007B78B2" w:rsidRDefault="007B78B2" w:rsidP="004367CF"/>
    <w:p w14:paraId="487AA096" w14:textId="77777777" w:rsidR="003961BA" w:rsidRPr="00725549" w:rsidRDefault="003961BA" w:rsidP="004367CF"/>
    <w:p w14:paraId="38F95DE1" w14:textId="78604968" w:rsidR="001E391A" w:rsidRDefault="001E391A" w:rsidP="00CA53EB">
      <w:pPr>
        <w:pStyle w:val="Heading2"/>
      </w:pPr>
      <w:bookmarkStart w:id="156" w:name="_Toc343501136"/>
      <w:bookmarkStart w:id="157" w:name="_Toc348686337"/>
      <w:bookmarkStart w:id="158" w:name="_Toc419116135"/>
      <w:r>
        <w:lastRenderedPageBreak/>
        <w:t>Discussion</w:t>
      </w:r>
      <w:bookmarkEnd w:id="156"/>
      <w:bookmarkEnd w:id="157"/>
      <w:bookmarkEnd w:id="158"/>
    </w:p>
    <w:p w14:paraId="2FEE5123" w14:textId="77777777" w:rsidR="001D0009" w:rsidRDefault="001D0009" w:rsidP="001D0009"/>
    <w:p w14:paraId="49AF7383" w14:textId="4B10B372" w:rsidR="00B23096" w:rsidRDefault="00B23096" w:rsidP="001D0009">
      <w:r>
        <w:t xml:space="preserve">The main findings from pre-pilot </w:t>
      </w:r>
      <w:r w:rsidR="00173DE4">
        <w:t>focus group</w:t>
      </w:r>
      <w:r w:rsidR="00511ED1">
        <w:t>s</w:t>
      </w:r>
      <w:r>
        <w:t xml:space="preserve"> were that 5</w:t>
      </w:r>
      <w:r w:rsidRPr="004367CF">
        <w:rPr>
          <w:vertAlign w:val="superscript"/>
        </w:rPr>
        <w:t>th</w:t>
      </w:r>
      <w:r>
        <w:t xml:space="preserve"> year medical students </w:t>
      </w:r>
      <w:r w:rsidR="00511ED1">
        <w:t>overwhelmingly</w:t>
      </w:r>
      <w:r>
        <w:t xml:space="preserve"> interpreted preparedness for practice as confidence. This included confidence to perform skills, transfer their skills </w:t>
      </w:r>
      <w:r w:rsidR="000A27DF">
        <w:t>into</w:t>
      </w:r>
      <w:r>
        <w:t xml:space="preserve"> practice, confidence in their knowledge and application of it, confidence in their abilities, particularly to </w:t>
      </w:r>
      <w:r w:rsidR="002568B6">
        <w:t>self-correct</w:t>
      </w:r>
      <w:r>
        <w:t xml:space="preserve"> and be competent in assessment and management of patients. This was also linked with expectations and how confident they felt to be</w:t>
      </w:r>
      <w:r w:rsidR="00C27CB7">
        <w:t xml:space="preserve"> able to achieve what they </w:t>
      </w:r>
      <w:r w:rsidR="00511ED1">
        <w:t>perceived</w:t>
      </w:r>
      <w:r w:rsidR="00C27CB7">
        <w:t xml:space="preserve"> to be</w:t>
      </w:r>
      <w:r>
        <w:t xml:space="preserve"> expected of them as </w:t>
      </w:r>
      <w:r w:rsidR="00BC4377">
        <w:t>a FY1</w:t>
      </w:r>
      <w:r>
        <w:t xml:space="preserve">. </w:t>
      </w:r>
    </w:p>
    <w:p w14:paraId="64AB86E7" w14:textId="70F65F6F" w:rsidR="001D0009" w:rsidRDefault="00046F9A" w:rsidP="001D0009">
      <w:r>
        <w:t xml:space="preserve">Preparedness was planned as the measurement tool mapped to </w:t>
      </w:r>
      <w:r w:rsidR="001D42C9">
        <w:t>Tomorrow’s Doctors</w:t>
      </w:r>
      <w:r>
        <w:t xml:space="preserve"> document and FP curriculum, however following these initial pre-pilot </w:t>
      </w:r>
      <w:r w:rsidR="00173DE4">
        <w:t>focus group</w:t>
      </w:r>
      <w:r>
        <w:t>s</w:t>
      </w:r>
      <w:r w:rsidR="002568B6">
        <w:t>,</w:t>
      </w:r>
      <w:r>
        <w:t xml:space="preserve"> it was clear that participant interpretation of preparedness for practice as </w:t>
      </w:r>
      <w:r w:rsidR="00BC4377">
        <w:t>a FY1</w:t>
      </w:r>
      <w:r>
        <w:t xml:space="preserve"> was interpreted overwhelmingly as confidence and as a su</w:t>
      </w:r>
      <w:r w:rsidR="002568B6">
        <w:t>bjective self-</w:t>
      </w:r>
      <w:r w:rsidR="00EF0297">
        <w:t>perceived feeling</w:t>
      </w:r>
      <w:r>
        <w:t xml:space="preserve">. </w:t>
      </w:r>
      <w:r w:rsidR="001D0009">
        <w:t xml:space="preserve">The researcher had planned to avoid </w:t>
      </w:r>
      <w:r w:rsidR="00337A7E">
        <w:t>using</w:t>
      </w:r>
      <w:r w:rsidR="001D0009">
        <w:t xml:space="preserve"> confidence as a measure of preparedness owing to the subjective</w:t>
      </w:r>
      <w:r w:rsidR="00C27CB7">
        <w:t xml:space="preserve"> complex</w:t>
      </w:r>
      <w:r w:rsidR="001D0009">
        <w:t xml:space="preserve"> nature. There will be many internal and external factors that affect how confident a particular person feels, particular</w:t>
      </w:r>
      <w:r w:rsidR="003A6493">
        <w:t>l</w:t>
      </w:r>
      <w:r w:rsidR="001D0009">
        <w:t>y perso</w:t>
      </w:r>
      <w:r w:rsidR="00FF4544">
        <w:t>nality. Questions based on self-</w:t>
      </w:r>
      <w:r w:rsidR="001D0009">
        <w:t xml:space="preserve">rated capability were introduced during these pre-pilot </w:t>
      </w:r>
      <w:r w:rsidR="00173DE4">
        <w:t>focus group</w:t>
      </w:r>
      <w:r w:rsidR="001D0009">
        <w:t xml:space="preserve">s </w:t>
      </w:r>
      <w:r w:rsidR="003A6493">
        <w:t>and a mock self-</w:t>
      </w:r>
      <w:r w:rsidR="00FF4544">
        <w:t xml:space="preserve">assessment </w:t>
      </w:r>
      <w:r w:rsidR="002568B6">
        <w:t>L</w:t>
      </w:r>
      <w:r w:rsidR="00FF4544">
        <w:t>ikert scale displayed to students to see how able they were to complete it. They struggled to complete ‘</w:t>
      </w:r>
      <w:r w:rsidR="00CD658D">
        <w:t>self-rated</w:t>
      </w:r>
      <w:r w:rsidR="00FF4544">
        <w:t xml:space="preserve"> ability for parameters set out by the FP curriculum and </w:t>
      </w:r>
      <w:r w:rsidR="001D42C9">
        <w:t>Tomorrow’s Doctors</w:t>
      </w:r>
      <w:r w:rsidR="00FF4544">
        <w:t xml:space="preserve">, yet interestingly when asked about how confident they felt about the expected </w:t>
      </w:r>
      <w:r w:rsidR="002568B6">
        <w:t>curriculum-mapped</w:t>
      </w:r>
      <w:r w:rsidR="00FF4544">
        <w:t xml:space="preserve"> tasks</w:t>
      </w:r>
      <w:r w:rsidR="00C27CB7">
        <w:t>,</w:t>
      </w:r>
      <w:r w:rsidR="00FF4544">
        <w:t xml:space="preserve"> they were able to answer that with </w:t>
      </w:r>
      <w:r w:rsidR="003A6493">
        <w:t>ease. This was felt by the stud</w:t>
      </w:r>
      <w:r w:rsidR="00FF4544">
        <w:t>e</w:t>
      </w:r>
      <w:r w:rsidR="003A6493">
        <w:t>n</w:t>
      </w:r>
      <w:r w:rsidR="00FF4544">
        <w:t xml:space="preserve">ts to be mostly because they had not always carried out the tasks or procedures with </w:t>
      </w:r>
      <w:r w:rsidR="00FF4544">
        <w:lastRenderedPageBreak/>
        <w:t xml:space="preserve">a patient in a clinical environment so were unsure if they would be able to do it but knew how confident they felt about it. </w:t>
      </w:r>
    </w:p>
    <w:p w14:paraId="28C148F2" w14:textId="4C26376A" w:rsidR="00FF4544" w:rsidRDefault="00FF4544" w:rsidP="001D0009">
      <w:r>
        <w:t xml:space="preserve">When reflecting upon the Venn diagram where confidence was the overwhelming interpretation of preparedness by the </w:t>
      </w:r>
      <w:r w:rsidR="001D42C9">
        <w:t>5th-year</w:t>
      </w:r>
      <w:r>
        <w:t xml:space="preserve"> medical </w:t>
      </w:r>
      <w:r w:rsidR="00511ED1">
        <w:t>students, the</w:t>
      </w:r>
      <w:r>
        <w:t xml:space="preserve"> researcher</w:t>
      </w:r>
      <w:r w:rsidR="00C27CB7">
        <w:t xml:space="preserve"> noted this was core to informing study design</w:t>
      </w:r>
      <w:r>
        <w:t xml:space="preserve">. </w:t>
      </w:r>
      <w:r w:rsidR="00C27CB7">
        <w:t xml:space="preserve">Following on from </w:t>
      </w:r>
      <w:r>
        <w:t xml:space="preserve">the contrasting studies surrounding preparedness presented in </w:t>
      </w:r>
      <w:r w:rsidR="001D42C9">
        <w:t>Chapter</w:t>
      </w:r>
      <w:r>
        <w:t xml:space="preserve"> </w:t>
      </w:r>
      <w:r w:rsidR="002568B6">
        <w:t>T</w:t>
      </w:r>
      <w:r>
        <w:t xml:space="preserve">wo, where some explored anticipated prospective preparedness and some retrospective preparedness, the researcher felt it was vital to </w:t>
      </w:r>
      <w:r w:rsidR="00C27CB7">
        <w:t xml:space="preserve">ask about what was </w:t>
      </w:r>
      <w:r>
        <w:t>linked with the original literature from the GMC preparedness to practice UK national survey</w:t>
      </w:r>
      <w:r w:rsidR="00C27CB7">
        <w:t>,</w:t>
      </w:r>
      <w:r>
        <w:t xml:space="preserve"> </w:t>
      </w:r>
      <w:r w:rsidR="00C27CB7">
        <w:t xml:space="preserve">an </w:t>
      </w:r>
      <w:r>
        <w:t>anticipated prospective measure. For this reason the researcher aimed to use this anticipated prospective measure as a comparison</w:t>
      </w:r>
      <w:r w:rsidR="00BC2E6D">
        <w:t>. Confidence was chosen as a surrogate marker of preparedness due to the above findings</w:t>
      </w:r>
      <w:r w:rsidR="00C27CB7">
        <w:t>. I</w:t>
      </w:r>
      <w:r>
        <w:t xml:space="preserve">t was </w:t>
      </w:r>
      <w:r w:rsidR="00C27CB7">
        <w:t xml:space="preserve">felt </w:t>
      </w:r>
      <w:r>
        <w:t>important to explore what would happen over time following an educational intervention designed to support preparedness</w:t>
      </w:r>
      <w:r w:rsidR="00BC2E6D">
        <w:t xml:space="preserve"> informed by these pre-pilot </w:t>
      </w:r>
      <w:r w:rsidR="00173DE4">
        <w:t>focus group</w:t>
      </w:r>
      <w:r w:rsidR="002568B6">
        <w:t xml:space="preserve"> outcomes.</w:t>
      </w:r>
      <w:r w:rsidR="00BC2E6D">
        <w:t xml:space="preserve"> </w:t>
      </w:r>
      <w:r>
        <w:t>Scenarios designed embedded the themes and sub</w:t>
      </w:r>
      <w:r w:rsidR="002568B6">
        <w:t>-</w:t>
      </w:r>
      <w:r>
        <w:t>themes fr</w:t>
      </w:r>
      <w:r w:rsidR="00BC2E6D">
        <w:t>o</w:t>
      </w:r>
      <w:r>
        <w:t xml:space="preserve">m the pre-pilot </w:t>
      </w:r>
      <w:r w:rsidR="00173DE4">
        <w:t>focus group</w:t>
      </w:r>
      <w:r>
        <w:t>s</w:t>
      </w:r>
      <w:r w:rsidR="00BC2E6D">
        <w:t>. Plans were</w:t>
      </w:r>
      <w:r w:rsidR="002568B6">
        <w:t xml:space="preserve"> made</w:t>
      </w:r>
      <w:r w:rsidR="00BC2E6D">
        <w:t xml:space="preserve"> to </w:t>
      </w:r>
      <w:r>
        <w:t xml:space="preserve">ensure </w:t>
      </w:r>
      <w:r w:rsidR="00BC2E6D">
        <w:t>students</w:t>
      </w:r>
      <w:r>
        <w:t xml:space="preserve"> had opportunities to experience responsibility for patients in a mock clinical environment, </w:t>
      </w:r>
      <w:r w:rsidR="002568B6">
        <w:t xml:space="preserve">that </w:t>
      </w:r>
      <w:r>
        <w:t>they could experience the transition of skills and application of knowledge</w:t>
      </w:r>
      <w:r w:rsidR="002568B6">
        <w:t>,</w:t>
      </w:r>
      <w:r>
        <w:t xml:space="preserve"> and get to better understand their behaviour under stress</w:t>
      </w:r>
      <w:r w:rsidR="002568B6">
        <w:t>. Also</w:t>
      </w:r>
      <w:r>
        <w:t xml:space="preserve"> whether they could </w:t>
      </w:r>
      <w:r w:rsidR="002568B6">
        <w:t>self-correct</w:t>
      </w:r>
      <w:r>
        <w:t xml:space="preserve"> and how they would access help. </w:t>
      </w:r>
      <w:r w:rsidR="00942495">
        <w:t xml:space="preserve">They </w:t>
      </w:r>
      <w:r w:rsidR="00BC2E6D">
        <w:t>craved</w:t>
      </w:r>
      <w:r w:rsidR="00942495">
        <w:t xml:space="preserve"> experience </w:t>
      </w:r>
      <w:r w:rsidR="002568B6">
        <w:t>to test</w:t>
      </w:r>
      <w:r w:rsidR="00942495">
        <w:t xml:space="preserve"> their abilities</w:t>
      </w:r>
      <w:r w:rsidR="002568B6">
        <w:t>;</w:t>
      </w:r>
      <w:r w:rsidR="00942495">
        <w:t xml:space="preserve"> opportunities to </w:t>
      </w:r>
      <w:r w:rsidR="00BC2E6D">
        <w:t xml:space="preserve">understand and </w:t>
      </w:r>
      <w:r w:rsidR="00942495">
        <w:t>reflect on their behaviour</w:t>
      </w:r>
      <w:r w:rsidR="002568B6">
        <w:t>;</w:t>
      </w:r>
      <w:r w:rsidR="00942495">
        <w:t xml:space="preserve"> </w:t>
      </w:r>
      <w:r w:rsidR="00BC2E6D">
        <w:t xml:space="preserve">and </w:t>
      </w:r>
      <w:r w:rsidR="00942495">
        <w:t xml:space="preserve">to confirm or challenge </w:t>
      </w:r>
      <w:r w:rsidR="00BC2E6D">
        <w:t>pre-held</w:t>
      </w:r>
      <w:r w:rsidR="00942495">
        <w:t xml:space="preserve"> expectations. </w:t>
      </w:r>
    </w:p>
    <w:p w14:paraId="033D58C3" w14:textId="77777777" w:rsidR="00243FEF" w:rsidRPr="001D0009" w:rsidRDefault="00243FEF" w:rsidP="001D0009"/>
    <w:p w14:paraId="519346F2" w14:textId="20ED1C1C" w:rsidR="001E391A" w:rsidRDefault="001E391A" w:rsidP="00CA53EB">
      <w:pPr>
        <w:pStyle w:val="Heading2"/>
      </w:pPr>
      <w:bookmarkStart w:id="159" w:name="_Toc343501137"/>
      <w:bookmarkStart w:id="160" w:name="_Toc348686338"/>
      <w:bookmarkStart w:id="161" w:name="_Toc419116136"/>
      <w:r>
        <w:lastRenderedPageBreak/>
        <w:t>Conclusion</w:t>
      </w:r>
      <w:bookmarkEnd w:id="159"/>
      <w:bookmarkEnd w:id="160"/>
      <w:bookmarkEnd w:id="161"/>
    </w:p>
    <w:p w14:paraId="584C8878" w14:textId="77777777" w:rsidR="00942495" w:rsidRDefault="00942495" w:rsidP="00942495"/>
    <w:p w14:paraId="0B1C40A9" w14:textId="5B92278A" w:rsidR="00942495" w:rsidRDefault="00942495" w:rsidP="00942495">
      <w:r>
        <w:t>The GMC annual UK survey exploring preparedness for practice in UK medical schools is a prospective anticipated subjective and self</w:t>
      </w:r>
      <w:r w:rsidR="002568B6">
        <w:t>-</w:t>
      </w:r>
      <w:r>
        <w:t xml:space="preserve">reported measure of how prepared the medical students feel for starting FY1. Reported preparedness for practice as </w:t>
      </w:r>
      <w:r w:rsidR="00BC4377">
        <w:t>a FY1</w:t>
      </w:r>
      <w:r>
        <w:t xml:space="preserve"> is low and though increasing</w:t>
      </w:r>
      <w:r w:rsidR="00725549">
        <w:t>,</w:t>
      </w:r>
      <w:r>
        <w:t xml:space="preserve"> it has been shown in the data that transitions can be difficult times and lead to mistakes and risk patient safety if not supported and managed well (</w:t>
      </w:r>
      <w:r w:rsidR="001D42C9">
        <w:t>Chapter</w:t>
      </w:r>
      <w:r>
        <w:t xml:space="preserve"> 2). When designing an educational intervention to see the effect on preparedness for practice then </w:t>
      </w:r>
      <w:r w:rsidR="002568B6">
        <w:t xml:space="preserve">the </w:t>
      </w:r>
      <w:r>
        <w:t xml:space="preserve">same measure needed to be used to allow </w:t>
      </w:r>
      <w:r w:rsidR="00444B9C">
        <w:t>accurate</w:t>
      </w:r>
      <w:r>
        <w:t xml:space="preserve"> comparison.</w:t>
      </w:r>
    </w:p>
    <w:p w14:paraId="62C58F9C" w14:textId="2A2B78EF" w:rsidR="00942495" w:rsidRDefault="00942495" w:rsidP="00942495">
      <w:r>
        <w:t>The students overwhelmingly interpreted preparedness as confidence and as such this was to be used as a surrogate marker of preparedness for practice during this study</w:t>
      </w:r>
      <w:r w:rsidR="00444B9C">
        <w:t>,</w:t>
      </w:r>
      <w:r>
        <w:t xml:space="preserve"> so comparisons to the literature could be drawn.</w:t>
      </w:r>
    </w:p>
    <w:p w14:paraId="0C6BDF00" w14:textId="7C345E5A" w:rsidR="007A3B76" w:rsidRPr="00260C40" w:rsidRDefault="00942495" w:rsidP="007A3B76">
      <w:pPr>
        <w:sectPr w:rsidR="007A3B76" w:rsidRPr="00260C40" w:rsidSect="005F454B">
          <w:headerReference w:type="default" r:id="rId62"/>
          <w:footerReference w:type="default" r:id="rId63"/>
          <w:pgSz w:w="11900" w:h="16840"/>
          <w:pgMar w:top="1134" w:right="1134" w:bottom="1134" w:left="2268" w:header="1134" w:footer="1134" w:gutter="0"/>
          <w:cols w:space="708"/>
          <w:docGrid w:linePitch="360"/>
        </w:sectPr>
      </w:pPr>
      <w:r>
        <w:t>Simulation has been shown to be superior to other more traditional modes of medical education, but it was unclear how to make the educational intervention address preparedness</w:t>
      </w:r>
      <w:r w:rsidR="00444B9C">
        <w:t xml:space="preserve">. Understanding </w:t>
      </w:r>
      <w:r>
        <w:t xml:space="preserve">in more detail </w:t>
      </w:r>
      <w:r w:rsidR="00B13AEF">
        <w:t xml:space="preserve">about </w:t>
      </w:r>
      <w:r>
        <w:t>where students felt less prepared fr</w:t>
      </w:r>
      <w:r w:rsidR="00444B9C">
        <w:t>o</w:t>
      </w:r>
      <w:r>
        <w:t>m the literature and these initial pre-pilot groups was important</w:t>
      </w:r>
      <w:r w:rsidR="0074289A">
        <w:t xml:space="preserve"> </w:t>
      </w:r>
      <w:r w:rsidR="00B13AEF">
        <w:fldChar w:fldCharType="begin"/>
      </w:r>
      <w:r w:rsidR="00B13AEF">
        <w:instrText xml:space="preserve"> ADDIN EN.CITE &lt;EndNote&gt;&lt;Cite&gt;&lt;Author&gt;McGaghie&lt;/Author&gt;&lt;Year&gt;2011&lt;/Year&gt;&lt;IDText&gt;Does Simulation-Based Medical Education With Deliberate Practice Yield Better Results Than Traditional Clinical Education? A Meta-Analytic Comparative Review of the Evidence&lt;/IDText&gt;&lt;DisplayText&gt;(McGaghie et al., 2011)&lt;/DisplayText&gt;&lt;record&gt;&lt;dates&gt;&lt;pub-dates&gt;&lt;date&gt;Jun&lt;/date&gt;&lt;/pub-dates&gt;&lt;year&gt;2011&lt;/year&gt;&lt;/dates&gt;&lt;urls&gt;&lt;related-urls&gt;&lt;url&gt;&amp;lt;Go to ISI&amp;gt;://WOS:000291006100018&lt;/url&gt;&lt;/related-urls&gt;&lt;/urls&gt;&lt;isbn&gt;1040-2446&lt;/isbn&gt;&lt;titles&gt;&lt;title&gt;Does Simulation-Based Medical Education With Deliberate Practice Yield Better Results Than Traditional Clinical Education? A Meta-Analytic Comparative Review of the Evidence&lt;/title&gt;&lt;secondary-title&gt;Academic Medicine&lt;/secondary-title&gt;&lt;/titles&gt;&lt;pages&gt;706-711&lt;/pages&gt;&lt;number&gt;6&lt;/number&gt;&lt;contributors&gt;&lt;authors&gt;&lt;author&gt;McGaghie, William C.&lt;/author&gt;&lt;author&gt;Issenberg, S. Barry&lt;/author&gt;&lt;author&gt;Cohen, Elaine R.&lt;/author&gt;&lt;author&gt;Barsuk, Jeffrey H.&lt;/author&gt;&lt;author&gt;Wayne, Diane B.&lt;/author&gt;&lt;/authors&gt;&lt;/contributors&gt;&lt;added-date format="utc"&gt;1390841594&lt;/added-date&gt;&lt;ref-type name="Journal Article"&gt;17&lt;/ref-type&gt;&lt;rec-number&gt;14&lt;/rec-number&gt;&lt;last-updated-date format="utc"&gt;1390843746&lt;/last-updated-date&gt;&lt;accession-num&gt;WOS:000291006100018&lt;/accession-num&gt;&lt;electronic-resource-num&gt;10.1097/ACM.0b013e318217e119&lt;/electronic-resource-num&gt;&lt;volume&gt;86&lt;/volume&gt;&lt;/record&gt;&lt;/Cite&gt;&lt;/EndNote&gt;</w:instrText>
      </w:r>
      <w:r w:rsidR="00B13AEF">
        <w:fldChar w:fldCharType="separate"/>
      </w:r>
      <w:r w:rsidR="00B13AEF">
        <w:rPr>
          <w:noProof/>
        </w:rPr>
        <w:t>(McGaghie et al., 2011)</w:t>
      </w:r>
      <w:r w:rsidR="00B13AEF">
        <w:fldChar w:fldCharType="end"/>
      </w:r>
      <w:r>
        <w:t>. These data</w:t>
      </w:r>
      <w:r w:rsidR="00444B9C">
        <w:t>,</w:t>
      </w:r>
      <w:r>
        <w:t xml:space="preserve"> </w:t>
      </w:r>
      <w:r w:rsidR="00444B9C">
        <w:t xml:space="preserve">as well as the curricula from TD document and FP curriculum, </w:t>
      </w:r>
      <w:r>
        <w:t>informed the design of scenarios</w:t>
      </w:r>
      <w:r w:rsidR="00EF0297">
        <w:t xml:space="preserve">. The design of the educational intervention is explained in the following </w:t>
      </w:r>
      <w:r w:rsidR="001D42C9">
        <w:t>Chapter</w:t>
      </w:r>
      <w:r w:rsidR="00EF0297">
        <w:t>.</w:t>
      </w:r>
    </w:p>
    <w:p w14:paraId="2156C4DD" w14:textId="13CA13AE" w:rsidR="007A3B76" w:rsidRPr="00EB254E" w:rsidRDefault="001D42C9" w:rsidP="006F09AC">
      <w:pPr>
        <w:pStyle w:val="Heading1"/>
      </w:pPr>
      <w:bookmarkStart w:id="162" w:name="_Toc343501138"/>
      <w:bookmarkStart w:id="163" w:name="_Toc348686339"/>
      <w:bookmarkStart w:id="164" w:name="_Toc419116137"/>
      <w:r>
        <w:lastRenderedPageBreak/>
        <w:t>Chapter</w:t>
      </w:r>
      <w:r w:rsidR="007A3B76">
        <w:t xml:space="preserve"> 5</w:t>
      </w:r>
      <w:r w:rsidR="007A3B76" w:rsidRPr="00EB254E">
        <w:t>: Design of intervention</w:t>
      </w:r>
      <w:bookmarkEnd w:id="162"/>
      <w:bookmarkEnd w:id="163"/>
      <w:bookmarkEnd w:id="164"/>
    </w:p>
    <w:p w14:paraId="18CB1F2A" w14:textId="77777777" w:rsidR="007A3B76" w:rsidRDefault="007A3B76" w:rsidP="007A3B76">
      <w:pPr>
        <w:rPr>
          <w:rFonts w:ascii="Calibri" w:hAnsi="Calibri" w:cs="Calibri"/>
        </w:rPr>
      </w:pPr>
      <w:r>
        <w:rPr>
          <w:noProof/>
          <w:lang w:val="en-US"/>
        </w:rPr>
        <w:drawing>
          <wp:inline distT="0" distB="0" distL="0" distR="0" wp14:anchorId="3774FA4C" wp14:editId="134490BF">
            <wp:extent cx="5008880" cy="7882890"/>
            <wp:effectExtent l="38100" t="19050" r="20320" b="22860"/>
            <wp:docPr id="69" name="Diagram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43774FAC" w14:textId="036E1DC1" w:rsidR="007A3B76" w:rsidRDefault="00A43890" w:rsidP="00CA53EB">
      <w:pPr>
        <w:pStyle w:val="Heading2"/>
      </w:pPr>
      <w:bookmarkStart w:id="165" w:name="_Toc343501139"/>
      <w:bookmarkStart w:id="166" w:name="_Toc348686340"/>
      <w:bookmarkStart w:id="167" w:name="_Toc419116138"/>
      <w:r w:rsidRPr="00A43890">
        <w:lastRenderedPageBreak/>
        <w:t>Study design</w:t>
      </w:r>
      <w:bookmarkEnd w:id="165"/>
      <w:bookmarkEnd w:id="166"/>
      <w:bookmarkEnd w:id="167"/>
    </w:p>
    <w:p w14:paraId="577DD082" w14:textId="77777777" w:rsidR="00A43890" w:rsidRPr="00A43890" w:rsidRDefault="00A43890" w:rsidP="00A43890"/>
    <w:p w14:paraId="533842EA" w14:textId="3A298367" w:rsidR="007A3B76" w:rsidRDefault="004367CF" w:rsidP="007A3B76">
      <w:pPr>
        <w:rPr>
          <w:rFonts w:cs="Arial"/>
          <w:szCs w:val="24"/>
        </w:rPr>
      </w:pPr>
      <w:r w:rsidRPr="004367CF">
        <w:rPr>
          <w:noProof/>
          <w:sz w:val="22"/>
          <w:lang w:val="en-US"/>
        </w:rPr>
        <w:drawing>
          <wp:inline distT="0" distB="0" distL="0" distR="0" wp14:anchorId="057EDC32" wp14:editId="6ED224E8">
            <wp:extent cx="4859566" cy="5471795"/>
            <wp:effectExtent l="57150" t="19050" r="55880" b="71755"/>
            <wp:docPr id="148" name="Diagram 1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306BE526" w14:textId="2667071B" w:rsidR="007A3B76" w:rsidRDefault="00903960" w:rsidP="007A3B76">
      <w:pPr>
        <w:rPr>
          <w:rFonts w:cs="Arial"/>
          <w:szCs w:val="24"/>
        </w:rPr>
      </w:pPr>
      <w:r>
        <w:rPr>
          <w:rFonts w:cs="Arial"/>
          <w:szCs w:val="24"/>
        </w:rPr>
        <w:t>T</w:t>
      </w:r>
      <w:r w:rsidR="007A3B76">
        <w:rPr>
          <w:rFonts w:cs="Arial"/>
          <w:szCs w:val="24"/>
        </w:rPr>
        <w:t>he literature review</w:t>
      </w:r>
      <w:r>
        <w:rPr>
          <w:rFonts w:cs="Arial"/>
          <w:szCs w:val="24"/>
        </w:rPr>
        <w:t xml:space="preserve">, </w:t>
      </w:r>
      <w:r w:rsidR="007A3B76">
        <w:rPr>
          <w:rFonts w:cs="Arial"/>
          <w:szCs w:val="24"/>
        </w:rPr>
        <w:t>research question</w:t>
      </w:r>
      <w:r w:rsidR="00A36BB6">
        <w:rPr>
          <w:rFonts w:cs="Arial"/>
          <w:szCs w:val="24"/>
        </w:rPr>
        <w:t>,</w:t>
      </w:r>
      <w:r w:rsidR="007A3B76">
        <w:rPr>
          <w:rFonts w:cs="Arial"/>
          <w:szCs w:val="24"/>
        </w:rPr>
        <w:t xml:space="preserve"> </w:t>
      </w:r>
      <w:r w:rsidR="00173DE4">
        <w:rPr>
          <w:rFonts w:cs="Arial"/>
          <w:szCs w:val="24"/>
        </w:rPr>
        <w:t>focus group</w:t>
      </w:r>
      <w:r>
        <w:rPr>
          <w:rFonts w:cs="Arial"/>
          <w:szCs w:val="24"/>
        </w:rPr>
        <w:t xml:space="preserve"> outcomes (</w:t>
      </w:r>
      <w:r w:rsidR="001D42C9">
        <w:rPr>
          <w:rFonts w:cs="Arial"/>
          <w:szCs w:val="24"/>
        </w:rPr>
        <w:t>Chapter</w:t>
      </w:r>
      <w:r>
        <w:rPr>
          <w:rFonts w:cs="Arial"/>
          <w:szCs w:val="24"/>
        </w:rPr>
        <w:t xml:space="preserve"> 4)</w:t>
      </w:r>
      <w:r w:rsidR="00A36BB6">
        <w:rPr>
          <w:rFonts w:cs="Arial"/>
          <w:szCs w:val="24"/>
        </w:rPr>
        <w:t xml:space="preserve"> and educational theory for SBME,</w:t>
      </w:r>
      <w:r>
        <w:rPr>
          <w:rFonts w:cs="Arial"/>
          <w:szCs w:val="24"/>
        </w:rPr>
        <w:t xml:space="preserve"> informed the intervention design</w:t>
      </w:r>
      <w:r w:rsidR="007A3B76">
        <w:rPr>
          <w:rFonts w:cs="Arial"/>
          <w:szCs w:val="24"/>
        </w:rPr>
        <w:t xml:space="preserve">. Course design began with a gap analysis and ensuring learning outcomes were mapped to </w:t>
      </w:r>
      <w:r w:rsidR="006816C1">
        <w:rPr>
          <w:rFonts w:cs="Arial"/>
          <w:szCs w:val="24"/>
        </w:rPr>
        <w:t>Tomorrow’s Doctors (2016)</w:t>
      </w:r>
      <w:r w:rsidR="007A3B76">
        <w:rPr>
          <w:rFonts w:cs="Arial"/>
          <w:szCs w:val="24"/>
        </w:rPr>
        <w:t xml:space="preserve"> and the Foundation Programme curriculum (www.foundationprogramme.nhs.uk). </w:t>
      </w:r>
      <w:r w:rsidR="002938BF">
        <w:rPr>
          <w:rFonts w:cs="Arial"/>
          <w:szCs w:val="24"/>
        </w:rPr>
        <w:t xml:space="preserve">Focus group data and analysis informed assessment measures such as self-rated confidence as a surrogate marker for </w:t>
      </w:r>
      <w:r w:rsidR="002938BF">
        <w:rPr>
          <w:rFonts w:cs="Arial"/>
          <w:szCs w:val="24"/>
        </w:rPr>
        <w:lastRenderedPageBreak/>
        <w:t>preparedness (C</w:t>
      </w:r>
      <w:r w:rsidR="001B0DE1">
        <w:rPr>
          <w:rFonts w:cs="Arial"/>
          <w:szCs w:val="24"/>
        </w:rPr>
        <w:t>hapter 4) (Appendix 13</w:t>
      </w:r>
      <w:r w:rsidR="002938BF">
        <w:rPr>
          <w:rFonts w:cs="Arial"/>
          <w:szCs w:val="24"/>
        </w:rPr>
        <w:t xml:space="preserve">.13). A formative assessment tool mapped to the learning outcomes and the above curricula was developed for </w:t>
      </w:r>
      <w:r w:rsidR="001B0DE1">
        <w:rPr>
          <w:rFonts w:cs="Arial"/>
          <w:szCs w:val="24"/>
        </w:rPr>
        <w:t>each core domain (Appendix 13</w:t>
      </w:r>
      <w:r w:rsidR="002938BF">
        <w:rPr>
          <w:rFonts w:cs="Arial"/>
          <w:szCs w:val="24"/>
        </w:rPr>
        <w:t xml:space="preserve">.14). </w:t>
      </w:r>
    </w:p>
    <w:p w14:paraId="3642A9FD" w14:textId="0034E480" w:rsidR="007A3B76" w:rsidRDefault="007A3B76" w:rsidP="007A3B76">
      <w:pPr>
        <w:rPr>
          <w:rFonts w:cs="Arial"/>
          <w:szCs w:val="24"/>
        </w:rPr>
      </w:pPr>
      <w:r>
        <w:rPr>
          <w:rFonts w:cs="Arial"/>
          <w:szCs w:val="24"/>
        </w:rPr>
        <w:t>A group of clinical undergraduate educational leads helped to design and develop the assessments for the simulation</w:t>
      </w:r>
      <w:r w:rsidR="00685655">
        <w:rPr>
          <w:rFonts w:cs="Arial"/>
          <w:szCs w:val="24"/>
        </w:rPr>
        <w:t>-</w:t>
      </w:r>
      <w:r>
        <w:rPr>
          <w:rFonts w:cs="Arial"/>
          <w:szCs w:val="24"/>
        </w:rPr>
        <w:t xml:space="preserve">based </w:t>
      </w:r>
      <w:r w:rsidR="00511ED1">
        <w:rPr>
          <w:rFonts w:cs="Arial"/>
          <w:szCs w:val="24"/>
        </w:rPr>
        <w:t>intervention, which</w:t>
      </w:r>
      <w:r w:rsidR="00213715">
        <w:rPr>
          <w:rFonts w:cs="Arial"/>
          <w:szCs w:val="24"/>
        </w:rPr>
        <w:t xml:space="preserve"> were validated</w:t>
      </w:r>
      <w:r>
        <w:rPr>
          <w:rFonts w:cs="Arial"/>
          <w:szCs w:val="24"/>
        </w:rPr>
        <w:t xml:space="preserve">.  Confidence scores relating to 20 </w:t>
      </w:r>
      <w:r w:rsidR="002568B6">
        <w:rPr>
          <w:rFonts w:cs="Arial"/>
          <w:szCs w:val="24"/>
        </w:rPr>
        <w:t>curriculum-mapped</w:t>
      </w:r>
      <w:r>
        <w:rPr>
          <w:rFonts w:cs="Arial"/>
          <w:szCs w:val="24"/>
        </w:rPr>
        <w:t xml:space="preserve"> outcomes were collected from </w:t>
      </w:r>
      <w:r w:rsidR="00D6777D">
        <w:rPr>
          <w:rFonts w:cs="Arial"/>
          <w:szCs w:val="24"/>
        </w:rPr>
        <w:t>c</w:t>
      </w:r>
      <w:r w:rsidR="005F705F">
        <w:rPr>
          <w:rFonts w:cs="Arial"/>
          <w:szCs w:val="24"/>
        </w:rPr>
        <w:t>andidate</w:t>
      </w:r>
      <w:r>
        <w:rPr>
          <w:rFonts w:cs="Arial"/>
          <w:szCs w:val="24"/>
        </w:rPr>
        <w:t xml:space="preserve">s </w:t>
      </w:r>
      <w:r w:rsidR="001D42C9">
        <w:rPr>
          <w:rFonts w:cs="Arial"/>
          <w:szCs w:val="24"/>
        </w:rPr>
        <w:t>pre-course</w:t>
      </w:r>
      <w:r>
        <w:rPr>
          <w:rFonts w:cs="Arial"/>
          <w:szCs w:val="24"/>
        </w:rPr>
        <w:t xml:space="preserve">, </w:t>
      </w:r>
      <w:r w:rsidR="00A36BB6">
        <w:rPr>
          <w:rFonts w:cs="Arial"/>
          <w:szCs w:val="24"/>
        </w:rPr>
        <w:t xml:space="preserve">immediately </w:t>
      </w:r>
      <w:r w:rsidR="001D42C9">
        <w:rPr>
          <w:rFonts w:cs="Arial"/>
          <w:szCs w:val="24"/>
        </w:rPr>
        <w:t>post-course</w:t>
      </w:r>
      <w:r w:rsidR="00685655">
        <w:rPr>
          <w:rFonts w:cs="Arial"/>
          <w:szCs w:val="24"/>
        </w:rPr>
        <w:t>,</w:t>
      </w:r>
      <w:r>
        <w:rPr>
          <w:rFonts w:cs="Arial"/>
          <w:szCs w:val="24"/>
        </w:rPr>
        <w:t xml:space="preserve"> then at 12 weeks. At this point a control group who had not been involved in the simulation course </w:t>
      </w:r>
      <w:r w:rsidR="00213715">
        <w:rPr>
          <w:rFonts w:cs="Arial"/>
          <w:szCs w:val="24"/>
        </w:rPr>
        <w:t xml:space="preserve">performed the same </w:t>
      </w:r>
      <w:r>
        <w:rPr>
          <w:rFonts w:cs="Arial"/>
          <w:szCs w:val="24"/>
        </w:rPr>
        <w:t>confidence</w:t>
      </w:r>
      <w:r w:rsidR="00213715">
        <w:rPr>
          <w:rFonts w:cs="Arial"/>
          <w:szCs w:val="24"/>
        </w:rPr>
        <w:t xml:space="preserve"> rating</w:t>
      </w:r>
      <w:r>
        <w:rPr>
          <w:rFonts w:cs="Arial"/>
          <w:szCs w:val="24"/>
        </w:rPr>
        <w:t xml:space="preserve">.  These were then compared. This formed the pilot data </w:t>
      </w:r>
      <w:r w:rsidR="00213715">
        <w:rPr>
          <w:rFonts w:cs="Arial"/>
          <w:szCs w:val="24"/>
        </w:rPr>
        <w:t xml:space="preserve">and allowed a power calculation for the final intervention study. </w:t>
      </w:r>
      <w:r>
        <w:rPr>
          <w:rFonts w:cs="Arial"/>
          <w:szCs w:val="24"/>
        </w:rPr>
        <w:t xml:space="preserve">Feedback </w:t>
      </w:r>
      <w:r w:rsidR="00213715">
        <w:rPr>
          <w:rFonts w:cs="Arial"/>
          <w:szCs w:val="24"/>
        </w:rPr>
        <w:t xml:space="preserve">from students and educators </w:t>
      </w:r>
      <w:r>
        <w:rPr>
          <w:rFonts w:cs="Arial"/>
          <w:szCs w:val="24"/>
        </w:rPr>
        <w:t>was acted upon and the completed course refined for the final intervention study.</w:t>
      </w:r>
    </w:p>
    <w:p w14:paraId="3365399A" w14:textId="04A52313" w:rsidR="007A3B76" w:rsidRDefault="007A3B76" w:rsidP="00CA53EB">
      <w:pPr>
        <w:pStyle w:val="Heading2"/>
      </w:pPr>
      <w:bookmarkStart w:id="168" w:name="_Toc343501140"/>
      <w:bookmarkStart w:id="169" w:name="_Toc348686341"/>
      <w:bookmarkStart w:id="170" w:name="_Toc419116139"/>
      <w:r>
        <w:t>Educational theory</w:t>
      </w:r>
      <w:r w:rsidR="00C828DE">
        <w:t xml:space="preserve"> related to </w:t>
      </w:r>
      <w:r w:rsidR="00685655">
        <w:t>Simulation-</w:t>
      </w:r>
      <w:r w:rsidR="00C828DE">
        <w:t>Based Medical Education</w:t>
      </w:r>
      <w:bookmarkEnd w:id="168"/>
      <w:bookmarkEnd w:id="169"/>
      <w:r w:rsidR="00685655">
        <w:t xml:space="preserve"> (SBME)</w:t>
      </w:r>
      <w:bookmarkEnd w:id="170"/>
    </w:p>
    <w:p w14:paraId="4D5F91ED" w14:textId="77777777" w:rsidR="007A3B76" w:rsidRDefault="007A3B76" w:rsidP="007A3B76"/>
    <w:p w14:paraId="262DB04B" w14:textId="60091C7D" w:rsidR="007A3B76" w:rsidRDefault="007A3B76" w:rsidP="007A3B76">
      <w:pPr>
        <w:rPr>
          <w:rFonts w:cs="Arial"/>
          <w:szCs w:val="24"/>
        </w:rPr>
      </w:pPr>
      <w:r>
        <w:rPr>
          <w:rFonts w:cs="Arial"/>
          <w:szCs w:val="24"/>
        </w:rPr>
        <w:t xml:space="preserve">The rationale for </w:t>
      </w:r>
      <w:r w:rsidR="00337A7E">
        <w:rPr>
          <w:rFonts w:cs="Arial"/>
          <w:szCs w:val="24"/>
        </w:rPr>
        <w:t>using</w:t>
      </w:r>
      <w:r>
        <w:rPr>
          <w:rFonts w:cs="Arial"/>
          <w:szCs w:val="24"/>
        </w:rPr>
        <w:t xml:space="preserve"> simulation and this overall approach</w:t>
      </w:r>
      <w:r w:rsidR="00A36BB6">
        <w:rPr>
          <w:rFonts w:cs="Arial"/>
          <w:szCs w:val="24"/>
        </w:rPr>
        <w:t xml:space="preserve"> to support preparedness</w:t>
      </w:r>
      <w:r>
        <w:rPr>
          <w:rFonts w:cs="Arial"/>
          <w:szCs w:val="24"/>
        </w:rPr>
        <w:t xml:space="preserve"> is informed by the educational literature</w:t>
      </w:r>
      <w:r w:rsidR="00143C0B">
        <w:rPr>
          <w:rFonts w:cs="Arial"/>
          <w:szCs w:val="24"/>
        </w:rPr>
        <w:t xml:space="preserve">. </w:t>
      </w:r>
      <w:r>
        <w:rPr>
          <w:rFonts w:cs="Arial"/>
          <w:szCs w:val="24"/>
        </w:rPr>
        <w:t xml:space="preserve">Students tend to remember ‘90% of what they do and 10% of what they read’ </w:t>
      </w:r>
      <w:r>
        <w:rPr>
          <w:rFonts w:cs="Arial"/>
          <w:szCs w:val="24"/>
        </w:rPr>
        <w:fldChar w:fldCharType="begin"/>
      </w:r>
      <w:r w:rsidR="00D41659">
        <w:rPr>
          <w:rFonts w:cs="Arial"/>
          <w:szCs w:val="24"/>
        </w:rPr>
        <w:instrText xml:space="preserve"> ADDIN EN.CITE &lt;EndNote&gt;&lt;Cite&gt;&lt;Author&gt;Croley&lt;/Author&gt;&lt;Year&gt;2007&lt;/Year&gt;&lt;IDText&gt;Education of trainees in the intensive care unit&lt;/IDText&gt;&lt;DisplayText&gt;(Croley and Rothenberg, 2007)&lt;/DisplayText&gt;&lt;record&gt;&lt;dates&gt;&lt;pub-dates&gt;&lt;date&gt;Feb&lt;/date&gt;&lt;/pub-dates&gt;&lt;year&gt;2007&lt;/year&gt;&lt;/dates&gt;&lt;isbn&gt;0090-3493&lt;/isbn&gt;&lt;titles&gt;&lt;title&gt;Education of trainees in the intensive care unit&lt;/title&gt;&lt;secondary-title&gt;Critical Care Medicine&lt;/secondary-title&gt;&lt;/titles&gt;&lt;pages&gt;S117-S121&lt;/pages&gt;&lt;number&gt;2&lt;/number&gt;&lt;contributors&gt;&lt;authors&gt;&lt;author&gt;Croley, W. Christopher&lt;/author&gt;&lt;author&gt;Rothenberg, David M.&lt;/author&gt;&lt;/authors&gt;&lt;/contributors&gt;&lt;added-date format="utc"&gt;1391167493&lt;/added-date&gt;&lt;ref-type name="Journal Article"&gt;17&lt;/ref-type&gt;&lt;rec-number&gt;69&lt;/rec-number&gt;&lt;last-updated-date format="utc"&gt;1391171448&lt;/last-updated-date&gt;&lt;accession-num&gt;WOS:000243844900015&lt;/accession-num&gt;&lt;electronic-resource-num&gt;10.1097/01.ccm.0000252917.25301.18&lt;/electronic-resource-num&gt;&lt;volume&gt;35&lt;/volume&gt;&lt;/record&gt;&lt;/Cite&gt;&lt;Cite&gt;&lt;Author&gt;Croley&lt;/Author&gt;&lt;Year&gt;2007&lt;/Year&gt;&lt;IDText&gt;Education of trainees in the intensive care unit&lt;/IDText&gt;&lt;record&gt;&lt;dates&gt;&lt;pub-dates&gt;&lt;date&gt;Feb&lt;/date&gt;&lt;/pub-dates&gt;&lt;year&gt;2007&lt;/year&gt;&lt;/dates&gt;&lt;urls&gt;&lt;related-urls&gt;&lt;url&gt;&amp;lt;Go to ISI&amp;gt;://WOS:000243844900015&lt;/url&gt;&lt;/related-urls&gt;&lt;/urls&gt;&lt;isbn&gt;0090-3493&lt;/isbn&gt;&lt;titles&gt;&lt;title&gt;Education of trainees in the intensive care unit&lt;/title&gt;&lt;secondary-title&gt;Critical Care Medicine&lt;/secondary-title&gt;&lt;/titles&gt;&lt;pages&gt;S117-S121&lt;/pages&gt;&lt;number&gt;2&lt;/number&gt;&lt;contributors&gt;&lt;authors&gt;&lt;author&gt;Croley, W. Christopher&lt;/author&gt;&lt;author&gt;Rothenberg, David M.&lt;/author&gt;&lt;/authors&gt;&lt;/contributors&gt;&lt;added-date format="utc"&gt;1391167493&lt;/added-date&gt;&lt;ref-type name="Journal Article"&gt;17&lt;/ref-type&gt;&lt;rec-number&gt;69&lt;/rec-number&gt;&lt;last-updated-date format="utc"&gt;1391171448&lt;/last-updated-date&gt;&lt;accession-num&gt;WOS:000243844900015&lt;/accession-num&gt;&lt;electronic-resource-num&gt;10.1097/01.ccm.0000252917.25301.18&lt;/electronic-resource-num&gt;&lt;volume&gt;35&lt;/volume&gt;&lt;/record&gt;&lt;/Cite&gt;&lt;/EndNote&gt;</w:instrText>
      </w:r>
      <w:r>
        <w:rPr>
          <w:rFonts w:cs="Arial"/>
          <w:szCs w:val="24"/>
        </w:rPr>
        <w:fldChar w:fldCharType="separate"/>
      </w:r>
      <w:r>
        <w:rPr>
          <w:rFonts w:cs="Arial"/>
          <w:noProof/>
          <w:szCs w:val="24"/>
        </w:rPr>
        <w:t>(Croley and Rothenberg, 2007)</w:t>
      </w:r>
      <w:r>
        <w:rPr>
          <w:rFonts w:cs="Arial"/>
          <w:szCs w:val="24"/>
        </w:rPr>
        <w:fldChar w:fldCharType="end"/>
      </w:r>
      <w:r>
        <w:rPr>
          <w:rFonts w:cs="Arial"/>
          <w:szCs w:val="24"/>
        </w:rPr>
        <w:t>. This supports simulation as a practical method for learning and fits with the experiential learning cycle descr</w:t>
      </w:r>
      <w:r w:rsidR="001B0DE1">
        <w:rPr>
          <w:rFonts w:cs="Arial"/>
          <w:szCs w:val="24"/>
        </w:rPr>
        <w:t>ibed by Kolb (1984) (Appendix 13</w:t>
      </w:r>
      <w:r>
        <w:rPr>
          <w:rFonts w:cs="Arial"/>
          <w:szCs w:val="24"/>
        </w:rPr>
        <w:t>.2).  This model describes that experience</w:t>
      </w:r>
      <w:r w:rsidR="00C828DE">
        <w:rPr>
          <w:rFonts w:cs="Arial"/>
          <w:szCs w:val="24"/>
        </w:rPr>
        <w:t>s provide</w:t>
      </w:r>
      <w:r>
        <w:rPr>
          <w:rFonts w:cs="Arial"/>
          <w:szCs w:val="24"/>
        </w:rPr>
        <w:t xml:space="preserve"> opportunity for reflective practice, ‘active experimentation’</w:t>
      </w:r>
      <w:r w:rsidR="00685655">
        <w:rPr>
          <w:rFonts w:cs="Arial"/>
          <w:szCs w:val="24"/>
        </w:rPr>
        <w:t>,</w:t>
      </w:r>
      <w:r>
        <w:rPr>
          <w:rFonts w:cs="Arial"/>
          <w:szCs w:val="24"/>
        </w:rPr>
        <w:t xml:space="preserve"> and then opportunity to correct or consolidate beliefs and understandings. It </w:t>
      </w:r>
      <w:r w:rsidR="00F51608">
        <w:rPr>
          <w:rFonts w:cs="Arial"/>
          <w:szCs w:val="24"/>
        </w:rPr>
        <w:t xml:space="preserve">describes </w:t>
      </w:r>
      <w:r>
        <w:rPr>
          <w:rFonts w:cs="Arial"/>
          <w:szCs w:val="24"/>
        </w:rPr>
        <w:t>opportunity to re-experience the situation</w:t>
      </w:r>
      <w:r w:rsidR="00F51608">
        <w:rPr>
          <w:rFonts w:cs="Arial"/>
          <w:szCs w:val="24"/>
        </w:rPr>
        <w:t>,</w:t>
      </w:r>
      <w:r>
        <w:rPr>
          <w:rFonts w:cs="Arial"/>
          <w:szCs w:val="24"/>
        </w:rPr>
        <w:t xml:space="preserve"> to build on skills and put new learned concepts </w:t>
      </w:r>
      <w:r w:rsidR="000A27DF">
        <w:rPr>
          <w:rFonts w:cs="Arial"/>
          <w:szCs w:val="24"/>
        </w:rPr>
        <w:t>into</w:t>
      </w:r>
      <w:r>
        <w:rPr>
          <w:rFonts w:cs="Arial"/>
          <w:szCs w:val="24"/>
        </w:rPr>
        <w:t xml:space="preserve"> practice</w:t>
      </w:r>
      <w:r w:rsidR="00F51608">
        <w:rPr>
          <w:rFonts w:cs="Arial"/>
          <w:szCs w:val="24"/>
        </w:rPr>
        <w:t>, before</w:t>
      </w:r>
      <w:r>
        <w:rPr>
          <w:rFonts w:cs="Arial"/>
          <w:szCs w:val="24"/>
        </w:rPr>
        <w:t xml:space="preserve"> </w:t>
      </w:r>
      <w:r>
        <w:rPr>
          <w:rFonts w:cs="Arial"/>
          <w:szCs w:val="24"/>
        </w:rPr>
        <w:lastRenderedPageBreak/>
        <w:t xml:space="preserve">beginning the process again. This model is </w:t>
      </w:r>
      <w:r w:rsidR="00337A7E">
        <w:rPr>
          <w:rFonts w:cs="Arial"/>
          <w:szCs w:val="24"/>
        </w:rPr>
        <w:t>used</w:t>
      </w:r>
      <w:r>
        <w:rPr>
          <w:rFonts w:cs="Arial"/>
          <w:szCs w:val="24"/>
        </w:rPr>
        <w:t xml:space="preserve"> when teaching </w:t>
      </w:r>
      <w:r w:rsidR="00143C0B">
        <w:rPr>
          <w:rFonts w:cs="Arial"/>
          <w:szCs w:val="24"/>
        </w:rPr>
        <w:t xml:space="preserve">faculty </w:t>
      </w:r>
      <w:r>
        <w:rPr>
          <w:rFonts w:cs="Arial"/>
          <w:szCs w:val="24"/>
        </w:rPr>
        <w:t xml:space="preserve">about simulation but </w:t>
      </w:r>
      <w:r w:rsidR="00F51608">
        <w:rPr>
          <w:rFonts w:cs="Arial"/>
          <w:szCs w:val="24"/>
        </w:rPr>
        <w:t xml:space="preserve">includes </w:t>
      </w:r>
      <w:r>
        <w:rPr>
          <w:rFonts w:cs="Arial"/>
          <w:szCs w:val="24"/>
        </w:rPr>
        <w:t>the importance of a facilitated debrief as part of the reflective process to allow tutor input and exploration. The opportunity for active experimentation in a safe environment is safe for patients and for learners.</w:t>
      </w:r>
    </w:p>
    <w:p w14:paraId="41D0F3E7" w14:textId="0C087FF7" w:rsidR="007A3B76" w:rsidRDefault="007A3B76" w:rsidP="007A3B76">
      <w:pPr>
        <w:rPr>
          <w:rFonts w:cs="Arial"/>
          <w:szCs w:val="24"/>
        </w:rPr>
      </w:pPr>
      <w:r>
        <w:rPr>
          <w:rFonts w:cs="Arial"/>
          <w:szCs w:val="24"/>
        </w:rPr>
        <w:t xml:space="preserve">Reflective learning is another theoretical educational construct that fits with simulation. </w:t>
      </w:r>
      <w:r w:rsidR="00F91EAB">
        <w:rPr>
          <w:rFonts w:cs="Arial"/>
          <w:szCs w:val="24"/>
        </w:rPr>
        <w:t>Schön</w:t>
      </w:r>
      <w:r>
        <w:rPr>
          <w:rFonts w:cs="Arial"/>
          <w:szCs w:val="24"/>
        </w:rPr>
        <w:t xml:space="preserve"> </w:t>
      </w:r>
      <w:r w:rsidR="008B7E49">
        <w:rPr>
          <w:rFonts w:cs="Arial"/>
          <w:szCs w:val="24"/>
        </w:rPr>
        <w:t xml:space="preserve">(1983) </w:t>
      </w:r>
      <w:r>
        <w:rPr>
          <w:rFonts w:cs="Arial"/>
          <w:szCs w:val="24"/>
        </w:rPr>
        <w:t xml:space="preserve">describes reflection ‘in-action’ and </w:t>
      </w:r>
      <w:r w:rsidR="00685655">
        <w:rPr>
          <w:rFonts w:cs="Arial"/>
          <w:szCs w:val="24"/>
        </w:rPr>
        <w:t>‘</w:t>
      </w:r>
      <w:r>
        <w:rPr>
          <w:rFonts w:cs="Arial"/>
          <w:szCs w:val="24"/>
        </w:rPr>
        <w:t>on-action</w:t>
      </w:r>
      <w:r w:rsidR="00685655">
        <w:rPr>
          <w:rFonts w:cs="Arial"/>
          <w:szCs w:val="24"/>
        </w:rPr>
        <w:t>’</w:t>
      </w:r>
      <w:r>
        <w:rPr>
          <w:rFonts w:cs="Arial"/>
          <w:szCs w:val="24"/>
        </w:rPr>
        <w:t>, referring to exploring thoughts and feelings during and then following an experience respectively</w:t>
      </w:r>
      <w:r w:rsidR="008B7E49">
        <w:rPr>
          <w:rFonts w:cs="Arial"/>
          <w:szCs w:val="24"/>
        </w:rPr>
        <w:t>. R</w:t>
      </w:r>
      <w:r>
        <w:rPr>
          <w:rFonts w:cs="Arial"/>
          <w:szCs w:val="24"/>
        </w:rPr>
        <w:t>eflecting post event allows more time and space to consider behaviour</w:t>
      </w:r>
      <w:r w:rsidR="00F14D16">
        <w:rPr>
          <w:rFonts w:cs="Arial"/>
          <w:szCs w:val="24"/>
        </w:rPr>
        <w:t>,</w:t>
      </w:r>
      <w:r>
        <w:rPr>
          <w:rFonts w:cs="Arial"/>
          <w:szCs w:val="24"/>
        </w:rPr>
        <w:t xml:space="preserve"> decision-making and consequences</w:t>
      </w:r>
      <w:r w:rsidR="00F14D16">
        <w:rPr>
          <w:rFonts w:cs="Arial"/>
          <w:szCs w:val="24"/>
        </w:rPr>
        <w:t>, where as in-</w:t>
      </w:r>
      <w:r>
        <w:rPr>
          <w:rFonts w:cs="Arial"/>
          <w:szCs w:val="24"/>
        </w:rPr>
        <w:t xml:space="preserve">action is more direct and intuitive. </w:t>
      </w:r>
      <w:r w:rsidR="00F91EAB">
        <w:rPr>
          <w:rFonts w:cs="Arial"/>
          <w:szCs w:val="24"/>
        </w:rPr>
        <w:t>Schön</w:t>
      </w:r>
      <w:r>
        <w:rPr>
          <w:rFonts w:cs="Arial"/>
          <w:szCs w:val="24"/>
        </w:rPr>
        <w:t xml:space="preserve"> </w:t>
      </w:r>
      <w:r w:rsidR="008B7E49">
        <w:rPr>
          <w:rFonts w:cs="Arial"/>
          <w:szCs w:val="24"/>
        </w:rPr>
        <w:t xml:space="preserve">(1983) </w:t>
      </w:r>
      <w:r>
        <w:rPr>
          <w:rFonts w:cs="Arial"/>
          <w:szCs w:val="24"/>
        </w:rPr>
        <w:t>challenges the view that ‘formal theoretical knowledge’ contributes little to supporting the management of ‘messy, indeterminate problems of real life’</w:t>
      </w:r>
      <w:r w:rsidR="008B7E49">
        <w:rPr>
          <w:rFonts w:cs="Arial"/>
          <w:szCs w:val="24"/>
        </w:rPr>
        <w:t xml:space="preserve"> </w:t>
      </w:r>
      <w:r w:rsidR="008B7E49">
        <w:rPr>
          <w:rFonts w:cs="Arial"/>
          <w:szCs w:val="24"/>
        </w:rPr>
        <w:fldChar w:fldCharType="begin"/>
      </w:r>
      <w:r w:rsidR="008B7E49">
        <w:rPr>
          <w:rFonts w:cs="Arial"/>
          <w:szCs w:val="24"/>
        </w:rPr>
        <w:instrText xml:space="preserve"> ADDIN EN.CITE &lt;EndNote&gt;&lt;Cite&gt;&lt;Author&gt;Schön&lt;/Author&gt;&lt;Year&gt;1983&lt;/Year&gt;&lt;IDText&gt;The Reflective Practitioner&lt;/IDText&gt;&lt;DisplayText&gt;(Schön, 1983)&lt;/DisplayText&gt;&lt;record&gt;&lt;titles&gt;&lt;title&gt;The Reflective Practitioner&lt;/title&gt;&lt;/titles&gt;&lt;contributors&gt;&lt;authors&gt;&lt;author&gt;Schön, D&lt;/author&gt;&lt;/authors&gt;&lt;/contributors&gt;&lt;added-date format="utc"&gt;1459258081&lt;/added-date&gt;&lt;pub-location&gt;New York&lt;/pub-location&gt;&lt;ref-type name="Book"&gt;6&lt;/ref-type&gt;&lt;dates&gt;&lt;year&gt;1983&lt;/year&gt;&lt;/dates&gt;&lt;rec-number&gt;239&lt;/rec-number&gt;&lt;publisher&gt;Basic Books&lt;/publisher&gt;&lt;last-updated-date format="utc"&gt;1505899028&lt;/last-updated-date&gt;&lt;/record&gt;&lt;/Cite&gt;&lt;/EndNote&gt;</w:instrText>
      </w:r>
      <w:r w:rsidR="008B7E49">
        <w:rPr>
          <w:rFonts w:cs="Arial"/>
          <w:szCs w:val="24"/>
        </w:rPr>
        <w:fldChar w:fldCharType="separate"/>
      </w:r>
      <w:r w:rsidR="008B7E49">
        <w:rPr>
          <w:rFonts w:cs="Arial"/>
          <w:noProof/>
          <w:szCs w:val="24"/>
        </w:rPr>
        <w:t>(Schön, 1983)</w:t>
      </w:r>
      <w:r w:rsidR="008B7E49">
        <w:rPr>
          <w:rFonts w:cs="Arial"/>
          <w:szCs w:val="24"/>
        </w:rPr>
        <w:fldChar w:fldCharType="end"/>
      </w:r>
      <w:r w:rsidR="008B7E49">
        <w:rPr>
          <w:rFonts w:cs="Arial"/>
          <w:szCs w:val="24"/>
        </w:rPr>
        <w:t xml:space="preserve">. </w:t>
      </w:r>
      <w:r>
        <w:rPr>
          <w:rFonts w:cs="Arial"/>
          <w:szCs w:val="24"/>
        </w:rPr>
        <w:t>Simulation certainly allows this and the importance of developing refle</w:t>
      </w:r>
      <w:r w:rsidR="00685655">
        <w:rPr>
          <w:rFonts w:cs="Arial"/>
          <w:szCs w:val="24"/>
        </w:rPr>
        <w:t>ctive practice to support ‘self-</w:t>
      </w:r>
      <w:r>
        <w:rPr>
          <w:rFonts w:cs="Arial"/>
          <w:szCs w:val="24"/>
        </w:rPr>
        <w:t>efficacy’, a ‘</w:t>
      </w:r>
      <w:r w:rsidR="00CD658D">
        <w:rPr>
          <w:rFonts w:cs="Arial"/>
          <w:szCs w:val="24"/>
        </w:rPr>
        <w:t>self-assessment</w:t>
      </w:r>
      <w:r>
        <w:rPr>
          <w:rFonts w:cs="Arial"/>
          <w:szCs w:val="24"/>
        </w:rPr>
        <w:t xml:space="preserve"> of ability’ to complete a task</w:t>
      </w:r>
      <w:r w:rsidR="009104A9">
        <w:rPr>
          <w:rFonts w:cs="Arial"/>
          <w:szCs w:val="24"/>
        </w:rPr>
        <w:t xml:space="preserve"> has been emphasised </w:t>
      </w:r>
      <w:r w:rsidR="009104A9">
        <w:rPr>
          <w:rFonts w:cs="Arial"/>
          <w:szCs w:val="24"/>
        </w:rPr>
        <w:fldChar w:fldCharType="begin"/>
      </w:r>
      <w:r w:rsidR="009104A9">
        <w:rPr>
          <w:rFonts w:cs="Arial"/>
          <w:szCs w:val="24"/>
        </w:rPr>
        <w:instrText xml:space="preserve"> ADDIN EN.CITE &lt;EndNote&gt;&lt;Cite&gt;&lt;Author&gt;Bandura&lt;/Author&gt;&lt;Year&gt;1977&lt;/Year&gt;&lt;IDText&gt;Cognitive processes mediating behavioral change&lt;/IDText&gt;&lt;DisplayText&gt;(Bandura et al., 1977)&lt;/DisplayText&gt;&lt;record&gt;&lt;dates&gt;&lt;pub-dates&gt;&lt;date&gt;Mar&lt;/date&gt;&lt;/pub-dates&gt;&lt;year&gt;1977&lt;/year&gt;&lt;/dates&gt;&lt;keywords&gt;&lt;keyword&gt;Adolescent&lt;/keyword&gt;&lt;keyword&gt;Adult&lt;/keyword&gt;&lt;keyword&gt;Arousal&lt;/keyword&gt;&lt;keyword&gt;Behavior Therapy&lt;/keyword&gt;&lt;keyword&gt;Cognition&lt;/keyword&gt;&lt;keyword&gt;Desensitization, Psychologic&lt;/keyword&gt;&lt;keyword&gt;Female&lt;/keyword&gt;&lt;keyword&gt;Follow-Up Studies&lt;/keyword&gt;&lt;keyword&gt;Generalization (Psychology)&lt;/keyword&gt;&lt;keyword&gt;Humans&lt;/keyword&gt;&lt;keyword&gt;Imitative Behavior&lt;/keyword&gt;&lt;keyword&gt;Male&lt;/keyword&gt;&lt;keyword&gt;Middle Aged&lt;/keyword&gt;&lt;keyword&gt;Phobic Disorders&lt;/keyword&gt;&lt;keyword&gt;Self Concept&lt;/keyword&gt;&lt;keyword&gt;Self-Assessment&lt;/keyword&gt;&lt;/keywords&gt;&lt;urls&gt;&lt;related-urls&gt;&lt;url&gt;http://www.ncbi.nlm.nih.gov/pubmed/15093&lt;/url&gt;&lt;/related-urls&gt;&lt;/urls&gt;&lt;isbn&gt;0022-3514&lt;/isbn&gt;&lt;titles&gt;&lt;title&gt;Cognitive processes mediating behavioral change&lt;/title&gt;&lt;secondary-title&gt;J Pers Soc Psychol&lt;/secondary-title&gt;&lt;/titles&gt;&lt;pages&gt;125-39&lt;/pages&gt;&lt;number&gt;3&lt;/number&gt;&lt;contributors&gt;&lt;authors&gt;&lt;author&gt;Bandura, A.&lt;/author&gt;&lt;author&gt;Adams, N. E.&lt;/author&gt;&lt;author&gt;Beyer, J.&lt;/author&gt;&lt;/authors&gt;&lt;/contributors&gt;&lt;language&gt;eng&lt;/language&gt;&lt;added-date format="utc"&gt;1457009314&lt;/added-date&gt;&lt;ref-type name="Journal Article"&gt;17&lt;/ref-type&gt;&lt;rec-number&gt;216&lt;/rec-number&gt;&lt;last-updated-date format="utc"&gt;1457009314&lt;/last-updated-date&gt;&lt;accession-num&gt;15093&lt;/accession-num&gt;&lt;volume&gt;35&lt;/volume&gt;&lt;/record&gt;&lt;/Cite&gt;&lt;/EndNote&gt;</w:instrText>
      </w:r>
      <w:r w:rsidR="009104A9">
        <w:rPr>
          <w:rFonts w:cs="Arial"/>
          <w:szCs w:val="24"/>
        </w:rPr>
        <w:fldChar w:fldCharType="separate"/>
      </w:r>
      <w:r w:rsidR="009104A9">
        <w:rPr>
          <w:rFonts w:cs="Arial"/>
          <w:noProof/>
          <w:szCs w:val="24"/>
        </w:rPr>
        <w:t>(Bandura et al., 1977)</w:t>
      </w:r>
      <w:r w:rsidR="009104A9">
        <w:rPr>
          <w:rFonts w:cs="Arial"/>
          <w:szCs w:val="24"/>
        </w:rPr>
        <w:fldChar w:fldCharType="end"/>
      </w:r>
      <w:r w:rsidR="008B7E49">
        <w:rPr>
          <w:rFonts w:cs="Arial"/>
          <w:szCs w:val="24"/>
        </w:rPr>
        <w:t xml:space="preserve">. </w:t>
      </w:r>
      <w:r w:rsidR="009104A9">
        <w:rPr>
          <w:rFonts w:cs="Arial"/>
          <w:szCs w:val="24"/>
        </w:rPr>
        <w:t xml:space="preserve">Bandura et al. (1997) </w:t>
      </w:r>
      <w:r>
        <w:rPr>
          <w:rFonts w:cs="Arial"/>
          <w:szCs w:val="24"/>
        </w:rPr>
        <w:t>posits that there is a complex relationship between ‘behaviour, the environment and personal factors (personality)’ that influence learning and knowledge</w:t>
      </w:r>
      <w:r w:rsidR="009104A9">
        <w:rPr>
          <w:rFonts w:cs="Arial"/>
          <w:szCs w:val="24"/>
        </w:rPr>
        <w:t xml:space="preserve">. </w:t>
      </w:r>
      <w:r>
        <w:rPr>
          <w:rFonts w:cs="Arial"/>
          <w:szCs w:val="24"/>
        </w:rPr>
        <w:t>Cognitive theorists refer to this ability as ‘metacognitiv</w:t>
      </w:r>
      <w:r w:rsidR="00F14D16">
        <w:rPr>
          <w:rFonts w:cs="Arial"/>
          <w:szCs w:val="24"/>
        </w:rPr>
        <w:t>e capability’</w:t>
      </w:r>
      <w:r w:rsidR="00685655">
        <w:rPr>
          <w:rFonts w:cs="Arial"/>
          <w:szCs w:val="24"/>
        </w:rPr>
        <w:t>,</w:t>
      </w:r>
      <w:r w:rsidR="00F14D16">
        <w:rPr>
          <w:rFonts w:cs="Arial"/>
          <w:szCs w:val="24"/>
        </w:rPr>
        <w:t xml:space="preserve"> and Bandura opines</w:t>
      </w:r>
      <w:r>
        <w:rPr>
          <w:rFonts w:cs="Arial"/>
          <w:szCs w:val="24"/>
        </w:rPr>
        <w:t xml:space="preserve"> that </w:t>
      </w:r>
      <w:r w:rsidR="001D42C9">
        <w:rPr>
          <w:rFonts w:cs="Arial"/>
          <w:szCs w:val="24"/>
        </w:rPr>
        <w:t>judgment</w:t>
      </w:r>
      <w:r>
        <w:rPr>
          <w:rFonts w:cs="Arial"/>
          <w:szCs w:val="24"/>
        </w:rPr>
        <w:t>s of own capabilit</w:t>
      </w:r>
      <w:r w:rsidR="00F14D16">
        <w:rPr>
          <w:rFonts w:cs="Arial"/>
          <w:szCs w:val="24"/>
        </w:rPr>
        <w:t>y</w:t>
      </w:r>
      <w:r>
        <w:rPr>
          <w:rFonts w:cs="Arial"/>
          <w:szCs w:val="24"/>
        </w:rPr>
        <w:t xml:space="preserve"> ultimately affect decisions made, performance and overall outcome. </w:t>
      </w:r>
    </w:p>
    <w:p w14:paraId="0829C9C6" w14:textId="73FD719D" w:rsidR="007A3B76" w:rsidRDefault="007A3B76" w:rsidP="007A3B76">
      <w:pPr>
        <w:rPr>
          <w:rFonts w:cs="Arial"/>
          <w:szCs w:val="24"/>
        </w:rPr>
      </w:pPr>
      <w:r>
        <w:rPr>
          <w:rFonts w:cs="Arial"/>
          <w:szCs w:val="24"/>
        </w:rPr>
        <w:t xml:space="preserve">Transformative learning describes the empowerment of learners to seek out new learning and through a process of critical reflective practice, reorganise ideas and knowledge </w:t>
      </w:r>
      <w:r>
        <w:rPr>
          <w:rFonts w:cs="Arial"/>
          <w:szCs w:val="24"/>
        </w:rPr>
        <w:fldChar w:fldCharType="begin"/>
      </w:r>
      <w:r>
        <w:rPr>
          <w:rFonts w:cs="Arial"/>
          <w:szCs w:val="24"/>
        </w:rPr>
        <w:instrText xml:space="preserve"> ADDIN EN.CITE &lt;EndNote&gt;&lt;Cite&gt;&lt;Author&gt;Mezirow&lt;/Author&gt;&lt;Year&gt;1991&lt;/Year&gt;&lt;IDText&gt;Transformative Dimensions of Adult learning&lt;/IDText&gt;&lt;DisplayText&gt;(Mezirow, 1991)&lt;/DisplayText&gt;&lt;record&gt;&lt;titles&gt;&lt;title&gt;Transformative Dimensions of Adult learning&lt;/title&gt;&lt;/titles&gt;&lt;contributors&gt;&lt;authors&gt;&lt;author&gt;Mezirow, J&lt;/author&gt;&lt;/authors&gt;&lt;/contributors&gt;&lt;added-date format="utc"&gt;1459259170&lt;/added-date&gt;&lt;pub-location&gt;San Francisco, CA&lt;/pub-location&gt;&lt;ref-type name="Book"&gt;6&lt;/ref-type&gt;&lt;dates&gt;&lt;year&gt;1991&lt;/year&gt;&lt;/dates&gt;&lt;rec-number&gt;240&lt;/rec-number&gt;&lt;publisher&gt;Jossey-Bass&lt;/publisher&gt;&lt;last-updated-date format="utc"&gt;1459259228&lt;/last-updated-date&gt;&lt;/record&gt;&lt;/Cite&gt;&lt;/EndNote&gt;</w:instrText>
      </w:r>
      <w:r>
        <w:rPr>
          <w:rFonts w:cs="Arial"/>
          <w:szCs w:val="24"/>
        </w:rPr>
        <w:fldChar w:fldCharType="separate"/>
      </w:r>
      <w:r>
        <w:rPr>
          <w:rFonts w:cs="Arial"/>
          <w:noProof/>
          <w:szCs w:val="24"/>
        </w:rPr>
        <w:t>(Mezirow, 1991)</w:t>
      </w:r>
      <w:r>
        <w:rPr>
          <w:rFonts w:cs="Arial"/>
          <w:szCs w:val="24"/>
        </w:rPr>
        <w:fldChar w:fldCharType="end"/>
      </w:r>
      <w:r>
        <w:rPr>
          <w:rFonts w:cs="Arial"/>
          <w:szCs w:val="24"/>
        </w:rPr>
        <w:t xml:space="preserve">. </w:t>
      </w:r>
      <w:r w:rsidR="00F14D16">
        <w:rPr>
          <w:rFonts w:cs="Arial"/>
          <w:szCs w:val="24"/>
        </w:rPr>
        <w:t>S</w:t>
      </w:r>
      <w:r>
        <w:rPr>
          <w:rFonts w:cs="Arial"/>
          <w:szCs w:val="24"/>
        </w:rPr>
        <w:t xml:space="preserve">imulation allows the opportunity to build in structured time for reflective practice. </w:t>
      </w:r>
    </w:p>
    <w:p w14:paraId="462E7723" w14:textId="4EA84774" w:rsidR="007A3B76" w:rsidRDefault="007A3B76" w:rsidP="007A3B76">
      <w:pPr>
        <w:rPr>
          <w:rFonts w:cs="Arial"/>
          <w:szCs w:val="24"/>
        </w:rPr>
      </w:pPr>
      <w:r>
        <w:lastRenderedPageBreak/>
        <w:t xml:space="preserve">Ericsson’s </w:t>
      </w:r>
      <w:r w:rsidR="009B24AC">
        <w:t xml:space="preserve">(2004) </w:t>
      </w:r>
      <w:r>
        <w:t>exploration of deliberate practice, skill acquisition and expert performance challenges the views of Galton</w:t>
      </w:r>
      <w:r w:rsidR="006D4745">
        <w:t xml:space="preserve"> (1869/1979)</w:t>
      </w:r>
      <w:r w:rsidR="00F14D16">
        <w:t>,</w:t>
      </w:r>
      <w:r>
        <w:t xml:space="preserve"> that innate mechanisms determine mental capacities</w:t>
      </w:r>
      <w:r w:rsidR="00685655">
        <w:t>,</w:t>
      </w:r>
      <w:r>
        <w:t xml:space="preserve"> and suggests m</w:t>
      </w:r>
      <w:r w:rsidR="00F14D16">
        <w:t>otivation and deliberate practic</w:t>
      </w:r>
      <w:r>
        <w:t xml:space="preserve">e are key to expert performance </w:t>
      </w:r>
      <w:r>
        <w:fldChar w:fldCharType="begin"/>
      </w:r>
      <w:r w:rsidR="00DC1314">
        <w:instrText xml:space="preserve"> ADDIN EN.CITE &lt;EndNote&gt;&lt;Cite&gt;&lt;Author&gt;Ericsson&lt;/Author&gt;&lt;Year&gt;2004&lt;/Year&gt;&lt;IDText&gt;Deliberate practice and the acquisition and maintenance of expert performance in medicine and related domains&lt;/IDText&gt;&lt;DisplayText&gt;(Ericsson, 2004, Galton, 1979)&lt;/DisplayText&gt;&lt;record&gt;&lt;dates&gt;&lt;pub-dates&gt;&lt;date&gt;Oct&lt;/date&gt;&lt;/pub-dates&gt;&lt;year&gt;2004&lt;/year&gt;&lt;/dates&gt;&lt;keywords&gt;&lt;keyword&gt;Clinical Competence&lt;/keyword&gt;&lt;keyword&gt;Education, Medical&lt;/keyword&gt;&lt;keyword&gt;Humans&lt;/keyword&gt;&lt;keyword&gt;Learning&lt;/keyword&gt;&lt;keyword&gt;Practice (Psychology)&lt;/keyword&gt;&lt;keyword&gt;Professional Practice&lt;/keyword&gt;&lt;/keywords&gt;&lt;urls&gt;&lt;related-urls&gt;&lt;url&gt;http://www.ncbi.nlm.nih.gov/pubmed/15383395&lt;/url&gt;&lt;/related-urls&gt;&lt;/urls&gt;&lt;isbn&gt;1040-2446&lt;/isbn&gt;&lt;titles&gt;&lt;title&gt;Deliberate practice and the acquisition and maintenance of expert performance in medicine and related domains&lt;/title&gt;&lt;secondary-title&gt;Acad Med&lt;/secondary-title&gt;&lt;/titles&gt;&lt;pages&gt;S70-81&lt;/pages&gt;&lt;number&gt;10 Suppl&lt;/number&gt;&lt;contributors&gt;&lt;authors&gt;&lt;author&gt;Ericsson, K. A.&lt;/author&gt;&lt;/authors&gt;&lt;/contributors&gt;&lt;language&gt;eng&lt;/language&gt;&lt;added-date format="utc"&gt;1459415107&lt;/added-date&gt;&lt;ref-type name="Journal Article"&gt;17&lt;/ref-type&gt;&lt;rec-number&gt;244&lt;/rec-number&gt;&lt;last-updated-date format="utc"&gt;1459415107&lt;/last-updated-date&gt;&lt;accession-num&gt;15383395&lt;/accession-num&gt;&lt;volume&gt;79&lt;/volume&gt;&lt;/record&gt;&lt;/Cite&gt;&lt;Cite&gt;&lt;Author&gt;Galton&lt;/Author&gt;&lt;Year&gt;1979&lt;/Year&gt;&lt;IDText&gt;Hereditary genius: An inquiry into its laws and consequences&lt;/IDText&gt;&lt;record&gt;&lt;titles&gt;&lt;title&gt;Hereditary genius: An inquiry into its laws and consequences&lt;/title&gt;&lt;/titles&gt;&lt;contributors&gt;&lt;authors&gt;&lt;author&gt;Galton, F, Sir&lt;/author&gt;&lt;/authors&gt;&lt;/contributors&gt;&lt;added-date format="utc"&gt;1505900150&lt;/added-date&gt;&lt;pub-location&gt;London&lt;/pub-location&gt;&lt;ref-type name="Book"&gt;6&lt;/ref-type&gt;&lt;dates&gt;&lt;year&gt;1979&lt;/year&gt;&lt;/dates&gt;&lt;rec-number&gt;376&lt;/rec-number&gt;&lt;publisher&gt;Julian Friedman Publishers (Originally published 1969)&lt;/publisher&gt;&lt;last-updated-date format="utc"&gt;1505900369&lt;/last-updated-date&gt;&lt;/record&gt;&lt;/Cite&gt;&lt;/EndNote&gt;</w:instrText>
      </w:r>
      <w:r>
        <w:fldChar w:fldCharType="separate"/>
      </w:r>
      <w:r w:rsidR="00DC1314">
        <w:rPr>
          <w:noProof/>
        </w:rPr>
        <w:t>(Ericsson, 2004, Galton, 1979)</w:t>
      </w:r>
      <w:r>
        <w:fldChar w:fldCharType="end"/>
      </w:r>
      <w:r>
        <w:t>. In terms of skills acquisition, the development of initial everyday tasks at an ‘acceptable level’ are believed to begin at novice level, followed by reduction of ‘gross mistakes and smoother performance’</w:t>
      </w:r>
      <w:r w:rsidR="00685655">
        <w:t>,</w:t>
      </w:r>
      <w:r>
        <w:t xml:space="preserve"> then automaticity of skill where ‘conscious control is lost’ and it becomes difficult to make ‘intentional modifications’. Ericsson challenges this described plateau of skill level or performance peak by describing that experts then drive continual improvement by gaining ‘experience, deliberate practice, deliberate seeking out of training situations’ that push them out of automaticity </w:t>
      </w:r>
      <w:r w:rsidR="000A27DF">
        <w:t>into</w:t>
      </w:r>
      <w:r>
        <w:t xml:space="preserve"> a higher challenge level in which the ‘desired goal exceeds current performance level’. The ability for the expert performer to ‘counteract’ automatic behaviours by ‘actively acquiring and refining cognitive mechanism to support continued learning and improvement’ is described </w:t>
      </w:r>
      <w:r>
        <w:fldChar w:fldCharType="begin"/>
      </w:r>
      <w:r>
        <w:instrText xml:space="preserve"> ADDIN EN.CITE &lt;EndNote&gt;&lt;Cite&gt;&lt;Author&gt;Ericsson&lt;/Author&gt;&lt;Year&gt;2004&lt;/Year&gt;&lt;IDText&gt;Deliberate practice and the acquisition and maintenance of expert performance in medicine and related domains&lt;/IDText&gt;&lt;DisplayText&gt;(Ericsson, 2004)&lt;/DisplayText&gt;&lt;record&gt;&lt;dates&gt;&lt;pub-dates&gt;&lt;date&gt;Oct&lt;/date&gt;&lt;/pub-dates&gt;&lt;year&gt;2004&lt;/year&gt;&lt;/dates&gt;&lt;keywords&gt;&lt;keyword&gt;Clinical Competence&lt;/keyword&gt;&lt;keyword&gt;Education, Medical&lt;/keyword&gt;&lt;keyword&gt;Humans&lt;/keyword&gt;&lt;keyword&gt;Learning&lt;/keyword&gt;&lt;keyword&gt;Practice (Psychology)&lt;/keyword&gt;&lt;keyword&gt;Professional Practice&lt;/keyword&gt;&lt;/keywords&gt;&lt;urls&gt;&lt;related-urls&gt;&lt;url&gt;http://www.ncbi.nlm.nih.gov/pubmed/15383395&lt;/url&gt;&lt;/related-urls&gt;&lt;/urls&gt;&lt;isbn&gt;1040-2446&lt;/isbn&gt;&lt;titles&gt;&lt;title&gt;Deliberate practice and the acquisition and maintenance of expert performance in medicine and related domains&lt;/title&gt;&lt;secondary-title&gt;Acad Med&lt;/secondary-title&gt;&lt;/titles&gt;&lt;pages&gt;S70-81&lt;/pages&gt;&lt;number&gt;10 Suppl&lt;/number&gt;&lt;contributors&gt;&lt;authors&gt;&lt;author&gt;Ericsson, K. A.&lt;/author&gt;&lt;/authors&gt;&lt;/contributors&gt;&lt;language&gt;eng&lt;/language&gt;&lt;added-date format="utc"&gt;1459415107&lt;/added-date&gt;&lt;ref-type name="Journal Article"&gt;17&lt;/ref-type&gt;&lt;rec-number&gt;244&lt;/rec-number&gt;&lt;last-updated-date format="utc"&gt;1459415107&lt;/last-updated-date&gt;&lt;accession-num&gt;15383395&lt;/accession-num&gt;&lt;volume&gt;79&lt;/volume&gt;&lt;/record&gt;&lt;/Cite&gt;&lt;/EndNote&gt;</w:instrText>
      </w:r>
      <w:r>
        <w:fldChar w:fldCharType="separate"/>
      </w:r>
      <w:r>
        <w:rPr>
          <w:noProof/>
        </w:rPr>
        <w:t>(Ericsson, 2004)</w:t>
      </w:r>
      <w:r>
        <w:fldChar w:fldCharType="end"/>
      </w:r>
      <w:r w:rsidR="00685655">
        <w:t>. The i</w:t>
      </w:r>
      <w:r>
        <w:t>mportance of role modelling, motivation and development of cognitive strategies are highlighted here and are important to consider when des</w:t>
      </w:r>
      <w:r w:rsidR="00C828DE">
        <w:t>igning an</w:t>
      </w:r>
      <w:r>
        <w:t xml:space="preserve"> educational intervention and curricula modifications. </w:t>
      </w:r>
    </w:p>
    <w:p w14:paraId="7F9D5B1E" w14:textId="02A2D5D0" w:rsidR="007A3B76" w:rsidRDefault="007A3B76" w:rsidP="007A3B76">
      <w:pPr>
        <w:rPr>
          <w:rFonts w:cs="Arial"/>
          <w:szCs w:val="24"/>
        </w:rPr>
      </w:pPr>
      <w:r>
        <w:rPr>
          <w:rFonts w:cs="Arial"/>
          <w:szCs w:val="24"/>
        </w:rPr>
        <w:t xml:space="preserve">Kneebone </w:t>
      </w:r>
      <w:r w:rsidR="00F14D16">
        <w:rPr>
          <w:rFonts w:cs="Arial"/>
          <w:szCs w:val="24"/>
        </w:rPr>
        <w:t xml:space="preserve">(2005) </w:t>
      </w:r>
      <w:r>
        <w:rPr>
          <w:rFonts w:cs="Arial"/>
          <w:szCs w:val="24"/>
        </w:rPr>
        <w:t>has proposed four areas that ‘underpin simulation-based learning’ and the theory behind them</w:t>
      </w:r>
      <w:r w:rsidR="00F14D16">
        <w:rPr>
          <w:rFonts w:cs="Arial"/>
          <w:szCs w:val="24"/>
        </w:rPr>
        <w:t xml:space="preserve">. </w:t>
      </w:r>
      <w:r>
        <w:rPr>
          <w:rFonts w:cs="Arial"/>
          <w:szCs w:val="24"/>
        </w:rPr>
        <w:t>They include ‘gaining and retaining technical proficiency’, mostly related to development of psychomotor skills, on a spectrum of gra</w:t>
      </w:r>
      <w:r w:rsidR="00F14D16">
        <w:rPr>
          <w:rFonts w:cs="Arial"/>
          <w:szCs w:val="24"/>
        </w:rPr>
        <w:t xml:space="preserve">ded complexity. This </w:t>
      </w:r>
      <w:r>
        <w:rPr>
          <w:rFonts w:cs="Arial"/>
          <w:szCs w:val="24"/>
        </w:rPr>
        <w:t xml:space="preserve">highlights </w:t>
      </w:r>
      <w:proofErr w:type="spellStart"/>
      <w:r>
        <w:rPr>
          <w:rFonts w:cs="Arial"/>
          <w:szCs w:val="24"/>
        </w:rPr>
        <w:t>Ericssons’s</w:t>
      </w:r>
      <w:proofErr w:type="spellEnd"/>
      <w:r>
        <w:rPr>
          <w:rFonts w:cs="Arial"/>
          <w:szCs w:val="24"/>
        </w:rPr>
        <w:t xml:space="preserve"> theory that practice should be ‘well defined and be followed by detailed immediate feedback and </w:t>
      </w:r>
      <w:r>
        <w:rPr>
          <w:rFonts w:cs="Arial"/>
          <w:szCs w:val="24"/>
        </w:rPr>
        <w:lastRenderedPageBreak/>
        <w:t xml:space="preserve">opportunities for improvement’ </w:t>
      </w:r>
      <w:r>
        <w:rPr>
          <w:rFonts w:cs="Arial"/>
          <w:szCs w:val="24"/>
        </w:rPr>
        <w:fldChar w:fldCharType="begin"/>
      </w:r>
      <w:r w:rsidR="00854ACD">
        <w:rPr>
          <w:rFonts w:cs="Arial"/>
          <w:szCs w:val="24"/>
        </w:rPr>
        <w:instrText xml:space="preserve"> ADDIN EN.CITE &lt;EndNote&gt;&lt;Cite&gt;&lt;Author&gt;Ericsson&lt;/Author&gt;&lt;Year&gt;2004&lt;/Year&gt;&lt;IDText&gt;Deliberate practice and the acquisition and maintenance of expert performance in medicine and related domains&lt;/IDText&gt;&lt;DisplayText&gt;(Ericsson, 2004)&lt;/DisplayText&gt;&lt;record&gt;&lt;dates&gt;&lt;pub-dates&gt;&lt;date&gt;Oct&lt;/date&gt;&lt;/pub-dates&gt;&lt;year&gt;2004&lt;/year&gt;&lt;/dates&gt;&lt;keywords&gt;&lt;keyword&gt;Clinical Competence&lt;/keyword&gt;&lt;keyword&gt;Education, Medical&lt;/keyword&gt;&lt;keyword&gt;Humans&lt;/keyword&gt;&lt;keyword&gt;Learning&lt;/keyword&gt;&lt;keyword&gt;Practice (Psychology)&lt;/keyword&gt;&lt;keyword&gt;Professional Practice&lt;/keyword&gt;&lt;/keywords&gt;&lt;urls&gt;&lt;related-urls&gt;&lt;url&gt;http://www.ncbi.nlm.nih.gov/pubmed/15383395&lt;/url&gt;&lt;/related-urls&gt;&lt;/urls&gt;&lt;isbn&gt;1040-2446&lt;/isbn&gt;&lt;titles&gt;&lt;title&gt;Deliberate practice and the acquisition and maintenance of expert performance in medicine and related domains&lt;/title&gt;&lt;secondary-title&gt;Acad Med&lt;/secondary-title&gt;&lt;/titles&gt;&lt;pages&gt;S70-81&lt;/pages&gt;&lt;number&gt;10 Suppl&lt;/number&gt;&lt;contributors&gt;&lt;authors&gt;&lt;author&gt;Ericsson, K. A.&lt;/author&gt;&lt;/authors&gt;&lt;/contributors&gt;&lt;language&gt;eng&lt;/language&gt;&lt;added-date format="utc"&gt;1459415107&lt;/added-date&gt;&lt;ref-type name="Journal Article"&gt;17&lt;/ref-type&gt;&lt;rec-number&gt;244&lt;/rec-number&gt;&lt;last-updated-date format="utc"&gt;1459415107&lt;/last-updated-date&gt;&lt;accession-num&gt;15383395&lt;/accession-num&gt;&lt;volume&gt;79&lt;/volume&gt;&lt;/record&gt;&lt;/Cite&gt;&lt;/EndNote&gt;</w:instrText>
      </w:r>
      <w:r>
        <w:rPr>
          <w:rFonts w:cs="Arial"/>
          <w:szCs w:val="24"/>
        </w:rPr>
        <w:fldChar w:fldCharType="separate"/>
      </w:r>
      <w:r w:rsidR="00854ACD">
        <w:rPr>
          <w:rFonts w:cs="Arial"/>
          <w:noProof/>
          <w:szCs w:val="24"/>
        </w:rPr>
        <w:t>(Ericsson, 2004)</w:t>
      </w:r>
      <w:r>
        <w:rPr>
          <w:rFonts w:cs="Arial"/>
          <w:szCs w:val="24"/>
        </w:rPr>
        <w:fldChar w:fldCharType="end"/>
      </w:r>
      <w:r w:rsidR="00685655">
        <w:rPr>
          <w:rFonts w:cs="Arial"/>
          <w:szCs w:val="24"/>
        </w:rPr>
        <w:t>.</w:t>
      </w:r>
      <w:r w:rsidR="00F14D16">
        <w:rPr>
          <w:rFonts w:cs="Arial"/>
          <w:szCs w:val="24"/>
        </w:rPr>
        <w:t xml:space="preserve"> </w:t>
      </w:r>
      <w:r>
        <w:rPr>
          <w:rFonts w:cs="Arial"/>
          <w:szCs w:val="24"/>
        </w:rPr>
        <w:t xml:space="preserve">Challenge and overlearning is proposed as a way to compliment motivation to drive continual improvement. </w:t>
      </w:r>
    </w:p>
    <w:p w14:paraId="3EEC2763" w14:textId="595E0DCE" w:rsidR="00873E90" w:rsidRDefault="007A3B76" w:rsidP="007A3B76">
      <w:pPr>
        <w:rPr>
          <w:rFonts w:cs="Arial"/>
          <w:szCs w:val="24"/>
        </w:rPr>
      </w:pPr>
      <w:r>
        <w:rPr>
          <w:rFonts w:cs="Arial"/>
          <w:szCs w:val="24"/>
        </w:rPr>
        <w:t>The second area is the ‘place of the expert’ in assisting skill acquisition</w:t>
      </w:r>
      <w:r w:rsidR="00685655">
        <w:rPr>
          <w:rFonts w:cs="Arial"/>
          <w:szCs w:val="24"/>
        </w:rPr>
        <w:t>,</w:t>
      </w:r>
      <w:r>
        <w:rPr>
          <w:rFonts w:cs="Arial"/>
          <w:szCs w:val="24"/>
        </w:rPr>
        <w:t xml:space="preserve"> where feedback is highlighted as a ‘crucial’ to this process. The importance of developing probl</w:t>
      </w:r>
      <w:r w:rsidR="00685655">
        <w:rPr>
          <w:rFonts w:cs="Arial"/>
          <w:szCs w:val="24"/>
        </w:rPr>
        <w:t>em-</w:t>
      </w:r>
      <w:r>
        <w:rPr>
          <w:rFonts w:cs="Arial"/>
          <w:szCs w:val="24"/>
        </w:rPr>
        <w:t>solving skills in a supportive environment and Bruner’s concept of ‘scaffolding’ are discussed</w:t>
      </w:r>
      <w:r w:rsidR="00EC5BC4">
        <w:rPr>
          <w:rFonts w:cs="Arial"/>
          <w:szCs w:val="24"/>
        </w:rPr>
        <w:t>,</w:t>
      </w:r>
      <w:r>
        <w:rPr>
          <w:rFonts w:cs="Arial"/>
          <w:szCs w:val="24"/>
        </w:rPr>
        <w:t xml:space="preserve"> creating a conceptual ideal of planned construction and a safe environment</w:t>
      </w:r>
      <w:r w:rsidR="00EC5BC4">
        <w:rPr>
          <w:rFonts w:cs="Arial"/>
          <w:szCs w:val="24"/>
        </w:rPr>
        <w:t>,</w:t>
      </w:r>
      <w:r>
        <w:rPr>
          <w:rFonts w:cs="Arial"/>
          <w:szCs w:val="24"/>
        </w:rPr>
        <w:t xml:space="preserve"> then as knowledge and skills are cemented</w:t>
      </w:r>
      <w:r w:rsidR="00685655">
        <w:rPr>
          <w:rFonts w:cs="Arial"/>
          <w:szCs w:val="24"/>
        </w:rPr>
        <w:t>,</w:t>
      </w:r>
      <w:r>
        <w:rPr>
          <w:rFonts w:cs="Arial"/>
          <w:szCs w:val="24"/>
        </w:rPr>
        <w:t xml:space="preserve"> the planned ability to remove support gradually </w:t>
      </w:r>
      <w:r>
        <w:rPr>
          <w:rFonts w:cs="Arial"/>
          <w:szCs w:val="24"/>
        </w:rPr>
        <w:fldChar w:fldCharType="begin"/>
      </w:r>
      <w:r>
        <w:rPr>
          <w:rFonts w:cs="Arial"/>
          <w:szCs w:val="24"/>
        </w:rPr>
        <w:instrText xml:space="preserve"> ADDIN EN.CITE &lt;EndNote&gt;&lt;Cite&gt;&lt;Author&gt;Bruner&lt;/Author&gt;&lt;Year&gt;1967&lt;/Year&gt;&lt;IDText&gt;Toward a Theory of Instruction&lt;/IDText&gt;&lt;DisplayText&gt;(Bruner, 1967)&lt;/DisplayText&gt;&lt;record&gt;&lt;titles&gt;&lt;title&gt;Toward a Theory of Instruction&lt;/title&gt;&lt;/titles&gt;&lt;contributors&gt;&lt;authors&gt;&lt;author&gt;Bruner, Jerome S&lt;/author&gt;&lt;/authors&gt;&lt;/contributors&gt;&lt;added-date format="utc"&gt;1459416601&lt;/added-date&gt;&lt;pub-location&gt;Cambridge, MA&lt;/pub-location&gt;&lt;ref-type name="Book"&gt;6&lt;/ref-type&gt;&lt;dates&gt;&lt;year&gt;1967&lt;/year&gt;&lt;/dates&gt;&lt;rec-number&gt;245&lt;/rec-number&gt;&lt;publisher&gt;Harvard University Press&lt;/publisher&gt;&lt;last-updated-date format="utc"&gt;1459416772&lt;/last-updated-date&gt;&lt;/record&gt;&lt;/Cite&gt;&lt;/EndNote&gt;</w:instrText>
      </w:r>
      <w:r>
        <w:rPr>
          <w:rFonts w:cs="Arial"/>
          <w:szCs w:val="24"/>
        </w:rPr>
        <w:fldChar w:fldCharType="separate"/>
      </w:r>
      <w:r>
        <w:rPr>
          <w:rFonts w:cs="Arial"/>
          <w:noProof/>
          <w:szCs w:val="24"/>
        </w:rPr>
        <w:t>(Bruner, 1967)</w:t>
      </w:r>
      <w:r>
        <w:rPr>
          <w:rFonts w:cs="Arial"/>
          <w:szCs w:val="24"/>
        </w:rPr>
        <w:fldChar w:fldCharType="end"/>
      </w:r>
      <w:r>
        <w:rPr>
          <w:rFonts w:cs="Arial"/>
          <w:szCs w:val="24"/>
        </w:rPr>
        <w:t>. This is open to interpretation and every learner is different</w:t>
      </w:r>
      <w:r w:rsidR="00EC5BC4">
        <w:rPr>
          <w:rFonts w:cs="Arial"/>
          <w:szCs w:val="24"/>
        </w:rPr>
        <w:t>,</w:t>
      </w:r>
      <w:r>
        <w:rPr>
          <w:rFonts w:cs="Arial"/>
          <w:szCs w:val="24"/>
        </w:rPr>
        <w:t xml:space="preserve"> so when removing support there may be times required to revisit a particular skill. There is a risk with theoretical frameworks that when</w:t>
      </w:r>
      <w:r w:rsidR="00EC5BC4">
        <w:rPr>
          <w:rFonts w:cs="Arial"/>
          <w:szCs w:val="24"/>
        </w:rPr>
        <w:t xml:space="preserve"> applied to a mass audience,</w:t>
      </w:r>
      <w:r>
        <w:rPr>
          <w:rFonts w:cs="Arial"/>
          <w:szCs w:val="24"/>
        </w:rPr>
        <w:t xml:space="preserve"> drivers such as cost and time are prioritised over individual needs. </w:t>
      </w:r>
    </w:p>
    <w:p w14:paraId="4DC4C466" w14:textId="7D78E12F" w:rsidR="007A3B76" w:rsidRDefault="007A3B76" w:rsidP="007A3B76">
      <w:pPr>
        <w:rPr>
          <w:rFonts w:cs="Arial"/>
          <w:szCs w:val="24"/>
        </w:rPr>
      </w:pPr>
      <w:r>
        <w:rPr>
          <w:rFonts w:cs="Arial"/>
          <w:szCs w:val="24"/>
        </w:rPr>
        <w:t>The third area is related to ‘professional context’ for learning where observation of experts is moving to more of an ‘apprenticeship model’. This term also suggests the importance of learning within an authentic environment</w:t>
      </w:r>
      <w:r w:rsidR="00EC5BC4">
        <w:rPr>
          <w:rFonts w:cs="Arial"/>
          <w:szCs w:val="24"/>
        </w:rPr>
        <w:t>,</w:t>
      </w:r>
      <w:r>
        <w:rPr>
          <w:rFonts w:cs="Arial"/>
          <w:szCs w:val="24"/>
        </w:rPr>
        <w:t xml:space="preserve"> where professional behaviours are routine and real. </w:t>
      </w:r>
      <w:r w:rsidR="002874D3">
        <w:rPr>
          <w:rFonts w:cs="Arial"/>
          <w:szCs w:val="24"/>
        </w:rPr>
        <w:fldChar w:fldCharType="begin"/>
      </w:r>
      <w:r w:rsidR="00382A6E">
        <w:rPr>
          <w:rFonts w:cs="Arial"/>
          <w:szCs w:val="24"/>
        </w:rPr>
        <w:instrText xml:space="preserve"> ADDIN EN.CITE &lt;EndNote&gt;&lt;Cite&gt;&lt;Author&gt;Lave&lt;/Author&gt;&lt;Year&gt;1991&lt;/Year&gt;&lt;IDText&gt;Situated Learning: Legitimate peripheral participation&lt;/IDText&gt;&lt;DisplayText&gt;(Lave and Wenger, 1991)&lt;/DisplayText&gt;&lt;record&gt;&lt;titles&gt;&lt;title&gt;Situated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format="utc"&gt;1459260152&lt;/last-updated-date&gt;&lt;/record&gt;&lt;/Cite&gt;&lt;/EndNote&gt;</w:instrText>
      </w:r>
      <w:r w:rsidR="002874D3">
        <w:rPr>
          <w:rFonts w:cs="Arial"/>
          <w:szCs w:val="24"/>
        </w:rPr>
        <w:fldChar w:fldCharType="separate"/>
      </w:r>
      <w:r w:rsidR="00382A6E">
        <w:rPr>
          <w:rFonts w:cs="Arial"/>
          <w:noProof/>
          <w:szCs w:val="24"/>
        </w:rPr>
        <w:t>Lave and</w:t>
      </w:r>
      <w:r w:rsidR="003961BA">
        <w:rPr>
          <w:rFonts w:cs="Arial"/>
          <w:noProof/>
          <w:szCs w:val="24"/>
        </w:rPr>
        <w:t xml:space="preserve"> Wenger</w:t>
      </w:r>
      <w:r w:rsidR="00382A6E">
        <w:rPr>
          <w:rFonts w:cs="Arial"/>
          <w:noProof/>
          <w:szCs w:val="24"/>
        </w:rPr>
        <w:t xml:space="preserve"> </w:t>
      </w:r>
      <w:r w:rsidR="003961BA">
        <w:rPr>
          <w:rFonts w:cs="Arial"/>
          <w:noProof/>
          <w:szCs w:val="24"/>
        </w:rPr>
        <w:t>(</w:t>
      </w:r>
      <w:r w:rsidR="00382A6E">
        <w:rPr>
          <w:rFonts w:cs="Arial"/>
          <w:noProof/>
          <w:szCs w:val="24"/>
        </w:rPr>
        <w:t>1991)</w:t>
      </w:r>
      <w:r w:rsidR="002874D3">
        <w:rPr>
          <w:rFonts w:cs="Arial"/>
          <w:szCs w:val="24"/>
        </w:rPr>
        <w:fldChar w:fldCharType="end"/>
      </w:r>
      <w:r w:rsidR="002874D3">
        <w:rPr>
          <w:rFonts w:cs="Arial"/>
          <w:szCs w:val="24"/>
        </w:rPr>
        <w:t xml:space="preserve"> </w:t>
      </w:r>
      <w:r>
        <w:rPr>
          <w:rFonts w:cs="Arial"/>
          <w:szCs w:val="24"/>
        </w:rPr>
        <w:t xml:space="preserve">describe learners in a position within clinical practice as ‘legitimate peripheral participation’. The importance of ‘culture, activity and social interaction with the environment’, is discussed and explored. The ideas of responsibility and participation </w:t>
      </w:r>
      <w:r w:rsidR="00511ED1">
        <w:rPr>
          <w:rFonts w:cs="Arial"/>
          <w:szCs w:val="24"/>
        </w:rPr>
        <w:t>concur</w:t>
      </w:r>
      <w:r w:rsidR="00873E90">
        <w:rPr>
          <w:rFonts w:cs="Arial"/>
          <w:szCs w:val="24"/>
        </w:rPr>
        <w:t xml:space="preserve"> with </w:t>
      </w:r>
      <w:r w:rsidR="00173DE4">
        <w:rPr>
          <w:rFonts w:cs="Arial"/>
          <w:szCs w:val="24"/>
        </w:rPr>
        <w:t>focus group</w:t>
      </w:r>
      <w:r w:rsidR="00873E90">
        <w:rPr>
          <w:rFonts w:cs="Arial"/>
          <w:szCs w:val="24"/>
        </w:rPr>
        <w:t xml:space="preserve"> outcomes </w:t>
      </w:r>
      <w:r>
        <w:rPr>
          <w:rFonts w:cs="Arial"/>
          <w:szCs w:val="24"/>
        </w:rPr>
        <w:t>relat</w:t>
      </w:r>
      <w:r w:rsidR="00873E90">
        <w:rPr>
          <w:rFonts w:cs="Arial"/>
          <w:szCs w:val="24"/>
        </w:rPr>
        <w:t>ed to preparedness for practice. C</w:t>
      </w:r>
      <w:r>
        <w:rPr>
          <w:rFonts w:cs="Arial"/>
          <w:szCs w:val="24"/>
        </w:rPr>
        <w:t>ulture and the environment</w:t>
      </w:r>
      <w:r w:rsidR="00873E90">
        <w:rPr>
          <w:rFonts w:cs="Arial"/>
          <w:szCs w:val="24"/>
        </w:rPr>
        <w:t xml:space="preserve"> must</w:t>
      </w:r>
      <w:r>
        <w:rPr>
          <w:rFonts w:cs="Arial"/>
          <w:szCs w:val="24"/>
        </w:rPr>
        <w:t xml:space="preserve"> be considered when planning teaching and development of skills. The term ‘peripheral’ suggests the idea of observation rather than active inclusion in an environment, which goes against the idea of development of role and responsibility. However the authors </w:t>
      </w:r>
      <w:r>
        <w:rPr>
          <w:rFonts w:cs="Arial"/>
          <w:szCs w:val="24"/>
        </w:rPr>
        <w:lastRenderedPageBreak/>
        <w:t xml:space="preserve">describe the view that learning is fundamentally a social process and learners move from the periphery to the centre of the environment </w:t>
      </w:r>
      <w:r>
        <w:rPr>
          <w:rFonts w:cs="Arial"/>
          <w:szCs w:val="24"/>
        </w:rPr>
        <w:fldChar w:fldCharType="begin"/>
      </w:r>
      <w:r>
        <w:rPr>
          <w:rFonts w:cs="Arial"/>
          <w:szCs w:val="24"/>
        </w:rPr>
        <w:instrText xml:space="preserve"> ADDIN EN.CITE &lt;EndNote&gt;&lt;Cite&gt;&lt;Author&gt;Lave&lt;/Author&gt;&lt;Year&gt;1991&lt;/Year&gt;&lt;IDText&gt;Situated Learning: Legitimate peripheral participation&lt;/IDText&gt;&lt;DisplayText&gt;(Lave and Wenger, 1991)&lt;/DisplayText&gt;&lt;record&gt;&lt;titles&gt;&lt;title&gt;Situated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format="utc"&gt;1459260152&lt;/last-updated-date&gt;&lt;/record&gt;&lt;/Cite&gt;&lt;/EndNote&gt;</w:instrText>
      </w:r>
      <w:r>
        <w:rPr>
          <w:rFonts w:cs="Arial"/>
          <w:szCs w:val="24"/>
        </w:rPr>
        <w:fldChar w:fldCharType="separate"/>
      </w:r>
      <w:r>
        <w:rPr>
          <w:rFonts w:cs="Arial"/>
          <w:noProof/>
          <w:szCs w:val="24"/>
        </w:rPr>
        <w:t>(Lave and Wenger, 1991)</w:t>
      </w:r>
      <w:r>
        <w:rPr>
          <w:rFonts w:cs="Arial"/>
          <w:szCs w:val="24"/>
        </w:rPr>
        <w:fldChar w:fldCharType="end"/>
      </w:r>
      <w:r>
        <w:rPr>
          <w:rFonts w:cs="Arial"/>
          <w:szCs w:val="24"/>
        </w:rPr>
        <w:t>. They concur with Piaget’s views that much le</w:t>
      </w:r>
      <w:r w:rsidR="00685655">
        <w:rPr>
          <w:rFonts w:cs="Arial"/>
          <w:szCs w:val="24"/>
        </w:rPr>
        <w:t>arning comes f</w:t>
      </w:r>
      <w:r>
        <w:rPr>
          <w:rFonts w:cs="Arial"/>
          <w:szCs w:val="24"/>
        </w:rPr>
        <w:t>r</w:t>
      </w:r>
      <w:r w:rsidR="00685655">
        <w:rPr>
          <w:rFonts w:cs="Arial"/>
          <w:szCs w:val="24"/>
        </w:rPr>
        <w:t>o</w:t>
      </w:r>
      <w:r>
        <w:rPr>
          <w:rFonts w:cs="Arial"/>
          <w:szCs w:val="24"/>
        </w:rPr>
        <w:t>m peer-to-peer interaction. They also report strong views that apprenticeship models should represent ‘legitimacy’ rather than just ‘teaching’.</w:t>
      </w:r>
      <w:r w:rsidR="00873E90" w:rsidRPr="00873E90">
        <w:rPr>
          <w:rFonts w:cs="Arial"/>
          <w:szCs w:val="24"/>
        </w:rPr>
        <w:t xml:space="preserve"> </w:t>
      </w:r>
      <w:r w:rsidR="00873E90">
        <w:rPr>
          <w:rFonts w:cs="Arial"/>
          <w:szCs w:val="24"/>
        </w:rPr>
        <w:t>In terms of the cognitive psychological t</w:t>
      </w:r>
      <w:r w:rsidR="00685655">
        <w:rPr>
          <w:rFonts w:cs="Arial"/>
          <w:szCs w:val="24"/>
        </w:rPr>
        <w:t>heory, Lev Vygotsky</w:t>
      </w:r>
      <w:r w:rsidR="002874D3">
        <w:rPr>
          <w:rFonts w:cs="Arial"/>
          <w:szCs w:val="24"/>
        </w:rPr>
        <w:t xml:space="preserve"> (1962)</w:t>
      </w:r>
      <w:r w:rsidR="00685655">
        <w:rPr>
          <w:rFonts w:cs="Arial"/>
          <w:szCs w:val="24"/>
        </w:rPr>
        <w:t>, a Russian p</w:t>
      </w:r>
      <w:r w:rsidR="00873E90">
        <w:rPr>
          <w:rFonts w:cs="Arial"/>
          <w:szCs w:val="24"/>
        </w:rPr>
        <w:t>sychologist concurs by emphasising the importance of social interaction and culture on learning</w:t>
      </w:r>
      <w:r w:rsidR="00685655">
        <w:rPr>
          <w:rFonts w:cs="Arial"/>
          <w:szCs w:val="24"/>
        </w:rPr>
        <w:t>,</w:t>
      </w:r>
      <w:r w:rsidR="00873E90">
        <w:rPr>
          <w:rFonts w:cs="Arial"/>
          <w:szCs w:val="24"/>
        </w:rPr>
        <w:t xml:space="preserve"> and that ‘communities make meaning’, but focuses more on adults sharing culture, </w:t>
      </w:r>
      <w:proofErr w:type="spellStart"/>
      <w:r w:rsidR="00873E90">
        <w:rPr>
          <w:rFonts w:cs="Arial"/>
          <w:szCs w:val="24"/>
        </w:rPr>
        <w:t>where as</w:t>
      </w:r>
      <w:proofErr w:type="spellEnd"/>
      <w:r w:rsidR="00873E90">
        <w:rPr>
          <w:rFonts w:cs="Arial"/>
          <w:szCs w:val="24"/>
        </w:rPr>
        <w:t xml:space="preserve"> Piaget argues that peer development is most important </w:t>
      </w:r>
      <w:r w:rsidR="00873E90">
        <w:rPr>
          <w:rFonts w:cs="Arial"/>
          <w:szCs w:val="24"/>
        </w:rPr>
        <w:fldChar w:fldCharType="begin"/>
      </w:r>
      <w:r w:rsidR="00873E90">
        <w:rPr>
          <w:rFonts w:cs="Arial"/>
          <w:szCs w:val="24"/>
        </w:rPr>
        <w:instrText xml:space="preserve"> ADDIN EN.CITE &lt;EndNote&gt;&lt;Cite&gt;&lt;Author&gt;Vygotsky&lt;/Author&gt;&lt;Year&gt;1962&lt;/Year&gt;&lt;IDText&gt;Thought and Language&lt;/IDText&gt;&lt;DisplayText&gt;(Vygotsky, 1962)&lt;/DisplayText&gt;&lt;record&gt;&lt;titles&gt;&lt;title&gt;Thought and Language&lt;/title&gt;&lt;/titles&gt;&lt;contributors&gt;&lt;authors&gt;&lt;author&gt;Vygotsky, Lev&lt;/author&gt;&lt;/authors&gt;&lt;/contributors&gt;&lt;added-date format="utc"&gt;1459418703&lt;/added-date&gt;&lt;pub-location&gt;Cambridge, MA&lt;/pub-location&gt;&lt;ref-type name="Book"&gt;6&lt;/ref-type&gt;&lt;dates&gt;&lt;year&gt;1962&lt;/year&gt;&lt;/dates&gt;&lt;rec-number&gt;246&lt;/rec-number&gt;&lt;publisher&gt;MIT Press&lt;/publisher&gt;&lt;last-updated-date format="utc"&gt;1459418772&lt;/last-updated-date&gt;&lt;/record&gt;&lt;/Cite&gt;&lt;/EndNote&gt;</w:instrText>
      </w:r>
      <w:r w:rsidR="00873E90">
        <w:rPr>
          <w:rFonts w:cs="Arial"/>
          <w:szCs w:val="24"/>
        </w:rPr>
        <w:fldChar w:fldCharType="separate"/>
      </w:r>
      <w:r w:rsidR="00873E90">
        <w:rPr>
          <w:rFonts w:cs="Arial"/>
          <w:noProof/>
          <w:szCs w:val="24"/>
        </w:rPr>
        <w:t>(Vygotsky, 1962)</w:t>
      </w:r>
      <w:r w:rsidR="00873E90">
        <w:rPr>
          <w:rFonts w:cs="Arial"/>
          <w:szCs w:val="24"/>
        </w:rPr>
        <w:fldChar w:fldCharType="end"/>
      </w:r>
      <w:r w:rsidR="00873E90">
        <w:rPr>
          <w:rFonts w:cs="Arial"/>
          <w:szCs w:val="24"/>
        </w:rPr>
        <w:t xml:space="preserve">. </w:t>
      </w:r>
      <w:r w:rsidR="001D42C9">
        <w:rPr>
          <w:rFonts w:cs="Arial"/>
          <w:szCs w:val="24"/>
        </w:rPr>
        <w:t>Healthcare</w:t>
      </w:r>
      <w:r w:rsidR="00873E90">
        <w:rPr>
          <w:rFonts w:cs="Arial"/>
          <w:szCs w:val="24"/>
        </w:rPr>
        <w:t xml:space="preserve"> providers work in teams and communities and this concept of ‘co-construction’ </w:t>
      </w:r>
      <w:r w:rsidR="00685655">
        <w:rPr>
          <w:rFonts w:cs="Arial"/>
          <w:szCs w:val="24"/>
        </w:rPr>
        <w:t xml:space="preserve">- </w:t>
      </w:r>
      <w:r w:rsidR="00873E90">
        <w:rPr>
          <w:rFonts w:cs="Arial"/>
          <w:szCs w:val="24"/>
        </w:rPr>
        <w:t>of knowledge and skills through peer and team interactions</w:t>
      </w:r>
      <w:r w:rsidR="00685655">
        <w:rPr>
          <w:rFonts w:cs="Arial"/>
          <w:szCs w:val="24"/>
        </w:rPr>
        <w:t xml:space="preserve"> -</w:t>
      </w:r>
      <w:r w:rsidR="00873E90">
        <w:rPr>
          <w:rFonts w:cs="Arial"/>
          <w:szCs w:val="24"/>
        </w:rPr>
        <w:t xml:space="preserve"> does resonate and combines both ideas.</w:t>
      </w:r>
      <w:r>
        <w:rPr>
          <w:rFonts w:cs="Arial"/>
          <w:szCs w:val="24"/>
        </w:rPr>
        <w:t xml:space="preserve"> </w:t>
      </w:r>
    </w:p>
    <w:p w14:paraId="77874D37" w14:textId="60693BE6" w:rsidR="007A3B76" w:rsidRDefault="00873E90" w:rsidP="007A3B76">
      <w:pPr>
        <w:rPr>
          <w:rFonts w:cs="Arial"/>
          <w:szCs w:val="24"/>
        </w:rPr>
      </w:pPr>
      <w:r>
        <w:rPr>
          <w:rFonts w:cs="Arial"/>
          <w:szCs w:val="24"/>
        </w:rPr>
        <w:t xml:space="preserve">The </w:t>
      </w:r>
      <w:r w:rsidR="00685655">
        <w:rPr>
          <w:rFonts w:cs="Arial"/>
          <w:szCs w:val="24"/>
        </w:rPr>
        <w:t>fourth</w:t>
      </w:r>
      <w:r>
        <w:rPr>
          <w:rFonts w:cs="Arial"/>
          <w:szCs w:val="24"/>
        </w:rPr>
        <w:t xml:space="preserve">, </w:t>
      </w:r>
      <w:r w:rsidR="007A3B76">
        <w:rPr>
          <w:rFonts w:cs="Arial"/>
          <w:szCs w:val="24"/>
        </w:rPr>
        <w:t xml:space="preserve">final area described by </w:t>
      </w:r>
      <w:r w:rsidR="002874D3">
        <w:rPr>
          <w:rFonts w:cs="Arial"/>
          <w:szCs w:val="24"/>
        </w:rPr>
        <w:fldChar w:fldCharType="begin"/>
      </w:r>
      <w:r w:rsidR="00382A6E">
        <w:rPr>
          <w:rFonts w:cs="Arial"/>
          <w:szCs w:val="24"/>
        </w:rPr>
        <w:instrText xml:space="preserve"> ADDIN EN.CITE &lt;EndNote&gt;&lt;Cite&gt;&lt;Author&gt;Kneebone&lt;/Author&gt;&lt;Year&gt;2005&lt;/Year&gt;&lt;IDText&gt;Evaluating clinical simulations for learning procedural skills: a theory-based approach&lt;/IDText&gt;&lt;DisplayText&gt;(Kneebone, 2005)&lt;/DisplayText&gt;&lt;record&gt;&lt;dates&gt;&lt;pub-dates&gt;&lt;date&gt;Jun&lt;/date&gt;&lt;/pub-dates&gt;&lt;year&gt;2005&lt;/year&gt;&lt;/dates&gt;&lt;keywords&gt;&lt;keyword&gt;Computer Simulation&lt;/keyword&gt;&lt;keyword&gt;Computer-Assisted Instruction&lt;/keyword&gt;&lt;keyword&gt;Education, Medical&lt;/keyword&gt;&lt;keyword&gt;Evaluation Studies as Topic&lt;/keyword&gt;&lt;keyword&gt;Humans&lt;/keyword&gt;&lt;/keywords&gt;&lt;urls&gt;&lt;related-urls&gt;&lt;url&gt;http://www.ncbi.nlm.nih.gov/pubmed/15917357&lt;/url&gt;&lt;/related-urls&gt;&lt;/urls&gt;&lt;isbn&gt;1040-2446&lt;/isbn&gt;&lt;titles&gt;&lt;title&gt;Evaluating clinical simulations for learning procedural skills: a theory-based approach&lt;/title&gt;&lt;secondary-title&gt;Acad Med&lt;/secondary-title&gt;&lt;/titles&gt;&lt;pages&gt;549-53&lt;/pages&gt;&lt;number&gt;6&lt;/number&gt;&lt;contributors&gt;&lt;authors&gt;&lt;author&gt;Kneebone, R.&lt;/author&gt;&lt;/authors&gt;&lt;/contributors&gt;&lt;language&gt;eng&lt;/language&gt;&lt;added-date format="utc"&gt;1459414886&lt;/added-date&gt;&lt;ref-type name="Journal Article"&gt;17&lt;/ref-type&gt;&lt;rec-number&gt;243&lt;/rec-number&gt;&lt;last-updated-date format="utc"&gt;1459414886&lt;/last-updated-date&gt;&lt;accession-num&gt;15917357&lt;/accession-num&gt;&lt;volume&gt;80&lt;/volume&gt;&lt;/record&gt;&lt;/Cite&gt;&lt;/EndNote&gt;</w:instrText>
      </w:r>
      <w:r w:rsidR="002874D3">
        <w:rPr>
          <w:rFonts w:cs="Arial"/>
          <w:szCs w:val="24"/>
        </w:rPr>
        <w:fldChar w:fldCharType="separate"/>
      </w:r>
      <w:r w:rsidR="00382A6E">
        <w:rPr>
          <w:rFonts w:cs="Arial"/>
          <w:noProof/>
          <w:szCs w:val="24"/>
        </w:rPr>
        <w:t>(Kneebone, 2005)</w:t>
      </w:r>
      <w:r w:rsidR="002874D3">
        <w:rPr>
          <w:rFonts w:cs="Arial"/>
          <w:szCs w:val="24"/>
        </w:rPr>
        <w:fldChar w:fldCharType="end"/>
      </w:r>
      <w:r w:rsidR="002874D3">
        <w:rPr>
          <w:rFonts w:cs="Arial"/>
          <w:szCs w:val="24"/>
        </w:rPr>
        <w:t xml:space="preserve"> </w:t>
      </w:r>
      <w:r w:rsidR="007A3B76">
        <w:rPr>
          <w:rFonts w:cs="Arial"/>
          <w:szCs w:val="24"/>
        </w:rPr>
        <w:t>relates to the emotional or ‘affective component of learning’, one that is given little priority in the literature. Kneebone highlights that within all learning there is a significant affective component whether from a good or bad experience and again that ‘</w:t>
      </w:r>
      <w:proofErr w:type="spellStart"/>
      <w:r w:rsidR="007A3B76">
        <w:rPr>
          <w:rFonts w:cs="Arial"/>
          <w:szCs w:val="24"/>
        </w:rPr>
        <w:t>self efficacy</w:t>
      </w:r>
      <w:proofErr w:type="spellEnd"/>
      <w:r w:rsidR="007A3B76">
        <w:rPr>
          <w:rFonts w:cs="Arial"/>
          <w:szCs w:val="24"/>
        </w:rPr>
        <w:t>’ is key to supporting learner development</w:t>
      </w:r>
      <w:r w:rsidR="002874D3">
        <w:rPr>
          <w:rFonts w:cs="Arial"/>
          <w:szCs w:val="24"/>
        </w:rPr>
        <w:t xml:space="preserve">. </w:t>
      </w:r>
      <w:r w:rsidR="007A3B76">
        <w:rPr>
          <w:rFonts w:cs="Arial"/>
          <w:szCs w:val="24"/>
        </w:rPr>
        <w:t>He also states</w:t>
      </w:r>
      <w:r>
        <w:rPr>
          <w:rFonts w:cs="Arial"/>
          <w:szCs w:val="24"/>
        </w:rPr>
        <w:t xml:space="preserve"> that in </w:t>
      </w:r>
      <w:r w:rsidR="001D42C9">
        <w:rPr>
          <w:rFonts w:cs="Arial"/>
          <w:szCs w:val="24"/>
        </w:rPr>
        <w:t>healthcare</w:t>
      </w:r>
      <w:r>
        <w:rPr>
          <w:rFonts w:cs="Arial"/>
          <w:szCs w:val="24"/>
        </w:rPr>
        <w:t xml:space="preserve"> areas,</w:t>
      </w:r>
      <w:r w:rsidR="007A3B76">
        <w:rPr>
          <w:rFonts w:cs="Arial"/>
          <w:szCs w:val="24"/>
        </w:rPr>
        <w:t xml:space="preserve"> ‘learning is a by-product of care’</w:t>
      </w:r>
      <w:r w:rsidR="00EC5BC4">
        <w:rPr>
          <w:rFonts w:cs="Arial"/>
          <w:szCs w:val="24"/>
        </w:rPr>
        <w:t>,</w:t>
      </w:r>
      <w:r w:rsidR="007A3B76">
        <w:rPr>
          <w:rFonts w:cs="Arial"/>
          <w:szCs w:val="24"/>
        </w:rPr>
        <w:t xml:space="preserve"> however </w:t>
      </w:r>
      <w:r w:rsidR="0091738C">
        <w:rPr>
          <w:rFonts w:cs="Arial"/>
          <w:szCs w:val="24"/>
        </w:rPr>
        <w:t xml:space="preserve">effective learning </w:t>
      </w:r>
      <w:proofErr w:type="spellStart"/>
      <w:r w:rsidR="0091738C">
        <w:rPr>
          <w:rFonts w:cs="Arial"/>
          <w:szCs w:val="24"/>
        </w:rPr>
        <w:t>can not</w:t>
      </w:r>
      <w:proofErr w:type="spellEnd"/>
      <w:r w:rsidR="0091738C">
        <w:rPr>
          <w:rFonts w:cs="Arial"/>
          <w:szCs w:val="24"/>
        </w:rPr>
        <w:t xml:space="preserve"> be assumed just from being involved in care. </w:t>
      </w:r>
      <w:r w:rsidR="007A3B76">
        <w:rPr>
          <w:rFonts w:cs="Arial"/>
          <w:szCs w:val="24"/>
        </w:rPr>
        <w:t>He concludes that a key challenge for future development of simulation-based training is to ensure that the ‘emotional climate is explored’ with learners</w:t>
      </w:r>
      <w:r w:rsidR="00685655">
        <w:rPr>
          <w:rFonts w:cs="Arial"/>
          <w:szCs w:val="24"/>
        </w:rPr>
        <w:t>.</w:t>
      </w:r>
    </w:p>
    <w:p w14:paraId="49365645" w14:textId="305692DE" w:rsidR="007A3B76" w:rsidRDefault="00EC5BC4" w:rsidP="007A3B76">
      <w:pPr>
        <w:rPr>
          <w:rFonts w:cs="Arial"/>
          <w:szCs w:val="24"/>
        </w:rPr>
      </w:pPr>
      <w:r>
        <w:rPr>
          <w:rFonts w:cs="Arial"/>
          <w:szCs w:val="24"/>
        </w:rPr>
        <w:t xml:space="preserve">In terms of </w:t>
      </w:r>
      <w:r w:rsidR="007A3B76">
        <w:rPr>
          <w:rFonts w:cs="Arial"/>
          <w:szCs w:val="24"/>
        </w:rPr>
        <w:t xml:space="preserve">Kolb’s experiential learning cycle (Appendix </w:t>
      </w:r>
      <w:r w:rsidR="001B0DE1">
        <w:rPr>
          <w:rFonts w:cs="Arial"/>
          <w:szCs w:val="24"/>
        </w:rPr>
        <w:t>13.2, 13</w:t>
      </w:r>
      <w:r w:rsidR="00D52173">
        <w:rPr>
          <w:rFonts w:cs="Arial"/>
          <w:szCs w:val="24"/>
        </w:rPr>
        <w:t>.3</w:t>
      </w:r>
      <w:r w:rsidR="007A3B76">
        <w:rPr>
          <w:rFonts w:cs="Arial"/>
          <w:szCs w:val="24"/>
        </w:rPr>
        <w:t xml:space="preserve">), </w:t>
      </w:r>
      <w:r>
        <w:rPr>
          <w:rFonts w:cs="Arial"/>
          <w:szCs w:val="24"/>
        </w:rPr>
        <w:t xml:space="preserve">simulation fits </w:t>
      </w:r>
      <w:r w:rsidR="007A3B76">
        <w:rPr>
          <w:rFonts w:cs="Arial"/>
          <w:szCs w:val="24"/>
        </w:rPr>
        <w:t xml:space="preserve">particularly the concept of active experimentation, the idea of planning and trying out previous knowledge gained. </w:t>
      </w:r>
      <w:r w:rsidR="0091738C">
        <w:rPr>
          <w:rFonts w:cs="Arial"/>
          <w:szCs w:val="24"/>
        </w:rPr>
        <w:t>E</w:t>
      </w:r>
      <w:r w:rsidR="007A3B76">
        <w:rPr>
          <w:rFonts w:cs="Arial"/>
          <w:szCs w:val="24"/>
        </w:rPr>
        <w:t xml:space="preserve">xperiential learning leads to concrete </w:t>
      </w:r>
      <w:r w:rsidR="007A3B76">
        <w:rPr>
          <w:rFonts w:cs="Arial"/>
          <w:szCs w:val="24"/>
        </w:rPr>
        <w:lastRenderedPageBreak/>
        <w:t>learning with the support of reflective practice, support and feedback</w:t>
      </w:r>
      <w:r w:rsidR="0091738C">
        <w:rPr>
          <w:rFonts w:cs="Arial"/>
          <w:szCs w:val="24"/>
        </w:rPr>
        <w:t xml:space="preserve"> and</w:t>
      </w:r>
      <w:r w:rsidR="007A3B76">
        <w:rPr>
          <w:rFonts w:cs="Arial"/>
          <w:szCs w:val="24"/>
        </w:rPr>
        <w:t xml:space="preserve"> creates a reflective c</w:t>
      </w:r>
      <w:r w:rsidR="00C828DE">
        <w:rPr>
          <w:rFonts w:cs="Arial"/>
          <w:szCs w:val="24"/>
        </w:rPr>
        <w:t>yc</w:t>
      </w:r>
      <w:r w:rsidR="007A3B76">
        <w:rPr>
          <w:rFonts w:cs="Arial"/>
          <w:szCs w:val="24"/>
        </w:rPr>
        <w:t>le. This</w:t>
      </w:r>
      <w:r w:rsidR="00166E47">
        <w:rPr>
          <w:rFonts w:cs="Arial"/>
          <w:szCs w:val="24"/>
        </w:rPr>
        <w:t xml:space="preserve"> is transferable</w:t>
      </w:r>
      <w:r w:rsidR="007A3B76">
        <w:rPr>
          <w:rFonts w:cs="Arial"/>
          <w:szCs w:val="24"/>
        </w:rPr>
        <w:t xml:space="preserve"> </w:t>
      </w:r>
      <w:r w:rsidR="00166E47">
        <w:rPr>
          <w:rFonts w:cs="Arial"/>
          <w:szCs w:val="24"/>
        </w:rPr>
        <w:t xml:space="preserve">to learning in </w:t>
      </w:r>
      <w:r w:rsidR="007A3B76">
        <w:rPr>
          <w:rFonts w:cs="Arial"/>
          <w:szCs w:val="24"/>
        </w:rPr>
        <w:t>the clinical environment</w:t>
      </w:r>
      <w:r w:rsidR="00166E47">
        <w:rPr>
          <w:rFonts w:cs="Arial"/>
          <w:szCs w:val="24"/>
        </w:rPr>
        <w:t>. T</w:t>
      </w:r>
      <w:r w:rsidR="007A3B76">
        <w:rPr>
          <w:rFonts w:cs="Arial"/>
          <w:szCs w:val="24"/>
        </w:rPr>
        <w:t xml:space="preserve">he insight that refection offers helps </w:t>
      </w:r>
      <w:r>
        <w:rPr>
          <w:rFonts w:cs="Arial"/>
          <w:szCs w:val="24"/>
        </w:rPr>
        <w:t xml:space="preserve">develop transition to expert. </w:t>
      </w:r>
    </w:p>
    <w:p w14:paraId="17FB9930" w14:textId="1A572BCA" w:rsidR="00BE3957" w:rsidRDefault="007A3B76" w:rsidP="007A3B76">
      <w:pPr>
        <w:rPr>
          <w:rFonts w:cs="Arial"/>
          <w:szCs w:val="24"/>
        </w:rPr>
      </w:pPr>
      <w:r>
        <w:rPr>
          <w:rFonts w:cs="Arial"/>
          <w:szCs w:val="24"/>
        </w:rPr>
        <w:t xml:space="preserve">Miller’s pyramid </w:t>
      </w:r>
      <w:r w:rsidR="0031421D">
        <w:rPr>
          <w:rFonts w:cs="Arial"/>
          <w:szCs w:val="24"/>
        </w:rPr>
        <w:t>(</w:t>
      </w:r>
      <w:r>
        <w:rPr>
          <w:rFonts w:cs="Arial"/>
          <w:szCs w:val="24"/>
        </w:rPr>
        <w:t xml:space="preserve">Appendix </w:t>
      </w:r>
      <w:r w:rsidR="001B0DE1">
        <w:rPr>
          <w:rFonts w:cs="Arial"/>
          <w:szCs w:val="24"/>
        </w:rPr>
        <w:t>13</w:t>
      </w:r>
      <w:r w:rsidR="00D52173">
        <w:rPr>
          <w:rFonts w:cs="Arial"/>
          <w:szCs w:val="24"/>
        </w:rPr>
        <w:t>.</w:t>
      </w:r>
      <w:r>
        <w:rPr>
          <w:rFonts w:cs="Arial"/>
          <w:szCs w:val="24"/>
        </w:rPr>
        <w:t>4</w:t>
      </w:r>
      <w:r w:rsidR="002938BF">
        <w:rPr>
          <w:rFonts w:cs="Arial"/>
          <w:szCs w:val="24"/>
        </w:rPr>
        <w:t>)</w:t>
      </w:r>
      <w:r>
        <w:rPr>
          <w:rFonts w:cs="Arial"/>
          <w:szCs w:val="24"/>
        </w:rPr>
        <w:t xml:space="preserve"> diagrammatically represents the process of gaining clinical competence. It works </w:t>
      </w:r>
      <w:r w:rsidR="0031421D">
        <w:rPr>
          <w:rFonts w:cs="Arial"/>
          <w:szCs w:val="24"/>
        </w:rPr>
        <w:t>from</w:t>
      </w:r>
      <w:r>
        <w:rPr>
          <w:rFonts w:cs="Arial"/>
          <w:szCs w:val="24"/>
        </w:rPr>
        <w:t xml:space="preserve"> the </w:t>
      </w:r>
      <w:r w:rsidR="00511ED1">
        <w:rPr>
          <w:rFonts w:cs="Arial"/>
          <w:szCs w:val="24"/>
        </w:rPr>
        <w:t>base, which</w:t>
      </w:r>
      <w:r w:rsidR="0031421D">
        <w:rPr>
          <w:rFonts w:cs="Arial"/>
          <w:szCs w:val="24"/>
        </w:rPr>
        <w:t xml:space="preserve"> </w:t>
      </w:r>
      <w:r>
        <w:rPr>
          <w:rFonts w:cs="Arial"/>
          <w:szCs w:val="24"/>
        </w:rPr>
        <w:t>represents knowledge</w:t>
      </w:r>
      <w:r w:rsidR="0031421D">
        <w:rPr>
          <w:rFonts w:cs="Arial"/>
          <w:szCs w:val="24"/>
        </w:rPr>
        <w:t xml:space="preserve">, </w:t>
      </w:r>
      <w:r>
        <w:rPr>
          <w:rFonts w:cs="Arial"/>
          <w:szCs w:val="24"/>
        </w:rPr>
        <w:t xml:space="preserve">then moves </w:t>
      </w:r>
      <w:r w:rsidR="000A27DF">
        <w:rPr>
          <w:rFonts w:cs="Arial"/>
          <w:szCs w:val="24"/>
        </w:rPr>
        <w:t>into</w:t>
      </w:r>
      <w:r>
        <w:rPr>
          <w:rFonts w:cs="Arial"/>
          <w:szCs w:val="24"/>
        </w:rPr>
        <w:t xml:space="preserve"> ‘knows how’</w:t>
      </w:r>
      <w:r w:rsidR="0031421D">
        <w:rPr>
          <w:rFonts w:cs="Arial"/>
          <w:szCs w:val="24"/>
        </w:rPr>
        <w:t>,</w:t>
      </w:r>
      <w:r>
        <w:rPr>
          <w:rFonts w:cs="Arial"/>
          <w:szCs w:val="24"/>
        </w:rPr>
        <w:t xml:space="preserve"> when that knowledge can be applied. The top half of the pyramid is concerned with behaviour</w:t>
      </w:r>
      <w:r w:rsidR="0031421D">
        <w:rPr>
          <w:rFonts w:cs="Arial"/>
          <w:szCs w:val="24"/>
        </w:rPr>
        <w:t>,</w:t>
      </w:r>
      <w:r>
        <w:rPr>
          <w:rFonts w:cs="Arial"/>
          <w:szCs w:val="24"/>
        </w:rPr>
        <w:t xml:space="preserve"> </w:t>
      </w:r>
      <w:r w:rsidR="00166E47">
        <w:rPr>
          <w:rFonts w:cs="Arial"/>
          <w:szCs w:val="24"/>
        </w:rPr>
        <w:t xml:space="preserve">or </w:t>
      </w:r>
      <w:r>
        <w:rPr>
          <w:rFonts w:cs="Arial"/>
          <w:szCs w:val="24"/>
        </w:rPr>
        <w:t xml:space="preserve">being able to ‘show how’ through simulated </w:t>
      </w:r>
      <w:r w:rsidR="00166E47">
        <w:rPr>
          <w:rFonts w:cs="Arial"/>
          <w:szCs w:val="24"/>
        </w:rPr>
        <w:t xml:space="preserve">or clinical </w:t>
      </w:r>
      <w:r>
        <w:rPr>
          <w:rFonts w:cs="Arial"/>
          <w:szCs w:val="24"/>
        </w:rPr>
        <w:t>practice. The peak of the pyramid ‘does’</w:t>
      </w:r>
      <w:r w:rsidR="00685655">
        <w:rPr>
          <w:rFonts w:cs="Arial"/>
          <w:szCs w:val="24"/>
        </w:rPr>
        <w:t>,</w:t>
      </w:r>
      <w:r>
        <w:rPr>
          <w:rFonts w:cs="Arial"/>
          <w:szCs w:val="24"/>
        </w:rPr>
        <w:t xml:space="preserve"> is described as the point at which the individual is practi</w:t>
      </w:r>
      <w:r w:rsidR="00685655">
        <w:rPr>
          <w:rFonts w:cs="Arial"/>
          <w:szCs w:val="24"/>
        </w:rPr>
        <w:t>s</w:t>
      </w:r>
      <w:r>
        <w:rPr>
          <w:rFonts w:cs="Arial"/>
          <w:szCs w:val="24"/>
        </w:rPr>
        <w:t>ing in the workplace</w:t>
      </w:r>
      <w:r w:rsidR="00685655">
        <w:rPr>
          <w:rFonts w:cs="Arial"/>
          <w:szCs w:val="24"/>
        </w:rPr>
        <w:t>,</w:t>
      </w:r>
      <w:r>
        <w:rPr>
          <w:rFonts w:cs="Arial"/>
          <w:szCs w:val="24"/>
        </w:rPr>
        <w:t xml:space="preserve"> being observed and </w:t>
      </w:r>
      <w:r w:rsidR="00685655">
        <w:rPr>
          <w:rFonts w:cs="Arial"/>
          <w:szCs w:val="24"/>
        </w:rPr>
        <w:t>is</w:t>
      </w:r>
      <w:r>
        <w:rPr>
          <w:rFonts w:cs="Arial"/>
          <w:szCs w:val="24"/>
        </w:rPr>
        <w:t xml:space="preserve"> truly performing. The domains alongside these tiers are attitudes, skills and knowledge</w:t>
      </w:r>
      <w:r w:rsidR="0031421D">
        <w:rPr>
          <w:rFonts w:cs="Arial"/>
          <w:szCs w:val="24"/>
        </w:rPr>
        <w:t>. T</w:t>
      </w:r>
      <w:r>
        <w:rPr>
          <w:rFonts w:cs="Arial"/>
          <w:szCs w:val="24"/>
        </w:rPr>
        <w:t xml:space="preserve">he individual at the base of the pyramid </w:t>
      </w:r>
      <w:r w:rsidR="0031421D">
        <w:rPr>
          <w:rFonts w:cs="Arial"/>
          <w:szCs w:val="24"/>
        </w:rPr>
        <w:t>is labelled</w:t>
      </w:r>
      <w:r>
        <w:rPr>
          <w:rFonts w:cs="Arial"/>
          <w:szCs w:val="24"/>
        </w:rPr>
        <w:t xml:space="preserve"> a </w:t>
      </w:r>
      <w:r w:rsidR="00685655">
        <w:rPr>
          <w:rFonts w:cs="Arial"/>
          <w:szCs w:val="24"/>
        </w:rPr>
        <w:t>‘</w:t>
      </w:r>
      <w:r>
        <w:rPr>
          <w:rFonts w:cs="Arial"/>
          <w:szCs w:val="24"/>
        </w:rPr>
        <w:t>novice</w:t>
      </w:r>
      <w:r w:rsidR="00685655">
        <w:rPr>
          <w:rFonts w:cs="Arial"/>
          <w:szCs w:val="24"/>
        </w:rPr>
        <w:t>’</w:t>
      </w:r>
      <w:r>
        <w:rPr>
          <w:rFonts w:cs="Arial"/>
          <w:szCs w:val="24"/>
        </w:rPr>
        <w:t xml:space="preserve"> and at the peak</w:t>
      </w:r>
      <w:r w:rsidR="0031421D">
        <w:rPr>
          <w:rFonts w:cs="Arial"/>
          <w:szCs w:val="24"/>
        </w:rPr>
        <w:t>,</w:t>
      </w:r>
      <w:r>
        <w:rPr>
          <w:rFonts w:cs="Arial"/>
          <w:szCs w:val="24"/>
        </w:rPr>
        <w:t xml:space="preserve"> an ‘expert’. This concept of ‘expert’ or ‘mastery’ is interesting and suggests individuals are objectively</w:t>
      </w:r>
      <w:r w:rsidR="0031421D">
        <w:rPr>
          <w:rFonts w:cs="Arial"/>
          <w:szCs w:val="24"/>
        </w:rPr>
        <w:t xml:space="preserve"> compared</w:t>
      </w:r>
      <w:r>
        <w:rPr>
          <w:rFonts w:cs="Arial"/>
          <w:szCs w:val="24"/>
        </w:rPr>
        <w:t xml:space="preserve"> </w:t>
      </w:r>
      <w:r w:rsidR="0031421D">
        <w:rPr>
          <w:rFonts w:cs="Arial"/>
          <w:szCs w:val="24"/>
        </w:rPr>
        <w:t xml:space="preserve">with </w:t>
      </w:r>
      <w:r>
        <w:rPr>
          <w:rFonts w:cs="Arial"/>
          <w:szCs w:val="24"/>
        </w:rPr>
        <w:t xml:space="preserve">the benchmark of an expert performing. This particular </w:t>
      </w:r>
      <w:r w:rsidR="0031421D">
        <w:rPr>
          <w:rFonts w:cs="Arial"/>
          <w:szCs w:val="24"/>
        </w:rPr>
        <w:t>model</w:t>
      </w:r>
      <w:r>
        <w:rPr>
          <w:rFonts w:cs="Arial"/>
          <w:szCs w:val="24"/>
        </w:rPr>
        <w:t xml:space="preserve"> brings in professional authenticity, which is demonstrated as a transition through novice to expert. </w:t>
      </w:r>
    </w:p>
    <w:p w14:paraId="44986A56" w14:textId="75FB1231" w:rsidR="007A3B76" w:rsidRDefault="007A3B76" w:rsidP="007A3B76">
      <w:pPr>
        <w:rPr>
          <w:rFonts w:cs="Arial"/>
          <w:szCs w:val="24"/>
        </w:rPr>
      </w:pPr>
      <w:r>
        <w:rPr>
          <w:rFonts w:cs="Arial"/>
          <w:szCs w:val="24"/>
        </w:rPr>
        <w:t xml:space="preserve">On the face of it this diagram appears simple and clear. Learn facts, apply them, show you can perform in a safe simulated environment then perform on the ward and </w:t>
      </w:r>
      <w:r w:rsidR="00905C08">
        <w:rPr>
          <w:rFonts w:cs="Arial"/>
          <w:szCs w:val="24"/>
        </w:rPr>
        <w:t>practice</w:t>
      </w:r>
      <w:r w:rsidR="00BE3957">
        <w:rPr>
          <w:rFonts w:cs="Arial"/>
          <w:szCs w:val="24"/>
        </w:rPr>
        <w:t>,</w:t>
      </w:r>
      <w:r>
        <w:rPr>
          <w:rFonts w:cs="Arial"/>
          <w:szCs w:val="24"/>
        </w:rPr>
        <w:t xml:space="preserve"> then you will be</w:t>
      </w:r>
      <w:r w:rsidR="00BE3957">
        <w:rPr>
          <w:rFonts w:cs="Arial"/>
          <w:szCs w:val="24"/>
        </w:rPr>
        <w:t>come</w:t>
      </w:r>
      <w:r>
        <w:rPr>
          <w:rFonts w:cs="Arial"/>
          <w:szCs w:val="24"/>
        </w:rPr>
        <w:t xml:space="preserve"> an expert. It is difficult to interpret any further steps of complexity within this learning trajectory. </w:t>
      </w:r>
      <w:r w:rsidR="002874D3">
        <w:rPr>
          <w:rFonts w:cs="Arial"/>
          <w:szCs w:val="24"/>
        </w:rPr>
        <w:fldChar w:fldCharType="begin"/>
      </w:r>
      <w:r w:rsidR="005823F4">
        <w:rPr>
          <w:rFonts w:cs="Arial"/>
          <w:szCs w:val="24"/>
        </w:rPr>
        <w:instrText xml:space="preserve"> ADDIN EN.CITE &lt;EndNote&gt;&lt;Cite&gt;&lt;Author&gt;Colliver&lt;/Author&gt;&lt;Year&gt;2002&lt;/Year&gt;&lt;IDText&gt;Educational theory and medical education practice: a cautionary note for medical school faculty&lt;/IDText&gt;&lt;DisplayText&gt;(Colliver, 2002)&lt;/DisplayText&gt;&lt;record&gt;&lt;dates&gt;&lt;pub-dates&gt;&lt;date&gt;Dec&lt;/date&gt;&lt;/pub-dates&gt;&lt;year&gt;2002&lt;/year&gt;&lt;/dates&gt;&lt;keywords&gt;&lt;keyword&gt;Education, Medical&lt;/keyword&gt;&lt;keyword&gt;Evidence-Based Medicine&lt;/keyword&gt;&lt;keyword&gt;Faculty, Medical&lt;/keyword&gt;&lt;keyword&gt;Humans&lt;/keyword&gt;&lt;keyword&gt;Metaphor&lt;/keyword&gt;&lt;keyword&gt;Models, Educational&lt;/keyword&gt;&lt;keyword&gt;Practice Patterns, Physicians&amp;apos;&lt;/keyword&gt;&lt;keyword&gt;Schools, Medical&lt;/keyword&gt;&lt;/keywords&gt;&lt;urls&gt;&lt;related-urls&gt;&lt;url&gt;http://www.ncbi.nlm.nih.gov/pubmed/12480626&lt;/url&gt;&lt;/related-urls&gt;&lt;/urls&gt;&lt;isbn&gt;1040-2446&lt;/isbn&gt;&lt;titles&gt;&lt;title&gt;Educational theory and medical education practice: a cautionary note for medical school faculty&lt;/title&gt;&lt;secondary-title&gt;Acad Med&lt;/secondary-title&gt;&lt;/titles&gt;&lt;pages&gt;1217-20&lt;/pages&gt;&lt;number&gt;12 Pt 1&lt;/number&gt;&lt;contributors&gt;&lt;authors&gt;&lt;author&gt;Colliver, J. A.&lt;/author&gt;&lt;/authors&gt;&lt;/contributors&gt;&lt;language&gt;eng&lt;/language&gt;&lt;added-date format="utc"&gt;1457006255&lt;/added-date&gt;&lt;ref-type name="Journal Article"&gt;17&lt;/ref-type&gt;&lt;rec-number&gt;210&lt;/rec-number&gt;&lt;last-updated-date format="utc"&gt;1457006255&lt;/last-updated-date&gt;&lt;accession-num&gt;12480626&lt;/accession-num&gt;&lt;volume&gt;77&lt;/volume&gt;&lt;/record&gt;&lt;/Cite&gt;&lt;/EndNote&gt;</w:instrText>
      </w:r>
      <w:r w:rsidR="002874D3">
        <w:rPr>
          <w:rFonts w:cs="Arial"/>
          <w:szCs w:val="24"/>
        </w:rPr>
        <w:fldChar w:fldCharType="separate"/>
      </w:r>
      <w:r w:rsidR="003961BA">
        <w:rPr>
          <w:rFonts w:cs="Arial"/>
          <w:noProof/>
          <w:szCs w:val="24"/>
        </w:rPr>
        <w:t>Colliver</w:t>
      </w:r>
      <w:r w:rsidR="005823F4">
        <w:rPr>
          <w:rFonts w:cs="Arial"/>
          <w:noProof/>
          <w:szCs w:val="24"/>
        </w:rPr>
        <w:t xml:space="preserve"> </w:t>
      </w:r>
      <w:r w:rsidR="003961BA">
        <w:rPr>
          <w:rFonts w:cs="Arial"/>
          <w:noProof/>
          <w:szCs w:val="24"/>
        </w:rPr>
        <w:t>(</w:t>
      </w:r>
      <w:r w:rsidR="005823F4">
        <w:rPr>
          <w:rFonts w:cs="Arial"/>
          <w:noProof/>
          <w:szCs w:val="24"/>
        </w:rPr>
        <w:t>2002)</w:t>
      </w:r>
      <w:r w:rsidR="002874D3">
        <w:rPr>
          <w:rFonts w:cs="Arial"/>
          <w:szCs w:val="24"/>
        </w:rPr>
        <w:fldChar w:fldCharType="end"/>
      </w:r>
      <w:r w:rsidR="002874D3">
        <w:rPr>
          <w:rFonts w:cs="Arial"/>
          <w:szCs w:val="24"/>
        </w:rPr>
        <w:t xml:space="preserve"> </w:t>
      </w:r>
      <w:r>
        <w:rPr>
          <w:rFonts w:cs="Arial"/>
          <w:szCs w:val="24"/>
        </w:rPr>
        <w:t>states that we know ‘very little about how the brain works’ and that certain educational theoretical frameworks rely on this lack of understanding so that they are simply accepted</w:t>
      </w:r>
      <w:r w:rsidR="002874D3">
        <w:rPr>
          <w:rFonts w:cs="Arial"/>
          <w:szCs w:val="24"/>
        </w:rPr>
        <w:t>.</w:t>
      </w:r>
    </w:p>
    <w:p w14:paraId="263433D8" w14:textId="62F4B1CC" w:rsidR="007A3B76" w:rsidRDefault="007A3B76" w:rsidP="007A3B76">
      <w:pPr>
        <w:rPr>
          <w:rFonts w:cs="Arial"/>
          <w:szCs w:val="24"/>
        </w:rPr>
      </w:pPr>
      <w:proofErr w:type="spellStart"/>
      <w:r>
        <w:rPr>
          <w:rFonts w:cs="Arial"/>
          <w:szCs w:val="24"/>
        </w:rPr>
        <w:lastRenderedPageBreak/>
        <w:t>Eraut</w:t>
      </w:r>
      <w:proofErr w:type="spellEnd"/>
      <w:r w:rsidR="002874D3">
        <w:rPr>
          <w:rFonts w:cs="Arial"/>
          <w:szCs w:val="24"/>
        </w:rPr>
        <w:t xml:space="preserve"> (1994)</w:t>
      </w:r>
      <w:r w:rsidR="0031421D">
        <w:rPr>
          <w:rFonts w:cs="Arial"/>
          <w:szCs w:val="24"/>
        </w:rPr>
        <w:t>,</w:t>
      </w:r>
      <w:r>
        <w:rPr>
          <w:rFonts w:cs="Arial"/>
          <w:szCs w:val="24"/>
        </w:rPr>
        <w:t xml:space="preserve"> in describing professional knowledge and competence</w:t>
      </w:r>
      <w:r w:rsidR="0031421D">
        <w:rPr>
          <w:rFonts w:cs="Arial"/>
          <w:szCs w:val="24"/>
        </w:rPr>
        <w:t>,</w:t>
      </w:r>
      <w:r>
        <w:rPr>
          <w:rFonts w:cs="Arial"/>
          <w:szCs w:val="24"/>
        </w:rPr>
        <w:t xml:space="preserve"> refers to the Dreyfus</w:t>
      </w:r>
      <w:r w:rsidR="002874D3">
        <w:rPr>
          <w:rFonts w:cs="Arial"/>
          <w:szCs w:val="24"/>
        </w:rPr>
        <w:t xml:space="preserve"> (1981,1984)</w:t>
      </w:r>
      <w:r>
        <w:rPr>
          <w:rFonts w:cs="Arial"/>
          <w:szCs w:val="24"/>
        </w:rPr>
        <w:t xml:space="preserve"> model of skill acquisition (Appendix </w:t>
      </w:r>
      <w:r w:rsidR="001B0DE1">
        <w:rPr>
          <w:rFonts w:cs="Arial"/>
          <w:szCs w:val="24"/>
        </w:rPr>
        <w:t>13</w:t>
      </w:r>
      <w:r w:rsidR="00D52173">
        <w:rPr>
          <w:rFonts w:cs="Arial"/>
          <w:szCs w:val="24"/>
        </w:rPr>
        <w:t>.</w:t>
      </w:r>
      <w:r>
        <w:rPr>
          <w:rFonts w:cs="Arial"/>
          <w:szCs w:val="24"/>
        </w:rPr>
        <w:t>5)</w:t>
      </w:r>
      <w:r w:rsidR="0031421D">
        <w:rPr>
          <w:rFonts w:cs="Arial"/>
          <w:szCs w:val="24"/>
        </w:rPr>
        <w:t>.</w:t>
      </w:r>
      <w:r>
        <w:rPr>
          <w:rFonts w:cs="Arial"/>
          <w:szCs w:val="24"/>
        </w:rPr>
        <w:t xml:space="preserve"> </w:t>
      </w:r>
      <w:r w:rsidR="0031421D">
        <w:rPr>
          <w:rFonts w:cs="Arial"/>
          <w:szCs w:val="24"/>
        </w:rPr>
        <w:t>This</w:t>
      </w:r>
      <w:r>
        <w:rPr>
          <w:rFonts w:cs="Arial"/>
          <w:szCs w:val="24"/>
        </w:rPr>
        <w:t xml:space="preserve"> puts more emphasis on ‘</w:t>
      </w:r>
      <w:r w:rsidR="001D42C9">
        <w:rPr>
          <w:rFonts w:cs="Arial"/>
          <w:szCs w:val="24"/>
        </w:rPr>
        <w:t>decision-making</w:t>
      </w:r>
      <w:r>
        <w:rPr>
          <w:rFonts w:cs="Arial"/>
          <w:szCs w:val="24"/>
        </w:rPr>
        <w:t xml:space="preserve"> and perception’ than actions</w:t>
      </w:r>
      <w:r w:rsidR="0031421D">
        <w:rPr>
          <w:rFonts w:cs="Arial"/>
          <w:szCs w:val="24"/>
        </w:rPr>
        <w:t>,</w:t>
      </w:r>
      <w:r>
        <w:rPr>
          <w:rFonts w:cs="Arial"/>
          <w:szCs w:val="24"/>
        </w:rPr>
        <w:t xml:space="preserve"> which fits more with </w:t>
      </w:r>
      <w:r w:rsidR="00F6438B">
        <w:rPr>
          <w:rFonts w:cs="Arial"/>
          <w:szCs w:val="24"/>
        </w:rPr>
        <w:t>us</w:t>
      </w:r>
      <w:r w:rsidR="00685655">
        <w:rPr>
          <w:rFonts w:cs="Arial"/>
          <w:szCs w:val="24"/>
        </w:rPr>
        <w:t>ing</w:t>
      </w:r>
      <w:r>
        <w:rPr>
          <w:rFonts w:cs="Arial"/>
          <w:szCs w:val="24"/>
        </w:rPr>
        <w:t xml:space="preserve"> simulation to gain competence </w:t>
      </w:r>
      <w:r>
        <w:rPr>
          <w:rFonts w:cs="Arial"/>
          <w:szCs w:val="24"/>
        </w:rPr>
        <w:fldChar w:fldCharType="begin"/>
      </w:r>
      <w:r w:rsidR="00B159B8">
        <w:rPr>
          <w:rFonts w:cs="Arial"/>
          <w:szCs w:val="24"/>
        </w:rPr>
        <w:instrText xml:space="preserve"> ADDIN EN.CITE &lt;EndNote&gt;&lt;Cite&gt;&lt;Author&gt;Eraut&lt;/Author&gt;&lt;Year&gt;1994&lt;/Year&gt;&lt;IDText&gt;Developing Professional Knowledge and Competence&lt;/IDText&gt;&lt;DisplayText&gt;(Eraut, 1994)&lt;/DisplayText&gt;&lt;record&gt;&lt;isbn&gt;0 7507 0331 8&lt;/isbn&gt;&lt;titles&gt;&lt;title&gt;Developing Professional Knowledge and Competence&lt;/title&gt;&lt;/titles&gt;&lt;contributors&gt;&lt;authors&gt;&lt;author&gt;Eraut, Michael&lt;/author&gt;&lt;/authors&gt;&lt;/contributors&gt;&lt;added-date format="utc"&gt;1464771400&lt;/added-date&gt;&lt;pub-location&gt;Oxon&lt;/pub-location&gt;&lt;ref-type name="Book"&gt;6&lt;/ref-type&gt;&lt;dates&gt;&lt;year&gt;1994&lt;/year&gt;&lt;/dates&gt;&lt;rec-number&gt;251&lt;/rec-number&gt;&lt;publisher&gt;Routledge: Taylor &amp;amp; Francis group&lt;/publisher&gt;&lt;last-updated-date format="utc"&gt;1464771561&lt;/last-updated-date&gt;&lt;/record&gt;&lt;/Cite&gt;&lt;/EndNote&gt;</w:instrText>
      </w:r>
      <w:r>
        <w:rPr>
          <w:rFonts w:cs="Arial"/>
          <w:szCs w:val="24"/>
        </w:rPr>
        <w:fldChar w:fldCharType="separate"/>
      </w:r>
      <w:r w:rsidR="00B159B8">
        <w:rPr>
          <w:rFonts w:cs="Arial"/>
          <w:noProof/>
          <w:szCs w:val="24"/>
        </w:rPr>
        <w:t>(Eraut, 1994</w:t>
      </w:r>
      <w:r w:rsidR="003961BA">
        <w:rPr>
          <w:rFonts w:cs="Arial"/>
          <w:noProof/>
          <w:szCs w:val="24"/>
        </w:rPr>
        <w:t>;</w:t>
      </w:r>
      <w:r>
        <w:rPr>
          <w:rFonts w:cs="Arial"/>
          <w:szCs w:val="24"/>
        </w:rPr>
        <w:fldChar w:fldCharType="end"/>
      </w:r>
      <w:r w:rsidR="00430FEB">
        <w:rPr>
          <w:rFonts w:cs="Arial"/>
          <w:szCs w:val="24"/>
        </w:rPr>
        <w:t xml:space="preserve"> </w:t>
      </w:r>
      <w:r>
        <w:rPr>
          <w:rFonts w:cs="Arial"/>
          <w:szCs w:val="24"/>
        </w:rPr>
        <w:t>p124). This model describes ‘</w:t>
      </w:r>
      <w:r w:rsidR="00685655">
        <w:rPr>
          <w:rFonts w:cs="Arial"/>
          <w:szCs w:val="24"/>
        </w:rPr>
        <w:t>L</w:t>
      </w:r>
      <w:r>
        <w:rPr>
          <w:rFonts w:cs="Arial"/>
          <w:szCs w:val="24"/>
        </w:rPr>
        <w:t>evel 5:</w:t>
      </w:r>
      <w:r w:rsidR="0031421D">
        <w:rPr>
          <w:rFonts w:cs="Arial"/>
          <w:szCs w:val="24"/>
        </w:rPr>
        <w:t xml:space="preserve"> </w:t>
      </w:r>
      <w:r>
        <w:rPr>
          <w:rFonts w:cs="Arial"/>
          <w:szCs w:val="24"/>
        </w:rPr>
        <w:t>Expert’ as someone having an ‘intuitive grasp of situations based on deep tacit understanding’</w:t>
      </w:r>
      <w:r w:rsidR="00685655">
        <w:rPr>
          <w:rFonts w:cs="Arial"/>
          <w:szCs w:val="24"/>
        </w:rPr>
        <w:t>,</w:t>
      </w:r>
      <w:r>
        <w:rPr>
          <w:rFonts w:cs="Arial"/>
          <w:szCs w:val="24"/>
        </w:rPr>
        <w:t xml:space="preserve"> and employing analytic approaches only when trouble</w:t>
      </w:r>
      <w:r w:rsidR="00685655">
        <w:rPr>
          <w:rFonts w:cs="Arial"/>
          <w:szCs w:val="24"/>
        </w:rPr>
        <w:t>-</w:t>
      </w:r>
      <w:r>
        <w:rPr>
          <w:rFonts w:cs="Arial"/>
          <w:szCs w:val="24"/>
        </w:rPr>
        <w:t>shooting problems. When complex situations become more automatic the expert has space to also forward plan. This ‘vision’ may represent important clinical leadership skills</w:t>
      </w:r>
      <w:r w:rsidR="00685655">
        <w:rPr>
          <w:rFonts w:cs="Arial"/>
          <w:szCs w:val="24"/>
        </w:rPr>
        <w:t>.</w:t>
      </w:r>
      <w:r>
        <w:rPr>
          <w:rFonts w:cs="Arial"/>
          <w:szCs w:val="24"/>
        </w:rPr>
        <w:t xml:space="preserve"> </w:t>
      </w:r>
    </w:p>
    <w:p w14:paraId="3BB5ADB3" w14:textId="4B0CA448" w:rsidR="007A3B76" w:rsidRDefault="007A3B76" w:rsidP="007A3B76">
      <w:pPr>
        <w:rPr>
          <w:rFonts w:cs="Arial"/>
          <w:szCs w:val="24"/>
        </w:rPr>
      </w:pPr>
      <w:r>
        <w:rPr>
          <w:rFonts w:cs="Arial"/>
          <w:szCs w:val="24"/>
        </w:rPr>
        <w:t>The Dreyfus model</w:t>
      </w:r>
      <w:r w:rsidR="002874D3">
        <w:rPr>
          <w:rFonts w:cs="Arial"/>
          <w:szCs w:val="24"/>
        </w:rPr>
        <w:t xml:space="preserve"> (1981,1984)</w:t>
      </w:r>
      <w:r>
        <w:rPr>
          <w:rFonts w:cs="Arial"/>
          <w:szCs w:val="24"/>
        </w:rPr>
        <w:t xml:space="preserve"> is based on experiential learning and competence achieved through ‘carry</w:t>
      </w:r>
      <w:r w:rsidR="00351E96">
        <w:rPr>
          <w:rFonts w:cs="Arial"/>
          <w:szCs w:val="24"/>
        </w:rPr>
        <w:t>ing</w:t>
      </w:r>
      <w:r>
        <w:rPr>
          <w:rFonts w:cs="Arial"/>
          <w:szCs w:val="24"/>
        </w:rPr>
        <w:t xml:space="preserve"> out routine procedures under pressure and to plan ahead’. </w:t>
      </w:r>
      <w:proofErr w:type="spellStart"/>
      <w:r>
        <w:rPr>
          <w:rFonts w:cs="Arial"/>
          <w:szCs w:val="24"/>
        </w:rPr>
        <w:t>Eraut</w:t>
      </w:r>
      <w:proofErr w:type="spellEnd"/>
      <w:r>
        <w:rPr>
          <w:rFonts w:cs="Arial"/>
          <w:szCs w:val="24"/>
        </w:rPr>
        <w:t xml:space="preserve"> </w:t>
      </w:r>
      <w:r w:rsidR="002874D3">
        <w:rPr>
          <w:rFonts w:cs="Arial"/>
          <w:szCs w:val="24"/>
        </w:rPr>
        <w:t xml:space="preserve">(1994) </w:t>
      </w:r>
      <w:r>
        <w:rPr>
          <w:rFonts w:cs="Arial"/>
          <w:szCs w:val="24"/>
        </w:rPr>
        <w:t xml:space="preserve">describes how this highlights the importance of recognition and discrimination between tasks and procedures and situational understanding. </w:t>
      </w:r>
      <w:r w:rsidR="00511ED1">
        <w:rPr>
          <w:rFonts w:cs="Arial"/>
          <w:szCs w:val="24"/>
        </w:rPr>
        <w:t xml:space="preserve">Automaticity for the routine allows opportunity for thinking and planning ahead and adverse pattern recognition, which facilitates prompt decision-making. </w:t>
      </w:r>
      <w:r>
        <w:rPr>
          <w:rFonts w:cs="Arial"/>
          <w:szCs w:val="24"/>
        </w:rPr>
        <w:t>The question highlighted here relates to whether these skills can be developed and nurtured early amongst the undergraduate medical student population</w:t>
      </w:r>
      <w:r w:rsidR="00BE3957">
        <w:rPr>
          <w:rFonts w:cs="Arial"/>
          <w:szCs w:val="24"/>
        </w:rPr>
        <w:t>,</w:t>
      </w:r>
      <w:r>
        <w:rPr>
          <w:rFonts w:cs="Arial"/>
          <w:szCs w:val="24"/>
        </w:rPr>
        <w:t xml:space="preserve"> rather than </w:t>
      </w:r>
      <w:r w:rsidR="00BE3957">
        <w:rPr>
          <w:rFonts w:cs="Arial"/>
          <w:szCs w:val="24"/>
        </w:rPr>
        <w:t xml:space="preserve">requiring </w:t>
      </w:r>
      <w:r>
        <w:rPr>
          <w:rFonts w:cs="Arial"/>
          <w:szCs w:val="24"/>
        </w:rPr>
        <w:t>years of experience until ‘expert’ status</w:t>
      </w:r>
      <w:r w:rsidR="00BE3957">
        <w:rPr>
          <w:rFonts w:cs="Arial"/>
          <w:szCs w:val="24"/>
        </w:rPr>
        <w:t xml:space="preserve"> is reached</w:t>
      </w:r>
      <w:r>
        <w:rPr>
          <w:rFonts w:cs="Arial"/>
          <w:szCs w:val="24"/>
        </w:rPr>
        <w:t xml:space="preserve">. </w:t>
      </w:r>
    </w:p>
    <w:p w14:paraId="79203DA3" w14:textId="467A6BB2" w:rsidR="00351E96" w:rsidRDefault="007A3B76" w:rsidP="007A3B76">
      <w:pPr>
        <w:rPr>
          <w:rFonts w:cs="Arial"/>
          <w:szCs w:val="24"/>
        </w:rPr>
      </w:pPr>
      <w:r>
        <w:rPr>
          <w:rFonts w:cs="Arial"/>
          <w:szCs w:val="24"/>
        </w:rPr>
        <w:t>Ericsson</w:t>
      </w:r>
      <w:r w:rsidR="00A02961" w:rsidRPr="00A02961">
        <w:rPr>
          <w:rFonts w:cs="Arial"/>
          <w:szCs w:val="24"/>
        </w:rPr>
        <w:t xml:space="preserve"> </w:t>
      </w:r>
      <w:r w:rsidR="00F170AF">
        <w:rPr>
          <w:rFonts w:cs="Arial"/>
          <w:szCs w:val="24"/>
        </w:rPr>
        <w:t xml:space="preserve">(2004) </w:t>
      </w:r>
      <w:r w:rsidR="00A02961">
        <w:rPr>
          <w:rFonts w:cs="Arial"/>
          <w:szCs w:val="24"/>
        </w:rPr>
        <w:t>highlights the importance of experience and</w:t>
      </w:r>
      <w:r>
        <w:rPr>
          <w:rFonts w:cs="Arial"/>
          <w:szCs w:val="24"/>
        </w:rPr>
        <w:t xml:space="preserve"> echoes this lack of understanding surrounding the factors responsible for ‘large individual differences in professional achievement’</w:t>
      </w:r>
      <w:r w:rsidR="00A02961">
        <w:rPr>
          <w:rFonts w:cs="Arial"/>
          <w:szCs w:val="24"/>
        </w:rPr>
        <w:t xml:space="preserve">. </w:t>
      </w:r>
      <w:r>
        <w:rPr>
          <w:rFonts w:cs="Arial"/>
          <w:szCs w:val="24"/>
        </w:rPr>
        <w:t xml:space="preserve">He describes the ‘overwhelming’ nature of transitioning from education to a ‘professional domain’, then requiring ‘months or years of experience to reach an acceptable level of proficiency to </w:t>
      </w:r>
      <w:r>
        <w:rPr>
          <w:rFonts w:cs="Arial"/>
          <w:szCs w:val="24"/>
        </w:rPr>
        <w:lastRenderedPageBreak/>
        <w:t xml:space="preserve">work independently’, this is different </w:t>
      </w:r>
      <w:r w:rsidR="00351E96">
        <w:rPr>
          <w:rFonts w:cs="Arial"/>
          <w:szCs w:val="24"/>
        </w:rPr>
        <w:t>to</w:t>
      </w:r>
      <w:r>
        <w:rPr>
          <w:rFonts w:cs="Arial"/>
          <w:szCs w:val="24"/>
        </w:rPr>
        <w:t xml:space="preserve"> how development of an expert is </w:t>
      </w:r>
      <w:r w:rsidR="00BE3957">
        <w:rPr>
          <w:rFonts w:cs="Arial"/>
          <w:szCs w:val="24"/>
        </w:rPr>
        <w:t xml:space="preserve">portrayed </w:t>
      </w:r>
      <w:r>
        <w:rPr>
          <w:rFonts w:cs="Arial"/>
          <w:szCs w:val="24"/>
        </w:rPr>
        <w:t>within Miller’s pyramid as described above</w:t>
      </w:r>
      <w:r w:rsidR="00F350A3">
        <w:rPr>
          <w:rFonts w:cs="Arial"/>
          <w:szCs w:val="24"/>
        </w:rPr>
        <w:t xml:space="preserve"> (Appendix 13</w:t>
      </w:r>
      <w:r w:rsidR="00F170AF">
        <w:rPr>
          <w:rFonts w:cs="Arial"/>
          <w:szCs w:val="24"/>
        </w:rPr>
        <w:t>.4)</w:t>
      </w:r>
      <w:r>
        <w:rPr>
          <w:rFonts w:cs="Arial"/>
          <w:szCs w:val="24"/>
        </w:rPr>
        <w:t xml:space="preserve">. </w:t>
      </w:r>
    </w:p>
    <w:p w14:paraId="43D589C3" w14:textId="14CA63F1" w:rsidR="007A3B76" w:rsidRDefault="00F170AF" w:rsidP="007A3B76">
      <w:pPr>
        <w:rPr>
          <w:rFonts w:cs="Arial"/>
          <w:szCs w:val="24"/>
        </w:rPr>
      </w:pPr>
      <w:r>
        <w:rPr>
          <w:rFonts w:cs="Arial"/>
          <w:szCs w:val="24"/>
        </w:rPr>
        <w:fldChar w:fldCharType="begin"/>
      </w:r>
      <w:r w:rsidR="006102D5">
        <w:rPr>
          <w:rFonts w:cs="Arial"/>
          <w:szCs w:val="24"/>
        </w:rPr>
        <w:instrText xml:space="preserve"> ADDIN EN.CITE &lt;EndNote&gt;&lt;Cite&gt;&lt;Author&gt;Ericsson&lt;/Author&gt;&lt;Year&gt;2004&lt;/Year&gt;&lt;IDText&gt;Deliberate practice and the acquisition and maintenance of expert performance in medicine and related domains&lt;/IDText&gt;&lt;DisplayText&gt;(Ericsson, 2004)&lt;/DisplayText&gt;&lt;record&gt;&lt;dates&gt;&lt;pub-dates&gt;&lt;date&gt;Oct&lt;/date&gt;&lt;/pub-dates&gt;&lt;year&gt;2004&lt;/year&gt;&lt;/dates&gt;&lt;keywords&gt;&lt;keyword&gt;Clinical Competence&lt;/keyword&gt;&lt;keyword&gt;Education, Medical&lt;/keyword&gt;&lt;keyword&gt;Humans&lt;/keyword&gt;&lt;keyword&gt;Learning&lt;/keyword&gt;&lt;keyword&gt;Practice (Psychology)&lt;/keyword&gt;&lt;keyword&gt;Professional Practice&lt;/keyword&gt;&lt;/keywords&gt;&lt;urls&gt;&lt;related-urls&gt;&lt;url&gt;http://www.ncbi.nlm.nih.gov/pubmed/15383395&lt;/url&gt;&lt;/related-urls&gt;&lt;/urls&gt;&lt;isbn&gt;1040-2446&lt;/isbn&gt;&lt;titles&gt;&lt;title&gt;Deliberate practice and the acquisition and maintenance of expert performance in medicine and related domains&lt;/title&gt;&lt;secondary-title&gt;Acad Med&lt;/secondary-title&gt;&lt;/titles&gt;&lt;pages&gt;S70-81&lt;/pages&gt;&lt;number&gt;10 Suppl&lt;/number&gt;&lt;contributors&gt;&lt;authors&gt;&lt;author&gt;Ericsson, K. A.&lt;/author&gt;&lt;/authors&gt;&lt;/contributors&gt;&lt;language&gt;eng&lt;/language&gt;&lt;added-date format="utc"&gt;1459415107&lt;/added-date&gt;&lt;ref-type name="Journal Article"&gt;17&lt;/ref-type&gt;&lt;rec-number&gt;244&lt;/rec-number&gt;&lt;last-updated-date format="utc"&gt;1459415107&lt;/last-updated-date&gt;&lt;accession-num&gt;15383395&lt;/accession-num&gt;&lt;volume&gt;79&lt;/volume&gt;&lt;/record&gt;&lt;/Cite&gt;&lt;/EndNote&gt;</w:instrText>
      </w:r>
      <w:r>
        <w:rPr>
          <w:rFonts w:cs="Arial"/>
          <w:szCs w:val="24"/>
        </w:rPr>
        <w:fldChar w:fldCharType="separate"/>
      </w:r>
      <w:r w:rsidR="006102D5">
        <w:rPr>
          <w:rFonts w:cs="Arial"/>
          <w:noProof/>
          <w:szCs w:val="24"/>
        </w:rPr>
        <w:t>(Ericsson, 2004)</w:t>
      </w:r>
      <w:r>
        <w:rPr>
          <w:rFonts w:cs="Arial"/>
          <w:szCs w:val="24"/>
        </w:rPr>
        <w:fldChar w:fldCharType="end"/>
      </w:r>
      <w:r>
        <w:rPr>
          <w:rFonts w:cs="Arial"/>
          <w:szCs w:val="24"/>
        </w:rPr>
        <w:t xml:space="preserve"> </w:t>
      </w:r>
      <w:r w:rsidR="007A3B76">
        <w:rPr>
          <w:rFonts w:cs="Arial"/>
          <w:szCs w:val="24"/>
        </w:rPr>
        <w:t>describes variation in development following attainment of proficiency, with most reaching a ‘stable, average level of performance’ relatively quickly</w:t>
      </w:r>
      <w:r w:rsidR="00685655">
        <w:rPr>
          <w:rFonts w:cs="Arial"/>
          <w:szCs w:val="24"/>
        </w:rPr>
        <w:t>,</w:t>
      </w:r>
      <w:r w:rsidR="007A3B76">
        <w:rPr>
          <w:rFonts w:cs="Arial"/>
          <w:szCs w:val="24"/>
        </w:rPr>
        <w:t xml:space="preserve"> </w:t>
      </w:r>
      <w:r w:rsidR="00A02961">
        <w:rPr>
          <w:rFonts w:cs="Arial"/>
          <w:szCs w:val="24"/>
        </w:rPr>
        <w:t>which</w:t>
      </w:r>
      <w:r w:rsidR="007A3B76">
        <w:rPr>
          <w:rFonts w:cs="Arial"/>
          <w:szCs w:val="24"/>
        </w:rPr>
        <w:t xml:space="preserve"> may </w:t>
      </w:r>
      <w:r w:rsidR="00A02961">
        <w:rPr>
          <w:rFonts w:cs="Arial"/>
          <w:szCs w:val="24"/>
        </w:rPr>
        <w:t xml:space="preserve">be </w:t>
      </w:r>
      <w:r w:rsidR="007A3B76">
        <w:rPr>
          <w:rFonts w:cs="Arial"/>
          <w:szCs w:val="24"/>
        </w:rPr>
        <w:t>maintain</w:t>
      </w:r>
      <w:r w:rsidR="00A02961">
        <w:rPr>
          <w:rFonts w:cs="Arial"/>
          <w:szCs w:val="24"/>
        </w:rPr>
        <w:t>ed</w:t>
      </w:r>
      <w:r w:rsidR="007A3B76">
        <w:rPr>
          <w:rFonts w:cs="Arial"/>
          <w:szCs w:val="24"/>
        </w:rPr>
        <w:t xml:space="preserve"> indefinitely</w:t>
      </w:r>
      <w:r>
        <w:rPr>
          <w:rFonts w:cs="Arial"/>
          <w:szCs w:val="24"/>
        </w:rPr>
        <w:t xml:space="preserve">. </w:t>
      </w:r>
      <w:r w:rsidR="007A3B76">
        <w:rPr>
          <w:rFonts w:cs="Arial"/>
          <w:szCs w:val="24"/>
        </w:rPr>
        <w:t xml:space="preserve">Ericsson proposes a framework ‘based on the assumption that acquisition </w:t>
      </w:r>
      <w:r w:rsidR="00A02961">
        <w:rPr>
          <w:rFonts w:cs="Arial"/>
          <w:szCs w:val="24"/>
        </w:rPr>
        <w:t xml:space="preserve">and </w:t>
      </w:r>
      <w:r w:rsidR="00511ED1">
        <w:rPr>
          <w:rFonts w:cs="Arial"/>
          <w:szCs w:val="24"/>
        </w:rPr>
        <w:t>maintenance</w:t>
      </w:r>
      <w:r w:rsidR="00A02961">
        <w:rPr>
          <w:rFonts w:cs="Arial"/>
          <w:szCs w:val="24"/>
        </w:rPr>
        <w:t xml:space="preserve"> </w:t>
      </w:r>
      <w:r w:rsidR="007A3B76">
        <w:rPr>
          <w:rFonts w:cs="Arial"/>
          <w:szCs w:val="24"/>
        </w:rPr>
        <w:t xml:space="preserve">of expert performance requires engagement in </w:t>
      </w:r>
      <w:r w:rsidR="00A02961">
        <w:rPr>
          <w:rFonts w:cs="Arial"/>
          <w:szCs w:val="24"/>
        </w:rPr>
        <w:t xml:space="preserve">continued </w:t>
      </w:r>
      <w:r w:rsidR="007A3B76">
        <w:rPr>
          <w:rFonts w:cs="Arial"/>
          <w:szCs w:val="24"/>
        </w:rPr>
        <w:t xml:space="preserve">deliberate practice’ </w:t>
      </w:r>
      <w:r w:rsidR="007A3B76">
        <w:rPr>
          <w:rFonts w:cs="Arial"/>
          <w:szCs w:val="24"/>
        </w:rPr>
        <w:fldChar w:fldCharType="begin"/>
      </w:r>
      <w:r w:rsidR="007A3B76">
        <w:rPr>
          <w:rFonts w:cs="Arial"/>
          <w:szCs w:val="24"/>
        </w:rPr>
        <w:instrText xml:space="preserve"> ADDIN EN.CITE &lt;EndNote&gt;&lt;Cite&gt;&lt;Author&gt;Ericsson&lt;/Author&gt;&lt;Year&gt;2004&lt;/Year&gt;&lt;IDText&gt;Deliberate practice and the acquisition and maintenance of expert performance in medicine and related domains&lt;/IDText&gt;&lt;DisplayText&gt;(Ericsson, 2004)&lt;/DisplayText&gt;&lt;record&gt;&lt;dates&gt;&lt;pub-dates&gt;&lt;date&gt;Oct&lt;/date&gt;&lt;/pub-dates&gt;&lt;year&gt;2004&lt;/year&gt;&lt;/dates&gt;&lt;keywords&gt;&lt;keyword&gt;Clinical Competence&lt;/keyword&gt;&lt;keyword&gt;Education, Medical&lt;/keyword&gt;&lt;keyword&gt;Humans&lt;/keyword&gt;&lt;keyword&gt;Learning&lt;/keyword&gt;&lt;keyword&gt;Practice (Psychology)&lt;/keyword&gt;&lt;keyword&gt;Professional Practice&lt;/keyword&gt;&lt;/keywords&gt;&lt;urls&gt;&lt;related-urls&gt;&lt;url&gt;http://www.ncbi.nlm.nih.gov/pubmed/15383395&lt;/url&gt;&lt;/related-urls&gt;&lt;/urls&gt;&lt;isbn&gt;1040-2446&lt;/isbn&gt;&lt;titles&gt;&lt;title&gt;Deliberate practice and the acquisition and maintenance of expert performance in medicine and related domains&lt;/title&gt;&lt;secondary-title&gt;Acad Med&lt;/secondary-title&gt;&lt;/titles&gt;&lt;pages&gt;S70-81&lt;/pages&gt;&lt;number&gt;10 Suppl&lt;/number&gt;&lt;contributors&gt;&lt;authors&gt;&lt;author&gt;Ericsson, K. A.&lt;/author&gt;&lt;/authors&gt;&lt;/contributors&gt;&lt;language&gt;eng&lt;/language&gt;&lt;added-date format="utc"&gt;1459415107&lt;/added-date&gt;&lt;ref-type name="Journal Article"&gt;17&lt;/ref-type&gt;&lt;rec-number&gt;244&lt;/rec-number&gt;&lt;last-updated-date format="utc"&gt;1459415107&lt;/last-updated-date&gt;&lt;accession-num&gt;15383395&lt;/accession-num&gt;&lt;volume&gt;79&lt;/volume&gt;&lt;/record&gt;&lt;/Cite&gt;&lt;/EndNote&gt;</w:instrText>
      </w:r>
      <w:r w:rsidR="007A3B76">
        <w:rPr>
          <w:rFonts w:cs="Arial"/>
          <w:szCs w:val="24"/>
        </w:rPr>
        <w:fldChar w:fldCharType="separate"/>
      </w:r>
      <w:r w:rsidR="007A3B76">
        <w:rPr>
          <w:rFonts w:cs="Arial"/>
          <w:noProof/>
          <w:szCs w:val="24"/>
        </w:rPr>
        <w:t>(Ericsson, 2004)</w:t>
      </w:r>
      <w:r w:rsidR="007A3B76">
        <w:rPr>
          <w:rFonts w:cs="Arial"/>
          <w:szCs w:val="24"/>
        </w:rPr>
        <w:fldChar w:fldCharType="end"/>
      </w:r>
      <w:r w:rsidR="007A3B76">
        <w:rPr>
          <w:rFonts w:cs="Arial"/>
          <w:szCs w:val="24"/>
        </w:rPr>
        <w:t xml:space="preserve">. Ericsson describes Galton’s </w:t>
      </w:r>
      <w:r>
        <w:rPr>
          <w:rFonts w:cs="Arial"/>
          <w:szCs w:val="24"/>
        </w:rPr>
        <w:t xml:space="preserve">(1869,1979) </w:t>
      </w:r>
      <w:r w:rsidR="007A3B76">
        <w:rPr>
          <w:rFonts w:cs="Arial"/>
          <w:szCs w:val="24"/>
        </w:rPr>
        <w:t>assumption of a ‘performance limit’</w:t>
      </w:r>
      <w:r w:rsidR="00351E96">
        <w:rPr>
          <w:rFonts w:cs="Arial"/>
          <w:szCs w:val="24"/>
        </w:rPr>
        <w:t>,</w:t>
      </w:r>
      <w:r w:rsidR="007A3B76">
        <w:rPr>
          <w:rFonts w:cs="Arial"/>
          <w:szCs w:val="24"/>
        </w:rPr>
        <w:t xml:space="preserve"> </w:t>
      </w:r>
      <w:r w:rsidR="008B1BEA">
        <w:rPr>
          <w:rFonts w:cs="Arial"/>
          <w:szCs w:val="24"/>
        </w:rPr>
        <w:t>where</w:t>
      </w:r>
      <w:r w:rsidR="007A3B76">
        <w:rPr>
          <w:rFonts w:cs="Arial"/>
          <w:szCs w:val="24"/>
        </w:rPr>
        <w:t xml:space="preserve"> improvements are seen at the start of skill acquisition but reduce until ‘maximal performance’ is reached. He describes a process </w:t>
      </w:r>
      <w:r w:rsidR="008B1BEA">
        <w:rPr>
          <w:rFonts w:cs="Arial"/>
          <w:szCs w:val="24"/>
        </w:rPr>
        <w:t>where</w:t>
      </w:r>
      <w:r w:rsidR="007A3B76">
        <w:rPr>
          <w:rFonts w:cs="Arial"/>
          <w:szCs w:val="24"/>
        </w:rPr>
        <w:t xml:space="preserve"> the learner initially attempts to understand a task then as practice continues</w:t>
      </w:r>
      <w:r w:rsidR="00351E96">
        <w:rPr>
          <w:rFonts w:cs="Arial"/>
          <w:szCs w:val="24"/>
        </w:rPr>
        <w:t>,</w:t>
      </w:r>
      <w:r w:rsidR="007A3B76">
        <w:rPr>
          <w:rFonts w:cs="Arial"/>
          <w:szCs w:val="24"/>
        </w:rPr>
        <w:t xml:space="preserve"> they learn to make fewer and fewer mistakes until an ‘acceptable level of performance is reached’</w:t>
      </w:r>
      <w:r w:rsidR="00685655">
        <w:rPr>
          <w:rFonts w:cs="Arial"/>
          <w:szCs w:val="24"/>
        </w:rPr>
        <w:t xml:space="preserve"> </w:t>
      </w:r>
      <w:r w:rsidR="007A3B76">
        <w:rPr>
          <w:rFonts w:cs="Arial"/>
          <w:szCs w:val="24"/>
        </w:rPr>
        <w:fldChar w:fldCharType="begin"/>
      </w:r>
      <w:r w:rsidR="007A3B76">
        <w:rPr>
          <w:rFonts w:cs="Arial"/>
          <w:szCs w:val="24"/>
        </w:rPr>
        <w:instrText xml:space="preserve"> ADDIN EN.CITE &lt;EndNote&gt;&lt;Cite&gt;&lt;Author&gt;Ericsson&lt;/Author&gt;&lt;Year&gt;2004&lt;/Year&gt;&lt;IDText&gt;Deliberate practice and the acquisition and maintenance of expert performance in medicine and related domains&lt;/IDText&gt;&lt;DisplayText&gt;(Ericsson, 2004)&lt;/DisplayText&gt;&lt;record&gt;&lt;dates&gt;&lt;pub-dates&gt;&lt;date&gt;Oct&lt;/date&gt;&lt;/pub-dates&gt;&lt;year&gt;2004&lt;/year&gt;&lt;/dates&gt;&lt;keywords&gt;&lt;keyword&gt;Clinical Competence&lt;/keyword&gt;&lt;keyword&gt;Education, Medical&lt;/keyword&gt;&lt;keyword&gt;Humans&lt;/keyword&gt;&lt;keyword&gt;Learning&lt;/keyword&gt;&lt;keyword&gt;Practice (Psychology)&lt;/keyword&gt;&lt;keyword&gt;Professional Practice&lt;/keyword&gt;&lt;/keywords&gt;&lt;urls&gt;&lt;related-urls&gt;&lt;url&gt;http://www.ncbi.nlm.nih.gov/pubmed/15383395&lt;/url&gt;&lt;/related-urls&gt;&lt;/urls&gt;&lt;isbn&gt;1040-2446&lt;/isbn&gt;&lt;titles&gt;&lt;title&gt;Deliberate practice and the acquisition and maintenance of expert performance in medicine and related domains&lt;/title&gt;&lt;secondary-title&gt;Acad Med&lt;/secondary-title&gt;&lt;/titles&gt;&lt;pages&gt;S70-81&lt;/pages&gt;&lt;number&gt;10 Suppl&lt;/number&gt;&lt;contributors&gt;&lt;authors&gt;&lt;author&gt;Ericsson, K. A.&lt;/author&gt;&lt;/authors&gt;&lt;/contributors&gt;&lt;language&gt;eng&lt;/language&gt;&lt;added-date format="utc"&gt;1459415107&lt;/added-date&gt;&lt;ref-type name="Journal Article"&gt;17&lt;/ref-type&gt;&lt;rec-number&gt;244&lt;/rec-number&gt;&lt;last-updated-date format="utc"&gt;1459415107&lt;/last-updated-date&gt;&lt;accession-num&gt;15383395&lt;/accession-num&gt;&lt;volume&gt;79&lt;/volume&gt;&lt;/record&gt;&lt;/Cite&gt;&lt;/EndNote&gt;</w:instrText>
      </w:r>
      <w:r w:rsidR="007A3B76">
        <w:rPr>
          <w:rFonts w:cs="Arial"/>
          <w:szCs w:val="24"/>
        </w:rPr>
        <w:fldChar w:fldCharType="separate"/>
      </w:r>
      <w:r w:rsidR="007A3B76">
        <w:rPr>
          <w:rFonts w:cs="Arial"/>
          <w:noProof/>
          <w:szCs w:val="24"/>
        </w:rPr>
        <w:t>(Ericsson, 2004)</w:t>
      </w:r>
      <w:r w:rsidR="007A3B76">
        <w:rPr>
          <w:rFonts w:cs="Arial"/>
          <w:szCs w:val="24"/>
        </w:rPr>
        <w:fldChar w:fldCharType="end"/>
      </w:r>
      <w:r w:rsidR="007A3B76">
        <w:rPr>
          <w:rFonts w:cs="Arial"/>
          <w:szCs w:val="24"/>
        </w:rPr>
        <w:t xml:space="preserve">. There follows a description by scientists that ‘over ten years of experience in a domain is considered as a reliable indicator of expertise’. Ericsson </w:t>
      </w:r>
      <w:r>
        <w:rPr>
          <w:rFonts w:cs="Arial"/>
          <w:szCs w:val="24"/>
        </w:rPr>
        <w:t xml:space="preserve">(2004) </w:t>
      </w:r>
      <w:r w:rsidR="007A3B76">
        <w:rPr>
          <w:rFonts w:cs="Arial"/>
          <w:szCs w:val="24"/>
        </w:rPr>
        <w:t>describes his view that expert performance and continued learning is complex and that individuals adapt their ‘behaviour to performance demands’</w:t>
      </w:r>
      <w:r w:rsidR="00685655">
        <w:rPr>
          <w:rFonts w:cs="Arial"/>
          <w:szCs w:val="24"/>
        </w:rPr>
        <w:t>,</w:t>
      </w:r>
      <w:r w:rsidR="007A3B76">
        <w:rPr>
          <w:rFonts w:cs="Arial"/>
          <w:szCs w:val="24"/>
        </w:rPr>
        <w:t xml:space="preserve"> which allows an element of automaticity, </w:t>
      </w:r>
      <w:r w:rsidR="00685655">
        <w:rPr>
          <w:rFonts w:cs="Arial"/>
          <w:szCs w:val="24"/>
        </w:rPr>
        <w:t>losing</w:t>
      </w:r>
      <w:r w:rsidR="007A3B76">
        <w:rPr>
          <w:rFonts w:cs="Arial"/>
          <w:szCs w:val="24"/>
        </w:rPr>
        <w:t xml:space="preserve"> ‘conscious control’</w:t>
      </w:r>
      <w:r w:rsidR="00351E96">
        <w:rPr>
          <w:rFonts w:cs="Arial"/>
          <w:szCs w:val="24"/>
        </w:rPr>
        <w:t>.</w:t>
      </w:r>
      <w:r w:rsidR="007A3B76">
        <w:rPr>
          <w:rFonts w:cs="Arial"/>
          <w:szCs w:val="24"/>
        </w:rPr>
        <w:t xml:space="preserve"> </w:t>
      </w:r>
      <w:r w:rsidR="00351E96">
        <w:rPr>
          <w:rFonts w:cs="Arial"/>
          <w:szCs w:val="24"/>
        </w:rPr>
        <w:t>E</w:t>
      </w:r>
      <w:r w:rsidR="007A3B76">
        <w:rPr>
          <w:rFonts w:cs="Arial"/>
          <w:szCs w:val="24"/>
        </w:rPr>
        <w:t>xpert performers then go on to improve through deliberate practice and experience and must ‘avoid and counteract the arrested development’ associated with automated cognition. The expert performer requires motivation as a key component to allow them to search out their own learning needs and push themselves past current level of expertise. This highlights the importance of encouraging self-reflection, planning of own learning and development of self-regulation.</w:t>
      </w:r>
    </w:p>
    <w:p w14:paraId="7212E098" w14:textId="66E3E7FA" w:rsidR="007A3B76" w:rsidRDefault="008248A2" w:rsidP="007A3B76">
      <w:pPr>
        <w:rPr>
          <w:rFonts w:cs="Arial"/>
          <w:szCs w:val="24"/>
        </w:rPr>
      </w:pPr>
      <w:r>
        <w:rPr>
          <w:rFonts w:cs="Arial"/>
          <w:szCs w:val="24"/>
        </w:rPr>
        <w:lastRenderedPageBreak/>
        <w:t xml:space="preserve">Self-regulated learning refers to </w:t>
      </w:r>
      <w:r w:rsidR="009071F3">
        <w:rPr>
          <w:rFonts w:cs="Arial"/>
          <w:szCs w:val="24"/>
        </w:rPr>
        <w:t xml:space="preserve">taking control of one’s own </w:t>
      </w:r>
      <w:r>
        <w:rPr>
          <w:rFonts w:cs="Arial"/>
          <w:szCs w:val="24"/>
        </w:rPr>
        <w:t>learning</w:t>
      </w:r>
      <w:r w:rsidR="009071F3">
        <w:rPr>
          <w:rFonts w:cs="Arial"/>
          <w:szCs w:val="24"/>
        </w:rPr>
        <w:t>,</w:t>
      </w:r>
      <w:r>
        <w:rPr>
          <w:rFonts w:cs="Arial"/>
          <w:szCs w:val="24"/>
        </w:rPr>
        <w:t xml:space="preserve"> is guided by motivation to learn, being strategic with individual </w:t>
      </w:r>
      <w:r w:rsidR="009071F3">
        <w:rPr>
          <w:rFonts w:cs="Arial"/>
          <w:szCs w:val="24"/>
        </w:rPr>
        <w:t xml:space="preserve">learning, mapping and monitoring </w:t>
      </w:r>
      <w:r>
        <w:rPr>
          <w:rFonts w:cs="Arial"/>
          <w:szCs w:val="24"/>
        </w:rPr>
        <w:t>p</w:t>
      </w:r>
      <w:r w:rsidR="009071F3">
        <w:rPr>
          <w:rFonts w:cs="Arial"/>
          <w:szCs w:val="24"/>
        </w:rPr>
        <w:t>er</w:t>
      </w:r>
      <w:r>
        <w:rPr>
          <w:rFonts w:cs="Arial"/>
          <w:szCs w:val="24"/>
        </w:rPr>
        <w:t>s</w:t>
      </w:r>
      <w:r w:rsidR="009071F3">
        <w:rPr>
          <w:rFonts w:cs="Arial"/>
          <w:szCs w:val="24"/>
        </w:rPr>
        <w:t>o</w:t>
      </w:r>
      <w:r>
        <w:rPr>
          <w:rFonts w:cs="Arial"/>
          <w:szCs w:val="24"/>
        </w:rPr>
        <w:t>nal progress</w:t>
      </w:r>
      <w:r w:rsidR="009071F3">
        <w:rPr>
          <w:rFonts w:cs="Arial"/>
          <w:szCs w:val="24"/>
        </w:rPr>
        <w:t>,</w:t>
      </w:r>
      <w:r>
        <w:rPr>
          <w:rFonts w:cs="Arial"/>
          <w:szCs w:val="24"/>
        </w:rPr>
        <w:t xml:space="preserve"> including evaluation of learning</w:t>
      </w:r>
      <w:r w:rsidR="009071F3">
        <w:rPr>
          <w:rFonts w:cs="Arial"/>
          <w:szCs w:val="24"/>
        </w:rPr>
        <w:t xml:space="preserve"> </w:t>
      </w:r>
      <w:r w:rsidR="009071F3">
        <w:rPr>
          <w:rFonts w:cs="Arial"/>
          <w:szCs w:val="24"/>
        </w:rPr>
        <w:fldChar w:fldCharType="begin"/>
      </w:r>
      <w:r w:rsidR="009071F3">
        <w:rPr>
          <w:rFonts w:cs="Arial"/>
          <w:szCs w:val="24"/>
        </w:rPr>
        <w:instrText xml:space="preserve"> ADDIN EN.CITE &lt;EndNote&gt;&lt;Cite&gt;&lt;Author&gt;Turan&lt;/Author&gt;&lt;Year&gt;2009&lt;/Year&gt;&lt;IDText&gt;Metacognitive awareness and self-regulated learning skills of medical students in different medical curricula&lt;/IDText&gt;&lt;DisplayText&gt;(Turan et al., 2009)&lt;/DisplayText&gt;&lt;record&gt;&lt;dates&gt;&lt;pub-dates&gt;&lt;date&gt;Oct&lt;/date&gt;&lt;/pub-dates&gt;&lt;year&gt;2009&lt;/year&gt;&lt;/dates&gt;&lt;keywords&gt;&lt;keyword&gt;Awareness&lt;/keyword&gt;&lt;keyword&gt;Cognition&lt;/keyword&gt;&lt;keyword&gt;Educational Measurement&lt;/keyword&gt;&lt;keyword&gt;Female&lt;/keyword&gt;&lt;keyword&gt;Goals&lt;/keyword&gt;&lt;keyword&gt;Humans&lt;/keyword&gt;&lt;keyword&gt;Learning&lt;/keyword&gt;&lt;keyword&gt;Male&lt;/keyword&gt;&lt;keyword&gt;Models, Educational&lt;/keyword&gt;&lt;keyword&gt;Motivation&lt;/keyword&gt;&lt;keyword&gt;Perception&lt;/keyword&gt;&lt;keyword&gt;Problem-Based Learning&lt;/keyword&gt;&lt;keyword&gt;Schools, Medical&lt;/keyword&gt;&lt;keyword&gt;Students, Medical&lt;/keyword&gt;&lt;keyword&gt;Turkey&lt;/keyword&gt;&lt;/keywords&gt;&lt;urls&gt;&lt;related-urls&gt;&lt;url&gt;https://www.ncbi.nlm.nih.gov/pubmed/19877856&lt;/url&gt;&lt;/related-urls&gt;&lt;/urls&gt;&lt;isbn&gt;1466-187X&lt;/isbn&gt;&lt;titles&gt;&lt;title&gt;Metacognitive awareness and self-regulated learning skills of medical students in different medical curricula&lt;/title&gt;&lt;secondary-title&gt;Med Teach&lt;/secondary-title&gt;&lt;/titles&gt;&lt;pages&gt;e477-83&lt;/pages&gt;&lt;number&gt;10&lt;/number&gt;&lt;contributors&gt;&lt;authors&gt;&lt;author&gt;Turan, S.&lt;/author&gt;&lt;author&gt;Demirel, O.&lt;/author&gt;&lt;author&gt;Sayek, I.&lt;/author&gt;&lt;/authors&gt;&lt;/contributors&gt;&lt;language&gt;eng&lt;/language&gt;&lt;added-date format="utc"&gt;1481797158&lt;/added-date&gt;&lt;ref-type name="Journal Article"&gt;17&lt;/ref-type&gt;&lt;rec-number&gt;341&lt;/rec-number&gt;&lt;last-updated-date format="utc"&gt;1481797158&lt;/last-updated-date&gt;&lt;accession-num&gt;19877856&lt;/accession-num&gt;&lt;electronic-resource-num&gt;10.3109/01421590903193521&lt;/electronic-resource-num&gt;&lt;volume&gt;31&lt;/volume&gt;&lt;/record&gt;&lt;/Cite&gt;&lt;/EndNote&gt;</w:instrText>
      </w:r>
      <w:r w:rsidR="009071F3">
        <w:rPr>
          <w:rFonts w:cs="Arial"/>
          <w:szCs w:val="24"/>
        </w:rPr>
        <w:fldChar w:fldCharType="separate"/>
      </w:r>
      <w:r w:rsidR="009071F3">
        <w:rPr>
          <w:rFonts w:cs="Arial"/>
          <w:noProof/>
          <w:szCs w:val="24"/>
        </w:rPr>
        <w:t>(Turan et al., 2009)</w:t>
      </w:r>
      <w:r w:rsidR="009071F3">
        <w:rPr>
          <w:rFonts w:cs="Arial"/>
          <w:szCs w:val="24"/>
        </w:rPr>
        <w:fldChar w:fldCharType="end"/>
      </w:r>
      <w:r>
        <w:rPr>
          <w:rFonts w:cs="Arial"/>
          <w:szCs w:val="24"/>
        </w:rPr>
        <w:t>.</w:t>
      </w:r>
      <w:r w:rsidR="009071F3">
        <w:rPr>
          <w:rFonts w:cs="Arial"/>
          <w:szCs w:val="24"/>
        </w:rPr>
        <w:t xml:space="preserve"> </w:t>
      </w:r>
      <w:r w:rsidR="006C719D">
        <w:rPr>
          <w:rFonts w:cs="Arial"/>
          <w:szCs w:val="24"/>
        </w:rPr>
        <w:t>Self-regulation</w:t>
      </w:r>
      <w:r w:rsidR="007A3B76">
        <w:rPr>
          <w:rFonts w:cs="Arial"/>
          <w:szCs w:val="24"/>
        </w:rPr>
        <w:t xml:space="preserve"> is felt to be an important skill to develop during medical school to encourage lifelong learning, though one study of 949 medical students exploring </w:t>
      </w:r>
      <w:r w:rsidR="006C719D">
        <w:rPr>
          <w:rFonts w:cs="Arial"/>
          <w:szCs w:val="24"/>
        </w:rPr>
        <w:t>self-regulation</w:t>
      </w:r>
      <w:r w:rsidR="007A3B76">
        <w:rPr>
          <w:rFonts w:cs="Arial"/>
          <w:szCs w:val="24"/>
        </w:rPr>
        <w:t xml:space="preserve"> on a validated tool, showed no difference between ’self-regulated learning skills and academic performance’ </w:t>
      </w:r>
      <w:r w:rsidR="007A3B76">
        <w:rPr>
          <w:rFonts w:cs="Arial"/>
          <w:szCs w:val="24"/>
        </w:rPr>
        <w:fldChar w:fldCharType="begin"/>
      </w:r>
      <w:r w:rsidR="007A3B76">
        <w:rPr>
          <w:rFonts w:cs="Arial"/>
          <w:szCs w:val="24"/>
        </w:rPr>
        <w:instrText xml:space="preserve"> ADDIN EN.CITE &lt;EndNote&gt;&lt;Cite&gt;&lt;Author&gt;Lucieer&lt;/Author&gt;&lt;Year&gt;2015&lt;/Year&gt;&lt;IDText&gt;Self-regulated learning and academic performance in medical education&lt;/IDText&gt;&lt;DisplayText&gt;(Lucieer et al., 2015)&lt;/DisplayText&gt;&lt;record&gt;&lt;dates&gt;&lt;pub-dates&gt;&lt;date&gt;Aug&lt;/date&gt;&lt;/pub-dates&gt;&lt;year&gt;2015&lt;/year&gt;&lt;/dates&gt;&lt;urls&gt;&lt;related-urls&gt;&lt;url&gt;http://www.ncbi.nlm.nih.gov/pubmed/26313552&lt;/url&gt;&lt;/related-urls&gt;&lt;/urls&gt;&lt;isbn&gt;1466-187X&lt;/isbn&gt;&lt;titles&gt;&lt;title&gt;Self-regulated learning and academic performance in medical education&lt;/title&gt;&lt;secondary-title&gt;Med Teach&lt;/secondary-title&gt;&lt;/titles&gt;&lt;pages&gt;1-9&lt;/pages&gt;&lt;contributors&gt;&lt;authors&gt;&lt;author&gt;Lucieer, S. M.&lt;/author&gt;&lt;author&gt;Jonker, L.&lt;/author&gt;&lt;author&gt;Visscher, C.&lt;/author&gt;&lt;author&gt;Rikers, R. M.&lt;/author&gt;&lt;author&gt;Themmen, A. P.&lt;/author&gt;&lt;/authors&gt;&lt;/contributors&gt;&lt;language&gt;ENG&lt;/language&gt;&lt;added-date format="utc"&gt;1464769406&lt;/added-date&gt;&lt;ref-type name="Journal Article"&gt;17&lt;/ref-type&gt;&lt;rec-number&gt;250&lt;/rec-number&gt;&lt;last-updated-date format="utc"&gt;1464769406&lt;/last-updated-date&gt;&lt;accession-num&gt;26313552&lt;/accession-num&gt;&lt;electronic-resource-num&gt;10.3109/0142159X.2015.1073240&lt;/electronic-resource-num&gt;&lt;/record&gt;&lt;/Cite&gt;&lt;/EndNote&gt;</w:instrText>
      </w:r>
      <w:r w:rsidR="007A3B76">
        <w:rPr>
          <w:rFonts w:cs="Arial"/>
          <w:szCs w:val="24"/>
        </w:rPr>
        <w:fldChar w:fldCharType="separate"/>
      </w:r>
      <w:r w:rsidR="007A3B76">
        <w:rPr>
          <w:rFonts w:cs="Arial"/>
          <w:noProof/>
          <w:szCs w:val="24"/>
        </w:rPr>
        <w:t>(Lucieer et al., 2015)</w:t>
      </w:r>
      <w:r w:rsidR="007A3B76">
        <w:rPr>
          <w:rFonts w:cs="Arial"/>
          <w:szCs w:val="24"/>
        </w:rPr>
        <w:fldChar w:fldCharType="end"/>
      </w:r>
      <w:r w:rsidR="007A3B76">
        <w:rPr>
          <w:rFonts w:cs="Arial"/>
          <w:szCs w:val="24"/>
        </w:rPr>
        <w:t>. They report that the ‘change in self-regulated learning skills is only minor’</w:t>
      </w:r>
      <w:r w:rsidR="00DA600A">
        <w:rPr>
          <w:rFonts w:cs="Arial"/>
          <w:szCs w:val="24"/>
        </w:rPr>
        <w:t xml:space="preserve">. </w:t>
      </w:r>
      <w:r w:rsidR="007A3B76">
        <w:rPr>
          <w:rFonts w:cs="Arial"/>
          <w:szCs w:val="24"/>
        </w:rPr>
        <w:t xml:space="preserve">There may be a lot more to self-regulation that cannot be captured merely from correlating with academic performance. Skills that are harder to measure such as professionalism, resilience, emotional preparedness and emotional resilience are all areas which are likely to be supported by the nurturing of </w:t>
      </w:r>
      <w:r w:rsidR="006C719D">
        <w:rPr>
          <w:rFonts w:cs="Arial"/>
          <w:szCs w:val="24"/>
        </w:rPr>
        <w:t>self-regulation</w:t>
      </w:r>
      <w:r w:rsidR="00351E96">
        <w:rPr>
          <w:rFonts w:cs="Arial"/>
          <w:szCs w:val="24"/>
        </w:rPr>
        <w:t>,</w:t>
      </w:r>
      <w:r w:rsidR="007A3B76">
        <w:rPr>
          <w:rFonts w:cs="Arial"/>
          <w:szCs w:val="24"/>
        </w:rPr>
        <w:t xml:space="preserve"> not just of learning</w:t>
      </w:r>
      <w:r w:rsidR="0009495D">
        <w:rPr>
          <w:rFonts w:cs="Arial"/>
          <w:szCs w:val="24"/>
        </w:rPr>
        <w:t xml:space="preserve">. </w:t>
      </w:r>
      <w:r w:rsidR="007A3B76">
        <w:rPr>
          <w:rFonts w:cs="Arial"/>
          <w:szCs w:val="24"/>
        </w:rPr>
        <w:t xml:space="preserve">The team conclude that medical schools should ‘re-examine the curriculum and methods they use to enhance their students’ self-regulated learning skills’ </w:t>
      </w:r>
      <w:r w:rsidR="007A3B76">
        <w:rPr>
          <w:rFonts w:cs="Arial"/>
          <w:szCs w:val="24"/>
        </w:rPr>
        <w:fldChar w:fldCharType="begin"/>
      </w:r>
      <w:r w:rsidR="007A3B76">
        <w:rPr>
          <w:rFonts w:cs="Arial"/>
          <w:szCs w:val="24"/>
        </w:rPr>
        <w:instrText xml:space="preserve"> ADDIN EN.CITE &lt;EndNote&gt;&lt;Cite&gt;&lt;Author&gt;Lucieer&lt;/Author&gt;&lt;Year&gt;2015&lt;/Year&gt;&lt;IDText&gt;Self-regulated learning and academic performance in medical education&lt;/IDText&gt;&lt;DisplayText&gt;(Lucieer et al., 2015)&lt;/DisplayText&gt;&lt;record&gt;&lt;dates&gt;&lt;pub-dates&gt;&lt;date&gt;Aug&lt;/date&gt;&lt;/pub-dates&gt;&lt;year&gt;2015&lt;/year&gt;&lt;/dates&gt;&lt;urls&gt;&lt;related-urls&gt;&lt;url&gt;http://www.ncbi.nlm.nih.gov/pubmed/26313552&lt;/url&gt;&lt;/related-urls&gt;&lt;/urls&gt;&lt;isbn&gt;1466-187X&lt;/isbn&gt;&lt;titles&gt;&lt;title&gt;Self-regulated learning and academic performance in medical education&lt;/title&gt;&lt;secondary-title&gt;Med Teach&lt;/secondary-title&gt;&lt;/titles&gt;&lt;pages&gt;1-9&lt;/pages&gt;&lt;contributors&gt;&lt;authors&gt;&lt;author&gt;Lucieer, S. M.&lt;/author&gt;&lt;author&gt;Jonker, L.&lt;/author&gt;&lt;author&gt;Visscher, C.&lt;/author&gt;&lt;author&gt;Rikers, R. M.&lt;/author&gt;&lt;author&gt;Themmen, A. P.&lt;/author&gt;&lt;/authors&gt;&lt;/contributors&gt;&lt;language&gt;ENG&lt;/language&gt;&lt;added-date format="utc"&gt;1464769406&lt;/added-date&gt;&lt;ref-type name="Journal Article"&gt;17&lt;/ref-type&gt;&lt;rec-number&gt;250&lt;/rec-number&gt;&lt;last-updated-date format="utc"&gt;1464769406&lt;/last-updated-date&gt;&lt;accession-num&gt;26313552&lt;/accession-num&gt;&lt;electronic-resource-num&gt;10.3109/0142159X.2015.1073240&lt;/electronic-resource-num&gt;&lt;/record&gt;&lt;/Cite&gt;&lt;/EndNote&gt;</w:instrText>
      </w:r>
      <w:r w:rsidR="007A3B76">
        <w:rPr>
          <w:rFonts w:cs="Arial"/>
          <w:szCs w:val="24"/>
        </w:rPr>
        <w:fldChar w:fldCharType="separate"/>
      </w:r>
      <w:r w:rsidR="007A3B76">
        <w:rPr>
          <w:rFonts w:cs="Arial"/>
          <w:noProof/>
          <w:szCs w:val="24"/>
        </w:rPr>
        <w:t>(Lucieer et al., 2015)</w:t>
      </w:r>
      <w:r w:rsidR="007A3B76">
        <w:rPr>
          <w:rFonts w:cs="Arial"/>
          <w:szCs w:val="24"/>
        </w:rPr>
        <w:fldChar w:fldCharType="end"/>
      </w:r>
      <w:r w:rsidR="007A3B76">
        <w:rPr>
          <w:rFonts w:cs="Arial"/>
          <w:szCs w:val="24"/>
        </w:rPr>
        <w:t>.</w:t>
      </w:r>
    </w:p>
    <w:p w14:paraId="593F107E" w14:textId="0FF96A28" w:rsidR="007A3B76" w:rsidRDefault="007A3B76" w:rsidP="007A3B76">
      <w:pPr>
        <w:rPr>
          <w:rFonts w:cs="Arial"/>
          <w:szCs w:val="24"/>
        </w:rPr>
      </w:pPr>
      <w:r>
        <w:rPr>
          <w:rFonts w:cs="Arial"/>
          <w:szCs w:val="24"/>
        </w:rPr>
        <w:t xml:space="preserve">Interestingly </w:t>
      </w:r>
      <w:r w:rsidR="00F170AF">
        <w:rPr>
          <w:rFonts w:cs="Arial"/>
          <w:szCs w:val="24"/>
        </w:rPr>
        <w:fldChar w:fldCharType="begin"/>
      </w:r>
      <w:r w:rsidR="005823F4">
        <w:rPr>
          <w:rFonts w:cs="Arial"/>
          <w:szCs w:val="24"/>
        </w:rPr>
        <w:instrText xml:space="preserve"> ADDIN EN.CITE &lt;EndNote&gt;&lt;Cite&gt;&lt;Author&gt;Colliver&lt;/Author&gt;&lt;Year&gt;2002&lt;/Year&gt;&lt;IDText&gt;Educational theory and medical education practice: a cautionary note for medical school faculty&lt;/IDText&gt;&lt;DisplayText&gt;(Colliver, 2002)&lt;/DisplayText&gt;&lt;record&gt;&lt;dates&gt;&lt;pub-dates&gt;&lt;date&gt;Dec&lt;/date&gt;&lt;/pub-dates&gt;&lt;year&gt;2002&lt;/year&gt;&lt;/dates&gt;&lt;keywords&gt;&lt;keyword&gt;Education, Medical&lt;/keyword&gt;&lt;keyword&gt;Evidence-Based Medicine&lt;/keyword&gt;&lt;keyword&gt;Faculty, Medical&lt;/keyword&gt;&lt;keyword&gt;Humans&lt;/keyword&gt;&lt;keyword&gt;Metaphor&lt;/keyword&gt;&lt;keyword&gt;Models, Educational&lt;/keyword&gt;&lt;keyword&gt;Practice Patterns, Physicians&amp;apos;&lt;/keyword&gt;&lt;keyword&gt;Schools, Medical&lt;/keyword&gt;&lt;/keywords&gt;&lt;urls&gt;&lt;related-urls&gt;&lt;url&gt;http://www.ncbi.nlm.nih.gov/pubmed/12480626&lt;/url&gt;&lt;/related-urls&gt;&lt;/urls&gt;&lt;isbn&gt;1040-2446&lt;/isbn&gt;&lt;titles&gt;&lt;title&gt;Educational theory and medical education practice: a cautionary note for medical school faculty&lt;/title&gt;&lt;secondary-title&gt;Acad Med&lt;/secondary-title&gt;&lt;/titles&gt;&lt;pages&gt;1217-20&lt;/pages&gt;&lt;number&gt;12 Pt 1&lt;/number&gt;&lt;contributors&gt;&lt;authors&gt;&lt;author&gt;Colliver, J. A.&lt;/author&gt;&lt;/authors&gt;&lt;/contributors&gt;&lt;language&gt;eng&lt;/language&gt;&lt;added-date format="utc"&gt;1457006255&lt;/added-date&gt;&lt;ref-type name="Journal Article"&gt;17&lt;/ref-type&gt;&lt;rec-number&gt;210&lt;/rec-number&gt;&lt;last-updated-date format="utc"&gt;1457006255&lt;/last-updated-date&gt;&lt;accession-num&gt;12480626&lt;/accession-num&gt;&lt;volume&gt;77&lt;/volume&gt;&lt;/record&gt;&lt;/Cite&gt;&lt;/EndNote&gt;</w:instrText>
      </w:r>
      <w:r w:rsidR="00F170AF">
        <w:rPr>
          <w:rFonts w:cs="Arial"/>
          <w:szCs w:val="24"/>
        </w:rPr>
        <w:fldChar w:fldCharType="separate"/>
      </w:r>
      <w:r w:rsidR="00B9177C">
        <w:rPr>
          <w:rFonts w:cs="Arial"/>
          <w:noProof/>
          <w:szCs w:val="24"/>
        </w:rPr>
        <w:t>Colliver</w:t>
      </w:r>
      <w:r w:rsidR="005823F4">
        <w:rPr>
          <w:rFonts w:cs="Arial"/>
          <w:noProof/>
          <w:szCs w:val="24"/>
        </w:rPr>
        <w:t xml:space="preserve"> </w:t>
      </w:r>
      <w:r w:rsidR="00B9177C">
        <w:rPr>
          <w:rFonts w:cs="Arial"/>
          <w:noProof/>
          <w:szCs w:val="24"/>
        </w:rPr>
        <w:t>(</w:t>
      </w:r>
      <w:r w:rsidR="005823F4">
        <w:rPr>
          <w:rFonts w:cs="Arial"/>
          <w:noProof/>
          <w:szCs w:val="24"/>
        </w:rPr>
        <w:t>2002)</w:t>
      </w:r>
      <w:r w:rsidR="00F170AF">
        <w:rPr>
          <w:rFonts w:cs="Arial"/>
          <w:szCs w:val="24"/>
        </w:rPr>
        <w:fldChar w:fldCharType="end"/>
      </w:r>
      <w:r w:rsidR="00F170AF">
        <w:rPr>
          <w:rFonts w:cs="Arial"/>
          <w:szCs w:val="24"/>
        </w:rPr>
        <w:t xml:space="preserve"> </w:t>
      </w:r>
      <w:r>
        <w:rPr>
          <w:rFonts w:cs="Arial"/>
          <w:szCs w:val="24"/>
        </w:rPr>
        <w:t>states that ‘educational theory is commonly cited in support of practice recommendations and innovations in medical education, implying that practice is justified if it is theory</w:t>
      </w:r>
      <w:r w:rsidR="006C719D">
        <w:rPr>
          <w:rFonts w:cs="Arial"/>
          <w:szCs w:val="24"/>
        </w:rPr>
        <w:t>-</w:t>
      </w:r>
      <w:r>
        <w:rPr>
          <w:rFonts w:cs="Arial"/>
          <w:szCs w:val="24"/>
        </w:rPr>
        <w:t>based, even though, typically it is unclear whether the theory itself is evidence</w:t>
      </w:r>
      <w:r w:rsidR="006C719D">
        <w:rPr>
          <w:rFonts w:cs="Arial"/>
          <w:szCs w:val="24"/>
        </w:rPr>
        <w:t>-</w:t>
      </w:r>
      <w:r>
        <w:rPr>
          <w:rFonts w:cs="Arial"/>
          <w:szCs w:val="24"/>
        </w:rPr>
        <w:t>based’</w:t>
      </w:r>
      <w:r w:rsidR="00F170AF">
        <w:rPr>
          <w:rFonts w:cs="Arial"/>
          <w:szCs w:val="24"/>
        </w:rPr>
        <w:t xml:space="preserve">. </w:t>
      </w:r>
      <w:r>
        <w:rPr>
          <w:rFonts w:cs="Arial"/>
          <w:szCs w:val="24"/>
        </w:rPr>
        <w:t>He highlights that educational theory is underdeveloped and emphasises the importance of highlighting to stakeholders within medical schools that educational innovations are ‘at best conjecture, not evidence</w:t>
      </w:r>
      <w:r w:rsidR="006C719D">
        <w:rPr>
          <w:rFonts w:cs="Arial"/>
          <w:szCs w:val="24"/>
        </w:rPr>
        <w:t>-</w:t>
      </w:r>
      <w:r>
        <w:rPr>
          <w:rFonts w:cs="Arial"/>
          <w:szCs w:val="24"/>
        </w:rPr>
        <w:t xml:space="preserve">based science’ </w:t>
      </w:r>
      <w:r>
        <w:rPr>
          <w:rFonts w:cs="Arial"/>
          <w:szCs w:val="24"/>
        </w:rPr>
        <w:fldChar w:fldCharType="begin">
          <w:fldData xml:space="preserve">PEVuZE5vdGU+PENpdGU+PEF1dGhvcj5Db2xsaXZlcjwvQXV0aG9yPjxZZWFyPjIwMDI8L1llYXI+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==
</w:fldData>
        </w:fldChar>
      </w:r>
      <w:r>
        <w:rPr>
          <w:rFonts w:cs="Arial"/>
          <w:szCs w:val="24"/>
        </w:rPr>
        <w:instrText xml:space="preserve"> ADDIN EN.CITE </w:instrText>
      </w:r>
      <w:r>
        <w:rPr>
          <w:rFonts w:cs="Arial"/>
          <w:szCs w:val="24"/>
        </w:rPr>
        <w:fldChar w:fldCharType="begin">
          <w:fldData xml:space="preserve">PEVuZE5vdGU+PENpdGU+PEF1dGhvcj5Db2xsaXZlcjwvQXV0aG9yPjxZZWFyPjIwMDI8L1llYXI+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==
</w:fldData>
        </w:fldChar>
      </w:r>
      <w:r>
        <w:rPr>
          <w:rFonts w:cs="Arial"/>
          <w:szCs w:val="24"/>
        </w:rPr>
        <w:instrText xml:space="preserve"> ADDIN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(Colliver, 2002)</w:t>
      </w:r>
      <w:r>
        <w:rPr>
          <w:rFonts w:cs="Arial"/>
          <w:szCs w:val="24"/>
        </w:rPr>
        <w:fldChar w:fldCharType="end"/>
      </w:r>
      <w:r>
        <w:rPr>
          <w:rFonts w:cs="Arial"/>
          <w:szCs w:val="24"/>
        </w:rPr>
        <w:t>.</w:t>
      </w:r>
    </w:p>
    <w:p w14:paraId="6368938E" w14:textId="1587DBC3" w:rsidR="007A3B76" w:rsidRDefault="007A3B76" w:rsidP="007A3B76">
      <w:pPr>
        <w:rPr>
          <w:rFonts w:cs="Arial"/>
          <w:szCs w:val="24"/>
        </w:rPr>
      </w:pPr>
      <w:r>
        <w:rPr>
          <w:rFonts w:cs="Arial"/>
          <w:szCs w:val="24"/>
        </w:rPr>
        <w:t xml:space="preserve">Medical students when starting as </w:t>
      </w:r>
      <w:r w:rsidR="00BC4377">
        <w:rPr>
          <w:rFonts w:cs="Arial"/>
          <w:szCs w:val="24"/>
        </w:rPr>
        <w:t>a FY1</w:t>
      </w:r>
      <w:r>
        <w:rPr>
          <w:rFonts w:cs="Arial"/>
          <w:szCs w:val="24"/>
        </w:rPr>
        <w:t xml:space="preserve"> on the ward are entering a professional job in a stressful environment and are expected to not make any </w:t>
      </w:r>
      <w:r>
        <w:rPr>
          <w:rFonts w:cs="Arial"/>
          <w:szCs w:val="24"/>
        </w:rPr>
        <w:lastRenderedPageBreak/>
        <w:t xml:space="preserve">mistakes </w:t>
      </w:r>
      <w:r w:rsidR="0009495D">
        <w:rPr>
          <w:rFonts w:cs="Arial"/>
          <w:szCs w:val="24"/>
        </w:rPr>
        <w:t>that compromise</w:t>
      </w:r>
      <w:r>
        <w:rPr>
          <w:rFonts w:cs="Arial"/>
          <w:szCs w:val="24"/>
        </w:rPr>
        <w:t xml:space="preserve"> patient safety. They have usually five years of undergraduate education to support this transition. </w:t>
      </w:r>
      <w:r w:rsidR="00DA600A">
        <w:rPr>
          <w:rFonts w:cs="Arial"/>
          <w:szCs w:val="24"/>
        </w:rPr>
        <w:t>E</w:t>
      </w:r>
      <w:r>
        <w:rPr>
          <w:rFonts w:cs="Arial"/>
          <w:szCs w:val="24"/>
        </w:rPr>
        <w:t xml:space="preserve">xperience and opportunities for deliberate practice </w:t>
      </w:r>
      <w:r w:rsidR="00DA600A">
        <w:rPr>
          <w:rFonts w:cs="Arial"/>
          <w:szCs w:val="24"/>
        </w:rPr>
        <w:t>should</w:t>
      </w:r>
      <w:r>
        <w:rPr>
          <w:rFonts w:cs="Arial"/>
          <w:szCs w:val="24"/>
        </w:rPr>
        <w:t xml:space="preserve"> be explored and addressed within the undergraduate curriculum. </w:t>
      </w:r>
    </w:p>
    <w:p w14:paraId="5C6862E9" w14:textId="2BA76561" w:rsidR="001133EA" w:rsidRDefault="007A3B76" w:rsidP="007A3B76">
      <w:pPr>
        <w:rPr>
          <w:rFonts w:cs="Arial"/>
          <w:szCs w:val="24"/>
        </w:rPr>
      </w:pPr>
      <w:r>
        <w:rPr>
          <w:rFonts w:cs="Arial"/>
          <w:szCs w:val="24"/>
        </w:rPr>
        <w:t xml:space="preserve">Though educational theory may not be robust enough to base innovative educational interventions on, </w:t>
      </w:r>
      <w:r w:rsidR="0009495D">
        <w:rPr>
          <w:rFonts w:cs="Arial"/>
          <w:szCs w:val="24"/>
        </w:rPr>
        <w:t>it does</w:t>
      </w:r>
      <w:r>
        <w:rPr>
          <w:rFonts w:cs="Arial"/>
          <w:szCs w:val="24"/>
        </w:rPr>
        <w:t xml:space="preserve"> provide a framework to consider how to design an educational intervention. </w:t>
      </w:r>
      <w:r w:rsidR="00DA600A">
        <w:rPr>
          <w:rFonts w:cs="Arial"/>
          <w:szCs w:val="24"/>
        </w:rPr>
        <w:t xml:space="preserve">A better understanding of the complexity of </w:t>
      </w:r>
      <w:r>
        <w:rPr>
          <w:rFonts w:cs="Arial"/>
          <w:szCs w:val="24"/>
        </w:rPr>
        <w:t>skill acquisition may aid the learner and teacher in designing interventions</w:t>
      </w:r>
      <w:r w:rsidR="00DA600A">
        <w:rPr>
          <w:rFonts w:cs="Arial"/>
          <w:szCs w:val="24"/>
        </w:rPr>
        <w:t xml:space="preserve">. Focus should be on individual </w:t>
      </w:r>
      <w:r>
        <w:rPr>
          <w:rFonts w:cs="Arial"/>
          <w:szCs w:val="24"/>
        </w:rPr>
        <w:t>learnin</w:t>
      </w:r>
      <w:r w:rsidR="00DA600A">
        <w:rPr>
          <w:rFonts w:cs="Arial"/>
          <w:szCs w:val="24"/>
        </w:rPr>
        <w:t>g</w:t>
      </w:r>
      <w:r>
        <w:rPr>
          <w:rFonts w:cs="Arial"/>
          <w:szCs w:val="24"/>
        </w:rPr>
        <w:t xml:space="preserve"> and </w:t>
      </w:r>
      <w:r w:rsidR="00DA600A">
        <w:rPr>
          <w:rFonts w:cs="Arial"/>
          <w:szCs w:val="24"/>
        </w:rPr>
        <w:t xml:space="preserve">how to support preparedness for </w:t>
      </w:r>
      <w:r>
        <w:rPr>
          <w:rFonts w:cs="Arial"/>
          <w:szCs w:val="24"/>
        </w:rPr>
        <w:t xml:space="preserve">the complexity of the clinical environment. </w:t>
      </w:r>
    </w:p>
    <w:p w14:paraId="4FE900D2" w14:textId="77777777" w:rsidR="001133EA" w:rsidRPr="000A1C09" w:rsidRDefault="001133EA" w:rsidP="007A3B76">
      <w:pPr>
        <w:rPr>
          <w:rFonts w:cs="Arial"/>
          <w:szCs w:val="24"/>
        </w:rPr>
      </w:pPr>
    </w:p>
    <w:p w14:paraId="532F4E8A" w14:textId="77777777" w:rsidR="007A3B76" w:rsidRDefault="007A3B76" w:rsidP="00CA53EB">
      <w:pPr>
        <w:pStyle w:val="Heading2"/>
      </w:pPr>
      <w:bookmarkStart w:id="171" w:name="_Toc343501141"/>
      <w:bookmarkStart w:id="172" w:name="_Toc348686342"/>
      <w:bookmarkStart w:id="173" w:name="_Toc419116140"/>
      <w:r>
        <w:t>C</w:t>
      </w:r>
      <w:r w:rsidRPr="001A6CB4">
        <w:t>urriculum design</w:t>
      </w:r>
      <w:bookmarkEnd w:id="171"/>
      <w:bookmarkEnd w:id="172"/>
      <w:bookmarkEnd w:id="173"/>
      <w:r w:rsidRPr="001A6CB4">
        <w:t xml:space="preserve"> </w:t>
      </w:r>
    </w:p>
    <w:p w14:paraId="58E4DF78" w14:textId="77777777" w:rsidR="007A3B76" w:rsidRDefault="007A3B76" w:rsidP="007A3B76"/>
    <w:p w14:paraId="4E27C9F4" w14:textId="7CC668B2" w:rsidR="00A7311B" w:rsidRDefault="007A3B76" w:rsidP="006203FA">
      <w:pPr>
        <w:outlineLvl w:val="1"/>
        <w:rPr>
          <w:rFonts w:cs="Arial"/>
          <w:szCs w:val="24"/>
        </w:rPr>
      </w:pPr>
      <w:r>
        <w:rPr>
          <w:rFonts w:cs="Arial"/>
          <w:szCs w:val="24"/>
        </w:rPr>
        <w:t>The intervention included three key stages: development of the course</w:t>
      </w:r>
      <w:r w:rsidR="00DA55B5">
        <w:rPr>
          <w:rFonts w:cs="Arial"/>
          <w:szCs w:val="24"/>
        </w:rPr>
        <w:t>, the</w:t>
      </w:r>
      <w:r>
        <w:rPr>
          <w:rFonts w:cs="Arial"/>
          <w:szCs w:val="24"/>
        </w:rPr>
        <w:t xml:space="preserve"> debrief</w:t>
      </w:r>
      <w:r w:rsidR="0024294B">
        <w:rPr>
          <w:rFonts w:cs="Arial"/>
          <w:szCs w:val="24"/>
        </w:rPr>
        <w:t>,</w:t>
      </w:r>
      <w:r w:rsidR="00DA55B5">
        <w:rPr>
          <w:rFonts w:cs="Arial"/>
          <w:szCs w:val="24"/>
        </w:rPr>
        <w:t xml:space="preserve"> and</w:t>
      </w:r>
      <w:r>
        <w:rPr>
          <w:rFonts w:cs="Arial"/>
          <w:szCs w:val="24"/>
        </w:rPr>
        <w:t xml:space="preserve"> assessment. In order to develop the simulation course</w:t>
      </w:r>
      <w:r w:rsidR="00DA55B5">
        <w:rPr>
          <w:rFonts w:cs="Arial"/>
          <w:szCs w:val="24"/>
        </w:rPr>
        <w:t xml:space="preserve"> (intervention)</w:t>
      </w:r>
      <w:r w:rsidR="00CE5661">
        <w:rPr>
          <w:rFonts w:cs="Arial"/>
          <w:szCs w:val="24"/>
        </w:rPr>
        <w:t>,</w:t>
      </w:r>
      <w:r>
        <w:rPr>
          <w:rFonts w:cs="Arial"/>
          <w:szCs w:val="24"/>
        </w:rPr>
        <w:t xml:space="preserve"> learning outcomes were mapped from </w:t>
      </w:r>
      <w:r w:rsidR="0024294B">
        <w:rPr>
          <w:rFonts w:cs="Arial"/>
          <w:szCs w:val="24"/>
        </w:rPr>
        <w:t xml:space="preserve">TD </w:t>
      </w:r>
      <w:r>
        <w:rPr>
          <w:rFonts w:cs="Arial"/>
          <w:szCs w:val="24"/>
        </w:rPr>
        <w:t xml:space="preserve">(2009) and the </w:t>
      </w:r>
      <w:r w:rsidR="0024294B">
        <w:rPr>
          <w:rFonts w:cs="Arial"/>
          <w:szCs w:val="24"/>
        </w:rPr>
        <w:t xml:space="preserve">FP curriculum </w:t>
      </w:r>
      <w:r>
        <w:rPr>
          <w:rFonts w:cs="Arial"/>
          <w:szCs w:val="24"/>
        </w:rPr>
        <w:t>(www.foundationprogramme.nhs.uk)</w:t>
      </w:r>
      <w:r w:rsidR="00DA55B5">
        <w:rPr>
          <w:rFonts w:cs="Arial"/>
          <w:szCs w:val="24"/>
        </w:rPr>
        <w:t>.</w:t>
      </w:r>
      <w:r>
        <w:rPr>
          <w:rFonts w:cs="Arial"/>
          <w:szCs w:val="24"/>
        </w:rPr>
        <w:t xml:space="preserve"> Listed within these documents are the expectations of a junior doctor on day one of work and as continuing good medical practice throughout their career. </w:t>
      </w:r>
      <w:r w:rsidR="00CE5661">
        <w:rPr>
          <w:rFonts w:cs="Arial"/>
          <w:szCs w:val="24"/>
        </w:rPr>
        <w:t>M</w:t>
      </w:r>
      <w:r w:rsidR="00A7311B">
        <w:rPr>
          <w:rFonts w:cs="Arial"/>
          <w:szCs w:val="24"/>
        </w:rPr>
        <w:t>edical students</w:t>
      </w:r>
      <w:r w:rsidR="00CE5661">
        <w:rPr>
          <w:rFonts w:cs="Arial"/>
          <w:szCs w:val="24"/>
        </w:rPr>
        <w:t xml:space="preserve"> must</w:t>
      </w:r>
      <w:r w:rsidR="00A7311B">
        <w:rPr>
          <w:rFonts w:cs="Arial"/>
          <w:szCs w:val="24"/>
        </w:rPr>
        <w:t xml:space="preserve"> meet these </w:t>
      </w:r>
      <w:r w:rsidR="00511ED1">
        <w:rPr>
          <w:rFonts w:cs="Arial"/>
          <w:szCs w:val="24"/>
        </w:rPr>
        <w:t>nationally</w:t>
      </w:r>
      <w:r w:rsidR="00A7311B">
        <w:rPr>
          <w:rFonts w:cs="Arial"/>
          <w:szCs w:val="24"/>
        </w:rPr>
        <w:t xml:space="preserve"> </w:t>
      </w:r>
      <w:r w:rsidR="00511ED1">
        <w:rPr>
          <w:rFonts w:cs="Arial"/>
          <w:szCs w:val="24"/>
        </w:rPr>
        <w:t>agreed</w:t>
      </w:r>
      <w:r w:rsidR="00A7311B">
        <w:rPr>
          <w:rFonts w:cs="Arial"/>
          <w:szCs w:val="24"/>
        </w:rPr>
        <w:t xml:space="preserve"> standards at completion of training. </w:t>
      </w:r>
    </w:p>
    <w:p w14:paraId="31CE3F8E" w14:textId="77777777" w:rsidR="007B78B2" w:rsidRPr="008A038E" w:rsidRDefault="007B78B2" w:rsidP="006203FA">
      <w:pPr>
        <w:outlineLvl w:val="1"/>
        <w:rPr>
          <w:rFonts w:cs="Arial"/>
          <w:szCs w:val="24"/>
        </w:rPr>
      </w:pPr>
    </w:p>
    <w:p w14:paraId="677B7060" w14:textId="35D3D430" w:rsidR="00A7311B" w:rsidRDefault="00A7311B" w:rsidP="005367B9">
      <w:pPr>
        <w:pStyle w:val="Heading3"/>
      </w:pPr>
      <w:bookmarkStart w:id="174" w:name="_Toc343501142"/>
      <w:bookmarkStart w:id="175" w:name="_Toc348686343"/>
      <w:bookmarkStart w:id="176" w:name="_Toc419116141"/>
      <w:r>
        <w:lastRenderedPageBreak/>
        <w:t>F</w:t>
      </w:r>
      <w:r w:rsidR="005C0A2A">
        <w:t xml:space="preserve">oundation </w:t>
      </w:r>
      <w:proofErr w:type="spellStart"/>
      <w:r>
        <w:t>P</w:t>
      </w:r>
      <w:r w:rsidR="005C0A2A">
        <w:t>rogramme</w:t>
      </w:r>
      <w:proofErr w:type="spellEnd"/>
      <w:r>
        <w:t xml:space="preserve"> curricul</w:t>
      </w:r>
      <w:r w:rsidR="005C0A2A">
        <w:t>um l</w:t>
      </w:r>
      <w:r w:rsidR="00B52685">
        <w:t xml:space="preserve">earning </w:t>
      </w:r>
      <w:r w:rsidR="005C0A2A">
        <w:t>o</w:t>
      </w:r>
      <w:r w:rsidR="00B52685">
        <w:t>utcomes</w:t>
      </w:r>
      <w:bookmarkEnd w:id="174"/>
      <w:bookmarkEnd w:id="175"/>
      <w:bookmarkEnd w:id="176"/>
      <w:r>
        <w:t xml:space="preserve"> </w:t>
      </w:r>
    </w:p>
    <w:p w14:paraId="059311CF" w14:textId="77777777" w:rsidR="00A7311B" w:rsidRPr="00430A9B" w:rsidRDefault="00A7311B" w:rsidP="00A7311B"/>
    <w:p w14:paraId="35E5A0C1" w14:textId="692152AE" w:rsidR="00A7311B" w:rsidRDefault="00A7311B" w:rsidP="00A7311B">
      <w:r>
        <w:t>Areas derived from an analysi</w:t>
      </w:r>
      <w:r w:rsidR="00B52685">
        <w:t xml:space="preserve">s of </w:t>
      </w:r>
      <w:r w:rsidR="0024294B">
        <w:t xml:space="preserve">TD </w:t>
      </w:r>
      <w:r w:rsidR="006816C1">
        <w:t>(2016)</w:t>
      </w:r>
      <w:r w:rsidR="00B52685">
        <w:t xml:space="preserve"> and the FP curriculum were </w:t>
      </w:r>
      <w:r>
        <w:t>combined wi</w:t>
      </w:r>
      <w:r w:rsidR="00B52685">
        <w:t xml:space="preserve">th themes from </w:t>
      </w:r>
      <w:r w:rsidR="00173DE4">
        <w:t>focus group</w:t>
      </w:r>
      <w:r w:rsidR="00B52685">
        <w:t>s and areas</w:t>
      </w:r>
      <w:r>
        <w:t xml:space="preserve"> from published literature surrounding FY1 </w:t>
      </w:r>
      <w:proofErr w:type="spellStart"/>
      <w:r w:rsidR="001D42C9">
        <w:t>underpreparedness</w:t>
      </w:r>
      <w:proofErr w:type="spellEnd"/>
      <w:r w:rsidR="00CE5661">
        <w:t>,</w:t>
      </w:r>
      <w:r w:rsidR="00B52685">
        <w:t xml:space="preserve"> to design the curriculum.</w:t>
      </w:r>
      <w:r w:rsidR="00DA55B5">
        <w:t xml:space="preserve"> </w:t>
      </w:r>
      <w:r>
        <w:t>The Foundation programme curriculum</w:t>
      </w:r>
      <w:r w:rsidR="0024294B">
        <w:t xml:space="preserve"> </w:t>
      </w:r>
      <w:r>
        <w:fldChar w:fldCharType="begin"/>
      </w:r>
      <w:r>
        <w:instrText xml:space="preserve"> ADDIN EN.CITE &lt;EndNote&gt;&lt;Cite&gt;&lt;Author&gt;The&lt;/Author&gt;&lt;Year&gt;2012&lt;/Year&gt;&lt;IDText&gt;The UK Foundation Programme Curriculum&lt;/IDText&gt;&lt;DisplayText&gt;(Colleges, 2012)&lt;/DisplayText&gt;&lt;record&gt;&lt;titles&gt;&lt;title&gt;The UK Foundation Programme Curriculum&lt;/title&gt;&lt;/titles&gt;&lt;number&gt;9th May 2016&lt;/number&gt;&lt;contributors&gt;&lt;authors&gt;&lt;author&gt;The Academy of the Royal Colleges&lt;/author&gt;&lt;/authors&gt;&lt;/contributors&gt;&lt;added-date format="utc"&gt;1462785324&lt;/added-date&gt;&lt;ref-type name="Web Page"&gt;12&lt;/ref-type&gt;&lt;dates&gt;&lt;year&gt;2012&lt;/year&gt;&lt;/dates&gt;&lt;rec-number&gt;247&lt;/rec-number&gt;&lt;last-updated-date format="utc"&gt;1462785425&lt;/last-updated-date&gt;&lt;/record&gt;&lt;/Cite&gt;&lt;/EndNote&gt;</w:instrText>
      </w:r>
      <w:r>
        <w:fldChar w:fldCharType="separate"/>
      </w:r>
      <w:r>
        <w:rPr>
          <w:noProof/>
        </w:rPr>
        <w:t>(Colleges, 2012)</w:t>
      </w:r>
      <w:r>
        <w:fldChar w:fldCharType="end"/>
      </w:r>
      <w:r>
        <w:t xml:space="preserve"> is based upon two documents from the General Medial Council (GMC), the first Good Medical Practice (2006)</w:t>
      </w:r>
      <w:r w:rsidR="0024294B">
        <w:t>,</w:t>
      </w:r>
      <w:r>
        <w:t xml:space="preserve"> and the second ‘Th</w:t>
      </w:r>
      <w:r w:rsidR="0024294B">
        <w:t>e T</w:t>
      </w:r>
      <w:r>
        <w:t xml:space="preserve">rainee Doctor’ (2011) which builds on the </w:t>
      </w:r>
      <w:r w:rsidR="00685655">
        <w:t>Tomorrow’s Doctors document (2016)</w:t>
      </w:r>
      <w:r w:rsidR="0024294B">
        <w:t>,</w:t>
      </w:r>
      <w:r>
        <w:t xml:space="preserve"> a curriculum guide for medical schools. These documents aim to collectively set out ‘positive standards expected of good doctors’ </w:t>
      </w:r>
      <w:r>
        <w:fldChar w:fldCharType="begin"/>
      </w:r>
      <w:r w:rsidR="00BB31A6">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fldChar w:fldCharType="separate"/>
      </w:r>
      <w:r w:rsidR="00BB31A6">
        <w:rPr>
          <w:noProof/>
        </w:rPr>
        <w:t>(GMC, 2009)</w:t>
      </w:r>
      <w:r>
        <w:fldChar w:fldCharType="end"/>
      </w:r>
      <w:r>
        <w:t xml:space="preserve">. The syllabus is divided up </w:t>
      </w:r>
      <w:r w:rsidR="000A27DF">
        <w:t>into</w:t>
      </w:r>
      <w:r w:rsidR="0024294B">
        <w:t xml:space="preserve"> sections that</w:t>
      </w:r>
      <w:r>
        <w:t xml:space="preserve"> include</w:t>
      </w:r>
      <w:r w:rsidR="0024294B">
        <w:t>:</w:t>
      </w:r>
      <w:r>
        <w:t xml:space="preserve"> ‘The foundation doctor as a professional and scholar’</w:t>
      </w:r>
      <w:r w:rsidR="0024294B">
        <w:t>,</w:t>
      </w:r>
      <w:r>
        <w:t xml:space="preserve"> which focuses on profe</w:t>
      </w:r>
      <w:r w:rsidR="0024294B">
        <w:t>ssionalism, managing time, team</w:t>
      </w:r>
      <w:r>
        <w:t>work, leadership skills and continuing care. Section 2, enti</w:t>
      </w:r>
      <w:r w:rsidR="0024294B">
        <w:t>tled ‘Relationship and Communication With P</w:t>
      </w:r>
      <w:r>
        <w:t>atients’</w:t>
      </w:r>
      <w:r w:rsidR="00DA55B5">
        <w:t>,</w:t>
      </w:r>
      <w:r>
        <w:t xml:space="preserve"> encompasses </w:t>
      </w:r>
      <w:r w:rsidR="00DA55B5">
        <w:t xml:space="preserve">difficult </w:t>
      </w:r>
      <w:r>
        <w:t xml:space="preserve">communication with patients, consent, managing complaints and maintaining a patient </w:t>
      </w:r>
      <w:r w:rsidR="0087581E">
        <w:t>focused</w:t>
      </w:r>
      <w:r>
        <w:t xml:space="preserve"> ap</w:t>
      </w:r>
      <w:r w:rsidR="0024294B">
        <w:t>proach. Section 3, ‘Safety and Clinical G</w:t>
      </w:r>
      <w:r>
        <w:t>overnance’, covers self-management including stress and illness and patient safety through quality and safety impro</w:t>
      </w:r>
      <w:r w:rsidR="0024294B">
        <w:t>vement. Section 4 ‘Ethical and Legal I</w:t>
      </w:r>
      <w:r>
        <w:t>ssues’ covers confiden</w:t>
      </w:r>
      <w:r w:rsidR="0024294B">
        <w:t>tiality and legal understanding.</w:t>
      </w:r>
      <w:r>
        <w:t xml:space="preserve"> Section 5 </w:t>
      </w:r>
      <w:r w:rsidR="0024294B">
        <w:t>covers teaching and training. Section 6 covers</w:t>
      </w:r>
      <w:r>
        <w:t xml:space="preserve"> </w:t>
      </w:r>
      <w:r w:rsidR="0024294B">
        <w:t>education and on-going learning and use of evidence-</w:t>
      </w:r>
      <w:r>
        <w:t>based medicine a</w:t>
      </w:r>
      <w:r w:rsidR="0024294B">
        <w:t>nd guidelines. Section 7 ‘Good Clinical C</w:t>
      </w:r>
      <w:r>
        <w:t>are’ delineates tasks to make patient safety a priority</w:t>
      </w:r>
      <w:r w:rsidR="0024294B">
        <w:t>,</w:t>
      </w:r>
      <w:r>
        <w:t xml:space="preserve"> such as history and examination, clinical </w:t>
      </w:r>
      <w:r w:rsidR="001D42C9">
        <w:t>decision-making</w:t>
      </w:r>
      <w:r>
        <w:t xml:space="preserve"> and diagnosing, reassessment, safe prescribing and use of equipment, infection control, documentation and cross speciality interaction. Section 8 </w:t>
      </w:r>
      <w:r w:rsidR="0024294B">
        <w:t xml:space="preserve">focuses on </w:t>
      </w:r>
      <w:r>
        <w:t xml:space="preserve">recognising and managing the acutely unwell patient and </w:t>
      </w:r>
      <w:r>
        <w:lastRenderedPageBreak/>
        <w:t>encompasses prompt assessment and response, management of pain, sepsis and self-harm. S</w:t>
      </w:r>
      <w:r w:rsidR="0024294B">
        <w:t>ection 9 is ‘Resuscitation and End of L</w:t>
      </w:r>
      <w:r>
        <w:t>ife</w:t>
      </w:r>
      <w:r w:rsidR="0024294B">
        <w:t xml:space="preserve"> C</w:t>
      </w:r>
      <w:r>
        <w:t>are’</w:t>
      </w:r>
      <w:r w:rsidR="0024294B">
        <w:t>,</w:t>
      </w:r>
      <w:r>
        <w:t xml:space="preserve"> including </w:t>
      </w:r>
      <w:r w:rsidR="0024294B">
        <w:t>‘</w:t>
      </w:r>
      <w:r>
        <w:t>do not attempt resuscitation</w:t>
      </w:r>
      <w:r w:rsidR="0024294B">
        <w:t>’</w:t>
      </w:r>
      <w:r>
        <w:t xml:space="preserve"> orde</w:t>
      </w:r>
      <w:r w:rsidR="0024294B">
        <w:t>rs and decisions. Section 10, ‘Patients With Long Term C</w:t>
      </w:r>
      <w:r>
        <w:t xml:space="preserve">onditions’, includes discharge planning, nutrition and supporting patients with decision-making, education and health promotion. Section 11 is ‘Investigations’ and the syllabus concludes with section 12 ‘Procedures’.  </w:t>
      </w:r>
    </w:p>
    <w:p w14:paraId="63B36292" w14:textId="4244293C" w:rsidR="00A7311B" w:rsidRPr="006203FA" w:rsidRDefault="00A7311B" w:rsidP="00A7311B">
      <w:pPr>
        <w:widowControl w:val="0"/>
        <w:autoSpaceDE w:val="0"/>
        <w:autoSpaceDN w:val="0"/>
        <w:adjustRightInd w:val="0"/>
        <w:spacing w:before="0" w:after="240"/>
      </w:pPr>
      <w:r>
        <w:t>As discussed above, scenarios designed were informed by these c</w:t>
      </w:r>
      <w:r w:rsidR="00B2451B">
        <w:t>urricular and syllabus outlines</w:t>
      </w:r>
      <w:r>
        <w:t xml:space="preserve"> to include the acutely unwell patient, sepsis and allow</w:t>
      </w:r>
      <w:r w:rsidR="00B2451B">
        <w:t xml:space="preserve"> the</w:t>
      </w:r>
      <w:r>
        <w:t xml:space="preserve"> display and development of as many of the other skills set out in the syllabus to create a forum for discussion and personal development during the debrief. </w:t>
      </w:r>
    </w:p>
    <w:p w14:paraId="73D96E5A" w14:textId="546468AC" w:rsidR="00A7311B" w:rsidRDefault="001D42C9" w:rsidP="005367B9">
      <w:pPr>
        <w:pStyle w:val="Heading3"/>
      </w:pPr>
      <w:bookmarkStart w:id="177" w:name="_Toc419116142"/>
      <w:r>
        <w:t>Tomorrow’s Doctors</w:t>
      </w:r>
      <w:bookmarkEnd w:id="177"/>
    </w:p>
    <w:p w14:paraId="776B6170" w14:textId="77777777" w:rsidR="00A7311B" w:rsidRDefault="00A7311B" w:rsidP="00A7311B"/>
    <w:p w14:paraId="6D85F182" w14:textId="7E09037C" w:rsidR="00A7311B" w:rsidRDefault="001D42C9" w:rsidP="00A7311B">
      <w:r>
        <w:t>Tomorrow’s Doctors</w:t>
      </w:r>
      <w:r w:rsidR="00A7311B">
        <w:t xml:space="preserve"> </w:t>
      </w:r>
      <w:r w:rsidR="00F170AF">
        <w:t>last updated in 2016 states the outcomes to be achieved by doctors for registration</w:t>
      </w:r>
      <w:r w:rsidR="00A7311B">
        <w:t xml:space="preserve"> with the GMC</w:t>
      </w:r>
      <w:r w:rsidR="00DA5025">
        <w:t xml:space="preserve"> </w:t>
      </w:r>
      <w:r w:rsidR="00382A6E">
        <w:fldChar w:fldCharType="begin"/>
      </w:r>
      <w:r w:rsidR="00382A6E">
        <w:instrText xml:space="preserve"> ADDIN EN.CITE &lt;EndNote&gt;&lt;Cite&gt;&lt;Author&gt;GMC&lt;/Author&gt;&lt;Year&gt;2016&lt;/Year&gt;&lt;IDText&gt;Outcomes for graduates (Tomorrow&amp;apos;s Doctors)&lt;/IDText&gt;&lt;DisplayText&gt;(GMC, 2016)&lt;/DisplayText&gt;&lt;record&gt;&lt;urls&gt;&lt;related-urls&gt;&lt;url&gt;http://www.gmc-uk.org/static/documents/content/Outcomes_for_graduates_Dec_16.pdf&lt;/url&gt;&lt;/related-urls&gt;&lt;/urls&gt;&lt;titles&gt;&lt;title&gt;Outcomes for graduates (Tomorrow&amp;apos;s Doctors)&lt;/title&gt;&lt;/titles&gt;&lt;contributors&gt;&lt;authors&gt;&lt;author&gt;GMC&lt;/author&gt;&lt;/authors&gt;&lt;/contributors&gt;&lt;added-date format="utc"&gt;1505984476&lt;/added-date&gt;&lt;ref-type name="Web Page"&gt;12&lt;/ref-type&gt;&lt;dates&gt;&lt;year&gt;2016&lt;/year&gt;&lt;/dates&gt;&lt;rec-number&gt;377&lt;/rec-number&gt;&lt;last-updated-date format="utc"&gt;1505984588&lt;/last-updated-date&gt;&lt;/record&gt;&lt;/Cite&gt;&lt;/EndNote&gt;</w:instrText>
      </w:r>
      <w:r w:rsidR="00382A6E">
        <w:fldChar w:fldCharType="separate"/>
      </w:r>
      <w:r w:rsidR="00382A6E">
        <w:rPr>
          <w:noProof/>
        </w:rPr>
        <w:t>(GMC, 2016)</w:t>
      </w:r>
      <w:r w:rsidR="00382A6E">
        <w:fldChar w:fldCharType="end"/>
      </w:r>
      <w:r w:rsidR="00382A6E">
        <w:t xml:space="preserve">. </w:t>
      </w:r>
      <w:r w:rsidR="00A7311B">
        <w:t xml:space="preserve">There are four main domains, which mirror those of the </w:t>
      </w:r>
      <w:r w:rsidR="00B2451B">
        <w:t xml:space="preserve">FP </w:t>
      </w:r>
      <w:r w:rsidR="00A7311B">
        <w:t>curriculum. These include</w:t>
      </w:r>
      <w:r w:rsidR="00B2451B">
        <w:t>:</w:t>
      </w:r>
      <w:r w:rsidR="00A7311B">
        <w:t xml:space="preserve"> ‘Knowledge, skills, performance’</w:t>
      </w:r>
      <w:r w:rsidR="00B2451B">
        <w:t>,</w:t>
      </w:r>
      <w:r w:rsidR="00A7311B">
        <w:t xml:space="preserve"> w</w:t>
      </w:r>
      <w:r w:rsidR="00B2451B">
        <w:t>hich includes keeping skills up-to-date and putting patients first. The second</w:t>
      </w:r>
      <w:r w:rsidR="00A7311B">
        <w:t xml:space="preserve"> ‘safety and quality’</w:t>
      </w:r>
      <w:r w:rsidR="00B2451B">
        <w:t>,</w:t>
      </w:r>
      <w:r w:rsidR="00A7311B">
        <w:t xml:space="preserve"> which describes patient protection and speaking up if safety or dignity may be being compromised. The third </w:t>
      </w:r>
      <w:r w:rsidR="00B2451B">
        <w:t xml:space="preserve">is </w:t>
      </w:r>
      <w:r w:rsidR="00A7311B">
        <w:t>‘C</w:t>
      </w:r>
      <w:r w:rsidR="00B2451B">
        <w:t xml:space="preserve">ommunication, partnership, teamwork’, which </w:t>
      </w:r>
      <w:r w:rsidR="00A7311B">
        <w:t xml:space="preserve">includes respect, confidentiality, information gathering and giving and effective communication with patient and team. </w:t>
      </w:r>
      <w:r w:rsidR="00B2451B">
        <w:t>The final d</w:t>
      </w:r>
      <w:r w:rsidR="00A7311B">
        <w:t xml:space="preserve">omain 4, </w:t>
      </w:r>
      <w:r w:rsidR="00B2451B">
        <w:t xml:space="preserve">is </w:t>
      </w:r>
      <w:r w:rsidR="00A7311B">
        <w:t>‘maintaining trust’</w:t>
      </w:r>
      <w:r w:rsidR="00B2451B">
        <w:t>, which</w:t>
      </w:r>
      <w:r w:rsidR="00A7311B">
        <w:t xml:space="preserve"> describes being honest, accountable and open. Within this document the GMC states that doctors must be able to ‘take responsibility for difficult decisions in situations of clinical complexity and uncertainty’</w:t>
      </w:r>
      <w:r w:rsidR="00A7311B">
        <w:fldChar w:fldCharType="begin"/>
      </w:r>
      <w:r w:rsidR="006102D5">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sidR="00A7311B">
        <w:fldChar w:fldCharType="separate"/>
      </w:r>
      <w:r w:rsidR="006102D5">
        <w:rPr>
          <w:noProof/>
        </w:rPr>
        <w:t>(GMC, 2009</w:t>
      </w:r>
      <w:r w:rsidR="00B9177C">
        <w:rPr>
          <w:noProof/>
        </w:rPr>
        <w:t>;</w:t>
      </w:r>
      <w:r w:rsidR="00A7311B">
        <w:fldChar w:fldCharType="end"/>
      </w:r>
      <w:r w:rsidR="00B2451B">
        <w:t xml:space="preserve"> p</w:t>
      </w:r>
      <w:r w:rsidR="00EF12EE">
        <w:t>4:</w:t>
      </w:r>
      <w:r w:rsidR="00430FEB">
        <w:t xml:space="preserve"> </w:t>
      </w:r>
      <w:r w:rsidR="00EF12EE">
        <w:t>foreword). The</w:t>
      </w:r>
      <w:r w:rsidR="00A7311B">
        <w:t>s</w:t>
      </w:r>
      <w:r w:rsidR="00EF12EE">
        <w:t>e are</w:t>
      </w:r>
      <w:r w:rsidR="00A7311B">
        <w:t xml:space="preserve"> very </w:t>
      </w:r>
      <w:r w:rsidR="00A7311B">
        <w:lastRenderedPageBreak/>
        <w:t xml:space="preserve">challenging </w:t>
      </w:r>
      <w:r w:rsidR="00EF12EE">
        <w:t>outcomes to measure</w:t>
      </w:r>
      <w:r w:rsidR="00A7311B">
        <w:t xml:space="preserve">. </w:t>
      </w:r>
      <w:r w:rsidR="00EF12EE">
        <w:t xml:space="preserve">The GMC states that doctors must ‘demonstrate all outcomes in the </w:t>
      </w:r>
      <w:r w:rsidR="00B2451B">
        <w:t xml:space="preserve">TD </w:t>
      </w:r>
      <w:r w:rsidR="00EF12EE">
        <w:t xml:space="preserve">document in order to be properly prepared for the </w:t>
      </w:r>
      <w:r w:rsidR="00B2451B">
        <w:t xml:space="preserve">FP </w:t>
      </w:r>
      <w:r w:rsidR="00EF12EE">
        <w:t xml:space="preserve">and clinical </w:t>
      </w:r>
      <w:r w:rsidR="00511ED1">
        <w:t>practice’. The</w:t>
      </w:r>
      <w:r w:rsidR="00A7311B">
        <w:t xml:space="preserve"> document explain</w:t>
      </w:r>
      <w:r w:rsidR="00EF12EE">
        <w:t>s</w:t>
      </w:r>
      <w:r w:rsidR="00A7311B">
        <w:t xml:space="preserve"> that medical schools do equip graduates for</w:t>
      </w:r>
      <w:r w:rsidR="00EF12EE">
        <w:t xml:space="preserve"> the ‘technical skills’</w:t>
      </w:r>
      <w:r w:rsidR="00A7311B">
        <w:t xml:space="preserve"> and ‘scientific knowledge’ </w:t>
      </w:r>
      <w:r w:rsidR="00EF12EE">
        <w:t xml:space="preserve">required, </w:t>
      </w:r>
      <w:r w:rsidR="00A7311B">
        <w:t xml:space="preserve">but </w:t>
      </w:r>
      <w:r w:rsidR="00EF12EE">
        <w:t xml:space="preserve">lacks guidance on </w:t>
      </w:r>
      <w:r w:rsidR="00A7311B">
        <w:t>how to achieve skill</w:t>
      </w:r>
      <w:r w:rsidR="00CE5661">
        <w:t>s in complex decision-making</w:t>
      </w:r>
      <w:r w:rsidR="00EF12EE">
        <w:t xml:space="preserve"> </w:t>
      </w:r>
      <w:r w:rsidR="00A7311B">
        <w:t xml:space="preserve">and development of non-technical skills. The foreword concludes with the importance of providing clinical leadership and change management to improve standards, </w:t>
      </w:r>
      <w:r w:rsidR="00EF12EE">
        <w:t xml:space="preserve">but with no </w:t>
      </w:r>
      <w:r w:rsidR="00511ED1">
        <w:t>guidance</w:t>
      </w:r>
      <w:r w:rsidR="00EF12EE">
        <w:t xml:space="preserve"> on how</w:t>
      </w:r>
      <w:r w:rsidR="00A7311B">
        <w:t xml:space="preserve">. </w:t>
      </w:r>
    </w:p>
    <w:p w14:paraId="4F19C444" w14:textId="507F78FE" w:rsidR="00CE5661" w:rsidRDefault="00A7311B" w:rsidP="007A3B76">
      <w:r>
        <w:t>The most relevant paragraphs to this</w:t>
      </w:r>
      <w:r w:rsidR="00B2451B">
        <w:t xml:space="preserve"> curriculum design include: paragraph</w:t>
      </w:r>
      <w:r>
        <w:t xml:space="preserve"> 14 ‘Diagnose and ma</w:t>
      </w:r>
      <w:r w:rsidR="00CE5661">
        <w:t>nage clinical presentations</w:t>
      </w:r>
      <w:r w:rsidR="00B2451B">
        <w:t>’, which</w:t>
      </w:r>
      <w:r>
        <w:t xml:space="preserve"> includes assessment, </w:t>
      </w:r>
      <w:r w:rsidR="00EF12EE">
        <w:t xml:space="preserve">interpretations of findings, </w:t>
      </w:r>
      <w:r>
        <w:t xml:space="preserve">making a differential diagnosis, </w:t>
      </w:r>
      <w:r w:rsidR="00EF12EE">
        <w:t xml:space="preserve">using an evidence base, </w:t>
      </w:r>
      <w:r>
        <w:t>managing uncertainty and synthesising a management plan including d</w:t>
      </w:r>
      <w:r w:rsidR="00B2451B">
        <w:t>ischarge and end of life care. Also p</w:t>
      </w:r>
      <w:r>
        <w:t>aragraph 15</w:t>
      </w:r>
      <w:r w:rsidR="00B2451B">
        <w:t>, which concerns</w:t>
      </w:r>
      <w:r>
        <w:t xml:space="preserve"> communication wi</w:t>
      </w:r>
      <w:r w:rsidR="00B2451B">
        <w:t>th patient, carers and the team, and p</w:t>
      </w:r>
      <w:r>
        <w:t>aragraph 16</w:t>
      </w:r>
      <w:r w:rsidR="00B2451B">
        <w:t>,</w:t>
      </w:r>
      <w:r>
        <w:t xml:space="preserve"> </w:t>
      </w:r>
      <w:r w:rsidR="007E1EF5">
        <w:t xml:space="preserve">with </w:t>
      </w:r>
      <w:r>
        <w:t>delivery of immediate care in an emergency situation including basic life support. Paragraph</w:t>
      </w:r>
      <w:r w:rsidR="00B2451B">
        <w:t>s</w:t>
      </w:r>
      <w:r>
        <w:t xml:space="preserve"> 17 and 18 </w:t>
      </w:r>
      <w:r w:rsidR="00B2451B">
        <w:t xml:space="preserve">concern the </w:t>
      </w:r>
      <w:r>
        <w:t xml:space="preserve">safe prescription of drugs and </w:t>
      </w:r>
      <w:r w:rsidR="007E1EF5">
        <w:t>procedure performance.</w:t>
      </w:r>
    </w:p>
    <w:p w14:paraId="3C555BE0" w14:textId="00C9900D" w:rsidR="00CE5661" w:rsidRDefault="00A7311B" w:rsidP="007A3B76">
      <w:r>
        <w:t xml:space="preserve">Paragraph 21 relates to reflection and </w:t>
      </w:r>
      <w:r w:rsidR="00B2451B">
        <w:t>lifelong</w:t>
      </w:r>
      <w:r>
        <w:t xml:space="preserve"> learning</w:t>
      </w:r>
      <w:r w:rsidR="00B2451B">
        <w:t>,</w:t>
      </w:r>
      <w:r>
        <w:t xml:space="preserve"> and states that practitioners should ‘continually and systematically reflect on practice and wherever necessary, translate that reflection </w:t>
      </w:r>
      <w:r w:rsidR="000A27DF">
        <w:t>into</w:t>
      </w:r>
      <w:r>
        <w:t xml:space="preserve"> action, using improvement techniques and audit appropriately’ </w:t>
      </w:r>
      <w:r>
        <w:fldChar w:fldCharType="begin"/>
      </w:r>
      <w:r w:rsidR="006102D5">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fldChar w:fldCharType="separate"/>
      </w:r>
      <w:r w:rsidR="006102D5">
        <w:rPr>
          <w:noProof/>
        </w:rPr>
        <w:t>(GMC, 2009</w:t>
      </w:r>
      <w:r w:rsidR="00B9177C">
        <w:rPr>
          <w:noProof/>
        </w:rPr>
        <w:t xml:space="preserve">; </w:t>
      </w:r>
      <w:r>
        <w:fldChar w:fldCharType="end"/>
      </w:r>
      <w:r w:rsidR="00B2451B">
        <w:t>Paragraph 21 p.27)</w:t>
      </w:r>
      <w:r>
        <w:t>. Reflection is a challenging skill and agai</w:t>
      </w:r>
      <w:r w:rsidR="007E1EF5">
        <w:t>n one that needs development</w:t>
      </w:r>
      <w:r w:rsidR="00B2451B">
        <w:t xml:space="preserve">. It </w:t>
      </w:r>
      <w:r>
        <w:t xml:space="preserve">is difficult to teach and measure. </w:t>
      </w:r>
    </w:p>
    <w:p w14:paraId="00156A94" w14:textId="03C2AC00" w:rsidR="00A7311B" w:rsidRPr="00B52685" w:rsidRDefault="00A7311B" w:rsidP="007A3B76">
      <w:r>
        <w:lastRenderedPageBreak/>
        <w:t xml:space="preserve">Paragraph 22 is concerned with </w:t>
      </w:r>
      <w:r w:rsidR="00B2451B">
        <w:t>teamwork</w:t>
      </w:r>
      <w:r>
        <w:t xml:space="preserve"> and effective </w:t>
      </w:r>
      <w:r w:rsidR="00A645DC">
        <w:t>interprofessional</w:t>
      </w:r>
      <w:r>
        <w:t xml:space="preserve"> working</w:t>
      </w:r>
      <w:r w:rsidR="007E1EF5">
        <w:t>,</w:t>
      </w:r>
      <w:r>
        <w:t xml:space="preserve"> to include understanding and respect</w:t>
      </w:r>
      <w:r w:rsidR="007E1EF5">
        <w:t xml:space="preserve"> </w:t>
      </w:r>
      <w:r>
        <w:fldChar w:fldCharType="begin"/>
      </w:r>
      <w:r w:rsidR="00BB31A6">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fldChar w:fldCharType="separate"/>
      </w:r>
      <w:r w:rsidR="00BB31A6">
        <w:rPr>
          <w:noProof/>
        </w:rPr>
        <w:t>(GMC, 2009)</w:t>
      </w:r>
      <w:r>
        <w:fldChar w:fldCharType="end"/>
      </w:r>
      <w:r>
        <w:t>. Historically all</w:t>
      </w:r>
      <w:r w:rsidR="007E1EF5">
        <w:t>ied health professional</w:t>
      </w:r>
      <w:r w:rsidR="00B2451B">
        <w:t>s</w:t>
      </w:r>
      <w:r w:rsidR="007E1EF5">
        <w:t xml:space="preserve"> </w:t>
      </w:r>
      <w:r>
        <w:t xml:space="preserve">have trained in silos and </w:t>
      </w:r>
      <w:r w:rsidR="00B2451B">
        <w:t xml:space="preserve">have </w:t>
      </w:r>
      <w:r>
        <w:t>been</w:t>
      </w:r>
      <w:r w:rsidR="00E24435">
        <w:t xml:space="preserve"> expected to start on</w:t>
      </w:r>
      <w:r>
        <w:t xml:space="preserve"> the ward with an understan</w:t>
      </w:r>
      <w:r w:rsidR="007E1EF5">
        <w:t>ding of roles, responsibilities and</w:t>
      </w:r>
      <w:r>
        <w:t xml:space="preserve"> respect to work effectively and effic</w:t>
      </w:r>
      <w:r w:rsidR="007E1EF5">
        <w:t>iently as a team. These are</w:t>
      </w:r>
      <w:r>
        <w:t xml:space="preserve"> complex skills that need time and experience to develop. </w:t>
      </w:r>
      <w:r w:rsidR="007E1EF5">
        <w:t xml:space="preserve">They have </w:t>
      </w:r>
      <w:r>
        <w:t xml:space="preserve">been </w:t>
      </w:r>
      <w:r w:rsidR="007E1EF5">
        <w:t xml:space="preserve">included in </w:t>
      </w:r>
      <w:r>
        <w:t xml:space="preserve">the curriculum </w:t>
      </w:r>
      <w:r w:rsidR="007E1EF5">
        <w:t xml:space="preserve">to facilitate </w:t>
      </w:r>
      <w:r>
        <w:t xml:space="preserve">authentic </w:t>
      </w:r>
      <w:r w:rsidR="00A645DC">
        <w:t>interprofessional</w:t>
      </w:r>
      <w:r>
        <w:t xml:space="preserve"> learning</w:t>
      </w:r>
      <w:r w:rsidR="007E1EF5">
        <w:t>.</w:t>
      </w:r>
    </w:p>
    <w:p w14:paraId="60AD895C" w14:textId="04E6F4EC" w:rsidR="007A3B76" w:rsidRDefault="007A3B76" w:rsidP="007A3B76">
      <w:pPr>
        <w:rPr>
          <w:rFonts w:cs="Arial"/>
          <w:szCs w:val="24"/>
        </w:rPr>
      </w:pPr>
      <w:r>
        <w:rPr>
          <w:rFonts w:cs="Arial"/>
          <w:szCs w:val="24"/>
        </w:rPr>
        <w:t>Following the mapping exercise, scenarios that were selected</w:t>
      </w:r>
      <w:r w:rsidR="007E1EF5">
        <w:rPr>
          <w:rFonts w:cs="Arial"/>
          <w:szCs w:val="24"/>
        </w:rPr>
        <w:t xml:space="preserve"> included</w:t>
      </w:r>
      <w:r>
        <w:rPr>
          <w:rFonts w:cs="Arial"/>
          <w:szCs w:val="24"/>
        </w:rPr>
        <w:t xml:space="preserve">: sepsis, anaphylaxis, the deteriorating patient, assessment of the acutely unwell breathless patient, </w:t>
      </w:r>
      <w:r w:rsidR="007062CE">
        <w:rPr>
          <w:rFonts w:cs="Arial"/>
          <w:szCs w:val="24"/>
        </w:rPr>
        <w:t xml:space="preserve">and </w:t>
      </w:r>
      <w:r>
        <w:rPr>
          <w:rFonts w:cs="Arial"/>
          <w:szCs w:val="24"/>
        </w:rPr>
        <w:t>cardiac arrest,</w:t>
      </w:r>
      <w:r w:rsidR="007E1EF5">
        <w:rPr>
          <w:rFonts w:cs="Arial"/>
          <w:szCs w:val="24"/>
        </w:rPr>
        <w:t xml:space="preserve"> </w:t>
      </w:r>
      <w:r w:rsidR="007062CE">
        <w:rPr>
          <w:rFonts w:cs="Arial"/>
          <w:szCs w:val="24"/>
        </w:rPr>
        <w:t xml:space="preserve">alongside </w:t>
      </w:r>
      <w:r>
        <w:rPr>
          <w:rFonts w:cs="Arial"/>
          <w:szCs w:val="24"/>
        </w:rPr>
        <w:t xml:space="preserve">leadership skills, prescribing drugs, fluids and oxygen. </w:t>
      </w:r>
      <w:r w:rsidR="009C78D5">
        <w:rPr>
          <w:rFonts w:cs="Arial"/>
          <w:szCs w:val="24"/>
        </w:rPr>
        <w:t>H</w:t>
      </w:r>
      <w:r>
        <w:rPr>
          <w:rFonts w:cs="Arial"/>
          <w:szCs w:val="24"/>
        </w:rPr>
        <w:t>andover, referral</w:t>
      </w:r>
      <w:r w:rsidR="009C78D5">
        <w:rPr>
          <w:rFonts w:cs="Arial"/>
          <w:szCs w:val="24"/>
        </w:rPr>
        <w:t>s</w:t>
      </w:r>
      <w:r>
        <w:rPr>
          <w:rFonts w:cs="Arial"/>
          <w:szCs w:val="24"/>
        </w:rPr>
        <w:t xml:space="preserve"> and calls for help were </w:t>
      </w:r>
      <w:r w:rsidR="009C78D5">
        <w:rPr>
          <w:rFonts w:cs="Arial"/>
          <w:szCs w:val="24"/>
        </w:rPr>
        <w:t xml:space="preserve">explored. </w:t>
      </w:r>
      <w:r>
        <w:rPr>
          <w:rFonts w:cs="Arial"/>
          <w:szCs w:val="24"/>
        </w:rPr>
        <w:t xml:space="preserve">At least one clinical skill was included within each scenario </w:t>
      </w:r>
      <w:r w:rsidR="00C97D33">
        <w:rPr>
          <w:rFonts w:cs="Arial"/>
          <w:szCs w:val="24"/>
        </w:rPr>
        <w:t>(</w:t>
      </w:r>
      <w:r>
        <w:rPr>
          <w:rFonts w:cs="Arial"/>
          <w:szCs w:val="24"/>
        </w:rPr>
        <w:t xml:space="preserve">cannulation, arterial blood gas sampling, catheterisation, venepuncture and blood </w:t>
      </w:r>
      <w:r w:rsidR="00C97D33">
        <w:rPr>
          <w:rFonts w:cs="Arial"/>
          <w:szCs w:val="24"/>
        </w:rPr>
        <w:t>culture</w:t>
      </w:r>
      <w:r>
        <w:rPr>
          <w:rFonts w:cs="Arial"/>
          <w:szCs w:val="24"/>
        </w:rPr>
        <w:t xml:space="preserve"> taking</w:t>
      </w:r>
      <w:r w:rsidR="00C97D33">
        <w:rPr>
          <w:rFonts w:cs="Arial"/>
          <w:szCs w:val="24"/>
        </w:rPr>
        <w:t>)</w:t>
      </w:r>
      <w:r>
        <w:rPr>
          <w:rFonts w:cs="Arial"/>
          <w:szCs w:val="24"/>
        </w:rPr>
        <w:t xml:space="preserve">. All students had previously been deemed competent in these procedures so the course would facilitate the performance of the tasks </w:t>
      </w:r>
      <w:r w:rsidR="00E24435">
        <w:rPr>
          <w:rFonts w:cs="Arial"/>
          <w:szCs w:val="24"/>
        </w:rPr>
        <w:t xml:space="preserve">in an authentic environment, </w:t>
      </w:r>
      <w:r>
        <w:rPr>
          <w:rFonts w:cs="Arial"/>
          <w:szCs w:val="24"/>
        </w:rPr>
        <w:t xml:space="preserve">under pressure. </w:t>
      </w:r>
    </w:p>
    <w:p w14:paraId="7C7B8AA6" w14:textId="2B4EAB65" w:rsidR="007A3B76" w:rsidRDefault="005F705F" w:rsidP="007A3B76">
      <w:pPr>
        <w:rPr>
          <w:rFonts w:cs="Arial"/>
          <w:szCs w:val="24"/>
        </w:rPr>
      </w:pPr>
      <w:r>
        <w:rPr>
          <w:rFonts w:cs="Arial"/>
          <w:szCs w:val="24"/>
        </w:rPr>
        <w:t>Candidate</w:t>
      </w:r>
      <w:r w:rsidR="007A3B76">
        <w:rPr>
          <w:rFonts w:cs="Arial"/>
          <w:szCs w:val="24"/>
        </w:rPr>
        <w:t xml:space="preserve">s performed independently as they would be expected to do as a junior doctor. When unsure of the next management decision they were able to call for help via a telephone and clinicians were able to guide them as members of their senior team. </w:t>
      </w:r>
    </w:p>
    <w:p w14:paraId="2A8308A7" w14:textId="3B17A843" w:rsidR="007A3B76" w:rsidRPr="008D481F" w:rsidRDefault="007A3B76" w:rsidP="007A3B76">
      <w:r>
        <w:rPr>
          <w:rFonts w:cs="Arial"/>
          <w:szCs w:val="24"/>
        </w:rPr>
        <w:t xml:space="preserve">There are many factors that can interrupt clear thinking such as noise on the ward from staff patients, bleeps and telephones. It is important to have an opportunity to put skills </w:t>
      </w:r>
      <w:r w:rsidR="000A27DF">
        <w:rPr>
          <w:rFonts w:cs="Arial"/>
          <w:szCs w:val="24"/>
        </w:rPr>
        <w:t>into</w:t>
      </w:r>
      <w:r>
        <w:rPr>
          <w:rFonts w:cs="Arial"/>
          <w:szCs w:val="24"/>
        </w:rPr>
        <w:t xml:space="preserve"> practice in an</w:t>
      </w:r>
      <w:r w:rsidR="00E24435">
        <w:rPr>
          <w:rFonts w:cs="Arial"/>
          <w:szCs w:val="24"/>
        </w:rPr>
        <w:t xml:space="preserve"> authentic</w:t>
      </w:r>
      <w:r>
        <w:rPr>
          <w:rFonts w:cs="Arial"/>
          <w:szCs w:val="24"/>
        </w:rPr>
        <w:t xml:space="preserve"> environment </w:t>
      </w:r>
      <w:r w:rsidR="00E24435">
        <w:rPr>
          <w:rFonts w:cs="Arial"/>
          <w:szCs w:val="24"/>
        </w:rPr>
        <w:t xml:space="preserve">to learn how to </w:t>
      </w:r>
      <w:r w:rsidR="00E24435">
        <w:rPr>
          <w:rFonts w:cs="Arial"/>
          <w:szCs w:val="24"/>
        </w:rPr>
        <w:lastRenderedPageBreak/>
        <w:t xml:space="preserve">manage and remain safe and </w:t>
      </w:r>
      <w:r w:rsidR="00511ED1">
        <w:rPr>
          <w:rFonts w:cs="Arial"/>
          <w:szCs w:val="24"/>
        </w:rPr>
        <w:t>effective</w:t>
      </w:r>
      <w:r>
        <w:rPr>
          <w:rFonts w:cs="Arial"/>
          <w:szCs w:val="24"/>
        </w:rPr>
        <w:t xml:space="preserve">. Simulation provides the opportunity to bridge this gap to </w:t>
      </w:r>
      <w:r w:rsidR="00E24435">
        <w:rPr>
          <w:rFonts w:cs="Arial"/>
          <w:szCs w:val="24"/>
        </w:rPr>
        <w:t xml:space="preserve">help </w:t>
      </w:r>
      <w:r>
        <w:rPr>
          <w:rFonts w:cs="Arial"/>
          <w:szCs w:val="24"/>
        </w:rPr>
        <w:t>prepare for</w:t>
      </w:r>
      <w:r w:rsidR="00C97D33">
        <w:rPr>
          <w:rFonts w:cs="Arial"/>
          <w:szCs w:val="24"/>
        </w:rPr>
        <w:t xml:space="preserve"> the complexity of</w:t>
      </w:r>
      <w:r>
        <w:rPr>
          <w:rFonts w:cs="Arial"/>
          <w:szCs w:val="24"/>
        </w:rPr>
        <w:t xml:space="preserve"> clinical practice</w:t>
      </w:r>
      <w:r w:rsidR="00E24435">
        <w:rPr>
          <w:rFonts w:cs="Arial"/>
          <w:szCs w:val="24"/>
        </w:rPr>
        <w:t>.</w:t>
      </w:r>
    </w:p>
    <w:p w14:paraId="7FEFBC5D" w14:textId="402CA5B0" w:rsidR="007A3B76" w:rsidRDefault="007A3B76" w:rsidP="007A3B76">
      <w:pPr>
        <w:rPr>
          <w:rFonts w:cs="Arial"/>
          <w:szCs w:val="24"/>
        </w:rPr>
      </w:pPr>
      <w:r>
        <w:rPr>
          <w:rFonts w:cs="Arial"/>
          <w:szCs w:val="24"/>
        </w:rPr>
        <w:t>It is unclear as to whether faculty members</w:t>
      </w:r>
      <w:r w:rsidR="00C4555F">
        <w:rPr>
          <w:rFonts w:cs="Arial"/>
          <w:szCs w:val="24"/>
        </w:rPr>
        <w:t xml:space="preserve"> </w:t>
      </w:r>
      <w:r>
        <w:rPr>
          <w:rFonts w:cs="Arial"/>
          <w:szCs w:val="24"/>
        </w:rPr>
        <w:t xml:space="preserve">should be in the room with the </w:t>
      </w:r>
      <w:r w:rsidR="00FD562D">
        <w:rPr>
          <w:rFonts w:cs="Arial"/>
          <w:szCs w:val="24"/>
        </w:rPr>
        <w:t>c</w:t>
      </w:r>
      <w:r w:rsidR="005F705F">
        <w:rPr>
          <w:rFonts w:cs="Arial"/>
          <w:szCs w:val="24"/>
        </w:rPr>
        <w:t>andidate</w:t>
      </w:r>
      <w:r>
        <w:rPr>
          <w:rFonts w:cs="Arial"/>
          <w:szCs w:val="24"/>
        </w:rPr>
        <w:t xml:space="preserve"> or outside</w:t>
      </w:r>
      <w:r w:rsidR="00C4555F">
        <w:rPr>
          <w:rFonts w:cs="Arial"/>
          <w:szCs w:val="24"/>
        </w:rPr>
        <w:t>.</w:t>
      </w:r>
      <w:r>
        <w:rPr>
          <w:rFonts w:cs="Arial"/>
          <w:szCs w:val="24"/>
        </w:rPr>
        <w:t xml:space="preserve"> Therefore in the pilot study one member of faculty remain</w:t>
      </w:r>
      <w:r w:rsidR="00C97D33">
        <w:rPr>
          <w:rFonts w:cs="Arial"/>
          <w:szCs w:val="24"/>
        </w:rPr>
        <w:t>ed</w:t>
      </w:r>
      <w:r>
        <w:rPr>
          <w:rFonts w:cs="Arial"/>
          <w:szCs w:val="24"/>
        </w:rPr>
        <w:t xml:space="preserve"> in the room to gauge </w:t>
      </w:r>
      <w:r w:rsidR="00FD562D">
        <w:rPr>
          <w:rFonts w:cs="Arial"/>
          <w:szCs w:val="24"/>
        </w:rPr>
        <w:t>c</w:t>
      </w:r>
      <w:r w:rsidR="005F705F">
        <w:rPr>
          <w:rFonts w:cs="Arial"/>
          <w:szCs w:val="24"/>
        </w:rPr>
        <w:t>andidate</w:t>
      </w:r>
      <w:r>
        <w:rPr>
          <w:rFonts w:cs="Arial"/>
          <w:szCs w:val="24"/>
        </w:rPr>
        <w:t xml:space="preserve"> level of anxiety. Prior to starting the course</w:t>
      </w:r>
      <w:r w:rsidR="00C97D33">
        <w:rPr>
          <w:rFonts w:cs="Arial"/>
          <w:szCs w:val="24"/>
        </w:rPr>
        <w:t xml:space="preserve">, </w:t>
      </w:r>
      <w:r>
        <w:rPr>
          <w:rFonts w:cs="Arial"/>
          <w:szCs w:val="24"/>
        </w:rPr>
        <w:t>all had a ten</w:t>
      </w:r>
      <w:r w:rsidR="005F705F">
        <w:rPr>
          <w:rFonts w:cs="Arial"/>
          <w:szCs w:val="24"/>
        </w:rPr>
        <w:t>-</w:t>
      </w:r>
      <w:r>
        <w:rPr>
          <w:rFonts w:cs="Arial"/>
          <w:szCs w:val="24"/>
        </w:rPr>
        <w:t>minute introduction to the high</w:t>
      </w:r>
      <w:r w:rsidR="005F705F">
        <w:rPr>
          <w:rFonts w:cs="Arial"/>
          <w:szCs w:val="24"/>
        </w:rPr>
        <w:t>-</w:t>
      </w:r>
      <w:r>
        <w:rPr>
          <w:rFonts w:cs="Arial"/>
          <w:szCs w:val="24"/>
        </w:rPr>
        <w:t xml:space="preserve">fidelity simulation </w:t>
      </w:r>
      <w:r w:rsidR="00E24435">
        <w:rPr>
          <w:rFonts w:cs="Arial"/>
          <w:szCs w:val="24"/>
        </w:rPr>
        <w:t>environment,</w:t>
      </w:r>
      <w:r>
        <w:rPr>
          <w:rFonts w:cs="Arial"/>
          <w:szCs w:val="24"/>
        </w:rPr>
        <w:t xml:space="preserve"> so that they were aware of the technical aspects</w:t>
      </w:r>
      <w:r w:rsidR="00E24435">
        <w:rPr>
          <w:rFonts w:cs="Arial"/>
          <w:szCs w:val="24"/>
        </w:rPr>
        <w:t>,</w:t>
      </w:r>
      <w:r>
        <w:rPr>
          <w:rFonts w:cs="Arial"/>
          <w:szCs w:val="24"/>
        </w:rPr>
        <w:t xml:space="preserve"> for example </w:t>
      </w:r>
      <w:r w:rsidR="00E24435">
        <w:rPr>
          <w:rFonts w:cs="Arial"/>
          <w:szCs w:val="24"/>
        </w:rPr>
        <w:t>how to call for help and with the mannequin</w:t>
      </w:r>
      <w:r w:rsidR="00C97D33">
        <w:rPr>
          <w:rFonts w:cs="Arial"/>
          <w:szCs w:val="24"/>
        </w:rPr>
        <w:t xml:space="preserve"> (</w:t>
      </w:r>
      <w:r>
        <w:rPr>
          <w:rFonts w:cs="Arial"/>
          <w:szCs w:val="24"/>
        </w:rPr>
        <w:t>pulse</w:t>
      </w:r>
      <w:r w:rsidR="00C97D33">
        <w:rPr>
          <w:rFonts w:cs="Arial"/>
          <w:szCs w:val="24"/>
        </w:rPr>
        <w:t xml:space="preserve"> location</w:t>
      </w:r>
      <w:r>
        <w:rPr>
          <w:rFonts w:cs="Arial"/>
          <w:szCs w:val="24"/>
        </w:rPr>
        <w:t xml:space="preserve"> and what the computerised heart and lungs sounded like</w:t>
      </w:r>
      <w:r w:rsidR="00C97D33">
        <w:rPr>
          <w:rFonts w:cs="Arial"/>
          <w:szCs w:val="24"/>
        </w:rPr>
        <w:t>)</w:t>
      </w:r>
      <w:r>
        <w:rPr>
          <w:rFonts w:cs="Arial"/>
          <w:szCs w:val="24"/>
        </w:rPr>
        <w:t xml:space="preserve">. This has been shown to improve immersion </w:t>
      </w:r>
      <w:r w:rsidR="000A27DF">
        <w:rPr>
          <w:rFonts w:cs="Arial"/>
          <w:szCs w:val="24"/>
        </w:rPr>
        <w:t>into</w:t>
      </w:r>
      <w:r>
        <w:rPr>
          <w:rFonts w:cs="Arial"/>
          <w:szCs w:val="24"/>
        </w:rPr>
        <w:t xml:space="preserve"> the simulated environment and lead to successful debriefing </w:t>
      </w:r>
      <w:r>
        <w:rPr>
          <w:rFonts w:cs="Arial"/>
          <w:szCs w:val="24"/>
        </w:rPr>
        <w:fldChar w:fldCharType="begin"/>
      </w:r>
      <w:r>
        <w:rPr>
          <w:rFonts w:cs="Arial"/>
          <w:szCs w:val="24"/>
        </w:rPr>
        <w:instrText xml:space="preserve"> ADDIN EN.CITE &lt;EndNote&gt;&lt;Cite&gt;&lt;Author&gt;Lewis&lt;/Author&gt;&lt;Year&gt;2009&lt;/Year&gt;&lt;IDText&gt;Redefining Qualitative Methods: Believability in the Fifth Moment&lt;/IDText&gt;&lt;DisplayText&gt;(Lewis, 2009)&lt;/DisplayText&gt;&lt;record&gt;&lt;titles&gt;&lt;title&gt;Redefining Qualitative Methods: Believability in the Fifth Moment&lt;/title&gt;&lt;secondary-title&gt;International Journal of Qualitative Methods&lt;/secondary-title&gt;&lt;/titles&gt;&lt;pages&gt;1 - 13&lt;/pages&gt;&lt;number&gt;2&lt;/number&gt;&lt;contributors&gt;&lt;authors&gt;&lt;author&gt;Lewis, J&lt;/author&gt;&lt;/authors&gt;&lt;/contributors&gt;&lt;added-date format="utc"&gt;1399930413&lt;/added-date&gt;&lt;pub-location&gt;Indiana, Pennsylvania, USA&lt;/pub-location&gt;&lt;ref-type name="Journal Article"&gt;17&lt;/ref-type&gt;&lt;dates&gt;&lt;year&gt;2009&lt;/year&gt;&lt;/dates&gt;&lt;rec-number&gt;94&lt;/rec-number&gt;&lt;last-updated-date format="utc"&gt;1399937123&lt;/last-updated-date&gt;&lt;volume&gt;8&lt;/volume&gt;&lt;/record&gt;&lt;/Cite&gt;&lt;/EndNote&gt;</w:instrText>
      </w:r>
      <w:r>
        <w:rPr>
          <w:rFonts w:cs="Arial"/>
          <w:szCs w:val="24"/>
        </w:rPr>
        <w:fldChar w:fldCharType="separate"/>
      </w:r>
      <w:r>
        <w:rPr>
          <w:rFonts w:cs="Arial"/>
          <w:noProof/>
          <w:szCs w:val="24"/>
        </w:rPr>
        <w:t>(Lewis, 2009)</w:t>
      </w:r>
      <w:r>
        <w:rPr>
          <w:rFonts w:cs="Arial"/>
          <w:szCs w:val="24"/>
        </w:rPr>
        <w:fldChar w:fldCharType="end"/>
      </w:r>
      <w:r>
        <w:rPr>
          <w:rFonts w:cs="Arial"/>
          <w:szCs w:val="24"/>
        </w:rPr>
        <w:t xml:space="preserve">. </w:t>
      </w:r>
      <w:r w:rsidR="00C97D33">
        <w:rPr>
          <w:rFonts w:cs="Arial"/>
          <w:szCs w:val="24"/>
        </w:rPr>
        <w:t>In addition</w:t>
      </w:r>
      <w:r w:rsidR="00A466BF">
        <w:rPr>
          <w:rFonts w:cs="Arial"/>
          <w:szCs w:val="24"/>
        </w:rPr>
        <w:t>,</w:t>
      </w:r>
      <w:r w:rsidR="00C97D33">
        <w:rPr>
          <w:rFonts w:cs="Arial"/>
          <w:szCs w:val="24"/>
        </w:rPr>
        <w:t xml:space="preserve"> ensuring </w:t>
      </w:r>
      <w:r>
        <w:rPr>
          <w:rFonts w:cs="Arial"/>
          <w:szCs w:val="24"/>
        </w:rPr>
        <w:t>‘personal comfort of participants’, building trust and mutual respect and confidentiality, and agreeing on a ‘fiction contract’</w:t>
      </w:r>
      <w:r w:rsidR="00A466BF">
        <w:rPr>
          <w:rFonts w:cs="Arial"/>
          <w:szCs w:val="24"/>
        </w:rPr>
        <w:t xml:space="preserve"> are said to be vital</w:t>
      </w:r>
      <w:r>
        <w:rPr>
          <w:rFonts w:cs="Arial"/>
          <w:szCs w:val="24"/>
        </w:rPr>
        <w:t xml:space="preserve"> </w:t>
      </w:r>
      <w:r>
        <w:rPr>
          <w:rFonts w:cs="Arial"/>
          <w:szCs w:val="24"/>
        </w:rPr>
        <w:fldChar w:fldCharType="begin"/>
      </w:r>
      <w:r w:rsidR="009C2FFD">
        <w:rPr>
          <w:rFonts w:cs="Arial"/>
          <w:szCs w:val="24"/>
        </w:rPr>
        <w:instrText xml:space="preserve"> ADDIN EN.CITE &lt;EndNote&gt;&lt;Cite&gt;&lt;Author&gt;Dieckmann&lt;/Author&gt;&lt;Year&gt;2007&lt;/Year&gt;&lt;IDText&gt;Deepening the theoretical foundations of patient simulation as social practice&lt;/IDText&gt;&lt;DisplayText&gt;(Dieckmann et al., 2007)&lt;/DisplayText&gt;&lt;record&gt;&lt;dates&gt;&lt;pub-dates&gt;&lt;date&gt;2007&lt;/date&gt;&lt;/pub-dates&gt;&lt;year&gt;2007&lt;/year&gt;&lt;/dates&gt;&lt;urls&gt;&lt;related-urls&gt;&lt;url&gt;&amp;lt;Go to ISI&amp;gt;://MEDLINE:19088622&lt;/url&gt;&lt;/related-urls&gt;&lt;/urls&gt;&lt;isbn&gt;1559-2332&lt;/isbn&gt;&lt;titles&gt;&lt;title&gt;Deepening the theoretical foundations of patient simulation as social practice&lt;/title&gt;&lt;secondary-title&gt;Simulation in healthcare : journal of the Society for Simulation in Healthcare&lt;/secondary-title&gt;&lt;/titles&gt;&lt;pages&gt;183-93&lt;/pages&gt;&lt;number&gt;3&lt;/number&gt;&lt;contributors&gt;&lt;authors&gt;&lt;author&gt;Dieckmann, Peter&lt;/author&gt;&lt;author&gt;Gaba, David&lt;/author&gt;&lt;author&gt;Rall, Marcus&lt;/author&gt;&lt;/authors&gt;&lt;/contributors&gt;&lt;added-date format="utc"&gt;1399991558&lt;/added-date&gt;&lt;ref-type name="Journal Article"&gt;17&lt;/ref-type&gt;&lt;rec-number&gt;133&lt;/rec-number&gt;&lt;last-updated-date format="utc"&gt;1400228406&lt;/last-updated-date&gt;&lt;accession-num&gt;MEDLINE:19088622&lt;/accession-num&gt;&lt;electronic-resource-num&gt;10.1097/SIH.0b013e3180f637f5&lt;/electronic-resource-num&gt;&lt;volume&gt;2&lt;/volume&gt;&lt;/record&gt;&lt;/Cite&gt;&lt;/EndNote&gt;</w:instrText>
      </w:r>
      <w:r>
        <w:rPr>
          <w:rFonts w:cs="Arial"/>
          <w:szCs w:val="24"/>
        </w:rPr>
        <w:fldChar w:fldCharType="separate"/>
      </w:r>
      <w:r w:rsidR="009C2FFD">
        <w:rPr>
          <w:rFonts w:cs="Arial"/>
          <w:noProof/>
          <w:szCs w:val="24"/>
        </w:rPr>
        <w:t>(Dieckmann et al., 2007)</w:t>
      </w:r>
      <w:r>
        <w:rPr>
          <w:rFonts w:cs="Arial"/>
          <w:szCs w:val="24"/>
        </w:rPr>
        <w:fldChar w:fldCharType="end"/>
      </w:r>
      <w:r>
        <w:rPr>
          <w:rFonts w:cs="Arial"/>
          <w:szCs w:val="24"/>
        </w:rPr>
        <w:t xml:space="preserve">. </w:t>
      </w:r>
      <w:proofErr w:type="spellStart"/>
      <w:r>
        <w:rPr>
          <w:rFonts w:cs="Arial"/>
          <w:szCs w:val="24"/>
        </w:rPr>
        <w:t>Dieckman</w:t>
      </w:r>
      <w:proofErr w:type="spellEnd"/>
      <w:r>
        <w:rPr>
          <w:rFonts w:cs="Arial"/>
          <w:szCs w:val="24"/>
        </w:rPr>
        <w:t xml:space="preserve"> et al. (2007) describe a fictional contract as an agreement between ‘participants and simulation educators that despite the limitations of the simulator they will make the simulation as real as possible and the mannequin will be treated as a human’. </w:t>
      </w:r>
    </w:p>
    <w:p w14:paraId="0BF99AD3" w14:textId="3DE18FEC" w:rsidR="007A3B76" w:rsidRDefault="007A3B76" w:rsidP="007A3B76">
      <w:pPr>
        <w:rPr>
          <w:rFonts w:cs="Arial"/>
          <w:szCs w:val="24"/>
        </w:rPr>
      </w:pPr>
      <w:r>
        <w:rPr>
          <w:rFonts w:cs="Arial"/>
          <w:szCs w:val="24"/>
        </w:rPr>
        <w:t xml:space="preserve">The timings were divided up so that </w:t>
      </w:r>
      <w:r w:rsidR="00FD562D">
        <w:rPr>
          <w:rFonts w:cs="Arial"/>
          <w:szCs w:val="24"/>
        </w:rPr>
        <w:t>c</w:t>
      </w:r>
      <w:r w:rsidR="005F705F">
        <w:rPr>
          <w:rFonts w:cs="Arial"/>
          <w:szCs w:val="24"/>
        </w:rPr>
        <w:t>andidate</w:t>
      </w:r>
      <w:r>
        <w:rPr>
          <w:rFonts w:cs="Arial"/>
          <w:szCs w:val="24"/>
        </w:rPr>
        <w:t xml:space="preserve"> </w:t>
      </w:r>
      <w:r w:rsidR="005F705F">
        <w:rPr>
          <w:rFonts w:cs="Arial"/>
          <w:szCs w:val="24"/>
        </w:rPr>
        <w:t>1</w:t>
      </w:r>
      <w:r>
        <w:rPr>
          <w:rFonts w:cs="Arial"/>
          <w:szCs w:val="24"/>
        </w:rPr>
        <w:t xml:space="preserve"> had 15 minutes of scenario and 15 minutes debrief, followed by </w:t>
      </w:r>
      <w:r w:rsidR="00D6777D">
        <w:rPr>
          <w:rFonts w:cs="Arial"/>
          <w:szCs w:val="24"/>
        </w:rPr>
        <w:t>c</w:t>
      </w:r>
      <w:r w:rsidR="005F705F">
        <w:rPr>
          <w:rFonts w:cs="Arial"/>
          <w:szCs w:val="24"/>
        </w:rPr>
        <w:t>andidates</w:t>
      </w:r>
      <w:r>
        <w:rPr>
          <w:rFonts w:cs="Arial"/>
          <w:szCs w:val="24"/>
        </w:rPr>
        <w:t xml:space="preserve"> 2 and 3</w:t>
      </w:r>
      <w:r w:rsidR="005F705F">
        <w:rPr>
          <w:rFonts w:cs="Arial"/>
          <w:szCs w:val="24"/>
        </w:rPr>
        <w:t>,</w:t>
      </w:r>
      <w:r>
        <w:rPr>
          <w:rFonts w:cs="Arial"/>
          <w:szCs w:val="24"/>
        </w:rPr>
        <w:t xml:space="preserve"> then a 15</w:t>
      </w:r>
      <w:r w:rsidR="005F705F">
        <w:rPr>
          <w:rFonts w:cs="Arial"/>
          <w:szCs w:val="24"/>
        </w:rPr>
        <w:t>-</w:t>
      </w:r>
      <w:r>
        <w:rPr>
          <w:rFonts w:cs="Arial"/>
          <w:szCs w:val="24"/>
        </w:rPr>
        <w:t xml:space="preserve">minute break then </w:t>
      </w:r>
      <w:r w:rsidR="00D6777D">
        <w:rPr>
          <w:rFonts w:cs="Arial"/>
          <w:szCs w:val="24"/>
        </w:rPr>
        <w:t>c</w:t>
      </w:r>
      <w:r w:rsidR="005F705F">
        <w:rPr>
          <w:rFonts w:cs="Arial"/>
          <w:szCs w:val="24"/>
        </w:rPr>
        <w:t>andidates</w:t>
      </w:r>
      <w:r>
        <w:rPr>
          <w:rFonts w:cs="Arial"/>
          <w:szCs w:val="24"/>
        </w:rPr>
        <w:t xml:space="preserve"> 4 and 5.  Following debriefing of </w:t>
      </w:r>
      <w:r w:rsidR="00D6777D">
        <w:rPr>
          <w:rFonts w:cs="Arial"/>
          <w:szCs w:val="24"/>
        </w:rPr>
        <w:t>c</w:t>
      </w:r>
      <w:r w:rsidR="005F705F">
        <w:rPr>
          <w:rFonts w:cs="Arial"/>
          <w:szCs w:val="24"/>
        </w:rPr>
        <w:t>andidate</w:t>
      </w:r>
      <w:r>
        <w:rPr>
          <w:rFonts w:cs="Arial"/>
          <w:szCs w:val="24"/>
        </w:rPr>
        <w:t xml:space="preserve"> 5, all were given a </w:t>
      </w:r>
      <w:r w:rsidR="001D42C9">
        <w:rPr>
          <w:rFonts w:cs="Arial"/>
          <w:szCs w:val="24"/>
        </w:rPr>
        <w:t>post-course</w:t>
      </w:r>
      <w:r>
        <w:rPr>
          <w:rFonts w:cs="Arial"/>
          <w:szCs w:val="24"/>
        </w:rPr>
        <w:t xml:space="preserve"> immediate confidence score to repeat and a feedback form. They were then invited to take part in a </w:t>
      </w:r>
      <w:r w:rsidR="00173DE4">
        <w:rPr>
          <w:rFonts w:cs="Arial"/>
          <w:szCs w:val="24"/>
        </w:rPr>
        <w:t>focus group</w:t>
      </w:r>
      <w:r>
        <w:rPr>
          <w:rFonts w:cs="Arial"/>
          <w:szCs w:val="24"/>
        </w:rPr>
        <w:t xml:space="preserve">. </w:t>
      </w:r>
    </w:p>
    <w:p w14:paraId="4D2B143E" w14:textId="77777777" w:rsidR="00046AEF" w:rsidRPr="00242D8A" w:rsidRDefault="00046AEF" w:rsidP="007A3B76">
      <w:pPr>
        <w:rPr>
          <w:rFonts w:cs="Arial"/>
          <w:szCs w:val="24"/>
        </w:rPr>
      </w:pPr>
    </w:p>
    <w:p w14:paraId="01B54B07" w14:textId="77777777" w:rsidR="007A3B76" w:rsidRDefault="007A3B76" w:rsidP="005367B9">
      <w:pPr>
        <w:pStyle w:val="Heading3"/>
      </w:pPr>
      <w:bookmarkStart w:id="178" w:name="_Toc343501144"/>
      <w:bookmarkStart w:id="179" w:name="_Toc348686345"/>
      <w:bookmarkStart w:id="180" w:name="_Toc419116143"/>
      <w:r>
        <w:lastRenderedPageBreak/>
        <w:t>Debriefing</w:t>
      </w:r>
      <w:bookmarkEnd w:id="178"/>
      <w:bookmarkEnd w:id="179"/>
      <w:bookmarkEnd w:id="180"/>
    </w:p>
    <w:p w14:paraId="230BEBC4" w14:textId="77777777" w:rsidR="007A3B76" w:rsidRPr="000A6525" w:rsidRDefault="007A3B76" w:rsidP="007A3B76"/>
    <w:p w14:paraId="1B6075BB" w14:textId="0702F77B" w:rsidR="007A3B76" w:rsidRDefault="007A3B76" w:rsidP="007A3B76">
      <w:pPr>
        <w:rPr>
          <w:rFonts w:cs="Arial"/>
          <w:szCs w:val="24"/>
        </w:rPr>
      </w:pPr>
      <w:r>
        <w:rPr>
          <w:rFonts w:cs="Arial"/>
          <w:szCs w:val="24"/>
        </w:rPr>
        <w:t xml:space="preserve">Debriefing has been referred to as ‘the heart and soul of the simulation experience’ </w:t>
      </w:r>
      <w:r>
        <w:rPr>
          <w:rFonts w:cs="Arial"/>
          <w:szCs w:val="24"/>
        </w:rPr>
        <w:fldChar w:fldCharType="begin"/>
      </w:r>
      <w:r>
        <w:rPr>
          <w:rFonts w:cs="Arial"/>
          <w:szCs w:val="24"/>
        </w:rPr>
        <w:instrText xml:space="preserve"> ADDIN EN.CITE &lt;EndNote&gt;&lt;Cite&gt;&lt;Author&gt;Rall&lt;/Author&gt;&lt;Year&gt;2000&lt;/Year&gt;&lt;IDText&gt;Key elements of debriefing for simulator training&lt;/IDText&gt;&lt;DisplayText&gt;(Rall et al., 2000)&lt;/DisplayText&gt;&lt;record&gt;&lt;titles&gt;&lt;title&gt;Key elements of debriefing for simulator training&lt;/title&gt;&lt;secondary-title&gt;European Journal of Anaesthesiology&lt;/secondary-title&gt;&lt;/titles&gt;&lt;pages&gt;516-517&lt;/pages&gt;&lt;contributors&gt;&lt;authors&gt;&lt;author&gt;Rall, M&lt;/author&gt;&lt;author&gt;Manser, T&lt;/author&gt;&lt;author&gt;Howard, S&lt;/author&gt;&lt;/authors&gt;&lt;/contributors&gt;&lt;added-date format="utc"&gt;1399992562&lt;/added-date&gt;&lt;ref-type name="Journal Article"&gt;17&lt;/ref-type&gt;&lt;dates&gt;&lt;year&gt;2000&lt;/year&gt;&lt;/dates&gt;&lt;rec-number&gt;141&lt;/rec-number&gt;&lt;last-updated-date format="utc"&gt;1400228406&lt;/last-updated-date&gt;&lt;volume&gt;17&lt;/volume&gt;&lt;/record&gt;&lt;/Cite&gt;&lt;/EndNote&gt;</w:instrText>
      </w:r>
      <w:r>
        <w:rPr>
          <w:rFonts w:cs="Arial"/>
          <w:szCs w:val="24"/>
        </w:rPr>
        <w:fldChar w:fldCharType="separate"/>
      </w:r>
      <w:r>
        <w:rPr>
          <w:rFonts w:cs="Arial"/>
          <w:noProof/>
          <w:szCs w:val="24"/>
        </w:rPr>
        <w:t>(Rall et al., 2000)</w:t>
      </w:r>
      <w:r>
        <w:rPr>
          <w:rFonts w:cs="Arial"/>
          <w:szCs w:val="24"/>
        </w:rPr>
        <w:fldChar w:fldCharType="end"/>
      </w:r>
      <w:r>
        <w:rPr>
          <w:rFonts w:cs="Arial"/>
          <w:szCs w:val="24"/>
        </w:rPr>
        <w:t xml:space="preserve">. </w:t>
      </w:r>
      <w:r w:rsidR="00506854">
        <w:rPr>
          <w:rFonts w:cs="Arial"/>
          <w:szCs w:val="24"/>
        </w:rPr>
        <w:fldChar w:fldCharType="begin"/>
      </w:r>
      <w:r w:rsidR="006102D5">
        <w:rPr>
          <w:rFonts w:cs="Arial"/>
          <w:szCs w:val="24"/>
        </w:rPr>
        <w:instrText xml:space="preserve"> ADDIN EN.CITE &lt;EndNote&gt;&lt;Cite&gt;&lt;Author&gt;Gaba&lt;/Author&gt;&lt;Year&gt;1992&lt;/Year&gt;&lt;IDText&gt;IMPROVING ANESTHESIOLOGISTS PERFORMANCE BY SIMULATING REALITY&lt;/IDText&gt;&lt;DisplayText&gt;(Gaba, 1992)&lt;/DisplayText&gt;&lt;record&gt;&lt;dates&gt;&lt;pub-dates&gt;&lt;date&gt;Apr&lt;/date&gt;&lt;/pub-dates&gt;&lt;year&gt;1992&lt;/year&gt;&lt;/dates&gt;&lt;urls&gt;&lt;related-urls&gt;&lt;url&gt;&amp;lt;Go to ISI&amp;gt;://WOS:A1992HL55800001&lt;/url&gt;&lt;/related-urls&gt;&lt;/urls&gt;&lt;isbn&gt;0003-3022&lt;/isbn&gt;&lt;titles&gt;&lt;title&gt;IMPROVING ANESTHESIOLOGISTS PERFORMANCE BY SIMULATING REALITY&lt;/title&gt;&lt;secondary-title&gt;Anesthesiology&lt;/secondary-title&gt;&lt;/titles&gt;&lt;pages&gt;491-494&lt;/pages&gt;&lt;number&gt;4&lt;/number&gt;&lt;contributors&gt;&lt;authors&gt;&lt;author&gt;Gaba, D. M.&lt;/author&gt;&lt;/authors&gt;&lt;/contributors&gt;&lt;added-date format="utc"&gt;1391167122&lt;/added-date&gt;&lt;ref-type name="Journal Article"&gt;17&lt;/ref-type&gt;&lt;rec-number&gt;68&lt;/rec-number&gt;&lt;last-updated-date format="utc"&gt;1391171448&lt;/last-updated-date&gt;&lt;accession-num&gt;WOS:A1992HL55800001&lt;/accession-num&gt;&lt;volume&gt;76&lt;/volume&gt;&lt;/record&gt;&lt;/Cite&gt;&lt;/EndNote&gt;</w:instrText>
      </w:r>
      <w:r w:rsidR="00506854">
        <w:rPr>
          <w:rFonts w:cs="Arial"/>
          <w:szCs w:val="24"/>
        </w:rPr>
        <w:fldChar w:fldCharType="separate"/>
      </w:r>
      <w:r w:rsidR="00B9177C">
        <w:rPr>
          <w:rFonts w:cs="Arial"/>
          <w:noProof/>
          <w:szCs w:val="24"/>
        </w:rPr>
        <w:t>Gaba</w:t>
      </w:r>
      <w:r w:rsidR="006102D5">
        <w:rPr>
          <w:rFonts w:cs="Arial"/>
          <w:noProof/>
          <w:szCs w:val="24"/>
        </w:rPr>
        <w:t xml:space="preserve"> </w:t>
      </w:r>
      <w:r w:rsidR="00B9177C">
        <w:rPr>
          <w:rFonts w:cs="Arial"/>
          <w:noProof/>
          <w:szCs w:val="24"/>
        </w:rPr>
        <w:t>(</w:t>
      </w:r>
      <w:r w:rsidR="006102D5">
        <w:rPr>
          <w:rFonts w:cs="Arial"/>
          <w:noProof/>
          <w:szCs w:val="24"/>
        </w:rPr>
        <w:t>1992)</w:t>
      </w:r>
      <w:r w:rsidR="00506854">
        <w:rPr>
          <w:rFonts w:cs="Arial"/>
          <w:szCs w:val="24"/>
        </w:rPr>
        <w:fldChar w:fldCharType="end"/>
      </w:r>
      <w:r w:rsidR="00506854">
        <w:rPr>
          <w:rFonts w:cs="Arial"/>
          <w:szCs w:val="24"/>
        </w:rPr>
        <w:t xml:space="preserve"> </w:t>
      </w:r>
      <w:r>
        <w:rPr>
          <w:rFonts w:cs="Arial"/>
          <w:szCs w:val="24"/>
        </w:rPr>
        <w:t xml:space="preserve">described debriefing as ‘an integral part of the process of any experiential-learning technique’. It </w:t>
      </w:r>
      <w:r w:rsidR="00B2555B">
        <w:rPr>
          <w:rFonts w:cs="Arial"/>
          <w:szCs w:val="24"/>
        </w:rPr>
        <w:t xml:space="preserve">is </w:t>
      </w:r>
      <w:r>
        <w:rPr>
          <w:rFonts w:cs="Arial"/>
          <w:szCs w:val="24"/>
        </w:rPr>
        <w:t xml:space="preserve">described as a process of analysis and discussion following the experience to allow conscious evaluation of lessons learned </w:t>
      </w:r>
      <w:r>
        <w:rPr>
          <w:rFonts w:cs="Arial"/>
          <w:szCs w:val="24"/>
        </w:rPr>
        <w:fldChar w:fldCharType="begin">
          <w:fldData xml:space="preserve">PEVuZE5vdGU+PENpdGU+PEF1dGhvcj5MZWRlcm1hbjwvQXV0aG9yPjxZZWFyPjE5ODQ8L1llYXI+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</w:fldData>
        </w:fldChar>
      </w:r>
      <w:r>
        <w:rPr>
          <w:rFonts w:cs="Arial"/>
          <w:szCs w:val="24"/>
        </w:rPr>
        <w:instrText xml:space="preserve"> ADDIN EN.CITE </w:instrText>
      </w:r>
      <w:r>
        <w:rPr>
          <w:rFonts w:cs="Arial"/>
          <w:szCs w:val="24"/>
        </w:rPr>
        <w:fldChar w:fldCharType="begin">
          <w:fldData xml:space="preserve">PEVuZE5vdGU+PENpdGU+PEF1dGhvcj5MZWRlcm1hbjwvQXV0aG9yPjxZZWFyPjE5ODQ8L1llYXI+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</w:fldData>
        </w:fldChar>
      </w:r>
      <w:r>
        <w:rPr>
          <w:rFonts w:cs="Arial"/>
          <w:szCs w:val="24"/>
        </w:rPr>
        <w:instrText xml:space="preserve"> ADDIN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(Lederman, 1984, Lederman, 1992)</w:t>
      </w:r>
      <w:r>
        <w:rPr>
          <w:rFonts w:cs="Arial"/>
          <w:szCs w:val="24"/>
        </w:rPr>
        <w:fldChar w:fldCharType="end"/>
      </w:r>
      <w:r>
        <w:rPr>
          <w:rFonts w:cs="Arial"/>
          <w:szCs w:val="24"/>
        </w:rPr>
        <w:t xml:space="preserve">. </w:t>
      </w:r>
      <w:r w:rsidR="00B2555B">
        <w:rPr>
          <w:rFonts w:cs="Arial"/>
          <w:szCs w:val="24"/>
        </w:rPr>
        <w:t>The process of d</w:t>
      </w:r>
      <w:r>
        <w:rPr>
          <w:rFonts w:cs="Arial"/>
          <w:szCs w:val="24"/>
        </w:rPr>
        <w:t>ebriefing has been said to maximise learning and facilitation of change</w:t>
      </w:r>
      <w:r w:rsidR="00B2555B">
        <w:rPr>
          <w:rFonts w:cs="Arial"/>
          <w:szCs w:val="24"/>
        </w:rPr>
        <w:t>,</w:t>
      </w:r>
      <w:r>
        <w:rPr>
          <w:rFonts w:cs="Arial"/>
          <w:szCs w:val="24"/>
        </w:rPr>
        <w:t xml:space="preserve"> on an individual and systematic level’ </w:t>
      </w:r>
      <w:r w:rsidRPr="00F46E0D">
        <w:rPr>
          <w:rFonts w:cs="Arial"/>
          <w:szCs w:val="24"/>
        </w:rPr>
        <w:fldChar w:fldCharType="begin"/>
      </w:r>
      <w:r>
        <w:rPr>
          <w:rFonts w:cs="Arial"/>
          <w:szCs w:val="24"/>
        </w:rPr>
        <w:instrText xml:space="preserve"> ADDIN EN.CITE &lt;EndNote&gt;&lt;Cite&gt;&lt;Author&gt;Dieckmann&lt;/Author&gt;&lt;Year&gt;2009&lt;/Year&gt;&lt;IDText&gt;The art and science of debriefing in simulation: Ideal and practice&lt;/IDText&gt;&lt;DisplayText&gt;(Dieckmann et al., 2009)&lt;/DisplayText&gt;&lt;record&gt;&lt;dates&gt;&lt;pub-dates&gt;&lt;date&gt;2009&lt;/date&gt;&lt;/pub-dates&gt;&lt;year&gt;2009&lt;/year&gt;&lt;/dates&gt;&lt;urls&gt;&lt;related-urls&gt;&lt;url&gt;&amp;lt;Go to ISI&amp;gt;://WOS:000268788000021&lt;/url&gt;&lt;/related-urls&gt;&lt;/urls&gt;&lt;isbn&gt;0142-159X&lt;/isbn&gt;&lt;titles&gt;&lt;title&gt;The art and science of debriefing in simulation: Ideal and practice&lt;/title&gt;&lt;secondary-title&gt;Medical Teacher&lt;/secondary-title&gt;&lt;/titles&gt;&lt;pages&gt;E287-E294&lt;/pages&gt;&lt;number&gt;7&lt;/number&gt;&lt;contributors&gt;&lt;authors&gt;&lt;author&gt;Dieckmann, Peter&lt;/author&gt;&lt;author&gt;Friis, Susanne Molin&lt;/author&gt;&lt;author&gt;Lippert, Anne&lt;/author&gt;&lt;author&gt;Ostergaard, Doris&lt;/author&gt;&lt;/authors&gt;&lt;/contributors&gt;&lt;added-date format="utc"&gt;1399991469&lt;/added-date&gt;&lt;ref-type name="Journal Article"&gt;17&lt;/ref-type&gt;&lt;rec-number&gt;132&lt;/rec-number&gt;&lt;last-updated-date format="utc"&gt;1400228406&lt;/last-updated-date&gt;&lt;accession-num&gt;WOS:000268788000021&lt;/accession-num&gt;&lt;electronic-resource-num&gt;10.1080/01421590902866218&lt;/electronic-resource-num&gt;&lt;volume&gt;31&lt;/volume&gt;&lt;/record&gt;&lt;/Cite&gt;&lt;/EndNote&gt;</w:instrText>
      </w:r>
      <w:r w:rsidRPr="00F46E0D">
        <w:rPr>
          <w:rFonts w:cs="Arial"/>
          <w:szCs w:val="24"/>
        </w:rPr>
        <w:fldChar w:fldCharType="separate"/>
      </w:r>
      <w:r>
        <w:rPr>
          <w:rFonts w:cs="Arial"/>
          <w:noProof/>
          <w:szCs w:val="24"/>
        </w:rPr>
        <w:t>(Dieckmann et al., 2009)</w:t>
      </w:r>
      <w:r w:rsidRPr="00F46E0D">
        <w:rPr>
          <w:rFonts w:cs="Arial"/>
          <w:szCs w:val="24"/>
        </w:rPr>
        <w:fldChar w:fldCharType="end"/>
      </w:r>
      <w:r w:rsidRPr="00F46E0D">
        <w:rPr>
          <w:rFonts w:cs="Arial"/>
          <w:szCs w:val="24"/>
        </w:rPr>
        <w:t>.</w:t>
      </w:r>
      <w:r>
        <w:rPr>
          <w:rFonts w:cs="Arial"/>
          <w:szCs w:val="24"/>
        </w:rPr>
        <w:t xml:space="preserve"> We have a duty to provide honest constructive feedback and this is a difficult skill. The facilitator needs to help analyse and evaluate </w:t>
      </w:r>
      <w:r w:rsidR="00D6777D">
        <w:rPr>
          <w:rFonts w:cs="Arial"/>
          <w:szCs w:val="24"/>
        </w:rPr>
        <w:t>c</w:t>
      </w:r>
      <w:r w:rsidR="005F705F">
        <w:rPr>
          <w:rFonts w:cs="Arial"/>
          <w:szCs w:val="24"/>
        </w:rPr>
        <w:t>andidate</w:t>
      </w:r>
      <w:r>
        <w:rPr>
          <w:rFonts w:cs="Arial"/>
          <w:szCs w:val="24"/>
        </w:rPr>
        <w:t xml:space="preserve"> thoughts by encouraging active participation and personal exploration. It has been demonstrated that effective performance in simulation is linked to effectiveness of debriefing by trained facilitators </w:t>
      </w:r>
      <w:r w:rsidRPr="00726168">
        <w:rPr>
          <w:rFonts w:cs="Arial"/>
          <w:szCs w:val="24"/>
        </w:rPr>
        <w:fldChar w:fldCharType="begin"/>
      </w:r>
      <w:r>
        <w:rPr>
          <w:rFonts w:cs="Arial"/>
          <w:szCs w:val="24"/>
        </w:rPr>
        <w:instrText xml:space="preserve"> ADDIN EN.CITE &lt;EndNote&gt;&lt;Cite&gt;&lt;Author&gt;Smith-Jentsch&lt;/Author&gt;&lt;Year&gt;1998&lt;/Year&gt;&lt;IDText&gt;Team dimensional training: A strategy for guided team self correction&lt;/IDText&gt;&lt;DisplayText&gt;(Smith-Jentsch et al., 1998)&lt;/DisplayText&gt;&lt;record&gt;&lt;titles&gt;&lt;title&gt;Team dimensional training: A strategy for guided team self correction&lt;/title&gt;&lt;secondary-title&gt;Making decisions under stress: Implications for individual and team training&lt;/secondary-title&gt;&lt;/titles&gt;&lt;contributors&gt;&lt;authors&gt;&lt;author&gt;Smith-Jentsch, K A&lt;/author&gt;&lt;author&gt;Zeisig, R L&lt;/author&gt;&lt;author&gt;Acton, B&lt;/author&gt;&lt;author&gt;McPherson, J A&lt;/author&gt;&lt;/authors&gt;&lt;/contributors&gt;&lt;added-date format="utc"&gt;1399992181&lt;/added-date&gt;&lt;pub-location&gt;Washington, DC&lt;/pub-location&gt;&lt;ref-type name="Book Section"&gt;5&lt;/ref-type&gt;&lt;dates&gt;&lt;year&gt;1998&lt;/year&gt;&lt;/dates&gt;&lt;rec-number&gt;139&lt;/rec-number&gt;&lt;publisher&gt;APA&lt;/publisher&gt;&lt;last-updated-date format="utc"&gt;1400228406&lt;/last-updated-date&gt;&lt;contributors&gt;&lt;secondary-authors&gt;&lt;author&gt;Cannon-Bowers JA&lt;/author&gt;&lt;author&gt;Salas, E&lt;/author&gt;&lt;/secondary-authors&gt;&lt;/contributors&gt;&lt;/record&gt;&lt;/Cite&gt;&lt;/EndNote&gt;</w:instrText>
      </w:r>
      <w:r w:rsidRPr="00726168">
        <w:rPr>
          <w:rFonts w:cs="Arial"/>
          <w:szCs w:val="24"/>
        </w:rPr>
        <w:fldChar w:fldCharType="separate"/>
      </w:r>
      <w:r>
        <w:rPr>
          <w:rFonts w:cs="Arial"/>
          <w:noProof/>
          <w:szCs w:val="24"/>
        </w:rPr>
        <w:t>(Smith-Jentsch et al., 1998)</w:t>
      </w:r>
      <w:r w:rsidRPr="00726168">
        <w:rPr>
          <w:rFonts w:cs="Arial"/>
          <w:szCs w:val="24"/>
        </w:rPr>
        <w:fldChar w:fldCharType="end"/>
      </w:r>
      <w:r w:rsidRPr="00726168">
        <w:rPr>
          <w:rFonts w:cs="Arial"/>
          <w:szCs w:val="24"/>
        </w:rPr>
        <w:t>.</w:t>
      </w:r>
      <w:r>
        <w:rPr>
          <w:rFonts w:cs="Arial"/>
          <w:szCs w:val="24"/>
        </w:rPr>
        <w:t xml:space="preserve"> </w:t>
      </w:r>
    </w:p>
    <w:p w14:paraId="1974C6D1" w14:textId="0F67FC35" w:rsidR="00B2555B" w:rsidRDefault="007A3B76" w:rsidP="007A3B76">
      <w:pPr>
        <w:rPr>
          <w:rFonts w:cs="Arial"/>
          <w:szCs w:val="24"/>
        </w:rPr>
      </w:pPr>
      <w:r>
        <w:rPr>
          <w:rFonts w:cs="Arial"/>
          <w:szCs w:val="24"/>
        </w:rPr>
        <w:t>There are many models to aid with debriefing that have similarities, though no gold standard model exists. When fully immersed in a scenario it can be stressful and before productive reflection and learning can take place</w:t>
      </w:r>
      <w:r w:rsidR="00E24435">
        <w:rPr>
          <w:rFonts w:cs="Arial"/>
          <w:szCs w:val="24"/>
        </w:rPr>
        <w:t>,</w:t>
      </w:r>
      <w:r>
        <w:rPr>
          <w:rFonts w:cs="Arial"/>
          <w:szCs w:val="24"/>
        </w:rPr>
        <w:t xml:space="preserve"> </w:t>
      </w:r>
      <w:r w:rsidR="00D6777D">
        <w:rPr>
          <w:rFonts w:cs="Arial"/>
          <w:szCs w:val="24"/>
        </w:rPr>
        <w:t>c</w:t>
      </w:r>
      <w:r w:rsidR="005F705F">
        <w:rPr>
          <w:rFonts w:cs="Arial"/>
          <w:szCs w:val="24"/>
        </w:rPr>
        <w:t>andidate</w:t>
      </w:r>
      <w:r>
        <w:rPr>
          <w:rFonts w:cs="Arial"/>
          <w:szCs w:val="24"/>
        </w:rPr>
        <w:t>s need to be given time to relax and share anxieties</w:t>
      </w:r>
      <w:r w:rsidR="00730337">
        <w:rPr>
          <w:rFonts w:cs="Arial"/>
          <w:szCs w:val="24"/>
        </w:rPr>
        <w:t xml:space="preserve"> </w:t>
      </w:r>
      <w:r w:rsidR="00730337">
        <w:rPr>
          <w:rFonts w:cs="Arial"/>
          <w:szCs w:val="24"/>
        </w:rPr>
        <w:fldChar w:fldCharType="begin"/>
      </w:r>
      <w:r w:rsidR="00730337">
        <w:rPr>
          <w:rFonts w:cs="Arial"/>
          <w:szCs w:val="24"/>
        </w:rPr>
        <w:instrText xml:space="preserve"> ADDIN EN.CITE &lt;EndNote&gt;&lt;Cite&gt;&lt;Author&gt;Rudolph&lt;/Author&gt;&lt;Year&gt;2007&lt;/Year&gt;&lt;IDText&gt;Debriefing with good judgment: combining rigorous feedback with genuine inquiry&lt;/IDText&gt;&lt;DisplayText&gt;(Rudolph et al., 2007)&lt;/DisplayText&gt;&lt;record&gt;&lt;dates&gt;&lt;pub-dates&gt;&lt;date&gt;2007-Jun&lt;/date&gt;&lt;/pub-dates&gt;&lt;year&gt;2007&lt;/year&gt;&lt;/dates&gt;&lt;urls&gt;&lt;related-urls&gt;&lt;url&gt;&amp;lt;Go to ISI&amp;gt;://MEDLINE:17574196&lt;/url&gt;&lt;/related-urls&gt;&lt;/urls&gt;&lt;isbn&gt;1932-2275&lt;/isbn&gt;&lt;titles&gt;&lt;title&gt;Debriefing with good judgment: combining rigorous feedback with genuine inquiry&lt;/title&gt;&lt;secondary-title&gt;Anesthesiology clinics&lt;/secondary-title&gt;&lt;/titles&gt;&lt;pages&gt;361-76&lt;/pages&gt;&lt;number&gt;2&lt;/number&gt;&lt;contributors&gt;&lt;authors&gt;&lt;author&gt;Rudolph, Jenny W.&lt;/author&gt;&lt;author&gt;Simon, Robert&lt;/author&gt;&lt;author&gt;Rivard, Peter&lt;/author&gt;&lt;author&gt;Dufresne, Ronald L.&lt;/author&gt;&lt;author&gt;Raemer, Daniel B.&lt;/author&gt;&lt;/authors&gt;&lt;/contributors&gt;&lt;added-date format="utc"&gt;1399991869&lt;/added-date&gt;&lt;ref-type name="Journal Article"&gt;17&lt;/ref-type&gt;&lt;rec-number&gt;136&lt;/rec-number&gt;&lt;last-updated-date format="utc"&gt;1400228406&lt;/last-updated-date&gt;&lt;accession-num&gt;MEDLINE:17574196&lt;/accession-num&gt;&lt;electronic-resource-num&gt;10.1016/j.anclin.2007.03.007&lt;/electronic-resource-num&gt;&lt;volume&gt;25&lt;/volume&gt;&lt;/record&gt;&lt;/Cite&gt;&lt;/EndNote&gt;</w:instrText>
      </w:r>
      <w:r w:rsidR="00730337">
        <w:rPr>
          <w:rFonts w:cs="Arial"/>
          <w:szCs w:val="24"/>
        </w:rPr>
        <w:fldChar w:fldCharType="separate"/>
      </w:r>
      <w:r w:rsidR="00730337">
        <w:rPr>
          <w:rFonts w:cs="Arial"/>
          <w:noProof/>
          <w:szCs w:val="24"/>
        </w:rPr>
        <w:t>(Rudolph et al., 2007)</w:t>
      </w:r>
      <w:r w:rsidR="00730337">
        <w:rPr>
          <w:rFonts w:cs="Arial"/>
          <w:szCs w:val="24"/>
        </w:rPr>
        <w:fldChar w:fldCharType="end"/>
      </w:r>
      <w:r>
        <w:rPr>
          <w:rFonts w:cs="Arial"/>
          <w:szCs w:val="24"/>
        </w:rPr>
        <w:t xml:space="preserve">. </w:t>
      </w:r>
      <w:r w:rsidR="00B2555B">
        <w:rPr>
          <w:rFonts w:cs="Arial"/>
          <w:szCs w:val="24"/>
        </w:rPr>
        <w:t xml:space="preserve">For this reason, most models stress the importance of allowing time to step out of the simulation mentally and physically. </w:t>
      </w:r>
      <w:r w:rsidR="005F705F">
        <w:rPr>
          <w:rFonts w:cs="Arial"/>
          <w:szCs w:val="24"/>
        </w:rPr>
        <w:t>Candidate</w:t>
      </w:r>
      <w:r>
        <w:rPr>
          <w:rFonts w:cs="Arial"/>
          <w:szCs w:val="24"/>
        </w:rPr>
        <w:t>s need to feel safe and supported</w:t>
      </w:r>
      <w:r w:rsidR="00B2555B">
        <w:rPr>
          <w:rFonts w:cs="Arial"/>
          <w:szCs w:val="24"/>
        </w:rPr>
        <w:t>.</w:t>
      </w:r>
      <w:r>
        <w:rPr>
          <w:rFonts w:cs="Arial"/>
          <w:szCs w:val="24"/>
        </w:rPr>
        <w:t xml:space="preserve"> </w:t>
      </w:r>
    </w:p>
    <w:p w14:paraId="5E9141E7" w14:textId="568AB5D9" w:rsidR="007A3B76" w:rsidRDefault="00B2555B" w:rsidP="007A3B76">
      <w:pPr>
        <w:rPr>
          <w:rFonts w:cs="Arial"/>
          <w:szCs w:val="24"/>
        </w:rPr>
      </w:pPr>
      <w:r>
        <w:rPr>
          <w:rFonts w:cs="Arial"/>
          <w:szCs w:val="24"/>
        </w:rPr>
        <w:t>T</w:t>
      </w:r>
      <w:r w:rsidR="007A3B76">
        <w:rPr>
          <w:rFonts w:cs="Arial"/>
          <w:szCs w:val="24"/>
        </w:rPr>
        <w:t>he structural elements required for debriefing</w:t>
      </w:r>
      <w:r>
        <w:rPr>
          <w:rFonts w:cs="Arial"/>
          <w:szCs w:val="24"/>
        </w:rPr>
        <w:t xml:space="preserve"> are reported as</w:t>
      </w:r>
      <w:r w:rsidR="007A3B76">
        <w:rPr>
          <w:rFonts w:cs="Arial"/>
          <w:szCs w:val="24"/>
        </w:rPr>
        <w:t xml:space="preserve"> ‘the debriefer, the participants, an experience (the simulation scenario), the impact of experience, recollection, report and time’ </w:t>
      </w:r>
      <w:r w:rsidR="007A3B76">
        <w:rPr>
          <w:rFonts w:cs="Arial"/>
          <w:szCs w:val="24"/>
        </w:rPr>
        <w:fldChar w:fldCharType="begin"/>
      </w:r>
      <w:r w:rsidR="007A3B76">
        <w:rPr>
          <w:rFonts w:cs="Arial"/>
          <w:szCs w:val="24"/>
        </w:rPr>
        <w:instrText xml:space="preserve"> ADDIN EN.CITE &lt;EndNote&gt;&lt;Cite&gt;&lt;Author&gt;Lederman&lt;/Author&gt;&lt;Year&gt;1992&lt;/Year&gt;&lt;IDText&gt;DEBRIEFING - TOWARD A SYSTEMATIC ASSESSMENT OF THEORY AND PRACTICE&lt;/IDText&gt;&lt;DisplayText&gt;(Lederman, 1992)&lt;/DisplayText&gt;&lt;record&gt;&lt;dates&gt;&lt;pub-dates&gt;&lt;date&gt;Jun&lt;/date&gt;&lt;/pub-dates&gt;&lt;year&gt;1992&lt;/year&gt;&lt;/dates&gt;&lt;urls&gt;&lt;related-urls&gt;&lt;url&gt;&amp;lt;Go to ISI&amp;gt;://WOS:A1992HW46900003&lt;/url&gt;&lt;/related-urls&gt;&lt;/urls&gt;&lt;isbn&gt;1046-8781&lt;/isbn&gt;&lt;titles&gt;&lt;title&gt;DEBRIEFING - TOWARD A SYSTEMATIC ASSESSMENT OF THEORY AND PRACTICE&lt;/title&gt;&lt;secondary-title&gt;Simulation &amp;amp; Gaming&lt;/secondary-title&gt;&lt;/titles&gt;&lt;pages&gt;145-160&lt;/pages&gt;&lt;number&gt;2&lt;/number&gt;&lt;contributors&gt;&lt;authors&gt;&lt;author&gt;Lederman, L. C.&lt;/author&gt;&lt;/authors&gt;&lt;/contributors&gt;&lt;added-date format="utc"&gt;1399990969&lt;/added-date&gt;&lt;ref-type name="Journal Article"&gt;17&lt;/ref-type&gt;&lt;rec-number&gt;128&lt;/rec-number&gt;&lt;last-updated-date format="utc"&gt;1400228406&lt;/last-updated-date&gt;&lt;accession-num&gt;WOS:A1992HW46900003&lt;/accession-num&gt;&lt;electronic-resource-num&gt;10.1177/1046878192232003&lt;/electronic-resource-num&gt;&lt;volume&gt;23&lt;/volume&gt;&lt;/record&gt;&lt;/Cite&gt;&lt;/EndNote&gt;</w:instrText>
      </w:r>
      <w:r w:rsidR="007A3B76">
        <w:rPr>
          <w:rFonts w:cs="Arial"/>
          <w:szCs w:val="24"/>
        </w:rPr>
        <w:fldChar w:fldCharType="separate"/>
      </w:r>
      <w:r w:rsidR="007A3B76">
        <w:rPr>
          <w:rFonts w:cs="Arial"/>
          <w:noProof/>
          <w:szCs w:val="24"/>
        </w:rPr>
        <w:t>(Lederman, 1992)</w:t>
      </w:r>
      <w:r w:rsidR="007A3B76">
        <w:rPr>
          <w:rFonts w:cs="Arial"/>
          <w:szCs w:val="24"/>
        </w:rPr>
        <w:fldChar w:fldCharType="end"/>
      </w:r>
      <w:r w:rsidR="007A3B76">
        <w:rPr>
          <w:rFonts w:cs="Arial"/>
          <w:szCs w:val="24"/>
        </w:rPr>
        <w:t>. Th</w:t>
      </w:r>
      <w:r w:rsidR="008C7FF8">
        <w:rPr>
          <w:rFonts w:cs="Arial"/>
          <w:szCs w:val="24"/>
        </w:rPr>
        <w:t xml:space="preserve">ere is no </w:t>
      </w:r>
      <w:r w:rsidR="007A3B76">
        <w:rPr>
          <w:rFonts w:cs="Arial"/>
          <w:szCs w:val="24"/>
        </w:rPr>
        <w:lastRenderedPageBreak/>
        <w:t>specif</w:t>
      </w:r>
      <w:r w:rsidR="008C7FF8">
        <w:rPr>
          <w:rFonts w:cs="Arial"/>
          <w:szCs w:val="24"/>
        </w:rPr>
        <w:t>ication on</w:t>
      </w:r>
      <w:r w:rsidR="007A3B76">
        <w:rPr>
          <w:rFonts w:cs="Arial"/>
          <w:szCs w:val="24"/>
        </w:rPr>
        <w:t xml:space="preserve"> how to divide</w:t>
      </w:r>
      <w:r w:rsidR="00CD658D">
        <w:rPr>
          <w:rFonts w:cs="Arial"/>
          <w:szCs w:val="24"/>
        </w:rPr>
        <w:t xml:space="preserve"> up</w:t>
      </w:r>
      <w:r w:rsidR="007A3B76">
        <w:rPr>
          <w:rFonts w:cs="Arial"/>
          <w:szCs w:val="24"/>
        </w:rPr>
        <w:t xml:space="preserve"> time</w:t>
      </w:r>
      <w:r w:rsidR="00CD658D">
        <w:rPr>
          <w:rFonts w:cs="Arial"/>
          <w:szCs w:val="24"/>
        </w:rPr>
        <w:t xml:space="preserve"> </w:t>
      </w:r>
      <w:r w:rsidR="007A3B76">
        <w:rPr>
          <w:rFonts w:cs="Arial"/>
          <w:szCs w:val="24"/>
        </w:rPr>
        <w:t xml:space="preserve">with regard to scenario length versus debriefing, however on courses attended, the timing proportion recommended has been 1:1, emphasising the importance </w:t>
      </w:r>
      <w:r w:rsidR="00E631C0">
        <w:rPr>
          <w:rFonts w:cs="Arial"/>
          <w:szCs w:val="24"/>
        </w:rPr>
        <w:t>of</w:t>
      </w:r>
      <w:r w:rsidR="007A3B76">
        <w:rPr>
          <w:rFonts w:cs="Arial"/>
          <w:szCs w:val="24"/>
        </w:rPr>
        <w:t xml:space="preserve"> debriefing.</w:t>
      </w:r>
    </w:p>
    <w:p w14:paraId="059A12E3" w14:textId="1BC5BF2B" w:rsidR="007A3B76" w:rsidRDefault="007A3B76" w:rsidP="007A3B76">
      <w:pPr>
        <w:rPr>
          <w:rFonts w:cs="Arial"/>
          <w:szCs w:val="24"/>
        </w:rPr>
      </w:pPr>
      <w:r>
        <w:rPr>
          <w:rFonts w:cs="Arial"/>
          <w:szCs w:val="24"/>
        </w:rPr>
        <w:t>A refined three</w:t>
      </w:r>
      <w:r w:rsidR="00CD658D">
        <w:rPr>
          <w:rFonts w:cs="Arial"/>
          <w:szCs w:val="24"/>
        </w:rPr>
        <w:t>-</w:t>
      </w:r>
      <w:r>
        <w:rPr>
          <w:rFonts w:cs="Arial"/>
          <w:szCs w:val="24"/>
        </w:rPr>
        <w:t xml:space="preserve">step model has been developed by leading simulation education experts in Cambridge, Massachusetts (Table 1) </w:t>
      </w:r>
      <w:r>
        <w:rPr>
          <w:rFonts w:cs="Arial"/>
          <w:szCs w:val="24"/>
        </w:rPr>
        <w:fldChar w:fldCharType="begin"/>
      </w:r>
      <w:r>
        <w:rPr>
          <w:rFonts w:cs="Arial"/>
          <w:szCs w:val="24"/>
        </w:rPr>
        <w:instrText xml:space="preserve"> ADDIN EN.CITE &lt;EndNote&gt;&lt;Cite&gt;&lt;Author&gt;Rudolph&lt;/Author&gt;&lt;Year&gt;2008&lt;/Year&gt;&lt;IDText&gt;Debriefing as Formative Assessment: Closing Performance Gaps in Medical Education&lt;/IDText&gt;&lt;DisplayText&gt;(Rudolph et al., 2008)&lt;/DisplayText&gt;&lt;record&gt;&lt;dates&gt;&lt;pub-dates&gt;&lt;date&gt;Nov&lt;/date&gt;&lt;/pub-dates&gt;&lt;year&gt;2008&lt;/year&gt;&lt;/dates&gt;&lt;urls&gt;&lt;related-urls&gt;&lt;url&gt;&amp;lt;Go to ISI&amp;gt;://WOS:000261051700008&lt;/url&gt;&lt;/related-urls&gt;&lt;/urls&gt;&lt;isbn&gt;1069-6563&lt;/isbn&gt;&lt;titles&gt;&lt;title&gt;Debriefing as Formative Assessment: Closing Performance Gaps in Medical Education&lt;/title&gt;&lt;secondary-title&gt;Academic Emergency Medicine&lt;/secondary-title&gt;&lt;/titles&gt;&lt;pages&gt;1010-1016&lt;/pages&gt;&lt;number&gt;11&lt;/number&gt;&lt;contributors&gt;&lt;authors&gt;&lt;author&gt;Rudolph, Jenny W.&lt;/author&gt;&lt;author&gt;Simon, Robert&lt;/author&gt;&lt;author&gt;Raemer, Daniel B.&lt;/author&gt;&lt;author&gt;Eppich, Walter J.&lt;/author&gt;&lt;/authors&gt;&lt;/contributors&gt;&lt;added-date format="utc"&gt;1399991869&lt;/added-date&gt;&lt;ref-type name="Journal Article"&gt;17&lt;/ref-type&gt;&lt;rec-number&gt;135&lt;/rec-number&gt;&lt;last-updated-date format="utc"&gt;1400228406&lt;/last-updated-date&gt;&lt;accession-num&gt;WOS:000261051700008&lt;/accession-num&gt;&lt;electronic-resource-num&gt;10.1111/j.1553-2712.2008.00248.x&lt;/electronic-resource-num&gt;&lt;volume&gt;15&lt;/volume&gt;&lt;/record&gt;&lt;/Cite&gt;&lt;/EndNote&gt;</w:instrText>
      </w:r>
      <w:r>
        <w:rPr>
          <w:rFonts w:cs="Arial"/>
          <w:szCs w:val="24"/>
        </w:rPr>
        <w:fldChar w:fldCharType="separate"/>
      </w:r>
      <w:r>
        <w:rPr>
          <w:rFonts w:cs="Arial"/>
          <w:noProof/>
          <w:szCs w:val="24"/>
        </w:rPr>
        <w:t>(Rudolph et al., 2008)</w:t>
      </w:r>
      <w:r>
        <w:rPr>
          <w:rFonts w:cs="Arial"/>
          <w:szCs w:val="24"/>
        </w:rPr>
        <w:fldChar w:fldCharType="end"/>
      </w:r>
      <w:r>
        <w:rPr>
          <w:rFonts w:cs="Arial"/>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5"/>
        <w:gridCol w:w="2950"/>
        <w:gridCol w:w="2773"/>
      </w:tblGrid>
      <w:tr w:rsidR="007A3B76" w:rsidRPr="005F3585" w14:paraId="35045DDC" w14:textId="77777777" w:rsidTr="007A3B76">
        <w:tc>
          <w:tcPr>
            <w:tcW w:w="3192" w:type="dxa"/>
            <w:shd w:val="clear" w:color="auto" w:fill="auto"/>
          </w:tcPr>
          <w:p w14:paraId="02D34B63" w14:textId="77777777" w:rsidR="007A3B76" w:rsidRPr="005F3585" w:rsidRDefault="007A3B76" w:rsidP="007A3B76">
            <w:pPr>
              <w:jc w:val="center"/>
              <w:rPr>
                <w:rFonts w:cs="Arial"/>
                <w:b/>
                <w:szCs w:val="24"/>
              </w:rPr>
            </w:pPr>
            <w:r>
              <w:rPr>
                <w:noProof/>
                <w:lang w:val="en-US"/>
              </w:rPr>
              <mc:AlternateContent>
                <mc:Choice Requires="wps">
                  <w:drawing>
                    <wp:anchor distT="0" distB="0" distL="114300" distR="114300" simplePos="0" relativeHeight="251659264" behindDoc="0" locked="0" layoutInCell="1" allowOverlap="1" wp14:anchorId="66AE50B3" wp14:editId="7DAB9543">
                      <wp:simplePos x="0" y="0"/>
                      <wp:positionH relativeFrom="column">
                        <wp:posOffset>1371600</wp:posOffset>
                      </wp:positionH>
                      <wp:positionV relativeFrom="paragraph">
                        <wp:posOffset>326390</wp:posOffset>
                      </wp:positionV>
                      <wp:extent cx="846455" cy="264160"/>
                      <wp:effectExtent l="50800" t="50800" r="17145" b="116840"/>
                      <wp:wrapThrough wrapText="bothSides">
                        <wp:wrapPolygon edited="0">
                          <wp:start x="16204" y="-4154"/>
                          <wp:lineTo x="-1296" y="0"/>
                          <wp:lineTo x="-1296" y="18692"/>
                          <wp:lineTo x="16204" y="29077"/>
                          <wp:lineTo x="20093" y="29077"/>
                          <wp:lineTo x="21389" y="20769"/>
                          <wp:lineTo x="21389" y="6231"/>
                          <wp:lineTo x="20093" y="-4154"/>
                          <wp:lineTo x="16204" y="-4154"/>
                        </wp:wrapPolygon>
                      </wp:wrapThrough>
                      <wp:docPr id="11" name="Right Arrow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6455" cy="264160"/>
                              </a:xfrm>
                              <a:prstGeom prst="righ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B196E3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26" type="#_x0000_t13" style="position:absolute;margin-left:108pt;margin-top:25.7pt;width:66.65pt;height:2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" adj="18230" fillcolor="#3f80cd" strokecolor="#4a7ebb">
                      <v:fill color2="#9bc1ff" rotate="t" angle="180" focus="100%" type="gradient">
                        <o:fill v:ext="view" type="gradientUnscaled"/>
                      </v:fill>
                      <v:shadow on="t" color="black" opacity="22937f" origin=",.5" offset="0,.63889mm"/>
                      <v:path arrowok="t"/>
                      <w10:wrap type="through"/>
                    </v:shape>
                  </w:pict>
                </mc:Fallback>
              </mc:AlternateContent>
            </w:r>
            <w:r w:rsidRPr="005F3585">
              <w:rPr>
                <w:rFonts w:cs="Arial"/>
                <w:b/>
                <w:szCs w:val="24"/>
              </w:rPr>
              <w:t>I. REACTIONS</w:t>
            </w:r>
          </w:p>
        </w:tc>
        <w:tc>
          <w:tcPr>
            <w:tcW w:w="3192" w:type="dxa"/>
            <w:shd w:val="clear" w:color="auto" w:fill="auto"/>
          </w:tcPr>
          <w:p w14:paraId="7EFFBBED" w14:textId="77777777" w:rsidR="007A3B76" w:rsidRPr="005F3585" w:rsidRDefault="007A3B76" w:rsidP="007A3B76">
            <w:pPr>
              <w:jc w:val="center"/>
              <w:rPr>
                <w:rFonts w:cs="Arial"/>
                <w:b/>
                <w:szCs w:val="24"/>
              </w:rPr>
            </w:pPr>
            <w:r>
              <w:rPr>
                <w:noProof/>
                <w:lang w:val="en-US"/>
              </w:rPr>
              <mc:AlternateContent>
                <mc:Choice Requires="wps">
                  <w:drawing>
                    <wp:anchor distT="0" distB="0" distL="114300" distR="114300" simplePos="0" relativeHeight="251660288" behindDoc="0" locked="0" layoutInCell="1" allowOverlap="1" wp14:anchorId="5CF537D8" wp14:editId="03324DCC">
                      <wp:simplePos x="0" y="0"/>
                      <wp:positionH relativeFrom="column">
                        <wp:posOffset>936625</wp:posOffset>
                      </wp:positionH>
                      <wp:positionV relativeFrom="paragraph">
                        <wp:posOffset>323850</wp:posOffset>
                      </wp:positionV>
                      <wp:extent cx="909320" cy="269875"/>
                      <wp:effectExtent l="50800" t="50800" r="30480" b="136525"/>
                      <wp:wrapThrough wrapText="bothSides">
                        <wp:wrapPolygon edited="0">
                          <wp:start x="16291" y="-4066"/>
                          <wp:lineTo x="-1207" y="0"/>
                          <wp:lineTo x="-1207" y="20329"/>
                          <wp:lineTo x="16894" y="30494"/>
                          <wp:lineTo x="19911" y="30494"/>
                          <wp:lineTo x="21117" y="24395"/>
                          <wp:lineTo x="21721" y="8132"/>
                          <wp:lineTo x="20514" y="-4066"/>
                          <wp:lineTo x="16291" y="-4066"/>
                        </wp:wrapPolygon>
                      </wp:wrapThrough>
                      <wp:docPr id="10" name="Right Arrow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9320" cy="269875"/>
                              </a:xfrm>
                              <a:prstGeom prst="rightArrow">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16A91F" id="Right Arrow 1" o:spid="_x0000_s1026" type="#_x0000_t13" style="position:absolute;margin-left:73.75pt;margin-top:25.5pt;width:71.6pt;height:2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" adj="18395" fillcolor="#3f80cd" strokecolor="#4a7ebb">
                      <v:fill color2="#9bc1ff" rotate="t" angle="180" focus="100%" type="gradient">
                        <o:fill v:ext="view" type="gradientUnscaled"/>
                      </v:fill>
                      <v:shadow on="t" color="black" opacity="22937f" origin=",.5" offset="0,.63889mm"/>
                      <v:path arrowok="t"/>
                      <w10:wrap type="through"/>
                    </v:shape>
                  </w:pict>
                </mc:Fallback>
              </mc:AlternateContent>
            </w:r>
            <w:r w:rsidRPr="005F3585">
              <w:rPr>
                <w:rFonts w:cs="Arial"/>
                <w:b/>
                <w:szCs w:val="24"/>
              </w:rPr>
              <w:t>II. UNDERSTANDING</w:t>
            </w:r>
          </w:p>
        </w:tc>
        <w:tc>
          <w:tcPr>
            <w:tcW w:w="3192" w:type="dxa"/>
            <w:shd w:val="clear" w:color="auto" w:fill="auto"/>
          </w:tcPr>
          <w:p w14:paraId="33D95E53" w14:textId="77777777" w:rsidR="007A3B76" w:rsidRPr="005F3585" w:rsidRDefault="007A3B76" w:rsidP="007A3B76">
            <w:pPr>
              <w:jc w:val="center"/>
              <w:rPr>
                <w:rFonts w:cs="Arial"/>
                <w:b/>
                <w:szCs w:val="24"/>
              </w:rPr>
            </w:pPr>
            <w:r w:rsidRPr="005F3585">
              <w:rPr>
                <w:rFonts w:cs="Arial"/>
                <w:b/>
                <w:szCs w:val="24"/>
              </w:rPr>
              <w:t>III. SUMMARISE</w:t>
            </w:r>
          </w:p>
        </w:tc>
      </w:tr>
      <w:tr w:rsidR="007A3B76" w:rsidRPr="005F3585" w14:paraId="3CB757C5" w14:textId="77777777" w:rsidTr="007A3B76">
        <w:tc>
          <w:tcPr>
            <w:tcW w:w="3192" w:type="dxa"/>
            <w:shd w:val="clear" w:color="auto" w:fill="auto"/>
          </w:tcPr>
          <w:p w14:paraId="0391943F" w14:textId="77777777" w:rsidR="007A3B76" w:rsidRPr="005F3585" w:rsidRDefault="007A3B76" w:rsidP="00242D8A">
            <w:pPr>
              <w:spacing w:line="240" w:lineRule="auto"/>
              <w:rPr>
                <w:rFonts w:cs="Arial"/>
                <w:szCs w:val="24"/>
              </w:rPr>
            </w:pPr>
            <w:r w:rsidRPr="005F3585">
              <w:rPr>
                <w:rFonts w:cs="Arial"/>
                <w:szCs w:val="24"/>
              </w:rPr>
              <w:t>a. Clear the air</w:t>
            </w:r>
          </w:p>
        </w:tc>
        <w:tc>
          <w:tcPr>
            <w:tcW w:w="3192" w:type="dxa"/>
            <w:shd w:val="clear" w:color="auto" w:fill="auto"/>
          </w:tcPr>
          <w:p w14:paraId="02F0E7C4" w14:textId="77777777" w:rsidR="007A3B76" w:rsidRPr="005F3585" w:rsidRDefault="007A3B76" w:rsidP="00242D8A">
            <w:pPr>
              <w:spacing w:line="240" w:lineRule="auto"/>
              <w:rPr>
                <w:rFonts w:cs="Arial"/>
                <w:szCs w:val="24"/>
              </w:rPr>
            </w:pPr>
            <w:r w:rsidRPr="005F3585">
              <w:rPr>
                <w:rFonts w:cs="Arial"/>
                <w:szCs w:val="24"/>
              </w:rPr>
              <w:t>a. Explore what happened</w:t>
            </w:r>
          </w:p>
        </w:tc>
        <w:tc>
          <w:tcPr>
            <w:tcW w:w="3192" w:type="dxa"/>
            <w:shd w:val="clear" w:color="auto" w:fill="auto"/>
          </w:tcPr>
          <w:p w14:paraId="6EF80A7D" w14:textId="77777777" w:rsidR="007A3B76" w:rsidRPr="005F3585" w:rsidRDefault="007A3B76" w:rsidP="00242D8A">
            <w:pPr>
              <w:spacing w:line="240" w:lineRule="auto"/>
              <w:rPr>
                <w:rFonts w:cs="Arial"/>
                <w:szCs w:val="24"/>
              </w:rPr>
            </w:pPr>
            <w:r w:rsidRPr="005F3585">
              <w:rPr>
                <w:rFonts w:cs="Arial"/>
                <w:szCs w:val="24"/>
              </w:rPr>
              <w:t>a. Review lessons learned</w:t>
            </w:r>
          </w:p>
        </w:tc>
      </w:tr>
      <w:tr w:rsidR="007A3B76" w:rsidRPr="005F3585" w14:paraId="22547658" w14:textId="77777777" w:rsidTr="007A3B76">
        <w:tc>
          <w:tcPr>
            <w:tcW w:w="3192" w:type="dxa"/>
            <w:shd w:val="clear" w:color="auto" w:fill="auto"/>
          </w:tcPr>
          <w:p w14:paraId="60AF02CC" w14:textId="77777777" w:rsidR="007A3B76" w:rsidRPr="005F3585" w:rsidRDefault="007A3B76" w:rsidP="00242D8A">
            <w:pPr>
              <w:spacing w:line="240" w:lineRule="auto"/>
              <w:rPr>
                <w:rFonts w:cs="Arial"/>
                <w:szCs w:val="24"/>
              </w:rPr>
            </w:pPr>
            <w:r w:rsidRPr="005F3585">
              <w:rPr>
                <w:rFonts w:cs="Arial"/>
                <w:szCs w:val="24"/>
              </w:rPr>
              <w:t>b. Review the facts</w:t>
            </w:r>
          </w:p>
        </w:tc>
        <w:tc>
          <w:tcPr>
            <w:tcW w:w="3192" w:type="dxa"/>
            <w:shd w:val="clear" w:color="auto" w:fill="auto"/>
          </w:tcPr>
          <w:p w14:paraId="350B2AF8" w14:textId="77777777" w:rsidR="007A3B76" w:rsidRPr="005F3585" w:rsidRDefault="007A3B76" w:rsidP="00242D8A">
            <w:pPr>
              <w:spacing w:line="240" w:lineRule="auto"/>
              <w:rPr>
                <w:rFonts w:cs="Arial"/>
                <w:szCs w:val="24"/>
              </w:rPr>
            </w:pPr>
            <w:r w:rsidRPr="005F3585">
              <w:rPr>
                <w:rFonts w:cs="Arial"/>
                <w:szCs w:val="24"/>
              </w:rPr>
              <w:t>b. Unpack frames through advocacy-inquiry</w:t>
            </w:r>
          </w:p>
        </w:tc>
        <w:tc>
          <w:tcPr>
            <w:tcW w:w="3192" w:type="dxa"/>
            <w:shd w:val="clear" w:color="auto" w:fill="auto"/>
          </w:tcPr>
          <w:p w14:paraId="087C444A" w14:textId="77777777" w:rsidR="007A3B76" w:rsidRPr="005F3585" w:rsidRDefault="007A3B76" w:rsidP="00242D8A">
            <w:pPr>
              <w:spacing w:line="240" w:lineRule="auto"/>
              <w:rPr>
                <w:rFonts w:cs="Arial"/>
                <w:szCs w:val="24"/>
              </w:rPr>
            </w:pPr>
            <w:r w:rsidRPr="005F3585">
              <w:rPr>
                <w:rFonts w:cs="Arial"/>
                <w:szCs w:val="24"/>
              </w:rPr>
              <w:t>b. Discuss take-away, lessons learned that will be applied in future events</w:t>
            </w:r>
          </w:p>
        </w:tc>
      </w:tr>
      <w:tr w:rsidR="007A3B76" w:rsidRPr="005F3585" w14:paraId="7A6C7752" w14:textId="77777777" w:rsidTr="007A3B76">
        <w:tc>
          <w:tcPr>
            <w:tcW w:w="3192" w:type="dxa"/>
            <w:shd w:val="clear" w:color="auto" w:fill="auto"/>
          </w:tcPr>
          <w:p w14:paraId="1D4CCEEF" w14:textId="77777777" w:rsidR="007A3B76" w:rsidRPr="005F3585" w:rsidRDefault="007A3B76" w:rsidP="00242D8A">
            <w:pPr>
              <w:spacing w:line="240" w:lineRule="auto"/>
              <w:rPr>
                <w:rFonts w:cs="Arial"/>
                <w:szCs w:val="24"/>
              </w:rPr>
            </w:pPr>
            <w:r w:rsidRPr="005F3585">
              <w:rPr>
                <w:rFonts w:cs="Arial"/>
                <w:szCs w:val="24"/>
              </w:rPr>
              <w:t>c. Set the stage for addressing learning objectives</w:t>
            </w:r>
          </w:p>
        </w:tc>
        <w:tc>
          <w:tcPr>
            <w:tcW w:w="3192" w:type="dxa"/>
            <w:shd w:val="clear" w:color="auto" w:fill="auto"/>
          </w:tcPr>
          <w:p w14:paraId="26AB6CCF" w14:textId="413BF3B8" w:rsidR="007A3B76" w:rsidRPr="005F3585" w:rsidRDefault="007A3B76" w:rsidP="00242D8A">
            <w:pPr>
              <w:spacing w:line="240" w:lineRule="auto"/>
              <w:rPr>
                <w:rFonts w:cs="Arial"/>
                <w:szCs w:val="24"/>
              </w:rPr>
            </w:pPr>
            <w:r w:rsidRPr="005F3585">
              <w:rPr>
                <w:rFonts w:cs="Arial"/>
                <w:szCs w:val="24"/>
              </w:rPr>
              <w:t xml:space="preserve">c. Apply good </w:t>
            </w:r>
            <w:r w:rsidR="001D42C9">
              <w:rPr>
                <w:rFonts w:cs="Arial"/>
                <w:szCs w:val="24"/>
              </w:rPr>
              <w:t>judgment</w:t>
            </w:r>
            <w:r w:rsidRPr="005F3585">
              <w:rPr>
                <w:rFonts w:cs="Arial"/>
                <w:szCs w:val="24"/>
              </w:rPr>
              <w:t xml:space="preserve"> and teach, moving participants to new understanding or skills</w:t>
            </w:r>
          </w:p>
        </w:tc>
        <w:tc>
          <w:tcPr>
            <w:tcW w:w="3192" w:type="dxa"/>
            <w:shd w:val="clear" w:color="auto" w:fill="auto"/>
          </w:tcPr>
          <w:p w14:paraId="197A0DB4" w14:textId="77777777" w:rsidR="007A3B76" w:rsidRPr="005F3585" w:rsidRDefault="007A3B76" w:rsidP="00242D8A">
            <w:pPr>
              <w:spacing w:line="240" w:lineRule="auto"/>
              <w:rPr>
                <w:rFonts w:cs="Arial"/>
                <w:szCs w:val="24"/>
              </w:rPr>
            </w:pPr>
          </w:p>
        </w:tc>
      </w:tr>
      <w:tr w:rsidR="007A3B76" w:rsidRPr="005F3585" w14:paraId="213A39CF" w14:textId="77777777" w:rsidTr="007A3B76">
        <w:tc>
          <w:tcPr>
            <w:tcW w:w="3192" w:type="dxa"/>
            <w:shd w:val="clear" w:color="auto" w:fill="auto"/>
          </w:tcPr>
          <w:p w14:paraId="2E2A8930" w14:textId="77777777" w:rsidR="007A3B76" w:rsidRPr="005F3585" w:rsidRDefault="007A3B76" w:rsidP="00242D8A">
            <w:pPr>
              <w:spacing w:line="240" w:lineRule="auto"/>
              <w:rPr>
                <w:rFonts w:cs="Arial"/>
                <w:szCs w:val="24"/>
              </w:rPr>
            </w:pPr>
          </w:p>
        </w:tc>
        <w:tc>
          <w:tcPr>
            <w:tcW w:w="3192" w:type="dxa"/>
            <w:shd w:val="clear" w:color="auto" w:fill="auto"/>
          </w:tcPr>
          <w:p w14:paraId="30DDCEC7" w14:textId="77777777" w:rsidR="007A3B76" w:rsidRPr="005F3585" w:rsidRDefault="007A3B76" w:rsidP="00242D8A">
            <w:pPr>
              <w:spacing w:line="240" w:lineRule="auto"/>
              <w:rPr>
                <w:rFonts w:cs="Arial"/>
                <w:szCs w:val="24"/>
              </w:rPr>
            </w:pPr>
            <w:r w:rsidRPr="005F3585">
              <w:rPr>
                <w:rFonts w:cs="Arial"/>
                <w:szCs w:val="24"/>
              </w:rPr>
              <w:t>d. Generalise lessons learned to real situations</w:t>
            </w:r>
          </w:p>
        </w:tc>
        <w:tc>
          <w:tcPr>
            <w:tcW w:w="3192" w:type="dxa"/>
            <w:shd w:val="clear" w:color="auto" w:fill="auto"/>
          </w:tcPr>
          <w:p w14:paraId="4852880D" w14:textId="77777777" w:rsidR="007A3B76" w:rsidRPr="005F3585" w:rsidRDefault="007A3B76" w:rsidP="00242D8A">
            <w:pPr>
              <w:spacing w:line="240" w:lineRule="auto"/>
              <w:rPr>
                <w:rFonts w:cs="Arial"/>
                <w:szCs w:val="24"/>
              </w:rPr>
            </w:pPr>
          </w:p>
        </w:tc>
      </w:tr>
    </w:tbl>
    <w:p w14:paraId="51C880EE" w14:textId="77777777" w:rsidR="007A3B76" w:rsidRDefault="007A3B76" w:rsidP="007A3B76">
      <w:pPr>
        <w:rPr>
          <w:rFonts w:cs="Arial"/>
          <w:szCs w:val="24"/>
        </w:rPr>
      </w:pPr>
      <w:r>
        <w:rPr>
          <w:noProof/>
          <w:lang w:val="en-US"/>
        </w:rPr>
        <mc:AlternateContent>
          <mc:Choice Requires="wps">
            <w:drawing>
              <wp:anchor distT="0" distB="0" distL="114300" distR="114300" simplePos="0" relativeHeight="251661312" behindDoc="0" locked="0" layoutInCell="1" allowOverlap="1" wp14:anchorId="419FBC5C" wp14:editId="2809F6D5">
                <wp:simplePos x="0" y="0"/>
                <wp:positionH relativeFrom="column">
                  <wp:posOffset>0</wp:posOffset>
                </wp:positionH>
                <wp:positionV relativeFrom="paragraph">
                  <wp:posOffset>260350</wp:posOffset>
                </wp:positionV>
                <wp:extent cx="5943600" cy="685800"/>
                <wp:effectExtent l="0" t="0" r="0" b="0"/>
                <wp:wrapTight wrapText="bothSides">
                  <wp:wrapPolygon edited="0">
                    <wp:start x="92" y="800"/>
                    <wp:lineTo x="92" y="20000"/>
                    <wp:lineTo x="21415" y="20000"/>
                    <wp:lineTo x="21415" y="800"/>
                    <wp:lineTo x="92" y="80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858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8360B01" w14:textId="3401A06D" w:rsidR="00EA1E36" w:rsidRPr="00654D83" w:rsidRDefault="00EA1E36" w:rsidP="007000F8">
                            <w:pPr>
                              <w:pStyle w:val="Caption"/>
                            </w:pPr>
                            <w:r w:rsidRPr="00654D83">
                              <w:t>Table 1: Three</w:t>
                            </w:r>
                            <w:r>
                              <w:t>-</w:t>
                            </w:r>
                            <w:r w:rsidRPr="00654D83">
                              <w:t xml:space="preserve">step model of debriefing as created by leading simulation education experts at Cambridge Massachusetts Centre for Medical Simulation </w:t>
                            </w:r>
                            <w:r w:rsidRPr="00654D83">
                              <w:fldChar w:fldCharType="begin"/>
                            </w:r>
                            <w:r>
                              <w:instrText xml:space="preserve"> ADDIN EN.CITE &lt;EndNote&gt;&lt;Cite&gt;&lt;Author&gt;Rudolph&lt;/Author&gt;&lt;Year&gt;2008&lt;/Year&gt;&lt;IDText&gt;Debriefing as Formative Assessment: Closing Performance Gaps in Medical Education&lt;/IDText&gt;&lt;DisplayText&gt;(Rudolph et al., 2008)&lt;/DisplayText&gt;&lt;record&gt;&lt;dates&gt;&lt;pub-dates&gt;&lt;date&gt;Nov&lt;/date&gt;&lt;/pub-dates&gt;&lt;year&gt;2008&lt;/year&gt;&lt;/dates&gt;&lt;urls&gt;&lt;related-urls&gt;&lt;url&gt;&amp;lt;Go to ISI&amp;gt;://WOS:000261051700008&lt;/url&gt;&lt;/related-urls&gt;&lt;/urls&gt;&lt;isbn&gt;1069-6563&lt;/isbn&gt;&lt;titles&gt;&lt;title&gt;Debriefing as Formative Assessment: Closing Performance Gaps in Medical Education&lt;/title&gt;&lt;secondary-title&gt;Academic Emergency Medicine&lt;/secondary-title&gt;&lt;/titles&gt;&lt;pages&gt;1010-1016&lt;/pages&gt;&lt;number&gt;11&lt;/number&gt;&lt;contributors&gt;&lt;authors&gt;&lt;author&gt;Rudolph, Jenny W.&lt;/author&gt;&lt;author&gt;Simon, Robert&lt;/author&gt;&lt;author&gt;Raemer, Daniel B.&lt;/author&gt;&lt;author&gt;Eppich, Walter J.&lt;/author&gt;&lt;/authors&gt;&lt;/contributors&gt;&lt;added-date format="utc"&gt;1399991869&lt;/added-date&gt;&lt;ref-type name="Journal Article"&gt;17&lt;/ref-type&gt;&lt;rec-number&gt;135&lt;/rec-number&gt;&lt;last-updated-date format="utc"&gt;1400228406&lt;/last-updated-date&gt;&lt;accession-num&gt;WOS:000261051700008&lt;/accession-num&gt;&lt;electronic-resource-num&gt;10.1111/j.1553-2712.2008.00248.x&lt;/electronic-resource-num&gt;&lt;volume&gt;15&lt;/volume&gt;&lt;/record&gt;&lt;/Cite&gt;&lt;/EndNote&gt;</w:instrText>
                            </w:r>
                            <w:r w:rsidRPr="00654D83">
                              <w:fldChar w:fldCharType="separate"/>
                            </w:r>
                            <w:r>
                              <w:rPr>
                                <w:noProof/>
                              </w:rPr>
                              <w:t>(Rudolph et al., 2008)</w:t>
                            </w:r>
                            <w:r w:rsidRPr="00654D83">
                              <w:fldChar w:fldCharType="end"/>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9FBC5C" id="_x0000_t202" coordsize="21600,21600" o:spt="202" path="m,l,21600r21600,l21600,xe">
                <v:stroke joinstyle="miter"/>
                <v:path gradientshapeok="t" o:connecttype="rect"/>
              </v:shapetype>
              <v:shape id="Text Box 5" o:spid="_x0000_s1026" type="#_x0000_t202" style="position:absolute;margin-left:0;margin-top:20.5pt;width:468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" filled="f" stroked="f">
                <v:textbox inset=",7.2pt,,7.2pt">
                  <w:txbxContent>
                    <w:p w14:paraId="78360B01" w14:textId="3401A06D" w:rsidR="00EA1E36" w:rsidRPr="00654D83" w:rsidRDefault="00EA1E36" w:rsidP="007000F8">
                      <w:pPr>
                        <w:pStyle w:val="Caption"/>
                      </w:pPr>
                      <w:r w:rsidRPr="00654D83">
                        <w:t>Table 1: Three</w:t>
                      </w:r>
                      <w:r>
                        <w:t>-</w:t>
                      </w:r>
                      <w:r w:rsidRPr="00654D83">
                        <w:t xml:space="preserve">step model of debriefing as created by leading simulation education experts at Cambridge Massachusetts Centre for Medical Simulation </w:t>
                      </w:r>
                      <w:r w:rsidRPr="00654D83">
                        <w:fldChar w:fldCharType="begin"/>
                      </w:r>
                      <w:r>
                        <w:instrText xml:space="preserve"> ADDIN EN.CITE &lt;EndNote&gt;&lt;Cite&gt;&lt;Author&gt;Rudolph&lt;/Author&gt;&lt;Year&gt;2008&lt;/Year&gt;&lt;IDText&gt;Debriefing as Formative Assessment: Closing Performance Gaps in Medical Education&lt;/IDText&gt;&lt;DisplayText&gt;(Rudolph et al., 2008)&lt;/DisplayText&gt;&lt;record&gt;&lt;dates&gt;&lt;pub-dates&gt;&lt;date&gt;Nov&lt;/date&gt;&lt;/pub-dates&gt;&lt;year&gt;2008&lt;/year&gt;&lt;/dates&gt;&lt;urls&gt;&lt;related-urls&gt;&lt;url&gt;&amp;lt;Go to ISI&amp;gt;://WOS:000261051700008&lt;/url&gt;&lt;/related-urls&gt;&lt;/urls&gt;&lt;isbn&gt;1069-6563&lt;/isbn&gt;&lt;titles&gt;&lt;title&gt;Debriefing as Formative Assessment: Closing Performance Gaps in Medical Education&lt;/title&gt;&lt;secondary-title&gt;Academic Emergency Medicine&lt;/secondary-title&gt;&lt;/titles&gt;&lt;pages&gt;1010-1016&lt;/pages&gt;&lt;number&gt;11&lt;/number&gt;&lt;contributors&gt;&lt;authors&gt;&lt;author&gt;Rudolph, Jenny W.&lt;/author&gt;&lt;author&gt;Simon, Robert&lt;/author&gt;&lt;author&gt;Raemer, Daniel B.&lt;/author&gt;&lt;author&gt;Eppich, Walter J.&lt;/author&gt;&lt;/authors&gt;&lt;/contributors&gt;&lt;added-date format="utc"&gt;1399991869&lt;/added-date&gt;&lt;ref-type name="Journal Article"&gt;17&lt;/ref-type&gt;&lt;rec-number&gt;135&lt;/rec-number&gt;&lt;last-updated-date format="utc"&gt;1400228406&lt;/last-updated-date&gt;&lt;accession-num&gt;WOS:000261051700008&lt;/accession-num&gt;&lt;electronic-resource-num&gt;10.1111/j.1553-2712.2008.00248.x&lt;/electronic-resource-num&gt;&lt;volume&gt;15&lt;/volume&gt;&lt;/record&gt;&lt;/Cite&gt;&lt;/EndNote&gt;</w:instrText>
                      </w:r>
                      <w:r w:rsidRPr="00654D83">
                        <w:fldChar w:fldCharType="separate"/>
                      </w:r>
                      <w:r>
                        <w:rPr>
                          <w:noProof/>
                        </w:rPr>
                        <w:t>(Rudolph et al., 2008)</w:t>
                      </w:r>
                      <w:r w:rsidRPr="00654D83">
                        <w:fldChar w:fldCharType="end"/>
                      </w:r>
                    </w:p>
                  </w:txbxContent>
                </v:textbox>
                <w10:wrap type="tight"/>
              </v:shape>
            </w:pict>
          </mc:Fallback>
        </mc:AlternateContent>
      </w:r>
    </w:p>
    <w:p w14:paraId="14071649" w14:textId="77777777" w:rsidR="007A3B76" w:rsidRDefault="007A3B76" w:rsidP="007A3B76">
      <w:pPr>
        <w:rPr>
          <w:rFonts w:cs="Arial"/>
          <w:szCs w:val="24"/>
        </w:rPr>
      </w:pPr>
    </w:p>
    <w:p w14:paraId="6EEEB09B" w14:textId="5485E1CB" w:rsidR="007A3B76" w:rsidRDefault="007A3B76" w:rsidP="007A3B76">
      <w:pPr>
        <w:rPr>
          <w:rFonts w:cs="Arial"/>
          <w:szCs w:val="24"/>
        </w:rPr>
      </w:pPr>
      <w:r>
        <w:rPr>
          <w:rFonts w:cs="Arial"/>
          <w:szCs w:val="24"/>
        </w:rPr>
        <w:t xml:space="preserve">In this model Rudolph et al. (2008) </w:t>
      </w:r>
      <w:r w:rsidR="008C7FF8">
        <w:rPr>
          <w:rFonts w:cs="Arial"/>
          <w:szCs w:val="24"/>
        </w:rPr>
        <w:t>recommend</w:t>
      </w:r>
      <w:r w:rsidR="00E631C0">
        <w:rPr>
          <w:rFonts w:cs="Arial"/>
          <w:szCs w:val="24"/>
        </w:rPr>
        <w:t xml:space="preserve"> that the first stage should allow </w:t>
      </w:r>
      <w:r w:rsidR="00D6777D">
        <w:rPr>
          <w:rFonts w:cs="Arial"/>
          <w:szCs w:val="24"/>
        </w:rPr>
        <w:t>c</w:t>
      </w:r>
      <w:r w:rsidR="005F705F">
        <w:rPr>
          <w:rFonts w:cs="Arial"/>
          <w:szCs w:val="24"/>
        </w:rPr>
        <w:t>andidate</w:t>
      </w:r>
      <w:r w:rsidR="00E631C0">
        <w:rPr>
          <w:rFonts w:cs="Arial"/>
          <w:szCs w:val="24"/>
        </w:rPr>
        <w:t xml:space="preserve">s to come out of the experience. They </w:t>
      </w:r>
      <w:r>
        <w:rPr>
          <w:rFonts w:cs="Arial"/>
          <w:szCs w:val="24"/>
        </w:rPr>
        <w:t>describe the second phase as an ‘inquiry and analysis phase’</w:t>
      </w:r>
      <w:r w:rsidR="00CD658D">
        <w:rPr>
          <w:rFonts w:cs="Arial"/>
          <w:szCs w:val="24"/>
        </w:rPr>
        <w:t>,</w:t>
      </w:r>
      <w:r>
        <w:rPr>
          <w:rFonts w:cs="Arial"/>
          <w:szCs w:val="24"/>
        </w:rPr>
        <w:t xml:space="preserve"> where the </w:t>
      </w:r>
      <w:r w:rsidR="00FD562D">
        <w:rPr>
          <w:rFonts w:cs="Arial"/>
          <w:szCs w:val="24"/>
        </w:rPr>
        <w:t>c</w:t>
      </w:r>
      <w:r w:rsidR="005F705F">
        <w:rPr>
          <w:rFonts w:cs="Arial"/>
          <w:szCs w:val="24"/>
        </w:rPr>
        <w:t>andidate</w:t>
      </w:r>
      <w:r>
        <w:rPr>
          <w:rFonts w:cs="Arial"/>
          <w:szCs w:val="24"/>
        </w:rPr>
        <w:t xml:space="preserve"> will be encouraged to explore further the run of events, delving deeper </w:t>
      </w:r>
      <w:r w:rsidR="000A27DF">
        <w:rPr>
          <w:rFonts w:cs="Arial"/>
          <w:szCs w:val="24"/>
        </w:rPr>
        <w:t>into</w:t>
      </w:r>
      <w:r>
        <w:rPr>
          <w:rFonts w:cs="Arial"/>
          <w:szCs w:val="24"/>
        </w:rPr>
        <w:t xml:space="preserve"> their behaviour and </w:t>
      </w:r>
      <w:r>
        <w:rPr>
          <w:rFonts w:cs="Arial"/>
          <w:szCs w:val="24"/>
        </w:rPr>
        <w:lastRenderedPageBreak/>
        <w:t>reactions to improve insight. They refer to ‘frames’, which are described as ‘assumptions, goals, knowledge base, awareness or mental models that underlie actions’. Rudolph then explore</w:t>
      </w:r>
      <w:r w:rsidR="004F2F8B">
        <w:rPr>
          <w:rFonts w:cs="Arial"/>
          <w:szCs w:val="24"/>
        </w:rPr>
        <w:t>s</w:t>
      </w:r>
      <w:r>
        <w:rPr>
          <w:rFonts w:cs="Arial"/>
          <w:szCs w:val="24"/>
        </w:rPr>
        <w:t xml:space="preserve"> the relationships between frames, actions of </w:t>
      </w:r>
      <w:r w:rsidR="00D6777D">
        <w:rPr>
          <w:rFonts w:cs="Arial"/>
          <w:szCs w:val="24"/>
        </w:rPr>
        <w:t>c</w:t>
      </w:r>
      <w:r w:rsidR="005F705F">
        <w:rPr>
          <w:rFonts w:cs="Arial"/>
          <w:szCs w:val="24"/>
        </w:rPr>
        <w:t>andidate</w:t>
      </w:r>
      <w:r>
        <w:rPr>
          <w:rFonts w:cs="Arial"/>
          <w:szCs w:val="24"/>
        </w:rPr>
        <w:t>s and resultant behaviour or outcomes</w:t>
      </w:r>
      <w:r w:rsidR="008C7FF8">
        <w:rPr>
          <w:rFonts w:cs="Arial"/>
          <w:szCs w:val="24"/>
        </w:rPr>
        <w:t xml:space="preserve">. </w:t>
      </w:r>
      <w:r>
        <w:rPr>
          <w:rFonts w:cs="Arial"/>
          <w:szCs w:val="24"/>
        </w:rPr>
        <w:t>Rudolph et al. (2008) describe the debriefer as a ‘collaborative problem</w:t>
      </w:r>
      <w:r w:rsidR="00CD658D">
        <w:rPr>
          <w:rFonts w:cs="Arial"/>
          <w:szCs w:val="24"/>
        </w:rPr>
        <w:t>-</w:t>
      </w:r>
      <w:r>
        <w:rPr>
          <w:rFonts w:cs="Arial"/>
          <w:szCs w:val="24"/>
        </w:rPr>
        <w:t>solver’</w:t>
      </w:r>
      <w:r w:rsidR="00CD658D">
        <w:rPr>
          <w:rFonts w:cs="Arial"/>
          <w:szCs w:val="24"/>
        </w:rPr>
        <w:t>,</w:t>
      </w:r>
      <w:r>
        <w:rPr>
          <w:rFonts w:cs="Arial"/>
          <w:szCs w:val="24"/>
        </w:rPr>
        <w:t xml:space="preserve"> ensuring </w:t>
      </w:r>
      <w:r w:rsidR="00D6777D">
        <w:rPr>
          <w:rFonts w:cs="Arial"/>
          <w:szCs w:val="24"/>
        </w:rPr>
        <w:t>c</w:t>
      </w:r>
      <w:r w:rsidR="005F705F">
        <w:rPr>
          <w:rFonts w:cs="Arial"/>
          <w:szCs w:val="24"/>
        </w:rPr>
        <w:t>andidate</w:t>
      </w:r>
      <w:r>
        <w:rPr>
          <w:rFonts w:cs="Arial"/>
          <w:szCs w:val="24"/>
        </w:rPr>
        <w:t xml:space="preserve"> understanding, clarification of skills and that the evolution of themes is linked in with planned learning outcomes. </w:t>
      </w:r>
    </w:p>
    <w:p w14:paraId="55FA0C17" w14:textId="4CA6E489" w:rsidR="007A3B76" w:rsidRDefault="007A3B76" w:rsidP="007A3B76">
      <w:pPr>
        <w:rPr>
          <w:rFonts w:cs="Arial"/>
          <w:szCs w:val="24"/>
        </w:rPr>
      </w:pPr>
      <w:r>
        <w:rPr>
          <w:rFonts w:cs="Arial"/>
          <w:szCs w:val="24"/>
        </w:rPr>
        <w:t xml:space="preserve">One of the most useful and important concepts </w:t>
      </w:r>
      <w:r w:rsidR="00730337">
        <w:rPr>
          <w:rFonts w:cs="Arial"/>
          <w:szCs w:val="24"/>
        </w:rPr>
        <w:t>the researcher has</w:t>
      </w:r>
      <w:r>
        <w:rPr>
          <w:rFonts w:cs="Arial"/>
          <w:szCs w:val="24"/>
        </w:rPr>
        <w:t xml:space="preserve"> learnt from the work of Rudolph is that of debriefing with ‘good </w:t>
      </w:r>
      <w:r w:rsidR="001D42C9">
        <w:rPr>
          <w:rFonts w:cs="Arial"/>
          <w:szCs w:val="24"/>
        </w:rPr>
        <w:t>judgment</w:t>
      </w:r>
      <w:r>
        <w:rPr>
          <w:rFonts w:cs="Arial"/>
          <w:szCs w:val="24"/>
        </w:rPr>
        <w:t xml:space="preserve">’ </w:t>
      </w:r>
      <w:r>
        <w:rPr>
          <w:rFonts w:cs="Arial"/>
          <w:szCs w:val="24"/>
        </w:rPr>
        <w:fldChar w:fldCharType="begin">
          <w:fldData xml:space="preserve">PEVuZE5vdGU+PENpdGU+PEF1dGhvcj5SdWRvbHBoPC9BdXRob3I+PFllYXI+MjAwNjwvWWVhcj48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</w:fldData>
        </w:fldChar>
      </w:r>
      <w:r>
        <w:rPr>
          <w:rFonts w:cs="Arial"/>
          <w:szCs w:val="24"/>
        </w:rPr>
        <w:instrText xml:space="preserve"> ADDIN EN.CITE </w:instrText>
      </w:r>
      <w:r>
        <w:rPr>
          <w:rFonts w:cs="Arial"/>
          <w:szCs w:val="24"/>
        </w:rPr>
        <w:fldChar w:fldCharType="begin">
          <w:fldData xml:space="preserve">PEVuZE5vdGU+PENpdGU+PEF1dGhvcj5SdWRvbHBoPC9BdXRob3I+PFllYXI+MjAwNjwvWWVhcj48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</w:fldData>
        </w:fldChar>
      </w:r>
      <w:r>
        <w:rPr>
          <w:rFonts w:cs="Arial"/>
          <w:szCs w:val="24"/>
        </w:rPr>
        <w:instrText xml:space="preserve"> ADDIN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(Rudolph et al., 2006, Rudolph et al., 2007)</w:t>
      </w:r>
      <w:r>
        <w:rPr>
          <w:rFonts w:cs="Arial"/>
          <w:szCs w:val="24"/>
        </w:rPr>
        <w:fldChar w:fldCharType="end"/>
      </w:r>
      <w:r>
        <w:rPr>
          <w:rFonts w:cs="Arial"/>
          <w:szCs w:val="24"/>
        </w:rPr>
        <w:t xml:space="preserve">. This involves offering an honest and ‘tolerant’ opinion of a </w:t>
      </w:r>
      <w:r w:rsidR="00CD658D">
        <w:rPr>
          <w:rFonts w:cs="Arial"/>
          <w:szCs w:val="24"/>
        </w:rPr>
        <w:t>c</w:t>
      </w:r>
      <w:r w:rsidR="005F705F">
        <w:rPr>
          <w:rFonts w:cs="Arial"/>
          <w:szCs w:val="24"/>
        </w:rPr>
        <w:t>andidate</w:t>
      </w:r>
      <w:r w:rsidR="00CD658D">
        <w:rPr>
          <w:rFonts w:cs="Arial"/>
          <w:szCs w:val="24"/>
        </w:rPr>
        <w:t>’</w:t>
      </w:r>
      <w:r>
        <w:rPr>
          <w:rFonts w:cs="Arial"/>
          <w:szCs w:val="24"/>
        </w:rPr>
        <w:t xml:space="preserve">s performance avoiding ‘righteousness or harsh criticism’ as seen with </w:t>
      </w:r>
      <w:r w:rsidR="001D42C9">
        <w:rPr>
          <w:rFonts w:cs="Arial"/>
          <w:szCs w:val="24"/>
        </w:rPr>
        <w:t>judgment</w:t>
      </w:r>
      <w:r>
        <w:rPr>
          <w:rFonts w:cs="Arial"/>
          <w:szCs w:val="24"/>
        </w:rPr>
        <w:t>al feedback. They contrast this with non-</w:t>
      </w:r>
      <w:r w:rsidR="001D42C9">
        <w:rPr>
          <w:rFonts w:cs="Arial"/>
          <w:szCs w:val="24"/>
        </w:rPr>
        <w:t>judgment</w:t>
      </w:r>
      <w:r>
        <w:rPr>
          <w:rFonts w:cs="Arial"/>
          <w:szCs w:val="24"/>
        </w:rPr>
        <w:t>al feedback</w:t>
      </w:r>
      <w:r w:rsidR="009A7C3C">
        <w:rPr>
          <w:rFonts w:cs="Arial"/>
          <w:szCs w:val="24"/>
        </w:rPr>
        <w:t>,</w:t>
      </w:r>
      <w:r>
        <w:rPr>
          <w:rFonts w:cs="Arial"/>
          <w:szCs w:val="24"/>
        </w:rPr>
        <w:t xml:space="preserve"> where in trying to maintain relationships</w:t>
      </w:r>
      <w:r w:rsidR="004F2F8B">
        <w:rPr>
          <w:rFonts w:cs="Arial"/>
          <w:szCs w:val="24"/>
        </w:rPr>
        <w:t>,</w:t>
      </w:r>
      <w:r>
        <w:rPr>
          <w:rFonts w:cs="Arial"/>
          <w:szCs w:val="24"/>
        </w:rPr>
        <w:t xml:space="preserve"> facilitators may try and hide the truth but allow non-verbal communication to express their true feelings</w:t>
      </w:r>
      <w:r w:rsidR="009A7C3C">
        <w:rPr>
          <w:rFonts w:cs="Arial"/>
          <w:szCs w:val="24"/>
        </w:rPr>
        <w:t xml:space="preserve">. This gives </w:t>
      </w:r>
      <w:r>
        <w:rPr>
          <w:rFonts w:cs="Arial"/>
          <w:szCs w:val="24"/>
        </w:rPr>
        <w:t xml:space="preserve">contrasting messages to </w:t>
      </w:r>
      <w:r w:rsidR="00CD658D">
        <w:rPr>
          <w:rFonts w:cs="Arial"/>
          <w:szCs w:val="24"/>
        </w:rPr>
        <w:t>c</w:t>
      </w:r>
      <w:r w:rsidR="005F705F">
        <w:rPr>
          <w:rFonts w:cs="Arial"/>
          <w:szCs w:val="24"/>
        </w:rPr>
        <w:t>andidate</w:t>
      </w:r>
      <w:r>
        <w:rPr>
          <w:rFonts w:cs="Arial"/>
          <w:szCs w:val="24"/>
        </w:rPr>
        <w:t xml:space="preserve">s about their performance. In </w:t>
      </w:r>
      <w:r w:rsidR="00337A7E">
        <w:rPr>
          <w:rFonts w:cs="Arial"/>
          <w:szCs w:val="24"/>
        </w:rPr>
        <w:t>using</w:t>
      </w:r>
      <w:r>
        <w:rPr>
          <w:rFonts w:cs="Arial"/>
          <w:szCs w:val="24"/>
        </w:rPr>
        <w:t xml:space="preserve"> good </w:t>
      </w:r>
      <w:r w:rsidR="001D42C9">
        <w:rPr>
          <w:rFonts w:cs="Arial"/>
          <w:szCs w:val="24"/>
        </w:rPr>
        <w:t>judgment</w:t>
      </w:r>
      <w:r w:rsidR="004F2F8B">
        <w:rPr>
          <w:rFonts w:cs="Arial"/>
          <w:szCs w:val="24"/>
        </w:rPr>
        <w:t>,</w:t>
      </w:r>
      <w:r>
        <w:rPr>
          <w:rFonts w:cs="Arial"/>
          <w:szCs w:val="24"/>
        </w:rPr>
        <w:t xml:space="preserve"> debriefers should refer to facts, have ‘clear goals and objectives for the case’</w:t>
      </w:r>
      <w:r w:rsidR="00CD658D">
        <w:rPr>
          <w:rFonts w:cs="Arial"/>
          <w:szCs w:val="24"/>
        </w:rPr>
        <w:t>,</w:t>
      </w:r>
      <w:r>
        <w:rPr>
          <w:rFonts w:cs="Arial"/>
          <w:szCs w:val="24"/>
        </w:rPr>
        <w:t xml:space="preserve"> and share their opinion in a transparent and honest way. They must ‘value the unique perspective of the learner’</w:t>
      </w:r>
      <w:r w:rsidR="00CD658D">
        <w:rPr>
          <w:rFonts w:cs="Arial"/>
          <w:szCs w:val="24"/>
        </w:rPr>
        <w:t>,</w:t>
      </w:r>
      <w:r>
        <w:rPr>
          <w:rFonts w:cs="Arial"/>
          <w:szCs w:val="24"/>
        </w:rPr>
        <w:t xml:space="preserve"> creating a relationship of mutual respect and motivation to learn </w:t>
      </w:r>
      <w:r>
        <w:rPr>
          <w:rFonts w:cs="Arial"/>
          <w:szCs w:val="24"/>
        </w:rPr>
        <w:fldChar w:fldCharType="begin"/>
      </w:r>
      <w:r>
        <w:rPr>
          <w:rFonts w:cs="Arial"/>
          <w:szCs w:val="24"/>
        </w:rPr>
        <w:instrText xml:space="preserve"> ADDIN EN.CITE &lt;EndNote&gt;&lt;Cite&gt;&lt;Author&gt;Rudolph&lt;/Author&gt;&lt;Year&gt;2007&lt;/Year&gt;&lt;IDText&gt;Debriefing with good judgment: combining rigorous feedback with genuine inquiry&lt;/IDText&gt;&lt;DisplayText&gt;(Rudolph et al., 2007)&lt;/DisplayText&gt;&lt;record&gt;&lt;dates&gt;&lt;pub-dates&gt;&lt;date&gt;2007-Jun&lt;/date&gt;&lt;/pub-dates&gt;&lt;year&gt;2007&lt;/year&gt;&lt;/dates&gt;&lt;urls&gt;&lt;related-urls&gt;&lt;url&gt;&amp;lt;Go to ISI&amp;gt;://MEDLINE:17574196&lt;/url&gt;&lt;/related-urls&gt;&lt;/urls&gt;&lt;isbn&gt;1932-2275&lt;/isbn&gt;&lt;titles&gt;&lt;title&gt;Debriefing with good judgment: combining rigorous feedback with genuine inquiry&lt;/title&gt;&lt;secondary-title&gt;Anesthesiology clinics&lt;/secondary-title&gt;&lt;/titles&gt;&lt;pages&gt;361-76&lt;/pages&gt;&lt;number&gt;2&lt;/number&gt;&lt;contributors&gt;&lt;authors&gt;&lt;author&gt;Rudolph, Jenny W.&lt;/author&gt;&lt;author&gt;Simon, Robert&lt;/author&gt;&lt;author&gt;Rivard, Peter&lt;/author&gt;&lt;author&gt;Dufresne, Ronald L.&lt;/author&gt;&lt;author&gt;Raemer, Daniel B.&lt;/author&gt;&lt;/authors&gt;&lt;/contributors&gt;&lt;added-date format="utc"&gt;1399991869&lt;/added-date&gt;&lt;ref-type name="Journal Article"&gt;17&lt;/ref-type&gt;&lt;rec-number&gt;136&lt;/rec-number&gt;&lt;last-updated-date format="utc"&gt;1400228406&lt;/last-updated-date&gt;&lt;accession-num&gt;MEDLINE:17574196&lt;/accession-num&gt;&lt;electronic-resource-num&gt;10.1016/j.anclin.2007.03.007&lt;/electronic-resource-num&gt;&lt;volume&gt;25&lt;/volume&gt;&lt;/record&gt;&lt;/Cite&gt;&lt;/EndNote&gt;</w:instrText>
      </w:r>
      <w:r>
        <w:rPr>
          <w:rFonts w:cs="Arial"/>
          <w:szCs w:val="24"/>
        </w:rPr>
        <w:fldChar w:fldCharType="separate"/>
      </w:r>
      <w:r>
        <w:rPr>
          <w:rFonts w:cs="Arial"/>
          <w:noProof/>
          <w:szCs w:val="24"/>
        </w:rPr>
        <w:t>(Rudolph et al., 2007)</w:t>
      </w:r>
      <w:r>
        <w:rPr>
          <w:rFonts w:cs="Arial"/>
          <w:szCs w:val="24"/>
        </w:rPr>
        <w:fldChar w:fldCharType="end"/>
      </w:r>
      <w:r>
        <w:rPr>
          <w:rFonts w:cs="Arial"/>
          <w:szCs w:val="24"/>
        </w:rPr>
        <w:t>. Additional factors suggested for ultimate debriefing include creation of a safe and confidential environment, introduction to the simulation, time management, clear learning objectives</w:t>
      </w:r>
      <w:r w:rsidR="00CD658D">
        <w:rPr>
          <w:rFonts w:cs="Arial"/>
          <w:szCs w:val="24"/>
        </w:rPr>
        <w:t>,</w:t>
      </w:r>
      <w:r>
        <w:rPr>
          <w:rFonts w:cs="Arial"/>
          <w:szCs w:val="24"/>
        </w:rPr>
        <w:t xml:space="preserve"> and encouragement of </w:t>
      </w:r>
      <w:proofErr w:type="spellStart"/>
      <w:r>
        <w:rPr>
          <w:rFonts w:cs="Arial"/>
          <w:szCs w:val="24"/>
        </w:rPr>
        <w:t>self reflection</w:t>
      </w:r>
      <w:proofErr w:type="spellEnd"/>
      <w:r>
        <w:rPr>
          <w:rFonts w:cs="Arial"/>
          <w:szCs w:val="24"/>
        </w:rPr>
        <w:t xml:space="preserve"> </w:t>
      </w:r>
      <w:r>
        <w:rPr>
          <w:rFonts w:cs="Arial"/>
          <w:szCs w:val="24"/>
        </w:rPr>
        <w:fldChar w:fldCharType="begin">
          <w:fldData xml:space="preserve">PEVuZE5vdGU+PENpdGU+PEF1dGhvcj5MZWRlcm1hbjwvQXV0aG9yPjxZZWFyPjE5OTI8L1llYXI+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</w:fldData>
        </w:fldChar>
      </w:r>
      <w:r>
        <w:rPr>
          <w:rFonts w:cs="Arial"/>
          <w:szCs w:val="24"/>
        </w:rPr>
        <w:instrText xml:space="preserve"> ADDIN EN.CITE </w:instrText>
      </w:r>
      <w:r>
        <w:rPr>
          <w:rFonts w:cs="Arial"/>
          <w:szCs w:val="24"/>
        </w:rPr>
        <w:fldChar w:fldCharType="begin">
          <w:fldData xml:space="preserve">PEVuZE5vdGU+PENpdGU+PEF1dGhvcj5MZWRlcm1hbjwvQXV0aG9yPjxZZWFyPjE5OTI8L1llYXI+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</w:fldData>
        </w:fldChar>
      </w:r>
      <w:r>
        <w:rPr>
          <w:rFonts w:cs="Arial"/>
          <w:szCs w:val="24"/>
        </w:rPr>
        <w:instrText xml:space="preserve"> ADDIN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(Lederman, 1992, Rall et al., 2000, Fanning and Gaba, 2007)</w:t>
      </w:r>
      <w:r>
        <w:rPr>
          <w:rFonts w:cs="Arial"/>
          <w:szCs w:val="24"/>
        </w:rPr>
        <w:fldChar w:fldCharType="end"/>
      </w:r>
      <w:r>
        <w:rPr>
          <w:rFonts w:cs="Arial"/>
          <w:szCs w:val="24"/>
        </w:rPr>
        <w:t xml:space="preserve">.  </w:t>
      </w:r>
    </w:p>
    <w:p w14:paraId="74AEA9D7" w14:textId="32444901" w:rsidR="007A3B76" w:rsidRDefault="007A3B76" w:rsidP="007A3B76">
      <w:pPr>
        <w:rPr>
          <w:rFonts w:cs="Arial"/>
          <w:szCs w:val="24"/>
        </w:rPr>
      </w:pPr>
      <w:r>
        <w:rPr>
          <w:rFonts w:cs="Arial"/>
          <w:szCs w:val="24"/>
        </w:rPr>
        <w:lastRenderedPageBreak/>
        <w:t xml:space="preserve">This guidance has been considered and employed when structuring the teaching and debriefing sessions to </w:t>
      </w:r>
      <w:r w:rsidR="00337A7E">
        <w:rPr>
          <w:rFonts w:cs="Arial"/>
          <w:szCs w:val="24"/>
        </w:rPr>
        <w:t>use</w:t>
      </w:r>
      <w:r>
        <w:rPr>
          <w:rFonts w:cs="Arial"/>
          <w:szCs w:val="24"/>
        </w:rPr>
        <w:t xml:space="preserve"> the best practice advised by simulation experts. A model was developed based on this refined three-step model to include allowing the </w:t>
      </w:r>
      <w:r w:rsidR="00FD562D">
        <w:rPr>
          <w:rFonts w:cs="Arial"/>
          <w:szCs w:val="24"/>
        </w:rPr>
        <w:t>c</w:t>
      </w:r>
      <w:r w:rsidR="005F705F">
        <w:rPr>
          <w:rFonts w:cs="Arial"/>
          <w:szCs w:val="24"/>
        </w:rPr>
        <w:t>andidate</w:t>
      </w:r>
      <w:r>
        <w:rPr>
          <w:rFonts w:cs="Arial"/>
          <w:szCs w:val="24"/>
        </w:rPr>
        <w:t xml:space="preserve"> to relax and diffuse any emotional response, followed by a period of description of the scenario with opportunities to analyse </w:t>
      </w:r>
      <w:r w:rsidR="00FD562D">
        <w:rPr>
          <w:rFonts w:cs="Arial"/>
          <w:szCs w:val="24"/>
        </w:rPr>
        <w:t>c</w:t>
      </w:r>
      <w:r w:rsidR="005F705F">
        <w:rPr>
          <w:rFonts w:cs="Arial"/>
          <w:szCs w:val="24"/>
        </w:rPr>
        <w:t>andidate</w:t>
      </w:r>
      <w:r>
        <w:rPr>
          <w:rFonts w:cs="Arial"/>
          <w:szCs w:val="24"/>
        </w:rPr>
        <w:t xml:space="preserve"> views on what was happening. The final stage allowed</w:t>
      </w:r>
      <w:r w:rsidR="00CD658D">
        <w:rPr>
          <w:rFonts w:cs="Arial"/>
          <w:szCs w:val="24"/>
        </w:rPr>
        <w:t xml:space="preserve"> for a</w:t>
      </w:r>
      <w:r>
        <w:rPr>
          <w:rFonts w:cs="Arial"/>
          <w:szCs w:val="24"/>
        </w:rPr>
        <w:t xml:space="preserve"> summary and detailed exploration of learning outcomes, both individual and global course objectives. This was performed using the ‘good </w:t>
      </w:r>
      <w:r w:rsidR="001D42C9">
        <w:rPr>
          <w:rFonts w:cs="Arial"/>
          <w:szCs w:val="24"/>
        </w:rPr>
        <w:t>judgment</w:t>
      </w:r>
      <w:r>
        <w:rPr>
          <w:rFonts w:cs="Arial"/>
          <w:szCs w:val="24"/>
        </w:rPr>
        <w:t xml:space="preserve"> approach’ </w:t>
      </w:r>
      <w:r w:rsidRPr="00446499">
        <w:rPr>
          <w:rFonts w:cs="Arial"/>
          <w:szCs w:val="24"/>
        </w:rPr>
        <w:fldChar w:fldCharType="begin"/>
      </w:r>
      <w:r>
        <w:rPr>
          <w:rFonts w:cs="Arial"/>
          <w:szCs w:val="24"/>
        </w:rPr>
        <w:instrText xml:space="preserve"> ADDIN EN.CITE &lt;EndNote&gt;&lt;Cite&gt;&lt;Author&gt;Rudolph&lt;/Author&gt;&lt;Year&gt;2007&lt;/Year&gt;&lt;IDText&gt;Debriefing with good judgment: combining rigorous feedback with genuine inquiry&lt;/IDText&gt;&lt;DisplayText&gt;(Rudolph et al., 2007)&lt;/DisplayText&gt;&lt;record&gt;&lt;dates&gt;&lt;pub-dates&gt;&lt;date&gt;2007-Jun&lt;/date&gt;&lt;/pub-dates&gt;&lt;year&gt;2007&lt;/year&gt;&lt;/dates&gt;&lt;urls&gt;&lt;related-urls&gt;&lt;url&gt;&amp;lt;Go to ISI&amp;gt;://MEDLINE:17574196&lt;/url&gt;&lt;/related-urls&gt;&lt;/urls&gt;&lt;isbn&gt;1932-2275&lt;/isbn&gt;&lt;titles&gt;&lt;title&gt;Debriefing with good judgment: combining rigorous feedback with genuine inquiry&lt;/title&gt;&lt;secondary-title&gt;Anesthesiology clinics&lt;/secondary-title&gt;&lt;/titles&gt;&lt;pages&gt;361-76&lt;/pages&gt;&lt;number&gt;2&lt;/number&gt;&lt;contributors&gt;&lt;authors&gt;&lt;author&gt;Rudolph, Jenny W.&lt;/author&gt;&lt;author&gt;Simon, Robert&lt;/author&gt;&lt;author&gt;Rivard, Peter&lt;/author&gt;&lt;author&gt;Dufresne, Ronald L.&lt;/author&gt;&lt;author&gt;Raemer, Daniel B.&lt;/author&gt;&lt;/authors&gt;&lt;/contributors&gt;&lt;added-date format="utc"&gt;1399991869&lt;/added-date&gt;&lt;ref-type name="Journal Article"&gt;17&lt;/ref-type&gt;&lt;rec-number&gt;136&lt;/rec-number&gt;&lt;last-updated-date format="utc"&gt;1400228406&lt;/last-updated-date&gt;&lt;accession-num&gt;MEDLINE:17574196&lt;/accession-num&gt;&lt;electronic-resource-num&gt;10.1016/j.anclin.2007.03.007&lt;/electronic-resource-num&gt;&lt;volume&gt;25&lt;/volume&gt;&lt;/record&gt;&lt;/Cite&gt;&lt;/EndNote&gt;</w:instrText>
      </w:r>
      <w:r w:rsidRPr="00446499">
        <w:rPr>
          <w:rFonts w:cs="Arial"/>
          <w:szCs w:val="24"/>
        </w:rPr>
        <w:fldChar w:fldCharType="separate"/>
      </w:r>
      <w:r>
        <w:rPr>
          <w:rFonts w:cs="Arial"/>
          <w:noProof/>
          <w:szCs w:val="24"/>
        </w:rPr>
        <w:t>(Rudolph et al., 2007)</w:t>
      </w:r>
      <w:r w:rsidRPr="00446499">
        <w:rPr>
          <w:rFonts w:cs="Arial"/>
          <w:szCs w:val="24"/>
        </w:rPr>
        <w:fldChar w:fldCharType="end"/>
      </w:r>
      <w:r>
        <w:rPr>
          <w:rFonts w:cs="Arial"/>
          <w:szCs w:val="24"/>
        </w:rPr>
        <w:t xml:space="preserve">. It was useful to observe other faculty and their interpretation on the </w:t>
      </w:r>
      <w:r w:rsidR="00511ED1">
        <w:rPr>
          <w:rFonts w:cs="Arial"/>
          <w:szCs w:val="24"/>
        </w:rPr>
        <w:t>three-step</w:t>
      </w:r>
      <w:r>
        <w:rPr>
          <w:rFonts w:cs="Arial"/>
          <w:szCs w:val="24"/>
        </w:rPr>
        <w:t xml:space="preserve"> model and the difficulty of switching from didactic mode </w:t>
      </w:r>
      <w:r w:rsidR="009A7C3C">
        <w:rPr>
          <w:rFonts w:cs="Arial"/>
          <w:szCs w:val="24"/>
        </w:rPr>
        <w:t xml:space="preserve">to </w:t>
      </w:r>
      <w:r>
        <w:rPr>
          <w:rFonts w:cs="Arial"/>
          <w:szCs w:val="24"/>
        </w:rPr>
        <w:t>facilitative debriefing</w:t>
      </w:r>
      <w:r w:rsidR="009A7C3C">
        <w:rPr>
          <w:rFonts w:cs="Arial"/>
          <w:szCs w:val="24"/>
        </w:rPr>
        <w:t>.</w:t>
      </w:r>
      <w:r>
        <w:rPr>
          <w:rFonts w:cs="Arial"/>
          <w:szCs w:val="24"/>
        </w:rPr>
        <w:t xml:space="preserve"> </w:t>
      </w:r>
      <w:r w:rsidR="009A7C3C">
        <w:rPr>
          <w:rFonts w:cs="Arial"/>
          <w:szCs w:val="24"/>
        </w:rPr>
        <w:t>F</w:t>
      </w:r>
      <w:r>
        <w:rPr>
          <w:rFonts w:cs="Arial"/>
          <w:szCs w:val="24"/>
        </w:rPr>
        <w:t xml:space="preserve">aculty should be probing and exploring </w:t>
      </w:r>
      <w:r w:rsidR="00FD562D">
        <w:rPr>
          <w:rFonts w:cs="Arial"/>
          <w:szCs w:val="24"/>
        </w:rPr>
        <w:t>c</w:t>
      </w:r>
      <w:r w:rsidR="005F705F">
        <w:rPr>
          <w:rFonts w:cs="Arial"/>
          <w:szCs w:val="24"/>
        </w:rPr>
        <w:t>andidate</w:t>
      </w:r>
      <w:r>
        <w:rPr>
          <w:rFonts w:cs="Arial"/>
          <w:szCs w:val="24"/>
        </w:rPr>
        <w:t xml:space="preserve"> thoughts and reasons </w:t>
      </w:r>
      <w:r w:rsidR="004F2F8B">
        <w:rPr>
          <w:rFonts w:cs="Arial"/>
          <w:szCs w:val="24"/>
        </w:rPr>
        <w:t>for</w:t>
      </w:r>
      <w:r>
        <w:rPr>
          <w:rFonts w:cs="Arial"/>
          <w:szCs w:val="24"/>
        </w:rPr>
        <w:t xml:space="preserve"> decision</w:t>
      </w:r>
      <w:r w:rsidR="004F2F8B">
        <w:rPr>
          <w:rFonts w:cs="Arial"/>
          <w:szCs w:val="24"/>
        </w:rPr>
        <w:t>s</w:t>
      </w:r>
      <w:r>
        <w:rPr>
          <w:rFonts w:cs="Arial"/>
          <w:szCs w:val="24"/>
        </w:rPr>
        <w:t xml:space="preserve"> which is the key to moving forward and </w:t>
      </w:r>
      <w:r w:rsidR="009A7C3C">
        <w:rPr>
          <w:rFonts w:cs="Arial"/>
          <w:szCs w:val="24"/>
        </w:rPr>
        <w:t>a potential catalyst for</w:t>
      </w:r>
      <w:r>
        <w:rPr>
          <w:rFonts w:cs="Arial"/>
          <w:szCs w:val="24"/>
        </w:rPr>
        <w:t xml:space="preserve"> behavioural change. </w:t>
      </w:r>
    </w:p>
    <w:p w14:paraId="567E9FBA" w14:textId="676FA01B" w:rsidR="007A3B76" w:rsidRDefault="004F2F8B" w:rsidP="007A3B76">
      <w:pPr>
        <w:rPr>
          <w:rFonts w:cs="Arial"/>
          <w:szCs w:val="24"/>
        </w:rPr>
      </w:pPr>
      <w:r>
        <w:rPr>
          <w:rFonts w:cs="Arial"/>
          <w:szCs w:val="24"/>
        </w:rPr>
        <w:t>W</w:t>
      </w:r>
      <w:r w:rsidR="007A3B76">
        <w:rPr>
          <w:rFonts w:cs="Arial"/>
          <w:szCs w:val="24"/>
        </w:rPr>
        <w:t xml:space="preserve">here </w:t>
      </w:r>
      <w:r w:rsidR="00272DD8">
        <w:rPr>
          <w:rFonts w:cs="Arial"/>
          <w:szCs w:val="24"/>
        </w:rPr>
        <w:t>c</w:t>
      </w:r>
      <w:r w:rsidR="005F705F">
        <w:rPr>
          <w:rFonts w:cs="Arial"/>
          <w:szCs w:val="24"/>
        </w:rPr>
        <w:t>andidate</w:t>
      </w:r>
      <w:r w:rsidR="007A3B76">
        <w:rPr>
          <w:rFonts w:cs="Arial"/>
          <w:szCs w:val="24"/>
        </w:rPr>
        <w:t>s performed particularly well</w:t>
      </w:r>
      <w:r>
        <w:rPr>
          <w:rFonts w:cs="Arial"/>
          <w:szCs w:val="24"/>
        </w:rPr>
        <w:t xml:space="preserve">, it was a </w:t>
      </w:r>
      <w:r w:rsidR="007A3B76">
        <w:rPr>
          <w:rFonts w:cs="Arial"/>
          <w:szCs w:val="24"/>
        </w:rPr>
        <w:t xml:space="preserve">challenge </w:t>
      </w:r>
      <w:r>
        <w:rPr>
          <w:rFonts w:cs="Arial"/>
          <w:szCs w:val="24"/>
        </w:rPr>
        <w:t xml:space="preserve">knowing how to push </w:t>
      </w:r>
      <w:r w:rsidR="007A3B76">
        <w:rPr>
          <w:rFonts w:cs="Arial"/>
          <w:szCs w:val="24"/>
        </w:rPr>
        <w:t>them on an individual level</w:t>
      </w:r>
      <w:r w:rsidR="00B702B8">
        <w:rPr>
          <w:rFonts w:cs="Arial"/>
          <w:szCs w:val="24"/>
        </w:rPr>
        <w:t>.</w:t>
      </w:r>
      <w:r w:rsidR="007A3B76">
        <w:rPr>
          <w:rFonts w:cs="Arial"/>
          <w:szCs w:val="24"/>
        </w:rPr>
        <w:t xml:space="preserve"> </w:t>
      </w:r>
      <w:r w:rsidR="00B702B8">
        <w:rPr>
          <w:rFonts w:cs="Arial"/>
          <w:szCs w:val="24"/>
        </w:rPr>
        <w:t>C</w:t>
      </w:r>
      <w:r w:rsidR="007A3B76">
        <w:rPr>
          <w:rFonts w:cs="Arial"/>
          <w:szCs w:val="24"/>
        </w:rPr>
        <w:t>ongratulating them</w:t>
      </w:r>
      <w:r w:rsidR="00B702B8">
        <w:rPr>
          <w:rFonts w:cs="Arial"/>
          <w:szCs w:val="24"/>
        </w:rPr>
        <w:t xml:space="preserve"> and checking learning outcomes</w:t>
      </w:r>
      <w:r w:rsidR="007A3B76">
        <w:rPr>
          <w:rFonts w:cs="Arial"/>
          <w:szCs w:val="24"/>
        </w:rPr>
        <w:t xml:space="preserve"> appeared to leave them feeling dissatisfied and emphasised the need to</w:t>
      </w:r>
      <w:r>
        <w:rPr>
          <w:rFonts w:cs="Arial"/>
          <w:szCs w:val="24"/>
        </w:rPr>
        <w:t xml:space="preserve"> find an individual’s challenge point</w:t>
      </w:r>
      <w:r w:rsidR="007A3B76">
        <w:rPr>
          <w:rFonts w:cs="Arial"/>
          <w:szCs w:val="24"/>
        </w:rPr>
        <w:t xml:space="preserve">. The </w:t>
      </w:r>
      <w:r w:rsidR="007A3B76" w:rsidRPr="000D5B3F">
        <w:rPr>
          <w:rFonts w:cs="Arial"/>
          <w:szCs w:val="24"/>
        </w:rPr>
        <w:t>Yerkes-Dodson law</w:t>
      </w:r>
      <w:r w:rsidR="00506854">
        <w:rPr>
          <w:rFonts w:cs="Arial"/>
          <w:szCs w:val="24"/>
        </w:rPr>
        <w:t xml:space="preserve"> (1908)</w:t>
      </w:r>
      <w:r w:rsidR="007A3B76" w:rsidRPr="004A2D5F">
        <w:rPr>
          <w:rFonts w:cs="Arial"/>
          <w:b/>
          <w:szCs w:val="24"/>
        </w:rPr>
        <w:t xml:space="preserve"> </w:t>
      </w:r>
      <w:r w:rsidR="007A3B76">
        <w:rPr>
          <w:rFonts w:cs="Arial"/>
          <w:szCs w:val="24"/>
        </w:rPr>
        <w:t>demonstrates the concept that at low levels of stress often people do not learn effectively</w:t>
      </w:r>
      <w:r>
        <w:rPr>
          <w:rFonts w:cs="Arial"/>
          <w:szCs w:val="24"/>
        </w:rPr>
        <w:t xml:space="preserve"> because they are demotivated and uninspired</w:t>
      </w:r>
      <w:r w:rsidR="00CD658D">
        <w:rPr>
          <w:rFonts w:cs="Arial"/>
          <w:szCs w:val="24"/>
        </w:rPr>
        <w:t>;</w:t>
      </w:r>
      <w:r w:rsidR="007A3B76">
        <w:rPr>
          <w:rFonts w:cs="Arial"/>
          <w:szCs w:val="24"/>
        </w:rPr>
        <w:t xml:space="preserve"> at high levels of stress this is also true</w:t>
      </w:r>
      <w:r w:rsidR="00CD658D">
        <w:rPr>
          <w:rFonts w:cs="Arial"/>
          <w:szCs w:val="24"/>
        </w:rPr>
        <w:t xml:space="preserve"> because they</w:t>
      </w:r>
      <w:r w:rsidR="007A3B76">
        <w:rPr>
          <w:rFonts w:cs="Arial"/>
          <w:szCs w:val="24"/>
        </w:rPr>
        <w:t xml:space="preserve"> feel overwhelmed and distracted</w:t>
      </w:r>
      <w:r w:rsidR="000D5B3F">
        <w:rPr>
          <w:rFonts w:cs="Arial"/>
          <w:szCs w:val="24"/>
        </w:rPr>
        <w:t xml:space="preserve"> </w:t>
      </w:r>
      <w:r w:rsidR="000D5B3F">
        <w:rPr>
          <w:rFonts w:cs="Arial"/>
          <w:szCs w:val="24"/>
        </w:rPr>
        <w:fldChar w:fldCharType="begin"/>
      </w:r>
      <w:r w:rsidR="000D5B3F">
        <w:rPr>
          <w:rFonts w:cs="Arial"/>
          <w:szCs w:val="24"/>
        </w:rPr>
        <w:instrText xml:space="preserve"> ADDIN EN.CITE &lt;EndNote&gt;&lt;Cite&gt;&lt;Author&gt;Chaby&lt;/Author&gt;&lt;Year&gt;2015&lt;/Year&gt;&lt;IDText&gt;Can we understand how developmental stress enhances performance under future threat with the Yerkes-Dodson law?&lt;/IDText&gt;&lt;DisplayText&gt;(Chaby et al., 2015, Yerkes and Dodson, 1908)&lt;/DisplayText&gt;&lt;record&gt;&lt;dates&gt;&lt;pub-dates&gt;&lt;date&gt;2015 May-Jun&lt;/date&gt;&lt;/pub-dates&gt;&lt;year&gt;2015&lt;/year&gt;&lt;/dates&gt;&lt;urls&gt;&lt;related-urls&gt;&lt;url&gt;http://www.ncbi.nlm.nih.gov/pubmed/26479861&lt;/url&gt;&lt;/related-urls&gt;&lt;/urls&gt;&lt;isbn&gt;1942-0889&lt;/isbn&gt;&lt;custom2&gt;PMC4594369&lt;/custom2&gt;&lt;titles&gt;&lt;title&gt;Can we understand how developmental stress enhances performance under future threat with the Yerkes-Dodson law?&lt;/title&gt;&lt;secondary-title&gt;Commun Integr Biol&lt;/secondary-title&gt;&lt;/titles&gt;&lt;pages&gt;e1029689&lt;/pages&gt;&lt;number&gt;3&lt;/number&gt;&lt;contributors&gt;&lt;authors&gt;&lt;author&gt;Chaby, L. E.&lt;/author&gt;&lt;author&gt;Sheriff, M. J.&lt;/author&gt;&lt;author&gt;Hirrlinger, A. M.&lt;/author&gt;&lt;author&gt;Braithwaite, V. A.&lt;/author&gt;&lt;/authors&gt;&lt;/contributors&gt;&lt;language&gt;eng&lt;/language&gt;&lt;added-date format="utc"&gt;1462872558&lt;/added-date&gt;&lt;ref-type name="Journal Article"&gt;17&lt;/ref-type&gt;&lt;rec-number&gt;248&lt;/rec-number&gt;&lt;last-updated-date format="utc"&gt;1462872558&lt;/last-updated-date&gt;&lt;accession-num&gt;26479861&lt;/accession-num&gt;&lt;electronic-resource-num&gt;10.1080/19420889.2015.1029689&lt;/electronic-resource-num&gt;&lt;volume&gt;8&lt;/volume&gt;&lt;/record&gt;&lt;/Cite&gt;&lt;Cite&gt;&lt;Author&gt;Yerkes&lt;/Author&gt;&lt;Year&gt;1908&lt;/Year&gt;&lt;IDText&gt;The relation of strength of stimulus to rapidity of habit-formation&lt;/IDText&gt;&lt;record&gt;&lt;titles&gt;&lt;title&gt;The relation of strength of stimulus to rapidity of habit-formation&lt;/title&gt;&lt;secondary-title&gt;Journal of Comparative Neurology and Psychology&lt;/secondary-title&gt;&lt;/titles&gt;&lt;pages&gt;459-482&lt;/pages&gt;&lt;contributors&gt;&lt;authors&gt;&lt;author&gt;Yerkes, R. M&lt;/author&gt;&lt;author&gt;Dodson, J. D&lt;/author&gt;&lt;/authors&gt;&lt;/contributors&gt;&lt;added-date format="utc"&gt;1472655122&lt;/added-date&gt;&lt;ref-type name="Journal Article"&gt;17&lt;/ref-type&gt;&lt;dates&gt;&lt;year&gt;1908&lt;/year&gt;&lt;/dates&gt;&lt;rec-number&gt;284&lt;/rec-number&gt;&lt;last-updated-date format="utc"&gt;1472655241&lt;/last-updated-date&gt;&lt;volume&gt;18&lt;/volume&gt;&lt;/record&gt;&lt;/Cite&gt;&lt;/EndNote&gt;</w:instrText>
      </w:r>
      <w:r w:rsidR="000D5B3F">
        <w:rPr>
          <w:rFonts w:cs="Arial"/>
          <w:szCs w:val="24"/>
        </w:rPr>
        <w:fldChar w:fldCharType="separate"/>
      </w:r>
      <w:r w:rsidR="000D5B3F">
        <w:rPr>
          <w:rFonts w:cs="Arial"/>
          <w:noProof/>
          <w:szCs w:val="24"/>
        </w:rPr>
        <w:t>(Chaby et al., 2015, Yerkes and Dodson, 1908)</w:t>
      </w:r>
      <w:r w:rsidR="000D5B3F">
        <w:rPr>
          <w:rFonts w:cs="Arial"/>
          <w:szCs w:val="24"/>
        </w:rPr>
        <w:fldChar w:fldCharType="end"/>
      </w:r>
      <w:r w:rsidR="007A3B76">
        <w:rPr>
          <w:rFonts w:cs="Arial"/>
          <w:szCs w:val="24"/>
        </w:rPr>
        <w:t xml:space="preserve">. </w:t>
      </w:r>
      <w:r w:rsidR="00264610">
        <w:rPr>
          <w:rFonts w:cs="Arial"/>
          <w:szCs w:val="24"/>
        </w:rPr>
        <w:t xml:space="preserve">Although completed in 1908, it is apparent in the literature that this model is still widely referred to and relevant. </w:t>
      </w:r>
      <w:r w:rsidR="007A3B76" w:rsidRPr="00577B34">
        <w:rPr>
          <w:rFonts w:eastAsiaTheme="minorEastAsia" w:cs="Arial"/>
          <w:szCs w:val="24"/>
          <w:lang w:val="en-US"/>
        </w:rPr>
        <w:t>The</w:t>
      </w:r>
      <w:r w:rsidR="007A3B76">
        <w:rPr>
          <w:rFonts w:ascii="Verdana" w:eastAsiaTheme="minorEastAsia" w:hAnsi="Verdana" w:cs="Verdana"/>
          <w:sz w:val="26"/>
          <w:szCs w:val="26"/>
          <w:lang w:val="en-US"/>
        </w:rPr>
        <w:t xml:space="preserve"> </w:t>
      </w:r>
      <w:r w:rsidR="007A3B76">
        <w:rPr>
          <w:rFonts w:cs="Arial"/>
          <w:szCs w:val="24"/>
        </w:rPr>
        <w:t>optimum level of pressure at which an individual will learn will vary</w:t>
      </w:r>
      <w:r w:rsidR="00CD658D">
        <w:rPr>
          <w:rFonts w:cs="Arial"/>
          <w:szCs w:val="24"/>
        </w:rPr>
        <w:t>,</w:t>
      </w:r>
      <w:r w:rsidR="007A3B76">
        <w:rPr>
          <w:rFonts w:cs="Arial"/>
          <w:szCs w:val="24"/>
        </w:rPr>
        <w:t xml:space="preserve"> and </w:t>
      </w:r>
      <w:r w:rsidR="00CD658D">
        <w:rPr>
          <w:rFonts w:cs="Arial"/>
          <w:szCs w:val="24"/>
        </w:rPr>
        <w:t xml:space="preserve">this </w:t>
      </w:r>
      <w:r w:rsidR="007A3B76">
        <w:rPr>
          <w:rFonts w:cs="Arial"/>
          <w:szCs w:val="24"/>
        </w:rPr>
        <w:t>stresses the importance of understanding people, behaviour and having emotional intelligence to interpret body langu</w:t>
      </w:r>
      <w:r w:rsidR="00CD658D">
        <w:rPr>
          <w:rFonts w:cs="Arial"/>
          <w:szCs w:val="24"/>
        </w:rPr>
        <w:t>ag</w:t>
      </w:r>
      <w:r w:rsidR="007A3B76">
        <w:rPr>
          <w:rFonts w:cs="Arial"/>
          <w:szCs w:val="24"/>
        </w:rPr>
        <w:t xml:space="preserve">e and behavioural cues to know </w:t>
      </w:r>
      <w:r w:rsidR="007A3B76">
        <w:rPr>
          <w:rFonts w:cs="Arial"/>
          <w:szCs w:val="24"/>
        </w:rPr>
        <w:lastRenderedPageBreak/>
        <w:t xml:space="preserve">when to </w:t>
      </w:r>
      <w:r w:rsidR="00B702B8">
        <w:rPr>
          <w:rFonts w:cs="Arial"/>
          <w:szCs w:val="24"/>
        </w:rPr>
        <w:t xml:space="preserve">adjust </w:t>
      </w:r>
      <w:r w:rsidR="007A3B76">
        <w:rPr>
          <w:rFonts w:cs="Arial"/>
          <w:szCs w:val="24"/>
        </w:rPr>
        <w:t xml:space="preserve">pressure. The terms </w:t>
      </w:r>
      <w:r w:rsidR="00CD658D">
        <w:rPr>
          <w:rFonts w:cs="Arial"/>
          <w:szCs w:val="24"/>
        </w:rPr>
        <w:t>‘</w:t>
      </w:r>
      <w:r w:rsidR="007A3B76">
        <w:rPr>
          <w:rFonts w:cs="Arial"/>
          <w:szCs w:val="24"/>
        </w:rPr>
        <w:t>pressure</w:t>
      </w:r>
      <w:r w:rsidR="00CD658D">
        <w:rPr>
          <w:rFonts w:cs="Arial"/>
          <w:szCs w:val="24"/>
        </w:rPr>
        <w:t>’</w:t>
      </w:r>
      <w:r w:rsidR="007A3B76">
        <w:rPr>
          <w:rFonts w:cs="Arial"/>
          <w:szCs w:val="24"/>
        </w:rPr>
        <w:t xml:space="preserve"> and </w:t>
      </w:r>
      <w:r w:rsidR="00CD658D">
        <w:rPr>
          <w:rFonts w:cs="Arial"/>
          <w:szCs w:val="24"/>
        </w:rPr>
        <w:t>‘</w:t>
      </w:r>
      <w:r w:rsidR="007A3B76">
        <w:rPr>
          <w:rFonts w:cs="Arial"/>
          <w:szCs w:val="24"/>
        </w:rPr>
        <w:t>stress</w:t>
      </w:r>
      <w:r w:rsidR="00CD658D">
        <w:rPr>
          <w:rFonts w:cs="Arial"/>
          <w:szCs w:val="24"/>
        </w:rPr>
        <w:t>’</w:t>
      </w:r>
      <w:r w:rsidR="007A3B76">
        <w:rPr>
          <w:rFonts w:cs="Arial"/>
          <w:szCs w:val="24"/>
        </w:rPr>
        <w:t xml:space="preserve"> are used interchangeably here but it is not well understood what the differences are between them or whether indeed this matters. In a study </w:t>
      </w:r>
      <w:r w:rsidR="00337A7E">
        <w:rPr>
          <w:rFonts w:cs="Arial"/>
          <w:szCs w:val="24"/>
        </w:rPr>
        <w:t>using</w:t>
      </w:r>
      <w:r w:rsidR="007A3B76">
        <w:rPr>
          <w:rFonts w:cs="Arial"/>
          <w:szCs w:val="24"/>
        </w:rPr>
        <w:t xml:space="preserve"> animal models</w:t>
      </w:r>
      <w:r w:rsidR="008900F1">
        <w:rPr>
          <w:rFonts w:cs="Arial"/>
          <w:szCs w:val="24"/>
        </w:rPr>
        <w:t>,</w:t>
      </w:r>
      <w:r w:rsidR="007A3B76">
        <w:rPr>
          <w:rFonts w:cs="Arial"/>
          <w:szCs w:val="24"/>
        </w:rPr>
        <w:t xml:space="preserve"> it has been shown that rats exposed to chronic stress </w:t>
      </w:r>
      <w:r w:rsidR="008900F1">
        <w:rPr>
          <w:rFonts w:cs="Arial"/>
          <w:szCs w:val="24"/>
        </w:rPr>
        <w:t>were better</w:t>
      </w:r>
      <w:r w:rsidR="007A3B76">
        <w:rPr>
          <w:rFonts w:cs="Arial"/>
          <w:szCs w:val="24"/>
        </w:rPr>
        <w:t xml:space="preserve"> prepare</w:t>
      </w:r>
      <w:r w:rsidR="008900F1">
        <w:rPr>
          <w:rFonts w:cs="Arial"/>
          <w:szCs w:val="24"/>
        </w:rPr>
        <w:t>d</w:t>
      </w:r>
      <w:r w:rsidR="007A3B76">
        <w:rPr>
          <w:rFonts w:cs="Arial"/>
          <w:szCs w:val="24"/>
        </w:rPr>
        <w:t xml:space="preserve"> </w:t>
      </w:r>
      <w:r w:rsidR="008900F1">
        <w:rPr>
          <w:rFonts w:cs="Arial"/>
          <w:szCs w:val="24"/>
        </w:rPr>
        <w:t>and</w:t>
      </w:r>
      <w:r w:rsidR="007A3B76">
        <w:rPr>
          <w:rFonts w:cs="Arial"/>
          <w:szCs w:val="24"/>
        </w:rPr>
        <w:t xml:space="preserve"> adapt</w:t>
      </w:r>
      <w:r w:rsidR="008900F1">
        <w:rPr>
          <w:rFonts w:cs="Arial"/>
          <w:szCs w:val="24"/>
        </w:rPr>
        <w:t>ed</w:t>
      </w:r>
      <w:r w:rsidR="007A3B76">
        <w:rPr>
          <w:rFonts w:cs="Arial"/>
          <w:szCs w:val="24"/>
        </w:rPr>
        <w:t xml:space="preserve"> to perform better under stress than those not exposed </w:t>
      </w:r>
      <w:r w:rsidR="007A3B76">
        <w:rPr>
          <w:rFonts w:cs="Arial"/>
          <w:szCs w:val="24"/>
        </w:rPr>
        <w:fldChar w:fldCharType="begin"/>
      </w:r>
      <w:r w:rsidR="007A3B76">
        <w:rPr>
          <w:rFonts w:cs="Arial"/>
          <w:szCs w:val="24"/>
        </w:rPr>
        <w:instrText xml:space="preserve"> ADDIN EN.CITE &lt;EndNote&gt;&lt;Cite&gt;&lt;Author&gt;Chaby&lt;/Author&gt;&lt;Year&gt;2015&lt;/Year&gt;&lt;IDText&gt;Can we understand how developmental stress enhances performance under future threat with the Yerkes-Dodson law?&lt;/IDText&gt;&lt;DisplayText&gt;(Chaby et al., 2015)&lt;/DisplayText&gt;&lt;record&gt;&lt;dates&gt;&lt;pub-dates&gt;&lt;date&gt;2015 May-Jun&lt;/date&gt;&lt;/pub-dates&gt;&lt;year&gt;2015&lt;/year&gt;&lt;/dates&gt;&lt;urls&gt;&lt;related-urls&gt;&lt;url&gt;http://www.ncbi.nlm.nih.gov/pubmed/26479861&lt;/url&gt;&lt;/related-urls&gt;&lt;/urls&gt;&lt;isbn&gt;1942-0889&lt;/isbn&gt;&lt;custom2&gt;PMC4594369&lt;/custom2&gt;&lt;titles&gt;&lt;title&gt;Can we understand how developmental stress enhances performance under future threat with the Yerkes-Dodson law?&lt;/title&gt;&lt;secondary-title&gt;Commun Integr Biol&lt;/secondary-title&gt;&lt;/titles&gt;&lt;pages&gt;e1029689&lt;/pages&gt;&lt;number&gt;3&lt;/number&gt;&lt;contributors&gt;&lt;authors&gt;&lt;author&gt;Chaby, L. E.&lt;/author&gt;&lt;author&gt;Sheriff, M. J.&lt;/author&gt;&lt;author&gt;Hirrlinger, A. M.&lt;/author&gt;&lt;author&gt;Braithwaite, V. A.&lt;/author&gt;&lt;/authors&gt;&lt;/contributors&gt;&lt;language&gt;eng&lt;/language&gt;&lt;added-date format="utc"&gt;1462872558&lt;/added-date&gt;&lt;ref-type name="Journal Article"&gt;17&lt;/ref-type&gt;&lt;rec-number&gt;248&lt;/rec-number&gt;&lt;last-updated-date format="utc"&gt;1462872558&lt;/last-updated-date&gt;&lt;accession-num&gt;26479861&lt;/accession-num&gt;&lt;electronic-resource-num&gt;10.1080/19420889.2015.1029689&lt;/electronic-resource-num&gt;&lt;volume&gt;8&lt;/volume&gt;&lt;/record&gt;&lt;/Cite&gt;&lt;/EndNote&gt;</w:instrText>
      </w:r>
      <w:r w:rsidR="007A3B76">
        <w:rPr>
          <w:rFonts w:cs="Arial"/>
          <w:szCs w:val="24"/>
        </w:rPr>
        <w:fldChar w:fldCharType="separate"/>
      </w:r>
      <w:r w:rsidR="007A3B76">
        <w:rPr>
          <w:rFonts w:cs="Arial"/>
          <w:noProof/>
          <w:szCs w:val="24"/>
        </w:rPr>
        <w:t>(Chaby et al., 2015)</w:t>
      </w:r>
      <w:r w:rsidR="007A3B76">
        <w:rPr>
          <w:rFonts w:cs="Arial"/>
          <w:szCs w:val="24"/>
        </w:rPr>
        <w:fldChar w:fldCharType="end"/>
      </w:r>
      <w:r w:rsidR="007A3B76">
        <w:rPr>
          <w:rFonts w:cs="Arial"/>
          <w:szCs w:val="24"/>
        </w:rPr>
        <w:t xml:space="preserve">. </w:t>
      </w:r>
      <w:r w:rsidR="00B5224E">
        <w:rPr>
          <w:rFonts w:cs="Arial"/>
          <w:szCs w:val="24"/>
        </w:rPr>
        <w:t xml:space="preserve"> It is important to consider how to ach</w:t>
      </w:r>
      <w:r w:rsidR="00EE054B">
        <w:rPr>
          <w:rFonts w:cs="Arial"/>
          <w:szCs w:val="24"/>
        </w:rPr>
        <w:t>ieve the correct level of pressure for optimum performance and learning</w:t>
      </w:r>
      <w:r w:rsidR="00B5224E">
        <w:rPr>
          <w:rFonts w:cs="Arial"/>
          <w:szCs w:val="24"/>
        </w:rPr>
        <w:t xml:space="preserve">. </w:t>
      </w:r>
    </w:p>
    <w:p w14:paraId="519E8D20" w14:textId="029B0B65" w:rsidR="007A3B76" w:rsidRDefault="007A3B76">
      <w:pPr>
        <w:pStyle w:val="Heading3"/>
      </w:pPr>
      <w:bookmarkStart w:id="181" w:name="_Toc343501145"/>
      <w:bookmarkStart w:id="182" w:name="_Toc348686346"/>
      <w:bookmarkStart w:id="183" w:name="_Toc419116144"/>
      <w:r w:rsidRPr="001A6CB4">
        <w:t>Undergrad</w:t>
      </w:r>
      <w:r w:rsidR="00215221">
        <w:t>uate</w:t>
      </w:r>
      <w:r w:rsidRPr="001A6CB4">
        <w:t xml:space="preserve"> sim</w:t>
      </w:r>
      <w:r>
        <w:t>ulation</w:t>
      </w:r>
      <w:r w:rsidRPr="001A6CB4">
        <w:t xml:space="preserve"> expert consensu</w:t>
      </w:r>
      <w:r>
        <w:t>s</w:t>
      </w:r>
      <w:bookmarkEnd w:id="181"/>
      <w:bookmarkEnd w:id="182"/>
      <w:bookmarkEnd w:id="183"/>
    </w:p>
    <w:p w14:paraId="4A98E8BB" w14:textId="77777777" w:rsidR="007A3B76" w:rsidRDefault="007A3B76" w:rsidP="007A3B76"/>
    <w:p w14:paraId="67251B2F" w14:textId="3E7DC7F4" w:rsidR="007A3B76" w:rsidRDefault="007A3B76" w:rsidP="007A3B76">
      <w:r>
        <w:t>In the initial development phase</w:t>
      </w:r>
      <w:r w:rsidR="001516E1">
        <w:t>,</w:t>
      </w:r>
      <w:r>
        <w:t xml:space="preserve"> consultation with undergraduate educational</w:t>
      </w:r>
      <w:r w:rsidR="00475F03">
        <w:t xml:space="preserve"> and simulation</w:t>
      </w:r>
      <w:r>
        <w:t xml:space="preserve"> leads occurred. The team was based at </w:t>
      </w:r>
      <w:r w:rsidR="001516E1">
        <w:t xml:space="preserve">a District General Hospital </w:t>
      </w:r>
      <w:r>
        <w:t xml:space="preserve">and affiliated with </w:t>
      </w:r>
      <w:r w:rsidR="001516E1">
        <w:t>a regional</w:t>
      </w:r>
      <w:r>
        <w:t xml:space="preserve"> teaching hospital. They were all consultant medical doctors. It was useful to have the balance of clinical </w:t>
      </w:r>
      <w:r w:rsidR="00475F03">
        <w:t xml:space="preserve">and </w:t>
      </w:r>
      <w:r>
        <w:t xml:space="preserve">educational experience when planning realistic scenarios and appropriate assessment. </w:t>
      </w:r>
    </w:p>
    <w:p w14:paraId="1590BE55" w14:textId="678E88D0" w:rsidR="007A3B76" w:rsidRDefault="007A3B76" w:rsidP="007A3B76">
      <w:r>
        <w:t>Following</w:t>
      </w:r>
      <w:r w:rsidR="001516E1">
        <w:t xml:space="preserve"> the</w:t>
      </w:r>
      <w:r>
        <w:t xml:space="preserve"> mapping exercise to the </w:t>
      </w:r>
      <w:r w:rsidR="001516E1">
        <w:t xml:space="preserve">FP </w:t>
      </w:r>
      <w:r>
        <w:t xml:space="preserve">curriculum and </w:t>
      </w:r>
      <w:r w:rsidR="001516E1">
        <w:t xml:space="preserve">TD </w:t>
      </w:r>
      <w:r>
        <w:t>document</w:t>
      </w:r>
      <w:r w:rsidR="001516E1">
        <w:t xml:space="preserve">, </w:t>
      </w:r>
      <w:r>
        <w:t>gap analysi</w:t>
      </w:r>
      <w:r w:rsidR="00B6169D">
        <w:t>s and the</w:t>
      </w:r>
      <w:r>
        <w:t xml:space="preserve"> literature</w:t>
      </w:r>
      <w:r w:rsidR="00B6169D">
        <w:t xml:space="preserve">, </w:t>
      </w:r>
      <w:r>
        <w:t xml:space="preserve">triangulation with pre-pilot </w:t>
      </w:r>
      <w:r w:rsidR="00173DE4">
        <w:t>focus group</w:t>
      </w:r>
      <w:r>
        <w:t xml:space="preserve"> </w:t>
      </w:r>
      <w:r w:rsidR="001516E1">
        <w:t xml:space="preserve">outcomes occurred to create </w:t>
      </w:r>
      <w:r>
        <w:t>an initial curriculum and plan for each scenario</w:t>
      </w:r>
      <w:r w:rsidR="00F350A3">
        <w:t xml:space="preserve"> (Appendix 13</w:t>
      </w:r>
      <w:r w:rsidR="0017596F">
        <w:t>.7)</w:t>
      </w:r>
      <w:r>
        <w:t>. Each scenario included a human factors element, a procedural and communication element</w:t>
      </w:r>
      <w:r w:rsidR="00CD658D">
        <w:t>,</w:t>
      </w:r>
      <w:r>
        <w:t xml:space="preserve"> and a patient safety element</w:t>
      </w:r>
      <w:r w:rsidR="00F350A3">
        <w:t xml:space="preserve"> (Appendix 13</w:t>
      </w:r>
      <w:r w:rsidR="0017596F">
        <w:t>.8)</w:t>
      </w:r>
      <w:r>
        <w:t>. Each scenario was set in a mock</w:t>
      </w:r>
      <w:r w:rsidR="00CD658D">
        <w:t>-</w:t>
      </w:r>
      <w:r>
        <w:t xml:space="preserve">simulated clinical environment to </w:t>
      </w:r>
      <w:r w:rsidR="00B6169D">
        <w:t>include</w:t>
      </w:r>
      <w:r>
        <w:t xml:space="preserve"> all of the pressures that usually surround each junior doctor on a daily bas</w:t>
      </w:r>
      <w:r w:rsidR="00CD658D">
        <w:t>i</w:t>
      </w:r>
      <w:r>
        <w:t xml:space="preserve">s to help with authenticity, psychological fidelity and immersion. </w:t>
      </w:r>
    </w:p>
    <w:p w14:paraId="39F71292" w14:textId="61B4D051" w:rsidR="00EB109E" w:rsidRPr="004F70B8" w:rsidRDefault="007A3B76" w:rsidP="00EB109E">
      <w:r>
        <w:lastRenderedPageBreak/>
        <w:t xml:space="preserve">Consensus was sought when discussing assessment surrounding what would be expected for an average </w:t>
      </w:r>
      <w:r w:rsidR="00F12C32">
        <w:t xml:space="preserve">versus exceptional versus suboptimal </w:t>
      </w:r>
      <w:r>
        <w:t>FY1</w:t>
      </w:r>
      <w:r w:rsidR="00B6169D">
        <w:t>. T</w:t>
      </w:r>
      <w:r>
        <w:t xml:space="preserve">he </w:t>
      </w:r>
      <w:r w:rsidR="00CD658D">
        <w:t>L</w:t>
      </w:r>
      <w:r>
        <w:t>ikert scales created</w:t>
      </w:r>
      <w:r w:rsidR="00F12C32">
        <w:t>,</w:t>
      </w:r>
      <w:r>
        <w:t xml:space="preserve"> mapped to selected </w:t>
      </w:r>
      <w:r w:rsidR="002568B6">
        <w:t>curriculum-mapped</w:t>
      </w:r>
      <w:r>
        <w:t xml:space="preserve"> domains to allow a formative objective assessment of skills. Once scenarios were designed, a pilot with a </w:t>
      </w:r>
      <w:r w:rsidR="00CD658D">
        <w:t>F</w:t>
      </w:r>
      <w:r>
        <w:t>oundation doctor took place to ensure they felt appropriate</w:t>
      </w:r>
      <w:r w:rsidR="00F12C32">
        <w:t xml:space="preserve"> and</w:t>
      </w:r>
      <w:r>
        <w:t xml:space="preserve"> feasibility of using the formative assessment tool was assessed</w:t>
      </w:r>
      <w:r w:rsidR="00F12C32">
        <w:t xml:space="preserve">. </w:t>
      </w:r>
      <w:r>
        <w:t xml:space="preserve">No changes were required following this. </w:t>
      </w:r>
    </w:p>
    <w:p w14:paraId="78C8F0BC" w14:textId="08B4781A" w:rsidR="00EB109E" w:rsidRDefault="00046AEF" w:rsidP="00BF63E5">
      <w:pPr>
        <w:pStyle w:val="Heading2"/>
      </w:pPr>
      <w:bookmarkStart w:id="184" w:name="_Toc419116145"/>
      <w:r>
        <w:t>Resources required</w:t>
      </w:r>
      <w:bookmarkEnd w:id="184"/>
    </w:p>
    <w:p w14:paraId="00AD03F0" w14:textId="77777777" w:rsidR="00046AEF" w:rsidRPr="00046AEF" w:rsidRDefault="00046AEF" w:rsidP="00A66151"/>
    <w:p w14:paraId="35668B34" w14:textId="2DF7E8EE" w:rsidR="00EB109E" w:rsidRPr="00167830" w:rsidRDefault="00EB109E" w:rsidP="007A3B76">
      <w:pPr>
        <w:rPr>
          <w:rFonts w:cs="Arial"/>
          <w:szCs w:val="24"/>
        </w:rPr>
      </w:pPr>
      <w:r>
        <w:rPr>
          <w:rFonts w:cs="Arial"/>
          <w:szCs w:val="24"/>
        </w:rPr>
        <w:t>To run this</w:t>
      </w:r>
      <w:r w:rsidR="00F12C32">
        <w:rPr>
          <w:rFonts w:cs="Arial"/>
          <w:szCs w:val="24"/>
        </w:rPr>
        <w:t xml:space="preserve"> intervention</w:t>
      </w:r>
      <w:r>
        <w:rPr>
          <w:rFonts w:cs="Arial"/>
          <w:szCs w:val="24"/>
        </w:rPr>
        <w:t xml:space="preserve">, two clinicians were present to observe, play the roles of senior team members, guide the technical staff and debrief each </w:t>
      </w:r>
      <w:r w:rsidR="0073207F">
        <w:rPr>
          <w:rFonts w:cs="Arial"/>
          <w:szCs w:val="24"/>
        </w:rPr>
        <w:t>c</w:t>
      </w:r>
      <w:r w:rsidR="005F705F">
        <w:rPr>
          <w:rFonts w:cs="Arial"/>
          <w:szCs w:val="24"/>
        </w:rPr>
        <w:t>andidate</w:t>
      </w:r>
      <w:r>
        <w:rPr>
          <w:rFonts w:cs="Arial"/>
          <w:szCs w:val="24"/>
        </w:rPr>
        <w:t xml:space="preserve"> following each scenario. Two technical persons were required, one to control the simulation mannequin via a laptop and one to ensure au</w:t>
      </w:r>
      <w:r w:rsidR="00F12C32">
        <w:rPr>
          <w:rFonts w:cs="Arial"/>
          <w:szCs w:val="24"/>
        </w:rPr>
        <w:t>dio-visual technology worked</w:t>
      </w:r>
      <w:r>
        <w:rPr>
          <w:rFonts w:cs="Arial"/>
          <w:szCs w:val="24"/>
        </w:rPr>
        <w:t xml:space="preserve">. Some of the </w:t>
      </w:r>
      <w:r w:rsidR="00690057">
        <w:rPr>
          <w:rFonts w:cs="Arial"/>
          <w:szCs w:val="24"/>
        </w:rPr>
        <w:t>c</w:t>
      </w:r>
      <w:r w:rsidR="005F705F">
        <w:rPr>
          <w:rFonts w:cs="Arial"/>
          <w:szCs w:val="24"/>
        </w:rPr>
        <w:t>andidate</w:t>
      </w:r>
      <w:r>
        <w:rPr>
          <w:rFonts w:cs="Arial"/>
          <w:szCs w:val="24"/>
        </w:rPr>
        <w:t>s were filmed following consent</w:t>
      </w:r>
      <w:r w:rsidR="00A119B6">
        <w:rPr>
          <w:rFonts w:cs="Arial"/>
          <w:szCs w:val="24"/>
        </w:rPr>
        <w:t>, to explore the use of video</w:t>
      </w:r>
      <w:r>
        <w:rPr>
          <w:rFonts w:cs="Arial"/>
          <w:szCs w:val="24"/>
        </w:rPr>
        <w:t xml:space="preserve">. One </w:t>
      </w:r>
      <w:proofErr w:type="spellStart"/>
      <w:r>
        <w:rPr>
          <w:rFonts w:cs="Arial"/>
          <w:szCs w:val="24"/>
        </w:rPr>
        <w:t>SimMan</w:t>
      </w:r>
      <w:proofErr w:type="spellEnd"/>
      <w:r>
        <w:rPr>
          <w:rFonts w:cs="Arial"/>
          <w:szCs w:val="24"/>
        </w:rPr>
        <w:t xml:space="preserve"> 3G® was </w:t>
      </w:r>
      <w:r w:rsidR="00337A7E">
        <w:rPr>
          <w:rFonts w:cs="Arial"/>
          <w:szCs w:val="24"/>
        </w:rPr>
        <w:t>used</w:t>
      </w:r>
      <w:r>
        <w:rPr>
          <w:rFonts w:cs="Arial"/>
          <w:szCs w:val="24"/>
        </w:rPr>
        <w:t>, SMOTS® camera systems to allow remote control of the mann</w:t>
      </w:r>
      <w:r w:rsidR="00CD658D">
        <w:rPr>
          <w:rFonts w:cs="Arial"/>
          <w:szCs w:val="24"/>
        </w:rPr>
        <w:t>equin via wireless connection, two teaching rooms, part-</w:t>
      </w:r>
      <w:r>
        <w:rPr>
          <w:rFonts w:cs="Arial"/>
          <w:szCs w:val="24"/>
        </w:rPr>
        <w:t xml:space="preserve">task trainers for catheterisation, cannulation, arterial blood gas sampling, venepuncture and blood cultures were </w:t>
      </w:r>
      <w:r w:rsidR="00337A7E">
        <w:rPr>
          <w:rFonts w:cs="Arial"/>
          <w:szCs w:val="24"/>
        </w:rPr>
        <w:t>used</w:t>
      </w:r>
      <w:r>
        <w:rPr>
          <w:rFonts w:cs="Arial"/>
          <w:szCs w:val="24"/>
        </w:rPr>
        <w:t xml:space="preserve"> to save expense with </w:t>
      </w:r>
      <w:r w:rsidR="00F12C32">
        <w:rPr>
          <w:rFonts w:cs="Arial"/>
          <w:szCs w:val="24"/>
        </w:rPr>
        <w:t xml:space="preserve">mannequin </w:t>
      </w:r>
      <w:r>
        <w:rPr>
          <w:rFonts w:cs="Arial"/>
          <w:szCs w:val="24"/>
        </w:rPr>
        <w:t>consumable</w:t>
      </w:r>
      <w:r w:rsidR="00A119B6">
        <w:rPr>
          <w:rFonts w:cs="Arial"/>
          <w:szCs w:val="24"/>
        </w:rPr>
        <w:t>s</w:t>
      </w:r>
      <w:r w:rsidR="007E3AE0">
        <w:rPr>
          <w:rFonts w:cs="Arial"/>
          <w:szCs w:val="24"/>
        </w:rPr>
        <w:t xml:space="preserve"> (Appendix </w:t>
      </w:r>
      <w:r w:rsidR="00F350A3">
        <w:rPr>
          <w:rFonts w:cs="Arial"/>
          <w:szCs w:val="24"/>
        </w:rPr>
        <w:t>13</w:t>
      </w:r>
      <w:r w:rsidR="00BF015A">
        <w:rPr>
          <w:rFonts w:cs="Arial"/>
          <w:szCs w:val="24"/>
        </w:rPr>
        <w:t>.9</w:t>
      </w:r>
      <w:r w:rsidR="007E3AE0">
        <w:rPr>
          <w:rFonts w:cs="Arial"/>
          <w:szCs w:val="24"/>
        </w:rPr>
        <w:t>)</w:t>
      </w:r>
      <w:r>
        <w:rPr>
          <w:rFonts w:cs="Arial"/>
          <w:szCs w:val="24"/>
        </w:rPr>
        <w:t>. Trust guidelines</w:t>
      </w:r>
      <w:r w:rsidR="00F12C32">
        <w:rPr>
          <w:rFonts w:cs="Arial"/>
          <w:szCs w:val="24"/>
        </w:rPr>
        <w:t>, fluid and drug charts were</w:t>
      </w:r>
      <w:r>
        <w:rPr>
          <w:rFonts w:cs="Arial"/>
          <w:szCs w:val="24"/>
        </w:rPr>
        <w:t xml:space="preserve"> provided to allow students to act in a realistic fashion and improve awareness of time taken to complete tasks such as prescribing. Investigation results were made available with realistic time delays and allowed students to interpret results. The</w:t>
      </w:r>
      <w:r w:rsidR="00F12C32">
        <w:rPr>
          <w:rFonts w:cs="Arial"/>
          <w:szCs w:val="24"/>
        </w:rPr>
        <w:t xml:space="preserve"> debriefing sessions</w:t>
      </w:r>
      <w:r w:rsidR="00A119B6">
        <w:rPr>
          <w:rFonts w:cs="Arial"/>
          <w:szCs w:val="24"/>
        </w:rPr>
        <w:t xml:space="preserve"> act</w:t>
      </w:r>
      <w:r w:rsidR="00F12C32">
        <w:rPr>
          <w:rFonts w:cs="Arial"/>
          <w:szCs w:val="24"/>
        </w:rPr>
        <w:t>ed</w:t>
      </w:r>
      <w:r w:rsidR="00A119B6">
        <w:rPr>
          <w:rFonts w:cs="Arial"/>
          <w:szCs w:val="24"/>
        </w:rPr>
        <w:t xml:space="preserve"> as</w:t>
      </w:r>
      <w:r>
        <w:rPr>
          <w:rFonts w:cs="Arial"/>
          <w:szCs w:val="24"/>
        </w:rPr>
        <w:t xml:space="preserve"> a forum to discuss </w:t>
      </w:r>
      <w:r>
        <w:rPr>
          <w:rFonts w:cs="Arial"/>
          <w:szCs w:val="24"/>
        </w:rPr>
        <w:lastRenderedPageBreak/>
        <w:t xml:space="preserve">prioritisation and justification of investigations. </w:t>
      </w:r>
      <w:r w:rsidR="0017596F">
        <w:rPr>
          <w:rFonts w:cs="Arial"/>
          <w:szCs w:val="24"/>
        </w:rPr>
        <w:t>A timetabl</w:t>
      </w:r>
      <w:r w:rsidR="00F350A3">
        <w:rPr>
          <w:rFonts w:cs="Arial"/>
          <w:szCs w:val="24"/>
        </w:rPr>
        <w:t>e is demonstrated in Appendix 13.1</w:t>
      </w:r>
      <w:r w:rsidR="0017596F">
        <w:rPr>
          <w:rFonts w:cs="Arial"/>
          <w:szCs w:val="24"/>
        </w:rPr>
        <w:t xml:space="preserve">0. </w:t>
      </w:r>
    </w:p>
    <w:p w14:paraId="47171067" w14:textId="70A89F8B" w:rsidR="007A3B76" w:rsidRDefault="00CF24A2" w:rsidP="00CA53EB">
      <w:pPr>
        <w:pStyle w:val="Heading2"/>
      </w:pPr>
      <w:bookmarkStart w:id="185" w:name="_Toc343501147"/>
      <w:bookmarkStart w:id="186" w:name="_Toc348686348"/>
      <w:bookmarkStart w:id="187" w:name="_Toc419116146"/>
      <w:r>
        <w:t xml:space="preserve">Outcome measures: </w:t>
      </w:r>
      <w:r w:rsidR="007A3B76">
        <w:t xml:space="preserve">Assessment design </w:t>
      </w:r>
      <w:r>
        <w:t>and</w:t>
      </w:r>
      <w:r w:rsidR="007A3B76">
        <w:t xml:space="preserve"> validation</w:t>
      </w:r>
      <w:bookmarkEnd w:id="185"/>
      <w:bookmarkEnd w:id="186"/>
      <w:bookmarkEnd w:id="187"/>
    </w:p>
    <w:p w14:paraId="5ADD1B5B" w14:textId="77777777" w:rsidR="007A3B76" w:rsidRDefault="007A3B76" w:rsidP="007A3B76"/>
    <w:p w14:paraId="3E39CB44" w14:textId="624DABBA" w:rsidR="00FB5C44" w:rsidRDefault="00FB5C44" w:rsidP="00FB5C44">
      <w:pPr>
        <w:rPr>
          <w:rFonts w:cs="Arial"/>
          <w:szCs w:val="24"/>
        </w:rPr>
      </w:pPr>
      <w:r>
        <w:rPr>
          <w:rFonts w:cs="Arial"/>
          <w:szCs w:val="24"/>
        </w:rPr>
        <w:t xml:space="preserve">Van der </w:t>
      </w:r>
      <w:proofErr w:type="spellStart"/>
      <w:r>
        <w:rPr>
          <w:rFonts w:cs="Arial"/>
          <w:szCs w:val="24"/>
        </w:rPr>
        <w:t>Vluten</w:t>
      </w:r>
      <w:proofErr w:type="spellEnd"/>
      <w:r>
        <w:rPr>
          <w:rFonts w:cs="Arial"/>
          <w:szCs w:val="24"/>
        </w:rPr>
        <w:t xml:space="preserve"> (2005) described that any method of assessment, even those that are less structured and standardised have utility depending on its use. He describes that ‘reliability relates to the reproducibility of the scores obtained from an assessment’ </w:t>
      </w:r>
      <w:r>
        <w:rPr>
          <w:rFonts w:cs="Arial"/>
          <w:szCs w:val="24"/>
        </w:rPr>
        <w:fldChar w:fldCharType="begin"/>
      </w:r>
      <w:r>
        <w:rPr>
          <w:rFonts w:cs="Arial"/>
          <w:szCs w:val="24"/>
        </w:rPr>
        <w:instrText xml:space="preserve"> ADDIN EN.CITE &lt;EndNote&gt;&lt;Cite&gt;&lt;Author&gt;van der Vleuten&lt;/Author&gt;&lt;Year&gt;2005&lt;/Year&gt;&lt;IDText&gt;Assessing professional competence: from methods to programmes&lt;/IDText&gt;&lt;DisplayText&gt;(van der Vleuten and Schuwirth, 2005)&lt;/DisplayText&gt;&lt;record&gt;&lt;dates&gt;&lt;pub-dates&gt;&lt;date&gt;Mar&lt;/date&gt;&lt;/pub-dates&gt;&lt;year&gt;2005&lt;/year&gt;&lt;/dates&gt;&lt;urls&gt;&lt;related-urls&gt;&lt;url&gt;&amp;lt;Go to ISI&amp;gt;://WOS:000227189400012&lt;/url&gt;&lt;/related-urls&gt;&lt;/urls&gt;&lt;isbn&gt;0308-0110&lt;/isbn&gt;&lt;titles&gt;&lt;title&gt;Assessing professional competence: from methods to programmes&lt;/title&gt;&lt;secondary-title&gt;Medical Education&lt;/secondary-title&gt;&lt;/titles&gt;&lt;pages&gt;309-317&lt;/pages&gt;&lt;number&gt;3&lt;/number&gt;&lt;contributors&gt;&lt;authors&gt;&lt;author&gt;van der Vleuten, C. P. M.&lt;/author&gt;&lt;author&gt;Schuwirth, L. W. T.&lt;/author&gt;&lt;/authors&gt;&lt;/contributors&gt;&lt;added-date format="utc"&gt;1399930870&lt;/added-date&gt;&lt;ref-type name="Journal Article"&gt;17&lt;/ref-type&gt;&lt;rec-number&gt;95&lt;/rec-number&gt;&lt;last-updated-date format="utc"&gt;1399937123&lt;/last-updated-date&gt;&lt;accession-num&gt;WOS:000227189400012&lt;/accession-num&gt;&lt;electronic-resource-num&gt;10.1111/j.1365-2929.2005.02094.x&lt;/electronic-resource-num&gt;&lt;volume&gt;39&lt;/volume&gt;&lt;/record&gt;&lt;/Cite&gt;&lt;/EndNote&gt;</w:instrText>
      </w:r>
      <w:r>
        <w:rPr>
          <w:rFonts w:cs="Arial"/>
          <w:szCs w:val="24"/>
        </w:rPr>
        <w:fldChar w:fldCharType="separate"/>
      </w:r>
      <w:r>
        <w:rPr>
          <w:rFonts w:cs="Arial"/>
          <w:noProof/>
          <w:szCs w:val="24"/>
        </w:rPr>
        <w:t>(van der Vleuten and Schuwirth, 2005)</w:t>
      </w:r>
      <w:r>
        <w:rPr>
          <w:rFonts w:cs="Arial"/>
          <w:szCs w:val="24"/>
        </w:rPr>
        <w:fldChar w:fldCharType="end"/>
      </w:r>
      <w:r>
        <w:rPr>
          <w:rFonts w:cs="Arial"/>
          <w:szCs w:val="24"/>
        </w:rPr>
        <w:t xml:space="preserve">. He reports that competence is highly dependent on context or content and found that ‘reliability is not conditional on objectivity and standardisation’. He described that as long as sampling is appropriate and there are more subjective evaluations that reliability can be achieved with less standardised assessment situations </w:t>
      </w:r>
      <w:r>
        <w:rPr>
          <w:rFonts w:cs="Arial"/>
          <w:szCs w:val="24"/>
        </w:rPr>
        <w:fldChar w:fldCharType="begin"/>
      </w:r>
      <w:r>
        <w:rPr>
          <w:rFonts w:cs="Arial"/>
          <w:szCs w:val="24"/>
        </w:rPr>
        <w:instrText xml:space="preserve"> ADDIN EN.CITE &lt;EndNote&gt;&lt;Cite&gt;&lt;Author&gt;van der Vleuten&lt;/Author&gt;&lt;Year&gt;2005&lt;/Year&gt;&lt;IDText&gt;Assessing professional competence: from methods to programmes&lt;/IDText&gt;&lt;DisplayText&gt;(van der Vleuten and Schuwirth, 2005)&lt;/DisplayText&gt;&lt;record&gt;&lt;dates&gt;&lt;pub-dates&gt;&lt;date&gt;Mar&lt;/date&gt;&lt;/pub-dates&gt;&lt;year&gt;2005&lt;/year&gt;&lt;/dates&gt;&lt;urls&gt;&lt;related-urls&gt;&lt;url&gt;&amp;lt;Go to ISI&amp;gt;://WOS:000227189400012&lt;/url&gt;&lt;/related-urls&gt;&lt;/urls&gt;&lt;isbn&gt;0308-0110&lt;/isbn&gt;&lt;titles&gt;&lt;title&gt;Assessing professional competence: from methods to programmes&lt;/title&gt;&lt;secondary-title&gt;Medical Education&lt;/secondary-title&gt;&lt;/titles&gt;&lt;pages&gt;309-317&lt;/pages&gt;&lt;number&gt;3&lt;/number&gt;&lt;contributors&gt;&lt;authors&gt;&lt;author&gt;van der Vleuten, C. P. M.&lt;/author&gt;&lt;author&gt;Schuwirth, L. W. T.&lt;/author&gt;&lt;/authors&gt;&lt;/contributors&gt;&lt;added-date format="utc"&gt;1399930870&lt;/added-date&gt;&lt;ref-type name="Journal Article"&gt;17&lt;/ref-type&gt;&lt;rec-number&gt;95&lt;/rec-number&gt;&lt;last-updated-date format="utc"&gt;1399937123&lt;/last-updated-date&gt;&lt;accession-num&gt;WOS:000227189400012&lt;/accession-num&gt;&lt;electronic-resource-num&gt;10.1111/j.1365-2929.2005.02094.x&lt;/electronic-resource-num&gt;&lt;volume&gt;39&lt;/volume&gt;&lt;/record&gt;&lt;/Cite&gt;&lt;/EndNote&gt;</w:instrText>
      </w:r>
      <w:r>
        <w:rPr>
          <w:rFonts w:cs="Arial"/>
          <w:szCs w:val="24"/>
        </w:rPr>
        <w:fldChar w:fldCharType="separate"/>
      </w:r>
      <w:r>
        <w:rPr>
          <w:rFonts w:cs="Arial"/>
          <w:noProof/>
          <w:szCs w:val="24"/>
        </w:rPr>
        <w:t>(van der Vleuten and Schuwirth, 2005)</w:t>
      </w:r>
      <w:r>
        <w:rPr>
          <w:rFonts w:cs="Arial"/>
          <w:szCs w:val="24"/>
        </w:rPr>
        <w:fldChar w:fldCharType="end"/>
      </w:r>
      <w:r>
        <w:rPr>
          <w:rFonts w:cs="Arial"/>
          <w:szCs w:val="24"/>
        </w:rPr>
        <w:t xml:space="preserve">. Interestingly he also explores the move to integrate competencies, which is what this course does. There is a view that ‘learning is facilitated when tasks are integrated’ when teaching complex cognitive skills, as is embedded in modern educational theory </w:t>
      </w:r>
      <w:r>
        <w:rPr>
          <w:rFonts w:cs="Arial"/>
          <w:szCs w:val="24"/>
        </w:rPr>
        <w:fldChar w:fldCharType="begin"/>
      </w:r>
      <w:r>
        <w:rPr>
          <w:rFonts w:cs="Arial"/>
          <w:szCs w:val="24"/>
        </w:rPr>
        <w:instrText xml:space="preserve"> ADDIN EN.CITE &lt;EndNote&gt;&lt;Cite&gt;&lt;Author&gt;van Merrienboer&lt;/Author&gt;&lt;Year&gt;1997&lt;/Year&gt;&lt;IDText&gt;Training complex cognitive skills&lt;/IDText&gt;&lt;DisplayText&gt;(van Merrienboer, 1997)&lt;/DisplayText&gt;&lt;record&gt;&lt;titles&gt;&lt;title&gt;Training complex cognitive skills&lt;/title&gt;&lt;/titles&gt;&lt;contributors&gt;&lt;authors&gt;&lt;author&gt;van Merrienboer, JJG&lt;/author&gt;&lt;/authors&gt;&lt;/contributors&gt;&lt;added-date format="utc"&gt;1399933378&lt;/added-date&gt;&lt;pub-location&gt;Englewood Cliffs, New Jersey&lt;/pub-location&gt;&lt;ref-type name="Generic"&gt;13&lt;/ref-type&gt;&lt;dates&gt;&lt;year&gt;1997&lt;/year&gt;&lt;/dates&gt;&lt;rec-number&gt;109&lt;/rec-number&gt;&lt;publisher&gt;Educational Technology Publications&lt;/publisher&gt;&lt;last-updated-date format="utc"&gt;1399937123&lt;/last-updated-date&gt;&lt;/record&gt;&lt;/Cite&gt;&lt;/EndNote&gt;</w:instrText>
      </w:r>
      <w:r>
        <w:rPr>
          <w:rFonts w:cs="Arial"/>
          <w:szCs w:val="24"/>
        </w:rPr>
        <w:fldChar w:fldCharType="separate"/>
      </w:r>
      <w:r>
        <w:rPr>
          <w:rFonts w:cs="Arial"/>
          <w:noProof/>
          <w:szCs w:val="24"/>
        </w:rPr>
        <w:t>(van Merrienboer, 1997)</w:t>
      </w:r>
      <w:r>
        <w:rPr>
          <w:rFonts w:cs="Arial"/>
          <w:szCs w:val="24"/>
        </w:rPr>
        <w:fldChar w:fldCharType="end"/>
      </w:r>
      <w:r>
        <w:rPr>
          <w:rFonts w:cs="Arial"/>
          <w:szCs w:val="24"/>
        </w:rPr>
        <w:t xml:space="preserve">. Global ratings have been shown to provide a more ‘faithful reflection of expertise than detailed check lists’ </w:t>
      </w:r>
      <w:r>
        <w:rPr>
          <w:rFonts w:cs="Arial"/>
          <w:szCs w:val="24"/>
        </w:rPr>
        <w:fldChar w:fldCharType="begin"/>
      </w:r>
      <w:r>
        <w:rPr>
          <w:rFonts w:cs="Arial"/>
          <w:szCs w:val="24"/>
        </w:rPr>
        <w:instrText xml:space="preserve"> ADDIN EN.CITE &lt;EndNote&gt;&lt;Cite&gt;&lt;Author&gt;Regehr&lt;/Author&gt;&lt;Year&gt;1998&lt;/Year&gt;&lt;IDText&gt;Comparing the psychometric properties of checklists and global rating scales for assessing performance on an OSCE-format examination&lt;/IDText&gt;&lt;DisplayText&gt;(Regehr et al., 1998)&lt;/DisplayText&gt;&lt;record&gt;&lt;dates&gt;&lt;pub-dates&gt;&lt;date&gt;Sep&lt;/date&gt;&lt;/pub-dates&gt;&lt;year&gt;1998&lt;/year&gt;&lt;/dates&gt;&lt;urls&gt;&lt;related-urls&gt;&lt;url&gt;&amp;lt;Go to ISI&amp;gt;://WOS:000075918900023&lt;/url&gt;&lt;/related-urls&gt;&lt;/urls&gt;&lt;isbn&gt;1040-2446&lt;/isbn&gt;&lt;titles&gt;&lt;title&gt;Comparing the psychometric properties of checklists and global rating scales for assessing performance on an OSCE-format examination&lt;/title&gt;&lt;secondary-title&gt;Academic Medicine&lt;/secondary-title&gt;&lt;/titles&gt;&lt;pages&gt;993-997&lt;/pages&gt;&lt;number&gt;9&lt;/number&gt;&lt;contributors&gt;&lt;authors&gt;&lt;author&gt;Regehr, G.&lt;/author&gt;&lt;author&gt;MacRae, H.&lt;/author&gt;&lt;author&gt;Reznick, R. K.&lt;/author&gt;&lt;author&gt;Szalay, D.&lt;/author&gt;&lt;/authors&gt;&lt;/contributors&gt;&lt;added-date format="utc"&gt;1399932128&lt;/added-date&gt;&lt;ref-type name="Journal Article"&gt;17&lt;/ref-type&gt;&lt;rec-number&gt;101&lt;/rec-number&gt;&lt;last-updated-date format="utc"&gt;1399937123&lt;/last-updated-date&gt;&lt;accession-num&gt;WOS:000075918900023&lt;/accession-num&gt;&lt;electronic-resource-num&gt;10.1097/00001888-199809000-00020&lt;/electronic-resource-num&gt;&lt;volume&gt;73&lt;/volume&gt;&lt;/record&gt;&lt;/Cite&gt;&lt;/EndNote&gt;</w:instrText>
      </w:r>
      <w:r>
        <w:rPr>
          <w:rFonts w:cs="Arial"/>
          <w:szCs w:val="24"/>
        </w:rPr>
        <w:fldChar w:fldCharType="separate"/>
      </w:r>
      <w:r>
        <w:rPr>
          <w:rFonts w:cs="Arial"/>
          <w:noProof/>
          <w:szCs w:val="24"/>
        </w:rPr>
        <w:t>(Regehr et al., 1998)</w:t>
      </w:r>
      <w:r>
        <w:rPr>
          <w:rFonts w:cs="Arial"/>
          <w:szCs w:val="24"/>
        </w:rPr>
        <w:fldChar w:fldCharType="end"/>
      </w:r>
      <w:r>
        <w:rPr>
          <w:rFonts w:cs="Arial"/>
          <w:szCs w:val="24"/>
        </w:rPr>
        <w:t xml:space="preserve">. Global rating scales have been </w:t>
      </w:r>
      <w:r w:rsidR="00337A7E">
        <w:rPr>
          <w:rFonts w:cs="Arial"/>
          <w:szCs w:val="24"/>
        </w:rPr>
        <w:t>used</w:t>
      </w:r>
      <w:r>
        <w:rPr>
          <w:rFonts w:cs="Arial"/>
          <w:szCs w:val="24"/>
        </w:rPr>
        <w:t xml:space="preserve"> in the confidence log tool and formative assessment tools for this reason.</w:t>
      </w:r>
    </w:p>
    <w:p w14:paraId="7B425146" w14:textId="58C1E4B2" w:rsidR="00FB5C44" w:rsidRDefault="00FB5C44" w:rsidP="00FB5C44">
      <w:r>
        <w:t xml:space="preserve">To gain accurate self-assessment measures, reasonable agreement between self-claimed and other validated measures of performance are reported as important </w:t>
      </w:r>
      <w:r>
        <w:fldChar w:fldCharType="begin"/>
      </w:r>
      <w:r>
        <w:instrText xml:space="preserve"> ADDIN EN.CITE &lt;EndNote&gt;&lt;Cite&gt;&lt;Author&gt;Gordon&lt;/Author&gt;&lt;Year&gt;1991&lt;/Year&gt;&lt;IDText&gt;A review of the validity and accuracy of self-assessments in health professions training&lt;/IDText&gt;&lt;DisplayText&gt;(Gordon, 1991)&lt;/DisplayText&gt;&lt;record&gt;&lt;dates&gt;&lt;pub-dates&gt;&lt;date&gt;Dec&lt;/date&gt;&lt;/pub-dates&gt;&lt;year&gt;1991&lt;/year&gt;&lt;/dates&gt;&lt;keywords&gt;&lt;keyword&gt;Health Personnel&lt;/keyword&gt;&lt;keyword&gt;Reproducibility of Results&lt;/keyword&gt;&lt;keyword&gt;Self-Assessment&lt;/keyword&gt;&lt;keyword&gt;Self-Evaluation Programs&lt;/keyword&gt;&lt;/keywords&gt;&lt;urls&gt;&lt;related-urls&gt;&lt;url&gt;http://www.ncbi.nlm.nih.gov/pubmed/1750956&lt;/url&gt;&lt;/related-urls&gt;&lt;/urls&gt;&lt;isbn&gt;1040-2446&lt;/isbn&gt;&lt;titles&gt;&lt;title&gt;A review of the validity and accuracy of self-assessments in health professions training&lt;/title&gt;&lt;secondary-title&gt;Acad Med&lt;/secondary-title&gt;&lt;/titles&gt;&lt;pages&gt;762-9&lt;/pages&gt;&lt;number&gt;12&lt;/number&gt;&lt;contributors&gt;&lt;authors&gt;&lt;author&gt;Gordon, M. J.&lt;/author&gt;&lt;/authors&gt;&lt;/contributors&gt;&lt;language&gt;eng&lt;/language&gt;&lt;added-date format="utc"&gt;1456825068&lt;/added-date&gt;&lt;ref-type name="Journal Article"&gt;17&lt;/ref-type&gt;&lt;rec-number&gt;200&lt;/rec-number&gt;&lt;last-updated-date format="utc"&gt;1456825068&lt;/last-updated-date&gt;&lt;accession-num&gt;1750956&lt;/accession-num&gt;&lt;volume&gt;66&lt;/volume&gt;&lt;/record&gt;&lt;/Cite&gt;&lt;/EndNote&gt;</w:instrText>
      </w:r>
      <w:r>
        <w:fldChar w:fldCharType="separate"/>
      </w:r>
      <w:r>
        <w:rPr>
          <w:noProof/>
        </w:rPr>
        <w:t>(Gordon, 1991)</w:t>
      </w:r>
      <w:r>
        <w:fldChar w:fldCharType="end"/>
      </w:r>
      <w:r>
        <w:t>.</w:t>
      </w:r>
    </w:p>
    <w:p w14:paraId="17F29015" w14:textId="216F709C" w:rsidR="00FB5C44" w:rsidRDefault="00FB5C44" w:rsidP="007A3B76">
      <w:r>
        <w:lastRenderedPageBreak/>
        <w:t xml:space="preserve">Content validity was addressed through curriculum mapping, consultation with experts and themes from </w:t>
      </w:r>
      <w:r w:rsidR="00173DE4">
        <w:t>focus group</w:t>
      </w:r>
      <w:r>
        <w:t>s of 5</w:t>
      </w:r>
      <w:r w:rsidRPr="0052347A">
        <w:rPr>
          <w:vertAlign w:val="superscript"/>
        </w:rPr>
        <w:t>th</w:t>
      </w:r>
      <w:r>
        <w:t xml:space="preserve"> year medical students.</w:t>
      </w:r>
    </w:p>
    <w:p w14:paraId="76D9E9C8" w14:textId="4B3FD262" w:rsidR="007A3B76" w:rsidRDefault="007A3B76" w:rsidP="00A50E66">
      <w:pPr>
        <w:pStyle w:val="Heading3"/>
      </w:pPr>
      <w:bookmarkStart w:id="188" w:name="_Toc419116147"/>
      <w:r>
        <w:t>Development of c</w:t>
      </w:r>
      <w:r w:rsidRPr="00040B26">
        <w:t>onfidence scor</w:t>
      </w:r>
      <w:r w:rsidR="00CE233E">
        <w:t>e</w:t>
      </w:r>
      <w:r w:rsidRPr="00040B26">
        <w:t xml:space="preserve"> tool</w:t>
      </w:r>
      <w:bookmarkEnd w:id="188"/>
    </w:p>
    <w:p w14:paraId="093CE689" w14:textId="77777777" w:rsidR="00167830" w:rsidRDefault="00167830" w:rsidP="007A3B76">
      <w:pPr>
        <w:rPr>
          <w:rFonts w:cs="Arial"/>
          <w:szCs w:val="24"/>
        </w:rPr>
      </w:pPr>
    </w:p>
    <w:p w14:paraId="20EA8A61" w14:textId="64D376D5" w:rsidR="007A3B76" w:rsidRDefault="007A3B76" w:rsidP="007A3B76">
      <w:pPr>
        <w:rPr>
          <w:rFonts w:cs="Arial"/>
          <w:szCs w:val="24"/>
        </w:rPr>
      </w:pPr>
      <w:r>
        <w:rPr>
          <w:rFonts w:cs="Arial"/>
          <w:szCs w:val="24"/>
        </w:rPr>
        <w:t xml:space="preserve">One of the challenges is the measurement of preparedness for being </w:t>
      </w:r>
      <w:r w:rsidR="00BC4377">
        <w:rPr>
          <w:rFonts w:cs="Arial"/>
          <w:szCs w:val="24"/>
        </w:rPr>
        <w:t>a FY1</w:t>
      </w:r>
      <w:r w:rsidR="00FB5C44">
        <w:rPr>
          <w:rFonts w:cs="Arial"/>
          <w:szCs w:val="24"/>
        </w:rPr>
        <w:t xml:space="preserve">, </w:t>
      </w:r>
      <w:r>
        <w:rPr>
          <w:rFonts w:cs="Arial"/>
          <w:szCs w:val="24"/>
        </w:rPr>
        <w:t>why this is important</w:t>
      </w:r>
      <w:r w:rsidR="00CD658D">
        <w:rPr>
          <w:rFonts w:cs="Arial"/>
          <w:szCs w:val="24"/>
        </w:rPr>
        <w:t>,</w:t>
      </w:r>
      <w:r>
        <w:rPr>
          <w:rFonts w:cs="Arial"/>
          <w:szCs w:val="24"/>
        </w:rPr>
        <w:t xml:space="preserve"> and how it equates to performance in the </w:t>
      </w:r>
      <w:r w:rsidR="00CD658D">
        <w:rPr>
          <w:rFonts w:cs="Arial"/>
          <w:szCs w:val="24"/>
        </w:rPr>
        <w:t>workplace</w:t>
      </w:r>
      <w:r>
        <w:rPr>
          <w:rFonts w:cs="Arial"/>
          <w:szCs w:val="24"/>
        </w:rPr>
        <w:t xml:space="preserve">. </w:t>
      </w:r>
      <w:r w:rsidR="00CD658D">
        <w:rPr>
          <w:rFonts w:cs="Arial"/>
          <w:szCs w:val="24"/>
        </w:rPr>
        <w:t>Self-assessment</w:t>
      </w:r>
      <w:r>
        <w:rPr>
          <w:rFonts w:cs="Arial"/>
          <w:szCs w:val="24"/>
        </w:rPr>
        <w:t xml:space="preserve">, direction for learning and reflection are all advocated by </w:t>
      </w:r>
      <w:r w:rsidR="00CD658D">
        <w:rPr>
          <w:rFonts w:cs="Arial"/>
          <w:szCs w:val="24"/>
        </w:rPr>
        <w:t xml:space="preserve">TD </w:t>
      </w:r>
      <w:r>
        <w:rPr>
          <w:rFonts w:cs="Arial"/>
          <w:szCs w:val="24"/>
        </w:rPr>
        <w:fldChar w:fldCharType="begin"/>
      </w:r>
      <w:r w:rsidR="00BB31A6">
        <w:rPr>
          <w:rFonts w:cs="Arial"/>
          <w:szCs w:val="24"/>
        </w:rPr>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Pr>
          <w:rFonts w:cs="Arial"/>
          <w:szCs w:val="24"/>
        </w:rPr>
        <w:fldChar w:fldCharType="separate"/>
      </w:r>
      <w:r w:rsidR="00BB31A6">
        <w:rPr>
          <w:rFonts w:cs="Arial"/>
          <w:noProof/>
          <w:szCs w:val="24"/>
        </w:rPr>
        <w:t>(GMC, 2009)</w:t>
      </w:r>
      <w:r>
        <w:rPr>
          <w:rFonts w:cs="Arial"/>
          <w:szCs w:val="24"/>
        </w:rPr>
        <w:fldChar w:fldCharType="end"/>
      </w:r>
      <w:r>
        <w:rPr>
          <w:rFonts w:cs="Arial"/>
          <w:szCs w:val="24"/>
        </w:rPr>
        <w:t xml:space="preserve">. </w:t>
      </w:r>
      <w:r w:rsidR="00CD658D">
        <w:rPr>
          <w:rFonts w:cs="Arial"/>
          <w:szCs w:val="24"/>
        </w:rPr>
        <w:t>Self-assessment</w:t>
      </w:r>
      <w:r>
        <w:rPr>
          <w:rFonts w:cs="Arial"/>
          <w:szCs w:val="24"/>
        </w:rPr>
        <w:t xml:space="preserve"> involves a subjective </w:t>
      </w:r>
      <w:r w:rsidR="001D42C9">
        <w:rPr>
          <w:rFonts w:cs="Arial"/>
          <w:szCs w:val="24"/>
        </w:rPr>
        <w:t>judgment</w:t>
      </w:r>
      <w:r>
        <w:rPr>
          <w:rFonts w:cs="Arial"/>
          <w:szCs w:val="24"/>
        </w:rPr>
        <w:t xml:space="preserve"> of a person</w:t>
      </w:r>
      <w:r w:rsidR="00CD658D">
        <w:rPr>
          <w:rFonts w:cs="Arial"/>
          <w:szCs w:val="24"/>
        </w:rPr>
        <w:t>’</w:t>
      </w:r>
      <w:r>
        <w:rPr>
          <w:rFonts w:cs="Arial"/>
          <w:szCs w:val="24"/>
        </w:rPr>
        <w:t xml:space="preserve">s perceived level of current confidence of knowledge </w:t>
      </w:r>
      <w:r>
        <w:rPr>
          <w:rFonts w:cs="Arial"/>
          <w:szCs w:val="24"/>
        </w:rPr>
        <w:fldChar w:fldCharType="begin"/>
      </w:r>
      <w:r>
        <w:rPr>
          <w:rFonts w:cs="Arial"/>
          <w:szCs w:val="24"/>
        </w:rPr>
        <w:instrText xml:space="preserve"> ADDIN EN.CITE &lt;EndNote&gt;&lt;Cite&gt;&lt;Author&gt;Bandura&lt;/Author&gt;&lt;Year&gt;1981&lt;/Year&gt;&lt;IDText&gt;CULTIVATING COMPETENCE, SELF-EFFICACY, AND INTRINSIC INTEREST THROUGH PROXIMAL SELF-MOTIVATION&lt;/IDText&gt;&lt;DisplayText&gt;(Bandura and Schunk, 1981)&lt;/DisplayText&gt;&lt;record&gt;&lt;dates&gt;&lt;pub-dates&gt;&lt;date&gt;1981&lt;/date&gt;&lt;/pub-dates&gt;&lt;year&gt;1981&lt;/year&gt;&lt;/dates&gt;&lt;urls&gt;&lt;related-urls&gt;&lt;url&gt;&amp;lt;Go to ISI&amp;gt;://WOS:A1981MG82800014&lt;/url&gt;&lt;/related-urls&gt;&lt;/urls&gt;&lt;isbn&gt;0022-3514&lt;/isbn&gt;&lt;titles&gt;&lt;title&gt;CULTIVATING COMPETENCE, SELF-EFFICACY, AND INTRINSIC INTEREST THROUGH PROXIMAL SELF-MOTIVATION&lt;/title&gt;&lt;secondary-title&gt;Journal of Personality and Social Psychology&lt;/secondary-title&gt;&lt;/titles&gt;&lt;pages&gt;586-598&lt;/pages&gt;&lt;number&gt;3&lt;/number&gt;&lt;contributors&gt;&lt;authors&gt;&lt;author&gt;Bandura, A.&lt;/author&gt;&lt;author&gt;Schunk, D. H.&lt;/author&gt;&lt;/authors&gt;&lt;/contributors&gt;&lt;added-date format="utc"&gt;1399933657&lt;/added-date&gt;&lt;ref-type name="Journal Article"&gt;17&lt;/ref-type&gt;&lt;rec-number&gt;110&lt;/rec-number&gt;&lt;last-updated-date format="utc"&gt;1399937123&lt;/last-updated-date&gt;&lt;accession-num&gt;WOS:A1981MG82800014&lt;/accession-num&gt;&lt;electronic-resource-num&gt;10.1037//0022-3514.41.3.586&lt;/electronic-resource-num&gt;&lt;volume&gt;41&lt;/volume&gt;&lt;/record&gt;&lt;/Cite&gt;&lt;/EndNote&gt;</w:instrText>
      </w:r>
      <w:r>
        <w:rPr>
          <w:rFonts w:cs="Arial"/>
          <w:szCs w:val="24"/>
        </w:rPr>
        <w:fldChar w:fldCharType="separate"/>
      </w:r>
      <w:r>
        <w:rPr>
          <w:rFonts w:cs="Arial"/>
          <w:noProof/>
          <w:szCs w:val="24"/>
        </w:rPr>
        <w:t>(Bandura and Schunk, 1981)</w:t>
      </w:r>
      <w:r>
        <w:rPr>
          <w:rFonts w:cs="Arial"/>
          <w:szCs w:val="24"/>
        </w:rPr>
        <w:fldChar w:fldCharType="end"/>
      </w:r>
      <w:r>
        <w:rPr>
          <w:rFonts w:cs="Arial"/>
          <w:szCs w:val="24"/>
        </w:rPr>
        <w:t>. It has been shown to be key in identifying areas that require development</w:t>
      </w:r>
      <w:r w:rsidR="00CD658D">
        <w:rPr>
          <w:rFonts w:cs="Arial"/>
          <w:szCs w:val="24"/>
        </w:rPr>
        <w:t>,</w:t>
      </w:r>
      <w:r w:rsidR="00CF24A2">
        <w:rPr>
          <w:rFonts w:cs="Arial"/>
          <w:szCs w:val="24"/>
        </w:rPr>
        <w:t xml:space="preserve"> for example</w:t>
      </w:r>
      <w:r>
        <w:rPr>
          <w:rFonts w:cs="Arial"/>
          <w:szCs w:val="24"/>
        </w:rPr>
        <w:t xml:space="preserve"> in performance of technical skills </w:t>
      </w:r>
      <w:r>
        <w:rPr>
          <w:rFonts w:cs="Arial"/>
          <w:szCs w:val="24"/>
        </w:rPr>
        <w:fldChar w:fldCharType="begin"/>
      </w:r>
      <w:r>
        <w:rPr>
          <w:rFonts w:cs="Arial"/>
          <w:szCs w:val="24"/>
        </w:rPr>
        <w:instrText xml:space="preserve"> ADDIN EN.CITE &lt;EndNote&gt;&lt;Cite&gt;&lt;Author&gt;McLeod&lt;/Author&gt;&lt;Year&gt;2001&lt;/Year&gt;&lt;IDText&gt;Seven principles for teaching procedural and technical skills&lt;/IDText&gt;&lt;DisplayText&gt;(McLeod et al., 2001)&lt;/DisplayText&gt;&lt;record&gt;&lt;dates&gt;&lt;pub-dates&gt;&lt;date&gt;Oct&lt;/date&gt;&lt;/pub-dates&gt;&lt;year&gt;2001&lt;/year&gt;&lt;/dates&gt;&lt;urls&gt;&lt;related-urls&gt;&lt;url&gt;&amp;lt;Go to ISI&amp;gt;://WOS:000171489600019&lt;/url&gt;&lt;/related-urls&gt;&lt;/urls&gt;&lt;isbn&gt;1040-2446&lt;/isbn&gt;&lt;titles&gt;&lt;title&gt;Seven principles for teaching procedural and technical skills&lt;/title&gt;&lt;secondary-title&gt;Academic Medicine&lt;/secondary-title&gt;&lt;/titles&gt;&lt;pages&gt;1080-1080&lt;/pages&gt;&lt;number&gt;10&lt;/number&gt;&lt;contributors&gt;&lt;authors&gt;&lt;author&gt;McLeod, P. J.&lt;/author&gt;&lt;author&gt;Steinert, Y.&lt;/author&gt;&lt;author&gt;Trudel, J.&lt;/author&gt;&lt;author&gt;Gottesman, R.&lt;/author&gt;&lt;/authors&gt;&lt;/contributors&gt;&lt;added-date format="utc"&gt;1399933716&lt;/added-date&gt;&lt;ref-type name="Journal Article"&gt;17&lt;/ref-type&gt;&lt;rec-number&gt;111&lt;/rec-number&gt;&lt;last-updated-date format="utc"&gt;1399937123&lt;/last-updated-date&gt;&lt;accession-num&gt;WOS:000171489600019&lt;/accession-num&gt;&lt;electronic-resource-num&gt;10.1097/00001888-200110000-00023&lt;/electronic-resource-num&gt;&lt;volume&gt;76&lt;/volume&gt;&lt;/record&gt;&lt;/Cite&gt;&lt;/EndNote&gt;</w:instrText>
      </w:r>
      <w:r>
        <w:rPr>
          <w:rFonts w:cs="Arial"/>
          <w:szCs w:val="24"/>
        </w:rPr>
        <w:fldChar w:fldCharType="separate"/>
      </w:r>
      <w:r>
        <w:rPr>
          <w:rFonts w:cs="Arial"/>
          <w:noProof/>
          <w:szCs w:val="24"/>
        </w:rPr>
        <w:t>(McLeod et al., 2001)</w:t>
      </w:r>
      <w:r>
        <w:rPr>
          <w:rFonts w:cs="Arial"/>
          <w:szCs w:val="24"/>
        </w:rPr>
        <w:fldChar w:fldCharType="end"/>
      </w:r>
      <w:r>
        <w:rPr>
          <w:rFonts w:cs="Arial"/>
          <w:szCs w:val="24"/>
        </w:rPr>
        <w:t xml:space="preserve">. </w:t>
      </w:r>
      <w:r w:rsidR="0054083B">
        <w:rPr>
          <w:rFonts w:cs="Arial"/>
          <w:szCs w:val="24"/>
        </w:rPr>
        <w:t xml:space="preserve">As informed by the pre-pilot </w:t>
      </w:r>
      <w:r w:rsidR="00173DE4">
        <w:rPr>
          <w:rFonts w:cs="Arial"/>
          <w:szCs w:val="24"/>
        </w:rPr>
        <w:t>focus group</w:t>
      </w:r>
      <w:r w:rsidR="00964F95">
        <w:rPr>
          <w:rFonts w:cs="Arial"/>
          <w:szCs w:val="24"/>
        </w:rPr>
        <w:t xml:space="preserve"> outcomes</w:t>
      </w:r>
      <w:r w:rsidR="0054083B">
        <w:rPr>
          <w:rFonts w:cs="Arial"/>
          <w:szCs w:val="24"/>
        </w:rPr>
        <w:t xml:space="preserve">, </w:t>
      </w:r>
      <w:r w:rsidR="00CD658D">
        <w:rPr>
          <w:rFonts w:cs="Arial"/>
          <w:szCs w:val="24"/>
        </w:rPr>
        <w:t>self-rated</w:t>
      </w:r>
      <w:r>
        <w:rPr>
          <w:rFonts w:cs="Arial"/>
          <w:szCs w:val="24"/>
        </w:rPr>
        <w:t xml:space="preserve"> confidence scores</w:t>
      </w:r>
      <w:r w:rsidR="0054083B">
        <w:rPr>
          <w:rFonts w:cs="Arial"/>
          <w:szCs w:val="24"/>
        </w:rPr>
        <w:t xml:space="preserve"> were used</w:t>
      </w:r>
      <w:r>
        <w:rPr>
          <w:rFonts w:cs="Arial"/>
          <w:szCs w:val="24"/>
        </w:rPr>
        <w:t xml:space="preserve"> as a surrogate marker for preparedness as a measure of readiness to engage with FY1</w:t>
      </w:r>
      <w:r w:rsidR="00964F95">
        <w:rPr>
          <w:rFonts w:cs="Arial"/>
          <w:szCs w:val="24"/>
        </w:rPr>
        <w:t xml:space="preserve">. Other confidence scoring tools have been validated and proved reliable, so this assessment has been modelled on these validated tools with the input of educational undergraduate leads to confirm construct validity </w:t>
      </w:r>
      <w:r w:rsidR="00964F95">
        <w:rPr>
          <w:rFonts w:cs="Arial"/>
          <w:szCs w:val="24"/>
        </w:rPr>
        <w:fldChar w:fldCharType="begin"/>
      </w:r>
      <w:r w:rsidR="00964F95">
        <w:rPr>
          <w:rFonts w:cs="Arial"/>
          <w:szCs w:val="24"/>
        </w:rPr>
        <w:instrText xml:space="preserve"> ADDIN EN.CITE &lt;EndNote&gt;&lt;Cite&gt;&lt;Author&gt;Vivekananda-Schmidt&lt;/Author&gt;&lt;Year&gt;2007&lt;/Year&gt;&lt;IDText&gt;Validation of MSAT: an instrument to measure medical students&amp;apos; self-assessed confidence in musculoskeletal examination skills&lt;/IDText&gt;&lt;DisplayText&gt;(Vivekananda-Schmidt et al., 2007)&lt;/DisplayText&gt;&lt;record&gt;&lt;dates&gt;&lt;pub-dates&gt;&lt;date&gt;Apr&lt;/date&gt;&lt;/pub-dates&gt;&lt;year&gt;2007&lt;/year&gt;&lt;/dates&gt;&lt;isbn&gt;0308-0110&lt;/isbn&gt;&lt;titles&gt;&lt;title&gt;Validation of MSAT: an instrument to measure medical students&amp;apos; self-assessed confidence in musculoskeletal examination skills&lt;/title&gt;&lt;secondary-title&gt;Medical Education&lt;/secondary-title&gt;&lt;/titles&gt;&lt;pages&gt;402-410&lt;/pages&gt;&lt;number&gt;4&lt;/number&gt;&lt;contributors&gt;&lt;authors&gt;&lt;author&gt;Vivekananda-Schmidt, Pirashanthie&lt;/author&gt;&lt;author&gt;Lewis, Martyn&lt;/author&gt;&lt;author&gt;Hassell, Andrew B.&lt;/author&gt;&lt;author&gt;Coady, David&lt;/author&gt;&lt;author&gt;Walker, David&lt;/author&gt;&lt;author&gt;Kay, Lesley&lt;/author&gt;&lt;author&gt;McLean, Monica J.&lt;/author&gt;&lt;author&gt;Haq, Inam&lt;/author&gt;&lt;author&gt;Rahman, Anisur&lt;/author&gt;&lt;/authors&gt;&lt;/contributors&gt;&lt;added-date format="utc"&gt;1400326561&lt;/added-date&gt;&lt;ref-type name="Journal Article"&gt;17&lt;/ref-type&gt;&lt;rec-number&gt;148&lt;/rec-number&gt;&lt;last-updated-date format="utc"&gt;1401118446&lt;/last-updated-date&gt;&lt;accession-num&gt;WOS:000246013400011&lt;/accession-num&gt;&lt;electronic-resource-num&gt;10.1111/j.1365-2929.2007.02712.x&lt;/electronic-resource-num&gt;&lt;volume&gt;41&lt;/volume&gt;&lt;/record&gt;&lt;/Cite&gt;&lt;/EndNote&gt;</w:instrText>
      </w:r>
      <w:r w:rsidR="00964F95">
        <w:rPr>
          <w:rFonts w:cs="Arial"/>
          <w:szCs w:val="24"/>
        </w:rPr>
        <w:fldChar w:fldCharType="separate"/>
      </w:r>
      <w:r w:rsidR="00964F95">
        <w:rPr>
          <w:rFonts w:cs="Arial"/>
          <w:noProof/>
          <w:szCs w:val="24"/>
        </w:rPr>
        <w:t>(Vivekananda-Schmidt et al., 2007)</w:t>
      </w:r>
      <w:r w:rsidR="00964F95">
        <w:rPr>
          <w:rFonts w:cs="Arial"/>
          <w:szCs w:val="24"/>
        </w:rPr>
        <w:fldChar w:fldCharType="end"/>
      </w:r>
      <w:r w:rsidR="00964F95">
        <w:rPr>
          <w:rFonts w:cs="Arial"/>
          <w:szCs w:val="24"/>
        </w:rPr>
        <w:t>.</w:t>
      </w:r>
      <w:r w:rsidR="0070140D">
        <w:rPr>
          <w:rFonts w:cs="Arial"/>
          <w:szCs w:val="24"/>
        </w:rPr>
        <w:t xml:space="preserve"> </w:t>
      </w:r>
      <w:r w:rsidR="00964F95">
        <w:rPr>
          <w:rFonts w:cs="Arial"/>
          <w:szCs w:val="24"/>
        </w:rPr>
        <w:t>There have been studies that show little or no correlation between self-confidence and competence in a particular skill in medical trainees</w:t>
      </w:r>
      <w:r>
        <w:rPr>
          <w:rFonts w:cs="Arial"/>
          <w:szCs w:val="24"/>
        </w:rPr>
        <w:t xml:space="preserve"> </w:t>
      </w:r>
      <w:r>
        <w:rPr>
          <w:rFonts w:cs="Arial"/>
          <w:szCs w:val="24"/>
        </w:rPr>
        <w:fldChar w:fldCharType="begin">
          <w:fldData xml:space="preserve">PEVuZE5vdGU+PENpdGU+PEF1dGhvcj5CYXJuc2xleTwvQXV0aG9yPjxZZWFyPjIwMDQ8L1llYXI+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</w:fldData>
        </w:fldChar>
      </w:r>
      <w:r>
        <w:rPr>
          <w:rFonts w:cs="Arial"/>
          <w:szCs w:val="24"/>
        </w:rPr>
        <w:instrText xml:space="preserve"> ADDIN EN.CITE </w:instrText>
      </w:r>
      <w:r>
        <w:rPr>
          <w:rFonts w:cs="Arial"/>
          <w:szCs w:val="24"/>
        </w:rPr>
        <w:fldChar w:fldCharType="begin">
          <w:fldData xml:space="preserve">PEVuZE5vdGU+PENpdGU+PEF1dGhvcj5CYXJuc2xleTwvQXV0aG9yPjxZZWFyPjIwMDQ8L1llYXI+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</w:fldData>
        </w:fldChar>
      </w:r>
      <w:r>
        <w:rPr>
          <w:rFonts w:cs="Arial"/>
          <w:szCs w:val="24"/>
        </w:rPr>
        <w:instrText xml:space="preserve"> ADDIN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(Barnsley et al., 2004, Liddell and Davidson, 2004)</w:t>
      </w:r>
      <w:r>
        <w:rPr>
          <w:rFonts w:cs="Arial"/>
          <w:szCs w:val="24"/>
        </w:rPr>
        <w:fldChar w:fldCharType="end"/>
      </w:r>
      <w:r>
        <w:rPr>
          <w:rFonts w:cs="Arial"/>
          <w:szCs w:val="24"/>
        </w:rPr>
        <w:t xml:space="preserve">. Despite the lack of data to demonstrate a link between confidence and competence, confidence scores have been suggested to mirror competence in female students more than male </w:t>
      </w:r>
      <w:r>
        <w:rPr>
          <w:rFonts w:cs="Arial"/>
          <w:szCs w:val="24"/>
        </w:rPr>
        <w:fldChar w:fldCharType="begin"/>
      </w:r>
      <w:r w:rsidR="00D41659">
        <w:rPr>
          <w:rFonts w:cs="Arial"/>
          <w:szCs w:val="24"/>
        </w:rPr>
        <w:instrText xml:space="preserve"> ADDIN EN.CITE &lt;EndNote&gt;&lt;Cite&gt;&lt;Author&gt;Vivekananda-Schmidt&lt;/Author&gt;&lt;Year&gt;2007&lt;/Year&gt;&lt;IDText&gt;Validation of MSAT: an instrument to measure medical students&amp;apos; self-assessed confidence in musculoskeletal examination skills&lt;/IDText&gt;&lt;DisplayText&gt;(Vivekananda-Schmidt et al., 2007)&lt;/DisplayText&gt;&lt;record&gt;&lt;dates&gt;&lt;pub-dates&gt;&lt;date&gt;Apr&lt;/date&gt;&lt;/pub-dates&gt;&lt;year&gt;2007&lt;/year&gt;&lt;/dates&gt;&lt;isbn&gt;0308-0110&lt;/isbn&gt;&lt;titles&gt;&lt;title&gt;Validation of MSAT: an instrument to measure medical students&amp;apos; self-assessed confidence in musculoskeletal examination skills&lt;/title&gt;&lt;secondary-title&gt;Medical Education&lt;/secondary-title&gt;&lt;/titles&gt;&lt;pages&gt;402-410&lt;/pages&gt;&lt;number&gt;4&lt;/number&gt;&lt;contributors&gt;&lt;authors&gt;&lt;author&gt;Vivekananda-Schmidt, Pirashanthie&lt;/author&gt;&lt;author&gt;Lewis, Martyn&lt;/author&gt;&lt;author&gt;Hassell, Andrew B.&lt;/author&gt;&lt;author&gt;Coady, David&lt;/author&gt;&lt;author&gt;Walker, David&lt;/author&gt;&lt;author&gt;Kay, Lesley&lt;/author&gt;&lt;author&gt;McLean, Monica J.&lt;/author&gt;&lt;author&gt;Haq, Inam&lt;/author&gt;&lt;author&gt;Rahman, Anisur&lt;/author&gt;&lt;/authors&gt;&lt;/contributors&gt;&lt;added-date format="utc"&gt;1400326561&lt;/added-date&gt;&lt;ref-type name="Journal Article"&gt;17&lt;/ref-type&gt;&lt;rec-number&gt;148&lt;/rec-number&gt;&lt;last-updated-date format="utc"&gt;1401118446&lt;/last-updated-date&gt;&lt;accession-num&gt;WOS:000246013400011&lt;/accession-num&gt;&lt;electronic-resource-num&gt;10.1111/j.1365-2929.2007.02712.x&lt;/electronic-resource-num&gt;&lt;volume&gt;41&lt;/volume&gt;&lt;/record&gt;&lt;/Cite&gt;&lt;/EndNote&gt;</w:instrText>
      </w:r>
      <w:r>
        <w:rPr>
          <w:rFonts w:cs="Arial"/>
          <w:szCs w:val="24"/>
        </w:rPr>
        <w:fldChar w:fldCharType="separate"/>
      </w:r>
      <w:r>
        <w:rPr>
          <w:rFonts w:cs="Arial"/>
          <w:noProof/>
          <w:szCs w:val="24"/>
        </w:rPr>
        <w:t>(Vivekananda-Schmidt et al., 2007)</w:t>
      </w:r>
      <w:r>
        <w:rPr>
          <w:rFonts w:cs="Arial"/>
          <w:szCs w:val="24"/>
        </w:rPr>
        <w:fldChar w:fldCharType="end"/>
      </w:r>
      <w:r>
        <w:rPr>
          <w:rFonts w:cs="Arial"/>
          <w:szCs w:val="24"/>
        </w:rPr>
        <w:t>.</w:t>
      </w:r>
      <w:r w:rsidR="00964F95">
        <w:rPr>
          <w:rFonts w:cs="Arial"/>
          <w:szCs w:val="24"/>
        </w:rPr>
        <w:t xml:space="preserve"> Competence was discussed related to preparedness amongst students (</w:t>
      </w:r>
      <w:r w:rsidR="001D42C9">
        <w:rPr>
          <w:rFonts w:cs="Arial"/>
          <w:szCs w:val="24"/>
        </w:rPr>
        <w:t>Chapter</w:t>
      </w:r>
      <w:r w:rsidR="00964F95">
        <w:rPr>
          <w:rFonts w:cs="Arial"/>
          <w:szCs w:val="24"/>
        </w:rPr>
        <w:t xml:space="preserve"> 4) but </w:t>
      </w:r>
      <w:r w:rsidR="00964F95">
        <w:rPr>
          <w:rFonts w:cs="Arial"/>
          <w:szCs w:val="24"/>
        </w:rPr>
        <w:lastRenderedPageBreak/>
        <w:t xml:space="preserve">preparedness was overwhelmingly interpreted as confidence, which was why it was chosen. </w:t>
      </w:r>
    </w:p>
    <w:p w14:paraId="60CB744B" w14:textId="31019119" w:rsidR="007A3B76" w:rsidRDefault="007A3B76" w:rsidP="007A3B76">
      <w:pPr>
        <w:rPr>
          <w:rFonts w:cs="Arial"/>
          <w:szCs w:val="24"/>
        </w:rPr>
      </w:pPr>
      <w:r>
        <w:rPr>
          <w:rFonts w:cs="Arial"/>
          <w:szCs w:val="24"/>
        </w:rPr>
        <w:t>In terms of face and construct validity, the confidence log was developed from consensus with undergraduate education leads with an interest in</w:t>
      </w:r>
      <w:r w:rsidR="0070140D">
        <w:rPr>
          <w:rFonts w:cs="Arial"/>
          <w:szCs w:val="24"/>
        </w:rPr>
        <w:t xml:space="preserve"> simulation-based</w:t>
      </w:r>
      <w:r>
        <w:rPr>
          <w:rFonts w:cs="Arial"/>
          <w:szCs w:val="24"/>
        </w:rPr>
        <w:t xml:space="preserve"> education</w:t>
      </w:r>
      <w:r w:rsidR="00F350A3">
        <w:rPr>
          <w:rFonts w:cs="Arial"/>
          <w:szCs w:val="24"/>
        </w:rPr>
        <w:t xml:space="preserve"> (Appendix 13</w:t>
      </w:r>
      <w:r w:rsidR="00AE0798">
        <w:rPr>
          <w:rFonts w:cs="Arial"/>
          <w:szCs w:val="24"/>
        </w:rPr>
        <w:t>.13)</w:t>
      </w:r>
      <w:r>
        <w:rPr>
          <w:rFonts w:cs="Arial"/>
          <w:szCs w:val="24"/>
        </w:rPr>
        <w:t xml:space="preserve">. To test utility of the confidence tool, </w:t>
      </w:r>
      <w:r w:rsidR="0070140D">
        <w:rPr>
          <w:rFonts w:cs="Arial"/>
          <w:szCs w:val="24"/>
        </w:rPr>
        <w:t>10</w:t>
      </w:r>
      <w:r>
        <w:rPr>
          <w:rFonts w:cs="Arial"/>
          <w:szCs w:val="24"/>
        </w:rPr>
        <w:t xml:space="preserve"> </w:t>
      </w:r>
      <w:r w:rsidR="001D42C9">
        <w:rPr>
          <w:rFonts w:cs="Arial"/>
          <w:szCs w:val="24"/>
        </w:rPr>
        <w:t>5th-year</w:t>
      </w:r>
      <w:r>
        <w:rPr>
          <w:rFonts w:cs="Arial"/>
          <w:szCs w:val="24"/>
        </w:rPr>
        <w:t xml:space="preserve"> medical students were asked to complete it to check their understanding. </w:t>
      </w:r>
      <w:r w:rsidR="00CF24A2">
        <w:rPr>
          <w:rFonts w:cs="Arial"/>
          <w:szCs w:val="24"/>
        </w:rPr>
        <w:t xml:space="preserve">This was done by getting them to complete their </w:t>
      </w:r>
      <w:r w:rsidR="00511ED1">
        <w:rPr>
          <w:rFonts w:cs="Arial"/>
          <w:szCs w:val="24"/>
        </w:rPr>
        <w:t>self-ratings</w:t>
      </w:r>
      <w:r w:rsidR="00CF24A2">
        <w:rPr>
          <w:rFonts w:cs="Arial"/>
          <w:szCs w:val="24"/>
        </w:rPr>
        <w:t xml:space="preserve"> and then </w:t>
      </w:r>
      <w:r w:rsidR="002938BF">
        <w:rPr>
          <w:rFonts w:cs="Arial"/>
          <w:szCs w:val="24"/>
        </w:rPr>
        <w:t>explain to</w:t>
      </w:r>
      <w:r w:rsidR="00CF24A2">
        <w:rPr>
          <w:rFonts w:cs="Arial"/>
          <w:szCs w:val="24"/>
        </w:rPr>
        <w:t xml:space="preserve"> the researcher their interpretations and any issues or challenges they had had with completion. </w:t>
      </w:r>
      <w:r>
        <w:rPr>
          <w:rFonts w:cs="Arial"/>
          <w:szCs w:val="24"/>
        </w:rPr>
        <w:t>They were all happy that they understood the questions and were able to easily mark their perceived confidence on the log. They then repeated the assessment tool two further times on different days at different time</w:t>
      </w:r>
      <w:r w:rsidR="00272DD8">
        <w:rPr>
          <w:rFonts w:cs="Arial"/>
          <w:szCs w:val="24"/>
        </w:rPr>
        <w:t>s</w:t>
      </w:r>
      <w:r>
        <w:rPr>
          <w:rFonts w:cs="Arial"/>
          <w:szCs w:val="24"/>
        </w:rPr>
        <w:t xml:space="preserve"> and achieved the same results. Though they may have recalled their scores, this would be difficult with 20 parameters. </w:t>
      </w:r>
    </w:p>
    <w:p w14:paraId="6440E4C8" w14:textId="50FEA4E7" w:rsidR="007B78B2" w:rsidRDefault="007A3B76" w:rsidP="007A3B76">
      <w:pPr>
        <w:rPr>
          <w:rFonts w:cs="Arial"/>
          <w:szCs w:val="24"/>
        </w:rPr>
      </w:pPr>
      <w:r>
        <w:rPr>
          <w:rFonts w:cs="Arial"/>
          <w:szCs w:val="24"/>
        </w:rPr>
        <w:t xml:space="preserve">To test content validity in the </w:t>
      </w:r>
      <w:r w:rsidR="002938BF">
        <w:rPr>
          <w:rFonts w:cs="Arial"/>
          <w:szCs w:val="24"/>
        </w:rPr>
        <w:t>confidence-scoring</w:t>
      </w:r>
      <w:r>
        <w:rPr>
          <w:rFonts w:cs="Arial"/>
          <w:szCs w:val="24"/>
        </w:rPr>
        <w:t xml:space="preserve"> tool</w:t>
      </w:r>
      <w:r w:rsidR="0070140D">
        <w:rPr>
          <w:rFonts w:cs="Arial"/>
          <w:szCs w:val="24"/>
        </w:rPr>
        <w:t>,</w:t>
      </w:r>
      <w:r>
        <w:rPr>
          <w:rFonts w:cs="Arial"/>
          <w:szCs w:val="24"/>
        </w:rPr>
        <w:t xml:space="preserve"> five different grades of trainees or doctors (n=3 in each group) were asked to complete the confidence score. An average of the scores were take</w:t>
      </w:r>
      <w:r w:rsidR="00CF24A2">
        <w:rPr>
          <w:rFonts w:cs="Arial"/>
          <w:szCs w:val="24"/>
        </w:rPr>
        <w:t>n</w:t>
      </w:r>
      <w:r>
        <w:rPr>
          <w:rFonts w:cs="Arial"/>
          <w:szCs w:val="24"/>
        </w:rPr>
        <w:t xml:space="preserve"> and are displayed in the table below. As shown the scores are higher for the more senior doctor in training as expected. </w:t>
      </w:r>
    </w:p>
    <w:p w14:paraId="12D5E8A5" w14:textId="77777777" w:rsidR="007B78B2" w:rsidRDefault="007B78B2" w:rsidP="007A3B76">
      <w:pPr>
        <w:rPr>
          <w:rFonts w:cs="Arial"/>
          <w:szCs w:val="24"/>
        </w:rPr>
      </w:pPr>
    </w:p>
    <w:p w14:paraId="78393EE7" w14:textId="714668F2" w:rsidR="007A3B76" w:rsidRDefault="007A3B76" w:rsidP="007A3B76">
      <w:pPr>
        <w:rPr>
          <w:rFonts w:cs="Arial"/>
          <w:szCs w:val="24"/>
        </w:rPr>
      </w:pPr>
    </w:p>
    <w:p w14:paraId="3534F650" w14:textId="77777777" w:rsidR="00246784" w:rsidRDefault="00246784" w:rsidP="007A3B76">
      <w:pPr>
        <w:rPr>
          <w:rFonts w:cs="Arial"/>
          <w:szCs w:val="24"/>
        </w:rPr>
      </w:pPr>
    </w:p>
    <w:p w14:paraId="22842702" w14:textId="77777777" w:rsidR="00246784" w:rsidRDefault="00246784" w:rsidP="007A3B76">
      <w:pPr>
        <w:rPr>
          <w:rFonts w:cs="Arial"/>
          <w:szCs w:val="24"/>
        </w:rPr>
      </w:pPr>
    </w:p>
    <w:tbl>
      <w:tblPr>
        <w:tblW w:w="8236" w:type="dxa"/>
        <w:tblInd w:w="108" w:type="dxa"/>
        <w:tblLook w:val="04A0" w:firstRow="1" w:lastRow="0" w:firstColumn="1" w:lastColumn="0" w:noHBand="0" w:noVBand="1"/>
      </w:tblPr>
      <w:tblGrid>
        <w:gridCol w:w="2636"/>
        <w:gridCol w:w="1148"/>
        <w:gridCol w:w="771"/>
        <w:gridCol w:w="1115"/>
        <w:gridCol w:w="1261"/>
        <w:gridCol w:w="1459"/>
      </w:tblGrid>
      <w:tr w:rsidR="007A3B76" w:rsidRPr="005C1227" w14:paraId="2D638632" w14:textId="77777777" w:rsidTr="007A3B76">
        <w:trPr>
          <w:trHeight w:val="300"/>
        </w:trPr>
        <w:tc>
          <w:tcPr>
            <w:tcW w:w="2656" w:type="dxa"/>
            <w:tcBorders>
              <w:top w:val="single" w:sz="4" w:space="0" w:color="000000"/>
              <w:left w:val="nil"/>
              <w:bottom w:val="single" w:sz="4" w:space="0" w:color="000000"/>
              <w:right w:val="nil"/>
            </w:tcBorders>
            <w:shd w:val="clear" w:color="auto" w:fill="auto"/>
            <w:noWrap/>
            <w:vAlign w:val="bottom"/>
            <w:hideMark/>
          </w:tcPr>
          <w:p w14:paraId="472F2611" w14:textId="77777777" w:rsidR="007A3B76" w:rsidRPr="001910E9" w:rsidRDefault="007A3B76" w:rsidP="007A3B76">
            <w:pPr>
              <w:spacing w:after="0" w:line="240" w:lineRule="auto"/>
              <w:rPr>
                <w:rFonts w:eastAsia="Times New Roman"/>
                <w:b/>
                <w:bCs/>
                <w:color w:val="000000"/>
                <w:lang w:eastAsia="en-GB"/>
              </w:rPr>
            </w:pPr>
            <w:r w:rsidRPr="001910E9">
              <w:rPr>
                <w:rFonts w:eastAsia="Times New Roman"/>
                <w:b/>
                <w:bCs/>
                <w:color w:val="000000"/>
                <w:lang w:eastAsia="en-GB"/>
              </w:rPr>
              <w:lastRenderedPageBreak/>
              <w:t>Parameters GMC</w:t>
            </w:r>
          </w:p>
        </w:tc>
        <w:tc>
          <w:tcPr>
            <w:tcW w:w="1156" w:type="dxa"/>
            <w:tcBorders>
              <w:top w:val="single" w:sz="4" w:space="0" w:color="000000"/>
              <w:left w:val="nil"/>
              <w:bottom w:val="single" w:sz="4" w:space="0" w:color="000000"/>
              <w:right w:val="nil"/>
            </w:tcBorders>
            <w:shd w:val="clear" w:color="auto" w:fill="auto"/>
            <w:noWrap/>
            <w:vAlign w:val="bottom"/>
            <w:hideMark/>
          </w:tcPr>
          <w:p w14:paraId="76D447A5" w14:textId="77777777" w:rsidR="007A3B76" w:rsidRPr="001910E9" w:rsidRDefault="007A3B76" w:rsidP="007A3B76">
            <w:pPr>
              <w:spacing w:after="0" w:line="240" w:lineRule="auto"/>
              <w:rPr>
                <w:rFonts w:eastAsia="Times New Roman"/>
                <w:b/>
                <w:bCs/>
                <w:color w:val="000000"/>
                <w:lang w:eastAsia="en-GB"/>
              </w:rPr>
            </w:pPr>
            <w:r w:rsidRPr="001910E9">
              <w:rPr>
                <w:rFonts w:eastAsia="Times New Roman"/>
                <w:b/>
                <w:bCs/>
                <w:color w:val="000000"/>
                <w:lang w:eastAsia="en-GB"/>
              </w:rPr>
              <w:t xml:space="preserve">5th year </w:t>
            </w:r>
          </w:p>
        </w:tc>
        <w:tc>
          <w:tcPr>
            <w:tcW w:w="776" w:type="dxa"/>
            <w:tcBorders>
              <w:top w:val="single" w:sz="4" w:space="0" w:color="000000"/>
              <w:left w:val="nil"/>
              <w:bottom w:val="single" w:sz="4" w:space="0" w:color="000000"/>
              <w:right w:val="nil"/>
            </w:tcBorders>
            <w:shd w:val="clear" w:color="auto" w:fill="auto"/>
            <w:noWrap/>
            <w:vAlign w:val="bottom"/>
            <w:hideMark/>
          </w:tcPr>
          <w:p w14:paraId="48CD6D3E" w14:textId="77777777" w:rsidR="007A3B76" w:rsidRPr="001910E9" w:rsidRDefault="007A3B76" w:rsidP="007A3B76">
            <w:pPr>
              <w:spacing w:after="0" w:line="240" w:lineRule="auto"/>
              <w:rPr>
                <w:rFonts w:eastAsia="Times New Roman"/>
                <w:b/>
                <w:bCs/>
                <w:color w:val="000000"/>
                <w:lang w:eastAsia="en-GB"/>
              </w:rPr>
            </w:pPr>
            <w:r w:rsidRPr="001910E9">
              <w:rPr>
                <w:rFonts w:eastAsia="Times New Roman"/>
                <w:b/>
                <w:bCs/>
                <w:color w:val="000000"/>
                <w:lang w:eastAsia="en-GB"/>
              </w:rPr>
              <w:t>FY1</w:t>
            </w:r>
          </w:p>
        </w:tc>
        <w:tc>
          <w:tcPr>
            <w:tcW w:w="1076" w:type="dxa"/>
            <w:tcBorders>
              <w:top w:val="single" w:sz="4" w:space="0" w:color="000000"/>
              <w:left w:val="nil"/>
              <w:bottom w:val="single" w:sz="4" w:space="0" w:color="000000"/>
              <w:right w:val="nil"/>
            </w:tcBorders>
            <w:shd w:val="clear" w:color="auto" w:fill="auto"/>
            <w:noWrap/>
            <w:vAlign w:val="bottom"/>
            <w:hideMark/>
          </w:tcPr>
          <w:p w14:paraId="0BE4B75F" w14:textId="77777777" w:rsidR="007A3B76" w:rsidRPr="001910E9" w:rsidRDefault="007A3B76" w:rsidP="007A3B76">
            <w:pPr>
              <w:spacing w:after="0" w:line="240" w:lineRule="auto"/>
              <w:rPr>
                <w:rFonts w:eastAsia="Times New Roman"/>
                <w:b/>
                <w:bCs/>
                <w:color w:val="000000"/>
                <w:lang w:eastAsia="en-GB"/>
              </w:rPr>
            </w:pPr>
            <w:r w:rsidRPr="001910E9">
              <w:rPr>
                <w:rFonts w:eastAsia="Times New Roman"/>
                <w:b/>
                <w:bCs/>
                <w:color w:val="000000"/>
                <w:lang w:eastAsia="en-GB"/>
              </w:rPr>
              <w:t>SHO/CT</w:t>
            </w:r>
          </w:p>
        </w:tc>
        <w:tc>
          <w:tcPr>
            <w:tcW w:w="1196" w:type="dxa"/>
            <w:tcBorders>
              <w:top w:val="single" w:sz="4" w:space="0" w:color="000000"/>
              <w:left w:val="nil"/>
              <w:bottom w:val="single" w:sz="4" w:space="0" w:color="000000"/>
              <w:right w:val="nil"/>
            </w:tcBorders>
            <w:shd w:val="clear" w:color="auto" w:fill="auto"/>
            <w:noWrap/>
            <w:vAlign w:val="bottom"/>
            <w:hideMark/>
          </w:tcPr>
          <w:p w14:paraId="605B74CD" w14:textId="77777777" w:rsidR="007A3B76" w:rsidRPr="001910E9" w:rsidRDefault="007A3B76" w:rsidP="007A3B76">
            <w:pPr>
              <w:spacing w:after="0" w:line="240" w:lineRule="auto"/>
              <w:rPr>
                <w:rFonts w:eastAsia="Times New Roman"/>
                <w:b/>
                <w:bCs/>
                <w:color w:val="000000"/>
                <w:lang w:eastAsia="en-GB"/>
              </w:rPr>
            </w:pPr>
            <w:r w:rsidRPr="001910E9">
              <w:rPr>
                <w:rFonts w:eastAsia="Times New Roman"/>
                <w:b/>
                <w:bCs/>
                <w:color w:val="000000"/>
                <w:lang w:eastAsia="en-GB"/>
              </w:rPr>
              <w:t>Registrar</w:t>
            </w:r>
          </w:p>
        </w:tc>
        <w:tc>
          <w:tcPr>
            <w:tcW w:w="1376" w:type="dxa"/>
            <w:tcBorders>
              <w:top w:val="single" w:sz="4" w:space="0" w:color="000000"/>
              <w:left w:val="nil"/>
              <w:bottom w:val="single" w:sz="4" w:space="0" w:color="000000"/>
              <w:right w:val="nil"/>
            </w:tcBorders>
            <w:shd w:val="clear" w:color="auto" w:fill="auto"/>
            <w:noWrap/>
            <w:vAlign w:val="bottom"/>
            <w:hideMark/>
          </w:tcPr>
          <w:p w14:paraId="2F9CCCA4" w14:textId="77777777" w:rsidR="007A3B76" w:rsidRPr="001910E9" w:rsidRDefault="007A3B76" w:rsidP="007A3B76">
            <w:pPr>
              <w:spacing w:after="0" w:line="240" w:lineRule="auto"/>
              <w:rPr>
                <w:rFonts w:eastAsia="Times New Roman"/>
                <w:b/>
                <w:bCs/>
                <w:color w:val="000000"/>
                <w:lang w:eastAsia="en-GB"/>
              </w:rPr>
            </w:pPr>
            <w:r w:rsidRPr="001910E9">
              <w:rPr>
                <w:rFonts w:eastAsia="Times New Roman"/>
                <w:b/>
                <w:bCs/>
                <w:color w:val="000000"/>
                <w:lang w:eastAsia="en-GB"/>
              </w:rPr>
              <w:t>Consultant</w:t>
            </w:r>
          </w:p>
        </w:tc>
      </w:tr>
      <w:tr w:rsidR="007A3B76" w:rsidRPr="005C1227" w14:paraId="07606C7E" w14:textId="77777777" w:rsidTr="007A3B76">
        <w:trPr>
          <w:trHeight w:val="300"/>
        </w:trPr>
        <w:tc>
          <w:tcPr>
            <w:tcW w:w="2656" w:type="dxa"/>
            <w:tcBorders>
              <w:top w:val="nil"/>
              <w:left w:val="nil"/>
              <w:bottom w:val="nil"/>
              <w:right w:val="nil"/>
            </w:tcBorders>
            <w:shd w:val="clear" w:color="D8D8D8" w:fill="D8D8D8"/>
            <w:noWrap/>
            <w:vAlign w:val="bottom"/>
            <w:hideMark/>
          </w:tcPr>
          <w:p w14:paraId="5E20051A"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 Using ABCDE</w:t>
            </w:r>
          </w:p>
        </w:tc>
        <w:tc>
          <w:tcPr>
            <w:tcW w:w="1156" w:type="dxa"/>
            <w:tcBorders>
              <w:top w:val="nil"/>
              <w:left w:val="nil"/>
              <w:bottom w:val="nil"/>
              <w:right w:val="nil"/>
            </w:tcBorders>
            <w:shd w:val="clear" w:color="D8D8D8" w:fill="D8D8D8"/>
            <w:noWrap/>
            <w:vAlign w:val="bottom"/>
            <w:hideMark/>
          </w:tcPr>
          <w:p w14:paraId="0D70A797"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6.66</w:t>
            </w:r>
          </w:p>
        </w:tc>
        <w:tc>
          <w:tcPr>
            <w:tcW w:w="776" w:type="dxa"/>
            <w:tcBorders>
              <w:top w:val="nil"/>
              <w:left w:val="nil"/>
              <w:bottom w:val="nil"/>
              <w:right w:val="nil"/>
            </w:tcBorders>
            <w:shd w:val="clear" w:color="D8D8D8" w:fill="D8D8D8"/>
            <w:noWrap/>
            <w:vAlign w:val="bottom"/>
            <w:hideMark/>
          </w:tcPr>
          <w:p w14:paraId="35DA09F9"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7.66</w:t>
            </w:r>
          </w:p>
        </w:tc>
        <w:tc>
          <w:tcPr>
            <w:tcW w:w="1076" w:type="dxa"/>
            <w:tcBorders>
              <w:top w:val="nil"/>
              <w:left w:val="nil"/>
              <w:bottom w:val="nil"/>
              <w:right w:val="nil"/>
            </w:tcBorders>
            <w:shd w:val="clear" w:color="D8D8D8" w:fill="D8D8D8"/>
            <w:noWrap/>
            <w:vAlign w:val="bottom"/>
            <w:hideMark/>
          </w:tcPr>
          <w:p w14:paraId="08BD5F31"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8.66</w:t>
            </w:r>
          </w:p>
        </w:tc>
        <w:tc>
          <w:tcPr>
            <w:tcW w:w="1196" w:type="dxa"/>
            <w:tcBorders>
              <w:top w:val="nil"/>
              <w:left w:val="nil"/>
              <w:bottom w:val="nil"/>
              <w:right w:val="nil"/>
            </w:tcBorders>
            <w:shd w:val="clear" w:color="D8D8D8" w:fill="D8D8D8"/>
            <w:noWrap/>
            <w:vAlign w:val="bottom"/>
            <w:hideMark/>
          </w:tcPr>
          <w:p w14:paraId="63F98416"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D8D8D8" w:fill="D8D8D8"/>
            <w:noWrap/>
            <w:vAlign w:val="bottom"/>
            <w:hideMark/>
          </w:tcPr>
          <w:p w14:paraId="764D1D0D"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3B1014D8" w14:textId="77777777" w:rsidTr="007A3B76">
        <w:trPr>
          <w:trHeight w:val="300"/>
        </w:trPr>
        <w:tc>
          <w:tcPr>
            <w:tcW w:w="2656" w:type="dxa"/>
            <w:tcBorders>
              <w:top w:val="nil"/>
              <w:left w:val="nil"/>
              <w:bottom w:val="nil"/>
              <w:right w:val="nil"/>
            </w:tcBorders>
            <w:shd w:val="clear" w:color="auto" w:fill="auto"/>
            <w:noWrap/>
            <w:vAlign w:val="bottom"/>
            <w:hideMark/>
          </w:tcPr>
          <w:p w14:paraId="192EDF7D"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2. Recognise need Rx</w:t>
            </w:r>
          </w:p>
        </w:tc>
        <w:tc>
          <w:tcPr>
            <w:tcW w:w="1156" w:type="dxa"/>
            <w:tcBorders>
              <w:top w:val="nil"/>
              <w:left w:val="nil"/>
              <w:bottom w:val="nil"/>
              <w:right w:val="nil"/>
            </w:tcBorders>
            <w:shd w:val="clear" w:color="auto" w:fill="auto"/>
            <w:noWrap/>
            <w:vAlign w:val="bottom"/>
            <w:hideMark/>
          </w:tcPr>
          <w:p w14:paraId="36407D5A"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6.33</w:t>
            </w:r>
          </w:p>
        </w:tc>
        <w:tc>
          <w:tcPr>
            <w:tcW w:w="776" w:type="dxa"/>
            <w:tcBorders>
              <w:top w:val="nil"/>
              <w:left w:val="nil"/>
              <w:bottom w:val="nil"/>
              <w:right w:val="nil"/>
            </w:tcBorders>
            <w:shd w:val="clear" w:color="auto" w:fill="auto"/>
            <w:noWrap/>
            <w:vAlign w:val="bottom"/>
            <w:hideMark/>
          </w:tcPr>
          <w:p w14:paraId="6315AF59"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w:t>
            </w:r>
          </w:p>
        </w:tc>
        <w:tc>
          <w:tcPr>
            <w:tcW w:w="1076" w:type="dxa"/>
            <w:tcBorders>
              <w:top w:val="nil"/>
              <w:left w:val="nil"/>
              <w:bottom w:val="nil"/>
              <w:right w:val="nil"/>
            </w:tcBorders>
            <w:shd w:val="clear" w:color="auto" w:fill="auto"/>
            <w:noWrap/>
            <w:vAlign w:val="bottom"/>
            <w:hideMark/>
          </w:tcPr>
          <w:p w14:paraId="51F4D860"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w:t>
            </w:r>
          </w:p>
        </w:tc>
        <w:tc>
          <w:tcPr>
            <w:tcW w:w="1196" w:type="dxa"/>
            <w:tcBorders>
              <w:top w:val="nil"/>
              <w:left w:val="nil"/>
              <w:bottom w:val="nil"/>
              <w:right w:val="nil"/>
            </w:tcBorders>
            <w:shd w:val="clear" w:color="auto" w:fill="auto"/>
            <w:noWrap/>
            <w:vAlign w:val="bottom"/>
            <w:hideMark/>
          </w:tcPr>
          <w:p w14:paraId="391DBC0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auto" w:fill="auto"/>
            <w:noWrap/>
            <w:vAlign w:val="bottom"/>
            <w:hideMark/>
          </w:tcPr>
          <w:p w14:paraId="44C4557A"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01CE57FF" w14:textId="77777777" w:rsidTr="007A3B76">
        <w:trPr>
          <w:trHeight w:val="300"/>
        </w:trPr>
        <w:tc>
          <w:tcPr>
            <w:tcW w:w="2656" w:type="dxa"/>
            <w:tcBorders>
              <w:top w:val="nil"/>
              <w:left w:val="nil"/>
              <w:bottom w:val="nil"/>
              <w:right w:val="nil"/>
            </w:tcBorders>
            <w:shd w:val="clear" w:color="D8D8D8" w:fill="D8D8D8"/>
            <w:noWrap/>
            <w:vAlign w:val="bottom"/>
            <w:hideMark/>
          </w:tcPr>
          <w:p w14:paraId="72FC6F0B"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3. Start treatment</w:t>
            </w:r>
          </w:p>
        </w:tc>
        <w:tc>
          <w:tcPr>
            <w:tcW w:w="1156" w:type="dxa"/>
            <w:tcBorders>
              <w:top w:val="nil"/>
              <w:left w:val="nil"/>
              <w:bottom w:val="nil"/>
              <w:right w:val="nil"/>
            </w:tcBorders>
            <w:shd w:val="clear" w:color="D8D8D8" w:fill="D8D8D8"/>
            <w:noWrap/>
            <w:vAlign w:val="bottom"/>
            <w:hideMark/>
          </w:tcPr>
          <w:p w14:paraId="593CEB43"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5.66</w:t>
            </w:r>
          </w:p>
        </w:tc>
        <w:tc>
          <w:tcPr>
            <w:tcW w:w="776" w:type="dxa"/>
            <w:tcBorders>
              <w:top w:val="nil"/>
              <w:left w:val="nil"/>
              <w:bottom w:val="nil"/>
              <w:right w:val="nil"/>
            </w:tcBorders>
            <w:shd w:val="clear" w:color="D8D8D8" w:fill="D8D8D8"/>
            <w:noWrap/>
            <w:vAlign w:val="bottom"/>
            <w:hideMark/>
          </w:tcPr>
          <w:p w14:paraId="111A435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7.66</w:t>
            </w:r>
          </w:p>
        </w:tc>
        <w:tc>
          <w:tcPr>
            <w:tcW w:w="1076" w:type="dxa"/>
            <w:tcBorders>
              <w:top w:val="nil"/>
              <w:left w:val="nil"/>
              <w:bottom w:val="nil"/>
              <w:right w:val="nil"/>
            </w:tcBorders>
            <w:shd w:val="clear" w:color="D8D8D8" w:fill="D8D8D8"/>
            <w:noWrap/>
            <w:vAlign w:val="bottom"/>
            <w:hideMark/>
          </w:tcPr>
          <w:p w14:paraId="3795CD20"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9.33</w:t>
            </w:r>
          </w:p>
        </w:tc>
        <w:tc>
          <w:tcPr>
            <w:tcW w:w="1196" w:type="dxa"/>
            <w:tcBorders>
              <w:top w:val="nil"/>
              <w:left w:val="nil"/>
              <w:bottom w:val="nil"/>
              <w:right w:val="nil"/>
            </w:tcBorders>
            <w:shd w:val="clear" w:color="D8D8D8" w:fill="D8D8D8"/>
            <w:noWrap/>
            <w:vAlign w:val="bottom"/>
            <w:hideMark/>
          </w:tcPr>
          <w:p w14:paraId="08EB15C7"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D8D8D8" w:fill="D8D8D8"/>
            <w:noWrap/>
            <w:vAlign w:val="bottom"/>
            <w:hideMark/>
          </w:tcPr>
          <w:p w14:paraId="3DAF1BE8"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7DAC5BC8" w14:textId="77777777" w:rsidTr="007A3B76">
        <w:trPr>
          <w:trHeight w:val="300"/>
        </w:trPr>
        <w:tc>
          <w:tcPr>
            <w:tcW w:w="2656" w:type="dxa"/>
            <w:tcBorders>
              <w:top w:val="nil"/>
              <w:left w:val="nil"/>
              <w:bottom w:val="nil"/>
              <w:right w:val="nil"/>
            </w:tcBorders>
            <w:shd w:val="clear" w:color="auto" w:fill="auto"/>
            <w:noWrap/>
            <w:vAlign w:val="bottom"/>
            <w:hideMark/>
          </w:tcPr>
          <w:p w14:paraId="64127467"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4. Need for investigations</w:t>
            </w:r>
          </w:p>
        </w:tc>
        <w:tc>
          <w:tcPr>
            <w:tcW w:w="1156" w:type="dxa"/>
            <w:tcBorders>
              <w:top w:val="nil"/>
              <w:left w:val="nil"/>
              <w:bottom w:val="nil"/>
              <w:right w:val="nil"/>
            </w:tcBorders>
            <w:shd w:val="clear" w:color="auto" w:fill="auto"/>
            <w:noWrap/>
            <w:vAlign w:val="bottom"/>
            <w:hideMark/>
          </w:tcPr>
          <w:p w14:paraId="3308780D"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5.66</w:t>
            </w:r>
          </w:p>
        </w:tc>
        <w:tc>
          <w:tcPr>
            <w:tcW w:w="776" w:type="dxa"/>
            <w:tcBorders>
              <w:top w:val="nil"/>
              <w:left w:val="nil"/>
              <w:bottom w:val="nil"/>
              <w:right w:val="nil"/>
            </w:tcBorders>
            <w:shd w:val="clear" w:color="auto" w:fill="auto"/>
            <w:noWrap/>
            <w:vAlign w:val="bottom"/>
            <w:hideMark/>
          </w:tcPr>
          <w:p w14:paraId="66F25307"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w:t>
            </w:r>
          </w:p>
        </w:tc>
        <w:tc>
          <w:tcPr>
            <w:tcW w:w="1076" w:type="dxa"/>
            <w:tcBorders>
              <w:top w:val="nil"/>
              <w:left w:val="nil"/>
              <w:bottom w:val="nil"/>
              <w:right w:val="nil"/>
            </w:tcBorders>
            <w:shd w:val="clear" w:color="auto" w:fill="auto"/>
            <w:noWrap/>
            <w:vAlign w:val="bottom"/>
            <w:hideMark/>
          </w:tcPr>
          <w:p w14:paraId="7968183E"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8.66</w:t>
            </w:r>
          </w:p>
        </w:tc>
        <w:tc>
          <w:tcPr>
            <w:tcW w:w="1196" w:type="dxa"/>
            <w:tcBorders>
              <w:top w:val="nil"/>
              <w:left w:val="nil"/>
              <w:bottom w:val="nil"/>
              <w:right w:val="nil"/>
            </w:tcBorders>
            <w:shd w:val="clear" w:color="auto" w:fill="auto"/>
            <w:noWrap/>
            <w:vAlign w:val="bottom"/>
            <w:hideMark/>
          </w:tcPr>
          <w:p w14:paraId="29770786"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9.66</w:t>
            </w:r>
          </w:p>
        </w:tc>
        <w:tc>
          <w:tcPr>
            <w:tcW w:w="1376" w:type="dxa"/>
            <w:tcBorders>
              <w:top w:val="nil"/>
              <w:left w:val="nil"/>
              <w:bottom w:val="nil"/>
              <w:right w:val="nil"/>
            </w:tcBorders>
            <w:shd w:val="clear" w:color="auto" w:fill="auto"/>
            <w:noWrap/>
            <w:vAlign w:val="bottom"/>
            <w:hideMark/>
          </w:tcPr>
          <w:p w14:paraId="5668630A"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020D60A1" w14:textId="77777777" w:rsidTr="007A3B76">
        <w:trPr>
          <w:trHeight w:val="300"/>
        </w:trPr>
        <w:tc>
          <w:tcPr>
            <w:tcW w:w="2656" w:type="dxa"/>
            <w:tcBorders>
              <w:top w:val="nil"/>
              <w:left w:val="nil"/>
              <w:bottom w:val="nil"/>
              <w:right w:val="nil"/>
            </w:tcBorders>
            <w:shd w:val="clear" w:color="D8D8D8" w:fill="D8D8D8"/>
            <w:noWrap/>
            <w:vAlign w:val="bottom"/>
            <w:hideMark/>
          </w:tcPr>
          <w:p w14:paraId="584A1019"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5. Need for escalation</w:t>
            </w:r>
          </w:p>
        </w:tc>
        <w:tc>
          <w:tcPr>
            <w:tcW w:w="1156" w:type="dxa"/>
            <w:tcBorders>
              <w:top w:val="nil"/>
              <w:left w:val="nil"/>
              <w:bottom w:val="nil"/>
              <w:right w:val="nil"/>
            </w:tcBorders>
            <w:shd w:val="clear" w:color="D8D8D8" w:fill="D8D8D8"/>
            <w:noWrap/>
            <w:vAlign w:val="bottom"/>
            <w:hideMark/>
          </w:tcPr>
          <w:p w14:paraId="2C588672"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5.33</w:t>
            </w:r>
          </w:p>
        </w:tc>
        <w:tc>
          <w:tcPr>
            <w:tcW w:w="776" w:type="dxa"/>
            <w:tcBorders>
              <w:top w:val="nil"/>
              <w:left w:val="nil"/>
              <w:bottom w:val="nil"/>
              <w:right w:val="nil"/>
            </w:tcBorders>
            <w:shd w:val="clear" w:color="D8D8D8" w:fill="D8D8D8"/>
            <w:noWrap/>
            <w:vAlign w:val="bottom"/>
            <w:hideMark/>
          </w:tcPr>
          <w:p w14:paraId="5B2A8473"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6.66</w:t>
            </w:r>
          </w:p>
        </w:tc>
        <w:tc>
          <w:tcPr>
            <w:tcW w:w="1076" w:type="dxa"/>
            <w:tcBorders>
              <w:top w:val="nil"/>
              <w:left w:val="nil"/>
              <w:bottom w:val="nil"/>
              <w:right w:val="nil"/>
            </w:tcBorders>
            <w:shd w:val="clear" w:color="D8D8D8" w:fill="D8D8D8"/>
            <w:noWrap/>
            <w:vAlign w:val="bottom"/>
            <w:hideMark/>
          </w:tcPr>
          <w:p w14:paraId="09282318"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8.66</w:t>
            </w:r>
          </w:p>
        </w:tc>
        <w:tc>
          <w:tcPr>
            <w:tcW w:w="1196" w:type="dxa"/>
            <w:tcBorders>
              <w:top w:val="nil"/>
              <w:left w:val="nil"/>
              <w:bottom w:val="nil"/>
              <w:right w:val="nil"/>
            </w:tcBorders>
            <w:shd w:val="clear" w:color="D8D8D8" w:fill="D8D8D8"/>
            <w:noWrap/>
            <w:vAlign w:val="bottom"/>
            <w:hideMark/>
          </w:tcPr>
          <w:p w14:paraId="63D71819"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9.66</w:t>
            </w:r>
          </w:p>
        </w:tc>
        <w:tc>
          <w:tcPr>
            <w:tcW w:w="1376" w:type="dxa"/>
            <w:tcBorders>
              <w:top w:val="nil"/>
              <w:left w:val="nil"/>
              <w:bottom w:val="nil"/>
              <w:right w:val="nil"/>
            </w:tcBorders>
            <w:shd w:val="clear" w:color="D8D8D8" w:fill="D8D8D8"/>
            <w:noWrap/>
            <w:vAlign w:val="bottom"/>
            <w:hideMark/>
          </w:tcPr>
          <w:p w14:paraId="4DC462C1"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385B1CE7" w14:textId="77777777" w:rsidTr="007A3B76">
        <w:trPr>
          <w:trHeight w:val="300"/>
        </w:trPr>
        <w:tc>
          <w:tcPr>
            <w:tcW w:w="2656" w:type="dxa"/>
            <w:tcBorders>
              <w:top w:val="nil"/>
              <w:left w:val="nil"/>
              <w:bottom w:val="nil"/>
              <w:right w:val="nil"/>
            </w:tcBorders>
            <w:shd w:val="clear" w:color="auto" w:fill="auto"/>
            <w:noWrap/>
            <w:vAlign w:val="bottom"/>
            <w:hideMark/>
          </w:tcPr>
          <w:p w14:paraId="5640C426"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6. Crash call</w:t>
            </w:r>
          </w:p>
        </w:tc>
        <w:tc>
          <w:tcPr>
            <w:tcW w:w="1156" w:type="dxa"/>
            <w:tcBorders>
              <w:top w:val="nil"/>
              <w:left w:val="nil"/>
              <w:bottom w:val="nil"/>
              <w:right w:val="nil"/>
            </w:tcBorders>
            <w:shd w:val="clear" w:color="auto" w:fill="auto"/>
            <w:noWrap/>
            <w:vAlign w:val="bottom"/>
            <w:hideMark/>
          </w:tcPr>
          <w:p w14:paraId="0DB1C079"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4.33</w:t>
            </w:r>
          </w:p>
        </w:tc>
        <w:tc>
          <w:tcPr>
            <w:tcW w:w="776" w:type="dxa"/>
            <w:tcBorders>
              <w:top w:val="nil"/>
              <w:left w:val="nil"/>
              <w:bottom w:val="nil"/>
              <w:right w:val="nil"/>
            </w:tcBorders>
            <w:shd w:val="clear" w:color="auto" w:fill="auto"/>
            <w:noWrap/>
            <w:vAlign w:val="bottom"/>
            <w:hideMark/>
          </w:tcPr>
          <w:p w14:paraId="7731A431"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6.66</w:t>
            </w:r>
          </w:p>
        </w:tc>
        <w:tc>
          <w:tcPr>
            <w:tcW w:w="1076" w:type="dxa"/>
            <w:tcBorders>
              <w:top w:val="nil"/>
              <w:left w:val="nil"/>
              <w:bottom w:val="nil"/>
              <w:right w:val="nil"/>
            </w:tcBorders>
            <w:shd w:val="clear" w:color="auto" w:fill="auto"/>
            <w:noWrap/>
            <w:vAlign w:val="bottom"/>
            <w:hideMark/>
          </w:tcPr>
          <w:p w14:paraId="4674DB8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8.66</w:t>
            </w:r>
          </w:p>
        </w:tc>
        <w:tc>
          <w:tcPr>
            <w:tcW w:w="1196" w:type="dxa"/>
            <w:tcBorders>
              <w:top w:val="nil"/>
              <w:left w:val="nil"/>
              <w:bottom w:val="nil"/>
              <w:right w:val="nil"/>
            </w:tcBorders>
            <w:shd w:val="clear" w:color="auto" w:fill="auto"/>
            <w:noWrap/>
            <w:vAlign w:val="bottom"/>
            <w:hideMark/>
          </w:tcPr>
          <w:p w14:paraId="0C165091"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9.66</w:t>
            </w:r>
          </w:p>
        </w:tc>
        <w:tc>
          <w:tcPr>
            <w:tcW w:w="1376" w:type="dxa"/>
            <w:tcBorders>
              <w:top w:val="nil"/>
              <w:left w:val="nil"/>
              <w:bottom w:val="nil"/>
              <w:right w:val="nil"/>
            </w:tcBorders>
            <w:shd w:val="clear" w:color="auto" w:fill="auto"/>
            <w:noWrap/>
            <w:vAlign w:val="bottom"/>
            <w:hideMark/>
          </w:tcPr>
          <w:p w14:paraId="4F1D769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7ECF63D0" w14:textId="77777777" w:rsidTr="007A3B76">
        <w:trPr>
          <w:trHeight w:val="300"/>
        </w:trPr>
        <w:tc>
          <w:tcPr>
            <w:tcW w:w="2656" w:type="dxa"/>
            <w:tcBorders>
              <w:top w:val="nil"/>
              <w:left w:val="nil"/>
              <w:bottom w:val="nil"/>
              <w:right w:val="nil"/>
            </w:tcBorders>
            <w:shd w:val="clear" w:color="D8D8D8" w:fill="D8D8D8"/>
            <w:noWrap/>
            <w:vAlign w:val="bottom"/>
            <w:hideMark/>
          </w:tcPr>
          <w:p w14:paraId="1A709D8A"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7. Basic life support</w:t>
            </w:r>
          </w:p>
        </w:tc>
        <w:tc>
          <w:tcPr>
            <w:tcW w:w="1156" w:type="dxa"/>
            <w:tcBorders>
              <w:top w:val="nil"/>
              <w:left w:val="nil"/>
              <w:bottom w:val="nil"/>
              <w:right w:val="nil"/>
            </w:tcBorders>
            <w:shd w:val="clear" w:color="D8D8D8" w:fill="D8D8D8"/>
            <w:noWrap/>
            <w:vAlign w:val="bottom"/>
            <w:hideMark/>
          </w:tcPr>
          <w:p w14:paraId="6D5885E1"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6.33</w:t>
            </w:r>
          </w:p>
        </w:tc>
        <w:tc>
          <w:tcPr>
            <w:tcW w:w="776" w:type="dxa"/>
            <w:tcBorders>
              <w:top w:val="nil"/>
              <w:left w:val="nil"/>
              <w:bottom w:val="nil"/>
              <w:right w:val="nil"/>
            </w:tcBorders>
            <w:shd w:val="clear" w:color="D8D8D8" w:fill="D8D8D8"/>
            <w:noWrap/>
            <w:vAlign w:val="bottom"/>
            <w:hideMark/>
          </w:tcPr>
          <w:p w14:paraId="78150544"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6.66</w:t>
            </w:r>
          </w:p>
        </w:tc>
        <w:tc>
          <w:tcPr>
            <w:tcW w:w="1076" w:type="dxa"/>
            <w:tcBorders>
              <w:top w:val="nil"/>
              <w:left w:val="nil"/>
              <w:bottom w:val="nil"/>
              <w:right w:val="nil"/>
            </w:tcBorders>
            <w:shd w:val="clear" w:color="D8D8D8" w:fill="D8D8D8"/>
            <w:noWrap/>
            <w:vAlign w:val="bottom"/>
            <w:hideMark/>
          </w:tcPr>
          <w:p w14:paraId="5977FDB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8.66</w:t>
            </w:r>
          </w:p>
        </w:tc>
        <w:tc>
          <w:tcPr>
            <w:tcW w:w="1196" w:type="dxa"/>
            <w:tcBorders>
              <w:top w:val="nil"/>
              <w:left w:val="nil"/>
              <w:bottom w:val="nil"/>
              <w:right w:val="nil"/>
            </w:tcBorders>
            <w:shd w:val="clear" w:color="D8D8D8" w:fill="D8D8D8"/>
            <w:noWrap/>
            <w:vAlign w:val="bottom"/>
            <w:hideMark/>
          </w:tcPr>
          <w:p w14:paraId="6B4CFA4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9.66</w:t>
            </w:r>
          </w:p>
        </w:tc>
        <w:tc>
          <w:tcPr>
            <w:tcW w:w="1376" w:type="dxa"/>
            <w:tcBorders>
              <w:top w:val="nil"/>
              <w:left w:val="nil"/>
              <w:bottom w:val="nil"/>
              <w:right w:val="nil"/>
            </w:tcBorders>
            <w:shd w:val="clear" w:color="D8D8D8" w:fill="D8D8D8"/>
            <w:noWrap/>
            <w:vAlign w:val="bottom"/>
            <w:hideMark/>
          </w:tcPr>
          <w:p w14:paraId="032A0A07"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3AD44F86" w14:textId="77777777" w:rsidTr="007A3B76">
        <w:trPr>
          <w:trHeight w:val="300"/>
        </w:trPr>
        <w:tc>
          <w:tcPr>
            <w:tcW w:w="2656" w:type="dxa"/>
            <w:tcBorders>
              <w:top w:val="nil"/>
              <w:left w:val="nil"/>
              <w:bottom w:val="nil"/>
              <w:right w:val="nil"/>
            </w:tcBorders>
            <w:shd w:val="clear" w:color="auto" w:fill="auto"/>
            <w:noWrap/>
            <w:vAlign w:val="bottom"/>
            <w:hideMark/>
          </w:tcPr>
          <w:p w14:paraId="75352862"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8. Informed consent</w:t>
            </w:r>
          </w:p>
        </w:tc>
        <w:tc>
          <w:tcPr>
            <w:tcW w:w="1156" w:type="dxa"/>
            <w:tcBorders>
              <w:top w:val="nil"/>
              <w:left w:val="nil"/>
              <w:bottom w:val="nil"/>
              <w:right w:val="nil"/>
            </w:tcBorders>
            <w:shd w:val="clear" w:color="auto" w:fill="auto"/>
            <w:noWrap/>
            <w:vAlign w:val="bottom"/>
            <w:hideMark/>
          </w:tcPr>
          <w:p w14:paraId="135B3842"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4.66</w:t>
            </w:r>
          </w:p>
        </w:tc>
        <w:tc>
          <w:tcPr>
            <w:tcW w:w="776" w:type="dxa"/>
            <w:tcBorders>
              <w:top w:val="nil"/>
              <w:left w:val="nil"/>
              <w:bottom w:val="nil"/>
              <w:right w:val="nil"/>
            </w:tcBorders>
            <w:shd w:val="clear" w:color="auto" w:fill="auto"/>
            <w:noWrap/>
            <w:vAlign w:val="bottom"/>
            <w:hideMark/>
          </w:tcPr>
          <w:p w14:paraId="2D89EAC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6.33</w:t>
            </w:r>
          </w:p>
        </w:tc>
        <w:tc>
          <w:tcPr>
            <w:tcW w:w="1076" w:type="dxa"/>
            <w:tcBorders>
              <w:top w:val="nil"/>
              <w:left w:val="nil"/>
              <w:bottom w:val="nil"/>
              <w:right w:val="nil"/>
            </w:tcBorders>
            <w:shd w:val="clear" w:color="auto" w:fill="auto"/>
            <w:noWrap/>
            <w:vAlign w:val="bottom"/>
            <w:hideMark/>
          </w:tcPr>
          <w:p w14:paraId="1F01CED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8.33</w:t>
            </w:r>
          </w:p>
        </w:tc>
        <w:tc>
          <w:tcPr>
            <w:tcW w:w="1196" w:type="dxa"/>
            <w:tcBorders>
              <w:top w:val="nil"/>
              <w:left w:val="nil"/>
              <w:bottom w:val="nil"/>
              <w:right w:val="nil"/>
            </w:tcBorders>
            <w:shd w:val="clear" w:color="auto" w:fill="auto"/>
            <w:noWrap/>
            <w:vAlign w:val="bottom"/>
            <w:hideMark/>
          </w:tcPr>
          <w:p w14:paraId="23688DBC"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9.66</w:t>
            </w:r>
          </w:p>
        </w:tc>
        <w:tc>
          <w:tcPr>
            <w:tcW w:w="1376" w:type="dxa"/>
            <w:tcBorders>
              <w:top w:val="nil"/>
              <w:left w:val="nil"/>
              <w:bottom w:val="nil"/>
              <w:right w:val="nil"/>
            </w:tcBorders>
            <w:shd w:val="clear" w:color="auto" w:fill="auto"/>
            <w:noWrap/>
            <w:vAlign w:val="bottom"/>
            <w:hideMark/>
          </w:tcPr>
          <w:p w14:paraId="7D121C4A"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664C5999" w14:textId="77777777" w:rsidTr="007A3B76">
        <w:trPr>
          <w:trHeight w:val="300"/>
        </w:trPr>
        <w:tc>
          <w:tcPr>
            <w:tcW w:w="2656" w:type="dxa"/>
            <w:tcBorders>
              <w:top w:val="nil"/>
              <w:left w:val="nil"/>
              <w:bottom w:val="nil"/>
              <w:right w:val="nil"/>
            </w:tcBorders>
            <w:shd w:val="clear" w:color="D8D8D8" w:fill="D8D8D8"/>
            <w:noWrap/>
            <w:vAlign w:val="bottom"/>
            <w:hideMark/>
          </w:tcPr>
          <w:p w14:paraId="7DFB9F44"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9. Procedure performance</w:t>
            </w:r>
          </w:p>
        </w:tc>
        <w:tc>
          <w:tcPr>
            <w:tcW w:w="1156" w:type="dxa"/>
            <w:tcBorders>
              <w:top w:val="nil"/>
              <w:left w:val="nil"/>
              <w:bottom w:val="nil"/>
              <w:right w:val="nil"/>
            </w:tcBorders>
            <w:shd w:val="clear" w:color="D8D8D8" w:fill="D8D8D8"/>
            <w:noWrap/>
            <w:vAlign w:val="bottom"/>
            <w:hideMark/>
          </w:tcPr>
          <w:p w14:paraId="391A00DE"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6.33</w:t>
            </w:r>
          </w:p>
        </w:tc>
        <w:tc>
          <w:tcPr>
            <w:tcW w:w="776" w:type="dxa"/>
            <w:tcBorders>
              <w:top w:val="nil"/>
              <w:left w:val="nil"/>
              <w:bottom w:val="nil"/>
              <w:right w:val="nil"/>
            </w:tcBorders>
            <w:shd w:val="clear" w:color="D8D8D8" w:fill="D8D8D8"/>
            <w:noWrap/>
            <w:vAlign w:val="bottom"/>
            <w:hideMark/>
          </w:tcPr>
          <w:p w14:paraId="35A0269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w:t>
            </w:r>
          </w:p>
        </w:tc>
        <w:tc>
          <w:tcPr>
            <w:tcW w:w="1076" w:type="dxa"/>
            <w:tcBorders>
              <w:top w:val="nil"/>
              <w:left w:val="nil"/>
              <w:bottom w:val="nil"/>
              <w:right w:val="nil"/>
            </w:tcBorders>
            <w:shd w:val="clear" w:color="D8D8D8" w:fill="D8D8D8"/>
            <w:noWrap/>
            <w:vAlign w:val="bottom"/>
            <w:hideMark/>
          </w:tcPr>
          <w:p w14:paraId="5BF4E51D"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8.66</w:t>
            </w:r>
          </w:p>
        </w:tc>
        <w:tc>
          <w:tcPr>
            <w:tcW w:w="1196" w:type="dxa"/>
            <w:tcBorders>
              <w:top w:val="nil"/>
              <w:left w:val="nil"/>
              <w:bottom w:val="nil"/>
              <w:right w:val="nil"/>
            </w:tcBorders>
            <w:shd w:val="clear" w:color="D8D8D8" w:fill="D8D8D8"/>
            <w:noWrap/>
            <w:vAlign w:val="bottom"/>
            <w:hideMark/>
          </w:tcPr>
          <w:p w14:paraId="5D06723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9.66</w:t>
            </w:r>
          </w:p>
        </w:tc>
        <w:tc>
          <w:tcPr>
            <w:tcW w:w="1376" w:type="dxa"/>
            <w:tcBorders>
              <w:top w:val="nil"/>
              <w:left w:val="nil"/>
              <w:bottom w:val="nil"/>
              <w:right w:val="nil"/>
            </w:tcBorders>
            <w:shd w:val="clear" w:color="D8D8D8" w:fill="D8D8D8"/>
            <w:noWrap/>
            <w:vAlign w:val="bottom"/>
            <w:hideMark/>
          </w:tcPr>
          <w:p w14:paraId="5B5851F0"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4E5E00AE" w14:textId="77777777" w:rsidTr="007A3B76">
        <w:trPr>
          <w:trHeight w:val="300"/>
        </w:trPr>
        <w:tc>
          <w:tcPr>
            <w:tcW w:w="2656" w:type="dxa"/>
            <w:tcBorders>
              <w:top w:val="nil"/>
              <w:left w:val="nil"/>
              <w:bottom w:val="nil"/>
              <w:right w:val="nil"/>
            </w:tcBorders>
            <w:shd w:val="clear" w:color="auto" w:fill="auto"/>
            <w:noWrap/>
            <w:vAlign w:val="bottom"/>
            <w:hideMark/>
          </w:tcPr>
          <w:p w14:paraId="1A1634A0"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10. Safe sharps disposal</w:t>
            </w:r>
          </w:p>
        </w:tc>
        <w:tc>
          <w:tcPr>
            <w:tcW w:w="1156" w:type="dxa"/>
            <w:tcBorders>
              <w:top w:val="nil"/>
              <w:left w:val="nil"/>
              <w:bottom w:val="nil"/>
              <w:right w:val="nil"/>
            </w:tcBorders>
            <w:shd w:val="clear" w:color="auto" w:fill="auto"/>
            <w:noWrap/>
            <w:vAlign w:val="bottom"/>
            <w:hideMark/>
          </w:tcPr>
          <w:p w14:paraId="60EDA322"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w:t>
            </w:r>
          </w:p>
        </w:tc>
        <w:tc>
          <w:tcPr>
            <w:tcW w:w="776" w:type="dxa"/>
            <w:tcBorders>
              <w:top w:val="nil"/>
              <w:left w:val="nil"/>
              <w:bottom w:val="nil"/>
              <w:right w:val="nil"/>
            </w:tcBorders>
            <w:shd w:val="clear" w:color="auto" w:fill="auto"/>
            <w:noWrap/>
            <w:vAlign w:val="bottom"/>
            <w:hideMark/>
          </w:tcPr>
          <w:p w14:paraId="1798345C"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8.33</w:t>
            </w:r>
          </w:p>
        </w:tc>
        <w:tc>
          <w:tcPr>
            <w:tcW w:w="1076" w:type="dxa"/>
            <w:tcBorders>
              <w:top w:val="nil"/>
              <w:left w:val="nil"/>
              <w:bottom w:val="nil"/>
              <w:right w:val="nil"/>
            </w:tcBorders>
            <w:shd w:val="clear" w:color="auto" w:fill="auto"/>
            <w:noWrap/>
            <w:vAlign w:val="bottom"/>
            <w:hideMark/>
          </w:tcPr>
          <w:p w14:paraId="451D5B34"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196" w:type="dxa"/>
            <w:tcBorders>
              <w:top w:val="nil"/>
              <w:left w:val="nil"/>
              <w:bottom w:val="nil"/>
              <w:right w:val="nil"/>
            </w:tcBorders>
            <w:shd w:val="clear" w:color="auto" w:fill="auto"/>
            <w:noWrap/>
            <w:vAlign w:val="bottom"/>
            <w:hideMark/>
          </w:tcPr>
          <w:p w14:paraId="1240B30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auto" w:fill="auto"/>
            <w:noWrap/>
            <w:vAlign w:val="bottom"/>
            <w:hideMark/>
          </w:tcPr>
          <w:p w14:paraId="5721FFC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67FBEEDA" w14:textId="77777777" w:rsidTr="007A3B76">
        <w:trPr>
          <w:trHeight w:val="300"/>
        </w:trPr>
        <w:tc>
          <w:tcPr>
            <w:tcW w:w="2656" w:type="dxa"/>
            <w:tcBorders>
              <w:top w:val="nil"/>
              <w:left w:val="nil"/>
              <w:bottom w:val="nil"/>
              <w:right w:val="nil"/>
            </w:tcBorders>
            <w:shd w:val="clear" w:color="D8D8D8" w:fill="D8D8D8"/>
            <w:noWrap/>
            <w:vAlign w:val="bottom"/>
            <w:hideMark/>
          </w:tcPr>
          <w:p w14:paraId="074D046E"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11. Interpret results</w:t>
            </w:r>
          </w:p>
        </w:tc>
        <w:tc>
          <w:tcPr>
            <w:tcW w:w="1156" w:type="dxa"/>
            <w:tcBorders>
              <w:top w:val="nil"/>
              <w:left w:val="nil"/>
              <w:bottom w:val="nil"/>
              <w:right w:val="nil"/>
            </w:tcBorders>
            <w:shd w:val="clear" w:color="D8D8D8" w:fill="D8D8D8"/>
            <w:noWrap/>
            <w:vAlign w:val="bottom"/>
            <w:hideMark/>
          </w:tcPr>
          <w:p w14:paraId="30AFB50C"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6.33</w:t>
            </w:r>
          </w:p>
        </w:tc>
        <w:tc>
          <w:tcPr>
            <w:tcW w:w="776" w:type="dxa"/>
            <w:tcBorders>
              <w:top w:val="nil"/>
              <w:left w:val="nil"/>
              <w:bottom w:val="nil"/>
              <w:right w:val="nil"/>
            </w:tcBorders>
            <w:shd w:val="clear" w:color="D8D8D8" w:fill="D8D8D8"/>
            <w:noWrap/>
            <w:vAlign w:val="bottom"/>
            <w:hideMark/>
          </w:tcPr>
          <w:p w14:paraId="5FC152F7"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6.66</w:t>
            </w:r>
          </w:p>
        </w:tc>
        <w:tc>
          <w:tcPr>
            <w:tcW w:w="1076" w:type="dxa"/>
            <w:tcBorders>
              <w:top w:val="nil"/>
              <w:left w:val="nil"/>
              <w:bottom w:val="nil"/>
              <w:right w:val="nil"/>
            </w:tcBorders>
            <w:shd w:val="clear" w:color="D8D8D8" w:fill="D8D8D8"/>
            <w:noWrap/>
            <w:vAlign w:val="bottom"/>
            <w:hideMark/>
          </w:tcPr>
          <w:p w14:paraId="1698C41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8.33</w:t>
            </w:r>
          </w:p>
        </w:tc>
        <w:tc>
          <w:tcPr>
            <w:tcW w:w="1196" w:type="dxa"/>
            <w:tcBorders>
              <w:top w:val="nil"/>
              <w:left w:val="nil"/>
              <w:bottom w:val="nil"/>
              <w:right w:val="nil"/>
            </w:tcBorders>
            <w:shd w:val="clear" w:color="D8D8D8" w:fill="D8D8D8"/>
            <w:noWrap/>
            <w:vAlign w:val="bottom"/>
            <w:hideMark/>
          </w:tcPr>
          <w:p w14:paraId="7DA88C6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D8D8D8" w:fill="D8D8D8"/>
            <w:noWrap/>
            <w:vAlign w:val="bottom"/>
            <w:hideMark/>
          </w:tcPr>
          <w:p w14:paraId="462080D9"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528A6CE8" w14:textId="77777777" w:rsidTr="007A3B76">
        <w:trPr>
          <w:trHeight w:val="300"/>
        </w:trPr>
        <w:tc>
          <w:tcPr>
            <w:tcW w:w="2656" w:type="dxa"/>
            <w:tcBorders>
              <w:top w:val="nil"/>
              <w:left w:val="nil"/>
              <w:bottom w:val="nil"/>
              <w:right w:val="nil"/>
            </w:tcBorders>
            <w:shd w:val="clear" w:color="auto" w:fill="auto"/>
            <w:noWrap/>
            <w:vAlign w:val="bottom"/>
            <w:hideMark/>
          </w:tcPr>
          <w:p w14:paraId="47072239"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12. Documentation</w:t>
            </w:r>
          </w:p>
        </w:tc>
        <w:tc>
          <w:tcPr>
            <w:tcW w:w="1156" w:type="dxa"/>
            <w:tcBorders>
              <w:top w:val="nil"/>
              <w:left w:val="nil"/>
              <w:bottom w:val="nil"/>
              <w:right w:val="nil"/>
            </w:tcBorders>
            <w:shd w:val="clear" w:color="auto" w:fill="auto"/>
            <w:noWrap/>
            <w:vAlign w:val="bottom"/>
            <w:hideMark/>
          </w:tcPr>
          <w:p w14:paraId="77B8B64D"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6.33</w:t>
            </w:r>
          </w:p>
        </w:tc>
        <w:tc>
          <w:tcPr>
            <w:tcW w:w="776" w:type="dxa"/>
            <w:tcBorders>
              <w:top w:val="nil"/>
              <w:left w:val="nil"/>
              <w:bottom w:val="nil"/>
              <w:right w:val="nil"/>
            </w:tcBorders>
            <w:shd w:val="clear" w:color="auto" w:fill="auto"/>
            <w:noWrap/>
            <w:vAlign w:val="bottom"/>
            <w:hideMark/>
          </w:tcPr>
          <w:p w14:paraId="0436A0C3"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w:t>
            </w:r>
          </w:p>
        </w:tc>
        <w:tc>
          <w:tcPr>
            <w:tcW w:w="1076" w:type="dxa"/>
            <w:tcBorders>
              <w:top w:val="nil"/>
              <w:left w:val="nil"/>
              <w:bottom w:val="nil"/>
              <w:right w:val="nil"/>
            </w:tcBorders>
            <w:shd w:val="clear" w:color="auto" w:fill="auto"/>
            <w:noWrap/>
            <w:vAlign w:val="bottom"/>
            <w:hideMark/>
          </w:tcPr>
          <w:p w14:paraId="3EC204D3"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8.66</w:t>
            </w:r>
          </w:p>
        </w:tc>
        <w:tc>
          <w:tcPr>
            <w:tcW w:w="1196" w:type="dxa"/>
            <w:tcBorders>
              <w:top w:val="nil"/>
              <w:left w:val="nil"/>
              <w:bottom w:val="nil"/>
              <w:right w:val="nil"/>
            </w:tcBorders>
            <w:shd w:val="clear" w:color="auto" w:fill="auto"/>
            <w:noWrap/>
            <w:vAlign w:val="bottom"/>
            <w:hideMark/>
          </w:tcPr>
          <w:p w14:paraId="343FDE08"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9.66</w:t>
            </w:r>
          </w:p>
        </w:tc>
        <w:tc>
          <w:tcPr>
            <w:tcW w:w="1376" w:type="dxa"/>
            <w:tcBorders>
              <w:top w:val="nil"/>
              <w:left w:val="nil"/>
              <w:bottom w:val="nil"/>
              <w:right w:val="nil"/>
            </w:tcBorders>
            <w:shd w:val="clear" w:color="auto" w:fill="auto"/>
            <w:noWrap/>
            <w:vAlign w:val="bottom"/>
            <w:hideMark/>
          </w:tcPr>
          <w:p w14:paraId="1135A869"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32F47672" w14:textId="77777777" w:rsidTr="007A3B76">
        <w:trPr>
          <w:trHeight w:val="300"/>
        </w:trPr>
        <w:tc>
          <w:tcPr>
            <w:tcW w:w="2656" w:type="dxa"/>
            <w:tcBorders>
              <w:top w:val="nil"/>
              <w:left w:val="nil"/>
              <w:bottom w:val="nil"/>
              <w:right w:val="nil"/>
            </w:tcBorders>
            <w:shd w:val="clear" w:color="D8D8D8" w:fill="D8D8D8"/>
            <w:noWrap/>
            <w:vAlign w:val="bottom"/>
            <w:hideMark/>
          </w:tcPr>
          <w:p w14:paraId="2380D2EE"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13. Communication</w:t>
            </w:r>
          </w:p>
        </w:tc>
        <w:tc>
          <w:tcPr>
            <w:tcW w:w="1156" w:type="dxa"/>
            <w:tcBorders>
              <w:top w:val="nil"/>
              <w:left w:val="nil"/>
              <w:bottom w:val="nil"/>
              <w:right w:val="nil"/>
            </w:tcBorders>
            <w:shd w:val="clear" w:color="D8D8D8" w:fill="D8D8D8"/>
            <w:noWrap/>
            <w:vAlign w:val="bottom"/>
            <w:hideMark/>
          </w:tcPr>
          <w:p w14:paraId="2028B55A"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w:t>
            </w:r>
          </w:p>
        </w:tc>
        <w:tc>
          <w:tcPr>
            <w:tcW w:w="776" w:type="dxa"/>
            <w:tcBorders>
              <w:top w:val="nil"/>
              <w:left w:val="nil"/>
              <w:bottom w:val="nil"/>
              <w:right w:val="nil"/>
            </w:tcBorders>
            <w:shd w:val="clear" w:color="D8D8D8" w:fill="D8D8D8"/>
            <w:noWrap/>
            <w:vAlign w:val="bottom"/>
            <w:hideMark/>
          </w:tcPr>
          <w:p w14:paraId="54C1FCB6"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w:t>
            </w:r>
          </w:p>
        </w:tc>
        <w:tc>
          <w:tcPr>
            <w:tcW w:w="1076" w:type="dxa"/>
            <w:tcBorders>
              <w:top w:val="nil"/>
              <w:left w:val="nil"/>
              <w:bottom w:val="nil"/>
              <w:right w:val="nil"/>
            </w:tcBorders>
            <w:shd w:val="clear" w:color="D8D8D8" w:fill="D8D8D8"/>
            <w:noWrap/>
            <w:vAlign w:val="bottom"/>
            <w:hideMark/>
          </w:tcPr>
          <w:p w14:paraId="3108A2BE"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8.66</w:t>
            </w:r>
          </w:p>
        </w:tc>
        <w:tc>
          <w:tcPr>
            <w:tcW w:w="1196" w:type="dxa"/>
            <w:tcBorders>
              <w:top w:val="nil"/>
              <w:left w:val="nil"/>
              <w:bottom w:val="nil"/>
              <w:right w:val="nil"/>
            </w:tcBorders>
            <w:shd w:val="clear" w:color="D8D8D8" w:fill="D8D8D8"/>
            <w:noWrap/>
            <w:vAlign w:val="bottom"/>
            <w:hideMark/>
          </w:tcPr>
          <w:p w14:paraId="3358179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D8D8D8" w:fill="D8D8D8"/>
            <w:noWrap/>
            <w:vAlign w:val="bottom"/>
            <w:hideMark/>
          </w:tcPr>
          <w:p w14:paraId="558D90A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1016A7DE" w14:textId="77777777" w:rsidTr="007A3B76">
        <w:trPr>
          <w:trHeight w:val="300"/>
        </w:trPr>
        <w:tc>
          <w:tcPr>
            <w:tcW w:w="2656" w:type="dxa"/>
            <w:tcBorders>
              <w:top w:val="nil"/>
              <w:left w:val="nil"/>
              <w:bottom w:val="nil"/>
              <w:right w:val="nil"/>
            </w:tcBorders>
            <w:shd w:val="clear" w:color="auto" w:fill="auto"/>
            <w:noWrap/>
            <w:vAlign w:val="bottom"/>
            <w:hideMark/>
          </w:tcPr>
          <w:p w14:paraId="6770CA54"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14. Mx self under stress</w:t>
            </w:r>
          </w:p>
        </w:tc>
        <w:tc>
          <w:tcPr>
            <w:tcW w:w="1156" w:type="dxa"/>
            <w:tcBorders>
              <w:top w:val="nil"/>
              <w:left w:val="nil"/>
              <w:bottom w:val="nil"/>
              <w:right w:val="nil"/>
            </w:tcBorders>
            <w:shd w:val="clear" w:color="auto" w:fill="auto"/>
            <w:noWrap/>
            <w:vAlign w:val="bottom"/>
            <w:hideMark/>
          </w:tcPr>
          <w:p w14:paraId="6D0EED54"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5.3</w:t>
            </w:r>
          </w:p>
        </w:tc>
        <w:tc>
          <w:tcPr>
            <w:tcW w:w="776" w:type="dxa"/>
            <w:tcBorders>
              <w:top w:val="nil"/>
              <w:left w:val="nil"/>
              <w:bottom w:val="nil"/>
              <w:right w:val="nil"/>
            </w:tcBorders>
            <w:shd w:val="clear" w:color="auto" w:fill="auto"/>
            <w:noWrap/>
            <w:vAlign w:val="bottom"/>
            <w:hideMark/>
          </w:tcPr>
          <w:p w14:paraId="70B3902C"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6.66</w:t>
            </w:r>
          </w:p>
        </w:tc>
        <w:tc>
          <w:tcPr>
            <w:tcW w:w="1076" w:type="dxa"/>
            <w:tcBorders>
              <w:top w:val="nil"/>
              <w:left w:val="nil"/>
              <w:bottom w:val="nil"/>
              <w:right w:val="nil"/>
            </w:tcBorders>
            <w:shd w:val="clear" w:color="auto" w:fill="auto"/>
            <w:noWrap/>
            <w:vAlign w:val="bottom"/>
            <w:hideMark/>
          </w:tcPr>
          <w:p w14:paraId="33AECE1D"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8.66</w:t>
            </w:r>
          </w:p>
        </w:tc>
        <w:tc>
          <w:tcPr>
            <w:tcW w:w="1196" w:type="dxa"/>
            <w:tcBorders>
              <w:top w:val="nil"/>
              <w:left w:val="nil"/>
              <w:bottom w:val="nil"/>
              <w:right w:val="nil"/>
            </w:tcBorders>
            <w:shd w:val="clear" w:color="auto" w:fill="auto"/>
            <w:noWrap/>
            <w:vAlign w:val="bottom"/>
            <w:hideMark/>
          </w:tcPr>
          <w:p w14:paraId="5425F830"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w:t>
            </w:r>
          </w:p>
        </w:tc>
        <w:tc>
          <w:tcPr>
            <w:tcW w:w="1376" w:type="dxa"/>
            <w:tcBorders>
              <w:top w:val="nil"/>
              <w:left w:val="nil"/>
              <w:bottom w:val="nil"/>
              <w:right w:val="nil"/>
            </w:tcBorders>
            <w:shd w:val="clear" w:color="auto" w:fill="auto"/>
            <w:noWrap/>
            <w:vAlign w:val="bottom"/>
            <w:hideMark/>
          </w:tcPr>
          <w:p w14:paraId="4FAF387B"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1C54E4DD" w14:textId="77777777" w:rsidTr="007A3B76">
        <w:trPr>
          <w:trHeight w:val="300"/>
        </w:trPr>
        <w:tc>
          <w:tcPr>
            <w:tcW w:w="2656" w:type="dxa"/>
            <w:tcBorders>
              <w:top w:val="nil"/>
              <w:left w:val="nil"/>
              <w:bottom w:val="nil"/>
              <w:right w:val="nil"/>
            </w:tcBorders>
            <w:shd w:val="clear" w:color="D8D8D8" w:fill="D8D8D8"/>
            <w:noWrap/>
            <w:vAlign w:val="bottom"/>
            <w:hideMark/>
          </w:tcPr>
          <w:p w14:paraId="5032B9AD"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15. Recognise complaint</w:t>
            </w:r>
          </w:p>
        </w:tc>
        <w:tc>
          <w:tcPr>
            <w:tcW w:w="1156" w:type="dxa"/>
            <w:tcBorders>
              <w:top w:val="nil"/>
              <w:left w:val="nil"/>
              <w:bottom w:val="nil"/>
              <w:right w:val="nil"/>
            </w:tcBorders>
            <w:shd w:val="clear" w:color="D8D8D8" w:fill="D8D8D8"/>
            <w:noWrap/>
            <w:vAlign w:val="bottom"/>
            <w:hideMark/>
          </w:tcPr>
          <w:p w14:paraId="450A0D5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5.66</w:t>
            </w:r>
          </w:p>
        </w:tc>
        <w:tc>
          <w:tcPr>
            <w:tcW w:w="776" w:type="dxa"/>
            <w:tcBorders>
              <w:top w:val="nil"/>
              <w:left w:val="nil"/>
              <w:bottom w:val="nil"/>
              <w:right w:val="nil"/>
            </w:tcBorders>
            <w:shd w:val="clear" w:color="D8D8D8" w:fill="D8D8D8"/>
            <w:noWrap/>
            <w:vAlign w:val="bottom"/>
            <w:hideMark/>
          </w:tcPr>
          <w:p w14:paraId="2DAFC217"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7.33</w:t>
            </w:r>
          </w:p>
        </w:tc>
        <w:tc>
          <w:tcPr>
            <w:tcW w:w="1076" w:type="dxa"/>
            <w:tcBorders>
              <w:top w:val="nil"/>
              <w:left w:val="nil"/>
              <w:bottom w:val="nil"/>
              <w:right w:val="nil"/>
            </w:tcBorders>
            <w:shd w:val="clear" w:color="D8D8D8" w:fill="D8D8D8"/>
            <w:noWrap/>
            <w:vAlign w:val="bottom"/>
            <w:hideMark/>
          </w:tcPr>
          <w:p w14:paraId="4AB5B842"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8.33</w:t>
            </w:r>
          </w:p>
        </w:tc>
        <w:tc>
          <w:tcPr>
            <w:tcW w:w="1196" w:type="dxa"/>
            <w:tcBorders>
              <w:top w:val="nil"/>
              <w:left w:val="nil"/>
              <w:bottom w:val="nil"/>
              <w:right w:val="nil"/>
            </w:tcBorders>
            <w:shd w:val="clear" w:color="D8D8D8" w:fill="D8D8D8"/>
            <w:noWrap/>
            <w:vAlign w:val="bottom"/>
            <w:hideMark/>
          </w:tcPr>
          <w:p w14:paraId="386A95E4"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D8D8D8" w:fill="D8D8D8"/>
            <w:noWrap/>
            <w:vAlign w:val="bottom"/>
            <w:hideMark/>
          </w:tcPr>
          <w:p w14:paraId="6C052477"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001F8F41" w14:textId="77777777" w:rsidTr="007A3B76">
        <w:trPr>
          <w:trHeight w:val="300"/>
        </w:trPr>
        <w:tc>
          <w:tcPr>
            <w:tcW w:w="2656" w:type="dxa"/>
            <w:tcBorders>
              <w:top w:val="nil"/>
              <w:left w:val="nil"/>
              <w:bottom w:val="nil"/>
              <w:right w:val="nil"/>
            </w:tcBorders>
            <w:shd w:val="clear" w:color="auto" w:fill="auto"/>
            <w:noWrap/>
            <w:vAlign w:val="bottom"/>
            <w:hideMark/>
          </w:tcPr>
          <w:p w14:paraId="7FDCC108"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16. Verbal hand over</w:t>
            </w:r>
          </w:p>
        </w:tc>
        <w:tc>
          <w:tcPr>
            <w:tcW w:w="1156" w:type="dxa"/>
            <w:tcBorders>
              <w:top w:val="nil"/>
              <w:left w:val="nil"/>
              <w:bottom w:val="nil"/>
              <w:right w:val="nil"/>
            </w:tcBorders>
            <w:shd w:val="clear" w:color="auto" w:fill="auto"/>
            <w:noWrap/>
            <w:vAlign w:val="bottom"/>
            <w:hideMark/>
          </w:tcPr>
          <w:p w14:paraId="52E64C70"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w:t>
            </w:r>
          </w:p>
        </w:tc>
        <w:tc>
          <w:tcPr>
            <w:tcW w:w="776" w:type="dxa"/>
            <w:tcBorders>
              <w:top w:val="nil"/>
              <w:left w:val="nil"/>
              <w:bottom w:val="nil"/>
              <w:right w:val="nil"/>
            </w:tcBorders>
            <w:shd w:val="clear" w:color="auto" w:fill="auto"/>
            <w:noWrap/>
            <w:vAlign w:val="bottom"/>
            <w:hideMark/>
          </w:tcPr>
          <w:p w14:paraId="680F3A54"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7.66</w:t>
            </w:r>
          </w:p>
        </w:tc>
        <w:tc>
          <w:tcPr>
            <w:tcW w:w="1076" w:type="dxa"/>
            <w:tcBorders>
              <w:top w:val="nil"/>
              <w:left w:val="nil"/>
              <w:bottom w:val="nil"/>
              <w:right w:val="nil"/>
            </w:tcBorders>
            <w:shd w:val="clear" w:color="auto" w:fill="auto"/>
            <w:noWrap/>
            <w:vAlign w:val="bottom"/>
            <w:hideMark/>
          </w:tcPr>
          <w:p w14:paraId="2B3D99F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w:t>
            </w:r>
          </w:p>
        </w:tc>
        <w:tc>
          <w:tcPr>
            <w:tcW w:w="1196" w:type="dxa"/>
            <w:tcBorders>
              <w:top w:val="nil"/>
              <w:left w:val="nil"/>
              <w:bottom w:val="nil"/>
              <w:right w:val="nil"/>
            </w:tcBorders>
            <w:shd w:val="clear" w:color="auto" w:fill="auto"/>
            <w:noWrap/>
            <w:vAlign w:val="bottom"/>
            <w:hideMark/>
          </w:tcPr>
          <w:p w14:paraId="754825FD"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auto" w:fill="auto"/>
            <w:noWrap/>
            <w:vAlign w:val="bottom"/>
            <w:hideMark/>
          </w:tcPr>
          <w:p w14:paraId="6BE660E1"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1E86EF19" w14:textId="77777777" w:rsidTr="007A3B76">
        <w:trPr>
          <w:trHeight w:val="300"/>
        </w:trPr>
        <w:tc>
          <w:tcPr>
            <w:tcW w:w="2656" w:type="dxa"/>
            <w:tcBorders>
              <w:top w:val="nil"/>
              <w:left w:val="nil"/>
              <w:bottom w:val="nil"/>
              <w:right w:val="nil"/>
            </w:tcBorders>
            <w:shd w:val="clear" w:color="D8D8D8" w:fill="D8D8D8"/>
            <w:noWrap/>
            <w:vAlign w:val="bottom"/>
            <w:hideMark/>
          </w:tcPr>
          <w:p w14:paraId="55C7594C"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17. Leadership, prioritise</w:t>
            </w:r>
          </w:p>
        </w:tc>
        <w:tc>
          <w:tcPr>
            <w:tcW w:w="1156" w:type="dxa"/>
            <w:tcBorders>
              <w:top w:val="nil"/>
              <w:left w:val="nil"/>
              <w:bottom w:val="nil"/>
              <w:right w:val="nil"/>
            </w:tcBorders>
            <w:shd w:val="clear" w:color="D8D8D8" w:fill="D8D8D8"/>
            <w:noWrap/>
            <w:vAlign w:val="bottom"/>
            <w:hideMark/>
          </w:tcPr>
          <w:p w14:paraId="5BB9AAA6"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5.66</w:t>
            </w:r>
          </w:p>
        </w:tc>
        <w:tc>
          <w:tcPr>
            <w:tcW w:w="776" w:type="dxa"/>
            <w:tcBorders>
              <w:top w:val="nil"/>
              <w:left w:val="nil"/>
              <w:bottom w:val="nil"/>
              <w:right w:val="nil"/>
            </w:tcBorders>
            <w:shd w:val="clear" w:color="D8D8D8" w:fill="D8D8D8"/>
            <w:noWrap/>
            <w:vAlign w:val="bottom"/>
            <w:hideMark/>
          </w:tcPr>
          <w:p w14:paraId="7CD49C0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6.66</w:t>
            </w:r>
          </w:p>
        </w:tc>
        <w:tc>
          <w:tcPr>
            <w:tcW w:w="1076" w:type="dxa"/>
            <w:tcBorders>
              <w:top w:val="nil"/>
              <w:left w:val="nil"/>
              <w:bottom w:val="nil"/>
              <w:right w:val="nil"/>
            </w:tcBorders>
            <w:shd w:val="clear" w:color="D8D8D8" w:fill="D8D8D8"/>
            <w:noWrap/>
            <w:vAlign w:val="bottom"/>
            <w:hideMark/>
          </w:tcPr>
          <w:p w14:paraId="0373F206"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8</w:t>
            </w:r>
          </w:p>
        </w:tc>
        <w:tc>
          <w:tcPr>
            <w:tcW w:w="1196" w:type="dxa"/>
            <w:tcBorders>
              <w:top w:val="nil"/>
              <w:left w:val="nil"/>
              <w:bottom w:val="nil"/>
              <w:right w:val="nil"/>
            </w:tcBorders>
            <w:shd w:val="clear" w:color="D8D8D8" w:fill="D8D8D8"/>
            <w:noWrap/>
            <w:vAlign w:val="bottom"/>
            <w:hideMark/>
          </w:tcPr>
          <w:p w14:paraId="12188C5A"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9.33</w:t>
            </w:r>
          </w:p>
        </w:tc>
        <w:tc>
          <w:tcPr>
            <w:tcW w:w="1376" w:type="dxa"/>
            <w:tcBorders>
              <w:top w:val="nil"/>
              <w:left w:val="nil"/>
              <w:bottom w:val="nil"/>
              <w:right w:val="nil"/>
            </w:tcBorders>
            <w:shd w:val="clear" w:color="D8D8D8" w:fill="D8D8D8"/>
            <w:noWrap/>
            <w:vAlign w:val="bottom"/>
            <w:hideMark/>
          </w:tcPr>
          <w:p w14:paraId="52CD06B3"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201304DB" w14:textId="77777777" w:rsidTr="007A3B76">
        <w:trPr>
          <w:trHeight w:val="300"/>
        </w:trPr>
        <w:tc>
          <w:tcPr>
            <w:tcW w:w="2656" w:type="dxa"/>
            <w:tcBorders>
              <w:top w:val="nil"/>
              <w:left w:val="nil"/>
              <w:bottom w:val="nil"/>
              <w:right w:val="nil"/>
            </w:tcBorders>
            <w:shd w:val="clear" w:color="auto" w:fill="auto"/>
            <w:noWrap/>
            <w:vAlign w:val="bottom"/>
            <w:hideMark/>
          </w:tcPr>
          <w:p w14:paraId="398F6567"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18. Prescribing</w:t>
            </w:r>
          </w:p>
        </w:tc>
        <w:tc>
          <w:tcPr>
            <w:tcW w:w="1156" w:type="dxa"/>
            <w:tcBorders>
              <w:top w:val="nil"/>
              <w:left w:val="nil"/>
              <w:bottom w:val="nil"/>
              <w:right w:val="nil"/>
            </w:tcBorders>
            <w:shd w:val="clear" w:color="auto" w:fill="auto"/>
            <w:noWrap/>
            <w:vAlign w:val="bottom"/>
            <w:hideMark/>
          </w:tcPr>
          <w:p w14:paraId="4D31F9A8"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6.33</w:t>
            </w:r>
          </w:p>
        </w:tc>
        <w:tc>
          <w:tcPr>
            <w:tcW w:w="776" w:type="dxa"/>
            <w:tcBorders>
              <w:top w:val="nil"/>
              <w:left w:val="nil"/>
              <w:bottom w:val="nil"/>
              <w:right w:val="nil"/>
            </w:tcBorders>
            <w:shd w:val="clear" w:color="auto" w:fill="auto"/>
            <w:noWrap/>
            <w:vAlign w:val="bottom"/>
            <w:hideMark/>
          </w:tcPr>
          <w:p w14:paraId="114388B0"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w:t>
            </w:r>
          </w:p>
        </w:tc>
        <w:tc>
          <w:tcPr>
            <w:tcW w:w="1076" w:type="dxa"/>
            <w:tcBorders>
              <w:top w:val="nil"/>
              <w:left w:val="nil"/>
              <w:bottom w:val="nil"/>
              <w:right w:val="nil"/>
            </w:tcBorders>
            <w:shd w:val="clear" w:color="auto" w:fill="auto"/>
            <w:noWrap/>
            <w:vAlign w:val="bottom"/>
            <w:hideMark/>
          </w:tcPr>
          <w:p w14:paraId="66DF7591"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w:t>
            </w:r>
          </w:p>
        </w:tc>
        <w:tc>
          <w:tcPr>
            <w:tcW w:w="1196" w:type="dxa"/>
            <w:tcBorders>
              <w:top w:val="nil"/>
              <w:left w:val="nil"/>
              <w:bottom w:val="nil"/>
              <w:right w:val="nil"/>
            </w:tcBorders>
            <w:shd w:val="clear" w:color="auto" w:fill="auto"/>
            <w:noWrap/>
            <w:vAlign w:val="bottom"/>
            <w:hideMark/>
          </w:tcPr>
          <w:p w14:paraId="25AE2D4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auto" w:fill="auto"/>
            <w:noWrap/>
            <w:vAlign w:val="bottom"/>
            <w:hideMark/>
          </w:tcPr>
          <w:p w14:paraId="260B71A1"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4F09B90A" w14:textId="77777777" w:rsidTr="007A3B76">
        <w:trPr>
          <w:trHeight w:val="300"/>
        </w:trPr>
        <w:tc>
          <w:tcPr>
            <w:tcW w:w="2656" w:type="dxa"/>
            <w:tcBorders>
              <w:top w:val="nil"/>
              <w:left w:val="nil"/>
              <w:bottom w:val="nil"/>
              <w:right w:val="nil"/>
            </w:tcBorders>
            <w:shd w:val="clear" w:color="D8D8D8" w:fill="D8D8D8"/>
            <w:noWrap/>
            <w:vAlign w:val="bottom"/>
            <w:hideMark/>
          </w:tcPr>
          <w:p w14:paraId="14AE1775"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19. Patient safety</w:t>
            </w:r>
          </w:p>
        </w:tc>
        <w:tc>
          <w:tcPr>
            <w:tcW w:w="1156" w:type="dxa"/>
            <w:tcBorders>
              <w:top w:val="nil"/>
              <w:left w:val="nil"/>
              <w:bottom w:val="nil"/>
              <w:right w:val="nil"/>
            </w:tcBorders>
            <w:shd w:val="clear" w:color="D8D8D8" w:fill="D8D8D8"/>
            <w:noWrap/>
            <w:vAlign w:val="bottom"/>
            <w:hideMark/>
          </w:tcPr>
          <w:p w14:paraId="75C6AB6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6.66</w:t>
            </w:r>
          </w:p>
        </w:tc>
        <w:tc>
          <w:tcPr>
            <w:tcW w:w="776" w:type="dxa"/>
            <w:tcBorders>
              <w:top w:val="nil"/>
              <w:left w:val="nil"/>
              <w:bottom w:val="nil"/>
              <w:right w:val="nil"/>
            </w:tcBorders>
            <w:shd w:val="clear" w:color="D8D8D8" w:fill="D8D8D8"/>
            <w:noWrap/>
            <w:vAlign w:val="bottom"/>
            <w:hideMark/>
          </w:tcPr>
          <w:p w14:paraId="61ABA98C"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7.66</w:t>
            </w:r>
          </w:p>
        </w:tc>
        <w:tc>
          <w:tcPr>
            <w:tcW w:w="1076" w:type="dxa"/>
            <w:tcBorders>
              <w:top w:val="nil"/>
              <w:left w:val="nil"/>
              <w:bottom w:val="nil"/>
              <w:right w:val="nil"/>
            </w:tcBorders>
            <w:shd w:val="clear" w:color="D8D8D8" w:fill="D8D8D8"/>
            <w:noWrap/>
            <w:vAlign w:val="bottom"/>
            <w:hideMark/>
          </w:tcPr>
          <w:p w14:paraId="1194532D"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9</w:t>
            </w:r>
          </w:p>
        </w:tc>
        <w:tc>
          <w:tcPr>
            <w:tcW w:w="1196" w:type="dxa"/>
            <w:tcBorders>
              <w:top w:val="nil"/>
              <w:left w:val="nil"/>
              <w:bottom w:val="nil"/>
              <w:right w:val="nil"/>
            </w:tcBorders>
            <w:shd w:val="clear" w:color="D8D8D8" w:fill="D8D8D8"/>
            <w:noWrap/>
            <w:vAlign w:val="bottom"/>
            <w:hideMark/>
          </w:tcPr>
          <w:p w14:paraId="0247ADBC"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nil"/>
              <w:right w:val="nil"/>
            </w:tcBorders>
            <w:shd w:val="clear" w:color="D8D8D8" w:fill="D8D8D8"/>
            <w:noWrap/>
            <w:vAlign w:val="bottom"/>
            <w:hideMark/>
          </w:tcPr>
          <w:p w14:paraId="12E0A43F"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r w:rsidR="007A3B76" w:rsidRPr="005C1227" w14:paraId="269083C3" w14:textId="77777777" w:rsidTr="007A3B76">
        <w:trPr>
          <w:trHeight w:val="300"/>
        </w:trPr>
        <w:tc>
          <w:tcPr>
            <w:tcW w:w="2656" w:type="dxa"/>
            <w:tcBorders>
              <w:top w:val="nil"/>
              <w:left w:val="nil"/>
              <w:bottom w:val="single" w:sz="4" w:space="0" w:color="000000"/>
              <w:right w:val="nil"/>
            </w:tcBorders>
            <w:shd w:val="clear" w:color="auto" w:fill="auto"/>
            <w:noWrap/>
            <w:vAlign w:val="bottom"/>
            <w:hideMark/>
          </w:tcPr>
          <w:p w14:paraId="430C8F4C" w14:textId="77777777" w:rsidR="007A3B76" w:rsidRPr="001910E9" w:rsidRDefault="007A3B76" w:rsidP="007A3B76">
            <w:pPr>
              <w:spacing w:after="0" w:line="240" w:lineRule="auto"/>
              <w:rPr>
                <w:rFonts w:eastAsia="Times New Roman"/>
                <w:color w:val="000000"/>
                <w:lang w:eastAsia="en-GB"/>
              </w:rPr>
            </w:pPr>
            <w:r w:rsidRPr="001910E9">
              <w:rPr>
                <w:rFonts w:eastAsia="Times New Roman"/>
                <w:color w:val="000000"/>
                <w:lang w:eastAsia="en-GB"/>
              </w:rPr>
              <w:t>20. Overall confidence FY1</w:t>
            </w:r>
          </w:p>
        </w:tc>
        <w:tc>
          <w:tcPr>
            <w:tcW w:w="1156" w:type="dxa"/>
            <w:tcBorders>
              <w:top w:val="nil"/>
              <w:left w:val="nil"/>
              <w:bottom w:val="single" w:sz="4" w:space="0" w:color="000000"/>
              <w:right w:val="nil"/>
            </w:tcBorders>
            <w:shd w:val="clear" w:color="auto" w:fill="auto"/>
            <w:noWrap/>
            <w:vAlign w:val="bottom"/>
            <w:hideMark/>
          </w:tcPr>
          <w:p w14:paraId="53E22835"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5.66</w:t>
            </w:r>
          </w:p>
        </w:tc>
        <w:tc>
          <w:tcPr>
            <w:tcW w:w="776" w:type="dxa"/>
            <w:tcBorders>
              <w:top w:val="nil"/>
              <w:left w:val="nil"/>
              <w:bottom w:val="single" w:sz="4" w:space="0" w:color="000000"/>
              <w:right w:val="nil"/>
            </w:tcBorders>
            <w:shd w:val="clear" w:color="auto" w:fill="auto"/>
            <w:noWrap/>
            <w:vAlign w:val="bottom"/>
            <w:hideMark/>
          </w:tcPr>
          <w:p w14:paraId="262D4BAD"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7.33</w:t>
            </w:r>
          </w:p>
        </w:tc>
        <w:tc>
          <w:tcPr>
            <w:tcW w:w="1076" w:type="dxa"/>
            <w:tcBorders>
              <w:top w:val="nil"/>
              <w:left w:val="nil"/>
              <w:bottom w:val="single" w:sz="4" w:space="0" w:color="000000"/>
              <w:right w:val="nil"/>
            </w:tcBorders>
            <w:shd w:val="clear" w:color="auto" w:fill="auto"/>
            <w:noWrap/>
            <w:vAlign w:val="bottom"/>
            <w:hideMark/>
          </w:tcPr>
          <w:p w14:paraId="32BCFE32"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196" w:type="dxa"/>
            <w:tcBorders>
              <w:top w:val="nil"/>
              <w:left w:val="nil"/>
              <w:bottom w:val="single" w:sz="4" w:space="0" w:color="000000"/>
              <w:right w:val="nil"/>
            </w:tcBorders>
            <w:shd w:val="clear" w:color="auto" w:fill="auto"/>
            <w:noWrap/>
            <w:vAlign w:val="bottom"/>
            <w:hideMark/>
          </w:tcPr>
          <w:p w14:paraId="17708F8B"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c>
          <w:tcPr>
            <w:tcW w:w="1376" w:type="dxa"/>
            <w:tcBorders>
              <w:top w:val="nil"/>
              <w:left w:val="nil"/>
              <w:bottom w:val="single" w:sz="4" w:space="0" w:color="000000"/>
              <w:right w:val="nil"/>
            </w:tcBorders>
            <w:shd w:val="clear" w:color="auto" w:fill="auto"/>
            <w:noWrap/>
            <w:vAlign w:val="bottom"/>
            <w:hideMark/>
          </w:tcPr>
          <w:p w14:paraId="543F96FE" w14:textId="77777777" w:rsidR="007A3B76" w:rsidRPr="001910E9" w:rsidRDefault="007A3B76" w:rsidP="007A3B76">
            <w:pPr>
              <w:spacing w:after="0" w:line="240" w:lineRule="auto"/>
              <w:jc w:val="right"/>
              <w:rPr>
                <w:rFonts w:eastAsia="Times New Roman"/>
                <w:color w:val="000000"/>
                <w:lang w:eastAsia="en-GB"/>
              </w:rPr>
            </w:pPr>
            <w:r w:rsidRPr="001910E9">
              <w:rPr>
                <w:rFonts w:eastAsia="Times New Roman"/>
                <w:color w:val="000000"/>
                <w:lang w:eastAsia="en-GB"/>
              </w:rPr>
              <w:t>10</w:t>
            </w:r>
          </w:p>
        </w:tc>
      </w:tr>
    </w:tbl>
    <w:p w14:paraId="111BA27D" w14:textId="77777777" w:rsidR="007A3B76" w:rsidRPr="007B5F09" w:rsidRDefault="007A3B76" w:rsidP="007A3B76">
      <w:r>
        <w:rPr>
          <w:noProof/>
          <w:lang w:val="en-US"/>
        </w:rPr>
        <mc:AlternateContent>
          <mc:Choice Requires="wps">
            <w:drawing>
              <wp:anchor distT="0" distB="0" distL="114300" distR="114300" simplePos="0" relativeHeight="251663360" behindDoc="0" locked="0" layoutInCell="1" allowOverlap="1" wp14:anchorId="214F01F4" wp14:editId="418B001E">
                <wp:simplePos x="0" y="0"/>
                <wp:positionH relativeFrom="column">
                  <wp:posOffset>0</wp:posOffset>
                </wp:positionH>
                <wp:positionV relativeFrom="paragraph">
                  <wp:posOffset>158115</wp:posOffset>
                </wp:positionV>
                <wp:extent cx="5143500" cy="1075055"/>
                <wp:effectExtent l="0" t="0" r="0" b="0"/>
                <wp:wrapTight wrapText="bothSides">
                  <wp:wrapPolygon edited="0">
                    <wp:start x="107" y="510"/>
                    <wp:lineTo x="107" y="20413"/>
                    <wp:lineTo x="21333" y="20413"/>
                    <wp:lineTo x="21333" y="510"/>
                    <wp:lineTo x="107" y="510"/>
                  </wp:wrapPolygon>
                </wp:wrapTight>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10750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C5123EB" w14:textId="0790838E" w:rsidR="00EA1E36" w:rsidRDefault="00EA1E36" w:rsidP="007000F8">
                            <w:pPr>
                              <w:pStyle w:val="Caption"/>
                            </w:pPr>
                            <w:r>
                              <w:t xml:space="preserve">Table 2: Average confidence scores from three different doctors in training across five different training levels.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F01F4" id="Text Box 6" o:spid="_x0000_s1027" type="#_x0000_t202" style="position:absolute;margin-left:0;margin-top:12.45pt;width:405pt;height:8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" filled="f" stroked="f">
                <v:textbox inset=",7.2pt,,7.2pt">
                  <w:txbxContent>
                    <w:p w14:paraId="4C5123EB" w14:textId="0790838E" w:rsidR="00EA1E36" w:rsidRDefault="00EA1E36" w:rsidP="007000F8">
                      <w:pPr>
                        <w:pStyle w:val="Caption"/>
                      </w:pPr>
                      <w:r>
                        <w:t xml:space="preserve">Table 2: Average confidence scores from three different doctors in training across five different training levels. </w:t>
                      </w:r>
                    </w:p>
                  </w:txbxContent>
                </v:textbox>
                <w10:wrap type="tight"/>
              </v:shape>
            </w:pict>
          </mc:Fallback>
        </mc:AlternateContent>
      </w:r>
    </w:p>
    <w:p w14:paraId="6C35564C" w14:textId="77777777" w:rsidR="007A3B76" w:rsidRDefault="007A3B76" w:rsidP="007A3B76">
      <w:pPr>
        <w:rPr>
          <w:b/>
        </w:rPr>
      </w:pPr>
    </w:p>
    <w:p w14:paraId="363BA1B4" w14:textId="77777777" w:rsidR="00AE0798" w:rsidRDefault="00AE0798" w:rsidP="007A3B76">
      <w:pPr>
        <w:rPr>
          <w:b/>
        </w:rPr>
      </w:pPr>
    </w:p>
    <w:p w14:paraId="334AB93D" w14:textId="77777777" w:rsidR="007B78B2" w:rsidRPr="00040B26" w:rsidRDefault="007B78B2" w:rsidP="007A3B76">
      <w:pPr>
        <w:rPr>
          <w:b/>
        </w:rPr>
      </w:pPr>
    </w:p>
    <w:p w14:paraId="1080127E" w14:textId="1C5220C0" w:rsidR="00CE233E" w:rsidRDefault="00CE233E" w:rsidP="0032331B">
      <w:pPr>
        <w:pStyle w:val="Heading3"/>
      </w:pPr>
      <w:bookmarkStart w:id="189" w:name="_Toc419116148"/>
      <w:r>
        <w:lastRenderedPageBreak/>
        <w:t>Development of Formative Assessment tool</w:t>
      </w:r>
      <w:bookmarkEnd w:id="189"/>
    </w:p>
    <w:p w14:paraId="2FA15944" w14:textId="77777777" w:rsidR="009036DC" w:rsidRDefault="009036DC" w:rsidP="007A3B76">
      <w:pPr>
        <w:rPr>
          <w:rFonts w:cs="Arial"/>
          <w:szCs w:val="24"/>
        </w:rPr>
      </w:pPr>
    </w:p>
    <w:p w14:paraId="553C86FD" w14:textId="286FD6E5" w:rsidR="007A3B76" w:rsidRDefault="007A3B76" w:rsidP="007A3B76">
      <w:pPr>
        <w:rPr>
          <w:rFonts w:cs="Arial"/>
          <w:szCs w:val="24"/>
        </w:rPr>
      </w:pPr>
      <w:r>
        <w:rPr>
          <w:rFonts w:cs="Arial"/>
          <w:szCs w:val="24"/>
        </w:rPr>
        <w:t xml:space="preserve">A </w:t>
      </w:r>
      <w:r w:rsidRPr="0032331B">
        <w:rPr>
          <w:rFonts w:cs="Arial"/>
          <w:szCs w:val="24"/>
        </w:rPr>
        <w:t xml:space="preserve">Formative </w:t>
      </w:r>
      <w:r w:rsidR="0070140D">
        <w:rPr>
          <w:rFonts w:cs="Arial"/>
          <w:szCs w:val="24"/>
        </w:rPr>
        <w:t>A</w:t>
      </w:r>
      <w:r w:rsidRPr="0032331B">
        <w:rPr>
          <w:rFonts w:cs="Arial"/>
          <w:szCs w:val="24"/>
        </w:rPr>
        <w:t>ssessment</w:t>
      </w:r>
      <w:r>
        <w:rPr>
          <w:rFonts w:cs="Arial"/>
          <w:szCs w:val="24"/>
        </w:rPr>
        <w:t xml:space="preserve"> </w:t>
      </w:r>
      <w:r w:rsidR="0070140D">
        <w:rPr>
          <w:rFonts w:cs="Arial"/>
          <w:szCs w:val="24"/>
        </w:rPr>
        <w:t>T</w:t>
      </w:r>
      <w:r>
        <w:rPr>
          <w:rFonts w:cs="Arial"/>
          <w:szCs w:val="24"/>
        </w:rPr>
        <w:t xml:space="preserve">ool (Appendix </w:t>
      </w:r>
      <w:r w:rsidR="00F350A3">
        <w:rPr>
          <w:rFonts w:cs="Arial"/>
          <w:szCs w:val="24"/>
        </w:rPr>
        <w:t>13</w:t>
      </w:r>
      <w:r w:rsidR="00AE0798">
        <w:rPr>
          <w:rFonts w:cs="Arial"/>
          <w:szCs w:val="24"/>
        </w:rPr>
        <w:t>.14</w:t>
      </w:r>
      <w:r>
        <w:rPr>
          <w:rFonts w:cs="Arial"/>
          <w:szCs w:val="24"/>
        </w:rPr>
        <w:t>) was designed from a consensus group of undergraduate educational leads with an interest in simulation</w:t>
      </w:r>
      <w:r w:rsidR="00BE61A0">
        <w:rPr>
          <w:rFonts w:cs="Arial"/>
          <w:szCs w:val="24"/>
        </w:rPr>
        <w:t>.</w:t>
      </w:r>
      <w:r>
        <w:rPr>
          <w:rFonts w:cs="Arial"/>
          <w:szCs w:val="24"/>
        </w:rPr>
        <w:t xml:space="preserve"> For each learning outcome it was decided as a group, using a 5</w:t>
      </w:r>
      <w:r w:rsidR="0070140D">
        <w:rPr>
          <w:rFonts w:cs="Arial"/>
          <w:szCs w:val="24"/>
        </w:rPr>
        <w:t>-</w:t>
      </w:r>
      <w:r>
        <w:rPr>
          <w:rFonts w:cs="Arial"/>
          <w:szCs w:val="24"/>
        </w:rPr>
        <w:t xml:space="preserve">point </w:t>
      </w:r>
      <w:r w:rsidR="0070140D">
        <w:rPr>
          <w:rFonts w:cs="Arial"/>
          <w:szCs w:val="24"/>
        </w:rPr>
        <w:t>L</w:t>
      </w:r>
      <w:r>
        <w:rPr>
          <w:rFonts w:cs="Arial"/>
          <w:szCs w:val="24"/>
        </w:rPr>
        <w:t xml:space="preserve">ikert scale (a psychometric scale </w:t>
      </w:r>
      <w:r w:rsidR="00337A7E">
        <w:rPr>
          <w:rFonts w:cs="Arial"/>
          <w:szCs w:val="24"/>
        </w:rPr>
        <w:t>used</w:t>
      </w:r>
      <w:r>
        <w:rPr>
          <w:rFonts w:cs="Arial"/>
          <w:szCs w:val="24"/>
        </w:rPr>
        <w:t xml:space="preserve"> in questionnaires to allow those questioned to rank their responses to statements to scale their level of agreement of disagreement), what would be unacceptable (1), poor (2), acceptable (3), good (4) and excellent (5) for a FY1 in their first week. This was </w:t>
      </w:r>
      <w:r w:rsidR="00337A7E">
        <w:rPr>
          <w:rFonts w:cs="Arial"/>
          <w:szCs w:val="24"/>
        </w:rPr>
        <w:t>used</w:t>
      </w:r>
      <w:r>
        <w:rPr>
          <w:rFonts w:cs="Arial"/>
          <w:szCs w:val="24"/>
        </w:rPr>
        <w:t xml:space="preserve"> as a clear method to differentiate between levels of performance and </w:t>
      </w:r>
      <w:r w:rsidR="00964F95">
        <w:rPr>
          <w:rFonts w:cs="Arial"/>
          <w:szCs w:val="24"/>
        </w:rPr>
        <w:t xml:space="preserve">was </w:t>
      </w:r>
      <w:r>
        <w:rPr>
          <w:rFonts w:cs="Arial"/>
          <w:szCs w:val="24"/>
        </w:rPr>
        <w:t xml:space="preserve">feasible to mark during each </w:t>
      </w:r>
      <w:r w:rsidR="00BE61A0">
        <w:rPr>
          <w:rFonts w:cs="Arial"/>
          <w:szCs w:val="24"/>
        </w:rPr>
        <w:t xml:space="preserve">simulation </w:t>
      </w:r>
      <w:r>
        <w:rPr>
          <w:rFonts w:cs="Arial"/>
          <w:szCs w:val="24"/>
        </w:rPr>
        <w:t xml:space="preserve">scenario. </w:t>
      </w:r>
      <w:r w:rsidR="00964F95">
        <w:rPr>
          <w:rFonts w:cs="Arial"/>
          <w:szCs w:val="24"/>
        </w:rPr>
        <w:t xml:space="preserve">A </w:t>
      </w:r>
      <w:r>
        <w:rPr>
          <w:rFonts w:cs="Arial"/>
          <w:szCs w:val="24"/>
        </w:rPr>
        <w:t xml:space="preserve">final statement asked whether the observer would be happy for this doctor to care for a member of their family.  A 5-point </w:t>
      </w:r>
      <w:r w:rsidR="0070140D">
        <w:rPr>
          <w:rFonts w:cs="Arial"/>
          <w:szCs w:val="24"/>
        </w:rPr>
        <w:t>L</w:t>
      </w:r>
      <w:r>
        <w:rPr>
          <w:rFonts w:cs="Arial"/>
          <w:szCs w:val="24"/>
        </w:rPr>
        <w:t xml:space="preserve">ikert scale was used because it offered a simple scale with five different levels to score </w:t>
      </w:r>
      <w:r w:rsidR="00690057">
        <w:rPr>
          <w:rFonts w:cs="Arial"/>
          <w:szCs w:val="24"/>
        </w:rPr>
        <w:t>c</w:t>
      </w:r>
      <w:r w:rsidR="005F705F">
        <w:rPr>
          <w:rFonts w:cs="Arial"/>
          <w:szCs w:val="24"/>
        </w:rPr>
        <w:t>andidate</w:t>
      </w:r>
      <w:r>
        <w:rPr>
          <w:rFonts w:cs="Arial"/>
          <w:szCs w:val="24"/>
        </w:rPr>
        <w:t xml:space="preserve">s in detail, it differentiated levels of </w:t>
      </w:r>
      <w:r w:rsidR="00690057">
        <w:rPr>
          <w:rFonts w:cs="Arial"/>
          <w:szCs w:val="24"/>
        </w:rPr>
        <w:t>c</w:t>
      </w:r>
      <w:r w:rsidR="005F705F">
        <w:rPr>
          <w:rFonts w:cs="Arial"/>
          <w:szCs w:val="24"/>
        </w:rPr>
        <w:t>andidate</w:t>
      </w:r>
      <w:r>
        <w:rPr>
          <w:rFonts w:cs="Arial"/>
          <w:szCs w:val="24"/>
        </w:rPr>
        <w:t xml:space="preserve">s and was simple to use. </w:t>
      </w:r>
    </w:p>
    <w:p w14:paraId="5183FA95" w14:textId="3E51BF2F" w:rsidR="00964F95" w:rsidRDefault="00964F95" w:rsidP="007A3B76">
      <w:pPr>
        <w:rPr>
          <w:rFonts w:cs="Arial"/>
          <w:szCs w:val="24"/>
        </w:rPr>
      </w:pPr>
      <w:r>
        <w:rPr>
          <w:rFonts w:cs="Arial"/>
          <w:szCs w:val="24"/>
        </w:rPr>
        <w:t>Face validity refers to whether a method appears to test what it has set out to. T</w:t>
      </w:r>
      <w:r w:rsidR="007A3B76">
        <w:rPr>
          <w:rFonts w:cs="Arial"/>
          <w:szCs w:val="24"/>
        </w:rPr>
        <w:t xml:space="preserve">he formative assessment tool has been designed by a team of educational experts to assess student doctors whose education and training they are involved in. Through consensus the group were happy that the assessment tool tests what it sets out to. </w:t>
      </w:r>
    </w:p>
    <w:p w14:paraId="6AF234AA" w14:textId="0E1F95AF" w:rsidR="00A23BD4" w:rsidRDefault="00964F95" w:rsidP="007A3B76">
      <w:pPr>
        <w:rPr>
          <w:rFonts w:cs="Arial"/>
          <w:szCs w:val="24"/>
        </w:rPr>
      </w:pPr>
      <w:r>
        <w:rPr>
          <w:rFonts w:cs="Arial"/>
          <w:szCs w:val="24"/>
        </w:rPr>
        <w:t>Content validity refers to whether the content covers enough behaviour to be able to say that it is representative for the assessment or method.</w:t>
      </w:r>
      <w:r w:rsidRPr="00BE7518">
        <w:rPr>
          <w:rFonts w:cs="Arial"/>
          <w:szCs w:val="24"/>
        </w:rPr>
        <w:t xml:space="preserve"> </w:t>
      </w:r>
      <w:r>
        <w:rPr>
          <w:rFonts w:cs="Arial"/>
          <w:szCs w:val="24"/>
        </w:rPr>
        <w:t>T</w:t>
      </w:r>
      <w:r w:rsidR="007A3B76">
        <w:rPr>
          <w:rFonts w:cs="Arial"/>
          <w:szCs w:val="24"/>
        </w:rPr>
        <w:t xml:space="preserve">he formative assessment tool was used to mark a group of </w:t>
      </w:r>
      <w:r w:rsidR="001D42C9">
        <w:rPr>
          <w:rFonts w:cs="Arial"/>
          <w:szCs w:val="24"/>
        </w:rPr>
        <w:t>5th-year</w:t>
      </w:r>
      <w:r w:rsidR="007A3B76">
        <w:rPr>
          <w:rFonts w:cs="Arial"/>
          <w:szCs w:val="24"/>
        </w:rPr>
        <w:t xml:space="preserve"> medical students. Two different markers were </w:t>
      </w:r>
      <w:r w:rsidR="00337A7E">
        <w:rPr>
          <w:rFonts w:cs="Arial"/>
          <w:szCs w:val="24"/>
        </w:rPr>
        <w:t>used</w:t>
      </w:r>
      <w:r w:rsidR="007A3B76">
        <w:rPr>
          <w:rFonts w:cs="Arial"/>
          <w:szCs w:val="24"/>
        </w:rPr>
        <w:t xml:space="preserve"> to explore inter</w:t>
      </w:r>
      <w:r w:rsidR="0070140D">
        <w:rPr>
          <w:rFonts w:cs="Arial"/>
          <w:szCs w:val="24"/>
        </w:rPr>
        <w:t>-</w:t>
      </w:r>
      <w:r w:rsidR="007A3B76">
        <w:rPr>
          <w:rFonts w:cs="Arial"/>
          <w:szCs w:val="24"/>
        </w:rPr>
        <w:t xml:space="preserve">rater reliability. Marks were similar </w:t>
      </w:r>
      <w:r w:rsidR="007A3B76">
        <w:rPr>
          <w:rFonts w:cs="Arial"/>
          <w:szCs w:val="24"/>
        </w:rPr>
        <w:lastRenderedPageBreak/>
        <w:t xml:space="preserve">and reliable when marking the same </w:t>
      </w:r>
      <w:r w:rsidR="0070140D">
        <w:rPr>
          <w:rFonts w:cs="Arial"/>
          <w:szCs w:val="24"/>
        </w:rPr>
        <w:t>c</w:t>
      </w:r>
      <w:r w:rsidR="005F705F">
        <w:rPr>
          <w:rFonts w:cs="Arial"/>
          <w:szCs w:val="24"/>
        </w:rPr>
        <w:t>andidate</w:t>
      </w:r>
      <w:r w:rsidR="007A3B76">
        <w:rPr>
          <w:rFonts w:cs="Arial"/>
          <w:szCs w:val="24"/>
        </w:rPr>
        <w:t xml:space="preserve">. </w:t>
      </w:r>
      <w:r w:rsidR="00A23BD4">
        <w:rPr>
          <w:rFonts w:cs="Arial"/>
          <w:szCs w:val="24"/>
        </w:rPr>
        <w:t>T</w:t>
      </w:r>
      <w:r w:rsidR="007A3B76">
        <w:rPr>
          <w:rFonts w:cs="Arial"/>
          <w:szCs w:val="24"/>
        </w:rPr>
        <w:t xml:space="preserve">he assessment did test display of skills mapped to the </w:t>
      </w:r>
      <w:r w:rsidR="0070140D">
        <w:rPr>
          <w:rFonts w:cs="Arial"/>
          <w:szCs w:val="24"/>
        </w:rPr>
        <w:t xml:space="preserve">FP </w:t>
      </w:r>
      <w:r w:rsidR="007A3B76">
        <w:rPr>
          <w:rFonts w:cs="Arial"/>
          <w:szCs w:val="24"/>
        </w:rPr>
        <w:t>curriculum a</w:t>
      </w:r>
      <w:r w:rsidR="0070140D">
        <w:rPr>
          <w:rFonts w:cs="Arial"/>
          <w:szCs w:val="24"/>
        </w:rPr>
        <w:t>nd TD</w:t>
      </w:r>
      <w:r w:rsidR="007A3B76">
        <w:rPr>
          <w:rFonts w:cs="Arial"/>
          <w:szCs w:val="24"/>
        </w:rPr>
        <w:t xml:space="preserve">. </w:t>
      </w:r>
    </w:p>
    <w:p w14:paraId="19A0F434" w14:textId="73744B33" w:rsidR="007A3B76" w:rsidRDefault="00A23BD4" w:rsidP="007A3B76">
      <w:pPr>
        <w:rPr>
          <w:rFonts w:cs="Arial"/>
          <w:szCs w:val="24"/>
        </w:rPr>
      </w:pPr>
      <w:r>
        <w:rPr>
          <w:rFonts w:cs="Arial"/>
          <w:szCs w:val="24"/>
        </w:rPr>
        <w:t>Construct validity refers to the extent to which a practical test actually measures the theory it sets out to. T</w:t>
      </w:r>
      <w:r w:rsidR="007A3B76">
        <w:rPr>
          <w:rFonts w:cs="Arial"/>
          <w:szCs w:val="24"/>
        </w:rPr>
        <w:t xml:space="preserve">he more senior </w:t>
      </w:r>
      <w:r>
        <w:rPr>
          <w:rFonts w:cs="Arial"/>
          <w:szCs w:val="24"/>
        </w:rPr>
        <w:t xml:space="preserve">the doctor, </w:t>
      </w:r>
      <w:r w:rsidR="007A3B76">
        <w:rPr>
          <w:rFonts w:cs="Arial"/>
          <w:szCs w:val="24"/>
        </w:rPr>
        <w:t xml:space="preserve">the better they should perform if the assessment has good construct validity. The bar chart below demonstrates the average scores from three </w:t>
      </w:r>
      <w:r w:rsidR="00690057">
        <w:rPr>
          <w:rFonts w:cs="Arial"/>
          <w:szCs w:val="24"/>
        </w:rPr>
        <w:t>c</w:t>
      </w:r>
      <w:r w:rsidR="005F705F">
        <w:rPr>
          <w:rFonts w:cs="Arial"/>
          <w:szCs w:val="24"/>
        </w:rPr>
        <w:t>andidate</w:t>
      </w:r>
      <w:r w:rsidR="007A3B76">
        <w:rPr>
          <w:rFonts w:cs="Arial"/>
          <w:szCs w:val="24"/>
        </w:rPr>
        <w:t xml:space="preserve">s at five different levels of training, </w:t>
      </w:r>
      <w:r w:rsidR="0070140D">
        <w:rPr>
          <w:rFonts w:cs="Arial"/>
          <w:szCs w:val="24"/>
        </w:rPr>
        <w:t>3rd</w:t>
      </w:r>
      <w:r w:rsidR="007A3B76">
        <w:rPr>
          <w:rFonts w:cs="Arial"/>
          <w:szCs w:val="24"/>
        </w:rPr>
        <w:t xml:space="preserve"> year medical student to registrars (Figure 2). Doctors involved in acute care were used. The formative assessment marks demonstrate that the more senior trainee performs better</w:t>
      </w:r>
      <w:r>
        <w:rPr>
          <w:rFonts w:cs="Arial"/>
          <w:szCs w:val="24"/>
        </w:rPr>
        <w:t>,</w:t>
      </w:r>
      <w:r w:rsidR="007A3B76">
        <w:rPr>
          <w:rFonts w:cs="Arial"/>
          <w:szCs w:val="24"/>
        </w:rPr>
        <w:t xml:space="preserve"> </w:t>
      </w:r>
      <w:r>
        <w:rPr>
          <w:rFonts w:cs="Arial"/>
          <w:szCs w:val="24"/>
        </w:rPr>
        <w:t xml:space="preserve">meaning that the </w:t>
      </w:r>
      <w:r w:rsidR="007A3B76">
        <w:rPr>
          <w:rFonts w:cs="Arial"/>
          <w:szCs w:val="24"/>
        </w:rPr>
        <w:t>assessment differentiates between level and skill set appropriately.</w:t>
      </w:r>
    </w:p>
    <w:p w14:paraId="2055D88D" w14:textId="69AC8742" w:rsidR="007D7BEF" w:rsidRDefault="007D7BEF" w:rsidP="007D7BEF">
      <w:pPr>
        <w:rPr>
          <w:rFonts w:cs="Arial"/>
          <w:szCs w:val="24"/>
        </w:rPr>
      </w:pPr>
      <w:r>
        <w:rPr>
          <w:rFonts w:cs="Arial"/>
          <w:szCs w:val="24"/>
        </w:rPr>
        <w:t xml:space="preserve">To improve reliability, on the first day, the formative assessments were double marked and compared. This demonstrated accurate similar scores for each of the </w:t>
      </w:r>
      <w:r w:rsidR="00B02D48">
        <w:rPr>
          <w:rFonts w:cs="Arial"/>
          <w:szCs w:val="24"/>
        </w:rPr>
        <w:t>c</w:t>
      </w:r>
      <w:r w:rsidR="005F705F">
        <w:rPr>
          <w:rFonts w:cs="Arial"/>
          <w:szCs w:val="24"/>
        </w:rPr>
        <w:t>andidate</w:t>
      </w:r>
      <w:r>
        <w:rPr>
          <w:rFonts w:cs="Arial"/>
          <w:szCs w:val="24"/>
        </w:rPr>
        <w:t xml:space="preserve">s. Scores for the overall </w:t>
      </w:r>
      <w:r w:rsidR="001D42C9">
        <w:rPr>
          <w:rFonts w:cs="Arial"/>
          <w:szCs w:val="24"/>
        </w:rPr>
        <w:t>judgment</w:t>
      </w:r>
      <w:r>
        <w:rPr>
          <w:rFonts w:cs="Arial"/>
          <w:szCs w:val="24"/>
        </w:rPr>
        <w:t xml:space="preserve"> of whether “happy for him or her to look after a family member” were equal for each </w:t>
      </w:r>
      <w:r w:rsidR="00B02D48">
        <w:rPr>
          <w:rFonts w:cs="Arial"/>
          <w:szCs w:val="24"/>
        </w:rPr>
        <w:t>c</w:t>
      </w:r>
      <w:r w:rsidR="005F705F">
        <w:rPr>
          <w:rFonts w:cs="Arial"/>
          <w:szCs w:val="24"/>
        </w:rPr>
        <w:t>andidate</w:t>
      </w:r>
      <w:r>
        <w:rPr>
          <w:rFonts w:cs="Arial"/>
          <w:szCs w:val="24"/>
        </w:rPr>
        <w:t>.</w:t>
      </w:r>
    </w:p>
    <w:p w14:paraId="40733F72" w14:textId="77777777" w:rsidR="007D7BEF" w:rsidRDefault="007D7BEF" w:rsidP="007A3B76">
      <w:pPr>
        <w:rPr>
          <w:rFonts w:cs="Arial"/>
          <w:szCs w:val="24"/>
        </w:rPr>
      </w:pPr>
    </w:p>
    <w:p w14:paraId="4EC525F6" w14:textId="61EA99E8" w:rsidR="007A3B76" w:rsidRDefault="00180AC7" w:rsidP="007A3B76">
      <w:pPr>
        <w:rPr>
          <w:rFonts w:cs="Arial"/>
          <w:szCs w:val="24"/>
        </w:rPr>
      </w:pPr>
      <w:r>
        <w:rPr>
          <w:noProof/>
          <w:lang w:val="en-US"/>
        </w:rPr>
        <w:lastRenderedPageBreak/>
        <mc:AlternateContent>
          <mc:Choice Requires="wps">
            <w:drawing>
              <wp:anchor distT="0" distB="0" distL="114300" distR="114300" simplePos="0" relativeHeight="251662336" behindDoc="0" locked="0" layoutInCell="1" allowOverlap="1" wp14:anchorId="6D28EF73" wp14:editId="5A111B25">
                <wp:simplePos x="0" y="0"/>
                <wp:positionH relativeFrom="column">
                  <wp:posOffset>114300</wp:posOffset>
                </wp:positionH>
                <wp:positionV relativeFrom="paragraph">
                  <wp:posOffset>3263900</wp:posOffset>
                </wp:positionV>
                <wp:extent cx="5715000" cy="1056640"/>
                <wp:effectExtent l="0" t="0" r="0" b="0"/>
                <wp:wrapTight wrapText="bothSides">
                  <wp:wrapPolygon edited="0">
                    <wp:start x="96" y="519"/>
                    <wp:lineTo x="96" y="20250"/>
                    <wp:lineTo x="21408" y="20250"/>
                    <wp:lineTo x="21408" y="519"/>
                    <wp:lineTo x="96" y="519"/>
                  </wp:wrapPolygon>
                </wp:wrapTight>
                <wp:docPr id="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0566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FDBC044" w14:textId="70147A8A" w:rsidR="00EA1E36" w:rsidRDefault="00EA1E36" w:rsidP="007000F8">
                            <w:pPr>
                              <w:pStyle w:val="Caption"/>
                            </w:pPr>
                            <w:r>
                              <w:t>Figure 2: Formative assessment scores from one simulated scenario for three different Candidates at advancing levels of training from 3</w:t>
                            </w:r>
                            <w:r w:rsidRPr="003A0B18">
                              <w:rPr>
                                <w:vertAlign w:val="superscript"/>
                              </w:rPr>
                              <w:t>rd</w:t>
                            </w:r>
                            <w:r>
                              <w:t xml:space="preserve"> year medical student to registrar level.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8EF73" id="Text Box 15" o:spid="_x0000_s1028" type="#_x0000_t202" style="position:absolute;margin-left:9pt;margin-top:257pt;width:450pt;height:83.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" filled="f" stroked="f">
                <v:textbox inset=",7.2pt,,7.2pt">
                  <w:txbxContent>
                    <w:p w14:paraId="5FDBC044" w14:textId="70147A8A" w:rsidR="00EA1E36" w:rsidRDefault="00EA1E36" w:rsidP="007000F8">
                      <w:pPr>
                        <w:pStyle w:val="Caption"/>
                      </w:pPr>
                      <w:r>
                        <w:t>Figure 2: Formative assessment scores from one simulated scenario for three different Candidates at advancing levels of training from 3</w:t>
                      </w:r>
                      <w:r w:rsidRPr="003A0B18">
                        <w:rPr>
                          <w:vertAlign w:val="superscript"/>
                        </w:rPr>
                        <w:t>rd</w:t>
                      </w:r>
                      <w:r>
                        <w:t xml:space="preserve"> year medical student to registrar level.</w:t>
                      </w:r>
                    </w:p>
                  </w:txbxContent>
                </v:textbox>
                <w10:wrap type="tight"/>
              </v:shape>
            </w:pict>
          </mc:Fallback>
        </mc:AlternateContent>
      </w:r>
      <w:r w:rsidR="007A3B76">
        <w:rPr>
          <w:noProof/>
          <w:lang w:val="en-US"/>
        </w:rPr>
        <w:drawing>
          <wp:inline distT="0" distB="0" distL="0" distR="0" wp14:anchorId="069FE464" wp14:editId="1559C5B7">
            <wp:extent cx="5708650" cy="3206750"/>
            <wp:effectExtent l="0" t="0" r="31750" b="19050"/>
            <wp:docPr id="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6B7395F" w14:textId="68F60E09" w:rsidR="007D7BEF" w:rsidRDefault="007D7BEF" w:rsidP="007D7BEF">
      <w:pPr>
        <w:spacing w:line="360" w:lineRule="auto"/>
        <w:rPr>
          <w:rFonts w:cs="Arial"/>
        </w:rPr>
      </w:pPr>
      <w:r>
        <w:rPr>
          <w:rFonts w:cs="Arial"/>
        </w:rPr>
        <w:t xml:space="preserve">The following diagram demonstrates how the half-day course was structured per 5 </w:t>
      </w:r>
      <w:r w:rsidR="00B02D48">
        <w:rPr>
          <w:rFonts w:cs="Arial"/>
        </w:rPr>
        <w:t>c</w:t>
      </w:r>
      <w:r w:rsidR="005F705F">
        <w:rPr>
          <w:rFonts w:cs="Arial"/>
        </w:rPr>
        <w:t>andidate</w:t>
      </w:r>
      <w:r>
        <w:rPr>
          <w:rFonts w:cs="Arial"/>
        </w:rPr>
        <w:t>s.</w:t>
      </w:r>
    </w:p>
    <w:p w14:paraId="70BA6FE6" w14:textId="260F9842" w:rsidR="007D7BEF" w:rsidRDefault="007D7BEF" w:rsidP="007A3B76">
      <w:pPr>
        <w:rPr>
          <w:rFonts w:cs="Arial"/>
          <w:szCs w:val="24"/>
        </w:rPr>
      </w:pPr>
      <w:r>
        <w:rPr>
          <w:noProof/>
          <w:lang w:val="en-US"/>
        </w:rPr>
        <w:drawing>
          <wp:inline distT="0" distB="0" distL="0" distR="0" wp14:anchorId="04106342" wp14:editId="1E371CB4">
            <wp:extent cx="5396230" cy="3147695"/>
            <wp:effectExtent l="57150" t="38100" r="13970" b="90805"/>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63061B0A" w14:textId="1DDE9C5B" w:rsidR="007A3B76" w:rsidRDefault="007A3B76" w:rsidP="00CA53EB">
      <w:pPr>
        <w:pStyle w:val="Heading2"/>
      </w:pPr>
      <w:bookmarkStart w:id="190" w:name="_Toc419116149"/>
      <w:bookmarkStart w:id="191" w:name="_Toc343501148"/>
      <w:bookmarkStart w:id="192" w:name="_Toc348686349"/>
      <w:r>
        <w:lastRenderedPageBreak/>
        <w:t>Summary</w:t>
      </w:r>
      <w:bookmarkEnd w:id="190"/>
      <w:r>
        <w:t xml:space="preserve"> </w:t>
      </w:r>
      <w:bookmarkEnd w:id="191"/>
      <w:bookmarkEnd w:id="192"/>
    </w:p>
    <w:p w14:paraId="33056487" w14:textId="77777777" w:rsidR="00167830" w:rsidRDefault="00167830" w:rsidP="007A3B76">
      <w:pPr>
        <w:spacing w:line="360" w:lineRule="auto"/>
        <w:rPr>
          <w:rFonts w:cs="Arial"/>
        </w:rPr>
      </w:pPr>
    </w:p>
    <w:p w14:paraId="4506F02E" w14:textId="2E195DEC" w:rsidR="00570E67" w:rsidRDefault="007A3B76" w:rsidP="00570E67">
      <w:pPr>
        <w:spacing w:line="360" w:lineRule="auto"/>
        <w:rPr>
          <w:rFonts w:cs="Arial"/>
        </w:rPr>
      </w:pPr>
      <w:r>
        <w:rPr>
          <w:rFonts w:cs="Arial"/>
        </w:rPr>
        <w:t xml:space="preserve">This </w:t>
      </w:r>
      <w:r w:rsidR="0032331B">
        <w:rPr>
          <w:rFonts w:cs="Arial"/>
        </w:rPr>
        <w:t>c</w:t>
      </w:r>
      <w:r w:rsidR="001D42C9">
        <w:rPr>
          <w:rFonts w:cs="Arial"/>
        </w:rPr>
        <w:t>hapter</w:t>
      </w:r>
      <w:r>
        <w:rPr>
          <w:rFonts w:cs="Arial"/>
        </w:rPr>
        <w:t xml:space="preserve"> has covered </w:t>
      </w:r>
      <w:r w:rsidR="000570DD">
        <w:rPr>
          <w:rFonts w:cs="Arial"/>
        </w:rPr>
        <w:t xml:space="preserve">the </w:t>
      </w:r>
      <w:r>
        <w:rPr>
          <w:rFonts w:cs="Arial"/>
        </w:rPr>
        <w:t xml:space="preserve">design of </w:t>
      </w:r>
      <w:r w:rsidR="000570DD">
        <w:rPr>
          <w:rFonts w:cs="Arial"/>
        </w:rPr>
        <w:t xml:space="preserve">the </w:t>
      </w:r>
      <w:r>
        <w:rPr>
          <w:rFonts w:cs="Arial"/>
        </w:rPr>
        <w:t>educational intervention and the processes involved</w:t>
      </w:r>
      <w:r w:rsidR="000570DD">
        <w:rPr>
          <w:rFonts w:cs="Arial"/>
        </w:rPr>
        <w:t>.</w:t>
      </w:r>
      <w:r>
        <w:rPr>
          <w:rFonts w:cs="Arial"/>
        </w:rPr>
        <w:t xml:space="preserve"> </w:t>
      </w:r>
      <w:r w:rsidR="000570DD">
        <w:rPr>
          <w:rFonts w:cs="Arial"/>
        </w:rPr>
        <w:t>T</w:t>
      </w:r>
      <w:r>
        <w:rPr>
          <w:rFonts w:cs="Arial"/>
        </w:rPr>
        <w:t>hese areas are highlighted in red text within the flow diagram below</w:t>
      </w:r>
      <w:r w:rsidR="00570E67">
        <w:rPr>
          <w:rFonts w:cs="Arial"/>
        </w:rPr>
        <w:t xml:space="preserve">. </w:t>
      </w:r>
    </w:p>
    <w:p w14:paraId="7C4844CB" w14:textId="1E34F565" w:rsidR="007A3B76" w:rsidRDefault="007A3B76" w:rsidP="007A3B76">
      <w:pPr>
        <w:spacing w:line="360" w:lineRule="auto"/>
        <w:rPr>
          <w:rFonts w:cs="Arial"/>
        </w:rPr>
      </w:pPr>
    </w:p>
    <w:p w14:paraId="600C6F6F" w14:textId="77777777" w:rsidR="007A3B76" w:rsidRDefault="007A3B76" w:rsidP="007A3B76">
      <w:pPr>
        <w:spacing w:line="360" w:lineRule="auto"/>
        <w:rPr>
          <w:rFonts w:cs="Arial"/>
        </w:rPr>
      </w:pPr>
      <w:r w:rsidRPr="00541A52">
        <w:rPr>
          <w:rFonts w:cs="Arial"/>
          <w:noProof/>
          <w:szCs w:val="24"/>
          <w:lang w:val="en-US"/>
        </w:rPr>
        <w:drawing>
          <wp:inline distT="0" distB="0" distL="0" distR="0" wp14:anchorId="3092046A" wp14:editId="0AD1C7D2">
            <wp:extent cx="5396230" cy="4673004"/>
            <wp:effectExtent l="57150" t="38100" r="52070" b="70485"/>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3FD5B9B0" w14:textId="54091C3E" w:rsidR="007A3B76" w:rsidRDefault="000570DD" w:rsidP="007A3B76">
      <w:pPr>
        <w:spacing w:line="360" w:lineRule="auto"/>
        <w:rPr>
          <w:rFonts w:cs="Arial"/>
        </w:rPr>
      </w:pPr>
      <w:r>
        <w:rPr>
          <w:rFonts w:cs="Arial"/>
        </w:rPr>
        <w:t>The following Chapter describes the pilot study.</w:t>
      </w:r>
    </w:p>
    <w:p w14:paraId="05415C0C" w14:textId="77777777" w:rsidR="007A3B76" w:rsidRDefault="007A3B76" w:rsidP="007A3B76">
      <w:pPr>
        <w:spacing w:line="360" w:lineRule="auto"/>
        <w:rPr>
          <w:rFonts w:cs="Arial"/>
        </w:rPr>
      </w:pPr>
    </w:p>
    <w:p w14:paraId="048C7B87" w14:textId="77777777" w:rsidR="00143C0B" w:rsidRDefault="00143C0B" w:rsidP="007A3B76">
      <w:pPr>
        <w:spacing w:line="360" w:lineRule="auto"/>
        <w:rPr>
          <w:rFonts w:cs="Arial"/>
        </w:rPr>
      </w:pPr>
    </w:p>
    <w:p w14:paraId="0246E638" w14:textId="32138F0B" w:rsidR="001E391A" w:rsidRDefault="001D42C9" w:rsidP="006F09AC">
      <w:pPr>
        <w:pStyle w:val="Heading1"/>
      </w:pPr>
      <w:bookmarkStart w:id="193" w:name="_Toc343501149"/>
      <w:bookmarkStart w:id="194" w:name="_Toc348686350"/>
      <w:bookmarkStart w:id="195" w:name="_Toc419116150"/>
      <w:r>
        <w:lastRenderedPageBreak/>
        <w:t>Chapter</w:t>
      </w:r>
      <w:r w:rsidR="001E391A">
        <w:t xml:space="preserve"> 6</w:t>
      </w:r>
      <w:r w:rsidR="001E391A" w:rsidRPr="001A6CB4">
        <w:t>: Pilot Study</w:t>
      </w:r>
      <w:bookmarkEnd w:id="193"/>
      <w:bookmarkEnd w:id="194"/>
      <w:bookmarkEnd w:id="195"/>
      <w:r w:rsidR="001E391A">
        <w:t xml:space="preserve"> </w:t>
      </w:r>
    </w:p>
    <w:p w14:paraId="77B3019E" w14:textId="77777777" w:rsidR="00F13BAC" w:rsidRDefault="00F13BAC" w:rsidP="00F13BAC"/>
    <w:p w14:paraId="295205E2" w14:textId="4AB86FC4" w:rsidR="00F13BAC" w:rsidRPr="00F13BAC" w:rsidRDefault="00F13BAC" w:rsidP="00F13BAC">
      <w:r>
        <w:rPr>
          <w:noProof/>
          <w:lang w:val="en-US"/>
        </w:rPr>
        <w:drawing>
          <wp:inline distT="0" distB="0" distL="0" distR="0" wp14:anchorId="20A482AE" wp14:editId="64EB1C3D">
            <wp:extent cx="4894580" cy="7565390"/>
            <wp:effectExtent l="38100" t="19050" r="20320" b="35560"/>
            <wp:docPr id="74" name="Diagram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74FA9795" w14:textId="77777777" w:rsidR="001E391A" w:rsidRDefault="001E391A" w:rsidP="00CA53EB">
      <w:pPr>
        <w:pStyle w:val="Heading2"/>
      </w:pPr>
      <w:bookmarkStart w:id="196" w:name="_Toc343501150"/>
      <w:bookmarkStart w:id="197" w:name="_Toc348686351"/>
      <w:bookmarkStart w:id="198" w:name="_Toc419116151"/>
      <w:r w:rsidRPr="001E391A">
        <w:lastRenderedPageBreak/>
        <w:t>Introduction</w:t>
      </w:r>
      <w:bookmarkEnd w:id="196"/>
      <w:bookmarkEnd w:id="197"/>
      <w:bookmarkEnd w:id="198"/>
    </w:p>
    <w:p w14:paraId="4A97E657" w14:textId="77777777" w:rsidR="00F13BAC" w:rsidRPr="00F13BAC" w:rsidRDefault="00F13BAC" w:rsidP="00F13BAC"/>
    <w:p w14:paraId="447D28FA" w14:textId="7A075AA7" w:rsidR="00037261" w:rsidDel="00912BEA" w:rsidRDefault="00037261" w:rsidP="00037261">
      <w:r>
        <w:t xml:space="preserve">Following initial pre-pilot </w:t>
      </w:r>
      <w:r w:rsidR="00173DE4">
        <w:t>focus group</w:t>
      </w:r>
      <w:r w:rsidR="00511ED1">
        <w:t>s, and</w:t>
      </w:r>
      <w:r w:rsidR="00A4354E">
        <w:t xml:space="preserve"> </w:t>
      </w:r>
      <w:r>
        <w:t>simulation intervention design</w:t>
      </w:r>
      <w:r w:rsidR="00A4354E">
        <w:t>, a pilot course was run.</w:t>
      </w:r>
    </w:p>
    <w:p w14:paraId="4C961389" w14:textId="77777777" w:rsidR="001E391A" w:rsidRDefault="001E391A" w:rsidP="00CA53EB">
      <w:pPr>
        <w:pStyle w:val="Heading2"/>
      </w:pPr>
      <w:bookmarkStart w:id="199" w:name="_Toc343501151"/>
      <w:bookmarkStart w:id="200" w:name="_Toc348686352"/>
      <w:bookmarkStart w:id="201" w:name="_Toc419116152"/>
      <w:r w:rsidRPr="00601AF7">
        <w:t>Aims and objectives</w:t>
      </w:r>
      <w:bookmarkEnd w:id="199"/>
      <w:bookmarkEnd w:id="200"/>
      <w:bookmarkEnd w:id="201"/>
    </w:p>
    <w:p w14:paraId="406C7065" w14:textId="77777777" w:rsidR="00F13BAC" w:rsidRPr="00F13BAC" w:rsidRDefault="00F13BAC" w:rsidP="00F13BAC"/>
    <w:p w14:paraId="36C7A0B0" w14:textId="2A183C00" w:rsidR="00912BEA" w:rsidRDefault="00912BEA" w:rsidP="00037261">
      <w:r>
        <w:t xml:space="preserve">The </w:t>
      </w:r>
      <w:r w:rsidR="009036DC">
        <w:t xml:space="preserve">aim </w:t>
      </w:r>
      <w:r>
        <w:t>of the pilot study was to assess feasibility</w:t>
      </w:r>
      <w:r w:rsidR="009036DC">
        <w:t xml:space="preserve"> of course and assessments</w:t>
      </w:r>
      <w:r>
        <w:t>, practical issues with resources required</w:t>
      </w:r>
      <w:r w:rsidR="00315162">
        <w:t>,</w:t>
      </w:r>
      <w:r>
        <w:t xml:space="preserve"> and authenticity of scenarios and timings. </w:t>
      </w:r>
    </w:p>
    <w:p w14:paraId="01E2D135" w14:textId="77777777" w:rsidR="005D77D2" w:rsidRDefault="005D77D2" w:rsidP="00037261">
      <w:r>
        <w:t>Objectives were to:</w:t>
      </w:r>
    </w:p>
    <w:p w14:paraId="0472951A" w14:textId="5C767FB9" w:rsidR="005D77D2" w:rsidRDefault="005D77D2" w:rsidP="005D77D2">
      <w:r>
        <w:t xml:space="preserve">1. Pilot the scenarios with </w:t>
      </w:r>
      <w:r w:rsidR="00BC4377">
        <w:t>a FY1</w:t>
      </w:r>
      <w:r w:rsidR="009036DC">
        <w:t xml:space="preserve">, </w:t>
      </w:r>
      <w:r>
        <w:t>seek and act on feedback</w:t>
      </w:r>
      <w:r w:rsidR="009036DC">
        <w:t>.</w:t>
      </w:r>
    </w:p>
    <w:p w14:paraId="0D197270" w14:textId="569E22AF" w:rsidR="005D77D2" w:rsidRDefault="005D77D2" w:rsidP="005D77D2">
      <w:r>
        <w:t xml:space="preserve">2. </w:t>
      </w:r>
      <w:r w:rsidR="009036DC">
        <w:t>E</w:t>
      </w:r>
      <w:r>
        <w:t xml:space="preserve">xpose areas of challenge such as timekeeping, equipment complications and functionality. </w:t>
      </w:r>
    </w:p>
    <w:p w14:paraId="5DB40196" w14:textId="041E87C8" w:rsidR="005D77D2" w:rsidRDefault="005D77D2" w:rsidP="005D77D2">
      <w:r>
        <w:t xml:space="preserve">3. To run the course </w:t>
      </w:r>
      <w:r w:rsidR="009036DC">
        <w:t xml:space="preserve">for a pilot group, </w:t>
      </w:r>
      <w:r>
        <w:t>collect confidence scores pre</w:t>
      </w:r>
      <w:r w:rsidR="00315162">
        <w:t>-</w:t>
      </w:r>
      <w:r>
        <w:t xml:space="preserve"> and </w:t>
      </w:r>
      <w:r w:rsidR="001D42C9">
        <w:t>post-course</w:t>
      </w:r>
      <w:r>
        <w:t xml:space="preserve"> plus formative marks</w:t>
      </w:r>
      <w:r w:rsidR="00315162">
        <w:t>,</w:t>
      </w:r>
      <w:r>
        <w:t xml:space="preserve"> and explore potential relationships.</w:t>
      </w:r>
    </w:p>
    <w:p w14:paraId="27795379" w14:textId="30B88945" w:rsidR="005D77D2" w:rsidRPr="00037261" w:rsidRDefault="005D77D2" w:rsidP="005D77D2">
      <w:r>
        <w:t xml:space="preserve">4. To compare simulation </w:t>
      </w:r>
      <w:r w:rsidR="009036DC">
        <w:t xml:space="preserve">to control </w:t>
      </w:r>
      <w:r>
        <w:t>group confidence scores to creat</w:t>
      </w:r>
      <w:r w:rsidR="009036DC">
        <w:t>e</w:t>
      </w:r>
      <w:r>
        <w:t xml:space="preserve"> a power calculation to inform final study numbers</w:t>
      </w:r>
      <w:r w:rsidR="009036DC">
        <w:t>.</w:t>
      </w:r>
      <w:r>
        <w:t xml:space="preserve"> </w:t>
      </w:r>
    </w:p>
    <w:p w14:paraId="344EED59" w14:textId="77777777" w:rsidR="00F960B4" w:rsidRDefault="00F960B4" w:rsidP="00037261"/>
    <w:p w14:paraId="133D9034" w14:textId="77777777" w:rsidR="00B02D48" w:rsidRPr="00037261" w:rsidRDefault="00B02D48" w:rsidP="00037261"/>
    <w:p w14:paraId="3478489C" w14:textId="77777777" w:rsidR="001E391A" w:rsidRDefault="001E391A" w:rsidP="00CA53EB">
      <w:pPr>
        <w:pStyle w:val="Heading2"/>
      </w:pPr>
      <w:bookmarkStart w:id="202" w:name="_Toc343501152"/>
      <w:bookmarkStart w:id="203" w:name="_Toc348686353"/>
      <w:bookmarkStart w:id="204" w:name="_Toc419116153"/>
      <w:r w:rsidRPr="00601AF7">
        <w:lastRenderedPageBreak/>
        <w:t>Methods</w:t>
      </w:r>
      <w:bookmarkEnd w:id="202"/>
      <w:bookmarkEnd w:id="203"/>
      <w:bookmarkEnd w:id="204"/>
    </w:p>
    <w:p w14:paraId="6C8011C4" w14:textId="77777777" w:rsidR="00912BEA" w:rsidRDefault="00912BEA" w:rsidP="00060CC7"/>
    <w:p w14:paraId="7F4406DD" w14:textId="6FC83B07" w:rsidR="000102DF" w:rsidRDefault="000102DF" w:rsidP="00060CC7">
      <w:r>
        <w:rPr>
          <w:rFonts w:cs="Arial"/>
          <w:szCs w:val="24"/>
        </w:rPr>
        <w:t xml:space="preserve">Final year medical students were selected because they report </w:t>
      </w:r>
      <w:proofErr w:type="spellStart"/>
      <w:r>
        <w:rPr>
          <w:rFonts w:cs="Arial"/>
          <w:szCs w:val="24"/>
        </w:rPr>
        <w:t>underpreparedness</w:t>
      </w:r>
      <w:proofErr w:type="spellEnd"/>
      <w:r>
        <w:rPr>
          <w:rFonts w:cs="Arial"/>
          <w:szCs w:val="24"/>
        </w:rPr>
        <w:t xml:space="preserve"> for FY1. The intervention was to assess the effects on confidence and preparedness with starting FY1.</w:t>
      </w:r>
    </w:p>
    <w:p w14:paraId="52CE8F8B" w14:textId="47CEFA98" w:rsidR="00060CC7" w:rsidRDefault="002163E5" w:rsidP="00060CC7">
      <w:r>
        <w:t xml:space="preserve">A </w:t>
      </w:r>
      <w:r w:rsidR="00082BB6">
        <w:t>repeated-measures</w:t>
      </w:r>
      <w:r>
        <w:t xml:space="preserve"> design was employed for the pilot group of 23</w:t>
      </w:r>
      <w:r w:rsidR="00F12F4D">
        <w:t xml:space="preserve"> who completed a </w:t>
      </w:r>
      <w:r w:rsidR="00315162">
        <w:t>confidence score across three conditions:</w:t>
      </w:r>
      <w:r w:rsidR="009036DC">
        <w:t xml:space="preserve"> </w:t>
      </w:r>
      <w:r w:rsidR="001D42C9">
        <w:t>pre-course</w:t>
      </w:r>
      <w:r w:rsidR="00F12F4D">
        <w:t xml:space="preserve"> </w:t>
      </w:r>
      <w:r w:rsidR="009036DC">
        <w:t>(</w:t>
      </w:r>
      <w:r w:rsidR="00F12F4D">
        <w:t>bas</w:t>
      </w:r>
      <w:r>
        <w:t>e</w:t>
      </w:r>
      <w:r w:rsidR="00F12F4D">
        <w:t>l</w:t>
      </w:r>
      <w:r>
        <w:t>ine</w:t>
      </w:r>
      <w:r w:rsidR="009036DC">
        <w:t xml:space="preserve">), </w:t>
      </w:r>
      <w:r w:rsidR="001D42C9">
        <w:t>post-course</w:t>
      </w:r>
      <w:r>
        <w:t xml:space="preserve"> </w:t>
      </w:r>
      <w:r w:rsidR="009036DC">
        <w:t>(</w:t>
      </w:r>
      <w:r>
        <w:t>immediate</w:t>
      </w:r>
      <w:r w:rsidR="009036DC">
        <w:t>)</w:t>
      </w:r>
      <w:r w:rsidR="00315162">
        <w:t>,</w:t>
      </w:r>
      <w:r w:rsidR="00BE5126">
        <w:t xml:space="preserve"> </w:t>
      </w:r>
      <w:r>
        <w:t>and at four months (n=16)</w:t>
      </w:r>
      <w:r w:rsidR="00B4099C">
        <w:t xml:space="preserve">, </w:t>
      </w:r>
      <w:r>
        <w:t>when they were then compared to a control group who had not completed the IMASS course</w:t>
      </w:r>
      <w:r w:rsidR="00060CC7">
        <w:t xml:space="preserve"> (n=16)</w:t>
      </w:r>
      <w:r>
        <w:t xml:space="preserve">. </w:t>
      </w:r>
      <w:r w:rsidR="00060CC7">
        <w:t xml:space="preserve">These data were used to run a power calculation to inform numbers required </w:t>
      </w:r>
      <w:r w:rsidR="009036DC">
        <w:t xml:space="preserve">to power </w:t>
      </w:r>
      <w:r w:rsidR="00060CC7">
        <w:t xml:space="preserve">the final study. </w:t>
      </w:r>
    </w:p>
    <w:p w14:paraId="08367269" w14:textId="655692A0" w:rsidR="00912BEA" w:rsidRDefault="00F60B07" w:rsidP="00060CC7">
      <w:r>
        <w:t xml:space="preserve">The intervention </w:t>
      </w:r>
      <w:r w:rsidR="009036DC">
        <w:t>(</w:t>
      </w:r>
      <w:r w:rsidR="001D42C9">
        <w:t>Chapter</w:t>
      </w:r>
      <w:r>
        <w:t xml:space="preserve"> 5</w:t>
      </w:r>
      <w:r w:rsidR="009036DC">
        <w:t>)</w:t>
      </w:r>
      <w:r w:rsidR="00AE4BAE">
        <w:t xml:space="preserve"> require</w:t>
      </w:r>
      <w:r w:rsidR="00D414AD">
        <w:t>d a half-day course, requiring five</w:t>
      </w:r>
      <w:r>
        <w:t xml:space="preserve"> faculty members and resources as described</w:t>
      </w:r>
      <w:r w:rsidR="00D414AD">
        <w:t xml:space="preserve"> previously</w:t>
      </w:r>
      <w:r w:rsidR="00F960B4">
        <w:t>.</w:t>
      </w:r>
      <w:r w:rsidR="00253925">
        <w:t xml:space="preserve"> Each student was marked o</w:t>
      </w:r>
      <w:r w:rsidR="009036DC">
        <w:t>n the formative assessment tool</w:t>
      </w:r>
      <w:r w:rsidR="00F350A3">
        <w:t xml:space="preserve"> (Appendix 13</w:t>
      </w:r>
      <w:r w:rsidR="00BF015A">
        <w:t>.14)</w:t>
      </w:r>
      <w:r w:rsidR="00D414AD">
        <w:t>,</w:t>
      </w:r>
      <w:r w:rsidR="00BE5126">
        <w:t xml:space="preserve"> and peer feedback </w:t>
      </w:r>
      <w:r w:rsidR="00D414AD">
        <w:t xml:space="preserve">was </w:t>
      </w:r>
      <w:r w:rsidR="00F350A3">
        <w:t>encouraged (Appendix 13</w:t>
      </w:r>
      <w:r w:rsidR="00BE5126">
        <w:t>.15)</w:t>
      </w:r>
      <w:r w:rsidR="00253925">
        <w:t xml:space="preserve">. </w:t>
      </w:r>
      <w:r w:rsidR="002938BF">
        <w:t>Focus</w:t>
      </w:r>
      <w:r w:rsidR="00173DE4">
        <w:t xml:space="preserve"> group</w:t>
      </w:r>
      <w:r w:rsidR="00912BEA">
        <w:t xml:space="preserve">s </w:t>
      </w:r>
      <w:r w:rsidR="00253925">
        <w:t xml:space="preserve">with between four and five students </w:t>
      </w:r>
      <w:r w:rsidR="00912BEA">
        <w:t>were run for each group following the educational int</w:t>
      </w:r>
      <w:r w:rsidR="00253925">
        <w:t>ervention emplo</w:t>
      </w:r>
      <w:r>
        <w:t>ying the funnel</w:t>
      </w:r>
      <w:r w:rsidR="00912BEA">
        <w:t xml:space="preserve"> method </w:t>
      </w:r>
      <w:r w:rsidR="009036DC">
        <w:t>(</w:t>
      </w:r>
      <w:r w:rsidR="001D42C9">
        <w:t>Chapter</w:t>
      </w:r>
      <w:r w:rsidR="00912BEA">
        <w:t xml:space="preserve"> 4</w:t>
      </w:r>
      <w:r w:rsidR="009036DC">
        <w:t>)</w:t>
      </w:r>
      <w:r w:rsidR="00912BEA">
        <w:t xml:space="preserve">. </w:t>
      </w:r>
      <w:r>
        <w:t xml:space="preserve">They </w:t>
      </w:r>
      <w:r w:rsidR="00AE4BAE">
        <w:t>ran for 45 -</w:t>
      </w:r>
      <w:r w:rsidR="00253925">
        <w:t xml:space="preserve"> 60 minutes and </w:t>
      </w:r>
      <w:r>
        <w:t xml:space="preserve">were recorded with a digital device or detailed notes </w:t>
      </w:r>
      <w:r w:rsidR="00AE4BAE">
        <w:t xml:space="preserve">were </w:t>
      </w:r>
      <w:r>
        <w:t>made</w:t>
      </w:r>
      <w:r w:rsidR="009036DC">
        <w:t>,</w:t>
      </w:r>
      <w:r>
        <w:t xml:space="preserve"> depending on the</w:t>
      </w:r>
      <w:r w:rsidR="00AE4BAE">
        <w:t>ir</w:t>
      </w:r>
      <w:r>
        <w:t xml:space="preserve"> reaction to the recorded device. Data was transcribed </w:t>
      </w:r>
      <w:r w:rsidR="00511ED1">
        <w:t>verbatim</w:t>
      </w:r>
      <w:r>
        <w:t xml:space="preserve"> and analysed employing framework analysis</w:t>
      </w:r>
      <w:r w:rsidR="00AE4BAE">
        <w:t>,</w:t>
      </w:r>
      <w:r>
        <w:t xml:space="preserve"> </w:t>
      </w:r>
      <w:r w:rsidR="00AE4BAE">
        <w:t>initially on paper with memo-</w:t>
      </w:r>
      <w:r>
        <w:t xml:space="preserve">writing and </w:t>
      </w:r>
      <w:r w:rsidR="00EC2673">
        <w:t>Post-It</w:t>
      </w:r>
      <w:r>
        <w:t xml:space="preserve"> notes</w:t>
      </w:r>
      <w:r w:rsidR="009036DC">
        <w:t>. C</w:t>
      </w:r>
      <w:r>
        <w:t xml:space="preserve">onstant comparison </w:t>
      </w:r>
      <w:r w:rsidR="009036DC">
        <w:t xml:space="preserve">was </w:t>
      </w:r>
      <w:r>
        <w:t xml:space="preserve">made with previous data. Emergent themes were recorded and connections explored. </w:t>
      </w:r>
    </w:p>
    <w:p w14:paraId="14F70893" w14:textId="3041C570" w:rsidR="002163E5" w:rsidRDefault="00253925" w:rsidP="002163E5">
      <w:r>
        <w:lastRenderedPageBreak/>
        <w:t xml:space="preserve">Reflections and feedback from expert undergraduate educationalists involved as faculty </w:t>
      </w:r>
      <w:r w:rsidR="00ED7EE5">
        <w:t>and participants were</w:t>
      </w:r>
      <w:r>
        <w:t xml:space="preserve"> sought</w:t>
      </w:r>
      <w:r w:rsidR="00AE4BAE">
        <w:t>,</w:t>
      </w:r>
      <w:r>
        <w:t xml:space="preserve"> and notes kept within a research diary</w:t>
      </w:r>
      <w:r w:rsidR="00ED7EE5">
        <w:t>,</w:t>
      </w:r>
      <w:r>
        <w:t xml:space="preserve"> which is available for review. Any changes suggested were put forward for the final intervent</w:t>
      </w:r>
      <w:r w:rsidR="00ED7EE5">
        <w:t xml:space="preserve">ion study. </w:t>
      </w:r>
    </w:p>
    <w:p w14:paraId="30090B67" w14:textId="7BCA4601" w:rsidR="00C37E69" w:rsidRPr="009251C5" w:rsidRDefault="00D02764" w:rsidP="00C37E69">
      <w:r>
        <w:t xml:space="preserve">Formal </w:t>
      </w:r>
      <w:r w:rsidR="00511ED1">
        <w:t>feedback on 13 questions was</w:t>
      </w:r>
      <w:r>
        <w:t xml:space="preserve"> collected from each student following the</w:t>
      </w:r>
      <w:r w:rsidR="00AE4BAE">
        <w:t xml:space="preserve"> course and space left for free</w:t>
      </w:r>
      <w:r>
        <w:t>hand comments. The feedback form was developed from parameters collected from the initial scoping exercise regarding simulation and preparedness plus other educational courses run at the education centre (</w:t>
      </w:r>
      <w:r w:rsidR="00F350A3">
        <w:t>13</w:t>
      </w:r>
      <w:r w:rsidR="00BE5126">
        <w:t>.16</w:t>
      </w:r>
      <w:r>
        <w:t>).</w:t>
      </w:r>
    </w:p>
    <w:p w14:paraId="3D9A5E1C" w14:textId="25B36679" w:rsidR="00C37E69" w:rsidRDefault="00864139" w:rsidP="00864139">
      <w:pPr>
        <w:pStyle w:val="Heading2"/>
      </w:pPr>
      <w:bookmarkStart w:id="205" w:name="_Toc348686354"/>
      <w:bookmarkStart w:id="206" w:name="_Toc419116154"/>
      <w:r>
        <w:t>Statistical analysis</w:t>
      </w:r>
      <w:bookmarkEnd w:id="205"/>
      <w:bookmarkEnd w:id="206"/>
    </w:p>
    <w:p w14:paraId="6430C38C" w14:textId="77777777" w:rsidR="00864139" w:rsidRDefault="00864139" w:rsidP="002163E5"/>
    <w:p w14:paraId="0A711A42" w14:textId="2653A9FC" w:rsidR="00C37E69" w:rsidRPr="002163E5" w:rsidRDefault="00C37E69" w:rsidP="002163E5">
      <w:r>
        <w:t>The histograms presented below</w:t>
      </w:r>
      <w:r w:rsidR="00AE4BAE">
        <w:t xml:space="preserve"> </w:t>
      </w:r>
      <w:r w:rsidR="00272DD8">
        <w:t xml:space="preserve">(Figure 6.3) </w:t>
      </w:r>
      <w:r w:rsidR="00AE4BAE">
        <w:t>show</w:t>
      </w:r>
      <w:r>
        <w:t xml:space="preserve"> that quantitative data distribution was relatively normal</w:t>
      </w:r>
      <w:r w:rsidR="00AE4BAE">
        <w:t>,</w:t>
      </w:r>
      <w:r>
        <w:t xml:space="preserve"> so parametric statistical tests were performed</w:t>
      </w:r>
      <w:r w:rsidR="00167830">
        <w:t xml:space="preserve"> as per</w:t>
      </w:r>
      <w:r>
        <w:t xml:space="preserve"> advice fr</w:t>
      </w:r>
      <w:r w:rsidR="00167830">
        <w:t>o</w:t>
      </w:r>
      <w:r>
        <w:t xml:space="preserve">m </w:t>
      </w:r>
      <w:r w:rsidR="00AE4BAE">
        <w:t xml:space="preserve">the </w:t>
      </w:r>
      <w:r w:rsidR="00167830">
        <w:t xml:space="preserve">university </w:t>
      </w:r>
      <w:r>
        <w:t>statistician</w:t>
      </w:r>
      <w:r w:rsidR="00167830">
        <w:t xml:space="preserve">. </w:t>
      </w:r>
      <w:r>
        <w:t xml:space="preserve">The reason for </w:t>
      </w:r>
      <w:r w:rsidR="00511ED1">
        <w:t>choosing</w:t>
      </w:r>
      <w:r>
        <w:t xml:space="preserve"> ANOVA for </w:t>
      </w:r>
      <w:r w:rsidR="00082BB6">
        <w:t>repeated-measures</w:t>
      </w:r>
      <w:r>
        <w:t xml:space="preserve"> is discussed in </w:t>
      </w:r>
      <w:r w:rsidR="001D42C9">
        <w:t>Chapter</w:t>
      </w:r>
      <w:r>
        <w:t xml:space="preserve"> 3. For the final study standardised residuals </w:t>
      </w:r>
      <w:r w:rsidR="00167830">
        <w:t xml:space="preserve">were performed </w:t>
      </w:r>
      <w:r>
        <w:t>on the data to see the variation from the mea</w:t>
      </w:r>
      <w:r w:rsidR="00AE4BAE">
        <w:t xml:space="preserve">n - </w:t>
      </w:r>
      <w:r>
        <w:t xml:space="preserve">this is described in </w:t>
      </w:r>
      <w:r w:rsidR="00896854">
        <w:t>C</w:t>
      </w:r>
      <w:r>
        <w:t xml:space="preserve">hapter 7. </w:t>
      </w:r>
    </w:p>
    <w:p w14:paraId="05865A59" w14:textId="47391AB7" w:rsidR="001E391A" w:rsidRDefault="001E391A" w:rsidP="00CA53EB">
      <w:pPr>
        <w:pStyle w:val="Heading2"/>
      </w:pPr>
      <w:bookmarkStart w:id="207" w:name="_Toc343501153"/>
      <w:bookmarkStart w:id="208" w:name="_Toc348686355"/>
      <w:bookmarkStart w:id="209" w:name="_Toc419116155"/>
      <w:r w:rsidRPr="00601AF7">
        <w:t xml:space="preserve">Results – quantitative – </w:t>
      </w:r>
      <w:r w:rsidR="00082BB6">
        <w:t>repeated-measures</w:t>
      </w:r>
      <w:r w:rsidRPr="00601AF7">
        <w:t xml:space="preserve"> </w:t>
      </w:r>
      <w:r w:rsidR="00E51676" w:rsidRPr="00601AF7">
        <w:t>vs.</w:t>
      </w:r>
      <w:r w:rsidRPr="00601AF7">
        <w:t xml:space="preserve"> control and intervention</w:t>
      </w:r>
      <w:bookmarkEnd w:id="207"/>
      <w:bookmarkEnd w:id="208"/>
      <w:bookmarkEnd w:id="209"/>
    </w:p>
    <w:p w14:paraId="634F03C8" w14:textId="77777777" w:rsidR="001D2782" w:rsidRDefault="001D2782" w:rsidP="00C030CE">
      <w:pPr>
        <w:rPr>
          <w:rFonts w:cs="Arial"/>
          <w:szCs w:val="24"/>
        </w:rPr>
      </w:pPr>
    </w:p>
    <w:p w14:paraId="238D0719" w14:textId="1D905131" w:rsidR="00C030CE" w:rsidRDefault="00C030CE" w:rsidP="00C030CE">
      <w:pPr>
        <w:rPr>
          <w:rFonts w:cs="Arial"/>
          <w:szCs w:val="24"/>
        </w:rPr>
      </w:pPr>
      <w:r w:rsidRPr="00E664CB">
        <w:rPr>
          <w:rFonts w:cs="Arial"/>
          <w:szCs w:val="24"/>
        </w:rPr>
        <w:t xml:space="preserve">The results reported within this section are the initial findings of the pilot study.  </w:t>
      </w:r>
    </w:p>
    <w:p w14:paraId="3BD1CBF8" w14:textId="77777777" w:rsidR="00B02D48" w:rsidRDefault="00B02D48" w:rsidP="00C030CE">
      <w:pPr>
        <w:rPr>
          <w:rFonts w:cs="Arial"/>
          <w:szCs w:val="24"/>
        </w:rPr>
      </w:pPr>
    </w:p>
    <w:p w14:paraId="74562232" w14:textId="77777777" w:rsidR="00C030CE" w:rsidRPr="00C657BB" w:rsidRDefault="00C030CE" w:rsidP="005367B9">
      <w:pPr>
        <w:pStyle w:val="Heading3"/>
      </w:pPr>
      <w:bookmarkStart w:id="210" w:name="_Toc262768996"/>
      <w:bookmarkStart w:id="211" w:name="_Toc343501154"/>
      <w:bookmarkStart w:id="212" w:name="_Toc348686356"/>
      <w:bookmarkStart w:id="213" w:name="_Toc419116156"/>
      <w:r w:rsidRPr="00C657BB">
        <w:lastRenderedPageBreak/>
        <w:t>The sample</w:t>
      </w:r>
      <w:bookmarkEnd w:id="210"/>
      <w:bookmarkEnd w:id="211"/>
      <w:bookmarkEnd w:id="212"/>
      <w:bookmarkEnd w:id="213"/>
    </w:p>
    <w:p w14:paraId="6950F75B" w14:textId="77777777" w:rsidR="001D2782" w:rsidRDefault="001D2782" w:rsidP="00665DC5">
      <w:pPr>
        <w:rPr>
          <w:rFonts w:cs="Arial"/>
          <w:szCs w:val="24"/>
        </w:rPr>
      </w:pPr>
    </w:p>
    <w:p w14:paraId="012089D8" w14:textId="757093B3" w:rsidR="00665DC5" w:rsidRDefault="001D2782" w:rsidP="00665DC5">
      <w:pPr>
        <w:rPr>
          <w:rFonts w:cs="Arial"/>
          <w:szCs w:val="24"/>
        </w:rPr>
      </w:pPr>
      <w:r>
        <w:rPr>
          <w:rFonts w:cs="Arial"/>
          <w:szCs w:val="24"/>
        </w:rPr>
        <w:t>For the pilot</w:t>
      </w:r>
      <w:r w:rsidR="00665DC5">
        <w:rPr>
          <w:rFonts w:cs="Arial"/>
          <w:szCs w:val="24"/>
        </w:rPr>
        <w:t xml:space="preserve"> course</w:t>
      </w:r>
      <w:r w:rsidR="00896854">
        <w:rPr>
          <w:rFonts w:cs="Arial"/>
          <w:szCs w:val="24"/>
        </w:rPr>
        <w:t>,</w:t>
      </w:r>
      <w:r w:rsidR="00665DC5">
        <w:rPr>
          <w:rFonts w:cs="Arial"/>
          <w:szCs w:val="24"/>
        </w:rPr>
        <w:t xml:space="preserve"> all 5</w:t>
      </w:r>
      <w:r w:rsidR="00665DC5" w:rsidRPr="00B23219">
        <w:rPr>
          <w:rFonts w:cs="Arial"/>
          <w:szCs w:val="24"/>
          <w:vertAlign w:val="superscript"/>
        </w:rPr>
        <w:t>th</w:t>
      </w:r>
      <w:r w:rsidR="00665DC5">
        <w:rPr>
          <w:rFonts w:cs="Arial"/>
          <w:szCs w:val="24"/>
        </w:rPr>
        <w:t xml:space="preserve"> year medical students from University 1 due to start work at the hospital in closest proximity to the education centre were</w:t>
      </w:r>
      <w:r w:rsidR="00896854">
        <w:rPr>
          <w:rFonts w:cs="Arial"/>
          <w:szCs w:val="24"/>
        </w:rPr>
        <w:t xml:space="preserve"> </w:t>
      </w:r>
      <w:r>
        <w:rPr>
          <w:rFonts w:cs="Arial"/>
          <w:szCs w:val="24"/>
        </w:rPr>
        <w:t>invited to participate</w:t>
      </w:r>
      <w:r w:rsidR="00665DC5">
        <w:rPr>
          <w:rFonts w:cs="Arial"/>
          <w:szCs w:val="24"/>
        </w:rPr>
        <w:t>. They would receive the course and teaching irrespective of whether they consented to participate in the research study. All students were provided with an information sheet (A</w:t>
      </w:r>
      <w:r w:rsidR="00F350A3">
        <w:rPr>
          <w:rFonts w:cs="Arial"/>
          <w:szCs w:val="24"/>
        </w:rPr>
        <w:t>ppendix 13</w:t>
      </w:r>
      <w:r w:rsidR="003704CA">
        <w:rPr>
          <w:rFonts w:cs="Arial"/>
          <w:szCs w:val="24"/>
        </w:rPr>
        <w:t>.1</w:t>
      </w:r>
      <w:r w:rsidR="00F350A3">
        <w:rPr>
          <w:rFonts w:cs="Arial"/>
          <w:szCs w:val="24"/>
        </w:rPr>
        <w:t>1) and consent form (Appendix 13</w:t>
      </w:r>
      <w:r w:rsidR="003704CA">
        <w:rPr>
          <w:rFonts w:cs="Arial"/>
          <w:szCs w:val="24"/>
        </w:rPr>
        <w:t>.12</w:t>
      </w:r>
      <w:r w:rsidR="00665DC5">
        <w:rPr>
          <w:rFonts w:cs="Arial"/>
          <w:szCs w:val="24"/>
        </w:rPr>
        <w:t>) with time to answer questions ab</w:t>
      </w:r>
      <w:r w:rsidR="00896854">
        <w:rPr>
          <w:rFonts w:cs="Arial"/>
          <w:szCs w:val="24"/>
        </w:rPr>
        <w:t xml:space="preserve">out the </w:t>
      </w:r>
      <w:r w:rsidR="00665DC5">
        <w:rPr>
          <w:rFonts w:cs="Arial"/>
          <w:szCs w:val="24"/>
        </w:rPr>
        <w:t xml:space="preserve">study. </w:t>
      </w:r>
    </w:p>
    <w:p w14:paraId="41600B6D" w14:textId="3BDF3DE9" w:rsidR="00120284" w:rsidRPr="008A526C" w:rsidRDefault="00120284" w:rsidP="00120284">
      <w:pPr>
        <w:rPr>
          <w:rFonts w:cs="Arial"/>
          <w:szCs w:val="24"/>
        </w:rPr>
      </w:pPr>
      <w:r>
        <w:t>Inclusio</w:t>
      </w:r>
      <w:r w:rsidR="00665DC5">
        <w:t>n criteria were</w:t>
      </w:r>
      <w:r>
        <w:t xml:space="preserve"> employed to reduce confounding variables. By selecting 5</w:t>
      </w:r>
      <w:r w:rsidRPr="008C7807">
        <w:rPr>
          <w:vertAlign w:val="superscript"/>
        </w:rPr>
        <w:t>th</w:t>
      </w:r>
      <w:r>
        <w:t xml:space="preserve"> year medical students from two medical schools and employing the power calculation for effect, </w:t>
      </w:r>
      <w:r w:rsidR="00896854">
        <w:t>the hope was that these data were</w:t>
      </w:r>
      <w:r>
        <w:t xml:space="preserve"> transferrable to other medical students in the UK</w:t>
      </w:r>
      <w:r w:rsidR="00896854">
        <w:t>,</w:t>
      </w:r>
      <w:r>
        <w:t xml:space="preserve"> if not </w:t>
      </w:r>
      <w:r w:rsidR="00B9177C">
        <w:t>inter</w:t>
      </w:r>
      <w:r>
        <w:t>nationally. They are a similar group who have progressed through selection points at medical school, including examinations and professionalism requirements to reach 5</w:t>
      </w:r>
      <w:r w:rsidRPr="008C7807">
        <w:rPr>
          <w:vertAlign w:val="superscript"/>
        </w:rPr>
        <w:t>th</w:t>
      </w:r>
      <w:r>
        <w:t xml:space="preserve"> year of medical school</w:t>
      </w:r>
      <w:r w:rsidR="00896854">
        <w:t>,</w:t>
      </w:r>
      <w:r>
        <w:t xml:space="preserve"> so represent a similar cohort. In </w:t>
      </w:r>
      <w:r w:rsidR="00337A7E">
        <w:t>using</w:t>
      </w:r>
      <w:r>
        <w:t xml:space="preserve"> two different medical school</w:t>
      </w:r>
      <w:r w:rsidR="001D2782">
        <w:t>s,</w:t>
      </w:r>
      <w:r>
        <w:t xml:space="preserve"> comparisons could be made to explore </w:t>
      </w:r>
      <w:r w:rsidR="00896854">
        <w:t xml:space="preserve">potential </w:t>
      </w:r>
      <w:r>
        <w:t>difference</w:t>
      </w:r>
      <w:r w:rsidR="00A02379">
        <w:t>s</w:t>
      </w:r>
      <w:r>
        <w:t xml:space="preserve"> in curricula. </w:t>
      </w:r>
      <w:r w:rsidR="008A526C">
        <w:rPr>
          <w:rFonts w:cs="Arial"/>
          <w:szCs w:val="24"/>
        </w:rPr>
        <w:t>As the students at this stage have been signed off as competent in clinical procedures</w:t>
      </w:r>
      <w:r w:rsidR="00896854">
        <w:rPr>
          <w:rFonts w:cs="Arial"/>
          <w:szCs w:val="24"/>
        </w:rPr>
        <w:t>, it was</w:t>
      </w:r>
      <w:r w:rsidR="008A526C">
        <w:rPr>
          <w:rFonts w:cs="Arial"/>
          <w:szCs w:val="24"/>
        </w:rPr>
        <w:t xml:space="preserve"> a</w:t>
      </w:r>
      <w:r w:rsidR="00896854">
        <w:rPr>
          <w:rFonts w:cs="Arial"/>
          <w:szCs w:val="24"/>
        </w:rPr>
        <w:t xml:space="preserve">nticipated that the course would </w:t>
      </w:r>
      <w:r w:rsidR="008A526C">
        <w:rPr>
          <w:rFonts w:cs="Arial"/>
          <w:szCs w:val="24"/>
        </w:rPr>
        <w:t xml:space="preserve">allow </w:t>
      </w:r>
      <w:r w:rsidR="00C63AFE">
        <w:rPr>
          <w:rFonts w:cs="Arial"/>
          <w:szCs w:val="24"/>
        </w:rPr>
        <w:t xml:space="preserve">for the </w:t>
      </w:r>
      <w:r w:rsidR="008A526C">
        <w:rPr>
          <w:rFonts w:cs="Arial"/>
          <w:szCs w:val="24"/>
        </w:rPr>
        <w:t>display and application of skills, knowledge and management. They were encouraged to realise their strengths and weakness and how to manage them w</w:t>
      </w:r>
      <w:r w:rsidR="00896854">
        <w:rPr>
          <w:rFonts w:cs="Arial"/>
          <w:szCs w:val="24"/>
        </w:rPr>
        <w:t>hen trying to perform tasks</w:t>
      </w:r>
      <w:r w:rsidR="008A526C">
        <w:rPr>
          <w:rFonts w:cs="Arial"/>
          <w:szCs w:val="24"/>
        </w:rPr>
        <w:t xml:space="preserve"> under pressure </w:t>
      </w:r>
      <w:r w:rsidR="00896854">
        <w:rPr>
          <w:rFonts w:cs="Arial"/>
          <w:szCs w:val="24"/>
        </w:rPr>
        <w:t>(</w:t>
      </w:r>
      <w:r w:rsidR="00A02379">
        <w:rPr>
          <w:rFonts w:cs="Arial"/>
          <w:szCs w:val="24"/>
        </w:rPr>
        <w:t>human factors elements</w:t>
      </w:r>
      <w:r w:rsidR="00896854">
        <w:rPr>
          <w:rFonts w:cs="Arial"/>
          <w:szCs w:val="24"/>
        </w:rPr>
        <w:t>)</w:t>
      </w:r>
      <w:r w:rsidR="008A526C">
        <w:rPr>
          <w:rFonts w:cs="Arial"/>
          <w:szCs w:val="24"/>
        </w:rPr>
        <w:t xml:space="preserve">. </w:t>
      </w:r>
    </w:p>
    <w:p w14:paraId="03A63AB2" w14:textId="6CAF8D57" w:rsidR="00682415" w:rsidRPr="00E664CB" w:rsidRDefault="00C030CE" w:rsidP="00C030CE">
      <w:pPr>
        <w:rPr>
          <w:rFonts w:cs="Arial"/>
          <w:szCs w:val="24"/>
        </w:rPr>
      </w:pPr>
      <w:r w:rsidRPr="00E664CB">
        <w:rPr>
          <w:rFonts w:cs="Arial"/>
          <w:szCs w:val="24"/>
        </w:rPr>
        <w:t>Twenty-three students were recruited to the pilot study. Two students were unable to attend due to ill health and prior commitments</w:t>
      </w:r>
      <w:r w:rsidR="00404776">
        <w:rPr>
          <w:rFonts w:cs="Arial"/>
          <w:szCs w:val="24"/>
        </w:rPr>
        <w:t>. T</w:t>
      </w:r>
      <w:r w:rsidRPr="00E664CB">
        <w:rPr>
          <w:rFonts w:cs="Arial"/>
          <w:szCs w:val="24"/>
        </w:rPr>
        <w:t xml:space="preserve">hey were offered a </w:t>
      </w:r>
      <w:r w:rsidRPr="00E664CB">
        <w:rPr>
          <w:rFonts w:cs="Arial"/>
          <w:szCs w:val="24"/>
        </w:rPr>
        <w:lastRenderedPageBreak/>
        <w:t xml:space="preserve">further opportunity to take part but were unable to </w:t>
      </w:r>
      <w:r w:rsidR="00C63AFE">
        <w:rPr>
          <w:rFonts w:cs="Arial"/>
          <w:szCs w:val="24"/>
        </w:rPr>
        <w:t xml:space="preserve">because of </w:t>
      </w:r>
      <w:r w:rsidRPr="00E664CB">
        <w:rPr>
          <w:rFonts w:cs="Arial"/>
          <w:szCs w:val="24"/>
        </w:rPr>
        <w:t>timetabling commitments.</w:t>
      </w:r>
    </w:p>
    <w:p w14:paraId="46BC79C3" w14:textId="25CE3120" w:rsidR="00C030CE" w:rsidRPr="00C657BB" w:rsidRDefault="00C030CE" w:rsidP="005367B9">
      <w:pPr>
        <w:pStyle w:val="Heading3"/>
      </w:pPr>
      <w:bookmarkStart w:id="214" w:name="_Toc262768997"/>
      <w:bookmarkStart w:id="215" w:name="_Toc343501155"/>
      <w:bookmarkStart w:id="216" w:name="_Toc348686357"/>
      <w:bookmarkStart w:id="217" w:name="_Toc419116157"/>
      <w:r w:rsidRPr="00C657BB">
        <w:t>Pre</w:t>
      </w:r>
      <w:r w:rsidR="001D42C9">
        <w:t>-course</w:t>
      </w:r>
      <w:r w:rsidRPr="00C657BB">
        <w:t xml:space="preserve"> and post</w:t>
      </w:r>
      <w:r w:rsidR="001D42C9">
        <w:t>-</w:t>
      </w:r>
      <w:r w:rsidRPr="00C657BB">
        <w:t>course confidence scores</w:t>
      </w:r>
      <w:bookmarkEnd w:id="214"/>
      <w:bookmarkEnd w:id="215"/>
      <w:bookmarkEnd w:id="216"/>
      <w:bookmarkEnd w:id="217"/>
    </w:p>
    <w:p w14:paraId="4B0E5125" w14:textId="77777777" w:rsidR="003E580E" w:rsidRDefault="003E580E" w:rsidP="00C030CE">
      <w:pPr>
        <w:rPr>
          <w:rFonts w:cs="Arial"/>
          <w:szCs w:val="24"/>
        </w:rPr>
      </w:pPr>
    </w:p>
    <w:p w14:paraId="4797FA6B" w14:textId="507D9172" w:rsidR="00C030CE" w:rsidRPr="001A1581" w:rsidRDefault="00C030CE" w:rsidP="00C030CE">
      <w:pPr>
        <w:rPr>
          <w:rFonts w:cs="Arial"/>
          <w:szCs w:val="24"/>
        </w:rPr>
      </w:pPr>
      <w:r w:rsidRPr="001A1581">
        <w:rPr>
          <w:rFonts w:cs="Arial"/>
          <w:szCs w:val="24"/>
        </w:rPr>
        <w:t xml:space="preserve">Overall confidence about being a FY1 </w:t>
      </w:r>
      <w:r w:rsidR="00C63AFE" w:rsidRPr="001A1581">
        <w:rPr>
          <w:rFonts w:cs="Arial"/>
          <w:szCs w:val="24"/>
        </w:rPr>
        <w:t xml:space="preserve">improved </w:t>
      </w:r>
      <w:r w:rsidRPr="001A1581">
        <w:rPr>
          <w:rFonts w:cs="Arial"/>
          <w:szCs w:val="24"/>
        </w:rPr>
        <w:t xml:space="preserve">following the course in 83% of </w:t>
      </w:r>
      <w:r w:rsidR="00C63AFE">
        <w:rPr>
          <w:rFonts w:cs="Arial"/>
          <w:szCs w:val="24"/>
        </w:rPr>
        <w:t>c</w:t>
      </w:r>
      <w:r w:rsidR="005F705F">
        <w:rPr>
          <w:rFonts w:cs="Arial"/>
          <w:szCs w:val="24"/>
        </w:rPr>
        <w:t>andidate</w:t>
      </w:r>
      <w:r>
        <w:rPr>
          <w:rFonts w:cs="Arial"/>
          <w:szCs w:val="24"/>
        </w:rPr>
        <w:t>s</w:t>
      </w:r>
      <w:r w:rsidRPr="001A1581">
        <w:rPr>
          <w:rFonts w:cs="Arial"/>
          <w:szCs w:val="24"/>
        </w:rPr>
        <w:t xml:space="preserve"> (n= </w:t>
      </w:r>
      <w:r>
        <w:rPr>
          <w:rFonts w:cs="Arial"/>
          <w:szCs w:val="24"/>
        </w:rPr>
        <w:t>19</w:t>
      </w:r>
      <w:r w:rsidRPr="001A1581">
        <w:rPr>
          <w:rFonts w:cs="Arial"/>
          <w:szCs w:val="24"/>
        </w:rPr>
        <w:t xml:space="preserve">). </w:t>
      </w:r>
      <w:r w:rsidR="00A02379">
        <w:rPr>
          <w:rFonts w:cs="Arial"/>
          <w:szCs w:val="24"/>
        </w:rPr>
        <w:t>Figure 6.1</w:t>
      </w:r>
      <w:r w:rsidRPr="001A1581">
        <w:rPr>
          <w:rFonts w:cs="Arial"/>
          <w:szCs w:val="24"/>
        </w:rPr>
        <w:t xml:space="preserve"> demonstrates the pre and </w:t>
      </w:r>
      <w:r w:rsidR="001D42C9">
        <w:rPr>
          <w:rFonts w:cs="Arial"/>
          <w:szCs w:val="24"/>
        </w:rPr>
        <w:t>post-course</w:t>
      </w:r>
      <w:r w:rsidRPr="001A1581">
        <w:rPr>
          <w:rFonts w:cs="Arial"/>
          <w:szCs w:val="24"/>
        </w:rPr>
        <w:t xml:space="preserve"> overall confidence level</w:t>
      </w:r>
      <w:r>
        <w:rPr>
          <w:rFonts w:cs="Arial"/>
          <w:szCs w:val="24"/>
        </w:rPr>
        <w:t xml:space="preserve"> for each </w:t>
      </w:r>
      <w:r w:rsidR="00C63AFE">
        <w:rPr>
          <w:rFonts w:cs="Arial"/>
          <w:szCs w:val="24"/>
        </w:rPr>
        <w:t>c</w:t>
      </w:r>
      <w:r w:rsidR="005F705F">
        <w:rPr>
          <w:rFonts w:cs="Arial"/>
          <w:szCs w:val="24"/>
        </w:rPr>
        <w:t>andidate</w:t>
      </w:r>
      <w:r w:rsidR="00A02379">
        <w:rPr>
          <w:rFonts w:cs="Arial"/>
          <w:szCs w:val="24"/>
        </w:rPr>
        <w:t>.</w:t>
      </w:r>
    </w:p>
    <w:p w14:paraId="1E30AC3C" w14:textId="77777777" w:rsidR="00943EBD" w:rsidRDefault="00C030CE" w:rsidP="00943EBD">
      <w:pPr>
        <w:keepNext/>
      </w:pPr>
      <w:r>
        <w:rPr>
          <w:rFonts w:cs="Arial"/>
          <w:noProof/>
          <w:szCs w:val="24"/>
          <w:lang w:val="en-US"/>
        </w:rPr>
        <w:drawing>
          <wp:inline distT="0" distB="0" distL="0" distR="0" wp14:anchorId="4F6521ED" wp14:editId="1C5EE6B7">
            <wp:extent cx="5486400" cy="3302000"/>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6400" cy="3302000"/>
                    </a:xfrm>
                    <a:prstGeom prst="rect">
                      <a:avLst/>
                    </a:prstGeom>
                    <a:noFill/>
                    <a:ln>
                      <a:noFill/>
                    </a:ln>
                  </pic:spPr>
                </pic:pic>
              </a:graphicData>
            </a:graphic>
          </wp:inline>
        </w:drawing>
      </w:r>
    </w:p>
    <w:p w14:paraId="2C00D3D8" w14:textId="7F41C56D" w:rsidR="00C030CE" w:rsidRPr="00943EBD" w:rsidRDefault="00943EBD" w:rsidP="007000F8">
      <w:pPr>
        <w:pStyle w:val="Caption"/>
        <w:rPr>
          <w:szCs w:val="24"/>
        </w:rPr>
      </w:pPr>
      <w:bookmarkStart w:id="218" w:name="_Toc419116460"/>
      <w:bookmarkStart w:id="219" w:name="_Toc365579434"/>
      <w:bookmarkStart w:id="220" w:name="_Toc368056033"/>
      <w:r>
        <w:t xml:space="preserve">Figure </w:t>
      </w:r>
      <w:r w:rsidR="009A2F08">
        <w:fldChar w:fldCharType="begin"/>
      </w:r>
      <w:r w:rsidR="009A2F08">
        <w:instrText xml:space="preserve"> STYLEREF 1 \s </w:instrText>
      </w:r>
      <w:r w:rsidR="009A2F08">
        <w:fldChar w:fldCharType="separate"/>
      </w:r>
      <w:r w:rsidR="007220A7">
        <w:rPr>
          <w:noProof/>
        </w:rPr>
        <w:t>6</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w:t>
      </w:r>
      <w:r w:rsidR="009A2F08">
        <w:fldChar w:fldCharType="end"/>
      </w:r>
      <w:bookmarkStart w:id="221" w:name="_Toc262767503"/>
      <w:bookmarkStart w:id="222" w:name="_Toc262767616"/>
      <w:r>
        <w:rPr>
          <w:szCs w:val="24"/>
        </w:rPr>
        <w:t xml:space="preserve"> </w:t>
      </w:r>
      <w:r w:rsidR="00DA74E9">
        <w:t>D</w:t>
      </w:r>
      <w:r w:rsidR="00C030CE" w:rsidRPr="0095185C">
        <w:t>ifference</w:t>
      </w:r>
      <w:r w:rsidR="00DA74E9">
        <w:t>s</w:t>
      </w:r>
      <w:r w:rsidR="00C030CE" w:rsidRPr="0095185C">
        <w:t xml:space="preserve"> in pre-course (IMASS simulation intervention) (blue) and </w:t>
      </w:r>
      <w:r w:rsidR="001D42C9">
        <w:t>post-course</w:t>
      </w:r>
      <w:r w:rsidR="00C030CE" w:rsidRPr="0095185C">
        <w:t xml:space="preserve"> confidence scores about starting as a FY1 (red)</w:t>
      </w:r>
      <w:bookmarkEnd w:id="221"/>
      <w:bookmarkEnd w:id="222"/>
      <w:bookmarkEnd w:id="218"/>
      <w:r>
        <w:t xml:space="preserve"> </w:t>
      </w:r>
      <w:bookmarkEnd w:id="219"/>
      <w:bookmarkEnd w:id="220"/>
    </w:p>
    <w:p w14:paraId="36CBDE1C" w14:textId="4C0550C5" w:rsidR="00C030CE" w:rsidRPr="009C4833" w:rsidRDefault="00C030CE" w:rsidP="00C030CE">
      <w:pPr>
        <w:rPr>
          <w:rFonts w:cs="Arial"/>
          <w:szCs w:val="24"/>
        </w:rPr>
      </w:pPr>
      <w:r>
        <w:rPr>
          <w:rFonts w:cs="Arial"/>
          <w:szCs w:val="24"/>
        </w:rPr>
        <w:t xml:space="preserve">When broken down </w:t>
      </w:r>
      <w:r w:rsidR="000A27DF">
        <w:rPr>
          <w:rFonts w:cs="Arial"/>
          <w:szCs w:val="24"/>
        </w:rPr>
        <w:t>into</w:t>
      </w:r>
      <w:r>
        <w:rPr>
          <w:rFonts w:cs="Arial"/>
          <w:szCs w:val="24"/>
        </w:rPr>
        <w:t xml:space="preserve"> the 19 different parameters from the learning outcomes</w:t>
      </w:r>
      <w:r w:rsidR="00A02379">
        <w:rPr>
          <w:rFonts w:cs="Arial"/>
          <w:szCs w:val="24"/>
        </w:rPr>
        <w:t>,</w:t>
      </w:r>
      <w:r>
        <w:rPr>
          <w:rFonts w:cs="Arial"/>
          <w:szCs w:val="24"/>
        </w:rPr>
        <w:t xml:space="preserve"> it bec</w:t>
      </w:r>
      <w:r w:rsidR="00A02379">
        <w:rPr>
          <w:rFonts w:cs="Arial"/>
          <w:szCs w:val="24"/>
        </w:rPr>
        <w:t>ame</w:t>
      </w:r>
      <w:r>
        <w:rPr>
          <w:rFonts w:cs="Arial"/>
          <w:szCs w:val="24"/>
        </w:rPr>
        <w:t xml:space="preserve"> more apparent at what the course is good and not</w:t>
      </w:r>
      <w:r w:rsidR="00943EBD">
        <w:rPr>
          <w:rFonts w:cs="Arial"/>
          <w:szCs w:val="24"/>
        </w:rPr>
        <w:t xml:space="preserve"> so good at addressing</w:t>
      </w:r>
      <w:r w:rsidR="00A02379">
        <w:rPr>
          <w:rFonts w:cs="Arial"/>
          <w:szCs w:val="24"/>
        </w:rPr>
        <w:t>,</w:t>
      </w:r>
      <w:r w:rsidR="00404776">
        <w:rPr>
          <w:rFonts w:cs="Arial"/>
          <w:szCs w:val="24"/>
        </w:rPr>
        <w:t xml:space="preserve"> as well as the variation in baseline confidence for different skills</w:t>
      </w:r>
      <w:r w:rsidR="00943EBD">
        <w:rPr>
          <w:rFonts w:cs="Arial"/>
          <w:szCs w:val="24"/>
        </w:rPr>
        <w:t xml:space="preserve"> </w:t>
      </w:r>
      <w:r w:rsidR="00901FD6">
        <w:rPr>
          <w:rFonts w:cs="Arial"/>
          <w:szCs w:val="24"/>
        </w:rPr>
        <w:t>(</w:t>
      </w:r>
      <w:r w:rsidR="00943EBD">
        <w:rPr>
          <w:rFonts w:cs="Arial"/>
          <w:szCs w:val="24"/>
        </w:rPr>
        <w:t>Figure 6.2</w:t>
      </w:r>
      <w:r w:rsidR="00901FD6">
        <w:rPr>
          <w:rFonts w:cs="Arial"/>
          <w:szCs w:val="24"/>
        </w:rPr>
        <w:t>)</w:t>
      </w:r>
      <w:r>
        <w:rPr>
          <w:rFonts w:cs="Arial"/>
          <w:szCs w:val="24"/>
        </w:rPr>
        <w:t>. The l</w:t>
      </w:r>
      <w:r w:rsidRPr="009C4833">
        <w:rPr>
          <w:rFonts w:cs="Arial"/>
          <w:szCs w:val="24"/>
        </w:rPr>
        <w:t xml:space="preserve">argest average </w:t>
      </w:r>
      <w:r w:rsidR="00E51676" w:rsidRPr="009C4833">
        <w:rPr>
          <w:rFonts w:cs="Arial"/>
          <w:szCs w:val="24"/>
        </w:rPr>
        <w:t>improvemen</w:t>
      </w:r>
      <w:r w:rsidR="00E51676">
        <w:rPr>
          <w:rFonts w:cs="Arial"/>
          <w:szCs w:val="24"/>
        </w:rPr>
        <w:t xml:space="preserve">ts in confidence scores </w:t>
      </w:r>
      <w:r w:rsidR="00A02379">
        <w:rPr>
          <w:rFonts w:cs="Arial"/>
          <w:szCs w:val="24"/>
        </w:rPr>
        <w:t>(</w:t>
      </w:r>
      <w:proofErr w:type="spellStart"/>
      <w:r w:rsidR="00A02379">
        <w:rPr>
          <w:rFonts w:cs="Arial"/>
          <w:szCs w:val="24"/>
        </w:rPr>
        <w:t xml:space="preserve">self </w:t>
      </w:r>
      <w:r w:rsidR="00A02379">
        <w:rPr>
          <w:rFonts w:cs="Arial"/>
          <w:szCs w:val="24"/>
        </w:rPr>
        <w:lastRenderedPageBreak/>
        <w:t>ratings</w:t>
      </w:r>
      <w:proofErr w:type="spellEnd"/>
      <w:r w:rsidR="00A02379">
        <w:rPr>
          <w:rFonts w:cs="Arial"/>
          <w:szCs w:val="24"/>
        </w:rPr>
        <w:t xml:space="preserve"> from 1 not confident, to 10 very confident) </w:t>
      </w:r>
      <w:r w:rsidR="00E51676">
        <w:rPr>
          <w:rFonts w:cs="Arial"/>
          <w:szCs w:val="24"/>
        </w:rPr>
        <w:t>were</w:t>
      </w:r>
      <w:r>
        <w:rPr>
          <w:rFonts w:cs="Arial"/>
          <w:szCs w:val="24"/>
        </w:rPr>
        <w:t xml:space="preserve"> for r</w:t>
      </w:r>
      <w:r w:rsidRPr="009C4833">
        <w:rPr>
          <w:rFonts w:cs="Arial"/>
          <w:szCs w:val="24"/>
        </w:rPr>
        <w:t>esponding to a crash call (+ 3.2)</w:t>
      </w:r>
      <w:r>
        <w:rPr>
          <w:rFonts w:cs="Arial"/>
          <w:szCs w:val="24"/>
        </w:rPr>
        <w:t>, performing verbal referrals and</w:t>
      </w:r>
      <w:r w:rsidRPr="009C4833">
        <w:rPr>
          <w:rFonts w:cs="Arial"/>
          <w:szCs w:val="24"/>
        </w:rPr>
        <w:t xml:space="preserve"> hand </w:t>
      </w:r>
      <w:r>
        <w:rPr>
          <w:rFonts w:cs="Arial"/>
          <w:szCs w:val="24"/>
        </w:rPr>
        <w:t>over (</w:t>
      </w:r>
      <w:r w:rsidRPr="009C4833">
        <w:rPr>
          <w:rFonts w:cs="Arial"/>
          <w:szCs w:val="24"/>
        </w:rPr>
        <w:t>+ 2.3)</w:t>
      </w:r>
      <w:r>
        <w:rPr>
          <w:rFonts w:cs="Arial"/>
          <w:szCs w:val="24"/>
        </w:rPr>
        <w:t>, leadership, delegation and</w:t>
      </w:r>
      <w:r w:rsidRPr="009C4833">
        <w:rPr>
          <w:rFonts w:cs="Arial"/>
          <w:szCs w:val="24"/>
        </w:rPr>
        <w:t xml:space="preserve"> prioritisation (+ 2.26)</w:t>
      </w:r>
      <w:r>
        <w:rPr>
          <w:rFonts w:cs="Arial"/>
          <w:szCs w:val="24"/>
        </w:rPr>
        <w:t xml:space="preserve"> and finally, m</w:t>
      </w:r>
      <w:r w:rsidRPr="009C4833">
        <w:rPr>
          <w:rFonts w:cs="Arial"/>
          <w:szCs w:val="24"/>
        </w:rPr>
        <w:t>anagement of self in stressful situations (+ 2.2)</w:t>
      </w:r>
      <w:r>
        <w:rPr>
          <w:rFonts w:cs="Arial"/>
          <w:szCs w:val="24"/>
        </w:rPr>
        <w:t>.</w:t>
      </w:r>
    </w:p>
    <w:p w14:paraId="4614AD71" w14:textId="3D7EB6DC" w:rsidR="00C030CE" w:rsidRDefault="00C030CE" w:rsidP="00C030CE">
      <w:pPr>
        <w:rPr>
          <w:rFonts w:cs="Arial"/>
          <w:szCs w:val="24"/>
        </w:rPr>
      </w:pPr>
      <w:r>
        <w:rPr>
          <w:rFonts w:cs="Arial"/>
          <w:szCs w:val="24"/>
        </w:rPr>
        <w:t>The s</w:t>
      </w:r>
      <w:r w:rsidRPr="009C4833">
        <w:rPr>
          <w:rFonts w:cs="Arial"/>
          <w:szCs w:val="24"/>
        </w:rPr>
        <w:t>mallest improvement in confidence scores were for sharps safety (8.5 –</w:t>
      </w:r>
      <w:r>
        <w:rPr>
          <w:rFonts w:cs="Arial"/>
          <w:szCs w:val="24"/>
        </w:rPr>
        <w:t xml:space="preserve"> 8.8 = +0.3) and patient safety or being a patient</w:t>
      </w:r>
      <w:r w:rsidRPr="009C4833">
        <w:rPr>
          <w:rFonts w:cs="Arial"/>
          <w:szCs w:val="24"/>
        </w:rPr>
        <w:t xml:space="preserve"> advocate (6.6 – 7.6 = +1)</w:t>
      </w:r>
      <w:r>
        <w:rPr>
          <w:rFonts w:cs="Arial"/>
          <w:szCs w:val="24"/>
        </w:rPr>
        <w:t>.</w:t>
      </w:r>
      <w:r w:rsidR="00943EBD">
        <w:rPr>
          <w:rFonts w:cs="Arial"/>
          <w:szCs w:val="24"/>
        </w:rPr>
        <w:t xml:space="preserve"> However they did show improvement and no areas reduced following the course.</w:t>
      </w:r>
    </w:p>
    <w:p w14:paraId="2FF0E9C7" w14:textId="77777777" w:rsidR="00943EBD" w:rsidRDefault="00C030CE" w:rsidP="00943EBD">
      <w:pPr>
        <w:keepNext/>
      </w:pPr>
      <w:r>
        <w:rPr>
          <w:noProof/>
          <w:lang w:val="en-US"/>
        </w:rPr>
        <w:drawing>
          <wp:inline distT="0" distB="0" distL="0" distR="0" wp14:anchorId="452086E8" wp14:editId="06489EB8">
            <wp:extent cx="5486400" cy="3573145"/>
            <wp:effectExtent l="0" t="0" r="0" b="8255"/>
            <wp:docPr id="1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6400" cy="3573145"/>
                    </a:xfrm>
                    <a:prstGeom prst="rect">
                      <a:avLst/>
                    </a:prstGeom>
                    <a:noFill/>
                    <a:ln>
                      <a:noFill/>
                    </a:ln>
                  </pic:spPr>
                </pic:pic>
              </a:graphicData>
            </a:graphic>
          </wp:inline>
        </w:drawing>
      </w:r>
    </w:p>
    <w:p w14:paraId="3BF64CE6" w14:textId="30B8AE6B" w:rsidR="00C030CE" w:rsidRDefault="00943EBD" w:rsidP="007000F8">
      <w:pPr>
        <w:pStyle w:val="Caption"/>
      </w:pPr>
      <w:bookmarkStart w:id="223" w:name="_Toc365579435"/>
      <w:bookmarkStart w:id="224" w:name="_Toc368056034"/>
      <w:bookmarkStart w:id="225" w:name="_Toc419116461"/>
      <w:r>
        <w:t xml:space="preserve">Figure </w:t>
      </w:r>
      <w:r w:rsidR="009A2F08">
        <w:fldChar w:fldCharType="begin"/>
      </w:r>
      <w:r w:rsidR="009A2F08">
        <w:instrText xml:space="preserve"> STYLEREF 1 \s </w:instrText>
      </w:r>
      <w:r w:rsidR="009A2F08">
        <w:fldChar w:fldCharType="separate"/>
      </w:r>
      <w:r w:rsidR="007220A7">
        <w:rPr>
          <w:noProof/>
        </w:rPr>
        <w:t>6</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2</w:t>
      </w:r>
      <w:r w:rsidR="009A2F08">
        <w:fldChar w:fldCharType="end"/>
      </w:r>
      <w:bookmarkStart w:id="226" w:name="_Toc262767504"/>
      <w:bookmarkStart w:id="227" w:name="_Toc262767617"/>
      <w:r w:rsidR="00C030CE">
        <w:t xml:space="preserve"> </w:t>
      </w:r>
      <w:r w:rsidR="00491998">
        <w:t>B</w:t>
      </w:r>
      <w:r w:rsidR="00C030CE">
        <w:t>reakdown in pre</w:t>
      </w:r>
      <w:r w:rsidR="00F64B02">
        <w:t>-</w:t>
      </w:r>
      <w:r w:rsidR="00C030CE">
        <w:t xml:space="preserve"> and post</w:t>
      </w:r>
      <w:r w:rsidR="00F64B02">
        <w:t>-</w:t>
      </w:r>
      <w:r w:rsidR="00C030CE">
        <w:t xml:space="preserve">IMASS confidence scores for each of the 19 </w:t>
      </w:r>
      <w:r w:rsidR="00F64B02">
        <w:t xml:space="preserve">FP </w:t>
      </w:r>
      <w:r w:rsidR="00C030CE">
        <w:t xml:space="preserve">and </w:t>
      </w:r>
      <w:r w:rsidR="00F64B02">
        <w:t xml:space="preserve">TD </w:t>
      </w:r>
      <w:r w:rsidR="00C030CE">
        <w:t>mapped learning outcomes.</w:t>
      </w:r>
      <w:bookmarkEnd w:id="223"/>
      <w:bookmarkEnd w:id="224"/>
      <w:bookmarkEnd w:id="226"/>
      <w:bookmarkEnd w:id="227"/>
      <w:bookmarkEnd w:id="225"/>
    </w:p>
    <w:p w14:paraId="367E1C54" w14:textId="77777777" w:rsidR="0096321B" w:rsidRPr="0096321B" w:rsidRDefault="0096321B" w:rsidP="0096321B"/>
    <w:p w14:paraId="2594B05D" w14:textId="4994B60D" w:rsidR="002163E5" w:rsidRDefault="002163E5" w:rsidP="005367B9">
      <w:pPr>
        <w:pStyle w:val="Heading3"/>
      </w:pPr>
      <w:bookmarkStart w:id="228" w:name="_Toc343501156"/>
      <w:bookmarkStart w:id="229" w:name="_Toc348686358"/>
      <w:bookmarkStart w:id="230" w:name="_Toc419116158"/>
      <w:r>
        <w:lastRenderedPageBreak/>
        <w:t>Distribution of sample</w:t>
      </w:r>
      <w:bookmarkEnd w:id="228"/>
      <w:bookmarkEnd w:id="229"/>
      <w:bookmarkEnd w:id="230"/>
      <w:r>
        <w:t xml:space="preserve"> </w:t>
      </w:r>
    </w:p>
    <w:p w14:paraId="7065BA6D" w14:textId="77777777" w:rsidR="007348B1" w:rsidRDefault="007348B1" w:rsidP="007348B1">
      <w:pPr>
        <w:keepNext/>
      </w:pPr>
      <w:r>
        <w:rPr>
          <w:rFonts w:ascii="Times New Roman" w:hAnsi="Times New Roman"/>
          <w:noProof/>
          <w:lang w:val="en-US"/>
        </w:rPr>
        <w:drawing>
          <wp:inline distT="0" distB="0" distL="0" distR="0" wp14:anchorId="2D619E57" wp14:editId="3B3B19D7">
            <wp:extent cx="5491480" cy="439905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92407" cy="4399793"/>
                    </a:xfrm>
                    <a:prstGeom prst="rect">
                      <a:avLst/>
                    </a:prstGeom>
                    <a:noFill/>
                    <a:ln>
                      <a:noFill/>
                    </a:ln>
                  </pic:spPr>
                </pic:pic>
              </a:graphicData>
            </a:graphic>
          </wp:inline>
        </w:drawing>
      </w:r>
    </w:p>
    <w:p w14:paraId="6918DBA7" w14:textId="01932526" w:rsidR="002163E5" w:rsidRDefault="007348B1" w:rsidP="007000F8">
      <w:pPr>
        <w:pStyle w:val="Caption"/>
      </w:pPr>
      <w:bookmarkStart w:id="231" w:name="_Toc365579436"/>
      <w:bookmarkStart w:id="232" w:name="_Toc368056035"/>
      <w:bookmarkStart w:id="233" w:name="_Toc419116462"/>
      <w:r>
        <w:t xml:space="preserve">Figure </w:t>
      </w:r>
      <w:r w:rsidR="009A2F08">
        <w:fldChar w:fldCharType="begin"/>
      </w:r>
      <w:r w:rsidR="009A2F08">
        <w:instrText xml:space="preserve"> STYLEREF 1 \s </w:instrText>
      </w:r>
      <w:r w:rsidR="009A2F08">
        <w:fldChar w:fldCharType="separate"/>
      </w:r>
      <w:r w:rsidR="007220A7">
        <w:rPr>
          <w:noProof/>
        </w:rPr>
        <w:t>6</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3</w:t>
      </w:r>
      <w:r w:rsidR="009A2F08">
        <w:fldChar w:fldCharType="end"/>
      </w:r>
      <w:r>
        <w:t xml:space="preserve"> </w:t>
      </w:r>
      <w:r w:rsidR="003A2D32">
        <w:t>D</w:t>
      </w:r>
      <w:r>
        <w:t>istribution of baseline pre-course confidence scores in pilot group</w:t>
      </w:r>
      <w:bookmarkEnd w:id="231"/>
      <w:bookmarkEnd w:id="232"/>
      <w:r w:rsidR="003A2D32">
        <w:t>.</w:t>
      </w:r>
      <w:bookmarkEnd w:id="233"/>
    </w:p>
    <w:p w14:paraId="6F1657F7" w14:textId="1E87B5DB" w:rsidR="007348B1" w:rsidRDefault="007348B1" w:rsidP="007348B1">
      <w:r>
        <w:t>The histogram above demonstrates a relatively normal distribution</w:t>
      </w:r>
      <w:r w:rsidR="00B165AB">
        <w:t>,</w:t>
      </w:r>
      <w:r>
        <w:t xml:space="preserve"> so </w:t>
      </w:r>
      <w:r w:rsidR="00F64B02">
        <w:t xml:space="preserve">a </w:t>
      </w:r>
      <w:r>
        <w:t>parametric related sample T</w:t>
      </w:r>
      <w:r w:rsidR="00F64B02">
        <w:t>-</w:t>
      </w:r>
      <w:r>
        <w:t xml:space="preserve">test was performed on the baseline </w:t>
      </w:r>
      <w:r w:rsidR="001D42C9">
        <w:t>pre-course</w:t>
      </w:r>
      <w:r w:rsidR="00F64B02">
        <w:t>’s</w:t>
      </w:r>
      <w:r>
        <w:t xml:space="preserve"> and </w:t>
      </w:r>
      <w:r w:rsidR="001D42C9">
        <w:t>post-course</w:t>
      </w:r>
      <w:r w:rsidR="00F64B02">
        <w:t>’s</w:t>
      </w:r>
      <w:r>
        <w:t xml:space="preserve"> immediate values. </w:t>
      </w:r>
    </w:p>
    <w:p w14:paraId="7C2FE10D" w14:textId="77777777" w:rsidR="003704CA" w:rsidRDefault="003704CA" w:rsidP="007348B1"/>
    <w:p w14:paraId="53D9A9C8" w14:textId="77777777" w:rsidR="003704CA" w:rsidRDefault="003704CA" w:rsidP="007348B1"/>
    <w:p w14:paraId="60533373" w14:textId="77777777" w:rsidR="003704CA" w:rsidRDefault="003704CA" w:rsidP="007348B1"/>
    <w:p w14:paraId="72E99BCA" w14:textId="77777777" w:rsidR="003704CA" w:rsidRDefault="003704CA" w:rsidP="007348B1"/>
    <w:p w14:paraId="7367B099" w14:textId="76DD55A6" w:rsidR="007348B1" w:rsidRDefault="007348B1" w:rsidP="005367B9">
      <w:pPr>
        <w:pStyle w:val="Heading3"/>
      </w:pPr>
      <w:bookmarkStart w:id="234" w:name="_Toc343501157"/>
      <w:bookmarkStart w:id="235" w:name="_Toc348686359"/>
      <w:bookmarkStart w:id="236" w:name="_Toc419116159"/>
      <w:r>
        <w:lastRenderedPageBreak/>
        <w:t>Related samples T</w:t>
      </w:r>
      <w:r w:rsidR="00F910D6">
        <w:t>-</w:t>
      </w:r>
      <w:r>
        <w:t>test to compare a single group of students under two different conditions</w:t>
      </w:r>
      <w:bookmarkEnd w:id="234"/>
      <w:bookmarkEnd w:id="235"/>
      <w:bookmarkEnd w:id="236"/>
    </w:p>
    <w:p w14:paraId="472DE686" w14:textId="77777777" w:rsidR="003704CA" w:rsidRPr="003704CA" w:rsidRDefault="003704CA" w:rsidP="001049C6"/>
    <w:p w14:paraId="1C0FE132" w14:textId="242BAF14" w:rsidR="007348B1" w:rsidRDefault="007348B1" w:rsidP="001049C6">
      <w:pPr>
        <w:widowControl w:val="0"/>
        <w:autoSpaceDE w:val="0"/>
        <w:autoSpaceDN w:val="0"/>
        <w:adjustRightInd w:val="0"/>
        <w:rPr>
          <w:rFonts w:cs="Arial"/>
        </w:rPr>
      </w:pPr>
      <w:r>
        <w:rPr>
          <w:rFonts w:cs="Arial"/>
        </w:rPr>
        <w:t xml:space="preserve">These data were </w:t>
      </w:r>
      <w:r w:rsidR="00F64B02">
        <w:rPr>
          <w:rFonts w:cs="Arial"/>
        </w:rPr>
        <w:t xml:space="preserve">taken </w:t>
      </w:r>
      <w:r>
        <w:rPr>
          <w:rFonts w:cs="Arial"/>
        </w:rPr>
        <w:t xml:space="preserve">from overall confidence scores about being a FY1 before and after the simulation intervention course on the same day. </w:t>
      </w:r>
    </w:p>
    <w:p w14:paraId="46F16B96" w14:textId="77777777" w:rsidR="003704CA" w:rsidRPr="00484AE6" w:rsidRDefault="003704CA" w:rsidP="007348B1">
      <w:pPr>
        <w:widowControl w:val="0"/>
        <w:autoSpaceDE w:val="0"/>
        <w:autoSpaceDN w:val="0"/>
        <w:adjustRightInd w:val="0"/>
        <w:spacing w:line="400" w:lineRule="atLeast"/>
        <w:rPr>
          <w:rFonts w:cs="Arial"/>
        </w:rPr>
      </w:pPr>
    </w:p>
    <w:tbl>
      <w:tblPr>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8"/>
        <w:gridCol w:w="2079"/>
        <w:gridCol w:w="1160"/>
        <w:gridCol w:w="1160"/>
        <w:gridCol w:w="1665"/>
        <w:gridCol w:w="1665"/>
      </w:tblGrid>
      <w:tr w:rsidR="007348B1" w:rsidRPr="009047BE" w14:paraId="7B4F299A" w14:textId="77777777" w:rsidTr="001049C6">
        <w:trPr>
          <w:cantSplit/>
          <w:trHeight w:val="836"/>
        </w:trPr>
        <w:tc>
          <w:tcPr>
            <w:tcW w:w="8643" w:type="dxa"/>
            <w:gridSpan w:val="6"/>
            <w:tcBorders>
              <w:top w:val="nil"/>
              <w:left w:val="nil"/>
              <w:bottom w:val="nil"/>
              <w:right w:val="nil"/>
            </w:tcBorders>
            <w:shd w:val="clear" w:color="auto" w:fill="FFFFFF"/>
            <w:vAlign w:val="center"/>
          </w:tcPr>
          <w:p w14:paraId="2480C696" w14:textId="77777777" w:rsidR="007348B1" w:rsidRPr="009047BE" w:rsidRDefault="007348B1" w:rsidP="007348B1">
            <w:pPr>
              <w:widowControl w:val="0"/>
              <w:autoSpaceDE w:val="0"/>
              <w:autoSpaceDN w:val="0"/>
              <w:adjustRightInd w:val="0"/>
              <w:spacing w:line="320" w:lineRule="atLeast"/>
              <w:ind w:left="60" w:right="60"/>
              <w:jc w:val="center"/>
              <w:rPr>
                <w:rFonts w:cs="Arial"/>
                <w:color w:val="000000"/>
              </w:rPr>
            </w:pPr>
            <w:r w:rsidRPr="009047BE">
              <w:rPr>
                <w:rFonts w:cs="Arial"/>
                <w:b/>
                <w:bCs/>
                <w:color w:val="000000"/>
              </w:rPr>
              <w:t>Paired Samples Statistics</w:t>
            </w:r>
          </w:p>
        </w:tc>
      </w:tr>
      <w:tr w:rsidR="001049C6" w:rsidRPr="009047BE" w14:paraId="25DEDF94" w14:textId="77777777" w:rsidTr="001049C6">
        <w:trPr>
          <w:cantSplit/>
          <w:trHeight w:val="1188"/>
        </w:trPr>
        <w:tc>
          <w:tcPr>
            <w:tcW w:w="2996" w:type="dxa"/>
            <w:gridSpan w:val="2"/>
            <w:tcBorders>
              <w:top w:val="single" w:sz="16" w:space="0" w:color="000000"/>
              <w:left w:val="single" w:sz="16" w:space="0" w:color="000000"/>
              <w:bottom w:val="single" w:sz="16" w:space="0" w:color="000000"/>
              <w:right w:val="nil"/>
            </w:tcBorders>
            <w:shd w:val="clear" w:color="auto" w:fill="FFFFFF"/>
            <w:vAlign w:val="bottom"/>
          </w:tcPr>
          <w:p w14:paraId="26FBF33B" w14:textId="77777777" w:rsidR="007348B1" w:rsidRPr="009047BE" w:rsidRDefault="007348B1" w:rsidP="007348B1">
            <w:pPr>
              <w:widowControl w:val="0"/>
              <w:autoSpaceDE w:val="0"/>
              <w:autoSpaceDN w:val="0"/>
              <w:adjustRightInd w:val="0"/>
              <w:rPr>
                <w:rFonts w:ascii="Times New Roman" w:hAnsi="Times New Roman"/>
              </w:rPr>
            </w:pPr>
          </w:p>
        </w:tc>
        <w:tc>
          <w:tcPr>
            <w:tcW w:w="1160" w:type="dxa"/>
            <w:tcBorders>
              <w:top w:val="single" w:sz="16" w:space="0" w:color="000000"/>
              <w:left w:val="single" w:sz="16" w:space="0" w:color="000000"/>
              <w:bottom w:val="single" w:sz="16" w:space="0" w:color="000000"/>
            </w:tcBorders>
            <w:shd w:val="clear" w:color="auto" w:fill="FFFFFF"/>
            <w:vAlign w:val="bottom"/>
          </w:tcPr>
          <w:p w14:paraId="2AAEE2B2" w14:textId="77777777" w:rsidR="007348B1" w:rsidRPr="009047BE" w:rsidRDefault="007348B1" w:rsidP="007348B1">
            <w:pPr>
              <w:widowControl w:val="0"/>
              <w:autoSpaceDE w:val="0"/>
              <w:autoSpaceDN w:val="0"/>
              <w:adjustRightInd w:val="0"/>
              <w:spacing w:line="320" w:lineRule="atLeast"/>
              <w:ind w:left="60" w:right="60"/>
              <w:jc w:val="center"/>
              <w:rPr>
                <w:rFonts w:cs="Arial"/>
                <w:color w:val="000000"/>
              </w:rPr>
            </w:pPr>
            <w:r w:rsidRPr="009047BE">
              <w:rPr>
                <w:rFonts w:cs="Arial"/>
                <w:color w:val="000000"/>
              </w:rPr>
              <w:t>Mean</w:t>
            </w:r>
          </w:p>
        </w:tc>
        <w:tc>
          <w:tcPr>
            <w:tcW w:w="1160" w:type="dxa"/>
            <w:tcBorders>
              <w:top w:val="single" w:sz="16" w:space="0" w:color="000000"/>
              <w:bottom w:val="single" w:sz="16" w:space="0" w:color="000000"/>
            </w:tcBorders>
            <w:shd w:val="clear" w:color="auto" w:fill="FFFFFF"/>
            <w:vAlign w:val="bottom"/>
          </w:tcPr>
          <w:p w14:paraId="123B8C5A" w14:textId="77777777" w:rsidR="007348B1" w:rsidRPr="009047BE" w:rsidRDefault="007348B1" w:rsidP="007348B1">
            <w:pPr>
              <w:widowControl w:val="0"/>
              <w:autoSpaceDE w:val="0"/>
              <w:autoSpaceDN w:val="0"/>
              <w:adjustRightInd w:val="0"/>
              <w:spacing w:line="320" w:lineRule="atLeast"/>
              <w:ind w:left="60" w:right="60"/>
              <w:jc w:val="center"/>
              <w:rPr>
                <w:rFonts w:cs="Arial"/>
                <w:color w:val="000000"/>
              </w:rPr>
            </w:pPr>
            <w:r w:rsidRPr="009047BE">
              <w:rPr>
                <w:rFonts w:cs="Arial"/>
                <w:color w:val="000000"/>
              </w:rPr>
              <w:t>N</w:t>
            </w:r>
          </w:p>
        </w:tc>
        <w:tc>
          <w:tcPr>
            <w:tcW w:w="1665" w:type="dxa"/>
            <w:tcBorders>
              <w:top w:val="single" w:sz="16" w:space="0" w:color="000000"/>
              <w:bottom w:val="single" w:sz="16" w:space="0" w:color="000000"/>
            </w:tcBorders>
            <w:shd w:val="clear" w:color="auto" w:fill="FFFFFF"/>
            <w:vAlign w:val="bottom"/>
          </w:tcPr>
          <w:p w14:paraId="11840954" w14:textId="77777777" w:rsidR="007348B1" w:rsidRPr="009047BE" w:rsidRDefault="007348B1" w:rsidP="007348B1">
            <w:pPr>
              <w:widowControl w:val="0"/>
              <w:autoSpaceDE w:val="0"/>
              <w:autoSpaceDN w:val="0"/>
              <w:adjustRightInd w:val="0"/>
              <w:spacing w:line="320" w:lineRule="atLeast"/>
              <w:ind w:left="60" w:right="60"/>
              <w:jc w:val="center"/>
              <w:rPr>
                <w:rFonts w:cs="Arial"/>
                <w:color w:val="000000"/>
              </w:rPr>
            </w:pPr>
            <w:r w:rsidRPr="009047BE">
              <w:rPr>
                <w:rFonts w:cs="Arial"/>
                <w:color w:val="000000"/>
              </w:rPr>
              <w:t>Std. Deviation</w:t>
            </w:r>
          </w:p>
        </w:tc>
        <w:tc>
          <w:tcPr>
            <w:tcW w:w="1665" w:type="dxa"/>
            <w:tcBorders>
              <w:top w:val="single" w:sz="16" w:space="0" w:color="000000"/>
              <w:bottom w:val="single" w:sz="16" w:space="0" w:color="000000"/>
              <w:right w:val="single" w:sz="16" w:space="0" w:color="000000"/>
            </w:tcBorders>
            <w:shd w:val="clear" w:color="auto" w:fill="FFFFFF"/>
            <w:vAlign w:val="bottom"/>
          </w:tcPr>
          <w:p w14:paraId="11668A93" w14:textId="77777777" w:rsidR="007348B1" w:rsidRPr="009047BE" w:rsidRDefault="007348B1" w:rsidP="007348B1">
            <w:pPr>
              <w:widowControl w:val="0"/>
              <w:autoSpaceDE w:val="0"/>
              <w:autoSpaceDN w:val="0"/>
              <w:adjustRightInd w:val="0"/>
              <w:spacing w:line="320" w:lineRule="atLeast"/>
              <w:ind w:left="60" w:right="60"/>
              <w:jc w:val="center"/>
              <w:rPr>
                <w:rFonts w:cs="Arial"/>
                <w:color w:val="000000"/>
              </w:rPr>
            </w:pPr>
            <w:r w:rsidRPr="009047BE">
              <w:rPr>
                <w:rFonts w:cs="Arial"/>
                <w:color w:val="000000"/>
              </w:rPr>
              <w:t>Std. Error Mean</w:t>
            </w:r>
          </w:p>
        </w:tc>
      </w:tr>
      <w:tr w:rsidR="001049C6" w:rsidRPr="009047BE" w14:paraId="49B6E39D" w14:textId="77777777" w:rsidTr="001049C6">
        <w:trPr>
          <w:cantSplit/>
          <w:trHeight w:val="1188"/>
        </w:trPr>
        <w:tc>
          <w:tcPr>
            <w:tcW w:w="918" w:type="dxa"/>
            <w:vMerge w:val="restart"/>
            <w:tcBorders>
              <w:top w:val="single" w:sz="16" w:space="0" w:color="000000"/>
              <w:left w:val="single" w:sz="16" w:space="0" w:color="000000"/>
              <w:bottom w:val="single" w:sz="16" w:space="0" w:color="000000"/>
              <w:right w:val="nil"/>
            </w:tcBorders>
            <w:shd w:val="clear" w:color="auto" w:fill="FFFFFF"/>
          </w:tcPr>
          <w:p w14:paraId="7233F0C0" w14:textId="77777777" w:rsidR="007348B1" w:rsidRPr="009047BE" w:rsidRDefault="007348B1" w:rsidP="007348B1">
            <w:pPr>
              <w:widowControl w:val="0"/>
              <w:autoSpaceDE w:val="0"/>
              <w:autoSpaceDN w:val="0"/>
              <w:adjustRightInd w:val="0"/>
              <w:spacing w:line="320" w:lineRule="atLeast"/>
              <w:ind w:left="60" w:right="60"/>
              <w:rPr>
                <w:rFonts w:cs="Arial"/>
                <w:color w:val="000000"/>
              </w:rPr>
            </w:pPr>
            <w:r w:rsidRPr="009047BE">
              <w:rPr>
                <w:rFonts w:cs="Arial"/>
                <w:color w:val="000000"/>
              </w:rPr>
              <w:t>Pair 1</w:t>
            </w:r>
          </w:p>
        </w:tc>
        <w:tc>
          <w:tcPr>
            <w:tcW w:w="2079" w:type="dxa"/>
            <w:tcBorders>
              <w:top w:val="single" w:sz="16" w:space="0" w:color="000000"/>
              <w:left w:val="nil"/>
              <w:bottom w:val="nil"/>
              <w:right w:val="single" w:sz="16" w:space="0" w:color="000000"/>
            </w:tcBorders>
            <w:shd w:val="clear" w:color="auto" w:fill="FFFFFF"/>
          </w:tcPr>
          <w:p w14:paraId="4DA7FA99" w14:textId="5752106B" w:rsidR="007348B1" w:rsidRPr="009047BE" w:rsidRDefault="00272DD8" w:rsidP="007348B1">
            <w:pPr>
              <w:widowControl w:val="0"/>
              <w:autoSpaceDE w:val="0"/>
              <w:autoSpaceDN w:val="0"/>
              <w:adjustRightInd w:val="0"/>
              <w:spacing w:line="320" w:lineRule="atLeast"/>
              <w:ind w:left="60" w:right="60"/>
              <w:rPr>
                <w:rFonts w:cs="Arial"/>
                <w:color w:val="000000"/>
              </w:rPr>
            </w:pPr>
            <w:r>
              <w:rPr>
                <w:rFonts w:cs="Arial"/>
                <w:color w:val="000000"/>
              </w:rPr>
              <w:t xml:space="preserve">Baseline confidence </w:t>
            </w:r>
            <w:r w:rsidR="007348B1" w:rsidRPr="009047BE">
              <w:rPr>
                <w:rFonts w:cs="Arial"/>
                <w:color w:val="000000"/>
              </w:rPr>
              <w:t>score</w:t>
            </w:r>
          </w:p>
        </w:tc>
        <w:tc>
          <w:tcPr>
            <w:tcW w:w="1160" w:type="dxa"/>
            <w:tcBorders>
              <w:top w:val="single" w:sz="16" w:space="0" w:color="000000"/>
              <w:left w:val="single" w:sz="16" w:space="0" w:color="000000"/>
              <w:bottom w:val="nil"/>
            </w:tcBorders>
            <w:shd w:val="clear" w:color="auto" w:fill="FFFFFF"/>
            <w:vAlign w:val="center"/>
          </w:tcPr>
          <w:p w14:paraId="40459B5F" w14:textId="77777777" w:rsidR="007348B1" w:rsidRPr="009047BE" w:rsidRDefault="007348B1" w:rsidP="00BF63E5">
            <w:pPr>
              <w:widowControl w:val="0"/>
              <w:autoSpaceDE w:val="0"/>
              <w:autoSpaceDN w:val="0"/>
              <w:adjustRightInd w:val="0"/>
              <w:spacing w:line="320" w:lineRule="atLeast"/>
              <w:ind w:left="60" w:right="60"/>
              <w:jc w:val="center"/>
              <w:rPr>
                <w:rFonts w:cs="Arial"/>
                <w:color w:val="000000"/>
              </w:rPr>
            </w:pPr>
            <w:r w:rsidRPr="009047BE">
              <w:rPr>
                <w:rFonts w:cs="Arial"/>
                <w:color w:val="000000"/>
              </w:rPr>
              <w:t>5.7826</w:t>
            </w:r>
          </w:p>
        </w:tc>
        <w:tc>
          <w:tcPr>
            <w:tcW w:w="1160" w:type="dxa"/>
            <w:tcBorders>
              <w:top w:val="single" w:sz="16" w:space="0" w:color="000000"/>
              <w:bottom w:val="nil"/>
            </w:tcBorders>
            <w:shd w:val="clear" w:color="auto" w:fill="FFFFFF"/>
            <w:vAlign w:val="center"/>
          </w:tcPr>
          <w:p w14:paraId="4966528B" w14:textId="77777777" w:rsidR="007348B1" w:rsidRPr="009047BE" w:rsidRDefault="007348B1" w:rsidP="00BF63E5">
            <w:pPr>
              <w:widowControl w:val="0"/>
              <w:autoSpaceDE w:val="0"/>
              <w:autoSpaceDN w:val="0"/>
              <w:adjustRightInd w:val="0"/>
              <w:spacing w:line="320" w:lineRule="atLeast"/>
              <w:ind w:left="60" w:right="60"/>
              <w:jc w:val="center"/>
              <w:rPr>
                <w:rFonts w:cs="Arial"/>
                <w:color w:val="000000"/>
              </w:rPr>
            </w:pPr>
            <w:r w:rsidRPr="009047BE">
              <w:rPr>
                <w:rFonts w:cs="Arial"/>
                <w:color w:val="000000"/>
              </w:rPr>
              <w:t>23</w:t>
            </w:r>
          </w:p>
        </w:tc>
        <w:tc>
          <w:tcPr>
            <w:tcW w:w="1665" w:type="dxa"/>
            <w:tcBorders>
              <w:top w:val="single" w:sz="16" w:space="0" w:color="000000"/>
              <w:bottom w:val="nil"/>
            </w:tcBorders>
            <w:shd w:val="clear" w:color="auto" w:fill="FFFFFF"/>
            <w:vAlign w:val="center"/>
          </w:tcPr>
          <w:p w14:paraId="75797FD3" w14:textId="77777777" w:rsidR="007348B1" w:rsidRPr="009047BE" w:rsidRDefault="007348B1" w:rsidP="00BF63E5">
            <w:pPr>
              <w:widowControl w:val="0"/>
              <w:autoSpaceDE w:val="0"/>
              <w:autoSpaceDN w:val="0"/>
              <w:adjustRightInd w:val="0"/>
              <w:spacing w:line="320" w:lineRule="atLeast"/>
              <w:ind w:left="60" w:right="60"/>
              <w:jc w:val="center"/>
              <w:rPr>
                <w:rFonts w:cs="Arial"/>
                <w:color w:val="000000"/>
              </w:rPr>
            </w:pPr>
            <w:r w:rsidRPr="009047BE">
              <w:rPr>
                <w:rFonts w:cs="Arial"/>
                <w:color w:val="000000"/>
              </w:rPr>
              <w:t>1.16605</w:t>
            </w:r>
          </w:p>
        </w:tc>
        <w:tc>
          <w:tcPr>
            <w:tcW w:w="1665" w:type="dxa"/>
            <w:tcBorders>
              <w:top w:val="single" w:sz="16" w:space="0" w:color="000000"/>
              <w:bottom w:val="nil"/>
              <w:right w:val="single" w:sz="16" w:space="0" w:color="000000"/>
            </w:tcBorders>
            <w:shd w:val="clear" w:color="auto" w:fill="FFFFFF"/>
            <w:vAlign w:val="center"/>
          </w:tcPr>
          <w:p w14:paraId="5129BFFB" w14:textId="77777777" w:rsidR="007348B1" w:rsidRPr="009047BE" w:rsidRDefault="007348B1" w:rsidP="00BF63E5">
            <w:pPr>
              <w:widowControl w:val="0"/>
              <w:autoSpaceDE w:val="0"/>
              <w:autoSpaceDN w:val="0"/>
              <w:adjustRightInd w:val="0"/>
              <w:spacing w:line="320" w:lineRule="atLeast"/>
              <w:ind w:left="60" w:right="60"/>
              <w:jc w:val="center"/>
              <w:rPr>
                <w:rFonts w:cs="Arial"/>
                <w:color w:val="000000"/>
              </w:rPr>
            </w:pPr>
            <w:r w:rsidRPr="009047BE">
              <w:rPr>
                <w:rFonts w:cs="Arial"/>
                <w:color w:val="000000"/>
              </w:rPr>
              <w:t>.24314</w:t>
            </w:r>
          </w:p>
        </w:tc>
      </w:tr>
      <w:tr w:rsidR="001049C6" w:rsidRPr="009047BE" w14:paraId="540E600E" w14:textId="77777777" w:rsidTr="001049C6">
        <w:trPr>
          <w:cantSplit/>
          <w:trHeight w:val="158"/>
        </w:trPr>
        <w:tc>
          <w:tcPr>
            <w:tcW w:w="918" w:type="dxa"/>
            <w:vMerge/>
            <w:tcBorders>
              <w:top w:val="single" w:sz="16" w:space="0" w:color="000000"/>
              <w:left w:val="single" w:sz="16" w:space="0" w:color="000000"/>
              <w:bottom w:val="single" w:sz="16" w:space="0" w:color="000000"/>
              <w:right w:val="nil"/>
            </w:tcBorders>
            <w:shd w:val="clear" w:color="auto" w:fill="FFFFFF"/>
          </w:tcPr>
          <w:p w14:paraId="0846D94D" w14:textId="77777777" w:rsidR="007348B1" w:rsidRPr="009047BE" w:rsidRDefault="007348B1" w:rsidP="007348B1">
            <w:pPr>
              <w:widowControl w:val="0"/>
              <w:autoSpaceDE w:val="0"/>
              <w:autoSpaceDN w:val="0"/>
              <w:adjustRightInd w:val="0"/>
              <w:rPr>
                <w:rFonts w:cs="Arial"/>
                <w:color w:val="000000"/>
              </w:rPr>
            </w:pPr>
          </w:p>
        </w:tc>
        <w:tc>
          <w:tcPr>
            <w:tcW w:w="2079" w:type="dxa"/>
            <w:tcBorders>
              <w:top w:val="nil"/>
              <w:left w:val="nil"/>
              <w:bottom w:val="single" w:sz="16" w:space="0" w:color="000000"/>
              <w:right w:val="single" w:sz="16" w:space="0" w:color="000000"/>
            </w:tcBorders>
            <w:shd w:val="clear" w:color="auto" w:fill="FFFFFF"/>
          </w:tcPr>
          <w:p w14:paraId="210B1B98" w14:textId="515A0AB8" w:rsidR="007348B1" w:rsidRPr="009047BE" w:rsidRDefault="00272DD8" w:rsidP="007348B1">
            <w:pPr>
              <w:widowControl w:val="0"/>
              <w:autoSpaceDE w:val="0"/>
              <w:autoSpaceDN w:val="0"/>
              <w:adjustRightInd w:val="0"/>
              <w:spacing w:line="320" w:lineRule="atLeast"/>
              <w:ind w:left="60" w:right="60"/>
              <w:rPr>
                <w:rFonts w:cs="Arial"/>
                <w:color w:val="000000"/>
              </w:rPr>
            </w:pPr>
            <w:proofErr w:type="spellStart"/>
            <w:r>
              <w:rPr>
                <w:rFonts w:cs="Arial"/>
                <w:color w:val="000000"/>
              </w:rPr>
              <w:t>Postcourse</w:t>
            </w:r>
            <w:proofErr w:type="spellEnd"/>
            <w:r>
              <w:rPr>
                <w:rFonts w:cs="Arial"/>
                <w:color w:val="000000"/>
              </w:rPr>
              <w:t xml:space="preserve"> confidence </w:t>
            </w:r>
            <w:r w:rsidR="007348B1" w:rsidRPr="009047BE">
              <w:rPr>
                <w:rFonts w:cs="Arial"/>
                <w:color w:val="000000"/>
              </w:rPr>
              <w:t>score</w:t>
            </w:r>
          </w:p>
        </w:tc>
        <w:tc>
          <w:tcPr>
            <w:tcW w:w="1160" w:type="dxa"/>
            <w:tcBorders>
              <w:top w:val="nil"/>
              <w:left w:val="single" w:sz="16" w:space="0" w:color="000000"/>
              <w:bottom w:val="single" w:sz="16" w:space="0" w:color="000000"/>
            </w:tcBorders>
            <w:shd w:val="clear" w:color="auto" w:fill="FFFFFF"/>
            <w:vAlign w:val="center"/>
          </w:tcPr>
          <w:p w14:paraId="422E47AC" w14:textId="77777777" w:rsidR="007348B1" w:rsidRPr="009047BE" w:rsidRDefault="007348B1" w:rsidP="00BF63E5">
            <w:pPr>
              <w:widowControl w:val="0"/>
              <w:autoSpaceDE w:val="0"/>
              <w:autoSpaceDN w:val="0"/>
              <w:adjustRightInd w:val="0"/>
              <w:spacing w:line="320" w:lineRule="atLeast"/>
              <w:ind w:left="60" w:right="60"/>
              <w:jc w:val="center"/>
              <w:rPr>
                <w:rFonts w:cs="Arial"/>
                <w:color w:val="000000"/>
              </w:rPr>
            </w:pPr>
            <w:r w:rsidRPr="009047BE">
              <w:rPr>
                <w:rFonts w:cs="Arial"/>
                <w:color w:val="000000"/>
              </w:rPr>
              <w:t>7.4783</w:t>
            </w:r>
          </w:p>
        </w:tc>
        <w:tc>
          <w:tcPr>
            <w:tcW w:w="1160" w:type="dxa"/>
            <w:tcBorders>
              <w:top w:val="nil"/>
              <w:bottom w:val="single" w:sz="16" w:space="0" w:color="000000"/>
            </w:tcBorders>
            <w:shd w:val="clear" w:color="auto" w:fill="FFFFFF"/>
            <w:vAlign w:val="center"/>
          </w:tcPr>
          <w:p w14:paraId="048066D5" w14:textId="77777777" w:rsidR="007348B1" w:rsidRPr="009047BE" w:rsidRDefault="007348B1" w:rsidP="00BF63E5">
            <w:pPr>
              <w:widowControl w:val="0"/>
              <w:autoSpaceDE w:val="0"/>
              <w:autoSpaceDN w:val="0"/>
              <w:adjustRightInd w:val="0"/>
              <w:spacing w:line="320" w:lineRule="atLeast"/>
              <w:ind w:left="60" w:right="60"/>
              <w:jc w:val="center"/>
              <w:rPr>
                <w:rFonts w:cs="Arial"/>
                <w:color w:val="000000"/>
              </w:rPr>
            </w:pPr>
            <w:r w:rsidRPr="009047BE">
              <w:rPr>
                <w:rFonts w:cs="Arial"/>
                <w:color w:val="000000"/>
              </w:rPr>
              <w:t>23</w:t>
            </w:r>
          </w:p>
        </w:tc>
        <w:tc>
          <w:tcPr>
            <w:tcW w:w="1665" w:type="dxa"/>
            <w:tcBorders>
              <w:top w:val="nil"/>
              <w:bottom w:val="single" w:sz="16" w:space="0" w:color="000000"/>
            </w:tcBorders>
            <w:shd w:val="clear" w:color="auto" w:fill="FFFFFF"/>
            <w:vAlign w:val="center"/>
          </w:tcPr>
          <w:p w14:paraId="4CF5A895" w14:textId="77777777" w:rsidR="007348B1" w:rsidRPr="009047BE" w:rsidRDefault="007348B1" w:rsidP="00BF63E5">
            <w:pPr>
              <w:widowControl w:val="0"/>
              <w:autoSpaceDE w:val="0"/>
              <w:autoSpaceDN w:val="0"/>
              <w:adjustRightInd w:val="0"/>
              <w:spacing w:line="320" w:lineRule="atLeast"/>
              <w:ind w:left="60" w:right="60"/>
              <w:jc w:val="center"/>
              <w:rPr>
                <w:rFonts w:cs="Arial"/>
                <w:color w:val="000000"/>
              </w:rPr>
            </w:pPr>
            <w:r w:rsidRPr="009047BE">
              <w:rPr>
                <w:rFonts w:cs="Arial"/>
                <w:color w:val="000000"/>
              </w:rPr>
              <w:t>.99405</w:t>
            </w:r>
          </w:p>
        </w:tc>
        <w:tc>
          <w:tcPr>
            <w:tcW w:w="1665" w:type="dxa"/>
            <w:tcBorders>
              <w:top w:val="nil"/>
              <w:bottom w:val="single" w:sz="16" w:space="0" w:color="000000"/>
              <w:right w:val="single" w:sz="16" w:space="0" w:color="000000"/>
            </w:tcBorders>
            <w:shd w:val="clear" w:color="auto" w:fill="FFFFFF"/>
            <w:vAlign w:val="center"/>
          </w:tcPr>
          <w:p w14:paraId="0751469B" w14:textId="77777777" w:rsidR="007348B1" w:rsidRPr="009047BE" w:rsidRDefault="007348B1" w:rsidP="00BF63E5">
            <w:pPr>
              <w:widowControl w:val="0"/>
              <w:autoSpaceDE w:val="0"/>
              <w:autoSpaceDN w:val="0"/>
              <w:adjustRightInd w:val="0"/>
              <w:spacing w:line="320" w:lineRule="atLeast"/>
              <w:ind w:left="60" w:right="60"/>
              <w:jc w:val="center"/>
              <w:rPr>
                <w:rFonts w:cs="Arial"/>
                <w:color w:val="000000"/>
              </w:rPr>
            </w:pPr>
            <w:r w:rsidRPr="009047BE">
              <w:rPr>
                <w:rFonts w:cs="Arial"/>
                <w:color w:val="000000"/>
              </w:rPr>
              <w:t>.20727</w:t>
            </w:r>
          </w:p>
        </w:tc>
      </w:tr>
    </w:tbl>
    <w:p w14:paraId="5D979A86" w14:textId="77777777" w:rsidR="007348B1" w:rsidRDefault="007348B1" w:rsidP="007348B1"/>
    <w:p w14:paraId="4687D852" w14:textId="08E5F357" w:rsidR="007348B1" w:rsidRDefault="007348B1" w:rsidP="007348B1">
      <w:r>
        <w:t xml:space="preserve">They demonstrate an increase in </w:t>
      </w:r>
      <w:r w:rsidR="00D2366A">
        <w:t xml:space="preserve">average </w:t>
      </w:r>
      <w:r>
        <w:t xml:space="preserve">confidence score </w:t>
      </w:r>
      <w:r w:rsidR="00D2366A">
        <w:t>of 1.69 points on a</w:t>
      </w:r>
      <w:r w:rsidR="00B165AB">
        <w:t xml:space="preserve"> </w:t>
      </w:r>
      <w:r w:rsidR="00D2366A">
        <w:t>ten</w:t>
      </w:r>
      <w:r w:rsidR="00F64B02">
        <w:t>-</w:t>
      </w:r>
      <w:r w:rsidR="00D2366A">
        <w:t xml:space="preserve">point </w:t>
      </w:r>
      <w:r w:rsidR="00F64B02">
        <w:t>L</w:t>
      </w:r>
      <w:r w:rsidR="00D2366A">
        <w:t>ikert scale following the course</w:t>
      </w:r>
      <w:r w:rsidR="00912EE3">
        <w:t>.</w:t>
      </w:r>
      <w:r w:rsidR="00D2366A">
        <w:t xml:space="preserve"> </w:t>
      </w:r>
    </w:p>
    <w:p w14:paraId="6B462C14" w14:textId="0559647C" w:rsidR="00D2366A" w:rsidRDefault="00D2366A" w:rsidP="00D2366A">
      <w:r>
        <w:t>There was a significant increase in confidence immediately following the course compared with baseline confidence score</w:t>
      </w:r>
      <w:r w:rsidR="00912EE3">
        <w:t>,</w:t>
      </w:r>
      <w:r>
        <w:t xml:space="preserve"> t (22) = 6.65, p &lt; 0.001.</w:t>
      </w:r>
      <w:r w:rsidR="00912EE3">
        <w:t xml:space="preserve"> </w:t>
      </w:r>
      <w:r w:rsidR="001D42C9">
        <w:t>Pre-course</w:t>
      </w:r>
      <w:r w:rsidR="00511ED1">
        <w:t xml:space="preserve"> mean confidence score was 5.78 (SD = 1.16)</w:t>
      </w:r>
      <w:r w:rsidR="00F64B02">
        <w:t>,</w:t>
      </w:r>
      <w:r w:rsidR="00511ED1">
        <w:t xml:space="preserve"> and increased to a mean of 7.47 (SD = 0.994) post-course (immediate). </w:t>
      </w:r>
    </w:p>
    <w:p w14:paraId="710E2853" w14:textId="77777777" w:rsidR="003704CA" w:rsidRDefault="003704CA" w:rsidP="00D2366A"/>
    <w:p w14:paraId="29B97AA9" w14:textId="7A46C6D8" w:rsidR="00D2366A" w:rsidRDefault="00D2366A" w:rsidP="005367B9">
      <w:pPr>
        <w:pStyle w:val="Heading3"/>
      </w:pPr>
      <w:bookmarkStart w:id="237" w:name="_Toc343501158"/>
      <w:bookmarkStart w:id="238" w:name="_Toc348686360"/>
      <w:bookmarkStart w:id="239" w:name="_Toc419116160"/>
      <w:r>
        <w:lastRenderedPageBreak/>
        <w:t>One</w:t>
      </w:r>
      <w:r w:rsidR="00F910D6">
        <w:t>-</w:t>
      </w:r>
      <w:r>
        <w:t xml:space="preserve">way </w:t>
      </w:r>
      <w:r w:rsidR="00082BB6">
        <w:t>repeated-measures</w:t>
      </w:r>
      <w:r>
        <w:t xml:space="preserve"> </w:t>
      </w:r>
      <w:r w:rsidR="00F910D6">
        <w:t>A</w:t>
      </w:r>
      <w:r>
        <w:t>nalysis of Variance (ANOVA) over three conditions for the same group</w:t>
      </w:r>
      <w:bookmarkEnd w:id="237"/>
      <w:bookmarkEnd w:id="238"/>
      <w:bookmarkEnd w:id="239"/>
    </w:p>
    <w:p w14:paraId="28368A0A" w14:textId="77777777" w:rsidR="00D2366A" w:rsidRDefault="00D2366A" w:rsidP="00D2366A"/>
    <w:p w14:paraId="4C9C5779" w14:textId="4A1448AD" w:rsidR="00D2366A" w:rsidRDefault="00D2366A" w:rsidP="00D2366A">
      <w:r>
        <w:t>When analysing the repeated measure at four months, because more than two conditions are present</w:t>
      </w:r>
      <w:r w:rsidR="00912EE3">
        <w:t>,</w:t>
      </w:r>
      <w:r>
        <w:t xml:space="preserve"> a </w:t>
      </w:r>
      <w:r w:rsidR="00082BB6">
        <w:t>repeated-measures</w:t>
      </w:r>
      <w:r>
        <w:t xml:space="preserve"> </w:t>
      </w:r>
      <w:r w:rsidR="00E51676">
        <w:t>one-way</w:t>
      </w:r>
      <w:r>
        <w:t xml:space="preserve"> ANOVA has been selected to reduce risk of type 1 error. This does</w:t>
      </w:r>
      <w:r w:rsidR="00272DD8">
        <w:t>,</w:t>
      </w:r>
      <w:r>
        <w:t xml:space="preserve"> however</w:t>
      </w:r>
      <w:r w:rsidR="00272DD8">
        <w:t>,</w:t>
      </w:r>
      <w:r>
        <w:t xml:space="preserve"> use only the 16 cases </w:t>
      </w:r>
      <w:r w:rsidR="00912EE3">
        <w:t xml:space="preserve">that have data for all three </w:t>
      </w:r>
      <w:r>
        <w:t>conditions.</w:t>
      </w:r>
    </w:p>
    <w:tbl>
      <w:tblPr>
        <w:tblW w:w="86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951"/>
        <w:gridCol w:w="1646"/>
        <w:gridCol w:w="2364"/>
        <w:gridCol w:w="1646"/>
        <w:gridCol w:w="17"/>
      </w:tblGrid>
      <w:tr w:rsidR="00005201" w:rsidRPr="00484AE6" w14:paraId="74B81B3E" w14:textId="77777777" w:rsidTr="00005201">
        <w:trPr>
          <w:cantSplit/>
          <w:trHeight w:val="771"/>
        </w:trPr>
        <w:tc>
          <w:tcPr>
            <w:tcW w:w="8624" w:type="dxa"/>
            <w:gridSpan w:val="5"/>
            <w:tcBorders>
              <w:top w:val="nil"/>
              <w:left w:val="nil"/>
              <w:bottom w:val="nil"/>
              <w:right w:val="nil"/>
            </w:tcBorders>
            <w:shd w:val="clear" w:color="auto" w:fill="FFFFFF"/>
            <w:vAlign w:val="center"/>
          </w:tcPr>
          <w:p w14:paraId="3103AAB1" w14:textId="77777777" w:rsidR="00D2366A" w:rsidRPr="00484AE6" w:rsidRDefault="00D2366A" w:rsidP="00D2366A">
            <w:pPr>
              <w:widowControl w:val="0"/>
              <w:autoSpaceDE w:val="0"/>
              <w:autoSpaceDN w:val="0"/>
              <w:adjustRightInd w:val="0"/>
              <w:spacing w:line="320" w:lineRule="atLeast"/>
              <w:ind w:left="60" w:right="60"/>
              <w:jc w:val="center"/>
              <w:rPr>
                <w:rFonts w:cs="Arial"/>
                <w:color w:val="000000"/>
              </w:rPr>
            </w:pPr>
            <w:r w:rsidRPr="00484AE6">
              <w:rPr>
                <w:rFonts w:cs="Arial"/>
                <w:b/>
                <w:bCs/>
                <w:color w:val="000000"/>
              </w:rPr>
              <w:t>Descriptive Statistics</w:t>
            </w:r>
          </w:p>
        </w:tc>
      </w:tr>
      <w:tr w:rsidR="00005201" w:rsidRPr="00484AE6" w14:paraId="7F3C5515" w14:textId="77777777" w:rsidTr="00005201">
        <w:trPr>
          <w:gridAfter w:val="1"/>
          <w:wAfter w:w="17" w:type="dxa"/>
          <w:cantSplit/>
          <w:trHeight w:val="1095"/>
        </w:trPr>
        <w:tc>
          <w:tcPr>
            <w:tcW w:w="2951"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55FA1CA6" w14:textId="77777777" w:rsidR="00D2366A" w:rsidRPr="00484AE6" w:rsidRDefault="00D2366A" w:rsidP="00D2366A">
            <w:pPr>
              <w:widowControl w:val="0"/>
              <w:autoSpaceDE w:val="0"/>
              <w:autoSpaceDN w:val="0"/>
              <w:adjustRightInd w:val="0"/>
              <w:rPr>
                <w:rFonts w:ascii="Times New Roman" w:hAnsi="Times New Roman"/>
              </w:rPr>
            </w:pPr>
          </w:p>
        </w:tc>
        <w:tc>
          <w:tcPr>
            <w:tcW w:w="1646" w:type="dxa"/>
            <w:tcBorders>
              <w:top w:val="single" w:sz="16" w:space="0" w:color="000000"/>
              <w:left w:val="single" w:sz="16" w:space="0" w:color="000000"/>
              <w:bottom w:val="single" w:sz="16" w:space="0" w:color="000000"/>
            </w:tcBorders>
            <w:shd w:val="clear" w:color="auto" w:fill="FFFFFF"/>
            <w:vAlign w:val="bottom"/>
          </w:tcPr>
          <w:p w14:paraId="7729E158" w14:textId="77777777" w:rsidR="00D2366A" w:rsidRPr="00484AE6" w:rsidRDefault="00D2366A" w:rsidP="00D2366A">
            <w:pPr>
              <w:widowControl w:val="0"/>
              <w:autoSpaceDE w:val="0"/>
              <w:autoSpaceDN w:val="0"/>
              <w:adjustRightInd w:val="0"/>
              <w:spacing w:line="320" w:lineRule="atLeast"/>
              <w:ind w:left="60" w:right="60"/>
              <w:jc w:val="center"/>
              <w:rPr>
                <w:rFonts w:cs="Arial"/>
                <w:color w:val="000000"/>
              </w:rPr>
            </w:pPr>
            <w:r w:rsidRPr="00484AE6">
              <w:rPr>
                <w:rFonts w:cs="Arial"/>
                <w:color w:val="000000"/>
              </w:rPr>
              <w:t>Mean</w:t>
            </w:r>
          </w:p>
        </w:tc>
        <w:tc>
          <w:tcPr>
            <w:tcW w:w="2364" w:type="dxa"/>
            <w:tcBorders>
              <w:top w:val="single" w:sz="16" w:space="0" w:color="000000"/>
              <w:bottom w:val="single" w:sz="16" w:space="0" w:color="000000"/>
            </w:tcBorders>
            <w:shd w:val="clear" w:color="auto" w:fill="FFFFFF"/>
            <w:vAlign w:val="bottom"/>
          </w:tcPr>
          <w:p w14:paraId="1CB6F365" w14:textId="77777777" w:rsidR="00D2366A" w:rsidRPr="00484AE6" w:rsidRDefault="00D2366A" w:rsidP="00D2366A">
            <w:pPr>
              <w:widowControl w:val="0"/>
              <w:autoSpaceDE w:val="0"/>
              <w:autoSpaceDN w:val="0"/>
              <w:adjustRightInd w:val="0"/>
              <w:spacing w:line="320" w:lineRule="atLeast"/>
              <w:ind w:left="60" w:right="60"/>
              <w:jc w:val="center"/>
              <w:rPr>
                <w:rFonts w:cs="Arial"/>
                <w:color w:val="000000"/>
              </w:rPr>
            </w:pPr>
            <w:r w:rsidRPr="00484AE6">
              <w:rPr>
                <w:rFonts w:cs="Arial"/>
                <w:color w:val="000000"/>
              </w:rPr>
              <w:t>Std. Deviation</w:t>
            </w:r>
          </w:p>
        </w:tc>
        <w:tc>
          <w:tcPr>
            <w:tcW w:w="1646" w:type="dxa"/>
            <w:tcBorders>
              <w:top w:val="single" w:sz="16" w:space="0" w:color="000000"/>
              <w:bottom w:val="single" w:sz="16" w:space="0" w:color="000000"/>
              <w:right w:val="single" w:sz="16" w:space="0" w:color="000000"/>
            </w:tcBorders>
            <w:shd w:val="clear" w:color="auto" w:fill="FFFFFF"/>
            <w:vAlign w:val="bottom"/>
          </w:tcPr>
          <w:p w14:paraId="31A41813" w14:textId="77777777" w:rsidR="00D2366A" w:rsidRPr="00484AE6" w:rsidRDefault="00D2366A" w:rsidP="00D2366A">
            <w:pPr>
              <w:widowControl w:val="0"/>
              <w:autoSpaceDE w:val="0"/>
              <w:autoSpaceDN w:val="0"/>
              <w:adjustRightInd w:val="0"/>
              <w:spacing w:line="320" w:lineRule="atLeast"/>
              <w:ind w:left="60" w:right="60"/>
              <w:jc w:val="center"/>
              <w:rPr>
                <w:rFonts w:cs="Arial"/>
                <w:color w:val="000000"/>
              </w:rPr>
            </w:pPr>
            <w:r w:rsidRPr="00484AE6">
              <w:rPr>
                <w:rFonts w:cs="Arial"/>
                <w:color w:val="000000"/>
              </w:rPr>
              <w:t>N</w:t>
            </w:r>
          </w:p>
        </w:tc>
      </w:tr>
      <w:tr w:rsidR="00005201" w:rsidRPr="00484AE6" w14:paraId="19AD1726" w14:textId="77777777" w:rsidTr="00005201">
        <w:trPr>
          <w:gridAfter w:val="1"/>
          <w:wAfter w:w="17" w:type="dxa"/>
          <w:cantSplit/>
          <w:trHeight w:val="1095"/>
        </w:trPr>
        <w:tc>
          <w:tcPr>
            <w:tcW w:w="2951" w:type="dxa"/>
            <w:tcBorders>
              <w:top w:val="single" w:sz="16" w:space="0" w:color="000000"/>
              <w:left w:val="single" w:sz="16" w:space="0" w:color="000000"/>
              <w:bottom w:val="nil"/>
              <w:right w:val="single" w:sz="16" w:space="0" w:color="000000"/>
            </w:tcBorders>
            <w:shd w:val="clear" w:color="auto" w:fill="FFFFFF"/>
          </w:tcPr>
          <w:p w14:paraId="48991212" w14:textId="1CEF83B1" w:rsidR="00D2366A" w:rsidRPr="00484AE6" w:rsidRDefault="00D2366A" w:rsidP="00005201">
            <w:pPr>
              <w:widowControl w:val="0"/>
              <w:autoSpaceDE w:val="0"/>
              <w:autoSpaceDN w:val="0"/>
              <w:adjustRightInd w:val="0"/>
              <w:spacing w:line="320" w:lineRule="atLeast"/>
              <w:ind w:left="60" w:right="60"/>
              <w:rPr>
                <w:rFonts w:cs="Arial"/>
                <w:color w:val="000000"/>
              </w:rPr>
            </w:pPr>
            <w:r w:rsidRPr="00484AE6">
              <w:rPr>
                <w:rFonts w:cs="Arial"/>
                <w:color w:val="000000"/>
              </w:rPr>
              <w:t>Baseline</w:t>
            </w:r>
            <w:r w:rsidR="00005201">
              <w:rPr>
                <w:rFonts w:cs="Arial"/>
                <w:color w:val="000000"/>
              </w:rPr>
              <w:t xml:space="preserve"> </w:t>
            </w:r>
            <w:r w:rsidRPr="00484AE6">
              <w:rPr>
                <w:rFonts w:cs="Arial"/>
                <w:color w:val="000000"/>
              </w:rPr>
              <w:t>confidence</w:t>
            </w:r>
            <w:r w:rsidR="00005201">
              <w:rPr>
                <w:rFonts w:cs="Arial"/>
                <w:color w:val="000000"/>
              </w:rPr>
              <w:t xml:space="preserve"> </w:t>
            </w:r>
            <w:r w:rsidRPr="00484AE6">
              <w:rPr>
                <w:rFonts w:cs="Arial"/>
                <w:color w:val="000000"/>
              </w:rPr>
              <w:t>score</w:t>
            </w:r>
          </w:p>
        </w:tc>
        <w:tc>
          <w:tcPr>
            <w:tcW w:w="1646" w:type="dxa"/>
            <w:tcBorders>
              <w:top w:val="single" w:sz="16" w:space="0" w:color="000000"/>
              <w:left w:val="single" w:sz="16" w:space="0" w:color="000000"/>
              <w:bottom w:val="nil"/>
            </w:tcBorders>
            <w:shd w:val="clear" w:color="auto" w:fill="FFFFFF"/>
            <w:vAlign w:val="center"/>
          </w:tcPr>
          <w:p w14:paraId="335717BA" w14:textId="77777777" w:rsidR="00D2366A" w:rsidRPr="00484AE6" w:rsidRDefault="00D2366A" w:rsidP="00005201">
            <w:pPr>
              <w:widowControl w:val="0"/>
              <w:autoSpaceDE w:val="0"/>
              <w:autoSpaceDN w:val="0"/>
              <w:adjustRightInd w:val="0"/>
              <w:spacing w:line="320" w:lineRule="atLeast"/>
              <w:ind w:left="60" w:right="60"/>
              <w:jc w:val="center"/>
              <w:rPr>
                <w:rFonts w:cs="Arial"/>
                <w:color w:val="000000"/>
              </w:rPr>
            </w:pPr>
            <w:r w:rsidRPr="00484AE6">
              <w:rPr>
                <w:rFonts w:cs="Arial"/>
                <w:color w:val="000000"/>
              </w:rPr>
              <w:t>5.8125</w:t>
            </w:r>
          </w:p>
        </w:tc>
        <w:tc>
          <w:tcPr>
            <w:tcW w:w="2364" w:type="dxa"/>
            <w:tcBorders>
              <w:top w:val="single" w:sz="16" w:space="0" w:color="000000"/>
              <w:bottom w:val="nil"/>
            </w:tcBorders>
            <w:shd w:val="clear" w:color="auto" w:fill="FFFFFF"/>
            <w:vAlign w:val="center"/>
          </w:tcPr>
          <w:p w14:paraId="2F361695" w14:textId="77777777" w:rsidR="00D2366A" w:rsidRPr="00484AE6" w:rsidRDefault="00D2366A" w:rsidP="00005201">
            <w:pPr>
              <w:widowControl w:val="0"/>
              <w:autoSpaceDE w:val="0"/>
              <w:autoSpaceDN w:val="0"/>
              <w:adjustRightInd w:val="0"/>
              <w:spacing w:line="320" w:lineRule="atLeast"/>
              <w:ind w:left="60" w:right="60"/>
              <w:jc w:val="center"/>
              <w:rPr>
                <w:rFonts w:cs="Arial"/>
                <w:color w:val="000000"/>
              </w:rPr>
            </w:pPr>
            <w:r w:rsidRPr="00484AE6">
              <w:rPr>
                <w:rFonts w:cs="Arial"/>
                <w:color w:val="000000"/>
              </w:rPr>
              <w:t>1.16726</w:t>
            </w:r>
          </w:p>
        </w:tc>
        <w:tc>
          <w:tcPr>
            <w:tcW w:w="1646" w:type="dxa"/>
            <w:tcBorders>
              <w:top w:val="single" w:sz="16" w:space="0" w:color="000000"/>
              <w:bottom w:val="nil"/>
              <w:right w:val="single" w:sz="16" w:space="0" w:color="000000"/>
            </w:tcBorders>
            <w:shd w:val="clear" w:color="auto" w:fill="FFFFFF"/>
            <w:vAlign w:val="center"/>
          </w:tcPr>
          <w:p w14:paraId="490D2E11" w14:textId="77777777" w:rsidR="00D2366A" w:rsidRPr="00484AE6" w:rsidRDefault="00D2366A" w:rsidP="00005201">
            <w:pPr>
              <w:widowControl w:val="0"/>
              <w:autoSpaceDE w:val="0"/>
              <w:autoSpaceDN w:val="0"/>
              <w:adjustRightInd w:val="0"/>
              <w:spacing w:line="320" w:lineRule="atLeast"/>
              <w:ind w:left="60" w:right="60"/>
              <w:jc w:val="center"/>
              <w:rPr>
                <w:rFonts w:cs="Arial"/>
                <w:color w:val="000000"/>
              </w:rPr>
            </w:pPr>
            <w:r w:rsidRPr="00484AE6">
              <w:rPr>
                <w:rFonts w:cs="Arial"/>
                <w:color w:val="000000"/>
              </w:rPr>
              <w:t>16</w:t>
            </w:r>
          </w:p>
        </w:tc>
      </w:tr>
      <w:tr w:rsidR="00005201" w:rsidRPr="00484AE6" w14:paraId="6FF2D7C9" w14:textId="77777777" w:rsidTr="00005201">
        <w:trPr>
          <w:gridAfter w:val="1"/>
          <w:wAfter w:w="17" w:type="dxa"/>
          <w:cantSplit/>
          <w:trHeight w:val="1095"/>
        </w:trPr>
        <w:tc>
          <w:tcPr>
            <w:tcW w:w="2951" w:type="dxa"/>
            <w:tcBorders>
              <w:top w:val="nil"/>
              <w:left w:val="single" w:sz="16" w:space="0" w:color="000000"/>
              <w:bottom w:val="nil"/>
              <w:right w:val="single" w:sz="16" w:space="0" w:color="000000"/>
            </w:tcBorders>
            <w:shd w:val="clear" w:color="auto" w:fill="FFFFFF"/>
          </w:tcPr>
          <w:p w14:paraId="205DBF89" w14:textId="7C8D46B1" w:rsidR="00D2366A" w:rsidRPr="00484AE6" w:rsidRDefault="002938BF" w:rsidP="00005201">
            <w:pPr>
              <w:widowControl w:val="0"/>
              <w:autoSpaceDE w:val="0"/>
              <w:autoSpaceDN w:val="0"/>
              <w:adjustRightInd w:val="0"/>
              <w:spacing w:line="320" w:lineRule="atLeast"/>
              <w:ind w:left="60" w:right="60"/>
              <w:rPr>
                <w:rFonts w:cs="Arial"/>
                <w:color w:val="000000"/>
              </w:rPr>
            </w:pPr>
            <w:r w:rsidRPr="00484AE6">
              <w:rPr>
                <w:rFonts w:cs="Arial"/>
                <w:color w:val="000000"/>
              </w:rPr>
              <w:t>Post course</w:t>
            </w:r>
            <w:r w:rsidR="00005201">
              <w:rPr>
                <w:rFonts w:cs="Arial"/>
                <w:color w:val="000000"/>
              </w:rPr>
              <w:t xml:space="preserve"> </w:t>
            </w:r>
            <w:r w:rsidR="00D2366A" w:rsidRPr="00484AE6">
              <w:rPr>
                <w:rFonts w:cs="Arial"/>
                <w:color w:val="000000"/>
              </w:rPr>
              <w:t>confidence</w:t>
            </w:r>
            <w:r w:rsidR="00005201">
              <w:rPr>
                <w:rFonts w:cs="Arial"/>
                <w:color w:val="000000"/>
              </w:rPr>
              <w:t xml:space="preserve"> </w:t>
            </w:r>
            <w:r w:rsidR="00D2366A" w:rsidRPr="00484AE6">
              <w:rPr>
                <w:rFonts w:cs="Arial"/>
                <w:color w:val="000000"/>
              </w:rPr>
              <w:t>score</w:t>
            </w:r>
          </w:p>
        </w:tc>
        <w:tc>
          <w:tcPr>
            <w:tcW w:w="1646" w:type="dxa"/>
            <w:tcBorders>
              <w:top w:val="nil"/>
              <w:left w:val="single" w:sz="16" w:space="0" w:color="000000"/>
              <w:bottom w:val="nil"/>
            </w:tcBorders>
            <w:shd w:val="clear" w:color="auto" w:fill="FFFFFF"/>
            <w:vAlign w:val="center"/>
          </w:tcPr>
          <w:p w14:paraId="47899D1F" w14:textId="77777777" w:rsidR="00D2366A" w:rsidRPr="00484AE6" w:rsidRDefault="00D2366A" w:rsidP="00005201">
            <w:pPr>
              <w:widowControl w:val="0"/>
              <w:autoSpaceDE w:val="0"/>
              <w:autoSpaceDN w:val="0"/>
              <w:adjustRightInd w:val="0"/>
              <w:spacing w:line="320" w:lineRule="atLeast"/>
              <w:ind w:left="60" w:right="60"/>
              <w:jc w:val="center"/>
              <w:rPr>
                <w:rFonts w:cs="Arial"/>
                <w:color w:val="000000"/>
              </w:rPr>
            </w:pPr>
            <w:r w:rsidRPr="00484AE6">
              <w:rPr>
                <w:rFonts w:cs="Arial"/>
                <w:color w:val="000000"/>
              </w:rPr>
              <w:t>7.4375</w:t>
            </w:r>
          </w:p>
        </w:tc>
        <w:tc>
          <w:tcPr>
            <w:tcW w:w="2364" w:type="dxa"/>
            <w:tcBorders>
              <w:top w:val="nil"/>
              <w:bottom w:val="nil"/>
            </w:tcBorders>
            <w:shd w:val="clear" w:color="auto" w:fill="FFFFFF"/>
            <w:vAlign w:val="center"/>
          </w:tcPr>
          <w:p w14:paraId="055D8A81" w14:textId="77777777" w:rsidR="00D2366A" w:rsidRPr="00484AE6" w:rsidRDefault="00D2366A" w:rsidP="00005201">
            <w:pPr>
              <w:widowControl w:val="0"/>
              <w:autoSpaceDE w:val="0"/>
              <w:autoSpaceDN w:val="0"/>
              <w:adjustRightInd w:val="0"/>
              <w:spacing w:line="320" w:lineRule="atLeast"/>
              <w:ind w:left="60" w:right="60"/>
              <w:jc w:val="center"/>
              <w:rPr>
                <w:rFonts w:cs="Arial"/>
                <w:color w:val="000000"/>
              </w:rPr>
            </w:pPr>
            <w:r w:rsidRPr="00484AE6">
              <w:rPr>
                <w:rFonts w:cs="Arial"/>
                <w:color w:val="000000"/>
              </w:rPr>
              <w:t>1.03078</w:t>
            </w:r>
          </w:p>
        </w:tc>
        <w:tc>
          <w:tcPr>
            <w:tcW w:w="1646" w:type="dxa"/>
            <w:tcBorders>
              <w:top w:val="nil"/>
              <w:bottom w:val="nil"/>
              <w:right w:val="single" w:sz="16" w:space="0" w:color="000000"/>
            </w:tcBorders>
            <w:shd w:val="clear" w:color="auto" w:fill="FFFFFF"/>
            <w:vAlign w:val="center"/>
          </w:tcPr>
          <w:p w14:paraId="70971AFA" w14:textId="77777777" w:rsidR="00D2366A" w:rsidRPr="00484AE6" w:rsidRDefault="00D2366A" w:rsidP="00005201">
            <w:pPr>
              <w:widowControl w:val="0"/>
              <w:autoSpaceDE w:val="0"/>
              <w:autoSpaceDN w:val="0"/>
              <w:adjustRightInd w:val="0"/>
              <w:spacing w:line="320" w:lineRule="atLeast"/>
              <w:ind w:left="60" w:right="60"/>
              <w:jc w:val="center"/>
              <w:rPr>
                <w:rFonts w:cs="Arial"/>
                <w:color w:val="000000"/>
              </w:rPr>
            </w:pPr>
            <w:r w:rsidRPr="00484AE6">
              <w:rPr>
                <w:rFonts w:cs="Arial"/>
                <w:color w:val="000000"/>
              </w:rPr>
              <w:t>16</w:t>
            </w:r>
          </w:p>
        </w:tc>
      </w:tr>
      <w:tr w:rsidR="00005201" w:rsidRPr="00484AE6" w14:paraId="4A7F22A6" w14:textId="77777777" w:rsidTr="00005201">
        <w:trPr>
          <w:gridAfter w:val="1"/>
          <w:wAfter w:w="17" w:type="dxa"/>
          <w:cantSplit/>
          <w:trHeight w:val="1095"/>
        </w:trPr>
        <w:tc>
          <w:tcPr>
            <w:tcW w:w="2951" w:type="dxa"/>
            <w:tcBorders>
              <w:top w:val="nil"/>
              <w:left w:val="single" w:sz="16" w:space="0" w:color="000000"/>
              <w:bottom w:val="single" w:sz="16" w:space="0" w:color="000000"/>
              <w:right w:val="single" w:sz="16" w:space="0" w:color="000000"/>
            </w:tcBorders>
            <w:shd w:val="clear" w:color="auto" w:fill="FFFFFF"/>
          </w:tcPr>
          <w:p w14:paraId="524D3AAC" w14:textId="52DE0224" w:rsidR="00D2366A" w:rsidRPr="00484AE6" w:rsidRDefault="00D2366A" w:rsidP="00005201">
            <w:pPr>
              <w:widowControl w:val="0"/>
              <w:autoSpaceDE w:val="0"/>
              <w:autoSpaceDN w:val="0"/>
              <w:adjustRightInd w:val="0"/>
              <w:spacing w:line="320" w:lineRule="atLeast"/>
              <w:ind w:left="60" w:right="60"/>
              <w:rPr>
                <w:rFonts w:cs="Arial"/>
                <w:color w:val="000000"/>
              </w:rPr>
            </w:pPr>
            <w:r w:rsidRPr="00484AE6">
              <w:rPr>
                <w:rFonts w:cs="Arial"/>
                <w:color w:val="000000"/>
              </w:rPr>
              <w:t>Four</w:t>
            </w:r>
            <w:r w:rsidR="00005201">
              <w:rPr>
                <w:rFonts w:cs="Arial"/>
                <w:color w:val="000000"/>
              </w:rPr>
              <w:t xml:space="preserve"> </w:t>
            </w:r>
            <w:r w:rsidRPr="00484AE6">
              <w:rPr>
                <w:rFonts w:cs="Arial"/>
                <w:color w:val="000000"/>
              </w:rPr>
              <w:t>months</w:t>
            </w:r>
            <w:r w:rsidR="00005201">
              <w:rPr>
                <w:rFonts w:cs="Arial"/>
                <w:color w:val="000000"/>
              </w:rPr>
              <w:t xml:space="preserve"> </w:t>
            </w:r>
            <w:r w:rsidR="002938BF" w:rsidRPr="00484AE6">
              <w:rPr>
                <w:rFonts w:cs="Arial"/>
                <w:color w:val="000000"/>
              </w:rPr>
              <w:t>post course</w:t>
            </w:r>
          </w:p>
        </w:tc>
        <w:tc>
          <w:tcPr>
            <w:tcW w:w="1646" w:type="dxa"/>
            <w:tcBorders>
              <w:top w:val="nil"/>
              <w:left w:val="single" w:sz="16" w:space="0" w:color="000000"/>
              <w:bottom w:val="single" w:sz="16" w:space="0" w:color="000000"/>
            </w:tcBorders>
            <w:shd w:val="clear" w:color="auto" w:fill="FFFFFF"/>
            <w:vAlign w:val="center"/>
          </w:tcPr>
          <w:p w14:paraId="77D0ADAD" w14:textId="77777777" w:rsidR="00D2366A" w:rsidRPr="00484AE6" w:rsidRDefault="00D2366A" w:rsidP="00005201">
            <w:pPr>
              <w:widowControl w:val="0"/>
              <w:autoSpaceDE w:val="0"/>
              <w:autoSpaceDN w:val="0"/>
              <w:adjustRightInd w:val="0"/>
              <w:spacing w:line="320" w:lineRule="atLeast"/>
              <w:ind w:left="60" w:right="60"/>
              <w:jc w:val="center"/>
              <w:rPr>
                <w:rFonts w:cs="Arial"/>
                <w:color w:val="000000"/>
              </w:rPr>
            </w:pPr>
            <w:r w:rsidRPr="00484AE6">
              <w:rPr>
                <w:rFonts w:cs="Arial"/>
                <w:color w:val="000000"/>
              </w:rPr>
              <w:t>6.1250</w:t>
            </w:r>
          </w:p>
        </w:tc>
        <w:tc>
          <w:tcPr>
            <w:tcW w:w="2364" w:type="dxa"/>
            <w:tcBorders>
              <w:top w:val="nil"/>
              <w:bottom w:val="single" w:sz="16" w:space="0" w:color="000000"/>
            </w:tcBorders>
            <w:shd w:val="clear" w:color="auto" w:fill="FFFFFF"/>
            <w:vAlign w:val="center"/>
          </w:tcPr>
          <w:p w14:paraId="1BA3B3D8" w14:textId="77777777" w:rsidR="00D2366A" w:rsidRPr="00484AE6" w:rsidRDefault="00D2366A" w:rsidP="00005201">
            <w:pPr>
              <w:widowControl w:val="0"/>
              <w:autoSpaceDE w:val="0"/>
              <w:autoSpaceDN w:val="0"/>
              <w:adjustRightInd w:val="0"/>
              <w:spacing w:line="320" w:lineRule="atLeast"/>
              <w:ind w:left="60" w:right="60"/>
              <w:jc w:val="center"/>
              <w:rPr>
                <w:rFonts w:cs="Arial"/>
                <w:color w:val="000000"/>
              </w:rPr>
            </w:pPr>
            <w:r w:rsidRPr="00484AE6">
              <w:rPr>
                <w:rFonts w:cs="Arial"/>
                <w:color w:val="000000"/>
              </w:rPr>
              <w:t>1.31022</w:t>
            </w:r>
          </w:p>
        </w:tc>
        <w:tc>
          <w:tcPr>
            <w:tcW w:w="1646" w:type="dxa"/>
            <w:tcBorders>
              <w:top w:val="nil"/>
              <w:bottom w:val="single" w:sz="16" w:space="0" w:color="000000"/>
              <w:right w:val="single" w:sz="16" w:space="0" w:color="000000"/>
            </w:tcBorders>
            <w:shd w:val="clear" w:color="auto" w:fill="FFFFFF"/>
            <w:vAlign w:val="center"/>
          </w:tcPr>
          <w:p w14:paraId="723731D1" w14:textId="77777777" w:rsidR="00D2366A" w:rsidRPr="00484AE6" w:rsidRDefault="00D2366A" w:rsidP="00005201">
            <w:pPr>
              <w:widowControl w:val="0"/>
              <w:autoSpaceDE w:val="0"/>
              <w:autoSpaceDN w:val="0"/>
              <w:adjustRightInd w:val="0"/>
              <w:spacing w:line="320" w:lineRule="atLeast"/>
              <w:ind w:left="60" w:right="60"/>
              <w:jc w:val="center"/>
              <w:rPr>
                <w:rFonts w:cs="Arial"/>
                <w:color w:val="000000"/>
              </w:rPr>
            </w:pPr>
            <w:r w:rsidRPr="00484AE6">
              <w:rPr>
                <w:rFonts w:cs="Arial"/>
                <w:color w:val="000000"/>
              </w:rPr>
              <w:t>16</w:t>
            </w:r>
          </w:p>
        </w:tc>
      </w:tr>
    </w:tbl>
    <w:p w14:paraId="5CBE791D" w14:textId="77777777" w:rsidR="008E402D" w:rsidRDefault="008E402D" w:rsidP="008E402D">
      <w:pPr>
        <w:keepNext/>
      </w:pPr>
      <w:r>
        <w:rPr>
          <w:rFonts w:ascii="Times New Roman" w:hAnsi="Times New Roman"/>
          <w:noProof/>
          <w:lang w:val="en-US"/>
        </w:rPr>
        <w:lastRenderedPageBreak/>
        <w:drawing>
          <wp:inline distT="0" distB="0" distL="0" distR="0" wp14:anchorId="28343029" wp14:editId="39B32450">
            <wp:extent cx="5396230" cy="432274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96230" cy="4322749"/>
                    </a:xfrm>
                    <a:prstGeom prst="rect">
                      <a:avLst/>
                    </a:prstGeom>
                    <a:noFill/>
                    <a:ln>
                      <a:noFill/>
                    </a:ln>
                  </pic:spPr>
                </pic:pic>
              </a:graphicData>
            </a:graphic>
          </wp:inline>
        </w:drawing>
      </w:r>
    </w:p>
    <w:p w14:paraId="21F19505" w14:textId="4CD19873" w:rsidR="00D2366A" w:rsidRDefault="008E402D" w:rsidP="007000F8">
      <w:pPr>
        <w:pStyle w:val="Caption"/>
      </w:pPr>
      <w:bookmarkStart w:id="240" w:name="_Toc419116463"/>
      <w:r>
        <w:t xml:space="preserve">Figure </w:t>
      </w:r>
      <w:r w:rsidR="009A2F08">
        <w:fldChar w:fldCharType="begin"/>
      </w:r>
      <w:r w:rsidR="009A2F08">
        <w:instrText xml:space="preserve"> STYLEREF 1 \s </w:instrText>
      </w:r>
      <w:r w:rsidR="009A2F08">
        <w:fldChar w:fldCharType="separate"/>
      </w:r>
      <w:r w:rsidR="007220A7">
        <w:rPr>
          <w:noProof/>
        </w:rPr>
        <w:t>6</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4</w:t>
      </w:r>
      <w:r w:rsidR="009A2F08">
        <w:fldChar w:fldCharType="end"/>
      </w:r>
      <w:r>
        <w:t xml:space="preserve"> </w:t>
      </w:r>
      <w:r w:rsidR="00005201">
        <w:t>R</w:t>
      </w:r>
      <w:r w:rsidR="00082BB6">
        <w:t>epeated-measures</w:t>
      </w:r>
      <w:r>
        <w:t xml:space="preserve"> confidence scores for pilot study group at baseline pre-course, </w:t>
      </w:r>
      <w:r w:rsidR="001D42C9">
        <w:t>post-course</w:t>
      </w:r>
      <w:r>
        <w:t xml:space="preserve"> immediate and at four months, with errors bars representing 95% confidence interval.</w:t>
      </w:r>
      <w:bookmarkEnd w:id="240"/>
    </w:p>
    <w:p w14:paraId="08691B35" w14:textId="06BBE087" w:rsidR="007348B1" w:rsidRPr="007348B1" w:rsidRDefault="006F0994" w:rsidP="007348B1">
      <w:r>
        <w:t>The results show that there was a significant difference in confidence scores across the conditions, F (2,</w:t>
      </w:r>
      <w:r w:rsidR="00404776">
        <w:t>30</w:t>
      </w:r>
      <w:r>
        <w:t>) = 8.731, p = 0.001. Figure 6.4 demonstrates the pattern of change in confidence scores across the three conditions where it increase</w:t>
      </w:r>
      <w:r w:rsidR="00912D74">
        <w:t>s</w:t>
      </w:r>
      <w:r>
        <w:t xml:space="preserve"> </w:t>
      </w:r>
      <w:r w:rsidR="001D42C9">
        <w:t>post-course</w:t>
      </w:r>
      <w:r w:rsidR="00912D74">
        <w:t>,</w:t>
      </w:r>
      <w:r>
        <w:t xml:space="preserve"> </w:t>
      </w:r>
      <w:r w:rsidR="00F64B02">
        <w:t>which</w:t>
      </w:r>
      <w:r>
        <w:t xml:space="preserve"> then reduces again at four months though not quite back to baseline. </w:t>
      </w:r>
      <w:r w:rsidR="00912D74">
        <w:t>Mauchly’s W test (</w:t>
      </w:r>
      <w:proofErr w:type="spellStart"/>
      <w:r w:rsidR="00912D74">
        <w:t>df</w:t>
      </w:r>
      <w:proofErr w:type="spellEnd"/>
      <w:r w:rsidR="00912D74">
        <w:t xml:space="preserve"> = 2) = 0.798 p = 0.207, was not significant, therefor</w:t>
      </w:r>
      <w:r w:rsidR="00F64B02">
        <w:t>e</w:t>
      </w:r>
      <w:r w:rsidR="00912D74">
        <w:t xml:space="preserve"> </w:t>
      </w:r>
      <w:r w:rsidR="00F64B02">
        <w:t xml:space="preserve">an </w:t>
      </w:r>
      <w:r w:rsidR="00912D74">
        <w:t>assumption of sphericity had not been violated, meaning variance in conditions was not significantly different, so no correction needed to be applied.</w:t>
      </w:r>
    </w:p>
    <w:p w14:paraId="72F0F14A" w14:textId="77777777" w:rsidR="00C030CE" w:rsidRDefault="00C030CE" w:rsidP="005367B9">
      <w:pPr>
        <w:pStyle w:val="Heading3"/>
      </w:pPr>
      <w:bookmarkStart w:id="241" w:name="_Toc262768998"/>
      <w:bookmarkStart w:id="242" w:name="_Toc343501159"/>
      <w:bookmarkStart w:id="243" w:name="_Toc348686361"/>
      <w:bookmarkStart w:id="244" w:name="_Toc419116161"/>
      <w:r w:rsidRPr="00C657BB">
        <w:lastRenderedPageBreak/>
        <w:t>Formative assessment results</w:t>
      </w:r>
      <w:bookmarkEnd w:id="241"/>
      <w:bookmarkEnd w:id="242"/>
      <w:bookmarkEnd w:id="243"/>
      <w:bookmarkEnd w:id="244"/>
    </w:p>
    <w:p w14:paraId="1B20B5E6" w14:textId="77777777" w:rsidR="00F13BAC" w:rsidRPr="00F13BAC" w:rsidRDefault="00F13BAC" w:rsidP="00F13BAC"/>
    <w:p w14:paraId="36B92937" w14:textId="2503F84B" w:rsidR="003704CA" w:rsidRDefault="00C030CE" w:rsidP="00C030CE">
      <w:pPr>
        <w:pStyle w:val="ListParagraph"/>
        <w:spacing w:line="480" w:lineRule="auto"/>
        <w:ind w:left="0"/>
        <w:outlineLvl w:val="2"/>
        <w:rPr>
          <w:rFonts w:ascii="Arial" w:hAnsi="Arial" w:cs="Arial"/>
          <w:sz w:val="24"/>
          <w:szCs w:val="24"/>
        </w:rPr>
      </w:pPr>
      <w:r>
        <w:rPr>
          <w:rFonts w:ascii="Arial" w:hAnsi="Arial" w:cs="Arial"/>
          <w:sz w:val="24"/>
          <w:szCs w:val="24"/>
        </w:rPr>
        <w:t xml:space="preserve">Formative assessment marks ranged from a minimum of 80 (min score 30) to a maximum </w:t>
      </w:r>
      <w:r w:rsidR="00943EBD">
        <w:rPr>
          <w:rFonts w:ascii="Arial" w:hAnsi="Arial" w:cs="Arial"/>
          <w:sz w:val="24"/>
          <w:szCs w:val="24"/>
        </w:rPr>
        <w:t>of 139 (max score 150) (Figure 6.</w:t>
      </w:r>
      <w:r w:rsidR="00D02764">
        <w:rPr>
          <w:rFonts w:ascii="Arial" w:hAnsi="Arial" w:cs="Arial"/>
          <w:sz w:val="24"/>
          <w:szCs w:val="24"/>
        </w:rPr>
        <w:t>5</w:t>
      </w:r>
      <w:r>
        <w:rPr>
          <w:rFonts w:ascii="Arial" w:hAnsi="Arial" w:cs="Arial"/>
          <w:sz w:val="24"/>
          <w:szCs w:val="24"/>
        </w:rPr>
        <w:t xml:space="preserve">). The data did not demonstrate a normal distribution. The majority of </w:t>
      </w:r>
      <w:r w:rsidR="00F64B02">
        <w:rPr>
          <w:rFonts w:ascii="Arial" w:hAnsi="Arial" w:cs="Arial"/>
          <w:sz w:val="24"/>
          <w:szCs w:val="24"/>
        </w:rPr>
        <w:t>c</w:t>
      </w:r>
      <w:r w:rsidR="005F705F">
        <w:rPr>
          <w:rFonts w:ascii="Arial" w:hAnsi="Arial" w:cs="Arial"/>
          <w:sz w:val="24"/>
          <w:szCs w:val="24"/>
        </w:rPr>
        <w:t>andidate</w:t>
      </w:r>
      <w:r>
        <w:rPr>
          <w:rFonts w:ascii="Arial" w:hAnsi="Arial" w:cs="Arial"/>
          <w:sz w:val="24"/>
          <w:szCs w:val="24"/>
        </w:rPr>
        <w:t>s scored between 120</w:t>
      </w:r>
      <w:r w:rsidR="00F64B02">
        <w:rPr>
          <w:rFonts w:ascii="Arial" w:hAnsi="Arial" w:cs="Arial"/>
          <w:sz w:val="24"/>
          <w:szCs w:val="24"/>
        </w:rPr>
        <w:t>-</w:t>
      </w:r>
      <w:r>
        <w:rPr>
          <w:rFonts w:ascii="Arial" w:hAnsi="Arial" w:cs="Arial"/>
          <w:sz w:val="24"/>
          <w:szCs w:val="24"/>
        </w:rPr>
        <w:t xml:space="preserve">129 towards the higher end of the mark scheme. </w:t>
      </w:r>
      <w:r w:rsidRPr="00283E43">
        <w:rPr>
          <w:rFonts w:ascii="Arial" w:hAnsi="Arial" w:cs="Arial"/>
          <w:sz w:val="24"/>
          <w:szCs w:val="24"/>
        </w:rPr>
        <w:tab/>
      </w:r>
    </w:p>
    <w:p w14:paraId="206586A4" w14:textId="786F0702" w:rsidR="00C030CE" w:rsidRPr="00283E43" w:rsidRDefault="00C030CE" w:rsidP="00C030CE">
      <w:pPr>
        <w:pStyle w:val="ListParagraph"/>
        <w:spacing w:line="480" w:lineRule="auto"/>
        <w:ind w:left="0"/>
        <w:outlineLvl w:val="2"/>
        <w:rPr>
          <w:rFonts w:ascii="Arial" w:hAnsi="Arial" w:cs="Arial"/>
          <w:sz w:val="24"/>
          <w:szCs w:val="24"/>
        </w:rPr>
      </w:pPr>
      <w:r w:rsidRPr="00283E43">
        <w:rPr>
          <w:rFonts w:ascii="Arial" w:hAnsi="Arial" w:cs="Arial"/>
          <w:sz w:val="24"/>
          <w:szCs w:val="24"/>
        </w:rPr>
        <w:tab/>
      </w:r>
      <w:r w:rsidRPr="00283E43">
        <w:rPr>
          <w:rFonts w:ascii="Arial" w:hAnsi="Arial" w:cs="Arial"/>
          <w:sz w:val="24"/>
          <w:szCs w:val="24"/>
        </w:rPr>
        <w:tab/>
      </w:r>
      <w:r w:rsidRPr="00283E43">
        <w:rPr>
          <w:rFonts w:ascii="Arial" w:hAnsi="Arial" w:cs="Arial"/>
          <w:sz w:val="24"/>
          <w:szCs w:val="24"/>
        </w:rPr>
        <w:tab/>
      </w:r>
      <w:r w:rsidRPr="00283E43">
        <w:rPr>
          <w:rFonts w:ascii="Arial" w:hAnsi="Arial" w:cs="Arial"/>
          <w:sz w:val="24"/>
          <w:szCs w:val="24"/>
        </w:rPr>
        <w:tab/>
      </w:r>
    </w:p>
    <w:p w14:paraId="165E1AA7" w14:textId="77777777" w:rsidR="00943EBD" w:rsidRDefault="00C030CE" w:rsidP="00943EBD">
      <w:pPr>
        <w:keepNext/>
      </w:pPr>
      <w:r>
        <w:rPr>
          <w:rFonts w:cs="Arial"/>
          <w:noProof/>
          <w:szCs w:val="24"/>
          <w:lang w:val="en-US"/>
        </w:rPr>
        <w:drawing>
          <wp:inline distT="0" distB="0" distL="0" distR="0" wp14:anchorId="0BE45F15" wp14:editId="1DAA23DE">
            <wp:extent cx="5486400" cy="3319145"/>
            <wp:effectExtent l="0" t="0" r="0" b="8255"/>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3319145"/>
                    </a:xfrm>
                    <a:prstGeom prst="rect">
                      <a:avLst/>
                    </a:prstGeom>
                    <a:noFill/>
                    <a:ln>
                      <a:noFill/>
                    </a:ln>
                  </pic:spPr>
                </pic:pic>
              </a:graphicData>
            </a:graphic>
          </wp:inline>
        </w:drawing>
      </w:r>
    </w:p>
    <w:p w14:paraId="601DD0DB" w14:textId="2F99C7CB" w:rsidR="00C030CE" w:rsidRPr="00943EBD" w:rsidRDefault="00943EBD" w:rsidP="007000F8">
      <w:pPr>
        <w:pStyle w:val="Caption"/>
        <w:rPr>
          <w:szCs w:val="24"/>
        </w:rPr>
      </w:pPr>
      <w:bookmarkStart w:id="245" w:name="_Toc365579437"/>
      <w:bookmarkStart w:id="246" w:name="_Toc368056036"/>
      <w:bookmarkStart w:id="247" w:name="_Toc419116464"/>
      <w:r>
        <w:t xml:space="preserve">Figure </w:t>
      </w:r>
      <w:r w:rsidR="009A2F08">
        <w:fldChar w:fldCharType="begin"/>
      </w:r>
      <w:r w:rsidR="009A2F08">
        <w:instrText xml:space="preserve"> STYLEREF 1 \s </w:instrText>
      </w:r>
      <w:r w:rsidR="009A2F08">
        <w:fldChar w:fldCharType="separate"/>
      </w:r>
      <w:r w:rsidR="007220A7">
        <w:rPr>
          <w:noProof/>
        </w:rPr>
        <w:t>6</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5</w:t>
      </w:r>
      <w:r w:rsidR="009A2F08">
        <w:fldChar w:fldCharType="end"/>
      </w:r>
      <w:bookmarkStart w:id="248" w:name="_Toc262767505"/>
      <w:bookmarkStart w:id="249" w:name="_Toc262767618"/>
      <w:r w:rsidR="00C030CE">
        <w:t xml:space="preserve"> </w:t>
      </w:r>
      <w:r w:rsidR="00907543">
        <w:t>D</w:t>
      </w:r>
      <w:r w:rsidR="00C030CE">
        <w:t>istribution of formative assessment marks from 80 (minimum) to 139 (maximum). The data is not normally distributed.</w:t>
      </w:r>
      <w:bookmarkEnd w:id="245"/>
      <w:bookmarkEnd w:id="246"/>
      <w:bookmarkEnd w:id="248"/>
      <w:bookmarkEnd w:id="249"/>
      <w:bookmarkEnd w:id="247"/>
    </w:p>
    <w:p w14:paraId="72E25445" w14:textId="3C0C164D" w:rsidR="00C030CE" w:rsidRDefault="00C030CE" w:rsidP="00C030CE">
      <w:pPr>
        <w:rPr>
          <w:rFonts w:cs="Arial"/>
          <w:szCs w:val="24"/>
        </w:rPr>
      </w:pPr>
      <w:r w:rsidRPr="009C4833">
        <w:rPr>
          <w:rFonts w:cs="Arial"/>
          <w:szCs w:val="24"/>
        </w:rPr>
        <w:t xml:space="preserve">Formative assessment of whether happy to allow them to care for a member of family (1 = No, 3 = acceptable, could improve, 5 = very happy) revealed </w:t>
      </w:r>
      <w:r w:rsidR="00F64B02">
        <w:rPr>
          <w:rFonts w:cs="Arial"/>
          <w:szCs w:val="24"/>
        </w:rPr>
        <w:t xml:space="preserve">87% </w:t>
      </w:r>
      <w:r w:rsidRPr="009C4833">
        <w:rPr>
          <w:rFonts w:cs="Arial"/>
          <w:szCs w:val="24"/>
        </w:rPr>
        <w:t xml:space="preserve">scoring a four or five. Thirteen </w:t>
      </w:r>
      <w:r w:rsidR="00511ED1" w:rsidRPr="009C4833">
        <w:rPr>
          <w:rFonts w:cs="Arial"/>
          <w:szCs w:val="24"/>
        </w:rPr>
        <w:t>per cent</w:t>
      </w:r>
      <w:r w:rsidRPr="009C4833">
        <w:rPr>
          <w:rFonts w:cs="Arial"/>
          <w:szCs w:val="24"/>
        </w:rPr>
        <w:t xml:space="preserve"> scored thr</w:t>
      </w:r>
      <w:r>
        <w:rPr>
          <w:rFonts w:cs="Arial"/>
          <w:szCs w:val="24"/>
        </w:rPr>
        <w:t>ee with no significant concerns.</w:t>
      </w:r>
    </w:p>
    <w:p w14:paraId="6FC7DECA" w14:textId="2D81F034" w:rsidR="00C030CE" w:rsidRDefault="003704CA" w:rsidP="00C030CE">
      <w:pPr>
        <w:rPr>
          <w:rFonts w:cs="Arial"/>
          <w:szCs w:val="24"/>
        </w:rPr>
      </w:pPr>
      <w:r>
        <w:rPr>
          <w:rFonts w:cs="Arial"/>
          <w:szCs w:val="24"/>
        </w:rPr>
        <w:lastRenderedPageBreak/>
        <w:t>Self-</w:t>
      </w:r>
      <w:r w:rsidR="00AC4C9C">
        <w:rPr>
          <w:rFonts w:cs="Arial"/>
          <w:szCs w:val="24"/>
        </w:rPr>
        <w:t>rated c</w:t>
      </w:r>
      <w:r w:rsidR="00C030CE" w:rsidRPr="009C4833">
        <w:rPr>
          <w:rFonts w:cs="Arial"/>
          <w:szCs w:val="24"/>
        </w:rPr>
        <w:t>onfidence and performance as assessed by formative assessment marks</w:t>
      </w:r>
      <w:r w:rsidR="00C030CE">
        <w:rPr>
          <w:rFonts w:cs="Arial"/>
          <w:szCs w:val="24"/>
        </w:rPr>
        <w:t xml:space="preserve"> (Figure 6</w:t>
      </w:r>
      <w:r w:rsidR="00943EBD">
        <w:rPr>
          <w:rFonts w:cs="Arial"/>
          <w:szCs w:val="24"/>
        </w:rPr>
        <w:t>.</w:t>
      </w:r>
      <w:r w:rsidR="00D02764">
        <w:rPr>
          <w:rFonts w:cs="Arial"/>
          <w:szCs w:val="24"/>
        </w:rPr>
        <w:t>6</w:t>
      </w:r>
      <w:r w:rsidR="00C030CE">
        <w:rPr>
          <w:rFonts w:cs="Arial"/>
          <w:szCs w:val="24"/>
        </w:rPr>
        <w:t xml:space="preserve">) demonstrates no </w:t>
      </w:r>
      <w:r w:rsidR="00912D74">
        <w:rPr>
          <w:rFonts w:cs="Arial"/>
          <w:szCs w:val="24"/>
        </w:rPr>
        <w:t xml:space="preserve">visible </w:t>
      </w:r>
      <w:r w:rsidR="00C030CE">
        <w:rPr>
          <w:rFonts w:cs="Arial"/>
          <w:szCs w:val="24"/>
        </w:rPr>
        <w:t xml:space="preserve">correlation </w:t>
      </w:r>
      <w:r w:rsidR="00912D74">
        <w:rPr>
          <w:rFonts w:cs="Arial"/>
          <w:szCs w:val="24"/>
        </w:rPr>
        <w:t>in this small group</w:t>
      </w:r>
      <w:r w:rsidR="00C030CE">
        <w:rPr>
          <w:rFonts w:cs="Arial"/>
          <w:szCs w:val="24"/>
        </w:rPr>
        <w:t>. In fact some of the best performers were the least confident and some of the most confident performed the worst.</w:t>
      </w:r>
      <w:r w:rsidR="00943EBD">
        <w:rPr>
          <w:rFonts w:cs="Arial"/>
          <w:szCs w:val="24"/>
        </w:rPr>
        <w:t xml:space="preserve"> The confidence scores have been </w:t>
      </w:r>
      <w:r w:rsidR="00AC4C9C">
        <w:rPr>
          <w:rFonts w:cs="Arial"/>
          <w:szCs w:val="24"/>
        </w:rPr>
        <w:t xml:space="preserve">modified </w:t>
      </w:r>
      <w:r w:rsidR="00943EBD">
        <w:rPr>
          <w:rFonts w:cs="Arial"/>
          <w:szCs w:val="24"/>
        </w:rPr>
        <w:t xml:space="preserve">to </w:t>
      </w:r>
      <w:r w:rsidR="00AC4C9C">
        <w:rPr>
          <w:rFonts w:cs="Arial"/>
          <w:szCs w:val="24"/>
        </w:rPr>
        <w:t xml:space="preserve">fit </w:t>
      </w:r>
      <w:r w:rsidR="00943EBD">
        <w:rPr>
          <w:rFonts w:cs="Arial"/>
          <w:szCs w:val="24"/>
        </w:rPr>
        <w:t xml:space="preserve">the same scale as the formative mark so they can be viewed easily on </w:t>
      </w:r>
      <w:r w:rsidR="00AC4C9C">
        <w:rPr>
          <w:rFonts w:cs="Arial"/>
          <w:szCs w:val="24"/>
        </w:rPr>
        <w:t>a</w:t>
      </w:r>
      <w:r w:rsidR="00943EBD">
        <w:rPr>
          <w:rFonts w:cs="Arial"/>
          <w:szCs w:val="24"/>
        </w:rPr>
        <w:t xml:space="preserve"> graph </w:t>
      </w:r>
      <w:r w:rsidR="00AC4C9C">
        <w:rPr>
          <w:rFonts w:cs="Arial"/>
          <w:szCs w:val="24"/>
        </w:rPr>
        <w:t>(</w:t>
      </w:r>
      <w:r w:rsidR="00943EBD">
        <w:rPr>
          <w:rFonts w:cs="Arial"/>
          <w:szCs w:val="24"/>
        </w:rPr>
        <w:t>multiplying by a factor of ten</w:t>
      </w:r>
      <w:r w:rsidR="00AC4C9C">
        <w:rPr>
          <w:rFonts w:cs="Arial"/>
          <w:szCs w:val="24"/>
        </w:rPr>
        <w:t>)</w:t>
      </w:r>
      <w:r w:rsidR="00943EBD">
        <w:rPr>
          <w:rFonts w:cs="Arial"/>
          <w:szCs w:val="24"/>
        </w:rPr>
        <w:t xml:space="preserve"> to expose the patterns seen. In the final study these results will be explored for a correlation though SPSS</w:t>
      </w:r>
      <w:r w:rsidR="00AC4C9C">
        <w:rPr>
          <w:rFonts w:cs="Arial"/>
          <w:szCs w:val="24"/>
        </w:rPr>
        <w:t>.</w:t>
      </w:r>
    </w:p>
    <w:p w14:paraId="323CB3FC" w14:textId="77777777" w:rsidR="00943EBD" w:rsidRDefault="00C030CE" w:rsidP="00943EBD">
      <w:pPr>
        <w:keepNext/>
      </w:pPr>
      <w:r>
        <w:rPr>
          <w:rFonts w:cs="Arial"/>
          <w:noProof/>
          <w:szCs w:val="24"/>
          <w:lang w:val="en-US"/>
        </w:rPr>
        <w:drawing>
          <wp:inline distT="0" distB="0" distL="0" distR="0" wp14:anchorId="53205237" wp14:editId="72E4CE19">
            <wp:extent cx="5486400" cy="3708400"/>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3708400"/>
                    </a:xfrm>
                    <a:prstGeom prst="rect">
                      <a:avLst/>
                    </a:prstGeom>
                    <a:noFill/>
                    <a:ln>
                      <a:noFill/>
                    </a:ln>
                  </pic:spPr>
                </pic:pic>
              </a:graphicData>
            </a:graphic>
          </wp:inline>
        </w:drawing>
      </w:r>
    </w:p>
    <w:p w14:paraId="570FD7BA" w14:textId="375774C3" w:rsidR="00C030CE" w:rsidRDefault="00943EBD" w:rsidP="007000F8">
      <w:pPr>
        <w:pStyle w:val="Caption"/>
      </w:pPr>
      <w:bookmarkStart w:id="250" w:name="_Toc365579438"/>
      <w:bookmarkStart w:id="251" w:name="_Toc368056037"/>
      <w:bookmarkStart w:id="252" w:name="_Toc419116465"/>
      <w:r>
        <w:t xml:space="preserve">Figure </w:t>
      </w:r>
      <w:r w:rsidR="009A2F08">
        <w:fldChar w:fldCharType="begin"/>
      </w:r>
      <w:r w:rsidR="009A2F08">
        <w:instrText xml:space="preserve"> STYLEREF 1 \s </w:instrText>
      </w:r>
      <w:r w:rsidR="009A2F08">
        <w:fldChar w:fldCharType="separate"/>
      </w:r>
      <w:r w:rsidR="007220A7">
        <w:rPr>
          <w:noProof/>
        </w:rPr>
        <w:t>6</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6</w:t>
      </w:r>
      <w:r w:rsidR="009A2F08">
        <w:fldChar w:fldCharType="end"/>
      </w:r>
      <w:bookmarkStart w:id="253" w:name="_Toc262767506"/>
      <w:bookmarkStart w:id="254" w:name="_Toc262767619"/>
      <w:r w:rsidR="00C030CE">
        <w:t xml:space="preserve"> </w:t>
      </w:r>
      <w:r w:rsidR="00907543">
        <w:t>R</w:t>
      </w:r>
      <w:r w:rsidR="00C030CE">
        <w:t xml:space="preserve">elationship between </w:t>
      </w:r>
      <w:r w:rsidR="001D42C9">
        <w:t>pre-course</w:t>
      </w:r>
      <w:r w:rsidR="00C030CE">
        <w:t xml:space="preserve"> confidence and course performance using formative assessment marks.</w:t>
      </w:r>
      <w:bookmarkEnd w:id="250"/>
      <w:bookmarkEnd w:id="251"/>
      <w:bookmarkEnd w:id="253"/>
      <w:bookmarkEnd w:id="254"/>
      <w:bookmarkEnd w:id="252"/>
      <w:r w:rsidR="00C030CE">
        <w:t xml:space="preserve"> </w:t>
      </w:r>
    </w:p>
    <w:p w14:paraId="5F829705" w14:textId="77777777" w:rsidR="003704CA" w:rsidRDefault="003704CA" w:rsidP="00907543"/>
    <w:p w14:paraId="2FE8721C" w14:textId="77777777" w:rsidR="003704CA" w:rsidRPr="003704CA" w:rsidRDefault="003704CA" w:rsidP="00907543"/>
    <w:p w14:paraId="15D3D922" w14:textId="77777777" w:rsidR="00C030CE" w:rsidRDefault="00C030CE">
      <w:pPr>
        <w:pStyle w:val="Heading3"/>
      </w:pPr>
      <w:bookmarkStart w:id="255" w:name="_Toc262768999"/>
      <w:bookmarkStart w:id="256" w:name="_Toc343501160"/>
      <w:bookmarkStart w:id="257" w:name="_Toc348686362"/>
      <w:bookmarkStart w:id="258" w:name="_Toc419116162"/>
      <w:r w:rsidRPr="00C657BB">
        <w:lastRenderedPageBreak/>
        <w:t>Feedback results from the pilot course</w:t>
      </w:r>
      <w:bookmarkEnd w:id="255"/>
      <w:bookmarkEnd w:id="256"/>
      <w:bookmarkEnd w:id="257"/>
      <w:bookmarkEnd w:id="258"/>
    </w:p>
    <w:p w14:paraId="50EEFEE9" w14:textId="77777777" w:rsidR="00F13BAC" w:rsidRPr="00F13BAC" w:rsidRDefault="00F13BAC" w:rsidP="00F13BAC"/>
    <w:p w14:paraId="7B3DA9AA" w14:textId="7BF1681E" w:rsidR="00C030CE" w:rsidRPr="00283E43" w:rsidRDefault="00C030CE" w:rsidP="00C030CE">
      <w:pPr>
        <w:pStyle w:val="ListParagraph"/>
        <w:spacing w:line="480" w:lineRule="auto"/>
        <w:ind w:left="0"/>
        <w:outlineLvl w:val="2"/>
        <w:rPr>
          <w:rFonts w:ascii="Arial" w:hAnsi="Arial" w:cs="Arial"/>
          <w:sz w:val="24"/>
          <w:szCs w:val="24"/>
        </w:rPr>
      </w:pPr>
      <w:r>
        <w:rPr>
          <w:rFonts w:ascii="Arial" w:hAnsi="Arial" w:cs="Arial"/>
          <w:sz w:val="24"/>
          <w:szCs w:val="24"/>
        </w:rPr>
        <w:t>Feedback was ranked on a five</w:t>
      </w:r>
      <w:r w:rsidR="00F64B02">
        <w:rPr>
          <w:rFonts w:ascii="Arial" w:hAnsi="Arial" w:cs="Arial"/>
          <w:sz w:val="24"/>
          <w:szCs w:val="24"/>
        </w:rPr>
        <w:t>-</w:t>
      </w:r>
      <w:r>
        <w:rPr>
          <w:rFonts w:ascii="Arial" w:hAnsi="Arial" w:cs="Arial"/>
          <w:sz w:val="24"/>
          <w:szCs w:val="24"/>
        </w:rPr>
        <w:t xml:space="preserve">point </w:t>
      </w:r>
      <w:r w:rsidR="00F64B02">
        <w:rPr>
          <w:rFonts w:ascii="Arial" w:hAnsi="Arial" w:cs="Arial"/>
          <w:sz w:val="24"/>
          <w:szCs w:val="24"/>
        </w:rPr>
        <w:t>L</w:t>
      </w:r>
      <w:r>
        <w:rPr>
          <w:rFonts w:ascii="Arial" w:hAnsi="Arial" w:cs="Arial"/>
          <w:sz w:val="24"/>
          <w:szCs w:val="24"/>
        </w:rPr>
        <w:t xml:space="preserve">ikert scale  (1 = strongly disagree, 5 = strongly agree) (Figure </w:t>
      </w:r>
      <w:r w:rsidR="00AC4C9C">
        <w:rPr>
          <w:rFonts w:ascii="Arial" w:hAnsi="Arial" w:cs="Arial"/>
          <w:sz w:val="24"/>
          <w:szCs w:val="24"/>
        </w:rPr>
        <w:t>6.</w:t>
      </w:r>
      <w:r>
        <w:rPr>
          <w:rFonts w:ascii="Arial" w:hAnsi="Arial" w:cs="Arial"/>
          <w:sz w:val="24"/>
          <w:szCs w:val="24"/>
        </w:rPr>
        <w:t>7). All students felt they would highly recommend the course to others. The highest rated feedback scores were for improvement in critical thinking, reality of the simulation, assessment of the unwell patient, feeling challenged, the feedback received and being comfortable asking for help. The lowest scores were in understanding prescribing.</w:t>
      </w:r>
    </w:p>
    <w:p w14:paraId="2FA0AFBB" w14:textId="029AA813" w:rsidR="00943EBD" w:rsidRDefault="00C030CE" w:rsidP="00943EBD">
      <w:pPr>
        <w:keepNext/>
      </w:pPr>
      <w:r>
        <w:rPr>
          <w:rFonts w:cs="Arial"/>
          <w:noProof/>
          <w:szCs w:val="24"/>
          <w:lang w:val="en-US"/>
        </w:rPr>
        <w:drawing>
          <wp:inline distT="0" distB="0" distL="0" distR="0" wp14:anchorId="19FEDA8E" wp14:editId="022E809A">
            <wp:extent cx="5486400" cy="3386455"/>
            <wp:effectExtent l="0" t="0" r="0" b="0"/>
            <wp:docPr id="1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3386455"/>
                    </a:xfrm>
                    <a:prstGeom prst="rect">
                      <a:avLst/>
                    </a:prstGeom>
                    <a:noFill/>
                    <a:ln>
                      <a:noFill/>
                    </a:ln>
                  </pic:spPr>
                </pic:pic>
              </a:graphicData>
            </a:graphic>
          </wp:inline>
        </w:drawing>
      </w:r>
    </w:p>
    <w:p w14:paraId="0F95266E" w14:textId="578E6D2F" w:rsidR="00C030CE" w:rsidRDefault="00943EBD" w:rsidP="007000F8">
      <w:pPr>
        <w:pStyle w:val="Caption"/>
      </w:pPr>
      <w:bookmarkStart w:id="259" w:name="_Toc365579439"/>
      <w:bookmarkStart w:id="260" w:name="_Toc368056038"/>
      <w:bookmarkStart w:id="261" w:name="_Toc419116466"/>
      <w:r>
        <w:t xml:space="preserve">Figure </w:t>
      </w:r>
      <w:r w:rsidR="009A2F08">
        <w:fldChar w:fldCharType="begin"/>
      </w:r>
      <w:r w:rsidR="009A2F08">
        <w:instrText xml:space="preserve"> STYLEREF 1 \s </w:instrText>
      </w:r>
      <w:r w:rsidR="009A2F08">
        <w:fldChar w:fldCharType="separate"/>
      </w:r>
      <w:r w:rsidR="007220A7">
        <w:rPr>
          <w:noProof/>
        </w:rPr>
        <w:t>6</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7</w:t>
      </w:r>
      <w:r w:rsidR="009A2F08">
        <w:fldChar w:fldCharType="end"/>
      </w:r>
      <w:r>
        <w:t xml:space="preserve"> </w:t>
      </w:r>
      <w:r w:rsidR="00907543">
        <w:t>F</w:t>
      </w:r>
      <w:r>
        <w:t>eedback scores from the course</w:t>
      </w:r>
      <w:r w:rsidR="00907543">
        <w:t>.</w:t>
      </w:r>
      <w:bookmarkEnd w:id="259"/>
      <w:bookmarkEnd w:id="260"/>
      <w:bookmarkEnd w:id="261"/>
    </w:p>
    <w:p w14:paraId="036E671B" w14:textId="77777777" w:rsidR="003704CA" w:rsidRDefault="003704CA" w:rsidP="005853C0"/>
    <w:p w14:paraId="3D761C7F" w14:textId="77777777" w:rsidR="003704CA" w:rsidRPr="003704CA" w:rsidRDefault="003704CA" w:rsidP="005853C0"/>
    <w:p w14:paraId="592DA0E7" w14:textId="2A04F313" w:rsidR="000750B3" w:rsidRDefault="008C6F58">
      <w:pPr>
        <w:pStyle w:val="Heading3"/>
      </w:pPr>
      <w:bookmarkStart w:id="262" w:name="_Toc262769001"/>
      <w:bookmarkStart w:id="263" w:name="_Toc343501161"/>
      <w:bookmarkStart w:id="264" w:name="_Toc348686363"/>
      <w:bookmarkStart w:id="265" w:name="_Toc419116163"/>
      <w:r>
        <w:lastRenderedPageBreak/>
        <w:t xml:space="preserve">Pilot </w:t>
      </w:r>
      <w:r w:rsidR="000750B3" w:rsidRPr="00C657BB">
        <w:t>IMASS (intervention) group versus non</w:t>
      </w:r>
      <w:r w:rsidR="00F910D6">
        <w:t>-</w:t>
      </w:r>
      <w:r w:rsidR="000750B3" w:rsidRPr="00C657BB">
        <w:t>IMASS</w:t>
      </w:r>
      <w:r w:rsidR="00F910D6">
        <w:t xml:space="preserve"> (control</w:t>
      </w:r>
      <w:r w:rsidR="002938BF" w:rsidRPr="00C657BB">
        <w:t>)</w:t>
      </w:r>
      <w:r w:rsidR="002938BF">
        <w:t xml:space="preserve"> </w:t>
      </w:r>
      <w:r w:rsidR="002938BF" w:rsidRPr="00C657BB">
        <w:t>group</w:t>
      </w:r>
      <w:r w:rsidR="000750B3" w:rsidRPr="00C657BB">
        <w:t xml:space="preserve"> </w:t>
      </w:r>
      <w:bookmarkEnd w:id="262"/>
      <w:bookmarkEnd w:id="263"/>
      <w:bookmarkEnd w:id="264"/>
      <w:r w:rsidR="00F910D6">
        <w:t>results</w:t>
      </w:r>
      <w:bookmarkEnd w:id="265"/>
    </w:p>
    <w:p w14:paraId="7BB61FFC" w14:textId="77777777" w:rsidR="00F13BAC" w:rsidRPr="00F13BAC" w:rsidRDefault="00F13BAC" w:rsidP="00F13BAC"/>
    <w:p w14:paraId="31CC3F6A" w14:textId="60FB8A56" w:rsidR="009251C5" w:rsidRPr="000C389E" w:rsidRDefault="00BB063E" w:rsidP="000750B3">
      <w:pPr>
        <w:rPr>
          <w:rFonts w:cs="Arial"/>
          <w:szCs w:val="24"/>
        </w:rPr>
      </w:pPr>
      <w:r>
        <w:rPr>
          <w:rFonts w:cs="Arial"/>
          <w:szCs w:val="24"/>
        </w:rPr>
        <w:t>Fifty</w:t>
      </w:r>
      <w:r w:rsidR="000750B3" w:rsidRPr="000C389E">
        <w:rPr>
          <w:rFonts w:cs="Arial"/>
          <w:szCs w:val="24"/>
        </w:rPr>
        <w:t xml:space="preserve"> FY1s attended </w:t>
      </w:r>
      <w:r w:rsidR="00327506">
        <w:rPr>
          <w:rFonts w:cs="Arial"/>
          <w:szCs w:val="24"/>
        </w:rPr>
        <w:t>the District General Hospital</w:t>
      </w:r>
      <w:r w:rsidR="000750B3" w:rsidRPr="000C389E">
        <w:rPr>
          <w:rFonts w:cs="Arial"/>
          <w:szCs w:val="24"/>
        </w:rPr>
        <w:t xml:space="preserve"> for a </w:t>
      </w:r>
      <w:r>
        <w:rPr>
          <w:rFonts w:cs="Arial"/>
          <w:szCs w:val="24"/>
        </w:rPr>
        <w:t>T</w:t>
      </w:r>
      <w:r w:rsidR="000750B3" w:rsidRPr="000C389E">
        <w:rPr>
          <w:rFonts w:cs="Arial"/>
          <w:szCs w:val="24"/>
        </w:rPr>
        <w:t xml:space="preserve">rust induction prior to commencing their FY1 jobs. </w:t>
      </w:r>
      <w:r w:rsidR="00327506">
        <w:rPr>
          <w:rFonts w:cs="Arial"/>
          <w:szCs w:val="24"/>
        </w:rPr>
        <w:t>T</w:t>
      </w:r>
      <w:r w:rsidR="000750B3" w:rsidRPr="000C389E">
        <w:rPr>
          <w:rFonts w:cs="Arial"/>
          <w:szCs w:val="24"/>
        </w:rPr>
        <w:t>his opportunity</w:t>
      </w:r>
      <w:r w:rsidR="00327506">
        <w:rPr>
          <w:rFonts w:cs="Arial"/>
          <w:szCs w:val="24"/>
        </w:rPr>
        <w:t xml:space="preserve"> was taken</w:t>
      </w:r>
      <w:r w:rsidR="000750B3" w:rsidRPr="000C389E">
        <w:rPr>
          <w:rFonts w:cs="Arial"/>
          <w:szCs w:val="24"/>
        </w:rPr>
        <w:t xml:space="preserve"> to explore their views on simulation</w:t>
      </w:r>
      <w:r w:rsidR="00AC4C9C">
        <w:rPr>
          <w:rFonts w:cs="Arial"/>
          <w:szCs w:val="24"/>
        </w:rPr>
        <w:t xml:space="preserve">. </w:t>
      </w:r>
      <w:r w:rsidR="000750B3" w:rsidRPr="000C389E">
        <w:rPr>
          <w:rFonts w:cs="Arial"/>
          <w:szCs w:val="24"/>
        </w:rPr>
        <w:t>The questionnaire was handed out to all 50 FY1s at the start of the induction and collected at lunc</w:t>
      </w:r>
      <w:r w:rsidR="000750B3">
        <w:rPr>
          <w:rFonts w:cs="Arial"/>
          <w:szCs w:val="24"/>
        </w:rPr>
        <w:t>h</w:t>
      </w:r>
      <w:r w:rsidR="000750B3" w:rsidRPr="000C389E">
        <w:rPr>
          <w:rFonts w:cs="Arial"/>
          <w:szCs w:val="24"/>
        </w:rPr>
        <w:t xml:space="preserve">time. 64% responded (n= 32). </w:t>
      </w:r>
      <w:r>
        <w:rPr>
          <w:rFonts w:cs="Arial"/>
          <w:szCs w:val="24"/>
        </w:rPr>
        <w:t>Fifty per cent</w:t>
      </w:r>
      <w:r w:rsidR="000750B3" w:rsidRPr="000C389E">
        <w:rPr>
          <w:rFonts w:cs="Arial"/>
          <w:szCs w:val="24"/>
        </w:rPr>
        <w:t xml:space="preserve"> had done the IMASS course (n=16) and 50% had not</w:t>
      </w:r>
      <w:r w:rsidR="00AC4C9C">
        <w:rPr>
          <w:rFonts w:cs="Arial"/>
          <w:szCs w:val="24"/>
        </w:rPr>
        <w:t xml:space="preserve"> (controls)</w:t>
      </w:r>
      <w:r w:rsidR="000750B3" w:rsidRPr="000C389E">
        <w:rPr>
          <w:rFonts w:cs="Arial"/>
          <w:szCs w:val="24"/>
        </w:rPr>
        <w:t xml:space="preserve">. </w:t>
      </w:r>
    </w:p>
    <w:p w14:paraId="1FA229FF" w14:textId="20C3CA31" w:rsidR="000750B3" w:rsidRPr="000C389E" w:rsidRDefault="007E4955" w:rsidP="000750B3">
      <w:pPr>
        <w:rPr>
          <w:rFonts w:cs="Arial"/>
          <w:szCs w:val="24"/>
        </w:rPr>
      </w:pPr>
      <w:r>
        <w:rPr>
          <w:rFonts w:cs="Arial"/>
          <w:szCs w:val="24"/>
        </w:rPr>
        <w:t xml:space="preserve">Ninety-four per cent </w:t>
      </w:r>
      <w:r w:rsidR="000750B3" w:rsidRPr="000C389E">
        <w:rPr>
          <w:rFonts w:cs="Arial"/>
          <w:szCs w:val="24"/>
        </w:rPr>
        <w:t>of the FY1s had had some si</w:t>
      </w:r>
      <w:r w:rsidR="000750B3">
        <w:rPr>
          <w:rFonts w:cs="Arial"/>
          <w:szCs w:val="24"/>
        </w:rPr>
        <w:t>mulation training in the past</w:t>
      </w:r>
      <w:r>
        <w:rPr>
          <w:rFonts w:cs="Arial"/>
          <w:szCs w:val="24"/>
        </w:rPr>
        <w:t xml:space="preserve"> -</w:t>
      </w:r>
      <w:r w:rsidR="000750B3">
        <w:rPr>
          <w:rFonts w:cs="Arial"/>
          <w:szCs w:val="24"/>
        </w:rPr>
        <w:t xml:space="preserve"> </w:t>
      </w:r>
      <w:r w:rsidR="000750B3" w:rsidRPr="000C389E">
        <w:rPr>
          <w:rFonts w:cs="Arial"/>
          <w:szCs w:val="24"/>
        </w:rPr>
        <w:t>90% of the group felt that they strongly agreed that it was</w:t>
      </w:r>
      <w:r w:rsidR="00AC4C9C">
        <w:rPr>
          <w:rFonts w:cs="Arial"/>
          <w:szCs w:val="24"/>
        </w:rPr>
        <w:t xml:space="preserve"> a useful tool for learning</w:t>
      </w:r>
      <w:r w:rsidR="000750B3" w:rsidRPr="000C389E">
        <w:rPr>
          <w:rFonts w:cs="Arial"/>
          <w:szCs w:val="24"/>
        </w:rPr>
        <w:t xml:space="preserve">, 6% agreed and one person (3%) disagreed. That person had had simulation training before but not on the IMASS course. Of those that had done the IMASS course 100% strongly agreed that simulation was useful. </w:t>
      </w:r>
    </w:p>
    <w:p w14:paraId="2B31EF42" w14:textId="126984ED" w:rsidR="000750B3" w:rsidRPr="000C389E" w:rsidRDefault="000750B3" w:rsidP="000750B3">
      <w:pPr>
        <w:rPr>
          <w:rFonts w:cs="Arial"/>
          <w:szCs w:val="24"/>
        </w:rPr>
      </w:pPr>
      <w:r w:rsidRPr="000C389E">
        <w:rPr>
          <w:rFonts w:cs="Arial"/>
          <w:szCs w:val="24"/>
        </w:rPr>
        <w:t>When asked whether they felt prepared for starting FY1 using a 5</w:t>
      </w:r>
      <w:r w:rsidR="007E4955">
        <w:rPr>
          <w:rFonts w:cs="Arial"/>
          <w:szCs w:val="24"/>
        </w:rPr>
        <w:t>-</w:t>
      </w:r>
      <w:r w:rsidRPr="000C389E">
        <w:rPr>
          <w:rFonts w:cs="Arial"/>
          <w:szCs w:val="24"/>
        </w:rPr>
        <w:t>point</w:t>
      </w:r>
      <w:r w:rsidR="007E4955">
        <w:rPr>
          <w:rFonts w:cs="Arial"/>
          <w:szCs w:val="24"/>
        </w:rPr>
        <w:t xml:space="preserve"> </w:t>
      </w:r>
      <w:r w:rsidR="00BC4377">
        <w:rPr>
          <w:rFonts w:cs="Arial"/>
          <w:szCs w:val="24"/>
        </w:rPr>
        <w:t>L</w:t>
      </w:r>
      <w:r w:rsidRPr="000C389E">
        <w:rPr>
          <w:rFonts w:cs="Arial"/>
          <w:szCs w:val="24"/>
        </w:rPr>
        <w:t xml:space="preserve">ikert scale, (1= </w:t>
      </w:r>
      <w:r w:rsidR="00BC4377">
        <w:rPr>
          <w:rFonts w:cs="Arial"/>
          <w:szCs w:val="24"/>
        </w:rPr>
        <w:t>s</w:t>
      </w:r>
      <w:r w:rsidRPr="000C389E">
        <w:rPr>
          <w:rFonts w:cs="Arial"/>
          <w:szCs w:val="24"/>
        </w:rPr>
        <w:t xml:space="preserve">trongly disagree, 2 = disagree, 3 = </w:t>
      </w:r>
      <w:r w:rsidR="00BC4377">
        <w:rPr>
          <w:rFonts w:cs="Arial"/>
          <w:szCs w:val="24"/>
        </w:rPr>
        <w:t>n</w:t>
      </w:r>
      <w:r w:rsidRPr="000C389E">
        <w:rPr>
          <w:rFonts w:cs="Arial"/>
          <w:szCs w:val="24"/>
        </w:rPr>
        <w:t xml:space="preserve">eutral, 4 = agree, 5 = </w:t>
      </w:r>
      <w:r w:rsidR="00BC4377">
        <w:rPr>
          <w:rFonts w:cs="Arial"/>
          <w:szCs w:val="24"/>
        </w:rPr>
        <w:t>s</w:t>
      </w:r>
      <w:r w:rsidRPr="000C389E">
        <w:rPr>
          <w:rFonts w:cs="Arial"/>
          <w:szCs w:val="24"/>
        </w:rPr>
        <w:t>trongly disagree)</w:t>
      </w:r>
      <w:r w:rsidR="00BC4377">
        <w:rPr>
          <w:rFonts w:cs="Arial"/>
          <w:szCs w:val="24"/>
        </w:rPr>
        <w:t>,</w:t>
      </w:r>
      <w:r w:rsidRPr="000C389E">
        <w:rPr>
          <w:rFonts w:cs="Arial"/>
          <w:szCs w:val="24"/>
        </w:rPr>
        <w:t xml:space="preserve"> the average score in the non</w:t>
      </w:r>
      <w:r w:rsidR="00BC4377">
        <w:rPr>
          <w:rFonts w:cs="Arial"/>
          <w:szCs w:val="24"/>
        </w:rPr>
        <w:t>-</w:t>
      </w:r>
      <w:r w:rsidRPr="000C389E">
        <w:rPr>
          <w:rFonts w:cs="Arial"/>
          <w:szCs w:val="24"/>
        </w:rPr>
        <w:t>IMASS group was 3.1 and in the IMASS group 3.3. 72% felt neutral about feeling prepared, 25% felt they agreed they felt prepared (4),</w:t>
      </w:r>
      <w:r w:rsidR="00BC4377">
        <w:rPr>
          <w:rFonts w:cs="Arial"/>
          <w:szCs w:val="24"/>
        </w:rPr>
        <w:t xml:space="preserve"> and</w:t>
      </w:r>
      <w:r w:rsidRPr="000C389E">
        <w:rPr>
          <w:rFonts w:cs="Arial"/>
          <w:szCs w:val="24"/>
        </w:rPr>
        <w:t xml:space="preserve"> 3% felt they disagreed that they were prepared. Of those that felt prepared, 62% of them were in the group that did the IMASS course. </w:t>
      </w:r>
    </w:p>
    <w:p w14:paraId="2FBE5628" w14:textId="714D4465" w:rsidR="000750B3" w:rsidRPr="000C389E" w:rsidRDefault="000750B3" w:rsidP="000750B3">
      <w:pPr>
        <w:rPr>
          <w:rFonts w:cs="Arial"/>
          <w:szCs w:val="24"/>
        </w:rPr>
      </w:pPr>
      <w:r w:rsidRPr="000C389E">
        <w:rPr>
          <w:rFonts w:cs="Arial"/>
          <w:szCs w:val="24"/>
        </w:rPr>
        <w:t>When asked whether they felt undergraduate simulation training was useful</w:t>
      </w:r>
      <w:r w:rsidR="00BC4377">
        <w:rPr>
          <w:rFonts w:cs="Arial"/>
          <w:szCs w:val="24"/>
        </w:rPr>
        <w:t>,</w:t>
      </w:r>
      <w:r w:rsidRPr="000C389E">
        <w:rPr>
          <w:rFonts w:cs="Arial"/>
          <w:szCs w:val="24"/>
        </w:rPr>
        <w:t xml:space="preserve"> 97% of FY1s agreed (22%) or strongly agreed (75%)</w:t>
      </w:r>
      <w:r w:rsidR="00E014A3">
        <w:rPr>
          <w:rFonts w:cs="Arial"/>
          <w:szCs w:val="24"/>
        </w:rPr>
        <w:t>,</w:t>
      </w:r>
      <w:r w:rsidRPr="000C389E">
        <w:rPr>
          <w:rFonts w:cs="Arial"/>
          <w:szCs w:val="24"/>
        </w:rPr>
        <w:t xml:space="preserve"> 3% (n=1) disagreed</w:t>
      </w:r>
      <w:r>
        <w:rPr>
          <w:rFonts w:cs="Arial"/>
          <w:szCs w:val="24"/>
        </w:rPr>
        <w:t xml:space="preserve"> and had not done the IMASS course</w:t>
      </w:r>
      <w:r w:rsidRPr="000C389E">
        <w:rPr>
          <w:rFonts w:cs="Arial"/>
          <w:szCs w:val="24"/>
        </w:rPr>
        <w:t xml:space="preserve">. </w:t>
      </w:r>
      <w:r w:rsidR="00AC4C9C" w:rsidRPr="000C389E">
        <w:rPr>
          <w:rFonts w:cs="Arial"/>
          <w:szCs w:val="24"/>
        </w:rPr>
        <w:t xml:space="preserve">When asked if simulation training felt realistic, </w:t>
      </w:r>
      <w:r w:rsidR="00AC4C9C" w:rsidRPr="000C389E">
        <w:rPr>
          <w:rFonts w:cs="Arial"/>
          <w:szCs w:val="24"/>
        </w:rPr>
        <w:lastRenderedPageBreak/>
        <w:t>65% of FY1s agreed (37% agreed, 28% strongly</w:t>
      </w:r>
      <w:r w:rsidR="00AC4C9C">
        <w:rPr>
          <w:rFonts w:cs="Arial"/>
          <w:szCs w:val="24"/>
        </w:rPr>
        <w:t xml:space="preserve"> agreed), 71% of those </w:t>
      </w:r>
      <w:r w:rsidR="00AC4C9C" w:rsidRPr="000C389E">
        <w:rPr>
          <w:rFonts w:cs="Arial"/>
          <w:szCs w:val="24"/>
        </w:rPr>
        <w:t>were in the IMASS group.</w:t>
      </w:r>
    </w:p>
    <w:p w14:paraId="33FBF9AC" w14:textId="32436A62" w:rsidR="000750B3" w:rsidRPr="000C389E" w:rsidRDefault="000750B3" w:rsidP="000750B3">
      <w:pPr>
        <w:rPr>
          <w:rFonts w:cs="Arial"/>
          <w:szCs w:val="24"/>
        </w:rPr>
      </w:pPr>
      <w:r w:rsidRPr="000C389E">
        <w:rPr>
          <w:rFonts w:cs="Arial"/>
          <w:szCs w:val="24"/>
        </w:rPr>
        <w:t xml:space="preserve">In terms of confidence about starting as </w:t>
      </w:r>
      <w:r w:rsidR="00BC4377">
        <w:rPr>
          <w:rFonts w:cs="Arial"/>
          <w:szCs w:val="24"/>
        </w:rPr>
        <w:t>a FY1</w:t>
      </w:r>
      <w:r w:rsidRPr="000C389E">
        <w:rPr>
          <w:rFonts w:cs="Arial"/>
          <w:szCs w:val="24"/>
        </w:rPr>
        <w:t xml:space="preserve"> on </w:t>
      </w:r>
      <w:r w:rsidR="00AC4C9C">
        <w:rPr>
          <w:rFonts w:cs="Arial"/>
          <w:szCs w:val="24"/>
        </w:rPr>
        <w:t>the</w:t>
      </w:r>
      <w:r w:rsidRPr="000C389E">
        <w:rPr>
          <w:rFonts w:cs="Arial"/>
          <w:szCs w:val="24"/>
        </w:rPr>
        <w:t xml:space="preserve"> </w:t>
      </w:r>
      <w:r w:rsidR="00511ED1" w:rsidRPr="000C389E">
        <w:rPr>
          <w:rFonts w:cs="Arial"/>
          <w:szCs w:val="24"/>
        </w:rPr>
        <w:t>10-point</w:t>
      </w:r>
      <w:r w:rsidRPr="000C389E">
        <w:rPr>
          <w:rFonts w:cs="Arial"/>
          <w:szCs w:val="24"/>
        </w:rPr>
        <w:t xml:space="preserve"> confidence </w:t>
      </w:r>
      <w:r>
        <w:rPr>
          <w:rFonts w:cs="Arial"/>
          <w:szCs w:val="24"/>
        </w:rPr>
        <w:t>log,</w:t>
      </w:r>
      <w:r w:rsidRPr="000C389E">
        <w:rPr>
          <w:rFonts w:cs="Arial"/>
          <w:szCs w:val="24"/>
        </w:rPr>
        <w:t xml:space="preserve"> </w:t>
      </w:r>
      <w:r w:rsidR="00AC4C9C">
        <w:rPr>
          <w:rFonts w:cs="Arial"/>
          <w:szCs w:val="24"/>
        </w:rPr>
        <w:t>(</w:t>
      </w:r>
      <w:r w:rsidRPr="000C389E">
        <w:rPr>
          <w:rFonts w:cs="Arial"/>
          <w:szCs w:val="24"/>
        </w:rPr>
        <w:t xml:space="preserve">1 </w:t>
      </w:r>
      <w:r w:rsidR="00AC4C9C">
        <w:rPr>
          <w:rFonts w:cs="Arial"/>
          <w:szCs w:val="24"/>
        </w:rPr>
        <w:t>=</w:t>
      </w:r>
      <w:r w:rsidRPr="000C389E">
        <w:rPr>
          <w:rFonts w:cs="Arial"/>
          <w:szCs w:val="24"/>
        </w:rPr>
        <w:t xml:space="preserve"> not confident at all</w:t>
      </w:r>
      <w:r w:rsidR="00AC4C9C">
        <w:rPr>
          <w:rFonts w:cs="Arial"/>
          <w:szCs w:val="24"/>
        </w:rPr>
        <w:t xml:space="preserve">, </w:t>
      </w:r>
      <w:r w:rsidRPr="000C389E">
        <w:rPr>
          <w:rFonts w:cs="Arial"/>
          <w:szCs w:val="24"/>
        </w:rPr>
        <w:t xml:space="preserve">10 </w:t>
      </w:r>
      <w:r w:rsidR="00AC4C9C">
        <w:rPr>
          <w:rFonts w:cs="Arial"/>
          <w:szCs w:val="24"/>
        </w:rPr>
        <w:t xml:space="preserve">= </w:t>
      </w:r>
      <w:r w:rsidRPr="000C389E">
        <w:rPr>
          <w:rFonts w:cs="Arial"/>
          <w:szCs w:val="24"/>
        </w:rPr>
        <w:t>very confiden</w:t>
      </w:r>
      <w:r w:rsidR="00AC4C9C">
        <w:rPr>
          <w:rFonts w:cs="Arial"/>
          <w:szCs w:val="24"/>
        </w:rPr>
        <w:t>t),</w:t>
      </w:r>
      <w:r w:rsidRPr="000C389E">
        <w:rPr>
          <w:rFonts w:cs="Arial"/>
          <w:szCs w:val="24"/>
        </w:rPr>
        <w:t xml:space="preserve"> the average score in the </w:t>
      </w:r>
      <w:r w:rsidR="00BC4377">
        <w:rPr>
          <w:rFonts w:cs="Arial"/>
          <w:szCs w:val="24"/>
        </w:rPr>
        <w:t>non-IMASS</w:t>
      </w:r>
      <w:r w:rsidRPr="000C389E">
        <w:rPr>
          <w:rFonts w:cs="Arial"/>
          <w:szCs w:val="24"/>
        </w:rPr>
        <w:t xml:space="preserve"> group was 5 (range 3 – 6) and in the IMASS group 6 (range 4 – 8). </w:t>
      </w:r>
    </w:p>
    <w:p w14:paraId="7A8AC1F5" w14:textId="6EE1A4E5" w:rsidR="00B02D48" w:rsidRDefault="000750B3" w:rsidP="00D44AB9">
      <w:pPr>
        <w:rPr>
          <w:rFonts w:cs="Arial"/>
          <w:szCs w:val="24"/>
        </w:rPr>
      </w:pPr>
      <w:r w:rsidRPr="000C389E">
        <w:rPr>
          <w:rFonts w:cs="Arial"/>
          <w:szCs w:val="24"/>
        </w:rPr>
        <w:t>When asked for comments about what could help them feel more prepared for FY1</w:t>
      </w:r>
      <w:r w:rsidR="00BC4377">
        <w:rPr>
          <w:rFonts w:cs="Arial"/>
          <w:szCs w:val="24"/>
        </w:rPr>
        <w:t>,</w:t>
      </w:r>
      <w:r w:rsidRPr="000C389E">
        <w:rPr>
          <w:rFonts w:cs="Arial"/>
          <w:szCs w:val="24"/>
        </w:rPr>
        <w:t xml:space="preserve"> 69% of FY1s made a co</w:t>
      </w:r>
      <w:r>
        <w:rPr>
          <w:rFonts w:cs="Arial"/>
          <w:szCs w:val="24"/>
        </w:rPr>
        <w:t xml:space="preserve">mment. </w:t>
      </w:r>
      <w:r w:rsidR="0014643A">
        <w:rPr>
          <w:rFonts w:cs="Arial"/>
          <w:szCs w:val="24"/>
        </w:rPr>
        <w:t>Views included</w:t>
      </w:r>
      <w:r w:rsidR="00BC4377">
        <w:rPr>
          <w:rFonts w:cs="Arial"/>
          <w:szCs w:val="24"/>
        </w:rPr>
        <w:t>:</w:t>
      </w:r>
      <w:r w:rsidR="0014643A">
        <w:rPr>
          <w:rFonts w:cs="Arial"/>
          <w:szCs w:val="24"/>
        </w:rPr>
        <w:t xml:space="preserve"> more </w:t>
      </w:r>
      <w:r>
        <w:rPr>
          <w:rFonts w:cs="Arial"/>
          <w:szCs w:val="24"/>
        </w:rPr>
        <w:t xml:space="preserve">simulation </w:t>
      </w:r>
      <w:r w:rsidR="0014643A">
        <w:rPr>
          <w:rFonts w:cs="Arial"/>
          <w:szCs w:val="24"/>
        </w:rPr>
        <w:t>training</w:t>
      </w:r>
      <w:r>
        <w:rPr>
          <w:rFonts w:cs="Arial"/>
          <w:szCs w:val="24"/>
        </w:rPr>
        <w:t xml:space="preserve">, acute illness training, </w:t>
      </w:r>
      <w:r w:rsidR="00BC4377">
        <w:rPr>
          <w:rFonts w:cs="Arial"/>
          <w:szCs w:val="24"/>
        </w:rPr>
        <w:t xml:space="preserve">team </w:t>
      </w:r>
      <w:r w:rsidRPr="000C389E">
        <w:rPr>
          <w:rFonts w:cs="Arial"/>
          <w:szCs w:val="24"/>
        </w:rPr>
        <w:t>shadowing</w:t>
      </w:r>
      <w:r w:rsidR="0014643A">
        <w:rPr>
          <w:rFonts w:cs="Arial"/>
          <w:szCs w:val="24"/>
        </w:rPr>
        <w:t xml:space="preserve">, </w:t>
      </w:r>
      <w:r w:rsidR="00BC4377">
        <w:rPr>
          <w:rFonts w:cs="Arial"/>
          <w:szCs w:val="24"/>
        </w:rPr>
        <w:t xml:space="preserve">being </w:t>
      </w:r>
      <w:r w:rsidRPr="000C389E">
        <w:rPr>
          <w:rFonts w:cs="Arial"/>
          <w:szCs w:val="24"/>
        </w:rPr>
        <w:t>in their actual hospital</w:t>
      </w:r>
      <w:r w:rsidR="0014643A">
        <w:rPr>
          <w:rFonts w:cs="Arial"/>
          <w:szCs w:val="24"/>
        </w:rPr>
        <w:t xml:space="preserve"> immediately prior to starting work </w:t>
      </w:r>
      <w:r w:rsidR="00BC4377">
        <w:rPr>
          <w:rFonts w:cs="Arial"/>
          <w:szCs w:val="24"/>
        </w:rPr>
        <w:t>(</w:t>
      </w:r>
      <w:r w:rsidR="0014643A">
        <w:rPr>
          <w:rFonts w:cs="Arial"/>
          <w:szCs w:val="24"/>
        </w:rPr>
        <w:t>including nights</w:t>
      </w:r>
      <w:r w:rsidR="00BC4377">
        <w:rPr>
          <w:rFonts w:cs="Arial"/>
          <w:szCs w:val="24"/>
        </w:rPr>
        <w:t>,</w:t>
      </w:r>
      <w:r w:rsidR="0014643A">
        <w:rPr>
          <w:rFonts w:cs="Arial"/>
          <w:szCs w:val="24"/>
        </w:rPr>
        <w:t xml:space="preserve"> </w:t>
      </w:r>
      <w:r w:rsidR="0014643A" w:rsidRPr="000C389E">
        <w:rPr>
          <w:rFonts w:cs="Arial"/>
          <w:szCs w:val="24"/>
        </w:rPr>
        <w:t>practice organising a ward round and prioritising jobs</w:t>
      </w:r>
      <w:r w:rsidR="00BC4377">
        <w:rPr>
          <w:rFonts w:cs="Arial"/>
          <w:szCs w:val="24"/>
        </w:rPr>
        <w:t>)</w:t>
      </w:r>
      <w:r w:rsidRPr="000C389E">
        <w:rPr>
          <w:rFonts w:cs="Arial"/>
          <w:szCs w:val="24"/>
        </w:rPr>
        <w:t xml:space="preserve">. </w:t>
      </w:r>
      <w:r w:rsidR="0014643A">
        <w:rPr>
          <w:rFonts w:cs="Arial"/>
          <w:szCs w:val="24"/>
        </w:rPr>
        <w:t>T</w:t>
      </w:r>
      <w:r w:rsidRPr="000C389E">
        <w:rPr>
          <w:rFonts w:cs="Arial"/>
          <w:szCs w:val="24"/>
        </w:rPr>
        <w:t xml:space="preserve">hey wanted </w:t>
      </w:r>
      <w:r w:rsidR="0014643A">
        <w:rPr>
          <w:rFonts w:cs="Arial"/>
          <w:szCs w:val="24"/>
        </w:rPr>
        <w:t xml:space="preserve">familiarisation </w:t>
      </w:r>
      <w:r w:rsidR="0014643A" w:rsidRPr="000C389E">
        <w:rPr>
          <w:rFonts w:cs="Arial"/>
          <w:szCs w:val="24"/>
        </w:rPr>
        <w:t>with hospital systems,</w:t>
      </w:r>
      <w:r w:rsidR="0014643A">
        <w:rPr>
          <w:rFonts w:cs="Arial"/>
          <w:szCs w:val="24"/>
        </w:rPr>
        <w:t xml:space="preserve"> IT and forms to learn the</w:t>
      </w:r>
      <w:r w:rsidRPr="000C389E">
        <w:rPr>
          <w:rFonts w:cs="Arial"/>
          <w:szCs w:val="24"/>
        </w:rPr>
        <w:t xml:space="preserve"> basics in terms of discharges, </w:t>
      </w:r>
      <w:r w:rsidR="00BC4377">
        <w:rPr>
          <w:rFonts w:cs="Arial"/>
          <w:szCs w:val="24"/>
        </w:rPr>
        <w:t xml:space="preserve">and </w:t>
      </w:r>
      <w:r w:rsidRPr="000C389E">
        <w:rPr>
          <w:rFonts w:cs="Arial"/>
          <w:szCs w:val="24"/>
        </w:rPr>
        <w:t>online resources</w:t>
      </w:r>
      <w:r w:rsidR="0014643A">
        <w:rPr>
          <w:rFonts w:cs="Arial"/>
          <w:szCs w:val="24"/>
        </w:rPr>
        <w:t xml:space="preserve"> in the hospital they would be working in</w:t>
      </w:r>
      <w:r>
        <w:rPr>
          <w:rFonts w:cs="Arial"/>
          <w:szCs w:val="24"/>
        </w:rPr>
        <w:t xml:space="preserve">. </w:t>
      </w:r>
    </w:p>
    <w:p w14:paraId="006FAD07" w14:textId="77777777" w:rsidR="00B02D48" w:rsidRDefault="00B02D48" w:rsidP="00D44AB9">
      <w:pPr>
        <w:rPr>
          <w:rFonts w:cs="Arial"/>
          <w:szCs w:val="24"/>
        </w:rPr>
      </w:pPr>
    </w:p>
    <w:p w14:paraId="574D8F80" w14:textId="77777777" w:rsidR="00B02D48" w:rsidRDefault="00B02D48" w:rsidP="00D44AB9">
      <w:pPr>
        <w:rPr>
          <w:rFonts w:cs="Arial"/>
          <w:szCs w:val="24"/>
        </w:rPr>
      </w:pPr>
    </w:p>
    <w:p w14:paraId="558716EA" w14:textId="77777777" w:rsidR="00B02D48" w:rsidRDefault="00B02D48" w:rsidP="00D44AB9">
      <w:pPr>
        <w:rPr>
          <w:rFonts w:cs="Arial"/>
          <w:szCs w:val="24"/>
        </w:rPr>
      </w:pPr>
    </w:p>
    <w:p w14:paraId="3A86E626" w14:textId="77777777" w:rsidR="00B02D48" w:rsidRDefault="00B02D48" w:rsidP="00D44AB9">
      <w:pPr>
        <w:rPr>
          <w:rFonts w:cs="Arial"/>
          <w:szCs w:val="24"/>
        </w:rPr>
      </w:pPr>
    </w:p>
    <w:p w14:paraId="64382328" w14:textId="77777777" w:rsidR="00B02D48" w:rsidRDefault="00B02D48" w:rsidP="00D44AB9">
      <w:pPr>
        <w:rPr>
          <w:rFonts w:cs="Arial"/>
          <w:szCs w:val="24"/>
        </w:rPr>
      </w:pPr>
    </w:p>
    <w:p w14:paraId="58A9B030" w14:textId="77777777" w:rsidR="00B02D48" w:rsidRDefault="00B02D48" w:rsidP="00D44AB9">
      <w:pPr>
        <w:rPr>
          <w:rFonts w:cs="Arial"/>
          <w:szCs w:val="24"/>
        </w:rPr>
      </w:pPr>
    </w:p>
    <w:p w14:paraId="53CED457" w14:textId="1272222B" w:rsidR="000750B3" w:rsidRDefault="000750B3" w:rsidP="00D44AB9">
      <w:pPr>
        <w:rPr>
          <w:rFonts w:cs="Arial"/>
          <w:szCs w:val="24"/>
        </w:rPr>
      </w:pPr>
    </w:p>
    <w:p w14:paraId="194539B1" w14:textId="7D44D4EF" w:rsidR="009251C5" w:rsidRDefault="009251C5" w:rsidP="005853C0">
      <w:pPr>
        <w:pStyle w:val="Heading4"/>
      </w:pPr>
      <w:r w:rsidRPr="005E7E2B">
        <w:lastRenderedPageBreak/>
        <w:t>Distribution of confidence scores of control</w:t>
      </w:r>
      <w:r w:rsidR="0014643A" w:rsidRPr="005E7E2B">
        <w:t>s</w:t>
      </w:r>
      <w:r w:rsidRPr="00AC79EC">
        <w:t xml:space="preserve"> / </w:t>
      </w:r>
      <w:r w:rsidR="00BC4377" w:rsidRPr="00B9000F">
        <w:t>no</w:t>
      </w:r>
      <w:r w:rsidR="00BC4377" w:rsidRPr="008C6C13">
        <w:t>n-IMASS</w:t>
      </w:r>
      <w:r w:rsidRPr="004367CF">
        <w:t xml:space="preserve"> group</w:t>
      </w:r>
    </w:p>
    <w:p w14:paraId="782CE23F" w14:textId="77777777" w:rsidR="00066721" w:rsidRPr="00066721" w:rsidRDefault="00066721" w:rsidP="005853C0"/>
    <w:p w14:paraId="437BDEF0" w14:textId="77777777" w:rsidR="009251C5" w:rsidRDefault="009251C5" w:rsidP="009251C5">
      <w:pPr>
        <w:keepNext/>
      </w:pPr>
      <w:r>
        <w:rPr>
          <w:rFonts w:ascii="Times New Roman" w:hAnsi="Times New Roman"/>
          <w:noProof/>
          <w:lang w:val="en-US"/>
        </w:rPr>
        <w:drawing>
          <wp:inline distT="0" distB="0" distL="0" distR="0" wp14:anchorId="7E488783" wp14:editId="3F83B350">
            <wp:extent cx="5029200" cy="4028733"/>
            <wp:effectExtent l="0" t="0" r="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29200" cy="4028733"/>
                    </a:xfrm>
                    <a:prstGeom prst="rect">
                      <a:avLst/>
                    </a:prstGeom>
                    <a:noFill/>
                    <a:ln>
                      <a:noFill/>
                    </a:ln>
                  </pic:spPr>
                </pic:pic>
              </a:graphicData>
            </a:graphic>
          </wp:inline>
        </w:drawing>
      </w:r>
    </w:p>
    <w:p w14:paraId="7274A65E" w14:textId="66C2AEAF" w:rsidR="00C030CE" w:rsidRDefault="009251C5" w:rsidP="007000F8">
      <w:pPr>
        <w:pStyle w:val="Caption"/>
      </w:pPr>
      <w:bookmarkStart w:id="266" w:name="_Toc365579440"/>
      <w:bookmarkStart w:id="267" w:name="_Toc368056039"/>
      <w:bookmarkStart w:id="268" w:name="_Toc419116467"/>
      <w:r>
        <w:t xml:space="preserve">Figure </w:t>
      </w:r>
      <w:r w:rsidR="009A2F08">
        <w:fldChar w:fldCharType="begin"/>
      </w:r>
      <w:r w:rsidR="009A2F08">
        <w:instrText xml:space="preserve"> STYLEREF 1 \s </w:instrText>
      </w:r>
      <w:r w:rsidR="009A2F08">
        <w:fldChar w:fldCharType="separate"/>
      </w:r>
      <w:r w:rsidR="007220A7">
        <w:rPr>
          <w:noProof/>
        </w:rPr>
        <w:t>6</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8</w:t>
      </w:r>
      <w:r w:rsidR="009A2F08">
        <w:fldChar w:fldCharType="end"/>
      </w:r>
      <w:r>
        <w:t xml:space="preserve"> </w:t>
      </w:r>
      <w:r w:rsidR="005853C0">
        <w:t>D</w:t>
      </w:r>
      <w:r>
        <w:t xml:space="preserve">istribution of </w:t>
      </w:r>
      <w:r w:rsidR="005853C0">
        <w:t xml:space="preserve">confidence scores - </w:t>
      </w:r>
      <w:r>
        <w:t>control group</w:t>
      </w:r>
      <w:bookmarkEnd w:id="266"/>
      <w:bookmarkEnd w:id="267"/>
      <w:r w:rsidR="005853C0">
        <w:t>.</w:t>
      </w:r>
      <w:bookmarkEnd w:id="268"/>
    </w:p>
    <w:p w14:paraId="6CF078E1" w14:textId="57B93682" w:rsidR="00066721" w:rsidRDefault="009251C5" w:rsidP="009251C5">
      <w:r>
        <w:t xml:space="preserve">This histogram demonstrated a relatively normal distribution thus parametric statistical testing was employed </w:t>
      </w:r>
      <w:r w:rsidR="00337A7E">
        <w:t>using</w:t>
      </w:r>
      <w:r>
        <w:t xml:space="preserve"> SPSS V21. </w:t>
      </w:r>
    </w:p>
    <w:p w14:paraId="20F73478" w14:textId="77777777" w:rsidR="00B02D48" w:rsidRDefault="00B02D48" w:rsidP="009251C5"/>
    <w:p w14:paraId="1EAEDA95" w14:textId="77777777" w:rsidR="00A92DF0" w:rsidRDefault="00A92DF0" w:rsidP="009251C5"/>
    <w:p w14:paraId="087CB800" w14:textId="77777777" w:rsidR="00046AEF" w:rsidRDefault="00046AEF" w:rsidP="009251C5"/>
    <w:p w14:paraId="3D853E75" w14:textId="77777777" w:rsidR="00E343E9" w:rsidRDefault="00E343E9" w:rsidP="009251C5"/>
    <w:p w14:paraId="584D0BD7" w14:textId="77777777" w:rsidR="00B02D48" w:rsidRPr="003D65C4" w:rsidRDefault="00B02D48" w:rsidP="00A92DF0">
      <w:pPr>
        <w:pStyle w:val="Heading4"/>
      </w:pPr>
      <w:r w:rsidRPr="005E7E2B">
        <w:lastRenderedPageBreak/>
        <w:t>Independent T test for controls (n=16) versus intervention group (n=16)</w:t>
      </w:r>
    </w:p>
    <w:p w14:paraId="4F50E74C" w14:textId="77777777" w:rsidR="00B02D48" w:rsidRDefault="00B02D48" w:rsidP="009251C5"/>
    <w:p w14:paraId="693B2EC4" w14:textId="513FFD4D" w:rsidR="009251C5" w:rsidRPr="005E7E2B" w:rsidRDefault="009251C5" w:rsidP="005E7E2B">
      <w:pPr>
        <w:pStyle w:val="Heading4"/>
        <w:numPr>
          <w:ilvl w:val="0"/>
          <w:numId w:val="0"/>
        </w:numPr>
      </w:pPr>
    </w:p>
    <w:p w14:paraId="42FEE3FF" w14:textId="77777777" w:rsidR="00E343E9" w:rsidRDefault="00E343E9" w:rsidP="002F0BAE"/>
    <w:p w14:paraId="477D8B99" w14:textId="77777777" w:rsidR="00E343E9" w:rsidRDefault="00E343E9" w:rsidP="002F0BAE"/>
    <w:tbl>
      <w:tblPr>
        <w:tblpPr w:leftFromText="180" w:rightFromText="180" w:vertAnchor="text" w:horzAnchor="page" w:tblpX="2269" w:tblpY="-2526"/>
        <w:tblW w:w="104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26"/>
        <w:gridCol w:w="2170"/>
        <w:gridCol w:w="1240"/>
        <w:gridCol w:w="1240"/>
        <w:gridCol w:w="1785"/>
        <w:gridCol w:w="1790"/>
      </w:tblGrid>
      <w:tr w:rsidR="00E343E9" w:rsidRPr="000D6402" w14:paraId="69AB4707" w14:textId="77777777" w:rsidTr="00D72F0E">
        <w:trPr>
          <w:cantSplit/>
          <w:trHeight w:val="940"/>
        </w:trPr>
        <w:tc>
          <w:tcPr>
            <w:tcW w:w="10451" w:type="dxa"/>
            <w:gridSpan w:val="6"/>
            <w:tcBorders>
              <w:top w:val="nil"/>
              <w:left w:val="nil"/>
              <w:bottom w:val="nil"/>
              <w:right w:val="nil"/>
            </w:tcBorders>
            <w:shd w:val="clear" w:color="auto" w:fill="FFFFFF"/>
            <w:vAlign w:val="center"/>
          </w:tcPr>
          <w:p w14:paraId="5B69172F"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b/>
                <w:bCs/>
                <w:color w:val="000000"/>
              </w:rPr>
              <w:t>Group Statistics</w:t>
            </w:r>
          </w:p>
        </w:tc>
      </w:tr>
      <w:tr w:rsidR="00E343E9" w:rsidRPr="000D6402" w14:paraId="7ABFB4C4" w14:textId="77777777" w:rsidTr="00D72F0E">
        <w:trPr>
          <w:gridAfter w:val="1"/>
          <w:wAfter w:w="1790" w:type="dxa"/>
          <w:cantSplit/>
          <w:trHeight w:val="1339"/>
        </w:trPr>
        <w:tc>
          <w:tcPr>
            <w:tcW w:w="2226" w:type="dxa"/>
          </w:tcPr>
          <w:p w14:paraId="6AD0D964" w14:textId="77777777" w:rsidR="00E343E9" w:rsidRPr="000D6402" w:rsidRDefault="00E343E9" w:rsidP="00D72F0E">
            <w:pPr>
              <w:widowControl w:val="0"/>
              <w:autoSpaceDE w:val="0"/>
              <w:autoSpaceDN w:val="0"/>
              <w:adjustRightInd w:val="0"/>
              <w:rPr>
                <w:rFonts w:cs="Arial"/>
                <w:color w:val="000000"/>
              </w:rPr>
            </w:pPr>
          </w:p>
        </w:tc>
        <w:tc>
          <w:tcPr>
            <w:tcW w:w="2170" w:type="dxa"/>
            <w:tcBorders>
              <w:top w:val="single" w:sz="16" w:space="0" w:color="000000"/>
              <w:left w:val="nil"/>
              <w:bottom w:val="single" w:sz="16" w:space="0" w:color="000000"/>
              <w:right w:val="single" w:sz="16" w:space="0" w:color="000000"/>
            </w:tcBorders>
            <w:shd w:val="clear" w:color="auto" w:fill="FFFFFF"/>
            <w:vAlign w:val="bottom"/>
          </w:tcPr>
          <w:p w14:paraId="6930C936" w14:textId="77777777" w:rsidR="00E343E9" w:rsidRPr="000D6402" w:rsidRDefault="00E343E9" w:rsidP="00D72F0E">
            <w:pPr>
              <w:widowControl w:val="0"/>
              <w:autoSpaceDE w:val="0"/>
              <w:autoSpaceDN w:val="0"/>
              <w:adjustRightInd w:val="0"/>
              <w:spacing w:line="320" w:lineRule="atLeast"/>
              <w:ind w:left="60" w:right="60"/>
              <w:rPr>
                <w:rFonts w:cs="Arial"/>
                <w:color w:val="000000"/>
              </w:rPr>
            </w:pPr>
            <w:r w:rsidRPr="000D6402">
              <w:rPr>
                <w:rFonts w:cs="Arial"/>
                <w:color w:val="000000"/>
              </w:rPr>
              <w:t>Group</w:t>
            </w:r>
          </w:p>
        </w:tc>
        <w:tc>
          <w:tcPr>
            <w:tcW w:w="1240" w:type="dxa"/>
            <w:tcBorders>
              <w:top w:val="single" w:sz="16" w:space="0" w:color="000000"/>
              <w:left w:val="single" w:sz="16" w:space="0" w:color="000000"/>
              <w:bottom w:val="single" w:sz="16" w:space="0" w:color="000000"/>
            </w:tcBorders>
            <w:shd w:val="clear" w:color="auto" w:fill="FFFFFF"/>
            <w:vAlign w:val="bottom"/>
          </w:tcPr>
          <w:p w14:paraId="0FA40E70"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color w:val="000000"/>
              </w:rPr>
              <w:t>N</w:t>
            </w:r>
          </w:p>
        </w:tc>
        <w:tc>
          <w:tcPr>
            <w:tcW w:w="1240" w:type="dxa"/>
            <w:tcBorders>
              <w:top w:val="single" w:sz="16" w:space="0" w:color="000000"/>
              <w:bottom w:val="single" w:sz="16" w:space="0" w:color="000000"/>
            </w:tcBorders>
            <w:shd w:val="clear" w:color="auto" w:fill="FFFFFF"/>
            <w:vAlign w:val="bottom"/>
          </w:tcPr>
          <w:p w14:paraId="23CA8ECB"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color w:val="000000"/>
              </w:rPr>
              <w:t>Mean</w:t>
            </w:r>
          </w:p>
        </w:tc>
        <w:tc>
          <w:tcPr>
            <w:tcW w:w="1785" w:type="dxa"/>
            <w:tcBorders>
              <w:top w:val="single" w:sz="16" w:space="0" w:color="000000"/>
              <w:bottom w:val="single" w:sz="16" w:space="0" w:color="000000"/>
            </w:tcBorders>
            <w:shd w:val="clear" w:color="auto" w:fill="FFFFFF"/>
            <w:vAlign w:val="bottom"/>
          </w:tcPr>
          <w:p w14:paraId="2CD4CCC0"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color w:val="000000"/>
              </w:rPr>
              <w:t>Std. Deviation</w:t>
            </w:r>
          </w:p>
        </w:tc>
      </w:tr>
      <w:tr w:rsidR="00E343E9" w:rsidRPr="000D6402" w14:paraId="5D37673C" w14:textId="77777777" w:rsidTr="00D72F0E">
        <w:trPr>
          <w:gridAfter w:val="1"/>
          <w:wAfter w:w="1790" w:type="dxa"/>
          <w:cantSplit/>
          <w:trHeight w:val="1339"/>
        </w:trPr>
        <w:tc>
          <w:tcPr>
            <w:tcW w:w="2226" w:type="dxa"/>
            <w:vMerge w:val="restart"/>
            <w:tcBorders>
              <w:top w:val="single" w:sz="16" w:space="0" w:color="000000"/>
              <w:left w:val="single" w:sz="16" w:space="0" w:color="000000"/>
              <w:bottom w:val="single" w:sz="16" w:space="0" w:color="000000"/>
              <w:right w:val="nil"/>
            </w:tcBorders>
            <w:shd w:val="clear" w:color="auto" w:fill="FFFFFF"/>
          </w:tcPr>
          <w:p w14:paraId="2786CD4C" w14:textId="77777777" w:rsidR="00E343E9" w:rsidRPr="00A92DF0" w:rsidRDefault="00E343E9" w:rsidP="00D72F0E">
            <w:pPr>
              <w:widowControl w:val="0"/>
              <w:autoSpaceDE w:val="0"/>
              <w:autoSpaceDN w:val="0"/>
              <w:adjustRightInd w:val="0"/>
              <w:spacing w:line="320" w:lineRule="atLeast"/>
              <w:ind w:left="60" w:right="60"/>
              <w:rPr>
                <w:rFonts w:cs="Arial"/>
              </w:rPr>
            </w:pPr>
            <w:r w:rsidRPr="00A92DF0">
              <w:rPr>
                <w:rFonts w:cs="Arial"/>
              </w:rPr>
              <w:t>Confidence score 1 = None, 10 Very confident</w:t>
            </w:r>
          </w:p>
        </w:tc>
        <w:tc>
          <w:tcPr>
            <w:tcW w:w="2170" w:type="dxa"/>
            <w:tcBorders>
              <w:top w:val="single" w:sz="16" w:space="0" w:color="000000"/>
              <w:left w:val="nil"/>
              <w:bottom w:val="nil"/>
              <w:right w:val="single" w:sz="16" w:space="0" w:color="000000"/>
            </w:tcBorders>
            <w:shd w:val="clear" w:color="auto" w:fill="FFFFFF"/>
          </w:tcPr>
          <w:p w14:paraId="797EAD74" w14:textId="77777777" w:rsidR="00E343E9" w:rsidRPr="00A92DF0" w:rsidRDefault="00E343E9" w:rsidP="002424E3">
            <w:pPr>
              <w:keepNext/>
              <w:keepLines/>
              <w:widowControl w:val="0"/>
              <w:numPr>
                <w:ilvl w:val="3"/>
                <w:numId w:val="4"/>
              </w:numPr>
              <w:autoSpaceDE w:val="0"/>
              <w:autoSpaceDN w:val="0"/>
              <w:adjustRightInd w:val="0"/>
              <w:spacing w:line="320" w:lineRule="atLeast"/>
              <w:ind w:left="60" w:right="60"/>
              <w:outlineLvl w:val="3"/>
              <w:rPr>
                <w:rFonts w:cs="Arial"/>
              </w:rPr>
            </w:pPr>
            <w:r w:rsidRPr="00A92DF0">
              <w:rPr>
                <w:rFonts w:cs="Arial"/>
              </w:rPr>
              <w:t>Non-IMASS group</w:t>
            </w:r>
          </w:p>
        </w:tc>
        <w:tc>
          <w:tcPr>
            <w:tcW w:w="1240" w:type="dxa"/>
            <w:tcBorders>
              <w:top w:val="single" w:sz="16" w:space="0" w:color="000000"/>
              <w:left w:val="single" w:sz="16" w:space="0" w:color="000000"/>
              <w:bottom w:val="nil"/>
            </w:tcBorders>
            <w:shd w:val="clear" w:color="auto" w:fill="FFFFFF"/>
            <w:vAlign w:val="center"/>
          </w:tcPr>
          <w:p w14:paraId="0BD13AF9"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color w:val="000000"/>
              </w:rPr>
              <w:t>16</w:t>
            </w:r>
          </w:p>
        </w:tc>
        <w:tc>
          <w:tcPr>
            <w:tcW w:w="1240" w:type="dxa"/>
            <w:tcBorders>
              <w:top w:val="single" w:sz="16" w:space="0" w:color="000000"/>
              <w:bottom w:val="nil"/>
            </w:tcBorders>
            <w:shd w:val="clear" w:color="auto" w:fill="FFFFFF"/>
            <w:vAlign w:val="center"/>
          </w:tcPr>
          <w:p w14:paraId="74D0116F"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color w:val="000000"/>
              </w:rPr>
              <w:t>5.25</w:t>
            </w:r>
          </w:p>
        </w:tc>
        <w:tc>
          <w:tcPr>
            <w:tcW w:w="1785" w:type="dxa"/>
            <w:tcBorders>
              <w:top w:val="single" w:sz="16" w:space="0" w:color="000000"/>
              <w:bottom w:val="nil"/>
            </w:tcBorders>
            <w:shd w:val="clear" w:color="auto" w:fill="FFFFFF"/>
            <w:vAlign w:val="center"/>
          </w:tcPr>
          <w:p w14:paraId="6D39CB41"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color w:val="000000"/>
              </w:rPr>
              <w:t>.931</w:t>
            </w:r>
          </w:p>
        </w:tc>
      </w:tr>
      <w:tr w:rsidR="00E343E9" w:rsidRPr="000D6402" w14:paraId="114B1F15" w14:textId="77777777" w:rsidTr="00D72F0E">
        <w:trPr>
          <w:gridAfter w:val="1"/>
          <w:wAfter w:w="1790" w:type="dxa"/>
          <w:cantSplit/>
          <w:trHeight w:val="991"/>
        </w:trPr>
        <w:tc>
          <w:tcPr>
            <w:tcW w:w="2226" w:type="dxa"/>
            <w:vMerge/>
            <w:tcBorders>
              <w:top w:val="single" w:sz="16" w:space="0" w:color="000000"/>
              <w:left w:val="single" w:sz="16" w:space="0" w:color="000000"/>
              <w:bottom w:val="single" w:sz="16" w:space="0" w:color="000000"/>
              <w:right w:val="nil"/>
            </w:tcBorders>
            <w:shd w:val="clear" w:color="auto" w:fill="FFFFFF"/>
          </w:tcPr>
          <w:p w14:paraId="318054EB" w14:textId="77777777" w:rsidR="00E343E9" w:rsidRPr="000D6402" w:rsidRDefault="00E343E9" w:rsidP="00D72F0E">
            <w:pPr>
              <w:widowControl w:val="0"/>
              <w:autoSpaceDE w:val="0"/>
              <w:autoSpaceDN w:val="0"/>
              <w:adjustRightInd w:val="0"/>
              <w:rPr>
                <w:rFonts w:cs="Arial"/>
                <w:color w:val="000000"/>
              </w:rPr>
            </w:pPr>
          </w:p>
        </w:tc>
        <w:tc>
          <w:tcPr>
            <w:tcW w:w="2170" w:type="dxa"/>
            <w:tcBorders>
              <w:top w:val="nil"/>
              <w:left w:val="nil"/>
              <w:bottom w:val="single" w:sz="16" w:space="0" w:color="000000"/>
              <w:right w:val="single" w:sz="16" w:space="0" w:color="000000"/>
            </w:tcBorders>
            <w:shd w:val="clear" w:color="auto" w:fill="FFFFFF"/>
          </w:tcPr>
          <w:p w14:paraId="23469955" w14:textId="77777777" w:rsidR="00E343E9" w:rsidRPr="000D6402" w:rsidRDefault="00E343E9" w:rsidP="00D72F0E">
            <w:pPr>
              <w:widowControl w:val="0"/>
              <w:autoSpaceDE w:val="0"/>
              <w:autoSpaceDN w:val="0"/>
              <w:adjustRightInd w:val="0"/>
              <w:spacing w:line="320" w:lineRule="atLeast"/>
              <w:ind w:left="60" w:right="60"/>
              <w:rPr>
                <w:rFonts w:cs="Arial"/>
                <w:color w:val="000000"/>
              </w:rPr>
            </w:pPr>
            <w:r w:rsidRPr="000D6402">
              <w:rPr>
                <w:rFonts w:cs="Arial"/>
                <w:color w:val="000000"/>
              </w:rPr>
              <w:t>IMASS group</w:t>
            </w:r>
          </w:p>
        </w:tc>
        <w:tc>
          <w:tcPr>
            <w:tcW w:w="1240" w:type="dxa"/>
            <w:tcBorders>
              <w:top w:val="nil"/>
              <w:left w:val="single" w:sz="16" w:space="0" w:color="000000"/>
              <w:bottom w:val="single" w:sz="16" w:space="0" w:color="000000"/>
            </w:tcBorders>
            <w:shd w:val="clear" w:color="auto" w:fill="FFFFFF"/>
            <w:vAlign w:val="center"/>
          </w:tcPr>
          <w:p w14:paraId="6675232D"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color w:val="000000"/>
              </w:rPr>
              <w:t>16</w:t>
            </w:r>
          </w:p>
        </w:tc>
        <w:tc>
          <w:tcPr>
            <w:tcW w:w="1240" w:type="dxa"/>
            <w:tcBorders>
              <w:top w:val="nil"/>
              <w:bottom w:val="single" w:sz="16" w:space="0" w:color="000000"/>
            </w:tcBorders>
            <w:shd w:val="clear" w:color="auto" w:fill="FFFFFF"/>
            <w:vAlign w:val="center"/>
          </w:tcPr>
          <w:p w14:paraId="36D35242"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color w:val="000000"/>
              </w:rPr>
              <w:t>6.13</w:t>
            </w:r>
          </w:p>
        </w:tc>
        <w:tc>
          <w:tcPr>
            <w:tcW w:w="1785" w:type="dxa"/>
            <w:tcBorders>
              <w:top w:val="nil"/>
              <w:bottom w:val="single" w:sz="16" w:space="0" w:color="000000"/>
            </w:tcBorders>
            <w:shd w:val="clear" w:color="auto" w:fill="FFFFFF"/>
            <w:vAlign w:val="center"/>
          </w:tcPr>
          <w:p w14:paraId="640790CE" w14:textId="77777777" w:rsidR="00E343E9" w:rsidRPr="000D6402" w:rsidRDefault="00E343E9" w:rsidP="00D72F0E">
            <w:pPr>
              <w:widowControl w:val="0"/>
              <w:autoSpaceDE w:val="0"/>
              <w:autoSpaceDN w:val="0"/>
              <w:adjustRightInd w:val="0"/>
              <w:spacing w:line="320" w:lineRule="atLeast"/>
              <w:ind w:left="60" w:right="60"/>
              <w:jc w:val="center"/>
              <w:rPr>
                <w:rFonts w:cs="Arial"/>
                <w:color w:val="000000"/>
              </w:rPr>
            </w:pPr>
            <w:r w:rsidRPr="000D6402">
              <w:rPr>
                <w:rFonts w:cs="Arial"/>
                <w:color w:val="000000"/>
              </w:rPr>
              <w:t>1.310</w:t>
            </w:r>
          </w:p>
        </w:tc>
      </w:tr>
    </w:tbl>
    <w:p w14:paraId="58083948" w14:textId="7D01F7DB" w:rsidR="00A92DF0" w:rsidRDefault="009251C5" w:rsidP="002F0BAE">
      <w:r>
        <w:t>There was a significant difference in the confidence scores between the IMASS group and controls (</w:t>
      </w:r>
      <w:r w:rsidR="00BC4377">
        <w:t>non-IMASS</w:t>
      </w:r>
      <w:r>
        <w:t>) t (30) = 2.1, p = 0.037</w:t>
      </w:r>
      <w:r w:rsidR="00F350A3">
        <w:t xml:space="preserve"> (Appendix 13.21, 13</w:t>
      </w:r>
      <w:r w:rsidR="002F0BAE">
        <w:t>.22, 12.23</w:t>
      </w:r>
      <w:r w:rsidR="00723A59">
        <w:t>)</w:t>
      </w:r>
      <w:r>
        <w:t>. Mean confidence score in the control/</w:t>
      </w:r>
      <w:r w:rsidR="00BC4377">
        <w:t>non-IMASS</w:t>
      </w:r>
      <w:r>
        <w:t xml:space="preserve"> group was recorded at 5.25 (SD = 0.931) and in the intervention/IMASS group at 6.13 (SD = 1.31). These data were employed to complete a power calculation for the final intervention study. </w:t>
      </w:r>
    </w:p>
    <w:p w14:paraId="11FA24ED" w14:textId="77777777" w:rsidR="007C78D0" w:rsidRDefault="007C78D0" w:rsidP="005266AE"/>
    <w:p w14:paraId="35B2494D" w14:textId="1EE37470" w:rsidR="002B56EB" w:rsidRDefault="007C78D0" w:rsidP="00CA53EB">
      <w:pPr>
        <w:pStyle w:val="Heading2"/>
      </w:pPr>
      <w:bookmarkStart w:id="269" w:name="_Toc419116164"/>
      <w:r>
        <w:t xml:space="preserve">Results – Qualitative – </w:t>
      </w:r>
      <w:r w:rsidR="00173DE4">
        <w:t>focus group</w:t>
      </w:r>
      <w:r>
        <w:t>s</w:t>
      </w:r>
      <w:bookmarkEnd w:id="269"/>
    </w:p>
    <w:p w14:paraId="16F6BED0" w14:textId="77777777" w:rsidR="00B02D48" w:rsidRPr="00B02D48" w:rsidRDefault="00B02D48" w:rsidP="005266AE"/>
    <w:p w14:paraId="08F210D4" w14:textId="0BE2D096" w:rsidR="00C030CE" w:rsidRDefault="00173DE4">
      <w:pPr>
        <w:pStyle w:val="Heading3"/>
      </w:pPr>
      <w:bookmarkStart w:id="270" w:name="_Toc262769000"/>
      <w:bookmarkStart w:id="271" w:name="_Toc343501164"/>
      <w:bookmarkStart w:id="272" w:name="_Toc348686366"/>
      <w:bookmarkStart w:id="273" w:name="_Toc419116165"/>
      <w:r>
        <w:lastRenderedPageBreak/>
        <w:t>Focus group</w:t>
      </w:r>
      <w:r w:rsidR="00C030CE" w:rsidRPr="00C657BB">
        <w:t xml:space="preserve"> findings</w:t>
      </w:r>
      <w:bookmarkEnd w:id="270"/>
      <w:bookmarkEnd w:id="271"/>
      <w:bookmarkEnd w:id="272"/>
      <w:bookmarkEnd w:id="273"/>
    </w:p>
    <w:p w14:paraId="50BFAF89" w14:textId="77777777" w:rsidR="00C576EA" w:rsidRDefault="00C576EA" w:rsidP="00C576EA"/>
    <w:p w14:paraId="3FEB3D10" w14:textId="7E56F354" w:rsidR="00E46767" w:rsidRDefault="00C576EA" w:rsidP="00C030CE">
      <w:pPr>
        <w:rPr>
          <w:rFonts w:cs="Arial"/>
          <w:szCs w:val="24"/>
        </w:rPr>
      </w:pPr>
      <w:r>
        <w:t xml:space="preserve">During the pilot study, a total of four </w:t>
      </w:r>
      <w:r w:rsidR="00173DE4">
        <w:t>focus group</w:t>
      </w:r>
      <w:r>
        <w:t>s were run with between five and six students participating</w:t>
      </w:r>
      <w:r w:rsidR="00B9177C">
        <w:t xml:space="preserve"> in each group</w:t>
      </w:r>
      <w:r>
        <w:t xml:space="preserve">. </w:t>
      </w:r>
      <w:r w:rsidR="009C74D8">
        <w:rPr>
          <w:rFonts w:cs="Arial"/>
          <w:szCs w:val="24"/>
        </w:rPr>
        <w:t xml:space="preserve">Thematic analysis was performed on data transcripts </w:t>
      </w:r>
      <w:r w:rsidR="00337A7E">
        <w:rPr>
          <w:rFonts w:cs="Arial"/>
          <w:szCs w:val="24"/>
        </w:rPr>
        <w:t>using</w:t>
      </w:r>
      <w:r w:rsidR="009C74D8">
        <w:rPr>
          <w:rFonts w:cs="Arial"/>
          <w:szCs w:val="24"/>
        </w:rPr>
        <w:t xml:space="preserve"> the </w:t>
      </w:r>
      <w:r w:rsidR="00173DE4">
        <w:rPr>
          <w:rFonts w:cs="Arial"/>
          <w:szCs w:val="24"/>
        </w:rPr>
        <w:t>P</w:t>
      </w:r>
      <w:r w:rsidR="009C74D8">
        <w:rPr>
          <w:rFonts w:cs="Arial"/>
          <w:szCs w:val="24"/>
        </w:rPr>
        <w:t>ost-</w:t>
      </w:r>
      <w:r w:rsidR="00173DE4">
        <w:rPr>
          <w:rFonts w:cs="Arial"/>
          <w:szCs w:val="24"/>
        </w:rPr>
        <w:t>I</w:t>
      </w:r>
      <w:r w:rsidR="009C74D8">
        <w:rPr>
          <w:rFonts w:cs="Arial"/>
          <w:szCs w:val="24"/>
        </w:rPr>
        <w:t>t note method with note</w:t>
      </w:r>
      <w:r w:rsidR="00173DE4">
        <w:rPr>
          <w:rFonts w:cs="Arial"/>
          <w:szCs w:val="24"/>
        </w:rPr>
        <w:t>-</w:t>
      </w:r>
      <w:r w:rsidR="009C74D8">
        <w:rPr>
          <w:rFonts w:cs="Arial"/>
          <w:szCs w:val="24"/>
        </w:rPr>
        <w:t>taking and summarising of key points, ideas and themes</w:t>
      </w:r>
      <w:r w:rsidR="00173DE4">
        <w:rPr>
          <w:rFonts w:cs="Arial"/>
          <w:szCs w:val="24"/>
        </w:rPr>
        <w:t xml:space="preserve"> (Appendices</w:t>
      </w:r>
      <w:r w:rsidR="00E46767">
        <w:rPr>
          <w:rFonts w:cs="Arial"/>
          <w:szCs w:val="24"/>
        </w:rPr>
        <w:t xml:space="preserve"> 12.18, 12.19). </w:t>
      </w:r>
      <w:r w:rsidR="00F12F4D">
        <w:rPr>
          <w:rFonts w:cs="Arial"/>
          <w:szCs w:val="24"/>
        </w:rPr>
        <w:t>Seven key themes emerged</w:t>
      </w:r>
      <w:r w:rsidR="00E46767">
        <w:rPr>
          <w:rFonts w:cs="Arial"/>
          <w:szCs w:val="24"/>
        </w:rPr>
        <w:t>:</w:t>
      </w:r>
    </w:p>
    <w:p w14:paraId="1DB2DB1C" w14:textId="5828B3C1" w:rsidR="00E46767" w:rsidRPr="00173DE4" w:rsidRDefault="00E46767" w:rsidP="002424E3">
      <w:pPr>
        <w:pStyle w:val="ListParagraph"/>
        <w:numPr>
          <w:ilvl w:val="0"/>
          <w:numId w:val="26"/>
        </w:numPr>
        <w:spacing w:line="480" w:lineRule="auto"/>
        <w:rPr>
          <w:rFonts w:cs="Arial"/>
          <w:szCs w:val="24"/>
        </w:rPr>
      </w:pPr>
      <w:r w:rsidRPr="000F1F25">
        <w:rPr>
          <w:rFonts w:ascii="Arial" w:hAnsi="Arial" w:cs="Arial"/>
          <w:sz w:val="24"/>
          <w:szCs w:val="24"/>
        </w:rPr>
        <w:t xml:space="preserve">Simulation experience </w:t>
      </w:r>
      <w:r w:rsidR="009B3879" w:rsidRPr="000F1F25">
        <w:rPr>
          <w:rFonts w:ascii="Arial" w:hAnsi="Arial" w:cs="Arial"/>
          <w:sz w:val="24"/>
          <w:szCs w:val="24"/>
        </w:rPr>
        <w:t>and</w:t>
      </w:r>
      <w:r w:rsidRPr="000F1F25">
        <w:rPr>
          <w:rFonts w:ascii="Arial" w:hAnsi="Arial" w:cs="Arial"/>
          <w:sz w:val="24"/>
          <w:szCs w:val="24"/>
        </w:rPr>
        <w:t xml:space="preserve"> leadership skills</w:t>
      </w:r>
      <w:r w:rsidR="00B02D48">
        <w:rPr>
          <w:rFonts w:ascii="Arial" w:hAnsi="Arial" w:cs="Arial"/>
          <w:sz w:val="24"/>
          <w:szCs w:val="24"/>
        </w:rPr>
        <w:t>.</w:t>
      </w:r>
      <w:r w:rsidR="00F12F4D" w:rsidRPr="000F1F25">
        <w:rPr>
          <w:rFonts w:ascii="Arial" w:hAnsi="Arial" w:cs="Arial"/>
          <w:sz w:val="24"/>
          <w:szCs w:val="24"/>
        </w:rPr>
        <w:t xml:space="preserve"> </w:t>
      </w:r>
    </w:p>
    <w:p w14:paraId="19BB7D59" w14:textId="718C7D21" w:rsidR="00E46767" w:rsidRPr="00173DE4" w:rsidRDefault="00E46767" w:rsidP="002424E3">
      <w:pPr>
        <w:pStyle w:val="ListParagraph"/>
        <w:numPr>
          <w:ilvl w:val="0"/>
          <w:numId w:val="26"/>
        </w:numPr>
        <w:spacing w:line="480" w:lineRule="auto"/>
        <w:rPr>
          <w:rFonts w:cs="Arial"/>
          <w:szCs w:val="24"/>
        </w:rPr>
      </w:pPr>
      <w:r w:rsidRPr="000F1F25">
        <w:rPr>
          <w:rFonts w:ascii="Arial" w:hAnsi="Arial" w:cs="Arial"/>
          <w:sz w:val="24"/>
          <w:szCs w:val="24"/>
        </w:rPr>
        <w:t xml:space="preserve">Realism </w:t>
      </w:r>
      <w:r w:rsidR="009B3879" w:rsidRPr="000F1F25">
        <w:rPr>
          <w:rFonts w:ascii="Arial" w:hAnsi="Arial" w:cs="Arial"/>
          <w:sz w:val="24"/>
          <w:szCs w:val="24"/>
        </w:rPr>
        <w:t>and</w:t>
      </w:r>
      <w:r w:rsidRPr="000F1F25">
        <w:rPr>
          <w:rFonts w:ascii="Arial" w:hAnsi="Arial" w:cs="Arial"/>
          <w:sz w:val="24"/>
          <w:szCs w:val="24"/>
        </w:rPr>
        <w:t xml:space="preserve"> challenge</w:t>
      </w:r>
      <w:r w:rsidR="00B02D48">
        <w:rPr>
          <w:rFonts w:ascii="Arial" w:hAnsi="Arial" w:cs="Arial"/>
          <w:sz w:val="24"/>
          <w:szCs w:val="24"/>
        </w:rPr>
        <w:t>.</w:t>
      </w:r>
      <w:r w:rsidRPr="000F1F25" w:rsidDel="009C74D8">
        <w:rPr>
          <w:rFonts w:ascii="Arial" w:hAnsi="Arial" w:cs="Arial"/>
          <w:sz w:val="24"/>
          <w:szCs w:val="24"/>
        </w:rPr>
        <w:t xml:space="preserve"> </w:t>
      </w:r>
    </w:p>
    <w:p w14:paraId="765F1999" w14:textId="35A94F5A" w:rsidR="00E46767" w:rsidRPr="00173DE4" w:rsidRDefault="00E46767" w:rsidP="002424E3">
      <w:pPr>
        <w:pStyle w:val="ListParagraph"/>
        <w:numPr>
          <w:ilvl w:val="0"/>
          <w:numId w:val="26"/>
        </w:numPr>
        <w:spacing w:line="480" w:lineRule="auto"/>
        <w:rPr>
          <w:rFonts w:cs="Arial"/>
          <w:szCs w:val="24"/>
        </w:rPr>
      </w:pPr>
      <w:r w:rsidRPr="000F1F25">
        <w:rPr>
          <w:rFonts w:ascii="Arial" w:hAnsi="Arial" w:cs="Arial"/>
          <w:sz w:val="24"/>
          <w:szCs w:val="24"/>
        </w:rPr>
        <w:t>Working with others</w:t>
      </w:r>
      <w:r w:rsidR="00B02D48">
        <w:rPr>
          <w:rFonts w:ascii="Arial" w:hAnsi="Arial" w:cs="Arial"/>
          <w:sz w:val="24"/>
          <w:szCs w:val="24"/>
        </w:rPr>
        <w:t>.</w:t>
      </w:r>
      <w:r w:rsidRPr="000F1F25" w:rsidDel="009C74D8">
        <w:rPr>
          <w:rFonts w:ascii="Arial" w:hAnsi="Arial" w:cs="Arial"/>
          <w:sz w:val="24"/>
          <w:szCs w:val="24"/>
        </w:rPr>
        <w:t xml:space="preserve"> </w:t>
      </w:r>
    </w:p>
    <w:p w14:paraId="671035AA" w14:textId="3B560CFB" w:rsidR="00E46767" w:rsidRPr="00173DE4" w:rsidRDefault="00E46767" w:rsidP="002424E3">
      <w:pPr>
        <w:pStyle w:val="ListParagraph"/>
        <w:numPr>
          <w:ilvl w:val="0"/>
          <w:numId w:val="26"/>
        </w:numPr>
        <w:spacing w:line="480" w:lineRule="auto"/>
        <w:rPr>
          <w:rFonts w:cs="Arial"/>
          <w:szCs w:val="24"/>
        </w:rPr>
      </w:pPr>
      <w:r w:rsidRPr="000F1F25">
        <w:rPr>
          <w:rFonts w:ascii="Arial" w:hAnsi="Arial" w:cs="Arial"/>
          <w:sz w:val="24"/>
          <w:szCs w:val="24"/>
        </w:rPr>
        <w:t>Peer learning and feedback</w:t>
      </w:r>
      <w:r w:rsidR="00B02D48">
        <w:rPr>
          <w:rFonts w:ascii="Arial" w:hAnsi="Arial" w:cs="Arial"/>
          <w:sz w:val="24"/>
          <w:szCs w:val="24"/>
        </w:rPr>
        <w:t>.</w:t>
      </w:r>
    </w:p>
    <w:p w14:paraId="199ADC75" w14:textId="6F3CD87D" w:rsidR="00E46767" w:rsidRPr="00173DE4" w:rsidRDefault="00E46767" w:rsidP="002424E3">
      <w:pPr>
        <w:pStyle w:val="ListParagraph"/>
        <w:numPr>
          <w:ilvl w:val="0"/>
          <w:numId w:val="26"/>
        </w:numPr>
        <w:spacing w:line="480" w:lineRule="auto"/>
        <w:rPr>
          <w:rFonts w:cs="Arial"/>
          <w:szCs w:val="24"/>
        </w:rPr>
      </w:pPr>
      <w:r w:rsidRPr="000F1F25">
        <w:rPr>
          <w:rFonts w:ascii="Arial" w:hAnsi="Arial" w:cs="Arial"/>
          <w:sz w:val="24"/>
          <w:szCs w:val="24"/>
        </w:rPr>
        <w:t>Human Factors Training</w:t>
      </w:r>
      <w:r w:rsidR="00B02D48">
        <w:rPr>
          <w:rFonts w:ascii="Arial" w:hAnsi="Arial" w:cs="Arial"/>
          <w:sz w:val="24"/>
          <w:szCs w:val="24"/>
        </w:rPr>
        <w:t>.</w:t>
      </w:r>
    </w:p>
    <w:p w14:paraId="708E0730" w14:textId="0C4A356A" w:rsidR="00E46767" w:rsidRPr="000F1F25" w:rsidRDefault="00E46767" w:rsidP="002424E3">
      <w:pPr>
        <w:pStyle w:val="ListParagraph"/>
        <w:numPr>
          <w:ilvl w:val="0"/>
          <w:numId w:val="26"/>
        </w:numPr>
        <w:spacing w:line="480" w:lineRule="auto"/>
        <w:rPr>
          <w:rFonts w:cs="Arial"/>
          <w:szCs w:val="24"/>
        </w:rPr>
      </w:pPr>
      <w:r w:rsidRPr="000F1F25">
        <w:rPr>
          <w:rFonts w:ascii="Arial" w:hAnsi="Arial" w:cs="Arial"/>
          <w:sz w:val="24"/>
          <w:szCs w:val="24"/>
        </w:rPr>
        <w:t>Use of video</w:t>
      </w:r>
      <w:r w:rsidR="00B02D48">
        <w:rPr>
          <w:rFonts w:ascii="Arial" w:hAnsi="Arial" w:cs="Arial"/>
          <w:sz w:val="24"/>
          <w:szCs w:val="24"/>
        </w:rPr>
        <w:t>.</w:t>
      </w:r>
    </w:p>
    <w:p w14:paraId="6F32204A" w14:textId="15EFDCAE" w:rsidR="006978E7" w:rsidRPr="000F1F25" w:rsidRDefault="006978E7" w:rsidP="002424E3">
      <w:pPr>
        <w:pStyle w:val="ListParagraph"/>
        <w:numPr>
          <w:ilvl w:val="0"/>
          <w:numId w:val="26"/>
        </w:numPr>
        <w:spacing w:line="480" w:lineRule="auto"/>
        <w:rPr>
          <w:rFonts w:cs="Arial"/>
          <w:szCs w:val="24"/>
        </w:rPr>
      </w:pPr>
      <w:r w:rsidRPr="000F1F25">
        <w:rPr>
          <w:rFonts w:ascii="Arial" w:hAnsi="Arial" w:cs="Arial"/>
          <w:sz w:val="24"/>
          <w:szCs w:val="24"/>
        </w:rPr>
        <w:t>Expectations and Escalation</w:t>
      </w:r>
      <w:r w:rsidR="00B02D48">
        <w:rPr>
          <w:rFonts w:ascii="Arial" w:hAnsi="Arial" w:cs="Arial"/>
          <w:sz w:val="24"/>
          <w:szCs w:val="24"/>
        </w:rPr>
        <w:t>.</w:t>
      </w:r>
    </w:p>
    <w:p w14:paraId="3E636D8D" w14:textId="6C28BD50" w:rsidR="00C030CE" w:rsidRPr="00DD7A37" w:rsidRDefault="00C030CE" w:rsidP="000F1F25">
      <w:pPr>
        <w:pStyle w:val="ListParagraph"/>
        <w:spacing w:line="480" w:lineRule="auto"/>
        <w:rPr>
          <w:rFonts w:cs="Arial"/>
          <w:szCs w:val="24"/>
        </w:rPr>
      </w:pPr>
    </w:p>
    <w:p w14:paraId="6926B645" w14:textId="2C84D1AD" w:rsidR="00C576EA" w:rsidRPr="000F1F25" w:rsidRDefault="00C576EA" w:rsidP="00C030CE">
      <w:pPr>
        <w:rPr>
          <w:rFonts w:cs="Arial"/>
          <w:b/>
          <w:i/>
          <w:szCs w:val="24"/>
        </w:rPr>
      </w:pPr>
      <w:r w:rsidRPr="000F1F25">
        <w:rPr>
          <w:rFonts w:cs="Arial"/>
          <w:b/>
          <w:i/>
          <w:szCs w:val="24"/>
        </w:rPr>
        <w:t xml:space="preserve">Simulation experience </w:t>
      </w:r>
      <w:r w:rsidR="009B3879">
        <w:rPr>
          <w:rFonts w:cs="Arial"/>
          <w:b/>
          <w:i/>
          <w:szCs w:val="24"/>
        </w:rPr>
        <w:t>and</w:t>
      </w:r>
      <w:r w:rsidRPr="000F1F25">
        <w:rPr>
          <w:rFonts w:cs="Arial"/>
          <w:b/>
          <w:i/>
          <w:szCs w:val="24"/>
        </w:rPr>
        <w:t xml:space="preserve"> leadership skills</w:t>
      </w:r>
    </w:p>
    <w:p w14:paraId="61484355" w14:textId="2D71B594" w:rsidR="00414112" w:rsidRDefault="00552CA0" w:rsidP="00414112">
      <w:pPr>
        <w:widowControl w:val="0"/>
        <w:autoSpaceDE w:val="0"/>
        <w:autoSpaceDN w:val="0"/>
        <w:adjustRightInd w:val="0"/>
        <w:spacing w:after="266"/>
        <w:rPr>
          <w:rFonts w:cs="Arial"/>
          <w:szCs w:val="24"/>
        </w:rPr>
      </w:pPr>
      <w:r>
        <w:rPr>
          <w:rFonts w:cs="Arial"/>
          <w:szCs w:val="24"/>
        </w:rPr>
        <w:t>Some s</w:t>
      </w:r>
      <w:r w:rsidR="00C576EA" w:rsidRPr="000F7168">
        <w:rPr>
          <w:rFonts w:cs="Arial"/>
          <w:szCs w:val="24"/>
        </w:rPr>
        <w:t>tudents had been involved in the ‘RAPID’ course using a basic A</w:t>
      </w:r>
      <w:r w:rsidR="00173DE4">
        <w:rPr>
          <w:rFonts w:cs="Arial"/>
          <w:szCs w:val="24"/>
        </w:rPr>
        <w:t xml:space="preserve">dvanced </w:t>
      </w:r>
      <w:r w:rsidR="00C576EA" w:rsidRPr="000F7168">
        <w:rPr>
          <w:rFonts w:cs="Arial"/>
          <w:szCs w:val="24"/>
        </w:rPr>
        <w:t>L</w:t>
      </w:r>
      <w:r w:rsidR="00173DE4">
        <w:rPr>
          <w:rFonts w:cs="Arial"/>
          <w:szCs w:val="24"/>
        </w:rPr>
        <w:t xml:space="preserve">ife </w:t>
      </w:r>
      <w:r w:rsidR="00C576EA" w:rsidRPr="000F7168">
        <w:rPr>
          <w:rFonts w:cs="Arial"/>
          <w:szCs w:val="24"/>
        </w:rPr>
        <w:t>S</w:t>
      </w:r>
      <w:r w:rsidR="00173DE4">
        <w:rPr>
          <w:rFonts w:cs="Arial"/>
          <w:szCs w:val="24"/>
        </w:rPr>
        <w:t>upport</w:t>
      </w:r>
      <w:r w:rsidR="00C576EA" w:rsidRPr="000F7168">
        <w:rPr>
          <w:rFonts w:cs="Arial"/>
          <w:szCs w:val="24"/>
        </w:rPr>
        <w:t xml:space="preserve"> mannequin. They had fe</w:t>
      </w:r>
      <w:r w:rsidR="00C576EA">
        <w:rPr>
          <w:rFonts w:cs="Arial"/>
          <w:szCs w:val="24"/>
        </w:rPr>
        <w:t xml:space="preserve">lt they had got less out of </w:t>
      </w:r>
      <w:r w:rsidR="00173DE4">
        <w:rPr>
          <w:rFonts w:cs="Arial"/>
          <w:szCs w:val="24"/>
        </w:rPr>
        <w:t>the experience</w:t>
      </w:r>
      <w:r w:rsidR="00C576EA" w:rsidRPr="000F7168">
        <w:rPr>
          <w:rFonts w:cs="Arial"/>
          <w:szCs w:val="24"/>
        </w:rPr>
        <w:t xml:space="preserve"> du</w:t>
      </w:r>
      <w:r w:rsidR="00C576EA">
        <w:rPr>
          <w:rFonts w:cs="Arial"/>
          <w:szCs w:val="24"/>
        </w:rPr>
        <w:t>e to having such a large group</w:t>
      </w:r>
      <w:r w:rsidR="00C576EA" w:rsidRPr="000F7168">
        <w:rPr>
          <w:rFonts w:cs="Arial"/>
          <w:szCs w:val="24"/>
        </w:rPr>
        <w:t xml:space="preserve"> </w:t>
      </w:r>
      <w:r w:rsidR="00C576EA">
        <w:rPr>
          <w:rFonts w:cs="Arial"/>
          <w:szCs w:val="24"/>
        </w:rPr>
        <w:t>(</w:t>
      </w:r>
      <w:r w:rsidR="00C576EA" w:rsidRPr="000F7168">
        <w:rPr>
          <w:rFonts w:cs="Arial"/>
          <w:szCs w:val="24"/>
        </w:rPr>
        <w:t>up to 15</w:t>
      </w:r>
      <w:r w:rsidR="00C576EA">
        <w:rPr>
          <w:rFonts w:cs="Arial"/>
          <w:szCs w:val="24"/>
        </w:rPr>
        <w:t xml:space="preserve"> </w:t>
      </w:r>
      <w:r w:rsidR="00173DE4">
        <w:rPr>
          <w:rFonts w:cs="Arial"/>
          <w:szCs w:val="24"/>
        </w:rPr>
        <w:t xml:space="preserve">candidates </w:t>
      </w:r>
      <w:r w:rsidR="00C576EA">
        <w:rPr>
          <w:rFonts w:cs="Arial"/>
          <w:szCs w:val="24"/>
        </w:rPr>
        <w:t>reported)</w:t>
      </w:r>
      <w:r w:rsidR="00C576EA" w:rsidRPr="000F7168">
        <w:rPr>
          <w:rFonts w:cs="Arial"/>
          <w:szCs w:val="24"/>
        </w:rPr>
        <w:t xml:space="preserve">. </w:t>
      </w:r>
      <w:r w:rsidR="00C576EA">
        <w:rPr>
          <w:rFonts w:cs="Arial"/>
          <w:szCs w:val="24"/>
        </w:rPr>
        <w:t>T</w:t>
      </w:r>
      <w:r w:rsidR="00C576EA" w:rsidRPr="000F7168">
        <w:rPr>
          <w:rFonts w:cs="Arial"/>
          <w:szCs w:val="24"/>
        </w:rPr>
        <w:t xml:space="preserve">hey felt </w:t>
      </w:r>
      <w:r w:rsidR="00173DE4">
        <w:rPr>
          <w:rFonts w:cs="Arial"/>
          <w:szCs w:val="24"/>
        </w:rPr>
        <w:t>four</w:t>
      </w:r>
      <w:r>
        <w:rPr>
          <w:rFonts w:cs="Arial"/>
          <w:szCs w:val="24"/>
        </w:rPr>
        <w:t xml:space="preserve"> in a group </w:t>
      </w:r>
      <w:r w:rsidR="00C576EA" w:rsidRPr="000F7168">
        <w:rPr>
          <w:rFonts w:cs="Arial"/>
          <w:szCs w:val="24"/>
        </w:rPr>
        <w:t xml:space="preserve">was the ideal size </w:t>
      </w:r>
      <w:r>
        <w:rPr>
          <w:rFonts w:cs="Arial"/>
          <w:szCs w:val="24"/>
        </w:rPr>
        <w:t xml:space="preserve">to remain </w:t>
      </w:r>
      <w:r w:rsidR="00C576EA">
        <w:rPr>
          <w:rFonts w:cs="Arial"/>
          <w:szCs w:val="24"/>
        </w:rPr>
        <w:t>engag</w:t>
      </w:r>
      <w:r>
        <w:rPr>
          <w:rFonts w:cs="Arial"/>
          <w:szCs w:val="24"/>
        </w:rPr>
        <w:t>ed</w:t>
      </w:r>
      <w:r w:rsidR="00C576EA" w:rsidRPr="000F7168">
        <w:rPr>
          <w:rFonts w:cs="Arial"/>
          <w:szCs w:val="24"/>
        </w:rPr>
        <w:t xml:space="preserve"> all </w:t>
      </w:r>
      <w:r w:rsidR="00C576EA">
        <w:rPr>
          <w:rFonts w:cs="Arial"/>
          <w:szCs w:val="24"/>
        </w:rPr>
        <w:t xml:space="preserve">of </w:t>
      </w:r>
      <w:r w:rsidR="00C576EA" w:rsidRPr="000F7168">
        <w:rPr>
          <w:rFonts w:cs="Arial"/>
          <w:szCs w:val="24"/>
        </w:rPr>
        <w:t>the time.</w:t>
      </w:r>
      <w:r w:rsidR="00C576EA">
        <w:rPr>
          <w:rFonts w:cs="Arial"/>
          <w:szCs w:val="24"/>
        </w:rPr>
        <w:t xml:space="preserve"> They reported to have </w:t>
      </w:r>
      <w:r w:rsidR="00C576EA" w:rsidRPr="00C576EA">
        <w:rPr>
          <w:rFonts w:cs="Arial"/>
          <w:i/>
          <w:szCs w:val="24"/>
        </w:rPr>
        <w:t>‘done basic life support but not been in charge or developed leadership skills’</w:t>
      </w:r>
      <w:r w:rsidR="00173DE4">
        <w:rPr>
          <w:rFonts w:cs="Arial"/>
          <w:i/>
          <w:szCs w:val="24"/>
        </w:rPr>
        <w:t>,</w:t>
      </w:r>
      <w:r w:rsidR="00C576EA">
        <w:rPr>
          <w:rFonts w:cs="Arial"/>
          <w:szCs w:val="24"/>
        </w:rPr>
        <w:t xml:space="preserve"> as they were under the impression they would </w:t>
      </w:r>
      <w:r w:rsidR="00C576EA" w:rsidRPr="00C576EA">
        <w:rPr>
          <w:rFonts w:cs="Arial"/>
          <w:i/>
          <w:szCs w:val="24"/>
        </w:rPr>
        <w:t>‘not need to and would not have the skills’</w:t>
      </w:r>
      <w:r w:rsidR="00C576EA">
        <w:rPr>
          <w:rFonts w:cs="Arial"/>
          <w:szCs w:val="24"/>
        </w:rPr>
        <w:t xml:space="preserve"> to do so (Pilot </w:t>
      </w:r>
      <w:r w:rsidR="00173DE4">
        <w:rPr>
          <w:rFonts w:cs="Arial"/>
          <w:szCs w:val="24"/>
        </w:rPr>
        <w:t xml:space="preserve">focus group </w:t>
      </w:r>
      <w:r w:rsidR="00C576EA">
        <w:rPr>
          <w:rFonts w:cs="Arial"/>
          <w:szCs w:val="24"/>
        </w:rPr>
        <w:t xml:space="preserve">1). </w:t>
      </w:r>
      <w:r w:rsidR="00FA3A8D">
        <w:rPr>
          <w:rFonts w:cs="Arial"/>
          <w:szCs w:val="24"/>
        </w:rPr>
        <w:t>There was a shared feeling and view that ‘</w:t>
      </w:r>
      <w:r w:rsidR="00FA3A8D" w:rsidRPr="00FA3A8D">
        <w:rPr>
          <w:rFonts w:cs="Arial"/>
          <w:i/>
          <w:szCs w:val="24"/>
        </w:rPr>
        <w:t>simulation education like this’</w:t>
      </w:r>
      <w:r w:rsidR="00FA3A8D">
        <w:rPr>
          <w:rFonts w:cs="Arial"/>
          <w:szCs w:val="24"/>
        </w:rPr>
        <w:t xml:space="preserve"> would be useful </w:t>
      </w:r>
      <w:r w:rsidR="00FA3A8D">
        <w:rPr>
          <w:rFonts w:cs="Arial"/>
          <w:szCs w:val="24"/>
        </w:rPr>
        <w:lastRenderedPageBreak/>
        <w:t>‘</w:t>
      </w:r>
      <w:r w:rsidR="00FA3A8D" w:rsidRPr="00FA3A8D">
        <w:rPr>
          <w:rFonts w:cs="Arial"/>
          <w:i/>
          <w:szCs w:val="24"/>
        </w:rPr>
        <w:t>throughout undergraduate medical training’</w:t>
      </w:r>
      <w:r w:rsidR="00FA3A8D">
        <w:rPr>
          <w:rFonts w:cs="Arial"/>
          <w:szCs w:val="24"/>
        </w:rPr>
        <w:t xml:space="preserve"> to help develop ‘</w:t>
      </w:r>
      <w:r w:rsidR="00FA3A8D" w:rsidRPr="00FA3A8D">
        <w:rPr>
          <w:rFonts w:cs="Arial"/>
          <w:i/>
          <w:szCs w:val="24"/>
        </w:rPr>
        <w:t xml:space="preserve">coping skills and prioritisation skills to help prepare for the </w:t>
      </w:r>
      <w:r w:rsidR="00CD658D">
        <w:rPr>
          <w:rFonts w:cs="Arial"/>
          <w:i/>
          <w:szCs w:val="24"/>
        </w:rPr>
        <w:t>workplace</w:t>
      </w:r>
      <w:r w:rsidR="00FA3A8D" w:rsidRPr="00FA3A8D">
        <w:rPr>
          <w:rFonts w:cs="Arial"/>
          <w:i/>
          <w:szCs w:val="24"/>
        </w:rPr>
        <w:t xml:space="preserve">’ </w:t>
      </w:r>
      <w:r w:rsidR="00FA3A8D">
        <w:rPr>
          <w:rFonts w:cs="Arial"/>
          <w:szCs w:val="24"/>
        </w:rPr>
        <w:t xml:space="preserve">(Pilot </w:t>
      </w:r>
      <w:r w:rsidR="00173DE4">
        <w:rPr>
          <w:rFonts w:cs="Arial"/>
          <w:szCs w:val="24"/>
        </w:rPr>
        <w:t>focus group</w:t>
      </w:r>
      <w:r w:rsidR="00FA3A8D">
        <w:rPr>
          <w:rFonts w:cs="Arial"/>
          <w:szCs w:val="24"/>
        </w:rPr>
        <w:t xml:space="preserve"> 3).</w:t>
      </w:r>
      <w:r w:rsidR="00414112">
        <w:rPr>
          <w:rFonts w:cs="Arial"/>
          <w:szCs w:val="24"/>
        </w:rPr>
        <w:t xml:space="preserve"> </w:t>
      </w:r>
      <w:r>
        <w:rPr>
          <w:rFonts w:cs="Arial"/>
          <w:szCs w:val="24"/>
        </w:rPr>
        <w:t>M</w:t>
      </w:r>
      <w:r w:rsidR="00E51676">
        <w:rPr>
          <w:rFonts w:cs="Arial"/>
          <w:szCs w:val="24"/>
        </w:rPr>
        <w:t xml:space="preserve">ost </w:t>
      </w:r>
      <w:r w:rsidR="00E51676" w:rsidRPr="00414112">
        <w:rPr>
          <w:rFonts w:cs="Arial"/>
          <w:szCs w:val="24"/>
        </w:rPr>
        <w:t xml:space="preserve">felt </w:t>
      </w:r>
      <w:r w:rsidR="00E51676">
        <w:rPr>
          <w:rFonts w:cs="Arial"/>
          <w:szCs w:val="24"/>
        </w:rPr>
        <w:t>priority should be in 4th and 5</w:t>
      </w:r>
      <w:r w:rsidR="00E51676" w:rsidRPr="00414112">
        <w:rPr>
          <w:rFonts w:cs="Arial"/>
          <w:szCs w:val="24"/>
        </w:rPr>
        <w:t xml:space="preserve">th year but could be introduced in 3rd year if students worked in pairs. </w:t>
      </w:r>
      <w:r w:rsidR="00414112" w:rsidRPr="00414112">
        <w:rPr>
          <w:rFonts w:cs="Arial"/>
          <w:szCs w:val="24"/>
        </w:rPr>
        <w:t>By 5th year they all felt it was essential to work alone to help them learn how they would act and to make sure they could manage</w:t>
      </w:r>
      <w:r w:rsidR="00890210">
        <w:rPr>
          <w:rFonts w:cs="Arial"/>
          <w:szCs w:val="24"/>
        </w:rPr>
        <w:t xml:space="preserve"> in the workplace independently</w:t>
      </w:r>
      <w:r w:rsidR="00414112" w:rsidRPr="00414112">
        <w:rPr>
          <w:rFonts w:cs="Arial"/>
          <w:szCs w:val="24"/>
        </w:rPr>
        <w:t>. </w:t>
      </w:r>
    </w:p>
    <w:p w14:paraId="3B1FB5EA" w14:textId="6DD44B13" w:rsidR="00890210" w:rsidRDefault="00414112" w:rsidP="00414112">
      <w:pPr>
        <w:widowControl w:val="0"/>
        <w:autoSpaceDE w:val="0"/>
        <w:autoSpaceDN w:val="0"/>
        <w:adjustRightInd w:val="0"/>
        <w:spacing w:after="266"/>
        <w:rPr>
          <w:rFonts w:cs="Arial"/>
          <w:szCs w:val="24"/>
        </w:rPr>
      </w:pPr>
      <w:r>
        <w:rPr>
          <w:rFonts w:cs="Arial"/>
          <w:szCs w:val="24"/>
        </w:rPr>
        <w:t xml:space="preserve">A </w:t>
      </w:r>
      <w:r w:rsidR="00EE6345">
        <w:rPr>
          <w:rFonts w:cs="Arial"/>
          <w:szCs w:val="24"/>
        </w:rPr>
        <w:t>sub-theme</w:t>
      </w:r>
      <w:r>
        <w:rPr>
          <w:rFonts w:cs="Arial"/>
          <w:szCs w:val="24"/>
        </w:rPr>
        <w:t xml:space="preserve"> within </w:t>
      </w:r>
      <w:r w:rsidR="00EF4351">
        <w:rPr>
          <w:rFonts w:cs="Arial"/>
          <w:szCs w:val="24"/>
        </w:rPr>
        <w:t>‘</w:t>
      </w:r>
      <w:r w:rsidR="003E06A1">
        <w:rPr>
          <w:rFonts w:cs="Arial"/>
          <w:szCs w:val="24"/>
        </w:rPr>
        <w:t>s</w:t>
      </w:r>
      <w:r>
        <w:rPr>
          <w:rFonts w:cs="Arial"/>
          <w:szCs w:val="24"/>
        </w:rPr>
        <w:t>imulation</w:t>
      </w:r>
      <w:r w:rsidR="00EF4351">
        <w:rPr>
          <w:rFonts w:cs="Arial"/>
          <w:szCs w:val="24"/>
        </w:rPr>
        <w:t>’</w:t>
      </w:r>
      <w:r>
        <w:rPr>
          <w:rFonts w:cs="Arial"/>
          <w:szCs w:val="24"/>
        </w:rPr>
        <w:t>,</w:t>
      </w:r>
      <w:r w:rsidRPr="00414112">
        <w:rPr>
          <w:rFonts w:cs="Arial"/>
          <w:szCs w:val="24"/>
        </w:rPr>
        <w:t xml:space="preserve"> wa</w:t>
      </w:r>
      <w:r>
        <w:rPr>
          <w:rFonts w:cs="Arial"/>
          <w:szCs w:val="24"/>
        </w:rPr>
        <w:t xml:space="preserve">s </w:t>
      </w:r>
      <w:r w:rsidR="00890210">
        <w:rPr>
          <w:rFonts w:cs="Arial"/>
          <w:szCs w:val="24"/>
        </w:rPr>
        <w:t>‘</w:t>
      </w:r>
      <w:r>
        <w:rPr>
          <w:rFonts w:cs="Arial"/>
          <w:szCs w:val="24"/>
        </w:rPr>
        <w:t>best practice for simulation</w:t>
      </w:r>
      <w:r w:rsidR="00890210">
        <w:rPr>
          <w:rFonts w:cs="Arial"/>
          <w:szCs w:val="24"/>
        </w:rPr>
        <w:t>’</w:t>
      </w:r>
      <w:r>
        <w:rPr>
          <w:rFonts w:cs="Arial"/>
          <w:szCs w:val="24"/>
        </w:rPr>
        <w:t>;</w:t>
      </w:r>
      <w:r w:rsidRPr="00414112">
        <w:rPr>
          <w:rFonts w:cs="Arial"/>
          <w:szCs w:val="24"/>
        </w:rPr>
        <w:t xml:space="preserve"> what </w:t>
      </w:r>
      <w:r>
        <w:rPr>
          <w:rFonts w:cs="Arial"/>
          <w:szCs w:val="24"/>
        </w:rPr>
        <w:t xml:space="preserve">was important and worked well; </w:t>
      </w:r>
      <w:r w:rsidR="00A645DC">
        <w:rPr>
          <w:rFonts w:cs="Arial"/>
          <w:szCs w:val="24"/>
        </w:rPr>
        <w:t>interprofessional</w:t>
      </w:r>
      <w:r w:rsidRPr="00414112">
        <w:rPr>
          <w:rFonts w:cs="Arial"/>
          <w:szCs w:val="24"/>
        </w:rPr>
        <w:t xml:space="preserve"> learning</w:t>
      </w:r>
      <w:r w:rsidR="00552CA0">
        <w:rPr>
          <w:rFonts w:cs="Arial"/>
          <w:szCs w:val="24"/>
        </w:rPr>
        <w:t xml:space="preserve"> and teaching; </w:t>
      </w:r>
      <w:r>
        <w:rPr>
          <w:rFonts w:cs="Arial"/>
          <w:szCs w:val="24"/>
        </w:rPr>
        <w:t>safe environment; faculty appropriately trained;</w:t>
      </w:r>
      <w:r w:rsidRPr="00414112">
        <w:rPr>
          <w:rFonts w:cs="Arial"/>
          <w:szCs w:val="24"/>
        </w:rPr>
        <w:t xml:space="preserve"> deb</w:t>
      </w:r>
      <w:r>
        <w:rPr>
          <w:rFonts w:cs="Arial"/>
          <w:szCs w:val="24"/>
        </w:rPr>
        <w:t>riefing specific and individual;</w:t>
      </w:r>
      <w:r w:rsidRPr="00414112">
        <w:rPr>
          <w:rFonts w:cs="Arial"/>
          <w:szCs w:val="24"/>
        </w:rPr>
        <w:t xml:space="preserve"> learning outcomes - some pre</w:t>
      </w:r>
      <w:r w:rsidR="006E09FB">
        <w:rPr>
          <w:rFonts w:cs="Arial"/>
          <w:szCs w:val="24"/>
        </w:rPr>
        <w:t>-</w:t>
      </w:r>
      <w:r w:rsidRPr="00414112">
        <w:rPr>
          <w:rFonts w:cs="Arial"/>
          <w:szCs w:val="24"/>
        </w:rPr>
        <w:t>decided</w:t>
      </w:r>
      <w:r w:rsidR="006E09FB">
        <w:rPr>
          <w:rFonts w:cs="Arial"/>
          <w:szCs w:val="24"/>
        </w:rPr>
        <w:t>,</w:t>
      </w:r>
      <w:r w:rsidRPr="00414112">
        <w:rPr>
          <w:rFonts w:cs="Arial"/>
          <w:szCs w:val="24"/>
        </w:rPr>
        <w:t xml:space="preserve"> other tailo</w:t>
      </w:r>
      <w:r>
        <w:rPr>
          <w:rFonts w:cs="Arial"/>
          <w:szCs w:val="24"/>
        </w:rPr>
        <w:t>red to group specific questions;</w:t>
      </w:r>
      <w:r w:rsidRPr="00414112">
        <w:rPr>
          <w:rFonts w:cs="Arial"/>
          <w:szCs w:val="24"/>
        </w:rPr>
        <w:t xml:space="preserve"> </w:t>
      </w:r>
      <w:r w:rsidR="006E09FB">
        <w:rPr>
          <w:rFonts w:cs="Arial"/>
          <w:szCs w:val="24"/>
        </w:rPr>
        <w:t xml:space="preserve">and </w:t>
      </w:r>
      <w:r w:rsidRPr="00414112">
        <w:rPr>
          <w:rFonts w:cs="Arial"/>
          <w:szCs w:val="24"/>
        </w:rPr>
        <w:t xml:space="preserve">importance of getting the pressure level right - enough to push </w:t>
      </w:r>
      <w:r w:rsidR="00B9177C">
        <w:rPr>
          <w:rFonts w:cs="Arial"/>
          <w:szCs w:val="24"/>
        </w:rPr>
        <w:t>c</w:t>
      </w:r>
      <w:r w:rsidR="005F705F">
        <w:rPr>
          <w:rFonts w:cs="Arial"/>
          <w:szCs w:val="24"/>
        </w:rPr>
        <w:t>andidate</w:t>
      </w:r>
      <w:r w:rsidRPr="00414112">
        <w:rPr>
          <w:rFonts w:cs="Arial"/>
          <w:szCs w:val="24"/>
        </w:rPr>
        <w:t xml:space="preserve">s but not too much </w:t>
      </w:r>
      <w:r>
        <w:rPr>
          <w:rFonts w:cs="Arial"/>
          <w:szCs w:val="24"/>
        </w:rPr>
        <w:t xml:space="preserve">for negative learning. </w:t>
      </w:r>
    </w:p>
    <w:p w14:paraId="503CC1E0" w14:textId="261AC424" w:rsidR="00B02D48" w:rsidRDefault="00414112" w:rsidP="00414112">
      <w:pPr>
        <w:widowControl w:val="0"/>
        <w:autoSpaceDE w:val="0"/>
        <w:autoSpaceDN w:val="0"/>
        <w:adjustRightInd w:val="0"/>
        <w:spacing w:after="266"/>
        <w:rPr>
          <w:rFonts w:ascii="Verdana" w:hAnsi="Verdana" w:cs="Verdana"/>
          <w:sz w:val="26"/>
          <w:szCs w:val="26"/>
        </w:rPr>
      </w:pPr>
      <w:r>
        <w:rPr>
          <w:rFonts w:cs="Arial"/>
          <w:szCs w:val="24"/>
        </w:rPr>
        <w:t>They felt faculty</w:t>
      </w:r>
      <w:r w:rsidRPr="00414112">
        <w:rPr>
          <w:rFonts w:cs="Arial"/>
          <w:szCs w:val="24"/>
        </w:rPr>
        <w:t xml:space="preserve"> need</w:t>
      </w:r>
      <w:r>
        <w:rPr>
          <w:rFonts w:cs="Arial"/>
          <w:szCs w:val="24"/>
        </w:rPr>
        <w:t>ed</w:t>
      </w:r>
      <w:r w:rsidRPr="00414112">
        <w:rPr>
          <w:rFonts w:cs="Arial"/>
          <w:szCs w:val="24"/>
        </w:rPr>
        <w:t xml:space="preserve"> experience in sim</w:t>
      </w:r>
      <w:r>
        <w:rPr>
          <w:rFonts w:cs="Arial"/>
          <w:szCs w:val="24"/>
        </w:rPr>
        <w:t>ulation</w:t>
      </w:r>
      <w:r w:rsidRPr="00414112">
        <w:rPr>
          <w:rFonts w:cs="Arial"/>
          <w:szCs w:val="24"/>
        </w:rPr>
        <w:t xml:space="preserve"> training, flexibility in knowledge and teaching skills</w:t>
      </w:r>
      <w:r w:rsidR="006E09FB">
        <w:rPr>
          <w:rFonts w:cs="Arial"/>
          <w:szCs w:val="24"/>
        </w:rPr>
        <w:t>,</w:t>
      </w:r>
      <w:r w:rsidRPr="00414112">
        <w:rPr>
          <w:rFonts w:cs="Arial"/>
          <w:szCs w:val="24"/>
        </w:rPr>
        <w:t xml:space="preserve"> and emotional intelligence to adjust </w:t>
      </w:r>
      <w:r w:rsidR="006E09FB">
        <w:rPr>
          <w:rFonts w:cs="Arial"/>
          <w:szCs w:val="24"/>
        </w:rPr>
        <w:t xml:space="preserve">the amount of </w:t>
      </w:r>
      <w:r w:rsidRPr="00414112">
        <w:rPr>
          <w:rFonts w:cs="Arial"/>
          <w:szCs w:val="24"/>
        </w:rPr>
        <w:t xml:space="preserve">pressure depending on how </w:t>
      </w:r>
      <w:r w:rsidR="007E2CA1">
        <w:rPr>
          <w:rFonts w:cs="Arial"/>
          <w:szCs w:val="24"/>
        </w:rPr>
        <w:t xml:space="preserve">the </w:t>
      </w:r>
      <w:r w:rsidR="006E09FB">
        <w:rPr>
          <w:rFonts w:cs="Arial"/>
          <w:szCs w:val="24"/>
        </w:rPr>
        <w:t>c</w:t>
      </w:r>
      <w:r w:rsidR="005F705F">
        <w:rPr>
          <w:rFonts w:cs="Arial"/>
          <w:szCs w:val="24"/>
        </w:rPr>
        <w:t>andidate</w:t>
      </w:r>
      <w:r w:rsidR="007E2CA1">
        <w:rPr>
          <w:rFonts w:cs="Arial"/>
          <w:szCs w:val="24"/>
        </w:rPr>
        <w:t xml:space="preserve"> was seen to be responding to the simulated environment</w:t>
      </w:r>
      <w:r w:rsidR="00552CA0">
        <w:rPr>
          <w:rFonts w:cs="Arial"/>
          <w:szCs w:val="24"/>
        </w:rPr>
        <w:t xml:space="preserve">. </w:t>
      </w:r>
      <w:r w:rsidR="007E2CA1">
        <w:rPr>
          <w:rFonts w:cs="Arial"/>
          <w:szCs w:val="24"/>
        </w:rPr>
        <w:t>This was echoed in</w:t>
      </w:r>
      <w:r w:rsidR="006E09FB">
        <w:rPr>
          <w:rFonts w:cs="Arial"/>
          <w:szCs w:val="24"/>
        </w:rPr>
        <w:t xml:space="preserve"> the</w:t>
      </w:r>
      <w:r w:rsidR="007E2CA1">
        <w:rPr>
          <w:rFonts w:cs="Arial"/>
          <w:szCs w:val="24"/>
        </w:rPr>
        <w:t xml:space="preserve"> field notes</w:t>
      </w:r>
      <w:r w:rsidR="006E09FB">
        <w:rPr>
          <w:rFonts w:cs="Arial"/>
          <w:szCs w:val="24"/>
        </w:rPr>
        <w:t>:</w:t>
      </w:r>
      <w:r w:rsidR="00552CA0">
        <w:rPr>
          <w:rFonts w:cs="Arial"/>
          <w:szCs w:val="24"/>
        </w:rPr>
        <w:t xml:space="preserve"> </w:t>
      </w:r>
      <w:r w:rsidR="007E2CA1">
        <w:rPr>
          <w:rFonts w:cs="Arial"/>
          <w:szCs w:val="24"/>
        </w:rPr>
        <w:t xml:space="preserve">‘importance of individual levels of challenge, so that overconfident students were </w:t>
      </w:r>
      <w:r w:rsidRPr="00414112">
        <w:rPr>
          <w:rFonts w:cs="Arial"/>
          <w:szCs w:val="24"/>
        </w:rPr>
        <w:t>push</w:t>
      </w:r>
      <w:r w:rsidR="007E2CA1">
        <w:rPr>
          <w:rFonts w:cs="Arial"/>
          <w:szCs w:val="24"/>
        </w:rPr>
        <w:t>ed appropriately and those with l</w:t>
      </w:r>
      <w:r w:rsidRPr="00414112">
        <w:rPr>
          <w:rFonts w:cs="Arial"/>
          <w:szCs w:val="24"/>
        </w:rPr>
        <w:t>ow</w:t>
      </w:r>
      <w:r w:rsidR="007E2CA1">
        <w:rPr>
          <w:rFonts w:cs="Arial"/>
          <w:szCs w:val="24"/>
        </w:rPr>
        <w:t xml:space="preserve">er confidence given more support and encouragement’ (Field note 3). </w:t>
      </w:r>
      <w:r w:rsidR="00E51676">
        <w:rPr>
          <w:rFonts w:cs="Arial"/>
          <w:szCs w:val="24"/>
        </w:rPr>
        <w:t>Field notes also reflected the importance of one person leading the debrief, that half a</w:t>
      </w:r>
      <w:r w:rsidR="00E51676" w:rsidRPr="00414112">
        <w:rPr>
          <w:rFonts w:cs="Arial"/>
          <w:szCs w:val="24"/>
        </w:rPr>
        <w:t xml:space="preserve"> day </w:t>
      </w:r>
      <w:r w:rsidR="00552CA0">
        <w:rPr>
          <w:rFonts w:cs="Arial"/>
          <w:szCs w:val="24"/>
        </w:rPr>
        <w:t xml:space="preserve">was </w:t>
      </w:r>
      <w:r w:rsidR="00E51676" w:rsidRPr="00414112">
        <w:rPr>
          <w:rFonts w:cs="Arial"/>
          <w:szCs w:val="24"/>
        </w:rPr>
        <w:t>long enough</w:t>
      </w:r>
      <w:r w:rsidR="00552CA0">
        <w:rPr>
          <w:rFonts w:cs="Arial"/>
          <w:szCs w:val="24"/>
        </w:rPr>
        <w:t xml:space="preserve"> with </w:t>
      </w:r>
      <w:r w:rsidR="00E51676" w:rsidRPr="00414112">
        <w:rPr>
          <w:rFonts w:cs="Arial"/>
          <w:szCs w:val="24"/>
        </w:rPr>
        <w:t xml:space="preserve">groups of 4-5 to allow individual practice. </w:t>
      </w:r>
      <w:r w:rsidRPr="00414112">
        <w:rPr>
          <w:rFonts w:cs="Arial"/>
          <w:szCs w:val="24"/>
        </w:rPr>
        <w:t>Students preferre</w:t>
      </w:r>
      <w:r w:rsidR="007E2CA1">
        <w:rPr>
          <w:rFonts w:cs="Arial"/>
          <w:szCs w:val="24"/>
        </w:rPr>
        <w:t>d mostly to be in another room to their colleagues due to less distraction and the resultant feeling that this was</w:t>
      </w:r>
      <w:r w:rsidRPr="00414112">
        <w:rPr>
          <w:rFonts w:cs="Arial"/>
          <w:szCs w:val="24"/>
        </w:rPr>
        <w:t xml:space="preserve"> more realistic. </w:t>
      </w:r>
    </w:p>
    <w:p w14:paraId="076E951D" w14:textId="6BE35B50" w:rsidR="00C030CE" w:rsidRPr="00C07261" w:rsidRDefault="00552CA0" w:rsidP="00C030CE">
      <w:pPr>
        <w:rPr>
          <w:rFonts w:cs="Arial"/>
          <w:b/>
          <w:i/>
          <w:szCs w:val="24"/>
        </w:rPr>
      </w:pPr>
      <w:r w:rsidRPr="00C07261">
        <w:rPr>
          <w:rFonts w:cs="Arial"/>
          <w:b/>
          <w:i/>
          <w:szCs w:val="24"/>
        </w:rPr>
        <w:t xml:space="preserve"> </w:t>
      </w:r>
      <w:r w:rsidR="00211B51" w:rsidRPr="00C07261">
        <w:rPr>
          <w:rFonts w:cs="Arial"/>
          <w:b/>
          <w:i/>
          <w:szCs w:val="24"/>
        </w:rPr>
        <w:t xml:space="preserve">Realism </w:t>
      </w:r>
      <w:r w:rsidR="009B3879">
        <w:rPr>
          <w:rFonts w:cs="Arial"/>
          <w:b/>
          <w:i/>
          <w:szCs w:val="24"/>
        </w:rPr>
        <w:t>and</w:t>
      </w:r>
      <w:r w:rsidR="00211B51" w:rsidRPr="00C07261">
        <w:rPr>
          <w:rFonts w:cs="Arial"/>
          <w:b/>
          <w:i/>
          <w:szCs w:val="24"/>
        </w:rPr>
        <w:t xml:space="preserve"> challenge</w:t>
      </w:r>
    </w:p>
    <w:p w14:paraId="1EC067E8" w14:textId="1C791F4B" w:rsidR="00C030CE" w:rsidRPr="000F7168" w:rsidRDefault="00C030CE" w:rsidP="000D5D0F">
      <w:pPr>
        <w:rPr>
          <w:rFonts w:cs="Arial"/>
          <w:szCs w:val="24"/>
        </w:rPr>
      </w:pPr>
      <w:r>
        <w:rPr>
          <w:rFonts w:cs="Arial"/>
          <w:szCs w:val="24"/>
        </w:rPr>
        <w:lastRenderedPageBreak/>
        <w:t>They described the scenarios as realistic and felt they</w:t>
      </w:r>
      <w:r w:rsidRPr="000F7168">
        <w:rPr>
          <w:rFonts w:cs="Arial"/>
          <w:szCs w:val="24"/>
        </w:rPr>
        <w:t xml:space="preserve"> were pitched at the correct level. They felt challenged but n</w:t>
      </w:r>
      <w:r w:rsidR="00FA3A8D">
        <w:rPr>
          <w:rFonts w:cs="Arial"/>
          <w:szCs w:val="24"/>
        </w:rPr>
        <w:t>ot overwhelmed</w:t>
      </w:r>
      <w:r w:rsidR="006E09FB">
        <w:rPr>
          <w:rFonts w:cs="Arial"/>
          <w:szCs w:val="24"/>
        </w:rPr>
        <w:t>,</w:t>
      </w:r>
      <w:r w:rsidR="00FA3A8D">
        <w:rPr>
          <w:rFonts w:cs="Arial"/>
          <w:szCs w:val="24"/>
        </w:rPr>
        <w:t xml:space="preserve"> which </w:t>
      </w:r>
      <w:r w:rsidRPr="000F7168">
        <w:rPr>
          <w:rFonts w:cs="Arial"/>
          <w:szCs w:val="24"/>
        </w:rPr>
        <w:t xml:space="preserve">had </w:t>
      </w:r>
      <w:r w:rsidR="00FA3A8D">
        <w:rPr>
          <w:rFonts w:cs="Arial"/>
          <w:szCs w:val="24"/>
        </w:rPr>
        <w:t>been</w:t>
      </w:r>
      <w:r w:rsidR="006E09FB">
        <w:rPr>
          <w:rFonts w:cs="Arial"/>
          <w:szCs w:val="24"/>
        </w:rPr>
        <w:t xml:space="preserve"> the researcher’s aim</w:t>
      </w:r>
      <w:r w:rsidRPr="000F7168">
        <w:rPr>
          <w:rFonts w:cs="Arial"/>
          <w:szCs w:val="24"/>
        </w:rPr>
        <w:t xml:space="preserve">. </w:t>
      </w:r>
      <w:r w:rsidR="00C576EA">
        <w:rPr>
          <w:rFonts w:cs="Arial"/>
          <w:szCs w:val="24"/>
        </w:rPr>
        <w:t>T</w:t>
      </w:r>
      <w:r w:rsidR="00FA3A8D">
        <w:rPr>
          <w:rFonts w:cs="Arial"/>
          <w:szCs w:val="24"/>
        </w:rPr>
        <w:t xml:space="preserve">hey felt being </w:t>
      </w:r>
      <w:r w:rsidR="00FA3A8D" w:rsidRPr="00FA3A8D">
        <w:rPr>
          <w:rFonts w:cs="Arial"/>
          <w:i/>
          <w:szCs w:val="24"/>
        </w:rPr>
        <w:t>‘able to do actu</w:t>
      </w:r>
      <w:r w:rsidR="00C576EA" w:rsidRPr="00FA3A8D">
        <w:rPr>
          <w:rFonts w:cs="Arial"/>
          <w:i/>
          <w:szCs w:val="24"/>
        </w:rPr>
        <w:t>al refe</w:t>
      </w:r>
      <w:r w:rsidR="000F268C">
        <w:rPr>
          <w:rFonts w:cs="Arial"/>
          <w:i/>
          <w:szCs w:val="24"/>
        </w:rPr>
        <w:t>r</w:t>
      </w:r>
      <w:r w:rsidR="00C576EA" w:rsidRPr="00FA3A8D">
        <w:rPr>
          <w:rFonts w:cs="Arial"/>
          <w:i/>
          <w:szCs w:val="24"/>
        </w:rPr>
        <w:t>r</w:t>
      </w:r>
      <w:r w:rsidR="007E2CA1">
        <w:rPr>
          <w:rFonts w:cs="Arial"/>
          <w:i/>
          <w:szCs w:val="24"/>
        </w:rPr>
        <w:t>al</w:t>
      </w:r>
      <w:r w:rsidR="00C576EA" w:rsidRPr="00FA3A8D">
        <w:rPr>
          <w:rFonts w:cs="Arial"/>
          <w:i/>
          <w:szCs w:val="24"/>
        </w:rPr>
        <w:t>s about a patient and get a realistic re</w:t>
      </w:r>
      <w:r w:rsidR="006E09FB">
        <w:rPr>
          <w:rFonts w:cs="Arial"/>
          <w:i/>
          <w:szCs w:val="24"/>
        </w:rPr>
        <w:t>s</w:t>
      </w:r>
      <w:r w:rsidR="00C576EA" w:rsidRPr="00FA3A8D">
        <w:rPr>
          <w:rFonts w:cs="Arial"/>
          <w:i/>
          <w:szCs w:val="24"/>
        </w:rPr>
        <w:t>po</w:t>
      </w:r>
      <w:r w:rsidR="006E09FB">
        <w:rPr>
          <w:rFonts w:cs="Arial"/>
          <w:i/>
          <w:szCs w:val="24"/>
        </w:rPr>
        <w:t>n</w:t>
      </w:r>
      <w:r w:rsidR="00C576EA" w:rsidRPr="00FA3A8D">
        <w:rPr>
          <w:rFonts w:cs="Arial"/>
          <w:i/>
          <w:szCs w:val="24"/>
        </w:rPr>
        <w:t>se</w:t>
      </w:r>
      <w:r w:rsidR="007E2CA1">
        <w:rPr>
          <w:rFonts w:cs="Arial"/>
          <w:i/>
          <w:szCs w:val="24"/>
        </w:rPr>
        <w:t xml:space="preserve"> as well as performing an actual procedure</w:t>
      </w:r>
      <w:r w:rsidR="00C576EA" w:rsidRPr="00FA3A8D">
        <w:rPr>
          <w:rFonts w:cs="Arial"/>
          <w:i/>
          <w:szCs w:val="24"/>
        </w:rPr>
        <w:t>’</w:t>
      </w:r>
      <w:r w:rsidR="00C576EA">
        <w:rPr>
          <w:rFonts w:cs="Arial"/>
          <w:szCs w:val="24"/>
        </w:rPr>
        <w:t xml:space="preserve"> was really helpful</w:t>
      </w:r>
      <w:r w:rsidR="006E09FB">
        <w:rPr>
          <w:rFonts w:cs="Arial"/>
          <w:szCs w:val="24"/>
        </w:rPr>
        <w:t>,</w:t>
      </w:r>
      <w:r w:rsidR="00C576EA">
        <w:rPr>
          <w:rFonts w:cs="Arial"/>
          <w:szCs w:val="24"/>
        </w:rPr>
        <w:t xml:space="preserve"> and also to ‘</w:t>
      </w:r>
      <w:r w:rsidR="00C576EA" w:rsidRPr="00FA3A8D">
        <w:rPr>
          <w:rFonts w:cs="Arial"/>
          <w:i/>
          <w:szCs w:val="24"/>
        </w:rPr>
        <w:t>communicate with a patient’</w:t>
      </w:r>
      <w:r w:rsidR="00C576EA">
        <w:rPr>
          <w:rFonts w:cs="Arial"/>
          <w:szCs w:val="24"/>
        </w:rPr>
        <w:t xml:space="preserve"> (Pilot </w:t>
      </w:r>
      <w:r w:rsidR="00173DE4">
        <w:rPr>
          <w:rFonts w:cs="Arial"/>
          <w:szCs w:val="24"/>
        </w:rPr>
        <w:t>focus group</w:t>
      </w:r>
      <w:r w:rsidR="00C576EA">
        <w:rPr>
          <w:rFonts w:cs="Arial"/>
          <w:szCs w:val="24"/>
        </w:rPr>
        <w:t xml:space="preserve"> 1)</w:t>
      </w:r>
      <w:r w:rsidR="00FA3A8D">
        <w:rPr>
          <w:rFonts w:cs="Arial"/>
          <w:szCs w:val="24"/>
        </w:rPr>
        <w:t>. It was interesting to note by the researcher that initially the Sim Man was referred to as ‘</w:t>
      </w:r>
      <w:r w:rsidR="00FA3A8D" w:rsidRPr="00FA3A8D">
        <w:rPr>
          <w:rFonts w:cs="Arial"/>
          <w:i/>
          <w:szCs w:val="24"/>
        </w:rPr>
        <w:t>a mannequin’</w:t>
      </w:r>
      <w:r w:rsidR="00FA3A8D">
        <w:rPr>
          <w:rFonts w:cs="Arial"/>
          <w:szCs w:val="24"/>
        </w:rPr>
        <w:t xml:space="preserve"> at the start of the day but following the course as </w:t>
      </w:r>
      <w:r w:rsidR="00FA3A8D" w:rsidRPr="00FA3A8D">
        <w:rPr>
          <w:rFonts w:cs="Arial"/>
          <w:i/>
          <w:szCs w:val="24"/>
        </w:rPr>
        <w:t>‘the patient’</w:t>
      </w:r>
      <w:r w:rsidR="00FA3A8D">
        <w:rPr>
          <w:rFonts w:cs="Arial"/>
          <w:szCs w:val="24"/>
        </w:rPr>
        <w:t>, which suggested a good level of immersion (Field notes pilot course).</w:t>
      </w:r>
    </w:p>
    <w:p w14:paraId="27082E5E" w14:textId="6D4B1A44" w:rsidR="00FA3A8D" w:rsidRDefault="00C030CE" w:rsidP="00C030CE">
      <w:pPr>
        <w:rPr>
          <w:rFonts w:cs="Arial"/>
          <w:szCs w:val="24"/>
        </w:rPr>
      </w:pPr>
      <w:r>
        <w:rPr>
          <w:rFonts w:cs="Arial"/>
          <w:szCs w:val="24"/>
        </w:rPr>
        <w:t>They reported</w:t>
      </w:r>
      <w:r w:rsidRPr="000F7168">
        <w:rPr>
          <w:rFonts w:cs="Arial"/>
          <w:szCs w:val="24"/>
        </w:rPr>
        <w:t xml:space="preserve"> that the fact the patient could talk was hugely important. As faculty</w:t>
      </w:r>
      <w:r w:rsidR="006E09FB">
        <w:rPr>
          <w:rFonts w:cs="Arial"/>
          <w:szCs w:val="24"/>
        </w:rPr>
        <w:t>,</w:t>
      </w:r>
      <w:r w:rsidRPr="000F7168">
        <w:rPr>
          <w:rFonts w:cs="Arial"/>
          <w:szCs w:val="24"/>
        </w:rPr>
        <w:t xml:space="preserve"> we saw that students were talking directly to the patient instead of looking to faculty for clues. </w:t>
      </w:r>
      <w:r w:rsidR="00FA3A8D">
        <w:rPr>
          <w:rFonts w:cs="Arial"/>
          <w:szCs w:val="24"/>
        </w:rPr>
        <w:t>The group shared the view that it was important that they could ‘</w:t>
      </w:r>
      <w:r w:rsidR="00FA3A8D" w:rsidRPr="00FA3A8D">
        <w:rPr>
          <w:rFonts w:cs="Arial"/>
          <w:i/>
          <w:szCs w:val="24"/>
        </w:rPr>
        <w:t>touch, feel and see the drugs being given’</w:t>
      </w:r>
      <w:r w:rsidR="00FA3A8D">
        <w:rPr>
          <w:rFonts w:cs="Arial"/>
          <w:szCs w:val="24"/>
        </w:rPr>
        <w:t xml:space="preserve"> and that a ‘</w:t>
      </w:r>
      <w:r w:rsidR="00FA3A8D" w:rsidRPr="00FA3A8D">
        <w:rPr>
          <w:rFonts w:cs="Arial"/>
          <w:i/>
          <w:szCs w:val="24"/>
        </w:rPr>
        <w:t>realistic response was seen’</w:t>
      </w:r>
      <w:r w:rsidR="00FA3A8D">
        <w:rPr>
          <w:rFonts w:cs="Arial"/>
          <w:szCs w:val="24"/>
        </w:rPr>
        <w:t xml:space="preserve"> when they were given</w:t>
      </w:r>
      <w:r w:rsidR="00552CA0">
        <w:rPr>
          <w:rFonts w:cs="Arial"/>
          <w:szCs w:val="24"/>
        </w:rPr>
        <w:t>,</w:t>
      </w:r>
      <w:r w:rsidR="00FA3A8D">
        <w:rPr>
          <w:rFonts w:cs="Arial"/>
          <w:szCs w:val="24"/>
        </w:rPr>
        <w:t xml:space="preserve"> from patient </w:t>
      </w:r>
      <w:r w:rsidR="00552CA0">
        <w:rPr>
          <w:rFonts w:cs="Arial"/>
          <w:szCs w:val="24"/>
        </w:rPr>
        <w:t xml:space="preserve">subjective </w:t>
      </w:r>
      <w:r w:rsidR="00FA3A8D">
        <w:rPr>
          <w:rFonts w:cs="Arial"/>
          <w:szCs w:val="24"/>
        </w:rPr>
        <w:t xml:space="preserve">experience as well as from physiology and signs (Pilot </w:t>
      </w:r>
      <w:r w:rsidR="00173DE4">
        <w:rPr>
          <w:rFonts w:cs="Arial"/>
          <w:szCs w:val="24"/>
        </w:rPr>
        <w:t>focus group</w:t>
      </w:r>
      <w:r w:rsidR="00FA3A8D">
        <w:rPr>
          <w:rFonts w:cs="Arial"/>
          <w:szCs w:val="24"/>
        </w:rPr>
        <w:t xml:space="preserve"> 2). </w:t>
      </w:r>
    </w:p>
    <w:p w14:paraId="5E284C46" w14:textId="0ABA7D7B" w:rsidR="007E2CA1" w:rsidRDefault="007E2CA1" w:rsidP="00C030CE">
      <w:pPr>
        <w:rPr>
          <w:rFonts w:cs="Arial"/>
          <w:szCs w:val="24"/>
        </w:rPr>
      </w:pPr>
      <w:r w:rsidRPr="007E2CA1">
        <w:rPr>
          <w:rFonts w:cs="Arial"/>
          <w:szCs w:val="24"/>
        </w:rPr>
        <w:t>All students reported that in their scenario they 'felt like a doctor' looking after a patient and this is important and comes back to responsibility. It was important that faculty were immersed and interruptions were genuine and authentic.</w:t>
      </w:r>
    </w:p>
    <w:p w14:paraId="548B7144" w14:textId="77777777" w:rsidR="00162A24" w:rsidRDefault="00162A24" w:rsidP="00C030CE">
      <w:pPr>
        <w:rPr>
          <w:rFonts w:cs="Arial"/>
          <w:szCs w:val="24"/>
        </w:rPr>
      </w:pPr>
    </w:p>
    <w:p w14:paraId="048521E3" w14:textId="77777777" w:rsidR="00162A24" w:rsidRPr="007E2CA1" w:rsidRDefault="00162A24" w:rsidP="00C030CE">
      <w:pPr>
        <w:rPr>
          <w:rFonts w:cs="Arial"/>
          <w:szCs w:val="24"/>
        </w:rPr>
      </w:pPr>
    </w:p>
    <w:p w14:paraId="15F966EE" w14:textId="4E22EC01" w:rsidR="00C030CE" w:rsidRPr="00C07261" w:rsidRDefault="00C030CE" w:rsidP="00C030CE">
      <w:pPr>
        <w:rPr>
          <w:rFonts w:cs="Arial"/>
          <w:b/>
          <w:i/>
          <w:szCs w:val="24"/>
        </w:rPr>
      </w:pPr>
      <w:r w:rsidRPr="00C07261">
        <w:rPr>
          <w:rFonts w:cs="Arial"/>
          <w:b/>
          <w:i/>
          <w:szCs w:val="24"/>
        </w:rPr>
        <w:t>Working with others</w:t>
      </w:r>
    </w:p>
    <w:p w14:paraId="255EFFF9" w14:textId="373E2089" w:rsidR="00C030CE" w:rsidRDefault="00C030CE" w:rsidP="00C030CE">
      <w:pPr>
        <w:rPr>
          <w:rFonts w:cs="Arial"/>
          <w:szCs w:val="24"/>
        </w:rPr>
      </w:pPr>
      <w:r w:rsidRPr="000F7168">
        <w:rPr>
          <w:rFonts w:cs="Arial"/>
          <w:szCs w:val="24"/>
        </w:rPr>
        <w:t>Student</w:t>
      </w:r>
      <w:r>
        <w:rPr>
          <w:rFonts w:cs="Arial"/>
          <w:szCs w:val="24"/>
        </w:rPr>
        <w:t>s</w:t>
      </w:r>
      <w:r w:rsidRPr="000F7168">
        <w:rPr>
          <w:rFonts w:cs="Arial"/>
          <w:szCs w:val="24"/>
        </w:rPr>
        <w:t xml:space="preserve"> discussed how important it had been for them to work with a nurse in this situation to explore their role and skills and how to work together as a team. </w:t>
      </w:r>
      <w:r w:rsidR="00511ED1" w:rsidRPr="000F7168">
        <w:rPr>
          <w:rFonts w:cs="Arial"/>
          <w:szCs w:val="24"/>
        </w:rPr>
        <w:lastRenderedPageBreak/>
        <w:t xml:space="preserve">Students felt simulation training should include all different disciplines e.g. nurses, medical students, </w:t>
      </w:r>
      <w:r w:rsidR="006E09FB">
        <w:rPr>
          <w:rFonts w:cs="Arial"/>
          <w:szCs w:val="24"/>
        </w:rPr>
        <w:t xml:space="preserve">and </w:t>
      </w:r>
      <w:r w:rsidR="00511ED1" w:rsidRPr="000F7168">
        <w:rPr>
          <w:rFonts w:cs="Arial"/>
          <w:szCs w:val="24"/>
        </w:rPr>
        <w:t>physio</w:t>
      </w:r>
      <w:r w:rsidR="00511ED1">
        <w:rPr>
          <w:rFonts w:cs="Arial"/>
          <w:szCs w:val="24"/>
        </w:rPr>
        <w:t>therapists</w:t>
      </w:r>
      <w:r w:rsidR="00511ED1" w:rsidRPr="000F7168">
        <w:rPr>
          <w:rFonts w:cs="Arial"/>
          <w:szCs w:val="24"/>
        </w:rPr>
        <w:t xml:space="preserve">. </w:t>
      </w:r>
      <w:r w:rsidRPr="000F7168">
        <w:rPr>
          <w:rFonts w:cs="Arial"/>
          <w:szCs w:val="24"/>
        </w:rPr>
        <w:t xml:space="preserve">They felt that this would allow </w:t>
      </w:r>
      <w:r w:rsidR="00122AF0">
        <w:rPr>
          <w:rFonts w:cs="Arial"/>
          <w:szCs w:val="24"/>
        </w:rPr>
        <w:t>‘</w:t>
      </w:r>
      <w:r w:rsidRPr="00122AF0">
        <w:rPr>
          <w:rFonts w:cs="Arial"/>
          <w:i/>
          <w:szCs w:val="24"/>
        </w:rPr>
        <w:t>shared knowledge and an early respect for roles, breaking down barriers and improve awareness</w:t>
      </w:r>
      <w:r w:rsidR="00122AF0">
        <w:rPr>
          <w:rFonts w:cs="Arial"/>
          <w:i/>
          <w:szCs w:val="24"/>
        </w:rPr>
        <w:t>’</w:t>
      </w:r>
      <w:r w:rsidRPr="000F7168">
        <w:rPr>
          <w:rFonts w:cs="Arial"/>
          <w:szCs w:val="24"/>
        </w:rPr>
        <w:t xml:space="preserve"> about other specialities</w:t>
      </w:r>
      <w:r w:rsidR="00122AF0">
        <w:rPr>
          <w:rFonts w:cs="Arial"/>
          <w:szCs w:val="24"/>
        </w:rPr>
        <w:t xml:space="preserve"> (Pilot </w:t>
      </w:r>
      <w:r w:rsidR="00173DE4">
        <w:rPr>
          <w:rFonts w:cs="Arial"/>
          <w:szCs w:val="24"/>
        </w:rPr>
        <w:t>focus group</w:t>
      </w:r>
      <w:r w:rsidR="00122AF0">
        <w:rPr>
          <w:rFonts w:cs="Arial"/>
          <w:szCs w:val="24"/>
        </w:rPr>
        <w:t xml:space="preserve"> 4)</w:t>
      </w:r>
      <w:r w:rsidRPr="000F7168">
        <w:rPr>
          <w:rFonts w:cs="Arial"/>
          <w:szCs w:val="24"/>
        </w:rPr>
        <w:t>.</w:t>
      </w:r>
      <w:r w:rsidR="00122AF0">
        <w:rPr>
          <w:rFonts w:cs="Arial"/>
          <w:szCs w:val="24"/>
        </w:rPr>
        <w:t xml:space="preserve"> Interestingly the nurses that took part also felt the same</w:t>
      </w:r>
      <w:r w:rsidR="006E09FB">
        <w:rPr>
          <w:rFonts w:cs="Arial"/>
          <w:szCs w:val="24"/>
        </w:rPr>
        <w:t>. T</w:t>
      </w:r>
      <w:r w:rsidR="00122AF0">
        <w:rPr>
          <w:rFonts w:cs="Arial"/>
          <w:szCs w:val="24"/>
        </w:rPr>
        <w:t>hey felt they had a ‘</w:t>
      </w:r>
      <w:r w:rsidR="00122AF0" w:rsidRPr="00122AF0">
        <w:rPr>
          <w:rFonts w:cs="Arial"/>
          <w:i/>
          <w:szCs w:val="24"/>
        </w:rPr>
        <w:t>better understanding of the level of knowledge and skill of new doctors’</w:t>
      </w:r>
      <w:r w:rsidR="00122AF0">
        <w:rPr>
          <w:rFonts w:cs="Arial"/>
          <w:szCs w:val="24"/>
        </w:rPr>
        <w:t xml:space="preserve"> and were </w:t>
      </w:r>
      <w:r w:rsidR="00122AF0" w:rsidRPr="00122AF0">
        <w:rPr>
          <w:rFonts w:cs="Arial"/>
          <w:i/>
          <w:szCs w:val="24"/>
        </w:rPr>
        <w:t>‘surprised at the lack of practical knowledge in some areas</w:t>
      </w:r>
      <w:r w:rsidR="00122AF0">
        <w:rPr>
          <w:rFonts w:cs="Arial"/>
          <w:i/>
          <w:szCs w:val="24"/>
        </w:rPr>
        <w:t>’</w:t>
      </w:r>
      <w:r w:rsidR="00122AF0">
        <w:rPr>
          <w:rFonts w:cs="Arial"/>
          <w:szCs w:val="24"/>
        </w:rPr>
        <w:t>. They said they felt ‘</w:t>
      </w:r>
      <w:r w:rsidR="00122AF0" w:rsidRPr="00122AF0">
        <w:rPr>
          <w:rFonts w:cs="Arial"/>
          <w:i/>
          <w:szCs w:val="24"/>
        </w:rPr>
        <w:t>more empowered to speak up to support the juniors in their work’</w:t>
      </w:r>
      <w:r w:rsidR="006E09FB">
        <w:rPr>
          <w:rFonts w:cs="Arial"/>
          <w:i/>
          <w:szCs w:val="24"/>
        </w:rPr>
        <w:t>;</w:t>
      </w:r>
      <w:r w:rsidR="00122AF0" w:rsidRPr="00122AF0">
        <w:rPr>
          <w:rFonts w:cs="Arial"/>
          <w:i/>
          <w:szCs w:val="24"/>
        </w:rPr>
        <w:t xml:space="preserve"> </w:t>
      </w:r>
      <w:r w:rsidR="00122AF0">
        <w:rPr>
          <w:rFonts w:cs="Arial"/>
          <w:szCs w:val="24"/>
        </w:rPr>
        <w:t>which was felt to be key for effective teamwork and patient safety (Pilot study field notes).</w:t>
      </w:r>
    </w:p>
    <w:p w14:paraId="488EB7A4" w14:textId="6572F385" w:rsidR="00C030CE" w:rsidRPr="00C07261" w:rsidRDefault="00C030CE" w:rsidP="00C030CE">
      <w:pPr>
        <w:rPr>
          <w:rFonts w:cs="Arial"/>
          <w:b/>
          <w:i/>
          <w:szCs w:val="24"/>
        </w:rPr>
      </w:pPr>
      <w:r w:rsidRPr="00C07261">
        <w:rPr>
          <w:rFonts w:cs="Arial"/>
          <w:b/>
          <w:i/>
          <w:szCs w:val="24"/>
        </w:rPr>
        <w:t xml:space="preserve">Peer </w:t>
      </w:r>
      <w:r w:rsidR="000D5D0F" w:rsidRPr="00C07261">
        <w:rPr>
          <w:rFonts w:cs="Arial"/>
          <w:b/>
          <w:i/>
          <w:szCs w:val="24"/>
        </w:rPr>
        <w:t>learning and f</w:t>
      </w:r>
      <w:r w:rsidRPr="00C07261">
        <w:rPr>
          <w:rFonts w:cs="Arial"/>
          <w:b/>
          <w:i/>
          <w:szCs w:val="24"/>
        </w:rPr>
        <w:t>eedback</w:t>
      </w:r>
    </w:p>
    <w:p w14:paraId="2627F3A9" w14:textId="341D34E1" w:rsidR="00C030CE" w:rsidRPr="000F7168" w:rsidRDefault="00C030CE" w:rsidP="00C030CE">
      <w:pPr>
        <w:rPr>
          <w:rFonts w:cs="Arial"/>
          <w:szCs w:val="24"/>
        </w:rPr>
      </w:pPr>
      <w:r w:rsidRPr="000F7168">
        <w:rPr>
          <w:rFonts w:cs="Arial"/>
          <w:szCs w:val="24"/>
        </w:rPr>
        <w:t>All studen</w:t>
      </w:r>
      <w:r>
        <w:rPr>
          <w:rFonts w:cs="Arial"/>
          <w:szCs w:val="24"/>
        </w:rPr>
        <w:t>ts felt peer feedback was</w:t>
      </w:r>
      <w:r w:rsidRPr="000F7168">
        <w:rPr>
          <w:rFonts w:cs="Arial"/>
          <w:szCs w:val="24"/>
        </w:rPr>
        <w:t xml:space="preserve"> valuable. </w:t>
      </w:r>
      <w:r w:rsidR="000D5D0F">
        <w:rPr>
          <w:rFonts w:cs="Arial"/>
          <w:szCs w:val="24"/>
        </w:rPr>
        <w:t xml:space="preserve">Some </w:t>
      </w:r>
      <w:r w:rsidRPr="000F7168">
        <w:rPr>
          <w:rFonts w:cs="Arial"/>
          <w:szCs w:val="24"/>
        </w:rPr>
        <w:t xml:space="preserve">felt they preferred to have the other students sat in the same room </w:t>
      </w:r>
      <w:r w:rsidR="000D5D0F">
        <w:rPr>
          <w:rFonts w:cs="Arial"/>
          <w:szCs w:val="24"/>
        </w:rPr>
        <w:t>but most</w:t>
      </w:r>
      <w:r w:rsidRPr="000F7168">
        <w:rPr>
          <w:rFonts w:cs="Arial"/>
          <w:szCs w:val="24"/>
        </w:rPr>
        <w:t xml:space="preserve"> felt they would have preferred people to be in a different room. Those that preferred the same room felt their peers were being supportive in their presence. One worried that if in another room they may be discussing their management behind their back.</w:t>
      </w:r>
      <w:r w:rsidRPr="008207C6">
        <w:rPr>
          <w:rFonts w:cs="Arial"/>
          <w:szCs w:val="24"/>
        </w:rPr>
        <w:t xml:space="preserve"> </w:t>
      </w:r>
      <w:r w:rsidRPr="000F7168">
        <w:rPr>
          <w:rFonts w:cs="Arial"/>
          <w:szCs w:val="24"/>
        </w:rPr>
        <w:t xml:space="preserve">One student felt it would have been better to have </w:t>
      </w:r>
      <w:r w:rsidR="00A6114C">
        <w:rPr>
          <w:rFonts w:cs="Arial"/>
          <w:szCs w:val="24"/>
        </w:rPr>
        <w:t>‘</w:t>
      </w:r>
      <w:r w:rsidRPr="00A6114C">
        <w:rPr>
          <w:rFonts w:cs="Arial"/>
          <w:i/>
          <w:szCs w:val="24"/>
        </w:rPr>
        <w:t>a dedicated longer amount of time for the students to deliver their feedback to each other</w:t>
      </w:r>
      <w:r w:rsidR="00A6114C">
        <w:rPr>
          <w:rFonts w:cs="Arial"/>
          <w:i/>
          <w:szCs w:val="24"/>
        </w:rPr>
        <w:t xml:space="preserve">’ </w:t>
      </w:r>
      <w:r w:rsidR="00A6114C">
        <w:rPr>
          <w:rFonts w:cs="Arial"/>
          <w:szCs w:val="24"/>
        </w:rPr>
        <w:t xml:space="preserve">(Pilot </w:t>
      </w:r>
      <w:r w:rsidR="00173DE4">
        <w:rPr>
          <w:rFonts w:cs="Arial"/>
          <w:szCs w:val="24"/>
        </w:rPr>
        <w:t>focus group</w:t>
      </w:r>
      <w:r w:rsidR="00A6114C">
        <w:rPr>
          <w:rFonts w:cs="Arial"/>
          <w:szCs w:val="24"/>
        </w:rPr>
        <w:t xml:space="preserve"> 3)</w:t>
      </w:r>
      <w:r w:rsidRPr="000F7168">
        <w:rPr>
          <w:rFonts w:cs="Arial"/>
          <w:szCs w:val="24"/>
        </w:rPr>
        <w:t xml:space="preserve">. They felt that it would be valuable and important to share their positive feedback in more detail with each other. </w:t>
      </w:r>
      <w:r w:rsidR="00A6114C">
        <w:rPr>
          <w:rFonts w:cs="Arial"/>
          <w:szCs w:val="24"/>
        </w:rPr>
        <w:t>From field notes made from observations however one episode of negative and inaccurate feedback fr</w:t>
      </w:r>
      <w:r w:rsidR="00516284">
        <w:rPr>
          <w:rFonts w:cs="Arial"/>
          <w:szCs w:val="24"/>
        </w:rPr>
        <w:t>o</w:t>
      </w:r>
      <w:r w:rsidR="00A6114C">
        <w:rPr>
          <w:rFonts w:cs="Arial"/>
          <w:szCs w:val="24"/>
        </w:rPr>
        <w:t>m a dominant student took a long time to explore and manage</w:t>
      </w:r>
      <w:r w:rsidR="006E09FB">
        <w:rPr>
          <w:rFonts w:cs="Arial"/>
          <w:szCs w:val="24"/>
        </w:rPr>
        <w:t>.</w:t>
      </w:r>
      <w:r w:rsidR="00A6114C">
        <w:rPr>
          <w:rFonts w:cs="Arial"/>
          <w:szCs w:val="24"/>
        </w:rPr>
        <w:t xml:space="preserve"> </w:t>
      </w:r>
      <w:r w:rsidR="006E09FB">
        <w:rPr>
          <w:rFonts w:cs="Arial"/>
          <w:szCs w:val="24"/>
        </w:rPr>
        <w:t>F</w:t>
      </w:r>
      <w:r w:rsidR="00A6114C">
        <w:rPr>
          <w:rFonts w:cs="Arial"/>
          <w:szCs w:val="24"/>
        </w:rPr>
        <w:t xml:space="preserve">ocus was on correcting their understanding and not on the </w:t>
      </w:r>
      <w:r w:rsidR="006E09FB">
        <w:rPr>
          <w:rFonts w:cs="Arial"/>
          <w:szCs w:val="24"/>
        </w:rPr>
        <w:t>c</w:t>
      </w:r>
      <w:r w:rsidR="005F705F">
        <w:rPr>
          <w:rFonts w:cs="Arial"/>
          <w:szCs w:val="24"/>
        </w:rPr>
        <w:t>andidate</w:t>
      </w:r>
      <w:r w:rsidR="00A6114C">
        <w:rPr>
          <w:rFonts w:cs="Arial"/>
          <w:szCs w:val="24"/>
        </w:rPr>
        <w:t xml:space="preserve">, which wasted valuable time for the student in the scenario. This was felt to be unconstructive so peer feedback focused on </w:t>
      </w:r>
      <w:r w:rsidR="00A6114C">
        <w:rPr>
          <w:rFonts w:cs="Arial"/>
          <w:szCs w:val="24"/>
        </w:rPr>
        <w:lastRenderedPageBreak/>
        <w:t>positive aspects and the debriefing was left to the faculty members (Field notes Pilot study).</w:t>
      </w:r>
    </w:p>
    <w:p w14:paraId="65BB4F24" w14:textId="72A44CF9" w:rsidR="00C030CE" w:rsidRPr="00C07261" w:rsidRDefault="00C030CE" w:rsidP="00C030CE">
      <w:pPr>
        <w:rPr>
          <w:rFonts w:cs="Arial"/>
          <w:b/>
          <w:i/>
          <w:szCs w:val="24"/>
        </w:rPr>
      </w:pPr>
      <w:r w:rsidRPr="00C07261">
        <w:rPr>
          <w:rFonts w:cs="Arial"/>
          <w:b/>
          <w:i/>
          <w:szCs w:val="24"/>
        </w:rPr>
        <w:t>Human Factors Training</w:t>
      </w:r>
    </w:p>
    <w:p w14:paraId="5DD8137C" w14:textId="3E8289A0" w:rsidR="00C030CE" w:rsidRPr="000F7168" w:rsidRDefault="00C030CE" w:rsidP="00C030CE">
      <w:pPr>
        <w:rPr>
          <w:rFonts w:cs="Arial"/>
          <w:szCs w:val="24"/>
        </w:rPr>
      </w:pPr>
      <w:r w:rsidRPr="000F7168">
        <w:rPr>
          <w:rFonts w:cs="Arial"/>
          <w:szCs w:val="24"/>
        </w:rPr>
        <w:t>They felt the human factors training</w:t>
      </w:r>
      <w:r>
        <w:rPr>
          <w:rFonts w:cs="Arial"/>
          <w:szCs w:val="24"/>
        </w:rPr>
        <w:t>,</w:t>
      </w:r>
      <w:r w:rsidRPr="000F7168">
        <w:rPr>
          <w:rFonts w:cs="Arial"/>
          <w:szCs w:val="24"/>
        </w:rPr>
        <w:t xml:space="preserve"> with interruptions and</w:t>
      </w:r>
      <w:r>
        <w:rPr>
          <w:rFonts w:cs="Arial"/>
          <w:szCs w:val="24"/>
        </w:rPr>
        <w:t xml:space="preserve"> difficult situations was very</w:t>
      </w:r>
      <w:r w:rsidRPr="000F7168">
        <w:rPr>
          <w:rFonts w:cs="Arial"/>
          <w:szCs w:val="24"/>
        </w:rPr>
        <w:t xml:space="preserve"> useful to practice how to </w:t>
      </w:r>
      <w:r w:rsidR="00122AF0" w:rsidRPr="00122AF0">
        <w:rPr>
          <w:rFonts w:cs="Arial"/>
          <w:i/>
          <w:szCs w:val="24"/>
        </w:rPr>
        <w:t>‘</w:t>
      </w:r>
      <w:r w:rsidRPr="00122AF0">
        <w:rPr>
          <w:rFonts w:cs="Arial"/>
          <w:i/>
          <w:szCs w:val="24"/>
        </w:rPr>
        <w:t>manage themselves under pressure</w:t>
      </w:r>
      <w:r w:rsidR="00122AF0" w:rsidRPr="00122AF0">
        <w:rPr>
          <w:rFonts w:cs="Arial"/>
          <w:i/>
          <w:szCs w:val="24"/>
        </w:rPr>
        <w:t>’</w:t>
      </w:r>
      <w:r w:rsidR="00122AF0">
        <w:rPr>
          <w:rFonts w:cs="Arial"/>
          <w:i/>
          <w:szCs w:val="24"/>
        </w:rPr>
        <w:t xml:space="preserve"> </w:t>
      </w:r>
      <w:r w:rsidR="00122AF0" w:rsidRPr="00122AF0">
        <w:rPr>
          <w:rFonts w:cs="Arial"/>
          <w:szCs w:val="24"/>
        </w:rPr>
        <w:t xml:space="preserve">(Pilot </w:t>
      </w:r>
      <w:r w:rsidR="00173DE4">
        <w:rPr>
          <w:rFonts w:cs="Arial"/>
          <w:szCs w:val="24"/>
        </w:rPr>
        <w:t>focus group</w:t>
      </w:r>
      <w:r w:rsidR="00122AF0" w:rsidRPr="00122AF0">
        <w:rPr>
          <w:rFonts w:cs="Arial"/>
          <w:szCs w:val="24"/>
        </w:rPr>
        <w:t xml:space="preserve"> 2)</w:t>
      </w:r>
      <w:r w:rsidRPr="00122AF0">
        <w:rPr>
          <w:rFonts w:cs="Arial"/>
          <w:szCs w:val="24"/>
        </w:rPr>
        <w:t>.</w:t>
      </w:r>
      <w:r w:rsidRPr="000F7168">
        <w:rPr>
          <w:rFonts w:cs="Arial"/>
          <w:szCs w:val="24"/>
        </w:rPr>
        <w:t xml:space="preserve"> </w:t>
      </w:r>
      <w:r w:rsidR="00122AF0">
        <w:rPr>
          <w:rFonts w:cs="Arial"/>
          <w:szCs w:val="24"/>
        </w:rPr>
        <w:t xml:space="preserve">Some students said </w:t>
      </w:r>
      <w:r w:rsidR="00122AF0" w:rsidRPr="000F268C">
        <w:rPr>
          <w:rFonts w:cs="Arial"/>
          <w:i/>
          <w:szCs w:val="24"/>
        </w:rPr>
        <w:t>‘I have learnt a lot about myself’</w:t>
      </w:r>
      <w:r w:rsidR="00122AF0">
        <w:rPr>
          <w:rFonts w:cs="Arial"/>
          <w:szCs w:val="24"/>
        </w:rPr>
        <w:t xml:space="preserve"> </w:t>
      </w:r>
      <w:r w:rsidR="000F268C">
        <w:rPr>
          <w:rFonts w:cs="Arial"/>
          <w:szCs w:val="24"/>
        </w:rPr>
        <w:t xml:space="preserve">(Pilot </w:t>
      </w:r>
      <w:r w:rsidR="00173DE4">
        <w:rPr>
          <w:rFonts w:cs="Arial"/>
          <w:szCs w:val="24"/>
        </w:rPr>
        <w:t>focus group</w:t>
      </w:r>
      <w:r w:rsidR="000F268C">
        <w:rPr>
          <w:rFonts w:cs="Arial"/>
          <w:szCs w:val="24"/>
        </w:rPr>
        <w:t xml:space="preserve"> 2) </w:t>
      </w:r>
      <w:r w:rsidR="00122AF0">
        <w:rPr>
          <w:rFonts w:cs="Arial"/>
          <w:szCs w:val="24"/>
        </w:rPr>
        <w:t>when watching back scenarios and with the debriefing</w:t>
      </w:r>
      <w:r w:rsidR="006E09FB">
        <w:rPr>
          <w:rFonts w:cs="Arial"/>
          <w:szCs w:val="24"/>
        </w:rPr>
        <w:t>. They picked up on surprising</w:t>
      </w:r>
      <w:r w:rsidR="00122AF0">
        <w:rPr>
          <w:rFonts w:cs="Arial"/>
          <w:szCs w:val="24"/>
        </w:rPr>
        <w:t xml:space="preserve"> comments they </w:t>
      </w:r>
      <w:r w:rsidR="006E09FB">
        <w:rPr>
          <w:rFonts w:cs="Arial"/>
          <w:szCs w:val="24"/>
        </w:rPr>
        <w:t xml:space="preserve">had </w:t>
      </w:r>
      <w:r w:rsidR="00122AF0">
        <w:rPr>
          <w:rFonts w:cs="Arial"/>
          <w:szCs w:val="24"/>
        </w:rPr>
        <w:t xml:space="preserve">made such as </w:t>
      </w:r>
      <w:r w:rsidR="00122AF0" w:rsidRPr="000F268C">
        <w:rPr>
          <w:rFonts w:cs="Arial"/>
          <w:i/>
          <w:szCs w:val="24"/>
        </w:rPr>
        <w:t>’oh good’</w:t>
      </w:r>
      <w:r w:rsidR="00122AF0">
        <w:rPr>
          <w:rFonts w:cs="Arial"/>
          <w:szCs w:val="24"/>
        </w:rPr>
        <w:t xml:space="preserve"> after patient said they were in pain</w:t>
      </w:r>
      <w:r w:rsidR="000F268C">
        <w:rPr>
          <w:rFonts w:cs="Arial"/>
          <w:szCs w:val="24"/>
        </w:rPr>
        <w:t xml:space="preserve"> (Pilot field note 2)</w:t>
      </w:r>
      <w:r w:rsidR="00122AF0">
        <w:rPr>
          <w:rFonts w:cs="Arial"/>
          <w:szCs w:val="24"/>
        </w:rPr>
        <w:t xml:space="preserve">. They felt </w:t>
      </w:r>
      <w:r w:rsidR="00122AF0" w:rsidRPr="000F268C">
        <w:rPr>
          <w:rFonts w:cs="Arial"/>
          <w:i/>
          <w:szCs w:val="24"/>
        </w:rPr>
        <w:t>‘awful</w:t>
      </w:r>
      <w:r w:rsidR="00122AF0">
        <w:rPr>
          <w:rFonts w:cs="Arial"/>
          <w:szCs w:val="24"/>
        </w:rPr>
        <w:t xml:space="preserve">’ when they realised what they had been saying and having time to reflect </w:t>
      </w:r>
      <w:r w:rsidR="006E09FB">
        <w:rPr>
          <w:rFonts w:cs="Arial"/>
          <w:szCs w:val="24"/>
        </w:rPr>
        <w:t xml:space="preserve">on this </w:t>
      </w:r>
      <w:r w:rsidR="00122AF0">
        <w:rPr>
          <w:rFonts w:cs="Arial"/>
          <w:szCs w:val="24"/>
        </w:rPr>
        <w:t>after the scenario</w:t>
      </w:r>
      <w:r w:rsidR="005834CF">
        <w:rPr>
          <w:rFonts w:cs="Arial"/>
          <w:szCs w:val="24"/>
        </w:rPr>
        <w:t xml:space="preserve"> was felt to encourage this level of thought and understanding</w:t>
      </w:r>
      <w:r w:rsidR="00122AF0">
        <w:rPr>
          <w:rFonts w:cs="Arial"/>
          <w:szCs w:val="24"/>
        </w:rPr>
        <w:t>. Field notes made reflected this unique level of potential behavioural change amongst</w:t>
      </w:r>
      <w:r w:rsidR="005834CF">
        <w:rPr>
          <w:rFonts w:cs="Arial"/>
          <w:szCs w:val="24"/>
        </w:rPr>
        <w:t xml:space="preserve"> individuals that had only be</w:t>
      </w:r>
      <w:r w:rsidR="000D5D0F">
        <w:rPr>
          <w:rFonts w:cs="Arial"/>
          <w:szCs w:val="24"/>
        </w:rPr>
        <w:t>en</w:t>
      </w:r>
      <w:r w:rsidR="005834CF">
        <w:rPr>
          <w:rFonts w:cs="Arial"/>
          <w:szCs w:val="24"/>
        </w:rPr>
        <w:t xml:space="preserve"> </w:t>
      </w:r>
      <w:r w:rsidR="00122AF0">
        <w:rPr>
          <w:rFonts w:cs="Arial"/>
          <w:szCs w:val="24"/>
        </w:rPr>
        <w:t xml:space="preserve">brought out when challenged and in a stressful situation and when given time to reflect in an open environment (Pilot study field notes). </w:t>
      </w:r>
    </w:p>
    <w:p w14:paraId="45705C1B" w14:textId="46E9E436" w:rsidR="00C030CE" w:rsidRPr="00C07261" w:rsidRDefault="00C030CE" w:rsidP="00C030CE">
      <w:pPr>
        <w:rPr>
          <w:rFonts w:cs="Arial"/>
          <w:b/>
          <w:i/>
          <w:szCs w:val="24"/>
        </w:rPr>
      </w:pPr>
      <w:r w:rsidRPr="00C07261">
        <w:rPr>
          <w:rFonts w:cs="Arial"/>
          <w:b/>
          <w:i/>
          <w:szCs w:val="24"/>
        </w:rPr>
        <w:t>Use of Video</w:t>
      </w:r>
    </w:p>
    <w:p w14:paraId="0688D362" w14:textId="3071F65B" w:rsidR="00B02D48" w:rsidRDefault="00C030CE" w:rsidP="00C030CE">
      <w:pPr>
        <w:rPr>
          <w:rFonts w:cs="Arial"/>
          <w:szCs w:val="24"/>
        </w:rPr>
      </w:pPr>
      <w:r w:rsidRPr="000F7168">
        <w:rPr>
          <w:rFonts w:cs="Arial"/>
          <w:szCs w:val="24"/>
        </w:rPr>
        <w:t xml:space="preserve">Some students felt that video review of their performance would be very beneficial to </w:t>
      </w:r>
      <w:r w:rsidR="006E09FB">
        <w:rPr>
          <w:rFonts w:cs="Arial"/>
          <w:szCs w:val="24"/>
        </w:rPr>
        <w:t xml:space="preserve">enable them </w:t>
      </w:r>
      <w:r w:rsidRPr="000F7168">
        <w:rPr>
          <w:rFonts w:cs="Arial"/>
          <w:szCs w:val="24"/>
        </w:rPr>
        <w:t>to reflect on their own performanc</w:t>
      </w:r>
      <w:r>
        <w:rPr>
          <w:rFonts w:cs="Arial"/>
          <w:szCs w:val="24"/>
        </w:rPr>
        <w:t>e. Though this can be a useful adjunct to delivering feedback supplying a particular specific example of a learning outcome</w:t>
      </w:r>
      <w:r w:rsidR="006E09FB">
        <w:rPr>
          <w:rFonts w:cs="Arial"/>
          <w:szCs w:val="24"/>
        </w:rPr>
        <w:t>,</w:t>
      </w:r>
      <w:r>
        <w:rPr>
          <w:rFonts w:cs="Arial"/>
          <w:szCs w:val="24"/>
        </w:rPr>
        <w:t xml:space="preserve"> it is time consuming and there is no current evidence that this is superior to debriefing without video using notes</w:t>
      </w:r>
      <w:r w:rsidRPr="000F7168">
        <w:rPr>
          <w:rFonts w:cs="Arial"/>
          <w:szCs w:val="24"/>
        </w:rPr>
        <w:t xml:space="preserve">. </w:t>
      </w:r>
      <w:r w:rsidR="005834CF">
        <w:rPr>
          <w:rFonts w:cs="Arial"/>
          <w:szCs w:val="24"/>
        </w:rPr>
        <w:t xml:space="preserve">Interestingly when the groups were put in different rooms and </w:t>
      </w:r>
      <w:r w:rsidR="006E09FB">
        <w:rPr>
          <w:rFonts w:cs="Arial"/>
          <w:szCs w:val="24"/>
        </w:rPr>
        <w:t xml:space="preserve">a </w:t>
      </w:r>
      <w:r w:rsidR="005834CF">
        <w:rPr>
          <w:rFonts w:cs="Arial"/>
          <w:szCs w:val="24"/>
        </w:rPr>
        <w:t>video link was used</w:t>
      </w:r>
      <w:r w:rsidR="006E09FB">
        <w:rPr>
          <w:rFonts w:cs="Arial"/>
          <w:szCs w:val="24"/>
        </w:rPr>
        <w:t>,</w:t>
      </w:r>
      <w:r w:rsidR="005834CF">
        <w:rPr>
          <w:rFonts w:cs="Arial"/>
          <w:szCs w:val="24"/>
        </w:rPr>
        <w:t xml:space="preserve"> they reported </w:t>
      </w:r>
      <w:r w:rsidR="006E09FB">
        <w:rPr>
          <w:rFonts w:cs="Arial"/>
          <w:szCs w:val="24"/>
        </w:rPr>
        <w:t xml:space="preserve">that </w:t>
      </w:r>
      <w:r w:rsidR="005834CF">
        <w:rPr>
          <w:rFonts w:cs="Arial"/>
          <w:szCs w:val="24"/>
        </w:rPr>
        <w:t>they preferred this as there was ‘</w:t>
      </w:r>
      <w:r w:rsidR="005834CF" w:rsidRPr="005834CF">
        <w:rPr>
          <w:rFonts w:cs="Arial"/>
          <w:i/>
          <w:szCs w:val="24"/>
        </w:rPr>
        <w:t>no potential distraction fr</w:t>
      </w:r>
      <w:r w:rsidR="000D5D0F">
        <w:rPr>
          <w:rFonts w:cs="Arial"/>
          <w:i/>
          <w:szCs w:val="24"/>
        </w:rPr>
        <w:t>o</w:t>
      </w:r>
      <w:r w:rsidR="005834CF" w:rsidRPr="005834CF">
        <w:rPr>
          <w:rFonts w:cs="Arial"/>
          <w:i/>
          <w:szCs w:val="24"/>
        </w:rPr>
        <w:t>m peers’</w:t>
      </w:r>
      <w:r w:rsidR="008A6A01">
        <w:rPr>
          <w:rFonts w:cs="Arial"/>
          <w:i/>
          <w:szCs w:val="24"/>
        </w:rPr>
        <w:t>,</w:t>
      </w:r>
      <w:r w:rsidR="005834CF">
        <w:rPr>
          <w:rFonts w:cs="Arial"/>
          <w:szCs w:val="24"/>
        </w:rPr>
        <w:t xml:space="preserve"> and they ‘</w:t>
      </w:r>
      <w:r w:rsidR="005834CF" w:rsidRPr="005834CF">
        <w:rPr>
          <w:rFonts w:cs="Arial"/>
          <w:i/>
          <w:szCs w:val="24"/>
        </w:rPr>
        <w:t>built more confidence’</w:t>
      </w:r>
      <w:r w:rsidR="005834CF">
        <w:rPr>
          <w:rFonts w:cs="Arial"/>
          <w:szCs w:val="24"/>
        </w:rPr>
        <w:t xml:space="preserve"> as </w:t>
      </w:r>
      <w:r w:rsidR="008A6A01">
        <w:rPr>
          <w:rFonts w:cs="Arial"/>
          <w:szCs w:val="24"/>
        </w:rPr>
        <w:t xml:space="preserve">they </w:t>
      </w:r>
      <w:r w:rsidR="005834CF">
        <w:rPr>
          <w:rFonts w:cs="Arial"/>
          <w:szCs w:val="24"/>
        </w:rPr>
        <w:t xml:space="preserve">felt they had been able to </w:t>
      </w:r>
      <w:r w:rsidR="005834CF" w:rsidRPr="005834CF">
        <w:rPr>
          <w:rFonts w:cs="Arial"/>
          <w:i/>
          <w:szCs w:val="24"/>
        </w:rPr>
        <w:lastRenderedPageBreak/>
        <w:t xml:space="preserve">‘get though the scenario and manage the patient independently initially which was what they would be required to do’ </w:t>
      </w:r>
      <w:r w:rsidR="005834CF">
        <w:rPr>
          <w:rFonts w:cs="Arial"/>
          <w:szCs w:val="24"/>
        </w:rPr>
        <w:t xml:space="preserve">(Pilot </w:t>
      </w:r>
      <w:r w:rsidR="00173DE4">
        <w:rPr>
          <w:rFonts w:cs="Arial"/>
          <w:szCs w:val="24"/>
        </w:rPr>
        <w:t>focus group</w:t>
      </w:r>
      <w:r w:rsidR="005834CF">
        <w:rPr>
          <w:rFonts w:cs="Arial"/>
          <w:szCs w:val="24"/>
        </w:rPr>
        <w:t xml:space="preserve"> 4). These coping skills </w:t>
      </w:r>
      <w:r w:rsidR="008A6A01">
        <w:rPr>
          <w:rFonts w:cs="Arial"/>
          <w:szCs w:val="24"/>
        </w:rPr>
        <w:t>were</w:t>
      </w:r>
      <w:r w:rsidR="005834CF">
        <w:rPr>
          <w:rFonts w:cs="Arial"/>
          <w:szCs w:val="24"/>
        </w:rPr>
        <w:t xml:space="preserve"> reported </w:t>
      </w:r>
      <w:r w:rsidR="008A6A01">
        <w:rPr>
          <w:rFonts w:cs="Arial"/>
          <w:szCs w:val="24"/>
        </w:rPr>
        <w:t xml:space="preserve">by some </w:t>
      </w:r>
      <w:r w:rsidR="005834CF">
        <w:rPr>
          <w:rFonts w:cs="Arial"/>
          <w:szCs w:val="24"/>
        </w:rPr>
        <w:t>as being vital to ‘</w:t>
      </w:r>
      <w:r w:rsidR="005834CF" w:rsidRPr="005834CF">
        <w:rPr>
          <w:rFonts w:cs="Arial"/>
          <w:i/>
          <w:szCs w:val="24"/>
        </w:rPr>
        <w:t>prepare for FY1’</w:t>
      </w:r>
      <w:r w:rsidR="008A6A01">
        <w:rPr>
          <w:rFonts w:cs="Arial"/>
          <w:i/>
          <w:szCs w:val="24"/>
        </w:rPr>
        <w:t>,</w:t>
      </w:r>
      <w:r w:rsidR="005834CF">
        <w:rPr>
          <w:rFonts w:cs="Arial"/>
          <w:szCs w:val="24"/>
        </w:rPr>
        <w:t xml:space="preserve"> and made them </w:t>
      </w:r>
      <w:r w:rsidR="005834CF" w:rsidRPr="005834CF">
        <w:rPr>
          <w:rFonts w:cs="Arial"/>
          <w:i/>
          <w:szCs w:val="24"/>
        </w:rPr>
        <w:t>‘feel more confident and able to pe</w:t>
      </w:r>
      <w:r w:rsidR="000D5D0F">
        <w:rPr>
          <w:rFonts w:cs="Arial"/>
          <w:i/>
          <w:szCs w:val="24"/>
        </w:rPr>
        <w:t>r</w:t>
      </w:r>
      <w:r w:rsidR="005834CF" w:rsidRPr="005834CF">
        <w:rPr>
          <w:rFonts w:cs="Arial"/>
          <w:i/>
          <w:szCs w:val="24"/>
        </w:rPr>
        <w:t>form’</w:t>
      </w:r>
      <w:r w:rsidR="005834CF">
        <w:rPr>
          <w:rFonts w:cs="Arial"/>
          <w:szCs w:val="24"/>
        </w:rPr>
        <w:t xml:space="preserve"> (Pilot </w:t>
      </w:r>
      <w:r w:rsidR="00173DE4">
        <w:rPr>
          <w:rFonts w:cs="Arial"/>
          <w:szCs w:val="24"/>
        </w:rPr>
        <w:t>focus group</w:t>
      </w:r>
      <w:r w:rsidR="005834CF">
        <w:rPr>
          <w:rFonts w:cs="Arial"/>
          <w:szCs w:val="24"/>
        </w:rPr>
        <w:t xml:space="preserve"> 4). </w:t>
      </w:r>
    </w:p>
    <w:p w14:paraId="12DB6B98" w14:textId="15E4D33F" w:rsidR="007E2CA1" w:rsidRPr="00C07261" w:rsidRDefault="000D5D0F" w:rsidP="00C030CE">
      <w:pPr>
        <w:rPr>
          <w:rFonts w:cs="Arial"/>
          <w:b/>
          <w:i/>
          <w:szCs w:val="24"/>
        </w:rPr>
      </w:pPr>
      <w:r w:rsidRPr="00C07261">
        <w:rPr>
          <w:rFonts w:cs="Arial"/>
          <w:b/>
          <w:i/>
          <w:szCs w:val="24"/>
        </w:rPr>
        <w:t xml:space="preserve"> </w:t>
      </w:r>
      <w:r w:rsidR="007E2CA1" w:rsidRPr="00C07261">
        <w:rPr>
          <w:rFonts w:cs="Arial"/>
          <w:b/>
          <w:i/>
          <w:szCs w:val="24"/>
        </w:rPr>
        <w:t>Expectations and Escalation</w:t>
      </w:r>
    </w:p>
    <w:p w14:paraId="152DA339" w14:textId="47C7EC1D" w:rsidR="007E2CA1" w:rsidRDefault="007E2CA1" w:rsidP="007E2CA1">
      <w:pPr>
        <w:widowControl w:val="0"/>
        <w:autoSpaceDE w:val="0"/>
        <w:autoSpaceDN w:val="0"/>
        <w:adjustRightInd w:val="0"/>
        <w:spacing w:after="266"/>
        <w:rPr>
          <w:rFonts w:cs="Arial"/>
          <w:szCs w:val="24"/>
        </w:rPr>
      </w:pPr>
      <w:r w:rsidRPr="007E2CA1">
        <w:rPr>
          <w:rFonts w:cs="Arial"/>
          <w:szCs w:val="24"/>
        </w:rPr>
        <w:t xml:space="preserve">There was a feeling that because they had passed </w:t>
      </w:r>
      <w:r w:rsidR="008A6A01">
        <w:rPr>
          <w:rFonts w:cs="Arial"/>
          <w:szCs w:val="24"/>
        </w:rPr>
        <w:t>F</w:t>
      </w:r>
      <w:r w:rsidRPr="007E2CA1">
        <w:rPr>
          <w:rFonts w:cs="Arial"/>
          <w:szCs w:val="24"/>
        </w:rPr>
        <w:t>inals</w:t>
      </w:r>
      <w:r w:rsidR="008A6A01">
        <w:rPr>
          <w:rFonts w:cs="Arial"/>
          <w:szCs w:val="24"/>
        </w:rPr>
        <w:t>,</w:t>
      </w:r>
      <w:r w:rsidRPr="007E2CA1">
        <w:rPr>
          <w:rFonts w:cs="Arial"/>
          <w:szCs w:val="24"/>
        </w:rPr>
        <w:t xml:space="preserve"> they should be able to </w:t>
      </w:r>
      <w:r>
        <w:rPr>
          <w:rFonts w:cs="Arial"/>
          <w:szCs w:val="24"/>
        </w:rPr>
        <w:t>‘</w:t>
      </w:r>
      <w:r w:rsidRPr="007E2CA1">
        <w:rPr>
          <w:rFonts w:cs="Arial"/>
          <w:i/>
          <w:szCs w:val="24"/>
        </w:rPr>
        <w:t>manage every patient on their own and know what to do independently</w:t>
      </w:r>
      <w:r>
        <w:rPr>
          <w:rFonts w:cs="Arial"/>
          <w:i/>
          <w:szCs w:val="24"/>
        </w:rPr>
        <w:t xml:space="preserve">’ </w:t>
      </w:r>
      <w:r w:rsidR="000F268C">
        <w:rPr>
          <w:rFonts w:cs="Arial"/>
          <w:szCs w:val="24"/>
        </w:rPr>
        <w:t xml:space="preserve">(Pilot </w:t>
      </w:r>
      <w:r w:rsidR="00173DE4">
        <w:rPr>
          <w:rFonts w:cs="Arial"/>
          <w:szCs w:val="24"/>
        </w:rPr>
        <w:t>focus group</w:t>
      </w:r>
      <w:r w:rsidR="008A6A01">
        <w:rPr>
          <w:rFonts w:cs="Arial"/>
          <w:szCs w:val="24"/>
        </w:rPr>
        <w:t>s</w:t>
      </w:r>
      <w:r>
        <w:rPr>
          <w:rFonts w:cs="Arial"/>
          <w:szCs w:val="24"/>
        </w:rPr>
        <w:t xml:space="preserve"> 2,4)</w:t>
      </w:r>
      <w:r w:rsidRPr="007E2CA1">
        <w:rPr>
          <w:rFonts w:cs="Arial"/>
          <w:szCs w:val="24"/>
        </w:rPr>
        <w:t xml:space="preserve">. There were mixed views in terms of knowing what was expected of them as </w:t>
      </w:r>
      <w:r w:rsidR="00BC4377">
        <w:rPr>
          <w:rFonts w:cs="Arial"/>
          <w:szCs w:val="24"/>
        </w:rPr>
        <w:t>a FY1</w:t>
      </w:r>
      <w:r w:rsidRPr="007E2CA1">
        <w:rPr>
          <w:rFonts w:cs="Arial"/>
          <w:szCs w:val="24"/>
        </w:rPr>
        <w:t xml:space="preserve">, in particular knowing when to call for help. There were recurrent feelings of </w:t>
      </w:r>
      <w:r>
        <w:rPr>
          <w:rFonts w:cs="Arial"/>
          <w:szCs w:val="24"/>
        </w:rPr>
        <w:t>‘</w:t>
      </w:r>
      <w:r w:rsidRPr="007E2CA1">
        <w:rPr>
          <w:rFonts w:cs="Arial"/>
          <w:i/>
          <w:szCs w:val="24"/>
        </w:rPr>
        <w:t>fear of not knowing what to do</w:t>
      </w:r>
      <w:r>
        <w:rPr>
          <w:rFonts w:cs="Arial"/>
          <w:i/>
          <w:szCs w:val="24"/>
        </w:rPr>
        <w:t>’</w:t>
      </w:r>
      <w:r w:rsidR="000F268C">
        <w:rPr>
          <w:rFonts w:cs="Arial"/>
          <w:szCs w:val="24"/>
        </w:rPr>
        <w:t xml:space="preserve"> (Pilot </w:t>
      </w:r>
      <w:r w:rsidR="00173DE4">
        <w:rPr>
          <w:rFonts w:cs="Arial"/>
          <w:szCs w:val="24"/>
        </w:rPr>
        <w:t>focus group</w:t>
      </w:r>
      <w:r w:rsidR="008A6A01">
        <w:rPr>
          <w:rFonts w:cs="Arial"/>
          <w:szCs w:val="24"/>
        </w:rPr>
        <w:t>s</w:t>
      </w:r>
      <w:r>
        <w:rPr>
          <w:rFonts w:cs="Arial"/>
          <w:szCs w:val="24"/>
        </w:rPr>
        <w:t xml:space="preserve"> 1,3,4)</w:t>
      </w:r>
      <w:r w:rsidRPr="007E2CA1">
        <w:rPr>
          <w:rFonts w:cs="Arial"/>
          <w:szCs w:val="24"/>
        </w:rPr>
        <w:t xml:space="preserve"> highlighting the need to practice a systems</w:t>
      </w:r>
      <w:r w:rsidR="008A6A01">
        <w:rPr>
          <w:rFonts w:cs="Arial"/>
          <w:szCs w:val="24"/>
        </w:rPr>
        <w:t>-</w:t>
      </w:r>
      <w:r w:rsidRPr="007E2CA1">
        <w:rPr>
          <w:rFonts w:cs="Arial"/>
          <w:szCs w:val="24"/>
        </w:rPr>
        <w:t>based approach and coping skills.</w:t>
      </w:r>
      <w:r w:rsidR="000F268C">
        <w:rPr>
          <w:rFonts w:cs="Arial"/>
          <w:szCs w:val="24"/>
        </w:rPr>
        <w:t xml:space="preserve"> </w:t>
      </w:r>
      <w:r w:rsidRPr="007E2CA1">
        <w:rPr>
          <w:rFonts w:cs="Arial"/>
          <w:szCs w:val="24"/>
        </w:rPr>
        <w:t>This lead</w:t>
      </w:r>
      <w:r w:rsidR="008A6A01">
        <w:rPr>
          <w:rFonts w:cs="Arial"/>
          <w:szCs w:val="24"/>
        </w:rPr>
        <w:t>s</w:t>
      </w:r>
      <w:r w:rsidRPr="007E2CA1">
        <w:rPr>
          <w:rFonts w:cs="Arial"/>
          <w:szCs w:val="24"/>
        </w:rPr>
        <w:t xml:space="preserve"> on to t</w:t>
      </w:r>
      <w:r>
        <w:rPr>
          <w:rFonts w:cs="Arial"/>
          <w:szCs w:val="24"/>
        </w:rPr>
        <w:t>he barrier of calling for help</w:t>
      </w:r>
      <w:r w:rsidR="000F268C">
        <w:rPr>
          <w:rFonts w:cs="Arial"/>
          <w:szCs w:val="24"/>
        </w:rPr>
        <w:t>,</w:t>
      </w:r>
      <w:r>
        <w:rPr>
          <w:rFonts w:cs="Arial"/>
          <w:szCs w:val="24"/>
        </w:rPr>
        <w:t xml:space="preserve"> whereby</w:t>
      </w:r>
      <w:r w:rsidRPr="007E2CA1">
        <w:rPr>
          <w:rFonts w:cs="Arial"/>
          <w:szCs w:val="24"/>
        </w:rPr>
        <w:t xml:space="preserve"> a lot of the students called for help very late on. When exploring this it was sometimes due to a lack of situational </w:t>
      </w:r>
      <w:r w:rsidR="000F268C">
        <w:rPr>
          <w:rFonts w:cs="Arial"/>
          <w:szCs w:val="24"/>
        </w:rPr>
        <w:t>‘</w:t>
      </w:r>
      <w:r w:rsidRPr="000F268C">
        <w:rPr>
          <w:rFonts w:cs="Arial"/>
          <w:i/>
          <w:szCs w:val="24"/>
        </w:rPr>
        <w:t>awareness of how unwell the patient was</w:t>
      </w:r>
      <w:r w:rsidR="000F268C">
        <w:rPr>
          <w:rFonts w:cs="Arial"/>
          <w:i/>
          <w:szCs w:val="24"/>
        </w:rPr>
        <w:t>’</w:t>
      </w:r>
      <w:r w:rsidRPr="007E2CA1">
        <w:rPr>
          <w:rFonts w:cs="Arial"/>
          <w:szCs w:val="24"/>
        </w:rPr>
        <w:t>, other times the feeling of wanting to do everything for the patient before calling</w:t>
      </w:r>
      <w:r w:rsidR="000F268C">
        <w:rPr>
          <w:rFonts w:cs="Arial"/>
          <w:szCs w:val="24"/>
        </w:rPr>
        <w:t>,</w:t>
      </w:r>
      <w:r w:rsidRPr="007E2CA1">
        <w:rPr>
          <w:rFonts w:cs="Arial"/>
          <w:szCs w:val="24"/>
        </w:rPr>
        <w:t xml:space="preserve"> </w:t>
      </w:r>
      <w:r w:rsidRPr="000F268C">
        <w:rPr>
          <w:rFonts w:cs="Arial"/>
          <w:i/>
          <w:szCs w:val="24"/>
        </w:rPr>
        <w:t>'should</w:t>
      </w:r>
      <w:r w:rsidR="000F268C">
        <w:rPr>
          <w:rFonts w:cs="Arial"/>
          <w:i/>
          <w:szCs w:val="24"/>
        </w:rPr>
        <w:t>n</w:t>
      </w:r>
      <w:r w:rsidRPr="000F268C">
        <w:rPr>
          <w:rFonts w:cs="Arial"/>
          <w:i/>
          <w:szCs w:val="24"/>
        </w:rPr>
        <w:t>'t call for help until done everything</w:t>
      </w:r>
      <w:r w:rsidRPr="007E2CA1">
        <w:rPr>
          <w:rFonts w:cs="Arial"/>
          <w:szCs w:val="24"/>
        </w:rPr>
        <w:t>'</w:t>
      </w:r>
      <w:r w:rsidR="000F268C">
        <w:rPr>
          <w:rFonts w:cs="Arial"/>
          <w:szCs w:val="24"/>
        </w:rPr>
        <w:t xml:space="preserve"> (Pilot </w:t>
      </w:r>
      <w:r w:rsidR="00173DE4">
        <w:rPr>
          <w:rFonts w:cs="Arial"/>
          <w:szCs w:val="24"/>
        </w:rPr>
        <w:t>focus group</w:t>
      </w:r>
      <w:r w:rsidR="008A6A01">
        <w:rPr>
          <w:rFonts w:cs="Arial"/>
          <w:szCs w:val="24"/>
        </w:rPr>
        <w:t>s</w:t>
      </w:r>
      <w:r w:rsidR="000F268C">
        <w:rPr>
          <w:rFonts w:cs="Arial"/>
          <w:szCs w:val="24"/>
        </w:rPr>
        <w:t xml:space="preserve"> 1,3)</w:t>
      </w:r>
      <w:r w:rsidRPr="007E2CA1">
        <w:rPr>
          <w:rFonts w:cs="Arial"/>
          <w:szCs w:val="24"/>
        </w:rPr>
        <w:t xml:space="preserve">. There were issues around not wanting </w:t>
      </w:r>
      <w:r w:rsidR="000F268C">
        <w:rPr>
          <w:rFonts w:cs="Arial"/>
          <w:szCs w:val="24"/>
        </w:rPr>
        <w:t>‘</w:t>
      </w:r>
      <w:r w:rsidRPr="000F268C">
        <w:rPr>
          <w:rFonts w:cs="Arial"/>
          <w:i/>
          <w:szCs w:val="24"/>
        </w:rPr>
        <w:t xml:space="preserve">seniors to think </w:t>
      </w:r>
      <w:r w:rsidR="000F268C" w:rsidRPr="000F268C">
        <w:rPr>
          <w:rFonts w:cs="Arial"/>
          <w:i/>
          <w:szCs w:val="24"/>
        </w:rPr>
        <w:t>they were incompetent</w:t>
      </w:r>
      <w:r w:rsidR="000F268C">
        <w:rPr>
          <w:rFonts w:cs="Arial"/>
          <w:i/>
          <w:szCs w:val="24"/>
        </w:rPr>
        <w:t xml:space="preserve">’ </w:t>
      </w:r>
      <w:r w:rsidR="000F268C" w:rsidRPr="000F268C">
        <w:rPr>
          <w:rFonts w:cs="Arial"/>
          <w:szCs w:val="24"/>
        </w:rPr>
        <w:t>(</w:t>
      </w:r>
      <w:r w:rsidR="00173DE4">
        <w:rPr>
          <w:rFonts w:cs="Arial"/>
          <w:szCs w:val="24"/>
        </w:rPr>
        <w:t>focus group</w:t>
      </w:r>
      <w:r w:rsidR="008A6A01">
        <w:rPr>
          <w:rFonts w:cs="Arial"/>
          <w:szCs w:val="24"/>
        </w:rPr>
        <w:t>s</w:t>
      </w:r>
      <w:r w:rsidR="000F268C" w:rsidRPr="000F268C">
        <w:rPr>
          <w:rFonts w:cs="Arial"/>
          <w:szCs w:val="24"/>
        </w:rPr>
        <w:t xml:space="preserve"> 3,4)</w:t>
      </w:r>
      <w:r w:rsidR="000F268C">
        <w:rPr>
          <w:rFonts w:cs="Arial"/>
          <w:szCs w:val="24"/>
        </w:rPr>
        <w:t xml:space="preserve"> (Pride), </w:t>
      </w:r>
      <w:r w:rsidRPr="007E2CA1">
        <w:rPr>
          <w:rFonts w:cs="Arial"/>
          <w:szCs w:val="24"/>
        </w:rPr>
        <w:t>rather than putting the patient</w:t>
      </w:r>
      <w:r w:rsidR="008A6A01">
        <w:rPr>
          <w:rFonts w:cs="Arial"/>
          <w:szCs w:val="24"/>
        </w:rPr>
        <w:t>’</w:t>
      </w:r>
      <w:r w:rsidRPr="007E2CA1">
        <w:rPr>
          <w:rFonts w:cs="Arial"/>
          <w:szCs w:val="24"/>
        </w:rPr>
        <w:t>s safety first.</w:t>
      </w:r>
    </w:p>
    <w:p w14:paraId="0271AF53" w14:textId="77777777" w:rsidR="00162A24" w:rsidRDefault="00162A24" w:rsidP="007E2CA1">
      <w:pPr>
        <w:widowControl w:val="0"/>
        <w:autoSpaceDE w:val="0"/>
        <w:autoSpaceDN w:val="0"/>
        <w:adjustRightInd w:val="0"/>
        <w:spacing w:after="266"/>
        <w:rPr>
          <w:rFonts w:cs="Arial"/>
          <w:szCs w:val="24"/>
        </w:rPr>
      </w:pPr>
    </w:p>
    <w:p w14:paraId="5E5FBCEC" w14:textId="77777777" w:rsidR="00162A24" w:rsidRPr="007E2CA1" w:rsidRDefault="00162A24" w:rsidP="007E2CA1">
      <w:pPr>
        <w:widowControl w:val="0"/>
        <w:autoSpaceDE w:val="0"/>
        <w:autoSpaceDN w:val="0"/>
        <w:adjustRightInd w:val="0"/>
        <w:spacing w:after="266"/>
        <w:rPr>
          <w:rFonts w:cs="Arial"/>
          <w:szCs w:val="24"/>
        </w:rPr>
      </w:pPr>
    </w:p>
    <w:p w14:paraId="0EA1E808" w14:textId="7F53A8E3" w:rsidR="00C030CE" w:rsidRPr="00C07261" w:rsidRDefault="00C030CE" w:rsidP="00C030CE">
      <w:pPr>
        <w:rPr>
          <w:rFonts w:cs="Arial"/>
          <w:b/>
          <w:i/>
          <w:szCs w:val="24"/>
        </w:rPr>
      </w:pPr>
      <w:r w:rsidRPr="00C07261">
        <w:rPr>
          <w:rFonts w:cs="Arial"/>
          <w:b/>
          <w:i/>
          <w:szCs w:val="24"/>
        </w:rPr>
        <w:t>General Comments</w:t>
      </w:r>
      <w:r w:rsidR="00CF5F2D" w:rsidRPr="00C07261">
        <w:rPr>
          <w:rFonts w:cs="Arial"/>
          <w:b/>
          <w:i/>
          <w:szCs w:val="24"/>
        </w:rPr>
        <w:t xml:space="preserve"> about the course</w:t>
      </w:r>
    </w:p>
    <w:p w14:paraId="523CFE3B" w14:textId="149703E8" w:rsidR="00C030CE" w:rsidRDefault="00EE6345" w:rsidP="00C030CE">
      <w:pPr>
        <w:rPr>
          <w:rFonts w:cs="Arial"/>
          <w:szCs w:val="24"/>
        </w:rPr>
      </w:pPr>
      <w:r>
        <w:rPr>
          <w:rFonts w:cs="Arial"/>
          <w:szCs w:val="24"/>
        </w:rPr>
        <w:lastRenderedPageBreak/>
        <w:t>Overall</w:t>
      </w:r>
      <w:r w:rsidR="00C030CE">
        <w:rPr>
          <w:rFonts w:cs="Arial"/>
          <w:szCs w:val="24"/>
        </w:rPr>
        <w:t xml:space="preserve"> the</w:t>
      </w:r>
      <w:r w:rsidR="008A6A01">
        <w:rPr>
          <w:rFonts w:cs="Arial"/>
          <w:szCs w:val="24"/>
        </w:rPr>
        <w:t xml:space="preserve"> candidates</w:t>
      </w:r>
      <w:r w:rsidR="00C030CE" w:rsidRPr="000F7168">
        <w:rPr>
          <w:rFonts w:cs="Arial"/>
          <w:szCs w:val="24"/>
        </w:rPr>
        <w:t xml:space="preserve"> described a positive view of the course. They felt </w:t>
      </w:r>
      <w:r w:rsidR="008A6A01">
        <w:rPr>
          <w:rFonts w:cs="Arial"/>
          <w:szCs w:val="24"/>
        </w:rPr>
        <w:t xml:space="preserve">that </w:t>
      </w:r>
      <w:r w:rsidR="00C030CE" w:rsidRPr="000F7168">
        <w:rPr>
          <w:rFonts w:cs="Arial"/>
          <w:szCs w:val="24"/>
        </w:rPr>
        <w:t xml:space="preserve">their </w:t>
      </w:r>
      <w:r w:rsidR="005834CF">
        <w:rPr>
          <w:rFonts w:cs="Arial"/>
          <w:szCs w:val="24"/>
        </w:rPr>
        <w:t>‘</w:t>
      </w:r>
      <w:r w:rsidR="00C030CE" w:rsidRPr="005834CF">
        <w:rPr>
          <w:rFonts w:cs="Arial"/>
          <w:i/>
          <w:szCs w:val="24"/>
        </w:rPr>
        <w:t>confidence in assessment, treatment, management, referrals and handovers had improved</w:t>
      </w:r>
      <w:r w:rsidR="005834CF" w:rsidRPr="005834CF">
        <w:rPr>
          <w:rFonts w:cs="Arial"/>
          <w:i/>
          <w:szCs w:val="24"/>
        </w:rPr>
        <w:t xml:space="preserve">’ </w:t>
      </w:r>
      <w:r w:rsidR="008A6A01" w:rsidRPr="00C07261">
        <w:rPr>
          <w:rFonts w:cs="Arial"/>
          <w:szCs w:val="24"/>
        </w:rPr>
        <w:t>(</w:t>
      </w:r>
      <w:r w:rsidR="005834CF" w:rsidRPr="008A6A01">
        <w:rPr>
          <w:rFonts w:cs="Arial"/>
          <w:szCs w:val="24"/>
        </w:rPr>
        <w:t xml:space="preserve">Pilot </w:t>
      </w:r>
      <w:r w:rsidR="00173DE4">
        <w:rPr>
          <w:rFonts w:cs="Arial"/>
          <w:szCs w:val="24"/>
        </w:rPr>
        <w:t>focus group</w:t>
      </w:r>
      <w:r w:rsidR="005834CF">
        <w:rPr>
          <w:rFonts w:cs="Arial"/>
          <w:szCs w:val="24"/>
        </w:rPr>
        <w:t>s 1-4)</w:t>
      </w:r>
      <w:r w:rsidR="00C030CE" w:rsidRPr="000F7168">
        <w:rPr>
          <w:rFonts w:cs="Arial"/>
          <w:szCs w:val="24"/>
        </w:rPr>
        <w:t xml:space="preserve">. They felt that they would all recommend this course to peers and anyone about to start </w:t>
      </w:r>
      <w:r w:rsidR="00BC4377">
        <w:rPr>
          <w:rFonts w:cs="Arial"/>
          <w:szCs w:val="24"/>
        </w:rPr>
        <w:t>a FY1</w:t>
      </w:r>
      <w:r w:rsidR="00C030CE" w:rsidRPr="000F7168">
        <w:rPr>
          <w:rFonts w:cs="Arial"/>
          <w:szCs w:val="24"/>
        </w:rPr>
        <w:t xml:space="preserve"> job. </w:t>
      </w:r>
      <w:r w:rsidR="00C030CE">
        <w:rPr>
          <w:rFonts w:cs="Arial"/>
          <w:szCs w:val="24"/>
        </w:rPr>
        <w:t>Students</w:t>
      </w:r>
      <w:r w:rsidR="00C030CE" w:rsidRPr="000F7168">
        <w:rPr>
          <w:rFonts w:cs="Arial"/>
          <w:szCs w:val="24"/>
        </w:rPr>
        <w:t xml:space="preserve"> felt that the key to the</w:t>
      </w:r>
      <w:r w:rsidR="008A6A01">
        <w:rPr>
          <w:rFonts w:cs="Arial"/>
          <w:szCs w:val="24"/>
        </w:rPr>
        <w:t>ir</w:t>
      </w:r>
      <w:r w:rsidR="00C030CE" w:rsidRPr="000F7168">
        <w:rPr>
          <w:rFonts w:cs="Arial"/>
          <w:szCs w:val="24"/>
        </w:rPr>
        <w:t xml:space="preserve"> realism and preparedness was the fact that </w:t>
      </w:r>
      <w:r w:rsidR="00502DF9">
        <w:rPr>
          <w:rFonts w:cs="Arial"/>
          <w:szCs w:val="24"/>
        </w:rPr>
        <w:t>‘</w:t>
      </w:r>
      <w:r w:rsidR="00C030CE" w:rsidRPr="00502DF9">
        <w:rPr>
          <w:rFonts w:cs="Arial"/>
          <w:i/>
          <w:szCs w:val="24"/>
        </w:rPr>
        <w:t>in each scenario they had to perform the tasks in real time such as procedures, prescriptions, treatments and reassessments</w:t>
      </w:r>
      <w:r w:rsidR="00502DF9">
        <w:rPr>
          <w:rFonts w:cs="Arial"/>
          <w:i/>
          <w:szCs w:val="24"/>
        </w:rPr>
        <w:t>’</w:t>
      </w:r>
      <w:r w:rsidR="00502DF9">
        <w:rPr>
          <w:rFonts w:cs="Arial"/>
          <w:szCs w:val="24"/>
        </w:rPr>
        <w:t xml:space="preserve"> (Pilot </w:t>
      </w:r>
      <w:r w:rsidR="00173DE4">
        <w:rPr>
          <w:rFonts w:cs="Arial"/>
          <w:szCs w:val="24"/>
        </w:rPr>
        <w:t>focus group</w:t>
      </w:r>
      <w:r w:rsidR="008A6A01">
        <w:rPr>
          <w:rFonts w:cs="Arial"/>
          <w:szCs w:val="24"/>
        </w:rPr>
        <w:t>s</w:t>
      </w:r>
      <w:r w:rsidR="00502DF9">
        <w:rPr>
          <w:rFonts w:cs="Arial"/>
          <w:szCs w:val="24"/>
        </w:rPr>
        <w:t xml:space="preserve"> 1-4).</w:t>
      </w:r>
      <w:r w:rsidR="00C030CE">
        <w:rPr>
          <w:rFonts w:cs="Arial"/>
          <w:szCs w:val="24"/>
        </w:rPr>
        <w:t xml:space="preserve"> </w:t>
      </w:r>
      <w:r w:rsidR="00C030CE" w:rsidRPr="000F7168">
        <w:rPr>
          <w:rFonts w:cs="Arial"/>
          <w:szCs w:val="24"/>
        </w:rPr>
        <w:t>They felt the course ran to time and feedback/debrief session were coordinated and structured.</w:t>
      </w:r>
    </w:p>
    <w:p w14:paraId="20AA8EDE" w14:textId="0C47EDEA" w:rsidR="00B5224E" w:rsidRDefault="00B5224E" w:rsidP="00C030CE">
      <w:pPr>
        <w:rPr>
          <w:rFonts w:cs="Arial"/>
          <w:szCs w:val="24"/>
        </w:rPr>
      </w:pPr>
      <w:r>
        <w:rPr>
          <w:rFonts w:cs="Arial"/>
          <w:szCs w:val="24"/>
        </w:rPr>
        <w:t>One</w:t>
      </w:r>
      <w:r w:rsidR="00215221">
        <w:rPr>
          <w:rFonts w:cs="Arial"/>
          <w:szCs w:val="24"/>
        </w:rPr>
        <w:t xml:space="preserve"> student</w:t>
      </w:r>
      <w:r>
        <w:rPr>
          <w:rFonts w:cs="Arial"/>
          <w:szCs w:val="24"/>
        </w:rPr>
        <w:t xml:space="preserve"> participant commented that they found the good </w:t>
      </w:r>
      <w:r w:rsidR="001D42C9">
        <w:rPr>
          <w:rFonts w:cs="Arial"/>
          <w:szCs w:val="24"/>
        </w:rPr>
        <w:t>judgment</w:t>
      </w:r>
      <w:r>
        <w:rPr>
          <w:rFonts w:cs="Arial"/>
          <w:szCs w:val="24"/>
        </w:rPr>
        <w:t xml:space="preserve"> approach employed in debriefing to be less encouraging than perhaps a more traditional model such as Pendleton’s model when what went well is followed by areas of improvement followed by a summary of what went well at the end. Others were very grateful for an honest and clear message that was personal to them and relating to behaviour. This suggests that flexibility between models and </w:t>
      </w:r>
      <w:r w:rsidR="001D42C9">
        <w:rPr>
          <w:rFonts w:cs="Arial"/>
          <w:szCs w:val="24"/>
        </w:rPr>
        <w:t>judgment</w:t>
      </w:r>
      <w:r>
        <w:rPr>
          <w:rFonts w:cs="Arial"/>
          <w:szCs w:val="24"/>
        </w:rPr>
        <w:t xml:space="preserve"> over which will suit certain situation and personality types could be interesting to explore. Another area of challenge was participant focus on knowledge and whether</w:t>
      </w:r>
      <w:r w:rsidR="000D5D0F">
        <w:rPr>
          <w:rFonts w:cs="Arial"/>
          <w:szCs w:val="24"/>
        </w:rPr>
        <w:t xml:space="preserve"> they got things wrong or right, appearing to place</w:t>
      </w:r>
      <w:r>
        <w:rPr>
          <w:rFonts w:cs="Arial"/>
          <w:szCs w:val="24"/>
        </w:rPr>
        <w:t xml:space="preserve"> less </w:t>
      </w:r>
      <w:r w:rsidR="000D5D0F">
        <w:rPr>
          <w:rFonts w:cs="Arial"/>
          <w:szCs w:val="24"/>
        </w:rPr>
        <w:t xml:space="preserve">value on </w:t>
      </w:r>
      <w:r>
        <w:rPr>
          <w:rFonts w:cs="Arial"/>
          <w:szCs w:val="24"/>
        </w:rPr>
        <w:t xml:space="preserve">the behavioural side. </w:t>
      </w:r>
    </w:p>
    <w:p w14:paraId="19DF854D" w14:textId="77777777" w:rsidR="00162A24" w:rsidRDefault="00162A24" w:rsidP="00C030CE">
      <w:pPr>
        <w:rPr>
          <w:rFonts w:cs="Arial"/>
          <w:szCs w:val="24"/>
        </w:rPr>
      </w:pPr>
    </w:p>
    <w:p w14:paraId="2F09A41B" w14:textId="77777777" w:rsidR="00162A24" w:rsidRPr="00285590" w:rsidRDefault="00162A24" w:rsidP="00C030CE">
      <w:pPr>
        <w:rPr>
          <w:rFonts w:cs="Arial"/>
          <w:szCs w:val="24"/>
        </w:rPr>
      </w:pPr>
    </w:p>
    <w:p w14:paraId="5D3E5A0E" w14:textId="26F6A33B" w:rsidR="001E391A" w:rsidRDefault="00285590" w:rsidP="00CA53EB">
      <w:pPr>
        <w:pStyle w:val="Heading2"/>
      </w:pPr>
      <w:bookmarkStart w:id="274" w:name="_Toc343501165"/>
      <w:bookmarkStart w:id="275" w:name="_Toc348686367"/>
      <w:bookmarkStart w:id="276" w:name="_Toc419116166"/>
      <w:r>
        <w:t>Results: Lessons learned</w:t>
      </w:r>
      <w:r w:rsidR="00CE4D49">
        <w:t xml:space="preserve"> from p</w:t>
      </w:r>
      <w:r w:rsidR="00CF5F2D">
        <w:t>ilot study</w:t>
      </w:r>
      <w:bookmarkEnd w:id="274"/>
      <w:bookmarkEnd w:id="275"/>
      <w:bookmarkEnd w:id="276"/>
    </w:p>
    <w:p w14:paraId="45943730" w14:textId="77777777" w:rsidR="00502DF9" w:rsidRDefault="00502DF9" w:rsidP="00502DF9"/>
    <w:p w14:paraId="17C689E3" w14:textId="036DBC56" w:rsidR="00502DF9" w:rsidRDefault="008A6A01" w:rsidP="00502DF9">
      <w:r>
        <w:lastRenderedPageBreak/>
        <w:t xml:space="preserve">Post-course discussions and reflections </w:t>
      </w:r>
      <w:r w:rsidR="00502DF9">
        <w:t>with undergraduate simulation leads and educators</w:t>
      </w:r>
      <w:r>
        <w:t xml:space="preserve"> concluded</w:t>
      </w:r>
      <w:r w:rsidR="00502DF9">
        <w:t xml:space="preserve"> that half a day was enough for the students as they reported feeling tired and struggling with a full day. It was </w:t>
      </w:r>
      <w:r>
        <w:t xml:space="preserve">an </w:t>
      </w:r>
      <w:r w:rsidR="00502DF9">
        <w:t>intens</w:t>
      </w:r>
      <w:r>
        <w:t>ive experience</w:t>
      </w:r>
      <w:r w:rsidR="00502DF9">
        <w:t xml:space="preserve"> and due to the responsibility and challenge</w:t>
      </w:r>
      <w:r>
        <w:t>s it</w:t>
      </w:r>
      <w:r w:rsidR="00502DF9">
        <w:t xml:space="preserve"> created</w:t>
      </w:r>
      <w:r w:rsidR="009349C5">
        <w:t>,</w:t>
      </w:r>
      <w:r w:rsidR="00502DF9">
        <w:t xml:space="preserve"> the</w:t>
      </w:r>
      <w:r>
        <w:t xml:space="preserve"> candidates</w:t>
      </w:r>
      <w:r w:rsidR="00502DF9">
        <w:t xml:space="preserve"> felt </w:t>
      </w:r>
      <w:r w:rsidR="009349C5">
        <w:t>‘</w:t>
      </w:r>
      <w:r w:rsidR="00502DF9">
        <w:t>drained</w:t>
      </w:r>
      <w:r w:rsidR="009349C5">
        <w:t>’</w:t>
      </w:r>
      <w:r w:rsidR="00502DF9">
        <w:t xml:space="preserve">. </w:t>
      </w:r>
      <w:r>
        <w:t>B</w:t>
      </w:r>
      <w:r w:rsidR="00502DF9">
        <w:t>reaks were essential for this reason and this fits with Maslow’s hierarchy of needs</w:t>
      </w:r>
      <w:r w:rsidR="009E2A41">
        <w:t xml:space="preserve"> </w:t>
      </w:r>
      <w:r w:rsidR="009E2A41">
        <w:fldChar w:fldCharType="begin"/>
      </w:r>
      <w:r w:rsidR="009E2A41">
        <w:instrText xml:space="preserve"> ADDIN EN.CITE &lt;EndNote&gt;&lt;Cite&gt;&lt;Author&gt;Maslow&lt;/Author&gt;&lt;Year&gt;1943&lt;/Year&gt;&lt;IDText&gt;A theory of human motivation&lt;/IDText&gt;&lt;DisplayText&gt;(AH., 1943)&lt;/DisplayText&gt;&lt;record&gt;&lt;titles&gt;&lt;title&gt;A theory of human motivation&lt;/title&gt;&lt;secondary-title&gt;Psychol Rev&lt;/secondary-title&gt;&lt;/titles&gt;&lt;pages&gt;370-396&lt;/pages&gt;&lt;contributors&gt;&lt;authors&gt;&lt;author&gt;Maslow AH.&lt;/author&gt;&lt;/authors&gt;&lt;/contributors&gt;&lt;added-date format="utc"&gt;1500156148&lt;/added-date&gt;&lt;ref-type name="Journal Article"&gt;17&lt;/ref-type&gt;&lt;dates&gt;&lt;year&gt;1943&lt;/year&gt;&lt;/dates&gt;&lt;rec-number&gt;363&lt;/rec-number&gt;&lt;last-updated-date format="utc"&gt;1500156239&lt;/last-updated-date&gt;&lt;volume&gt;50&lt;/volume&gt;&lt;/record&gt;&lt;/Cite&gt;&lt;/EndNote&gt;</w:instrText>
      </w:r>
      <w:r w:rsidR="009E2A41">
        <w:fldChar w:fldCharType="separate"/>
      </w:r>
      <w:r w:rsidR="009E2A41">
        <w:rPr>
          <w:noProof/>
        </w:rPr>
        <w:t>(AH., 1943)</w:t>
      </w:r>
      <w:r w:rsidR="009E2A41">
        <w:fldChar w:fldCharType="end"/>
      </w:r>
      <w:r w:rsidR="00502DF9">
        <w:t xml:space="preserve">. </w:t>
      </w:r>
    </w:p>
    <w:p w14:paraId="049C4535" w14:textId="23DECE57" w:rsidR="00502DF9" w:rsidRDefault="00A73773" w:rsidP="00502DF9">
      <w:r>
        <w:t>The sce</w:t>
      </w:r>
      <w:r w:rsidR="00502DF9">
        <w:t>n</w:t>
      </w:r>
      <w:r>
        <w:t>a</w:t>
      </w:r>
      <w:r w:rsidR="00502DF9">
        <w:t xml:space="preserve">rios were felt to reflect real life challenges in the </w:t>
      </w:r>
      <w:r w:rsidR="00CD658D">
        <w:t>workplace</w:t>
      </w:r>
      <w:r w:rsidR="00502DF9">
        <w:t xml:space="preserve"> and to be pitched at the correct level for the students.</w:t>
      </w:r>
    </w:p>
    <w:p w14:paraId="7A17B008" w14:textId="7E9E9A8C" w:rsidR="00502DF9" w:rsidRDefault="00502DF9" w:rsidP="00502DF9">
      <w:r>
        <w:t xml:space="preserve">Having phone and </w:t>
      </w:r>
      <w:r w:rsidR="008A6A01">
        <w:t xml:space="preserve">other </w:t>
      </w:r>
      <w:r>
        <w:t>interruptions</w:t>
      </w:r>
      <w:r w:rsidR="008A6A01">
        <w:t>,</w:t>
      </w:r>
      <w:r>
        <w:t xml:space="preserve"> as well as procedures</w:t>
      </w:r>
      <w:r w:rsidR="008A6A01">
        <w:t>,</w:t>
      </w:r>
      <w:r>
        <w:t xml:space="preserve"> </w:t>
      </w:r>
      <w:r w:rsidR="00E51676">
        <w:t>was</w:t>
      </w:r>
      <w:r>
        <w:t xml:space="preserve"> felt to be vital to allow </w:t>
      </w:r>
      <w:r w:rsidR="008A6A01">
        <w:t xml:space="preserve">the </w:t>
      </w:r>
      <w:r>
        <w:t xml:space="preserve">development of prioritisation skills. </w:t>
      </w:r>
      <w:r w:rsidR="00A73773">
        <w:t xml:space="preserve">One procedure was felt to be suitable per scenario and was felt to reflect the increased </w:t>
      </w:r>
      <w:r w:rsidR="00E51676">
        <w:t>teamwork</w:t>
      </w:r>
      <w:r w:rsidR="00A73773">
        <w:t xml:space="preserve"> and skills available amongst other professionals on the ward. </w:t>
      </w:r>
      <w:r>
        <w:t>The scenarios were felt to be suitable lengths and th</w:t>
      </w:r>
      <w:r w:rsidR="00A73773">
        <w:t>e 50:50 scenario to debrief tim</w:t>
      </w:r>
      <w:r>
        <w:t>ings worked well for cover</w:t>
      </w:r>
      <w:r w:rsidR="00DE23E8">
        <w:t>ing</w:t>
      </w:r>
      <w:r>
        <w:t xml:space="preserve"> tutor and student generated learning outcomes</w:t>
      </w:r>
      <w:r w:rsidR="00A73773">
        <w:t xml:space="preserve"> (Field notes form Pilot study)</w:t>
      </w:r>
      <w:r>
        <w:t>.</w:t>
      </w:r>
    </w:p>
    <w:p w14:paraId="0E48619D" w14:textId="0C18BB09" w:rsidR="00502DF9" w:rsidRDefault="00502DF9" w:rsidP="00502DF9">
      <w:r>
        <w:t xml:space="preserve">It was noted that one person would lead the debrief otherwise it could be confusing to the students and </w:t>
      </w:r>
      <w:r w:rsidR="008A6A01">
        <w:t xml:space="preserve">became </w:t>
      </w:r>
      <w:r>
        <w:t>distracti</w:t>
      </w:r>
      <w:r w:rsidR="008A6A01">
        <w:t>ng</w:t>
      </w:r>
      <w:r>
        <w:t xml:space="preserve">. </w:t>
      </w:r>
      <w:r w:rsidR="00DE23E8">
        <w:t>I</w:t>
      </w:r>
      <w:r>
        <w:t xml:space="preserve">t was useful to use a similar structure for the debrief so it was recognisable to students and they knew what to expect. In addition to this it made it easier to join in as a debriefer if invited as well as appraising each other </w:t>
      </w:r>
      <w:r w:rsidR="00DE23E8">
        <w:t>and</w:t>
      </w:r>
      <w:r w:rsidR="00A73773">
        <w:t xml:space="preserve"> create</w:t>
      </w:r>
      <w:r w:rsidR="006E728F">
        <w:t>d</w:t>
      </w:r>
      <w:r w:rsidR="00A73773">
        <w:t xml:space="preserve"> better timekeeping. </w:t>
      </w:r>
    </w:p>
    <w:p w14:paraId="2942C93F" w14:textId="1FE95E14" w:rsidR="00D72F0E" w:rsidRPr="00502DF9" w:rsidRDefault="00502DF9" w:rsidP="00502DF9">
      <w:r>
        <w:t>The importance of building trust was vital and tutors</w:t>
      </w:r>
      <w:r w:rsidR="008A6A01">
        <w:t>’</w:t>
      </w:r>
      <w:r>
        <w:t xml:space="preserve"> ability to share </w:t>
      </w:r>
      <w:r w:rsidR="008A6A01">
        <w:t xml:space="preserve">their </w:t>
      </w:r>
      <w:r>
        <w:t>own mistakes. Field notes revealed th</w:t>
      </w:r>
      <w:r w:rsidR="008A6A01">
        <w:t>at</w:t>
      </w:r>
      <w:r>
        <w:t xml:space="preserve"> registrars were more comfortable to do this wh</w:t>
      </w:r>
      <w:r w:rsidR="008A6A01">
        <w:t>ilst</w:t>
      </w:r>
      <w:r>
        <w:t xml:space="preserve"> co</w:t>
      </w:r>
      <w:r w:rsidR="00A73773">
        <w:t>nsultants were more likely to sh</w:t>
      </w:r>
      <w:r>
        <w:t xml:space="preserve">are challenging stories of success. This </w:t>
      </w:r>
      <w:r>
        <w:lastRenderedPageBreak/>
        <w:t xml:space="preserve">was interesting and may reflect culture change amongst generations or </w:t>
      </w:r>
      <w:r w:rsidR="00E51676">
        <w:t>hierarchical</w:t>
      </w:r>
      <w:r w:rsidR="00A73773">
        <w:t xml:space="preserve"> impact or be mere</w:t>
      </w:r>
      <w:r>
        <w:t>ly personality linked internal influence</w:t>
      </w:r>
      <w:r w:rsidR="00A73773">
        <w:t xml:space="preserve"> (Pilot study field notes)</w:t>
      </w:r>
      <w:r>
        <w:t>.</w:t>
      </w:r>
    </w:p>
    <w:p w14:paraId="3C11BD81" w14:textId="3E0A9E3E" w:rsidR="001E391A" w:rsidRDefault="00285590" w:rsidP="00CA53EB">
      <w:pPr>
        <w:pStyle w:val="Heading2"/>
      </w:pPr>
      <w:bookmarkStart w:id="277" w:name="_Toc343501166"/>
      <w:bookmarkStart w:id="278" w:name="_Toc348686368"/>
      <w:bookmarkStart w:id="279" w:name="_Toc419116167"/>
      <w:r>
        <w:t>Results: P</w:t>
      </w:r>
      <w:r w:rsidR="001E391A" w:rsidRPr="00601AF7">
        <w:t>ower calculation</w:t>
      </w:r>
      <w:bookmarkEnd w:id="277"/>
      <w:bookmarkEnd w:id="278"/>
      <w:bookmarkEnd w:id="279"/>
    </w:p>
    <w:p w14:paraId="68429EB9" w14:textId="77777777" w:rsidR="00F13BAC" w:rsidRPr="00F13BAC" w:rsidRDefault="00F13BAC" w:rsidP="00F13BAC"/>
    <w:p w14:paraId="4D443BC5" w14:textId="6927E15F" w:rsidR="009251C5" w:rsidRDefault="00C030CE" w:rsidP="009251C5">
      <w:r>
        <w:rPr>
          <w:rFonts w:cs="Arial"/>
          <w:szCs w:val="24"/>
        </w:rPr>
        <w:t>A power calculation using the intervention</w:t>
      </w:r>
      <w:r w:rsidR="00D1308F">
        <w:rPr>
          <w:rFonts w:cs="Arial"/>
          <w:szCs w:val="24"/>
        </w:rPr>
        <w:t xml:space="preserve"> and non-intervention group was</w:t>
      </w:r>
      <w:r>
        <w:rPr>
          <w:rFonts w:cs="Arial"/>
          <w:szCs w:val="24"/>
        </w:rPr>
        <w:t xml:space="preserve"> used to inform the number of </w:t>
      </w:r>
      <w:r w:rsidR="008A6A01">
        <w:rPr>
          <w:rFonts w:cs="Arial"/>
          <w:szCs w:val="24"/>
        </w:rPr>
        <w:t>c</w:t>
      </w:r>
      <w:r w:rsidR="005F705F">
        <w:rPr>
          <w:rFonts w:cs="Arial"/>
          <w:szCs w:val="24"/>
        </w:rPr>
        <w:t>andidate</w:t>
      </w:r>
      <w:r>
        <w:rPr>
          <w:rFonts w:cs="Arial"/>
          <w:szCs w:val="24"/>
        </w:rPr>
        <w:t>s required to show a significant difference in the groups (n=90).</w:t>
      </w:r>
      <w:r w:rsidR="00D1308F">
        <w:rPr>
          <w:rFonts w:cs="Arial"/>
          <w:szCs w:val="24"/>
        </w:rPr>
        <w:t xml:space="preserve"> </w:t>
      </w:r>
      <w:r w:rsidR="00E51676">
        <w:rPr>
          <w:rFonts w:cs="Arial"/>
          <w:szCs w:val="24"/>
        </w:rPr>
        <w:t>A statistician at the University of Sheffield calculated this value</w:t>
      </w:r>
      <w:r w:rsidR="00D1308F">
        <w:rPr>
          <w:rFonts w:cs="Arial"/>
          <w:szCs w:val="24"/>
        </w:rPr>
        <w:t xml:space="preserve">. </w:t>
      </w:r>
      <w:r w:rsidR="00CD54D2">
        <w:rPr>
          <w:rFonts w:cs="Arial"/>
          <w:szCs w:val="24"/>
        </w:rPr>
        <w:t>U</w:t>
      </w:r>
      <w:r w:rsidR="00D1308F">
        <w:rPr>
          <w:rFonts w:cs="Arial"/>
          <w:szCs w:val="24"/>
        </w:rPr>
        <w:t>sually it is aimed for a power of 0.8 which is equal to an 80</w:t>
      </w:r>
      <w:r w:rsidR="008A6A01">
        <w:rPr>
          <w:rFonts w:cs="Arial"/>
          <w:szCs w:val="24"/>
        </w:rPr>
        <w:t>%</w:t>
      </w:r>
      <w:r w:rsidR="00D1308F">
        <w:rPr>
          <w:rFonts w:cs="Arial"/>
          <w:szCs w:val="24"/>
        </w:rPr>
        <w:t xml:space="preserve"> chance of detecting an effect if one genuinely exists</w:t>
      </w:r>
      <w:r w:rsidR="000E4B81">
        <w:rPr>
          <w:rFonts w:cs="Arial"/>
          <w:szCs w:val="24"/>
        </w:rPr>
        <w:t xml:space="preserve"> </w:t>
      </w:r>
      <w:r w:rsidR="000E4B81">
        <w:rPr>
          <w:rFonts w:cs="Arial"/>
          <w:szCs w:val="24"/>
        </w:rPr>
        <w:fldChar w:fldCharType="begin"/>
      </w:r>
      <w:r w:rsidR="000E4B81">
        <w:rPr>
          <w:rFonts w:cs="Arial"/>
          <w:szCs w:val="24"/>
        </w:rPr>
        <w:instrText xml:space="preserve"> ADDIN EN.CITE &lt;EndNote&gt;&lt;Cite&gt;&lt;Author&gt;Cohen&lt;/Author&gt;&lt;Year&gt;1988&lt;/Year&gt;&lt;IDText&gt;Statistical Power Analysis for the Behavioral Sciences&lt;/IDText&gt;&lt;DisplayText&gt;(Cohen, 1988)&lt;/DisplayText&gt;&lt;record&gt;&lt;titles&gt;&lt;title&gt;Statistical Power Analysis for the Behavioral Sciences&lt;/title&gt;&lt;/titles&gt;&lt;contributors&gt;&lt;authors&gt;&lt;author&gt;Cohen, Jacob&lt;/author&gt;&lt;/authors&gt;&lt;/contributors&gt;&lt;edition&gt;2nd&lt;/edition&gt;&lt;added-date format="utc"&gt;1470128168&lt;/added-date&gt;&lt;ref-type name="Book"&gt;6&lt;/ref-type&gt;&lt;dates&gt;&lt;year&gt;1988&lt;/year&gt;&lt;/dates&gt;&lt;rec-number&gt;265&lt;/rec-number&gt;&lt;publisher&gt;Routledge&lt;/publisher&gt;&lt;last-updated-date format="utc"&gt;1470128240&lt;/last-updated-date&gt;&lt;/record&gt;&lt;/Cite&gt;&lt;/EndNote&gt;</w:instrText>
      </w:r>
      <w:r w:rsidR="000E4B81">
        <w:rPr>
          <w:rFonts w:cs="Arial"/>
          <w:szCs w:val="24"/>
        </w:rPr>
        <w:fldChar w:fldCharType="separate"/>
      </w:r>
      <w:r w:rsidR="000E4B81">
        <w:rPr>
          <w:rFonts w:cs="Arial"/>
          <w:noProof/>
          <w:szCs w:val="24"/>
        </w:rPr>
        <w:t>(Cohen, 1988)</w:t>
      </w:r>
      <w:r w:rsidR="000E4B81">
        <w:rPr>
          <w:rFonts w:cs="Arial"/>
          <w:szCs w:val="24"/>
        </w:rPr>
        <w:fldChar w:fldCharType="end"/>
      </w:r>
      <w:r w:rsidR="00D1308F">
        <w:rPr>
          <w:rFonts w:cs="Arial"/>
          <w:szCs w:val="24"/>
        </w:rPr>
        <w:t>.</w:t>
      </w:r>
      <w:r w:rsidR="00C42F40">
        <w:t xml:space="preserve"> </w:t>
      </w:r>
      <w:r w:rsidR="009251C5">
        <w:t xml:space="preserve">Statistical power relates to the ability of a test to find an effect, or the probability </w:t>
      </w:r>
      <w:r w:rsidR="00CF5F2D">
        <w:t>(</w:t>
      </w:r>
      <w:r w:rsidR="00CF5F2D">
        <w:rPr>
          <w:rFonts w:cs="Arial"/>
        </w:rPr>
        <w:t>β</w:t>
      </w:r>
      <w:r w:rsidR="00CF5F2D">
        <w:t xml:space="preserve">) </w:t>
      </w:r>
      <w:r w:rsidR="009251C5">
        <w:t>that a given test will find an effect if one exists in the population</w:t>
      </w:r>
      <w:r w:rsidR="00CF5F2D">
        <w:t>.</w:t>
      </w:r>
    </w:p>
    <w:p w14:paraId="7C7CE62D" w14:textId="3A4D1BE6" w:rsidR="009251C5" w:rsidRDefault="00327368" w:rsidP="009251C5">
      <w:r>
        <w:t>To c</w:t>
      </w:r>
      <w:r w:rsidR="009251C5">
        <w:t xml:space="preserve">alculate </w:t>
      </w:r>
      <w:r>
        <w:t xml:space="preserve">the </w:t>
      </w:r>
      <w:r w:rsidR="009251C5">
        <w:t>power of a tes</w:t>
      </w:r>
      <w:r w:rsidR="00A44507">
        <w:t xml:space="preserve">t: 1 – Beta is equal to </w:t>
      </w:r>
      <w:r>
        <w:t xml:space="preserve">power. If </w:t>
      </w:r>
      <w:r w:rsidR="00A44507">
        <w:t xml:space="preserve">the </w:t>
      </w:r>
      <w:r>
        <w:t xml:space="preserve">value is greater or equal </w:t>
      </w:r>
      <w:r w:rsidR="009251C5">
        <w:t xml:space="preserve">to 0.8 </w:t>
      </w:r>
      <w:r>
        <w:t xml:space="preserve">one can be </w:t>
      </w:r>
      <w:r w:rsidR="009251C5">
        <w:t xml:space="preserve">confident </w:t>
      </w:r>
      <w:r>
        <w:t xml:space="preserve">that there will be </w:t>
      </w:r>
      <w:r w:rsidR="009251C5">
        <w:t xml:space="preserve">sufficient power to detect an effect. </w:t>
      </w:r>
      <w:r>
        <w:t>In addition to this, if confidence intervals do not overlap then it is said to be possible to</w:t>
      </w:r>
      <w:r w:rsidR="009251C5">
        <w:t xml:space="preserve"> conclude </w:t>
      </w:r>
      <w:r>
        <w:t xml:space="preserve">that </w:t>
      </w:r>
      <w:r w:rsidR="009251C5">
        <w:t>the means come from different populations therefor</w:t>
      </w:r>
      <w:r w:rsidR="008A6A01">
        <w:t>e</w:t>
      </w:r>
      <w:r w:rsidR="009251C5">
        <w:t xml:space="preserve"> </w:t>
      </w:r>
      <w:r>
        <w:t>are significantly</w:t>
      </w:r>
      <w:r w:rsidR="009251C5">
        <w:t xml:space="preserve"> different</w:t>
      </w:r>
      <w:r w:rsidR="00A44507">
        <w:t xml:space="preserve"> </w:t>
      </w:r>
      <w:r w:rsidR="00A44507">
        <w:fldChar w:fldCharType="begin"/>
      </w:r>
      <w:r w:rsidR="00A44507">
        <w:instrText xml:space="preserve"> ADDIN EN.CITE &lt;EndNote&gt;&lt;Cite&gt;&lt;Author&gt;Cohen&lt;/Author&gt;&lt;Year&gt;1988&lt;/Year&gt;&lt;IDText&gt;Statistical Power Analysis for the Behavioral Sciences&lt;/IDText&gt;&lt;DisplayText&gt;(Cohen, 1988, Snedecor and Cochran, 1980)&lt;/DisplayText&gt;&lt;record&gt;&lt;titles&gt;&lt;title&gt;Statistical Power Analysis for the Behavioral Sciences&lt;/title&gt;&lt;/titles&gt;&lt;contributors&gt;&lt;authors&gt;&lt;author&gt;Cohen, Jacob&lt;/author&gt;&lt;/authors&gt;&lt;/contributors&gt;&lt;edition&gt;2nd&lt;/edition&gt;&lt;added-date format="utc"&gt;1470128168&lt;/added-date&gt;&lt;ref-type name="Book"&gt;6&lt;/ref-type&gt;&lt;dates&gt;&lt;year&gt;1988&lt;/year&gt;&lt;/dates&gt;&lt;rec-number&gt;265&lt;/rec-number&gt;&lt;publisher&gt;Routledge&lt;/publisher&gt;&lt;last-updated-date format="utc"&gt;1470128240&lt;/last-updated-date&gt;&lt;/record&gt;&lt;/Cite&gt;&lt;Cite&gt;&lt;Author&gt;Snedecor&lt;/Author&gt;&lt;Year&gt;1980&lt;/Year&gt;&lt;IDText&gt;Statistical methods&lt;/IDText&gt;&lt;record&gt;&lt;titles&gt;&lt;title&gt;Statistical methods&lt;/title&gt;&lt;/titles&gt;&lt;contributors&gt;&lt;authors&gt;&lt;author&gt;Snedecor, George. W&lt;/author&gt;&lt;author&gt;Cochran, W. G&lt;/author&gt;&lt;/authors&gt;&lt;/contributors&gt;&lt;section&gt;104&lt;/section&gt;&lt;edition&gt;7th&lt;/edition&gt;&lt;added-date format="utc"&gt;1470127811&lt;/added-date&gt;&lt;pub-location&gt;Iowa State Univeristy, Iowa&lt;/pub-location&gt;&lt;ref-type name="Book"&gt;6&lt;/ref-type&gt;&lt;dates&gt;&lt;year&gt;1980&lt;/year&gt;&lt;/dates&gt;&lt;rec-number&gt;264&lt;/rec-number&gt;&lt;last-updated-date format="utc"&gt;1470128003&lt;/last-updated-date&gt;&lt;/record&gt;&lt;/Cite&gt;&lt;/EndNote&gt;</w:instrText>
      </w:r>
      <w:r w:rsidR="00A44507">
        <w:fldChar w:fldCharType="separate"/>
      </w:r>
      <w:r w:rsidR="00A44507">
        <w:rPr>
          <w:noProof/>
        </w:rPr>
        <w:t>(Cohen, 1988, Snedecor and Cochran, 1980)</w:t>
      </w:r>
      <w:r w:rsidR="00A44507">
        <w:fldChar w:fldCharType="end"/>
      </w:r>
      <w:r w:rsidR="009251C5">
        <w:t>.</w:t>
      </w:r>
    </w:p>
    <w:p w14:paraId="4CFF8446" w14:textId="670DF954" w:rsidR="00327368" w:rsidRDefault="00327368" w:rsidP="009251C5">
      <w:r>
        <w:t>Using the two</w:t>
      </w:r>
      <w:r w:rsidR="009251C5">
        <w:t xml:space="preserve"> different groups IMASS </w:t>
      </w:r>
      <w:r w:rsidR="00E51676">
        <w:t>vs.</w:t>
      </w:r>
      <w:r w:rsidR="009251C5">
        <w:t xml:space="preserve"> </w:t>
      </w:r>
      <w:r w:rsidR="00BC4377">
        <w:t>Non-IMASS</w:t>
      </w:r>
      <w:r>
        <w:t xml:space="preserve"> n = 16 in each group. There is potential to use the</w:t>
      </w:r>
      <w:r w:rsidR="009251C5">
        <w:t xml:space="preserve"> average standard devi</w:t>
      </w:r>
      <w:r>
        <w:t>ation = 1.136 or at</w:t>
      </w:r>
      <w:r w:rsidR="009251C5">
        <w:t xml:space="preserve"> worst </w:t>
      </w:r>
      <w:r>
        <w:t>the higher standard deviation (SD</w:t>
      </w:r>
      <w:r w:rsidR="009251C5">
        <w:t xml:space="preserve"> = 1.310</w:t>
      </w:r>
      <w:r>
        <w:t xml:space="preserve">). Because the two standard deviations were different, it was unclear whether </w:t>
      </w:r>
      <w:r w:rsidR="009251C5">
        <w:t xml:space="preserve">people with </w:t>
      </w:r>
      <w:r>
        <w:t xml:space="preserve">a </w:t>
      </w:r>
      <w:r w:rsidR="009251C5">
        <w:t>low confidence score all occur in one group and some high</w:t>
      </w:r>
      <w:r w:rsidR="008A6A01">
        <w:t>-</w:t>
      </w:r>
      <w:r w:rsidR="009251C5">
        <w:t>scoring individuals in that group as well</w:t>
      </w:r>
      <w:r>
        <w:t xml:space="preserve"> or </w:t>
      </w:r>
      <w:r>
        <w:lastRenderedPageBreak/>
        <w:t>whether this is just noise owing to the differences between individuals. This m</w:t>
      </w:r>
      <w:r w:rsidR="009251C5">
        <w:t xml:space="preserve">ay </w:t>
      </w:r>
      <w:r>
        <w:t xml:space="preserve">have </w:t>
      </w:r>
      <w:r w:rsidR="009251C5">
        <w:t xml:space="preserve">led to more unsystematic variation (not due to intervention) due to differences between participants. </w:t>
      </w:r>
    </w:p>
    <w:p w14:paraId="7B1B8FF6" w14:textId="5306185E" w:rsidR="009251C5" w:rsidRDefault="00327368" w:rsidP="009251C5">
      <w:r>
        <w:t>Power calculation</w:t>
      </w:r>
      <w:r w:rsidR="00BB31A6">
        <w:t xml:space="preserve"> </w:t>
      </w:r>
      <w:r>
        <w:t>for using the two</w:t>
      </w:r>
      <w:r w:rsidR="009251C5">
        <w:t xml:space="preserve"> different groups</w:t>
      </w:r>
      <w:r>
        <w:t xml:space="preserve"> as calculated by the researcher following online guidance from</w:t>
      </w:r>
      <w:r w:rsidR="009251C5">
        <w:t xml:space="preserve"> (</w:t>
      </w:r>
      <w:hyperlink r:id="rId98" w:history="1">
        <w:r w:rsidR="009251C5" w:rsidRPr="00962E98">
          <w:rPr>
            <w:rStyle w:val="Hyperlink"/>
            <w:color w:val="auto"/>
          </w:rPr>
          <w:t>www.physicsforums.com</w:t>
        </w:r>
      </w:hyperlink>
      <w:r w:rsidR="009251C5" w:rsidRPr="00962E98">
        <w:t>)</w:t>
      </w:r>
      <w:r w:rsidR="009251C5">
        <w:t xml:space="preserve"> </w:t>
      </w:r>
      <w:r>
        <w:t>‘</w:t>
      </w:r>
      <w:r w:rsidR="009251C5">
        <w:t>biomath.info</w:t>
      </w:r>
      <w:r>
        <w:t xml:space="preserve"> </w:t>
      </w:r>
      <w:r w:rsidR="009251C5">
        <w:t>Unpaired t-test using http://biomath.info/power/ttest.htm</w:t>
      </w:r>
      <w:r>
        <w:t>’:</w:t>
      </w:r>
    </w:p>
    <w:p w14:paraId="14CB8838" w14:textId="1AEDEB22" w:rsidR="009251C5" w:rsidRDefault="009251C5" w:rsidP="009251C5">
      <w:r>
        <w:t>Group 1 mean= 5.25</w:t>
      </w:r>
      <w:r w:rsidR="0011634C">
        <w:t>,</w:t>
      </w:r>
      <w:r w:rsidR="00D72F0E">
        <w:tab/>
      </w:r>
      <w:r>
        <w:t>Group 2 mean= 6.12</w:t>
      </w:r>
    </w:p>
    <w:p w14:paraId="5F359A0B" w14:textId="798D399C" w:rsidR="009251C5" w:rsidRDefault="009251C5" w:rsidP="009251C5">
      <w:r>
        <w:t xml:space="preserve">Std </w:t>
      </w:r>
      <w:r w:rsidR="00E51676">
        <w:t>dev.</w:t>
      </w:r>
      <w:r>
        <w:t xml:space="preserve"> = 1.13 (average), 1.31 (higher in IMASS group)</w:t>
      </w:r>
    </w:p>
    <w:p w14:paraId="26637FB3" w14:textId="77777777" w:rsidR="009251C5" w:rsidRDefault="009251C5" w:rsidP="009251C5">
      <w:r>
        <w:t>Sample size = 28 in each group if use average SD (total 56), 37 in each group with higher SD (total 74)</w:t>
      </w:r>
    </w:p>
    <w:p w14:paraId="5226B87D" w14:textId="346238EA" w:rsidR="009251C5" w:rsidRDefault="009251C5" w:rsidP="009251C5">
      <w:r>
        <w:t xml:space="preserve">Find effect size (using group </w:t>
      </w:r>
      <w:r w:rsidR="002938BF">
        <w:t>1: n</w:t>
      </w:r>
      <w:r>
        <w:t xml:space="preserve"> = 16 and SD of 0.93) – show difference of size of 0.95 = large effect (d = 0.2 small, 0.5 medium, 0.8 large effect)</w:t>
      </w:r>
    </w:p>
    <w:p w14:paraId="1C3040A6" w14:textId="372E4060" w:rsidR="0011634C" w:rsidRDefault="009251C5" w:rsidP="009251C5">
      <w:r>
        <w:t>Alpha prob 0.05</w:t>
      </w:r>
      <w:r w:rsidR="0011634C">
        <w:tab/>
      </w:r>
    </w:p>
    <w:p w14:paraId="04959A4C" w14:textId="77777777" w:rsidR="009251C5" w:rsidRDefault="009251C5" w:rsidP="009251C5">
      <w:r>
        <w:t>Power 0.8</w:t>
      </w:r>
    </w:p>
    <w:p w14:paraId="2A4643DA" w14:textId="046874C7" w:rsidR="00327368" w:rsidRDefault="00327368" w:rsidP="009251C5">
      <w:r>
        <w:t>Because the researcher could not replicate th</w:t>
      </w:r>
      <w:r w:rsidR="0032577B">
        <w:t xml:space="preserve">e initial value of 90, </w:t>
      </w:r>
      <w:r w:rsidR="002938BF">
        <w:t>producing values</w:t>
      </w:r>
      <w:r>
        <w:t xml:space="preserve"> lower</w:t>
      </w:r>
      <w:r w:rsidR="0032577B">
        <w:t>,</w:t>
      </w:r>
      <w:r>
        <w:t xml:space="preserve"> they decided to aim for the value calculated by t</w:t>
      </w:r>
      <w:r w:rsidR="00A6114C">
        <w:t>he statistician and aim for a s</w:t>
      </w:r>
      <w:r>
        <w:t>a</w:t>
      </w:r>
      <w:r w:rsidR="00A6114C">
        <w:t>m</w:t>
      </w:r>
      <w:r>
        <w:t xml:space="preserve">ple size of 90 to power the study. </w:t>
      </w:r>
    </w:p>
    <w:p w14:paraId="2E6CD16F" w14:textId="334D4604" w:rsidR="00162A24" w:rsidRDefault="002146DC" w:rsidP="00C030CE">
      <w:r>
        <w:t>Due to the differences in standard deviations between the two groups</w:t>
      </w:r>
      <w:r w:rsidR="00511ED1">
        <w:t>,</w:t>
      </w:r>
      <w:r>
        <w:t xml:space="preserve"> it was felt by the researcher and team that to capture the difference between conditions over time</w:t>
      </w:r>
      <w:r w:rsidR="00511ED1">
        <w:t>,</w:t>
      </w:r>
      <w:r>
        <w:t xml:space="preserve"> it would be more reliable to employ a </w:t>
      </w:r>
      <w:r w:rsidR="00082BB6">
        <w:t>repeated-measures</w:t>
      </w:r>
      <w:r>
        <w:t xml:space="preserve"> </w:t>
      </w:r>
      <w:r>
        <w:lastRenderedPageBreak/>
        <w:t>design</w:t>
      </w:r>
      <w:r w:rsidR="00C42F40">
        <w:t>.</w:t>
      </w:r>
      <w:r>
        <w:t xml:space="preserve"> </w:t>
      </w:r>
      <w:r w:rsidR="00C42F40">
        <w:t>The</w:t>
      </w:r>
      <w:r>
        <w:t xml:space="preserve"> group acted as the control with baseline scores</w:t>
      </w:r>
      <w:r w:rsidR="00C42F40">
        <w:t>,</w:t>
      </w:r>
      <w:r>
        <w:t xml:space="preserve"> so there would be less noise and unsystematic variation affecting results from differences between subjects. </w:t>
      </w:r>
    </w:p>
    <w:p w14:paraId="1FAB4E1E" w14:textId="77777777" w:rsidR="00162A24" w:rsidRDefault="00162A24" w:rsidP="00C030CE"/>
    <w:p w14:paraId="09E0909F" w14:textId="77777777" w:rsidR="00162A24" w:rsidRDefault="00162A24" w:rsidP="00C030CE"/>
    <w:p w14:paraId="0718CE53" w14:textId="77777777" w:rsidR="00162A24" w:rsidRDefault="00162A24" w:rsidP="00C030CE"/>
    <w:p w14:paraId="5DB00038" w14:textId="77777777" w:rsidR="00162A24" w:rsidRDefault="00162A24" w:rsidP="00C030CE"/>
    <w:p w14:paraId="44055BC8" w14:textId="77777777" w:rsidR="00162A24" w:rsidRDefault="00162A24" w:rsidP="00C030CE"/>
    <w:p w14:paraId="3683CC8A" w14:textId="77777777" w:rsidR="00B74756" w:rsidRDefault="00B74756" w:rsidP="00C030CE"/>
    <w:p w14:paraId="794A8FBD" w14:textId="77777777" w:rsidR="00B74756" w:rsidRDefault="00B74756" w:rsidP="00C030CE"/>
    <w:p w14:paraId="3C793C0C" w14:textId="77777777" w:rsidR="00B74756" w:rsidRDefault="00B74756" w:rsidP="00C030CE"/>
    <w:p w14:paraId="120171E7" w14:textId="77777777" w:rsidR="00B74756" w:rsidRDefault="00B74756" w:rsidP="00C030CE"/>
    <w:p w14:paraId="1C9ECFAA" w14:textId="77777777" w:rsidR="00162A24" w:rsidRDefault="00162A24" w:rsidP="00C030CE"/>
    <w:p w14:paraId="13917597" w14:textId="77777777" w:rsidR="00162A24" w:rsidRPr="00C030CE" w:rsidRDefault="00162A24" w:rsidP="00C030CE"/>
    <w:p w14:paraId="0F9FBF5B" w14:textId="00CCEC30" w:rsidR="001E391A" w:rsidRDefault="001E391A" w:rsidP="00CA53EB">
      <w:pPr>
        <w:pStyle w:val="Heading2"/>
      </w:pPr>
      <w:bookmarkStart w:id="280" w:name="_Toc343501167"/>
      <w:bookmarkStart w:id="281" w:name="_Toc348686369"/>
      <w:bookmarkStart w:id="282" w:name="_Toc419116168"/>
      <w:r w:rsidRPr="00601AF7">
        <w:t>Discussion</w:t>
      </w:r>
      <w:bookmarkEnd w:id="280"/>
      <w:r w:rsidR="00CE4D49">
        <w:t>: Key findings from p</w:t>
      </w:r>
      <w:r w:rsidR="00CF5F2D">
        <w:t>ilot study</w:t>
      </w:r>
      <w:bookmarkEnd w:id="281"/>
      <w:bookmarkEnd w:id="282"/>
    </w:p>
    <w:p w14:paraId="5ED00C27" w14:textId="77777777" w:rsidR="00F13BAC" w:rsidRPr="00F13BAC" w:rsidRDefault="00F13BAC" w:rsidP="00F13BAC"/>
    <w:p w14:paraId="3AF3DC1B" w14:textId="2AF4D141" w:rsidR="00BB31A6" w:rsidRDefault="00BB31A6" w:rsidP="00C030CE">
      <w:pPr>
        <w:rPr>
          <w:rFonts w:cs="Arial"/>
          <w:szCs w:val="24"/>
        </w:rPr>
      </w:pPr>
      <w:r>
        <w:rPr>
          <w:rFonts w:cs="Arial"/>
          <w:szCs w:val="24"/>
        </w:rPr>
        <w:t xml:space="preserve">This pilot study aimed to assess the feasibility of the course and assessments which both worked well. It aimed to reveal the effect of the simulation on </w:t>
      </w:r>
      <w:r>
        <w:rPr>
          <w:rFonts w:cs="Arial"/>
          <w:szCs w:val="24"/>
        </w:rPr>
        <w:lastRenderedPageBreak/>
        <w:t>confidence scores over time and allow a control group to inform a power calculation for the final intervention study</w:t>
      </w:r>
      <w:r w:rsidR="00834C56">
        <w:rPr>
          <w:rFonts w:cs="Arial"/>
          <w:szCs w:val="24"/>
        </w:rPr>
        <w:t xml:space="preserve"> (n=90)</w:t>
      </w:r>
      <w:r>
        <w:rPr>
          <w:rFonts w:cs="Arial"/>
          <w:szCs w:val="24"/>
        </w:rPr>
        <w:t xml:space="preserve">. Eighty-three per cent of final year medical students </w:t>
      </w:r>
      <w:r w:rsidR="00834C56">
        <w:rPr>
          <w:rFonts w:cs="Arial"/>
          <w:szCs w:val="24"/>
        </w:rPr>
        <w:t xml:space="preserve">reported </w:t>
      </w:r>
      <w:r>
        <w:rPr>
          <w:rFonts w:cs="Arial"/>
          <w:szCs w:val="24"/>
        </w:rPr>
        <w:t xml:space="preserve">increased in confidence following the course. At three months post course </w:t>
      </w:r>
      <w:r w:rsidR="00834C56">
        <w:rPr>
          <w:rFonts w:cs="Arial"/>
          <w:szCs w:val="24"/>
        </w:rPr>
        <w:t xml:space="preserve">those that did the simulation course felt more confident and prepared than those that did not. </w:t>
      </w:r>
    </w:p>
    <w:p w14:paraId="5FF41F36" w14:textId="3A2B78D1" w:rsidR="00C030CE" w:rsidRDefault="00C030CE" w:rsidP="00C030CE">
      <w:pPr>
        <w:rPr>
          <w:rFonts w:cs="Arial"/>
          <w:szCs w:val="24"/>
        </w:rPr>
      </w:pPr>
      <w:r>
        <w:rPr>
          <w:rFonts w:cs="Arial"/>
          <w:szCs w:val="24"/>
        </w:rPr>
        <w:t>Medical students (</w:t>
      </w:r>
      <w:r w:rsidRPr="009E0A6E">
        <w:rPr>
          <w:rFonts w:cs="Arial"/>
          <w:szCs w:val="24"/>
        </w:rPr>
        <w:t>over 40% of UK medical graduates</w:t>
      </w:r>
      <w:r>
        <w:rPr>
          <w:rFonts w:cs="Arial"/>
          <w:szCs w:val="24"/>
        </w:rPr>
        <w:t xml:space="preserve">) do not feel prepared for clinical practice by their undergraduate curriculum </w:t>
      </w:r>
      <w:r>
        <w:rPr>
          <w:rFonts w:cs="Arial"/>
          <w:szCs w:val="24"/>
        </w:rPr>
        <w:fldChar w:fldCharType="begin">
          <w:fldData xml:space="preserve">PEVuZE5vdGU+PENpdGU+PEF1dGhvcj5DYXZlPC9BdXRob3I+PFllYXI+MjAwNzwvWWVhcj48SURU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</w:fldData>
        </w:fldChar>
      </w:r>
      <w:r w:rsidR="00D41659">
        <w:rPr>
          <w:rFonts w:cs="Arial"/>
          <w:szCs w:val="24"/>
        </w:rPr>
        <w:instrText xml:space="preserve"> ADDIN EN.CITE </w:instrText>
      </w:r>
      <w:r w:rsidR="00D41659">
        <w:rPr>
          <w:rFonts w:cs="Arial"/>
          <w:szCs w:val="24"/>
        </w:rPr>
        <w:fldChar w:fldCharType="begin">
          <w:fldData xml:space="preserve">PEVuZE5vdGU+PENpdGU+PEF1dGhvcj5DYXZlPC9BdXRob3I+PFllYXI+MjAwNzwvWWVhcj48SURU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</w:fldData>
        </w:fldChar>
      </w:r>
      <w:r w:rsidR="00D41659">
        <w:rPr>
          <w:rFonts w:cs="Arial"/>
          <w:szCs w:val="24"/>
        </w:rPr>
        <w:instrText xml:space="preserve"> ADDIN EN.CITE.DATA </w:instrText>
      </w:r>
      <w:r w:rsidR="00D41659">
        <w:rPr>
          <w:rFonts w:cs="Arial"/>
          <w:szCs w:val="24"/>
        </w:rPr>
      </w:r>
      <w:r w:rsidR="00D41659">
        <w:rPr>
          <w:rFonts w:cs="Arial"/>
          <w:szCs w:val="24"/>
        </w:rPr>
        <w:fldChar w:fldCharType="end"/>
      </w:r>
      <w:r>
        <w:rPr>
          <w:rFonts w:cs="Arial"/>
          <w:szCs w:val="24"/>
        </w:rPr>
      </w:r>
      <w:r>
        <w:rPr>
          <w:rFonts w:cs="Arial"/>
          <w:szCs w:val="24"/>
        </w:rPr>
        <w:fldChar w:fldCharType="separate"/>
      </w:r>
      <w:r w:rsidR="000612D3">
        <w:rPr>
          <w:rFonts w:cs="Arial"/>
          <w:noProof/>
          <w:szCs w:val="24"/>
        </w:rPr>
        <w:t>(Cave et al., 2007, Goldacre et al., 2003)</w:t>
      </w:r>
      <w:r>
        <w:rPr>
          <w:rFonts w:cs="Arial"/>
          <w:szCs w:val="24"/>
        </w:rPr>
        <w:fldChar w:fldCharType="end"/>
      </w:r>
      <w:r>
        <w:rPr>
          <w:rFonts w:cs="Arial"/>
          <w:szCs w:val="24"/>
        </w:rPr>
        <w:t xml:space="preserve">. </w:t>
      </w:r>
      <w:r w:rsidR="00B2240E">
        <w:rPr>
          <w:rFonts w:cs="Arial"/>
          <w:szCs w:val="24"/>
        </w:rPr>
        <w:t xml:space="preserve">The areas students are least prepared are: </w:t>
      </w:r>
      <w:r w:rsidR="00B2240E" w:rsidRPr="009E0A6E">
        <w:rPr>
          <w:rFonts w:cs="Arial"/>
          <w:szCs w:val="24"/>
        </w:rPr>
        <w:t>dealing with acutely ill patients</w:t>
      </w:r>
      <w:r w:rsidR="008D40D0">
        <w:rPr>
          <w:rFonts w:cs="Arial"/>
          <w:szCs w:val="24"/>
        </w:rPr>
        <w:t>,</w:t>
      </w:r>
      <w:r w:rsidR="00B2240E" w:rsidRPr="009E0A6E">
        <w:rPr>
          <w:rFonts w:cs="Arial"/>
          <w:szCs w:val="24"/>
        </w:rPr>
        <w:t xml:space="preserve"> prescribing</w:t>
      </w:r>
      <w:r w:rsidR="008D40D0">
        <w:rPr>
          <w:rFonts w:cs="Arial"/>
          <w:szCs w:val="24"/>
        </w:rPr>
        <w:t>,</w:t>
      </w:r>
      <w:r w:rsidR="00B2240E" w:rsidRPr="009E0A6E">
        <w:rPr>
          <w:rFonts w:cs="Arial"/>
          <w:szCs w:val="24"/>
        </w:rPr>
        <w:t xml:space="preserve"> managing workloa</w:t>
      </w:r>
      <w:r w:rsidR="00B2240E">
        <w:rPr>
          <w:rFonts w:cs="Arial"/>
          <w:szCs w:val="24"/>
        </w:rPr>
        <w:t>d</w:t>
      </w:r>
      <w:r w:rsidR="008D40D0">
        <w:rPr>
          <w:rFonts w:cs="Arial"/>
          <w:szCs w:val="24"/>
        </w:rPr>
        <w:t>,</w:t>
      </w:r>
      <w:r w:rsidR="00B2240E" w:rsidRPr="009E0A6E">
        <w:rPr>
          <w:rFonts w:cs="Arial"/>
          <w:szCs w:val="24"/>
        </w:rPr>
        <w:t xml:space="preserve"> and being on call</w:t>
      </w:r>
      <w:r w:rsidR="00B2240E">
        <w:rPr>
          <w:rFonts w:cs="Arial"/>
          <w:szCs w:val="24"/>
        </w:rPr>
        <w:t xml:space="preserve">. </w:t>
      </w:r>
      <w:r>
        <w:rPr>
          <w:rFonts w:cs="Arial"/>
          <w:szCs w:val="24"/>
        </w:rPr>
        <w:t xml:space="preserve">In response, some undergraduate curriculums have altered shadowing programmes but they are not standardised. The GMC has recommended the use of simulated environments and patients to aid experiential learning and highlights the importance of </w:t>
      </w:r>
      <w:r w:rsidR="00A645DC">
        <w:rPr>
          <w:rFonts w:cs="Arial"/>
          <w:szCs w:val="24"/>
        </w:rPr>
        <w:t>interprofessional</w:t>
      </w:r>
      <w:r>
        <w:rPr>
          <w:rFonts w:cs="Arial"/>
          <w:szCs w:val="24"/>
        </w:rPr>
        <w:t xml:space="preserve"> learning </w:t>
      </w:r>
      <w:r>
        <w:rPr>
          <w:rFonts w:cs="Arial"/>
          <w:szCs w:val="24"/>
        </w:rPr>
        <w:fldChar w:fldCharType="begin"/>
      </w:r>
      <w:r w:rsidR="00BB31A6">
        <w:rPr>
          <w:rFonts w:cs="Arial"/>
          <w:szCs w:val="24"/>
        </w:rPr>
        <w:instrText xml:space="preserve"> ADDIN EN.CITE &lt;EndNote&gt;&lt;Cite&gt;&lt;Author&gt;GMC&lt;/Author&gt;&lt;Year&gt;2009&lt;/Year&gt;&lt;IDText&gt;Tomorrow&amp;apos;s Doctors. Outcomes and standards for undergraduate medical education&lt;/IDText&gt;&lt;DisplayText&gt;(GMC, 2009)&lt;/DisplayText&gt;&lt;record&gt;&lt;urls&gt;&lt;related-urls&gt;&lt;url&gt;www.gmc-uk.org/education/undergraduate/tomorrows_doctors_2009&lt;/url&gt;&lt;/related-urls&gt;&lt;/urls&gt;&lt;titles&gt;&lt;title&gt;Tomorrow&amp;apos;s Doctors. Outcomes and standards for undergraduate medical education&lt;/title&gt;&lt;/titles&gt;&lt;contributors&gt;&lt;authors&gt;&lt;author&gt;GMC, General Medical Council&lt;/author&gt;&lt;/authors&gt;&lt;/contributors&gt;&lt;added-date format="utc"&gt;1397402647&lt;/added-date&gt;&lt;pub-location&gt;On line&lt;/pub-location&gt;&lt;ref-type name="Web Page"&gt;12&lt;/ref-type&gt;&lt;dates&gt;&lt;year&gt;2009&lt;/year&gt;&lt;/dates&gt;&lt;rec-number&gt;74&lt;/rec-number&gt;&lt;publisher&gt;London&lt;/publisher&gt;&lt;last-updated-date format="utc"&gt;1397824564&lt;/last-updated-date&gt;&lt;/record&gt;&lt;/Cite&gt;&lt;/EndNote&gt;</w:instrText>
      </w:r>
      <w:r>
        <w:rPr>
          <w:rFonts w:cs="Arial"/>
          <w:szCs w:val="24"/>
        </w:rPr>
        <w:fldChar w:fldCharType="separate"/>
      </w:r>
      <w:r w:rsidR="00BB31A6">
        <w:rPr>
          <w:rFonts w:cs="Arial"/>
          <w:noProof/>
          <w:szCs w:val="24"/>
        </w:rPr>
        <w:t>(GMC, 2009)</w:t>
      </w:r>
      <w:r>
        <w:rPr>
          <w:rFonts w:cs="Arial"/>
          <w:szCs w:val="24"/>
        </w:rPr>
        <w:fldChar w:fldCharType="end"/>
      </w:r>
      <w:r>
        <w:rPr>
          <w:rFonts w:cs="Arial"/>
          <w:szCs w:val="24"/>
        </w:rPr>
        <w:t>.</w:t>
      </w:r>
    </w:p>
    <w:p w14:paraId="335E45EA" w14:textId="08FDBC23" w:rsidR="00C030CE" w:rsidRDefault="0070140D" w:rsidP="00C030CE">
      <w:pPr>
        <w:rPr>
          <w:rFonts w:cs="Arial"/>
          <w:szCs w:val="24"/>
        </w:rPr>
      </w:pPr>
      <w:r>
        <w:rPr>
          <w:rFonts w:cs="Arial"/>
          <w:szCs w:val="24"/>
        </w:rPr>
        <w:t>Simulation-based</w:t>
      </w:r>
      <w:r w:rsidR="00C030CE">
        <w:rPr>
          <w:rFonts w:cs="Arial"/>
          <w:szCs w:val="24"/>
        </w:rPr>
        <w:t xml:space="preserve"> education does translate </w:t>
      </w:r>
      <w:r w:rsidR="000A27DF">
        <w:rPr>
          <w:rFonts w:cs="Arial"/>
          <w:szCs w:val="24"/>
        </w:rPr>
        <w:t>into</w:t>
      </w:r>
      <w:r w:rsidR="00C030CE">
        <w:rPr>
          <w:rFonts w:cs="Arial"/>
          <w:szCs w:val="24"/>
        </w:rPr>
        <w:t xml:space="preserve"> clinical practice with positive effects. Within this study, Issenberg’s and </w:t>
      </w:r>
      <w:proofErr w:type="spellStart"/>
      <w:r w:rsidR="00C030CE">
        <w:rPr>
          <w:rFonts w:cs="Arial"/>
          <w:szCs w:val="24"/>
        </w:rPr>
        <w:t>Motola’s</w:t>
      </w:r>
      <w:proofErr w:type="spellEnd"/>
      <w:r w:rsidR="00C030CE">
        <w:rPr>
          <w:rFonts w:cs="Arial"/>
          <w:szCs w:val="24"/>
        </w:rPr>
        <w:t xml:space="preserve"> recommendations from their systematic review were </w:t>
      </w:r>
      <w:r w:rsidR="00337A7E">
        <w:rPr>
          <w:rFonts w:cs="Arial"/>
          <w:szCs w:val="24"/>
        </w:rPr>
        <w:t>used</w:t>
      </w:r>
      <w:r w:rsidR="00C030CE">
        <w:rPr>
          <w:rFonts w:cs="Arial"/>
          <w:szCs w:val="24"/>
        </w:rPr>
        <w:t xml:space="preserve"> to guide structuring simulation teaching, in particular the use of clear learning outcomes </w:t>
      </w:r>
      <w:r w:rsidR="00C030CE">
        <w:rPr>
          <w:rFonts w:cs="Arial"/>
          <w:szCs w:val="24"/>
        </w:rPr>
        <w:fldChar w:fldCharType="begin"/>
      </w:r>
      <w:r w:rsidR="000612D3">
        <w:rPr>
          <w:rFonts w:cs="Arial"/>
          <w:szCs w:val="24"/>
        </w:rPr>
        <w:instrText xml:space="preserve"> ADDIN EN.CITE &lt;EndNote&gt;&lt;Cite&gt;&lt;Author&gt;Motola&lt;/Author&gt;&lt;Year&gt;2013&lt;/Year&gt;&lt;IDText&gt;Simulation in healthcare education: A best evidence practical guide. AMEE Guide No. 82&lt;/IDText&gt;&lt;DisplayText&gt;(Motola et al., 2013)&lt;/DisplayText&gt;&lt;record&gt;&lt;titles&gt;&lt;title&gt;Simulation in healthcare education: A best evidence practical guide. AMEE Guide No. 82&lt;/title&gt;&lt;secondary-title&gt;Medical Teacher&lt;/secondary-title&gt;&lt;/titles&gt;&lt;pages&gt;1511 - 1530&lt;/pages&gt;&lt;contributors&gt;&lt;authors&gt;&lt;author&gt;Motola, I.&lt;/author&gt;&lt;author&gt;Devine, L.&lt;/author&gt;&lt;author&gt;Chung, H.&lt;/author&gt;&lt;author&gt;Sullivan, J.&lt;/author&gt;&lt;author&gt;Issenberg, B.&lt;/author&gt;&lt;/authors&gt;&lt;/contributors&gt;&lt;added-date format="utc"&gt;1390830724&lt;/added-date&gt;&lt;ref-type name="Journal Article"&gt;17&lt;/ref-type&gt;&lt;dates&gt;&lt;year&gt;2013&lt;/year&gt;&lt;/dates&gt;&lt;rec-number&gt;4&lt;/rec-number&gt;&lt;last-updated-date format="utc"&gt;1390830991&lt;/last-updated-date&gt;&lt;volume&gt;35&lt;/volume&gt;&lt;/record&gt;&lt;/Cite&gt;&lt;/EndNote&gt;</w:instrText>
      </w:r>
      <w:r w:rsidR="00C030CE">
        <w:rPr>
          <w:rFonts w:cs="Arial"/>
          <w:szCs w:val="24"/>
        </w:rPr>
        <w:fldChar w:fldCharType="separate"/>
      </w:r>
      <w:r w:rsidR="000612D3">
        <w:rPr>
          <w:rFonts w:cs="Arial"/>
          <w:noProof/>
          <w:szCs w:val="24"/>
        </w:rPr>
        <w:t>(Motola et al., 2013)</w:t>
      </w:r>
      <w:r w:rsidR="00C030CE">
        <w:rPr>
          <w:rFonts w:cs="Arial"/>
          <w:szCs w:val="24"/>
        </w:rPr>
        <w:fldChar w:fldCharType="end"/>
      </w:r>
      <w:r w:rsidR="00C9797A">
        <w:rPr>
          <w:rFonts w:cs="Arial"/>
          <w:szCs w:val="24"/>
        </w:rPr>
        <w:t>. At a national UK simulation conference attended</w:t>
      </w:r>
      <w:r w:rsidR="00C030CE">
        <w:rPr>
          <w:rFonts w:cs="Arial"/>
          <w:szCs w:val="24"/>
        </w:rPr>
        <w:t xml:space="preserve"> </w:t>
      </w:r>
      <w:r w:rsidR="00C9797A">
        <w:rPr>
          <w:rFonts w:cs="Arial"/>
          <w:szCs w:val="24"/>
        </w:rPr>
        <w:t xml:space="preserve">in November 2015 (Association of Simulated Practice in </w:t>
      </w:r>
      <w:r w:rsidR="001D42C9">
        <w:rPr>
          <w:rFonts w:cs="Arial"/>
          <w:szCs w:val="24"/>
        </w:rPr>
        <w:t>Healthcare</w:t>
      </w:r>
      <w:r w:rsidR="00C9797A">
        <w:rPr>
          <w:rFonts w:cs="Arial"/>
          <w:szCs w:val="24"/>
        </w:rPr>
        <w:t xml:space="preserve"> </w:t>
      </w:r>
      <w:proofErr w:type="spellStart"/>
      <w:r w:rsidR="00C9797A">
        <w:rPr>
          <w:rFonts w:cs="Arial"/>
          <w:szCs w:val="24"/>
        </w:rPr>
        <w:t>ASPiH</w:t>
      </w:r>
      <w:proofErr w:type="spellEnd"/>
      <w:r w:rsidR="00C9797A">
        <w:rPr>
          <w:rFonts w:cs="Arial"/>
          <w:szCs w:val="24"/>
        </w:rPr>
        <w:t>)</w:t>
      </w:r>
      <w:r w:rsidR="00B2240E">
        <w:rPr>
          <w:rFonts w:cs="Arial"/>
          <w:szCs w:val="24"/>
        </w:rPr>
        <w:t>,</w:t>
      </w:r>
      <w:r w:rsidR="00C9797A">
        <w:rPr>
          <w:rFonts w:cs="Arial"/>
          <w:szCs w:val="24"/>
        </w:rPr>
        <w:t xml:space="preserve"> there was</w:t>
      </w:r>
      <w:r w:rsidR="00C030CE">
        <w:rPr>
          <w:rFonts w:cs="Arial"/>
          <w:szCs w:val="24"/>
        </w:rPr>
        <w:t xml:space="preserve"> debate</w:t>
      </w:r>
      <w:r w:rsidR="00C9797A">
        <w:rPr>
          <w:rFonts w:cs="Arial"/>
          <w:szCs w:val="24"/>
        </w:rPr>
        <w:t xml:space="preserve"> between medical educators </w:t>
      </w:r>
      <w:r w:rsidR="00C030CE">
        <w:rPr>
          <w:rFonts w:cs="Arial"/>
          <w:szCs w:val="24"/>
        </w:rPr>
        <w:t>as to who should provide the learning outcomes</w:t>
      </w:r>
      <w:r w:rsidR="00C9797A">
        <w:rPr>
          <w:rFonts w:cs="Arial"/>
          <w:szCs w:val="24"/>
        </w:rPr>
        <w:t xml:space="preserve"> for a simulation session</w:t>
      </w:r>
      <w:r w:rsidR="008D40D0">
        <w:rPr>
          <w:rFonts w:cs="Arial"/>
          <w:szCs w:val="24"/>
        </w:rPr>
        <w:t xml:space="preserve"> -</w:t>
      </w:r>
      <w:r w:rsidR="00C030CE">
        <w:rPr>
          <w:rFonts w:cs="Arial"/>
          <w:szCs w:val="24"/>
        </w:rPr>
        <w:t xml:space="preserve"> the learner, peers or faculty. During the pilot course </w:t>
      </w:r>
      <w:r w:rsidR="00CE013C">
        <w:rPr>
          <w:rFonts w:cs="Arial"/>
          <w:szCs w:val="24"/>
        </w:rPr>
        <w:t>the researcher</w:t>
      </w:r>
      <w:r w:rsidR="00C030CE">
        <w:rPr>
          <w:rFonts w:cs="Arial"/>
          <w:szCs w:val="24"/>
        </w:rPr>
        <w:t xml:space="preserve"> moved from faculty</w:t>
      </w:r>
      <w:r w:rsidR="008D40D0">
        <w:rPr>
          <w:rFonts w:cs="Arial"/>
          <w:szCs w:val="24"/>
        </w:rPr>
        <w:t>-</w:t>
      </w:r>
      <w:r w:rsidR="00C030CE">
        <w:rPr>
          <w:rFonts w:cs="Arial"/>
          <w:szCs w:val="24"/>
        </w:rPr>
        <w:t>led to a mix of learner</w:t>
      </w:r>
      <w:r w:rsidR="008D40D0">
        <w:rPr>
          <w:rFonts w:cs="Arial"/>
          <w:szCs w:val="24"/>
        </w:rPr>
        <w:t xml:space="preserve">- </w:t>
      </w:r>
      <w:r w:rsidR="00C030CE">
        <w:rPr>
          <w:rFonts w:cs="Arial"/>
          <w:szCs w:val="24"/>
        </w:rPr>
        <w:t>and faculty</w:t>
      </w:r>
      <w:r w:rsidR="008D40D0">
        <w:rPr>
          <w:rFonts w:cs="Arial"/>
          <w:szCs w:val="24"/>
        </w:rPr>
        <w:t>-</w:t>
      </w:r>
      <w:r w:rsidR="00C030CE">
        <w:rPr>
          <w:rFonts w:cs="Arial"/>
          <w:szCs w:val="24"/>
        </w:rPr>
        <w:t>led</w:t>
      </w:r>
      <w:r w:rsidR="00CE013C">
        <w:rPr>
          <w:rFonts w:cs="Arial"/>
          <w:szCs w:val="24"/>
        </w:rPr>
        <w:t xml:space="preserve"> </w:t>
      </w:r>
      <w:r w:rsidR="00B2240E">
        <w:rPr>
          <w:rFonts w:cs="Arial"/>
          <w:szCs w:val="24"/>
        </w:rPr>
        <w:t>learning outcomes to</w:t>
      </w:r>
      <w:r w:rsidR="00C030CE">
        <w:rPr>
          <w:rFonts w:cs="Arial"/>
          <w:szCs w:val="24"/>
        </w:rPr>
        <w:t xml:space="preserve"> </w:t>
      </w:r>
      <w:r w:rsidR="00B2240E">
        <w:rPr>
          <w:rFonts w:cs="Arial"/>
          <w:szCs w:val="24"/>
        </w:rPr>
        <w:t xml:space="preserve">allow </w:t>
      </w:r>
      <w:r w:rsidR="00C030CE">
        <w:rPr>
          <w:rFonts w:cs="Arial"/>
          <w:szCs w:val="24"/>
        </w:rPr>
        <w:t xml:space="preserve">individual </w:t>
      </w:r>
      <w:r w:rsidR="00B2240E">
        <w:rPr>
          <w:rFonts w:cs="Arial"/>
          <w:szCs w:val="24"/>
        </w:rPr>
        <w:t xml:space="preserve">emergent contextualised outcomes </w:t>
      </w:r>
      <w:r w:rsidR="00C030CE">
        <w:rPr>
          <w:rFonts w:cs="Arial"/>
          <w:szCs w:val="24"/>
        </w:rPr>
        <w:t>to be addressed</w:t>
      </w:r>
      <w:r w:rsidR="00B2240E">
        <w:rPr>
          <w:rFonts w:cs="Arial"/>
          <w:szCs w:val="24"/>
        </w:rPr>
        <w:t xml:space="preserve"> in the debrief. Findings concur with </w:t>
      </w:r>
      <w:r w:rsidR="00C030CE" w:rsidRPr="00BC1B13">
        <w:rPr>
          <w:rFonts w:cs="Arial"/>
          <w:szCs w:val="24"/>
        </w:rPr>
        <w:t>multiple authors</w:t>
      </w:r>
      <w:r w:rsidR="00B2240E">
        <w:rPr>
          <w:rFonts w:cs="Arial"/>
          <w:szCs w:val="24"/>
        </w:rPr>
        <w:t xml:space="preserve"> about</w:t>
      </w:r>
      <w:r w:rsidR="00C030CE" w:rsidRPr="00BC1B13">
        <w:rPr>
          <w:rFonts w:cs="Arial"/>
          <w:szCs w:val="24"/>
        </w:rPr>
        <w:t xml:space="preserve"> the importance </w:t>
      </w:r>
      <w:r w:rsidR="00B2240E">
        <w:rPr>
          <w:rFonts w:cs="Arial"/>
          <w:szCs w:val="24"/>
        </w:rPr>
        <w:t>of</w:t>
      </w:r>
      <w:r w:rsidR="00C030CE" w:rsidRPr="00BC1B13">
        <w:rPr>
          <w:rFonts w:cs="Arial"/>
          <w:szCs w:val="24"/>
        </w:rPr>
        <w:t xml:space="preserve"> investing </w:t>
      </w:r>
      <w:r w:rsidR="00C030CE" w:rsidRPr="00BC1B13">
        <w:rPr>
          <w:rFonts w:cs="Arial"/>
          <w:szCs w:val="24"/>
        </w:rPr>
        <w:lastRenderedPageBreak/>
        <w:t xml:space="preserve">in good faculty that are trained in simulation and debriefing techniques </w:t>
      </w:r>
      <w:r w:rsidR="00B2240E">
        <w:rPr>
          <w:rFonts w:cs="Arial"/>
          <w:szCs w:val="24"/>
        </w:rPr>
        <w:t xml:space="preserve">for </w:t>
      </w:r>
      <w:r w:rsidR="00C030CE" w:rsidRPr="00BC1B13">
        <w:rPr>
          <w:rFonts w:cs="Arial"/>
          <w:szCs w:val="24"/>
        </w:rPr>
        <w:t>successful learning.</w:t>
      </w:r>
      <w:r w:rsidR="00C030CE">
        <w:rPr>
          <w:rFonts w:cs="Arial"/>
          <w:szCs w:val="24"/>
        </w:rPr>
        <w:t xml:space="preserve"> </w:t>
      </w:r>
    </w:p>
    <w:p w14:paraId="1B81754A" w14:textId="79C38B55" w:rsidR="00855198" w:rsidRPr="000F7168" w:rsidRDefault="00A81CBA" w:rsidP="00855198">
      <w:pPr>
        <w:rPr>
          <w:rFonts w:cs="Arial"/>
          <w:szCs w:val="24"/>
        </w:rPr>
      </w:pPr>
      <w:r>
        <w:rPr>
          <w:rFonts w:cs="Arial"/>
          <w:szCs w:val="24"/>
        </w:rPr>
        <w:t>In terms of the</w:t>
      </w:r>
      <w:r w:rsidR="00C030CE">
        <w:rPr>
          <w:rFonts w:cs="Arial"/>
          <w:szCs w:val="24"/>
        </w:rPr>
        <w:t xml:space="preserve"> research question</w:t>
      </w:r>
      <w:r w:rsidR="008D40D0">
        <w:rPr>
          <w:rFonts w:cs="Arial"/>
          <w:szCs w:val="24"/>
        </w:rPr>
        <w:t>:</w:t>
      </w:r>
      <w:r w:rsidR="00C030CE">
        <w:rPr>
          <w:rFonts w:cs="Arial"/>
          <w:szCs w:val="24"/>
        </w:rPr>
        <w:t xml:space="preserve"> ‘How does a realistic simulation course affect preparedness and confidence of 5</w:t>
      </w:r>
      <w:r w:rsidR="00C030CE" w:rsidRPr="00595CFC">
        <w:rPr>
          <w:rFonts w:cs="Arial"/>
          <w:szCs w:val="24"/>
          <w:vertAlign w:val="superscript"/>
        </w:rPr>
        <w:t>th</w:t>
      </w:r>
      <w:r w:rsidR="00C030CE">
        <w:rPr>
          <w:rFonts w:cs="Arial"/>
          <w:szCs w:val="24"/>
        </w:rPr>
        <w:t xml:space="preserve"> year medical students for clinical practice?’, an 83% improvement in confidence scores from pre</w:t>
      </w:r>
      <w:r w:rsidR="008D40D0">
        <w:rPr>
          <w:rFonts w:cs="Arial"/>
          <w:szCs w:val="24"/>
        </w:rPr>
        <w:t>-</w:t>
      </w:r>
      <w:r w:rsidR="00C030CE">
        <w:rPr>
          <w:rFonts w:cs="Arial"/>
          <w:szCs w:val="24"/>
        </w:rPr>
        <w:t xml:space="preserve"> and </w:t>
      </w:r>
      <w:r w:rsidR="001D42C9">
        <w:rPr>
          <w:rFonts w:cs="Arial"/>
          <w:szCs w:val="24"/>
        </w:rPr>
        <w:t>post-course</w:t>
      </w:r>
      <w:r w:rsidR="00C030CE">
        <w:rPr>
          <w:rFonts w:cs="Arial"/>
          <w:szCs w:val="24"/>
        </w:rPr>
        <w:t xml:space="preserve"> results</w:t>
      </w:r>
      <w:r w:rsidR="00B2240E">
        <w:rPr>
          <w:rFonts w:cs="Arial"/>
          <w:szCs w:val="24"/>
        </w:rPr>
        <w:t xml:space="preserve">, suggests </w:t>
      </w:r>
      <w:r w:rsidR="008D40D0">
        <w:rPr>
          <w:rFonts w:cs="Arial"/>
          <w:szCs w:val="24"/>
        </w:rPr>
        <w:t xml:space="preserve">that </w:t>
      </w:r>
      <w:r w:rsidR="00B2240E">
        <w:rPr>
          <w:rFonts w:cs="Arial"/>
          <w:szCs w:val="24"/>
        </w:rPr>
        <w:t>t</w:t>
      </w:r>
      <w:r w:rsidR="00CE013C">
        <w:rPr>
          <w:rFonts w:cs="Arial"/>
          <w:szCs w:val="24"/>
        </w:rPr>
        <w:t xml:space="preserve">he course </w:t>
      </w:r>
      <w:r w:rsidR="00B2240E">
        <w:rPr>
          <w:rFonts w:cs="Arial"/>
          <w:szCs w:val="24"/>
        </w:rPr>
        <w:t xml:space="preserve">did improve preparedness </w:t>
      </w:r>
      <w:r w:rsidR="00CE013C">
        <w:rPr>
          <w:rFonts w:cs="Arial"/>
          <w:szCs w:val="24"/>
        </w:rPr>
        <w:t xml:space="preserve">in parameters mapped to </w:t>
      </w:r>
      <w:r w:rsidR="008D40D0">
        <w:rPr>
          <w:rFonts w:cs="Arial"/>
          <w:szCs w:val="24"/>
        </w:rPr>
        <w:t xml:space="preserve">the </w:t>
      </w:r>
      <w:r w:rsidR="00CE013C">
        <w:rPr>
          <w:rFonts w:cs="Arial"/>
          <w:szCs w:val="24"/>
        </w:rPr>
        <w:t>TD and the FP curriculum</w:t>
      </w:r>
      <w:r w:rsidR="00C030CE">
        <w:rPr>
          <w:rFonts w:cs="Arial"/>
          <w:szCs w:val="24"/>
        </w:rPr>
        <w:t xml:space="preserve">. The remaining 13% remained stable with no reduction in confidence. This is important because some simulation encounters can be very stressful and cause negative learning. For this reason the balance of realism and pressure used within this study was </w:t>
      </w:r>
      <w:r w:rsidR="000750B3">
        <w:rPr>
          <w:rFonts w:cs="Arial"/>
          <w:szCs w:val="24"/>
        </w:rPr>
        <w:t xml:space="preserve">felt to be </w:t>
      </w:r>
      <w:r w:rsidR="00C030CE">
        <w:rPr>
          <w:rFonts w:cs="Arial"/>
          <w:szCs w:val="24"/>
        </w:rPr>
        <w:t xml:space="preserve">correct. </w:t>
      </w:r>
      <w:r w:rsidR="00855198">
        <w:rPr>
          <w:rFonts w:cs="Arial"/>
          <w:szCs w:val="24"/>
        </w:rPr>
        <w:t xml:space="preserve">The concept of negative learning in simulation has been touched on mainly in papers regarding debriefing methods </w:t>
      </w:r>
      <w:r w:rsidR="00855198">
        <w:rPr>
          <w:rFonts w:cs="Arial"/>
          <w:szCs w:val="24"/>
        </w:rPr>
        <w:fldChar w:fldCharType="begin"/>
      </w:r>
      <w:r w:rsidR="00855198">
        <w:rPr>
          <w:rFonts w:cs="Arial"/>
          <w:szCs w:val="24"/>
        </w:rPr>
        <w:instrText xml:space="preserve"> ADDIN EN.CITE &lt;EndNote&gt;&lt;Cite&gt;&lt;Author&gt;Lewis&lt;/Author&gt;&lt;Year&gt;2009&lt;/Year&gt;&lt;IDText&gt;Redefining Qualitative Methods: Believability in the Fifth Moment&lt;/IDText&gt;&lt;DisplayText&gt;(Lewis, 2009)&lt;/DisplayText&gt;&lt;record&gt;&lt;titles&gt;&lt;title&gt;Redefining Qualitative Methods: Believability in the Fifth Moment&lt;/title&gt;&lt;secondary-title&gt;International Journal of Qualitative Methods&lt;/secondary-title&gt;&lt;/titles&gt;&lt;pages&gt;1 - 13&lt;/pages&gt;&lt;number&gt;2&lt;/number&gt;&lt;contributors&gt;&lt;authors&gt;&lt;author&gt;Lewis, J&lt;/author&gt;&lt;/authors&gt;&lt;/contributors&gt;&lt;added-date format="utc"&gt;1399930413&lt;/added-date&gt;&lt;pub-location&gt;Indiana, Pennsylvania, USA&lt;/pub-location&gt;&lt;ref-type name="Journal Article"&gt;17&lt;/ref-type&gt;&lt;dates&gt;&lt;year&gt;2009&lt;/year&gt;&lt;/dates&gt;&lt;rec-number&gt;94&lt;/rec-number&gt;&lt;last-updated-date format="utc"&gt;1399937123&lt;/last-updated-date&gt;&lt;volume&gt;8&lt;/volume&gt;&lt;/record&gt;&lt;/Cite&gt;&lt;/EndNote&gt;</w:instrText>
      </w:r>
      <w:r w:rsidR="00855198">
        <w:rPr>
          <w:rFonts w:cs="Arial"/>
          <w:szCs w:val="24"/>
        </w:rPr>
        <w:fldChar w:fldCharType="separate"/>
      </w:r>
      <w:r w:rsidR="00855198">
        <w:rPr>
          <w:rFonts w:cs="Arial"/>
          <w:noProof/>
          <w:szCs w:val="24"/>
        </w:rPr>
        <w:t>(Lewis, 2009)</w:t>
      </w:r>
      <w:r w:rsidR="00855198">
        <w:rPr>
          <w:rFonts w:cs="Arial"/>
          <w:szCs w:val="24"/>
        </w:rPr>
        <w:fldChar w:fldCharType="end"/>
      </w:r>
      <w:r w:rsidR="00855198">
        <w:rPr>
          <w:rFonts w:cs="Arial"/>
          <w:szCs w:val="24"/>
        </w:rPr>
        <w:t xml:space="preserve">. Potential methods to avoid this include those described by </w:t>
      </w:r>
      <w:proofErr w:type="spellStart"/>
      <w:r w:rsidR="00855198">
        <w:rPr>
          <w:rFonts w:cs="Arial"/>
          <w:szCs w:val="24"/>
        </w:rPr>
        <w:t>Dieckman</w:t>
      </w:r>
      <w:proofErr w:type="spellEnd"/>
      <w:r w:rsidR="00855198">
        <w:rPr>
          <w:rFonts w:cs="Arial"/>
          <w:szCs w:val="24"/>
        </w:rPr>
        <w:t xml:space="preserve"> et al. (2007)</w:t>
      </w:r>
      <w:r w:rsidR="008D40D0">
        <w:rPr>
          <w:rFonts w:cs="Arial"/>
          <w:szCs w:val="24"/>
        </w:rPr>
        <w:t>,</w:t>
      </w:r>
      <w:r w:rsidR="00855198">
        <w:rPr>
          <w:rFonts w:cs="Arial"/>
          <w:szCs w:val="24"/>
        </w:rPr>
        <w:t xml:space="preserve"> such as ensuring an effective introduction, clear learning outcomes, a mutual respect for the group, confidentiality and making the simulation as real as possible </w:t>
      </w:r>
      <w:r w:rsidR="00855198">
        <w:rPr>
          <w:rFonts w:cs="Arial"/>
          <w:szCs w:val="24"/>
        </w:rPr>
        <w:fldChar w:fldCharType="begin"/>
      </w:r>
      <w:r w:rsidR="009C2FFD">
        <w:rPr>
          <w:rFonts w:cs="Arial"/>
          <w:szCs w:val="24"/>
        </w:rPr>
        <w:instrText xml:space="preserve"> ADDIN EN.CITE &lt;EndNote&gt;&lt;Cite&gt;&lt;Author&gt;Dieckmann&lt;/Author&gt;&lt;Year&gt;2007&lt;/Year&gt;&lt;IDText&gt;Deepening the theoretical foundations of patient simulation as social practice&lt;/IDText&gt;&lt;DisplayText&gt;(Dieckmann et al., 2007)&lt;/DisplayText&gt;&lt;record&gt;&lt;dates&gt;&lt;pub-dates&gt;&lt;date&gt;2007&lt;/date&gt;&lt;/pub-dates&gt;&lt;year&gt;2007&lt;/year&gt;&lt;/dates&gt;&lt;urls&gt;&lt;related-urls&gt;&lt;url&gt;&amp;lt;Go to ISI&amp;gt;://MEDLINE:19088622&lt;/url&gt;&lt;/related-urls&gt;&lt;/urls&gt;&lt;isbn&gt;1559-2332&lt;/isbn&gt;&lt;titles&gt;&lt;title&gt;Deepening the theoretical foundations of patient simulation as social practice&lt;/title&gt;&lt;secondary-title&gt;Simulation in healthcare : journal of the Society for Simulation in Healthcare&lt;/secondary-title&gt;&lt;/titles&gt;&lt;pages&gt;183-93&lt;/pages&gt;&lt;number&gt;3&lt;/number&gt;&lt;contributors&gt;&lt;authors&gt;&lt;author&gt;Dieckmann, Peter&lt;/author&gt;&lt;author&gt;Gaba, David&lt;/author&gt;&lt;author&gt;Rall, Marcus&lt;/author&gt;&lt;/authors&gt;&lt;/contributors&gt;&lt;added-date format="utc"&gt;1399991558&lt;/added-date&gt;&lt;ref-type name="Journal Article"&gt;17&lt;/ref-type&gt;&lt;rec-number&gt;133&lt;/rec-number&gt;&lt;last-updated-date format="utc"&gt;1400228406&lt;/last-updated-date&gt;&lt;accession-num&gt;MEDLINE:19088622&lt;/accession-num&gt;&lt;electronic-resource-num&gt;10.1097/SIH.0b013e3180f637f5&lt;/electronic-resource-num&gt;&lt;volume&gt;2&lt;/volume&gt;&lt;/record&gt;&lt;/Cite&gt;&lt;/EndNote&gt;</w:instrText>
      </w:r>
      <w:r w:rsidR="00855198">
        <w:rPr>
          <w:rFonts w:cs="Arial"/>
          <w:szCs w:val="24"/>
        </w:rPr>
        <w:fldChar w:fldCharType="separate"/>
      </w:r>
      <w:r w:rsidR="009C2FFD">
        <w:rPr>
          <w:rFonts w:cs="Arial"/>
          <w:noProof/>
          <w:szCs w:val="24"/>
        </w:rPr>
        <w:t>(Dieckmann et al., 2007)</w:t>
      </w:r>
      <w:r w:rsidR="00855198">
        <w:rPr>
          <w:rFonts w:cs="Arial"/>
          <w:szCs w:val="24"/>
        </w:rPr>
        <w:fldChar w:fldCharType="end"/>
      </w:r>
      <w:r w:rsidR="00855198">
        <w:rPr>
          <w:rFonts w:cs="Arial"/>
          <w:szCs w:val="24"/>
        </w:rPr>
        <w:t xml:space="preserve">. Rudolph (2006) mirrors this advice recommending the use of clear learning outcomes and debriefing with ‘good </w:t>
      </w:r>
      <w:r w:rsidR="001D42C9">
        <w:rPr>
          <w:rFonts w:cs="Arial"/>
          <w:szCs w:val="24"/>
        </w:rPr>
        <w:t>judgment</w:t>
      </w:r>
      <w:r w:rsidR="00855198">
        <w:rPr>
          <w:rFonts w:cs="Arial"/>
          <w:szCs w:val="24"/>
        </w:rPr>
        <w:t xml:space="preserve">’ </w:t>
      </w:r>
      <w:r w:rsidR="00855198">
        <w:rPr>
          <w:rFonts w:cs="Arial"/>
          <w:szCs w:val="24"/>
        </w:rPr>
        <w:fldChar w:fldCharType="begin">
          <w:fldData xml:space="preserve">PEVuZE5vdGU+PENpdGU+PEF1dGhvcj5SdWRvbHBoPC9BdXRob3I+PFllYXI+MjAwNzwvWWVhcj48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</w:fldData>
        </w:fldChar>
      </w:r>
      <w:r w:rsidR="00855198">
        <w:rPr>
          <w:rFonts w:cs="Arial"/>
          <w:szCs w:val="24"/>
        </w:rPr>
        <w:instrText xml:space="preserve"> ADDIN EN.CITE </w:instrText>
      </w:r>
      <w:r w:rsidR="00855198">
        <w:rPr>
          <w:rFonts w:cs="Arial"/>
          <w:szCs w:val="24"/>
        </w:rPr>
        <w:fldChar w:fldCharType="begin">
          <w:fldData xml:space="preserve">PEVuZE5vdGU+PENpdGU+PEF1dGhvcj5SdWRvbHBoPC9BdXRob3I+PFllYXI+MjAwNzwvWWVhcj48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</w:fldData>
        </w:fldChar>
      </w:r>
      <w:r w:rsidR="00855198">
        <w:rPr>
          <w:rFonts w:cs="Arial"/>
          <w:szCs w:val="24"/>
        </w:rPr>
        <w:instrText xml:space="preserve"> ADDIN EN.CITE.DATA </w:instrText>
      </w:r>
      <w:r w:rsidR="00855198">
        <w:rPr>
          <w:rFonts w:cs="Arial"/>
          <w:szCs w:val="24"/>
        </w:rPr>
      </w:r>
      <w:r w:rsidR="00855198">
        <w:rPr>
          <w:rFonts w:cs="Arial"/>
          <w:szCs w:val="24"/>
        </w:rPr>
        <w:fldChar w:fldCharType="end"/>
      </w:r>
      <w:r w:rsidR="00855198">
        <w:rPr>
          <w:rFonts w:cs="Arial"/>
          <w:szCs w:val="24"/>
        </w:rPr>
      </w:r>
      <w:r w:rsidR="00855198">
        <w:rPr>
          <w:rFonts w:cs="Arial"/>
          <w:szCs w:val="24"/>
        </w:rPr>
        <w:fldChar w:fldCharType="separate"/>
      </w:r>
      <w:r w:rsidR="00855198">
        <w:rPr>
          <w:rFonts w:cs="Arial"/>
          <w:noProof/>
          <w:szCs w:val="24"/>
        </w:rPr>
        <w:t>(Rudolph et al., 2007, Rudolph et al., 2006)</w:t>
      </w:r>
      <w:r w:rsidR="00855198">
        <w:rPr>
          <w:rFonts w:cs="Arial"/>
          <w:szCs w:val="24"/>
        </w:rPr>
        <w:fldChar w:fldCharType="end"/>
      </w:r>
      <w:r w:rsidR="00855198">
        <w:rPr>
          <w:rFonts w:cs="Arial"/>
          <w:szCs w:val="24"/>
        </w:rPr>
        <w:t>. These concepts were employed in the intervention.</w:t>
      </w:r>
    </w:p>
    <w:p w14:paraId="01E77E44" w14:textId="0079FF34" w:rsidR="00C030CE" w:rsidRPr="009C4833" w:rsidRDefault="00B2240E" w:rsidP="00C030CE">
      <w:pPr>
        <w:rPr>
          <w:rFonts w:cs="Arial"/>
          <w:szCs w:val="24"/>
        </w:rPr>
      </w:pPr>
      <w:r>
        <w:rPr>
          <w:rFonts w:cs="Arial"/>
          <w:szCs w:val="24"/>
        </w:rPr>
        <w:t>T</w:t>
      </w:r>
      <w:r w:rsidR="00C030CE">
        <w:rPr>
          <w:rFonts w:cs="Arial"/>
          <w:szCs w:val="24"/>
        </w:rPr>
        <w:t>he l</w:t>
      </w:r>
      <w:r w:rsidR="00C030CE" w:rsidRPr="009C4833">
        <w:rPr>
          <w:rFonts w:cs="Arial"/>
          <w:szCs w:val="24"/>
        </w:rPr>
        <w:t>argest improvemen</w:t>
      </w:r>
      <w:r w:rsidR="00C030CE">
        <w:rPr>
          <w:rFonts w:cs="Arial"/>
          <w:szCs w:val="24"/>
        </w:rPr>
        <w:t>t</w:t>
      </w:r>
      <w:r>
        <w:rPr>
          <w:rFonts w:cs="Arial"/>
          <w:szCs w:val="24"/>
        </w:rPr>
        <w:t>s</w:t>
      </w:r>
      <w:r w:rsidR="00C030CE">
        <w:rPr>
          <w:rFonts w:cs="Arial"/>
          <w:szCs w:val="24"/>
        </w:rPr>
        <w:t xml:space="preserve"> in confidence scores were for parameters essential for patient safety </w:t>
      </w:r>
      <w:r>
        <w:rPr>
          <w:rFonts w:cs="Arial"/>
          <w:szCs w:val="24"/>
        </w:rPr>
        <w:t>(</w:t>
      </w:r>
      <w:r w:rsidR="00CA0E85">
        <w:rPr>
          <w:rFonts w:cs="Arial"/>
          <w:szCs w:val="24"/>
        </w:rPr>
        <w:t>i.e.</w:t>
      </w:r>
      <w:r>
        <w:rPr>
          <w:rFonts w:cs="Arial"/>
          <w:szCs w:val="24"/>
        </w:rPr>
        <w:t xml:space="preserve"> responding to a crash call), which</w:t>
      </w:r>
      <w:r w:rsidR="00C030CE">
        <w:rPr>
          <w:rFonts w:cs="Arial"/>
          <w:szCs w:val="24"/>
        </w:rPr>
        <w:t xml:space="preserve"> are difficult to teach and learn without </w:t>
      </w:r>
      <w:r>
        <w:rPr>
          <w:rFonts w:cs="Arial"/>
          <w:szCs w:val="24"/>
        </w:rPr>
        <w:t xml:space="preserve">experiencing it </w:t>
      </w:r>
      <w:r w:rsidR="00C030CE">
        <w:rPr>
          <w:rFonts w:cs="Arial"/>
          <w:szCs w:val="24"/>
        </w:rPr>
        <w:t>with a real or simulated patient</w:t>
      </w:r>
      <w:r>
        <w:rPr>
          <w:rFonts w:cs="Arial"/>
          <w:szCs w:val="24"/>
        </w:rPr>
        <w:t xml:space="preserve">. </w:t>
      </w:r>
      <w:r w:rsidR="00C030CE">
        <w:rPr>
          <w:rFonts w:cs="Arial"/>
          <w:szCs w:val="24"/>
        </w:rPr>
        <w:t>In an ideal study design</w:t>
      </w:r>
      <w:r>
        <w:rPr>
          <w:rFonts w:cs="Arial"/>
          <w:szCs w:val="24"/>
        </w:rPr>
        <w:t>,</w:t>
      </w:r>
      <w:r w:rsidR="00C030CE">
        <w:rPr>
          <w:rFonts w:cs="Arial"/>
          <w:szCs w:val="24"/>
        </w:rPr>
        <w:t xml:space="preserve"> a comparison between the simulat</w:t>
      </w:r>
      <w:r>
        <w:rPr>
          <w:rFonts w:cs="Arial"/>
          <w:szCs w:val="24"/>
        </w:rPr>
        <w:t>ed</w:t>
      </w:r>
      <w:r w:rsidR="00C030CE">
        <w:rPr>
          <w:rFonts w:cs="Arial"/>
          <w:szCs w:val="24"/>
        </w:rPr>
        <w:t xml:space="preserve"> </w:t>
      </w:r>
      <w:r>
        <w:rPr>
          <w:rFonts w:cs="Arial"/>
          <w:szCs w:val="24"/>
        </w:rPr>
        <w:t xml:space="preserve">scenarios would be made </w:t>
      </w:r>
      <w:r w:rsidR="00C030CE">
        <w:rPr>
          <w:rFonts w:cs="Arial"/>
          <w:szCs w:val="24"/>
        </w:rPr>
        <w:t xml:space="preserve">with the same scenarios with real patients. This would </w:t>
      </w:r>
      <w:r>
        <w:rPr>
          <w:rFonts w:cs="Arial"/>
          <w:szCs w:val="24"/>
        </w:rPr>
        <w:t xml:space="preserve">however </w:t>
      </w:r>
      <w:r w:rsidR="00C030CE">
        <w:rPr>
          <w:rFonts w:cs="Arial"/>
          <w:szCs w:val="24"/>
        </w:rPr>
        <w:t xml:space="preserve">be unethical and </w:t>
      </w:r>
      <w:r>
        <w:rPr>
          <w:rFonts w:cs="Arial"/>
          <w:szCs w:val="24"/>
        </w:rPr>
        <w:lastRenderedPageBreak/>
        <w:t xml:space="preserve">scenarios such as </w:t>
      </w:r>
      <w:r w:rsidR="00C030CE">
        <w:rPr>
          <w:rFonts w:cs="Arial"/>
          <w:szCs w:val="24"/>
        </w:rPr>
        <w:t xml:space="preserve">anaphylaxis </w:t>
      </w:r>
      <w:r>
        <w:rPr>
          <w:rFonts w:cs="Arial"/>
          <w:szCs w:val="24"/>
        </w:rPr>
        <w:t>are</w:t>
      </w:r>
      <w:r w:rsidR="00C030CE">
        <w:rPr>
          <w:rFonts w:cs="Arial"/>
          <w:szCs w:val="24"/>
        </w:rPr>
        <w:t xml:space="preserve"> so rare</w:t>
      </w:r>
      <w:r>
        <w:rPr>
          <w:rFonts w:cs="Arial"/>
          <w:szCs w:val="24"/>
        </w:rPr>
        <w:t>,</w:t>
      </w:r>
      <w:r w:rsidR="00C030CE">
        <w:rPr>
          <w:rFonts w:cs="Arial"/>
          <w:szCs w:val="24"/>
        </w:rPr>
        <w:t xml:space="preserve"> it would be impossible to standardise exposure.</w:t>
      </w:r>
    </w:p>
    <w:p w14:paraId="5EE7E3A2" w14:textId="730FCD36" w:rsidR="00855198" w:rsidRDefault="00C030CE" w:rsidP="001E7446">
      <w:pPr>
        <w:rPr>
          <w:rFonts w:cs="Arial"/>
          <w:szCs w:val="24"/>
        </w:rPr>
      </w:pPr>
      <w:r>
        <w:rPr>
          <w:rFonts w:cs="Arial"/>
          <w:szCs w:val="24"/>
        </w:rPr>
        <w:t>The s</w:t>
      </w:r>
      <w:r w:rsidRPr="009C4833">
        <w:rPr>
          <w:rFonts w:cs="Arial"/>
          <w:szCs w:val="24"/>
        </w:rPr>
        <w:t xml:space="preserve">mallest </w:t>
      </w:r>
      <w:r w:rsidR="00E51676" w:rsidRPr="009C4833">
        <w:rPr>
          <w:rFonts w:cs="Arial"/>
          <w:szCs w:val="24"/>
        </w:rPr>
        <w:t>improvements in confidence scores were</w:t>
      </w:r>
      <w:r>
        <w:rPr>
          <w:rFonts w:cs="Arial"/>
          <w:szCs w:val="24"/>
        </w:rPr>
        <w:t xml:space="preserve"> for sharps safety, which students already felt highly confident in</w:t>
      </w:r>
      <w:r w:rsidR="008D0029">
        <w:rPr>
          <w:rFonts w:cs="Arial"/>
          <w:szCs w:val="24"/>
        </w:rPr>
        <w:t>. This</w:t>
      </w:r>
      <w:r>
        <w:rPr>
          <w:rFonts w:cs="Arial"/>
          <w:szCs w:val="24"/>
        </w:rPr>
        <w:t xml:space="preserve"> demonstrates </w:t>
      </w:r>
      <w:r w:rsidR="008D0029">
        <w:rPr>
          <w:rFonts w:cs="Arial"/>
          <w:szCs w:val="24"/>
        </w:rPr>
        <w:t xml:space="preserve">either </w:t>
      </w:r>
      <w:r>
        <w:rPr>
          <w:rFonts w:cs="Arial"/>
          <w:szCs w:val="24"/>
        </w:rPr>
        <w:t>good training in clinical skills in the current curriculum</w:t>
      </w:r>
      <w:r w:rsidR="008D0029">
        <w:rPr>
          <w:rFonts w:cs="Arial"/>
          <w:szCs w:val="24"/>
        </w:rPr>
        <w:t xml:space="preserve"> or could reflect oversimplification of clinical skills training with a potential mismatch when transferred </w:t>
      </w:r>
      <w:r w:rsidR="000A27DF">
        <w:rPr>
          <w:rFonts w:cs="Arial"/>
          <w:szCs w:val="24"/>
        </w:rPr>
        <w:t>into</w:t>
      </w:r>
      <w:r w:rsidR="008D0029">
        <w:rPr>
          <w:rFonts w:cs="Arial"/>
          <w:szCs w:val="24"/>
        </w:rPr>
        <w:t xml:space="preserve"> the clinical environment</w:t>
      </w:r>
      <w:r>
        <w:rPr>
          <w:rFonts w:cs="Arial"/>
          <w:szCs w:val="24"/>
        </w:rPr>
        <w:t xml:space="preserve">. </w:t>
      </w:r>
      <w:r w:rsidR="008D0029">
        <w:rPr>
          <w:rFonts w:cs="Arial"/>
          <w:szCs w:val="24"/>
        </w:rPr>
        <w:t>This was observed when d</w:t>
      </w:r>
      <w:r>
        <w:rPr>
          <w:rFonts w:cs="Arial"/>
          <w:szCs w:val="24"/>
        </w:rPr>
        <w:t>espite feeling confident</w:t>
      </w:r>
      <w:r w:rsidR="008D0029">
        <w:rPr>
          <w:rFonts w:cs="Arial"/>
          <w:szCs w:val="24"/>
        </w:rPr>
        <w:t>,</w:t>
      </w:r>
      <w:r>
        <w:rPr>
          <w:rFonts w:cs="Arial"/>
          <w:szCs w:val="24"/>
        </w:rPr>
        <w:t xml:space="preserve"> some forgot to put sharps away when under pressure and required a prompt</w:t>
      </w:r>
      <w:r w:rsidR="000750B3">
        <w:rPr>
          <w:rFonts w:cs="Arial"/>
          <w:szCs w:val="24"/>
        </w:rPr>
        <w:t>,</w:t>
      </w:r>
      <w:r>
        <w:rPr>
          <w:rFonts w:cs="Arial"/>
          <w:szCs w:val="24"/>
        </w:rPr>
        <w:t xml:space="preserve"> which they were surprised by</w:t>
      </w:r>
      <w:r w:rsidR="008D0029">
        <w:rPr>
          <w:rFonts w:cs="Arial"/>
          <w:szCs w:val="24"/>
        </w:rPr>
        <w:t>. This may</w:t>
      </w:r>
      <w:r>
        <w:rPr>
          <w:rFonts w:cs="Arial"/>
          <w:szCs w:val="24"/>
        </w:rPr>
        <w:t xml:space="preserve"> support</w:t>
      </w:r>
      <w:r w:rsidR="000750B3">
        <w:rPr>
          <w:rFonts w:cs="Arial"/>
          <w:szCs w:val="24"/>
        </w:rPr>
        <w:t xml:space="preserve"> the theory that confidence </w:t>
      </w:r>
      <w:r w:rsidR="008D0029">
        <w:rPr>
          <w:rFonts w:cs="Arial"/>
          <w:szCs w:val="24"/>
        </w:rPr>
        <w:t xml:space="preserve">is not </w:t>
      </w:r>
      <w:r>
        <w:rPr>
          <w:rFonts w:cs="Arial"/>
          <w:szCs w:val="24"/>
        </w:rPr>
        <w:t>reliably linked to performance</w:t>
      </w:r>
      <w:r w:rsidR="008D0029">
        <w:rPr>
          <w:rFonts w:cs="Arial"/>
          <w:szCs w:val="24"/>
        </w:rPr>
        <w:t xml:space="preserve"> or that students are not being prepared for the complexity of the real, raw clinical environment</w:t>
      </w:r>
      <w:r>
        <w:rPr>
          <w:rFonts w:cs="Arial"/>
          <w:szCs w:val="24"/>
        </w:rPr>
        <w:t xml:space="preserve">. </w:t>
      </w:r>
      <w:r w:rsidR="001E7446">
        <w:rPr>
          <w:rFonts w:cs="Arial"/>
          <w:szCs w:val="24"/>
        </w:rPr>
        <w:t xml:space="preserve">It is also possible that </w:t>
      </w:r>
      <w:r>
        <w:rPr>
          <w:rFonts w:cs="Arial"/>
          <w:szCs w:val="24"/>
        </w:rPr>
        <w:t xml:space="preserve">this </w:t>
      </w:r>
      <w:r w:rsidR="002568B6">
        <w:rPr>
          <w:rFonts w:cs="Arial"/>
          <w:szCs w:val="24"/>
        </w:rPr>
        <w:t>self-reported</w:t>
      </w:r>
      <w:r>
        <w:rPr>
          <w:rFonts w:cs="Arial"/>
          <w:szCs w:val="24"/>
        </w:rPr>
        <w:t xml:space="preserve"> confidence level </w:t>
      </w:r>
      <w:r w:rsidR="00E51676">
        <w:rPr>
          <w:rFonts w:cs="Arial"/>
          <w:szCs w:val="24"/>
        </w:rPr>
        <w:t>might</w:t>
      </w:r>
      <w:r>
        <w:rPr>
          <w:rFonts w:cs="Arial"/>
          <w:szCs w:val="24"/>
        </w:rPr>
        <w:t xml:space="preserve"> be inaccurate because of poor situational awareness</w:t>
      </w:r>
      <w:r w:rsidR="001E7446">
        <w:rPr>
          <w:rFonts w:cs="Arial"/>
          <w:szCs w:val="24"/>
        </w:rPr>
        <w:t xml:space="preserve"> and lack of insight</w:t>
      </w:r>
      <w:r>
        <w:rPr>
          <w:rFonts w:cs="Arial"/>
          <w:szCs w:val="24"/>
        </w:rPr>
        <w:t>.</w:t>
      </w:r>
      <w:r w:rsidR="001E7446" w:rsidRPr="001E7446">
        <w:rPr>
          <w:rFonts w:cs="Arial"/>
          <w:szCs w:val="24"/>
        </w:rPr>
        <w:t xml:space="preserve"> </w:t>
      </w:r>
    </w:p>
    <w:p w14:paraId="43B9A168" w14:textId="4F4F2E29" w:rsidR="001E7446" w:rsidRDefault="001E7446" w:rsidP="001E7446">
      <w:pPr>
        <w:rPr>
          <w:rFonts w:cs="Arial"/>
          <w:szCs w:val="24"/>
        </w:rPr>
      </w:pPr>
      <w:r w:rsidRPr="009C4833">
        <w:rPr>
          <w:rFonts w:cs="Arial"/>
          <w:szCs w:val="24"/>
        </w:rPr>
        <w:t>Confidence and performance as assessed by formative assessment marks</w:t>
      </w:r>
      <w:r>
        <w:rPr>
          <w:rFonts w:cs="Arial"/>
          <w:szCs w:val="24"/>
        </w:rPr>
        <w:t xml:space="preserve"> (Figure 6.6) in this small number of students demonstrates no clear correlation. It is interesting that some of the best performers were the least confident and some of the most confident performed the worst. However no one was c</w:t>
      </w:r>
      <w:r w:rsidR="008D40D0">
        <w:rPr>
          <w:rFonts w:cs="Arial"/>
          <w:szCs w:val="24"/>
        </w:rPr>
        <w:t xml:space="preserve">onsidered dangerous or unsafe. </w:t>
      </w:r>
      <w:r>
        <w:rPr>
          <w:rFonts w:cs="Arial"/>
          <w:szCs w:val="24"/>
        </w:rPr>
        <w:t xml:space="preserve">This is supported in the literature by a number of studies </w:t>
      </w:r>
      <w:r>
        <w:rPr>
          <w:rFonts w:cs="Arial"/>
          <w:szCs w:val="24"/>
        </w:rPr>
        <w:fldChar w:fldCharType="begin">
          <w:fldData xml:space="preserve">PEVuZE5vdGU+PENpdGU+PEF1dGhvcj5CYXJuc2xleTwvQXV0aG9yPjxZZWFyPjIwMDQ8L1llYXI+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==
</w:fldData>
        </w:fldChar>
      </w:r>
      <w:r>
        <w:rPr>
          <w:rFonts w:cs="Arial"/>
          <w:szCs w:val="24"/>
        </w:rPr>
        <w:instrText xml:space="preserve"> ADDIN EN.CITE </w:instrText>
      </w:r>
      <w:r>
        <w:rPr>
          <w:rFonts w:cs="Arial"/>
          <w:szCs w:val="24"/>
        </w:rPr>
        <w:fldChar w:fldCharType="begin">
          <w:fldData xml:space="preserve">PEVuZE5vdGU+PENpdGU+PEF1dGhvcj5CYXJuc2xleTwvQXV0aG9yPjxZZWFyPjIwMDQ8L1llYXI+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==
</w:fldData>
        </w:fldChar>
      </w:r>
      <w:r>
        <w:rPr>
          <w:rFonts w:cs="Arial"/>
          <w:szCs w:val="24"/>
        </w:rPr>
        <w:instrText xml:space="preserve"> ADDIN EN.CITE.DATA </w:instrText>
      </w:r>
      <w:r>
        <w:rPr>
          <w:rFonts w:cs="Arial"/>
          <w:szCs w:val="24"/>
        </w:rPr>
      </w:r>
      <w:r>
        <w:rPr>
          <w:rFonts w:cs="Arial"/>
          <w:szCs w:val="24"/>
        </w:rPr>
        <w:fldChar w:fldCharType="end"/>
      </w:r>
      <w:r>
        <w:rPr>
          <w:rFonts w:cs="Arial"/>
          <w:szCs w:val="24"/>
        </w:rPr>
      </w:r>
      <w:r>
        <w:rPr>
          <w:rFonts w:cs="Arial"/>
          <w:szCs w:val="24"/>
        </w:rPr>
        <w:fldChar w:fldCharType="separate"/>
      </w:r>
      <w:r>
        <w:rPr>
          <w:rFonts w:cs="Arial"/>
          <w:noProof/>
          <w:szCs w:val="24"/>
        </w:rPr>
        <w:t>(Barnsley et al., 2004, Liddell and Davidson, 2004, Leopold et al., 2005)</w:t>
      </w:r>
      <w:r>
        <w:rPr>
          <w:rFonts w:cs="Arial"/>
          <w:szCs w:val="24"/>
        </w:rPr>
        <w:fldChar w:fldCharType="end"/>
      </w:r>
      <w:r>
        <w:rPr>
          <w:rFonts w:cs="Arial"/>
          <w:szCs w:val="24"/>
        </w:rPr>
        <w:t>. However one study has postulated that ‘confidence is more likely to mirror competence in female students more than male’</w:t>
      </w:r>
      <w:r w:rsidR="008D40D0">
        <w:rPr>
          <w:rFonts w:cs="Arial"/>
          <w:szCs w:val="24"/>
        </w:rPr>
        <w:t xml:space="preserve"> </w:t>
      </w:r>
      <w:r>
        <w:rPr>
          <w:rFonts w:cs="Arial"/>
          <w:szCs w:val="24"/>
        </w:rPr>
        <w:fldChar w:fldCharType="begin"/>
      </w:r>
      <w:r>
        <w:rPr>
          <w:rFonts w:cs="Arial"/>
          <w:szCs w:val="24"/>
        </w:rPr>
        <w:instrText xml:space="preserve"> ADDIN EN.CITE &lt;EndNote&gt;&lt;Cite&gt;&lt;Author&gt;Vivekananda-Schmidt&lt;/Author&gt;&lt;Year&gt;2007&lt;/Year&gt;&lt;IDText&gt;Validation of MSAT: an instrument to measure medical students&amp;apos; self-assessed confidence in musculoskeletal examination skills&lt;/IDText&gt;&lt;DisplayText&gt;(Vivekananda-Schmidt et al., 2007)&lt;/DisplayText&gt;&lt;record&gt;&lt;dates&gt;&lt;pub-dates&gt;&lt;date&gt;Apr&lt;/date&gt;&lt;/pub-dates&gt;&lt;year&gt;2007&lt;/year&gt;&lt;/dates&gt;&lt;isbn&gt;0308-0110&lt;/isbn&gt;&lt;titles&gt;&lt;title&gt;Validation of MSAT: an instrument to measure medical students&amp;apos; self-assessed confidence in musculoskeletal examination skills&lt;/title&gt;&lt;secondary-title&gt;Medical Education&lt;/secondary-title&gt;&lt;/titles&gt;&lt;pages&gt;402-410&lt;/pages&gt;&lt;number&gt;4&lt;/number&gt;&lt;contributors&gt;&lt;authors&gt;&lt;author&gt;Vivekananda-Schmidt, Pirashanthie&lt;/author&gt;&lt;author&gt;Lewis, Martyn&lt;/author&gt;&lt;author&gt;Hassell, Andrew B.&lt;/author&gt;&lt;author&gt;Coady, David&lt;/author&gt;&lt;author&gt;Walker, David&lt;/author&gt;&lt;author&gt;Kay, Lesley&lt;/author&gt;&lt;author&gt;McLean, Monica J.&lt;/author&gt;&lt;author&gt;Haq, Inam&lt;/author&gt;&lt;author&gt;Rahman, Anisur&lt;/author&gt;&lt;/authors&gt;&lt;/contributors&gt;&lt;added-date format="utc"&gt;1400326561&lt;/added-date&gt;&lt;ref-type name="Journal Article"&gt;17&lt;/ref-type&gt;&lt;rec-number&gt;148&lt;/rec-number&gt;&lt;last-updated-date format="utc"&gt;1401118446&lt;/last-updated-date&gt;&lt;accession-num&gt;WOS:000246013400011&lt;/accession-num&gt;&lt;electronic-resource-num&gt;10.1111/j.1365-2929.2007.02712.x&lt;/electronic-resource-num&gt;&lt;volume&gt;41&lt;/volume&gt;&lt;/record&gt;&lt;/Cite&gt;&lt;/EndNote&gt;</w:instrText>
      </w:r>
      <w:r>
        <w:rPr>
          <w:rFonts w:cs="Arial"/>
          <w:szCs w:val="24"/>
        </w:rPr>
        <w:fldChar w:fldCharType="separate"/>
      </w:r>
      <w:r>
        <w:rPr>
          <w:rFonts w:cs="Arial"/>
          <w:noProof/>
          <w:szCs w:val="24"/>
        </w:rPr>
        <w:t>(Vivekananda-Schmidt et al., 2007)</w:t>
      </w:r>
      <w:r>
        <w:rPr>
          <w:rFonts w:cs="Arial"/>
          <w:szCs w:val="24"/>
        </w:rPr>
        <w:fldChar w:fldCharType="end"/>
      </w:r>
      <w:r>
        <w:rPr>
          <w:rFonts w:cs="Arial"/>
          <w:szCs w:val="24"/>
        </w:rPr>
        <w:t>. This is a fascinating area to consider that goes beyond the scope of this study, ho</w:t>
      </w:r>
      <w:r w:rsidR="00F56243">
        <w:rPr>
          <w:rFonts w:cs="Arial"/>
          <w:szCs w:val="24"/>
        </w:rPr>
        <w:t xml:space="preserve">wever developing skills in </w:t>
      </w:r>
      <w:r w:rsidR="006C719D">
        <w:rPr>
          <w:rFonts w:cs="Arial"/>
          <w:szCs w:val="24"/>
        </w:rPr>
        <w:t>self-regulation</w:t>
      </w:r>
      <w:r>
        <w:rPr>
          <w:rFonts w:cs="Arial"/>
          <w:szCs w:val="24"/>
        </w:rPr>
        <w:t xml:space="preserve"> and correction appears </w:t>
      </w:r>
      <w:r>
        <w:rPr>
          <w:rFonts w:cs="Arial"/>
          <w:szCs w:val="24"/>
        </w:rPr>
        <w:lastRenderedPageBreak/>
        <w:t>to require good reflective skills, emotional intelligence and insight</w:t>
      </w:r>
      <w:r w:rsidR="00855198">
        <w:rPr>
          <w:rFonts w:cs="Arial"/>
          <w:szCs w:val="24"/>
        </w:rPr>
        <w:t xml:space="preserve">, </w:t>
      </w:r>
      <w:r>
        <w:rPr>
          <w:rFonts w:cs="Arial"/>
          <w:szCs w:val="24"/>
        </w:rPr>
        <w:t xml:space="preserve">which have emerged through qualitative data. </w:t>
      </w:r>
    </w:p>
    <w:p w14:paraId="40DC3A32" w14:textId="0734DE82" w:rsidR="00C030CE" w:rsidRDefault="00A81CBA" w:rsidP="00C030CE">
      <w:pPr>
        <w:rPr>
          <w:rFonts w:cs="Arial"/>
          <w:szCs w:val="24"/>
        </w:rPr>
      </w:pPr>
      <w:r>
        <w:rPr>
          <w:rFonts w:cs="Arial"/>
          <w:szCs w:val="24"/>
        </w:rPr>
        <w:t xml:space="preserve">The </w:t>
      </w:r>
      <w:r w:rsidR="00C030CE">
        <w:rPr>
          <w:rFonts w:cs="Arial"/>
          <w:szCs w:val="24"/>
        </w:rPr>
        <w:t>overall assessment of professionalism as a single score</w:t>
      </w:r>
      <w:r>
        <w:rPr>
          <w:rFonts w:cs="Arial"/>
          <w:szCs w:val="24"/>
        </w:rPr>
        <w:t xml:space="preserve"> showed all students to be safe</w:t>
      </w:r>
      <w:r w:rsidR="00C030CE">
        <w:rPr>
          <w:rFonts w:cs="Arial"/>
          <w:szCs w:val="24"/>
        </w:rPr>
        <w:t xml:space="preserve">. There is </w:t>
      </w:r>
      <w:r w:rsidR="00272DD8">
        <w:rPr>
          <w:rFonts w:cs="Arial"/>
          <w:szCs w:val="24"/>
        </w:rPr>
        <w:t xml:space="preserve">a </w:t>
      </w:r>
      <w:r w:rsidR="00C030CE">
        <w:rPr>
          <w:rFonts w:cs="Arial"/>
          <w:szCs w:val="24"/>
        </w:rPr>
        <w:t xml:space="preserve">question as to whether this is just as reliable as using multiple parameters to score doctors. </w:t>
      </w:r>
      <w:r w:rsidR="001E7446">
        <w:rPr>
          <w:rFonts w:cs="Arial"/>
          <w:szCs w:val="24"/>
        </w:rPr>
        <w:t>This however lays open the complexity of how to define and measure professionalism.</w:t>
      </w:r>
    </w:p>
    <w:p w14:paraId="40C393F5" w14:textId="6EB81A56" w:rsidR="00C030CE" w:rsidRDefault="001D15DD" w:rsidP="00C030CE">
      <w:pPr>
        <w:pStyle w:val="ListParagraph"/>
        <w:spacing w:line="480" w:lineRule="auto"/>
        <w:ind w:left="0"/>
        <w:outlineLvl w:val="2"/>
        <w:rPr>
          <w:rFonts w:ascii="Arial" w:hAnsi="Arial" w:cs="Arial"/>
          <w:sz w:val="24"/>
          <w:szCs w:val="24"/>
        </w:rPr>
      </w:pPr>
      <w:r>
        <w:rPr>
          <w:rFonts w:ascii="Arial" w:hAnsi="Arial" w:cs="Arial"/>
          <w:sz w:val="24"/>
          <w:szCs w:val="24"/>
        </w:rPr>
        <w:t>The</w:t>
      </w:r>
      <w:r w:rsidR="00C030CE">
        <w:rPr>
          <w:rFonts w:ascii="Arial" w:hAnsi="Arial" w:cs="Arial"/>
          <w:sz w:val="24"/>
          <w:szCs w:val="24"/>
        </w:rPr>
        <w:t xml:space="preserve"> highest rated feedback scores </w:t>
      </w:r>
      <w:r>
        <w:rPr>
          <w:rFonts w:ascii="Arial" w:hAnsi="Arial" w:cs="Arial"/>
          <w:sz w:val="24"/>
          <w:szCs w:val="24"/>
        </w:rPr>
        <w:t>were f</w:t>
      </w:r>
      <w:r w:rsidR="00C030CE">
        <w:rPr>
          <w:rFonts w:ascii="Arial" w:hAnsi="Arial" w:cs="Arial"/>
          <w:sz w:val="24"/>
          <w:szCs w:val="24"/>
        </w:rPr>
        <w:t>or improvement in critical thinking, reality of the simulation, assessment of the unwell patient, feeling challenged, feedback received and being comfortable asking for help</w:t>
      </w:r>
      <w:r>
        <w:rPr>
          <w:rFonts w:ascii="Arial" w:hAnsi="Arial" w:cs="Arial"/>
          <w:sz w:val="24"/>
          <w:szCs w:val="24"/>
        </w:rPr>
        <w:t>.</w:t>
      </w:r>
      <w:r w:rsidR="00ED6867">
        <w:rPr>
          <w:rFonts w:ascii="Arial" w:hAnsi="Arial" w:cs="Arial"/>
          <w:sz w:val="24"/>
          <w:szCs w:val="24"/>
        </w:rPr>
        <w:t xml:space="preserve"> In the researcher’s</w:t>
      </w:r>
      <w:r w:rsidR="00C030CE">
        <w:rPr>
          <w:rFonts w:ascii="Arial" w:hAnsi="Arial" w:cs="Arial"/>
          <w:sz w:val="24"/>
          <w:szCs w:val="24"/>
        </w:rPr>
        <w:t xml:space="preserve"> experience, these are challenging elements to teach out</w:t>
      </w:r>
      <w:r w:rsidR="008D40D0">
        <w:rPr>
          <w:rFonts w:ascii="Arial" w:hAnsi="Arial" w:cs="Arial"/>
          <w:sz w:val="24"/>
          <w:szCs w:val="24"/>
        </w:rPr>
        <w:t>side</w:t>
      </w:r>
      <w:r w:rsidR="00C030CE">
        <w:rPr>
          <w:rFonts w:ascii="Arial" w:hAnsi="Arial" w:cs="Arial"/>
          <w:sz w:val="24"/>
          <w:szCs w:val="24"/>
        </w:rPr>
        <w:t xml:space="preserve"> of the simulated environment</w:t>
      </w:r>
      <w:r>
        <w:rPr>
          <w:rFonts w:ascii="Arial" w:hAnsi="Arial" w:cs="Arial"/>
          <w:sz w:val="24"/>
          <w:szCs w:val="24"/>
        </w:rPr>
        <w:t xml:space="preserve"> but are central to supporting preparedness</w:t>
      </w:r>
      <w:r w:rsidR="00C030CE">
        <w:rPr>
          <w:rFonts w:ascii="Arial" w:hAnsi="Arial" w:cs="Arial"/>
          <w:sz w:val="24"/>
          <w:szCs w:val="24"/>
        </w:rPr>
        <w:t>. The uni</w:t>
      </w:r>
      <w:r w:rsidR="00A81CBA">
        <w:rPr>
          <w:rFonts w:ascii="Arial" w:hAnsi="Arial" w:cs="Arial"/>
          <w:sz w:val="24"/>
          <w:szCs w:val="24"/>
        </w:rPr>
        <w:t>que simulated environment allowed</w:t>
      </w:r>
      <w:r w:rsidR="00C030CE">
        <w:rPr>
          <w:rFonts w:ascii="Arial" w:hAnsi="Arial" w:cs="Arial"/>
          <w:sz w:val="24"/>
          <w:szCs w:val="24"/>
        </w:rPr>
        <w:t xml:space="preserve"> students to </w:t>
      </w:r>
      <w:r w:rsidR="002938BF">
        <w:rPr>
          <w:rFonts w:ascii="Arial" w:hAnsi="Arial" w:cs="Arial"/>
          <w:sz w:val="24"/>
          <w:szCs w:val="24"/>
        </w:rPr>
        <w:t>problem solve</w:t>
      </w:r>
      <w:r w:rsidR="00C030CE">
        <w:rPr>
          <w:rFonts w:ascii="Arial" w:hAnsi="Arial" w:cs="Arial"/>
          <w:sz w:val="24"/>
          <w:szCs w:val="24"/>
        </w:rPr>
        <w:t>, think critically, make decisions, communicate them and give treatments</w:t>
      </w:r>
      <w:r>
        <w:rPr>
          <w:rFonts w:ascii="Arial" w:hAnsi="Arial" w:cs="Arial"/>
          <w:sz w:val="24"/>
          <w:szCs w:val="24"/>
        </w:rPr>
        <w:t xml:space="preserve"> with </w:t>
      </w:r>
      <w:r w:rsidR="00C030CE">
        <w:rPr>
          <w:rFonts w:ascii="Arial" w:hAnsi="Arial" w:cs="Arial"/>
          <w:sz w:val="24"/>
          <w:szCs w:val="24"/>
        </w:rPr>
        <w:t xml:space="preserve">an appropriate </w:t>
      </w:r>
      <w:r>
        <w:rPr>
          <w:rFonts w:ascii="Arial" w:hAnsi="Arial" w:cs="Arial"/>
          <w:sz w:val="24"/>
          <w:szCs w:val="24"/>
        </w:rPr>
        <w:t xml:space="preserve">patient </w:t>
      </w:r>
      <w:r w:rsidR="00C030CE">
        <w:rPr>
          <w:rFonts w:ascii="Arial" w:hAnsi="Arial" w:cs="Arial"/>
          <w:sz w:val="24"/>
          <w:szCs w:val="24"/>
        </w:rPr>
        <w:t>response. It allow</w:t>
      </w:r>
      <w:r>
        <w:rPr>
          <w:rFonts w:ascii="Arial" w:hAnsi="Arial" w:cs="Arial"/>
          <w:sz w:val="24"/>
          <w:szCs w:val="24"/>
        </w:rPr>
        <w:t>ed</w:t>
      </w:r>
      <w:r w:rsidR="00C030CE">
        <w:rPr>
          <w:rFonts w:ascii="Arial" w:hAnsi="Arial" w:cs="Arial"/>
          <w:sz w:val="24"/>
          <w:szCs w:val="24"/>
        </w:rPr>
        <w:t xml:space="preserve"> </w:t>
      </w:r>
      <w:r>
        <w:rPr>
          <w:rFonts w:ascii="Arial" w:hAnsi="Arial" w:cs="Arial"/>
          <w:sz w:val="24"/>
          <w:szCs w:val="24"/>
        </w:rPr>
        <w:t xml:space="preserve">the responsibility of being a </w:t>
      </w:r>
      <w:r w:rsidR="00C030CE">
        <w:rPr>
          <w:rFonts w:ascii="Arial" w:hAnsi="Arial" w:cs="Arial"/>
          <w:sz w:val="24"/>
          <w:szCs w:val="24"/>
        </w:rPr>
        <w:t>doctor in a safe environment</w:t>
      </w:r>
      <w:r>
        <w:rPr>
          <w:rFonts w:ascii="Arial" w:hAnsi="Arial" w:cs="Arial"/>
          <w:sz w:val="24"/>
          <w:szCs w:val="24"/>
        </w:rPr>
        <w:t xml:space="preserve"> with opportunity to experience consequences of actions and explore cognitive processes</w:t>
      </w:r>
      <w:r w:rsidR="00C030CE">
        <w:rPr>
          <w:rFonts w:ascii="Arial" w:hAnsi="Arial" w:cs="Arial"/>
          <w:sz w:val="24"/>
          <w:szCs w:val="24"/>
        </w:rPr>
        <w:t xml:space="preserve">. </w:t>
      </w:r>
    </w:p>
    <w:p w14:paraId="53A2055F" w14:textId="77777777" w:rsidR="00855198" w:rsidRDefault="00855198" w:rsidP="00C030CE">
      <w:pPr>
        <w:pStyle w:val="ListParagraph"/>
        <w:spacing w:line="480" w:lineRule="auto"/>
        <w:ind w:left="0"/>
        <w:outlineLvl w:val="2"/>
        <w:rPr>
          <w:rFonts w:ascii="Arial" w:hAnsi="Arial" w:cs="Arial"/>
          <w:sz w:val="24"/>
          <w:szCs w:val="24"/>
        </w:rPr>
      </w:pPr>
    </w:p>
    <w:p w14:paraId="2A0FF586" w14:textId="6696BF49" w:rsidR="00C030CE" w:rsidRPr="00283E43" w:rsidRDefault="00C030CE" w:rsidP="00C030CE">
      <w:pPr>
        <w:pStyle w:val="ListParagraph"/>
        <w:spacing w:line="480" w:lineRule="auto"/>
        <w:ind w:left="0"/>
        <w:outlineLvl w:val="2"/>
        <w:rPr>
          <w:rFonts w:ascii="Arial" w:hAnsi="Arial" w:cs="Arial"/>
          <w:sz w:val="24"/>
          <w:szCs w:val="24"/>
        </w:rPr>
      </w:pPr>
      <w:r>
        <w:rPr>
          <w:rFonts w:ascii="Arial" w:hAnsi="Arial" w:cs="Arial"/>
          <w:sz w:val="24"/>
          <w:szCs w:val="24"/>
        </w:rPr>
        <w:t>The lowest scores were in unde</w:t>
      </w:r>
      <w:r w:rsidR="00ED6867">
        <w:rPr>
          <w:rFonts w:ascii="Arial" w:hAnsi="Arial" w:cs="Arial"/>
          <w:sz w:val="24"/>
          <w:szCs w:val="24"/>
        </w:rPr>
        <w:t>rstanding prescribing</w:t>
      </w:r>
      <w:r w:rsidR="00F56243">
        <w:rPr>
          <w:rFonts w:ascii="Arial" w:hAnsi="Arial" w:cs="Arial"/>
          <w:sz w:val="24"/>
          <w:szCs w:val="24"/>
        </w:rPr>
        <w:t xml:space="preserve">. </w:t>
      </w:r>
      <w:r w:rsidR="001D15DD">
        <w:rPr>
          <w:rFonts w:ascii="Arial" w:hAnsi="Arial" w:cs="Arial"/>
          <w:sz w:val="24"/>
          <w:szCs w:val="24"/>
        </w:rPr>
        <w:t>T</w:t>
      </w:r>
      <w:r w:rsidR="00A81CBA">
        <w:rPr>
          <w:rFonts w:ascii="Arial" w:hAnsi="Arial" w:cs="Arial"/>
          <w:sz w:val="24"/>
          <w:szCs w:val="24"/>
        </w:rPr>
        <w:t>he students did not feel confident</w:t>
      </w:r>
      <w:r>
        <w:rPr>
          <w:rFonts w:ascii="Arial" w:hAnsi="Arial" w:cs="Arial"/>
          <w:sz w:val="24"/>
          <w:szCs w:val="24"/>
        </w:rPr>
        <w:t xml:space="preserve"> in prescribing </w:t>
      </w:r>
      <w:r w:rsidR="001D15DD">
        <w:rPr>
          <w:rFonts w:ascii="Arial" w:hAnsi="Arial" w:cs="Arial"/>
          <w:sz w:val="24"/>
          <w:szCs w:val="24"/>
        </w:rPr>
        <w:t>and</w:t>
      </w:r>
      <w:r>
        <w:rPr>
          <w:rFonts w:ascii="Arial" w:hAnsi="Arial" w:cs="Arial"/>
          <w:sz w:val="24"/>
          <w:szCs w:val="24"/>
        </w:rPr>
        <w:t xml:space="preserve"> </w:t>
      </w:r>
      <w:r w:rsidR="00ED6867">
        <w:rPr>
          <w:rFonts w:ascii="Arial" w:hAnsi="Arial" w:cs="Arial"/>
          <w:sz w:val="24"/>
          <w:szCs w:val="24"/>
        </w:rPr>
        <w:t xml:space="preserve">they had many questions </w:t>
      </w:r>
      <w:r w:rsidR="008D40D0">
        <w:rPr>
          <w:rFonts w:ascii="Arial" w:hAnsi="Arial" w:cs="Arial"/>
          <w:sz w:val="24"/>
          <w:szCs w:val="24"/>
        </w:rPr>
        <w:t>that</w:t>
      </w:r>
      <w:r>
        <w:rPr>
          <w:rFonts w:ascii="Arial" w:hAnsi="Arial" w:cs="Arial"/>
          <w:sz w:val="24"/>
          <w:szCs w:val="24"/>
        </w:rPr>
        <w:t xml:space="preserve"> could not </w:t>
      </w:r>
      <w:r w:rsidR="00ED6867">
        <w:rPr>
          <w:rFonts w:ascii="Arial" w:hAnsi="Arial" w:cs="Arial"/>
          <w:sz w:val="24"/>
          <w:szCs w:val="24"/>
        </w:rPr>
        <w:t xml:space="preserve">be </w:t>
      </w:r>
      <w:r>
        <w:rPr>
          <w:rFonts w:ascii="Arial" w:hAnsi="Arial" w:cs="Arial"/>
          <w:sz w:val="24"/>
          <w:szCs w:val="24"/>
        </w:rPr>
        <w:t>cover</w:t>
      </w:r>
      <w:r w:rsidR="00ED6867">
        <w:rPr>
          <w:rFonts w:ascii="Arial" w:hAnsi="Arial" w:cs="Arial"/>
          <w:sz w:val="24"/>
          <w:szCs w:val="24"/>
        </w:rPr>
        <w:t>ed</w:t>
      </w:r>
      <w:r w:rsidR="008D40D0">
        <w:rPr>
          <w:rFonts w:ascii="Arial" w:hAnsi="Arial" w:cs="Arial"/>
          <w:sz w:val="24"/>
          <w:szCs w:val="24"/>
        </w:rPr>
        <w:t xml:space="preserve"> due to time constraints</w:t>
      </w:r>
      <w:r w:rsidR="001D15DD">
        <w:rPr>
          <w:rFonts w:ascii="Arial" w:hAnsi="Arial" w:cs="Arial"/>
          <w:sz w:val="24"/>
          <w:szCs w:val="24"/>
        </w:rPr>
        <w:t xml:space="preserve">. </w:t>
      </w:r>
      <w:r w:rsidR="00ED6867">
        <w:rPr>
          <w:rFonts w:ascii="Arial" w:hAnsi="Arial" w:cs="Arial"/>
          <w:sz w:val="24"/>
          <w:szCs w:val="24"/>
        </w:rPr>
        <w:t xml:space="preserve">This researcher </w:t>
      </w:r>
      <w:r>
        <w:rPr>
          <w:rFonts w:ascii="Arial" w:hAnsi="Arial" w:cs="Arial"/>
          <w:sz w:val="24"/>
          <w:szCs w:val="24"/>
        </w:rPr>
        <w:t>had hoped it would be a place to put the</w:t>
      </w:r>
      <w:r w:rsidR="001D15DD">
        <w:rPr>
          <w:rFonts w:ascii="Arial" w:hAnsi="Arial" w:cs="Arial"/>
          <w:sz w:val="24"/>
          <w:szCs w:val="24"/>
        </w:rPr>
        <w:t>ir</w:t>
      </w:r>
      <w:r>
        <w:rPr>
          <w:rFonts w:ascii="Arial" w:hAnsi="Arial" w:cs="Arial"/>
          <w:sz w:val="24"/>
          <w:szCs w:val="24"/>
        </w:rPr>
        <w:t xml:space="preserve"> prescribing theory </w:t>
      </w:r>
      <w:r w:rsidR="000A27DF">
        <w:rPr>
          <w:rFonts w:ascii="Arial" w:hAnsi="Arial" w:cs="Arial"/>
          <w:sz w:val="24"/>
          <w:szCs w:val="24"/>
        </w:rPr>
        <w:t>into</w:t>
      </w:r>
      <w:r>
        <w:rPr>
          <w:rFonts w:ascii="Arial" w:hAnsi="Arial" w:cs="Arial"/>
          <w:sz w:val="24"/>
          <w:szCs w:val="24"/>
        </w:rPr>
        <w:t xml:space="preserve"> practice but they were not at that level. Another method tried was giving peer observers prescriptions and getting them to prescribe the drugs and fluids. Unfortunately this took away from the realistic environment because the doctor has to balance priorities. In addition it meant </w:t>
      </w:r>
      <w:r>
        <w:rPr>
          <w:rFonts w:ascii="Arial" w:hAnsi="Arial" w:cs="Arial"/>
          <w:sz w:val="24"/>
          <w:szCs w:val="24"/>
        </w:rPr>
        <w:lastRenderedPageBreak/>
        <w:t>that peers were less able to concentrate on their colleagues</w:t>
      </w:r>
      <w:r w:rsidR="008D40D0">
        <w:rPr>
          <w:rFonts w:ascii="Arial" w:hAnsi="Arial" w:cs="Arial"/>
          <w:sz w:val="24"/>
          <w:szCs w:val="24"/>
        </w:rPr>
        <w:t>’</w:t>
      </w:r>
      <w:r>
        <w:rPr>
          <w:rFonts w:ascii="Arial" w:hAnsi="Arial" w:cs="Arial"/>
          <w:sz w:val="24"/>
          <w:szCs w:val="24"/>
        </w:rPr>
        <w:t xml:space="preserve"> performance</w:t>
      </w:r>
      <w:r w:rsidR="008D40D0">
        <w:rPr>
          <w:rFonts w:ascii="Arial" w:hAnsi="Arial" w:cs="Arial"/>
          <w:sz w:val="24"/>
          <w:szCs w:val="24"/>
        </w:rPr>
        <w:t>, thereby compromising</w:t>
      </w:r>
      <w:r>
        <w:rPr>
          <w:rFonts w:ascii="Arial" w:hAnsi="Arial" w:cs="Arial"/>
          <w:sz w:val="24"/>
          <w:szCs w:val="24"/>
        </w:rPr>
        <w:t xml:space="preserve"> feedback</w:t>
      </w:r>
      <w:r w:rsidR="00ED6867">
        <w:rPr>
          <w:rFonts w:ascii="Arial" w:hAnsi="Arial" w:cs="Arial"/>
          <w:sz w:val="24"/>
          <w:szCs w:val="24"/>
        </w:rPr>
        <w:t xml:space="preserve">. </w:t>
      </w:r>
      <w:r w:rsidR="003B1967">
        <w:rPr>
          <w:rFonts w:ascii="Arial" w:hAnsi="Arial" w:cs="Arial"/>
          <w:sz w:val="24"/>
          <w:szCs w:val="24"/>
        </w:rPr>
        <w:t>F</w:t>
      </w:r>
      <w:r>
        <w:rPr>
          <w:rFonts w:ascii="Arial" w:hAnsi="Arial" w:cs="Arial"/>
          <w:sz w:val="24"/>
          <w:szCs w:val="24"/>
        </w:rPr>
        <w:t xml:space="preserve">ocus </w:t>
      </w:r>
      <w:r w:rsidR="003B1967">
        <w:rPr>
          <w:rFonts w:ascii="Arial" w:hAnsi="Arial" w:cs="Arial"/>
          <w:sz w:val="24"/>
          <w:szCs w:val="24"/>
        </w:rPr>
        <w:t xml:space="preserve">was then placed on </w:t>
      </w:r>
      <w:r>
        <w:rPr>
          <w:rFonts w:ascii="Arial" w:hAnsi="Arial" w:cs="Arial"/>
          <w:sz w:val="24"/>
          <w:szCs w:val="24"/>
        </w:rPr>
        <w:t>prescribi</w:t>
      </w:r>
      <w:r w:rsidR="00ED6867">
        <w:rPr>
          <w:rFonts w:ascii="Arial" w:hAnsi="Arial" w:cs="Arial"/>
          <w:sz w:val="24"/>
          <w:szCs w:val="24"/>
        </w:rPr>
        <w:t>ng the emergency drugs and</w:t>
      </w:r>
      <w:r>
        <w:rPr>
          <w:rFonts w:ascii="Arial" w:hAnsi="Arial" w:cs="Arial"/>
          <w:sz w:val="24"/>
          <w:szCs w:val="24"/>
        </w:rPr>
        <w:t xml:space="preserve"> time</w:t>
      </w:r>
      <w:r w:rsidR="00ED6867">
        <w:rPr>
          <w:rFonts w:ascii="Arial" w:hAnsi="Arial" w:cs="Arial"/>
          <w:sz w:val="24"/>
          <w:szCs w:val="24"/>
        </w:rPr>
        <w:t xml:space="preserve"> allowed</w:t>
      </w:r>
      <w:r>
        <w:rPr>
          <w:rFonts w:ascii="Arial" w:hAnsi="Arial" w:cs="Arial"/>
          <w:sz w:val="24"/>
          <w:szCs w:val="24"/>
        </w:rPr>
        <w:t xml:space="preserve"> to discuss those only.</w:t>
      </w:r>
    </w:p>
    <w:p w14:paraId="6DF9CADB" w14:textId="38A449A2" w:rsidR="00C030CE" w:rsidRPr="000C389E" w:rsidRDefault="00DE5A9C" w:rsidP="00C030CE">
      <w:pPr>
        <w:rPr>
          <w:rFonts w:cs="Arial"/>
          <w:szCs w:val="24"/>
        </w:rPr>
      </w:pPr>
      <w:r>
        <w:rPr>
          <w:rFonts w:cs="Arial"/>
          <w:szCs w:val="24"/>
        </w:rPr>
        <w:t>At three months, those that did the IMASS group versus controls (</w:t>
      </w:r>
      <w:r w:rsidR="00BC4377">
        <w:rPr>
          <w:rFonts w:cs="Arial"/>
          <w:szCs w:val="24"/>
        </w:rPr>
        <w:t>non-IMASS</w:t>
      </w:r>
      <w:r>
        <w:rPr>
          <w:rFonts w:cs="Arial"/>
          <w:szCs w:val="24"/>
        </w:rPr>
        <w:t xml:space="preserve">) felt more confident and prepared about being </w:t>
      </w:r>
      <w:r w:rsidR="00BC4377">
        <w:rPr>
          <w:rFonts w:cs="Arial"/>
          <w:szCs w:val="24"/>
        </w:rPr>
        <w:t>a FY1</w:t>
      </w:r>
      <w:r>
        <w:rPr>
          <w:rFonts w:cs="Arial"/>
          <w:szCs w:val="24"/>
        </w:rPr>
        <w:t xml:space="preserve">. </w:t>
      </w:r>
      <w:r w:rsidR="00C030CE">
        <w:rPr>
          <w:rFonts w:cs="Arial"/>
          <w:szCs w:val="24"/>
        </w:rPr>
        <w:t>Th</w:t>
      </w:r>
      <w:r w:rsidR="00855198">
        <w:rPr>
          <w:rFonts w:cs="Arial"/>
          <w:szCs w:val="24"/>
        </w:rPr>
        <w:t xml:space="preserve">e </w:t>
      </w:r>
      <w:r w:rsidR="00C030CE">
        <w:rPr>
          <w:rFonts w:cs="Arial"/>
          <w:szCs w:val="24"/>
        </w:rPr>
        <w:t xml:space="preserve">confidence score </w:t>
      </w:r>
      <w:r w:rsidR="003B1967">
        <w:rPr>
          <w:rFonts w:cs="Arial"/>
          <w:szCs w:val="24"/>
        </w:rPr>
        <w:t>wa</w:t>
      </w:r>
      <w:r w:rsidR="00C030CE">
        <w:rPr>
          <w:rFonts w:cs="Arial"/>
          <w:szCs w:val="24"/>
        </w:rPr>
        <w:t>s maintained over time</w:t>
      </w:r>
      <w:r w:rsidR="003B1967">
        <w:rPr>
          <w:rFonts w:cs="Arial"/>
          <w:szCs w:val="24"/>
        </w:rPr>
        <w:t xml:space="preserve">. </w:t>
      </w:r>
      <w:r w:rsidR="00855198">
        <w:rPr>
          <w:rFonts w:cs="Arial"/>
          <w:szCs w:val="24"/>
        </w:rPr>
        <w:t xml:space="preserve">It was not possible to identify individuals and link their confidence scores and results. This </w:t>
      </w:r>
      <w:r w:rsidR="00ED6867">
        <w:rPr>
          <w:rFonts w:cs="Arial"/>
          <w:szCs w:val="24"/>
        </w:rPr>
        <w:t>will be done during the</w:t>
      </w:r>
      <w:r w:rsidR="00855198">
        <w:rPr>
          <w:rFonts w:cs="Arial"/>
          <w:szCs w:val="24"/>
        </w:rPr>
        <w:t xml:space="preserve"> final</w:t>
      </w:r>
      <w:r w:rsidR="00ED6867">
        <w:rPr>
          <w:rFonts w:cs="Arial"/>
          <w:szCs w:val="24"/>
        </w:rPr>
        <w:t xml:space="preserve"> intervention study</w:t>
      </w:r>
      <w:r w:rsidR="00C030CE">
        <w:rPr>
          <w:rFonts w:cs="Arial"/>
          <w:szCs w:val="24"/>
        </w:rPr>
        <w:t>.</w:t>
      </w:r>
      <w:r w:rsidRPr="00DE5A9C">
        <w:rPr>
          <w:rFonts w:cs="Arial"/>
          <w:szCs w:val="24"/>
        </w:rPr>
        <w:t xml:space="preserve"> </w:t>
      </w:r>
      <w:r>
        <w:rPr>
          <w:rFonts w:cs="Arial"/>
          <w:szCs w:val="24"/>
        </w:rPr>
        <w:t xml:space="preserve">Though numbers are small, this group represented 20% of the year and because homogenous, these data may be transferable to the remaining year group and potentially other medical schools. </w:t>
      </w:r>
    </w:p>
    <w:p w14:paraId="3D9B79AE" w14:textId="1BAE6C08" w:rsidR="00C030CE" w:rsidRDefault="00C030CE" w:rsidP="00C030CE">
      <w:pPr>
        <w:rPr>
          <w:rFonts w:cs="Arial"/>
          <w:szCs w:val="24"/>
        </w:rPr>
      </w:pPr>
      <w:r w:rsidRPr="000C389E">
        <w:rPr>
          <w:rFonts w:cs="Arial"/>
          <w:szCs w:val="24"/>
        </w:rPr>
        <w:t xml:space="preserve">In terms of realism, 65% agreed simulation felt realistic, 71% of </w:t>
      </w:r>
      <w:r w:rsidR="00F93527">
        <w:rPr>
          <w:rFonts w:cs="Arial"/>
          <w:szCs w:val="24"/>
        </w:rPr>
        <w:t>the 65%</w:t>
      </w:r>
      <w:r w:rsidRPr="000C389E">
        <w:rPr>
          <w:rFonts w:cs="Arial"/>
          <w:szCs w:val="24"/>
        </w:rPr>
        <w:t xml:space="preserve"> were in the IMASS group</w:t>
      </w:r>
      <w:r w:rsidR="003B1967">
        <w:rPr>
          <w:rFonts w:cs="Arial"/>
          <w:szCs w:val="24"/>
        </w:rPr>
        <w:t>. L</w:t>
      </w:r>
      <w:r>
        <w:rPr>
          <w:rFonts w:cs="Arial"/>
          <w:szCs w:val="24"/>
        </w:rPr>
        <w:t xml:space="preserve">earning is </w:t>
      </w:r>
      <w:r w:rsidR="00CA0E85">
        <w:rPr>
          <w:rFonts w:cs="Arial"/>
          <w:szCs w:val="24"/>
        </w:rPr>
        <w:t>optimised</w:t>
      </w:r>
      <w:r>
        <w:rPr>
          <w:rFonts w:cs="Arial"/>
          <w:szCs w:val="24"/>
        </w:rPr>
        <w:t xml:space="preserve"> by improving immersion through increased reality</w:t>
      </w:r>
      <w:r w:rsidR="00802C06">
        <w:rPr>
          <w:rFonts w:cs="Arial"/>
          <w:szCs w:val="24"/>
        </w:rPr>
        <w:t>,</w:t>
      </w:r>
      <w:r>
        <w:rPr>
          <w:rFonts w:cs="Arial"/>
          <w:szCs w:val="24"/>
        </w:rPr>
        <w:t xml:space="preserve"> stressing the importance of faculty and student effort and agreeing a ‘fiction’ contract </w:t>
      </w:r>
      <w:r>
        <w:rPr>
          <w:rFonts w:cs="Arial"/>
          <w:szCs w:val="24"/>
        </w:rPr>
        <w:fldChar w:fldCharType="begin"/>
      </w:r>
      <w:r w:rsidR="009C2FFD">
        <w:rPr>
          <w:rFonts w:cs="Arial"/>
          <w:szCs w:val="24"/>
        </w:rPr>
        <w:instrText xml:space="preserve"> ADDIN EN.CITE &lt;EndNote&gt;&lt;Cite&gt;&lt;Author&gt;Dieckmann&lt;/Author&gt;&lt;Year&gt;2007&lt;/Year&gt;&lt;IDText&gt;Deepening the theoretical foundations of patient simulation as social practice&lt;/IDText&gt;&lt;DisplayText&gt;(Dieckmann et al., 2007)&lt;/DisplayText&gt;&lt;record&gt;&lt;dates&gt;&lt;pub-dates&gt;&lt;date&gt;2007&lt;/date&gt;&lt;/pub-dates&gt;&lt;year&gt;2007&lt;/year&gt;&lt;/dates&gt;&lt;urls&gt;&lt;related-urls&gt;&lt;url&gt;&amp;lt;Go to ISI&amp;gt;://MEDLINE:19088622&lt;/url&gt;&lt;/related-urls&gt;&lt;/urls&gt;&lt;isbn&gt;1559-2332&lt;/isbn&gt;&lt;titles&gt;&lt;title&gt;Deepening the theoretical foundations of patient simulation as social practice&lt;/title&gt;&lt;secondary-title&gt;Simulation in healthcare : journal of the Society for Simulation in Healthcare&lt;/secondary-title&gt;&lt;/titles&gt;&lt;pages&gt;183-93&lt;/pages&gt;&lt;number&gt;3&lt;/number&gt;&lt;contributors&gt;&lt;authors&gt;&lt;author&gt;Dieckmann, Peter&lt;/author&gt;&lt;author&gt;Gaba, David&lt;/author&gt;&lt;author&gt;Rall, Marcus&lt;/author&gt;&lt;/authors&gt;&lt;/contributors&gt;&lt;added-date format="utc"&gt;1399991558&lt;/added-date&gt;&lt;ref-type name="Journal Article"&gt;17&lt;/ref-type&gt;&lt;rec-number&gt;133&lt;/rec-number&gt;&lt;last-updated-date format="utc"&gt;1400228406&lt;/last-updated-date&gt;&lt;accession-num&gt;MEDLINE:19088622&lt;/accession-num&gt;&lt;electronic-resource-num&gt;10.1097/SIH.0b013e3180f637f5&lt;/electronic-resource-num&gt;&lt;volume&gt;2&lt;/volume&gt;&lt;/record&gt;&lt;/Cite&gt;&lt;/EndNote&gt;</w:instrText>
      </w:r>
      <w:r>
        <w:rPr>
          <w:rFonts w:cs="Arial"/>
          <w:szCs w:val="24"/>
        </w:rPr>
        <w:fldChar w:fldCharType="separate"/>
      </w:r>
      <w:r w:rsidR="009C2FFD">
        <w:rPr>
          <w:rFonts w:cs="Arial"/>
          <w:noProof/>
          <w:szCs w:val="24"/>
        </w:rPr>
        <w:t>(Dieckmann et al., 2007)</w:t>
      </w:r>
      <w:r>
        <w:rPr>
          <w:rFonts w:cs="Arial"/>
          <w:szCs w:val="24"/>
        </w:rPr>
        <w:fldChar w:fldCharType="end"/>
      </w:r>
      <w:r>
        <w:rPr>
          <w:rFonts w:cs="Arial"/>
          <w:szCs w:val="24"/>
        </w:rPr>
        <w:t>. It is evident that the smaller the groups the better learning opportunities</w:t>
      </w:r>
      <w:r w:rsidR="00DE5A9C">
        <w:rPr>
          <w:rFonts w:cs="Arial"/>
          <w:szCs w:val="24"/>
        </w:rPr>
        <w:t>.</w:t>
      </w:r>
      <w:r>
        <w:rPr>
          <w:rFonts w:cs="Arial"/>
          <w:szCs w:val="24"/>
        </w:rPr>
        <w:t xml:space="preserve"> </w:t>
      </w:r>
      <w:r w:rsidR="00DE5A9C">
        <w:rPr>
          <w:rFonts w:cs="Arial"/>
          <w:szCs w:val="24"/>
        </w:rPr>
        <w:t>O</w:t>
      </w:r>
      <w:r>
        <w:rPr>
          <w:rFonts w:cs="Arial"/>
          <w:szCs w:val="24"/>
        </w:rPr>
        <w:t xml:space="preserve">ptimum group sizes </w:t>
      </w:r>
      <w:r w:rsidR="000628C3">
        <w:rPr>
          <w:rFonts w:cs="Arial"/>
          <w:szCs w:val="24"/>
        </w:rPr>
        <w:t xml:space="preserve">were </w:t>
      </w:r>
      <w:r>
        <w:rPr>
          <w:rFonts w:cs="Arial"/>
          <w:szCs w:val="24"/>
        </w:rPr>
        <w:t>four to five people</w:t>
      </w:r>
      <w:r w:rsidR="000628C3">
        <w:rPr>
          <w:rFonts w:cs="Arial"/>
          <w:szCs w:val="24"/>
        </w:rPr>
        <w:t>.</w:t>
      </w:r>
      <w:r>
        <w:rPr>
          <w:rFonts w:cs="Arial"/>
          <w:szCs w:val="24"/>
        </w:rPr>
        <w:t xml:space="preserve"> </w:t>
      </w:r>
    </w:p>
    <w:p w14:paraId="4FCA813C" w14:textId="53842C82" w:rsidR="003B1967" w:rsidRDefault="003B1967" w:rsidP="003B1967">
      <w:pPr>
        <w:rPr>
          <w:rFonts w:cs="Arial"/>
          <w:szCs w:val="24"/>
        </w:rPr>
      </w:pPr>
      <w:r>
        <w:rPr>
          <w:rFonts w:cs="Arial"/>
          <w:szCs w:val="24"/>
        </w:rPr>
        <w:t>S</w:t>
      </w:r>
      <w:r w:rsidR="00C030CE">
        <w:rPr>
          <w:rFonts w:cs="Arial"/>
          <w:szCs w:val="24"/>
        </w:rPr>
        <w:t xml:space="preserve">tudents </w:t>
      </w:r>
      <w:r w:rsidR="00DB4442">
        <w:rPr>
          <w:rFonts w:cs="Arial"/>
          <w:szCs w:val="24"/>
        </w:rPr>
        <w:t xml:space="preserve">want </w:t>
      </w:r>
      <w:r w:rsidR="00C030CE">
        <w:rPr>
          <w:rFonts w:cs="Arial"/>
          <w:szCs w:val="24"/>
        </w:rPr>
        <w:t>increased simulation exposure at</w:t>
      </w:r>
      <w:r w:rsidR="00C030CE" w:rsidRPr="000C389E">
        <w:rPr>
          <w:rFonts w:cs="Arial"/>
          <w:szCs w:val="24"/>
        </w:rPr>
        <w:t xml:space="preserve"> undergraduate level. </w:t>
      </w:r>
      <w:r w:rsidR="00C030CE">
        <w:rPr>
          <w:rFonts w:cs="Arial"/>
          <w:szCs w:val="24"/>
        </w:rPr>
        <w:t>It is difficult to know whether this is</w:t>
      </w:r>
      <w:r w:rsidR="00DE5A9C">
        <w:rPr>
          <w:rFonts w:cs="Arial"/>
          <w:szCs w:val="24"/>
        </w:rPr>
        <w:t xml:space="preserve"> due to</w:t>
      </w:r>
      <w:r w:rsidR="00C030CE">
        <w:rPr>
          <w:rFonts w:cs="Arial"/>
          <w:szCs w:val="24"/>
        </w:rPr>
        <w:t xml:space="preserve"> the novelty of simulation, the technology</w:t>
      </w:r>
      <w:r>
        <w:rPr>
          <w:rFonts w:cs="Arial"/>
          <w:szCs w:val="24"/>
        </w:rPr>
        <w:t xml:space="preserve">, </w:t>
      </w:r>
      <w:r w:rsidR="00C030CE">
        <w:rPr>
          <w:rFonts w:cs="Arial"/>
          <w:szCs w:val="24"/>
        </w:rPr>
        <w:t>th</w:t>
      </w:r>
      <w:r w:rsidR="00DB4442">
        <w:rPr>
          <w:rFonts w:cs="Arial"/>
          <w:szCs w:val="24"/>
        </w:rPr>
        <w:t xml:space="preserve">e </w:t>
      </w:r>
      <w:r w:rsidR="00C030CE">
        <w:rPr>
          <w:rFonts w:cs="Arial"/>
          <w:szCs w:val="24"/>
        </w:rPr>
        <w:t>small group or whether it is</w:t>
      </w:r>
      <w:r w:rsidR="00802C06">
        <w:rPr>
          <w:rFonts w:cs="Arial"/>
          <w:szCs w:val="24"/>
        </w:rPr>
        <w:t xml:space="preserve"> the value </w:t>
      </w:r>
      <w:r w:rsidR="00DB4442">
        <w:rPr>
          <w:rFonts w:cs="Arial"/>
          <w:szCs w:val="24"/>
        </w:rPr>
        <w:t>unique to</w:t>
      </w:r>
      <w:r>
        <w:rPr>
          <w:rFonts w:cs="Arial"/>
          <w:szCs w:val="24"/>
        </w:rPr>
        <w:t xml:space="preserve"> </w:t>
      </w:r>
      <w:r w:rsidR="00802C06">
        <w:rPr>
          <w:rFonts w:cs="Arial"/>
          <w:szCs w:val="24"/>
        </w:rPr>
        <w:t>simulation</w:t>
      </w:r>
      <w:r w:rsidR="00C030CE">
        <w:rPr>
          <w:rFonts w:cs="Arial"/>
          <w:szCs w:val="24"/>
        </w:rPr>
        <w:t xml:space="preserve">. </w:t>
      </w:r>
      <w:r>
        <w:rPr>
          <w:rFonts w:cs="Arial"/>
          <w:szCs w:val="24"/>
        </w:rPr>
        <w:t>The huge challenge is how to take large year groups of students through this individualised training, which is faculty intensive</w:t>
      </w:r>
      <w:r w:rsidR="008D40D0">
        <w:rPr>
          <w:rFonts w:cs="Arial"/>
          <w:szCs w:val="24"/>
        </w:rPr>
        <w:t>,</w:t>
      </w:r>
      <w:r>
        <w:rPr>
          <w:rFonts w:cs="Arial"/>
          <w:szCs w:val="24"/>
        </w:rPr>
        <w:t xml:space="preserve"> </w:t>
      </w:r>
      <w:r w:rsidR="00337A7E">
        <w:rPr>
          <w:rFonts w:cs="Arial"/>
          <w:szCs w:val="24"/>
        </w:rPr>
        <w:t>using</w:t>
      </w:r>
      <w:r>
        <w:rPr>
          <w:rFonts w:cs="Arial"/>
          <w:szCs w:val="24"/>
        </w:rPr>
        <w:t xml:space="preserve"> expensive equipment</w:t>
      </w:r>
      <w:r w:rsidR="00E14BE1">
        <w:rPr>
          <w:rFonts w:cs="Arial"/>
          <w:szCs w:val="24"/>
        </w:rPr>
        <w:t>. If lessons can be learnt about how to enhance preparedness through simulation there may be transferrable and generalisable lessons for the education community</w:t>
      </w:r>
      <w:r>
        <w:rPr>
          <w:rFonts w:cs="Arial"/>
          <w:szCs w:val="24"/>
        </w:rPr>
        <w:t xml:space="preserve">. </w:t>
      </w:r>
    </w:p>
    <w:p w14:paraId="57BF462D" w14:textId="4E58EA9C" w:rsidR="00C030CE" w:rsidRDefault="003B1967" w:rsidP="00C030CE">
      <w:pPr>
        <w:rPr>
          <w:rFonts w:cs="Arial"/>
          <w:szCs w:val="24"/>
        </w:rPr>
      </w:pPr>
      <w:r>
        <w:rPr>
          <w:rFonts w:cs="Arial"/>
          <w:szCs w:val="24"/>
        </w:rPr>
        <w:lastRenderedPageBreak/>
        <w:t>S</w:t>
      </w:r>
      <w:r w:rsidR="00C030CE">
        <w:rPr>
          <w:rFonts w:cs="Arial"/>
          <w:szCs w:val="24"/>
        </w:rPr>
        <w:t xml:space="preserve">tudents had a poor grasp of what was expected of them on day one of </w:t>
      </w:r>
      <w:r>
        <w:rPr>
          <w:rFonts w:cs="Arial"/>
          <w:szCs w:val="24"/>
        </w:rPr>
        <w:t xml:space="preserve">FY1 </w:t>
      </w:r>
      <w:r w:rsidR="00C030CE">
        <w:rPr>
          <w:rFonts w:cs="Arial"/>
          <w:szCs w:val="24"/>
        </w:rPr>
        <w:t xml:space="preserve">and it is likely that </w:t>
      </w:r>
      <w:r w:rsidR="00CA0E85">
        <w:rPr>
          <w:rFonts w:cs="Arial"/>
          <w:szCs w:val="24"/>
        </w:rPr>
        <w:t>a combination of methods to improve preparedness is</w:t>
      </w:r>
      <w:r w:rsidR="00C030CE">
        <w:rPr>
          <w:rFonts w:cs="Arial"/>
          <w:szCs w:val="24"/>
        </w:rPr>
        <w:t xml:space="preserve"> required. </w:t>
      </w:r>
      <w:r w:rsidR="00855198">
        <w:rPr>
          <w:rFonts w:cs="Arial"/>
          <w:szCs w:val="24"/>
        </w:rPr>
        <w:t>One of the largest concerns was that s</w:t>
      </w:r>
      <w:r w:rsidR="00E14BE1">
        <w:rPr>
          <w:rFonts w:cs="Arial"/>
          <w:szCs w:val="24"/>
        </w:rPr>
        <w:t xml:space="preserve">tudents </w:t>
      </w:r>
      <w:r w:rsidR="00855198">
        <w:rPr>
          <w:rFonts w:cs="Arial"/>
          <w:szCs w:val="24"/>
        </w:rPr>
        <w:t xml:space="preserve">reported </w:t>
      </w:r>
      <w:r w:rsidR="00C030CE">
        <w:rPr>
          <w:rFonts w:cs="Arial"/>
          <w:szCs w:val="24"/>
        </w:rPr>
        <w:t xml:space="preserve">they had not worked with nurses before this time in a team based clinical </w:t>
      </w:r>
      <w:r w:rsidR="00CA0E85">
        <w:rPr>
          <w:rFonts w:cs="Arial"/>
          <w:szCs w:val="24"/>
        </w:rPr>
        <w:t>method. They</w:t>
      </w:r>
      <w:r w:rsidR="00C030CE">
        <w:rPr>
          <w:rFonts w:cs="Arial"/>
          <w:szCs w:val="24"/>
        </w:rPr>
        <w:t xml:space="preserve"> felt this</w:t>
      </w:r>
      <w:r w:rsidR="00C030CE" w:rsidRPr="000F7168">
        <w:rPr>
          <w:rFonts w:cs="Arial"/>
          <w:szCs w:val="24"/>
        </w:rPr>
        <w:t xml:space="preserve"> </w:t>
      </w:r>
      <w:r w:rsidR="00855198">
        <w:rPr>
          <w:rFonts w:cs="Arial"/>
          <w:szCs w:val="24"/>
        </w:rPr>
        <w:t xml:space="preserve">helped hugely with preparedness by </w:t>
      </w:r>
      <w:r w:rsidR="00C030CE" w:rsidRPr="000F7168">
        <w:rPr>
          <w:rFonts w:cs="Arial"/>
          <w:szCs w:val="24"/>
        </w:rPr>
        <w:t>allow</w:t>
      </w:r>
      <w:r w:rsidR="00855198">
        <w:rPr>
          <w:rFonts w:cs="Arial"/>
          <w:szCs w:val="24"/>
        </w:rPr>
        <w:t>ing</w:t>
      </w:r>
      <w:r w:rsidR="00C030CE" w:rsidRPr="000F7168">
        <w:rPr>
          <w:rFonts w:cs="Arial"/>
          <w:szCs w:val="24"/>
        </w:rPr>
        <w:t xml:space="preserve"> shared knowledge</w:t>
      </w:r>
      <w:r w:rsidR="00DE5A9C">
        <w:rPr>
          <w:rFonts w:cs="Arial"/>
          <w:szCs w:val="24"/>
        </w:rPr>
        <w:t xml:space="preserve">, </w:t>
      </w:r>
      <w:r w:rsidR="00C030CE" w:rsidRPr="000F7168">
        <w:rPr>
          <w:rFonts w:cs="Arial"/>
          <w:szCs w:val="24"/>
        </w:rPr>
        <w:t>an early respect for roles, breaking down barriers and improve</w:t>
      </w:r>
      <w:r w:rsidR="00855198">
        <w:rPr>
          <w:rFonts w:cs="Arial"/>
          <w:szCs w:val="24"/>
        </w:rPr>
        <w:t>d</w:t>
      </w:r>
      <w:r w:rsidR="00C030CE" w:rsidRPr="000F7168">
        <w:rPr>
          <w:rFonts w:cs="Arial"/>
          <w:szCs w:val="24"/>
        </w:rPr>
        <w:t xml:space="preserve"> awareness about other specialities.</w:t>
      </w:r>
    </w:p>
    <w:p w14:paraId="442D4AD3" w14:textId="77777777" w:rsidR="00162A24" w:rsidRDefault="00162A24" w:rsidP="00C030CE">
      <w:pPr>
        <w:rPr>
          <w:rFonts w:cs="Arial"/>
          <w:szCs w:val="24"/>
        </w:rPr>
      </w:pPr>
    </w:p>
    <w:p w14:paraId="189C4690" w14:textId="77777777" w:rsidR="00162A24" w:rsidRDefault="00162A24" w:rsidP="00C030CE">
      <w:pPr>
        <w:rPr>
          <w:rFonts w:cs="Arial"/>
          <w:szCs w:val="24"/>
        </w:rPr>
      </w:pPr>
    </w:p>
    <w:p w14:paraId="3E4BC7D9" w14:textId="77777777" w:rsidR="00162A24" w:rsidRDefault="00162A24" w:rsidP="00C030CE">
      <w:pPr>
        <w:rPr>
          <w:rFonts w:cs="Arial"/>
          <w:szCs w:val="24"/>
        </w:rPr>
      </w:pPr>
    </w:p>
    <w:p w14:paraId="7C3E98E2" w14:textId="77777777" w:rsidR="00162A24" w:rsidRDefault="00162A24" w:rsidP="00C030CE">
      <w:pPr>
        <w:rPr>
          <w:rFonts w:cs="Arial"/>
          <w:szCs w:val="24"/>
        </w:rPr>
      </w:pPr>
    </w:p>
    <w:p w14:paraId="087C1A21" w14:textId="77777777" w:rsidR="00162A24" w:rsidRDefault="00162A24" w:rsidP="00C030CE">
      <w:pPr>
        <w:rPr>
          <w:rFonts w:cs="Arial"/>
          <w:szCs w:val="24"/>
        </w:rPr>
      </w:pPr>
    </w:p>
    <w:p w14:paraId="1C031991" w14:textId="77777777" w:rsidR="00162A24" w:rsidRDefault="00162A24" w:rsidP="00C030CE">
      <w:pPr>
        <w:rPr>
          <w:rFonts w:cs="Arial"/>
          <w:szCs w:val="24"/>
        </w:rPr>
      </w:pPr>
    </w:p>
    <w:p w14:paraId="3DF87E48" w14:textId="77777777" w:rsidR="00162A24" w:rsidRDefault="00162A24" w:rsidP="00C030CE">
      <w:pPr>
        <w:rPr>
          <w:rFonts w:cs="Arial"/>
          <w:szCs w:val="24"/>
        </w:rPr>
      </w:pPr>
    </w:p>
    <w:p w14:paraId="01116940" w14:textId="77777777" w:rsidR="00162A24" w:rsidRDefault="00162A24" w:rsidP="00C030CE">
      <w:pPr>
        <w:rPr>
          <w:rFonts w:cs="Arial"/>
          <w:szCs w:val="24"/>
        </w:rPr>
      </w:pPr>
    </w:p>
    <w:p w14:paraId="13FF6E9B" w14:textId="77777777" w:rsidR="00162A24" w:rsidRPr="00162A24" w:rsidRDefault="00162A24" w:rsidP="00C030CE">
      <w:pPr>
        <w:rPr>
          <w:rFonts w:cs="Arial"/>
          <w:szCs w:val="24"/>
        </w:rPr>
      </w:pPr>
    </w:p>
    <w:p w14:paraId="58E494A7" w14:textId="2F84B90E" w:rsidR="00C030CE" w:rsidRDefault="001E391A" w:rsidP="00CA53EB">
      <w:pPr>
        <w:pStyle w:val="Heading2"/>
      </w:pPr>
      <w:bookmarkStart w:id="283" w:name="_Toc343501168"/>
      <w:bookmarkStart w:id="284" w:name="_Toc348686370"/>
      <w:bookmarkStart w:id="285" w:name="_Toc419116169"/>
      <w:r w:rsidRPr="00601AF7">
        <w:t>Conclusions</w:t>
      </w:r>
      <w:bookmarkEnd w:id="283"/>
      <w:bookmarkEnd w:id="284"/>
      <w:bookmarkEnd w:id="285"/>
    </w:p>
    <w:p w14:paraId="79828B12" w14:textId="77777777" w:rsidR="00736555" w:rsidRDefault="00736555" w:rsidP="00736555"/>
    <w:p w14:paraId="11BC11E6" w14:textId="7E38D752" w:rsidR="00736555" w:rsidRDefault="00736555" w:rsidP="00736555">
      <w:r>
        <w:lastRenderedPageBreak/>
        <w:t xml:space="preserve">The course ran well and was perceived to be realistic by students and by undergraduate educational group consensus. Insight </w:t>
      </w:r>
      <w:r w:rsidR="000A27DF">
        <w:t>into</w:t>
      </w:r>
      <w:r>
        <w:t xml:space="preserve"> what made the educational intervention feel real was useful to understand how to maintain and recreate this level of fidelity to allow students to feel responsible.</w:t>
      </w:r>
    </w:p>
    <w:p w14:paraId="5E6CCBA5" w14:textId="04F762D6" w:rsidR="00736555" w:rsidRDefault="00736555" w:rsidP="00736555">
      <w:r>
        <w:t xml:space="preserve">There was a statistically significant difference between confidence as a surrogate marker of preparedness for practice as </w:t>
      </w:r>
      <w:r w:rsidR="00BC4377">
        <w:t>a FY1</w:t>
      </w:r>
      <w:r>
        <w:t xml:space="preserve"> between the control (</w:t>
      </w:r>
      <w:r w:rsidR="00BC4377">
        <w:t>non-IMASS</w:t>
      </w:r>
      <w:r>
        <w:t>) and intervention group (IMASS group). It was felt that due to the level of unsystematic variance present between individuals in terms of personality and internal factors that influence behaviour and judgments</w:t>
      </w:r>
      <w:r w:rsidR="00DE5A9C">
        <w:t>,</w:t>
      </w:r>
      <w:r>
        <w:t xml:space="preserve"> it would be better in the final study to use baseline scores fr</w:t>
      </w:r>
      <w:r w:rsidR="0065617A">
        <w:t>o</w:t>
      </w:r>
      <w:r>
        <w:t>m the same individuals</w:t>
      </w:r>
      <w:r w:rsidR="00DE5A9C">
        <w:t xml:space="preserve"> as a control. A</w:t>
      </w:r>
      <w:r>
        <w:t xml:space="preserve"> </w:t>
      </w:r>
      <w:r w:rsidR="00082BB6">
        <w:t>repeated-measures</w:t>
      </w:r>
      <w:r>
        <w:t xml:space="preserve"> design </w:t>
      </w:r>
      <w:r w:rsidR="00DE5A9C">
        <w:t>would be employed</w:t>
      </w:r>
      <w:r>
        <w:t xml:space="preserve">. </w:t>
      </w:r>
      <w:r w:rsidR="00DE5A9C">
        <w:t xml:space="preserve">It </w:t>
      </w:r>
      <w:r>
        <w:t>was considered unethic</w:t>
      </w:r>
      <w:r w:rsidR="001A0ED6">
        <w:t>al to randomise groups to recei</w:t>
      </w:r>
      <w:r>
        <w:t>ve or not to receive this level of education</w:t>
      </w:r>
      <w:r w:rsidR="004976E2">
        <w:t>, when</w:t>
      </w:r>
      <w:r>
        <w:t xml:space="preserve"> </w:t>
      </w:r>
      <w:r w:rsidR="001A0ED6">
        <w:t xml:space="preserve">the literature </w:t>
      </w:r>
      <w:r w:rsidR="004976E2">
        <w:t xml:space="preserve">states that </w:t>
      </w:r>
      <w:r w:rsidR="0070140D">
        <w:t>simulation-based</w:t>
      </w:r>
      <w:r w:rsidR="001A0ED6">
        <w:t xml:space="preserve"> learning with deliberate practice is superior to other traditional methods of education. </w:t>
      </w:r>
    </w:p>
    <w:p w14:paraId="28585F79" w14:textId="21976B3E" w:rsidR="001A0ED6" w:rsidRDefault="00736555" w:rsidP="00736555">
      <w:r>
        <w:t xml:space="preserve">Challenges regarding normality of distribution of data were highlighted and plans to include assessment of standardised residuals in the final study were made. </w:t>
      </w:r>
      <w:r w:rsidR="001A0ED6">
        <w:t>The power calculation allowed the knowledge that an appropriate number for the final study would be 90 students and it was felt that having more than one institution would be important.</w:t>
      </w:r>
    </w:p>
    <w:p w14:paraId="4E1393D2" w14:textId="48F9E644" w:rsidR="001A0ED6" w:rsidRDefault="001A0ED6" w:rsidP="00736555">
      <w:r>
        <w:t xml:space="preserve">It was felt by the students that they were more supported by peers when in the same room but for those where peers were out of the room they felt less distracted and felt this independence was important to supporting their </w:t>
      </w:r>
      <w:r>
        <w:lastRenderedPageBreak/>
        <w:t>transition from medical student to FY</w:t>
      </w:r>
      <w:r w:rsidR="004976E2">
        <w:t>1. T</w:t>
      </w:r>
      <w:r>
        <w:t>he final study would be run with participants in the clinical simulation area with peers observing</w:t>
      </w:r>
      <w:r w:rsidR="004976E2">
        <w:t xml:space="preserve"> remotely</w:t>
      </w:r>
      <w:r>
        <w:t xml:space="preserve">. </w:t>
      </w:r>
    </w:p>
    <w:p w14:paraId="1C08A416" w14:textId="3603A4AE" w:rsidR="001A0ED6" w:rsidRDefault="001A0ED6" w:rsidP="00736555">
      <w:r>
        <w:t xml:space="preserve">Peer support was felt by the students to be important so allowing time in the debrief to share positive thoughts was allowed and encouraged. The key to reducing stress and uncertainly was the clear introduction to the equipment, mannequin, environment and team. Openness with sharing own mistakes as faculty and employing the ‘good </w:t>
      </w:r>
      <w:r w:rsidR="001D42C9">
        <w:t>judgment</w:t>
      </w:r>
      <w:r>
        <w:t xml:space="preserve">’ approach to debriefing </w:t>
      </w:r>
      <w:r>
        <w:fldChar w:fldCharType="begin"/>
      </w:r>
      <w:r>
        <w:instrText xml:space="preserve"> ADDIN EN.CITE &lt;EndNote&gt;&lt;Cite&gt;&lt;Author&gt;Rudolph&lt;/Author&gt;&lt;Year&gt;2007&lt;/Year&gt;&lt;IDText&gt;Debriefing with good judgment: combining rigorous feedback with genuine inquiry&lt;/IDText&gt;&lt;DisplayText&gt;(Rudolph et al., 2007)&lt;/DisplayText&gt;&lt;record&gt;&lt;dates&gt;&lt;pub-dates&gt;&lt;date&gt;2007-Jun&lt;/date&gt;&lt;/pub-dates&gt;&lt;year&gt;2007&lt;/year&gt;&lt;/dates&gt;&lt;urls&gt;&lt;related-urls&gt;&lt;url&gt;&amp;lt;Go to ISI&amp;gt;://MEDLINE:17574196&lt;/url&gt;&lt;/related-urls&gt;&lt;/urls&gt;&lt;isbn&gt;1932-2275&lt;/isbn&gt;&lt;titles&gt;&lt;title&gt;Debriefing with good judgment: combining rigorous feedback with genuine inquiry&lt;/title&gt;&lt;secondary-title&gt;Anesthesiology clinics&lt;/secondary-title&gt;&lt;/titles&gt;&lt;pages&gt;361-76&lt;/pages&gt;&lt;number&gt;2&lt;/number&gt;&lt;contributors&gt;&lt;authors&gt;&lt;author&gt;Rudolph, Jenny W.&lt;/author&gt;&lt;author&gt;Simon, Robert&lt;/author&gt;&lt;author&gt;Rivard, Peter&lt;/author&gt;&lt;author&gt;Dufresne, Ronald L.&lt;/author&gt;&lt;author&gt;Raemer, Daniel B.&lt;/author&gt;&lt;/authors&gt;&lt;/contributors&gt;&lt;added-date format="utc"&gt;1399991869&lt;/added-date&gt;&lt;ref-type name="Journal Article"&gt;17&lt;/ref-type&gt;&lt;rec-number&gt;136&lt;/rec-number&gt;&lt;last-updated-date format="utc"&gt;1400228406&lt;/last-updated-date&gt;&lt;accession-num&gt;MEDLINE:17574196&lt;/accession-num&gt;&lt;electronic-resource-num&gt;10.1016/j.anclin.2007.03.007&lt;/electronic-resource-num&gt;&lt;volume&gt;25&lt;/volume&gt;&lt;/record&gt;&lt;/Cite&gt;&lt;/EndNote&gt;</w:instrText>
      </w:r>
      <w:r>
        <w:fldChar w:fldCharType="separate"/>
      </w:r>
      <w:r>
        <w:rPr>
          <w:noProof/>
        </w:rPr>
        <w:t>(Rudolph et al., 2007)</w:t>
      </w:r>
      <w:r>
        <w:fldChar w:fldCharType="end"/>
      </w:r>
      <w:r>
        <w:t xml:space="preserve">.  </w:t>
      </w:r>
    </w:p>
    <w:p w14:paraId="4942E62F" w14:textId="77777777" w:rsidR="00162A24" w:rsidRDefault="00162A24" w:rsidP="00736555"/>
    <w:p w14:paraId="26856F0E" w14:textId="77777777" w:rsidR="00162A24" w:rsidRDefault="00162A24" w:rsidP="00736555"/>
    <w:p w14:paraId="6802434D" w14:textId="77777777" w:rsidR="00162A24" w:rsidRDefault="00162A24" w:rsidP="00736555"/>
    <w:p w14:paraId="39DCCB4C" w14:textId="77777777" w:rsidR="00162A24" w:rsidRDefault="00162A24" w:rsidP="00736555"/>
    <w:p w14:paraId="666FF2C8" w14:textId="77777777" w:rsidR="00162A24" w:rsidRDefault="00162A24" w:rsidP="00736555"/>
    <w:p w14:paraId="6FC1CA21" w14:textId="77777777" w:rsidR="00162A24" w:rsidRDefault="00162A24" w:rsidP="00736555"/>
    <w:p w14:paraId="78744E45" w14:textId="77777777" w:rsidR="00162A24" w:rsidRDefault="00162A24" w:rsidP="00736555"/>
    <w:p w14:paraId="20EB97B1" w14:textId="77777777" w:rsidR="00162A24" w:rsidRDefault="00162A24" w:rsidP="00736555"/>
    <w:p w14:paraId="09272710" w14:textId="77777777" w:rsidR="00162A24" w:rsidRPr="00736555" w:rsidRDefault="00162A24" w:rsidP="00736555"/>
    <w:p w14:paraId="107C5EBD" w14:textId="05778EC9" w:rsidR="001E391A" w:rsidRDefault="001E391A" w:rsidP="00CA53EB">
      <w:pPr>
        <w:pStyle w:val="Heading2"/>
      </w:pPr>
      <w:bookmarkStart w:id="286" w:name="_Toc343501169"/>
      <w:bookmarkStart w:id="287" w:name="_Toc348686371"/>
      <w:bookmarkStart w:id="288" w:name="_Toc419116170"/>
      <w:bookmarkStart w:id="289" w:name="_Toc315351144"/>
      <w:r w:rsidRPr="00601AF7">
        <w:t>Summary</w:t>
      </w:r>
      <w:bookmarkEnd w:id="286"/>
      <w:bookmarkEnd w:id="287"/>
      <w:bookmarkEnd w:id="288"/>
      <w:r w:rsidRPr="00601AF7">
        <w:t xml:space="preserve"> </w:t>
      </w:r>
      <w:bookmarkEnd w:id="289"/>
    </w:p>
    <w:p w14:paraId="2FD794AC" w14:textId="77777777" w:rsidR="007730D5" w:rsidRDefault="007730D5" w:rsidP="007730D5"/>
    <w:p w14:paraId="2D7FF49F" w14:textId="2BF1FFB7" w:rsidR="007730D5" w:rsidRDefault="007730D5" w:rsidP="007730D5">
      <w:r>
        <w:lastRenderedPageBreak/>
        <w:t xml:space="preserve">Initial </w:t>
      </w:r>
      <w:r w:rsidR="00173DE4">
        <w:t>focus group</w:t>
      </w:r>
      <w:r>
        <w:t xml:space="preserve">s surrounding preparedness were vital to ensure the study </w:t>
      </w:r>
      <w:r w:rsidR="000628C3">
        <w:t>wa</w:t>
      </w:r>
      <w:r>
        <w:t xml:space="preserve">s asking the same </w:t>
      </w:r>
      <w:r w:rsidR="004976E2">
        <w:t xml:space="preserve">as the </w:t>
      </w:r>
      <w:r>
        <w:t>GMC survey</w:t>
      </w:r>
      <w:r w:rsidR="00F93527">
        <w:t xml:space="preserve"> </w:t>
      </w:r>
      <w:r w:rsidR="004976E2">
        <w:t xml:space="preserve">of </w:t>
      </w:r>
      <w:r>
        <w:t xml:space="preserve">reported </w:t>
      </w:r>
      <w:r w:rsidR="004976E2">
        <w:t xml:space="preserve">anticipated subjective </w:t>
      </w:r>
      <w:r>
        <w:t xml:space="preserve">under-preparedness by medical students. Overwhelmingly </w:t>
      </w:r>
      <w:r w:rsidR="00E51676">
        <w:t xml:space="preserve">the 5th year medical students interpreted </w:t>
      </w:r>
      <w:r w:rsidR="004976E2">
        <w:t>preparedness</w:t>
      </w:r>
      <w:r>
        <w:t xml:space="preserve"> as </w:t>
      </w:r>
      <w:r w:rsidR="00E51676">
        <w:t>self-confidence</w:t>
      </w:r>
      <w:r>
        <w:t xml:space="preserve"> with </w:t>
      </w:r>
      <w:r w:rsidR="002568B6">
        <w:t>curriculum-mapped</w:t>
      </w:r>
      <w:r>
        <w:t xml:space="preserve"> tasks</w:t>
      </w:r>
      <w:r w:rsidR="004976E2">
        <w:t xml:space="preserve">, so </w:t>
      </w:r>
      <w:r>
        <w:t>confidence was selected as a measure.</w:t>
      </w:r>
    </w:p>
    <w:p w14:paraId="2FB7F104" w14:textId="6A495666" w:rsidR="007730D5" w:rsidRDefault="00CA0E85" w:rsidP="007730D5">
      <w:r>
        <w:t>Variations in confidence scores need</w:t>
      </w:r>
      <w:r w:rsidR="007730D5">
        <w:t xml:space="preserve"> to reflect the intervention and not noise from investigating different people with individual internal factors and variance</w:t>
      </w:r>
      <w:r w:rsidR="00697907">
        <w:t>.</w:t>
      </w:r>
      <w:r w:rsidR="007730D5">
        <w:t xml:space="preserve"> </w:t>
      </w:r>
      <w:r w:rsidR="00697907">
        <w:t>A</w:t>
      </w:r>
      <w:r w:rsidR="007730D5">
        <w:t xml:space="preserve"> </w:t>
      </w:r>
      <w:r w:rsidR="00082BB6">
        <w:t>repeated-measures</w:t>
      </w:r>
      <w:r w:rsidR="007730D5">
        <w:t xml:space="preserve"> design has been employed for the final study to reduce this unsystematic variance so that differences should be related more to the intervention.</w:t>
      </w:r>
    </w:p>
    <w:p w14:paraId="4902E01E" w14:textId="31E86E8F" w:rsidR="007730D5" w:rsidRDefault="007730D5" w:rsidP="007730D5">
      <w:r>
        <w:t xml:space="preserve">Detail surrounding added value of simulation to medical students has been explored through </w:t>
      </w:r>
      <w:r w:rsidR="00173DE4">
        <w:t>focus group</w:t>
      </w:r>
      <w:r>
        <w:t xml:space="preserve">s, however other </w:t>
      </w:r>
      <w:r w:rsidR="00E51676">
        <w:t>stakeholders</w:t>
      </w:r>
      <w:r>
        <w:t xml:space="preserve"> views should be sought to allow triangulation and add </w:t>
      </w:r>
      <w:r w:rsidR="007464C8">
        <w:t>rigour</w:t>
      </w:r>
      <w:r>
        <w:t xml:space="preserve">. Those with medical education and simulation experience in the UK will be approached and interviewed. </w:t>
      </w:r>
      <w:r w:rsidR="006E4E9D">
        <w:t>T</w:t>
      </w:r>
      <w:r>
        <w:t>he purpose of interviewing experts will be to explore in more detail the added value</w:t>
      </w:r>
      <w:r w:rsidR="006E4E9D">
        <w:t xml:space="preserve"> of simulation related to preparedness and</w:t>
      </w:r>
      <w:r>
        <w:t xml:space="preserve"> how to </w:t>
      </w:r>
      <w:r w:rsidR="006E4E9D">
        <w:t xml:space="preserve">achieve </w:t>
      </w:r>
      <w:r>
        <w:t xml:space="preserve">it. </w:t>
      </w:r>
    </w:p>
    <w:p w14:paraId="6980743C" w14:textId="0B0147A6" w:rsidR="00F93527" w:rsidRDefault="007730D5" w:rsidP="00601AF7">
      <w:r>
        <w:t>For this reason there are two aspects</w:t>
      </w:r>
      <w:r w:rsidR="008D40D0">
        <w:t>:</w:t>
      </w:r>
      <w:r>
        <w:t xml:space="preserve"> first, the added value of employing simulation as an educational methodology in the undergraduate curriculum with quantitative measures backed up by qualitative views</w:t>
      </w:r>
      <w:r w:rsidR="008D40D0">
        <w:t>. S</w:t>
      </w:r>
      <w:r>
        <w:t>econd</w:t>
      </w:r>
      <w:r w:rsidR="006E4E9D">
        <w:t>,</w:t>
      </w:r>
      <w:r>
        <w:t xml:space="preserve"> how to create the added value though fidelity and practical aspects so that other medical schools can access a guide of best practice.  </w:t>
      </w:r>
      <w:bookmarkStart w:id="290" w:name="_Toc343501170"/>
      <w:bookmarkEnd w:id="290"/>
    </w:p>
    <w:p w14:paraId="61F622C3" w14:textId="16D88FD7" w:rsidR="00601AF7" w:rsidRDefault="001D42C9" w:rsidP="005B6019">
      <w:pPr>
        <w:pStyle w:val="Heading1"/>
        <w:rPr>
          <w:rFonts w:ascii="Calibri" w:hAnsi="Calibri" w:cs="Calibri"/>
        </w:rPr>
      </w:pPr>
      <w:bookmarkStart w:id="291" w:name="_Toc343501171"/>
      <w:bookmarkStart w:id="292" w:name="_Toc348686372"/>
      <w:bookmarkStart w:id="293" w:name="_Toc419116171"/>
      <w:r>
        <w:lastRenderedPageBreak/>
        <w:t>Chapter</w:t>
      </w:r>
      <w:r w:rsidR="00601AF7" w:rsidRPr="00601AF7">
        <w:t xml:space="preserve"> 7: Intervention study</w:t>
      </w:r>
      <w:bookmarkEnd w:id="291"/>
      <w:bookmarkEnd w:id="292"/>
      <w:bookmarkEnd w:id="293"/>
      <w:r w:rsidR="00601AF7">
        <w:rPr>
          <w:rFonts w:ascii="Calibri" w:hAnsi="Calibri" w:cs="Calibri"/>
        </w:rPr>
        <w:t xml:space="preserve"> </w:t>
      </w:r>
    </w:p>
    <w:p w14:paraId="56019CA2" w14:textId="77777777" w:rsidR="00F13BAC" w:rsidRDefault="00F13BAC" w:rsidP="00F13BAC"/>
    <w:p w14:paraId="69735E24" w14:textId="09EF6AD7" w:rsidR="00F13BAC" w:rsidRDefault="00F13BAC" w:rsidP="00A96417">
      <w:r w:rsidRPr="00A96417">
        <w:rPr>
          <w:noProof/>
          <w:lang w:val="en-US"/>
        </w:rPr>
        <w:drawing>
          <wp:inline distT="0" distB="0" distL="0" distR="0" wp14:anchorId="40E272D4" wp14:editId="1E040BFF">
            <wp:extent cx="5123180" cy="7666990"/>
            <wp:effectExtent l="38100" t="19050" r="20320" b="29210"/>
            <wp:docPr id="75" name="Diagram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14:paraId="3AA08794" w14:textId="31E52907" w:rsidR="00601AF7" w:rsidRDefault="00601AF7" w:rsidP="00187756">
      <w:pPr>
        <w:pStyle w:val="Heading2"/>
      </w:pPr>
      <w:bookmarkStart w:id="294" w:name="_Toc343501172"/>
      <w:bookmarkStart w:id="295" w:name="_Toc348686373"/>
      <w:bookmarkStart w:id="296" w:name="_Toc419116172"/>
      <w:r w:rsidRPr="001A6CB4">
        <w:lastRenderedPageBreak/>
        <w:t>Introduction</w:t>
      </w:r>
      <w:bookmarkEnd w:id="294"/>
      <w:bookmarkEnd w:id="295"/>
      <w:bookmarkEnd w:id="296"/>
    </w:p>
    <w:p w14:paraId="4889B7A7" w14:textId="77777777" w:rsidR="000628C3" w:rsidRDefault="000628C3" w:rsidP="00791A3C"/>
    <w:p w14:paraId="037B386D" w14:textId="2914554B" w:rsidR="00137B0F" w:rsidRDefault="00137B0F" w:rsidP="00137B0F">
      <w:r>
        <w:t>This chapter describ</w:t>
      </w:r>
      <w:r w:rsidR="0059059C">
        <w:t>es the methods used in the main</w:t>
      </w:r>
      <w:r>
        <w:t xml:space="preserve"> study, evaluating the simulation course through the</w:t>
      </w:r>
      <w:r w:rsidR="0059059C">
        <w:t xml:space="preserve"> repeated-measures design and focus group interviews with final year students. Followed by the interview study with simulation and education experts. The results </w:t>
      </w:r>
      <w:r>
        <w:t>are</w:t>
      </w:r>
      <w:r w:rsidR="0059059C">
        <w:t xml:space="preserve"> then</w:t>
      </w:r>
      <w:r>
        <w:t xml:space="preserve"> presented. This chapter is divided in to two parts: </w:t>
      </w:r>
    </w:p>
    <w:p w14:paraId="29305144" w14:textId="77777777" w:rsidR="00137B0F" w:rsidRPr="00F10B46" w:rsidRDefault="00137B0F" w:rsidP="00137B0F">
      <w:pPr>
        <w:pStyle w:val="ListParagraph"/>
        <w:numPr>
          <w:ilvl w:val="0"/>
          <w:numId w:val="27"/>
        </w:numPr>
        <w:spacing w:line="480" w:lineRule="auto"/>
        <w:rPr>
          <w:rFonts w:cs="Arial"/>
          <w:szCs w:val="24"/>
        </w:rPr>
      </w:pPr>
      <w:r w:rsidRPr="005B6019">
        <w:rPr>
          <w:rFonts w:ascii="Arial" w:hAnsi="Arial" w:cs="Arial"/>
          <w:sz w:val="24"/>
          <w:szCs w:val="24"/>
        </w:rPr>
        <w:t xml:space="preserve">PART I includes aims, objectives and methods. </w:t>
      </w:r>
    </w:p>
    <w:p w14:paraId="3DAA62DD" w14:textId="77777777" w:rsidR="00137B0F" w:rsidRPr="00B13C84" w:rsidRDefault="00137B0F" w:rsidP="00137B0F">
      <w:pPr>
        <w:pStyle w:val="ListParagraph"/>
        <w:numPr>
          <w:ilvl w:val="0"/>
          <w:numId w:val="27"/>
        </w:numPr>
        <w:spacing w:line="480" w:lineRule="auto"/>
        <w:rPr>
          <w:rFonts w:cs="Arial"/>
          <w:szCs w:val="24"/>
        </w:rPr>
      </w:pPr>
      <w:r w:rsidRPr="005B6019">
        <w:rPr>
          <w:rFonts w:ascii="Arial" w:hAnsi="Arial" w:cs="Arial"/>
          <w:sz w:val="24"/>
          <w:szCs w:val="24"/>
        </w:rPr>
        <w:t xml:space="preserve">PART II presents quantitative and </w:t>
      </w:r>
      <w:r>
        <w:rPr>
          <w:rFonts w:ascii="Arial" w:hAnsi="Arial" w:cs="Arial"/>
          <w:sz w:val="24"/>
          <w:szCs w:val="24"/>
        </w:rPr>
        <w:t>qualitative results.</w:t>
      </w:r>
    </w:p>
    <w:p w14:paraId="4C9F84DD" w14:textId="77777777" w:rsidR="00137B0F" w:rsidRPr="00B13C84" w:rsidRDefault="00137B0F" w:rsidP="00137B0F">
      <w:pPr>
        <w:rPr>
          <w:rFonts w:cs="Arial"/>
          <w:szCs w:val="24"/>
        </w:rPr>
      </w:pPr>
      <w:r>
        <w:rPr>
          <w:rFonts w:cs="Arial"/>
          <w:szCs w:val="24"/>
        </w:rPr>
        <w:t xml:space="preserve">Chapter 8 presents data triangulation as a separate chapter owing to the volume of data from this multistage mixed methods study. </w:t>
      </w:r>
    </w:p>
    <w:p w14:paraId="1EB8DE31" w14:textId="77777777" w:rsidR="00137B0F" w:rsidRDefault="00137B0F" w:rsidP="00137B0F">
      <w:pPr>
        <w:keepNext/>
      </w:pPr>
      <w:r>
        <w:rPr>
          <w:noProof/>
          <w:lang w:val="en-US"/>
        </w:rPr>
        <w:lastRenderedPageBreak/>
        <w:drawing>
          <wp:inline distT="0" distB="0" distL="0" distR="0" wp14:anchorId="47814AA6" wp14:editId="6D663FC5">
            <wp:extent cx="4910841" cy="8089769"/>
            <wp:effectExtent l="0" t="0" r="23495" b="6985"/>
            <wp:docPr id="110" name="Diagram 1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3530B15A" w14:textId="77777777" w:rsidR="00137B0F" w:rsidRDefault="00137B0F" w:rsidP="007000F8">
      <w:pPr>
        <w:pStyle w:val="Caption"/>
      </w:pPr>
      <w:bookmarkStart w:id="297" w:name="_Toc419116468"/>
      <w:r>
        <w:t xml:space="preserve">Figure </w:t>
      </w:r>
      <w:r>
        <w:fldChar w:fldCharType="begin"/>
      </w:r>
      <w:r>
        <w:instrText xml:space="preserve"> STYLEREF 1 \s </w:instrText>
      </w:r>
      <w:r>
        <w:fldChar w:fldCharType="separate"/>
      </w:r>
      <w:r w:rsidR="007220A7">
        <w:rPr>
          <w:noProof/>
        </w:rPr>
        <w:t>7</w:t>
      </w:r>
      <w:r>
        <w:fldChar w:fldCharType="end"/>
      </w:r>
      <w:r>
        <w:noBreakHyphen/>
      </w:r>
      <w:r>
        <w:fldChar w:fldCharType="begin"/>
      </w:r>
      <w:r>
        <w:instrText xml:space="preserve"> SEQ Figure \* ARABIC \s 1 </w:instrText>
      </w:r>
      <w:r>
        <w:fldChar w:fldCharType="separate"/>
      </w:r>
      <w:r w:rsidR="007220A7">
        <w:rPr>
          <w:noProof/>
        </w:rPr>
        <w:t>1</w:t>
      </w:r>
      <w:r>
        <w:fldChar w:fldCharType="end"/>
      </w:r>
      <w:r>
        <w:t xml:space="preserve"> Final intervention study overview.</w:t>
      </w:r>
      <w:bookmarkEnd w:id="297"/>
    </w:p>
    <w:p w14:paraId="2810A256" w14:textId="77777777" w:rsidR="00137B0F" w:rsidRPr="00807DDC" w:rsidRDefault="00137B0F" w:rsidP="00137B0F">
      <w:pPr>
        <w:jc w:val="center"/>
        <w:rPr>
          <w:b/>
          <w:sz w:val="32"/>
          <w:szCs w:val="32"/>
        </w:rPr>
      </w:pPr>
      <w:r w:rsidRPr="00807DDC">
        <w:rPr>
          <w:b/>
          <w:sz w:val="32"/>
          <w:szCs w:val="32"/>
        </w:rPr>
        <w:lastRenderedPageBreak/>
        <w:t xml:space="preserve">PART </w:t>
      </w:r>
      <w:r w:rsidRPr="00F07956">
        <w:rPr>
          <w:b/>
          <w:sz w:val="32"/>
          <w:szCs w:val="32"/>
        </w:rPr>
        <w:t>I</w:t>
      </w:r>
    </w:p>
    <w:p w14:paraId="21309283" w14:textId="77777777" w:rsidR="00137B0F" w:rsidRDefault="00137B0F" w:rsidP="00137B0F">
      <w:pPr>
        <w:pStyle w:val="Heading2"/>
      </w:pPr>
      <w:bookmarkStart w:id="298" w:name="_Toc343501173"/>
      <w:bookmarkStart w:id="299" w:name="_Toc348686374"/>
      <w:bookmarkStart w:id="300" w:name="_Toc419116173"/>
      <w:r>
        <w:t xml:space="preserve">Part I: </w:t>
      </w:r>
      <w:r w:rsidRPr="001A6CB4">
        <w:t>Aims and Objectives</w:t>
      </w:r>
      <w:bookmarkEnd w:id="298"/>
      <w:bookmarkEnd w:id="299"/>
      <w:bookmarkEnd w:id="300"/>
    </w:p>
    <w:p w14:paraId="5F717A30" w14:textId="77777777" w:rsidR="00137B0F" w:rsidRPr="00791A3C" w:rsidRDefault="00137B0F" w:rsidP="00137B0F"/>
    <w:p w14:paraId="1F697209" w14:textId="77777777" w:rsidR="00137B0F" w:rsidRPr="00791A3C" w:rsidRDefault="00137B0F" w:rsidP="00137B0F">
      <w:pPr>
        <w:pStyle w:val="ListParagraph"/>
        <w:numPr>
          <w:ilvl w:val="0"/>
          <w:numId w:val="3"/>
        </w:numPr>
        <w:spacing w:line="480" w:lineRule="auto"/>
        <w:rPr>
          <w:rFonts w:ascii="Arial" w:hAnsi="Arial" w:cs="Arial"/>
          <w:sz w:val="24"/>
          <w:szCs w:val="24"/>
        </w:rPr>
      </w:pPr>
      <w:r w:rsidRPr="00791A3C">
        <w:rPr>
          <w:rFonts w:ascii="Arial" w:hAnsi="Arial" w:cs="Arial"/>
          <w:sz w:val="24"/>
          <w:szCs w:val="24"/>
        </w:rPr>
        <w:t xml:space="preserve">To run a </w:t>
      </w:r>
      <w:r>
        <w:rPr>
          <w:rFonts w:ascii="Arial" w:hAnsi="Arial" w:cs="Arial"/>
          <w:sz w:val="24"/>
          <w:szCs w:val="24"/>
        </w:rPr>
        <w:t>simulation-based</w:t>
      </w:r>
      <w:r w:rsidRPr="00791A3C">
        <w:rPr>
          <w:rFonts w:ascii="Arial" w:hAnsi="Arial" w:cs="Arial"/>
          <w:sz w:val="24"/>
          <w:szCs w:val="24"/>
        </w:rPr>
        <w:t xml:space="preserve"> educational intervention </w:t>
      </w:r>
      <w:r>
        <w:rPr>
          <w:rFonts w:ascii="Arial" w:hAnsi="Arial" w:cs="Arial"/>
          <w:sz w:val="24"/>
          <w:szCs w:val="24"/>
        </w:rPr>
        <w:t>informed by the</w:t>
      </w:r>
      <w:r w:rsidRPr="00791A3C">
        <w:rPr>
          <w:rFonts w:ascii="Arial" w:hAnsi="Arial" w:cs="Arial"/>
          <w:sz w:val="24"/>
          <w:szCs w:val="24"/>
        </w:rPr>
        <w:t xml:space="preserve"> pilot study</w:t>
      </w:r>
      <w:r>
        <w:rPr>
          <w:rFonts w:ascii="Arial" w:hAnsi="Arial" w:cs="Arial"/>
          <w:sz w:val="24"/>
          <w:szCs w:val="24"/>
        </w:rPr>
        <w:t>.</w:t>
      </w:r>
    </w:p>
    <w:p w14:paraId="2B487AA5" w14:textId="77777777" w:rsidR="00137B0F" w:rsidRPr="00791A3C" w:rsidRDefault="00137B0F" w:rsidP="00137B0F">
      <w:pPr>
        <w:pStyle w:val="ListParagraph"/>
        <w:numPr>
          <w:ilvl w:val="0"/>
          <w:numId w:val="3"/>
        </w:numPr>
        <w:spacing w:line="480" w:lineRule="auto"/>
        <w:rPr>
          <w:rFonts w:ascii="Arial" w:hAnsi="Arial" w:cs="Arial"/>
          <w:sz w:val="24"/>
          <w:szCs w:val="24"/>
        </w:rPr>
      </w:pPr>
      <w:r w:rsidRPr="00791A3C">
        <w:rPr>
          <w:rFonts w:ascii="Arial" w:hAnsi="Arial" w:cs="Arial"/>
          <w:sz w:val="24"/>
          <w:szCs w:val="24"/>
        </w:rPr>
        <w:t xml:space="preserve">Evaluate confidence scores across four conditions using a </w:t>
      </w:r>
      <w:r>
        <w:rPr>
          <w:rFonts w:ascii="Arial" w:hAnsi="Arial" w:cs="Arial"/>
          <w:sz w:val="24"/>
          <w:szCs w:val="24"/>
        </w:rPr>
        <w:t>repeated-measures</w:t>
      </w:r>
      <w:r w:rsidRPr="00791A3C">
        <w:rPr>
          <w:rFonts w:ascii="Arial" w:hAnsi="Arial" w:cs="Arial"/>
          <w:sz w:val="24"/>
          <w:szCs w:val="24"/>
        </w:rPr>
        <w:t xml:space="preserve"> design with baseline scores as the control</w:t>
      </w:r>
      <w:r>
        <w:rPr>
          <w:rFonts w:ascii="Arial" w:hAnsi="Arial" w:cs="Arial"/>
          <w:sz w:val="24"/>
          <w:szCs w:val="24"/>
        </w:rPr>
        <w:t>.</w:t>
      </w:r>
    </w:p>
    <w:p w14:paraId="1695C856" w14:textId="77777777" w:rsidR="00137B0F" w:rsidRPr="00791A3C" w:rsidRDefault="00137B0F" w:rsidP="00137B0F">
      <w:pPr>
        <w:pStyle w:val="ListParagraph"/>
        <w:numPr>
          <w:ilvl w:val="0"/>
          <w:numId w:val="3"/>
        </w:numPr>
        <w:spacing w:line="480" w:lineRule="auto"/>
        <w:rPr>
          <w:rFonts w:ascii="Arial" w:hAnsi="Arial" w:cs="Arial"/>
          <w:sz w:val="24"/>
          <w:szCs w:val="24"/>
        </w:rPr>
      </w:pPr>
      <w:r w:rsidRPr="00791A3C">
        <w:rPr>
          <w:rFonts w:ascii="Arial" w:hAnsi="Arial" w:cs="Arial"/>
          <w:sz w:val="24"/>
          <w:szCs w:val="24"/>
        </w:rPr>
        <w:t>Evaluate 5</w:t>
      </w:r>
      <w:r w:rsidRPr="00791A3C">
        <w:rPr>
          <w:rFonts w:ascii="Arial" w:hAnsi="Arial" w:cs="Arial"/>
          <w:sz w:val="24"/>
          <w:szCs w:val="24"/>
          <w:vertAlign w:val="superscript"/>
        </w:rPr>
        <w:t>th</w:t>
      </w:r>
      <w:r w:rsidRPr="00791A3C">
        <w:rPr>
          <w:rFonts w:ascii="Arial" w:hAnsi="Arial" w:cs="Arial"/>
          <w:sz w:val="24"/>
          <w:szCs w:val="24"/>
        </w:rPr>
        <w:t xml:space="preserve"> year medical students from two different medical schools</w:t>
      </w:r>
      <w:r>
        <w:rPr>
          <w:rFonts w:ascii="Arial" w:hAnsi="Arial" w:cs="Arial"/>
          <w:sz w:val="24"/>
          <w:szCs w:val="24"/>
        </w:rPr>
        <w:t>.</w:t>
      </w:r>
    </w:p>
    <w:p w14:paraId="0B334E28" w14:textId="77777777" w:rsidR="00137B0F" w:rsidRPr="00791A3C" w:rsidRDefault="00137B0F" w:rsidP="00137B0F">
      <w:pPr>
        <w:pStyle w:val="ListParagraph"/>
        <w:numPr>
          <w:ilvl w:val="0"/>
          <w:numId w:val="3"/>
        </w:numPr>
        <w:spacing w:line="480" w:lineRule="auto"/>
        <w:rPr>
          <w:rFonts w:ascii="Arial" w:hAnsi="Arial" w:cs="Arial"/>
          <w:sz w:val="24"/>
          <w:szCs w:val="24"/>
        </w:rPr>
      </w:pPr>
      <w:r w:rsidRPr="00791A3C">
        <w:rPr>
          <w:rFonts w:ascii="Arial" w:hAnsi="Arial" w:cs="Arial"/>
          <w:sz w:val="24"/>
          <w:szCs w:val="24"/>
        </w:rPr>
        <w:t xml:space="preserve">Explore </w:t>
      </w:r>
      <w:r>
        <w:rPr>
          <w:rFonts w:ascii="Arial" w:hAnsi="Arial" w:cs="Arial"/>
          <w:sz w:val="24"/>
          <w:szCs w:val="24"/>
        </w:rPr>
        <w:t xml:space="preserve">preparedness and </w:t>
      </w:r>
      <w:r w:rsidRPr="00791A3C">
        <w:rPr>
          <w:rFonts w:ascii="Arial" w:hAnsi="Arial" w:cs="Arial"/>
          <w:sz w:val="24"/>
          <w:szCs w:val="24"/>
        </w:rPr>
        <w:t xml:space="preserve">simulation-based education </w:t>
      </w:r>
      <w:r>
        <w:rPr>
          <w:rFonts w:ascii="Arial" w:hAnsi="Arial" w:cs="Arial"/>
          <w:sz w:val="24"/>
          <w:szCs w:val="24"/>
        </w:rPr>
        <w:t xml:space="preserve">with </w:t>
      </w:r>
      <w:r w:rsidRPr="00791A3C">
        <w:rPr>
          <w:rFonts w:ascii="Arial" w:hAnsi="Arial" w:cs="Arial"/>
          <w:sz w:val="24"/>
          <w:szCs w:val="24"/>
        </w:rPr>
        <w:t xml:space="preserve">medical students </w:t>
      </w:r>
      <w:r>
        <w:rPr>
          <w:rFonts w:ascii="Arial" w:hAnsi="Arial" w:cs="Arial"/>
          <w:sz w:val="24"/>
          <w:szCs w:val="24"/>
        </w:rPr>
        <w:t xml:space="preserve">and UK </w:t>
      </w:r>
      <w:r w:rsidRPr="00791A3C">
        <w:rPr>
          <w:rFonts w:ascii="Arial" w:hAnsi="Arial" w:cs="Arial"/>
          <w:sz w:val="24"/>
          <w:szCs w:val="24"/>
        </w:rPr>
        <w:t>medical education and simulation experts</w:t>
      </w:r>
      <w:r>
        <w:rPr>
          <w:rFonts w:ascii="Arial" w:hAnsi="Arial" w:cs="Arial"/>
          <w:sz w:val="24"/>
          <w:szCs w:val="24"/>
        </w:rPr>
        <w:t>.</w:t>
      </w:r>
    </w:p>
    <w:p w14:paraId="4A4A0FE0" w14:textId="77777777" w:rsidR="00137B0F" w:rsidRPr="00791A3C" w:rsidRDefault="00137B0F" w:rsidP="00137B0F">
      <w:pPr>
        <w:pStyle w:val="ListParagraph"/>
        <w:numPr>
          <w:ilvl w:val="0"/>
          <w:numId w:val="3"/>
        </w:numPr>
        <w:spacing w:line="480" w:lineRule="auto"/>
        <w:rPr>
          <w:rFonts w:ascii="Arial" w:hAnsi="Arial" w:cs="Arial"/>
          <w:sz w:val="24"/>
          <w:szCs w:val="24"/>
        </w:rPr>
      </w:pPr>
      <w:r w:rsidRPr="00791A3C">
        <w:rPr>
          <w:rFonts w:ascii="Arial" w:hAnsi="Arial" w:cs="Arial"/>
          <w:sz w:val="24"/>
          <w:szCs w:val="24"/>
        </w:rPr>
        <w:t xml:space="preserve">To gain a better understanding of the </w:t>
      </w:r>
      <w:r>
        <w:rPr>
          <w:rFonts w:ascii="Arial" w:hAnsi="Arial" w:cs="Arial"/>
          <w:sz w:val="24"/>
          <w:szCs w:val="24"/>
        </w:rPr>
        <w:t xml:space="preserve">potential </w:t>
      </w:r>
      <w:r w:rsidRPr="00791A3C">
        <w:rPr>
          <w:rFonts w:ascii="Arial" w:hAnsi="Arial" w:cs="Arial"/>
          <w:sz w:val="24"/>
          <w:szCs w:val="24"/>
        </w:rPr>
        <w:t xml:space="preserve">of </w:t>
      </w:r>
      <w:r>
        <w:rPr>
          <w:rFonts w:ascii="Arial" w:hAnsi="Arial" w:cs="Arial"/>
          <w:sz w:val="24"/>
          <w:szCs w:val="24"/>
        </w:rPr>
        <w:t>simulation-based</w:t>
      </w:r>
      <w:r w:rsidRPr="00791A3C">
        <w:rPr>
          <w:rFonts w:ascii="Arial" w:hAnsi="Arial" w:cs="Arial"/>
          <w:sz w:val="24"/>
          <w:szCs w:val="24"/>
        </w:rPr>
        <w:t xml:space="preserve"> medical education</w:t>
      </w:r>
      <w:r>
        <w:rPr>
          <w:rFonts w:ascii="Arial" w:hAnsi="Arial" w:cs="Arial"/>
          <w:sz w:val="24"/>
          <w:szCs w:val="24"/>
        </w:rPr>
        <w:t xml:space="preserve"> in the context of preparedness,</w:t>
      </w:r>
      <w:r w:rsidRPr="00791A3C">
        <w:rPr>
          <w:rFonts w:ascii="Arial" w:hAnsi="Arial" w:cs="Arial"/>
          <w:sz w:val="24"/>
          <w:szCs w:val="24"/>
        </w:rPr>
        <w:t xml:space="preserve"> from multiple stakeholder perspectives</w:t>
      </w:r>
      <w:r>
        <w:rPr>
          <w:rFonts w:ascii="Arial" w:hAnsi="Arial" w:cs="Arial"/>
          <w:sz w:val="24"/>
          <w:szCs w:val="24"/>
        </w:rPr>
        <w:t>.</w:t>
      </w:r>
    </w:p>
    <w:p w14:paraId="164FD8D2" w14:textId="77777777" w:rsidR="00137B0F" w:rsidRPr="00791A3C" w:rsidRDefault="00137B0F" w:rsidP="00137B0F">
      <w:pPr>
        <w:pStyle w:val="ListParagraph"/>
        <w:numPr>
          <w:ilvl w:val="0"/>
          <w:numId w:val="3"/>
        </w:numPr>
        <w:spacing w:line="480" w:lineRule="auto"/>
        <w:rPr>
          <w:rFonts w:ascii="Arial" w:hAnsi="Arial" w:cs="Arial"/>
          <w:sz w:val="24"/>
          <w:szCs w:val="24"/>
        </w:rPr>
      </w:pPr>
      <w:r w:rsidRPr="00791A3C">
        <w:rPr>
          <w:rFonts w:ascii="Arial" w:hAnsi="Arial" w:cs="Arial"/>
          <w:sz w:val="24"/>
          <w:szCs w:val="24"/>
        </w:rPr>
        <w:t xml:space="preserve">To draw up best practice </w:t>
      </w:r>
      <w:r>
        <w:rPr>
          <w:rFonts w:ascii="Arial" w:hAnsi="Arial" w:cs="Arial"/>
          <w:sz w:val="24"/>
          <w:szCs w:val="24"/>
        </w:rPr>
        <w:t xml:space="preserve">guidance </w:t>
      </w:r>
      <w:r w:rsidRPr="00791A3C">
        <w:rPr>
          <w:rFonts w:ascii="Arial" w:hAnsi="Arial" w:cs="Arial"/>
          <w:sz w:val="24"/>
          <w:szCs w:val="24"/>
        </w:rPr>
        <w:t>for medical schools</w:t>
      </w:r>
      <w:r>
        <w:rPr>
          <w:rFonts w:ascii="Arial" w:hAnsi="Arial" w:cs="Arial"/>
          <w:sz w:val="24"/>
          <w:szCs w:val="24"/>
        </w:rPr>
        <w:t xml:space="preserve">, informed by these data, </w:t>
      </w:r>
      <w:r w:rsidRPr="00791A3C">
        <w:rPr>
          <w:rFonts w:ascii="Arial" w:hAnsi="Arial" w:cs="Arial"/>
          <w:sz w:val="24"/>
          <w:szCs w:val="24"/>
        </w:rPr>
        <w:t>when designing and delivering a simulation curriculum</w:t>
      </w:r>
      <w:r>
        <w:rPr>
          <w:rFonts w:ascii="Arial" w:hAnsi="Arial" w:cs="Arial"/>
          <w:sz w:val="24"/>
          <w:szCs w:val="24"/>
        </w:rPr>
        <w:t xml:space="preserve"> to support preparedness.</w:t>
      </w:r>
    </w:p>
    <w:p w14:paraId="103DBEF8" w14:textId="77777777" w:rsidR="00137B0F" w:rsidRPr="00585DBF" w:rsidRDefault="00137B0F" w:rsidP="00137B0F">
      <w:pPr>
        <w:pStyle w:val="ListParagraph"/>
        <w:spacing w:line="480" w:lineRule="auto"/>
      </w:pPr>
    </w:p>
    <w:p w14:paraId="2BD3D8EE" w14:textId="77777777" w:rsidR="00137B0F" w:rsidRDefault="00137B0F" w:rsidP="00137B0F">
      <w:pPr>
        <w:pStyle w:val="Heading2"/>
      </w:pPr>
      <w:bookmarkStart w:id="301" w:name="_Toc343501174"/>
      <w:bookmarkStart w:id="302" w:name="_Toc348686375"/>
      <w:bookmarkStart w:id="303" w:name="_Toc419116174"/>
      <w:r>
        <w:t xml:space="preserve">Part I: </w:t>
      </w:r>
      <w:r w:rsidRPr="001A6CB4">
        <w:t>Methods</w:t>
      </w:r>
      <w:bookmarkEnd w:id="301"/>
      <w:bookmarkEnd w:id="302"/>
      <w:bookmarkEnd w:id="303"/>
      <w:r w:rsidRPr="001A6CB4">
        <w:t xml:space="preserve"> </w:t>
      </w:r>
    </w:p>
    <w:p w14:paraId="7935FC12" w14:textId="77777777" w:rsidR="00137B0F" w:rsidRDefault="00137B0F" w:rsidP="00137B0F"/>
    <w:p w14:paraId="27144809" w14:textId="77777777" w:rsidR="00137B0F" w:rsidRDefault="00137B0F" w:rsidP="00137B0F">
      <w:r>
        <w:t>Mixed methods were employed, the rationale for which is explained in Chapter 3. Qualitative data (open-ended questions) aimed to understand the quantitative findings, to build on educational theory underpinning SBME, inform best practice guidance and methods to support and improve preparedness.</w:t>
      </w:r>
    </w:p>
    <w:p w14:paraId="501C40BC" w14:textId="77777777" w:rsidR="00137B0F" w:rsidRDefault="00137B0F" w:rsidP="00137B0F">
      <w:pPr>
        <w:pStyle w:val="Heading3"/>
      </w:pPr>
      <w:bookmarkStart w:id="304" w:name="_Toc419116175"/>
      <w:r>
        <w:lastRenderedPageBreak/>
        <w:t>Sample</w:t>
      </w:r>
      <w:bookmarkEnd w:id="304"/>
    </w:p>
    <w:p w14:paraId="66EC405D" w14:textId="77777777" w:rsidR="00137B0F" w:rsidRPr="0030501D" w:rsidRDefault="00137B0F" w:rsidP="00137B0F"/>
    <w:p w14:paraId="106E2859" w14:textId="77777777" w:rsidR="00137B0F" w:rsidRDefault="00137B0F" w:rsidP="00137B0F">
      <w:r>
        <w:rPr>
          <w:rFonts w:cs="Arial"/>
          <w:szCs w:val="24"/>
        </w:rPr>
        <w:t>In term of sample size, a power calculation was used after the pilot study that compared a group of controls that had not done the course with a group of participants who had done the course. Pre- and post-intervention measures were used. A statistician at the University of Sheffield performed a power calculation with data provided from the pilot study. The number advised was 90 and has been discussed in Chapter 6.</w:t>
      </w:r>
    </w:p>
    <w:p w14:paraId="6D0E9BC5" w14:textId="77777777" w:rsidR="00137B0F" w:rsidRDefault="00137B0F" w:rsidP="00137B0F">
      <w:pPr>
        <w:pStyle w:val="Heading3"/>
      </w:pPr>
      <w:bookmarkStart w:id="305" w:name="_Toc343501175"/>
      <w:bookmarkStart w:id="306" w:name="_Toc348686376"/>
      <w:bookmarkStart w:id="307" w:name="_Toc419116176"/>
      <w:r>
        <w:t>Course</w:t>
      </w:r>
      <w:bookmarkEnd w:id="305"/>
      <w:bookmarkEnd w:id="306"/>
      <w:bookmarkEnd w:id="307"/>
    </w:p>
    <w:p w14:paraId="647AD2AB" w14:textId="77777777" w:rsidR="00137B0F" w:rsidRDefault="00137B0F" w:rsidP="00137B0F"/>
    <w:p w14:paraId="56F0DEEF" w14:textId="341E2C60" w:rsidR="00137B0F" w:rsidRDefault="00137B0F" w:rsidP="00137B0F">
      <w:r>
        <w:t xml:space="preserve">The course and equipment used remained the same as for the pilot intervention described in Chapter 6. Students had access to the study information sheet. Individual informed consent was gained. Ethics approval was obtained (Chapter 3, </w:t>
      </w:r>
      <w:r w:rsidR="00F350A3">
        <w:t>13</w:t>
      </w:r>
      <w:r>
        <w:t>.6).</w:t>
      </w:r>
    </w:p>
    <w:p w14:paraId="71A5577B" w14:textId="77777777" w:rsidR="00137B0F" w:rsidRDefault="00137B0F" w:rsidP="00137B0F">
      <w:r>
        <w:t>Students were in groups of four or five. They led on one scenario each, while the other students completed peer observation. Students from University 1 were alone with the patient and team with peers observing from another room, using SMOTS</w:t>
      </w:r>
      <w:r>
        <w:rPr>
          <w:rFonts w:cs="Arial"/>
        </w:rPr>
        <w:t>®</w:t>
      </w:r>
      <w:r>
        <w:t xml:space="preserve"> audio-visual equipment. Students from University 2 were required to remain in the same room due to lack of video debriefing equipment. Following completion of each scenario, all students and faculty were brought together to be involved in the debrief. </w:t>
      </w:r>
    </w:p>
    <w:p w14:paraId="6F19EFA9" w14:textId="77777777" w:rsidR="00137B0F" w:rsidRPr="00791A3C" w:rsidRDefault="00137B0F" w:rsidP="00137B0F">
      <w:r>
        <w:t>Faculty included two clinical debriefers (registrars), one nurse, one technical support member to run the SMOTS</w:t>
      </w:r>
      <w:r>
        <w:rPr>
          <w:rFonts w:cs="Arial"/>
        </w:rPr>
        <w:t>®</w:t>
      </w:r>
      <w:r>
        <w:t xml:space="preserve"> equipment. One faculty member ran the </w:t>
      </w:r>
      <w:r>
        <w:lastRenderedPageBreak/>
        <w:t xml:space="preserve">mannequin so could feed back from a patient perspective, and the other facilitated discussion amongst peer observers. They took it in turn to lead on the debrief. Debriefing followed the three-step Rudolph et al. model using the ‘good judgment’ approach </w:t>
      </w:r>
      <w:r>
        <w:fldChar w:fldCharType="begin"/>
      </w:r>
      <w:r>
        <w:instrText xml:space="preserve"> ADDIN EN.CITE &lt;EndNote&gt;&lt;Cite&gt;&lt;Author&gt;Rudolph&lt;/Author&gt;&lt;Year&gt;2007&lt;/Year&gt;&lt;IDText&gt;Debriefing with good judgment: combining rigorous feedback with genuine inquiry&lt;/IDText&gt;&lt;DisplayText&gt;(Rudolph et al., 2007)&lt;/DisplayText&gt;&lt;record&gt;&lt;dates&gt;&lt;pub-dates&gt;&lt;date&gt;2007-Jun&lt;/date&gt;&lt;/pub-dates&gt;&lt;year&gt;2007&lt;/year&gt;&lt;/dates&gt;&lt;urls&gt;&lt;related-urls&gt;&lt;url&gt;&amp;lt;Go to ISI&amp;gt;://MEDLINE:17574196&lt;/url&gt;&lt;/related-urls&gt;&lt;/urls&gt;&lt;isbn&gt;1932-2275&lt;/isbn&gt;&lt;titles&gt;&lt;title&gt;Debriefing with good judgment: combining rigorous feedback with genuine inquiry&lt;/title&gt;&lt;secondary-title&gt;Anesthesiology clinics&lt;/secondary-title&gt;&lt;/titles&gt;&lt;pages&gt;361-76&lt;/pages&gt;&lt;number&gt;2&lt;/number&gt;&lt;contributors&gt;&lt;authors&gt;&lt;author&gt;Rudolph, Jenny W.&lt;/author&gt;&lt;author&gt;Simon, Robert&lt;/author&gt;&lt;author&gt;Rivard, Peter&lt;/author&gt;&lt;author&gt;Dufresne, Ronald L.&lt;/author&gt;&lt;author&gt;Raemer, Daniel B.&lt;/author&gt;&lt;/authors&gt;&lt;/contributors&gt;&lt;added-date format="utc"&gt;1399991869&lt;/added-date&gt;&lt;ref-type name="Journal Article"&gt;17&lt;/ref-type&gt;&lt;rec-number&gt;136&lt;/rec-number&gt;&lt;last-updated-date format="utc"&gt;1400228406&lt;/last-updated-date&gt;&lt;accession-num&gt;MEDLINE:17574196&lt;/accession-num&gt;&lt;electronic-resource-num&gt;10.1016/j.anclin.2007.03.007&lt;/electronic-resource-num&gt;&lt;volume&gt;25&lt;/volume&gt;&lt;/record&gt;&lt;/Cite&gt;&lt;/EndNote&gt;</w:instrText>
      </w:r>
      <w:r>
        <w:fldChar w:fldCharType="separate"/>
      </w:r>
      <w:r>
        <w:rPr>
          <w:noProof/>
        </w:rPr>
        <w:t>(Rudolph et al., 2007)</w:t>
      </w:r>
      <w:r>
        <w:fldChar w:fldCharType="end"/>
      </w:r>
      <w:r>
        <w:t xml:space="preserve">, as described in Chapter 5. </w:t>
      </w:r>
    </w:p>
    <w:p w14:paraId="510C087A" w14:textId="77777777" w:rsidR="00137B0F" w:rsidRDefault="00137B0F" w:rsidP="00137B0F">
      <w:pPr>
        <w:pStyle w:val="Heading3"/>
      </w:pPr>
      <w:bookmarkStart w:id="308" w:name="_Toc343501176"/>
      <w:bookmarkStart w:id="309" w:name="_Toc348686377"/>
      <w:bookmarkStart w:id="310" w:name="_Toc419116177"/>
      <w:r>
        <w:t>Quantitative data collection</w:t>
      </w:r>
      <w:bookmarkEnd w:id="308"/>
      <w:bookmarkEnd w:id="309"/>
      <w:bookmarkEnd w:id="310"/>
    </w:p>
    <w:p w14:paraId="55AE0151" w14:textId="77777777" w:rsidR="00137B0F" w:rsidRDefault="00137B0F" w:rsidP="00137B0F">
      <w:pPr>
        <w:rPr>
          <w:rFonts w:cs="Arial"/>
          <w:szCs w:val="24"/>
        </w:rPr>
      </w:pPr>
    </w:p>
    <w:p w14:paraId="0F7567D5" w14:textId="7E49E70D" w:rsidR="00137B0F" w:rsidRDefault="00137B0F" w:rsidP="00137B0F">
      <w:r>
        <w:rPr>
          <w:rFonts w:cs="Arial"/>
          <w:szCs w:val="24"/>
        </w:rPr>
        <w:t xml:space="preserve">Fifth-year medical students were invited for the final study for reasons described in Chapter 6. Two medical schools were chosen </w:t>
      </w:r>
      <w:r w:rsidR="00383AF6">
        <w:rPr>
          <w:rFonts w:cs="Arial"/>
          <w:szCs w:val="24"/>
        </w:rPr>
        <w:t xml:space="preserve">for </w:t>
      </w:r>
      <w:r>
        <w:rPr>
          <w:rFonts w:cs="Arial"/>
          <w:szCs w:val="24"/>
        </w:rPr>
        <w:t xml:space="preserve">comparison. Both employed a range of lecture-based and problem-based learning. University 1 (n=234) and University 2 (n=237) had similar size final year groups. Most UK medical schools </w:t>
      </w:r>
      <w:r w:rsidR="00383AF6">
        <w:rPr>
          <w:rFonts w:cs="Arial"/>
          <w:szCs w:val="24"/>
        </w:rPr>
        <w:t>employ a mix of methodologies and</w:t>
      </w:r>
      <w:r>
        <w:rPr>
          <w:rFonts w:cs="Arial"/>
          <w:szCs w:val="24"/>
        </w:rPr>
        <w:t xml:space="preserve"> these </w:t>
      </w:r>
      <w:r w:rsidR="00383AF6">
        <w:rPr>
          <w:rFonts w:cs="Arial"/>
          <w:szCs w:val="24"/>
        </w:rPr>
        <w:t xml:space="preserve">schools </w:t>
      </w:r>
      <w:r>
        <w:rPr>
          <w:rFonts w:cs="Arial"/>
          <w:szCs w:val="24"/>
        </w:rPr>
        <w:t xml:space="preserve">were felt to be relatively representative for UK medical schools. </w:t>
      </w:r>
    </w:p>
    <w:p w14:paraId="261CFCF8" w14:textId="3003BF7A" w:rsidR="00137B0F" w:rsidRPr="00D51CEC" w:rsidRDefault="00137B0F" w:rsidP="00137B0F">
      <w:r>
        <w:t>Reasons for the repeated-measures design are explained in Chapters 3 and 6. Confidence scores in the 19 parameters mapped to TD and FP curriculum were collected across four conditions. One immediately pre-course (1), one immediately post-course (2), one week later sent via email on Survey Monkey</w:t>
      </w:r>
      <w:r>
        <w:rPr>
          <w:rFonts w:cs="Arial"/>
        </w:rPr>
        <w:t>®</w:t>
      </w:r>
      <w:r>
        <w:t xml:space="preserve"> (3), and one month into their FY1 jobs (4) </w:t>
      </w:r>
      <w:r>
        <w:fldChar w:fldCharType="begin"/>
      </w:r>
      <w:r>
        <w:instrText xml:space="preserve"> ADDIN EN.CITE &lt;EndNote&gt;&lt;Cite&gt;&lt;Author&gt;SurveyMonkey&lt;/Author&gt;&lt;Year&gt;1999&lt;/Year&gt;&lt;IDText&gt;Survey Monkey&lt;/IDText&gt;&lt;DisplayText&gt;(SurveyMonkey, 1999)&lt;/DisplayText&gt;&lt;record&gt;&lt;urls&gt;&lt;related-urls&gt;&lt;url&gt;https://www.surveymonkey.com/user/sign-in/?&lt;/url&gt;&lt;/related-urls&gt;&lt;/urls&gt;&lt;titles&gt;&lt;title&gt;Survey Monkey&lt;/title&gt;&lt;/titles&gt;&lt;contributors&gt;&lt;authors&gt;&lt;author&gt;SurveyMonkey&lt;/author&gt;&lt;/authors&gt;&lt;/contributors&gt;&lt;added-date format="utc"&gt;1505987446&lt;/added-date&gt;&lt;ref-type name="Web Page"&gt;12&lt;/ref-type&gt;&lt;dates&gt;&lt;year&gt;1999&lt;/year&gt;&lt;/dates&gt;&lt;rec-number&gt;378&lt;/rec-number&gt;&lt;last-updated-date format="utc"&gt;1505987574&lt;/last-updated-date&gt;&lt;/record&gt;&lt;/Cite&gt;&lt;/EndNote&gt;</w:instrText>
      </w:r>
      <w:r>
        <w:fldChar w:fldCharType="separate"/>
      </w:r>
      <w:r>
        <w:rPr>
          <w:noProof/>
        </w:rPr>
        <w:t>(SurveyMonkey, 1999)</w:t>
      </w:r>
      <w:r>
        <w:fldChar w:fldCharType="end"/>
      </w:r>
      <w:r>
        <w:t>. The one-week and one-month surveys included additional free text questions to reflect on the course and preparedness including capability to p</w:t>
      </w:r>
      <w:r w:rsidR="00F350A3">
        <w:t>erform on the wards (Appendix 13.13, 13</w:t>
      </w:r>
      <w:r>
        <w:t xml:space="preserve">.17). Feedback was also collected </w:t>
      </w:r>
      <w:r w:rsidR="00F350A3">
        <w:t>from the candidates (Appendix 13</w:t>
      </w:r>
      <w:r>
        <w:t>.16). Durin</w:t>
      </w:r>
      <w:r w:rsidR="00F350A3">
        <w:t>g the simulated scenarios each c</w:t>
      </w:r>
      <w:r>
        <w:t>andidate was marked using the validated formative assessme</w:t>
      </w:r>
      <w:r w:rsidR="00F350A3">
        <w:t>nt tool (Chapter 5) (Appendix 13</w:t>
      </w:r>
      <w:r>
        <w:t>.14).</w:t>
      </w:r>
    </w:p>
    <w:p w14:paraId="41217E7A" w14:textId="77777777" w:rsidR="00137B0F" w:rsidRDefault="00137B0F" w:rsidP="00137B0F">
      <w:pPr>
        <w:pStyle w:val="Heading3"/>
      </w:pPr>
      <w:bookmarkStart w:id="311" w:name="_Toc343501177"/>
      <w:bookmarkStart w:id="312" w:name="_Toc348686378"/>
      <w:bookmarkStart w:id="313" w:name="_Toc419116178"/>
      <w:r>
        <w:lastRenderedPageBreak/>
        <w:t>Statistical analysis</w:t>
      </w:r>
      <w:bookmarkEnd w:id="311"/>
      <w:bookmarkEnd w:id="312"/>
      <w:bookmarkEnd w:id="313"/>
    </w:p>
    <w:p w14:paraId="3CFDD3A1" w14:textId="77777777" w:rsidR="00137B0F" w:rsidRDefault="00137B0F" w:rsidP="00137B0F"/>
    <w:p w14:paraId="70ACA200" w14:textId="36524171" w:rsidR="00137B0F" w:rsidRPr="004F70B8" w:rsidRDefault="00137B0F" w:rsidP="00137B0F">
      <w:r>
        <w:t>Statistical analysis was carried out using Statistical Package for the Social Sciences (SPSS 21.0 for Mac).</w:t>
      </w:r>
      <w:r w:rsidRPr="000750B3">
        <w:t xml:space="preserve"> </w:t>
      </w:r>
      <w:r>
        <w:t>Descriptive statistics were examined and construct validity (extent to which items reflect underlying constructs) was explored through factor analysis explained below</w:t>
      </w:r>
      <w:r w:rsidR="008B10A8">
        <w:t xml:space="preserve"> (p. 252)</w:t>
      </w:r>
      <w:r>
        <w:t xml:space="preserve">. Distribution was explored using a histogram and also with standardised residuals, which showed values, when standardised fell between + or – 2 standard deviations from the values so (were normally distributed), so one-way ANOVA was performed on the data. The four conditions for repeated-measures remained pre-course (baseline), post-course (immediate), at one week post-course and one month into FY1. This is described in more detail in Chapter 3. </w:t>
      </w:r>
    </w:p>
    <w:p w14:paraId="29CFC406" w14:textId="77777777" w:rsidR="00137B0F" w:rsidRDefault="00137B0F" w:rsidP="00137B0F">
      <w:pPr>
        <w:pStyle w:val="Heading3"/>
      </w:pPr>
      <w:bookmarkStart w:id="314" w:name="_Toc343501178"/>
      <w:bookmarkStart w:id="315" w:name="_Toc348686379"/>
      <w:bookmarkStart w:id="316" w:name="_Toc419116179"/>
      <w:r>
        <w:t>Qualitative data collection: focus groups</w:t>
      </w:r>
      <w:bookmarkEnd w:id="314"/>
      <w:bookmarkEnd w:id="315"/>
      <w:bookmarkEnd w:id="316"/>
    </w:p>
    <w:p w14:paraId="229FF4EC" w14:textId="77777777" w:rsidR="00137B0F" w:rsidRDefault="00137B0F" w:rsidP="00137B0F"/>
    <w:p w14:paraId="6D83B3EF" w14:textId="088B33CD" w:rsidR="00137B0F" w:rsidRPr="008A7C55" w:rsidRDefault="00137B0F" w:rsidP="00137B0F">
      <w:pPr>
        <w:rPr>
          <w:rFonts w:cs="Arial"/>
          <w:szCs w:val="24"/>
        </w:rPr>
      </w:pPr>
      <w:r>
        <w:rPr>
          <w:rFonts w:cs="Arial"/>
          <w:szCs w:val="24"/>
        </w:rPr>
        <w:t xml:space="preserve">The study population, 5th-year medical students, purposively sampled; 19 group interviews of four to six members (Ritchie et al. 2014). To allow face-to-face interaction, the group had to be located in one place or ‘geographically clustered’. The groups were conducted straight after the teaching sessions to limit disruption. It also allowed for some rich descriptions as emotions and feelings were still fresh in their mind. </w:t>
      </w:r>
      <w:r>
        <w:t>The topic guide used maintained exploration about preparedness and simulation and was slightly edited to include more specifics on how the simulation interven</w:t>
      </w:r>
      <w:r w:rsidR="00F350A3">
        <w:t>tions should be run (Appendix 13</w:t>
      </w:r>
      <w:r>
        <w:t xml:space="preserve">.20). </w:t>
      </w:r>
    </w:p>
    <w:p w14:paraId="709ACC7C" w14:textId="77777777" w:rsidR="00137B0F" w:rsidRPr="00754B0C" w:rsidRDefault="00137B0F" w:rsidP="00137B0F">
      <w:r>
        <w:lastRenderedPageBreak/>
        <w:t xml:space="preserve">Each focus group lasted around 40 minutes to one hour, recorded and transcribed verbatim by the researcher adopting the approach described in Chapter 4. </w:t>
      </w:r>
    </w:p>
    <w:p w14:paraId="7DA3AA34" w14:textId="77777777" w:rsidR="00137B0F" w:rsidRDefault="00137B0F" w:rsidP="00137B0F">
      <w:pPr>
        <w:pStyle w:val="Heading3"/>
      </w:pPr>
      <w:bookmarkStart w:id="317" w:name="_Toc343501179"/>
      <w:bookmarkStart w:id="318" w:name="_Toc348686380"/>
      <w:bookmarkStart w:id="319" w:name="_Toc419116180"/>
      <w:r>
        <w:t>Qualitative data collection: I</w:t>
      </w:r>
      <w:r w:rsidRPr="001A6CB4">
        <w:t>nterview</w:t>
      </w:r>
      <w:r>
        <w:t>s</w:t>
      </w:r>
      <w:bookmarkEnd w:id="317"/>
      <w:r>
        <w:t xml:space="preserve"> with national simulation and medical education experts</w:t>
      </w:r>
      <w:bookmarkEnd w:id="318"/>
      <w:bookmarkEnd w:id="319"/>
    </w:p>
    <w:p w14:paraId="0AC58228" w14:textId="77777777" w:rsidR="00137B0F" w:rsidRPr="00F13BAC" w:rsidRDefault="00137B0F" w:rsidP="00137B0F"/>
    <w:p w14:paraId="561EF659" w14:textId="77777777" w:rsidR="00137B0F" w:rsidRDefault="00137B0F" w:rsidP="00137B0F">
      <w:r>
        <w:t>The rationale for choosing interviews with simulation and education experts at this point in the study are detailed in Chapter 3. Experts were selected through approaching at simulation and educational conferences, snowballing from recommendations from other experts and those highlighted in the literature with peer-reviewed publications in simulation and medical education. Experts were defined as those people involved currently in a position of authority within medical education linked to a medical school and with active experience of simulation and human factors education. Most were leads for simulation and education. Interviews were conducted until saturation of themes was achieved (n=10).</w:t>
      </w:r>
    </w:p>
    <w:p w14:paraId="7CDD888C" w14:textId="77777777" w:rsidR="00137B0F" w:rsidRPr="005E7E2B" w:rsidRDefault="00137B0F" w:rsidP="00137B0F">
      <w:pPr>
        <w:pStyle w:val="Heading4"/>
      </w:pPr>
      <w:r w:rsidRPr="005E7E2B">
        <w:t>Design/ Structure of interview – topic guide</w:t>
      </w:r>
    </w:p>
    <w:p w14:paraId="59CC695B" w14:textId="77777777" w:rsidR="00137B0F" w:rsidRPr="00372241" w:rsidRDefault="00137B0F" w:rsidP="00137B0F"/>
    <w:p w14:paraId="11F2A3B3" w14:textId="77777777" w:rsidR="00137B0F" w:rsidRDefault="00137B0F" w:rsidP="00137B0F">
      <w:pPr>
        <w:rPr>
          <w:rFonts w:cs="Arial"/>
          <w:szCs w:val="24"/>
        </w:rPr>
      </w:pPr>
      <w:r>
        <w:rPr>
          <w:rFonts w:cs="Arial"/>
          <w:szCs w:val="24"/>
        </w:rPr>
        <w:t>V</w:t>
      </w:r>
      <w:r w:rsidRPr="00283E43">
        <w:rPr>
          <w:rFonts w:cs="Arial"/>
          <w:szCs w:val="24"/>
        </w:rPr>
        <w:t xml:space="preserve">iews on simulation in the undergraduate medical curriculum </w:t>
      </w:r>
      <w:r>
        <w:rPr>
          <w:rFonts w:cs="Arial"/>
          <w:szCs w:val="24"/>
        </w:rPr>
        <w:t>as well as preparedness for practice were explored</w:t>
      </w:r>
      <w:r w:rsidRPr="00283E43">
        <w:rPr>
          <w:rFonts w:cs="Arial"/>
          <w:szCs w:val="24"/>
        </w:rPr>
        <w:t>. The fe</w:t>
      </w:r>
      <w:r>
        <w:rPr>
          <w:rFonts w:cs="Arial"/>
          <w:szCs w:val="24"/>
        </w:rPr>
        <w:t>asi</w:t>
      </w:r>
      <w:r w:rsidRPr="00283E43">
        <w:rPr>
          <w:rFonts w:cs="Arial"/>
          <w:szCs w:val="24"/>
        </w:rPr>
        <w:t xml:space="preserve">bility </w:t>
      </w:r>
      <w:r>
        <w:rPr>
          <w:rFonts w:cs="Arial"/>
          <w:szCs w:val="24"/>
        </w:rPr>
        <w:t xml:space="preserve">and requirements </w:t>
      </w:r>
      <w:r w:rsidRPr="00283E43">
        <w:rPr>
          <w:rFonts w:cs="Arial"/>
          <w:szCs w:val="24"/>
        </w:rPr>
        <w:t xml:space="preserve">of rolling out a simulation curriculum </w:t>
      </w:r>
      <w:r>
        <w:rPr>
          <w:rFonts w:cs="Arial"/>
          <w:szCs w:val="24"/>
        </w:rPr>
        <w:t xml:space="preserve">was </w:t>
      </w:r>
      <w:r w:rsidRPr="00283E43">
        <w:rPr>
          <w:rFonts w:cs="Arial"/>
          <w:szCs w:val="24"/>
        </w:rPr>
        <w:t>explored</w:t>
      </w:r>
      <w:r>
        <w:rPr>
          <w:rFonts w:cs="Arial"/>
          <w:szCs w:val="24"/>
        </w:rPr>
        <w:t>,</w:t>
      </w:r>
      <w:r w:rsidRPr="00283E43">
        <w:rPr>
          <w:rFonts w:cs="Arial"/>
          <w:szCs w:val="24"/>
        </w:rPr>
        <w:t xml:space="preserve"> </w:t>
      </w:r>
      <w:r>
        <w:rPr>
          <w:rFonts w:cs="Arial"/>
          <w:szCs w:val="24"/>
        </w:rPr>
        <w:t>with focus on how to run sessions and potential use in assessment.</w:t>
      </w:r>
    </w:p>
    <w:p w14:paraId="247EC320" w14:textId="3D0C927D" w:rsidR="00137B0F" w:rsidRDefault="00137B0F" w:rsidP="00137B0F">
      <w:pPr>
        <w:rPr>
          <w:rFonts w:cs="Arial"/>
          <w:szCs w:val="24"/>
        </w:rPr>
      </w:pPr>
      <w:r>
        <w:rPr>
          <w:rFonts w:cs="Arial"/>
          <w:szCs w:val="24"/>
        </w:rPr>
        <w:lastRenderedPageBreak/>
        <w:t xml:space="preserve">Though structure was important to ensure topics were covered, the need for flexibility was vital to allow the emergence of new themes and the interviewee to help ‘shape the content’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sidR="008B10A8">
        <w:rPr>
          <w:rFonts w:cs="Arial"/>
          <w:noProof/>
          <w:szCs w:val="24"/>
        </w:rPr>
        <w:t>;</w:t>
      </w:r>
      <w:r>
        <w:rPr>
          <w:rFonts w:cs="Arial"/>
          <w:szCs w:val="24"/>
        </w:rPr>
        <w:fldChar w:fldCharType="end"/>
      </w:r>
      <w:r w:rsidR="00A95730">
        <w:rPr>
          <w:rFonts w:cs="Arial"/>
          <w:szCs w:val="24"/>
        </w:rPr>
        <w:t xml:space="preserve"> p184</w:t>
      </w:r>
      <w:r>
        <w:rPr>
          <w:rFonts w:cs="Arial"/>
          <w:szCs w:val="24"/>
        </w:rPr>
        <w:t xml:space="preserve">). The interview needed to allow space and time for reflection and development of ideas. Recording the interviews allowed verbatim transcription to capture exact language and phrases shared by participants, which was important to uncover meaning. </w:t>
      </w:r>
    </w:p>
    <w:p w14:paraId="2E1065D6" w14:textId="7138B80D" w:rsidR="00137B0F" w:rsidRDefault="00137B0F" w:rsidP="00137B0F">
      <w:pPr>
        <w:rPr>
          <w:rFonts w:cs="Arial"/>
          <w:szCs w:val="24"/>
        </w:rPr>
      </w:pPr>
      <w:r>
        <w:rPr>
          <w:rFonts w:cs="Arial"/>
          <w:szCs w:val="24"/>
        </w:rPr>
        <w:t>The researcher found the process of in-depth interviews challenging for a number of reasons. These included: the challenge of actively listening to what was being said whilst asking relevant questions that flowed on from points raised; the ability to hold new terms and ideas to come back to, whilst checking in w</w:t>
      </w:r>
      <w:r w:rsidR="00F350A3">
        <w:rPr>
          <w:rFonts w:cs="Arial"/>
          <w:szCs w:val="24"/>
        </w:rPr>
        <w:t>ith the topic guide (Appendix 13</w:t>
      </w:r>
      <w:r>
        <w:rPr>
          <w:rFonts w:cs="Arial"/>
          <w:szCs w:val="24"/>
        </w:rPr>
        <w:t xml:space="preserve">.33); and the ability to manage time allocated for the interview and coverall areas, as well as balancing exploration of new emergent concepts. </w:t>
      </w:r>
    </w:p>
    <w:p w14:paraId="461F99F5" w14:textId="4F0ED828" w:rsidR="00137B0F" w:rsidRDefault="00137B0F" w:rsidP="00137B0F">
      <w:pPr>
        <w:rPr>
          <w:rFonts w:cs="Arial"/>
          <w:szCs w:val="24"/>
        </w:rPr>
      </w:pPr>
      <w:r>
        <w:rPr>
          <w:rFonts w:cs="Arial"/>
          <w:szCs w:val="24"/>
        </w:rPr>
        <w:t>The topic guide was designed following attendance at the National Centre for Social Research (Nat Cen) ‘</w:t>
      </w:r>
      <w:r w:rsidR="00E52F79">
        <w:rPr>
          <w:rFonts w:cs="Arial"/>
          <w:szCs w:val="24"/>
        </w:rPr>
        <w:t>In-d</w:t>
      </w:r>
      <w:r>
        <w:rPr>
          <w:rFonts w:cs="Arial"/>
          <w:szCs w:val="24"/>
        </w:rPr>
        <w:t xml:space="preserve">epth Interviewing’ course, where methods used by the team were shared. </w:t>
      </w:r>
      <w:r w:rsidR="00D75646">
        <w:rPr>
          <w:rFonts w:cs="Arial"/>
          <w:szCs w:val="24"/>
        </w:rPr>
        <w:t xml:space="preserve">Key areas for exploration were identified from the pilot focus groups. </w:t>
      </w:r>
      <w:r>
        <w:rPr>
          <w:rFonts w:cs="Arial"/>
          <w:szCs w:val="24"/>
        </w:rPr>
        <w:t xml:space="preserve">These were: preparedness for practice; the added value of simulation; how to structure and run a simulation session; and components of an effective simulation educational session. These main topics were then </w:t>
      </w:r>
      <w:r w:rsidR="00D75646">
        <w:rPr>
          <w:rFonts w:cs="Arial"/>
          <w:szCs w:val="24"/>
        </w:rPr>
        <w:t xml:space="preserve">subdivided </w:t>
      </w:r>
      <w:r>
        <w:rPr>
          <w:rFonts w:cs="Arial"/>
          <w:szCs w:val="24"/>
        </w:rPr>
        <w:t xml:space="preserve">into fidelity and human factors under the heading of simulation. </w:t>
      </w:r>
    </w:p>
    <w:p w14:paraId="45623654" w14:textId="3512F609" w:rsidR="00137B0F" w:rsidRDefault="00137B0F" w:rsidP="00137B0F">
      <w:pPr>
        <w:rPr>
          <w:rFonts w:cs="Arial"/>
          <w:szCs w:val="24"/>
        </w:rPr>
      </w:pPr>
      <w:r>
        <w:rPr>
          <w:rFonts w:cs="Arial"/>
          <w:szCs w:val="24"/>
        </w:rPr>
        <w:t xml:space="preserve">Simulation was explored as a separate entity because it was important to make no objective assumptions that this was interpreted and viewed in the same way by participants. Post-It notes and wall charts were used to place all topics and </w:t>
      </w:r>
      <w:r>
        <w:rPr>
          <w:rFonts w:cs="Arial"/>
          <w:szCs w:val="24"/>
        </w:rPr>
        <w:lastRenderedPageBreak/>
        <w:t>themes initially, then a careful process of grouping the themes occurred to see where each would fit and the topic guide was created. This was shared with supervisors to ensure that it reflected all main areas and topics, and mapped to the projects aims. Following agreement from supervisors, the topic guide was used for a pilot interview. Particular probes were considered and noted to try and maintain flow and interaction. The pilot interview revealed that most areas were covered well employing the topic guide. However</w:t>
      </w:r>
      <w:r w:rsidR="00E52F79">
        <w:rPr>
          <w:rFonts w:cs="Arial"/>
          <w:szCs w:val="24"/>
        </w:rPr>
        <w:t>,</w:t>
      </w:r>
      <w:r>
        <w:rPr>
          <w:rFonts w:cs="Arial"/>
          <w:szCs w:val="24"/>
        </w:rPr>
        <w:t xml:space="preserve"> some new areas were brought up and felt to be important so were included. This iterative process allowed the flexibility required for the ‘Grounded Theory’ approach whereby one piece of data informed the next phase. Examples of the process using Post</w:t>
      </w:r>
      <w:r w:rsidR="00F350A3">
        <w:rPr>
          <w:rFonts w:cs="Arial"/>
          <w:szCs w:val="24"/>
        </w:rPr>
        <w:t>-It notes are shown (Appendix 13</w:t>
      </w:r>
      <w:r>
        <w:rPr>
          <w:rFonts w:cs="Arial"/>
          <w:szCs w:val="24"/>
        </w:rPr>
        <w:t xml:space="preserve">.18) </w:t>
      </w:r>
    </w:p>
    <w:p w14:paraId="63CB04B0" w14:textId="77777777" w:rsidR="00137B0F" w:rsidRPr="005E7E2B" w:rsidRDefault="00137B0F" w:rsidP="00137B0F">
      <w:pPr>
        <w:pStyle w:val="Heading4"/>
      </w:pPr>
      <w:r w:rsidRPr="005E7E2B">
        <w:t>Consent and Research Ethics</w:t>
      </w:r>
    </w:p>
    <w:p w14:paraId="7E7FBB69" w14:textId="77777777" w:rsidR="00137B0F" w:rsidRPr="00372241" w:rsidRDefault="00137B0F" w:rsidP="00137B0F"/>
    <w:p w14:paraId="0545A56E" w14:textId="77777777" w:rsidR="00137B0F" w:rsidRDefault="00137B0F" w:rsidP="00137B0F">
      <w:pPr>
        <w:rPr>
          <w:rFonts w:cs="Arial"/>
          <w:szCs w:val="24"/>
        </w:rPr>
      </w:pPr>
      <w:r>
        <w:rPr>
          <w:rFonts w:cs="Arial"/>
          <w:szCs w:val="24"/>
        </w:rPr>
        <w:t xml:space="preserve">Consent was sought by sending an initial email with an introductory letter explaining the purpose of the interview and inviting them to take part. They had the opportunity to ask questions and decide a suitable place to meet. Eight of the ten interviews were conducted face-to-face, with two conducted using Skype; a web-based video facility, owing to challenges in distance and timetabling. </w:t>
      </w:r>
    </w:p>
    <w:p w14:paraId="5BE83138" w14:textId="3E6126F5" w:rsidR="00137B0F" w:rsidRDefault="00137B0F" w:rsidP="00137B0F">
      <w:pPr>
        <w:rPr>
          <w:rFonts w:cs="Arial"/>
          <w:szCs w:val="24"/>
        </w:rPr>
      </w:pPr>
      <w:r>
        <w:rPr>
          <w:rFonts w:cs="Arial"/>
          <w:szCs w:val="24"/>
        </w:rPr>
        <w:t>In terms of protecting confidentiality and anonymity, the introductory letter sent prior explained how confidentiality would be maintained, with no names being used in data collection and a unique identification num</w:t>
      </w:r>
      <w:r w:rsidR="00F350A3">
        <w:rPr>
          <w:rFonts w:cs="Arial"/>
          <w:szCs w:val="24"/>
        </w:rPr>
        <w:t>ber being allocated (Appendix 13</w:t>
      </w:r>
      <w:r>
        <w:rPr>
          <w:rFonts w:cs="Arial"/>
          <w:szCs w:val="24"/>
        </w:rPr>
        <w:t xml:space="preserve">.34). Quotations used would not allow participants to be </w:t>
      </w:r>
      <w:r>
        <w:rPr>
          <w:rFonts w:cs="Arial"/>
          <w:szCs w:val="24"/>
        </w:rPr>
        <w:lastRenderedPageBreak/>
        <w:t xml:space="preserve">recognised if used in the thesis or publications. Audio transcripts were stored on an encrypted device. </w:t>
      </w:r>
    </w:p>
    <w:p w14:paraId="75B51D63" w14:textId="265C9429" w:rsidR="00137B0F" w:rsidRPr="00AD17EB" w:rsidRDefault="00137B0F" w:rsidP="00137B0F">
      <w:pPr>
        <w:rPr>
          <w:rFonts w:cs="Arial"/>
          <w:szCs w:val="24"/>
        </w:rPr>
      </w:pPr>
      <w:r>
        <w:rPr>
          <w:rFonts w:cs="Arial"/>
          <w:szCs w:val="24"/>
        </w:rPr>
        <w:t xml:space="preserve">Verbal consent was confirmed prior to starting each interview and recorded on the audio file as confirmation. Details were given describing that transcripts would be sent to be checked by interviewees (member checking) to ensure the correct information had been recorded and interpreted. Details of outputs from research were offered to be shared when complete. </w:t>
      </w:r>
    </w:p>
    <w:p w14:paraId="40355C52" w14:textId="77777777" w:rsidR="00137B0F" w:rsidRPr="005E7E2B" w:rsidRDefault="00137B0F" w:rsidP="00137B0F">
      <w:pPr>
        <w:pStyle w:val="Heading4"/>
      </w:pPr>
      <w:r w:rsidRPr="005E7E2B">
        <w:t>Conducting interviews</w:t>
      </w:r>
    </w:p>
    <w:p w14:paraId="5A238B48" w14:textId="77777777" w:rsidR="00137B0F" w:rsidRPr="00372241" w:rsidRDefault="00137B0F" w:rsidP="00137B0F"/>
    <w:p w14:paraId="20A32CAA" w14:textId="77777777" w:rsidR="00137B0F" w:rsidRDefault="00137B0F" w:rsidP="00137B0F">
      <w:pPr>
        <w:rPr>
          <w:rFonts w:cs="Arial"/>
          <w:szCs w:val="24"/>
        </w:rPr>
      </w:pPr>
      <w:r>
        <w:rPr>
          <w:rFonts w:cs="Arial"/>
          <w:szCs w:val="24"/>
        </w:rPr>
        <w:t xml:space="preserve">In terms of practical considerations, the pilot interview lasted 75 minutes, so the interviews were allocated one hour, which was acceptable to interviewees. </w:t>
      </w:r>
    </w:p>
    <w:p w14:paraId="2EF531A0" w14:textId="77777777" w:rsidR="00137B0F" w:rsidRDefault="00137B0F" w:rsidP="00137B0F">
      <w:pPr>
        <w:rPr>
          <w:rFonts w:cs="Arial"/>
          <w:szCs w:val="24"/>
        </w:rPr>
      </w:pPr>
      <w:r>
        <w:rPr>
          <w:rFonts w:cs="Arial"/>
          <w:szCs w:val="24"/>
        </w:rPr>
        <w:t xml:space="preserve">The researcher was required to travel across the United Kingdom so only one interview was performed per day due to travelling times. The interview location was decided by the interviewee and on most occasions was conducted in their place of work, face-to-face. </w:t>
      </w:r>
    </w:p>
    <w:p w14:paraId="0F7DA5FD" w14:textId="77777777" w:rsidR="00137B0F" w:rsidRDefault="00137B0F" w:rsidP="00137B0F">
      <w:pPr>
        <w:rPr>
          <w:rFonts w:cs="Arial"/>
          <w:szCs w:val="24"/>
        </w:rPr>
      </w:pPr>
      <w:r>
        <w:rPr>
          <w:rFonts w:cs="Arial"/>
          <w:szCs w:val="24"/>
        </w:rPr>
        <w:t xml:space="preserve">Two of the interviews were conducted online (Skype®). One due to interviewee choice due to working from home with a busy timetable, and the second due to distance. </w:t>
      </w:r>
    </w:p>
    <w:p w14:paraId="62558CBC" w14:textId="48ACBF10" w:rsidR="00137B0F" w:rsidRDefault="00137B0F" w:rsidP="00137B0F">
      <w:pPr>
        <w:rPr>
          <w:rFonts w:cs="Arial"/>
          <w:szCs w:val="24"/>
        </w:rPr>
      </w:pPr>
      <w:r>
        <w:rPr>
          <w:rFonts w:cs="Arial"/>
          <w:szCs w:val="24"/>
        </w:rPr>
        <w:t xml:space="preserve">In terms of structuring an in-depth interview, Ritchie et al. (2014) six stages have been used to inform the researcher’s strategy for interview conduction </w:t>
      </w:r>
      <w:r>
        <w:rPr>
          <w:rFonts w:cs="Arial"/>
          <w:szCs w:val="24"/>
        </w:rPr>
        <w:fldChar w:fldCharType="begin"/>
      </w:r>
      <w:r w:rsidR="006102D5">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6102D5">
        <w:rPr>
          <w:rFonts w:cs="Arial"/>
          <w:noProof/>
          <w:szCs w:val="24"/>
        </w:rPr>
        <w:t>(Ritchie et al., 2014</w:t>
      </w:r>
      <w:r>
        <w:rPr>
          <w:rFonts w:cs="Arial"/>
          <w:szCs w:val="24"/>
        </w:rPr>
        <w:fldChar w:fldCharType="end"/>
      </w:r>
      <w:r w:rsidR="00E52F79">
        <w:rPr>
          <w:rFonts w:cs="Arial"/>
          <w:szCs w:val="24"/>
        </w:rPr>
        <w:t xml:space="preserve">; </w:t>
      </w:r>
      <w:r>
        <w:rPr>
          <w:rFonts w:cs="Arial"/>
          <w:szCs w:val="24"/>
        </w:rPr>
        <w:t xml:space="preserve">p186). The first stage entitled ‘arrival and introductions’ was an essential part of the interview, where initial interaction allowed the </w:t>
      </w:r>
      <w:r>
        <w:rPr>
          <w:rFonts w:cs="Arial"/>
          <w:szCs w:val="24"/>
        </w:rPr>
        <w:lastRenderedPageBreak/>
        <w:t xml:space="preserve">opportunity to facilitate a good rapport. The researcher did find this easier with face-to-face interviews rather than Skype, which took longer but was not felt to impair views shared and data gathered. The researcher attempted to be organised by being punctual and having equipment ready, in the hope that the interviewee would reciprocate that behaviour to allow open discussion and trust from the start, which did appear to work. It was important at this point, when stepping into the individual’s work environment, to check that they were comfortable. </w:t>
      </w:r>
    </w:p>
    <w:p w14:paraId="0705007C" w14:textId="77777777" w:rsidR="00137B0F" w:rsidRDefault="00137B0F" w:rsidP="00137B0F">
      <w:pPr>
        <w:rPr>
          <w:rFonts w:cs="Arial"/>
          <w:szCs w:val="24"/>
        </w:rPr>
      </w:pPr>
      <w:r>
        <w:rPr>
          <w:rFonts w:cs="Arial"/>
          <w:szCs w:val="24"/>
        </w:rPr>
        <w:t xml:space="preserve">The second stage, entitled ‘introducing the research’, began with re-confirming purpose and expectations. These included length of time; that it was personal views and experiences being sought, that questioning would be probing in nature and that transcriptions were stored on an encrypted device; data would be stored securely; and any quotes used would not uncover the identity of the interviewee. Confirmation of consent to perform the interview was gained and consents to record the interview confirmed prior to turning on the device. The device was checked prior to every interview for settings, volume and battery. The voluntary nature of the research and interview was reiterated. </w:t>
      </w:r>
    </w:p>
    <w:p w14:paraId="65F05602" w14:textId="5AB90E3E" w:rsidR="00137B0F" w:rsidRDefault="00137B0F" w:rsidP="00137B0F">
      <w:pPr>
        <w:rPr>
          <w:rFonts w:cs="Arial"/>
          <w:szCs w:val="24"/>
        </w:rPr>
      </w:pPr>
      <w:r>
        <w:rPr>
          <w:rFonts w:cs="Arial"/>
          <w:szCs w:val="24"/>
        </w:rPr>
        <w:t xml:space="preserve">The process of re-introducing aims and objectives allowed some context to allow the interviewee to start thinking about the topics and understand how the interview would flow. Different sections were introduced so there was clarity about what was being discussed. </w:t>
      </w:r>
    </w:p>
    <w:p w14:paraId="50207712" w14:textId="4C07F9D7" w:rsidR="00137B0F" w:rsidRDefault="00137B0F" w:rsidP="00137B0F">
      <w:pPr>
        <w:rPr>
          <w:rFonts w:cs="Arial"/>
          <w:szCs w:val="24"/>
        </w:rPr>
      </w:pPr>
      <w:r>
        <w:rPr>
          <w:rFonts w:cs="Arial"/>
          <w:szCs w:val="24"/>
        </w:rPr>
        <w:t xml:space="preserve">Stage three, ‘beginning the interview’, acted as a platform to gain contextual information and characteristics such as sex, place of work, job title and </w:t>
      </w:r>
      <w:r>
        <w:rPr>
          <w:rFonts w:cs="Arial"/>
          <w:szCs w:val="24"/>
        </w:rPr>
        <w:lastRenderedPageBreak/>
        <w:t xml:space="preserve">particular role and responsibility related to SBME, and undergraduate medical education. It was important to include current and previous roles. This allowed for practice with ‘familiar topics’, and the emergence of particular roles that could trigger discussion and demonstrate active listening. Starting with an open personal question set the stage for the interview and assisted in expectations for the interviewee and interviewer in terms of how easy it would be to probe deeper into personal views </w:t>
      </w:r>
      <w:r>
        <w:rPr>
          <w:rFonts w:cs="Arial"/>
          <w:szCs w:val="24"/>
        </w:rPr>
        <w:fldChar w:fldCharType="begin"/>
      </w:r>
      <w:r w:rsidR="00B159B8">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B159B8">
        <w:rPr>
          <w:rFonts w:cs="Arial"/>
          <w:noProof/>
          <w:szCs w:val="24"/>
        </w:rPr>
        <w:t>(Ritchie et al., 2014</w:t>
      </w:r>
      <w:r w:rsidR="008B10A8">
        <w:rPr>
          <w:rFonts w:cs="Arial"/>
          <w:noProof/>
          <w:szCs w:val="24"/>
        </w:rPr>
        <w:t xml:space="preserve">; </w:t>
      </w:r>
      <w:r>
        <w:rPr>
          <w:rFonts w:cs="Arial"/>
          <w:szCs w:val="24"/>
        </w:rPr>
        <w:fldChar w:fldCharType="end"/>
      </w:r>
      <w:r w:rsidR="00E52F79">
        <w:rPr>
          <w:rFonts w:cs="Arial"/>
          <w:szCs w:val="24"/>
        </w:rPr>
        <w:t>p188</w:t>
      </w:r>
      <w:r>
        <w:rPr>
          <w:rFonts w:cs="Arial"/>
          <w:szCs w:val="24"/>
        </w:rPr>
        <w:t>).</w:t>
      </w:r>
    </w:p>
    <w:p w14:paraId="0884E068" w14:textId="086FB51B" w:rsidR="00137B0F" w:rsidRDefault="00137B0F" w:rsidP="00137B0F">
      <w:pPr>
        <w:rPr>
          <w:rFonts w:cs="Arial"/>
          <w:szCs w:val="24"/>
        </w:rPr>
      </w:pPr>
      <w:r>
        <w:rPr>
          <w:rFonts w:cs="Arial"/>
          <w:szCs w:val="24"/>
        </w:rPr>
        <w:t xml:space="preserve">Stage four, ‘during the interview’, was where the participant was navigated through the topic guide, whilst giving them the opportunity to influence and add to the topics. Open questions were important to allow the participant’s initial feelings to be shared, then closed questions employed to hone in on detail and specifics. Questions needed to be clear but during the first few interviews often participants would check what was being asked by the researcher. Probes were employed to delve deeper into the perceptions of the interviewee and are said to be ‘responsive, follow-up questions which elicit more information, description or explanation’ </w:t>
      </w:r>
      <w:r>
        <w:rPr>
          <w:rFonts w:cs="Arial"/>
          <w:szCs w:val="24"/>
        </w:rPr>
        <w:fldChar w:fldCharType="begin"/>
      </w:r>
      <w:r w:rsidR="00B159B8">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B159B8">
        <w:rPr>
          <w:rFonts w:cs="Arial"/>
          <w:noProof/>
          <w:szCs w:val="24"/>
        </w:rPr>
        <w:t>(Ritchie et al., 2014</w:t>
      </w:r>
      <w:r w:rsidR="008B10A8">
        <w:rPr>
          <w:rFonts w:cs="Arial"/>
          <w:noProof/>
          <w:szCs w:val="24"/>
        </w:rPr>
        <w:t xml:space="preserve">; </w:t>
      </w:r>
      <w:r>
        <w:rPr>
          <w:rFonts w:cs="Arial"/>
          <w:szCs w:val="24"/>
        </w:rPr>
        <w:fldChar w:fldCharType="end"/>
      </w:r>
      <w:r w:rsidR="005A24BD">
        <w:rPr>
          <w:rFonts w:cs="Arial"/>
          <w:szCs w:val="24"/>
        </w:rPr>
        <w:t>p194</w:t>
      </w:r>
      <w:r>
        <w:rPr>
          <w:rFonts w:cs="Arial"/>
          <w:szCs w:val="24"/>
        </w:rPr>
        <w:t xml:space="preserve">). </w:t>
      </w:r>
    </w:p>
    <w:p w14:paraId="6CA1BAB6" w14:textId="0F9E050A" w:rsidR="00137B0F" w:rsidRDefault="00137B0F" w:rsidP="00137B0F">
      <w:pPr>
        <w:rPr>
          <w:rFonts w:cs="Arial"/>
          <w:szCs w:val="24"/>
        </w:rPr>
      </w:pPr>
      <w:r>
        <w:rPr>
          <w:rFonts w:cs="Arial"/>
          <w:szCs w:val="24"/>
        </w:rPr>
        <w:t xml:space="preserve">Signposting was used to move the interview on, and when coming to close. The skills that aided the researcher were having an ‘inquiring mind’ and a keen interest in people, in particular huge respect for those interviewed and a familiarity with their professional roles </w:t>
      </w:r>
      <w:r>
        <w:rPr>
          <w:rFonts w:cs="Arial"/>
          <w:szCs w:val="24"/>
        </w:rPr>
        <w:fldChar w:fldCharType="begin"/>
      </w:r>
      <w:r w:rsidR="00B159B8">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B159B8">
        <w:rPr>
          <w:rFonts w:cs="Arial"/>
          <w:noProof/>
          <w:szCs w:val="24"/>
        </w:rPr>
        <w:t>(Ritchie et al., 2014</w:t>
      </w:r>
      <w:r w:rsidR="008B10A8">
        <w:rPr>
          <w:rFonts w:cs="Arial"/>
          <w:noProof/>
          <w:szCs w:val="24"/>
        </w:rPr>
        <w:t xml:space="preserve">; </w:t>
      </w:r>
      <w:r>
        <w:rPr>
          <w:rFonts w:cs="Arial"/>
          <w:szCs w:val="24"/>
        </w:rPr>
        <w:fldChar w:fldCharType="end"/>
      </w:r>
      <w:r w:rsidR="005A24BD">
        <w:rPr>
          <w:rFonts w:cs="Arial"/>
          <w:szCs w:val="24"/>
        </w:rPr>
        <w:t>p185</w:t>
      </w:r>
      <w:r>
        <w:rPr>
          <w:rFonts w:cs="Arial"/>
          <w:szCs w:val="24"/>
        </w:rPr>
        <w:t xml:space="preserve">). The art of listening and responding appropriately, as well as an ability to build a good rapport quickly was helpful. In the initial interviews, it was very challenging for the researcher to judge how long to allow a particular topic to run and this became easier with time and practice. </w:t>
      </w:r>
    </w:p>
    <w:p w14:paraId="1384DC85" w14:textId="0F0A5BFB" w:rsidR="00137B0F" w:rsidRDefault="00137B0F" w:rsidP="00137B0F">
      <w:pPr>
        <w:rPr>
          <w:rFonts w:cs="Arial"/>
          <w:szCs w:val="24"/>
        </w:rPr>
      </w:pPr>
      <w:r>
        <w:rPr>
          <w:rFonts w:cs="Arial"/>
          <w:szCs w:val="24"/>
        </w:rPr>
        <w:lastRenderedPageBreak/>
        <w:t xml:space="preserve">Researcher discipline was required at times during the interviews when some interviewees became conversational. It was important to avoid commenting on answers particularly when some interviewees appeared to be seeking approval or agreement. It was important to re-emphasise that there was not a ‘right or wrong answer’ </w:t>
      </w:r>
      <w:r>
        <w:rPr>
          <w:rFonts w:cs="Arial"/>
          <w:szCs w:val="24"/>
        </w:rPr>
        <w:fldChar w:fldCharType="begin"/>
      </w:r>
      <w:r w:rsidR="00B159B8">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B159B8">
        <w:rPr>
          <w:rFonts w:cs="Arial"/>
          <w:noProof/>
          <w:szCs w:val="24"/>
        </w:rPr>
        <w:t>(Ritchie et al., 2014</w:t>
      </w:r>
      <w:r w:rsidR="008B10A8">
        <w:rPr>
          <w:rFonts w:cs="Arial"/>
          <w:noProof/>
          <w:szCs w:val="24"/>
        </w:rPr>
        <w:t>;</w:t>
      </w:r>
      <w:r>
        <w:rPr>
          <w:rFonts w:cs="Arial"/>
          <w:szCs w:val="24"/>
        </w:rPr>
        <w:fldChar w:fldCharType="end"/>
      </w:r>
      <w:r w:rsidR="003813BC">
        <w:rPr>
          <w:rFonts w:cs="Arial"/>
          <w:szCs w:val="24"/>
        </w:rPr>
        <w:t xml:space="preserve"> </w:t>
      </w:r>
      <w:r w:rsidR="005A24BD">
        <w:rPr>
          <w:rFonts w:cs="Arial"/>
          <w:szCs w:val="24"/>
        </w:rPr>
        <w:t>p199</w:t>
      </w:r>
      <w:r>
        <w:rPr>
          <w:rFonts w:cs="Arial"/>
          <w:szCs w:val="24"/>
        </w:rPr>
        <w:t xml:space="preserve">). Another area of researcher discipline was to make sure that no assumptions were made and to avoid ‘summarising answers’, which can be incorrect and also ‘halt the flow’ of the interview </w:t>
      </w:r>
      <w:r>
        <w:rPr>
          <w:rFonts w:cs="Arial"/>
          <w:szCs w:val="24"/>
        </w:rPr>
        <w:fldChar w:fldCharType="begin"/>
      </w:r>
      <w:r w:rsidR="00B159B8">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B159B8">
        <w:rPr>
          <w:rFonts w:cs="Arial"/>
          <w:noProof/>
          <w:szCs w:val="24"/>
        </w:rPr>
        <w:t>(Ritchie et al., 2014</w:t>
      </w:r>
      <w:r>
        <w:rPr>
          <w:rFonts w:cs="Arial"/>
          <w:szCs w:val="24"/>
        </w:rPr>
        <w:fldChar w:fldCharType="end"/>
      </w:r>
      <w:r w:rsidR="005A24BD">
        <w:rPr>
          <w:rFonts w:cs="Arial"/>
          <w:szCs w:val="24"/>
        </w:rPr>
        <w:t>; p198</w:t>
      </w:r>
      <w:r>
        <w:rPr>
          <w:rFonts w:cs="Arial"/>
          <w:szCs w:val="24"/>
        </w:rPr>
        <w:t xml:space="preserve">). It is also suggested that the researcher needs to remain ‘empathetically neutral’ during in-depth interviews, being empathetic but not ‘over-involved’. During these interviews the researcher did not find this to be an issue because the topics were not based on personal topics </w:t>
      </w:r>
      <w:r>
        <w:rPr>
          <w:rFonts w:cs="Arial"/>
          <w:szCs w:val="24"/>
        </w:rPr>
        <w:fldChar w:fldCharType="begin"/>
      </w:r>
      <w:r w:rsidR="00B159B8">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B159B8">
        <w:rPr>
          <w:rFonts w:cs="Arial"/>
          <w:noProof/>
          <w:szCs w:val="24"/>
        </w:rPr>
        <w:t>(Ritchie et al., 2014</w:t>
      </w:r>
      <w:r w:rsidR="008B10A8">
        <w:rPr>
          <w:rFonts w:cs="Arial"/>
          <w:noProof/>
          <w:szCs w:val="24"/>
        </w:rPr>
        <w:t xml:space="preserve">; </w:t>
      </w:r>
      <w:r>
        <w:rPr>
          <w:rFonts w:cs="Arial"/>
          <w:szCs w:val="24"/>
        </w:rPr>
        <w:fldChar w:fldCharType="end"/>
      </w:r>
      <w:r w:rsidR="005A24BD">
        <w:rPr>
          <w:rFonts w:cs="Arial"/>
          <w:szCs w:val="24"/>
        </w:rPr>
        <w:t>p201</w:t>
      </w:r>
      <w:r>
        <w:rPr>
          <w:rFonts w:cs="Arial"/>
          <w:szCs w:val="24"/>
        </w:rPr>
        <w:t xml:space="preserve">). </w:t>
      </w:r>
    </w:p>
    <w:p w14:paraId="6B0C8C4B" w14:textId="4D614AC8" w:rsidR="00137B0F" w:rsidRPr="00FD74E9" w:rsidRDefault="00137B0F" w:rsidP="00137B0F">
      <w:pPr>
        <w:rPr>
          <w:rFonts w:cs="Arial"/>
          <w:szCs w:val="24"/>
        </w:rPr>
      </w:pPr>
      <w:r>
        <w:rPr>
          <w:rFonts w:cs="Arial"/>
          <w:szCs w:val="24"/>
        </w:rPr>
        <w:t xml:space="preserve">Stage five was ‘ending the interview’. The signposting had the aim of ‘re-energising’ someone if getting tired, allowing them to highlight anything they felt was important that had not been covered so far (‘final points’) and allowing them to re-set their communication skills from in-depth interviewing to normal conversation </w:t>
      </w:r>
      <w:r>
        <w:rPr>
          <w:rFonts w:cs="Arial"/>
          <w:szCs w:val="24"/>
        </w:rPr>
        <w:fldChar w:fldCharType="begin"/>
      </w:r>
      <w:r w:rsidR="00B159B8">
        <w:rPr>
          <w:rFonts w:cs="Arial"/>
          <w:szCs w:val="24"/>
        </w:rPr>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rPr>
          <w:rFonts w:cs="Arial"/>
          <w:szCs w:val="24"/>
        </w:rPr>
        <w:fldChar w:fldCharType="separate"/>
      </w:r>
      <w:r w:rsidR="00B159B8">
        <w:rPr>
          <w:rFonts w:cs="Arial"/>
          <w:noProof/>
          <w:szCs w:val="24"/>
        </w:rPr>
        <w:t>(Ritchie et al., 2014</w:t>
      </w:r>
      <w:r w:rsidR="008B10A8">
        <w:rPr>
          <w:rFonts w:cs="Arial"/>
          <w:noProof/>
          <w:szCs w:val="24"/>
        </w:rPr>
        <w:t xml:space="preserve">; </w:t>
      </w:r>
      <w:r>
        <w:rPr>
          <w:rFonts w:cs="Arial"/>
          <w:szCs w:val="24"/>
        </w:rPr>
        <w:fldChar w:fldCharType="end"/>
      </w:r>
      <w:r w:rsidR="005A24BD">
        <w:rPr>
          <w:rFonts w:cs="Arial"/>
          <w:szCs w:val="24"/>
        </w:rPr>
        <w:t>p189</w:t>
      </w:r>
      <w:r>
        <w:rPr>
          <w:rFonts w:cs="Arial"/>
          <w:szCs w:val="24"/>
        </w:rPr>
        <w:t xml:space="preserve">). </w:t>
      </w:r>
    </w:p>
    <w:p w14:paraId="5B6EF901" w14:textId="77777777" w:rsidR="00137B0F" w:rsidRPr="005E7E2B" w:rsidRDefault="00137B0F" w:rsidP="00137B0F">
      <w:pPr>
        <w:pStyle w:val="Heading4"/>
      </w:pPr>
      <w:r w:rsidRPr="005E7E2B">
        <w:t>Interpreting response</w:t>
      </w:r>
    </w:p>
    <w:p w14:paraId="4B537A99" w14:textId="77777777" w:rsidR="00137B0F" w:rsidRPr="00372241" w:rsidRDefault="00137B0F" w:rsidP="00137B0F"/>
    <w:p w14:paraId="5C931440" w14:textId="77777777" w:rsidR="00137B0F" w:rsidRDefault="00137B0F" w:rsidP="00137B0F">
      <w:r>
        <w:t xml:space="preserve">Keats (2000) describes the need to ‘constantly interpret and evaluate the meaning of replies to questions’. This was one of the reasons the interviewer performed all interviews and transcriptions themself. Where gaps or awkward moments were noted, that could be taken into account both during the </w:t>
      </w:r>
      <w:r>
        <w:lastRenderedPageBreak/>
        <w:t xml:space="preserve">interview, to explore in more depth and also when summarising the data, to incorporate the ease or unease at how some topics were discussed. </w:t>
      </w:r>
    </w:p>
    <w:p w14:paraId="79B1B436" w14:textId="5C7B60B7" w:rsidR="00137B0F" w:rsidRPr="00A53A3B" w:rsidRDefault="00137B0F" w:rsidP="00137B0F">
      <w:r>
        <w:t xml:space="preserve">The researcher did not encounter problems with ‘non-cooperation’, ‘inaccuracy in recall’, ‘inconsistency’, ‘lack of verbal skills’, ‘bias’ and ‘conceptual difficulty’, likely owing to the fact that all of those interviewed were confident, due to credibility and experience, to share their views. The main challenges experienced with the respondents were those linked to the fact that they were professionals, and this is elaborated on (Section 7.3.6.5) below. </w:t>
      </w:r>
    </w:p>
    <w:p w14:paraId="315B7CB8" w14:textId="77777777" w:rsidR="00137B0F" w:rsidRPr="005E7E2B" w:rsidRDefault="00137B0F" w:rsidP="00137B0F">
      <w:pPr>
        <w:pStyle w:val="Heading4"/>
      </w:pPr>
      <w:r w:rsidRPr="005E7E2B">
        <w:t>Interviewing professionals</w:t>
      </w:r>
    </w:p>
    <w:p w14:paraId="1DCC777D" w14:textId="77777777" w:rsidR="00137B0F" w:rsidRPr="00372241" w:rsidRDefault="00137B0F" w:rsidP="00137B0F"/>
    <w:p w14:paraId="4810A551" w14:textId="77777777" w:rsidR="00137B0F" w:rsidRDefault="00137B0F" w:rsidP="00137B0F">
      <w:r>
        <w:t>The main challenge the researcher experienced with interviewing professionals was the embedding of evidence-based medicine as a surrogate for personal views and experiences. This is a product of a scientific, mostly medical background where good medical practice states that all items discussed should have had their evidence-base explored and understood. Questions such as ‘what are your personal views of simulation’ led some to answer, ‘well, this paper by … demonstrated the added value to be… and I agree with that’. This was a challenge as often the depth was related to statistics and not to personal views and did not offer a deep level of experience and understanding. Techniques such as asking for specific examples in their practice were used and allowed them to discuss the evidence and findings and how that influenced their views.</w:t>
      </w:r>
    </w:p>
    <w:p w14:paraId="41A2E307" w14:textId="77777777" w:rsidR="00137B0F" w:rsidRDefault="00137B0F" w:rsidP="00137B0F">
      <w:r>
        <w:lastRenderedPageBreak/>
        <w:t xml:space="preserve">There were assumptions made about the researcher’s standpoint at times where interviewees stated ‘as I am sure you agree’, or ‘as you know’. Clear attempts were required to bring the discussion back to the participant’s views to and add detail to unpick ideas. Phrases such as ‘for the benefit of the tape’, ‘please can you describe your role in detail’, or ‘why do you feel that’ were used. In some interviews, the researcher had to remind the participant on nearly every change of topic that it was their views and opinions that they were after. There was a feeling that because people with credibility in the field of simulation or education were being approached, that they should be aware of the up-to-date evidence and be promoting their knowledge of new literature. </w:t>
      </w:r>
    </w:p>
    <w:p w14:paraId="20EC4BC7" w14:textId="54EE18B6" w:rsidR="00137B0F" w:rsidRPr="00CF4138" w:rsidRDefault="00137B0F" w:rsidP="00137B0F">
      <w:r>
        <w:t>On one occasion one participant was particularly closed in their answers and when probed often just gave the same answer over and over again despite different lines of questioning. They appeared less reflective than some of the others, and as such despite having a research background and having the purpose explained again they were keen to stick to their</w:t>
      </w:r>
      <w:r w:rsidR="004E495B">
        <w:t xml:space="preserve"> same</w:t>
      </w:r>
      <w:r>
        <w:t xml:space="preserve"> answer.  At this point the researcher continued through the topic guide to an area they felt more able to discuss, but they still made many assumptions about researcher stance and that was’ just how it was’. After building more of a rapport and finding some common ground it was possible to probe in more depth but it took longer than the other interviews. Techniques employed were mostly from the in-depth interviewing course (Nat Cen) but also from experience of performing the interviews and reflecting on the challenges with supervisors on how they would tackle them. As a result, they did get easier. </w:t>
      </w:r>
    </w:p>
    <w:p w14:paraId="2423C8AB" w14:textId="77777777" w:rsidR="00137B0F" w:rsidRDefault="00137B0F" w:rsidP="00137B0F">
      <w:pPr>
        <w:pStyle w:val="Heading3"/>
      </w:pPr>
      <w:bookmarkStart w:id="320" w:name="_Toc343501180"/>
      <w:bookmarkStart w:id="321" w:name="_Toc348686381"/>
      <w:bookmarkStart w:id="322" w:name="_Toc419116181"/>
      <w:r>
        <w:lastRenderedPageBreak/>
        <w:t>Thematic analysis using framework to triangulate data</w:t>
      </w:r>
      <w:bookmarkEnd w:id="320"/>
      <w:bookmarkEnd w:id="321"/>
      <w:bookmarkEnd w:id="322"/>
    </w:p>
    <w:p w14:paraId="0BD60484" w14:textId="77777777" w:rsidR="00137B0F" w:rsidRDefault="00137B0F" w:rsidP="00137B0F"/>
    <w:p w14:paraId="2C77FEDE" w14:textId="77777777" w:rsidR="00137B0F" w:rsidRDefault="00137B0F" w:rsidP="00137B0F">
      <w:r>
        <w:t>This process and underpinning theory was introduced in Chapter 3 (3.5.7).</w:t>
      </w:r>
    </w:p>
    <w:p w14:paraId="127945FF" w14:textId="77777777" w:rsidR="00137B0F" w:rsidRDefault="00137B0F" w:rsidP="00137B0F">
      <w:r>
        <w:t xml:space="preserve">The primary researcher transcribed focus group data as well as interviews. In doing this they were able to fully embed themselves in any subtleties and verbal cues shared. Pauses and emphasis on certain words can change meaning and it was important to get that across in transcripts for the interpretive phase. Field notes and case studies from field note diaries were scanned and uploaded into the computer package NVivo, so that original reflections and data were being used. </w:t>
      </w:r>
    </w:p>
    <w:p w14:paraId="517EF5B8" w14:textId="21468DA5" w:rsidR="00137B0F" w:rsidRDefault="00137B0F" w:rsidP="00137B0F">
      <w:r>
        <w:t>In order to organise the data to start bringing together a huge dataset of words and expressions, it was important to generate a lis</w:t>
      </w:r>
      <w:r w:rsidR="005A24BD">
        <w:t>t of initial themes (Appendix 13</w:t>
      </w:r>
      <w:r>
        <w:t>.35). These themes were created by a combination of ‘in vivo’ concepts or specific language or terms used by participants, by labels from the topic guide, which had been informed by previous focus group data and by ‘emergent concepts’ such as ‘fidelity’</w:t>
      </w:r>
      <w:r w:rsidR="005A24BD">
        <w:t xml:space="preserve"> </w:t>
      </w:r>
      <w:r>
        <w:fldChar w:fldCharType="begin"/>
      </w:r>
      <w:r w:rsidR="00B159B8">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B159B8">
        <w:rPr>
          <w:noProof/>
        </w:rPr>
        <w:t>(Ritchie et al., 2014</w:t>
      </w:r>
      <w:r w:rsidR="008B10A8">
        <w:rPr>
          <w:noProof/>
        </w:rPr>
        <w:t xml:space="preserve">; </w:t>
      </w:r>
      <w:r>
        <w:fldChar w:fldCharType="end"/>
      </w:r>
      <w:r w:rsidR="005A24BD">
        <w:t>p272</w:t>
      </w:r>
      <w:r>
        <w:t>). As such, they were grounded in the original data. This constructivist ‘Grounded Theory’ approach, as described by Charmaz (2009, 2014, 2015), allowed more abstract themes from an early stage to supp</w:t>
      </w:r>
      <w:r w:rsidR="005A24BD">
        <w:t>ort emergent theory (Appendix 13.36, 13</w:t>
      </w:r>
      <w:r>
        <w:t xml:space="preserve">.37). There was a divide in overarching themes based on preparedness for practice, the added value of simulation, then how to achieve quality and effective teaching using simulation to inform best practice guidelines in undergraduate medical education. </w:t>
      </w:r>
    </w:p>
    <w:p w14:paraId="0EA56286" w14:textId="77777777" w:rsidR="00137B0F" w:rsidRDefault="00137B0F" w:rsidP="00137B0F">
      <w:r>
        <w:lastRenderedPageBreak/>
        <w:t xml:space="preserve">To verify coding and themes, two research supervisors skilled in qualitative data analysis and methodology were able to crosscheck coding. They read through a selection of transcripts to check codes and themes derived by the researcher. They were in agreement that the process was transparent and themes and codes fitted with original data, and original data could be traced to the tables created to organise data. </w:t>
      </w:r>
    </w:p>
    <w:p w14:paraId="79C15783" w14:textId="729A236C" w:rsidR="00137B0F" w:rsidRDefault="00137B0F" w:rsidP="00137B0F">
      <w:r>
        <w:t xml:space="preserve">Once thematic categories had been devised they were compared back to original data to ensure each concept was represented within the framework. Cross-sectional methods were then employed to organise the data as described by Mason (2002) where the ‘overall common system of labels is applied across the whole dataset and can be used to search and retrieve similar data’ </w:t>
      </w:r>
      <w:r>
        <w:fldChar w:fldCharType="begin"/>
      </w:r>
      <w:r w:rsidR="00B159B8">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B159B8">
        <w:rPr>
          <w:noProof/>
        </w:rPr>
        <w:t>(Ritchie et al., 2014</w:t>
      </w:r>
      <w:r w:rsidR="008B10A8">
        <w:rPr>
          <w:noProof/>
        </w:rPr>
        <w:t xml:space="preserve">; </w:t>
      </w:r>
      <w:r>
        <w:fldChar w:fldCharType="end"/>
      </w:r>
      <w:r w:rsidR="005A24BD">
        <w:t>p273) (Appendices 13.35, 13.36, 13</w:t>
      </w:r>
      <w:r>
        <w:t xml:space="preserve">.37).  </w:t>
      </w:r>
    </w:p>
    <w:p w14:paraId="09473C92" w14:textId="5EC06FB3" w:rsidR="00137B0F" w:rsidRDefault="00137B0F" w:rsidP="00137B0F">
      <w:r>
        <w:t>Ritchie et al. (2014) refer to the process described by Saldana (2009),</w:t>
      </w:r>
      <w:r w:rsidR="001150AF">
        <w:t xml:space="preserve"> which was taught at the National Centre for Social Research</w:t>
      </w:r>
      <w:r>
        <w:t xml:space="preserve"> course attended by the researcher, and involved two cycles of ‘coding’. The first was ‘indexing and sorting’, and the second was ‘categorisation and classification’ </w:t>
      </w:r>
      <w:r>
        <w:fldChar w:fldCharType="begin"/>
      </w:r>
      <w:r w:rsidR="00B159B8">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B159B8">
        <w:rPr>
          <w:noProof/>
        </w:rPr>
        <w:t>(Ritchie et al., 2014</w:t>
      </w:r>
      <w:r w:rsidR="008B10A8">
        <w:rPr>
          <w:noProof/>
        </w:rPr>
        <w:t xml:space="preserve">; </w:t>
      </w:r>
      <w:r>
        <w:fldChar w:fldCharType="end"/>
      </w:r>
      <w:r w:rsidR="005A24BD">
        <w:t>p277</w:t>
      </w:r>
      <w:r>
        <w:t xml:space="preserve">). Internal consistency was maintained by having a single researcher producing the themes and categories to allow data to be sorted so that there were no concerns over inter-rater reliability, which would be an issue with more than one ‘coder’. When themes and categories were checked with research supervisors against original data, they felt they aligned and covered the topics exhaustively. </w:t>
      </w:r>
    </w:p>
    <w:p w14:paraId="0CEB69CF" w14:textId="032F9C37" w:rsidR="00137B0F" w:rsidRDefault="00137B0F" w:rsidP="00137B0F">
      <w:r>
        <w:lastRenderedPageBreak/>
        <w:t xml:space="preserve">Ritchie et al. (2014) describe that qualitative data analysis should: ‘remain grounded in the original data’ so that those themes that emerge can be constantly compared with previous data; should ‘allow systematic and comprehensive coverage of the data set’ so each piece is given the same time and attention; that the system ‘permits within and between case searches’ and allows exploration of relationships of themes within cases and between cases; and that it ‘affords transparency to others’ so can be replicated and understood by other researchers </w:t>
      </w:r>
      <w:r>
        <w:fldChar w:fldCharType="begin"/>
      </w:r>
      <w:r w:rsidR="00B159B8">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B159B8">
        <w:rPr>
          <w:noProof/>
        </w:rPr>
        <w:t>(Ritchie et al., 2014</w:t>
      </w:r>
      <w:r w:rsidR="008B10A8">
        <w:rPr>
          <w:noProof/>
        </w:rPr>
        <w:t xml:space="preserve">; </w:t>
      </w:r>
      <w:r>
        <w:fldChar w:fldCharType="end"/>
      </w:r>
      <w:r w:rsidR="005A24BD">
        <w:t>p280</w:t>
      </w:r>
      <w:r>
        <w:t xml:space="preserve">). </w:t>
      </w:r>
    </w:p>
    <w:p w14:paraId="3E46E997" w14:textId="566A6CB2" w:rsidR="00137B0F" w:rsidRDefault="00137B0F" w:rsidP="00137B0F">
      <w:r>
        <w:t xml:space="preserve">Ritchie et al. describe the formal analysis process moving from data management to the abstraction and interpretation phase, which was the process followed in this study. They report that this starts with ‘familiarisation’ of the researcher with the data, immersing oneself; followed by construction of a ‘framework’ of categories as described above (‘organising’ the data); then ‘indexing and sorting’; ‘reviewing the data’ and checking it aligns with initial framework; then ‘summarising the data’ so is manageable; ‘construction of categories’ (‘describing’ the data); ‘identification of patterns’ and relationships; then ‘accounting for’ patterns to explain phenomena </w:t>
      </w:r>
      <w:r>
        <w:fldChar w:fldCharType="begin"/>
      </w:r>
      <w:r w:rsidR="00B159B8">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B159B8">
        <w:rPr>
          <w:noProof/>
        </w:rPr>
        <w:t>(Ritchie et al., 2014</w:t>
      </w:r>
      <w:r>
        <w:fldChar w:fldCharType="end"/>
      </w:r>
      <w:r w:rsidR="005A24BD">
        <w:t xml:space="preserve">; </w:t>
      </w:r>
      <w:r>
        <w:t>p281).</w:t>
      </w:r>
    </w:p>
    <w:p w14:paraId="417C12F5" w14:textId="7CE1CBDC" w:rsidR="00137B0F" w:rsidRDefault="00137B0F" w:rsidP="00137B0F">
      <w:r>
        <w:t>Constant comparison was used as a method to check that emergent themes aligned with previous work. This can be seen demonstrated with notes made throughout transcripts as well as highlighted areas within texts with links to previous themes. Examples are placed within the appendices to assist transparency, replicability and supp</w:t>
      </w:r>
      <w:r w:rsidR="005A24BD">
        <w:t>ort the audit trail (Appendix 13</w:t>
      </w:r>
      <w:r>
        <w:t xml:space="preserve">.36). Placing all original data together in one computer aided software package (NVivo 10) and going back over each piece of individual data to check against the </w:t>
      </w:r>
      <w:r>
        <w:lastRenderedPageBreak/>
        <w:t xml:space="preserve">developed emergent themes was a way of confirming these. Tabulation of themes and supporting quotes from original data helped when conceptualising patterns and theories. It allowed for comparison with existing theory and emphasis on any new ideas, concepts and theory. </w:t>
      </w:r>
    </w:p>
    <w:p w14:paraId="4FF01752" w14:textId="77777777" w:rsidR="00137B0F" w:rsidRDefault="00137B0F" w:rsidP="00137B0F">
      <w:r>
        <w:t xml:space="preserve">Another method to improve quality was the use of member checking, conducted after each focus group. The main points were summarised back to candidates to check the researcher’s understanding and that interpretations of the findings were aligned with their views to ensure they were trustworthy and true to them. A similar methodology was employed with interview transcripts, which were emailed back to all interviewees to allow any comments and allow them to check that their views had been interpreted correctly and were represented appropriately. All participants were given a number and reassured that there would be nothing to identify them if quotes were used. Very minor changes were required following these processes. </w:t>
      </w:r>
    </w:p>
    <w:p w14:paraId="48BB8838" w14:textId="288E607F" w:rsidR="00137B0F" w:rsidRDefault="00137B0F" w:rsidP="00137B0F">
      <w:r>
        <w:t>In terms of data management, a framework matrix was created from the number of different cases, the them</w:t>
      </w:r>
      <w:r w:rsidR="005A24BD">
        <w:t>es and sub-themes (Appendices 13.35, 13.36, 13</w:t>
      </w:r>
      <w:r>
        <w:t xml:space="preserve">.37). When data from each case was explored, the relevant piece that linked with a particular theme was summarised to convey the main message into theme and </w:t>
      </w:r>
      <w:r w:rsidR="005A24BD">
        <w:t>subtheme categories (Appendix 13</w:t>
      </w:r>
      <w:r>
        <w:t>.36). It was a challenge to ensure that the raw message from the participant or g</w:t>
      </w:r>
      <w:r w:rsidR="004E495B">
        <w:t>roup was conveyed authentically, however using quotes, original language and</w:t>
      </w:r>
      <w:r>
        <w:t xml:space="preserve"> link</w:t>
      </w:r>
      <w:r w:rsidR="004E495B">
        <w:t xml:space="preserve">ing back to the text </w:t>
      </w:r>
      <w:r>
        <w:t xml:space="preserve">helped with this process. </w:t>
      </w:r>
    </w:p>
    <w:p w14:paraId="5D65A79B" w14:textId="402D3B17" w:rsidR="00137B0F" w:rsidRDefault="00137B0F" w:rsidP="00137B0F">
      <w:r>
        <w:lastRenderedPageBreak/>
        <w:t>When moving to the ‘abstraction and interpretation phase’, the researcher began to look more analytically at the concepts and emergent themes present in the data. Thick descriptions of what was interpreted at this point were key to the analysis process and trying to move towards an understanding. Categories were developed by exploring the differences within each theme heading, about what was being said, and explorat</w:t>
      </w:r>
      <w:r w:rsidR="005A24BD">
        <w:t>ion for reasons why (Appendix 13</w:t>
      </w:r>
      <w:r w:rsidR="004E495B">
        <w:t>.35)</w:t>
      </w:r>
      <w:r>
        <w:t xml:space="preserve">. Mapping linkage describes the process of uncovering which elements of the data are linked and relate to each other, which may allow more complex categories or constructs to be created. The explanation process aims to uncover why and how the relationships seen fit together </w:t>
      </w:r>
      <w:r>
        <w:fldChar w:fldCharType="begin"/>
      </w:r>
      <w:r w:rsidR="00B159B8">
        <w:instrText xml:space="preserve"> ADDIN EN.CITE &lt;EndNote&gt;&lt;Cite&gt;&lt;Author&gt;Ritchie&lt;/Author&gt;&lt;Year&gt;2014&lt;/Year&gt;&lt;IDText&gt;Qualitative Research Practice: A Guide for Social Science Students &amp;amp; Researchers&lt;/IDText&gt;&lt;DisplayText&gt;(Ritchie et al., 2014)&lt;/DisplayText&gt;&lt;record&gt;&lt;titles&gt;&lt;title&gt;Qualitative Research Practice: A Guide for Social Science Students &amp;amp; Researchers&lt;/title&gt;&lt;/titles&gt;&lt;contributors&gt;&lt;authors&gt;&lt;author&gt;Ritchie, Jane&lt;/author&gt;&lt;author&gt;Lewis, Jane&lt;/author&gt;&lt;author&gt;McNaughton Nicholls, Carol&lt;/author&gt;&lt;author&gt;Ormston, Rachel&lt;/author&gt;&lt;/authors&gt;&lt;/contributors&gt;&lt;edition&gt;2nd&lt;/edition&gt;&lt;added-date format="utc"&gt;1467102293&lt;/added-date&gt;&lt;pub-location&gt;Los Angeles, London, New Delhi, Singapore, Washington DC&lt;/pub-location&gt;&lt;ref-type name="Book"&gt;6&lt;/ref-type&gt;&lt;dates&gt;&lt;year&gt;2014&lt;/year&gt;&lt;/dates&gt;&lt;rec-number&gt;261&lt;/rec-number&gt;&lt;publisher&gt;Sage Publications&lt;/publisher&gt;&lt;last-updated-date format="utc"&gt;1467102538&lt;/last-updated-date&gt;&lt;/record&gt;&lt;/Cite&gt;&lt;/EndNote&gt;</w:instrText>
      </w:r>
      <w:r>
        <w:fldChar w:fldCharType="separate"/>
      </w:r>
      <w:r w:rsidR="00B159B8">
        <w:rPr>
          <w:noProof/>
        </w:rPr>
        <w:t>(Ritchie et al., 2014)</w:t>
      </w:r>
      <w:r>
        <w:fldChar w:fldCharType="end"/>
      </w:r>
      <w:r>
        <w:t xml:space="preserve">p285-86). </w:t>
      </w:r>
    </w:p>
    <w:p w14:paraId="3414A9C5" w14:textId="77777777" w:rsidR="005A24BD" w:rsidRDefault="005A24BD" w:rsidP="00137B0F"/>
    <w:p w14:paraId="17C1C7EE" w14:textId="77777777" w:rsidR="005A24BD" w:rsidRDefault="005A24BD" w:rsidP="00137B0F"/>
    <w:p w14:paraId="001FB561" w14:textId="77777777" w:rsidR="005A24BD" w:rsidRDefault="005A24BD" w:rsidP="00137B0F"/>
    <w:p w14:paraId="5B7DFB64" w14:textId="77777777" w:rsidR="005A24BD" w:rsidRDefault="005A24BD" w:rsidP="00137B0F"/>
    <w:p w14:paraId="0BD41209" w14:textId="77777777" w:rsidR="004E495B" w:rsidRDefault="004E495B" w:rsidP="00137B0F"/>
    <w:p w14:paraId="61C49AF1" w14:textId="77777777" w:rsidR="004E495B" w:rsidRDefault="004E495B" w:rsidP="00137B0F"/>
    <w:p w14:paraId="4E78E7D1" w14:textId="77777777" w:rsidR="004E495B" w:rsidRDefault="004E495B" w:rsidP="00137B0F"/>
    <w:p w14:paraId="0F6215B8" w14:textId="77777777" w:rsidR="004E495B" w:rsidRDefault="004E495B" w:rsidP="00137B0F"/>
    <w:p w14:paraId="0B220B2B" w14:textId="77777777" w:rsidR="005A24BD" w:rsidRDefault="005A24BD" w:rsidP="00137B0F"/>
    <w:p w14:paraId="1FDBC84B" w14:textId="77777777" w:rsidR="00137B0F" w:rsidRPr="002B3F2C" w:rsidRDefault="00137B0F" w:rsidP="00137B0F">
      <w:pPr>
        <w:jc w:val="center"/>
      </w:pPr>
      <w:r w:rsidRPr="00091C34">
        <w:rPr>
          <w:b/>
          <w:sz w:val="32"/>
          <w:szCs w:val="32"/>
        </w:rPr>
        <w:lastRenderedPageBreak/>
        <w:t>PART II: Findings</w:t>
      </w:r>
    </w:p>
    <w:p w14:paraId="4D9F96B3" w14:textId="77777777" w:rsidR="00137B0F" w:rsidRDefault="00137B0F" w:rsidP="00137B0F">
      <w:pPr>
        <w:pStyle w:val="Heading2"/>
      </w:pPr>
      <w:bookmarkStart w:id="323" w:name="_Toc343501181"/>
      <w:bookmarkStart w:id="324" w:name="_Toc348686382"/>
      <w:bookmarkStart w:id="325" w:name="_Toc419116182"/>
      <w:r>
        <w:t xml:space="preserve">Part II: Results: </w:t>
      </w:r>
      <w:r w:rsidRPr="001A6CB4">
        <w:t>Quantitative</w:t>
      </w:r>
      <w:bookmarkEnd w:id="323"/>
      <w:bookmarkEnd w:id="324"/>
      <w:bookmarkEnd w:id="325"/>
    </w:p>
    <w:p w14:paraId="7E65265E" w14:textId="77777777" w:rsidR="00137B0F" w:rsidRDefault="00137B0F" w:rsidP="00137B0F"/>
    <w:p w14:paraId="097DE015" w14:textId="77777777" w:rsidR="00137B0F" w:rsidRDefault="00137B0F" w:rsidP="00137B0F">
      <w:r>
        <w:t>Ninety-four 5</w:t>
      </w:r>
      <w:r w:rsidRPr="005D595B">
        <w:rPr>
          <w:vertAlign w:val="superscript"/>
        </w:rPr>
        <w:t>th</w:t>
      </w:r>
      <w:r>
        <w:t xml:space="preserve"> year medical students from two different UK university medical schools (University 1 n= 59, University 2 n= 35) underwent the same simulation intervention between January 2014 and June 2014 in education centres at two UK District General hospitals. </w:t>
      </w:r>
    </w:p>
    <w:p w14:paraId="3D0A49E4" w14:textId="77777777" w:rsidR="00137B0F" w:rsidRDefault="00137B0F" w:rsidP="00137B0F">
      <w:pPr>
        <w:pStyle w:val="Heading3"/>
      </w:pPr>
      <w:bookmarkStart w:id="326" w:name="_Toc343501182"/>
      <w:bookmarkStart w:id="327" w:name="_Toc348686383"/>
      <w:bookmarkStart w:id="328" w:name="_Toc419116183"/>
      <w:r>
        <w:t>Descriptive statistics</w:t>
      </w:r>
      <w:bookmarkEnd w:id="326"/>
      <w:bookmarkEnd w:id="327"/>
      <w:bookmarkEnd w:id="328"/>
    </w:p>
    <w:p w14:paraId="4EC17583" w14:textId="77777777" w:rsidR="00137B0F" w:rsidRDefault="00137B0F" w:rsidP="00137B0F">
      <w:pPr>
        <w:pStyle w:val="Heading4"/>
      </w:pPr>
      <w:r w:rsidRPr="005E7E2B">
        <w:t>Sex</w:t>
      </w:r>
    </w:p>
    <w:p w14:paraId="6EC5F994" w14:textId="77777777" w:rsidR="00137B0F" w:rsidRPr="00C872A6" w:rsidRDefault="00137B0F" w:rsidP="00137B0F"/>
    <w:p w14:paraId="3C049E8C" w14:textId="3E2BC376" w:rsidR="00137B0F" w:rsidRDefault="00137B0F" w:rsidP="007000F8">
      <w:pPr>
        <w:pStyle w:val="Caption"/>
      </w:pPr>
      <w:bookmarkStart w:id="329" w:name="_Toc365579483"/>
      <w:bookmarkStart w:id="330" w:name="_Toc419116501"/>
      <w:r>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1</w:t>
      </w:r>
      <w:r w:rsidR="007000F8">
        <w:fldChar w:fldCharType="end"/>
      </w:r>
      <w:r>
        <w:t xml:space="preserve"> Gender and confidence scores (n=94)</w:t>
      </w:r>
      <w:bookmarkEnd w:id="329"/>
      <w:bookmarkEnd w:id="330"/>
    </w:p>
    <w:tbl>
      <w:tblPr>
        <w:tblW w:w="82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3"/>
        <w:gridCol w:w="2044"/>
        <w:gridCol w:w="863"/>
        <w:gridCol w:w="1122"/>
        <w:gridCol w:w="1275"/>
        <w:gridCol w:w="993"/>
        <w:gridCol w:w="992"/>
      </w:tblGrid>
      <w:tr w:rsidR="00137B0F" w:rsidRPr="00B45B65" w14:paraId="6697320B" w14:textId="77777777" w:rsidTr="00977660">
        <w:trPr>
          <w:cantSplit/>
          <w:trHeight w:val="763"/>
        </w:trPr>
        <w:tc>
          <w:tcPr>
            <w:tcW w:w="8222" w:type="dxa"/>
            <w:gridSpan w:val="7"/>
            <w:tcBorders>
              <w:top w:val="nil"/>
              <w:left w:val="nil"/>
              <w:bottom w:val="nil"/>
              <w:right w:val="nil"/>
            </w:tcBorders>
            <w:shd w:val="clear" w:color="auto" w:fill="FFFFFF"/>
            <w:vAlign w:val="center"/>
          </w:tcPr>
          <w:p w14:paraId="18433D66" w14:textId="77777777" w:rsidR="00137B0F" w:rsidRPr="00B45B65" w:rsidRDefault="00137B0F" w:rsidP="00977660">
            <w:pPr>
              <w:widowControl w:val="0"/>
              <w:autoSpaceDE w:val="0"/>
              <w:autoSpaceDN w:val="0"/>
              <w:adjustRightInd w:val="0"/>
              <w:spacing w:line="320" w:lineRule="atLeast"/>
              <w:ind w:right="60"/>
              <w:rPr>
                <w:rFonts w:cs="Arial"/>
                <w:color w:val="000000"/>
              </w:rPr>
            </w:pPr>
          </w:p>
        </w:tc>
      </w:tr>
      <w:tr w:rsidR="00137B0F" w:rsidRPr="00B45B65" w14:paraId="6C2507B8" w14:textId="77777777" w:rsidTr="00977660">
        <w:trPr>
          <w:cantSplit/>
          <w:trHeight w:val="1085"/>
        </w:trPr>
        <w:tc>
          <w:tcPr>
            <w:tcW w:w="2977" w:type="dxa"/>
            <w:gridSpan w:val="2"/>
            <w:tcBorders>
              <w:top w:val="single" w:sz="16" w:space="0" w:color="000000"/>
              <w:left w:val="single" w:sz="16" w:space="0" w:color="000000"/>
              <w:bottom w:val="single" w:sz="16" w:space="0" w:color="000000"/>
              <w:right w:val="nil"/>
            </w:tcBorders>
            <w:shd w:val="clear" w:color="auto" w:fill="FFFFFF"/>
            <w:vAlign w:val="bottom"/>
          </w:tcPr>
          <w:p w14:paraId="5167AE7B" w14:textId="77777777" w:rsidR="00137B0F" w:rsidRPr="00B45B65" w:rsidRDefault="00137B0F" w:rsidP="00977660">
            <w:pPr>
              <w:widowControl w:val="0"/>
              <w:autoSpaceDE w:val="0"/>
              <w:autoSpaceDN w:val="0"/>
              <w:adjustRightInd w:val="0"/>
              <w:spacing w:line="320" w:lineRule="atLeast"/>
              <w:ind w:left="60" w:right="60"/>
              <w:rPr>
                <w:rFonts w:cs="Arial"/>
                <w:color w:val="000000"/>
              </w:rPr>
            </w:pPr>
          </w:p>
        </w:tc>
        <w:tc>
          <w:tcPr>
            <w:tcW w:w="863" w:type="dxa"/>
            <w:tcBorders>
              <w:top w:val="single" w:sz="16" w:space="0" w:color="000000"/>
              <w:left w:val="single" w:sz="16" w:space="0" w:color="000000"/>
              <w:bottom w:val="single" w:sz="16" w:space="0" w:color="000000"/>
            </w:tcBorders>
            <w:shd w:val="clear" w:color="auto" w:fill="FFFFFF"/>
            <w:vAlign w:val="bottom"/>
          </w:tcPr>
          <w:p w14:paraId="119D8066"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N</w:t>
            </w:r>
          </w:p>
        </w:tc>
        <w:tc>
          <w:tcPr>
            <w:tcW w:w="1122" w:type="dxa"/>
            <w:tcBorders>
              <w:top w:val="single" w:sz="16" w:space="0" w:color="000000"/>
              <w:bottom w:val="single" w:sz="16" w:space="0" w:color="000000"/>
            </w:tcBorders>
            <w:shd w:val="clear" w:color="auto" w:fill="FFFFFF"/>
            <w:vAlign w:val="bottom"/>
          </w:tcPr>
          <w:p w14:paraId="6253891E"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Minimum</w:t>
            </w:r>
          </w:p>
        </w:tc>
        <w:tc>
          <w:tcPr>
            <w:tcW w:w="1275" w:type="dxa"/>
            <w:tcBorders>
              <w:top w:val="single" w:sz="16" w:space="0" w:color="000000"/>
              <w:bottom w:val="single" w:sz="16" w:space="0" w:color="000000"/>
            </w:tcBorders>
            <w:shd w:val="clear" w:color="auto" w:fill="FFFFFF"/>
            <w:vAlign w:val="bottom"/>
          </w:tcPr>
          <w:p w14:paraId="39C0295A"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Maximum</w:t>
            </w:r>
          </w:p>
        </w:tc>
        <w:tc>
          <w:tcPr>
            <w:tcW w:w="993" w:type="dxa"/>
            <w:tcBorders>
              <w:top w:val="single" w:sz="16" w:space="0" w:color="000000"/>
              <w:bottom w:val="single" w:sz="16" w:space="0" w:color="000000"/>
            </w:tcBorders>
            <w:shd w:val="clear" w:color="auto" w:fill="FFFFFF"/>
            <w:vAlign w:val="bottom"/>
          </w:tcPr>
          <w:p w14:paraId="1BFF394A"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Mean</w:t>
            </w:r>
          </w:p>
        </w:tc>
        <w:tc>
          <w:tcPr>
            <w:tcW w:w="992" w:type="dxa"/>
            <w:tcBorders>
              <w:top w:val="single" w:sz="16" w:space="0" w:color="000000"/>
              <w:bottom w:val="single" w:sz="16" w:space="0" w:color="000000"/>
              <w:right w:val="single" w:sz="16" w:space="0" w:color="000000"/>
            </w:tcBorders>
            <w:shd w:val="clear" w:color="auto" w:fill="FFFFFF"/>
            <w:vAlign w:val="bottom"/>
          </w:tcPr>
          <w:p w14:paraId="29458C53"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Std. Deviation</w:t>
            </w:r>
          </w:p>
        </w:tc>
      </w:tr>
      <w:tr w:rsidR="00137B0F" w:rsidRPr="00B45B65" w14:paraId="54E0D218" w14:textId="77777777" w:rsidTr="00977660">
        <w:trPr>
          <w:cantSplit/>
          <w:trHeight w:val="1406"/>
        </w:trPr>
        <w:tc>
          <w:tcPr>
            <w:tcW w:w="933" w:type="dxa"/>
            <w:vMerge w:val="restart"/>
            <w:tcBorders>
              <w:top w:val="single" w:sz="16" w:space="0" w:color="000000"/>
              <w:left w:val="single" w:sz="16" w:space="0" w:color="000000"/>
              <w:right w:val="nil"/>
            </w:tcBorders>
            <w:shd w:val="clear" w:color="auto" w:fill="FFFFFF"/>
          </w:tcPr>
          <w:p w14:paraId="63A60731" w14:textId="77777777" w:rsidR="00137B0F" w:rsidRPr="00091C34" w:rsidRDefault="00137B0F" w:rsidP="00977660">
            <w:pPr>
              <w:widowControl w:val="0"/>
              <w:autoSpaceDE w:val="0"/>
              <w:autoSpaceDN w:val="0"/>
              <w:adjustRightInd w:val="0"/>
              <w:spacing w:line="240" w:lineRule="auto"/>
              <w:ind w:left="60" w:right="60"/>
              <w:rPr>
                <w:rFonts w:cs="Arial"/>
                <w:color w:val="000000"/>
                <w:sz w:val="20"/>
                <w:szCs w:val="20"/>
              </w:rPr>
            </w:pPr>
            <w:r w:rsidRPr="00091C34">
              <w:rPr>
                <w:rFonts w:cs="Arial"/>
                <w:color w:val="000000"/>
                <w:sz w:val="20"/>
                <w:szCs w:val="20"/>
              </w:rPr>
              <w:t>Male</w:t>
            </w:r>
          </w:p>
        </w:tc>
        <w:tc>
          <w:tcPr>
            <w:tcW w:w="2044" w:type="dxa"/>
            <w:tcBorders>
              <w:top w:val="single" w:sz="16" w:space="0" w:color="000000"/>
              <w:left w:val="nil"/>
              <w:bottom w:val="nil"/>
              <w:right w:val="single" w:sz="16" w:space="0" w:color="000000"/>
            </w:tcBorders>
            <w:shd w:val="clear" w:color="auto" w:fill="FFFFFF"/>
          </w:tcPr>
          <w:p w14:paraId="736ECB9F" w14:textId="77777777" w:rsidR="00137B0F" w:rsidRPr="00091C34" w:rsidRDefault="00137B0F" w:rsidP="00977660">
            <w:pPr>
              <w:widowControl w:val="0"/>
              <w:autoSpaceDE w:val="0"/>
              <w:autoSpaceDN w:val="0"/>
              <w:adjustRightInd w:val="0"/>
              <w:spacing w:line="240" w:lineRule="auto"/>
              <w:ind w:left="60" w:right="60"/>
              <w:rPr>
                <w:rFonts w:cs="Arial"/>
                <w:color w:val="000000"/>
                <w:sz w:val="20"/>
                <w:szCs w:val="20"/>
              </w:rPr>
            </w:pPr>
            <w:r w:rsidRPr="00091C34">
              <w:rPr>
                <w:rFonts w:cs="Arial"/>
                <w:color w:val="000000"/>
                <w:sz w:val="20"/>
                <w:szCs w:val="20"/>
              </w:rPr>
              <w:t>20 Overall confidence Pre-course</w:t>
            </w:r>
          </w:p>
        </w:tc>
        <w:tc>
          <w:tcPr>
            <w:tcW w:w="863" w:type="dxa"/>
            <w:tcBorders>
              <w:top w:val="single" w:sz="16" w:space="0" w:color="000000"/>
              <w:left w:val="single" w:sz="16" w:space="0" w:color="000000"/>
              <w:bottom w:val="nil"/>
            </w:tcBorders>
            <w:shd w:val="clear" w:color="auto" w:fill="FFFFFF"/>
            <w:vAlign w:val="center"/>
          </w:tcPr>
          <w:p w14:paraId="7C869762"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27</w:t>
            </w:r>
          </w:p>
        </w:tc>
        <w:tc>
          <w:tcPr>
            <w:tcW w:w="1122" w:type="dxa"/>
            <w:tcBorders>
              <w:top w:val="single" w:sz="16" w:space="0" w:color="000000"/>
              <w:bottom w:val="nil"/>
            </w:tcBorders>
            <w:shd w:val="clear" w:color="auto" w:fill="FFFFFF"/>
            <w:vAlign w:val="center"/>
          </w:tcPr>
          <w:p w14:paraId="526A77EC"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4</w:t>
            </w:r>
          </w:p>
        </w:tc>
        <w:tc>
          <w:tcPr>
            <w:tcW w:w="1275" w:type="dxa"/>
            <w:tcBorders>
              <w:top w:val="single" w:sz="16" w:space="0" w:color="000000"/>
              <w:bottom w:val="nil"/>
            </w:tcBorders>
            <w:shd w:val="clear" w:color="auto" w:fill="FFFFFF"/>
            <w:vAlign w:val="center"/>
          </w:tcPr>
          <w:p w14:paraId="5987732C"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8</w:t>
            </w:r>
          </w:p>
        </w:tc>
        <w:tc>
          <w:tcPr>
            <w:tcW w:w="993" w:type="dxa"/>
            <w:tcBorders>
              <w:top w:val="single" w:sz="16" w:space="0" w:color="000000"/>
              <w:bottom w:val="nil"/>
            </w:tcBorders>
            <w:shd w:val="clear" w:color="auto" w:fill="FFFFFF"/>
            <w:vAlign w:val="center"/>
          </w:tcPr>
          <w:p w14:paraId="3C5A420A"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5.96</w:t>
            </w:r>
          </w:p>
        </w:tc>
        <w:tc>
          <w:tcPr>
            <w:tcW w:w="992" w:type="dxa"/>
            <w:tcBorders>
              <w:top w:val="single" w:sz="16" w:space="0" w:color="000000"/>
              <w:bottom w:val="nil"/>
              <w:right w:val="single" w:sz="16" w:space="0" w:color="000000"/>
            </w:tcBorders>
            <w:shd w:val="clear" w:color="auto" w:fill="FFFFFF"/>
            <w:vAlign w:val="center"/>
          </w:tcPr>
          <w:p w14:paraId="6DA4586A"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1.192</w:t>
            </w:r>
          </w:p>
        </w:tc>
      </w:tr>
      <w:tr w:rsidR="00137B0F" w:rsidRPr="00B45B65" w14:paraId="2988A623" w14:textId="77777777" w:rsidTr="00977660">
        <w:trPr>
          <w:cantSplit/>
          <w:trHeight w:val="145"/>
        </w:trPr>
        <w:tc>
          <w:tcPr>
            <w:tcW w:w="933" w:type="dxa"/>
            <w:vMerge/>
            <w:tcBorders>
              <w:top w:val="single" w:sz="16" w:space="0" w:color="000000"/>
              <w:left w:val="single" w:sz="16" w:space="0" w:color="000000"/>
              <w:right w:val="nil"/>
            </w:tcBorders>
            <w:shd w:val="clear" w:color="auto" w:fill="FFFFFF"/>
          </w:tcPr>
          <w:p w14:paraId="4FE8B8A9" w14:textId="77777777" w:rsidR="00137B0F" w:rsidRPr="00091C34" w:rsidRDefault="00137B0F" w:rsidP="00977660">
            <w:pPr>
              <w:widowControl w:val="0"/>
              <w:autoSpaceDE w:val="0"/>
              <w:autoSpaceDN w:val="0"/>
              <w:adjustRightInd w:val="0"/>
              <w:spacing w:line="240" w:lineRule="auto"/>
              <w:rPr>
                <w:rFonts w:cs="Arial"/>
                <w:color w:val="000000"/>
                <w:sz w:val="20"/>
                <w:szCs w:val="20"/>
              </w:rPr>
            </w:pPr>
          </w:p>
        </w:tc>
        <w:tc>
          <w:tcPr>
            <w:tcW w:w="2044" w:type="dxa"/>
            <w:tcBorders>
              <w:top w:val="nil"/>
              <w:left w:val="nil"/>
              <w:right w:val="single" w:sz="16" w:space="0" w:color="000000"/>
            </w:tcBorders>
            <w:shd w:val="clear" w:color="auto" w:fill="FFFFFF"/>
          </w:tcPr>
          <w:p w14:paraId="2E011259" w14:textId="77777777" w:rsidR="00137B0F" w:rsidRPr="00091C34" w:rsidRDefault="00137B0F" w:rsidP="00977660">
            <w:pPr>
              <w:widowControl w:val="0"/>
              <w:autoSpaceDE w:val="0"/>
              <w:autoSpaceDN w:val="0"/>
              <w:adjustRightInd w:val="0"/>
              <w:spacing w:line="240" w:lineRule="auto"/>
              <w:ind w:left="60" w:right="60"/>
              <w:rPr>
                <w:rFonts w:cs="Arial"/>
                <w:color w:val="000000"/>
                <w:sz w:val="20"/>
                <w:szCs w:val="20"/>
              </w:rPr>
            </w:pPr>
            <w:r w:rsidRPr="00091C34">
              <w:rPr>
                <w:rFonts w:cs="Arial"/>
                <w:color w:val="000000"/>
                <w:sz w:val="20"/>
                <w:szCs w:val="20"/>
              </w:rPr>
              <w:t>Valid N (listwise)</w:t>
            </w:r>
          </w:p>
        </w:tc>
        <w:tc>
          <w:tcPr>
            <w:tcW w:w="863" w:type="dxa"/>
            <w:tcBorders>
              <w:top w:val="nil"/>
              <w:left w:val="single" w:sz="16" w:space="0" w:color="000000"/>
            </w:tcBorders>
            <w:shd w:val="clear" w:color="auto" w:fill="FFFFFF"/>
            <w:vAlign w:val="center"/>
          </w:tcPr>
          <w:p w14:paraId="7A29A9D5"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27</w:t>
            </w:r>
          </w:p>
        </w:tc>
        <w:tc>
          <w:tcPr>
            <w:tcW w:w="1122" w:type="dxa"/>
            <w:tcBorders>
              <w:top w:val="nil"/>
            </w:tcBorders>
            <w:shd w:val="clear" w:color="auto" w:fill="FFFFFF"/>
            <w:vAlign w:val="center"/>
          </w:tcPr>
          <w:p w14:paraId="2B6557D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1275" w:type="dxa"/>
            <w:tcBorders>
              <w:top w:val="nil"/>
            </w:tcBorders>
            <w:shd w:val="clear" w:color="auto" w:fill="FFFFFF"/>
            <w:vAlign w:val="center"/>
          </w:tcPr>
          <w:p w14:paraId="69E80941"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993" w:type="dxa"/>
            <w:tcBorders>
              <w:top w:val="nil"/>
            </w:tcBorders>
            <w:shd w:val="clear" w:color="auto" w:fill="FFFFFF"/>
            <w:vAlign w:val="center"/>
          </w:tcPr>
          <w:p w14:paraId="05B7F24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992" w:type="dxa"/>
            <w:tcBorders>
              <w:top w:val="nil"/>
              <w:right w:val="single" w:sz="16" w:space="0" w:color="000000"/>
            </w:tcBorders>
            <w:shd w:val="clear" w:color="auto" w:fill="FFFFFF"/>
            <w:vAlign w:val="center"/>
          </w:tcPr>
          <w:p w14:paraId="7CD59A2D"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r>
      <w:tr w:rsidR="00137B0F" w:rsidRPr="00B45B65" w14:paraId="0F873051" w14:textId="77777777" w:rsidTr="00977660">
        <w:trPr>
          <w:cantSplit/>
          <w:trHeight w:val="1406"/>
        </w:trPr>
        <w:tc>
          <w:tcPr>
            <w:tcW w:w="933" w:type="dxa"/>
            <w:vMerge w:val="restart"/>
            <w:tcBorders>
              <w:top w:val="nil"/>
              <w:left w:val="single" w:sz="16" w:space="0" w:color="000000"/>
              <w:bottom w:val="single" w:sz="16" w:space="0" w:color="000000"/>
              <w:right w:val="nil"/>
            </w:tcBorders>
            <w:shd w:val="clear" w:color="auto" w:fill="FFFFFF"/>
          </w:tcPr>
          <w:p w14:paraId="7A5A54DE" w14:textId="77777777" w:rsidR="00137B0F" w:rsidRPr="00091C34" w:rsidRDefault="00137B0F" w:rsidP="00977660">
            <w:pPr>
              <w:widowControl w:val="0"/>
              <w:autoSpaceDE w:val="0"/>
              <w:autoSpaceDN w:val="0"/>
              <w:adjustRightInd w:val="0"/>
              <w:spacing w:line="240" w:lineRule="auto"/>
              <w:ind w:left="60" w:right="60"/>
              <w:rPr>
                <w:rFonts w:cs="Arial"/>
                <w:color w:val="000000"/>
                <w:sz w:val="20"/>
                <w:szCs w:val="20"/>
              </w:rPr>
            </w:pPr>
            <w:r w:rsidRPr="00091C34">
              <w:rPr>
                <w:rFonts w:cs="Arial"/>
                <w:color w:val="000000"/>
                <w:sz w:val="20"/>
                <w:szCs w:val="20"/>
              </w:rPr>
              <w:t>Female</w:t>
            </w:r>
          </w:p>
        </w:tc>
        <w:tc>
          <w:tcPr>
            <w:tcW w:w="2044" w:type="dxa"/>
            <w:tcBorders>
              <w:top w:val="nil"/>
              <w:left w:val="nil"/>
              <w:bottom w:val="nil"/>
              <w:right w:val="single" w:sz="16" w:space="0" w:color="000000"/>
            </w:tcBorders>
            <w:shd w:val="clear" w:color="auto" w:fill="FFFFFF"/>
          </w:tcPr>
          <w:p w14:paraId="7676C5C7" w14:textId="77777777" w:rsidR="00137B0F" w:rsidRPr="00091C34" w:rsidRDefault="00137B0F" w:rsidP="00977660">
            <w:pPr>
              <w:widowControl w:val="0"/>
              <w:autoSpaceDE w:val="0"/>
              <w:autoSpaceDN w:val="0"/>
              <w:adjustRightInd w:val="0"/>
              <w:spacing w:line="240" w:lineRule="auto"/>
              <w:ind w:left="60" w:right="60"/>
              <w:rPr>
                <w:rFonts w:cs="Arial"/>
                <w:color w:val="000000"/>
                <w:sz w:val="20"/>
                <w:szCs w:val="20"/>
              </w:rPr>
            </w:pPr>
            <w:r w:rsidRPr="00091C34">
              <w:rPr>
                <w:rFonts w:cs="Arial"/>
                <w:color w:val="000000"/>
                <w:sz w:val="20"/>
                <w:szCs w:val="20"/>
              </w:rPr>
              <w:t>20 Overall confidence Pre-course</w:t>
            </w:r>
          </w:p>
        </w:tc>
        <w:tc>
          <w:tcPr>
            <w:tcW w:w="863" w:type="dxa"/>
            <w:tcBorders>
              <w:top w:val="nil"/>
              <w:left w:val="single" w:sz="16" w:space="0" w:color="000000"/>
              <w:bottom w:val="nil"/>
            </w:tcBorders>
            <w:shd w:val="clear" w:color="auto" w:fill="FFFFFF"/>
            <w:vAlign w:val="center"/>
          </w:tcPr>
          <w:p w14:paraId="458E4A52"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67</w:t>
            </w:r>
          </w:p>
        </w:tc>
        <w:tc>
          <w:tcPr>
            <w:tcW w:w="1122" w:type="dxa"/>
            <w:tcBorders>
              <w:top w:val="nil"/>
              <w:bottom w:val="nil"/>
            </w:tcBorders>
            <w:shd w:val="clear" w:color="auto" w:fill="FFFFFF"/>
            <w:vAlign w:val="center"/>
          </w:tcPr>
          <w:p w14:paraId="7EC5FC55"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3</w:t>
            </w:r>
          </w:p>
        </w:tc>
        <w:tc>
          <w:tcPr>
            <w:tcW w:w="1275" w:type="dxa"/>
            <w:tcBorders>
              <w:top w:val="nil"/>
              <w:bottom w:val="nil"/>
            </w:tcBorders>
            <w:shd w:val="clear" w:color="auto" w:fill="FFFFFF"/>
            <w:vAlign w:val="center"/>
          </w:tcPr>
          <w:p w14:paraId="0C6E5333"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8</w:t>
            </w:r>
          </w:p>
        </w:tc>
        <w:tc>
          <w:tcPr>
            <w:tcW w:w="993" w:type="dxa"/>
            <w:tcBorders>
              <w:top w:val="nil"/>
              <w:bottom w:val="nil"/>
            </w:tcBorders>
            <w:shd w:val="clear" w:color="auto" w:fill="FFFFFF"/>
            <w:vAlign w:val="center"/>
          </w:tcPr>
          <w:p w14:paraId="7F7A8AFD"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5.66</w:t>
            </w:r>
          </w:p>
        </w:tc>
        <w:tc>
          <w:tcPr>
            <w:tcW w:w="992" w:type="dxa"/>
            <w:tcBorders>
              <w:top w:val="nil"/>
              <w:bottom w:val="nil"/>
              <w:right w:val="single" w:sz="16" w:space="0" w:color="000000"/>
            </w:tcBorders>
            <w:shd w:val="clear" w:color="auto" w:fill="FFFFFF"/>
            <w:vAlign w:val="center"/>
          </w:tcPr>
          <w:p w14:paraId="1B330658"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1.188</w:t>
            </w:r>
          </w:p>
        </w:tc>
      </w:tr>
      <w:tr w:rsidR="00137B0F" w:rsidRPr="00B45B65" w14:paraId="3CD8C1D3" w14:textId="77777777" w:rsidTr="00977660">
        <w:trPr>
          <w:cantSplit/>
          <w:trHeight w:val="451"/>
        </w:trPr>
        <w:tc>
          <w:tcPr>
            <w:tcW w:w="933" w:type="dxa"/>
            <w:vMerge/>
            <w:tcBorders>
              <w:top w:val="nil"/>
              <w:left w:val="single" w:sz="16" w:space="0" w:color="000000"/>
              <w:bottom w:val="single" w:sz="16" w:space="0" w:color="000000"/>
              <w:right w:val="nil"/>
            </w:tcBorders>
            <w:shd w:val="clear" w:color="auto" w:fill="FFFFFF"/>
          </w:tcPr>
          <w:p w14:paraId="50555ECE" w14:textId="77777777" w:rsidR="00137B0F" w:rsidRPr="00091C34" w:rsidRDefault="00137B0F" w:rsidP="00977660">
            <w:pPr>
              <w:widowControl w:val="0"/>
              <w:autoSpaceDE w:val="0"/>
              <w:autoSpaceDN w:val="0"/>
              <w:adjustRightInd w:val="0"/>
              <w:spacing w:line="240" w:lineRule="auto"/>
              <w:rPr>
                <w:rFonts w:cs="Arial"/>
                <w:color w:val="000000"/>
                <w:sz w:val="20"/>
                <w:szCs w:val="20"/>
              </w:rPr>
            </w:pPr>
          </w:p>
        </w:tc>
        <w:tc>
          <w:tcPr>
            <w:tcW w:w="2044" w:type="dxa"/>
            <w:tcBorders>
              <w:top w:val="nil"/>
              <w:left w:val="nil"/>
              <w:bottom w:val="single" w:sz="16" w:space="0" w:color="000000"/>
              <w:right w:val="single" w:sz="16" w:space="0" w:color="000000"/>
            </w:tcBorders>
            <w:shd w:val="clear" w:color="auto" w:fill="FFFFFF"/>
          </w:tcPr>
          <w:p w14:paraId="7622D455" w14:textId="77777777" w:rsidR="00137B0F" w:rsidRPr="00091C34" w:rsidRDefault="00137B0F" w:rsidP="00977660">
            <w:pPr>
              <w:widowControl w:val="0"/>
              <w:autoSpaceDE w:val="0"/>
              <w:autoSpaceDN w:val="0"/>
              <w:adjustRightInd w:val="0"/>
              <w:spacing w:line="240" w:lineRule="auto"/>
              <w:ind w:left="60" w:right="60"/>
              <w:rPr>
                <w:rFonts w:cs="Arial"/>
                <w:color w:val="000000"/>
                <w:sz w:val="20"/>
                <w:szCs w:val="20"/>
              </w:rPr>
            </w:pPr>
            <w:r w:rsidRPr="00091C34">
              <w:rPr>
                <w:rFonts w:cs="Arial"/>
                <w:color w:val="000000"/>
                <w:sz w:val="20"/>
                <w:szCs w:val="20"/>
              </w:rPr>
              <w:t>Valid N (listwise)</w:t>
            </w:r>
          </w:p>
        </w:tc>
        <w:tc>
          <w:tcPr>
            <w:tcW w:w="863" w:type="dxa"/>
            <w:tcBorders>
              <w:top w:val="nil"/>
              <w:left w:val="single" w:sz="16" w:space="0" w:color="000000"/>
              <w:bottom w:val="single" w:sz="16" w:space="0" w:color="000000"/>
            </w:tcBorders>
            <w:shd w:val="clear" w:color="auto" w:fill="FFFFFF"/>
            <w:vAlign w:val="center"/>
          </w:tcPr>
          <w:p w14:paraId="3138B65E"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67</w:t>
            </w:r>
          </w:p>
        </w:tc>
        <w:tc>
          <w:tcPr>
            <w:tcW w:w="1122" w:type="dxa"/>
            <w:tcBorders>
              <w:top w:val="nil"/>
              <w:bottom w:val="single" w:sz="16" w:space="0" w:color="000000"/>
            </w:tcBorders>
            <w:shd w:val="clear" w:color="auto" w:fill="FFFFFF"/>
            <w:vAlign w:val="center"/>
          </w:tcPr>
          <w:p w14:paraId="67B906C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1275" w:type="dxa"/>
            <w:tcBorders>
              <w:top w:val="nil"/>
              <w:bottom w:val="single" w:sz="16" w:space="0" w:color="000000"/>
            </w:tcBorders>
            <w:shd w:val="clear" w:color="auto" w:fill="FFFFFF"/>
            <w:vAlign w:val="center"/>
          </w:tcPr>
          <w:p w14:paraId="404680FF"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993" w:type="dxa"/>
            <w:tcBorders>
              <w:top w:val="nil"/>
              <w:bottom w:val="single" w:sz="16" w:space="0" w:color="000000"/>
            </w:tcBorders>
            <w:shd w:val="clear" w:color="auto" w:fill="FFFFFF"/>
            <w:vAlign w:val="center"/>
          </w:tcPr>
          <w:p w14:paraId="6BCF9C0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992" w:type="dxa"/>
            <w:tcBorders>
              <w:top w:val="nil"/>
              <w:bottom w:val="single" w:sz="16" w:space="0" w:color="000000"/>
              <w:right w:val="single" w:sz="16" w:space="0" w:color="000000"/>
            </w:tcBorders>
            <w:shd w:val="clear" w:color="auto" w:fill="FFFFFF"/>
            <w:vAlign w:val="center"/>
          </w:tcPr>
          <w:p w14:paraId="16A1161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r>
    </w:tbl>
    <w:p w14:paraId="62909D35" w14:textId="77777777" w:rsidR="00137B0F" w:rsidRDefault="00137B0F" w:rsidP="00137B0F">
      <w:r>
        <w:lastRenderedPageBreak/>
        <w:t xml:space="preserve">Two-thirds of participants were female, representative of current intakes at UK medical schools (Table 7-1). Males had a slightly higher overall mean confidence score at 5.96 (SD 1.192) versus 5.66 (SD 1.188), however comparison may be unreliable with the difference in numbers of males and females. </w:t>
      </w:r>
    </w:p>
    <w:p w14:paraId="60EBE71F" w14:textId="531BC910" w:rsidR="00137B0F" w:rsidRDefault="00137B0F" w:rsidP="007000F8">
      <w:pPr>
        <w:pStyle w:val="Caption"/>
      </w:pPr>
      <w:bookmarkStart w:id="331" w:name="_Toc365579484"/>
      <w:bookmarkStart w:id="332" w:name="_Toc419116502"/>
      <w:r>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2</w:t>
      </w:r>
      <w:r w:rsidR="007000F8">
        <w:fldChar w:fldCharType="end"/>
      </w:r>
      <w:r>
        <w:t xml:space="preserve"> Formative assessment marks between gender (n=94)</w:t>
      </w:r>
      <w:bookmarkEnd w:id="331"/>
      <w:bookmarkEnd w:id="332"/>
    </w:p>
    <w:tbl>
      <w:tblPr>
        <w:tblW w:w="8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1703"/>
        <w:gridCol w:w="1360"/>
        <w:gridCol w:w="1161"/>
        <w:gridCol w:w="1226"/>
        <w:gridCol w:w="1098"/>
        <w:gridCol w:w="1120"/>
      </w:tblGrid>
      <w:tr w:rsidR="00137B0F" w:rsidRPr="00B45B65" w14:paraId="2A58DBF3" w14:textId="77777777" w:rsidTr="00977660">
        <w:trPr>
          <w:cantSplit/>
          <w:trHeight w:val="662"/>
        </w:trPr>
        <w:tc>
          <w:tcPr>
            <w:tcW w:w="8650" w:type="dxa"/>
            <w:gridSpan w:val="7"/>
            <w:tcBorders>
              <w:top w:val="nil"/>
              <w:left w:val="nil"/>
              <w:bottom w:val="nil"/>
              <w:right w:val="nil"/>
            </w:tcBorders>
            <w:shd w:val="clear" w:color="auto" w:fill="FFFFFF"/>
            <w:vAlign w:val="center"/>
          </w:tcPr>
          <w:p w14:paraId="550E8D8A" w14:textId="77777777" w:rsidR="00137B0F" w:rsidRPr="00B45B65" w:rsidRDefault="00137B0F" w:rsidP="00977660">
            <w:pPr>
              <w:widowControl w:val="0"/>
              <w:autoSpaceDE w:val="0"/>
              <w:autoSpaceDN w:val="0"/>
              <w:adjustRightInd w:val="0"/>
              <w:spacing w:line="320" w:lineRule="atLeast"/>
              <w:ind w:left="60" w:right="60"/>
              <w:jc w:val="center"/>
              <w:rPr>
                <w:rFonts w:cs="Arial"/>
                <w:color w:val="000000"/>
              </w:rPr>
            </w:pPr>
            <w:r w:rsidRPr="00B45B65">
              <w:rPr>
                <w:rFonts w:cs="Arial"/>
                <w:b/>
                <w:bCs/>
                <w:color w:val="000000"/>
              </w:rPr>
              <w:t>Descriptive Statistics</w:t>
            </w:r>
          </w:p>
        </w:tc>
      </w:tr>
      <w:tr w:rsidR="00137B0F" w:rsidRPr="00B45B65" w14:paraId="2250053A" w14:textId="77777777" w:rsidTr="00977660">
        <w:trPr>
          <w:cantSplit/>
          <w:trHeight w:val="941"/>
        </w:trPr>
        <w:tc>
          <w:tcPr>
            <w:tcW w:w="2685" w:type="dxa"/>
            <w:gridSpan w:val="2"/>
            <w:tcBorders>
              <w:top w:val="single" w:sz="16" w:space="0" w:color="000000"/>
              <w:left w:val="single" w:sz="16" w:space="0" w:color="000000"/>
              <w:bottom w:val="single" w:sz="16" w:space="0" w:color="000000"/>
              <w:right w:val="nil"/>
            </w:tcBorders>
            <w:shd w:val="clear" w:color="auto" w:fill="FFFFFF"/>
            <w:vAlign w:val="bottom"/>
          </w:tcPr>
          <w:p w14:paraId="2DFAB393" w14:textId="77777777" w:rsidR="00137B0F" w:rsidRPr="00091C34" w:rsidRDefault="00137B0F" w:rsidP="00977660">
            <w:pPr>
              <w:widowControl w:val="0"/>
              <w:autoSpaceDE w:val="0"/>
              <w:autoSpaceDN w:val="0"/>
              <w:adjustRightInd w:val="0"/>
              <w:spacing w:line="320" w:lineRule="atLeast"/>
              <w:ind w:left="60" w:right="60"/>
              <w:rPr>
                <w:rFonts w:cs="Arial"/>
                <w:color w:val="000000"/>
                <w:sz w:val="20"/>
                <w:szCs w:val="20"/>
              </w:rPr>
            </w:pPr>
            <w:r w:rsidRPr="00091C34">
              <w:rPr>
                <w:rFonts w:cs="Arial"/>
                <w:color w:val="000000"/>
                <w:sz w:val="20"/>
                <w:szCs w:val="20"/>
              </w:rPr>
              <w:t>Sex M = 0, F = 1</w:t>
            </w:r>
          </w:p>
        </w:tc>
        <w:tc>
          <w:tcPr>
            <w:tcW w:w="1360" w:type="dxa"/>
            <w:tcBorders>
              <w:top w:val="single" w:sz="16" w:space="0" w:color="000000"/>
              <w:left w:val="single" w:sz="16" w:space="0" w:color="000000"/>
              <w:bottom w:val="single" w:sz="16" w:space="0" w:color="000000"/>
            </w:tcBorders>
            <w:shd w:val="clear" w:color="auto" w:fill="FFFFFF"/>
            <w:vAlign w:val="bottom"/>
          </w:tcPr>
          <w:p w14:paraId="05C7CE05"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N</w:t>
            </w:r>
          </w:p>
        </w:tc>
        <w:tc>
          <w:tcPr>
            <w:tcW w:w="1161" w:type="dxa"/>
            <w:tcBorders>
              <w:top w:val="single" w:sz="16" w:space="0" w:color="000000"/>
              <w:bottom w:val="single" w:sz="16" w:space="0" w:color="000000"/>
            </w:tcBorders>
            <w:shd w:val="clear" w:color="auto" w:fill="FFFFFF"/>
            <w:vAlign w:val="bottom"/>
          </w:tcPr>
          <w:p w14:paraId="5D375175"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Minimum</w:t>
            </w:r>
          </w:p>
        </w:tc>
        <w:tc>
          <w:tcPr>
            <w:tcW w:w="1226" w:type="dxa"/>
            <w:tcBorders>
              <w:top w:val="single" w:sz="16" w:space="0" w:color="000000"/>
              <w:bottom w:val="single" w:sz="16" w:space="0" w:color="000000"/>
            </w:tcBorders>
            <w:shd w:val="clear" w:color="auto" w:fill="FFFFFF"/>
            <w:vAlign w:val="bottom"/>
          </w:tcPr>
          <w:p w14:paraId="2E3CE5D3"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Maximum</w:t>
            </w:r>
          </w:p>
        </w:tc>
        <w:tc>
          <w:tcPr>
            <w:tcW w:w="1098" w:type="dxa"/>
            <w:tcBorders>
              <w:top w:val="single" w:sz="16" w:space="0" w:color="000000"/>
              <w:bottom w:val="single" w:sz="16" w:space="0" w:color="000000"/>
            </w:tcBorders>
            <w:shd w:val="clear" w:color="auto" w:fill="FFFFFF"/>
            <w:vAlign w:val="bottom"/>
          </w:tcPr>
          <w:p w14:paraId="71498DD7"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Mean</w:t>
            </w:r>
          </w:p>
        </w:tc>
        <w:tc>
          <w:tcPr>
            <w:tcW w:w="1119" w:type="dxa"/>
            <w:tcBorders>
              <w:top w:val="single" w:sz="16" w:space="0" w:color="000000"/>
              <w:bottom w:val="single" w:sz="16" w:space="0" w:color="000000"/>
              <w:right w:val="single" w:sz="16" w:space="0" w:color="000000"/>
            </w:tcBorders>
            <w:shd w:val="clear" w:color="auto" w:fill="FFFFFF"/>
            <w:vAlign w:val="bottom"/>
          </w:tcPr>
          <w:p w14:paraId="2DD3682B"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Std. Deviation</w:t>
            </w:r>
          </w:p>
        </w:tc>
      </w:tr>
      <w:tr w:rsidR="00137B0F" w:rsidRPr="00B45B65" w14:paraId="544C46F4" w14:textId="77777777" w:rsidTr="00977660">
        <w:trPr>
          <w:cantSplit/>
          <w:trHeight w:val="1222"/>
        </w:trPr>
        <w:tc>
          <w:tcPr>
            <w:tcW w:w="982" w:type="dxa"/>
            <w:vMerge w:val="restart"/>
            <w:tcBorders>
              <w:top w:val="single" w:sz="16" w:space="0" w:color="000000"/>
              <w:left w:val="single" w:sz="16" w:space="0" w:color="000000"/>
              <w:right w:val="nil"/>
            </w:tcBorders>
            <w:shd w:val="clear" w:color="auto" w:fill="FFFFFF"/>
          </w:tcPr>
          <w:p w14:paraId="72E5401C" w14:textId="77777777" w:rsidR="00137B0F" w:rsidRPr="00091C34" w:rsidRDefault="00137B0F" w:rsidP="00977660">
            <w:pPr>
              <w:widowControl w:val="0"/>
              <w:autoSpaceDE w:val="0"/>
              <w:autoSpaceDN w:val="0"/>
              <w:adjustRightInd w:val="0"/>
              <w:spacing w:line="320" w:lineRule="atLeast"/>
              <w:ind w:left="60" w:right="60"/>
              <w:rPr>
                <w:rFonts w:cs="Arial"/>
                <w:color w:val="000000"/>
                <w:sz w:val="20"/>
                <w:szCs w:val="20"/>
              </w:rPr>
            </w:pPr>
            <w:r w:rsidRPr="00091C34">
              <w:rPr>
                <w:rFonts w:cs="Arial"/>
                <w:color w:val="000000"/>
                <w:sz w:val="20"/>
                <w:szCs w:val="20"/>
              </w:rPr>
              <w:t>Male</w:t>
            </w:r>
          </w:p>
        </w:tc>
        <w:tc>
          <w:tcPr>
            <w:tcW w:w="1701" w:type="dxa"/>
            <w:tcBorders>
              <w:top w:val="single" w:sz="16" w:space="0" w:color="000000"/>
              <w:left w:val="nil"/>
              <w:bottom w:val="nil"/>
              <w:right w:val="single" w:sz="16" w:space="0" w:color="000000"/>
            </w:tcBorders>
            <w:shd w:val="clear" w:color="auto" w:fill="FFFFFF"/>
          </w:tcPr>
          <w:p w14:paraId="5FD95B4B" w14:textId="77777777" w:rsidR="00137B0F" w:rsidRPr="00091C34" w:rsidRDefault="00137B0F" w:rsidP="00977660">
            <w:pPr>
              <w:widowControl w:val="0"/>
              <w:autoSpaceDE w:val="0"/>
              <w:autoSpaceDN w:val="0"/>
              <w:adjustRightInd w:val="0"/>
              <w:spacing w:line="320" w:lineRule="atLeast"/>
              <w:ind w:left="60" w:right="60"/>
              <w:rPr>
                <w:rFonts w:cs="Arial"/>
                <w:color w:val="000000"/>
                <w:sz w:val="20"/>
                <w:szCs w:val="20"/>
              </w:rPr>
            </w:pPr>
            <w:r w:rsidRPr="00091C34">
              <w:rPr>
                <w:rFonts w:cs="Arial"/>
                <w:color w:val="000000"/>
                <w:sz w:val="20"/>
                <w:szCs w:val="20"/>
              </w:rPr>
              <w:t>Formative assessment mark</w:t>
            </w:r>
          </w:p>
        </w:tc>
        <w:tc>
          <w:tcPr>
            <w:tcW w:w="1360" w:type="dxa"/>
            <w:tcBorders>
              <w:top w:val="single" w:sz="16" w:space="0" w:color="000000"/>
              <w:left w:val="single" w:sz="16" w:space="0" w:color="000000"/>
              <w:bottom w:val="nil"/>
            </w:tcBorders>
            <w:shd w:val="clear" w:color="auto" w:fill="FFFFFF"/>
            <w:vAlign w:val="center"/>
          </w:tcPr>
          <w:p w14:paraId="30904675"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27</w:t>
            </w:r>
          </w:p>
        </w:tc>
        <w:tc>
          <w:tcPr>
            <w:tcW w:w="1161" w:type="dxa"/>
            <w:tcBorders>
              <w:top w:val="single" w:sz="16" w:space="0" w:color="000000"/>
              <w:bottom w:val="nil"/>
            </w:tcBorders>
            <w:shd w:val="clear" w:color="auto" w:fill="FFFFFF"/>
            <w:vAlign w:val="center"/>
          </w:tcPr>
          <w:p w14:paraId="29EBB3CC"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84</w:t>
            </w:r>
          </w:p>
        </w:tc>
        <w:tc>
          <w:tcPr>
            <w:tcW w:w="1226" w:type="dxa"/>
            <w:tcBorders>
              <w:top w:val="single" w:sz="16" w:space="0" w:color="000000"/>
              <w:bottom w:val="nil"/>
            </w:tcBorders>
            <w:shd w:val="clear" w:color="auto" w:fill="FFFFFF"/>
            <w:vAlign w:val="center"/>
          </w:tcPr>
          <w:p w14:paraId="525D62EA"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145</w:t>
            </w:r>
          </w:p>
        </w:tc>
        <w:tc>
          <w:tcPr>
            <w:tcW w:w="1098" w:type="dxa"/>
            <w:tcBorders>
              <w:top w:val="single" w:sz="16" w:space="0" w:color="000000"/>
              <w:bottom w:val="nil"/>
            </w:tcBorders>
            <w:shd w:val="clear" w:color="auto" w:fill="FFFFFF"/>
            <w:vAlign w:val="center"/>
          </w:tcPr>
          <w:p w14:paraId="63A881A0"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113.56</w:t>
            </w:r>
          </w:p>
        </w:tc>
        <w:tc>
          <w:tcPr>
            <w:tcW w:w="1119" w:type="dxa"/>
            <w:tcBorders>
              <w:top w:val="single" w:sz="16" w:space="0" w:color="000000"/>
              <w:bottom w:val="nil"/>
              <w:right w:val="single" w:sz="16" w:space="0" w:color="000000"/>
            </w:tcBorders>
            <w:shd w:val="clear" w:color="auto" w:fill="FFFFFF"/>
            <w:vAlign w:val="center"/>
          </w:tcPr>
          <w:p w14:paraId="5281B010"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16.614</w:t>
            </w:r>
          </w:p>
        </w:tc>
      </w:tr>
      <w:tr w:rsidR="00137B0F" w:rsidRPr="00B45B65" w14:paraId="1D13CF94" w14:textId="77777777" w:rsidTr="00977660">
        <w:trPr>
          <w:cantSplit/>
          <w:trHeight w:val="125"/>
        </w:trPr>
        <w:tc>
          <w:tcPr>
            <w:tcW w:w="982" w:type="dxa"/>
            <w:vMerge/>
            <w:tcBorders>
              <w:top w:val="single" w:sz="16" w:space="0" w:color="000000"/>
              <w:left w:val="single" w:sz="16" w:space="0" w:color="000000"/>
              <w:right w:val="nil"/>
            </w:tcBorders>
            <w:shd w:val="clear" w:color="auto" w:fill="FFFFFF"/>
          </w:tcPr>
          <w:p w14:paraId="0D4AE31F" w14:textId="77777777" w:rsidR="00137B0F" w:rsidRPr="00091C34" w:rsidRDefault="00137B0F" w:rsidP="00977660">
            <w:pPr>
              <w:widowControl w:val="0"/>
              <w:autoSpaceDE w:val="0"/>
              <w:autoSpaceDN w:val="0"/>
              <w:adjustRightInd w:val="0"/>
              <w:rPr>
                <w:rFonts w:cs="Arial"/>
                <w:color w:val="000000"/>
                <w:sz w:val="20"/>
                <w:szCs w:val="20"/>
              </w:rPr>
            </w:pPr>
          </w:p>
        </w:tc>
        <w:tc>
          <w:tcPr>
            <w:tcW w:w="1701" w:type="dxa"/>
            <w:tcBorders>
              <w:top w:val="nil"/>
              <w:left w:val="nil"/>
              <w:right w:val="single" w:sz="16" w:space="0" w:color="000000"/>
            </w:tcBorders>
            <w:shd w:val="clear" w:color="auto" w:fill="FFFFFF"/>
          </w:tcPr>
          <w:p w14:paraId="0CF7E5FF" w14:textId="77777777" w:rsidR="00137B0F" w:rsidRPr="00091C34" w:rsidRDefault="00137B0F" w:rsidP="00977660">
            <w:pPr>
              <w:widowControl w:val="0"/>
              <w:autoSpaceDE w:val="0"/>
              <w:autoSpaceDN w:val="0"/>
              <w:adjustRightInd w:val="0"/>
              <w:spacing w:line="320" w:lineRule="atLeast"/>
              <w:ind w:left="60" w:right="60"/>
              <w:rPr>
                <w:rFonts w:cs="Arial"/>
                <w:color w:val="000000"/>
                <w:sz w:val="20"/>
                <w:szCs w:val="20"/>
              </w:rPr>
            </w:pPr>
            <w:r w:rsidRPr="00091C34">
              <w:rPr>
                <w:rFonts w:cs="Arial"/>
                <w:color w:val="000000"/>
                <w:sz w:val="20"/>
                <w:szCs w:val="20"/>
              </w:rPr>
              <w:t>Valid N (listwise)</w:t>
            </w:r>
          </w:p>
        </w:tc>
        <w:tc>
          <w:tcPr>
            <w:tcW w:w="1360" w:type="dxa"/>
            <w:tcBorders>
              <w:top w:val="nil"/>
              <w:left w:val="single" w:sz="16" w:space="0" w:color="000000"/>
            </w:tcBorders>
            <w:shd w:val="clear" w:color="auto" w:fill="FFFFFF"/>
            <w:vAlign w:val="center"/>
          </w:tcPr>
          <w:p w14:paraId="1D3F10ED"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27</w:t>
            </w:r>
          </w:p>
        </w:tc>
        <w:tc>
          <w:tcPr>
            <w:tcW w:w="1161" w:type="dxa"/>
            <w:tcBorders>
              <w:top w:val="nil"/>
            </w:tcBorders>
            <w:shd w:val="clear" w:color="auto" w:fill="FFFFFF"/>
            <w:vAlign w:val="center"/>
          </w:tcPr>
          <w:p w14:paraId="17790ACC" w14:textId="77777777" w:rsidR="00137B0F" w:rsidRPr="00091C34" w:rsidRDefault="00137B0F" w:rsidP="00977660">
            <w:pPr>
              <w:widowControl w:val="0"/>
              <w:autoSpaceDE w:val="0"/>
              <w:autoSpaceDN w:val="0"/>
              <w:adjustRightInd w:val="0"/>
              <w:jc w:val="center"/>
              <w:rPr>
                <w:rFonts w:ascii="Times New Roman" w:hAnsi="Times New Roman"/>
                <w:sz w:val="20"/>
                <w:szCs w:val="20"/>
              </w:rPr>
            </w:pPr>
          </w:p>
        </w:tc>
        <w:tc>
          <w:tcPr>
            <w:tcW w:w="1226" w:type="dxa"/>
            <w:tcBorders>
              <w:top w:val="nil"/>
            </w:tcBorders>
            <w:shd w:val="clear" w:color="auto" w:fill="FFFFFF"/>
            <w:vAlign w:val="center"/>
          </w:tcPr>
          <w:p w14:paraId="199FFE84" w14:textId="77777777" w:rsidR="00137B0F" w:rsidRPr="00091C34" w:rsidRDefault="00137B0F" w:rsidP="00977660">
            <w:pPr>
              <w:widowControl w:val="0"/>
              <w:autoSpaceDE w:val="0"/>
              <w:autoSpaceDN w:val="0"/>
              <w:adjustRightInd w:val="0"/>
              <w:jc w:val="center"/>
              <w:rPr>
                <w:rFonts w:ascii="Times New Roman" w:hAnsi="Times New Roman"/>
                <w:sz w:val="20"/>
                <w:szCs w:val="20"/>
              </w:rPr>
            </w:pPr>
          </w:p>
        </w:tc>
        <w:tc>
          <w:tcPr>
            <w:tcW w:w="1098" w:type="dxa"/>
            <w:tcBorders>
              <w:top w:val="nil"/>
            </w:tcBorders>
            <w:shd w:val="clear" w:color="auto" w:fill="FFFFFF"/>
            <w:vAlign w:val="center"/>
          </w:tcPr>
          <w:p w14:paraId="29F3CF98" w14:textId="77777777" w:rsidR="00137B0F" w:rsidRPr="00091C34" w:rsidRDefault="00137B0F" w:rsidP="00977660">
            <w:pPr>
              <w:widowControl w:val="0"/>
              <w:autoSpaceDE w:val="0"/>
              <w:autoSpaceDN w:val="0"/>
              <w:adjustRightInd w:val="0"/>
              <w:jc w:val="center"/>
              <w:rPr>
                <w:rFonts w:ascii="Times New Roman" w:hAnsi="Times New Roman"/>
                <w:sz w:val="20"/>
                <w:szCs w:val="20"/>
              </w:rPr>
            </w:pPr>
          </w:p>
        </w:tc>
        <w:tc>
          <w:tcPr>
            <w:tcW w:w="1119" w:type="dxa"/>
            <w:tcBorders>
              <w:top w:val="nil"/>
              <w:right w:val="single" w:sz="16" w:space="0" w:color="000000"/>
            </w:tcBorders>
            <w:shd w:val="clear" w:color="auto" w:fill="FFFFFF"/>
            <w:vAlign w:val="center"/>
          </w:tcPr>
          <w:p w14:paraId="096FB232" w14:textId="77777777" w:rsidR="00137B0F" w:rsidRPr="00091C34" w:rsidRDefault="00137B0F" w:rsidP="00977660">
            <w:pPr>
              <w:widowControl w:val="0"/>
              <w:autoSpaceDE w:val="0"/>
              <w:autoSpaceDN w:val="0"/>
              <w:adjustRightInd w:val="0"/>
              <w:jc w:val="center"/>
              <w:rPr>
                <w:rFonts w:ascii="Times New Roman" w:hAnsi="Times New Roman"/>
                <w:sz w:val="20"/>
                <w:szCs w:val="20"/>
              </w:rPr>
            </w:pPr>
          </w:p>
        </w:tc>
      </w:tr>
      <w:tr w:rsidR="00137B0F" w:rsidRPr="00B45B65" w14:paraId="5E71C11D" w14:textId="77777777" w:rsidTr="00977660">
        <w:trPr>
          <w:cantSplit/>
          <w:trHeight w:val="1222"/>
        </w:trPr>
        <w:tc>
          <w:tcPr>
            <w:tcW w:w="982" w:type="dxa"/>
            <w:vMerge w:val="restart"/>
            <w:tcBorders>
              <w:top w:val="nil"/>
              <w:left w:val="single" w:sz="16" w:space="0" w:color="000000"/>
              <w:bottom w:val="single" w:sz="16" w:space="0" w:color="000000"/>
              <w:right w:val="nil"/>
            </w:tcBorders>
            <w:shd w:val="clear" w:color="auto" w:fill="FFFFFF"/>
          </w:tcPr>
          <w:p w14:paraId="1C0F2913" w14:textId="77777777" w:rsidR="00137B0F" w:rsidRPr="00091C34" w:rsidRDefault="00137B0F" w:rsidP="00977660">
            <w:pPr>
              <w:widowControl w:val="0"/>
              <w:autoSpaceDE w:val="0"/>
              <w:autoSpaceDN w:val="0"/>
              <w:adjustRightInd w:val="0"/>
              <w:spacing w:line="320" w:lineRule="atLeast"/>
              <w:ind w:left="60" w:right="60"/>
              <w:rPr>
                <w:rFonts w:cs="Arial"/>
                <w:color w:val="000000"/>
                <w:sz w:val="20"/>
                <w:szCs w:val="20"/>
              </w:rPr>
            </w:pPr>
            <w:r w:rsidRPr="00091C34">
              <w:rPr>
                <w:rFonts w:cs="Arial"/>
                <w:color w:val="000000"/>
                <w:sz w:val="20"/>
                <w:szCs w:val="20"/>
              </w:rPr>
              <w:t>Female</w:t>
            </w:r>
          </w:p>
        </w:tc>
        <w:tc>
          <w:tcPr>
            <w:tcW w:w="1701" w:type="dxa"/>
            <w:tcBorders>
              <w:top w:val="nil"/>
              <w:left w:val="nil"/>
              <w:bottom w:val="nil"/>
              <w:right w:val="single" w:sz="16" w:space="0" w:color="000000"/>
            </w:tcBorders>
            <w:shd w:val="clear" w:color="auto" w:fill="FFFFFF"/>
          </w:tcPr>
          <w:p w14:paraId="0CA77C3F" w14:textId="77777777" w:rsidR="00137B0F" w:rsidRPr="00091C34" w:rsidRDefault="00137B0F" w:rsidP="00977660">
            <w:pPr>
              <w:widowControl w:val="0"/>
              <w:autoSpaceDE w:val="0"/>
              <w:autoSpaceDN w:val="0"/>
              <w:adjustRightInd w:val="0"/>
              <w:spacing w:line="320" w:lineRule="atLeast"/>
              <w:ind w:left="60" w:right="60"/>
              <w:rPr>
                <w:rFonts w:cs="Arial"/>
                <w:color w:val="000000"/>
                <w:sz w:val="20"/>
                <w:szCs w:val="20"/>
              </w:rPr>
            </w:pPr>
            <w:r w:rsidRPr="00091C34">
              <w:rPr>
                <w:rFonts w:cs="Arial"/>
                <w:color w:val="000000"/>
                <w:sz w:val="20"/>
                <w:szCs w:val="20"/>
              </w:rPr>
              <w:t>Formative assessment mark</w:t>
            </w:r>
          </w:p>
        </w:tc>
        <w:tc>
          <w:tcPr>
            <w:tcW w:w="1360" w:type="dxa"/>
            <w:tcBorders>
              <w:top w:val="nil"/>
              <w:left w:val="single" w:sz="16" w:space="0" w:color="000000"/>
              <w:bottom w:val="nil"/>
            </w:tcBorders>
            <w:shd w:val="clear" w:color="auto" w:fill="FFFFFF"/>
            <w:vAlign w:val="center"/>
          </w:tcPr>
          <w:p w14:paraId="10563529"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67</w:t>
            </w:r>
          </w:p>
        </w:tc>
        <w:tc>
          <w:tcPr>
            <w:tcW w:w="1161" w:type="dxa"/>
            <w:tcBorders>
              <w:top w:val="nil"/>
              <w:bottom w:val="nil"/>
            </w:tcBorders>
            <w:shd w:val="clear" w:color="auto" w:fill="FFFFFF"/>
            <w:vAlign w:val="center"/>
          </w:tcPr>
          <w:p w14:paraId="5642292E"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78</w:t>
            </w:r>
          </w:p>
        </w:tc>
        <w:tc>
          <w:tcPr>
            <w:tcW w:w="1226" w:type="dxa"/>
            <w:tcBorders>
              <w:top w:val="nil"/>
              <w:bottom w:val="nil"/>
            </w:tcBorders>
            <w:shd w:val="clear" w:color="auto" w:fill="FFFFFF"/>
            <w:vAlign w:val="center"/>
          </w:tcPr>
          <w:p w14:paraId="4332A7E5"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146</w:t>
            </w:r>
          </w:p>
        </w:tc>
        <w:tc>
          <w:tcPr>
            <w:tcW w:w="1098" w:type="dxa"/>
            <w:tcBorders>
              <w:top w:val="nil"/>
              <w:bottom w:val="nil"/>
            </w:tcBorders>
            <w:shd w:val="clear" w:color="auto" w:fill="FFFFFF"/>
            <w:vAlign w:val="center"/>
          </w:tcPr>
          <w:p w14:paraId="095FE266"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118.28</w:t>
            </w:r>
          </w:p>
        </w:tc>
        <w:tc>
          <w:tcPr>
            <w:tcW w:w="1119" w:type="dxa"/>
            <w:tcBorders>
              <w:top w:val="nil"/>
              <w:bottom w:val="nil"/>
              <w:right w:val="single" w:sz="16" w:space="0" w:color="000000"/>
            </w:tcBorders>
            <w:shd w:val="clear" w:color="auto" w:fill="FFFFFF"/>
            <w:vAlign w:val="center"/>
          </w:tcPr>
          <w:p w14:paraId="3E7D0D3D"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13.134</w:t>
            </w:r>
          </w:p>
        </w:tc>
      </w:tr>
      <w:tr w:rsidR="00137B0F" w:rsidRPr="00B45B65" w14:paraId="3DF40A22" w14:textId="77777777" w:rsidTr="00977660">
        <w:trPr>
          <w:cantSplit/>
          <w:trHeight w:val="125"/>
        </w:trPr>
        <w:tc>
          <w:tcPr>
            <w:tcW w:w="982" w:type="dxa"/>
            <w:vMerge/>
            <w:tcBorders>
              <w:top w:val="nil"/>
              <w:left w:val="single" w:sz="16" w:space="0" w:color="000000"/>
              <w:bottom w:val="single" w:sz="16" w:space="0" w:color="000000"/>
              <w:right w:val="nil"/>
            </w:tcBorders>
            <w:shd w:val="clear" w:color="auto" w:fill="FFFFFF"/>
          </w:tcPr>
          <w:p w14:paraId="4D0A5B36" w14:textId="77777777" w:rsidR="00137B0F" w:rsidRPr="00091C34" w:rsidRDefault="00137B0F" w:rsidP="00977660">
            <w:pPr>
              <w:widowControl w:val="0"/>
              <w:autoSpaceDE w:val="0"/>
              <w:autoSpaceDN w:val="0"/>
              <w:adjustRightInd w:val="0"/>
              <w:rPr>
                <w:rFonts w:cs="Arial"/>
                <w:color w:val="000000"/>
                <w:sz w:val="20"/>
                <w:szCs w:val="20"/>
              </w:rPr>
            </w:pPr>
          </w:p>
        </w:tc>
        <w:tc>
          <w:tcPr>
            <w:tcW w:w="1701" w:type="dxa"/>
            <w:tcBorders>
              <w:top w:val="nil"/>
              <w:left w:val="nil"/>
              <w:bottom w:val="single" w:sz="16" w:space="0" w:color="000000"/>
              <w:right w:val="single" w:sz="16" w:space="0" w:color="000000"/>
            </w:tcBorders>
            <w:shd w:val="clear" w:color="auto" w:fill="FFFFFF"/>
          </w:tcPr>
          <w:p w14:paraId="215A131E" w14:textId="77777777" w:rsidR="00137B0F" w:rsidRPr="00091C34" w:rsidRDefault="00137B0F" w:rsidP="00977660">
            <w:pPr>
              <w:widowControl w:val="0"/>
              <w:autoSpaceDE w:val="0"/>
              <w:autoSpaceDN w:val="0"/>
              <w:adjustRightInd w:val="0"/>
              <w:spacing w:line="320" w:lineRule="atLeast"/>
              <w:ind w:left="60" w:right="60"/>
              <w:rPr>
                <w:rFonts w:cs="Arial"/>
                <w:color w:val="000000"/>
                <w:sz w:val="20"/>
                <w:szCs w:val="20"/>
              </w:rPr>
            </w:pPr>
            <w:r w:rsidRPr="00091C34">
              <w:rPr>
                <w:rFonts w:cs="Arial"/>
                <w:color w:val="000000"/>
                <w:sz w:val="20"/>
                <w:szCs w:val="20"/>
              </w:rPr>
              <w:t>Valid N (listwise)</w:t>
            </w:r>
          </w:p>
        </w:tc>
        <w:tc>
          <w:tcPr>
            <w:tcW w:w="1360" w:type="dxa"/>
            <w:tcBorders>
              <w:top w:val="nil"/>
              <w:left w:val="single" w:sz="16" w:space="0" w:color="000000"/>
              <w:bottom w:val="single" w:sz="16" w:space="0" w:color="000000"/>
            </w:tcBorders>
            <w:shd w:val="clear" w:color="auto" w:fill="FFFFFF"/>
            <w:vAlign w:val="center"/>
          </w:tcPr>
          <w:p w14:paraId="179C19FA" w14:textId="77777777" w:rsidR="00137B0F" w:rsidRPr="00091C34"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091C34">
              <w:rPr>
                <w:rFonts w:cs="Arial"/>
                <w:color w:val="000000"/>
                <w:sz w:val="20"/>
                <w:szCs w:val="20"/>
              </w:rPr>
              <w:t>67</w:t>
            </w:r>
          </w:p>
        </w:tc>
        <w:tc>
          <w:tcPr>
            <w:tcW w:w="1161" w:type="dxa"/>
            <w:tcBorders>
              <w:top w:val="nil"/>
              <w:bottom w:val="single" w:sz="16" w:space="0" w:color="000000"/>
            </w:tcBorders>
            <w:shd w:val="clear" w:color="auto" w:fill="FFFFFF"/>
            <w:vAlign w:val="center"/>
          </w:tcPr>
          <w:p w14:paraId="5A9D4883" w14:textId="77777777" w:rsidR="00137B0F" w:rsidRPr="00091C34" w:rsidRDefault="00137B0F" w:rsidP="00977660">
            <w:pPr>
              <w:widowControl w:val="0"/>
              <w:autoSpaceDE w:val="0"/>
              <w:autoSpaceDN w:val="0"/>
              <w:adjustRightInd w:val="0"/>
              <w:jc w:val="center"/>
              <w:rPr>
                <w:rFonts w:ascii="Times New Roman" w:hAnsi="Times New Roman"/>
                <w:sz w:val="20"/>
                <w:szCs w:val="20"/>
              </w:rPr>
            </w:pPr>
          </w:p>
        </w:tc>
        <w:tc>
          <w:tcPr>
            <w:tcW w:w="1226" w:type="dxa"/>
            <w:tcBorders>
              <w:top w:val="nil"/>
              <w:bottom w:val="single" w:sz="16" w:space="0" w:color="000000"/>
            </w:tcBorders>
            <w:shd w:val="clear" w:color="auto" w:fill="FFFFFF"/>
            <w:vAlign w:val="center"/>
          </w:tcPr>
          <w:p w14:paraId="5EF3A85F" w14:textId="77777777" w:rsidR="00137B0F" w:rsidRPr="00091C34" w:rsidRDefault="00137B0F" w:rsidP="00977660">
            <w:pPr>
              <w:widowControl w:val="0"/>
              <w:autoSpaceDE w:val="0"/>
              <w:autoSpaceDN w:val="0"/>
              <w:adjustRightInd w:val="0"/>
              <w:jc w:val="center"/>
              <w:rPr>
                <w:rFonts w:ascii="Times New Roman" w:hAnsi="Times New Roman"/>
                <w:sz w:val="20"/>
                <w:szCs w:val="20"/>
              </w:rPr>
            </w:pPr>
          </w:p>
        </w:tc>
        <w:tc>
          <w:tcPr>
            <w:tcW w:w="1098" w:type="dxa"/>
            <w:tcBorders>
              <w:top w:val="nil"/>
              <w:bottom w:val="single" w:sz="16" w:space="0" w:color="000000"/>
            </w:tcBorders>
            <w:shd w:val="clear" w:color="auto" w:fill="FFFFFF"/>
            <w:vAlign w:val="center"/>
          </w:tcPr>
          <w:p w14:paraId="448F3C19" w14:textId="77777777" w:rsidR="00137B0F" w:rsidRPr="00091C34" w:rsidRDefault="00137B0F" w:rsidP="00977660">
            <w:pPr>
              <w:widowControl w:val="0"/>
              <w:autoSpaceDE w:val="0"/>
              <w:autoSpaceDN w:val="0"/>
              <w:adjustRightInd w:val="0"/>
              <w:jc w:val="center"/>
              <w:rPr>
                <w:rFonts w:ascii="Times New Roman" w:hAnsi="Times New Roman"/>
                <w:sz w:val="20"/>
                <w:szCs w:val="20"/>
              </w:rPr>
            </w:pPr>
          </w:p>
        </w:tc>
        <w:tc>
          <w:tcPr>
            <w:tcW w:w="1119" w:type="dxa"/>
            <w:tcBorders>
              <w:top w:val="nil"/>
              <w:bottom w:val="single" w:sz="16" w:space="0" w:color="000000"/>
              <w:right w:val="single" w:sz="16" w:space="0" w:color="000000"/>
            </w:tcBorders>
            <w:shd w:val="clear" w:color="auto" w:fill="FFFFFF"/>
            <w:vAlign w:val="center"/>
          </w:tcPr>
          <w:p w14:paraId="46016106" w14:textId="77777777" w:rsidR="00137B0F" w:rsidRPr="00091C34" w:rsidRDefault="00137B0F" w:rsidP="00977660">
            <w:pPr>
              <w:widowControl w:val="0"/>
              <w:autoSpaceDE w:val="0"/>
              <w:autoSpaceDN w:val="0"/>
              <w:adjustRightInd w:val="0"/>
              <w:jc w:val="center"/>
              <w:rPr>
                <w:rFonts w:ascii="Times New Roman" w:hAnsi="Times New Roman"/>
                <w:sz w:val="20"/>
                <w:szCs w:val="20"/>
              </w:rPr>
            </w:pPr>
          </w:p>
        </w:tc>
      </w:tr>
    </w:tbl>
    <w:p w14:paraId="563583DB" w14:textId="77777777" w:rsidR="00137B0F" w:rsidRDefault="00137B0F" w:rsidP="00137B0F"/>
    <w:p w14:paraId="5E1049AA" w14:textId="387D2AED" w:rsidR="00137B0F" w:rsidRDefault="00137B0F" w:rsidP="00137B0F">
      <w:r>
        <w:t>Females on average scored higher formative marks with a mean of 118.28 (SD 13.13), compared to the males mean score of 113.56 (SD 16.64) (Table 7-2) (</w:t>
      </w:r>
      <w:r w:rsidR="00F350A3">
        <w:t>13</w:t>
      </w:r>
      <w:r>
        <w:t>.24)</w:t>
      </w:r>
    </w:p>
    <w:p w14:paraId="31E6E82F" w14:textId="77777777" w:rsidR="00137B0F" w:rsidRPr="005E7E2B" w:rsidRDefault="00137B0F" w:rsidP="00137B0F">
      <w:pPr>
        <w:pStyle w:val="Heading4"/>
      </w:pPr>
      <w:r w:rsidRPr="005E7E2B">
        <w:lastRenderedPageBreak/>
        <w:t xml:space="preserve">Comparison between universities: </w:t>
      </w:r>
    </w:p>
    <w:p w14:paraId="02661C5C" w14:textId="77777777" w:rsidR="00137B0F" w:rsidRDefault="00137B0F" w:rsidP="00137B0F"/>
    <w:p w14:paraId="225A9B43" w14:textId="1FDAE2FE" w:rsidR="00137B0F" w:rsidRDefault="00137B0F" w:rsidP="007000F8">
      <w:pPr>
        <w:pStyle w:val="Caption"/>
      </w:pPr>
      <w:bookmarkStart w:id="333" w:name="_Toc365579485"/>
      <w:bookmarkStart w:id="334" w:name="_Toc419116503"/>
      <w:r>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3</w:t>
      </w:r>
      <w:r w:rsidR="007000F8">
        <w:fldChar w:fldCharType="end"/>
      </w:r>
      <w:r>
        <w:t xml:space="preserve"> Overall confidence scores between University 1 and 2 students.</w:t>
      </w:r>
      <w:bookmarkEnd w:id="333"/>
      <w:bookmarkEnd w:id="334"/>
    </w:p>
    <w:tbl>
      <w:tblPr>
        <w:tblW w:w="79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8"/>
        <w:gridCol w:w="1780"/>
        <w:gridCol w:w="993"/>
        <w:gridCol w:w="1051"/>
        <w:gridCol w:w="1112"/>
        <w:gridCol w:w="993"/>
        <w:gridCol w:w="986"/>
      </w:tblGrid>
      <w:tr w:rsidR="00137B0F" w:rsidRPr="00B45B65" w14:paraId="593FC65C" w14:textId="77777777" w:rsidTr="00977660">
        <w:trPr>
          <w:cantSplit/>
          <w:trHeight w:val="528"/>
        </w:trPr>
        <w:tc>
          <w:tcPr>
            <w:tcW w:w="7923" w:type="dxa"/>
            <w:gridSpan w:val="7"/>
            <w:tcBorders>
              <w:top w:val="nil"/>
              <w:left w:val="nil"/>
              <w:bottom w:val="nil"/>
              <w:right w:val="nil"/>
            </w:tcBorders>
            <w:shd w:val="clear" w:color="auto" w:fill="FFFFFF"/>
            <w:vAlign w:val="center"/>
          </w:tcPr>
          <w:p w14:paraId="090328C5" w14:textId="77777777" w:rsidR="00137B0F" w:rsidRPr="00B45B65" w:rsidRDefault="00137B0F" w:rsidP="00977660">
            <w:pPr>
              <w:widowControl w:val="0"/>
              <w:autoSpaceDE w:val="0"/>
              <w:autoSpaceDN w:val="0"/>
              <w:adjustRightInd w:val="0"/>
              <w:spacing w:line="320" w:lineRule="atLeast"/>
              <w:ind w:right="60"/>
              <w:rPr>
                <w:rFonts w:cs="Arial"/>
                <w:color w:val="000000"/>
              </w:rPr>
            </w:pPr>
          </w:p>
        </w:tc>
      </w:tr>
      <w:tr w:rsidR="00137B0F" w:rsidRPr="00B45B65" w14:paraId="4F2331A1" w14:textId="77777777" w:rsidTr="00977660">
        <w:trPr>
          <w:cantSplit/>
          <w:trHeight w:val="759"/>
        </w:trPr>
        <w:tc>
          <w:tcPr>
            <w:tcW w:w="2788" w:type="dxa"/>
            <w:gridSpan w:val="2"/>
            <w:tcBorders>
              <w:top w:val="single" w:sz="16" w:space="0" w:color="000000"/>
              <w:left w:val="single" w:sz="16" w:space="0" w:color="000000"/>
              <w:bottom w:val="single" w:sz="16" w:space="0" w:color="000000"/>
              <w:right w:val="nil"/>
            </w:tcBorders>
            <w:shd w:val="clear" w:color="auto" w:fill="FFFFFF"/>
            <w:vAlign w:val="bottom"/>
          </w:tcPr>
          <w:p w14:paraId="7EA9AB7B" w14:textId="77777777" w:rsidR="00137B0F" w:rsidRPr="00291A71"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291A71">
              <w:rPr>
                <w:rFonts w:cs="Arial"/>
                <w:color w:val="000000"/>
                <w:sz w:val="20"/>
                <w:szCs w:val="20"/>
              </w:rPr>
              <w:t>University attended</w:t>
            </w:r>
          </w:p>
        </w:tc>
        <w:tc>
          <w:tcPr>
            <w:tcW w:w="993" w:type="dxa"/>
            <w:tcBorders>
              <w:top w:val="single" w:sz="16" w:space="0" w:color="000000"/>
              <w:left w:val="single" w:sz="16" w:space="0" w:color="000000"/>
              <w:bottom w:val="single" w:sz="16" w:space="0" w:color="000000"/>
            </w:tcBorders>
            <w:shd w:val="clear" w:color="auto" w:fill="FFFFFF"/>
            <w:vAlign w:val="bottom"/>
          </w:tcPr>
          <w:p w14:paraId="4E249BBF" w14:textId="77777777" w:rsidR="00137B0F" w:rsidRPr="00291A71"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291A71">
              <w:rPr>
                <w:rFonts w:cs="Arial"/>
                <w:color w:val="000000"/>
                <w:sz w:val="20"/>
                <w:szCs w:val="20"/>
              </w:rPr>
              <w:t>N</w:t>
            </w:r>
          </w:p>
        </w:tc>
        <w:tc>
          <w:tcPr>
            <w:tcW w:w="1051" w:type="dxa"/>
            <w:tcBorders>
              <w:top w:val="single" w:sz="16" w:space="0" w:color="000000"/>
              <w:bottom w:val="single" w:sz="16" w:space="0" w:color="000000"/>
            </w:tcBorders>
            <w:shd w:val="clear" w:color="auto" w:fill="FFFFFF"/>
            <w:vAlign w:val="bottom"/>
          </w:tcPr>
          <w:p w14:paraId="6D77D735" w14:textId="77777777" w:rsidR="00137B0F" w:rsidRPr="00291A71"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291A71">
              <w:rPr>
                <w:rFonts w:cs="Arial"/>
                <w:color w:val="000000"/>
                <w:sz w:val="20"/>
                <w:szCs w:val="20"/>
              </w:rPr>
              <w:t>Minimum</w:t>
            </w:r>
          </w:p>
        </w:tc>
        <w:tc>
          <w:tcPr>
            <w:tcW w:w="1112" w:type="dxa"/>
            <w:tcBorders>
              <w:top w:val="single" w:sz="16" w:space="0" w:color="000000"/>
              <w:bottom w:val="single" w:sz="16" w:space="0" w:color="000000"/>
            </w:tcBorders>
            <w:shd w:val="clear" w:color="auto" w:fill="FFFFFF"/>
            <w:vAlign w:val="bottom"/>
          </w:tcPr>
          <w:p w14:paraId="298810E1" w14:textId="77777777" w:rsidR="00137B0F" w:rsidRPr="00291A71"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291A71">
              <w:rPr>
                <w:rFonts w:cs="Arial"/>
                <w:color w:val="000000"/>
                <w:sz w:val="20"/>
                <w:szCs w:val="20"/>
              </w:rPr>
              <w:t>Maximum</w:t>
            </w:r>
          </w:p>
        </w:tc>
        <w:tc>
          <w:tcPr>
            <w:tcW w:w="993" w:type="dxa"/>
            <w:tcBorders>
              <w:top w:val="single" w:sz="16" w:space="0" w:color="000000"/>
              <w:bottom w:val="single" w:sz="16" w:space="0" w:color="000000"/>
            </w:tcBorders>
            <w:shd w:val="clear" w:color="auto" w:fill="FFFFFF"/>
            <w:vAlign w:val="bottom"/>
          </w:tcPr>
          <w:p w14:paraId="63FC4EB2" w14:textId="77777777" w:rsidR="00137B0F" w:rsidRPr="00291A71"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291A71">
              <w:rPr>
                <w:rFonts w:cs="Arial"/>
                <w:color w:val="000000"/>
                <w:sz w:val="20"/>
                <w:szCs w:val="20"/>
              </w:rPr>
              <w:t>Mean</w:t>
            </w:r>
          </w:p>
        </w:tc>
        <w:tc>
          <w:tcPr>
            <w:tcW w:w="986" w:type="dxa"/>
            <w:tcBorders>
              <w:top w:val="single" w:sz="16" w:space="0" w:color="000000"/>
              <w:bottom w:val="single" w:sz="16" w:space="0" w:color="000000"/>
              <w:right w:val="single" w:sz="16" w:space="0" w:color="000000"/>
            </w:tcBorders>
            <w:shd w:val="clear" w:color="auto" w:fill="FFFFFF"/>
            <w:vAlign w:val="bottom"/>
          </w:tcPr>
          <w:p w14:paraId="6163DD07" w14:textId="77777777" w:rsidR="00137B0F" w:rsidRPr="00291A71" w:rsidRDefault="00137B0F" w:rsidP="00977660">
            <w:pPr>
              <w:widowControl w:val="0"/>
              <w:autoSpaceDE w:val="0"/>
              <w:autoSpaceDN w:val="0"/>
              <w:adjustRightInd w:val="0"/>
              <w:spacing w:line="320" w:lineRule="atLeast"/>
              <w:ind w:left="60" w:right="60"/>
              <w:jc w:val="center"/>
              <w:rPr>
                <w:rFonts w:cs="Arial"/>
                <w:color w:val="000000"/>
                <w:sz w:val="20"/>
                <w:szCs w:val="20"/>
              </w:rPr>
            </w:pPr>
            <w:r w:rsidRPr="00291A71">
              <w:rPr>
                <w:rFonts w:cs="Arial"/>
                <w:color w:val="000000"/>
                <w:sz w:val="20"/>
                <w:szCs w:val="20"/>
              </w:rPr>
              <w:t>Std. Deviation</w:t>
            </w:r>
          </w:p>
        </w:tc>
      </w:tr>
      <w:tr w:rsidR="00137B0F" w:rsidRPr="00B45B65" w14:paraId="151B2EFF" w14:textId="77777777" w:rsidTr="00977660">
        <w:trPr>
          <w:cantSplit/>
          <w:trHeight w:val="979"/>
        </w:trPr>
        <w:tc>
          <w:tcPr>
            <w:tcW w:w="1008" w:type="dxa"/>
            <w:vMerge w:val="restart"/>
            <w:tcBorders>
              <w:top w:val="single" w:sz="16" w:space="0" w:color="000000"/>
              <w:left w:val="single" w:sz="16" w:space="0" w:color="000000"/>
              <w:right w:val="nil"/>
            </w:tcBorders>
            <w:shd w:val="clear" w:color="auto" w:fill="FFFFFF"/>
          </w:tcPr>
          <w:p w14:paraId="1433D066" w14:textId="77777777" w:rsidR="00137B0F" w:rsidRPr="00291A71" w:rsidRDefault="00137B0F" w:rsidP="00977660">
            <w:pPr>
              <w:widowControl w:val="0"/>
              <w:autoSpaceDE w:val="0"/>
              <w:autoSpaceDN w:val="0"/>
              <w:adjustRightInd w:val="0"/>
              <w:spacing w:line="240" w:lineRule="auto"/>
              <w:ind w:left="60" w:right="60"/>
              <w:rPr>
                <w:rFonts w:cs="Arial"/>
                <w:color w:val="000000"/>
                <w:sz w:val="20"/>
                <w:szCs w:val="20"/>
              </w:rPr>
            </w:pPr>
            <w:r w:rsidRPr="00291A71">
              <w:rPr>
                <w:rFonts w:cs="Arial"/>
                <w:color w:val="000000"/>
                <w:sz w:val="20"/>
                <w:szCs w:val="20"/>
              </w:rPr>
              <w:t>2</w:t>
            </w:r>
          </w:p>
        </w:tc>
        <w:tc>
          <w:tcPr>
            <w:tcW w:w="1779" w:type="dxa"/>
            <w:tcBorders>
              <w:top w:val="single" w:sz="16" w:space="0" w:color="000000"/>
              <w:left w:val="nil"/>
              <w:bottom w:val="nil"/>
              <w:right w:val="single" w:sz="16" w:space="0" w:color="000000"/>
            </w:tcBorders>
            <w:shd w:val="clear" w:color="auto" w:fill="FFFFFF"/>
          </w:tcPr>
          <w:p w14:paraId="22CE838B" w14:textId="77777777" w:rsidR="00137B0F" w:rsidRPr="00291A71" w:rsidRDefault="00137B0F" w:rsidP="00977660">
            <w:pPr>
              <w:widowControl w:val="0"/>
              <w:autoSpaceDE w:val="0"/>
              <w:autoSpaceDN w:val="0"/>
              <w:adjustRightInd w:val="0"/>
              <w:spacing w:line="240" w:lineRule="auto"/>
              <w:ind w:left="60" w:right="60"/>
              <w:rPr>
                <w:rFonts w:cs="Arial"/>
                <w:color w:val="000000"/>
                <w:sz w:val="20"/>
                <w:szCs w:val="20"/>
              </w:rPr>
            </w:pPr>
            <w:r w:rsidRPr="00291A71">
              <w:rPr>
                <w:rFonts w:cs="Arial"/>
                <w:color w:val="000000"/>
                <w:sz w:val="20"/>
                <w:szCs w:val="20"/>
              </w:rPr>
              <w:t>20 Overall confidence Pre-course</w:t>
            </w:r>
          </w:p>
        </w:tc>
        <w:tc>
          <w:tcPr>
            <w:tcW w:w="993" w:type="dxa"/>
            <w:tcBorders>
              <w:top w:val="single" w:sz="16" w:space="0" w:color="000000"/>
              <w:left w:val="single" w:sz="16" w:space="0" w:color="000000"/>
              <w:bottom w:val="nil"/>
            </w:tcBorders>
            <w:shd w:val="clear" w:color="auto" w:fill="FFFFFF"/>
            <w:vAlign w:val="center"/>
          </w:tcPr>
          <w:p w14:paraId="67991E98"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35</w:t>
            </w:r>
          </w:p>
        </w:tc>
        <w:tc>
          <w:tcPr>
            <w:tcW w:w="1051" w:type="dxa"/>
            <w:tcBorders>
              <w:top w:val="single" w:sz="16" w:space="0" w:color="000000"/>
              <w:bottom w:val="nil"/>
            </w:tcBorders>
            <w:shd w:val="clear" w:color="auto" w:fill="FFFFFF"/>
            <w:vAlign w:val="center"/>
          </w:tcPr>
          <w:p w14:paraId="7837A8C6"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3</w:t>
            </w:r>
          </w:p>
        </w:tc>
        <w:tc>
          <w:tcPr>
            <w:tcW w:w="1112" w:type="dxa"/>
            <w:tcBorders>
              <w:top w:val="single" w:sz="16" w:space="0" w:color="000000"/>
              <w:bottom w:val="nil"/>
            </w:tcBorders>
            <w:shd w:val="clear" w:color="auto" w:fill="FFFFFF"/>
            <w:vAlign w:val="center"/>
          </w:tcPr>
          <w:p w14:paraId="0A52A1EE"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6</w:t>
            </w:r>
          </w:p>
        </w:tc>
        <w:tc>
          <w:tcPr>
            <w:tcW w:w="993" w:type="dxa"/>
            <w:tcBorders>
              <w:top w:val="single" w:sz="16" w:space="0" w:color="000000"/>
              <w:bottom w:val="nil"/>
            </w:tcBorders>
            <w:shd w:val="clear" w:color="auto" w:fill="FFFFFF"/>
            <w:vAlign w:val="center"/>
          </w:tcPr>
          <w:p w14:paraId="1F1ACD74"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4.80</w:t>
            </w:r>
          </w:p>
        </w:tc>
        <w:tc>
          <w:tcPr>
            <w:tcW w:w="986" w:type="dxa"/>
            <w:tcBorders>
              <w:top w:val="single" w:sz="16" w:space="0" w:color="000000"/>
              <w:bottom w:val="nil"/>
              <w:right w:val="single" w:sz="16" w:space="0" w:color="000000"/>
            </w:tcBorders>
            <w:shd w:val="clear" w:color="auto" w:fill="FFFFFF"/>
            <w:vAlign w:val="center"/>
          </w:tcPr>
          <w:p w14:paraId="62489223"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.933</w:t>
            </w:r>
          </w:p>
        </w:tc>
      </w:tr>
      <w:tr w:rsidR="00137B0F" w:rsidRPr="00B45B65" w14:paraId="141A791A" w14:textId="77777777" w:rsidTr="00977660">
        <w:trPr>
          <w:cantSplit/>
          <w:trHeight w:val="99"/>
        </w:trPr>
        <w:tc>
          <w:tcPr>
            <w:tcW w:w="1008" w:type="dxa"/>
            <w:vMerge/>
            <w:tcBorders>
              <w:top w:val="single" w:sz="16" w:space="0" w:color="000000"/>
              <w:left w:val="single" w:sz="16" w:space="0" w:color="000000"/>
              <w:right w:val="nil"/>
            </w:tcBorders>
            <w:shd w:val="clear" w:color="auto" w:fill="FFFFFF"/>
          </w:tcPr>
          <w:p w14:paraId="4EE69DCA" w14:textId="77777777" w:rsidR="00137B0F" w:rsidRPr="00091C34" w:rsidRDefault="00137B0F" w:rsidP="00977660">
            <w:pPr>
              <w:widowControl w:val="0"/>
              <w:autoSpaceDE w:val="0"/>
              <w:autoSpaceDN w:val="0"/>
              <w:adjustRightInd w:val="0"/>
              <w:spacing w:line="240" w:lineRule="auto"/>
              <w:rPr>
                <w:rFonts w:cs="Arial"/>
                <w:color w:val="000000"/>
                <w:sz w:val="20"/>
                <w:szCs w:val="20"/>
              </w:rPr>
            </w:pPr>
          </w:p>
        </w:tc>
        <w:tc>
          <w:tcPr>
            <w:tcW w:w="1779" w:type="dxa"/>
            <w:tcBorders>
              <w:top w:val="nil"/>
              <w:left w:val="nil"/>
              <w:right w:val="single" w:sz="16" w:space="0" w:color="000000"/>
            </w:tcBorders>
            <w:shd w:val="clear" w:color="auto" w:fill="FFFFFF"/>
          </w:tcPr>
          <w:p w14:paraId="00402E38" w14:textId="77777777" w:rsidR="00137B0F" w:rsidRPr="00091C34" w:rsidRDefault="00137B0F" w:rsidP="00977660">
            <w:pPr>
              <w:widowControl w:val="0"/>
              <w:autoSpaceDE w:val="0"/>
              <w:autoSpaceDN w:val="0"/>
              <w:adjustRightInd w:val="0"/>
              <w:spacing w:line="240" w:lineRule="auto"/>
              <w:ind w:left="60" w:right="60"/>
              <w:rPr>
                <w:rFonts w:cs="Arial"/>
                <w:color w:val="000000"/>
                <w:sz w:val="20"/>
                <w:szCs w:val="20"/>
              </w:rPr>
            </w:pPr>
            <w:r w:rsidRPr="00091C34">
              <w:rPr>
                <w:rFonts w:cs="Arial"/>
                <w:color w:val="000000"/>
                <w:sz w:val="20"/>
                <w:szCs w:val="20"/>
              </w:rPr>
              <w:t>Valid N (listwise)</w:t>
            </w:r>
          </w:p>
        </w:tc>
        <w:tc>
          <w:tcPr>
            <w:tcW w:w="993" w:type="dxa"/>
            <w:tcBorders>
              <w:top w:val="nil"/>
              <w:left w:val="single" w:sz="16" w:space="0" w:color="000000"/>
            </w:tcBorders>
            <w:shd w:val="clear" w:color="auto" w:fill="FFFFFF"/>
            <w:vAlign w:val="center"/>
          </w:tcPr>
          <w:p w14:paraId="3939DA09"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35</w:t>
            </w:r>
          </w:p>
        </w:tc>
        <w:tc>
          <w:tcPr>
            <w:tcW w:w="1051" w:type="dxa"/>
            <w:tcBorders>
              <w:top w:val="nil"/>
            </w:tcBorders>
            <w:shd w:val="clear" w:color="auto" w:fill="FFFFFF"/>
            <w:vAlign w:val="center"/>
          </w:tcPr>
          <w:p w14:paraId="7B6E4DE1"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1112" w:type="dxa"/>
            <w:tcBorders>
              <w:top w:val="nil"/>
            </w:tcBorders>
            <w:shd w:val="clear" w:color="auto" w:fill="FFFFFF"/>
            <w:vAlign w:val="center"/>
          </w:tcPr>
          <w:p w14:paraId="51AEAB52"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993" w:type="dxa"/>
            <w:tcBorders>
              <w:top w:val="nil"/>
            </w:tcBorders>
            <w:shd w:val="clear" w:color="auto" w:fill="FFFFFF"/>
            <w:vAlign w:val="center"/>
          </w:tcPr>
          <w:p w14:paraId="34EF48E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986" w:type="dxa"/>
            <w:tcBorders>
              <w:top w:val="nil"/>
              <w:right w:val="single" w:sz="16" w:space="0" w:color="000000"/>
            </w:tcBorders>
            <w:shd w:val="clear" w:color="auto" w:fill="FFFFFF"/>
            <w:vAlign w:val="center"/>
          </w:tcPr>
          <w:p w14:paraId="5ACD614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r>
      <w:tr w:rsidR="00137B0F" w:rsidRPr="00B45B65" w14:paraId="35C1F697" w14:textId="77777777" w:rsidTr="00977660">
        <w:trPr>
          <w:cantSplit/>
          <w:trHeight w:val="979"/>
        </w:trPr>
        <w:tc>
          <w:tcPr>
            <w:tcW w:w="1008" w:type="dxa"/>
            <w:vMerge w:val="restart"/>
            <w:tcBorders>
              <w:top w:val="nil"/>
              <w:left w:val="single" w:sz="16" w:space="0" w:color="000000"/>
              <w:bottom w:val="single" w:sz="16" w:space="0" w:color="000000"/>
              <w:right w:val="nil"/>
            </w:tcBorders>
            <w:shd w:val="clear" w:color="auto" w:fill="FFFFFF"/>
          </w:tcPr>
          <w:p w14:paraId="56A4A1C7" w14:textId="77777777" w:rsidR="00137B0F" w:rsidRPr="00291A71" w:rsidRDefault="00137B0F" w:rsidP="00977660">
            <w:pPr>
              <w:widowControl w:val="0"/>
              <w:autoSpaceDE w:val="0"/>
              <w:autoSpaceDN w:val="0"/>
              <w:adjustRightInd w:val="0"/>
              <w:spacing w:line="240" w:lineRule="auto"/>
              <w:ind w:left="60" w:right="60"/>
              <w:rPr>
                <w:rFonts w:cs="Arial"/>
                <w:color w:val="000000"/>
                <w:sz w:val="20"/>
                <w:szCs w:val="20"/>
              </w:rPr>
            </w:pPr>
            <w:r w:rsidRPr="00291A71">
              <w:rPr>
                <w:rFonts w:cs="Arial"/>
                <w:color w:val="000000"/>
                <w:sz w:val="20"/>
                <w:szCs w:val="20"/>
              </w:rPr>
              <w:t>1</w:t>
            </w:r>
          </w:p>
        </w:tc>
        <w:tc>
          <w:tcPr>
            <w:tcW w:w="1779" w:type="dxa"/>
            <w:tcBorders>
              <w:top w:val="nil"/>
              <w:left w:val="nil"/>
              <w:bottom w:val="nil"/>
              <w:right w:val="single" w:sz="16" w:space="0" w:color="000000"/>
            </w:tcBorders>
            <w:shd w:val="clear" w:color="auto" w:fill="FFFFFF"/>
          </w:tcPr>
          <w:p w14:paraId="04DF2624" w14:textId="77777777" w:rsidR="00137B0F" w:rsidRPr="00291A71" w:rsidRDefault="00137B0F" w:rsidP="00977660">
            <w:pPr>
              <w:widowControl w:val="0"/>
              <w:autoSpaceDE w:val="0"/>
              <w:autoSpaceDN w:val="0"/>
              <w:adjustRightInd w:val="0"/>
              <w:spacing w:line="240" w:lineRule="auto"/>
              <w:ind w:left="60" w:right="60"/>
              <w:rPr>
                <w:rFonts w:cs="Arial"/>
                <w:color w:val="000000"/>
                <w:sz w:val="20"/>
                <w:szCs w:val="20"/>
              </w:rPr>
            </w:pPr>
            <w:r w:rsidRPr="00291A71">
              <w:rPr>
                <w:rFonts w:cs="Arial"/>
                <w:color w:val="000000"/>
                <w:sz w:val="20"/>
                <w:szCs w:val="20"/>
              </w:rPr>
              <w:t>20 Overall confidence Pre-course</w:t>
            </w:r>
          </w:p>
        </w:tc>
        <w:tc>
          <w:tcPr>
            <w:tcW w:w="993" w:type="dxa"/>
            <w:tcBorders>
              <w:top w:val="nil"/>
              <w:left w:val="single" w:sz="16" w:space="0" w:color="000000"/>
              <w:bottom w:val="nil"/>
            </w:tcBorders>
            <w:shd w:val="clear" w:color="auto" w:fill="FFFFFF"/>
            <w:vAlign w:val="center"/>
          </w:tcPr>
          <w:p w14:paraId="7FC6D431"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59</w:t>
            </w:r>
          </w:p>
        </w:tc>
        <w:tc>
          <w:tcPr>
            <w:tcW w:w="1051" w:type="dxa"/>
            <w:tcBorders>
              <w:top w:val="nil"/>
              <w:bottom w:val="nil"/>
            </w:tcBorders>
            <w:shd w:val="clear" w:color="auto" w:fill="FFFFFF"/>
            <w:vAlign w:val="center"/>
          </w:tcPr>
          <w:p w14:paraId="09C766F2"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4</w:t>
            </w:r>
          </w:p>
        </w:tc>
        <w:tc>
          <w:tcPr>
            <w:tcW w:w="1112" w:type="dxa"/>
            <w:tcBorders>
              <w:top w:val="nil"/>
              <w:bottom w:val="nil"/>
            </w:tcBorders>
            <w:shd w:val="clear" w:color="auto" w:fill="FFFFFF"/>
            <w:vAlign w:val="center"/>
          </w:tcPr>
          <w:p w14:paraId="41C5113B"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8</w:t>
            </w:r>
          </w:p>
        </w:tc>
        <w:tc>
          <w:tcPr>
            <w:tcW w:w="993" w:type="dxa"/>
            <w:tcBorders>
              <w:top w:val="nil"/>
              <w:bottom w:val="nil"/>
            </w:tcBorders>
            <w:shd w:val="clear" w:color="auto" w:fill="FFFFFF"/>
            <w:vAlign w:val="center"/>
          </w:tcPr>
          <w:p w14:paraId="4032CA91"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6.31</w:t>
            </w:r>
          </w:p>
        </w:tc>
        <w:tc>
          <w:tcPr>
            <w:tcW w:w="986" w:type="dxa"/>
            <w:tcBorders>
              <w:top w:val="nil"/>
              <w:bottom w:val="nil"/>
              <w:right w:val="single" w:sz="16" w:space="0" w:color="000000"/>
            </w:tcBorders>
            <w:shd w:val="clear" w:color="auto" w:fill="FFFFFF"/>
            <w:vAlign w:val="center"/>
          </w:tcPr>
          <w:p w14:paraId="7791F71C" w14:textId="77777777" w:rsidR="00137B0F" w:rsidRPr="00291A71" w:rsidRDefault="00137B0F" w:rsidP="00977660">
            <w:pPr>
              <w:widowControl w:val="0"/>
              <w:autoSpaceDE w:val="0"/>
              <w:autoSpaceDN w:val="0"/>
              <w:adjustRightInd w:val="0"/>
              <w:spacing w:line="240" w:lineRule="auto"/>
              <w:ind w:left="60" w:right="60"/>
              <w:jc w:val="center"/>
              <w:rPr>
                <w:rFonts w:cs="Arial"/>
                <w:color w:val="000000"/>
                <w:sz w:val="20"/>
                <w:szCs w:val="20"/>
              </w:rPr>
            </w:pPr>
            <w:r w:rsidRPr="00291A71">
              <w:rPr>
                <w:rFonts w:cs="Arial"/>
                <w:color w:val="000000"/>
                <w:sz w:val="20"/>
                <w:szCs w:val="20"/>
              </w:rPr>
              <w:t>.951</w:t>
            </w:r>
          </w:p>
        </w:tc>
      </w:tr>
      <w:tr w:rsidR="00137B0F" w:rsidRPr="00B45B65" w14:paraId="65D6B6BC" w14:textId="77777777" w:rsidTr="00977660">
        <w:trPr>
          <w:cantSplit/>
          <w:trHeight w:val="99"/>
        </w:trPr>
        <w:tc>
          <w:tcPr>
            <w:tcW w:w="1008" w:type="dxa"/>
            <w:vMerge/>
            <w:tcBorders>
              <w:top w:val="nil"/>
              <w:left w:val="single" w:sz="16" w:space="0" w:color="000000"/>
              <w:bottom w:val="single" w:sz="16" w:space="0" w:color="000000"/>
              <w:right w:val="nil"/>
            </w:tcBorders>
            <w:shd w:val="clear" w:color="auto" w:fill="FFFFFF"/>
          </w:tcPr>
          <w:p w14:paraId="6D1DDDCA" w14:textId="77777777" w:rsidR="00137B0F" w:rsidRPr="00091C34" w:rsidRDefault="00137B0F" w:rsidP="00977660">
            <w:pPr>
              <w:widowControl w:val="0"/>
              <w:autoSpaceDE w:val="0"/>
              <w:autoSpaceDN w:val="0"/>
              <w:adjustRightInd w:val="0"/>
              <w:spacing w:line="240" w:lineRule="auto"/>
              <w:rPr>
                <w:rFonts w:cs="Arial"/>
                <w:color w:val="000000"/>
                <w:sz w:val="20"/>
                <w:szCs w:val="20"/>
              </w:rPr>
            </w:pPr>
          </w:p>
        </w:tc>
        <w:tc>
          <w:tcPr>
            <w:tcW w:w="1779" w:type="dxa"/>
            <w:tcBorders>
              <w:top w:val="nil"/>
              <w:left w:val="nil"/>
              <w:bottom w:val="single" w:sz="16" w:space="0" w:color="000000"/>
              <w:right w:val="single" w:sz="16" w:space="0" w:color="000000"/>
            </w:tcBorders>
            <w:shd w:val="clear" w:color="auto" w:fill="FFFFFF"/>
          </w:tcPr>
          <w:p w14:paraId="2DD26D8B" w14:textId="77777777" w:rsidR="00137B0F" w:rsidRPr="00091C34" w:rsidRDefault="00137B0F" w:rsidP="00977660">
            <w:pPr>
              <w:widowControl w:val="0"/>
              <w:autoSpaceDE w:val="0"/>
              <w:autoSpaceDN w:val="0"/>
              <w:adjustRightInd w:val="0"/>
              <w:spacing w:line="240" w:lineRule="auto"/>
              <w:ind w:left="60" w:right="60"/>
              <w:rPr>
                <w:rFonts w:cs="Arial"/>
                <w:color w:val="000000"/>
                <w:sz w:val="20"/>
                <w:szCs w:val="20"/>
              </w:rPr>
            </w:pPr>
            <w:r w:rsidRPr="00091C34">
              <w:rPr>
                <w:rFonts w:cs="Arial"/>
                <w:color w:val="000000"/>
                <w:sz w:val="20"/>
                <w:szCs w:val="20"/>
              </w:rPr>
              <w:t>Valid N (listwise)</w:t>
            </w:r>
          </w:p>
        </w:tc>
        <w:tc>
          <w:tcPr>
            <w:tcW w:w="993" w:type="dxa"/>
            <w:tcBorders>
              <w:top w:val="nil"/>
              <w:left w:val="single" w:sz="16" w:space="0" w:color="000000"/>
              <w:bottom w:val="single" w:sz="16" w:space="0" w:color="000000"/>
            </w:tcBorders>
            <w:shd w:val="clear" w:color="auto" w:fill="FFFFFF"/>
            <w:vAlign w:val="center"/>
          </w:tcPr>
          <w:p w14:paraId="7CC13B58"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091C34">
              <w:rPr>
                <w:rFonts w:cs="Arial"/>
                <w:color w:val="000000"/>
                <w:sz w:val="20"/>
                <w:szCs w:val="20"/>
              </w:rPr>
              <w:t>59</w:t>
            </w:r>
          </w:p>
        </w:tc>
        <w:tc>
          <w:tcPr>
            <w:tcW w:w="1051" w:type="dxa"/>
            <w:tcBorders>
              <w:top w:val="nil"/>
              <w:bottom w:val="single" w:sz="16" w:space="0" w:color="000000"/>
            </w:tcBorders>
            <w:shd w:val="clear" w:color="auto" w:fill="FFFFFF"/>
            <w:vAlign w:val="center"/>
          </w:tcPr>
          <w:p w14:paraId="1C0E949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1112" w:type="dxa"/>
            <w:tcBorders>
              <w:top w:val="nil"/>
              <w:bottom w:val="single" w:sz="16" w:space="0" w:color="000000"/>
            </w:tcBorders>
            <w:shd w:val="clear" w:color="auto" w:fill="FFFFFF"/>
            <w:vAlign w:val="center"/>
          </w:tcPr>
          <w:p w14:paraId="7667DF0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993" w:type="dxa"/>
            <w:tcBorders>
              <w:top w:val="nil"/>
              <w:bottom w:val="single" w:sz="16" w:space="0" w:color="000000"/>
            </w:tcBorders>
            <w:shd w:val="clear" w:color="auto" w:fill="FFFFFF"/>
            <w:vAlign w:val="center"/>
          </w:tcPr>
          <w:p w14:paraId="09E46F95"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c>
          <w:tcPr>
            <w:tcW w:w="986" w:type="dxa"/>
            <w:tcBorders>
              <w:top w:val="nil"/>
              <w:bottom w:val="single" w:sz="16" w:space="0" w:color="000000"/>
              <w:right w:val="single" w:sz="16" w:space="0" w:color="000000"/>
            </w:tcBorders>
            <w:shd w:val="clear" w:color="auto" w:fill="FFFFFF"/>
            <w:vAlign w:val="center"/>
          </w:tcPr>
          <w:p w14:paraId="1B995ECE"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20"/>
                <w:szCs w:val="20"/>
              </w:rPr>
            </w:pPr>
          </w:p>
        </w:tc>
      </w:tr>
    </w:tbl>
    <w:p w14:paraId="792D4972" w14:textId="77777777" w:rsidR="00137B0F" w:rsidRDefault="00137B0F" w:rsidP="00137B0F"/>
    <w:p w14:paraId="5967A3FB" w14:textId="77777777" w:rsidR="00137B0F" w:rsidRDefault="00137B0F" w:rsidP="00137B0F">
      <w:r>
        <w:t>University 1 students felt on average more confident (mean confidence score 6.31 (SD 0.951)) than University 2 students (mean confidence score 4.8 (SD 0.933)) (Table 7-3). The result may be influenced by the differences in numbers of students and that the course for University 2 was run four months earlier than University 1.</w:t>
      </w:r>
    </w:p>
    <w:p w14:paraId="780AC0E7" w14:textId="77777777" w:rsidR="00137B0F" w:rsidRDefault="00137B0F" w:rsidP="00137B0F"/>
    <w:p w14:paraId="4F974D43" w14:textId="77777777" w:rsidR="00137B0F" w:rsidRDefault="00137B0F" w:rsidP="00137B0F"/>
    <w:p w14:paraId="7A7BDA2E" w14:textId="77777777" w:rsidR="00137B0F" w:rsidRDefault="00137B0F" w:rsidP="00137B0F">
      <w:pPr>
        <w:pStyle w:val="Heading4"/>
      </w:pPr>
      <w:r w:rsidRPr="005E7E2B">
        <w:lastRenderedPageBreak/>
        <w:t>Confidence and performance</w:t>
      </w:r>
    </w:p>
    <w:p w14:paraId="7C6E048D" w14:textId="75E1B8D7" w:rsidR="00137B0F" w:rsidRDefault="00137B0F" w:rsidP="007000F8">
      <w:pPr>
        <w:pStyle w:val="Caption"/>
      </w:pPr>
      <w:bookmarkStart w:id="335" w:name="_Toc365579486"/>
      <w:bookmarkStart w:id="336" w:name="_Toc419116504"/>
      <w:r>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4</w:t>
      </w:r>
      <w:r w:rsidR="007000F8">
        <w:fldChar w:fldCharType="end"/>
      </w:r>
      <w:r>
        <w:t xml:space="preserve"> Overall pre-course/ baseline confidence scores and formative assessment marks as a marker of performance</w:t>
      </w:r>
      <w:bookmarkEnd w:id="335"/>
      <w:bookmarkEnd w:id="336"/>
    </w:p>
    <w:tbl>
      <w:tblPr>
        <w:tblW w:w="83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4"/>
        <w:gridCol w:w="1729"/>
        <w:gridCol w:w="965"/>
        <w:gridCol w:w="1024"/>
        <w:gridCol w:w="1082"/>
        <w:gridCol w:w="965"/>
        <w:gridCol w:w="1085"/>
      </w:tblGrid>
      <w:tr w:rsidR="00137B0F" w:rsidRPr="00B45B65" w14:paraId="7067B534" w14:textId="77777777" w:rsidTr="00977660">
        <w:trPr>
          <w:cantSplit/>
          <w:trHeight w:val="368"/>
        </w:trPr>
        <w:tc>
          <w:tcPr>
            <w:tcW w:w="8364" w:type="dxa"/>
            <w:gridSpan w:val="7"/>
            <w:tcBorders>
              <w:top w:val="nil"/>
              <w:left w:val="nil"/>
              <w:bottom w:val="nil"/>
              <w:right w:val="nil"/>
            </w:tcBorders>
            <w:shd w:val="clear" w:color="auto" w:fill="FFFFFF"/>
            <w:vAlign w:val="center"/>
          </w:tcPr>
          <w:p w14:paraId="23B1A084" w14:textId="77777777" w:rsidR="00137B0F" w:rsidRPr="00B45B65" w:rsidRDefault="00137B0F" w:rsidP="00977660">
            <w:pPr>
              <w:widowControl w:val="0"/>
              <w:autoSpaceDE w:val="0"/>
              <w:autoSpaceDN w:val="0"/>
              <w:adjustRightInd w:val="0"/>
              <w:spacing w:line="320" w:lineRule="atLeast"/>
              <w:ind w:right="60"/>
              <w:rPr>
                <w:rFonts w:cs="Arial"/>
                <w:color w:val="000000"/>
              </w:rPr>
            </w:pPr>
          </w:p>
        </w:tc>
      </w:tr>
      <w:tr w:rsidR="00137B0F" w:rsidRPr="00B45B65" w14:paraId="4E43C2CA" w14:textId="77777777" w:rsidTr="00977660">
        <w:trPr>
          <w:cantSplit/>
          <w:trHeight w:val="673"/>
        </w:trPr>
        <w:tc>
          <w:tcPr>
            <w:tcW w:w="3243" w:type="dxa"/>
            <w:gridSpan w:val="2"/>
            <w:tcBorders>
              <w:top w:val="single" w:sz="16" w:space="0" w:color="000000"/>
              <w:left w:val="single" w:sz="16" w:space="0" w:color="000000"/>
              <w:bottom w:val="single" w:sz="16" w:space="0" w:color="000000"/>
              <w:right w:val="nil"/>
            </w:tcBorders>
            <w:shd w:val="clear" w:color="auto" w:fill="FFFFFF"/>
            <w:vAlign w:val="bottom"/>
          </w:tcPr>
          <w:p w14:paraId="559F7025"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Pr>
                <w:rFonts w:cs="Arial"/>
                <w:color w:val="000000"/>
                <w:sz w:val="18"/>
                <w:szCs w:val="18"/>
              </w:rPr>
              <w:t>Q</w:t>
            </w:r>
            <w:r w:rsidRPr="00BD30BA">
              <w:rPr>
                <w:rFonts w:cs="Arial"/>
                <w:color w:val="000000"/>
                <w:sz w:val="18"/>
                <w:szCs w:val="18"/>
              </w:rPr>
              <w:t xml:space="preserve">20 Overall confidence Pre-course </w:t>
            </w:r>
            <w:r>
              <w:rPr>
                <w:rFonts w:cs="Arial"/>
                <w:color w:val="000000"/>
                <w:sz w:val="18"/>
                <w:szCs w:val="18"/>
              </w:rPr>
              <w:t xml:space="preserve">     </w:t>
            </w:r>
            <w:r w:rsidRPr="00BD30BA">
              <w:rPr>
                <w:rFonts w:cs="Arial"/>
                <w:color w:val="000000"/>
                <w:sz w:val="16"/>
                <w:szCs w:val="16"/>
              </w:rPr>
              <w:t>(1 not confident-10 very confident)</w:t>
            </w:r>
          </w:p>
        </w:tc>
        <w:tc>
          <w:tcPr>
            <w:tcW w:w="965" w:type="dxa"/>
            <w:tcBorders>
              <w:top w:val="single" w:sz="16" w:space="0" w:color="000000"/>
              <w:left w:val="single" w:sz="16" w:space="0" w:color="000000"/>
              <w:bottom w:val="single" w:sz="16" w:space="0" w:color="000000"/>
            </w:tcBorders>
            <w:shd w:val="clear" w:color="auto" w:fill="FFFFFF"/>
            <w:vAlign w:val="bottom"/>
          </w:tcPr>
          <w:p w14:paraId="609E16C7"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N</w:t>
            </w:r>
          </w:p>
        </w:tc>
        <w:tc>
          <w:tcPr>
            <w:tcW w:w="1024" w:type="dxa"/>
            <w:tcBorders>
              <w:top w:val="single" w:sz="16" w:space="0" w:color="000000"/>
              <w:bottom w:val="single" w:sz="16" w:space="0" w:color="000000"/>
            </w:tcBorders>
            <w:shd w:val="clear" w:color="auto" w:fill="FFFFFF"/>
            <w:vAlign w:val="bottom"/>
          </w:tcPr>
          <w:p w14:paraId="2BDCBA3E"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Minimum</w:t>
            </w:r>
          </w:p>
        </w:tc>
        <w:tc>
          <w:tcPr>
            <w:tcW w:w="1082" w:type="dxa"/>
            <w:tcBorders>
              <w:top w:val="single" w:sz="16" w:space="0" w:color="000000"/>
              <w:bottom w:val="single" w:sz="16" w:space="0" w:color="000000"/>
            </w:tcBorders>
            <w:shd w:val="clear" w:color="auto" w:fill="FFFFFF"/>
            <w:vAlign w:val="bottom"/>
          </w:tcPr>
          <w:p w14:paraId="4DE1B038"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Maximum</w:t>
            </w:r>
          </w:p>
        </w:tc>
        <w:tc>
          <w:tcPr>
            <w:tcW w:w="965" w:type="dxa"/>
            <w:tcBorders>
              <w:top w:val="single" w:sz="16" w:space="0" w:color="000000"/>
              <w:bottom w:val="single" w:sz="16" w:space="0" w:color="000000"/>
            </w:tcBorders>
            <w:shd w:val="clear" w:color="auto" w:fill="FFFFFF"/>
            <w:vAlign w:val="bottom"/>
          </w:tcPr>
          <w:p w14:paraId="66322A0F"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Mean</w:t>
            </w:r>
          </w:p>
        </w:tc>
        <w:tc>
          <w:tcPr>
            <w:tcW w:w="1085" w:type="dxa"/>
            <w:tcBorders>
              <w:top w:val="single" w:sz="16" w:space="0" w:color="000000"/>
              <w:bottom w:val="single" w:sz="16" w:space="0" w:color="000000"/>
              <w:right w:val="single" w:sz="16" w:space="0" w:color="000000"/>
            </w:tcBorders>
            <w:shd w:val="clear" w:color="auto" w:fill="FFFFFF"/>
            <w:vAlign w:val="bottom"/>
          </w:tcPr>
          <w:p w14:paraId="2D8479DC"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Std. Deviation</w:t>
            </w:r>
          </w:p>
        </w:tc>
      </w:tr>
      <w:tr w:rsidR="00137B0F" w:rsidRPr="00B45B65" w14:paraId="703523AA" w14:textId="77777777" w:rsidTr="00977660">
        <w:trPr>
          <w:cantSplit/>
          <w:trHeight w:val="673"/>
        </w:trPr>
        <w:tc>
          <w:tcPr>
            <w:tcW w:w="1514" w:type="dxa"/>
            <w:vMerge w:val="restart"/>
            <w:tcBorders>
              <w:top w:val="single" w:sz="16" w:space="0" w:color="000000"/>
              <w:left w:val="single" w:sz="16" w:space="0" w:color="000000"/>
              <w:right w:val="nil"/>
            </w:tcBorders>
            <w:shd w:val="clear" w:color="auto" w:fill="FFFFFF"/>
          </w:tcPr>
          <w:p w14:paraId="18949F5E"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3</w:t>
            </w:r>
          </w:p>
        </w:tc>
        <w:tc>
          <w:tcPr>
            <w:tcW w:w="1729" w:type="dxa"/>
            <w:tcBorders>
              <w:top w:val="single" w:sz="16" w:space="0" w:color="000000"/>
              <w:left w:val="nil"/>
              <w:bottom w:val="nil"/>
              <w:right w:val="single" w:sz="16" w:space="0" w:color="000000"/>
            </w:tcBorders>
            <w:shd w:val="clear" w:color="auto" w:fill="FFFFFF"/>
          </w:tcPr>
          <w:p w14:paraId="18B2A6C7"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Formative assessment mark</w:t>
            </w:r>
          </w:p>
        </w:tc>
        <w:tc>
          <w:tcPr>
            <w:tcW w:w="965" w:type="dxa"/>
            <w:tcBorders>
              <w:top w:val="single" w:sz="16" w:space="0" w:color="000000"/>
              <w:left w:val="single" w:sz="16" w:space="0" w:color="000000"/>
              <w:bottom w:val="nil"/>
            </w:tcBorders>
            <w:shd w:val="clear" w:color="auto" w:fill="FFFFFF"/>
            <w:vAlign w:val="center"/>
          </w:tcPr>
          <w:p w14:paraId="18B4DAAA"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4</w:t>
            </w:r>
          </w:p>
        </w:tc>
        <w:tc>
          <w:tcPr>
            <w:tcW w:w="1024" w:type="dxa"/>
            <w:tcBorders>
              <w:top w:val="single" w:sz="16" w:space="0" w:color="000000"/>
              <w:bottom w:val="nil"/>
            </w:tcBorders>
            <w:shd w:val="clear" w:color="auto" w:fill="FFFFFF"/>
            <w:vAlign w:val="center"/>
          </w:tcPr>
          <w:p w14:paraId="6D357256"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99</w:t>
            </w:r>
          </w:p>
        </w:tc>
        <w:tc>
          <w:tcPr>
            <w:tcW w:w="1082" w:type="dxa"/>
            <w:tcBorders>
              <w:top w:val="single" w:sz="16" w:space="0" w:color="000000"/>
              <w:bottom w:val="nil"/>
            </w:tcBorders>
            <w:shd w:val="clear" w:color="auto" w:fill="FFFFFF"/>
            <w:vAlign w:val="center"/>
          </w:tcPr>
          <w:p w14:paraId="3670517E"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119</w:t>
            </w:r>
          </w:p>
        </w:tc>
        <w:tc>
          <w:tcPr>
            <w:tcW w:w="965" w:type="dxa"/>
            <w:tcBorders>
              <w:top w:val="single" w:sz="16" w:space="0" w:color="000000"/>
              <w:bottom w:val="nil"/>
            </w:tcBorders>
            <w:shd w:val="clear" w:color="auto" w:fill="FFFFFF"/>
            <w:vAlign w:val="center"/>
          </w:tcPr>
          <w:p w14:paraId="0DF3192E"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109.25</w:t>
            </w:r>
          </w:p>
        </w:tc>
        <w:tc>
          <w:tcPr>
            <w:tcW w:w="1085" w:type="dxa"/>
            <w:tcBorders>
              <w:top w:val="single" w:sz="16" w:space="0" w:color="000000"/>
              <w:bottom w:val="nil"/>
              <w:right w:val="single" w:sz="16" w:space="0" w:color="000000"/>
            </w:tcBorders>
            <w:shd w:val="clear" w:color="auto" w:fill="FFFFFF"/>
            <w:vAlign w:val="center"/>
          </w:tcPr>
          <w:p w14:paraId="4219BB59"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8.655</w:t>
            </w:r>
          </w:p>
        </w:tc>
      </w:tr>
      <w:tr w:rsidR="00137B0F" w:rsidRPr="00B45B65" w14:paraId="27FBDB6D" w14:textId="77777777" w:rsidTr="00977660">
        <w:trPr>
          <w:cantSplit/>
          <w:trHeight w:val="69"/>
        </w:trPr>
        <w:tc>
          <w:tcPr>
            <w:tcW w:w="1514" w:type="dxa"/>
            <w:vMerge/>
            <w:tcBorders>
              <w:top w:val="single" w:sz="16" w:space="0" w:color="000000"/>
              <w:left w:val="single" w:sz="16" w:space="0" w:color="000000"/>
              <w:right w:val="nil"/>
            </w:tcBorders>
            <w:shd w:val="clear" w:color="auto" w:fill="FFFFFF"/>
          </w:tcPr>
          <w:p w14:paraId="41A624E6"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29" w:type="dxa"/>
            <w:tcBorders>
              <w:top w:val="nil"/>
              <w:left w:val="nil"/>
              <w:right w:val="single" w:sz="16" w:space="0" w:color="000000"/>
            </w:tcBorders>
            <w:shd w:val="clear" w:color="auto" w:fill="FFFFFF"/>
          </w:tcPr>
          <w:p w14:paraId="1DE25403"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65" w:type="dxa"/>
            <w:tcBorders>
              <w:top w:val="nil"/>
              <w:left w:val="single" w:sz="16" w:space="0" w:color="000000"/>
            </w:tcBorders>
            <w:shd w:val="clear" w:color="auto" w:fill="FFFFFF"/>
            <w:vAlign w:val="center"/>
          </w:tcPr>
          <w:p w14:paraId="0EBDC35F"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4</w:t>
            </w:r>
          </w:p>
        </w:tc>
        <w:tc>
          <w:tcPr>
            <w:tcW w:w="1024" w:type="dxa"/>
            <w:tcBorders>
              <w:top w:val="nil"/>
            </w:tcBorders>
            <w:shd w:val="clear" w:color="auto" w:fill="FFFFFF"/>
            <w:vAlign w:val="center"/>
          </w:tcPr>
          <w:p w14:paraId="20FCC38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2" w:type="dxa"/>
            <w:tcBorders>
              <w:top w:val="nil"/>
            </w:tcBorders>
            <w:shd w:val="clear" w:color="auto" w:fill="FFFFFF"/>
            <w:vAlign w:val="center"/>
          </w:tcPr>
          <w:p w14:paraId="1BE66F89"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65" w:type="dxa"/>
            <w:tcBorders>
              <w:top w:val="nil"/>
            </w:tcBorders>
            <w:shd w:val="clear" w:color="auto" w:fill="FFFFFF"/>
            <w:vAlign w:val="center"/>
          </w:tcPr>
          <w:p w14:paraId="72518B8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5" w:type="dxa"/>
            <w:tcBorders>
              <w:top w:val="nil"/>
              <w:right w:val="single" w:sz="16" w:space="0" w:color="000000"/>
            </w:tcBorders>
            <w:shd w:val="clear" w:color="auto" w:fill="FFFFFF"/>
            <w:vAlign w:val="center"/>
          </w:tcPr>
          <w:p w14:paraId="3D635D37"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38D04F31" w14:textId="77777777" w:rsidTr="00977660">
        <w:trPr>
          <w:cantSplit/>
          <w:trHeight w:val="673"/>
        </w:trPr>
        <w:tc>
          <w:tcPr>
            <w:tcW w:w="1514" w:type="dxa"/>
            <w:vMerge w:val="restart"/>
            <w:tcBorders>
              <w:top w:val="nil"/>
              <w:left w:val="single" w:sz="16" w:space="0" w:color="000000"/>
              <w:right w:val="nil"/>
            </w:tcBorders>
            <w:shd w:val="clear" w:color="auto" w:fill="FFFFFF"/>
          </w:tcPr>
          <w:p w14:paraId="041DB347"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4</w:t>
            </w:r>
          </w:p>
        </w:tc>
        <w:tc>
          <w:tcPr>
            <w:tcW w:w="1729" w:type="dxa"/>
            <w:tcBorders>
              <w:top w:val="nil"/>
              <w:left w:val="nil"/>
              <w:bottom w:val="nil"/>
              <w:right w:val="single" w:sz="16" w:space="0" w:color="000000"/>
            </w:tcBorders>
            <w:shd w:val="clear" w:color="auto" w:fill="FFFFFF"/>
          </w:tcPr>
          <w:p w14:paraId="027353A2"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Formative assessment mark</w:t>
            </w:r>
          </w:p>
        </w:tc>
        <w:tc>
          <w:tcPr>
            <w:tcW w:w="965" w:type="dxa"/>
            <w:tcBorders>
              <w:top w:val="nil"/>
              <w:left w:val="single" w:sz="16" w:space="0" w:color="000000"/>
              <w:bottom w:val="nil"/>
            </w:tcBorders>
            <w:shd w:val="clear" w:color="auto" w:fill="FFFFFF"/>
            <w:vAlign w:val="center"/>
          </w:tcPr>
          <w:p w14:paraId="1D5C211B"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9</w:t>
            </w:r>
          </w:p>
        </w:tc>
        <w:tc>
          <w:tcPr>
            <w:tcW w:w="1024" w:type="dxa"/>
            <w:tcBorders>
              <w:top w:val="nil"/>
              <w:bottom w:val="nil"/>
            </w:tcBorders>
            <w:shd w:val="clear" w:color="auto" w:fill="FFFFFF"/>
            <w:vAlign w:val="center"/>
          </w:tcPr>
          <w:p w14:paraId="726EC593"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104</w:t>
            </w:r>
          </w:p>
        </w:tc>
        <w:tc>
          <w:tcPr>
            <w:tcW w:w="1082" w:type="dxa"/>
            <w:tcBorders>
              <w:top w:val="nil"/>
              <w:bottom w:val="nil"/>
            </w:tcBorders>
            <w:shd w:val="clear" w:color="auto" w:fill="FFFFFF"/>
            <w:vAlign w:val="center"/>
          </w:tcPr>
          <w:p w14:paraId="1E9E9529"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134</w:t>
            </w:r>
          </w:p>
        </w:tc>
        <w:tc>
          <w:tcPr>
            <w:tcW w:w="965" w:type="dxa"/>
            <w:tcBorders>
              <w:top w:val="nil"/>
              <w:bottom w:val="nil"/>
            </w:tcBorders>
            <w:shd w:val="clear" w:color="auto" w:fill="FFFFFF"/>
            <w:vAlign w:val="center"/>
          </w:tcPr>
          <w:p w14:paraId="44CD0A01"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119.56</w:t>
            </w:r>
          </w:p>
        </w:tc>
        <w:tc>
          <w:tcPr>
            <w:tcW w:w="1085" w:type="dxa"/>
            <w:tcBorders>
              <w:top w:val="nil"/>
              <w:bottom w:val="nil"/>
              <w:right w:val="single" w:sz="16" w:space="0" w:color="000000"/>
            </w:tcBorders>
            <w:shd w:val="clear" w:color="auto" w:fill="FFFFFF"/>
            <w:vAlign w:val="center"/>
          </w:tcPr>
          <w:p w14:paraId="0905A67A"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11.566</w:t>
            </w:r>
          </w:p>
        </w:tc>
      </w:tr>
      <w:tr w:rsidR="00137B0F" w:rsidRPr="00B45B65" w14:paraId="0EECA969" w14:textId="77777777" w:rsidTr="00977660">
        <w:trPr>
          <w:cantSplit/>
          <w:trHeight w:val="69"/>
        </w:trPr>
        <w:tc>
          <w:tcPr>
            <w:tcW w:w="1514" w:type="dxa"/>
            <w:vMerge/>
            <w:tcBorders>
              <w:top w:val="nil"/>
              <w:left w:val="single" w:sz="16" w:space="0" w:color="000000"/>
              <w:right w:val="nil"/>
            </w:tcBorders>
            <w:shd w:val="clear" w:color="auto" w:fill="FFFFFF"/>
          </w:tcPr>
          <w:p w14:paraId="2A7ADF79"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29" w:type="dxa"/>
            <w:tcBorders>
              <w:top w:val="nil"/>
              <w:left w:val="nil"/>
              <w:right w:val="single" w:sz="16" w:space="0" w:color="000000"/>
            </w:tcBorders>
            <w:shd w:val="clear" w:color="auto" w:fill="FFFFFF"/>
          </w:tcPr>
          <w:p w14:paraId="46DBE22C"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65" w:type="dxa"/>
            <w:tcBorders>
              <w:top w:val="nil"/>
              <w:left w:val="single" w:sz="16" w:space="0" w:color="000000"/>
            </w:tcBorders>
            <w:shd w:val="clear" w:color="auto" w:fill="FFFFFF"/>
            <w:vAlign w:val="center"/>
          </w:tcPr>
          <w:p w14:paraId="7C809B2E"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9</w:t>
            </w:r>
          </w:p>
        </w:tc>
        <w:tc>
          <w:tcPr>
            <w:tcW w:w="1024" w:type="dxa"/>
            <w:tcBorders>
              <w:top w:val="nil"/>
            </w:tcBorders>
            <w:shd w:val="clear" w:color="auto" w:fill="FFFFFF"/>
            <w:vAlign w:val="center"/>
          </w:tcPr>
          <w:p w14:paraId="6CCE34CF"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2" w:type="dxa"/>
            <w:tcBorders>
              <w:top w:val="nil"/>
            </w:tcBorders>
            <w:shd w:val="clear" w:color="auto" w:fill="FFFFFF"/>
            <w:vAlign w:val="center"/>
          </w:tcPr>
          <w:p w14:paraId="3DCCE83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65" w:type="dxa"/>
            <w:tcBorders>
              <w:top w:val="nil"/>
            </w:tcBorders>
            <w:shd w:val="clear" w:color="auto" w:fill="FFFFFF"/>
            <w:vAlign w:val="center"/>
          </w:tcPr>
          <w:p w14:paraId="78F4E83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5" w:type="dxa"/>
            <w:tcBorders>
              <w:top w:val="nil"/>
              <w:right w:val="single" w:sz="16" w:space="0" w:color="000000"/>
            </w:tcBorders>
            <w:shd w:val="clear" w:color="auto" w:fill="FFFFFF"/>
            <w:vAlign w:val="center"/>
          </w:tcPr>
          <w:p w14:paraId="667E1B5D"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3286D3C4" w14:textId="77777777" w:rsidTr="00977660">
        <w:trPr>
          <w:cantSplit/>
          <w:trHeight w:val="673"/>
        </w:trPr>
        <w:tc>
          <w:tcPr>
            <w:tcW w:w="1514" w:type="dxa"/>
            <w:vMerge w:val="restart"/>
            <w:tcBorders>
              <w:top w:val="nil"/>
              <w:left w:val="single" w:sz="16" w:space="0" w:color="000000"/>
              <w:right w:val="nil"/>
            </w:tcBorders>
            <w:shd w:val="clear" w:color="auto" w:fill="FFFFFF"/>
          </w:tcPr>
          <w:p w14:paraId="282BE6D4"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5</w:t>
            </w:r>
          </w:p>
        </w:tc>
        <w:tc>
          <w:tcPr>
            <w:tcW w:w="1729" w:type="dxa"/>
            <w:tcBorders>
              <w:top w:val="nil"/>
              <w:left w:val="nil"/>
              <w:bottom w:val="nil"/>
              <w:right w:val="single" w:sz="16" w:space="0" w:color="000000"/>
            </w:tcBorders>
            <w:shd w:val="clear" w:color="auto" w:fill="FFFFFF"/>
          </w:tcPr>
          <w:p w14:paraId="37432A02"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Formative assessment mark</w:t>
            </w:r>
          </w:p>
        </w:tc>
        <w:tc>
          <w:tcPr>
            <w:tcW w:w="965" w:type="dxa"/>
            <w:tcBorders>
              <w:top w:val="nil"/>
              <w:left w:val="single" w:sz="16" w:space="0" w:color="000000"/>
              <w:bottom w:val="nil"/>
            </w:tcBorders>
            <w:shd w:val="clear" w:color="auto" w:fill="FFFFFF"/>
            <w:vAlign w:val="center"/>
          </w:tcPr>
          <w:p w14:paraId="26AF6426"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25</w:t>
            </w:r>
          </w:p>
        </w:tc>
        <w:tc>
          <w:tcPr>
            <w:tcW w:w="1024" w:type="dxa"/>
            <w:tcBorders>
              <w:top w:val="nil"/>
              <w:bottom w:val="nil"/>
            </w:tcBorders>
            <w:shd w:val="clear" w:color="auto" w:fill="FFFFFF"/>
            <w:vAlign w:val="center"/>
          </w:tcPr>
          <w:p w14:paraId="31A1BBFB"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90</w:t>
            </w:r>
          </w:p>
        </w:tc>
        <w:tc>
          <w:tcPr>
            <w:tcW w:w="1082" w:type="dxa"/>
            <w:tcBorders>
              <w:top w:val="nil"/>
              <w:bottom w:val="nil"/>
            </w:tcBorders>
            <w:shd w:val="clear" w:color="auto" w:fill="FFFFFF"/>
            <w:vAlign w:val="center"/>
          </w:tcPr>
          <w:p w14:paraId="24B54C2D"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141</w:t>
            </w:r>
          </w:p>
        </w:tc>
        <w:tc>
          <w:tcPr>
            <w:tcW w:w="965" w:type="dxa"/>
            <w:tcBorders>
              <w:top w:val="nil"/>
              <w:bottom w:val="nil"/>
            </w:tcBorders>
            <w:shd w:val="clear" w:color="auto" w:fill="FFFFFF"/>
            <w:vAlign w:val="center"/>
          </w:tcPr>
          <w:p w14:paraId="5A381278"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114.40</w:t>
            </w:r>
          </w:p>
        </w:tc>
        <w:tc>
          <w:tcPr>
            <w:tcW w:w="1085" w:type="dxa"/>
            <w:tcBorders>
              <w:top w:val="nil"/>
              <w:bottom w:val="nil"/>
              <w:right w:val="single" w:sz="16" w:space="0" w:color="000000"/>
            </w:tcBorders>
            <w:shd w:val="clear" w:color="auto" w:fill="FFFFFF"/>
            <w:vAlign w:val="center"/>
          </w:tcPr>
          <w:p w14:paraId="3429614F"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12.787</w:t>
            </w:r>
          </w:p>
        </w:tc>
      </w:tr>
      <w:tr w:rsidR="00137B0F" w:rsidRPr="00B45B65" w14:paraId="63DE10AA" w14:textId="77777777" w:rsidTr="00977660">
        <w:trPr>
          <w:cantSplit/>
          <w:trHeight w:val="69"/>
        </w:trPr>
        <w:tc>
          <w:tcPr>
            <w:tcW w:w="1514" w:type="dxa"/>
            <w:vMerge/>
            <w:tcBorders>
              <w:top w:val="nil"/>
              <w:left w:val="single" w:sz="16" w:space="0" w:color="000000"/>
              <w:right w:val="nil"/>
            </w:tcBorders>
            <w:shd w:val="clear" w:color="auto" w:fill="FFFFFF"/>
          </w:tcPr>
          <w:p w14:paraId="7976C54A"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29" w:type="dxa"/>
            <w:tcBorders>
              <w:top w:val="nil"/>
              <w:left w:val="nil"/>
              <w:right w:val="single" w:sz="16" w:space="0" w:color="000000"/>
            </w:tcBorders>
            <w:shd w:val="clear" w:color="auto" w:fill="FFFFFF"/>
          </w:tcPr>
          <w:p w14:paraId="5C7BA5D6"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65" w:type="dxa"/>
            <w:tcBorders>
              <w:top w:val="nil"/>
              <w:left w:val="single" w:sz="16" w:space="0" w:color="000000"/>
            </w:tcBorders>
            <w:shd w:val="clear" w:color="auto" w:fill="FFFFFF"/>
            <w:vAlign w:val="center"/>
          </w:tcPr>
          <w:p w14:paraId="0E95E99F"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25</w:t>
            </w:r>
          </w:p>
        </w:tc>
        <w:tc>
          <w:tcPr>
            <w:tcW w:w="1024" w:type="dxa"/>
            <w:tcBorders>
              <w:top w:val="nil"/>
            </w:tcBorders>
            <w:shd w:val="clear" w:color="auto" w:fill="FFFFFF"/>
            <w:vAlign w:val="center"/>
          </w:tcPr>
          <w:p w14:paraId="28303B4D"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2" w:type="dxa"/>
            <w:tcBorders>
              <w:top w:val="nil"/>
            </w:tcBorders>
            <w:shd w:val="clear" w:color="auto" w:fill="FFFFFF"/>
            <w:vAlign w:val="center"/>
          </w:tcPr>
          <w:p w14:paraId="5D5FB7D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65" w:type="dxa"/>
            <w:tcBorders>
              <w:top w:val="nil"/>
            </w:tcBorders>
            <w:shd w:val="clear" w:color="auto" w:fill="FFFFFF"/>
            <w:vAlign w:val="center"/>
          </w:tcPr>
          <w:p w14:paraId="3C1C75C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5" w:type="dxa"/>
            <w:tcBorders>
              <w:top w:val="nil"/>
              <w:right w:val="single" w:sz="16" w:space="0" w:color="000000"/>
            </w:tcBorders>
            <w:shd w:val="clear" w:color="auto" w:fill="FFFFFF"/>
            <w:vAlign w:val="center"/>
          </w:tcPr>
          <w:p w14:paraId="2ADFB98D"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01793892" w14:textId="77777777" w:rsidTr="00977660">
        <w:trPr>
          <w:cantSplit/>
          <w:trHeight w:val="673"/>
        </w:trPr>
        <w:tc>
          <w:tcPr>
            <w:tcW w:w="1514" w:type="dxa"/>
            <w:vMerge w:val="restart"/>
            <w:tcBorders>
              <w:top w:val="nil"/>
              <w:left w:val="single" w:sz="16" w:space="0" w:color="000000"/>
              <w:right w:val="nil"/>
            </w:tcBorders>
            <w:shd w:val="clear" w:color="auto" w:fill="FFFFFF"/>
          </w:tcPr>
          <w:p w14:paraId="59323DAC"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6</w:t>
            </w:r>
          </w:p>
        </w:tc>
        <w:tc>
          <w:tcPr>
            <w:tcW w:w="1729" w:type="dxa"/>
            <w:tcBorders>
              <w:top w:val="nil"/>
              <w:left w:val="nil"/>
              <w:bottom w:val="nil"/>
              <w:right w:val="single" w:sz="16" w:space="0" w:color="000000"/>
            </w:tcBorders>
            <w:shd w:val="clear" w:color="auto" w:fill="FFFFFF"/>
          </w:tcPr>
          <w:p w14:paraId="7774C93F"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Formative assessment mark</w:t>
            </w:r>
          </w:p>
        </w:tc>
        <w:tc>
          <w:tcPr>
            <w:tcW w:w="965" w:type="dxa"/>
            <w:tcBorders>
              <w:top w:val="nil"/>
              <w:left w:val="single" w:sz="16" w:space="0" w:color="000000"/>
              <w:bottom w:val="nil"/>
            </w:tcBorders>
            <w:shd w:val="clear" w:color="auto" w:fill="FFFFFF"/>
            <w:vAlign w:val="center"/>
          </w:tcPr>
          <w:p w14:paraId="565966F4"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30</w:t>
            </w:r>
          </w:p>
        </w:tc>
        <w:tc>
          <w:tcPr>
            <w:tcW w:w="1024" w:type="dxa"/>
            <w:tcBorders>
              <w:top w:val="nil"/>
              <w:bottom w:val="nil"/>
            </w:tcBorders>
            <w:shd w:val="clear" w:color="auto" w:fill="FFFFFF"/>
            <w:vAlign w:val="center"/>
          </w:tcPr>
          <w:p w14:paraId="3ECF7C3A"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78</w:t>
            </w:r>
          </w:p>
        </w:tc>
        <w:tc>
          <w:tcPr>
            <w:tcW w:w="1082" w:type="dxa"/>
            <w:tcBorders>
              <w:top w:val="nil"/>
              <w:bottom w:val="nil"/>
            </w:tcBorders>
            <w:shd w:val="clear" w:color="auto" w:fill="FFFFFF"/>
            <w:vAlign w:val="center"/>
          </w:tcPr>
          <w:p w14:paraId="38DD91E4"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146</w:t>
            </w:r>
          </w:p>
        </w:tc>
        <w:tc>
          <w:tcPr>
            <w:tcW w:w="965" w:type="dxa"/>
            <w:tcBorders>
              <w:top w:val="nil"/>
              <w:bottom w:val="nil"/>
            </w:tcBorders>
            <w:shd w:val="clear" w:color="auto" w:fill="FFFFFF"/>
            <w:vAlign w:val="center"/>
          </w:tcPr>
          <w:p w14:paraId="2732A2FC"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119.13</w:t>
            </w:r>
          </w:p>
        </w:tc>
        <w:tc>
          <w:tcPr>
            <w:tcW w:w="1085" w:type="dxa"/>
            <w:tcBorders>
              <w:top w:val="nil"/>
              <w:bottom w:val="nil"/>
              <w:right w:val="single" w:sz="16" w:space="0" w:color="000000"/>
            </w:tcBorders>
            <w:shd w:val="clear" w:color="auto" w:fill="FFFFFF"/>
            <w:vAlign w:val="center"/>
          </w:tcPr>
          <w:p w14:paraId="5CA35824"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15.928</w:t>
            </w:r>
          </w:p>
        </w:tc>
      </w:tr>
      <w:tr w:rsidR="00137B0F" w:rsidRPr="00B45B65" w14:paraId="2F9C73DF" w14:textId="77777777" w:rsidTr="00977660">
        <w:trPr>
          <w:cantSplit/>
          <w:trHeight w:val="69"/>
        </w:trPr>
        <w:tc>
          <w:tcPr>
            <w:tcW w:w="1514" w:type="dxa"/>
            <w:vMerge/>
            <w:tcBorders>
              <w:top w:val="nil"/>
              <w:left w:val="single" w:sz="16" w:space="0" w:color="000000"/>
              <w:right w:val="nil"/>
            </w:tcBorders>
            <w:shd w:val="clear" w:color="auto" w:fill="FFFFFF"/>
          </w:tcPr>
          <w:p w14:paraId="227BE433"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29" w:type="dxa"/>
            <w:tcBorders>
              <w:top w:val="nil"/>
              <w:left w:val="nil"/>
              <w:right w:val="single" w:sz="16" w:space="0" w:color="000000"/>
            </w:tcBorders>
            <w:shd w:val="clear" w:color="auto" w:fill="FFFFFF"/>
          </w:tcPr>
          <w:p w14:paraId="05EE43FC"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65" w:type="dxa"/>
            <w:tcBorders>
              <w:top w:val="nil"/>
              <w:left w:val="single" w:sz="16" w:space="0" w:color="000000"/>
            </w:tcBorders>
            <w:shd w:val="clear" w:color="auto" w:fill="FFFFFF"/>
            <w:vAlign w:val="center"/>
          </w:tcPr>
          <w:p w14:paraId="20B2D628"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30</w:t>
            </w:r>
          </w:p>
        </w:tc>
        <w:tc>
          <w:tcPr>
            <w:tcW w:w="1024" w:type="dxa"/>
            <w:tcBorders>
              <w:top w:val="nil"/>
            </w:tcBorders>
            <w:shd w:val="clear" w:color="auto" w:fill="FFFFFF"/>
            <w:vAlign w:val="center"/>
          </w:tcPr>
          <w:p w14:paraId="07CE6FD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2" w:type="dxa"/>
            <w:tcBorders>
              <w:top w:val="nil"/>
            </w:tcBorders>
            <w:shd w:val="clear" w:color="auto" w:fill="FFFFFF"/>
            <w:vAlign w:val="center"/>
          </w:tcPr>
          <w:p w14:paraId="15A49EB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65" w:type="dxa"/>
            <w:tcBorders>
              <w:top w:val="nil"/>
            </w:tcBorders>
            <w:shd w:val="clear" w:color="auto" w:fill="FFFFFF"/>
            <w:vAlign w:val="center"/>
          </w:tcPr>
          <w:p w14:paraId="6769EFB7"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5" w:type="dxa"/>
            <w:tcBorders>
              <w:top w:val="nil"/>
              <w:right w:val="single" w:sz="16" w:space="0" w:color="000000"/>
            </w:tcBorders>
            <w:shd w:val="clear" w:color="auto" w:fill="FFFFFF"/>
            <w:vAlign w:val="center"/>
          </w:tcPr>
          <w:p w14:paraId="661E3321"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2340027D" w14:textId="77777777" w:rsidTr="00977660">
        <w:trPr>
          <w:cantSplit/>
          <w:trHeight w:val="673"/>
        </w:trPr>
        <w:tc>
          <w:tcPr>
            <w:tcW w:w="1514" w:type="dxa"/>
            <w:vMerge w:val="restart"/>
            <w:tcBorders>
              <w:top w:val="nil"/>
              <w:left w:val="single" w:sz="16" w:space="0" w:color="000000"/>
              <w:right w:val="nil"/>
            </w:tcBorders>
            <w:shd w:val="clear" w:color="auto" w:fill="FFFFFF"/>
          </w:tcPr>
          <w:p w14:paraId="201607A8"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7</w:t>
            </w:r>
          </w:p>
        </w:tc>
        <w:tc>
          <w:tcPr>
            <w:tcW w:w="1729" w:type="dxa"/>
            <w:tcBorders>
              <w:top w:val="nil"/>
              <w:left w:val="nil"/>
              <w:bottom w:val="nil"/>
              <w:right w:val="single" w:sz="16" w:space="0" w:color="000000"/>
            </w:tcBorders>
            <w:shd w:val="clear" w:color="auto" w:fill="FFFFFF"/>
          </w:tcPr>
          <w:p w14:paraId="0830831D"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Formative assessment mark</w:t>
            </w:r>
          </w:p>
        </w:tc>
        <w:tc>
          <w:tcPr>
            <w:tcW w:w="965" w:type="dxa"/>
            <w:tcBorders>
              <w:top w:val="nil"/>
              <w:left w:val="single" w:sz="16" w:space="0" w:color="000000"/>
              <w:bottom w:val="nil"/>
            </w:tcBorders>
            <w:shd w:val="clear" w:color="auto" w:fill="FFFFFF"/>
            <w:vAlign w:val="center"/>
          </w:tcPr>
          <w:p w14:paraId="4822A329"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21</w:t>
            </w:r>
          </w:p>
        </w:tc>
        <w:tc>
          <w:tcPr>
            <w:tcW w:w="1024" w:type="dxa"/>
            <w:tcBorders>
              <w:top w:val="nil"/>
              <w:bottom w:val="nil"/>
            </w:tcBorders>
            <w:shd w:val="clear" w:color="auto" w:fill="FFFFFF"/>
            <w:vAlign w:val="center"/>
          </w:tcPr>
          <w:p w14:paraId="73DA3B80"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95</w:t>
            </w:r>
          </w:p>
        </w:tc>
        <w:tc>
          <w:tcPr>
            <w:tcW w:w="1082" w:type="dxa"/>
            <w:tcBorders>
              <w:top w:val="nil"/>
              <w:bottom w:val="nil"/>
            </w:tcBorders>
            <w:shd w:val="clear" w:color="auto" w:fill="FFFFFF"/>
            <w:vAlign w:val="center"/>
          </w:tcPr>
          <w:p w14:paraId="16299503"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136</w:t>
            </w:r>
          </w:p>
        </w:tc>
        <w:tc>
          <w:tcPr>
            <w:tcW w:w="965" w:type="dxa"/>
            <w:tcBorders>
              <w:top w:val="nil"/>
              <w:bottom w:val="nil"/>
            </w:tcBorders>
            <w:shd w:val="clear" w:color="auto" w:fill="FFFFFF"/>
            <w:vAlign w:val="center"/>
          </w:tcPr>
          <w:p w14:paraId="54466323"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118.86</w:t>
            </w:r>
          </w:p>
        </w:tc>
        <w:tc>
          <w:tcPr>
            <w:tcW w:w="1085" w:type="dxa"/>
            <w:tcBorders>
              <w:top w:val="nil"/>
              <w:bottom w:val="nil"/>
              <w:right w:val="single" w:sz="16" w:space="0" w:color="000000"/>
            </w:tcBorders>
            <w:shd w:val="clear" w:color="auto" w:fill="FFFFFF"/>
            <w:vAlign w:val="center"/>
          </w:tcPr>
          <w:p w14:paraId="2B5627C2"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12.200</w:t>
            </w:r>
          </w:p>
        </w:tc>
      </w:tr>
      <w:tr w:rsidR="00137B0F" w:rsidRPr="00B45B65" w14:paraId="224D3A92" w14:textId="77777777" w:rsidTr="00977660">
        <w:trPr>
          <w:cantSplit/>
          <w:trHeight w:val="69"/>
        </w:trPr>
        <w:tc>
          <w:tcPr>
            <w:tcW w:w="1514" w:type="dxa"/>
            <w:vMerge/>
            <w:tcBorders>
              <w:top w:val="nil"/>
              <w:left w:val="single" w:sz="16" w:space="0" w:color="000000"/>
              <w:right w:val="nil"/>
            </w:tcBorders>
            <w:shd w:val="clear" w:color="auto" w:fill="FFFFFF"/>
          </w:tcPr>
          <w:p w14:paraId="69AC340C"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29" w:type="dxa"/>
            <w:tcBorders>
              <w:top w:val="nil"/>
              <w:left w:val="nil"/>
              <w:right w:val="single" w:sz="16" w:space="0" w:color="000000"/>
            </w:tcBorders>
            <w:shd w:val="clear" w:color="auto" w:fill="FFFFFF"/>
          </w:tcPr>
          <w:p w14:paraId="0E55AADF"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65" w:type="dxa"/>
            <w:tcBorders>
              <w:top w:val="nil"/>
              <w:left w:val="single" w:sz="16" w:space="0" w:color="000000"/>
            </w:tcBorders>
            <w:shd w:val="clear" w:color="auto" w:fill="FFFFFF"/>
            <w:vAlign w:val="center"/>
          </w:tcPr>
          <w:p w14:paraId="0788DFD1"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21</w:t>
            </w:r>
          </w:p>
        </w:tc>
        <w:tc>
          <w:tcPr>
            <w:tcW w:w="1024" w:type="dxa"/>
            <w:tcBorders>
              <w:top w:val="nil"/>
            </w:tcBorders>
            <w:shd w:val="clear" w:color="auto" w:fill="FFFFFF"/>
            <w:vAlign w:val="center"/>
          </w:tcPr>
          <w:p w14:paraId="28FF0E3F"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2" w:type="dxa"/>
            <w:tcBorders>
              <w:top w:val="nil"/>
            </w:tcBorders>
            <w:shd w:val="clear" w:color="auto" w:fill="FFFFFF"/>
            <w:vAlign w:val="center"/>
          </w:tcPr>
          <w:p w14:paraId="5BD25F00"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65" w:type="dxa"/>
            <w:tcBorders>
              <w:top w:val="nil"/>
            </w:tcBorders>
            <w:shd w:val="clear" w:color="auto" w:fill="FFFFFF"/>
            <w:vAlign w:val="center"/>
          </w:tcPr>
          <w:p w14:paraId="30937438"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5" w:type="dxa"/>
            <w:tcBorders>
              <w:top w:val="nil"/>
              <w:right w:val="single" w:sz="16" w:space="0" w:color="000000"/>
            </w:tcBorders>
            <w:shd w:val="clear" w:color="auto" w:fill="FFFFFF"/>
            <w:vAlign w:val="center"/>
          </w:tcPr>
          <w:p w14:paraId="23DE4D6E"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44BD3E24" w14:textId="77777777" w:rsidTr="00977660">
        <w:trPr>
          <w:cantSplit/>
          <w:trHeight w:val="673"/>
        </w:trPr>
        <w:tc>
          <w:tcPr>
            <w:tcW w:w="1514" w:type="dxa"/>
            <w:vMerge w:val="restart"/>
            <w:tcBorders>
              <w:top w:val="nil"/>
              <w:left w:val="single" w:sz="16" w:space="0" w:color="000000"/>
              <w:bottom w:val="single" w:sz="16" w:space="0" w:color="000000"/>
              <w:right w:val="nil"/>
            </w:tcBorders>
            <w:shd w:val="clear" w:color="auto" w:fill="FFFFFF"/>
          </w:tcPr>
          <w:p w14:paraId="07CCC311"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8</w:t>
            </w:r>
          </w:p>
        </w:tc>
        <w:tc>
          <w:tcPr>
            <w:tcW w:w="1729" w:type="dxa"/>
            <w:tcBorders>
              <w:top w:val="nil"/>
              <w:left w:val="nil"/>
              <w:bottom w:val="nil"/>
              <w:right w:val="single" w:sz="16" w:space="0" w:color="000000"/>
            </w:tcBorders>
            <w:shd w:val="clear" w:color="auto" w:fill="FFFFFF"/>
          </w:tcPr>
          <w:p w14:paraId="5564165A" w14:textId="77777777" w:rsidR="00137B0F" w:rsidRPr="00BD30BA" w:rsidRDefault="00137B0F" w:rsidP="00977660">
            <w:pPr>
              <w:widowControl w:val="0"/>
              <w:autoSpaceDE w:val="0"/>
              <w:autoSpaceDN w:val="0"/>
              <w:adjustRightInd w:val="0"/>
              <w:spacing w:line="240" w:lineRule="auto"/>
              <w:ind w:left="60" w:right="60"/>
              <w:rPr>
                <w:rFonts w:cs="Arial"/>
                <w:color w:val="000000"/>
                <w:sz w:val="18"/>
                <w:szCs w:val="18"/>
              </w:rPr>
            </w:pPr>
            <w:r w:rsidRPr="00BD30BA">
              <w:rPr>
                <w:rFonts w:cs="Arial"/>
                <w:color w:val="000000"/>
                <w:sz w:val="18"/>
                <w:szCs w:val="18"/>
              </w:rPr>
              <w:t>Formative assessment mark</w:t>
            </w:r>
          </w:p>
        </w:tc>
        <w:tc>
          <w:tcPr>
            <w:tcW w:w="965" w:type="dxa"/>
            <w:tcBorders>
              <w:top w:val="nil"/>
              <w:left w:val="single" w:sz="16" w:space="0" w:color="000000"/>
              <w:bottom w:val="nil"/>
            </w:tcBorders>
            <w:shd w:val="clear" w:color="auto" w:fill="FFFFFF"/>
            <w:vAlign w:val="center"/>
          </w:tcPr>
          <w:p w14:paraId="7BBA56DB"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5</w:t>
            </w:r>
          </w:p>
        </w:tc>
        <w:tc>
          <w:tcPr>
            <w:tcW w:w="1024" w:type="dxa"/>
            <w:tcBorders>
              <w:top w:val="nil"/>
              <w:bottom w:val="nil"/>
            </w:tcBorders>
            <w:shd w:val="clear" w:color="auto" w:fill="FFFFFF"/>
            <w:vAlign w:val="center"/>
          </w:tcPr>
          <w:p w14:paraId="36A2F96F"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86</w:t>
            </w:r>
          </w:p>
        </w:tc>
        <w:tc>
          <w:tcPr>
            <w:tcW w:w="1082" w:type="dxa"/>
            <w:tcBorders>
              <w:top w:val="nil"/>
              <w:bottom w:val="nil"/>
            </w:tcBorders>
            <w:shd w:val="clear" w:color="auto" w:fill="FFFFFF"/>
            <w:vAlign w:val="center"/>
          </w:tcPr>
          <w:p w14:paraId="2547E421"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145</w:t>
            </w:r>
          </w:p>
        </w:tc>
        <w:tc>
          <w:tcPr>
            <w:tcW w:w="965" w:type="dxa"/>
            <w:tcBorders>
              <w:top w:val="nil"/>
              <w:bottom w:val="nil"/>
            </w:tcBorders>
            <w:shd w:val="clear" w:color="auto" w:fill="FFFFFF"/>
            <w:vAlign w:val="center"/>
          </w:tcPr>
          <w:p w14:paraId="5207806E"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109.60</w:t>
            </w:r>
          </w:p>
        </w:tc>
        <w:tc>
          <w:tcPr>
            <w:tcW w:w="1085" w:type="dxa"/>
            <w:tcBorders>
              <w:top w:val="nil"/>
              <w:bottom w:val="nil"/>
              <w:right w:val="single" w:sz="16" w:space="0" w:color="000000"/>
            </w:tcBorders>
            <w:shd w:val="clear" w:color="auto" w:fill="FFFFFF"/>
            <w:vAlign w:val="center"/>
          </w:tcPr>
          <w:p w14:paraId="04D6EFE1" w14:textId="77777777" w:rsidR="00137B0F" w:rsidRPr="00BD30BA" w:rsidRDefault="00137B0F" w:rsidP="00977660">
            <w:pPr>
              <w:widowControl w:val="0"/>
              <w:autoSpaceDE w:val="0"/>
              <w:autoSpaceDN w:val="0"/>
              <w:adjustRightInd w:val="0"/>
              <w:spacing w:line="240" w:lineRule="auto"/>
              <w:ind w:left="60" w:right="60"/>
              <w:jc w:val="center"/>
              <w:rPr>
                <w:rFonts w:cs="Arial"/>
                <w:color w:val="000000"/>
                <w:sz w:val="18"/>
                <w:szCs w:val="18"/>
              </w:rPr>
            </w:pPr>
            <w:r w:rsidRPr="00BD30BA">
              <w:rPr>
                <w:rFonts w:cs="Arial"/>
                <w:color w:val="000000"/>
                <w:sz w:val="18"/>
                <w:szCs w:val="18"/>
              </w:rPr>
              <w:t>24.946</w:t>
            </w:r>
          </w:p>
        </w:tc>
      </w:tr>
      <w:tr w:rsidR="00137B0F" w:rsidRPr="00B45B65" w14:paraId="074F6738" w14:textId="77777777" w:rsidTr="00977660">
        <w:trPr>
          <w:cantSplit/>
          <w:trHeight w:val="69"/>
        </w:trPr>
        <w:tc>
          <w:tcPr>
            <w:tcW w:w="1514" w:type="dxa"/>
            <w:vMerge/>
            <w:tcBorders>
              <w:top w:val="nil"/>
              <w:left w:val="single" w:sz="16" w:space="0" w:color="000000"/>
              <w:bottom w:val="single" w:sz="16" w:space="0" w:color="000000"/>
              <w:right w:val="nil"/>
            </w:tcBorders>
            <w:shd w:val="clear" w:color="auto" w:fill="FFFFFF"/>
          </w:tcPr>
          <w:p w14:paraId="2B05B5C9"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29" w:type="dxa"/>
            <w:tcBorders>
              <w:top w:val="nil"/>
              <w:left w:val="nil"/>
              <w:bottom w:val="single" w:sz="16" w:space="0" w:color="000000"/>
              <w:right w:val="single" w:sz="16" w:space="0" w:color="000000"/>
            </w:tcBorders>
            <w:shd w:val="clear" w:color="auto" w:fill="FFFFFF"/>
          </w:tcPr>
          <w:p w14:paraId="151B972B"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65" w:type="dxa"/>
            <w:tcBorders>
              <w:top w:val="nil"/>
              <w:left w:val="single" w:sz="16" w:space="0" w:color="000000"/>
              <w:bottom w:val="single" w:sz="16" w:space="0" w:color="000000"/>
            </w:tcBorders>
            <w:shd w:val="clear" w:color="auto" w:fill="FFFFFF"/>
            <w:vAlign w:val="center"/>
          </w:tcPr>
          <w:p w14:paraId="5E831A78"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5</w:t>
            </w:r>
          </w:p>
        </w:tc>
        <w:tc>
          <w:tcPr>
            <w:tcW w:w="1024" w:type="dxa"/>
            <w:tcBorders>
              <w:top w:val="nil"/>
              <w:bottom w:val="single" w:sz="16" w:space="0" w:color="000000"/>
            </w:tcBorders>
            <w:shd w:val="clear" w:color="auto" w:fill="FFFFFF"/>
            <w:vAlign w:val="center"/>
          </w:tcPr>
          <w:p w14:paraId="669B633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2" w:type="dxa"/>
            <w:tcBorders>
              <w:top w:val="nil"/>
              <w:bottom w:val="single" w:sz="16" w:space="0" w:color="000000"/>
            </w:tcBorders>
            <w:shd w:val="clear" w:color="auto" w:fill="FFFFFF"/>
            <w:vAlign w:val="center"/>
          </w:tcPr>
          <w:p w14:paraId="723AAF0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65" w:type="dxa"/>
            <w:tcBorders>
              <w:top w:val="nil"/>
              <w:bottom w:val="single" w:sz="16" w:space="0" w:color="000000"/>
            </w:tcBorders>
            <w:shd w:val="clear" w:color="auto" w:fill="FFFFFF"/>
            <w:vAlign w:val="center"/>
          </w:tcPr>
          <w:p w14:paraId="50590B7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85" w:type="dxa"/>
            <w:tcBorders>
              <w:top w:val="nil"/>
              <w:bottom w:val="single" w:sz="16" w:space="0" w:color="000000"/>
              <w:right w:val="single" w:sz="16" w:space="0" w:color="000000"/>
            </w:tcBorders>
            <w:shd w:val="clear" w:color="auto" w:fill="FFFFFF"/>
            <w:vAlign w:val="center"/>
          </w:tcPr>
          <w:p w14:paraId="03199400"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bl>
    <w:p w14:paraId="0C379110" w14:textId="77777777" w:rsidR="00137B0F" w:rsidRDefault="00137B0F" w:rsidP="00137B0F"/>
    <w:p w14:paraId="4AC4C262" w14:textId="77777777" w:rsidR="00137B0F" w:rsidRDefault="00137B0F" w:rsidP="00137B0F">
      <w:r>
        <w:lastRenderedPageBreak/>
        <w:t xml:space="preserve">There seems to be an optimum baseline confidence level for performance as measured by the formative assessment tool in the 19 FP domains (Table 7-4). Between a score of 4-7, mean performance is similar. The mean formative scores for the extremes of confidence (3 or 8) are also similar at 109, suggesting poorer performance is seen in the extremes of self-perceived confidence. However these groups only make up small numbers of between four or five students. Within the group that scored 8 for baseline confidence, there is a large standard deviation suggesting that there is a wide variation of those that are most confident that perform very well and not so well. Whereas in the lower confidence scoring group, they seem to score lower on the whole but all were considered safe and professional.  This suggests that confidence is perhaps a lot more complicated when exploring links with performance that is objectively measured. </w:t>
      </w:r>
    </w:p>
    <w:p w14:paraId="7962014B" w14:textId="77777777" w:rsidR="00137B0F" w:rsidRDefault="00137B0F" w:rsidP="00137B0F"/>
    <w:p w14:paraId="3FD88F6F" w14:textId="77777777" w:rsidR="00137B0F" w:rsidRDefault="00137B0F" w:rsidP="00137B0F"/>
    <w:p w14:paraId="72037275" w14:textId="77777777" w:rsidR="00137B0F" w:rsidRDefault="00137B0F" w:rsidP="00137B0F"/>
    <w:p w14:paraId="094AEA3E" w14:textId="77777777" w:rsidR="00137B0F" w:rsidRDefault="00137B0F" w:rsidP="00137B0F"/>
    <w:p w14:paraId="1A090A31" w14:textId="77777777" w:rsidR="00137B0F" w:rsidRDefault="00137B0F" w:rsidP="00137B0F"/>
    <w:p w14:paraId="67D8C015" w14:textId="77777777" w:rsidR="00137B0F" w:rsidRDefault="00137B0F" w:rsidP="00137B0F"/>
    <w:p w14:paraId="014DCE02" w14:textId="77777777" w:rsidR="00137B0F" w:rsidRDefault="00137B0F" w:rsidP="00137B0F"/>
    <w:p w14:paraId="20E4D72E" w14:textId="19C5BAF9" w:rsidR="00137B0F" w:rsidRDefault="00137B0F" w:rsidP="007000F8">
      <w:pPr>
        <w:pStyle w:val="Caption"/>
      </w:pPr>
      <w:bookmarkStart w:id="337" w:name="_Toc419116505"/>
      <w:bookmarkStart w:id="338" w:name="_Toc365579487"/>
      <w:r>
        <w:lastRenderedPageBreak/>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5</w:t>
      </w:r>
      <w:r w:rsidR="007000F8">
        <w:fldChar w:fldCharType="end"/>
      </w:r>
      <w:r>
        <w:t xml:space="preserve"> Change in pre and post-course confidence score (Q20 difference) compared with formative assessment result</w:t>
      </w:r>
      <w:bookmarkEnd w:id="337"/>
      <w:r>
        <w:t xml:space="preserve"> </w:t>
      </w:r>
      <w:bookmarkEnd w:id="338"/>
    </w:p>
    <w:tbl>
      <w:tblPr>
        <w:tblW w:w="84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7"/>
        <w:gridCol w:w="1924"/>
        <w:gridCol w:w="1073"/>
        <w:gridCol w:w="1136"/>
        <w:gridCol w:w="1202"/>
        <w:gridCol w:w="1073"/>
        <w:gridCol w:w="1247"/>
      </w:tblGrid>
      <w:tr w:rsidR="00137B0F" w:rsidRPr="00B45B65" w14:paraId="0A048BC9" w14:textId="77777777" w:rsidTr="00977660">
        <w:trPr>
          <w:cantSplit/>
          <w:trHeight w:val="554"/>
        </w:trPr>
        <w:tc>
          <w:tcPr>
            <w:tcW w:w="8472" w:type="dxa"/>
            <w:gridSpan w:val="7"/>
            <w:tcBorders>
              <w:top w:val="nil"/>
              <w:left w:val="nil"/>
              <w:bottom w:val="nil"/>
              <w:right w:val="nil"/>
            </w:tcBorders>
            <w:shd w:val="clear" w:color="auto" w:fill="FFFFFF"/>
            <w:vAlign w:val="center"/>
          </w:tcPr>
          <w:p w14:paraId="061FB8E3" w14:textId="77777777" w:rsidR="00137B0F" w:rsidRPr="00B45B65" w:rsidRDefault="00137B0F" w:rsidP="00977660">
            <w:pPr>
              <w:widowControl w:val="0"/>
              <w:autoSpaceDE w:val="0"/>
              <w:autoSpaceDN w:val="0"/>
              <w:adjustRightInd w:val="0"/>
              <w:spacing w:line="320" w:lineRule="atLeast"/>
              <w:ind w:right="60"/>
              <w:rPr>
                <w:rFonts w:cs="Arial"/>
                <w:color w:val="000000"/>
              </w:rPr>
            </w:pPr>
          </w:p>
        </w:tc>
      </w:tr>
      <w:tr w:rsidR="00137B0F" w:rsidRPr="00B45B65" w14:paraId="23A5C9A1" w14:textId="77777777" w:rsidTr="00977660">
        <w:trPr>
          <w:cantSplit/>
          <w:trHeight w:val="1028"/>
        </w:trPr>
        <w:tc>
          <w:tcPr>
            <w:tcW w:w="2741" w:type="dxa"/>
            <w:gridSpan w:val="2"/>
            <w:tcBorders>
              <w:top w:val="single" w:sz="16" w:space="0" w:color="000000"/>
              <w:left w:val="single" w:sz="16" w:space="0" w:color="000000"/>
              <w:bottom w:val="single" w:sz="16" w:space="0" w:color="000000"/>
              <w:right w:val="nil"/>
            </w:tcBorders>
            <w:shd w:val="clear" w:color="auto" w:fill="FFFFFF"/>
            <w:vAlign w:val="bottom"/>
          </w:tcPr>
          <w:p w14:paraId="6B735966"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Q20 difference/ change in confidence score pre and post-course</w:t>
            </w:r>
          </w:p>
        </w:tc>
        <w:tc>
          <w:tcPr>
            <w:tcW w:w="1073" w:type="dxa"/>
            <w:tcBorders>
              <w:top w:val="single" w:sz="16" w:space="0" w:color="000000"/>
              <w:left w:val="single" w:sz="16" w:space="0" w:color="000000"/>
              <w:bottom w:val="single" w:sz="16" w:space="0" w:color="000000"/>
            </w:tcBorders>
            <w:shd w:val="clear" w:color="auto" w:fill="FFFFFF"/>
            <w:vAlign w:val="bottom"/>
          </w:tcPr>
          <w:p w14:paraId="4339892A"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N</w:t>
            </w:r>
          </w:p>
        </w:tc>
        <w:tc>
          <w:tcPr>
            <w:tcW w:w="1136" w:type="dxa"/>
            <w:tcBorders>
              <w:top w:val="single" w:sz="16" w:space="0" w:color="000000"/>
              <w:bottom w:val="single" w:sz="16" w:space="0" w:color="000000"/>
            </w:tcBorders>
            <w:shd w:val="clear" w:color="auto" w:fill="FFFFFF"/>
            <w:vAlign w:val="bottom"/>
          </w:tcPr>
          <w:p w14:paraId="114FF018"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Minimum</w:t>
            </w:r>
          </w:p>
        </w:tc>
        <w:tc>
          <w:tcPr>
            <w:tcW w:w="1202" w:type="dxa"/>
            <w:tcBorders>
              <w:top w:val="single" w:sz="16" w:space="0" w:color="000000"/>
              <w:bottom w:val="single" w:sz="16" w:space="0" w:color="000000"/>
            </w:tcBorders>
            <w:shd w:val="clear" w:color="auto" w:fill="FFFFFF"/>
            <w:vAlign w:val="bottom"/>
          </w:tcPr>
          <w:p w14:paraId="42BA8868"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Maximum</w:t>
            </w:r>
          </w:p>
        </w:tc>
        <w:tc>
          <w:tcPr>
            <w:tcW w:w="1073" w:type="dxa"/>
            <w:tcBorders>
              <w:top w:val="single" w:sz="16" w:space="0" w:color="000000"/>
              <w:bottom w:val="single" w:sz="16" w:space="0" w:color="000000"/>
            </w:tcBorders>
            <w:shd w:val="clear" w:color="auto" w:fill="FFFFFF"/>
            <w:vAlign w:val="bottom"/>
          </w:tcPr>
          <w:p w14:paraId="090FE6C2"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Mean</w:t>
            </w:r>
          </w:p>
        </w:tc>
        <w:tc>
          <w:tcPr>
            <w:tcW w:w="1247" w:type="dxa"/>
            <w:tcBorders>
              <w:top w:val="single" w:sz="16" w:space="0" w:color="000000"/>
              <w:bottom w:val="single" w:sz="16" w:space="0" w:color="000000"/>
              <w:right w:val="single" w:sz="16" w:space="0" w:color="000000"/>
            </w:tcBorders>
            <w:shd w:val="clear" w:color="auto" w:fill="FFFFFF"/>
            <w:vAlign w:val="bottom"/>
          </w:tcPr>
          <w:p w14:paraId="4214664F"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Std. Deviation</w:t>
            </w:r>
          </w:p>
        </w:tc>
      </w:tr>
      <w:tr w:rsidR="00137B0F" w:rsidRPr="00B45B65" w14:paraId="3F0CF350" w14:textId="77777777" w:rsidTr="00977660">
        <w:trPr>
          <w:cantSplit/>
          <w:trHeight w:val="792"/>
        </w:trPr>
        <w:tc>
          <w:tcPr>
            <w:tcW w:w="817" w:type="dxa"/>
            <w:vMerge w:val="restart"/>
            <w:tcBorders>
              <w:top w:val="single" w:sz="16" w:space="0" w:color="000000"/>
              <w:left w:val="single" w:sz="16" w:space="0" w:color="000000"/>
              <w:right w:val="nil"/>
            </w:tcBorders>
            <w:shd w:val="clear" w:color="auto" w:fill="FFFFFF"/>
          </w:tcPr>
          <w:p w14:paraId="2A34F2AB"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-1</w:t>
            </w:r>
          </w:p>
        </w:tc>
        <w:tc>
          <w:tcPr>
            <w:tcW w:w="1923" w:type="dxa"/>
            <w:tcBorders>
              <w:top w:val="single" w:sz="16" w:space="0" w:color="000000"/>
              <w:left w:val="nil"/>
              <w:bottom w:val="nil"/>
              <w:right w:val="single" w:sz="16" w:space="0" w:color="000000"/>
            </w:tcBorders>
            <w:shd w:val="clear" w:color="auto" w:fill="FFFFFF"/>
          </w:tcPr>
          <w:p w14:paraId="4C4E410B"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Formative assessment mark</w:t>
            </w:r>
          </w:p>
        </w:tc>
        <w:tc>
          <w:tcPr>
            <w:tcW w:w="1073" w:type="dxa"/>
            <w:tcBorders>
              <w:top w:val="single" w:sz="16" w:space="0" w:color="000000"/>
              <w:left w:val="single" w:sz="16" w:space="0" w:color="000000"/>
              <w:bottom w:val="nil"/>
            </w:tcBorders>
            <w:shd w:val="clear" w:color="auto" w:fill="FFFFFF"/>
            <w:vAlign w:val="center"/>
          </w:tcPr>
          <w:p w14:paraId="7122224D"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2</w:t>
            </w:r>
          </w:p>
        </w:tc>
        <w:tc>
          <w:tcPr>
            <w:tcW w:w="1136" w:type="dxa"/>
            <w:tcBorders>
              <w:top w:val="single" w:sz="16" w:space="0" w:color="000000"/>
              <w:bottom w:val="nil"/>
            </w:tcBorders>
            <w:shd w:val="clear" w:color="auto" w:fill="FFFFFF"/>
            <w:vAlign w:val="center"/>
          </w:tcPr>
          <w:p w14:paraId="458AE5F9"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102</w:t>
            </w:r>
          </w:p>
        </w:tc>
        <w:tc>
          <w:tcPr>
            <w:tcW w:w="1202" w:type="dxa"/>
            <w:tcBorders>
              <w:top w:val="single" w:sz="16" w:space="0" w:color="000000"/>
              <w:bottom w:val="nil"/>
            </w:tcBorders>
            <w:shd w:val="clear" w:color="auto" w:fill="FFFFFF"/>
            <w:vAlign w:val="center"/>
          </w:tcPr>
          <w:p w14:paraId="7CA560FD"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121</w:t>
            </w:r>
          </w:p>
        </w:tc>
        <w:tc>
          <w:tcPr>
            <w:tcW w:w="1073" w:type="dxa"/>
            <w:tcBorders>
              <w:top w:val="single" w:sz="16" w:space="0" w:color="000000"/>
              <w:bottom w:val="nil"/>
            </w:tcBorders>
            <w:shd w:val="clear" w:color="auto" w:fill="FFFFFF"/>
            <w:vAlign w:val="center"/>
          </w:tcPr>
          <w:p w14:paraId="6F86BA73"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111.50</w:t>
            </w:r>
          </w:p>
        </w:tc>
        <w:tc>
          <w:tcPr>
            <w:tcW w:w="1247" w:type="dxa"/>
            <w:tcBorders>
              <w:top w:val="single" w:sz="16" w:space="0" w:color="000000"/>
              <w:bottom w:val="nil"/>
              <w:right w:val="single" w:sz="16" w:space="0" w:color="000000"/>
            </w:tcBorders>
            <w:shd w:val="clear" w:color="auto" w:fill="FFFFFF"/>
            <w:vAlign w:val="center"/>
          </w:tcPr>
          <w:p w14:paraId="1EABC763"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13.435</w:t>
            </w:r>
          </w:p>
        </w:tc>
      </w:tr>
      <w:tr w:rsidR="00137B0F" w:rsidRPr="00B45B65" w14:paraId="772DA678" w14:textId="77777777" w:rsidTr="00977660">
        <w:trPr>
          <w:cantSplit/>
          <w:trHeight w:val="108"/>
        </w:trPr>
        <w:tc>
          <w:tcPr>
            <w:tcW w:w="817" w:type="dxa"/>
            <w:vMerge/>
            <w:tcBorders>
              <w:top w:val="single" w:sz="16" w:space="0" w:color="000000"/>
              <w:left w:val="single" w:sz="16" w:space="0" w:color="000000"/>
              <w:right w:val="nil"/>
            </w:tcBorders>
            <w:shd w:val="clear" w:color="auto" w:fill="FFFFFF"/>
          </w:tcPr>
          <w:p w14:paraId="6EDF0F70"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23" w:type="dxa"/>
            <w:tcBorders>
              <w:top w:val="nil"/>
              <w:left w:val="nil"/>
              <w:right w:val="single" w:sz="16" w:space="0" w:color="000000"/>
            </w:tcBorders>
            <w:shd w:val="clear" w:color="auto" w:fill="FFFFFF"/>
          </w:tcPr>
          <w:p w14:paraId="7E60318C"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1073" w:type="dxa"/>
            <w:tcBorders>
              <w:top w:val="nil"/>
              <w:left w:val="single" w:sz="16" w:space="0" w:color="000000"/>
            </w:tcBorders>
            <w:shd w:val="clear" w:color="auto" w:fill="FFFFFF"/>
            <w:vAlign w:val="center"/>
          </w:tcPr>
          <w:p w14:paraId="4B59BD6C"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2</w:t>
            </w:r>
          </w:p>
        </w:tc>
        <w:tc>
          <w:tcPr>
            <w:tcW w:w="1136" w:type="dxa"/>
            <w:tcBorders>
              <w:top w:val="nil"/>
            </w:tcBorders>
            <w:shd w:val="clear" w:color="auto" w:fill="FFFFFF"/>
            <w:vAlign w:val="center"/>
          </w:tcPr>
          <w:p w14:paraId="4CC4B1E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2" w:type="dxa"/>
            <w:tcBorders>
              <w:top w:val="nil"/>
            </w:tcBorders>
            <w:shd w:val="clear" w:color="auto" w:fill="FFFFFF"/>
            <w:vAlign w:val="center"/>
          </w:tcPr>
          <w:p w14:paraId="30EA94D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3" w:type="dxa"/>
            <w:tcBorders>
              <w:top w:val="nil"/>
            </w:tcBorders>
            <w:shd w:val="clear" w:color="auto" w:fill="FFFFFF"/>
            <w:vAlign w:val="center"/>
          </w:tcPr>
          <w:p w14:paraId="325C910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47" w:type="dxa"/>
            <w:tcBorders>
              <w:top w:val="nil"/>
              <w:right w:val="single" w:sz="16" w:space="0" w:color="000000"/>
            </w:tcBorders>
            <w:shd w:val="clear" w:color="auto" w:fill="FFFFFF"/>
            <w:vAlign w:val="center"/>
          </w:tcPr>
          <w:p w14:paraId="2433ED91"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48F3E372" w14:textId="77777777" w:rsidTr="00977660">
        <w:trPr>
          <w:cantSplit/>
          <w:trHeight w:val="792"/>
        </w:trPr>
        <w:tc>
          <w:tcPr>
            <w:tcW w:w="817" w:type="dxa"/>
            <w:vMerge w:val="restart"/>
            <w:tcBorders>
              <w:top w:val="nil"/>
              <w:left w:val="single" w:sz="16" w:space="0" w:color="000000"/>
              <w:right w:val="nil"/>
            </w:tcBorders>
            <w:shd w:val="clear" w:color="auto" w:fill="FFFFFF"/>
          </w:tcPr>
          <w:p w14:paraId="2D583EC8"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0</w:t>
            </w:r>
          </w:p>
        </w:tc>
        <w:tc>
          <w:tcPr>
            <w:tcW w:w="1923" w:type="dxa"/>
            <w:tcBorders>
              <w:top w:val="nil"/>
              <w:left w:val="nil"/>
              <w:bottom w:val="nil"/>
              <w:right w:val="single" w:sz="16" w:space="0" w:color="000000"/>
            </w:tcBorders>
            <w:shd w:val="clear" w:color="auto" w:fill="FFFFFF"/>
          </w:tcPr>
          <w:p w14:paraId="2D6D5BCB"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Formative assessment mark</w:t>
            </w:r>
          </w:p>
        </w:tc>
        <w:tc>
          <w:tcPr>
            <w:tcW w:w="1073" w:type="dxa"/>
            <w:tcBorders>
              <w:top w:val="nil"/>
              <w:left w:val="single" w:sz="16" w:space="0" w:color="000000"/>
              <w:bottom w:val="nil"/>
            </w:tcBorders>
            <w:shd w:val="clear" w:color="auto" w:fill="FFFFFF"/>
            <w:vAlign w:val="center"/>
          </w:tcPr>
          <w:p w14:paraId="57674C1E"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19</w:t>
            </w:r>
          </w:p>
        </w:tc>
        <w:tc>
          <w:tcPr>
            <w:tcW w:w="1136" w:type="dxa"/>
            <w:tcBorders>
              <w:top w:val="nil"/>
              <w:bottom w:val="nil"/>
            </w:tcBorders>
            <w:shd w:val="clear" w:color="auto" w:fill="FFFFFF"/>
            <w:vAlign w:val="center"/>
          </w:tcPr>
          <w:p w14:paraId="30DFFEC7"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86</w:t>
            </w:r>
          </w:p>
        </w:tc>
        <w:tc>
          <w:tcPr>
            <w:tcW w:w="1202" w:type="dxa"/>
            <w:tcBorders>
              <w:top w:val="nil"/>
              <w:bottom w:val="nil"/>
            </w:tcBorders>
            <w:shd w:val="clear" w:color="auto" w:fill="FFFFFF"/>
            <w:vAlign w:val="center"/>
          </w:tcPr>
          <w:p w14:paraId="1C3DF701"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145</w:t>
            </w:r>
          </w:p>
        </w:tc>
        <w:tc>
          <w:tcPr>
            <w:tcW w:w="1073" w:type="dxa"/>
            <w:tcBorders>
              <w:top w:val="nil"/>
              <w:bottom w:val="nil"/>
            </w:tcBorders>
            <w:shd w:val="clear" w:color="auto" w:fill="FFFFFF"/>
            <w:vAlign w:val="center"/>
          </w:tcPr>
          <w:p w14:paraId="1039AB9F"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116.63</w:t>
            </w:r>
          </w:p>
        </w:tc>
        <w:tc>
          <w:tcPr>
            <w:tcW w:w="1247" w:type="dxa"/>
            <w:tcBorders>
              <w:top w:val="nil"/>
              <w:bottom w:val="nil"/>
              <w:right w:val="single" w:sz="16" w:space="0" w:color="000000"/>
            </w:tcBorders>
            <w:shd w:val="clear" w:color="auto" w:fill="FFFFFF"/>
            <w:vAlign w:val="center"/>
          </w:tcPr>
          <w:p w14:paraId="0F79A677"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16.208</w:t>
            </w:r>
          </w:p>
        </w:tc>
      </w:tr>
      <w:tr w:rsidR="00137B0F" w:rsidRPr="00B45B65" w14:paraId="4A2DFDD5" w14:textId="77777777" w:rsidTr="00977660">
        <w:trPr>
          <w:cantSplit/>
          <w:trHeight w:val="296"/>
        </w:trPr>
        <w:tc>
          <w:tcPr>
            <w:tcW w:w="817" w:type="dxa"/>
            <w:vMerge/>
            <w:tcBorders>
              <w:top w:val="nil"/>
              <w:left w:val="single" w:sz="16" w:space="0" w:color="000000"/>
              <w:right w:val="nil"/>
            </w:tcBorders>
            <w:shd w:val="clear" w:color="auto" w:fill="FFFFFF"/>
          </w:tcPr>
          <w:p w14:paraId="4F695971"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23" w:type="dxa"/>
            <w:tcBorders>
              <w:top w:val="nil"/>
              <w:left w:val="nil"/>
              <w:right w:val="single" w:sz="16" w:space="0" w:color="000000"/>
            </w:tcBorders>
            <w:shd w:val="clear" w:color="auto" w:fill="FFFFFF"/>
          </w:tcPr>
          <w:p w14:paraId="17991367"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1073" w:type="dxa"/>
            <w:tcBorders>
              <w:top w:val="nil"/>
              <w:left w:val="single" w:sz="16" w:space="0" w:color="000000"/>
            </w:tcBorders>
            <w:shd w:val="clear" w:color="auto" w:fill="FFFFFF"/>
            <w:vAlign w:val="center"/>
          </w:tcPr>
          <w:p w14:paraId="668A179B"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19</w:t>
            </w:r>
          </w:p>
        </w:tc>
        <w:tc>
          <w:tcPr>
            <w:tcW w:w="1136" w:type="dxa"/>
            <w:tcBorders>
              <w:top w:val="nil"/>
            </w:tcBorders>
            <w:shd w:val="clear" w:color="auto" w:fill="FFFFFF"/>
            <w:vAlign w:val="center"/>
          </w:tcPr>
          <w:p w14:paraId="5AB87032"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2" w:type="dxa"/>
            <w:tcBorders>
              <w:top w:val="nil"/>
            </w:tcBorders>
            <w:shd w:val="clear" w:color="auto" w:fill="FFFFFF"/>
            <w:vAlign w:val="center"/>
          </w:tcPr>
          <w:p w14:paraId="70B514A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3" w:type="dxa"/>
            <w:tcBorders>
              <w:top w:val="nil"/>
            </w:tcBorders>
            <w:shd w:val="clear" w:color="auto" w:fill="FFFFFF"/>
            <w:vAlign w:val="center"/>
          </w:tcPr>
          <w:p w14:paraId="6DE6AA2D"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47" w:type="dxa"/>
            <w:tcBorders>
              <w:top w:val="nil"/>
              <w:right w:val="single" w:sz="16" w:space="0" w:color="000000"/>
            </w:tcBorders>
            <w:shd w:val="clear" w:color="auto" w:fill="FFFFFF"/>
            <w:vAlign w:val="center"/>
          </w:tcPr>
          <w:p w14:paraId="451B7A42"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16A405B7" w14:textId="77777777" w:rsidTr="00977660">
        <w:trPr>
          <w:cantSplit/>
          <w:trHeight w:val="792"/>
        </w:trPr>
        <w:tc>
          <w:tcPr>
            <w:tcW w:w="817" w:type="dxa"/>
            <w:vMerge w:val="restart"/>
            <w:tcBorders>
              <w:top w:val="nil"/>
              <w:left w:val="single" w:sz="16" w:space="0" w:color="000000"/>
              <w:right w:val="nil"/>
            </w:tcBorders>
            <w:shd w:val="clear" w:color="auto" w:fill="FFFFFF"/>
          </w:tcPr>
          <w:p w14:paraId="616FB5A2"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1</w:t>
            </w:r>
          </w:p>
        </w:tc>
        <w:tc>
          <w:tcPr>
            <w:tcW w:w="1923" w:type="dxa"/>
            <w:tcBorders>
              <w:top w:val="nil"/>
              <w:left w:val="nil"/>
              <w:bottom w:val="nil"/>
              <w:right w:val="single" w:sz="16" w:space="0" w:color="000000"/>
            </w:tcBorders>
            <w:shd w:val="clear" w:color="auto" w:fill="FFFFFF"/>
          </w:tcPr>
          <w:p w14:paraId="1597FF37"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Formative assessment mark</w:t>
            </w:r>
          </w:p>
        </w:tc>
        <w:tc>
          <w:tcPr>
            <w:tcW w:w="1073" w:type="dxa"/>
            <w:tcBorders>
              <w:top w:val="nil"/>
              <w:left w:val="single" w:sz="16" w:space="0" w:color="000000"/>
              <w:bottom w:val="nil"/>
            </w:tcBorders>
            <w:shd w:val="clear" w:color="auto" w:fill="FFFFFF"/>
            <w:vAlign w:val="center"/>
          </w:tcPr>
          <w:p w14:paraId="0326A206"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34</w:t>
            </w:r>
          </w:p>
        </w:tc>
        <w:tc>
          <w:tcPr>
            <w:tcW w:w="1136" w:type="dxa"/>
            <w:tcBorders>
              <w:top w:val="nil"/>
              <w:bottom w:val="nil"/>
            </w:tcBorders>
            <w:shd w:val="clear" w:color="auto" w:fill="FFFFFF"/>
            <w:vAlign w:val="center"/>
          </w:tcPr>
          <w:p w14:paraId="7C2266C4"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78</w:t>
            </w:r>
          </w:p>
        </w:tc>
        <w:tc>
          <w:tcPr>
            <w:tcW w:w="1202" w:type="dxa"/>
            <w:tcBorders>
              <w:top w:val="nil"/>
              <w:bottom w:val="nil"/>
            </w:tcBorders>
            <w:shd w:val="clear" w:color="auto" w:fill="FFFFFF"/>
            <w:vAlign w:val="center"/>
          </w:tcPr>
          <w:p w14:paraId="4ECD5BF3"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146</w:t>
            </w:r>
          </w:p>
        </w:tc>
        <w:tc>
          <w:tcPr>
            <w:tcW w:w="1073" w:type="dxa"/>
            <w:tcBorders>
              <w:top w:val="nil"/>
              <w:bottom w:val="nil"/>
            </w:tcBorders>
            <w:shd w:val="clear" w:color="auto" w:fill="FFFFFF"/>
            <w:vAlign w:val="center"/>
          </w:tcPr>
          <w:p w14:paraId="374D55AA"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118.47</w:t>
            </w:r>
          </w:p>
        </w:tc>
        <w:tc>
          <w:tcPr>
            <w:tcW w:w="1247" w:type="dxa"/>
            <w:tcBorders>
              <w:top w:val="nil"/>
              <w:bottom w:val="nil"/>
              <w:right w:val="single" w:sz="16" w:space="0" w:color="000000"/>
            </w:tcBorders>
            <w:shd w:val="clear" w:color="auto" w:fill="FFFFFF"/>
            <w:vAlign w:val="center"/>
          </w:tcPr>
          <w:p w14:paraId="2CDC332D"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14.527</w:t>
            </w:r>
          </w:p>
        </w:tc>
      </w:tr>
      <w:tr w:rsidR="00137B0F" w:rsidRPr="00B45B65" w14:paraId="71E1AE59" w14:textId="77777777" w:rsidTr="00977660">
        <w:trPr>
          <w:cantSplit/>
          <w:trHeight w:val="108"/>
        </w:trPr>
        <w:tc>
          <w:tcPr>
            <w:tcW w:w="817" w:type="dxa"/>
            <w:vMerge/>
            <w:tcBorders>
              <w:top w:val="nil"/>
              <w:left w:val="single" w:sz="16" w:space="0" w:color="000000"/>
              <w:right w:val="nil"/>
            </w:tcBorders>
            <w:shd w:val="clear" w:color="auto" w:fill="FFFFFF"/>
          </w:tcPr>
          <w:p w14:paraId="2D7BF215"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23" w:type="dxa"/>
            <w:tcBorders>
              <w:top w:val="nil"/>
              <w:left w:val="nil"/>
              <w:right w:val="single" w:sz="16" w:space="0" w:color="000000"/>
            </w:tcBorders>
            <w:shd w:val="clear" w:color="auto" w:fill="FFFFFF"/>
          </w:tcPr>
          <w:p w14:paraId="0702D6BD"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1073" w:type="dxa"/>
            <w:tcBorders>
              <w:top w:val="nil"/>
              <w:left w:val="single" w:sz="16" w:space="0" w:color="000000"/>
            </w:tcBorders>
            <w:shd w:val="clear" w:color="auto" w:fill="FFFFFF"/>
            <w:vAlign w:val="center"/>
          </w:tcPr>
          <w:p w14:paraId="12F4D29A"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34</w:t>
            </w:r>
          </w:p>
        </w:tc>
        <w:tc>
          <w:tcPr>
            <w:tcW w:w="1136" w:type="dxa"/>
            <w:tcBorders>
              <w:top w:val="nil"/>
            </w:tcBorders>
            <w:shd w:val="clear" w:color="auto" w:fill="FFFFFF"/>
            <w:vAlign w:val="center"/>
          </w:tcPr>
          <w:p w14:paraId="55400B6D"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2" w:type="dxa"/>
            <w:tcBorders>
              <w:top w:val="nil"/>
            </w:tcBorders>
            <w:shd w:val="clear" w:color="auto" w:fill="FFFFFF"/>
            <w:vAlign w:val="center"/>
          </w:tcPr>
          <w:p w14:paraId="15033841"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3" w:type="dxa"/>
            <w:tcBorders>
              <w:top w:val="nil"/>
            </w:tcBorders>
            <w:shd w:val="clear" w:color="auto" w:fill="FFFFFF"/>
            <w:vAlign w:val="center"/>
          </w:tcPr>
          <w:p w14:paraId="3791DF6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47" w:type="dxa"/>
            <w:tcBorders>
              <w:top w:val="nil"/>
              <w:right w:val="single" w:sz="16" w:space="0" w:color="000000"/>
            </w:tcBorders>
            <w:shd w:val="clear" w:color="auto" w:fill="FFFFFF"/>
            <w:vAlign w:val="center"/>
          </w:tcPr>
          <w:p w14:paraId="7234E27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1047E616" w14:textId="77777777" w:rsidTr="00977660">
        <w:trPr>
          <w:cantSplit/>
          <w:trHeight w:val="792"/>
        </w:trPr>
        <w:tc>
          <w:tcPr>
            <w:tcW w:w="817" w:type="dxa"/>
            <w:vMerge w:val="restart"/>
            <w:tcBorders>
              <w:top w:val="nil"/>
              <w:left w:val="single" w:sz="16" w:space="0" w:color="000000"/>
              <w:right w:val="nil"/>
            </w:tcBorders>
            <w:shd w:val="clear" w:color="auto" w:fill="FFFFFF"/>
          </w:tcPr>
          <w:p w14:paraId="79EA7D8C"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2</w:t>
            </w:r>
          </w:p>
        </w:tc>
        <w:tc>
          <w:tcPr>
            <w:tcW w:w="1923" w:type="dxa"/>
            <w:tcBorders>
              <w:top w:val="nil"/>
              <w:left w:val="nil"/>
              <w:bottom w:val="nil"/>
              <w:right w:val="single" w:sz="16" w:space="0" w:color="000000"/>
            </w:tcBorders>
            <w:shd w:val="clear" w:color="auto" w:fill="FFFFFF"/>
          </w:tcPr>
          <w:p w14:paraId="33DF4F62"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Formative assessment mark</w:t>
            </w:r>
          </w:p>
        </w:tc>
        <w:tc>
          <w:tcPr>
            <w:tcW w:w="1073" w:type="dxa"/>
            <w:tcBorders>
              <w:top w:val="nil"/>
              <w:left w:val="single" w:sz="16" w:space="0" w:color="000000"/>
              <w:bottom w:val="nil"/>
            </w:tcBorders>
            <w:shd w:val="clear" w:color="auto" w:fill="FFFFFF"/>
            <w:vAlign w:val="center"/>
          </w:tcPr>
          <w:p w14:paraId="18F52F42"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28</w:t>
            </w:r>
          </w:p>
        </w:tc>
        <w:tc>
          <w:tcPr>
            <w:tcW w:w="1136" w:type="dxa"/>
            <w:tcBorders>
              <w:top w:val="nil"/>
              <w:bottom w:val="nil"/>
            </w:tcBorders>
            <w:shd w:val="clear" w:color="auto" w:fill="FFFFFF"/>
            <w:vAlign w:val="center"/>
          </w:tcPr>
          <w:p w14:paraId="1122A37D"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90</w:t>
            </w:r>
          </w:p>
        </w:tc>
        <w:tc>
          <w:tcPr>
            <w:tcW w:w="1202" w:type="dxa"/>
            <w:tcBorders>
              <w:top w:val="nil"/>
              <w:bottom w:val="nil"/>
            </w:tcBorders>
            <w:shd w:val="clear" w:color="auto" w:fill="FFFFFF"/>
            <w:vAlign w:val="center"/>
          </w:tcPr>
          <w:p w14:paraId="78E6A1D6"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140</w:t>
            </w:r>
          </w:p>
        </w:tc>
        <w:tc>
          <w:tcPr>
            <w:tcW w:w="1073" w:type="dxa"/>
            <w:tcBorders>
              <w:top w:val="nil"/>
              <w:bottom w:val="nil"/>
            </w:tcBorders>
            <w:shd w:val="clear" w:color="auto" w:fill="FFFFFF"/>
            <w:vAlign w:val="center"/>
          </w:tcPr>
          <w:p w14:paraId="42DB8E1F"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116.96</w:t>
            </w:r>
          </w:p>
        </w:tc>
        <w:tc>
          <w:tcPr>
            <w:tcW w:w="1247" w:type="dxa"/>
            <w:tcBorders>
              <w:top w:val="nil"/>
              <w:bottom w:val="nil"/>
              <w:right w:val="single" w:sz="16" w:space="0" w:color="000000"/>
            </w:tcBorders>
            <w:shd w:val="clear" w:color="auto" w:fill="FFFFFF"/>
            <w:vAlign w:val="center"/>
          </w:tcPr>
          <w:p w14:paraId="7BE80D01"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14.539</w:t>
            </w:r>
          </w:p>
        </w:tc>
      </w:tr>
      <w:tr w:rsidR="00137B0F" w:rsidRPr="00B45B65" w14:paraId="644192C3" w14:textId="77777777" w:rsidTr="00977660">
        <w:trPr>
          <w:cantSplit/>
          <w:trHeight w:val="108"/>
        </w:trPr>
        <w:tc>
          <w:tcPr>
            <w:tcW w:w="817" w:type="dxa"/>
            <w:vMerge/>
            <w:tcBorders>
              <w:top w:val="nil"/>
              <w:left w:val="single" w:sz="16" w:space="0" w:color="000000"/>
              <w:right w:val="nil"/>
            </w:tcBorders>
            <w:shd w:val="clear" w:color="auto" w:fill="FFFFFF"/>
          </w:tcPr>
          <w:p w14:paraId="3152A43F"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23" w:type="dxa"/>
            <w:tcBorders>
              <w:top w:val="nil"/>
              <w:left w:val="nil"/>
              <w:right w:val="single" w:sz="16" w:space="0" w:color="000000"/>
            </w:tcBorders>
            <w:shd w:val="clear" w:color="auto" w:fill="FFFFFF"/>
          </w:tcPr>
          <w:p w14:paraId="4A73DEF3"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1073" w:type="dxa"/>
            <w:tcBorders>
              <w:top w:val="nil"/>
              <w:left w:val="single" w:sz="16" w:space="0" w:color="000000"/>
            </w:tcBorders>
            <w:shd w:val="clear" w:color="auto" w:fill="FFFFFF"/>
            <w:vAlign w:val="center"/>
          </w:tcPr>
          <w:p w14:paraId="5A3CF6DA"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28</w:t>
            </w:r>
          </w:p>
        </w:tc>
        <w:tc>
          <w:tcPr>
            <w:tcW w:w="1136" w:type="dxa"/>
            <w:tcBorders>
              <w:top w:val="nil"/>
            </w:tcBorders>
            <w:shd w:val="clear" w:color="auto" w:fill="FFFFFF"/>
            <w:vAlign w:val="center"/>
          </w:tcPr>
          <w:p w14:paraId="6FD6FC95"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2" w:type="dxa"/>
            <w:tcBorders>
              <w:top w:val="nil"/>
            </w:tcBorders>
            <w:shd w:val="clear" w:color="auto" w:fill="FFFFFF"/>
            <w:vAlign w:val="center"/>
          </w:tcPr>
          <w:p w14:paraId="25A4D5D8"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3" w:type="dxa"/>
            <w:tcBorders>
              <w:top w:val="nil"/>
            </w:tcBorders>
            <w:shd w:val="clear" w:color="auto" w:fill="FFFFFF"/>
            <w:vAlign w:val="center"/>
          </w:tcPr>
          <w:p w14:paraId="3FAC80B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47" w:type="dxa"/>
            <w:tcBorders>
              <w:top w:val="nil"/>
              <w:right w:val="single" w:sz="16" w:space="0" w:color="000000"/>
            </w:tcBorders>
            <w:shd w:val="clear" w:color="auto" w:fill="FFFFFF"/>
            <w:vAlign w:val="center"/>
          </w:tcPr>
          <w:p w14:paraId="57D367C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1614FF19" w14:textId="77777777" w:rsidTr="00977660">
        <w:trPr>
          <w:cantSplit/>
          <w:trHeight w:val="792"/>
        </w:trPr>
        <w:tc>
          <w:tcPr>
            <w:tcW w:w="817" w:type="dxa"/>
            <w:vMerge w:val="restart"/>
            <w:tcBorders>
              <w:top w:val="nil"/>
              <w:left w:val="single" w:sz="16" w:space="0" w:color="000000"/>
              <w:right w:val="nil"/>
            </w:tcBorders>
            <w:shd w:val="clear" w:color="auto" w:fill="FFFFFF"/>
          </w:tcPr>
          <w:p w14:paraId="42A82FA3"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3</w:t>
            </w:r>
          </w:p>
        </w:tc>
        <w:tc>
          <w:tcPr>
            <w:tcW w:w="1923" w:type="dxa"/>
            <w:tcBorders>
              <w:top w:val="nil"/>
              <w:left w:val="nil"/>
              <w:bottom w:val="nil"/>
              <w:right w:val="single" w:sz="16" w:space="0" w:color="000000"/>
            </w:tcBorders>
            <w:shd w:val="clear" w:color="auto" w:fill="FFFFFF"/>
          </w:tcPr>
          <w:p w14:paraId="4938502A"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Formative assessment mark</w:t>
            </w:r>
          </w:p>
        </w:tc>
        <w:tc>
          <w:tcPr>
            <w:tcW w:w="1073" w:type="dxa"/>
            <w:tcBorders>
              <w:top w:val="nil"/>
              <w:left w:val="single" w:sz="16" w:space="0" w:color="000000"/>
              <w:bottom w:val="nil"/>
            </w:tcBorders>
            <w:shd w:val="clear" w:color="auto" w:fill="FFFFFF"/>
            <w:vAlign w:val="center"/>
          </w:tcPr>
          <w:p w14:paraId="10682DD5"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7</w:t>
            </w:r>
          </w:p>
        </w:tc>
        <w:tc>
          <w:tcPr>
            <w:tcW w:w="1136" w:type="dxa"/>
            <w:tcBorders>
              <w:top w:val="nil"/>
              <w:bottom w:val="nil"/>
            </w:tcBorders>
            <w:shd w:val="clear" w:color="auto" w:fill="FFFFFF"/>
            <w:vAlign w:val="center"/>
          </w:tcPr>
          <w:p w14:paraId="07B2FE4D"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104</w:t>
            </w:r>
          </w:p>
        </w:tc>
        <w:tc>
          <w:tcPr>
            <w:tcW w:w="1202" w:type="dxa"/>
            <w:tcBorders>
              <w:top w:val="nil"/>
              <w:bottom w:val="nil"/>
            </w:tcBorders>
            <w:shd w:val="clear" w:color="auto" w:fill="FFFFFF"/>
            <w:vAlign w:val="center"/>
          </w:tcPr>
          <w:p w14:paraId="78D2931B"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127</w:t>
            </w:r>
          </w:p>
        </w:tc>
        <w:tc>
          <w:tcPr>
            <w:tcW w:w="1073" w:type="dxa"/>
            <w:tcBorders>
              <w:top w:val="nil"/>
              <w:bottom w:val="nil"/>
            </w:tcBorders>
            <w:shd w:val="clear" w:color="auto" w:fill="FFFFFF"/>
            <w:vAlign w:val="center"/>
          </w:tcPr>
          <w:p w14:paraId="4162696C"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113.00</w:t>
            </w:r>
          </w:p>
        </w:tc>
        <w:tc>
          <w:tcPr>
            <w:tcW w:w="1247" w:type="dxa"/>
            <w:tcBorders>
              <w:top w:val="nil"/>
              <w:bottom w:val="nil"/>
              <w:right w:val="single" w:sz="16" w:space="0" w:color="000000"/>
            </w:tcBorders>
            <w:shd w:val="clear" w:color="auto" w:fill="FFFFFF"/>
            <w:vAlign w:val="center"/>
          </w:tcPr>
          <w:p w14:paraId="77731C63"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10.017</w:t>
            </w:r>
          </w:p>
        </w:tc>
      </w:tr>
      <w:tr w:rsidR="00137B0F" w:rsidRPr="00B45B65" w14:paraId="36E7CCF9" w14:textId="77777777" w:rsidTr="00977660">
        <w:trPr>
          <w:cantSplit/>
          <w:trHeight w:val="108"/>
        </w:trPr>
        <w:tc>
          <w:tcPr>
            <w:tcW w:w="817" w:type="dxa"/>
            <w:vMerge/>
            <w:tcBorders>
              <w:top w:val="nil"/>
              <w:left w:val="single" w:sz="16" w:space="0" w:color="000000"/>
              <w:right w:val="nil"/>
            </w:tcBorders>
            <w:shd w:val="clear" w:color="auto" w:fill="FFFFFF"/>
          </w:tcPr>
          <w:p w14:paraId="3E8B22BF"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23" w:type="dxa"/>
            <w:tcBorders>
              <w:top w:val="nil"/>
              <w:left w:val="nil"/>
              <w:right w:val="single" w:sz="16" w:space="0" w:color="000000"/>
            </w:tcBorders>
            <w:shd w:val="clear" w:color="auto" w:fill="FFFFFF"/>
          </w:tcPr>
          <w:p w14:paraId="7AC0C9DB"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1073" w:type="dxa"/>
            <w:tcBorders>
              <w:top w:val="nil"/>
              <w:left w:val="single" w:sz="16" w:space="0" w:color="000000"/>
            </w:tcBorders>
            <w:shd w:val="clear" w:color="auto" w:fill="FFFFFF"/>
            <w:vAlign w:val="center"/>
          </w:tcPr>
          <w:p w14:paraId="510CD9E8"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7</w:t>
            </w:r>
          </w:p>
        </w:tc>
        <w:tc>
          <w:tcPr>
            <w:tcW w:w="1136" w:type="dxa"/>
            <w:tcBorders>
              <w:top w:val="nil"/>
            </w:tcBorders>
            <w:shd w:val="clear" w:color="auto" w:fill="FFFFFF"/>
            <w:vAlign w:val="center"/>
          </w:tcPr>
          <w:p w14:paraId="75108327"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2" w:type="dxa"/>
            <w:tcBorders>
              <w:top w:val="nil"/>
            </w:tcBorders>
            <w:shd w:val="clear" w:color="auto" w:fill="FFFFFF"/>
            <w:vAlign w:val="center"/>
          </w:tcPr>
          <w:p w14:paraId="1584624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3" w:type="dxa"/>
            <w:tcBorders>
              <w:top w:val="nil"/>
            </w:tcBorders>
            <w:shd w:val="clear" w:color="auto" w:fill="FFFFFF"/>
            <w:vAlign w:val="center"/>
          </w:tcPr>
          <w:p w14:paraId="12BA57D2"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47" w:type="dxa"/>
            <w:tcBorders>
              <w:top w:val="nil"/>
              <w:right w:val="single" w:sz="16" w:space="0" w:color="000000"/>
            </w:tcBorders>
            <w:shd w:val="clear" w:color="auto" w:fill="FFFFFF"/>
            <w:vAlign w:val="center"/>
          </w:tcPr>
          <w:p w14:paraId="11C7BE9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3FEAF577" w14:textId="77777777" w:rsidTr="00977660">
        <w:trPr>
          <w:cantSplit/>
          <w:trHeight w:val="792"/>
        </w:trPr>
        <w:tc>
          <w:tcPr>
            <w:tcW w:w="817" w:type="dxa"/>
            <w:vMerge w:val="restart"/>
            <w:tcBorders>
              <w:top w:val="nil"/>
              <w:left w:val="single" w:sz="16" w:space="0" w:color="000000"/>
              <w:bottom w:val="single" w:sz="16" w:space="0" w:color="000000"/>
              <w:right w:val="nil"/>
            </w:tcBorders>
            <w:shd w:val="clear" w:color="auto" w:fill="FFFFFF"/>
          </w:tcPr>
          <w:p w14:paraId="75AF3AAE"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4</w:t>
            </w:r>
          </w:p>
        </w:tc>
        <w:tc>
          <w:tcPr>
            <w:tcW w:w="1923" w:type="dxa"/>
            <w:tcBorders>
              <w:top w:val="nil"/>
              <w:left w:val="nil"/>
              <w:bottom w:val="nil"/>
              <w:right w:val="single" w:sz="16" w:space="0" w:color="000000"/>
            </w:tcBorders>
            <w:shd w:val="clear" w:color="auto" w:fill="FFFFFF"/>
          </w:tcPr>
          <w:p w14:paraId="5E6B1753" w14:textId="77777777" w:rsidR="00137B0F" w:rsidRPr="003F00CE" w:rsidRDefault="00137B0F" w:rsidP="00977660">
            <w:pPr>
              <w:widowControl w:val="0"/>
              <w:autoSpaceDE w:val="0"/>
              <w:autoSpaceDN w:val="0"/>
              <w:adjustRightInd w:val="0"/>
              <w:spacing w:line="240" w:lineRule="auto"/>
              <w:ind w:left="60" w:right="60"/>
              <w:rPr>
                <w:rFonts w:cs="Arial"/>
                <w:color w:val="000000"/>
                <w:sz w:val="18"/>
                <w:szCs w:val="18"/>
              </w:rPr>
            </w:pPr>
            <w:r w:rsidRPr="003F00CE">
              <w:rPr>
                <w:rFonts w:cs="Arial"/>
                <w:color w:val="000000"/>
                <w:sz w:val="18"/>
                <w:szCs w:val="18"/>
              </w:rPr>
              <w:t>Formative assessment mark</w:t>
            </w:r>
          </w:p>
        </w:tc>
        <w:tc>
          <w:tcPr>
            <w:tcW w:w="1073" w:type="dxa"/>
            <w:tcBorders>
              <w:top w:val="nil"/>
              <w:left w:val="single" w:sz="16" w:space="0" w:color="000000"/>
              <w:bottom w:val="nil"/>
            </w:tcBorders>
            <w:shd w:val="clear" w:color="auto" w:fill="FFFFFF"/>
            <w:vAlign w:val="center"/>
          </w:tcPr>
          <w:p w14:paraId="4D6ABD91"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4</w:t>
            </w:r>
          </w:p>
        </w:tc>
        <w:tc>
          <w:tcPr>
            <w:tcW w:w="1136" w:type="dxa"/>
            <w:tcBorders>
              <w:top w:val="nil"/>
              <w:bottom w:val="nil"/>
            </w:tcBorders>
            <w:shd w:val="clear" w:color="auto" w:fill="FFFFFF"/>
            <w:vAlign w:val="center"/>
          </w:tcPr>
          <w:p w14:paraId="12F74B88"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99</w:t>
            </w:r>
          </w:p>
        </w:tc>
        <w:tc>
          <w:tcPr>
            <w:tcW w:w="1202" w:type="dxa"/>
            <w:tcBorders>
              <w:top w:val="nil"/>
              <w:bottom w:val="nil"/>
            </w:tcBorders>
            <w:shd w:val="clear" w:color="auto" w:fill="FFFFFF"/>
            <w:vAlign w:val="center"/>
          </w:tcPr>
          <w:p w14:paraId="34194A71"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128</w:t>
            </w:r>
          </w:p>
        </w:tc>
        <w:tc>
          <w:tcPr>
            <w:tcW w:w="1073" w:type="dxa"/>
            <w:tcBorders>
              <w:top w:val="nil"/>
              <w:bottom w:val="nil"/>
            </w:tcBorders>
            <w:shd w:val="clear" w:color="auto" w:fill="FFFFFF"/>
            <w:vAlign w:val="center"/>
          </w:tcPr>
          <w:p w14:paraId="4949A711"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114.50</w:t>
            </w:r>
          </w:p>
        </w:tc>
        <w:tc>
          <w:tcPr>
            <w:tcW w:w="1247" w:type="dxa"/>
            <w:tcBorders>
              <w:top w:val="nil"/>
              <w:bottom w:val="nil"/>
              <w:right w:val="single" w:sz="16" w:space="0" w:color="000000"/>
            </w:tcBorders>
            <w:shd w:val="clear" w:color="auto" w:fill="FFFFFF"/>
            <w:vAlign w:val="center"/>
          </w:tcPr>
          <w:p w14:paraId="299B2519" w14:textId="77777777" w:rsidR="00137B0F" w:rsidRPr="003F00CE" w:rsidRDefault="00137B0F" w:rsidP="00977660">
            <w:pPr>
              <w:widowControl w:val="0"/>
              <w:autoSpaceDE w:val="0"/>
              <w:autoSpaceDN w:val="0"/>
              <w:adjustRightInd w:val="0"/>
              <w:spacing w:line="240" w:lineRule="auto"/>
              <w:ind w:left="60" w:right="60"/>
              <w:jc w:val="center"/>
              <w:rPr>
                <w:rFonts w:cs="Arial"/>
                <w:color w:val="000000"/>
                <w:sz w:val="18"/>
                <w:szCs w:val="18"/>
              </w:rPr>
            </w:pPr>
            <w:r w:rsidRPr="003F00CE">
              <w:rPr>
                <w:rFonts w:cs="Arial"/>
                <w:color w:val="000000"/>
                <w:sz w:val="18"/>
                <w:szCs w:val="18"/>
              </w:rPr>
              <w:t>13.379</w:t>
            </w:r>
          </w:p>
        </w:tc>
      </w:tr>
      <w:tr w:rsidR="00137B0F" w:rsidRPr="00B45B65" w14:paraId="07233A9D" w14:textId="77777777" w:rsidTr="00977660">
        <w:trPr>
          <w:cantSplit/>
          <w:trHeight w:val="108"/>
        </w:trPr>
        <w:tc>
          <w:tcPr>
            <w:tcW w:w="817" w:type="dxa"/>
            <w:vMerge/>
            <w:tcBorders>
              <w:top w:val="nil"/>
              <w:left w:val="single" w:sz="16" w:space="0" w:color="000000"/>
              <w:bottom w:val="single" w:sz="16" w:space="0" w:color="000000"/>
              <w:right w:val="nil"/>
            </w:tcBorders>
            <w:shd w:val="clear" w:color="auto" w:fill="FFFFFF"/>
          </w:tcPr>
          <w:p w14:paraId="33D7B7B7"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23" w:type="dxa"/>
            <w:tcBorders>
              <w:top w:val="nil"/>
              <w:left w:val="nil"/>
              <w:bottom w:val="single" w:sz="16" w:space="0" w:color="000000"/>
              <w:right w:val="single" w:sz="16" w:space="0" w:color="000000"/>
            </w:tcBorders>
            <w:shd w:val="clear" w:color="auto" w:fill="FFFFFF"/>
          </w:tcPr>
          <w:p w14:paraId="75AFA704"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1073" w:type="dxa"/>
            <w:tcBorders>
              <w:top w:val="nil"/>
              <w:left w:val="single" w:sz="16" w:space="0" w:color="000000"/>
              <w:bottom w:val="single" w:sz="16" w:space="0" w:color="000000"/>
            </w:tcBorders>
            <w:shd w:val="clear" w:color="auto" w:fill="FFFFFF"/>
            <w:vAlign w:val="center"/>
          </w:tcPr>
          <w:p w14:paraId="6EA745DA"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4</w:t>
            </w:r>
          </w:p>
        </w:tc>
        <w:tc>
          <w:tcPr>
            <w:tcW w:w="1136" w:type="dxa"/>
            <w:tcBorders>
              <w:top w:val="nil"/>
              <w:bottom w:val="single" w:sz="16" w:space="0" w:color="000000"/>
            </w:tcBorders>
            <w:shd w:val="clear" w:color="auto" w:fill="FFFFFF"/>
            <w:vAlign w:val="center"/>
          </w:tcPr>
          <w:p w14:paraId="222FB0B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2" w:type="dxa"/>
            <w:tcBorders>
              <w:top w:val="nil"/>
              <w:bottom w:val="single" w:sz="16" w:space="0" w:color="000000"/>
            </w:tcBorders>
            <w:shd w:val="clear" w:color="auto" w:fill="FFFFFF"/>
            <w:vAlign w:val="center"/>
          </w:tcPr>
          <w:p w14:paraId="1A9AFAF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3" w:type="dxa"/>
            <w:tcBorders>
              <w:top w:val="nil"/>
              <w:bottom w:val="single" w:sz="16" w:space="0" w:color="000000"/>
            </w:tcBorders>
            <w:shd w:val="clear" w:color="auto" w:fill="FFFFFF"/>
            <w:vAlign w:val="center"/>
          </w:tcPr>
          <w:p w14:paraId="469B1FE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47" w:type="dxa"/>
            <w:tcBorders>
              <w:top w:val="nil"/>
              <w:bottom w:val="single" w:sz="16" w:space="0" w:color="000000"/>
              <w:right w:val="single" w:sz="16" w:space="0" w:color="000000"/>
            </w:tcBorders>
            <w:shd w:val="clear" w:color="auto" w:fill="FFFFFF"/>
            <w:vAlign w:val="center"/>
          </w:tcPr>
          <w:p w14:paraId="482323D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bl>
    <w:p w14:paraId="6D8C5965" w14:textId="77777777" w:rsidR="00137B0F" w:rsidRDefault="00137B0F" w:rsidP="00137B0F"/>
    <w:p w14:paraId="3C4E7905" w14:textId="77777777" w:rsidR="00137B0F" w:rsidRDefault="00137B0F" w:rsidP="00137B0F">
      <w:pPr>
        <w:widowControl w:val="0"/>
        <w:autoSpaceDE w:val="0"/>
        <w:autoSpaceDN w:val="0"/>
        <w:adjustRightInd w:val="0"/>
      </w:pPr>
      <w:r>
        <w:t xml:space="preserve">No pattern with change in confidence scores before and after the course was </w:t>
      </w:r>
      <w:r>
        <w:lastRenderedPageBreak/>
        <w:t>seen when linked to performance, as measured by the formative assessment tool (Table 7-5). The best average performance was seen in those that increased their confidence by one mark. The two students (2/94) that went down in confidence by one mark had the lowest mean formative score. This may be because they had a negative learning experience because of mismatched expectations or other factors. Overall by looking at the largest groups, if an intervention maintains or increases confidence, it appears in these data, to be linked to good performance, hence could be a useful marker to assess an educational intervention. A reduction in confidence appears to be linked with poorer performance. Change in confidence may be difficult to interpret because the maximum score possible is 10.</w:t>
      </w:r>
    </w:p>
    <w:p w14:paraId="29857C13" w14:textId="77777777" w:rsidR="00137B0F" w:rsidRDefault="00137B0F" w:rsidP="00137B0F">
      <w:pPr>
        <w:widowControl w:val="0"/>
        <w:autoSpaceDE w:val="0"/>
        <w:autoSpaceDN w:val="0"/>
        <w:adjustRightInd w:val="0"/>
      </w:pPr>
    </w:p>
    <w:p w14:paraId="00F5B4C8" w14:textId="77777777" w:rsidR="00137B0F" w:rsidRDefault="00137B0F" w:rsidP="00137B0F">
      <w:pPr>
        <w:widowControl w:val="0"/>
        <w:autoSpaceDE w:val="0"/>
        <w:autoSpaceDN w:val="0"/>
        <w:adjustRightInd w:val="0"/>
      </w:pPr>
    </w:p>
    <w:p w14:paraId="6D2501E5" w14:textId="77777777" w:rsidR="00137B0F" w:rsidRDefault="00137B0F" w:rsidP="00137B0F">
      <w:pPr>
        <w:widowControl w:val="0"/>
        <w:autoSpaceDE w:val="0"/>
        <w:autoSpaceDN w:val="0"/>
        <w:adjustRightInd w:val="0"/>
      </w:pPr>
    </w:p>
    <w:p w14:paraId="3FC69299" w14:textId="77777777" w:rsidR="00137B0F" w:rsidRDefault="00137B0F" w:rsidP="00137B0F">
      <w:pPr>
        <w:widowControl w:val="0"/>
        <w:autoSpaceDE w:val="0"/>
        <w:autoSpaceDN w:val="0"/>
        <w:adjustRightInd w:val="0"/>
      </w:pPr>
    </w:p>
    <w:p w14:paraId="3FF2C5E2" w14:textId="77777777" w:rsidR="00137B0F" w:rsidRDefault="00137B0F" w:rsidP="00137B0F">
      <w:pPr>
        <w:widowControl w:val="0"/>
        <w:autoSpaceDE w:val="0"/>
        <w:autoSpaceDN w:val="0"/>
        <w:adjustRightInd w:val="0"/>
      </w:pPr>
    </w:p>
    <w:p w14:paraId="5F9E41D2" w14:textId="77777777" w:rsidR="00137B0F" w:rsidRDefault="00137B0F" w:rsidP="00137B0F">
      <w:pPr>
        <w:widowControl w:val="0"/>
        <w:autoSpaceDE w:val="0"/>
        <w:autoSpaceDN w:val="0"/>
        <w:adjustRightInd w:val="0"/>
      </w:pPr>
    </w:p>
    <w:p w14:paraId="55500382" w14:textId="77777777" w:rsidR="00137B0F" w:rsidRDefault="00137B0F" w:rsidP="00137B0F">
      <w:pPr>
        <w:widowControl w:val="0"/>
        <w:autoSpaceDE w:val="0"/>
        <w:autoSpaceDN w:val="0"/>
        <w:adjustRightInd w:val="0"/>
      </w:pPr>
    </w:p>
    <w:p w14:paraId="79A3737B" w14:textId="77777777" w:rsidR="00137B0F" w:rsidRDefault="00137B0F" w:rsidP="00137B0F">
      <w:pPr>
        <w:widowControl w:val="0"/>
        <w:autoSpaceDE w:val="0"/>
        <w:autoSpaceDN w:val="0"/>
        <w:adjustRightInd w:val="0"/>
      </w:pPr>
    </w:p>
    <w:p w14:paraId="0E922D0C" w14:textId="005F8806" w:rsidR="00137B0F" w:rsidRDefault="00137B0F" w:rsidP="007000F8">
      <w:pPr>
        <w:pStyle w:val="Caption"/>
      </w:pPr>
      <w:bookmarkStart w:id="339" w:name="_Toc365579488"/>
      <w:bookmarkStart w:id="340" w:name="_Toc419116506"/>
      <w:r>
        <w:lastRenderedPageBreak/>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6</w:t>
      </w:r>
      <w:r w:rsidR="007000F8">
        <w:fldChar w:fldCharType="end"/>
      </w:r>
      <w:r>
        <w:t xml:space="preserve"> Overall baseline confidence and how prepared students felt one month into FY1 when seeing an acutely unwell patient</w:t>
      </w:r>
      <w:bookmarkEnd w:id="339"/>
      <w:bookmarkEnd w:id="340"/>
    </w:p>
    <w:tbl>
      <w:tblPr>
        <w:tblW w:w="8034" w:type="dxa"/>
        <w:tblInd w:w="4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80"/>
        <w:gridCol w:w="1980"/>
        <w:gridCol w:w="675"/>
        <w:gridCol w:w="1007"/>
        <w:gridCol w:w="1064"/>
        <w:gridCol w:w="951"/>
        <w:gridCol w:w="1077"/>
      </w:tblGrid>
      <w:tr w:rsidR="00137B0F" w:rsidRPr="00B45B65" w14:paraId="075483E1" w14:textId="77777777" w:rsidTr="00977660">
        <w:trPr>
          <w:cantSplit/>
          <w:trHeight w:val="585"/>
        </w:trPr>
        <w:tc>
          <w:tcPr>
            <w:tcW w:w="8034" w:type="dxa"/>
            <w:gridSpan w:val="7"/>
            <w:tcBorders>
              <w:top w:val="nil"/>
              <w:left w:val="nil"/>
              <w:bottom w:val="nil"/>
              <w:right w:val="nil"/>
            </w:tcBorders>
            <w:shd w:val="clear" w:color="auto" w:fill="FFFFFF"/>
            <w:vAlign w:val="center"/>
          </w:tcPr>
          <w:p w14:paraId="18D6E67A" w14:textId="77777777" w:rsidR="00137B0F" w:rsidRPr="00B45B65" w:rsidRDefault="00137B0F" w:rsidP="00977660">
            <w:pPr>
              <w:widowControl w:val="0"/>
              <w:autoSpaceDE w:val="0"/>
              <w:autoSpaceDN w:val="0"/>
              <w:adjustRightInd w:val="0"/>
              <w:spacing w:line="320" w:lineRule="atLeast"/>
              <w:ind w:left="60" w:right="60"/>
              <w:rPr>
                <w:rFonts w:cs="Arial"/>
                <w:color w:val="000000"/>
              </w:rPr>
            </w:pPr>
          </w:p>
        </w:tc>
      </w:tr>
      <w:tr w:rsidR="00137B0F" w:rsidRPr="00B45B65" w14:paraId="728F1236" w14:textId="77777777" w:rsidTr="00977660">
        <w:trPr>
          <w:cantSplit/>
          <w:trHeight w:val="773"/>
        </w:trPr>
        <w:tc>
          <w:tcPr>
            <w:tcW w:w="3260" w:type="dxa"/>
            <w:gridSpan w:val="2"/>
            <w:tcBorders>
              <w:top w:val="single" w:sz="16" w:space="0" w:color="000000"/>
              <w:left w:val="single" w:sz="16" w:space="0" w:color="000000"/>
              <w:bottom w:val="single" w:sz="16" w:space="0" w:color="000000"/>
              <w:right w:val="nil"/>
            </w:tcBorders>
            <w:shd w:val="clear" w:color="auto" w:fill="FFFFFF"/>
            <w:vAlign w:val="bottom"/>
          </w:tcPr>
          <w:p w14:paraId="505412FF" w14:textId="77777777" w:rsidR="00137B0F" w:rsidRPr="004F5E04" w:rsidRDefault="00137B0F" w:rsidP="00977660">
            <w:pPr>
              <w:widowControl w:val="0"/>
              <w:autoSpaceDE w:val="0"/>
              <w:autoSpaceDN w:val="0"/>
              <w:adjustRightInd w:val="0"/>
              <w:spacing w:line="320" w:lineRule="atLeast"/>
              <w:ind w:left="60" w:right="60"/>
              <w:rPr>
                <w:rFonts w:cs="Arial"/>
                <w:color w:val="000000"/>
                <w:sz w:val="20"/>
                <w:szCs w:val="20"/>
              </w:rPr>
            </w:pPr>
            <w:r w:rsidRPr="004F5E04">
              <w:rPr>
                <w:rFonts w:cs="Arial"/>
                <w:color w:val="000000"/>
                <w:sz w:val="20"/>
                <w:szCs w:val="20"/>
              </w:rPr>
              <w:t>Q 24: 3 The first time attended acutely unwell patient how prepared felt?</w:t>
            </w:r>
          </w:p>
        </w:tc>
        <w:tc>
          <w:tcPr>
            <w:tcW w:w="675" w:type="dxa"/>
            <w:tcBorders>
              <w:top w:val="single" w:sz="16" w:space="0" w:color="000000"/>
              <w:left w:val="single" w:sz="16" w:space="0" w:color="000000"/>
              <w:bottom w:val="single" w:sz="16" w:space="0" w:color="000000"/>
            </w:tcBorders>
            <w:shd w:val="clear" w:color="auto" w:fill="FFFFFF"/>
            <w:vAlign w:val="bottom"/>
          </w:tcPr>
          <w:p w14:paraId="4469ACAF" w14:textId="77777777" w:rsidR="00137B0F" w:rsidRPr="004F5E04" w:rsidRDefault="00137B0F" w:rsidP="00977660">
            <w:pPr>
              <w:widowControl w:val="0"/>
              <w:autoSpaceDE w:val="0"/>
              <w:autoSpaceDN w:val="0"/>
              <w:adjustRightInd w:val="0"/>
              <w:spacing w:line="320" w:lineRule="atLeast"/>
              <w:ind w:left="60" w:right="60"/>
              <w:jc w:val="center"/>
              <w:rPr>
                <w:rFonts w:cs="Arial"/>
                <w:color w:val="000000"/>
                <w:sz w:val="18"/>
                <w:szCs w:val="18"/>
              </w:rPr>
            </w:pPr>
            <w:r w:rsidRPr="004F5E04">
              <w:rPr>
                <w:rFonts w:cs="Arial"/>
                <w:color w:val="000000"/>
                <w:sz w:val="18"/>
                <w:szCs w:val="18"/>
              </w:rPr>
              <w:t>N</w:t>
            </w:r>
          </w:p>
        </w:tc>
        <w:tc>
          <w:tcPr>
            <w:tcW w:w="1007" w:type="dxa"/>
            <w:tcBorders>
              <w:top w:val="single" w:sz="16" w:space="0" w:color="000000"/>
              <w:bottom w:val="single" w:sz="16" w:space="0" w:color="000000"/>
            </w:tcBorders>
            <w:shd w:val="clear" w:color="auto" w:fill="FFFFFF"/>
            <w:vAlign w:val="bottom"/>
          </w:tcPr>
          <w:p w14:paraId="25128C91" w14:textId="77777777" w:rsidR="00137B0F" w:rsidRPr="004F5E04" w:rsidRDefault="00137B0F" w:rsidP="00977660">
            <w:pPr>
              <w:widowControl w:val="0"/>
              <w:autoSpaceDE w:val="0"/>
              <w:autoSpaceDN w:val="0"/>
              <w:adjustRightInd w:val="0"/>
              <w:spacing w:line="320" w:lineRule="atLeast"/>
              <w:ind w:left="60" w:right="60"/>
              <w:jc w:val="center"/>
              <w:rPr>
                <w:rFonts w:cs="Arial"/>
                <w:color w:val="000000"/>
                <w:sz w:val="18"/>
                <w:szCs w:val="18"/>
              </w:rPr>
            </w:pPr>
            <w:r w:rsidRPr="004F5E04">
              <w:rPr>
                <w:rFonts w:cs="Arial"/>
                <w:color w:val="000000"/>
                <w:sz w:val="18"/>
                <w:szCs w:val="18"/>
              </w:rPr>
              <w:t>Minimum</w:t>
            </w:r>
          </w:p>
        </w:tc>
        <w:tc>
          <w:tcPr>
            <w:tcW w:w="1064" w:type="dxa"/>
            <w:tcBorders>
              <w:top w:val="single" w:sz="16" w:space="0" w:color="000000"/>
              <w:bottom w:val="single" w:sz="16" w:space="0" w:color="000000"/>
            </w:tcBorders>
            <w:shd w:val="clear" w:color="auto" w:fill="FFFFFF"/>
            <w:vAlign w:val="bottom"/>
          </w:tcPr>
          <w:p w14:paraId="53A76C18" w14:textId="77777777" w:rsidR="00137B0F" w:rsidRPr="004F5E04" w:rsidRDefault="00137B0F" w:rsidP="00977660">
            <w:pPr>
              <w:widowControl w:val="0"/>
              <w:autoSpaceDE w:val="0"/>
              <w:autoSpaceDN w:val="0"/>
              <w:adjustRightInd w:val="0"/>
              <w:spacing w:line="320" w:lineRule="atLeast"/>
              <w:ind w:left="60" w:right="60"/>
              <w:jc w:val="center"/>
              <w:rPr>
                <w:rFonts w:cs="Arial"/>
                <w:color w:val="000000"/>
                <w:sz w:val="18"/>
                <w:szCs w:val="18"/>
              </w:rPr>
            </w:pPr>
            <w:r w:rsidRPr="004F5E04">
              <w:rPr>
                <w:rFonts w:cs="Arial"/>
                <w:color w:val="000000"/>
                <w:sz w:val="18"/>
                <w:szCs w:val="18"/>
              </w:rPr>
              <w:t>Maximum</w:t>
            </w:r>
          </w:p>
        </w:tc>
        <w:tc>
          <w:tcPr>
            <w:tcW w:w="951" w:type="dxa"/>
            <w:tcBorders>
              <w:top w:val="single" w:sz="16" w:space="0" w:color="000000"/>
              <w:bottom w:val="single" w:sz="16" w:space="0" w:color="000000"/>
            </w:tcBorders>
            <w:shd w:val="clear" w:color="auto" w:fill="FFFFFF"/>
            <w:vAlign w:val="bottom"/>
          </w:tcPr>
          <w:p w14:paraId="58EAB141" w14:textId="77777777" w:rsidR="00137B0F" w:rsidRPr="004F5E04" w:rsidRDefault="00137B0F" w:rsidP="00977660">
            <w:pPr>
              <w:widowControl w:val="0"/>
              <w:autoSpaceDE w:val="0"/>
              <w:autoSpaceDN w:val="0"/>
              <w:adjustRightInd w:val="0"/>
              <w:spacing w:line="320" w:lineRule="atLeast"/>
              <w:ind w:left="60" w:right="60"/>
              <w:jc w:val="center"/>
              <w:rPr>
                <w:rFonts w:cs="Arial"/>
                <w:color w:val="000000"/>
                <w:sz w:val="18"/>
                <w:szCs w:val="18"/>
              </w:rPr>
            </w:pPr>
            <w:r w:rsidRPr="004F5E04">
              <w:rPr>
                <w:rFonts w:cs="Arial"/>
                <w:color w:val="000000"/>
                <w:sz w:val="18"/>
                <w:szCs w:val="18"/>
              </w:rPr>
              <w:t>Mean</w:t>
            </w:r>
          </w:p>
        </w:tc>
        <w:tc>
          <w:tcPr>
            <w:tcW w:w="1077" w:type="dxa"/>
            <w:tcBorders>
              <w:top w:val="single" w:sz="16" w:space="0" w:color="000000"/>
              <w:bottom w:val="single" w:sz="16" w:space="0" w:color="000000"/>
              <w:right w:val="single" w:sz="16" w:space="0" w:color="000000"/>
            </w:tcBorders>
            <w:shd w:val="clear" w:color="auto" w:fill="FFFFFF"/>
            <w:vAlign w:val="bottom"/>
          </w:tcPr>
          <w:p w14:paraId="3E9EF0F7" w14:textId="77777777" w:rsidR="00137B0F" w:rsidRPr="004F5E04" w:rsidRDefault="00137B0F" w:rsidP="00977660">
            <w:pPr>
              <w:widowControl w:val="0"/>
              <w:autoSpaceDE w:val="0"/>
              <w:autoSpaceDN w:val="0"/>
              <w:adjustRightInd w:val="0"/>
              <w:spacing w:line="320" w:lineRule="atLeast"/>
              <w:ind w:left="60" w:right="60"/>
              <w:jc w:val="center"/>
              <w:rPr>
                <w:rFonts w:cs="Arial"/>
                <w:color w:val="000000"/>
                <w:sz w:val="18"/>
                <w:szCs w:val="18"/>
              </w:rPr>
            </w:pPr>
            <w:r w:rsidRPr="004F5E04">
              <w:rPr>
                <w:rFonts w:cs="Arial"/>
                <w:color w:val="000000"/>
                <w:sz w:val="18"/>
                <w:szCs w:val="18"/>
              </w:rPr>
              <w:t>Std. Deviation</w:t>
            </w:r>
          </w:p>
        </w:tc>
      </w:tr>
      <w:tr w:rsidR="00137B0F" w:rsidRPr="00B45B65" w14:paraId="3063D182" w14:textId="77777777" w:rsidTr="00977660">
        <w:trPr>
          <w:cantSplit/>
          <w:trHeight w:val="773"/>
        </w:trPr>
        <w:tc>
          <w:tcPr>
            <w:tcW w:w="1280" w:type="dxa"/>
            <w:vMerge w:val="restart"/>
            <w:tcBorders>
              <w:top w:val="single" w:sz="16" w:space="0" w:color="000000"/>
              <w:left w:val="single" w:sz="16" w:space="0" w:color="000000"/>
              <w:right w:val="nil"/>
            </w:tcBorders>
            <w:shd w:val="clear" w:color="auto" w:fill="FFFFFF"/>
          </w:tcPr>
          <w:p w14:paraId="75BAA3B1"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Not prepared at all</w:t>
            </w:r>
          </w:p>
        </w:tc>
        <w:tc>
          <w:tcPr>
            <w:tcW w:w="1980" w:type="dxa"/>
            <w:tcBorders>
              <w:top w:val="single" w:sz="16" w:space="0" w:color="000000"/>
              <w:left w:val="nil"/>
              <w:bottom w:val="nil"/>
              <w:right w:val="single" w:sz="16" w:space="0" w:color="000000"/>
            </w:tcBorders>
            <w:shd w:val="clear" w:color="auto" w:fill="FFFFFF"/>
          </w:tcPr>
          <w:p w14:paraId="1426A3BB"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675" w:type="dxa"/>
            <w:tcBorders>
              <w:top w:val="single" w:sz="16" w:space="0" w:color="000000"/>
              <w:left w:val="single" w:sz="16" w:space="0" w:color="000000"/>
              <w:bottom w:val="nil"/>
            </w:tcBorders>
            <w:shd w:val="clear" w:color="auto" w:fill="FFFFFF"/>
            <w:vAlign w:val="center"/>
          </w:tcPr>
          <w:p w14:paraId="2963FC1A"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w:t>
            </w:r>
          </w:p>
        </w:tc>
        <w:tc>
          <w:tcPr>
            <w:tcW w:w="1007" w:type="dxa"/>
            <w:tcBorders>
              <w:top w:val="single" w:sz="16" w:space="0" w:color="000000"/>
              <w:bottom w:val="nil"/>
            </w:tcBorders>
            <w:shd w:val="clear" w:color="auto" w:fill="FFFFFF"/>
            <w:vAlign w:val="center"/>
          </w:tcPr>
          <w:p w14:paraId="7BCB29A3"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4</w:t>
            </w:r>
          </w:p>
        </w:tc>
        <w:tc>
          <w:tcPr>
            <w:tcW w:w="1064" w:type="dxa"/>
            <w:tcBorders>
              <w:top w:val="single" w:sz="16" w:space="0" w:color="000000"/>
              <w:bottom w:val="nil"/>
            </w:tcBorders>
            <w:shd w:val="clear" w:color="auto" w:fill="FFFFFF"/>
            <w:vAlign w:val="center"/>
          </w:tcPr>
          <w:p w14:paraId="3C095B42"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4</w:t>
            </w:r>
          </w:p>
        </w:tc>
        <w:tc>
          <w:tcPr>
            <w:tcW w:w="951" w:type="dxa"/>
            <w:tcBorders>
              <w:top w:val="single" w:sz="16" w:space="0" w:color="000000"/>
              <w:bottom w:val="nil"/>
            </w:tcBorders>
            <w:shd w:val="clear" w:color="auto" w:fill="FFFFFF"/>
            <w:vAlign w:val="center"/>
          </w:tcPr>
          <w:p w14:paraId="4DFED55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4.00</w:t>
            </w:r>
          </w:p>
        </w:tc>
        <w:tc>
          <w:tcPr>
            <w:tcW w:w="1077" w:type="dxa"/>
            <w:tcBorders>
              <w:top w:val="single" w:sz="16" w:space="0" w:color="000000"/>
              <w:bottom w:val="nil"/>
              <w:right w:val="single" w:sz="16" w:space="0" w:color="000000"/>
            </w:tcBorders>
            <w:shd w:val="clear" w:color="auto" w:fill="FFFFFF"/>
            <w:vAlign w:val="center"/>
          </w:tcPr>
          <w:p w14:paraId="444BF0D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w:t>
            </w:r>
          </w:p>
        </w:tc>
      </w:tr>
      <w:tr w:rsidR="00137B0F" w:rsidRPr="00B45B65" w14:paraId="2726D91C" w14:textId="77777777" w:rsidTr="00977660">
        <w:trPr>
          <w:cantSplit/>
          <w:trHeight w:val="27"/>
        </w:trPr>
        <w:tc>
          <w:tcPr>
            <w:tcW w:w="1280" w:type="dxa"/>
            <w:vMerge/>
            <w:tcBorders>
              <w:top w:val="single" w:sz="16" w:space="0" w:color="000000"/>
              <w:left w:val="single" w:sz="16" w:space="0" w:color="000000"/>
              <w:right w:val="nil"/>
            </w:tcBorders>
            <w:shd w:val="clear" w:color="auto" w:fill="FFFFFF"/>
          </w:tcPr>
          <w:p w14:paraId="00693ACD"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80" w:type="dxa"/>
            <w:tcBorders>
              <w:top w:val="nil"/>
              <w:left w:val="nil"/>
              <w:right w:val="single" w:sz="16" w:space="0" w:color="000000"/>
            </w:tcBorders>
            <w:shd w:val="clear" w:color="auto" w:fill="FFFFFF"/>
          </w:tcPr>
          <w:p w14:paraId="60018464"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675" w:type="dxa"/>
            <w:tcBorders>
              <w:top w:val="nil"/>
              <w:left w:val="single" w:sz="16" w:space="0" w:color="000000"/>
            </w:tcBorders>
            <w:shd w:val="clear" w:color="auto" w:fill="FFFFFF"/>
            <w:vAlign w:val="center"/>
          </w:tcPr>
          <w:p w14:paraId="3540D9D4"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1</w:t>
            </w:r>
          </w:p>
        </w:tc>
        <w:tc>
          <w:tcPr>
            <w:tcW w:w="1007" w:type="dxa"/>
            <w:tcBorders>
              <w:top w:val="nil"/>
            </w:tcBorders>
            <w:shd w:val="clear" w:color="auto" w:fill="FFFFFF"/>
            <w:vAlign w:val="center"/>
          </w:tcPr>
          <w:p w14:paraId="13F178A7"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64" w:type="dxa"/>
            <w:tcBorders>
              <w:top w:val="nil"/>
            </w:tcBorders>
            <w:shd w:val="clear" w:color="auto" w:fill="FFFFFF"/>
            <w:vAlign w:val="center"/>
          </w:tcPr>
          <w:p w14:paraId="31AE61F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51" w:type="dxa"/>
            <w:tcBorders>
              <w:top w:val="nil"/>
            </w:tcBorders>
            <w:shd w:val="clear" w:color="auto" w:fill="FFFFFF"/>
            <w:vAlign w:val="center"/>
          </w:tcPr>
          <w:p w14:paraId="09F0ABD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7" w:type="dxa"/>
            <w:tcBorders>
              <w:top w:val="nil"/>
              <w:right w:val="single" w:sz="16" w:space="0" w:color="000000"/>
            </w:tcBorders>
            <w:shd w:val="clear" w:color="auto" w:fill="FFFFFF"/>
            <w:vAlign w:val="center"/>
          </w:tcPr>
          <w:p w14:paraId="70FCA3D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6A0B9490" w14:textId="77777777" w:rsidTr="00977660">
        <w:trPr>
          <w:cantSplit/>
          <w:trHeight w:val="773"/>
        </w:trPr>
        <w:tc>
          <w:tcPr>
            <w:tcW w:w="1280" w:type="dxa"/>
            <w:vMerge w:val="restart"/>
            <w:tcBorders>
              <w:top w:val="nil"/>
              <w:left w:val="single" w:sz="16" w:space="0" w:color="000000"/>
              <w:right w:val="nil"/>
            </w:tcBorders>
            <w:shd w:val="clear" w:color="auto" w:fill="FFFFFF"/>
          </w:tcPr>
          <w:p w14:paraId="1863C4D7"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Slightly prepared</w:t>
            </w:r>
          </w:p>
        </w:tc>
        <w:tc>
          <w:tcPr>
            <w:tcW w:w="1980" w:type="dxa"/>
            <w:tcBorders>
              <w:top w:val="nil"/>
              <w:left w:val="nil"/>
              <w:bottom w:val="nil"/>
              <w:right w:val="single" w:sz="16" w:space="0" w:color="000000"/>
            </w:tcBorders>
            <w:shd w:val="clear" w:color="auto" w:fill="FFFFFF"/>
          </w:tcPr>
          <w:p w14:paraId="46833263"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675" w:type="dxa"/>
            <w:tcBorders>
              <w:top w:val="nil"/>
              <w:left w:val="single" w:sz="16" w:space="0" w:color="000000"/>
              <w:bottom w:val="nil"/>
            </w:tcBorders>
            <w:shd w:val="clear" w:color="auto" w:fill="FFFFFF"/>
            <w:vAlign w:val="center"/>
          </w:tcPr>
          <w:p w14:paraId="3230E857"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26</w:t>
            </w:r>
          </w:p>
        </w:tc>
        <w:tc>
          <w:tcPr>
            <w:tcW w:w="1007" w:type="dxa"/>
            <w:tcBorders>
              <w:top w:val="nil"/>
              <w:bottom w:val="nil"/>
            </w:tcBorders>
            <w:shd w:val="clear" w:color="auto" w:fill="FFFFFF"/>
            <w:vAlign w:val="center"/>
          </w:tcPr>
          <w:p w14:paraId="194E2C6C"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w:t>
            </w:r>
          </w:p>
        </w:tc>
        <w:tc>
          <w:tcPr>
            <w:tcW w:w="1064" w:type="dxa"/>
            <w:tcBorders>
              <w:top w:val="nil"/>
              <w:bottom w:val="nil"/>
            </w:tcBorders>
            <w:shd w:val="clear" w:color="auto" w:fill="FFFFFF"/>
            <w:vAlign w:val="center"/>
          </w:tcPr>
          <w:p w14:paraId="670AE467"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951" w:type="dxa"/>
            <w:tcBorders>
              <w:top w:val="nil"/>
              <w:bottom w:val="nil"/>
            </w:tcBorders>
            <w:shd w:val="clear" w:color="auto" w:fill="FFFFFF"/>
            <w:vAlign w:val="center"/>
          </w:tcPr>
          <w:p w14:paraId="27E933F6"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5.69</w:t>
            </w:r>
          </w:p>
        </w:tc>
        <w:tc>
          <w:tcPr>
            <w:tcW w:w="1077" w:type="dxa"/>
            <w:tcBorders>
              <w:top w:val="nil"/>
              <w:bottom w:val="nil"/>
              <w:right w:val="single" w:sz="16" w:space="0" w:color="000000"/>
            </w:tcBorders>
            <w:shd w:val="clear" w:color="auto" w:fill="FFFFFF"/>
            <w:vAlign w:val="center"/>
          </w:tcPr>
          <w:p w14:paraId="387B3777"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1.408</w:t>
            </w:r>
          </w:p>
        </w:tc>
      </w:tr>
      <w:tr w:rsidR="00137B0F" w:rsidRPr="00B45B65" w14:paraId="6342B3A8" w14:textId="77777777" w:rsidTr="00977660">
        <w:trPr>
          <w:cantSplit/>
          <w:trHeight w:val="78"/>
        </w:trPr>
        <w:tc>
          <w:tcPr>
            <w:tcW w:w="1280" w:type="dxa"/>
            <w:vMerge/>
            <w:tcBorders>
              <w:top w:val="nil"/>
              <w:left w:val="single" w:sz="16" w:space="0" w:color="000000"/>
              <w:right w:val="nil"/>
            </w:tcBorders>
            <w:shd w:val="clear" w:color="auto" w:fill="FFFFFF"/>
          </w:tcPr>
          <w:p w14:paraId="594F4B54"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80" w:type="dxa"/>
            <w:tcBorders>
              <w:top w:val="nil"/>
              <w:left w:val="nil"/>
              <w:right w:val="single" w:sz="16" w:space="0" w:color="000000"/>
            </w:tcBorders>
            <w:shd w:val="clear" w:color="auto" w:fill="FFFFFF"/>
          </w:tcPr>
          <w:p w14:paraId="5209A863"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675" w:type="dxa"/>
            <w:tcBorders>
              <w:top w:val="nil"/>
              <w:left w:val="single" w:sz="16" w:space="0" w:color="000000"/>
            </w:tcBorders>
            <w:shd w:val="clear" w:color="auto" w:fill="FFFFFF"/>
            <w:vAlign w:val="center"/>
          </w:tcPr>
          <w:p w14:paraId="578DB3C2"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26</w:t>
            </w:r>
          </w:p>
        </w:tc>
        <w:tc>
          <w:tcPr>
            <w:tcW w:w="1007" w:type="dxa"/>
            <w:tcBorders>
              <w:top w:val="nil"/>
            </w:tcBorders>
            <w:shd w:val="clear" w:color="auto" w:fill="FFFFFF"/>
            <w:vAlign w:val="center"/>
          </w:tcPr>
          <w:p w14:paraId="7235F27D"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64" w:type="dxa"/>
            <w:tcBorders>
              <w:top w:val="nil"/>
            </w:tcBorders>
            <w:shd w:val="clear" w:color="auto" w:fill="FFFFFF"/>
            <w:vAlign w:val="center"/>
          </w:tcPr>
          <w:p w14:paraId="1AA49D8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51" w:type="dxa"/>
            <w:tcBorders>
              <w:top w:val="nil"/>
            </w:tcBorders>
            <w:shd w:val="clear" w:color="auto" w:fill="FFFFFF"/>
            <w:vAlign w:val="center"/>
          </w:tcPr>
          <w:p w14:paraId="383BD7C0"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7" w:type="dxa"/>
            <w:tcBorders>
              <w:top w:val="nil"/>
              <w:right w:val="single" w:sz="16" w:space="0" w:color="000000"/>
            </w:tcBorders>
            <w:shd w:val="clear" w:color="auto" w:fill="FFFFFF"/>
            <w:vAlign w:val="center"/>
          </w:tcPr>
          <w:p w14:paraId="6AD0B1D2"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47C3F230" w14:textId="77777777" w:rsidTr="00977660">
        <w:trPr>
          <w:cantSplit/>
          <w:trHeight w:val="773"/>
        </w:trPr>
        <w:tc>
          <w:tcPr>
            <w:tcW w:w="1280" w:type="dxa"/>
            <w:vMerge w:val="restart"/>
            <w:tcBorders>
              <w:top w:val="nil"/>
              <w:left w:val="single" w:sz="16" w:space="0" w:color="000000"/>
              <w:right w:val="nil"/>
            </w:tcBorders>
            <w:shd w:val="clear" w:color="auto" w:fill="FFFFFF"/>
          </w:tcPr>
          <w:p w14:paraId="10F3234E"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Prepared</w:t>
            </w:r>
          </w:p>
        </w:tc>
        <w:tc>
          <w:tcPr>
            <w:tcW w:w="1980" w:type="dxa"/>
            <w:tcBorders>
              <w:top w:val="nil"/>
              <w:left w:val="nil"/>
              <w:bottom w:val="nil"/>
              <w:right w:val="single" w:sz="16" w:space="0" w:color="000000"/>
            </w:tcBorders>
            <w:shd w:val="clear" w:color="auto" w:fill="FFFFFF"/>
          </w:tcPr>
          <w:p w14:paraId="5A9E10B2"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675" w:type="dxa"/>
            <w:tcBorders>
              <w:top w:val="nil"/>
              <w:left w:val="single" w:sz="16" w:space="0" w:color="000000"/>
              <w:bottom w:val="nil"/>
            </w:tcBorders>
            <w:shd w:val="clear" w:color="auto" w:fill="FFFFFF"/>
            <w:vAlign w:val="center"/>
          </w:tcPr>
          <w:p w14:paraId="7CF360B1"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30</w:t>
            </w:r>
          </w:p>
        </w:tc>
        <w:tc>
          <w:tcPr>
            <w:tcW w:w="1007" w:type="dxa"/>
            <w:tcBorders>
              <w:top w:val="nil"/>
              <w:bottom w:val="nil"/>
            </w:tcBorders>
            <w:shd w:val="clear" w:color="auto" w:fill="FFFFFF"/>
            <w:vAlign w:val="center"/>
          </w:tcPr>
          <w:p w14:paraId="1FD152F3"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w:t>
            </w:r>
          </w:p>
        </w:tc>
        <w:tc>
          <w:tcPr>
            <w:tcW w:w="1064" w:type="dxa"/>
            <w:tcBorders>
              <w:top w:val="nil"/>
              <w:bottom w:val="nil"/>
            </w:tcBorders>
            <w:shd w:val="clear" w:color="auto" w:fill="FFFFFF"/>
            <w:vAlign w:val="center"/>
          </w:tcPr>
          <w:p w14:paraId="3C67F671"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951" w:type="dxa"/>
            <w:tcBorders>
              <w:top w:val="nil"/>
              <w:bottom w:val="nil"/>
            </w:tcBorders>
            <w:shd w:val="clear" w:color="auto" w:fill="FFFFFF"/>
            <w:vAlign w:val="center"/>
          </w:tcPr>
          <w:p w14:paraId="7B660F6F"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6.07</w:t>
            </w:r>
          </w:p>
        </w:tc>
        <w:tc>
          <w:tcPr>
            <w:tcW w:w="1077" w:type="dxa"/>
            <w:tcBorders>
              <w:top w:val="nil"/>
              <w:bottom w:val="nil"/>
              <w:right w:val="single" w:sz="16" w:space="0" w:color="000000"/>
            </w:tcBorders>
            <w:shd w:val="clear" w:color="auto" w:fill="FFFFFF"/>
            <w:vAlign w:val="center"/>
          </w:tcPr>
          <w:p w14:paraId="156B12F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1.112</w:t>
            </w:r>
          </w:p>
        </w:tc>
      </w:tr>
      <w:tr w:rsidR="00137B0F" w:rsidRPr="00B45B65" w14:paraId="3EFC7BE9" w14:textId="77777777" w:rsidTr="00977660">
        <w:trPr>
          <w:cantSplit/>
          <w:trHeight w:val="78"/>
        </w:trPr>
        <w:tc>
          <w:tcPr>
            <w:tcW w:w="1280" w:type="dxa"/>
            <w:vMerge/>
            <w:tcBorders>
              <w:top w:val="nil"/>
              <w:left w:val="single" w:sz="16" w:space="0" w:color="000000"/>
              <w:right w:val="nil"/>
            </w:tcBorders>
            <w:shd w:val="clear" w:color="auto" w:fill="FFFFFF"/>
          </w:tcPr>
          <w:p w14:paraId="432EEE75"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80" w:type="dxa"/>
            <w:tcBorders>
              <w:top w:val="nil"/>
              <w:left w:val="nil"/>
              <w:right w:val="single" w:sz="16" w:space="0" w:color="000000"/>
            </w:tcBorders>
            <w:shd w:val="clear" w:color="auto" w:fill="FFFFFF"/>
          </w:tcPr>
          <w:p w14:paraId="7A7EE23B"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675" w:type="dxa"/>
            <w:tcBorders>
              <w:top w:val="nil"/>
              <w:left w:val="single" w:sz="16" w:space="0" w:color="000000"/>
            </w:tcBorders>
            <w:shd w:val="clear" w:color="auto" w:fill="FFFFFF"/>
            <w:vAlign w:val="center"/>
          </w:tcPr>
          <w:p w14:paraId="70B9E891"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30</w:t>
            </w:r>
          </w:p>
        </w:tc>
        <w:tc>
          <w:tcPr>
            <w:tcW w:w="1007" w:type="dxa"/>
            <w:tcBorders>
              <w:top w:val="nil"/>
            </w:tcBorders>
            <w:shd w:val="clear" w:color="auto" w:fill="FFFFFF"/>
            <w:vAlign w:val="center"/>
          </w:tcPr>
          <w:p w14:paraId="271BFBB0"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64" w:type="dxa"/>
            <w:tcBorders>
              <w:top w:val="nil"/>
            </w:tcBorders>
            <w:shd w:val="clear" w:color="auto" w:fill="FFFFFF"/>
            <w:vAlign w:val="center"/>
          </w:tcPr>
          <w:p w14:paraId="77934FE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51" w:type="dxa"/>
            <w:tcBorders>
              <w:top w:val="nil"/>
            </w:tcBorders>
            <w:shd w:val="clear" w:color="auto" w:fill="FFFFFF"/>
            <w:vAlign w:val="center"/>
          </w:tcPr>
          <w:p w14:paraId="696D16E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7" w:type="dxa"/>
            <w:tcBorders>
              <w:top w:val="nil"/>
              <w:right w:val="single" w:sz="16" w:space="0" w:color="000000"/>
            </w:tcBorders>
            <w:shd w:val="clear" w:color="auto" w:fill="FFFFFF"/>
            <w:vAlign w:val="center"/>
          </w:tcPr>
          <w:p w14:paraId="1914689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7EC070BA" w14:textId="77777777" w:rsidTr="00977660">
        <w:trPr>
          <w:cantSplit/>
          <w:trHeight w:val="773"/>
        </w:trPr>
        <w:tc>
          <w:tcPr>
            <w:tcW w:w="1280" w:type="dxa"/>
            <w:vMerge w:val="restart"/>
            <w:tcBorders>
              <w:top w:val="nil"/>
              <w:left w:val="single" w:sz="16" w:space="0" w:color="000000"/>
              <w:right w:val="nil"/>
            </w:tcBorders>
            <w:shd w:val="clear" w:color="auto" w:fill="FFFFFF"/>
          </w:tcPr>
          <w:p w14:paraId="772A6F6F"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Very prepared</w:t>
            </w:r>
          </w:p>
        </w:tc>
        <w:tc>
          <w:tcPr>
            <w:tcW w:w="1980" w:type="dxa"/>
            <w:tcBorders>
              <w:top w:val="nil"/>
              <w:left w:val="nil"/>
              <w:bottom w:val="nil"/>
              <w:right w:val="single" w:sz="16" w:space="0" w:color="000000"/>
            </w:tcBorders>
            <w:shd w:val="clear" w:color="auto" w:fill="FFFFFF"/>
          </w:tcPr>
          <w:p w14:paraId="3201F4B4"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675" w:type="dxa"/>
            <w:tcBorders>
              <w:top w:val="nil"/>
              <w:left w:val="single" w:sz="16" w:space="0" w:color="000000"/>
              <w:bottom w:val="nil"/>
            </w:tcBorders>
            <w:shd w:val="clear" w:color="auto" w:fill="FFFFFF"/>
            <w:vAlign w:val="center"/>
          </w:tcPr>
          <w:p w14:paraId="10156F24"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w:t>
            </w:r>
          </w:p>
        </w:tc>
        <w:tc>
          <w:tcPr>
            <w:tcW w:w="1007" w:type="dxa"/>
            <w:tcBorders>
              <w:top w:val="nil"/>
              <w:bottom w:val="nil"/>
            </w:tcBorders>
            <w:shd w:val="clear" w:color="auto" w:fill="FFFFFF"/>
            <w:vAlign w:val="center"/>
          </w:tcPr>
          <w:p w14:paraId="21557213"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7</w:t>
            </w:r>
          </w:p>
        </w:tc>
        <w:tc>
          <w:tcPr>
            <w:tcW w:w="1064" w:type="dxa"/>
            <w:tcBorders>
              <w:top w:val="nil"/>
              <w:bottom w:val="nil"/>
            </w:tcBorders>
            <w:shd w:val="clear" w:color="auto" w:fill="FFFFFF"/>
            <w:vAlign w:val="center"/>
          </w:tcPr>
          <w:p w14:paraId="66060D01"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7</w:t>
            </w:r>
          </w:p>
        </w:tc>
        <w:tc>
          <w:tcPr>
            <w:tcW w:w="951" w:type="dxa"/>
            <w:tcBorders>
              <w:top w:val="nil"/>
              <w:bottom w:val="nil"/>
            </w:tcBorders>
            <w:shd w:val="clear" w:color="auto" w:fill="FFFFFF"/>
            <w:vAlign w:val="center"/>
          </w:tcPr>
          <w:p w14:paraId="112DD1D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7.00</w:t>
            </w:r>
          </w:p>
        </w:tc>
        <w:tc>
          <w:tcPr>
            <w:tcW w:w="1077" w:type="dxa"/>
            <w:tcBorders>
              <w:top w:val="nil"/>
              <w:bottom w:val="nil"/>
              <w:right w:val="single" w:sz="16" w:space="0" w:color="000000"/>
            </w:tcBorders>
            <w:shd w:val="clear" w:color="auto" w:fill="FFFFFF"/>
            <w:vAlign w:val="center"/>
          </w:tcPr>
          <w:p w14:paraId="25D88704"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w:t>
            </w:r>
          </w:p>
        </w:tc>
      </w:tr>
      <w:tr w:rsidR="00137B0F" w:rsidRPr="00B45B65" w14:paraId="516F108B" w14:textId="77777777" w:rsidTr="00977660">
        <w:trPr>
          <w:cantSplit/>
          <w:trHeight w:val="78"/>
        </w:trPr>
        <w:tc>
          <w:tcPr>
            <w:tcW w:w="1280" w:type="dxa"/>
            <w:vMerge/>
            <w:tcBorders>
              <w:top w:val="nil"/>
              <w:left w:val="single" w:sz="16" w:space="0" w:color="000000"/>
              <w:right w:val="nil"/>
            </w:tcBorders>
            <w:shd w:val="clear" w:color="auto" w:fill="FFFFFF"/>
          </w:tcPr>
          <w:p w14:paraId="37B18C54"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80" w:type="dxa"/>
            <w:tcBorders>
              <w:top w:val="nil"/>
              <w:left w:val="nil"/>
              <w:right w:val="single" w:sz="16" w:space="0" w:color="000000"/>
            </w:tcBorders>
            <w:shd w:val="clear" w:color="auto" w:fill="FFFFFF"/>
          </w:tcPr>
          <w:p w14:paraId="316136A0"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675" w:type="dxa"/>
            <w:tcBorders>
              <w:top w:val="nil"/>
              <w:left w:val="single" w:sz="16" w:space="0" w:color="000000"/>
            </w:tcBorders>
            <w:shd w:val="clear" w:color="auto" w:fill="FFFFFF"/>
            <w:vAlign w:val="center"/>
          </w:tcPr>
          <w:p w14:paraId="7979763B"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1</w:t>
            </w:r>
          </w:p>
        </w:tc>
        <w:tc>
          <w:tcPr>
            <w:tcW w:w="1007" w:type="dxa"/>
            <w:tcBorders>
              <w:top w:val="nil"/>
            </w:tcBorders>
            <w:shd w:val="clear" w:color="auto" w:fill="FFFFFF"/>
            <w:vAlign w:val="center"/>
          </w:tcPr>
          <w:p w14:paraId="43B9BB08"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64" w:type="dxa"/>
            <w:tcBorders>
              <w:top w:val="nil"/>
            </w:tcBorders>
            <w:shd w:val="clear" w:color="auto" w:fill="FFFFFF"/>
            <w:vAlign w:val="center"/>
          </w:tcPr>
          <w:p w14:paraId="4748F6A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51" w:type="dxa"/>
            <w:tcBorders>
              <w:top w:val="nil"/>
            </w:tcBorders>
            <w:shd w:val="clear" w:color="auto" w:fill="FFFFFF"/>
            <w:vAlign w:val="center"/>
          </w:tcPr>
          <w:p w14:paraId="552B28D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7" w:type="dxa"/>
            <w:tcBorders>
              <w:top w:val="nil"/>
              <w:right w:val="single" w:sz="16" w:space="0" w:color="000000"/>
            </w:tcBorders>
            <w:shd w:val="clear" w:color="auto" w:fill="FFFFFF"/>
            <w:vAlign w:val="center"/>
          </w:tcPr>
          <w:p w14:paraId="73CB1845"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21EDD976" w14:textId="77777777" w:rsidTr="00977660">
        <w:trPr>
          <w:cantSplit/>
          <w:trHeight w:val="773"/>
        </w:trPr>
        <w:tc>
          <w:tcPr>
            <w:tcW w:w="1280" w:type="dxa"/>
            <w:vMerge w:val="restart"/>
            <w:tcBorders>
              <w:top w:val="nil"/>
              <w:left w:val="single" w:sz="16" w:space="0" w:color="000000"/>
              <w:bottom w:val="single" w:sz="16" w:space="0" w:color="000000"/>
              <w:right w:val="nil"/>
            </w:tcBorders>
            <w:shd w:val="clear" w:color="auto" w:fill="FFFFFF"/>
          </w:tcPr>
          <w:p w14:paraId="2CDA798B"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999</w:t>
            </w:r>
          </w:p>
        </w:tc>
        <w:tc>
          <w:tcPr>
            <w:tcW w:w="1980" w:type="dxa"/>
            <w:tcBorders>
              <w:top w:val="nil"/>
              <w:left w:val="nil"/>
              <w:bottom w:val="nil"/>
              <w:right w:val="single" w:sz="16" w:space="0" w:color="000000"/>
            </w:tcBorders>
            <w:shd w:val="clear" w:color="auto" w:fill="FFFFFF"/>
          </w:tcPr>
          <w:p w14:paraId="54758331"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675" w:type="dxa"/>
            <w:tcBorders>
              <w:top w:val="nil"/>
              <w:left w:val="single" w:sz="16" w:space="0" w:color="000000"/>
              <w:bottom w:val="nil"/>
            </w:tcBorders>
            <w:shd w:val="clear" w:color="auto" w:fill="FFFFFF"/>
            <w:vAlign w:val="center"/>
          </w:tcPr>
          <w:p w14:paraId="3B36C365"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36</w:t>
            </w:r>
          </w:p>
        </w:tc>
        <w:tc>
          <w:tcPr>
            <w:tcW w:w="1007" w:type="dxa"/>
            <w:tcBorders>
              <w:top w:val="nil"/>
              <w:bottom w:val="nil"/>
            </w:tcBorders>
            <w:shd w:val="clear" w:color="auto" w:fill="FFFFFF"/>
            <w:vAlign w:val="center"/>
          </w:tcPr>
          <w:p w14:paraId="3EF2D64E"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w:t>
            </w:r>
          </w:p>
        </w:tc>
        <w:tc>
          <w:tcPr>
            <w:tcW w:w="1064" w:type="dxa"/>
            <w:tcBorders>
              <w:top w:val="nil"/>
              <w:bottom w:val="nil"/>
            </w:tcBorders>
            <w:shd w:val="clear" w:color="auto" w:fill="FFFFFF"/>
            <w:vAlign w:val="center"/>
          </w:tcPr>
          <w:p w14:paraId="0514354C"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951" w:type="dxa"/>
            <w:tcBorders>
              <w:top w:val="nil"/>
              <w:bottom w:val="nil"/>
            </w:tcBorders>
            <w:shd w:val="clear" w:color="auto" w:fill="FFFFFF"/>
            <w:vAlign w:val="center"/>
          </w:tcPr>
          <w:p w14:paraId="734D589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5.53</w:t>
            </w:r>
          </w:p>
        </w:tc>
        <w:tc>
          <w:tcPr>
            <w:tcW w:w="1077" w:type="dxa"/>
            <w:tcBorders>
              <w:top w:val="nil"/>
              <w:bottom w:val="nil"/>
              <w:right w:val="single" w:sz="16" w:space="0" w:color="000000"/>
            </w:tcBorders>
            <w:shd w:val="clear" w:color="auto" w:fill="FFFFFF"/>
            <w:vAlign w:val="center"/>
          </w:tcPr>
          <w:p w14:paraId="794D34C1"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1.028</w:t>
            </w:r>
          </w:p>
        </w:tc>
      </w:tr>
      <w:tr w:rsidR="00137B0F" w:rsidRPr="00B45B65" w14:paraId="7D23B983" w14:textId="77777777" w:rsidTr="00977660">
        <w:trPr>
          <w:cantSplit/>
          <w:trHeight w:val="78"/>
        </w:trPr>
        <w:tc>
          <w:tcPr>
            <w:tcW w:w="1280" w:type="dxa"/>
            <w:vMerge/>
            <w:tcBorders>
              <w:top w:val="nil"/>
              <w:left w:val="single" w:sz="16" w:space="0" w:color="000000"/>
              <w:bottom w:val="single" w:sz="16" w:space="0" w:color="000000"/>
              <w:right w:val="nil"/>
            </w:tcBorders>
            <w:shd w:val="clear" w:color="auto" w:fill="FFFFFF"/>
          </w:tcPr>
          <w:p w14:paraId="3CBC3565"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980" w:type="dxa"/>
            <w:tcBorders>
              <w:top w:val="nil"/>
              <w:left w:val="nil"/>
              <w:bottom w:val="single" w:sz="16" w:space="0" w:color="000000"/>
              <w:right w:val="single" w:sz="16" w:space="0" w:color="000000"/>
            </w:tcBorders>
            <w:shd w:val="clear" w:color="auto" w:fill="FFFFFF"/>
          </w:tcPr>
          <w:p w14:paraId="1B594001"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675" w:type="dxa"/>
            <w:tcBorders>
              <w:top w:val="nil"/>
              <w:left w:val="single" w:sz="16" w:space="0" w:color="000000"/>
              <w:bottom w:val="single" w:sz="16" w:space="0" w:color="000000"/>
            </w:tcBorders>
            <w:shd w:val="clear" w:color="auto" w:fill="FFFFFF"/>
            <w:vAlign w:val="center"/>
          </w:tcPr>
          <w:p w14:paraId="49F937CF"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36</w:t>
            </w:r>
          </w:p>
        </w:tc>
        <w:tc>
          <w:tcPr>
            <w:tcW w:w="1007" w:type="dxa"/>
            <w:tcBorders>
              <w:top w:val="nil"/>
              <w:bottom w:val="single" w:sz="16" w:space="0" w:color="000000"/>
            </w:tcBorders>
            <w:shd w:val="clear" w:color="auto" w:fill="FFFFFF"/>
            <w:vAlign w:val="center"/>
          </w:tcPr>
          <w:p w14:paraId="78DEEB0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64" w:type="dxa"/>
            <w:tcBorders>
              <w:top w:val="nil"/>
              <w:bottom w:val="single" w:sz="16" w:space="0" w:color="000000"/>
            </w:tcBorders>
            <w:shd w:val="clear" w:color="auto" w:fill="FFFFFF"/>
            <w:vAlign w:val="center"/>
          </w:tcPr>
          <w:p w14:paraId="1AEC05F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51" w:type="dxa"/>
            <w:tcBorders>
              <w:top w:val="nil"/>
              <w:bottom w:val="single" w:sz="16" w:space="0" w:color="000000"/>
            </w:tcBorders>
            <w:shd w:val="clear" w:color="auto" w:fill="FFFFFF"/>
            <w:vAlign w:val="center"/>
          </w:tcPr>
          <w:p w14:paraId="6BAD05F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77" w:type="dxa"/>
            <w:tcBorders>
              <w:top w:val="nil"/>
              <w:bottom w:val="single" w:sz="16" w:space="0" w:color="000000"/>
              <w:right w:val="single" w:sz="16" w:space="0" w:color="000000"/>
            </w:tcBorders>
            <w:shd w:val="clear" w:color="auto" w:fill="FFFFFF"/>
            <w:vAlign w:val="center"/>
          </w:tcPr>
          <w:p w14:paraId="67CB4BB1"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bl>
    <w:p w14:paraId="5E90CC3A" w14:textId="77777777" w:rsidR="00137B0F" w:rsidRDefault="00137B0F" w:rsidP="00137B0F">
      <w:pPr>
        <w:widowControl w:val="0"/>
        <w:autoSpaceDE w:val="0"/>
        <w:autoSpaceDN w:val="0"/>
        <w:adjustRightInd w:val="0"/>
      </w:pPr>
    </w:p>
    <w:p w14:paraId="73F7ADCD" w14:textId="77777777" w:rsidR="00137B0F" w:rsidRDefault="00137B0F" w:rsidP="00137B0F">
      <w:pPr>
        <w:widowControl w:val="0"/>
        <w:autoSpaceDE w:val="0"/>
        <w:autoSpaceDN w:val="0"/>
        <w:adjustRightInd w:val="0"/>
      </w:pPr>
      <w:r>
        <w:t xml:space="preserve">Those that felt the most prepared when seeing an acutely unwell patient for the first time one month into their FY1 job, had the highest baseline confidence scores at the start of the course (Table 7-6). There does appear to be a positive </w:t>
      </w:r>
      <w:r>
        <w:lastRenderedPageBreak/>
        <w:t xml:space="preserve">relationship between self-rated confidence and actual preparedness when seeing an unwell patient in the clinical environment. This supports the pre-pilot focus group findings that preparedness is interpreted as confidence so the more prepared they feel the more confident they feel. </w:t>
      </w:r>
    </w:p>
    <w:p w14:paraId="7FD37E6A" w14:textId="389988AF" w:rsidR="00137B0F" w:rsidRDefault="00137B0F" w:rsidP="007000F8">
      <w:pPr>
        <w:pStyle w:val="Caption"/>
      </w:pPr>
      <w:bookmarkStart w:id="341" w:name="_Toc365579489"/>
      <w:bookmarkStart w:id="342" w:name="_Toc419116507"/>
      <w:r>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7</w:t>
      </w:r>
      <w:r w:rsidR="007000F8">
        <w:fldChar w:fldCharType="end"/>
      </w:r>
      <w:r>
        <w:t xml:space="preserve"> Overall baseline confidence compared to how well their undergraduate curriculum has prepared them for FY1</w:t>
      </w:r>
      <w:bookmarkEnd w:id="341"/>
      <w:r>
        <w:t>.</w:t>
      </w:r>
      <w:bookmarkEnd w:id="342"/>
    </w:p>
    <w:tbl>
      <w:tblPr>
        <w:tblW w:w="86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88"/>
        <w:gridCol w:w="1687"/>
        <w:gridCol w:w="940"/>
        <w:gridCol w:w="996"/>
        <w:gridCol w:w="1054"/>
        <w:gridCol w:w="940"/>
        <w:gridCol w:w="1349"/>
      </w:tblGrid>
      <w:tr w:rsidR="00137B0F" w:rsidRPr="00B45B65" w14:paraId="41E7189F" w14:textId="77777777" w:rsidTr="00977660">
        <w:trPr>
          <w:cantSplit/>
          <w:trHeight w:val="93"/>
        </w:trPr>
        <w:tc>
          <w:tcPr>
            <w:tcW w:w="8652" w:type="dxa"/>
            <w:gridSpan w:val="7"/>
            <w:tcBorders>
              <w:top w:val="nil"/>
              <w:left w:val="nil"/>
              <w:bottom w:val="nil"/>
              <w:right w:val="nil"/>
            </w:tcBorders>
            <w:shd w:val="clear" w:color="auto" w:fill="FFFFFF"/>
            <w:vAlign w:val="center"/>
          </w:tcPr>
          <w:p w14:paraId="6FA5ACE7" w14:textId="77777777" w:rsidR="00137B0F" w:rsidRPr="00B45B65" w:rsidRDefault="00137B0F" w:rsidP="00977660">
            <w:pPr>
              <w:widowControl w:val="0"/>
              <w:autoSpaceDE w:val="0"/>
              <w:autoSpaceDN w:val="0"/>
              <w:adjustRightInd w:val="0"/>
              <w:spacing w:line="320" w:lineRule="atLeast"/>
              <w:ind w:left="60" w:right="60"/>
              <w:rPr>
                <w:rFonts w:cs="Arial"/>
                <w:color w:val="000000"/>
              </w:rPr>
            </w:pPr>
          </w:p>
        </w:tc>
      </w:tr>
      <w:tr w:rsidR="00137B0F" w:rsidRPr="00B45B65" w14:paraId="375020A4" w14:textId="77777777" w:rsidTr="00977660">
        <w:trPr>
          <w:cantSplit/>
          <w:trHeight w:val="93"/>
        </w:trPr>
        <w:tc>
          <w:tcPr>
            <w:tcW w:w="3374" w:type="dxa"/>
            <w:gridSpan w:val="2"/>
            <w:tcBorders>
              <w:top w:val="single" w:sz="16" w:space="0" w:color="000000"/>
              <w:left w:val="single" w:sz="16" w:space="0" w:color="000000"/>
              <w:bottom w:val="single" w:sz="16" w:space="0" w:color="000000"/>
              <w:right w:val="nil"/>
            </w:tcBorders>
            <w:shd w:val="clear" w:color="auto" w:fill="FFFFFF"/>
            <w:vAlign w:val="bottom"/>
          </w:tcPr>
          <w:p w14:paraId="59A86B98" w14:textId="77777777" w:rsidR="00137B0F" w:rsidRPr="004F5E04" w:rsidRDefault="00137B0F" w:rsidP="00977660">
            <w:pPr>
              <w:widowControl w:val="0"/>
              <w:autoSpaceDE w:val="0"/>
              <w:autoSpaceDN w:val="0"/>
              <w:adjustRightInd w:val="0"/>
              <w:spacing w:line="240" w:lineRule="auto"/>
              <w:ind w:left="60" w:right="60"/>
              <w:rPr>
                <w:rFonts w:cs="Arial"/>
                <w:color w:val="000000"/>
                <w:sz w:val="20"/>
                <w:szCs w:val="20"/>
              </w:rPr>
            </w:pPr>
            <w:r w:rsidRPr="004F5E04">
              <w:rPr>
                <w:rFonts w:cs="Arial"/>
                <w:color w:val="000000"/>
                <w:sz w:val="20"/>
                <w:szCs w:val="20"/>
              </w:rPr>
              <w:t>Q 21 My undergrad curriculum prepared me for being a FY1</w:t>
            </w:r>
          </w:p>
        </w:tc>
        <w:tc>
          <w:tcPr>
            <w:tcW w:w="940" w:type="dxa"/>
            <w:tcBorders>
              <w:top w:val="single" w:sz="16" w:space="0" w:color="000000"/>
              <w:left w:val="single" w:sz="16" w:space="0" w:color="000000"/>
              <w:bottom w:val="single" w:sz="16" w:space="0" w:color="000000"/>
            </w:tcBorders>
            <w:shd w:val="clear" w:color="auto" w:fill="FFFFFF"/>
            <w:vAlign w:val="bottom"/>
          </w:tcPr>
          <w:p w14:paraId="2D348C46"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N</w:t>
            </w:r>
          </w:p>
        </w:tc>
        <w:tc>
          <w:tcPr>
            <w:tcW w:w="996" w:type="dxa"/>
            <w:tcBorders>
              <w:top w:val="single" w:sz="16" w:space="0" w:color="000000"/>
              <w:bottom w:val="single" w:sz="16" w:space="0" w:color="000000"/>
            </w:tcBorders>
            <w:shd w:val="clear" w:color="auto" w:fill="FFFFFF"/>
            <w:vAlign w:val="bottom"/>
          </w:tcPr>
          <w:p w14:paraId="53F61C0A"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Minimum</w:t>
            </w:r>
          </w:p>
        </w:tc>
        <w:tc>
          <w:tcPr>
            <w:tcW w:w="1054" w:type="dxa"/>
            <w:tcBorders>
              <w:top w:val="single" w:sz="16" w:space="0" w:color="000000"/>
              <w:bottom w:val="single" w:sz="16" w:space="0" w:color="000000"/>
            </w:tcBorders>
            <w:shd w:val="clear" w:color="auto" w:fill="FFFFFF"/>
            <w:vAlign w:val="bottom"/>
          </w:tcPr>
          <w:p w14:paraId="239E97D5"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Maximum</w:t>
            </w:r>
          </w:p>
        </w:tc>
        <w:tc>
          <w:tcPr>
            <w:tcW w:w="940" w:type="dxa"/>
            <w:tcBorders>
              <w:top w:val="single" w:sz="16" w:space="0" w:color="000000"/>
              <w:bottom w:val="single" w:sz="16" w:space="0" w:color="000000"/>
            </w:tcBorders>
            <w:shd w:val="clear" w:color="auto" w:fill="FFFFFF"/>
            <w:vAlign w:val="bottom"/>
          </w:tcPr>
          <w:p w14:paraId="163384F2"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Mean</w:t>
            </w:r>
          </w:p>
        </w:tc>
        <w:tc>
          <w:tcPr>
            <w:tcW w:w="1349" w:type="dxa"/>
            <w:tcBorders>
              <w:top w:val="single" w:sz="16" w:space="0" w:color="000000"/>
              <w:bottom w:val="single" w:sz="16" w:space="0" w:color="000000"/>
              <w:right w:val="single" w:sz="16" w:space="0" w:color="000000"/>
            </w:tcBorders>
            <w:shd w:val="clear" w:color="auto" w:fill="FFFFFF"/>
            <w:vAlign w:val="bottom"/>
          </w:tcPr>
          <w:p w14:paraId="51800517"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Std. Deviation</w:t>
            </w:r>
          </w:p>
        </w:tc>
      </w:tr>
      <w:tr w:rsidR="00137B0F" w:rsidRPr="00B45B65" w14:paraId="11A11855" w14:textId="77777777" w:rsidTr="00977660">
        <w:trPr>
          <w:cantSplit/>
          <w:trHeight w:val="942"/>
        </w:trPr>
        <w:tc>
          <w:tcPr>
            <w:tcW w:w="1688" w:type="dxa"/>
            <w:vMerge w:val="restart"/>
            <w:tcBorders>
              <w:top w:val="single" w:sz="16" w:space="0" w:color="000000"/>
              <w:left w:val="single" w:sz="16" w:space="0" w:color="000000"/>
              <w:right w:val="nil"/>
            </w:tcBorders>
            <w:shd w:val="clear" w:color="auto" w:fill="FFFFFF"/>
          </w:tcPr>
          <w:p w14:paraId="180112E4"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Disagree</w:t>
            </w:r>
          </w:p>
        </w:tc>
        <w:tc>
          <w:tcPr>
            <w:tcW w:w="1687" w:type="dxa"/>
            <w:tcBorders>
              <w:top w:val="single" w:sz="16" w:space="0" w:color="000000"/>
              <w:left w:val="nil"/>
              <w:bottom w:val="nil"/>
              <w:right w:val="single" w:sz="16" w:space="0" w:color="000000"/>
            </w:tcBorders>
            <w:shd w:val="clear" w:color="auto" w:fill="FFFFFF"/>
          </w:tcPr>
          <w:p w14:paraId="7C3E6A19"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940" w:type="dxa"/>
            <w:tcBorders>
              <w:top w:val="single" w:sz="16" w:space="0" w:color="000000"/>
              <w:left w:val="single" w:sz="16" w:space="0" w:color="000000"/>
              <w:bottom w:val="nil"/>
            </w:tcBorders>
            <w:shd w:val="clear" w:color="auto" w:fill="FFFFFF"/>
            <w:vAlign w:val="center"/>
          </w:tcPr>
          <w:p w14:paraId="017946E8"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12</w:t>
            </w:r>
          </w:p>
        </w:tc>
        <w:tc>
          <w:tcPr>
            <w:tcW w:w="996" w:type="dxa"/>
            <w:tcBorders>
              <w:top w:val="single" w:sz="16" w:space="0" w:color="000000"/>
              <w:bottom w:val="nil"/>
            </w:tcBorders>
            <w:shd w:val="clear" w:color="auto" w:fill="FFFFFF"/>
            <w:vAlign w:val="center"/>
          </w:tcPr>
          <w:p w14:paraId="24A1F5A5"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w:t>
            </w:r>
          </w:p>
        </w:tc>
        <w:tc>
          <w:tcPr>
            <w:tcW w:w="1054" w:type="dxa"/>
            <w:tcBorders>
              <w:top w:val="single" w:sz="16" w:space="0" w:color="000000"/>
              <w:bottom w:val="nil"/>
            </w:tcBorders>
            <w:shd w:val="clear" w:color="auto" w:fill="FFFFFF"/>
            <w:vAlign w:val="center"/>
          </w:tcPr>
          <w:p w14:paraId="745979B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7</w:t>
            </w:r>
          </w:p>
        </w:tc>
        <w:tc>
          <w:tcPr>
            <w:tcW w:w="940" w:type="dxa"/>
            <w:tcBorders>
              <w:top w:val="single" w:sz="16" w:space="0" w:color="000000"/>
              <w:bottom w:val="nil"/>
            </w:tcBorders>
            <w:shd w:val="clear" w:color="auto" w:fill="FFFFFF"/>
            <w:vAlign w:val="center"/>
          </w:tcPr>
          <w:p w14:paraId="279FE885"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5.08</w:t>
            </w:r>
          </w:p>
        </w:tc>
        <w:tc>
          <w:tcPr>
            <w:tcW w:w="1349" w:type="dxa"/>
            <w:tcBorders>
              <w:top w:val="single" w:sz="16" w:space="0" w:color="000000"/>
              <w:bottom w:val="nil"/>
              <w:right w:val="single" w:sz="16" w:space="0" w:color="000000"/>
            </w:tcBorders>
            <w:shd w:val="clear" w:color="auto" w:fill="FFFFFF"/>
            <w:vAlign w:val="center"/>
          </w:tcPr>
          <w:p w14:paraId="3CA7EFA3"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1.084</w:t>
            </w:r>
          </w:p>
        </w:tc>
      </w:tr>
      <w:tr w:rsidR="00137B0F" w:rsidRPr="00B45B65" w14:paraId="1A4AAF10" w14:textId="77777777" w:rsidTr="00977660">
        <w:trPr>
          <w:cantSplit/>
          <w:trHeight w:val="93"/>
        </w:trPr>
        <w:tc>
          <w:tcPr>
            <w:tcW w:w="1688" w:type="dxa"/>
            <w:vMerge/>
            <w:tcBorders>
              <w:top w:val="single" w:sz="16" w:space="0" w:color="000000"/>
              <w:left w:val="single" w:sz="16" w:space="0" w:color="000000"/>
              <w:right w:val="nil"/>
            </w:tcBorders>
            <w:shd w:val="clear" w:color="auto" w:fill="FFFFFF"/>
          </w:tcPr>
          <w:p w14:paraId="6C2F3FBB"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687" w:type="dxa"/>
            <w:tcBorders>
              <w:top w:val="nil"/>
              <w:left w:val="nil"/>
              <w:right w:val="single" w:sz="16" w:space="0" w:color="000000"/>
            </w:tcBorders>
            <w:shd w:val="clear" w:color="auto" w:fill="FFFFFF"/>
          </w:tcPr>
          <w:p w14:paraId="6BACD461"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40" w:type="dxa"/>
            <w:tcBorders>
              <w:top w:val="nil"/>
              <w:left w:val="single" w:sz="16" w:space="0" w:color="000000"/>
            </w:tcBorders>
            <w:shd w:val="clear" w:color="auto" w:fill="FFFFFF"/>
            <w:vAlign w:val="center"/>
          </w:tcPr>
          <w:p w14:paraId="605C795C"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12</w:t>
            </w:r>
          </w:p>
        </w:tc>
        <w:tc>
          <w:tcPr>
            <w:tcW w:w="996" w:type="dxa"/>
            <w:tcBorders>
              <w:top w:val="nil"/>
            </w:tcBorders>
            <w:shd w:val="clear" w:color="auto" w:fill="FFFFFF"/>
            <w:vAlign w:val="center"/>
          </w:tcPr>
          <w:p w14:paraId="56A89C75"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54" w:type="dxa"/>
            <w:tcBorders>
              <w:top w:val="nil"/>
            </w:tcBorders>
            <w:shd w:val="clear" w:color="auto" w:fill="FFFFFF"/>
            <w:vAlign w:val="center"/>
          </w:tcPr>
          <w:p w14:paraId="1D870CC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40" w:type="dxa"/>
            <w:tcBorders>
              <w:top w:val="nil"/>
            </w:tcBorders>
            <w:shd w:val="clear" w:color="auto" w:fill="FFFFFF"/>
            <w:vAlign w:val="center"/>
          </w:tcPr>
          <w:p w14:paraId="6101BA5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349" w:type="dxa"/>
            <w:tcBorders>
              <w:top w:val="nil"/>
              <w:right w:val="single" w:sz="16" w:space="0" w:color="000000"/>
            </w:tcBorders>
            <w:shd w:val="clear" w:color="auto" w:fill="FFFFFF"/>
            <w:vAlign w:val="center"/>
          </w:tcPr>
          <w:p w14:paraId="1A57184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442E0268" w14:textId="77777777" w:rsidTr="00977660">
        <w:trPr>
          <w:cantSplit/>
          <w:trHeight w:val="942"/>
        </w:trPr>
        <w:tc>
          <w:tcPr>
            <w:tcW w:w="1688" w:type="dxa"/>
            <w:vMerge w:val="restart"/>
            <w:tcBorders>
              <w:top w:val="nil"/>
              <w:left w:val="single" w:sz="16" w:space="0" w:color="000000"/>
              <w:right w:val="nil"/>
            </w:tcBorders>
            <w:shd w:val="clear" w:color="auto" w:fill="FFFFFF"/>
          </w:tcPr>
          <w:p w14:paraId="3E2AC1CB"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Agree</w:t>
            </w:r>
          </w:p>
        </w:tc>
        <w:tc>
          <w:tcPr>
            <w:tcW w:w="1687" w:type="dxa"/>
            <w:tcBorders>
              <w:top w:val="nil"/>
              <w:left w:val="nil"/>
              <w:bottom w:val="nil"/>
              <w:right w:val="single" w:sz="16" w:space="0" w:color="000000"/>
            </w:tcBorders>
            <w:shd w:val="clear" w:color="auto" w:fill="FFFFFF"/>
          </w:tcPr>
          <w:p w14:paraId="09595F71"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940" w:type="dxa"/>
            <w:tcBorders>
              <w:top w:val="nil"/>
              <w:left w:val="single" w:sz="16" w:space="0" w:color="000000"/>
              <w:bottom w:val="nil"/>
            </w:tcBorders>
            <w:shd w:val="clear" w:color="auto" w:fill="FFFFFF"/>
            <w:vAlign w:val="center"/>
          </w:tcPr>
          <w:p w14:paraId="44AF2B99"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58</w:t>
            </w:r>
          </w:p>
        </w:tc>
        <w:tc>
          <w:tcPr>
            <w:tcW w:w="996" w:type="dxa"/>
            <w:tcBorders>
              <w:top w:val="nil"/>
              <w:bottom w:val="nil"/>
            </w:tcBorders>
            <w:shd w:val="clear" w:color="auto" w:fill="FFFFFF"/>
            <w:vAlign w:val="center"/>
          </w:tcPr>
          <w:p w14:paraId="0F28533E"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w:t>
            </w:r>
          </w:p>
        </w:tc>
        <w:tc>
          <w:tcPr>
            <w:tcW w:w="1054" w:type="dxa"/>
            <w:tcBorders>
              <w:top w:val="nil"/>
              <w:bottom w:val="nil"/>
            </w:tcBorders>
            <w:shd w:val="clear" w:color="auto" w:fill="FFFFFF"/>
            <w:vAlign w:val="center"/>
          </w:tcPr>
          <w:p w14:paraId="190E3004"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940" w:type="dxa"/>
            <w:tcBorders>
              <w:top w:val="nil"/>
              <w:bottom w:val="nil"/>
            </w:tcBorders>
            <w:shd w:val="clear" w:color="auto" w:fill="FFFFFF"/>
            <w:vAlign w:val="center"/>
          </w:tcPr>
          <w:p w14:paraId="5054CFA9"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5.69</w:t>
            </w:r>
          </w:p>
        </w:tc>
        <w:tc>
          <w:tcPr>
            <w:tcW w:w="1349" w:type="dxa"/>
            <w:tcBorders>
              <w:top w:val="nil"/>
              <w:bottom w:val="nil"/>
              <w:right w:val="single" w:sz="16" w:space="0" w:color="000000"/>
            </w:tcBorders>
            <w:shd w:val="clear" w:color="auto" w:fill="FFFFFF"/>
            <w:vAlign w:val="center"/>
          </w:tcPr>
          <w:p w14:paraId="60AF67CD"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1.217</w:t>
            </w:r>
          </w:p>
        </w:tc>
      </w:tr>
      <w:tr w:rsidR="00137B0F" w:rsidRPr="00B45B65" w14:paraId="14A09A6D" w14:textId="77777777" w:rsidTr="00977660">
        <w:trPr>
          <w:cantSplit/>
          <w:trHeight w:val="93"/>
        </w:trPr>
        <w:tc>
          <w:tcPr>
            <w:tcW w:w="1688" w:type="dxa"/>
            <w:vMerge/>
            <w:tcBorders>
              <w:top w:val="nil"/>
              <w:left w:val="single" w:sz="16" w:space="0" w:color="000000"/>
              <w:right w:val="nil"/>
            </w:tcBorders>
            <w:shd w:val="clear" w:color="auto" w:fill="FFFFFF"/>
          </w:tcPr>
          <w:p w14:paraId="341F2EF1"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687" w:type="dxa"/>
            <w:tcBorders>
              <w:top w:val="nil"/>
              <w:left w:val="nil"/>
              <w:right w:val="single" w:sz="16" w:space="0" w:color="000000"/>
            </w:tcBorders>
            <w:shd w:val="clear" w:color="auto" w:fill="FFFFFF"/>
          </w:tcPr>
          <w:p w14:paraId="2B58A141"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40" w:type="dxa"/>
            <w:tcBorders>
              <w:top w:val="nil"/>
              <w:left w:val="single" w:sz="16" w:space="0" w:color="000000"/>
            </w:tcBorders>
            <w:shd w:val="clear" w:color="auto" w:fill="FFFFFF"/>
            <w:vAlign w:val="center"/>
          </w:tcPr>
          <w:p w14:paraId="022EFBF4"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58</w:t>
            </w:r>
          </w:p>
        </w:tc>
        <w:tc>
          <w:tcPr>
            <w:tcW w:w="996" w:type="dxa"/>
            <w:tcBorders>
              <w:top w:val="nil"/>
            </w:tcBorders>
            <w:shd w:val="clear" w:color="auto" w:fill="FFFFFF"/>
            <w:vAlign w:val="center"/>
          </w:tcPr>
          <w:p w14:paraId="5F84821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54" w:type="dxa"/>
            <w:tcBorders>
              <w:top w:val="nil"/>
            </w:tcBorders>
            <w:shd w:val="clear" w:color="auto" w:fill="FFFFFF"/>
            <w:vAlign w:val="center"/>
          </w:tcPr>
          <w:p w14:paraId="797FFDB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40" w:type="dxa"/>
            <w:tcBorders>
              <w:top w:val="nil"/>
            </w:tcBorders>
            <w:shd w:val="clear" w:color="auto" w:fill="FFFFFF"/>
            <w:vAlign w:val="center"/>
          </w:tcPr>
          <w:p w14:paraId="3E34E691"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349" w:type="dxa"/>
            <w:tcBorders>
              <w:top w:val="nil"/>
              <w:right w:val="single" w:sz="16" w:space="0" w:color="000000"/>
            </w:tcBorders>
            <w:shd w:val="clear" w:color="auto" w:fill="FFFFFF"/>
            <w:vAlign w:val="center"/>
          </w:tcPr>
          <w:p w14:paraId="0E7E0C0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69EFA7BE" w14:textId="77777777" w:rsidTr="00977660">
        <w:trPr>
          <w:cantSplit/>
          <w:trHeight w:val="942"/>
        </w:trPr>
        <w:tc>
          <w:tcPr>
            <w:tcW w:w="1688" w:type="dxa"/>
            <w:vMerge w:val="restart"/>
            <w:tcBorders>
              <w:top w:val="nil"/>
              <w:left w:val="single" w:sz="16" w:space="0" w:color="000000"/>
              <w:right w:val="nil"/>
            </w:tcBorders>
            <w:shd w:val="clear" w:color="auto" w:fill="FFFFFF"/>
          </w:tcPr>
          <w:p w14:paraId="70510350"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Strongly agree</w:t>
            </w:r>
          </w:p>
        </w:tc>
        <w:tc>
          <w:tcPr>
            <w:tcW w:w="1687" w:type="dxa"/>
            <w:tcBorders>
              <w:top w:val="nil"/>
              <w:left w:val="nil"/>
              <w:bottom w:val="nil"/>
              <w:right w:val="single" w:sz="16" w:space="0" w:color="000000"/>
            </w:tcBorders>
            <w:shd w:val="clear" w:color="auto" w:fill="FFFFFF"/>
          </w:tcPr>
          <w:p w14:paraId="6EF90B59"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940" w:type="dxa"/>
            <w:tcBorders>
              <w:top w:val="nil"/>
              <w:left w:val="single" w:sz="16" w:space="0" w:color="000000"/>
              <w:bottom w:val="nil"/>
            </w:tcBorders>
            <w:shd w:val="clear" w:color="auto" w:fill="FFFFFF"/>
            <w:vAlign w:val="center"/>
          </w:tcPr>
          <w:p w14:paraId="633535C3"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9</w:t>
            </w:r>
          </w:p>
        </w:tc>
        <w:tc>
          <w:tcPr>
            <w:tcW w:w="996" w:type="dxa"/>
            <w:tcBorders>
              <w:top w:val="nil"/>
              <w:bottom w:val="nil"/>
            </w:tcBorders>
            <w:shd w:val="clear" w:color="auto" w:fill="FFFFFF"/>
            <w:vAlign w:val="center"/>
          </w:tcPr>
          <w:p w14:paraId="0B5C715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6</w:t>
            </w:r>
          </w:p>
        </w:tc>
        <w:tc>
          <w:tcPr>
            <w:tcW w:w="1054" w:type="dxa"/>
            <w:tcBorders>
              <w:top w:val="nil"/>
              <w:bottom w:val="nil"/>
            </w:tcBorders>
            <w:shd w:val="clear" w:color="auto" w:fill="FFFFFF"/>
            <w:vAlign w:val="center"/>
          </w:tcPr>
          <w:p w14:paraId="747558A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940" w:type="dxa"/>
            <w:tcBorders>
              <w:top w:val="nil"/>
              <w:bottom w:val="nil"/>
            </w:tcBorders>
            <w:shd w:val="clear" w:color="auto" w:fill="FFFFFF"/>
            <w:vAlign w:val="center"/>
          </w:tcPr>
          <w:p w14:paraId="54D78331"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6.78</w:t>
            </w:r>
          </w:p>
        </w:tc>
        <w:tc>
          <w:tcPr>
            <w:tcW w:w="1349" w:type="dxa"/>
            <w:tcBorders>
              <w:top w:val="nil"/>
              <w:bottom w:val="nil"/>
              <w:right w:val="single" w:sz="16" w:space="0" w:color="000000"/>
            </w:tcBorders>
            <w:shd w:val="clear" w:color="auto" w:fill="FFFFFF"/>
            <w:vAlign w:val="center"/>
          </w:tcPr>
          <w:p w14:paraId="6AD0DE5E"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.833</w:t>
            </w:r>
          </w:p>
        </w:tc>
      </w:tr>
      <w:tr w:rsidR="00137B0F" w:rsidRPr="00B45B65" w14:paraId="0A3B4EA0" w14:textId="77777777" w:rsidTr="00977660">
        <w:trPr>
          <w:cantSplit/>
          <w:trHeight w:val="93"/>
        </w:trPr>
        <w:tc>
          <w:tcPr>
            <w:tcW w:w="1688" w:type="dxa"/>
            <w:vMerge/>
            <w:tcBorders>
              <w:top w:val="nil"/>
              <w:left w:val="single" w:sz="16" w:space="0" w:color="000000"/>
              <w:right w:val="nil"/>
            </w:tcBorders>
            <w:shd w:val="clear" w:color="auto" w:fill="FFFFFF"/>
          </w:tcPr>
          <w:p w14:paraId="2A031DEF"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687" w:type="dxa"/>
            <w:tcBorders>
              <w:top w:val="nil"/>
              <w:left w:val="nil"/>
              <w:right w:val="single" w:sz="16" w:space="0" w:color="000000"/>
            </w:tcBorders>
            <w:shd w:val="clear" w:color="auto" w:fill="FFFFFF"/>
          </w:tcPr>
          <w:p w14:paraId="54A0219B"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40" w:type="dxa"/>
            <w:tcBorders>
              <w:top w:val="nil"/>
              <w:left w:val="single" w:sz="16" w:space="0" w:color="000000"/>
            </w:tcBorders>
            <w:shd w:val="clear" w:color="auto" w:fill="FFFFFF"/>
            <w:vAlign w:val="center"/>
          </w:tcPr>
          <w:p w14:paraId="1E361199"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9</w:t>
            </w:r>
          </w:p>
        </w:tc>
        <w:tc>
          <w:tcPr>
            <w:tcW w:w="996" w:type="dxa"/>
            <w:tcBorders>
              <w:top w:val="nil"/>
            </w:tcBorders>
            <w:shd w:val="clear" w:color="auto" w:fill="FFFFFF"/>
            <w:vAlign w:val="center"/>
          </w:tcPr>
          <w:p w14:paraId="1B4DEFB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54" w:type="dxa"/>
            <w:tcBorders>
              <w:top w:val="nil"/>
            </w:tcBorders>
            <w:shd w:val="clear" w:color="auto" w:fill="FFFFFF"/>
            <w:vAlign w:val="center"/>
          </w:tcPr>
          <w:p w14:paraId="17F18D0E"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40" w:type="dxa"/>
            <w:tcBorders>
              <w:top w:val="nil"/>
            </w:tcBorders>
            <w:shd w:val="clear" w:color="auto" w:fill="FFFFFF"/>
            <w:vAlign w:val="center"/>
          </w:tcPr>
          <w:p w14:paraId="28BD2290"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349" w:type="dxa"/>
            <w:tcBorders>
              <w:top w:val="nil"/>
              <w:right w:val="single" w:sz="16" w:space="0" w:color="000000"/>
            </w:tcBorders>
            <w:shd w:val="clear" w:color="auto" w:fill="FFFFFF"/>
            <w:vAlign w:val="center"/>
          </w:tcPr>
          <w:p w14:paraId="7AE3A4EF"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0532A7A6" w14:textId="77777777" w:rsidTr="00977660">
        <w:trPr>
          <w:cantSplit/>
          <w:trHeight w:val="942"/>
        </w:trPr>
        <w:tc>
          <w:tcPr>
            <w:tcW w:w="1688" w:type="dxa"/>
            <w:vMerge w:val="restart"/>
            <w:tcBorders>
              <w:top w:val="nil"/>
              <w:left w:val="single" w:sz="16" w:space="0" w:color="000000"/>
              <w:bottom w:val="single" w:sz="16" w:space="0" w:color="000000"/>
              <w:right w:val="nil"/>
            </w:tcBorders>
            <w:shd w:val="clear" w:color="auto" w:fill="FFFFFF"/>
          </w:tcPr>
          <w:p w14:paraId="204415E3"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999</w:t>
            </w:r>
          </w:p>
        </w:tc>
        <w:tc>
          <w:tcPr>
            <w:tcW w:w="1687" w:type="dxa"/>
            <w:tcBorders>
              <w:top w:val="nil"/>
              <w:left w:val="nil"/>
              <w:bottom w:val="nil"/>
              <w:right w:val="single" w:sz="16" w:space="0" w:color="000000"/>
            </w:tcBorders>
            <w:shd w:val="clear" w:color="auto" w:fill="FFFFFF"/>
          </w:tcPr>
          <w:p w14:paraId="6F085D0F"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940" w:type="dxa"/>
            <w:tcBorders>
              <w:top w:val="nil"/>
              <w:left w:val="single" w:sz="16" w:space="0" w:color="000000"/>
              <w:bottom w:val="nil"/>
            </w:tcBorders>
            <w:shd w:val="clear" w:color="auto" w:fill="FFFFFF"/>
            <w:vAlign w:val="center"/>
          </w:tcPr>
          <w:p w14:paraId="2EE7001C"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15</w:t>
            </w:r>
          </w:p>
        </w:tc>
        <w:tc>
          <w:tcPr>
            <w:tcW w:w="996" w:type="dxa"/>
            <w:tcBorders>
              <w:top w:val="nil"/>
              <w:bottom w:val="nil"/>
            </w:tcBorders>
            <w:shd w:val="clear" w:color="auto" w:fill="FFFFFF"/>
            <w:vAlign w:val="center"/>
          </w:tcPr>
          <w:p w14:paraId="6EFC0F28"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4</w:t>
            </w:r>
          </w:p>
        </w:tc>
        <w:tc>
          <w:tcPr>
            <w:tcW w:w="1054" w:type="dxa"/>
            <w:tcBorders>
              <w:top w:val="nil"/>
              <w:bottom w:val="nil"/>
            </w:tcBorders>
            <w:shd w:val="clear" w:color="auto" w:fill="FFFFFF"/>
            <w:vAlign w:val="center"/>
          </w:tcPr>
          <w:p w14:paraId="56DE5B54"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940" w:type="dxa"/>
            <w:tcBorders>
              <w:top w:val="nil"/>
              <w:bottom w:val="nil"/>
            </w:tcBorders>
            <w:shd w:val="clear" w:color="auto" w:fill="FFFFFF"/>
            <w:vAlign w:val="center"/>
          </w:tcPr>
          <w:p w14:paraId="2B6291A4"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5.87</w:t>
            </w:r>
          </w:p>
        </w:tc>
        <w:tc>
          <w:tcPr>
            <w:tcW w:w="1349" w:type="dxa"/>
            <w:tcBorders>
              <w:top w:val="nil"/>
              <w:bottom w:val="nil"/>
              <w:right w:val="single" w:sz="16" w:space="0" w:color="000000"/>
            </w:tcBorders>
            <w:shd w:val="clear" w:color="auto" w:fill="FFFFFF"/>
            <w:vAlign w:val="center"/>
          </w:tcPr>
          <w:p w14:paraId="7F79F82C"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.990</w:t>
            </w:r>
          </w:p>
        </w:tc>
      </w:tr>
      <w:tr w:rsidR="00137B0F" w:rsidRPr="00B45B65" w14:paraId="6ED474E0" w14:textId="77777777" w:rsidTr="00977660">
        <w:trPr>
          <w:cantSplit/>
          <w:trHeight w:val="93"/>
        </w:trPr>
        <w:tc>
          <w:tcPr>
            <w:tcW w:w="1688" w:type="dxa"/>
            <w:vMerge/>
            <w:tcBorders>
              <w:top w:val="nil"/>
              <w:left w:val="single" w:sz="16" w:space="0" w:color="000000"/>
              <w:bottom w:val="single" w:sz="16" w:space="0" w:color="000000"/>
              <w:right w:val="nil"/>
            </w:tcBorders>
            <w:shd w:val="clear" w:color="auto" w:fill="FFFFFF"/>
          </w:tcPr>
          <w:p w14:paraId="035641EE"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687" w:type="dxa"/>
            <w:tcBorders>
              <w:top w:val="nil"/>
              <w:left w:val="nil"/>
              <w:bottom w:val="single" w:sz="16" w:space="0" w:color="000000"/>
              <w:right w:val="single" w:sz="16" w:space="0" w:color="000000"/>
            </w:tcBorders>
            <w:shd w:val="clear" w:color="auto" w:fill="FFFFFF"/>
          </w:tcPr>
          <w:p w14:paraId="1F2C0AE6"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40" w:type="dxa"/>
            <w:tcBorders>
              <w:top w:val="nil"/>
              <w:left w:val="single" w:sz="16" w:space="0" w:color="000000"/>
              <w:bottom w:val="single" w:sz="16" w:space="0" w:color="000000"/>
            </w:tcBorders>
            <w:shd w:val="clear" w:color="auto" w:fill="FFFFFF"/>
            <w:vAlign w:val="center"/>
          </w:tcPr>
          <w:p w14:paraId="77AADF4F"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15</w:t>
            </w:r>
          </w:p>
        </w:tc>
        <w:tc>
          <w:tcPr>
            <w:tcW w:w="996" w:type="dxa"/>
            <w:tcBorders>
              <w:top w:val="nil"/>
              <w:bottom w:val="single" w:sz="16" w:space="0" w:color="000000"/>
            </w:tcBorders>
            <w:shd w:val="clear" w:color="auto" w:fill="FFFFFF"/>
            <w:vAlign w:val="center"/>
          </w:tcPr>
          <w:p w14:paraId="7145DE05"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54" w:type="dxa"/>
            <w:tcBorders>
              <w:top w:val="nil"/>
              <w:bottom w:val="single" w:sz="16" w:space="0" w:color="000000"/>
            </w:tcBorders>
            <w:shd w:val="clear" w:color="auto" w:fill="FFFFFF"/>
            <w:vAlign w:val="center"/>
          </w:tcPr>
          <w:p w14:paraId="20635DA1"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40" w:type="dxa"/>
            <w:tcBorders>
              <w:top w:val="nil"/>
              <w:bottom w:val="single" w:sz="16" w:space="0" w:color="000000"/>
            </w:tcBorders>
            <w:shd w:val="clear" w:color="auto" w:fill="FFFFFF"/>
            <w:vAlign w:val="center"/>
          </w:tcPr>
          <w:p w14:paraId="1F0BAE0D"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349" w:type="dxa"/>
            <w:tcBorders>
              <w:top w:val="nil"/>
              <w:bottom w:val="single" w:sz="16" w:space="0" w:color="000000"/>
              <w:right w:val="single" w:sz="16" w:space="0" w:color="000000"/>
            </w:tcBorders>
            <w:shd w:val="clear" w:color="auto" w:fill="FFFFFF"/>
            <w:vAlign w:val="center"/>
          </w:tcPr>
          <w:p w14:paraId="1E20E3E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bl>
    <w:p w14:paraId="6794B2A7" w14:textId="77777777" w:rsidR="00137B0F" w:rsidRDefault="00137B0F" w:rsidP="00137B0F"/>
    <w:p w14:paraId="4E96A57B" w14:textId="77777777" w:rsidR="00137B0F" w:rsidRDefault="00137B0F" w:rsidP="00137B0F">
      <w:r>
        <w:lastRenderedPageBreak/>
        <w:t xml:space="preserve">Table 7.7 demonstrates that the majority of students, 87% (n=82) felt their undergraduate curriculum had prepared them for FY1, with just 13% disagreeing (n=12). The more they agreed that their undergraduate curriculum had prepared them, the more confident they felt overall (Table 7-7), supporting the use of confidence as a marker of preparedness in this setting. </w:t>
      </w:r>
    </w:p>
    <w:p w14:paraId="04574058" w14:textId="3B99FC20" w:rsidR="00137B0F" w:rsidRPr="00905DB0" w:rsidRDefault="00137B0F" w:rsidP="007000F8">
      <w:pPr>
        <w:pStyle w:val="Caption"/>
      </w:pPr>
      <w:bookmarkStart w:id="343" w:name="_Toc365579490"/>
      <w:bookmarkStart w:id="344" w:name="_Toc419116508"/>
      <w:r>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8</w:t>
      </w:r>
      <w:r w:rsidR="007000F8">
        <w:fldChar w:fldCharType="end"/>
      </w:r>
      <w:r>
        <w:t xml:space="preserve"> Overall baseline pre-course confidence and ability to treat a patient with sepsis when one month into FY1.</w:t>
      </w:r>
      <w:bookmarkEnd w:id="343"/>
      <w:bookmarkEnd w:id="344"/>
    </w:p>
    <w:tbl>
      <w:tblPr>
        <w:tblW w:w="8510" w:type="dxa"/>
        <w:tblInd w:w="1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00"/>
        <w:gridCol w:w="1746"/>
        <w:gridCol w:w="973"/>
        <w:gridCol w:w="1032"/>
        <w:gridCol w:w="1090"/>
        <w:gridCol w:w="973"/>
        <w:gridCol w:w="1096"/>
      </w:tblGrid>
      <w:tr w:rsidR="00137B0F" w:rsidRPr="00B45B65" w14:paraId="5FCA4922" w14:textId="77777777" w:rsidTr="00977660">
        <w:trPr>
          <w:cantSplit/>
          <w:trHeight w:val="507"/>
        </w:trPr>
        <w:tc>
          <w:tcPr>
            <w:tcW w:w="8510" w:type="dxa"/>
            <w:gridSpan w:val="7"/>
            <w:tcBorders>
              <w:top w:val="nil"/>
              <w:left w:val="nil"/>
              <w:bottom w:val="nil"/>
              <w:right w:val="nil"/>
            </w:tcBorders>
            <w:shd w:val="clear" w:color="auto" w:fill="FFFFFF"/>
            <w:vAlign w:val="center"/>
          </w:tcPr>
          <w:p w14:paraId="224C2F96" w14:textId="77777777" w:rsidR="00137B0F" w:rsidRPr="00B45B65" w:rsidRDefault="00137B0F" w:rsidP="00977660">
            <w:pPr>
              <w:widowControl w:val="0"/>
              <w:autoSpaceDE w:val="0"/>
              <w:autoSpaceDN w:val="0"/>
              <w:adjustRightInd w:val="0"/>
              <w:spacing w:line="320" w:lineRule="atLeast"/>
              <w:ind w:right="60"/>
              <w:rPr>
                <w:rFonts w:cs="Arial"/>
                <w:color w:val="000000"/>
              </w:rPr>
            </w:pPr>
          </w:p>
        </w:tc>
      </w:tr>
      <w:tr w:rsidR="00137B0F" w:rsidRPr="00B45B65" w14:paraId="5682591B" w14:textId="77777777" w:rsidTr="00977660">
        <w:trPr>
          <w:cantSplit/>
          <w:trHeight w:val="718"/>
        </w:trPr>
        <w:tc>
          <w:tcPr>
            <w:tcW w:w="3346" w:type="dxa"/>
            <w:gridSpan w:val="2"/>
            <w:tcBorders>
              <w:top w:val="single" w:sz="16" w:space="0" w:color="000000"/>
              <w:left w:val="single" w:sz="16" w:space="0" w:color="000000"/>
              <w:bottom w:val="single" w:sz="16" w:space="0" w:color="000000"/>
              <w:right w:val="nil"/>
            </w:tcBorders>
            <w:shd w:val="clear" w:color="auto" w:fill="FFFFFF"/>
            <w:vAlign w:val="bottom"/>
          </w:tcPr>
          <w:p w14:paraId="6E648DAB" w14:textId="77777777" w:rsidR="00137B0F" w:rsidRPr="004F5E04" w:rsidRDefault="00137B0F" w:rsidP="00977660">
            <w:pPr>
              <w:widowControl w:val="0"/>
              <w:autoSpaceDE w:val="0"/>
              <w:autoSpaceDN w:val="0"/>
              <w:adjustRightInd w:val="0"/>
              <w:spacing w:line="240" w:lineRule="auto"/>
              <w:ind w:left="60" w:right="60"/>
              <w:rPr>
                <w:rFonts w:cs="Arial"/>
                <w:color w:val="000000"/>
                <w:sz w:val="20"/>
                <w:szCs w:val="20"/>
              </w:rPr>
            </w:pPr>
            <w:r w:rsidRPr="004F5E04">
              <w:rPr>
                <w:rFonts w:cs="Arial"/>
                <w:color w:val="000000"/>
                <w:sz w:val="20"/>
                <w:szCs w:val="20"/>
              </w:rPr>
              <w:t>Q 25: 7 Since being a FY1 when seeing patient with sepsis</w:t>
            </w:r>
          </w:p>
        </w:tc>
        <w:tc>
          <w:tcPr>
            <w:tcW w:w="973" w:type="dxa"/>
            <w:tcBorders>
              <w:top w:val="single" w:sz="16" w:space="0" w:color="000000"/>
              <w:left w:val="single" w:sz="16" w:space="0" w:color="000000"/>
              <w:bottom w:val="single" w:sz="16" w:space="0" w:color="000000"/>
            </w:tcBorders>
            <w:shd w:val="clear" w:color="auto" w:fill="FFFFFF"/>
            <w:vAlign w:val="bottom"/>
          </w:tcPr>
          <w:p w14:paraId="229BBDAD"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N</w:t>
            </w:r>
          </w:p>
        </w:tc>
        <w:tc>
          <w:tcPr>
            <w:tcW w:w="1032" w:type="dxa"/>
            <w:tcBorders>
              <w:top w:val="single" w:sz="16" w:space="0" w:color="000000"/>
              <w:bottom w:val="single" w:sz="16" w:space="0" w:color="000000"/>
            </w:tcBorders>
            <w:shd w:val="clear" w:color="auto" w:fill="FFFFFF"/>
            <w:vAlign w:val="bottom"/>
          </w:tcPr>
          <w:p w14:paraId="4BC866B2"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Minimum</w:t>
            </w:r>
          </w:p>
        </w:tc>
        <w:tc>
          <w:tcPr>
            <w:tcW w:w="1090" w:type="dxa"/>
            <w:tcBorders>
              <w:top w:val="single" w:sz="16" w:space="0" w:color="000000"/>
              <w:bottom w:val="single" w:sz="16" w:space="0" w:color="000000"/>
            </w:tcBorders>
            <w:shd w:val="clear" w:color="auto" w:fill="FFFFFF"/>
            <w:vAlign w:val="bottom"/>
          </w:tcPr>
          <w:p w14:paraId="62189420"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Maximum</w:t>
            </w:r>
          </w:p>
        </w:tc>
        <w:tc>
          <w:tcPr>
            <w:tcW w:w="973" w:type="dxa"/>
            <w:tcBorders>
              <w:top w:val="single" w:sz="16" w:space="0" w:color="000000"/>
              <w:bottom w:val="single" w:sz="16" w:space="0" w:color="000000"/>
            </w:tcBorders>
            <w:shd w:val="clear" w:color="auto" w:fill="FFFFFF"/>
            <w:vAlign w:val="bottom"/>
          </w:tcPr>
          <w:p w14:paraId="63F78B2E"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Mean</w:t>
            </w:r>
          </w:p>
        </w:tc>
        <w:tc>
          <w:tcPr>
            <w:tcW w:w="1096" w:type="dxa"/>
            <w:tcBorders>
              <w:top w:val="single" w:sz="16" w:space="0" w:color="000000"/>
              <w:bottom w:val="single" w:sz="16" w:space="0" w:color="000000"/>
              <w:right w:val="single" w:sz="16" w:space="0" w:color="000000"/>
            </w:tcBorders>
            <w:shd w:val="clear" w:color="auto" w:fill="FFFFFF"/>
            <w:vAlign w:val="bottom"/>
          </w:tcPr>
          <w:p w14:paraId="2AA351B5"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Std. Deviation</w:t>
            </w:r>
          </w:p>
        </w:tc>
      </w:tr>
      <w:tr w:rsidR="00137B0F" w:rsidRPr="00B45B65" w14:paraId="30EE8E8D" w14:textId="77777777" w:rsidTr="00977660">
        <w:trPr>
          <w:cantSplit/>
          <w:trHeight w:val="924"/>
        </w:trPr>
        <w:tc>
          <w:tcPr>
            <w:tcW w:w="1600" w:type="dxa"/>
            <w:vMerge w:val="restart"/>
            <w:tcBorders>
              <w:top w:val="single" w:sz="16" w:space="0" w:color="000000"/>
              <w:left w:val="single" w:sz="16" w:space="0" w:color="000000"/>
              <w:right w:val="nil"/>
            </w:tcBorders>
            <w:shd w:val="clear" w:color="auto" w:fill="FFFFFF"/>
          </w:tcPr>
          <w:p w14:paraId="61A13E2B"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Not seen a patient with this</w:t>
            </w:r>
          </w:p>
        </w:tc>
        <w:tc>
          <w:tcPr>
            <w:tcW w:w="1746" w:type="dxa"/>
            <w:tcBorders>
              <w:top w:val="single" w:sz="16" w:space="0" w:color="000000"/>
              <w:left w:val="nil"/>
              <w:bottom w:val="nil"/>
              <w:right w:val="single" w:sz="16" w:space="0" w:color="000000"/>
            </w:tcBorders>
            <w:shd w:val="clear" w:color="auto" w:fill="FFFFFF"/>
          </w:tcPr>
          <w:p w14:paraId="01DADDE7"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973" w:type="dxa"/>
            <w:tcBorders>
              <w:top w:val="single" w:sz="16" w:space="0" w:color="000000"/>
              <w:left w:val="single" w:sz="16" w:space="0" w:color="000000"/>
              <w:bottom w:val="nil"/>
            </w:tcBorders>
            <w:shd w:val="clear" w:color="auto" w:fill="FFFFFF"/>
            <w:vAlign w:val="center"/>
          </w:tcPr>
          <w:p w14:paraId="447F9812"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1032" w:type="dxa"/>
            <w:tcBorders>
              <w:top w:val="single" w:sz="16" w:space="0" w:color="000000"/>
              <w:bottom w:val="nil"/>
            </w:tcBorders>
            <w:shd w:val="clear" w:color="auto" w:fill="FFFFFF"/>
            <w:vAlign w:val="center"/>
          </w:tcPr>
          <w:p w14:paraId="6DF9CA5F"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w:t>
            </w:r>
          </w:p>
        </w:tc>
        <w:tc>
          <w:tcPr>
            <w:tcW w:w="1090" w:type="dxa"/>
            <w:tcBorders>
              <w:top w:val="single" w:sz="16" w:space="0" w:color="000000"/>
              <w:bottom w:val="nil"/>
            </w:tcBorders>
            <w:shd w:val="clear" w:color="auto" w:fill="FFFFFF"/>
            <w:vAlign w:val="center"/>
          </w:tcPr>
          <w:p w14:paraId="22D59B92"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973" w:type="dxa"/>
            <w:tcBorders>
              <w:top w:val="single" w:sz="16" w:space="0" w:color="000000"/>
              <w:bottom w:val="nil"/>
            </w:tcBorders>
            <w:shd w:val="clear" w:color="auto" w:fill="FFFFFF"/>
            <w:vAlign w:val="center"/>
          </w:tcPr>
          <w:p w14:paraId="77BDE9A8"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5.50</w:t>
            </w:r>
          </w:p>
        </w:tc>
        <w:tc>
          <w:tcPr>
            <w:tcW w:w="1096" w:type="dxa"/>
            <w:tcBorders>
              <w:top w:val="single" w:sz="16" w:space="0" w:color="000000"/>
              <w:bottom w:val="nil"/>
              <w:right w:val="single" w:sz="16" w:space="0" w:color="000000"/>
            </w:tcBorders>
            <w:shd w:val="clear" w:color="auto" w:fill="FFFFFF"/>
            <w:vAlign w:val="center"/>
          </w:tcPr>
          <w:p w14:paraId="4BB9C605"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1.604</w:t>
            </w:r>
          </w:p>
        </w:tc>
      </w:tr>
      <w:tr w:rsidR="00137B0F" w:rsidRPr="00B45B65" w14:paraId="15DB3E44" w14:textId="77777777" w:rsidTr="00977660">
        <w:trPr>
          <w:cantSplit/>
          <w:trHeight w:val="42"/>
        </w:trPr>
        <w:tc>
          <w:tcPr>
            <w:tcW w:w="1600" w:type="dxa"/>
            <w:vMerge/>
            <w:tcBorders>
              <w:top w:val="single" w:sz="16" w:space="0" w:color="000000"/>
              <w:left w:val="single" w:sz="16" w:space="0" w:color="000000"/>
              <w:right w:val="nil"/>
            </w:tcBorders>
            <w:shd w:val="clear" w:color="auto" w:fill="FFFFFF"/>
          </w:tcPr>
          <w:p w14:paraId="4ADF7DCE"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46" w:type="dxa"/>
            <w:tcBorders>
              <w:top w:val="nil"/>
              <w:left w:val="nil"/>
              <w:right w:val="single" w:sz="16" w:space="0" w:color="000000"/>
            </w:tcBorders>
            <w:shd w:val="clear" w:color="auto" w:fill="FFFFFF"/>
          </w:tcPr>
          <w:p w14:paraId="7AEA25B8"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73" w:type="dxa"/>
            <w:tcBorders>
              <w:top w:val="nil"/>
              <w:left w:val="single" w:sz="16" w:space="0" w:color="000000"/>
            </w:tcBorders>
            <w:shd w:val="clear" w:color="auto" w:fill="FFFFFF"/>
            <w:vAlign w:val="center"/>
          </w:tcPr>
          <w:p w14:paraId="03B5F48A"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8</w:t>
            </w:r>
          </w:p>
        </w:tc>
        <w:tc>
          <w:tcPr>
            <w:tcW w:w="1032" w:type="dxa"/>
            <w:tcBorders>
              <w:top w:val="nil"/>
            </w:tcBorders>
            <w:shd w:val="clear" w:color="auto" w:fill="FFFFFF"/>
            <w:vAlign w:val="center"/>
          </w:tcPr>
          <w:p w14:paraId="76730CC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90" w:type="dxa"/>
            <w:tcBorders>
              <w:top w:val="nil"/>
            </w:tcBorders>
            <w:shd w:val="clear" w:color="auto" w:fill="FFFFFF"/>
            <w:vAlign w:val="center"/>
          </w:tcPr>
          <w:p w14:paraId="36BEF6EE"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73" w:type="dxa"/>
            <w:tcBorders>
              <w:top w:val="nil"/>
            </w:tcBorders>
            <w:shd w:val="clear" w:color="auto" w:fill="FFFFFF"/>
            <w:vAlign w:val="center"/>
          </w:tcPr>
          <w:p w14:paraId="5713D60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96" w:type="dxa"/>
            <w:tcBorders>
              <w:top w:val="nil"/>
              <w:right w:val="single" w:sz="16" w:space="0" w:color="000000"/>
            </w:tcBorders>
            <w:shd w:val="clear" w:color="auto" w:fill="FFFFFF"/>
            <w:vAlign w:val="center"/>
          </w:tcPr>
          <w:p w14:paraId="2F060AD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3F6D2E69" w14:textId="77777777" w:rsidTr="00977660">
        <w:trPr>
          <w:cantSplit/>
          <w:trHeight w:val="924"/>
        </w:trPr>
        <w:tc>
          <w:tcPr>
            <w:tcW w:w="1600" w:type="dxa"/>
            <w:vMerge w:val="restart"/>
            <w:tcBorders>
              <w:top w:val="nil"/>
              <w:left w:val="single" w:sz="16" w:space="0" w:color="000000"/>
              <w:right w:val="nil"/>
            </w:tcBorders>
            <w:shd w:val="clear" w:color="auto" w:fill="FFFFFF"/>
          </w:tcPr>
          <w:p w14:paraId="16F06DDA"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Unsure about starting initial treatment</w:t>
            </w:r>
          </w:p>
        </w:tc>
        <w:tc>
          <w:tcPr>
            <w:tcW w:w="1746" w:type="dxa"/>
            <w:tcBorders>
              <w:top w:val="nil"/>
              <w:left w:val="nil"/>
              <w:bottom w:val="nil"/>
              <w:right w:val="single" w:sz="16" w:space="0" w:color="000000"/>
            </w:tcBorders>
            <w:shd w:val="clear" w:color="auto" w:fill="FFFFFF"/>
          </w:tcPr>
          <w:p w14:paraId="20B3120C"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973" w:type="dxa"/>
            <w:tcBorders>
              <w:top w:val="nil"/>
              <w:left w:val="single" w:sz="16" w:space="0" w:color="000000"/>
              <w:bottom w:val="nil"/>
            </w:tcBorders>
            <w:shd w:val="clear" w:color="auto" w:fill="FFFFFF"/>
            <w:vAlign w:val="center"/>
          </w:tcPr>
          <w:p w14:paraId="10C825A3"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6</w:t>
            </w:r>
          </w:p>
        </w:tc>
        <w:tc>
          <w:tcPr>
            <w:tcW w:w="1032" w:type="dxa"/>
            <w:tcBorders>
              <w:top w:val="nil"/>
              <w:bottom w:val="nil"/>
            </w:tcBorders>
            <w:shd w:val="clear" w:color="auto" w:fill="FFFFFF"/>
            <w:vAlign w:val="center"/>
          </w:tcPr>
          <w:p w14:paraId="6958986F"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4</w:t>
            </w:r>
          </w:p>
        </w:tc>
        <w:tc>
          <w:tcPr>
            <w:tcW w:w="1090" w:type="dxa"/>
            <w:tcBorders>
              <w:top w:val="nil"/>
              <w:bottom w:val="nil"/>
            </w:tcBorders>
            <w:shd w:val="clear" w:color="auto" w:fill="FFFFFF"/>
            <w:vAlign w:val="center"/>
          </w:tcPr>
          <w:p w14:paraId="06DCB956"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7</w:t>
            </w:r>
          </w:p>
        </w:tc>
        <w:tc>
          <w:tcPr>
            <w:tcW w:w="973" w:type="dxa"/>
            <w:tcBorders>
              <w:top w:val="nil"/>
              <w:bottom w:val="nil"/>
            </w:tcBorders>
            <w:shd w:val="clear" w:color="auto" w:fill="FFFFFF"/>
            <w:vAlign w:val="center"/>
          </w:tcPr>
          <w:p w14:paraId="5CBED801"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5.00</w:t>
            </w:r>
          </w:p>
        </w:tc>
        <w:tc>
          <w:tcPr>
            <w:tcW w:w="1096" w:type="dxa"/>
            <w:tcBorders>
              <w:top w:val="nil"/>
              <w:bottom w:val="nil"/>
              <w:right w:val="single" w:sz="16" w:space="0" w:color="000000"/>
            </w:tcBorders>
            <w:shd w:val="clear" w:color="auto" w:fill="FFFFFF"/>
            <w:vAlign w:val="center"/>
          </w:tcPr>
          <w:p w14:paraId="20718E4F"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1.265</w:t>
            </w:r>
          </w:p>
        </w:tc>
      </w:tr>
      <w:tr w:rsidR="00137B0F" w:rsidRPr="00B45B65" w14:paraId="29AB350D" w14:textId="77777777" w:rsidTr="00977660">
        <w:trPr>
          <w:cantSplit/>
          <w:trHeight w:val="100"/>
        </w:trPr>
        <w:tc>
          <w:tcPr>
            <w:tcW w:w="1600" w:type="dxa"/>
            <w:vMerge/>
            <w:tcBorders>
              <w:top w:val="nil"/>
              <w:left w:val="single" w:sz="16" w:space="0" w:color="000000"/>
              <w:right w:val="nil"/>
            </w:tcBorders>
            <w:shd w:val="clear" w:color="auto" w:fill="FFFFFF"/>
          </w:tcPr>
          <w:p w14:paraId="5A9A5772"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46" w:type="dxa"/>
            <w:tcBorders>
              <w:top w:val="nil"/>
              <w:left w:val="nil"/>
              <w:right w:val="single" w:sz="16" w:space="0" w:color="000000"/>
            </w:tcBorders>
            <w:shd w:val="clear" w:color="auto" w:fill="FFFFFF"/>
          </w:tcPr>
          <w:p w14:paraId="6E19A06E"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73" w:type="dxa"/>
            <w:tcBorders>
              <w:top w:val="nil"/>
              <w:left w:val="single" w:sz="16" w:space="0" w:color="000000"/>
            </w:tcBorders>
            <w:shd w:val="clear" w:color="auto" w:fill="FFFFFF"/>
            <w:vAlign w:val="center"/>
          </w:tcPr>
          <w:p w14:paraId="682C8B01"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6</w:t>
            </w:r>
          </w:p>
        </w:tc>
        <w:tc>
          <w:tcPr>
            <w:tcW w:w="1032" w:type="dxa"/>
            <w:tcBorders>
              <w:top w:val="nil"/>
            </w:tcBorders>
            <w:shd w:val="clear" w:color="auto" w:fill="FFFFFF"/>
            <w:vAlign w:val="center"/>
          </w:tcPr>
          <w:p w14:paraId="0FDD86B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90" w:type="dxa"/>
            <w:tcBorders>
              <w:top w:val="nil"/>
            </w:tcBorders>
            <w:shd w:val="clear" w:color="auto" w:fill="FFFFFF"/>
            <w:vAlign w:val="center"/>
          </w:tcPr>
          <w:p w14:paraId="408532A1"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73" w:type="dxa"/>
            <w:tcBorders>
              <w:top w:val="nil"/>
            </w:tcBorders>
            <w:shd w:val="clear" w:color="auto" w:fill="FFFFFF"/>
            <w:vAlign w:val="center"/>
          </w:tcPr>
          <w:p w14:paraId="50F42DC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96" w:type="dxa"/>
            <w:tcBorders>
              <w:top w:val="nil"/>
              <w:right w:val="single" w:sz="16" w:space="0" w:color="000000"/>
            </w:tcBorders>
            <w:shd w:val="clear" w:color="auto" w:fill="FFFFFF"/>
            <w:vAlign w:val="center"/>
          </w:tcPr>
          <w:p w14:paraId="428CABE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3867BC10" w14:textId="77777777" w:rsidTr="00977660">
        <w:trPr>
          <w:cantSplit/>
          <w:trHeight w:val="924"/>
        </w:trPr>
        <w:tc>
          <w:tcPr>
            <w:tcW w:w="1600" w:type="dxa"/>
            <w:vMerge w:val="restart"/>
            <w:tcBorders>
              <w:top w:val="nil"/>
              <w:left w:val="single" w:sz="16" w:space="0" w:color="000000"/>
              <w:right w:val="nil"/>
            </w:tcBorders>
            <w:shd w:val="clear" w:color="auto" w:fill="FFFFFF"/>
          </w:tcPr>
          <w:p w14:paraId="281F0ACB"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Able to start initial treatment</w:t>
            </w:r>
          </w:p>
        </w:tc>
        <w:tc>
          <w:tcPr>
            <w:tcW w:w="1746" w:type="dxa"/>
            <w:tcBorders>
              <w:top w:val="nil"/>
              <w:left w:val="nil"/>
              <w:bottom w:val="nil"/>
              <w:right w:val="single" w:sz="16" w:space="0" w:color="000000"/>
            </w:tcBorders>
            <w:shd w:val="clear" w:color="auto" w:fill="FFFFFF"/>
          </w:tcPr>
          <w:p w14:paraId="49EDC3C5"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973" w:type="dxa"/>
            <w:tcBorders>
              <w:top w:val="nil"/>
              <w:left w:val="single" w:sz="16" w:space="0" w:color="000000"/>
              <w:bottom w:val="nil"/>
            </w:tcBorders>
            <w:shd w:val="clear" w:color="auto" w:fill="FFFFFF"/>
            <w:vAlign w:val="center"/>
          </w:tcPr>
          <w:p w14:paraId="417C34F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44</w:t>
            </w:r>
          </w:p>
        </w:tc>
        <w:tc>
          <w:tcPr>
            <w:tcW w:w="1032" w:type="dxa"/>
            <w:tcBorders>
              <w:top w:val="nil"/>
              <w:bottom w:val="nil"/>
            </w:tcBorders>
            <w:shd w:val="clear" w:color="auto" w:fill="FFFFFF"/>
            <w:vAlign w:val="center"/>
          </w:tcPr>
          <w:p w14:paraId="550967E9"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w:t>
            </w:r>
          </w:p>
        </w:tc>
        <w:tc>
          <w:tcPr>
            <w:tcW w:w="1090" w:type="dxa"/>
            <w:tcBorders>
              <w:top w:val="nil"/>
              <w:bottom w:val="nil"/>
            </w:tcBorders>
            <w:shd w:val="clear" w:color="auto" w:fill="FFFFFF"/>
            <w:vAlign w:val="center"/>
          </w:tcPr>
          <w:p w14:paraId="64E4309B"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973" w:type="dxa"/>
            <w:tcBorders>
              <w:top w:val="nil"/>
              <w:bottom w:val="nil"/>
            </w:tcBorders>
            <w:shd w:val="clear" w:color="auto" w:fill="FFFFFF"/>
            <w:vAlign w:val="center"/>
          </w:tcPr>
          <w:p w14:paraId="212997C8"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6.07</w:t>
            </w:r>
          </w:p>
        </w:tc>
        <w:tc>
          <w:tcPr>
            <w:tcW w:w="1096" w:type="dxa"/>
            <w:tcBorders>
              <w:top w:val="nil"/>
              <w:bottom w:val="nil"/>
              <w:right w:val="single" w:sz="16" w:space="0" w:color="000000"/>
            </w:tcBorders>
            <w:shd w:val="clear" w:color="auto" w:fill="FFFFFF"/>
            <w:vAlign w:val="center"/>
          </w:tcPr>
          <w:p w14:paraId="53B09598"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1.169</w:t>
            </w:r>
          </w:p>
        </w:tc>
      </w:tr>
      <w:tr w:rsidR="00137B0F" w:rsidRPr="00B45B65" w14:paraId="669DEAF0" w14:textId="77777777" w:rsidTr="00977660">
        <w:trPr>
          <w:cantSplit/>
          <w:trHeight w:val="100"/>
        </w:trPr>
        <w:tc>
          <w:tcPr>
            <w:tcW w:w="1600" w:type="dxa"/>
            <w:vMerge/>
            <w:tcBorders>
              <w:top w:val="nil"/>
              <w:left w:val="single" w:sz="16" w:space="0" w:color="000000"/>
              <w:right w:val="nil"/>
            </w:tcBorders>
            <w:shd w:val="clear" w:color="auto" w:fill="FFFFFF"/>
          </w:tcPr>
          <w:p w14:paraId="7EA69577"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46" w:type="dxa"/>
            <w:tcBorders>
              <w:top w:val="nil"/>
              <w:left w:val="nil"/>
              <w:right w:val="single" w:sz="16" w:space="0" w:color="000000"/>
            </w:tcBorders>
            <w:shd w:val="clear" w:color="auto" w:fill="FFFFFF"/>
          </w:tcPr>
          <w:p w14:paraId="57C0E666"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73" w:type="dxa"/>
            <w:tcBorders>
              <w:top w:val="nil"/>
              <w:left w:val="single" w:sz="16" w:space="0" w:color="000000"/>
            </w:tcBorders>
            <w:shd w:val="clear" w:color="auto" w:fill="FFFFFF"/>
            <w:vAlign w:val="center"/>
          </w:tcPr>
          <w:p w14:paraId="1E53ADC0"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44</w:t>
            </w:r>
          </w:p>
        </w:tc>
        <w:tc>
          <w:tcPr>
            <w:tcW w:w="1032" w:type="dxa"/>
            <w:tcBorders>
              <w:top w:val="nil"/>
            </w:tcBorders>
            <w:shd w:val="clear" w:color="auto" w:fill="FFFFFF"/>
            <w:vAlign w:val="center"/>
          </w:tcPr>
          <w:p w14:paraId="0B3D584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90" w:type="dxa"/>
            <w:tcBorders>
              <w:top w:val="nil"/>
            </w:tcBorders>
            <w:shd w:val="clear" w:color="auto" w:fill="FFFFFF"/>
            <w:vAlign w:val="center"/>
          </w:tcPr>
          <w:p w14:paraId="4B71224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73" w:type="dxa"/>
            <w:tcBorders>
              <w:top w:val="nil"/>
            </w:tcBorders>
            <w:shd w:val="clear" w:color="auto" w:fill="FFFFFF"/>
            <w:vAlign w:val="center"/>
          </w:tcPr>
          <w:p w14:paraId="4E3C6F8E"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96" w:type="dxa"/>
            <w:tcBorders>
              <w:top w:val="nil"/>
              <w:right w:val="single" w:sz="16" w:space="0" w:color="000000"/>
            </w:tcBorders>
            <w:shd w:val="clear" w:color="auto" w:fill="FFFFFF"/>
            <w:vAlign w:val="center"/>
          </w:tcPr>
          <w:p w14:paraId="7F908727"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5F7D6C1E" w14:textId="77777777" w:rsidTr="00977660">
        <w:trPr>
          <w:cantSplit/>
          <w:trHeight w:val="924"/>
        </w:trPr>
        <w:tc>
          <w:tcPr>
            <w:tcW w:w="1600" w:type="dxa"/>
            <w:vMerge w:val="restart"/>
            <w:tcBorders>
              <w:top w:val="nil"/>
              <w:left w:val="single" w:sz="16" w:space="0" w:color="000000"/>
              <w:bottom w:val="single" w:sz="16" w:space="0" w:color="000000"/>
              <w:right w:val="nil"/>
            </w:tcBorders>
            <w:shd w:val="clear" w:color="auto" w:fill="FFFFFF"/>
          </w:tcPr>
          <w:p w14:paraId="534AD81F"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999</w:t>
            </w:r>
          </w:p>
        </w:tc>
        <w:tc>
          <w:tcPr>
            <w:tcW w:w="1746" w:type="dxa"/>
            <w:tcBorders>
              <w:top w:val="nil"/>
              <w:left w:val="nil"/>
              <w:bottom w:val="nil"/>
              <w:right w:val="single" w:sz="16" w:space="0" w:color="000000"/>
            </w:tcBorders>
            <w:shd w:val="clear" w:color="auto" w:fill="FFFFFF"/>
          </w:tcPr>
          <w:p w14:paraId="7951FC6B" w14:textId="77777777" w:rsidR="00137B0F" w:rsidRPr="004F5E04" w:rsidRDefault="00137B0F" w:rsidP="00977660">
            <w:pPr>
              <w:widowControl w:val="0"/>
              <w:autoSpaceDE w:val="0"/>
              <w:autoSpaceDN w:val="0"/>
              <w:adjustRightInd w:val="0"/>
              <w:spacing w:line="240" w:lineRule="auto"/>
              <w:ind w:left="60" w:right="60"/>
              <w:rPr>
                <w:rFonts w:cs="Arial"/>
                <w:color w:val="000000"/>
                <w:sz w:val="18"/>
                <w:szCs w:val="18"/>
              </w:rPr>
            </w:pPr>
            <w:r w:rsidRPr="004F5E04">
              <w:rPr>
                <w:rFonts w:cs="Arial"/>
                <w:color w:val="000000"/>
                <w:sz w:val="18"/>
                <w:szCs w:val="18"/>
              </w:rPr>
              <w:t>20 Overall confidence Pre-course</w:t>
            </w:r>
          </w:p>
        </w:tc>
        <w:tc>
          <w:tcPr>
            <w:tcW w:w="973" w:type="dxa"/>
            <w:tcBorders>
              <w:top w:val="nil"/>
              <w:left w:val="single" w:sz="16" w:space="0" w:color="000000"/>
              <w:bottom w:val="nil"/>
            </w:tcBorders>
            <w:shd w:val="clear" w:color="auto" w:fill="FFFFFF"/>
            <w:vAlign w:val="center"/>
          </w:tcPr>
          <w:p w14:paraId="594D88EF"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36</w:t>
            </w:r>
          </w:p>
        </w:tc>
        <w:tc>
          <w:tcPr>
            <w:tcW w:w="1032" w:type="dxa"/>
            <w:tcBorders>
              <w:top w:val="nil"/>
              <w:bottom w:val="nil"/>
            </w:tcBorders>
            <w:shd w:val="clear" w:color="auto" w:fill="FFFFFF"/>
            <w:vAlign w:val="center"/>
          </w:tcPr>
          <w:p w14:paraId="0E8B209A"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3</w:t>
            </w:r>
          </w:p>
        </w:tc>
        <w:tc>
          <w:tcPr>
            <w:tcW w:w="1090" w:type="dxa"/>
            <w:tcBorders>
              <w:top w:val="nil"/>
              <w:bottom w:val="nil"/>
            </w:tcBorders>
            <w:shd w:val="clear" w:color="auto" w:fill="FFFFFF"/>
            <w:vAlign w:val="center"/>
          </w:tcPr>
          <w:p w14:paraId="0A6E7D61"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8</w:t>
            </w:r>
          </w:p>
        </w:tc>
        <w:tc>
          <w:tcPr>
            <w:tcW w:w="973" w:type="dxa"/>
            <w:tcBorders>
              <w:top w:val="nil"/>
              <w:bottom w:val="nil"/>
            </w:tcBorders>
            <w:shd w:val="clear" w:color="auto" w:fill="FFFFFF"/>
            <w:vAlign w:val="center"/>
          </w:tcPr>
          <w:p w14:paraId="4BCCA603"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5.53</w:t>
            </w:r>
          </w:p>
        </w:tc>
        <w:tc>
          <w:tcPr>
            <w:tcW w:w="1096" w:type="dxa"/>
            <w:tcBorders>
              <w:top w:val="nil"/>
              <w:bottom w:val="nil"/>
              <w:right w:val="single" w:sz="16" w:space="0" w:color="000000"/>
            </w:tcBorders>
            <w:shd w:val="clear" w:color="auto" w:fill="FFFFFF"/>
            <w:vAlign w:val="center"/>
          </w:tcPr>
          <w:p w14:paraId="0509AEA4" w14:textId="77777777" w:rsidR="00137B0F" w:rsidRPr="004F5E0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4F5E04">
              <w:rPr>
                <w:rFonts w:cs="Arial"/>
                <w:color w:val="000000"/>
                <w:sz w:val="18"/>
                <w:szCs w:val="18"/>
              </w:rPr>
              <w:t>1.028</w:t>
            </w:r>
          </w:p>
        </w:tc>
      </w:tr>
      <w:tr w:rsidR="00137B0F" w:rsidRPr="00B45B65" w14:paraId="07555C13" w14:textId="77777777" w:rsidTr="00977660">
        <w:trPr>
          <w:cantSplit/>
          <w:trHeight w:val="100"/>
        </w:trPr>
        <w:tc>
          <w:tcPr>
            <w:tcW w:w="1600" w:type="dxa"/>
            <w:vMerge/>
            <w:tcBorders>
              <w:top w:val="nil"/>
              <w:left w:val="single" w:sz="16" w:space="0" w:color="000000"/>
              <w:bottom w:val="single" w:sz="16" w:space="0" w:color="000000"/>
              <w:right w:val="nil"/>
            </w:tcBorders>
            <w:shd w:val="clear" w:color="auto" w:fill="FFFFFF"/>
          </w:tcPr>
          <w:p w14:paraId="69A9B0FC"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746" w:type="dxa"/>
            <w:tcBorders>
              <w:top w:val="nil"/>
              <w:left w:val="nil"/>
              <w:bottom w:val="single" w:sz="16" w:space="0" w:color="000000"/>
              <w:right w:val="single" w:sz="16" w:space="0" w:color="000000"/>
            </w:tcBorders>
            <w:shd w:val="clear" w:color="auto" w:fill="FFFFFF"/>
          </w:tcPr>
          <w:p w14:paraId="2DF79794"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73" w:type="dxa"/>
            <w:tcBorders>
              <w:top w:val="nil"/>
              <w:left w:val="single" w:sz="16" w:space="0" w:color="000000"/>
              <w:bottom w:val="single" w:sz="16" w:space="0" w:color="000000"/>
            </w:tcBorders>
            <w:shd w:val="clear" w:color="auto" w:fill="FFFFFF"/>
            <w:vAlign w:val="center"/>
          </w:tcPr>
          <w:p w14:paraId="0E7ECF0D"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36</w:t>
            </w:r>
          </w:p>
        </w:tc>
        <w:tc>
          <w:tcPr>
            <w:tcW w:w="1032" w:type="dxa"/>
            <w:tcBorders>
              <w:top w:val="nil"/>
              <w:bottom w:val="single" w:sz="16" w:space="0" w:color="000000"/>
            </w:tcBorders>
            <w:shd w:val="clear" w:color="auto" w:fill="FFFFFF"/>
            <w:vAlign w:val="center"/>
          </w:tcPr>
          <w:p w14:paraId="31D9E7B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90" w:type="dxa"/>
            <w:tcBorders>
              <w:top w:val="nil"/>
              <w:bottom w:val="single" w:sz="16" w:space="0" w:color="000000"/>
            </w:tcBorders>
            <w:shd w:val="clear" w:color="auto" w:fill="FFFFFF"/>
            <w:vAlign w:val="center"/>
          </w:tcPr>
          <w:p w14:paraId="0F9BF21D"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73" w:type="dxa"/>
            <w:tcBorders>
              <w:top w:val="nil"/>
              <w:bottom w:val="single" w:sz="16" w:space="0" w:color="000000"/>
            </w:tcBorders>
            <w:shd w:val="clear" w:color="auto" w:fill="FFFFFF"/>
            <w:vAlign w:val="center"/>
          </w:tcPr>
          <w:p w14:paraId="6CA3FBB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96" w:type="dxa"/>
            <w:tcBorders>
              <w:top w:val="nil"/>
              <w:bottom w:val="single" w:sz="16" w:space="0" w:color="000000"/>
              <w:right w:val="single" w:sz="16" w:space="0" w:color="000000"/>
            </w:tcBorders>
            <w:shd w:val="clear" w:color="auto" w:fill="FFFFFF"/>
            <w:vAlign w:val="center"/>
          </w:tcPr>
          <w:p w14:paraId="69FC18EE"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bl>
    <w:p w14:paraId="70B9F0CF" w14:textId="77777777" w:rsidR="00137B0F" w:rsidRDefault="00137B0F" w:rsidP="00137B0F"/>
    <w:p w14:paraId="28581FF9" w14:textId="77777777" w:rsidR="00137B0F" w:rsidRDefault="00137B0F" w:rsidP="00137B0F">
      <w:r>
        <w:lastRenderedPageBreak/>
        <w:t xml:space="preserve">Of the 58 students that responded one month into their FY1 jobs, 50 students (86%) had seen a patient with sepsis within four weeks of starting work, highlighting the importance and validation of using sepsis for the course (Table 7-8). The majority (44) 75%, were able to start initial treatment, with (n=6) 10% being unsure about starting treatment and the remaining eight not having seen anyone with sepsis. Of note: the group that was able to start treatment had a higher mean confidence score of 6.07 (SD 1.17) compared with the group that were unsure - score of 5 (SD 1.26). The students with missing values were not at any extreme of these groups, with a confidence score in the middle at a mean of 5.53 (SD 1.03). This should be a representative sample, not missing any particular group of extremes that may skew the data. </w:t>
      </w:r>
    </w:p>
    <w:p w14:paraId="57CF6727" w14:textId="77777777" w:rsidR="00137B0F" w:rsidRPr="005E7E2B" w:rsidRDefault="00137B0F" w:rsidP="00137B0F">
      <w:pPr>
        <w:pStyle w:val="Heading4"/>
      </w:pPr>
      <w:r w:rsidRPr="005E7E2B">
        <w:t>Expectations about FY1 and confidence</w:t>
      </w:r>
    </w:p>
    <w:p w14:paraId="4AB518E3" w14:textId="77777777" w:rsidR="00137B0F" w:rsidRDefault="00137B0F" w:rsidP="00137B0F"/>
    <w:p w14:paraId="20888E83" w14:textId="77777777" w:rsidR="00137B0F" w:rsidRDefault="00137B0F" w:rsidP="00137B0F">
      <w:r>
        <w:t xml:space="preserve">Ninety-five per cent of students agreed (n=68) or strongly agreed (n=7) that they were aware of their expectations as a FY1 at the one-week post-course interval (Table 7-9). Only 5% disagreed (3 disagreed, 1 strongly disagreed). There is a relationship where the more they agreed about awareness of expectations for FY1, the more confident they felt. This builds on the pre-pilot focus group data where students felt strongly that expectations and confidence were heavily linked and related to preparedness. Those with missing values did not belong to any extreme of group, so these data appear representative. </w:t>
      </w:r>
    </w:p>
    <w:p w14:paraId="31D00D75" w14:textId="77777777" w:rsidR="00137B0F" w:rsidRDefault="00137B0F" w:rsidP="00137B0F"/>
    <w:p w14:paraId="15A1217D" w14:textId="77777777" w:rsidR="00137B0F" w:rsidRDefault="00137B0F" w:rsidP="00137B0F"/>
    <w:p w14:paraId="618E8609" w14:textId="00136A2E" w:rsidR="00137B0F" w:rsidRDefault="00137B0F" w:rsidP="007000F8">
      <w:pPr>
        <w:pStyle w:val="Caption"/>
      </w:pPr>
      <w:bookmarkStart w:id="345" w:name="_Toc365579491"/>
      <w:bookmarkStart w:id="346" w:name="_Toc419116509"/>
      <w:r>
        <w:lastRenderedPageBreak/>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9</w:t>
      </w:r>
      <w:r w:rsidR="007000F8">
        <w:fldChar w:fldCharType="end"/>
      </w:r>
      <w:r>
        <w:t xml:space="preserve"> Level of agreement surrounding awareness of expectations about being a FY1 and self-rated confidence</w:t>
      </w:r>
      <w:bookmarkEnd w:id="345"/>
      <w:bookmarkEnd w:id="346"/>
    </w:p>
    <w:tbl>
      <w:tblPr>
        <w:tblW w:w="8363" w:type="dxa"/>
        <w:tblInd w:w="1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46"/>
        <w:gridCol w:w="1687"/>
        <w:gridCol w:w="940"/>
        <w:gridCol w:w="996"/>
        <w:gridCol w:w="1053"/>
        <w:gridCol w:w="940"/>
        <w:gridCol w:w="1201"/>
      </w:tblGrid>
      <w:tr w:rsidR="00137B0F" w:rsidRPr="00B45B65" w14:paraId="57A934F2" w14:textId="77777777" w:rsidTr="00977660">
        <w:trPr>
          <w:cantSplit/>
          <w:trHeight w:val="520"/>
        </w:trPr>
        <w:tc>
          <w:tcPr>
            <w:tcW w:w="8363" w:type="dxa"/>
            <w:gridSpan w:val="7"/>
            <w:tcBorders>
              <w:top w:val="nil"/>
              <w:left w:val="nil"/>
              <w:bottom w:val="nil"/>
              <w:right w:val="nil"/>
            </w:tcBorders>
            <w:shd w:val="clear" w:color="auto" w:fill="FFFFFF"/>
            <w:vAlign w:val="center"/>
          </w:tcPr>
          <w:p w14:paraId="33B8E801" w14:textId="77777777" w:rsidR="00137B0F" w:rsidRPr="00B45B65" w:rsidRDefault="00137B0F" w:rsidP="00977660">
            <w:pPr>
              <w:widowControl w:val="0"/>
              <w:autoSpaceDE w:val="0"/>
              <w:autoSpaceDN w:val="0"/>
              <w:adjustRightInd w:val="0"/>
              <w:spacing w:line="320" w:lineRule="atLeast"/>
              <w:ind w:right="60"/>
              <w:rPr>
                <w:rFonts w:cs="Arial"/>
                <w:color w:val="000000"/>
              </w:rPr>
            </w:pPr>
          </w:p>
        </w:tc>
      </w:tr>
      <w:tr w:rsidR="00137B0F" w:rsidRPr="00B45B65" w14:paraId="37EB605E" w14:textId="77777777" w:rsidTr="00977660">
        <w:trPr>
          <w:cantSplit/>
          <w:trHeight w:val="735"/>
        </w:trPr>
        <w:tc>
          <w:tcPr>
            <w:tcW w:w="3233" w:type="dxa"/>
            <w:gridSpan w:val="2"/>
            <w:tcBorders>
              <w:top w:val="single" w:sz="16" w:space="0" w:color="000000"/>
              <w:left w:val="single" w:sz="16" w:space="0" w:color="000000"/>
              <w:bottom w:val="single" w:sz="16" w:space="0" w:color="000000"/>
              <w:right w:val="nil"/>
            </w:tcBorders>
            <w:shd w:val="clear" w:color="auto" w:fill="FFFFFF"/>
            <w:vAlign w:val="bottom"/>
          </w:tcPr>
          <w:p w14:paraId="116105CD" w14:textId="77777777" w:rsidR="00137B0F" w:rsidRPr="00AB0926" w:rsidRDefault="00137B0F" w:rsidP="00977660">
            <w:pPr>
              <w:widowControl w:val="0"/>
              <w:autoSpaceDE w:val="0"/>
              <w:autoSpaceDN w:val="0"/>
              <w:adjustRightInd w:val="0"/>
              <w:spacing w:line="240" w:lineRule="auto"/>
              <w:ind w:left="60" w:right="60"/>
              <w:rPr>
                <w:rFonts w:cs="Arial"/>
                <w:color w:val="000000"/>
                <w:sz w:val="20"/>
                <w:szCs w:val="20"/>
              </w:rPr>
            </w:pPr>
            <w:r w:rsidRPr="00AB0926">
              <w:rPr>
                <w:rFonts w:cs="Arial"/>
                <w:color w:val="000000"/>
                <w:sz w:val="20"/>
                <w:szCs w:val="20"/>
              </w:rPr>
              <w:t>Q 23 I know what is expected of me as a FY1</w:t>
            </w:r>
          </w:p>
        </w:tc>
        <w:tc>
          <w:tcPr>
            <w:tcW w:w="940" w:type="dxa"/>
            <w:tcBorders>
              <w:top w:val="single" w:sz="16" w:space="0" w:color="000000"/>
              <w:left w:val="single" w:sz="16" w:space="0" w:color="000000"/>
              <w:bottom w:val="single" w:sz="16" w:space="0" w:color="000000"/>
            </w:tcBorders>
            <w:shd w:val="clear" w:color="auto" w:fill="FFFFFF"/>
            <w:vAlign w:val="bottom"/>
          </w:tcPr>
          <w:p w14:paraId="522853CD"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N</w:t>
            </w:r>
          </w:p>
        </w:tc>
        <w:tc>
          <w:tcPr>
            <w:tcW w:w="996" w:type="dxa"/>
            <w:tcBorders>
              <w:top w:val="single" w:sz="16" w:space="0" w:color="000000"/>
              <w:bottom w:val="single" w:sz="16" w:space="0" w:color="000000"/>
            </w:tcBorders>
            <w:shd w:val="clear" w:color="auto" w:fill="FFFFFF"/>
            <w:vAlign w:val="bottom"/>
          </w:tcPr>
          <w:p w14:paraId="7023C081"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Minimum</w:t>
            </w:r>
          </w:p>
        </w:tc>
        <w:tc>
          <w:tcPr>
            <w:tcW w:w="1053" w:type="dxa"/>
            <w:tcBorders>
              <w:top w:val="single" w:sz="16" w:space="0" w:color="000000"/>
              <w:bottom w:val="single" w:sz="16" w:space="0" w:color="000000"/>
            </w:tcBorders>
            <w:shd w:val="clear" w:color="auto" w:fill="FFFFFF"/>
            <w:vAlign w:val="bottom"/>
          </w:tcPr>
          <w:p w14:paraId="269CF752"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Maximum</w:t>
            </w:r>
          </w:p>
        </w:tc>
        <w:tc>
          <w:tcPr>
            <w:tcW w:w="940" w:type="dxa"/>
            <w:tcBorders>
              <w:top w:val="single" w:sz="16" w:space="0" w:color="000000"/>
              <w:bottom w:val="single" w:sz="16" w:space="0" w:color="000000"/>
            </w:tcBorders>
            <w:shd w:val="clear" w:color="auto" w:fill="FFFFFF"/>
            <w:vAlign w:val="bottom"/>
          </w:tcPr>
          <w:p w14:paraId="6EC8D256"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Mean</w:t>
            </w:r>
          </w:p>
        </w:tc>
        <w:tc>
          <w:tcPr>
            <w:tcW w:w="1201" w:type="dxa"/>
            <w:tcBorders>
              <w:top w:val="single" w:sz="16" w:space="0" w:color="000000"/>
              <w:bottom w:val="single" w:sz="16" w:space="0" w:color="000000"/>
              <w:right w:val="single" w:sz="16" w:space="0" w:color="000000"/>
            </w:tcBorders>
            <w:shd w:val="clear" w:color="auto" w:fill="FFFFFF"/>
            <w:vAlign w:val="bottom"/>
          </w:tcPr>
          <w:p w14:paraId="293A2D5F"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Std. Deviation</w:t>
            </w:r>
          </w:p>
        </w:tc>
      </w:tr>
      <w:tr w:rsidR="00137B0F" w:rsidRPr="00B45B65" w14:paraId="52C63FEC" w14:textId="77777777" w:rsidTr="00977660">
        <w:trPr>
          <w:cantSplit/>
          <w:trHeight w:val="955"/>
        </w:trPr>
        <w:tc>
          <w:tcPr>
            <w:tcW w:w="1546" w:type="dxa"/>
            <w:vMerge w:val="restart"/>
            <w:tcBorders>
              <w:top w:val="single" w:sz="16" w:space="0" w:color="000000"/>
              <w:left w:val="single" w:sz="16" w:space="0" w:color="000000"/>
              <w:right w:val="nil"/>
            </w:tcBorders>
            <w:shd w:val="clear" w:color="auto" w:fill="FFFFFF"/>
          </w:tcPr>
          <w:p w14:paraId="5BDCBB3B"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Strongly disagree</w:t>
            </w:r>
          </w:p>
        </w:tc>
        <w:tc>
          <w:tcPr>
            <w:tcW w:w="1687" w:type="dxa"/>
            <w:tcBorders>
              <w:top w:val="single" w:sz="16" w:space="0" w:color="000000"/>
              <w:left w:val="nil"/>
              <w:bottom w:val="nil"/>
              <w:right w:val="single" w:sz="16" w:space="0" w:color="000000"/>
            </w:tcBorders>
            <w:shd w:val="clear" w:color="auto" w:fill="FFFFFF"/>
          </w:tcPr>
          <w:p w14:paraId="3E07B268"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20 Overall confidence Pre-course</w:t>
            </w:r>
          </w:p>
        </w:tc>
        <w:tc>
          <w:tcPr>
            <w:tcW w:w="940" w:type="dxa"/>
            <w:tcBorders>
              <w:top w:val="single" w:sz="16" w:space="0" w:color="000000"/>
              <w:left w:val="single" w:sz="16" w:space="0" w:color="000000"/>
              <w:bottom w:val="nil"/>
            </w:tcBorders>
            <w:shd w:val="clear" w:color="auto" w:fill="FFFFFF"/>
            <w:vAlign w:val="center"/>
          </w:tcPr>
          <w:p w14:paraId="48540FCE"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1</w:t>
            </w:r>
          </w:p>
        </w:tc>
        <w:tc>
          <w:tcPr>
            <w:tcW w:w="996" w:type="dxa"/>
            <w:tcBorders>
              <w:top w:val="single" w:sz="16" w:space="0" w:color="000000"/>
              <w:bottom w:val="nil"/>
            </w:tcBorders>
            <w:shd w:val="clear" w:color="auto" w:fill="FFFFFF"/>
            <w:vAlign w:val="center"/>
          </w:tcPr>
          <w:p w14:paraId="5BEF2B60"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4</w:t>
            </w:r>
          </w:p>
        </w:tc>
        <w:tc>
          <w:tcPr>
            <w:tcW w:w="1053" w:type="dxa"/>
            <w:tcBorders>
              <w:top w:val="single" w:sz="16" w:space="0" w:color="000000"/>
              <w:bottom w:val="nil"/>
            </w:tcBorders>
            <w:shd w:val="clear" w:color="auto" w:fill="FFFFFF"/>
            <w:vAlign w:val="center"/>
          </w:tcPr>
          <w:p w14:paraId="015FDE0A"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4</w:t>
            </w:r>
          </w:p>
        </w:tc>
        <w:tc>
          <w:tcPr>
            <w:tcW w:w="940" w:type="dxa"/>
            <w:tcBorders>
              <w:top w:val="single" w:sz="16" w:space="0" w:color="000000"/>
              <w:bottom w:val="nil"/>
            </w:tcBorders>
            <w:shd w:val="clear" w:color="auto" w:fill="FFFFFF"/>
            <w:vAlign w:val="center"/>
          </w:tcPr>
          <w:p w14:paraId="55D5E924"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4.00</w:t>
            </w:r>
          </w:p>
        </w:tc>
        <w:tc>
          <w:tcPr>
            <w:tcW w:w="1201" w:type="dxa"/>
            <w:tcBorders>
              <w:top w:val="single" w:sz="16" w:space="0" w:color="000000"/>
              <w:bottom w:val="nil"/>
              <w:right w:val="single" w:sz="16" w:space="0" w:color="000000"/>
            </w:tcBorders>
            <w:shd w:val="clear" w:color="auto" w:fill="FFFFFF"/>
            <w:vAlign w:val="center"/>
          </w:tcPr>
          <w:p w14:paraId="0A5DFD2C"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w:t>
            </w:r>
          </w:p>
        </w:tc>
      </w:tr>
      <w:tr w:rsidR="00137B0F" w:rsidRPr="00B45B65" w14:paraId="4A43C617" w14:textId="77777777" w:rsidTr="00977660">
        <w:trPr>
          <w:cantSplit/>
          <w:trHeight w:val="98"/>
        </w:trPr>
        <w:tc>
          <w:tcPr>
            <w:tcW w:w="1546" w:type="dxa"/>
            <w:vMerge/>
            <w:tcBorders>
              <w:top w:val="single" w:sz="16" w:space="0" w:color="000000"/>
              <w:left w:val="single" w:sz="16" w:space="0" w:color="000000"/>
              <w:right w:val="nil"/>
            </w:tcBorders>
            <w:shd w:val="clear" w:color="auto" w:fill="FFFFFF"/>
          </w:tcPr>
          <w:p w14:paraId="1A8F30C1"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687" w:type="dxa"/>
            <w:tcBorders>
              <w:top w:val="nil"/>
              <w:left w:val="nil"/>
              <w:right w:val="single" w:sz="16" w:space="0" w:color="000000"/>
            </w:tcBorders>
            <w:shd w:val="clear" w:color="auto" w:fill="FFFFFF"/>
          </w:tcPr>
          <w:p w14:paraId="024E24CC"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40" w:type="dxa"/>
            <w:tcBorders>
              <w:top w:val="nil"/>
              <w:left w:val="single" w:sz="16" w:space="0" w:color="000000"/>
            </w:tcBorders>
            <w:shd w:val="clear" w:color="auto" w:fill="FFFFFF"/>
            <w:vAlign w:val="center"/>
          </w:tcPr>
          <w:p w14:paraId="0AE660EF"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1</w:t>
            </w:r>
          </w:p>
        </w:tc>
        <w:tc>
          <w:tcPr>
            <w:tcW w:w="996" w:type="dxa"/>
            <w:tcBorders>
              <w:top w:val="nil"/>
            </w:tcBorders>
            <w:shd w:val="clear" w:color="auto" w:fill="FFFFFF"/>
            <w:vAlign w:val="center"/>
          </w:tcPr>
          <w:p w14:paraId="4321547E"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53" w:type="dxa"/>
            <w:tcBorders>
              <w:top w:val="nil"/>
            </w:tcBorders>
            <w:shd w:val="clear" w:color="auto" w:fill="FFFFFF"/>
            <w:vAlign w:val="center"/>
          </w:tcPr>
          <w:p w14:paraId="70B341E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40" w:type="dxa"/>
            <w:tcBorders>
              <w:top w:val="nil"/>
            </w:tcBorders>
            <w:shd w:val="clear" w:color="auto" w:fill="FFFFFF"/>
            <w:vAlign w:val="center"/>
          </w:tcPr>
          <w:p w14:paraId="27F4FBB0"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1" w:type="dxa"/>
            <w:tcBorders>
              <w:top w:val="nil"/>
              <w:right w:val="single" w:sz="16" w:space="0" w:color="000000"/>
            </w:tcBorders>
            <w:shd w:val="clear" w:color="auto" w:fill="FFFFFF"/>
            <w:vAlign w:val="center"/>
          </w:tcPr>
          <w:p w14:paraId="7C6859A3"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0B4E252F" w14:textId="77777777" w:rsidTr="00977660">
        <w:trPr>
          <w:cantSplit/>
          <w:trHeight w:val="955"/>
        </w:trPr>
        <w:tc>
          <w:tcPr>
            <w:tcW w:w="1546" w:type="dxa"/>
            <w:vMerge w:val="restart"/>
            <w:tcBorders>
              <w:top w:val="nil"/>
              <w:left w:val="single" w:sz="16" w:space="0" w:color="000000"/>
              <w:right w:val="nil"/>
            </w:tcBorders>
            <w:shd w:val="clear" w:color="auto" w:fill="FFFFFF"/>
          </w:tcPr>
          <w:p w14:paraId="25132E35"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Disagree</w:t>
            </w:r>
          </w:p>
        </w:tc>
        <w:tc>
          <w:tcPr>
            <w:tcW w:w="1687" w:type="dxa"/>
            <w:tcBorders>
              <w:top w:val="nil"/>
              <w:left w:val="nil"/>
              <w:bottom w:val="nil"/>
              <w:right w:val="single" w:sz="16" w:space="0" w:color="000000"/>
            </w:tcBorders>
            <w:shd w:val="clear" w:color="auto" w:fill="FFFFFF"/>
          </w:tcPr>
          <w:p w14:paraId="6BE07687"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20 Overall confidence Pre-course</w:t>
            </w:r>
          </w:p>
        </w:tc>
        <w:tc>
          <w:tcPr>
            <w:tcW w:w="940" w:type="dxa"/>
            <w:tcBorders>
              <w:top w:val="nil"/>
              <w:left w:val="single" w:sz="16" w:space="0" w:color="000000"/>
              <w:bottom w:val="nil"/>
            </w:tcBorders>
            <w:shd w:val="clear" w:color="auto" w:fill="FFFFFF"/>
            <w:vAlign w:val="center"/>
          </w:tcPr>
          <w:p w14:paraId="1D2FF9A1"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3</w:t>
            </w:r>
          </w:p>
        </w:tc>
        <w:tc>
          <w:tcPr>
            <w:tcW w:w="996" w:type="dxa"/>
            <w:tcBorders>
              <w:top w:val="nil"/>
              <w:bottom w:val="nil"/>
            </w:tcBorders>
            <w:shd w:val="clear" w:color="auto" w:fill="FFFFFF"/>
            <w:vAlign w:val="center"/>
          </w:tcPr>
          <w:p w14:paraId="54884E35"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3</w:t>
            </w:r>
          </w:p>
        </w:tc>
        <w:tc>
          <w:tcPr>
            <w:tcW w:w="1053" w:type="dxa"/>
            <w:tcBorders>
              <w:top w:val="nil"/>
              <w:bottom w:val="nil"/>
            </w:tcBorders>
            <w:shd w:val="clear" w:color="auto" w:fill="FFFFFF"/>
            <w:vAlign w:val="center"/>
          </w:tcPr>
          <w:p w14:paraId="0C2D345A"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6</w:t>
            </w:r>
          </w:p>
        </w:tc>
        <w:tc>
          <w:tcPr>
            <w:tcW w:w="940" w:type="dxa"/>
            <w:tcBorders>
              <w:top w:val="nil"/>
              <w:bottom w:val="nil"/>
            </w:tcBorders>
            <w:shd w:val="clear" w:color="auto" w:fill="FFFFFF"/>
            <w:vAlign w:val="center"/>
          </w:tcPr>
          <w:p w14:paraId="3D3E2628"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4.67</w:t>
            </w:r>
          </w:p>
        </w:tc>
        <w:tc>
          <w:tcPr>
            <w:tcW w:w="1201" w:type="dxa"/>
            <w:tcBorders>
              <w:top w:val="nil"/>
              <w:bottom w:val="nil"/>
              <w:right w:val="single" w:sz="16" w:space="0" w:color="000000"/>
            </w:tcBorders>
            <w:shd w:val="clear" w:color="auto" w:fill="FFFFFF"/>
            <w:vAlign w:val="center"/>
          </w:tcPr>
          <w:p w14:paraId="144A8E9F"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1.528</w:t>
            </w:r>
          </w:p>
        </w:tc>
      </w:tr>
      <w:tr w:rsidR="00137B0F" w:rsidRPr="00B45B65" w14:paraId="1682C65D" w14:textId="77777777" w:rsidTr="00977660">
        <w:trPr>
          <w:cantSplit/>
          <w:trHeight w:val="98"/>
        </w:trPr>
        <w:tc>
          <w:tcPr>
            <w:tcW w:w="1546" w:type="dxa"/>
            <w:vMerge/>
            <w:tcBorders>
              <w:top w:val="nil"/>
              <w:left w:val="single" w:sz="16" w:space="0" w:color="000000"/>
              <w:right w:val="nil"/>
            </w:tcBorders>
            <w:shd w:val="clear" w:color="auto" w:fill="FFFFFF"/>
          </w:tcPr>
          <w:p w14:paraId="4FF5311F"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687" w:type="dxa"/>
            <w:tcBorders>
              <w:top w:val="nil"/>
              <w:left w:val="nil"/>
              <w:right w:val="single" w:sz="16" w:space="0" w:color="000000"/>
            </w:tcBorders>
            <w:shd w:val="clear" w:color="auto" w:fill="FFFFFF"/>
          </w:tcPr>
          <w:p w14:paraId="0C6A632F"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40" w:type="dxa"/>
            <w:tcBorders>
              <w:top w:val="nil"/>
              <w:left w:val="single" w:sz="16" w:space="0" w:color="000000"/>
            </w:tcBorders>
            <w:shd w:val="clear" w:color="auto" w:fill="FFFFFF"/>
            <w:vAlign w:val="center"/>
          </w:tcPr>
          <w:p w14:paraId="686BAB48"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3</w:t>
            </w:r>
          </w:p>
        </w:tc>
        <w:tc>
          <w:tcPr>
            <w:tcW w:w="996" w:type="dxa"/>
            <w:tcBorders>
              <w:top w:val="nil"/>
            </w:tcBorders>
            <w:shd w:val="clear" w:color="auto" w:fill="FFFFFF"/>
            <w:vAlign w:val="center"/>
          </w:tcPr>
          <w:p w14:paraId="0596E59E"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53" w:type="dxa"/>
            <w:tcBorders>
              <w:top w:val="nil"/>
            </w:tcBorders>
            <w:shd w:val="clear" w:color="auto" w:fill="FFFFFF"/>
            <w:vAlign w:val="center"/>
          </w:tcPr>
          <w:p w14:paraId="08F38690"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40" w:type="dxa"/>
            <w:tcBorders>
              <w:top w:val="nil"/>
            </w:tcBorders>
            <w:shd w:val="clear" w:color="auto" w:fill="FFFFFF"/>
            <w:vAlign w:val="center"/>
          </w:tcPr>
          <w:p w14:paraId="017E0394"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1" w:type="dxa"/>
            <w:tcBorders>
              <w:top w:val="nil"/>
              <w:right w:val="single" w:sz="16" w:space="0" w:color="000000"/>
            </w:tcBorders>
            <w:shd w:val="clear" w:color="auto" w:fill="FFFFFF"/>
            <w:vAlign w:val="center"/>
          </w:tcPr>
          <w:p w14:paraId="5A5C0042"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68D23684" w14:textId="77777777" w:rsidTr="00977660">
        <w:trPr>
          <w:cantSplit/>
          <w:trHeight w:val="955"/>
        </w:trPr>
        <w:tc>
          <w:tcPr>
            <w:tcW w:w="1546" w:type="dxa"/>
            <w:vMerge w:val="restart"/>
            <w:tcBorders>
              <w:top w:val="nil"/>
              <w:left w:val="single" w:sz="16" w:space="0" w:color="000000"/>
              <w:right w:val="nil"/>
            </w:tcBorders>
            <w:shd w:val="clear" w:color="auto" w:fill="FFFFFF"/>
          </w:tcPr>
          <w:p w14:paraId="32008952"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Agree</w:t>
            </w:r>
          </w:p>
        </w:tc>
        <w:tc>
          <w:tcPr>
            <w:tcW w:w="1687" w:type="dxa"/>
            <w:tcBorders>
              <w:top w:val="nil"/>
              <w:left w:val="nil"/>
              <w:bottom w:val="nil"/>
              <w:right w:val="single" w:sz="16" w:space="0" w:color="000000"/>
            </w:tcBorders>
            <w:shd w:val="clear" w:color="auto" w:fill="FFFFFF"/>
          </w:tcPr>
          <w:p w14:paraId="59A0D6B8"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20 Overall confidence Pre-course</w:t>
            </w:r>
          </w:p>
        </w:tc>
        <w:tc>
          <w:tcPr>
            <w:tcW w:w="940" w:type="dxa"/>
            <w:tcBorders>
              <w:top w:val="nil"/>
              <w:left w:val="single" w:sz="16" w:space="0" w:color="000000"/>
              <w:bottom w:val="nil"/>
            </w:tcBorders>
            <w:shd w:val="clear" w:color="auto" w:fill="FFFFFF"/>
            <w:vAlign w:val="center"/>
          </w:tcPr>
          <w:p w14:paraId="0A5A3913"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68</w:t>
            </w:r>
          </w:p>
        </w:tc>
        <w:tc>
          <w:tcPr>
            <w:tcW w:w="996" w:type="dxa"/>
            <w:tcBorders>
              <w:top w:val="nil"/>
              <w:bottom w:val="nil"/>
            </w:tcBorders>
            <w:shd w:val="clear" w:color="auto" w:fill="FFFFFF"/>
            <w:vAlign w:val="center"/>
          </w:tcPr>
          <w:p w14:paraId="424C346A"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3</w:t>
            </w:r>
          </w:p>
        </w:tc>
        <w:tc>
          <w:tcPr>
            <w:tcW w:w="1053" w:type="dxa"/>
            <w:tcBorders>
              <w:top w:val="nil"/>
              <w:bottom w:val="nil"/>
            </w:tcBorders>
            <w:shd w:val="clear" w:color="auto" w:fill="FFFFFF"/>
            <w:vAlign w:val="center"/>
          </w:tcPr>
          <w:p w14:paraId="0083AE4A"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8</w:t>
            </w:r>
          </w:p>
        </w:tc>
        <w:tc>
          <w:tcPr>
            <w:tcW w:w="940" w:type="dxa"/>
            <w:tcBorders>
              <w:top w:val="nil"/>
              <w:bottom w:val="nil"/>
            </w:tcBorders>
            <w:shd w:val="clear" w:color="auto" w:fill="FFFFFF"/>
            <w:vAlign w:val="center"/>
          </w:tcPr>
          <w:p w14:paraId="56C1EFF3"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5.69</w:t>
            </w:r>
          </w:p>
        </w:tc>
        <w:tc>
          <w:tcPr>
            <w:tcW w:w="1201" w:type="dxa"/>
            <w:tcBorders>
              <w:top w:val="nil"/>
              <w:bottom w:val="nil"/>
              <w:right w:val="single" w:sz="16" w:space="0" w:color="000000"/>
            </w:tcBorders>
            <w:shd w:val="clear" w:color="auto" w:fill="FFFFFF"/>
            <w:vAlign w:val="center"/>
          </w:tcPr>
          <w:p w14:paraId="691F176A"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1.200</w:t>
            </w:r>
          </w:p>
        </w:tc>
      </w:tr>
      <w:tr w:rsidR="00137B0F" w:rsidRPr="00B45B65" w14:paraId="7651CB12" w14:textId="77777777" w:rsidTr="00977660">
        <w:trPr>
          <w:cantSplit/>
          <w:trHeight w:val="98"/>
        </w:trPr>
        <w:tc>
          <w:tcPr>
            <w:tcW w:w="1546" w:type="dxa"/>
            <w:vMerge/>
            <w:tcBorders>
              <w:top w:val="nil"/>
              <w:left w:val="single" w:sz="16" w:space="0" w:color="000000"/>
              <w:right w:val="nil"/>
            </w:tcBorders>
            <w:shd w:val="clear" w:color="auto" w:fill="FFFFFF"/>
          </w:tcPr>
          <w:p w14:paraId="63824D34"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687" w:type="dxa"/>
            <w:tcBorders>
              <w:top w:val="nil"/>
              <w:left w:val="nil"/>
              <w:right w:val="single" w:sz="16" w:space="0" w:color="000000"/>
            </w:tcBorders>
            <w:shd w:val="clear" w:color="auto" w:fill="FFFFFF"/>
          </w:tcPr>
          <w:p w14:paraId="18D8A945"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40" w:type="dxa"/>
            <w:tcBorders>
              <w:top w:val="nil"/>
              <w:left w:val="single" w:sz="16" w:space="0" w:color="000000"/>
            </w:tcBorders>
            <w:shd w:val="clear" w:color="auto" w:fill="FFFFFF"/>
            <w:vAlign w:val="center"/>
          </w:tcPr>
          <w:p w14:paraId="4AE28CB0"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68</w:t>
            </w:r>
          </w:p>
        </w:tc>
        <w:tc>
          <w:tcPr>
            <w:tcW w:w="996" w:type="dxa"/>
            <w:tcBorders>
              <w:top w:val="nil"/>
            </w:tcBorders>
            <w:shd w:val="clear" w:color="auto" w:fill="FFFFFF"/>
            <w:vAlign w:val="center"/>
          </w:tcPr>
          <w:p w14:paraId="703C26D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53" w:type="dxa"/>
            <w:tcBorders>
              <w:top w:val="nil"/>
            </w:tcBorders>
            <w:shd w:val="clear" w:color="auto" w:fill="FFFFFF"/>
            <w:vAlign w:val="center"/>
          </w:tcPr>
          <w:p w14:paraId="4EABA77A"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40" w:type="dxa"/>
            <w:tcBorders>
              <w:top w:val="nil"/>
            </w:tcBorders>
            <w:shd w:val="clear" w:color="auto" w:fill="FFFFFF"/>
            <w:vAlign w:val="center"/>
          </w:tcPr>
          <w:p w14:paraId="2A44E058"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1" w:type="dxa"/>
            <w:tcBorders>
              <w:top w:val="nil"/>
              <w:right w:val="single" w:sz="16" w:space="0" w:color="000000"/>
            </w:tcBorders>
            <w:shd w:val="clear" w:color="auto" w:fill="FFFFFF"/>
            <w:vAlign w:val="center"/>
          </w:tcPr>
          <w:p w14:paraId="2F5F4E76"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544A5D39" w14:textId="77777777" w:rsidTr="00977660">
        <w:trPr>
          <w:cantSplit/>
          <w:trHeight w:val="955"/>
        </w:trPr>
        <w:tc>
          <w:tcPr>
            <w:tcW w:w="1546" w:type="dxa"/>
            <w:vMerge w:val="restart"/>
            <w:tcBorders>
              <w:top w:val="nil"/>
              <w:left w:val="single" w:sz="16" w:space="0" w:color="000000"/>
              <w:right w:val="nil"/>
            </w:tcBorders>
            <w:shd w:val="clear" w:color="auto" w:fill="FFFFFF"/>
          </w:tcPr>
          <w:p w14:paraId="3AE8794F"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Strongly agree</w:t>
            </w:r>
          </w:p>
        </w:tc>
        <w:tc>
          <w:tcPr>
            <w:tcW w:w="1687" w:type="dxa"/>
            <w:tcBorders>
              <w:top w:val="nil"/>
              <w:left w:val="nil"/>
              <w:bottom w:val="nil"/>
              <w:right w:val="single" w:sz="16" w:space="0" w:color="000000"/>
            </w:tcBorders>
            <w:shd w:val="clear" w:color="auto" w:fill="FFFFFF"/>
          </w:tcPr>
          <w:p w14:paraId="0382AAA3"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20 Overall confidence Pre-course</w:t>
            </w:r>
          </w:p>
        </w:tc>
        <w:tc>
          <w:tcPr>
            <w:tcW w:w="940" w:type="dxa"/>
            <w:tcBorders>
              <w:top w:val="nil"/>
              <w:left w:val="single" w:sz="16" w:space="0" w:color="000000"/>
              <w:bottom w:val="nil"/>
            </w:tcBorders>
            <w:shd w:val="clear" w:color="auto" w:fill="FFFFFF"/>
            <w:vAlign w:val="center"/>
          </w:tcPr>
          <w:p w14:paraId="46D8E803"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7</w:t>
            </w:r>
          </w:p>
        </w:tc>
        <w:tc>
          <w:tcPr>
            <w:tcW w:w="996" w:type="dxa"/>
            <w:tcBorders>
              <w:top w:val="nil"/>
              <w:bottom w:val="nil"/>
            </w:tcBorders>
            <w:shd w:val="clear" w:color="auto" w:fill="FFFFFF"/>
            <w:vAlign w:val="center"/>
          </w:tcPr>
          <w:p w14:paraId="0A4988CB"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6</w:t>
            </w:r>
          </w:p>
        </w:tc>
        <w:tc>
          <w:tcPr>
            <w:tcW w:w="1053" w:type="dxa"/>
            <w:tcBorders>
              <w:top w:val="nil"/>
              <w:bottom w:val="nil"/>
            </w:tcBorders>
            <w:shd w:val="clear" w:color="auto" w:fill="FFFFFF"/>
            <w:vAlign w:val="center"/>
          </w:tcPr>
          <w:p w14:paraId="42119515"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8</w:t>
            </w:r>
          </w:p>
        </w:tc>
        <w:tc>
          <w:tcPr>
            <w:tcW w:w="940" w:type="dxa"/>
            <w:tcBorders>
              <w:top w:val="nil"/>
              <w:bottom w:val="nil"/>
            </w:tcBorders>
            <w:shd w:val="clear" w:color="auto" w:fill="FFFFFF"/>
            <w:vAlign w:val="center"/>
          </w:tcPr>
          <w:p w14:paraId="37912F74"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6.71</w:t>
            </w:r>
          </w:p>
        </w:tc>
        <w:tc>
          <w:tcPr>
            <w:tcW w:w="1201" w:type="dxa"/>
            <w:tcBorders>
              <w:top w:val="nil"/>
              <w:bottom w:val="nil"/>
              <w:right w:val="single" w:sz="16" w:space="0" w:color="000000"/>
            </w:tcBorders>
            <w:shd w:val="clear" w:color="auto" w:fill="FFFFFF"/>
            <w:vAlign w:val="center"/>
          </w:tcPr>
          <w:p w14:paraId="57D65366"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.756</w:t>
            </w:r>
          </w:p>
        </w:tc>
      </w:tr>
      <w:tr w:rsidR="00137B0F" w:rsidRPr="00B45B65" w14:paraId="1BA55D7D" w14:textId="77777777" w:rsidTr="00977660">
        <w:trPr>
          <w:cantSplit/>
          <w:trHeight w:val="98"/>
        </w:trPr>
        <w:tc>
          <w:tcPr>
            <w:tcW w:w="1546" w:type="dxa"/>
            <w:vMerge/>
            <w:tcBorders>
              <w:top w:val="nil"/>
              <w:left w:val="single" w:sz="16" w:space="0" w:color="000000"/>
              <w:right w:val="nil"/>
            </w:tcBorders>
            <w:shd w:val="clear" w:color="auto" w:fill="FFFFFF"/>
          </w:tcPr>
          <w:p w14:paraId="43E7467F"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687" w:type="dxa"/>
            <w:tcBorders>
              <w:top w:val="nil"/>
              <w:left w:val="nil"/>
              <w:right w:val="single" w:sz="16" w:space="0" w:color="000000"/>
            </w:tcBorders>
            <w:shd w:val="clear" w:color="auto" w:fill="FFFFFF"/>
          </w:tcPr>
          <w:p w14:paraId="1A885A78"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40" w:type="dxa"/>
            <w:tcBorders>
              <w:top w:val="nil"/>
              <w:left w:val="single" w:sz="16" w:space="0" w:color="000000"/>
            </w:tcBorders>
            <w:shd w:val="clear" w:color="auto" w:fill="FFFFFF"/>
            <w:vAlign w:val="center"/>
          </w:tcPr>
          <w:p w14:paraId="7C036962"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7</w:t>
            </w:r>
          </w:p>
        </w:tc>
        <w:tc>
          <w:tcPr>
            <w:tcW w:w="996" w:type="dxa"/>
            <w:tcBorders>
              <w:top w:val="nil"/>
            </w:tcBorders>
            <w:shd w:val="clear" w:color="auto" w:fill="FFFFFF"/>
            <w:vAlign w:val="center"/>
          </w:tcPr>
          <w:p w14:paraId="29EED2DB"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53" w:type="dxa"/>
            <w:tcBorders>
              <w:top w:val="nil"/>
            </w:tcBorders>
            <w:shd w:val="clear" w:color="auto" w:fill="FFFFFF"/>
            <w:vAlign w:val="center"/>
          </w:tcPr>
          <w:p w14:paraId="4A1BF7F2"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40" w:type="dxa"/>
            <w:tcBorders>
              <w:top w:val="nil"/>
            </w:tcBorders>
            <w:shd w:val="clear" w:color="auto" w:fill="FFFFFF"/>
            <w:vAlign w:val="center"/>
          </w:tcPr>
          <w:p w14:paraId="2E03D755"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1" w:type="dxa"/>
            <w:tcBorders>
              <w:top w:val="nil"/>
              <w:right w:val="single" w:sz="16" w:space="0" w:color="000000"/>
            </w:tcBorders>
            <w:shd w:val="clear" w:color="auto" w:fill="FFFFFF"/>
            <w:vAlign w:val="center"/>
          </w:tcPr>
          <w:p w14:paraId="6468983E"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r w:rsidR="00137B0F" w:rsidRPr="00B45B65" w14:paraId="23BEC9E2" w14:textId="77777777" w:rsidTr="00977660">
        <w:trPr>
          <w:cantSplit/>
          <w:trHeight w:val="955"/>
        </w:trPr>
        <w:tc>
          <w:tcPr>
            <w:tcW w:w="1546" w:type="dxa"/>
            <w:vMerge w:val="restart"/>
            <w:tcBorders>
              <w:top w:val="nil"/>
              <w:left w:val="single" w:sz="16" w:space="0" w:color="000000"/>
              <w:bottom w:val="single" w:sz="16" w:space="0" w:color="000000"/>
              <w:right w:val="nil"/>
            </w:tcBorders>
            <w:shd w:val="clear" w:color="auto" w:fill="FFFFFF"/>
          </w:tcPr>
          <w:p w14:paraId="32004B85"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999</w:t>
            </w:r>
          </w:p>
        </w:tc>
        <w:tc>
          <w:tcPr>
            <w:tcW w:w="1687" w:type="dxa"/>
            <w:tcBorders>
              <w:top w:val="nil"/>
              <w:left w:val="nil"/>
              <w:bottom w:val="nil"/>
              <w:right w:val="single" w:sz="16" w:space="0" w:color="000000"/>
            </w:tcBorders>
            <w:shd w:val="clear" w:color="auto" w:fill="FFFFFF"/>
          </w:tcPr>
          <w:p w14:paraId="505DEF41" w14:textId="77777777" w:rsidR="00137B0F" w:rsidRPr="00AB0926" w:rsidRDefault="00137B0F" w:rsidP="00977660">
            <w:pPr>
              <w:widowControl w:val="0"/>
              <w:autoSpaceDE w:val="0"/>
              <w:autoSpaceDN w:val="0"/>
              <w:adjustRightInd w:val="0"/>
              <w:spacing w:line="240" w:lineRule="auto"/>
              <w:ind w:left="60" w:right="60"/>
              <w:rPr>
                <w:rFonts w:cs="Arial"/>
                <w:color w:val="000000"/>
                <w:sz w:val="18"/>
                <w:szCs w:val="18"/>
              </w:rPr>
            </w:pPr>
            <w:r w:rsidRPr="00AB0926">
              <w:rPr>
                <w:rFonts w:cs="Arial"/>
                <w:color w:val="000000"/>
                <w:sz w:val="18"/>
                <w:szCs w:val="18"/>
              </w:rPr>
              <w:t>20 Overall confidence Pre-course</w:t>
            </w:r>
          </w:p>
        </w:tc>
        <w:tc>
          <w:tcPr>
            <w:tcW w:w="940" w:type="dxa"/>
            <w:tcBorders>
              <w:top w:val="nil"/>
              <w:left w:val="single" w:sz="16" w:space="0" w:color="000000"/>
              <w:bottom w:val="nil"/>
            </w:tcBorders>
            <w:shd w:val="clear" w:color="auto" w:fill="FFFFFF"/>
            <w:vAlign w:val="center"/>
          </w:tcPr>
          <w:p w14:paraId="3EB06475"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15</w:t>
            </w:r>
          </w:p>
        </w:tc>
        <w:tc>
          <w:tcPr>
            <w:tcW w:w="996" w:type="dxa"/>
            <w:tcBorders>
              <w:top w:val="nil"/>
              <w:bottom w:val="nil"/>
            </w:tcBorders>
            <w:shd w:val="clear" w:color="auto" w:fill="FFFFFF"/>
            <w:vAlign w:val="center"/>
          </w:tcPr>
          <w:p w14:paraId="100AC029"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4</w:t>
            </w:r>
          </w:p>
        </w:tc>
        <w:tc>
          <w:tcPr>
            <w:tcW w:w="1053" w:type="dxa"/>
            <w:tcBorders>
              <w:top w:val="nil"/>
              <w:bottom w:val="nil"/>
            </w:tcBorders>
            <w:shd w:val="clear" w:color="auto" w:fill="FFFFFF"/>
            <w:vAlign w:val="center"/>
          </w:tcPr>
          <w:p w14:paraId="077AAEB4"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8</w:t>
            </w:r>
          </w:p>
        </w:tc>
        <w:tc>
          <w:tcPr>
            <w:tcW w:w="940" w:type="dxa"/>
            <w:tcBorders>
              <w:top w:val="nil"/>
              <w:bottom w:val="nil"/>
            </w:tcBorders>
            <w:shd w:val="clear" w:color="auto" w:fill="FFFFFF"/>
            <w:vAlign w:val="center"/>
          </w:tcPr>
          <w:p w14:paraId="088CDFA6"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5.87</w:t>
            </w:r>
          </w:p>
        </w:tc>
        <w:tc>
          <w:tcPr>
            <w:tcW w:w="1201" w:type="dxa"/>
            <w:tcBorders>
              <w:top w:val="nil"/>
              <w:bottom w:val="nil"/>
              <w:right w:val="single" w:sz="16" w:space="0" w:color="000000"/>
            </w:tcBorders>
            <w:shd w:val="clear" w:color="auto" w:fill="FFFFFF"/>
            <w:vAlign w:val="center"/>
          </w:tcPr>
          <w:p w14:paraId="1F6C95E2" w14:textId="77777777" w:rsidR="00137B0F" w:rsidRPr="00AB0926" w:rsidRDefault="00137B0F" w:rsidP="00977660">
            <w:pPr>
              <w:widowControl w:val="0"/>
              <w:autoSpaceDE w:val="0"/>
              <w:autoSpaceDN w:val="0"/>
              <w:adjustRightInd w:val="0"/>
              <w:spacing w:line="240" w:lineRule="auto"/>
              <w:ind w:left="60" w:right="60"/>
              <w:jc w:val="center"/>
              <w:rPr>
                <w:rFonts w:cs="Arial"/>
                <w:color w:val="000000"/>
                <w:sz w:val="18"/>
                <w:szCs w:val="18"/>
              </w:rPr>
            </w:pPr>
            <w:r w:rsidRPr="00AB0926">
              <w:rPr>
                <w:rFonts w:cs="Arial"/>
                <w:color w:val="000000"/>
                <w:sz w:val="18"/>
                <w:szCs w:val="18"/>
              </w:rPr>
              <w:t>.990</w:t>
            </w:r>
          </w:p>
        </w:tc>
      </w:tr>
      <w:tr w:rsidR="00137B0F" w:rsidRPr="00B45B65" w14:paraId="69F51EA0" w14:textId="77777777" w:rsidTr="00977660">
        <w:trPr>
          <w:cantSplit/>
          <w:trHeight w:val="98"/>
        </w:trPr>
        <w:tc>
          <w:tcPr>
            <w:tcW w:w="1546" w:type="dxa"/>
            <w:vMerge/>
            <w:tcBorders>
              <w:top w:val="nil"/>
              <w:left w:val="single" w:sz="16" w:space="0" w:color="000000"/>
              <w:bottom w:val="single" w:sz="16" w:space="0" w:color="000000"/>
              <w:right w:val="nil"/>
            </w:tcBorders>
            <w:shd w:val="clear" w:color="auto" w:fill="FFFFFF"/>
          </w:tcPr>
          <w:p w14:paraId="6953A137" w14:textId="77777777" w:rsidR="00137B0F" w:rsidRPr="00091C34" w:rsidRDefault="00137B0F" w:rsidP="00977660">
            <w:pPr>
              <w:widowControl w:val="0"/>
              <w:autoSpaceDE w:val="0"/>
              <w:autoSpaceDN w:val="0"/>
              <w:adjustRightInd w:val="0"/>
              <w:spacing w:line="240" w:lineRule="auto"/>
              <w:rPr>
                <w:rFonts w:cs="Arial"/>
                <w:color w:val="000000"/>
                <w:sz w:val="18"/>
                <w:szCs w:val="18"/>
              </w:rPr>
            </w:pPr>
          </w:p>
        </w:tc>
        <w:tc>
          <w:tcPr>
            <w:tcW w:w="1687" w:type="dxa"/>
            <w:tcBorders>
              <w:top w:val="nil"/>
              <w:left w:val="nil"/>
              <w:bottom w:val="single" w:sz="16" w:space="0" w:color="000000"/>
              <w:right w:val="single" w:sz="16" w:space="0" w:color="000000"/>
            </w:tcBorders>
            <w:shd w:val="clear" w:color="auto" w:fill="FFFFFF"/>
          </w:tcPr>
          <w:p w14:paraId="485CAB13" w14:textId="77777777" w:rsidR="00137B0F" w:rsidRPr="00091C34" w:rsidRDefault="00137B0F" w:rsidP="00977660">
            <w:pPr>
              <w:widowControl w:val="0"/>
              <w:autoSpaceDE w:val="0"/>
              <w:autoSpaceDN w:val="0"/>
              <w:adjustRightInd w:val="0"/>
              <w:spacing w:line="240" w:lineRule="auto"/>
              <w:ind w:left="60" w:right="60"/>
              <w:rPr>
                <w:rFonts w:cs="Arial"/>
                <w:color w:val="000000"/>
                <w:sz w:val="18"/>
                <w:szCs w:val="18"/>
              </w:rPr>
            </w:pPr>
            <w:r w:rsidRPr="00091C34">
              <w:rPr>
                <w:rFonts w:cs="Arial"/>
                <w:color w:val="000000"/>
                <w:sz w:val="18"/>
                <w:szCs w:val="18"/>
              </w:rPr>
              <w:t>Valid N (listwise)</w:t>
            </w:r>
          </w:p>
        </w:tc>
        <w:tc>
          <w:tcPr>
            <w:tcW w:w="940" w:type="dxa"/>
            <w:tcBorders>
              <w:top w:val="nil"/>
              <w:left w:val="single" w:sz="16" w:space="0" w:color="000000"/>
              <w:bottom w:val="single" w:sz="16" w:space="0" w:color="000000"/>
            </w:tcBorders>
            <w:shd w:val="clear" w:color="auto" w:fill="FFFFFF"/>
            <w:vAlign w:val="center"/>
          </w:tcPr>
          <w:p w14:paraId="261BC78E" w14:textId="77777777" w:rsidR="00137B0F" w:rsidRPr="00091C34" w:rsidRDefault="00137B0F" w:rsidP="00977660">
            <w:pPr>
              <w:widowControl w:val="0"/>
              <w:autoSpaceDE w:val="0"/>
              <w:autoSpaceDN w:val="0"/>
              <w:adjustRightInd w:val="0"/>
              <w:spacing w:line="240" w:lineRule="auto"/>
              <w:ind w:left="60" w:right="60"/>
              <w:jc w:val="center"/>
              <w:rPr>
                <w:rFonts w:cs="Arial"/>
                <w:color w:val="000000"/>
                <w:sz w:val="18"/>
                <w:szCs w:val="18"/>
              </w:rPr>
            </w:pPr>
            <w:r w:rsidRPr="00091C34">
              <w:rPr>
                <w:rFonts w:cs="Arial"/>
                <w:color w:val="000000"/>
                <w:sz w:val="18"/>
                <w:szCs w:val="18"/>
              </w:rPr>
              <w:t>15</w:t>
            </w:r>
          </w:p>
        </w:tc>
        <w:tc>
          <w:tcPr>
            <w:tcW w:w="996" w:type="dxa"/>
            <w:tcBorders>
              <w:top w:val="nil"/>
              <w:bottom w:val="single" w:sz="16" w:space="0" w:color="000000"/>
            </w:tcBorders>
            <w:shd w:val="clear" w:color="auto" w:fill="FFFFFF"/>
            <w:vAlign w:val="center"/>
          </w:tcPr>
          <w:p w14:paraId="12C34949"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053" w:type="dxa"/>
            <w:tcBorders>
              <w:top w:val="nil"/>
              <w:bottom w:val="single" w:sz="16" w:space="0" w:color="000000"/>
            </w:tcBorders>
            <w:shd w:val="clear" w:color="auto" w:fill="FFFFFF"/>
            <w:vAlign w:val="center"/>
          </w:tcPr>
          <w:p w14:paraId="68DF3FE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940" w:type="dxa"/>
            <w:tcBorders>
              <w:top w:val="nil"/>
              <w:bottom w:val="single" w:sz="16" w:space="0" w:color="000000"/>
            </w:tcBorders>
            <w:shd w:val="clear" w:color="auto" w:fill="FFFFFF"/>
            <w:vAlign w:val="center"/>
          </w:tcPr>
          <w:p w14:paraId="57A428BC"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c>
          <w:tcPr>
            <w:tcW w:w="1201" w:type="dxa"/>
            <w:tcBorders>
              <w:top w:val="nil"/>
              <w:bottom w:val="single" w:sz="16" w:space="0" w:color="000000"/>
              <w:right w:val="single" w:sz="16" w:space="0" w:color="000000"/>
            </w:tcBorders>
            <w:shd w:val="clear" w:color="auto" w:fill="FFFFFF"/>
            <w:vAlign w:val="center"/>
          </w:tcPr>
          <w:p w14:paraId="4FBB92A2" w14:textId="77777777" w:rsidR="00137B0F" w:rsidRPr="00091C34" w:rsidRDefault="00137B0F" w:rsidP="00977660">
            <w:pPr>
              <w:widowControl w:val="0"/>
              <w:autoSpaceDE w:val="0"/>
              <w:autoSpaceDN w:val="0"/>
              <w:adjustRightInd w:val="0"/>
              <w:spacing w:line="240" w:lineRule="auto"/>
              <w:jc w:val="center"/>
              <w:rPr>
                <w:rFonts w:ascii="Times New Roman" w:hAnsi="Times New Roman"/>
                <w:sz w:val="18"/>
                <w:szCs w:val="18"/>
              </w:rPr>
            </w:pPr>
          </w:p>
        </w:tc>
      </w:tr>
    </w:tbl>
    <w:p w14:paraId="7BA4CECA" w14:textId="77777777" w:rsidR="00137B0F" w:rsidRDefault="00137B0F" w:rsidP="00137B0F"/>
    <w:p w14:paraId="7C9E2672" w14:textId="77777777" w:rsidR="00137B0F" w:rsidRDefault="00137B0F" w:rsidP="00137B0F"/>
    <w:p w14:paraId="5A35E869" w14:textId="77777777" w:rsidR="00137B0F" w:rsidRPr="008C6C13" w:rsidRDefault="00137B0F" w:rsidP="00137B0F">
      <w:pPr>
        <w:pStyle w:val="Heading4"/>
      </w:pPr>
      <w:r w:rsidRPr="005E7E2B">
        <w:lastRenderedPageBreak/>
        <w:t>Breakdown of 19 parameters comparing change in confidence pre</w:t>
      </w:r>
      <w:r>
        <w:t>-</w:t>
      </w:r>
      <w:r w:rsidRPr="005E7E2B">
        <w:t xml:space="preserve"> (condition 1) and </w:t>
      </w:r>
      <w:r w:rsidRPr="00AC79EC">
        <w:t>post-course</w:t>
      </w:r>
      <w:r w:rsidRPr="008C6C13">
        <w:t xml:space="preserve"> (condition 2)</w:t>
      </w:r>
    </w:p>
    <w:p w14:paraId="6121EDDE" w14:textId="77777777" w:rsidR="00137B0F" w:rsidRDefault="00137B0F" w:rsidP="00137B0F"/>
    <w:p w14:paraId="6DAF42CD" w14:textId="77777777" w:rsidR="00137B0F" w:rsidRDefault="00137B0F" w:rsidP="00137B0F">
      <w:pPr>
        <w:keepNext/>
      </w:pPr>
      <w:r>
        <w:rPr>
          <w:rFonts w:ascii="Times New Roman" w:hAnsi="Times New Roman"/>
          <w:noProof/>
          <w:lang w:val="en-US"/>
        </w:rPr>
        <w:drawing>
          <wp:inline distT="0" distB="0" distL="0" distR="0" wp14:anchorId="62176BA0" wp14:editId="3788C5FF">
            <wp:extent cx="5396230" cy="432390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6230" cy="4323902"/>
                    </a:xfrm>
                    <a:prstGeom prst="rect">
                      <a:avLst/>
                    </a:prstGeom>
                    <a:noFill/>
                    <a:ln>
                      <a:noFill/>
                    </a:ln>
                  </pic:spPr>
                </pic:pic>
              </a:graphicData>
            </a:graphic>
          </wp:inline>
        </w:drawing>
      </w:r>
    </w:p>
    <w:p w14:paraId="77A2948D" w14:textId="77777777" w:rsidR="00137B0F" w:rsidRDefault="00137B0F" w:rsidP="007000F8">
      <w:pPr>
        <w:pStyle w:val="Caption"/>
      </w:pPr>
      <w:bookmarkStart w:id="347" w:name="_Toc365579442"/>
      <w:bookmarkStart w:id="348" w:name="_Toc368056041"/>
      <w:bookmarkStart w:id="349" w:name="_Toc419116469"/>
      <w:r>
        <w:t xml:space="preserve">Figure </w:t>
      </w:r>
      <w:r>
        <w:fldChar w:fldCharType="begin"/>
      </w:r>
      <w:r>
        <w:instrText xml:space="preserve"> STYLEREF 1 \s </w:instrText>
      </w:r>
      <w:r>
        <w:fldChar w:fldCharType="separate"/>
      </w:r>
      <w:r w:rsidR="007220A7">
        <w:rPr>
          <w:noProof/>
        </w:rPr>
        <w:t>7</w:t>
      </w:r>
      <w:r>
        <w:fldChar w:fldCharType="end"/>
      </w:r>
      <w:r>
        <w:noBreakHyphen/>
      </w:r>
      <w:r>
        <w:fldChar w:fldCharType="begin"/>
      </w:r>
      <w:r>
        <w:instrText xml:space="preserve"> SEQ Figure \* ARABIC \s 1 </w:instrText>
      </w:r>
      <w:r>
        <w:fldChar w:fldCharType="separate"/>
      </w:r>
      <w:r w:rsidR="007220A7">
        <w:rPr>
          <w:noProof/>
        </w:rPr>
        <w:t>2</w:t>
      </w:r>
      <w:r>
        <w:fldChar w:fldCharType="end"/>
      </w:r>
      <w:r>
        <w:t xml:space="preserve"> Change in confidence score pre- and post-course (difference) for each of the 19 FP and TD mapped domains. Errors bars represent 95% CI</w:t>
      </w:r>
      <w:bookmarkEnd w:id="347"/>
      <w:bookmarkEnd w:id="348"/>
      <w:bookmarkEnd w:id="349"/>
    </w:p>
    <w:p w14:paraId="3329DC96" w14:textId="358E4841" w:rsidR="00137B0F" w:rsidRDefault="00137B0F" w:rsidP="00137B0F">
      <w:r>
        <w:t xml:space="preserve">There were no reductions in mean confidence scores for the domains, all increased by varying amounts. The domains with the largest change in confidence from pre- (condition 1) to post-course (condition 2) were responding to a crash call (+2.23 points (SD 1.43)), making verbal referrals (+1.89 points (SD 1.22)), developing leadership skills (+1.66 points (SD 1.44)), escalation of care (+1.63 points (SD 1.43)), starting treatment (+1.61 points (SD 1.14)) and managing self under stress (+1.53 points (SD 1.44)) (Figure 7.2, Appendix </w:t>
      </w:r>
      <w:r w:rsidR="00125B98">
        <w:lastRenderedPageBreak/>
        <w:t>13</w:t>
      </w:r>
      <w:r>
        <w:t>.24). These mirror the pilot study results and reflect areas that have a huge link with patient safety and are difficult to develop elsewhere in the curriculum.</w:t>
      </w:r>
    </w:p>
    <w:p w14:paraId="6800279A" w14:textId="77777777" w:rsidR="00137B0F" w:rsidRDefault="00137B0F" w:rsidP="00137B0F">
      <w:r>
        <w:t>The smallest changes in confidence were reported in management of sharps (+0.22 points (SD 0.99)), use of ABCDE assessment (+0.83 points (SD 1.09)), patient safety (+0.93 points (SD1.17)), then finally documentation (+0.96 points (SD 1.04)). As with prescribing with the pilot study, it was a challenge to really focus on documentation, owing to time limitations and the other elements required.</w:t>
      </w:r>
    </w:p>
    <w:p w14:paraId="68FC393A" w14:textId="77777777" w:rsidR="00137B0F" w:rsidRDefault="00137B0F" w:rsidP="00137B0F">
      <w:pPr>
        <w:pStyle w:val="Heading3"/>
      </w:pPr>
      <w:bookmarkStart w:id="350" w:name="_Toc343501183"/>
      <w:bookmarkStart w:id="351" w:name="_Toc348686384"/>
      <w:bookmarkStart w:id="352" w:name="_Toc419116184"/>
      <w:r>
        <w:t>Principal Component Analysis and Factor Analysis</w:t>
      </w:r>
      <w:bookmarkEnd w:id="350"/>
      <w:bookmarkEnd w:id="351"/>
      <w:bookmarkEnd w:id="352"/>
    </w:p>
    <w:p w14:paraId="2F2C50B2" w14:textId="77777777" w:rsidR="00137B0F" w:rsidRDefault="00137B0F" w:rsidP="00137B0F"/>
    <w:p w14:paraId="52208259" w14:textId="67479C6D" w:rsidR="00137B0F" w:rsidRDefault="00137B0F" w:rsidP="00137B0F">
      <w:r>
        <w:t xml:space="preserve">Factor Analysis and Principal Component Analysis (PCA) are multivariate techniques for ‘identifying whether the correlations between a set of observed variables stem from their relationship to one or more latent variables (that cannot be measured) in the data’ </w:t>
      </w:r>
      <w:r>
        <w:fldChar w:fldCharType="begin"/>
      </w:r>
      <w:r>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fldChar w:fldCharType="separate"/>
      </w:r>
      <w:r>
        <w:rPr>
          <w:noProof/>
        </w:rPr>
        <w:t>(Field, 2012)</w:t>
      </w:r>
      <w:r>
        <w:fldChar w:fldCharType="end"/>
      </w:r>
      <w:r>
        <w:t>. The goal of PCA is to identify those correlations in a set of observed variables that combine into a smaller number of largely independent components. PCA predicts components from the variables that have been measured to identify latent variables by examining the relationship between the observed variables to discover relationships that explain the maximum variance. Factor loadings with values greater than 0.6 with four or more loadings are said to be reliable regardless of size of sample, though sample size is important (</w:t>
      </w:r>
      <w:proofErr w:type="spellStart"/>
      <w:r>
        <w:t>Guagagnoli</w:t>
      </w:r>
      <w:proofErr w:type="spellEnd"/>
      <w:r>
        <w:t xml:space="preserve"> and </w:t>
      </w:r>
      <w:proofErr w:type="spellStart"/>
      <w:r>
        <w:t>Velicer</w:t>
      </w:r>
      <w:proofErr w:type="spellEnd"/>
      <w:r>
        <w:t xml:space="preserve"> 1988</w:t>
      </w:r>
      <w:r w:rsidR="00125B98">
        <w:t>,</w:t>
      </w:r>
      <w:r>
        <w:t xml:space="preserve"> </w:t>
      </w:r>
      <w:r>
        <w:fldChar w:fldCharType="begin"/>
      </w:r>
      <w:r w:rsidR="006102D5">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fldChar w:fldCharType="separate"/>
      </w:r>
      <w:r w:rsidR="006102D5">
        <w:rPr>
          <w:noProof/>
        </w:rPr>
        <w:t>Field, 2012</w:t>
      </w:r>
      <w:r w:rsidR="009677EC">
        <w:rPr>
          <w:noProof/>
        </w:rPr>
        <w:t>;</w:t>
      </w:r>
      <w:r>
        <w:fldChar w:fldCharType="end"/>
      </w:r>
      <w:r w:rsidR="009677EC">
        <w:t xml:space="preserve"> </w:t>
      </w:r>
      <w:r>
        <w:t xml:space="preserve">p684). </w:t>
      </w:r>
    </w:p>
    <w:p w14:paraId="44356753" w14:textId="762F0BBA" w:rsidR="00137B0F" w:rsidRPr="00582200" w:rsidRDefault="00137B0F" w:rsidP="00137B0F">
      <w:pPr>
        <w:rPr>
          <w:rFonts w:ascii="Times New Roman" w:eastAsiaTheme="minorEastAsia" w:hAnsi="Times New Roman"/>
          <w:szCs w:val="24"/>
          <w:lang w:val="en-US"/>
        </w:rPr>
      </w:pPr>
      <w:r>
        <w:lastRenderedPageBreak/>
        <w:t xml:space="preserve">In the correlation matrix, values sat </w:t>
      </w:r>
      <w:r w:rsidR="00125B98">
        <w:t>between 0.3 and 0.7 (Appendix 13.25, 13</w:t>
      </w:r>
      <w:r>
        <w:t>.26), meaning no values were found to correlate highly. This suggests that each variable of the confidence score parameters were independent of each other, improving reliability due to the values discriminating.</w:t>
      </w:r>
    </w:p>
    <w:p w14:paraId="4FC9B092" w14:textId="73C61246" w:rsidR="00137B0F" w:rsidRDefault="00137B0F" w:rsidP="00137B0F">
      <w:pPr>
        <w:widowControl w:val="0"/>
        <w:autoSpaceDE w:val="0"/>
        <w:autoSpaceDN w:val="0"/>
        <w:adjustRightInd w:val="0"/>
        <w:spacing w:before="0" w:after="0"/>
        <w:rPr>
          <w:rFonts w:eastAsiaTheme="minorEastAsia" w:cs="Arial"/>
          <w:szCs w:val="24"/>
          <w:lang w:val="en-US"/>
        </w:rPr>
      </w:pPr>
      <w:r w:rsidRPr="00A94BBE">
        <w:rPr>
          <w:rFonts w:eastAsiaTheme="minorEastAsia" w:cs="Arial"/>
          <w:szCs w:val="24"/>
          <w:lang w:val="en-US"/>
        </w:rPr>
        <w:t xml:space="preserve">The table </w:t>
      </w:r>
      <w:r>
        <w:rPr>
          <w:rFonts w:eastAsiaTheme="minorEastAsia" w:cs="Arial"/>
          <w:szCs w:val="24"/>
          <w:lang w:val="en-US"/>
        </w:rPr>
        <w:t xml:space="preserve">below (7-10) lists the Eigenvalues associated with each factor prior to and after extraction. The Eigenvalues associated with each factor ‘represent the variance explained by that particular factor’, and includes that as a percentage of variance explained, so component 1 explains 52.7% of variance </w:t>
      </w:r>
      <w:r>
        <w:rPr>
          <w:rFonts w:eastAsiaTheme="minorEastAsia" w:cs="Arial"/>
          <w:szCs w:val="24"/>
          <w:lang w:val="en-US"/>
        </w:rPr>
        <w:fldChar w:fldCharType="begin"/>
      </w:r>
      <w:r w:rsidR="006102D5">
        <w:rPr>
          <w:rFonts w:eastAsiaTheme="minorEastAsia" w:cs="Arial"/>
          <w:szCs w:val="24"/>
          <w:lang w:val="en-US"/>
        </w:rPr>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rPr>
          <w:rFonts w:eastAsiaTheme="minorEastAsia" w:cs="Arial"/>
          <w:szCs w:val="24"/>
          <w:lang w:val="en-US"/>
        </w:rPr>
        <w:fldChar w:fldCharType="separate"/>
      </w:r>
      <w:r w:rsidR="006102D5">
        <w:rPr>
          <w:rFonts w:eastAsiaTheme="minorEastAsia" w:cs="Arial"/>
          <w:noProof/>
          <w:szCs w:val="24"/>
          <w:lang w:val="en-US"/>
        </w:rPr>
        <w:t>(Field, 2012</w:t>
      </w:r>
      <w:r w:rsidR="009677EC">
        <w:rPr>
          <w:rFonts w:eastAsiaTheme="minorEastAsia" w:cs="Arial"/>
          <w:noProof/>
          <w:szCs w:val="24"/>
          <w:lang w:val="en-US"/>
        </w:rPr>
        <w:t>;</w:t>
      </w:r>
      <w:r>
        <w:rPr>
          <w:rFonts w:eastAsiaTheme="minorEastAsia" w:cs="Arial"/>
          <w:szCs w:val="24"/>
          <w:lang w:val="en-US"/>
        </w:rPr>
        <w:fldChar w:fldCharType="end"/>
      </w:r>
      <w:r w:rsidR="00125B98">
        <w:rPr>
          <w:rFonts w:eastAsiaTheme="minorEastAsia" w:cs="Arial"/>
          <w:szCs w:val="24"/>
          <w:lang w:val="en-US"/>
        </w:rPr>
        <w:t xml:space="preserve"> </w:t>
      </w:r>
      <w:r>
        <w:rPr>
          <w:rFonts w:eastAsiaTheme="minorEastAsia" w:cs="Arial"/>
          <w:szCs w:val="24"/>
          <w:lang w:val="en-US"/>
        </w:rPr>
        <w:t>p697). The first few components help explain a lot of variance compared to the rest.</w:t>
      </w:r>
    </w:p>
    <w:p w14:paraId="0787AD94"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7B1AC6C0"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4D47B899"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5381A15E"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2F18808C"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5A0835D4"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0805DDFC"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6421C976"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7F3AA78E"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083ADDD0"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555C2557"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4B115DF6"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744E7AA9"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01C48C80" w14:textId="77777777" w:rsidR="00137B0F" w:rsidRPr="00A94BBE" w:rsidRDefault="00137B0F" w:rsidP="00137B0F">
      <w:pPr>
        <w:widowControl w:val="0"/>
        <w:autoSpaceDE w:val="0"/>
        <w:autoSpaceDN w:val="0"/>
        <w:adjustRightInd w:val="0"/>
        <w:spacing w:before="0" w:after="0"/>
        <w:rPr>
          <w:rFonts w:eastAsiaTheme="minorEastAsia" w:cs="Arial"/>
          <w:szCs w:val="24"/>
          <w:lang w:val="en-US"/>
        </w:rPr>
      </w:pPr>
    </w:p>
    <w:p w14:paraId="6C4EBB93" w14:textId="77777777" w:rsidR="00137B0F" w:rsidRPr="00582200" w:rsidRDefault="00137B0F" w:rsidP="00137B0F">
      <w:pPr>
        <w:widowControl w:val="0"/>
        <w:autoSpaceDE w:val="0"/>
        <w:autoSpaceDN w:val="0"/>
        <w:adjustRightInd w:val="0"/>
        <w:spacing w:before="0" w:after="0" w:line="240" w:lineRule="auto"/>
        <w:rPr>
          <w:rFonts w:ascii="Times New Roman" w:eastAsiaTheme="minorEastAsia" w:hAnsi="Times New Roman"/>
          <w:szCs w:val="24"/>
          <w:lang w:val="en-US"/>
        </w:rPr>
      </w:pPr>
    </w:p>
    <w:p w14:paraId="237EF5A3" w14:textId="7DCC7274" w:rsidR="00137B0F" w:rsidRDefault="00137B0F" w:rsidP="007000F8">
      <w:pPr>
        <w:pStyle w:val="Caption"/>
      </w:pPr>
      <w:bookmarkStart w:id="353" w:name="_Toc365579492"/>
      <w:bookmarkStart w:id="354" w:name="_Toc419116510"/>
      <w:r>
        <w:lastRenderedPageBreak/>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10</w:t>
      </w:r>
      <w:r w:rsidR="007000F8">
        <w:fldChar w:fldCharType="end"/>
      </w:r>
      <w:r>
        <w:t xml:space="preserve"> Principle Component Analysis</w:t>
      </w:r>
      <w:bookmarkEnd w:id="353"/>
      <w:bookmarkEnd w:id="354"/>
    </w:p>
    <w:tbl>
      <w:tblPr>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31"/>
        <w:gridCol w:w="968"/>
        <w:gridCol w:w="1392"/>
        <w:gridCol w:w="1362"/>
        <w:gridCol w:w="1131"/>
        <w:gridCol w:w="1392"/>
        <w:gridCol w:w="1171"/>
      </w:tblGrid>
      <w:tr w:rsidR="00137B0F" w:rsidRPr="00582200" w14:paraId="5F1B9329" w14:textId="77777777" w:rsidTr="00977660">
        <w:trPr>
          <w:cantSplit/>
          <w:trHeight w:val="336"/>
        </w:trPr>
        <w:tc>
          <w:tcPr>
            <w:tcW w:w="8647" w:type="dxa"/>
            <w:gridSpan w:val="7"/>
            <w:tcBorders>
              <w:top w:val="nil"/>
              <w:left w:val="nil"/>
              <w:bottom w:val="nil"/>
              <w:right w:val="nil"/>
            </w:tcBorders>
            <w:shd w:val="clear" w:color="auto" w:fill="FFFFFF"/>
            <w:vAlign w:val="center"/>
          </w:tcPr>
          <w:p w14:paraId="58A222BD" w14:textId="77777777" w:rsidR="00137B0F" w:rsidRPr="00582200"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Cs w:val="24"/>
                <w:lang w:val="en-US"/>
              </w:rPr>
            </w:pPr>
            <w:r w:rsidRPr="00582200">
              <w:rPr>
                <w:rFonts w:eastAsiaTheme="minorEastAsia" w:cs="Arial"/>
                <w:b/>
                <w:bCs/>
                <w:color w:val="000000"/>
                <w:szCs w:val="24"/>
                <w:lang w:val="en-US"/>
              </w:rPr>
              <w:t>Total Varian</w:t>
            </w:r>
            <w:r>
              <w:rPr>
                <w:rFonts w:eastAsiaTheme="minorEastAsia" w:cs="Arial"/>
                <w:b/>
                <w:bCs/>
                <w:color w:val="000000"/>
                <w:szCs w:val="24"/>
                <w:lang w:val="en-US"/>
              </w:rPr>
              <w:t>ce</w:t>
            </w:r>
          </w:p>
        </w:tc>
      </w:tr>
      <w:tr w:rsidR="00137B0F" w:rsidRPr="00582200" w14:paraId="4918CAA2" w14:textId="77777777" w:rsidTr="00977660">
        <w:trPr>
          <w:cantSplit/>
          <w:trHeight w:val="671"/>
        </w:trPr>
        <w:tc>
          <w:tcPr>
            <w:tcW w:w="1231" w:type="dxa"/>
            <w:vMerge w:val="restart"/>
            <w:tcBorders>
              <w:top w:val="single" w:sz="16" w:space="0" w:color="000000"/>
              <w:left w:val="single" w:sz="16" w:space="0" w:color="000000"/>
              <w:bottom w:val="nil"/>
              <w:right w:val="single" w:sz="16" w:space="0" w:color="000000"/>
            </w:tcBorders>
            <w:shd w:val="clear" w:color="auto" w:fill="FFFFFF"/>
            <w:vAlign w:val="bottom"/>
          </w:tcPr>
          <w:p w14:paraId="3FE97851"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Component</w:t>
            </w:r>
          </w:p>
        </w:tc>
        <w:tc>
          <w:tcPr>
            <w:tcW w:w="3722" w:type="dxa"/>
            <w:gridSpan w:val="3"/>
            <w:tcBorders>
              <w:top w:val="single" w:sz="16" w:space="0" w:color="000000"/>
              <w:left w:val="single" w:sz="16" w:space="0" w:color="000000"/>
            </w:tcBorders>
            <w:shd w:val="clear" w:color="auto" w:fill="FFFFFF"/>
            <w:vAlign w:val="bottom"/>
          </w:tcPr>
          <w:p w14:paraId="7AB98EE5" w14:textId="77777777" w:rsidR="00137B0F" w:rsidRPr="00B07056"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B07056">
              <w:rPr>
                <w:rFonts w:eastAsiaTheme="minorEastAsia" w:cs="Arial"/>
                <w:color w:val="000000"/>
                <w:sz w:val="20"/>
                <w:szCs w:val="20"/>
                <w:lang w:val="en-US"/>
              </w:rPr>
              <w:t>Initial Eigenvalues</w:t>
            </w:r>
          </w:p>
        </w:tc>
        <w:tc>
          <w:tcPr>
            <w:tcW w:w="3694" w:type="dxa"/>
            <w:gridSpan w:val="3"/>
            <w:tcBorders>
              <w:top w:val="single" w:sz="16" w:space="0" w:color="000000"/>
              <w:right w:val="single" w:sz="16" w:space="0" w:color="000000"/>
            </w:tcBorders>
            <w:shd w:val="clear" w:color="auto" w:fill="FFFFFF"/>
            <w:vAlign w:val="bottom"/>
          </w:tcPr>
          <w:p w14:paraId="3BABCE5E" w14:textId="77777777" w:rsidR="00137B0F" w:rsidRPr="00B07056"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B07056">
              <w:rPr>
                <w:rFonts w:eastAsiaTheme="minorEastAsia" w:cs="Arial"/>
                <w:color w:val="000000"/>
                <w:sz w:val="20"/>
                <w:szCs w:val="20"/>
                <w:lang w:val="en-US"/>
              </w:rPr>
              <w:t>Extraction Sums of Squared Loadings</w:t>
            </w:r>
          </w:p>
        </w:tc>
      </w:tr>
      <w:tr w:rsidR="00137B0F" w:rsidRPr="00582200" w14:paraId="2F6DB835" w14:textId="77777777" w:rsidTr="00977660">
        <w:trPr>
          <w:cantSplit/>
          <w:trHeight w:val="150"/>
        </w:trPr>
        <w:tc>
          <w:tcPr>
            <w:tcW w:w="1231" w:type="dxa"/>
            <w:vMerge/>
            <w:tcBorders>
              <w:top w:val="single" w:sz="16" w:space="0" w:color="000000"/>
              <w:left w:val="single" w:sz="16" w:space="0" w:color="000000"/>
              <w:bottom w:val="nil"/>
              <w:right w:val="single" w:sz="16" w:space="0" w:color="000000"/>
            </w:tcBorders>
            <w:shd w:val="clear" w:color="auto" w:fill="FFFFFF"/>
            <w:vAlign w:val="bottom"/>
          </w:tcPr>
          <w:p w14:paraId="57228490" w14:textId="77777777" w:rsidR="00137B0F" w:rsidRPr="00091C34" w:rsidRDefault="00137B0F" w:rsidP="00977660">
            <w:pPr>
              <w:widowControl w:val="0"/>
              <w:autoSpaceDE w:val="0"/>
              <w:autoSpaceDN w:val="0"/>
              <w:adjustRightInd w:val="0"/>
              <w:spacing w:before="0" w:after="0" w:line="240" w:lineRule="auto"/>
              <w:rPr>
                <w:rFonts w:eastAsiaTheme="minorEastAsia" w:cs="Arial"/>
                <w:color w:val="000000"/>
                <w:sz w:val="20"/>
                <w:szCs w:val="20"/>
                <w:lang w:val="en-US"/>
              </w:rPr>
            </w:pPr>
          </w:p>
        </w:tc>
        <w:tc>
          <w:tcPr>
            <w:tcW w:w="968" w:type="dxa"/>
            <w:tcBorders>
              <w:left w:val="single" w:sz="16" w:space="0" w:color="000000"/>
              <w:bottom w:val="single" w:sz="16" w:space="0" w:color="000000"/>
            </w:tcBorders>
            <w:shd w:val="clear" w:color="auto" w:fill="FFFFFF"/>
            <w:vAlign w:val="bottom"/>
          </w:tcPr>
          <w:p w14:paraId="62446EBD" w14:textId="77777777" w:rsidR="00137B0F" w:rsidRPr="00091C34"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Total</w:t>
            </w:r>
          </w:p>
        </w:tc>
        <w:tc>
          <w:tcPr>
            <w:tcW w:w="1392" w:type="dxa"/>
            <w:tcBorders>
              <w:bottom w:val="single" w:sz="16" w:space="0" w:color="000000"/>
            </w:tcBorders>
            <w:shd w:val="clear" w:color="auto" w:fill="FFFFFF"/>
            <w:vAlign w:val="bottom"/>
          </w:tcPr>
          <w:p w14:paraId="76592E1C" w14:textId="77777777" w:rsidR="00137B0F" w:rsidRPr="00091C34"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 of Variance</w:t>
            </w:r>
          </w:p>
        </w:tc>
        <w:tc>
          <w:tcPr>
            <w:tcW w:w="1362" w:type="dxa"/>
            <w:tcBorders>
              <w:bottom w:val="single" w:sz="16" w:space="0" w:color="000000"/>
            </w:tcBorders>
            <w:shd w:val="clear" w:color="auto" w:fill="FFFFFF"/>
            <w:vAlign w:val="bottom"/>
          </w:tcPr>
          <w:p w14:paraId="564AE620" w14:textId="77777777" w:rsidR="00137B0F" w:rsidRPr="00091C34"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Cumulative %</w:t>
            </w:r>
          </w:p>
        </w:tc>
        <w:tc>
          <w:tcPr>
            <w:tcW w:w="1131" w:type="dxa"/>
            <w:tcBorders>
              <w:bottom w:val="single" w:sz="16" w:space="0" w:color="000000"/>
            </w:tcBorders>
            <w:shd w:val="clear" w:color="auto" w:fill="FFFFFF"/>
            <w:vAlign w:val="bottom"/>
          </w:tcPr>
          <w:p w14:paraId="126B4081" w14:textId="77777777" w:rsidR="00137B0F" w:rsidRPr="00091C34"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Total</w:t>
            </w:r>
          </w:p>
        </w:tc>
        <w:tc>
          <w:tcPr>
            <w:tcW w:w="1392" w:type="dxa"/>
            <w:tcBorders>
              <w:bottom w:val="single" w:sz="16" w:space="0" w:color="000000"/>
            </w:tcBorders>
            <w:shd w:val="clear" w:color="auto" w:fill="FFFFFF"/>
            <w:vAlign w:val="bottom"/>
          </w:tcPr>
          <w:p w14:paraId="37965767" w14:textId="77777777" w:rsidR="00137B0F" w:rsidRPr="00091C34"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 of Variance</w:t>
            </w:r>
          </w:p>
        </w:tc>
        <w:tc>
          <w:tcPr>
            <w:tcW w:w="1171" w:type="dxa"/>
            <w:tcBorders>
              <w:bottom w:val="single" w:sz="16" w:space="0" w:color="000000"/>
              <w:right w:val="single" w:sz="16" w:space="0" w:color="000000"/>
            </w:tcBorders>
            <w:shd w:val="clear" w:color="auto" w:fill="FFFFFF"/>
            <w:vAlign w:val="bottom"/>
          </w:tcPr>
          <w:p w14:paraId="1DA3C949" w14:textId="77777777" w:rsidR="00137B0F" w:rsidRPr="00091C34"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Cumulative %</w:t>
            </w:r>
          </w:p>
        </w:tc>
      </w:tr>
      <w:tr w:rsidR="00137B0F" w:rsidRPr="00582200" w14:paraId="3BEA6DC2" w14:textId="77777777" w:rsidTr="00977660">
        <w:trPr>
          <w:cantSplit/>
          <w:trHeight w:val="336"/>
        </w:trPr>
        <w:tc>
          <w:tcPr>
            <w:tcW w:w="1231" w:type="dxa"/>
            <w:tcBorders>
              <w:top w:val="single" w:sz="16" w:space="0" w:color="000000"/>
              <w:left w:val="single" w:sz="16" w:space="0" w:color="000000"/>
              <w:bottom w:val="nil"/>
              <w:right w:val="single" w:sz="16" w:space="0" w:color="000000"/>
            </w:tcBorders>
            <w:shd w:val="clear" w:color="auto" w:fill="FFFFFF"/>
          </w:tcPr>
          <w:p w14:paraId="1F40960F"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w:t>
            </w:r>
          </w:p>
        </w:tc>
        <w:tc>
          <w:tcPr>
            <w:tcW w:w="968" w:type="dxa"/>
            <w:tcBorders>
              <w:top w:val="single" w:sz="16" w:space="0" w:color="000000"/>
              <w:left w:val="single" w:sz="16" w:space="0" w:color="000000"/>
              <w:bottom w:val="nil"/>
            </w:tcBorders>
            <w:shd w:val="clear" w:color="auto" w:fill="FFFFFF"/>
            <w:vAlign w:val="center"/>
          </w:tcPr>
          <w:p w14:paraId="0BC977E6"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10.545</w:t>
            </w:r>
          </w:p>
        </w:tc>
        <w:tc>
          <w:tcPr>
            <w:tcW w:w="1392" w:type="dxa"/>
            <w:tcBorders>
              <w:top w:val="single" w:sz="16" w:space="0" w:color="000000"/>
              <w:bottom w:val="nil"/>
            </w:tcBorders>
            <w:shd w:val="clear" w:color="auto" w:fill="FFFFFF"/>
            <w:vAlign w:val="center"/>
          </w:tcPr>
          <w:p w14:paraId="4B0959BE"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52.725</w:t>
            </w:r>
          </w:p>
        </w:tc>
        <w:tc>
          <w:tcPr>
            <w:tcW w:w="1362" w:type="dxa"/>
            <w:tcBorders>
              <w:top w:val="single" w:sz="16" w:space="0" w:color="000000"/>
              <w:bottom w:val="nil"/>
            </w:tcBorders>
            <w:shd w:val="clear" w:color="auto" w:fill="FFFFFF"/>
            <w:vAlign w:val="center"/>
          </w:tcPr>
          <w:p w14:paraId="40C4A7CA"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52.725</w:t>
            </w:r>
          </w:p>
        </w:tc>
        <w:tc>
          <w:tcPr>
            <w:tcW w:w="1131" w:type="dxa"/>
            <w:tcBorders>
              <w:top w:val="single" w:sz="16" w:space="0" w:color="000000"/>
              <w:bottom w:val="nil"/>
            </w:tcBorders>
            <w:shd w:val="clear" w:color="auto" w:fill="FFFFFF"/>
            <w:vAlign w:val="center"/>
          </w:tcPr>
          <w:p w14:paraId="5365BB16"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10.545</w:t>
            </w:r>
          </w:p>
        </w:tc>
        <w:tc>
          <w:tcPr>
            <w:tcW w:w="1392" w:type="dxa"/>
            <w:tcBorders>
              <w:top w:val="single" w:sz="16" w:space="0" w:color="000000"/>
              <w:bottom w:val="nil"/>
            </w:tcBorders>
            <w:shd w:val="clear" w:color="auto" w:fill="FFFFFF"/>
            <w:vAlign w:val="center"/>
          </w:tcPr>
          <w:p w14:paraId="00C71882"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52.725</w:t>
            </w:r>
          </w:p>
        </w:tc>
        <w:tc>
          <w:tcPr>
            <w:tcW w:w="1171" w:type="dxa"/>
            <w:tcBorders>
              <w:top w:val="single" w:sz="16" w:space="0" w:color="000000"/>
              <w:bottom w:val="nil"/>
              <w:right w:val="single" w:sz="16" w:space="0" w:color="000000"/>
            </w:tcBorders>
            <w:shd w:val="clear" w:color="auto" w:fill="FFFFFF"/>
            <w:vAlign w:val="center"/>
          </w:tcPr>
          <w:p w14:paraId="7103DAB6"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52.725</w:t>
            </w:r>
          </w:p>
        </w:tc>
      </w:tr>
      <w:tr w:rsidR="00137B0F" w:rsidRPr="00582200" w14:paraId="70CB14A8"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2B81713D"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2</w:t>
            </w:r>
          </w:p>
        </w:tc>
        <w:tc>
          <w:tcPr>
            <w:tcW w:w="968" w:type="dxa"/>
            <w:tcBorders>
              <w:top w:val="nil"/>
              <w:left w:val="single" w:sz="16" w:space="0" w:color="000000"/>
              <w:bottom w:val="nil"/>
            </w:tcBorders>
            <w:shd w:val="clear" w:color="auto" w:fill="FFFFFF"/>
            <w:vAlign w:val="center"/>
          </w:tcPr>
          <w:p w14:paraId="1FE1E8C2"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1.343</w:t>
            </w:r>
          </w:p>
        </w:tc>
        <w:tc>
          <w:tcPr>
            <w:tcW w:w="1392" w:type="dxa"/>
            <w:tcBorders>
              <w:top w:val="nil"/>
              <w:bottom w:val="nil"/>
            </w:tcBorders>
            <w:shd w:val="clear" w:color="auto" w:fill="FFFFFF"/>
            <w:vAlign w:val="center"/>
          </w:tcPr>
          <w:p w14:paraId="38AB2BC6"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6.715</w:t>
            </w:r>
          </w:p>
        </w:tc>
        <w:tc>
          <w:tcPr>
            <w:tcW w:w="1362" w:type="dxa"/>
            <w:tcBorders>
              <w:top w:val="nil"/>
              <w:bottom w:val="nil"/>
            </w:tcBorders>
            <w:shd w:val="clear" w:color="auto" w:fill="FFFFFF"/>
            <w:vAlign w:val="center"/>
          </w:tcPr>
          <w:p w14:paraId="19BB27D8"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59.440</w:t>
            </w:r>
          </w:p>
        </w:tc>
        <w:tc>
          <w:tcPr>
            <w:tcW w:w="1131" w:type="dxa"/>
            <w:tcBorders>
              <w:top w:val="nil"/>
              <w:bottom w:val="nil"/>
            </w:tcBorders>
            <w:shd w:val="clear" w:color="auto" w:fill="FFFFFF"/>
            <w:vAlign w:val="center"/>
          </w:tcPr>
          <w:p w14:paraId="3BF445F0"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1.343</w:t>
            </w:r>
          </w:p>
        </w:tc>
        <w:tc>
          <w:tcPr>
            <w:tcW w:w="1392" w:type="dxa"/>
            <w:tcBorders>
              <w:top w:val="nil"/>
              <w:bottom w:val="nil"/>
            </w:tcBorders>
            <w:shd w:val="clear" w:color="auto" w:fill="FFFFFF"/>
            <w:vAlign w:val="center"/>
          </w:tcPr>
          <w:p w14:paraId="252BD212"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6.715</w:t>
            </w:r>
          </w:p>
        </w:tc>
        <w:tc>
          <w:tcPr>
            <w:tcW w:w="1171" w:type="dxa"/>
            <w:tcBorders>
              <w:top w:val="nil"/>
              <w:bottom w:val="nil"/>
              <w:right w:val="single" w:sz="16" w:space="0" w:color="000000"/>
            </w:tcBorders>
            <w:shd w:val="clear" w:color="auto" w:fill="FFFFFF"/>
            <w:vAlign w:val="center"/>
          </w:tcPr>
          <w:p w14:paraId="1D26B3C3"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59.440</w:t>
            </w:r>
          </w:p>
        </w:tc>
      </w:tr>
      <w:tr w:rsidR="00137B0F" w:rsidRPr="00582200" w14:paraId="55B3568E"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39E4628C"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3</w:t>
            </w:r>
          </w:p>
        </w:tc>
        <w:tc>
          <w:tcPr>
            <w:tcW w:w="968" w:type="dxa"/>
            <w:tcBorders>
              <w:top w:val="nil"/>
              <w:left w:val="single" w:sz="16" w:space="0" w:color="000000"/>
              <w:bottom w:val="nil"/>
            </w:tcBorders>
            <w:shd w:val="clear" w:color="auto" w:fill="FFFFFF"/>
            <w:vAlign w:val="center"/>
          </w:tcPr>
          <w:p w14:paraId="09A575E5"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1.122</w:t>
            </w:r>
          </w:p>
        </w:tc>
        <w:tc>
          <w:tcPr>
            <w:tcW w:w="1392" w:type="dxa"/>
            <w:tcBorders>
              <w:top w:val="nil"/>
              <w:bottom w:val="nil"/>
            </w:tcBorders>
            <w:shd w:val="clear" w:color="auto" w:fill="FFFFFF"/>
            <w:vAlign w:val="center"/>
          </w:tcPr>
          <w:p w14:paraId="2BA88E49"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5.609</w:t>
            </w:r>
          </w:p>
        </w:tc>
        <w:tc>
          <w:tcPr>
            <w:tcW w:w="1362" w:type="dxa"/>
            <w:tcBorders>
              <w:top w:val="nil"/>
              <w:bottom w:val="nil"/>
            </w:tcBorders>
            <w:shd w:val="clear" w:color="auto" w:fill="FFFFFF"/>
            <w:vAlign w:val="center"/>
          </w:tcPr>
          <w:p w14:paraId="7C6753EB"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65.049</w:t>
            </w:r>
          </w:p>
        </w:tc>
        <w:tc>
          <w:tcPr>
            <w:tcW w:w="1131" w:type="dxa"/>
            <w:tcBorders>
              <w:top w:val="nil"/>
              <w:bottom w:val="nil"/>
            </w:tcBorders>
            <w:shd w:val="clear" w:color="auto" w:fill="FFFFFF"/>
            <w:vAlign w:val="center"/>
          </w:tcPr>
          <w:p w14:paraId="230B5090"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1.122</w:t>
            </w:r>
          </w:p>
        </w:tc>
        <w:tc>
          <w:tcPr>
            <w:tcW w:w="1392" w:type="dxa"/>
            <w:tcBorders>
              <w:top w:val="nil"/>
              <w:bottom w:val="nil"/>
            </w:tcBorders>
            <w:shd w:val="clear" w:color="auto" w:fill="FFFFFF"/>
            <w:vAlign w:val="center"/>
          </w:tcPr>
          <w:p w14:paraId="041E7743"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5.609</w:t>
            </w:r>
          </w:p>
        </w:tc>
        <w:tc>
          <w:tcPr>
            <w:tcW w:w="1171" w:type="dxa"/>
            <w:tcBorders>
              <w:top w:val="nil"/>
              <w:bottom w:val="nil"/>
              <w:right w:val="single" w:sz="16" w:space="0" w:color="000000"/>
            </w:tcBorders>
            <w:shd w:val="clear" w:color="auto" w:fill="FFFFFF"/>
            <w:vAlign w:val="center"/>
          </w:tcPr>
          <w:p w14:paraId="1FD1FBBD"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65.049</w:t>
            </w:r>
          </w:p>
        </w:tc>
      </w:tr>
      <w:tr w:rsidR="00137B0F" w:rsidRPr="00582200" w14:paraId="309AF124"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5C0C57B5"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4</w:t>
            </w:r>
          </w:p>
        </w:tc>
        <w:tc>
          <w:tcPr>
            <w:tcW w:w="968" w:type="dxa"/>
            <w:tcBorders>
              <w:top w:val="nil"/>
              <w:left w:val="single" w:sz="16" w:space="0" w:color="000000"/>
              <w:bottom w:val="nil"/>
            </w:tcBorders>
            <w:shd w:val="clear" w:color="auto" w:fill="FFFFFF"/>
            <w:vAlign w:val="center"/>
          </w:tcPr>
          <w:p w14:paraId="608D9797"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.961</w:t>
            </w:r>
          </w:p>
        </w:tc>
        <w:tc>
          <w:tcPr>
            <w:tcW w:w="1392" w:type="dxa"/>
            <w:tcBorders>
              <w:top w:val="nil"/>
              <w:bottom w:val="nil"/>
            </w:tcBorders>
            <w:shd w:val="clear" w:color="auto" w:fill="FFFFFF"/>
            <w:vAlign w:val="center"/>
          </w:tcPr>
          <w:p w14:paraId="32FD57B8"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4.803</w:t>
            </w:r>
          </w:p>
        </w:tc>
        <w:tc>
          <w:tcPr>
            <w:tcW w:w="1362" w:type="dxa"/>
            <w:tcBorders>
              <w:top w:val="nil"/>
              <w:bottom w:val="nil"/>
            </w:tcBorders>
            <w:shd w:val="clear" w:color="auto" w:fill="FFFFFF"/>
            <w:vAlign w:val="center"/>
          </w:tcPr>
          <w:p w14:paraId="3C1AFBD8"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69.852</w:t>
            </w:r>
          </w:p>
        </w:tc>
        <w:tc>
          <w:tcPr>
            <w:tcW w:w="1131" w:type="dxa"/>
            <w:tcBorders>
              <w:top w:val="nil"/>
              <w:bottom w:val="nil"/>
            </w:tcBorders>
            <w:shd w:val="clear" w:color="auto" w:fill="FFFFFF"/>
            <w:vAlign w:val="center"/>
          </w:tcPr>
          <w:p w14:paraId="723C6AAD"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12D56D8E"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20D89A0F"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03CBBDC4"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4321B4B1"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5</w:t>
            </w:r>
          </w:p>
        </w:tc>
        <w:tc>
          <w:tcPr>
            <w:tcW w:w="968" w:type="dxa"/>
            <w:tcBorders>
              <w:top w:val="nil"/>
              <w:left w:val="single" w:sz="16" w:space="0" w:color="000000"/>
              <w:bottom w:val="nil"/>
            </w:tcBorders>
            <w:shd w:val="clear" w:color="auto" w:fill="FFFFFF"/>
            <w:vAlign w:val="center"/>
          </w:tcPr>
          <w:p w14:paraId="7F1DB021"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.786</w:t>
            </w:r>
          </w:p>
        </w:tc>
        <w:tc>
          <w:tcPr>
            <w:tcW w:w="1392" w:type="dxa"/>
            <w:tcBorders>
              <w:top w:val="nil"/>
              <w:bottom w:val="nil"/>
            </w:tcBorders>
            <w:shd w:val="clear" w:color="auto" w:fill="FFFFFF"/>
            <w:vAlign w:val="center"/>
          </w:tcPr>
          <w:p w14:paraId="30FAED48"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3.929</w:t>
            </w:r>
          </w:p>
        </w:tc>
        <w:tc>
          <w:tcPr>
            <w:tcW w:w="1362" w:type="dxa"/>
            <w:tcBorders>
              <w:top w:val="nil"/>
              <w:bottom w:val="nil"/>
            </w:tcBorders>
            <w:shd w:val="clear" w:color="auto" w:fill="FFFFFF"/>
            <w:vAlign w:val="center"/>
          </w:tcPr>
          <w:p w14:paraId="256DB069"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73.781</w:t>
            </w:r>
          </w:p>
        </w:tc>
        <w:tc>
          <w:tcPr>
            <w:tcW w:w="1131" w:type="dxa"/>
            <w:tcBorders>
              <w:top w:val="nil"/>
              <w:bottom w:val="nil"/>
            </w:tcBorders>
            <w:shd w:val="clear" w:color="auto" w:fill="FFFFFF"/>
            <w:vAlign w:val="center"/>
          </w:tcPr>
          <w:p w14:paraId="7C156A08"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5C91B675"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5D118297"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03AE9FF4"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3A3BB2B0"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6</w:t>
            </w:r>
          </w:p>
        </w:tc>
        <w:tc>
          <w:tcPr>
            <w:tcW w:w="968" w:type="dxa"/>
            <w:tcBorders>
              <w:top w:val="nil"/>
              <w:left w:val="single" w:sz="16" w:space="0" w:color="000000"/>
              <w:bottom w:val="nil"/>
            </w:tcBorders>
            <w:shd w:val="clear" w:color="auto" w:fill="FFFFFF"/>
            <w:vAlign w:val="center"/>
          </w:tcPr>
          <w:p w14:paraId="1F42E367"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.696</w:t>
            </w:r>
          </w:p>
        </w:tc>
        <w:tc>
          <w:tcPr>
            <w:tcW w:w="1392" w:type="dxa"/>
            <w:tcBorders>
              <w:top w:val="nil"/>
              <w:bottom w:val="nil"/>
            </w:tcBorders>
            <w:shd w:val="clear" w:color="auto" w:fill="FFFFFF"/>
            <w:vAlign w:val="center"/>
          </w:tcPr>
          <w:p w14:paraId="641ABB9C"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3.479</w:t>
            </w:r>
          </w:p>
        </w:tc>
        <w:tc>
          <w:tcPr>
            <w:tcW w:w="1362" w:type="dxa"/>
            <w:tcBorders>
              <w:top w:val="nil"/>
              <w:bottom w:val="nil"/>
            </w:tcBorders>
            <w:shd w:val="clear" w:color="auto" w:fill="FFFFFF"/>
            <w:vAlign w:val="center"/>
          </w:tcPr>
          <w:p w14:paraId="709C3DAA"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77.260</w:t>
            </w:r>
          </w:p>
        </w:tc>
        <w:tc>
          <w:tcPr>
            <w:tcW w:w="1131" w:type="dxa"/>
            <w:tcBorders>
              <w:top w:val="nil"/>
              <w:bottom w:val="nil"/>
            </w:tcBorders>
            <w:shd w:val="clear" w:color="auto" w:fill="FFFFFF"/>
            <w:vAlign w:val="center"/>
          </w:tcPr>
          <w:p w14:paraId="34F69579"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72D12064"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5BD48992"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46C5252F"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5D3AF50F"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7</w:t>
            </w:r>
          </w:p>
        </w:tc>
        <w:tc>
          <w:tcPr>
            <w:tcW w:w="968" w:type="dxa"/>
            <w:tcBorders>
              <w:top w:val="nil"/>
              <w:left w:val="single" w:sz="16" w:space="0" w:color="000000"/>
              <w:bottom w:val="nil"/>
            </w:tcBorders>
            <w:shd w:val="clear" w:color="auto" w:fill="FFFFFF"/>
            <w:vAlign w:val="center"/>
          </w:tcPr>
          <w:p w14:paraId="39D81ABD"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.644</w:t>
            </w:r>
          </w:p>
        </w:tc>
        <w:tc>
          <w:tcPr>
            <w:tcW w:w="1392" w:type="dxa"/>
            <w:tcBorders>
              <w:top w:val="nil"/>
              <w:bottom w:val="nil"/>
            </w:tcBorders>
            <w:shd w:val="clear" w:color="auto" w:fill="FFFFFF"/>
            <w:vAlign w:val="center"/>
          </w:tcPr>
          <w:p w14:paraId="328699C8"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3.221</w:t>
            </w:r>
          </w:p>
        </w:tc>
        <w:tc>
          <w:tcPr>
            <w:tcW w:w="1362" w:type="dxa"/>
            <w:tcBorders>
              <w:top w:val="nil"/>
              <w:bottom w:val="nil"/>
            </w:tcBorders>
            <w:shd w:val="clear" w:color="auto" w:fill="FFFFFF"/>
            <w:vAlign w:val="center"/>
          </w:tcPr>
          <w:p w14:paraId="70C64E51"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80.481</w:t>
            </w:r>
          </w:p>
        </w:tc>
        <w:tc>
          <w:tcPr>
            <w:tcW w:w="1131" w:type="dxa"/>
            <w:tcBorders>
              <w:top w:val="nil"/>
              <w:bottom w:val="nil"/>
            </w:tcBorders>
            <w:shd w:val="clear" w:color="auto" w:fill="FFFFFF"/>
            <w:vAlign w:val="center"/>
          </w:tcPr>
          <w:p w14:paraId="02B77044"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525A977A"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7871F4B1"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6FFC9BE8"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143051B8"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8</w:t>
            </w:r>
          </w:p>
        </w:tc>
        <w:tc>
          <w:tcPr>
            <w:tcW w:w="968" w:type="dxa"/>
            <w:tcBorders>
              <w:top w:val="nil"/>
              <w:left w:val="single" w:sz="16" w:space="0" w:color="000000"/>
              <w:bottom w:val="nil"/>
            </w:tcBorders>
            <w:shd w:val="clear" w:color="auto" w:fill="FFFFFF"/>
            <w:vAlign w:val="center"/>
          </w:tcPr>
          <w:p w14:paraId="1CBBCAED"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.565</w:t>
            </w:r>
          </w:p>
        </w:tc>
        <w:tc>
          <w:tcPr>
            <w:tcW w:w="1392" w:type="dxa"/>
            <w:tcBorders>
              <w:top w:val="nil"/>
              <w:bottom w:val="nil"/>
            </w:tcBorders>
            <w:shd w:val="clear" w:color="auto" w:fill="FFFFFF"/>
            <w:vAlign w:val="center"/>
          </w:tcPr>
          <w:p w14:paraId="6B6499B9"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2.823</w:t>
            </w:r>
          </w:p>
        </w:tc>
        <w:tc>
          <w:tcPr>
            <w:tcW w:w="1362" w:type="dxa"/>
            <w:tcBorders>
              <w:top w:val="nil"/>
              <w:bottom w:val="nil"/>
            </w:tcBorders>
            <w:shd w:val="clear" w:color="auto" w:fill="FFFFFF"/>
            <w:vAlign w:val="center"/>
          </w:tcPr>
          <w:p w14:paraId="0D6A2DD2"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83.304</w:t>
            </w:r>
          </w:p>
        </w:tc>
        <w:tc>
          <w:tcPr>
            <w:tcW w:w="1131" w:type="dxa"/>
            <w:tcBorders>
              <w:top w:val="nil"/>
              <w:bottom w:val="nil"/>
            </w:tcBorders>
            <w:shd w:val="clear" w:color="auto" w:fill="FFFFFF"/>
            <w:vAlign w:val="center"/>
          </w:tcPr>
          <w:p w14:paraId="3D6C7C13"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05E0B3E1"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18618373"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74B216E6"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48F5F7E9"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9</w:t>
            </w:r>
          </w:p>
        </w:tc>
        <w:tc>
          <w:tcPr>
            <w:tcW w:w="968" w:type="dxa"/>
            <w:tcBorders>
              <w:top w:val="nil"/>
              <w:left w:val="single" w:sz="16" w:space="0" w:color="000000"/>
              <w:bottom w:val="nil"/>
            </w:tcBorders>
            <w:shd w:val="clear" w:color="auto" w:fill="FFFFFF"/>
            <w:vAlign w:val="center"/>
          </w:tcPr>
          <w:p w14:paraId="1F347D63"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.511</w:t>
            </w:r>
          </w:p>
        </w:tc>
        <w:tc>
          <w:tcPr>
            <w:tcW w:w="1392" w:type="dxa"/>
            <w:tcBorders>
              <w:top w:val="nil"/>
              <w:bottom w:val="nil"/>
            </w:tcBorders>
            <w:shd w:val="clear" w:color="auto" w:fill="FFFFFF"/>
            <w:vAlign w:val="center"/>
          </w:tcPr>
          <w:p w14:paraId="3BBB0D57"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2.557</w:t>
            </w:r>
          </w:p>
        </w:tc>
        <w:tc>
          <w:tcPr>
            <w:tcW w:w="1362" w:type="dxa"/>
            <w:tcBorders>
              <w:top w:val="nil"/>
              <w:bottom w:val="nil"/>
            </w:tcBorders>
            <w:shd w:val="clear" w:color="auto" w:fill="FFFFFF"/>
            <w:vAlign w:val="center"/>
          </w:tcPr>
          <w:p w14:paraId="11FB9C4C"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85.861</w:t>
            </w:r>
          </w:p>
        </w:tc>
        <w:tc>
          <w:tcPr>
            <w:tcW w:w="1131" w:type="dxa"/>
            <w:tcBorders>
              <w:top w:val="nil"/>
              <w:bottom w:val="nil"/>
            </w:tcBorders>
            <w:shd w:val="clear" w:color="auto" w:fill="FFFFFF"/>
            <w:vAlign w:val="center"/>
          </w:tcPr>
          <w:p w14:paraId="7CA7D357"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4D63B89A"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05ADB980"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037C04BC"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6F25669E"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10</w:t>
            </w:r>
          </w:p>
        </w:tc>
        <w:tc>
          <w:tcPr>
            <w:tcW w:w="968" w:type="dxa"/>
            <w:tcBorders>
              <w:top w:val="nil"/>
              <w:left w:val="single" w:sz="16" w:space="0" w:color="000000"/>
              <w:bottom w:val="nil"/>
            </w:tcBorders>
            <w:shd w:val="clear" w:color="auto" w:fill="FFFFFF"/>
            <w:vAlign w:val="center"/>
          </w:tcPr>
          <w:p w14:paraId="08DEBF5A"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.416</w:t>
            </w:r>
          </w:p>
        </w:tc>
        <w:tc>
          <w:tcPr>
            <w:tcW w:w="1392" w:type="dxa"/>
            <w:tcBorders>
              <w:top w:val="nil"/>
              <w:bottom w:val="nil"/>
            </w:tcBorders>
            <w:shd w:val="clear" w:color="auto" w:fill="FFFFFF"/>
            <w:vAlign w:val="center"/>
          </w:tcPr>
          <w:p w14:paraId="645F8E39"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2.079</w:t>
            </w:r>
          </w:p>
        </w:tc>
        <w:tc>
          <w:tcPr>
            <w:tcW w:w="1362" w:type="dxa"/>
            <w:tcBorders>
              <w:top w:val="nil"/>
              <w:bottom w:val="nil"/>
            </w:tcBorders>
            <w:shd w:val="clear" w:color="auto" w:fill="FFFFFF"/>
            <w:vAlign w:val="center"/>
          </w:tcPr>
          <w:p w14:paraId="40E01931"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87.940</w:t>
            </w:r>
          </w:p>
        </w:tc>
        <w:tc>
          <w:tcPr>
            <w:tcW w:w="1131" w:type="dxa"/>
            <w:tcBorders>
              <w:top w:val="nil"/>
              <w:bottom w:val="nil"/>
            </w:tcBorders>
            <w:shd w:val="clear" w:color="auto" w:fill="FFFFFF"/>
            <w:vAlign w:val="center"/>
          </w:tcPr>
          <w:p w14:paraId="703349A2"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7A9CCE13"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6C9AA36A"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7482D56A"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47CE5113"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11</w:t>
            </w:r>
          </w:p>
        </w:tc>
        <w:tc>
          <w:tcPr>
            <w:tcW w:w="968" w:type="dxa"/>
            <w:tcBorders>
              <w:top w:val="nil"/>
              <w:left w:val="single" w:sz="16" w:space="0" w:color="000000"/>
              <w:bottom w:val="nil"/>
            </w:tcBorders>
            <w:shd w:val="clear" w:color="auto" w:fill="FFFFFF"/>
            <w:vAlign w:val="center"/>
          </w:tcPr>
          <w:p w14:paraId="51092942"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.397</w:t>
            </w:r>
          </w:p>
        </w:tc>
        <w:tc>
          <w:tcPr>
            <w:tcW w:w="1392" w:type="dxa"/>
            <w:tcBorders>
              <w:top w:val="nil"/>
              <w:bottom w:val="nil"/>
            </w:tcBorders>
            <w:shd w:val="clear" w:color="auto" w:fill="FFFFFF"/>
            <w:vAlign w:val="center"/>
          </w:tcPr>
          <w:p w14:paraId="67809D45"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1.984</w:t>
            </w:r>
          </w:p>
        </w:tc>
        <w:tc>
          <w:tcPr>
            <w:tcW w:w="1362" w:type="dxa"/>
            <w:tcBorders>
              <w:top w:val="nil"/>
              <w:bottom w:val="nil"/>
            </w:tcBorders>
            <w:shd w:val="clear" w:color="auto" w:fill="FFFFFF"/>
            <w:vAlign w:val="center"/>
          </w:tcPr>
          <w:p w14:paraId="4C1E472B"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89.924</w:t>
            </w:r>
          </w:p>
        </w:tc>
        <w:tc>
          <w:tcPr>
            <w:tcW w:w="1131" w:type="dxa"/>
            <w:tcBorders>
              <w:top w:val="nil"/>
              <w:bottom w:val="nil"/>
            </w:tcBorders>
            <w:shd w:val="clear" w:color="auto" w:fill="FFFFFF"/>
            <w:vAlign w:val="center"/>
          </w:tcPr>
          <w:p w14:paraId="409D1410"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651782AD"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51FD1105"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322D5A9C"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5A42333A"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12</w:t>
            </w:r>
          </w:p>
        </w:tc>
        <w:tc>
          <w:tcPr>
            <w:tcW w:w="968" w:type="dxa"/>
            <w:tcBorders>
              <w:top w:val="nil"/>
              <w:left w:val="single" w:sz="16" w:space="0" w:color="000000"/>
              <w:bottom w:val="nil"/>
            </w:tcBorders>
            <w:shd w:val="clear" w:color="auto" w:fill="FFFFFF"/>
            <w:vAlign w:val="center"/>
          </w:tcPr>
          <w:p w14:paraId="38B40B51"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.342</w:t>
            </w:r>
          </w:p>
        </w:tc>
        <w:tc>
          <w:tcPr>
            <w:tcW w:w="1392" w:type="dxa"/>
            <w:tcBorders>
              <w:top w:val="nil"/>
              <w:bottom w:val="nil"/>
            </w:tcBorders>
            <w:shd w:val="clear" w:color="auto" w:fill="FFFFFF"/>
            <w:vAlign w:val="center"/>
          </w:tcPr>
          <w:p w14:paraId="6E22F4B2"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1.709</w:t>
            </w:r>
          </w:p>
        </w:tc>
        <w:tc>
          <w:tcPr>
            <w:tcW w:w="1362" w:type="dxa"/>
            <w:tcBorders>
              <w:top w:val="nil"/>
              <w:bottom w:val="nil"/>
            </w:tcBorders>
            <w:shd w:val="clear" w:color="auto" w:fill="FFFFFF"/>
            <w:vAlign w:val="center"/>
          </w:tcPr>
          <w:p w14:paraId="4E123B70"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91.633</w:t>
            </w:r>
          </w:p>
        </w:tc>
        <w:tc>
          <w:tcPr>
            <w:tcW w:w="1131" w:type="dxa"/>
            <w:tcBorders>
              <w:top w:val="nil"/>
              <w:bottom w:val="nil"/>
            </w:tcBorders>
            <w:shd w:val="clear" w:color="auto" w:fill="FFFFFF"/>
            <w:vAlign w:val="center"/>
          </w:tcPr>
          <w:p w14:paraId="2C7F0B62"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20E48452"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79B50FD5"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3C11BEB1"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10F9F2CF"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13</w:t>
            </w:r>
          </w:p>
        </w:tc>
        <w:tc>
          <w:tcPr>
            <w:tcW w:w="968" w:type="dxa"/>
            <w:tcBorders>
              <w:top w:val="nil"/>
              <w:left w:val="single" w:sz="16" w:space="0" w:color="000000"/>
              <w:bottom w:val="nil"/>
            </w:tcBorders>
            <w:shd w:val="clear" w:color="auto" w:fill="FFFFFF"/>
            <w:vAlign w:val="center"/>
          </w:tcPr>
          <w:p w14:paraId="5FE4A466"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.311</w:t>
            </w:r>
          </w:p>
        </w:tc>
        <w:tc>
          <w:tcPr>
            <w:tcW w:w="1392" w:type="dxa"/>
            <w:tcBorders>
              <w:top w:val="nil"/>
              <w:bottom w:val="nil"/>
            </w:tcBorders>
            <w:shd w:val="clear" w:color="auto" w:fill="FFFFFF"/>
            <w:vAlign w:val="center"/>
          </w:tcPr>
          <w:p w14:paraId="6183B58B"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1.557</w:t>
            </w:r>
          </w:p>
        </w:tc>
        <w:tc>
          <w:tcPr>
            <w:tcW w:w="1362" w:type="dxa"/>
            <w:tcBorders>
              <w:top w:val="nil"/>
              <w:bottom w:val="nil"/>
            </w:tcBorders>
            <w:shd w:val="clear" w:color="auto" w:fill="FFFFFF"/>
            <w:vAlign w:val="center"/>
          </w:tcPr>
          <w:p w14:paraId="14D88332"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93.190</w:t>
            </w:r>
          </w:p>
        </w:tc>
        <w:tc>
          <w:tcPr>
            <w:tcW w:w="1131" w:type="dxa"/>
            <w:tcBorders>
              <w:top w:val="nil"/>
              <w:bottom w:val="nil"/>
            </w:tcBorders>
            <w:shd w:val="clear" w:color="auto" w:fill="FFFFFF"/>
            <w:vAlign w:val="center"/>
          </w:tcPr>
          <w:p w14:paraId="512DC5A4"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6404126C"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0B439E04"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0A255421"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0FCD71D5"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14</w:t>
            </w:r>
          </w:p>
        </w:tc>
        <w:tc>
          <w:tcPr>
            <w:tcW w:w="968" w:type="dxa"/>
            <w:tcBorders>
              <w:top w:val="nil"/>
              <w:left w:val="single" w:sz="16" w:space="0" w:color="000000"/>
              <w:bottom w:val="nil"/>
            </w:tcBorders>
            <w:shd w:val="clear" w:color="auto" w:fill="FFFFFF"/>
            <w:vAlign w:val="center"/>
          </w:tcPr>
          <w:p w14:paraId="5794B093"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.260</w:t>
            </w:r>
          </w:p>
        </w:tc>
        <w:tc>
          <w:tcPr>
            <w:tcW w:w="1392" w:type="dxa"/>
            <w:tcBorders>
              <w:top w:val="nil"/>
              <w:bottom w:val="nil"/>
            </w:tcBorders>
            <w:shd w:val="clear" w:color="auto" w:fill="FFFFFF"/>
            <w:vAlign w:val="center"/>
          </w:tcPr>
          <w:p w14:paraId="7E46DA14"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1.300</w:t>
            </w:r>
          </w:p>
        </w:tc>
        <w:tc>
          <w:tcPr>
            <w:tcW w:w="1362" w:type="dxa"/>
            <w:tcBorders>
              <w:top w:val="nil"/>
              <w:bottom w:val="nil"/>
            </w:tcBorders>
            <w:shd w:val="clear" w:color="auto" w:fill="FFFFFF"/>
            <w:vAlign w:val="center"/>
          </w:tcPr>
          <w:p w14:paraId="7F2939EE"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94.490</w:t>
            </w:r>
          </w:p>
        </w:tc>
        <w:tc>
          <w:tcPr>
            <w:tcW w:w="1131" w:type="dxa"/>
            <w:tcBorders>
              <w:top w:val="nil"/>
              <w:bottom w:val="nil"/>
            </w:tcBorders>
            <w:shd w:val="clear" w:color="auto" w:fill="FFFFFF"/>
            <w:vAlign w:val="center"/>
          </w:tcPr>
          <w:p w14:paraId="6BA06BA6"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044EB9D1"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5B3B39CD"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04859D3F"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5519239E"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15</w:t>
            </w:r>
          </w:p>
        </w:tc>
        <w:tc>
          <w:tcPr>
            <w:tcW w:w="968" w:type="dxa"/>
            <w:tcBorders>
              <w:top w:val="nil"/>
              <w:left w:val="single" w:sz="16" w:space="0" w:color="000000"/>
              <w:bottom w:val="nil"/>
            </w:tcBorders>
            <w:shd w:val="clear" w:color="auto" w:fill="FFFFFF"/>
            <w:vAlign w:val="center"/>
          </w:tcPr>
          <w:p w14:paraId="407855FD"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.251</w:t>
            </w:r>
          </w:p>
        </w:tc>
        <w:tc>
          <w:tcPr>
            <w:tcW w:w="1392" w:type="dxa"/>
            <w:tcBorders>
              <w:top w:val="nil"/>
              <w:bottom w:val="nil"/>
            </w:tcBorders>
            <w:shd w:val="clear" w:color="auto" w:fill="FFFFFF"/>
            <w:vAlign w:val="center"/>
          </w:tcPr>
          <w:p w14:paraId="6387B2D5"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1.257</w:t>
            </w:r>
          </w:p>
        </w:tc>
        <w:tc>
          <w:tcPr>
            <w:tcW w:w="1362" w:type="dxa"/>
            <w:tcBorders>
              <w:top w:val="nil"/>
              <w:bottom w:val="nil"/>
            </w:tcBorders>
            <w:shd w:val="clear" w:color="auto" w:fill="FFFFFF"/>
            <w:vAlign w:val="center"/>
          </w:tcPr>
          <w:p w14:paraId="67E4931B"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95.747</w:t>
            </w:r>
          </w:p>
        </w:tc>
        <w:tc>
          <w:tcPr>
            <w:tcW w:w="1131" w:type="dxa"/>
            <w:tcBorders>
              <w:top w:val="nil"/>
              <w:bottom w:val="nil"/>
            </w:tcBorders>
            <w:shd w:val="clear" w:color="auto" w:fill="FFFFFF"/>
            <w:vAlign w:val="center"/>
          </w:tcPr>
          <w:p w14:paraId="46EC6B12"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76D45978"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4B7938D2"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53B535F3"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14EE1BE8"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16</w:t>
            </w:r>
          </w:p>
        </w:tc>
        <w:tc>
          <w:tcPr>
            <w:tcW w:w="968" w:type="dxa"/>
            <w:tcBorders>
              <w:top w:val="nil"/>
              <w:left w:val="single" w:sz="16" w:space="0" w:color="000000"/>
              <w:bottom w:val="nil"/>
            </w:tcBorders>
            <w:shd w:val="clear" w:color="auto" w:fill="FFFFFF"/>
            <w:vAlign w:val="center"/>
          </w:tcPr>
          <w:p w14:paraId="0DB15898"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.220</w:t>
            </w:r>
          </w:p>
        </w:tc>
        <w:tc>
          <w:tcPr>
            <w:tcW w:w="1392" w:type="dxa"/>
            <w:tcBorders>
              <w:top w:val="nil"/>
              <w:bottom w:val="nil"/>
            </w:tcBorders>
            <w:shd w:val="clear" w:color="auto" w:fill="FFFFFF"/>
            <w:vAlign w:val="center"/>
          </w:tcPr>
          <w:p w14:paraId="67A0735E"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1.100</w:t>
            </w:r>
          </w:p>
        </w:tc>
        <w:tc>
          <w:tcPr>
            <w:tcW w:w="1362" w:type="dxa"/>
            <w:tcBorders>
              <w:top w:val="nil"/>
              <w:bottom w:val="nil"/>
            </w:tcBorders>
            <w:shd w:val="clear" w:color="auto" w:fill="FFFFFF"/>
            <w:vAlign w:val="center"/>
          </w:tcPr>
          <w:p w14:paraId="1176C72D"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96.847</w:t>
            </w:r>
          </w:p>
        </w:tc>
        <w:tc>
          <w:tcPr>
            <w:tcW w:w="1131" w:type="dxa"/>
            <w:tcBorders>
              <w:top w:val="nil"/>
              <w:bottom w:val="nil"/>
            </w:tcBorders>
            <w:shd w:val="clear" w:color="auto" w:fill="FFFFFF"/>
            <w:vAlign w:val="center"/>
          </w:tcPr>
          <w:p w14:paraId="14C3BDA7"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344F5AE7"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635F2256"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2536D557"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69E39D04"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17</w:t>
            </w:r>
          </w:p>
        </w:tc>
        <w:tc>
          <w:tcPr>
            <w:tcW w:w="968" w:type="dxa"/>
            <w:tcBorders>
              <w:top w:val="nil"/>
              <w:left w:val="single" w:sz="16" w:space="0" w:color="000000"/>
              <w:bottom w:val="nil"/>
            </w:tcBorders>
            <w:shd w:val="clear" w:color="auto" w:fill="FFFFFF"/>
            <w:vAlign w:val="center"/>
          </w:tcPr>
          <w:p w14:paraId="5C0B9850"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.194</w:t>
            </w:r>
          </w:p>
        </w:tc>
        <w:tc>
          <w:tcPr>
            <w:tcW w:w="1392" w:type="dxa"/>
            <w:tcBorders>
              <w:top w:val="nil"/>
              <w:bottom w:val="nil"/>
            </w:tcBorders>
            <w:shd w:val="clear" w:color="auto" w:fill="FFFFFF"/>
            <w:vAlign w:val="center"/>
          </w:tcPr>
          <w:p w14:paraId="43DF2A8D"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.971</w:t>
            </w:r>
          </w:p>
        </w:tc>
        <w:tc>
          <w:tcPr>
            <w:tcW w:w="1362" w:type="dxa"/>
            <w:tcBorders>
              <w:top w:val="nil"/>
              <w:bottom w:val="nil"/>
            </w:tcBorders>
            <w:shd w:val="clear" w:color="auto" w:fill="FFFFFF"/>
            <w:vAlign w:val="center"/>
          </w:tcPr>
          <w:p w14:paraId="637035DE"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97.819</w:t>
            </w:r>
          </w:p>
        </w:tc>
        <w:tc>
          <w:tcPr>
            <w:tcW w:w="1131" w:type="dxa"/>
            <w:tcBorders>
              <w:top w:val="nil"/>
              <w:bottom w:val="nil"/>
            </w:tcBorders>
            <w:shd w:val="clear" w:color="auto" w:fill="FFFFFF"/>
            <w:vAlign w:val="center"/>
          </w:tcPr>
          <w:p w14:paraId="62CF6CE6"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4A9198EF"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4EA4D972"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5768B335"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43A325CD"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18</w:t>
            </w:r>
          </w:p>
        </w:tc>
        <w:tc>
          <w:tcPr>
            <w:tcW w:w="968" w:type="dxa"/>
            <w:tcBorders>
              <w:top w:val="nil"/>
              <w:left w:val="single" w:sz="16" w:space="0" w:color="000000"/>
              <w:bottom w:val="nil"/>
            </w:tcBorders>
            <w:shd w:val="clear" w:color="auto" w:fill="FFFFFF"/>
            <w:vAlign w:val="center"/>
          </w:tcPr>
          <w:p w14:paraId="64EDEFFA"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.163</w:t>
            </w:r>
          </w:p>
        </w:tc>
        <w:tc>
          <w:tcPr>
            <w:tcW w:w="1392" w:type="dxa"/>
            <w:tcBorders>
              <w:top w:val="nil"/>
              <w:bottom w:val="nil"/>
            </w:tcBorders>
            <w:shd w:val="clear" w:color="auto" w:fill="FFFFFF"/>
            <w:vAlign w:val="center"/>
          </w:tcPr>
          <w:p w14:paraId="171C471A"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.817</w:t>
            </w:r>
          </w:p>
        </w:tc>
        <w:tc>
          <w:tcPr>
            <w:tcW w:w="1362" w:type="dxa"/>
            <w:tcBorders>
              <w:top w:val="nil"/>
              <w:bottom w:val="nil"/>
            </w:tcBorders>
            <w:shd w:val="clear" w:color="auto" w:fill="FFFFFF"/>
            <w:vAlign w:val="center"/>
          </w:tcPr>
          <w:p w14:paraId="32E07EE5"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98.636</w:t>
            </w:r>
          </w:p>
        </w:tc>
        <w:tc>
          <w:tcPr>
            <w:tcW w:w="1131" w:type="dxa"/>
            <w:tcBorders>
              <w:top w:val="nil"/>
              <w:bottom w:val="nil"/>
            </w:tcBorders>
            <w:shd w:val="clear" w:color="auto" w:fill="FFFFFF"/>
            <w:vAlign w:val="center"/>
          </w:tcPr>
          <w:p w14:paraId="6970F7D9"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2DE125D0"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31745835"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59F6493F" w14:textId="77777777" w:rsidTr="00977660">
        <w:trPr>
          <w:cantSplit/>
          <w:trHeight w:val="336"/>
        </w:trPr>
        <w:tc>
          <w:tcPr>
            <w:tcW w:w="1231" w:type="dxa"/>
            <w:tcBorders>
              <w:top w:val="nil"/>
              <w:left w:val="single" w:sz="16" w:space="0" w:color="000000"/>
              <w:bottom w:val="nil"/>
              <w:right w:val="single" w:sz="16" w:space="0" w:color="000000"/>
            </w:tcBorders>
            <w:shd w:val="clear" w:color="auto" w:fill="FFFFFF"/>
          </w:tcPr>
          <w:p w14:paraId="66AFDCCE"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19</w:t>
            </w:r>
          </w:p>
        </w:tc>
        <w:tc>
          <w:tcPr>
            <w:tcW w:w="968" w:type="dxa"/>
            <w:tcBorders>
              <w:top w:val="nil"/>
              <w:left w:val="single" w:sz="16" w:space="0" w:color="000000"/>
              <w:bottom w:val="nil"/>
            </w:tcBorders>
            <w:shd w:val="clear" w:color="auto" w:fill="FFFFFF"/>
            <w:vAlign w:val="center"/>
          </w:tcPr>
          <w:p w14:paraId="03B6C1E7"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.149</w:t>
            </w:r>
          </w:p>
        </w:tc>
        <w:tc>
          <w:tcPr>
            <w:tcW w:w="1392" w:type="dxa"/>
            <w:tcBorders>
              <w:top w:val="nil"/>
              <w:bottom w:val="nil"/>
            </w:tcBorders>
            <w:shd w:val="clear" w:color="auto" w:fill="FFFFFF"/>
            <w:vAlign w:val="center"/>
          </w:tcPr>
          <w:p w14:paraId="15396016"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.743</w:t>
            </w:r>
          </w:p>
        </w:tc>
        <w:tc>
          <w:tcPr>
            <w:tcW w:w="1362" w:type="dxa"/>
            <w:tcBorders>
              <w:top w:val="nil"/>
              <w:bottom w:val="nil"/>
            </w:tcBorders>
            <w:shd w:val="clear" w:color="auto" w:fill="FFFFFF"/>
            <w:vAlign w:val="center"/>
          </w:tcPr>
          <w:p w14:paraId="5527E310"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99.379</w:t>
            </w:r>
          </w:p>
        </w:tc>
        <w:tc>
          <w:tcPr>
            <w:tcW w:w="1131" w:type="dxa"/>
            <w:tcBorders>
              <w:top w:val="nil"/>
              <w:bottom w:val="nil"/>
            </w:tcBorders>
            <w:shd w:val="clear" w:color="auto" w:fill="FFFFFF"/>
            <w:vAlign w:val="center"/>
          </w:tcPr>
          <w:p w14:paraId="763ECA0E"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nil"/>
            </w:tcBorders>
            <w:shd w:val="clear" w:color="auto" w:fill="FFFFFF"/>
            <w:vAlign w:val="center"/>
          </w:tcPr>
          <w:p w14:paraId="61DA74D8"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nil"/>
              <w:right w:val="single" w:sz="16" w:space="0" w:color="000000"/>
            </w:tcBorders>
            <w:shd w:val="clear" w:color="auto" w:fill="FFFFFF"/>
            <w:vAlign w:val="center"/>
          </w:tcPr>
          <w:p w14:paraId="14C162C1"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582200" w14:paraId="74D30022" w14:textId="77777777" w:rsidTr="00977660">
        <w:trPr>
          <w:cantSplit/>
          <w:trHeight w:val="336"/>
        </w:trPr>
        <w:tc>
          <w:tcPr>
            <w:tcW w:w="1231" w:type="dxa"/>
            <w:tcBorders>
              <w:top w:val="nil"/>
              <w:left w:val="single" w:sz="16" w:space="0" w:color="000000"/>
              <w:bottom w:val="single" w:sz="16" w:space="0" w:color="000000"/>
              <w:right w:val="single" w:sz="16" w:space="0" w:color="000000"/>
            </w:tcBorders>
            <w:shd w:val="clear" w:color="auto" w:fill="FFFFFF"/>
          </w:tcPr>
          <w:p w14:paraId="5864EC7F"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20</w:t>
            </w:r>
          </w:p>
        </w:tc>
        <w:tc>
          <w:tcPr>
            <w:tcW w:w="968" w:type="dxa"/>
            <w:tcBorders>
              <w:top w:val="nil"/>
              <w:left w:val="single" w:sz="16" w:space="0" w:color="000000"/>
              <w:bottom w:val="single" w:sz="16" w:space="0" w:color="000000"/>
            </w:tcBorders>
            <w:shd w:val="clear" w:color="auto" w:fill="FFFFFF"/>
            <w:vAlign w:val="center"/>
          </w:tcPr>
          <w:p w14:paraId="32D1B295"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.124</w:t>
            </w:r>
          </w:p>
        </w:tc>
        <w:tc>
          <w:tcPr>
            <w:tcW w:w="1392" w:type="dxa"/>
            <w:tcBorders>
              <w:top w:val="nil"/>
              <w:bottom w:val="single" w:sz="16" w:space="0" w:color="000000"/>
            </w:tcBorders>
            <w:shd w:val="clear" w:color="auto" w:fill="FFFFFF"/>
            <w:vAlign w:val="center"/>
          </w:tcPr>
          <w:p w14:paraId="31BCCDEE"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.621</w:t>
            </w:r>
          </w:p>
        </w:tc>
        <w:tc>
          <w:tcPr>
            <w:tcW w:w="1362" w:type="dxa"/>
            <w:tcBorders>
              <w:top w:val="nil"/>
              <w:bottom w:val="single" w:sz="16" w:space="0" w:color="000000"/>
            </w:tcBorders>
            <w:shd w:val="clear" w:color="auto" w:fill="FFFFFF"/>
            <w:vAlign w:val="center"/>
          </w:tcPr>
          <w:p w14:paraId="3334E819" w14:textId="77777777" w:rsidR="00137B0F" w:rsidRPr="00B07056" w:rsidRDefault="00137B0F" w:rsidP="00977660">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B07056">
              <w:rPr>
                <w:rFonts w:eastAsiaTheme="minorEastAsia" w:cs="Arial"/>
                <w:color w:val="000000"/>
                <w:sz w:val="20"/>
                <w:szCs w:val="20"/>
                <w:lang w:val="en-US"/>
              </w:rPr>
              <w:t>100.000</w:t>
            </w:r>
          </w:p>
        </w:tc>
        <w:tc>
          <w:tcPr>
            <w:tcW w:w="1131" w:type="dxa"/>
            <w:tcBorders>
              <w:top w:val="nil"/>
              <w:bottom w:val="single" w:sz="16" w:space="0" w:color="000000"/>
            </w:tcBorders>
            <w:shd w:val="clear" w:color="auto" w:fill="FFFFFF"/>
            <w:vAlign w:val="center"/>
          </w:tcPr>
          <w:p w14:paraId="0FB8C93F"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392" w:type="dxa"/>
            <w:tcBorders>
              <w:top w:val="nil"/>
              <w:bottom w:val="single" w:sz="16" w:space="0" w:color="000000"/>
            </w:tcBorders>
            <w:shd w:val="clear" w:color="auto" w:fill="FFFFFF"/>
            <w:vAlign w:val="center"/>
          </w:tcPr>
          <w:p w14:paraId="3F0D3846"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c>
          <w:tcPr>
            <w:tcW w:w="1171" w:type="dxa"/>
            <w:tcBorders>
              <w:top w:val="nil"/>
              <w:bottom w:val="single" w:sz="16" w:space="0" w:color="000000"/>
              <w:right w:val="single" w:sz="16" w:space="0" w:color="000000"/>
            </w:tcBorders>
            <w:shd w:val="clear" w:color="auto" w:fill="FFFFFF"/>
            <w:vAlign w:val="center"/>
          </w:tcPr>
          <w:p w14:paraId="7934ACB8" w14:textId="77777777" w:rsidR="00137B0F" w:rsidRPr="00B07056" w:rsidRDefault="00137B0F" w:rsidP="00977660">
            <w:pPr>
              <w:widowControl w:val="0"/>
              <w:autoSpaceDE w:val="0"/>
              <w:autoSpaceDN w:val="0"/>
              <w:adjustRightInd w:val="0"/>
              <w:spacing w:before="0" w:after="0" w:line="240" w:lineRule="auto"/>
              <w:jc w:val="right"/>
              <w:rPr>
                <w:rFonts w:ascii="Times New Roman" w:eastAsiaTheme="minorEastAsia" w:hAnsi="Times New Roman"/>
                <w:sz w:val="20"/>
                <w:szCs w:val="20"/>
                <w:lang w:val="en-US"/>
              </w:rPr>
            </w:pPr>
          </w:p>
        </w:tc>
      </w:tr>
      <w:tr w:rsidR="00137B0F" w:rsidRPr="00B07056" w14:paraId="1EDEE922" w14:textId="77777777" w:rsidTr="00977660">
        <w:trPr>
          <w:cantSplit/>
          <w:trHeight w:val="336"/>
        </w:trPr>
        <w:tc>
          <w:tcPr>
            <w:tcW w:w="8647" w:type="dxa"/>
            <w:gridSpan w:val="7"/>
            <w:tcBorders>
              <w:top w:val="nil"/>
              <w:left w:val="nil"/>
              <w:bottom w:val="nil"/>
              <w:right w:val="nil"/>
            </w:tcBorders>
            <w:shd w:val="clear" w:color="auto" w:fill="FFFFFF"/>
          </w:tcPr>
          <w:p w14:paraId="5DB90AC4" w14:textId="77777777" w:rsidR="00137B0F" w:rsidRPr="00B07056" w:rsidRDefault="00137B0F" w:rsidP="00977660">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B07056">
              <w:rPr>
                <w:rFonts w:eastAsiaTheme="minorEastAsia" w:cs="Arial"/>
                <w:color w:val="000000"/>
                <w:sz w:val="20"/>
                <w:szCs w:val="20"/>
                <w:lang w:val="en-US"/>
              </w:rPr>
              <w:t>Extraction Method: Principal Component Analysis.</w:t>
            </w:r>
          </w:p>
        </w:tc>
      </w:tr>
    </w:tbl>
    <w:p w14:paraId="68A26E5A" w14:textId="77777777" w:rsidR="00137B0F" w:rsidRPr="00B07056" w:rsidRDefault="00137B0F" w:rsidP="00137B0F">
      <w:pPr>
        <w:widowControl w:val="0"/>
        <w:autoSpaceDE w:val="0"/>
        <w:autoSpaceDN w:val="0"/>
        <w:adjustRightInd w:val="0"/>
        <w:spacing w:before="0" w:after="0" w:line="400" w:lineRule="atLeast"/>
        <w:rPr>
          <w:rFonts w:ascii="Times New Roman" w:eastAsiaTheme="minorEastAsia" w:hAnsi="Times New Roman"/>
          <w:sz w:val="20"/>
          <w:szCs w:val="20"/>
          <w:lang w:val="en-US"/>
        </w:rPr>
      </w:pPr>
    </w:p>
    <w:p w14:paraId="3A706AF5" w14:textId="77777777" w:rsidR="00137B0F" w:rsidRPr="00582200" w:rsidRDefault="00137B0F" w:rsidP="00137B0F">
      <w:pPr>
        <w:widowControl w:val="0"/>
        <w:autoSpaceDE w:val="0"/>
        <w:autoSpaceDN w:val="0"/>
        <w:adjustRightInd w:val="0"/>
        <w:spacing w:before="0" w:after="0" w:line="240" w:lineRule="auto"/>
        <w:rPr>
          <w:rFonts w:ascii="Times New Roman" w:eastAsiaTheme="minorEastAsia" w:hAnsi="Times New Roman"/>
          <w:szCs w:val="24"/>
          <w:lang w:val="en-US"/>
        </w:rPr>
      </w:pPr>
    </w:p>
    <w:p w14:paraId="05C400F0" w14:textId="40E436DA" w:rsidR="00137B0F" w:rsidRPr="00F13BAC" w:rsidRDefault="00F350A3" w:rsidP="00137B0F">
      <w:r>
        <w:t>Appendix 13</w:t>
      </w:r>
      <w:r w:rsidR="00137B0F">
        <w:t xml:space="preserve">.26 demonstrates output following extraction where only large values (&gt;1) felt to be of most importance are retained (Kaiser’s criterion, 1960). The use of PCA or Factor Analysis is exploratory and has been used to look for any patterns in the data. Initial analysis was run for Eigenvalues for each factor in the data (n=20). Three factors had Eigenvalues over Kaiser’s criterion of 1 and when combined, explained 65% of the variance. These factors do not </w:t>
      </w:r>
      <w:r w:rsidR="00137B0F">
        <w:lastRenderedPageBreak/>
        <w:t xml:space="preserve">appear to be related, so do discriminate when comparing self-rated confidence amongst the curriculum-mapped outputs. </w:t>
      </w:r>
    </w:p>
    <w:p w14:paraId="4B64B90D" w14:textId="77777777" w:rsidR="00137B0F" w:rsidRDefault="00137B0F" w:rsidP="00137B0F">
      <w:pPr>
        <w:pStyle w:val="Heading3"/>
      </w:pPr>
      <w:bookmarkStart w:id="355" w:name="_Toc343501184"/>
      <w:bookmarkStart w:id="356" w:name="_Toc348686385"/>
      <w:bookmarkStart w:id="357" w:name="_Toc419116185"/>
      <w:r>
        <w:t>Distribution – tests for normality focusing on overall pre-course confidence</w:t>
      </w:r>
      <w:bookmarkEnd w:id="355"/>
      <w:bookmarkEnd w:id="356"/>
      <w:bookmarkEnd w:id="357"/>
    </w:p>
    <w:tbl>
      <w:tblPr>
        <w:tblW w:w="73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4"/>
      </w:tblGrid>
      <w:tr w:rsidR="00137B0F" w:rsidRPr="00CC3C7E" w14:paraId="0FD387EE" w14:textId="77777777" w:rsidTr="00977660">
        <w:trPr>
          <w:cantSplit/>
        </w:trPr>
        <w:tc>
          <w:tcPr>
            <w:tcW w:w="7344" w:type="dxa"/>
            <w:tcBorders>
              <w:top w:val="nil"/>
              <w:left w:val="nil"/>
              <w:bottom w:val="nil"/>
              <w:right w:val="nil"/>
            </w:tcBorders>
            <w:shd w:val="clear" w:color="auto" w:fill="FFFFFF"/>
            <w:vAlign w:val="center"/>
          </w:tcPr>
          <w:p w14:paraId="721BF499" w14:textId="77777777" w:rsidR="00137B0F" w:rsidRDefault="00137B0F" w:rsidP="00977660">
            <w:pPr>
              <w:widowControl w:val="0"/>
              <w:autoSpaceDE w:val="0"/>
              <w:autoSpaceDN w:val="0"/>
              <w:adjustRightInd w:val="0"/>
              <w:spacing w:line="320" w:lineRule="atLeast"/>
              <w:ind w:left="60" w:right="60"/>
              <w:rPr>
                <w:rFonts w:cs="Arial"/>
                <w:b/>
                <w:bCs/>
                <w:color w:val="000000"/>
              </w:rPr>
            </w:pPr>
          </w:p>
          <w:p w14:paraId="3583795C" w14:textId="76113A0D" w:rsidR="00137B0F" w:rsidRPr="001201C4" w:rsidRDefault="00137B0F" w:rsidP="00977660">
            <w:pPr>
              <w:widowControl w:val="0"/>
              <w:autoSpaceDE w:val="0"/>
              <w:autoSpaceDN w:val="0"/>
              <w:adjustRightInd w:val="0"/>
              <w:rPr>
                <w:rFonts w:cs="Arial"/>
              </w:rPr>
            </w:pPr>
            <w:r w:rsidRPr="001201C4">
              <w:rPr>
                <w:rFonts w:cs="Arial"/>
                <w:bCs/>
                <w:color w:val="000000"/>
              </w:rPr>
              <w:t xml:space="preserve">SPSS outputs </w:t>
            </w:r>
            <w:r w:rsidRPr="003F4270">
              <w:rPr>
                <w:rFonts w:cs="Arial"/>
                <w:bCs/>
                <w:color w:val="000000"/>
              </w:rPr>
              <w:t>detailing tests for normality for the baseline confidence scores</w:t>
            </w:r>
            <w:r w:rsidR="00F350A3">
              <w:rPr>
                <w:rFonts w:cs="Arial"/>
                <w:bCs/>
                <w:color w:val="000000"/>
              </w:rPr>
              <w:t xml:space="preserve"> are demonstrated in Appendix 13</w:t>
            </w:r>
            <w:r w:rsidRPr="003F4270">
              <w:rPr>
                <w:rFonts w:cs="Arial"/>
                <w:bCs/>
                <w:color w:val="000000"/>
              </w:rPr>
              <w:t xml:space="preserve">.27. </w:t>
            </w:r>
            <w:r w:rsidRPr="003F4270">
              <w:rPr>
                <w:rFonts w:cs="Arial"/>
              </w:rPr>
              <w:t>Shapiro-Wilk was found to be</w:t>
            </w:r>
            <w:r w:rsidRPr="0069223F">
              <w:rPr>
                <w:rFonts w:cs="Arial"/>
              </w:rPr>
              <w:t xml:space="preserve"> significant </w:t>
            </w:r>
            <w:r w:rsidRPr="003B0522">
              <w:rPr>
                <w:rFonts w:cs="Arial"/>
              </w:rPr>
              <w:t xml:space="preserve">(0.000) </w:t>
            </w:r>
            <w:r w:rsidRPr="00DF4AD7">
              <w:rPr>
                <w:rFonts w:cs="Arial"/>
              </w:rPr>
              <w:t xml:space="preserve">thus </w:t>
            </w:r>
            <w:r w:rsidRPr="008D791F">
              <w:rPr>
                <w:rFonts w:cs="Arial"/>
              </w:rPr>
              <w:t>data is not normally distributed</w:t>
            </w:r>
            <w:r w:rsidRPr="00C330AC">
              <w:rPr>
                <w:rFonts w:cs="Arial"/>
              </w:rPr>
              <w:t>.</w:t>
            </w:r>
          </w:p>
        </w:tc>
      </w:tr>
    </w:tbl>
    <w:p w14:paraId="41127034" w14:textId="77777777" w:rsidR="00137B0F" w:rsidRDefault="00137B0F" w:rsidP="00137B0F">
      <w:pPr>
        <w:keepNext/>
      </w:pPr>
      <w:r>
        <w:rPr>
          <w:rFonts w:ascii="Times New Roman" w:hAnsi="Times New Roman"/>
          <w:noProof/>
          <w:lang w:val="en-US"/>
        </w:rPr>
        <w:lastRenderedPageBreak/>
        <w:drawing>
          <wp:inline distT="0" distB="0" distL="0" distR="0" wp14:anchorId="15209E8E" wp14:editId="1F6F7C0A">
            <wp:extent cx="5396230" cy="432390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6230" cy="4323902"/>
                    </a:xfrm>
                    <a:prstGeom prst="rect">
                      <a:avLst/>
                    </a:prstGeom>
                    <a:noFill/>
                    <a:ln>
                      <a:noFill/>
                    </a:ln>
                  </pic:spPr>
                </pic:pic>
              </a:graphicData>
            </a:graphic>
          </wp:inline>
        </w:drawing>
      </w:r>
    </w:p>
    <w:p w14:paraId="7B676450" w14:textId="77777777" w:rsidR="00137B0F" w:rsidRDefault="00137B0F" w:rsidP="007000F8">
      <w:pPr>
        <w:pStyle w:val="Caption"/>
      </w:pPr>
      <w:bookmarkStart w:id="358" w:name="_Toc365579443"/>
      <w:bookmarkStart w:id="359" w:name="_Toc368056042"/>
      <w:bookmarkStart w:id="360" w:name="_Toc419116470"/>
      <w:r>
        <w:t xml:space="preserve">Figure </w:t>
      </w:r>
      <w:r>
        <w:fldChar w:fldCharType="begin"/>
      </w:r>
      <w:r>
        <w:instrText xml:space="preserve"> STYLEREF 1 \s </w:instrText>
      </w:r>
      <w:r>
        <w:fldChar w:fldCharType="separate"/>
      </w:r>
      <w:r w:rsidR="007220A7">
        <w:rPr>
          <w:noProof/>
        </w:rPr>
        <w:t>7</w:t>
      </w:r>
      <w:r>
        <w:fldChar w:fldCharType="end"/>
      </w:r>
      <w:r>
        <w:noBreakHyphen/>
      </w:r>
      <w:r>
        <w:fldChar w:fldCharType="begin"/>
      </w:r>
      <w:r>
        <w:instrText xml:space="preserve"> SEQ Figure \* ARABIC \s 1 </w:instrText>
      </w:r>
      <w:r>
        <w:fldChar w:fldCharType="separate"/>
      </w:r>
      <w:r w:rsidR="007220A7">
        <w:rPr>
          <w:noProof/>
        </w:rPr>
        <w:t>3</w:t>
      </w:r>
      <w:r>
        <w:fldChar w:fldCharType="end"/>
      </w:r>
      <w:r>
        <w:t xml:space="preserve"> Distribution of data for final study baseline pre-course confidence scores</w:t>
      </w:r>
      <w:bookmarkEnd w:id="358"/>
      <w:bookmarkEnd w:id="359"/>
      <w:bookmarkEnd w:id="360"/>
    </w:p>
    <w:p w14:paraId="488040B5" w14:textId="77777777" w:rsidR="00137B0F" w:rsidRPr="00D95C16" w:rsidRDefault="00137B0F" w:rsidP="00137B0F">
      <w:r>
        <w:t xml:space="preserve">However, the histogram (Figure 7-3), demonstrates a relatively normal distribution. Because of the discrepancy, standardised residuals were performed on the data. This demonstrated that when standardised back to the same mean, the standard deviation for each value was within + or – 2 standard deviations from individual means, so considered to be normally distributed. </w:t>
      </w:r>
    </w:p>
    <w:p w14:paraId="7B3F2C1A" w14:textId="77777777" w:rsidR="00137B0F" w:rsidRDefault="00137B0F" w:rsidP="00137B0F">
      <w:pPr>
        <w:pStyle w:val="Heading3"/>
      </w:pPr>
      <w:bookmarkStart w:id="361" w:name="_Toc343501185"/>
      <w:bookmarkStart w:id="362" w:name="_Toc348686386"/>
      <w:bookmarkStart w:id="363" w:name="_Toc419116186"/>
      <w:r>
        <w:t>ANOVA</w:t>
      </w:r>
      <w:bookmarkEnd w:id="361"/>
      <w:bookmarkEnd w:id="362"/>
      <w:bookmarkEnd w:id="363"/>
    </w:p>
    <w:p w14:paraId="418BE52B" w14:textId="77777777" w:rsidR="00137B0F" w:rsidRDefault="00137B0F" w:rsidP="00137B0F"/>
    <w:p w14:paraId="2EE3890D" w14:textId="10B7F713" w:rsidR="00137B0F" w:rsidRPr="005655D8" w:rsidRDefault="00137B0F" w:rsidP="00137B0F">
      <w:r>
        <w:t>The reasons for using Analysis of Variance (ANOVA) for repeated-measures are explained within Chapter 3</w:t>
      </w:r>
      <w:r w:rsidR="009677EC">
        <w:t xml:space="preserve"> (p89)</w:t>
      </w:r>
      <w:r>
        <w:t xml:space="preserve">. Fifty-eight sets of complete data were </w:t>
      </w:r>
      <w:r>
        <w:lastRenderedPageBreak/>
        <w:t xml:space="preserve">analysed, where present for all four conditions. Analysis of missing values is displayed and discussed in the next section. </w:t>
      </w:r>
    </w:p>
    <w:p w14:paraId="6A0D76CF" w14:textId="2C08A8F7" w:rsidR="00137B0F" w:rsidRDefault="00137B0F" w:rsidP="007000F8">
      <w:pPr>
        <w:pStyle w:val="Caption"/>
      </w:pPr>
      <w:bookmarkStart w:id="364" w:name="_Toc365579493"/>
      <w:bookmarkStart w:id="365" w:name="_Toc419116511"/>
      <w:r>
        <w:t xml:space="preserve">Table </w:t>
      </w:r>
      <w:r w:rsidR="007000F8">
        <w:fldChar w:fldCharType="begin"/>
      </w:r>
      <w:r w:rsidR="007000F8">
        <w:instrText xml:space="preserve"> STYLEREF 1 \s </w:instrText>
      </w:r>
      <w:r w:rsidR="007000F8">
        <w:fldChar w:fldCharType="separate"/>
      </w:r>
      <w:r w:rsidR="007000F8">
        <w:rPr>
          <w:noProof/>
        </w:rPr>
        <w:t>7</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11</w:t>
      </w:r>
      <w:r w:rsidR="007000F8">
        <w:fldChar w:fldCharType="end"/>
      </w:r>
      <w:r>
        <w:t xml:space="preserve"> Mean overall confidence scores for each of the four conditions, baseline pre-course, post-course, 1 week post-course and 1 month into FY1</w:t>
      </w:r>
      <w:bookmarkEnd w:id="364"/>
      <w:bookmarkEnd w:id="365"/>
    </w:p>
    <w:tbl>
      <w:tblPr>
        <w:tblW w:w="88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75"/>
        <w:gridCol w:w="1720"/>
        <w:gridCol w:w="2025"/>
        <w:gridCol w:w="2005"/>
      </w:tblGrid>
      <w:tr w:rsidR="00137B0F" w:rsidRPr="008005DD" w14:paraId="41317BF8" w14:textId="77777777" w:rsidTr="00977660">
        <w:trPr>
          <w:cantSplit/>
          <w:trHeight w:val="321"/>
        </w:trPr>
        <w:tc>
          <w:tcPr>
            <w:tcW w:w="8824" w:type="dxa"/>
            <w:gridSpan w:val="4"/>
            <w:tcBorders>
              <w:top w:val="nil"/>
              <w:left w:val="nil"/>
              <w:bottom w:val="nil"/>
              <w:right w:val="nil"/>
            </w:tcBorders>
            <w:shd w:val="clear" w:color="auto" w:fill="FFFFFF"/>
            <w:vAlign w:val="center"/>
          </w:tcPr>
          <w:p w14:paraId="2193E128" w14:textId="77777777" w:rsidR="00137B0F" w:rsidRPr="008005DD" w:rsidRDefault="00137B0F" w:rsidP="00977660">
            <w:pPr>
              <w:widowControl w:val="0"/>
              <w:autoSpaceDE w:val="0"/>
              <w:autoSpaceDN w:val="0"/>
              <w:adjustRightInd w:val="0"/>
              <w:spacing w:line="320" w:lineRule="atLeast"/>
              <w:ind w:right="60"/>
              <w:rPr>
                <w:rFonts w:cs="Arial"/>
                <w:color w:val="000000"/>
              </w:rPr>
            </w:pPr>
          </w:p>
        </w:tc>
      </w:tr>
      <w:tr w:rsidR="00137B0F" w:rsidRPr="008005DD" w14:paraId="681C68AB" w14:textId="77777777" w:rsidTr="00977660">
        <w:trPr>
          <w:cantSplit/>
          <w:trHeight w:val="642"/>
        </w:trPr>
        <w:tc>
          <w:tcPr>
            <w:tcW w:w="3075"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226DBB07" w14:textId="77777777" w:rsidR="00137B0F" w:rsidRPr="001201C4" w:rsidRDefault="00137B0F" w:rsidP="00977660">
            <w:pPr>
              <w:widowControl w:val="0"/>
              <w:autoSpaceDE w:val="0"/>
              <w:autoSpaceDN w:val="0"/>
              <w:adjustRightInd w:val="0"/>
              <w:spacing w:line="240" w:lineRule="auto"/>
              <w:rPr>
                <w:rFonts w:ascii="Times New Roman" w:hAnsi="Times New Roman"/>
                <w:sz w:val="20"/>
                <w:szCs w:val="20"/>
              </w:rPr>
            </w:pPr>
          </w:p>
        </w:tc>
        <w:tc>
          <w:tcPr>
            <w:tcW w:w="1720" w:type="dxa"/>
            <w:tcBorders>
              <w:top w:val="single" w:sz="16" w:space="0" w:color="000000"/>
              <w:left w:val="single" w:sz="16" w:space="0" w:color="000000"/>
              <w:bottom w:val="single" w:sz="16" w:space="0" w:color="000000"/>
            </w:tcBorders>
            <w:shd w:val="clear" w:color="auto" w:fill="FFFFFF"/>
            <w:vAlign w:val="bottom"/>
          </w:tcPr>
          <w:p w14:paraId="66ACBE87"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Mean</w:t>
            </w:r>
          </w:p>
        </w:tc>
        <w:tc>
          <w:tcPr>
            <w:tcW w:w="2025" w:type="dxa"/>
            <w:tcBorders>
              <w:top w:val="single" w:sz="16" w:space="0" w:color="000000"/>
              <w:bottom w:val="single" w:sz="16" w:space="0" w:color="000000"/>
            </w:tcBorders>
            <w:shd w:val="clear" w:color="auto" w:fill="FFFFFF"/>
            <w:vAlign w:val="bottom"/>
          </w:tcPr>
          <w:p w14:paraId="0C1629B9"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Std. Deviation</w:t>
            </w:r>
          </w:p>
        </w:tc>
        <w:tc>
          <w:tcPr>
            <w:tcW w:w="2005" w:type="dxa"/>
            <w:tcBorders>
              <w:top w:val="single" w:sz="16" w:space="0" w:color="000000"/>
              <w:bottom w:val="single" w:sz="16" w:space="0" w:color="000000"/>
              <w:right w:val="single" w:sz="16" w:space="0" w:color="000000"/>
            </w:tcBorders>
            <w:shd w:val="clear" w:color="auto" w:fill="FFFFFF"/>
            <w:vAlign w:val="bottom"/>
          </w:tcPr>
          <w:p w14:paraId="494B482B"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N</w:t>
            </w:r>
          </w:p>
        </w:tc>
      </w:tr>
      <w:tr w:rsidR="00137B0F" w:rsidRPr="008005DD" w14:paraId="5B2BEA55" w14:textId="77777777" w:rsidTr="00977660">
        <w:trPr>
          <w:cantSplit/>
          <w:trHeight w:val="963"/>
        </w:trPr>
        <w:tc>
          <w:tcPr>
            <w:tcW w:w="3075" w:type="dxa"/>
            <w:tcBorders>
              <w:top w:val="single" w:sz="16" w:space="0" w:color="000000"/>
              <w:left w:val="single" w:sz="16" w:space="0" w:color="000000"/>
              <w:bottom w:val="nil"/>
              <w:right w:val="single" w:sz="16" w:space="0" w:color="000000"/>
            </w:tcBorders>
            <w:shd w:val="clear" w:color="auto" w:fill="FFFFFF"/>
          </w:tcPr>
          <w:p w14:paraId="24E85A2A" w14:textId="77777777" w:rsidR="00137B0F" w:rsidRPr="001201C4" w:rsidRDefault="00137B0F" w:rsidP="00977660">
            <w:pPr>
              <w:widowControl w:val="0"/>
              <w:autoSpaceDE w:val="0"/>
              <w:autoSpaceDN w:val="0"/>
              <w:adjustRightInd w:val="0"/>
              <w:spacing w:line="240" w:lineRule="auto"/>
              <w:ind w:left="60" w:right="60"/>
              <w:rPr>
                <w:rFonts w:cs="Arial"/>
                <w:color w:val="000000"/>
                <w:sz w:val="20"/>
                <w:szCs w:val="20"/>
              </w:rPr>
            </w:pPr>
            <w:r w:rsidRPr="001201C4">
              <w:rPr>
                <w:rFonts w:cs="Arial"/>
                <w:color w:val="000000"/>
                <w:sz w:val="20"/>
                <w:szCs w:val="20"/>
              </w:rPr>
              <w:t>20 Overall confidence Pre-course</w:t>
            </w:r>
          </w:p>
        </w:tc>
        <w:tc>
          <w:tcPr>
            <w:tcW w:w="1720" w:type="dxa"/>
            <w:tcBorders>
              <w:top w:val="single" w:sz="16" w:space="0" w:color="000000"/>
              <w:left w:val="single" w:sz="16" w:space="0" w:color="000000"/>
              <w:bottom w:val="nil"/>
            </w:tcBorders>
            <w:shd w:val="clear" w:color="auto" w:fill="FFFFFF"/>
            <w:vAlign w:val="center"/>
          </w:tcPr>
          <w:p w14:paraId="00D7C245"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5.88</w:t>
            </w:r>
          </w:p>
        </w:tc>
        <w:tc>
          <w:tcPr>
            <w:tcW w:w="2025" w:type="dxa"/>
            <w:tcBorders>
              <w:top w:val="single" w:sz="16" w:space="0" w:color="000000"/>
              <w:bottom w:val="nil"/>
            </w:tcBorders>
            <w:shd w:val="clear" w:color="auto" w:fill="FFFFFF"/>
            <w:vAlign w:val="center"/>
          </w:tcPr>
          <w:p w14:paraId="70448FB4"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1.272</w:t>
            </w:r>
          </w:p>
        </w:tc>
        <w:tc>
          <w:tcPr>
            <w:tcW w:w="2005" w:type="dxa"/>
            <w:tcBorders>
              <w:top w:val="single" w:sz="16" w:space="0" w:color="000000"/>
              <w:bottom w:val="nil"/>
              <w:right w:val="single" w:sz="16" w:space="0" w:color="000000"/>
            </w:tcBorders>
            <w:shd w:val="clear" w:color="auto" w:fill="FFFFFF"/>
            <w:vAlign w:val="center"/>
          </w:tcPr>
          <w:p w14:paraId="1149E6E7"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58</w:t>
            </w:r>
          </w:p>
        </w:tc>
      </w:tr>
      <w:tr w:rsidR="00137B0F" w:rsidRPr="008005DD" w14:paraId="430019D9" w14:textId="77777777" w:rsidTr="00977660">
        <w:trPr>
          <w:cantSplit/>
          <w:trHeight w:val="1284"/>
        </w:trPr>
        <w:tc>
          <w:tcPr>
            <w:tcW w:w="3075" w:type="dxa"/>
            <w:tcBorders>
              <w:top w:val="nil"/>
              <w:left w:val="single" w:sz="16" w:space="0" w:color="000000"/>
              <w:bottom w:val="nil"/>
              <w:right w:val="single" w:sz="16" w:space="0" w:color="000000"/>
            </w:tcBorders>
            <w:shd w:val="clear" w:color="auto" w:fill="FFFFFF"/>
          </w:tcPr>
          <w:p w14:paraId="3EC9A47B" w14:textId="77777777" w:rsidR="00137B0F" w:rsidRPr="001201C4" w:rsidRDefault="00137B0F" w:rsidP="00977660">
            <w:pPr>
              <w:widowControl w:val="0"/>
              <w:autoSpaceDE w:val="0"/>
              <w:autoSpaceDN w:val="0"/>
              <w:adjustRightInd w:val="0"/>
              <w:spacing w:line="240" w:lineRule="auto"/>
              <w:ind w:left="60" w:right="60"/>
              <w:rPr>
                <w:rFonts w:cs="Arial"/>
                <w:color w:val="000000"/>
                <w:sz w:val="20"/>
                <w:szCs w:val="20"/>
              </w:rPr>
            </w:pPr>
            <w:r w:rsidRPr="001201C4">
              <w:rPr>
                <w:rFonts w:cs="Arial"/>
                <w:color w:val="000000"/>
                <w:sz w:val="20"/>
                <w:szCs w:val="20"/>
              </w:rPr>
              <w:t>20 Overall confidence Post-course immediate</w:t>
            </w:r>
          </w:p>
        </w:tc>
        <w:tc>
          <w:tcPr>
            <w:tcW w:w="1720" w:type="dxa"/>
            <w:tcBorders>
              <w:top w:val="nil"/>
              <w:left w:val="single" w:sz="16" w:space="0" w:color="000000"/>
              <w:bottom w:val="nil"/>
            </w:tcBorders>
            <w:shd w:val="clear" w:color="auto" w:fill="FFFFFF"/>
            <w:vAlign w:val="center"/>
          </w:tcPr>
          <w:p w14:paraId="58B7E836"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7.22</w:t>
            </w:r>
          </w:p>
        </w:tc>
        <w:tc>
          <w:tcPr>
            <w:tcW w:w="2025" w:type="dxa"/>
            <w:tcBorders>
              <w:top w:val="nil"/>
              <w:bottom w:val="nil"/>
            </w:tcBorders>
            <w:shd w:val="clear" w:color="auto" w:fill="FFFFFF"/>
            <w:vAlign w:val="center"/>
          </w:tcPr>
          <w:p w14:paraId="22543E2E"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1.027</w:t>
            </w:r>
          </w:p>
        </w:tc>
        <w:tc>
          <w:tcPr>
            <w:tcW w:w="2005" w:type="dxa"/>
            <w:tcBorders>
              <w:top w:val="nil"/>
              <w:bottom w:val="nil"/>
              <w:right w:val="single" w:sz="16" w:space="0" w:color="000000"/>
            </w:tcBorders>
            <w:shd w:val="clear" w:color="auto" w:fill="FFFFFF"/>
            <w:vAlign w:val="center"/>
          </w:tcPr>
          <w:p w14:paraId="14E22708"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58</w:t>
            </w:r>
          </w:p>
        </w:tc>
      </w:tr>
      <w:tr w:rsidR="00137B0F" w:rsidRPr="008005DD" w14:paraId="757C60F0" w14:textId="77777777" w:rsidTr="00977660">
        <w:trPr>
          <w:cantSplit/>
          <w:trHeight w:val="963"/>
        </w:trPr>
        <w:tc>
          <w:tcPr>
            <w:tcW w:w="3075" w:type="dxa"/>
            <w:tcBorders>
              <w:top w:val="nil"/>
              <w:left w:val="single" w:sz="16" w:space="0" w:color="000000"/>
              <w:bottom w:val="nil"/>
              <w:right w:val="single" w:sz="16" w:space="0" w:color="000000"/>
            </w:tcBorders>
            <w:shd w:val="clear" w:color="auto" w:fill="FFFFFF"/>
          </w:tcPr>
          <w:p w14:paraId="75EC7FA8" w14:textId="77777777" w:rsidR="00137B0F" w:rsidRPr="001201C4" w:rsidRDefault="00137B0F" w:rsidP="00977660">
            <w:pPr>
              <w:widowControl w:val="0"/>
              <w:autoSpaceDE w:val="0"/>
              <w:autoSpaceDN w:val="0"/>
              <w:adjustRightInd w:val="0"/>
              <w:spacing w:line="240" w:lineRule="auto"/>
              <w:ind w:left="60" w:right="60"/>
              <w:rPr>
                <w:rFonts w:cs="Arial"/>
                <w:color w:val="000000"/>
                <w:sz w:val="20"/>
                <w:szCs w:val="20"/>
              </w:rPr>
            </w:pPr>
            <w:r w:rsidRPr="001201C4">
              <w:rPr>
                <w:rFonts w:cs="Arial"/>
                <w:color w:val="000000"/>
                <w:sz w:val="20"/>
                <w:szCs w:val="20"/>
              </w:rPr>
              <w:t>20 Overall confidence Post 1/52</w:t>
            </w:r>
          </w:p>
        </w:tc>
        <w:tc>
          <w:tcPr>
            <w:tcW w:w="1720" w:type="dxa"/>
            <w:tcBorders>
              <w:top w:val="nil"/>
              <w:left w:val="single" w:sz="16" w:space="0" w:color="000000"/>
              <w:bottom w:val="nil"/>
            </w:tcBorders>
            <w:shd w:val="clear" w:color="auto" w:fill="FFFFFF"/>
            <w:vAlign w:val="center"/>
          </w:tcPr>
          <w:p w14:paraId="0CEA4A78"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7.41</w:t>
            </w:r>
          </w:p>
        </w:tc>
        <w:tc>
          <w:tcPr>
            <w:tcW w:w="2025" w:type="dxa"/>
            <w:tcBorders>
              <w:top w:val="nil"/>
              <w:bottom w:val="nil"/>
            </w:tcBorders>
            <w:shd w:val="clear" w:color="auto" w:fill="FFFFFF"/>
            <w:vAlign w:val="center"/>
          </w:tcPr>
          <w:p w14:paraId="13378994"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.859</w:t>
            </w:r>
          </w:p>
        </w:tc>
        <w:tc>
          <w:tcPr>
            <w:tcW w:w="2005" w:type="dxa"/>
            <w:tcBorders>
              <w:top w:val="nil"/>
              <w:bottom w:val="nil"/>
              <w:right w:val="single" w:sz="16" w:space="0" w:color="000000"/>
            </w:tcBorders>
            <w:shd w:val="clear" w:color="auto" w:fill="FFFFFF"/>
            <w:vAlign w:val="center"/>
          </w:tcPr>
          <w:p w14:paraId="54A5BE24"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58</w:t>
            </w:r>
          </w:p>
        </w:tc>
      </w:tr>
      <w:tr w:rsidR="00137B0F" w:rsidRPr="008005DD" w14:paraId="2C29D551" w14:textId="77777777" w:rsidTr="00977660">
        <w:trPr>
          <w:cantSplit/>
          <w:trHeight w:val="963"/>
        </w:trPr>
        <w:tc>
          <w:tcPr>
            <w:tcW w:w="3075" w:type="dxa"/>
            <w:tcBorders>
              <w:top w:val="nil"/>
              <w:left w:val="single" w:sz="16" w:space="0" w:color="000000"/>
              <w:bottom w:val="single" w:sz="16" w:space="0" w:color="000000"/>
              <w:right w:val="single" w:sz="16" w:space="0" w:color="000000"/>
            </w:tcBorders>
            <w:shd w:val="clear" w:color="auto" w:fill="FFFFFF"/>
          </w:tcPr>
          <w:p w14:paraId="3F9FCCAD" w14:textId="77777777" w:rsidR="00137B0F" w:rsidRPr="001201C4" w:rsidRDefault="00137B0F" w:rsidP="00977660">
            <w:pPr>
              <w:widowControl w:val="0"/>
              <w:autoSpaceDE w:val="0"/>
              <w:autoSpaceDN w:val="0"/>
              <w:adjustRightInd w:val="0"/>
              <w:spacing w:line="240" w:lineRule="auto"/>
              <w:ind w:left="60" w:right="60"/>
              <w:rPr>
                <w:rFonts w:cs="Arial"/>
                <w:color w:val="000000"/>
                <w:sz w:val="20"/>
                <w:szCs w:val="20"/>
              </w:rPr>
            </w:pPr>
            <w:r w:rsidRPr="001201C4">
              <w:rPr>
                <w:rFonts w:cs="Arial"/>
                <w:color w:val="000000"/>
                <w:sz w:val="20"/>
                <w:szCs w:val="20"/>
              </w:rPr>
              <w:t>20 Overall confidence Post 1/12 FY1</w:t>
            </w:r>
          </w:p>
        </w:tc>
        <w:tc>
          <w:tcPr>
            <w:tcW w:w="1720" w:type="dxa"/>
            <w:tcBorders>
              <w:top w:val="nil"/>
              <w:left w:val="single" w:sz="16" w:space="0" w:color="000000"/>
              <w:bottom w:val="single" w:sz="16" w:space="0" w:color="000000"/>
            </w:tcBorders>
            <w:shd w:val="clear" w:color="auto" w:fill="FFFFFF"/>
            <w:vAlign w:val="center"/>
          </w:tcPr>
          <w:p w14:paraId="707BDB7E"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7.79</w:t>
            </w:r>
          </w:p>
        </w:tc>
        <w:tc>
          <w:tcPr>
            <w:tcW w:w="2025" w:type="dxa"/>
            <w:tcBorders>
              <w:top w:val="nil"/>
              <w:bottom w:val="single" w:sz="16" w:space="0" w:color="000000"/>
            </w:tcBorders>
            <w:shd w:val="clear" w:color="auto" w:fill="FFFFFF"/>
            <w:vAlign w:val="center"/>
          </w:tcPr>
          <w:p w14:paraId="5AA05806"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1.072</w:t>
            </w:r>
          </w:p>
        </w:tc>
        <w:tc>
          <w:tcPr>
            <w:tcW w:w="2005" w:type="dxa"/>
            <w:tcBorders>
              <w:top w:val="nil"/>
              <w:bottom w:val="single" w:sz="16" w:space="0" w:color="000000"/>
              <w:right w:val="single" w:sz="16" w:space="0" w:color="000000"/>
            </w:tcBorders>
            <w:shd w:val="clear" w:color="auto" w:fill="FFFFFF"/>
            <w:vAlign w:val="center"/>
          </w:tcPr>
          <w:p w14:paraId="545DC3B5" w14:textId="77777777" w:rsidR="00137B0F" w:rsidRPr="001201C4" w:rsidRDefault="00137B0F" w:rsidP="00977660">
            <w:pPr>
              <w:widowControl w:val="0"/>
              <w:autoSpaceDE w:val="0"/>
              <w:autoSpaceDN w:val="0"/>
              <w:adjustRightInd w:val="0"/>
              <w:spacing w:line="240" w:lineRule="auto"/>
              <w:ind w:left="60" w:right="60"/>
              <w:jc w:val="center"/>
              <w:rPr>
                <w:rFonts w:cs="Arial"/>
                <w:color w:val="000000"/>
                <w:sz w:val="20"/>
                <w:szCs w:val="20"/>
              </w:rPr>
            </w:pPr>
            <w:r w:rsidRPr="001201C4">
              <w:rPr>
                <w:rFonts w:cs="Arial"/>
                <w:color w:val="000000"/>
                <w:sz w:val="20"/>
                <w:szCs w:val="20"/>
              </w:rPr>
              <w:t>58</w:t>
            </w:r>
          </w:p>
        </w:tc>
      </w:tr>
    </w:tbl>
    <w:p w14:paraId="5BE940BE" w14:textId="77777777" w:rsidR="00137B0F" w:rsidRPr="00A1797D" w:rsidRDefault="00137B0F" w:rsidP="00137B0F">
      <w:pPr>
        <w:rPr>
          <w:rFonts w:cs="Arial"/>
          <w:b/>
        </w:rPr>
      </w:pPr>
      <w:r w:rsidRPr="005655D8">
        <w:rPr>
          <w:rFonts w:cs="Arial"/>
        </w:rPr>
        <w:t>Table 7</w:t>
      </w:r>
      <w:r>
        <w:rPr>
          <w:rFonts w:cs="Arial"/>
        </w:rPr>
        <w:t>-</w:t>
      </w:r>
      <w:r w:rsidRPr="005655D8">
        <w:rPr>
          <w:rFonts w:cs="Arial"/>
        </w:rPr>
        <w:t>1</w:t>
      </w:r>
      <w:r>
        <w:rPr>
          <w:rFonts w:cs="Arial"/>
        </w:rPr>
        <w:t>1</w:t>
      </w:r>
      <w:r w:rsidRPr="005655D8">
        <w:rPr>
          <w:rFonts w:cs="Arial"/>
        </w:rPr>
        <w:t xml:space="preserve"> </w:t>
      </w:r>
      <w:r>
        <w:rPr>
          <w:rFonts w:cs="Arial"/>
        </w:rPr>
        <w:t xml:space="preserve">demonstrates a pattern of increasing confidence at each condition over time for the 58 students analysed. The largest increase is seen between the pre (5.88, SD 1.27) and post-course (7.22, SD 1.02) confidence score. </w:t>
      </w:r>
      <w:r w:rsidRPr="00A1797D">
        <w:rPr>
          <w:rFonts w:cs="Arial"/>
          <w:b/>
        </w:rPr>
        <w:t>Report:</w:t>
      </w:r>
    </w:p>
    <w:p w14:paraId="1E659B55" w14:textId="55A40F4B" w:rsidR="00137B0F" w:rsidRDefault="00137B0F" w:rsidP="00137B0F">
      <w:r>
        <w:t>Mauchly’s W-test (</w:t>
      </w:r>
      <w:proofErr w:type="spellStart"/>
      <w:r>
        <w:t>df</w:t>
      </w:r>
      <w:proofErr w:type="spellEnd"/>
      <w:r>
        <w:t xml:space="preserve"> = 5) = 0.7 p 0.</w:t>
      </w:r>
      <w:r w:rsidR="00F350A3">
        <w:t>001 was significant (Appendix 13</w:t>
      </w:r>
      <w:r>
        <w:t xml:space="preserve">.28), so assumption of sphericity has been violated, meaning variance in conditions is significantly different so the Greenhouse </w:t>
      </w:r>
      <w:proofErr w:type="spellStart"/>
      <w:r>
        <w:t>Geisser</w:t>
      </w:r>
      <w:proofErr w:type="spellEnd"/>
      <w:r>
        <w:t xml:space="preserve"> correction is used:</w:t>
      </w:r>
    </w:p>
    <w:p w14:paraId="3B04CB58" w14:textId="77777777" w:rsidR="00137B0F" w:rsidRDefault="00137B0F" w:rsidP="00137B0F">
      <w:r>
        <w:t xml:space="preserve">F (2.48,148) = 49.98, p &lt;0.001 </w:t>
      </w:r>
    </w:p>
    <w:p w14:paraId="41F9C30A" w14:textId="294DB731" w:rsidR="00137B0F" w:rsidRPr="008005DD" w:rsidRDefault="00137B0F" w:rsidP="00137B0F">
      <w:pPr>
        <w:rPr>
          <w:rFonts w:ascii="Times New Roman" w:hAnsi="Times New Roman"/>
        </w:rPr>
      </w:pPr>
      <w:r>
        <w:lastRenderedPageBreak/>
        <w:t xml:space="preserve">Significant main effects show that confidence scores vary over time following intervention. Planned comparisons were performed to see where the differences were. The details of these outputs are presented in </w:t>
      </w:r>
      <w:r w:rsidR="00F350A3">
        <w:t>appendix 13</w:t>
      </w:r>
      <w:r>
        <w:t>.29 and Figure 7-4 below.</w:t>
      </w:r>
    </w:p>
    <w:p w14:paraId="25BC28D5" w14:textId="77777777" w:rsidR="00137B0F" w:rsidRDefault="00137B0F" w:rsidP="00137B0F">
      <w:r>
        <w:t>Planned comparisons with Bonferroni correction for repeated testing applied revealed:</w:t>
      </w:r>
    </w:p>
    <w:p w14:paraId="3E7730D2" w14:textId="77777777" w:rsidR="00137B0F" w:rsidRDefault="00137B0F" w:rsidP="00137B0F">
      <w:r>
        <w:t>Level 1 (pre-course/ baseline) vs. Level 2 (post-course immediate) p &lt;0.001 positive direction, mean difference 1.34 points.</w:t>
      </w:r>
    </w:p>
    <w:p w14:paraId="7D98C007" w14:textId="77777777" w:rsidR="00137B0F" w:rsidRDefault="00137B0F" w:rsidP="00137B0F">
      <w:r>
        <w:t>Level 2 (post-course immediate) vs. Level 3 (1 week post-course) p 0.655, no significant change in confidence score, mean increase 0.19 points.</w:t>
      </w:r>
    </w:p>
    <w:p w14:paraId="680BC147" w14:textId="77777777" w:rsidR="00137B0F" w:rsidRDefault="00137B0F" w:rsidP="00137B0F">
      <w:r>
        <w:t>Level 2 (post-course immediate) vs. Level 4 (1/12 into FY1 4-7 months post-course) p 0.019, significant change, mean increase 0.57 points.</w:t>
      </w:r>
    </w:p>
    <w:p w14:paraId="2602C0FF" w14:textId="77777777" w:rsidR="00137B0F" w:rsidRDefault="00137B0F" w:rsidP="00137B0F">
      <w:r>
        <w:t>Level 3 (post 1 week) vs. Level 4 (1/12 into FY1 4-7 months post-course) p 0.15, no significant change in confidence, mean increase 0.38 points.</w:t>
      </w:r>
    </w:p>
    <w:p w14:paraId="52B2C84F" w14:textId="77777777" w:rsidR="00137B0F" w:rsidRDefault="00137B0F" w:rsidP="00137B0F">
      <w:pPr>
        <w:keepNext/>
      </w:pPr>
      <w:r>
        <w:rPr>
          <w:rFonts w:ascii="Times New Roman" w:hAnsi="Times New Roman"/>
          <w:noProof/>
          <w:lang w:val="en-US"/>
        </w:rPr>
        <w:lastRenderedPageBreak/>
        <w:drawing>
          <wp:inline distT="0" distB="0" distL="0" distR="0" wp14:anchorId="12F645EE" wp14:editId="0CE57B14">
            <wp:extent cx="5396230" cy="4658284"/>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96230" cy="4658284"/>
                    </a:xfrm>
                    <a:prstGeom prst="rect">
                      <a:avLst/>
                    </a:prstGeom>
                    <a:noFill/>
                    <a:ln>
                      <a:noFill/>
                    </a:ln>
                  </pic:spPr>
                </pic:pic>
              </a:graphicData>
            </a:graphic>
          </wp:inline>
        </w:drawing>
      </w:r>
    </w:p>
    <w:p w14:paraId="2FBB5817" w14:textId="77777777" w:rsidR="00137B0F" w:rsidRDefault="00137B0F" w:rsidP="007000F8">
      <w:pPr>
        <w:pStyle w:val="Caption"/>
      </w:pPr>
      <w:bookmarkStart w:id="366" w:name="_Toc365579444"/>
      <w:bookmarkStart w:id="367" w:name="_Toc368056043"/>
      <w:bookmarkStart w:id="368" w:name="_Toc419116471"/>
      <w:r>
        <w:t xml:space="preserve">Figure </w:t>
      </w:r>
      <w:r>
        <w:fldChar w:fldCharType="begin"/>
      </w:r>
      <w:r>
        <w:instrText xml:space="preserve"> STYLEREF 1 \s </w:instrText>
      </w:r>
      <w:r>
        <w:fldChar w:fldCharType="separate"/>
      </w:r>
      <w:r w:rsidR="007220A7">
        <w:rPr>
          <w:noProof/>
        </w:rPr>
        <w:t>7</w:t>
      </w:r>
      <w:r>
        <w:fldChar w:fldCharType="end"/>
      </w:r>
      <w:r>
        <w:noBreakHyphen/>
      </w:r>
      <w:r>
        <w:fldChar w:fldCharType="begin"/>
      </w:r>
      <w:r>
        <w:instrText xml:space="preserve"> SEQ Figure \* ARABIC \s 1 </w:instrText>
      </w:r>
      <w:r>
        <w:fldChar w:fldCharType="separate"/>
      </w:r>
      <w:r w:rsidR="007220A7">
        <w:rPr>
          <w:noProof/>
        </w:rPr>
        <w:t>4</w:t>
      </w:r>
      <w:r>
        <w:fldChar w:fldCharType="end"/>
      </w:r>
      <w:r>
        <w:t xml:space="preserve"> Change in confidence scores over four different conditions with 95% confidence interval error bars</w:t>
      </w:r>
      <w:bookmarkEnd w:id="366"/>
      <w:bookmarkEnd w:id="367"/>
      <w:bookmarkEnd w:id="368"/>
    </w:p>
    <w:p w14:paraId="412F3895" w14:textId="77777777" w:rsidR="00137B0F" w:rsidRDefault="00137B0F" w:rsidP="00137B0F"/>
    <w:p w14:paraId="4B9A77E2" w14:textId="77777777" w:rsidR="00137B0F" w:rsidRDefault="00137B0F" w:rsidP="00137B0F"/>
    <w:p w14:paraId="7FF5E513" w14:textId="77777777" w:rsidR="00137B0F" w:rsidRDefault="00137B0F" w:rsidP="00137B0F"/>
    <w:p w14:paraId="17621127" w14:textId="77777777" w:rsidR="00137B0F" w:rsidRDefault="00137B0F" w:rsidP="00137B0F"/>
    <w:p w14:paraId="1F119FF4" w14:textId="77777777" w:rsidR="0096321B" w:rsidRPr="00FC2C42" w:rsidRDefault="0096321B" w:rsidP="00137B0F"/>
    <w:p w14:paraId="22472CAB" w14:textId="26D0F6F2" w:rsidR="00137B0F" w:rsidRPr="0096321B" w:rsidRDefault="00137B0F" w:rsidP="0096321B">
      <w:pPr>
        <w:pStyle w:val="Heading3"/>
      </w:pPr>
      <w:bookmarkStart w:id="369" w:name="_Toc419116187"/>
      <w:r>
        <w:lastRenderedPageBreak/>
        <w:t>Analysis of missing values</w:t>
      </w:r>
      <w:bookmarkStart w:id="370" w:name="_Toc348686388"/>
      <w:bookmarkEnd w:id="369"/>
      <w:bookmarkEnd w:id="370"/>
    </w:p>
    <w:p w14:paraId="4451D357" w14:textId="77777777" w:rsidR="0096321B" w:rsidRDefault="0096321B" w:rsidP="00137B0F">
      <w:pPr>
        <w:widowControl w:val="0"/>
        <w:autoSpaceDE w:val="0"/>
        <w:autoSpaceDN w:val="0"/>
        <w:adjustRightInd w:val="0"/>
        <w:rPr>
          <w:rFonts w:cs="Arial"/>
        </w:rPr>
      </w:pPr>
    </w:p>
    <w:p w14:paraId="74AAD0A0" w14:textId="4B38278B" w:rsidR="00137B0F" w:rsidRDefault="00137B0F" w:rsidP="00137B0F">
      <w:pPr>
        <w:widowControl w:val="0"/>
        <w:autoSpaceDE w:val="0"/>
        <w:autoSpaceDN w:val="0"/>
        <w:adjustRightInd w:val="0"/>
        <w:rPr>
          <w:rFonts w:cs="Arial"/>
        </w:rPr>
      </w:pPr>
      <w:r>
        <w:rPr>
          <w:rFonts w:cs="Arial"/>
        </w:rPr>
        <w:t>There wa</w:t>
      </w:r>
      <w:r w:rsidRPr="007B66C0">
        <w:rPr>
          <w:rFonts w:cs="Arial"/>
        </w:rPr>
        <w:t xml:space="preserve">s no significant difference between the </w:t>
      </w:r>
      <w:r>
        <w:rPr>
          <w:rFonts w:cs="Arial"/>
        </w:rPr>
        <w:t>means of the two</w:t>
      </w:r>
      <w:r w:rsidRPr="007B66C0">
        <w:rPr>
          <w:rFonts w:cs="Arial"/>
        </w:rPr>
        <w:t xml:space="preserve"> groups of analysed </w:t>
      </w:r>
      <w:r>
        <w:rPr>
          <w:rFonts w:cs="Arial"/>
        </w:rPr>
        <w:t xml:space="preserve">(n=58) </w:t>
      </w:r>
      <w:r w:rsidRPr="007B66C0">
        <w:rPr>
          <w:rFonts w:cs="Arial"/>
        </w:rPr>
        <w:t>vs. missing data</w:t>
      </w:r>
      <w:r>
        <w:rPr>
          <w:rFonts w:cs="Arial"/>
        </w:rPr>
        <w:t xml:space="preserve"> (n=36)</w:t>
      </w:r>
      <w:r w:rsidRPr="007B66C0">
        <w:rPr>
          <w:rFonts w:cs="Arial"/>
        </w:rPr>
        <w:t xml:space="preserve"> using the one</w:t>
      </w:r>
      <w:r>
        <w:rPr>
          <w:rFonts w:cs="Arial"/>
        </w:rPr>
        <w:t>-</w:t>
      </w:r>
      <w:r w:rsidRPr="007B66C0">
        <w:rPr>
          <w:rFonts w:cs="Arial"/>
        </w:rPr>
        <w:t xml:space="preserve">way </w:t>
      </w:r>
      <w:r>
        <w:rPr>
          <w:rFonts w:cs="Arial"/>
        </w:rPr>
        <w:t>repeated-measures</w:t>
      </w:r>
      <w:r w:rsidRPr="007B66C0">
        <w:rPr>
          <w:rFonts w:cs="Arial"/>
        </w:rPr>
        <w:t xml:space="preserve"> ANOVA</w:t>
      </w:r>
      <w:r>
        <w:rPr>
          <w:rFonts w:cs="Arial"/>
        </w:rPr>
        <w:t>, as demonstrated using a t-test to compare means of baseline confidence scores (t (9</w:t>
      </w:r>
      <w:r w:rsidR="00F350A3">
        <w:rPr>
          <w:rFonts w:cs="Arial"/>
        </w:rPr>
        <w:t>2) = 1.4, p = 0.16) (Appendix 13</w:t>
      </w:r>
      <w:r>
        <w:rPr>
          <w:rFonts w:cs="Arial"/>
        </w:rPr>
        <w:t>.30)</w:t>
      </w:r>
      <w:r w:rsidRPr="007B66C0">
        <w:rPr>
          <w:rFonts w:cs="Arial"/>
        </w:rPr>
        <w:t xml:space="preserve">. </w:t>
      </w:r>
      <w:r>
        <w:rPr>
          <w:rFonts w:cs="Arial"/>
        </w:rPr>
        <w:t xml:space="preserve">This means </w:t>
      </w:r>
      <w:r w:rsidRPr="007B66C0">
        <w:rPr>
          <w:rFonts w:cs="Arial"/>
        </w:rPr>
        <w:t xml:space="preserve">that those participants that did not complete all </w:t>
      </w:r>
      <w:r>
        <w:rPr>
          <w:rFonts w:cs="Arial"/>
        </w:rPr>
        <w:t>four</w:t>
      </w:r>
      <w:r w:rsidRPr="007B66C0">
        <w:rPr>
          <w:rFonts w:cs="Arial"/>
        </w:rPr>
        <w:t xml:space="preserve"> measures were not of a different population from the other participants</w:t>
      </w:r>
      <w:r>
        <w:rPr>
          <w:rFonts w:cs="Arial"/>
        </w:rPr>
        <w:t>,</w:t>
      </w:r>
      <w:r w:rsidRPr="007B66C0">
        <w:rPr>
          <w:rFonts w:cs="Arial"/>
        </w:rPr>
        <w:t xml:space="preserve"> so the data are</w:t>
      </w:r>
      <w:r>
        <w:rPr>
          <w:rFonts w:cs="Arial"/>
        </w:rPr>
        <w:t xml:space="preserve"> likely to be </w:t>
      </w:r>
      <w:r w:rsidRPr="007B66C0">
        <w:rPr>
          <w:rFonts w:cs="Arial"/>
        </w:rPr>
        <w:t>representative and true.</w:t>
      </w:r>
      <w:r>
        <w:rPr>
          <w:rFonts w:cs="Arial"/>
        </w:rPr>
        <w:t xml:space="preserve"> However, </w:t>
      </w:r>
      <w:proofErr w:type="spellStart"/>
      <w:r>
        <w:rPr>
          <w:rFonts w:cs="Arial"/>
        </w:rPr>
        <w:t>Levene’s</w:t>
      </w:r>
      <w:proofErr w:type="spellEnd"/>
      <w:r>
        <w:rPr>
          <w:rFonts w:cs="Arial"/>
        </w:rPr>
        <w:t xml:space="preserve"> test is not significant demonstrating that variance between groups is unequal. These findings are demonstrated graphically below in a bar chart (Figure 7-5), with 95% confidence intervals. </w:t>
      </w:r>
    </w:p>
    <w:p w14:paraId="58128C93" w14:textId="77777777" w:rsidR="00137B0F" w:rsidRDefault="00137B0F" w:rsidP="00137B0F">
      <w:pPr>
        <w:keepNext/>
        <w:widowControl w:val="0"/>
        <w:autoSpaceDE w:val="0"/>
        <w:autoSpaceDN w:val="0"/>
        <w:adjustRightInd w:val="0"/>
      </w:pPr>
      <w:r>
        <w:rPr>
          <w:rFonts w:ascii="Times New Roman" w:hAnsi="Times New Roman"/>
          <w:noProof/>
          <w:lang w:val="en-US"/>
        </w:rPr>
        <w:drawing>
          <wp:inline distT="0" distB="0" distL="0" distR="0" wp14:anchorId="5AAF69E8" wp14:editId="167ED99A">
            <wp:extent cx="5491480" cy="280309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2">
                      <a:extLst>
                        <a:ext uri="{28A0092B-C50C-407E-A947-70E740481C1C}">
                          <a14:useLocalDpi xmlns:a14="http://schemas.microsoft.com/office/drawing/2010/main" val="0"/>
                        </a:ext>
                      </a:extLst>
                    </a:blip>
                    <a:srcRect l="1127" b="37184"/>
                    <a:stretch/>
                  </pic:blipFill>
                  <pic:spPr bwMode="auto">
                    <a:xfrm>
                      <a:off x="0" y="0"/>
                      <a:ext cx="5492669" cy="280369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AA7C662" w14:textId="77777777" w:rsidR="00137B0F" w:rsidRDefault="00137B0F" w:rsidP="007000F8">
      <w:pPr>
        <w:pStyle w:val="Caption"/>
      </w:pPr>
      <w:bookmarkStart w:id="371" w:name="_Toc365579445"/>
      <w:bookmarkStart w:id="372" w:name="_Toc368056044"/>
      <w:bookmarkStart w:id="373" w:name="_Toc419116472"/>
      <w:r>
        <w:t xml:space="preserve">Figure </w:t>
      </w:r>
      <w:r>
        <w:fldChar w:fldCharType="begin"/>
      </w:r>
      <w:r>
        <w:instrText xml:space="preserve"> STYLEREF 1 \s </w:instrText>
      </w:r>
      <w:r>
        <w:fldChar w:fldCharType="separate"/>
      </w:r>
      <w:r w:rsidR="007220A7">
        <w:rPr>
          <w:noProof/>
        </w:rPr>
        <w:t>7</w:t>
      </w:r>
      <w:r>
        <w:fldChar w:fldCharType="end"/>
      </w:r>
      <w:r>
        <w:noBreakHyphen/>
      </w:r>
      <w:r>
        <w:fldChar w:fldCharType="begin"/>
      </w:r>
      <w:r>
        <w:instrText xml:space="preserve"> SEQ Figure \* ARABIC \s 1 </w:instrText>
      </w:r>
      <w:r>
        <w:fldChar w:fldCharType="separate"/>
      </w:r>
      <w:r w:rsidR="007220A7">
        <w:rPr>
          <w:noProof/>
        </w:rPr>
        <w:t>5</w:t>
      </w:r>
      <w:r>
        <w:fldChar w:fldCharType="end"/>
      </w:r>
      <w:r>
        <w:t xml:space="preserve"> Means across the four conditions for overall pre-course confidence for present data analysed (n=58), versus those for missing values with the means for the three conditions as a comparison (n=36)</w:t>
      </w:r>
      <w:bookmarkEnd w:id="371"/>
      <w:bookmarkEnd w:id="372"/>
      <w:r>
        <w:t xml:space="preserve"> Error bars 95% CI</w:t>
      </w:r>
      <w:bookmarkEnd w:id="373"/>
    </w:p>
    <w:p w14:paraId="12259443" w14:textId="77777777" w:rsidR="0096321B" w:rsidRPr="0096321B" w:rsidRDefault="0096321B" w:rsidP="0096321B"/>
    <w:p w14:paraId="7172756A" w14:textId="77777777" w:rsidR="00137B0F" w:rsidRDefault="00137B0F" w:rsidP="00137B0F">
      <w:pPr>
        <w:pStyle w:val="Heading3"/>
      </w:pPr>
      <w:bookmarkStart w:id="374" w:name="_Toc343501187"/>
      <w:bookmarkStart w:id="375" w:name="_Toc348686389"/>
      <w:bookmarkStart w:id="376" w:name="_Toc419116188"/>
      <w:r>
        <w:lastRenderedPageBreak/>
        <w:t>Correlations: Confidence and Performance</w:t>
      </w:r>
      <w:bookmarkEnd w:id="374"/>
      <w:bookmarkEnd w:id="375"/>
      <w:bookmarkEnd w:id="376"/>
    </w:p>
    <w:p w14:paraId="4F0F5F37" w14:textId="77777777" w:rsidR="00137B0F" w:rsidRDefault="00137B0F" w:rsidP="00137B0F"/>
    <w:p w14:paraId="1BC496A0" w14:textId="77777777" w:rsidR="00137B0F" w:rsidRPr="0059719B" w:rsidRDefault="00137B0F" w:rsidP="00137B0F">
      <w:pPr>
        <w:rPr>
          <w:rFonts w:ascii="Times New Roman" w:eastAsiaTheme="minorEastAsia" w:hAnsi="Times New Roman"/>
          <w:szCs w:val="24"/>
          <w:lang w:val="en-US"/>
        </w:rPr>
      </w:pPr>
      <w:r>
        <w:t xml:space="preserve">The pilot study demonstrated no clear relationship between confidence and performance. This has been explored more formally using pre-course confidence scores and formative assessment marks for all 94 participants in the final study. Covariance represents whether two variables are associated, in this case self-rated confidence and performance. Standard deviation is used to overcome the issue of difference in measurement scales. </w:t>
      </w:r>
    </w:p>
    <w:p w14:paraId="5FD34334" w14:textId="77777777" w:rsidR="00137B0F" w:rsidRPr="0059719B" w:rsidRDefault="00137B0F" w:rsidP="00137B0F">
      <w:pPr>
        <w:widowControl w:val="0"/>
        <w:autoSpaceDE w:val="0"/>
        <w:autoSpaceDN w:val="0"/>
        <w:adjustRightInd w:val="0"/>
        <w:spacing w:before="0" w:after="0"/>
        <w:rPr>
          <w:rFonts w:ascii="Times New Roman" w:eastAsiaTheme="minorEastAsia" w:hAnsi="Times New Roman"/>
          <w:szCs w:val="24"/>
          <w:lang w:val="en-US"/>
        </w:rPr>
      </w:pPr>
      <w:r w:rsidRPr="00CB48F4">
        <w:rPr>
          <w:rFonts w:eastAsiaTheme="minorEastAsia" w:cs="Arial"/>
          <w:szCs w:val="24"/>
          <w:lang w:val="en-US"/>
        </w:rPr>
        <w:t xml:space="preserve">The </w:t>
      </w:r>
      <w:proofErr w:type="spellStart"/>
      <w:r w:rsidRPr="00CB48F4">
        <w:rPr>
          <w:rFonts w:eastAsiaTheme="minorEastAsia" w:cs="Arial"/>
          <w:szCs w:val="24"/>
          <w:lang w:val="en-US"/>
        </w:rPr>
        <w:t>standardised</w:t>
      </w:r>
      <w:proofErr w:type="spellEnd"/>
      <w:r w:rsidRPr="00CB48F4">
        <w:rPr>
          <w:rFonts w:eastAsiaTheme="minorEastAsia" w:cs="Arial"/>
          <w:szCs w:val="24"/>
          <w:lang w:val="en-US"/>
        </w:rPr>
        <w:t xml:space="preserve"> covariance is known as the correlation coefficient</w:t>
      </w:r>
      <w:r>
        <w:rPr>
          <w:rFonts w:eastAsiaTheme="minorEastAsia" w:cs="Arial"/>
          <w:szCs w:val="24"/>
          <w:lang w:val="en-US"/>
        </w:rPr>
        <w:t xml:space="preserve"> or ‘r’ or Pearson’s correlation coefficient. A coefficient of +1 indicates variables are perfectly positively correlated and -1 a perfect negative relationship, zero indicates no linear relationship. Correlation coefficients do not indicate direction of causality due to the fact there will be influence from other immeasurable variables. Bivariate correlation using the Pearson’s correlation coefficient was explored. It was felt that the more confident a person was the better they would perform particularly under pressure from being observed. Due to this directional hypothesis, specification of a one-tailed test was selected.</w:t>
      </w:r>
    </w:p>
    <w:p w14:paraId="46C5FBE1" w14:textId="77777777" w:rsidR="00137B0F" w:rsidRPr="0059719B" w:rsidRDefault="00137B0F" w:rsidP="00137B0F">
      <w:pPr>
        <w:widowControl w:val="0"/>
        <w:autoSpaceDE w:val="0"/>
        <w:autoSpaceDN w:val="0"/>
        <w:adjustRightInd w:val="0"/>
        <w:spacing w:before="0" w:after="0" w:line="400" w:lineRule="atLeast"/>
        <w:rPr>
          <w:rFonts w:ascii="Times New Roman" w:eastAsiaTheme="minorEastAsia" w:hAnsi="Times New Roman"/>
          <w:szCs w:val="24"/>
          <w:lang w:val="en-US"/>
        </w:rPr>
      </w:pPr>
    </w:p>
    <w:p w14:paraId="345CC659" w14:textId="7D0F7AF8" w:rsidR="00137B0F" w:rsidDel="00B11165" w:rsidRDefault="00137B0F" w:rsidP="00137B0F">
      <w:r w:rsidRPr="00D1515A">
        <w:rPr>
          <w:lang w:val="en-US"/>
        </w:rPr>
        <w:t xml:space="preserve">The </w:t>
      </w:r>
      <w:r>
        <w:rPr>
          <w:lang w:val="en-US"/>
        </w:rPr>
        <w:t xml:space="preserve">correlation coefficient with other variables r is equal to 0.48; the significance value of 0.325 demonstrates that there is not a significant relationship between these two variables </w:t>
      </w:r>
      <w:r w:rsidR="00125B98">
        <w:rPr>
          <w:lang w:val="en-US"/>
        </w:rPr>
        <w:t>for the 94 students (Appendix 13</w:t>
      </w:r>
      <w:r>
        <w:rPr>
          <w:lang w:val="en-US"/>
        </w:rPr>
        <w:t xml:space="preserve">.31). By squaring the correlation coefficient as above (R squared – coefficient of determination), this measures the ‘amount of variability in one variable that is shared by the other’ </w:t>
      </w:r>
      <w:r>
        <w:rPr>
          <w:lang w:val="en-US"/>
        </w:rPr>
        <w:fldChar w:fldCharType="begin"/>
      </w:r>
      <w:r w:rsidR="006102D5">
        <w:rPr>
          <w:lang w:val="en-US"/>
        </w:rPr>
        <w:instrText xml:space="preserve"> ADDIN EN.CITE &lt;EndNote&gt;&lt;Cite&gt;&lt;Author&gt;Field&lt;/Author&gt;&lt;Year&gt;2012&lt;/Year&gt;&lt;IDText&gt;Discovering statistics using IBM SPSS statistics&lt;/IDText&gt;&lt;DisplayText&gt;(Field, 2012)&lt;/DisplayText&gt;&lt;record&gt;&lt;isbn&gt;978-1-4462-4917-8&lt;/isbn&gt;&lt;titles&gt;&lt;title&gt;Discovering statistics using IBM SPSS statistics&lt;/title&gt;&lt;/titles&gt;&lt;contributors&gt;&lt;authors&gt;&lt;author&gt;Field, Andy&lt;/author&gt;&lt;/authors&gt;&lt;/contributors&gt;&lt;edition&gt;4th&lt;/edition&gt;&lt;added-date format="utc"&gt;1465549825&lt;/added-date&gt;&lt;pub-location&gt;London&lt;/pub-location&gt;&lt;ref-type name="Book"&gt;6&lt;/ref-type&gt;&lt;dates&gt;&lt;year&gt;2012&lt;/year&gt;&lt;/dates&gt;&lt;rec-number&gt;252&lt;/rec-number&gt;&lt;publisher&gt;SAGE Publications&lt;/publisher&gt;&lt;last-updated-date format="utc"&gt;1465549988&lt;/last-updated-date&gt;&lt;contributors&gt;&lt;secondary-authors&gt;&lt;author&gt;Carmichael, Michael&lt;/author&gt;&lt;/secondary-authors&gt;&lt;/contributors&gt;&lt;/record&gt;&lt;/Cite&gt;&lt;/EndNote&gt;</w:instrText>
      </w:r>
      <w:r>
        <w:rPr>
          <w:lang w:val="en-US"/>
        </w:rPr>
        <w:fldChar w:fldCharType="separate"/>
      </w:r>
      <w:r w:rsidR="006102D5">
        <w:rPr>
          <w:noProof/>
          <w:lang w:val="en-US"/>
        </w:rPr>
        <w:t>(Field, 2012</w:t>
      </w:r>
      <w:r w:rsidR="009677EC">
        <w:rPr>
          <w:noProof/>
          <w:lang w:val="en-US"/>
        </w:rPr>
        <w:t xml:space="preserve">; </w:t>
      </w:r>
      <w:r>
        <w:rPr>
          <w:lang w:val="en-US"/>
        </w:rPr>
        <w:fldChar w:fldCharType="end"/>
      </w:r>
      <w:r w:rsidR="00125B98">
        <w:rPr>
          <w:lang w:val="en-US"/>
        </w:rPr>
        <w:t>p276)</w:t>
      </w:r>
      <w:r>
        <w:rPr>
          <w:lang w:val="en-US"/>
        </w:rPr>
        <w:t xml:space="preserve">. Self-rated confidence may vary from </w:t>
      </w:r>
      <w:r>
        <w:rPr>
          <w:lang w:val="en-US"/>
        </w:rPr>
        <w:lastRenderedPageBreak/>
        <w:t xml:space="preserve">person to person due to many factors such as personality, emotional intelligence, and how they feel on that day. If added together then it is possible to estimate how much variability is shared by performance. The value of R squared, 0.002 means that 0.2% of the variability in confidence is shared by performance, which is very low and leaves 99.8% of the variability to be accounted for. </w:t>
      </w:r>
    </w:p>
    <w:tbl>
      <w:tblPr>
        <w:tblpPr w:leftFromText="180" w:rightFromText="180" w:vertAnchor="text" w:horzAnchor="page" w:tblpX="2449" w:tblpY="974"/>
        <w:tblW w:w="84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99"/>
        <w:gridCol w:w="1751"/>
        <w:gridCol w:w="1328"/>
        <w:gridCol w:w="1328"/>
        <w:gridCol w:w="1400"/>
        <w:gridCol w:w="977"/>
        <w:gridCol w:w="979"/>
      </w:tblGrid>
      <w:tr w:rsidR="00137B0F" w:rsidRPr="00EE4D09" w14:paraId="2A6EDEA9" w14:textId="77777777" w:rsidTr="00977660">
        <w:trPr>
          <w:cantSplit/>
          <w:trHeight w:val="324"/>
        </w:trPr>
        <w:tc>
          <w:tcPr>
            <w:tcW w:w="8462" w:type="dxa"/>
            <w:gridSpan w:val="7"/>
            <w:tcBorders>
              <w:top w:val="nil"/>
              <w:left w:val="nil"/>
              <w:bottom w:val="nil"/>
              <w:right w:val="nil"/>
            </w:tcBorders>
            <w:shd w:val="clear" w:color="auto" w:fill="FFFFFF"/>
            <w:vAlign w:val="center"/>
          </w:tcPr>
          <w:p w14:paraId="6632157A" w14:textId="77777777" w:rsidR="00137B0F" w:rsidRPr="00686A9C" w:rsidRDefault="00137B0F" w:rsidP="00977660">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proofErr w:type="spellStart"/>
            <w:r w:rsidRPr="00686A9C">
              <w:rPr>
                <w:rFonts w:eastAsiaTheme="minorEastAsia" w:cs="Arial"/>
                <w:b/>
                <w:bCs/>
                <w:color w:val="000000"/>
                <w:sz w:val="20"/>
                <w:szCs w:val="20"/>
                <w:lang w:val="en-US"/>
              </w:rPr>
              <w:t>Coefficients</w:t>
            </w:r>
            <w:r w:rsidRPr="00686A9C">
              <w:rPr>
                <w:rFonts w:eastAsiaTheme="minorEastAsia" w:cs="Arial"/>
                <w:b/>
                <w:bCs/>
                <w:color w:val="000000"/>
                <w:sz w:val="20"/>
                <w:szCs w:val="20"/>
                <w:vertAlign w:val="superscript"/>
                <w:lang w:val="en-US"/>
              </w:rPr>
              <w:t>a</w:t>
            </w:r>
            <w:proofErr w:type="spellEnd"/>
          </w:p>
        </w:tc>
      </w:tr>
      <w:tr w:rsidR="00137B0F" w:rsidRPr="00EE4D09" w14:paraId="408849D4" w14:textId="77777777" w:rsidTr="00977660">
        <w:trPr>
          <w:cantSplit/>
          <w:trHeight w:val="971"/>
        </w:trPr>
        <w:tc>
          <w:tcPr>
            <w:tcW w:w="2450" w:type="dxa"/>
            <w:gridSpan w:val="2"/>
            <w:vMerge w:val="restart"/>
            <w:tcBorders>
              <w:top w:val="single" w:sz="16" w:space="0" w:color="000000"/>
              <w:left w:val="single" w:sz="16" w:space="0" w:color="000000"/>
              <w:bottom w:val="nil"/>
              <w:right w:val="nil"/>
            </w:tcBorders>
            <w:shd w:val="clear" w:color="auto" w:fill="FFFFFF"/>
            <w:vAlign w:val="bottom"/>
          </w:tcPr>
          <w:p w14:paraId="7A60BE1A" w14:textId="77777777" w:rsidR="00137B0F" w:rsidRPr="00686A9C" w:rsidRDefault="00137B0F" w:rsidP="00977660">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86A9C">
              <w:rPr>
                <w:rFonts w:eastAsiaTheme="minorEastAsia" w:cs="Arial"/>
                <w:color w:val="000000"/>
                <w:sz w:val="20"/>
                <w:szCs w:val="20"/>
                <w:lang w:val="en-US"/>
              </w:rPr>
              <w:t>Model</w:t>
            </w:r>
          </w:p>
        </w:tc>
        <w:tc>
          <w:tcPr>
            <w:tcW w:w="2656" w:type="dxa"/>
            <w:gridSpan w:val="2"/>
            <w:tcBorders>
              <w:top w:val="single" w:sz="16" w:space="0" w:color="000000"/>
              <w:left w:val="single" w:sz="16" w:space="0" w:color="000000"/>
            </w:tcBorders>
            <w:shd w:val="clear" w:color="auto" w:fill="FFFFFF"/>
            <w:vAlign w:val="bottom"/>
          </w:tcPr>
          <w:p w14:paraId="6C69DAF0" w14:textId="77777777" w:rsidR="00137B0F" w:rsidRPr="00686A9C"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proofErr w:type="spellStart"/>
            <w:r w:rsidRPr="00686A9C">
              <w:rPr>
                <w:rFonts w:eastAsiaTheme="minorEastAsia" w:cs="Arial"/>
                <w:color w:val="000000"/>
                <w:sz w:val="20"/>
                <w:szCs w:val="20"/>
                <w:lang w:val="en-US"/>
              </w:rPr>
              <w:t>Unstandardised</w:t>
            </w:r>
            <w:proofErr w:type="spellEnd"/>
            <w:r w:rsidRPr="00686A9C">
              <w:rPr>
                <w:rFonts w:eastAsiaTheme="minorEastAsia" w:cs="Arial"/>
                <w:color w:val="000000"/>
                <w:sz w:val="20"/>
                <w:szCs w:val="20"/>
                <w:lang w:val="en-US"/>
              </w:rPr>
              <w:t xml:space="preserve"> Coefficients</w:t>
            </w:r>
          </w:p>
        </w:tc>
        <w:tc>
          <w:tcPr>
            <w:tcW w:w="1400" w:type="dxa"/>
            <w:tcBorders>
              <w:top w:val="single" w:sz="16" w:space="0" w:color="000000"/>
            </w:tcBorders>
            <w:shd w:val="clear" w:color="auto" w:fill="FFFFFF"/>
            <w:vAlign w:val="bottom"/>
          </w:tcPr>
          <w:p w14:paraId="34010DD1" w14:textId="77777777" w:rsidR="00137B0F" w:rsidRPr="00686A9C"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proofErr w:type="spellStart"/>
            <w:r w:rsidRPr="00686A9C">
              <w:rPr>
                <w:rFonts w:eastAsiaTheme="minorEastAsia" w:cs="Arial"/>
                <w:color w:val="000000"/>
                <w:sz w:val="20"/>
                <w:szCs w:val="20"/>
                <w:lang w:val="en-US"/>
              </w:rPr>
              <w:t>Standardised</w:t>
            </w:r>
            <w:proofErr w:type="spellEnd"/>
            <w:r w:rsidRPr="00686A9C">
              <w:rPr>
                <w:rFonts w:eastAsiaTheme="minorEastAsia" w:cs="Arial"/>
                <w:color w:val="000000"/>
                <w:sz w:val="20"/>
                <w:szCs w:val="20"/>
                <w:lang w:val="en-US"/>
              </w:rPr>
              <w:t xml:space="preserve"> Coefficients</w:t>
            </w:r>
          </w:p>
        </w:tc>
        <w:tc>
          <w:tcPr>
            <w:tcW w:w="977" w:type="dxa"/>
            <w:vMerge w:val="restart"/>
            <w:tcBorders>
              <w:top w:val="single" w:sz="16" w:space="0" w:color="000000"/>
            </w:tcBorders>
            <w:shd w:val="clear" w:color="auto" w:fill="FFFFFF"/>
            <w:vAlign w:val="bottom"/>
          </w:tcPr>
          <w:p w14:paraId="277BE2AB" w14:textId="77777777" w:rsidR="00137B0F" w:rsidRPr="00686A9C"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86A9C">
              <w:rPr>
                <w:rFonts w:eastAsiaTheme="minorEastAsia" w:cs="Arial"/>
                <w:color w:val="000000"/>
                <w:sz w:val="20"/>
                <w:szCs w:val="20"/>
                <w:lang w:val="en-US"/>
              </w:rPr>
              <w:t>t</w:t>
            </w:r>
          </w:p>
        </w:tc>
        <w:tc>
          <w:tcPr>
            <w:tcW w:w="977" w:type="dxa"/>
            <w:vMerge w:val="restart"/>
            <w:tcBorders>
              <w:top w:val="single" w:sz="16" w:space="0" w:color="000000"/>
              <w:right w:val="single" w:sz="16" w:space="0" w:color="000000"/>
            </w:tcBorders>
            <w:shd w:val="clear" w:color="auto" w:fill="FFFFFF"/>
            <w:vAlign w:val="bottom"/>
          </w:tcPr>
          <w:p w14:paraId="56B3887F" w14:textId="77777777" w:rsidR="00137B0F" w:rsidRPr="00686A9C"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86A9C">
              <w:rPr>
                <w:rFonts w:eastAsiaTheme="minorEastAsia" w:cs="Arial"/>
                <w:color w:val="000000"/>
                <w:sz w:val="20"/>
                <w:szCs w:val="20"/>
                <w:lang w:val="en-US"/>
              </w:rPr>
              <w:t>Sig.</w:t>
            </w:r>
          </w:p>
        </w:tc>
      </w:tr>
      <w:tr w:rsidR="00137B0F" w:rsidRPr="00EE4D09" w14:paraId="24D30B12" w14:textId="77777777" w:rsidTr="00977660">
        <w:trPr>
          <w:cantSplit/>
          <w:trHeight w:val="146"/>
        </w:trPr>
        <w:tc>
          <w:tcPr>
            <w:tcW w:w="2450" w:type="dxa"/>
            <w:gridSpan w:val="2"/>
            <w:vMerge/>
            <w:tcBorders>
              <w:top w:val="single" w:sz="16" w:space="0" w:color="000000"/>
              <w:left w:val="single" w:sz="16" w:space="0" w:color="000000"/>
              <w:bottom w:val="nil"/>
              <w:right w:val="nil"/>
            </w:tcBorders>
            <w:shd w:val="clear" w:color="auto" w:fill="FFFFFF"/>
            <w:vAlign w:val="bottom"/>
          </w:tcPr>
          <w:p w14:paraId="47850DC0" w14:textId="77777777" w:rsidR="00137B0F" w:rsidRPr="00091C34" w:rsidRDefault="00137B0F" w:rsidP="00977660">
            <w:pPr>
              <w:widowControl w:val="0"/>
              <w:autoSpaceDE w:val="0"/>
              <w:autoSpaceDN w:val="0"/>
              <w:adjustRightInd w:val="0"/>
              <w:spacing w:before="0" w:after="0" w:line="240" w:lineRule="auto"/>
              <w:rPr>
                <w:rFonts w:eastAsiaTheme="minorEastAsia" w:cs="Arial"/>
                <w:color w:val="000000"/>
                <w:sz w:val="20"/>
                <w:szCs w:val="20"/>
                <w:lang w:val="en-US"/>
              </w:rPr>
            </w:pPr>
          </w:p>
        </w:tc>
        <w:tc>
          <w:tcPr>
            <w:tcW w:w="1328" w:type="dxa"/>
            <w:tcBorders>
              <w:left w:val="single" w:sz="16" w:space="0" w:color="000000"/>
              <w:bottom w:val="single" w:sz="16" w:space="0" w:color="000000"/>
            </w:tcBorders>
            <w:shd w:val="clear" w:color="auto" w:fill="FFFFFF"/>
            <w:vAlign w:val="bottom"/>
          </w:tcPr>
          <w:p w14:paraId="566D6061" w14:textId="77777777" w:rsidR="00137B0F" w:rsidRPr="00091C34"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B</w:t>
            </w:r>
          </w:p>
        </w:tc>
        <w:tc>
          <w:tcPr>
            <w:tcW w:w="1328" w:type="dxa"/>
            <w:tcBorders>
              <w:bottom w:val="single" w:sz="16" w:space="0" w:color="000000"/>
            </w:tcBorders>
            <w:shd w:val="clear" w:color="auto" w:fill="FFFFFF"/>
            <w:vAlign w:val="bottom"/>
          </w:tcPr>
          <w:p w14:paraId="3D175D14" w14:textId="77777777" w:rsidR="00137B0F" w:rsidRPr="00091C34"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Std. Error</w:t>
            </w:r>
          </w:p>
        </w:tc>
        <w:tc>
          <w:tcPr>
            <w:tcW w:w="1400" w:type="dxa"/>
            <w:tcBorders>
              <w:bottom w:val="single" w:sz="16" w:space="0" w:color="000000"/>
            </w:tcBorders>
            <w:shd w:val="clear" w:color="auto" w:fill="FFFFFF"/>
            <w:vAlign w:val="bottom"/>
          </w:tcPr>
          <w:p w14:paraId="445A9B10" w14:textId="77777777" w:rsidR="00137B0F" w:rsidRPr="00091C34"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Beta</w:t>
            </w:r>
          </w:p>
        </w:tc>
        <w:tc>
          <w:tcPr>
            <w:tcW w:w="977" w:type="dxa"/>
            <w:vMerge/>
            <w:tcBorders>
              <w:top w:val="single" w:sz="16" w:space="0" w:color="000000"/>
            </w:tcBorders>
            <w:shd w:val="clear" w:color="auto" w:fill="FFFFFF"/>
            <w:vAlign w:val="bottom"/>
          </w:tcPr>
          <w:p w14:paraId="62FB83A3" w14:textId="77777777" w:rsidR="00137B0F" w:rsidRPr="00091C34" w:rsidRDefault="00137B0F" w:rsidP="00977660">
            <w:pPr>
              <w:widowControl w:val="0"/>
              <w:autoSpaceDE w:val="0"/>
              <w:autoSpaceDN w:val="0"/>
              <w:adjustRightInd w:val="0"/>
              <w:spacing w:before="0" w:after="0" w:line="240" w:lineRule="auto"/>
              <w:rPr>
                <w:rFonts w:eastAsiaTheme="minorEastAsia" w:cs="Arial"/>
                <w:color w:val="000000"/>
                <w:sz w:val="20"/>
                <w:szCs w:val="20"/>
                <w:lang w:val="en-US"/>
              </w:rPr>
            </w:pPr>
          </w:p>
        </w:tc>
        <w:tc>
          <w:tcPr>
            <w:tcW w:w="977" w:type="dxa"/>
            <w:vMerge/>
            <w:tcBorders>
              <w:top w:val="single" w:sz="16" w:space="0" w:color="000000"/>
              <w:right w:val="single" w:sz="16" w:space="0" w:color="000000"/>
            </w:tcBorders>
            <w:shd w:val="clear" w:color="auto" w:fill="FFFFFF"/>
            <w:vAlign w:val="bottom"/>
          </w:tcPr>
          <w:p w14:paraId="65F5E159" w14:textId="77777777" w:rsidR="00137B0F" w:rsidRPr="00091C34" w:rsidRDefault="00137B0F" w:rsidP="00977660">
            <w:pPr>
              <w:widowControl w:val="0"/>
              <w:autoSpaceDE w:val="0"/>
              <w:autoSpaceDN w:val="0"/>
              <w:adjustRightInd w:val="0"/>
              <w:spacing w:before="0" w:after="0" w:line="240" w:lineRule="auto"/>
              <w:rPr>
                <w:rFonts w:eastAsiaTheme="minorEastAsia" w:cs="Arial"/>
                <w:color w:val="000000"/>
                <w:sz w:val="20"/>
                <w:szCs w:val="20"/>
                <w:lang w:val="en-US"/>
              </w:rPr>
            </w:pPr>
          </w:p>
        </w:tc>
      </w:tr>
      <w:tr w:rsidR="00137B0F" w:rsidRPr="00EE4D09" w14:paraId="4FE5366E" w14:textId="77777777" w:rsidTr="00977660">
        <w:trPr>
          <w:cantSplit/>
          <w:trHeight w:val="324"/>
        </w:trPr>
        <w:tc>
          <w:tcPr>
            <w:tcW w:w="699" w:type="dxa"/>
            <w:vMerge w:val="restart"/>
            <w:tcBorders>
              <w:top w:val="single" w:sz="16" w:space="0" w:color="000000"/>
              <w:left w:val="single" w:sz="16" w:space="0" w:color="000000"/>
              <w:bottom w:val="single" w:sz="16" w:space="0" w:color="000000"/>
              <w:right w:val="nil"/>
            </w:tcBorders>
            <w:shd w:val="clear" w:color="auto" w:fill="FFFFFF"/>
          </w:tcPr>
          <w:p w14:paraId="4F5C6F0E" w14:textId="77777777" w:rsidR="00137B0F" w:rsidRPr="00686A9C" w:rsidRDefault="00137B0F" w:rsidP="00977660">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86A9C">
              <w:rPr>
                <w:rFonts w:eastAsiaTheme="minorEastAsia" w:cs="Arial"/>
                <w:color w:val="000000"/>
                <w:sz w:val="20"/>
                <w:szCs w:val="20"/>
                <w:lang w:val="en-US"/>
              </w:rPr>
              <w:t>1</w:t>
            </w:r>
          </w:p>
        </w:tc>
        <w:tc>
          <w:tcPr>
            <w:tcW w:w="1751" w:type="dxa"/>
            <w:tcBorders>
              <w:top w:val="single" w:sz="16" w:space="0" w:color="000000"/>
              <w:left w:val="nil"/>
              <w:bottom w:val="nil"/>
              <w:right w:val="single" w:sz="16" w:space="0" w:color="000000"/>
            </w:tcBorders>
            <w:shd w:val="clear" w:color="auto" w:fill="FFFFFF"/>
          </w:tcPr>
          <w:p w14:paraId="281D4ACC" w14:textId="77777777" w:rsidR="00137B0F" w:rsidRPr="00686A9C" w:rsidRDefault="00137B0F" w:rsidP="00977660">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86A9C">
              <w:rPr>
                <w:rFonts w:eastAsiaTheme="minorEastAsia" w:cs="Arial"/>
                <w:color w:val="000000"/>
                <w:sz w:val="20"/>
                <w:szCs w:val="20"/>
                <w:lang w:val="en-US"/>
              </w:rPr>
              <w:t>(Constant)</w:t>
            </w:r>
          </w:p>
        </w:tc>
        <w:tc>
          <w:tcPr>
            <w:tcW w:w="1328" w:type="dxa"/>
            <w:tcBorders>
              <w:top w:val="single" w:sz="16" w:space="0" w:color="000000"/>
              <w:left w:val="single" w:sz="16" w:space="0" w:color="000000"/>
              <w:bottom w:val="nil"/>
            </w:tcBorders>
            <w:shd w:val="clear" w:color="auto" w:fill="FFFFFF"/>
            <w:vAlign w:val="center"/>
          </w:tcPr>
          <w:p w14:paraId="06CB3E5E" w14:textId="77777777" w:rsidR="00137B0F" w:rsidRPr="00686A9C"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86A9C">
              <w:rPr>
                <w:rFonts w:eastAsiaTheme="minorEastAsia" w:cs="Arial"/>
                <w:color w:val="000000"/>
                <w:sz w:val="20"/>
                <w:szCs w:val="20"/>
                <w:lang w:val="en-US"/>
              </w:rPr>
              <w:t>113.649</w:t>
            </w:r>
          </w:p>
        </w:tc>
        <w:tc>
          <w:tcPr>
            <w:tcW w:w="1328" w:type="dxa"/>
            <w:tcBorders>
              <w:top w:val="single" w:sz="16" w:space="0" w:color="000000"/>
              <w:bottom w:val="nil"/>
            </w:tcBorders>
            <w:shd w:val="clear" w:color="auto" w:fill="FFFFFF"/>
            <w:vAlign w:val="center"/>
          </w:tcPr>
          <w:p w14:paraId="3E244FD9" w14:textId="77777777" w:rsidR="00137B0F" w:rsidRPr="00686A9C"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86A9C">
              <w:rPr>
                <w:rFonts w:eastAsiaTheme="minorEastAsia" w:cs="Arial"/>
                <w:color w:val="000000"/>
                <w:sz w:val="20"/>
                <w:szCs w:val="20"/>
                <w:lang w:val="en-US"/>
              </w:rPr>
              <w:t>7.331</w:t>
            </w:r>
          </w:p>
        </w:tc>
        <w:tc>
          <w:tcPr>
            <w:tcW w:w="1400" w:type="dxa"/>
            <w:tcBorders>
              <w:top w:val="single" w:sz="16" w:space="0" w:color="000000"/>
              <w:bottom w:val="nil"/>
            </w:tcBorders>
            <w:shd w:val="clear" w:color="auto" w:fill="FFFFFF"/>
            <w:vAlign w:val="center"/>
          </w:tcPr>
          <w:p w14:paraId="12181E69" w14:textId="77777777" w:rsidR="00137B0F" w:rsidRPr="00686A9C" w:rsidRDefault="00137B0F" w:rsidP="00977660">
            <w:pPr>
              <w:widowControl w:val="0"/>
              <w:autoSpaceDE w:val="0"/>
              <w:autoSpaceDN w:val="0"/>
              <w:adjustRightInd w:val="0"/>
              <w:spacing w:before="0" w:after="0" w:line="240" w:lineRule="auto"/>
              <w:jc w:val="center"/>
              <w:rPr>
                <w:rFonts w:ascii="Times New Roman" w:eastAsiaTheme="minorEastAsia" w:hAnsi="Times New Roman"/>
                <w:sz w:val="20"/>
                <w:szCs w:val="20"/>
                <w:lang w:val="en-US"/>
              </w:rPr>
            </w:pPr>
          </w:p>
        </w:tc>
        <w:tc>
          <w:tcPr>
            <w:tcW w:w="977" w:type="dxa"/>
            <w:tcBorders>
              <w:top w:val="single" w:sz="16" w:space="0" w:color="000000"/>
              <w:bottom w:val="nil"/>
            </w:tcBorders>
            <w:shd w:val="clear" w:color="auto" w:fill="FFFFFF"/>
            <w:vAlign w:val="center"/>
          </w:tcPr>
          <w:p w14:paraId="42536F2C" w14:textId="77777777" w:rsidR="00137B0F" w:rsidRPr="00686A9C"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86A9C">
              <w:rPr>
                <w:rFonts w:eastAsiaTheme="minorEastAsia" w:cs="Arial"/>
                <w:color w:val="000000"/>
                <w:sz w:val="20"/>
                <w:szCs w:val="20"/>
                <w:lang w:val="en-US"/>
              </w:rPr>
              <w:t>15.504</w:t>
            </w:r>
          </w:p>
        </w:tc>
        <w:tc>
          <w:tcPr>
            <w:tcW w:w="977" w:type="dxa"/>
            <w:tcBorders>
              <w:top w:val="single" w:sz="16" w:space="0" w:color="000000"/>
              <w:bottom w:val="nil"/>
              <w:right w:val="single" w:sz="16" w:space="0" w:color="000000"/>
            </w:tcBorders>
            <w:shd w:val="clear" w:color="auto" w:fill="FFFFFF"/>
            <w:vAlign w:val="center"/>
          </w:tcPr>
          <w:p w14:paraId="15DCBA56" w14:textId="77777777" w:rsidR="00137B0F" w:rsidRPr="00686A9C"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86A9C">
              <w:rPr>
                <w:rFonts w:eastAsiaTheme="minorEastAsia" w:cs="Arial"/>
                <w:color w:val="000000"/>
                <w:sz w:val="20"/>
                <w:szCs w:val="20"/>
                <w:lang w:val="en-US"/>
              </w:rPr>
              <w:t>.000</w:t>
            </w:r>
          </w:p>
        </w:tc>
      </w:tr>
      <w:tr w:rsidR="00137B0F" w:rsidRPr="00EE4D09" w14:paraId="56C3EF97" w14:textId="77777777" w:rsidTr="00977660">
        <w:trPr>
          <w:cantSplit/>
          <w:trHeight w:val="146"/>
        </w:trPr>
        <w:tc>
          <w:tcPr>
            <w:tcW w:w="699" w:type="dxa"/>
            <w:vMerge/>
            <w:tcBorders>
              <w:top w:val="single" w:sz="16" w:space="0" w:color="000000"/>
              <w:left w:val="single" w:sz="16" w:space="0" w:color="000000"/>
              <w:bottom w:val="single" w:sz="16" w:space="0" w:color="000000"/>
              <w:right w:val="nil"/>
            </w:tcBorders>
            <w:shd w:val="clear" w:color="auto" w:fill="FFFFFF"/>
          </w:tcPr>
          <w:p w14:paraId="2765F4DA" w14:textId="77777777" w:rsidR="00137B0F" w:rsidRPr="00091C34" w:rsidRDefault="00137B0F" w:rsidP="00977660">
            <w:pPr>
              <w:widowControl w:val="0"/>
              <w:autoSpaceDE w:val="0"/>
              <w:autoSpaceDN w:val="0"/>
              <w:adjustRightInd w:val="0"/>
              <w:spacing w:before="0" w:after="0" w:line="240" w:lineRule="auto"/>
              <w:rPr>
                <w:rFonts w:eastAsiaTheme="minorEastAsia" w:cs="Arial"/>
                <w:color w:val="000000"/>
                <w:sz w:val="20"/>
                <w:szCs w:val="20"/>
                <w:lang w:val="en-US"/>
              </w:rPr>
            </w:pPr>
          </w:p>
        </w:tc>
        <w:tc>
          <w:tcPr>
            <w:tcW w:w="1751" w:type="dxa"/>
            <w:tcBorders>
              <w:top w:val="nil"/>
              <w:left w:val="nil"/>
              <w:bottom w:val="single" w:sz="16" w:space="0" w:color="000000"/>
              <w:right w:val="single" w:sz="16" w:space="0" w:color="000000"/>
            </w:tcBorders>
            <w:shd w:val="clear" w:color="auto" w:fill="FFFFFF"/>
          </w:tcPr>
          <w:p w14:paraId="0D6F0F56" w14:textId="77777777" w:rsidR="00137B0F" w:rsidRPr="00091C34" w:rsidRDefault="00137B0F" w:rsidP="00977660">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091C34">
              <w:rPr>
                <w:rFonts w:eastAsiaTheme="minorEastAsia" w:cs="Arial"/>
                <w:color w:val="000000"/>
                <w:sz w:val="20"/>
                <w:szCs w:val="20"/>
                <w:lang w:val="en-US"/>
              </w:rPr>
              <w:t>20 Overall confidence Pre-course</w:t>
            </w:r>
          </w:p>
        </w:tc>
        <w:tc>
          <w:tcPr>
            <w:tcW w:w="1328" w:type="dxa"/>
            <w:tcBorders>
              <w:top w:val="nil"/>
              <w:left w:val="single" w:sz="16" w:space="0" w:color="000000"/>
              <w:bottom w:val="single" w:sz="16" w:space="0" w:color="000000"/>
            </w:tcBorders>
            <w:shd w:val="clear" w:color="auto" w:fill="FFFFFF"/>
            <w:vAlign w:val="center"/>
          </w:tcPr>
          <w:p w14:paraId="78AC1C4C" w14:textId="77777777" w:rsidR="00137B0F" w:rsidRPr="00091C34"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.570</w:t>
            </w:r>
          </w:p>
        </w:tc>
        <w:tc>
          <w:tcPr>
            <w:tcW w:w="1328" w:type="dxa"/>
            <w:tcBorders>
              <w:top w:val="nil"/>
              <w:bottom w:val="single" w:sz="16" w:space="0" w:color="000000"/>
            </w:tcBorders>
            <w:shd w:val="clear" w:color="auto" w:fill="FFFFFF"/>
            <w:vAlign w:val="center"/>
          </w:tcPr>
          <w:p w14:paraId="7DC68970" w14:textId="77777777" w:rsidR="00137B0F" w:rsidRPr="00091C34"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1.250</w:t>
            </w:r>
          </w:p>
        </w:tc>
        <w:tc>
          <w:tcPr>
            <w:tcW w:w="1400" w:type="dxa"/>
            <w:tcBorders>
              <w:top w:val="nil"/>
              <w:bottom w:val="single" w:sz="16" w:space="0" w:color="000000"/>
            </w:tcBorders>
            <w:shd w:val="clear" w:color="auto" w:fill="FFFFFF"/>
            <w:vAlign w:val="center"/>
          </w:tcPr>
          <w:p w14:paraId="44939B60" w14:textId="77777777" w:rsidR="00137B0F" w:rsidRPr="00091C34"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.048</w:t>
            </w:r>
          </w:p>
        </w:tc>
        <w:tc>
          <w:tcPr>
            <w:tcW w:w="977" w:type="dxa"/>
            <w:tcBorders>
              <w:top w:val="nil"/>
              <w:bottom w:val="single" w:sz="16" w:space="0" w:color="000000"/>
            </w:tcBorders>
            <w:shd w:val="clear" w:color="auto" w:fill="FFFFFF"/>
            <w:vAlign w:val="center"/>
          </w:tcPr>
          <w:p w14:paraId="6DBC9E4B" w14:textId="77777777" w:rsidR="00137B0F" w:rsidRPr="00091C34"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.456</w:t>
            </w:r>
          </w:p>
        </w:tc>
        <w:tc>
          <w:tcPr>
            <w:tcW w:w="977" w:type="dxa"/>
            <w:tcBorders>
              <w:top w:val="nil"/>
              <w:bottom w:val="single" w:sz="16" w:space="0" w:color="000000"/>
              <w:right w:val="single" w:sz="16" w:space="0" w:color="000000"/>
            </w:tcBorders>
            <w:shd w:val="clear" w:color="auto" w:fill="FFFFFF"/>
            <w:vAlign w:val="center"/>
          </w:tcPr>
          <w:p w14:paraId="78119D14" w14:textId="77777777" w:rsidR="00137B0F" w:rsidRPr="00091C34" w:rsidRDefault="00137B0F" w:rsidP="00977660">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091C34">
              <w:rPr>
                <w:rFonts w:eastAsiaTheme="minorEastAsia" w:cs="Arial"/>
                <w:color w:val="000000"/>
                <w:sz w:val="20"/>
                <w:szCs w:val="20"/>
                <w:lang w:val="en-US"/>
              </w:rPr>
              <w:t>.649</w:t>
            </w:r>
          </w:p>
        </w:tc>
      </w:tr>
    </w:tbl>
    <w:p w14:paraId="35CB6047" w14:textId="77777777" w:rsidR="00137B0F" w:rsidRDefault="00137B0F" w:rsidP="007000F8">
      <w:pPr>
        <w:pStyle w:val="Caption"/>
      </w:pPr>
      <w:r>
        <w:t xml:space="preserve">Table </w:t>
      </w:r>
      <w:r>
        <w:fldChar w:fldCharType="begin"/>
      </w:r>
      <w:r>
        <w:instrText xml:space="preserve"> STYLEREF 1 \s </w:instrText>
      </w:r>
      <w:r>
        <w:fldChar w:fldCharType="separate"/>
      </w:r>
      <w:r w:rsidR="007220A7">
        <w:rPr>
          <w:noProof/>
        </w:rPr>
        <w:t>7</w:t>
      </w:r>
      <w:r>
        <w:fldChar w:fldCharType="end"/>
      </w:r>
      <w:r>
        <w:noBreakHyphen/>
        <w:t>12 Regression analysis coefficients</w:t>
      </w:r>
    </w:p>
    <w:p w14:paraId="56395743" w14:textId="77777777" w:rsidR="00137B0F" w:rsidRDefault="00137B0F" w:rsidP="00137B0F">
      <w:pPr>
        <w:widowControl w:val="0"/>
        <w:autoSpaceDE w:val="0"/>
        <w:autoSpaceDN w:val="0"/>
        <w:adjustRightInd w:val="0"/>
        <w:spacing w:before="0" w:after="0"/>
        <w:rPr>
          <w:rFonts w:eastAsiaTheme="minorEastAsia" w:cs="Arial"/>
          <w:color w:val="000000"/>
          <w:szCs w:val="24"/>
          <w:lang w:val="en-US"/>
        </w:rPr>
      </w:pPr>
    </w:p>
    <w:p w14:paraId="70D58C83" w14:textId="38FB9E0C" w:rsidR="00137B0F" w:rsidRDefault="00137B0F" w:rsidP="00137B0F">
      <w:pPr>
        <w:widowControl w:val="0"/>
        <w:autoSpaceDE w:val="0"/>
        <w:autoSpaceDN w:val="0"/>
        <w:adjustRightInd w:val="0"/>
        <w:spacing w:before="0" w:after="0"/>
        <w:rPr>
          <w:rFonts w:eastAsiaTheme="minorEastAsia" w:cs="Arial"/>
          <w:color w:val="000000"/>
          <w:szCs w:val="24"/>
          <w:lang w:val="en-US"/>
        </w:rPr>
      </w:pPr>
      <w:r>
        <w:rPr>
          <w:rFonts w:eastAsiaTheme="minorEastAsia" w:cs="Arial"/>
          <w:color w:val="000000"/>
          <w:szCs w:val="24"/>
          <w:lang w:val="en-US"/>
        </w:rPr>
        <w:t xml:space="preserve">This is a linear regression model, which maintains that outcome can be predicted from a model and is </w:t>
      </w:r>
      <w:proofErr w:type="spellStart"/>
      <w:r>
        <w:rPr>
          <w:rFonts w:eastAsiaTheme="minorEastAsia" w:cs="Arial"/>
          <w:color w:val="000000"/>
          <w:szCs w:val="24"/>
          <w:lang w:val="en-US"/>
        </w:rPr>
        <w:t>un</w:t>
      </w:r>
      <w:r w:rsidR="009677EC">
        <w:rPr>
          <w:rFonts w:eastAsiaTheme="minorEastAsia" w:cs="Arial"/>
          <w:color w:val="000000"/>
          <w:szCs w:val="24"/>
          <w:lang w:val="en-US"/>
        </w:rPr>
        <w:t>standardised</w:t>
      </w:r>
      <w:proofErr w:type="spellEnd"/>
      <w:r w:rsidR="009677EC">
        <w:rPr>
          <w:rFonts w:eastAsiaTheme="minorEastAsia" w:cs="Arial"/>
          <w:color w:val="000000"/>
          <w:szCs w:val="24"/>
          <w:lang w:val="en-US"/>
        </w:rPr>
        <w:t xml:space="preserve">, or ‘B’. </w:t>
      </w:r>
      <w:r>
        <w:rPr>
          <w:rFonts w:eastAsiaTheme="minorEastAsia" w:cs="Arial"/>
          <w:color w:val="000000"/>
          <w:szCs w:val="24"/>
          <w:lang w:val="en-US"/>
        </w:rPr>
        <w:t xml:space="preserve">A B value of 0.57 represents the change in outcome associated with the change in the predictor, or if confidence is increased by 1 then the model predicts that formative assessment mark will increase by 0.57. The t value is not significant (p= 0.649) meaning the result does not represent a genuine effect, this means that self-rated confidence does not make a significant contribution (p= 0.649) to performance as measured by objective formative marks. </w:t>
      </w:r>
    </w:p>
    <w:p w14:paraId="4B7C825D" w14:textId="77777777" w:rsidR="00137B0F" w:rsidRDefault="00137B0F" w:rsidP="00137B0F">
      <w:pPr>
        <w:widowControl w:val="0"/>
        <w:autoSpaceDE w:val="0"/>
        <w:autoSpaceDN w:val="0"/>
        <w:adjustRightInd w:val="0"/>
        <w:spacing w:before="0" w:after="0"/>
        <w:rPr>
          <w:rFonts w:eastAsiaTheme="minorEastAsia" w:cs="Arial"/>
          <w:color w:val="000000"/>
          <w:szCs w:val="24"/>
          <w:lang w:val="en-US"/>
        </w:rPr>
      </w:pPr>
    </w:p>
    <w:p w14:paraId="02A1FE88" w14:textId="1CDAF5EE" w:rsidR="00137B0F" w:rsidRDefault="00137B0F" w:rsidP="00137B0F">
      <w:pPr>
        <w:widowControl w:val="0"/>
        <w:autoSpaceDE w:val="0"/>
        <w:autoSpaceDN w:val="0"/>
        <w:adjustRightInd w:val="0"/>
        <w:spacing w:before="0" w:after="0"/>
        <w:rPr>
          <w:rFonts w:eastAsiaTheme="minorEastAsia" w:cs="Arial"/>
          <w:szCs w:val="24"/>
          <w:lang w:val="en-US"/>
        </w:rPr>
      </w:pPr>
      <w:r>
        <w:rPr>
          <w:rFonts w:eastAsiaTheme="minorEastAsia" w:cs="Arial"/>
          <w:color w:val="000000"/>
          <w:szCs w:val="24"/>
          <w:lang w:val="en-US"/>
        </w:rPr>
        <w:t xml:space="preserve">The dots </w:t>
      </w:r>
      <w:r w:rsidR="00F350A3">
        <w:rPr>
          <w:rFonts w:eastAsiaTheme="minorEastAsia" w:cs="Arial"/>
          <w:color w:val="000000"/>
          <w:szCs w:val="24"/>
          <w:lang w:val="en-US"/>
        </w:rPr>
        <w:t>on the scatter plot (Appendix 13.31, figure 13</w:t>
      </w:r>
      <w:r>
        <w:rPr>
          <w:rFonts w:eastAsiaTheme="minorEastAsia" w:cs="Arial"/>
          <w:color w:val="000000"/>
          <w:szCs w:val="24"/>
          <w:lang w:val="en-US"/>
        </w:rPr>
        <w:t xml:space="preserve">.3) represent the observed data points for each value of overall pre-course confidence related to </w:t>
      </w:r>
      <w:r>
        <w:rPr>
          <w:rFonts w:eastAsiaTheme="minorEastAsia" w:cs="Arial"/>
          <w:color w:val="000000"/>
          <w:szCs w:val="24"/>
          <w:lang w:val="en-US"/>
        </w:rPr>
        <w:lastRenderedPageBreak/>
        <w:t>formative assessment scores for individuals. The B value describes the slope.</w:t>
      </w:r>
    </w:p>
    <w:p w14:paraId="1BAE6B98" w14:textId="77777777" w:rsidR="00137B0F" w:rsidRPr="00337D77" w:rsidRDefault="00137B0F" w:rsidP="00137B0F">
      <w:pPr>
        <w:widowControl w:val="0"/>
        <w:autoSpaceDE w:val="0"/>
        <w:autoSpaceDN w:val="0"/>
        <w:adjustRightInd w:val="0"/>
        <w:spacing w:before="0" w:after="0"/>
        <w:rPr>
          <w:rFonts w:eastAsiaTheme="minorEastAsia" w:cs="Arial"/>
          <w:szCs w:val="24"/>
          <w:lang w:val="en-US"/>
        </w:rPr>
      </w:pPr>
      <w:r w:rsidRPr="00337D77">
        <w:rPr>
          <w:rFonts w:eastAsiaTheme="minorEastAsia" w:cs="Arial"/>
          <w:szCs w:val="24"/>
          <w:lang w:val="en-US"/>
        </w:rPr>
        <w:t>Regression analysis allows a linear model to be fitted to the data</w:t>
      </w:r>
      <w:r>
        <w:rPr>
          <w:rFonts w:eastAsiaTheme="minorEastAsia" w:cs="Arial"/>
          <w:szCs w:val="24"/>
          <w:lang w:val="en-US"/>
        </w:rPr>
        <w:t xml:space="preserve"> </w:t>
      </w:r>
      <w:r w:rsidRPr="00337D77">
        <w:rPr>
          <w:rFonts w:eastAsiaTheme="minorEastAsia" w:cs="Arial"/>
          <w:szCs w:val="24"/>
          <w:lang w:val="en-US"/>
        </w:rPr>
        <w:t xml:space="preserve">to predict values of an outcome variable from a predictor variable. </w:t>
      </w:r>
      <w:r>
        <w:rPr>
          <w:rFonts w:eastAsiaTheme="minorEastAsia" w:cs="Arial"/>
          <w:szCs w:val="24"/>
          <w:lang w:val="en-US"/>
        </w:rPr>
        <w:t>To calculate the total error in a model, the squared differences between the observed and predicted values of the outcomes are used. The sum of squared errors is used to assess the error in the regression model, the squared differences were huge so the line is not representative of the data. For these data, the F ratio at 0.208 was not significant as p is &gt;0.001, which means that there is greater than 0.1% chance that an F ratio of this value would occur if the null hypothesis were true. This means that the regression model does not predict confidence influencing performance well.</w:t>
      </w:r>
    </w:p>
    <w:p w14:paraId="0D6264F1" w14:textId="7E83F2C6" w:rsidR="00137B0F" w:rsidRPr="00F2710B" w:rsidRDefault="00137B0F" w:rsidP="00137B0F">
      <w:pPr>
        <w:widowControl w:val="0"/>
        <w:autoSpaceDE w:val="0"/>
        <w:autoSpaceDN w:val="0"/>
        <w:adjustRightInd w:val="0"/>
        <w:spacing w:before="0" w:after="0"/>
        <w:rPr>
          <w:rFonts w:eastAsiaTheme="minorEastAsia" w:cs="Arial"/>
          <w:szCs w:val="24"/>
          <w:lang w:val="en-US"/>
        </w:rPr>
      </w:pPr>
      <w:r w:rsidRPr="00F2710B">
        <w:rPr>
          <w:rFonts w:eastAsiaTheme="minorEastAsia" w:cs="Arial"/>
          <w:szCs w:val="24"/>
          <w:lang w:val="en-US"/>
        </w:rPr>
        <w:t>The scatter diagram</w:t>
      </w:r>
      <w:r>
        <w:rPr>
          <w:rFonts w:eastAsiaTheme="minorEastAsia" w:cs="Arial"/>
          <w:szCs w:val="24"/>
          <w:lang w:val="en-US"/>
        </w:rPr>
        <w:t xml:space="preserve"> demonstrates a wide distribution of data points of formative marks gained at different confidence levels. Though there does appear to be a trend towards a positive relationship there are many outliers. Of p</w:t>
      </w:r>
      <w:r w:rsidR="004840E9">
        <w:rPr>
          <w:rFonts w:eastAsiaTheme="minorEastAsia" w:cs="Arial"/>
          <w:szCs w:val="24"/>
          <w:lang w:val="en-US"/>
        </w:rPr>
        <w:t>articular interest are the two c</w:t>
      </w:r>
      <w:r>
        <w:rPr>
          <w:rFonts w:eastAsiaTheme="minorEastAsia" w:cs="Arial"/>
          <w:szCs w:val="24"/>
          <w:lang w:val="en-US"/>
        </w:rPr>
        <w:t xml:space="preserve">andidates who scored themselves at 8/10 in terms of confidence for FY1 and gained two of the lowest formative marks in terms of performance. Also of interest is the score of 6/10 in terms of confidence, which shows the broadest range of formative marks. </w:t>
      </w:r>
    </w:p>
    <w:p w14:paraId="12C716F1" w14:textId="7E1AB34B" w:rsidR="00137B0F" w:rsidRPr="004B36CB" w:rsidRDefault="00194424" w:rsidP="00137B0F">
      <w:pPr>
        <w:widowControl w:val="0"/>
        <w:autoSpaceDE w:val="0"/>
        <w:autoSpaceDN w:val="0"/>
        <w:adjustRightInd w:val="0"/>
        <w:spacing w:before="0" w:after="0"/>
        <w:rPr>
          <w:rFonts w:eastAsiaTheme="minorEastAsia" w:cs="Arial"/>
          <w:szCs w:val="24"/>
          <w:lang w:val="en-US"/>
        </w:rPr>
      </w:pPr>
      <w:r>
        <w:rPr>
          <w:rFonts w:eastAsiaTheme="minorEastAsia" w:cs="Arial"/>
          <w:szCs w:val="24"/>
          <w:lang w:val="en-US"/>
        </w:rPr>
        <w:t>A scatter plot (Appendix 13.31</w:t>
      </w:r>
      <w:r w:rsidR="00345C07">
        <w:rPr>
          <w:rFonts w:eastAsiaTheme="minorEastAsia" w:cs="Arial"/>
          <w:szCs w:val="24"/>
          <w:lang w:val="en-US"/>
        </w:rPr>
        <w:t>)</w:t>
      </w:r>
      <w:r w:rsidR="00345C07" w:rsidRPr="004B36CB">
        <w:rPr>
          <w:rFonts w:eastAsiaTheme="minorEastAsia" w:cs="Arial"/>
          <w:szCs w:val="24"/>
          <w:lang w:val="en-US"/>
        </w:rPr>
        <w:t xml:space="preserve"> explores</w:t>
      </w:r>
      <w:r w:rsidR="00137B0F" w:rsidRPr="004B36CB">
        <w:rPr>
          <w:rFonts w:eastAsiaTheme="minorEastAsia" w:cs="Arial"/>
          <w:szCs w:val="24"/>
          <w:lang w:val="en-US"/>
        </w:rPr>
        <w:t xml:space="preserve"> the mean formative assessment mark and its relationship with </w:t>
      </w:r>
      <w:r w:rsidR="00137B0F">
        <w:rPr>
          <w:rFonts w:eastAsiaTheme="minorEastAsia" w:cs="Arial"/>
          <w:szCs w:val="24"/>
          <w:lang w:val="en-US"/>
        </w:rPr>
        <w:t>pre-course</w:t>
      </w:r>
      <w:r w:rsidR="00137B0F" w:rsidRPr="004B36CB">
        <w:rPr>
          <w:rFonts w:eastAsiaTheme="minorEastAsia" w:cs="Arial"/>
          <w:szCs w:val="24"/>
          <w:lang w:val="en-US"/>
        </w:rPr>
        <w:t xml:space="preserve"> confidence score. Again a positive trend is seen, </w:t>
      </w:r>
      <w:r w:rsidR="00137B0F">
        <w:rPr>
          <w:rFonts w:eastAsiaTheme="minorEastAsia" w:cs="Arial"/>
          <w:szCs w:val="24"/>
          <w:lang w:val="en-US"/>
        </w:rPr>
        <w:t xml:space="preserve">with </w:t>
      </w:r>
      <w:r w:rsidR="00137B0F" w:rsidRPr="004B36CB">
        <w:rPr>
          <w:rFonts w:eastAsiaTheme="minorEastAsia" w:cs="Arial"/>
          <w:szCs w:val="24"/>
          <w:lang w:val="en-US"/>
        </w:rPr>
        <w:t>the point</w:t>
      </w:r>
      <w:r w:rsidR="00137B0F">
        <w:rPr>
          <w:rFonts w:eastAsiaTheme="minorEastAsia" w:cs="Arial"/>
          <w:szCs w:val="24"/>
          <w:lang w:val="en-US"/>
        </w:rPr>
        <w:t>s</w:t>
      </w:r>
      <w:r w:rsidR="00137B0F" w:rsidRPr="004B36CB">
        <w:rPr>
          <w:rFonts w:eastAsiaTheme="minorEastAsia" w:cs="Arial"/>
          <w:szCs w:val="24"/>
          <w:lang w:val="en-US"/>
        </w:rPr>
        <w:t xml:space="preserve"> of interest in those with the extremes of </w:t>
      </w:r>
      <w:r w:rsidR="00137B0F">
        <w:rPr>
          <w:rFonts w:eastAsiaTheme="minorEastAsia" w:cs="Arial"/>
          <w:szCs w:val="24"/>
          <w:lang w:val="en-US"/>
        </w:rPr>
        <w:t>self-rated</w:t>
      </w:r>
      <w:r w:rsidR="00137B0F" w:rsidRPr="004B36CB">
        <w:rPr>
          <w:rFonts w:eastAsiaTheme="minorEastAsia" w:cs="Arial"/>
          <w:szCs w:val="24"/>
          <w:lang w:val="en-US"/>
        </w:rPr>
        <w:t xml:space="preserve"> confidence</w:t>
      </w:r>
      <w:r w:rsidR="00137B0F">
        <w:rPr>
          <w:rFonts w:eastAsiaTheme="minorEastAsia" w:cs="Arial"/>
          <w:szCs w:val="24"/>
          <w:lang w:val="en-US"/>
        </w:rPr>
        <w:t>,</w:t>
      </w:r>
      <w:r w:rsidR="00137B0F" w:rsidRPr="004B36CB">
        <w:rPr>
          <w:rFonts w:eastAsiaTheme="minorEastAsia" w:cs="Arial"/>
          <w:szCs w:val="24"/>
          <w:lang w:val="en-US"/>
        </w:rPr>
        <w:t xml:space="preserve"> with those scoring 3 and 8 appearing to gain similar mean </w:t>
      </w:r>
      <w:r w:rsidR="00137B0F">
        <w:rPr>
          <w:rFonts w:eastAsiaTheme="minorEastAsia" w:cs="Arial"/>
          <w:szCs w:val="24"/>
          <w:lang w:val="en-US"/>
        </w:rPr>
        <w:t xml:space="preserve">performance </w:t>
      </w:r>
      <w:r w:rsidR="00137B0F" w:rsidRPr="004B36CB">
        <w:rPr>
          <w:rFonts w:eastAsiaTheme="minorEastAsia" w:cs="Arial"/>
          <w:szCs w:val="24"/>
          <w:lang w:val="en-US"/>
        </w:rPr>
        <w:t xml:space="preserve">scores. </w:t>
      </w:r>
      <w:r w:rsidR="00137B0F">
        <w:rPr>
          <w:rFonts w:eastAsiaTheme="minorEastAsia" w:cs="Arial"/>
          <w:szCs w:val="24"/>
          <w:lang w:val="en-US"/>
        </w:rPr>
        <w:t>This may be because those with high confidence scores lack insight and those with particularly low confidence are impaired by anxiety.</w:t>
      </w:r>
    </w:p>
    <w:p w14:paraId="7AC7E786" w14:textId="77777777" w:rsidR="00137B0F" w:rsidRDefault="00137B0F" w:rsidP="00137B0F">
      <w:pPr>
        <w:keepNext/>
        <w:widowControl w:val="0"/>
        <w:autoSpaceDE w:val="0"/>
        <w:autoSpaceDN w:val="0"/>
        <w:adjustRightInd w:val="0"/>
        <w:spacing w:before="0" w:after="0" w:line="240" w:lineRule="auto"/>
      </w:pPr>
      <w:r>
        <w:rPr>
          <w:rFonts w:ascii="Times New Roman" w:eastAsiaTheme="minorEastAsia" w:hAnsi="Times New Roman"/>
          <w:noProof/>
          <w:szCs w:val="24"/>
          <w:lang w:val="en-US"/>
        </w:rPr>
        <w:lastRenderedPageBreak/>
        <w:drawing>
          <wp:inline distT="0" distB="0" distL="0" distR="0" wp14:anchorId="1B6EA723" wp14:editId="7F0EBA69">
            <wp:extent cx="5542605" cy="4441190"/>
            <wp:effectExtent l="0" t="0" r="0" b="3810"/>
            <wp:docPr id="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42605" cy="4441190"/>
                    </a:xfrm>
                    <a:prstGeom prst="rect">
                      <a:avLst/>
                    </a:prstGeom>
                    <a:noFill/>
                    <a:ln>
                      <a:noFill/>
                    </a:ln>
                  </pic:spPr>
                </pic:pic>
              </a:graphicData>
            </a:graphic>
          </wp:inline>
        </w:drawing>
      </w:r>
    </w:p>
    <w:p w14:paraId="620A06EC" w14:textId="77777777" w:rsidR="00137B0F" w:rsidRDefault="00137B0F" w:rsidP="007000F8">
      <w:pPr>
        <w:pStyle w:val="Caption"/>
        <w:rPr>
          <w:rFonts w:ascii="Times New Roman" w:eastAsiaTheme="minorEastAsia" w:hAnsi="Times New Roman"/>
          <w:szCs w:val="24"/>
          <w:lang w:val="en-US"/>
        </w:rPr>
      </w:pPr>
      <w:bookmarkStart w:id="377" w:name="_Toc365579446"/>
      <w:bookmarkStart w:id="378" w:name="_Toc368056045"/>
      <w:bookmarkStart w:id="379" w:name="_Toc419116473"/>
      <w:r>
        <w:t xml:space="preserve">Figure </w:t>
      </w:r>
      <w:r>
        <w:fldChar w:fldCharType="begin"/>
      </w:r>
      <w:r>
        <w:instrText xml:space="preserve"> STYLEREF 1 \s </w:instrText>
      </w:r>
      <w:r>
        <w:fldChar w:fldCharType="separate"/>
      </w:r>
      <w:r w:rsidR="007220A7">
        <w:rPr>
          <w:noProof/>
        </w:rPr>
        <w:t>7</w:t>
      </w:r>
      <w:r>
        <w:fldChar w:fldCharType="end"/>
      </w:r>
      <w:r>
        <w:noBreakHyphen/>
      </w:r>
      <w:r>
        <w:fldChar w:fldCharType="begin"/>
      </w:r>
      <w:r>
        <w:instrText xml:space="preserve"> SEQ Figure \* ARABIC \s 1 </w:instrText>
      </w:r>
      <w:r>
        <w:fldChar w:fldCharType="separate"/>
      </w:r>
      <w:r w:rsidR="007220A7">
        <w:rPr>
          <w:noProof/>
        </w:rPr>
        <w:t>6</w:t>
      </w:r>
      <w:r>
        <w:fldChar w:fldCharType="end"/>
      </w:r>
      <w:r>
        <w:t xml:space="preserve"> Relationship between change in confidence score pre and post-course with formative assessment mark (performance)</w:t>
      </w:r>
      <w:bookmarkEnd w:id="377"/>
      <w:bookmarkEnd w:id="378"/>
      <w:bookmarkEnd w:id="379"/>
    </w:p>
    <w:p w14:paraId="35B886B1" w14:textId="77777777" w:rsidR="00137B0F" w:rsidRDefault="00137B0F" w:rsidP="00137B0F">
      <w:pPr>
        <w:widowControl w:val="0"/>
        <w:autoSpaceDE w:val="0"/>
        <w:autoSpaceDN w:val="0"/>
        <w:adjustRightInd w:val="0"/>
        <w:spacing w:before="0" w:after="0" w:line="240" w:lineRule="auto"/>
        <w:rPr>
          <w:rFonts w:ascii="Times New Roman" w:eastAsiaTheme="minorEastAsia" w:hAnsi="Times New Roman"/>
          <w:szCs w:val="24"/>
          <w:lang w:val="en-US"/>
        </w:rPr>
      </w:pPr>
    </w:p>
    <w:p w14:paraId="031410EB" w14:textId="77777777" w:rsidR="00137B0F" w:rsidRDefault="00137B0F" w:rsidP="00137B0F">
      <w:pPr>
        <w:widowControl w:val="0"/>
        <w:autoSpaceDE w:val="0"/>
        <w:autoSpaceDN w:val="0"/>
        <w:adjustRightInd w:val="0"/>
        <w:spacing w:before="0" w:after="0"/>
        <w:rPr>
          <w:rFonts w:eastAsiaTheme="minorEastAsia" w:cs="Arial"/>
          <w:szCs w:val="24"/>
          <w:lang w:val="en-US"/>
        </w:rPr>
      </w:pPr>
      <w:r>
        <w:rPr>
          <w:rFonts w:eastAsiaTheme="minorEastAsia" w:cs="Arial"/>
          <w:szCs w:val="24"/>
          <w:lang w:val="en-US"/>
        </w:rPr>
        <w:t xml:space="preserve">Figure 7.6 above, demonstrates a scatter plot exploring the change in confidence scores from pre-course to post-course and relationship to formative assessment marks (individual data points for each candidate). A similar pattern is seen as for overall confidence. Those with the largest or smallest changes do not appear to exhibit a pattern in terms of performance. The limitation of using a 10-point scale for confidence score must be acknowledged due to the capping or ceiling effect at a score of 10, thus anyone starting with a score of 8 could not improve more than 2 points. </w:t>
      </w:r>
    </w:p>
    <w:p w14:paraId="33D9A7F7" w14:textId="77777777" w:rsidR="00137B0F" w:rsidRDefault="00137B0F" w:rsidP="00137B0F">
      <w:pPr>
        <w:widowControl w:val="0"/>
        <w:autoSpaceDE w:val="0"/>
        <w:autoSpaceDN w:val="0"/>
        <w:adjustRightInd w:val="0"/>
        <w:spacing w:before="0" w:after="0"/>
        <w:rPr>
          <w:rFonts w:eastAsiaTheme="minorEastAsia" w:cs="Arial"/>
          <w:szCs w:val="24"/>
          <w:lang w:val="en-US"/>
        </w:rPr>
      </w:pPr>
    </w:p>
    <w:p w14:paraId="400D8919" w14:textId="77777777" w:rsidR="00137B0F" w:rsidRDefault="00137B0F" w:rsidP="00137B0F">
      <w:pPr>
        <w:pStyle w:val="Heading2"/>
      </w:pPr>
      <w:bookmarkStart w:id="380" w:name="_Toc343501188"/>
      <w:bookmarkStart w:id="381" w:name="_Toc348686390"/>
      <w:bookmarkStart w:id="382" w:name="_Toc419116189"/>
      <w:r>
        <w:lastRenderedPageBreak/>
        <w:t>Part II: Results: Qualitative: focus groups</w:t>
      </w:r>
      <w:bookmarkEnd w:id="380"/>
      <w:bookmarkEnd w:id="381"/>
      <w:bookmarkEnd w:id="382"/>
    </w:p>
    <w:p w14:paraId="625150CF" w14:textId="77777777" w:rsidR="00137B0F" w:rsidRDefault="00137B0F" w:rsidP="00137B0F">
      <w:pPr>
        <w:widowControl w:val="0"/>
        <w:autoSpaceDE w:val="0"/>
        <w:autoSpaceDN w:val="0"/>
        <w:adjustRightInd w:val="0"/>
        <w:spacing w:after="266"/>
        <w:rPr>
          <w:rFonts w:cs="Arial"/>
          <w:szCs w:val="24"/>
        </w:rPr>
      </w:pPr>
    </w:p>
    <w:p w14:paraId="6495EF09" w14:textId="77777777" w:rsidR="00137B0F" w:rsidRDefault="00137B0F" w:rsidP="00137B0F">
      <w:pPr>
        <w:widowControl w:val="0"/>
        <w:autoSpaceDE w:val="0"/>
        <w:autoSpaceDN w:val="0"/>
        <w:adjustRightInd w:val="0"/>
        <w:spacing w:after="266"/>
        <w:rPr>
          <w:rFonts w:cs="Arial"/>
          <w:szCs w:val="24"/>
        </w:rPr>
      </w:pPr>
      <w:r>
        <w:rPr>
          <w:rFonts w:cs="Arial"/>
          <w:szCs w:val="24"/>
        </w:rPr>
        <w:t>Nineteen focus groups were conducted following each half-day course, with 4- 5 participants in each. Two thirds of interviewees were female, representative of intakes at both universities and UK medical schools.</w:t>
      </w:r>
    </w:p>
    <w:p w14:paraId="6700244D" w14:textId="5B4D8A12" w:rsidR="00137B0F" w:rsidRDefault="00137B0F" w:rsidP="00137B0F">
      <w:pPr>
        <w:widowControl w:val="0"/>
        <w:autoSpaceDE w:val="0"/>
        <w:autoSpaceDN w:val="0"/>
        <w:adjustRightInd w:val="0"/>
        <w:spacing w:after="266"/>
        <w:rPr>
          <w:rFonts w:cs="Arial"/>
          <w:szCs w:val="24"/>
        </w:rPr>
      </w:pPr>
      <w:r>
        <w:rPr>
          <w:rFonts w:cs="Arial"/>
          <w:szCs w:val="24"/>
        </w:rPr>
        <w:t xml:space="preserve">The main emergent themes from thematic analysis echoed those from the pilot study, but with one main overarching theme that came through more powerfully related to preparedness: ‘practice under pressure’. The initial notes made during thematic analysis of focus group data are presented in Appendix </w:t>
      </w:r>
      <w:r w:rsidR="00194424">
        <w:rPr>
          <w:rFonts w:cs="Arial"/>
          <w:szCs w:val="24"/>
        </w:rPr>
        <w:t>13</w:t>
      </w:r>
      <w:r>
        <w:rPr>
          <w:rFonts w:cs="Arial"/>
          <w:szCs w:val="24"/>
        </w:rPr>
        <w:t>.19. This followed a process of noting themes; concepts and words on Post-It notes then grouping</w:t>
      </w:r>
      <w:r w:rsidR="00194424">
        <w:rPr>
          <w:rFonts w:cs="Arial"/>
          <w:szCs w:val="24"/>
        </w:rPr>
        <w:t xml:space="preserve"> similar concepts (Appendices 13.18, 13</w:t>
      </w:r>
      <w:r>
        <w:rPr>
          <w:rFonts w:cs="Arial"/>
          <w:szCs w:val="24"/>
        </w:rPr>
        <w:t xml:space="preserve">.37). The main themes and subthemes are displayed in the figure below (Figure 7.7). </w:t>
      </w:r>
    </w:p>
    <w:p w14:paraId="0B7D9DBB" w14:textId="77777777" w:rsidR="00137B0F" w:rsidRDefault="00137B0F" w:rsidP="00137B0F">
      <w:pPr>
        <w:keepNext/>
        <w:widowControl w:val="0"/>
        <w:autoSpaceDE w:val="0"/>
        <w:autoSpaceDN w:val="0"/>
        <w:adjustRightInd w:val="0"/>
        <w:spacing w:after="266"/>
      </w:pPr>
      <w:r w:rsidRPr="00C9395B">
        <w:rPr>
          <w:rFonts w:cs="Arial"/>
          <w:noProof/>
          <w:szCs w:val="24"/>
          <w:lang w:val="en-US"/>
        </w:rPr>
        <w:drawing>
          <wp:inline distT="0" distB="0" distL="0" distR="0" wp14:anchorId="73124008" wp14:editId="1E2F76B5">
            <wp:extent cx="5396230" cy="3147695"/>
            <wp:effectExtent l="57150" t="19050" r="52070" b="71755"/>
            <wp:docPr id="93" name="Diagram 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6D18B6CB" w14:textId="77777777" w:rsidR="00137B0F" w:rsidRDefault="00137B0F" w:rsidP="007000F8">
      <w:pPr>
        <w:pStyle w:val="Caption"/>
      </w:pPr>
      <w:bookmarkStart w:id="383" w:name="_Toc365579447"/>
      <w:bookmarkStart w:id="384" w:name="_Toc368056046"/>
      <w:bookmarkStart w:id="385" w:name="_Toc419116474"/>
      <w:r>
        <w:t xml:space="preserve">Figure </w:t>
      </w:r>
      <w:r>
        <w:fldChar w:fldCharType="begin"/>
      </w:r>
      <w:r>
        <w:instrText xml:space="preserve"> STYLEREF 1 \s </w:instrText>
      </w:r>
      <w:r>
        <w:fldChar w:fldCharType="separate"/>
      </w:r>
      <w:r w:rsidR="007220A7">
        <w:rPr>
          <w:noProof/>
        </w:rPr>
        <w:t>7</w:t>
      </w:r>
      <w:r>
        <w:fldChar w:fldCharType="end"/>
      </w:r>
      <w:r>
        <w:noBreakHyphen/>
      </w:r>
      <w:r>
        <w:fldChar w:fldCharType="begin"/>
      </w:r>
      <w:r>
        <w:instrText xml:space="preserve"> SEQ Figure \* ARABIC \s 1 </w:instrText>
      </w:r>
      <w:r>
        <w:fldChar w:fldCharType="separate"/>
      </w:r>
      <w:r w:rsidR="007220A7">
        <w:rPr>
          <w:noProof/>
        </w:rPr>
        <w:t>7</w:t>
      </w:r>
      <w:r>
        <w:fldChar w:fldCharType="end"/>
      </w:r>
      <w:r>
        <w:t xml:space="preserve"> Themes and sub-themes from focus group analysis</w:t>
      </w:r>
      <w:bookmarkEnd w:id="383"/>
      <w:bookmarkEnd w:id="384"/>
      <w:bookmarkEnd w:id="385"/>
    </w:p>
    <w:p w14:paraId="68297BDC" w14:textId="77777777" w:rsidR="00137B0F" w:rsidRDefault="00137B0F" w:rsidP="00137B0F">
      <w:pPr>
        <w:widowControl w:val="0"/>
        <w:autoSpaceDE w:val="0"/>
        <w:autoSpaceDN w:val="0"/>
        <w:adjustRightInd w:val="0"/>
        <w:spacing w:after="266"/>
        <w:rPr>
          <w:rFonts w:cs="Arial"/>
          <w:szCs w:val="24"/>
        </w:rPr>
      </w:pPr>
    </w:p>
    <w:p w14:paraId="1A819957" w14:textId="77777777" w:rsidR="00137B0F" w:rsidRPr="00145AB6" w:rsidRDefault="00137B0F" w:rsidP="00137B0F">
      <w:pPr>
        <w:widowControl w:val="0"/>
        <w:autoSpaceDE w:val="0"/>
        <w:autoSpaceDN w:val="0"/>
        <w:adjustRightInd w:val="0"/>
        <w:spacing w:after="266"/>
        <w:rPr>
          <w:rFonts w:cs="Arial"/>
          <w:szCs w:val="24"/>
        </w:rPr>
      </w:pPr>
      <w:r>
        <w:rPr>
          <w:rFonts w:cs="Arial"/>
          <w:szCs w:val="24"/>
        </w:rPr>
        <w:lastRenderedPageBreak/>
        <w:t xml:space="preserve">These themes were used to construct the initial framework matrix and facilitate triangulation of data (Appendices 12.35, 12.36, 12.37). The matrix was updated through an iterative process to confirm saturation of themes. </w:t>
      </w:r>
    </w:p>
    <w:p w14:paraId="78E46017" w14:textId="77777777" w:rsidR="00137B0F" w:rsidRPr="00652CEE" w:rsidRDefault="00137B0F" w:rsidP="00137B0F">
      <w:pPr>
        <w:widowControl w:val="0"/>
        <w:autoSpaceDE w:val="0"/>
        <w:autoSpaceDN w:val="0"/>
        <w:adjustRightInd w:val="0"/>
        <w:spacing w:after="266"/>
        <w:rPr>
          <w:rFonts w:cs="Arial"/>
          <w:b/>
          <w:szCs w:val="24"/>
        </w:rPr>
      </w:pPr>
      <w:r w:rsidRPr="00652CEE">
        <w:rPr>
          <w:rFonts w:cs="Arial"/>
          <w:b/>
          <w:i/>
          <w:szCs w:val="24"/>
        </w:rPr>
        <w:t>Practi</w:t>
      </w:r>
      <w:r>
        <w:rPr>
          <w:rFonts w:cs="Arial"/>
          <w:b/>
          <w:i/>
          <w:szCs w:val="24"/>
        </w:rPr>
        <w:t>c</w:t>
      </w:r>
      <w:r w:rsidRPr="00652CEE">
        <w:rPr>
          <w:rFonts w:cs="Arial"/>
          <w:b/>
          <w:i/>
          <w:szCs w:val="24"/>
        </w:rPr>
        <w:t>e under pressure:</w:t>
      </w:r>
      <w:r w:rsidRPr="00652CEE">
        <w:rPr>
          <w:rFonts w:cs="Arial"/>
          <w:b/>
          <w:szCs w:val="24"/>
        </w:rPr>
        <w:t xml:space="preserve"> </w:t>
      </w:r>
    </w:p>
    <w:p w14:paraId="6C47491D" w14:textId="1A5A9622" w:rsidR="00137B0F" w:rsidRDefault="00137B0F" w:rsidP="00137B0F">
      <w:pPr>
        <w:widowControl w:val="0"/>
        <w:autoSpaceDE w:val="0"/>
        <w:autoSpaceDN w:val="0"/>
        <w:adjustRightInd w:val="0"/>
        <w:spacing w:after="266"/>
        <w:rPr>
          <w:rFonts w:cs="Arial"/>
          <w:szCs w:val="24"/>
        </w:rPr>
      </w:pPr>
      <w:r w:rsidRPr="00CD047B">
        <w:rPr>
          <w:rFonts w:cs="Arial"/>
          <w:szCs w:val="24"/>
        </w:rPr>
        <w:t>A recurring message was that though students are taught well durin</w:t>
      </w:r>
      <w:r>
        <w:rPr>
          <w:rFonts w:cs="Arial"/>
          <w:szCs w:val="24"/>
        </w:rPr>
        <w:t>g the undergraduate curriculum (an example was about SBAR (Situation, Background, Assessment, Response) and fluids),</w:t>
      </w:r>
      <w:r w:rsidRPr="00CD047B">
        <w:rPr>
          <w:rFonts w:cs="Arial"/>
          <w:szCs w:val="24"/>
        </w:rPr>
        <w:t xml:space="preserve"> they </w:t>
      </w:r>
      <w:r>
        <w:rPr>
          <w:rFonts w:cs="Arial"/>
          <w:szCs w:val="24"/>
        </w:rPr>
        <w:t>felt that they ‘</w:t>
      </w:r>
      <w:r w:rsidRPr="00AE756C">
        <w:rPr>
          <w:rFonts w:cs="Arial"/>
          <w:i/>
          <w:szCs w:val="24"/>
        </w:rPr>
        <w:t xml:space="preserve">do not get to put them </w:t>
      </w:r>
      <w:r>
        <w:rPr>
          <w:rFonts w:cs="Arial"/>
          <w:i/>
          <w:szCs w:val="24"/>
        </w:rPr>
        <w:t>into</w:t>
      </w:r>
      <w:r w:rsidRPr="00AE756C">
        <w:rPr>
          <w:rFonts w:cs="Arial"/>
          <w:i/>
          <w:szCs w:val="24"/>
        </w:rPr>
        <w:t xml:space="preserve"> practi</w:t>
      </w:r>
      <w:r>
        <w:rPr>
          <w:rFonts w:cs="Arial"/>
          <w:i/>
          <w:szCs w:val="24"/>
        </w:rPr>
        <w:t>c</w:t>
      </w:r>
      <w:r w:rsidRPr="00AE756C">
        <w:rPr>
          <w:rFonts w:cs="Arial"/>
          <w:i/>
          <w:szCs w:val="24"/>
        </w:rPr>
        <w:t>e under pressure and make decisions with regards to them in clinical context</w:t>
      </w:r>
      <w:r>
        <w:rPr>
          <w:rFonts w:cs="Arial"/>
          <w:i/>
          <w:szCs w:val="24"/>
        </w:rPr>
        <w:t>’</w:t>
      </w:r>
      <w:r w:rsidRPr="00AE756C">
        <w:rPr>
          <w:rFonts w:cs="Arial"/>
          <w:i/>
          <w:szCs w:val="24"/>
        </w:rPr>
        <w:t xml:space="preserve"> </w:t>
      </w:r>
      <w:r>
        <w:rPr>
          <w:rFonts w:cs="Arial"/>
          <w:szCs w:val="24"/>
        </w:rPr>
        <w:t>(focus group 1</w:t>
      </w:r>
      <w:r w:rsidR="005C407C">
        <w:rPr>
          <w:rFonts w:cs="Arial"/>
          <w:szCs w:val="24"/>
        </w:rPr>
        <w:t>, Participant 3</w:t>
      </w:r>
      <w:r>
        <w:rPr>
          <w:rFonts w:cs="Arial"/>
          <w:szCs w:val="24"/>
        </w:rPr>
        <w:t xml:space="preserve">) </w:t>
      </w:r>
      <w:r w:rsidRPr="00AE756C">
        <w:rPr>
          <w:rFonts w:cs="Arial"/>
          <w:szCs w:val="24"/>
        </w:rPr>
        <w:t xml:space="preserve">to understand </w:t>
      </w:r>
      <w:r>
        <w:rPr>
          <w:rFonts w:cs="Arial"/>
          <w:szCs w:val="24"/>
        </w:rPr>
        <w:t xml:space="preserve">the </w:t>
      </w:r>
      <w:r w:rsidRPr="00AE756C">
        <w:rPr>
          <w:rFonts w:cs="Arial"/>
          <w:szCs w:val="24"/>
        </w:rPr>
        <w:t>clinical relevance.</w:t>
      </w:r>
      <w:r w:rsidRPr="00CD047B">
        <w:rPr>
          <w:rFonts w:cs="Arial"/>
          <w:szCs w:val="24"/>
        </w:rPr>
        <w:t xml:space="preserve"> They felt </w:t>
      </w:r>
      <w:r>
        <w:rPr>
          <w:rFonts w:cs="Arial"/>
          <w:szCs w:val="24"/>
        </w:rPr>
        <w:t>‘</w:t>
      </w:r>
      <w:r w:rsidRPr="00AE756C">
        <w:rPr>
          <w:rFonts w:cs="Arial"/>
          <w:i/>
          <w:szCs w:val="24"/>
        </w:rPr>
        <w:t>under prepared in leadership and prioritisation skills</w:t>
      </w:r>
      <w:r>
        <w:rPr>
          <w:rFonts w:cs="Arial"/>
          <w:i/>
          <w:szCs w:val="24"/>
        </w:rPr>
        <w:t>’,</w:t>
      </w:r>
      <w:r w:rsidRPr="00CD047B">
        <w:rPr>
          <w:rFonts w:cs="Arial"/>
          <w:szCs w:val="24"/>
        </w:rPr>
        <w:t xml:space="preserve"> and they felt that </w:t>
      </w:r>
      <w:r>
        <w:rPr>
          <w:rFonts w:cs="Arial"/>
          <w:szCs w:val="24"/>
        </w:rPr>
        <w:t>‘</w:t>
      </w:r>
      <w:r w:rsidRPr="00AE756C">
        <w:rPr>
          <w:rFonts w:cs="Arial"/>
          <w:i/>
          <w:szCs w:val="24"/>
        </w:rPr>
        <w:t>practice with feedback and guidance helped</w:t>
      </w:r>
      <w:r>
        <w:rPr>
          <w:rFonts w:cs="Arial"/>
          <w:i/>
          <w:szCs w:val="24"/>
        </w:rPr>
        <w:t>’</w:t>
      </w:r>
      <w:r w:rsidRPr="00CD047B">
        <w:rPr>
          <w:rFonts w:cs="Arial"/>
          <w:szCs w:val="24"/>
        </w:rPr>
        <w:t xml:space="preserve"> this</w:t>
      </w:r>
      <w:r w:rsidR="005C407C">
        <w:rPr>
          <w:rFonts w:cs="Arial"/>
          <w:szCs w:val="24"/>
        </w:rPr>
        <w:t xml:space="preserve"> (focus groups 2, Participant </w:t>
      </w:r>
      <w:r>
        <w:rPr>
          <w:rFonts w:cs="Arial"/>
          <w:szCs w:val="24"/>
        </w:rPr>
        <w:t>4)</w:t>
      </w:r>
      <w:r w:rsidRPr="00CD047B">
        <w:rPr>
          <w:rFonts w:cs="Arial"/>
          <w:szCs w:val="24"/>
        </w:rPr>
        <w:t xml:space="preserve">. There were misconceptions addressed when practising such as: students not wanting to give analgesia to patients when in agony in case it </w:t>
      </w:r>
      <w:r w:rsidRPr="00AE756C">
        <w:rPr>
          <w:rFonts w:cs="Arial"/>
          <w:i/>
          <w:szCs w:val="24"/>
        </w:rPr>
        <w:t>'masked the pain</w:t>
      </w:r>
      <w:r w:rsidRPr="00CD047B">
        <w:rPr>
          <w:rFonts w:cs="Arial"/>
          <w:szCs w:val="24"/>
        </w:rPr>
        <w:t>' so they would no longer be able to assess them</w:t>
      </w:r>
      <w:r>
        <w:rPr>
          <w:rFonts w:cs="Arial"/>
          <w:szCs w:val="24"/>
        </w:rPr>
        <w:t>. T</w:t>
      </w:r>
      <w:r w:rsidRPr="00CD047B">
        <w:rPr>
          <w:rFonts w:cs="Arial"/>
          <w:szCs w:val="24"/>
        </w:rPr>
        <w:t>hese issues may have only been highlighted because students are working alone with responsibility to make decisions</w:t>
      </w:r>
      <w:r>
        <w:rPr>
          <w:rFonts w:cs="Arial"/>
          <w:szCs w:val="24"/>
        </w:rPr>
        <w:t xml:space="preserve"> (Case and field notes from intervention study)</w:t>
      </w:r>
      <w:r w:rsidRPr="00CD047B">
        <w:rPr>
          <w:rFonts w:cs="Arial"/>
          <w:szCs w:val="24"/>
        </w:rPr>
        <w:t>.</w:t>
      </w:r>
      <w:r>
        <w:rPr>
          <w:rFonts w:cs="Arial"/>
          <w:szCs w:val="24"/>
        </w:rPr>
        <w:t xml:space="preserve"> One student said: </w:t>
      </w:r>
    </w:p>
    <w:p w14:paraId="05CCD9FF" w14:textId="203E5CB7" w:rsidR="00137B0F" w:rsidRDefault="00137B0F" w:rsidP="00137B0F">
      <w:pPr>
        <w:widowControl w:val="0"/>
        <w:autoSpaceDE w:val="0"/>
        <w:autoSpaceDN w:val="0"/>
        <w:adjustRightInd w:val="0"/>
        <w:spacing w:after="266" w:line="240" w:lineRule="auto"/>
        <w:ind w:left="720"/>
        <w:rPr>
          <w:rFonts w:cs="Arial"/>
          <w:szCs w:val="24"/>
        </w:rPr>
      </w:pPr>
      <w:r>
        <w:rPr>
          <w:rFonts w:cs="Arial"/>
          <w:szCs w:val="24"/>
        </w:rPr>
        <w:t>‘</w:t>
      </w:r>
      <w:r w:rsidRPr="00652CEE">
        <w:rPr>
          <w:rFonts w:cs="Arial"/>
          <w:i/>
          <w:szCs w:val="24"/>
        </w:rPr>
        <w:t xml:space="preserve">I just wanted the beeping to stop as I could not think….. my mind went blank and I did not know what to do, I </w:t>
      </w:r>
      <w:r w:rsidRPr="007D650A">
        <w:rPr>
          <w:rFonts w:cs="Arial"/>
          <w:i/>
          <w:szCs w:val="24"/>
        </w:rPr>
        <w:t>panicked</w:t>
      </w:r>
      <w:r w:rsidRPr="00652CEE">
        <w:rPr>
          <w:rFonts w:cs="Arial"/>
          <w:i/>
          <w:szCs w:val="24"/>
        </w:rPr>
        <w:t xml:space="preserve">, now we have been through what to do I know what is expected of me and how to get help’ </w:t>
      </w:r>
      <w:r>
        <w:rPr>
          <w:rFonts w:cs="Arial"/>
          <w:szCs w:val="24"/>
        </w:rPr>
        <w:t>(focus group 4</w:t>
      </w:r>
      <w:r w:rsidR="005C407C">
        <w:rPr>
          <w:rFonts w:cs="Arial"/>
          <w:szCs w:val="24"/>
        </w:rPr>
        <w:t>, Participant 1</w:t>
      </w:r>
      <w:r>
        <w:rPr>
          <w:rFonts w:cs="Arial"/>
          <w:szCs w:val="24"/>
        </w:rPr>
        <w:t>).</w:t>
      </w:r>
    </w:p>
    <w:p w14:paraId="1ED3B3E0" w14:textId="1D715BAF" w:rsidR="00137B0F" w:rsidRPr="00CD047B" w:rsidRDefault="00137B0F" w:rsidP="00137B0F">
      <w:pPr>
        <w:widowControl w:val="0"/>
        <w:autoSpaceDE w:val="0"/>
        <w:autoSpaceDN w:val="0"/>
        <w:adjustRightInd w:val="0"/>
        <w:spacing w:after="266"/>
        <w:rPr>
          <w:rFonts w:cs="Arial"/>
          <w:szCs w:val="24"/>
        </w:rPr>
      </w:pPr>
      <w:r w:rsidRPr="00CD047B">
        <w:rPr>
          <w:rFonts w:cs="Arial"/>
          <w:szCs w:val="24"/>
        </w:rPr>
        <w:t>C</w:t>
      </w:r>
      <w:r w:rsidR="004840E9">
        <w:rPr>
          <w:rFonts w:cs="Arial"/>
          <w:szCs w:val="24"/>
        </w:rPr>
        <w:t>oping mechanisms for when c</w:t>
      </w:r>
      <w:r>
        <w:rPr>
          <w:rFonts w:cs="Arial"/>
          <w:szCs w:val="24"/>
        </w:rPr>
        <w:t xml:space="preserve">andidates felt under pressure were discussed and displayed, and included: using a recognisable </w:t>
      </w:r>
      <w:r w:rsidRPr="00CD047B">
        <w:rPr>
          <w:rFonts w:cs="Arial"/>
          <w:szCs w:val="24"/>
        </w:rPr>
        <w:t>structure for assessment and intervention, reassessment, slo</w:t>
      </w:r>
      <w:r>
        <w:rPr>
          <w:rFonts w:cs="Arial"/>
          <w:szCs w:val="24"/>
        </w:rPr>
        <w:t>wing down if rushing, physically taking a step back from the situation</w:t>
      </w:r>
      <w:r w:rsidRPr="00CD047B">
        <w:rPr>
          <w:rFonts w:cs="Arial"/>
          <w:szCs w:val="24"/>
        </w:rPr>
        <w:t>, speak</w:t>
      </w:r>
      <w:r>
        <w:rPr>
          <w:rFonts w:cs="Arial"/>
          <w:szCs w:val="24"/>
        </w:rPr>
        <w:t>ing out loud to</w:t>
      </w:r>
      <w:r w:rsidRPr="00CD047B">
        <w:rPr>
          <w:rFonts w:cs="Arial"/>
          <w:szCs w:val="24"/>
        </w:rPr>
        <w:t xml:space="preserve"> share thoughts and ideas, </w:t>
      </w:r>
      <w:r w:rsidRPr="00CD047B">
        <w:rPr>
          <w:rFonts w:cs="Arial"/>
          <w:szCs w:val="24"/>
        </w:rPr>
        <w:lastRenderedPageBreak/>
        <w:t>consider</w:t>
      </w:r>
      <w:r>
        <w:rPr>
          <w:rFonts w:cs="Arial"/>
          <w:szCs w:val="24"/>
        </w:rPr>
        <w:t>ation of available guidelines and resources,</w:t>
      </w:r>
      <w:r w:rsidRPr="00CD047B">
        <w:rPr>
          <w:rFonts w:cs="Arial"/>
          <w:szCs w:val="24"/>
        </w:rPr>
        <w:t xml:space="preserve"> </w:t>
      </w:r>
      <w:r>
        <w:rPr>
          <w:rFonts w:cs="Arial"/>
          <w:szCs w:val="24"/>
        </w:rPr>
        <w:t xml:space="preserve">and </w:t>
      </w:r>
      <w:r w:rsidRPr="00CD047B">
        <w:rPr>
          <w:rFonts w:cs="Arial"/>
          <w:szCs w:val="24"/>
        </w:rPr>
        <w:t>calling for help. </w:t>
      </w:r>
    </w:p>
    <w:p w14:paraId="3AA8609B" w14:textId="77777777" w:rsidR="00137B0F" w:rsidRPr="00652CEE" w:rsidRDefault="00137B0F" w:rsidP="00137B0F">
      <w:pPr>
        <w:widowControl w:val="0"/>
        <w:autoSpaceDE w:val="0"/>
        <w:autoSpaceDN w:val="0"/>
        <w:adjustRightInd w:val="0"/>
        <w:spacing w:after="266"/>
        <w:rPr>
          <w:rFonts w:cs="Arial"/>
          <w:b/>
          <w:i/>
          <w:szCs w:val="24"/>
        </w:rPr>
      </w:pPr>
      <w:r w:rsidRPr="00652CEE">
        <w:rPr>
          <w:rFonts w:cs="Arial"/>
          <w:b/>
          <w:i/>
          <w:szCs w:val="24"/>
        </w:rPr>
        <w:t xml:space="preserve">Expectations and Escalation: </w:t>
      </w:r>
    </w:p>
    <w:p w14:paraId="688EF80B" w14:textId="2EE500D9" w:rsidR="00137B0F" w:rsidRDefault="00137B0F" w:rsidP="00137B0F">
      <w:pPr>
        <w:widowControl w:val="0"/>
        <w:autoSpaceDE w:val="0"/>
        <w:autoSpaceDN w:val="0"/>
        <w:adjustRightInd w:val="0"/>
        <w:spacing w:after="266"/>
        <w:rPr>
          <w:rFonts w:cs="Arial"/>
          <w:szCs w:val="24"/>
        </w:rPr>
      </w:pPr>
      <w:r>
        <w:rPr>
          <w:rFonts w:cs="Arial"/>
          <w:szCs w:val="24"/>
        </w:rPr>
        <w:t xml:space="preserve">There was the described </w:t>
      </w:r>
      <w:r w:rsidRPr="00CD047B">
        <w:rPr>
          <w:rFonts w:cs="Arial"/>
          <w:szCs w:val="24"/>
        </w:rPr>
        <w:t xml:space="preserve">feeling </w:t>
      </w:r>
      <w:r>
        <w:rPr>
          <w:rFonts w:cs="Arial"/>
          <w:szCs w:val="24"/>
        </w:rPr>
        <w:t xml:space="preserve">and expectation </w:t>
      </w:r>
      <w:r w:rsidRPr="00CD047B">
        <w:rPr>
          <w:rFonts w:cs="Arial"/>
          <w:szCs w:val="24"/>
        </w:rPr>
        <w:t xml:space="preserve">that because they had passed </w:t>
      </w:r>
      <w:r>
        <w:rPr>
          <w:rFonts w:cs="Arial"/>
          <w:szCs w:val="24"/>
        </w:rPr>
        <w:t>F</w:t>
      </w:r>
      <w:r w:rsidRPr="00CD047B">
        <w:rPr>
          <w:rFonts w:cs="Arial"/>
          <w:szCs w:val="24"/>
        </w:rPr>
        <w:t>inals</w:t>
      </w:r>
      <w:r>
        <w:rPr>
          <w:rFonts w:cs="Arial"/>
          <w:szCs w:val="24"/>
        </w:rPr>
        <w:t>,</w:t>
      </w:r>
      <w:r w:rsidRPr="00CD047B">
        <w:rPr>
          <w:rFonts w:cs="Arial"/>
          <w:szCs w:val="24"/>
        </w:rPr>
        <w:t xml:space="preserve"> they should </w:t>
      </w:r>
      <w:r>
        <w:rPr>
          <w:rFonts w:cs="Arial"/>
          <w:szCs w:val="24"/>
        </w:rPr>
        <w:t xml:space="preserve">know how to </w:t>
      </w:r>
      <w:r w:rsidRPr="00CD047B">
        <w:rPr>
          <w:rFonts w:cs="Arial"/>
          <w:szCs w:val="24"/>
        </w:rPr>
        <w:t xml:space="preserve">manage every patient on their own. There were mixed views in terms of knowing what was expected of them as </w:t>
      </w:r>
      <w:r>
        <w:rPr>
          <w:rFonts w:cs="Arial"/>
          <w:szCs w:val="24"/>
        </w:rPr>
        <w:t>a FY1</w:t>
      </w:r>
      <w:r w:rsidRPr="00CD047B">
        <w:rPr>
          <w:rFonts w:cs="Arial"/>
          <w:szCs w:val="24"/>
        </w:rPr>
        <w:t xml:space="preserve">, in particular knowing when to call for help. There were </w:t>
      </w:r>
      <w:r>
        <w:rPr>
          <w:rFonts w:cs="Arial"/>
          <w:szCs w:val="24"/>
        </w:rPr>
        <w:t>‘</w:t>
      </w:r>
      <w:r w:rsidRPr="00AE756C">
        <w:rPr>
          <w:rFonts w:cs="Arial"/>
          <w:i/>
          <w:szCs w:val="24"/>
        </w:rPr>
        <w:t>feelings of fear of not knowing what to do</w:t>
      </w:r>
      <w:r>
        <w:rPr>
          <w:rFonts w:cs="Arial"/>
          <w:i/>
          <w:szCs w:val="24"/>
        </w:rPr>
        <w:t>’</w:t>
      </w:r>
      <w:r w:rsidRPr="00CD047B">
        <w:rPr>
          <w:rFonts w:cs="Arial"/>
          <w:szCs w:val="24"/>
        </w:rPr>
        <w:t xml:space="preserve"> </w:t>
      </w:r>
      <w:r w:rsidR="005C407C">
        <w:rPr>
          <w:rFonts w:cs="Arial"/>
          <w:szCs w:val="24"/>
        </w:rPr>
        <w:t>(focus group</w:t>
      </w:r>
      <w:r>
        <w:rPr>
          <w:rFonts w:cs="Arial"/>
          <w:szCs w:val="24"/>
        </w:rPr>
        <w:t xml:space="preserve"> 3,</w:t>
      </w:r>
      <w:r w:rsidR="005C407C">
        <w:rPr>
          <w:rFonts w:cs="Arial"/>
          <w:szCs w:val="24"/>
        </w:rPr>
        <w:t xml:space="preserve"> Participant 5</w:t>
      </w:r>
      <w:r>
        <w:rPr>
          <w:rFonts w:cs="Arial"/>
          <w:szCs w:val="24"/>
        </w:rPr>
        <w:t xml:space="preserve">). </w:t>
      </w:r>
    </w:p>
    <w:p w14:paraId="4FCEA0C0" w14:textId="2387F6DE" w:rsidR="00137B0F" w:rsidRDefault="00137B0F" w:rsidP="00137B0F">
      <w:pPr>
        <w:widowControl w:val="0"/>
        <w:autoSpaceDE w:val="0"/>
        <w:autoSpaceDN w:val="0"/>
        <w:adjustRightInd w:val="0"/>
        <w:spacing w:after="266"/>
        <w:rPr>
          <w:rFonts w:cs="Arial"/>
          <w:szCs w:val="24"/>
        </w:rPr>
      </w:pPr>
      <w:r>
        <w:rPr>
          <w:rFonts w:cs="Arial"/>
          <w:szCs w:val="24"/>
        </w:rPr>
        <w:t>Students reflected they were slow to call for help, in part due to their lack of situational awareness about the severity of the case. At this point, the calculation of early warning scores helped as students appeared fixated and falsely reassured by ‘</w:t>
      </w:r>
      <w:r w:rsidRPr="00B765CD">
        <w:rPr>
          <w:rFonts w:cs="Arial"/>
          <w:i/>
          <w:szCs w:val="24"/>
        </w:rPr>
        <w:t>normal blood pressures’</w:t>
      </w:r>
      <w:r>
        <w:rPr>
          <w:rFonts w:cs="Arial"/>
          <w:szCs w:val="24"/>
        </w:rPr>
        <w:t xml:space="preserve"> - a late sign of det</w:t>
      </w:r>
      <w:r w:rsidR="005C407C">
        <w:rPr>
          <w:rFonts w:cs="Arial"/>
          <w:szCs w:val="24"/>
        </w:rPr>
        <w:t>erioration (focus groups 11, Participant 2</w:t>
      </w:r>
      <w:r>
        <w:rPr>
          <w:rFonts w:cs="Arial"/>
          <w:szCs w:val="24"/>
        </w:rPr>
        <w:t>). The second influence on this theme was due to the impact of hierarchy, the feeling that they should be ‘</w:t>
      </w:r>
      <w:r w:rsidRPr="00B765CD">
        <w:rPr>
          <w:rFonts w:cs="Arial"/>
          <w:i/>
          <w:szCs w:val="24"/>
        </w:rPr>
        <w:t>able to cope’</w:t>
      </w:r>
      <w:r>
        <w:rPr>
          <w:rFonts w:cs="Arial"/>
          <w:szCs w:val="24"/>
        </w:rPr>
        <w:t xml:space="preserve"> and would be ‘</w:t>
      </w:r>
      <w:r w:rsidRPr="00B765CD">
        <w:rPr>
          <w:rFonts w:cs="Arial"/>
          <w:i/>
          <w:szCs w:val="24"/>
        </w:rPr>
        <w:t>embarrassed</w:t>
      </w:r>
      <w:r>
        <w:rPr>
          <w:rFonts w:cs="Arial"/>
          <w:szCs w:val="24"/>
        </w:rPr>
        <w:t>’ if they had to call a senior because they ‘</w:t>
      </w:r>
      <w:r w:rsidRPr="00B765CD">
        <w:rPr>
          <w:rFonts w:cs="Arial"/>
          <w:i/>
          <w:szCs w:val="24"/>
        </w:rPr>
        <w:t>should know what to do’</w:t>
      </w:r>
      <w:r>
        <w:rPr>
          <w:rFonts w:cs="Arial"/>
          <w:szCs w:val="24"/>
        </w:rPr>
        <w:t>. They were concerned about ‘</w:t>
      </w:r>
      <w:r w:rsidRPr="00B765CD">
        <w:rPr>
          <w:rFonts w:cs="Arial"/>
          <w:i/>
          <w:szCs w:val="24"/>
        </w:rPr>
        <w:t>disturbing seniors unnecessarily’</w:t>
      </w:r>
      <w:r>
        <w:rPr>
          <w:rFonts w:cs="Arial"/>
          <w:szCs w:val="24"/>
        </w:rPr>
        <w:t xml:space="preserve"> (focus group 4</w:t>
      </w:r>
      <w:r w:rsidR="005C407C">
        <w:rPr>
          <w:rFonts w:cs="Arial"/>
          <w:szCs w:val="24"/>
        </w:rPr>
        <w:t>, Participant 2</w:t>
      </w:r>
      <w:r>
        <w:rPr>
          <w:rFonts w:cs="Arial"/>
          <w:szCs w:val="24"/>
        </w:rPr>
        <w:t xml:space="preserve">). </w:t>
      </w:r>
    </w:p>
    <w:p w14:paraId="44F9CF06" w14:textId="77777777" w:rsidR="00137B0F" w:rsidRDefault="00137B0F" w:rsidP="00137B0F">
      <w:pPr>
        <w:widowControl w:val="0"/>
        <w:autoSpaceDE w:val="0"/>
        <w:autoSpaceDN w:val="0"/>
        <w:adjustRightInd w:val="0"/>
        <w:spacing w:after="266"/>
        <w:rPr>
          <w:rFonts w:cs="Arial"/>
          <w:szCs w:val="24"/>
        </w:rPr>
      </w:pPr>
      <w:r>
        <w:rPr>
          <w:rFonts w:cs="Arial"/>
          <w:szCs w:val="24"/>
        </w:rPr>
        <w:t xml:space="preserve">One student in peer review of another student said: </w:t>
      </w:r>
    </w:p>
    <w:p w14:paraId="3E87FAE3" w14:textId="32165C45" w:rsidR="00137B0F" w:rsidRDefault="00137B0F" w:rsidP="00137B0F">
      <w:pPr>
        <w:widowControl w:val="0"/>
        <w:autoSpaceDE w:val="0"/>
        <w:autoSpaceDN w:val="0"/>
        <w:adjustRightInd w:val="0"/>
        <w:spacing w:after="266" w:line="240" w:lineRule="auto"/>
        <w:ind w:left="720"/>
        <w:rPr>
          <w:rFonts w:cs="Arial"/>
          <w:szCs w:val="24"/>
        </w:rPr>
      </w:pPr>
      <w:r>
        <w:rPr>
          <w:rFonts w:cs="Arial"/>
          <w:szCs w:val="24"/>
        </w:rPr>
        <w:t>'</w:t>
      </w:r>
      <w:r w:rsidRPr="006950AC">
        <w:rPr>
          <w:rFonts w:cs="Arial"/>
          <w:i/>
          <w:szCs w:val="24"/>
        </w:rPr>
        <w:t>you should always pretend you are confident and never admit to not knowing what to do</w:t>
      </w:r>
      <w:r>
        <w:rPr>
          <w:rFonts w:cs="Arial"/>
          <w:szCs w:val="24"/>
        </w:rPr>
        <w:t>' because they felt this was '</w:t>
      </w:r>
      <w:r w:rsidRPr="006950AC">
        <w:rPr>
          <w:rFonts w:cs="Arial"/>
          <w:i/>
          <w:szCs w:val="24"/>
        </w:rPr>
        <w:t>weak</w:t>
      </w:r>
      <w:r>
        <w:rPr>
          <w:rFonts w:cs="Arial"/>
          <w:szCs w:val="24"/>
        </w:rPr>
        <w:t>' and would cause concerns amongst other staff and the patient (focus group 6</w:t>
      </w:r>
      <w:r w:rsidR="005C407C">
        <w:rPr>
          <w:rFonts w:cs="Arial"/>
          <w:szCs w:val="24"/>
        </w:rPr>
        <w:t>, Participant 1</w:t>
      </w:r>
      <w:r>
        <w:rPr>
          <w:rFonts w:cs="Arial"/>
          <w:szCs w:val="24"/>
        </w:rPr>
        <w:t xml:space="preserve">, Field notes IMASS course day 3). </w:t>
      </w:r>
    </w:p>
    <w:p w14:paraId="01B0AAEA" w14:textId="4F2A1BC8" w:rsidR="00137B0F" w:rsidRDefault="00137B0F" w:rsidP="00137B0F">
      <w:pPr>
        <w:widowControl w:val="0"/>
        <w:autoSpaceDE w:val="0"/>
        <w:autoSpaceDN w:val="0"/>
        <w:adjustRightInd w:val="0"/>
        <w:spacing w:after="266"/>
        <w:rPr>
          <w:rFonts w:cs="Arial"/>
          <w:szCs w:val="24"/>
        </w:rPr>
      </w:pPr>
      <w:r>
        <w:rPr>
          <w:rFonts w:cs="Arial"/>
          <w:szCs w:val="24"/>
        </w:rPr>
        <w:t xml:space="preserve">In terms of leadership skills, there was a feeling that as new doctors they would always need to take the lead until a more senior doctor approached, who would then take over. This led to some misunderstandings with how to work well with </w:t>
      </w:r>
      <w:r>
        <w:rPr>
          <w:rFonts w:cs="Arial"/>
          <w:szCs w:val="24"/>
        </w:rPr>
        <w:lastRenderedPageBreak/>
        <w:t xml:space="preserve">nursing colleagues, when some students felt the pressure of having to look as though they were </w:t>
      </w:r>
      <w:r w:rsidR="00DE5B61">
        <w:rPr>
          <w:rFonts w:cs="Arial"/>
          <w:szCs w:val="24"/>
        </w:rPr>
        <w:t>‘</w:t>
      </w:r>
      <w:r>
        <w:rPr>
          <w:rFonts w:cs="Arial"/>
          <w:szCs w:val="24"/>
        </w:rPr>
        <w:t>in control</w:t>
      </w:r>
      <w:r w:rsidR="00DE5B61">
        <w:rPr>
          <w:rFonts w:cs="Arial"/>
          <w:szCs w:val="24"/>
        </w:rPr>
        <w:t>’</w:t>
      </w:r>
      <w:r>
        <w:rPr>
          <w:rFonts w:cs="Arial"/>
          <w:szCs w:val="24"/>
        </w:rPr>
        <w:t xml:space="preserve"> to the res</w:t>
      </w:r>
      <w:r w:rsidR="00DE5B61">
        <w:rPr>
          <w:rFonts w:cs="Arial"/>
          <w:szCs w:val="24"/>
        </w:rPr>
        <w:t xml:space="preserve">t of the team (focus groups </w:t>
      </w:r>
      <w:r>
        <w:rPr>
          <w:rFonts w:cs="Arial"/>
          <w:szCs w:val="24"/>
        </w:rPr>
        <w:t>9</w:t>
      </w:r>
      <w:r w:rsidR="00DE5B61">
        <w:rPr>
          <w:rFonts w:cs="Arial"/>
          <w:szCs w:val="24"/>
        </w:rPr>
        <w:t>, Participant 3</w:t>
      </w:r>
      <w:r>
        <w:rPr>
          <w:rFonts w:cs="Arial"/>
          <w:szCs w:val="24"/>
        </w:rPr>
        <w:t xml:space="preserve">). There were reflections that everyone had different leadership skills and a level of adaptability was required. The feeling of needing to be in charge separated out different personalities, where some made snap decisions and others felt overwhelmed by the responsibility and unclear of expectations that they were ‘allowed’ to give </w:t>
      </w:r>
      <w:r w:rsidR="00DE5B61">
        <w:rPr>
          <w:rFonts w:cs="Arial"/>
          <w:szCs w:val="24"/>
        </w:rPr>
        <w:t xml:space="preserve">treatment (focus groups 2, Participant 5, FG </w:t>
      </w:r>
      <w:r>
        <w:rPr>
          <w:rFonts w:cs="Arial"/>
          <w:szCs w:val="24"/>
        </w:rPr>
        <w:t>16</w:t>
      </w:r>
      <w:r w:rsidR="00DE5B61">
        <w:rPr>
          <w:rFonts w:cs="Arial"/>
          <w:szCs w:val="24"/>
        </w:rPr>
        <w:t>, Participant 3</w:t>
      </w:r>
      <w:r>
        <w:rPr>
          <w:rFonts w:cs="Arial"/>
          <w:szCs w:val="24"/>
        </w:rPr>
        <w:t>).</w:t>
      </w:r>
    </w:p>
    <w:p w14:paraId="71997B51" w14:textId="0E0A1AD7" w:rsidR="00137B0F" w:rsidRDefault="00137B0F" w:rsidP="00137B0F">
      <w:pPr>
        <w:widowControl w:val="0"/>
        <w:autoSpaceDE w:val="0"/>
        <w:autoSpaceDN w:val="0"/>
        <w:adjustRightInd w:val="0"/>
        <w:spacing w:after="266"/>
        <w:rPr>
          <w:rFonts w:cs="Arial"/>
          <w:szCs w:val="24"/>
        </w:rPr>
      </w:pPr>
      <w:r>
        <w:rPr>
          <w:rFonts w:cs="Arial"/>
          <w:szCs w:val="24"/>
        </w:rPr>
        <w:t xml:space="preserve">When running the final scenario related to a cardiac arrest, there was the sudden realisation that </w:t>
      </w:r>
      <w:r w:rsidRPr="00CD047B">
        <w:rPr>
          <w:rFonts w:cs="Arial"/>
          <w:szCs w:val="24"/>
        </w:rPr>
        <w:t>seniority does not necessarily make</w:t>
      </w:r>
      <w:r>
        <w:rPr>
          <w:rFonts w:cs="Arial"/>
          <w:szCs w:val="24"/>
        </w:rPr>
        <w:t xml:space="preserve"> a</w:t>
      </w:r>
      <w:r w:rsidRPr="00CD047B">
        <w:rPr>
          <w:rFonts w:cs="Arial"/>
          <w:szCs w:val="24"/>
        </w:rPr>
        <w:t xml:space="preserve"> better leader</w:t>
      </w:r>
      <w:r>
        <w:rPr>
          <w:rFonts w:cs="Arial"/>
          <w:szCs w:val="24"/>
        </w:rPr>
        <w:t>. This seemed to result in a level of empowerment amongst the medical students, which was palpable. It appeared to lead to a new found value that though they were junior, they w</w:t>
      </w:r>
      <w:r w:rsidR="00DE5B61">
        <w:rPr>
          <w:rFonts w:cs="Arial"/>
          <w:szCs w:val="24"/>
        </w:rPr>
        <w:t>ere not ‘useless’ (focus groups10, Participant 1</w:t>
      </w:r>
      <w:r>
        <w:rPr>
          <w:rFonts w:cs="Arial"/>
          <w:szCs w:val="24"/>
        </w:rPr>
        <w:t xml:space="preserve"> focus group discussion field notes)</w:t>
      </w:r>
      <w:r w:rsidRPr="00CD047B">
        <w:rPr>
          <w:rFonts w:cs="Arial"/>
          <w:szCs w:val="24"/>
        </w:rPr>
        <w:t xml:space="preserve">. </w:t>
      </w:r>
    </w:p>
    <w:p w14:paraId="281CC7FE" w14:textId="77777777" w:rsidR="00137B0F" w:rsidRPr="00652CEE" w:rsidRDefault="00137B0F" w:rsidP="00137B0F">
      <w:pPr>
        <w:widowControl w:val="0"/>
        <w:autoSpaceDE w:val="0"/>
        <w:autoSpaceDN w:val="0"/>
        <w:adjustRightInd w:val="0"/>
        <w:spacing w:after="266"/>
        <w:rPr>
          <w:rFonts w:cs="Arial"/>
          <w:b/>
          <w:i/>
          <w:szCs w:val="24"/>
        </w:rPr>
      </w:pPr>
      <w:r w:rsidRPr="00652CEE">
        <w:rPr>
          <w:rFonts w:cs="Arial"/>
          <w:b/>
          <w:i/>
          <w:szCs w:val="24"/>
        </w:rPr>
        <w:t xml:space="preserve">Simulation: </w:t>
      </w:r>
    </w:p>
    <w:p w14:paraId="73312586" w14:textId="5A40BC89" w:rsidR="00137B0F" w:rsidRPr="00CD047B" w:rsidRDefault="00137B0F" w:rsidP="00137B0F">
      <w:pPr>
        <w:widowControl w:val="0"/>
        <w:autoSpaceDE w:val="0"/>
        <w:autoSpaceDN w:val="0"/>
        <w:adjustRightInd w:val="0"/>
        <w:spacing w:after="266"/>
        <w:rPr>
          <w:rFonts w:cs="Arial"/>
          <w:szCs w:val="24"/>
        </w:rPr>
      </w:pPr>
      <w:r>
        <w:rPr>
          <w:rFonts w:cs="Arial"/>
          <w:szCs w:val="24"/>
        </w:rPr>
        <w:t>T</w:t>
      </w:r>
      <w:r w:rsidRPr="00CD047B">
        <w:rPr>
          <w:rFonts w:cs="Arial"/>
          <w:szCs w:val="24"/>
        </w:rPr>
        <w:t xml:space="preserve">here were discussions around previous experience and what worked well and not so well. </w:t>
      </w:r>
      <w:r>
        <w:rPr>
          <w:rFonts w:cs="Arial"/>
          <w:szCs w:val="24"/>
        </w:rPr>
        <w:t xml:space="preserve">Most voiced a want for simulation throughout the undergraduate curriculum but </w:t>
      </w:r>
      <w:r w:rsidRPr="00CD047B">
        <w:rPr>
          <w:rFonts w:cs="Arial"/>
          <w:szCs w:val="24"/>
        </w:rPr>
        <w:t>felt</w:t>
      </w:r>
      <w:r>
        <w:rPr>
          <w:rFonts w:cs="Arial"/>
          <w:szCs w:val="24"/>
        </w:rPr>
        <w:t xml:space="preserve"> that if there were limited resources, it should be prioritised in 4th and 5</w:t>
      </w:r>
      <w:r w:rsidRPr="00CD047B">
        <w:rPr>
          <w:rFonts w:cs="Arial"/>
          <w:szCs w:val="24"/>
        </w:rPr>
        <w:t>th year</w:t>
      </w:r>
      <w:r>
        <w:rPr>
          <w:rFonts w:cs="Arial"/>
          <w:szCs w:val="24"/>
        </w:rPr>
        <w:t xml:space="preserve">. If it was </w:t>
      </w:r>
      <w:r w:rsidRPr="00CD047B">
        <w:rPr>
          <w:rFonts w:cs="Arial"/>
          <w:szCs w:val="24"/>
        </w:rPr>
        <w:t xml:space="preserve">introduced in </w:t>
      </w:r>
      <w:r>
        <w:rPr>
          <w:rFonts w:cs="Arial"/>
          <w:szCs w:val="24"/>
        </w:rPr>
        <w:t xml:space="preserve">the </w:t>
      </w:r>
      <w:r w:rsidRPr="00CD047B">
        <w:rPr>
          <w:rFonts w:cs="Arial"/>
          <w:szCs w:val="24"/>
        </w:rPr>
        <w:t>3rd year</w:t>
      </w:r>
      <w:r>
        <w:rPr>
          <w:rFonts w:cs="Arial"/>
          <w:szCs w:val="24"/>
        </w:rPr>
        <w:t>,</w:t>
      </w:r>
      <w:r w:rsidRPr="00CD047B">
        <w:rPr>
          <w:rFonts w:cs="Arial"/>
          <w:szCs w:val="24"/>
        </w:rPr>
        <w:t xml:space="preserve"> students </w:t>
      </w:r>
      <w:r>
        <w:rPr>
          <w:rFonts w:cs="Arial"/>
          <w:szCs w:val="24"/>
        </w:rPr>
        <w:t xml:space="preserve">felt they should </w:t>
      </w:r>
      <w:r w:rsidRPr="00CD047B">
        <w:rPr>
          <w:rFonts w:cs="Arial"/>
          <w:szCs w:val="24"/>
        </w:rPr>
        <w:t>work in pairs</w:t>
      </w:r>
      <w:r>
        <w:rPr>
          <w:rFonts w:cs="Arial"/>
          <w:szCs w:val="24"/>
        </w:rPr>
        <w:t>, but b</w:t>
      </w:r>
      <w:r w:rsidRPr="00CD047B">
        <w:rPr>
          <w:rFonts w:cs="Arial"/>
          <w:szCs w:val="24"/>
        </w:rPr>
        <w:t>y</w:t>
      </w:r>
      <w:r>
        <w:rPr>
          <w:rFonts w:cs="Arial"/>
          <w:szCs w:val="24"/>
        </w:rPr>
        <w:t xml:space="preserve"> the</w:t>
      </w:r>
      <w:r w:rsidRPr="00CD047B">
        <w:rPr>
          <w:rFonts w:cs="Arial"/>
          <w:szCs w:val="24"/>
        </w:rPr>
        <w:t xml:space="preserve"> 5th year</w:t>
      </w:r>
      <w:r>
        <w:rPr>
          <w:rFonts w:cs="Arial"/>
          <w:szCs w:val="24"/>
        </w:rPr>
        <w:t>,</w:t>
      </w:r>
      <w:r w:rsidRPr="00CD047B">
        <w:rPr>
          <w:rFonts w:cs="Arial"/>
          <w:szCs w:val="24"/>
        </w:rPr>
        <w:t xml:space="preserve"> they all felt it was essential to work alone to help them </w:t>
      </w:r>
      <w:r>
        <w:rPr>
          <w:rFonts w:cs="Arial"/>
          <w:szCs w:val="24"/>
        </w:rPr>
        <w:t xml:space="preserve">develop coping skills and understand </w:t>
      </w:r>
      <w:r w:rsidRPr="00CD047B">
        <w:rPr>
          <w:rFonts w:cs="Arial"/>
          <w:szCs w:val="24"/>
        </w:rPr>
        <w:t>how they would act and manage</w:t>
      </w:r>
      <w:r w:rsidR="00DE5B61">
        <w:rPr>
          <w:rFonts w:cs="Arial"/>
          <w:szCs w:val="24"/>
        </w:rPr>
        <w:t xml:space="preserve"> under pressure.</w:t>
      </w:r>
    </w:p>
    <w:p w14:paraId="3F79861B" w14:textId="77777777" w:rsidR="00137B0F" w:rsidRDefault="00137B0F" w:rsidP="00137B0F">
      <w:pPr>
        <w:widowControl w:val="0"/>
        <w:autoSpaceDE w:val="0"/>
        <w:autoSpaceDN w:val="0"/>
        <w:adjustRightInd w:val="0"/>
        <w:spacing w:after="266"/>
        <w:rPr>
          <w:rFonts w:cs="Arial"/>
          <w:szCs w:val="24"/>
        </w:rPr>
      </w:pPr>
      <w:r w:rsidRPr="00CD047B">
        <w:rPr>
          <w:rFonts w:cs="Arial"/>
          <w:szCs w:val="24"/>
        </w:rPr>
        <w:t xml:space="preserve">A </w:t>
      </w:r>
      <w:r>
        <w:rPr>
          <w:rFonts w:cs="Arial"/>
          <w:szCs w:val="24"/>
        </w:rPr>
        <w:t>sub-theme</w:t>
      </w:r>
      <w:r w:rsidRPr="00CD047B">
        <w:rPr>
          <w:rFonts w:cs="Arial"/>
          <w:szCs w:val="24"/>
        </w:rPr>
        <w:t xml:space="preserve"> within simulation was realism and how important this was</w:t>
      </w:r>
      <w:r>
        <w:rPr>
          <w:rFonts w:cs="Arial"/>
          <w:szCs w:val="24"/>
        </w:rPr>
        <w:t xml:space="preserve"> for </w:t>
      </w:r>
      <w:r>
        <w:rPr>
          <w:rFonts w:cs="Arial"/>
          <w:szCs w:val="24"/>
        </w:rPr>
        <w:lastRenderedPageBreak/>
        <w:t>immersion.</w:t>
      </w:r>
      <w:r w:rsidRPr="00CD047B">
        <w:rPr>
          <w:rFonts w:cs="Arial"/>
          <w:szCs w:val="24"/>
        </w:rPr>
        <w:t xml:space="preserve"> </w:t>
      </w:r>
      <w:r>
        <w:rPr>
          <w:rFonts w:cs="Arial"/>
          <w:szCs w:val="24"/>
        </w:rPr>
        <w:t>A</w:t>
      </w:r>
      <w:r w:rsidRPr="00CD047B">
        <w:rPr>
          <w:rFonts w:cs="Arial"/>
          <w:szCs w:val="24"/>
        </w:rPr>
        <w:t>spects that made it feel more real w</w:t>
      </w:r>
      <w:r>
        <w:rPr>
          <w:rFonts w:cs="Arial"/>
          <w:szCs w:val="24"/>
        </w:rPr>
        <w:t>ere</w:t>
      </w:r>
      <w:r w:rsidRPr="00CD047B">
        <w:rPr>
          <w:rFonts w:cs="Arial"/>
          <w:szCs w:val="24"/>
        </w:rPr>
        <w:t xml:space="preserve"> having the patient talking to them</w:t>
      </w:r>
      <w:r>
        <w:rPr>
          <w:rFonts w:cs="Arial"/>
          <w:szCs w:val="24"/>
        </w:rPr>
        <w:t xml:space="preserve"> and</w:t>
      </w:r>
      <w:r w:rsidRPr="00CD047B">
        <w:rPr>
          <w:rFonts w:cs="Arial"/>
          <w:szCs w:val="24"/>
        </w:rPr>
        <w:t xml:space="preserve"> </w:t>
      </w:r>
      <w:r>
        <w:rPr>
          <w:rFonts w:cs="Arial"/>
          <w:szCs w:val="24"/>
        </w:rPr>
        <w:t xml:space="preserve">doing </w:t>
      </w:r>
      <w:r w:rsidRPr="00CD047B">
        <w:rPr>
          <w:rFonts w:cs="Arial"/>
          <w:szCs w:val="24"/>
        </w:rPr>
        <w:t>procedures in real time</w:t>
      </w:r>
      <w:r>
        <w:rPr>
          <w:rFonts w:cs="Arial"/>
          <w:szCs w:val="24"/>
        </w:rPr>
        <w:t xml:space="preserve"> with patient feedback.</w:t>
      </w:r>
      <w:r w:rsidRPr="00CD047B">
        <w:rPr>
          <w:rFonts w:cs="Arial"/>
          <w:szCs w:val="24"/>
        </w:rPr>
        <w:t xml:space="preserve"> They felt the scenarios were realistic. Having </w:t>
      </w:r>
      <w:r>
        <w:rPr>
          <w:rFonts w:cs="Arial"/>
          <w:szCs w:val="24"/>
        </w:rPr>
        <w:t xml:space="preserve">accurate and </w:t>
      </w:r>
      <w:r w:rsidRPr="00CD047B">
        <w:rPr>
          <w:rFonts w:cs="Arial"/>
          <w:szCs w:val="24"/>
        </w:rPr>
        <w:t>correctly time</w:t>
      </w:r>
      <w:r>
        <w:rPr>
          <w:rFonts w:cs="Arial"/>
          <w:szCs w:val="24"/>
        </w:rPr>
        <w:t>d</w:t>
      </w:r>
      <w:r w:rsidRPr="00CD047B">
        <w:rPr>
          <w:rFonts w:cs="Arial"/>
          <w:szCs w:val="24"/>
        </w:rPr>
        <w:t xml:space="preserve"> physiological responses w</w:t>
      </w:r>
      <w:r>
        <w:rPr>
          <w:rFonts w:cs="Arial"/>
          <w:szCs w:val="24"/>
        </w:rPr>
        <w:t>as</w:t>
      </w:r>
      <w:r w:rsidRPr="00CD047B">
        <w:rPr>
          <w:rFonts w:cs="Arial"/>
          <w:szCs w:val="24"/>
        </w:rPr>
        <w:t xml:space="preserve"> important</w:t>
      </w:r>
      <w:r>
        <w:rPr>
          <w:rFonts w:cs="Arial"/>
          <w:szCs w:val="24"/>
        </w:rPr>
        <w:t>, for example</w:t>
      </w:r>
      <w:r w:rsidRPr="00CD047B">
        <w:rPr>
          <w:rFonts w:cs="Arial"/>
          <w:szCs w:val="24"/>
        </w:rPr>
        <w:t xml:space="preserve"> </w:t>
      </w:r>
      <w:r>
        <w:rPr>
          <w:rFonts w:cs="Arial"/>
          <w:szCs w:val="24"/>
        </w:rPr>
        <w:t>blood pressure</w:t>
      </w:r>
      <w:r w:rsidRPr="00CD047B">
        <w:rPr>
          <w:rFonts w:cs="Arial"/>
          <w:szCs w:val="24"/>
        </w:rPr>
        <w:t xml:space="preserve"> trending up over time after fluid bolus, or not altering if bleeding or under filled. </w:t>
      </w:r>
    </w:p>
    <w:p w14:paraId="341AA089" w14:textId="008DA705" w:rsidR="00137B0F" w:rsidRDefault="00137B0F" w:rsidP="00137B0F">
      <w:pPr>
        <w:widowControl w:val="0"/>
        <w:autoSpaceDE w:val="0"/>
        <w:autoSpaceDN w:val="0"/>
        <w:adjustRightInd w:val="0"/>
        <w:spacing w:after="266" w:line="240" w:lineRule="auto"/>
        <w:ind w:left="720"/>
        <w:rPr>
          <w:rFonts w:cs="Arial"/>
          <w:szCs w:val="24"/>
        </w:rPr>
      </w:pPr>
      <w:r w:rsidRPr="00652CEE">
        <w:rPr>
          <w:rFonts w:cs="Arial"/>
          <w:i/>
          <w:szCs w:val="24"/>
        </w:rPr>
        <w:t xml:space="preserve">‘In previous simulation sessions you would give fluid and the blood pressure would go immediately up which is what I was expecting, so I had not thought that was not normal so was worried when there was no change’ </w:t>
      </w:r>
      <w:r>
        <w:rPr>
          <w:rFonts w:cs="Arial"/>
          <w:szCs w:val="24"/>
        </w:rPr>
        <w:t>(Focus group 10</w:t>
      </w:r>
      <w:r w:rsidR="00DE5B61">
        <w:rPr>
          <w:rFonts w:cs="Arial"/>
          <w:szCs w:val="24"/>
        </w:rPr>
        <w:t>, Participant 2</w:t>
      </w:r>
      <w:r>
        <w:rPr>
          <w:rFonts w:cs="Arial"/>
          <w:szCs w:val="24"/>
        </w:rPr>
        <w:t>).</w:t>
      </w:r>
    </w:p>
    <w:p w14:paraId="7C8D82BB" w14:textId="0CFA87EF" w:rsidR="00137B0F" w:rsidRPr="00CD047B" w:rsidRDefault="00137B0F" w:rsidP="00137B0F">
      <w:pPr>
        <w:widowControl w:val="0"/>
        <w:autoSpaceDE w:val="0"/>
        <w:autoSpaceDN w:val="0"/>
        <w:adjustRightInd w:val="0"/>
        <w:spacing w:after="266"/>
        <w:rPr>
          <w:rFonts w:cs="Arial"/>
          <w:szCs w:val="24"/>
        </w:rPr>
      </w:pPr>
      <w:r w:rsidRPr="00CD047B">
        <w:rPr>
          <w:rFonts w:cs="Arial"/>
          <w:szCs w:val="24"/>
        </w:rPr>
        <w:t xml:space="preserve">All students </w:t>
      </w:r>
      <w:r w:rsidRPr="00B765CD">
        <w:rPr>
          <w:rFonts w:cs="Arial"/>
          <w:i/>
          <w:szCs w:val="24"/>
        </w:rPr>
        <w:t>'felt like a doctor'</w:t>
      </w:r>
      <w:r w:rsidRPr="00CD047B">
        <w:rPr>
          <w:rFonts w:cs="Arial"/>
          <w:szCs w:val="24"/>
        </w:rPr>
        <w:t xml:space="preserve"> looking after a patient in the scenarios</w:t>
      </w:r>
      <w:r>
        <w:rPr>
          <w:rFonts w:cs="Arial"/>
          <w:szCs w:val="24"/>
        </w:rPr>
        <w:t xml:space="preserve"> which was felt important to prepare to b</w:t>
      </w:r>
      <w:r w:rsidR="00DE5B61">
        <w:rPr>
          <w:rFonts w:cs="Arial"/>
          <w:szCs w:val="24"/>
        </w:rPr>
        <w:t>e responsible</w:t>
      </w:r>
      <w:r>
        <w:rPr>
          <w:rFonts w:cs="Arial"/>
          <w:szCs w:val="24"/>
        </w:rPr>
        <w:t xml:space="preserve">. </w:t>
      </w:r>
    </w:p>
    <w:p w14:paraId="5BDD2D67" w14:textId="77777777" w:rsidR="00137B0F" w:rsidRDefault="00137B0F" w:rsidP="00137B0F">
      <w:pPr>
        <w:widowControl w:val="0"/>
        <w:autoSpaceDE w:val="0"/>
        <w:autoSpaceDN w:val="0"/>
        <w:adjustRightInd w:val="0"/>
        <w:spacing w:after="266"/>
        <w:rPr>
          <w:rFonts w:cs="Arial"/>
          <w:szCs w:val="24"/>
        </w:rPr>
      </w:pPr>
      <w:r>
        <w:rPr>
          <w:rFonts w:cs="Arial"/>
          <w:szCs w:val="24"/>
        </w:rPr>
        <w:t xml:space="preserve">Best practice for simulation was discussed, </w:t>
      </w:r>
      <w:r w:rsidRPr="00CD047B">
        <w:rPr>
          <w:rFonts w:cs="Arial"/>
          <w:szCs w:val="24"/>
        </w:rPr>
        <w:t xml:space="preserve">what was important and worked well </w:t>
      </w:r>
      <w:r>
        <w:rPr>
          <w:rFonts w:cs="Arial"/>
          <w:szCs w:val="24"/>
        </w:rPr>
        <w:t>in their opinion and experience. This included:</w:t>
      </w:r>
      <w:r w:rsidRPr="00CD047B">
        <w:rPr>
          <w:rFonts w:cs="Arial"/>
          <w:szCs w:val="24"/>
        </w:rPr>
        <w:t xml:space="preserve"> </w:t>
      </w:r>
      <w:r>
        <w:rPr>
          <w:rFonts w:cs="Arial"/>
          <w:szCs w:val="24"/>
        </w:rPr>
        <w:t>interprofessional</w:t>
      </w:r>
      <w:r w:rsidRPr="00CD047B">
        <w:rPr>
          <w:rFonts w:cs="Arial"/>
          <w:szCs w:val="24"/>
        </w:rPr>
        <w:t xml:space="preserve"> learning </w:t>
      </w:r>
      <w:r>
        <w:rPr>
          <w:rFonts w:cs="Arial"/>
          <w:szCs w:val="24"/>
        </w:rPr>
        <w:t xml:space="preserve">and teaching; creating a </w:t>
      </w:r>
      <w:r w:rsidRPr="00CD047B">
        <w:rPr>
          <w:rFonts w:cs="Arial"/>
          <w:szCs w:val="24"/>
        </w:rPr>
        <w:t>safe environment</w:t>
      </w:r>
      <w:r>
        <w:rPr>
          <w:rFonts w:cs="Arial"/>
          <w:szCs w:val="24"/>
        </w:rPr>
        <w:t>;</w:t>
      </w:r>
      <w:r w:rsidRPr="00CD047B">
        <w:rPr>
          <w:rFonts w:cs="Arial"/>
          <w:szCs w:val="24"/>
        </w:rPr>
        <w:t xml:space="preserve"> faculty appropriately trained</w:t>
      </w:r>
      <w:r>
        <w:rPr>
          <w:rFonts w:cs="Arial"/>
          <w:szCs w:val="24"/>
        </w:rPr>
        <w:t>, experienced and flexible as well as being receptive to individual student needs;</w:t>
      </w:r>
      <w:r w:rsidRPr="00CD047B">
        <w:rPr>
          <w:rFonts w:cs="Arial"/>
          <w:szCs w:val="24"/>
        </w:rPr>
        <w:t xml:space="preserve"> debriefing</w:t>
      </w:r>
      <w:r>
        <w:rPr>
          <w:rFonts w:cs="Arial"/>
          <w:szCs w:val="24"/>
        </w:rPr>
        <w:t xml:space="preserve"> to be</w:t>
      </w:r>
      <w:r w:rsidRPr="00CD047B">
        <w:rPr>
          <w:rFonts w:cs="Arial"/>
          <w:szCs w:val="24"/>
        </w:rPr>
        <w:t xml:space="preserve"> specific and individual</w:t>
      </w:r>
      <w:r>
        <w:rPr>
          <w:rFonts w:cs="Arial"/>
          <w:szCs w:val="24"/>
        </w:rPr>
        <w:t>;</w:t>
      </w:r>
      <w:r w:rsidRPr="00CD047B">
        <w:rPr>
          <w:rFonts w:cs="Arial"/>
          <w:szCs w:val="24"/>
        </w:rPr>
        <w:t xml:space="preserve"> learning outcomes</w:t>
      </w:r>
      <w:r>
        <w:rPr>
          <w:rFonts w:cs="Arial"/>
          <w:szCs w:val="24"/>
        </w:rPr>
        <w:t>,</w:t>
      </w:r>
      <w:r w:rsidRPr="00CD047B">
        <w:rPr>
          <w:rFonts w:cs="Arial"/>
          <w:szCs w:val="24"/>
        </w:rPr>
        <w:t xml:space="preserve"> some pre</w:t>
      </w:r>
      <w:r>
        <w:rPr>
          <w:rFonts w:cs="Arial"/>
          <w:szCs w:val="24"/>
        </w:rPr>
        <w:t>-</w:t>
      </w:r>
      <w:r w:rsidRPr="00CD047B">
        <w:rPr>
          <w:rFonts w:cs="Arial"/>
          <w:szCs w:val="24"/>
        </w:rPr>
        <w:t>decided</w:t>
      </w:r>
      <w:r>
        <w:rPr>
          <w:rFonts w:cs="Arial"/>
          <w:szCs w:val="24"/>
        </w:rPr>
        <w:t>,</w:t>
      </w:r>
      <w:r w:rsidRPr="00CD047B">
        <w:rPr>
          <w:rFonts w:cs="Arial"/>
          <w:szCs w:val="24"/>
        </w:rPr>
        <w:t xml:space="preserve"> other</w:t>
      </w:r>
      <w:r>
        <w:rPr>
          <w:rFonts w:cs="Arial"/>
          <w:szCs w:val="24"/>
        </w:rPr>
        <w:t>s</w:t>
      </w:r>
      <w:r w:rsidRPr="00CD047B">
        <w:rPr>
          <w:rFonts w:cs="Arial"/>
          <w:szCs w:val="24"/>
        </w:rPr>
        <w:t xml:space="preserve"> tailored to group specific questions</w:t>
      </w:r>
      <w:r>
        <w:rPr>
          <w:rFonts w:cs="Arial"/>
          <w:szCs w:val="24"/>
        </w:rPr>
        <w:t>;</w:t>
      </w:r>
      <w:r w:rsidRPr="00CD047B">
        <w:rPr>
          <w:rFonts w:cs="Arial"/>
          <w:szCs w:val="24"/>
        </w:rPr>
        <w:t xml:space="preserve"> </w:t>
      </w:r>
      <w:r>
        <w:rPr>
          <w:rFonts w:cs="Arial"/>
          <w:szCs w:val="24"/>
        </w:rPr>
        <w:t xml:space="preserve">and </w:t>
      </w:r>
      <w:r w:rsidRPr="00CD047B">
        <w:rPr>
          <w:rFonts w:cs="Arial"/>
          <w:szCs w:val="24"/>
        </w:rPr>
        <w:t>importance of g</w:t>
      </w:r>
      <w:r>
        <w:rPr>
          <w:rFonts w:cs="Arial"/>
          <w:szCs w:val="24"/>
        </w:rPr>
        <w:t xml:space="preserve">etting the pressure level right for each individual. </w:t>
      </w:r>
    </w:p>
    <w:p w14:paraId="4F23B0CB" w14:textId="77777777" w:rsidR="00137B0F" w:rsidRPr="00652CEE" w:rsidRDefault="00137B0F" w:rsidP="00137B0F">
      <w:pPr>
        <w:widowControl w:val="0"/>
        <w:autoSpaceDE w:val="0"/>
        <w:autoSpaceDN w:val="0"/>
        <w:adjustRightInd w:val="0"/>
        <w:spacing w:after="266"/>
        <w:rPr>
          <w:rFonts w:cs="Arial"/>
          <w:b/>
          <w:i/>
          <w:szCs w:val="24"/>
        </w:rPr>
      </w:pPr>
      <w:r w:rsidRPr="00652CEE">
        <w:rPr>
          <w:rFonts w:cs="Arial"/>
          <w:b/>
          <w:i/>
          <w:szCs w:val="24"/>
        </w:rPr>
        <w:t>Human Factors:</w:t>
      </w:r>
    </w:p>
    <w:p w14:paraId="27423690" w14:textId="77777777" w:rsidR="00137B0F" w:rsidRDefault="00137B0F" w:rsidP="00137B0F">
      <w:pPr>
        <w:widowControl w:val="0"/>
        <w:autoSpaceDE w:val="0"/>
        <w:autoSpaceDN w:val="0"/>
        <w:adjustRightInd w:val="0"/>
        <w:spacing w:after="266"/>
        <w:rPr>
          <w:rFonts w:cs="Arial"/>
          <w:szCs w:val="24"/>
        </w:rPr>
      </w:pPr>
      <w:r>
        <w:rPr>
          <w:rFonts w:cs="Arial"/>
          <w:szCs w:val="24"/>
        </w:rPr>
        <w:t>Human factors comments were very closely related to p</w:t>
      </w:r>
      <w:r w:rsidRPr="00CD047B">
        <w:rPr>
          <w:rFonts w:cs="Arial"/>
          <w:szCs w:val="24"/>
        </w:rPr>
        <w:t>erformance</w:t>
      </w:r>
      <w:r>
        <w:rPr>
          <w:rFonts w:cs="Arial"/>
          <w:szCs w:val="24"/>
        </w:rPr>
        <w:t xml:space="preserve"> and practice under pressure. S</w:t>
      </w:r>
      <w:r w:rsidRPr="00CD047B">
        <w:rPr>
          <w:rFonts w:cs="Arial"/>
          <w:szCs w:val="24"/>
        </w:rPr>
        <w:t>tudents that were signed off as competent at cannulation</w:t>
      </w:r>
      <w:r>
        <w:rPr>
          <w:rFonts w:cs="Arial"/>
          <w:szCs w:val="24"/>
        </w:rPr>
        <w:t>,</w:t>
      </w:r>
      <w:r w:rsidRPr="00CD047B">
        <w:rPr>
          <w:rFonts w:cs="Arial"/>
          <w:szCs w:val="24"/>
        </w:rPr>
        <w:t xml:space="preserve"> when performing the task under pressure left tourniquets on and did not put sharps away</w:t>
      </w:r>
      <w:r>
        <w:rPr>
          <w:rFonts w:cs="Arial"/>
          <w:szCs w:val="24"/>
        </w:rPr>
        <w:t xml:space="preserve"> (field notes). They</w:t>
      </w:r>
      <w:r w:rsidRPr="00CD047B">
        <w:rPr>
          <w:rFonts w:cs="Arial"/>
          <w:szCs w:val="24"/>
        </w:rPr>
        <w:t xml:space="preserve"> were shocked by this</w:t>
      </w:r>
      <w:r>
        <w:rPr>
          <w:rFonts w:cs="Arial"/>
          <w:szCs w:val="24"/>
        </w:rPr>
        <w:t>,</w:t>
      </w:r>
      <w:r w:rsidRPr="00CD047B">
        <w:rPr>
          <w:rFonts w:cs="Arial"/>
          <w:szCs w:val="24"/>
        </w:rPr>
        <w:t xml:space="preserve"> saying</w:t>
      </w:r>
    </w:p>
    <w:p w14:paraId="3233EB7C" w14:textId="023D9DFD" w:rsidR="00137B0F" w:rsidRDefault="00137B0F" w:rsidP="00137B0F">
      <w:pPr>
        <w:widowControl w:val="0"/>
        <w:autoSpaceDE w:val="0"/>
        <w:autoSpaceDN w:val="0"/>
        <w:adjustRightInd w:val="0"/>
        <w:spacing w:after="266" w:line="240" w:lineRule="auto"/>
        <w:ind w:left="720"/>
        <w:rPr>
          <w:rFonts w:cs="Arial"/>
          <w:szCs w:val="24"/>
        </w:rPr>
      </w:pPr>
      <w:r w:rsidRPr="00CD047B">
        <w:rPr>
          <w:rFonts w:cs="Arial"/>
          <w:szCs w:val="24"/>
        </w:rPr>
        <w:t xml:space="preserve"> </w:t>
      </w:r>
      <w:r w:rsidRPr="00B765CD">
        <w:rPr>
          <w:rFonts w:cs="Arial"/>
          <w:i/>
          <w:szCs w:val="24"/>
        </w:rPr>
        <w:t>'</w:t>
      </w:r>
      <w:r>
        <w:rPr>
          <w:rFonts w:cs="Arial"/>
          <w:i/>
          <w:szCs w:val="24"/>
        </w:rPr>
        <w:t xml:space="preserve">I have </w:t>
      </w:r>
      <w:r w:rsidRPr="00B765CD">
        <w:rPr>
          <w:rFonts w:cs="Arial"/>
          <w:i/>
          <w:szCs w:val="24"/>
        </w:rPr>
        <w:t xml:space="preserve">never </w:t>
      </w:r>
      <w:r>
        <w:rPr>
          <w:rFonts w:cs="Arial"/>
          <w:i/>
          <w:szCs w:val="24"/>
        </w:rPr>
        <w:t xml:space="preserve">ever, ever </w:t>
      </w:r>
      <w:r w:rsidRPr="00B765CD">
        <w:rPr>
          <w:rFonts w:cs="Arial"/>
          <w:i/>
          <w:szCs w:val="24"/>
        </w:rPr>
        <w:t>done that before</w:t>
      </w:r>
      <w:r>
        <w:rPr>
          <w:rFonts w:cs="Arial"/>
          <w:i/>
          <w:szCs w:val="24"/>
        </w:rPr>
        <w:t xml:space="preserve"> and I still can’t believe I did, I must have been distracted, I have never had to try to manage a patient, </w:t>
      </w:r>
      <w:r>
        <w:rPr>
          <w:rFonts w:cs="Arial"/>
          <w:i/>
          <w:szCs w:val="24"/>
        </w:rPr>
        <w:lastRenderedPageBreak/>
        <w:t>relative and team before in that situation but I will be aware of the risk next time</w:t>
      </w:r>
      <w:r w:rsidRPr="00B765CD">
        <w:rPr>
          <w:rFonts w:cs="Arial"/>
          <w:i/>
          <w:szCs w:val="24"/>
        </w:rPr>
        <w:t>'</w:t>
      </w:r>
      <w:r>
        <w:rPr>
          <w:rFonts w:cs="Arial"/>
          <w:i/>
          <w:szCs w:val="24"/>
        </w:rPr>
        <w:t xml:space="preserve"> </w:t>
      </w:r>
      <w:r>
        <w:rPr>
          <w:rFonts w:cs="Arial"/>
          <w:szCs w:val="24"/>
        </w:rPr>
        <w:t>(focus group 5</w:t>
      </w:r>
      <w:r w:rsidR="00DE5B61">
        <w:rPr>
          <w:rFonts w:cs="Arial"/>
          <w:szCs w:val="24"/>
        </w:rPr>
        <w:t>, Participant 4</w:t>
      </w:r>
      <w:r>
        <w:rPr>
          <w:rFonts w:cs="Arial"/>
          <w:szCs w:val="24"/>
        </w:rPr>
        <w:t>).</w:t>
      </w:r>
      <w:r w:rsidRPr="00CD047B">
        <w:rPr>
          <w:rFonts w:cs="Arial"/>
          <w:szCs w:val="24"/>
        </w:rPr>
        <w:t xml:space="preserve"> </w:t>
      </w:r>
    </w:p>
    <w:p w14:paraId="0CDDBE3B" w14:textId="67ACE349" w:rsidR="00137B0F" w:rsidRDefault="00137B0F" w:rsidP="00137B0F">
      <w:pPr>
        <w:widowControl w:val="0"/>
        <w:autoSpaceDE w:val="0"/>
        <w:autoSpaceDN w:val="0"/>
        <w:adjustRightInd w:val="0"/>
        <w:spacing w:after="266"/>
        <w:rPr>
          <w:rFonts w:cs="Arial"/>
          <w:szCs w:val="24"/>
        </w:rPr>
      </w:pPr>
      <w:r w:rsidRPr="00CD047B">
        <w:rPr>
          <w:rFonts w:cs="Arial"/>
          <w:szCs w:val="24"/>
        </w:rPr>
        <w:t xml:space="preserve">The need to learn how to </w:t>
      </w:r>
      <w:r w:rsidRPr="00B765CD">
        <w:rPr>
          <w:rFonts w:cs="Arial"/>
          <w:i/>
          <w:szCs w:val="24"/>
        </w:rPr>
        <w:t>'think straight'</w:t>
      </w:r>
      <w:r w:rsidRPr="00CD047B">
        <w:rPr>
          <w:rFonts w:cs="Arial"/>
          <w:szCs w:val="24"/>
        </w:rPr>
        <w:t xml:space="preserve"> under pressure</w:t>
      </w:r>
      <w:r>
        <w:rPr>
          <w:rFonts w:cs="Arial"/>
          <w:szCs w:val="24"/>
        </w:rPr>
        <w:t xml:space="preserve"> was described to make sure they could act effectively and prevent their ‘</w:t>
      </w:r>
      <w:r w:rsidRPr="00B765CD">
        <w:rPr>
          <w:rFonts w:cs="Arial"/>
          <w:i/>
          <w:szCs w:val="24"/>
        </w:rPr>
        <w:t>mind going blank’</w:t>
      </w:r>
      <w:r w:rsidR="00DE5B61">
        <w:rPr>
          <w:rFonts w:cs="Arial"/>
          <w:szCs w:val="24"/>
        </w:rPr>
        <w:t xml:space="preserve"> for the patient (focus group 2, Participant 4</w:t>
      </w:r>
      <w:r>
        <w:rPr>
          <w:rFonts w:cs="Arial"/>
          <w:szCs w:val="24"/>
        </w:rPr>
        <w:t xml:space="preserve">). </w:t>
      </w:r>
    </w:p>
    <w:p w14:paraId="31D78A2B" w14:textId="66320880" w:rsidR="00137B0F" w:rsidRPr="00CD047B" w:rsidRDefault="00137B0F" w:rsidP="00137B0F">
      <w:pPr>
        <w:widowControl w:val="0"/>
        <w:autoSpaceDE w:val="0"/>
        <w:autoSpaceDN w:val="0"/>
        <w:adjustRightInd w:val="0"/>
        <w:spacing w:after="266"/>
        <w:rPr>
          <w:rFonts w:cs="Arial"/>
          <w:szCs w:val="24"/>
        </w:rPr>
      </w:pPr>
      <w:r>
        <w:rPr>
          <w:rFonts w:cs="Arial"/>
          <w:szCs w:val="24"/>
        </w:rPr>
        <w:t>The realisation that seniors wanted to be called to help them was important to them, especially from faculty with clinical cre</w:t>
      </w:r>
      <w:r w:rsidR="00DE5B61">
        <w:rPr>
          <w:rFonts w:cs="Arial"/>
          <w:szCs w:val="24"/>
        </w:rPr>
        <w:t>dibility</w:t>
      </w:r>
      <w:r>
        <w:rPr>
          <w:rFonts w:cs="Arial"/>
          <w:szCs w:val="24"/>
        </w:rPr>
        <w:t xml:space="preserve">. </w:t>
      </w:r>
      <w:r w:rsidRPr="00CD047B">
        <w:rPr>
          <w:rFonts w:cs="Arial"/>
          <w:szCs w:val="24"/>
        </w:rPr>
        <w:t> </w:t>
      </w:r>
    </w:p>
    <w:p w14:paraId="34DC57F5" w14:textId="5EC36CC1" w:rsidR="00137B0F" w:rsidRDefault="00137B0F" w:rsidP="00137B0F">
      <w:pPr>
        <w:widowControl w:val="0"/>
        <w:autoSpaceDE w:val="0"/>
        <w:autoSpaceDN w:val="0"/>
        <w:adjustRightInd w:val="0"/>
        <w:spacing w:after="266"/>
        <w:rPr>
          <w:rFonts w:cs="Arial"/>
          <w:szCs w:val="24"/>
        </w:rPr>
      </w:pPr>
      <w:r>
        <w:rPr>
          <w:rFonts w:cs="Arial"/>
          <w:szCs w:val="24"/>
        </w:rPr>
        <w:t xml:space="preserve">Confidence was discussed, which they felt </w:t>
      </w:r>
      <w:r w:rsidRPr="00CD047B">
        <w:rPr>
          <w:rFonts w:cs="Arial"/>
          <w:szCs w:val="24"/>
        </w:rPr>
        <w:t xml:space="preserve">was about feeling </w:t>
      </w:r>
      <w:r>
        <w:rPr>
          <w:rFonts w:cs="Arial"/>
          <w:szCs w:val="24"/>
        </w:rPr>
        <w:t>‘</w:t>
      </w:r>
      <w:r w:rsidRPr="00BC7A24">
        <w:rPr>
          <w:rFonts w:cs="Arial"/>
          <w:i/>
          <w:szCs w:val="24"/>
        </w:rPr>
        <w:t>able to do something on their own, make decisions’</w:t>
      </w:r>
      <w:r>
        <w:rPr>
          <w:rFonts w:cs="Arial"/>
          <w:i/>
          <w:szCs w:val="24"/>
        </w:rPr>
        <w:t>,</w:t>
      </w:r>
      <w:r w:rsidRPr="00CD047B">
        <w:rPr>
          <w:rFonts w:cs="Arial"/>
          <w:szCs w:val="24"/>
        </w:rPr>
        <w:t xml:space="preserve"> and helped lead to independent critical thinking</w:t>
      </w:r>
      <w:r w:rsidR="00DE5B61">
        <w:rPr>
          <w:rFonts w:cs="Arial"/>
          <w:szCs w:val="24"/>
        </w:rPr>
        <w:t xml:space="preserve"> (focus groups 3, Participant 4</w:t>
      </w:r>
      <w:r>
        <w:rPr>
          <w:rFonts w:cs="Arial"/>
          <w:szCs w:val="24"/>
        </w:rPr>
        <w:t xml:space="preserve">). Confidence was considered core to capability. Confidence, resilience and independent thinking were recorded in field notes to be required at </w:t>
      </w:r>
      <w:r w:rsidRPr="00CD047B">
        <w:rPr>
          <w:rFonts w:cs="Arial"/>
          <w:szCs w:val="24"/>
        </w:rPr>
        <w:t>all stages</w:t>
      </w:r>
      <w:r>
        <w:rPr>
          <w:rFonts w:cs="Arial"/>
          <w:szCs w:val="24"/>
        </w:rPr>
        <w:t xml:space="preserve"> to support insight, self-</w:t>
      </w:r>
      <w:r w:rsidRPr="00CD047B">
        <w:rPr>
          <w:rFonts w:cs="Arial"/>
          <w:szCs w:val="24"/>
        </w:rPr>
        <w:t>reflection</w:t>
      </w:r>
      <w:r>
        <w:rPr>
          <w:rFonts w:cs="Arial"/>
          <w:szCs w:val="24"/>
        </w:rPr>
        <w:t xml:space="preserve"> and self-regulation</w:t>
      </w:r>
      <w:r w:rsidRPr="00CD047B">
        <w:rPr>
          <w:rFonts w:cs="Arial"/>
          <w:szCs w:val="24"/>
        </w:rPr>
        <w:t>.</w:t>
      </w:r>
    </w:p>
    <w:p w14:paraId="04271EA9" w14:textId="77777777" w:rsidR="00137B0F" w:rsidRPr="00CD047B" w:rsidRDefault="00137B0F" w:rsidP="00137B0F">
      <w:pPr>
        <w:widowControl w:val="0"/>
        <w:autoSpaceDE w:val="0"/>
        <w:autoSpaceDN w:val="0"/>
        <w:adjustRightInd w:val="0"/>
        <w:spacing w:after="266"/>
        <w:rPr>
          <w:rFonts w:cs="Arial"/>
          <w:szCs w:val="24"/>
        </w:rPr>
      </w:pPr>
      <w:r>
        <w:rPr>
          <w:rFonts w:cs="Arial"/>
          <w:szCs w:val="24"/>
        </w:rPr>
        <w:t xml:space="preserve">Task fixation was an area discussed and generally triggered by performing the procedure in each scenario. It was described as </w:t>
      </w:r>
      <w:r w:rsidRPr="00CD047B">
        <w:rPr>
          <w:rFonts w:cs="Arial"/>
          <w:szCs w:val="24"/>
        </w:rPr>
        <w:t xml:space="preserve">important when doing </w:t>
      </w:r>
      <w:r>
        <w:rPr>
          <w:rFonts w:cs="Arial"/>
          <w:szCs w:val="24"/>
        </w:rPr>
        <w:t xml:space="preserve">the procedure </w:t>
      </w:r>
      <w:r w:rsidRPr="00CD047B">
        <w:rPr>
          <w:rFonts w:cs="Arial"/>
          <w:szCs w:val="24"/>
        </w:rPr>
        <w:t>until complete</w:t>
      </w:r>
      <w:r>
        <w:rPr>
          <w:rFonts w:cs="Arial"/>
          <w:szCs w:val="24"/>
        </w:rPr>
        <w:t>,</w:t>
      </w:r>
      <w:r w:rsidRPr="00CD047B">
        <w:rPr>
          <w:rFonts w:cs="Arial"/>
          <w:szCs w:val="24"/>
        </w:rPr>
        <w:t xml:space="preserve"> </w:t>
      </w:r>
      <w:r>
        <w:rPr>
          <w:rFonts w:cs="Arial"/>
          <w:szCs w:val="24"/>
        </w:rPr>
        <w:t xml:space="preserve">then moving to </w:t>
      </w:r>
      <w:r w:rsidRPr="00CD047B">
        <w:rPr>
          <w:rFonts w:cs="Arial"/>
          <w:szCs w:val="24"/>
        </w:rPr>
        <w:t xml:space="preserve">avoid tunnel vision </w:t>
      </w:r>
      <w:r>
        <w:rPr>
          <w:rFonts w:cs="Arial"/>
          <w:szCs w:val="24"/>
        </w:rPr>
        <w:t xml:space="preserve">and risk of </w:t>
      </w:r>
      <w:r w:rsidRPr="00CD047B">
        <w:rPr>
          <w:rFonts w:cs="Arial"/>
          <w:szCs w:val="24"/>
        </w:rPr>
        <w:t>labelling</w:t>
      </w:r>
      <w:r>
        <w:rPr>
          <w:rFonts w:cs="Arial"/>
          <w:szCs w:val="24"/>
        </w:rPr>
        <w:t xml:space="preserve"> a</w:t>
      </w:r>
      <w:r w:rsidRPr="00CD047B">
        <w:rPr>
          <w:rFonts w:cs="Arial"/>
          <w:szCs w:val="24"/>
        </w:rPr>
        <w:t xml:space="preserve"> patient with a diagnosis too </w:t>
      </w:r>
      <w:r>
        <w:rPr>
          <w:rFonts w:cs="Arial"/>
          <w:szCs w:val="24"/>
        </w:rPr>
        <w:t xml:space="preserve">early. </w:t>
      </w:r>
    </w:p>
    <w:p w14:paraId="6BCFE5E6" w14:textId="77777777" w:rsidR="00137B0F" w:rsidRPr="00652CEE" w:rsidRDefault="00137B0F" w:rsidP="00137B0F">
      <w:pPr>
        <w:widowControl w:val="0"/>
        <w:autoSpaceDE w:val="0"/>
        <w:autoSpaceDN w:val="0"/>
        <w:adjustRightInd w:val="0"/>
        <w:spacing w:after="266"/>
        <w:rPr>
          <w:rFonts w:cs="Arial"/>
          <w:b/>
          <w:i/>
          <w:szCs w:val="24"/>
        </w:rPr>
      </w:pPr>
      <w:r w:rsidRPr="00652CEE">
        <w:rPr>
          <w:rFonts w:cs="Arial"/>
          <w:b/>
          <w:i/>
          <w:szCs w:val="24"/>
        </w:rPr>
        <w:t xml:space="preserve">Behaviour and self-insight </w:t>
      </w:r>
    </w:p>
    <w:p w14:paraId="21B3A4B7" w14:textId="5500E829" w:rsidR="00137B0F" w:rsidRDefault="00137B0F" w:rsidP="00137B0F">
      <w:pPr>
        <w:widowControl w:val="0"/>
        <w:autoSpaceDE w:val="0"/>
        <w:autoSpaceDN w:val="0"/>
        <w:adjustRightInd w:val="0"/>
        <w:spacing w:after="266"/>
        <w:rPr>
          <w:rFonts w:cs="Arial"/>
          <w:szCs w:val="24"/>
        </w:rPr>
      </w:pPr>
      <w:r>
        <w:rPr>
          <w:rFonts w:cs="Arial"/>
          <w:szCs w:val="24"/>
        </w:rPr>
        <w:t>In terms of insight and behavioural change, realising how they</w:t>
      </w:r>
      <w:r w:rsidRPr="00CD047B">
        <w:rPr>
          <w:rFonts w:cs="Arial"/>
          <w:szCs w:val="24"/>
        </w:rPr>
        <w:t xml:space="preserve"> act</w:t>
      </w:r>
      <w:r>
        <w:rPr>
          <w:rFonts w:cs="Arial"/>
          <w:szCs w:val="24"/>
        </w:rPr>
        <w:t>ed</w:t>
      </w:r>
      <w:r w:rsidRPr="00CD047B">
        <w:rPr>
          <w:rFonts w:cs="Arial"/>
          <w:szCs w:val="24"/>
        </w:rPr>
        <w:t xml:space="preserve"> under pressure</w:t>
      </w:r>
      <w:r>
        <w:rPr>
          <w:rFonts w:cs="Arial"/>
          <w:szCs w:val="24"/>
        </w:rPr>
        <w:t xml:space="preserve"> was noted to be ‘</w:t>
      </w:r>
      <w:r w:rsidRPr="00BC7A24">
        <w:rPr>
          <w:rFonts w:cs="Arial"/>
          <w:i/>
          <w:szCs w:val="24"/>
        </w:rPr>
        <w:t>very interesting and useful’</w:t>
      </w:r>
      <w:r w:rsidRPr="00652CEE">
        <w:rPr>
          <w:rFonts w:cs="Arial"/>
          <w:szCs w:val="24"/>
        </w:rPr>
        <w:t>,</w:t>
      </w:r>
      <w:r w:rsidRPr="00905C08">
        <w:rPr>
          <w:rFonts w:cs="Arial"/>
          <w:szCs w:val="24"/>
        </w:rPr>
        <w:t xml:space="preserve"> </w:t>
      </w:r>
      <w:r>
        <w:rPr>
          <w:rFonts w:cs="Arial"/>
          <w:szCs w:val="24"/>
        </w:rPr>
        <w:t>and sometimes ‘</w:t>
      </w:r>
      <w:r w:rsidRPr="00BC7A24">
        <w:rPr>
          <w:rFonts w:cs="Arial"/>
          <w:i/>
          <w:szCs w:val="24"/>
        </w:rPr>
        <w:t>shocking</w:t>
      </w:r>
      <w:r>
        <w:rPr>
          <w:rFonts w:cs="Arial"/>
          <w:szCs w:val="24"/>
        </w:rPr>
        <w:t>’</w:t>
      </w:r>
      <w:r w:rsidRPr="00CD047B">
        <w:rPr>
          <w:rFonts w:cs="Arial"/>
          <w:szCs w:val="24"/>
        </w:rPr>
        <w:t xml:space="preserve"> </w:t>
      </w:r>
      <w:r>
        <w:rPr>
          <w:rFonts w:cs="Arial"/>
          <w:szCs w:val="24"/>
        </w:rPr>
        <w:t xml:space="preserve">or </w:t>
      </w:r>
      <w:r w:rsidRPr="00BC7A24">
        <w:rPr>
          <w:rFonts w:cs="Arial"/>
          <w:i/>
          <w:szCs w:val="24"/>
        </w:rPr>
        <w:t>‘surprising’</w:t>
      </w:r>
      <w:r w:rsidR="00DE5B61">
        <w:rPr>
          <w:rFonts w:cs="Arial"/>
          <w:szCs w:val="24"/>
        </w:rPr>
        <w:t xml:space="preserve"> (focus group </w:t>
      </w:r>
      <w:r>
        <w:rPr>
          <w:rFonts w:cs="Arial"/>
          <w:szCs w:val="24"/>
        </w:rPr>
        <w:t>11</w:t>
      </w:r>
      <w:r w:rsidR="00DE5B61">
        <w:rPr>
          <w:rFonts w:cs="Arial"/>
          <w:szCs w:val="24"/>
        </w:rPr>
        <w:t xml:space="preserve">, </w:t>
      </w:r>
      <w:r w:rsidR="00345C07">
        <w:rPr>
          <w:rFonts w:cs="Arial"/>
          <w:szCs w:val="24"/>
        </w:rPr>
        <w:t>Participant</w:t>
      </w:r>
      <w:r w:rsidR="00DE5B61">
        <w:rPr>
          <w:rFonts w:cs="Arial"/>
          <w:szCs w:val="24"/>
        </w:rPr>
        <w:t xml:space="preserve"> 2</w:t>
      </w:r>
      <w:r>
        <w:rPr>
          <w:rFonts w:cs="Arial"/>
          <w:szCs w:val="24"/>
        </w:rPr>
        <w:t>). One student</w:t>
      </w:r>
      <w:r w:rsidRPr="00CD047B">
        <w:rPr>
          <w:rFonts w:cs="Arial"/>
          <w:szCs w:val="24"/>
        </w:rPr>
        <w:t xml:space="preserve"> </w:t>
      </w:r>
      <w:r>
        <w:rPr>
          <w:rFonts w:cs="Arial"/>
          <w:szCs w:val="24"/>
        </w:rPr>
        <w:t xml:space="preserve">physically </w:t>
      </w:r>
      <w:r w:rsidRPr="00CD047B">
        <w:rPr>
          <w:rFonts w:cs="Arial"/>
          <w:szCs w:val="24"/>
        </w:rPr>
        <w:t>blocked a relative getting near the bed</w:t>
      </w:r>
      <w:r>
        <w:rPr>
          <w:rFonts w:cs="Arial"/>
          <w:szCs w:val="24"/>
        </w:rPr>
        <w:t xml:space="preserve"> when under pressure</w:t>
      </w:r>
      <w:r w:rsidRPr="00CD047B">
        <w:rPr>
          <w:rFonts w:cs="Arial"/>
          <w:szCs w:val="24"/>
        </w:rPr>
        <w:t>, anoth</w:t>
      </w:r>
      <w:r>
        <w:rPr>
          <w:rFonts w:cs="Arial"/>
          <w:szCs w:val="24"/>
        </w:rPr>
        <w:t>er swore when they failed to can</w:t>
      </w:r>
      <w:r w:rsidRPr="00CD047B">
        <w:rPr>
          <w:rFonts w:cs="Arial"/>
          <w:szCs w:val="24"/>
        </w:rPr>
        <w:t>nulate</w:t>
      </w:r>
      <w:r>
        <w:rPr>
          <w:rFonts w:cs="Arial"/>
          <w:szCs w:val="24"/>
        </w:rPr>
        <w:t xml:space="preserve"> the patient</w:t>
      </w:r>
      <w:r w:rsidRPr="00CD047B">
        <w:rPr>
          <w:rFonts w:cs="Arial"/>
          <w:szCs w:val="24"/>
        </w:rPr>
        <w:t xml:space="preserve">, others smiled or giggled when the </w:t>
      </w:r>
      <w:r w:rsidRPr="00CD047B">
        <w:rPr>
          <w:rFonts w:cs="Arial"/>
          <w:szCs w:val="24"/>
        </w:rPr>
        <w:lastRenderedPageBreak/>
        <w:t>pressu</w:t>
      </w:r>
      <w:r>
        <w:rPr>
          <w:rFonts w:cs="Arial"/>
          <w:szCs w:val="24"/>
        </w:rPr>
        <w:t>re increased - all of which upset the</w:t>
      </w:r>
      <w:r w:rsidRPr="00CD047B">
        <w:rPr>
          <w:rFonts w:cs="Arial"/>
          <w:szCs w:val="24"/>
        </w:rPr>
        <w:t xml:space="preserve"> relative</w:t>
      </w:r>
      <w:r>
        <w:rPr>
          <w:rFonts w:cs="Arial"/>
          <w:szCs w:val="24"/>
        </w:rPr>
        <w:t xml:space="preserve"> and patient. </w:t>
      </w:r>
    </w:p>
    <w:p w14:paraId="03C2B336" w14:textId="4BA43524" w:rsidR="00137B0F" w:rsidRDefault="00137B0F" w:rsidP="00137B0F">
      <w:pPr>
        <w:widowControl w:val="0"/>
        <w:autoSpaceDE w:val="0"/>
        <w:autoSpaceDN w:val="0"/>
        <w:adjustRightInd w:val="0"/>
        <w:spacing w:after="266" w:line="240" w:lineRule="auto"/>
        <w:ind w:left="720"/>
        <w:rPr>
          <w:rFonts w:cs="Arial"/>
          <w:szCs w:val="24"/>
        </w:rPr>
      </w:pPr>
      <w:r w:rsidRPr="00652CEE">
        <w:rPr>
          <w:rFonts w:cs="Arial"/>
          <w:i/>
          <w:szCs w:val="24"/>
        </w:rPr>
        <w:t>‘I just saw the relative and I was trying to get to the patient so I tried to block them to get them away…..I have not been in that situation before and I panicked and could not think what else to do and just blocked them…which I realise now made them more angry’</w:t>
      </w:r>
      <w:r>
        <w:rPr>
          <w:rFonts w:cs="Arial"/>
          <w:szCs w:val="24"/>
        </w:rPr>
        <w:t xml:space="preserve"> (focus group 12</w:t>
      </w:r>
      <w:r w:rsidR="00DE5B61">
        <w:rPr>
          <w:rFonts w:cs="Arial"/>
          <w:szCs w:val="24"/>
        </w:rPr>
        <w:t>, Participant 3</w:t>
      </w:r>
      <w:r>
        <w:rPr>
          <w:rFonts w:cs="Arial"/>
          <w:szCs w:val="24"/>
        </w:rPr>
        <w:t xml:space="preserve">). </w:t>
      </w:r>
    </w:p>
    <w:p w14:paraId="5F61D0F8" w14:textId="75977127" w:rsidR="00137B0F" w:rsidRDefault="00137B0F" w:rsidP="00137B0F">
      <w:pPr>
        <w:widowControl w:val="0"/>
        <w:autoSpaceDE w:val="0"/>
        <w:autoSpaceDN w:val="0"/>
        <w:adjustRightInd w:val="0"/>
        <w:spacing w:after="266"/>
        <w:rPr>
          <w:rFonts w:cs="Arial"/>
          <w:szCs w:val="24"/>
        </w:rPr>
      </w:pPr>
      <w:r>
        <w:rPr>
          <w:rFonts w:cs="Arial"/>
          <w:szCs w:val="24"/>
        </w:rPr>
        <w:t>The ability to deliver this feedback in real time to the candidate with raw feelings from patient, team and relative was unique and powerful. The impact on rapport was explored in debriefing and methods to recognise behaviours and manage them (Intervention study field and case notes). These cases highlighted the i</w:t>
      </w:r>
      <w:r w:rsidRPr="00CD047B">
        <w:rPr>
          <w:rFonts w:cs="Arial"/>
          <w:szCs w:val="24"/>
        </w:rPr>
        <w:t>mportance of reflection</w:t>
      </w:r>
      <w:r>
        <w:rPr>
          <w:rFonts w:cs="Arial"/>
          <w:szCs w:val="24"/>
        </w:rPr>
        <w:t xml:space="preserve"> and real time feedback. Students reported that they had had no other opportunity for this level of practice and individual feedback and reflection that they felt would ‘</w:t>
      </w:r>
      <w:r w:rsidRPr="00782103">
        <w:rPr>
          <w:rFonts w:cs="Arial"/>
          <w:i/>
          <w:szCs w:val="24"/>
        </w:rPr>
        <w:t>change their behaviour in the future with patients’</w:t>
      </w:r>
      <w:r>
        <w:rPr>
          <w:rFonts w:cs="Arial"/>
          <w:i/>
          <w:szCs w:val="24"/>
        </w:rPr>
        <w:t xml:space="preserve"> </w:t>
      </w:r>
      <w:r>
        <w:rPr>
          <w:rFonts w:cs="Arial"/>
          <w:szCs w:val="24"/>
        </w:rPr>
        <w:t>(focus group 3</w:t>
      </w:r>
      <w:r w:rsidR="00DE5B61">
        <w:rPr>
          <w:rFonts w:cs="Arial"/>
          <w:szCs w:val="24"/>
        </w:rPr>
        <w:t>, Participant 4</w:t>
      </w:r>
      <w:r>
        <w:rPr>
          <w:rFonts w:cs="Arial"/>
          <w:szCs w:val="24"/>
        </w:rPr>
        <w:t xml:space="preserve">). </w:t>
      </w:r>
    </w:p>
    <w:p w14:paraId="469A9655" w14:textId="77777777" w:rsidR="00137B0F" w:rsidRPr="00652CEE" w:rsidRDefault="00137B0F" w:rsidP="00137B0F">
      <w:pPr>
        <w:widowControl w:val="0"/>
        <w:autoSpaceDE w:val="0"/>
        <w:autoSpaceDN w:val="0"/>
        <w:adjustRightInd w:val="0"/>
        <w:spacing w:after="266"/>
        <w:rPr>
          <w:rFonts w:cs="Arial"/>
          <w:b/>
          <w:i/>
          <w:szCs w:val="24"/>
        </w:rPr>
      </w:pPr>
      <w:r w:rsidRPr="00652CEE">
        <w:rPr>
          <w:rFonts w:cs="Arial"/>
          <w:b/>
          <w:i/>
          <w:szCs w:val="24"/>
        </w:rPr>
        <w:t xml:space="preserve"> </w:t>
      </w:r>
      <w:r>
        <w:rPr>
          <w:rFonts w:cs="Arial"/>
          <w:b/>
          <w:i/>
          <w:szCs w:val="24"/>
        </w:rPr>
        <w:t>Interprofessional</w:t>
      </w:r>
      <w:r w:rsidRPr="00652CEE">
        <w:rPr>
          <w:rFonts w:cs="Arial"/>
          <w:b/>
          <w:i/>
          <w:szCs w:val="24"/>
        </w:rPr>
        <w:t xml:space="preserve"> learning</w:t>
      </w:r>
    </w:p>
    <w:p w14:paraId="3386055C" w14:textId="670C7B1D" w:rsidR="00137B0F" w:rsidRDefault="00137B0F" w:rsidP="00137B0F">
      <w:pPr>
        <w:widowControl w:val="0"/>
        <w:autoSpaceDE w:val="0"/>
        <w:autoSpaceDN w:val="0"/>
        <w:adjustRightInd w:val="0"/>
        <w:spacing w:after="266"/>
        <w:rPr>
          <w:rFonts w:cs="Arial"/>
          <w:szCs w:val="24"/>
        </w:rPr>
      </w:pPr>
      <w:r>
        <w:rPr>
          <w:rFonts w:cs="Arial"/>
          <w:szCs w:val="24"/>
        </w:rPr>
        <w:t xml:space="preserve">Interaction with their team and the </w:t>
      </w:r>
      <w:r w:rsidRPr="00CD047B">
        <w:rPr>
          <w:rFonts w:cs="Arial"/>
          <w:szCs w:val="24"/>
        </w:rPr>
        <w:t xml:space="preserve">importance of </w:t>
      </w:r>
      <w:r>
        <w:rPr>
          <w:rFonts w:cs="Arial"/>
          <w:szCs w:val="24"/>
        </w:rPr>
        <w:t>interprofessional</w:t>
      </w:r>
      <w:r w:rsidRPr="00CD047B">
        <w:rPr>
          <w:rFonts w:cs="Arial"/>
          <w:szCs w:val="24"/>
        </w:rPr>
        <w:t xml:space="preserve"> learning </w:t>
      </w:r>
      <w:r>
        <w:rPr>
          <w:rFonts w:cs="Arial"/>
          <w:szCs w:val="24"/>
        </w:rPr>
        <w:t xml:space="preserve">was highlighted throughout all </w:t>
      </w:r>
      <w:r w:rsidR="00DE5B61">
        <w:rPr>
          <w:rFonts w:cs="Arial"/>
          <w:szCs w:val="24"/>
        </w:rPr>
        <w:t>focus groups</w:t>
      </w:r>
      <w:r>
        <w:rPr>
          <w:rFonts w:cs="Arial"/>
          <w:szCs w:val="24"/>
        </w:rPr>
        <w:t>. In particular ‘</w:t>
      </w:r>
      <w:r w:rsidRPr="00782103">
        <w:rPr>
          <w:rFonts w:cs="Arial"/>
          <w:i/>
          <w:szCs w:val="24"/>
        </w:rPr>
        <w:t>understanding in practice the roles of others and how to work together well</w:t>
      </w:r>
      <w:r>
        <w:rPr>
          <w:rFonts w:cs="Arial"/>
          <w:i/>
          <w:szCs w:val="24"/>
        </w:rPr>
        <w:t xml:space="preserve">’ </w:t>
      </w:r>
      <w:r w:rsidRPr="00652CEE">
        <w:rPr>
          <w:rFonts w:cs="Arial"/>
          <w:szCs w:val="24"/>
        </w:rPr>
        <w:t>(</w:t>
      </w:r>
      <w:r>
        <w:rPr>
          <w:rFonts w:cs="Arial"/>
          <w:szCs w:val="24"/>
        </w:rPr>
        <w:t>focus group 5</w:t>
      </w:r>
      <w:r w:rsidR="00DE5B61">
        <w:rPr>
          <w:rFonts w:cs="Arial"/>
          <w:szCs w:val="24"/>
        </w:rPr>
        <w:t>, Participant 5</w:t>
      </w:r>
      <w:r>
        <w:rPr>
          <w:rFonts w:cs="Arial"/>
          <w:szCs w:val="24"/>
        </w:rPr>
        <w:t xml:space="preserve">). </w:t>
      </w:r>
    </w:p>
    <w:p w14:paraId="37886307" w14:textId="64DBF8C0" w:rsidR="00137B0F" w:rsidRDefault="00137B0F" w:rsidP="00137B0F">
      <w:pPr>
        <w:widowControl w:val="0"/>
        <w:autoSpaceDE w:val="0"/>
        <w:autoSpaceDN w:val="0"/>
        <w:adjustRightInd w:val="0"/>
        <w:spacing w:after="266" w:line="240" w:lineRule="auto"/>
        <w:ind w:left="720"/>
        <w:rPr>
          <w:rFonts w:cs="Arial"/>
          <w:szCs w:val="24"/>
        </w:rPr>
      </w:pPr>
      <w:r w:rsidRPr="00652CEE">
        <w:rPr>
          <w:rFonts w:cs="Arial"/>
          <w:i/>
          <w:szCs w:val="24"/>
        </w:rPr>
        <w:t xml:space="preserve">‘I have never worked with the nurses as a doctor before so was unsure what they are able to do or how to interact best with them, I had not realised at all that I had said ‘my nurse’ and how that had made them feel… I will </w:t>
      </w:r>
      <w:r>
        <w:rPr>
          <w:rFonts w:cs="Arial"/>
          <w:i/>
          <w:szCs w:val="24"/>
        </w:rPr>
        <w:t>n</w:t>
      </w:r>
      <w:r w:rsidRPr="00B43491">
        <w:rPr>
          <w:rFonts w:cs="Arial"/>
          <w:i/>
          <w:szCs w:val="24"/>
        </w:rPr>
        <w:t>ever</w:t>
      </w:r>
      <w:r w:rsidRPr="00652CEE">
        <w:rPr>
          <w:rFonts w:cs="Arial"/>
          <w:i/>
          <w:szCs w:val="24"/>
        </w:rPr>
        <w:t xml:space="preserve"> do that again’</w:t>
      </w:r>
      <w:r>
        <w:rPr>
          <w:rFonts w:cs="Arial"/>
          <w:szCs w:val="24"/>
        </w:rPr>
        <w:t xml:space="preserve"> (focus group 17</w:t>
      </w:r>
      <w:r w:rsidR="00DE5B61">
        <w:rPr>
          <w:rFonts w:cs="Arial"/>
          <w:szCs w:val="24"/>
        </w:rPr>
        <w:t>, Participant 4</w:t>
      </w:r>
      <w:r>
        <w:rPr>
          <w:rFonts w:cs="Arial"/>
          <w:szCs w:val="24"/>
        </w:rPr>
        <w:t xml:space="preserve">). </w:t>
      </w:r>
    </w:p>
    <w:p w14:paraId="064BDDC3" w14:textId="5F8B6933" w:rsidR="00137B0F" w:rsidRPr="00CD047B" w:rsidRDefault="00137B0F" w:rsidP="00137B0F">
      <w:pPr>
        <w:widowControl w:val="0"/>
        <w:autoSpaceDE w:val="0"/>
        <w:autoSpaceDN w:val="0"/>
        <w:adjustRightInd w:val="0"/>
        <w:spacing w:after="266"/>
        <w:rPr>
          <w:rFonts w:cs="Arial"/>
          <w:szCs w:val="24"/>
        </w:rPr>
      </w:pPr>
      <w:r>
        <w:rPr>
          <w:rFonts w:cs="Arial"/>
          <w:szCs w:val="24"/>
        </w:rPr>
        <w:t>The importance of a</w:t>
      </w:r>
      <w:r w:rsidRPr="00CD047B">
        <w:rPr>
          <w:rFonts w:cs="Arial"/>
          <w:szCs w:val="24"/>
        </w:rPr>
        <w:t>voiding poor communication</w:t>
      </w:r>
      <w:r>
        <w:rPr>
          <w:rFonts w:cs="Arial"/>
          <w:szCs w:val="24"/>
        </w:rPr>
        <w:t xml:space="preserve"> and impact on relationships emerged. One example was: 'my nurse will see to you', a comment made by one of the students. The nurses felt offended and had the opportunity to explain why. The importance of building a rapport with staff was emphasised and understood. Building personal relationships by reminding themselves of names </w:t>
      </w:r>
      <w:r>
        <w:rPr>
          <w:rFonts w:cs="Arial"/>
          <w:szCs w:val="24"/>
        </w:rPr>
        <w:lastRenderedPageBreak/>
        <w:t>and to be polite even when they were feeling overwhelmed with pressure was noted</w:t>
      </w:r>
      <w:r w:rsidR="00DE5B61">
        <w:rPr>
          <w:rFonts w:cs="Arial"/>
          <w:szCs w:val="24"/>
        </w:rPr>
        <w:t xml:space="preserve"> as important (focus group 3</w:t>
      </w:r>
      <w:r>
        <w:rPr>
          <w:rFonts w:cs="Arial"/>
          <w:szCs w:val="24"/>
        </w:rPr>
        <w:t xml:space="preserve">). </w:t>
      </w:r>
    </w:p>
    <w:p w14:paraId="278729A1" w14:textId="44943AD0" w:rsidR="00137B0F" w:rsidRDefault="00137B0F" w:rsidP="00137B0F">
      <w:pPr>
        <w:widowControl w:val="0"/>
        <w:autoSpaceDE w:val="0"/>
        <w:autoSpaceDN w:val="0"/>
        <w:adjustRightInd w:val="0"/>
        <w:spacing w:after="266"/>
        <w:rPr>
          <w:rFonts w:cs="Arial"/>
          <w:szCs w:val="24"/>
        </w:rPr>
      </w:pPr>
      <w:r w:rsidRPr="00CD047B">
        <w:rPr>
          <w:rFonts w:cs="Arial"/>
          <w:szCs w:val="24"/>
        </w:rPr>
        <w:t>Clear communication and the power of sharing concern</w:t>
      </w:r>
      <w:r>
        <w:rPr>
          <w:rFonts w:cs="Arial"/>
          <w:szCs w:val="24"/>
        </w:rPr>
        <w:t>s and ideas and asking for help from the team were discussed as vital. The nursing team reported this behaviour as making them feel ‘</w:t>
      </w:r>
      <w:r w:rsidRPr="00782103">
        <w:rPr>
          <w:rFonts w:cs="Arial"/>
          <w:i/>
          <w:szCs w:val="24"/>
        </w:rPr>
        <w:t>included and valued</w:t>
      </w:r>
      <w:r>
        <w:rPr>
          <w:rFonts w:cs="Arial"/>
          <w:i/>
          <w:szCs w:val="24"/>
        </w:rPr>
        <w:t>’</w:t>
      </w:r>
      <w:r>
        <w:rPr>
          <w:rFonts w:cs="Arial"/>
          <w:szCs w:val="24"/>
        </w:rPr>
        <w:t xml:space="preserve">, and the combined feeling was that of better and more </w:t>
      </w:r>
      <w:r w:rsidRPr="00CD047B">
        <w:rPr>
          <w:rFonts w:cs="Arial"/>
          <w:szCs w:val="24"/>
        </w:rPr>
        <w:t>effective</w:t>
      </w:r>
      <w:r>
        <w:rPr>
          <w:rFonts w:cs="Arial"/>
          <w:szCs w:val="24"/>
        </w:rPr>
        <w:t xml:space="preserve"> care for </w:t>
      </w:r>
      <w:r w:rsidR="00DE5B61">
        <w:rPr>
          <w:rFonts w:cs="Arial"/>
          <w:szCs w:val="24"/>
        </w:rPr>
        <w:t>the patient (focus group 8, Participant 2</w:t>
      </w:r>
      <w:r>
        <w:rPr>
          <w:rFonts w:cs="Arial"/>
          <w:szCs w:val="24"/>
        </w:rPr>
        <w:t>)</w:t>
      </w:r>
      <w:r w:rsidRPr="00CD047B">
        <w:rPr>
          <w:rFonts w:cs="Arial"/>
          <w:szCs w:val="24"/>
        </w:rPr>
        <w:t>.</w:t>
      </w:r>
    </w:p>
    <w:p w14:paraId="0754CA47" w14:textId="77777777" w:rsidR="00137B0F" w:rsidRDefault="00137B0F" w:rsidP="00137B0F">
      <w:pPr>
        <w:widowControl w:val="0"/>
        <w:autoSpaceDE w:val="0"/>
        <w:autoSpaceDN w:val="0"/>
        <w:adjustRightInd w:val="0"/>
        <w:spacing w:after="266"/>
        <w:rPr>
          <w:rFonts w:cs="Arial"/>
          <w:szCs w:val="24"/>
        </w:rPr>
      </w:pPr>
    </w:p>
    <w:p w14:paraId="5AE0AF87" w14:textId="77777777" w:rsidR="00137B0F" w:rsidRDefault="00137B0F" w:rsidP="00137B0F">
      <w:pPr>
        <w:widowControl w:val="0"/>
        <w:autoSpaceDE w:val="0"/>
        <w:autoSpaceDN w:val="0"/>
        <w:adjustRightInd w:val="0"/>
        <w:spacing w:after="266"/>
        <w:rPr>
          <w:rFonts w:cs="Arial"/>
          <w:szCs w:val="24"/>
        </w:rPr>
      </w:pPr>
    </w:p>
    <w:p w14:paraId="78BAAE8C" w14:textId="77777777" w:rsidR="00137B0F" w:rsidRDefault="00137B0F" w:rsidP="00137B0F">
      <w:pPr>
        <w:widowControl w:val="0"/>
        <w:autoSpaceDE w:val="0"/>
        <w:autoSpaceDN w:val="0"/>
        <w:adjustRightInd w:val="0"/>
        <w:spacing w:after="266"/>
        <w:rPr>
          <w:rFonts w:cs="Arial"/>
          <w:szCs w:val="24"/>
        </w:rPr>
      </w:pPr>
    </w:p>
    <w:p w14:paraId="2CC72F44" w14:textId="77777777" w:rsidR="00137B0F" w:rsidRDefault="00137B0F" w:rsidP="00137B0F">
      <w:pPr>
        <w:widowControl w:val="0"/>
        <w:autoSpaceDE w:val="0"/>
        <w:autoSpaceDN w:val="0"/>
        <w:adjustRightInd w:val="0"/>
        <w:spacing w:after="266"/>
        <w:rPr>
          <w:rFonts w:cs="Arial"/>
          <w:szCs w:val="24"/>
        </w:rPr>
      </w:pPr>
    </w:p>
    <w:p w14:paraId="706D07A9" w14:textId="77777777" w:rsidR="00137B0F" w:rsidRDefault="00137B0F" w:rsidP="00137B0F">
      <w:pPr>
        <w:widowControl w:val="0"/>
        <w:autoSpaceDE w:val="0"/>
        <w:autoSpaceDN w:val="0"/>
        <w:adjustRightInd w:val="0"/>
        <w:spacing w:after="266"/>
        <w:rPr>
          <w:rFonts w:cs="Arial"/>
          <w:szCs w:val="24"/>
        </w:rPr>
      </w:pPr>
    </w:p>
    <w:p w14:paraId="21CBD4EF" w14:textId="77777777" w:rsidR="00137B0F" w:rsidRDefault="00137B0F" w:rsidP="00137B0F">
      <w:pPr>
        <w:widowControl w:val="0"/>
        <w:autoSpaceDE w:val="0"/>
        <w:autoSpaceDN w:val="0"/>
        <w:adjustRightInd w:val="0"/>
        <w:spacing w:after="266"/>
        <w:rPr>
          <w:rFonts w:cs="Arial"/>
          <w:szCs w:val="24"/>
        </w:rPr>
      </w:pPr>
    </w:p>
    <w:p w14:paraId="23B49617" w14:textId="77777777" w:rsidR="00137B0F" w:rsidRDefault="00137B0F" w:rsidP="00137B0F">
      <w:pPr>
        <w:widowControl w:val="0"/>
        <w:autoSpaceDE w:val="0"/>
        <w:autoSpaceDN w:val="0"/>
        <w:adjustRightInd w:val="0"/>
        <w:spacing w:after="266"/>
        <w:rPr>
          <w:rFonts w:cs="Arial"/>
          <w:szCs w:val="24"/>
        </w:rPr>
      </w:pPr>
    </w:p>
    <w:p w14:paraId="61EEABD9" w14:textId="77777777" w:rsidR="00137B0F" w:rsidRDefault="00137B0F" w:rsidP="00137B0F">
      <w:pPr>
        <w:widowControl w:val="0"/>
        <w:autoSpaceDE w:val="0"/>
        <w:autoSpaceDN w:val="0"/>
        <w:adjustRightInd w:val="0"/>
        <w:spacing w:after="266"/>
        <w:rPr>
          <w:rFonts w:cs="Arial"/>
          <w:szCs w:val="24"/>
        </w:rPr>
      </w:pPr>
    </w:p>
    <w:p w14:paraId="1C438637" w14:textId="77777777" w:rsidR="00137B0F" w:rsidRDefault="00137B0F" w:rsidP="00137B0F">
      <w:pPr>
        <w:widowControl w:val="0"/>
        <w:autoSpaceDE w:val="0"/>
        <w:autoSpaceDN w:val="0"/>
        <w:adjustRightInd w:val="0"/>
        <w:spacing w:after="266"/>
        <w:rPr>
          <w:rFonts w:cs="Arial"/>
          <w:szCs w:val="24"/>
        </w:rPr>
      </w:pPr>
    </w:p>
    <w:p w14:paraId="6580B269" w14:textId="77777777" w:rsidR="00137B0F" w:rsidRDefault="00137B0F" w:rsidP="00137B0F">
      <w:pPr>
        <w:widowControl w:val="0"/>
        <w:autoSpaceDE w:val="0"/>
        <w:autoSpaceDN w:val="0"/>
        <w:adjustRightInd w:val="0"/>
        <w:spacing w:after="266"/>
        <w:rPr>
          <w:rFonts w:cs="Arial"/>
          <w:szCs w:val="24"/>
        </w:rPr>
      </w:pPr>
    </w:p>
    <w:p w14:paraId="6434DCBF" w14:textId="77777777" w:rsidR="0084791F" w:rsidRDefault="0084791F" w:rsidP="00137B0F">
      <w:pPr>
        <w:widowControl w:val="0"/>
        <w:autoSpaceDE w:val="0"/>
        <w:autoSpaceDN w:val="0"/>
        <w:adjustRightInd w:val="0"/>
        <w:spacing w:after="266"/>
        <w:rPr>
          <w:rFonts w:cs="Arial"/>
          <w:szCs w:val="24"/>
        </w:rPr>
      </w:pPr>
    </w:p>
    <w:p w14:paraId="15495C76" w14:textId="77777777" w:rsidR="00137B0F" w:rsidRDefault="00137B0F" w:rsidP="00137B0F">
      <w:pPr>
        <w:widowControl w:val="0"/>
        <w:autoSpaceDE w:val="0"/>
        <w:autoSpaceDN w:val="0"/>
        <w:adjustRightInd w:val="0"/>
        <w:spacing w:after="266"/>
        <w:rPr>
          <w:rFonts w:cs="Arial"/>
          <w:szCs w:val="24"/>
        </w:rPr>
      </w:pPr>
    </w:p>
    <w:p w14:paraId="3A6CC713" w14:textId="2AC21BF5" w:rsidR="00137B0F" w:rsidRDefault="004B4F7A" w:rsidP="00137B0F">
      <w:pPr>
        <w:pStyle w:val="Heading2"/>
      </w:pPr>
      <w:bookmarkStart w:id="386" w:name="_Toc419116190"/>
      <w:r>
        <w:lastRenderedPageBreak/>
        <w:t xml:space="preserve">Part II: </w:t>
      </w:r>
      <w:r w:rsidR="00137B0F">
        <w:t>Results: Qualitative: Interviews</w:t>
      </w:r>
      <w:bookmarkEnd w:id="386"/>
      <w:r w:rsidR="00137B0F">
        <w:t xml:space="preserve"> </w:t>
      </w:r>
    </w:p>
    <w:p w14:paraId="7A1E042F" w14:textId="77777777" w:rsidR="00137B0F" w:rsidRDefault="00137B0F" w:rsidP="00137B0F"/>
    <w:p w14:paraId="6C936892" w14:textId="77777777" w:rsidR="00137B0F" w:rsidRDefault="00137B0F" w:rsidP="00137B0F">
      <w:r>
        <w:t xml:space="preserve">The main aim of this study was to explore preparedness, to look at ways of trying to improve it, those that exist already and a potential method of using SBME though the design and running of a curriculum-mapped simulation course. The section reports the findings from the interviews conducted with simulation experts. </w:t>
      </w:r>
    </w:p>
    <w:p w14:paraId="6E1F9FA6" w14:textId="77777777" w:rsidR="00137B0F" w:rsidRPr="00C75BA3" w:rsidRDefault="00137B0F" w:rsidP="00137B0F">
      <w:r>
        <w:t xml:space="preserve">In terms of demographics for experts (n=10), three were male and seven female. Four were anaesthetic consultants, two were senior nurses with national recognition for education and patient safety, two were medical consultants, one was a general practitioner and one an emergency medicine consultant. Two had been consultants for two years and the rest between 20 to 30 years. All had over five </w:t>
      </w:r>
      <w:proofErr w:type="spellStart"/>
      <w:r>
        <w:t>years experience</w:t>
      </w:r>
      <w:proofErr w:type="spellEnd"/>
      <w:r>
        <w:t xml:space="preserve"> working in medical education and simulation and or human factors education. Eight interviewees were simulation lead for their department. All had peer-reviewed publications concerning medical education and simulation. </w:t>
      </w:r>
    </w:p>
    <w:p w14:paraId="4E3C91D3" w14:textId="77777777" w:rsidR="00137B0F" w:rsidRDefault="00137B0F" w:rsidP="00137B0F">
      <w:pPr>
        <w:pStyle w:val="Heading3"/>
      </w:pPr>
      <w:bookmarkStart w:id="387" w:name="_Toc343501191"/>
      <w:bookmarkStart w:id="388" w:name="_Toc348686393"/>
      <w:bookmarkStart w:id="389" w:name="_Toc419116191"/>
      <w:r>
        <w:t>Preparedness</w:t>
      </w:r>
      <w:bookmarkEnd w:id="387"/>
      <w:bookmarkEnd w:id="388"/>
      <w:bookmarkEnd w:id="389"/>
    </w:p>
    <w:p w14:paraId="04B32280" w14:textId="77777777" w:rsidR="00137B0F" w:rsidRPr="00107517" w:rsidRDefault="00137B0F" w:rsidP="00137B0F"/>
    <w:p w14:paraId="673F299E" w14:textId="77777777" w:rsidR="00137B0F" w:rsidRDefault="00137B0F" w:rsidP="00137B0F">
      <w:r>
        <w:t xml:space="preserve">There were seven emergent themes (Fig. 7-8): </w:t>
      </w:r>
    </w:p>
    <w:p w14:paraId="7D2C772C" w14:textId="77777777" w:rsidR="00137B0F" w:rsidRDefault="00137B0F" w:rsidP="00137B0F">
      <w:r>
        <w:rPr>
          <w:noProof/>
          <w:lang w:val="en-US"/>
        </w:rPr>
        <w:drawing>
          <wp:inline distT="0" distB="0" distL="0" distR="0" wp14:anchorId="1DE9C4B7" wp14:editId="2C2C547B">
            <wp:extent cx="5669280" cy="694690"/>
            <wp:effectExtent l="57150" t="19050" r="45720" b="67310"/>
            <wp:docPr id="109" name="Diagram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14:paraId="2DE4DEF4" w14:textId="77777777" w:rsidR="00137B0F" w:rsidRDefault="00137B0F" w:rsidP="00137B0F">
      <w:pPr>
        <w:rPr>
          <w:b/>
          <w:i/>
        </w:rPr>
      </w:pPr>
      <w:r>
        <w:rPr>
          <w:b/>
          <w:i/>
        </w:rPr>
        <w:lastRenderedPageBreak/>
        <w:t>Knowledge</w:t>
      </w:r>
    </w:p>
    <w:p w14:paraId="4049F5CE" w14:textId="7E16B98B" w:rsidR="00137B0F" w:rsidRDefault="00137B0F" w:rsidP="00137B0F">
      <w:pPr>
        <w:rPr>
          <w:rFonts w:ascii="Helvetica" w:hAnsi="Helvetica" w:cs="Helvetica"/>
        </w:rPr>
      </w:pPr>
      <w:r>
        <w:t>It was felt that ‘</w:t>
      </w:r>
      <w:r w:rsidRPr="00652CEE">
        <w:rPr>
          <w:i/>
        </w:rPr>
        <w:t>knowledge was the currency’</w:t>
      </w:r>
      <w:r>
        <w:t xml:space="preserve"> in medical education and was rewarded and prioritised over other skills that were equally as important, such as leadership, teamwork and communication skills (Interviews 1,8). It was felt that </w:t>
      </w:r>
      <w:r w:rsidRPr="00652CEE">
        <w:rPr>
          <w:i/>
        </w:rPr>
        <w:t>‘students needed more than just exams’</w:t>
      </w:r>
      <w:r>
        <w:t xml:space="preserve"> (Interview 3). What worried a number of doctors was reported as </w:t>
      </w:r>
      <w:r w:rsidRPr="00652CEE">
        <w:rPr>
          <w:i/>
        </w:rPr>
        <w:t>‘being able to access the right knowledge at the right time’,</w:t>
      </w:r>
      <w:r>
        <w:t xml:space="preserve"> needing </w:t>
      </w:r>
      <w:r w:rsidRPr="00652CEE">
        <w:rPr>
          <w:i/>
        </w:rPr>
        <w:t>to ‘give the tools to actually think’</w:t>
      </w:r>
      <w:r>
        <w:t xml:space="preserve"> because it is not possible to </w:t>
      </w:r>
      <w:r w:rsidRPr="00652CEE">
        <w:rPr>
          <w:i/>
        </w:rPr>
        <w:t>‘prepare ever</w:t>
      </w:r>
      <w:r w:rsidR="0084791F">
        <w:rPr>
          <w:i/>
        </w:rPr>
        <w:t>y</w:t>
      </w:r>
      <w:r w:rsidRPr="00652CEE">
        <w:rPr>
          <w:i/>
        </w:rPr>
        <w:t xml:space="preserve"> student for every eventuality’</w:t>
      </w:r>
      <w:r>
        <w:t xml:space="preserve"> (Interviews 3,2).</w:t>
      </w:r>
      <w:r w:rsidRPr="003B590D">
        <w:rPr>
          <w:rFonts w:ascii="Helvetica" w:hAnsi="Helvetica" w:cs="Helvetica"/>
        </w:rPr>
        <w:t xml:space="preserve"> </w:t>
      </w:r>
      <w:r>
        <w:rPr>
          <w:rFonts w:ascii="Helvetica" w:hAnsi="Helvetica" w:cs="Helvetica"/>
        </w:rPr>
        <w:t xml:space="preserve">The hidden curriculum was felt to: </w:t>
      </w:r>
    </w:p>
    <w:p w14:paraId="7067BE65" w14:textId="77777777" w:rsidR="00137B0F" w:rsidRPr="00652CEE" w:rsidRDefault="00137B0F" w:rsidP="00137B0F">
      <w:pPr>
        <w:spacing w:line="240" w:lineRule="auto"/>
        <w:ind w:left="720"/>
        <w:rPr>
          <w:rFonts w:cs="Arial"/>
        </w:rPr>
      </w:pPr>
      <w:r w:rsidRPr="00652CEE">
        <w:rPr>
          <w:rFonts w:cs="Arial"/>
          <w:i/>
        </w:rPr>
        <w:t>‘instil a belief that to be a good doctor, you have to have the most amount of knowledge that you possibly can and if you have the right knowledge that you will be good at what you do. We need to stop generating a culture, which rewards knowledge over and above every other characteristic that we value in doctors’</w:t>
      </w:r>
      <w:r w:rsidRPr="00652CEE">
        <w:rPr>
          <w:rFonts w:cs="Arial"/>
        </w:rPr>
        <w:t xml:space="preserve"> (Interview 8).</w:t>
      </w:r>
    </w:p>
    <w:p w14:paraId="57000B5F" w14:textId="77777777" w:rsidR="00137B0F" w:rsidRDefault="00137B0F" w:rsidP="00137B0F">
      <w:pPr>
        <w:rPr>
          <w:b/>
          <w:i/>
        </w:rPr>
      </w:pPr>
      <w:r>
        <w:rPr>
          <w:b/>
          <w:i/>
        </w:rPr>
        <w:t>Skills</w:t>
      </w:r>
    </w:p>
    <w:p w14:paraId="37C11DE5" w14:textId="77777777" w:rsidR="00137B0F" w:rsidRDefault="00137B0F" w:rsidP="00137B0F">
      <w:r>
        <w:t xml:space="preserve">There appeared to be an expectation that some skills could only be learnt ‘on the job’ but due to reductions in exposure and responsibility at undergraduate level this was less possible (Interviews 2,4,7). Non-technical skills were described as having been ‘compartmentalised’ and losing context (Interview 3). </w:t>
      </w:r>
    </w:p>
    <w:p w14:paraId="06A4A0A1" w14:textId="77777777" w:rsidR="00137B0F" w:rsidRPr="00652CEE" w:rsidRDefault="00137B0F" w:rsidP="00137B0F">
      <w:pPr>
        <w:spacing w:line="240" w:lineRule="auto"/>
        <w:ind w:left="720"/>
        <w:rPr>
          <w:rFonts w:cs="Arial"/>
          <w:i/>
        </w:rPr>
      </w:pPr>
      <w:r w:rsidRPr="00652CEE">
        <w:rPr>
          <w:rFonts w:cs="Arial"/>
          <w:i/>
        </w:rPr>
        <w:t xml:space="preserve">‘In real life you won’t necessarily have a protocol that is going to work perfectly to sort out every situation and so unless you have got good non-technical skills you might not be able to resolve the situation as well and as safely for the patient, with as good outcome……..I think that is so important, it is more important to have the non-technical skills, but I think you really </w:t>
      </w:r>
      <w:proofErr w:type="spellStart"/>
      <w:r w:rsidRPr="00652CEE">
        <w:rPr>
          <w:rFonts w:cs="Arial"/>
          <w:i/>
        </w:rPr>
        <w:t>really</w:t>
      </w:r>
      <w:proofErr w:type="spellEnd"/>
      <w:r w:rsidRPr="00652CEE">
        <w:rPr>
          <w:rFonts w:cs="Arial"/>
          <w:i/>
        </w:rPr>
        <w:t xml:space="preserve"> </w:t>
      </w:r>
      <w:proofErr w:type="spellStart"/>
      <w:r w:rsidRPr="00652CEE">
        <w:rPr>
          <w:rFonts w:cs="Arial"/>
          <w:i/>
        </w:rPr>
        <w:t>really</w:t>
      </w:r>
      <w:proofErr w:type="spellEnd"/>
      <w:r w:rsidRPr="00652CEE">
        <w:rPr>
          <w:rFonts w:cs="Arial"/>
          <w:i/>
        </w:rPr>
        <w:t xml:space="preserve"> need to use them when you are struggling, when you are some way out of your comfort zone to really benefit from them </w:t>
      </w:r>
      <w:r w:rsidRPr="00652CEE">
        <w:rPr>
          <w:rFonts w:cs="Arial"/>
        </w:rPr>
        <w:t>(Interview 1).</w:t>
      </w:r>
    </w:p>
    <w:p w14:paraId="74B2EA12" w14:textId="77777777" w:rsidR="00137B0F" w:rsidRDefault="00137B0F" w:rsidP="00137B0F">
      <w:r>
        <w:lastRenderedPageBreak/>
        <w:t>It was felt that students were taught practical and communication skills well but there was a lack of ‘context’ and ‘application’ to the work environment (interview 3).</w:t>
      </w:r>
    </w:p>
    <w:p w14:paraId="0ECAAD7A" w14:textId="77777777" w:rsidR="00137B0F" w:rsidRPr="00652CEE" w:rsidRDefault="00137B0F" w:rsidP="00137B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 xml:space="preserve">‘In terms of practical procedures, something we did when a medical student, we would take bloods, we would </w:t>
      </w:r>
      <w:proofErr w:type="spellStart"/>
      <w:r w:rsidRPr="00652CEE">
        <w:rPr>
          <w:rFonts w:cs="Arial"/>
          <w:i/>
        </w:rPr>
        <w:t>hangout</w:t>
      </w:r>
      <w:proofErr w:type="spellEnd"/>
      <w:r w:rsidRPr="00652CEE">
        <w:rPr>
          <w:rFonts w:cs="Arial"/>
          <w:i/>
        </w:rPr>
        <w:t xml:space="preserve"> on the wards waiting to do cannulas and bloods, things like that. I wouldn’t say I was particularly brilliant at practical skills when I started and I certainly didn’t have a range of them. In terms of how to actually look after patients, unwell patients, I don’t think I was actually prepared at all. I probably learnt all of that on the job’</w:t>
      </w:r>
      <w:r w:rsidRPr="00652CEE">
        <w:rPr>
          <w:rFonts w:cs="Arial"/>
        </w:rPr>
        <w:t xml:space="preserve">. (Interview 1) </w:t>
      </w:r>
    </w:p>
    <w:p w14:paraId="106DDB65" w14:textId="77777777" w:rsidR="00137B0F" w:rsidRDefault="00137B0F" w:rsidP="00137B0F">
      <w:pPr>
        <w:rPr>
          <w:b/>
          <w:i/>
        </w:rPr>
      </w:pPr>
    </w:p>
    <w:p w14:paraId="61865C66" w14:textId="77777777" w:rsidR="00137B0F" w:rsidRPr="00652CEE" w:rsidRDefault="00137B0F" w:rsidP="00137B0F">
      <w:pPr>
        <w:rPr>
          <w:b/>
          <w:i/>
        </w:rPr>
      </w:pPr>
      <w:r w:rsidRPr="00652CEE">
        <w:rPr>
          <w:b/>
          <w:i/>
        </w:rPr>
        <w:t>Capability</w:t>
      </w:r>
    </w:p>
    <w:p w14:paraId="7A93A36C" w14:textId="77777777" w:rsidR="00137B0F" w:rsidRDefault="00137B0F" w:rsidP="00137B0F">
      <w:pPr>
        <w:rPr>
          <w:rFonts w:ascii="Helvetica" w:hAnsi="Helvetica" w:cs="Helvetica"/>
        </w:rPr>
      </w:pPr>
      <w:r>
        <w:t xml:space="preserve">Experts talked overwhelmingly about capability in terms of being </w:t>
      </w:r>
      <w:r w:rsidRPr="00652CEE">
        <w:rPr>
          <w:i/>
        </w:rPr>
        <w:t>‘work ready’</w:t>
      </w:r>
      <w:r>
        <w:t xml:space="preserve">, </w:t>
      </w:r>
      <w:r w:rsidRPr="00652CEE">
        <w:rPr>
          <w:i/>
        </w:rPr>
        <w:t>‘fit to think, fit to act’</w:t>
      </w:r>
      <w:r>
        <w:t xml:space="preserve">, and that this should be objectively measured (Interviews 2,3,4). Preparedness was described as being </w:t>
      </w:r>
      <w:r w:rsidRPr="00652CEE">
        <w:rPr>
          <w:i/>
        </w:rPr>
        <w:t>‘</w:t>
      </w:r>
      <w:r w:rsidRPr="00652CEE">
        <w:rPr>
          <w:rFonts w:ascii="Helvetica"/>
          <w:i/>
        </w:rPr>
        <w:t>competent to undertake the tasks of the day within a clinical workspace</w:t>
      </w:r>
      <w:r w:rsidRPr="00652CEE">
        <w:rPr>
          <w:rFonts w:ascii="Helvetica"/>
          <w:i/>
        </w:rPr>
        <w:t>’</w:t>
      </w:r>
      <w:r>
        <w:rPr>
          <w:rFonts w:ascii="Helvetica"/>
        </w:rPr>
        <w:t xml:space="preserve"> (Interview 2).</w:t>
      </w:r>
      <w:r w:rsidRPr="00797F4A">
        <w:rPr>
          <w:rFonts w:ascii="Helvetica" w:hAnsi="Helvetica" w:cs="Helvetica"/>
        </w:rPr>
        <w:t xml:space="preserve"> </w:t>
      </w:r>
      <w:r>
        <w:rPr>
          <w:rFonts w:ascii="Helvetica" w:hAnsi="Helvetica" w:cs="Helvetica"/>
        </w:rPr>
        <w:t xml:space="preserve">Preparedness was described as being: </w:t>
      </w:r>
    </w:p>
    <w:p w14:paraId="0CF1556E" w14:textId="77777777" w:rsidR="00137B0F" w:rsidRPr="00652CEE" w:rsidRDefault="00137B0F" w:rsidP="00137B0F">
      <w:pPr>
        <w:spacing w:line="240" w:lineRule="auto"/>
        <w:ind w:left="720"/>
        <w:rPr>
          <w:noProof/>
          <w:lang w:val="en-US"/>
        </w:rPr>
      </w:pPr>
      <w:r w:rsidRPr="00652CEE">
        <w:rPr>
          <w:rFonts w:cs="Arial"/>
          <w:i/>
        </w:rPr>
        <w:t>‘about people understanding their response in crisis or their response under pressure, and the need to</w:t>
      </w:r>
      <w:r w:rsidRPr="00652CEE" w:rsidDel="003A377D">
        <w:rPr>
          <w:rFonts w:cs="Arial"/>
          <w:i/>
        </w:rPr>
        <w:t xml:space="preserve"> </w:t>
      </w:r>
      <w:r w:rsidRPr="00652CEE">
        <w:rPr>
          <w:rFonts w:cs="Arial"/>
          <w:i/>
        </w:rPr>
        <w:t>invite the individual to think about their own response in relation to the tasks, the environment, the system, its design, their team members’</w:t>
      </w:r>
      <w:r w:rsidRPr="00652CEE">
        <w:rPr>
          <w:rFonts w:cs="Arial"/>
        </w:rPr>
        <w:t xml:space="preserve"> (Interview 5).</w:t>
      </w:r>
      <w:r w:rsidRPr="007D443E" w:rsidDel="003A377D">
        <w:rPr>
          <w:rFonts w:cs="Arial"/>
        </w:rPr>
        <w:t xml:space="preserve"> </w:t>
      </w:r>
    </w:p>
    <w:p w14:paraId="216725B8" w14:textId="77777777" w:rsidR="00137B0F" w:rsidRDefault="00137B0F" w:rsidP="00137B0F">
      <w:pPr>
        <w:keepNext/>
      </w:pPr>
      <w:r>
        <w:rPr>
          <w:noProof/>
          <w:lang w:val="en-US"/>
        </w:rPr>
        <w:lastRenderedPageBreak/>
        <w:drawing>
          <wp:inline distT="0" distB="0" distL="0" distR="0" wp14:anchorId="3BB1CEC5" wp14:editId="52CA70A7">
            <wp:extent cx="6062980" cy="4212590"/>
            <wp:effectExtent l="0" t="0" r="0" b="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14:paraId="0D1EC5A2" w14:textId="77777777" w:rsidR="00137B0F" w:rsidRDefault="00137B0F" w:rsidP="007000F8">
      <w:pPr>
        <w:pStyle w:val="Caption"/>
      </w:pPr>
      <w:bookmarkStart w:id="390" w:name="_Toc365579448"/>
      <w:bookmarkStart w:id="391" w:name="_Toc368056047"/>
      <w:bookmarkStart w:id="392" w:name="_Toc419116475"/>
      <w:r>
        <w:t xml:space="preserve">Figure </w:t>
      </w:r>
      <w:r>
        <w:fldChar w:fldCharType="begin"/>
      </w:r>
      <w:r>
        <w:instrText xml:space="preserve"> STYLEREF 1 \s </w:instrText>
      </w:r>
      <w:r>
        <w:fldChar w:fldCharType="separate"/>
      </w:r>
      <w:r w:rsidR="007220A7">
        <w:rPr>
          <w:noProof/>
        </w:rPr>
        <w:t>7</w:t>
      </w:r>
      <w:r>
        <w:fldChar w:fldCharType="end"/>
      </w:r>
      <w:r>
        <w:noBreakHyphen/>
      </w:r>
      <w:r>
        <w:fldChar w:fldCharType="begin"/>
      </w:r>
      <w:r>
        <w:instrText xml:space="preserve"> SEQ Figure \* ARABIC \s 1 </w:instrText>
      </w:r>
      <w:r>
        <w:fldChar w:fldCharType="separate"/>
      </w:r>
      <w:r w:rsidR="007220A7">
        <w:rPr>
          <w:noProof/>
        </w:rPr>
        <w:t>8</w:t>
      </w:r>
      <w:r>
        <w:fldChar w:fldCharType="end"/>
      </w:r>
      <w:r>
        <w:t xml:space="preserve"> Venn diagram to demonstrate main emergent themes related to 'preparedness' from thematic analysis of UK medical education and simulation expert in-depth interview transcripts</w:t>
      </w:r>
      <w:bookmarkEnd w:id="390"/>
      <w:bookmarkEnd w:id="391"/>
      <w:bookmarkEnd w:id="392"/>
    </w:p>
    <w:p w14:paraId="70909DC2" w14:textId="77777777" w:rsidR="00137B0F" w:rsidRDefault="00137B0F" w:rsidP="00137B0F">
      <w:pPr>
        <w:rPr>
          <w:b/>
          <w:i/>
        </w:rPr>
      </w:pPr>
      <w:r w:rsidRPr="00CA0E85">
        <w:rPr>
          <w:b/>
          <w:i/>
        </w:rPr>
        <w:t>Transference</w:t>
      </w:r>
    </w:p>
    <w:p w14:paraId="7701075F" w14:textId="77777777" w:rsidR="00137B0F" w:rsidRDefault="00137B0F" w:rsidP="00137B0F">
      <w:r>
        <w:t xml:space="preserve">There was concern about a lack of transference due to missing context and application for the work environment with education, and that students were being turned into </w:t>
      </w:r>
      <w:r w:rsidRPr="00652CEE">
        <w:rPr>
          <w:i/>
        </w:rPr>
        <w:t>‘non-thinkers’</w:t>
      </w:r>
      <w:r>
        <w:t xml:space="preserve">, following protocols (Interview 3). Experts had been trained in </w:t>
      </w:r>
      <w:r w:rsidRPr="00652CEE">
        <w:rPr>
          <w:i/>
        </w:rPr>
        <w:t>‘the high pressure work environment’</w:t>
      </w:r>
      <w:r>
        <w:t xml:space="preserve"> of which they described a lot of ‘exposure’ but also ‘error’ and learning to self-correct over time (Interview 4). It was felt that unless ‘stretched’ by workplace related pressures or </w:t>
      </w:r>
      <w:r w:rsidRPr="00652CEE">
        <w:rPr>
          <w:i/>
        </w:rPr>
        <w:t>‘having some kind of internal quandary’</w:t>
      </w:r>
      <w:r>
        <w:t>, there was less learning opportunity (Interviews 1, 2).</w:t>
      </w:r>
      <w:r w:rsidRPr="0034183A">
        <w:t xml:space="preserve"> </w:t>
      </w:r>
      <w:r>
        <w:t xml:space="preserve">There was emphasis on the importance of learning about: </w:t>
      </w:r>
    </w:p>
    <w:p w14:paraId="7D84B6ED" w14:textId="77777777" w:rsidR="00137B0F" w:rsidRPr="008F1133" w:rsidRDefault="00137B0F" w:rsidP="00137B0F">
      <w:pPr>
        <w:spacing w:line="240" w:lineRule="auto"/>
        <w:ind w:left="720"/>
      </w:pPr>
      <w:r w:rsidRPr="00652CEE">
        <w:rPr>
          <w:i/>
        </w:rPr>
        <w:lastRenderedPageBreak/>
        <w:t>‘personal behaviours to manage own stress in an environment, how to use the team more effectively and manage the pressures, learning to use adjuncts such as guidelines and other memory aids’</w:t>
      </w:r>
      <w:r>
        <w:t xml:space="preserve"> (Interview 10).</w:t>
      </w:r>
    </w:p>
    <w:p w14:paraId="676AA632" w14:textId="77777777" w:rsidR="00137B0F" w:rsidRPr="00652CEE" w:rsidRDefault="00137B0F" w:rsidP="00137B0F">
      <w:pPr>
        <w:rPr>
          <w:b/>
          <w:i/>
        </w:rPr>
      </w:pPr>
      <w:r w:rsidRPr="00CA0E85">
        <w:rPr>
          <w:b/>
          <w:i/>
        </w:rPr>
        <w:t>Professionalism</w:t>
      </w:r>
    </w:p>
    <w:p w14:paraId="0176AF00" w14:textId="77777777" w:rsidR="00137B0F" w:rsidRDefault="00137B0F" w:rsidP="00137B0F">
      <w:r>
        <w:t xml:space="preserve">Professionalism was mentioned recurrently by experts, and the idea of the application of knowledge and skills, as well as gaining insight into the clinical conditions of working in a hospital (Interviews 2,3,6). </w:t>
      </w:r>
    </w:p>
    <w:p w14:paraId="41243684" w14:textId="77777777" w:rsidR="00137B0F" w:rsidRPr="00652CEE" w:rsidRDefault="00137B0F" w:rsidP="00137B0F">
      <w:pPr>
        <w:spacing w:line="240" w:lineRule="auto"/>
        <w:ind w:left="720"/>
        <w:rPr>
          <w:rFonts w:cs="Arial"/>
          <w:i/>
        </w:rPr>
      </w:pPr>
      <w:r w:rsidRPr="00652CEE">
        <w:rPr>
          <w:rFonts w:cs="Arial"/>
          <w:i/>
        </w:rPr>
        <w:t>‘Insight into own</w:t>
      </w:r>
      <w:r w:rsidRPr="0033498A">
        <w:rPr>
          <w:rFonts w:cs="Arial"/>
          <w:i/>
        </w:rPr>
        <w:t xml:space="preserve"> capabilities, cultural issues</w:t>
      </w:r>
      <w:r>
        <w:rPr>
          <w:rFonts w:cs="Arial"/>
          <w:i/>
        </w:rPr>
        <w:t xml:space="preserve"> </w:t>
      </w:r>
      <w:r w:rsidRPr="00652CEE">
        <w:rPr>
          <w:rFonts w:cs="Arial"/>
          <w:i/>
        </w:rPr>
        <w:t>in a hospital</w:t>
      </w:r>
      <w:r>
        <w:rPr>
          <w:rFonts w:cs="Arial"/>
          <w:i/>
        </w:rPr>
        <w:t>, a</w:t>
      </w:r>
      <w:r w:rsidRPr="00652CEE">
        <w:rPr>
          <w:rFonts w:cs="Arial"/>
          <w:i/>
        </w:rPr>
        <w:t>ppraisal amongst the post-graduate communit</w:t>
      </w:r>
      <w:r>
        <w:rPr>
          <w:rFonts w:cs="Arial"/>
          <w:i/>
        </w:rPr>
        <w:t>y</w:t>
      </w:r>
      <w:r w:rsidRPr="00652CEE">
        <w:rPr>
          <w:rFonts w:cs="Arial"/>
          <w:i/>
        </w:rPr>
        <w:t xml:space="preserve"> and experience</w:t>
      </w:r>
      <w:r>
        <w:rPr>
          <w:rFonts w:cs="Arial"/>
          <w:i/>
        </w:rPr>
        <w:t xml:space="preserve">' </w:t>
      </w:r>
      <w:r w:rsidRPr="00652CEE">
        <w:rPr>
          <w:rFonts w:cs="Arial"/>
        </w:rPr>
        <w:t>(Interview 2)</w:t>
      </w:r>
    </w:p>
    <w:p w14:paraId="254C438B" w14:textId="4B3F002B" w:rsidR="00137B0F" w:rsidRDefault="005A5122" w:rsidP="00137B0F">
      <w:r>
        <w:rPr>
          <w:rFonts w:ascii="Helvetica"/>
        </w:rPr>
        <w:t>The above were</w:t>
      </w:r>
      <w:r w:rsidR="00137B0F">
        <w:rPr>
          <w:rFonts w:ascii="Helvetica"/>
        </w:rPr>
        <w:t xml:space="preserve"> described as important aspects to understand and to develop to support preparedness. </w:t>
      </w:r>
    </w:p>
    <w:p w14:paraId="79C7E56A" w14:textId="77777777" w:rsidR="00137B0F" w:rsidRDefault="00137B0F" w:rsidP="00137B0F">
      <w:r>
        <w:t xml:space="preserve">The senior educational experts reported not having anyone to check up or discuss what they had done, having to </w:t>
      </w:r>
      <w:r w:rsidRPr="00652CEE">
        <w:rPr>
          <w:i/>
        </w:rPr>
        <w:t>‘debrief themselves with friends, never being sure whether the learning taken away was correct’</w:t>
      </w:r>
      <w:r>
        <w:t xml:space="preserve"> (Interview 7). There was however a description of structure with distinct teams and lines of responsibility so that feedback could be traced back to individuals and a mentoring relationship developed (Interviews 2,7). Concerns were reported over decisions to </w:t>
      </w:r>
      <w:r w:rsidRPr="00652CEE">
        <w:rPr>
          <w:i/>
        </w:rPr>
        <w:t>‘omit rather than act’</w:t>
      </w:r>
      <w:r>
        <w:t xml:space="preserve"> in times of uncertainty amongst current FY1s (Interview 8).</w:t>
      </w:r>
    </w:p>
    <w:p w14:paraId="04B8FD03" w14:textId="77777777" w:rsidR="00137B0F" w:rsidRDefault="00137B0F" w:rsidP="00137B0F">
      <w:pPr>
        <w:rPr>
          <w:b/>
          <w:i/>
        </w:rPr>
      </w:pPr>
      <w:r w:rsidRPr="00652CEE">
        <w:rPr>
          <w:b/>
          <w:i/>
        </w:rPr>
        <w:t>Emotional Preparedness</w:t>
      </w:r>
    </w:p>
    <w:p w14:paraId="47CF05FA" w14:textId="4AF64BC2" w:rsidR="00137B0F" w:rsidRDefault="00137B0F" w:rsidP="00137B0F">
      <w:r w:rsidRPr="00652CEE">
        <w:t>There was</w:t>
      </w:r>
      <w:r>
        <w:t xml:space="preserve"> uncertainty over expectations, with descriptions of</w:t>
      </w:r>
      <w:r w:rsidR="005A5122">
        <w:t xml:space="preserve"> such</w:t>
      </w:r>
      <w:r>
        <w:t xml:space="preserve"> being: </w:t>
      </w:r>
    </w:p>
    <w:p w14:paraId="6C250FE6" w14:textId="77777777" w:rsidR="00137B0F" w:rsidRDefault="00137B0F" w:rsidP="00137B0F">
      <w:pPr>
        <w:spacing w:line="240" w:lineRule="auto"/>
        <w:ind w:left="720"/>
      </w:pPr>
      <w:r w:rsidRPr="00652CEE">
        <w:rPr>
          <w:i/>
        </w:rPr>
        <w:t>‘unrealistic as to what I should have been able to manage on my own</w:t>
      </w:r>
      <w:r w:rsidRPr="00CB4463">
        <w:rPr>
          <w:i/>
        </w:rPr>
        <w:t xml:space="preserve"> and </w:t>
      </w:r>
      <w:r w:rsidRPr="00652CEE">
        <w:rPr>
          <w:i/>
        </w:rPr>
        <w:t>battling on with patients’</w:t>
      </w:r>
      <w:r>
        <w:t xml:space="preserve"> (Interview 1). </w:t>
      </w:r>
    </w:p>
    <w:p w14:paraId="64DFE0B7" w14:textId="77777777" w:rsidR="00137B0F" w:rsidRPr="00652CEE" w:rsidRDefault="00137B0F" w:rsidP="00137B0F">
      <w:pPr>
        <w:spacing w:line="240" w:lineRule="auto"/>
        <w:ind w:left="720"/>
        <w:rPr>
          <w:rFonts w:cs="Arial"/>
        </w:rPr>
      </w:pPr>
      <w:r w:rsidRPr="00652CEE">
        <w:rPr>
          <w:rFonts w:cs="Arial"/>
          <w:i/>
        </w:rPr>
        <w:lastRenderedPageBreak/>
        <w:t xml:space="preserve">‘I think there is a whole raft of emotional skills that are required for being a junior doctor that we don’t prepare people adequately for and that is the main cause of </w:t>
      </w:r>
      <w:proofErr w:type="spellStart"/>
      <w:r w:rsidRPr="00652CEE">
        <w:rPr>
          <w:rFonts w:cs="Arial"/>
          <w:i/>
        </w:rPr>
        <w:t>underpreparedness</w:t>
      </w:r>
      <w:proofErr w:type="spellEnd"/>
      <w:r w:rsidRPr="00652CEE">
        <w:rPr>
          <w:rFonts w:cs="Arial"/>
          <w:i/>
        </w:rPr>
        <w:t xml:space="preserve">. I think emotional </w:t>
      </w:r>
      <w:proofErr w:type="spellStart"/>
      <w:r w:rsidRPr="00652CEE">
        <w:rPr>
          <w:rFonts w:cs="Arial"/>
          <w:i/>
        </w:rPr>
        <w:t>underpreparedness</w:t>
      </w:r>
      <w:proofErr w:type="spellEnd"/>
      <w:r w:rsidRPr="00652CEE">
        <w:rPr>
          <w:rFonts w:cs="Arial"/>
          <w:i/>
        </w:rPr>
        <w:t xml:space="preserve"> is the main cause of distress in Foundation One… there is a feeling that people are being overwhelmed with what they are being asked to do, that they are not equipped to deal with stress, to deal with multiple different </w:t>
      </w:r>
      <w:r w:rsidRPr="007D443E">
        <w:rPr>
          <w:rFonts w:cs="Arial"/>
          <w:i/>
        </w:rPr>
        <w:t xml:space="preserve">people putting demands on them, </w:t>
      </w:r>
      <w:r w:rsidRPr="00652CEE">
        <w:rPr>
          <w:rFonts w:cs="Arial"/>
          <w:i/>
        </w:rPr>
        <w:t xml:space="preserve"> their time and energy, to deal with night shifts and the pressure that puts you under in terms of sleep deprivation, poor quality sleep, poor decision-making …. you know people… that you are looking after die…and that is something they have never experienced before. But equally when you are a FY1 you make mistakes, and you prescribe a drug that is the wrong drug or the wrong dose and someone gets ill… and you have</w:t>
      </w:r>
      <w:r w:rsidRPr="00652CEE">
        <w:rPr>
          <w:rFonts w:cs="Arial"/>
          <w:b/>
          <w:bCs/>
          <w:i/>
        </w:rPr>
        <w:t xml:space="preserve"> never </w:t>
      </w:r>
      <w:r w:rsidRPr="00652CEE">
        <w:rPr>
          <w:rFonts w:cs="Arial"/>
          <w:i/>
        </w:rPr>
        <w:t xml:space="preserve">experienced that before…everyday you are experiencing new…. emotional challenges and hurdles and experiences that you have </w:t>
      </w:r>
      <w:r w:rsidRPr="00652CEE">
        <w:rPr>
          <w:rFonts w:cs="Arial"/>
          <w:b/>
          <w:bCs/>
          <w:i/>
        </w:rPr>
        <w:t xml:space="preserve">never </w:t>
      </w:r>
      <w:r w:rsidRPr="00652CEE">
        <w:rPr>
          <w:rFonts w:cs="Arial"/>
          <w:i/>
        </w:rPr>
        <w:t>been exposed to before and they are so varied and so frequent that that grinds some people down’</w:t>
      </w:r>
      <w:r w:rsidRPr="00652CEE">
        <w:rPr>
          <w:rFonts w:cs="Arial"/>
        </w:rPr>
        <w:t xml:space="preserve"> (Interview 8). </w:t>
      </w:r>
    </w:p>
    <w:p w14:paraId="7BBCB78D" w14:textId="77777777" w:rsidR="00137B0F" w:rsidRPr="00652CEE" w:rsidRDefault="00137B0F" w:rsidP="00137B0F">
      <w:pPr>
        <w:spacing w:line="240" w:lineRule="auto"/>
        <w:ind w:left="720"/>
        <w:rPr>
          <w:rFonts w:cs="Arial"/>
        </w:rPr>
      </w:pPr>
      <w:r w:rsidRPr="00652CEE">
        <w:rPr>
          <w:rFonts w:cs="Arial"/>
          <w:i/>
        </w:rPr>
        <w:t xml:space="preserve">‘All of a sudden you just feel that you </w:t>
      </w:r>
      <w:proofErr w:type="spellStart"/>
      <w:r w:rsidRPr="00652CEE">
        <w:rPr>
          <w:rFonts w:cs="Arial"/>
          <w:i/>
        </w:rPr>
        <w:t>can not</w:t>
      </w:r>
      <w:proofErr w:type="spellEnd"/>
      <w:r w:rsidRPr="00652CEE">
        <w:rPr>
          <w:rFonts w:cs="Arial"/>
          <w:i/>
        </w:rPr>
        <w:t xml:space="preserve"> cope with this job, and that is nothing to do with either your medical school training or your competence as a doctor. It is all to do with those other pressures and how well you are equipped to deal with them and how willing you are to speak up about the fact that you are struggling’</w:t>
      </w:r>
      <w:r w:rsidRPr="00652CEE">
        <w:rPr>
          <w:rFonts w:cs="Arial"/>
        </w:rPr>
        <w:t xml:space="preserve"> (Interview 8). </w:t>
      </w:r>
    </w:p>
    <w:p w14:paraId="11DA8BB8" w14:textId="77777777" w:rsidR="00137B0F" w:rsidRPr="00652CEE" w:rsidRDefault="00137B0F" w:rsidP="00137B0F">
      <w:pPr>
        <w:rPr>
          <w:rFonts w:ascii="Helvetica" w:hAnsi="Helvetica" w:cs="Helvetica"/>
        </w:rPr>
      </w:pPr>
      <w:r>
        <w:rPr>
          <w:rFonts w:ascii="Helvetica" w:hAnsi="Helvetica" w:cs="Helvetica"/>
        </w:rPr>
        <w:t xml:space="preserve">There was a reported </w:t>
      </w:r>
      <w:r w:rsidRPr="00652CEE">
        <w:rPr>
          <w:rFonts w:ascii="Helvetica" w:hAnsi="Helvetica" w:cs="Helvetica"/>
          <w:i/>
        </w:rPr>
        <w:t>‘failure to recognise that error is normal and that humans are fallible’</w:t>
      </w:r>
      <w:r>
        <w:rPr>
          <w:rFonts w:ascii="Helvetica" w:hAnsi="Helvetica" w:cs="Helvetica"/>
        </w:rPr>
        <w:t xml:space="preserve">, with doctors expressing the need to </w:t>
      </w:r>
      <w:r w:rsidRPr="00652CEE">
        <w:rPr>
          <w:rFonts w:ascii="Helvetica" w:hAnsi="Helvetica" w:cs="Helvetica"/>
          <w:i/>
        </w:rPr>
        <w:t>‘understand what the ‘rules’ are so that they ‘get it right’</w:t>
      </w:r>
      <w:r>
        <w:rPr>
          <w:rFonts w:ascii="Helvetica" w:hAnsi="Helvetica" w:cs="Helvetica"/>
        </w:rPr>
        <w:t xml:space="preserve">, described as </w:t>
      </w:r>
      <w:r w:rsidRPr="00652CEE">
        <w:rPr>
          <w:rFonts w:ascii="Helvetica" w:hAnsi="Helvetica" w:cs="Helvetica"/>
          <w:i/>
        </w:rPr>
        <w:t>‘part of the culture of medicine’</w:t>
      </w:r>
      <w:r>
        <w:rPr>
          <w:rFonts w:ascii="Helvetica" w:hAnsi="Helvetica" w:cs="Helvetica"/>
        </w:rPr>
        <w:t xml:space="preserve"> (Interview 5). It was felt that the ability to </w:t>
      </w:r>
      <w:r w:rsidRPr="00652CEE">
        <w:rPr>
          <w:rFonts w:ascii="Helvetica" w:hAnsi="Helvetica" w:cs="Helvetica"/>
          <w:i/>
        </w:rPr>
        <w:t>‘build mental models’</w:t>
      </w:r>
      <w:r>
        <w:rPr>
          <w:rFonts w:ascii="Helvetica" w:hAnsi="Helvetica" w:cs="Helvetica"/>
        </w:rPr>
        <w:t xml:space="preserve"> was key to supporting preparedness (Interview 9).</w:t>
      </w:r>
    </w:p>
    <w:p w14:paraId="082ED01D" w14:textId="77777777" w:rsidR="00137B0F" w:rsidRDefault="00137B0F" w:rsidP="00137B0F">
      <w:pPr>
        <w:rPr>
          <w:b/>
          <w:i/>
        </w:rPr>
      </w:pPr>
      <w:r w:rsidRPr="00652CEE">
        <w:rPr>
          <w:b/>
          <w:i/>
        </w:rPr>
        <w:t>Confidence</w:t>
      </w:r>
    </w:p>
    <w:p w14:paraId="06F299D7" w14:textId="77777777" w:rsidR="00137B0F" w:rsidRDefault="00137B0F" w:rsidP="00137B0F">
      <w:pPr>
        <w:rPr>
          <w:rFonts w:hAnsi="Helvetica"/>
        </w:rPr>
      </w:pPr>
      <w:r>
        <w:t xml:space="preserve">Experts described that if there was less focus on knowledge - </w:t>
      </w:r>
      <w:r w:rsidRPr="00652CEE">
        <w:rPr>
          <w:i/>
        </w:rPr>
        <w:t>‘getting things right they would have had more confidence to escalate things sooner’</w:t>
      </w:r>
      <w:r>
        <w:t xml:space="preserve"> when a patient was sick (Interview 1,8). Allowing learning when experiencing stress was felt to be important, to </w:t>
      </w:r>
      <w:r w:rsidRPr="00652CEE">
        <w:rPr>
          <w:i/>
        </w:rPr>
        <w:t>‘</w:t>
      </w:r>
      <w:r w:rsidRPr="00652CEE">
        <w:rPr>
          <w:rFonts w:ascii="Helvetica"/>
          <w:i/>
        </w:rPr>
        <w:t>support trainees gaining confidence</w:t>
      </w:r>
      <w:r w:rsidRPr="00652CEE">
        <w:rPr>
          <w:rFonts w:ascii="Helvetica"/>
          <w:i/>
        </w:rPr>
        <w:t>’</w:t>
      </w:r>
      <w:r>
        <w:rPr>
          <w:rFonts w:ascii="Helvetica"/>
        </w:rPr>
        <w:t xml:space="preserve"> in managing acute conditions (Interview 2).</w:t>
      </w:r>
      <w:r w:rsidRPr="004F17D5">
        <w:rPr>
          <w:rFonts w:hAnsi="Helvetica"/>
        </w:rPr>
        <w:t xml:space="preserve"> </w:t>
      </w:r>
      <w:r>
        <w:rPr>
          <w:rFonts w:hAnsi="Helvetica"/>
        </w:rPr>
        <w:t xml:space="preserve">It was described that: </w:t>
      </w:r>
    </w:p>
    <w:p w14:paraId="24049484" w14:textId="77777777" w:rsidR="00137B0F" w:rsidRPr="00067ABD" w:rsidRDefault="00137B0F" w:rsidP="00137B0F">
      <w:pPr>
        <w:spacing w:line="240" w:lineRule="auto"/>
        <w:ind w:left="576"/>
        <w:rPr>
          <w:rFonts w:cs="Arial"/>
          <w:sz w:val="28"/>
          <w:szCs w:val="28"/>
        </w:rPr>
      </w:pPr>
      <w:r>
        <w:rPr>
          <w:rFonts w:cs="Arial"/>
          <w:i/>
        </w:rPr>
        <w:lastRenderedPageBreak/>
        <w:t xml:space="preserve">'you need to be under </w:t>
      </w:r>
      <w:r w:rsidRPr="0033498A">
        <w:rPr>
          <w:rFonts w:cs="Arial"/>
          <w:i/>
        </w:rPr>
        <w:t>pressure</w:t>
      </w:r>
      <w:r>
        <w:rPr>
          <w:rFonts w:cs="Arial"/>
          <w:i/>
        </w:rPr>
        <w:t xml:space="preserve"> to know</w:t>
      </w:r>
      <w:r w:rsidRPr="00652CEE">
        <w:rPr>
          <w:rFonts w:cs="Arial"/>
          <w:i/>
        </w:rPr>
        <w:t xml:space="preserve"> how w</w:t>
      </w:r>
      <w:r w:rsidRPr="0033498A">
        <w:rPr>
          <w:rFonts w:cs="Arial"/>
          <w:i/>
        </w:rPr>
        <w:t>ell you are eq</w:t>
      </w:r>
      <w:r>
        <w:rPr>
          <w:rFonts w:cs="Arial"/>
          <w:i/>
        </w:rPr>
        <w:t xml:space="preserve">uipped to </w:t>
      </w:r>
      <w:r w:rsidRPr="0033498A">
        <w:rPr>
          <w:rFonts w:cs="Arial"/>
          <w:i/>
        </w:rPr>
        <w:t xml:space="preserve">do the right things for </w:t>
      </w:r>
      <w:r>
        <w:rPr>
          <w:rFonts w:cs="Arial"/>
          <w:i/>
        </w:rPr>
        <w:t>your</w:t>
      </w:r>
      <w:r w:rsidRPr="00652CEE">
        <w:rPr>
          <w:rFonts w:cs="Arial"/>
          <w:i/>
        </w:rPr>
        <w:t xml:space="preserve"> patients</w:t>
      </w:r>
      <w:r>
        <w:rPr>
          <w:rFonts w:cs="Arial"/>
          <w:i/>
        </w:rPr>
        <w:t xml:space="preserve">' </w:t>
      </w:r>
      <w:r w:rsidRPr="00652CEE">
        <w:rPr>
          <w:rFonts w:cs="Arial"/>
        </w:rPr>
        <w:t>(Interview 2).</w:t>
      </w:r>
      <w:r w:rsidRPr="007D443E">
        <w:rPr>
          <w:rFonts w:cs="Arial"/>
          <w:sz w:val="28"/>
          <w:szCs w:val="28"/>
        </w:rPr>
        <w:t xml:space="preserve"> </w:t>
      </w:r>
    </w:p>
    <w:p w14:paraId="5EC24366" w14:textId="77777777" w:rsidR="00137B0F" w:rsidRDefault="00137B0F" w:rsidP="00137B0F">
      <w:pPr>
        <w:rPr>
          <w:rFonts w:cs="Arial"/>
          <w:szCs w:val="24"/>
        </w:rPr>
      </w:pPr>
      <w:r w:rsidRPr="00652CEE">
        <w:rPr>
          <w:rFonts w:cs="Arial"/>
          <w:szCs w:val="24"/>
        </w:rPr>
        <w:t xml:space="preserve">Others described preparedness as </w:t>
      </w:r>
      <w:r w:rsidRPr="00652CEE">
        <w:rPr>
          <w:rFonts w:cs="Arial"/>
          <w:i/>
          <w:szCs w:val="24"/>
        </w:rPr>
        <w:t>‘comfortableness, skill level, confidence and competence’</w:t>
      </w:r>
      <w:r w:rsidRPr="00652CEE">
        <w:rPr>
          <w:rFonts w:cs="Arial"/>
          <w:szCs w:val="24"/>
        </w:rPr>
        <w:t xml:space="preserve"> (Interview 5).</w:t>
      </w:r>
    </w:p>
    <w:p w14:paraId="5DA089C7" w14:textId="77777777" w:rsidR="00137B0F" w:rsidRDefault="00137B0F" w:rsidP="00137B0F">
      <w:pPr>
        <w:rPr>
          <w:rFonts w:cs="Arial"/>
          <w:szCs w:val="24"/>
        </w:rPr>
      </w:pPr>
      <w:r>
        <w:rPr>
          <w:rFonts w:cs="Arial"/>
          <w:szCs w:val="24"/>
        </w:rPr>
        <w:t xml:space="preserve">The quantitative data has been useful to display increased confidence that was maintained over time following the educational intervention designed to address under preparedness for FY1 utilising simulation based medical education. Focus groups with undergraduates and interviews with medical education and simulation experts have allowed multiple stake holder perspectives to better understand what preparedness means, where the gaps and educational challenges are in preparing for FY1 and how to consider addressing them through education. The following chapter presents results from data triangulation initially to compare student and expert perspectives and then from all data sources. Theoretical frameworks are presented that were developed through the process of abstract conceptualisation and implications for practice described with focus on deeper exploration of those themes felt to be key to enhancing preparedness. </w:t>
      </w:r>
    </w:p>
    <w:p w14:paraId="72D27C72" w14:textId="77777777" w:rsidR="00137B0F" w:rsidRDefault="00137B0F" w:rsidP="00137B0F">
      <w:pPr>
        <w:rPr>
          <w:rFonts w:cs="Arial"/>
          <w:szCs w:val="24"/>
        </w:rPr>
      </w:pPr>
    </w:p>
    <w:p w14:paraId="0FFD0380" w14:textId="77777777" w:rsidR="00137B0F" w:rsidRDefault="00137B0F" w:rsidP="00137B0F">
      <w:pPr>
        <w:rPr>
          <w:rFonts w:cs="Arial"/>
          <w:szCs w:val="24"/>
        </w:rPr>
      </w:pPr>
    </w:p>
    <w:p w14:paraId="787BF022" w14:textId="77777777" w:rsidR="00137B0F" w:rsidRDefault="00137B0F" w:rsidP="00137B0F">
      <w:pPr>
        <w:rPr>
          <w:rFonts w:cs="Arial"/>
          <w:szCs w:val="24"/>
        </w:rPr>
      </w:pPr>
    </w:p>
    <w:p w14:paraId="45B82FC1" w14:textId="77777777" w:rsidR="00137B0F" w:rsidRDefault="00137B0F" w:rsidP="00137B0F">
      <w:pPr>
        <w:rPr>
          <w:rFonts w:cs="Arial"/>
          <w:szCs w:val="24"/>
        </w:rPr>
      </w:pPr>
    </w:p>
    <w:p w14:paraId="460CCC11" w14:textId="77777777" w:rsidR="00137B0F" w:rsidRDefault="00137B0F" w:rsidP="00137B0F">
      <w:pPr>
        <w:rPr>
          <w:rFonts w:cs="Arial"/>
          <w:szCs w:val="24"/>
        </w:rPr>
      </w:pPr>
    </w:p>
    <w:p w14:paraId="73FD708E" w14:textId="77777777" w:rsidR="00137B0F" w:rsidRDefault="00137B0F" w:rsidP="00137B0F">
      <w:pPr>
        <w:pStyle w:val="Heading1"/>
      </w:pPr>
      <w:bookmarkStart w:id="393" w:name="_Toc419116192"/>
      <w:r>
        <w:lastRenderedPageBreak/>
        <w:t>Chapter 8 Data triangulation</w:t>
      </w:r>
      <w:bookmarkEnd w:id="393"/>
    </w:p>
    <w:p w14:paraId="5CD3E342" w14:textId="3EE8C4E1" w:rsidR="00137B0F" w:rsidRDefault="00A96417" w:rsidP="00137B0F">
      <w:pPr>
        <w:rPr>
          <w:rFonts w:cs="Arial"/>
          <w:szCs w:val="24"/>
        </w:rPr>
      </w:pPr>
      <w:r w:rsidRPr="00A96417">
        <w:rPr>
          <w:noProof/>
          <w:lang w:val="en-US"/>
        </w:rPr>
        <w:drawing>
          <wp:inline distT="0" distB="0" distL="0" distR="0" wp14:anchorId="02D5CB47" wp14:editId="46E961B9">
            <wp:extent cx="5123180" cy="7666990"/>
            <wp:effectExtent l="38100" t="19050" r="20320" b="29210"/>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14:paraId="5DFFA521" w14:textId="67B39F6F" w:rsidR="00AF1FB0" w:rsidRDefault="00137B0F" w:rsidP="00AF1FB0">
      <w:pPr>
        <w:pStyle w:val="Heading2"/>
      </w:pPr>
      <w:bookmarkStart w:id="394" w:name="_Toc419116193"/>
      <w:r>
        <w:lastRenderedPageBreak/>
        <w:t>Introduction</w:t>
      </w:r>
      <w:bookmarkEnd w:id="394"/>
    </w:p>
    <w:p w14:paraId="70F85FD4" w14:textId="77777777" w:rsidR="00AF1FB0" w:rsidRPr="00AF1FB0" w:rsidRDefault="00AF1FB0" w:rsidP="00AF1FB0"/>
    <w:p w14:paraId="336EC944" w14:textId="77777777" w:rsidR="00AF1FB0" w:rsidRDefault="00AF1FB0" w:rsidP="00AF1FB0">
      <w:r>
        <w:t xml:space="preserve">This chapter presents the triangulation of data from all sources, including quantitative data, qualitative data, field notes, reflections from the research diary and cases.  Thematic analysis was completed and two overarching themes identified: understanding preparedness and preparing students for clinical practice. Each of these overarching themes has a number of further themes and sub themes which are presented, with examples from the data to illustrate and support the theme.  </w:t>
      </w:r>
    </w:p>
    <w:p w14:paraId="3C2C0D38" w14:textId="77777777" w:rsidR="00AF1FB0" w:rsidRDefault="00AF1FB0" w:rsidP="00AF1FB0">
      <w:r>
        <w:t>Following presentation of the two overarching themes, implications for medical education practice are considered through a process of abstract conceptualisation. A theoretical educational framework is presented and described, followed by a model for the design and delivery of undergraduate simulation education and a model of the debrief process.</w:t>
      </w:r>
    </w:p>
    <w:p w14:paraId="0103FD2E" w14:textId="60044664" w:rsidR="00AF1FB0" w:rsidRPr="00A26346" w:rsidRDefault="00AF1FB0" w:rsidP="00AF1FB0">
      <w:r>
        <w:t>The figure below presents an overview of the chapter structure</w:t>
      </w:r>
      <w:r w:rsidR="007000F8">
        <w:t xml:space="preserve"> followed by main themes and subthemes</w:t>
      </w:r>
      <w:r>
        <w:t>.</w:t>
      </w:r>
    </w:p>
    <w:p w14:paraId="11148D67" w14:textId="77777777" w:rsidR="00AF1FB0" w:rsidRDefault="00AF1FB0" w:rsidP="00AF1FB0">
      <w:r w:rsidRPr="00652CEE">
        <w:rPr>
          <w:rFonts w:cs="Arial"/>
          <w:noProof/>
          <w:sz w:val="16"/>
          <w:szCs w:val="16"/>
          <w:lang w:val="en-US"/>
        </w:rPr>
        <w:drawing>
          <wp:inline distT="0" distB="0" distL="0" distR="0" wp14:anchorId="3664DE09" wp14:editId="56A6D403">
            <wp:extent cx="5608955" cy="2312377"/>
            <wp:effectExtent l="76200" t="57150" r="67945" b="88265"/>
            <wp:docPr id="98" name="Diagram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bookmarkStart w:id="395" w:name="_Toc370767167"/>
    </w:p>
    <w:p w14:paraId="13DCD5DE" w14:textId="327694D0" w:rsidR="007000F8" w:rsidRDefault="007000F8" w:rsidP="007000F8">
      <w:pPr>
        <w:pStyle w:val="Caption"/>
      </w:pPr>
      <w:bookmarkStart w:id="396" w:name="_Toc419116512"/>
      <w:r>
        <w:lastRenderedPageBreak/>
        <w:t xml:space="preserve">Table </w:t>
      </w:r>
      <w:r>
        <w:fldChar w:fldCharType="begin"/>
      </w:r>
      <w:r>
        <w:instrText xml:space="preserve"> STYLEREF 1 \s </w:instrText>
      </w:r>
      <w:r>
        <w:fldChar w:fldCharType="separate"/>
      </w:r>
      <w:r>
        <w:rPr>
          <w:noProof/>
        </w:rPr>
        <w:t>8</w:t>
      </w:r>
      <w:r>
        <w:fldChar w:fldCharType="end"/>
      </w:r>
      <w:r>
        <w:noBreakHyphen/>
      </w:r>
      <w:r>
        <w:fldChar w:fldCharType="begin"/>
      </w:r>
      <w:r>
        <w:instrText xml:space="preserve"> SEQ Table \* ARABIC \s 1 </w:instrText>
      </w:r>
      <w:r>
        <w:fldChar w:fldCharType="separate"/>
      </w:r>
      <w:r>
        <w:rPr>
          <w:noProof/>
        </w:rPr>
        <w:t>1</w:t>
      </w:r>
      <w:r>
        <w:fldChar w:fldCharType="end"/>
      </w:r>
      <w:r>
        <w:t xml:space="preserve"> Main emergent themes and subthemes from triangulation of data</w:t>
      </w:r>
      <w:r w:rsidR="008D1A04">
        <w:t xml:space="preserve"> surrounding preparedness</w:t>
      </w:r>
      <w:bookmarkEnd w:id="396"/>
    </w:p>
    <w:tbl>
      <w:tblPr>
        <w:tblStyle w:val="TableGrid"/>
        <w:tblW w:w="10028" w:type="dxa"/>
        <w:tblInd w:w="-1452" w:type="dxa"/>
        <w:tblLook w:val="04A0" w:firstRow="1" w:lastRow="0" w:firstColumn="1" w:lastColumn="0" w:noHBand="0" w:noVBand="1"/>
      </w:tblPr>
      <w:tblGrid>
        <w:gridCol w:w="3493"/>
        <w:gridCol w:w="3248"/>
        <w:gridCol w:w="3287"/>
      </w:tblGrid>
      <w:tr w:rsidR="007000F8" w:rsidRPr="0051292E" w14:paraId="67AC4676" w14:textId="77777777" w:rsidTr="007000F8">
        <w:trPr>
          <w:trHeight w:val="226"/>
        </w:trPr>
        <w:tc>
          <w:tcPr>
            <w:tcW w:w="3493" w:type="dxa"/>
            <w:tcBorders>
              <w:top w:val="single" w:sz="12" w:space="0" w:color="auto"/>
              <w:bottom w:val="single" w:sz="12" w:space="0" w:color="auto"/>
            </w:tcBorders>
          </w:tcPr>
          <w:p w14:paraId="5C816B07" w14:textId="77777777" w:rsidR="00AF1FB0" w:rsidRPr="007B4F29" w:rsidRDefault="00AF1FB0" w:rsidP="007000F8">
            <w:pPr>
              <w:spacing w:line="276" w:lineRule="auto"/>
              <w:rPr>
                <w:b/>
                <w:sz w:val="20"/>
                <w:szCs w:val="20"/>
              </w:rPr>
            </w:pPr>
            <w:r w:rsidRPr="007B4F29">
              <w:rPr>
                <w:b/>
                <w:sz w:val="20"/>
                <w:szCs w:val="20"/>
              </w:rPr>
              <w:t>Overarching theme</w:t>
            </w:r>
          </w:p>
        </w:tc>
        <w:tc>
          <w:tcPr>
            <w:tcW w:w="3248" w:type="dxa"/>
            <w:tcBorders>
              <w:top w:val="single" w:sz="12" w:space="0" w:color="auto"/>
              <w:bottom w:val="single" w:sz="12" w:space="0" w:color="auto"/>
            </w:tcBorders>
          </w:tcPr>
          <w:p w14:paraId="6BF3E33D" w14:textId="77777777" w:rsidR="00AF1FB0" w:rsidRPr="007B4F29" w:rsidRDefault="00AF1FB0" w:rsidP="007000F8">
            <w:pPr>
              <w:spacing w:line="276" w:lineRule="auto"/>
              <w:rPr>
                <w:b/>
                <w:sz w:val="20"/>
                <w:szCs w:val="20"/>
              </w:rPr>
            </w:pPr>
            <w:r w:rsidRPr="007B4F29">
              <w:rPr>
                <w:b/>
                <w:sz w:val="20"/>
                <w:szCs w:val="20"/>
              </w:rPr>
              <w:t>Theme</w:t>
            </w:r>
          </w:p>
        </w:tc>
        <w:tc>
          <w:tcPr>
            <w:tcW w:w="3287" w:type="dxa"/>
            <w:tcBorders>
              <w:top w:val="single" w:sz="12" w:space="0" w:color="auto"/>
              <w:bottom w:val="single" w:sz="12" w:space="0" w:color="auto"/>
            </w:tcBorders>
          </w:tcPr>
          <w:p w14:paraId="06618EB4" w14:textId="77777777" w:rsidR="00AF1FB0" w:rsidRPr="007B4F29" w:rsidRDefault="00AF1FB0" w:rsidP="007000F8">
            <w:pPr>
              <w:spacing w:line="276" w:lineRule="auto"/>
              <w:rPr>
                <w:b/>
                <w:sz w:val="20"/>
                <w:szCs w:val="20"/>
              </w:rPr>
            </w:pPr>
            <w:r w:rsidRPr="007B4F29">
              <w:rPr>
                <w:b/>
                <w:sz w:val="20"/>
                <w:szCs w:val="20"/>
              </w:rPr>
              <w:t>Sub-theme</w:t>
            </w:r>
          </w:p>
        </w:tc>
      </w:tr>
      <w:tr w:rsidR="007000F8" w:rsidRPr="0051292E" w14:paraId="6BC699A6" w14:textId="77777777" w:rsidTr="007000F8">
        <w:trPr>
          <w:trHeight w:val="226"/>
        </w:trPr>
        <w:tc>
          <w:tcPr>
            <w:tcW w:w="3493" w:type="dxa"/>
            <w:vMerge w:val="restart"/>
            <w:tcBorders>
              <w:top w:val="single" w:sz="12" w:space="0" w:color="auto"/>
              <w:left w:val="single" w:sz="4" w:space="0" w:color="auto"/>
              <w:right w:val="single" w:sz="4" w:space="0" w:color="auto"/>
            </w:tcBorders>
          </w:tcPr>
          <w:p w14:paraId="57180A1D" w14:textId="77777777" w:rsidR="00AF1FB0" w:rsidRPr="0051292E" w:rsidRDefault="00AF1FB0" w:rsidP="007000F8">
            <w:pPr>
              <w:spacing w:line="276" w:lineRule="auto"/>
              <w:rPr>
                <w:sz w:val="20"/>
                <w:szCs w:val="20"/>
              </w:rPr>
            </w:pPr>
            <w:r w:rsidRPr="0051292E">
              <w:rPr>
                <w:sz w:val="20"/>
                <w:szCs w:val="20"/>
              </w:rPr>
              <w:t>Understanding preparedness</w:t>
            </w:r>
          </w:p>
        </w:tc>
        <w:tc>
          <w:tcPr>
            <w:tcW w:w="3248" w:type="dxa"/>
            <w:tcBorders>
              <w:top w:val="single" w:sz="12" w:space="0" w:color="auto"/>
              <w:left w:val="single" w:sz="4" w:space="0" w:color="auto"/>
            </w:tcBorders>
          </w:tcPr>
          <w:p w14:paraId="5048CDEE" w14:textId="77777777" w:rsidR="00AF1FB0" w:rsidRPr="0051292E" w:rsidRDefault="00AF1FB0" w:rsidP="007000F8">
            <w:pPr>
              <w:spacing w:line="276" w:lineRule="auto"/>
              <w:rPr>
                <w:sz w:val="20"/>
                <w:szCs w:val="20"/>
              </w:rPr>
            </w:pPr>
            <w:r w:rsidRPr="0051292E">
              <w:rPr>
                <w:sz w:val="20"/>
                <w:szCs w:val="20"/>
              </w:rPr>
              <w:t>Realisation</w:t>
            </w:r>
          </w:p>
        </w:tc>
        <w:tc>
          <w:tcPr>
            <w:tcW w:w="3287" w:type="dxa"/>
            <w:vMerge w:val="restart"/>
            <w:tcBorders>
              <w:top w:val="single" w:sz="12" w:space="0" w:color="auto"/>
            </w:tcBorders>
          </w:tcPr>
          <w:p w14:paraId="141103AC" w14:textId="77777777" w:rsidR="00AF1FB0" w:rsidRPr="0051292E" w:rsidRDefault="00AF1FB0" w:rsidP="007000F8">
            <w:pPr>
              <w:spacing w:line="276" w:lineRule="auto"/>
              <w:rPr>
                <w:sz w:val="20"/>
                <w:szCs w:val="20"/>
              </w:rPr>
            </w:pPr>
          </w:p>
        </w:tc>
      </w:tr>
      <w:tr w:rsidR="007000F8" w:rsidRPr="0051292E" w14:paraId="08F20C46" w14:textId="77777777" w:rsidTr="007000F8">
        <w:trPr>
          <w:trHeight w:val="226"/>
        </w:trPr>
        <w:tc>
          <w:tcPr>
            <w:tcW w:w="3493" w:type="dxa"/>
            <w:vMerge/>
            <w:tcBorders>
              <w:left w:val="single" w:sz="4" w:space="0" w:color="auto"/>
              <w:right w:val="single" w:sz="4" w:space="0" w:color="auto"/>
            </w:tcBorders>
          </w:tcPr>
          <w:p w14:paraId="3D01700A" w14:textId="77777777" w:rsidR="00AF1FB0" w:rsidRPr="0051292E" w:rsidRDefault="00AF1FB0" w:rsidP="007000F8">
            <w:pPr>
              <w:spacing w:line="276" w:lineRule="auto"/>
              <w:rPr>
                <w:sz w:val="20"/>
                <w:szCs w:val="20"/>
              </w:rPr>
            </w:pPr>
          </w:p>
        </w:tc>
        <w:tc>
          <w:tcPr>
            <w:tcW w:w="3248" w:type="dxa"/>
            <w:tcBorders>
              <w:left w:val="single" w:sz="4" w:space="0" w:color="auto"/>
            </w:tcBorders>
          </w:tcPr>
          <w:p w14:paraId="7B33F77C" w14:textId="77777777" w:rsidR="00AF1FB0" w:rsidRPr="0051292E" w:rsidRDefault="00AF1FB0" w:rsidP="007000F8">
            <w:pPr>
              <w:spacing w:line="276" w:lineRule="auto"/>
              <w:rPr>
                <w:sz w:val="20"/>
                <w:szCs w:val="20"/>
              </w:rPr>
            </w:pPr>
            <w:r w:rsidRPr="0051292E">
              <w:rPr>
                <w:sz w:val="20"/>
                <w:szCs w:val="20"/>
              </w:rPr>
              <w:t>Responsibility</w:t>
            </w:r>
          </w:p>
        </w:tc>
        <w:tc>
          <w:tcPr>
            <w:tcW w:w="3287" w:type="dxa"/>
            <w:vMerge/>
          </w:tcPr>
          <w:p w14:paraId="13AA57AC" w14:textId="77777777" w:rsidR="00AF1FB0" w:rsidRPr="0051292E" w:rsidRDefault="00AF1FB0" w:rsidP="007000F8">
            <w:pPr>
              <w:spacing w:line="276" w:lineRule="auto"/>
              <w:rPr>
                <w:sz w:val="20"/>
                <w:szCs w:val="20"/>
              </w:rPr>
            </w:pPr>
          </w:p>
        </w:tc>
      </w:tr>
      <w:tr w:rsidR="007000F8" w:rsidRPr="0051292E" w14:paraId="7D44CEBA" w14:textId="77777777" w:rsidTr="007000F8">
        <w:trPr>
          <w:trHeight w:val="226"/>
        </w:trPr>
        <w:tc>
          <w:tcPr>
            <w:tcW w:w="3493" w:type="dxa"/>
            <w:vMerge/>
            <w:tcBorders>
              <w:left w:val="single" w:sz="4" w:space="0" w:color="auto"/>
              <w:right w:val="single" w:sz="4" w:space="0" w:color="auto"/>
            </w:tcBorders>
          </w:tcPr>
          <w:p w14:paraId="48CD820A" w14:textId="77777777" w:rsidR="00AF1FB0" w:rsidRPr="0051292E" w:rsidRDefault="00AF1FB0" w:rsidP="007000F8">
            <w:pPr>
              <w:spacing w:line="276" w:lineRule="auto"/>
              <w:rPr>
                <w:sz w:val="20"/>
                <w:szCs w:val="20"/>
              </w:rPr>
            </w:pPr>
          </w:p>
        </w:tc>
        <w:tc>
          <w:tcPr>
            <w:tcW w:w="3248" w:type="dxa"/>
            <w:tcBorders>
              <w:left w:val="single" w:sz="4" w:space="0" w:color="auto"/>
            </w:tcBorders>
          </w:tcPr>
          <w:p w14:paraId="0F02A4B5" w14:textId="77777777" w:rsidR="00AF1FB0" w:rsidRPr="0051292E" w:rsidRDefault="00AF1FB0" w:rsidP="007000F8">
            <w:pPr>
              <w:spacing w:line="276" w:lineRule="auto"/>
              <w:rPr>
                <w:sz w:val="20"/>
                <w:szCs w:val="20"/>
              </w:rPr>
            </w:pPr>
            <w:r w:rsidRPr="0051292E">
              <w:rPr>
                <w:sz w:val="20"/>
                <w:szCs w:val="20"/>
              </w:rPr>
              <w:t>Recognition</w:t>
            </w:r>
          </w:p>
        </w:tc>
        <w:tc>
          <w:tcPr>
            <w:tcW w:w="3287" w:type="dxa"/>
            <w:vMerge/>
          </w:tcPr>
          <w:p w14:paraId="73757CE2" w14:textId="77777777" w:rsidR="00AF1FB0" w:rsidRPr="0051292E" w:rsidRDefault="00AF1FB0" w:rsidP="007000F8">
            <w:pPr>
              <w:spacing w:line="276" w:lineRule="auto"/>
              <w:rPr>
                <w:sz w:val="20"/>
                <w:szCs w:val="20"/>
              </w:rPr>
            </w:pPr>
          </w:p>
        </w:tc>
      </w:tr>
      <w:tr w:rsidR="007000F8" w:rsidRPr="0051292E" w14:paraId="4AFA1CAE" w14:textId="77777777" w:rsidTr="007000F8">
        <w:trPr>
          <w:trHeight w:val="226"/>
        </w:trPr>
        <w:tc>
          <w:tcPr>
            <w:tcW w:w="3493" w:type="dxa"/>
            <w:vMerge/>
            <w:tcBorders>
              <w:left w:val="single" w:sz="4" w:space="0" w:color="auto"/>
              <w:right w:val="single" w:sz="4" w:space="0" w:color="auto"/>
            </w:tcBorders>
          </w:tcPr>
          <w:p w14:paraId="53BBB3AC" w14:textId="77777777" w:rsidR="00AF1FB0" w:rsidRPr="0051292E" w:rsidRDefault="00AF1FB0" w:rsidP="007000F8">
            <w:pPr>
              <w:spacing w:line="276" w:lineRule="auto"/>
              <w:rPr>
                <w:sz w:val="20"/>
                <w:szCs w:val="20"/>
              </w:rPr>
            </w:pPr>
          </w:p>
        </w:tc>
        <w:tc>
          <w:tcPr>
            <w:tcW w:w="3248" w:type="dxa"/>
            <w:tcBorders>
              <w:left w:val="single" w:sz="4" w:space="0" w:color="auto"/>
            </w:tcBorders>
          </w:tcPr>
          <w:p w14:paraId="62E8C24C" w14:textId="77777777" w:rsidR="00AF1FB0" w:rsidRPr="0051292E" w:rsidRDefault="00AF1FB0" w:rsidP="007000F8">
            <w:pPr>
              <w:spacing w:line="276" w:lineRule="auto"/>
              <w:rPr>
                <w:sz w:val="20"/>
                <w:szCs w:val="20"/>
              </w:rPr>
            </w:pPr>
            <w:r w:rsidRPr="0051292E">
              <w:rPr>
                <w:sz w:val="20"/>
                <w:szCs w:val="20"/>
              </w:rPr>
              <w:t>Response</w:t>
            </w:r>
          </w:p>
        </w:tc>
        <w:tc>
          <w:tcPr>
            <w:tcW w:w="3287" w:type="dxa"/>
            <w:vMerge/>
          </w:tcPr>
          <w:p w14:paraId="1672BE45" w14:textId="77777777" w:rsidR="00AF1FB0" w:rsidRPr="0051292E" w:rsidRDefault="00AF1FB0" w:rsidP="007000F8">
            <w:pPr>
              <w:spacing w:line="276" w:lineRule="auto"/>
              <w:rPr>
                <w:sz w:val="20"/>
                <w:szCs w:val="20"/>
              </w:rPr>
            </w:pPr>
          </w:p>
        </w:tc>
      </w:tr>
      <w:tr w:rsidR="007000F8" w:rsidRPr="0051292E" w14:paraId="03CEE6D5" w14:textId="77777777" w:rsidTr="007000F8">
        <w:trPr>
          <w:trHeight w:val="226"/>
        </w:trPr>
        <w:tc>
          <w:tcPr>
            <w:tcW w:w="3493" w:type="dxa"/>
            <w:vMerge/>
            <w:tcBorders>
              <w:left w:val="single" w:sz="4" w:space="0" w:color="auto"/>
              <w:bottom w:val="single" w:sz="12" w:space="0" w:color="auto"/>
              <w:right w:val="single" w:sz="4" w:space="0" w:color="auto"/>
            </w:tcBorders>
          </w:tcPr>
          <w:p w14:paraId="782B2137" w14:textId="77777777" w:rsidR="00AF1FB0" w:rsidRPr="0051292E" w:rsidRDefault="00AF1FB0" w:rsidP="007000F8">
            <w:pPr>
              <w:spacing w:line="276" w:lineRule="auto"/>
              <w:rPr>
                <w:sz w:val="20"/>
                <w:szCs w:val="20"/>
              </w:rPr>
            </w:pPr>
          </w:p>
        </w:tc>
        <w:tc>
          <w:tcPr>
            <w:tcW w:w="3248" w:type="dxa"/>
            <w:tcBorders>
              <w:left w:val="single" w:sz="4" w:space="0" w:color="auto"/>
              <w:bottom w:val="single" w:sz="12" w:space="0" w:color="auto"/>
            </w:tcBorders>
          </w:tcPr>
          <w:p w14:paraId="29A62B4D" w14:textId="436E013F" w:rsidR="00AF1FB0" w:rsidRPr="0051292E" w:rsidRDefault="007000F8" w:rsidP="007000F8">
            <w:pPr>
              <w:spacing w:line="276" w:lineRule="auto"/>
              <w:rPr>
                <w:sz w:val="20"/>
                <w:szCs w:val="20"/>
              </w:rPr>
            </w:pPr>
            <w:r>
              <w:rPr>
                <w:sz w:val="20"/>
                <w:szCs w:val="20"/>
              </w:rPr>
              <w:t>P</w:t>
            </w:r>
            <w:r w:rsidR="00AF1FB0" w:rsidRPr="0051292E">
              <w:rPr>
                <w:sz w:val="20"/>
                <w:szCs w:val="20"/>
              </w:rPr>
              <w:t>erformance</w:t>
            </w:r>
          </w:p>
        </w:tc>
        <w:tc>
          <w:tcPr>
            <w:tcW w:w="3287" w:type="dxa"/>
            <w:vMerge/>
            <w:tcBorders>
              <w:bottom w:val="single" w:sz="12" w:space="0" w:color="auto"/>
            </w:tcBorders>
          </w:tcPr>
          <w:p w14:paraId="66D7E73C" w14:textId="77777777" w:rsidR="00AF1FB0" w:rsidRPr="0051292E" w:rsidRDefault="00AF1FB0" w:rsidP="007000F8">
            <w:pPr>
              <w:spacing w:line="276" w:lineRule="auto"/>
              <w:rPr>
                <w:sz w:val="20"/>
                <w:szCs w:val="20"/>
              </w:rPr>
            </w:pPr>
          </w:p>
        </w:tc>
      </w:tr>
      <w:tr w:rsidR="007000F8" w:rsidRPr="0051292E" w14:paraId="55280507" w14:textId="77777777" w:rsidTr="007000F8">
        <w:trPr>
          <w:trHeight w:val="1481"/>
        </w:trPr>
        <w:tc>
          <w:tcPr>
            <w:tcW w:w="3493" w:type="dxa"/>
            <w:vMerge w:val="restart"/>
            <w:tcBorders>
              <w:top w:val="single" w:sz="12" w:space="0" w:color="auto"/>
              <w:left w:val="single" w:sz="4" w:space="0" w:color="auto"/>
              <w:right w:val="single" w:sz="4" w:space="0" w:color="auto"/>
            </w:tcBorders>
          </w:tcPr>
          <w:p w14:paraId="337A1A6C" w14:textId="77777777" w:rsidR="00AF1FB0" w:rsidRPr="0051292E" w:rsidRDefault="00AF1FB0" w:rsidP="007000F8">
            <w:pPr>
              <w:spacing w:line="276" w:lineRule="auto"/>
              <w:rPr>
                <w:sz w:val="20"/>
                <w:szCs w:val="20"/>
              </w:rPr>
            </w:pPr>
            <w:r w:rsidRPr="0051292E">
              <w:rPr>
                <w:sz w:val="20"/>
                <w:szCs w:val="20"/>
              </w:rPr>
              <w:t>Preparing students for clinical practice</w:t>
            </w:r>
          </w:p>
        </w:tc>
        <w:tc>
          <w:tcPr>
            <w:tcW w:w="3248" w:type="dxa"/>
            <w:tcBorders>
              <w:top w:val="single" w:sz="12" w:space="0" w:color="auto"/>
              <w:left w:val="single" w:sz="4" w:space="0" w:color="auto"/>
            </w:tcBorders>
          </w:tcPr>
          <w:p w14:paraId="6E547F0B" w14:textId="77777777" w:rsidR="00AF1FB0" w:rsidRDefault="00AF1FB0" w:rsidP="007000F8">
            <w:pPr>
              <w:spacing w:line="276" w:lineRule="auto"/>
              <w:rPr>
                <w:sz w:val="20"/>
                <w:szCs w:val="20"/>
              </w:rPr>
            </w:pPr>
            <w:r>
              <w:rPr>
                <w:sz w:val="20"/>
                <w:szCs w:val="20"/>
              </w:rPr>
              <w:t>Practice under pressure</w:t>
            </w:r>
          </w:p>
          <w:p w14:paraId="3A9AB2B8" w14:textId="77777777" w:rsidR="00AF1FB0" w:rsidRPr="0051292E" w:rsidRDefault="00AF1FB0" w:rsidP="007000F8">
            <w:pPr>
              <w:spacing w:line="276" w:lineRule="auto"/>
              <w:rPr>
                <w:sz w:val="20"/>
                <w:szCs w:val="20"/>
              </w:rPr>
            </w:pPr>
          </w:p>
        </w:tc>
        <w:tc>
          <w:tcPr>
            <w:tcW w:w="3287" w:type="dxa"/>
            <w:vMerge w:val="restart"/>
            <w:tcBorders>
              <w:top w:val="single" w:sz="12" w:space="0" w:color="auto"/>
            </w:tcBorders>
          </w:tcPr>
          <w:p w14:paraId="5BC72212" w14:textId="77777777" w:rsidR="00AF1FB0" w:rsidRDefault="00AF1FB0" w:rsidP="007000F8">
            <w:pPr>
              <w:spacing w:line="276" w:lineRule="auto"/>
              <w:rPr>
                <w:sz w:val="20"/>
                <w:szCs w:val="20"/>
              </w:rPr>
            </w:pPr>
            <w:r>
              <w:rPr>
                <w:sz w:val="20"/>
                <w:szCs w:val="20"/>
              </w:rPr>
              <w:t>Practice under pressure, responsibility, level of pressure, skill acquisition</w:t>
            </w:r>
          </w:p>
          <w:p w14:paraId="66E4CD2E" w14:textId="77777777" w:rsidR="007000F8" w:rsidRDefault="007000F8" w:rsidP="007000F8">
            <w:pPr>
              <w:spacing w:line="276" w:lineRule="auto"/>
              <w:rPr>
                <w:sz w:val="20"/>
                <w:szCs w:val="20"/>
              </w:rPr>
            </w:pPr>
          </w:p>
          <w:p w14:paraId="150C6AAE" w14:textId="77777777" w:rsidR="007F675B" w:rsidRDefault="00AF1FB0" w:rsidP="007000F8">
            <w:pPr>
              <w:spacing w:line="276" w:lineRule="auto"/>
              <w:rPr>
                <w:sz w:val="20"/>
                <w:szCs w:val="20"/>
              </w:rPr>
            </w:pPr>
            <w:r>
              <w:rPr>
                <w:sz w:val="20"/>
                <w:szCs w:val="20"/>
              </w:rPr>
              <w:t xml:space="preserve">Human factors, </w:t>
            </w:r>
            <w:r w:rsidR="007F675B">
              <w:rPr>
                <w:sz w:val="20"/>
                <w:szCs w:val="20"/>
              </w:rPr>
              <w:t xml:space="preserve">patient safety, </w:t>
            </w:r>
            <w:r>
              <w:rPr>
                <w:sz w:val="20"/>
                <w:szCs w:val="20"/>
              </w:rPr>
              <w:t xml:space="preserve">culture and the hidden curriculum, </w:t>
            </w:r>
            <w:r w:rsidR="007F675B">
              <w:rPr>
                <w:sz w:val="20"/>
                <w:szCs w:val="20"/>
              </w:rPr>
              <w:t>understanding and changing culture</w:t>
            </w:r>
          </w:p>
          <w:p w14:paraId="72A05080" w14:textId="77777777" w:rsidR="007000F8" w:rsidRDefault="007000F8" w:rsidP="007000F8">
            <w:pPr>
              <w:spacing w:line="276" w:lineRule="auto"/>
              <w:rPr>
                <w:sz w:val="20"/>
                <w:szCs w:val="20"/>
              </w:rPr>
            </w:pPr>
          </w:p>
          <w:p w14:paraId="065603D8" w14:textId="18655A86" w:rsidR="00AF1FB0" w:rsidRDefault="00AF1FB0" w:rsidP="007000F8">
            <w:pPr>
              <w:spacing w:line="276" w:lineRule="auto"/>
              <w:rPr>
                <w:sz w:val="20"/>
                <w:szCs w:val="20"/>
              </w:rPr>
            </w:pPr>
            <w:r>
              <w:rPr>
                <w:sz w:val="20"/>
                <w:szCs w:val="20"/>
              </w:rPr>
              <w:t>Belonging, mentorship, contextual consequence learning, fidelity</w:t>
            </w:r>
          </w:p>
          <w:p w14:paraId="62CBC748" w14:textId="77777777" w:rsidR="007F675B" w:rsidRDefault="007F675B" w:rsidP="007000F8">
            <w:pPr>
              <w:spacing w:line="276" w:lineRule="auto"/>
              <w:rPr>
                <w:sz w:val="20"/>
                <w:szCs w:val="20"/>
              </w:rPr>
            </w:pPr>
          </w:p>
          <w:p w14:paraId="2CDE2829" w14:textId="0897CEC3" w:rsidR="00AF1FB0" w:rsidRDefault="00AF1FB0" w:rsidP="007000F8">
            <w:pPr>
              <w:spacing w:line="276" w:lineRule="auto"/>
              <w:rPr>
                <w:sz w:val="20"/>
                <w:szCs w:val="20"/>
              </w:rPr>
            </w:pPr>
            <w:r>
              <w:rPr>
                <w:sz w:val="20"/>
                <w:szCs w:val="20"/>
              </w:rPr>
              <w:t>Knowledge and technical skills</w:t>
            </w:r>
            <w:r w:rsidR="00DC31F0">
              <w:rPr>
                <w:sz w:val="20"/>
                <w:szCs w:val="20"/>
              </w:rPr>
              <w:t>, non-technical skills</w:t>
            </w:r>
          </w:p>
          <w:p w14:paraId="42E3D51F" w14:textId="77777777" w:rsidR="00DC31F0" w:rsidRDefault="00DC31F0" w:rsidP="007000F8">
            <w:pPr>
              <w:spacing w:line="276" w:lineRule="auto"/>
              <w:rPr>
                <w:sz w:val="20"/>
                <w:szCs w:val="20"/>
              </w:rPr>
            </w:pPr>
          </w:p>
          <w:p w14:paraId="61B76EF1" w14:textId="77777777" w:rsidR="00AF1FB0" w:rsidRPr="0051292E" w:rsidRDefault="00AF1FB0" w:rsidP="007000F8">
            <w:pPr>
              <w:spacing w:line="276" w:lineRule="auto"/>
              <w:rPr>
                <w:sz w:val="20"/>
                <w:szCs w:val="20"/>
              </w:rPr>
            </w:pPr>
            <w:r>
              <w:rPr>
                <w:sz w:val="20"/>
                <w:szCs w:val="20"/>
              </w:rPr>
              <w:t>Cognitive processes</w:t>
            </w:r>
          </w:p>
        </w:tc>
      </w:tr>
      <w:tr w:rsidR="007000F8" w:rsidRPr="0051292E" w14:paraId="6F3E7523" w14:textId="77777777" w:rsidTr="007000F8">
        <w:trPr>
          <w:trHeight w:val="1707"/>
        </w:trPr>
        <w:tc>
          <w:tcPr>
            <w:tcW w:w="3493" w:type="dxa"/>
            <w:vMerge/>
            <w:tcBorders>
              <w:left w:val="single" w:sz="4" w:space="0" w:color="auto"/>
              <w:right w:val="single" w:sz="4" w:space="0" w:color="auto"/>
            </w:tcBorders>
          </w:tcPr>
          <w:p w14:paraId="7B55CE3B" w14:textId="77777777" w:rsidR="00AF1FB0" w:rsidRPr="0051292E" w:rsidRDefault="00AF1FB0" w:rsidP="007000F8">
            <w:pPr>
              <w:spacing w:line="276" w:lineRule="auto"/>
              <w:rPr>
                <w:sz w:val="20"/>
                <w:szCs w:val="20"/>
              </w:rPr>
            </w:pPr>
          </w:p>
        </w:tc>
        <w:tc>
          <w:tcPr>
            <w:tcW w:w="3248" w:type="dxa"/>
            <w:tcBorders>
              <w:left w:val="single" w:sz="4" w:space="0" w:color="auto"/>
            </w:tcBorders>
          </w:tcPr>
          <w:p w14:paraId="25D5B4D5" w14:textId="77777777" w:rsidR="00AF1FB0" w:rsidRDefault="00AF1FB0" w:rsidP="007000F8">
            <w:pPr>
              <w:spacing w:line="276" w:lineRule="auto"/>
              <w:rPr>
                <w:sz w:val="20"/>
                <w:szCs w:val="20"/>
              </w:rPr>
            </w:pPr>
            <w:r>
              <w:rPr>
                <w:sz w:val="20"/>
                <w:szCs w:val="20"/>
              </w:rPr>
              <w:t>Human Factors</w:t>
            </w:r>
          </w:p>
          <w:p w14:paraId="12870B8D" w14:textId="77777777" w:rsidR="00AF1FB0" w:rsidRPr="0051292E" w:rsidRDefault="00AF1FB0" w:rsidP="007000F8">
            <w:pPr>
              <w:spacing w:line="276" w:lineRule="auto"/>
              <w:rPr>
                <w:sz w:val="20"/>
                <w:szCs w:val="20"/>
              </w:rPr>
            </w:pPr>
          </w:p>
        </w:tc>
        <w:tc>
          <w:tcPr>
            <w:tcW w:w="3287" w:type="dxa"/>
            <w:vMerge/>
          </w:tcPr>
          <w:p w14:paraId="61D2CE3A" w14:textId="77777777" w:rsidR="00AF1FB0" w:rsidRPr="0051292E" w:rsidRDefault="00AF1FB0" w:rsidP="007000F8">
            <w:pPr>
              <w:spacing w:line="276" w:lineRule="auto"/>
              <w:rPr>
                <w:sz w:val="20"/>
                <w:szCs w:val="20"/>
              </w:rPr>
            </w:pPr>
          </w:p>
        </w:tc>
      </w:tr>
      <w:tr w:rsidR="007000F8" w:rsidRPr="0051292E" w14:paraId="0C7F5974" w14:textId="77777777" w:rsidTr="007000F8">
        <w:trPr>
          <w:trHeight w:val="1538"/>
        </w:trPr>
        <w:tc>
          <w:tcPr>
            <w:tcW w:w="3493" w:type="dxa"/>
            <w:vMerge/>
            <w:tcBorders>
              <w:left w:val="single" w:sz="4" w:space="0" w:color="auto"/>
              <w:right w:val="single" w:sz="4" w:space="0" w:color="auto"/>
            </w:tcBorders>
          </w:tcPr>
          <w:p w14:paraId="4A20B966" w14:textId="77777777" w:rsidR="00AF1FB0" w:rsidRPr="0051292E" w:rsidRDefault="00AF1FB0" w:rsidP="007000F8">
            <w:pPr>
              <w:spacing w:line="276" w:lineRule="auto"/>
              <w:rPr>
                <w:sz w:val="20"/>
                <w:szCs w:val="20"/>
              </w:rPr>
            </w:pPr>
          </w:p>
        </w:tc>
        <w:tc>
          <w:tcPr>
            <w:tcW w:w="3248" w:type="dxa"/>
            <w:tcBorders>
              <w:left w:val="single" w:sz="4" w:space="0" w:color="auto"/>
            </w:tcBorders>
          </w:tcPr>
          <w:p w14:paraId="6475574B" w14:textId="77777777" w:rsidR="00AF1FB0" w:rsidRDefault="00AF1FB0" w:rsidP="007000F8">
            <w:pPr>
              <w:spacing w:line="276" w:lineRule="auto"/>
              <w:rPr>
                <w:sz w:val="20"/>
                <w:szCs w:val="20"/>
              </w:rPr>
            </w:pPr>
            <w:r>
              <w:rPr>
                <w:sz w:val="20"/>
                <w:szCs w:val="20"/>
              </w:rPr>
              <w:t>Experiences</w:t>
            </w:r>
          </w:p>
          <w:p w14:paraId="04A2BEE7" w14:textId="77777777" w:rsidR="00AF1FB0" w:rsidRPr="0051292E" w:rsidRDefault="00AF1FB0" w:rsidP="007000F8">
            <w:pPr>
              <w:spacing w:line="276" w:lineRule="auto"/>
              <w:rPr>
                <w:sz w:val="20"/>
                <w:szCs w:val="20"/>
              </w:rPr>
            </w:pPr>
          </w:p>
        </w:tc>
        <w:tc>
          <w:tcPr>
            <w:tcW w:w="3287" w:type="dxa"/>
            <w:vMerge/>
          </w:tcPr>
          <w:p w14:paraId="7282518C" w14:textId="77777777" w:rsidR="00AF1FB0" w:rsidRPr="0051292E" w:rsidRDefault="00AF1FB0" w:rsidP="007000F8">
            <w:pPr>
              <w:spacing w:line="276" w:lineRule="auto"/>
              <w:rPr>
                <w:sz w:val="20"/>
                <w:szCs w:val="20"/>
              </w:rPr>
            </w:pPr>
          </w:p>
        </w:tc>
      </w:tr>
      <w:tr w:rsidR="007000F8" w:rsidRPr="0051292E" w14:paraId="14B2A6CF" w14:textId="77777777" w:rsidTr="007000F8">
        <w:trPr>
          <w:trHeight w:val="1686"/>
        </w:trPr>
        <w:tc>
          <w:tcPr>
            <w:tcW w:w="3493" w:type="dxa"/>
            <w:vMerge/>
            <w:tcBorders>
              <w:left w:val="single" w:sz="4" w:space="0" w:color="auto"/>
              <w:right w:val="single" w:sz="4" w:space="0" w:color="auto"/>
            </w:tcBorders>
          </w:tcPr>
          <w:p w14:paraId="0C9778B5" w14:textId="77777777" w:rsidR="00AF1FB0" w:rsidRPr="0051292E" w:rsidRDefault="00AF1FB0" w:rsidP="007000F8">
            <w:pPr>
              <w:spacing w:line="276" w:lineRule="auto"/>
              <w:rPr>
                <w:sz w:val="20"/>
                <w:szCs w:val="20"/>
              </w:rPr>
            </w:pPr>
          </w:p>
        </w:tc>
        <w:tc>
          <w:tcPr>
            <w:tcW w:w="3248" w:type="dxa"/>
            <w:tcBorders>
              <w:left w:val="single" w:sz="4" w:space="0" w:color="auto"/>
            </w:tcBorders>
          </w:tcPr>
          <w:p w14:paraId="29FE68C2" w14:textId="77777777" w:rsidR="00AF1FB0" w:rsidRPr="0051292E" w:rsidRDefault="00AF1FB0" w:rsidP="007000F8">
            <w:pPr>
              <w:spacing w:line="276" w:lineRule="auto"/>
              <w:rPr>
                <w:sz w:val="20"/>
                <w:szCs w:val="20"/>
              </w:rPr>
            </w:pPr>
            <w:r>
              <w:rPr>
                <w:sz w:val="20"/>
                <w:szCs w:val="20"/>
              </w:rPr>
              <w:t>Clinical reasoning and Judgment</w:t>
            </w:r>
          </w:p>
        </w:tc>
        <w:tc>
          <w:tcPr>
            <w:tcW w:w="3287" w:type="dxa"/>
            <w:vMerge/>
          </w:tcPr>
          <w:p w14:paraId="2005AC60" w14:textId="77777777" w:rsidR="00AF1FB0" w:rsidRPr="0051292E" w:rsidRDefault="00AF1FB0" w:rsidP="007000F8">
            <w:pPr>
              <w:spacing w:line="276" w:lineRule="auto"/>
              <w:rPr>
                <w:sz w:val="20"/>
                <w:szCs w:val="20"/>
              </w:rPr>
            </w:pPr>
          </w:p>
        </w:tc>
      </w:tr>
      <w:tr w:rsidR="007000F8" w:rsidRPr="0051292E" w14:paraId="58C5ABFC" w14:textId="77777777" w:rsidTr="00DC31F0">
        <w:trPr>
          <w:trHeight w:val="1589"/>
        </w:trPr>
        <w:tc>
          <w:tcPr>
            <w:tcW w:w="3493" w:type="dxa"/>
            <w:vMerge/>
            <w:tcBorders>
              <w:left w:val="single" w:sz="4" w:space="0" w:color="auto"/>
              <w:right w:val="single" w:sz="4" w:space="0" w:color="auto"/>
            </w:tcBorders>
          </w:tcPr>
          <w:p w14:paraId="24B61510" w14:textId="77777777" w:rsidR="00AF1FB0" w:rsidRPr="0051292E" w:rsidRDefault="00AF1FB0" w:rsidP="007000F8">
            <w:pPr>
              <w:spacing w:line="276" w:lineRule="auto"/>
              <w:rPr>
                <w:sz w:val="20"/>
                <w:szCs w:val="20"/>
              </w:rPr>
            </w:pPr>
          </w:p>
        </w:tc>
        <w:tc>
          <w:tcPr>
            <w:tcW w:w="3248" w:type="dxa"/>
            <w:tcBorders>
              <w:left w:val="single" w:sz="4" w:space="0" w:color="auto"/>
            </w:tcBorders>
          </w:tcPr>
          <w:p w14:paraId="7852D3B0" w14:textId="77777777" w:rsidR="00AF1FB0" w:rsidRPr="0051292E" w:rsidRDefault="00AF1FB0" w:rsidP="007000F8">
            <w:pPr>
              <w:spacing w:line="276" w:lineRule="auto"/>
              <w:rPr>
                <w:sz w:val="20"/>
                <w:szCs w:val="20"/>
              </w:rPr>
            </w:pPr>
            <w:r>
              <w:rPr>
                <w:sz w:val="20"/>
                <w:szCs w:val="20"/>
              </w:rPr>
              <w:t>Clinical cognitive competence</w:t>
            </w:r>
          </w:p>
        </w:tc>
        <w:tc>
          <w:tcPr>
            <w:tcW w:w="3287" w:type="dxa"/>
            <w:vMerge/>
          </w:tcPr>
          <w:p w14:paraId="1C8FEEB7" w14:textId="77777777" w:rsidR="00AF1FB0" w:rsidRPr="0051292E" w:rsidRDefault="00AF1FB0" w:rsidP="007000F8">
            <w:pPr>
              <w:spacing w:line="276" w:lineRule="auto"/>
              <w:rPr>
                <w:sz w:val="20"/>
                <w:szCs w:val="20"/>
              </w:rPr>
            </w:pPr>
          </w:p>
        </w:tc>
      </w:tr>
    </w:tbl>
    <w:p w14:paraId="3855C718" w14:textId="77777777" w:rsidR="00AF1FB0" w:rsidRPr="00BC708F" w:rsidRDefault="00AF1FB0" w:rsidP="00AF1FB0"/>
    <w:p w14:paraId="4DC3AD00" w14:textId="77777777" w:rsidR="00AF1FB0" w:rsidRDefault="00AF1FB0" w:rsidP="00AF1FB0">
      <w:pPr>
        <w:pStyle w:val="Heading3"/>
      </w:pPr>
      <w:bookmarkStart w:id="397" w:name="_Toc419116194"/>
      <w:r>
        <w:lastRenderedPageBreak/>
        <w:t>Theme 1: Understanding preparedness</w:t>
      </w:r>
      <w:bookmarkEnd w:id="395"/>
      <w:bookmarkEnd w:id="397"/>
    </w:p>
    <w:p w14:paraId="66D0A533" w14:textId="77777777" w:rsidR="00AF1FB0" w:rsidRDefault="00AF1FB0" w:rsidP="00AF1FB0"/>
    <w:p w14:paraId="6D5E8B50" w14:textId="77777777" w:rsidR="00AF1FB0" w:rsidRDefault="00AF1FB0" w:rsidP="00AF1FB0">
      <w:r>
        <w:t xml:space="preserve">Exploring the concept of preparedness was the main aim of this study. Within theme one the findings of the triangulation of data from both the student and expert perspective are reported. Focus is on interpretation and personal experience of preparedness followed by views on the relationship between preparedness and performance. Student data has been triangulated from focus groups, field notes, cases and feedback. Five themes emerged: </w:t>
      </w:r>
    </w:p>
    <w:p w14:paraId="5F136A95" w14:textId="77777777" w:rsidR="00AF1FB0" w:rsidRDefault="00AF1FB0" w:rsidP="00AF1FB0">
      <w:pPr>
        <w:pStyle w:val="Heading3"/>
        <w:numPr>
          <w:ilvl w:val="0"/>
          <w:numId w:val="0"/>
        </w:numPr>
      </w:pPr>
    </w:p>
    <w:p w14:paraId="06ECACF9" w14:textId="77777777" w:rsidR="00AF1FB0" w:rsidRDefault="00AF1FB0" w:rsidP="00AF1FB0">
      <w:r>
        <w:rPr>
          <w:noProof/>
          <w:lang w:val="en-US"/>
        </w:rPr>
        <w:drawing>
          <wp:inline distT="0" distB="0" distL="0" distR="0" wp14:anchorId="592061A3" wp14:editId="4A4E8F4B">
            <wp:extent cx="5396230" cy="859790"/>
            <wp:effectExtent l="57150" t="38100" r="52070" b="73660"/>
            <wp:docPr id="112" name="Diagram 1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14:paraId="40B493F0" w14:textId="77777777" w:rsidR="00AF1FB0" w:rsidRDefault="00AF1FB0" w:rsidP="00AF1FB0">
      <w:r>
        <w:t xml:space="preserve"> </w:t>
      </w:r>
    </w:p>
    <w:p w14:paraId="6A9C42F7" w14:textId="77777777" w:rsidR="00AF1FB0" w:rsidRDefault="00AF1FB0" w:rsidP="00AF1FB0">
      <w:r>
        <w:t xml:space="preserve">Student interpretation was largely based on anticipated preparedness, experience of placements, assistantships, shadowing, simulation courses and talking to peers. The views of experts regarding preparedness were retrospective and generally related to starting as an FY1. For some this was around 12 years ago and others, 30 years. </w:t>
      </w:r>
    </w:p>
    <w:p w14:paraId="07C1E356" w14:textId="77777777" w:rsidR="00AF1FB0" w:rsidRDefault="00AF1FB0" w:rsidP="00AF1FB0"/>
    <w:p w14:paraId="343B1968" w14:textId="77777777" w:rsidR="00AF1FB0" w:rsidRDefault="00AF1FB0" w:rsidP="00AF1FB0"/>
    <w:p w14:paraId="5A4A8957" w14:textId="77777777" w:rsidR="00AF1FB0" w:rsidRDefault="00AF1FB0" w:rsidP="00AF1FB0"/>
    <w:p w14:paraId="7883B148" w14:textId="77777777" w:rsidR="00AF1FB0" w:rsidRPr="00652CEE" w:rsidRDefault="00AF1FB0" w:rsidP="00AF1FB0">
      <w:pPr>
        <w:rPr>
          <w:b/>
          <w:i/>
        </w:rPr>
      </w:pPr>
      <w:r w:rsidRPr="00652CEE">
        <w:rPr>
          <w:b/>
          <w:i/>
        </w:rPr>
        <w:lastRenderedPageBreak/>
        <w:t>Realisation</w:t>
      </w:r>
    </w:p>
    <w:p w14:paraId="6F351FD3" w14:textId="77777777" w:rsidR="00AF1FB0" w:rsidRDefault="00AF1FB0" w:rsidP="00AF1FB0">
      <w:r>
        <w:t xml:space="preserve">From the student perspective, realisation was heavily related to expectations about being a FY1 in terms of responsibility, the pressure of the clinical environment and the impact their decisions would have on the patients. </w:t>
      </w:r>
    </w:p>
    <w:p w14:paraId="6412C77A" w14:textId="77777777" w:rsidR="00AF1FB0" w:rsidRDefault="00AF1FB0" w:rsidP="00AF1FB0">
      <w:pPr>
        <w:spacing w:line="240" w:lineRule="auto"/>
        <w:ind w:left="720"/>
      </w:pPr>
      <w:r w:rsidRPr="00652CEE">
        <w:rPr>
          <w:i/>
        </w:rPr>
        <w:t>‘I did not realise I could start treatment for anaphylaxis……. I knew what the patient needed but was not sure I could start the treatment because I had not done it before so I called to check’</w:t>
      </w:r>
      <w:r>
        <w:t xml:space="preserve"> (focus group 8, Participant 1).</w:t>
      </w:r>
    </w:p>
    <w:p w14:paraId="3F7B8DD4" w14:textId="77777777" w:rsidR="00AF1FB0" w:rsidRDefault="00AF1FB0" w:rsidP="00AF1FB0">
      <w:r>
        <w:t xml:space="preserve">They described the feeling of being overloaded with jobs and pressure, and the fact that could lead to their mind going blank. The concept and impact of cognitive overload concerned them. </w:t>
      </w:r>
    </w:p>
    <w:p w14:paraId="01FCD72F" w14:textId="77777777" w:rsidR="00AF1FB0" w:rsidRDefault="00AF1FB0" w:rsidP="00AF1FB0">
      <w:r>
        <w:t xml:space="preserve">Experts described the phenomenon of ‘perceived versus actual capability’ with a feeling that actual capability was more important. Realisation represented actual experience of being a FY1 and despite reported increased experience, expectations were still reported to be wrong. They described feeling that they had to manage everything alone (Interview 1). </w:t>
      </w:r>
    </w:p>
    <w:p w14:paraId="5BD7DF65" w14:textId="77777777" w:rsidR="00AF1FB0" w:rsidRDefault="00AF1FB0" w:rsidP="00AF1FB0">
      <w:pPr>
        <w:spacing w:line="240" w:lineRule="auto"/>
        <w:ind w:left="720"/>
      </w:pPr>
      <w:r w:rsidRPr="00864D28">
        <w:rPr>
          <w:rFonts w:ascii="Helvetica" w:hAnsi="Helvetica" w:cs="Helvetica"/>
          <w:i/>
        </w:rPr>
        <w:t>‘</w:t>
      </w:r>
      <w:r w:rsidRPr="00652CEE">
        <w:rPr>
          <w:rFonts w:cs="Arial"/>
          <w:i/>
        </w:rPr>
        <w:t>What worries many doctors is about being able to access the right knowledge at the right time. You can’t prepare every student in studying medicine for every eventuality. What you have got to do is give them the tools so they can actually then think’</w:t>
      </w:r>
      <w:r w:rsidRPr="00652CEE">
        <w:rPr>
          <w:rFonts w:cs="Arial"/>
        </w:rPr>
        <w:t xml:space="preserve"> (Interview 3).</w:t>
      </w:r>
    </w:p>
    <w:p w14:paraId="03A1FDD0" w14:textId="77777777" w:rsidR="00AF1FB0" w:rsidRDefault="00AF1FB0" w:rsidP="00AF1FB0">
      <w:r>
        <w:t xml:space="preserve">The need for more generic, transferable skills to improve preparedness was highlighted and that perhaps focusing on knowledge as an assessment was not appropriate. Some described that though they had been ‘exposed to a lot’ equating to more potential experience it was not felt that this had helped to prepare them (Interview 7). </w:t>
      </w:r>
    </w:p>
    <w:p w14:paraId="7892D00D" w14:textId="77777777" w:rsidR="00AF1FB0" w:rsidRDefault="00AF1FB0" w:rsidP="00AF1FB0">
      <w:pPr>
        <w:spacing w:line="240" w:lineRule="auto"/>
        <w:ind w:left="720"/>
        <w:rPr>
          <w:rFonts w:cs="Arial"/>
        </w:rPr>
      </w:pPr>
      <w:r w:rsidRPr="00652CEE">
        <w:rPr>
          <w:rFonts w:cs="Arial"/>
          <w:i/>
        </w:rPr>
        <w:lastRenderedPageBreak/>
        <w:t xml:space="preserve">‘The more I think about it the more I think…. what is prepared?…you don’t know that until afterwards do you? You know - were you prepared to have a baby? Were you prepared to have a toddler? Were you prepared to become a consultant? …well…no probably I was not fully prepared for any of those things but you manage and you get through and you learn on the job. I think that … it is a very hard concept to define and I think you can ask people how prepared they felt after something but that is overlaid hugely by someone’s clinical competence, by their confidence, by the type of people they worked with in their first post, by the extent to which they felt nurtured and protected, the extent to which they were blamed for errors which occurred. I think that when you ask people - ‘were you prepared?’ what you are asking people really is ‘how did it go?’. If you ask people before they start ‘are you prepared?’, that is meaningless - prepared for what? they don’t even know what they are preparing for because they have not done it. So if you ask people before it is meaningless, if you ask people afterwards it is overlaid by all sorts of barometers of how much they enjoyed or found satisfaction in what it was that they were doing’ </w:t>
      </w:r>
      <w:r w:rsidRPr="00652CEE">
        <w:rPr>
          <w:rFonts w:cs="Arial"/>
        </w:rPr>
        <w:t>(Interview 8).</w:t>
      </w:r>
    </w:p>
    <w:p w14:paraId="33448B78" w14:textId="77777777" w:rsidR="00AF1FB0" w:rsidRDefault="00AF1FB0" w:rsidP="00AF1FB0">
      <w:pPr>
        <w:spacing w:line="240" w:lineRule="auto"/>
      </w:pPr>
      <w:r>
        <w:t>There were reports that they were taught by ‘humiliation’ and in fact this was the ‘norm’ in medical education (Interviews 4,7).</w:t>
      </w:r>
    </w:p>
    <w:p w14:paraId="67A74119" w14:textId="77777777" w:rsidR="00AF1FB0" w:rsidRPr="00A566A9" w:rsidRDefault="00AF1FB0" w:rsidP="00AF1FB0">
      <w:pPr>
        <w:spacing w:line="240" w:lineRule="auto"/>
        <w:rPr>
          <w:rFonts w:cs="Arial"/>
        </w:rPr>
      </w:pPr>
    </w:p>
    <w:p w14:paraId="1679595D" w14:textId="77777777" w:rsidR="00AF1FB0" w:rsidRPr="00652CEE" w:rsidRDefault="00AF1FB0" w:rsidP="00AF1FB0">
      <w:pPr>
        <w:rPr>
          <w:b/>
          <w:i/>
        </w:rPr>
      </w:pPr>
      <w:r w:rsidRPr="00652CEE">
        <w:rPr>
          <w:b/>
          <w:i/>
        </w:rPr>
        <w:t>Responsibility</w:t>
      </w:r>
    </w:p>
    <w:p w14:paraId="4866133C" w14:textId="77777777" w:rsidR="00AF1FB0" w:rsidRDefault="00AF1FB0" w:rsidP="00AF1FB0">
      <w:r>
        <w:t>Students related responsibility to the application of knowledge and skills but also how to access knowledge in times of overload and high stress. They felt a responsibility for decision-making and were aware they would sometimes have to make quick decisions and other times they would have time to think for longer but using their judgment with little experience was felt to be a challenge.</w:t>
      </w:r>
    </w:p>
    <w:p w14:paraId="0EFCC575" w14:textId="77777777" w:rsidR="00AF1FB0" w:rsidRDefault="00AF1FB0" w:rsidP="00AF1FB0">
      <w:pPr>
        <w:spacing w:line="240" w:lineRule="auto"/>
        <w:ind w:left="720"/>
      </w:pPr>
      <w:r w:rsidRPr="00652CEE">
        <w:rPr>
          <w:i/>
        </w:rPr>
        <w:t>‘I felt like a doctor looking after a patient</w:t>
      </w:r>
      <w:r>
        <w:rPr>
          <w:i/>
        </w:rPr>
        <w:t>…..</w:t>
      </w:r>
      <w:r w:rsidRPr="00652CEE">
        <w:rPr>
          <w:i/>
        </w:rPr>
        <w:t xml:space="preserve"> and when they did not improve immediately it was stressful, especially with my treatment plan……but it was good to know I can cope</w:t>
      </w:r>
      <w:r>
        <w:rPr>
          <w:i/>
        </w:rPr>
        <w:t xml:space="preserve"> and how to get help</w:t>
      </w:r>
      <w:r w:rsidRPr="00652CEE">
        <w:rPr>
          <w:i/>
        </w:rPr>
        <w:t>’</w:t>
      </w:r>
      <w:r>
        <w:t xml:space="preserve"> (Focus group 15, Participant 4).</w:t>
      </w:r>
    </w:p>
    <w:p w14:paraId="122FD91F" w14:textId="77777777" w:rsidR="00AF1FB0" w:rsidRDefault="00AF1FB0" w:rsidP="00AF1FB0">
      <w:r>
        <w:t xml:space="preserve">They had had a snapshot through the course of the consequences of their decision-making and action or inaction on patient outcome. For this reason they </w:t>
      </w:r>
      <w:r>
        <w:lastRenderedPageBreak/>
        <w:t>felt a responsibility for patient safety and pressure to be a professional, credible member of the clinical team.</w:t>
      </w:r>
    </w:p>
    <w:p w14:paraId="50A935E7" w14:textId="77777777" w:rsidR="00AF1FB0" w:rsidRDefault="00AF1FB0" w:rsidP="00AF1FB0">
      <w:r>
        <w:t xml:space="preserve">Experts described being ‘put on the spot’, suggesting they were not feeling ready or prepared. </w:t>
      </w:r>
    </w:p>
    <w:p w14:paraId="0685CF3D" w14:textId="77777777" w:rsidR="00AF1FB0" w:rsidRPr="00652CEE"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‘I felt like I had to be responsible from the beginning of F1. Which was probably not really the case. I sort of felt that as soon as you were on the wards that you were a doctor so that the patients were definitely my responsibility to sort them out you know, yes definitely felt that sense of ‘these are my patients that I need to look after and if I have to stay late to do anything to look after them’</w:t>
      </w:r>
      <w:r w:rsidRPr="00652CEE">
        <w:rPr>
          <w:rFonts w:cs="Arial"/>
        </w:rPr>
        <w:t xml:space="preserve"> (Interview 1)</w:t>
      </w:r>
    </w:p>
    <w:p w14:paraId="566C1559" w14:textId="77777777" w:rsidR="00AF1FB0" w:rsidRDefault="00AF1FB0" w:rsidP="00AF1FB0">
      <w:r>
        <w:t xml:space="preserve">Another described a ‘clinical apprenticeship model’ where they had a clear team structure and felt supported (Interview 2). Others described ‘training on the job’ suggesting experiential learning, but a lack of planned debriefing and support. The more junior experts described shadowing, which had been of some help, but it had been ‘too late on’ and would have been more beneficial to have had that level of exposure and experience earlier on (Interview 1). Undertaking a locum was described, but that there was ‘trial and error’ in terms of consequence learning. </w:t>
      </w:r>
    </w:p>
    <w:p w14:paraId="0B7BEE66" w14:textId="77777777" w:rsidR="00AF1FB0" w:rsidRDefault="00AF1FB0" w:rsidP="00AF1FB0">
      <w:r>
        <w:t>There was a more deep and developed perspective on the responsibility of being part of a team. This included the importance of communication skills, leadership as well as followership, and caring about your team. In particular, regularly ‘checking in’ with the team ‘mental models’ or how well everyone was to own and address any problems (Interview 6). This level of appreciation and understanding regarding the importance of good teamwork, is very much a step on from the student perspective, and perhaps the disconnect in supporting the transition to FY1.</w:t>
      </w:r>
    </w:p>
    <w:p w14:paraId="2C756438" w14:textId="77777777" w:rsidR="00AF1FB0" w:rsidRPr="00652CEE" w:rsidRDefault="00AF1FB0" w:rsidP="00AF1FB0">
      <w:pPr>
        <w:rPr>
          <w:b/>
          <w:i/>
        </w:rPr>
      </w:pPr>
      <w:r w:rsidRPr="00652CEE">
        <w:rPr>
          <w:b/>
          <w:i/>
        </w:rPr>
        <w:lastRenderedPageBreak/>
        <w:t>Recognition</w:t>
      </w:r>
    </w:p>
    <w:p w14:paraId="2E9295C8" w14:textId="77777777" w:rsidR="00AF1FB0" w:rsidRDefault="00AF1FB0" w:rsidP="00AF1FB0">
      <w:r>
        <w:t xml:space="preserve">With students this was about them recognising their own behaviour when they were put under pressure with responsibility for making decisions and their emotional response to it. They described the recognition of how it felt to feel stuck and unsure and how to manage that uncertainty. They described experiencing the challenges within the clinical environment in terms of availability of different equipment, layout, team members and how to cope with that and be effective and safe, which was linked to human factors. </w:t>
      </w:r>
    </w:p>
    <w:p w14:paraId="4888E08A" w14:textId="77777777" w:rsidR="00AF1FB0" w:rsidRDefault="00AF1FB0" w:rsidP="00AF1FB0">
      <w:pPr>
        <w:spacing w:line="240" w:lineRule="auto"/>
        <w:ind w:left="720"/>
      </w:pPr>
      <w:r>
        <w:rPr>
          <w:i/>
        </w:rPr>
        <w:t>‘</w:t>
      </w:r>
      <w:r w:rsidRPr="00652CEE">
        <w:rPr>
          <w:i/>
        </w:rPr>
        <w:t>I did not know what the nurses were able to help with….. when the monitors were going off I found it hard to concentrate…..I wish I had asked for help sooner but did not want to bother my senior’</w:t>
      </w:r>
      <w:r>
        <w:t xml:space="preserve"> (Debrief day 4, University 1)</w:t>
      </w:r>
    </w:p>
    <w:p w14:paraId="461AE187" w14:textId="77777777" w:rsidR="00AF1FB0" w:rsidRDefault="00AF1FB0" w:rsidP="00AF1FB0">
      <w:r>
        <w:t xml:space="preserve">Experts described a significant influence of teamwork, ‘sharing and agreeing goals’, and how to ‘align team priorities’, to let members know they count and were valued (Interviews 2,6,8). Recognition included recognising own behaviour and personality traits, and how they impacted on others and situations. Then learning how to control emotional responses, to ‘self-correct over time’, linked to reflective practice and development of professional identity (Interviews 3,4,6,8,10). Developing these skills was felt to move the individual to a ‘comfortableness’ associated with a particular skill level that encompassed technical and non-technical skills, teamwork, decision-making and judgment. </w:t>
      </w:r>
    </w:p>
    <w:p w14:paraId="104AD841" w14:textId="77777777" w:rsidR="00AF1FB0" w:rsidRPr="0083116C" w:rsidRDefault="00AF1FB0" w:rsidP="00AF1FB0">
      <w:pPr>
        <w:spacing w:line="240" w:lineRule="auto"/>
        <w:ind w:left="720"/>
        <w:rPr>
          <w:rFonts w:cs="Arial"/>
        </w:rPr>
      </w:pPr>
      <w:r w:rsidRPr="003B2909">
        <w:rPr>
          <w:rFonts w:cs="Arial"/>
          <w:i/>
        </w:rPr>
        <w:t>‘Health</w:t>
      </w:r>
      <w:r w:rsidRPr="00652CEE">
        <w:rPr>
          <w:rFonts w:cs="Arial"/>
          <w:i/>
        </w:rPr>
        <w:t xml:space="preserve">care, it always assumes you have to know everything in order to practice but actually science moves on all the time so you will never be on the top of your game so actually you need the other skills, the skills around process, how to work with one another, how to access information, how to make decisions, understanding that standardisation is an effective way of managing cognitive overload.. that actually so much as the patient journey–the patient's experience is quite standard if </w:t>
      </w:r>
      <w:r w:rsidRPr="00652CEE">
        <w:rPr>
          <w:rFonts w:cs="Arial"/>
          <w:i/>
        </w:rPr>
        <w:lastRenderedPageBreak/>
        <w:t xml:space="preserve">you approach that as standardised you can ensure the quality of that patient experience and it gives you the head space so that when things go off </w:t>
      </w:r>
      <w:proofErr w:type="spellStart"/>
      <w:r w:rsidRPr="00652CEE">
        <w:rPr>
          <w:rFonts w:cs="Arial"/>
          <w:i/>
        </w:rPr>
        <w:t>piste</w:t>
      </w:r>
      <w:proofErr w:type="spellEnd"/>
      <w:r w:rsidRPr="00652CEE">
        <w:rPr>
          <w:rFonts w:cs="Arial"/>
          <w:i/>
        </w:rPr>
        <w:t xml:space="preserve"> to use your creativity, to use your.. you know, rescue skills’</w:t>
      </w:r>
      <w:r w:rsidRPr="00652CEE">
        <w:rPr>
          <w:rFonts w:cs="Arial"/>
        </w:rPr>
        <w:t xml:space="preserve"> (Interview 6).</w:t>
      </w:r>
    </w:p>
    <w:p w14:paraId="2256F1C8" w14:textId="77777777" w:rsidR="00AF1FB0" w:rsidRPr="003540F2" w:rsidRDefault="00AF1FB0" w:rsidP="00AF1FB0">
      <w:r>
        <w:t xml:space="preserve">It was felt that this was not just achieved through ‘experience’, but vital to reflect effectively to better understand and regulate oneself (Interviews 2,3,6,8). </w:t>
      </w:r>
    </w:p>
    <w:p w14:paraId="7C865A06" w14:textId="77777777" w:rsidR="00AF1FB0" w:rsidRPr="00652CEE" w:rsidRDefault="00AF1FB0" w:rsidP="00AF1FB0">
      <w:pPr>
        <w:rPr>
          <w:b/>
          <w:i/>
        </w:rPr>
      </w:pPr>
      <w:r w:rsidRPr="00652CEE">
        <w:rPr>
          <w:b/>
          <w:i/>
        </w:rPr>
        <w:t>Response</w:t>
      </w:r>
    </w:p>
    <w:p w14:paraId="49388640" w14:textId="77777777" w:rsidR="00AF1FB0" w:rsidRDefault="00AF1FB0" w:rsidP="00AF1FB0">
      <w:r>
        <w:t xml:space="preserve">Response related to how to get responses from others and how to record them, and how to get what they needed to manage a patient effectively. Response included patient response, in terms of consequences of actions with patient physiology and outcome but also from a practical point of view. </w:t>
      </w:r>
    </w:p>
    <w:p w14:paraId="188318A6" w14:textId="77777777" w:rsidR="00AF1FB0" w:rsidRDefault="00AF1FB0" w:rsidP="00AF1FB0">
      <w:pPr>
        <w:spacing w:line="240" w:lineRule="auto"/>
        <w:ind w:left="720"/>
      </w:pPr>
      <w:r w:rsidRPr="00652CEE">
        <w:rPr>
          <w:i/>
        </w:rPr>
        <w:t>‘I had not realised how long it would take for drugs to take effect, how long it may take the nurses to get or make up the drugs, in other courses it has been instant’</w:t>
      </w:r>
      <w:r>
        <w:t xml:space="preserve"> (focus group 3, Participant 4). </w:t>
      </w:r>
    </w:p>
    <w:p w14:paraId="78555225" w14:textId="77777777" w:rsidR="00AF1FB0" w:rsidRDefault="00AF1FB0" w:rsidP="00AF1FB0">
      <w:r>
        <w:t xml:space="preserve">There was a risk with simpler experiences of simulation that non-authentic responses had been played out untrue to real life. This emphasised the importance of realistic physiological responses to help build on knowledge, understanding and clinical judgment. The students described the importance of knowing what would happen next and how to check up that an action had been taken and completed, especially in a shift system. This was labelled ‘closing the loop’, and also linked to closing the loop of communication with team and patient but also closing their knowledge and experience loop. This meant they had learnt something, experienced it and played out the consequences. They had time to reflect, consider other options and summarise overall personal learning points and concepts. </w:t>
      </w:r>
    </w:p>
    <w:p w14:paraId="7C3D5E55" w14:textId="77777777" w:rsidR="00AF1FB0" w:rsidRDefault="00AF1FB0" w:rsidP="00AF1FB0">
      <w:r>
        <w:lastRenderedPageBreak/>
        <w:t xml:space="preserve">Response for experts encompassed consequence learning, which was reported to have occurred through ‘trial and error’ in terms of patient response and outcome. In addition, response or feedback from ‘good leadership and followership’ highlighted the importance of teamwork throughout the complex journey of preparedness. There was a described move from being reactionary to ‘prospective hazard analysis’. </w:t>
      </w:r>
    </w:p>
    <w:p w14:paraId="5958DDAF" w14:textId="77777777" w:rsidR="00AF1FB0" w:rsidRPr="0083116C" w:rsidRDefault="00AF1FB0" w:rsidP="00AF1FB0">
      <w:pPr>
        <w:spacing w:line="240" w:lineRule="auto"/>
        <w:ind w:left="720"/>
        <w:rPr>
          <w:rFonts w:cs="Arial"/>
        </w:rPr>
      </w:pPr>
      <w:r w:rsidRPr="00652CEE">
        <w:rPr>
          <w:rFonts w:cs="Arial"/>
          <w:i/>
        </w:rPr>
        <w:t>‘One of the other challenges is that the latent conditions for failure, the latent conditions for harm are just everywhere. As human beings as fallible as we are, we are also incredibly resilient and we are compensating and catching stuff all of the time but because we do not do a lot of learning from the no-harm events and how we mitigated it, we don’t absolutely know how we did it… we don’t know…it’s almost like the hidden curricula’</w:t>
      </w:r>
      <w:r w:rsidRPr="00652CEE">
        <w:rPr>
          <w:rFonts w:cs="Arial"/>
        </w:rPr>
        <w:t xml:space="preserve"> (Interview 6).</w:t>
      </w:r>
    </w:p>
    <w:p w14:paraId="413D77B0" w14:textId="53C2DAD8" w:rsidR="00AF1FB0" w:rsidRDefault="00AF1FB0" w:rsidP="00AF1FB0">
      <w:r>
        <w:t>Students were aware of patient safety and felt a responsibility for it but could not transpose this depth to forward planning to reduce error and risk. Experts had learnt this ‘on the job’, but to develop these hig</w:t>
      </w:r>
      <w:r w:rsidR="00345C07">
        <w:t>h level coping, safety and team</w:t>
      </w:r>
      <w:r>
        <w:t>working skills as a student, is an advantage for self, team and organisation.</w:t>
      </w:r>
    </w:p>
    <w:p w14:paraId="6E25711A" w14:textId="77777777" w:rsidR="00AF1FB0" w:rsidRPr="009460E8" w:rsidRDefault="00AF1FB0" w:rsidP="00AF1FB0">
      <w:pPr>
        <w:rPr>
          <w:b/>
          <w:i/>
        </w:rPr>
      </w:pPr>
      <w:r w:rsidRPr="009460E8">
        <w:rPr>
          <w:b/>
          <w:i/>
        </w:rPr>
        <w:t>Performance</w:t>
      </w:r>
    </w:p>
    <w:p w14:paraId="2D70EE4E" w14:textId="77777777" w:rsidR="00AF1FB0" w:rsidRDefault="00AF1FB0" w:rsidP="00AF1FB0">
      <w:r>
        <w:t xml:space="preserve">There were common elements between what students and experts felt to be important for preparedness and performance. Students responded about how well they felt they had been prepared by their undergraduate curriculum for FY1, and experts reflected upon years of clinical experience and their own recalled experience plus current experience with junior doctors. </w:t>
      </w:r>
    </w:p>
    <w:p w14:paraId="6072E38D" w14:textId="77777777" w:rsidR="00AF1FB0" w:rsidRDefault="00AF1FB0" w:rsidP="00AF1FB0">
      <w:r>
        <w:t xml:space="preserve">In terms of preparedness, the importance of experiencing cognitive overload in a clinical authentic setting was felt to be vital. This was to practice under </w:t>
      </w:r>
      <w:r>
        <w:lastRenderedPageBreak/>
        <w:t xml:space="preserve">pressure to learn skills to recognise this feeling, then how to access knowledge, skills and help to regain control. </w:t>
      </w:r>
    </w:p>
    <w:p w14:paraId="3290816C" w14:textId="77777777" w:rsidR="00AF1FB0" w:rsidRPr="00BF67C5" w:rsidRDefault="00AF1FB0" w:rsidP="00AF1FB0">
      <w:pPr>
        <w:spacing w:line="240" w:lineRule="auto"/>
        <w:ind w:left="720"/>
        <w:rPr>
          <w:i/>
        </w:rPr>
      </w:pPr>
      <w:r>
        <w:tab/>
      </w:r>
      <w:r>
        <w:rPr>
          <w:i/>
        </w:rPr>
        <w:t xml:space="preserve">‘I could feel my mind going blank and was so distracted as there was so much going on…..I wanted to switch the monitors off. When I took a step back from the situation I could think more clearly. I have learnt that about myself now and know to try and stop myself getting to that place. To call for help sooner. I am glad I experienced that now and not with a real patient’ </w:t>
      </w:r>
      <w:r w:rsidRPr="000A70AC">
        <w:t>(Focus group 12, Participant 4)</w:t>
      </w:r>
      <w:r>
        <w:t>.</w:t>
      </w:r>
    </w:p>
    <w:p w14:paraId="6CC1E6F8" w14:textId="77777777" w:rsidR="00AF1FB0" w:rsidRDefault="00AF1FB0" w:rsidP="00AF1FB0">
      <w:r>
        <w:t xml:space="preserve">Responsibility was felt to be key by both groups and grading this responsibility along with pressure was felt to be important when supporting transition from undergraduate to FY1. Roles within clinical teams as well as through simulation were felt to offer opportunities for this. </w:t>
      </w:r>
    </w:p>
    <w:p w14:paraId="65C6B705" w14:textId="77777777" w:rsidR="00AF1FB0" w:rsidRPr="001D619D" w:rsidRDefault="00AF1FB0" w:rsidP="00AF1FB0">
      <w:pPr>
        <w:spacing w:line="240" w:lineRule="auto"/>
        <w:ind w:left="720"/>
        <w:rPr>
          <w:i/>
        </w:rPr>
      </w:pPr>
      <w:r w:rsidRPr="001D619D">
        <w:rPr>
          <w:i/>
        </w:rPr>
        <w:t xml:space="preserve">‘I was not aware of expectations and what I could and couldn’t do, what decisions I should be making for the patients and who to call if stuck’ </w:t>
      </w:r>
      <w:r w:rsidRPr="000A70AC">
        <w:t>(Focus group 5, Participant 3)</w:t>
      </w:r>
      <w:r>
        <w:t>.</w:t>
      </w:r>
    </w:p>
    <w:p w14:paraId="13682FA2" w14:textId="77777777" w:rsidR="00AF1FB0" w:rsidRDefault="00AF1FB0" w:rsidP="00AF1FB0">
      <w:r>
        <w:t xml:space="preserve">Experience was considered to be important but emphasis was put on supervision to allow for meaningful individual debriefing following events. </w:t>
      </w:r>
    </w:p>
    <w:p w14:paraId="1EF81426" w14:textId="77777777" w:rsidR="00AF1FB0" w:rsidRPr="00652CEE"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‘it is about having the judgment, having the confidence, having the experience to say ‘that doesn’t matter, that is superfluous, don’t worry about that’</w:t>
      </w:r>
      <w:r w:rsidRPr="00652CEE">
        <w:rPr>
          <w:rFonts w:cs="Arial"/>
        </w:rPr>
        <w:t xml:space="preserve"> (interview 6)</w:t>
      </w:r>
    </w:p>
    <w:p w14:paraId="2E29B56C" w14:textId="77777777" w:rsidR="00AF1FB0" w:rsidRDefault="00AF1FB0" w:rsidP="00AF1FB0">
      <w:r>
        <w:t xml:space="preserve">Students described a lot of anxiety about dealing with unwell patients. </w:t>
      </w:r>
    </w:p>
    <w:p w14:paraId="1121ABE1" w14:textId="77777777" w:rsidR="00AF1FB0" w:rsidRPr="001D18E7" w:rsidRDefault="00AF1FB0" w:rsidP="00AF1FB0">
      <w:pPr>
        <w:spacing w:line="240" w:lineRule="auto"/>
        <w:ind w:left="720"/>
        <w:rPr>
          <w:i/>
        </w:rPr>
      </w:pPr>
      <w:r w:rsidRPr="001D18E7">
        <w:rPr>
          <w:i/>
        </w:rPr>
        <w:t xml:space="preserve">‘It was ridiculous, I forgot how to do a cannula…..I was so distracted by the patient being unwell and not knowing what was wrong with them, and they seemed to be deteriorating. I wanted the right diagnosis to do the right thing for them’ </w:t>
      </w:r>
      <w:r w:rsidRPr="000A70AC">
        <w:t>(Focus group 2, Participant 4).</w:t>
      </w:r>
    </w:p>
    <w:p w14:paraId="53CBA0B1" w14:textId="77777777" w:rsidR="00AF1FB0" w:rsidRDefault="00AF1FB0" w:rsidP="00AF1FB0">
      <w:r>
        <w:t xml:space="preserve">Experts shared the challenges of dealing with death and unwell patients and the importance of supporting and developing emotional preparedness by incorporating discussions about emotions into the debrief. </w:t>
      </w:r>
    </w:p>
    <w:p w14:paraId="45E08ADB" w14:textId="77777777" w:rsidR="00AF1FB0" w:rsidRPr="003B2909" w:rsidRDefault="00AF1FB0" w:rsidP="00AF1FB0">
      <w:pPr>
        <w:spacing w:line="240" w:lineRule="auto"/>
        <w:ind w:left="720"/>
        <w:rPr>
          <w:rFonts w:cs="Arial"/>
        </w:rPr>
      </w:pPr>
      <w:r w:rsidRPr="00652CEE">
        <w:rPr>
          <w:rFonts w:cs="Arial"/>
          <w:i/>
        </w:rPr>
        <w:lastRenderedPageBreak/>
        <w:t>‘you remember things that were difficult, there is actually good evidence that you remember hard times and sad times much more than you remember happy times…’</w:t>
      </w:r>
      <w:r w:rsidRPr="00652CEE">
        <w:rPr>
          <w:rFonts w:cs="Arial"/>
        </w:rPr>
        <w:t xml:space="preserve"> (Interview 8).</w:t>
      </w:r>
    </w:p>
    <w:p w14:paraId="523BC441" w14:textId="77777777" w:rsidR="00AF1FB0" w:rsidRDefault="00AF1FB0" w:rsidP="00AF1FB0">
      <w:r>
        <w:t>Experts highlighted the need to discuss team issues openly, to allow ownership of and responsibility for problems, and to facilitate support for each other (Interviews 6 and 8).</w:t>
      </w:r>
    </w:p>
    <w:p w14:paraId="59E4E381" w14:textId="77777777" w:rsidR="00AF1FB0" w:rsidRPr="003B2909" w:rsidRDefault="00AF1FB0" w:rsidP="00AF1FB0">
      <w:pPr>
        <w:spacing w:line="240" w:lineRule="auto"/>
        <w:ind w:left="720"/>
        <w:rPr>
          <w:rFonts w:cs="Arial"/>
        </w:rPr>
      </w:pPr>
      <w:r w:rsidRPr="00652CEE">
        <w:rPr>
          <w:rFonts w:cs="Arial"/>
        </w:rPr>
        <w:t>‘</w:t>
      </w:r>
      <w:r w:rsidRPr="00652CEE">
        <w:rPr>
          <w:rFonts w:cs="Arial"/>
          <w:i/>
        </w:rPr>
        <w:t>If we can get people to a place where we can be that honest about their vulnerabilities you create an honest space where people can have an honest conversation about what is doable and what is not’</w:t>
      </w:r>
      <w:r w:rsidRPr="00652CEE">
        <w:rPr>
          <w:rFonts w:cs="Arial"/>
        </w:rPr>
        <w:t xml:space="preserve"> (Interview 6).</w:t>
      </w:r>
    </w:p>
    <w:p w14:paraId="3CF8A94D" w14:textId="77777777" w:rsidR="00AF1FB0" w:rsidRPr="00915D37" w:rsidRDefault="00AF1FB0" w:rsidP="00AF1FB0">
      <w:pPr>
        <w:rPr>
          <w:rFonts w:cs="Arial"/>
        </w:rPr>
      </w:pPr>
      <w:r>
        <w:t xml:space="preserve">In terms of performance or capability, the triangulated data moved away from focus on knowledge and skills as a measure of performance to the importance of enhancing skills to self-regulate or ‘self-correct’. This included how that could be enhanced and developed without years of experience and potential ‘trial and error’ (Interviews 2,3,10). The process of facilitated debrief was felt to be core to this, and a very complicated skill that was key to encouraging self-reflection and the </w:t>
      </w:r>
      <w:r w:rsidRPr="003B2909">
        <w:rPr>
          <w:rFonts w:cs="Arial"/>
        </w:rPr>
        <w:t>develop</w:t>
      </w:r>
      <w:r w:rsidRPr="000D6F79">
        <w:rPr>
          <w:rFonts w:cs="Arial"/>
        </w:rPr>
        <w:t>ment of</w:t>
      </w:r>
      <w:r w:rsidRPr="00742503">
        <w:rPr>
          <w:rFonts w:cs="Arial"/>
        </w:rPr>
        <w:t xml:space="preserve"> </w:t>
      </w:r>
      <w:r w:rsidRPr="00101C85">
        <w:rPr>
          <w:rFonts w:cs="Arial"/>
        </w:rPr>
        <w:t>self-regulation</w:t>
      </w:r>
      <w:r w:rsidRPr="00915D37">
        <w:rPr>
          <w:rFonts w:cs="Arial"/>
        </w:rPr>
        <w:t xml:space="preserve">.  </w:t>
      </w:r>
    </w:p>
    <w:p w14:paraId="2A83B5DB" w14:textId="77777777" w:rsidR="00AF1FB0" w:rsidRPr="003B2909" w:rsidRDefault="00AF1FB0" w:rsidP="00AF1FB0">
      <w:pPr>
        <w:spacing w:line="240" w:lineRule="auto"/>
        <w:ind w:left="720"/>
        <w:rPr>
          <w:rFonts w:cs="Arial"/>
        </w:rPr>
      </w:pPr>
      <w:r w:rsidRPr="000A1C09">
        <w:rPr>
          <w:rFonts w:cs="Arial"/>
          <w:i/>
        </w:rPr>
        <w:t>‘S</w:t>
      </w:r>
      <w:r w:rsidRPr="00652CEE">
        <w:rPr>
          <w:rFonts w:cs="Arial"/>
          <w:i/>
        </w:rPr>
        <w:t xml:space="preserve">o for me it’s holding up the mirror to myself and holding up the mirror to what is going on around me and one of the other things I often say to …because I draw lots of parallels with compassionate care giving and human factors like situation awareness’ </w:t>
      </w:r>
      <w:r w:rsidRPr="00652CEE">
        <w:rPr>
          <w:rFonts w:cs="Arial"/>
        </w:rPr>
        <w:t>(Interview 6).</w:t>
      </w:r>
    </w:p>
    <w:p w14:paraId="19E465F5" w14:textId="77777777" w:rsidR="00AF1FB0" w:rsidRDefault="00AF1FB0" w:rsidP="00AF1FB0">
      <w:r>
        <w:t xml:space="preserve">Mentorship and feedback were felt to be critical, and creating a supportive environment to learn with a recognisable team. Feedback was required to support the closed loop nature of effective consequence learning. </w:t>
      </w:r>
    </w:p>
    <w:p w14:paraId="6A2821D9" w14:textId="77777777" w:rsidR="00AF1FB0" w:rsidRPr="00E04E8D" w:rsidRDefault="00AF1FB0" w:rsidP="00AF1FB0">
      <w:pPr>
        <w:spacing w:line="240" w:lineRule="auto"/>
        <w:ind w:left="720"/>
        <w:rPr>
          <w:i/>
        </w:rPr>
      </w:pPr>
      <w:r w:rsidRPr="00E04E8D">
        <w:rPr>
          <w:i/>
        </w:rPr>
        <w:t xml:space="preserve">‘I gave the correct drug but by the wrong route, I was rushing, I did not need to rush, seeing what happened to the patient and having to deal with that has made me think a lot about how I am and how that might impact on patients. I </w:t>
      </w:r>
      <w:proofErr w:type="spellStart"/>
      <w:r w:rsidRPr="00E04E8D">
        <w:rPr>
          <w:i/>
        </w:rPr>
        <w:t>wont</w:t>
      </w:r>
      <w:proofErr w:type="spellEnd"/>
      <w:r w:rsidRPr="00E04E8D">
        <w:rPr>
          <w:i/>
        </w:rPr>
        <w:t xml:space="preserve"> do that again. It was hard explaining my mistake to the patient and family’ </w:t>
      </w:r>
      <w:r w:rsidRPr="000A70AC">
        <w:t>(Focus group 8, Participant 4).</w:t>
      </w:r>
    </w:p>
    <w:p w14:paraId="20A7645D" w14:textId="77777777" w:rsidR="00AF1FB0" w:rsidRDefault="00AF1FB0" w:rsidP="00AF1FB0">
      <w:r>
        <w:lastRenderedPageBreak/>
        <w:t xml:space="preserve">It was felt it should remain individual and that facilitated debriefing would encourage students to consider consequences, reflect and try to understand their own behaviour better, as well as understanding the impact on the wider team. Movement from a pure knowledge assessment led onto the importance of demonstrating the application of knowledge and skills in a clinical context, and to embrace the complexity of the clinical environment. This was felt to facilitate authentic prioritisation and clinical judgment without stripping experience or oversimplification with protocols and checklists, which may lead to misjudged expectations. </w:t>
      </w:r>
    </w:p>
    <w:p w14:paraId="50C21827" w14:textId="77777777" w:rsidR="00AF1FB0" w:rsidRDefault="00AF1FB0" w:rsidP="00AF1FB0">
      <w:r>
        <w:t xml:space="preserve">The recipe for preparedness is complex. Confidence and competence have been placed together to signify the value attributed to them by students and slightly less so by experts. Ability to access knowledge and skills and perform when under pressure is believed to be enhanced by practising under pressure. Students reported that practising under pressure had improved confidence and self-belief, which was felt to be key for safe performance (focus groups 2,4,5,8,13, field notes). </w:t>
      </w:r>
    </w:p>
    <w:p w14:paraId="41257E3D" w14:textId="77777777" w:rsidR="00AF1FB0" w:rsidRPr="00E04E8D" w:rsidRDefault="00AF1FB0" w:rsidP="00AF1FB0">
      <w:pPr>
        <w:spacing w:line="240" w:lineRule="auto"/>
        <w:ind w:left="720"/>
        <w:rPr>
          <w:i/>
        </w:rPr>
      </w:pPr>
      <w:r w:rsidRPr="00E04E8D">
        <w:rPr>
          <w:i/>
        </w:rPr>
        <w:t xml:space="preserve">‘I feel more confident that I know how I will react when under pressure, when I need to act, that I know who and how to call for help. If I am, getting stuck it is because I need help, not just because I do not know enough’ </w:t>
      </w:r>
      <w:r w:rsidRPr="000A70AC">
        <w:t>(Focus group 16, Participant 3).</w:t>
      </w:r>
    </w:p>
    <w:p w14:paraId="5668BD7B" w14:textId="77777777" w:rsidR="00AF1FB0" w:rsidRDefault="00AF1FB0" w:rsidP="00AF1FB0">
      <w:r>
        <w:t xml:space="preserve">One expert described being ‘work ready’ as ‘fit to think, fit to process, fit to act’ which encompasses all stages of preparedness. By using the word ‘fit’ there is the implication that these stages require training, effort and coaching in addition to physical and mental fitness. This links back to emotional preparedness. Getting students ready for practice should involve structured education to </w:t>
      </w:r>
      <w:r>
        <w:lastRenderedPageBreak/>
        <w:t xml:space="preserve">support these processes. Thought processing should involve the ability to consider the consequences of different actions (ones learnt, ones experienced), and a consideration of time, whether this requires a fast or slow decision, then the ability to act. Action appears to require understanding of expectations, confidence, self-belief and the ability to employ skills under pressure. The process of closing the loop of learning, self-reflecting, seeking feedback and consolidating personal as well as general lessons are required. </w:t>
      </w:r>
    </w:p>
    <w:p w14:paraId="0B39F0ED" w14:textId="77777777" w:rsidR="00AF1FB0" w:rsidRDefault="00AF1FB0" w:rsidP="00AF1FB0">
      <w:pPr>
        <w:pStyle w:val="Heading2"/>
      </w:pPr>
      <w:bookmarkStart w:id="398" w:name="_Toc419116195"/>
      <w:bookmarkStart w:id="399" w:name="_Toc370767169"/>
      <w:r>
        <w:t>Theme 2: Preparing students for clinical practice</w:t>
      </w:r>
      <w:bookmarkEnd w:id="398"/>
      <w:r>
        <w:t xml:space="preserve"> </w:t>
      </w:r>
      <w:bookmarkEnd w:id="399"/>
    </w:p>
    <w:p w14:paraId="48DC7463" w14:textId="77777777" w:rsidR="00AF1FB0" w:rsidRDefault="00AF1FB0" w:rsidP="00AF1FB0"/>
    <w:p w14:paraId="4C69CDF6" w14:textId="77777777" w:rsidR="00AF1FB0" w:rsidRDefault="00AF1FB0" w:rsidP="00AF1FB0">
      <w:r>
        <w:t xml:space="preserve">Previous emergent themes have fed into the development through abstract conceptualisation of the following educational theoretical framework (Figure 8.1). As shown, the core and outcome are the development of clinical cognitive competence, the notion of being able to process thoughts and ideas and access knowledge under pressure, to behave safely and effectively. This involved development of mental models and strategic thought processes driven by the experience of a human factors embedded simulated session. To enhance preparedness, SBME should include responsibility, meaningful and authentic interprofessional learning and appropriately graded practice under pressure with facilitated debriefing. </w:t>
      </w:r>
    </w:p>
    <w:p w14:paraId="120F2199" w14:textId="77777777" w:rsidR="00AF1FB0" w:rsidRDefault="00AF1FB0" w:rsidP="00AF1FB0">
      <w:r w:rsidRPr="00E67BD2">
        <w:t>This overarching theme includes 5 themes: practice under pressure, human factors, experiences, clinical reasoning and judgement</w:t>
      </w:r>
      <w:r w:rsidRPr="0077085D">
        <w:t xml:space="preserve"> and</w:t>
      </w:r>
      <w:r w:rsidRPr="005854FE">
        <w:t xml:space="preserve"> clinical cognitive competence, each with sub themes</w:t>
      </w:r>
      <w:r>
        <w:t xml:space="preserve">. </w:t>
      </w:r>
      <w:r w:rsidRPr="00720949">
        <w:t>The framework is included at the beginning to provide a</w:t>
      </w:r>
      <w:r>
        <w:t xml:space="preserve"> contextual</w:t>
      </w:r>
      <w:r w:rsidRPr="00720949">
        <w:t xml:space="preserve"> overview of the themes followed by a description of their </w:t>
      </w:r>
      <w:r w:rsidRPr="00720949">
        <w:lastRenderedPageBreak/>
        <w:t>development, supported by data to illustrate and support the development of each concept.</w:t>
      </w:r>
    </w:p>
    <w:p w14:paraId="6988AC24" w14:textId="77777777" w:rsidR="00AF1FB0" w:rsidRDefault="00AF1FB0" w:rsidP="00AF1FB0">
      <w:pPr>
        <w:keepNext/>
      </w:pPr>
      <w:r>
        <w:t xml:space="preserve">Practice under pressure when considering preparedness, has been shown to be complex and the </w:t>
      </w:r>
      <w:r w:rsidRPr="00116B4A">
        <w:rPr>
          <w:i/>
        </w:rPr>
        <w:t xml:space="preserve">‘art of simulation’ </w:t>
      </w:r>
      <w:r>
        <w:t xml:space="preserve">(Interview 2). The second </w:t>
      </w:r>
      <w:proofErr w:type="spellStart"/>
      <w:r>
        <w:t>all encompassing</w:t>
      </w:r>
      <w:proofErr w:type="spellEnd"/>
      <w:r>
        <w:t xml:space="preserve"> theme was opportunity to embed human factors, considering interactions of self with team, environment, equipment and others, including patients and relatives. The 11 subthemes embraced by these two main themes were related to experiences, understanding, personal skills and performance, where an individual moved from a place of potential loss of control to developing understanding and strategies to regain control of situations. </w:t>
      </w:r>
    </w:p>
    <w:p w14:paraId="3B40DECF" w14:textId="77777777" w:rsidR="00AF1FB0" w:rsidRDefault="00AF1FB0" w:rsidP="00AF1FB0">
      <w:r>
        <w:t>‘Experiences’ include the experience of complexity, of own non-technical skills, of cognitive overload, of loss of situation awareness and of responsibility for own decisions and mistakes.</w:t>
      </w:r>
    </w:p>
    <w:p w14:paraId="42B07D19" w14:textId="77777777" w:rsidR="00AF1FB0" w:rsidRDefault="00AF1FB0" w:rsidP="00AF1FB0">
      <w:r w:rsidRPr="00652CEE" w:rsidDel="00E74B39">
        <w:rPr>
          <w:rFonts w:cs="Arial"/>
          <w:i/>
        </w:rPr>
        <w:t xml:space="preserve"> </w:t>
      </w:r>
      <w:r>
        <w:t xml:space="preserve">‘Understanding’ involves own personality, emotional intelligence and emotional preparedness. Understanding that humans are fallible and will make mistakes, understanding the cognitive biases that threaten ability to access knowledge under pressure and perform, understanding own strengths and weaknesses and the value of consequence learning. Finally understanding the influence of hierarchy on own behaviour and decision-making. </w:t>
      </w:r>
    </w:p>
    <w:p w14:paraId="07BBF004" w14:textId="77777777" w:rsidR="00AF1FB0" w:rsidRPr="00720949" w:rsidRDefault="00AF1FB0" w:rsidP="00AF1FB0">
      <w:r>
        <w:t xml:space="preserve">This progression through the stages of experience to understanding was felt to inform clinical reasoning and judgment skills and move an individual to a place of control of cognitive biases, distractions, influences, complexity and the ability to think straight. This led to the development of clinical cognitive competence to </w:t>
      </w:r>
      <w:r>
        <w:lastRenderedPageBreak/>
        <w:t>allow safe and effective decisions and actions. This was felt key to developing powerful reflective skills and self-regulation to support safe and effective professional development (Field notes).</w:t>
      </w:r>
    </w:p>
    <w:p w14:paraId="4FF38B50" w14:textId="77777777" w:rsidR="00AF1FB0" w:rsidRDefault="00AF1FB0" w:rsidP="00AF1FB0">
      <w:pPr>
        <w:keepNext/>
      </w:pPr>
      <w:r>
        <w:rPr>
          <w:noProof/>
          <w:lang w:val="en-US"/>
        </w:rPr>
        <w:drawing>
          <wp:inline distT="0" distB="0" distL="0" distR="0" wp14:anchorId="42DC0B5C" wp14:editId="0EAC9D78">
            <wp:extent cx="5270500" cy="532442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4">
                      <a:extLst>
                        <a:ext uri="{28A0092B-C50C-407E-A947-70E740481C1C}">
                          <a14:useLocalDpi xmlns:a14="http://schemas.microsoft.com/office/drawing/2010/main" val="0"/>
                        </a:ext>
                      </a:extLst>
                    </a:blip>
                    <a:srcRect l="1478" r="3706"/>
                    <a:stretch/>
                  </pic:blipFill>
                  <pic:spPr bwMode="auto">
                    <a:xfrm>
                      <a:off x="0" y="0"/>
                      <a:ext cx="5270500" cy="532442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D346F4D" w14:textId="77777777" w:rsidR="00AF1FB0" w:rsidRDefault="00AF1FB0" w:rsidP="007000F8">
      <w:pPr>
        <w:pStyle w:val="Caption"/>
      </w:pPr>
      <w:bookmarkStart w:id="400" w:name="_Toc419116476"/>
      <w:r>
        <w:t xml:space="preserve">Figure </w:t>
      </w:r>
      <w:r>
        <w:fldChar w:fldCharType="begin"/>
      </w:r>
      <w:r>
        <w:instrText xml:space="preserve"> STYLEREF 1 \s </w:instrText>
      </w:r>
      <w:r>
        <w:fldChar w:fldCharType="separate"/>
      </w:r>
      <w:r w:rsidR="007220A7">
        <w:rPr>
          <w:noProof/>
        </w:rPr>
        <w:t>8</w:t>
      </w:r>
      <w:r>
        <w:fldChar w:fldCharType="end"/>
      </w:r>
      <w:r>
        <w:noBreakHyphen/>
      </w:r>
      <w:r>
        <w:fldChar w:fldCharType="begin"/>
      </w:r>
      <w:r>
        <w:instrText xml:space="preserve"> SEQ Figure \* ARABIC \s 1 </w:instrText>
      </w:r>
      <w:r>
        <w:fldChar w:fldCharType="separate"/>
      </w:r>
      <w:r w:rsidR="007220A7">
        <w:rPr>
          <w:noProof/>
        </w:rPr>
        <w:t>1</w:t>
      </w:r>
      <w:r>
        <w:fldChar w:fldCharType="end"/>
      </w:r>
      <w:r>
        <w:t xml:space="preserve"> Conceptual Education Framework</w:t>
      </w:r>
      <w:bookmarkEnd w:id="400"/>
    </w:p>
    <w:p w14:paraId="6F9EC4BF" w14:textId="77777777" w:rsidR="00AF1FB0" w:rsidRDefault="00AF1FB0" w:rsidP="00AF1FB0">
      <w:pPr>
        <w:pStyle w:val="Heading3"/>
      </w:pPr>
      <w:bookmarkStart w:id="401" w:name="_Toc419116196"/>
      <w:r>
        <w:t>Practice</w:t>
      </w:r>
      <w:r w:rsidRPr="00652CEE">
        <w:t xml:space="preserve"> under pressure</w:t>
      </w:r>
      <w:bookmarkEnd w:id="401"/>
    </w:p>
    <w:p w14:paraId="38EEC32E" w14:textId="77777777" w:rsidR="00AF1FB0" w:rsidRPr="000E7187" w:rsidRDefault="00AF1FB0" w:rsidP="00AF1FB0"/>
    <w:p w14:paraId="3AC295DA" w14:textId="77777777" w:rsidR="00AF1FB0" w:rsidRDefault="00AF1FB0" w:rsidP="00AF1FB0">
      <w:r>
        <w:t>Practice under pressure was felt to be the key to allow emergence of these different personal challenges and behaviours</w:t>
      </w:r>
      <w:r w:rsidRPr="00652CEE">
        <w:rPr>
          <w:rFonts w:cs="Arial"/>
        </w:rPr>
        <w:t xml:space="preserve"> (Interview 2).</w:t>
      </w:r>
      <w:r>
        <w:t xml:space="preserve"> This allowed </w:t>
      </w:r>
      <w:r>
        <w:lastRenderedPageBreak/>
        <w:t xml:space="preserve">individual targeted learning about how to perform better, be more prepared and safer. </w:t>
      </w:r>
    </w:p>
    <w:p w14:paraId="55FB9360" w14:textId="77777777" w:rsidR="00AF1FB0" w:rsidRPr="00265CE4" w:rsidRDefault="00AF1FB0" w:rsidP="00AF1FB0">
      <w:pPr>
        <w:spacing w:line="240" w:lineRule="auto"/>
        <w:ind w:left="720"/>
        <w:rPr>
          <w:szCs w:val="24"/>
        </w:rPr>
      </w:pPr>
      <w:r w:rsidRPr="00652CEE">
        <w:rPr>
          <w:rFonts w:cs="Arial"/>
          <w:i/>
          <w:szCs w:val="24"/>
        </w:rPr>
        <w:t xml:space="preserve">‘I think it is important to recreate that pressure and the complexity of the environment, but if you don't need that then the pressure comes in the performance </w:t>
      </w:r>
      <w:r w:rsidRPr="00652CEE">
        <w:rPr>
          <w:rFonts w:cs="Arial"/>
          <w:i/>
          <w:szCs w:val="24"/>
        </w:rPr>
        <w:tab/>
        <w:t>of whatever skill you are trying to simulate and I think there is a pressure in performing knowledge’</w:t>
      </w:r>
      <w:r w:rsidRPr="00265CE4">
        <w:rPr>
          <w:rFonts w:cs="Arial"/>
          <w:szCs w:val="24"/>
        </w:rPr>
        <w:t xml:space="preserve"> (Interview 4).</w:t>
      </w:r>
    </w:p>
    <w:p w14:paraId="2F51B925" w14:textId="77777777" w:rsidR="00AF1FB0" w:rsidRDefault="00AF1FB0" w:rsidP="00AF1FB0">
      <w:r>
        <w:t xml:space="preserve">Grading pressure, skill level and responsibility were felt to be vital, and it was observed that all students had slightly different levels at which they felt challenged (focus groups 2,5,11, Field notes). Getting this level correct for individuals was important to avoid negative learning for those over-stressed and to ensure higher performers were challenged appropriately (Field notes). </w:t>
      </w:r>
    </w:p>
    <w:p w14:paraId="6D38902A" w14:textId="77777777" w:rsidR="00AF1FB0" w:rsidRPr="000A70AC" w:rsidRDefault="00AF1FB0" w:rsidP="00AF1FB0">
      <w:pPr>
        <w:spacing w:line="240" w:lineRule="auto"/>
        <w:ind w:left="720"/>
      </w:pPr>
      <w:r w:rsidRPr="00E14E80">
        <w:rPr>
          <w:i/>
        </w:rPr>
        <w:t xml:space="preserve">‘I got stuck and did not know what to do. Then my senior called to ask how I was. I realise I should have called them, I had not had that responsibility before. I did not know how I would react’ </w:t>
      </w:r>
      <w:r w:rsidRPr="000A70AC">
        <w:t>(Focus group 10, Participant 5).</w:t>
      </w:r>
    </w:p>
    <w:p w14:paraId="2DFF7F4A" w14:textId="77777777" w:rsidR="00AF1FB0" w:rsidRDefault="00AF1FB0" w:rsidP="00AF1FB0">
      <w:r>
        <w:t xml:space="preserve">This required a lot of emotional intelligence in interpreting behaviour before, during and after the simulation scenarios and sculpted the debrief (Interviews 2,7,8, field notes). </w:t>
      </w:r>
    </w:p>
    <w:p w14:paraId="3DC3003E" w14:textId="77777777" w:rsidR="00AF1FB0" w:rsidRPr="00265CE4" w:rsidRDefault="00AF1FB0" w:rsidP="00AF1FB0">
      <w:pPr>
        <w:spacing w:line="240" w:lineRule="auto"/>
        <w:ind w:left="720"/>
        <w:rPr>
          <w:rFonts w:cs="Arial"/>
        </w:rPr>
      </w:pPr>
      <w:r w:rsidRPr="0033498A">
        <w:rPr>
          <w:rFonts w:cs="Arial"/>
          <w:i/>
        </w:rPr>
        <w:t>‘</w:t>
      </w:r>
      <w:r w:rsidRPr="00652CEE">
        <w:rPr>
          <w:rFonts w:cs="Arial"/>
          <w:i/>
        </w:rPr>
        <w:t>I think there are all sorts of things that you can observe from a behavioural standpoint, the majority of the message that we will convey to another human being comes from tone of voice, body language, eye contact, facial features</w:t>
      </w:r>
      <w:r>
        <w:rPr>
          <w:rFonts w:hAnsi="Helvetica"/>
        </w:rPr>
        <w:t xml:space="preserve"> </w:t>
      </w:r>
      <w:r w:rsidRPr="00652CEE">
        <w:rPr>
          <w:rFonts w:cs="Arial"/>
        </w:rPr>
        <w:t>(Interview 2).</w:t>
      </w:r>
    </w:p>
    <w:p w14:paraId="7CED1380" w14:textId="77777777" w:rsidR="00AF1FB0" w:rsidRPr="00055602" w:rsidRDefault="00AF1FB0" w:rsidP="00AF1FB0">
      <w:r>
        <w:t xml:space="preserve">Field notes revealed that it was easier to pick up on this level when a faculty member was in the same room as the scenario but this was found to be a distraction to students. This could be done from outside the room using audio-visual kit, whilst giving the students the independence and responsibility they craved. Interventions when someone was seen to be starting to struggle or </w:t>
      </w:r>
      <w:r>
        <w:lastRenderedPageBreak/>
        <w:t xml:space="preserve">sailing though were put in place, such as phone calls of support or increased complexity (Field notes). </w:t>
      </w:r>
    </w:p>
    <w:p w14:paraId="2E12128F" w14:textId="77777777" w:rsidR="00AF1FB0" w:rsidRDefault="00AF1FB0" w:rsidP="00AF1FB0">
      <w:r>
        <w:t xml:space="preserve">The notion of practice under pressure appears key to supporting the transition from undergraduate student to junior doctor, and as such assists in improving preparedness. Initially this was thought to be through improving confidence, as seen with the quantitative data within this study. However, the qualitative exploration and analysis has proved very insightful and offered depth surrounding the other elements that practising under pressure brings. The diagram is complex and this reflects the nature of this theme in the data. </w:t>
      </w:r>
    </w:p>
    <w:p w14:paraId="065EB193" w14:textId="54E3F0F0" w:rsidR="00AF1FB0" w:rsidRDefault="00AF1FB0" w:rsidP="00AF1FB0">
      <w:r>
        <w:t>The initial broad division was made related to whether the impact of practice under pressure was on ‘self’ or ‘system’</w:t>
      </w:r>
      <w:r w:rsidR="00A01FFE">
        <w:t xml:space="preserve"> owing to the wide impact on all interactions whether other individuals or within the environment</w:t>
      </w:r>
      <w:r>
        <w:t xml:space="preserve">. System included the NHS as a whole, to include environment, equipment, team and others in the clinical environment. </w:t>
      </w:r>
    </w:p>
    <w:p w14:paraId="79CEFBA9" w14:textId="77777777" w:rsidR="00AF1FB0" w:rsidRDefault="00AF1FB0" w:rsidP="00AF1FB0">
      <w:r>
        <w:t xml:space="preserve">When considering ‘self’ there were four broad subthemes (Appendix 13.38): </w:t>
      </w:r>
    </w:p>
    <w:p w14:paraId="1499897E" w14:textId="77777777" w:rsidR="00AF1FB0" w:rsidRPr="003C1F62" w:rsidRDefault="00AF1FB0" w:rsidP="00AF1FB0">
      <w:pPr>
        <w:pStyle w:val="ListParagraph"/>
        <w:numPr>
          <w:ilvl w:val="0"/>
          <w:numId w:val="9"/>
        </w:numPr>
        <w:spacing w:line="480" w:lineRule="auto"/>
        <w:rPr>
          <w:rFonts w:cs="Arial"/>
          <w:szCs w:val="24"/>
        </w:rPr>
      </w:pPr>
      <w:r w:rsidRPr="00652CEE">
        <w:rPr>
          <w:rFonts w:ascii="Arial" w:hAnsi="Arial" w:cs="Arial"/>
          <w:sz w:val="24"/>
          <w:szCs w:val="24"/>
        </w:rPr>
        <w:t>Cognitive processes</w:t>
      </w:r>
      <w:r>
        <w:rPr>
          <w:rFonts w:ascii="Arial" w:hAnsi="Arial" w:cs="Arial"/>
          <w:sz w:val="24"/>
          <w:szCs w:val="24"/>
        </w:rPr>
        <w:t>.</w:t>
      </w:r>
      <w:r w:rsidRPr="00652CEE">
        <w:rPr>
          <w:rFonts w:ascii="Arial" w:hAnsi="Arial" w:cs="Arial"/>
          <w:sz w:val="24"/>
          <w:szCs w:val="24"/>
        </w:rPr>
        <w:t xml:space="preserve"> </w:t>
      </w:r>
    </w:p>
    <w:p w14:paraId="613C6D6E" w14:textId="77777777" w:rsidR="00AF1FB0" w:rsidRPr="003C1F62" w:rsidRDefault="00AF1FB0" w:rsidP="00AF1FB0">
      <w:pPr>
        <w:pStyle w:val="ListParagraph"/>
        <w:numPr>
          <w:ilvl w:val="0"/>
          <w:numId w:val="9"/>
        </w:numPr>
        <w:spacing w:line="480" w:lineRule="auto"/>
        <w:rPr>
          <w:rFonts w:cs="Arial"/>
          <w:szCs w:val="24"/>
        </w:rPr>
      </w:pPr>
      <w:r w:rsidRPr="00652CEE">
        <w:rPr>
          <w:rFonts w:ascii="Arial" w:hAnsi="Arial" w:cs="Arial"/>
          <w:sz w:val="24"/>
          <w:szCs w:val="24"/>
        </w:rPr>
        <w:t>Behaviour</w:t>
      </w:r>
      <w:r>
        <w:rPr>
          <w:rFonts w:ascii="Arial" w:hAnsi="Arial" w:cs="Arial"/>
          <w:sz w:val="24"/>
          <w:szCs w:val="24"/>
        </w:rPr>
        <w:t>.</w:t>
      </w:r>
      <w:r w:rsidRPr="00652CEE">
        <w:rPr>
          <w:rFonts w:ascii="Arial" w:hAnsi="Arial" w:cs="Arial"/>
          <w:sz w:val="24"/>
          <w:szCs w:val="24"/>
        </w:rPr>
        <w:t xml:space="preserve"> </w:t>
      </w:r>
    </w:p>
    <w:p w14:paraId="663EF9D0" w14:textId="77777777" w:rsidR="00AF1FB0" w:rsidRPr="003C1F62" w:rsidRDefault="00AF1FB0" w:rsidP="00AF1FB0">
      <w:pPr>
        <w:pStyle w:val="ListParagraph"/>
        <w:numPr>
          <w:ilvl w:val="0"/>
          <w:numId w:val="9"/>
        </w:numPr>
        <w:spacing w:line="480" w:lineRule="auto"/>
        <w:rPr>
          <w:rFonts w:cs="Arial"/>
          <w:szCs w:val="24"/>
        </w:rPr>
      </w:pPr>
      <w:r>
        <w:rPr>
          <w:rFonts w:ascii="Arial" w:hAnsi="Arial" w:cs="Arial"/>
          <w:sz w:val="24"/>
          <w:szCs w:val="24"/>
        </w:rPr>
        <w:t>Judgment</w:t>
      </w:r>
      <w:r w:rsidRPr="00652CEE">
        <w:rPr>
          <w:rFonts w:ascii="Arial" w:hAnsi="Arial" w:cs="Arial"/>
          <w:sz w:val="24"/>
          <w:szCs w:val="24"/>
        </w:rPr>
        <w:t xml:space="preserve"> and decision-making</w:t>
      </w:r>
      <w:r>
        <w:rPr>
          <w:rFonts w:ascii="Arial" w:hAnsi="Arial" w:cs="Arial"/>
          <w:sz w:val="24"/>
          <w:szCs w:val="24"/>
        </w:rPr>
        <w:t>.</w:t>
      </w:r>
    </w:p>
    <w:p w14:paraId="19028D23" w14:textId="77777777" w:rsidR="00AF1FB0" w:rsidRPr="000A1C09" w:rsidRDefault="00AF1FB0" w:rsidP="00AF1FB0">
      <w:pPr>
        <w:pStyle w:val="ListParagraph"/>
        <w:numPr>
          <w:ilvl w:val="0"/>
          <w:numId w:val="9"/>
        </w:numPr>
        <w:spacing w:line="480" w:lineRule="auto"/>
        <w:rPr>
          <w:rFonts w:cs="Arial"/>
          <w:szCs w:val="24"/>
        </w:rPr>
      </w:pPr>
      <w:r w:rsidRPr="00652CEE">
        <w:rPr>
          <w:rFonts w:ascii="Arial" w:hAnsi="Arial" w:cs="Arial"/>
          <w:sz w:val="24"/>
          <w:szCs w:val="24"/>
        </w:rPr>
        <w:t>Performance or actions</w:t>
      </w:r>
      <w:r>
        <w:rPr>
          <w:rFonts w:ascii="Arial" w:hAnsi="Arial" w:cs="Arial"/>
          <w:sz w:val="24"/>
          <w:szCs w:val="24"/>
        </w:rPr>
        <w:t>.</w:t>
      </w:r>
      <w:r w:rsidRPr="00652CEE">
        <w:rPr>
          <w:rFonts w:ascii="Arial" w:hAnsi="Arial" w:cs="Arial"/>
          <w:sz w:val="24"/>
          <w:szCs w:val="24"/>
        </w:rPr>
        <w:t xml:space="preserve"> </w:t>
      </w:r>
    </w:p>
    <w:p w14:paraId="11ED32C3" w14:textId="77777777" w:rsidR="00AF1FB0" w:rsidRDefault="00AF1FB0" w:rsidP="00AF1FB0">
      <w:pPr>
        <w:pStyle w:val="ListParagraph"/>
        <w:spacing w:line="480" w:lineRule="auto"/>
        <w:rPr>
          <w:rFonts w:cs="Arial"/>
          <w:szCs w:val="24"/>
        </w:rPr>
      </w:pPr>
    </w:p>
    <w:p w14:paraId="53C11B69" w14:textId="77777777" w:rsidR="00AF1FB0" w:rsidRDefault="00AF1FB0" w:rsidP="00AF1FB0">
      <w:r>
        <w:t>System revealed three subthemes:</w:t>
      </w:r>
    </w:p>
    <w:p w14:paraId="32456A4E" w14:textId="77777777" w:rsidR="00AF1FB0" w:rsidRPr="003C1F62" w:rsidRDefault="00AF1FB0" w:rsidP="00AF1FB0">
      <w:pPr>
        <w:pStyle w:val="ListParagraph"/>
        <w:numPr>
          <w:ilvl w:val="0"/>
          <w:numId w:val="10"/>
        </w:numPr>
        <w:spacing w:line="480" w:lineRule="auto"/>
        <w:rPr>
          <w:rFonts w:cs="Arial"/>
          <w:szCs w:val="24"/>
        </w:rPr>
      </w:pPr>
      <w:r w:rsidRPr="00652CEE">
        <w:rPr>
          <w:rFonts w:ascii="Arial" w:hAnsi="Arial" w:cs="Arial"/>
          <w:sz w:val="24"/>
          <w:szCs w:val="24"/>
        </w:rPr>
        <w:t>Cognitive process impact</w:t>
      </w:r>
      <w:r>
        <w:rPr>
          <w:rFonts w:ascii="Arial" w:hAnsi="Arial" w:cs="Arial"/>
          <w:sz w:val="24"/>
          <w:szCs w:val="24"/>
        </w:rPr>
        <w:t>.</w:t>
      </w:r>
    </w:p>
    <w:p w14:paraId="2C0C000A" w14:textId="77777777" w:rsidR="00AF1FB0" w:rsidRPr="00805ACF" w:rsidRDefault="00AF1FB0" w:rsidP="00AF1FB0">
      <w:pPr>
        <w:pStyle w:val="ListParagraph"/>
        <w:numPr>
          <w:ilvl w:val="0"/>
          <w:numId w:val="10"/>
        </w:numPr>
        <w:spacing w:line="480" w:lineRule="auto"/>
        <w:rPr>
          <w:rFonts w:cs="Arial"/>
          <w:sz w:val="24"/>
          <w:szCs w:val="24"/>
        </w:rPr>
      </w:pPr>
      <w:r w:rsidRPr="00805ACF">
        <w:rPr>
          <w:rFonts w:ascii="Arial" w:hAnsi="Arial" w:cs="Arial"/>
          <w:sz w:val="24"/>
          <w:szCs w:val="24"/>
        </w:rPr>
        <w:lastRenderedPageBreak/>
        <w:t>Test the system.</w:t>
      </w:r>
    </w:p>
    <w:p w14:paraId="636A40F8" w14:textId="77777777" w:rsidR="00AF1FB0" w:rsidRPr="00805ACF" w:rsidRDefault="00AF1FB0" w:rsidP="00AF1FB0">
      <w:pPr>
        <w:pStyle w:val="ListParagraph"/>
        <w:numPr>
          <w:ilvl w:val="0"/>
          <w:numId w:val="10"/>
        </w:numPr>
        <w:spacing w:line="480" w:lineRule="auto"/>
        <w:rPr>
          <w:rFonts w:ascii="Arial" w:hAnsi="Arial" w:cs="Arial"/>
          <w:sz w:val="24"/>
          <w:szCs w:val="24"/>
        </w:rPr>
      </w:pPr>
      <w:r w:rsidRPr="00805ACF">
        <w:rPr>
          <w:rFonts w:ascii="Arial" w:hAnsi="Arial" w:cs="Arial"/>
          <w:sz w:val="24"/>
          <w:szCs w:val="24"/>
        </w:rPr>
        <w:t>Learn from mistakes.</w:t>
      </w:r>
      <w:r w:rsidRPr="00805ACF" w:rsidDel="00667437">
        <w:rPr>
          <w:rFonts w:ascii="Arial" w:hAnsi="Arial" w:cs="Arial"/>
          <w:sz w:val="24"/>
          <w:szCs w:val="24"/>
        </w:rPr>
        <w:t xml:space="preserve"> </w:t>
      </w:r>
    </w:p>
    <w:p w14:paraId="7E4B52EA" w14:textId="77777777" w:rsidR="00AF1FB0" w:rsidRPr="000A1C09" w:rsidRDefault="00AF1FB0" w:rsidP="00AF1FB0">
      <w:pPr>
        <w:pStyle w:val="ListParagraph"/>
        <w:spacing w:line="480" w:lineRule="auto"/>
        <w:rPr>
          <w:rFonts w:cs="Arial"/>
          <w:szCs w:val="24"/>
        </w:rPr>
      </w:pPr>
    </w:p>
    <w:p w14:paraId="2AB8DFA2" w14:textId="77777777" w:rsidR="00AF1FB0" w:rsidRPr="007F675B" w:rsidRDefault="00AF1FB0" w:rsidP="00AF1FB0">
      <w:pPr>
        <w:rPr>
          <w:i/>
        </w:rPr>
      </w:pPr>
      <w:r w:rsidRPr="007F675B">
        <w:rPr>
          <w:i/>
        </w:rPr>
        <w:t>Cognitive processes</w:t>
      </w:r>
    </w:p>
    <w:p w14:paraId="116810D0" w14:textId="77777777" w:rsidR="00AF1FB0" w:rsidRPr="001512B4" w:rsidRDefault="00AF1FB0" w:rsidP="00AF1FB0">
      <w:pPr>
        <w:rPr>
          <w:i/>
        </w:rPr>
      </w:pPr>
      <w:r>
        <w:t xml:space="preserve">‘Cognitive processes’ are expanded upon in the final section describing clinical cognitive competence. </w:t>
      </w:r>
    </w:p>
    <w:p w14:paraId="6059AF90" w14:textId="77777777" w:rsidR="00AF1FB0" w:rsidRPr="007F675B" w:rsidRDefault="00AF1FB0" w:rsidP="00AF1FB0">
      <w:pPr>
        <w:rPr>
          <w:i/>
        </w:rPr>
      </w:pPr>
      <w:r w:rsidRPr="007F675B">
        <w:rPr>
          <w:i/>
        </w:rPr>
        <w:t>Behaviour</w:t>
      </w:r>
    </w:p>
    <w:p w14:paraId="6BB10366" w14:textId="77777777" w:rsidR="00AF1FB0" w:rsidRDefault="00AF1FB0" w:rsidP="00AF1FB0">
      <w:r>
        <w:t xml:space="preserve">Behaviour was divided into reactions related to how individuals were found to behave under pressure. Experts discussed the opportunity this gave to explore and modify own behaviour, leading to meaningful behavioural change, which would impact patient safety. </w:t>
      </w:r>
    </w:p>
    <w:p w14:paraId="00DC42F7" w14:textId="77777777" w:rsidR="00AF1FB0" w:rsidRPr="00A212F8" w:rsidRDefault="00AF1FB0" w:rsidP="00AF1FB0">
      <w:pPr>
        <w:spacing w:line="240" w:lineRule="auto"/>
        <w:ind w:left="720"/>
        <w:rPr>
          <w:i/>
        </w:rPr>
      </w:pPr>
      <w:r w:rsidRPr="00A212F8">
        <w:rPr>
          <w:i/>
        </w:rPr>
        <w:t>‘I got stuck and went blank, I was quiet and could not do anything, I was almost coached through, learning how to get out of it, using protocols, calling for help, it made me feel I would be able to cope and when a patient is really sick sometimes just need to ask for the crash team upfront, next time I will just call if concer</w:t>
      </w:r>
      <w:r>
        <w:rPr>
          <w:i/>
        </w:rPr>
        <w:t>n</w:t>
      </w:r>
      <w:r w:rsidRPr="00A212F8">
        <w:rPr>
          <w:i/>
        </w:rPr>
        <w:t xml:space="preserve">ed after initial assessment and not wait as help seemed to take ages but was actually only 5 minutes’ </w:t>
      </w:r>
      <w:r w:rsidRPr="0085587F">
        <w:t>(Focus group 15, Candidate 4).</w:t>
      </w:r>
    </w:p>
    <w:p w14:paraId="1D01A838" w14:textId="77777777" w:rsidR="00AF1FB0" w:rsidRDefault="00AF1FB0" w:rsidP="00AF1FB0">
      <w:r>
        <w:t xml:space="preserve">The second division of behaviour related to experiencing the impact of own behaviours on others.  In one scenario a student referred to the nurse as ‘my nurse’, not using their name. There followed some visible disengagement from the nurse who felt ‘devalued’, making her less inclined to help the student (Field notes). The student was not aware of this. This presumed ‘ownership’ of team members rather than equality, felt to be due to cultural hierarchy, had negative effects on their relationship. The ability to increase awareness and understanding of this impact was considered invaluable by all. When under </w:t>
      </w:r>
      <w:r>
        <w:lastRenderedPageBreak/>
        <w:t xml:space="preserve">pressure, it appeared easy to forget politeness and a few extra seconds to remind someone of his or her name was important. It demonstrates the importance of respect and responsibility among the team and to allow professionals to feel independent in identity and credibility. This concept of professional identity was fascinating and how it could be so influenced by two words (Field notes from intervention study). </w:t>
      </w:r>
    </w:p>
    <w:p w14:paraId="639F1F72" w14:textId="77777777" w:rsidR="00AF1FB0" w:rsidRDefault="00AF1FB0" w:rsidP="00AF1FB0">
      <w:r>
        <w:t xml:space="preserve">The thematic stems from impact on others related to patient and relatives and the importance of emotional intelligence in detecting fear or concern, from body language. It was found that under pressure, the ability to use emotional intelligence was limited, to allow concentration to be placed on cognitive structure for clarity of thought and decision-making (Field notes from intervention study, focus groups 11, 14). Students and faculty reflected that they learnt the importance of returning to those involved after a stressful event, to allow them to voice and address their concerns. This created the opportunity to enhance rapport by the focused use of emotional intelligence at times of stress. The same was true regarding the team to work towards more effective teamwork. The idea of ‘regular team briefings’ and ‘ownership of issues’ within the team, including personal issues, was voiced, to allow strategies of support to minimise effect on patient care and team dynamic (Interviews 2,6). </w:t>
      </w:r>
    </w:p>
    <w:p w14:paraId="6A86391B" w14:textId="77777777" w:rsidR="00AF1FB0" w:rsidRPr="00915D37"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 xml:space="preserve">‘I use briefings to get everybody on the same page, absolutely get a sense check on what is the Mental Model across the team in terms of what is our priority today? Who has got a distraction? Who has got something that is worrying them, </w:t>
      </w:r>
      <w:proofErr w:type="spellStart"/>
      <w:r w:rsidRPr="00652CEE">
        <w:rPr>
          <w:rFonts w:cs="Arial"/>
          <w:i/>
        </w:rPr>
        <w:t>lets</w:t>
      </w:r>
      <w:proofErr w:type="spellEnd"/>
      <w:r w:rsidRPr="00652CEE">
        <w:rPr>
          <w:rFonts w:cs="Arial"/>
          <w:i/>
        </w:rPr>
        <w:t xml:space="preserve"> get that out on the table and lets own it as a team…it’s there, it’s real so </w:t>
      </w:r>
      <w:proofErr w:type="spellStart"/>
      <w:r w:rsidRPr="00652CEE">
        <w:rPr>
          <w:rFonts w:cs="Arial"/>
          <w:i/>
        </w:rPr>
        <w:t>lets</w:t>
      </w:r>
      <w:proofErr w:type="spellEnd"/>
      <w:r w:rsidRPr="00652CEE">
        <w:rPr>
          <w:rFonts w:cs="Arial"/>
          <w:i/>
        </w:rPr>
        <w:t xml:space="preserve"> own it, that is somebody’s concern. And … really overt communication, regular huddles to cross check that everybody’s okay, check still on the same page, what do we need to do? What risks have emerged in the last hour that we need to mitigate? So a very structured approach to keeping the team focused and keeping the communications open and aligned and alive’ </w:t>
      </w:r>
      <w:r>
        <w:rPr>
          <w:rFonts w:cs="Arial"/>
          <w:i/>
        </w:rPr>
        <w:t>(</w:t>
      </w:r>
      <w:r w:rsidRPr="00652CEE">
        <w:rPr>
          <w:rFonts w:cs="Arial"/>
        </w:rPr>
        <w:t>Interview 6).</w:t>
      </w:r>
    </w:p>
    <w:p w14:paraId="3A49BD7D" w14:textId="77777777" w:rsidR="00AF1FB0" w:rsidRDefault="00AF1FB0" w:rsidP="00AF1FB0">
      <w:r>
        <w:lastRenderedPageBreak/>
        <w:t xml:space="preserve">When discussed with a colleague, field notes reflected that some clinicians felt that there was no point in asking about problems because there was ‘nothing you could do about it’, indicating potential culture change is required (Field notes post-intervention course).  </w:t>
      </w:r>
    </w:p>
    <w:p w14:paraId="39F747D7" w14:textId="77777777" w:rsidR="00AF1FB0" w:rsidRPr="007F675B" w:rsidRDefault="00AF1FB0" w:rsidP="00AF1FB0">
      <w:pPr>
        <w:rPr>
          <w:i/>
        </w:rPr>
      </w:pPr>
      <w:r w:rsidRPr="007F675B">
        <w:rPr>
          <w:i/>
        </w:rPr>
        <w:t>Judgment and decision-making</w:t>
      </w:r>
    </w:p>
    <w:p w14:paraId="5E8BDE5E" w14:textId="77777777" w:rsidR="00AF1FB0" w:rsidRDefault="00AF1FB0" w:rsidP="00AF1FB0">
      <w:r>
        <w:t xml:space="preserve">The third subtheme related to practice under pressure considering ‘self’ was ‘judgment and decision-making’, further divided into four emergent themes. This is expanded upon in the section below on clinical reasoning and judgment. </w:t>
      </w:r>
    </w:p>
    <w:p w14:paraId="36DE9F21" w14:textId="77777777" w:rsidR="00AF1FB0" w:rsidRPr="007F675B" w:rsidRDefault="00AF1FB0" w:rsidP="00AF1FB0">
      <w:pPr>
        <w:rPr>
          <w:i/>
        </w:rPr>
      </w:pPr>
      <w:r w:rsidRPr="007F675B">
        <w:rPr>
          <w:i/>
        </w:rPr>
        <w:t>Performance and actions</w:t>
      </w:r>
    </w:p>
    <w:p w14:paraId="158B8CCF" w14:textId="77777777" w:rsidR="00AF1FB0" w:rsidRDefault="00AF1FB0" w:rsidP="00AF1FB0">
      <w:r>
        <w:t>The fourth and final sub-theme related to self and practice under pressure was grouped under ‘performance/actions’, which were more outcomes related, linked to clinical reasoning and justification of actions. This involved ‘closing the loop’ on actions and following up outcomes for personal learning (Interview 1). This was felt to be important for personal learning as well as for patient safety.</w:t>
      </w:r>
    </w:p>
    <w:p w14:paraId="25A5902E" w14:textId="16EF066E" w:rsidR="00AF1FB0" w:rsidRDefault="00AF1FB0" w:rsidP="00AF1FB0">
      <w:r>
        <w:t xml:space="preserve">‘Team’ include the impact of actions on self as a team member and team leader where required. This was particularly emphasised during the resuscitation scenario where leadership skills were more transparent (Field notes). There was witnessed empowerment of students on realisation that though they were junior, they may have more recent resuscitation skills than senior members of the team, so may be expected to continue as team leader </w:t>
      </w:r>
      <w:r w:rsidR="008C1B7D">
        <w:t>on arrival of a senior. This le</w:t>
      </w:r>
      <w:r>
        <w:t xml:space="preserve">d to a described feeling of value and professional identity (focus groups 3,4,8,16, field notes form intervention study). </w:t>
      </w:r>
    </w:p>
    <w:p w14:paraId="5B990A47" w14:textId="77777777" w:rsidR="00AF1FB0" w:rsidRPr="006C2175" w:rsidRDefault="00AF1FB0" w:rsidP="00AF1FB0">
      <w:pPr>
        <w:spacing w:line="240" w:lineRule="auto"/>
        <w:ind w:left="720"/>
        <w:rPr>
          <w:i/>
        </w:rPr>
      </w:pPr>
      <w:r w:rsidRPr="006C2175">
        <w:rPr>
          <w:i/>
        </w:rPr>
        <w:lastRenderedPageBreak/>
        <w:t>‘I never imagined I would be leading a cardiac arrest, I thought I would just do the bloods, but I realise the skills of being clear and follow</w:t>
      </w:r>
      <w:r>
        <w:rPr>
          <w:i/>
        </w:rPr>
        <w:t>i</w:t>
      </w:r>
      <w:r w:rsidRPr="006C2175">
        <w:rPr>
          <w:i/>
        </w:rPr>
        <w:t>ng protocol are needed plus also managing tiredness. I was trying to do chest compressions and I could not think about anything else, when I stood at the end of the bed I could see what was happening</w:t>
      </w:r>
      <w:r>
        <w:rPr>
          <w:i/>
        </w:rPr>
        <w:t xml:space="preserve"> </w:t>
      </w:r>
      <w:r w:rsidRPr="006C2175">
        <w:rPr>
          <w:i/>
        </w:rPr>
        <w:t xml:space="preserve">and try and guide people’ </w:t>
      </w:r>
      <w:r w:rsidRPr="0085587F">
        <w:t>(Focus group 11, Candidate 5).</w:t>
      </w:r>
      <w:r w:rsidRPr="006C2175">
        <w:rPr>
          <w:i/>
        </w:rPr>
        <w:t xml:space="preserve"> </w:t>
      </w:r>
    </w:p>
    <w:p w14:paraId="192C3045" w14:textId="3ED94A99" w:rsidR="00AF1FB0" w:rsidRDefault="00D834F3" w:rsidP="00AF1FB0">
      <w:r>
        <w:t xml:space="preserve">Consequence learning </w:t>
      </w:r>
      <w:r w:rsidR="00EB1426">
        <w:t>re-</w:t>
      </w:r>
      <w:r>
        <w:t>emerged</w:t>
      </w:r>
      <w:r w:rsidR="00AF1FB0">
        <w:t xml:space="preserve"> under </w:t>
      </w:r>
      <w:r>
        <w:t xml:space="preserve">the theme of </w:t>
      </w:r>
      <w:r w:rsidR="00EB1426">
        <w:t>‘performance’, linked to</w:t>
      </w:r>
      <w:r w:rsidR="00D6777D">
        <w:t xml:space="preserve"> the ability to discuss what c</w:t>
      </w:r>
      <w:r w:rsidR="00AF1FB0">
        <w:t xml:space="preserve">andidates had actually done and why in the facilitated debrief. This was felt to be linked strongly to patient safety. Prioritisation linked back to clinical judgment and there was opportunity to explore how holistic, care and decisions had been through employing a human factors approach (Field notes). </w:t>
      </w:r>
    </w:p>
    <w:p w14:paraId="4F447ED0" w14:textId="77777777" w:rsidR="00AF1FB0"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w:t>
      </w:r>
      <w:r w:rsidRPr="0033498A">
        <w:rPr>
          <w:rFonts w:cs="Arial"/>
          <w:i/>
        </w:rPr>
        <w:t>So</w:t>
      </w:r>
      <w:r w:rsidRPr="00652CEE">
        <w:rPr>
          <w:rFonts w:cs="Arial"/>
          <w:i/>
        </w:rPr>
        <w:t xml:space="preserve"> for me it’s holding up the mirror to myself and holding up the mirror to what is going on around me, so when I’m teaching I will say to juniors there are only 3 states of time - past present and future and our capacity to remain present, in the moment, is very challenging</w:t>
      </w:r>
      <w:r>
        <w:rPr>
          <w:rFonts w:cs="Arial"/>
          <w:i/>
        </w:rPr>
        <w:t>’</w:t>
      </w:r>
      <w:r w:rsidRPr="00652CEE">
        <w:rPr>
          <w:rFonts w:cs="Arial"/>
        </w:rPr>
        <w:t xml:space="preserve"> (Interview 3).</w:t>
      </w:r>
    </w:p>
    <w:p w14:paraId="11C1D0CD" w14:textId="4400A920" w:rsidR="00AF1FB0" w:rsidRPr="005D4C9D" w:rsidRDefault="00AF1FB0" w:rsidP="00AF1FB0">
      <w:pPr>
        <w:spacing w:line="240" w:lineRule="auto"/>
        <w:ind w:left="560"/>
        <w:rPr>
          <w:i/>
          <w:color w:val="7030A0"/>
        </w:rPr>
      </w:pPr>
      <w:r w:rsidRPr="005D4C9D">
        <w:rPr>
          <w:rFonts w:cs="Arial"/>
          <w:i/>
        </w:rPr>
        <w:t xml:space="preserve">‘We go through ABC like a </w:t>
      </w:r>
      <w:r w:rsidR="00345C07" w:rsidRPr="005D4C9D">
        <w:rPr>
          <w:rFonts w:cs="Arial"/>
          <w:i/>
        </w:rPr>
        <w:t>checklist</w:t>
      </w:r>
      <w:r w:rsidRPr="005D4C9D">
        <w:rPr>
          <w:rFonts w:cs="Arial"/>
          <w:i/>
        </w:rPr>
        <w:t xml:space="preserve"> and I say it in exams without really thinking about it. But today I realised without that structure to re-assess I was lost. I could come back to it and see if there was any improvement, I could call it out and the nurses could then help with observations and then it was easier when I had help’ (Focus group 10, Candidate 5).</w:t>
      </w:r>
    </w:p>
    <w:p w14:paraId="5373F6C7" w14:textId="2A3A42FE" w:rsidR="00AF1FB0" w:rsidRDefault="00AF1FB0" w:rsidP="00AF1FB0">
      <w:r>
        <w:t>Responsibility was the final area in performance and related to ownership of decisions, particularly where a mistake was made. Allowing the student to explain and apologise to patient and family member, was of huge value and struck a real chord when observing as fac</w:t>
      </w:r>
      <w:r w:rsidR="009D6DE7">
        <w:t>ulty. Field notes revealed one c</w:t>
      </w:r>
      <w:r>
        <w:t xml:space="preserve">andidate was ‘hit by a wave of guilt and realisation’ when a mistake was made and it appeared to take a while to recover. Following this episode they were a lot more cautious with quick decisions and did double check when they were unsure, rather than feeling an ‘overwhelming pressure to just make a decision’ (focus group 4, Candidate 2). Responsibility included this idea of ‘fitness to </w:t>
      </w:r>
      <w:r>
        <w:lastRenderedPageBreak/>
        <w:t xml:space="preserve">make a decision’ and capability. It was linked to the importance of ‘graded responsibility’, so yes, practice under pressure and responsibility were key but it needed to be graded appropriately to level of student and also individuals in terms of emotional resilience, intelligence and confidence.   </w:t>
      </w:r>
    </w:p>
    <w:p w14:paraId="22CF13E0" w14:textId="77777777" w:rsidR="00AF1FB0" w:rsidRDefault="00AF1FB0" w:rsidP="00AF1FB0">
      <w:r>
        <w:t xml:space="preserve"> In term of considering impact of practice under pressure on ‘system’, there were three main sub-themes: cognitive process impact; testing the system and learning from mistakes. </w:t>
      </w:r>
    </w:p>
    <w:p w14:paraId="7D3A3B35" w14:textId="77777777" w:rsidR="00AF1FB0" w:rsidRPr="007F675B" w:rsidRDefault="00AF1FB0" w:rsidP="00AF1FB0">
      <w:pPr>
        <w:rPr>
          <w:i/>
        </w:rPr>
      </w:pPr>
      <w:r w:rsidRPr="007F675B">
        <w:rPr>
          <w:i/>
        </w:rPr>
        <w:t>Cognitive process impact</w:t>
      </w:r>
    </w:p>
    <w:p w14:paraId="3DFE615B" w14:textId="77777777" w:rsidR="00AF1FB0" w:rsidRDefault="00AF1FB0" w:rsidP="00AF1FB0">
      <w:r>
        <w:t xml:space="preserve">‘Cognitive process impact’ represented the value of learning to analyse risk, moving from retrospective to prospective. </w:t>
      </w:r>
    </w:p>
    <w:p w14:paraId="62E9B8B2" w14:textId="77777777" w:rsidR="00AF1FB0" w:rsidRPr="00915D37" w:rsidRDefault="00AF1FB0" w:rsidP="00AF1FB0">
      <w:pPr>
        <w:spacing w:line="240" w:lineRule="auto"/>
        <w:ind w:left="720"/>
        <w:rPr>
          <w:rFonts w:cs="Arial"/>
        </w:rPr>
      </w:pPr>
      <w:r w:rsidRPr="00652CEE">
        <w:rPr>
          <w:rFonts w:cs="Arial"/>
          <w:i/>
        </w:rPr>
        <w:t xml:space="preserve">‘I am much better now because I am mature and I am experienced and I understand what the Impacts are on me… and if I compare how I manage situations now from probably when I was much more junior and was not familiar with all of this sort of stuff … I would react, </w:t>
      </w:r>
      <w:proofErr w:type="spellStart"/>
      <w:r w:rsidRPr="00652CEE">
        <w:rPr>
          <w:rFonts w:cs="Arial"/>
          <w:i/>
        </w:rPr>
        <w:t>where as</w:t>
      </w:r>
      <w:proofErr w:type="spellEnd"/>
      <w:r w:rsidRPr="00652CEE">
        <w:rPr>
          <w:rFonts w:cs="Arial"/>
          <w:i/>
        </w:rPr>
        <w:t xml:space="preserve"> now I am much more sensitive to the challenges around me and much more prospective hazard analysis as opposed to reactive, so looking for the risks’ </w:t>
      </w:r>
      <w:r w:rsidRPr="00652CEE">
        <w:rPr>
          <w:rFonts w:cs="Arial"/>
        </w:rPr>
        <w:t>(Interview 6).</w:t>
      </w:r>
    </w:p>
    <w:p w14:paraId="3B5F804C" w14:textId="77777777" w:rsidR="00AF1FB0" w:rsidRDefault="00AF1FB0" w:rsidP="00AF1FB0">
      <w:r>
        <w:t xml:space="preserve">Through simulated experience, students were thought to be getting ahead of senior colleagues with years of experience (Interviews 2, 3 and 6 and field notes from intervention study). This was felt to be related to consequence learning (Field notes, interviews 2,6,8), which then moved on to developing skills to ‘self-correct’ and regulate. When connections were triggered with management options, relative safety aspects of each were weighed up to inform clinical judgment (Field notes). These combined concepts were felt to be key to enhancing preparedness and patient safety. This was through improving ‘fitness to think’, clarity in decision-making and justification, whilst enhancing teamwork </w:t>
      </w:r>
      <w:r>
        <w:lastRenderedPageBreak/>
        <w:t xml:space="preserve">(Interviews 1,5,6,8, field notes). Fitness to think, self-correction and regulation were thought to be influential in helping support maintenance of situational awareness, allowing time and space to think and reflect in action, to enhance patient safety (Interviews 6,8, field notes). </w:t>
      </w:r>
    </w:p>
    <w:p w14:paraId="59C9B235" w14:textId="77777777" w:rsidR="00AF1FB0" w:rsidRPr="007F675B" w:rsidRDefault="00AF1FB0" w:rsidP="00AF1FB0">
      <w:pPr>
        <w:rPr>
          <w:i/>
        </w:rPr>
      </w:pPr>
      <w:r w:rsidRPr="007F675B">
        <w:rPr>
          <w:i/>
        </w:rPr>
        <w:t>Test the system</w:t>
      </w:r>
    </w:p>
    <w:p w14:paraId="29C689DA" w14:textId="77777777" w:rsidR="00AF1FB0" w:rsidRDefault="00AF1FB0" w:rsidP="00AF1FB0">
      <w:r>
        <w:t xml:space="preserve"> The systemic benefit of using simulation to practice under pressure to the wider NHS or healthcare sector was the opportunity to check new and remaining systems and standard operational procedures (Interviews 2,9,10). A simulated test run can be conducted and evaluated and run again until correct, safe and effective. </w:t>
      </w:r>
      <w:proofErr w:type="spellStart"/>
      <w:r>
        <w:t>Strensall</w:t>
      </w:r>
      <w:proofErr w:type="spellEnd"/>
      <w:r>
        <w:t xml:space="preserve">, a mock military hospital as an example, allowed testing of environment, kit, as well as teams and individuals before going out into the field (Interview 9). </w:t>
      </w:r>
    </w:p>
    <w:p w14:paraId="40A32791" w14:textId="77777777" w:rsidR="00AF1FB0" w:rsidRPr="00915D37" w:rsidRDefault="00AF1FB0" w:rsidP="00AF1FB0">
      <w:pPr>
        <w:rPr>
          <w:rFonts w:cs="Arial"/>
        </w:rPr>
      </w:pPr>
      <w:r>
        <w:t>The ability to make mistakes, learn from imperfections and error through using replica kit and actual teams, moves from the concept of ‘lurching’ from crisis to crisis in the NHS, to informed and tested effective safe systems (Interviews 1,2,6</w:t>
      </w:r>
      <w:r w:rsidRPr="00915D37">
        <w:rPr>
          <w:rFonts w:cs="Arial"/>
        </w:rPr>
        <w:t xml:space="preserve">). </w:t>
      </w:r>
    </w:p>
    <w:p w14:paraId="4E31C86E" w14:textId="77777777" w:rsidR="00AF1FB0" w:rsidRPr="00915D37" w:rsidRDefault="00AF1FB0" w:rsidP="00AF1FB0">
      <w:pPr>
        <w:spacing w:line="240" w:lineRule="auto"/>
        <w:ind w:left="720"/>
        <w:rPr>
          <w:rFonts w:cs="Arial"/>
        </w:rPr>
      </w:pPr>
      <w:r w:rsidRPr="00652CEE">
        <w:rPr>
          <w:rFonts w:cs="Arial"/>
          <w:i/>
        </w:rPr>
        <w:t xml:space="preserve">‘what we do is a macro simulation where it is in an aircraft </w:t>
      </w:r>
      <w:proofErr w:type="spellStart"/>
      <w:r w:rsidRPr="00652CEE">
        <w:rPr>
          <w:rFonts w:cs="Arial"/>
          <w:i/>
        </w:rPr>
        <w:t>hanger</w:t>
      </w:r>
      <w:proofErr w:type="spellEnd"/>
      <w:r w:rsidRPr="00652CEE">
        <w:rPr>
          <w:rFonts w:cs="Arial"/>
          <w:i/>
        </w:rPr>
        <w:t xml:space="preserve"> in </w:t>
      </w:r>
      <w:proofErr w:type="spellStart"/>
      <w:r w:rsidRPr="00652CEE">
        <w:rPr>
          <w:rFonts w:cs="Arial"/>
          <w:i/>
        </w:rPr>
        <w:t>Strensall</w:t>
      </w:r>
      <w:proofErr w:type="spellEnd"/>
      <w:r w:rsidRPr="00652CEE">
        <w:rPr>
          <w:rFonts w:cs="Arial"/>
          <w:i/>
        </w:rPr>
        <w:t xml:space="preserve"> barracks, York, that was changed into Camp Bastian Hospital where it got reconfigured and it basically tests the whole system, not just testing the clinicians, but the patient would come, and we actually had a chinook simulator outside as well, so the patient would come on the chinook, they would have exactly half an hour of flight time, then they would come off, go in to the hospital, go through the AED, go through to theatre etc and test the system to check the paperwork is right, check everyone knows how to move around, what the process is of getting the patient out. Then you can put command and control things in, so you can have a major incident to divide the teams and you can create some other things such as you have run out of propofol or something. So that is our </w:t>
      </w:r>
      <w:r w:rsidRPr="00652CEE">
        <w:rPr>
          <w:rFonts w:cs="Arial"/>
          <w:i/>
        </w:rPr>
        <w:lastRenderedPageBreak/>
        <w:t xml:space="preserve">macro simulation - a validation exercise to check that that field hospital can all go out together and take over the current hospital’ </w:t>
      </w:r>
      <w:r w:rsidRPr="00652CEE">
        <w:rPr>
          <w:rFonts w:cs="Arial"/>
        </w:rPr>
        <w:t>(Interview 9).</w:t>
      </w:r>
    </w:p>
    <w:p w14:paraId="66E30D3C" w14:textId="4133E249" w:rsidR="00AF1FB0" w:rsidRDefault="00AF1FB0" w:rsidP="00AF1FB0">
      <w:r>
        <w:t>This level of leadership and role modelling sends a clear message to staff that they will be supported until ready and equipment and environments will be checked and issues addressed before being used. This level of safety culture would have a huge impact on the overall</w:t>
      </w:r>
      <w:r w:rsidR="00EB1426">
        <w:t xml:space="preserve"> culture of the NHS. It is important</w:t>
      </w:r>
      <w:r>
        <w:t xml:space="preserve"> for the new generation to have these behaviours embedded during training. Individual behaviours exposed during times of pressure and stress during the course highlighted this opportunity to allow individuals to have targeted training prior to FY1 (Field notes from intervention study).</w:t>
      </w:r>
    </w:p>
    <w:p w14:paraId="2F7F9881" w14:textId="77777777" w:rsidR="00AF1FB0" w:rsidRDefault="00AF1FB0" w:rsidP="00AF1FB0">
      <w:r>
        <w:t xml:space="preserve">There were discussions about minimising complexity through centralised procurement of equipment to improve safety and cost effectiveness (Interviews 2, 6 and 9). </w:t>
      </w:r>
    </w:p>
    <w:p w14:paraId="4D0A614F" w14:textId="77777777" w:rsidR="00AF1FB0" w:rsidRPr="007F675B" w:rsidRDefault="00AF1FB0" w:rsidP="00AF1FB0">
      <w:pPr>
        <w:rPr>
          <w:i/>
        </w:rPr>
      </w:pPr>
      <w:r w:rsidRPr="007F675B">
        <w:rPr>
          <w:i/>
        </w:rPr>
        <w:t>Learn from mistakes</w:t>
      </w:r>
    </w:p>
    <w:p w14:paraId="2243E260" w14:textId="77777777" w:rsidR="00AF1FB0" w:rsidRDefault="00AF1FB0" w:rsidP="00AF1FB0">
      <w:r>
        <w:t xml:space="preserve">The opportunity to learn from mistakes in a safe environment was felt to have huge benefits to self as well as system. Leading on from testing of standard operating procedures, the opportunity to learn from serious untoward incidents and never events in each Trust was mentioned and seen as an opportunity for simulation (Field notes form intervention study, Interviews 1,2,6,9). </w:t>
      </w:r>
    </w:p>
    <w:p w14:paraId="21504C14" w14:textId="77777777" w:rsidR="00AF1FB0" w:rsidRPr="00652CEE"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 xml:space="preserve">‘one of the other challenges is that the latent conditions for failure, the latent conditions for Harm are just everywhere. As Human Beings as fallible as we are, we are also incredibly resilient and we are compensating and catching stuff all of the time but because we </w:t>
      </w:r>
      <w:proofErr w:type="spellStart"/>
      <w:r w:rsidRPr="00652CEE">
        <w:rPr>
          <w:rFonts w:cs="Arial"/>
          <w:i/>
        </w:rPr>
        <w:t>don</w:t>
      </w:r>
      <w:proofErr w:type="spellEnd"/>
      <w:r w:rsidRPr="00652CEE">
        <w:rPr>
          <w:rFonts w:cs="Arial"/>
          <w:i/>
        </w:rPr>
        <w:t xml:space="preserve"> not do a lot of learning from the no-harm events and how we mitigated it, we don’t absolutely know how we did it… we don’t know…it’s almost like the hidden curricula’</w:t>
      </w:r>
      <w:r w:rsidRPr="00652CEE">
        <w:rPr>
          <w:rFonts w:cs="Arial"/>
        </w:rPr>
        <w:t xml:space="preserve"> (Interview 6) </w:t>
      </w:r>
    </w:p>
    <w:p w14:paraId="20834E85" w14:textId="77777777" w:rsidR="00AF1FB0" w:rsidRDefault="00AF1FB0" w:rsidP="00AF1FB0">
      <w:r>
        <w:lastRenderedPageBreak/>
        <w:t xml:space="preserve">In adopting this more open and transparent testing of the system and meaningful learning it was felt that patient safety and satisfaction would be improved. Trusts would have to buy-into and demonstrate this safety culture. </w:t>
      </w:r>
    </w:p>
    <w:p w14:paraId="68680115" w14:textId="77777777" w:rsidR="00AF1FB0" w:rsidRPr="007F675B" w:rsidRDefault="00AF1FB0" w:rsidP="00AF1FB0">
      <w:pPr>
        <w:rPr>
          <w:i/>
        </w:rPr>
      </w:pPr>
      <w:r w:rsidRPr="007F675B">
        <w:rPr>
          <w:i/>
        </w:rPr>
        <w:t>Practice in the clinical environment</w:t>
      </w:r>
    </w:p>
    <w:p w14:paraId="78FE6861" w14:textId="77777777" w:rsidR="00AF1FB0" w:rsidRDefault="00AF1FB0" w:rsidP="00AF1FB0">
      <w:r>
        <w:t xml:space="preserve">Transference of these skills into the real clinical environment was then felt to be very important by students and experts. Methods described included shadowing, apprenticeships, prescribing and taking control of a patient bay, as with the nursing model (Interviews 1,2,6,8, focus groups 2,4,5,9,15). </w:t>
      </w:r>
    </w:p>
    <w:p w14:paraId="52F744B4" w14:textId="77777777" w:rsidR="00AF1FB0" w:rsidRDefault="00AF1FB0" w:rsidP="00AF1FB0">
      <w:pPr>
        <w:spacing w:line="240" w:lineRule="auto"/>
        <w:ind w:left="720"/>
      </w:pPr>
      <w:r w:rsidRPr="00652CEE">
        <w:rPr>
          <w:i/>
        </w:rPr>
        <w:t>‘If you are learning a brand new skill for the first time and you are trying to learn a technical process, you learn that in a very abstract methodology to start off with and then you increase the level of fidelity until it becomes very easy to transfer in to real life’</w:t>
      </w:r>
      <w:r>
        <w:t xml:space="preserve"> (Interview 10).</w:t>
      </w:r>
    </w:p>
    <w:p w14:paraId="731383C8" w14:textId="77777777" w:rsidR="00AF1FB0" w:rsidRDefault="00AF1FB0" w:rsidP="00AF1FB0">
      <w:r>
        <w:t xml:space="preserve">Patient journeys were felt to be useful to allow an element of consequence learning and longitudinal integrated clerkships as a model for ‘humanising patients and building relationships’ to create a feeling of responsibility. It was felt by some that medicine had been ‘sanitised’ and patients ‘dehumanised’ by using statistical language and evidence, rather than individual case examples to bring back the emotional responsibility that clinical staff have to their patients (Interview 6). </w:t>
      </w:r>
    </w:p>
    <w:p w14:paraId="4EB37A0E" w14:textId="52DD344D" w:rsidR="00AF1FB0" w:rsidRPr="00E94F8D" w:rsidRDefault="00AF1FB0" w:rsidP="00AF1FB0">
      <w:pPr>
        <w:spacing w:line="240" w:lineRule="auto"/>
        <w:ind w:left="720"/>
        <w:rPr>
          <w:i/>
        </w:rPr>
      </w:pPr>
      <w:r w:rsidRPr="00E94F8D">
        <w:rPr>
          <w:i/>
        </w:rPr>
        <w:t>‘We don’t have a role on the ward and can feel lost, it would be so great to be part of a team and be there with the patients for plans and difficult decisions</w:t>
      </w:r>
      <w:r>
        <w:rPr>
          <w:i/>
        </w:rPr>
        <w:t xml:space="preserve"> and conversations. </w:t>
      </w:r>
      <w:proofErr w:type="spellStart"/>
      <w:r>
        <w:rPr>
          <w:i/>
        </w:rPr>
        <w:t>Over n</w:t>
      </w:r>
      <w:r w:rsidRPr="00E94F8D">
        <w:rPr>
          <w:i/>
        </w:rPr>
        <w:t>ight</w:t>
      </w:r>
      <w:proofErr w:type="spellEnd"/>
      <w:r w:rsidRPr="00E94F8D">
        <w:rPr>
          <w:i/>
        </w:rPr>
        <w:t xml:space="preserve"> we have no </w:t>
      </w:r>
      <w:r w:rsidR="00345C07" w:rsidRPr="00E94F8D">
        <w:rPr>
          <w:i/>
        </w:rPr>
        <w:t>responsibility</w:t>
      </w:r>
      <w:r w:rsidRPr="00E94F8D">
        <w:rPr>
          <w:i/>
        </w:rPr>
        <w:t xml:space="preserve"> </w:t>
      </w:r>
      <w:r>
        <w:rPr>
          <w:i/>
        </w:rPr>
        <w:t>as a student then fu</w:t>
      </w:r>
      <w:r w:rsidRPr="00E94F8D">
        <w:rPr>
          <w:i/>
        </w:rPr>
        <w:t xml:space="preserve">ll responsibility. It is scary’ (Focus group 6, Participant 5). </w:t>
      </w:r>
    </w:p>
    <w:p w14:paraId="565E423A" w14:textId="77777777" w:rsidR="00AF1FB0" w:rsidRDefault="00AF1FB0" w:rsidP="00AF1FB0">
      <w:r>
        <w:t xml:space="preserve">This concept continues on the line of graded responsibility and pressure for development of preparedness. There are ethical considerations but these ideas are possible and medical education should learn from others, such as nursing </w:t>
      </w:r>
      <w:r>
        <w:lastRenderedPageBreak/>
        <w:t>about better ways to prepare. There was a comment that the culture in medical education was ‘protectionist’ and that too much interprofessional input was felt to ‘contaminate it’. This was felt to be a reason why this had not occurred (Interview 6). Responsibility is further explored followed by exploration of level of pressure in SBME.</w:t>
      </w:r>
    </w:p>
    <w:p w14:paraId="791F8E6C" w14:textId="77777777" w:rsidR="00AF1FB0" w:rsidRPr="00FA1D51" w:rsidRDefault="00AF1FB0" w:rsidP="00AF1FB0">
      <w:pPr>
        <w:rPr>
          <w:b/>
          <w:i/>
        </w:rPr>
      </w:pPr>
      <w:r w:rsidRPr="00FA1D51">
        <w:rPr>
          <w:b/>
          <w:i/>
        </w:rPr>
        <w:t>Responsibility</w:t>
      </w:r>
    </w:p>
    <w:p w14:paraId="4AA7BFE4" w14:textId="77777777" w:rsidR="00AF1FB0" w:rsidRDefault="00AF1FB0" w:rsidP="00AF1FB0">
      <w:r>
        <w:t>Responsibility, was hugely significant in relation to preparedness and emerged from nearly every focus group, interview and observation in field notes. Students described the benefit of working alone in 5</w:t>
      </w:r>
      <w:r w:rsidRPr="00377974">
        <w:rPr>
          <w:vertAlign w:val="superscript"/>
        </w:rPr>
        <w:t>th</w:t>
      </w:r>
      <w:r>
        <w:t xml:space="preserve"> year during simulation. They wanted to know whether they could take responsibility for a patient, take control and cope with the situation. Experts described many opportunities where they were made responsible for patients as a medical student, some felt supported by ‘mentoring’ and others felt very unsupported, learning by ‘trial and error’ in a potentially unsafe manner (Interviews 2 and 7). </w:t>
      </w:r>
    </w:p>
    <w:p w14:paraId="20797502" w14:textId="77777777" w:rsidR="00AF1FB0" w:rsidRDefault="00AF1FB0" w:rsidP="00AF1FB0">
      <w:r>
        <w:t xml:space="preserve">Students crave and need an appropriate level of responsibility to support preparedness. This should be graded, supported and be safe with a named, trained individual to be responsible for them, so that they have a level of clinical autonomy (focus groups 1-19, field notes, interviews 1,2,4,6,7,8). Responsibility was heavily overlaid by the concepts of belonging, trust and feeling part of the medical team - all found to be important for preparedness and confidence described in the previous section. </w:t>
      </w:r>
    </w:p>
    <w:p w14:paraId="6E8A85C5" w14:textId="77777777" w:rsidR="00AF1FB0" w:rsidRDefault="00AF1FB0" w:rsidP="00AF1FB0">
      <w:r>
        <w:t>There were six emergent subthemes when exploring responsibility within the data. These are explored and explained individually:</w:t>
      </w:r>
    </w:p>
    <w:p w14:paraId="533AD1AC" w14:textId="77777777" w:rsidR="00AF1FB0" w:rsidRPr="00693688" w:rsidRDefault="00AF1FB0" w:rsidP="00AF1FB0">
      <w:pPr>
        <w:pStyle w:val="ListParagraph"/>
        <w:numPr>
          <w:ilvl w:val="0"/>
          <w:numId w:val="8"/>
        </w:numPr>
        <w:spacing w:line="720" w:lineRule="auto"/>
        <w:rPr>
          <w:rFonts w:cs="Arial"/>
          <w:szCs w:val="24"/>
        </w:rPr>
      </w:pPr>
      <w:r w:rsidRPr="00652CEE">
        <w:rPr>
          <w:rFonts w:ascii="Arial" w:hAnsi="Arial" w:cs="Arial"/>
          <w:sz w:val="24"/>
          <w:szCs w:val="24"/>
        </w:rPr>
        <w:lastRenderedPageBreak/>
        <w:t>Expectations</w:t>
      </w:r>
      <w:r>
        <w:rPr>
          <w:rFonts w:ascii="Arial" w:hAnsi="Arial" w:cs="Arial"/>
          <w:sz w:val="24"/>
          <w:szCs w:val="24"/>
        </w:rPr>
        <w:t>.</w:t>
      </w:r>
      <w:r w:rsidRPr="00652CEE">
        <w:rPr>
          <w:rFonts w:ascii="Arial" w:hAnsi="Arial" w:cs="Arial"/>
          <w:sz w:val="24"/>
          <w:szCs w:val="24"/>
        </w:rPr>
        <w:t xml:space="preserve"> </w:t>
      </w:r>
    </w:p>
    <w:p w14:paraId="128A9E1C" w14:textId="77777777" w:rsidR="00AF1FB0" w:rsidRPr="00693688" w:rsidRDefault="00AF1FB0" w:rsidP="00AF1FB0">
      <w:pPr>
        <w:pStyle w:val="ListParagraph"/>
        <w:numPr>
          <w:ilvl w:val="0"/>
          <w:numId w:val="8"/>
        </w:numPr>
        <w:spacing w:line="720" w:lineRule="auto"/>
        <w:rPr>
          <w:rFonts w:cs="Arial"/>
          <w:szCs w:val="24"/>
        </w:rPr>
      </w:pPr>
      <w:r w:rsidRPr="00652CEE">
        <w:rPr>
          <w:rFonts w:ascii="Arial" w:hAnsi="Arial" w:cs="Arial"/>
          <w:sz w:val="24"/>
          <w:szCs w:val="24"/>
        </w:rPr>
        <w:t>Transition</w:t>
      </w:r>
      <w:r>
        <w:rPr>
          <w:rFonts w:ascii="Arial" w:hAnsi="Arial" w:cs="Arial"/>
          <w:sz w:val="24"/>
          <w:szCs w:val="24"/>
        </w:rPr>
        <w:t>.</w:t>
      </w:r>
      <w:r w:rsidRPr="00652CEE">
        <w:rPr>
          <w:rFonts w:ascii="Arial" w:hAnsi="Arial" w:cs="Arial"/>
          <w:sz w:val="24"/>
          <w:szCs w:val="24"/>
        </w:rPr>
        <w:t xml:space="preserve"> </w:t>
      </w:r>
    </w:p>
    <w:p w14:paraId="6AE05DDA" w14:textId="77777777" w:rsidR="00AF1FB0" w:rsidRPr="00693688" w:rsidRDefault="00AF1FB0" w:rsidP="00AF1FB0">
      <w:pPr>
        <w:pStyle w:val="ListParagraph"/>
        <w:numPr>
          <w:ilvl w:val="0"/>
          <w:numId w:val="8"/>
        </w:numPr>
        <w:spacing w:line="720" w:lineRule="auto"/>
        <w:rPr>
          <w:rFonts w:cs="Arial"/>
          <w:szCs w:val="24"/>
        </w:rPr>
      </w:pPr>
      <w:r w:rsidRPr="00652CEE">
        <w:rPr>
          <w:rFonts w:ascii="Arial" w:hAnsi="Arial" w:cs="Arial"/>
          <w:sz w:val="24"/>
          <w:szCs w:val="24"/>
        </w:rPr>
        <w:t>Ownership</w:t>
      </w:r>
      <w:r>
        <w:rPr>
          <w:rFonts w:ascii="Arial" w:hAnsi="Arial" w:cs="Arial"/>
          <w:sz w:val="24"/>
          <w:szCs w:val="24"/>
        </w:rPr>
        <w:t>.</w:t>
      </w:r>
    </w:p>
    <w:p w14:paraId="3C7D718D" w14:textId="77777777" w:rsidR="00AF1FB0" w:rsidRPr="00693688" w:rsidRDefault="00AF1FB0" w:rsidP="00AF1FB0">
      <w:pPr>
        <w:pStyle w:val="ListParagraph"/>
        <w:numPr>
          <w:ilvl w:val="0"/>
          <w:numId w:val="8"/>
        </w:numPr>
        <w:spacing w:line="720" w:lineRule="auto"/>
        <w:rPr>
          <w:rFonts w:cs="Arial"/>
          <w:szCs w:val="24"/>
        </w:rPr>
      </w:pPr>
      <w:r w:rsidRPr="00652CEE">
        <w:rPr>
          <w:rFonts w:ascii="Arial" w:hAnsi="Arial" w:cs="Arial"/>
          <w:sz w:val="24"/>
          <w:szCs w:val="24"/>
        </w:rPr>
        <w:t>Engagement</w:t>
      </w:r>
      <w:r>
        <w:rPr>
          <w:rFonts w:ascii="Arial" w:hAnsi="Arial" w:cs="Arial"/>
          <w:sz w:val="24"/>
          <w:szCs w:val="24"/>
        </w:rPr>
        <w:t>.</w:t>
      </w:r>
    </w:p>
    <w:p w14:paraId="337A03B8" w14:textId="77777777" w:rsidR="00AF1FB0" w:rsidRPr="003271CA" w:rsidRDefault="00AF1FB0" w:rsidP="00AF1FB0">
      <w:pPr>
        <w:pStyle w:val="ListParagraph"/>
        <w:numPr>
          <w:ilvl w:val="0"/>
          <w:numId w:val="8"/>
        </w:numPr>
        <w:spacing w:line="720" w:lineRule="auto"/>
        <w:rPr>
          <w:rFonts w:cs="Arial"/>
          <w:szCs w:val="24"/>
        </w:rPr>
      </w:pPr>
      <w:r w:rsidRPr="00652CEE">
        <w:rPr>
          <w:rFonts w:ascii="Arial" w:hAnsi="Arial" w:cs="Arial"/>
          <w:sz w:val="24"/>
          <w:szCs w:val="24"/>
        </w:rPr>
        <w:t>Behavioural understanding under pressure</w:t>
      </w:r>
      <w:r>
        <w:rPr>
          <w:rFonts w:ascii="Arial" w:hAnsi="Arial" w:cs="Arial"/>
          <w:sz w:val="24"/>
          <w:szCs w:val="24"/>
        </w:rPr>
        <w:t>.</w:t>
      </w:r>
    </w:p>
    <w:p w14:paraId="6AED66FC" w14:textId="77777777" w:rsidR="00AF1FB0" w:rsidRPr="009626BA" w:rsidRDefault="00AF1FB0" w:rsidP="00AF1FB0">
      <w:pPr>
        <w:pStyle w:val="ListParagraph"/>
        <w:numPr>
          <w:ilvl w:val="0"/>
          <w:numId w:val="8"/>
        </w:numPr>
        <w:spacing w:line="720" w:lineRule="auto"/>
        <w:rPr>
          <w:rFonts w:cs="Arial"/>
          <w:szCs w:val="24"/>
        </w:rPr>
      </w:pPr>
      <w:r w:rsidRPr="00652CEE">
        <w:rPr>
          <w:rFonts w:ascii="Arial" w:hAnsi="Arial" w:cs="Arial"/>
          <w:sz w:val="24"/>
          <w:szCs w:val="24"/>
        </w:rPr>
        <w:t>Taking control</w:t>
      </w:r>
      <w:r>
        <w:rPr>
          <w:rFonts w:ascii="Arial" w:hAnsi="Arial" w:cs="Arial"/>
          <w:sz w:val="24"/>
          <w:szCs w:val="24"/>
        </w:rPr>
        <w:t>.</w:t>
      </w:r>
      <w:r w:rsidRPr="00652CEE">
        <w:rPr>
          <w:rFonts w:ascii="Arial" w:hAnsi="Arial" w:cs="Arial"/>
          <w:sz w:val="24"/>
          <w:szCs w:val="24"/>
        </w:rPr>
        <w:t xml:space="preserve">  </w:t>
      </w:r>
    </w:p>
    <w:p w14:paraId="3094B3C7" w14:textId="77777777" w:rsidR="00AF1FB0" w:rsidRPr="00FA1D51" w:rsidRDefault="00AF1FB0" w:rsidP="00AF1FB0">
      <w:pPr>
        <w:rPr>
          <w:i/>
        </w:rPr>
      </w:pPr>
      <w:r w:rsidRPr="00FA1D51">
        <w:rPr>
          <w:i/>
        </w:rPr>
        <w:t>Expectations</w:t>
      </w:r>
    </w:p>
    <w:p w14:paraId="53C1B83A" w14:textId="77777777" w:rsidR="00AF1FB0" w:rsidRDefault="00AF1FB0" w:rsidP="00AF1FB0">
      <w:r>
        <w:t xml:space="preserve">Expectations were an area of mismatched understanding when it came to roles in FY1, both for students and more junior experts. Students expressed the need to be alone with a patient and team to allow them to be in charge and experience the responsibility to assess, make decisions and communicate them. This was summarised under ‘personal challenge’ and related to the experience of being in charge of a patient, either simulated for students or real, for experts (focus groups 1-19, Interviews 1,2,4,6,8,9). Responsibility led to the realisation that students would need to rely on their own clinical and assessment skills to inform their judgment to make a decision (Field notes). </w:t>
      </w:r>
    </w:p>
    <w:p w14:paraId="49C5683B" w14:textId="77777777" w:rsidR="00AF1FB0" w:rsidRPr="00BD176B" w:rsidRDefault="00AF1FB0" w:rsidP="00AF1FB0">
      <w:pPr>
        <w:spacing w:line="240" w:lineRule="auto"/>
        <w:ind w:left="720"/>
        <w:rPr>
          <w:i/>
        </w:rPr>
      </w:pPr>
      <w:r>
        <w:rPr>
          <w:i/>
        </w:rPr>
        <w:t xml:space="preserve">‘I felt like a real doctor looking after a patient for the first time, I had not realised what I could make decisions about and which treatments I could start and whether I should ask first, it was so useful to experience this and then know who to call and how to get help and if I was not being clear see the impact of that’ </w:t>
      </w:r>
      <w:r w:rsidRPr="00AA7FAC">
        <w:t>(Focus group 12, Candidate 2).</w:t>
      </w:r>
    </w:p>
    <w:p w14:paraId="353C6D23" w14:textId="77777777" w:rsidR="00AF1FB0" w:rsidRDefault="00AF1FB0" w:rsidP="00AF1FB0">
      <w:r>
        <w:t xml:space="preserve">The stress and emotions related to this level of responsibility were described as overwhelming at times. </w:t>
      </w:r>
    </w:p>
    <w:p w14:paraId="6A33990D" w14:textId="77777777" w:rsidR="00AF1FB0" w:rsidRPr="00265CE4" w:rsidRDefault="00AF1FB0" w:rsidP="00AF1FB0">
      <w:pPr>
        <w:spacing w:line="240" w:lineRule="auto"/>
        <w:ind w:left="720"/>
        <w:rPr>
          <w:rFonts w:cs="Arial"/>
        </w:rPr>
      </w:pPr>
      <w:r w:rsidRPr="00652CEE">
        <w:rPr>
          <w:rFonts w:cs="Arial"/>
          <w:i/>
        </w:rPr>
        <w:lastRenderedPageBreak/>
        <w:t xml:space="preserve">‘there is a feeling that people are being overwhelmed with what they are being asked to do, that they are not equipped to deal with stress, to deal with multiple different people putting demands on them - their time and energy, to deal with night shifts and the pressure that puts you under in terms of sleep deprivation, poor quality sleep, poor </w:t>
      </w:r>
      <w:r>
        <w:rPr>
          <w:rFonts w:cs="Arial"/>
          <w:i/>
        </w:rPr>
        <w:t>decision-making</w:t>
      </w:r>
      <w:r w:rsidRPr="00652CEE">
        <w:rPr>
          <w:rFonts w:cs="Arial"/>
          <w:i/>
        </w:rPr>
        <w:t xml:space="preserve"> and I think that there are all sorts of thing that we could do to better prepare people emotionally….you know people… that you are looking after die…and that is something they have never experienced before. But equally when you are an FY1 you make mistakes, and you prescribe a drug that is the wrong drug or the wrong dose and someone gets ill…and you have</w:t>
      </w:r>
      <w:r w:rsidRPr="00652CEE">
        <w:rPr>
          <w:rFonts w:cs="Arial"/>
          <w:b/>
          <w:bCs/>
          <w:i/>
        </w:rPr>
        <w:t xml:space="preserve"> never </w:t>
      </w:r>
      <w:r w:rsidRPr="00652CEE">
        <w:rPr>
          <w:rFonts w:cs="Arial"/>
          <w:i/>
        </w:rPr>
        <w:t xml:space="preserve">experienced that before…everyday you are experiencing new…. emotional challenges and hurdles and experiences that you have </w:t>
      </w:r>
      <w:r w:rsidRPr="00652CEE">
        <w:rPr>
          <w:rFonts w:cs="Arial"/>
          <w:b/>
          <w:bCs/>
          <w:i/>
        </w:rPr>
        <w:t xml:space="preserve">never </w:t>
      </w:r>
      <w:r w:rsidRPr="00652CEE">
        <w:rPr>
          <w:rFonts w:cs="Arial"/>
          <w:i/>
        </w:rPr>
        <w:t xml:space="preserve">been exposed to before and they are so varied and so frequent that that grinds some people down’ </w:t>
      </w:r>
      <w:r w:rsidRPr="00652CEE">
        <w:rPr>
          <w:rFonts w:cs="Arial"/>
        </w:rPr>
        <w:t>(Interview 8).</w:t>
      </w:r>
    </w:p>
    <w:p w14:paraId="5883708C" w14:textId="77777777" w:rsidR="00AF1FB0" w:rsidRDefault="00AF1FB0" w:rsidP="00AF1FB0">
      <w:r>
        <w:t xml:space="preserve">Some students were quick to make decisions and act, while others felt unsure about making a decision, due to their lack of awareness of role and expectations (Field notes final intervention study). This was labelled as ‘emotional challenge’ - felt to be individual and echoed the idea and importance of ‘emotional preparedness’. </w:t>
      </w:r>
    </w:p>
    <w:p w14:paraId="4581891F" w14:textId="77777777" w:rsidR="00AF1FB0" w:rsidRDefault="00AF1FB0" w:rsidP="00AF1FB0">
      <w:r>
        <w:t xml:space="preserve">Creating a support network and a space to debrief and reflect on the emotional challenges of being a FY1 was considered vital to preparedness, especially when dealing with mistakes and errors. </w:t>
      </w:r>
    </w:p>
    <w:p w14:paraId="15763112" w14:textId="77777777" w:rsidR="00AF1FB0" w:rsidRPr="00BD176B" w:rsidRDefault="00AF1FB0" w:rsidP="00AF1FB0">
      <w:pPr>
        <w:spacing w:line="240" w:lineRule="auto"/>
        <w:ind w:left="720"/>
        <w:rPr>
          <w:i/>
        </w:rPr>
      </w:pPr>
      <w:r w:rsidRPr="00BD176B">
        <w:rPr>
          <w:i/>
        </w:rPr>
        <w:t xml:space="preserve">‘It was odd being responsible and realising my patient was not getting better and initially it felt like a failure, like I did not know enough, now I realise if a patient is not getting better it is because they need escalating’ </w:t>
      </w:r>
      <w:r>
        <w:t>(Focus group 10, Can</w:t>
      </w:r>
      <w:r w:rsidRPr="00AA7FAC">
        <w:t>di</w:t>
      </w:r>
      <w:r>
        <w:t>d</w:t>
      </w:r>
      <w:r w:rsidRPr="00AA7FAC">
        <w:t>ate 3).</w:t>
      </w:r>
    </w:p>
    <w:p w14:paraId="72454BF7" w14:textId="77777777" w:rsidR="00AF1FB0" w:rsidRDefault="00AF1FB0" w:rsidP="00AF1FB0">
      <w:r>
        <w:t xml:space="preserve">Experts described human fallibility and the inevitability of mistakes, highlighting the importance of educating about how to learn </w:t>
      </w:r>
      <w:proofErr w:type="spellStart"/>
      <w:r>
        <w:t>form</w:t>
      </w:r>
      <w:proofErr w:type="spellEnd"/>
      <w:r>
        <w:t xml:space="preserve"> error and employ human factors science to understand prevention (Interviews 6 and 8). </w:t>
      </w:r>
    </w:p>
    <w:p w14:paraId="6780270F" w14:textId="77777777" w:rsidR="00AF1FB0" w:rsidRPr="00265CE4" w:rsidRDefault="00AF1FB0" w:rsidP="00AF1FB0">
      <w:pPr>
        <w:spacing w:line="240" w:lineRule="auto"/>
        <w:ind w:left="720"/>
        <w:rPr>
          <w:rFonts w:cs="Arial"/>
        </w:rPr>
      </w:pPr>
      <w:r w:rsidRPr="00652CEE">
        <w:rPr>
          <w:rFonts w:cs="Arial"/>
          <w:i/>
        </w:rPr>
        <w:t xml:space="preserve">‘I still think that there is still a failure to recognise, and I’m talking generally, there is a failure to recognise that error is normal and that humans are fallible. So we dress it all up in ‘well if you work harder, if you try harder, if we teach you more then you won’t make a mistake. I was </w:t>
      </w:r>
      <w:r w:rsidRPr="00652CEE">
        <w:rPr>
          <w:rFonts w:cs="Arial"/>
          <w:i/>
        </w:rPr>
        <w:lastRenderedPageBreak/>
        <w:t>talking to some F2s just the other day and they were sharing with me that the greatest challenge for them when they come to a rotation or to a particular placement is understanding what the ‘rules’ are so that they ‘get it right’ as opposed to doing the doctoring’</w:t>
      </w:r>
      <w:r w:rsidRPr="00652CEE">
        <w:rPr>
          <w:rFonts w:cs="Arial"/>
        </w:rPr>
        <w:t xml:space="preserve"> (Interview 6).</w:t>
      </w:r>
    </w:p>
    <w:p w14:paraId="3A674CAE" w14:textId="77777777" w:rsidR="00AF1FB0" w:rsidRDefault="00AF1FB0" w:rsidP="00AF1FB0">
      <w:r>
        <w:t xml:space="preserve">As well as clarity of expectations, knowing how to meet them was key, plus knowing when and how to call for help, and what seniors expected from a phone call (Field notes, focus groups 4,6,7). The misconception that seniors did not want to ‘be bothered’ demonstrated a potential issue with hierarchy and the hidden curriculum, which was corrected at an early stage. Learning from this was vital and was felt would lead to behavioural change by the medical students when on the wards (Field notes, focus groups 1,6,7,9). Having senior members of clinical teams as faculty meant that this could be role modelled in a powerful authentic way, so students were able to trust that they would be listened to and should call early if concerned (Field notes). </w:t>
      </w:r>
    </w:p>
    <w:p w14:paraId="27F58E12" w14:textId="77777777" w:rsidR="00AF1FB0" w:rsidRPr="00BD176B" w:rsidRDefault="00AF1FB0" w:rsidP="00AF1FB0">
      <w:pPr>
        <w:spacing w:line="240" w:lineRule="auto"/>
        <w:ind w:left="720"/>
        <w:rPr>
          <w:i/>
        </w:rPr>
      </w:pPr>
      <w:r w:rsidRPr="00BD176B">
        <w:rPr>
          <w:i/>
        </w:rPr>
        <w:t xml:space="preserve">‘I was worried about calling my senior in case they thought I did not know enough, I thought they were busy and did not want to disturb them. I now know that they are responsible for the patient too so need to know soon if they are unwell, they would expect to be </w:t>
      </w:r>
      <w:r>
        <w:rPr>
          <w:i/>
        </w:rPr>
        <w:t xml:space="preserve">contacted’ </w:t>
      </w:r>
      <w:r w:rsidRPr="00AA7FAC">
        <w:t>(Focus group 14, Candidate 5).</w:t>
      </w:r>
    </w:p>
    <w:p w14:paraId="125820BC" w14:textId="77777777" w:rsidR="00AF1FB0" w:rsidRDefault="00AF1FB0" w:rsidP="00AF1FB0"/>
    <w:p w14:paraId="59EC77C1" w14:textId="77777777" w:rsidR="00AF1FB0" w:rsidRPr="00FA1D51" w:rsidRDefault="00AF1FB0" w:rsidP="00AF1FB0">
      <w:pPr>
        <w:rPr>
          <w:i/>
        </w:rPr>
      </w:pPr>
      <w:r w:rsidRPr="00FA1D51">
        <w:rPr>
          <w:i/>
        </w:rPr>
        <w:t>Transition</w:t>
      </w:r>
    </w:p>
    <w:p w14:paraId="5FBB0E70" w14:textId="77777777" w:rsidR="00AF1FB0" w:rsidRDefault="00AF1FB0" w:rsidP="00AF1FB0">
      <w:r>
        <w:t xml:space="preserve">Transition was felt to be heavily related to responsibility and the transition from undergraduate, where they felt no responsibility, to overnight, perceived full responsibility on the ward (focus groups 2,7,11,15). It was felt this should be graded to better support this transition and help with preparedness. </w:t>
      </w:r>
    </w:p>
    <w:p w14:paraId="2625CB09" w14:textId="77777777" w:rsidR="00AF1FB0" w:rsidRPr="00BE5CD5" w:rsidRDefault="00AF1FB0" w:rsidP="00AF1FB0">
      <w:pPr>
        <w:spacing w:line="240" w:lineRule="auto"/>
        <w:ind w:left="720"/>
        <w:rPr>
          <w:i/>
        </w:rPr>
      </w:pPr>
      <w:r w:rsidRPr="00BE5CD5">
        <w:rPr>
          <w:i/>
        </w:rPr>
        <w:t xml:space="preserve">‘I thought I was ready to be an FY1 and doing this has made me realise I was not, I was unaware of what was expected of me. I know how it feels </w:t>
      </w:r>
      <w:r>
        <w:rPr>
          <w:i/>
        </w:rPr>
        <w:lastRenderedPageBreak/>
        <w:t>now</w:t>
      </w:r>
      <w:r w:rsidRPr="00BE5CD5">
        <w:rPr>
          <w:i/>
        </w:rPr>
        <w:t>, when I am the first to a p</w:t>
      </w:r>
      <w:r>
        <w:rPr>
          <w:i/>
        </w:rPr>
        <w:t>atient and I start on nights,</w:t>
      </w:r>
      <w:r w:rsidRPr="00BE5CD5">
        <w:rPr>
          <w:i/>
        </w:rPr>
        <w:t xml:space="preserve"> it has been really useful to know how to get help and that we may not always know what is wrong with the patient at first’ </w:t>
      </w:r>
      <w:r w:rsidRPr="00AA7FAC">
        <w:t>(Focus group 17, Candidate 4).</w:t>
      </w:r>
    </w:p>
    <w:p w14:paraId="12EAE4C6" w14:textId="77777777" w:rsidR="00AF1FB0" w:rsidRDefault="00AF1FB0" w:rsidP="00AF1FB0">
      <w:r>
        <w:t xml:space="preserve">Support through apprenticeship models were described as valuable and the idea of ‘scaffolding’, that as students develop within a supported structure, it is withdrawn gradually as they become more independent and competent (Interview 2, field notes). </w:t>
      </w:r>
    </w:p>
    <w:p w14:paraId="585744DD" w14:textId="77777777" w:rsidR="00AF1FB0" w:rsidRPr="00816223" w:rsidRDefault="00AF1FB0" w:rsidP="00AF1FB0">
      <w:pPr>
        <w:spacing w:line="240" w:lineRule="auto"/>
        <w:ind w:left="720"/>
        <w:rPr>
          <w:rFonts w:cs="Arial"/>
        </w:rPr>
      </w:pPr>
      <w:r w:rsidRPr="00652CEE">
        <w:rPr>
          <w:rFonts w:cs="Arial"/>
          <w:i/>
        </w:rPr>
        <w:t>‘</w:t>
      </w:r>
      <w:r>
        <w:rPr>
          <w:rFonts w:cs="Arial"/>
          <w:i/>
        </w:rPr>
        <w:t>you hope for</w:t>
      </w:r>
      <w:r w:rsidRPr="00652CEE">
        <w:rPr>
          <w:rFonts w:cs="Arial"/>
          <w:i/>
        </w:rPr>
        <w:t xml:space="preserve"> a </w:t>
      </w:r>
      <w:r>
        <w:rPr>
          <w:rFonts w:cs="Arial"/>
          <w:i/>
        </w:rPr>
        <w:t>personal be</w:t>
      </w:r>
      <w:r w:rsidRPr="00A66151">
        <w:rPr>
          <w:rFonts w:cs="Arial"/>
          <w:i/>
        </w:rPr>
        <w:t xml:space="preserve">havioural change to occur as a </w:t>
      </w:r>
      <w:r w:rsidRPr="00652CEE">
        <w:rPr>
          <w:rFonts w:cs="Arial"/>
          <w:i/>
        </w:rPr>
        <w:t>response to the event and reflect and discuss it during th</w:t>
      </w:r>
      <w:r>
        <w:rPr>
          <w:rFonts w:cs="Arial"/>
          <w:i/>
        </w:rPr>
        <w:t>e debrief, you create a scaffold for the</w:t>
      </w:r>
      <w:r w:rsidRPr="00E51EBE">
        <w:rPr>
          <w:rFonts w:cs="Arial"/>
          <w:i/>
        </w:rPr>
        <w:t xml:space="preserve"> s</w:t>
      </w:r>
      <w:r w:rsidRPr="00652CEE">
        <w:rPr>
          <w:rFonts w:cs="Arial"/>
          <w:i/>
        </w:rPr>
        <w:t xml:space="preserve">tudents and then gradually remove it as they get more confident </w:t>
      </w:r>
      <w:r w:rsidRPr="00652CEE">
        <w:rPr>
          <w:rFonts w:cs="Arial"/>
        </w:rPr>
        <w:t xml:space="preserve"> (Interview 2).</w:t>
      </w:r>
    </w:p>
    <w:p w14:paraId="26F9B052" w14:textId="77777777" w:rsidR="00AF1FB0" w:rsidRDefault="00AF1FB0" w:rsidP="00AF1FB0">
      <w:r>
        <w:t>This was felt to be individual and reliant on a well-trained and dedicated mentor (Field notes, interviews 1,2,6,8). Out of hours experience was felt to be important to increase exposure to acute events. The hospital was described as ‘different’ at night, with fewer staff and limited availability of resources (Interview 1). Students voiced concern about doing their first night shifts, ‘</w:t>
      </w:r>
      <w:r w:rsidRPr="00AA7FAC">
        <w:rPr>
          <w:i/>
        </w:rPr>
        <w:t>who would be available?</w:t>
      </w:r>
      <w:r>
        <w:t>’ and ‘</w:t>
      </w:r>
      <w:r w:rsidRPr="00AA7FAC">
        <w:rPr>
          <w:i/>
        </w:rPr>
        <w:t>would they be able to cope?</w:t>
      </w:r>
      <w:r>
        <w:t>’ (Focus groups 2, Candidate 2).</w:t>
      </w:r>
    </w:p>
    <w:p w14:paraId="53EE120E" w14:textId="77777777" w:rsidR="00AF1FB0" w:rsidRPr="00FA1D51" w:rsidRDefault="00AF1FB0" w:rsidP="00AF1FB0">
      <w:pPr>
        <w:rPr>
          <w:i/>
        </w:rPr>
      </w:pPr>
      <w:r w:rsidRPr="00FA1D51">
        <w:rPr>
          <w:i/>
        </w:rPr>
        <w:t>Ownership</w:t>
      </w:r>
    </w:p>
    <w:p w14:paraId="6F377BE0" w14:textId="77777777" w:rsidR="00AF1FB0" w:rsidRDefault="00AF1FB0" w:rsidP="00AF1FB0">
      <w:r>
        <w:t xml:space="preserve">Ownership was considered an important subtheme in terms of patients who FY1s were responsible for, their decisions and actions or inactions (Field notes). Ownership of mistakes and how to take responsibility for them by informing and escalating to resolve the problem, then explaining to the patient and family to create an open culture was discussed (Field notes, interviews 2, 6). Experience of dealing with emotions triggered from mistakes was felt to close the loop of learning (Interviews 2,6,8). </w:t>
      </w:r>
    </w:p>
    <w:p w14:paraId="3E982395" w14:textId="77777777" w:rsidR="00AF1FB0" w:rsidRDefault="00AF1FB0" w:rsidP="00AF1FB0">
      <w:r>
        <w:lastRenderedPageBreak/>
        <w:t xml:space="preserve">Awareness and ownership of personal strengths and weaknesses, including leadership styles was important. This included how to work with others to create effective teamwork and patient care by enhancing strengths and knowing how to recruit help for areas of weakness (Field notes). </w:t>
      </w:r>
    </w:p>
    <w:p w14:paraId="6D99D17C" w14:textId="43C672AA" w:rsidR="00AF1FB0" w:rsidRPr="002664CC" w:rsidRDefault="00AF1FB0" w:rsidP="00AF1FB0">
      <w:pPr>
        <w:spacing w:line="240" w:lineRule="auto"/>
        <w:ind w:left="560"/>
        <w:rPr>
          <w:i/>
        </w:rPr>
      </w:pPr>
      <w:r w:rsidRPr="002664CC">
        <w:rPr>
          <w:i/>
        </w:rPr>
        <w:t>‘I said ‘my nurse’ and then couldn’t remember her name, then when I got stressed I was not polite and I got less help. I was so distracted by the patient that I was not thinking about being polite, but I realis</w:t>
      </w:r>
      <w:r w:rsidR="00345C07">
        <w:rPr>
          <w:i/>
        </w:rPr>
        <w:t>e it is important for good team</w:t>
      </w:r>
      <w:r w:rsidRPr="002664CC">
        <w:rPr>
          <w:i/>
        </w:rPr>
        <w:t xml:space="preserve">work and I need to work on that as need all the help I can get’ </w:t>
      </w:r>
      <w:r w:rsidRPr="00AA7FAC">
        <w:t xml:space="preserve">(Focus group 14, Candidate 3). </w:t>
      </w:r>
    </w:p>
    <w:p w14:paraId="41067164" w14:textId="77777777" w:rsidR="00AF1FB0" w:rsidRPr="00652CEE" w:rsidRDefault="00AF1FB0" w:rsidP="00AF1FB0">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Helvetica" w:hAnsi="Arial" w:cs="Arial"/>
        </w:rPr>
      </w:pPr>
      <w:r w:rsidRPr="00265CE4">
        <w:rPr>
          <w:rFonts w:ascii="Arial" w:hAnsi="Arial" w:cs="Arial"/>
          <w:i/>
        </w:rPr>
        <w:t>‘</w:t>
      </w:r>
      <w:r w:rsidRPr="00652CEE">
        <w:rPr>
          <w:rFonts w:ascii="Arial" w:hAnsi="Arial" w:cs="Arial"/>
          <w:i/>
        </w:rPr>
        <w:t>sometimes it's more about exploring concepts and running short exercises with them on teamwork and communication that explains a particular point we are trying to make about communication. We tell a lot of stories, because stories are what people remember and take away with them. At a very junior level, not being able to speak up is absolutely critical for a foundation doctor or a junior nurse and there are any number of stories that point out if that person had felt more confident in speaking up the patient would</w:t>
      </w:r>
      <w:r>
        <w:rPr>
          <w:rFonts w:ascii="Arial" w:hAnsi="Arial" w:cs="Arial"/>
          <w:i/>
        </w:rPr>
        <w:t xml:space="preserve"> not</w:t>
      </w:r>
      <w:r w:rsidRPr="00652CEE">
        <w:rPr>
          <w:rFonts w:ascii="Arial" w:hAnsi="Arial" w:cs="Arial"/>
          <w:i/>
        </w:rPr>
        <w:t xml:space="preserve"> have suffered’ </w:t>
      </w:r>
      <w:r w:rsidRPr="00652CEE">
        <w:rPr>
          <w:rFonts w:ascii="Arial" w:hAnsi="Arial" w:cs="Arial"/>
        </w:rPr>
        <w:t>(Interview 2)</w:t>
      </w:r>
    </w:p>
    <w:p w14:paraId="2F38E02C" w14:textId="77777777" w:rsidR="00AF1FB0" w:rsidRDefault="00AF1FB0" w:rsidP="00AF1FB0">
      <w:r>
        <w:t xml:space="preserve">This was felt to require reflective practice, emotional intelligence and insight and was brought out well during the facilitated debrief (Field notes). Moving from delivering feedback to facilitating a debrief allowed students the independent thinking and space to discover their own strengths and weaknesses with context specific examples, consequences and strategies to improve (Field notes). </w:t>
      </w:r>
    </w:p>
    <w:p w14:paraId="33FCBF78" w14:textId="77777777" w:rsidR="00AF1FB0" w:rsidRPr="00FA1D51" w:rsidRDefault="00AF1FB0" w:rsidP="00AF1FB0">
      <w:pPr>
        <w:rPr>
          <w:i/>
        </w:rPr>
      </w:pPr>
      <w:r w:rsidRPr="00FA1D51">
        <w:rPr>
          <w:i/>
        </w:rPr>
        <w:t>Engagement</w:t>
      </w:r>
    </w:p>
    <w:p w14:paraId="024A1D03" w14:textId="77777777" w:rsidR="00AF1FB0" w:rsidRDefault="00AF1FB0" w:rsidP="00AF1FB0">
      <w:r>
        <w:t xml:space="preserve">Engagement came back to belonging and feeling a responsibility for a team and a valued member of that team (Field notes, focus groups 4,5,14). The concept of shared responsibility was an important realisation for students, remembering their consultant had ultimate responsibility for a patient, so if deteriorating or needing escalation, the team wanted to be involved (Field notes). </w:t>
      </w:r>
    </w:p>
    <w:p w14:paraId="7047BB54" w14:textId="3DC5DB23" w:rsidR="00AF1FB0" w:rsidRPr="002664CC" w:rsidRDefault="00AF1FB0" w:rsidP="00AF1FB0">
      <w:pPr>
        <w:spacing w:line="240" w:lineRule="auto"/>
        <w:ind w:left="720"/>
        <w:rPr>
          <w:i/>
        </w:rPr>
      </w:pPr>
      <w:r w:rsidRPr="002664CC">
        <w:rPr>
          <w:i/>
        </w:rPr>
        <w:lastRenderedPageBreak/>
        <w:t xml:space="preserve">‘I called my registrar but they did not help, I did not think that would ever happen, the nurse suggested I call the consultant and the consultant was annoyed with the registrar not me and was glad I had called, I learnt that if I am not happy I </w:t>
      </w:r>
      <w:r w:rsidR="00345C07" w:rsidRPr="002664CC">
        <w:rPr>
          <w:i/>
        </w:rPr>
        <w:t>should</w:t>
      </w:r>
      <w:r w:rsidRPr="002664CC">
        <w:rPr>
          <w:i/>
        </w:rPr>
        <w:t xml:space="preserve"> escalate, even though it felt uncomfortable it was the best thing for the patient’ </w:t>
      </w:r>
      <w:r w:rsidRPr="00AA7FAC">
        <w:t>(Focus group 19, Candidate 4).</w:t>
      </w:r>
      <w:r w:rsidRPr="002664CC">
        <w:rPr>
          <w:i/>
        </w:rPr>
        <w:t xml:space="preserve"> </w:t>
      </w:r>
    </w:p>
    <w:p w14:paraId="0AEA6B0D" w14:textId="77777777" w:rsidR="00AF1FB0" w:rsidRDefault="00AF1FB0" w:rsidP="00AF1FB0">
      <w:r>
        <w:t xml:space="preserve">This feeling of value, role within a team, with a clear line of contact for help were felt to empower students to make decisions, including calling for help. This was seen to impact patient care in that faster decisions to treat or get help were made, in particular getting the ‘crash team’ early when patients were deteriorating (Field notes). </w:t>
      </w:r>
    </w:p>
    <w:p w14:paraId="5E197A8F" w14:textId="77777777" w:rsidR="00AF1FB0" w:rsidRDefault="00AF1FB0" w:rsidP="00AF1FB0">
      <w:pPr>
        <w:spacing w:line="240" w:lineRule="auto"/>
        <w:ind w:left="720"/>
        <w:rPr>
          <w:rFonts w:cs="Arial"/>
        </w:rPr>
      </w:pPr>
      <w:r w:rsidRPr="00652CEE">
        <w:rPr>
          <w:rFonts w:cs="Arial"/>
          <w:i/>
        </w:rPr>
        <w:t>‘</w:t>
      </w:r>
      <w:r w:rsidRPr="0033498A">
        <w:rPr>
          <w:rFonts w:cs="Arial"/>
          <w:i/>
        </w:rPr>
        <w:t>We</w:t>
      </w:r>
      <w:r w:rsidRPr="00652CEE">
        <w:rPr>
          <w:rFonts w:cs="Arial"/>
          <w:i/>
        </w:rPr>
        <w:t xml:space="preserve"> remember things that activated the emotion part of our brains and that we don’t remember things that don’t…and that’s why we all remember our mistakes, for example in clinical practice, because they activated our emotional pathways, neuronal pathways much more than the patients that got better and went home and did well, who we very quickly forget and so I think you remember things that were difficult’</w:t>
      </w:r>
      <w:r w:rsidRPr="00652CEE">
        <w:rPr>
          <w:rFonts w:cs="Arial"/>
        </w:rPr>
        <w:t xml:space="preserve"> (Interview 8).</w:t>
      </w:r>
    </w:p>
    <w:p w14:paraId="127F9991" w14:textId="77777777" w:rsidR="00AF1FB0" w:rsidRPr="00FA1D51" w:rsidRDefault="00AF1FB0" w:rsidP="00AF1FB0">
      <w:pPr>
        <w:spacing w:line="240" w:lineRule="auto"/>
        <w:ind w:left="720"/>
        <w:rPr>
          <w:rFonts w:cs="Arial"/>
        </w:rPr>
      </w:pPr>
    </w:p>
    <w:p w14:paraId="44330C71" w14:textId="77777777" w:rsidR="00AF1FB0" w:rsidRPr="00FA1D51" w:rsidRDefault="00AF1FB0" w:rsidP="00AF1FB0">
      <w:pPr>
        <w:rPr>
          <w:i/>
        </w:rPr>
      </w:pPr>
      <w:r w:rsidRPr="00FA1D51">
        <w:rPr>
          <w:i/>
        </w:rPr>
        <w:t>Behavioural understanding under pressure</w:t>
      </w:r>
    </w:p>
    <w:p w14:paraId="757130CD" w14:textId="77777777" w:rsidR="00AF1FB0" w:rsidRDefault="00AF1FB0" w:rsidP="00AF1FB0">
      <w:r>
        <w:t xml:space="preserve">‘Behavioural understanding under pressure’ encompassed the opportunity to experience own behaviour when responsible for a patient. </w:t>
      </w:r>
    </w:p>
    <w:p w14:paraId="126A1BF1" w14:textId="77777777" w:rsidR="00AF1FB0" w:rsidRPr="00EB5D85" w:rsidRDefault="00AF1FB0" w:rsidP="00AF1FB0">
      <w:pPr>
        <w:spacing w:line="240" w:lineRule="auto"/>
        <w:ind w:left="720"/>
        <w:rPr>
          <w:i/>
        </w:rPr>
      </w:pPr>
      <w:r w:rsidRPr="00EB5D85">
        <w:rPr>
          <w:i/>
        </w:rPr>
        <w:t xml:space="preserve">‘I didn’t realise that sometimes I sound rude when I am panicking and stressed. I also got defensive with the nurses making suggestions as felt like they might think I did not know what I was doing. I did not know what to do, so would have been better to get as much of their help as possible’ </w:t>
      </w:r>
      <w:r w:rsidRPr="003D55B3">
        <w:t>(Focus group 10, Candidate 3).</w:t>
      </w:r>
    </w:p>
    <w:p w14:paraId="0BBE9C95" w14:textId="77777777" w:rsidR="00AF1FB0" w:rsidRDefault="00AF1FB0" w:rsidP="00AF1FB0">
      <w:r>
        <w:t xml:space="preserve">This included discovery of limitations, experience of cognitive overload and the resultant effect on ability to think, make judgments, decisions and act (Field notes). There was a spectrum of behaviours seen, most erring on cautious, taking time to use the evidence presented to make a decisions then accessing </w:t>
      </w:r>
      <w:r>
        <w:lastRenderedPageBreak/>
        <w:t xml:space="preserve">help through team, resources and guidelines (Field notes). At the extremes, over confidence and inhibitory behaviour due to complete lack of confidence in skills and decisions had less safe outcomes, demonstrating the risk of fast actions and inactions and consequences (Field notes, case studies). </w:t>
      </w:r>
    </w:p>
    <w:p w14:paraId="2A89C42A" w14:textId="77777777" w:rsidR="00AF1FB0" w:rsidRPr="00265CE4"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‘I think it's very much about people understanding their response in crisis or their response under pressure… those sort of simulations invite the individual to think about their own response in relation to the tasks, the environment, the system, it’s design, their team members and invites them to look at that in a much more structured way so that they are more receptive to different ways of working once they understand how they react under pressure’</w:t>
      </w:r>
      <w:r w:rsidRPr="00652CEE">
        <w:rPr>
          <w:rFonts w:cs="Arial"/>
        </w:rPr>
        <w:t xml:space="preserve"> (Interview 6).</w:t>
      </w:r>
    </w:p>
    <w:p w14:paraId="02375667" w14:textId="77777777" w:rsidR="00AF1FB0" w:rsidRDefault="00AF1FB0" w:rsidP="00AF1FB0">
      <w:r>
        <w:t xml:space="preserve">The ability to allow improved self–awareness was felt vital to self-regulation in terms of self–management of decision-making, thought processes and actions, or ‘fit to think, fit to process and fit to act’ (Interview 3). These behavioural elements fed into professionalism and lines of responsibility within NHS teams. </w:t>
      </w:r>
    </w:p>
    <w:p w14:paraId="1FFA6A69" w14:textId="77777777" w:rsidR="00AF1FB0" w:rsidRPr="00FA1D51" w:rsidRDefault="00AF1FB0" w:rsidP="00AF1FB0">
      <w:pPr>
        <w:rPr>
          <w:i/>
        </w:rPr>
      </w:pPr>
      <w:r w:rsidRPr="00FA1D51">
        <w:rPr>
          <w:i/>
        </w:rPr>
        <w:t>Taking control</w:t>
      </w:r>
    </w:p>
    <w:p w14:paraId="64D11270" w14:textId="77777777" w:rsidR="00AF1FB0" w:rsidRDefault="00AF1FB0" w:rsidP="00AF1FB0">
      <w:r>
        <w:t>The final subtheme relating to responsibility was taking control. This linked with the experience of responsibility, stress of cognitive overload, then employing a cognitive framework to make a judgment and decision to take control of the uncertainty. Taking responsibility for the environment and situation required taking control of self, then the clinical situation (Field notes).</w:t>
      </w:r>
    </w:p>
    <w:p w14:paraId="43BD50CB" w14:textId="77777777" w:rsidR="00AF1FB0" w:rsidRDefault="00AF1FB0" w:rsidP="00AF1FB0">
      <w:pPr>
        <w:spacing w:line="240" w:lineRule="auto"/>
        <w:ind w:left="720"/>
      </w:pPr>
      <w:r w:rsidRPr="00652CEE">
        <w:rPr>
          <w:rFonts w:cs="Arial"/>
          <w:i/>
        </w:rPr>
        <w:t>‘</w:t>
      </w:r>
      <w:r w:rsidRPr="0033498A">
        <w:rPr>
          <w:rFonts w:cs="Arial"/>
          <w:i/>
        </w:rPr>
        <w:t>You</w:t>
      </w:r>
      <w:r w:rsidRPr="00652CEE">
        <w:rPr>
          <w:rFonts w:cs="Arial"/>
          <w:i/>
        </w:rPr>
        <w:t xml:space="preserve"> learn to </w:t>
      </w:r>
      <w:proofErr w:type="spellStart"/>
      <w:r w:rsidRPr="00652CEE">
        <w:rPr>
          <w:rFonts w:cs="Arial"/>
          <w:i/>
        </w:rPr>
        <w:t>self correct</w:t>
      </w:r>
      <w:proofErr w:type="spellEnd"/>
      <w:r w:rsidRPr="00652CEE">
        <w:rPr>
          <w:rFonts w:cs="Arial"/>
          <w:i/>
        </w:rPr>
        <w:t xml:space="preserve"> over time and that I suppose the opportunity of modern training is that you have a lower volume of patients but far less tolerance of error. Simulation can kind of recreate the sick patients but have people make their mistakes in a simulated environment, which I guess in my area you didn't, you made your mistakes in the work environment which is not optimal’</w:t>
      </w:r>
      <w:r>
        <w:rPr>
          <w:rFonts w:cs="Arial"/>
        </w:rPr>
        <w:t xml:space="preserve"> (Interview 4). </w:t>
      </w:r>
      <w:r>
        <w:t xml:space="preserve"> </w:t>
      </w:r>
    </w:p>
    <w:p w14:paraId="50D14A1F" w14:textId="77777777" w:rsidR="00AF1FB0" w:rsidRDefault="00AF1FB0" w:rsidP="00AF1FB0">
      <w:r>
        <w:lastRenderedPageBreak/>
        <w:t xml:space="preserve">This was felt to require reflection in action to recognise limitations, recruit others or strategies to support weaknesses, self-management and emotional resilience. </w:t>
      </w:r>
    </w:p>
    <w:p w14:paraId="081560F4" w14:textId="173310EF" w:rsidR="00AF1FB0" w:rsidRPr="00EB5D85" w:rsidRDefault="00AF1FB0" w:rsidP="00AF1FB0">
      <w:pPr>
        <w:spacing w:line="240" w:lineRule="auto"/>
        <w:ind w:left="576"/>
        <w:rPr>
          <w:i/>
        </w:rPr>
      </w:pPr>
      <w:r w:rsidRPr="00EB5D85">
        <w:rPr>
          <w:i/>
        </w:rPr>
        <w:t xml:space="preserve">‘I feel like </w:t>
      </w:r>
      <w:r w:rsidR="00345C07" w:rsidRPr="00EB5D85">
        <w:rPr>
          <w:i/>
        </w:rPr>
        <w:t>I</w:t>
      </w:r>
      <w:r w:rsidRPr="00EB5D85">
        <w:rPr>
          <w:i/>
        </w:rPr>
        <w:t xml:space="preserve"> will not get stuck now when I am stressed, as have a structure for assessment and know when I start to feel stuck I need help and who to call and what to say to get the help I need. We know SBAR, but until I had to call when stressed it is so difficult’ </w:t>
      </w:r>
      <w:r w:rsidRPr="003D55B3">
        <w:t>(Focus group 16, Candidate 3).</w:t>
      </w:r>
    </w:p>
    <w:p w14:paraId="37353460" w14:textId="77777777" w:rsidR="00AF1FB0" w:rsidRPr="003D55B3" w:rsidRDefault="00AF1FB0" w:rsidP="00AF1FB0">
      <w:pPr>
        <w:spacing w:line="240" w:lineRule="auto"/>
        <w:ind w:left="576"/>
        <w:rPr>
          <w:rFonts w:cs="Arial"/>
        </w:rPr>
      </w:pPr>
      <w:r w:rsidRPr="00652CEE">
        <w:rPr>
          <w:rFonts w:cs="Arial"/>
          <w:i/>
        </w:rPr>
        <w:t>‘It is all about teaching juniors the way that is appropriate to challenge their seniors because clearly none of us particularly enjoy being challenged by our juniors and none of us want a junior to be rude in the way that they do that. So it’s about teaching them ways to do it and it’s also about changing the culture amongst senior doctors so that it is appropriate and helpful and improves safety. So hierarchy is clearly a massive influence on the way in which people behave…massive’</w:t>
      </w:r>
      <w:r w:rsidRPr="00652CEE">
        <w:rPr>
          <w:rFonts w:cs="Arial"/>
        </w:rPr>
        <w:t xml:space="preserve"> (Interview 8).</w:t>
      </w:r>
    </w:p>
    <w:p w14:paraId="0F272883" w14:textId="77777777" w:rsidR="00AF1FB0" w:rsidRDefault="00AF1FB0" w:rsidP="00AF1FB0"/>
    <w:p w14:paraId="6C49D0B3" w14:textId="77777777" w:rsidR="00AF1FB0" w:rsidRPr="00FA1D51" w:rsidRDefault="00AF1FB0" w:rsidP="00AF1FB0">
      <w:r w:rsidRPr="00FA1D51">
        <w:rPr>
          <w:b/>
          <w:i/>
        </w:rPr>
        <w:t>Level of pressure in simulation-based medical education</w:t>
      </w:r>
    </w:p>
    <w:p w14:paraId="66D85C2F" w14:textId="77777777" w:rsidR="00AF1FB0" w:rsidRDefault="00AF1FB0" w:rsidP="00AF1FB0">
      <w:r>
        <w:t>The concept of practice under pressure recurred throughout these data and the opportunity that SBME created was seen to add value to trainee experience when preparing for practice. The concept of grading this pressure with responsibility and individual learning were highlighted as important, requiring emotional intelligence from faculty to judge this dynamic level. Getting the right level of pressure was seen as a complex challenge, so was explored separately.</w:t>
      </w:r>
    </w:p>
    <w:p w14:paraId="15556C57" w14:textId="77777777" w:rsidR="00AF1FB0" w:rsidRDefault="00AF1FB0" w:rsidP="00AF1FB0">
      <w:r>
        <w:t>Seven main themes emerged related to level of pressure with regards to SBME:</w:t>
      </w:r>
    </w:p>
    <w:p w14:paraId="092A035A" w14:textId="77777777" w:rsidR="00AF1FB0" w:rsidRPr="003C1F62" w:rsidRDefault="00AF1FB0" w:rsidP="00AF1FB0">
      <w:pPr>
        <w:pStyle w:val="ListParagraph"/>
        <w:numPr>
          <w:ilvl w:val="0"/>
          <w:numId w:val="12"/>
        </w:numPr>
        <w:spacing w:line="480" w:lineRule="auto"/>
        <w:rPr>
          <w:rFonts w:cs="Arial"/>
          <w:szCs w:val="24"/>
        </w:rPr>
      </w:pPr>
      <w:r w:rsidRPr="00B54415">
        <w:rPr>
          <w:rFonts w:ascii="Arial" w:hAnsi="Arial" w:cs="Arial"/>
          <w:sz w:val="24"/>
          <w:szCs w:val="24"/>
        </w:rPr>
        <w:t>Optimum level – ‘the art of simulation’</w:t>
      </w:r>
      <w:r>
        <w:rPr>
          <w:rFonts w:ascii="Arial" w:hAnsi="Arial" w:cs="Arial"/>
          <w:sz w:val="24"/>
          <w:szCs w:val="24"/>
        </w:rPr>
        <w:t>.</w:t>
      </w:r>
    </w:p>
    <w:p w14:paraId="2BCF3A96" w14:textId="77777777" w:rsidR="00AF1FB0" w:rsidRPr="003C1F62" w:rsidRDefault="00AF1FB0" w:rsidP="00AF1FB0">
      <w:pPr>
        <w:pStyle w:val="ListParagraph"/>
        <w:numPr>
          <w:ilvl w:val="0"/>
          <w:numId w:val="12"/>
        </w:numPr>
        <w:spacing w:line="480" w:lineRule="auto"/>
        <w:rPr>
          <w:rFonts w:cs="Arial"/>
          <w:szCs w:val="24"/>
        </w:rPr>
      </w:pPr>
      <w:r w:rsidRPr="00B54415">
        <w:rPr>
          <w:rFonts w:ascii="Arial" w:hAnsi="Arial" w:cs="Arial"/>
          <w:sz w:val="24"/>
          <w:szCs w:val="24"/>
        </w:rPr>
        <w:t>Objective ‘right level’</w:t>
      </w:r>
      <w:r>
        <w:rPr>
          <w:rFonts w:ascii="Arial" w:hAnsi="Arial" w:cs="Arial"/>
          <w:sz w:val="24"/>
          <w:szCs w:val="24"/>
        </w:rPr>
        <w:t>.</w:t>
      </w:r>
    </w:p>
    <w:p w14:paraId="48074A62" w14:textId="77777777" w:rsidR="00AF1FB0" w:rsidRPr="003C1F62" w:rsidRDefault="00AF1FB0" w:rsidP="00AF1FB0">
      <w:pPr>
        <w:pStyle w:val="ListParagraph"/>
        <w:numPr>
          <w:ilvl w:val="0"/>
          <w:numId w:val="12"/>
        </w:numPr>
        <w:spacing w:line="480" w:lineRule="auto"/>
        <w:rPr>
          <w:rFonts w:cs="Arial"/>
          <w:szCs w:val="24"/>
        </w:rPr>
      </w:pPr>
      <w:r w:rsidRPr="00154EC1">
        <w:rPr>
          <w:rFonts w:ascii="Arial" w:hAnsi="Arial" w:cs="Arial"/>
          <w:sz w:val="24"/>
          <w:szCs w:val="24"/>
        </w:rPr>
        <w:lastRenderedPageBreak/>
        <w:t>Titrated/</w:t>
      </w:r>
      <w:r w:rsidRPr="00B54415">
        <w:rPr>
          <w:rFonts w:ascii="Arial" w:hAnsi="Arial" w:cs="Arial"/>
          <w:sz w:val="24"/>
          <w:szCs w:val="24"/>
        </w:rPr>
        <w:t>graded level</w:t>
      </w:r>
      <w:r>
        <w:rPr>
          <w:rFonts w:ascii="Arial" w:hAnsi="Arial" w:cs="Arial"/>
          <w:sz w:val="24"/>
          <w:szCs w:val="24"/>
        </w:rPr>
        <w:t>.</w:t>
      </w:r>
    </w:p>
    <w:p w14:paraId="5ABD6CCA" w14:textId="77777777" w:rsidR="00AF1FB0" w:rsidRPr="003C1F62" w:rsidRDefault="00AF1FB0" w:rsidP="00AF1FB0">
      <w:pPr>
        <w:pStyle w:val="ListParagraph"/>
        <w:numPr>
          <w:ilvl w:val="0"/>
          <w:numId w:val="12"/>
        </w:numPr>
        <w:spacing w:line="480" w:lineRule="auto"/>
        <w:rPr>
          <w:rFonts w:cs="Arial"/>
          <w:szCs w:val="24"/>
        </w:rPr>
      </w:pPr>
      <w:r w:rsidRPr="00154EC1">
        <w:rPr>
          <w:rFonts w:ascii="Arial" w:hAnsi="Arial" w:cs="Arial"/>
          <w:sz w:val="24"/>
          <w:szCs w:val="24"/>
        </w:rPr>
        <w:t>Personal/</w:t>
      </w:r>
      <w:r w:rsidRPr="00B54415">
        <w:rPr>
          <w:rFonts w:ascii="Arial" w:hAnsi="Arial" w:cs="Arial"/>
          <w:sz w:val="24"/>
          <w:szCs w:val="24"/>
        </w:rPr>
        <w:t>individual level</w:t>
      </w:r>
      <w:r>
        <w:rPr>
          <w:rFonts w:ascii="Arial" w:hAnsi="Arial" w:cs="Arial"/>
          <w:sz w:val="24"/>
          <w:szCs w:val="24"/>
        </w:rPr>
        <w:t>.</w:t>
      </w:r>
    </w:p>
    <w:p w14:paraId="30035D65" w14:textId="77777777" w:rsidR="00AF1FB0" w:rsidRPr="003C1F62" w:rsidRDefault="00AF1FB0" w:rsidP="00AF1FB0">
      <w:pPr>
        <w:pStyle w:val="ListParagraph"/>
        <w:numPr>
          <w:ilvl w:val="0"/>
          <w:numId w:val="12"/>
        </w:numPr>
        <w:spacing w:line="480" w:lineRule="auto"/>
        <w:rPr>
          <w:rFonts w:cs="Arial"/>
          <w:szCs w:val="24"/>
        </w:rPr>
      </w:pPr>
      <w:r w:rsidRPr="00B54415">
        <w:rPr>
          <w:rFonts w:ascii="Arial" w:hAnsi="Arial" w:cs="Arial"/>
          <w:sz w:val="24"/>
          <w:szCs w:val="24"/>
        </w:rPr>
        <w:t>Behavioural</w:t>
      </w:r>
      <w:r>
        <w:rPr>
          <w:rFonts w:ascii="Arial" w:hAnsi="Arial" w:cs="Arial"/>
          <w:sz w:val="24"/>
          <w:szCs w:val="24"/>
        </w:rPr>
        <w:t>.</w:t>
      </w:r>
    </w:p>
    <w:p w14:paraId="0C22C7A2" w14:textId="77777777" w:rsidR="00AF1FB0" w:rsidRPr="003C1F62" w:rsidRDefault="00AF1FB0" w:rsidP="00AF1FB0">
      <w:pPr>
        <w:pStyle w:val="ListParagraph"/>
        <w:numPr>
          <w:ilvl w:val="0"/>
          <w:numId w:val="12"/>
        </w:numPr>
        <w:spacing w:line="480" w:lineRule="auto"/>
        <w:rPr>
          <w:rFonts w:cs="Arial"/>
          <w:szCs w:val="24"/>
        </w:rPr>
      </w:pPr>
      <w:r w:rsidRPr="00B54415">
        <w:rPr>
          <w:rFonts w:ascii="Arial" w:hAnsi="Arial" w:cs="Arial"/>
          <w:sz w:val="24"/>
          <w:szCs w:val="24"/>
        </w:rPr>
        <w:t>Know your learners</w:t>
      </w:r>
      <w:r>
        <w:rPr>
          <w:rFonts w:ascii="Arial" w:hAnsi="Arial" w:cs="Arial"/>
          <w:sz w:val="24"/>
          <w:szCs w:val="24"/>
        </w:rPr>
        <w:t>.</w:t>
      </w:r>
    </w:p>
    <w:p w14:paraId="2D514075" w14:textId="77777777" w:rsidR="00AF1FB0" w:rsidRPr="0085587F" w:rsidRDefault="00AF1FB0" w:rsidP="00AF1FB0">
      <w:pPr>
        <w:pStyle w:val="ListParagraph"/>
        <w:numPr>
          <w:ilvl w:val="0"/>
          <w:numId w:val="12"/>
        </w:numPr>
        <w:spacing w:line="480" w:lineRule="auto"/>
        <w:rPr>
          <w:rFonts w:cs="Arial"/>
          <w:szCs w:val="24"/>
        </w:rPr>
      </w:pPr>
      <w:r w:rsidRPr="00154EC1">
        <w:rPr>
          <w:rFonts w:ascii="Arial" w:hAnsi="Arial" w:cs="Arial"/>
          <w:sz w:val="24"/>
          <w:szCs w:val="24"/>
        </w:rPr>
        <w:t>Over-</w:t>
      </w:r>
      <w:r w:rsidRPr="00B54415">
        <w:rPr>
          <w:rFonts w:ascii="Arial" w:hAnsi="Arial" w:cs="Arial"/>
          <w:sz w:val="24"/>
          <w:szCs w:val="24"/>
        </w:rPr>
        <w:t>stressed</w:t>
      </w:r>
      <w:r>
        <w:rPr>
          <w:rFonts w:ascii="Arial" w:hAnsi="Arial" w:cs="Arial"/>
          <w:sz w:val="24"/>
          <w:szCs w:val="24"/>
        </w:rPr>
        <w:t>.</w:t>
      </w:r>
    </w:p>
    <w:p w14:paraId="2122A199" w14:textId="77777777" w:rsidR="00AF1FB0" w:rsidRPr="0085587F" w:rsidRDefault="00AF1FB0" w:rsidP="00AF1FB0">
      <w:pPr>
        <w:pStyle w:val="ListParagraph"/>
        <w:spacing w:line="480" w:lineRule="auto"/>
        <w:rPr>
          <w:rFonts w:cs="Arial"/>
          <w:szCs w:val="24"/>
        </w:rPr>
      </w:pPr>
    </w:p>
    <w:p w14:paraId="489E1CEF" w14:textId="77777777" w:rsidR="00AF1FB0" w:rsidRPr="00FA1D51" w:rsidRDefault="00AF1FB0" w:rsidP="00AF1FB0">
      <w:pPr>
        <w:rPr>
          <w:i/>
        </w:rPr>
      </w:pPr>
      <w:r w:rsidRPr="00FA1D51">
        <w:rPr>
          <w:i/>
        </w:rPr>
        <w:t xml:space="preserve">Optimum level </w:t>
      </w:r>
    </w:p>
    <w:p w14:paraId="74C8D90F" w14:textId="77777777" w:rsidR="00AF1FB0" w:rsidRDefault="00AF1FB0" w:rsidP="00AF1FB0">
      <w:r>
        <w:t xml:space="preserve">The first, ‘optimum level’ was also described as ‘the art of simulation’ (Interviews 2, 3) as this was felt to be a skill that required judgment and expertise. In order to create this optimum level, use of emotional intelligence was felt key with the ability to accurately and rapidly interpret body language, tone of voice, eye contact and behaviour (Interviews 2,3,4,5,7,8,9,10, field notes). The Yerkes-Dodson model was described by one interviewee as a concept of optimum pressure, where below the level a person was unstimulated and over the level, over pressurised with inhibited learning (Interview 2) </w:t>
      </w:r>
      <w:r>
        <w:fldChar w:fldCharType="begin"/>
      </w:r>
      <w:r>
        <w:instrText xml:space="preserve"> ADDIN EN.CITE &lt;EndNote&gt;&lt;Cite&gt;&lt;Author&gt;Yerkes&lt;/Author&gt;&lt;Year&gt;1908&lt;/Year&gt;&lt;IDText&gt;The relation of strength of stimulus to rapidity of habit-formation&lt;/IDText&gt;&lt;DisplayText&gt;(Yerkes and Dodson, 1908)&lt;/DisplayText&gt;&lt;record&gt;&lt;titles&gt;&lt;title&gt;The relation of strength of stimulus to rapidity of habit-formation&lt;/title&gt;&lt;secondary-title&gt;Journal of Comparative Neurology and Psychology&lt;/secondary-title&gt;&lt;/titles&gt;&lt;pages&gt;459-482&lt;/pages&gt;&lt;contributors&gt;&lt;authors&gt;&lt;author&gt;Yerkes, R. M&lt;/author&gt;&lt;author&gt;Dodson, J. D&lt;/author&gt;&lt;/authors&gt;&lt;/contributors&gt;&lt;added-date format="utc"&gt;1472655122&lt;/added-date&gt;&lt;ref-type name="Journal Article"&gt;17&lt;/ref-type&gt;&lt;dates&gt;&lt;year&gt;1908&lt;/year&gt;&lt;/dates&gt;&lt;rec-number&gt;284&lt;/rec-number&gt;&lt;last-updated-date format="utc"&gt;1472655241&lt;/last-updated-date&gt;&lt;volume&gt;18&lt;/volume&gt;&lt;/record&gt;&lt;/Cite&gt;&lt;/EndNote&gt;</w:instrText>
      </w:r>
      <w:r>
        <w:fldChar w:fldCharType="separate"/>
      </w:r>
      <w:r>
        <w:rPr>
          <w:noProof/>
        </w:rPr>
        <w:t>(Yerkes and Dodson, 1908)</w:t>
      </w:r>
      <w:r>
        <w:fldChar w:fldCharType="end"/>
      </w:r>
      <w:r>
        <w:t>. The importance of flexibility and reactivity were described because minute-by-minute adjustments were required (Interview 10). The level of pressure was felt to be important to ‘raise catecholamines’ to a ‘real world level’, to make the experience feel real and bring out individual behaviours to learn how to develop and improve effective care (Interview 2). This pressure related to authenticity was felt to be key to immersion and engagement (Field notes).</w:t>
      </w:r>
    </w:p>
    <w:p w14:paraId="583C054A" w14:textId="77777777" w:rsidR="00AF1FB0" w:rsidRDefault="00AF1FB0" w:rsidP="00AF1FB0"/>
    <w:p w14:paraId="11A3D701" w14:textId="585F07A3" w:rsidR="00AF1FB0" w:rsidRPr="00FA1D51" w:rsidRDefault="00AF1FB0" w:rsidP="00AF1FB0">
      <w:pPr>
        <w:rPr>
          <w:i/>
        </w:rPr>
      </w:pPr>
      <w:r w:rsidRPr="00FA1D51">
        <w:rPr>
          <w:i/>
        </w:rPr>
        <w:lastRenderedPageBreak/>
        <w:t>Objective ‘right level’</w:t>
      </w:r>
      <w:r w:rsidR="00A01FFE" w:rsidRPr="00FA1D51">
        <w:rPr>
          <w:i/>
        </w:rPr>
        <w:t xml:space="preserve"> &amp; Titrated/graded level</w:t>
      </w:r>
    </w:p>
    <w:p w14:paraId="557C0326" w14:textId="6F93CE71" w:rsidR="00AF1FB0" w:rsidRDefault="00AF1FB0" w:rsidP="00AF1FB0">
      <w:r>
        <w:t>Level of pressure was felt to be gaugeable objectively, to ensu</w:t>
      </w:r>
      <w:r w:rsidR="009D6DE7">
        <w:t>re it was the ‘right level’ so c</w:t>
      </w:r>
      <w:r>
        <w:t xml:space="preserve">andidates were seen to feel challenged and perhaps struggle with ‘internal quandary’. </w:t>
      </w:r>
    </w:p>
    <w:p w14:paraId="1191B514" w14:textId="77777777" w:rsidR="00AF1FB0" w:rsidRPr="00915D37" w:rsidRDefault="00AF1FB0" w:rsidP="00AF1FB0">
      <w:pPr>
        <w:spacing w:line="240" w:lineRule="auto"/>
        <w:ind w:left="720"/>
        <w:rPr>
          <w:rFonts w:cs="Arial"/>
        </w:rPr>
      </w:pPr>
      <w:r w:rsidRPr="00652CEE">
        <w:rPr>
          <w:rFonts w:cs="Arial"/>
          <w:i/>
        </w:rPr>
        <w:t>‘I think you probably don't learn from it unless you are having some kind of internal quandary about what to do’</w:t>
      </w:r>
      <w:r w:rsidRPr="00652CEE">
        <w:rPr>
          <w:rFonts w:cs="Arial"/>
        </w:rPr>
        <w:t xml:space="preserve"> (Interview 1).</w:t>
      </w:r>
    </w:p>
    <w:p w14:paraId="1DDC85CD" w14:textId="385FA234" w:rsidR="00AF1FB0" w:rsidRDefault="00AF1FB0" w:rsidP="00AF1FB0">
      <w:r>
        <w:t>Other terms such as feeling ‘stretched</w:t>
      </w:r>
      <w:r w:rsidR="00EB1426">
        <w:t>’</w:t>
      </w:r>
      <w:r>
        <w:t xml:space="preserve"> and ‘out of their comfort zone’ were used to describe this level, but it was essential that individuals were still seen to be able to perform (Interviews 2,4,8,9,10, field notes). It wa</w:t>
      </w:r>
      <w:r w:rsidR="00D6777D">
        <w:t>s felt that by achieving this, c</w:t>
      </w:r>
      <w:r>
        <w:t xml:space="preserve">andidates would feel responsible and more ready for the pressures of the work environment (Interviews 2,3,4,8,9,10). </w:t>
      </w:r>
    </w:p>
    <w:p w14:paraId="3005D287" w14:textId="0C2EBD82" w:rsidR="00AF1FB0" w:rsidRPr="006C2175" w:rsidRDefault="00345C07" w:rsidP="00AF1FB0">
      <w:pPr>
        <w:spacing w:line="240" w:lineRule="auto"/>
        <w:ind w:left="720"/>
        <w:rPr>
          <w:i/>
        </w:rPr>
      </w:pPr>
      <w:r w:rsidRPr="006C2175">
        <w:rPr>
          <w:i/>
        </w:rPr>
        <w:t>‘I felt like a doctor looking after a patient, I felt stressed but could still think, it was useful</w:t>
      </w:r>
      <w:r>
        <w:rPr>
          <w:i/>
        </w:rPr>
        <w:t xml:space="preserve"> t</w:t>
      </w:r>
      <w:r w:rsidRPr="006C2175">
        <w:rPr>
          <w:i/>
        </w:rPr>
        <w:t>o get stuck then learn how to get unstuck’ (Focus group 3, Candidate 4).</w:t>
      </w:r>
    </w:p>
    <w:p w14:paraId="6A6A62B3" w14:textId="7ED8C8F1" w:rsidR="00AF1FB0" w:rsidRDefault="00AF1FB0" w:rsidP="00AF1FB0">
      <w:r>
        <w:t>This appeared to be intuitive for most educationalists who had been junior doctors or ‘in their shoes’ (Interviews 1,8).</w:t>
      </w:r>
      <w:r w:rsidR="00592B0A">
        <w:t xml:space="preserve"> This was the starting level of pressure then focus moved to titrating of pressure with ongoing exposure. </w:t>
      </w:r>
    </w:p>
    <w:p w14:paraId="180AFEBF" w14:textId="77777777" w:rsidR="00AF1FB0" w:rsidRDefault="00AF1FB0" w:rsidP="00AF1FB0">
      <w:r>
        <w:t xml:space="preserve">Titration or grading of pressure linked in with the </w:t>
      </w:r>
      <w:proofErr w:type="spellStart"/>
      <w:r>
        <w:t>constructionalist</w:t>
      </w:r>
      <w:proofErr w:type="spellEnd"/>
      <w:r>
        <w:t xml:space="preserve"> and scaffolding approach suggested by educational experts. It highlighted the nature of the journey of developing skills with ongoing support and development and not just at one level or a single encounter (Interviews 2,3,4,8). This was referred to by one expert as an ‘extension activity’, known well in educational methodology. </w:t>
      </w:r>
    </w:p>
    <w:p w14:paraId="78DBA05A" w14:textId="77777777" w:rsidR="00AF1FB0" w:rsidRPr="00652CEE" w:rsidRDefault="00AF1FB0" w:rsidP="00AF1FB0">
      <w:pPr>
        <w:spacing w:line="240" w:lineRule="auto"/>
        <w:ind w:left="720"/>
        <w:rPr>
          <w:rFonts w:cs="Arial"/>
          <w:sz w:val="28"/>
          <w:szCs w:val="28"/>
        </w:rPr>
      </w:pPr>
      <w:r w:rsidRPr="00652CEE">
        <w:rPr>
          <w:rFonts w:cs="Arial"/>
          <w:i/>
          <w:szCs w:val="24"/>
        </w:rPr>
        <w:lastRenderedPageBreak/>
        <w:t>‘How did that make me feel when I was so out of, they just say comfort zone a million times, I'm out of my comfort zone, I'm out of my comfort zone. It will be stressful for some of them, it will be different for some of them and it will be challenging for some others</w:t>
      </w:r>
      <w:r w:rsidRPr="00E5207F">
        <w:rPr>
          <w:rFonts w:cs="Arial"/>
          <w:i/>
          <w:szCs w:val="24"/>
        </w:rPr>
        <w:t>.</w:t>
      </w:r>
      <w:r w:rsidRPr="00652CEE">
        <w:rPr>
          <w:rFonts w:cs="Arial"/>
          <w:i/>
          <w:szCs w:val="24"/>
        </w:rPr>
        <w:t xml:space="preserve"> It's not focused on making it stressful it's about putting them under pressure, but putting them under pressure doesn't necessarily in my view go hand in hand with being stressed.  I'm </w:t>
      </w:r>
      <w:r w:rsidRPr="0033498A">
        <w:rPr>
          <w:rFonts w:cs="Arial"/>
          <w:i/>
          <w:szCs w:val="24"/>
        </w:rPr>
        <w:t>differentiating</w:t>
      </w:r>
      <w:r w:rsidRPr="00E5207F">
        <w:rPr>
          <w:rFonts w:cs="Arial"/>
          <w:szCs w:val="24"/>
        </w:rPr>
        <w:t>.</w:t>
      </w:r>
      <w:r w:rsidRPr="0033498A">
        <w:rPr>
          <w:rFonts w:cs="Arial"/>
          <w:i/>
          <w:szCs w:val="24"/>
        </w:rPr>
        <w:t xml:space="preserve"> Telling</w:t>
      </w:r>
      <w:r w:rsidRPr="00652CEE">
        <w:rPr>
          <w:rFonts w:cs="Arial"/>
          <w:i/>
          <w:szCs w:val="24"/>
        </w:rPr>
        <w:t xml:space="preserve"> them </w:t>
      </w:r>
      <w:proofErr w:type="spellStart"/>
      <w:r w:rsidRPr="00652CEE">
        <w:rPr>
          <w:rFonts w:cs="Arial"/>
          <w:i/>
          <w:szCs w:val="24"/>
        </w:rPr>
        <w:t>wont</w:t>
      </w:r>
      <w:proofErr w:type="spellEnd"/>
      <w:r w:rsidRPr="00652CEE">
        <w:rPr>
          <w:rFonts w:cs="Arial"/>
          <w:i/>
          <w:szCs w:val="24"/>
        </w:rPr>
        <w:t xml:space="preserve"> make any difference to their </w:t>
      </w:r>
      <w:r w:rsidRPr="0033498A">
        <w:rPr>
          <w:rFonts w:cs="Arial"/>
          <w:i/>
          <w:szCs w:val="24"/>
        </w:rPr>
        <w:t>behaviour</w:t>
      </w:r>
      <w:r w:rsidRPr="00652CEE">
        <w:rPr>
          <w:rFonts w:cs="Arial"/>
          <w:i/>
          <w:szCs w:val="24"/>
        </w:rPr>
        <w:t xml:space="preserve">. Having an experience may make a difference to their </w:t>
      </w:r>
      <w:r w:rsidRPr="0033498A">
        <w:rPr>
          <w:rFonts w:cs="Arial"/>
          <w:i/>
          <w:szCs w:val="24"/>
        </w:rPr>
        <w:t>behaviour</w:t>
      </w:r>
      <w:r>
        <w:rPr>
          <w:rFonts w:cs="Arial"/>
          <w:i/>
          <w:szCs w:val="24"/>
        </w:rPr>
        <w:t>…..</w:t>
      </w:r>
      <w:r w:rsidRPr="00652CEE">
        <w:rPr>
          <w:rFonts w:cs="Arial"/>
          <w:i/>
          <w:szCs w:val="24"/>
        </w:rPr>
        <w:t xml:space="preserve"> it is a layered skill development. And we may have to scale it up five times in order to get to the point where actually they will all be under pressure </w:t>
      </w:r>
      <w:r w:rsidRPr="00652CEE">
        <w:rPr>
          <w:rFonts w:cs="Arial"/>
          <w:szCs w:val="24"/>
        </w:rPr>
        <w:t xml:space="preserve">(Interview 5).  </w:t>
      </w:r>
    </w:p>
    <w:p w14:paraId="0B1FE506" w14:textId="1C67CB33" w:rsidR="00A01FFE" w:rsidRPr="00A01FFE" w:rsidRDefault="00AF1FB0" w:rsidP="00A01FFE">
      <w:r>
        <w:t>This highlighted the importance of learning from other fields, sharing knowledge and experience to improve learning opportunities and break away from the reported protectionist status of medical education (Interview 5,6).  This triggered discussion about building in cues for candidates to recognise and voice when they were getting stuck. This was felt to be part of the development of building ‘mental models’ to support safe decision-making at times of pressure, to allow cognitive space to recall knowledge and skills and think strategically (Interviews 2,6,8,10, field notes).</w:t>
      </w:r>
    </w:p>
    <w:p w14:paraId="61A1DC7D" w14:textId="77777777" w:rsidR="00A01FFE" w:rsidRPr="00FA1D51" w:rsidRDefault="00A01FFE" w:rsidP="00A01FFE">
      <w:pPr>
        <w:rPr>
          <w:i/>
        </w:rPr>
      </w:pPr>
      <w:r w:rsidRPr="00FA1D51">
        <w:rPr>
          <w:i/>
        </w:rPr>
        <w:t>Over-stressed</w:t>
      </w:r>
    </w:p>
    <w:p w14:paraId="199481ED" w14:textId="598816EA" w:rsidR="00A01FFE" w:rsidRDefault="00A01FFE" w:rsidP="00A01FFE">
      <w:r>
        <w:t xml:space="preserve">The theme ‘over-stressed’ was reported as the risk of not getting the level of pressure correct, leading to disengagement and candidates to move into ‘survival mode’, where no learning was occurring (Interviews 2,3,8). This was also felt to lead to a loss of fidelity and buy-in from candidates, and was felt to be avoidable by intervening before ineffective behaviour was witnessed (Field notes, interviews 2,3,5,7,9,10). </w:t>
      </w:r>
    </w:p>
    <w:p w14:paraId="714924C1" w14:textId="77777777" w:rsidR="00A01FFE" w:rsidRPr="00652CEE" w:rsidRDefault="00A01FFE" w:rsidP="00A01FFE">
      <w:pPr>
        <w:spacing w:line="240" w:lineRule="auto"/>
        <w:ind w:left="720"/>
        <w:rPr>
          <w:rFonts w:cs="Arial"/>
          <w:i/>
        </w:rPr>
      </w:pPr>
      <w:r w:rsidRPr="00652CEE">
        <w:rPr>
          <w:rFonts w:cs="Arial"/>
          <w:i/>
        </w:rPr>
        <w:t xml:space="preserve">‘I think you have got to be flexible, because you can’t rigidly apply the scenario because you might leave one person completely floundering and then they just </w:t>
      </w:r>
      <w:proofErr w:type="spellStart"/>
      <w:r w:rsidRPr="00652CEE">
        <w:rPr>
          <w:rFonts w:cs="Arial"/>
          <w:i/>
        </w:rPr>
        <w:t>loose</w:t>
      </w:r>
      <w:proofErr w:type="spellEnd"/>
      <w:r w:rsidRPr="00652CEE">
        <w:rPr>
          <w:rFonts w:cs="Arial"/>
          <w:i/>
        </w:rPr>
        <w:t xml:space="preserve"> all confidence in their ability to cope in the scenario. You have got to be able to provide them with some cues within </w:t>
      </w:r>
      <w:r w:rsidRPr="00652CEE">
        <w:rPr>
          <w:rFonts w:cs="Arial"/>
          <w:i/>
        </w:rPr>
        <w:lastRenderedPageBreak/>
        <w:t>the scenario that you can use if you see them really, really struggling’ (Interview 1).</w:t>
      </w:r>
    </w:p>
    <w:p w14:paraId="1A27FCF4" w14:textId="463FE603" w:rsidR="00A01FFE" w:rsidRDefault="00A01FFE" w:rsidP="00AF1FB0">
      <w:r>
        <w:t xml:space="preserve">This exposed the risk of less experienced faculty and lack of mentorship and peer review. All interviewees felt strongly that this was avoidable and was unethical for learning, as humiliation had been used historically to teach some of them (Interviews 3, 7).  </w:t>
      </w:r>
    </w:p>
    <w:p w14:paraId="4B7F189C" w14:textId="436582F3" w:rsidR="00AF1FB0" w:rsidRPr="00FA1D51" w:rsidRDefault="00AF1FB0" w:rsidP="00AF1FB0">
      <w:pPr>
        <w:rPr>
          <w:i/>
        </w:rPr>
      </w:pPr>
      <w:r w:rsidRPr="00FA1D51">
        <w:rPr>
          <w:i/>
        </w:rPr>
        <w:t>Personal/individual level</w:t>
      </w:r>
      <w:r w:rsidR="00A01FFE" w:rsidRPr="00FA1D51">
        <w:rPr>
          <w:i/>
        </w:rPr>
        <w:t xml:space="preserve"> &amp; Know your learners</w:t>
      </w:r>
    </w:p>
    <w:p w14:paraId="65DFF3EF" w14:textId="77777777" w:rsidR="00AF1FB0" w:rsidRDefault="00AF1FB0" w:rsidP="00AF1FB0">
      <w:r>
        <w:t xml:space="preserve">Personal or individual level of pressure was felt so important it became a main theme. It was felt to be influenced by personality, knowledge, skills, self-awareness, confidence, and insight and because these elements were unique to each person, that pressure had to be customised accordingly (Interviews 2,4,8,10, field notes from intervention study). Students were seen to exhibit variable behaviour and discuss experience of different time, physical and emotional pressures, which were perceived very differently at an individual level (Field notes from intervention study). </w:t>
      </w:r>
    </w:p>
    <w:p w14:paraId="15AB9347" w14:textId="13493A80" w:rsidR="00A01FFE" w:rsidRDefault="00A01FFE" w:rsidP="00A01FFE">
      <w:r>
        <w:t xml:space="preserve">Knowing and understanding learners was reported as being key to aiming and achieving the correct level of pressure during SBME (Interviews 2,3,4,5,6,8,9,10). An understanding of expectations, pre-existing skill and experience was important. The concept of being empathic to learners having been through a similar process was felt to help with connecting faculty to learners, through an </w:t>
      </w:r>
      <w:r w:rsidR="00D6777D">
        <w:t>iterative process and allowing c</w:t>
      </w:r>
      <w:r>
        <w:t xml:space="preserve">andidates to feel safe and supported (Interviews 1,2,8,field notes form intervention study). </w:t>
      </w:r>
    </w:p>
    <w:p w14:paraId="723DB98C" w14:textId="77777777" w:rsidR="00A01FFE" w:rsidRPr="00425C77" w:rsidRDefault="00A01FFE" w:rsidP="00A01FFE">
      <w:pPr>
        <w:spacing w:line="240" w:lineRule="auto"/>
        <w:ind w:left="720"/>
        <w:rPr>
          <w:i/>
        </w:rPr>
      </w:pPr>
      <w:r w:rsidRPr="00425C77">
        <w:rPr>
          <w:i/>
        </w:rPr>
        <w:t xml:space="preserve">‘It was nice to have registrars teaching us and sharing their problems, mistakes and experience and to know these are things that can and do </w:t>
      </w:r>
      <w:r w:rsidRPr="00425C77">
        <w:rPr>
          <w:i/>
        </w:rPr>
        <w:lastRenderedPageBreak/>
        <w:t xml:space="preserve">happen in real life and how they have learnt to cope’ (Focus group 7, Candidate 1). </w:t>
      </w:r>
    </w:p>
    <w:p w14:paraId="2914952C" w14:textId="48EED303" w:rsidR="00A01FFE" w:rsidRDefault="00A01FFE" w:rsidP="00AF1FB0">
      <w:r>
        <w:t>This supported belonging.</w:t>
      </w:r>
    </w:p>
    <w:p w14:paraId="5B9DFACE" w14:textId="77777777" w:rsidR="00AF1FB0" w:rsidRPr="00FA1D51" w:rsidRDefault="00AF1FB0" w:rsidP="00AF1FB0">
      <w:pPr>
        <w:rPr>
          <w:i/>
        </w:rPr>
      </w:pPr>
      <w:r w:rsidRPr="00FA1D51">
        <w:rPr>
          <w:i/>
        </w:rPr>
        <w:t>Behavioural</w:t>
      </w:r>
    </w:p>
    <w:p w14:paraId="56AB88A7" w14:textId="77777777" w:rsidR="00AF1FB0" w:rsidRDefault="00AF1FB0" w:rsidP="00AF1FB0">
      <w:r>
        <w:t xml:space="preserve">Behavioural elements that emerged related to level of pressure, and represented the opportunity to experience the cognitive processes that occurred when under pressure. To feel and know how it would affect behaviour and to then explore, discover and be debriefed on strategies to manage those influences (Case studies, focus groups 1-19, field notes). The power of experiencing and discussing the loss of situation awareness and impact that may have on decision-making, safety and care was felt to be vital to improving patient safety (Field notes, interviews 2,4,8,9,10). The opportunity to recognise and apply mental models in times of increased pressure was also cited as important. This allowed candidates to self-correct and take control of situations, to support the transfer of these skills into clinical practice (Interviews 2,3,4,8,10, field notes from intervention study). </w:t>
      </w:r>
    </w:p>
    <w:p w14:paraId="0DA64404" w14:textId="77777777" w:rsidR="00AF1FB0" w:rsidRDefault="00AF1FB0" w:rsidP="00AF1FB0">
      <w:pPr>
        <w:spacing w:line="240" w:lineRule="auto"/>
        <w:ind w:left="720"/>
        <w:rPr>
          <w:i/>
        </w:rPr>
      </w:pPr>
      <w:r w:rsidRPr="00425C77">
        <w:rPr>
          <w:i/>
        </w:rPr>
        <w:t>‘I feel so much more confident to be able to assess an unwell patient and get help now I have done this, it was hard, I feel tired, but was so useful’ (Focus group 9, Candidate 4).</w:t>
      </w:r>
    </w:p>
    <w:p w14:paraId="2458EFBC" w14:textId="77777777" w:rsidR="00A90822" w:rsidRDefault="00A90822" w:rsidP="00AF1FB0"/>
    <w:p w14:paraId="0D21FE0C" w14:textId="77777777" w:rsidR="00A01FFE" w:rsidRDefault="00A01FFE" w:rsidP="00AF1FB0"/>
    <w:p w14:paraId="6C1BD1AC" w14:textId="77777777" w:rsidR="00A01FFE" w:rsidRDefault="00A01FFE" w:rsidP="00AF1FB0"/>
    <w:p w14:paraId="02F1D17F" w14:textId="77777777" w:rsidR="00A90822" w:rsidRDefault="00A90822" w:rsidP="00AF1FB0"/>
    <w:p w14:paraId="1B1DE1FE" w14:textId="77777777" w:rsidR="00AF1FB0" w:rsidRPr="00FA1D51" w:rsidRDefault="00AF1FB0" w:rsidP="00AF1FB0">
      <w:pPr>
        <w:rPr>
          <w:b/>
          <w:i/>
        </w:rPr>
      </w:pPr>
      <w:r w:rsidRPr="00FA1D51">
        <w:rPr>
          <w:b/>
          <w:i/>
        </w:rPr>
        <w:lastRenderedPageBreak/>
        <w:t>Skill acquisition</w:t>
      </w:r>
    </w:p>
    <w:p w14:paraId="64739C79" w14:textId="77777777" w:rsidR="00AF1FB0" w:rsidRDefault="00AF1FB0" w:rsidP="00AF1FB0">
      <w:r>
        <w:t xml:space="preserve">Students felt prepared for performing procedures and sharps safety prior to the course. However some, when under pressure combining assessment, judgment, communication and prioritisation skills, struggled (Field notes). Some neglected their sharps and were shocked, as had been signed off as competent. Many commented that it was difficult to concentrate (focus groups 3,6,7,10,15). This emphasised the need to prepare for the complexity of the clinical environment. Experts felt trainees were only prepared and competent when they could perform the task in the clinical environment on a patient, because it was ‘different’ (Interviews 1,4,7). Human factors encompass this clinical complexity, so should be embedded in a graded approach with skill acquisition, to address this gap as described in the previous section. </w:t>
      </w:r>
    </w:p>
    <w:p w14:paraId="7315AF82" w14:textId="2A506D51" w:rsidR="00A90822" w:rsidRDefault="00A90822" w:rsidP="00A90822">
      <w:r>
        <w:t xml:space="preserve">The pyramid shape represents the base as the starting point and the journey required to acquire clinical skills (Figure 8.2). </w:t>
      </w:r>
      <w:r w:rsidR="007B1268">
        <w:t xml:space="preserve">This hierarchy emerged through reflection and observation during the simulation intervention and data triangulation considering how we develop and build towards mastery of skills within clinical education. </w:t>
      </w:r>
      <w:r>
        <w:t xml:space="preserve">The complexity of skill required while climbing the hierarchy will mean it takes individuals a differing amount of time. The starting point is that an individual can perform a particular simulated skill, aware of which equipment they need and the order of execution. The next layer involves understanding safety elements and how to check the equipment. Then understanding the indications, risks and benefits. </w:t>
      </w:r>
    </w:p>
    <w:p w14:paraId="4246A792" w14:textId="77777777" w:rsidR="00AF1FB0" w:rsidRDefault="00AF1FB0" w:rsidP="00AF1FB0"/>
    <w:p w14:paraId="2B976F2C" w14:textId="77777777" w:rsidR="00AF1FB0" w:rsidRDefault="00AF1FB0" w:rsidP="00AF1FB0">
      <w:pPr>
        <w:keepNext/>
      </w:pPr>
      <w:r w:rsidRPr="00BE4504">
        <w:rPr>
          <w:noProof/>
          <w:lang w:val="en-US"/>
        </w:rPr>
        <w:lastRenderedPageBreak/>
        <w:drawing>
          <wp:inline distT="0" distB="0" distL="0" distR="0" wp14:anchorId="0F21BE4B" wp14:editId="1C8DF17B">
            <wp:extent cx="6177280" cy="4098290"/>
            <wp:effectExtent l="0" t="19050" r="0" b="7366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14:paraId="6B90AA5F" w14:textId="77777777" w:rsidR="00AF1FB0" w:rsidRDefault="00AF1FB0" w:rsidP="007000F8">
      <w:pPr>
        <w:pStyle w:val="Caption"/>
      </w:pPr>
      <w:bookmarkStart w:id="402" w:name="_Toc419116477"/>
      <w:r>
        <w:t xml:space="preserve">Figure </w:t>
      </w:r>
      <w:r>
        <w:fldChar w:fldCharType="begin"/>
      </w:r>
      <w:r>
        <w:instrText xml:space="preserve"> STYLEREF 1 \s </w:instrText>
      </w:r>
      <w:r>
        <w:fldChar w:fldCharType="separate"/>
      </w:r>
      <w:r w:rsidR="007220A7">
        <w:rPr>
          <w:noProof/>
        </w:rPr>
        <w:t>8</w:t>
      </w:r>
      <w:r>
        <w:fldChar w:fldCharType="end"/>
      </w:r>
      <w:r>
        <w:noBreakHyphen/>
      </w:r>
      <w:r>
        <w:fldChar w:fldCharType="begin"/>
      </w:r>
      <w:r>
        <w:instrText xml:space="preserve"> SEQ Figure \* ARABIC \s 1 </w:instrText>
      </w:r>
      <w:r>
        <w:fldChar w:fldCharType="separate"/>
      </w:r>
      <w:r w:rsidR="007220A7">
        <w:rPr>
          <w:noProof/>
        </w:rPr>
        <w:t>2</w:t>
      </w:r>
      <w:r>
        <w:fldChar w:fldCharType="end"/>
      </w:r>
      <w:r>
        <w:t xml:space="preserve"> Hierarchy of skill acquisition</w:t>
      </w:r>
      <w:bookmarkEnd w:id="402"/>
    </w:p>
    <w:p w14:paraId="1136E242" w14:textId="77777777" w:rsidR="00A90822" w:rsidRDefault="00A90822" w:rsidP="00AF1FB0"/>
    <w:p w14:paraId="1523DA37" w14:textId="77777777" w:rsidR="00AF1FB0" w:rsidRDefault="00AF1FB0" w:rsidP="00AF1FB0">
      <w:r>
        <w:t>The following layer builds on this, to include consenting the patient and discussing the risks and benefits. During the course it was interesting to see those that remained at the lower level, happy to receive a job list, not ready to consider whether, for example, a cannula was required and patient risks versus benefits to placing one. If the patient said they were ‘not keen to have another needle’, some students became visibly stressed and stuck (Field notes). The instinct was to insist without considering whether it was required. Allowing the patient time to voice their concerns built a rapport and resulted in a quicker outcome than trying to convince them. This level of challenge to students’ pre-</w:t>
      </w:r>
      <w:r>
        <w:lastRenderedPageBreak/>
        <w:t>existing ideas was very powerful and moved them to a new level of professional behaviour (Reflections form field notes and debriefing from final intervention study).</w:t>
      </w:r>
    </w:p>
    <w:p w14:paraId="1B773405" w14:textId="77777777" w:rsidR="00AF1FB0" w:rsidRDefault="00AF1FB0" w:rsidP="00AF1FB0">
      <w:r>
        <w:t xml:space="preserve">The following step combined completion of the skill bringing in human factors elements, influence of environment and experience of resultant cognitive biases. This step moved the individual to a place where they understood the influences and could still function whilst maintaining situation awareness and safety. This involved some prospective analysis with consideration of consequences and outcomes if skill was unsuccessful. Reflections surrounding the emotional element of dealing with potential failure, causing pain to a patient were felt key to supporting resilience and professional identity (Field notes). Reflections recurred about the inevitability of human fallibility, felt central to transparency and openness to enhance safety culture in healthcare (Interviews 6,8). </w:t>
      </w:r>
    </w:p>
    <w:p w14:paraId="47135498" w14:textId="77777777" w:rsidR="00AF1FB0" w:rsidRDefault="00AF1FB0" w:rsidP="00AF1FB0">
      <w:r>
        <w:t xml:space="preserve">The next step involved adding time pressure, encouraging individuals to speed up judgments and action whilst remaining safe. Having a mental model for a safety checklist and methods to recruit team support proved key. Students demonstrated ability to recall knowledge and protocols correctly but when time pressure and distractions occurred, they were moved off track, which had a negative impact on outcomes in some circumstances. During debriefing, students reported to ‘panic’ at these times and felt pressured to make a decision. Experts described even in a crisis, taking a few seconds to think and make a judgment was key to staying safe for patients (focus groups 3,8, field notes, Interviews 2,9,10). This was seen to develop during the course so may </w:t>
      </w:r>
      <w:r>
        <w:lastRenderedPageBreak/>
        <w:t xml:space="preserve">not require years of experience and exposure to real crises (Field notes from intervention study and interview 2). This could enhance patient safety as well as the mental health of professionals, guarding against extra stress, anxiety and depression. </w:t>
      </w:r>
    </w:p>
    <w:p w14:paraId="4BA12E93" w14:textId="77777777" w:rsidR="00AF1FB0" w:rsidRPr="00B6769F" w:rsidRDefault="00AF1FB0" w:rsidP="00AF1FB0">
      <w:r>
        <w:t xml:space="preserve">The top level of the hierarchy involved performing the skill under pressure in a clinical environment, with an acutely unwell patient. This included agitation or anxiety, poor physiology, communication with the patient, extended family and wider team. Understanding roles within the team was vital and building rapport with all needed to be done efficiently for patient care. Allowing focus on the task, employing the mental models practiced and accessed when under less stress was useful. At times students were seen to get frustrated by too many distractions. The debriefing allowed discussion over potential options to help manage the environment, in particular if family members were too distracting, tackling how to approach this without wasting time, leaving the patient and threatening rapport (Field notes). </w:t>
      </w:r>
    </w:p>
    <w:p w14:paraId="018491B3" w14:textId="77777777" w:rsidR="00AF1FB0" w:rsidRDefault="00AF1FB0" w:rsidP="00AF1FB0">
      <w:pPr>
        <w:pStyle w:val="Heading3"/>
      </w:pPr>
      <w:bookmarkStart w:id="403" w:name="_Toc419116197"/>
      <w:r>
        <w:t>Human factors</w:t>
      </w:r>
      <w:bookmarkEnd w:id="403"/>
      <w:r>
        <w:t xml:space="preserve"> </w:t>
      </w:r>
    </w:p>
    <w:p w14:paraId="55D640C4" w14:textId="77777777" w:rsidR="00AF1FB0" w:rsidRPr="009F75CB" w:rsidRDefault="00AF1FB0" w:rsidP="00AF1FB0"/>
    <w:p w14:paraId="177F76A6" w14:textId="77777777" w:rsidR="00AF1FB0" w:rsidRDefault="00AF1FB0" w:rsidP="00AF1FB0">
      <w:pPr>
        <w:rPr>
          <w:rFonts w:ascii="Helvetica" w:hAnsi="Helvetica" w:cs="Helvetica"/>
        </w:rPr>
      </w:pPr>
      <w:r>
        <w:t xml:space="preserve">Human factors education emerged as key to supporting preparedness and focused on the environment as well as medical equipment, software (computers, defibrillators) and the people within that environment. The clinical environment was described as ‘complex’, and the equipment within different hospitals hugely variable. One example given regarding equipment was </w:t>
      </w:r>
      <w:r>
        <w:rPr>
          <w:rFonts w:ascii="Helvetica" w:hAnsi="Helvetica" w:cs="Helvetica"/>
        </w:rPr>
        <w:t xml:space="preserve">‘the number of IV pumps we have, and the training load that that generates and the different interfaces that that you could have, because the organisation has 15 </w:t>
      </w:r>
      <w:r>
        <w:rPr>
          <w:rFonts w:ascii="Helvetica" w:hAnsi="Helvetica" w:cs="Helvetica"/>
        </w:rPr>
        <w:lastRenderedPageBreak/>
        <w:t xml:space="preserve">different bits of kit’ (Interview 6). These inefficiencies were felt to be at procurement level, so while government policy was being hopefully changed, it was felt, overwhelmingly that the ‘science of human factors’ should be taught to undergraduates and throughout postgraduate training. </w:t>
      </w:r>
    </w:p>
    <w:p w14:paraId="0FF77C46" w14:textId="77777777" w:rsidR="00AF1FB0" w:rsidRDefault="00AF1FB0" w:rsidP="00AF1FB0">
      <w:pPr>
        <w:spacing w:line="240" w:lineRule="auto"/>
        <w:ind w:left="720"/>
        <w:rPr>
          <w:rFonts w:ascii="Helvetica" w:hAnsi="Helvetica" w:cs="Helvetica"/>
        </w:rPr>
      </w:pPr>
      <w:r w:rsidRPr="00652CEE">
        <w:rPr>
          <w:rFonts w:ascii="Helvetica"/>
          <w:i/>
        </w:rPr>
        <w:t>‘</w:t>
      </w:r>
      <w:r w:rsidRPr="00652CEE">
        <w:rPr>
          <w:rFonts w:ascii="Helvetica"/>
          <w:i/>
        </w:rPr>
        <w:t>we</w:t>
      </w:r>
      <w:r w:rsidRPr="00652CEE">
        <w:rPr>
          <w:rFonts w:hAnsi="Helvetica"/>
          <w:i/>
        </w:rPr>
        <w:t>’</w:t>
      </w:r>
      <w:r w:rsidRPr="00652CEE">
        <w:rPr>
          <w:rFonts w:ascii="Helvetica"/>
          <w:i/>
        </w:rPr>
        <w:t>ve got to realise in healthcare that people at the moment don</w:t>
      </w:r>
      <w:r w:rsidRPr="00652CEE">
        <w:rPr>
          <w:rFonts w:hAnsi="Helvetica"/>
          <w:i/>
        </w:rPr>
        <w:t>’</w:t>
      </w:r>
      <w:r w:rsidRPr="00652CEE">
        <w:rPr>
          <w:rFonts w:ascii="Helvetica"/>
          <w:i/>
        </w:rPr>
        <w:t>t even understand the language of human factors, never mind how they can change to make things better in the workplace</w:t>
      </w:r>
      <w:r w:rsidRPr="00652CEE">
        <w:rPr>
          <w:rFonts w:ascii="Helvetica"/>
          <w:i/>
        </w:rPr>
        <w:t>’</w:t>
      </w:r>
      <w:r>
        <w:rPr>
          <w:rFonts w:ascii="Helvetica"/>
        </w:rPr>
        <w:t xml:space="preserve"> (Interview 2).</w:t>
      </w:r>
    </w:p>
    <w:p w14:paraId="24674539" w14:textId="77777777" w:rsidR="00AF1FB0" w:rsidRDefault="00AF1FB0" w:rsidP="00AF1FB0">
      <w:pPr>
        <w:rPr>
          <w:rFonts w:ascii="Helvetica" w:hAnsi="Helvetica" w:cs="Helvetica"/>
        </w:rPr>
      </w:pPr>
      <w:r>
        <w:rPr>
          <w:rFonts w:ascii="Helvetica" w:hAnsi="Helvetica" w:cs="Helvetica"/>
        </w:rPr>
        <w:t xml:space="preserve">Students felt this was the first time they had managed a team and dealt with communication with patient, nursing staff and relatives and felt it was vital to learn how to. When underprepared for this and panic set in, behavioural change was of great interest. One student tried to physically block a relative coming near the patient and could have potentially come to harm. The practicing of managing challenging relative behaviour was vital to try and reduce errors and harm, especially with rapport. This was part of the ‘react’ behaviour, described as the start of learning to ‘prospectively assess risk’ (Interview 6). Students had previously been taught to ‘check for danger’ on approaching a new clinical situation but without understanding human factors, the environment and why it was important. They felt ill equipped to consider what to do next or differently if faced with new situations and environment. This led to a tick box mentality leading to ‘superficial learning’ where there was a lack of understanding (Interviews 2,6 and Field notes from final intervention course). </w:t>
      </w:r>
    </w:p>
    <w:p w14:paraId="28D7739A" w14:textId="77777777" w:rsidR="00AF1FB0" w:rsidRPr="00320613" w:rsidRDefault="00AF1FB0" w:rsidP="00AF1FB0">
      <w:pPr>
        <w:spacing w:line="240" w:lineRule="auto"/>
        <w:ind w:left="720"/>
        <w:rPr>
          <w:rFonts w:ascii="Helvetica" w:hAnsi="Helvetica" w:cs="Helvetica"/>
          <w:i/>
        </w:rPr>
      </w:pPr>
      <w:r w:rsidRPr="00320613">
        <w:rPr>
          <w:rFonts w:ascii="Helvetica" w:hAnsi="Helvetica" w:cs="Helvetica"/>
          <w:i/>
        </w:rPr>
        <w:t xml:space="preserve">‘We learn things for the exam and if it is not in the exam it is harder to remember. Being able to go in to a situation and learn to be in charge was so useful, the patient responded to me verbally and with </w:t>
      </w:r>
      <w:proofErr w:type="spellStart"/>
      <w:r w:rsidRPr="00320613">
        <w:rPr>
          <w:rFonts w:ascii="Helvetica" w:hAnsi="Helvetica" w:cs="Helvetica"/>
          <w:i/>
        </w:rPr>
        <w:t>obs</w:t>
      </w:r>
      <w:proofErr w:type="spellEnd"/>
      <w:r w:rsidRPr="00320613">
        <w:rPr>
          <w:rFonts w:ascii="Helvetica" w:hAnsi="Helvetica" w:cs="Helvetica"/>
          <w:i/>
        </w:rPr>
        <w:t xml:space="preserve"> which helped me to learn if I had done the right thing or not’ </w:t>
      </w:r>
      <w:r w:rsidRPr="000A70AC">
        <w:rPr>
          <w:rFonts w:ascii="Helvetica" w:hAnsi="Helvetica" w:cs="Helvetica"/>
        </w:rPr>
        <w:t>(Focus group 12, Participant 2).</w:t>
      </w:r>
    </w:p>
    <w:p w14:paraId="6C7A90E4" w14:textId="77777777" w:rsidR="00AF1FB0" w:rsidRDefault="00AF1FB0" w:rsidP="00AF1FB0">
      <w:pPr>
        <w:spacing w:line="240" w:lineRule="auto"/>
        <w:ind w:left="720"/>
        <w:rPr>
          <w:rFonts w:ascii="Helvetica"/>
        </w:rPr>
      </w:pPr>
      <w:r>
        <w:rPr>
          <w:rFonts w:ascii="Helvetica"/>
          <w:i/>
        </w:rPr>
        <w:lastRenderedPageBreak/>
        <w:t>‘</w:t>
      </w:r>
      <w:r w:rsidRPr="00CD06A5">
        <w:rPr>
          <w:rFonts w:ascii="Helvetica"/>
          <w:i/>
        </w:rPr>
        <w:t>I think we should teaching human factors in school as far as I</w:t>
      </w:r>
      <w:r w:rsidRPr="00CD06A5">
        <w:rPr>
          <w:rFonts w:hAnsi="Helvetica"/>
          <w:i/>
        </w:rPr>
        <w:t>’</w:t>
      </w:r>
      <w:r w:rsidRPr="00EE4DE7">
        <w:rPr>
          <w:rFonts w:ascii="Helvetica"/>
          <w:i/>
        </w:rPr>
        <w:t xml:space="preserve">m concerned, </w:t>
      </w:r>
      <w:proofErr w:type="gramStart"/>
      <w:r w:rsidRPr="00EE4DE7">
        <w:rPr>
          <w:rFonts w:ascii="Helvetica"/>
          <w:i/>
        </w:rPr>
        <w:t>it</w:t>
      </w:r>
      <w:r w:rsidRPr="00CD06A5">
        <w:rPr>
          <w:rFonts w:hAnsi="Helvetica"/>
          <w:i/>
        </w:rPr>
        <w:t>’</w:t>
      </w:r>
      <w:r w:rsidRPr="00CD06A5">
        <w:rPr>
          <w:rFonts w:ascii="Helvetica"/>
          <w:i/>
        </w:rPr>
        <w:t>s..</w:t>
      </w:r>
      <w:proofErr w:type="gramEnd"/>
      <w:r w:rsidRPr="00CD06A5">
        <w:rPr>
          <w:rFonts w:ascii="Helvetica"/>
          <w:i/>
        </w:rPr>
        <w:t xml:space="preserve"> the</w:t>
      </w:r>
      <w:r>
        <w:rPr>
          <w:rFonts w:ascii="Helvetica"/>
          <w:i/>
        </w:rPr>
        <w:t>y</w:t>
      </w:r>
      <w:r>
        <w:rPr>
          <w:rFonts w:ascii="Helvetica"/>
          <w:i/>
        </w:rPr>
        <w:t>’</w:t>
      </w:r>
      <w:r>
        <w:rPr>
          <w:rFonts w:ascii="Helvetica"/>
          <w:i/>
        </w:rPr>
        <w:t>re</w:t>
      </w:r>
      <w:r w:rsidRPr="00CD06A5">
        <w:rPr>
          <w:rFonts w:ascii="Helvetica"/>
          <w:i/>
        </w:rPr>
        <w:t xml:space="preserve"> life lessons, they</w:t>
      </w:r>
      <w:r w:rsidRPr="00CD06A5">
        <w:rPr>
          <w:rFonts w:hAnsi="Helvetica"/>
          <w:i/>
        </w:rPr>
        <w:t>’</w:t>
      </w:r>
      <w:r w:rsidRPr="00CD06A5">
        <w:rPr>
          <w:rFonts w:ascii="Helvetica"/>
          <w:i/>
        </w:rPr>
        <w:t>re not just lessons about how to be good health care professionals. It</w:t>
      </w:r>
      <w:r w:rsidRPr="00CD06A5">
        <w:rPr>
          <w:rFonts w:hAnsi="Helvetica"/>
          <w:i/>
        </w:rPr>
        <w:t>’</w:t>
      </w:r>
      <w:r w:rsidRPr="00CD06A5">
        <w:rPr>
          <w:rFonts w:ascii="Helvetica"/>
          <w:i/>
        </w:rPr>
        <w:t>s about how we work better with our fellow human beings and our environment and the equipment in that environment whether that is at home or in the workplace</w:t>
      </w:r>
      <w:r>
        <w:rPr>
          <w:rFonts w:ascii="Helvetica"/>
          <w:i/>
        </w:rPr>
        <w:t>’</w:t>
      </w:r>
      <w:r>
        <w:rPr>
          <w:rFonts w:ascii="Helvetica"/>
        </w:rPr>
        <w:t xml:space="preserve"> (Interview 2).</w:t>
      </w:r>
    </w:p>
    <w:p w14:paraId="351572A4" w14:textId="77777777" w:rsidR="00AF1FB0" w:rsidRDefault="00AF1FB0" w:rsidP="00AF1FB0"/>
    <w:p w14:paraId="12DBC224" w14:textId="77777777" w:rsidR="00AF1FB0" w:rsidRDefault="00AF1FB0" w:rsidP="00AF1FB0">
      <w:r>
        <w:t xml:space="preserve">The topic and importance of educating and developing skills built on a human factors approaches were evident throughout these data. Interestingly there were huge differences in the interpretation. Students described elements but lacked depth of understanding and were not aware of the term, whilst experts displayed a range of views and ideas. There were seven main emergent themes surrounding human factors: ‘behaviour under pressure’; ‘cognitive skills’; ‘social skills’; ‘human interactions and potential’; ‘holistic/everything’; ‘system and design’, and finally ‘non-technical skills’. </w:t>
      </w:r>
    </w:p>
    <w:p w14:paraId="13B39A46" w14:textId="77777777" w:rsidR="00AF1FB0" w:rsidRDefault="00AF1FB0" w:rsidP="00AF1FB0">
      <w:r>
        <w:t xml:space="preserve">The first theme related to behaviour under pressure and included ‘social’, that is interactions with other team members as well as patients and relatives; ‘cultural’, related to own culture and impact or empathy and understanding of other’s cultures and finally, how to actually ‘perform when under pressure’, including how to modify behaviour to be effective. </w:t>
      </w:r>
    </w:p>
    <w:p w14:paraId="6C3235EF" w14:textId="4EF136D8" w:rsidR="00AF1FB0" w:rsidRDefault="00AF1FB0" w:rsidP="00AF1FB0">
      <w:r>
        <w:t xml:space="preserve">The second theme, ‘cognitive skills’ included decision-making, situation awareness, prioritisation, judgement, resource management, how to think, task management and dealing with uncertainty. All of these skills appeared to be related and in some areas dependent on each other and linked to behaviour under pressure. It was described by students that when they felt unsure what to do and there was not a clear diagnosis it was difficult to make a judgement and </w:t>
      </w:r>
      <w:r>
        <w:lastRenderedPageBreak/>
        <w:t>prioritise management and make decisions. Field notes revealed they appeared comfortable when fixed on a diagnosis but errors were seen when the wrong diagnosis was made. Though decision-making was clear</w:t>
      </w:r>
      <w:r w:rsidR="00472E04">
        <w:t>ly related to that diagnosis</w:t>
      </w:r>
      <w:r>
        <w:t xml:space="preserve"> the lack of awareness or capacity to accept the uncertainty or complexity of the clinical environment on occasions led to incorrect management</w:t>
      </w:r>
      <w:r w:rsidR="00472E04">
        <w:t>. This</w:t>
      </w:r>
      <w:r>
        <w:t xml:space="preserve"> could have been potentially unsafe. Resource management was linked to available team, equipment and the environment and discussions surrounding differences at night were highlighted (Interviews 1, 8). </w:t>
      </w:r>
    </w:p>
    <w:p w14:paraId="5D4C0F1A" w14:textId="762F8595" w:rsidR="00AF1FB0" w:rsidRDefault="00AF1FB0" w:rsidP="00AF1FB0">
      <w:r>
        <w:t xml:space="preserve">Social skills appeared as a theme related to </w:t>
      </w:r>
      <w:r w:rsidR="00345C07">
        <w:t>leadership, communication, team</w:t>
      </w:r>
      <w:r>
        <w:t xml:space="preserve">working and overall facilitation of patient care. It was felt not to be specific to a particular task. Despite this description of non-technical skills this was actually discussed as a separate theme by most and some again referred to communication skills within that as well as judgement and decision-making. Because there was a lot of debate over whether non-technical skills were part of human factors or whether they stood alone with technical skills they were explored in depth separately and the results are presented below. </w:t>
      </w:r>
    </w:p>
    <w:p w14:paraId="49EC4D42" w14:textId="77777777" w:rsidR="00AF1FB0" w:rsidRDefault="00AF1FB0" w:rsidP="00AF1FB0">
      <w:r>
        <w:t xml:space="preserve">Human interactions and potential described the human-to-human interface and ways of strengthening that but also challenges that threaten such as poor communication and the impact of body language (Interviews 2, 3,5). The human-to-equipment interface plus the human-to-environment interface and areas that could fail and go wrong as well as those that could enhance effective working such as equipment checks, time outs and mental checks if something does not appear as it should, were described (Interviews 9,10).  The ‘shell model’ was referred to by one expert and used to educate surrounding human </w:t>
      </w:r>
      <w:r>
        <w:lastRenderedPageBreak/>
        <w:t xml:space="preserve">factors (Self, Hardware (equipment), Environment, Live wear (team), Live wear (patients) in their practice. There were also links made to the clinical human factors group for definitions (Interviews 2,9,10). Some experts expressed frustration that they were not able to offer a succinct definition because they had not ‘read up on the topic’ suggesting they felt it was really important but very hard to define even by those involved and that have bought into the concept (Interviews 1,8). Others described the human potential to be effective, suggesting that everyone is capable of being more effective if only educated with a human factors approach (Interviews 4,6,9). </w:t>
      </w:r>
    </w:p>
    <w:p w14:paraId="095CBDA3" w14:textId="77777777" w:rsidR="00AF1FB0" w:rsidRDefault="00AF1FB0" w:rsidP="00AF1FB0">
      <w:r>
        <w:t>One</w:t>
      </w:r>
      <w:r w:rsidRPr="004038D4">
        <w:t xml:space="preserve"> </w:t>
      </w:r>
      <w:r>
        <w:t xml:space="preserve">expert described human factors as ‘holistic…everything’ and when asked to explain or expand, continued to repeat these words (Interview 2). This was a challenge when trying to add depth and understanding because such a broad term was hard to decipher and take into account, especially when deciding how to design education that supports learning about human factors. Others found it too complex or difficult to define and there was a feeling that the many definitions could expose the term to criticism and misrepresentation. </w:t>
      </w:r>
    </w:p>
    <w:p w14:paraId="45E3D5D4" w14:textId="77777777" w:rsidR="00AF1FB0" w:rsidRDefault="00AF1FB0" w:rsidP="00AF1FB0">
      <w:r>
        <w:t xml:space="preserve">The final theme emerged as ‘system and design’ and included the importance of understanding how the system may fail, its flaws to be aware of and to try and learn to prospectively assess and minimise impact from hazards. Poor equipment design and lack of resources were described as challenges to safety and efficiency and the need for education about risk and error was highlighted. It was felt that improving patient safety and efficiency required consideration of humans, the system, equipment and the environment and this linked back to commissioning and procurement and the importance of the support of system </w:t>
      </w:r>
      <w:r>
        <w:lastRenderedPageBreak/>
        <w:t>leaders. These data have informed the educational models and recommendations for supporting preparedness.</w:t>
      </w:r>
    </w:p>
    <w:p w14:paraId="508F0805" w14:textId="77777777" w:rsidR="00AF1FB0" w:rsidRDefault="00AF1FB0" w:rsidP="00AF1FB0">
      <w:r w:rsidRPr="0006219B">
        <w:t>Non-technical skills</w:t>
      </w:r>
      <w:r>
        <w:t xml:space="preserve"> were either considered to be part of human factors by some or as a separate entity by many. For this reason, the concept was explored separately to ensure that depth of description and reported understanding were displayed accurately and remained true to original data (Section 1.3.4). </w:t>
      </w:r>
    </w:p>
    <w:p w14:paraId="1A339823" w14:textId="26CB8C8F" w:rsidR="00AF1FB0" w:rsidRDefault="00AF1FB0" w:rsidP="00AF1FB0">
      <w:r>
        <w:t>Stakeholders were given the opportunity to share their views on how human factor</w:t>
      </w:r>
      <w:r w:rsidR="00A90822">
        <w:t>s should be taught. (Appendix 13</w:t>
      </w:r>
      <w:r>
        <w:t xml:space="preserve">.43). Teaching the science of human factors was felt to be key to developing safe and effective practitioners for the future. Students highlighted the complexities of the clinical environment and how their performance was enhanced by reflecting on behaviours linked to human factors that emerged during simulated scenarios (Field notes). </w:t>
      </w:r>
    </w:p>
    <w:p w14:paraId="486034E8" w14:textId="77777777" w:rsidR="00AF1FB0" w:rsidRDefault="00AF1FB0" w:rsidP="00AF1FB0">
      <w:r>
        <w:t xml:space="preserve">There was a discrepancy in the understanding of the language of human factors at an expert level, highlighting the challenge of educating junior trainees. This discrepancy was likely due to variation in experience - some had taught human factors programmes and others had little experience. By educating the next generation of health professionals in this way, they may be able to enhance clinical performance through observation, role modelling and effective teamwork. Human factors educational programmes should be delivered across the board to all levels of health professions, including those in management and senior leadership positions. </w:t>
      </w:r>
    </w:p>
    <w:p w14:paraId="2DDA78FB" w14:textId="77777777" w:rsidR="00AF1FB0" w:rsidRDefault="00AF1FB0" w:rsidP="00AF1FB0">
      <w:r>
        <w:t xml:space="preserve">Seven main themes emerged from analysis of the data surrounding when and how to teach human factors to healthcare professionals. Overwhelmingly </w:t>
      </w:r>
      <w:r>
        <w:lastRenderedPageBreak/>
        <w:t xml:space="preserve">amongst most experts and students it was felt that this should be done throughout undergraduate curricula, some experts even felt that because a lot of the skills were ‘life lessons’ they could be taught the principles at school (Interview 2). There was the balanced view that with limited resources education could be focused on final years of undergraduate education, so for medicine years four and five. </w:t>
      </w:r>
    </w:p>
    <w:p w14:paraId="316000B6" w14:textId="357575AF" w:rsidR="00AF1FB0" w:rsidRDefault="00AF1FB0" w:rsidP="00AF1FB0">
      <w:r>
        <w:t xml:space="preserve">Overwhelmingly, the view was that human factors should be ‘embedded into the curricula’ to ensure the education was coordinated and clear, with small and frequent contextualised episodes of learning. There were </w:t>
      </w:r>
      <w:proofErr w:type="spellStart"/>
      <w:r>
        <w:t>constructionalist</w:t>
      </w:r>
      <w:proofErr w:type="spellEnd"/>
      <w:r>
        <w:t xml:space="preserve"> views of starting basic and building on skills so that these skills were ‘titrated’. Simulation </w:t>
      </w:r>
      <w:r w:rsidR="00276FC8">
        <w:t xml:space="preserve">was felt to be useful in enabling students to learn </w:t>
      </w:r>
      <w:r>
        <w:t xml:space="preserve">about human factors and the term ‘holistic’ was brought in again at this point as a reminder of the complexity of effective and safe patient-centred care (Interviews 1-10, field notes from interventions study). </w:t>
      </w:r>
    </w:p>
    <w:p w14:paraId="4B08238D" w14:textId="3CEEE3E4" w:rsidR="00AF1FB0" w:rsidRDefault="00AF1FB0" w:rsidP="00AF1FB0">
      <w:r>
        <w:t>This concept of titration of skill was expanded on to become a separate theme of ‘layered skill development’, and many parallels with simulation education were drawn. It was felt that the ‘science of human factors’ should be taught at the start to include principles of safe practice, clinical systems and design. There was a view that multiple methods could be used such as workshops, videos and that using resources from other industries</w:t>
      </w:r>
      <w:r w:rsidR="00276FC8">
        <w:t>,</w:t>
      </w:r>
      <w:r>
        <w:t xml:space="preserve"> such as the airline industry</w:t>
      </w:r>
      <w:r w:rsidR="00276FC8">
        <w:t>,</w:t>
      </w:r>
      <w:r>
        <w:t xml:space="preserve"> could be an effective and efficient option to prevent repetition. The teaching of mental models were felt to be something that experts had developed was felt to be feasible to teach earlier in training at undergraduate level. The importance of teaching technical skills then adding non-technical </w:t>
      </w:r>
      <w:r>
        <w:lastRenderedPageBreak/>
        <w:t xml:space="preserve">skills, were described as demonstrated through skills acquisition in section 7.10.2. The re-creation of responsibility and practice under pressure was again highlighted as an important method to employ when building on skills (Interview 1-10, field notes from intervention study). </w:t>
      </w:r>
    </w:p>
    <w:p w14:paraId="1248C579" w14:textId="77777777" w:rsidR="00AF1FB0" w:rsidRDefault="00AF1FB0" w:rsidP="00AF1FB0">
      <w:r>
        <w:t xml:space="preserve">All stakeholders highlighted interprofessional learning as a must when it came to human factors education. This was recommended from the start of training to ensure authentic, contextualised encounters that build on value and respect for each other and so enhance teamwork. Team feedback and feedback from surrogate patients was felt to be important to allow objective reviews of behaviour and actions. </w:t>
      </w:r>
    </w:p>
    <w:p w14:paraId="0CCC5FFE" w14:textId="77777777" w:rsidR="00AF1FB0" w:rsidRDefault="00AF1FB0" w:rsidP="00AF1FB0">
      <w:r>
        <w:t>Role-modelling and personal learning were felt to be a vital part of successful and effective human factors education. This was due to the opportunity to share personal experiences, role modelling openness and transparency through creating an open space to reflect and discuss (Field notes, focus groups 2,4,5,8,11, interviews 1,2,4,6,8). It was felt that faculty, seniors and peers should remain empathic to learners to support their own self-reflection and sense of belonging and that learning should be personal with consideration about how individuals learn (Field notes, interviews 1,2,7,8).</w:t>
      </w:r>
    </w:p>
    <w:p w14:paraId="178B4D1F" w14:textId="77777777" w:rsidR="00AF1FB0" w:rsidRPr="00315D0B" w:rsidRDefault="00AF1FB0" w:rsidP="00AF1FB0">
      <w:r>
        <w:t xml:space="preserve">Patient safety -- the final theme – was described as being dependent on human factors education and principles, along with the opportunity to learn how to assess risk and how to try to minimise and manage it. The importance of meaningful learning from serious untoward incidents and learning from others to create a more open culture was emphasised. It was also felt by two individuals </w:t>
      </w:r>
      <w:r>
        <w:lastRenderedPageBreak/>
        <w:t>that skills should be developed around process and systems to develop clinical leadership skills and awareness of the wider implications to try to address the feeling of learned helplessness discussed when exploring culture and the hidden curriculum (Interviews 1,2,3,6,8,9,10 and field notes from intervention study.</w:t>
      </w:r>
    </w:p>
    <w:p w14:paraId="561A5A6E" w14:textId="77777777" w:rsidR="00AF1FB0" w:rsidRPr="00FA1D51" w:rsidRDefault="00AF1FB0" w:rsidP="00AF1FB0">
      <w:pPr>
        <w:rPr>
          <w:b/>
          <w:i/>
        </w:rPr>
      </w:pPr>
      <w:r w:rsidRPr="00FA1D51">
        <w:rPr>
          <w:b/>
          <w:i/>
        </w:rPr>
        <w:t>Patient safety in SBME</w:t>
      </w:r>
    </w:p>
    <w:p w14:paraId="4C0C0254" w14:textId="77777777" w:rsidR="00AF1FB0" w:rsidRDefault="00AF1FB0" w:rsidP="00AF1FB0">
      <w:r>
        <w:t>Patient safety was something that recurred throughout nearly every emergent theme when exploring the triangulated data related to SBME. There were seven main emergent themes linked to opportunities for patient safety education that simulation was felt to bring. These included: self-regulation and personal learning; practice under pressure; meaningful learning opportunities; clarifying expectations for safe practice; prospective hazard/ safety analysis; consequence learning and interprofessional learning (Appendix 13.47).</w:t>
      </w:r>
    </w:p>
    <w:p w14:paraId="03C23E97" w14:textId="77777777" w:rsidR="00AF1FB0" w:rsidRDefault="00AF1FB0" w:rsidP="00AF1FB0">
      <w:r>
        <w:t>Self-regulation and personal learning represented the opportunity to experience cognitive overload and biases and their effect on one’s own behaviour, then exploring emotional responses and core beliefs during debriefing. It was then felt that the opportunity and space was created to develop mental models and strategies to use when getting stuck, learning how to piece together a situation and how to manage self under pressure, remain present and move towards a small individual behavioural change to improve patient safety (Interviews 1-10, field notes form intervention study, case studies, focus groups 2,5,10,15).</w:t>
      </w:r>
    </w:p>
    <w:p w14:paraId="4DE7D3D0" w14:textId="77777777" w:rsidR="00AF1FB0" w:rsidRDefault="00AF1FB0" w:rsidP="00AF1FB0">
      <w:r>
        <w:t xml:space="preserve">Practice under pressure has been discussed above as a separate topic but recurs here because of its strong links felt to patient safety. Again the </w:t>
      </w:r>
      <w:r>
        <w:lastRenderedPageBreak/>
        <w:t xml:space="preserve">importance of having responsibility appeared to assist in learning more effectively, practice about how to perform and access knowledge to develop fitness to think, work and practice. Discussions over allowing ‘seconds for safety’ and the concept that even in a crisis there are a few seconds to re-group, share concerns and make a plan (Interviews 2,6, field notes, case studies). There was also the unique opportunity through using SBME to practice high-stakes events such as ‘never’ events (Interviews 1-10, field notes from intervention study).  </w:t>
      </w:r>
    </w:p>
    <w:p w14:paraId="51B5ABCD" w14:textId="77777777" w:rsidR="00AF1FB0" w:rsidRDefault="00AF1FB0" w:rsidP="00AF1FB0">
      <w:r>
        <w:t>Meaningful learning opportunities included the opportunity to learn from serious untoward incidents, the importance of role modelling from faculty in terms of support and belonging, and the opportunity to learn from one’s own mistakes as well as incident investigation and reporting. Opportunities for human factors and non-technical skills education and application were highlighted, as well as learning from documents such as the Francis report (2013), and by getting real time personal feedback from patients, the team and relatives (Field notes, focus groups 1-5). Valuable opportunities to clarify expectations for safe practice were discussed and included when and how to call for help and escalate care. The understanding that it is not always possible to know what to do and the awareness of one’s own role, expectations as well as other team members and how to work well together were discussed and shared (Interviews 2,6,8,10, field notes from intervention study).</w:t>
      </w:r>
    </w:p>
    <w:p w14:paraId="418CBE20" w14:textId="77777777" w:rsidR="00AF1FB0" w:rsidRDefault="00AF1FB0" w:rsidP="00AF1FB0">
      <w:r>
        <w:t xml:space="preserve">The concept of prospective hazard analysis was discussed related to raising awareness and recruiting help from the team, practice having time outs with the team to share anxiety, clarify equipment, dose, decision and opportunity to set </w:t>
      </w:r>
      <w:r>
        <w:lastRenderedPageBreak/>
        <w:t>the agenda and practice dangerous scenarios as well as testing systems. Discussion over experience of task fixation then when and how to employ or avoid it was explored (Interviews 2,6,8,9, field notes from intervention study).</w:t>
      </w:r>
    </w:p>
    <w:p w14:paraId="4F66A59E" w14:textId="77777777" w:rsidR="00AF1FB0" w:rsidRDefault="00AF1FB0" w:rsidP="00AF1FB0">
      <w:r>
        <w:t xml:space="preserve">Consequence learning encompassed the opportunity to learn from consequences in a simulated environment because it was safe, there was an opportunity to experience outcomes of actions versus inactions, the taking of ownership of decisions and learning from mistakes. There were also case examples of students incorrectly labelling a patient with the wrong diagnosis due to time pressures and a new found appreciation of the complexity of clinical work (Field notes, case studies). </w:t>
      </w:r>
    </w:p>
    <w:p w14:paraId="2FEC8FFE" w14:textId="77777777" w:rsidR="00AF1FB0" w:rsidRDefault="00AF1FB0" w:rsidP="00AF1FB0">
      <w:r>
        <w:t xml:space="preserve">The final theme, interprofessional learning, included the opportunity to understand roles, responsibilities and the interplay of different roles, build trust, respect, rapport and understanding to make teamwork more effective to deliver quality compassionate care (Field notes, focus groups 1-19, interviews 1,2,4,6,7,8,9,10). There was a feeling that teamwork should be valued as much if not more than knowledge and that support to appropriately access and challenge the hierarchy could be practiced through the clarification of plans, speaking up and improving understanding of decisions made (interviews 1-10, field notes from intervention study and focus groups 1-19). </w:t>
      </w:r>
    </w:p>
    <w:p w14:paraId="215CC4D7" w14:textId="77777777" w:rsidR="00AF1FB0" w:rsidRDefault="00AF1FB0" w:rsidP="00AF1FB0"/>
    <w:p w14:paraId="0192B50E" w14:textId="77777777" w:rsidR="00A90822" w:rsidRDefault="00A90822" w:rsidP="00AF1FB0"/>
    <w:p w14:paraId="74387A9A" w14:textId="77777777" w:rsidR="00A90822" w:rsidRDefault="00A90822" w:rsidP="00AF1FB0"/>
    <w:p w14:paraId="7EF81D1B" w14:textId="77777777" w:rsidR="00AF1FB0" w:rsidRPr="00FA1D51" w:rsidRDefault="00AF1FB0" w:rsidP="00AF1FB0">
      <w:pPr>
        <w:rPr>
          <w:b/>
          <w:i/>
        </w:rPr>
      </w:pPr>
      <w:r w:rsidRPr="00FA1D51">
        <w:rPr>
          <w:b/>
          <w:i/>
        </w:rPr>
        <w:lastRenderedPageBreak/>
        <w:t xml:space="preserve">Culture and the hidden curriculum </w:t>
      </w:r>
    </w:p>
    <w:p w14:paraId="0F818D12" w14:textId="77777777" w:rsidR="00AF1FB0" w:rsidRDefault="00AF1FB0" w:rsidP="00AF1FB0">
      <w:pPr>
        <w:rPr>
          <w:lang w:val="en-US"/>
        </w:rPr>
      </w:pPr>
      <w:r>
        <w:t xml:space="preserve">It was clear from the data that the culture of the NHS did influence students and experts, in particular their perceived hierarchical expectations and values. </w:t>
      </w:r>
      <w:r>
        <w:rPr>
          <w:lang w:val="en-US"/>
        </w:rPr>
        <w:t xml:space="preserve">There were 12 main themes that emerged from the exploration of the hidden curriculum and healthcare culture in the UK (Appendix 12.39): </w:t>
      </w:r>
    </w:p>
    <w:p w14:paraId="780DB38B"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r w:rsidRPr="00F7016C">
        <w:rPr>
          <w:rFonts w:ascii="Arial" w:hAnsi="Arial" w:cs="Arial"/>
          <w:sz w:val="24"/>
          <w:szCs w:val="24"/>
          <w:lang w:val="en-US"/>
        </w:rPr>
        <w:t xml:space="preserve">Blame culture. </w:t>
      </w:r>
    </w:p>
    <w:p w14:paraId="40ADCAB1"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r w:rsidRPr="00F7016C">
        <w:rPr>
          <w:rFonts w:ascii="Arial" w:hAnsi="Arial" w:cs="Arial"/>
          <w:sz w:val="24"/>
          <w:szCs w:val="24"/>
          <w:lang w:val="en-US"/>
        </w:rPr>
        <w:t xml:space="preserve">Failure to learn from mistakes. </w:t>
      </w:r>
    </w:p>
    <w:p w14:paraId="6645B10E"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proofErr w:type="spellStart"/>
      <w:r w:rsidRPr="00F7016C">
        <w:rPr>
          <w:rFonts w:ascii="Arial" w:hAnsi="Arial" w:cs="Arial"/>
          <w:sz w:val="24"/>
          <w:szCs w:val="24"/>
          <w:lang w:val="en-US"/>
        </w:rPr>
        <w:t>Sanitisation</w:t>
      </w:r>
      <w:proofErr w:type="spellEnd"/>
      <w:r w:rsidRPr="00F7016C">
        <w:rPr>
          <w:rFonts w:ascii="Arial" w:hAnsi="Arial" w:cs="Arial"/>
          <w:sz w:val="24"/>
          <w:szCs w:val="24"/>
          <w:lang w:val="en-US"/>
        </w:rPr>
        <w:t xml:space="preserve"> of the NHS. </w:t>
      </w:r>
    </w:p>
    <w:p w14:paraId="1AA64E3D"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r w:rsidRPr="00F7016C">
        <w:rPr>
          <w:rFonts w:ascii="Arial" w:hAnsi="Arial" w:cs="Arial"/>
          <w:sz w:val="24"/>
          <w:szCs w:val="24"/>
          <w:lang w:val="en-US"/>
        </w:rPr>
        <w:t xml:space="preserve">Knowledge as currency. </w:t>
      </w:r>
    </w:p>
    <w:p w14:paraId="79144011"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r w:rsidRPr="00F7016C">
        <w:rPr>
          <w:rFonts w:ascii="Arial" w:hAnsi="Arial" w:cs="Arial"/>
          <w:sz w:val="24"/>
          <w:szCs w:val="24"/>
          <w:lang w:val="en-US"/>
        </w:rPr>
        <w:t xml:space="preserve">Hierarchy. </w:t>
      </w:r>
    </w:p>
    <w:p w14:paraId="18EAB813"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r w:rsidRPr="00F7016C">
        <w:rPr>
          <w:rFonts w:ascii="Arial" w:hAnsi="Arial" w:cs="Arial"/>
          <w:sz w:val="24"/>
          <w:szCs w:val="24"/>
          <w:lang w:val="en-US"/>
        </w:rPr>
        <w:t xml:space="preserve">Ethical erosion. </w:t>
      </w:r>
    </w:p>
    <w:p w14:paraId="7FA479F4"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r w:rsidRPr="00F7016C">
        <w:rPr>
          <w:rFonts w:ascii="Arial" w:hAnsi="Arial" w:cs="Arial"/>
          <w:sz w:val="24"/>
          <w:szCs w:val="24"/>
          <w:lang w:val="en-US"/>
        </w:rPr>
        <w:t xml:space="preserve">Failure to </w:t>
      </w:r>
      <w:proofErr w:type="spellStart"/>
      <w:r w:rsidRPr="00F7016C">
        <w:rPr>
          <w:rFonts w:ascii="Arial" w:hAnsi="Arial" w:cs="Arial"/>
          <w:sz w:val="24"/>
          <w:szCs w:val="24"/>
          <w:lang w:val="en-US"/>
        </w:rPr>
        <w:t>recognise</w:t>
      </w:r>
      <w:proofErr w:type="spellEnd"/>
      <w:r w:rsidRPr="00F7016C">
        <w:rPr>
          <w:rFonts w:ascii="Arial" w:hAnsi="Arial" w:cs="Arial"/>
          <w:sz w:val="24"/>
          <w:szCs w:val="24"/>
          <w:lang w:val="en-US"/>
        </w:rPr>
        <w:t xml:space="preserve"> human fallibility. </w:t>
      </w:r>
    </w:p>
    <w:p w14:paraId="63E789AA"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r w:rsidRPr="00F7016C">
        <w:rPr>
          <w:rFonts w:ascii="Arial" w:hAnsi="Arial" w:cs="Arial"/>
          <w:sz w:val="24"/>
          <w:szCs w:val="24"/>
          <w:lang w:val="en-US"/>
        </w:rPr>
        <w:t xml:space="preserve">Superficial investigation and incident reporting. </w:t>
      </w:r>
    </w:p>
    <w:p w14:paraId="44991AB2"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r w:rsidRPr="00F7016C">
        <w:rPr>
          <w:rFonts w:ascii="Arial" w:hAnsi="Arial" w:cs="Arial"/>
          <w:sz w:val="24"/>
          <w:szCs w:val="24"/>
          <w:lang w:val="en-US"/>
        </w:rPr>
        <w:t xml:space="preserve">Learned helplessness. </w:t>
      </w:r>
    </w:p>
    <w:p w14:paraId="40A1F3A2"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r w:rsidRPr="00F7016C">
        <w:rPr>
          <w:rFonts w:ascii="Arial" w:hAnsi="Arial" w:cs="Arial"/>
          <w:sz w:val="24"/>
          <w:szCs w:val="24"/>
          <w:lang w:val="en-US"/>
        </w:rPr>
        <w:t xml:space="preserve">Public perceptions and expectations. </w:t>
      </w:r>
    </w:p>
    <w:p w14:paraId="200C66F2" w14:textId="77777777" w:rsidR="00AF1FB0" w:rsidRPr="00F7016C" w:rsidRDefault="00AF1FB0" w:rsidP="00AF1FB0">
      <w:pPr>
        <w:pStyle w:val="ListParagraph"/>
        <w:numPr>
          <w:ilvl w:val="0"/>
          <w:numId w:val="28"/>
        </w:numPr>
        <w:spacing w:line="480" w:lineRule="auto"/>
        <w:rPr>
          <w:rFonts w:ascii="Arial" w:hAnsi="Arial" w:cs="Arial"/>
          <w:sz w:val="24"/>
          <w:szCs w:val="24"/>
          <w:lang w:val="en-US"/>
        </w:rPr>
      </w:pPr>
      <w:proofErr w:type="spellStart"/>
      <w:r w:rsidRPr="00F7016C">
        <w:rPr>
          <w:rFonts w:ascii="Arial" w:hAnsi="Arial" w:cs="Arial"/>
          <w:sz w:val="24"/>
          <w:szCs w:val="24"/>
          <w:lang w:val="en-US"/>
        </w:rPr>
        <w:t>Compartmentalised</w:t>
      </w:r>
      <w:proofErr w:type="spellEnd"/>
      <w:r w:rsidRPr="00F7016C">
        <w:rPr>
          <w:rFonts w:ascii="Arial" w:hAnsi="Arial" w:cs="Arial"/>
          <w:sz w:val="24"/>
          <w:szCs w:val="24"/>
          <w:lang w:val="en-US"/>
        </w:rPr>
        <w:t xml:space="preserve"> learning. </w:t>
      </w:r>
    </w:p>
    <w:p w14:paraId="16D60445" w14:textId="77777777" w:rsidR="00AF1FB0" w:rsidRDefault="00AF1FB0" w:rsidP="00AF1FB0">
      <w:pPr>
        <w:pStyle w:val="ListParagraph"/>
        <w:numPr>
          <w:ilvl w:val="0"/>
          <w:numId w:val="28"/>
        </w:numPr>
        <w:spacing w:line="480" w:lineRule="auto"/>
        <w:rPr>
          <w:rFonts w:cs="Arial"/>
          <w:szCs w:val="24"/>
          <w:lang w:val="en-US"/>
        </w:rPr>
      </w:pPr>
      <w:r w:rsidRPr="00F7016C">
        <w:rPr>
          <w:rFonts w:ascii="Arial" w:hAnsi="Arial" w:cs="Arial"/>
          <w:sz w:val="24"/>
          <w:szCs w:val="24"/>
          <w:lang w:val="en-US"/>
        </w:rPr>
        <w:t>Traditional educational models.</w:t>
      </w:r>
    </w:p>
    <w:p w14:paraId="2B6E80F1" w14:textId="77777777" w:rsidR="00AF1FB0" w:rsidRDefault="00AF1FB0" w:rsidP="00AF1FB0">
      <w:pPr>
        <w:rPr>
          <w:lang w:val="en-US"/>
        </w:rPr>
      </w:pPr>
      <w:r>
        <w:rPr>
          <w:lang w:val="en-US"/>
        </w:rPr>
        <w:t>The first theme was ‘b</w:t>
      </w:r>
      <w:r w:rsidRPr="00A049F6">
        <w:rPr>
          <w:lang w:val="en-US"/>
        </w:rPr>
        <w:t>lame culture</w:t>
      </w:r>
      <w:r>
        <w:rPr>
          <w:lang w:val="en-US"/>
        </w:rPr>
        <w:t>’, particularly around lines of responsibility where it was felt that due to the blame culture that still exists, individuals were more likely to not act than to act because it is easy to trace an action or treatment in prescriptions and notes.</w:t>
      </w:r>
    </w:p>
    <w:p w14:paraId="49556807" w14:textId="77777777" w:rsidR="00AF1FB0" w:rsidRPr="00C74B07" w:rsidRDefault="00AF1FB0" w:rsidP="00AF1FB0">
      <w:pPr>
        <w:spacing w:line="240" w:lineRule="auto"/>
        <w:ind w:left="720"/>
        <w:rPr>
          <w:i/>
          <w:lang w:val="en-US"/>
        </w:rPr>
      </w:pPr>
      <w:r w:rsidRPr="00C74B07">
        <w:rPr>
          <w:i/>
          <w:lang w:val="en-US"/>
        </w:rPr>
        <w:t xml:space="preserve">I am worried I will make mistakes and my boss will think I don’t know enough’ </w:t>
      </w:r>
      <w:r w:rsidRPr="002F3B31">
        <w:rPr>
          <w:lang w:val="en-US"/>
        </w:rPr>
        <w:t>(Focus group 8, Candidate 4).</w:t>
      </w:r>
      <w:r w:rsidRPr="00C74B07">
        <w:rPr>
          <w:i/>
          <w:lang w:val="en-US"/>
        </w:rPr>
        <w:t xml:space="preserve"> </w:t>
      </w:r>
    </w:p>
    <w:p w14:paraId="6C84C382" w14:textId="77777777" w:rsidR="00AF1FB0" w:rsidRPr="00141108" w:rsidRDefault="00AF1FB0" w:rsidP="00AF1FB0">
      <w:pPr>
        <w:spacing w:line="240" w:lineRule="auto"/>
        <w:ind w:left="720"/>
        <w:rPr>
          <w:rFonts w:cs="Arial"/>
          <w:lang w:val="en-US"/>
        </w:rPr>
      </w:pPr>
      <w:r w:rsidRPr="00652CEE">
        <w:rPr>
          <w:rFonts w:cs="Arial"/>
          <w:i/>
        </w:rPr>
        <w:lastRenderedPageBreak/>
        <w:t>‘I think that the way that junior doctors differentiate between an act and an omission is quite important. So when I’ve interviewed juniors about errors they have consistently said that if a patient that has deteriorated, because of something they did, it is more stressful for them and I guess…knocks their confidence much more than someone who deteriorates because of something that they didn’t do….and, I am not sure ethically, that difference is justified.….and, the effect that that has in clinical practice is that people don’t do things… they don’t do anything for fear that they will do something that will make things worse’</w:t>
      </w:r>
      <w:r w:rsidRPr="00652CEE">
        <w:rPr>
          <w:rFonts w:cs="Arial"/>
        </w:rPr>
        <w:t xml:space="preserve"> (Interview 8).</w:t>
      </w:r>
    </w:p>
    <w:p w14:paraId="3C4D52CE" w14:textId="77777777" w:rsidR="00AF1FB0" w:rsidRDefault="00AF1FB0" w:rsidP="00AF1FB0">
      <w:pPr>
        <w:rPr>
          <w:lang w:val="en-US"/>
        </w:rPr>
      </w:pPr>
      <w:r>
        <w:rPr>
          <w:lang w:val="en-US"/>
        </w:rPr>
        <w:t xml:space="preserve">There was a feeling amongst interviewees that the sharing of mistakes between themselves was a good idea but this was not felt to happen in practice. This was because personal failure was felt to impair the sharing of mistakes, as well as the occasional competitive nature in healthcare culture and a fear of blame and potential damage to careers at any stage. Mistakes therefore were not discussed openly and honestly. This fed into the view that there was a ‘failure to learn from mistakes’ in healthcare which was felt to impair patient safety because people felt ‘judged and ashamed’. This resulted in ‘defensive </w:t>
      </w:r>
      <w:proofErr w:type="spellStart"/>
      <w:r>
        <w:rPr>
          <w:lang w:val="en-US"/>
        </w:rPr>
        <w:t>behaviour</w:t>
      </w:r>
      <w:proofErr w:type="spellEnd"/>
      <w:r>
        <w:rPr>
          <w:lang w:val="en-US"/>
        </w:rPr>
        <w:t xml:space="preserve"> ‘ and a concept of continuing to ‘lurch’ from crisis to crisis and ‘decision to decision’ without any perceived time to reflect and learn to improve care and </w:t>
      </w:r>
      <w:proofErr w:type="spellStart"/>
      <w:r>
        <w:rPr>
          <w:lang w:val="en-US"/>
        </w:rPr>
        <w:t>minimise</w:t>
      </w:r>
      <w:proofErr w:type="spellEnd"/>
      <w:r>
        <w:rPr>
          <w:lang w:val="en-US"/>
        </w:rPr>
        <w:t xml:space="preserve"> error and harm (Interviews 2,6,8).</w:t>
      </w:r>
    </w:p>
    <w:p w14:paraId="7D6E76FC" w14:textId="77777777" w:rsidR="00AF1FB0" w:rsidRDefault="00AF1FB0" w:rsidP="00AF1FB0">
      <w:pPr>
        <w:spacing w:line="240" w:lineRule="auto"/>
        <w:ind w:left="720"/>
        <w:rPr>
          <w:rFonts w:cs="Arial"/>
        </w:rPr>
      </w:pPr>
      <w:r w:rsidRPr="00652CEE">
        <w:rPr>
          <w:rFonts w:cs="Arial"/>
          <w:i/>
        </w:rPr>
        <w:t xml:space="preserve">‘That is what we teach people, </w:t>
      </w:r>
      <w:proofErr w:type="spellStart"/>
      <w:r w:rsidRPr="00652CEE">
        <w:rPr>
          <w:rFonts w:cs="Arial"/>
          <w:i/>
        </w:rPr>
        <w:t>everyday</w:t>
      </w:r>
      <w:proofErr w:type="spellEnd"/>
      <w:r w:rsidRPr="00652CEE">
        <w:rPr>
          <w:rFonts w:cs="Arial"/>
          <w:i/>
        </w:rPr>
        <w:t xml:space="preserve"> in medical school. We install that idea and that is what they learn - that they just need to have the right knowledge. I believed that as a medical student, and if I knew enough I would be good at the job and no one ever really tells you that you can’t know it all and you’ll never know it all and even when you think you do, there will be people that you do not know what is wrong with them. So I think that when students make mistakes or when they perform badly, their kneejerk reaction is to think that it is because they don’t have enough knowledge. Sometimes it is but often they do have the right knowledge but that they can’t put it in to practice and I think that is where the challenges lie for us as educators - is how we can allow them to act on the knowledge that they do have, the sometimes very extensive knowledge, sometimes much more extensive than mine, how we can allow them to use that in a way that is meaningful to a patient’ </w:t>
      </w:r>
      <w:r w:rsidRPr="00652CEE">
        <w:rPr>
          <w:rFonts w:cs="Arial"/>
        </w:rPr>
        <w:t>(Interview 8).</w:t>
      </w:r>
    </w:p>
    <w:p w14:paraId="11D78CB3" w14:textId="77777777" w:rsidR="00AF1FB0" w:rsidRPr="00141108" w:rsidRDefault="00AF1FB0" w:rsidP="00AF1FB0">
      <w:pPr>
        <w:spacing w:line="240" w:lineRule="auto"/>
        <w:ind w:left="720"/>
        <w:rPr>
          <w:rFonts w:cs="Arial"/>
          <w:lang w:val="en-US"/>
        </w:rPr>
      </w:pPr>
      <w:r>
        <w:rPr>
          <w:rFonts w:cs="Arial"/>
          <w:i/>
        </w:rPr>
        <w:lastRenderedPageBreak/>
        <w:t>‘I worry I would not know enough to do the right thing even though I have passed my exams, I worry about not knowing what to do and calling for help and interrupting my seniors and that they might think I don’t know enough’ (Focus group 10, Candidate 3).</w:t>
      </w:r>
    </w:p>
    <w:p w14:paraId="153D58EA" w14:textId="77777777" w:rsidR="00AF1FB0" w:rsidRPr="00F43F31" w:rsidRDefault="00AF1FB0" w:rsidP="00AF1FB0">
      <w:pPr>
        <w:rPr>
          <w:lang w:val="en-US"/>
        </w:rPr>
      </w:pPr>
      <w:r>
        <w:rPr>
          <w:lang w:val="en-US"/>
        </w:rPr>
        <w:t xml:space="preserve"> The NHS was described as </w:t>
      </w:r>
      <w:r w:rsidRPr="00F43F31">
        <w:rPr>
          <w:lang w:val="en-US"/>
        </w:rPr>
        <w:t>having been ‘</w:t>
      </w:r>
      <w:proofErr w:type="spellStart"/>
      <w:r w:rsidRPr="00F43F31">
        <w:rPr>
          <w:lang w:val="en-US"/>
        </w:rPr>
        <w:t>sanitised</w:t>
      </w:r>
      <w:proofErr w:type="spellEnd"/>
      <w:r w:rsidRPr="00F43F31">
        <w:rPr>
          <w:lang w:val="en-US"/>
        </w:rPr>
        <w:t xml:space="preserve">’ </w:t>
      </w:r>
      <w:r>
        <w:rPr>
          <w:lang w:val="en-US"/>
        </w:rPr>
        <w:t>due to use of ‘statistical and professional terms’ such as ‘mortality’ rather than ‘deaths’ and this was felt to have ‘</w:t>
      </w:r>
      <w:proofErr w:type="spellStart"/>
      <w:r>
        <w:rPr>
          <w:lang w:val="en-US"/>
        </w:rPr>
        <w:t>dehumanised</w:t>
      </w:r>
      <w:proofErr w:type="spellEnd"/>
      <w:r>
        <w:rPr>
          <w:lang w:val="en-US"/>
        </w:rPr>
        <w:t>’ patients and led to some ‘detachment’ and potential ownership and responsibility issues because statistics were easier to accept (Interview 6,8). It was felt that low morale due to understaffing and undervaluing staff had led to a reduced capacity for empathy (Interviews 1,3,6,7,8).</w:t>
      </w:r>
    </w:p>
    <w:p w14:paraId="6D88D116" w14:textId="77777777" w:rsidR="00AF1FB0" w:rsidRDefault="00AF1FB0" w:rsidP="00AF1FB0">
      <w:pPr>
        <w:rPr>
          <w:rFonts w:cs="Arial"/>
          <w:i/>
        </w:rPr>
      </w:pPr>
      <w:r>
        <w:rPr>
          <w:lang w:val="en-US"/>
        </w:rPr>
        <w:t xml:space="preserve">This was also felt to link to the concept and theme of ‘learned helplessness’ – the feeling that individual healthcare workers work for a huge </w:t>
      </w:r>
      <w:proofErr w:type="spellStart"/>
      <w:r>
        <w:rPr>
          <w:lang w:val="en-US"/>
        </w:rPr>
        <w:t>organisation</w:t>
      </w:r>
      <w:proofErr w:type="spellEnd"/>
      <w:r>
        <w:rPr>
          <w:lang w:val="en-US"/>
        </w:rPr>
        <w:t xml:space="preserve"> so that they ‘can’t make a difference’, which was felt to be inhibitory to patient safety. It was felt that if staff were unsure what to do they would always ‘omit over acting every time’ because they felt it was safer, which may not be the case. There was also the reported acceptance that ‘people die in hospitals’ which supported the feeling of being helpless to change (Interviews 1,6,8). </w:t>
      </w:r>
    </w:p>
    <w:p w14:paraId="34CA2F28" w14:textId="77777777" w:rsidR="00AF1FB0" w:rsidRPr="00652CEE" w:rsidRDefault="00AF1FB0" w:rsidP="00AF1FB0">
      <w:pPr>
        <w:spacing w:line="240" w:lineRule="auto"/>
        <w:ind w:left="720"/>
        <w:rPr>
          <w:i/>
          <w:lang w:val="en-US"/>
        </w:rPr>
      </w:pPr>
      <w:r>
        <w:rPr>
          <w:rFonts w:cs="Arial"/>
          <w:i/>
        </w:rPr>
        <w:t xml:space="preserve"> ‘There </w:t>
      </w:r>
      <w:r w:rsidRPr="00652CEE">
        <w:rPr>
          <w:rFonts w:cs="Arial"/>
          <w:i/>
        </w:rPr>
        <w:t xml:space="preserve">is that learned helplessness, that psychological concept of learned helplessness that pervades healthcare, where you think, well what can I do as an individual in a huge organisation to make a difference to safety?’ </w:t>
      </w:r>
      <w:r w:rsidRPr="00652CEE">
        <w:rPr>
          <w:rFonts w:cs="Arial"/>
        </w:rPr>
        <w:t xml:space="preserve">(Interview 2). </w:t>
      </w:r>
    </w:p>
    <w:p w14:paraId="4B7FD63D" w14:textId="77777777" w:rsidR="00AF1FB0" w:rsidRDefault="00AF1FB0" w:rsidP="00AF1FB0">
      <w:pPr>
        <w:rPr>
          <w:lang w:val="en-US"/>
        </w:rPr>
      </w:pPr>
      <w:r>
        <w:rPr>
          <w:lang w:val="en-US"/>
        </w:rPr>
        <w:t xml:space="preserve">‘Knowledge as currency’ was a recurrent theme where knowledge appeared to be valued over other skills such as teamwork and communication skills. It was felt that this was ‘rewarded’ over these other skills but that it shouldn’t be because of the importance of having a balance of skills to be safe and effective team member. There was also the reported notion that juniors perceived that if </w:t>
      </w:r>
      <w:r>
        <w:rPr>
          <w:lang w:val="en-US"/>
        </w:rPr>
        <w:lastRenderedPageBreak/>
        <w:t>they had enough knowledge they will not make a mistake, leading to cognitive biases amid being ‘exposed’ due to lack of knowledge.</w:t>
      </w:r>
    </w:p>
    <w:p w14:paraId="024AD1A8" w14:textId="77777777" w:rsidR="00AF1FB0" w:rsidRPr="00526EB3" w:rsidRDefault="00AF1FB0" w:rsidP="00AF1FB0">
      <w:pPr>
        <w:spacing w:line="240" w:lineRule="auto"/>
        <w:ind w:left="720"/>
        <w:rPr>
          <w:i/>
          <w:lang w:val="en-US"/>
        </w:rPr>
      </w:pPr>
      <w:r>
        <w:rPr>
          <w:i/>
          <w:lang w:val="en-US"/>
        </w:rPr>
        <w:t>‘If we have enough knowledge then hopefully we will not make a mistake’</w:t>
      </w:r>
      <w:r>
        <w:rPr>
          <w:lang w:val="en-US"/>
        </w:rPr>
        <w:t>(Focus groups 5, candidate 1).</w:t>
      </w:r>
    </w:p>
    <w:p w14:paraId="0B59D84D" w14:textId="77777777" w:rsidR="00AF1FB0" w:rsidRDefault="00AF1FB0" w:rsidP="00AF1FB0">
      <w:pPr>
        <w:rPr>
          <w:lang w:val="en-US"/>
        </w:rPr>
      </w:pPr>
      <w:r>
        <w:rPr>
          <w:lang w:val="en-US"/>
        </w:rPr>
        <w:t xml:space="preserve"> This was also linked with the view that ‘working harder’ to learn more would lead to fewer mistakes with a complete lack of awareness of the impact and understanding of human factors (Interviews 1,6,8, focus groups 2,4,10).</w:t>
      </w:r>
    </w:p>
    <w:p w14:paraId="10CBB348" w14:textId="77777777" w:rsidR="00AF1FB0" w:rsidRPr="00141108" w:rsidRDefault="00AF1FB0" w:rsidP="00AF1FB0">
      <w:pPr>
        <w:spacing w:line="240" w:lineRule="auto"/>
        <w:ind w:left="720"/>
        <w:rPr>
          <w:rFonts w:cs="Arial"/>
          <w:lang w:val="en-US"/>
        </w:rPr>
      </w:pPr>
      <w:r w:rsidRPr="00652CEE">
        <w:rPr>
          <w:rFonts w:cs="Arial"/>
          <w:i/>
        </w:rPr>
        <w:t>‘It is a product of our own education system, quite clearly, and from day one, from senior school onwards and throughout university, that the hidden curriculum instils a belief that to be a good doctor, you have to have the most amount of knowledge that you possibly can and if you have the right knowledge that you will be good at what you do and you will make people better because you will know what is wrong with them and if you don’t know what is wrong with them then you can’t make them better, which we all know now is not the case’</w:t>
      </w:r>
      <w:r w:rsidRPr="00652CEE">
        <w:rPr>
          <w:rFonts w:cs="Arial"/>
        </w:rPr>
        <w:t xml:space="preserve"> (Interview 8).</w:t>
      </w:r>
    </w:p>
    <w:p w14:paraId="71A98931" w14:textId="77777777" w:rsidR="00AF1FB0" w:rsidRDefault="00AF1FB0" w:rsidP="00AF1FB0">
      <w:pPr>
        <w:rPr>
          <w:lang w:val="en-US"/>
        </w:rPr>
      </w:pPr>
      <w:r>
        <w:rPr>
          <w:lang w:val="en-US"/>
        </w:rPr>
        <w:t xml:space="preserve">Students and experts reported a discomfort with uncertainty and the drive to learn more to protect against this feeling as opposed to understanding that dealing with uncertainty and managing complexity is part of normal clinical practice and that learning how to deal with that is more important because it can never be eliminated. The concept of ‘rewarding knowledge’ over other vital skills was felt to be a product of higher education in the UK and something that is role modeled from an early age. </w:t>
      </w:r>
    </w:p>
    <w:p w14:paraId="100108AA" w14:textId="133E68E2" w:rsidR="00AF1FB0" w:rsidRPr="00141108" w:rsidRDefault="00AF1FB0" w:rsidP="00AF1FB0">
      <w:pPr>
        <w:rPr>
          <w:rFonts w:cs="Arial"/>
          <w:lang w:val="en-US"/>
        </w:rPr>
      </w:pPr>
      <w:r>
        <w:rPr>
          <w:lang w:val="en-US"/>
        </w:rPr>
        <w:t>‘Hierarchy’ and its influence was discussed as an important theme related to culture and the hidden curriculum</w:t>
      </w:r>
      <w:r w:rsidR="008E35E0">
        <w:rPr>
          <w:lang w:val="en-US"/>
        </w:rPr>
        <w:t>,</w:t>
      </w:r>
      <w:r>
        <w:rPr>
          <w:lang w:val="en-US"/>
        </w:rPr>
        <w:t xml:space="preserve"> with students worried about ‘bothering seniors’ so delaying contacting them amid being </w:t>
      </w:r>
      <w:proofErr w:type="spellStart"/>
      <w:r>
        <w:rPr>
          <w:lang w:val="en-US"/>
        </w:rPr>
        <w:t>criticised</w:t>
      </w:r>
      <w:proofErr w:type="spellEnd"/>
      <w:r>
        <w:rPr>
          <w:lang w:val="en-US"/>
        </w:rPr>
        <w:t xml:space="preserve"> for interrupting them and also concern over ‘losing pride and respect from them’ (focus groups from final intervention study and field notes reflecting on debriefing). These ‘unclear </w:t>
      </w:r>
      <w:r>
        <w:rPr>
          <w:lang w:val="en-US"/>
        </w:rPr>
        <w:lastRenderedPageBreak/>
        <w:t xml:space="preserve">expectations’ were shared by the students throughout their debriefing and acknowledged by experts through interviews, however some attempts to rectify this by some experts had felt the students had still not responded to openness (Interviews 1,2,3,6,8, focus group 3,5,11,15, field notes from final intervention study). </w:t>
      </w:r>
    </w:p>
    <w:p w14:paraId="12B61430" w14:textId="77777777" w:rsidR="00AF1FB0" w:rsidRPr="00101C85" w:rsidRDefault="00AF1FB0" w:rsidP="00AF1FB0">
      <w:pPr>
        <w:spacing w:line="240" w:lineRule="auto"/>
        <w:ind w:left="720"/>
        <w:rPr>
          <w:rFonts w:cs="Arial"/>
          <w:lang w:val="en-US"/>
        </w:rPr>
      </w:pPr>
      <w:r w:rsidRPr="00A64973">
        <w:rPr>
          <w:rFonts w:cs="Arial"/>
          <w:i/>
          <w:lang w:val="en-US"/>
        </w:rPr>
        <w:t>‘I was unsure when to call for help, I did not want to bother the seniors in case they thought I did not know anything or what to do…. and they are busy’</w:t>
      </w:r>
      <w:r>
        <w:rPr>
          <w:rFonts w:cs="Arial"/>
          <w:lang w:val="en-US"/>
        </w:rPr>
        <w:t xml:space="preserve"> (F</w:t>
      </w:r>
      <w:r w:rsidRPr="00101C85">
        <w:rPr>
          <w:rFonts w:cs="Arial"/>
          <w:lang w:val="en-US"/>
        </w:rPr>
        <w:t>ocus group 5</w:t>
      </w:r>
      <w:r>
        <w:rPr>
          <w:rFonts w:cs="Arial"/>
          <w:lang w:val="en-US"/>
        </w:rPr>
        <w:t>, Candidate 4</w:t>
      </w:r>
      <w:r w:rsidRPr="00101C85">
        <w:rPr>
          <w:rFonts w:cs="Arial"/>
          <w:lang w:val="en-US"/>
        </w:rPr>
        <w:t>)</w:t>
      </w:r>
    </w:p>
    <w:p w14:paraId="6E313247" w14:textId="77777777" w:rsidR="00AF1FB0" w:rsidRDefault="00AF1FB0" w:rsidP="00AF1FB0">
      <w:pPr>
        <w:rPr>
          <w:lang w:val="en-US"/>
        </w:rPr>
      </w:pPr>
      <w:r>
        <w:rPr>
          <w:lang w:val="en-US"/>
        </w:rPr>
        <w:t>Students also reported that they felt ‘</w:t>
      </w:r>
      <w:r w:rsidRPr="00C74B07">
        <w:rPr>
          <w:i/>
          <w:lang w:val="en-US"/>
        </w:rPr>
        <w:t xml:space="preserve">threatened by judgmental </w:t>
      </w:r>
      <w:proofErr w:type="spellStart"/>
      <w:r w:rsidRPr="00C74B07">
        <w:rPr>
          <w:i/>
          <w:lang w:val="en-US"/>
        </w:rPr>
        <w:t>behaviour</w:t>
      </w:r>
      <w:proofErr w:type="spellEnd"/>
      <w:r w:rsidRPr="00C74B07">
        <w:rPr>
          <w:i/>
          <w:lang w:val="en-US"/>
        </w:rPr>
        <w:t xml:space="preserve"> surrounding errors and mistakes’ </w:t>
      </w:r>
      <w:r>
        <w:rPr>
          <w:lang w:val="en-US"/>
        </w:rPr>
        <w:t>that they may make, this was from experience from their clinical encounters but also assumptions (Focus groups 3, Candidate 3). They also voiced uncertainty about how to ‘access hierarchy’ and when and how it was appropriate, and how to challenge hierarchy if no progress was being made and a situation was deemed unsafe for a patient (Field notes from final intervention study from debriefing post-simulation scenarios).</w:t>
      </w:r>
    </w:p>
    <w:p w14:paraId="7062BA83" w14:textId="77777777" w:rsidR="00AF1FB0" w:rsidRDefault="00AF1FB0" w:rsidP="00AF1FB0">
      <w:pPr>
        <w:rPr>
          <w:lang w:val="en-US"/>
        </w:rPr>
      </w:pPr>
      <w:r>
        <w:rPr>
          <w:lang w:val="en-US"/>
        </w:rPr>
        <w:t xml:space="preserve">‘Ethical erosion’ was a theme that related to the reported feeling from both students and experts that juniors ‘lacked a sense of belonging, a team, support and mentorship’. With the fragmentation of teams and shift work, they were ‘unclear about lines of responsibility’, which had the catastrophic effects of ‘disconnection with patients’, disengagement with role and responsibility, which in turn ‘lowered morale and empathy’ (Interviews 1,2,3,4,6,7,8,10, focus groups 2,8, field notes from final intervention study). This was </w:t>
      </w:r>
      <w:proofErr w:type="spellStart"/>
      <w:r>
        <w:rPr>
          <w:lang w:val="en-US"/>
        </w:rPr>
        <w:t>emphasised</w:t>
      </w:r>
      <w:proofErr w:type="spellEnd"/>
      <w:r>
        <w:rPr>
          <w:lang w:val="en-US"/>
        </w:rPr>
        <w:t xml:space="preserve"> in field notes related to the added value of simulation using realistic scenarios and clinical faculty that could role model team </w:t>
      </w:r>
      <w:proofErr w:type="spellStart"/>
      <w:r>
        <w:rPr>
          <w:lang w:val="en-US"/>
        </w:rPr>
        <w:t>behaviour</w:t>
      </w:r>
      <w:proofErr w:type="spellEnd"/>
      <w:r>
        <w:rPr>
          <w:lang w:val="en-US"/>
        </w:rPr>
        <w:t xml:space="preserve"> and support, and that belonging was key to value and maintaining a good and safe work ethic. </w:t>
      </w:r>
    </w:p>
    <w:p w14:paraId="169A2303" w14:textId="77777777" w:rsidR="00AF1FB0" w:rsidRDefault="00AF1FB0" w:rsidP="00AF1FB0">
      <w:pPr>
        <w:rPr>
          <w:lang w:val="en-US"/>
        </w:rPr>
      </w:pPr>
      <w:r>
        <w:rPr>
          <w:lang w:val="en-US"/>
        </w:rPr>
        <w:lastRenderedPageBreak/>
        <w:t xml:space="preserve">‘Failure to </w:t>
      </w:r>
      <w:proofErr w:type="spellStart"/>
      <w:r>
        <w:rPr>
          <w:lang w:val="en-US"/>
        </w:rPr>
        <w:t>recognise</w:t>
      </w:r>
      <w:proofErr w:type="spellEnd"/>
      <w:r>
        <w:rPr>
          <w:lang w:val="en-US"/>
        </w:rPr>
        <w:t xml:space="preserve"> human fallibility’ was felt to be central to the current culture of the NHS, with perceived ‘intolerance of error’ and staff valuing knowledge and rules as if they are protective - that if they ‘know the rules or have enough knowledge they will get it right’ which is known not to be the case. </w:t>
      </w:r>
    </w:p>
    <w:p w14:paraId="323DE177" w14:textId="77777777" w:rsidR="00AF1FB0" w:rsidRPr="00526EB3" w:rsidRDefault="00AF1FB0" w:rsidP="00AF1FB0">
      <w:pPr>
        <w:spacing w:line="240" w:lineRule="auto"/>
        <w:ind w:left="720"/>
        <w:rPr>
          <w:lang w:val="en-US"/>
        </w:rPr>
      </w:pPr>
      <w:r w:rsidRPr="00526EB3">
        <w:rPr>
          <w:i/>
          <w:lang w:val="en-US"/>
        </w:rPr>
        <w:t>‘If I learn what a particular consultant wants then I will just do that so that I get it right’</w:t>
      </w:r>
      <w:r>
        <w:rPr>
          <w:lang w:val="en-US"/>
        </w:rPr>
        <w:t xml:space="preserve"> (Focus Group 2, Candidate 5).</w:t>
      </w:r>
    </w:p>
    <w:p w14:paraId="0AFF4EA0" w14:textId="77777777" w:rsidR="00AF1FB0" w:rsidRDefault="00AF1FB0" w:rsidP="00AF1FB0">
      <w:pPr>
        <w:rPr>
          <w:lang w:val="en-US"/>
        </w:rPr>
      </w:pPr>
      <w:r>
        <w:rPr>
          <w:lang w:val="en-US"/>
        </w:rPr>
        <w:t xml:space="preserve">There was discussion surrounding the fascinating topic of ‘human resilience’ in that humans were felt to be very good at ‘catching and compensating’ before errors occurred but there was a lack of learning related to that (Interviews 6,8). </w:t>
      </w:r>
    </w:p>
    <w:p w14:paraId="7F781308" w14:textId="77777777" w:rsidR="00AF1FB0" w:rsidRPr="00652CEE"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 xml:space="preserve">‘The latent conditions for </w:t>
      </w:r>
      <w:r w:rsidRPr="0033498A">
        <w:rPr>
          <w:rFonts w:cs="Arial"/>
          <w:i/>
        </w:rPr>
        <w:t>failure;</w:t>
      </w:r>
      <w:r w:rsidRPr="00652CEE">
        <w:rPr>
          <w:rFonts w:cs="Arial"/>
          <w:i/>
        </w:rPr>
        <w:t xml:space="preserve"> the latent conditions for harm are just everywhere. As human beings as fallible as we are, we are also incredibly resilient and we are compensating and catching stuff all of the time but because we do not do a lot of learning from the no-harm events and how we mitigated it, we don’t absolutely know how we did it… we don’t know…it’s almost like the hidden curricula’</w:t>
      </w:r>
      <w:r w:rsidRPr="00652CEE">
        <w:rPr>
          <w:rFonts w:cs="Arial"/>
        </w:rPr>
        <w:t xml:space="preserve"> (Interview 6). </w:t>
      </w:r>
    </w:p>
    <w:p w14:paraId="3C7F21FA" w14:textId="77777777" w:rsidR="00AF1FB0" w:rsidRDefault="00AF1FB0" w:rsidP="00AF1FB0">
      <w:pPr>
        <w:rPr>
          <w:lang w:val="en-US"/>
        </w:rPr>
      </w:pPr>
      <w:r>
        <w:rPr>
          <w:lang w:val="en-US"/>
        </w:rPr>
        <w:t xml:space="preserve">There was also the link with low morale and learned helplessness leading to the feeling of ‘not being empowered to speak out’ partly related to lack of value but also that it would not make a difference and lead to a risk of career damage through whistle blowing (Interviews 2,3,6,8, focus groups 4, 6, 10). </w:t>
      </w:r>
    </w:p>
    <w:p w14:paraId="74474843" w14:textId="77777777" w:rsidR="00AF1FB0" w:rsidRDefault="00AF1FB0" w:rsidP="00AF1FB0">
      <w:pPr>
        <w:rPr>
          <w:lang w:val="en-US"/>
        </w:rPr>
      </w:pPr>
      <w:r>
        <w:rPr>
          <w:lang w:val="en-US"/>
        </w:rPr>
        <w:t>‘Superficial investigation and incident reporting’ was felt to be a powerful theme and a reason for the current NHS culture. It was felt that it stopped people from speaking up due to the lack of trust, transparency and meaningful change that they had not seen (Interviews 2,6,8). Concerns were voiced over having to wait for the tragedy at the ‘mid-Staffordshire hospital’ to ‘highlight safety’ and that an investigation of error had become ‘</w:t>
      </w:r>
      <w:proofErr w:type="spellStart"/>
      <w:r>
        <w:rPr>
          <w:lang w:val="en-US"/>
        </w:rPr>
        <w:t>reducationalist</w:t>
      </w:r>
      <w:proofErr w:type="spellEnd"/>
      <w:r>
        <w:rPr>
          <w:lang w:val="en-US"/>
        </w:rPr>
        <w:t xml:space="preserve">, superficial and tick box’ in </w:t>
      </w:r>
      <w:r>
        <w:rPr>
          <w:lang w:val="en-US"/>
        </w:rPr>
        <w:lastRenderedPageBreak/>
        <w:t>nature, all of which meant that no one was learning from each other (Interviews 2,6,8).</w:t>
      </w:r>
    </w:p>
    <w:p w14:paraId="6DAC2760" w14:textId="77777777" w:rsidR="00AF1FB0" w:rsidRDefault="00AF1FB0" w:rsidP="00AF1FB0">
      <w:pPr>
        <w:rPr>
          <w:lang w:val="en-US"/>
        </w:rPr>
      </w:pPr>
      <w:r>
        <w:rPr>
          <w:lang w:val="en-US"/>
        </w:rPr>
        <w:t xml:space="preserve">‘Public perceptions and expectations’ as a theme represented the mismatch of perceptions and reality with public views that safety measures are already in place and that government pledges of ‘excellence’ despite reducing resources were felt to be misleading (Interviews 1,6). The public was also reported to have ‘less tolerance of error’, which again led to the concern over judgment surrounding mistakes to juniors (focus groups 3,5, interviews 6,8). </w:t>
      </w:r>
    </w:p>
    <w:p w14:paraId="006F8397" w14:textId="77777777" w:rsidR="00AF1FB0" w:rsidRPr="00B1452F" w:rsidRDefault="00AF1FB0" w:rsidP="00AF1FB0">
      <w:pPr>
        <w:widowControl w:val="0"/>
        <w:autoSpaceDE w:val="0"/>
        <w:autoSpaceDN w:val="0"/>
        <w:adjustRightInd w:val="0"/>
        <w:spacing w:line="240" w:lineRule="auto"/>
        <w:ind w:left="720"/>
        <w:rPr>
          <w:rFonts w:cs="Arial"/>
        </w:rPr>
      </w:pPr>
      <w:r w:rsidRPr="00B1452F">
        <w:rPr>
          <w:rFonts w:cs="Arial"/>
          <w:i/>
        </w:rPr>
        <w:t xml:space="preserve">‘You </w:t>
      </w:r>
      <w:r w:rsidRPr="00B54415">
        <w:rPr>
          <w:rFonts w:cs="Arial"/>
          <w:i/>
        </w:rPr>
        <w:t>were just thrown into the deep end and you got on with it, and I am sure a lot of it is trial and error which again we are intolerant of nowadays because it is not a particularly efficient way of learning. You need a big volume of patients, and a lot of patients get harmed along the way. So it's not a good way of training, I think it has taken probably to the 2000's to slowly realise that and implement reasonable training processes. I am a big advocate for workplace learning, but there is a tension with learning in the workplace and patient protection, and that is the tension you have to deal with, and times change - necessarily, so that, I mean the whole point of healthcare is that the patient is at the centre so if you are harming patients you are probably missing the point. S</w:t>
      </w:r>
      <w:r>
        <w:rPr>
          <w:rFonts w:cs="Arial"/>
          <w:i/>
        </w:rPr>
        <w:t>o</w:t>
      </w:r>
      <w:r w:rsidRPr="00B54415">
        <w:rPr>
          <w:rFonts w:cs="Arial"/>
          <w:i/>
        </w:rPr>
        <w:t xml:space="preserve"> learning has had to mo</w:t>
      </w:r>
      <w:r>
        <w:rPr>
          <w:rFonts w:cs="Arial"/>
          <w:i/>
        </w:rPr>
        <w:t>v</w:t>
      </w:r>
      <w:r w:rsidRPr="00B54415">
        <w:rPr>
          <w:rFonts w:cs="Arial"/>
          <w:i/>
        </w:rPr>
        <w:t xml:space="preserve">e towards the newer paradigm, away from patient learning’ </w:t>
      </w:r>
      <w:r>
        <w:rPr>
          <w:rFonts w:cs="Arial"/>
        </w:rPr>
        <w:t>(Interview 4).</w:t>
      </w:r>
    </w:p>
    <w:p w14:paraId="5117F91E" w14:textId="77777777" w:rsidR="00AF1FB0" w:rsidRDefault="00AF1FB0" w:rsidP="00AF1FB0">
      <w:pPr>
        <w:rPr>
          <w:lang w:val="en-US"/>
        </w:rPr>
      </w:pPr>
      <w:r>
        <w:rPr>
          <w:lang w:val="en-US"/>
        </w:rPr>
        <w:t>‘</w:t>
      </w:r>
      <w:proofErr w:type="spellStart"/>
      <w:r>
        <w:rPr>
          <w:lang w:val="en-US"/>
        </w:rPr>
        <w:t>Compartmentalised</w:t>
      </w:r>
      <w:proofErr w:type="spellEnd"/>
      <w:r>
        <w:rPr>
          <w:lang w:val="en-US"/>
        </w:rPr>
        <w:t xml:space="preserve"> learning’ represented the views that professions were still ‘learning in silos’ and that there were still ‘stereotypes’ of professions that were damaging and incorrect when new staff was trying to work together in clinical environments. There was felt to be a ‘lack of respect and understanding of different ‘roles and responsibilities’ that led to inefficient teamwork, which was seen during the simulation scenarios (Interviews 6,8, field notes from final intervention study). </w:t>
      </w:r>
    </w:p>
    <w:p w14:paraId="1FBCD5C2" w14:textId="77777777" w:rsidR="00AF1FB0" w:rsidRPr="00BA17DB" w:rsidRDefault="00AF1FB0" w:rsidP="00AF1FB0">
      <w:pPr>
        <w:spacing w:line="240" w:lineRule="auto"/>
        <w:ind w:left="720"/>
        <w:rPr>
          <w:rFonts w:cs="Arial"/>
          <w:i/>
        </w:rPr>
      </w:pPr>
      <w:r w:rsidRPr="00BA17DB">
        <w:rPr>
          <w:i/>
          <w:lang w:val="en-US"/>
        </w:rPr>
        <w:lastRenderedPageBreak/>
        <w:t xml:space="preserve">‘I never really understood what the nurses can and can’t do until today, we never really train together. They can do a lot more than I thought. </w:t>
      </w:r>
      <w:r w:rsidRPr="002F3B31">
        <w:rPr>
          <w:lang w:val="en-US"/>
        </w:rPr>
        <w:t xml:space="preserve">(Focus group 12, Candidate 2). </w:t>
      </w:r>
    </w:p>
    <w:p w14:paraId="2A613AF6" w14:textId="77777777" w:rsidR="00AF1FB0" w:rsidRPr="0033498A" w:rsidRDefault="00AF1FB0" w:rsidP="00AF1FB0">
      <w:pPr>
        <w:spacing w:line="240" w:lineRule="auto"/>
        <w:ind w:left="720"/>
        <w:rPr>
          <w:lang w:val="en-US"/>
        </w:rPr>
      </w:pPr>
      <w:r>
        <w:rPr>
          <w:rFonts w:cs="Arial"/>
          <w:i/>
        </w:rPr>
        <w:t>‘</w:t>
      </w:r>
      <w:r w:rsidRPr="0033498A">
        <w:rPr>
          <w:rFonts w:cs="Arial"/>
          <w:i/>
        </w:rPr>
        <w:t>We</w:t>
      </w:r>
      <w:r w:rsidRPr="00652CEE">
        <w:rPr>
          <w:rFonts w:cs="Arial"/>
          <w:i/>
        </w:rPr>
        <w:t xml:space="preserve"> only do it </w:t>
      </w:r>
      <w:r w:rsidRPr="00652CEE">
        <w:rPr>
          <w:rFonts w:cs="Arial"/>
          <w:b/>
          <w:bCs/>
          <w:i/>
        </w:rPr>
        <w:t>after</w:t>
      </w:r>
      <w:r w:rsidRPr="00EE4DE7">
        <w:rPr>
          <w:rFonts w:cs="Arial"/>
          <w:i/>
        </w:rPr>
        <w:t xml:space="preserve"> we train doctors</w:t>
      </w:r>
      <w:r>
        <w:rPr>
          <w:rFonts w:cs="Arial"/>
          <w:i/>
        </w:rPr>
        <w:t xml:space="preserve"> and nurses in their silos</w:t>
      </w:r>
      <w:r w:rsidRPr="00652CEE">
        <w:rPr>
          <w:rFonts w:cs="Arial"/>
          <w:i/>
        </w:rPr>
        <w:t xml:space="preserve">’ represented the views that professions were still ‘learning in silos’ and that there </w:t>
      </w:r>
      <w:proofErr w:type="gramStart"/>
      <w:r w:rsidRPr="00652CEE">
        <w:rPr>
          <w:rFonts w:cs="Arial"/>
          <w:i/>
        </w:rPr>
        <w:t>were</w:t>
      </w:r>
      <w:proofErr w:type="gramEnd"/>
      <w:r w:rsidRPr="00652CEE">
        <w:rPr>
          <w:rFonts w:cs="Arial"/>
          <w:i/>
        </w:rPr>
        <w:t xml:space="preserve"> still ‘stereotypes’ of professions that were damaging and incorrect when new staff was trying to work together in clinical environments.  and what you can and cannot expect each other to do’</w:t>
      </w:r>
      <w:r w:rsidRPr="00652CEE">
        <w:rPr>
          <w:rFonts w:cs="Arial"/>
        </w:rPr>
        <w:t xml:space="preserve"> (Interview 2).</w:t>
      </w:r>
    </w:p>
    <w:p w14:paraId="6F1FADC8" w14:textId="77777777" w:rsidR="00AF1FB0" w:rsidRDefault="00AF1FB0" w:rsidP="00AF1FB0">
      <w:pPr>
        <w:rPr>
          <w:lang w:val="en-US"/>
        </w:rPr>
      </w:pPr>
      <w:r>
        <w:rPr>
          <w:lang w:val="en-US"/>
        </w:rPr>
        <w:t xml:space="preserve">This </w:t>
      </w:r>
      <w:proofErr w:type="spellStart"/>
      <w:r>
        <w:rPr>
          <w:lang w:val="en-US"/>
        </w:rPr>
        <w:t>compartmentalisation</w:t>
      </w:r>
      <w:proofErr w:type="spellEnd"/>
      <w:r>
        <w:rPr>
          <w:lang w:val="en-US"/>
        </w:rPr>
        <w:t xml:space="preserve"> was also referred to with the separation of technical and non-technical skills and the importance of embedding them and learning them together as displayed in the above skill acquisition diagram developed from triangulated data from this research. </w:t>
      </w:r>
    </w:p>
    <w:p w14:paraId="2D5AB743" w14:textId="77777777" w:rsidR="00AF1FB0" w:rsidRPr="004F1AD8" w:rsidRDefault="00AF1FB0" w:rsidP="00AF1FB0">
      <w:pPr>
        <w:spacing w:line="240" w:lineRule="auto"/>
        <w:ind w:left="560"/>
        <w:rPr>
          <w:i/>
          <w:lang w:val="en-US"/>
        </w:rPr>
      </w:pPr>
      <w:r w:rsidRPr="004F1AD8">
        <w:rPr>
          <w:i/>
          <w:lang w:val="en-US"/>
        </w:rPr>
        <w:t>‘I can do cannulas, I am signed off. But today I struggled because I have never had to do one on an unwell patient. It is distracting and was difficult and more risky’</w:t>
      </w:r>
      <w:r w:rsidRPr="002F3B31">
        <w:rPr>
          <w:lang w:val="en-US"/>
        </w:rPr>
        <w:t xml:space="preserve"> (Focus group 13, Candidate 2).</w:t>
      </w:r>
    </w:p>
    <w:p w14:paraId="0C354482" w14:textId="77777777" w:rsidR="00AF1FB0" w:rsidRPr="00652CEE"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‘I think the really interesting thing for me is it fundamentally comes down to respect, self-respect and team respect. There is a lot of projection that happens, like ’oh you’re this because you are a nurse’ or ‘you’re this because you are a doctor’. One thing I have always said to juniors when I am working with them is ‘I go to the toilet just like you do, okay, so don’t assume just because I am this, that I know this or I know that. I am as vulnerable as you are.’ If we can get people to a place where we can be that honest about their vulnerabilities you create an honest space where people can have an honest conversation about what is doable and what is not’</w:t>
      </w:r>
      <w:r w:rsidRPr="00652CEE">
        <w:rPr>
          <w:rFonts w:cs="Arial"/>
        </w:rPr>
        <w:t xml:space="preserve"> (Interview 6).</w:t>
      </w:r>
    </w:p>
    <w:p w14:paraId="7291E76C" w14:textId="77777777" w:rsidR="00AF1FB0" w:rsidRDefault="00AF1FB0" w:rsidP="00AF1FB0">
      <w:pPr>
        <w:rPr>
          <w:lang w:val="en-US"/>
        </w:rPr>
      </w:pPr>
      <w:r>
        <w:rPr>
          <w:lang w:val="en-US"/>
        </w:rPr>
        <w:t xml:space="preserve">The final theme of ‘traditional educational models’ related to the issue that traditional models were not felt to ‘encourage reflection and self-correction’, were hierarchical and didactic, where students were not empowered to challenge seniors appropriately (Interviews 6,8 and field notes from final intervention study). A blame culture, intolerance of error and rewarding of knowledge were also felt to be very related to this theme. </w:t>
      </w:r>
    </w:p>
    <w:p w14:paraId="6267FCEA" w14:textId="77777777" w:rsidR="00AF1FB0" w:rsidRDefault="00AF1FB0" w:rsidP="00AF1FB0">
      <w:pPr>
        <w:spacing w:line="240" w:lineRule="auto"/>
        <w:ind w:left="720"/>
        <w:rPr>
          <w:rFonts w:cs="Arial"/>
        </w:rPr>
      </w:pPr>
      <w:r w:rsidRPr="00652CEE">
        <w:rPr>
          <w:rFonts w:cs="Arial"/>
          <w:i/>
        </w:rPr>
        <w:t xml:space="preserve">‘So I think they get very fixated on diagnosis and find it hard to pull back because of all of these sort of cognitive pathways that they develop </w:t>
      </w:r>
      <w:r w:rsidRPr="00652CEE">
        <w:rPr>
          <w:rFonts w:cs="Arial"/>
          <w:i/>
        </w:rPr>
        <w:lastRenderedPageBreak/>
        <w:t xml:space="preserve">about everything stemming from the diagnosis and that is the page in the textbook that they are on and if they are not on a page in the textbook they do not know what on earth to do, so if there is just an undifferentiated sepsis in front of them, or even just an undifferentiated shocked patient they are absolutely paralysed because they don’t have a diagnosis so that is when they are just in a world of uncertainty….. and that is just such an uncomfortable place for them to be, and it’s quite uncomfortable as a consultant to be there but it is unbelievably uncomfortable as a student because no one has ever taught you about how to deal with uncertainty and how to deal with an undifferentiated really sick patient’ </w:t>
      </w:r>
      <w:r w:rsidRPr="00652CEE">
        <w:rPr>
          <w:rFonts w:cs="Arial"/>
        </w:rPr>
        <w:t>(Interview 8).</w:t>
      </w:r>
    </w:p>
    <w:p w14:paraId="4A5E7F63" w14:textId="77777777" w:rsidR="00AF1FB0" w:rsidRPr="00141108" w:rsidRDefault="00AF1FB0" w:rsidP="00AF1FB0">
      <w:pPr>
        <w:spacing w:line="240" w:lineRule="auto"/>
        <w:ind w:left="720"/>
        <w:rPr>
          <w:rFonts w:cs="Arial"/>
          <w:lang w:val="en-US"/>
        </w:rPr>
      </w:pPr>
    </w:p>
    <w:p w14:paraId="2649E5C3" w14:textId="77777777" w:rsidR="00AF1FB0" w:rsidRPr="00FA1D51" w:rsidRDefault="00AF1FB0" w:rsidP="00AF1FB0">
      <w:pPr>
        <w:rPr>
          <w:b/>
          <w:i/>
        </w:rPr>
      </w:pPr>
      <w:r w:rsidRPr="00FA1D51">
        <w:rPr>
          <w:b/>
          <w:i/>
        </w:rPr>
        <w:t>Understanding and changing culture</w:t>
      </w:r>
    </w:p>
    <w:p w14:paraId="7C0039C9" w14:textId="77777777" w:rsidR="00AF1FB0" w:rsidRDefault="00AF1FB0" w:rsidP="00AF1FB0">
      <w:r>
        <w:rPr>
          <w:lang w:val="en-US"/>
        </w:rPr>
        <w:t>Understanding culture and how to respond to it was felt to be important for preparedness and patient safety. For this reason, potential methods to address culture and the hidden curriculum in healthcare were explored, to see if any were appropriate for the undergraduate curriculum.</w:t>
      </w:r>
      <w:r>
        <w:t xml:space="preserve"> Nine main themes emerged through framework analysis </w:t>
      </w:r>
      <w:r>
        <w:rPr>
          <w:lang w:val="en-US"/>
        </w:rPr>
        <w:t>(Appendix 12.40)</w:t>
      </w:r>
      <w:r>
        <w:t xml:space="preserve">: </w:t>
      </w:r>
    </w:p>
    <w:p w14:paraId="2FB5CCF5" w14:textId="77777777" w:rsidR="00AF1FB0" w:rsidRDefault="00AF1FB0" w:rsidP="00AF1FB0">
      <w:r w:rsidRPr="00A66138">
        <w:t>‘Allowing access to hierarchy’</w:t>
      </w:r>
      <w:r>
        <w:t xml:space="preserve"> was felt to mainly be the responsibility of seniors within healthcare. Access was felt to be achieved by sharing their expectations at the start of jobs so that there was clarity over expectations whilst also remaining open and willing to share their own mistakes to create a culture of openness and honesty. </w:t>
      </w:r>
    </w:p>
    <w:p w14:paraId="6C848D12" w14:textId="77777777" w:rsidR="00AF1FB0" w:rsidRPr="009D583E" w:rsidRDefault="00AF1FB0" w:rsidP="00AF1FB0">
      <w:pPr>
        <w:spacing w:line="240" w:lineRule="auto"/>
        <w:ind w:left="720"/>
        <w:rPr>
          <w:i/>
        </w:rPr>
      </w:pPr>
      <w:r w:rsidRPr="009D583E">
        <w:rPr>
          <w:i/>
        </w:rPr>
        <w:t>‘When you shared your mistakes I felt more able to discuss mine and realised there will be more</w:t>
      </w:r>
      <w:r>
        <w:rPr>
          <w:i/>
        </w:rPr>
        <w:t>, which is scary</w:t>
      </w:r>
      <w:r w:rsidRPr="009D583E">
        <w:rPr>
          <w:i/>
        </w:rPr>
        <w:t xml:space="preserve">, it is how to learn from them and try and stop </w:t>
      </w:r>
      <w:r>
        <w:rPr>
          <w:i/>
        </w:rPr>
        <w:t>them happen</w:t>
      </w:r>
      <w:r w:rsidRPr="009D583E">
        <w:rPr>
          <w:i/>
        </w:rPr>
        <w:t xml:space="preserve">ing again’ </w:t>
      </w:r>
      <w:r w:rsidRPr="00A66138">
        <w:t>(Focus group 10, Candidate 3).</w:t>
      </w:r>
    </w:p>
    <w:p w14:paraId="3424E2FA" w14:textId="77777777" w:rsidR="00AF1FB0" w:rsidRDefault="00AF1FB0" w:rsidP="00AF1FB0">
      <w:r>
        <w:t xml:space="preserve">The verbalising of decision-making was felt to be key in the development of access to hierarchy so that more junior team members could experience and </w:t>
      </w:r>
      <w:r>
        <w:lastRenderedPageBreak/>
        <w:t xml:space="preserve">feel part of the decision-making process and feel they could ask if uncertain at different points. </w:t>
      </w:r>
    </w:p>
    <w:p w14:paraId="062458FB" w14:textId="77777777" w:rsidR="00AF1FB0" w:rsidRPr="00652CEE"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‘Unless you have got say a consultant who comes on to a ward round and is with a new team and says ‘look, we are all going to muck up, we are all going to make a mistake, this is about how we work together to best effect. You can ring me at any time, this is my number, I am your supervisor, don't hesitate to pick up the phone - I’ve got your back’. Unless they create that tone, unless they create those conditions people have been socialised into thinking ‘I’ve got to sort this, I’ve got to know, it is my responsibility’</w:t>
      </w:r>
      <w:r w:rsidRPr="00652CEE">
        <w:rPr>
          <w:rFonts w:cs="Arial"/>
        </w:rPr>
        <w:t xml:space="preserve"> (Interview 6).</w:t>
      </w:r>
    </w:p>
    <w:p w14:paraId="3B764596" w14:textId="77777777" w:rsidR="00AF1FB0" w:rsidRDefault="00AF1FB0" w:rsidP="00AF1FB0">
      <w:r>
        <w:t xml:space="preserve">These elements were linked to valuing team members, role and responsibility, belonging and building trust (Interviews 1,3,6,8, field notes from focus groups and final intervention study). </w:t>
      </w:r>
    </w:p>
    <w:p w14:paraId="4358725E" w14:textId="77777777" w:rsidR="00AF1FB0" w:rsidRDefault="00AF1FB0" w:rsidP="00AF1FB0">
      <w:r>
        <w:t xml:space="preserve">Due to the importance of expectations, ‘clarity over expectations’ was a separate main theme and felt to be vital that this was extended across all roles within the wider interprofessional team to enhance teamwork and effective care. This area also brought up the importance of equal weighting to action versus inaction in terms of impact on patient safety (Interviews 1,2,6,7,9, field notes from final interventions study, focus groups 5,9). </w:t>
      </w:r>
    </w:p>
    <w:p w14:paraId="3328690D" w14:textId="77777777" w:rsidR="00AF1FB0" w:rsidRDefault="00AF1FB0" w:rsidP="00AF1FB0">
      <w:r>
        <w:t xml:space="preserve">Methods to ‘address the blame culture’ were heavily overlaid with allowing access to the hierarchy as well as openness, but also included the understanding and acceptance that humans are fallible and will inevitably make errors. </w:t>
      </w:r>
    </w:p>
    <w:p w14:paraId="3052D697" w14:textId="77777777" w:rsidR="00AF1FB0" w:rsidRDefault="00AF1FB0" w:rsidP="00AF1FB0">
      <w:pPr>
        <w:spacing w:line="240" w:lineRule="auto"/>
        <w:ind w:left="720"/>
      </w:pPr>
      <w:r w:rsidRPr="003B5C20">
        <w:rPr>
          <w:i/>
        </w:rPr>
        <w:t>‘I had not understood really what was expected of me so got stuck a few</w:t>
      </w:r>
      <w:r w:rsidRPr="00526EB3">
        <w:rPr>
          <w:i/>
        </w:rPr>
        <w:t xml:space="preserve"> times today, even knowing whet</w:t>
      </w:r>
      <w:r w:rsidRPr="003B5C20">
        <w:rPr>
          <w:i/>
        </w:rPr>
        <w:t>h</w:t>
      </w:r>
      <w:r>
        <w:rPr>
          <w:i/>
        </w:rPr>
        <w:t>e</w:t>
      </w:r>
      <w:r w:rsidRPr="003B5C20">
        <w:rPr>
          <w:i/>
        </w:rPr>
        <w:t>r I can start treatments. I made a few mistakes and that was a horrible feeling but I have learnt from them so know how to check and get help in the future’</w:t>
      </w:r>
      <w:r>
        <w:t xml:space="preserve"> (Focus Group 16, Participant 1).</w:t>
      </w:r>
    </w:p>
    <w:p w14:paraId="74FF218A" w14:textId="77777777" w:rsidR="00AF1FB0" w:rsidRDefault="00AF1FB0" w:rsidP="00AF1FB0">
      <w:r>
        <w:lastRenderedPageBreak/>
        <w:t>This understanding was felt to be key to moving into a prospective phase of risk and hazard analysis to improve patient safety. The importance of having open and transparent methods for sharing and learning from mistakes was also felt to be essential (Interviews 2,3,6,8, 9,10, field notes from final intervention study).</w:t>
      </w:r>
    </w:p>
    <w:p w14:paraId="7AB69E4B" w14:textId="77777777" w:rsidR="00AF1FB0" w:rsidRDefault="00AF1FB0" w:rsidP="00AF1FB0">
      <w:r>
        <w:t xml:space="preserve">Linked with the themes of belonging and value was the theme of ‘bringing back the team structure’ to establish a clear line of responsibility for patients and so address the so-called ‘ethical erosion’ described above. This was felt necessary to improve morale, as well as to develop mentorship or apprenticeship models and the skills related to this.  </w:t>
      </w:r>
    </w:p>
    <w:p w14:paraId="4AE3AA7E" w14:textId="77777777" w:rsidR="00AF1FB0" w:rsidRDefault="00AF1FB0" w:rsidP="00AF1FB0">
      <w:pPr>
        <w:pStyle w:val="NormalWeb"/>
        <w:spacing w:after="0"/>
        <w:ind w:left="720"/>
        <w:rPr>
          <w:rFonts w:ascii="Arial" w:hAnsi="Arial"/>
        </w:rPr>
      </w:pPr>
      <w:r w:rsidRPr="00B54415">
        <w:rPr>
          <w:rFonts w:ascii="Arial" w:hAnsi="Arial"/>
          <w:i/>
        </w:rPr>
        <w:t>‘</w:t>
      </w:r>
      <w:r>
        <w:rPr>
          <w:rFonts w:ascii="Arial" w:hAnsi="Arial"/>
          <w:i/>
        </w:rPr>
        <w:t>I</w:t>
      </w:r>
      <w:r w:rsidRPr="00B54415">
        <w:rPr>
          <w:rFonts w:ascii="Arial" w:hAnsi="Arial"/>
          <w:i/>
        </w:rPr>
        <w:t>f you own the decision it is a more powerful learning environment than if you are watching someone else doing it, if you are passively watching or if your decision is distanced from what actually happens. I think this is one of the problems that we are encountering with modern views is that people are very distant from ownership of patients’</w:t>
      </w:r>
      <w:r>
        <w:rPr>
          <w:rFonts w:ascii="Arial" w:hAnsi="Arial"/>
        </w:rPr>
        <w:t xml:space="preserve"> (Interview 7)</w:t>
      </w:r>
      <w:r w:rsidRPr="00B54415">
        <w:rPr>
          <w:rFonts w:ascii="Arial" w:hAnsi="Arial"/>
        </w:rPr>
        <w:t>.</w:t>
      </w:r>
    </w:p>
    <w:p w14:paraId="1B10785F" w14:textId="77777777" w:rsidR="00AF1FB0" w:rsidRDefault="00AF1FB0" w:rsidP="00AF1FB0">
      <w:pPr>
        <w:pStyle w:val="NormalWeb"/>
        <w:spacing w:after="0"/>
        <w:ind w:left="720"/>
      </w:pPr>
      <w:r>
        <w:rPr>
          <w:rFonts w:ascii="Arial" w:hAnsi="Arial"/>
          <w:i/>
        </w:rPr>
        <w:t xml:space="preserve">‘I did feel like a doctor looking after a patient today and I saw what happened to them if I did or didn’t do anything, I have learnt a lot about myself and how difficult it is to think clearly when I get over stressed and then I need help’ </w:t>
      </w:r>
      <w:r w:rsidRPr="005854FE">
        <w:rPr>
          <w:rFonts w:ascii="Arial" w:hAnsi="Arial"/>
        </w:rPr>
        <w:t xml:space="preserve">(Focus Group 7, </w:t>
      </w:r>
      <w:r>
        <w:rPr>
          <w:rFonts w:ascii="Arial" w:hAnsi="Arial"/>
        </w:rPr>
        <w:t xml:space="preserve">Participant </w:t>
      </w:r>
      <w:r w:rsidRPr="005854FE">
        <w:rPr>
          <w:rFonts w:ascii="Arial" w:hAnsi="Arial"/>
        </w:rPr>
        <w:t>4).</w:t>
      </w:r>
      <w:r>
        <w:rPr>
          <w:rFonts w:ascii="Arial" w:hAnsi="Arial"/>
          <w:i/>
        </w:rPr>
        <w:t xml:space="preserve"> </w:t>
      </w:r>
    </w:p>
    <w:p w14:paraId="61E68AC2" w14:textId="77777777" w:rsidR="00AF1FB0" w:rsidRDefault="00AF1FB0" w:rsidP="00AF1FB0">
      <w:r>
        <w:t xml:space="preserve">Meaningful ‘learning from mistakes and error’ was felt to be vital to prove that real lessons have been learnt from the tragedy of mid-Staffordshire hospitals and others. The starting point for this was said to be the meaningful investigation of error by dedicated teams and the ability to feed back to all involved in healthcare, locally and nationally and to have the responsibility to demonstrate meaningful change linked to specific events as well as general lessons. It was felt this had to be fed back to commissioners and at a national procurement level for the NHS to put patients first. System leaders and </w:t>
      </w:r>
      <w:r>
        <w:lastRenderedPageBreak/>
        <w:t>hierarchical committees were judged to be pivotal to the success of these initiatives (Interviews 2, 3,6,8, field notes from focus groups).</w:t>
      </w:r>
    </w:p>
    <w:p w14:paraId="646621CC" w14:textId="50FE7E97" w:rsidR="00AF1FB0" w:rsidRDefault="00AF1FB0" w:rsidP="00AF1FB0">
      <w:r>
        <w:t xml:space="preserve">‘Meaningful interprofessional learning’ was described as critical in addressing culture within the NHS and was related to the better understanding of roles, responsibilities and expectations. The word ‘meaningful’ was used along with ‘authentic’ and it was reiterated that episodes of group learning should see individuals in their own true roles and running authentic and realistic scenarios with their day-to-day responsibilities and complexities to allow the development of respect, trust, </w:t>
      </w:r>
      <w:r w:rsidR="00345C07">
        <w:t>understanding, support and team</w:t>
      </w:r>
      <w:r>
        <w:t xml:space="preserve">working. </w:t>
      </w:r>
    </w:p>
    <w:p w14:paraId="3D2B6979" w14:textId="77777777" w:rsidR="00AF1FB0" w:rsidRPr="00E93D75" w:rsidRDefault="00AF1FB0" w:rsidP="00AF1FB0">
      <w:pPr>
        <w:spacing w:line="240" w:lineRule="auto"/>
        <w:ind w:left="720"/>
        <w:rPr>
          <w:i/>
        </w:rPr>
      </w:pPr>
      <w:r w:rsidRPr="00E93D75">
        <w:rPr>
          <w:i/>
        </w:rPr>
        <w:t>‘We have done interprofessional learning bef</w:t>
      </w:r>
      <w:r>
        <w:rPr>
          <w:i/>
        </w:rPr>
        <w:t>o</w:t>
      </w:r>
      <w:r w:rsidRPr="00E93D75">
        <w:rPr>
          <w:i/>
        </w:rPr>
        <w:t xml:space="preserve">re on tasks but not in our job roles, so still did not understand about working together and roles and responsibilities until today really’ </w:t>
      </w:r>
      <w:r w:rsidRPr="00A66138">
        <w:t>(Focus group 11, Candidate 4).</w:t>
      </w:r>
    </w:p>
    <w:p w14:paraId="457A230B" w14:textId="77777777" w:rsidR="00AF1FB0" w:rsidRPr="00141108" w:rsidRDefault="00AF1FB0" w:rsidP="00AF1FB0">
      <w:pPr>
        <w:spacing w:line="240" w:lineRule="auto"/>
        <w:ind w:left="720"/>
        <w:rPr>
          <w:rFonts w:cs="Arial"/>
        </w:rPr>
      </w:pPr>
      <w:r w:rsidRPr="00652CEE">
        <w:rPr>
          <w:rFonts w:cs="Arial"/>
          <w:i/>
        </w:rPr>
        <w:t>‘It was quite interesting how they were quite protectionist about what is medical education and they didn’t want it contaminated by being with other professionals, so some of them had embraced interprofessional education but in a very superficial way so… we will give them a mass lecture on… so not the learning with and alongside’</w:t>
      </w:r>
      <w:r w:rsidRPr="00652CEE">
        <w:rPr>
          <w:rFonts w:cs="Arial"/>
        </w:rPr>
        <w:t xml:space="preserve"> (Interview 6).</w:t>
      </w:r>
    </w:p>
    <w:p w14:paraId="799F3FE6" w14:textId="77777777" w:rsidR="00AF1FB0" w:rsidRDefault="00AF1FB0" w:rsidP="00AF1FB0">
      <w:r>
        <w:t xml:space="preserve">It was also felt that these episodes should be regular, curriculum-mapped and debriefed with interprofessional faculty with clinical credibility. It was also felt that these sessions should have human factors and patient safety at the core of their design and implementation (Interviews 1-10, focus groups 1-19, field notes from intervention study). </w:t>
      </w:r>
    </w:p>
    <w:p w14:paraId="6D6351C3" w14:textId="77777777" w:rsidR="00AF1FB0" w:rsidRDefault="00AF1FB0" w:rsidP="00AF1FB0">
      <w:r>
        <w:t xml:space="preserve">‘Role modelling at all levels’ was felt to be very important and to allow the opportunity to reward non-technical skills as equal to technical skills and knowledge, share vulnerabilities, anxiety, mistakes and personal stories. This role modelling was felt to be enhanced by encouraging and supporting reflective </w:t>
      </w:r>
      <w:r>
        <w:lastRenderedPageBreak/>
        <w:t xml:space="preserve">practice both during inaction and whilst taking action by demonstrating actions and encouraging juniors and peers to reflect on it through the highlighting of its value, and by dedicating time and space to it (Interviews 1,2,3,5,6,8,10, field notes from intervention study). </w:t>
      </w:r>
    </w:p>
    <w:p w14:paraId="1644A5BF" w14:textId="77777777" w:rsidR="00AF1FB0" w:rsidRDefault="00AF1FB0" w:rsidP="00AF1FB0">
      <w:pPr>
        <w:spacing w:line="240" w:lineRule="auto"/>
        <w:ind w:left="720"/>
        <w:rPr>
          <w:rFonts w:cs="Arial"/>
        </w:rPr>
      </w:pPr>
      <w:r w:rsidRPr="00652CEE">
        <w:rPr>
          <w:rFonts w:cs="Arial"/>
          <w:i/>
        </w:rPr>
        <w:t>‘So for me it is very much how do we use group supervision and mentorship to support people in their roles, we focus on the knowledge... what they need to know, as opposed to how they need to perform. We need to spend much more on the ‘how’, because if they can’t manage themselves in these situations it doesn’t matter what their knowledge is, they won’t apply it in the right way’</w:t>
      </w:r>
      <w:r w:rsidRPr="00652CEE">
        <w:rPr>
          <w:rFonts w:cs="Arial"/>
        </w:rPr>
        <w:t xml:space="preserve"> (Interview 6).</w:t>
      </w:r>
    </w:p>
    <w:p w14:paraId="62974642" w14:textId="77777777" w:rsidR="00AF1FB0" w:rsidRPr="003B5C20" w:rsidRDefault="00AF1FB0" w:rsidP="00AF1FB0">
      <w:pPr>
        <w:spacing w:line="240" w:lineRule="auto"/>
        <w:ind w:left="720"/>
        <w:rPr>
          <w:rFonts w:cs="Arial"/>
        </w:rPr>
      </w:pPr>
      <w:r>
        <w:rPr>
          <w:rFonts w:cs="Arial"/>
          <w:i/>
        </w:rPr>
        <w:t xml:space="preserve">‘Hearing real stories from you guys is scary but interesting and makes you think that could be me and how would I deal with it? </w:t>
      </w:r>
      <w:r>
        <w:rPr>
          <w:rFonts w:cs="Arial"/>
        </w:rPr>
        <w:t xml:space="preserve">(Focus Group 2, Participant 3). </w:t>
      </w:r>
    </w:p>
    <w:p w14:paraId="606F42D1" w14:textId="77777777" w:rsidR="00AF1FB0" w:rsidRDefault="00AF1FB0" w:rsidP="00AF1FB0">
      <w:r>
        <w:t xml:space="preserve">‘Manage public expectations’ was a theme that emerged through the discussion surrounding intolerance of error and the lack of public understanding about the high-risk clinical environment and the concept of human fallibility. There was also the described public perception that there was an existing high level of safety procedures in place. It was felt that there should be transparency about the lack of procedures in place and the lack of learning from error and mistakes to improve safety that currently exists (Interviews 1,2,6,8,9, field notes from intervention study). </w:t>
      </w:r>
    </w:p>
    <w:p w14:paraId="27633AE5" w14:textId="77777777" w:rsidR="00AF1FB0" w:rsidRDefault="00AF1FB0" w:rsidP="00AF1FB0">
      <w:r>
        <w:t xml:space="preserve">The final theme ‘explore human factors informed commissioning and procurement’ highlighted the systematic and high level changes that were felt should be driven to improve patient safety, culture and openness. It was felt that unless powerful leadership was role modelled to value patient safety through human factors approaches and procurement to limit the current huge and unnecessary variation in equipment, then it would be very difficult to make </w:t>
      </w:r>
      <w:r>
        <w:lastRenderedPageBreak/>
        <w:t xml:space="preserve">changes at grass root level (Interviews 2,3,4,5,6,8,9,10, field notes from final intervention study). </w:t>
      </w:r>
    </w:p>
    <w:p w14:paraId="24D73D68" w14:textId="77777777" w:rsidR="00AF1FB0" w:rsidRPr="00141108" w:rsidRDefault="00AF1FB0" w:rsidP="00AF1FB0">
      <w:pPr>
        <w:spacing w:line="240" w:lineRule="auto"/>
        <w:ind w:left="720"/>
        <w:rPr>
          <w:rFonts w:cs="Arial"/>
        </w:rPr>
      </w:pPr>
      <w:r w:rsidRPr="00652CEE">
        <w:rPr>
          <w:rFonts w:cs="Arial"/>
          <w:i/>
        </w:rPr>
        <w:t xml:space="preserve">‘The example I often </w:t>
      </w:r>
      <w:proofErr w:type="spellStart"/>
      <w:r w:rsidRPr="00652CEE">
        <w:rPr>
          <w:rFonts w:cs="Arial"/>
          <w:i/>
        </w:rPr>
        <w:t>give</w:t>
      </w:r>
      <w:proofErr w:type="spellEnd"/>
      <w:r w:rsidRPr="00652CEE">
        <w:rPr>
          <w:rFonts w:cs="Arial"/>
          <w:i/>
        </w:rPr>
        <w:t xml:space="preserve"> to people when I am trying to get them to understand…. if you think about an F1/F2 orientating to a Hospital Trust. If you look at the number of IV pumps we have, and the training load that that generates and the different interfaces that that you could have, because the organisation 15 different bits of kit, if we… if we were commissioning with design in mind we would draw parallels from the ATM and the cashpoint machine…your interface between yourself and the ATM, doesn’t matter where you are in the country, or where you were in the world, it is identical, where you are in the world you might have to press one button to say you want English, but you have a screen ad three buttons either side. So it doesn’t matter who made the machine and what the gubbins is behind the machine, the humans: equipment interface is standard’</w:t>
      </w:r>
      <w:r w:rsidRPr="00652CEE">
        <w:rPr>
          <w:rFonts w:cs="Arial"/>
        </w:rPr>
        <w:t xml:space="preserve"> (Interview 6).</w:t>
      </w:r>
    </w:p>
    <w:p w14:paraId="705B8CEE" w14:textId="77777777" w:rsidR="00AF1FB0" w:rsidRDefault="00AF1FB0" w:rsidP="00AF1FB0">
      <w:r>
        <w:t>Learning in silos has been reported over and over at conferences attended (Developing excellence in Medial Education November 2015, Association of Simulated practice in Healthcare November 2015) to be a major issue in impairing teamwork and harm from human factors related complexities in the clinical environment.</w:t>
      </w:r>
    </w:p>
    <w:p w14:paraId="033A719D" w14:textId="4FC5BEA2" w:rsidR="00AF1FB0" w:rsidRDefault="00AF1FB0" w:rsidP="00AF1FB0">
      <w:pPr>
        <w:spacing w:line="240" w:lineRule="auto"/>
        <w:ind w:left="720"/>
      </w:pPr>
      <w:r w:rsidRPr="003B5C20">
        <w:rPr>
          <w:i/>
        </w:rPr>
        <w:t xml:space="preserve">‘This is the first time I have worked with a nurse to look after a patient as close as possible to a real situation, I forgot her name and then felt rude, they can do loads and I didn’t realise what they could help with, I thought they would think I was rubbish if I could not do it on my own but they said they </w:t>
      </w:r>
      <w:r w:rsidR="00345C07" w:rsidRPr="003B5C20">
        <w:rPr>
          <w:i/>
        </w:rPr>
        <w:t>appreciated</w:t>
      </w:r>
      <w:r w:rsidRPr="003B5C20">
        <w:rPr>
          <w:i/>
        </w:rPr>
        <w:t xml:space="preserve"> me saying I was stuck and then could help’</w:t>
      </w:r>
      <w:r>
        <w:t xml:space="preserve"> (Focus group 4, Participant 4). </w:t>
      </w:r>
    </w:p>
    <w:p w14:paraId="74253DEB" w14:textId="77777777" w:rsidR="00AF1FB0" w:rsidRPr="00B54415" w:rsidRDefault="00AF1FB0" w:rsidP="00AF1FB0">
      <w:r>
        <w:t xml:space="preserve">No best practice guidance exists about how to ensure interprofessional learning is most effective in undergraduate education. Barriers and challenges surrounding number of students and mismatches between professions and numbers as well as getting through each student and timetabling has led to students reporting that the learning was not always meaningful. This was either because the format did not require them to work in roles to help support their </w:t>
      </w:r>
      <w:r>
        <w:lastRenderedPageBreak/>
        <w:t>respect and understanding of each other, or because it was superficial and rushed with limited opportunity to reflect and be debriefed together in a facilitated fashion (Interviews 2,3,4,6,8,9,10, field notes from final intervention study).</w:t>
      </w:r>
    </w:p>
    <w:p w14:paraId="53C54ED1" w14:textId="77777777" w:rsidR="00AF1FB0" w:rsidRDefault="00AF1FB0" w:rsidP="00AF1FB0">
      <w:r>
        <w:rPr>
          <w:lang w:val="en-US"/>
        </w:rPr>
        <w:t>It has been vital to seek multiple viewpoints through triangulation, so that challenges for undergraduate medical education can be addressed.</w:t>
      </w:r>
    </w:p>
    <w:p w14:paraId="536D8ECD" w14:textId="77777777" w:rsidR="00AF1FB0" w:rsidRPr="00B6769F" w:rsidRDefault="00AF1FB0" w:rsidP="00AF1FB0"/>
    <w:p w14:paraId="2D0C3760" w14:textId="77777777" w:rsidR="00AF1FB0" w:rsidRDefault="00AF1FB0" w:rsidP="00AF1FB0">
      <w:pPr>
        <w:pStyle w:val="Heading3"/>
      </w:pPr>
      <w:bookmarkStart w:id="404" w:name="_Toc419116198"/>
      <w:r w:rsidRPr="00C96479">
        <w:t>Experiences</w:t>
      </w:r>
      <w:bookmarkEnd w:id="404"/>
      <w:r w:rsidRPr="00C96479">
        <w:t xml:space="preserve"> </w:t>
      </w:r>
    </w:p>
    <w:p w14:paraId="48B51CBD" w14:textId="77777777" w:rsidR="00AF1FB0" w:rsidRDefault="00AF1FB0" w:rsidP="00AF1FB0"/>
    <w:p w14:paraId="3ECF185D" w14:textId="22704839" w:rsidR="0098070D" w:rsidRPr="00B6769F" w:rsidRDefault="0098070D" w:rsidP="00AF1FB0">
      <w:r>
        <w:t xml:space="preserve">This theme was about key </w:t>
      </w:r>
      <w:r w:rsidR="0030444C">
        <w:t xml:space="preserve">aspects felt to support enhancing </w:t>
      </w:r>
      <w:r>
        <w:t xml:space="preserve">preparedness </w:t>
      </w:r>
      <w:r w:rsidR="0030444C">
        <w:t>from previous experiences and those that emerged through participating in the simulation based intervention</w:t>
      </w:r>
      <w:r>
        <w:t xml:space="preserve">. </w:t>
      </w:r>
    </w:p>
    <w:p w14:paraId="671C67B5" w14:textId="77777777" w:rsidR="00AF1FB0" w:rsidRPr="00FA1D51" w:rsidRDefault="00AF1FB0" w:rsidP="00AF1FB0">
      <w:pPr>
        <w:rPr>
          <w:b/>
          <w:i/>
        </w:rPr>
      </w:pPr>
      <w:r w:rsidRPr="00FA1D51">
        <w:rPr>
          <w:b/>
          <w:i/>
        </w:rPr>
        <w:t>Belonging</w:t>
      </w:r>
    </w:p>
    <w:p w14:paraId="47C37DEB" w14:textId="77777777" w:rsidR="00AF1FB0" w:rsidRDefault="00AF1FB0" w:rsidP="00AF1FB0">
      <w:r>
        <w:t xml:space="preserve">Belonging was discussed by both experts and students as being vital to feeling prepared and supported (focus groups 1-10, field notes, interviews 1,3,7,8). </w:t>
      </w:r>
    </w:p>
    <w:p w14:paraId="31C2812E" w14:textId="77777777" w:rsidR="00AF1FB0" w:rsidRPr="00320613" w:rsidRDefault="00AF1FB0" w:rsidP="00AF1FB0">
      <w:pPr>
        <w:spacing w:line="240" w:lineRule="auto"/>
        <w:ind w:left="720"/>
        <w:rPr>
          <w:i/>
        </w:rPr>
      </w:pPr>
      <w:r w:rsidRPr="00320613">
        <w:rPr>
          <w:i/>
        </w:rPr>
        <w:t xml:space="preserve">‘We are in the way on the wards, or people can be too sick to see, there are no teams now so it is nice when there is support and someone you know, I worry about making a mistake but during the course other people have shared mistakes and how that feels. It is real’ </w:t>
      </w:r>
      <w:r w:rsidRPr="000A70AC">
        <w:t>(Focus group 15, Participant 3).</w:t>
      </w:r>
    </w:p>
    <w:p w14:paraId="0DE28F44" w14:textId="77777777" w:rsidR="00AF1FB0" w:rsidRDefault="00AF1FB0" w:rsidP="00AF1FB0">
      <w:r>
        <w:t xml:space="preserve">During the course, peer support via their small community or group was witnessed and strong relationships emerged. Support in congratulating and encouraging each other and acknowledgements when things had been </w:t>
      </w:r>
      <w:r>
        <w:lastRenderedPageBreak/>
        <w:t>particularly hard, moved students who were quiet at the start, to becoming very open and honest towards the end (Field notes). A big part of this was felt to be due to the safe and open environment created by faculty, by introducing the environment and kit, reassurance about making mistakes and role modelling professional behaviour and openness. Sharing own mistakes, challenges and real examples were key and led to improved authenticity and created belonging within that particular team.</w:t>
      </w:r>
    </w:p>
    <w:p w14:paraId="479ED71B" w14:textId="77777777" w:rsidR="00AF1FB0" w:rsidRDefault="00AF1FB0" w:rsidP="00AF1FB0">
      <w:pPr>
        <w:spacing w:line="240" w:lineRule="auto"/>
        <w:ind w:left="720"/>
      </w:pPr>
      <w:r w:rsidRPr="00652CEE">
        <w:rPr>
          <w:rFonts w:ascii="Helvetica" w:hAnsi="Helvetica" w:cs="Helvetica"/>
          <w:i/>
        </w:rPr>
        <w:t xml:space="preserve">‘I think all of your experience has an effect. You can’t protect everyone from everything. I think you should be as open as you can to being challenged. You want people to immerse themselves in the experience </w:t>
      </w:r>
      <w:r w:rsidRPr="00B27DF5">
        <w:rPr>
          <w:rFonts w:ascii="Helvetica" w:hAnsi="Helvetica" w:cs="Helvetica"/>
          <w:i/>
        </w:rPr>
        <w:t>and in a way share it with them</w:t>
      </w:r>
      <w:r w:rsidRPr="00652CEE">
        <w:rPr>
          <w:rFonts w:ascii="Helvetica" w:hAnsi="Helvetica" w:cs="Helvetica"/>
          <w:i/>
        </w:rPr>
        <w:t xml:space="preserve"> as they go through it. So I think that is who I am, we are made up of a lot of experiences both </w:t>
      </w:r>
      <w:r w:rsidRPr="00B27DF5">
        <w:rPr>
          <w:rFonts w:ascii="Helvetica" w:hAnsi="Helvetica" w:cs="Helvetica"/>
          <w:i/>
        </w:rPr>
        <w:t>good and bad. One always relates</w:t>
      </w:r>
      <w:r w:rsidRPr="00652CEE">
        <w:rPr>
          <w:rFonts w:ascii="Helvetica" w:hAnsi="Helvetica" w:cs="Helvetica"/>
          <w:i/>
        </w:rPr>
        <w:t xml:space="preserve"> to the awful things that have happened and there have been some really good things that have happened with how I have been taught</w:t>
      </w:r>
      <w:r>
        <w:rPr>
          <w:rFonts w:ascii="Helvetica" w:hAnsi="Helvetica" w:cs="Helvetica"/>
          <w:i/>
        </w:rPr>
        <w:t>,</w:t>
      </w:r>
      <w:r w:rsidRPr="00652CEE">
        <w:rPr>
          <w:rFonts w:ascii="Helvetica" w:hAnsi="Helvetica" w:cs="Helvetica"/>
          <w:i/>
        </w:rPr>
        <w:t xml:space="preserve"> so I try and role model those’ </w:t>
      </w:r>
      <w:r>
        <w:rPr>
          <w:rFonts w:ascii="Helvetica" w:hAnsi="Helvetica" w:cs="Helvetica"/>
        </w:rPr>
        <w:t xml:space="preserve">(Interview 3). </w:t>
      </w:r>
      <w:r>
        <w:t xml:space="preserve"> </w:t>
      </w:r>
    </w:p>
    <w:p w14:paraId="33AEF183" w14:textId="77777777" w:rsidR="00AF1FB0" w:rsidRDefault="00AF1FB0" w:rsidP="00AF1FB0">
      <w:r>
        <w:t>Credibility amongst faculty was important to offer specific advice and share experiences having been though FY1. There was a powerful observed effect of having broken down the hierarchy between registrars and 5</w:t>
      </w:r>
      <w:r w:rsidRPr="006B113F">
        <w:rPr>
          <w:vertAlign w:val="superscript"/>
        </w:rPr>
        <w:t>th</w:t>
      </w:r>
      <w:r>
        <w:t xml:space="preserve"> year students including role modelling, particularly with value to the wider team, including nurses. Inviting them to share their views, what they needed and how they felt the scenario could have been altered or improved proved invaluable. </w:t>
      </w:r>
    </w:p>
    <w:p w14:paraId="54010F4B" w14:textId="77777777" w:rsidR="00AF1FB0" w:rsidRPr="00652CEE"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i/>
        </w:rPr>
      </w:pPr>
      <w:r w:rsidRPr="00652CEE">
        <w:rPr>
          <w:b/>
          <w:i/>
        </w:rPr>
        <w:t>Mentorship</w:t>
      </w:r>
    </w:p>
    <w:p w14:paraId="47B4A5E2" w14:textId="77777777" w:rsidR="00AF1FB0"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Mentorship - links back to belonging. The importance of having a support network, particularly for emotional support and preparedness was felt to be vital. </w:t>
      </w:r>
    </w:p>
    <w:p w14:paraId="784CAFAE" w14:textId="77777777" w:rsidR="00AF1FB0" w:rsidRPr="00115CEE"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i/>
        </w:rPr>
      </w:pPr>
      <w:r w:rsidRPr="00115CEE">
        <w:rPr>
          <w:i/>
        </w:rPr>
        <w:t>‘It is good to have someone to share their own mistakes and difficulties as it makes it easier to talk about your own or what you are worried about’ (Focus group 18, Participant 1).</w:t>
      </w:r>
    </w:p>
    <w:p w14:paraId="30FCAB96" w14:textId="77777777" w:rsidR="00AF1FB0"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lastRenderedPageBreak/>
        <w:t xml:space="preserve">Role modelling professional behaviours and openness were described and observed as a key to encouraging belonging and helping students feel supported, and allowing access to the medical hierarchy (focus groups 5,8,11, Interviews 1,2,6,8, field notes). Reflective practice and facilitated debriefing were highlighted as important parts of this process. One expert powerfully likened being a FY1 to their experience of becoming a mother describing that: </w:t>
      </w:r>
    </w:p>
    <w:p w14:paraId="684F5941" w14:textId="77777777" w:rsidR="00AF1FB0" w:rsidRPr="00652CEE"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rPr>
          <w:rFonts w:cs="Arial"/>
        </w:rPr>
      </w:pPr>
      <w:r w:rsidRPr="00652CEE">
        <w:rPr>
          <w:rFonts w:cs="Arial"/>
          <w:i/>
        </w:rPr>
        <w:t>‘there is a situational or adaptation element to that process because it is such a hugely emotional and life changing event, not that dissimilar from becoming a doctor’</w:t>
      </w:r>
      <w:r w:rsidRPr="00652CEE">
        <w:rPr>
          <w:rFonts w:cs="Arial"/>
        </w:rPr>
        <w:t xml:space="preserve"> (Interview 8). </w:t>
      </w:r>
    </w:p>
    <w:p w14:paraId="4720028E" w14:textId="77777777" w:rsidR="00AF1FB0" w:rsidRDefault="00AF1FB0" w:rsidP="00AF1F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Pr>
          <w:rFonts w:ascii="Helvetica" w:hAnsi="Helvetica" w:cs="Helvetica"/>
        </w:rPr>
        <w:t>They described support groups and teams in place to check you are coping as a parent, which are not there for FY1s. This concept of learning from other sectors was highlighted again, mostly related to human factors education and emotional support for vulnerable groups of people (Interviews 6 and 8).</w:t>
      </w:r>
    </w:p>
    <w:p w14:paraId="49986836" w14:textId="6B916FD5" w:rsidR="00A90822" w:rsidRPr="00B63639" w:rsidRDefault="00AF1FB0" w:rsidP="00B636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0"/>
      </w:pPr>
      <w:r w:rsidRPr="00652CEE">
        <w:rPr>
          <w:i/>
        </w:rPr>
        <w:t xml:space="preserve">‘We often explore emotions and emotional responses to try and get to a place where we are more likely to be able to change behaviour by looking at people’s core beliefs…and that is difficult. the reality is, the big deal, the thing that we are really after, I think, is behaviour change. And we are after behaviour change that feels like it is true to that individual so that they hold on to it and it sticks. To me that is the Mecca for me…so one small change that they believe is true to them and they will continue to go and do, that contributes to patient safety and quality of patient care, that is a massive deal to that individual, and that is something that rarely happens within medical education, so…that will only happen if you can make….if they believe that is true, if it fits their core beliefs, ‘I will do this because it feels true to me’, there is a chance that they will actually do it and it will continue to be done and it </w:t>
      </w:r>
      <w:proofErr w:type="spellStart"/>
      <w:r w:rsidRPr="00652CEE">
        <w:rPr>
          <w:i/>
        </w:rPr>
        <w:t>wont</w:t>
      </w:r>
      <w:proofErr w:type="spellEnd"/>
      <w:r w:rsidRPr="00652CEE">
        <w:rPr>
          <w:i/>
        </w:rPr>
        <w:t xml:space="preserve"> degrade over three/ six months or a year, two years, they will continue to do it, so that is what I am after’ </w:t>
      </w:r>
      <w:r>
        <w:t>(Interview 10).</w:t>
      </w:r>
    </w:p>
    <w:p w14:paraId="4B13E5AE" w14:textId="77777777" w:rsidR="00AF1FB0" w:rsidRPr="00652CEE" w:rsidRDefault="00AF1FB0" w:rsidP="00AF1FB0">
      <w:pPr>
        <w:rPr>
          <w:b/>
          <w:i/>
        </w:rPr>
      </w:pPr>
      <w:r w:rsidRPr="00652CEE">
        <w:rPr>
          <w:b/>
          <w:i/>
        </w:rPr>
        <w:t>Contextual consequence learning</w:t>
      </w:r>
    </w:p>
    <w:p w14:paraId="555F3341" w14:textId="77777777" w:rsidR="00AF1FB0" w:rsidRDefault="00AF1FB0" w:rsidP="00AF1FB0">
      <w:r>
        <w:t xml:space="preserve">Contextual consequence learning was related to the authenticity of a clinical scenario with realistic patient responses. Students and experts described the importance of seeing the patient journey through, experiencing the impact of </w:t>
      </w:r>
      <w:r>
        <w:lastRenderedPageBreak/>
        <w:t xml:space="preserve">decision-making and actions or inactions, then explaining outcomes to patient and family (Field notes, focus groups 11,15, interviews 1,2,6,8). The experience of making a mistake led to emotions of ‘guilt’, ‘surprise’, such as when leaving tourniquets on after cannulating or not throwing sharps away. The power of having to apologise when mistakes occurred was palpably influential to those involved and observers (Field notes). </w:t>
      </w:r>
    </w:p>
    <w:p w14:paraId="403E3142" w14:textId="77777777" w:rsidR="00AF1FB0" w:rsidRDefault="00AF1FB0" w:rsidP="00AF1FB0">
      <w:pPr>
        <w:spacing w:line="240" w:lineRule="auto"/>
        <w:ind w:left="720"/>
      </w:pPr>
      <w:r>
        <w:t>‘I made a mistake and gave the wrong drug and the patient got worse because of me, I had to explain that to my patient and their relative and that was really hard, I felt so guilty, but I was honest, they had lots of questions but they were not angry. It was a horrible feeling…… when I was trying to make him better. I was trying to make a quick decision but realise now even if it does need to be a quick decision, I have time to check and checking is important, I will always remember this’ (Focus group 5, Candidate 2).</w:t>
      </w:r>
    </w:p>
    <w:p w14:paraId="2CF4995A" w14:textId="77777777" w:rsidR="00AF1FB0" w:rsidRDefault="00AF1FB0" w:rsidP="00AF1FB0">
      <w:r>
        <w:t xml:space="preserve">Those quick to make a decision or to be distracted learnt to slow down and apply a mental model that checked guidelines or their team before proceeding. Those slow to make decisions became empowered to trust their skills, take responsibility and use the team and guidelines to support their judgment (Field notes and case studies). The longitudinal nature of the cases meant they did see outcomes. Understanding and experiencing this was crucial to feeling more prepared (Interviews 6,8, field notes). The patient was a person with a family, with feelings and a vulnerability of being in a hospital, echoing the experiences of experts (Interviews 2,3,7,10). </w:t>
      </w:r>
    </w:p>
    <w:p w14:paraId="3EABEC82" w14:textId="77777777" w:rsidR="00AF1FB0" w:rsidRPr="00265CE4" w:rsidRDefault="00AF1FB0" w:rsidP="00AF1FB0">
      <w:pPr>
        <w:spacing w:line="240" w:lineRule="auto"/>
        <w:ind w:left="720"/>
        <w:rPr>
          <w:rFonts w:cs="Arial"/>
        </w:rPr>
      </w:pPr>
      <w:r w:rsidRPr="00652CEE">
        <w:rPr>
          <w:rFonts w:cs="Arial"/>
          <w:i/>
        </w:rPr>
        <w:t xml:space="preserve">‘actually science moves on all the time so you will never be on the top of your game so actually you need the other skills, the skills around process, how to work with one another, how to access information, how to make decisions, understanding that standardisation is an effective way of managing cognitive overload.. that actually so much as the patient journey–the patient's experience is quite standard if you approach that was standardised way you can ensure the quality of that patient experience and it gives you the head space so that when things go off </w:t>
      </w:r>
      <w:proofErr w:type="spellStart"/>
      <w:r w:rsidRPr="00652CEE">
        <w:rPr>
          <w:rFonts w:cs="Arial"/>
          <w:i/>
        </w:rPr>
        <w:lastRenderedPageBreak/>
        <w:t>piste</w:t>
      </w:r>
      <w:proofErr w:type="spellEnd"/>
      <w:r w:rsidRPr="00652CEE">
        <w:rPr>
          <w:rFonts w:cs="Arial"/>
          <w:i/>
        </w:rPr>
        <w:t xml:space="preserve"> to use your creativity, to use your.. you know, rescue skills’</w:t>
      </w:r>
      <w:r w:rsidRPr="00652CEE">
        <w:rPr>
          <w:rFonts w:cs="Arial"/>
        </w:rPr>
        <w:t xml:space="preserve"> (Interview 6).</w:t>
      </w:r>
    </w:p>
    <w:p w14:paraId="649D16C2" w14:textId="77777777" w:rsidR="00AF1FB0" w:rsidRDefault="00AF1FB0" w:rsidP="00AF1FB0">
      <w:r>
        <w:t>Creating this level of clinical autonomy allowed students to go through this realisation and support behavioural change</w:t>
      </w:r>
      <w:r w:rsidRPr="009672B9">
        <w:t>, which</w:t>
      </w:r>
      <w:r>
        <w:t xml:space="preserve"> appeared impossible through observation alone</w:t>
      </w:r>
      <w:r w:rsidDel="0023627E">
        <w:t xml:space="preserve"> </w:t>
      </w:r>
      <w:r>
        <w:t xml:space="preserve"> (Field notes, focus groups 3,5,9). Strategies and personal stories from faculty were shared in debriefing. </w:t>
      </w:r>
    </w:p>
    <w:p w14:paraId="797F0104" w14:textId="77777777" w:rsidR="00AF1FB0" w:rsidRDefault="00AF1FB0" w:rsidP="00AF1FB0">
      <w:r>
        <w:t xml:space="preserve">Experience of clinical complexity and uncertainty were felt key to preparedness. This was largely related to consequence learning and the desire to be more ‘prospective in assessing hazards’ and less ‘reactive’ (Field notes, interviews 2, 6, 8). </w:t>
      </w:r>
    </w:p>
    <w:p w14:paraId="1856EFEA" w14:textId="77777777" w:rsidR="00AF1FB0" w:rsidRDefault="00AF1FB0" w:rsidP="00AF1FB0">
      <w:pPr>
        <w:spacing w:line="240" w:lineRule="auto"/>
        <w:ind w:left="560"/>
        <w:rPr>
          <w:rFonts w:cs="Arial"/>
        </w:rPr>
      </w:pPr>
      <w:r w:rsidRPr="00652CEE">
        <w:rPr>
          <w:rFonts w:cs="Arial"/>
          <w:i/>
        </w:rPr>
        <w:t>‘I think it's very much about people understanding their response in crisis or their response under pressure, simulations invite the individual to think about their own response in relation to the tasks, the environment, the system, it’s design, their team members and invites them to look at that in a much more structured way</w:t>
      </w:r>
      <w:r>
        <w:rPr>
          <w:rFonts w:cs="Arial"/>
          <w:i/>
        </w:rPr>
        <w:t>…..</w:t>
      </w:r>
      <w:r w:rsidRPr="00652CEE">
        <w:rPr>
          <w:rFonts w:cs="Arial"/>
          <w:i/>
        </w:rPr>
        <w:t xml:space="preserve"> Safety is the absolute limit</w:t>
      </w:r>
      <w:r>
        <w:rPr>
          <w:rFonts w:cs="Arial"/>
          <w:i/>
        </w:rPr>
        <w:t>’</w:t>
      </w:r>
      <w:r>
        <w:rPr>
          <w:rFonts w:cs="Arial"/>
        </w:rPr>
        <w:t xml:space="preserve"> (Interview 6).</w:t>
      </w:r>
    </w:p>
    <w:p w14:paraId="5A3EA86B" w14:textId="77777777" w:rsidR="00AF1FB0" w:rsidRPr="00FB01D0" w:rsidRDefault="00AF1FB0" w:rsidP="00AF1FB0">
      <w:pPr>
        <w:spacing w:line="240" w:lineRule="auto"/>
        <w:ind w:left="560"/>
        <w:rPr>
          <w:rFonts w:cs="Arial"/>
        </w:rPr>
      </w:pPr>
      <w:r>
        <w:rPr>
          <w:rFonts w:cs="Arial"/>
          <w:i/>
        </w:rPr>
        <w:t xml:space="preserve">‘I left my sharp on the bed when cannulating the patient because I was so distracted. I have never done that before when practicing, but I have never had to cannulate an unwell patient. Initially I thought that would not have happened in real life but I realise now it could. When I am stressed and there is a lot going on, I am now aware I need to pay more attention to sharps and what I am doing’ </w:t>
      </w:r>
      <w:r w:rsidRPr="003D55B3">
        <w:rPr>
          <w:rFonts w:cs="Arial"/>
        </w:rPr>
        <w:t>(Focus group 8, Candidate 3).</w:t>
      </w:r>
      <w:r>
        <w:rPr>
          <w:rFonts w:cs="Arial"/>
          <w:i/>
        </w:rPr>
        <w:t xml:space="preserve"> </w:t>
      </w:r>
    </w:p>
    <w:p w14:paraId="30CFE47E" w14:textId="77777777" w:rsidR="00AF1FB0" w:rsidRPr="004E1D92" w:rsidRDefault="00AF1FB0" w:rsidP="00AF1FB0">
      <w:r>
        <w:t xml:space="preserve">The reactivity of some decisions was felt triggered by the pressure of the patient sounding unwell, monitors alarming and peer observation (Field notes). Experiencing cognitive biases was key to understanding how to prevent the distraction (Field notes from intervention study, case studies). </w:t>
      </w:r>
    </w:p>
    <w:p w14:paraId="60078064" w14:textId="77777777" w:rsidR="00FA1D51" w:rsidRDefault="00FA1D51" w:rsidP="00AF1FB0">
      <w:pPr>
        <w:rPr>
          <w:b/>
          <w:i/>
          <w:u w:val="single"/>
        </w:rPr>
      </w:pPr>
    </w:p>
    <w:p w14:paraId="1AD55DE3" w14:textId="77777777" w:rsidR="00FA1D51" w:rsidRDefault="00FA1D51" w:rsidP="00AF1FB0">
      <w:pPr>
        <w:rPr>
          <w:b/>
          <w:i/>
          <w:u w:val="single"/>
        </w:rPr>
      </w:pPr>
    </w:p>
    <w:p w14:paraId="327D8486" w14:textId="77777777" w:rsidR="00AF1FB0" w:rsidRPr="00FA1D51" w:rsidRDefault="00AF1FB0" w:rsidP="00AF1FB0">
      <w:pPr>
        <w:rPr>
          <w:b/>
        </w:rPr>
      </w:pPr>
      <w:r w:rsidRPr="00FA1D51">
        <w:rPr>
          <w:b/>
          <w:i/>
        </w:rPr>
        <w:lastRenderedPageBreak/>
        <w:t xml:space="preserve">Fidelity in simulation-based medical education  </w:t>
      </w:r>
    </w:p>
    <w:p w14:paraId="1451DEDA" w14:textId="38E98AAC" w:rsidR="00AF1FB0" w:rsidRDefault="00AF1FB0" w:rsidP="00AF1FB0">
      <w:r>
        <w:t>Fidelity was used as a term in the main by experts, and one that students had not come across but could describe, with the importance of initiatives feeling as ‘real to life as possible’ (focus groups 1-19). Seven subthemes emerged. Psychological fidelity was felt to be the most important aspect to create buy-in and authenticity and allow practice under pressure (</w:t>
      </w:r>
      <w:r w:rsidR="008F5B35">
        <w:t xml:space="preserve">Appendix </w:t>
      </w:r>
      <w:r w:rsidR="00C43819">
        <w:t>13</w:t>
      </w:r>
      <w:r w:rsidR="00F43B04">
        <w:t>.</w:t>
      </w:r>
      <w:r w:rsidR="00C43819">
        <w:t>4</w:t>
      </w:r>
      <w:r w:rsidR="00F43B04">
        <w:t>5</w:t>
      </w:r>
      <w:r>
        <w:t xml:space="preserve">). Most felt and described the importance of SBME feeling real and authentic with ‘real life pressures and distractions’ (Interviews 1,2,3,4,8,10, focus groups 1-19, field notes from intervention study). Students and experts both described the importance of realistic scenarios in supporting this feeling. </w:t>
      </w:r>
    </w:p>
    <w:p w14:paraId="23DF0054" w14:textId="77777777" w:rsidR="00AF1FB0" w:rsidRPr="00C8485D" w:rsidRDefault="00AF1FB0" w:rsidP="00AF1FB0">
      <w:pPr>
        <w:spacing w:line="240" w:lineRule="auto"/>
        <w:ind w:left="720"/>
        <w:rPr>
          <w:i/>
        </w:rPr>
      </w:pPr>
      <w:r w:rsidRPr="00C8485D">
        <w:rPr>
          <w:i/>
        </w:rPr>
        <w:t>‘It made a massive difference having the patient talking to me, it was not like dummies we have used in the past, they had questions and said when something hurt when being examined’ (Focus group 6, Candidate 3).</w:t>
      </w:r>
    </w:p>
    <w:p w14:paraId="3D1C53A8" w14:textId="77777777" w:rsidR="00AF1FB0" w:rsidRDefault="00AF1FB0" w:rsidP="00AF1FB0">
      <w:r>
        <w:t>The term ‘appropriate level’ encompassed views surrounding the correct level of realism for individuals because it was noted that some were able to buy into the experience more easily than others. It was also felt that the appropriate level of fidelity required was determined by the learning outcomes.</w:t>
      </w:r>
    </w:p>
    <w:p w14:paraId="02C23644" w14:textId="77777777" w:rsidR="00AF1FB0" w:rsidRDefault="00AF1FB0" w:rsidP="00AF1FB0">
      <w:r>
        <w:t xml:space="preserve">Psychological fidelity or ‘buy-in’ from participants was felt to be created by ensuring a dynamic and interactive communication from the mannequins, so having a voice was important. </w:t>
      </w:r>
    </w:p>
    <w:p w14:paraId="6FA88732" w14:textId="77777777" w:rsidR="00AF1FB0" w:rsidRDefault="00AF1FB0" w:rsidP="00AF1FB0">
      <w:r>
        <w:t xml:space="preserve">The impact of faculty and staff buy-in was hugely influential. They needed to take this seriously, remain in their own authentic roles and feel like they were looking after a person. It was important that from the outset faculty had respect </w:t>
      </w:r>
      <w:r>
        <w:lastRenderedPageBreak/>
        <w:t xml:space="preserve">towards the mannequin as a person and showed compassion. It was vital that accurate physiological and verbal responses evolved and emerged during scenarios and that scenarios were appropriate (Interviews 1-10, focus groups 1-19, field notes form intervention study). Any episodes that did not include these features created disengagement, disbelief and participants withdrew from the scenario, so any learning became limited (Interviews 1-10). This theme was discussed with passion by experts and was termed ‘avoid undermining fidelity’. It was felt that this was core to any simulation-based educational session to make it successful. Methods included sharing expectations for the session in terms of timings, the programme of events and behavioural expectations including confidentiality. Remaining in their own authentic roles and ensuring a clear introduction was given to the equipment and environment each time was vital (Interviews 2,8,10, field notes). </w:t>
      </w:r>
    </w:p>
    <w:p w14:paraId="2F5787B9" w14:textId="5335E890" w:rsidR="00AF1FB0" w:rsidRDefault="00AF1FB0" w:rsidP="00AF1FB0">
      <w:r>
        <w:t>One particular interviewee held the view that ‘fidelity’ was a term from the literature to refer to the capability and complexity of equipment rather than how real to life the experience was (Interview 5). Most others felt fidelity referred to the experience as a whole, and could be explored with equipment fidelity, environment fidelity, scenario fidelity, with all these elements contributing to overall psychological fidelity. Some also highlighted that even with the most authentic equipment, if faculty and staff did not buy in</w:t>
      </w:r>
      <w:r w:rsidR="00C43819">
        <w:t xml:space="preserve"> </w:t>
      </w:r>
      <w:r>
        <w:t xml:space="preserve">to it then psychological fidelity would be lost. A few experts shared the view that the overall aim was to change behaviour and whatever level of fidelity required to achieve that for that person was correct (Interviews 8,9,10). </w:t>
      </w:r>
    </w:p>
    <w:p w14:paraId="7E812C61" w14:textId="75D1B1DB" w:rsidR="00AF1FB0" w:rsidRDefault="00AF1FB0" w:rsidP="00AF1FB0">
      <w:r>
        <w:lastRenderedPageBreak/>
        <w:t>Elements that helped to support equipment fidelity were having a working telephone, having realistic interruptions, performing procedures in real time with authentic equipment and faculty role modelling that the mannequin was a real person to them (focus groups 1-19, interviews 1,2,3,4,8,9,10, field notes from intervention study).</w:t>
      </w:r>
    </w:p>
    <w:p w14:paraId="08A11699" w14:textId="77777777" w:rsidR="003A4843" w:rsidRPr="003A4843" w:rsidRDefault="003A4843" w:rsidP="00AF1FB0"/>
    <w:p w14:paraId="3C907269" w14:textId="77777777" w:rsidR="00AF1FB0" w:rsidRPr="008C6E22" w:rsidRDefault="00AF1FB0" w:rsidP="00AF1FB0">
      <w:pPr>
        <w:pStyle w:val="Heading3"/>
      </w:pPr>
      <w:bookmarkStart w:id="405" w:name="_Toc419116199"/>
      <w:r w:rsidRPr="00240E00">
        <w:t>Clinical reason</w:t>
      </w:r>
      <w:r w:rsidRPr="00B6769F">
        <w:t>ing and jud</w:t>
      </w:r>
      <w:r>
        <w:t>g</w:t>
      </w:r>
      <w:r w:rsidRPr="008C6E22">
        <w:t>ment</w:t>
      </w:r>
      <w:bookmarkEnd w:id="405"/>
      <w:r w:rsidRPr="008C6E22">
        <w:t xml:space="preserve"> </w:t>
      </w:r>
    </w:p>
    <w:p w14:paraId="0C81F2A6" w14:textId="77777777" w:rsidR="00AF1FB0" w:rsidRDefault="00AF1FB0" w:rsidP="00AF1FB0">
      <w:pPr>
        <w:rPr>
          <w:b/>
          <w:i/>
        </w:rPr>
      </w:pPr>
    </w:p>
    <w:p w14:paraId="70468F3C" w14:textId="77777777" w:rsidR="00AF1FB0" w:rsidRPr="00864D28" w:rsidRDefault="00AF1FB0" w:rsidP="00AF1FB0">
      <w:pPr>
        <w:rPr>
          <w:b/>
          <w:i/>
        </w:rPr>
      </w:pPr>
      <w:r w:rsidRPr="00864D28">
        <w:rPr>
          <w:b/>
          <w:i/>
        </w:rPr>
        <w:t xml:space="preserve">Knowledge </w:t>
      </w:r>
      <w:r>
        <w:rPr>
          <w:b/>
          <w:i/>
        </w:rPr>
        <w:t>and</w:t>
      </w:r>
      <w:r w:rsidRPr="00864D28">
        <w:rPr>
          <w:b/>
          <w:i/>
        </w:rPr>
        <w:t xml:space="preserve"> technical skills</w:t>
      </w:r>
    </w:p>
    <w:p w14:paraId="5DF1F532" w14:textId="77777777" w:rsidR="00AF1FB0" w:rsidRDefault="00AF1FB0" w:rsidP="00AF1FB0">
      <w:r>
        <w:t xml:space="preserve">Knowledge and technical skills were highlighted as an important foundation of preparedness, with emphasis on application and accessibility of knowledge. </w:t>
      </w:r>
    </w:p>
    <w:p w14:paraId="26585782" w14:textId="77777777" w:rsidR="00AF1FB0" w:rsidRPr="0054493C" w:rsidRDefault="00AF1FB0" w:rsidP="00AF1FB0">
      <w:pPr>
        <w:spacing w:line="240" w:lineRule="auto"/>
        <w:ind w:left="720"/>
        <w:rPr>
          <w:i/>
        </w:rPr>
      </w:pPr>
      <w:r w:rsidRPr="0054493C">
        <w:rPr>
          <w:i/>
        </w:rPr>
        <w:t xml:space="preserve">I knew the treatment on anaphylaxis but when under pressure I chose the wrong strength of adrenaline, I could not think clearly as was panicking. I should have asked for help. I could have asked for the protocol. Now when I get stuck I know different ways of getting help and getting the right information’ </w:t>
      </w:r>
      <w:r w:rsidRPr="000A70AC">
        <w:t>(Focus group 8, Participant 4).</w:t>
      </w:r>
    </w:p>
    <w:p w14:paraId="2621CFA0" w14:textId="77777777" w:rsidR="00AF1FB0" w:rsidRDefault="00AF1FB0" w:rsidP="00AF1FB0">
      <w:pPr>
        <w:spacing w:line="240" w:lineRule="auto"/>
        <w:ind w:left="720"/>
      </w:pPr>
      <w:r w:rsidRPr="00652CEE">
        <w:rPr>
          <w:rFonts w:ascii="Helvetica" w:hAnsi="Helvetica" w:cs="Helvetica"/>
          <w:i/>
        </w:rPr>
        <w:t>‘</w:t>
      </w:r>
      <w:r w:rsidRPr="0033498A">
        <w:rPr>
          <w:rFonts w:ascii="Helvetica" w:hAnsi="Helvetica" w:cs="Helvetica"/>
          <w:i/>
        </w:rPr>
        <w:t>What</w:t>
      </w:r>
      <w:r w:rsidRPr="00652CEE">
        <w:rPr>
          <w:rFonts w:ascii="Helvetica" w:hAnsi="Helvetica" w:cs="Helvetica"/>
          <w:i/>
        </w:rPr>
        <w:t xml:space="preserve"> worries a number of doctors is about being able to access the right knowledge at the right time. There has been some work done around flexibility in memory and structuring memory, and I think that is why problem based learning was developed was to try and create that flexibility to enable you to access your knowledge more readily, so depending on the circumstances you can think ‘oh, I learnt that from my experience, I learnt that from my </w:t>
      </w:r>
      <w:r w:rsidRPr="0033498A">
        <w:rPr>
          <w:rFonts w:ascii="Helvetica" w:hAnsi="Helvetica" w:cs="Helvetica"/>
          <w:i/>
        </w:rPr>
        <w:t>lecture’,</w:t>
      </w:r>
      <w:r w:rsidRPr="00652CEE">
        <w:rPr>
          <w:rFonts w:ascii="Helvetica" w:hAnsi="Helvetica" w:cs="Helvetica"/>
          <w:i/>
        </w:rPr>
        <w:t xml:space="preserve"> it’s putting those together into your memory bank’</w:t>
      </w:r>
      <w:r>
        <w:rPr>
          <w:rFonts w:ascii="Helvetica" w:hAnsi="Helvetica" w:cs="Helvetica"/>
        </w:rPr>
        <w:t xml:space="preserve"> (Interview 3).</w:t>
      </w:r>
    </w:p>
    <w:p w14:paraId="7A26E5D8" w14:textId="721CBAC4" w:rsidR="00AF1FB0" w:rsidRDefault="00AF1FB0" w:rsidP="00AF1FB0">
      <w:r>
        <w:t xml:space="preserve">Embedding human factors education into the curriculum and marrying this with skills and knowledge, and graded responsibility and pressure were felt to be key. This included the need to embrace consequence learning and complexity true to the clinical environment to support understanding of expectations. </w:t>
      </w:r>
    </w:p>
    <w:p w14:paraId="414C7C91" w14:textId="77777777" w:rsidR="00AF1FB0" w:rsidRPr="0054493C" w:rsidRDefault="00AF1FB0" w:rsidP="00AF1FB0">
      <w:pPr>
        <w:spacing w:line="240" w:lineRule="auto"/>
        <w:ind w:left="720"/>
        <w:rPr>
          <w:i/>
        </w:rPr>
      </w:pPr>
      <w:r w:rsidRPr="0054493C">
        <w:rPr>
          <w:i/>
        </w:rPr>
        <w:lastRenderedPageBreak/>
        <w:t>‘We have never had to do all of this together and be responsible for a patient like this, do the procedure, talk to patient and relatives, assess and treat them and work with nursing staff and our team, we need to practice this</w:t>
      </w:r>
      <w:r>
        <w:rPr>
          <w:i/>
        </w:rPr>
        <w:t>. It is hard</w:t>
      </w:r>
      <w:r w:rsidRPr="0054493C">
        <w:rPr>
          <w:i/>
        </w:rPr>
        <w:t xml:space="preserve">’ </w:t>
      </w:r>
      <w:r w:rsidRPr="000A70AC">
        <w:t>(Focus group 19, Participant 4).</w:t>
      </w:r>
    </w:p>
    <w:p w14:paraId="2E538C23" w14:textId="77777777" w:rsidR="00AF1FB0" w:rsidRPr="00652CEE" w:rsidRDefault="00AF1FB0" w:rsidP="00AF1FB0">
      <w:pPr>
        <w:spacing w:line="240" w:lineRule="auto"/>
        <w:ind w:left="720"/>
      </w:pPr>
      <w:r w:rsidRPr="00652CEE">
        <w:rPr>
          <w:rFonts w:ascii="Helvetica"/>
          <w:i/>
        </w:rPr>
        <w:t>‘</w:t>
      </w:r>
      <w:r w:rsidRPr="0033498A">
        <w:rPr>
          <w:rFonts w:ascii="Helvetica"/>
          <w:i/>
        </w:rPr>
        <w:t>You</w:t>
      </w:r>
      <w:r w:rsidRPr="00652CEE">
        <w:rPr>
          <w:rFonts w:ascii="Helvetica"/>
          <w:i/>
        </w:rPr>
        <w:t xml:space="preserve"> can't replace interactions with patients but there should be that kind of scaffolding approach that we all talk about in medical education. About how we build a scaffold around our students and then gradually remove it as they get more confident. Simulation should be a part of that scaffolding and we should be able to offer our students much more reliably the opportunity to train in a safe simulated environment to develop those skills and levels of confidence before they practise on people</w:t>
      </w:r>
      <w:r w:rsidRPr="00652CEE">
        <w:rPr>
          <w:rFonts w:hAnsi="Helvetica"/>
          <w:i/>
        </w:rPr>
        <w:t>…’</w:t>
      </w:r>
      <w:r w:rsidRPr="00652CEE">
        <w:rPr>
          <w:rFonts w:hAnsi="Helvetica"/>
          <w:i/>
        </w:rPr>
        <w:t xml:space="preserve"> </w:t>
      </w:r>
      <w:r>
        <w:rPr>
          <w:rFonts w:hAnsi="Helvetica"/>
        </w:rPr>
        <w:t>(Interview 2)</w:t>
      </w:r>
      <w:r>
        <w:rPr>
          <w:rFonts w:ascii="Helvetica"/>
        </w:rPr>
        <w:t>.</w:t>
      </w:r>
    </w:p>
    <w:p w14:paraId="5633DCCD" w14:textId="77777777" w:rsidR="00AF1FB0" w:rsidRPr="00652CEE" w:rsidRDefault="00AF1FB0" w:rsidP="00AF1FB0">
      <w:pPr>
        <w:rPr>
          <w:b/>
          <w:i/>
        </w:rPr>
      </w:pPr>
      <w:r w:rsidRPr="00652CEE">
        <w:rPr>
          <w:b/>
          <w:i/>
        </w:rPr>
        <w:t>Non-technical skills</w:t>
      </w:r>
    </w:p>
    <w:p w14:paraId="1EAA8642" w14:textId="39C6C9C6" w:rsidR="00AF1FB0" w:rsidRDefault="00AF1FB0" w:rsidP="00AF1FB0">
      <w:r>
        <w:t>Non-technical skills proved very interrelated and inter</w:t>
      </w:r>
      <w:r w:rsidR="00B63639">
        <w:t>dependent. There were seven sub</w:t>
      </w:r>
      <w:r>
        <w:t xml:space="preserve"> themes that emerged: ‘situation awareness’; ‘decision-making’; ‘</w:t>
      </w:r>
      <w:r w:rsidR="00345C07">
        <w:t>communication’; ‘effective team</w:t>
      </w:r>
      <w:r>
        <w:t xml:space="preserve">working’; ‘prioritisation’; ‘leadership’ and finally the ‘need to be developed or taught’ </w:t>
      </w:r>
      <w:r w:rsidR="00C43819">
        <w:rPr>
          <w:lang w:val="en-US"/>
        </w:rPr>
        <w:t>(Appendix 13</w:t>
      </w:r>
      <w:r>
        <w:rPr>
          <w:lang w:val="en-US"/>
        </w:rPr>
        <w:t>.42).</w:t>
      </w:r>
    </w:p>
    <w:p w14:paraId="0EED4707" w14:textId="77777777" w:rsidR="00AF1FB0" w:rsidRDefault="00AF1FB0" w:rsidP="00AF1FB0">
      <w:r>
        <w:t xml:space="preserve">Senior experts were more familiar with this term. Younger experts were more familiar with human factors and considered non-technical skills part of human factors. Students had not come across either term but described the importance of learning about both in their descriptions of learning how to think and act under pressure, communicate with team, patients and work within a clinical environment. </w:t>
      </w:r>
    </w:p>
    <w:p w14:paraId="3FCAA219" w14:textId="77777777" w:rsidR="00AF1FB0" w:rsidRDefault="00AF1FB0" w:rsidP="00AF1FB0">
      <w:r>
        <w:t xml:space="preserve">Situation awareness included judgement, self-awareness of being out of depth and being aware of limitations. This crossed over with cognitive processes. Cognitive biases were also described by students, which included distractions and learning how to register them to make a judgement about whether they needed to be focused on, referred on to someone else or addressed at the </w:t>
      </w:r>
      <w:r>
        <w:lastRenderedPageBreak/>
        <w:t xml:space="preserve">time. There was also the awareness that when distracted the complexity of not losing where they were or getting ‘put off track’ was important (focus group 4,6, field notes from final intervention study). </w:t>
      </w:r>
    </w:p>
    <w:p w14:paraId="5BB968A8" w14:textId="77777777" w:rsidR="00AF1FB0" w:rsidRDefault="00AF1FB0" w:rsidP="00AF1FB0">
      <w:r>
        <w:t>Decision-making described cognitive biases and how to make safe decisions, considering resources in the environment and how to communicate with others to get the help required to support or make a decision. An example already described was when one student was able to select out loud the correct strength and route for adrenaline administration for anaphylaxis then when given a choice made a snap judgment and decision and selected the wrong one (Case note and field notes from final intervention study).</w:t>
      </w:r>
    </w:p>
    <w:p w14:paraId="72F0CB1F" w14:textId="77777777" w:rsidR="00AF1FB0" w:rsidRDefault="00AF1FB0" w:rsidP="00AF1FB0">
      <w:r>
        <w:t xml:space="preserve">Communication was referred to as ‘interpersonal skills’, to consider the other people involved in the clinical work environment and the vulnerability of patients relatives and some staff. Descriptions of the importance of clear and effective communication were described with little discussion about how to train and educate to ensure effective communication had been understood and learnt, and then translated into practice. Emotional transference was discussed relating to body language and the impact of sharing concerns and anxiety. Some students felt that voicing anxiety or concern in front of patients and staff was a marker of weakness and would lead to mistrust, whereas other students and experts acknowledged the importance of voicing concerns, anxiety and uncertainty to create openness, trust and recruit help. It was felt that this was key to avoiding being overwhelmed by cognitive biases and becoming ineffective. It was also reported that it was clear form body language and emotional transference when candidates were not happy or aware of what to do </w:t>
      </w:r>
      <w:r>
        <w:lastRenderedPageBreak/>
        <w:t xml:space="preserve">and this was anxiety provoking for staff, patients and relatives who could see there was something wrong (Filed notes from final study). </w:t>
      </w:r>
    </w:p>
    <w:p w14:paraId="1AAD5927" w14:textId="5F4C5F51" w:rsidR="00AF1FB0" w:rsidRDefault="00345C07" w:rsidP="00AF1FB0">
      <w:r>
        <w:t>Effective team</w:t>
      </w:r>
      <w:r w:rsidR="00AF1FB0">
        <w:t xml:space="preserve">working was linked and related to communication skills and situation awareness. The importance of building relationships and trust was highlighted as vital to create a model of safe, effective care. Understanding of roles, expectations and the ability again to share anxieties and concerns were flagged up as essential to creating effective teamwork. </w:t>
      </w:r>
    </w:p>
    <w:p w14:paraId="0741EE6F" w14:textId="77777777" w:rsidR="00AF1FB0" w:rsidRDefault="00AF1FB0" w:rsidP="00AF1FB0">
      <w:r>
        <w:t xml:space="preserve">Prioritisation was linked to clinical judgement and decision-making. Time management was felt to be an area that was important and the opportunity to practice scenarios with authentic physiological responses allowed levels of important consequence learning and a better understanding of whether quick thinking and decision-making was required or more time could be taken to gather evidence. There were limitations with the mannequin at this point because although the physiological interpretation was of an unwell patient, it was not possible for the patient to look clammy and unwell to recreate that concern so vocal cues and physiological changes were required to trigger this (field notes from final intervention study, interview 6). </w:t>
      </w:r>
    </w:p>
    <w:p w14:paraId="0764D3D2" w14:textId="77777777" w:rsidR="00AF1FB0" w:rsidRDefault="00AF1FB0" w:rsidP="00AF1FB0">
      <w:r>
        <w:t xml:space="preserve">Leadership skills were felt to be a vital part of non-technical skills and the importance of followership as part of a team and getting the team to follow oneself was also discussed along with the delegation of tasks. Delegation was related strongly to the understanding of roles and responsibilities and the building of trust and respect within a team as well as effective communication. </w:t>
      </w:r>
    </w:p>
    <w:p w14:paraId="421EDB4F" w14:textId="3F091FEB" w:rsidR="00AF1FB0" w:rsidRDefault="00AF1FB0" w:rsidP="00AF1FB0">
      <w:r>
        <w:lastRenderedPageBreak/>
        <w:t>The final emergent theme related to the education of non-technical skills, and many felt they needed to be developed and taught and could not be assumed. It was felt that these skills did not come naturally to all people and though some were better than others, to im</w:t>
      </w:r>
      <w:r w:rsidR="00345C07">
        <w:t>prove safety and effective team</w:t>
      </w:r>
      <w:r>
        <w:t xml:space="preserve">working and care there should be curriculum-mapped appropriate education for non-technical skills for all levels of trainees in all healthcare professions and that learning should take place </w:t>
      </w:r>
      <w:proofErr w:type="spellStart"/>
      <w:r>
        <w:t>interprofessionally</w:t>
      </w:r>
      <w:proofErr w:type="spellEnd"/>
      <w:r>
        <w:t xml:space="preserve"> (Interviews 1,2,3,4,5,6,8,9,10, field notes from intervention study).</w:t>
      </w:r>
    </w:p>
    <w:p w14:paraId="34D02C22" w14:textId="77777777" w:rsidR="00AF1FB0" w:rsidRDefault="00AF1FB0" w:rsidP="00AF1FB0">
      <w:r>
        <w:t xml:space="preserve">Structure and practice for information sharing were considered important, with handovers to colleagues and how to stratify information given to patients and relatives and at what point. It was felt by the students that undergraduate communication skills had focused on history taking and communicating in controlled situations, not involving the team network or in an acute situation. </w:t>
      </w:r>
    </w:p>
    <w:p w14:paraId="3139E44D" w14:textId="77777777" w:rsidR="00AF1FB0" w:rsidRPr="00396608" w:rsidRDefault="00AF1FB0" w:rsidP="00AF1FB0">
      <w:pPr>
        <w:spacing w:line="240" w:lineRule="auto"/>
        <w:ind w:left="720"/>
        <w:rPr>
          <w:i/>
        </w:rPr>
      </w:pPr>
      <w:r>
        <w:rPr>
          <w:i/>
        </w:rPr>
        <w:t>‘</w:t>
      </w:r>
      <w:r w:rsidRPr="00396608">
        <w:rPr>
          <w:i/>
        </w:rPr>
        <w:t xml:space="preserve">I didn’t know what the nurses could do or how long it took to get the drugs and the pressure of prescribing emergency drugs, so they can be given as soon as possible. I have not had to try and lead a team with an unwell patient, I did not think I would have to do that as an FY1’ </w:t>
      </w:r>
      <w:r w:rsidRPr="000A70AC">
        <w:t>(Focus group 9, Participant 3).</w:t>
      </w:r>
    </w:p>
    <w:p w14:paraId="14F8308C" w14:textId="77777777" w:rsidR="00AF1FB0" w:rsidRDefault="00AF1FB0" w:rsidP="00AF1FB0">
      <w:r>
        <w:t xml:space="preserve">In order to improve preparedness, it was felt that development of communication and leadership skills required students to experience and work through stressful authentic situations. Reflection and debriefing were felt core to this process and the ability to gain direct, objective, timely feedback from the patient, relative and nursing staff, invaluable. This created an open, transparent platform for sharing thoughts and feelings to gain a better understanding of individual personal skills and behaviour and from a research perspective. Interprofessional learning throughout this process was felt to be pivotal in </w:t>
      </w:r>
      <w:r>
        <w:lastRenderedPageBreak/>
        <w:t xml:space="preserve">allowing co-construction of team skills to learn how to be effective and understand each other’s skills and limitations. </w:t>
      </w:r>
    </w:p>
    <w:p w14:paraId="106B24C8" w14:textId="77777777" w:rsidR="00AF1FB0" w:rsidRDefault="00AF1FB0" w:rsidP="00AF1FB0">
      <w:pPr>
        <w:spacing w:line="240" w:lineRule="auto"/>
        <w:ind w:left="720"/>
      </w:pPr>
      <w:r w:rsidRPr="00CD06A5">
        <w:rPr>
          <w:rFonts w:ascii="Helvetica"/>
          <w:i/>
        </w:rPr>
        <w:t>‘</w:t>
      </w:r>
      <w:r w:rsidRPr="00CD06A5">
        <w:rPr>
          <w:rFonts w:ascii="Helvetica"/>
          <w:i/>
        </w:rPr>
        <w:t>We</w:t>
      </w:r>
      <w:r w:rsidRPr="00CD06A5">
        <w:rPr>
          <w:rFonts w:ascii="Helvetica"/>
          <w:i/>
        </w:rPr>
        <w:t>’</w:t>
      </w:r>
      <w:r w:rsidRPr="00CD06A5">
        <w:rPr>
          <w:rFonts w:ascii="Helvetica"/>
          <w:i/>
        </w:rPr>
        <w:t>ve always been thinking about non-technical skills and.. did that person tell the nurse that they needed to call the arrest team? - those sorts of concepts that we weren</w:t>
      </w:r>
      <w:r w:rsidRPr="00CD06A5">
        <w:rPr>
          <w:rFonts w:hAnsi="Helvetica"/>
          <w:i/>
        </w:rPr>
        <w:t>’</w:t>
      </w:r>
      <w:r w:rsidRPr="00CD06A5">
        <w:rPr>
          <w:rFonts w:ascii="Helvetica"/>
          <w:i/>
        </w:rPr>
        <w:t>t necessarily calling mental models and teaching a better expression of mental models are something that was already happening and I think that they are incredibly valid at an undergraduate level</w:t>
      </w:r>
      <w:r w:rsidRPr="00F72ADB">
        <w:rPr>
          <w:rFonts w:ascii="Helvetica"/>
          <w:i/>
        </w:rPr>
        <w:t xml:space="preserve">. </w:t>
      </w:r>
      <w:r w:rsidRPr="00652CEE">
        <w:rPr>
          <w:rFonts w:ascii="Helvetica"/>
          <w:i/>
        </w:rPr>
        <w:t xml:space="preserve">What fascinates me is, we talk about team training in </w:t>
      </w:r>
      <w:proofErr w:type="gramStart"/>
      <w:r w:rsidRPr="00652CEE">
        <w:rPr>
          <w:rFonts w:ascii="Helvetica"/>
          <w:i/>
        </w:rPr>
        <w:t>healthcare</w:t>
      </w:r>
      <w:proofErr w:type="gramEnd"/>
      <w:r w:rsidRPr="00652CEE">
        <w:rPr>
          <w:rFonts w:ascii="Helvetica"/>
          <w:i/>
        </w:rPr>
        <w:t xml:space="preserve"> but we only do it </w:t>
      </w:r>
      <w:r w:rsidRPr="00652CEE">
        <w:rPr>
          <w:rFonts w:ascii="Helvetica"/>
          <w:b/>
          <w:bCs/>
          <w:i/>
        </w:rPr>
        <w:t>after</w:t>
      </w:r>
      <w:r w:rsidRPr="00EE4DE7">
        <w:rPr>
          <w:rFonts w:ascii="Helvetica"/>
          <w:i/>
        </w:rPr>
        <w:t xml:space="preserve"> we</w:t>
      </w:r>
      <w:r w:rsidRPr="00652CEE">
        <w:rPr>
          <w:rFonts w:hAnsi="Helvetica"/>
          <w:i/>
        </w:rPr>
        <w:t>’</w:t>
      </w:r>
      <w:r w:rsidRPr="00652CEE">
        <w:rPr>
          <w:rFonts w:ascii="Helvetica"/>
          <w:i/>
        </w:rPr>
        <w:t>ve trained doctors and nurses in their silos</w:t>
      </w:r>
      <w:r w:rsidRPr="00652CEE">
        <w:rPr>
          <w:rFonts w:hAnsi="Helvetica"/>
          <w:i/>
        </w:rPr>
        <w:t>…</w:t>
      </w:r>
      <w:r w:rsidRPr="00652CEE">
        <w:rPr>
          <w:rFonts w:hAnsi="Helvetica"/>
          <w:i/>
        </w:rPr>
        <w:t xml:space="preserve"> </w:t>
      </w:r>
      <w:r w:rsidRPr="00652CEE">
        <w:rPr>
          <w:rFonts w:ascii="Helvetica"/>
          <w:i/>
        </w:rPr>
        <w:t>we don't train together as undergraduates</w:t>
      </w:r>
      <w:r>
        <w:rPr>
          <w:rFonts w:ascii="Helvetica"/>
          <w:i/>
        </w:rPr>
        <w:t>’</w:t>
      </w:r>
      <w:r>
        <w:rPr>
          <w:rFonts w:ascii="Helvetica"/>
        </w:rPr>
        <w:t xml:space="preserve"> (Interview 2).</w:t>
      </w:r>
    </w:p>
    <w:p w14:paraId="796ECFCA" w14:textId="77777777" w:rsidR="00AF1FB0" w:rsidRDefault="00AF1FB0" w:rsidP="00AF1FB0">
      <w:r>
        <w:t>Judgment and decision-making were fully embedded with cognitive processes and the importance of having time and space to process clinical assessments, patient background, current status and potential outcomes. The ‘</w:t>
      </w:r>
      <w:r w:rsidRPr="000A70AC">
        <w:rPr>
          <w:i/>
        </w:rPr>
        <w:t xml:space="preserve">knowledge explosion’ </w:t>
      </w:r>
      <w:r>
        <w:t xml:space="preserve">described highlighted the challenge of filtering and using the volume of new knowledge plus available resources to support or refute a decision (Interview 8). Part of this process was making an informed judgment on the time available to make a decision. Through speaking aloud and sharing concerns as a team, students became visibly more efficient, clear and comfortable about when they would need help and which help they would get, an ultimate priority for a junior doctor. </w:t>
      </w:r>
    </w:p>
    <w:p w14:paraId="2B266EFF" w14:textId="77777777" w:rsidR="00AF1FB0" w:rsidRPr="00396608" w:rsidRDefault="00AF1FB0" w:rsidP="00AF1FB0">
      <w:pPr>
        <w:spacing w:line="240" w:lineRule="auto"/>
        <w:ind w:left="720"/>
        <w:rPr>
          <w:i/>
        </w:rPr>
      </w:pPr>
      <w:r w:rsidRPr="00396608">
        <w:rPr>
          <w:i/>
        </w:rPr>
        <w:t>‘I was worried if I asked the nurses for help or said I was not sure they would not trust me but it was actually the opposite, they were really helpful’ (Focus group 7, Participant 4).</w:t>
      </w:r>
    </w:p>
    <w:p w14:paraId="7C7CF4CA" w14:textId="77777777" w:rsidR="00AF1FB0" w:rsidRDefault="00AF1FB0" w:rsidP="00AF1FB0">
      <w:r>
        <w:t xml:space="preserve">It was observed that judgment and decision-making could be supported and made more efficient through practising under pressure in a simulated environment and not solely reliant on ward experience. </w:t>
      </w:r>
    </w:p>
    <w:p w14:paraId="60C7E683" w14:textId="77777777" w:rsidR="00AF1FB0" w:rsidRDefault="00AF1FB0" w:rsidP="00AF1FB0">
      <w:r>
        <w:t xml:space="preserve">In terms of clinical judgment skills related to preparedness, ‘experience influence of culture and hierarchy’ was an area felt by experts to be very </w:t>
      </w:r>
      <w:r>
        <w:lastRenderedPageBreak/>
        <w:t xml:space="preserve">important but difficult to recreate (Interviews 3,8). Students felt they had been exposed to the culture within the NHS and most had fears of contacting seniors due to hierarchical influence, with potential to compromise patient safety (focus groups 2,3,6,7,10). Examples of this were where students were late to call for help, mostly due to ‘not wanting to bother busy senior members of the team’, and the expectation of feeling they ‘should be able to cope’ and just ‘get on with it’ (Focus groups 2, Candidate 5). The simulation scenarios exposed these influences and facilitated discussion to correct misconceptions. Strategies were explored and implemented to allow students to assert themselves and learn how to appropriately challenge hierarchy to improve patient safety (Field notes). </w:t>
      </w:r>
    </w:p>
    <w:p w14:paraId="6FE3169D" w14:textId="77777777" w:rsidR="00AF1FB0" w:rsidRDefault="00AF1FB0" w:rsidP="00AF1FB0">
      <w:r>
        <w:t>The second division related to recognition of limitations, when getting stuck and the impact that had on judgment and decision-making. Recognition was required in order to access help (resources available and the wider team), which was felt, to impact on patient safety (Field notes, focus groups 4,5,10,16). Consequence learning formed a key element under judgment and making decisions to act or omit treatment and the creation of management plans. Consequences included experiencing patient outcomes and discussing other potential outcomes (Field notes). Debriefing gave candidates the opportunity to consider timeframes and responsibility for the patient (Field notes from intervention study, focus group 4,6,7,12 and interview 8).</w:t>
      </w:r>
    </w:p>
    <w:p w14:paraId="75E77BDE" w14:textId="77777777" w:rsidR="00AF1FB0" w:rsidRDefault="00AF1FB0" w:rsidP="00AF1FB0">
      <w:pPr>
        <w:spacing w:line="240" w:lineRule="auto"/>
        <w:ind w:left="720"/>
      </w:pPr>
      <w:r w:rsidRPr="00652CEE">
        <w:rPr>
          <w:i/>
        </w:rPr>
        <w:t xml:space="preserve">‘I knew my </w:t>
      </w:r>
      <w:proofErr w:type="spellStart"/>
      <w:r w:rsidRPr="00652CEE">
        <w:rPr>
          <w:i/>
        </w:rPr>
        <w:t>algorhythms</w:t>
      </w:r>
      <w:proofErr w:type="spellEnd"/>
      <w:r w:rsidRPr="00652CEE">
        <w:rPr>
          <w:i/>
        </w:rPr>
        <w:t xml:space="preserve"> for management but had no idea until we played it out how long it would take for drugs to be made up, given, signed for….and for how long it would take for a response… I have learnt to think ahead about what will be required and what may happen as a result of giving or not giving treatment</w:t>
      </w:r>
      <w:r>
        <w:rPr>
          <w:i/>
        </w:rPr>
        <w:t>. Seeing the physiological response was so useful. It was stressful… but I needed to know I could cope</w:t>
      </w:r>
      <w:r w:rsidRPr="00652CEE">
        <w:rPr>
          <w:i/>
        </w:rPr>
        <w:t>’</w:t>
      </w:r>
      <w:r>
        <w:t xml:space="preserve"> (Focus group 9, Candidate 2). </w:t>
      </w:r>
    </w:p>
    <w:p w14:paraId="4C87F726" w14:textId="77777777" w:rsidR="00AF1FB0" w:rsidRDefault="00AF1FB0" w:rsidP="00AF1FB0">
      <w:pPr>
        <w:rPr>
          <w:color w:val="7030A0"/>
        </w:rPr>
      </w:pPr>
      <w:r>
        <w:lastRenderedPageBreak/>
        <w:t xml:space="preserve">Managing complexity was the final area surrounding judgment and has recurred within this framework, emphasising the importance and interrelated nature. The ideas that emerged mirrored those of cognitive processes, in terms of creating a framework for managing complexity, in order to prioritise and allow refinement of skills and judgment. </w:t>
      </w:r>
    </w:p>
    <w:p w14:paraId="17213E41" w14:textId="77777777" w:rsidR="00AF1FB0" w:rsidRDefault="00AF1FB0" w:rsidP="00AF1FB0">
      <w:pPr>
        <w:pStyle w:val="Heading3"/>
      </w:pPr>
      <w:bookmarkStart w:id="406" w:name="_Toc419116200"/>
      <w:r w:rsidRPr="00DE63A4">
        <w:t>Clini</w:t>
      </w:r>
      <w:r>
        <w:t>cal</w:t>
      </w:r>
      <w:r w:rsidRPr="00DE63A4">
        <w:t xml:space="preserve"> cog</w:t>
      </w:r>
      <w:r>
        <w:t>nitive competence</w:t>
      </w:r>
      <w:bookmarkEnd w:id="406"/>
    </w:p>
    <w:p w14:paraId="715E0818" w14:textId="77777777" w:rsidR="00AF1FB0" w:rsidRDefault="00AF1FB0" w:rsidP="00AF1FB0">
      <w:pPr>
        <w:rPr>
          <w:b/>
          <w:i/>
        </w:rPr>
      </w:pPr>
    </w:p>
    <w:p w14:paraId="3F6981AC" w14:textId="77777777" w:rsidR="00AF1FB0" w:rsidRDefault="00AF1FB0" w:rsidP="00AF1FB0">
      <w:r w:rsidRPr="00E23268">
        <w:t>Cognitive processes</w:t>
      </w:r>
      <w:r>
        <w:t xml:space="preserve"> require development and nurturing through experience and reflection on own behaviour, thoughts and actions. The feeling of ‘getting stuck’ or ‘going blank’ was described by students and experts and was related to cognitive overload and pressure. </w:t>
      </w:r>
    </w:p>
    <w:p w14:paraId="4DA06E30" w14:textId="77777777" w:rsidR="00AF1FB0" w:rsidRDefault="00AF1FB0" w:rsidP="00AF1FB0">
      <w:pPr>
        <w:spacing w:line="240" w:lineRule="auto"/>
        <w:ind w:left="720"/>
        <w:rPr>
          <w:rFonts w:ascii="Helvetica" w:hAnsi="Helvetica" w:cs="Helvetica"/>
        </w:rPr>
      </w:pPr>
      <w:r w:rsidRPr="00652CEE">
        <w:rPr>
          <w:rFonts w:ascii="Helvetica" w:hAnsi="Helvetica" w:cs="Helvetica"/>
          <w:i/>
        </w:rPr>
        <w:t>‘So I think what you can do with simulation is get people to recognise, not necessarily about emergency things but when they are stuck just even with consulting’</w:t>
      </w:r>
      <w:r>
        <w:rPr>
          <w:rFonts w:ascii="Helvetica" w:hAnsi="Helvetica" w:cs="Helvetica"/>
        </w:rPr>
        <w:t xml:space="preserve"> (Interview 3). </w:t>
      </w:r>
    </w:p>
    <w:p w14:paraId="1EB004F3" w14:textId="77777777" w:rsidR="00AF1FB0" w:rsidRDefault="00AF1FB0" w:rsidP="00AF1FB0">
      <w:pPr>
        <w:spacing w:line="240" w:lineRule="auto"/>
        <w:ind w:left="720"/>
        <w:rPr>
          <w:rFonts w:ascii="Helvetica" w:hAnsi="Helvetica" w:cs="Helvetica"/>
        </w:rPr>
      </w:pPr>
      <w:r>
        <w:rPr>
          <w:rFonts w:ascii="Helvetica" w:hAnsi="Helvetica" w:cs="Helvetica"/>
          <w:i/>
        </w:rPr>
        <w:t xml:space="preserve">‘My mind went blank, I wanted all monitors switched off as found them distracting, I could not think, I just kept thinking I should know what to do but I realise now if I start to feel that I need to get help’ </w:t>
      </w:r>
      <w:r w:rsidRPr="000A70AC">
        <w:rPr>
          <w:rFonts w:ascii="Helvetica" w:hAnsi="Helvetica" w:cs="Helvetica"/>
        </w:rPr>
        <w:t>(Focus group 11, Participant 2)</w:t>
      </w:r>
    </w:p>
    <w:p w14:paraId="61BAAC20" w14:textId="77777777" w:rsidR="00AF1FB0" w:rsidRDefault="00AF1FB0" w:rsidP="00AF1FB0">
      <w:r>
        <w:t xml:space="preserve">Strategies to manage this were: to share anxieties and uncertainty, summarise interpreted current position to the team, use structures and reassessment. In addition, allowing time to stand back and ‘declare an emergency’ to increase team awareness and recruit support to look for solutions was key (Interviews 2, 9). </w:t>
      </w:r>
    </w:p>
    <w:p w14:paraId="516A3D43" w14:textId="77777777" w:rsidR="00AF1FB0" w:rsidRPr="00652CEE" w:rsidRDefault="00AF1FB0" w:rsidP="00AF1FB0">
      <w:pPr>
        <w:spacing w:line="240" w:lineRule="auto"/>
        <w:ind w:left="720"/>
        <w:rPr>
          <w:i/>
        </w:rPr>
      </w:pPr>
      <w:r w:rsidRPr="00652CEE">
        <w:rPr>
          <w:i/>
        </w:rPr>
        <w:t xml:space="preserve">‘So you can learn personal </w:t>
      </w:r>
      <w:r w:rsidRPr="0033498A">
        <w:rPr>
          <w:i/>
        </w:rPr>
        <w:t>behaviours</w:t>
      </w:r>
      <w:r w:rsidRPr="00652CEE">
        <w:rPr>
          <w:i/>
        </w:rPr>
        <w:t xml:space="preserve"> to manage your own stress in an environment, you can learn how to use your team more effectively to manage stress and manage the pressures that are upon you and you </w:t>
      </w:r>
      <w:r w:rsidRPr="00652CEE">
        <w:rPr>
          <w:i/>
        </w:rPr>
        <w:lastRenderedPageBreak/>
        <w:t xml:space="preserve">can learn to use adjuncts such as guidelines and other memory aids to assist you. </w:t>
      </w:r>
    </w:p>
    <w:p w14:paraId="73BD13EB" w14:textId="77777777" w:rsidR="00AF1FB0" w:rsidRPr="00652CEE" w:rsidRDefault="00AF1FB0" w:rsidP="00AF1FB0">
      <w:pPr>
        <w:spacing w:line="240" w:lineRule="auto"/>
        <w:ind w:left="720"/>
        <w:rPr>
          <w:i/>
        </w:rPr>
      </w:pPr>
      <w:r w:rsidRPr="00652CEE">
        <w:rPr>
          <w:i/>
        </w:rPr>
        <w:t xml:space="preserve">So personal things and simple measures to manage your own stress, well simple mindfulness techniques as I think they are described…to understanding the cognitive processes that you are undergoing, the biases that you are subjected to and how you might avoid those biases. </w:t>
      </w:r>
    </w:p>
    <w:p w14:paraId="37B223BF" w14:textId="77777777" w:rsidR="00AF1FB0" w:rsidRDefault="00AF1FB0" w:rsidP="00AF1FB0">
      <w:pPr>
        <w:spacing w:line="240" w:lineRule="auto"/>
        <w:ind w:left="720"/>
      </w:pPr>
      <w:r w:rsidRPr="00652CEE">
        <w:rPr>
          <w:i/>
        </w:rPr>
        <w:t xml:space="preserve">If you understand that when you are under stress you are likely to </w:t>
      </w:r>
      <w:proofErr w:type="spellStart"/>
      <w:r w:rsidRPr="00652CEE">
        <w:rPr>
          <w:i/>
        </w:rPr>
        <w:t>loose</w:t>
      </w:r>
      <w:proofErr w:type="spellEnd"/>
      <w:r w:rsidRPr="00652CEE">
        <w:rPr>
          <w:i/>
        </w:rPr>
        <w:t xml:space="preserve"> situational awareness…what does that feel like</w:t>
      </w:r>
      <w:r w:rsidRPr="0033498A">
        <w:rPr>
          <w:i/>
        </w:rPr>
        <w:t>?</w:t>
      </w:r>
      <w:r w:rsidRPr="00652CEE">
        <w:rPr>
          <w:i/>
        </w:rPr>
        <w:t xml:space="preserve"> how will you know you are </w:t>
      </w:r>
      <w:proofErr w:type="spellStart"/>
      <w:r w:rsidRPr="00652CEE">
        <w:rPr>
          <w:i/>
        </w:rPr>
        <w:t>loosing</w:t>
      </w:r>
      <w:proofErr w:type="spellEnd"/>
      <w:r w:rsidRPr="00652CEE">
        <w:rPr>
          <w:i/>
        </w:rPr>
        <w:t xml:space="preserve"> situational awareness, what techniques you might put in to your system to avoid </w:t>
      </w:r>
      <w:proofErr w:type="spellStart"/>
      <w:r w:rsidRPr="00652CEE">
        <w:rPr>
          <w:i/>
        </w:rPr>
        <w:t>loosing</w:t>
      </w:r>
      <w:proofErr w:type="spellEnd"/>
      <w:r w:rsidRPr="00652CEE">
        <w:rPr>
          <w:i/>
        </w:rPr>
        <w:t xml:space="preserve"> situation awareness or….how would you accept that maybe it is true so that you can offer it back to somebody else and use your team to help you deal with that </w:t>
      </w:r>
      <w:r>
        <w:t>(Interview 10).</w:t>
      </w:r>
    </w:p>
    <w:p w14:paraId="48121627" w14:textId="77777777" w:rsidR="00AF1FB0" w:rsidRDefault="00AF1FB0" w:rsidP="00AF1FB0">
      <w:r>
        <w:t xml:space="preserve">It was incredibly powerful for students to experience cognitive biases, which naturally occurred through the course scenarios. These included deciding on a diagnosis and ignoring clinical signs that did not fit, then concluding with the incorrect diagnosis and treatment. </w:t>
      </w:r>
    </w:p>
    <w:p w14:paraId="78E89FBF" w14:textId="77777777" w:rsidR="00AF1FB0" w:rsidRPr="00396608" w:rsidRDefault="00AF1FB0" w:rsidP="00AF1FB0">
      <w:pPr>
        <w:spacing w:line="240" w:lineRule="auto"/>
        <w:ind w:left="720"/>
        <w:rPr>
          <w:i/>
        </w:rPr>
      </w:pPr>
      <w:r w:rsidRPr="00396608">
        <w:rPr>
          <w:i/>
        </w:rPr>
        <w:t xml:space="preserve">‘I was sure they had had a PE, so yes I was examining but was not really </w:t>
      </w:r>
      <w:r w:rsidRPr="00C96479">
        <w:rPr>
          <w:i/>
        </w:rPr>
        <w:t>listening</w:t>
      </w:r>
      <w:r w:rsidRPr="00396608">
        <w:rPr>
          <w:i/>
        </w:rPr>
        <w:t xml:space="preserve"> as it did not fit with my diagnosis – you should hear air entry with a PE and I couldn’t but thought it was just me getting it wrong as I have never seen a patient with an acute PE. It was important I had a diagnosis so I knew what to do’ (Focus group 5, </w:t>
      </w:r>
      <w:r w:rsidRPr="00C96479">
        <w:rPr>
          <w:i/>
        </w:rPr>
        <w:t>Participant 3).</w:t>
      </w:r>
    </w:p>
    <w:p w14:paraId="0F454A77" w14:textId="77777777" w:rsidR="00AF1FB0" w:rsidRDefault="00AF1FB0" w:rsidP="00AF1FB0">
      <w:r>
        <w:t>Some students asked for the monitor alarms to be ‘switched off’ because they were ‘too distracting’ (Field notes). The consequences were powerful to explore in debriefing. When the students were able to objectively reflect, they started learning how to manage cognitive overload. The temptation was to eliminate anything felt to be overwhelming to free up some mental space. By standing back, employing a structure, considering ‘why’ and troubleshooting, they began to understand it was not always possible to ‘finish’ an assessment neatly.</w:t>
      </w:r>
    </w:p>
    <w:p w14:paraId="7046763E" w14:textId="77777777" w:rsidR="00AF1FB0" w:rsidRDefault="00AF1FB0" w:rsidP="00AF1FB0">
      <w:r>
        <w:t xml:space="preserve">The emotional stress linked with a patient not getting better was reported as </w:t>
      </w:r>
      <w:r w:rsidRPr="000A70AC">
        <w:rPr>
          <w:i/>
        </w:rPr>
        <w:t>‘frustrating’</w:t>
      </w:r>
      <w:r>
        <w:t xml:space="preserve"> and a ‘</w:t>
      </w:r>
      <w:r w:rsidRPr="000A70AC">
        <w:rPr>
          <w:i/>
        </w:rPr>
        <w:t>personal failure’</w:t>
      </w:r>
      <w:r>
        <w:t xml:space="preserve"> because the students felt </w:t>
      </w:r>
      <w:r w:rsidRPr="000A70AC">
        <w:rPr>
          <w:i/>
        </w:rPr>
        <w:t xml:space="preserve">‘they should know </w:t>
      </w:r>
      <w:r w:rsidRPr="000A70AC">
        <w:rPr>
          <w:i/>
        </w:rPr>
        <w:lastRenderedPageBreak/>
        <w:t>what to do’</w:t>
      </w:r>
      <w:r>
        <w:t xml:space="preserve"> (focus group 10, Participant 5). This was visible through body language and communication, which became interspersed with sighs and frowns. Working through and discussing this frustration was vital and facilitated the sharing of faculty experiences and mistakes. Experts also described as a FY1, the feeling of needing to ‘battle on’ with patients despite lack of improvement. This perception of personal failure, on reflection was felt to be </w:t>
      </w:r>
      <w:r w:rsidRPr="000A70AC">
        <w:rPr>
          <w:i/>
        </w:rPr>
        <w:t>‘ridiculous’</w:t>
      </w:r>
      <w:r>
        <w:t xml:space="preserve"> because </w:t>
      </w:r>
      <w:r w:rsidRPr="000A70AC">
        <w:rPr>
          <w:i/>
        </w:rPr>
        <w:t xml:space="preserve">‘sometimes patients just needed escalating’ </w:t>
      </w:r>
      <w:r>
        <w:t xml:space="preserve">(Interview 1). This discovery was something that experts had learnt through experience and mistakes, </w:t>
      </w:r>
      <w:proofErr w:type="spellStart"/>
      <w:r>
        <w:t>where as</w:t>
      </w:r>
      <w:proofErr w:type="spellEnd"/>
      <w:r>
        <w:t xml:space="preserve"> the simulated environment had allowed these rich opportunities for students and was safe for patients.</w:t>
      </w:r>
    </w:p>
    <w:p w14:paraId="5A331F82" w14:textId="77777777" w:rsidR="00AF1FB0" w:rsidRPr="00DE63A4" w:rsidRDefault="00AF1FB0" w:rsidP="00AF1FB0">
      <w:r>
        <w:t>This practice, training, reflection and feedback with role modelling and sharing of mistakes, were felt to be key to allowing the development of ‘</w:t>
      </w:r>
      <w:r w:rsidRPr="000A70AC">
        <w:rPr>
          <w:i/>
        </w:rPr>
        <w:t xml:space="preserve">fitness to think, process and act’ </w:t>
      </w:r>
      <w:r>
        <w:t xml:space="preserve">(Interview 3). Experts did not feel it was implicit; that it needed to be learnt. A lot of memories for experts were emotionally charged with patients and relationships. Descriptions about how they felt were humbling and details were incredibly specific when recounting the experiences. If this level of emotional responsibility for patients could be recreated though simulation it was felt to be of huge benefit. Interestingly students did report to feel </w:t>
      </w:r>
      <w:r w:rsidRPr="000A70AC">
        <w:rPr>
          <w:i/>
        </w:rPr>
        <w:t xml:space="preserve">‘like a real FY1 looking after a patient’ </w:t>
      </w:r>
      <w:r>
        <w:t xml:space="preserve">(IMASS course feedback). There were also physiological signs and experienced symptoms observed and reported with candidates sweating, pupils dilating, reporting ‘feeling their heart race’ (Field notes form final IMASS course and focus group 4). The ability to run four or five scenarios back-to-back also meant that strategies discussed at each debrief could be put into practice in the next scenario (Experiential Learning). </w:t>
      </w:r>
    </w:p>
    <w:p w14:paraId="764CA925" w14:textId="77777777" w:rsidR="00AF1FB0" w:rsidRDefault="00AF1FB0" w:rsidP="00AF1FB0">
      <w:r>
        <w:lastRenderedPageBreak/>
        <w:t xml:space="preserve">‘Cognitive processes’ were further divided into ‘how to think’, which included development of a framework, strategy or structure, which in turn came back to the development of individual ‘fitness to think’. </w:t>
      </w:r>
    </w:p>
    <w:p w14:paraId="7601F85C" w14:textId="77777777" w:rsidR="00AF1FB0" w:rsidRPr="00652CEE" w:rsidRDefault="00AF1FB0" w:rsidP="00AF1FB0">
      <w:pPr>
        <w:spacing w:line="240" w:lineRule="auto"/>
        <w:ind w:left="720"/>
        <w:rPr>
          <w:rFonts w:cs="Arial"/>
        </w:rPr>
      </w:pPr>
      <w:r w:rsidRPr="00652CEE">
        <w:rPr>
          <w:rFonts w:cs="Arial"/>
          <w:i/>
        </w:rPr>
        <w:t>‘I think we don’t have the philosophy right, it is about looking at yourself continuously and wanting to improve yourself continuously and getting that as a frame for coming to simulation days practice’</w:t>
      </w:r>
      <w:r w:rsidRPr="00652CEE">
        <w:rPr>
          <w:rFonts w:cs="Arial"/>
        </w:rPr>
        <w:t xml:space="preserve"> (Interview 3).</w:t>
      </w:r>
    </w:p>
    <w:p w14:paraId="44A1CE71" w14:textId="77777777" w:rsidR="00AF1FB0" w:rsidRDefault="00AF1FB0" w:rsidP="00AF1FB0">
      <w:pPr>
        <w:spacing w:line="240" w:lineRule="auto"/>
        <w:ind w:left="720"/>
        <w:rPr>
          <w:rFonts w:cs="Arial"/>
        </w:rPr>
      </w:pPr>
      <w:r w:rsidRPr="00652CEE">
        <w:rPr>
          <w:rFonts w:cs="Arial"/>
          <w:i/>
        </w:rPr>
        <w:t>‘We always talk about ‘fit to work’ or ‘prepared to practice’ but I think and would say it is ‘fit to Think’, because we can't predict. When I look back, when I was trained it was a Fairly Traditional Based Curriculum, where you got all the knowledge, then you went and applied it in practice, but at least you knew what you did and did not know. I think It is challenging because of the knowledge explosion and what it is we should be teaching our students is about how to think, because we can’t prepare them for the next 40 years, as we don’t know what's around the corner…Doctors are very intelligent people, we take the cream of school leavers, but sometimes I feel we are turning them into non-thinking machines’</w:t>
      </w:r>
      <w:r w:rsidRPr="00652CEE">
        <w:rPr>
          <w:rFonts w:cs="Arial"/>
        </w:rPr>
        <w:t xml:space="preserve"> (Interview 3).</w:t>
      </w:r>
    </w:p>
    <w:p w14:paraId="0E79A9FC" w14:textId="77777777" w:rsidR="00AF1FB0" w:rsidRPr="00E74B39" w:rsidRDefault="00AF1FB0" w:rsidP="00AF1FB0">
      <w:pPr>
        <w:spacing w:line="240" w:lineRule="auto"/>
        <w:ind w:left="720"/>
        <w:rPr>
          <w:rFonts w:cs="Arial"/>
        </w:rPr>
      </w:pPr>
      <w:r>
        <w:rPr>
          <w:rFonts w:cs="Arial"/>
          <w:i/>
        </w:rPr>
        <w:t xml:space="preserve">‘I thought that I should not call for help until I had done everything, the patient was deteriorating and I started to panic, then I could not think, I could not remember what I should do or how to do it. When the nurse said should I call for help it was very obvious I needed help then I was able to </w:t>
      </w:r>
      <w:proofErr w:type="spellStart"/>
      <w:r>
        <w:rPr>
          <w:rFonts w:cs="Arial"/>
          <w:i/>
        </w:rPr>
        <w:t>re focus</w:t>
      </w:r>
      <w:proofErr w:type="spellEnd"/>
      <w:r>
        <w:rPr>
          <w:rFonts w:cs="Arial"/>
          <w:i/>
        </w:rPr>
        <w:t xml:space="preserve">. Now I know that feeling, I know to step out of the situation and get help because the patient is unwell’ </w:t>
      </w:r>
      <w:r w:rsidRPr="00AA7FAC">
        <w:rPr>
          <w:rFonts w:cs="Arial"/>
        </w:rPr>
        <w:t>(Focus group 7, Candidate 4).</w:t>
      </w:r>
    </w:p>
    <w:p w14:paraId="6C7ACF5B" w14:textId="77777777" w:rsidR="00AF1FB0" w:rsidRDefault="00AF1FB0" w:rsidP="00AF1FB0">
      <w:r>
        <w:t xml:space="preserve">‘Fitness to think’ suggests it requires training, demonstration of a structure and opportunity to practice with the structure under pressure. This pressure allowed ‘cognitive biases’ and human factors elements to emerge and be experienced. The distraction of cognitive biases with attempts to divert from the framework were experienced, then how to reset and return to the structure to stay safe was learnt (Field notes). </w:t>
      </w:r>
    </w:p>
    <w:p w14:paraId="3E71D9B5" w14:textId="77777777" w:rsidR="00AF1FB0" w:rsidRDefault="00AF1FB0" w:rsidP="00AF1FB0">
      <w:r>
        <w:t xml:space="preserve">‘How to think’ also included ‘flexibility in thought’, in terms of having a structure and awareness of protocols but being flexible enough to know when and how to use them. This was linked to consequence learning, a cognitive timeout or </w:t>
      </w:r>
      <w:r>
        <w:lastRenderedPageBreak/>
        <w:t xml:space="preserve">pause to consider options and outcomes and allow oneself to question ‘am I on the right track?’ (Field notes). At this point using a summary of the clinical evidence out loud to immediate team or over the phone seemed to either allow confirmation of likely diagnosis or question it (Field notes). </w:t>
      </w:r>
    </w:p>
    <w:p w14:paraId="30B9D424" w14:textId="77777777" w:rsidR="00AF1FB0" w:rsidRPr="00EB5D85" w:rsidRDefault="00AF1FB0" w:rsidP="00AF1FB0">
      <w:pPr>
        <w:spacing w:line="240" w:lineRule="auto"/>
        <w:ind w:left="720"/>
        <w:rPr>
          <w:i/>
        </w:rPr>
      </w:pPr>
      <w:r w:rsidRPr="00EB5D85">
        <w:rPr>
          <w:i/>
        </w:rPr>
        <w:t xml:space="preserve">‘I am not used to saying what I am thinking out </w:t>
      </w:r>
      <w:proofErr w:type="spellStart"/>
      <w:r w:rsidRPr="00EB5D85">
        <w:rPr>
          <w:i/>
        </w:rPr>
        <w:t>load</w:t>
      </w:r>
      <w:proofErr w:type="spellEnd"/>
      <w:r w:rsidRPr="00EB5D85">
        <w:rPr>
          <w:i/>
        </w:rPr>
        <w:t>… but when I saw others doing it</w:t>
      </w:r>
      <w:r>
        <w:rPr>
          <w:i/>
        </w:rPr>
        <w:t xml:space="preserve"> after debriefing</w:t>
      </w:r>
      <w:r w:rsidRPr="00EB5D85">
        <w:rPr>
          <w:i/>
        </w:rPr>
        <w:t xml:space="preserve">, the nurses helped a lot more as they </w:t>
      </w:r>
      <w:proofErr w:type="spellStart"/>
      <w:r w:rsidRPr="00EB5D85">
        <w:rPr>
          <w:i/>
        </w:rPr>
        <w:t>understoood</w:t>
      </w:r>
      <w:proofErr w:type="spellEnd"/>
      <w:r w:rsidRPr="00EB5D85">
        <w:rPr>
          <w:i/>
        </w:rPr>
        <w:t xml:space="preserve"> what they were concerned about and were able to help’ </w:t>
      </w:r>
      <w:r w:rsidRPr="0085587F">
        <w:t>(Focus group 4, Candidate 3).</w:t>
      </w:r>
    </w:p>
    <w:p w14:paraId="640C2552" w14:textId="77777777" w:rsidR="00AF1FB0" w:rsidRDefault="00AF1FB0" w:rsidP="00AF1FB0">
      <w:r>
        <w:t>Having this time and space still allowed for fast thinking and decision-making but informed decisions which were safer. Too much deliberation and fear of ‘getting it wrong’ did sometimes lead to lack of decision-making and delay in treatment (Field notes, focus groups 10, 14). Students were slower to come back to structure or protocol and to call for help. These mechanisms appeared of use to everyone, whether unsure and indecisive, overconfident and easily manipulated by cognitive biases or in the middle (Field notes). Interestingly, cognitive biases affected everyone in different ways, but those students able to make the safest efficient progress were those quick to recognise they were stuck after assessing or openly announcing they were unsure. This triggered an open summary and exploration of evidence to support or refute diagnosis, or to call for help to move on (Field notes and case notes final intervention study).</w:t>
      </w:r>
    </w:p>
    <w:p w14:paraId="41009620" w14:textId="77777777" w:rsidR="00AF1FB0" w:rsidRDefault="00AF1FB0" w:rsidP="00AF1FB0">
      <w:r>
        <w:t xml:space="preserve">‘How to access knowledge’ was the second sub-theme related to cognitive processes and was felt to be linked to patient safety and self-protection. Though the students often had the knowledge, when put under pressure and made responsible, some were overwhelmed and said they had ‘gone blank’ or were not sure what to do (Field notes). Once they had practiced in this environment </w:t>
      </w:r>
      <w:r>
        <w:lastRenderedPageBreak/>
        <w:t xml:space="preserve">of pressure they could avoid the phase of ‘blankness’ and were aware how it felt entering into it, to pull back and get help earlier (Field notes). This had the impact of reducing stress and the feeling of ‘being alone’ on the job and feeling ‘they should cope’ (focus groups 3, 4). </w:t>
      </w:r>
    </w:p>
    <w:p w14:paraId="4E8C3393" w14:textId="77777777" w:rsidR="00AF1FB0" w:rsidRDefault="00AF1FB0" w:rsidP="00AF1FB0">
      <w:pPr>
        <w:spacing w:line="240" w:lineRule="auto"/>
        <w:ind w:left="720"/>
      </w:pPr>
      <w:r w:rsidRPr="00652CEE">
        <w:rPr>
          <w:i/>
        </w:rPr>
        <w:t xml:space="preserve">‘I can do cannulas…I have done them before, I have never left the tourniquet on. I was distracted by everything else and forgot. If I had not done this I would not be aware that could happen to me, so I will make sure I have my own check list to ensure I never do that again. It was stressful, but I needed it to be so now I have a better understanding of </w:t>
      </w:r>
      <w:r w:rsidRPr="00621C01">
        <w:rPr>
          <w:i/>
        </w:rPr>
        <w:t xml:space="preserve">the risks’ </w:t>
      </w:r>
      <w:r w:rsidRPr="0085587F">
        <w:t>(Focus group 3, Candidate 2).</w:t>
      </w:r>
    </w:p>
    <w:p w14:paraId="73A36218" w14:textId="77777777" w:rsidR="00AF1FB0" w:rsidRDefault="00AF1FB0" w:rsidP="00AF1FB0">
      <w:r>
        <w:t xml:space="preserve">The next subtheme ‘experience loss of situational awareness’, highlighted the importance of experiencing this. There had been discussion about the importance of teaching the ‘science of human factors’, which would include this concept. However, actually experiencing the impact of it, then discussing it through debriefing was felt to be hugely powerful to help change behaviour (interview 6 and focus groups 3, 5,10). </w:t>
      </w:r>
    </w:p>
    <w:p w14:paraId="5DF72ECC" w14:textId="77777777" w:rsidR="00AF1FB0" w:rsidRDefault="00AF1FB0" w:rsidP="00AF1FB0">
      <w:pPr>
        <w:spacing w:line="240" w:lineRule="auto"/>
        <w:ind w:left="720"/>
      </w:pPr>
      <w:r w:rsidRPr="00652CEE">
        <w:rPr>
          <w:i/>
        </w:rPr>
        <w:t xml:space="preserve">‘I was at a crash call yesterday and I saw what everyone did… the number of people…. What needed to happen. Yet when I was faced with my patient about to have a cardiac arrest I did not think to call the crash team…. I think I panicked and went blank….I did not appreciate how unwell they were, how quickly they would deteriorate and how long it may take to get help to arrive. Until I have been under that pressure and practised I would not have known what to do, even though I had observed this the day </w:t>
      </w:r>
      <w:r w:rsidRPr="00621C01">
        <w:rPr>
          <w:i/>
        </w:rPr>
        <w:t xml:space="preserve">before’ </w:t>
      </w:r>
      <w:r w:rsidRPr="0085587F">
        <w:t>(Focus group 3, Candidate 5).</w:t>
      </w:r>
    </w:p>
    <w:p w14:paraId="6ECB4084" w14:textId="77777777" w:rsidR="00AF1FB0" w:rsidRPr="008E6443" w:rsidRDefault="00AF1FB0" w:rsidP="00AF1FB0">
      <w:r>
        <w:t>It was felt to support development of self-correction and minimise the impact of loss of situation awareness, both linked to patient safety (Field notes, interviews 2,6,8).</w:t>
      </w:r>
    </w:p>
    <w:p w14:paraId="06770430" w14:textId="77777777" w:rsidR="00AF1FB0" w:rsidRDefault="00AF1FB0" w:rsidP="00AF1FB0">
      <w:r>
        <w:t xml:space="preserve">‘Experience cognitive overload and biases’ were similar to that above, with the idea that to truly understand these elements they needed to be experienced to </w:t>
      </w:r>
      <w:r>
        <w:lastRenderedPageBreak/>
        <w:t xml:space="preserve">create individual and peer learning. Students felt stressed for their colleagues at times and were able to put themselves ‘in their shoes’ when observing, owing to the authenticity of the scenarios and proximity in time to starting as a FY1 (focus group 7). This linked to patient safety, due to being better at managing cognitive overload through having experience of it and knowing how to minimise impact, which was felt to lead to a safer decision-making process and space to make a more careful judgment (Field notes). </w:t>
      </w:r>
    </w:p>
    <w:p w14:paraId="1EE85F36" w14:textId="77777777" w:rsidR="00AF1FB0" w:rsidRDefault="00AF1FB0" w:rsidP="00AF1FB0">
      <w:r>
        <w:t xml:space="preserve">‘Apply knowledge’ was felt to be important in that students and experts reported that they had the knowledge but not the experience of putting it into clinical practice (focus groups 1,2,3,9,15, interviews 3,5,7). </w:t>
      </w:r>
    </w:p>
    <w:p w14:paraId="53994FD1" w14:textId="77777777" w:rsidR="00AF1FB0" w:rsidRDefault="00AF1FB0" w:rsidP="00AF1FB0">
      <w:pPr>
        <w:spacing w:line="240" w:lineRule="auto"/>
        <w:ind w:left="720"/>
      </w:pPr>
      <w:r w:rsidRPr="00652CEE">
        <w:rPr>
          <w:i/>
        </w:rPr>
        <w:t xml:space="preserve">‘I know the importance of completing allergy status on a patient and how to work out what fluids to give… but I forgot to do it on this patient and I prescribed antibiotics that they were allergic to. It has made me realise how complex things are on the ward and how much there is to think about. We have not had to do this on the ward and put it all together but in exams I </w:t>
      </w:r>
      <w:r w:rsidRPr="00621C01">
        <w:rPr>
          <w:i/>
        </w:rPr>
        <w:t xml:space="preserve">remember….’ </w:t>
      </w:r>
      <w:r w:rsidRPr="0085587F">
        <w:t>(focus group 2, Candidate 2).</w:t>
      </w:r>
    </w:p>
    <w:p w14:paraId="3B97DD6B" w14:textId="77777777" w:rsidR="00AF1FB0" w:rsidRDefault="00AF1FB0" w:rsidP="00AF1FB0">
      <w:r>
        <w:t xml:space="preserve">Experts felt that their training had lacked feedback on their decisions - and when they were putting their knowledge into practice (Interviews 1,7,8). Using simulation to create an environment to play out decisions and consequences with structured debriefing filled this gap (Interview 7). It was felt it should be an ongoing process but that creating an example of facilitated debrief may encourage students to seek this out during training in clinical practice (Interview 7). Time and resource pressures were highlighted as limiting factors and the obligatory workplace based learning assessments were felt at times to encourage more superficial reflection and didactic feedback (Interviews 1,4,8). </w:t>
      </w:r>
    </w:p>
    <w:p w14:paraId="4C161934" w14:textId="77777777" w:rsidR="00AF1FB0" w:rsidRDefault="00AF1FB0" w:rsidP="00AF1FB0">
      <w:r>
        <w:lastRenderedPageBreak/>
        <w:t xml:space="preserve">The subthemes within this category included application of knowledge to manage complexity, felt to support skills in prioritisation in a clinical setting. It was felt to represent the importance of being able to ‘synthesise’ pre-gained knowledge in a ‘holistic’ manner, linked to the known complexity of situations, with individual patients with individual needs (Interviews 3,6,7). Post-Final exams, new knowledge would be discovered though experience (focus group 6). </w:t>
      </w:r>
    </w:p>
    <w:p w14:paraId="06D1B6BD" w14:textId="77777777" w:rsidR="00AF1FB0" w:rsidRDefault="00AF1FB0" w:rsidP="00AF1FB0">
      <w:r>
        <w:t>An area of criticism by experts was comparisons of healthcare to the airline industry when discussing complexity and simulation, which they felt were out dated, owing to the complexity of clinical medicine that could not be condensed into mechanical ideas (Interviews 1,3,4,8,9). Interestingly other experts felt lessons could still be learnt and comparisons drawn but knowing where the limitations were, was key (Interviews 1,6,10). There were suggestions that it would be a waste not to learn from years of effective human factors education within the airline industry (Interview 6).  It was felt, in relation to application of knowledge and human factors, that learning should take part within an authentic clinical environment, with the equipment likely to be faced with, to understand pitfalls and complexity. This would allow the opportunity to challenge previous experience, and learn how to approach new environments and equipment in a safe, structured way (Interview 6 and field notes form intervention study).</w:t>
      </w:r>
    </w:p>
    <w:p w14:paraId="365C11C8" w14:textId="77777777" w:rsidR="00AF1FB0" w:rsidRDefault="00AF1FB0" w:rsidP="00AF1FB0">
      <w:r>
        <w:t xml:space="preserve">The final subtheme within ‘cognitive processes’ related to ‘objective self-assessment’, felt to offer a unique opportunity to have an individual timely debrief, which facilitated </w:t>
      </w:r>
      <w:proofErr w:type="spellStart"/>
      <w:r>
        <w:t>self objective</w:t>
      </w:r>
      <w:proofErr w:type="spellEnd"/>
      <w:r>
        <w:t xml:space="preserve"> reflection (Field notes, interviews 1,2,4,5,8,9,10). Where video was available or using examples of timing and </w:t>
      </w:r>
      <w:r>
        <w:lastRenderedPageBreak/>
        <w:t xml:space="preserve">actions, students were able to be objective about their management and behaviour (Field notes). To be encouraged into a place of objectivity about oneself, appeared to allow some ‘light bulb’ moments, where suddenly individuals realised something about their behaviour that may be detrimental to their performance or effectiveness as a clinician. </w:t>
      </w:r>
    </w:p>
    <w:p w14:paraId="0522E413" w14:textId="4ED673EE" w:rsidR="00AF1FB0" w:rsidRPr="00621C01" w:rsidRDefault="00AF1FB0" w:rsidP="00AF1FB0">
      <w:pPr>
        <w:spacing w:line="240" w:lineRule="auto"/>
        <w:ind w:left="720"/>
        <w:rPr>
          <w:i/>
        </w:rPr>
      </w:pPr>
      <w:r w:rsidRPr="00621C01">
        <w:rPr>
          <w:i/>
        </w:rPr>
        <w:t xml:space="preserve">‘I did not realise I could give these drugs as an FY1, I called for help and delayed treatment, I am glad I did that now than on the ward and know what is expected of me, I am very cautious and need to double check things but have learnt how to use other </w:t>
      </w:r>
      <w:r w:rsidR="00345C07" w:rsidRPr="00621C01">
        <w:rPr>
          <w:i/>
        </w:rPr>
        <w:t>resources</w:t>
      </w:r>
      <w:r w:rsidRPr="00621C01">
        <w:rPr>
          <w:i/>
        </w:rPr>
        <w:t xml:space="preserve"> on the ward like anaphylaxis protocol and </w:t>
      </w:r>
      <w:r w:rsidR="00345C07" w:rsidRPr="00621C01">
        <w:rPr>
          <w:i/>
        </w:rPr>
        <w:t>where</w:t>
      </w:r>
      <w:r w:rsidRPr="00621C01">
        <w:rPr>
          <w:i/>
        </w:rPr>
        <w:t xml:space="preserve"> it is to help when I get stuck and want to check’</w:t>
      </w:r>
      <w:r>
        <w:rPr>
          <w:i/>
        </w:rPr>
        <w:t xml:space="preserve"> </w:t>
      </w:r>
      <w:r w:rsidRPr="0085587F">
        <w:t xml:space="preserve">(Focus group 4, Candidate 2). </w:t>
      </w:r>
    </w:p>
    <w:p w14:paraId="26946C25" w14:textId="77777777" w:rsidR="00AF1FB0" w:rsidRDefault="00AF1FB0" w:rsidP="00AF1FB0">
      <w:pPr>
        <w:spacing w:line="240" w:lineRule="auto"/>
        <w:ind w:left="720"/>
      </w:pPr>
      <w:r w:rsidRPr="00652CEE">
        <w:rPr>
          <w:rFonts w:cs="Arial"/>
          <w:i/>
        </w:rPr>
        <w:t>‘</w:t>
      </w:r>
      <w:r w:rsidRPr="00E76F42">
        <w:rPr>
          <w:rFonts w:cs="Arial"/>
          <w:i/>
        </w:rPr>
        <w:t>Y</w:t>
      </w:r>
      <w:r w:rsidRPr="00652CEE">
        <w:rPr>
          <w:rFonts w:cs="Arial"/>
          <w:i/>
        </w:rPr>
        <w:t xml:space="preserve">ou as an observer have a different view from the participant and I had a classic case where someone was in an arrest scenario and they picked up adrenaline but they failed to give it for about three minutes I thought, and as a debriefer I thought this is great we can debrief on that about the distraction </w:t>
      </w:r>
      <w:r w:rsidRPr="0033498A">
        <w:rPr>
          <w:rFonts w:cs="Arial"/>
          <w:i/>
        </w:rPr>
        <w:t>etc.</w:t>
      </w:r>
      <w:r w:rsidRPr="00652CEE">
        <w:rPr>
          <w:rFonts w:cs="Arial"/>
          <w:i/>
        </w:rPr>
        <w:t>, but when we got to the debrief I said something like ‘why did it take you so long to give it?’ and they said ‘no I gave it straight away’ and how do you get out of that?  I'd observed she'd taken a long time and in her experience she'd given it straight away…if you replay that clip and let them see their performance suddenly they are in the perspective of the observer and they can see their performance and you are talking about the same thing, it just hits them suddenly what the issue is without you saying a word. They can be very powerful in that way as long as you use it right’</w:t>
      </w:r>
      <w:r>
        <w:rPr>
          <w:rFonts w:cs="Arial"/>
        </w:rPr>
        <w:t xml:space="preserve"> (Interview 4).</w:t>
      </w:r>
    </w:p>
    <w:p w14:paraId="2705869C" w14:textId="77777777" w:rsidR="00AF1FB0" w:rsidRDefault="00AF1FB0" w:rsidP="00AF1FB0">
      <w:r>
        <w:t xml:space="preserve">They were able to see the impact and understand it in detail, which was felt to trigger powerful behavioural change (Interviews 2,3,4,5,8,9,10, field notes from final intervention study and focus groups 2,6,8,11,15). </w:t>
      </w:r>
    </w:p>
    <w:p w14:paraId="1A09C6DF" w14:textId="77777777" w:rsidR="00AF1FB0" w:rsidRDefault="00AF1FB0" w:rsidP="00AF1FB0">
      <w:pPr>
        <w:spacing w:line="240" w:lineRule="auto"/>
        <w:ind w:left="720"/>
      </w:pPr>
      <w:r w:rsidRPr="00652CEE">
        <w:rPr>
          <w:i/>
        </w:rPr>
        <w:t xml:space="preserve">‘so one small change that they believe is true to them and they will continue to go and do, that contributes to patient safety and quality of patient care, that is a massive deal to that individual, and that is something that rarely happens within medical education, so…that will only happen if you can make….if they believe that is true, if it fits their core beliefs, ‘I will do this because it feels true to me’, there is a chance that they will actually do it and it will continue to be done and it </w:t>
      </w:r>
      <w:proofErr w:type="spellStart"/>
      <w:r w:rsidRPr="00652CEE">
        <w:rPr>
          <w:i/>
        </w:rPr>
        <w:t>wont</w:t>
      </w:r>
      <w:proofErr w:type="spellEnd"/>
      <w:r w:rsidRPr="00652CEE">
        <w:rPr>
          <w:i/>
        </w:rPr>
        <w:t xml:space="preserve"> degrade’</w:t>
      </w:r>
      <w:r>
        <w:t xml:space="preserve"> (Interview 10).</w:t>
      </w:r>
    </w:p>
    <w:p w14:paraId="041F1555" w14:textId="77777777" w:rsidR="00AF1FB0" w:rsidRDefault="00AF1FB0" w:rsidP="00AF1FB0">
      <w:r>
        <w:lastRenderedPageBreak/>
        <w:t>This was felt due to the opportunity for consequence learning and reflections on decisions for action versus inaction, and the facilitated debriefing which allowed the opportunity to ‘deconstruct’ the scenarios, explore, ‘reflect and self-correct’, then ‘reconstruct’ the scenario. This linked well into the idea of ‘scaffolding’, learning in a constructionist way (Interviews 3, 2). The richness of this discovery phase was supported hugely by the different perspectives offered to the student, from the patient, the nurses, faculty and peers.</w:t>
      </w:r>
    </w:p>
    <w:p w14:paraId="378219D3" w14:textId="77777777" w:rsidR="00AF1FB0" w:rsidRPr="001512B4" w:rsidRDefault="00AF1FB0" w:rsidP="00AF1FB0">
      <w:pPr>
        <w:spacing w:line="240" w:lineRule="auto"/>
        <w:ind w:left="720"/>
        <w:rPr>
          <w:i/>
        </w:rPr>
      </w:pPr>
      <w:r w:rsidRPr="001512B4">
        <w:rPr>
          <w:i/>
        </w:rPr>
        <w:t xml:space="preserve">‘It was so useful to be the doctor and look after our patient who was interacting with us and asking questions, then to see how they responded to our actions,  then have time after to ask about why and what happened. We never get to do that on the ward and it is so useful’ (Focus group 8, Candidate 4). </w:t>
      </w:r>
    </w:p>
    <w:p w14:paraId="1525731F" w14:textId="77777777" w:rsidR="00AF1FB0" w:rsidRDefault="00AF1FB0" w:rsidP="00AF1FB0"/>
    <w:p w14:paraId="58BE19F8" w14:textId="77777777" w:rsidR="00AF1FB0" w:rsidRPr="007B78B2" w:rsidRDefault="00AF1FB0" w:rsidP="00AF1FB0">
      <w:pPr>
        <w:pStyle w:val="Heading4"/>
      </w:pPr>
      <w:r w:rsidRPr="005E7E2B">
        <w:rPr>
          <w:i w:val="0"/>
        </w:rPr>
        <w:t xml:space="preserve">Implications </w:t>
      </w:r>
      <w:r w:rsidRPr="006203FA">
        <w:rPr>
          <w:i w:val="0"/>
        </w:rPr>
        <w:t>for the research question</w:t>
      </w:r>
    </w:p>
    <w:p w14:paraId="0FF7114B" w14:textId="77777777" w:rsidR="00AF1FB0" w:rsidRDefault="00AF1FB0" w:rsidP="00AF1FB0"/>
    <w:p w14:paraId="145F27B1" w14:textId="77777777" w:rsidR="00AF1FB0" w:rsidRDefault="00AF1FB0" w:rsidP="00AF1FB0">
      <w:r>
        <w:t>Practice under pressure, learning from consequences and mistakes appear key for preparedness for practice. Simulation-based education allows this opportunity in a safe environment and facilitates human factors and patient safety education through prospective risk analysis.</w:t>
      </w:r>
    </w:p>
    <w:p w14:paraId="218262AE" w14:textId="77777777" w:rsidR="00AF1FB0" w:rsidRDefault="00AF1FB0" w:rsidP="00AF1FB0">
      <w:r>
        <w:t xml:space="preserve">This layering or ‘scaffolding’ </w:t>
      </w:r>
      <w:proofErr w:type="spellStart"/>
      <w:r>
        <w:t>constructionalist</w:t>
      </w:r>
      <w:proofErr w:type="spellEnd"/>
      <w:r>
        <w:t xml:space="preserve"> approach of grading complexity, pressure, responsibility and skills, appears from the data, to be pivotal in helping to prepare students for transition to clinical practice. It is likely to be widely applicable to other professions (Interviews 2,3,8,10, focus groups and field notes from final intervention study). </w:t>
      </w:r>
    </w:p>
    <w:p w14:paraId="22107B97" w14:textId="77777777" w:rsidR="00AF1FB0" w:rsidRDefault="00AF1FB0" w:rsidP="00AF1FB0">
      <w:r>
        <w:lastRenderedPageBreak/>
        <w:t xml:space="preserve">The key features from these data surrounding preparedness suggest that: </w:t>
      </w:r>
    </w:p>
    <w:p w14:paraId="6D62032E" w14:textId="324F02F0" w:rsidR="00AF1FB0" w:rsidRPr="00CE13E3" w:rsidRDefault="00B63639" w:rsidP="00AF1FB0">
      <w:pPr>
        <w:pStyle w:val="ListParagraph"/>
        <w:numPr>
          <w:ilvl w:val="0"/>
          <w:numId w:val="6"/>
        </w:numPr>
        <w:spacing w:line="480" w:lineRule="auto"/>
        <w:rPr>
          <w:rFonts w:cs="Arial"/>
          <w:szCs w:val="24"/>
        </w:rPr>
      </w:pPr>
      <w:r>
        <w:rPr>
          <w:rFonts w:ascii="Arial" w:hAnsi="Arial" w:cs="Arial"/>
          <w:sz w:val="24"/>
          <w:szCs w:val="24"/>
        </w:rPr>
        <w:t>O</w:t>
      </w:r>
      <w:r w:rsidR="00AF1FB0" w:rsidRPr="00652CEE">
        <w:rPr>
          <w:rFonts w:ascii="Arial" w:hAnsi="Arial" w:cs="Arial"/>
          <w:sz w:val="24"/>
          <w:szCs w:val="24"/>
        </w:rPr>
        <w:t xml:space="preserve">pportunities </w:t>
      </w:r>
      <w:r>
        <w:rPr>
          <w:rFonts w:ascii="Arial" w:hAnsi="Arial" w:cs="Arial"/>
          <w:sz w:val="24"/>
          <w:szCs w:val="24"/>
        </w:rPr>
        <w:t xml:space="preserve">need to be offered within the undergraduate curriculum </w:t>
      </w:r>
      <w:r w:rsidR="00AF1FB0" w:rsidRPr="00652CEE">
        <w:rPr>
          <w:rFonts w:ascii="Arial" w:hAnsi="Arial" w:cs="Arial"/>
          <w:sz w:val="24"/>
          <w:szCs w:val="24"/>
        </w:rPr>
        <w:t xml:space="preserve">for graded authentic responsibility for medical students. </w:t>
      </w:r>
    </w:p>
    <w:p w14:paraId="6420E5CF" w14:textId="77777777" w:rsidR="00AF1FB0" w:rsidRPr="00CE13E3" w:rsidRDefault="00AF1FB0" w:rsidP="00AF1FB0">
      <w:pPr>
        <w:pStyle w:val="ListParagraph"/>
        <w:numPr>
          <w:ilvl w:val="0"/>
          <w:numId w:val="6"/>
        </w:numPr>
        <w:spacing w:line="480" w:lineRule="auto"/>
        <w:rPr>
          <w:rFonts w:cs="Arial"/>
          <w:szCs w:val="24"/>
        </w:rPr>
      </w:pPr>
      <w:r w:rsidRPr="00652CEE">
        <w:rPr>
          <w:rFonts w:ascii="Arial" w:hAnsi="Arial" w:cs="Arial"/>
          <w:sz w:val="24"/>
          <w:szCs w:val="24"/>
        </w:rPr>
        <w:t xml:space="preserve">This should be through graded </w:t>
      </w:r>
      <w:r>
        <w:rPr>
          <w:rFonts w:ascii="Arial" w:hAnsi="Arial" w:cs="Arial"/>
          <w:sz w:val="24"/>
          <w:szCs w:val="24"/>
        </w:rPr>
        <w:t>practice</w:t>
      </w:r>
      <w:r w:rsidRPr="00652CEE">
        <w:rPr>
          <w:rFonts w:ascii="Arial" w:hAnsi="Arial" w:cs="Arial"/>
          <w:sz w:val="24"/>
          <w:szCs w:val="24"/>
        </w:rPr>
        <w:t xml:space="preserve"> under pressure in a supported environment with facilitated reflective practice and debriefing, early authentic meaningful </w:t>
      </w:r>
      <w:r>
        <w:rPr>
          <w:rFonts w:ascii="Arial" w:hAnsi="Arial" w:cs="Arial"/>
          <w:sz w:val="24"/>
          <w:szCs w:val="24"/>
        </w:rPr>
        <w:t>interprofessional</w:t>
      </w:r>
      <w:r w:rsidRPr="00652CEE">
        <w:rPr>
          <w:rFonts w:ascii="Arial" w:hAnsi="Arial" w:cs="Arial"/>
          <w:sz w:val="24"/>
          <w:szCs w:val="24"/>
        </w:rPr>
        <w:t xml:space="preserve"> learning that continues throughout training. </w:t>
      </w:r>
    </w:p>
    <w:p w14:paraId="5D1D17D4" w14:textId="77777777" w:rsidR="00AF1FB0" w:rsidRPr="00CE13E3" w:rsidRDefault="00AF1FB0" w:rsidP="00AF1FB0">
      <w:pPr>
        <w:pStyle w:val="ListParagraph"/>
        <w:numPr>
          <w:ilvl w:val="0"/>
          <w:numId w:val="6"/>
        </w:numPr>
        <w:spacing w:line="480" w:lineRule="auto"/>
        <w:rPr>
          <w:rFonts w:cs="Arial"/>
          <w:szCs w:val="24"/>
        </w:rPr>
      </w:pPr>
      <w:r w:rsidRPr="00652CEE">
        <w:rPr>
          <w:rFonts w:ascii="Arial" w:hAnsi="Arial" w:cs="Arial"/>
          <w:sz w:val="24"/>
          <w:szCs w:val="24"/>
        </w:rPr>
        <w:t xml:space="preserve">Human factors education should be embedded within each learning opportunity following a clear explanation about the ‘science’ of human factors and why it is relevant and important. </w:t>
      </w:r>
    </w:p>
    <w:p w14:paraId="402813DB" w14:textId="77777777" w:rsidR="00AF1FB0" w:rsidRDefault="00AF1FB0" w:rsidP="00AF1FB0">
      <w:pPr>
        <w:pStyle w:val="ListParagraph"/>
        <w:numPr>
          <w:ilvl w:val="0"/>
          <w:numId w:val="6"/>
        </w:numPr>
        <w:spacing w:line="480" w:lineRule="auto"/>
        <w:rPr>
          <w:rFonts w:cs="Arial"/>
          <w:szCs w:val="24"/>
        </w:rPr>
      </w:pPr>
      <w:r w:rsidRPr="00116B4A">
        <w:rPr>
          <w:rFonts w:ascii="Arial" w:hAnsi="Arial" w:cs="Arial"/>
          <w:sz w:val="24"/>
          <w:szCs w:val="24"/>
        </w:rPr>
        <w:t>Simulation when designed well and integrated fully - as described with this course - offers rich opportunities to support self-regulation and patient safety.</w:t>
      </w:r>
    </w:p>
    <w:p w14:paraId="5C8E8B5A" w14:textId="77777777" w:rsidR="00AF1FB0" w:rsidRPr="003D65C4" w:rsidRDefault="00AF1FB0" w:rsidP="00AF1FB0"/>
    <w:p w14:paraId="6384F0E2" w14:textId="77777777" w:rsidR="00AF1FB0" w:rsidRDefault="00AF1FB0" w:rsidP="00AF1FB0">
      <w:bookmarkStart w:id="407" w:name="_Toc370767188"/>
      <w:bookmarkStart w:id="408" w:name="_Toc343501234"/>
      <w:bookmarkStart w:id="409" w:name="_Toc348686429"/>
    </w:p>
    <w:p w14:paraId="76E2C810" w14:textId="77777777" w:rsidR="00A90822" w:rsidRDefault="00A90822" w:rsidP="00AF1FB0"/>
    <w:p w14:paraId="752215F4" w14:textId="77777777" w:rsidR="00A90822" w:rsidRDefault="00A90822" w:rsidP="00AF1FB0"/>
    <w:p w14:paraId="37B1337E" w14:textId="77777777" w:rsidR="00A90822" w:rsidRDefault="00A90822" w:rsidP="00AF1FB0"/>
    <w:p w14:paraId="24113A5F" w14:textId="77777777" w:rsidR="00A90822" w:rsidRDefault="00A90822" w:rsidP="00AF1FB0"/>
    <w:p w14:paraId="43F920EF" w14:textId="77777777" w:rsidR="00A90822" w:rsidRPr="00914F2F" w:rsidRDefault="00A90822" w:rsidP="00AF1FB0"/>
    <w:p w14:paraId="7E19EB3C" w14:textId="77777777" w:rsidR="00AF1FB0" w:rsidRDefault="00AF1FB0" w:rsidP="00AF1FB0">
      <w:pPr>
        <w:pStyle w:val="Heading2"/>
      </w:pPr>
      <w:bookmarkStart w:id="410" w:name="_Toc419116201"/>
      <w:r>
        <w:lastRenderedPageBreak/>
        <w:t>How to design and deliver undergraduate simulation education</w:t>
      </w:r>
      <w:bookmarkEnd w:id="407"/>
      <w:bookmarkEnd w:id="410"/>
      <w:r>
        <w:t xml:space="preserve"> </w:t>
      </w:r>
      <w:bookmarkEnd w:id="408"/>
      <w:bookmarkEnd w:id="409"/>
    </w:p>
    <w:p w14:paraId="43625488" w14:textId="77777777" w:rsidR="00AF1FB0" w:rsidRPr="0043624E" w:rsidRDefault="00AF1FB0" w:rsidP="00AF1FB0"/>
    <w:p w14:paraId="2E51C970" w14:textId="76072CA4" w:rsidR="00AF1FB0" w:rsidRDefault="00AF1FB0" w:rsidP="00AF1FB0">
      <w:r>
        <w:t>In order to move conceptual ideas and emergent themes into a practical and transferable format, focus moved to consolidating lessons learnt from experience of designing and developing this simulation-based intervention. By triangulation with multiple stakeholder views, through framework analysis, a best practice guide has been created for SBME curricular design. The initial diagram</w:t>
      </w:r>
      <w:r w:rsidR="00A90822">
        <w:t xml:space="preserve"> presents 11 stages (Figure 8.3</w:t>
      </w:r>
      <w:r>
        <w:t>). Further diagrams in the appendix explain some of these stages in more detail and are divided into planning, learning outcomes, scenario design and how to run a session (Appe</w:t>
      </w:r>
      <w:r w:rsidR="00A90822">
        <w:t>ndix 13</w:t>
      </w:r>
      <w:r>
        <w:t xml:space="preserve">.48). </w:t>
      </w:r>
    </w:p>
    <w:p w14:paraId="60C74345" w14:textId="77777777" w:rsidR="00A90822" w:rsidRDefault="00A90822" w:rsidP="00A90822">
      <w:r>
        <w:t xml:space="preserve">Stage 1 represents the need for a learning needs analysis to determine which area of the curriculum would benefit from this methodology. Preparedness for practice through practice under pressure, human factors education and opportunities for meaningful interprofessional learning, were felt to be key areas that were a challenge to develop using other methodologies. Those commissioning the education would need to be involved at this stage. In addition, General Medical Council and Health Education England frameworks should be used as developmental foundations, as were used here.  </w:t>
      </w:r>
    </w:p>
    <w:p w14:paraId="0C488897" w14:textId="0741C6EF" w:rsidR="00A90822" w:rsidRPr="00503509" w:rsidRDefault="00A90822" w:rsidP="00AF1FB0">
      <w:r>
        <w:t xml:space="preserve">Stage 2, the planning phases, are expanded upon in Appendix 12.48. Consideration is given to when simulation should be used, which was felt to be as early as possible in the undergraduate curriculum (year 1) to introduce concepts with repeated curriculum-mapped episodes from undergraduate into postgraduate training (Framework analysis of triangulated data, field notes). </w:t>
      </w:r>
    </w:p>
    <w:p w14:paraId="12A993F9" w14:textId="77777777" w:rsidR="00AF1FB0" w:rsidRDefault="00AF1FB0" w:rsidP="00AF1FB0">
      <w:pPr>
        <w:keepNext/>
      </w:pPr>
      <w:bookmarkStart w:id="411" w:name="_Toc343501236"/>
      <w:bookmarkStart w:id="412" w:name="_Toc348686431"/>
      <w:r>
        <w:rPr>
          <w:noProof/>
          <w:lang w:val="en-US"/>
        </w:rPr>
        <w:lastRenderedPageBreak/>
        <w:drawing>
          <wp:inline distT="0" distB="0" distL="0" distR="0" wp14:anchorId="0C75B1EF" wp14:editId="6658A99F">
            <wp:extent cx="5377180" cy="8047990"/>
            <wp:effectExtent l="0" t="57150" r="0" b="10541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14:paraId="0E9E7979" w14:textId="77777777" w:rsidR="00AF1FB0" w:rsidRDefault="00AF1FB0" w:rsidP="007000F8">
      <w:pPr>
        <w:pStyle w:val="Caption"/>
      </w:pPr>
      <w:bookmarkStart w:id="413" w:name="_Toc370770376"/>
      <w:bookmarkStart w:id="414" w:name="_Toc419116478"/>
      <w:r>
        <w:t xml:space="preserve">Figure </w:t>
      </w:r>
      <w:r>
        <w:fldChar w:fldCharType="begin"/>
      </w:r>
      <w:r>
        <w:instrText xml:space="preserve"> STYLEREF 1 \s </w:instrText>
      </w:r>
      <w:r>
        <w:fldChar w:fldCharType="separate"/>
      </w:r>
      <w:r w:rsidR="007220A7">
        <w:rPr>
          <w:noProof/>
        </w:rPr>
        <w:t>8</w:t>
      </w:r>
      <w:r>
        <w:fldChar w:fldCharType="end"/>
      </w:r>
      <w:r>
        <w:noBreakHyphen/>
      </w:r>
      <w:r>
        <w:fldChar w:fldCharType="begin"/>
      </w:r>
      <w:r>
        <w:instrText xml:space="preserve"> SEQ Figure \* ARABIC \s 1 </w:instrText>
      </w:r>
      <w:r>
        <w:fldChar w:fldCharType="separate"/>
      </w:r>
      <w:r w:rsidR="007220A7">
        <w:rPr>
          <w:noProof/>
        </w:rPr>
        <w:t>3</w:t>
      </w:r>
      <w:r>
        <w:fldChar w:fldCharType="end"/>
      </w:r>
      <w:r>
        <w:t xml:space="preserve"> Eleven stages involved in designing and delivering a SBME intervention</w:t>
      </w:r>
      <w:bookmarkEnd w:id="413"/>
      <w:bookmarkEnd w:id="414"/>
    </w:p>
    <w:bookmarkEnd w:id="411"/>
    <w:bookmarkEnd w:id="412"/>
    <w:p w14:paraId="39A1D1AE" w14:textId="01797839" w:rsidR="00AF1FB0" w:rsidRDefault="00AF1FB0" w:rsidP="00AF1FB0">
      <w:r>
        <w:lastRenderedPageBreak/>
        <w:t xml:space="preserve">‘Where’, included facilities available and locality (education versus simulation centre), as well as feasibility of releasing clinical staff form the ward versus in situ, with its own challenges of transporting equipment, complexity of the ward areas and no guarantee of space (Triangulated data, field notes). Fidelity, was key in terms of environment, equipment and psychological. </w:t>
      </w:r>
    </w:p>
    <w:p w14:paraId="0FF5DA47" w14:textId="78CFD0C7" w:rsidR="00AF1FB0" w:rsidRDefault="00AF1FB0" w:rsidP="00AF1FB0">
      <w:r>
        <w:t xml:space="preserve">‘Who’, included all undergraduates learning </w:t>
      </w:r>
      <w:proofErr w:type="spellStart"/>
      <w:r>
        <w:t>interprofessionally</w:t>
      </w:r>
      <w:proofErr w:type="spellEnd"/>
      <w:r>
        <w:t xml:space="preserve"> in their authentic roles. Personal learning was key, highlighting the importance of learning preferences, remaining empathic to learners and clarification of expectations. It was felt mostly by students but also by some experts that in years 1 to 2, students could work in pairs. From year 3 onwards they should be working one-to-one with the simulated patient and team to develop responsibili</w:t>
      </w:r>
      <w:r w:rsidR="00345C07">
        <w:t>ty, professional identity, team</w:t>
      </w:r>
      <w:r>
        <w:t>working skills and self-regulation (Framework analysis of triangulated data, field notes).</w:t>
      </w:r>
    </w:p>
    <w:p w14:paraId="65C39601" w14:textId="77777777" w:rsidR="00AF1FB0" w:rsidRDefault="00AF1FB0" w:rsidP="00AF1FB0">
      <w:r>
        <w:t xml:space="preserve">Stage 3 moves into methodology and incorporates learning needs analysis, appropriate curriculum mapping, understanding of experiential learning as well as transitional educational theory. Equipment and fidelity arose here and the importance of ensuring the method of simulation involved creating appropriately graded pressure and the interfaces required, for human factors understanding and education. </w:t>
      </w:r>
    </w:p>
    <w:p w14:paraId="1B5E97C1" w14:textId="2B3E5257" w:rsidR="00AF1FB0" w:rsidRDefault="00AF1FB0" w:rsidP="00AF1FB0">
      <w:r>
        <w:t xml:space="preserve">Stage 4 included the consideration of ‘time’ in terms of length of simulated sessions, with a maximum of half a day advised for faculty and students. The experience was reported as tiring, when having to employ a lot of concentration exploring behaviours, being facilitative and giving specific examples. Time for </w:t>
      </w:r>
      <w:r>
        <w:lastRenderedPageBreak/>
        <w:t>environment and mannequin familiarisation was emphasised, to make participants feel comfortable, know what to expect and how to access help, to improve immersion and engagement. It was expressed universally, that the debrief time should be equal to the scenario time, as of equal importance. Time and space were highlighted as impo</w:t>
      </w:r>
      <w:r w:rsidR="00D6777D">
        <w:t>rtant in the debrief, to allow c</w:t>
      </w:r>
      <w:r>
        <w:t>andidates to come out of the simulation experience, then have time to reflect and facilitate their discovery, understanding and learning. Time at the end of each session was felt vital, to consolidate learning outcomes and any key points.</w:t>
      </w:r>
    </w:p>
    <w:p w14:paraId="16F09677" w14:textId="77777777" w:rsidR="00AF1FB0" w:rsidRDefault="00AF1FB0" w:rsidP="00AF1FB0">
      <w:r>
        <w:t xml:space="preserve">Faculty was included here, in terms of availability and training to quality assure. It was felt that mentoring was key and should be planned in with any new faculty. </w:t>
      </w:r>
    </w:p>
    <w:p w14:paraId="26C9146C" w14:textId="77BFD1B1" w:rsidR="00AF1FB0" w:rsidRDefault="00A90822" w:rsidP="00AF1FB0">
      <w:r>
        <w:t>Stage 5 (Appendix 13</w:t>
      </w:r>
      <w:r w:rsidR="00AF1FB0">
        <w:t xml:space="preserve">.48) was concerned with learning outcomes, which should be driven by GMC and HEE initiative, curriculum-mapped, contextualised, specific, transparent and clear. It was vital to be honest and clear about what could be achieved in each session and shared with participants. It was felt achievable to aim for a maximum of five learning outcomes per scenario. Two to three may be tutor generated, allowing participant generation and emergence for those remaining. Sharing and aligning learning outcomes with students, allowed openness and negotiation from the start, facilitating trust and respect, felt important for enhancing belonging. Flexibility and reactivity in faculty was felt to be important here and the need to use emotional intelligence and judgment. This supported the move away from protocolised thinking and the tick box mentality that does not embrace the emergence and discovery that simulation allows. Finally the embedding of patient safety values, human factors </w:t>
      </w:r>
      <w:r w:rsidR="00AF1FB0">
        <w:lastRenderedPageBreak/>
        <w:t xml:space="preserve">and technical plus non-technical skills were considered key by all parties, to allow authentic experience of personal challenge and complexity. It was seen to be possible to teach students to be aware, take ownership and learn to take control (Field notes and triangulated data). </w:t>
      </w:r>
    </w:p>
    <w:p w14:paraId="0B2127C3" w14:textId="66F34CF8" w:rsidR="00AF1FB0" w:rsidRDefault="00A90822" w:rsidP="00AF1FB0">
      <w:r>
        <w:t>Stages 6 to 8 (Appendix 13</w:t>
      </w:r>
      <w:r w:rsidR="00AF1FB0">
        <w:t xml:space="preserve">.48) were concerned with scenario design, revealing an iterative process that required evaluation. It was important to pilot scenarios with appropriate participants and faculty to gain feedback to inform changes required. How students felt did affect how they learnt and engaged, so confidence, empowerment, support and safety were all important to create an effective educational session (Field notes and focus groups). Simple clear learning outcomes began the scenario design process, followed by confirmation of equipment and level of simulation required, including a script for an actor or patient voice. Attention to level of pressure required and prompts to adjust pressure within the scenario were advocated. Faculty required clinical credibility, appropriate level of training and mentoring and minimum number required to ensure interprofessional learning. The scenario was required to be appropriate for the candidate level, to support authenticity and immersion. Peer involvement to encourage critical thinking,  decision-making and problem solving was important, for example sharing results and asking peers to interpret and consider what they would do (Field notes). This was easier if in a different room with additional faculty. </w:t>
      </w:r>
    </w:p>
    <w:p w14:paraId="11FF23FB" w14:textId="77777777" w:rsidR="00AF1FB0" w:rsidRDefault="00AF1FB0" w:rsidP="00AF1FB0">
      <w:r>
        <w:t xml:space="preserve">Consideration of resources required and cost was key. During this course, part-task trainers were used to perform skills, owing to the expense of mannequin </w:t>
      </w:r>
      <w:r>
        <w:lastRenderedPageBreak/>
        <w:t xml:space="preserve">consumables. Any actors had to be credible, with experience of the patient scenario and been well briefed. </w:t>
      </w:r>
    </w:p>
    <w:p w14:paraId="04141A3F" w14:textId="77777777" w:rsidR="00AF1FB0" w:rsidRDefault="00AF1FB0" w:rsidP="00AF1FB0">
      <w:r>
        <w:t>Achievement of psychological fidelity in each scenario was discussed and the importance of faculty buy-in. Though a well-written scenario was the foundation, the importance of flexibility and remaining dynamic to participant’s behaviour and actions allowed the scenario to unfold, vital for consequence learning. Finally owing to the ongoing nature of evidence-based practice, those involved in simulation regularly felt this was the time to consider research opportunities (Interviews 2,5,9,10).</w:t>
      </w:r>
    </w:p>
    <w:p w14:paraId="123F8FFF" w14:textId="56E64917" w:rsidR="00AF1FB0" w:rsidRDefault="00AF1FB0" w:rsidP="00AF1FB0">
      <w:r>
        <w:t>Stage 8 represented the delivery of a SBME intervention (Figure 8</w:t>
      </w:r>
      <w:r w:rsidR="00A90822">
        <w:t>.4</w:t>
      </w:r>
      <w:r>
        <w:t>). The starting point involved briefing faculty and actors. An environment and equipment check performed and confirmation on closure method for session and scenarios. Introduction of the session followed, to include the learner or fiction contract surrounding psychological fidelity, the patient would be treated as a patient. There was opportunity to share expectations, ground rules including the duty to report any concerning behaviour. This was followed by environment and mannequin familiarisation (ten minutes), to allow the well patient to be examined, introduce the team and how to call for help. Following this, learning outcomes were shared, negotiated, agreed and aligned allowing discussion about what was achievable. Creation of a safe and comfortable environment was achieved through confidentiality, introduction of all team and faculty, detail of how to call for help.</w:t>
      </w:r>
    </w:p>
    <w:p w14:paraId="68E7E416" w14:textId="77777777" w:rsidR="00AF1FB0" w:rsidRDefault="00AF1FB0" w:rsidP="00AF1FB0">
      <w:pPr>
        <w:keepNext/>
      </w:pPr>
      <w:r>
        <w:rPr>
          <w:noProof/>
          <w:lang w:val="en-US"/>
        </w:rPr>
        <w:lastRenderedPageBreak/>
        <w:drawing>
          <wp:inline distT="0" distB="0" distL="0" distR="0" wp14:anchorId="6D50A704" wp14:editId="6ABAA24E">
            <wp:extent cx="5262880" cy="8162290"/>
            <wp:effectExtent l="38100" t="19050" r="13970" b="29210"/>
            <wp:docPr id="64" name="Diagram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inline>
        </w:drawing>
      </w:r>
    </w:p>
    <w:p w14:paraId="23261BC7" w14:textId="77777777" w:rsidR="00AF1FB0" w:rsidRDefault="00AF1FB0" w:rsidP="007000F8">
      <w:pPr>
        <w:pStyle w:val="Caption"/>
      </w:pPr>
      <w:bookmarkStart w:id="415" w:name="_Toc370770377"/>
      <w:bookmarkStart w:id="416" w:name="_Toc419116479"/>
      <w:r>
        <w:t xml:space="preserve">Figure </w:t>
      </w:r>
      <w:r>
        <w:fldChar w:fldCharType="begin"/>
      </w:r>
      <w:r>
        <w:instrText xml:space="preserve"> STYLEREF 1 \s </w:instrText>
      </w:r>
      <w:r>
        <w:fldChar w:fldCharType="separate"/>
      </w:r>
      <w:r w:rsidR="007220A7">
        <w:rPr>
          <w:noProof/>
        </w:rPr>
        <w:t>8</w:t>
      </w:r>
      <w:r>
        <w:fldChar w:fldCharType="end"/>
      </w:r>
      <w:r>
        <w:noBreakHyphen/>
      </w:r>
      <w:r>
        <w:fldChar w:fldCharType="begin"/>
      </w:r>
      <w:r>
        <w:instrText xml:space="preserve"> SEQ Figure \* ARABIC \s 1 </w:instrText>
      </w:r>
      <w:r>
        <w:fldChar w:fldCharType="separate"/>
      </w:r>
      <w:r w:rsidR="007220A7">
        <w:rPr>
          <w:noProof/>
        </w:rPr>
        <w:t>4</w:t>
      </w:r>
      <w:r>
        <w:fldChar w:fldCharType="end"/>
      </w:r>
      <w:r>
        <w:t xml:space="preserve"> Stage 8: delivery of a SBME session</w:t>
      </w:r>
      <w:bookmarkEnd w:id="415"/>
      <w:bookmarkEnd w:id="416"/>
    </w:p>
    <w:p w14:paraId="37AF1AE9" w14:textId="77777777" w:rsidR="00A90822" w:rsidRDefault="00A90822" w:rsidP="00A90822">
      <w:r>
        <w:lastRenderedPageBreak/>
        <w:t xml:space="preserve">Scenarios were run with potential audio-visual support depending on the setting. Faculty were required to actively observe and remain perceptive to body language, tone of voice and behaviour, to allow intervention, adjusting pressure and complexity in a tailored manner where required. The faculty member leading the debrief took note of timings of events, with focus on human factors and patient safety, which linked to bookmarked video clips if available. Scenarios were at least 10 minutes in length to allow participants to settle into the environment and make some progress. </w:t>
      </w:r>
    </w:p>
    <w:p w14:paraId="53A83848" w14:textId="77777777" w:rsidR="00A90822" w:rsidRDefault="00A90822" w:rsidP="00A90822">
      <w:r>
        <w:t xml:space="preserve">It was useful for faculty and peers to reflect in action prior to the close of the scenario about whether learning outcomes have been achieved and areas to focus on in the debrief. This was time to reflect on own mistakes and anecdotes linked to the scenario, to role model openness, create belonging and access to the hierarchy. How to bring in other learners during the debrief was considered. </w:t>
      </w:r>
    </w:p>
    <w:p w14:paraId="7784019D" w14:textId="77777777" w:rsidR="00A90822" w:rsidRDefault="00A90822" w:rsidP="00A90822">
      <w:r>
        <w:t xml:space="preserve">Closure of the scenario used pre-discussed strategies. It was important to allow a conclusion, either with a referral or handover. If this had not been participant triggered, it was possible to phone or send in faculty. </w:t>
      </w:r>
    </w:p>
    <w:p w14:paraId="1E3ECD9D" w14:textId="77777777" w:rsidR="00A90822" w:rsidRDefault="00A90822" w:rsidP="00A90822">
      <w:r>
        <w:t xml:space="preserve">The key components of the debrief were to allow the participant to unwind and then facilitate discovery and understanding of own behaviour and actions. The use of a model was discussed and the importance of summarising learning outcomes and realigning with the group highlighted. This is expanded upon on section 8.3.1. </w:t>
      </w:r>
    </w:p>
    <w:p w14:paraId="08045778" w14:textId="143E2573" w:rsidR="00AF1FB0" w:rsidRDefault="00A90822" w:rsidP="00AF1FB0">
      <w:r>
        <w:t xml:space="preserve">The final step was to evaluate the scenario from a faculty point of view to consider whether learning outcomes were achieved and if not why, consider </w:t>
      </w:r>
      <w:r>
        <w:lastRenderedPageBreak/>
        <w:t xml:space="preserve">whether the level of pressure had been optimum for learning and discussions on how to improve and adjust prior to re-running. </w:t>
      </w:r>
    </w:p>
    <w:p w14:paraId="2F2F6E44" w14:textId="77777777" w:rsidR="00A90822" w:rsidRPr="008E77E8" w:rsidRDefault="00A90822" w:rsidP="00AF1FB0"/>
    <w:p w14:paraId="299C5696" w14:textId="77777777" w:rsidR="00AF1FB0" w:rsidRDefault="00AF1FB0" w:rsidP="00AF1FB0">
      <w:pPr>
        <w:pStyle w:val="Heading3"/>
      </w:pPr>
      <w:bookmarkStart w:id="417" w:name="_Toc343501237"/>
      <w:bookmarkStart w:id="418" w:name="_Toc348686432"/>
      <w:bookmarkStart w:id="419" w:name="_Toc370767189"/>
      <w:bookmarkStart w:id="420" w:name="_Toc419116202"/>
      <w:r>
        <w:t>The debrief</w:t>
      </w:r>
      <w:bookmarkEnd w:id="417"/>
      <w:bookmarkEnd w:id="418"/>
      <w:bookmarkEnd w:id="419"/>
      <w:bookmarkEnd w:id="420"/>
    </w:p>
    <w:p w14:paraId="6DB2709C" w14:textId="77777777" w:rsidR="00AF1FB0" w:rsidRDefault="00AF1FB0" w:rsidP="00AF1FB0"/>
    <w:p w14:paraId="719712BF" w14:textId="0F9E7ACA" w:rsidR="00AF1FB0" w:rsidRDefault="00AF1FB0" w:rsidP="00AF1FB0">
      <w:r>
        <w:t>When exploring the debrief for SBME, there were found to be rich conversations from experts and huge value perceived by students. There were seven emergent themes from framework analysis o</w:t>
      </w:r>
      <w:r w:rsidR="00A90822">
        <w:t>f triangulated data (Figure 8.5</w:t>
      </w:r>
      <w:r>
        <w:t>):</w:t>
      </w:r>
    </w:p>
    <w:p w14:paraId="4BB70FD0" w14:textId="77777777" w:rsidR="00AF1FB0" w:rsidRPr="003C1F62" w:rsidRDefault="00AF1FB0" w:rsidP="00AF1FB0">
      <w:pPr>
        <w:pStyle w:val="ListParagraph"/>
        <w:numPr>
          <w:ilvl w:val="0"/>
          <w:numId w:val="13"/>
        </w:numPr>
        <w:spacing w:line="480" w:lineRule="auto"/>
        <w:rPr>
          <w:rFonts w:cs="Arial"/>
          <w:szCs w:val="24"/>
        </w:rPr>
      </w:pPr>
      <w:r w:rsidRPr="006B027F">
        <w:rPr>
          <w:rFonts w:ascii="Arial" w:hAnsi="Arial" w:cs="Arial"/>
          <w:sz w:val="24"/>
          <w:szCs w:val="24"/>
        </w:rPr>
        <w:t>Practicalities</w:t>
      </w:r>
      <w:r>
        <w:rPr>
          <w:rFonts w:ascii="Arial" w:hAnsi="Arial" w:cs="Arial"/>
          <w:sz w:val="24"/>
          <w:szCs w:val="24"/>
        </w:rPr>
        <w:t>.</w:t>
      </w:r>
    </w:p>
    <w:p w14:paraId="48E68417" w14:textId="77777777" w:rsidR="00AF1FB0" w:rsidRPr="003C1F62" w:rsidRDefault="00AF1FB0" w:rsidP="00AF1FB0">
      <w:pPr>
        <w:pStyle w:val="ListParagraph"/>
        <w:numPr>
          <w:ilvl w:val="0"/>
          <w:numId w:val="13"/>
        </w:numPr>
        <w:spacing w:line="480" w:lineRule="auto"/>
        <w:rPr>
          <w:rFonts w:cs="Arial"/>
          <w:szCs w:val="24"/>
        </w:rPr>
      </w:pPr>
      <w:r w:rsidRPr="006B027F">
        <w:rPr>
          <w:rFonts w:ascii="Arial" w:hAnsi="Arial" w:cs="Arial"/>
          <w:sz w:val="24"/>
          <w:szCs w:val="24"/>
        </w:rPr>
        <w:t>Purpose</w:t>
      </w:r>
      <w:r>
        <w:rPr>
          <w:rFonts w:ascii="Arial" w:hAnsi="Arial" w:cs="Arial"/>
          <w:sz w:val="24"/>
          <w:szCs w:val="24"/>
        </w:rPr>
        <w:t>.</w:t>
      </w:r>
    </w:p>
    <w:p w14:paraId="4E6644EA" w14:textId="77777777" w:rsidR="00AF1FB0" w:rsidRPr="003C1F62" w:rsidRDefault="00AF1FB0" w:rsidP="00AF1FB0">
      <w:pPr>
        <w:pStyle w:val="ListParagraph"/>
        <w:numPr>
          <w:ilvl w:val="0"/>
          <w:numId w:val="13"/>
        </w:numPr>
        <w:spacing w:line="480" w:lineRule="auto"/>
        <w:rPr>
          <w:rFonts w:cs="Arial"/>
          <w:szCs w:val="24"/>
        </w:rPr>
      </w:pPr>
      <w:r w:rsidRPr="006B027F">
        <w:rPr>
          <w:rFonts w:ascii="Arial" w:hAnsi="Arial" w:cs="Arial"/>
          <w:sz w:val="24"/>
          <w:szCs w:val="24"/>
        </w:rPr>
        <w:t>Success</w:t>
      </w:r>
      <w:r>
        <w:rPr>
          <w:rFonts w:ascii="Arial" w:hAnsi="Arial" w:cs="Arial"/>
          <w:sz w:val="24"/>
          <w:szCs w:val="24"/>
        </w:rPr>
        <w:t>.</w:t>
      </w:r>
    </w:p>
    <w:p w14:paraId="446EA7B0" w14:textId="77777777" w:rsidR="00AF1FB0" w:rsidRPr="003C1F62" w:rsidRDefault="00AF1FB0" w:rsidP="00AF1FB0">
      <w:pPr>
        <w:pStyle w:val="ListParagraph"/>
        <w:numPr>
          <w:ilvl w:val="0"/>
          <w:numId w:val="13"/>
        </w:numPr>
        <w:spacing w:line="480" w:lineRule="auto"/>
        <w:rPr>
          <w:rFonts w:cs="Arial"/>
          <w:szCs w:val="24"/>
        </w:rPr>
      </w:pPr>
      <w:r w:rsidRPr="006B027F">
        <w:rPr>
          <w:rFonts w:ascii="Arial" w:hAnsi="Arial" w:cs="Arial"/>
          <w:sz w:val="24"/>
          <w:szCs w:val="24"/>
        </w:rPr>
        <w:t>Faculty challenges</w:t>
      </w:r>
      <w:r>
        <w:rPr>
          <w:rFonts w:ascii="Arial" w:hAnsi="Arial" w:cs="Arial"/>
          <w:sz w:val="24"/>
          <w:szCs w:val="24"/>
        </w:rPr>
        <w:t>.</w:t>
      </w:r>
    </w:p>
    <w:p w14:paraId="6423ED3E" w14:textId="77777777" w:rsidR="00AF1FB0" w:rsidRPr="003C1F62" w:rsidRDefault="00AF1FB0" w:rsidP="00AF1FB0">
      <w:pPr>
        <w:pStyle w:val="ListParagraph"/>
        <w:numPr>
          <w:ilvl w:val="0"/>
          <w:numId w:val="13"/>
        </w:numPr>
        <w:spacing w:line="480" w:lineRule="auto"/>
        <w:rPr>
          <w:rFonts w:cs="Arial"/>
          <w:szCs w:val="24"/>
        </w:rPr>
      </w:pPr>
      <w:r w:rsidRPr="006B027F">
        <w:rPr>
          <w:rFonts w:ascii="Arial" w:hAnsi="Arial" w:cs="Arial"/>
          <w:sz w:val="24"/>
          <w:szCs w:val="24"/>
        </w:rPr>
        <w:t>Model</w:t>
      </w:r>
      <w:r>
        <w:rPr>
          <w:rFonts w:ascii="Arial" w:hAnsi="Arial" w:cs="Arial"/>
          <w:sz w:val="24"/>
          <w:szCs w:val="24"/>
        </w:rPr>
        <w:t>.</w:t>
      </w:r>
    </w:p>
    <w:p w14:paraId="5151495A" w14:textId="77777777" w:rsidR="00AF1FB0" w:rsidRPr="003C1F62" w:rsidRDefault="00AF1FB0" w:rsidP="00AF1FB0">
      <w:pPr>
        <w:pStyle w:val="ListParagraph"/>
        <w:numPr>
          <w:ilvl w:val="0"/>
          <w:numId w:val="13"/>
        </w:numPr>
        <w:spacing w:line="480" w:lineRule="auto"/>
        <w:rPr>
          <w:rFonts w:cs="Arial"/>
          <w:szCs w:val="24"/>
        </w:rPr>
      </w:pPr>
      <w:r w:rsidRPr="006B027F">
        <w:rPr>
          <w:rFonts w:ascii="Arial" w:hAnsi="Arial" w:cs="Arial"/>
          <w:sz w:val="24"/>
          <w:szCs w:val="24"/>
        </w:rPr>
        <w:t>Method</w:t>
      </w:r>
      <w:r>
        <w:rPr>
          <w:rFonts w:ascii="Arial" w:hAnsi="Arial" w:cs="Arial"/>
          <w:sz w:val="24"/>
          <w:szCs w:val="24"/>
        </w:rPr>
        <w:t>.</w:t>
      </w:r>
    </w:p>
    <w:p w14:paraId="3677D5C4" w14:textId="77777777" w:rsidR="00AF1FB0" w:rsidRPr="003C1F62" w:rsidRDefault="00AF1FB0" w:rsidP="00AF1FB0">
      <w:pPr>
        <w:pStyle w:val="ListParagraph"/>
        <w:numPr>
          <w:ilvl w:val="0"/>
          <w:numId w:val="13"/>
        </w:numPr>
        <w:spacing w:line="480" w:lineRule="auto"/>
        <w:rPr>
          <w:rFonts w:cs="Arial"/>
          <w:szCs w:val="24"/>
        </w:rPr>
      </w:pPr>
      <w:r w:rsidRPr="006B027F">
        <w:rPr>
          <w:rFonts w:ascii="Arial" w:hAnsi="Arial" w:cs="Arial"/>
          <w:sz w:val="24"/>
          <w:szCs w:val="24"/>
        </w:rPr>
        <w:t>Structure</w:t>
      </w:r>
      <w:r>
        <w:rPr>
          <w:rFonts w:ascii="Arial" w:hAnsi="Arial" w:cs="Arial"/>
          <w:sz w:val="24"/>
          <w:szCs w:val="24"/>
        </w:rPr>
        <w:t>.</w:t>
      </w:r>
    </w:p>
    <w:p w14:paraId="2E509267" w14:textId="77777777" w:rsidR="00AF1FB0" w:rsidRDefault="00AF1FB0" w:rsidP="00AF1FB0"/>
    <w:p w14:paraId="640D36DB" w14:textId="77777777" w:rsidR="00AF1FB0" w:rsidRPr="006B027F" w:rsidRDefault="00AF1FB0" w:rsidP="00AF1FB0">
      <w:pPr>
        <w:rPr>
          <w:b/>
          <w:i/>
        </w:rPr>
      </w:pPr>
      <w:r w:rsidRPr="006B027F">
        <w:rPr>
          <w:b/>
          <w:i/>
        </w:rPr>
        <w:t>Practicalities</w:t>
      </w:r>
    </w:p>
    <w:p w14:paraId="69FE6DA9" w14:textId="77777777" w:rsidR="00AF1FB0" w:rsidRDefault="00AF1FB0" w:rsidP="00AF1FB0">
      <w:r>
        <w:t xml:space="preserve">The </w:t>
      </w:r>
      <w:r w:rsidRPr="00E85824">
        <w:t>‘practicalities</w:t>
      </w:r>
      <w:r w:rsidRPr="006B027F">
        <w:t>’</w:t>
      </w:r>
      <w:r w:rsidRPr="00E85824">
        <w:t xml:space="preserve"> </w:t>
      </w:r>
      <w:r>
        <w:t xml:space="preserve">included time management for the scenario with allocated time to allow participants to unwind. Audio-visual tools supported the notion of objective self-assessment and understanding situation awareness. Consideration of space and room layout to the creation of a circle, representing equality and safety.  A well-planned scenario and learning outcomes were key </w:t>
      </w:r>
      <w:r>
        <w:lastRenderedPageBreak/>
        <w:t xml:space="preserve">to set the stage for an effective debrief. Most felt it was a very complex skill that needed to be developed to facilitate learning and avoid being didactic in the interest of time pressures (Interviews 2,3,10, field notes). </w:t>
      </w:r>
    </w:p>
    <w:p w14:paraId="60C1E122" w14:textId="77777777" w:rsidR="00AF1FB0" w:rsidRPr="006B027F" w:rsidRDefault="00AF1FB0" w:rsidP="00AF1FB0">
      <w:pPr>
        <w:rPr>
          <w:b/>
          <w:i/>
        </w:rPr>
      </w:pPr>
      <w:r w:rsidRPr="006B027F">
        <w:rPr>
          <w:b/>
          <w:i/>
        </w:rPr>
        <w:t>Purpose</w:t>
      </w:r>
    </w:p>
    <w:p w14:paraId="08E6AF0B" w14:textId="77777777" w:rsidR="00AF1FB0" w:rsidRDefault="00AF1FB0" w:rsidP="00AF1FB0">
      <w:r w:rsidRPr="006B027F">
        <w:t>‘</w:t>
      </w:r>
      <w:r w:rsidRPr="00E85824">
        <w:t>Purpose</w:t>
      </w:r>
      <w:r w:rsidRPr="006B027F">
        <w:t>’</w:t>
      </w:r>
      <w:r>
        <w:t xml:space="preserve"> related to the importance of facilitating the process of discovery and understanding, to aim for personal behavioural change. The opportunity to explore and correct misconceptions as well as encourage reflective practice was felt key. Many experts felt the debrief was where the learning occurred or quoted literature which stated this (Interviews 2,4,9,10). It was felt unethical not to debrief a participant. Another purpose was that of allowing consolidation following an episode of experiential learning, opportunity for peer learning and feedback (community and belonging), as well as opportunity for role modelling professional behaviours (Field notes and triangulated data). </w:t>
      </w:r>
    </w:p>
    <w:p w14:paraId="14D5FCBC" w14:textId="77777777" w:rsidR="00AF1FB0" w:rsidRPr="006B027F" w:rsidRDefault="00AF1FB0" w:rsidP="00AF1FB0">
      <w:pPr>
        <w:rPr>
          <w:b/>
          <w:i/>
        </w:rPr>
      </w:pPr>
      <w:r w:rsidRPr="006B027F">
        <w:rPr>
          <w:b/>
          <w:i/>
        </w:rPr>
        <w:t>Success</w:t>
      </w:r>
    </w:p>
    <w:p w14:paraId="704D7390" w14:textId="7835941C" w:rsidR="00AF1FB0" w:rsidRDefault="00AF1FB0" w:rsidP="00AF1FB0">
      <w:r>
        <w:t>A successful debrief was felt to be occurring when the candidate was doing most of the talking, an open and honest forum for d</w:t>
      </w:r>
      <w:r w:rsidR="00690057">
        <w:t>iscussion had been created and c</w:t>
      </w:r>
      <w:r>
        <w:t xml:space="preserve">andidates were seen to be experiencing a deep level of understanding through facilitation of the reflective process (Interviews 2,5,8,10, field notes). In terms of successful outcomes, demonstration of the learner reaching their own conclusions, of achieving the learning outcomes and of an individual specific behavioural change, were felt ultimate achievements. </w:t>
      </w:r>
    </w:p>
    <w:p w14:paraId="66574F26" w14:textId="77777777" w:rsidR="00AF1FB0" w:rsidRDefault="00AF1FB0" w:rsidP="00AF1FB0">
      <w:pPr>
        <w:keepNext/>
      </w:pPr>
      <w:r>
        <w:rPr>
          <w:noProof/>
          <w:lang w:val="en-US"/>
        </w:rPr>
        <w:lastRenderedPageBreak/>
        <w:drawing>
          <wp:inline distT="0" distB="0" distL="0" distR="0" wp14:anchorId="6CC0EEE5" wp14:editId="4099C55F">
            <wp:extent cx="6189980" cy="7298690"/>
            <wp:effectExtent l="152400" t="0" r="0" b="0"/>
            <wp:docPr id="65" name="Diagram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p>
    <w:p w14:paraId="771B5B4B" w14:textId="49A5F71A" w:rsidR="00AF1FB0" w:rsidRPr="00A90822" w:rsidRDefault="00AF1FB0" w:rsidP="007000F8">
      <w:pPr>
        <w:pStyle w:val="Caption"/>
      </w:pPr>
      <w:bookmarkStart w:id="421" w:name="_Toc370770378"/>
      <w:bookmarkStart w:id="422" w:name="_Toc419116480"/>
      <w:r>
        <w:t xml:space="preserve">Figure </w:t>
      </w:r>
      <w:r>
        <w:fldChar w:fldCharType="begin"/>
      </w:r>
      <w:r>
        <w:instrText xml:space="preserve"> STYLEREF 1 \s </w:instrText>
      </w:r>
      <w:r>
        <w:fldChar w:fldCharType="separate"/>
      </w:r>
      <w:r w:rsidR="007220A7">
        <w:rPr>
          <w:noProof/>
        </w:rPr>
        <w:t>8</w:t>
      </w:r>
      <w:r>
        <w:fldChar w:fldCharType="end"/>
      </w:r>
      <w:r>
        <w:noBreakHyphen/>
      </w:r>
      <w:r>
        <w:fldChar w:fldCharType="begin"/>
      </w:r>
      <w:r>
        <w:instrText xml:space="preserve"> SEQ Figure \* ARABIC \s 1 </w:instrText>
      </w:r>
      <w:r>
        <w:fldChar w:fldCharType="separate"/>
      </w:r>
      <w:r w:rsidR="007220A7">
        <w:rPr>
          <w:noProof/>
        </w:rPr>
        <w:t>5</w:t>
      </w:r>
      <w:r>
        <w:fldChar w:fldCharType="end"/>
      </w:r>
      <w:r>
        <w:t xml:space="preserve"> Debriefing for SBME</w:t>
      </w:r>
      <w:bookmarkEnd w:id="421"/>
      <w:bookmarkEnd w:id="422"/>
    </w:p>
    <w:p w14:paraId="5762B6C2" w14:textId="77777777" w:rsidR="009531EC" w:rsidRDefault="009531EC" w:rsidP="00AF1FB0">
      <w:pPr>
        <w:rPr>
          <w:b/>
          <w:i/>
        </w:rPr>
      </w:pPr>
    </w:p>
    <w:p w14:paraId="6F8A4780" w14:textId="77777777" w:rsidR="00AF1FB0" w:rsidRPr="006B027F" w:rsidRDefault="00AF1FB0" w:rsidP="00AF1FB0">
      <w:pPr>
        <w:rPr>
          <w:b/>
          <w:i/>
        </w:rPr>
      </w:pPr>
      <w:r w:rsidRPr="006B027F">
        <w:rPr>
          <w:b/>
          <w:i/>
        </w:rPr>
        <w:lastRenderedPageBreak/>
        <w:t>Faculty challenges</w:t>
      </w:r>
    </w:p>
    <w:p w14:paraId="26E5F210" w14:textId="77777777" w:rsidR="00AF1FB0" w:rsidRDefault="00AF1FB0" w:rsidP="00AF1FB0">
      <w:r w:rsidRPr="006B027F">
        <w:t>‘</w:t>
      </w:r>
      <w:r w:rsidRPr="00830C17">
        <w:t>Faculty challenges</w:t>
      </w:r>
      <w:r w:rsidRPr="006B027F">
        <w:t>’</w:t>
      </w:r>
      <w:r>
        <w:t xml:space="preserve"> included the view by most that debriefing was a high level skill but that with lots of ‘experience becomes natural’ (Interview 2). Faculty skilled in debriefing were generally felt to hold an interest in behaviour and complex cognitive processes in order to feel comfortable exploring others and being able to manage their own. Other skills beneficial in being a good debriefer included active listening skills, a high level of emotional intelligence, honesty, flexibility, a willingness to share own mistakes and challenges, the ability to remain reflective and to encourage conceptualisation. The concept of having an ‘internal supervisor’ to gauge the behaviour of others was also discussed and the need to listen to this (Interview 2). </w:t>
      </w:r>
    </w:p>
    <w:p w14:paraId="5E840D54" w14:textId="77777777" w:rsidR="00AF1FB0" w:rsidRPr="006B027F" w:rsidRDefault="00AF1FB0" w:rsidP="00AF1FB0">
      <w:pPr>
        <w:rPr>
          <w:b/>
          <w:i/>
        </w:rPr>
      </w:pPr>
      <w:r w:rsidRPr="006B027F">
        <w:rPr>
          <w:b/>
          <w:i/>
        </w:rPr>
        <w:t>Models</w:t>
      </w:r>
    </w:p>
    <w:p w14:paraId="0B002E3B" w14:textId="77777777" w:rsidR="00AF1FB0" w:rsidRDefault="00AF1FB0" w:rsidP="00AF1FB0">
      <w:r>
        <w:t xml:space="preserve">Use of </w:t>
      </w:r>
      <w:r w:rsidRPr="00830C17">
        <w:t>‘models</w:t>
      </w:r>
      <w:r w:rsidRPr="006B027F">
        <w:t>’</w:t>
      </w:r>
      <w:r w:rsidRPr="00830C17">
        <w:t xml:space="preserve"> </w:t>
      </w:r>
      <w:r>
        <w:t xml:space="preserve">for debriefing revealed a variety of views, some felt good teachers did not need a model because they were naturally good at exploring ideas and how to get the best learning from participants (Interviews 5, 7). However most felt and had experienced the importance of initially learning using a model, of benefit to self for mapping progress and for students and other faculty to demonstrate a recognisable structure. Those that were against using a model felt they were often too rigid and as with tailoring pressure and complexity to individuals, models did not always suit individual learners, flexibility was key. Overall there was agreement that structure was vital and a model for that reason was useful to teach at the start, however with experience, the facilitation was felt to become a more natural process so that a specific </w:t>
      </w:r>
      <w:r>
        <w:lastRenderedPageBreak/>
        <w:t xml:space="preserve">model was not required. The concept of a ‘trajectory of skill development’ was discussed so that faculty would start with a model then move away with experience and adding their influence of the structure (Interviews 2,10). </w:t>
      </w:r>
    </w:p>
    <w:p w14:paraId="20FA3154" w14:textId="77777777" w:rsidR="00AF1FB0" w:rsidRPr="006B027F" w:rsidRDefault="00AF1FB0" w:rsidP="00AF1FB0">
      <w:pPr>
        <w:rPr>
          <w:b/>
          <w:i/>
        </w:rPr>
      </w:pPr>
      <w:r w:rsidRPr="006B027F">
        <w:rPr>
          <w:b/>
          <w:i/>
        </w:rPr>
        <w:t>Method</w:t>
      </w:r>
    </w:p>
    <w:p w14:paraId="39431738" w14:textId="77777777" w:rsidR="00AF1FB0" w:rsidRDefault="00AF1FB0" w:rsidP="00AF1FB0">
      <w:r w:rsidRPr="006B027F">
        <w:t>‘</w:t>
      </w:r>
      <w:r w:rsidRPr="00830C17">
        <w:t>Method</w:t>
      </w:r>
      <w:r w:rsidRPr="006B027F">
        <w:t>’</w:t>
      </w:r>
      <w:r>
        <w:t xml:space="preserve"> included the importance of a structure, use of open questions, inclusion of all in the group, and repeated ‘quizzing’ of the group to support critical thinking, engagement and belonging. Language used was felt to be vital using phrases such as ‘how did it feel when?’ and ‘can I just explore with you’ terms and phrases felt and perceived as not being judgmental but very clear and exploratory. The importance of own body language was described and its impact on others. Injection of humour was felt to be important to make the experience enjoyable and lighten the mood. Openness through sharing own mistakes and anecdotes were felt to create an environment of trust and improved awareness surrounding human fallibility. </w:t>
      </w:r>
    </w:p>
    <w:p w14:paraId="5DDE7F8E" w14:textId="77777777" w:rsidR="00AF1FB0" w:rsidRPr="006B027F" w:rsidRDefault="00AF1FB0" w:rsidP="00AF1FB0">
      <w:pPr>
        <w:rPr>
          <w:b/>
          <w:i/>
        </w:rPr>
      </w:pPr>
      <w:r w:rsidRPr="006B027F">
        <w:rPr>
          <w:b/>
          <w:i/>
        </w:rPr>
        <w:t>Structure</w:t>
      </w:r>
    </w:p>
    <w:p w14:paraId="3BD05DFA" w14:textId="3AE4F221" w:rsidR="00AF1FB0" w:rsidRPr="006E7037" w:rsidRDefault="00AF1FB0" w:rsidP="00AF1FB0">
      <w:r>
        <w:t xml:space="preserve">Finally in terms of </w:t>
      </w:r>
      <w:r w:rsidRPr="00830C17">
        <w:t>‘structure</w:t>
      </w:r>
      <w:r w:rsidRPr="006B027F">
        <w:t>’,</w:t>
      </w:r>
      <w:r>
        <w:rPr>
          <w:i/>
        </w:rPr>
        <w:t xml:space="preserve"> </w:t>
      </w:r>
      <w:r>
        <w:t xml:space="preserve">components of a structured debrief included time to offload initial thoughts and feelings, relaying of the factual story about what </w:t>
      </w:r>
      <w:r w:rsidR="00690057">
        <w:t>happened or run of events. The c</w:t>
      </w:r>
      <w:r>
        <w:t>andidate or a peer d</w:t>
      </w:r>
      <w:r w:rsidR="00690057">
        <w:t>epending on the time taken for c</w:t>
      </w:r>
      <w:r>
        <w:t>andidate to off load could do this. By allowing this story to be told, the process of discovery had begun by allow</w:t>
      </w:r>
      <w:r w:rsidR="00690057">
        <w:t>ing elements to emerge for the c</w:t>
      </w:r>
      <w:r>
        <w:t xml:space="preserve">andidate that could then be further explored. Exploration allowed objective and subjective views, and space for self-reflection, key to process the understanding of ideas and challenges. This was followed by an analysis phase where impact </w:t>
      </w:r>
      <w:r>
        <w:lastRenderedPageBreak/>
        <w:t>of behaviour, decisions and alternatives could be explored supporting the concept of consequence learning. The final area of structure involved the practical and transferable learning lessons to take into practice and how that could be supported, achieved and demonstrated.</w:t>
      </w:r>
    </w:p>
    <w:p w14:paraId="43B20F2B" w14:textId="77777777" w:rsidR="00AF1FB0" w:rsidRDefault="00AF1FB0" w:rsidP="00AF1FB0">
      <w:pPr>
        <w:pStyle w:val="Heading2"/>
      </w:pPr>
      <w:bookmarkStart w:id="423" w:name="_Toc343501241"/>
      <w:bookmarkStart w:id="424" w:name="_Toc348686435"/>
      <w:bookmarkStart w:id="425" w:name="_Toc370767192"/>
      <w:bookmarkStart w:id="426" w:name="_Toc419116203"/>
      <w:r>
        <w:t>Summary</w:t>
      </w:r>
      <w:bookmarkEnd w:id="423"/>
      <w:bookmarkEnd w:id="424"/>
      <w:bookmarkEnd w:id="425"/>
      <w:bookmarkEnd w:id="426"/>
    </w:p>
    <w:p w14:paraId="20FCCC2D" w14:textId="77777777" w:rsidR="00AF1FB0" w:rsidRDefault="00AF1FB0" w:rsidP="00AF1FB0"/>
    <w:p w14:paraId="1D318EE0" w14:textId="77777777" w:rsidR="00AF1FB0" w:rsidRDefault="00AF1FB0" w:rsidP="00AF1FB0">
      <w:r>
        <w:t xml:space="preserve">The emergence of such rich and insightful concepts has only been possible through this mixed methods approach with triangulation of data prior to analysis. </w:t>
      </w:r>
    </w:p>
    <w:p w14:paraId="1142E784" w14:textId="77777777" w:rsidR="00AF1FB0" w:rsidRDefault="00AF1FB0" w:rsidP="00AF1FB0">
      <w:r>
        <w:t>The main theoretical framework surrounding the added value of simulation adds to the literature, to help understand why and how it is useful for preparedness and the scope for learning and professional development. The practical guide and best practice advice for designing, developing and then running a simulation curriculum provide a practical guide from an undergraduate perspective.</w:t>
      </w:r>
    </w:p>
    <w:p w14:paraId="4EB87903" w14:textId="77777777" w:rsidR="00AF1FB0" w:rsidRDefault="00AF1FB0" w:rsidP="00AF1FB0">
      <w:r>
        <w:t>Simulation is useful for the development of an ability to think clearly, safely and to act accordingly. Simulation facilitates nurturing, role modelling, mentoring and allows practice under pressure in a safe environment.</w:t>
      </w:r>
    </w:p>
    <w:p w14:paraId="008DC64F" w14:textId="75D8F356" w:rsidR="00137B0F" w:rsidRDefault="00AF1FB0" w:rsidP="00137B0F">
      <w:r>
        <w:t xml:space="preserve">Debriefing has been emphasised as vital in the learning process and considered an ethical imperative, which brings into the light the issue of using simulation for summative assessment and also the transferability of this concept to other educational methods. </w:t>
      </w:r>
    </w:p>
    <w:p w14:paraId="6234A470" w14:textId="3E364AF9" w:rsidR="006C6CE8" w:rsidRDefault="001D42C9" w:rsidP="00350417">
      <w:pPr>
        <w:pStyle w:val="Heading1"/>
      </w:pPr>
      <w:bookmarkStart w:id="427" w:name="_Toc343501242"/>
      <w:bookmarkStart w:id="428" w:name="_Toc348686436"/>
      <w:bookmarkStart w:id="429" w:name="_Toc419116204"/>
      <w:r>
        <w:lastRenderedPageBreak/>
        <w:t>Chapter</w:t>
      </w:r>
      <w:r w:rsidR="00137B0F">
        <w:t xml:space="preserve"> 9</w:t>
      </w:r>
      <w:r w:rsidR="00601AF7" w:rsidRPr="00F003A8">
        <w:t>: Discussion</w:t>
      </w:r>
      <w:bookmarkEnd w:id="427"/>
      <w:bookmarkEnd w:id="428"/>
      <w:bookmarkEnd w:id="429"/>
    </w:p>
    <w:p w14:paraId="625C8BEB" w14:textId="46C4A42A" w:rsidR="0043624E" w:rsidRPr="0043624E" w:rsidRDefault="004622DA" w:rsidP="0043624E">
      <w:r>
        <w:rPr>
          <w:noProof/>
          <w:lang w:val="en-US"/>
        </w:rPr>
        <w:drawing>
          <wp:inline distT="0" distB="0" distL="0" distR="0" wp14:anchorId="26B363D7" wp14:editId="33850777">
            <wp:extent cx="5008880" cy="7679690"/>
            <wp:effectExtent l="38100" t="19050" r="20320" b="35560"/>
            <wp:docPr id="76" name="Diagram 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5" r:lo="rId166" r:qs="rId167" r:cs="rId168"/>
              </a:graphicData>
            </a:graphic>
          </wp:inline>
        </w:drawing>
      </w:r>
    </w:p>
    <w:p w14:paraId="6AC38145" w14:textId="4D8EB26F" w:rsidR="00A70431" w:rsidRDefault="00A70431" w:rsidP="00187756">
      <w:pPr>
        <w:pStyle w:val="Heading2"/>
      </w:pPr>
      <w:bookmarkStart w:id="430" w:name="_Toc419116205"/>
      <w:r>
        <w:lastRenderedPageBreak/>
        <w:t>Key findings</w:t>
      </w:r>
      <w:bookmarkEnd w:id="430"/>
    </w:p>
    <w:p w14:paraId="6FB097AD" w14:textId="77777777" w:rsidR="00036713" w:rsidRPr="00036713" w:rsidRDefault="00036713" w:rsidP="00334E70"/>
    <w:p w14:paraId="3B4BB773" w14:textId="708BABEE" w:rsidR="00A70431" w:rsidRPr="00061A01" w:rsidRDefault="00A70431" w:rsidP="002424E3">
      <w:pPr>
        <w:pStyle w:val="ListParagraph"/>
        <w:numPr>
          <w:ilvl w:val="0"/>
          <w:numId w:val="5"/>
        </w:numPr>
        <w:spacing w:line="480" w:lineRule="auto"/>
        <w:rPr>
          <w:rFonts w:cs="Arial"/>
          <w:szCs w:val="24"/>
        </w:rPr>
      </w:pPr>
      <w:r w:rsidRPr="006B027F">
        <w:rPr>
          <w:rFonts w:ascii="Arial" w:hAnsi="Arial" w:cs="Arial"/>
          <w:sz w:val="24"/>
          <w:szCs w:val="24"/>
        </w:rPr>
        <w:t>Preparedness is complex and multifactorial, this study adds depth and understanding about what preparedness means to multiple stakeholders.</w:t>
      </w:r>
    </w:p>
    <w:p w14:paraId="5F3C2D60" w14:textId="50E77C36" w:rsidR="00A70431" w:rsidRPr="00061A01" w:rsidRDefault="00A70431" w:rsidP="002424E3">
      <w:pPr>
        <w:pStyle w:val="ListParagraph"/>
        <w:numPr>
          <w:ilvl w:val="0"/>
          <w:numId w:val="5"/>
        </w:numPr>
        <w:spacing w:line="480" w:lineRule="auto"/>
        <w:rPr>
          <w:rFonts w:cs="Arial"/>
          <w:szCs w:val="24"/>
        </w:rPr>
      </w:pPr>
      <w:r w:rsidRPr="006B027F">
        <w:rPr>
          <w:rFonts w:ascii="Arial" w:hAnsi="Arial" w:cs="Arial"/>
          <w:sz w:val="24"/>
          <w:szCs w:val="24"/>
        </w:rPr>
        <w:t xml:space="preserve">This study </w:t>
      </w:r>
      <w:r w:rsidR="00DC3BFC">
        <w:rPr>
          <w:rFonts w:ascii="Arial" w:hAnsi="Arial" w:cs="Arial"/>
          <w:sz w:val="24"/>
          <w:szCs w:val="24"/>
        </w:rPr>
        <w:t xml:space="preserve">has </w:t>
      </w:r>
      <w:r w:rsidR="00DC3BFC" w:rsidRPr="00DC3BFC">
        <w:rPr>
          <w:rFonts w:ascii="Arial" w:hAnsi="Arial" w:cs="Arial"/>
          <w:sz w:val="24"/>
          <w:szCs w:val="24"/>
        </w:rPr>
        <w:t>emphasised</w:t>
      </w:r>
      <w:r w:rsidRPr="006B027F">
        <w:rPr>
          <w:rFonts w:ascii="Arial" w:hAnsi="Arial" w:cs="Arial"/>
          <w:sz w:val="24"/>
          <w:szCs w:val="24"/>
        </w:rPr>
        <w:t xml:space="preserve"> the importance of exploring</w:t>
      </w:r>
      <w:r w:rsidR="004E481C">
        <w:rPr>
          <w:rFonts w:ascii="Arial" w:hAnsi="Arial" w:cs="Arial"/>
          <w:sz w:val="24"/>
          <w:szCs w:val="24"/>
        </w:rPr>
        <w:t>,</w:t>
      </w:r>
      <w:r w:rsidRPr="006B027F">
        <w:rPr>
          <w:rFonts w:ascii="Arial" w:hAnsi="Arial" w:cs="Arial"/>
          <w:sz w:val="24"/>
          <w:szCs w:val="24"/>
        </w:rPr>
        <w:t xml:space="preserve"> understanding and </w:t>
      </w:r>
      <w:r w:rsidR="00DF3F83">
        <w:rPr>
          <w:rFonts w:ascii="Arial" w:hAnsi="Arial" w:cs="Arial"/>
          <w:sz w:val="24"/>
          <w:szCs w:val="24"/>
        </w:rPr>
        <w:t xml:space="preserve">the </w:t>
      </w:r>
      <w:r w:rsidRPr="006B027F">
        <w:rPr>
          <w:rFonts w:ascii="Arial" w:hAnsi="Arial" w:cs="Arial"/>
          <w:sz w:val="24"/>
          <w:szCs w:val="24"/>
        </w:rPr>
        <w:t xml:space="preserve">interpretation of a concept such as preparedness, before being able to interpret </w:t>
      </w:r>
      <w:r w:rsidR="00E31B32">
        <w:rPr>
          <w:rFonts w:ascii="Arial" w:hAnsi="Arial" w:cs="Arial"/>
          <w:sz w:val="24"/>
          <w:szCs w:val="24"/>
        </w:rPr>
        <w:t xml:space="preserve">and design </w:t>
      </w:r>
      <w:r w:rsidRPr="006B027F">
        <w:rPr>
          <w:rFonts w:ascii="Arial" w:hAnsi="Arial" w:cs="Arial"/>
          <w:sz w:val="24"/>
          <w:szCs w:val="24"/>
        </w:rPr>
        <w:t xml:space="preserve">methods to improve or maintain reported </w:t>
      </w:r>
      <w:r w:rsidR="00A97FA5" w:rsidRPr="006B027F">
        <w:rPr>
          <w:rFonts w:ascii="Arial" w:hAnsi="Arial" w:cs="Arial"/>
          <w:sz w:val="24"/>
          <w:szCs w:val="24"/>
        </w:rPr>
        <w:t>levels.</w:t>
      </w:r>
    </w:p>
    <w:p w14:paraId="4983B014" w14:textId="667FAE45" w:rsidR="00A70431" w:rsidRPr="00061A01" w:rsidRDefault="00A70431" w:rsidP="002424E3">
      <w:pPr>
        <w:pStyle w:val="ListParagraph"/>
        <w:numPr>
          <w:ilvl w:val="0"/>
          <w:numId w:val="5"/>
        </w:numPr>
        <w:spacing w:line="480" w:lineRule="auto"/>
        <w:rPr>
          <w:rFonts w:cs="Arial"/>
          <w:szCs w:val="24"/>
        </w:rPr>
      </w:pPr>
      <w:r w:rsidRPr="006B027F">
        <w:rPr>
          <w:rFonts w:ascii="Arial" w:hAnsi="Arial" w:cs="Arial"/>
          <w:sz w:val="24"/>
          <w:szCs w:val="24"/>
        </w:rPr>
        <w:t>Final year medical students interpret preparedness prospectively and overwhelmingly as confidence.</w:t>
      </w:r>
    </w:p>
    <w:p w14:paraId="17AB4EA8" w14:textId="1833CCF6" w:rsidR="00A70431" w:rsidRPr="00061A01" w:rsidRDefault="00A70431" w:rsidP="002424E3">
      <w:pPr>
        <w:pStyle w:val="ListParagraph"/>
        <w:numPr>
          <w:ilvl w:val="0"/>
          <w:numId w:val="5"/>
        </w:numPr>
        <w:spacing w:line="480" w:lineRule="auto"/>
        <w:rPr>
          <w:rFonts w:cs="Arial"/>
          <w:szCs w:val="24"/>
        </w:rPr>
      </w:pPr>
      <w:r w:rsidRPr="006B027F">
        <w:rPr>
          <w:rFonts w:ascii="Arial" w:hAnsi="Arial" w:cs="Arial"/>
          <w:sz w:val="24"/>
          <w:szCs w:val="24"/>
        </w:rPr>
        <w:t xml:space="preserve">Medical education and simulation experts interpret preparedness </w:t>
      </w:r>
      <w:r w:rsidR="00FA622A" w:rsidRPr="006B027F">
        <w:rPr>
          <w:rFonts w:ascii="Arial" w:hAnsi="Arial" w:cs="Arial"/>
          <w:sz w:val="24"/>
          <w:szCs w:val="24"/>
        </w:rPr>
        <w:t>retrospectively</w:t>
      </w:r>
      <w:r w:rsidRPr="006B027F">
        <w:rPr>
          <w:rFonts w:ascii="Arial" w:hAnsi="Arial" w:cs="Arial"/>
          <w:sz w:val="24"/>
          <w:szCs w:val="24"/>
        </w:rPr>
        <w:t xml:space="preserve"> and overwhelmingly as competence. </w:t>
      </w:r>
    </w:p>
    <w:p w14:paraId="16F81016" w14:textId="254D1540" w:rsidR="00A70431" w:rsidRPr="00061A01" w:rsidRDefault="0070140D" w:rsidP="002424E3">
      <w:pPr>
        <w:pStyle w:val="ListParagraph"/>
        <w:numPr>
          <w:ilvl w:val="0"/>
          <w:numId w:val="5"/>
        </w:numPr>
        <w:spacing w:line="480" w:lineRule="auto"/>
        <w:rPr>
          <w:rFonts w:cs="Arial"/>
          <w:szCs w:val="24"/>
        </w:rPr>
      </w:pPr>
      <w:r>
        <w:rPr>
          <w:rFonts w:ascii="Arial" w:hAnsi="Arial" w:cs="Arial"/>
          <w:sz w:val="24"/>
          <w:szCs w:val="24"/>
        </w:rPr>
        <w:t>Simulation-based</w:t>
      </w:r>
      <w:r w:rsidR="00A70431" w:rsidRPr="006B027F">
        <w:rPr>
          <w:rFonts w:ascii="Arial" w:hAnsi="Arial" w:cs="Arial"/>
          <w:sz w:val="24"/>
          <w:szCs w:val="24"/>
        </w:rPr>
        <w:t xml:space="preserve"> education has the potential to enhance confidence and preparedness in </w:t>
      </w:r>
      <w:r w:rsidR="002568B6">
        <w:rPr>
          <w:rFonts w:ascii="Arial" w:hAnsi="Arial" w:cs="Arial"/>
          <w:sz w:val="24"/>
          <w:szCs w:val="24"/>
        </w:rPr>
        <w:t>curriculum-mapped</w:t>
      </w:r>
      <w:r w:rsidR="00A70431" w:rsidRPr="006B027F">
        <w:rPr>
          <w:rFonts w:ascii="Arial" w:hAnsi="Arial" w:cs="Arial"/>
          <w:sz w:val="24"/>
          <w:szCs w:val="24"/>
        </w:rPr>
        <w:t xml:space="preserve"> outcomes as previously demonstrated in other studies. This study adds depth and understanding about how to </w:t>
      </w:r>
      <w:r w:rsidR="00FA622A" w:rsidRPr="006B027F">
        <w:rPr>
          <w:rFonts w:ascii="Arial" w:hAnsi="Arial" w:cs="Arial"/>
          <w:sz w:val="24"/>
          <w:szCs w:val="24"/>
        </w:rPr>
        <w:t>optimise</w:t>
      </w:r>
      <w:r w:rsidR="00A70431" w:rsidRPr="006B027F">
        <w:rPr>
          <w:rFonts w:ascii="Arial" w:hAnsi="Arial" w:cs="Arial"/>
          <w:sz w:val="24"/>
          <w:szCs w:val="24"/>
        </w:rPr>
        <w:t xml:space="preserve"> learning in simulation for undergraduate medical students</w:t>
      </w:r>
      <w:r w:rsidR="00A97FA5" w:rsidRPr="006B027F">
        <w:rPr>
          <w:rFonts w:ascii="Arial" w:hAnsi="Arial" w:cs="Arial"/>
          <w:sz w:val="24"/>
          <w:szCs w:val="24"/>
        </w:rPr>
        <w:t xml:space="preserve"> and in particular how to get the level of pressure correct</w:t>
      </w:r>
      <w:r w:rsidR="004E481C">
        <w:rPr>
          <w:rFonts w:ascii="Arial" w:hAnsi="Arial" w:cs="Arial"/>
          <w:sz w:val="24"/>
          <w:szCs w:val="24"/>
        </w:rPr>
        <w:t>, which</w:t>
      </w:r>
      <w:r w:rsidR="00061A01">
        <w:rPr>
          <w:rFonts w:ascii="Arial" w:hAnsi="Arial" w:cs="Arial"/>
          <w:sz w:val="24"/>
          <w:szCs w:val="24"/>
        </w:rPr>
        <w:t xml:space="preserve"> adds to the body of knowledge surrounding best practice guidance</w:t>
      </w:r>
      <w:r w:rsidR="00A70431" w:rsidRPr="006B027F">
        <w:rPr>
          <w:rFonts w:ascii="Arial" w:hAnsi="Arial" w:cs="Arial"/>
          <w:sz w:val="24"/>
          <w:szCs w:val="24"/>
        </w:rPr>
        <w:t xml:space="preserve">. </w:t>
      </w:r>
    </w:p>
    <w:p w14:paraId="7491241C" w14:textId="5A03CBA5" w:rsidR="00A97FA5" w:rsidRPr="00061A01" w:rsidRDefault="00DC3BFC" w:rsidP="002424E3">
      <w:pPr>
        <w:pStyle w:val="ListParagraph"/>
        <w:numPr>
          <w:ilvl w:val="0"/>
          <w:numId w:val="5"/>
        </w:numPr>
        <w:spacing w:line="480" w:lineRule="auto"/>
        <w:rPr>
          <w:rFonts w:cs="Arial"/>
          <w:szCs w:val="24"/>
        </w:rPr>
      </w:pPr>
      <w:r w:rsidRPr="006B027F">
        <w:rPr>
          <w:rFonts w:ascii="Arial" w:hAnsi="Arial" w:cs="Arial"/>
          <w:sz w:val="24"/>
          <w:szCs w:val="24"/>
        </w:rPr>
        <w:t xml:space="preserve">Understanding </w:t>
      </w:r>
      <w:r w:rsidR="00A70431" w:rsidRPr="006B027F">
        <w:rPr>
          <w:rFonts w:ascii="Arial" w:hAnsi="Arial" w:cs="Arial"/>
          <w:sz w:val="24"/>
          <w:szCs w:val="24"/>
        </w:rPr>
        <w:t xml:space="preserve">culture, the hidden curriculum and expectations have been found to be of great importance </w:t>
      </w:r>
      <w:r w:rsidR="00A97FA5" w:rsidRPr="006B027F">
        <w:rPr>
          <w:rFonts w:ascii="Arial" w:hAnsi="Arial" w:cs="Arial"/>
          <w:sz w:val="24"/>
          <w:szCs w:val="24"/>
        </w:rPr>
        <w:t>for preparedness and</w:t>
      </w:r>
      <w:r w:rsidR="00A70431" w:rsidRPr="006B027F">
        <w:rPr>
          <w:rFonts w:ascii="Arial" w:hAnsi="Arial" w:cs="Arial"/>
          <w:sz w:val="24"/>
          <w:szCs w:val="24"/>
        </w:rPr>
        <w:t xml:space="preserve"> transition. This has not been reported by previous studies surrounding preparedness. </w:t>
      </w:r>
      <w:r w:rsidR="00061A01">
        <w:rPr>
          <w:rFonts w:ascii="Arial" w:hAnsi="Arial" w:cs="Arial"/>
          <w:sz w:val="24"/>
          <w:szCs w:val="24"/>
        </w:rPr>
        <w:t>Employing human factors education and complexity theory were found to be key to addressing this.</w:t>
      </w:r>
    </w:p>
    <w:p w14:paraId="458DD071" w14:textId="059095AE" w:rsidR="00A70431" w:rsidRPr="00061A01" w:rsidRDefault="00061A01" w:rsidP="002424E3">
      <w:pPr>
        <w:pStyle w:val="ListParagraph"/>
        <w:numPr>
          <w:ilvl w:val="0"/>
          <w:numId w:val="5"/>
        </w:numPr>
        <w:spacing w:line="480" w:lineRule="auto"/>
        <w:rPr>
          <w:rFonts w:cs="Arial"/>
          <w:szCs w:val="24"/>
        </w:rPr>
      </w:pPr>
      <w:r w:rsidRPr="00761BD7">
        <w:rPr>
          <w:rFonts w:ascii="Arial" w:hAnsi="Arial" w:cs="Arial"/>
          <w:sz w:val="24"/>
          <w:szCs w:val="24"/>
        </w:rPr>
        <w:t>Experiential c</w:t>
      </w:r>
      <w:r w:rsidR="00A70431" w:rsidRPr="006B027F">
        <w:rPr>
          <w:rFonts w:ascii="Arial" w:hAnsi="Arial" w:cs="Arial"/>
          <w:sz w:val="24"/>
          <w:szCs w:val="24"/>
        </w:rPr>
        <w:t xml:space="preserve">onsequence learning, graded responsibility, </w:t>
      </w:r>
      <w:r w:rsidR="00905C08">
        <w:rPr>
          <w:rFonts w:ascii="Arial" w:hAnsi="Arial" w:cs="Arial"/>
          <w:sz w:val="24"/>
          <w:szCs w:val="24"/>
        </w:rPr>
        <w:t>practice</w:t>
      </w:r>
      <w:r w:rsidR="00A70431" w:rsidRPr="006B027F">
        <w:rPr>
          <w:rFonts w:ascii="Arial" w:hAnsi="Arial" w:cs="Arial"/>
          <w:sz w:val="24"/>
          <w:szCs w:val="24"/>
        </w:rPr>
        <w:t xml:space="preserve"> under pressure and personalised debriefing were shown to allow development </w:t>
      </w:r>
      <w:r w:rsidR="00A70431" w:rsidRPr="006B027F">
        <w:rPr>
          <w:rFonts w:ascii="Arial" w:hAnsi="Arial" w:cs="Arial"/>
          <w:sz w:val="24"/>
          <w:szCs w:val="24"/>
        </w:rPr>
        <w:lastRenderedPageBreak/>
        <w:t>and understanding of cognitive</w:t>
      </w:r>
      <w:r w:rsidR="004E481C" w:rsidRPr="006B027F">
        <w:rPr>
          <w:rFonts w:ascii="Arial" w:hAnsi="Arial" w:cs="Arial"/>
          <w:sz w:val="24"/>
          <w:szCs w:val="24"/>
        </w:rPr>
        <w:t xml:space="preserve"> processes felt to support self-</w:t>
      </w:r>
      <w:r w:rsidR="00A70431" w:rsidRPr="006B027F">
        <w:rPr>
          <w:rFonts w:ascii="Arial" w:hAnsi="Arial" w:cs="Arial"/>
          <w:sz w:val="24"/>
          <w:szCs w:val="24"/>
        </w:rPr>
        <w:t>regulation</w:t>
      </w:r>
      <w:r w:rsidR="00036713">
        <w:rPr>
          <w:rFonts w:ascii="Arial" w:hAnsi="Arial" w:cs="Arial"/>
          <w:sz w:val="24"/>
          <w:szCs w:val="24"/>
        </w:rPr>
        <w:t>, preparedness</w:t>
      </w:r>
      <w:r w:rsidR="00A70431" w:rsidRPr="006B027F">
        <w:rPr>
          <w:rFonts w:ascii="Arial" w:hAnsi="Arial" w:cs="Arial"/>
          <w:sz w:val="24"/>
          <w:szCs w:val="24"/>
        </w:rPr>
        <w:t xml:space="preserve"> and enhance resilience.</w:t>
      </w:r>
      <w:r w:rsidR="00761BD7">
        <w:rPr>
          <w:rFonts w:ascii="Arial" w:hAnsi="Arial" w:cs="Arial"/>
          <w:sz w:val="24"/>
          <w:szCs w:val="24"/>
        </w:rPr>
        <w:t xml:space="preserve"> It was found to be essential that students were placed at the core of </w:t>
      </w:r>
      <w:r w:rsidR="00A645DC">
        <w:rPr>
          <w:rFonts w:ascii="Arial" w:hAnsi="Arial" w:cs="Arial"/>
          <w:sz w:val="24"/>
          <w:szCs w:val="24"/>
        </w:rPr>
        <w:t>interprofessional</w:t>
      </w:r>
      <w:r w:rsidR="00761BD7">
        <w:rPr>
          <w:rFonts w:ascii="Arial" w:hAnsi="Arial" w:cs="Arial"/>
          <w:sz w:val="24"/>
          <w:szCs w:val="24"/>
        </w:rPr>
        <w:t xml:space="preserve"> interactions and that authentic roles were maintained.</w:t>
      </w:r>
      <w:r w:rsidR="00A70431" w:rsidRPr="006B027F">
        <w:rPr>
          <w:rFonts w:ascii="Arial" w:hAnsi="Arial" w:cs="Arial"/>
          <w:sz w:val="24"/>
          <w:szCs w:val="24"/>
        </w:rPr>
        <w:t xml:space="preserve"> These findings contribute further understanding and specific methods to improve preparedness</w:t>
      </w:r>
      <w:r w:rsidR="00E31B32">
        <w:rPr>
          <w:rFonts w:ascii="Arial" w:hAnsi="Arial" w:cs="Arial"/>
          <w:sz w:val="24"/>
          <w:szCs w:val="24"/>
        </w:rPr>
        <w:t xml:space="preserve"> and </w:t>
      </w:r>
      <w:r w:rsidR="00A97FA5" w:rsidRPr="006B027F">
        <w:rPr>
          <w:rFonts w:ascii="Arial" w:hAnsi="Arial" w:cs="Arial"/>
          <w:sz w:val="24"/>
          <w:szCs w:val="24"/>
        </w:rPr>
        <w:t xml:space="preserve">how to get the right level for an individual and why it is important. </w:t>
      </w:r>
      <w:r w:rsidR="00A70431" w:rsidRPr="006B027F">
        <w:rPr>
          <w:rFonts w:ascii="Arial" w:hAnsi="Arial" w:cs="Arial"/>
          <w:sz w:val="24"/>
          <w:szCs w:val="24"/>
        </w:rPr>
        <w:t xml:space="preserve"> </w:t>
      </w:r>
    </w:p>
    <w:p w14:paraId="6C825E95" w14:textId="0C2BC812" w:rsidR="00A70431" w:rsidRPr="00061A01" w:rsidRDefault="00A70431" w:rsidP="002424E3">
      <w:pPr>
        <w:pStyle w:val="ListParagraph"/>
        <w:numPr>
          <w:ilvl w:val="0"/>
          <w:numId w:val="5"/>
        </w:numPr>
        <w:spacing w:line="480" w:lineRule="auto"/>
        <w:rPr>
          <w:rFonts w:cs="Arial"/>
          <w:szCs w:val="24"/>
        </w:rPr>
      </w:pPr>
      <w:r w:rsidRPr="006B027F">
        <w:rPr>
          <w:rFonts w:ascii="Arial" w:hAnsi="Arial" w:cs="Arial"/>
          <w:sz w:val="24"/>
          <w:szCs w:val="24"/>
        </w:rPr>
        <w:t xml:space="preserve">Preparedness was found to be supported by belonging, mentoring, role modelling, community and team, all of which fed </w:t>
      </w:r>
      <w:r w:rsidR="000A27DF">
        <w:rPr>
          <w:rFonts w:ascii="Arial" w:hAnsi="Arial" w:cs="Arial"/>
          <w:sz w:val="24"/>
          <w:szCs w:val="24"/>
        </w:rPr>
        <w:t>into</w:t>
      </w:r>
      <w:r w:rsidRPr="006B027F">
        <w:rPr>
          <w:rFonts w:ascii="Arial" w:hAnsi="Arial" w:cs="Arial"/>
          <w:sz w:val="24"/>
          <w:szCs w:val="24"/>
        </w:rPr>
        <w:t xml:space="preserve"> enhancement of emotional preparedness. </w:t>
      </w:r>
      <w:r w:rsidR="00DC3BFC">
        <w:rPr>
          <w:rFonts w:ascii="Arial" w:hAnsi="Arial" w:cs="Arial"/>
          <w:sz w:val="24"/>
          <w:szCs w:val="24"/>
        </w:rPr>
        <w:t xml:space="preserve">This study supports the literature on mentoring and </w:t>
      </w:r>
      <w:r w:rsidR="00E31B32">
        <w:rPr>
          <w:rFonts w:ascii="Arial" w:hAnsi="Arial" w:cs="Arial"/>
          <w:sz w:val="24"/>
          <w:szCs w:val="24"/>
        </w:rPr>
        <w:t xml:space="preserve">belonging </w:t>
      </w:r>
      <w:r w:rsidR="00DC3BFC">
        <w:rPr>
          <w:rFonts w:ascii="Arial" w:hAnsi="Arial" w:cs="Arial"/>
          <w:sz w:val="24"/>
          <w:szCs w:val="24"/>
        </w:rPr>
        <w:t>and adds new knowledge and understanding</w:t>
      </w:r>
      <w:r w:rsidR="00A97FA5" w:rsidRPr="006B027F">
        <w:rPr>
          <w:rFonts w:ascii="Arial" w:hAnsi="Arial" w:cs="Arial"/>
          <w:sz w:val="24"/>
          <w:szCs w:val="24"/>
        </w:rPr>
        <w:t xml:space="preserve"> surrounding the importance of emotional preparedness in transition and emotional intelligence in </w:t>
      </w:r>
      <w:r w:rsidR="00036713">
        <w:rPr>
          <w:rFonts w:ascii="Arial" w:hAnsi="Arial" w:cs="Arial"/>
          <w:sz w:val="24"/>
          <w:szCs w:val="24"/>
        </w:rPr>
        <w:t xml:space="preserve">professional development for faculty and </w:t>
      </w:r>
      <w:r w:rsidR="00E31B32" w:rsidRPr="00E31B32">
        <w:rPr>
          <w:rFonts w:ascii="Arial" w:hAnsi="Arial" w:cs="Arial"/>
          <w:sz w:val="24"/>
          <w:szCs w:val="24"/>
        </w:rPr>
        <w:t>undergradu</w:t>
      </w:r>
      <w:r w:rsidR="00A97FA5" w:rsidRPr="006B027F">
        <w:rPr>
          <w:rFonts w:ascii="Arial" w:hAnsi="Arial" w:cs="Arial"/>
          <w:sz w:val="24"/>
          <w:szCs w:val="24"/>
        </w:rPr>
        <w:t xml:space="preserve">ate medical students.  </w:t>
      </w:r>
    </w:p>
    <w:p w14:paraId="36655CBB" w14:textId="07FEC335" w:rsidR="00A97FA5" w:rsidRPr="00061A01" w:rsidRDefault="00A97FA5" w:rsidP="002424E3">
      <w:pPr>
        <w:pStyle w:val="ListParagraph"/>
        <w:numPr>
          <w:ilvl w:val="0"/>
          <w:numId w:val="5"/>
        </w:numPr>
        <w:spacing w:line="480" w:lineRule="auto"/>
        <w:rPr>
          <w:rFonts w:cs="Arial"/>
          <w:szCs w:val="24"/>
        </w:rPr>
      </w:pPr>
      <w:r w:rsidRPr="006B027F">
        <w:rPr>
          <w:rFonts w:ascii="Arial" w:hAnsi="Arial" w:cs="Arial"/>
          <w:sz w:val="24"/>
          <w:szCs w:val="24"/>
        </w:rPr>
        <w:t>T</w:t>
      </w:r>
      <w:r w:rsidR="00A70431" w:rsidRPr="006B027F">
        <w:rPr>
          <w:rFonts w:ascii="Arial" w:hAnsi="Arial" w:cs="Arial"/>
          <w:sz w:val="24"/>
          <w:szCs w:val="24"/>
        </w:rPr>
        <w:t>hrough triangulation of multiple stakeholder views</w:t>
      </w:r>
      <w:r w:rsidRPr="006B027F">
        <w:rPr>
          <w:rFonts w:ascii="Arial" w:hAnsi="Arial" w:cs="Arial"/>
          <w:sz w:val="24"/>
          <w:szCs w:val="24"/>
        </w:rPr>
        <w:t xml:space="preserve"> this study has built on others that have </w:t>
      </w:r>
      <w:r w:rsidR="0087581E">
        <w:rPr>
          <w:rFonts w:ascii="Arial" w:hAnsi="Arial" w:cs="Arial"/>
          <w:sz w:val="24"/>
          <w:szCs w:val="24"/>
        </w:rPr>
        <w:t>focused</w:t>
      </w:r>
      <w:r w:rsidRPr="006B027F">
        <w:rPr>
          <w:rFonts w:ascii="Arial" w:hAnsi="Arial" w:cs="Arial"/>
          <w:sz w:val="24"/>
          <w:szCs w:val="24"/>
        </w:rPr>
        <w:t xml:space="preserve"> on single groups and emphasised the importance of multiple viewpoints when designing education. </w:t>
      </w:r>
    </w:p>
    <w:p w14:paraId="5ECDA47D" w14:textId="53D12A1B" w:rsidR="00A97FA5" w:rsidRPr="00061A01" w:rsidRDefault="00A97FA5" w:rsidP="002424E3">
      <w:pPr>
        <w:pStyle w:val="ListParagraph"/>
        <w:numPr>
          <w:ilvl w:val="0"/>
          <w:numId w:val="5"/>
        </w:numPr>
        <w:spacing w:line="480" w:lineRule="auto"/>
        <w:rPr>
          <w:rFonts w:cs="Arial"/>
          <w:szCs w:val="24"/>
        </w:rPr>
      </w:pPr>
      <w:r w:rsidRPr="006B027F">
        <w:rPr>
          <w:rFonts w:ascii="Arial" w:hAnsi="Arial" w:cs="Arial"/>
          <w:sz w:val="24"/>
          <w:szCs w:val="24"/>
        </w:rPr>
        <w:t>T</w:t>
      </w:r>
      <w:r w:rsidR="00A70431" w:rsidRPr="006B027F">
        <w:rPr>
          <w:rFonts w:ascii="Arial" w:hAnsi="Arial" w:cs="Arial"/>
          <w:sz w:val="24"/>
          <w:szCs w:val="24"/>
        </w:rPr>
        <w:t xml:space="preserve">hese findings are based on the undergraduate medical student population, </w:t>
      </w:r>
      <w:r w:rsidRPr="006B027F">
        <w:rPr>
          <w:rFonts w:ascii="Arial" w:hAnsi="Arial" w:cs="Arial"/>
          <w:sz w:val="24"/>
          <w:szCs w:val="24"/>
        </w:rPr>
        <w:t xml:space="preserve">however, </w:t>
      </w:r>
      <w:r w:rsidR="00A70431" w:rsidRPr="006B027F">
        <w:rPr>
          <w:rFonts w:ascii="Arial" w:hAnsi="Arial" w:cs="Arial"/>
          <w:sz w:val="24"/>
          <w:szCs w:val="24"/>
        </w:rPr>
        <w:t>through conceptualisation, they are</w:t>
      </w:r>
      <w:r w:rsidR="00036713">
        <w:rPr>
          <w:rFonts w:ascii="Arial" w:hAnsi="Arial" w:cs="Arial"/>
          <w:sz w:val="24"/>
          <w:szCs w:val="24"/>
        </w:rPr>
        <w:t xml:space="preserve"> believed</w:t>
      </w:r>
      <w:r w:rsidR="00A70431" w:rsidRPr="006B027F">
        <w:rPr>
          <w:rFonts w:ascii="Arial" w:hAnsi="Arial" w:cs="Arial"/>
          <w:sz w:val="24"/>
          <w:szCs w:val="24"/>
        </w:rPr>
        <w:t xml:space="preserve"> more widely applicable to any transition </w:t>
      </w:r>
      <w:r w:rsidR="000A27DF">
        <w:rPr>
          <w:rFonts w:ascii="Arial" w:hAnsi="Arial" w:cs="Arial"/>
          <w:sz w:val="24"/>
          <w:szCs w:val="24"/>
        </w:rPr>
        <w:t>into</w:t>
      </w:r>
      <w:r w:rsidR="00A70431" w:rsidRPr="006B027F">
        <w:rPr>
          <w:rFonts w:ascii="Arial" w:hAnsi="Arial" w:cs="Arial"/>
          <w:sz w:val="24"/>
          <w:szCs w:val="24"/>
        </w:rPr>
        <w:t xml:space="preserve"> a complex and </w:t>
      </w:r>
      <w:r w:rsidR="00FA622A" w:rsidRPr="006B027F">
        <w:rPr>
          <w:rFonts w:ascii="Arial" w:hAnsi="Arial" w:cs="Arial"/>
          <w:sz w:val="24"/>
          <w:szCs w:val="24"/>
        </w:rPr>
        <w:t>high-pressure</w:t>
      </w:r>
      <w:r w:rsidR="00A70431" w:rsidRPr="006B027F">
        <w:rPr>
          <w:rFonts w:ascii="Arial" w:hAnsi="Arial" w:cs="Arial"/>
          <w:sz w:val="24"/>
          <w:szCs w:val="24"/>
        </w:rPr>
        <w:t xml:space="preserve"> environment. </w:t>
      </w:r>
    </w:p>
    <w:p w14:paraId="76603A8A" w14:textId="5B94FFA1" w:rsidR="00A70431" w:rsidRDefault="00A70431" w:rsidP="00334E70">
      <w:r>
        <w:t xml:space="preserve">These elements will be discussed further and comparisons made to existing knowledge, theory and literature. </w:t>
      </w:r>
    </w:p>
    <w:p w14:paraId="394FB416" w14:textId="77777777" w:rsidR="003015FC" w:rsidRPr="00A70431" w:rsidRDefault="003015FC" w:rsidP="00334E70"/>
    <w:p w14:paraId="23B23E27" w14:textId="3AC976ED" w:rsidR="00CC2587" w:rsidRDefault="00A9716A" w:rsidP="00187756">
      <w:pPr>
        <w:pStyle w:val="Heading2"/>
      </w:pPr>
      <w:bookmarkStart w:id="431" w:name="_Toc419116206"/>
      <w:r>
        <w:lastRenderedPageBreak/>
        <w:t>Preparedness for practice</w:t>
      </w:r>
      <w:bookmarkStart w:id="432" w:name="_Toc348686438"/>
      <w:bookmarkEnd w:id="431"/>
      <w:bookmarkEnd w:id="432"/>
    </w:p>
    <w:p w14:paraId="080731CB" w14:textId="77777777" w:rsidR="00CC2587" w:rsidRDefault="00CC2587" w:rsidP="00CC2587"/>
    <w:p w14:paraId="7AC10995" w14:textId="16046699" w:rsidR="00036713" w:rsidRDefault="00CC2587" w:rsidP="00036713">
      <w:r>
        <w:t xml:space="preserve">The literature </w:t>
      </w:r>
      <w:r w:rsidR="00C3252A">
        <w:t xml:space="preserve">highlights </w:t>
      </w:r>
      <w:r>
        <w:t xml:space="preserve">particular </w:t>
      </w:r>
      <w:r w:rsidR="00036713">
        <w:t xml:space="preserve">clinical </w:t>
      </w:r>
      <w:r>
        <w:t>areas that medical students do not feel prepared fo</w:t>
      </w:r>
      <w:r w:rsidR="002A134F">
        <w:t>r</w:t>
      </w:r>
      <w:r w:rsidR="00044B25">
        <w:t xml:space="preserve">. </w:t>
      </w:r>
      <w:r w:rsidR="00036713">
        <w:t>However there is a lack of depth about what it is that makes students feel underprepared</w:t>
      </w:r>
      <w:r w:rsidR="00036713" w:rsidRPr="00036713">
        <w:t xml:space="preserve"> </w:t>
      </w:r>
      <w:r w:rsidR="00036713">
        <w:t xml:space="preserve">and what preparedness means to various stakeholders. </w:t>
      </w:r>
      <w:r w:rsidR="002A134F">
        <w:t xml:space="preserve">This study addresses these gaps in the literature. </w:t>
      </w:r>
      <w:r w:rsidR="004F0C27">
        <w:t>Experts viewed</w:t>
      </w:r>
      <w:r w:rsidR="002A134F">
        <w:t xml:space="preserve"> preparedness as objective and competence based, </w:t>
      </w:r>
      <w:r w:rsidR="004F0C27">
        <w:t xml:space="preserve">in contrast to </w:t>
      </w:r>
      <w:r w:rsidR="002A134F">
        <w:t xml:space="preserve">students, as subjective and related to confidence. This step ensured </w:t>
      </w:r>
      <w:r w:rsidR="004F0C27">
        <w:t xml:space="preserve">use of </w:t>
      </w:r>
      <w:r w:rsidR="002A134F">
        <w:t>the correct measure to</w:t>
      </w:r>
      <w:r w:rsidR="004F0C27">
        <w:t xml:space="preserve"> match the interpretation of</w:t>
      </w:r>
      <w:r w:rsidR="002A134F">
        <w:t xml:space="preserve"> students studied. </w:t>
      </w:r>
      <w:r w:rsidR="00FA622A">
        <w:t>This phenomenon</w:t>
      </w:r>
      <w:r w:rsidR="002A134F">
        <w:t xml:space="preserve"> may be related to experts viewing preparedness from a retrospective stance of their own experience of FY1 and students viewing preparedness prospectively for starting FY1. The GMC preparedness questionnaire asks about prospective </w:t>
      </w:r>
      <w:r w:rsidR="004F0C27">
        <w:t>subjective preparedness, so</w:t>
      </w:r>
      <w:r w:rsidR="002A134F">
        <w:t xml:space="preserve"> has been used as a </w:t>
      </w:r>
      <w:r w:rsidR="00FA622A">
        <w:t>benchmark</w:t>
      </w:r>
      <w:r w:rsidR="002A134F">
        <w:t xml:space="preserve">. In this study, </w:t>
      </w:r>
      <w:r w:rsidR="00036713">
        <w:t>the disconnect between knowledge and on paper competence, versus actual performance in an authentic clinical enviro</w:t>
      </w:r>
      <w:r w:rsidR="002A134F">
        <w:t>nment has been exposed. F</w:t>
      </w:r>
      <w:r w:rsidR="00036713">
        <w:t xml:space="preserve">indings suggest we are good at physical </w:t>
      </w:r>
      <w:r w:rsidR="00DF3F83">
        <w:t>task-</w:t>
      </w:r>
      <w:r w:rsidR="002A134F">
        <w:t xml:space="preserve">based </w:t>
      </w:r>
      <w:r w:rsidR="00036713">
        <w:t xml:space="preserve">preparation and knowledge but </w:t>
      </w:r>
      <w:r w:rsidR="004F0C27">
        <w:t xml:space="preserve">fail to support </w:t>
      </w:r>
      <w:r w:rsidR="00036713">
        <w:t>preparedness for complexity, behavioural reactions, emotion and cognitive processes. These elements were discovered through pra</w:t>
      </w:r>
      <w:r w:rsidR="002A134F">
        <w:t>ctising under pressure</w:t>
      </w:r>
      <w:r w:rsidR="00036713">
        <w:t xml:space="preserve"> in a supportive environment, with the </w:t>
      </w:r>
      <w:r w:rsidR="00285181">
        <w:t>c</w:t>
      </w:r>
      <w:r w:rsidR="005F705F">
        <w:t>andidate</w:t>
      </w:r>
      <w:r w:rsidR="00036713">
        <w:t xml:space="preserve"> at the core, taking full respons</w:t>
      </w:r>
      <w:r w:rsidR="002A134F">
        <w:t>ibility for the patient. This was</w:t>
      </w:r>
      <w:r w:rsidR="00036713">
        <w:t xml:space="preserve"> felt </w:t>
      </w:r>
      <w:r w:rsidR="002A134F">
        <w:t xml:space="preserve">to be where the gap in </w:t>
      </w:r>
      <w:proofErr w:type="spellStart"/>
      <w:r w:rsidR="001D42C9">
        <w:t>underpreparedness</w:t>
      </w:r>
      <w:proofErr w:type="spellEnd"/>
      <w:r w:rsidR="00036713">
        <w:t xml:space="preserve"> lies. </w:t>
      </w:r>
    </w:p>
    <w:p w14:paraId="386BDC7C" w14:textId="77777777" w:rsidR="00C710FC" w:rsidRDefault="0087338D" w:rsidP="00C710FC">
      <w:r>
        <w:t xml:space="preserve">Overall confidence was seen to increase following the course with curriculum mapped learning outcomes for FY1. The use of repeated-measures or ‘within subjects’ design does not mean that any changes in confidence scores are </w:t>
      </w:r>
      <w:r>
        <w:lastRenderedPageBreak/>
        <w:t xml:space="preserve">definitely attributable to the course, and it can be argued that learners will always benefit from an extra educational session. However the quantitative side has allowed exploration of the relationship between confidence and performance, and focus groups allowed qualitative exploration of personal views to aid understanding of phenomena. </w:t>
      </w:r>
      <w:r w:rsidR="00C710FC">
        <w:t xml:space="preserve">There will always be some variation in performance that will not be accounted for by the experimental manipulation caused by unknown factors (unsystematic variation), and this may be influenced by the fact the pre-course scores were collected earlier in the day before the course, and the post-test later in the day, and also how the participants were feeling at the time. With the delayed scores, again there would have been influences on performance and self-perceived confidence, however, because the participants were the same, this limited the unsystematic variation as much as is possible. </w:t>
      </w:r>
    </w:p>
    <w:p w14:paraId="69DF1A16" w14:textId="7F12B12A" w:rsidR="00DF5DAB" w:rsidRDefault="00DF5DAB" w:rsidP="00CC2587">
      <w:r>
        <w:t>In terms of gender, males were found to rate their baseline confidence on average higher than females</w:t>
      </w:r>
      <w:r w:rsidR="00EC5E92">
        <w:t xml:space="preserve"> (Table 7-1; p238</w:t>
      </w:r>
      <w:r w:rsidR="00071C0B">
        <w:t>)</w:t>
      </w:r>
      <w:r>
        <w:t>. Females were found on average to have higher formative assessment marks</w:t>
      </w:r>
      <w:r w:rsidR="00EC5E92">
        <w:t xml:space="preserve"> (Table 7-2; p239</w:t>
      </w:r>
      <w:r w:rsidR="00071C0B">
        <w:t>)</w:t>
      </w:r>
      <w:r>
        <w:t xml:space="preserve">. These differences may be due to the number </w:t>
      </w:r>
      <w:r w:rsidR="009D2A46">
        <w:t>discrepancy</w:t>
      </w:r>
      <w:r>
        <w:t xml:space="preserve"> with two thirds of participants female and one third male (representative of UK medical school intake). Or this may be representative of true gender differences. It was beyond the scope of this study to explore this in more depth. </w:t>
      </w:r>
    </w:p>
    <w:p w14:paraId="6064AFDB" w14:textId="15EE704C" w:rsidR="00DF5DAB" w:rsidRDefault="00DF5DAB" w:rsidP="00CC2587">
      <w:r>
        <w:t xml:space="preserve">University 1 participants were </w:t>
      </w:r>
      <w:r w:rsidR="009D2A46">
        <w:t>found</w:t>
      </w:r>
      <w:r>
        <w:t xml:space="preserve"> to score t</w:t>
      </w:r>
      <w:r w:rsidR="00BB75FD">
        <w:t>hemselves as more confident than</w:t>
      </w:r>
      <w:r>
        <w:t xml:space="preserve"> University 2</w:t>
      </w:r>
      <w:r w:rsidR="00071C0B">
        <w:t xml:space="preserve"> (</w:t>
      </w:r>
      <w:r w:rsidR="00EC5E92">
        <w:t>Table 7-3; p240</w:t>
      </w:r>
      <w:r w:rsidR="00071C0B">
        <w:t>)</w:t>
      </w:r>
      <w:r>
        <w:t xml:space="preserve">. The curricula were similar so this difference is most likely due to the difference in numbers of participants (59 </w:t>
      </w:r>
      <w:r w:rsidR="009D2A46">
        <w:t>vs.</w:t>
      </w:r>
      <w:r>
        <w:t xml:space="preserve"> 35 respectively). In addition University 1 participants took part in the course later in </w:t>
      </w:r>
      <w:r>
        <w:lastRenderedPageBreak/>
        <w:t xml:space="preserve">the academic year so had taken part in more learning </w:t>
      </w:r>
      <w:r w:rsidR="009D2A46">
        <w:t>opportunities</w:t>
      </w:r>
      <w:r>
        <w:t xml:space="preserve"> than University 2. This is again beyond the scope of this study and </w:t>
      </w:r>
      <w:r w:rsidR="009D2A46">
        <w:t>previous</w:t>
      </w:r>
      <w:r>
        <w:t xml:space="preserve"> studies have </w:t>
      </w:r>
      <w:r w:rsidR="009D2A46">
        <w:t>explored</w:t>
      </w:r>
      <w:r>
        <w:t xml:space="preserve"> curricula </w:t>
      </w:r>
      <w:r w:rsidR="009D2A46">
        <w:t>differences</w:t>
      </w:r>
      <w:r>
        <w:t xml:space="preserve"> and preparedness as presented in Chapter </w:t>
      </w:r>
      <w:r w:rsidR="00CD66D5">
        <w:t xml:space="preserve">2. </w:t>
      </w:r>
    </w:p>
    <w:p w14:paraId="69CDE5CA" w14:textId="5DD81999" w:rsidR="00071C0B" w:rsidRDefault="00071C0B" w:rsidP="00CC2587">
      <w:r>
        <w:t>In terms of self-rated confidence and performance, there was seen to be an optimum level of performance with a range of confidence scores from four to seven out of 10. Those at the two extremes of confidence (n=4 participants) demonstrated the</w:t>
      </w:r>
      <w:r w:rsidR="00517951">
        <w:t xml:space="preserve"> poorest performance (Table 7-4; p241</w:t>
      </w:r>
      <w:r>
        <w:t xml:space="preserve">). This is a small number so care with interpretation needs to be made, however these people may represent those with less insight at the </w:t>
      </w:r>
      <w:r w:rsidR="009D2A46">
        <w:t>higher</w:t>
      </w:r>
      <w:r>
        <w:t xml:space="preserve"> confidence levels and those that are struggling at the lower levels of confidence. It is also of intere</w:t>
      </w:r>
      <w:r w:rsidR="00D11D71">
        <w:t>s</w:t>
      </w:r>
      <w:r>
        <w:t>t that those with low confidence needed a lot more encouragement during scenarios and this highli</w:t>
      </w:r>
      <w:r w:rsidR="00D11D71">
        <w:t>ghts the need for personal learn</w:t>
      </w:r>
      <w:r>
        <w:t>ing and creating conditions for optimum pressure for individuals to learn</w:t>
      </w:r>
      <w:r w:rsidR="00517951">
        <w:t xml:space="preserve"> (p313 - 318</w:t>
      </w:r>
      <w:r w:rsidR="00676BB6">
        <w:t>)</w:t>
      </w:r>
      <w:r w:rsidR="007213F8">
        <w:t xml:space="preserve">. Those that were over confident and quick to make decisions were noted that when they made a mistake they were more humbled to the responsibility and the consequences of their actions and decisions. Those that were less confident and inhibited by this during the scenarios were seen to doubt their decisions and were unsure of their role and responsibility to instigate treatment (Cases). They were encouraged, supported and clarity over </w:t>
      </w:r>
      <w:r w:rsidR="009D2A46">
        <w:t>expectations</w:t>
      </w:r>
      <w:r w:rsidR="007213F8">
        <w:t xml:space="preserve"> and responsibility helped them to become visibly more vocal, confident and clear. </w:t>
      </w:r>
    </w:p>
    <w:p w14:paraId="63A52FAF" w14:textId="00E9EA8B" w:rsidR="007213F8" w:rsidRDefault="007213F8" w:rsidP="00CC2587">
      <w:r>
        <w:t xml:space="preserve">There was a link between those that increased or maintained confidence performing well and those that reduced in confidence had a poorer performance (n=2). </w:t>
      </w:r>
      <w:r w:rsidR="00D11D71">
        <w:t xml:space="preserve">There was a positive correlation with </w:t>
      </w:r>
      <w:r w:rsidR="009D2A46">
        <w:t>increasing</w:t>
      </w:r>
      <w:r w:rsidR="00D11D71">
        <w:t xml:space="preserve"> confidence and </w:t>
      </w:r>
      <w:r w:rsidR="00D11D71">
        <w:lastRenderedPageBreak/>
        <w:t xml:space="preserve">increasing </w:t>
      </w:r>
      <w:r w:rsidR="009D2A46">
        <w:t>performance</w:t>
      </w:r>
      <w:r w:rsidR="00517951">
        <w:t xml:space="preserve"> (p241-243</w:t>
      </w:r>
      <w:r w:rsidR="00D11D71">
        <w:t>). The poor performers are small numbers. T</w:t>
      </w:r>
      <w:r>
        <w:t>he majori</w:t>
      </w:r>
      <w:r w:rsidR="00D11D71">
        <w:t>ty support the notion that self-</w:t>
      </w:r>
      <w:r>
        <w:t>rated confidence is representative of performance and preparedness in the eyes of medical students (Chapter 6</w:t>
      </w:r>
      <w:r w:rsidR="00517951">
        <w:t>; p143-144; Figure 4-1</w:t>
      </w:r>
      <w:r>
        <w:t>). The change in confidence must be interpreted with care due to the rating scare of 1-10, meaning that s</w:t>
      </w:r>
      <w:r w:rsidR="00477499">
        <w:t xml:space="preserve">ome scores </w:t>
      </w:r>
      <w:r w:rsidR="009D2A46">
        <w:t>cannot</w:t>
      </w:r>
      <w:r w:rsidR="00477499">
        <w:t xml:space="preserve"> be increased</w:t>
      </w:r>
      <w:r>
        <w:t>.</w:t>
      </w:r>
    </w:p>
    <w:p w14:paraId="446EC0F2" w14:textId="15056C8D" w:rsidR="00477499" w:rsidRDefault="00477499" w:rsidP="00CC2587">
      <w:r>
        <w:t xml:space="preserve">Those participants that felt most prepared and were able to initiate treatment when they saw an acutely unwell patient </w:t>
      </w:r>
      <w:r w:rsidR="009D2A46">
        <w:t>one-month</w:t>
      </w:r>
      <w:r>
        <w:t xml:space="preserve"> in to FY1, were those with the </w:t>
      </w:r>
      <w:r w:rsidR="00D76FEB">
        <w:t>highest baseline confidence (Table 7-8; p247</w:t>
      </w:r>
      <w:r>
        <w:t>). This quantitative data supports the qualitative data from focus groups on confidence representing preparedness to medical students</w:t>
      </w:r>
      <w:r w:rsidR="00D76FEB">
        <w:t xml:space="preserve"> (p143-144</w:t>
      </w:r>
      <w:r w:rsidR="00FA1A1F">
        <w:t>)</w:t>
      </w:r>
      <w:r>
        <w:t xml:space="preserve">. Though it is self-rated and subjective, </w:t>
      </w:r>
      <w:r w:rsidR="009D2A46">
        <w:t>these</w:t>
      </w:r>
      <w:r>
        <w:t xml:space="preserve"> data highlight the importance of confidence related to ability and action in the clinical workplace. Patient outcomes have not been sourced related to that trea</w:t>
      </w:r>
      <w:r w:rsidR="009D2A46">
        <w:t>t</w:t>
      </w:r>
      <w:r>
        <w:t xml:space="preserve">ment because this goes beyond the scope of this study. </w:t>
      </w:r>
    </w:p>
    <w:p w14:paraId="22D5FCE4" w14:textId="4507CB23" w:rsidR="00AB70D6" w:rsidRDefault="00AB70D6" w:rsidP="00CC2587">
      <w:r>
        <w:t>In terms of expectations, 95% of candidates agreed they were aware of expectations for FY1 one</w:t>
      </w:r>
      <w:r w:rsidR="00D76FEB">
        <w:t xml:space="preserve"> week following the course (</w:t>
      </w:r>
      <w:r w:rsidR="001E19EA">
        <w:t xml:space="preserve">Table 7-9; </w:t>
      </w:r>
      <w:r w:rsidR="00D76FEB">
        <w:t>p249</w:t>
      </w:r>
      <w:r>
        <w:t xml:space="preserve">). Those most aware were also those that were most confident. Awareness of expectations has been emphasised over again with regards to </w:t>
      </w:r>
      <w:r w:rsidR="009D2A46">
        <w:t>supporting</w:t>
      </w:r>
      <w:r>
        <w:t xml:space="preserve"> transition in preparing for practice</w:t>
      </w:r>
      <w:r w:rsidR="00FA1A1F">
        <w:t xml:space="preserve"> (</w:t>
      </w:r>
      <w:r w:rsidR="00461FD0">
        <w:t>p283-4, p306</w:t>
      </w:r>
      <w:r w:rsidR="00FA1A1F">
        <w:t>)</w:t>
      </w:r>
      <w:r>
        <w:t xml:space="preserve">. </w:t>
      </w:r>
    </w:p>
    <w:p w14:paraId="7DA6BB1A" w14:textId="0EE949A7" w:rsidR="00AB70D6" w:rsidRDefault="00AB70D6" w:rsidP="00CC2587">
      <w:r>
        <w:t>The largest changes in confidence related to FP and TD mapped domains following the course were in responding to crash call, verbal referrals</w:t>
      </w:r>
      <w:r w:rsidR="00636075">
        <w:t>, developing leadership skills, escalation of care, starting treatment and managing self under stress</w:t>
      </w:r>
      <w:r w:rsidR="00461FD0">
        <w:t xml:space="preserve"> (Figure 7-2; p250</w:t>
      </w:r>
      <w:r w:rsidR="00174842">
        <w:t>)</w:t>
      </w:r>
      <w:r w:rsidR="00636075">
        <w:t xml:space="preserve">. All of these areas are linked in with human factors, patient safety, managing complexity and areas that can be </w:t>
      </w:r>
      <w:r w:rsidR="00636075">
        <w:lastRenderedPageBreak/>
        <w:t xml:space="preserve">a challenge to teach and require meaningful </w:t>
      </w:r>
      <w:r w:rsidR="00DA358C">
        <w:t>inter</w:t>
      </w:r>
      <w:r w:rsidR="009D2A46">
        <w:t>professional</w:t>
      </w:r>
      <w:r w:rsidR="00636075">
        <w:t xml:space="preserve"> education opportunities</w:t>
      </w:r>
      <w:r w:rsidR="00461FD0">
        <w:t xml:space="preserve"> (p268-9, p332-30</w:t>
      </w:r>
      <w:r w:rsidR="00FA1A1F">
        <w:t>)</w:t>
      </w:r>
      <w:r w:rsidR="00636075">
        <w:t xml:space="preserve">. </w:t>
      </w:r>
    </w:p>
    <w:p w14:paraId="34670A1D" w14:textId="4BABD9A4" w:rsidR="007C7B93" w:rsidRDefault="00CD658D" w:rsidP="00CC2587">
      <w:r>
        <w:t>Self-assessment</w:t>
      </w:r>
      <w:r w:rsidR="00044B25">
        <w:t xml:space="preserve"> through s</w:t>
      </w:r>
      <w:r w:rsidR="00EB425A">
        <w:t>ubject</w:t>
      </w:r>
      <w:r w:rsidR="00C3252A">
        <w:t>ive measures can be</w:t>
      </w:r>
      <w:r w:rsidR="00EB425A">
        <w:t xml:space="preserve"> </w:t>
      </w:r>
      <w:r w:rsidR="00FA622A">
        <w:t>criticised</w:t>
      </w:r>
      <w:r w:rsidR="00DF3F83">
        <w:t xml:space="preserve"> in research </w:t>
      </w:r>
      <w:r w:rsidR="00EB425A">
        <w:t>however through field notes</w:t>
      </w:r>
      <w:r w:rsidR="009D57F1">
        <w:t>, subjective feelings and</w:t>
      </w:r>
      <w:r w:rsidR="00EB425A">
        <w:t xml:space="preserve"> interpretations</w:t>
      </w:r>
      <w:r w:rsidR="00044B25">
        <w:t xml:space="preserve"> were seen to</w:t>
      </w:r>
      <w:r w:rsidR="00EB425A">
        <w:t xml:space="preserve"> influence behaviour and ability to think and act. </w:t>
      </w:r>
      <w:r w:rsidR="00FA622A">
        <w:t xml:space="preserve">Others concur that self-assessment is core to professional self-regulation </w:t>
      </w:r>
      <w:r w:rsidR="00FA622A">
        <w:fldChar w:fldCharType="begin">
          <w:fldData xml:space="preserve">PEVuZE5vdGU+PENpdGU+PEF1dGhvcj5Hb3Jkb248L0F1dGhvcj48WWVhcj4xOTkxPC9ZZWFyPjxJ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</w:fldData>
        </w:fldChar>
      </w:r>
      <w:r w:rsidR="00FA622A">
        <w:instrText xml:space="preserve"> ADDIN EN.CITE </w:instrText>
      </w:r>
      <w:r w:rsidR="00FA622A">
        <w:fldChar w:fldCharType="begin">
          <w:fldData xml:space="preserve">PEVuZE5vdGU+PENpdGU+PEF1dGhvcj5Hb3Jkb248L0F1dGhvcj48WWVhcj4xOTkxPC9ZZWFyPjxJ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</w:fldData>
        </w:fldChar>
      </w:r>
      <w:r w:rsidR="00FA622A">
        <w:instrText xml:space="preserve"> ADDIN EN.CITE.DATA </w:instrText>
      </w:r>
      <w:r w:rsidR="00FA622A">
        <w:fldChar w:fldCharType="end"/>
      </w:r>
      <w:r w:rsidR="00FA622A">
        <w:fldChar w:fldCharType="separate"/>
      </w:r>
      <w:r w:rsidR="00FA622A">
        <w:rPr>
          <w:noProof/>
        </w:rPr>
        <w:t>(Gordon, 1991, Arnold et al., 1985)</w:t>
      </w:r>
      <w:r w:rsidR="00FA622A">
        <w:fldChar w:fldCharType="end"/>
      </w:r>
      <w:r w:rsidR="00FA622A">
        <w:t xml:space="preserve">. </w:t>
      </w:r>
      <w:r w:rsidR="00CE13E3">
        <w:t xml:space="preserve">It is reported that there has been a ‘failure to explicate the role of </w:t>
      </w:r>
      <w:r>
        <w:t>self-assessment</w:t>
      </w:r>
      <w:r w:rsidR="00CE13E3">
        <w:t xml:space="preserve"> in a self-regulating profession’ such as healthcare </w:t>
      </w:r>
      <w:r w:rsidR="00CE13E3">
        <w:fldChar w:fldCharType="begin"/>
      </w:r>
      <w:r w:rsidR="00CE13E3">
        <w:instrText xml:space="preserve"> ADDIN EN.CITE &lt;EndNote&gt;&lt;Cite&gt;&lt;Author&gt;Eva&lt;/Author&gt;&lt;Year&gt;2005&lt;/Year&gt;&lt;IDText&gt;Self-assessment in the health professions: a reformulation and research agenda&lt;/IDText&gt;&lt;DisplayText&gt;(Eva and Regehr, 2005)&lt;/DisplayText&gt;&lt;record&gt;&lt;dates&gt;&lt;pub-dates&gt;&lt;date&gt;Oct&lt;/date&gt;&lt;/pub-dates&gt;&lt;year&gt;2005&lt;/year&gt;&lt;/dates&gt;&lt;keywords&gt;&lt;keyword&gt;Health Personnel&lt;/keyword&gt;&lt;keyword&gt;Humans&lt;/keyword&gt;&lt;keyword&gt;Knowledge&lt;/keyword&gt;&lt;keyword&gt;Models, Psychological&lt;/keyword&gt;&lt;keyword&gt;Research Design&lt;/keyword&gt;&lt;keyword&gt;Self Concept&lt;/keyword&gt;&lt;keyword&gt;Self Efficacy&lt;/keyword&gt;&lt;keyword&gt;Self-Assessment&lt;/keyword&gt;&lt;keyword&gt;Self-Evaluation Programs&lt;/keyword&gt;&lt;/keywords&gt;&lt;urls&gt;&lt;related-urls&gt;&lt;url&gt;https://www.ncbi.nlm.nih.gov/pubmed/16199457&lt;/url&gt;&lt;/related-urls&gt;&lt;/urls&gt;&lt;isbn&gt;1040-2446&lt;/isbn&gt;&lt;titles&gt;&lt;title&gt;Self-assessment in the health professions: a reformulation and research agenda&lt;/title&gt;&lt;secondary-title&gt;Acad Med&lt;/secondary-title&gt;&lt;/titles&gt;&lt;pages&gt;S46-54&lt;/pages&gt;&lt;number&gt;10 Suppl&lt;/number&gt;&lt;contributors&gt;&lt;authors&gt;&lt;author&gt;Eva, K. W.&lt;/author&gt;&lt;author&gt;Regehr, G.&lt;/author&gt;&lt;/authors&gt;&lt;/contributors&gt;&lt;language&gt;eng&lt;/language&gt;&lt;added-date format="utc"&gt;1496697856&lt;/added-date&gt;&lt;ref-type name="Journal Article"&gt;17&lt;/ref-type&gt;&lt;rec-number&gt;342&lt;/rec-number&gt;&lt;last-updated-date format="utc"&gt;1496697856&lt;/last-updated-date&gt;&lt;accession-num&gt;16199457&lt;/accession-num&gt;&lt;volume&gt;80&lt;/volume&gt;&lt;/record&gt;&lt;/Cite&gt;&lt;/EndNote&gt;</w:instrText>
      </w:r>
      <w:r w:rsidR="00CE13E3">
        <w:fldChar w:fldCharType="separate"/>
      </w:r>
      <w:r w:rsidR="00CE13E3">
        <w:rPr>
          <w:noProof/>
        </w:rPr>
        <w:t>(Eva and Regehr, 2005)</w:t>
      </w:r>
      <w:r w:rsidR="00CE13E3">
        <w:fldChar w:fldCharType="end"/>
      </w:r>
      <w:r w:rsidR="00CE13E3">
        <w:t xml:space="preserve">. </w:t>
      </w:r>
      <w:r w:rsidR="00FA622A">
        <w:t>Self-assessment</w:t>
      </w:r>
      <w:r w:rsidR="00CE13E3">
        <w:t xml:space="preserve"> is said to be useful to ‘identify stren</w:t>
      </w:r>
      <w:r w:rsidR="009A581D">
        <w:t>gths and weaknesses’</w:t>
      </w:r>
      <w:r w:rsidR="00DF3F83">
        <w:t>,</w:t>
      </w:r>
      <w:r w:rsidR="009A581D">
        <w:t xml:space="preserve"> to facilitat</w:t>
      </w:r>
      <w:r w:rsidR="00CE13E3">
        <w:t>e ‘self-limiting in areas of limited competence’</w:t>
      </w:r>
      <w:r w:rsidR="009A581D">
        <w:t>,</w:t>
      </w:r>
      <w:r w:rsidR="00CE13E3">
        <w:t xml:space="preserve"> to ‘set appropriate learning goals’ </w:t>
      </w:r>
      <w:r w:rsidR="009A581D">
        <w:t xml:space="preserve">and to ‘act with appropriate confidence’. It acts as a ‘monitor, a mentor and a motivator’ </w:t>
      </w:r>
      <w:r w:rsidR="00CE13E3">
        <w:fldChar w:fldCharType="begin"/>
      </w:r>
      <w:r w:rsidR="00CE13E3">
        <w:instrText xml:space="preserve"> ADDIN EN.CITE &lt;EndNote&gt;&lt;Cite&gt;&lt;Author&gt;Eva&lt;/Author&gt;&lt;Year&gt;2005&lt;/Year&gt;&lt;IDText&gt;Self-assessment in the health professions: a reformulation and research agenda&lt;/IDText&gt;&lt;DisplayText&gt;(Eva and Regehr, 2005)&lt;/DisplayText&gt;&lt;record&gt;&lt;dates&gt;&lt;pub-dates&gt;&lt;date&gt;Oct&lt;/date&gt;&lt;/pub-dates&gt;&lt;year&gt;2005&lt;/year&gt;&lt;/dates&gt;&lt;keywords&gt;&lt;keyword&gt;Health Personnel&lt;/keyword&gt;&lt;keyword&gt;Humans&lt;/keyword&gt;&lt;keyword&gt;Knowledge&lt;/keyword&gt;&lt;keyword&gt;Models, Psychological&lt;/keyword&gt;&lt;keyword&gt;Research Design&lt;/keyword&gt;&lt;keyword&gt;Self Concept&lt;/keyword&gt;&lt;keyword&gt;Self Efficacy&lt;/keyword&gt;&lt;keyword&gt;Self-Assessment&lt;/keyword&gt;&lt;keyword&gt;Self-Evaluation Programs&lt;/keyword&gt;&lt;/keywords&gt;&lt;urls&gt;&lt;related-urls&gt;&lt;url&gt;https://www.ncbi.nlm.nih.gov/pubmed/16199457&lt;/url&gt;&lt;/related-urls&gt;&lt;/urls&gt;&lt;isbn&gt;1040-2446&lt;/isbn&gt;&lt;titles&gt;&lt;title&gt;Self-assessment in the health professions: a reformulation and research agenda&lt;/title&gt;&lt;secondary-title&gt;Acad Med&lt;/secondary-title&gt;&lt;/titles&gt;&lt;pages&gt;S46-54&lt;/pages&gt;&lt;number&gt;10 Suppl&lt;/number&gt;&lt;contributors&gt;&lt;authors&gt;&lt;author&gt;Eva, K. W.&lt;/author&gt;&lt;author&gt;Regehr, G.&lt;/author&gt;&lt;/authors&gt;&lt;/contributors&gt;&lt;language&gt;eng&lt;/language&gt;&lt;added-date format="utc"&gt;1496697856&lt;/added-date&gt;&lt;ref-type name="Journal Article"&gt;17&lt;/ref-type&gt;&lt;rec-number&gt;342&lt;/rec-number&gt;&lt;last-updated-date format="utc"&gt;1496697856&lt;/last-updated-date&gt;&lt;accession-num&gt;16199457&lt;/accession-num&gt;&lt;volume&gt;80&lt;/volume&gt;&lt;/record&gt;&lt;/Cite&gt;&lt;/EndNote&gt;</w:instrText>
      </w:r>
      <w:r w:rsidR="00CE13E3">
        <w:fldChar w:fldCharType="separate"/>
      </w:r>
      <w:r w:rsidR="00CE13E3">
        <w:rPr>
          <w:noProof/>
        </w:rPr>
        <w:t>(Eva and Regehr, 2005)</w:t>
      </w:r>
      <w:r w:rsidR="00CE13E3">
        <w:fldChar w:fldCharType="end"/>
      </w:r>
      <w:r w:rsidR="009A581D">
        <w:t xml:space="preserve">. </w:t>
      </w:r>
      <w:r w:rsidR="00582A86">
        <w:t>B</w:t>
      </w:r>
      <w:r w:rsidR="00EB425A">
        <w:t xml:space="preserve">ehaviour is complex so when </w:t>
      </w:r>
      <w:r w:rsidR="00C06341">
        <w:t xml:space="preserve">trying to understand </w:t>
      </w:r>
      <w:r w:rsidR="00EB425A">
        <w:t>preparedness</w:t>
      </w:r>
      <w:r w:rsidR="00C06341">
        <w:t>,</w:t>
      </w:r>
      <w:r w:rsidR="00EB425A">
        <w:t xml:space="preserve"> subjective interpretation must be valued and explored. </w:t>
      </w:r>
      <w:r w:rsidR="00582A86">
        <w:t>Other</w:t>
      </w:r>
      <w:r w:rsidR="00EB425A">
        <w:t xml:space="preserve"> studies that report improved transition from undergraduate to junior doctor are </w:t>
      </w:r>
      <w:r w:rsidR="004A5A41">
        <w:t>also l</w:t>
      </w:r>
      <w:r w:rsidR="00EB425A">
        <w:t>argely based on subjective measur</w:t>
      </w:r>
      <w:r w:rsidR="00582A86">
        <w:t>es and relate to opportunities for</w:t>
      </w:r>
      <w:r w:rsidR="00EB425A">
        <w:t xml:space="preserve"> responsibility </w:t>
      </w:r>
      <w:r w:rsidR="004A5A41">
        <w:t>(</w:t>
      </w:r>
      <w:r w:rsidR="00EB425A">
        <w:t>student assistantships, shadowing, prolonged inductions</w:t>
      </w:r>
      <w:r w:rsidR="004A5A41">
        <w:t>, prescribing)</w:t>
      </w:r>
      <w:r w:rsidR="00EB425A">
        <w:t xml:space="preserve">, and some simulation interventions </w:t>
      </w:r>
      <w:r w:rsidR="00EB425A">
        <w:fldChar w:fldCharType="begin">
          <w:fldData xml:space="preserve">PEVuZE5vdGU+PENpdGU+PEF1dGhvcj5UYWxsZW50aXJlPC9BdXRob3I+PFllYXI+MjAxMjwvWWVh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=
</w:fldData>
        </w:fldChar>
      </w:r>
      <w:r w:rsidR="004A5A41">
        <w:instrText xml:space="preserve"> ADDIN EN.CITE </w:instrText>
      </w:r>
      <w:r w:rsidR="004A5A41">
        <w:fldChar w:fldCharType="begin">
          <w:fldData xml:space="preserve">PEVuZE5vdGU+PENpdGU+PEF1dGhvcj5UYWxsZW50aXJlPC9BdXRob3I+PFllYXI+MjAxMjwvWWVh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=
</w:fldData>
        </w:fldChar>
      </w:r>
      <w:r w:rsidR="004A5A41">
        <w:instrText xml:space="preserve"> ADDIN EN.CITE.DATA </w:instrText>
      </w:r>
      <w:r w:rsidR="004A5A41">
        <w:fldChar w:fldCharType="end"/>
      </w:r>
      <w:r w:rsidR="00EB425A">
        <w:fldChar w:fldCharType="separate"/>
      </w:r>
      <w:r w:rsidR="004A5A41">
        <w:rPr>
          <w:noProof/>
        </w:rPr>
        <w:t>(Tallentire et al., 2012a, Smith et al., 2013, Minha et al., 2016, Evans et al., 2004, Ker et al., 2006)</w:t>
      </w:r>
      <w:r w:rsidR="00EB425A">
        <w:fldChar w:fldCharType="end"/>
      </w:r>
      <w:r w:rsidR="00EB425A">
        <w:t xml:space="preserve">.  </w:t>
      </w:r>
      <w:r w:rsidR="00570FBC">
        <w:t xml:space="preserve">This study adds further detail on </w:t>
      </w:r>
      <w:r w:rsidR="009D57F1">
        <w:t xml:space="preserve">educational elements </w:t>
      </w:r>
      <w:r w:rsidR="004A5A41">
        <w:t xml:space="preserve">that </w:t>
      </w:r>
      <w:r w:rsidR="009D57F1">
        <w:t xml:space="preserve">support </w:t>
      </w:r>
      <w:r w:rsidR="00FA622A">
        <w:t>preparedness</w:t>
      </w:r>
      <w:r w:rsidR="009D57F1">
        <w:t xml:space="preserve"> and </w:t>
      </w:r>
      <w:r w:rsidR="00570FBC">
        <w:t xml:space="preserve">how </w:t>
      </w:r>
      <w:r w:rsidR="009D57F1">
        <w:t xml:space="preserve">they can be achieved </w:t>
      </w:r>
      <w:r w:rsidR="00337A7E">
        <w:t>using</w:t>
      </w:r>
      <w:r w:rsidR="009D57F1">
        <w:t xml:space="preserve"> </w:t>
      </w:r>
      <w:r w:rsidR="00570FBC">
        <w:t>simulation</w:t>
      </w:r>
      <w:r w:rsidR="004F0C27">
        <w:t xml:space="preserve"> as a method. </w:t>
      </w:r>
    </w:p>
    <w:p w14:paraId="6F273ABD" w14:textId="1452BF8C" w:rsidR="002373C9" w:rsidRDefault="002373C9" w:rsidP="002373C9">
      <w:r>
        <w:t>The graded experien</w:t>
      </w:r>
      <w:r w:rsidR="001473D7">
        <w:t>tial learning</w:t>
      </w:r>
      <w:r w:rsidR="00E2676F">
        <w:t xml:space="preserve"> that </w:t>
      </w:r>
      <w:r w:rsidR="00345C07">
        <w:t>occurred</w:t>
      </w:r>
      <w:r w:rsidR="006B177C">
        <w:t xml:space="preserve"> through this study </w:t>
      </w:r>
      <w:r>
        <w:t xml:space="preserve">resembles Kolb’s experiential learning cycle, as it is based on having an experience, reflecting upon it, consolidating learning then practising </w:t>
      </w:r>
      <w:r>
        <w:fldChar w:fldCharType="begin"/>
      </w:r>
      <w:r>
        <w:instrText xml:space="preserve"> ADDIN EN.CITE &lt;EndNote&gt;&lt;Cite&gt;&lt;Author&gt;Kolb&lt;/Author&gt;&lt;Year&gt;1984&lt;/Year&gt;&lt;IDText&gt;Experiential learning: Experience as the source of Learning and Development&lt;/IDText&gt;&lt;DisplayText&gt;(Kolb, 1984)&lt;/DisplayText&gt;&lt;record&gt;&lt;titles&gt;&lt;title&gt;Experiential learning: Experience as the source of Learning and Development&lt;/title&gt;&lt;/titles&gt;&lt;contributors&gt;&lt;authors&gt;&lt;author&gt;Kolb, D. A&lt;/author&gt;&lt;/authors&gt;&lt;/contributors&gt;&lt;added-date format="utc"&gt;1472636454&lt;/added-date&gt;&lt;pub-location&gt;Englewood Cliffs, NJ&lt;/pub-location&gt;&lt;ref-type name="Book"&gt;6&lt;/ref-type&gt;&lt;dates&gt;&lt;year&gt;1984&lt;/year&gt;&lt;/dates&gt;&lt;rec-number&gt;279&lt;/rec-number&gt;&lt;publisher&gt;Prentice Hall Inc&lt;/publisher&gt;&lt;last-updated-date format="utc"&gt;1472636544&lt;/last-updated-date&gt;&lt;/record&gt;&lt;/Cite&gt;&lt;/EndNote&gt;</w:instrText>
      </w:r>
      <w:r>
        <w:fldChar w:fldCharType="separate"/>
      </w:r>
      <w:r>
        <w:rPr>
          <w:noProof/>
        </w:rPr>
        <w:t>(Kolb, 1984)</w:t>
      </w:r>
      <w:r>
        <w:fldChar w:fldCharType="end"/>
      </w:r>
      <w:r w:rsidR="00E2676F">
        <w:t xml:space="preserve">. However, this study </w:t>
      </w:r>
      <w:r>
        <w:t xml:space="preserve">adds further detail, stating the importance of reflection in action to </w:t>
      </w:r>
      <w:r>
        <w:lastRenderedPageBreak/>
        <w:t xml:space="preserve">support self-regulation and management. This was </w:t>
      </w:r>
      <w:r w:rsidR="00E2676F">
        <w:t>achieved through encouraging a c</w:t>
      </w:r>
      <w:r>
        <w:t xml:space="preserve">andidate into a phase of objective self-assessment where they developed the confidence to question their own actions. </w:t>
      </w:r>
    </w:p>
    <w:p w14:paraId="5E514740" w14:textId="679A79D5" w:rsidR="002373C9" w:rsidRDefault="002373C9" w:rsidP="00CC2587">
      <w:r>
        <w:t xml:space="preserve">The importance of personal goals, level of pressure and responsibility appeared key to avoiding negative learning. This model is transferable to both simulation and real experiences. Facilitated debrief encouraged the candidate to discover for themselves how to improve, which is more powerful than ‘giving feedback’, which is at risk of being didactic and lacking depth. To develop professional identity and independent practice, having a solid understanding of cognitive processes and to feel comfortable to question oneself, appeared important for self-regulation. </w:t>
      </w:r>
    </w:p>
    <w:p w14:paraId="11266ED1" w14:textId="4706B4DE" w:rsidR="00EA4B18" w:rsidRDefault="006B08A6" w:rsidP="00E31B32">
      <w:r>
        <w:t>P</w:t>
      </w:r>
      <w:r w:rsidR="00CA2642">
        <w:t>reparedness</w:t>
      </w:r>
      <w:r w:rsidR="00CC2587">
        <w:t xml:space="preserve"> </w:t>
      </w:r>
      <w:r w:rsidR="00E31B32">
        <w:t>was found to be</w:t>
      </w:r>
      <w:r>
        <w:t xml:space="preserve"> </w:t>
      </w:r>
      <w:r w:rsidR="00CC2587">
        <w:t>complex</w:t>
      </w:r>
      <w:r w:rsidR="00E31B32">
        <w:t xml:space="preserve">, </w:t>
      </w:r>
      <w:r w:rsidR="00CC2587">
        <w:t>multifactoria</w:t>
      </w:r>
      <w:r>
        <w:t>l</w:t>
      </w:r>
      <w:r w:rsidR="00E31B32">
        <w:t xml:space="preserve"> and</w:t>
      </w:r>
      <w:r w:rsidR="00B76D81">
        <w:t xml:space="preserve"> enhanced by experience of </w:t>
      </w:r>
      <w:r w:rsidR="00CC2587">
        <w:t xml:space="preserve">graded </w:t>
      </w:r>
      <w:r w:rsidR="00905C08">
        <w:t>practice</w:t>
      </w:r>
      <w:r w:rsidR="00CC2587">
        <w:t xml:space="preserve"> under pressure</w:t>
      </w:r>
      <w:r w:rsidR="00677F1B">
        <w:t>, belonging</w:t>
      </w:r>
      <w:r w:rsidR="00CC2587">
        <w:t xml:space="preserve"> and responsibility. Students benefitted from authentic roles</w:t>
      </w:r>
      <w:r w:rsidR="00AB57E1">
        <w:t xml:space="preserve"> </w:t>
      </w:r>
      <w:r w:rsidR="00CC2587">
        <w:t>and learning</w:t>
      </w:r>
      <w:r w:rsidR="00B76D81">
        <w:t xml:space="preserve"> </w:t>
      </w:r>
      <w:proofErr w:type="spellStart"/>
      <w:r w:rsidR="00A645DC">
        <w:t>interprofessional</w:t>
      </w:r>
      <w:r w:rsidR="00FA622A">
        <w:t>ly</w:t>
      </w:r>
      <w:proofErr w:type="spellEnd"/>
      <w:r w:rsidR="00CC2587">
        <w:t xml:space="preserve"> in a community. </w:t>
      </w:r>
      <w:r w:rsidR="00DF3F83">
        <w:t>Role modelling and mentoring were found to be</w:t>
      </w:r>
      <w:r w:rsidR="005D24D8">
        <w:t xml:space="preserve"> key area</w:t>
      </w:r>
      <w:r w:rsidR="00DF3F83">
        <w:t>s that student</w:t>
      </w:r>
      <w:r w:rsidR="005D24D8">
        <w:t xml:space="preserve">s felt enhanced the feeling of belonging and </w:t>
      </w:r>
      <w:r w:rsidR="00DF3F83">
        <w:t xml:space="preserve">being </w:t>
      </w:r>
      <w:r w:rsidR="005D24D8">
        <w:t>support</w:t>
      </w:r>
      <w:r w:rsidR="00DF3F83">
        <w:t>ed</w:t>
      </w:r>
      <w:r w:rsidR="005D24D8">
        <w:t xml:space="preserve"> throughout this study. This is echoed in </w:t>
      </w:r>
      <w:r w:rsidR="00F16A4A">
        <w:t xml:space="preserve">the work of Lave and Wegner who advocate </w:t>
      </w:r>
      <w:r w:rsidR="005D24D8">
        <w:t>experienced staff to role model behaviours and demonstrate skills</w:t>
      </w:r>
      <w:r w:rsidR="00E31B32">
        <w:t xml:space="preserve"> </w:t>
      </w:r>
      <w:r w:rsidR="00E31B32">
        <w:fldChar w:fldCharType="begin"/>
      </w:r>
      <w:r w:rsidR="00E31B32">
        <w:instrText xml:space="preserve"> ADDIN EN.CITE &lt;EndNote&gt;&lt;Cite&gt;&lt;Author&gt;Lave&lt;/Author&gt;&lt;Year&gt;1991&lt;/Year&gt;&lt;IDText&gt;Situated Learning: Legitimate peripheral participation&lt;/IDText&gt;&lt;DisplayText&gt;(Lave and Wenger, 1991)&lt;/DisplayText&gt;&lt;record&gt;&lt;titles&gt;&lt;title&gt;Situated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format="utc"&gt;1459260152&lt;/last-updated-date&gt;&lt;/record&gt;&lt;/Cite&gt;&lt;/EndNote&gt;</w:instrText>
      </w:r>
      <w:r w:rsidR="00E31B32">
        <w:fldChar w:fldCharType="separate"/>
      </w:r>
      <w:r w:rsidR="00E31B32">
        <w:rPr>
          <w:noProof/>
        </w:rPr>
        <w:t>(Lave and Wenger, 1991)</w:t>
      </w:r>
      <w:r w:rsidR="00E31B32">
        <w:fldChar w:fldCharType="end"/>
      </w:r>
      <w:r w:rsidR="005D24D8">
        <w:t>. Mentoring programmes in the undergraduate curriculum are reported as lacking but are advocated to support professional development, belonging, per</w:t>
      </w:r>
      <w:r w:rsidR="00302AD9">
        <w:t xml:space="preserve">sonal wellbeing, confidence, </w:t>
      </w:r>
      <w:r w:rsidR="005D24D8">
        <w:t>stress management</w:t>
      </w:r>
      <w:r w:rsidR="00302AD9">
        <w:t>,</w:t>
      </w:r>
      <w:r w:rsidR="00302AD9" w:rsidRPr="00302AD9">
        <w:t xml:space="preserve"> </w:t>
      </w:r>
      <w:r w:rsidR="00302AD9">
        <w:t>resilience and ‘self-actualisation’</w:t>
      </w:r>
      <w:r w:rsidR="005D24D8">
        <w:t xml:space="preserve"> </w:t>
      </w:r>
      <w:r w:rsidR="005D24D8">
        <w:fldChar w:fldCharType="begin">
          <w:fldData xml:space="preserve">PEVuZE5vdGU+PENpdGU+PEF1dGhvcj5GcmVpPC9BdXRob3I+PFllYXI+MjAxMDwvWWVhcj48SURU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</w:fldData>
        </w:fldChar>
      </w:r>
      <w:r w:rsidR="00E31B32">
        <w:instrText xml:space="preserve"> ADDIN EN.CITE </w:instrText>
      </w:r>
      <w:r w:rsidR="00E31B32">
        <w:fldChar w:fldCharType="begin">
          <w:fldData xml:space="preserve">PEVuZE5vdGU+PENpdGU+PEF1dGhvcj5GcmVpPC9BdXRob3I+PFllYXI+MjAxMDwvWWVhcj48SURU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</w:fldData>
        </w:fldChar>
      </w:r>
      <w:r w:rsidR="00E31B32">
        <w:instrText xml:space="preserve"> ADDIN EN.CITE.DATA </w:instrText>
      </w:r>
      <w:r w:rsidR="00E31B32">
        <w:fldChar w:fldCharType="end"/>
      </w:r>
      <w:r w:rsidR="005D24D8">
        <w:fldChar w:fldCharType="separate"/>
      </w:r>
      <w:r w:rsidR="00E31B32">
        <w:rPr>
          <w:noProof/>
        </w:rPr>
        <w:t>(Frei et al., 2010, Wilson et al., 2017)</w:t>
      </w:r>
      <w:r w:rsidR="005D24D8">
        <w:fldChar w:fldCharType="end"/>
      </w:r>
      <w:r w:rsidR="005D24D8">
        <w:t>. In a further qualitative study, students felt that a mentor provided ‘emotiona</w:t>
      </w:r>
      <w:r w:rsidR="00DF3F83">
        <w:t>l support and reassurance’ that</w:t>
      </w:r>
      <w:r w:rsidR="005D24D8">
        <w:t xml:space="preserve"> ‘facilitated the transfer of learning’</w:t>
      </w:r>
      <w:r w:rsidR="00DF3F83">
        <w:t>,</w:t>
      </w:r>
      <w:r w:rsidR="005D24D8">
        <w:t xml:space="preserve"> and improved their ‘personal </w:t>
      </w:r>
      <w:r w:rsidR="005D24D8">
        <w:lastRenderedPageBreak/>
        <w:t xml:space="preserve">confidence, capabilities’ as well as preparation for clinical practice </w:t>
      </w:r>
      <w:r w:rsidR="005D24D8">
        <w:fldChar w:fldCharType="begin"/>
      </w:r>
      <w:r w:rsidR="005D24D8">
        <w:instrText xml:space="preserve"> ADDIN EN.CITE &lt;EndNote&gt;&lt;Cite&gt;&lt;Author&gt;Dalgaty&lt;/Author&gt;&lt;Year&gt;2016&lt;/Year&gt;&lt;IDText&gt;The value of mentorship in medical education&lt;/IDText&gt;&lt;DisplayText&gt;(Dalgaty et al., 2016)&lt;/DisplayText&gt;&lt;record&gt;&lt;dates&gt;&lt;pub-dates&gt;&lt;date&gt;Feb&lt;/date&gt;&lt;/pub-dates&gt;&lt;year&gt;2016&lt;/year&gt;&lt;/dates&gt;&lt;urls&gt;&lt;related-urls&gt;&lt;url&gt;http://www.ncbi.nlm.nih.gov/pubmed/26848105&lt;/url&gt;&lt;/related-urls&gt;&lt;/urls&gt;&lt;isbn&gt;1743-498X&lt;/isbn&gt;&lt;titles&gt;&lt;title&gt;The value of mentorship in medical education&lt;/title&gt;&lt;secondary-title&gt;Clin Teach&lt;/secondary-title&gt;&lt;/titles&gt;&lt;contributors&gt;&lt;authors&gt;&lt;author&gt;Dalgaty, F.&lt;/author&gt;&lt;author&gt;Guthrie, G.&lt;/author&gt;&lt;author&gt;Walker, H.&lt;/author&gt;&lt;author&gt;Stirling, K.&lt;/author&gt;&lt;/authors&gt;&lt;/contributors&gt;&lt;language&gt;ENG&lt;/language&gt;&lt;added-date format="utc"&gt;1457004136&lt;/added-date&gt;&lt;ref-type name="Journal Article"&gt;17&lt;/ref-type&gt;&lt;rec-number&gt;207&lt;/rec-number&gt;&lt;last-updated-date format="utc"&gt;1457004136&lt;/last-updated-date&gt;&lt;accession-num&gt;26848105&lt;/accession-num&gt;&lt;electronic-resource-num&gt;10.1111/tct.12510&lt;/electronic-resource-num&gt;&lt;/record&gt;&lt;/Cite&gt;&lt;/EndNote&gt;</w:instrText>
      </w:r>
      <w:r w:rsidR="005D24D8">
        <w:fldChar w:fldCharType="separate"/>
      </w:r>
      <w:r w:rsidR="005D24D8">
        <w:rPr>
          <w:noProof/>
        </w:rPr>
        <w:t>(Dalgaty et al., 2016)</w:t>
      </w:r>
      <w:r w:rsidR="005D24D8">
        <w:fldChar w:fldCharType="end"/>
      </w:r>
      <w:r w:rsidR="005D24D8">
        <w:t>. Others highlight the importance of connections and communit</w:t>
      </w:r>
      <w:r w:rsidR="00821DD2">
        <w:t>y, self-</w:t>
      </w:r>
      <w:r w:rsidR="005D24D8">
        <w:t xml:space="preserve">confidence and empathy to support professional identity </w:t>
      </w:r>
      <w:r w:rsidR="005D24D8">
        <w:fldChar w:fldCharType="begin"/>
      </w:r>
      <w:r w:rsidR="005D24D8">
        <w:instrText xml:space="preserve"> ADDIN EN.CITE &lt;EndNote&gt;&lt;Cite&gt;&lt;Author&gt;Talisman&lt;/Author&gt;&lt;Year&gt;2015&lt;/Year&gt;&lt;IDText&gt;The impact of mind-body medicine facilitation on affirming and enhancing professional identity in health care professions faculty&lt;/IDText&gt;&lt;DisplayText&gt;(Talisman et al., 2015)&lt;/DisplayText&gt;&lt;record&gt;&lt;dates&gt;&lt;pub-dates&gt;&lt;date&gt;Jun&lt;/date&gt;&lt;/pub-dates&gt;&lt;year&gt;2015&lt;/year&gt;&lt;/dates&gt;&lt;keywords&gt;&lt;keyword&gt;Administrative Personnel&lt;/keyword&gt;&lt;keyword&gt;Cross-Sectional Studies&lt;/keyword&gt;&lt;keyword&gt;Empathy&lt;/keyword&gt;&lt;keyword&gt;Faculty, Medical&lt;/keyword&gt;&lt;keyword&gt;Female&lt;/keyword&gt;&lt;keyword&gt;Humans&lt;/keyword&gt;&lt;keyword&gt;Male&lt;/keyword&gt;&lt;keyword&gt;Mind-Body Therapies&lt;/keyword&gt;&lt;keyword&gt;Mindfulness&lt;/keyword&gt;&lt;keyword&gt;Physician&amp;apos;s Role&lt;/keyword&gt;&lt;keyword&gt;Pilot Projects&lt;/keyword&gt;&lt;keyword&gt;Professional Role&lt;/keyword&gt;&lt;keyword&gt;Self Care&lt;/keyword&gt;&lt;keyword&gt;Self Concept&lt;/keyword&gt;&lt;keyword&gt;Social Identification&lt;/keyword&gt;&lt;keyword&gt;Stress, Psychological&lt;/keyword&gt;&lt;keyword&gt;Surveys and Questionnaires&lt;/keyword&gt;&lt;/keywords&gt;&lt;urls&gt;&lt;related-urls&gt;&lt;url&gt;https://www.ncbi.nlm.nih.gov/pubmed/25881646&lt;/url&gt;&lt;/related-urls&gt;&lt;/urls&gt;&lt;isbn&gt;1938-808X&lt;/isbn&gt;&lt;titles&gt;&lt;title&gt;The impact of mind-body medicine facilitation on affirming and enhancing professional identity in health care professions faculty&lt;/title&gt;&lt;secondary-title&gt;Acad Med&lt;/secondary-title&gt;&lt;/titles&gt;&lt;pages&gt;780-4&lt;/pages&gt;&lt;number&gt;6&lt;/number&gt;&lt;contributors&gt;&lt;authors&gt;&lt;author&gt;Talisman, N.&lt;/author&gt;&lt;author&gt;Harazduk, N.&lt;/author&gt;&lt;author&gt;Rush, C.&lt;/author&gt;&lt;author&gt;Graves, K.&lt;/author&gt;&lt;author&gt;Haramati, A.&lt;/author&gt;&lt;/authors&gt;&lt;/contributors&gt;&lt;language&gt;eng&lt;/language&gt;&lt;added-date format="utc"&gt;1500246750&lt;/added-date&gt;&lt;ref-type name="Journal Article"&gt;17&lt;/ref-type&gt;&lt;rec-number&gt;368&lt;/rec-number&gt;&lt;last-updated-date format="utc"&gt;1500246750&lt;/last-updated-date&gt;&lt;accession-num&gt;25881646&lt;/accession-num&gt;&lt;electronic-resource-num&gt;10.1097/ACM.0000000000000720&lt;/electronic-resource-num&gt;&lt;volume&gt;90&lt;/volume&gt;&lt;/record&gt;&lt;/Cite&gt;&lt;/EndNote&gt;</w:instrText>
      </w:r>
      <w:r w:rsidR="005D24D8">
        <w:fldChar w:fldCharType="separate"/>
      </w:r>
      <w:r w:rsidR="005D24D8">
        <w:rPr>
          <w:noProof/>
        </w:rPr>
        <w:t>(Talisman et al., 2015)</w:t>
      </w:r>
      <w:r w:rsidR="005D24D8">
        <w:fldChar w:fldCharType="end"/>
      </w:r>
      <w:r w:rsidR="005D24D8">
        <w:t>. In this study, belonging</w:t>
      </w:r>
      <w:r w:rsidR="00B76D81">
        <w:t xml:space="preserve"> was facilitated by h</w:t>
      </w:r>
      <w:r w:rsidR="00CA2642">
        <w:t>aving a central authentic legitimate role, creating trust, allowing access to the hierarchy, creating a safe space</w:t>
      </w:r>
      <w:r w:rsidR="00C06341">
        <w:t xml:space="preserve">, </w:t>
      </w:r>
      <w:r w:rsidR="00CA2642">
        <w:t>sharing own mistakes and role modelling.</w:t>
      </w:r>
      <w:r w:rsidR="00B44388">
        <w:t xml:space="preserve"> </w:t>
      </w:r>
      <w:r w:rsidR="00E326F3">
        <w:t xml:space="preserve">McKenna et al. (2016) advocate ‘sharing to stimulate deeper connections’, to include </w:t>
      </w:r>
      <w:r w:rsidR="007C7B93">
        <w:t>‘perso</w:t>
      </w:r>
      <w:r w:rsidR="00E326F3">
        <w:t>n</w:t>
      </w:r>
      <w:r w:rsidR="007C7B93">
        <w:t>a</w:t>
      </w:r>
      <w:r w:rsidR="00E326F3">
        <w:t>lity attributes, life stories and emotions’ to develop respect and trust. Learning in communities has been shown to ‘improve retention and academic success</w:t>
      </w:r>
      <w:r w:rsidR="006418BC">
        <w:t>’, im</w:t>
      </w:r>
      <w:r w:rsidR="00E326F3">
        <w:t>prove clinical skills and performance</w:t>
      </w:r>
      <w:r w:rsidR="00350562">
        <w:t xml:space="preserve"> </w:t>
      </w:r>
      <w:r w:rsidR="00350562">
        <w:fldChar w:fldCharType="begin">
          <w:fldData xml:space="preserve">PEVuZE5vdGU+PENpdGU+PEF1dGhvcj5TbWl0aDwvQXV0aG9yPjxZZWFyPjIwMTY8L1llYXI+PElE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</w:fldData>
        </w:fldChar>
      </w:r>
      <w:r w:rsidR="00F23C5C">
        <w:instrText xml:space="preserve"> ADDIN EN.CITE </w:instrText>
      </w:r>
      <w:r w:rsidR="00F23C5C">
        <w:fldChar w:fldCharType="begin">
          <w:fldData xml:space="preserve">PEVuZE5vdGU+PENpdGU+PEF1dGhvcj5TbWl0aDwvQXV0aG9yPjxZZWFyPjIwMTY8L1llYXI+PElE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</w:fldData>
        </w:fldChar>
      </w:r>
      <w:r w:rsidR="00F23C5C">
        <w:instrText xml:space="preserve"> ADDIN EN.CITE.DATA </w:instrText>
      </w:r>
      <w:r w:rsidR="00F23C5C">
        <w:fldChar w:fldCharType="end"/>
      </w:r>
      <w:r w:rsidR="00350562">
        <w:fldChar w:fldCharType="separate"/>
      </w:r>
      <w:r w:rsidR="00F23C5C">
        <w:rPr>
          <w:noProof/>
        </w:rPr>
        <w:t>(Smith et al., 2016, Jackson et al., 2009, Whipple et al., 2006)</w:t>
      </w:r>
      <w:r w:rsidR="00350562">
        <w:fldChar w:fldCharType="end"/>
      </w:r>
      <w:r w:rsidR="007C7B93">
        <w:t>. It is rec</w:t>
      </w:r>
      <w:r w:rsidR="00F23C5C">
        <w:t>ommended tha</w:t>
      </w:r>
      <w:r w:rsidR="007C7B93">
        <w:t>t</w:t>
      </w:r>
      <w:r w:rsidR="00F23C5C">
        <w:t xml:space="preserve"> collaborative learning should use ‘challenging, relevant tasks that build shared ownership’ </w:t>
      </w:r>
      <w:r w:rsidR="00841840">
        <w:fldChar w:fldCharType="begin"/>
      </w:r>
      <w:r w:rsidR="00841840">
        <w:instrText xml:space="preserve"> ADDIN EN.CITE &lt;EndNote&gt;&lt;Cite&gt;&lt;Author&gt;Scager&lt;/Author&gt;&lt;Year&gt;2016&lt;/Year&gt;&lt;IDText&gt;Collaborative Learning in Higher Education: Evoking Positive Interdependence&lt;/IDText&gt;&lt;DisplayText&gt;(Scager et al., 2016)&lt;/DisplayText&gt;&lt;record&gt;&lt;dates&gt;&lt;pub-dates&gt;&lt;date&gt;Winter 2016&lt;/date&gt;&lt;/pub-dates&gt;&lt;year&gt;2016&lt;/year&gt;&lt;/dates&gt;&lt;keywords&gt;&lt;keyword&gt;Cooperative Behavior&lt;/keyword&gt;&lt;keyword&gt;Curriculum&lt;/keyword&gt;&lt;keyword&gt;Education, Graduate&lt;/keyword&gt;&lt;keyword&gt;Focus Groups&lt;/keyword&gt;&lt;keyword&gt;Humans&lt;/keyword&gt;&lt;keyword&gt;Learning&lt;/keyword&gt;&lt;keyword&gt;Students&lt;/keyword&gt;&lt;/keywords&gt;&lt;urls&gt;&lt;related-urls&gt;&lt;url&gt;https://www.ncbi.nlm.nih.gov/pubmed/27909019&lt;/url&gt;&lt;/related-urls&gt;&lt;/urls&gt;&lt;isbn&gt;1931-7913&lt;/isbn&gt;&lt;custom2&gt;PMC5132366&lt;/custom2&gt;&lt;titles&gt;&lt;title&gt;Collaborative Learning in Higher Education: Evoking Positive Interdependence&lt;/title&gt;&lt;secondary-title&gt;CBE Life Sci Educ&lt;/secondary-title&gt;&lt;/titles&gt;&lt;number&gt;4&lt;/number&gt;&lt;contributors&gt;&lt;authors&gt;&lt;author&gt;Scager, K.&lt;/author&gt;&lt;author&gt;Boonstra, J.&lt;/author&gt;&lt;author&gt;Peeters, T.&lt;/author&gt;&lt;author&gt;Vulperhorst, J.&lt;/author&gt;&lt;author&gt;Wiegant, F.&lt;/author&gt;&lt;/authors&gt;&lt;/contributors&gt;&lt;language&gt;eng&lt;/language&gt;&lt;added-date format="utc"&gt;1500158151&lt;/added-date&gt;&lt;ref-type name="Journal Article"&gt;17&lt;/ref-type&gt;&lt;rec-number&gt;367&lt;/rec-number&gt;&lt;last-updated-date format="utc"&gt;1500158151&lt;/last-updated-date&gt;&lt;accession-num&gt;27909019&lt;/accession-num&gt;&lt;electronic-resource-num&gt;10.1187/cbe.16-07-0219&lt;/electronic-resource-num&gt;&lt;volume&gt;15&lt;/volume&gt;&lt;/record&gt;&lt;/Cite&gt;&lt;/EndNote&gt;</w:instrText>
      </w:r>
      <w:r w:rsidR="00841840">
        <w:fldChar w:fldCharType="separate"/>
      </w:r>
      <w:r w:rsidR="00841840">
        <w:rPr>
          <w:noProof/>
        </w:rPr>
        <w:t>(Scager et al., 2016)</w:t>
      </w:r>
      <w:r w:rsidR="00841840">
        <w:fldChar w:fldCharType="end"/>
      </w:r>
      <w:r w:rsidR="00F23C5C">
        <w:t>.</w:t>
      </w:r>
      <w:r w:rsidR="00AB57E1">
        <w:t xml:space="preserve"> These </w:t>
      </w:r>
      <w:r w:rsidR="00D109EB">
        <w:t xml:space="preserve">data </w:t>
      </w:r>
      <w:r w:rsidR="00AB57E1">
        <w:t>concur with value of learning in a community</w:t>
      </w:r>
      <w:r w:rsidR="00D109EB">
        <w:t>,</w:t>
      </w:r>
      <w:r w:rsidR="00AB57E1">
        <w:t xml:space="preserve"> </w:t>
      </w:r>
      <w:r w:rsidR="00D109EB">
        <w:t xml:space="preserve">under the conditions of </w:t>
      </w:r>
      <w:r w:rsidR="00A645DC">
        <w:t>interprofessional</w:t>
      </w:r>
      <w:r w:rsidR="00AB57E1">
        <w:t xml:space="preserve"> learning, peer learning and opportunities to </w:t>
      </w:r>
      <w:r w:rsidR="00EA4B18">
        <w:t>access the hierarchy to share mistakes</w:t>
      </w:r>
      <w:r w:rsidR="00D109EB">
        <w:t>,</w:t>
      </w:r>
      <w:r w:rsidR="00EA4B18">
        <w:t xml:space="preserve"> whilst learning to respect, understand and trust.</w:t>
      </w:r>
    </w:p>
    <w:p w14:paraId="09A36F4B" w14:textId="11A9BFEE" w:rsidR="00B6140A" w:rsidRDefault="00B6140A" w:rsidP="00E31B32">
      <w:r>
        <w:rPr>
          <w:rFonts w:cs="Arial"/>
          <w:szCs w:val="24"/>
        </w:rPr>
        <w:t xml:space="preserve">In terms of </w:t>
      </w:r>
      <w:r w:rsidR="00A645DC">
        <w:rPr>
          <w:rFonts w:cs="Arial"/>
          <w:szCs w:val="24"/>
        </w:rPr>
        <w:t>interprofessional</w:t>
      </w:r>
      <w:r>
        <w:rPr>
          <w:rFonts w:cs="Arial"/>
          <w:szCs w:val="24"/>
        </w:rPr>
        <w:t xml:space="preserve"> learning, the nursing team felt that when the students made an effort to ‘</w:t>
      </w:r>
      <w:r w:rsidRPr="00BC3D36">
        <w:rPr>
          <w:rFonts w:cs="Arial"/>
          <w:i/>
          <w:szCs w:val="24"/>
        </w:rPr>
        <w:t>check in</w:t>
      </w:r>
      <w:r>
        <w:rPr>
          <w:rFonts w:cs="Arial"/>
          <w:i/>
          <w:szCs w:val="24"/>
        </w:rPr>
        <w:t>’</w:t>
      </w:r>
      <w:r w:rsidRPr="00BC3D36">
        <w:rPr>
          <w:rFonts w:cs="Arial"/>
          <w:i/>
          <w:szCs w:val="24"/>
        </w:rPr>
        <w:t xml:space="preserve"> </w:t>
      </w:r>
      <w:r>
        <w:rPr>
          <w:rFonts w:cs="Arial"/>
          <w:szCs w:val="24"/>
        </w:rPr>
        <w:t>with them or ‘</w:t>
      </w:r>
      <w:r w:rsidRPr="00BC3D36">
        <w:rPr>
          <w:rFonts w:cs="Arial"/>
          <w:i/>
          <w:szCs w:val="24"/>
        </w:rPr>
        <w:t>summarise what was happening’</w:t>
      </w:r>
      <w:r>
        <w:rPr>
          <w:rFonts w:cs="Arial"/>
          <w:szCs w:val="24"/>
        </w:rPr>
        <w:t xml:space="preserve"> they could help and support the students (Field notes form intervention study). The initial anxiety from the students was that this may take up time and they felt the ‘</w:t>
      </w:r>
      <w:r w:rsidRPr="00BC3D36">
        <w:rPr>
          <w:rFonts w:cs="Arial"/>
          <w:i/>
          <w:szCs w:val="24"/>
        </w:rPr>
        <w:t>nurses knew what they were doing</w:t>
      </w:r>
      <w:r>
        <w:rPr>
          <w:rFonts w:cs="Arial"/>
          <w:i/>
          <w:szCs w:val="24"/>
        </w:rPr>
        <w:t>’</w:t>
      </w:r>
      <w:r w:rsidR="00FA622A">
        <w:rPr>
          <w:rFonts w:cs="Arial"/>
          <w:szCs w:val="24"/>
        </w:rPr>
        <w:t>, and</w:t>
      </w:r>
      <w:r>
        <w:rPr>
          <w:rFonts w:cs="Arial"/>
          <w:szCs w:val="24"/>
        </w:rPr>
        <w:t xml:space="preserve"> that they ‘</w:t>
      </w:r>
      <w:r w:rsidRPr="00BC3D36">
        <w:rPr>
          <w:rFonts w:cs="Arial"/>
          <w:i/>
          <w:szCs w:val="24"/>
        </w:rPr>
        <w:t>didn’t know what they were doing always and didn’t want it to look like that because it was embarrassing</w:t>
      </w:r>
      <w:r>
        <w:rPr>
          <w:rFonts w:cs="Arial"/>
          <w:i/>
          <w:szCs w:val="24"/>
        </w:rPr>
        <w:t>’</w:t>
      </w:r>
      <w:r>
        <w:rPr>
          <w:rFonts w:cs="Arial"/>
          <w:szCs w:val="24"/>
        </w:rPr>
        <w:t xml:space="preserve"> (</w:t>
      </w:r>
      <w:r w:rsidR="00173DE4">
        <w:rPr>
          <w:rFonts w:cs="Arial"/>
          <w:szCs w:val="24"/>
        </w:rPr>
        <w:t>focus group</w:t>
      </w:r>
      <w:r>
        <w:rPr>
          <w:rFonts w:cs="Arial"/>
          <w:szCs w:val="24"/>
        </w:rPr>
        <w:t xml:space="preserve"> 4</w:t>
      </w:r>
      <w:r w:rsidR="006777C5">
        <w:rPr>
          <w:rFonts w:cs="Arial"/>
          <w:szCs w:val="24"/>
        </w:rPr>
        <w:t>, Participant 3</w:t>
      </w:r>
      <w:r>
        <w:rPr>
          <w:rFonts w:cs="Arial"/>
          <w:szCs w:val="24"/>
        </w:rPr>
        <w:t xml:space="preserve">). Having this open dialogue and opportunity to discuss this in debriefing and review how effective teamwork was, allowed this to be uncovered as an area that was vital and required conscious effort and attention. Correcting these expectations was </w:t>
      </w:r>
      <w:r>
        <w:rPr>
          <w:rFonts w:cs="Arial"/>
          <w:szCs w:val="24"/>
        </w:rPr>
        <w:lastRenderedPageBreak/>
        <w:t xml:space="preserve">important in the group and </w:t>
      </w:r>
      <w:r w:rsidR="00821DD2">
        <w:rPr>
          <w:rFonts w:cs="Arial"/>
          <w:szCs w:val="24"/>
        </w:rPr>
        <w:t xml:space="preserve">an </w:t>
      </w:r>
      <w:r>
        <w:rPr>
          <w:rFonts w:cs="Arial"/>
          <w:szCs w:val="24"/>
        </w:rPr>
        <w:t>opportunity to share that we do not always know what to do in every situation, reassured the students.</w:t>
      </w:r>
    </w:p>
    <w:p w14:paraId="2C2A167F" w14:textId="55EA1EBB" w:rsidR="00D112B3" w:rsidRDefault="00FF5A4F" w:rsidP="006418BC">
      <w:r>
        <w:t>S</w:t>
      </w:r>
      <w:r w:rsidR="006418BC">
        <w:t>tudy findings align with the concept of situated learning</w:t>
      </w:r>
      <w:r w:rsidR="00106836">
        <w:t xml:space="preserve"> and legitimate peripheral part</w:t>
      </w:r>
      <w:r w:rsidR="006418BC">
        <w:t>icipation</w:t>
      </w:r>
      <w:r w:rsidR="00677F1B" w:rsidRPr="00677F1B">
        <w:t xml:space="preserve"> </w:t>
      </w:r>
      <w:r w:rsidR="00677F1B">
        <w:t xml:space="preserve">(learning in context, in a specific environment and </w:t>
      </w:r>
      <w:proofErr w:type="spellStart"/>
      <w:r w:rsidR="00677F1B">
        <w:t>coparticipating</w:t>
      </w:r>
      <w:proofErr w:type="spellEnd"/>
      <w:r w:rsidR="00677F1B">
        <w:t>)</w:t>
      </w:r>
      <w:r w:rsidR="006418BC">
        <w:t xml:space="preserve"> and the work of Bandura</w:t>
      </w:r>
      <w:r>
        <w:t>,</w:t>
      </w:r>
      <w:r w:rsidR="006418BC">
        <w:t xml:space="preserve"> considering the importance of socialisation in learning</w:t>
      </w:r>
      <w:r w:rsidR="00677F1B">
        <w:t>,</w:t>
      </w:r>
      <w:r w:rsidR="006418BC">
        <w:t xml:space="preserve"> </w:t>
      </w:r>
      <w:r w:rsidR="00677F1B">
        <w:t xml:space="preserve">to support the understanding and knowledge surrounding human behaviour </w:t>
      </w:r>
      <w:r w:rsidR="006418BC">
        <w:fldChar w:fldCharType="begin"/>
      </w:r>
      <w:r w:rsidR="006418BC">
        <w:instrText xml:space="preserve"> ADDIN EN.CITE &lt;EndNote&gt;&lt;Cite&gt;&lt;Author&gt;Lave&lt;/Author&gt;&lt;Year&gt;1991&lt;/Year&gt;&lt;IDText&gt;Situated Learning: Legitimate peripheral participation&lt;/IDText&gt;&lt;DisplayText&gt;(Lave and Wenger, 1991, Bandura, 1986)&lt;/DisplayText&gt;&lt;record&gt;&lt;titles&gt;&lt;title&gt;Situated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format="utc"&gt;1459260152&lt;/last-updated-date&gt;&lt;/record&gt;&lt;/Cite&gt;&lt;Cite&gt;&lt;Author&gt;Bandura&lt;/Author&gt;&lt;Year&gt;1986&lt;/Year&gt;&lt;IDText&gt;Social foundations of thought and action&lt;/IDText&gt;&lt;record&gt;&lt;titles&gt;&lt;title&gt;Social foundations of thought and action&lt;/title&gt;&lt;/titles&gt;&lt;contributors&gt;&lt;authors&gt;&lt;author&gt;Bandura,A&lt;/author&gt;&lt;/authors&gt;&lt;/contributors&gt;&lt;section&gt;50 - 107&lt;/section&gt;&lt;added-date format="utc"&gt;1472636349&lt;/added-date&gt;&lt;pub-location&gt;Englewood Cliffs, NJ&lt;/pub-location&gt;&lt;ref-type name="Book"&gt;6&lt;/ref-type&gt;&lt;dates&gt;&lt;year&gt;1986&lt;/year&gt;&lt;/dates&gt;&lt;rec-number&gt;278&lt;/rec-number&gt;&lt;publisher&gt;Prentice Hall Inc&lt;/publisher&gt;&lt;last-updated-date format="utc"&gt;1472636428&lt;/last-updated-date&gt;&lt;/record&gt;&lt;/Cite&gt;&lt;/EndNote&gt;</w:instrText>
      </w:r>
      <w:r w:rsidR="006418BC">
        <w:fldChar w:fldCharType="separate"/>
      </w:r>
      <w:r w:rsidR="006418BC">
        <w:rPr>
          <w:noProof/>
        </w:rPr>
        <w:t>(Lave and Wenger, 1991, Bandura, 1986)</w:t>
      </w:r>
      <w:r w:rsidR="006418BC">
        <w:fldChar w:fldCharType="end"/>
      </w:r>
      <w:r w:rsidR="006418BC">
        <w:rPr>
          <w:noProof/>
        </w:rPr>
        <w:t xml:space="preserve">. </w:t>
      </w:r>
      <w:r w:rsidR="006418BC">
        <w:t xml:space="preserve">They share the belief that learning ‘is a process that takes place in a participation framework, not in an individual’s mind’ </w:t>
      </w:r>
      <w:r w:rsidR="006418BC">
        <w:fldChar w:fldCharType="begin"/>
      </w:r>
      <w:r w:rsidR="006102D5">
        <w:instrText xml:space="preserve"> ADDIN EN.CITE &lt;EndNote&gt;&lt;Cite&gt;&lt;Author&gt;Lave&lt;/Author&gt;&lt;Year&gt;1991&lt;/Year&gt;&lt;IDText&gt;Situated Learning: Legitimate peripheral participation&lt;/IDText&gt;&lt;DisplayText&gt;(Lave and Wenger, 1991)&lt;/DisplayText&gt;&lt;record&gt;&lt;titles&gt;&lt;title&gt;Situated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format="utc"&gt;1459260152&lt;/last-updated-date&gt;&lt;/record&gt;&lt;/Cite&gt;&lt;/EndNote&gt;</w:instrText>
      </w:r>
      <w:r w:rsidR="006418BC">
        <w:fldChar w:fldCharType="separate"/>
      </w:r>
      <w:r w:rsidR="006102D5">
        <w:rPr>
          <w:noProof/>
        </w:rPr>
        <w:t>(Lave and Wenger, 1991</w:t>
      </w:r>
      <w:r w:rsidR="006777C5">
        <w:rPr>
          <w:noProof/>
        </w:rPr>
        <w:t xml:space="preserve">; </w:t>
      </w:r>
      <w:r w:rsidR="006418BC">
        <w:fldChar w:fldCharType="end"/>
      </w:r>
      <w:r w:rsidR="00A00CC0">
        <w:t>p15</w:t>
      </w:r>
      <w:r w:rsidR="00821DD2">
        <w:t>)</w:t>
      </w:r>
      <w:r w:rsidR="006418BC">
        <w:t>. They state that ‘learners eventually participate in communities of practitioners’</w:t>
      </w:r>
      <w:r w:rsidR="00821DD2">
        <w:t>,</w:t>
      </w:r>
      <w:r w:rsidR="006418BC">
        <w:t xml:space="preserve"> so will move from ‘peripheral to full participation’</w:t>
      </w:r>
      <w:r>
        <w:t>. D</w:t>
      </w:r>
      <w:r w:rsidR="006418BC">
        <w:t xml:space="preserve">eveloping relationships between experienced people and new learners was also felt to be vital to this construct and </w:t>
      </w:r>
      <w:r w:rsidR="00FA622A">
        <w:t>echoes</w:t>
      </w:r>
      <w:r w:rsidR="006418BC">
        <w:t xml:space="preserve"> the finding in this study surrounding role modelling and opportunity to access hierarchy </w:t>
      </w:r>
      <w:r w:rsidR="006418BC">
        <w:fldChar w:fldCharType="begin"/>
      </w:r>
      <w:r w:rsidR="006102D5">
        <w:instrText xml:space="preserve"> ADDIN EN.CITE &lt;EndNote&gt;&lt;Cite&gt;&lt;Author&gt;Lave&lt;/Author&gt;&lt;Year&gt;1991&lt;/Year&gt;&lt;IDText&gt;Situated Learning: Legitimate peripheral participation&lt;/IDText&gt;&lt;DisplayText&gt;(Lave and Wenger, 1991)&lt;/DisplayText&gt;&lt;record&gt;&lt;titles&gt;&lt;title&gt;Situated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format="utc"&gt;1459260152&lt;/last-updated-date&gt;&lt;/record&gt;&lt;/Cite&gt;&lt;/EndNote&gt;</w:instrText>
      </w:r>
      <w:r w:rsidR="006418BC">
        <w:fldChar w:fldCharType="separate"/>
      </w:r>
      <w:r w:rsidR="006102D5">
        <w:rPr>
          <w:noProof/>
        </w:rPr>
        <w:t>(Lave and Wenger, 1991</w:t>
      </w:r>
      <w:r w:rsidR="006777C5">
        <w:rPr>
          <w:noProof/>
        </w:rPr>
        <w:t xml:space="preserve">; </w:t>
      </w:r>
      <w:r w:rsidR="006418BC">
        <w:fldChar w:fldCharType="end"/>
      </w:r>
      <w:r w:rsidR="00A00CC0">
        <w:t>p29</w:t>
      </w:r>
      <w:r w:rsidR="00821DD2">
        <w:t>)</w:t>
      </w:r>
      <w:r w:rsidR="006418BC">
        <w:t xml:space="preserve">. </w:t>
      </w:r>
      <w:r w:rsidR="00D112B3">
        <w:t>The concept of legitimate peripheral participation is said to allow initial ‘membership’ in a community, where the ‘</w:t>
      </w:r>
      <w:r w:rsidR="00FA622A">
        <w:t>peripherality</w:t>
      </w:r>
      <w:r w:rsidR="00D112B3">
        <w:t xml:space="preserve"> requires less demands on time, effort and responsibility for work than for full participants’ </w:t>
      </w:r>
      <w:r w:rsidR="00D112B3">
        <w:fldChar w:fldCharType="begin"/>
      </w:r>
      <w:r w:rsidR="006102D5">
        <w:instrText xml:space="preserve"> ADDIN EN.CITE &lt;EndNote&gt;&lt;Cite&gt;&lt;Author&gt;Lave&lt;/Author&gt;&lt;Year&gt;1991&lt;/Year&gt;&lt;IDText&gt;Situated Learning: Legitimate peripheral participation&lt;/IDText&gt;&lt;DisplayText&gt;(Lave and Wenger, 1991)&lt;/DisplayText&gt;&lt;record&gt;&lt;titles&gt;&lt;title&gt;Situated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format="utc"&gt;1459260152&lt;/last-updated-date&gt;&lt;/record&gt;&lt;/Cite&gt;&lt;/EndNote&gt;</w:instrText>
      </w:r>
      <w:r w:rsidR="00D112B3">
        <w:fldChar w:fldCharType="separate"/>
      </w:r>
      <w:r w:rsidR="006102D5">
        <w:rPr>
          <w:noProof/>
        </w:rPr>
        <w:t>(Lave and Wenger, 1991</w:t>
      </w:r>
      <w:r w:rsidR="006777C5">
        <w:rPr>
          <w:noProof/>
        </w:rPr>
        <w:t xml:space="preserve">; </w:t>
      </w:r>
      <w:r w:rsidR="00D112B3">
        <w:fldChar w:fldCharType="end"/>
      </w:r>
      <w:r w:rsidR="00A00CC0">
        <w:t>p110</w:t>
      </w:r>
      <w:r w:rsidR="00821DD2">
        <w:t>)</w:t>
      </w:r>
      <w:r w:rsidR="00D112B3">
        <w:t xml:space="preserve">. Areas that resonate with this study are that of belonging, mentorship and graded responsibility. One of the potential risks of legitimate </w:t>
      </w:r>
      <w:r w:rsidR="00FA622A">
        <w:t>peripheral</w:t>
      </w:r>
      <w:r w:rsidR="00D112B3">
        <w:t xml:space="preserve"> participation may be a learner moving to observer and not feeling involved or having responsibility. The concepts of altering roles are suggested, which in these data was found to have a negative impact on </w:t>
      </w:r>
      <w:r w:rsidR="00FA622A">
        <w:t>teamwork</w:t>
      </w:r>
      <w:r w:rsidR="00D112B3">
        <w:t xml:space="preserve"> and understanding of roles. Without a doubt, learning in context in a situated manner, in a community is the way forward</w:t>
      </w:r>
      <w:r w:rsidR="00106836">
        <w:t>,</w:t>
      </w:r>
      <w:r w:rsidR="00D112B3">
        <w:t xml:space="preserve"> but </w:t>
      </w:r>
      <w:r w:rsidR="00106836">
        <w:t xml:space="preserve">this study </w:t>
      </w:r>
      <w:r w:rsidR="00D112B3">
        <w:t>emphasise</w:t>
      </w:r>
      <w:r w:rsidR="00106836">
        <w:t>s</w:t>
      </w:r>
      <w:r w:rsidR="00D112B3">
        <w:t xml:space="preserve"> that roles and situation must remain </w:t>
      </w:r>
      <w:r w:rsidR="00D112B3">
        <w:lastRenderedPageBreak/>
        <w:t xml:space="preserve">authentic to allow emergence of consequences and to gain a deeper understanding about personal and team behaviours. </w:t>
      </w:r>
    </w:p>
    <w:p w14:paraId="0343AC42" w14:textId="0B2E0849" w:rsidR="008F237A" w:rsidRDefault="00D112B3" w:rsidP="008F237A">
      <w:r>
        <w:t xml:space="preserve">Responsibility appears to be accepted as implicit in any process of transition. </w:t>
      </w:r>
      <w:r w:rsidR="00514D90">
        <w:t xml:space="preserve">It appears </w:t>
      </w:r>
      <w:r w:rsidR="007E3B8F">
        <w:t xml:space="preserve">vitally important that medical students </w:t>
      </w:r>
      <w:r w:rsidR="00514D90">
        <w:t xml:space="preserve">are given rich, regular </w:t>
      </w:r>
      <w:r w:rsidR="007E3B8F">
        <w:t>opportunity to experience responsibility in a graded and supported fashion</w:t>
      </w:r>
      <w:r w:rsidR="00514D90">
        <w:t>.</w:t>
      </w:r>
      <w:r w:rsidR="007E3B8F">
        <w:t xml:space="preserve"> </w:t>
      </w:r>
      <w:r w:rsidR="00514D90">
        <w:t xml:space="preserve">This allows construction of </w:t>
      </w:r>
      <w:r w:rsidR="007E3B8F">
        <w:t>coping skills to support self-regul</w:t>
      </w:r>
      <w:r w:rsidR="00821DD2">
        <w:t>ation and management to prevent</w:t>
      </w:r>
      <w:r w:rsidR="007E3B8F">
        <w:t xml:space="preserve"> or recognise and manage the cognitive overload tha</w:t>
      </w:r>
      <w:r w:rsidR="00106836">
        <w:t>t new junior doctors experience</w:t>
      </w:r>
      <w:r w:rsidR="008F237A">
        <w:t xml:space="preserve">. Literature supporting earlier responsibility amongst undergraduate medical students include employing techniques of early prescribing and longitudinal clerkships </w:t>
      </w:r>
      <w:r w:rsidR="008F237A">
        <w:fldChar w:fldCharType="begin">
          <w:fldData xml:space="preserve">PEVuZE5vdGU+PENpdGU+PEF1dGhvcj5IaXJzaDwvQXV0aG9yPjxZZWFyPjIwMTQ8L1llYXI+PElE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</w:fldData>
        </w:fldChar>
      </w:r>
      <w:r w:rsidR="008F237A">
        <w:instrText xml:space="preserve"> ADDIN EN.CITE </w:instrText>
      </w:r>
      <w:r w:rsidR="008F237A">
        <w:fldChar w:fldCharType="begin">
          <w:fldData xml:space="preserve">PEVuZE5vdGU+PENpdGU+PEF1dGhvcj5IaXJzaDwvQXV0aG9yPjxZZWFyPjIwMTQ8L1llYXI+PElE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</w:fldData>
        </w:fldChar>
      </w:r>
      <w:r w:rsidR="008F237A">
        <w:instrText xml:space="preserve"> ADDIN EN.CITE.DATA </w:instrText>
      </w:r>
      <w:r w:rsidR="008F237A">
        <w:fldChar w:fldCharType="end"/>
      </w:r>
      <w:r w:rsidR="008F237A">
        <w:fldChar w:fldCharType="separate"/>
      </w:r>
      <w:r w:rsidR="008F237A">
        <w:rPr>
          <w:noProof/>
        </w:rPr>
        <w:t>(Hirsh et al., 2014, Smith et al., 2013)</w:t>
      </w:r>
      <w:r w:rsidR="008F237A">
        <w:fldChar w:fldCharType="end"/>
      </w:r>
      <w:r w:rsidR="00821DD2">
        <w:t>. H</w:t>
      </w:r>
      <w:r w:rsidR="008F237A">
        <w:t xml:space="preserve">owever why they help and are important are not explored in detail, which was of great interest when considering preparedness within this research. Responsibility through managing own learning with facilitation in PBL has been shown to be effective </w:t>
      </w:r>
      <w:r w:rsidR="008F237A">
        <w:fldChar w:fldCharType="begin"/>
      </w:r>
      <w:r w:rsidR="008F237A">
        <w:instrText xml:space="preserve"> ADDIN EN.CITE &lt;EndNote&gt;&lt;Cite&gt;&lt;Author&gt;Jones&lt;/Author&gt;&lt;Year&gt;2002&lt;/Year&gt;&lt;IDText&gt;Perceptions of how well graduates are prepared for the role of pre-registration house officer: a comparison of outcomes from a traditional and an integrated PBL curriculum&lt;/IDText&gt;&lt;DisplayText&gt;(Jones et al., 2002)&lt;/DisplayText&gt;&lt;record&gt;&lt;dates&gt;&lt;pub-dates&gt;&lt;date&gt;Jan&lt;/date&gt;&lt;/pub-dates&gt;&lt;year&gt;2002&lt;/year&gt;&lt;/dates&gt;&lt;keywords&gt;&lt;keyword&gt;Clinical Competence&lt;/keyword&gt;&lt;keyword&gt;Curriculum&lt;/keyword&gt;&lt;keyword&gt;Education, Medical, Undergraduate&lt;/keyword&gt;&lt;keyword&gt;Educational Measurement&lt;/keyword&gt;&lt;keyword&gt;England&lt;/keyword&gt;&lt;keyword&gt;Humans&lt;/keyword&gt;&lt;keyword&gt;Problem-Based Learning&lt;/keyword&gt;&lt;keyword&gt;Surveys and Questionnaires&lt;/keyword&gt;&lt;/keywords&gt;&lt;urls&gt;&lt;related-urls&gt;&lt;url&gt;http://www.ncbi.nlm.nih.gov/pubmed/11849520&lt;/url&gt;&lt;/related-urls&gt;&lt;/urls&gt;&lt;isbn&gt;0308-0110&lt;/isbn&gt;&lt;titles&gt;&lt;title&gt;Perceptions of how well graduates are prepared for the role of pre-registration house officer: a comparison of outcomes from a traditional and an integrated PBL curriculum&lt;/title&gt;&lt;secondary-title&gt;Med Educ&lt;/secondary-title&gt;&lt;/titles&gt;&lt;pages&gt;16-25&lt;/pages&gt;&lt;number&gt;1&lt;/number&gt;&lt;contributors&gt;&lt;authors&gt;&lt;author&gt;Jones, A.&lt;/author&gt;&lt;author&gt;McArdle, P. J.&lt;/author&gt;&lt;author&gt;O&amp;apos;Neill, P. A.&lt;/author&gt;&lt;/authors&gt;&lt;/contributors&gt;&lt;language&gt;eng&lt;/language&gt;&lt;added-date format="utc"&gt;1455618873&lt;/added-date&gt;&lt;ref-type name="Journal Article"&gt;17&lt;/ref-type&gt;&lt;rec-number&gt;166&lt;/rec-number&gt;&lt;last-updated-date format="utc"&gt;1455618873&lt;/last-updated-date&gt;&lt;accession-num&gt;11849520&lt;/accession-num&gt;&lt;volume&gt;36&lt;/volume&gt;&lt;/record&gt;&lt;/Cite&gt;&lt;/EndNote&gt;</w:instrText>
      </w:r>
      <w:r w:rsidR="008F237A">
        <w:fldChar w:fldCharType="separate"/>
      </w:r>
      <w:r w:rsidR="008F237A">
        <w:rPr>
          <w:noProof/>
        </w:rPr>
        <w:t>(Jones et al., 2002)</w:t>
      </w:r>
      <w:r w:rsidR="008F237A">
        <w:fldChar w:fldCharType="end"/>
      </w:r>
      <w:r w:rsidR="008F237A">
        <w:t>, though this would go against the underpinning principles of cognitive load theory explored</w:t>
      </w:r>
      <w:r w:rsidR="00514D90">
        <w:t xml:space="preserve"> below</w:t>
      </w:r>
      <w:r w:rsidR="008F237A">
        <w:t xml:space="preserve">. This </w:t>
      </w:r>
      <w:r w:rsidR="00FA622A">
        <w:t>research adds</w:t>
      </w:r>
      <w:r w:rsidR="008F237A">
        <w:t xml:space="preserve"> more depth of understanding about the complexity of responsibility</w:t>
      </w:r>
      <w:r w:rsidR="00FA622A">
        <w:t>, why</w:t>
      </w:r>
      <w:r w:rsidR="008F237A">
        <w:t xml:space="preserve"> it is so important and in particular that it is graded to support transition. </w:t>
      </w:r>
    </w:p>
    <w:p w14:paraId="12A2761F" w14:textId="7BF92827" w:rsidR="00514D90" w:rsidRDefault="008F237A" w:rsidP="008F237A">
      <w:r>
        <w:t>Taking responsibility for patients in an authentic way is something the nursing students do very well, and historically final year medical students would work as junior doctors (Interview</w:t>
      </w:r>
      <w:r w:rsidR="00821DD2">
        <w:t>s</w:t>
      </w:r>
      <w:r>
        <w:t xml:space="preserve"> 2,7). With the correct levels of supervision in place there could be more allowance for correctly tailored responsibility in the workplace, however pressures on clinical staff are not likely to allow this in the current NHS. This study demonstrates that simulation</w:t>
      </w:r>
      <w:r w:rsidR="00A00CC0">
        <w:t>,</w:t>
      </w:r>
      <w:r>
        <w:t xml:space="preserve"> if done to a high standard to allow students to feel as though they are managing a real patient, </w:t>
      </w:r>
      <w:r>
        <w:lastRenderedPageBreak/>
        <w:t xml:space="preserve">can allow this responsibility. </w:t>
      </w:r>
      <w:r w:rsidR="00514D90">
        <w:t>Pat</w:t>
      </w:r>
      <w:r w:rsidR="005F4125">
        <w:t>ient safety issues that have le</w:t>
      </w:r>
      <w:r w:rsidR="00514D90">
        <w:t>d to fear over giving responsibility to students will remain, unless students are able to be fully s</w:t>
      </w:r>
      <w:r w:rsidR="00106836">
        <w:t>upervised with appropriately</w:t>
      </w:r>
      <w:r w:rsidR="00514D90">
        <w:t xml:space="preserve"> graded responsibility. Simulation offers a useful alternative to bridge this gap. Another alternative are </w:t>
      </w:r>
      <w:proofErr w:type="spellStart"/>
      <w:r w:rsidR="00514D90">
        <w:t>entrustable</w:t>
      </w:r>
      <w:proofErr w:type="spellEnd"/>
      <w:r w:rsidR="00514D90">
        <w:t xml:space="preserve"> professional activities (EPAs) proposed by </w:t>
      </w:r>
      <w:proofErr w:type="spellStart"/>
      <w:r w:rsidR="00514D90">
        <w:t>Olle</w:t>
      </w:r>
      <w:proofErr w:type="spellEnd"/>
      <w:r w:rsidR="00514D90">
        <w:t xml:space="preserve"> ten Cate in 2005, ‘essential professional activities that one entrusts a professional to perform’, ‘actively in patient care’ </w:t>
      </w:r>
      <w:r w:rsidR="00514D90">
        <w:fldChar w:fldCharType="begin">
          <w:fldData xml:space="preserve">PEVuZE5vdGU+PENpdGU+PEF1dGhvcj50ZW4gQ2F0ZTwvQXV0aG9yPjxZZWFyPjIwMDU8L1llYXI+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=
</w:fldData>
        </w:fldChar>
      </w:r>
      <w:r w:rsidR="00514D90">
        <w:instrText xml:space="preserve"> ADDIN EN.CITE </w:instrText>
      </w:r>
      <w:r w:rsidR="00514D90">
        <w:fldChar w:fldCharType="begin">
          <w:fldData xml:space="preserve">PEVuZE5vdGU+PENpdGU+PEF1dGhvcj50ZW4gQ2F0ZTwvQXV0aG9yPjxZZWFyPjIwMDU8L1llYXI+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=
</w:fldData>
        </w:fldChar>
      </w:r>
      <w:r w:rsidR="00514D90">
        <w:instrText xml:space="preserve"> ADDIN EN.CITE.DATA </w:instrText>
      </w:r>
      <w:r w:rsidR="00514D90">
        <w:fldChar w:fldCharType="end"/>
      </w:r>
      <w:r w:rsidR="00514D90">
        <w:fldChar w:fldCharType="separate"/>
      </w:r>
      <w:r w:rsidR="00514D90">
        <w:rPr>
          <w:noProof/>
        </w:rPr>
        <w:t>(ten Cate, 2005, Chen et al., 2015)</w:t>
      </w:r>
      <w:r w:rsidR="00514D90">
        <w:fldChar w:fldCharType="end"/>
      </w:r>
      <w:r w:rsidR="00514D90">
        <w:t>. EPAs are said to have a ‘</w:t>
      </w:r>
      <w:r w:rsidR="00FA622A">
        <w:t>holistic</w:t>
      </w:r>
      <w:r w:rsidR="00514D90">
        <w:t xml:space="preserve"> nature’ by combining assessment of ‘knowledge, skills and attitudes’ in the </w:t>
      </w:r>
      <w:r w:rsidR="00CD658D">
        <w:t>workplace</w:t>
      </w:r>
      <w:r w:rsidR="00514D90">
        <w:t xml:space="preserve"> and are being used in </w:t>
      </w:r>
      <w:r w:rsidR="00FA622A">
        <w:t>undergraduate</w:t>
      </w:r>
      <w:r w:rsidR="00514D90">
        <w:t xml:space="preserve"> medical curricula </w:t>
      </w:r>
      <w:r w:rsidR="00514D90">
        <w:fldChar w:fldCharType="begin">
          <w:fldData xml:space="preserve">PEVuZE5vdGU+PENpdGU+PEF1dGhvcj50ZW4gQ2F0ZTwvQXV0aG9yPjxZZWFyPjIwMDU8L1llYXI+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</w:fldData>
        </w:fldChar>
      </w:r>
      <w:r w:rsidR="00514D90">
        <w:instrText xml:space="preserve"> ADDIN EN.CITE </w:instrText>
      </w:r>
      <w:r w:rsidR="00514D90">
        <w:fldChar w:fldCharType="begin">
          <w:fldData xml:space="preserve">PEVuZE5vdGU+PENpdGU+PEF1dGhvcj50ZW4gQ2F0ZTwvQXV0aG9yPjxZZWFyPjIwMDU8L1llYXI+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</w:fldData>
        </w:fldChar>
      </w:r>
      <w:r w:rsidR="00514D90">
        <w:instrText xml:space="preserve"> ADDIN EN.CITE.DATA </w:instrText>
      </w:r>
      <w:r w:rsidR="00514D90">
        <w:fldChar w:fldCharType="end"/>
      </w:r>
      <w:r w:rsidR="00514D90">
        <w:fldChar w:fldCharType="separate"/>
      </w:r>
      <w:r w:rsidR="00514D90">
        <w:rPr>
          <w:noProof/>
        </w:rPr>
        <w:t>(ten Cate, 2005, ten Cate and Scheele, 2007, Chen et al., 2015)</w:t>
      </w:r>
      <w:r w:rsidR="00514D90">
        <w:fldChar w:fldCharType="end"/>
      </w:r>
      <w:r w:rsidR="00514D90">
        <w:t xml:space="preserve">. Variation in supervision expectations between graduates and </w:t>
      </w:r>
      <w:r w:rsidR="00FA622A">
        <w:t>undergraduates</w:t>
      </w:r>
      <w:r w:rsidR="005F4125">
        <w:t xml:space="preserve"> are highlighted as well as</w:t>
      </w:r>
      <w:r w:rsidR="00514D90">
        <w:t xml:space="preserve"> patient safety implications </w:t>
      </w:r>
      <w:r w:rsidR="00514D90">
        <w:fldChar w:fldCharType="begin"/>
      </w:r>
      <w:r w:rsidR="00514D90">
        <w:instrText xml:space="preserve"> ADDIN EN.CITE &lt;EndNote&gt;&lt;Cite&gt;&lt;Author&gt;Chen&lt;/Author&gt;&lt;Year&gt;2015&lt;/Year&gt;&lt;IDText&gt;The case for use of entrustable professional activities in undergraduate medical education&lt;/IDText&gt;&lt;DisplayText&gt;(Chen et al., 2015)&lt;/DisplayText&gt;&lt;record&gt;&lt;dates&gt;&lt;pub-dates&gt;&lt;date&gt;Apr&lt;/date&gt;&lt;/pub-dates&gt;&lt;year&gt;2015&lt;/year&gt;&lt;/dates&gt;&lt;keywords&gt;&lt;keyword&gt;Education, Medical, Graduate&lt;/keyword&gt;&lt;keyword&gt;Education, Medical, Undergraduate&lt;/keyword&gt;&lt;keyword&gt;Educational Measurement&lt;/keyword&gt;&lt;keyword&gt;Internship and Residency&lt;/keyword&gt;&lt;keyword&gt;Learning&lt;/keyword&gt;&lt;keyword&gt;Professional Competence&lt;/keyword&gt;&lt;keyword&gt;Quality Assurance, Health Care&lt;/keyword&gt;&lt;keyword&gt;United States&lt;/keyword&gt;&lt;/keywords&gt;&lt;urls&gt;&lt;related-urls&gt;&lt;url&gt;https://www.ncbi.nlm.nih.gov/pubmed/25470310&lt;/url&gt;&lt;/related-urls&gt;&lt;/urls&gt;&lt;isbn&gt;1938-808X&lt;/isbn&gt;&lt;titles&gt;&lt;title&gt;The case for use of entrustable professional activities in undergraduate medical education&lt;/title&gt;&lt;secondary-title&gt;Acad Med&lt;/secondary-title&gt;&lt;/titles&gt;&lt;pages&gt;431-6&lt;/pages&gt;&lt;number&gt;4&lt;/number&gt;&lt;contributors&gt;&lt;authors&gt;&lt;author&gt;Chen, H. C.&lt;/author&gt;&lt;author&gt;van den Broek, W. E.&lt;/author&gt;&lt;author&gt;ten Cate, O.&lt;/author&gt;&lt;/authors&gt;&lt;/contributors&gt;&lt;language&gt;eng&lt;/language&gt;&lt;added-date format="utc"&gt;1500143197&lt;/added-date&gt;&lt;ref-type name="Journal Article"&gt;17&lt;/ref-type&gt;&lt;rec-number&gt;345&lt;/rec-number&gt;&lt;last-updated-date format="utc"&gt;1500143197&lt;/last-updated-date&gt;&lt;accession-num&gt;25470310&lt;/accession-num&gt;&lt;electronic-resource-num&gt;10.1097/ACM.0000000000000586&lt;/electronic-resource-num&gt;&lt;volume&gt;90&lt;/volume&gt;&lt;/record&gt;&lt;/Cite&gt;&lt;/EndNote&gt;</w:instrText>
      </w:r>
      <w:r w:rsidR="00514D90">
        <w:fldChar w:fldCharType="separate"/>
      </w:r>
      <w:r w:rsidR="00514D90">
        <w:rPr>
          <w:noProof/>
        </w:rPr>
        <w:t>(Chen et al., 2015)</w:t>
      </w:r>
      <w:r w:rsidR="00514D90">
        <w:fldChar w:fldCharType="end"/>
      </w:r>
      <w:r w:rsidR="00514D90">
        <w:t xml:space="preserve">. The importance of bringing patients </w:t>
      </w:r>
      <w:r w:rsidR="000A27DF">
        <w:t>into</w:t>
      </w:r>
      <w:r w:rsidR="00514D90">
        <w:t xml:space="preserve"> assessment for EPAs, </w:t>
      </w:r>
      <w:r w:rsidR="00FA622A">
        <w:t>concurs</w:t>
      </w:r>
      <w:r w:rsidR="00514D90">
        <w:t xml:space="preserve"> with the findings in this study in order to add authenticity, responsibility and </w:t>
      </w:r>
      <w:r w:rsidR="00FA622A">
        <w:t>triangulated</w:t>
      </w:r>
      <w:r w:rsidR="00514D90">
        <w:t xml:space="preserve"> objective viewpoints for feedback </w:t>
      </w:r>
      <w:r w:rsidR="00514D90">
        <w:fldChar w:fldCharType="begin"/>
      </w:r>
      <w:r w:rsidR="00514D90">
        <w:instrText xml:space="preserve"> ADDIN EN.CITE &lt;EndNote&gt;&lt;Cite&gt;&lt;Author&gt;Ten Cate&lt;/Author&gt;&lt;Year&gt;2017&lt;/Year&gt;&lt;IDText&gt;Entrustment Decisions: Bringing the Patient Into the Assessment Equation&lt;/IDText&gt;&lt;DisplayText&gt;(Ten Cate, 2017)&lt;/DisplayText&gt;&lt;record&gt;&lt;dates&gt;&lt;pub-dates&gt;&lt;date&gt;Jun&lt;/date&gt;&lt;/pub-dates&gt;&lt;year&gt;2017&lt;/year&gt;&lt;/dates&gt;&lt;urls&gt;&lt;related-urls&gt;&lt;url&gt;https://www.ncbi.nlm.nih.gov/pubmed/28328736&lt;/url&gt;&lt;/related-urls&gt;&lt;/urls&gt;&lt;isbn&gt;1938-808X&lt;/isbn&gt;&lt;titles&gt;&lt;title&gt;Entrustment Decisions: Bringing the Patient Into the Assessment Equation&lt;/title&gt;&lt;secondary-title&gt;Acad Med&lt;/secondary-title&gt;&lt;/titles&gt;&lt;pages&gt;736-738&lt;/pages&gt;&lt;number&gt;6&lt;/number&gt;&lt;contributors&gt;&lt;authors&gt;&lt;author&gt;Ten Cate, O.&lt;/author&gt;&lt;/authors&gt;&lt;/contributors&gt;&lt;language&gt;eng&lt;/language&gt;&lt;added-date format="utc"&gt;1500142597&lt;/added-date&gt;&lt;ref-type name="Journal Article"&gt;17&lt;/ref-type&gt;&lt;rec-number&gt;343&lt;/rec-number&gt;&lt;last-updated-date format="utc"&gt;1500142597&lt;/last-updated-date&gt;&lt;accession-num&gt;28328736&lt;/accession-num&gt;&lt;electronic-resource-num&gt;10.1097/ACM.0000000000001623&lt;/electronic-resource-num&gt;&lt;volume&gt;92&lt;/volume&gt;&lt;/record&gt;&lt;/Cite&gt;&lt;/EndNote&gt;</w:instrText>
      </w:r>
      <w:r w:rsidR="00514D90">
        <w:fldChar w:fldCharType="separate"/>
      </w:r>
      <w:r w:rsidR="00514D90">
        <w:rPr>
          <w:noProof/>
        </w:rPr>
        <w:t>(Ten Cate, 2017)</w:t>
      </w:r>
      <w:r w:rsidR="00514D90">
        <w:fldChar w:fldCharType="end"/>
      </w:r>
      <w:r w:rsidR="00514D90">
        <w:t xml:space="preserve">. </w:t>
      </w:r>
    </w:p>
    <w:p w14:paraId="1EAF6503" w14:textId="6207CCEE" w:rsidR="00FD0F3D" w:rsidRDefault="00514D90" w:rsidP="008F237A">
      <w:r>
        <w:t>The risk of not experiencing responsibilit</w:t>
      </w:r>
      <w:r w:rsidR="00FD0F3D">
        <w:t xml:space="preserve">y prior to FY1 was highlighted with the </w:t>
      </w:r>
      <w:r w:rsidR="008F237A">
        <w:t>student managing anaphylaxis</w:t>
      </w:r>
      <w:r w:rsidR="00FD0F3D">
        <w:t>,</w:t>
      </w:r>
      <w:r w:rsidR="008F237A">
        <w:t xml:space="preserve"> </w:t>
      </w:r>
      <w:r w:rsidR="00FD0F3D">
        <w:t xml:space="preserve">who </w:t>
      </w:r>
      <w:r w:rsidR="008F237A">
        <w:t>knew the correct diagnosis and treatment but did not feel empowered to give adrenaline to save the patient</w:t>
      </w:r>
      <w:r w:rsidR="00A00CC0">
        <w:t>’</w:t>
      </w:r>
      <w:r w:rsidR="008F237A">
        <w:t>s life</w:t>
      </w:r>
      <w:r w:rsidR="00FD0F3D">
        <w:t>. In delaying</w:t>
      </w:r>
      <w:r w:rsidR="008F237A">
        <w:t xml:space="preserve"> </w:t>
      </w:r>
      <w:r w:rsidR="00FD0F3D">
        <w:t>treatment, the patient deteriorated and w</w:t>
      </w:r>
      <w:r w:rsidR="00106836">
        <w:t>hen explored,</w:t>
      </w:r>
      <w:r w:rsidR="008F237A">
        <w:t xml:space="preserve"> the student </w:t>
      </w:r>
      <w:r w:rsidR="009D4FEC">
        <w:t xml:space="preserve">was </w:t>
      </w:r>
      <w:r w:rsidR="008F237A">
        <w:t xml:space="preserve">‘unsure if they were able to give this treatment’ (Case studies, debriefing field notes). This was felt to be </w:t>
      </w:r>
      <w:r w:rsidR="00FD0F3D">
        <w:t xml:space="preserve">a reflection on self-confidence and uncertainty </w:t>
      </w:r>
      <w:r w:rsidR="008F237A">
        <w:t>surrounding expectations</w:t>
      </w:r>
      <w:r w:rsidR="00FD0F3D">
        <w:t xml:space="preserve"> of responsibility</w:t>
      </w:r>
      <w:r w:rsidR="008F237A">
        <w:t xml:space="preserve"> of </w:t>
      </w:r>
      <w:r w:rsidR="00BC4377">
        <w:t>a FY1</w:t>
      </w:r>
      <w:r w:rsidR="008F237A">
        <w:t>. This emergence of consequence learning was only possible by giving the student responsibility for</w:t>
      </w:r>
      <w:r w:rsidR="009D4FEC">
        <w:t xml:space="preserve"> the patient, practising under</w:t>
      </w:r>
      <w:r w:rsidR="008F237A">
        <w:t xml:space="preserve"> authentic pressure and allowing them to discover their behaviour through</w:t>
      </w:r>
      <w:r w:rsidR="00FD0F3D">
        <w:t xml:space="preserve"> experience and reflection through</w:t>
      </w:r>
      <w:r w:rsidR="008F237A">
        <w:t xml:space="preserve"> debriefing. </w:t>
      </w:r>
    </w:p>
    <w:p w14:paraId="53EB7ACD" w14:textId="0FF7995E" w:rsidR="00FD0F3D" w:rsidRDefault="008F237A" w:rsidP="008F237A">
      <w:r>
        <w:lastRenderedPageBreak/>
        <w:t xml:space="preserve">The undergraduate curriculum has a responsibility to make expectations for FY1 clear and improve preparedness. It has a duty to create experiences where undergraduate health professionals can experience responsibility and complexity for patients in a graded way, and be incorporated </w:t>
      </w:r>
      <w:r w:rsidR="000A27DF">
        <w:t>into</w:t>
      </w:r>
      <w:r>
        <w:t xml:space="preserve"> the clinical team and feel valued, to enh</w:t>
      </w:r>
      <w:r w:rsidR="001F7D00">
        <w:t>ance belonging and preparedness (Section 8.1.1)</w:t>
      </w:r>
      <w:r>
        <w:t>.</w:t>
      </w:r>
    </w:p>
    <w:p w14:paraId="7B4D4E25" w14:textId="6DF971B6" w:rsidR="00CC2587" w:rsidRDefault="005F7231" w:rsidP="005D24D8">
      <w:pPr>
        <w:rPr>
          <w:noProof/>
        </w:rPr>
      </w:pPr>
      <w:r>
        <w:t xml:space="preserve">Lave and Wegner </w:t>
      </w:r>
      <w:r w:rsidR="004C1F83">
        <w:t xml:space="preserve">(1991) </w:t>
      </w:r>
      <w:r>
        <w:t xml:space="preserve">opine that </w:t>
      </w:r>
      <w:r w:rsidR="004A7265">
        <w:t xml:space="preserve">learning </w:t>
      </w:r>
      <w:r>
        <w:t>models should focus on how context stimulates situated thinking rather than the cognitive processes occurring. This research</w:t>
      </w:r>
      <w:r w:rsidR="004C1F83">
        <w:t>,</w:t>
      </w:r>
      <w:r>
        <w:t xml:space="preserve"> however, highlights the importance of experiencing and understanding cognitive processes to facilitate construction of coping strategies to learn to take control. At novice level this may just be the realisation of needing help and getting it. This is an important foundation of developing professional behaviour and competence in an authentic role and is less reliant on time and experience, considered to be the main difference between novice and expert.</w:t>
      </w:r>
    </w:p>
    <w:p w14:paraId="454EF2D0" w14:textId="403433A8" w:rsidR="00BE7572" w:rsidRDefault="00196563" w:rsidP="00CC2587">
      <w:r>
        <w:t>T</w:t>
      </w:r>
      <w:r w:rsidR="006E4823">
        <w:t xml:space="preserve">he key elements discovered as being important to supporting </w:t>
      </w:r>
      <w:r w:rsidR="00FA622A">
        <w:t>preparedness</w:t>
      </w:r>
      <w:r w:rsidR="006E4823">
        <w:t xml:space="preserve"> (S</w:t>
      </w:r>
      <w:r w:rsidR="001F7D00">
        <w:t>ection 8.1.1</w:t>
      </w:r>
      <w:r w:rsidR="006E4823">
        <w:t>)</w:t>
      </w:r>
      <w:r>
        <w:t>,</w:t>
      </w:r>
      <w:r w:rsidR="00946F17">
        <w:t xml:space="preserve"> can be </w:t>
      </w:r>
      <w:r w:rsidR="00337A7E">
        <w:t>used</w:t>
      </w:r>
      <w:r w:rsidR="00946F17">
        <w:t xml:space="preserve"> when considering design of interventions within a curriculum.</w:t>
      </w:r>
      <w:r w:rsidR="006E4823">
        <w:t xml:space="preserve"> </w:t>
      </w:r>
      <w:r w:rsidR="00946F17">
        <w:t xml:space="preserve">Ultimately, the elements described all lead to improved </w:t>
      </w:r>
      <w:r w:rsidR="00FA622A">
        <w:t>self-regulation</w:t>
      </w:r>
      <w:r w:rsidR="00946F17">
        <w:t xml:space="preserve"> and the development of clinical cognitive competence </w:t>
      </w:r>
      <w:r w:rsidR="00AE0F56">
        <w:t>(Section 8.</w:t>
      </w:r>
      <w:r w:rsidR="001F7D00">
        <w:t>2.</w:t>
      </w:r>
      <w:r w:rsidR="00AE0F56">
        <w:t>5</w:t>
      </w:r>
      <w:r w:rsidR="001F7D00">
        <w:t>; p361</w:t>
      </w:r>
      <w:r>
        <w:t xml:space="preserve">), </w:t>
      </w:r>
      <w:r w:rsidR="00946F17">
        <w:t xml:space="preserve">expanded on in the following section. </w:t>
      </w:r>
    </w:p>
    <w:p w14:paraId="158C3DBE" w14:textId="77777777" w:rsidR="004C1F83" w:rsidRDefault="004C1F83" w:rsidP="00CC2587"/>
    <w:p w14:paraId="3834D8B1" w14:textId="77777777" w:rsidR="006777C5" w:rsidRDefault="006777C5" w:rsidP="00CC2587"/>
    <w:p w14:paraId="784474B3" w14:textId="5376F192" w:rsidR="003C0F0E" w:rsidRDefault="006F09AC" w:rsidP="006B027F">
      <w:pPr>
        <w:pStyle w:val="Heading2"/>
      </w:pPr>
      <w:bookmarkStart w:id="433" w:name="_Toc419116207"/>
      <w:r>
        <w:lastRenderedPageBreak/>
        <w:t>Clinical cognitive competence development through practice under pressure</w:t>
      </w:r>
      <w:r w:rsidR="00BB75FD">
        <w:t xml:space="preserve"> leading to mastery</w:t>
      </w:r>
      <w:bookmarkEnd w:id="433"/>
    </w:p>
    <w:p w14:paraId="1B3A01B6" w14:textId="77777777" w:rsidR="006F09AC" w:rsidRDefault="006F09AC" w:rsidP="004A7265">
      <w:pPr>
        <w:rPr>
          <w:rFonts w:eastAsiaTheme="minorEastAsia" w:cs="Arial"/>
          <w:color w:val="222222"/>
          <w:szCs w:val="24"/>
          <w:lang w:val="en-US"/>
        </w:rPr>
      </w:pPr>
    </w:p>
    <w:p w14:paraId="40D7761F" w14:textId="2DAE9B95" w:rsidR="004A7265" w:rsidRPr="004C1F83" w:rsidRDefault="004A7265" w:rsidP="004A7265">
      <w:pPr>
        <w:rPr>
          <w:rFonts w:eastAsiaTheme="minorEastAsia" w:cs="Arial"/>
          <w:szCs w:val="24"/>
          <w:lang w:val="en-US"/>
        </w:rPr>
      </w:pPr>
      <w:r w:rsidRPr="004C1F83">
        <w:rPr>
          <w:rFonts w:eastAsiaTheme="minorEastAsia" w:cs="Arial"/>
          <w:szCs w:val="24"/>
          <w:lang w:val="en-US"/>
        </w:rPr>
        <w:t>These data supported the emergent development of the theory of clinical cognitive competence</w:t>
      </w:r>
      <w:r w:rsidR="006777C5">
        <w:rPr>
          <w:rFonts w:eastAsiaTheme="minorEastAsia" w:cs="Arial"/>
          <w:szCs w:val="24"/>
          <w:lang w:val="en-US"/>
        </w:rPr>
        <w:t xml:space="preserve"> </w:t>
      </w:r>
      <w:r w:rsidR="00BB75FD">
        <w:rPr>
          <w:rFonts w:eastAsiaTheme="minorEastAsia" w:cs="Arial"/>
          <w:szCs w:val="24"/>
          <w:lang w:val="en-US"/>
        </w:rPr>
        <w:t xml:space="preserve">devised through data from this project </w:t>
      </w:r>
      <w:r w:rsidR="006777C5">
        <w:rPr>
          <w:rFonts w:eastAsiaTheme="minorEastAsia" w:cs="Arial"/>
          <w:szCs w:val="24"/>
          <w:lang w:val="en-US"/>
        </w:rPr>
        <w:t>(Figure 8.1</w:t>
      </w:r>
      <w:r w:rsidR="001F7D00">
        <w:rPr>
          <w:rFonts w:eastAsiaTheme="minorEastAsia" w:cs="Arial"/>
          <w:szCs w:val="24"/>
          <w:lang w:val="en-US"/>
        </w:rPr>
        <w:t>; p294</w:t>
      </w:r>
      <w:r w:rsidRPr="004C1F83">
        <w:rPr>
          <w:rFonts w:eastAsiaTheme="minorEastAsia" w:cs="Arial"/>
          <w:szCs w:val="24"/>
          <w:lang w:val="en-US"/>
        </w:rPr>
        <w:t xml:space="preserve">), when gaining a better understanding of preparedness for practice for FY1. Clinical cognitive competence encompassed the ability to be ‘fit to think and act’ (Interview 5) and moves away from ‘having the right knowledge’ to the importance of supporting the development of cognitive processes to allow </w:t>
      </w:r>
      <w:r w:rsidR="00BB75FD">
        <w:rPr>
          <w:rFonts w:eastAsiaTheme="minorEastAsia" w:cs="Arial"/>
          <w:szCs w:val="24"/>
          <w:lang w:val="en-US"/>
        </w:rPr>
        <w:t>c</w:t>
      </w:r>
      <w:r w:rsidR="005F705F" w:rsidRPr="004C1F83">
        <w:rPr>
          <w:rFonts w:eastAsiaTheme="minorEastAsia" w:cs="Arial"/>
          <w:szCs w:val="24"/>
          <w:lang w:val="en-US"/>
        </w:rPr>
        <w:t>andidate</w:t>
      </w:r>
      <w:r w:rsidRPr="004C1F83">
        <w:rPr>
          <w:rFonts w:eastAsiaTheme="minorEastAsia" w:cs="Arial"/>
          <w:szCs w:val="24"/>
          <w:lang w:val="en-US"/>
        </w:rPr>
        <w:t xml:space="preserve">s to think and act under pressure. Core to this were episodes of experiential learning that included experiencing complexity, loss of situation awareness, cognitive overload, consequences of own actions and inactions, impact of own </w:t>
      </w:r>
      <w:proofErr w:type="spellStart"/>
      <w:r w:rsidRPr="004C1F83">
        <w:rPr>
          <w:rFonts w:eastAsiaTheme="minorEastAsia" w:cs="Arial"/>
          <w:szCs w:val="24"/>
          <w:lang w:val="en-US"/>
        </w:rPr>
        <w:t>behaviours</w:t>
      </w:r>
      <w:proofErr w:type="spellEnd"/>
      <w:r w:rsidRPr="004C1F83">
        <w:rPr>
          <w:rFonts w:eastAsiaTheme="minorEastAsia" w:cs="Arial"/>
          <w:szCs w:val="24"/>
          <w:lang w:val="en-US"/>
        </w:rPr>
        <w:t xml:space="preserve"> on others and learning to use mental models to take control. </w:t>
      </w:r>
    </w:p>
    <w:p w14:paraId="24DB61C0" w14:textId="6DFA2B74" w:rsidR="004A7265" w:rsidRPr="004C1F83" w:rsidRDefault="004A7265" w:rsidP="004A7265">
      <w:r w:rsidRPr="004C1F83">
        <w:t xml:space="preserve">Lave adds the notion that </w:t>
      </w:r>
      <w:r w:rsidR="00FA622A" w:rsidRPr="004C1F83">
        <w:t>cognitive</w:t>
      </w:r>
      <w:r w:rsidRPr="004C1F83">
        <w:t xml:space="preserve"> theory is not just about the brain or mind but also the context and environment including others </w:t>
      </w:r>
      <w:r w:rsidRPr="004C1F83">
        <w:fldChar w:fldCharType="begin"/>
      </w:r>
      <w:r w:rsidRPr="004C1F83">
        <w:instrText xml:space="preserve"> ADDIN EN.CITE &lt;EndNote&gt;&lt;Cite&gt;&lt;Author&gt;Lave&lt;/Author&gt;&lt;Year&gt;1991&lt;/Year&gt;&lt;IDText&gt;Situated Learning: Legitimate peripheral participation&lt;/IDText&gt;&lt;DisplayText&gt;(Lave and Wenger, 1991)&lt;/DisplayText&gt;&lt;record&gt;&lt;titles&gt;&lt;title&gt;Situated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format="utc"&gt;1459260152&lt;/last-updated-date&gt;&lt;/record&gt;&lt;/Cite&gt;&lt;/EndNote&gt;</w:instrText>
      </w:r>
      <w:r w:rsidRPr="004C1F83">
        <w:fldChar w:fldCharType="separate"/>
      </w:r>
      <w:r w:rsidRPr="004C1F83">
        <w:rPr>
          <w:noProof/>
        </w:rPr>
        <w:t>(Lave and Wenger, 1991)</w:t>
      </w:r>
      <w:r w:rsidRPr="004C1F83">
        <w:fldChar w:fldCharType="end"/>
      </w:r>
      <w:r w:rsidRPr="004C1F83">
        <w:t xml:space="preserve">. This supports the importance of learning about human </w:t>
      </w:r>
      <w:r w:rsidR="00FA622A" w:rsidRPr="004C1F83">
        <w:t>factors, which embrace the environment, other people,</w:t>
      </w:r>
      <w:r w:rsidRPr="004C1F83">
        <w:t xml:space="preserve"> and </w:t>
      </w:r>
      <w:r w:rsidR="00FA622A" w:rsidRPr="004C1F83">
        <w:t>equipment,</w:t>
      </w:r>
      <w:r w:rsidRPr="004C1F83">
        <w:t xml:space="preserve"> that will be interacted with, within a clinical community of practice. </w:t>
      </w:r>
    </w:p>
    <w:p w14:paraId="69234647" w14:textId="5DA3AC89" w:rsidR="00810DDF" w:rsidRPr="004C1F83" w:rsidRDefault="004A7265" w:rsidP="00810DDF">
      <w:pPr>
        <w:widowControl w:val="0"/>
        <w:autoSpaceDE w:val="0"/>
        <w:autoSpaceDN w:val="0"/>
        <w:adjustRightInd w:val="0"/>
        <w:spacing w:after="266"/>
        <w:rPr>
          <w:rFonts w:cs="Arial"/>
          <w:szCs w:val="24"/>
        </w:rPr>
      </w:pPr>
      <w:r w:rsidRPr="004C1F83">
        <w:rPr>
          <w:rFonts w:eastAsiaTheme="minorEastAsia" w:cs="Arial"/>
          <w:szCs w:val="24"/>
          <w:lang w:val="en-US"/>
        </w:rPr>
        <w:t>The importance of experiencing and understanding what happens to one</w:t>
      </w:r>
      <w:r w:rsidR="005F4125" w:rsidRPr="004C1F83">
        <w:rPr>
          <w:rFonts w:eastAsiaTheme="minorEastAsia" w:cs="Arial"/>
          <w:szCs w:val="24"/>
          <w:lang w:val="en-US"/>
        </w:rPr>
        <w:t>’</w:t>
      </w:r>
      <w:r w:rsidRPr="004C1F83">
        <w:rPr>
          <w:rFonts w:eastAsiaTheme="minorEastAsia" w:cs="Arial"/>
          <w:szCs w:val="24"/>
          <w:lang w:val="en-US"/>
        </w:rPr>
        <w:t xml:space="preserve">s thought processes in times of stress and pressure, how to </w:t>
      </w:r>
      <w:proofErr w:type="spellStart"/>
      <w:r w:rsidRPr="004C1F83">
        <w:rPr>
          <w:rFonts w:eastAsiaTheme="minorEastAsia" w:cs="Arial"/>
          <w:szCs w:val="24"/>
          <w:lang w:val="en-US"/>
        </w:rPr>
        <w:t>recognise</w:t>
      </w:r>
      <w:proofErr w:type="spellEnd"/>
      <w:r w:rsidRPr="004C1F83">
        <w:rPr>
          <w:rFonts w:eastAsiaTheme="minorEastAsia" w:cs="Arial"/>
          <w:szCs w:val="24"/>
          <w:lang w:val="en-US"/>
        </w:rPr>
        <w:t xml:space="preserve"> that and move to a place of control was key. These elements required specific discussion and understanding to facilitate potential </w:t>
      </w:r>
      <w:proofErr w:type="spellStart"/>
      <w:r w:rsidRPr="004C1F83">
        <w:rPr>
          <w:rFonts w:eastAsiaTheme="minorEastAsia" w:cs="Arial"/>
          <w:szCs w:val="24"/>
          <w:lang w:val="en-US"/>
        </w:rPr>
        <w:t>behavioural</w:t>
      </w:r>
      <w:proofErr w:type="spellEnd"/>
      <w:r w:rsidRPr="004C1F83">
        <w:rPr>
          <w:rFonts w:eastAsiaTheme="minorEastAsia" w:cs="Arial"/>
          <w:szCs w:val="24"/>
          <w:lang w:val="en-US"/>
        </w:rPr>
        <w:t xml:space="preserve"> change, felt to be the key of a good simulation or education experience (Interview 10). Focus </w:t>
      </w:r>
      <w:r w:rsidRPr="004C1F83">
        <w:rPr>
          <w:rFonts w:eastAsiaTheme="minorEastAsia" w:cs="Arial"/>
          <w:szCs w:val="24"/>
          <w:lang w:val="en-US"/>
        </w:rPr>
        <w:lastRenderedPageBreak/>
        <w:t xml:space="preserve">was placed on increasing awareness of the value </w:t>
      </w:r>
      <w:r w:rsidR="004C1F83" w:rsidRPr="004C1F83">
        <w:rPr>
          <w:rFonts w:eastAsiaTheme="minorEastAsia" w:cs="Arial"/>
          <w:szCs w:val="24"/>
          <w:lang w:val="en-US"/>
        </w:rPr>
        <w:t xml:space="preserve">that </w:t>
      </w:r>
      <w:r w:rsidRPr="004C1F83">
        <w:rPr>
          <w:rFonts w:eastAsiaTheme="minorEastAsia" w:cs="Arial"/>
          <w:szCs w:val="24"/>
          <w:lang w:val="en-US"/>
        </w:rPr>
        <w:t>simulation can add to the constructs of experiential learning and the key elements that the conditions bring. These included individual learning, emergence, complexity, consequence learning and the cognitive processes that can be developed by increasing awareness and facilitating an opportunity for objective self-reflection, discovery and understanding</w:t>
      </w:r>
      <w:r w:rsidR="006777C5">
        <w:rPr>
          <w:rFonts w:eastAsiaTheme="minorEastAsia" w:cs="Arial"/>
          <w:szCs w:val="24"/>
          <w:lang w:val="en-US"/>
        </w:rPr>
        <w:t xml:space="preserve">. </w:t>
      </w:r>
      <w:r w:rsidR="001B0657" w:rsidRPr="004C1F83">
        <w:rPr>
          <w:rFonts w:cs="Arial"/>
          <w:szCs w:val="24"/>
        </w:rPr>
        <w:t xml:space="preserve">In the final intervention study, one student decided a patient with breathlessness had a pulmonary embolism so ignored all clinical findings that pointed to a pneumothorax. This uncovered, as a beautiful example, the effect of cognitive bias and the consequences of incorrect management that would have delayed or complicated definitive correct management. This was explored and ability to learn from the consequences of actions. Learning to trust </w:t>
      </w:r>
      <w:r w:rsidR="005F4125" w:rsidRPr="004C1F83">
        <w:rPr>
          <w:rFonts w:cs="Arial"/>
          <w:szCs w:val="24"/>
        </w:rPr>
        <w:t xml:space="preserve">one’s </w:t>
      </w:r>
      <w:r w:rsidR="001B0657" w:rsidRPr="004C1F83">
        <w:rPr>
          <w:rFonts w:cs="Arial"/>
          <w:szCs w:val="24"/>
        </w:rPr>
        <w:t xml:space="preserve">own clinical </w:t>
      </w:r>
      <w:r w:rsidR="001D42C9" w:rsidRPr="004C1F83">
        <w:rPr>
          <w:rFonts w:cs="Arial"/>
          <w:szCs w:val="24"/>
        </w:rPr>
        <w:t>judgment</w:t>
      </w:r>
      <w:r w:rsidR="001B0657" w:rsidRPr="004C1F83">
        <w:rPr>
          <w:rFonts w:cs="Arial"/>
          <w:szCs w:val="24"/>
        </w:rPr>
        <w:t xml:space="preserve"> appeared to be complicated and take time. It was reflected that any level of trainee or health professional could be at risk of cognitive bias, a valuable lesson. </w:t>
      </w:r>
    </w:p>
    <w:p w14:paraId="5EB1E1F6" w14:textId="063ED6B9" w:rsidR="00810DDF" w:rsidRDefault="00810DDF" w:rsidP="00810DDF">
      <w:pPr>
        <w:widowControl w:val="0"/>
        <w:autoSpaceDE w:val="0"/>
        <w:autoSpaceDN w:val="0"/>
        <w:adjustRightInd w:val="0"/>
        <w:spacing w:after="266"/>
        <w:rPr>
          <w:rFonts w:cs="Arial"/>
          <w:szCs w:val="24"/>
        </w:rPr>
      </w:pPr>
      <w:r w:rsidRPr="004C1F83">
        <w:rPr>
          <w:rFonts w:cs="Arial"/>
          <w:szCs w:val="24"/>
        </w:rPr>
        <w:t>In a further example, when running through the anaphylaxis scenario, there was a contrast noted between types of students and their decision-making skills. One said out loud the correct dose of adrenaline and route, but when offered a ch</w:t>
      </w:r>
      <w:r w:rsidR="00C85B7A" w:rsidRPr="004C1F83">
        <w:rPr>
          <w:rFonts w:cs="Arial"/>
          <w:szCs w:val="24"/>
        </w:rPr>
        <w:t xml:space="preserve">oice of two different strengths, </w:t>
      </w:r>
      <w:r w:rsidRPr="004C1F83">
        <w:rPr>
          <w:rFonts w:cs="Arial"/>
          <w:szCs w:val="24"/>
        </w:rPr>
        <w:t>present on a standard arrest trolley, they selected the wrong strength and route, despite having recounted the correct one seconds before. They delivered t</w:t>
      </w:r>
      <w:r w:rsidR="005F4125" w:rsidRPr="004C1F83">
        <w:rPr>
          <w:rFonts w:cs="Arial"/>
          <w:szCs w:val="24"/>
        </w:rPr>
        <w:t>he incorrect strength vi</w:t>
      </w:r>
      <w:r w:rsidRPr="004C1F83">
        <w:rPr>
          <w:rFonts w:cs="Arial"/>
          <w:szCs w:val="24"/>
        </w:rPr>
        <w:t xml:space="preserve">a the incorrect route and as a consequence, the patient developed a fast heart rate, high blood pressure with a headache and felt awful despite their tongue swelling decreasing. This demonstrated that when fast decisions need to be made, they need to be </w:t>
      </w:r>
      <w:r w:rsidR="00FA622A" w:rsidRPr="004C1F83">
        <w:rPr>
          <w:rFonts w:cs="Arial"/>
          <w:szCs w:val="24"/>
        </w:rPr>
        <w:t>cross</w:t>
      </w:r>
      <w:r w:rsidR="005F4125" w:rsidRPr="004C1F83">
        <w:rPr>
          <w:rFonts w:cs="Arial"/>
          <w:szCs w:val="24"/>
        </w:rPr>
        <w:t>-</w:t>
      </w:r>
      <w:r w:rsidR="00FA622A" w:rsidRPr="004C1F83">
        <w:rPr>
          <w:rFonts w:cs="Arial"/>
          <w:szCs w:val="24"/>
        </w:rPr>
        <w:t>checked</w:t>
      </w:r>
      <w:r w:rsidRPr="004C1F83">
        <w:rPr>
          <w:rFonts w:cs="Arial"/>
          <w:szCs w:val="24"/>
        </w:rPr>
        <w:t xml:space="preserve">. The student acknowledged the need to slow down and the importance of checking and confirming with resources available and </w:t>
      </w:r>
      <w:r w:rsidRPr="004C1F83">
        <w:rPr>
          <w:rFonts w:cs="Arial"/>
          <w:szCs w:val="24"/>
        </w:rPr>
        <w:lastRenderedPageBreak/>
        <w:t>team support. This rich example allowed powerful learning for the whole group</w:t>
      </w:r>
      <w:r>
        <w:rPr>
          <w:rFonts w:cs="Arial"/>
          <w:szCs w:val="24"/>
        </w:rPr>
        <w:t xml:space="preserve"> as well as faculty.</w:t>
      </w:r>
    </w:p>
    <w:p w14:paraId="0F41B81A" w14:textId="4525C47B" w:rsidR="004A7265" w:rsidRPr="006B027F" w:rsidRDefault="00810DDF" w:rsidP="006B027F">
      <w:pPr>
        <w:widowControl w:val="0"/>
        <w:autoSpaceDE w:val="0"/>
        <w:autoSpaceDN w:val="0"/>
        <w:adjustRightInd w:val="0"/>
        <w:spacing w:after="266"/>
        <w:rPr>
          <w:rFonts w:cs="Arial"/>
          <w:szCs w:val="24"/>
        </w:rPr>
      </w:pPr>
      <w:r>
        <w:rPr>
          <w:rFonts w:cs="Arial"/>
          <w:szCs w:val="24"/>
        </w:rPr>
        <w:t>In another case for the same scenario, the student was sure of the diagnosis and dose but did not feel able to make the decision</w:t>
      </w:r>
      <w:r w:rsidR="00C85B7A">
        <w:rPr>
          <w:rFonts w:cs="Arial"/>
          <w:szCs w:val="24"/>
        </w:rPr>
        <w:t xml:space="preserve"> </w:t>
      </w:r>
      <w:r>
        <w:rPr>
          <w:rFonts w:cs="Arial"/>
          <w:szCs w:val="24"/>
        </w:rPr>
        <w:t>due to</w:t>
      </w:r>
      <w:r w:rsidR="008E6DC1">
        <w:rPr>
          <w:rFonts w:cs="Arial"/>
          <w:szCs w:val="24"/>
        </w:rPr>
        <w:t xml:space="preserve"> a</w:t>
      </w:r>
      <w:r>
        <w:rPr>
          <w:rFonts w:cs="Arial"/>
          <w:szCs w:val="24"/>
        </w:rPr>
        <w:t xml:space="preserve"> lack of clarity surrounding </w:t>
      </w:r>
      <w:r w:rsidR="00FA622A">
        <w:rPr>
          <w:rFonts w:cs="Arial"/>
          <w:szCs w:val="24"/>
        </w:rPr>
        <w:t>responsibility</w:t>
      </w:r>
      <w:r>
        <w:rPr>
          <w:rFonts w:cs="Arial"/>
          <w:szCs w:val="24"/>
        </w:rPr>
        <w:t xml:space="preserve"> and role. They watched the patient deteriorate while ringing to confirm that a senior colleague was happy for them to administer the dose. This was interwoven with the complexity of confidence, expectations, experience, responsibility plus potentially some lack of situational awareness. These cases highlight the consequences of action and inaction related to decision-making and treatment decisions. Both concepts are fascinating and emphasise the importance of playing out scenarios so that </w:t>
      </w:r>
      <w:r w:rsidR="00E554BC">
        <w:rPr>
          <w:rFonts w:cs="Arial"/>
          <w:szCs w:val="24"/>
        </w:rPr>
        <w:t>c</w:t>
      </w:r>
      <w:r w:rsidR="005F705F">
        <w:rPr>
          <w:rFonts w:cs="Arial"/>
          <w:szCs w:val="24"/>
        </w:rPr>
        <w:t>andidate</w:t>
      </w:r>
      <w:r>
        <w:rPr>
          <w:rFonts w:cs="Arial"/>
          <w:szCs w:val="24"/>
        </w:rPr>
        <w:t xml:space="preserve">s can learn what their acute reaction is to stress </w:t>
      </w:r>
      <w:r w:rsidR="00A14A82">
        <w:rPr>
          <w:rFonts w:cs="Arial"/>
          <w:szCs w:val="24"/>
        </w:rPr>
        <w:t xml:space="preserve">during </w:t>
      </w:r>
      <w:r>
        <w:rPr>
          <w:rFonts w:cs="Arial"/>
          <w:szCs w:val="24"/>
        </w:rPr>
        <w:t>decision-making. They can then learn to modify their behaviour through slowing down, as in the first case or understanding expectations and being empowered, as in the second case, to improv</w:t>
      </w:r>
      <w:r w:rsidR="00E554BC">
        <w:rPr>
          <w:rFonts w:cs="Arial"/>
          <w:szCs w:val="24"/>
        </w:rPr>
        <w:t>e patient safety</w:t>
      </w:r>
      <w:r w:rsidR="00A14A82">
        <w:rPr>
          <w:rFonts w:cs="Arial"/>
          <w:szCs w:val="24"/>
        </w:rPr>
        <w:t xml:space="preserve"> (Case notes f</w:t>
      </w:r>
      <w:r>
        <w:rPr>
          <w:rFonts w:cs="Arial"/>
          <w:szCs w:val="24"/>
        </w:rPr>
        <w:t>r</w:t>
      </w:r>
      <w:r w:rsidR="00A14A82">
        <w:rPr>
          <w:rFonts w:cs="Arial"/>
          <w:szCs w:val="24"/>
        </w:rPr>
        <w:t>o</w:t>
      </w:r>
      <w:r>
        <w:rPr>
          <w:rFonts w:cs="Arial"/>
          <w:szCs w:val="24"/>
        </w:rPr>
        <w:t xml:space="preserve">m field notes June 2014).  </w:t>
      </w:r>
    </w:p>
    <w:p w14:paraId="67407D82" w14:textId="6097DAC4" w:rsidR="004A7265" w:rsidRDefault="004A7265" w:rsidP="004A7265">
      <w:pPr>
        <w:rPr>
          <w:rFonts w:eastAsiaTheme="minorEastAsia" w:cs="Arial"/>
          <w:color w:val="222222"/>
          <w:szCs w:val="24"/>
          <w:lang w:val="en-US"/>
        </w:rPr>
      </w:pPr>
      <w:r w:rsidRPr="005229FF">
        <w:rPr>
          <w:rFonts w:eastAsiaTheme="minorEastAsia" w:cs="Arial"/>
          <w:color w:val="222222"/>
          <w:szCs w:val="24"/>
          <w:lang w:val="en-US"/>
        </w:rPr>
        <w:t xml:space="preserve">Colliver </w:t>
      </w:r>
      <w:r>
        <w:rPr>
          <w:rFonts w:eastAsiaTheme="minorEastAsia" w:cs="Arial"/>
          <w:color w:val="222222"/>
          <w:szCs w:val="24"/>
          <w:lang w:val="en-US"/>
        </w:rPr>
        <w:t xml:space="preserve">(2002) </w:t>
      </w:r>
      <w:r w:rsidRPr="005229FF">
        <w:rPr>
          <w:rFonts w:eastAsiaTheme="minorEastAsia" w:cs="Arial"/>
          <w:color w:val="222222"/>
          <w:szCs w:val="24"/>
          <w:lang w:val="en-US"/>
        </w:rPr>
        <w:t xml:space="preserve">writes that ‘very little is known about how the brain works, certainly nothing that would inform </w:t>
      </w:r>
      <w:r>
        <w:rPr>
          <w:rFonts w:eastAsiaTheme="minorEastAsia" w:cs="Arial"/>
          <w:color w:val="222222"/>
          <w:szCs w:val="24"/>
          <w:lang w:val="en-US"/>
        </w:rPr>
        <w:t>practice in medical education’. H</w:t>
      </w:r>
      <w:r w:rsidRPr="005229FF">
        <w:rPr>
          <w:rFonts w:eastAsiaTheme="minorEastAsia" w:cs="Arial"/>
          <w:color w:val="222222"/>
          <w:szCs w:val="24"/>
          <w:lang w:val="en-US"/>
        </w:rPr>
        <w:t>owever exploration of metacognition and concepts of brain training</w:t>
      </w:r>
      <w:r>
        <w:rPr>
          <w:rFonts w:eastAsiaTheme="minorEastAsia" w:cs="Arial"/>
          <w:color w:val="222222"/>
          <w:szCs w:val="24"/>
          <w:lang w:val="en-US"/>
        </w:rPr>
        <w:t xml:space="preserve">, </w:t>
      </w:r>
      <w:r w:rsidRPr="005229FF">
        <w:rPr>
          <w:rFonts w:eastAsiaTheme="minorEastAsia" w:cs="Arial"/>
          <w:color w:val="222222"/>
          <w:szCs w:val="24"/>
          <w:lang w:val="en-US"/>
        </w:rPr>
        <w:t>understanding how information is processed</w:t>
      </w:r>
      <w:r>
        <w:rPr>
          <w:rFonts w:eastAsiaTheme="minorEastAsia" w:cs="Arial"/>
          <w:color w:val="222222"/>
          <w:szCs w:val="24"/>
          <w:lang w:val="en-US"/>
        </w:rPr>
        <w:t>,</w:t>
      </w:r>
      <w:r w:rsidRPr="005229FF">
        <w:rPr>
          <w:rFonts w:eastAsiaTheme="minorEastAsia" w:cs="Arial"/>
          <w:color w:val="222222"/>
          <w:szCs w:val="24"/>
          <w:lang w:val="en-US"/>
        </w:rPr>
        <w:t xml:space="preserve"> through reflections and observation of </w:t>
      </w:r>
      <w:proofErr w:type="spellStart"/>
      <w:r w:rsidRPr="005229FF">
        <w:rPr>
          <w:rFonts w:eastAsiaTheme="minorEastAsia" w:cs="Arial"/>
          <w:color w:val="222222"/>
          <w:szCs w:val="24"/>
          <w:lang w:val="en-US"/>
        </w:rPr>
        <w:t>behaviour</w:t>
      </w:r>
      <w:proofErr w:type="spellEnd"/>
      <w:r w:rsidRPr="005229FF">
        <w:rPr>
          <w:rFonts w:eastAsiaTheme="minorEastAsia" w:cs="Arial"/>
          <w:color w:val="222222"/>
          <w:szCs w:val="24"/>
          <w:lang w:val="en-US"/>
        </w:rPr>
        <w:t xml:space="preserve"> are possible</w:t>
      </w:r>
      <w:r>
        <w:rPr>
          <w:rFonts w:eastAsiaTheme="minorEastAsia" w:cs="Arial"/>
          <w:color w:val="222222"/>
          <w:szCs w:val="24"/>
          <w:lang w:val="en-US"/>
        </w:rPr>
        <w:t>. This can inform and</w:t>
      </w:r>
      <w:r w:rsidRPr="005229FF">
        <w:rPr>
          <w:rFonts w:eastAsiaTheme="minorEastAsia" w:cs="Arial"/>
          <w:color w:val="222222"/>
          <w:szCs w:val="24"/>
          <w:lang w:val="en-US"/>
        </w:rPr>
        <w:t xml:space="preserve"> support preparing for practice in complex environ</w:t>
      </w:r>
      <w:r>
        <w:rPr>
          <w:rFonts w:eastAsiaTheme="minorEastAsia" w:cs="Arial"/>
          <w:color w:val="222222"/>
          <w:szCs w:val="24"/>
          <w:lang w:val="en-US"/>
        </w:rPr>
        <w:t>ments, challenging transitions, in particular</w:t>
      </w:r>
      <w:r w:rsidRPr="005229FF">
        <w:rPr>
          <w:rFonts w:eastAsiaTheme="minorEastAsia" w:cs="Arial"/>
          <w:color w:val="222222"/>
          <w:szCs w:val="24"/>
          <w:lang w:val="en-US"/>
        </w:rPr>
        <w:t xml:space="preserve"> where mental toughness and emotional control are paramount to an effective outcome for others in the social world or community of practice </w:t>
      </w:r>
      <w:r w:rsidRPr="005229FF">
        <w:rPr>
          <w:rFonts w:eastAsiaTheme="minorEastAsia" w:cs="Arial"/>
          <w:color w:val="222222"/>
          <w:szCs w:val="24"/>
          <w:lang w:val="en-US"/>
        </w:rPr>
        <w:fldChar w:fldCharType="begin">
          <w:fldData xml:space="preserve">PEVuZE5vdGU+PENpdGU+PEF1dGhvcj5Db2xsaXZlcjwvQXV0aG9yPjxZZWFyPjIwMDI8L1llYXI+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</w:fldData>
        </w:fldChar>
      </w:r>
      <w:r w:rsidRPr="005229FF">
        <w:rPr>
          <w:rFonts w:eastAsiaTheme="minorEastAsia" w:cs="Arial"/>
          <w:color w:val="222222"/>
          <w:szCs w:val="24"/>
          <w:lang w:val="en-US"/>
        </w:rPr>
        <w:instrText xml:space="preserve"> ADDIN EN.CITE </w:instrText>
      </w:r>
      <w:r w:rsidRPr="005229FF">
        <w:rPr>
          <w:rFonts w:eastAsiaTheme="minorEastAsia" w:cs="Arial"/>
          <w:color w:val="222222"/>
          <w:szCs w:val="24"/>
          <w:lang w:val="en-US"/>
        </w:rPr>
        <w:fldChar w:fldCharType="begin">
          <w:fldData xml:space="preserve">PEVuZE5vdGU+PENpdGU+PEF1dGhvcj5Db2xsaXZlcjwvQXV0aG9yPjxZZWFyPjIwMDI8L1llYXI+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</w:fldData>
        </w:fldChar>
      </w:r>
      <w:r w:rsidRPr="005229FF">
        <w:rPr>
          <w:rFonts w:eastAsiaTheme="minorEastAsia" w:cs="Arial"/>
          <w:color w:val="222222"/>
          <w:szCs w:val="24"/>
          <w:lang w:val="en-US"/>
        </w:rPr>
        <w:instrText xml:space="preserve"> ADDIN EN.CITE.DATA </w:instrText>
      </w:r>
      <w:r w:rsidRPr="005229FF">
        <w:rPr>
          <w:rFonts w:eastAsiaTheme="minorEastAsia" w:cs="Arial"/>
          <w:color w:val="222222"/>
          <w:szCs w:val="24"/>
          <w:lang w:val="en-US"/>
        </w:rPr>
      </w:r>
      <w:r w:rsidRPr="005229FF">
        <w:rPr>
          <w:rFonts w:eastAsiaTheme="minorEastAsia" w:cs="Arial"/>
          <w:color w:val="222222"/>
          <w:szCs w:val="24"/>
          <w:lang w:val="en-US"/>
        </w:rPr>
        <w:fldChar w:fldCharType="end"/>
      </w:r>
      <w:r w:rsidRPr="005229FF">
        <w:rPr>
          <w:rFonts w:eastAsiaTheme="minorEastAsia" w:cs="Arial"/>
          <w:color w:val="222222"/>
          <w:szCs w:val="24"/>
          <w:lang w:val="en-US"/>
        </w:rPr>
      </w:r>
      <w:r w:rsidRPr="005229FF">
        <w:rPr>
          <w:rFonts w:eastAsiaTheme="minorEastAsia" w:cs="Arial"/>
          <w:color w:val="222222"/>
          <w:szCs w:val="24"/>
          <w:lang w:val="en-US"/>
        </w:rPr>
        <w:fldChar w:fldCharType="separate"/>
      </w:r>
      <w:r w:rsidRPr="005229FF">
        <w:rPr>
          <w:rFonts w:eastAsiaTheme="minorEastAsia" w:cs="Arial"/>
          <w:noProof/>
          <w:color w:val="222222"/>
          <w:szCs w:val="24"/>
          <w:lang w:val="en-US"/>
        </w:rPr>
        <w:t>(Colliver, 2002, Peters, 2012, Cowden, 2016)</w:t>
      </w:r>
      <w:r w:rsidRPr="005229FF">
        <w:rPr>
          <w:rFonts w:eastAsiaTheme="minorEastAsia" w:cs="Arial"/>
          <w:color w:val="222222"/>
          <w:szCs w:val="24"/>
          <w:lang w:val="en-US"/>
        </w:rPr>
        <w:fldChar w:fldCharType="end"/>
      </w:r>
      <w:r w:rsidRPr="005229FF">
        <w:rPr>
          <w:rFonts w:eastAsiaTheme="minorEastAsia" w:cs="Arial"/>
          <w:color w:val="222222"/>
          <w:szCs w:val="24"/>
          <w:lang w:val="en-US"/>
        </w:rPr>
        <w:t xml:space="preserve">. </w:t>
      </w:r>
      <w:r>
        <w:rPr>
          <w:rFonts w:eastAsiaTheme="minorEastAsia" w:cs="Arial"/>
          <w:color w:val="222222"/>
          <w:szCs w:val="24"/>
          <w:lang w:val="en-US"/>
        </w:rPr>
        <w:t xml:space="preserve">This is certainly the case for </w:t>
      </w:r>
      <w:r w:rsidR="001D42C9">
        <w:rPr>
          <w:rFonts w:eastAsiaTheme="minorEastAsia" w:cs="Arial"/>
          <w:color w:val="222222"/>
          <w:szCs w:val="24"/>
          <w:lang w:val="en-US"/>
        </w:rPr>
        <w:t>healthcare</w:t>
      </w:r>
      <w:r w:rsidR="00FA622A">
        <w:rPr>
          <w:rFonts w:eastAsiaTheme="minorEastAsia" w:cs="Arial"/>
          <w:color w:val="222222"/>
          <w:szCs w:val="24"/>
          <w:lang w:val="en-US"/>
        </w:rPr>
        <w:t>, which</w:t>
      </w:r>
      <w:r>
        <w:rPr>
          <w:rFonts w:eastAsiaTheme="minorEastAsia" w:cs="Arial"/>
          <w:color w:val="222222"/>
          <w:szCs w:val="24"/>
          <w:lang w:val="en-US"/>
        </w:rPr>
        <w:t xml:space="preserve"> is indeed a complex and </w:t>
      </w:r>
      <w:r>
        <w:rPr>
          <w:rFonts w:eastAsiaTheme="minorEastAsia" w:cs="Arial"/>
          <w:color w:val="222222"/>
          <w:szCs w:val="24"/>
          <w:lang w:val="en-US"/>
        </w:rPr>
        <w:lastRenderedPageBreak/>
        <w:t>stressful environment. Management of emotions are key and these data demonstrate the importance of discussing emotions, exploring and understanding them related to stress, pressure, challenge and making mistakes. They highlight that emotional control is less about not reacting and more about learning to support each other</w:t>
      </w:r>
      <w:r w:rsidR="00E554BC">
        <w:rPr>
          <w:rFonts w:eastAsiaTheme="minorEastAsia" w:cs="Arial"/>
          <w:color w:val="222222"/>
          <w:szCs w:val="24"/>
          <w:lang w:val="en-US"/>
        </w:rPr>
        <w:t xml:space="preserve"> within the community of a team-</w:t>
      </w:r>
      <w:r>
        <w:rPr>
          <w:rFonts w:eastAsiaTheme="minorEastAsia" w:cs="Arial"/>
          <w:color w:val="222222"/>
          <w:szCs w:val="24"/>
          <w:lang w:val="en-US"/>
        </w:rPr>
        <w:t xml:space="preserve">based setting, learning to take time to </w:t>
      </w:r>
      <w:proofErr w:type="spellStart"/>
      <w:r>
        <w:rPr>
          <w:rFonts w:eastAsiaTheme="minorEastAsia" w:cs="Arial"/>
          <w:color w:val="222222"/>
          <w:szCs w:val="24"/>
          <w:lang w:val="en-US"/>
        </w:rPr>
        <w:t>recognise</w:t>
      </w:r>
      <w:proofErr w:type="spellEnd"/>
      <w:r>
        <w:rPr>
          <w:rFonts w:eastAsiaTheme="minorEastAsia" w:cs="Arial"/>
          <w:color w:val="222222"/>
          <w:szCs w:val="24"/>
          <w:lang w:val="en-US"/>
        </w:rPr>
        <w:t xml:space="preserve"> the emotional challenges and have time and space to d</w:t>
      </w:r>
      <w:r w:rsidR="002F31CE">
        <w:rPr>
          <w:rFonts w:eastAsiaTheme="minorEastAsia" w:cs="Arial"/>
          <w:color w:val="222222"/>
          <w:szCs w:val="24"/>
          <w:lang w:val="en-US"/>
        </w:rPr>
        <w:t xml:space="preserve">iscuss them. Role </w:t>
      </w:r>
      <w:r w:rsidR="00FA622A">
        <w:rPr>
          <w:rFonts w:eastAsiaTheme="minorEastAsia" w:cs="Arial"/>
          <w:color w:val="222222"/>
          <w:szCs w:val="24"/>
          <w:lang w:val="en-US"/>
        </w:rPr>
        <w:t>modeling</w:t>
      </w:r>
      <w:r w:rsidR="002F31CE">
        <w:rPr>
          <w:rFonts w:eastAsiaTheme="minorEastAsia" w:cs="Arial"/>
          <w:color w:val="222222"/>
          <w:szCs w:val="24"/>
          <w:lang w:val="en-US"/>
        </w:rPr>
        <w:t>, op</w:t>
      </w:r>
      <w:r>
        <w:rPr>
          <w:rFonts w:eastAsiaTheme="minorEastAsia" w:cs="Arial"/>
          <w:color w:val="222222"/>
          <w:szCs w:val="24"/>
          <w:lang w:val="en-US"/>
        </w:rPr>
        <w:t xml:space="preserve">enness and mentoring were again central to this process. </w:t>
      </w:r>
    </w:p>
    <w:p w14:paraId="3514EFCE" w14:textId="3CB06918" w:rsidR="004A7265" w:rsidRPr="006B027F" w:rsidRDefault="004A7265" w:rsidP="004A7265">
      <w:pPr>
        <w:rPr>
          <w:rFonts w:cs="Arial"/>
        </w:rPr>
      </w:pPr>
      <w:r>
        <w:rPr>
          <w:rFonts w:eastAsiaTheme="minorEastAsia" w:cs="Arial"/>
          <w:color w:val="222222"/>
          <w:szCs w:val="24"/>
          <w:lang w:val="en-US"/>
        </w:rPr>
        <w:t>During the simulation experiences, authentic distractions facilitated replication of complexity and emergence of subsequent consequences to support learners discovering and beginning to understand their cognitive and emotional processes.</w:t>
      </w:r>
      <w:r>
        <w:rPr>
          <w:rFonts w:cs="Arial"/>
        </w:rPr>
        <w:t xml:space="preserve"> </w:t>
      </w:r>
      <w:r w:rsidRPr="005229FF">
        <w:rPr>
          <w:rFonts w:eastAsiaTheme="minorEastAsia" w:cs="Arial"/>
          <w:color w:val="222222"/>
          <w:szCs w:val="24"/>
          <w:lang w:val="en-US"/>
        </w:rPr>
        <w:t xml:space="preserve">Fraser et al. </w:t>
      </w:r>
      <w:r>
        <w:rPr>
          <w:rFonts w:eastAsiaTheme="minorEastAsia" w:cs="Arial"/>
          <w:color w:val="222222"/>
          <w:szCs w:val="24"/>
          <w:lang w:val="en-US"/>
        </w:rPr>
        <w:t xml:space="preserve">(2015) </w:t>
      </w:r>
      <w:r w:rsidRPr="005229FF">
        <w:rPr>
          <w:rFonts w:eastAsiaTheme="minorEastAsia" w:cs="Arial"/>
          <w:color w:val="222222"/>
          <w:szCs w:val="24"/>
          <w:lang w:val="en-US"/>
        </w:rPr>
        <w:t>argue that the use of ‘dual task simulation’ where distractions are added in</w:t>
      </w:r>
      <w:r>
        <w:rPr>
          <w:rFonts w:eastAsiaTheme="minorEastAsia" w:cs="Arial"/>
          <w:color w:val="222222"/>
          <w:szCs w:val="24"/>
          <w:lang w:val="en-US"/>
        </w:rPr>
        <w:t>,</w:t>
      </w:r>
      <w:r w:rsidRPr="005229FF">
        <w:rPr>
          <w:rFonts w:eastAsiaTheme="minorEastAsia" w:cs="Arial"/>
          <w:color w:val="222222"/>
          <w:szCs w:val="24"/>
          <w:lang w:val="en-US"/>
        </w:rPr>
        <w:t xml:space="preserve"> takes a</w:t>
      </w:r>
      <w:r>
        <w:rPr>
          <w:rFonts w:eastAsiaTheme="minorEastAsia" w:cs="Arial"/>
          <w:color w:val="222222"/>
          <w:szCs w:val="24"/>
          <w:lang w:val="en-US"/>
        </w:rPr>
        <w:t>way from the learning in simula</w:t>
      </w:r>
      <w:r w:rsidRPr="005229FF">
        <w:rPr>
          <w:rFonts w:eastAsiaTheme="minorEastAsia" w:cs="Arial"/>
          <w:color w:val="222222"/>
          <w:szCs w:val="24"/>
          <w:lang w:val="en-US"/>
        </w:rPr>
        <w:t>t</w:t>
      </w:r>
      <w:r>
        <w:rPr>
          <w:rFonts w:eastAsiaTheme="minorEastAsia" w:cs="Arial"/>
          <w:color w:val="222222"/>
          <w:szCs w:val="24"/>
          <w:lang w:val="en-US"/>
        </w:rPr>
        <w:t>i</w:t>
      </w:r>
      <w:r w:rsidRPr="005229FF">
        <w:rPr>
          <w:rFonts w:eastAsiaTheme="minorEastAsia" w:cs="Arial"/>
          <w:color w:val="222222"/>
          <w:szCs w:val="24"/>
          <w:lang w:val="en-US"/>
        </w:rPr>
        <w:t>on</w:t>
      </w:r>
      <w:r>
        <w:rPr>
          <w:rFonts w:eastAsiaTheme="minorEastAsia" w:cs="Arial"/>
          <w:color w:val="222222"/>
          <w:szCs w:val="24"/>
          <w:lang w:val="en-US"/>
        </w:rPr>
        <w:t xml:space="preserve">, which opposes the findings in this study. </w:t>
      </w:r>
      <w:r w:rsidRPr="005229FF">
        <w:rPr>
          <w:rFonts w:eastAsiaTheme="minorEastAsia" w:cs="Arial"/>
          <w:color w:val="222222"/>
          <w:szCs w:val="24"/>
          <w:lang w:val="en-US"/>
        </w:rPr>
        <w:t>These times were felt to replicate the authentic</w:t>
      </w:r>
      <w:r>
        <w:rPr>
          <w:rFonts w:eastAsiaTheme="minorEastAsia" w:cs="Arial"/>
          <w:color w:val="222222"/>
          <w:szCs w:val="24"/>
          <w:lang w:val="en-US"/>
        </w:rPr>
        <w:t xml:space="preserve"> environment at times of crisis, </w:t>
      </w:r>
      <w:r w:rsidRPr="005229FF">
        <w:rPr>
          <w:rFonts w:eastAsiaTheme="minorEastAsia" w:cs="Arial"/>
          <w:color w:val="222222"/>
          <w:szCs w:val="24"/>
          <w:lang w:val="en-US"/>
        </w:rPr>
        <w:t xml:space="preserve">key times that clinical professionals needed to be able to communicate, think and act most effectively to maintain patient safety. This </w:t>
      </w:r>
      <w:r>
        <w:rPr>
          <w:rFonts w:eastAsiaTheme="minorEastAsia" w:cs="Arial"/>
          <w:color w:val="222222"/>
          <w:szCs w:val="24"/>
          <w:lang w:val="en-US"/>
        </w:rPr>
        <w:t>importance of dual task simula</w:t>
      </w:r>
      <w:r w:rsidRPr="005229FF">
        <w:rPr>
          <w:rFonts w:eastAsiaTheme="minorEastAsia" w:cs="Arial"/>
          <w:color w:val="222222"/>
          <w:szCs w:val="24"/>
          <w:lang w:val="en-US"/>
        </w:rPr>
        <w:t>t</w:t>
      </w:r>
      <w:r>
        <w:rPr>
          <w:rFonts w:eastAsiaTheme="minorEastAsia" w:cs="Arial"/>
          <w:color w:val="222222"/>
          <w:szCs w:val="24"/>
          <w:lang w:val="en-US"/>
        </w:rPr>
        <w:t>ion to enhance</w:t>
      </w:r>
      <w:r w:rsidRPr="005229FF">
        <w:rPr>
          <w:rFonts w:eastAsiaTheme="minorEastAsia" w:cs="Arial"/>
          <w:color w:val="222222"/>
          <w:szCs w:val="24"/>
          <w:lang w:val="en-US"/>
        </w:rPr>
        <w:t xml:space="preserve"> coping mechanisms</w:t>
      </w:r>
      <w:r>
        <w:rPr>
          <w:rFonts w:eastAsiaTheme="minorEastAsia" w:cs="Arial"/>
          <w:color w:val="222222"/>
          <w:szCs w:val="24"/>
          <w:lang w:val="en-US"/>
        </w:rPr>
        <w:t>,</w:t>
      </w:r>
      <w:r w:rsidRPr="005229FF">
        <w:rPr>
          <w:rFonts w:eastAsiaTheme="minorEastAsia" w:cs="Arial"/>
          <w:color w:val="222222"/>
          <w:szCs w:val="24"/>
          <w:lang w:val="en-US"/>
        </w:rPr>
        <w:t xml:space="preserve"> with the complexity of the </w:t>
      </w:r>
      <w:r w:rsidR="00FA622A" w:rsidRPr="005229FF">
        <w:rPr>
          <w:rFonts w:eastAsiaTheme="minorEastAsia" w:cs="Arial"/>
          <w:color w:val="222222"/>
          <w:szCs w:val="24"/>
          <w:lang w:val="en-US"/>
        </w:rPr>
        <w:t>clinical</w:t>
      </w:r>
      <w:r w:rsidRPr="005229FF">
        <w:rPr>
          <w:rFonts w:eastAsiaTheme="minorEastAsia" w:cs="Arial"/>
          <w:color w:val="222222"/>
          <w:szCs w:val="24"/>
          <w:lang w:val="en-US"/>
        </w:rPr>
        <w:t xml:space="preserve"> environment is supported by Adams </w:t>
      </w:r>
      <w:r>
        <w:rPr>
          <w:rFonts w:eastAsiaTheme="minorEastAsia" w:cs="Arial"/>
          <w:color w:val="222222"/>
          <w:szCs w:val="24"/>
          <w:lang w:val="en-US"/>
        </w:rPr>
        <w:t>(2016)</w:t>
      </w:r>
      <w:r w:rsidR="00E554BC">
        <w:rPr>
          <w:rFonts w:eastAsiaTheme="minorEastAsia" w:cs="Arial"/>
          <w:color w:val="222222"/>
          <w:szCs w:val="24"/>
          <w:lang w:val="en-US"/>
        </w:rPr>
        <w:t>,</w:t>
      </w:r>
      <w:r>
        <w:rPr>
          <w:rFonts w:eastAsiaTheme="minorEastAsia" w:cs="Arial"/>
          <w:color w:val="222222"/>
          <w:szCs w:val="24"/>
          <w:lang w:val="en-US"/>
        </w:rPr>
        <w:t xml:space="preserve"> </w:t>
      </w:r>
      <w:r w:rsidRPr="005229FF">
        <w:rPr>
          <w:rFonts w:eastAsiaTheme="minorEastAsia" w:cs="Arial"/>
          <w:color w:val="222222"/>
          <w:szCs w:val="24"/>
          <w:lang w:val="en-US"/>
        </w:rPr>
        <w:t xml:space="preserve">who describes the need to use </w:t>
      </w:r>
      <w:r w:rsidR="00FA622A" w:rsidRPr="005229FF">
        <w:rPr>
          <w:rFonts w:eastAsiaTheme="minorEastAsia" w:cs="Arial"/>
          <w:color w:val="222222"/>
          <w:szCs w:val="24"/>
          <w:lang w:val="en-US"/>
        </w:rPr>
        <w:t>cognitive</w:t>
      </w:r>
      <w:r w:rsidRPr="005229FF">
        <w:rPr>
          <w:rFonts w:eastAsiaTheme="minorEastAsia" w:cs="Arial"/>
          <w:color w:val="222222"/>
          <w:szCs w:val="24"/>
          <w:lang w:val="en-US"/>
        </w:rPr>
        <w:t xml:space="preserve"> load theory to inform dual task simulation. Adams </w:t>
      </w:r>
      <w:r>
        <w:rPr>
          <w:rFonts w:eastAsiaTheme="minorEastAsia" w:cs="Arial"/>
          <w:color w:val="222222"/>
          <w:szCs w:val="24"/>
          <w:lang w:val="en-US"/>
        </w:rPr>
        <w:t xml:space="preserve">(2016) </w:t>
      </w:r>
      <w:r w:rsidRPr="005229FF">
        <w:rPr>
          <w:rFonts w:eastAsiaTheme="minorEastAsia" w:cs="Arial"/>
          <w:color w:val="222222"/>
          <w:szCs w:val="24"/>
          <w:lang w:val="en-US"/>
        </w:rPr>
        <w:t xml:space="preserve">advocates the need for education in task switching at medical school to support development of cognitive skills to improve safety on the wards owing to the fact that distractions are a part of life and the job </w:t>
      </w:r>
      <w:r w:rsidRPr="005229FF">
        <w:rPr>
          <w:rFonts w:eastAsiaTheme="minorEastAsia" w:cs="Arial"/>
          <w:color w:val="222222"/>
          <w:szCs w:val="24"/>
          <w:lang w:val="en-US"/>
        </w:rPr>
        <w:fldChar w:fldCharType="begin"/>
      </w:r>
      <w:r w:rsidRPr="005229FF">
        <w:rPr>
          <w:rFonts w:eastAsiaTheme="minorEastAsia" w:cs="Arial"/>
          <w:color w:val="222222"/>
          <w:szCs w:val="24"/>
          <w:lang w:val="en-US"/>
        </w:rPr>
        <w:instrText xml:space="preserve"> ADDIN EN.CITE &lt;EndNote&gt;&lt;Cite&gt;&lt;Author&gt;Adams&lt;/Author&gt;&lt;Year&gt;2016&lt;/Year&gt;&lt;IDText&gt;The Application of Cognitive Load Theory to Dual-Task Simulation Training&lt;/IDText&gt;&lt;DisplayText&gt;(Adams, 2016)&lt;/DisplayText&gt;&lt;record&gt;&lt;dates&gt;&lt;pub-dates&gt;&lt;date&gt;Feb&lt;/date&gt;&lt;/pub-dates&gt;&lt;year&gt;2016&lt;/year&gt;&lt;/dates&gt;&lt;keywords&gt;&lt;keyword&gt;Education, Medical&lt;/keyword&gt;&lt;keyword&gt;Humans&lt;/keyword&gt;&lt;keyword&gt;Memory&lt;/keyword&gt;&lt;keyword&gt;Models, Educational&lt;/keyword&gt;&lt;keyword&gt;Simulation Training&lt;/keyword&gt;&lt;keyword&gt;Teaching&lt;/keyword&gt;&lt;/keywords&gt;&lt;urls&gt;&lt;related-urls&gt;&lt;url&gt;https://www.ncbi.nlm.nih.gov/pubmed/26836469&lt;/url&gt;&lt;/related-urls&gt;&lt;/urls&gt;&lt;isbn&gt;1559-713X&lt;/isbn&gt;&lt;titles&gt;&lt;title&gt;The Application of Cognitive Load Theory to Dual-Task Simulation Training&lt;/title&gt;&lt;secondary-title&gt;Simul Healthc&lt;/secondary-title&gt;&lt;/titles&gt;&lt;pages&gt;66-7&lt;/pages&gt;&lt;number&gt;1&lt;/number&gt;&lt;contributors&gt;&lt;authors&gt;&lt;author&gt;Adams, T.&lt;/author&gt;&lt;/authors&gt;&lt;/contributors&gt;&lt;language&gt;eng&lt;/language&gt;&lt;added-date format="utc"&gt;1472546498&lt;/added-date&gt;&lt;ref-type name="Journal Article"&gt;17&lt;/ref-type&gt;&lt;rec-number&gt;266&lt;/rec-number&gt;&lt;last-updated-date format="utc"&gt;1472546498&lt;/last-updated-date&gt;&lt;accession-num&gt;26836469&lt;/accession-num&gt;&lt;electronic-resource-num&gt;10.1097/SIH.0000000000000143&lt;/electronic-resource-num&gt;&lt;volume&gt;11&lt;/volume&gt;&lt;/record&gt;&lt;/Cite&gt;&lt;/EndNote&gt;</w:instrText>
      </w:r>
      <w:r w:rsidRPr="005229FF">
        <w:rPr>
          <w:rFonts w:eastAsiaTheme="minorEastAsia" w:cs="Arial"/>
          <w:color w:val="222222"/>
          <w:szCs w:val="24"/>
          <w:lang w:val="en-US"/>
        </w:rPr>
        <w:fldChar w:fldCharType="separate"/>
      </w:r>
      <w:r w:rsidRPr="005229FF">
        <w:rPr>
          <w:rFonts w:eastAsiaTheme="minorEastAsia" w:cs="Arial"/>
          <w:noProof/>
          <w:color w:val="222222"/>
          <w:szCs w:val="24"/>
          <w:lang w:val="en-US"/>
        </w:rPr>
        <w:t>(Adams, 2016)</w:t>
      </w:r>
      <w:r w:rsidRPr="005229FF">
        <w:rPr>
          <w:rFonts w:eastAsiaTheme="minorEastAsia" w:cs="Arial"/>
          <w:color w:val="222222"/>
          <w:szCs w:val="24"/>
          <w:lang w:val="en-US"/>
        </w:rPr>
        <w:fldChar w:fldCharType="end"/>
      </w:r>
      <w:r w:rsidRPr="005229FF">
        <w:rPr>
          <w:rFonts w:eastAsiaTheme="minorEastAsia" w:cs="Arial"/>
          <w:color w:val="222222"/>
          <w:szCs w:val="24"/>
          <w:lang w:val="en-US"/>
        </w:rPr>
        <w:t xml:space="preserve">. </w:t>
      </w:r>
      <w:r w:rsidR="002F31CE">
        <w:rPr>
          <w:rFonts w:eastAsiaTheme="minorEastAsia" w:cs="Arial"/>
          <w:color w:val="222222"/>
          <w:szCs w:val="24"/>
          <w:lang w:val="en-US"/>
        </w:rPr>
        <w:t>These data support this and add a guide on how to design and deliver curricula to achieve optimal learning.</w:t>
      </w:r>
    </w:p>
    <w:p w14:paraId="05DC25CC" w14:textId="059A6598" w:rsidR="00A615CD" w:rsidRDefault="004A7265" w:rsidP="004A7265">
      <w:pPr>
        <w:rPr>
          <w:rFonts w:eastAsiaTheme="minorEastAsia" w:cs="Arial"/>
          <w:color w:val="222222"/>
          <w:szCs w:val="24"/>
          <w:lang w:val="en-US"/>
        </w:rPr>
      </w:pPr>
      <w:r w:rsidRPr="005229FF">
        <w:rPr>
          <w:rFonts w:eastAsiaTheme="minorEastAsia" w:cs="Arial"/>
          <w:color w:val="222222"/>
          <w:szCs w:val="24"/>
          <w:lang w:val="en-US"/>
        </w:rPr>
        <w:lastRenderedPageBreak/>
        <w:t xml:space="preserve">Cognitive theory in education has been described as ‘merely a metaphor with extensive vocabulary’ and likened to </w:t>
      </w:r>
      <w:r w:rsidR="00345C07" w:rsidRPr="005229FF">
        <w:rPr>
          <w:rFonts w:eastAsiaTheme="minorEastAsia" w:cs="Arial"/>
          <w:color w:val="222222"/>
          <w:szCs w:val="24"/>
          <w:lang w:val="en-US"/>
        </w:rPr>
        <w:t>behaviorism</w:t>
      </w:r>
      <w:r>
        <w:rPr>
          <w:rFonts w:eastAsiaTheme="minorEastAsia" w:cs="Arial"/>
          <w:color w:val="222222"/>
          <w:szCs w:val="24"/>
          <w:lang w:val="en-US"/>
        </w:rPr>
        <w:t>,</w:t>
      </w:r>
      <w:r w:rsidRPr="005229FF">
        <w:rPr>
          <w:rFonts w:eastAsiaTheme="minorEastAsia" w:cs="Arial"/>
          <w:color w:val="222222"/>
          <w:szCs w:val="24"/>
          <w:lang w:val="en-US"/>
        </w:rPr>
        <w:t xml:space="preserve"> owing to the fact they both ‘require observation of </w:t>
      </w:r>
      <w:proofErr w:type="spellStart"/>
      <w:r w:rsidRPr="005229FF">
        <w:rPr>
          <w:rFonts w:eastAsiaTheme="minorEastAsia" w:cs="Arial"/>
          <w:color w:val="222222"/>
          <w:szCs w:val="24"/>
          <w:lang w:val="en-US"/>
        </w:rPr>
        <w:t>behaviour</w:t>
      </w:r>
      <w:proofErr w:type="spellEnd"/>
      <w:r w:rsidRPr="005229FF">
        <w:rPr>
          <w:rFonts w:eastAsiaTheme="minorEastAsia" w:cs="Arial"/>
          <w:color w:val="222222"/>
          <w:szCs w:val="24"/>
          <w:lang w:val="en-US"/>
        </w:rPr>
        <w:t xml:space="preserve"> to </w:t>
      </w:r>
      <w:r w:rsidR="00FA622A" w:rsidRPr="005229FF">
        <w:rPr>
          <w:rFonts w:eastAsiaTheme="minorEastAsia" w:cs="Arial"/>
          <w:color w:val="222222"/>
          <w:szCs w:val="24"/>
          <w:lang w:val="en-US"/>
        </w:rPr>
        <w:t>justify</w:t>
      </w:r>
      <w:r w:rsidRPr="005229FF">
        <w:rPr>
          <w:rFonts w:eastAsiaTheme="minorEastAsia" w:cs="Arial"/>
          <w:color w:val="222222"/>
          <w:szCs w:val="24"/>
          <w:lang w:val="en-US"/>
        </w:rPr>
        <w:t xml:space="preserve"> theoretical claims’ </w:t>
      </w:r>
      <w:r w:rsidRPr="005229FF">
        <w:rPr>
          <w:rFonts w:eastAsiaTheme="minorEastAsia" w:cs="Arial"/>
          <w:color w:val="222222"/>
          <w:szCs w:val="24"/>
          <w:lang w:val="en-US"/>
        </w:rPr>
        <w:fldChar w:fldCharType="begin"/>
      </w:r>
      <w:r w:rsidRPr="005229FF">
        <w:rPr>
          <w:rFonts w:eastAsiaTheme="minorEastAsia" w:cs="Arial"/>
          <w:color w:val="222222"/>
          <w:szCs w:val="24"/>
          <w:lang w:val="en-US"/>
        </w:rPr>
        <w:instrText xml:space="preserve"> ADDIN EN.CITE &lt;EndNote&gt;&lt;Cite&gt;&lt;Author&gt;Colliver&lt;/Author&gt;&lt;Year&gt;2002&lt;/Year&gt;&lt;IDText&gt;Educational theory and medical education practice: a cautionary note for medical school faculty&lt;/IDText&gt;&lt;DisplayText&gt;(Colliver, 2002)&lt;/DisplayText&gt;&lt;record&gt;&lt;dates&gt;&lt;pub-dates&gt;&lt;date&gt;Dec&lt;/date&gt;&lt;/pub-dates&gt;&lt;year&gt;2002&lt;/year&gt;&lt;/dates&gt;&lt;keywords&gt;&lt;keyword&gt;Education, Medical&lt;/keyword&gt;&lt;keyword&gt;Evidence-Based Medicine&lt;/keyword&gt;&lt;keyword&gt;Faculty, Medical&lt;/keyword&gt;&lt;keyword&gt;Humans&lt;/keyword&gt;&lt;keyword&gt;Metaphor&lt;/keyword&gt;&lt;keyword&gt;Models, Educational&lt;/keyword&gt;&lt;keyword&gt;Practice Patterns, Physicians&amp;apos;&lt;/keyword&gt;&lt;keyword&gt;Schools, Medical&lt;/keyword&gt;&lt;/keywords&gt;&lt;urls&gt;&lt;related-urls&gt;&lt;url&gt;http://www.ncbi.nlm.nih.gov/pubmed/12480626&lt;/url&gt;&lt;/related-urls&gt;&lt;/urls&gt;&lt;isbn&gt;1040-2446&lt;/isbn&gt;&lt;titles&gt;&lt;title&gt;Educational theory and medical education practice: a cautionary note for medical school faculty&lt;/title&gt;&lt;secondary-title&gt;Acad Med&lt;/secondary-title&gt;&lt;/titles&gt;&lt;pages&gt;1217-20&lt;/pages&gt;&lt;number&gt;12 Pt 1&lt;/number&gt;&lt;contributors&gt;&lt;authors&gt;&lt;author&gt;Colliver, J. A.&lt;/author&gt;&lt;/authors&gt;&lt;/contributors&gt;&lt;language&gt;eng&lt;/language&gt;&lt;added-date format="utc"&gt;1457006255&lt;/added-date&gt;&lt;ref-type name="Journal Article"&gt;17&lt;/ref-type&gt;&lt;rec-number&gt;210&lt;/rec-number&gt;&lt;last-updated-date format="utc"&gt;1457006255&lt;/last-updated-date&gt;&lt;accession-num&gt;12480626&lt;/accession-num&gt;&lt;volume&gt;77&lt;/volume&gt;&lt;/record&gt;&lt;/Cite&gt;&lt;/EndNote&gt;</w:instrText>
      </w:r>
      <w:r w:rsidRPr="005229FF">
        <w:rPr>
          <w:rFonts w:eastAsiaTheme="minorEastAsia" w:cs="Arial"/>
          <w:color w:val="222222"/>
          <w:szCs w:val="24"/>
          <w:lang w:val="en-US"/>
        </w:rPr>
        <w:fldChar w:fldCharType="separate"/>
      </w:r>
      <w:r w:rsidRPr="005229FF">
        <w:rPr>
          <w:rFonts w:eastAsiaTheme="minorEastAsia" w:cs="Arial"/>
          <w:noProof/>
          <w:color w:val="222222"/>
          <w:szCs w:val="24"/>
          <w:lang w:val="en-US"/>
        </w:rPr>
        <w:t>(Colliver, 2002)</w:t>
      </w:r>
      <w:r w:rsidRPr="005229FF">
        <w:rPr>
          <w:rFonts w:eastAsiaTheme="minorEastAsia" w:cs="Arial"/>
          <w:color w:val="222222"/>
          <w:szCs w:val="24"/>
          <w:lang w:val="en-US"/>
        </w:rPr>
        <w:fldChar w:fldCharType="end"/>
      </w:r>
      <w:r w:rsidRPr="005229FF">
        <w:rPr>
          <w:rFonts w:eastAsiaTheme="minorEastAsia" w:cs="Arial"/>
          <w:color w:val="222222"/>
          <w:szCs w:val="24"/>
          <w:lang w:val="en-US"/>
        </w:rPr>
        <w:t xml:space="preserve">. </w:t>
      </w:r>
      <w:r w:rsidR="000D0749" w:rsidRPr="001A5D18">
        <w:rPr>
          <w:rFonts w:cs="Arial"/>
        </w:rPr>
        <w:t>Cognitive load theory</w:t>
      </w:r>
      <w:r w:rsidR="00ED197C">
        <w:rPr>
          <w:rFonts w:cs="Arial"/>
        </w:rPr>
        <w:t xml:space="preserve"> however,</w:t>
      </w:r>
      <w:r w:rsidR="000D0749" w:rsidRPr="001A5D18">
        <w:rPr>
          <w:rFonts w:cs="Arial"/>
        </w:rPr>
        <w:t xml:space="preserve"> has been </w:t>
      </w:r>
      <w:r w:rsidR="000D0749" w:rsidRPr="001A5D18">
        <w:rPr>
          <w:rFonts w:eastAsiaTheme="minorEastAsia" w:cs="Arial"/>
          <w:color w:val="222222"/>
          <w:szCs w:val="24"/>
          <w:lang w:val="en-US"/>
        </w:rPr>
        <w:t xml:space="preserve">found to be ‘highly relevant to teaching in the simulation laboratory and a useful conceptual framework to reference when designing or researching simulation-based education’ </w:t>
      </w:r>
      <w:r w:rsidR="000D0749" w:rsidRPr="001A5D18">
        <w:rPr>
          <w:rFonts w:eastAsiaTheme="minorEastAsia" w:cs="Arial"/>
          <w:color w:val="222222"/>
          <w:szCs w:val="24"/>
          <w:lang w:val="en-US"/>
        </w:rPr>
        <w:fldChar w:fldCharType="begin"/>
      </w:r>
      <w:r w:rsidR="000D0749" w:rsidRPr="001A5D18">
        <w:rPr>
          <w:rFonts w:eastAsiaTheme="minorEastAsia" w:cs="Arial"/>
          <w:color w:val="222222"/>
          <w:szCs w:val="24"/>
          <w:lang w:val="en-US"/>
        </w:rPr>
        <w:instrText xml:space="preserve"> ADDIN EN.CITE &lt;EndNote&gt;&lt;Cite&gt;&lt;Author&gt;Fraser&lt;/Author&gt;&lt;Year&gt;2015&lt;/Year&gt;&lt;IDText&gt;Cognitive Load Theory for the Design of Medical Simulations&lt;/IDText&gt;&lt;DisplayText&gt;(Fraser et al., 2015)&lt;/DisplayText&gt;&lt;record&gt;&lt;dates&gt;&lt;pub-dates&gt;&lt;date&gt;Oct&lt;/date&gt;&lt;/pub-dates&gt;&lt;year&gt;2015&lt;/year&gt;&lt;/dates&gt;&lt;keywords&gt;&lt;keyword&gt;Education, Medical&lt;/keyword&gt;&lt;keyword&gt;Humans&lt;/keyword&gt;&lt;keyword&gt;Learning&lt;/keyword&gt;&lt;keyword&gt;Memory&lt;/keyword&gt;&lt;keyword&gt;Models, Educational&lt;/keyword&gt;&lt;keyword&gt;Simulation Training&lt;/keyword&gt;&lt;keyword&gt;Teaching&lt;/keyword&gt;&lt;/keywords&gt;&lt;urls&gt;&lt;related-urls&gt;&lt;url&gt;https://www.ncbi.nlm.nih.gov/pubmed/26154251&lt;/url&gt;&lt;/related-urls&gt;&lt;/urls&gt;&lt;isbn&gt;1559-713X&lt;/isbn&gt;&lt;titles&gt;&lt;title&gt;Cognitive Load Theory for the Design of Medical Simulations&lt;/title&gt;&lt;secondary-title&gt;Simul Healthc&lt;/secondary-title&gt;&lt;/titles&gt;&lt;pages&gt;295-307&lt;/pages&gt;&lt;number&gt;5&lt;/number&gt;&lt;contributors&gt;&lt;authors&gt;&lt;author&gt;Fraser, K. L.&lt;/author&gt;&lt;author&gt;Ayres, P.&lt;/author&gt;&lt;author&gt;Sweller, J.&lt;/author&gt;&lt;/authors&gt;&lt;/contributors&gt;&lt;language&gt;eng&lt;/language&gt;&lt;added-date format="utc"&gt;1472547612&lt;/added-date&gt;&lt;ref-type name="Journal Article"&gt;17&lt;/ref-type&gt;&lt;rec-number&gt;267&lt;/rec-number&gt;&lt;last-updated-date format="utc"&gt;1472547612&lt;/last-updated-date&gt;&lt;accession-num&gt;26154251&lt;/accession-num&gt;&lt;electronic-resource-num&gt;10.1097/SIH.0000000000000097&lt;/electronic-resource-num&gt;&lt;volume&gt;10&lt;/volume&gt;&lt;/record&gt;&lt;/Cite&gt;&lt;/EndNote&gt;</w:instrText>
      </w:r>
      <w:r w:rsidR="000D0749" w:rsidRPr="001A5D18">
        <w:rPr>
          <w:rFonts w:eastAsiaTheme="minorEastAsia" w:cs="Arial"/>
          <w:color w:val="222222"/>
          <w:szCs w:val="24"/>
          <w:lang w:val="en-US"/>
        </w:rPr>
        <w:fldChar w:fldCharType="separate"/>
      </w:r>
      <w:r w:rsidR="000D0749" w:rsidRPr="001A5D18">
        <w:rPr>
          <w:rFonts w:eastAsiaTheme="minorEastAsia" w:cs="Arial"/>
          <w:noProof/>
          <w:color w:val="222222"/>
          <w:szCs w:val="24"/>
          <w:lang w:val="en-US"/>
        </w:rPr>
        <w:t>(Fraser et al., 2015)</w:t>
      </w:r>
      <w:r w:rsidR="000D0749" w:rsidRPr="001A5D18">
        <w:rPr>
          <w:rFonts w:eastAsiaTheme="minorEastAsia" w:cs="Arial"/>
          <w:color w:val="222222"/>
          <w:szCs w:val="24"/>
          <w:lang w:val="en-US"/>
        </w:rPr>
        <w:fldChar w:fldCharType="end"/>
      </w:r>
      <w:r w:rsidR="000D0749" w:rsidRPr="001A5D18">
        <w:rPr>
          <w:rFonts w:eastAsiaTheme="minorEastAsia" w:cs="Arial"/>
          <w:color w:val="222222"/>
          <w:szCs w:val="24"/>
          <w:lang w:val="en-US"/>
        </w:rPr>
        <w:t>. Cognitive load theory</w:t>
      </w:r>
      <w:r w:rsidR="000D0749">
        <w:rPr>
          <w:rFonts w:eastAsiaTheme="minorEastAsia" w:cs="Arial"/>
          <w:color w:val="222222"/>
          <w:szCs w:val="24"/>
          <w:lang w:val="en-US"/>
        </w:rPr>
        <w:t xml:space="preserve"> (CLT)</w:t>
      </w:r>
      <w:r w:rsidR="000D0749" w:rsidRPr="001A5D18">
        <w:rPr>
          <w:rFonts w:eastAsiaTheme="minorEastAsia" w:cs="Arial"/>
          <w:color w:val="222222"/>
          <w:szCs w:val="24"/>
          <w:lang w:val="en-US"/>
        </w:rPr>
        <w:t xml:space="preserve">, developed in the 1980s, assumes that the ‘human </w:t>
      </w:r>
      <w:r w:rsidR="00FA622A" w:rsidRPr="001A5D18">
        <w:rPr>
          <w:rFonts w:eastAsiaTheme="minorEastAsia" w:cs="Arial"/>
          <w:color w:val="222222"/>
          <w:szCs w:val="24"/>
          <w:lang w:val="en-US"/>
        </w:rPr>
        <w:t>cognitive</w:t>
      </w:r>
      <w:r w:rsidR="000D0749" w:rsidRPr="001A5D18">
        <w:rPr>
          <w:rFonts w:eastAsiaTheme="minorEastAsia" w:cs="Arial"/>
          <w:color w:val="222222"/>
          <w:szCs w:val="24"/>
          <w:lang w:val="en-US"/>
        </w:rPr>
        <w:t xml:space="preserve"> system has limited working memory’ only able to process ‘two to four elements </w:t>
      </w:r>
      <w:r w:rsidR="00FA622A" w:rsidRPr="001A5D18">
        <w:rPr>
          <w:rFonts w:eastAsiaTheme="minorEastAsia" w:cs="Arial"/>
          <w:color w:val="222222"/>
          <w:szCs w:val="24"/>
          <w:lang w:val="en-US"/>
        </w:rPr>
        <w:t>simultaneously</w:t>
      </w:r>
      <w:r w:rsidR="000D0749" w:rsidRPr="001A5D18">
        <w:rPr>
          <w:rFonts w:eastAsiaTheme="minorEastAsia" w:cs="Arial"/>
          <w:color w:val="222222"/>
          <w:szCs w:val="24"/>
          <w:lang w:val="en-US"/>
        </w:rPr>
        <w:t xml:space="preserve">’ </w:t>
      </w:r>
      <w:r w:rsidR="000D0749" w:rsidRPr="001A5D18">
        <w:rPr>
          <w:rFonts w:eastAsiaTheme="minorEastAsia" w:cs="Arial"/>
          <w:color w:val="222222"/>
          <w:szCs w:val="24"/>
          <w:lang w:val="en-US"/>
        </w:rPr>
        <w:fldChar w:fldCharType="begin"/>
      </w:r>
      <w:r w:rsidR="000D0749" w:rsidRPr="001A5D18">
        <w:rPr>
          <w:rFonts w:eastAsiaTheme="minorEastAsia" w:cs="Arial"/>
          <w:color w:val="222222"/>
          <w:szCs w:val="24"/>
          <w:lang w:val="en-US"/>
        </w:rPr>
        <w:instrText xml:space="preserve"> ADDIN EN.CITE &lt;EndNote&gt;&lt;Cite&gt;&lt;Author&gt;van Merrienboer&lt;/Author&gt;&lt;Year&gt;2010&lt;/Year&gt;&lt;IDText&gt;Cognitive load theory in health professional education: design principles and strategies&lt;/IDText&gt;&lt;DisplayText&gt;(van Merrienboer and Sweller, 2010)&lt;/DisplayText&gt;&lt;record&gt;&lt;dates&gt;&lt;pub-dates&gt;&lt;date&gt;Jan&lt;/date&gt;&lt;/pub-dates&gt;&lt;year&gt;2010&lt;/year&gt;&lt;/dates&gt;&lt;urls&gt;&lt;related-urls&gt;&lt;url&gt;&amp;lt;Go to ISI&amp;gt;://WOS:000272866400018&lt;/url&gt;&lt;/related-urls&gt;&lt;/urls&gt;&lt;isbn&gt;0308-0110&lt;/isbn&gt;&lt;titles&gt;&lt;title&gt;Cognitive load theory in health professional education: design principles and strategies&lt;/title&gt;&lt;secondary-title&gt;Medical Education&lt;/secondary-title&gt;&lt;/titles&gt;&lt;pages&gt;85-93&lt;/pages&gt;&lt;number&gt;1&lt;/number&gt;&lt;contributors&gt;&lt;authors&gt;&lt;author&gt;van Merrienboer, Jeroen J. G.&lt;/author&gt;&lt;author&gt;Sweller, John&lt;/author&gt;&lt;/authors&gt;&lt;/contributors&gt;&lt;added-date format="utc"&gt;1390842272&lt;/added-date&gt;&lt;ref-type name="Journal Article"&gt;17&lt;/ref-type&gt;&lt;rec-number&gt;18&lt;/rec-number&gt;&lt;last-updated-date format="utc"&gt;1390843746&lt;/last-updated-date&gt;&lt;accession-num&gt;WOS:000272866400018&lt;/accession-num&gt;&lt;electronic-resource-num&gt;10.1111/j.1365-2923.2009.03498.x&lt;/electronic-resource-num&gt;&lt;volume&gt;44&lt;/volume&gt;&lt;/record&gt;&lt;/Cite&gt;&lt;/EndNote&gt;</w:instrText>
      </w:r>
      <w:r w:rsidR="000D0749" w:rsidRPr="001A5D18">
        <w:rPr>
          <w:rFonts w:eastAsiaTheme="minorEastAsia" w:cs="Arial"/>
          <w:color w:val="222222"/>
          <w:szCs w:val="24"/>
          <w:lang w:val="en-US"/>
        </w:rPr>
        <w:fldChar w:fldCharType="separate"/>
      </w:r>
      <w:r w:rsidR="000D0749" w:rsidRPr="001A5D18">
        <w:rPr>
          <w:rFonts w:eastAsiaTheme="minorEastAsia" w:cs="Arial"/>
          <w:noProof/>
          <w:color w:val="222222"/>
          <w:szCs w:val="24"/>
          <w:lang w:val="en-US"/>
        </w:rPr>
        <w:t>(van Merrienboer and Sweller, 2010)</w:t>
      </w:r>
      <w:r w:rsidR="000D0749" w:rsidRPr="001A5D18">
        <w:rPr>
          <w:rFonts w:eastAsiaTheme="minorEastAsia" w:cs="Arial"/>
          <w:color w:val="222222"/>
          <w:szCs w:val="24"/>
          <w:lang w:val="en-US"/>
        </w:rPr>
        <w:fldChar w:fldCharType="end"/>
      </w:r>
      <w:r w:rsidR="000D0749" w:rsidRPr="001A5D18">
        <w:rPr>
          <w:rFonts w:eastAsiaTheme="minorEastAsia" w:cs="Arial"/>
          <w:color w:val="222222"/>
          <w:szCs w:val="24"/>
          <w:lang w:val="en-US"/>
        </w:rPr>
        <w:t xml:space="preserve">. It is by nature instructional in design and based on a ‘model of human cognitive architecture’ which has the belief that too much complexity causes overload and impairs learning </w:t>
      </w:r>
      <w:r w:rsidR="000D0749" w:rsidRPr="001A5D18">
        <w:rPr>
          <w:rFonts w:eastAsiaTheme="minorEastAsia" w:cs="Arial"/>
          <w:color w:val="222222"/>
          <w:szCs w:val="24"/>
          <w:lang w:val="en-US"/>
        </w:rPr>
        <w:fldChar w:fldCharType="begin"/>
      </w:r>
      <w:r w:rsidR="000D0749" w:rsidRPr="001A5D18">
        <w:rPr>
          <w:rFonts w:eastAsiaTheme="minorEastAsia" w:cs="Arial"/>
          <w:color w:val="222222"/>
          <w:szCs w:val="24"/>
          <w:lang w:val="en-US"/>
        </w:rPr>
        <w:instrText xml:space="preserve"> ADDIN EN.CITE &lt;EndNote&gt;&lt;Cite&gt;&lt;Author&gt;van Merrienboer&lt;/Author&gt;&lt;Year&gt;2010&lt;/Year&gt;&lt;IDText&gt;Cognitive load theory in health professional education: design principles and strategies&lt;/IDText&gt;&lt;DisplayText&gt;(van Merrienboer and Sweller, 2010)&lt;/DisplayText&gt;&lt;record&gt;&lt;dates&gt;&lt;pub-dates&gt;&lt;date&gt;Jan&lt;/date&gt;&lt;/pub-dates&gt;&lt;year&gt;2010&lt;/year&gt;&lt;/dates&gt;&lt;urls&gt;&lt;related-urls&gt;&lt;url&gt;&amp;lt;Go to ISI&amp;gt;://WOS:000272866400018&lt;/url&gt;&lt;/related-urls&gt;&lt;/urls&gt;&lt;isbn&gt;0308-0110&lt;/isbn&gt;&lt;titles&gt;&lt;title&gt;Cognitive load theory in health professional education: design principles and strategies&lt;/title&gt;&lt;secondary-title&gt;Medical Education&lt;/secondary-title&gt;&lt;/titles&gt;&lt;pages&gt;85-93&lt;/pages&gt;&lt;number&gt;1&lt;/number&gt;&lt;contributors&gt;&lt;authors&gt;&lt;author&gt;van Merrienboer, Jeroen J. G.&lt;/author&gt;&lt;author&gt;Sweller, John&lt;/author&gt;&lt;/authors&gt;&lt;/contributors&gt;&lt;added-date format="utc"&gt;1390842272&lt;/added-date&gt;&lt;ref-type name="Journal Article"&gt;17&lt;/ref-type&gt;&lt;rec-number&gt;18&lt;/rec-number&gt;&lt;last-updated-date format="utc"&gt;1390843746&lt;/last-updated-date&gt;&lt;accession-num&gt;WOS:000272866400018&lt;/accession-num&gt;&lt;electronic-resource-num&gt;10.1111/j.1365-2923.2009.03498.x&lt;/electronic-resource-num&gt;&lt;volume&gt;44&lt;/volume&gt;&lt;/record&gt;&lt;/Cite&gt;&lt;/EndNote&gt;</w:instrText>
      </w:r>
      <w:r w:rsidR="000D0749" w:rsidRPr="001A5D18">
        <w:rPr>
          <w:rFonts w:eastAsiaTheme="minorEastAsia" w:cs="Arial"/>
          <w:color w:val="222222"/>
          <w:szCs w:val="24"/>
          <w:lang w:val="en-US"/>
        </w:rPr>
        <w:fldChar w:fldCharType="separate"/>
      </w:r>
      <w:r w:rsidR="000D0749" w:rsidRPr="001A5D18">
        <w:rPr>
          <w:rFonts w:eastAsiaTheme="minorEastAsia" w:cs="Arial"/>
          <w:noProof/>
          <w:color w:val="222222"/>
          <w:szCs w:val="24"/>
          <w:lang w:val="en-US"/>
        </w:rPr>
        <w:t>(van Merrienboer and Sweller, 2010)</w:t>
      </w:r>
      <w:r w:rsidR="000D0749" w:rsidRPr="001A5D18">
        <w:rPr>
          <w:rFonts w:eastAsiaTheme="minorEastAsia" w:cs="Arial"/>
          <w:color w:val="222222"/>
          <w:szCs w:val="24"/>
          <w:lang w:val="en-US"/>
        </w:rPr>
        <w:fldChar w:fldCharType="end"/>
      </w:r>
      <w:r w:rsidR="000D0749" w:rsidRPr="001A5D18">
        <w:rPr>
          <w:rFonts w:eastAsiaTheme="minorEastAsia" w:cs="Arial"/>
          <w:color w:val="222222"/>
          <w:szCs w:val="24"/>
          <w:lang w:val="en-US"/>
        </w:rPr>
        <w:t xml:space="preserve">. </w:t>
      </w:r>
      <w:r w:rsidR="000D0749">
        <w:rPr>
          <w:rFonts w:eastAsiaTheme="minorEastAsia" w:cs="Arial"/>
          <w:color w:val="222222"/>
          <w:szCs w:val="24"/>
          <w:lang w:val="en-US"/>
        </w:rPr>
        <w:t>CLT is said to support understanding why students struggle with ‘</w:t>
      </w:r>
      <w:r w:rsidR="00FA622A">
        <w:rPr>
          <w:rFonts w:eastAsiaTheme="minorEastAsia" w:cs="Arial"/>
          <w:color w:val="222222"/>
          <w:szCs w:val="24"/>
          <w:lang w:val="en-US"/>
        </w:rPr>
        <w:t>mastering</w:t>
      </w:r>
      <w:r w:rsidR="000D0749">
        <w:rPr>
          <w:rFonts w:eastAsiaTheme="minorEastAsia" w:cs="Arial"/>
          <w:color w:val="222222"/>
          <w:szCs w:val="24"/>
          <w:lang w:val="en-US"/>
        </w:rPr>
        <w:t xml:space="preserve"> complex concepts and developing towards expertise’ </w:t>
      </w:r>
      <w:r w:rsidR="000D0749">
        <w:rPr>
          <w:rFonts w:eastAsiaTheme="minorEastAsia" w:cs="Arial"/>
          <w:color w:val="222222"/>
          <w:szCs w:val="24"/>
          <w:lang w:val="en-US"/>
        </w:rPr>
        <w:fldChar w:fldCharType="begin"/>
      </w:r>
      <w:r w:rsidR="000D0749">
        <w:rPr>
          <w:rFonts w:eastAsiaTheme="minorEastAsia" w:cs="Arial"/>
          <w:color w:val="222222"/>
          <w:szCs w:val="24"/>
          <w:lang w:val="en-US"/>
        </w:rPr>
        <w:instrText xml:space="preserve"> ADDIN EN.CITE &lt;EndNote&gt;&lt;Cite&gt;&lt;Author&gt;Young&lt;/Author&gt;&lt;Year&gt;2014&lt;/Year&gt;&lt;IDText&gt;Cognitive Load Theory: implications for medical education: AMEE Guide No. 86&lt;/IDText&gt;&lt;DisplayText&gt;(Young et al., 2014)&lt;/DisplayText&gt;&lt;record&gt;&lt;dates&gt;&lt;pub-dates&gt;&lt;date&gt;May&lt;/date&gt;&lt;/pub-dates&gt;&lt;year&gt;2014&lt;/year&gt;&lt;/dates&gt;&lt;keywords&gt;&lt;keyword&gt;Cognition&lt;/keyword&gt;&lt;keyword&gt;Education, Medical&lt;/keyword&gt;&lt;keyword&gt;Humans&lt;/keyword&gt;&lt;keyword&gt;Memory&lt;/keyword&gt;&lt;keyword&gt;Models, Educational&lt;/keyword&gt;&lt;/keywords&gt;&lt;urls&gt;&lt;related-urls&gt;&lt;url&gt;https://www.ncbi.nlm.nih.gov/pubmed/24593808&lt;/url&gt;&lt;/related-urls&gt;&lt;/urls&gt;&lt;isbn&gt;1466-187X&lt;/isbn&gt;&lt;titles&gt;&lt;title&gt;Cognitive Load Theory: implications for medical education: AMEE Guide No. 86&lt;/title&gt;&lt;secondary-title&gt;Med Teach&lt;/secondary-title&gt;&lt;/titles&gt;&lt;pages&gt;371-84&lt;/pages&gt;&lt;number&gt;5&lt;/number&gt;&lt;contributors&gt;&lt;authors&gt;&lt;author&gt;Young, J. Q.&lt;/author&gt;&lt;author&gt;Van Merrienboer, J.&lt;/author&gt;&lt;author&gt;Durning, S.&lt;/author&gt;&lt;author&gt;Ten Cate, O.&lt;/author&gt;&lt;/authors&gt;&lt;/contributors&gt;&lt;edition&gt;2014/03/04&lt;/edition&gt;&lt;language&gt;eng&lt;/language&gt;&lt;added-date format="utc"&gt;1500146329&lt;/added-date&gt;&lt;ref-type name="Journal Article"&gt;17&lt;/ref-type&gt;&lt;rec-number&gt;349&lt;/rec-number&gt;&lt;last-updated-date format="utc"&gt;1500146329&lt;/last-updated-date&gt;&lt;accession-num&gt;24593808&lt;/accession-num&gt;&lt;electronic-resource-num&gt;10.3109/0142159X.2014.889290&lt;/electronic-resource-num&gt;&lt;volume&gt;36&lt;/volume&gt;&lt;/record&gt;&lt;/Cite&gt;&lt;/EndNote&gt;</w:instrText>
      </w:r>
      <w:r w:rsidR="000D0749">
        <w:rPr>
          <w:rFonts w:eastAsiaTheme="minorEastAsia" w:cs="Arial"/>
          <w:color w:val="222222"/>
          <w:szCs w:val="24"/>
          <w:lang w:val="en-US"/>
        </w:rPr>
        <w:fldChar w:fldCharType="separate"/>
      </w:r>
      <w:r w:rsidR="000D0749">
        <w:rPr>
          <w:rFonts w:eastAsiaTheme="minorEastAsia" w:cs="Arial"/>
          <w:noProof/>
          <w:color w:val="222222"/>
          <w:szCs w:val="24"/>
          <w:lang w:val="en-US"/>
        </w:rPr>
        <w:t>(Young et al., 2014)</w:t>
      </w:r>
      <w:r w:rsidR="000D0749">
        <w:rPr>
          <w:rFonts w:eastAsiaTheme="minorEastAsia" w:cs="Arial"/>
          <w:color w:val="222222"/>
          <w:szCs w:val="24"/>
          <w:lang w:val="en-US"/>
        </w:rPr>
        <w:fldChar w:fldCharType="end"/>
      </w:r>
      <w:r w:rsidR="000D0749">
        <w:rPr>
          <w:rFonts w:eastAsiaTheme="minorEastAsia" w:cs="Arial"/>
          <w:color w:val="222222"/>
          <w:szCs w:val="24"/>
          <w:lang w:val="en-US"/>
        </w:rPr>
        <w:t xml:space="preserve">. </w:t>
      </w:r>
    </w:p>
    <w:p w14:paraId="022E9DAE" w14:textId="69A2A413" w:rsidR="00573260" w:rsidRDefault="000D0749" w:rsidP="004A7265">
      <w:pPr>
        <w:rPr>
          <w:rFonts w:eastAsiaTheme="minorEastAsia" w:cs="Arial"/>
          <w:color w:val="222222"/>
          <w:szCs w:val="24"/>
          <w:lang w:val="en-US"/>
        </w:rPr>
      </w:pPr>
      <w:r>
        <w:rPr>
          <w:rFonts w:eastAsiaTheme="minorEastAsia" w:cs="Arial"/>
          <w:color w:val="222222"/>
          <w:szCs w:val="24"/>
          <w:lang w:val="en-US"/>
        </w:rPr>
        <w:t>The three types of cognitive load described are ‘</w:t>
      </w:r>
      <w:r w:rsidR="00FA622A">
        <w:rPr>
          <w:rFonts w:eastAsiaTheme="minorEastAsia" w:cs="Arial"/>
          <w:color w:val="222222"/>
          <w:szCs w:val="24"/>
          <w:lang w:val="en-US"/>
        </w:rPr>
        <w:t>intrinsic</w:t>
      </w:r>
      <w:r>
        <w:rPr>
          <w:rFonts w:eastAsiaTheme="minorEastAsia" w:cs="Arial"/>
          <w:color w:val="222222"/>
          <w:szCs w:val="24"/>
          <w:lang w:val="en-US"/>
        </w:rPr>
        <w:t xml:space="preserve"> load, a direct function of the complexity of the task, extraneous load, processes that do not contribute to learning and germane load, the learning that actually occurs </w:t>
      </w:r>
      <w:r>
        <w:rPr>
          <w:rFonts w:eastAsiaTheme="minorEastAsia" w:cs="Arial"/>
          <w:color w:val="222222"/>
          <w:szCs w:val="24"/>
          <w:lang w:val="en-US"/>
        </w:rPr>
        <w:fldChar w:fldCharType="begin"/>
      </w:r>
      <w:r>
        <w:rPr>
          <w:rFonts w:eastAsiaTheme="minorEastAsia" w:cs="Arial"/>
          <w:color w:val="222222"/>
          <w:szCs w:val="24"/>
          <w:lang w:val="en-US"/>
        </w:rPr>
        <w:instrText xml:space="preserve"> ADDIN EN.CITE &lt;EndNote&gt;&lt;Cite&gt;&lt;Author&gt;van Merrienboer&lt;/Author&gt;&lt;Year&gt;2010&lt;/Year&gt;&lt;IDText&gt;Cognitive load theory in health professional education: design principles and strategies&lt;/IDText&gt;&lt;DisplayText&gt;(van Merrienboer and Sweller, 2010)&lt;/DisplayText&gt;&lt;record&gt;&lt;dates&gt;&lt;pub-dates&gt;&lt;date&gt;Jan&lt;/date&gt;&lt;/pub-dates&gt;&lt;year&gt;2010&lt;/year&gt;&lt;/dates&gt;&lt;urls&gt;&lt;related-urls&gt;&lt;url&gt;&amp;lt;Go to ISI&amp;gt;://WOS:000272866400018&lt;/url&gt;&lt;/related-urls&gt;&lt;/urls&gt;&lt;isbn&gt;0308-0110&lt;/isbn&gt;&lt;titles&gt;&lt;title&gt;Cognitive load theory in health professional education: design principles and strategies&lt;/title&gt;&lt;secondary-title&gt;Medical Education&lt;/secondary-title&gt;&lt;/titles&gt;&lt;pages&gt;85-93&lt;/pages&gt;&lt;number&gt;1&lt;/number&gt;&lt;contributors&gt;&lt;authors&gt;&lt;author&gt;van Merrienboer, Jeroen J. G.&lt;/author&gt;&lt;author&gt;Sweller, John&lt;/author&gt;&lt;/authors&gt;&lt;/contributors&gt;&lt;added-date format="utc"&gt;1390842272&lt;/added-date&gt;&lt;ref-type name="Journal Article"&gt;17&lt;/ref-type&gt;&lt;rec-number&gt;18&lt;/rec-number&gt;&lt;last-updated-date format="utc"&gt;1390843746&lt;/last-updated-date&gt;&lt;accession-num&gt;WOS:000272866400018&lt;/accession-num&gt;&lt;electronic-resource-num&gt;10.1111/j.1365-2923.2009.03498.x&lt;/electronic-resource-num&gt;&lt;volume&gt;44&lt;/volume&gt;&lt;/record&gt;&lt;/Cite&gt;&lt;/EndNote&gt;</w:instrText>
      </w:r>
      <w:r>
        <w:rPr>
          <w:rFonts w:eastAsiaTheme="minorEastAsia" w:cs="Arial"/>
          <w:color w:val="222222"/>
          <w:szCs w:val="24"/>
          <w:lang w:val="en-US"/>
        </w:rPr>
        <w:fldChar w:fldCharType="separate"/>
      </w:r>
      <w:r>
        <w:rPr>
          <w:rFonts w:eastAsiaTheme="minorEastAsia" w:cs="Arial"/>
          <w:noProof/>
          <w:color w:val="222222"/>
          <w:szCs w:val="24"/>
          <w:lang w:val="en-US"/>
        </w:rPr>
        <w:t>(van Merrienboer and Sweller, 2010)</w:t>
      </w:r>
      <w:r>
        <w:rPr>
          <w:rFonts w:eastAsiaTheme="minorEastAsia" w:cs="Arial"/>
          <w:color w:val="222222"/>
          <w:szCs w:val="24"/>
          <w:lang w:val="en-US"/>
        </w:rPr>
        <w:fldChar w:fldCharType="end"/>
      </w:r>
      <w:r w:rsidR="00ED197C">
        <w:rPr>
          <w:rFonts w:eastAsiaTheme="minorEastAsia" w:cs="Arial"/>
          <w:color w:val="222222"/>
          <w:szCs w:val="24"/>
          <w:lang w:val="en-US"/>
        </w:rPr>
        <w:t xml:space="preserve">. It is said that learners must be able to ‘screen out irrelevant stimuli’ to allow capacity for working memory </w:t>
      </w:r>
      <w:r w:rsidR="00ED197C">
        <w:rPr>
          <w:rFonts w:eastAsiaTheme="minorEastAsia" w:cs="Arial"/>
          <w:color w:val="222222"/>
          <w:szCs w:val="24"/>
          <w:lang w:val="en-US"/>
        </w:rPr>
        <w:fldChar w:fldCharType="begin"/>
      </w:r>
      <w:r w:rsidR="00ED197C">
        <w:rPr>
          <w:rFonts w:eastAsiaTheme="minorEastAsia" w:cs="Arial"/>
          <w:color w:val="222222"/>
          <w:szCs w:val="24"/>
          <w:lang w:val="en-US"/>
        </w:rPr>
        <w:instrText xml:space="preserve"> ADDIN EN.CITE &lt;EndNote&gt;&lt;Cite&gt;&lt;Author&gt;Young&lt;/Author&gt;&lt;Year&gt;2014&lt;/Year&gt;&lt;IDText&gt;Cognitive Load Theory: implications for medical education: AMEE Guide No. 86&lt;/IDText&gt;&lt;DisplayText&gt;(Young et al., 2014)&lt;/DisplayText&gt;&lt;record&gt;&lt;dates&gt;&lt;pub-dates&gt;&lt;date&gt;May&lt;/date&gt;&lt;/pub-dates&gt;&lt;year&gt;2014&lt;/year&gt;&lt;/dates&gt;&lt;keywords&gt;&lt;keyword&gt;Cognition&lt;/keyword&gt;&lt;keyword&gt;Education, Medical&lt;/keyword&gt;&lt;keyword&gt;Humans&lt;/keyword&gt;&lt;keyword&gt;Memory&lt;/keyword&gt;&lt;keyword&gt;Models, Educational&lt;/keyword&gt;&lt;/keywords&gt;&lt;urls&gt;&lt;related-urls&gt;&lt;url&gt;https://www.ncbi.nlm.nih.gov/pubmed/24593808&lt;/url&gt;&lt;/related-urls&gt;&lt;/urls&gt;&lt;isbn&gt;1466-187X&lt;/isbn&gt;&lt;titles&gt;&lt;title&gt;Cognitive Load Theory: implications for medical education: AMEE Guide No. 86&lt;/title&gt;&lt;secondary-title&gt;Med Teach&lt;/secondary-title&gt;&lt;/titles&gt;&lt;pages&gt;371-84&lt;/pages&gt;&lt;number&gt;5&lt;/number&gt;&lt;contributors&gt;&lt;authors&gt;&lt;author&gt;Young, J. Q.&lt;/author&gt;&lt;author&gt;Van Merrienboer, J.&lt;/author&gt;&lt;author&gt;Durning, S.&lt;/author&gt;&lt;author&gt;Ten Cate, O.&lt;/author&gt;&lt;/authors&gt;&lt;/contributors&gt;&lt;edition&gt;2014/03/04&lt;/edition&gt;&lt;language&gt;eng&lt;/language&gt;&lt;added-date format="utc"&gt;1500146329&lt;/added-date&gt;&lt;ref-type name="Journal Article"&gt;17&lt;/ref-type&gt;&lt;rec-number&gt;349&lt;/rec-number&gt;&lt;last-updated-date format="utc"&gt;1500146329&lt;/last-updated-date&gt;&lt;accession-num&gt;24593808&lt;/accession-num&gt;&lt;electronic-resource-num&gt;10.3109/0142159X.2014.889290&lt;/electronic-resource-num&gt;&lt;volume&gt;36&lt;/volume&gt;&lt;/record&gt;&lt;/Cite&gt;&lt;/EndNote&gt;</w:instrText>
      </w:r>
      <w:r w:rsidR="00ED197C">
        <w:rPr>
          <w:rFonts w:eastAsiaTheme="minorEastAsia" w:cs="Arial"/>
          <w:color w:val="222222"/>
          <w:szCs w:val="24"/>
          <w:lang w:val="en-US"/>
        </w:rPr>
        <w:fldChar w:fldCharType="separate"/>
      </w:r>
      <w:r w:rsidR="00ED197C">
        <w:rPr>
          <w:rFonts w:eastAsiaTheme="minorEastAsia" w:cs="Arial"/>
          <w:noProof/>
          <w:color w:val="222222"/>
          <w:szCs w:val="24"/>
          <w:lang w:val="en-US"/>
        </w:rPr>
        <w:t>(Young et al., 2014)</w:t>
      </w:r>
      <w:r w:rsidR="00ED197C">
        <w:rPr>
          <w:rFonts w:eastAsiaTheme="minorEastAsia" w:cs="Arial"/>
          <w:color w:val="222222"/>
          <w:szCs w:val="24"/>
          <w:lang w:val="en-US"/>
        </w:rPr>
        <w:fldChar w:fldCharType="end"/>
      </w:r>
      <w:r w:rsidR="00ED197C">
        <w:rPr>
          <w:rFonts w:eastAsiaTheme="minorEastAsia" w:cs="Arial"/>
          <w:color w:val="222222"/>
          <w:szCs w:val="24"/>
          <w:lang w:val="en-US"/>
        </w:rPr>
        <w:t>. Findings from this study add an additional layer of depth to this concept. Students were observed and reflected during their scenarios that the monitor was distracting and some wanted to ‘turn it off’ when the patient was unwell</w:t>
      </w:r>
      <w:r w:rsidR="00DA7849">
        <w:rPr>
          <w:rFonts w:eastAsiaTheme="minorEastAsia" w:cs="Arial"/>
          <w:color w:val="222222"/>
          <w:szCs w:val="24"/>
          <w:lang w:val="en-US"/>
        </w:rPr>
        <w:t xml:space="preserve"> (Field notes)</w:t>
      </w:r>
      <w:r w:rsidR="00ED197C">
        <w:rPr>
          <w:rFonts w:eastAsiaTheme="minorEastAsia" w:cs="Arial"/>
          <w:color w:val="222222"/>
          <w:szCs w:val="24"/>
          <w:lang w:val="en-US"/>
        </w:rPr>
        <w:t>. This was of great interest because the monitor was giving vital information about how unwell the patient was. So yes, these findings concur that learners need to screen the s</w:t>
      </w:r>
      <w:r w:rsidR="00DA7849">
        <w:rPr>
          <w:rFonts w:eastAsiaTheme="minorEastAsia" w:cs="Arial"/>
          <w:color w:val="222222"/>
          <w:szCs w:val="24"/>
          <w:lang w:val="en-US"/>
        </w:rPr>
        <w:t xml:space="preserve">ensory </w:t>
      </w:r>
      <w:r w:rsidR="00FA622A">
        <w:rPr>
          <w:rFonts w:eastAsiaTheme="minorEastAsia" w:cs="Arial"/>
          <w:color w:val="222222"/>
          <w:szCs w:val="24"/>
          <w:lang w:val="en-US"/>
        </w:rPr>
        <w:t>environmental</w:t>
      </w:r>
      <w:r w:rsidR="00DA7849">
        <w:rPr>
          <w:rFonts w:eastAsiaTheme="minorEastAsia" w:cs="Arial"/>
          <w:color w:val="222222"/>
          <w:szCs w:val="24"/>
          <w:lang w:val="en-US"/>
        </w:rPr>
        <w:t xml:space="preserve"> information, however </w:t>
      </w:r>
      <w:r w:rsidR="00DA7849">
        <w:rPr>
          <w:rFonts w:eastAsiaTheme="minorEastAsia" w:cs="Arial"/>
          <w:color w:val="222222"/>
          <w:szCs w:val="24"/>
          <w:lang w:val="en-US"/>
        </w:rPr>
        <w:lastRenderedPageBreak/>
        <w:t xml:space="preserve">they need to be taught how to screen, to learn how to use the information and learn what is irrelevant. This takes time and experience, but FY1s need to be ready on day one. Allowing students to experience cognitive overload and </w:t>
      </w:r>
      <w:r w:rsidR="00905C08">
        <w:rPr>
          <w:rFonts w:eastAsiaTheme="minorEastAsia" w:cs="Arial"/>
          <w:color w:val="222222"/>
          <w:szCs w:val="24"/>
          <w:lang w:val="en-US"/>
        </w:rPr>
        <w:t>practice</w:t>
      </w:r>
      <w:r w:rsidR="00DA7849">
        <w:rPr>
          <w:rFonts w:eastAsiaTheme="minorEastAsia" w:cs="Arial"/>
          <w:color w:val="222222"/>
          <w:szCs w:val="24"/>
          <w:lang w:val="en-US"/>
        </w:rPr>
        <w:t xml:space="preserve"> under pressure facilitated </w:t>
      </w:r>
      <w:r w:rsidR="00FA622A">
        <w:rPr>
          <w:rFonts w:eastAsiaTheme="minorEastAsia" w:cs="Arial"/>
          <w:color w:val="222222"/>
          <w:szCs w:val="24"/>
          <w:lang w:val="en-US"/>
        </w:rPr>
        <w:t>discussion</w:t>
      </w:r>
      <w:r w:rsidR="00DA7849">
        <w:rPr>
          <w:rFonts w:eastAsiaTheme="minorEastAsia" w:cs="Arial"/>
          <w:color w:val="222222"/>
          <w:szCs w:val="24"/>
          <w:lang w:val="en-US"/>
        </w:rPr>
        <w:t xml:space="preserve"> and experience about how to manage these multiple cues or disturbances in a complex environment. Taking time to step back, </w:t>
      </w:r>
      <w:proofErr w:type="spellStart"/>
      <w:r w:rsidR="00DA7849">
        <w:rPr>
          <w:rFonts w:eastAsiaTheme="minorEastAsia" w:cs="Arial"/>
          <w:color w:val="222222"/>
          <w:szCs w:val="24"/>
          <w:lang w:val="en-US"/>
        </w:rPr>
        <w:t>summarise</w:t>
      </w:r>
      <w:proofErr w:type="spellEnd"/>
      <w:r w:rsidR="00DA7849">
        <w:rPr>
          <w:rFonts w:eastAsiaTheme="minorEastAsia" w:cs="Arial"/>
          <w:color w:val="222222"/>
          <w:szCs w:val="24"/>
          <w:lang w:val="en-US"/>
        </w:rPr>
        <w:t xml:space="preserve">, share concerns, allowed clarity and support to know when to get help. </w:t>
      </w:r>
    </w:p>
    <w:p w14:paraId="7C0719A7" w14:textId="0A53DF62" w:rsidR="00DC0B8E" w:rsidRPr="001A523D" w:rsidRDefault="00DC0B8E" w:rsidP="00DC0B8E">
      <w:pPr>
        <w:rPr>
          <w:rFonts w:eastAsiaTheme="minorEastAsia" w:cs="Arial"/>
          <w:color w:val="222222"/>
          <w:szCs w:val="24"/>
          <w:lang w:val="en-US"/>
        </w:rPr>
      </w:pPr>
      <w:r w:rsidRPr="001A5D18">
        <w:rPr>
          <w:rFonts w:eastAsiaTheme="minorEastAsia" w:cs="Arial"/>
          <w:color w:val="222222"/>
          <w:szCs w:val="24"/>
          <w:lang w:val="en-US"/>
        </w:rPr>
        <w:t xml:space="preserve">It is noted that novice learners must be treated differently to experts learners and that cognitive load should be </w:t>
      </w:r>
      <w:proofErr w:type="spellStart"/>
      <w:r w:rsidRPr="001A5D18">
        <w:rPr>
          <w:rFonts w:eastAsiaTheme="minorEastAsia" w:cs="Arial"/>
          <w:color w:val="222222"/>
          <w:szCs w:val="24"/>
          <w:lang w:val="en-US"/>
        </w:rPr>
        <w:t>minimised</w:t>
      </w:r>
      <w:proofErr w:type="spellEnd"/>
      <w:r w:rsidRPr="001A5D18">
        <w:rPr>
          <w:rFonts w:eastAsiaTheme="minorEastAsia" w:cs="Arial"/>
          <w:color w:val="222222"/>
          <w:szCs w:val="24"/>
          <w:lang w:val="en-US"/>
        </w:rPr>
        <w:t xml:space="preserve"> to support learning and complexity built once simple tasks have been learnt. The concept of automaticity through deliberate </w:t>
      </w:r>
      <w:r w:rsidR="00905C08">
        <w:rPr>
          <w:rFonts w:eastAsiaTheme="minorEastAsia" w:cs="Arial"/>
          <w:color w:val="222222"/>
          <w:szCs w:val="24"/>
          <w:lang w:val="en-US"/>
        </w:rPr>
        <w:t>practice</w:t>
      </w:r>
      <w:r w:rsidRPr="001A5D18">
        <w:rPr>
          <w:rFonts w:eastAsiaTheme="minorEastAsia" w:cs="Arial"/>
          <w:color w:val="222222"/>
          <w:szCs w:val="24"/>
          <w:lang w:val="en-US"/>
        </w:rPr>
        <w:t>, experience and commitment to long term memory is described as a facility to free up capacity in working memory at times of multiple cognitive stimulat</w:t>
      </w:r>
      <w:r>
        <w:rPr>
          <w:rFonts w:eastAsiaTheme="minorEastAsia" w:cs="Arial"/>
          <w:color w:val="222222"/>
          <w:szCs w:val="24"/>
          <w:lang w:val="en-US"/>
        </w:rPr>
        <w:t>i</w:t>
      </w:r>
      <w:r w:rsidRPr="001A5D18">
        <w:rPr>
          <w:rFonts w:eastAsiaTheme="minorEastAsia" w:cs="Arial"/>
          <w:color w:val="222222"/>
          <w:szCs w:val="24"/>
          <w:lang w:val="en-US"/>
        </w:rPr>
        <w:t>on</w:t>
      </w:r>
      <w:r>
        <w:rPr>
          <w:rFonts w:eastAsiaTheme="minorEastAsia" w:cs="Arial"/>
          <w:color w:val="222222"/>
          <w:szCs w:val="24"/>
          <w:lang w:val="en-US"/>
        </w:rPr>
        <w:t xml:space="preserve"> </w:t>
      </w:r>
      <w:r>
        <w:rPr>
          <w:rFonts w:eastAsiaTheme="minorEastAsia" w:cs="Arial"/>
          <w:color w:val="222222"/>
          <w:szCs w:val="24"/>
          <w:lang w:val="en-US"/>
        </w:rPr>
        <w:fldChar w:fldCharType="begin"/>
      </w:r>
      <w:r>
        <w:rPr>
          <w:rFonts w:eastAsiaTheme="minorEastAsia" w:cs="Arial"/>
          <w:color w:val="222222"/>
          <w:szCs w:val="24"/>
          <w:lang w:val="en-US"/>
        </w:rPr>
        <w:instrText xml:space="preserve"> ADDIN EN.CITE &lt;EndNote&gt;&lt;Cite&gt;&lt;Author&gt;van Merrienboer&lt;/Author&gt;&lt;Year&gt;2010&lt;/Year&gt;&lt;IDText&gt;Cognitive load theory in health professional education: design principles and strategies&lt;/IDText&gt;&lt;DisplayText&gt;(van Merrienboer and Sweller, 2010)&lt;/DisplayText&gt;&lt;record&gt;&lt;dates&gt;&lt;pub-dates&gt;&lt;date&gt;Jan&lt;/date&gt;&lt;/pub-dates&gt;&lt;year&gt;2010&lt;/year&gt;&lt;/dates&gt;&lt;urls&gt;&lt;related-urls&gt;&lt;url&gt;&amp;lt;Go to ISI&amp;gt;://WOS:000272866400018&lt;/url&gt;&lt;/related-urls&gt;&lt;/urls&gt;&lt;isbn&gt;0308-0110&lt;/isbn&gt;&lt;titles&gt;&lt;title&gt;Cognitive load theory in health professional education: design principles and strategies&lt;/title&gt;&lt;secondary-title&gt;Medical Education&lt;/secondary-title&gt;&lt;/titles&gt;&lt;pages&gt;85-93&lt;/pages&gt;&lt;number&gt;1&lt;/number&gt;&lt;contributors&gt;&lt;authors&gt;&lt;author&gt;van Merrienboer, Jeroen J. G.&lt;/author&gt;&lt;author&gt;Sweller, John&lt;/author&gt;&lt;/authors&gt;&lt;/contributors&gt;&lt;added-date format="utc"&gt;1390842272&lt;/added-date&gt;&lt;ref-type name="Journal Article"&gt;17&lt;/ref-type&gt;&lt;rec-number&gt;18&lt;/rec-number&gt;&lt;last-updated-date format="utc"&gt;1390843746&lt;/last-updated-date&gt;&lt;accession-num&gt;WOS:000272866400018&lt;/accession-num&gt;&lt;electronic-resource-num&gt;10.1111/j.1365-2923.2009.03498.x&lt;/electronic-resource-num&gt;&lt;volume&gt;44&lt;/volume&gt;&lt;/record&gt;&lt;/Cite&gt;&lt;/EndNote&gt;</w:instrText>
      </w:r>
      <w:r>
        <w:rPr>
          <w:rFonts w:eastAsiaTheme="minorEastAsia" w:cs="Arial"/>
          <w:color w:val="222222"/>
          <w:szCs w:val="24"/>
          <w:lang w:val="en-US"/>
        </w:rPr>
        <w:fldChar w:fldCharType="separate"/>
      </w:r>
      <w:r>
        <w:rPr>
          <w:rFonts w:eastAsiaTheme="minorEastAsia" w:cs="Arial"/>
          <w:noProof/>
          <w:color w:val="222222"/>
          <w:szCs w:val="24"/>
          <w:lang w:val="en-US"/>
        </w:rPr>
        <w:t>(van Merrienboer and Sweller, 2010)</w:t>
      </w:r>
      <w:r>
        <w:rPr>
          <w:rFonts w:eastAsiaTheme="minorEastAsia" w:cs="Arial"/>
          <w:color w:val="222222"/>
          <w:szCs w:val="24"/>
          <w:lang w:val="en-US"/>
        </w:rPr>
        <w:fldChar w:fldCharType="end"/>
      </w:r>
      <w:r w:rsidRPr="001A5D18">
        <w:rPr>
          <w:rFonts w:eastAsiaTheme="minorEastAsia" w:cs="Arial"/>
          <w:color w:val="222222"/>
          <w:szCs w:val="24"/>
          <w:lang w:val="en-US"/>
        </w:rPr>
        <w:t xml:space="preserve">. Methods for </w:t>
      </w:r>
      <w:proofErr w:type="spellStart"/>
      <w:r w:rsidRPr="001A5D18">
        <w:rPr>
          <w:rFonts w:eastAsiaTheme="minorEastAsia" w:cs="Arial"/>
          <w:color w:val="222222"/>
          <w:szCs w:val="24"/>
          <w:lang w:val="en-US"/>
        </w:rPr>
        <w:t>minimising</w:t>
      </w:r>
      <w:proofErr w:type="spellEnd"/>
      <w:r w:rsidRPr="001A5D18">
        <w:rPr>
          <w:rFonts w:eastAsiaTheme="minorEastAsia" w:cs="Arial"/>
          <w:color w:val="222222"/>
          <w:szCs w:val="24"/>
          <w:lang w:val="en-US"/>
        </w:rPr>
        <w:t xml:space="preserve"> overload include </w:t>
      </w:r>
      <w:r w:rsidR="00337A7E">
        <w:rPr>
          <w:rFonts w:eastAsiaTheme="minorEastAsia" w:cs="Arial"/>
          <w:color w:val="222222"/>
          <w:szCs w:val="24"/>
          <w:lang w:val="en-US"/>
        </w:rPr>
        <w:t>using</w:t>
      </w:r>
      <w:r w:rsidRPr="001A5D18">
        <w:rPr>
          <w:rFonts w:eastAsiaTheme="minorEastAsia" w:cs="Arial"/>
          <w:color w:val="222222"/>
          <w:szCs w:val="24"/>
          <w:lang w:val="en-US"/>
        </w:rPr>
        <w:t xml:space="preserve"> ‘goal free principles’ to avoid strict learning outcomes</w:t>
      </w:r>
      <w:r>
        <w:rPr>
          <w:rFonts w:eastAsiaTheme="minorEastAsia" w:cs="Arial"/>
          <w:color w:val="222222"/>
          <w:szCs w:val="24"/>
          <w:lang w:val="en-US"/>
        </w:rPr>
        <w:t xml:space="preserve"> </w:t>
      </w:r>
      <w:r>
        <w:rPr>
          <w:rFonts w:eastAsiaTheme="minorEastAsia" w:cs="Arial"/>
          <w:color w:val="222222"/>
          <w:szCs w:val="24"/>
          <w:lang w:val="en-US"/>
        </w:rPr>
        <w:fldChar w:fldCharType="begin"/>
      </w:r>
      <w:r>
        <w:rPr>
          <w:rFonts w:eastAsiaTheme="minorEastAsia" w:cs="Arial"/>
          <w:color w:val="222222"/>
          <w:szCs w:val="24"/>
          <w:lang w:val="en-US"/>
        </w:rPr>
        <w:instrText xml:space="preserve"> ADDIN EN.CITE &lt;EndNote&gt;&lt;Cite&gt;&lt;Author&gt;van Merrienboer&lt;/Author&gt;&lt;Year&gt;2010&lt;/Year&gt;&lt;IDText&gt;Cognitive load theory in health professional education: design principles and strategies&lt;/IDText&gt;&lt;DisplayText&gt;(van Merrienboer and Sweller, 2010)&lt;/DisplayText&gt;&lt;record&gt;&lt;dates&gt;&lt;pub-dates&gt;&lt;date&gt;Jan&lt;/date&gt;&lt;/pub-dates&gt;&lt;year&gt;2010&lt;/year&gt;&lt;/dates&gt;&lt;urls&gt;&lt;related-urls&gt;&lt;url&gt;&amp;lt;Go to ISI&amp;gt;://WOS:000272866400018&lt;/url&gt;&lt;/related-urls&gt;&lt;/urls&gt;&lt;isbn&gt;0308-0110&lt;/isbn&gt;&lt;titles&gt;&lt;title&gt;Cognitive load theory in health professional education: design principles and strategies&lt;/title&gt;&lt;secondary-title&gt;Medical Education&lt;/secondary-title&gt;&lt;/titles&gt;&lt;pages&gt;85-93&lt;/pages&gt;&lt;number&gt;1&lt;/number&gt;&lt;contributors&gt;&lt;authors&gt;&lt;author&gt;van Merrienboer, Jeroen J. G.&lt;/author&gt;&lt;author&gt;Sweller, John&lt;/author&gt;&lt;/authors&gt;&lt;/contributors&gt;&lt;added-date format="utc"&gt;1390842272&lt;/added-date&gt;&lt;ref-type name="Journal Article"&gt;17&lt;/ref-type&gt;&lt;rec-number&gt;18&lt;/rec-number&gt;&lt;last-updated-date format="utc"&gt;1390843746&lt;/last-updated-date&gt;&lt;accession-num&gt;WOS:000272866400018&lt;/accession-num&gt;&lt;electronic-resource-num&gt;10.1111/j.1365-2923.2009.03498.x&lt;/electronic-resource-num&gt;&lt;volume&gt;44&lt;/volume&gt;&lt;/record&gt;&lt;/Cite&gt;&lt;/EndNote&gt;</w:instrText>
      </w:r>
      <w:r>
        <w:rPr>
          <w:rFonts w:eastAsiaTheme="minorEastAsia" w:cs="Arial"/>
          <w:color w:val="222222"/>
          <w:szCs w:val="24"/>
          <w:lang w:val="en-US"/>
        </w:rPr>
        <w:fldChar w:fldCharType="separate"/>
      </w:r>
      <w:r>
        <w:rPr>
          <w:rFonts w:eastAsiaTheme="minorEastAsia" w:cs="Arial"/>
          <w:noProof/>
          <w:color w:val="222222"/>
          <w:szCs w:val="24"/>
          <w:lang w:val="en-US"/>
        </w:rPr>
        <w:t>(van Merrienboer and Sweller, 2010)</w:t>
      </w:r>
      <w:r>
        <w:rPr>
          <w:rFonts w:eastAsiaTheme="minorEastAsia" w:cs="Arial"/>
          <w:color w:val="222222"/>
          <w:szCs w:val="24"/>
          <w:lang w:val="en-US"/>
        </w:rPr>
        <w:fldChar w:fldCharType="end"/>
      </w:r>
      <w:r w:rsidRPr="001A5D18">
        <w:rPr>
          <w:rFonts w:eastAsiaTheme="minorEastAsia" w:cs="Arial"/>
          <w:color w:val="222222"/>
          <w:szCs w:val="24"/>
          <w:lang w:val="en-US"/>
        </w:rPr>
        <w:t xml:space="preserve">. This does support the concept of flexibility and emergence of learning outcomes found to be of huge benefit during this research, however in order to create a </w:t>
      </w:r>
      <w:proofErr w:type="spellStart"/>
      <w:r w:rsidRPr="001A5D18">
        <w:rPr>
          <w:rFonts w:eastAsiaTheme="minorEastAsia" w:cs="Arial"/>
          <w:color w:val="222222"/>
          <w:szCs w:val="24"/>
          <w:lang w:val="en-US"/>
        </w:rPr>
        <w:t>well designed</w:t>
      </w:r>
      <w:proofErr w:type="spellEnd"/>
      <w:r w:rsidRPr="001A5D18">
        <w:rPr>
          <w:rFonts w:eastAsiaTheme="minorEastAsia" w:cs="Arial"/>
          <w:color w:val="222222"/>
          <w:szCs w:val="24"/>
          <w:lang w:val="en-US"/>
        </w:rPr>
        <w:t xml:space="preserve"> scenario the starting point was always a learning needs analysis and learning outcome wh</w:t>
      </w:r>
      <w:r>
        <w:rPr>
          <w:rFonts w:eastAsiaTheme="minorEastAsia" w:cs="Arial"/>
          <w:color w:val="222222"/>
          <w:szCs w:val="24"/>
          <w:lang w:val="en-US"/>
        </w:rPr>
        <w:t xml:space="preserve">ich goes against this concept. </w:t>
      </w:r>
    </w:p>
    <w:p w14:paraId="61ADD9FC" w14:textId="786F08DC" w:rsidR="00DC0B8E" w:rsidRDefault="00DC0B8E" w:rsidP="00DC0B8E">
      <w:r>
        <w:t xml:space="preserve">Managing complexity is a skill that FY1s struggle with </w:t>
      </w:r>
      <w:r>
        <w:fldChar w:fldCharType="begin">
          <w:fldData xml:space="preserve">PEVuZE5vdGU+PENpdGU+PEF1dGhvcj5CcmVubmFuPC9BdXRob3I+PFllYXI+MjAxMDwvWWVhcj48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</w:fldData>
        </w:fldChar>
      </w:r>
      <w:r>
        <w:instrText xml:space="preserve"> ADDIN EN.CITE </w:instrText>
      </w:r>
      <w:r>
        <w:fldChar w:fldCharType="begin">
          <w:fldData xml:space="preserve">PEVuZE5vdGU+PENpdGU+PEF1dGhvcj5CcmVubmFuPC9BdXRob3I+PFllYXI+MjAxMDwvWWVhcj48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</w:fldData>
        </w:fldChar>
      </w:r>
      <w:r>
        <w:instrText xml:space="preserve"> ADDIN EN.CITE.DATA </w:instrText>
      </w:r>
      <w:r>
        <w:fldChar w:fldCharType="end"/>
      </w:r>
      <w:r>
        <w:fldChar w:fldCharType="separate"/>
      </w:r>
      <w:r>
        <w:rPr>
          <w:noProof/>
        </w:rPr>
        <w:t>(Brennan et al., 2010, Kellett et al., 2015, Wall et al., 2006)</w:t>
      </w:r>
      <w:r>
        <w:fldChar w:fldCharType="end"/>
      </w:r>
      <w:r>
        <w:t xml:space="preserve">. Complexity is found within the clinical </w:t>
      </w:r>
      <w:r w:rsidR="00FA622A">
        <w:t>environment</w:t>
      </w:r>
      <w:r>
        <w:t xml:space="preserve">, multiple interfaces and interactions as well as the cognitive processing and clinical decision-making. ‘Dual process theory’ is </w:t>
      </w:r>
      <w:r w:rsidR="00337A7E">
        <w:t>used</w:t>
      </w:r>
      <w:r>
        <w:t xml:space="preserve"> as a model to aid understanding of the process involved in human decision-making. </w:t>
      </w:r>
      <w:r>
        <w:lastRenderedPageBreak/>
        <w:t>The dual represents the two potential type of processing, the first is faster ‘intuitive, autonomous or reflexive’</w:t>
      </w:r>
      <w:r w:rsidR="007D295C">
        <w:t>,</w:t>
      </w:r>
      <w:r>
        <w:t xml:space="preserve"> and the second is slower, more ‘analytical deliberative reasoning’</w:t>
      </w:r>
      <w:r w:rsidR="007D295C">
        <w:t>, which incorporates more evidence-</w:t>
      </w:r>
      <w:r>
        <w:t xml:space="preserve">based analysis </w:t>
      </w:r>
      <w:r>
        <w:fldChar w:fldCharType="begin"/>
      </w:r>
      <w:r>
        <w:instrText xml:space="preserve"> ADDIN EN.CITE &lt;EndNote&gt;&lt;Cite&gt;&lt;Author&gt;Croskerry&lt;/Author&gt;&lt;Year&gt;2014&lt;/Year&gt;&lt;IDText&gt;Deciding about fast and slow decisions&lt;/IDText&gt;&lt;DisplayText&gt;(Croskerry et al., 2014, Kahneman, 2011)&lt;/DisplayText&gt;&lt;record&gt;&lt;dates&gt;&lt;pub-dates&gt;&lt;date&gt;Feb&lt;/date&gt;&lt;/pub-dates&gt;&lt;year&gt;2014&lt;/year&gt;&lt;/dates&gt;&lt;keywords&gt;&lt;keyword&gt;Clinical Competence&lt;/keyword&gt;&lt;keyword&gt;Decision Making&lt;/keyword&gt;&lt;keyword&gt;Diagnostic Errors&lt;/keyword&gt;&lt;keyword&gt;Female&lt;/keyword&gt;&lt;keyword&gt;Humans&lt;/keyword&gt;&lt;keyword&gt;Internal Medicine&lt;/keyword&gt;&lt;keyword&gt;Internship and Residency&lt;/keyword&gt;&lt;keyword&gt;Male&lt;/keyword&gt;&lt;keyword&gt;Physicians&lt;/keyword&gt;&lt;keyword&gt;Recognition (Psychology)&lt;/keyword&gt;&lt;keyword&gt;Repetition Priming&lt;/keyword&gt;&lt;/keywords&gt;&lt;urls&gt;&lt;related-urls&gt;&lt;url&gt;http://www.ncbi.nlm.nih.gov/pubmed/24362398&lt;/url&gt;&lt;/related-urls&gt;&lt;/urls&gt;&lt;isbn&gt;1938-808X&lt;/isbn&gt;&lt;titles&gt;&lt;title&gt;Deciding about fast and slow decisions&lt;/title&gt;&lt;secondary-title&gt;Acad Med&lt;/secondary-title&gt;&lt;/titles&gt;&lt;pages&gt;197-200&lt;/pages&gt;&lt;number&gt;2&lt;/number&gt;&lt;contributors&gt;&lt;authors&gt;&lt;author&gt;Croskerry, P.&lt;/author&gt;&lt;author&gt;Petrie, D. A.&lt;/author&gt;&lt;author&gt;Reilly, J. B.&lt;/author&gt;&lt;author&gt;Tait, G.&lt;/author&gt;&lt;/authors&gt;&lt;/contributors&gt;&lt;language&gt;eng&lt;/language&gt;&lt;added-date format="utc"&gt;1456825847&lt;/added-date&gt;&lt;ref-type name="Journal Article"&gt;17&lt;/ref-type&gt;&lt;rec-number&gt;201&lt;/rec-number&gt;&lt;last-updated-date format="utc"&gt;1456825847&lt;/last-updated-date&gt;&lt;accession-num&gt;24362398&lt;/accession-num&gt;&lt;electronic-resource-num&gt;10.1097/ACM.0000000000000121&lt;/electronic-resource-num&gt;&lt;volume&gt;89&lt;/volume&gt;&lt;/record&gt;&lt;/Cite&gt;&lt;Cite&gt;&lt;Author&gt;Kahneman&lt;/Author&gt;&lt;Year&gt;2011&lt;/Year&gt;&lt;IDText&gt;Thinking Fast and Slow&lt;/IDText&gt;&lt;record&gt;&lt;titles&gt;&lt;title&gt;Thinking Fast and Slow&lt;/title&gt;&lt;/titles&gt;&lt;contributors&gt;&lt;authors&gt;&lt;author&gt;Kahneman, Daniel&lt;/author&gt;&lt;/authors&gt;&lt;/contributors&gt;&lt;added-date format="utc"&gt;1500143497&lt;/added-date&gt;&lt;pub-location&gt;UK&lt;/pub-location&gt;&lt;ref-type name="Book"&gt;6&lt;/ref-type&gt;&lt;dates&gt;&lt;year&gt;2011&lt;/year&gt;&lt;/dates&gt;&lt;rec-number&gt;346&lt;/rec-number&gt;&lt;publisher&gt;Penguin Random House UK&lt;/publisher&gt;&lt;last-updated-date format="utc"&gt;1500143640&lt;/last-updated-date&gt;&lt;/record&gt;&lt;/Cite&gt;&lt;/EndNote&gt;</w:instrText>
      </w:r>
      <w:r>
        <w:fldChar w:fldCharType="separate"/>
      </w:r>
      <w:r>
        <w:rPr>
          <w:noProof/>
        </w:rPr>
        <w:t>(Croskerry et al., 2014, Kahneman, 2011)</w:t>
      </w:r>
      <w:r>
        <w:fldChar w:fldCharType="end"/>
      </w:r>
      <w:r w:rsidR="001A34F6">
        <w:t xml:space="preserve">. </w:t>
      </w:r>
      <w:r>
        <w:t>With experience, knowledge and pattern recognition, it may be that there is a merging of processes, in that analytic thinking can b</w:t>
      </w:r>
      <w:r w:rsidR="007D295C">
        <w:t>e employed but quickly becoming</w:t>
      </w:r>
      <w:r>
        <w:t xml:space="preserve"> </w:t>
      </w:r>
      <w:proofErr w:type="spellStart"/>
      <w:r>
        <w:t>reflexic</w:t>
      </w:r>
      <w:proofErr w:type="spellEnd"/>
      <w:r>
        <w:t xml:space="preserve"> due to familiarity</w:t>
      </w:r>
      <w:r w:rsidR="001A34F6">
        <w:t xml:space="preserve"> and automaticity. O</w:t>
      </w:r>
      <w:r>
        <w:t>n the one hand</w:t>
      </w:r>
      <w:r w:rsidR="001A34F6">
        <w:t>,</w:t>
      </w:r>
      <w:r>
        <w:t xml:space="preserve"> </w:t>
      </w:r>
      <w:r w:rsidR="001A34F6">
        <w:t xml:space="preserve">this </w:t>
      </w:r>
      <w:r>
        <w:t xml:space="preserve">is highly efficient to get treatment pathways started. </w:t>
      </w:r>
      <w:r w:rsidR="007D295C">
        <w:t>However</w:t>
      </w:r>
      <w:r w:rsidR="001A34F6">
        <w:t xml:space="preserve"> </w:t>
      </w:r>
      <w:r>
        <w:t xml:space="preserve">labelling a patient with an incorrect diagnosis </w:t>
      </w:r>
      <w:r w:rsidR="001A34F6">
        <w:t xml:space="preserve">means </w:t>
      </w:r>
      <w:r>
        <w:t>resultant management decisions could be very unsafe. This was seen during the course when a patient was diagnosed with a pulmonary embolism when they had a pneumothorax (Field notes, case studies). Of great intere</w:t>
      </w:r>
      <w:r w:rsidR="007D295C">
        <w:t>st to the researcher</w:t>
      </w:r>
      <w:r w:rsidR="001A34F6">
        <w:t xml:space="preserve"> </w:t>
      </w:r>
      <w:r>
        <w:t xml:space="preserve">was the fact that the </w:t>
      </w:r>
      <w:r w:rsidR="007D295C">
        <w:t>c</w:t>
      </w:r>
      <w:r w:rsidR="005F705F">
        <w:t>andidate</w:t>
      </w:r>
      <w:r w:rsidR="007D295C">
        <w:t xml:space="preserve"> was witnessed to ignore the</w:t>
      </w:r>
      <w:r>
        <w:t xml:space="preserve"> clinical findings that did not support this diagnosis and to focus on those that did. The resultant management decisions were incorrect for the missed diagnosis and actually</w:t>
      </w:r>
      <w:r w:rsidR="001A34F6">
        <w:t xml:space="preserve"> impaired correct</w:t>
      </w:r>
      <w:r>
        <w:t xml:space="preserve"> management with safety implications to the patient. The ability to play this </w:t>
      </w:r>
      <w:r w:rsidR="007D295C">
        <w:t xml:space="preserve">scenario </w:t>
      </w:r>
      <w:r>
        <w:t xml:space="preserve">out </w:t>
      </w:r>
      <w:r w:rsidR="007D295C">
        <w:t>along with its</w:t>
      </w:r>
      <w:r>
        <w:t xml:space="preserve"> consequences, </w:t>
      </w:r>
      <w:r w:rsidR="007D295C">
        <w:t xml:space="preserve">a </w:t>
      </w:r>
      <w:r>
        <w:t xml:space="preserve">debrief, </w:t>
      </w:r>
      <w:r w:rsidR="007D295C">
        <w:t xml:space="preserve">the </w:t>
      </w:r>
      <w:r>
        <w:t>discover</w:t>
      </w:r>
      <w:r w:rsidR="007D295C">
        <w:t>y of the error</w:t>
      </w:r>
      <w:r>
        <w:t xml:space="preserve"> and </w:t>
      </w:r>
      <w:r w:rsidR="007D295C">
        <w:t xml:space="preserve">subsequent </w:t>
      </w:r>
      <w:r>
        <w:t>understand</w:t>
      </w:r>
      <w:r w:rsidR="007D295C">
        <w:t>ing of</w:t>
      </w:r>
      <w:r>
        <w:t xml:space="preserve"> the power of cognitive biases was hugely important and valuable</w:t>
      </w:r>
      <w:r w:rsidR="007D295C">
        <w:t xml:space="preserve"> for the candidate and</w:t>
      </w:r>
      <w:r w:rsidR="001A34F6">
        <w:t>,</w:t>
      </w:r>
      <w:r>
        <w:t xml:space="preserve"> to increase awareness and highlight strategies to avoid this</w:t>
      </w:r>
      <w:r w:rsidR="007D295C">
        <w:t xml:space="preserve"> happening again</w:t>
      </w:r>
      <w:r>
        <w:t xml:space="preserve">. In particular highlighting the importance of paying attention and trusting </w:t>
      </w:r>
      <w:r w:rsidR="007D295C">
        <w:t xml:space="preserve">one’s </w:t>
      </w:r>
      <w:r>
        <w:t xml:space="preserve">own clinical examination, </w:t>
      </w:r>
      <w:r w:rsidR="007D295C">
        <w:t xml:space="preserve">the </w:t>
      </w:r>
      <w:r>
        <w:t xml:space="preserve">ability to stand back and think, </w:t>
      </w:r>
      <w:r w:rsidR="007D295C">
        <w:t xml:space="preserve">the </w:t>
      </w:r>
      <w:r>
        <w:t xml:space="preserve">confidence to question </w:t>
      </w:r>
      <w:r w:rsidR="00B15AA9">
        <w:t>oneself</w:t>
      </w:r>
      <w:r>
        <w:t>, share challenge</w:t>
      </w:r>
      <w:r w:rsidR="007D295C">
        <w:t>s</w:t>
      </w:r>
      <w:r>
        <w:t xml:space="preserve"> and unc</w:t>
      </w:r>
      <w:r w:rsidR="007D295C">
        <w:t>ertainty with</w:t>
      </w:r>
      <w:r>
        <w:t xml:space="preserve"> the team and embrace this level of complexity. </w:t>
      </w:r>
    </w:p>
    <w:p w14:paraId="77587D61" w14:textId="716A8BC4" w:rsidR="00573260" w:rsidRDefault="00FD7558" w:rsidP="004A7265">
      <w:pPr>
        <w:rPr>
          <w:rFonts w:eastAsiaTheme="minorEastAsia" w:cs="Arial"/>
          <w:color w:val="222222"/>
          <w:szCs w:val="24"/>
          <w:lang w:val="en-US"/>
        </w:rPr>
      </w:pPr>
      <w:r>
        <w:rPr>
          <w:rFonts w:eastAsiaTheme="minorEastAsia" w:cs="Arial"/>
          <w:color w:val="222222"/>
          <w:szCs w:val="24"/>
          <w:lang w:val="en-US"/>
        </w:rPr>
        <w:t>Practice points related to cognitive load theory</w:t>
      </w:r>
      <w:r w:rsidR="00DA7849">
        <w:rPr>
          <w:rFonts w:eastAsiaTheme="minorEastAsia" w:cs="Arial"/>
          <w:color w:val="222222"/>
          <w:szCs w:val="24"/>
          <w:lang w:val="en-US"/>
        </w:rPr>
        <w:t xml:space="preserve"> highlight that when task specific cognitive load ‘exceeds the learner’s working memory capacity, performance </w:t>
      </w:r>
      <w:r w:rsidR="00DA7849">
        <w:rPr>
          <w:rFonts w:eastAsiaTheme="minorEastAsia" w:cs="Arial"/>
          <w:color w:val="222222"/>
          <w:szCs w:val="24"/>
          <w:lang w:val="en-US"/>
        </w:rPr>
        <w:lastRenderedPageBreak/>
        <w:t xml:space="preserve">and learning is impaired’ </w:t>
      </w:r>
      <w:r w:rsidR="00DA7849">
        <w:rPr>
          <w:rFonts w:eastAsiaTheme="minorEastAsia" w:cs="Arial"/>
          <w:color w:val="222222"/>
          <w:szCs w:val="24"/>
          <w:lang w:val="en-US"/>
        </w:rPr>
        <w:fldChar w:fldCharType="begin"/>
      </w:r>
      <w:r w:rsidR="00DA7849">
        <w:rPr>
          <w:rFonts w:eastAsiaTheme="minorEastAsia" w:cs="Arial"/>
          <w:color w:val="222222"/>
          <w:szCs w:val="24"/>
          <w:lang w:val="en-US"/>
        </w:rPr>
        <w:instrText xml:space="preserve"> ADDIN EN.CITE &lt;EndNote&gt;&lt;Cite&gt;&lt;Author&gt;Young&lt;/Author&gt;&lt;Year&gt;2014&lt;/Year&gt;&lt;IDText&gt;Cognitive Load Theory: implications for medical education: AMEE Guide No. 86&lt;/IDText&gt;&lt;DisplayText&gt;(Young et al., 2014)&lt;/DisplayText&gt;&lt;record&gt;&lt;dates&gt;&lt;pub-dates&gt;&lt;date&gt;May&lt;/date&gt;&lt;/pub-dates&gt;&lt;year&gt;2014&lt;/year&gt;&lt;/dates&gt;&lt;keywords&gt;&lt;keyword&gt;Cognition&lt;/keyword&gt;&lt;keyword&gt;Education, Medical&lt;/keyword&gt;&lt;keyword&gt;Humans&lt;/keyword&gt;&lt;keyword&gt;Memory&lt;/keyword&gt;&lt;keyword&gt;Models, Educational&lt;/keyword&gt;&lt;/keywords&gt;&lt;urls&gt;&lt;related-urls&gt;&lt;url&gt;https://www.ncbi.nlm.nih.gov/pubmed/24593808&lt;/url&gt;&lt;/related-urls&gt;&lt;/urls&gt;&lt;isbn&gt;1466-187X&lt;/isbn&gt;&lt;titles&gt;&lt;title&gt;Cognitive Load Theory: implications for medical education: AMEE Guide No. 86&lt;/title&gt;&lt;secondary-title&gt;Med Teach&lt;/secondary-title&gt;&lt;/titles&gt;&lt;pages&gt;371-84&lt;/pages&gt;&lt;number&gt;5&lt;/number&gt;&lt;contributors&gt;&lt;authors&gt;&lt;author&gt;Young, J. Q.&lt;/author&gt;&lt;author&gt;Van Merrienboer, J.&lt;/author&gt;&lt;author&gt;Durning, S.&lt;/author&gt;&lt;author&gt;Ten Cate, O.&lt;/author&gt;&lt;/authors&gt;&lt;/contributors&gt;&lt;edition&gt;2014/03/04&lt;/edition&gt;&lt;language&gt;eng&lt;/language&gt;&lt;added-date format="utc"&gt;1500146329&lt;/added-date&gt;&lt;ref-type name="Journal Article"&gt;17&lt;/ref-type&gt;&lt;rec-number&gt;349&lt;/rec-number&gt;&lt;last-updated-date format="utc"&gt;1500146329&lt;/last-updated-date&gt;&lt;accession-num&gt;24593808&lt;/accession-num&gt;&lt;electronic-resource-num&gt;10.3109/0142159X.2014.889290&lt;/electronic-resource-num&gt;&lt;volume&gt;36&lt;/volume&gt;&lt;/record&gt;&lt;/Cite&gt;&lt;/EndNote&gt;</w:instrText>
      </w:r>
      <w:r w:rsidR="00DA7849">
        <w:rPr>
          <w:rFonts w:eastAsiaTheme="minorEastAsia" w:cs="Arial"/>
          <w:color w:val="222222"/>
          <w:szCs w:val="24"/>
          <w:lang w:val="en-US"/>
        </w:rPr>
        <w:fldChar w:fldCharType="separate"/>
      </w:r>
      <w:r w:rsidR="00DA7849">
        <w:rPr>
          <w:rFonts w:eastAsiaTheme="minorEastAsia" w:cs="Arial"/>
          <w:noProof/>
          <w:color w:val="222222"/>
          <w:szCs w:val="24"/>
          <w:lang w:val="en-US"/>
        </w:rPr>
        <w:t>(Young et al., 2014)</w:t>
      </w:r>
      <w:r w:rsidR="00DA7849">
        <w:rPr>
          <w:rFonts w:eastAsiaTheme="minorEastAsia" w:cs="Arial"/>
          <w:color w:val="222222"/>
          <w:szCs w:val="24"/>
          <w:lang w:val="en-US"/>
        </w:rPr>
        <w:fldChar w:fldCharType="end"/>
      </w:r>
      <w:r w:rsidR="00DA7849">
        <w:rPr>
          <w:rFonts w:eastAsiaTheme="minorEastAsia" w:cs="Arial"/>
          <w:color w:val="222222"/>
          <w:szCs w:val="24"/>
          <w:lang w:val="en-US"/>
        </w:rPr>
        <w:t>. These data suggest this occurs because we are not preparing lea</w:t>
      </w:r>
      <w:r>
        <w:rPr>
          <w:rFonts w:eastAsiaTheme="minorEastAsia" w:cs="Arial"/>
          <w:color w:val="222222"/>
          <w:szCs w:val="24"/>
          <w:lang w:val="en-US"/>
        </w:rPr>
        <w:t>r</w:t>
      </w:r>
      <w:r w:rsidR="00DA7849">
        <w:rPr>
          <w:rFonts w:eastAsiaTheme="minorEastAsia" w:cs="Arial"/>
          <w:color w:val="222222"/>
          <w:szCs w:val="24"/>
          <w:lang w:val="en-US"/>
        </w:rPr>
        <w:t xml:space="preserve">ners for this through </w:t>
      </w:r>
      <w:r>
        <w:rPr>
          <w:rFonts w:eastAsiaTheme="minorEastAsia" w:cs="Arial"/>
          <w:color w:val="222222"/>
          <w:szCs w:val="24"/>
          <w:lang w:val="en-US"/>
        </w:rPr>
        <w:t xml:space="preserve">a direct </w:t>
      </w:r>
      <w:r w:rsidR="00DA7849">
        <w:rPr>
          <w:rFonts w:eastAsiaTheme="minorEastAsia" w:cs="Arial"/>
          <w:color w:val="222222"/>
          <w:szCs w:val="24"/>
          <w:lang w:val="en-US"/>
        </w:rPr>
        <w:t>experience and understanding of cognitive processes.</w:t>
      </w:r>
      <w:r w:rsidR="00CC744D">
        <w:rPr>
          <w:rFonts w:eastAsiaTheme="minorEastAsia" w:cs="Arial"/>
          <w:color w:val="222222"/>
          <w:szCs w:val="24"/>
          <w:lang w:val="en-US"/>
        </w:rPr>
        <w:t xml:space="preserve"> Methods suggested to avoid overload and impaired performance are to ‘decrease extraneous load by using worked examples’ and </w:t>
      </w:r>
      <w:r>
        <w:rPr>
          <w:rFonts w:eastAsiaTheme="minorEastAsia" w:cs="Arial"/>
          <w:color w:val="222222"/>
          <w:szCs w:val="24"/>
          <w:lang w:val="en-US"/>
        </w:rPr>
        <w:t xml:space="preserve">the </w:t>
      </w:r>
      <w:r w:rsidR="00CC744D">
        <w:rPr>
          <w:rFonts w:eastAsiaTheme="minorEastAsia" w:cs="Arial"/>
          <w:color w:val="222222"/>
          <w:szCs w:val="24"/>
          <w:lang w:val="en-US"/>
        </w:rPr>
        <w:t xml:space="preserve">simplification of tasks, </w:t>
      </w:r>
      <w:r>
        <w:rPr>
          <w:rFonts w:eastAsiaTheme="minorEastAsia" w:cs="Arial"/>
          <w:color w:val="222222"/>
          <w:szCs w:val="24"/>
          <w:lang w:val="en-US"/>
        </w:rPr>
        <w:t xml:space="preserve">with </w:t>
      </w:r>
      <w:r w:rsidR="00CC744D">
        <w:rPr>
          <w:rFonts w:eastAsiaTheme="minorEastAsia" w:cs="Arial"/>
          <w:color w:val="222222"/>
          <w:szCs w:val="24"/>
          <w:lang w:val="en-US"/>
        </w:rPr>
        <w:t xml:space="preserve">which these findings </w:t>
      </w:r>
      <w:r>
        <w:rPr>
          <w:rFonts w:eastAsiaTheme="minorEastAsia" w:cs="Arial"/>
          <w:color w:val="222222"/>
          <w:szCs w:val="24"/>
          <w:lang w:val="en-US"/>
        </w:rPr>
        <w:t xml:space="preserve">disagree </w:t>
      </w:r>
      <w:r w:rsidR="00CC744D">
        <w:rPr>
          <w:rFonts w:eastAsiaTheme="minorEastAsia" w:cs="Arial"/>
          <w:color w:val="222222"/>
          <w:szCs w:val="24"/>
          <w:lang w:val="en-US"/>
        </w:rPr>
        <w:fldChar w:fldCharType="begin"/>
      </w:r>
      <w:r w:rsidR="00CC744D">
        <w:rPr>
          <w:rFonts w:eastAsiaTheme="minorEastAsia" w:cs="Arial"/>
          <w:color w:val="222222"/>
          <w:szCs w:val="24"/>
          <w:lang w:val="en-US"/>
        </w:rPr>
        <w:instrText xml:space="preserve"> ADDIN EN.CITE &lt;EndNote&gt;&lt;Cite&gt;&lt;Author&gt;Young&lt;/Author&gt;&lt;Year&gt;2014&lt;/Year&gt;&lt;IDText&gt;Cognitive Load Theory: implications for medical education: AMEE Guide No. 86&lt;/IDText&gt;&lt;DisplayText&gt;(Young et al., 2014)&lt;/DisplayText&gt;&lt;record&gt;&lt;dates&gt;&lt;pub-dates&gt;&lt;date&gt;May&lt;/date&gt;&lt;/pub-dates&gt;&lt;year&gt;2014&lt;/year&gt;&lt;/dates&gt;&lt;keywords&gt;&lt;keyword&gt;Cognition&lt;/keyword&gt;&lt;keyword&gt;Education, Medical&lt;/keyword&gt;&lt;keyword&gt;Humans&lt;/keyword&gt;&lt;keyword&gt;Memory&lt;/keyword&gt;&lt;keyword&gt;Models, Educational&lt;/keyword&gt;&lt;/keywords&gt;&lt;urls&gt;&lt;related-urls&gt;&lt;url&gt;https://www.ncbi.nlm.nih.gov/pubmed/24593808&lt;/url&gt;&lt;/related-urls&gt;&lt;/urls&gt;&lt;isbn&gt;1466-187X&lt;/isbn&gt;&lt;titles&gt;&lt;title&gt;Cognitive Load Theory: implications for medical education: AMEE Guide No. 86&lt;/title&gt;&lt;secondary-title&gt;Med Teach&lt;/secondary-title&gt;&lt;/titles&gt;&lt;pages&gt;371-84&lt;/pages&gt;&lt;number&gt;5&lt;/number&gt;&lt;contributors&gt;&lt;authors&gt;&lt;author&gt;Young, J. Q.&lt;/author&gt;&lt;author&gt;Van Merrienboer, J.&lt;/author&gt;&lt;author&gt;Durning, S.&lt;/author&gt;&lt;author&gt;Ten Cate, O.&lt;/author&gt;&lt;/authors&gt;&lt;/contributors&gt;&lt;edition&gt;2014/03/04&lt;/edition&gt;&lt;language&gt;eng&lt;/language&gt;&lt;added-date format="utc"&gt;1500146329&lt;/added-date&gt;&lt;ref-type name="Journal Article"&gt;17&lt;/ref-type&gt;&lt;rec-number&gt;349&lt;/rec-number&gt;&lt;last-updated-date format="utc"&gt;1500146329&lt;/last-updated-date&gt;&lt;accession-num&gt;24593808&lt;/accession-num&gt;&lt;electronic-resource-num&gt;10.3109/0142159X.2014.889290&lt;/electronic-resource-num&gt;&lt;volume&gt;36&lt;/volume&gt;&lt;/record&gt;&lt;/Cite&gt;&lt;/EndNote&gt;</w:instrText>
      </w:r>
      <w:r w:rsidR="00CC744D">
        <w:rPr>
          <w:rFonts w:eastAsiaTheme="minorEastAsia" w:cs="Arial"/>
          <w:color w:val="222222"/>
          <w:szCs w:val="24"/>
          <w:lang w:val="en-US"/>
        </w:rPr>
        <w:fldChar w:fldCharType="separate"/>
      </w:r>
      <w:r w:rsidR="00CC744D">
        <w:rPr>
          <w:rFonts w:eastAsiaTheme="minorEastAsia" w:cs="Arial"/>
          <w:noProof/>
          <w:color w:val="222222"/>
          <w:szCs w:val="24"/>
          <w:lang w:val="en-US"/>
        </w:rPr>
        <w:t>(Young et al., 2014)</w:t>
      </w:r>
      <w:r w:rsidR="00CC744D">
        <w:rPr>
          <w:rFonts w:eastAsiaTheme="minorEastAsia" w:cs="Arial"/>
          <w:color w:val="222222"/>
          <w:szCs w:val="24"/>
          <w:lang w:val="en-US"/>
        </w:rPr>
        <w:fldChar w:fldCharType="end"/>
      </w:r>
      <w:r w:rsidR="00CC744D">
        <w:rPr>
          <w:rFonts w:eastAsiaTheme="minorEastAsia" w:cs="Arial"/>
          <w:color w:val="222222"/>
          <w:szCs w:val="24"/>
          <w:lang w:val="en-US"/>
        </w:rPr>
        <w:t xml:space="preserve">. These data suggest we need to teach flexibility, problem solving and techniques to manage complexity instead of trying to simplify tasks and learning. This is likely to be responsible in part for the ongoing reported </w:t>
      </w:r>
      <w:proofErr w:type="spellStart"/>
      <w:r w:rsidR="001D42C9">
        <w:rPr>
          <w:rFonts w:eastAsiaTheme="minorEastAsia" w:cs="Arial"/>
          <w:color w:val="222222"/>
          <w:szCs w:val="24"/>
          <w:lang w:val="en-US"/>
        </w:rPr>
        <w:t>underpreparedness</w:t>
      </w:r>
      <w:proofErr w:type="spellEnd"/>
      <w:r w:rsidR="00CC744D">
        <w:rPr>
          <w:rFonts w:eastAsiaTheme="minorEastAsia" w:cs="Arial"/>
          <w:color w:val="222222"/>
          <w:szCs w:val="24"/>
          <w:lang w:val="en-US"/>
        </w:rPr>
        <w:t>, this ‘dumbing down’ which has direct implications on expe</w:t>
      </w:r>
      <w:r>
        <w:rPr>
          <w:rFonts w:eastAsiaTheme="minorEastAsia" w:cs="Arial"/>
          <w:color w:val="222222"/>
          <w:szCs w:val="24"/>
          <w:lang w:val="en-US"/>
        </w:rPr>
        <w:t>ctations and responsibility -</w:t>
      </w:r>
      <w:r w:rsidR="00CC744D">
        <w:rPr>
          <w:rFonts w:eastAsiaTheme="minorEastAsia" w:cs="Arial"/>
          <w:color w:val="222222"/>
          <w:szCs w:val="24"/>
          <w:lang w:val="en-US"/>
        </w:rPr>
        <w:t xml:space="preserve"> both key to </w:t>
      </w:r>
      <w:r w:rsidR="00FA622A">
        <w:rPr>
          <w:rFonts w:eastAsiaTheme="minorEastAsia" w:cs="Arial"/>
          <w:color w:val="222222"/>
          <w:szCs w:val="24"/>
          <w:lang w:val="en-US"/>
        </w:rPr>
        <w:t>preparedness</w:t>
      </w:r>
      <w:r w:rsidR="00CC744D">
        <w:rPr>
          <w:rFonts w:eastAsiaTheme="minorEastAsia" w:cs="Arial"/>
          <w:color w:val="222222"/>
          <w:szCs w:val="24"/>
          <w:lang w:val="en-US"/>
        </w:rPr>
        <w:t xml:space="preserve"> (Interview 2, field notes, </w:t>
      </w:r>
      <w:r w:rsidR="001D42C9">
        <w:rPr>
          <w:rFonts w:eastAsiaTheme="minorEastAsia" w:cs="Arial"/>
          <w:color w:val="222222"/>
          <w:szCs w:val="24"/>
          <w:lang w:val="en-US"/>
        </w:rPr>
        <w:t>Chapter</w:t>
      </w:r>
      <w:r w:rsidR="00CC744D">
        <w:rPr>
          <w:rFonts w:eastAsiaTheme="minorEastAsia" w:cs="Arial"/>
          <w:color w:val="222222"/>
          <w:szCs w:val="24"/>
          <w:lang w:val="en-US"/>
        </w:rPr>
        <w:t xml:space="preserve"> 7). </w:t>
      </w:r>
    </w:p>
    <w:p w14:paraId="7D9DBD2B" w14:textId="3BC97953" w:rsidR="00805B90" w:rsidRDefault="00CC744D" w:rsidP="004A7265">
      <w:pPr>
        <w:rPr>
          <w:rFonts w:eastAsiaTheme="minorEastAsia" w:cs="Arial"/>
          <w:color w:val="222222"/>
          <w:szCs w:val="24"/>
          <w:lang w:val="en-US"/>
        </w:rPr>
      </w:pPr>
      <w:r>
        <w:rPr>
          <w:rFonts w:eastAsiaTheme="minorEastAsia" w:cs="Arial"/>
          <w:color w:val="222222"/>
          <w:szCs w:val="24"/>
          <w:lang w:val="en-US"/>
        </w:rPr>
        <w:t xml:space="preserve">Young et al. (2014) </w:t>
      </w:r>
      <w:r w:rsidR="00FA622A">
        <w:rPr>
          <w:rFonts w:eastAsiaTheme="minorEastAsia" w:cs="Arial"/>
          <w:color w:val="222222"/>
          <w:szCs w:val="24"/>
          <w:lang w:val="en-US"/>
        </w:rPr>
        <w:t>recommend</w:t>
      </w:r>
      <w:r>
        <w:rPr>
          <w:rFonts w:eastAsiaTheme="minorEastAsia" w:cs="Arial"/>
          <w:color w:val="222222"/>
          <w:szCs w:val="24"/>
          <w:lang w:val="en-US"/>
        </w:rPr>
        <w:t xml:space="preserve"> </w:t>
      </w:r>
      <w:r w:rsidR="00F91206">
        <w:rPr>
          <w:rFonts w:eastAsiaTheme="minorEastAsia" w:cs="Arial"/>
          <w:color w:val="222222"/>
          <w:szCs w:val="24"/>
          <w:lang w:val="en-US"/>
        </w:rPr>
        <w:t xml:space="preserve">‘authentic learning tasks, adaptation to the expertise of the learner, feedback’, of which these data concur (authentic practice, personal learning), however emphasis is placed on facilitated </w:t>
      </w:r>
      <w:r w:rsidR="00FA622A">
        <w:rPr>
          <w:rFonts w:eastAsiaTheme="minorEastAsia" w:cs="Arial"/>
          <w:color w:val="222222"/>
          <w:szCs w:val="24"/>
          <w:lang w:val="en-US"/>
        </w:rPr>
        <w:t>debriefing</w:t>
      </w:r>
      <w:r w:rsidR="00F91206">
        <w:rPr>
          <w:rFonts w:eastAsiaTheme="minorEastAsia" w:cs="Arial"/>
          <w:color w:val="222222"/>
          <w:szCs w:val="24"/>
          <w:lang w:val="en-US"/>
        </w:rPr>
        <w:t xml:space="preserve"> to specify discovery by the learner</w:t>
      </w:r>
      <w:r w:rsidR="00573260">
        <w:rPr>
          <w:rFonts w:eastAsiaTheme="minorEastAsia" w:cs="Arial"/>
          <w:color w:val="222222"/>
          <w:szCs w:val="24"/>
          <w:lang w:val="en-US"/>
        </w:rPr>
        <w:t>,</w:t>
      </w:r>
      <w:r w:rsidR="00F91206">
        <w:rPr>
          <w:rFonts w:eastAsiaTheme="minorEastAsia" w:cs="Arial"/>
          <w:color w:val="222222"/>
          <w:szCs w:val="24"/>
          <w:lang w:val="en-US"/>
        </w:rPr>
        <w:t xml:space="preserve"> rather than feedback from the instructor. It is not possible to alter the complexity of the clinical environment, so it is only ethical to base interventions </w:t>
      </w:r>
      <w:r w:rsidR="00573260">
        <w:rPr>
          <w:rFonts w:eastAsiaTheme="minorEastAsia" w:cs="Arial"/>
          <w:color w:val="222222"/>
          <w:szCs w:val="24"/>
          <w:lang w:val="en-US"/>
        </w:rPr>
        <w:t>to support preparedness and lea</w:t>
      </w:r>
      <w:r w:rsidR="00F91206">
        <w:rPr>
          <w:rFonts w:eastAsiaTheme="minorEastAsia" w:cs="Arial"/>
          <w:color w:val="222222"/>
          <w:szCs w:val="24"/>
          <w:lang w:val="en-US"/>
        </w:rPr>
        <w:t>r</w:t>
      </w:r>
      <w:r w:rsidR="00573260">
        <w:rPr>
          <w:rFonts w:eastAsiaTheme="minorEastAsia" w:cs="Arial"/>
          <w:color w:val="222222"/>
          <w:szCs w:val="24"/>
          <w:lang w:val="en-US"/>
        </w:rPr>
        <w:t>n</w:t>
      </w:r>
      <w:r w:rsidR="00F91206">
        <w:rPr>
          <w:rFonts w:eastAsiaTheme="minorEastAsia" w:cs="Arial"/>
          <w:color w:val="222222"/>
          <w:szCs w:val="24"/>
          <w:lang w:val="en-US"/>
        </w:rPr>
        <w:t>ing on the auth</w:t>
      </w:r>
      <w:r w:rsidR="00573260">
        <w:rPr>
          <w:rFonts w:eastAsiaTheme="minorEastAsia" w:cs="Arial"/>
          <w:color w:val="222222"/>
          <w:szCs w:val="24"/>
          <w:lang w:val="en-US"/>
        </w:rPr>
        <w:t>e</w:t>
      </w:r>
      <w:r w:rsidR="00F91206">
        <w:rPr>
          <w:rFonts w:eastAsiaTheme="minorEastAsia" w:cs="Arial"/>
          <w:color w:val="222222"/>
          <w:szCs w:val="24"/>
          <w:lang w:val="en-US"/>
        </w:rPr>
        <w:t>ntic environment and to focus on methods to do this rather than how to simplify learning about it.</w:t>
      </w:r>
      <w:r w:rsidR="00186B6F">
        <w:rPr>
          <w:rFonts w:eastAsiaTheme="minorEastAsia" w:cs="Arial"/>
          <w:color w:val="222222"/>
          <w:szCs w:val="24"/>
          <w:lang w:val="en-US"/>
        </w:rPr>
        <w:t xml:space="preserve"> For these reasons</w:t>
      </w:r>
      <w:r w:rsidR="00FD7558">
        <w:rPr>
          <w:rFonts w:eastAsiaTheme="minorEastAsia" w:cs="Arial"/>
          <w:color w:val="222222"/>
          <w:szCs w:val="24"/>
          <w:lang w:val="en-US"/>
        </w:rPr>
        <w:t>,</w:t>
      </w:r>
      <w:r w:rsidR="00186B6F">
        <w:rPr>
          <w:rFonts w:eastAsiaTheme="minorEastAsia" w:cs="Arial"/>
          <w:color w:val="222222"/>
          <w:szCs w:val="24"/>
          <w:lang w:val="en-US"/>
        </w:rPr>
        <w:t xml:space="preserve"> these findings resonate with the proposed outcome of </w:t>
      </w:r>
      <w:r w:rsidR="00FA622A">
        <w:rPr>
          <w:rFonts w:eastAsiaTheme="minorEastAsia" w:cs="Arial"/>
          <w:color w:val="222222"/>
          <w:szCs w:val="24"/>
          <w:lang w:val="en-US"/>
        </w:rPr>
        <w:t>cognitive</w:t>
      </w:r>
      <w:r w:rsidR="00186B6F">
        <w:rPr>
          <w:rFonts w:eastAsiaTheme="minorEastAsia" w:cs="Arial"/>
          <w:color w:val="222222"/>
          <w:szCs w:val="24"/>
          <w:lang w:val="en-US"/>
        </w:rPr>
        <w:t xml:space="preserve"> continuum theory, which states that ‘the task is to prepare </w:t>
      </w:r>
      <w:r w:rsidR="00FA622A">
        <w:rPr>
          <w:rFonts w:eastAsiaTheme="minorEastAsia" w:cs="Arial"/>
          <w:color w:val="222222"/>
          <w:szCs w:val="24"/>
          <w:lang w:val="en-US"/>
        </w:rPr>
        <w:t>trainees</w:t>
      </w:r>
      <w:r w:rsidR="00186B6F">
        <w:rPr>
          <w:rFonts w:eastAsiaTheme="minorEastAsia" w:cs="Arial"/>
          <w:color w:val="222222"/>
          <w:szCs w:val="24"/>
          <w:lang w:val="en-US"/>
        </w:rPr>
        <w:t xml:space="preserve"> to move between modes</w:t>
      </w:r>
      <w:r w:rsidR="00573260">
        <w:rPr>
          <w:rFonts w:eastAsiaTheme="minorEastAsia" w:cs="Arial"/>
          <w:color w:val="222222"/>
          <w:szCs w:val="24"/>
          <w:lang w:val="en-US"/>
        </w:rPr>
        <w:t xml:space="preserve"> of cognitive processing</w:t>
      </w:r>
      <w:r w:rsidR="00186B6F">
        <w:rPr>
          <w:rFonts w:eastAsiaTheme="minorEastAsia" w:cs="Arial"/>
          <w:color w:val="222222"/>
          <w:szCs w:val="24"/>
          <w:lang w:val="en-US"/>
        </w:rPr>
        <w:t xml:space="preserve"> (system one – fast thinking</w:t>
      </w:r>
      <w:r w:rsidR="00FD7558">
        <w:rPr>
          <w:rFonts w:eastAsiaTheme="minorEastAsia" w:cs="Arial"/>
          <w:color w:val="222222"/>
          <w:szCs w:val="24"/>
          <w:lang w:val="en-US"/>
        </w:rPr>
        <w:t>/</w:t>
      </w:r>
      <w:r w:rsidR="00186B6F">
        <w:rPr>
          <w:rFonts w:eastAsiaTheme="minorEastAsia" w:cs="Arial"/>
          <w:color w:val="222222"/>
          <w:szCs w:val="24"/>
          <w:lang w:val="en-US"/>
        </w:rPr>
        <w:t>intuitive</w:t>
      </w:r>
      <w:r w:rsidR="00FD7558">
        <w:rPr>
          <w:rFonts w:eastAsiaTheme="minorEastAsia" w:cs="Arial"/>
          <w:color w:val="222222"/>
          <w:szCs w:val="24"/>
          <w:lang w:val="en-US"/>
        </w:rPr>
        <w:t>; system two</w:t>
      </w:r>
      <w:r w:rsidR="00186B6F">
        <w:rPr>
          <w:rFonts w:eastAsiaTheme="minorEastAsia" w:cs="Arial"/>
          <w:color w:val="222222"/>
          <w:szCs w:val="24"/>
          <w:lang w:val="en-US"/>
        </w:rPr>
        <w:t>- slower analytic</w:t>
      </w:r>
      <w:r w:rsidR="00FD7558">
        <w:rPr>
          <w:rFonts w:eastAsiaTheme="minorEastAsia" w:cs="Arial"/>
          <w:color w:val="222222"/>
          <w:szCs w:val="24"/>
          <w:lang w:val="en-US"/>
        </w:rPr>
        <w:t>/</w:t>
      </w:r>
      <w:r w:rsidR="00186B6F">
        <w:rPr>
          <w:rFonts w:eastAsiaTheme="minorEastAsia" w:cs="Arial"/>
          <w:color w:val="222222"/>
          <w:szCs w:val="24"/>
          <w:lang w:val="en-US"/>
        </w:rPr>
        <w:t>rational thinking</w:t>
      </w:r>
      <w:r w:rsidR="00573260">
        <w:rPr>
          <w:rFonts w:eastAsiaTheme="minorEastAsia" w:cs="Arial"/>
          <w:color w:val="222222"/>
          <w:szCs w:val="24"/>
          <w:lang w:val="en-US"/>
        </w:rPr>
        <w:t>)</w:t>
      </w:r>
      <w:r w:rsidR="00186B6F">
        <w:rPr>
          <w:rFonts w:eastAsiaTheme="minorEastAsia" w:cs="Arial"/>
          <w:color w:val="222222"/>
          <w:szCs w:val="24"/>
          <w:lang w:val="en-US"/>
        </w:rPr>
        <w:t xml:space="preserve">, which occur on a continuum </w:t>
      </w:r>
      <w:r w:rsidR="00805B90">
        <w:rPr>
          <w:rFonts w:eastAsiaTheme="minorEastAsia" w:cs="Arial"/>
          <w:color w:val="222222"/>
          <w:szCs w:val="24"/>
          <w:lang w:val="en-US"/>
        </w:rPr>
        <w:fldChar w:fldCharType="begin"/>
      </w:r>
      <w:r w:rsidR="00573260">
        <w:rPr>
          <w:rFonts w:eastAsiaTheme="minorEastAsia" w:cs="Arial"/>
          <w:color w:val="222222"/>
          <w:szCs w:val="24"/>
          <w:lang w:val="en-US"/>
        </w:rPr>
        <w:instrText xml:space="preserve"> ADDIN EN.CITE &lt;EndNote&gt;&lt;Cite&gt;&lt;Author&gt;Custers&lt;/Author&gt;&lt;Year&gt;2013&lt;/Year&gt;&lt;IDText&gt;Medical education and cognitive continuum theory: an alternative perspective on medical problem solving and clinical reasoning&lt;/IDText&gt;&lt;DisplayText&gt;(Custers, 2013, Kahneman, 2011)&lt;/DisplayText&gt;&lt;record&gt;&lt;dates&gt;&lt;pub-dates&gt;&lt;date&gt;Aug&lt;/date&gt;&lt;/pub-dates&gt;&lt;year&gt;2013&lt;/year&gt;&lt;/dates&gt;&lt;keywords&gt;&lt;keyword&gt;Clinical Competence&lt;/keyword&gt;&lt;keyword&gt;Cognition&lt;/keyword&gt;&lt;keyword&gt;Decision Making&lt;/keyword&gt;&lt;keyword&gt;Decision Theory&lt;/keyword&gt;&lt;keyword&gt;Education, Medical&lt;/keyword&gt;&lt;keyword&gt;Humans&lt;/keyword&gt;&lt;keyword&gt;Problem Solving&lt;/keyword&gt;&lt;keyword&gt;Thinking&lt;/keyword&gt;&lt;/keywords&gt;&lt;urls&gt;&lt;related-urls&gt;&lt;url&gt;https://www.ncbi.nlm.nih.gov/pubmed/23807108&lt;/url&gt;&lt;/related-urls&gt;&lt;/urls&gt;&lt;isbn&gt;1938-808X&lt;/isbn&gt;&lt;titles&gt;&lt;title&gt;Medical education and cognitive continuum theory: an alternative perspective on medical problem solving and clinical reasoning&lt;/title&gt;&lt;secondary-title&gt;Acad Med&lt;/secondary-title&gt;&lt;/titles&gt;&lt;pages&gt;1074-80&lt;/pages&gt;&lt;number&gt;8&lt;/number&gt;&lt;contributors&gt;&lt;authors&gt;&lt;author&gt;Custers, E. J.&lt;/author&gt;&lt;/authors&gt;&lt;/contributors&gt;&lt;language&gt;eng&lt;/language&gt;&lt;added-date format="utc"&gt;1500415154&lt;/added-date&gt;&lt;ref-type name="Journal Article"&gt;17&lt;/ref-type&gt;&lt;rec-number&gt;371&lt;/rec-number&gt;&lt;last-updated-date format="utc"&gt;1500415154&lt;/last-updated-date&gt;&lt;accession-num&gt;23807108&lt;/accession-num&gt;&lt;electronic-resource-num&gt;10.1097/ACM.0b013e31829a3b10&lt;/electronic-resource-num&gt;&lt;volume&gt;88&lt;/volume&gt;&lt;/record&gt;&lt;/Cite&gt;&lt;Cite&gt;&lt;Author&gt;Kahneman&lt;/Author&gt;&lt;Year&gt;2011&lt;/Year&gt;&lt;IDText&gt;Thinking Fast and Slow&lt;/IDText&gt;&lt;record&gt;&lt;titles&gt;&lt;title&gt;Thinking Fast and Slow&lt;/title&gt;&lt;/titles&gt;&lt;contributors&gt;&lt;authors&gt;&lt;author&gt;Kahneman, Daniel&lt;/author&gt;&lt;/authors&gt;&lt;/contributors&gt;&lt;added-date format="utc"&gt;1500143497&lt;/added-date&gt;&lt;pub-location&gt;UK&lt;/pub-location&gt;&lt;ref-type name="Book"&gt;6&lt;/ref-type&gt;&lt;dates&gt;&lt;year&gt;2011&lt;/year&gt;&lt;/dates&gt;&lt;rec-number&gt;346&lt;/rec-number&gt;&lt;publisher&gt;Penguin Random House UK&lt;/publisher&gt;&lt;last-updated-date format="utc"&gt;1500143640&lt;/last-updated-date&gt;&lt;/record&gt;&lt;/Cite&gt;&lt;/EndNote&gt;</w:instrText>
      </w:r>
      <w:r w:rsidR="00805B90">
        <w:rPr>
          <w:rFonts w:eastAsiaTheme="minorEastAsia" w:cs="Arial"/>
          <w:color w:val="222222"/>
          <w:szCs w:val="24"/>
          <w:lang w:val="en-US"/>
        </w:rPr>
        <w:fldChar w:fldCharType="separate"/>
      </w:r>
      <w:r w:rsidR="00573260">
        <w:rPr>
          <w:rFonts w:eastAsiaTheme="minorEastAsia" w:cs="Arial"/>
          <w:noProof/>
          <w:color w:val="222222"/>
          <w:szCs w:val="24"/>
          <w:lang w:val="en-US"/>
        </w:rPr>
        <w:t>(Custers, 2013, Kahneman, 2011)</w:t>
      </w:r>
      <w:r w:rsidR="00805B90">
        <w:rPr>
          <w:rFonts w:eastAsiaTheme="minorEastAsia" w:cs="Arial"/>
          <w:color w:val="222222"/>
          <w:szCs w:val="24"/>
          <w:lang w:val="en-US"/>
        </w:rPr>
        <w:fldChar w:fldCharType="end"/>
      </w:r>
      <w:r w:rsidR="00573260">
        <w:rPr>
          <w:rFonts w:eastAsiaTheme="minorEastAsia" w:cs="Arial"/>
          <w:color w:val="222222"/>
          <w:szCs w:val="24"/>
          <w:lang w:val="en-US"/>
        </w:rPr>
        <w:t>.</w:t>
      </w:r>
    </w:p>
    <w:p w14:paraId="7675B7D8" w14:textId="0315142E" w:rsidR="004A7265" w:rsidRPr="006B027F" w:rsidRDefault="004A7265" w:rsidP="004A7265">
      <w:pPr>
        <w:rPr>
          <w:rFonts w:eastAsiaTheme="minorEastAsia" w:cs="Arial"/>
          <w:color w:val="222222"/>
          <w:szCs w:val="24"/>
          <w:lang w:val="en-US"/>
        </w:rPr>
      </w:pPr>
      <w:r>
        <w:lastRenderedPageBreak/>
        <w:t xml:space="preserve">Starting as </w:t>
      </w:r>
      <w:r w:rsidR="00BC4377">
        <w:t>a FY1</w:t>
      </w:r>
      <w:r>
        <w:t>, there is a new environment, new people as part of one’s immediate team as well as wider hospital team, new patients and new equipment</w:t>
      </w:r>
      <w:r w:rsidR="00DC0B8E">
        <w:t xml:space="preserve"> and guidelines and protocols. It appears t</w:t>
      </w:r>
      <w:r>
        <w:t>here is an expectation that just by exposing students to cognitive overload</w:t>
      </w:r>
      <w:r w:rsidR="00DC0B8E">
        <w:t>,</w:t>
      </w:r>
      <w:r>
        <w:t xml:space="preserve"> they wi</w:t>
      </w:r>
      <w:r w:rsidR="00120D8F">
        <w:t>ll work out how to manage it</w:t>
      </w:r>
      <w:r>
        <w:t xml:space="preserve"> themselves. During this study, feelings of developing</w:t>
      </w:r>
      <w:r w:rsidR="00120D8F">
        <w:t xml:space="preserve"> a ‘blank mind’ and paralysis</w:t>
      </w:r>
      <w:r>
        <w:t xml:space="preserve"> were reported by students when overwhelmed (Field notes from debriefing). This is very dangerous in an acute situation with a patient. Medical students all have personality features and experiences that will have sculpted the way they manage themselves in a position of crisis and cognitive overload. The influence of emotional intell</w:t>
      </w:r>
      <w:r w:rsidR="002F31CE">
        <w:t xml:space="preserve">igence is discussed below </w:t>
      </w:r>
      <w:r>
        <w:t>and highlighted as a personal</w:t>
      </w:r>
      <w:r w:rsidR="00DC0B8E">
        <w:t>ity</w:t>
      </w:r>
      <w:r>
        <w:t xml:space="preserve"> trait. </w:t>
      </w:r>
      <w:r w:rsidR="004C5A03">
        <w:t xml:space="preserve">The GMC requires that medical students feel prepared for practice as </w:t>
      </w:r>
      <w:r w:rsidR="00BC4377">
        <w:t>a FY1</w:t>
      </w:r>
      <w:r w:rsidR="004C5A03">
        <w:t xml:space="preserve">. Part of this preparation should include education about cognitive processes and overload, its effects on performance, self (both mentally and physically), and resultant patient safety. </w:t>
      </w:r>
      <w:r w:rsidR="00DC0B8E">
        <w:t>E</w:t>
      </w:r>
      <w:r>
        <w:t xml:space="preserve">ducation should allow each student’s performance and behaviour to be explored and personal learning points related to individual personality and leadership skills created and aligned with development of professionalism. </w:t>
      </w:r>
    </w:p>
    <w:p w14:paraId="55B60009" w14:textId="0F1BFCBA" w:rsidR="002F31CE" w:rsidRDefault="002F31CE" w:rsidP="002F31CE">
      <w:proofErr w:type="spellStart"/>
      <w:r>
        <w:t>Croskerry</w:t>
      </w:r>
      <w:proofErr w:type="spellEnd"/>
      <w:r>
        <w:t xml:space="preserve"> et al (2014) report the importance of learning about how to maximise teaching and learning in approaches to reduce error in cognition. For intuitive thinking – ‘making intuition scientific, creating supportive environments for </w:t>
      </w:r>
      <w:r w:rsidR="001D42C9">
        <w:t>decision-making</w:t>
      </w:r>
      <w:r>
        <w:t xml:space="preserve">, minimising conditions that force default to intuitive </w:t>
      </w:r>
      <w:r w:rsidR="00120D8F">
        <w:t>processing and maximising time/</w:t>
      </w:r>
      <w:r>
        <w:t>practice in the specialised workplace setting’. For analytical process</w:t>
      </w:r>
      <w:r w:rsidR="00120D8F">
        <w:t>,</w:t>
      </w:r>
      <w:r>
        <w:t xml:space="preserve"> they recommend ‘ learning about nature, extent and prevalence of bias, promoting thinking about thinking, carrying out cognitive and affective de-biasing, promoting critical thinking, promoting vigilant scanning, </w:t>
      </w:r>
      <w:r>
        <w:lastRenderedPageBreak/>
        <w:t xml:space="preserve">using expert content knowledge, using interdisciplinary knowledge mapping and promoting Bayesian reasoning’ </w:t>
      </w:r>
      <w:r>
        <w:fldChar w:fldCharType="begin"/>
      </w:r>
      <w:r>
        <w:instrText xml:space="preserve"> ADDIN EN.CITE &lt;EndNote&gt;&lt;Cite&gt;&lt;Author&gt;Croskerry&lt;/Author&gt;&lt;Year&gt;2014&lt;/Year&gt;&lt;IDText&gt;Deciding about fast and slow decisions&lt;/IDText&gt;&lt;DisplayText&gt;(Croskerry et al., 2014)&lt;/DisplayText&gt;&lt;record&gt;&lt;dates&gt;&lt;pub-dates&gt;&lt;date&gt;Feb&lt;/date&gt;&lt;/pub-dates&gt;&lt;year&gt;2014&lt;/year&gt;&lt;/dates&gt;&lt;keywords&gt;&lt;keyword&gt;Clinical Competence&lt;/keyword&gt;&lt;keyword&gt;Decision Making&lt;/keyword&gt;&lt;keyword&gt;Diagnostic Errors&lt;/keyword&gt;&lt;keyword&gt;Female&lt;/keyword&gt;&lt;keyword&gt;Humans&lt;/keyword&gt;&lt;keyword&gt;Internal Medicine&lt;/keyword&gt;&lt;keyword&gt;Internship and Residency&lt;/keyword&gt;&lt;keyword&gt;Male&lt;/keyword&gt;&lt;keyword&gt;Physicians&lt;/keyword&gt;&lt;keyword&gt;Recognition (Psychology)&lt;/keyword&gt;&lt;keyword&gt;Repetition Priming&lt;/keyword&gt;&lt;/keywords&gt;&lt;urls&gt;&lt;related-urls&gt;&lt;url&gt;http://www.ncbi.nlm.nih.gov/pubmed/24362398&lt;/url&gt;&lt;/related-urls&gt;&lt;/urls&gt;&lt;isbn&gt;1938-808X&lt;/isbn&gt;&lt;titles&gt;&lt;title&gt;Deciding about fast and slow decisions&lt;/title&gt;&lt;secondary-title&gt;Acad Med&lt;/secondary-title&gt;&lt;/titles&gt;&lt;pages&gt;197-200&lt;/pages&gt;&lt;number&gt;2&lt;/number&gt;&lt;contributors&gt;&lt;authors&gt;&lt;author&gt;Croskerry, P.&lt;/author&gt;&lt;author&gt;Petrie, D. A.&lt;/author&gt;&lt;author&gt;Reilly, J. B.&lt;/author&gt;&lt;author&gt;Tait, G.&lt;/author&gt;&lt;/authors&gt;&lt;/contributors&gt;&lt;language&gt;eng&lt;/language&gt;&lt;added-date format="utc"&gt;1456825847&lt;/added-date&gt;&lt;ref-type name="Journal Article"&gt;17&lt;/ref-type&gt;&lt;rec-number&gt;201&lt;/rec-number&gt;&lt;last-updated-date format="utc"&gt;1456825847&lt;/last-updated-date&gt;&lt;accession-num&gt;24362398&lt;/accession-num&gt;&lt;electronic-resource-num&gt;10.1097/ACM.0000000000000121&lt;/electronic-resource-num&gt;&lt;volume&gt;89&lt;/volume&gt;&lt;/record&gt;&lt;/Cite&gt;&lt;/EndNote&gt;</w:instrText>
      </w:r>
      <w:r>
        <w:fldChar w:fldCharType="separate"/>
      </w:r>
      <w:r>
        <w:rPr>
          <w:noProof/>
        </w:rPr>
        <w:t>(Croskerry et al., 2014)</w:t>
      </w:r>
      <w:r>
        <w:fldChar w:fldCharType="end"/>
      </w:r>
      <w:r>
        <w:t>. The case witnessed above would certainly support this in the undergraduate population</w:t>
      </w:r>
      <w:r w:rsidR="00120D8F">
        <w:t>,</w:t>
      </w:r>
      <w:r>
        <w:t xml:space="preserve"> and these strategies emerged during debriefing.</w:t>
      </w:r>
    </w:p>
    <w:p w14:paraId="422C45FE" w14:textId="3FBB287D" w:rsidR="002F31CE" w:rsidRDefault="002F31CE" w:rsidP="002F31CE">
      <w:r>
        <w:t xml:space="preserve">In a letter to the editor following this paper, Webster (2015) states that work to improve clinical </w:t>
      </w:r>
      <w:r w:rsidR="001D42C9">
        <w:t>decision-making</w:t>
      </w:r>
      <w:r>
        <w:t xml:space="preserve"> should focus on ‘new practical ways to formally support and enhance doctors’ decision-making</w:t>
      </w:r>
      <w:r w:rsidR="00120D8F">
        <w:t>,</w:t>
      </w:r>
      <w:r>
        <w:t xml:space="preserve"> which needs to be more substantive than telling doctors to try harder or slow down’ </w:t>
      </w:r>
      <w:r>
        <w:fldChar w:fldCharType="begin"/>
      </w:r>
      <w:r>
        <w:instrText xml:space="preserve"> ADDIN EN.CITE &lt;EndNote&gt;&lt;Cite&gt;&lt;Author&gt;Webster&lt;/Author&gt;&lt;Year&gt;2015&lt;/Year&gt;&lt;IDText&gt;More on &amp;quot;fast&amp;quot; and &amp;quot;slow&amp;quot; thinking in diagnostic reasoning&lt;/IDText&gt;&lt;DisplayText&gt;(Webster, 2015)&lt;/DisplayText&gt;&lt;record&gt;&lt;dates&gt;&lt;pub-dates&gt;&lt;date&gt;Jan&lt;/date&gt;&lt;/pub-dates&gt;&lt;year&gt;2015&lt;/year&gt;&lt;/dates&gt;&lt;keywords&gt;&lt;keyword&gt;Clinical Competence&lt;/keyword&gt;&lt;keyword&gt;Decision Making&lt;/keyword&gt;&lt;keyword&gt;Diagnostic Errors&lt;/keyword&gt;&lt;keyword&gt;Humans&lt;/keyword&gt;&lt;keyword&gt;Internal Medicine&lt;/keyword&gt;&lt;keyword&gt;Internship and Residency&lt;/keyword&gt;&lt;/keywords&gt;&lt;urls&gt;&lt;related-urls&gt;&lt;url&gt;http://www.ncbi.nlm.nih.gov/pubmed/25544998&lt;/url&gt;&lt;/related-urls&gt;&lt;/urls&gt;&lt;isbn&gt;1938-808X&lt;/isbn&gt;&lt;titles&gt;&lt;title&gt;More on &amp;quot;fast&amp;quot; and &amp;quot;slow&amp;quot; thinking in diagnostic reasoning&lt;/title&gt;&lt;secondary-title&gt;Acad Med&lt;/secondary-title&gt;&lt;/titles&gt;&lt;pages&gt;3&lt;/pages&gt;&lt;number&gt;1&lt;/number&gt;&lt;contributors&gt;&lt;authors&gt;&lt;author&gt;Webster, C.&lt;/author&gt;&lt;/authors&gt;&lt;/contributors&gt;&lt;language&gt;eng&lt;/language&gt;&lt;added-date format="utc"&gt;1456827589&lt;/added-date&gt;&lt;ref-type name="Journal Article"&gt;17&lt;/ref-type&gt;&lt;rec-number&gt;202&lt;/rec-number&gt;&lt;last-updated-date format="utc"&gt;1456827589&lt;/last-updated-date&gt;&lt;accession-num&gt;25544998&lt;/accession-num&gt;&lt;electronic-resource-num&gt;10.1097/ACM.0000000000000555&lt;/electronic-resource-num&gt;&lt;volume&gt;90&lt;/volume&gt;&lt;/record&gt;&lt;/Cite&gt;&lt;/EndNote&gt;</w:instrText>
      </w:r>
      <w:r>
        <w:fldChar w:fldCharType="separate"/>
      </w:r>
      <w:r>
        <w:rPr>
          <w:noProof/>
        </w:rPr>
        <w:t>(Webster, 2015)</w:t>
      </w:r>
      <w:r>
        <w:fldChar w:fldCharType="end"/>
      </w:r>
      <w:r>
        <w:t xml:space="preserve">. Though improving safety relies on strategic improvement of systems at an organisational level, training and education in human factors and complexity management is also very important </w:t>
      </w:r>
      <w:r>
        <w:fldChar w:fldCharType="begin"/>
      </w:r>
      <w:r>
        <w:instrText xml:space="preserve"> ADDIN EN.CITE &lt;EndNote&gt;&lt;Cite&gt;&lt;Author&gt;Berwick&lt;/Author&gt;&lt;Year&gt;2001&lt;/Year&gt;&lt;IDText&gt;Not again!&lt;/IDText&gt;&lt;DisplayText&gt;(Berwick, 2001)&lt;/DisplayText&gt;&lt;record&gt;&lt;dates&gt;&lt;pub-dates&gt;&lt;date&gt;Feb&lt;/date&gt;&lt;/pub-dates&gt;&lt;year&gt;2001&lt;/year&gt;&lt;/dates&gt;&lt;keywords&gt;&lt;keyword&gt;Antineoplastic Agents, Phytogenic&lt;/keyword&gt;&lt;keyword&gt;Humans&lt;/keyword&gt;&lt;keyword&gt;Injections, Intravenous&lt;/keyword&gt;&lt;keyword&gt;Injections, Spinal&lt;/keyword&gt;&lt;keyword&gt;Leukemia&lt;/keyword&gt;&lt;keyword&gt;Medication Errors&lt;/keyword&gt;&lt;keyword&gt;Safety&lt;/keyword&gt;&lt;keyword&gt;Vincristine&lt;/keyword&gt;&lt;/keywords&gt;&lt;urls&gt;&lt;related-urls&gt;&lt;url&gt;http://www.ncbi.nlm.nih.gov/pubmed/11157508&lt;/url&gt;&lt;/related-urls&gt;&lt;/urls&gt;&lt;isbn&gt;0959-8138&lt;/isbn&gt;&lt;custom2&gt;PMC1119508&lt;/custom2&gt;&lt;titles&gt;&lt;title&gt;Not again!&lt;/title&gt;&lt;secondary-title&gt;BMJ&lt;/secondary-title&gt;&lt;/titles&gt;&lt;pages&gt;247-8&lt;/pages&gt;&lt;number&gt;7281&lt;/number&gt;&lt;contributors&gt;&lt;authors&gt;&lt;author&gt;Berwick, D. M.&lt;/author&gt;&lt;/authors&gt;&lt;/contributors&gt;&lt;language&gt;eng&lt;/language&gt;&lt;added-date format="utc"&gt;1456832700&lt;/added-date&gt;&lt;ref-type name="Journal Article"&gt;17&lt;/ref-type&gt;&lt;rec-number&gt;205&lt;/rec-number&gt;&lt;last-updated-date format="utc"&gt;1456832700&lt;/last-updated-date&gt;&lt;accession-num&gt;11157508&lt;/accession-num&gt;&lt;volume&gt;322&lt;/volume&gt;&lt;/record&gt;&lt;/Cite&gt;&lt;/EndNote&gt;</w:instrText>
      </w:r>
      <w:r>
        <w:fldChar w:fldCharType="separate"/>
      </w:r>
      <w:r>
        <w:rPr>
          <w:noProof/>
        </w:rPr>
        <w:t>(Berwick, 2001)</w:t>
      </w:r>
      <w:r>
        <w:fldChar w:fldCharType="end"/>
      </w:r>
      <w:r>
        <w:t>.</w:t>
      </w:r>
      <w:r w:rsidRPr="0067622F">
        <w:t xml:space="preserve"> </w:t>
      </w:r>
      <w:r>
        <w:t xml:space="preserve">This study demonstrates that simulation offers a practical solution to allow and support improving clinical </w:t>
      </w:r>
      <w:r w:rsidR="001D42C9">
        <w:t>decision-making</w:t>
      </w:r>
      <w:r>
        <w:t>, managing self, enhancing leadership and understanding complexity and human factors</w:t>
      </w:r>
      <w:r w:rsidR="009E0E61">
        <w:t>,</w:t>
      </w:r>
      <w:r>
        <w:t xml:space="preserve"> in the context of preparing for clinical practice.</w:t>
      </w:r>
    </w:p>
    <w:p w14:paraId="3785EA41" w14:textId="0CADEE35" w:rsidR="002F31CE" w:rsidRDefault="002F31CE" w:rsidP="002F31CE">
      <w:r>
        <w:t>Complexity theory brings in the noticing, relationship and interplay between objects, the environment, people as well as meanings and intenti</w:t>
      </w:r>
      <w:r w:rsidR="00120D8F">
        <w:t>ons -</w:t>
      </w:r>
      <w:r w:rsidR="009E0E61">
        <w:t xml:space="preserve"> essentially human factors</w:t>
      </w:r>
      <w:r>
        <w:t>. The elements are described as emerging in a ‘non-linear’ and unpredictable fashion</w:t>
      </w:r>
      <w:r w:rsidR="009E0E61">
        <w:t>,</w:t>
      </w:r>
      <w:r>
        <w:t xml:space="preserve"> and as such complexity theory has relevance and potential application through resonating with the clinical environment</w:t>
      </w:r>
      <w:r w:rsidR="009E0E61">
        <w:t>. It offers</w:t>
      </w:r>
      <w:r>
        <w:t xml:space="preserve"> a potential for improving preparedness through informing educational design </w:t>
      </w:r>
      <w:r>
        <w:fldChar w:fldCharType="begin"/>
      </w:r>
      <w:r>
        <w:instrText xml:space="preserve"> ADDIN EN.CITE &lt;EndNote&gt;&lt;Cite&gt;&lt;Author&gt;Fenwick&lt;/Author&gt;&lt;Year&gt;2015&lt;/Year&gt;&lt;IDText&gt;Towards socio-material approaches in simulation-based education: lessons from complexity theory&lt;/IDText&gt;&lt;DisplayText&gt;(Fenwick and Dahlgren, 2015)&lt;/DisplayText&gt;&lt;record&gt;&lt;dates&gt;&lt;pub-dates&gt;&lt;date&gt;Apr&lt;/date&gt;&lt;/pub-dates&gt;&lt;year&gt;2015&lt;/year&gt;&lt;/dates&gt;&lt;keywords&gt;&lt;keyword&gt;Clinical Competence&lt;/keyword&gt;&lt;keyword&gt;Education, Medical&lt;/keyword&gt;&lt;keyword&gt;Feedback&lt;/keyword&gt;&lt;keyword&gt;Humans&lt;/keyword&gt;&lt;keyword&gt;Learning&lt;/keyword&gt;&lt;keyword&gt;Models, Educational&lt;/keyword&gt;&lt;keyword&gt;Patient Simulation&lt;/keyword&gt;&lt;keyword&gt;Social Theory&lt;/keyword&gt;&lt;/keywords&gt;&lt;urls&gt;&lt;related-urls&gt;&lt;url&gt;https://www.ncbi.nlm.nih.gov/pubmed/25800296&lt;/url&gt;&lt;/related-urls&gt;&lt;/urls&gt;&lt;isbn&gt;1365-2923&lt;/isbn&gt;&lt;titles&gt;&lt;title&gt;Towards socio-material approaches in simulation-based education: lessons from complexity theory&lt;/title&gt;&lt;secondary-title&gt;Med Educ&lt;/secondary-title&gt;&lt;/titles&gt;&lt;pages&gt;359-67&lt;/pages&gt;&lt;number&gt;4&lt;/number&gt;&lt;contributors&gt;&lt;authors&gt;&lt;author&gt;Fenwick, T.&lt;/author&gt;&lt;author&gt;Dahlgren, M. A.&lt;/author&gt;&lt;/authors&gt;&lt;/contributors&gt;&lt;language&gt;eng&lt;/language&gt;&lt;added-date format="utc"&gt;1472656488&lt;/added-date&gt;&lt;ref-type name="Journal Article"&gt;17&lt;/ref-type&gt;&lt;rec-number&gt;285&lt;/rec-number&gt;&lt;last-updated-date format="utc"&gt;1472656488&lt;/last-updated-date&gt;&lt;accession-num&gt;25800296&lt;/accession-num&gt;&lt;electronic-resource-num&gt;10.1111/medu.12638&lt;/electronic-resource-num&gt;&lt;volume&gt;49&lt;/volume&gt;&lt;/record&gt;&lt;/Cite&gt;&lt;/EndNote&gt;</w:instrText>
      </w:r>
      <w:r>
        <w:fldChar w:fldCharType="separate"/>
      </w:r>
      <w:r>
        <w:rPr>
          <w:noProof/>
        </w:rPr>
        <w:t>(Fenwick and Dahlgren, 2015)</w:t>
      </w:r>
      <w:r>
        <w:fldChar w:fldCharType="end"/>
      </w:r>
      <w:r>
        <w:t>. The need to ‘strive to embrace diversity and complexity</w:t>
      </w:r>
      <w:r w:rsidR="00FB7121">
        <w:t>,</w:t>
      </w:r>
      <w:r>
        <w:t xml:space="preserve"> as the starting and end points for educational research</w:t>
      </w:r>
      <w:r w:rsidR="00FB7121">
        <w:t>,</w:t>
      </w:r>
      <w:r>
        <w:t xml:space="preserve"> and practice to help health professionals deal with the messiness of the </w:t>
      </w:r>
      <w:r w:rsidR="00FA622A">
        <w:t>clinical</w:t>
      </w:r>
      <w:r>
        <w:t xml:space="preserve"> world’</w:t>
      </w:r>
      <w:r w:rsidR="00FB7121">
        <w:t>,</w:t>
      </w:r>
      <w:r>
        <w:t xml:space="preserve"> was a sentiment echoed by experts and students in this study </w:t>
      </w:r>
      <w:r>
        <w:lastRenderedPageBreak/>
        <w:fldChar w:fldCharType="begin"/>
      </w:r>
      <w:r>
        <w:instrText xml:space="preserve"> ADDIN EN.CITE &lt;EndNote&gt;&lt;Cite&gt;&lt;Author&gt;Martimianakis&lt;/Author&gt;&lt;Year&gt;2013&lt;/Year&gt;&lt;IDText&gt;Confronting complexity: medical education, social theory and the &amp;apos;fate of our times&amp;apos;&lt;/IDText&gt;&lt;DisplayText&gt;(Martimianakis and Albert, 2013)&lt;/DisplayText&gt;&lt;record&gt;&lt;dates&gt;&lt;pub-dates&gt;&lt;date&gt;Jan&lt;/date&gt;&lt;/pub-dates&gt;&lt;year&gt;2013&lt;/year&gt;&lt;/dates&gt;&lt;keywords&gt;&lt;keyword&gt;Curriculum&lt;/keyword&gt;&lt;keyword&gt;Education, Medical&lt;/keyword&gt;&lt;keyword&gt;Humans&lt;/keyword&gt;&lt;keyword&gt;Social Sciences&lt;/keyword&gt;&lt;/keywords&gt;&lt;urls&gt;&lt;related-urls&gt;&lt;url&gt;https://www.ncbi.nlm.nih.gov/pubmed/23278814&lt;/url&gt;&lt;/related-urls&gt;&lt;/urls&gt;&lt;isbn&gt;1365-2923&lt;/isbn&gt;&lt;titles&gt;&lt;title&gt;Confronting complexity: medical education, social theory and the &amp;apos;fate of our times&amp;apos;&lt;/title&gt;&lt;secondary-title&gt;Med Educ&lt;/secondary-title&gt;&lt;/titles&gt;&lt;pages&gt;3-5&lt;/pages&gt;&lt;number&gt;1&lt;/number&gt;&lt;contributors&gt;&lt;authors&gt;&lt;author&gt;Martimianakis, M. A.&lt;/author&gt;&lt;author&gt;Albert, M.&lt;/author&gt;&lt;/authors&gt;&lt;/contributors&gt;&lt;language&gt;eng&lt;/language&gt;&lt;added-date format="utc"&gt;1472656671&lt;/added-date&gt;&lt;ref-type name="Journal Article"&gt;17&lt;/ref-type&gt;&lt;rec-number&gt;286&lt;/rec-number&gt;&lt;last-updated-date format="utc"&gt;1472656671&lt;/last-updated-date&gt;&lt;accession-num&gt;23278814&lt;/accession-num&gt;&lt;electronic-resource-num&gt;10.1111/medu.12086&lt;/electronic-resource-num&gt;&lt;volume&gt;47&lt;/volume&gt;&lt;/record&gt;&lt;/Cite&gt;&lt;/EndNote&gt;</w:instrText>
      </w:r>
      <w:r>
        <w:fldChar w:fldCharType="separate"/>
      </w:r>
      <w:r>
        <w:rPr>
          <w:noProof/>
        </w:rPr>
        <w:t>(Martimianakis and Albert, 2013)</w:t>
      </w:r>
      <w:r>
        <w:fldChar w:fldCharType="end"/>
      </w:r>
      <w:r w:rsidR="00120D8F">
        <w:t xml:space="preserve"> </w:t>
      </w:r>
      <w:r>
        <w:t>(Interview</w:t>
      </w:r>
      <w:r w:rsidR="00120D8F">
        <w:t>s</w:t>
      </w:r>
      <w:r>
        <w:t xml:space="preserve"> 2,3,6,8,10, </w:t>
      </w:r>
      <w:r w:rsidR="00173DE4">
        <w:t>focus group</w:t>
      </w:r>
      <w:r w:rsidR="00120D8F">
        <w:t>s</w:t>
      </w:r>
      <w:r>
        <w:t xml:space="preserve"> 1-19). The concept of employing a human factors approach to learning was </w:t>
      </w:r>
      <w:r w:rsidR="00FB7121">
        <w:t>felt key to drive</w:t>
      </w:r>
      <w:r>
        <w:t xml:space="preserve"> culture change and clinical leadership with dynamic and adaptive professionals not overwhelmed by the complex</w:t>
      </w:r>
      <w:r w:rsidR="00185861">
        <w:t>ity of the clinical environment.</w:t>
      </w:r>
    </w:p>
    <w:p w14:paraId="582B0E3E" w14:textId="7E2B914E" w:rsidR="002F31CE" w:rsidRDefault="002F31CE" w:rsidP="002F31CE">
      <w:r>
        <w:t>Complexity theory embraces the em</w:t>
      </w:r>
      <w:r w:rsidR="000477EB">
        <w:t>ergence of learning outcomes,</w:t>
      </w:r>
      <w:r>
        <w:t xml:space="preserve"> problems to solve</w:t>
      </w:r>
      <w:r w:rsidR="000477EB">
        <w:t xml:space="preserve"> and</w:t>
      </w:r>
      <w:r>
        <w:t xml:space="preserve"> diversity</w:t>
      </w:r>
      <w:r w:rsidR="00FB7121">
        <w:t>,</w:t>
      </w:r>
      <w:r>
        <w:t xml:space="preserve"> and maintains the understanding that ‘uncertainty and unpredictability are assumed’ </w:t>
      </w:r>
      <w:r>
        <w:fldChar w:fldCharType="begin"/>
      </w:r>
      <w:r>
        <w:instrText xml:space="preserve"> ADDIN EN.CITE &lt;EndNote&gt;&lt;Cite&gt;&lt;Author&gt;Fenwick&lt;/Author&gt;&lt;Year&gt;2015&lt;/Year&gt;&lt;IDText&gt;Towards socio-material approaches in simulation-based education: lessons from complexity theory&lt;/IDText&gt;&lt;DisplayText&gt;(Fenwick and Dahlgren, 2015)&lt;/DisplayText&gt;&lt;record&gt;&lt;dates&gt;&lt;pub-dates&gt;&lt;date&gt;Apr&lt;/date&gt;&lt;/pub-dates&gt;&lt;year&gt;2015&lt;/year&gt;&lt;/dates&gt;&lt;keywords&gt;&lt;keyword&gt;Clinical Competence&lt;/keyword&gt;&lt;keyword&gt;Education, Medical&lt;/keyword&gt;&lt;keyword&gt;Feedback&lt;/keyword&gt;&lt;keyword&gt;Humans&lt;/keyword&gt;&lt;keyword&gt;Learning&lt;/keyword&gt;&lt;keyword&gt;Models, Educational&lt;/keyword&gt;&lt;keyword&gt;Patient Simulation&lt;/keyword&gt;&lt;keyword&gt;Social Theory&lt;/keyword&gt;&lt;/keywords&gt;&lt;urls&gt;&lt;related-urls&gt;&lt;url&gt;https://www.ncbi.nlm.nih.gov/pubmed/25800296&lt;/url&gt;&lt;/related-urls&gt;&lt;/urls&gt;&lt;isbn&gt;1365-2923&lt;/isbn&gt;&lt;titles&gt;&lt;title&gt;Towards socio-material approaches in simulation-based education: lessons from complexity theory&lt;/title&gt;&lt;secondary-title&gt;Med Educ&lt;/secondary-title&gt;&lt;/titles&gt;&lt;pages&gt;359-67&lt;/pages&gt;&lt;number&gt;4&lt;/number&gt;&lt;contributors&gt;&lt;authors&gt;&lt;author&gt;Fenwick, T.&lt;/author&gt;&lt;author&gt;Dahlgren, M. A.&lt;/author&gt;&lt;/authors&gt;&lt;/contributors&gt;&lt;language&gt;eng&lt;/language&gt;&lt;added-date format="utc"&gt;1472656488&lt;/added-date&gt;&lt;ref-type name="Journal Article"&gt;17&lt;/ref-type&gt;&lt;rec-number&gt;285&lt;/rec-number&gt;&lt;last-updated-date format="utc"&gt;1472656488&lt;/last-updated-date&gt;&lt;accession-num&gt;25800296&lt;/accession-num&gt;&lt;electronic-resource-num&gt;10.1111/medu.12638&lt;/electronic-resource-num&gt;&lt;volume&gt;49&lt;/volume&gt;&lt;/record&gt;&lt;/Cite&gt;&lt;/EndNote&gt;</w:instrText>
      </w:r>
      <w:r>
        <w:fldChar w:fldCharType="separate"/>
      </w:r>
      <w:r>
        <w:rPr>
          <w:noProof/>
        </w:rPr>
        <w:t>(Fenwick and Dahlgren, 2015)</w:t>
      </w:r>
      <w:r>
        <w:fldChar w:fldCharType="end"/>
      </w:r>
      <w:r>
        <w:t>. If oversimplifying th</w:t>
      </w:r>
      <w:r w:rsidR="000477EB">
        <w:t>e education of medical students to try to</w:t>
      </w:r>
      <w:r>
        <w:t xml:space="preserve"> protect them from the complexity of the clinical environment, th</w:t>
      </w:r>
      <w:r w:rsidR="000477EB">
        <w:t>ey are being let down and under</w:t>
      </w:r>
      <w:r>
        <w:t xml:space="preserve">prepared. This is unfair and unethical. A complex system is described as one which is in a ‘continuous state of </w:t>
      </w:r>
      <w:r w:rsidR="00FA622A">
        <w:t>indeterminacy</w:t>
      </w:r>
      <w:r>
        <w:t xml:space="preserve"> and surprise: chance is always operating in the unfolding configurations to present new possibilities’ </w:t>
      </w:r>
      <w:r>
        <w:fldChar w:fldCharType="begin"/>
      </w:r>
      <w:r>
        <w:instrText xml:space="preserve"> ADDIN EN.CITE &lt;EndNote&gt;&lt;Cite&gt;&lt;Author&gt;Fenwick&lt;/Author&gt;&lt;Year&gt;2015&lt;/Year&gt;&lt;IDText&gt;Towards socio-material approaches in simulation-based education: lessons from complexity theory&lt;/IDText&gt;&lt;DisplayText&gt;(Fenwick and Dahlgren, 2015)&lt;/DisplayText&gt;&lt;record&gt;&lt;dates&gt;&lt;pub-dates&gt;&lt;date&gt;Apr&lt;/date&gt;&lt;/pub-dates&gt;&lt;year&gt;2015&lt;/year&gt;&lt;/dates&gt;&lt;keywords&gt;&lt;keyword&gt;Clinical Competence&lt;/keyword&gt;&lt;keyword&gt;Education, Medical&lt;/keyword&gt;&lt;keyword&gt;Feedback&lt;/keyword&gt;&lt;keyword&gt;Humans&lt;/keyword&gt;&lt;keyword&gt;Learning&lt;/keyword&gt;&lt;keyword&gt;Models, Educational&lt;/keyword&gt;&lt;keyword&gt;Patient Simulation&lt;/keyword&gt;&lt;keyword&gt;Social Theory&lt;/keyword&gt;&lt;/keywords&gt;&lt;urls&gt;&lt;related-urls&gt;&lt;url&gt;https://www.ncbi.nlm.nih.gov/pubmed/25800296&lt;/url&gt;&lt;/related-urls&gt;&lt;/urls&gt;&lt;isbn&gt;1365-2923&lt;/isbn&gt;&lt;titles&gt;&lt;title&gt;Towards socio-material approaches in simulation-based education: lessons from complexity theory&lt;/title&gt;&lt;secondary-title&gt;Med Educ&lt;/secondary-title&gt;&lt;/titles&gt;&lt;pages&gt;359-67&lt;/pages&gt;&lt;number&gt;4&lt;/number&gt;&lt;contributors&gt;&lt;authors&gt;&lt;author&gt;Fenwick, T.&lt;/author&gt;&lt;author&gt;Dahlgren, M. A.&lt;/author&gt;&lt;/authors&gt;&lt;/contributors&gt;&lt;language&gt;eng&lt;/language&gt;&lt;added-date format="utc"&gt;1472656488&lt;/added-date&gt;&lt;ref-type name="Journal Article"&gt;17&lt;/ref-type&gt;&lt;rec-number&gt;285&lt;/rec-number&gt;&lt;last-updated-date format="utc"&gt;1472656488&lt;/last-updated-date&gt;&lt;accession-num&gt;25800296&lt;/accession-num&gt;&lt;electronic-resource-num&gt;10.1111/medu.12638&lt;/electronic-resource-num&gt;&lt;volume&gt;49&lt;/volume&gt;&lt;/record&gt;&lt;/Cite&gt;&lt;/EndNote&gt;</w:instrText>
      </w:r>
      <w:r>
        <w:fldChar w:fldCharType="separate"/>
      </w:r>
      <w:r>
        <w:rPr>
          <w:noProof/>
        </w:rPr>
        <w:t>(Fenwick and Dahlgren, 2015)</w:t>
      </w:r>
      <w:r>
        <w:fldChar w:fldCharType="end"/>
      </w:r>
      <w:r>
        <w:t xml:space="preserve">. This study supports the implementation of </w:t>
      </w:r>
      <w:r w:rsidR="00FA622A">
        <w:t>well-planned</w:t>
      </w:r>
      <w:r>
        <w:t xml:space="preserve"> integration of complexity theory and human factors </w:t>
      </w:r>
      <w:r w:rsidR="000A27DF">
        <w:t>into</w:t>
      </w:r>
      <w:r>
        <w:t xml:space="preserve"> </w:t>
      </w:r>
      <w:r w:rsidR="00FA622A">
        <w:t>undergraduate</w:t>
      </w:r>
      <w:r>
        <w:t xml:space="preserve"> education</w:t>
      </w:r>
      <w:r w:rsidR="000477EB">
        <w:t>,</w:t>
      </w:r>
      <w:r>
        <w:t xml:space="preserve"> and the innovation and possibilities this offers students. The emphasis on</w:t>
      </w:r>
      <w:r w:rsidR="000477EB">
        <w:t xml:space="preserve"> the</w:t>
      </w:r>
      <w:r>
        <w:t xml:space="preserve"> ‘capacity to notice, experimentation and </w:t>
      </w:r>
      <w:proofErr w:type="spellStart"/>
      <w:r>
        <w:t>attunement</w:t>
      </w:r>
      <w:proofErr w:type="spellEnd"/>
      <w:r>
        <w:t xml:space="preserve"> (close listening and observing)’ are all features echoed in this study</w:t>
      </w:r>
      <w:r w:rsidR="000477EB">
        <w:t>,</w:t>
      </w:r>
      <w:r>
        <w:t xml:space="preserve"> and highlighted as vital and contributory to developing a clinical cognitive competence and improving preparedness for practice.  </w:t>
      </w:r>
    </w:p>
    <w:p w14:paraId="7450287F" w14:textId="7C6A02D1" w:rsidR="002F31CE" w:rsidRDefault="002F31CE" w:rsidP="004A7265">
      <w:r>
        <w:t xml:space="preserve">Fenwick (2015) describes the importance of ‘nested </w:t>
      </w:r>
      <w:r w:rsidR="00FA622A">
        <w:t>systems’, which sit with the concept of community, belonging,</w:t>
      </w:r>
      <w:r>
        <w:t xml:space="preserve"> and situated learnin</w:t>
      </w:r>
      <w:r w:rsidR="00FB7121">
        <w:t>g</w:t>
      </w:r>
      <w:r w:rsidR="000477EB">
        <w:t>,</w:t>
      </w:r>
      <w:r w:rsidR="00FB7121">
        <w:t xml:space="preserve"> as described above</w:t>
      </w:r>
      <w:r>
        <w:t>. They highlight the importance of allowing ‘nested syste</w:t>
      </w:r>
      <w:r w:rsidR="000477EB">
        <w:t>ms’ to be ‘open to disturbance’ -</w:t>
      </w:r>
      <w:r>
        <w:t xml:space="preserve"> a technique </w:t>
      </w:r>
      <w:r w:rsidR="00337A7E">
        <w:t>used</w:t>
      </w:r>
      <w:r>
        <w:t xml:space="preserve"> in the simulation intervention, designed to familiarise students with the experience of being interrupted with authentic </w:t>
      </w:r>
      <w:r>
        <w:lastRenderedPageBreak/>
        <w:t>distractions</w:t>
      </w:r>
      <w:r w:rsidR="00FB7121">
        <w:t>. This</w:t>
      </w:r>
      <w:r>
        <w:t xml:space="preserve"> enable</w:t>
      </w:r>
      <w:r w:rsidR="00FB7121">
        <w:t>d</w:t>
      </w:r>
      <w:r>
        <w:t xml:space="preserve"> reflection on</w:t>
      </w:r>
      <w:r w:rsidR="000477EB">
        <w:t xml:space="preserve"> one’s</w:t>
      </w:r>
      <w:r>
        <w:t xml:space="preserve"> </w:t>
      </w:r>
      <w:r w:rsidR="00FB7121">
        <w:t xml:space="preserve">own </w:t>
      </w:r>
      <w:r>
        <w:t xml:space="preserve">reaction, behaviour and recognition of the impact on outcome of the emerging scenario. Complexity theory treats learning </w:t>
      </w:r>
      <w:r w:rsidR="00FA622A">
        <w:t>as an</w:t>
      </w:r>
      <w:r>
        <w:t xml:space="preserve"> ‘emergent, co-participative and co-evolutionary process rather than an individual’s accumulation of knowledge and competencies’ </w:t>
      </w:r>
      <w:r>
        <w:fldChar w:fldCharType="begin">
          <w:fldData xml:space="preserve">PEVuZE5vdGU+PENpdGU+PEF1dGhvcj5GZW53aWNrPC9BdXRob3I+PFllYXI+MjAxNTwvWWVhcj48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</w:fldData>
        </w:fldChar>
      </w:r>
      <w:r>
        <w:instrText xml:space="preserve"> ADDIN EN.CITE </w:instrText>
      </w:r>
      <w:r>
        <w:fldChar w:fldCharType="begin">
          <w:fldData xml:space="preserve">PEVuZE5vdGU+PENpdGU+PEF1dGhvcj5GZW53aWNrPC9BdXRob3I+PFllYXI+MjAxNTwvWWVhcj48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</w:fldData>
        </w:fldChar>
      </w:r>
      <w:r>
        <w:instrText xml:space="preserve"> ADDIN EN.CITE.DATA </w:instrText>
      </w:r>
      <w:r>
        <w:fldChar w:fldCharType="end"/>
      </w:r>
      <w:r>
        <w:fldChar w:fldCharType="separate"/>
      </w:r>
      <w:r>
        <w:rPr>
          <w:noProof/>
        </w:rPr>
        <w:t>(Fenwick and Dahlgren, 2015, Mennin, 2010)</w:t>
      </w:r>
      <w:r>
        <w:fldChar w:fldCharType="end"/>
      </w:r>
      <w:r>
        <w:t xml:space="preserve">. This study supports this as a </w:t>
      </w:r>
      <w:r w:rsidR="00FA622A">
        <w:t>theoretical</w:t>
      </w:r>
      <w:r>
        <w:t xml:space="preserve"> construct and echoes these values.  </w:t>
      </w:r>
    </w:p>
    <w:p w14:paraId="1D1AC91D" w14:textId="2F281EAA" w:rsidR="004A7265" w:rsidRDefault="00337A7E" w:rsidP="004A7265">
      <w:r>
        <w:t>Using</w:t>
      </w:r>
      <w:r w:rsidR="004A7265">
        <w:t xml:space="preserve"> a human factors approach would allow an understanding of elements that create the complex clinical environment</w:t>
      </w:r>
      <w:r w:rsidR="000477EB">
        <w:t>,</w:t>
      </w:r>
      <w:r w:rsidR="004A7265">
        <w:t xml:space="preserve"> and ownership through awareness and prospective hazard analysis. Ultimately this would create a platform by which a medical student can take control of these elements to manage t</w:t>
      </w:r>
      <w:r w:rsidR="00FB7121">
        <w:t xml:space="preserve">hem, </w:t>
      </w:r>
      <w:r w:rsidR="004A7265">
        <w:t>improving patient safety. Not faci</w:t>
      </w:r>
      <w:r w:rsidR="000477EB">
        <w:t>ng human factors education head-</w:t>
      </w:r>
      <w:r w:rsidR="00FA622A">
        <w:t>on</w:t>
      </w:r>
      <w:r w:rsidR="004A7265">
        <w:t xml:space="preserve"> is likely to create the feeling</w:t>
      </w:r>
      <w:r w:rsidR="00FB7121">
        <w:t>s</w:t>
      </w:r>
      <w:r w:rsidR="004A7265">
        <w:t xml:space="preserve"> of overload</w:t>
      </w:r>
      <w:r w:rsidR="00FB7121">
        <w:t xml:space="preserve">, </w:t>
      </w:r>
      <w:r w:rsidR="004A7265">
        <w:t xml:space="preserve">loss of control and learned helplessness (Interview 6). These concepts can inhibit clinical professionals speaking up in the </w:t>
      </w:r>
      <w:r w:rsidR="00CD658D">
        <w:t>workplace</w:t>
      </w:r>
      <w:r w:rsidR="004A7265">
        <w:t xml:space="preserve">, one of the major issues highlighted in the Francis report. </w:t>
      </w:r>
    </w:p>
    <w:p w14:paraId="5367B9DA" w14:textId="7744CF48" w:rsidR="00DD34D4" w:rsidRDefault="00DD34D4" w:rsidP="004A7265">
      <w:r>
        <w:t>The emergent hierarchy of skill acquisition (</w:t>
      </w:r>
      <w:r w:rsidR="00931B56">
        <w:t>F</w:t>
      </w:r>
      <w:r w:rsidR="00A05A43">
        <w:t>igure</w:t>
      </w:r>
      <w:r w:rsidR="001E19F0">
        <w:t xml:space="preserve"> 8.2</w:t>
      </w:r>
      <w:r>
        <w:t>) builds on Miller’s Pyramid where an individual learning a skill moves from the bottom layer of watching to perfo</w:t>
      </w:r>
      <w:r w:rsidR="00AE0F56">
        <w:t>rming competently (Appendix 13</w:t>
      </w:r>
      <w:r>
        <w:t xml:space="preserve">.4). These research findings add to this by demonstrating the importance of layering complexity through authentic practice with human factors embedded education. Emphasis is placed on an authentic clinical environment (simulated or real), then progression with complexity (distractions), complex cognitive processes,  an acutely unwell patient and the accompanied cognitive biases. This is grounded in the original data from students reflections of the challenges they faced performing under </w:t>
      </w:r>
      <w:r>
        <w:lastRenderedPageBreak/>
        <w:t xml:space="preserve">pressure, the experience the experts described, both personally and training their juniors and reflections from field notes from pilot and final study. </w:t>
      </w:r>
    </w:p>
    <w:p w14:paraId="7B5218C2" w14:textId="45C11E7F" w:rsidR="00C25E3A" w:rsidRDefault="00C25E3A" w:rsidP="00C25E3A">
      <w:r>
        <w:t>The concept of ‘learning to notice’ has been described by Tanner (2006) as the ‘first req</w:t>
      </w:r>
      <w:r w:rsidR="00D12360">
        <w:t xml:space="preserve">uirement of clinical reasoning’, which </w:t>
      </w:r>
      <w:r>
        <w:t xml:space="preserve">supports the human factors approach to learning. This includes experience and understanding of situation awareness and the loss of </w:t>
      </w:r>
      <w:r w:rsidR="00FA622A">
        <w:t>situation</w:t>
      </w:r>
      <w:r>
        <w:t xml:space="preserve"> awareness, with resultant consequences as a tool t</w:t>
      </w:r>
      <w:r w:rsidR="00D12360">
        <w:t xml:space="preserve">o recognise and </w:t>
      </w:r>
      <w:r>
        <w:t xml:space="preserve">learn </w:t>
      </w:r>
      <w:r w:rsidR="000477EB">
        <w:t xml:space="preserve">how </w:t>
      </w:r>
      <w:r w:rsidR="00D12360">
        <w:t xml:space="preserve">to </w:t>
      </w:r>
      <w:r>
        <w:t xml:space="preserve">manage this. </w:t>
      </w:r>
      <w:r w:rsidR="00D12360">
        <w:t>Perceptual acuity describes</w:t>
      </w:r>
      <w:r>
        <w:t xml:space="preserve"> the ability to ‘see and understand’</w:t>
      </w:r>
      <w:r w:rsidR="000477EB">
        <w:t>,</w:t>
      </w:r>
      <w:r>
        <w:t xml:space="preserve"> and Brenner highlights the issue that all too often professionals are not taught how to ‘learn to use knowledge’ </w:t>
      </w:r>
      <w:r>
        <w:fldChar w:fldCharType="begin"/>
      </w:r>
      <w:r>
        <w:instrText xml:space="preserve"> ADDIN EN.CITE &lt;EndNote&gt;&lt;Cite&gt;&lt;Author&gt;Benner&lt;/Author&gt;&lt;Year&gt;2015&lt;/Year&gt;&lt;IDText&gt;The Implications of Teaching and Learning in a Practice: Paying attention to Situated Thinking and Action in Practice&lt;/IDText&gt;&lt;DisplayText&gt;(Benner, 2015)&lt;/DisplayText&gt;&lt;record&gt;&lt;urls&gt;&lt;related-urls&gt;&lt;url&gt;http://www.educatingnurses.com/the-implications-of-teaching-and-learning-in-a-practice-paying-attention-to-situated-thinking-and-action-in-practice&lt;/url&gt;&lt;/related-urls&gt;&lt;/urls&gt;&lt;titles&gt;&lt;title&gt;The Implications of Teaching and Learning in a Practice: Paying attention to Situated Thinking and Action in Practice&lt;/title&gt;&lt;/titles&gt;&lt;contributors&gt;&lt;authors&gt;&lt;author&gt;Benner, Patricia&lt;/author&gt;&lt;/authors&gt;&lt;/contributors&gt;&lt;added-date format="utc"&gt;1472642299&lt;/added-date&gt;&lt;pub-location&gt;On line&lt;/pub-location&gt;&lt;ref-type name="Web Page"&gt;12&lt;/ref-type&gt;&lt;dates&gt;&lt;year&gt;2015&lt;/year&gt;&lt;/dates&gt;&lt;rec-number&gt;280&lt;/rec-number&gt;&lt;last-updated-date format="utc"&gt;1472642512&lt;/last-updated-date&gt;&lt;volume&gt;2016&lt;/volume&gt;&lt;remote-database-name&gt;Educating Nurses&lt;/remote-database-name&gt;&lt;/record&gt;&lt;/Cite&gt;&lt;/EndNote&gt;</w:instrText>
      </w:r>
      <w:r>
        <w:fldChar w:fldCharType="separate"/>
      </w:r>
      <w:r>
        <w:rPr>
          <w:noProof/>
        </w:rPr>
        <w:t>(Benner, 2015)</w:t>
      </w:r>
      <w:r>
        <w:fldChar w:fldCharType="end"/>
      </w:r>
      <w:r>
        <w:t xml:space="preserve">. This is echoed in these data where discussion emerged surrounding the problem with knowledge being rewarded over other skills, such as </w:t>
      </w:r>
      <w:r w:rsidR="00B2451B">
        <w:t>teamwork</w:t>
      </w:r>
      <w:r>
        <w:t xml:space="preserve"> and communication skills, meaning that having the ‘right knowledge’ may not help in a situation of stress and pressure if </w:t>
      </w:r>
      <w:r w:rsidR="000477EB">
        <w:t xml:space="preserve">one is </w:t>
      </w:r>
      <w:r>
        <w:t>unable to process thought, access knowledge, think critically and make an effective decision (</w:t>
      </w:r>
      <w:r w:rsidR="00931B56">
        <w:t>Section 8.2.4; p354</w:t>
      </w:r>
      <w:r>
        <w:t xml:space="preserve">). Lave adds the notion that </w:t>
      </w:r>
      <w:r w:rsidR="00FA622A">
        <w:t>cognitive</w:t>
      </w:r>
      <w:r>
        <w:t xml:space="preserve"> theory is not just about the brain or mind but also the</w:t>
      </w:r>
      <w:r w:rsidR="00D12360">
        <w:t xml:space="preserve"> context and environment </w:t>
      </w:r>
      <w:r w:rsidR="00D12360">
        <w:fldChar w:fldCharType="begin"/>
      </w:r>
      <w:r w:rsidR="00D12360">
        <w:instrText xml:space="preserve"> ADDIN EN.CITE &lt;EndNote&gt;&lt;Cite&gt;&lt;Author&gt;Lave&lt;/Author&gt;&lt;Year&gt;1991&lt;/Year&gt;&lt;IDText&gt;Situated Learning: Legitimate peripheral participation&lt;/IDText&gt;&lt;DisplayText&gt;(Lave and Wenger, 1991)&lt;/DisplayText&gt;&lt;record&gt;&lt;titles&gt;&lt;title&gt;Situated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format="utc"&gt;1459260152&lt;/last-updated-date&gt;&lt;/record&gt;&lt;/Cite&gt;&lt;/EndNote&gt;</w:instrText>
      </w:r>
      <w:r w:rsidR="00D12360">
        <w:fldChar w:fldCharType="separate"/>
      </w:r>
      <w:r w:rsidR="00D12360">
        <w:rPr>
          <w:noProof/>
        </w:rPr>
        <w:t>(Lave and Wenger, 1991)</w:t>
      </w:r>
      <w:r w:rsidR="00D12360">
        <w:fldChar w:fldCharType="end"/>
      </w:r>
      <w:r w:rsidR="00D12360">
        <w:t>.</w:t>
      </w:r>
    </w:p>
    <w:p w14:paraId="30C5C2D4" w14:textId="6E7C7010" w:rsidR="0052767A" w:rsidRDefault="0052767A" w:rsidP="0052767A">
      <w:r>
        <w:t xml:space="preserve">Analysis of triangulated qualitative data surrounding </w:t>
      </w:r>
      <w:r w:rsidR="00905C08">
        <w:t>practice</w:t>
      </w:r>
      <w:r>
        <w:t xml:space="preserve"> under pressure, demonstrated the value of this to complement the quantitative aspect</w:t>
      </w:r>
      <w:r w:rsidR="00D12360">
        <w:t>,</w:t>
      </w:r>
      <w:r>
        <w:t xml:space="preserve"> and the huge challenge in understanding the complex processes involved in learning and preparing for practice in </w:t>
      </w:r>
      <w:r w:rsidR="001D42C9">
        <w:t>healthcare</w:t>
      </w:r>
      <w:r>
        <w:t xml:space="preserve">. </w:t>
      </w:r>
    </w:p>
    <w:p w14:paraId="2DD00706" w14:textId="044A3F81" w:rsidR="0052767A" w:rsidRDefault="0052767A" w:rsidP="0052767A">
      <w:r>
        <w:t>In terms of learning, all elements appeared within a cycle of experience, discovery about self, thoughts, perceptions and actions</w:t>
      </w:r>
      <w:r w:rsidR="00D12360">
        <w:t>, then time to reflect. Reflection lead to</w:t>
      </w:r>
      <w:r>
        <w:t xml:space="preserve"> consider</w:t>
      </w:r>
      <w:r w:rsidR="00D12360">
        <w:t>ation</w:t>
      </w:r>
      <w:r>
        <w:t xml:space="preserve"> and discuss</w:t>
      </w:r>
      <w:r w:rsidR="00D12360">
        <w:t xml:space="preserve">ion of consequences, recognition </w:t>
      </w:r>
      <w:r w:rsidR="00FA622A">
        <w:t xml:space="preserve">of </w:t>
      </w:r>
      <w:r w:rsidR="00FA622A">
        <w:lastRenderedPageBreak/>
        <w:t>strengths</w:t>
      </w:r>
      <w:r>
        <w:t xml:space="preserve"> and limitations</w:t>
      </w:r>
      <w:r w:rsidR="000477EB">
        <w:t>,</w:t>
      </w:r>
      <w:r>
        <w:t xml:space="preserve"> </w:t>
      </w:r>
      <w:r w:rsidR="00D12360">
        <w:t xml:space="preserve">followed by </w:t>
      </w:r>
      <w:r>
        <w:t>a new strategy or behavioural change to support more efficient and safer practice individually and as a team (</w:t>
      </w:r>
      <w:r w:rsidR="00565407">
        <w:t>Section 8.2.3; p347-51</w:t>
      </w:r>
      <w:r>
        <w:t xml:space="preserve">). This does fit in part with Kolb’s experiential learning cycle (Appendix </w:t>
      </w:r>
      <w:r w:rsidR="00194424">
        <w:t>13</w:t>
      </w:r>
      <w:r w:rsidR="001A0DA6">
        <w:t>.</w:t>
      </w:r>
      <w:r>
        <w:t>2) but there appears to be more complexity involved and this is portrayed through the conceptual diagram to bring these ideas toge</w:t>
      </w:r>
      <w:r w:rsidR="000D546C">
        <w:t xml:space="preserve">ther presented in section </w:t>
      </w:r>
      <w:r w:rsidR="00931B56">
        <w:t>8</w:t>
      </w:r>
      <w:r w:rsidR="00AC702B">
        <w:t>.</w:t>
      </w:r>
      <w:r w:rsidR="00931B56">
        <w:t>2.5 (p361)</w:t>
      </w:r>
      <w:r w:rsidR="000D546C">
        <w:t xml:space="preserve">. </w:t>
      </w:r>
      <w:r>
        <w:t xml:space="preserve">The additional elements that this conceptual framework brings are that of the importance of exploring cognitive processes as well as emotion, an understanding phase and </w:t>
      </w:r>
      <w:r w:rsidR="00FA622A">
        <w:t>transference</w:t>
      </w:r>
      <w:r>
        <w:t xml:space="preserve"> </w:t>
      </w:r>
      <w:r w:rsidR="000A27DF">
        <w:t>into</w:t>
      </w:r>
      <w:r>
        <w:t xml:space="preserve"> the clinical setting, the impact of actions and inactions bringing in the notion of consequence learning. Detail is added surrounding the grading of </w:t>
      </w:r>
      <w:r w:rsidR="00905C08">
        <w:t>practice</w:t>
      </w:r>
      <w:r w:rsidR="00DB78E8">
        <w:t xml:space="preserve"> to include</w:t>
      </w:r>
      <w:r>
        <w:t xml:space="preserve"> grading of complexity, human factors, pressure and responsibility</w:t>
      </w:r>
      <w:r w:rsidR="00D12360">
        <w:t>. The learner remains</w:t>
      </w:r>
      <w:r>
        <w:t xml:space="preserve"> at the c</w:t>
      </w:r>
      <w:r w:rsidR="00DB78E8">
        <w:t>entre throughout</w:t>
      </w:r>
      <w:r>
        <w:t xml:space="preserve"> the scenario</w:t>
      </w:r>
      <w:r w:rsidR="00D12360">
        <w:t xml:space="preserve"> </w:t>
      </w:r>
      <w:r>
        <w:t>and each team member</w:t>
      </w:r>
      <w:r w:rsidR="00DB78E8">
        <w:t xml:space="preserve"> is</w:t>
      </w:r>
      <w:r>
        <w:t xml:space="preserve"> involved in their authentic role. </w:t>
      </w:r>
    </w:p>
    <w:p w14:paraId="20AA4866" w14:textId="18CBF7ED" w:rsidR="0052767A" w:rsidRDefault="00905C08" w:rsidP="0052767A">
      <w:r>
        <w:t>Practice</w:t>
      </w:r>
      <w:r w:rsidR="0052767A">
        <w:t xml:space="preserve"> under pressure was vital for bringing out behavioural elements that would not necessarily emerge </w:t>
      </w:r>
      <w:r w:rsidR="000348DB">
        <w:t>unless challenged</w:t>
      </w:r>
      <w:r w:rsidR="0052767A">
        <w:t xml:space="preserve">. This </w:t>
      </w:r>
      <w:r w:rsidR="000348DB">
        <w:t xml:space="preserve">provided </w:t>
      </w:r>
      <w:r w:rsidR="0052767A">
        <w:t>the opportunity for students to learn when they were entering cognitive overload</w:t>
      </w:r>
      <w:r w:rsidR="000348DB">
        <w:t>,</w:t>
      </w:r>
      <w:r w:rsidR="00DB78E8">
        <w:t xml:space="preserve"> to learn to self-</w:t>
      </w:r>
      <w:r w:rsidR="0052767A">
        <w:t>regulate and manage their thoughts and cognitive processes</w:t>
      </w:r>
      <w:r w:rsidR="000348DB">
        <w:t>,</w:t>
      </w:r>
      <w:r w:rsidR="0052767A">
        <w:t xml:space="preserve"> to be aware of cognitive biases in order to manage them, take control and make clear safe and effective decisions. </w:t>
      </w:r>
    </w:p>
    <w:p w14:paraId="3FA83504" w14:textId="620DB5BE" w:rsidR="0052767A" w:rsidRDefault="0052767A" w:rsidP="0052767A">
      <w:r>
        <w:t xml:space="preserve">The Yerkes-Dodson model (1908) goes some way to explain this phenomenon that there is an optimum performance level linked to stress. </w:t>
      </w:r>
      <w:r w:rsidR="00DB78E8">
        <w:t>A too low</w:t>
      </w:r>
      <w:r>
        <w:t xml:space="preserve"> level of stress and one may disengage and be bored, too high and one may be unable to perform, so the optimum level should be kept </w:t>
      </w:r>
      <w:r>
        <w:fldChar w:fldCharType="begin"/>
      </w:r>
      <w:r>
        <w:instrText xml:space="preserve"> ADDIN EN.CITE &lt;EndNote&gt;&lt;Cite&gt;&lt;Author&gt;Yerkes&lt;/Author&gt;&lt;Year&gt;1908&lt;/Year&gt;&lt;IDText&gt;The relation of strength of stimulus to rapidity of habit-formation&lt;/IDText&gt;&lt;DisplayText&gt;(Yerkes and Dodson, 1908)&lt;/DisplayText&gt;&lt;record&gt;&lt;titles&gt;&lt;title&gt;The relation of strength of stimulus to rapidity of habit-formation&lt;/title&gt;&lt;secondary-title&gt;Journal of Comparative Neurology and Psychology&lt;/secondary-title&gt;&lt;/titles&gt;&lt;pages&gt;459-482&lt;/pages&gt;&lt;contributors&gt;&lt;authors&gt;&lt;author&gt;Yerkes, R. M&lt;/author&gt;&lt;author&gt;Dodson, J. D&lt;/author&gt;&lt;/authors&gt;&lt;/contributors&gt;&lt;added-date format="utc"&gt;1472655122&lt;/added-date&gt;&lt;ref-type name="Journal Article"&gt;17&lt;/ref-type&gt;&lt;dates&gt;&lt;year&gt;1908&lt;/year&gt;&lt;/dates&gt;&lt;rec-number&gt;284&lt;/rec-number&gt;&lt;last-updated-date format="utc"&gt;1472655241&lt;/last-updated-date&gt;&lt;volume&gt;18&lt;/volume&gt;&lt;/record&gt;&lt;/Cite&gt;&lt;/EndNote&gt;</w:instrText>
      </w:r>
      <w:r>
        <w:fldChar w:fldCharType="separate"/>
      </w:r>
      <w:r>
        <w:rPr>
          <w:noProof/>
        </w:rPr>
        <w:t>(Yerkes and Dodson, 1908)</w:t>
      </w:r>
      <w:r>
        <w:fldChar w:fldCharType="end"/>
      </w:r>
      <w:r>
        <w:t xml:space="preserve">. Though this model is very dated, it is still considered relevant in the literature </w:t>
      </w:r>
      <w:r>
        <w:lastRenderedPageBreak/>
        <w:t xml:space="preserve">and to simulation </w:t>
      </w:r>
      <w:r w:rsidR="00DB78E8">
        <w:t xml:space="preserve">and medical education experts. </w:t>
      </w:r>
      <w:r>
        <w:t>The clinical environment is complex and at time highly stressful. It is not helpful to know that if not at one</w:t>
      </w:r>
      <w:r w:rsidR="00DB78E8">
        <w:t>’s optimum level, one</w:t>
      </w:r>
      <w:r>
        <w:t xml:space="preserve"> will not perform because this is not an option when</w:t>
      </w:r>
      <w:r w:rsidR="000348DB">
        <w:t xml:space="preserve"> caring for another person. T</w:t>
      </w:r>
      <w:r>
        <w:t xml:space="preserve">he model is an interesting starting point but it is this higher stress level that clinical teams and individuals need to be able to function at. </w:t>
      </w:r>
    </w:p>
    <w:p w14:paraId="3306AAA1" w14:textId="2F72D875" w:rsidR="0052767A" w:rsidRDefault="000348DB" w:rsidP="0052767A">
      <w:r>
        <w:t xml:space="preserve">This is </w:t>
      </w:r>
      <w:r w:rsidR="0052767A">
        <w:t>learnt through expe</w:t>
      </w:r>
      <w:r>
        <w:t>rience and making mistakes, however</w:t>
      </w:r>
      <w:r w:rsidR="0052767A">
        <w:t xml:space="preserve"> realistic simulation education with gra</w:t>
      </w:r>
      <w:r w:rsidR="00DB78E8">
        <w:t>ded pressure and responsibility</w:t>
      </w:r>
      <w:r w:rsidR="0052767A">
        <w:t xml:space="preserve"> with structured debriefing may offer an opportunity to develop these cognitive skills earlier</w:t>
      </w:r>
      <w:r>
        <w:t>,</w:t>
      </w:r>
      <w:r w:rsidR="0052767A">
        <w:t xml:space="preserve"> to make students more efficie</w:t>
      </w:r>
      <w:r>
        <w:t xml:space="preserve">nt and safe at an earlier stage. </w:t>
      </w:r>
      <w:r w:rsidR="0052767A">
        <w:t>This study, through triangulated data reveals emergent ideas about how to achieve the correct level of pressure to achieve learning</w:t>
      </w:r>
      <w:r w:rsidR="00E14A4A">
        <w:t>,</w:t>
      </w:r>
      <w:r>
        <w:t xml:space="preserve"> and </w:t>
      </w:r>
      <w:r w:rsidR="00E14A4A">
        <w:t xml:space="preserve">an </w:t>
      </w:r>
      <w:r>
        <w:t xml:space="preserve">understanding </w:t>
      </w:r>
      <w:r w:rsidR="00E14A4A">
        <w:t xml:space="preserve">of </w:t>
      </w:r>
      <w:r>
        <w:t xml:space="preserve">how to be effective </w:t>
      </w:r>
      <w:r w:rsidR="001E19F0">
        <w:t>(Section 8.2.3</w:t>
      </w:r>
      <w:r w:rsidR="00565407">
        <w:t>; p313-18</w:t>
      </w:r>
      <w:r w:rsidR="0052767A">
        <w:t>). Emotional intelligence was core to this from both learner and f</w:t>
      </w:r>
      <w:r w:rsidR="000D546C">
        <w:t>aculty perspective</w:t>
      </w:r>
      <w:r w:rsidR="00E14A4A">
        <w:t>s</w:t>
      </w:r>
      <w:r w:rsidR="0052767A">
        <w:t xml:space="preserve">. </w:t>
      </w:r>
      <w:r>
        <w:t>Achieving</w:t>
      </w:r>
      <w:r w:rsidR="0052767A">
        <w:t xml:space="preserve"> the correct </w:t>
      </w:r>
      <w:r>
        <w:t>level of pressure</w:t>
      </w:r>
      <w:r w:rsidR="0052767A">
        <w:t xml:space="preserve"> was found to be personal to each learner and required dynamic interaction from faculty. Transparency surrounding expectations and agreeing shared learning outcomes was key.</w:t>
      </w:r>
    </w:p>
    <w:p w14:paraId="21CCA39A" w14:textId="23A9A804" w:rsidR="0052767A" w:rsidRDefault="0052767A" w:rsidP="0052767A">
      <w:r>
        <w:t xml:space="preserve">Human factors have been evident in all reflections </w:t>
      </w:r>
      <w:r w:rsidR="000348DB">
        <w:t xml:space="preserve">throughout this research. </w:t>
      </w:r>
      <w:r>
        <w:t>It has been recommended that medical sch</w:t>
      </w:r>
      <w:r w:rsidR="000348DB">
        <w:t>ools include human factors in</w:t>
      </w:r>
      <w:r>
        <w:t xml:space="preserve"> the curriculum but not how (</w:t>
      </w:r>
      <w:r w:rsidR="000348DB">
        <w:t>GMC,</w:t>
      </w:r>
      <w:r w:rsidR="00986FEC">
        <w:t xml:space="preserve"> 2009</w:t>
      </w:r>
      <w:r>
        <w:t xml:space="preserve">). Embedding </w:t>
      </w:r>
      <w:r w:rsidR="000A27DF">
        <w:t>into</w:t>
      </w:r>
      <w:r>
        <w:t xml:space="preserve"> simulation-based education allows not only the science to be explored but also the consequences to be played out and outcomes experienced</w:t>
      </w:r>
      <w:r w:rsidR="000348DB">
        <w:t xml:space="preserve">. This </w:t>
      </w:r>
      <w:r w:rsidR="00E14A4A">
        <w:t xml:space="preserve">creates </w:t>
      </w:r>
      <w:r w:rsidR="000348DB">
        <w:t xml:space="preserve">truly </w:t>
      </w:r>
      <w:r>
        <w:t>contextualise</w:t>
      </w:r>
      <w:r w:rsidR="000348DB">
        <w:t>d</w:t>
      </w:r>
      <w:r>
        <w:t xml:space="preserve"> learning about human factors and the impact on patient care and safety. This study revealed that the </w:t>
      </w:r>
      <w:r w:rsidR="00FA622A">
        <w:t>language</w:t>
      </w:r>
      <w:r>
        <w:t xml:space="preserve"> of human factors and non-technical skills is widely interpreted by experts and not well understood by medical students. In </w:t>
      </w:r>
      <w:r>
        <w:lastRenderedPageBreak/>
        <w:t>order to educate about human factors</w:t>
      </w:r>
      <w:r w:rsidR="000348DB">
        <w:t>,</w:t>
      </w:r>
      <w:r>
        <w:t xml:space="preserve"> this language needs to be understood, transparent and be shared by lear</w:t>
      </w:r>
      <w:r w:rsidR="001E19F0">
        <w:t>ners and educators</w:t>
      </w:r>
      <w:r>
        <w:t xml:space="preserve">. It was felt that human factors education should begin as early as possible, some even felt this should be at school </w:t>
      </w:r>
      <w:r w:rsidR="000C6943">
        <w:t xml:space="preserve">owing to </w:t>
      </w:r>
      <w:r w:rsidR="00986FEC">
        <w:t>transferrable life lessons.</w:t>
      </w:r>
    </w:p>
    <w:p w14:paraId="42AD1EDD" w14:textId="2A6752BD" w:rsidR="0052767A" w:rsidRDefault="0052767A" w:rsidP="0052767A">
      <w:r>
        <w:t xml:space="preserve">Understanding the hidden curriculum and the culture within the NHS was felt to be key to human factors education </w:t>
      </w:r>
      <w:r w:rsidR="000C6943">
        <w:t>and changing</w:t>
      </w:r>
      <w:r>
        <w:t xml:space="preserve"> culture to improve patient safety. Analysis of triangulated da</w:t>
      </w:r>
      <w:r w:rsidR="001E19F0">
        <w:t>ta was fascinating (Section 8.2.2</w:t>
      </w:r>
      <w:r w:rsidR="00565407">
        <w:t>; p333</w:t>
      </w:r>
      <w:r>
        <w:t xml:space="preserve">). Understanding concepts such as ‘ethical erosion’ including loss of team, belonging, </w:t>
      </w:r>
      <w:r w:rsidR="00FA622A">
        <w:t>and low</w:t>
      </w:r>
      <w:r>
        <w:t xml:space="preserve"> morale were key to considering methods to address these and indeed their role and impact on preparedness for practice. </w:t>
      </w:r>
      <w:r w:rsidR="001231A4">
        <w:t>Failure to learn from mistakes, a perceived emphasis on knowledge over other skills and described ‘learned helplessness’, were all felt to contribute to the disconnect between expectations</w:t>
      </w:r>
      <w:r w:rsidR="00E14A4A">
        <w:t>,</w:t>
      </w:r>
      <w:r w:rsidR="001231A4">
        <w:t xml:space="preserve"> and to influence preparedness and patient safety. </w:t>
      </w:r>
      <w:r>
        <w:t>These findings are important, grounded in original data and of great practical value when laying out the design of interventions to improve prepare</w:t>
      </w:r>
      <w:r w:rsidR="001E19F0">
        <w:t>dness (Section 8.</w:t>
      </w:r>
      <w:r w:rsidR="00565407">
        <w:t>2 -8.</w:t>
      </w:r>
      <w:r w:rsidR="001E19F0">
        <w:t>3</w:t>
      </w:r>
      <w:r>
        <w:t xml:space="preserve">). </w:t>
      </w:r>
      <w:r w:rsidR="00986FEC">
        <w:t>T</w:t>
      </w:r>
      <w:r>
        <w:t xml:space="preserve">he stages were found to be fluid concepts that are interwoven throughout the process of enhancing preparedness. For example, belonging and development of cognitive processes are essential throughout, however they are </w:t>
      </w:r>
      <w:r w:rsidR="001231A4">
        <w:t>separated</w:t>
      </w:r>
      <w:r>
        <w:t xml:space="preserve"> out to highlight the importance of dedicating attention to each and to allow a practical guide. </w:t>
      </w:r>
    </w:p>
    <w:p w14:paraId="03FF210B" w14:textId="2F8770B6" w:rsidR="00B351B6" w:rsidRDefault="00B351B6" w:rsidP="0052767A">
      <w:r>
        <w:t>Learning from other areas of practice such as nursing, appears key, however the hidden curriculum suggests that medicine has been slow to adopt practices from other professions, due to ‘protectionist’ views over concerns of ‘conta</w:t>
      </w:r>
      <w:r w:rsidR="00986FEC">
        <w:t>mination’ of medical education</w:t>
      </w:r>
      <w:r w:rsidR="001E19F0">
        <w:t xml:space="preserve"> (section 8.2.2</w:t>
      </w:r>
      <w:r w:rsidR="00A15E53">
        <w:t>)</w:t>
      </w:r>
      <w:r>
        <w:t xml:space="preserve">. Though it may not be </w:t>
      </w:r>
      <w:r>
        <w:lastRenderedPageBreak/>
        <w:t>possible to prepare students for every eventuality, new techniques and technologies to develop transferable skills to improve safety should be employed</w:t>
      </w:r>
      <w:r w:rsidR="001231A4">
        <w:t>.</w:t>
      </w:r>
      <w:r>
        <w:t xml:space="preserve"> In this study, </w:t>
      </w:r>
      <w:r w:rsidR="00337A7E">
        <w:t>using</w:t>
      </w:r>
      <w:r>
        <w:t xml:space="preserve"> simulation in this way improved confidence linked to know</w:t>
      </w:r>
      <w:r w:rsidR="00E14A4A">
        <w:t xml:space="preserve">n areas of </w:t>
      </w:r>
      <w:proofErr w:type="spellStart"/>
      <w:r w:rsidR="00E14A4A">
        <w:t>under</w:t>
      </w:r>
      <w:r w:rsidR="00C25E3A">
        <w:t>preparedness</w:t>
      </w:r>
      <w:proofErr w:type="spellEnd"/>
      <w:r w:rsidR="00C25E3A">
        <w:t xml:space="preserve">. </w:t>
      </w:r>
    </w:p>
    <w:p w14:paraId="0379BFA6" w14:textId="1D088CD2" w:rsidR="0052767A" w:rsidRDefault="0052767A" w:rsidP="0052767A">
      <w:r>
        <w:t>Patient safety has been recommended as a theme to be taught within the medical undergraduate curriculum but not how to do this effectively (</w:t>
      </w:r>
      <w:r w:rsidR="00E16723">
        <w:t xml:space="preserve">GMC, </w:t>
      </w:r>
      <w:r w:rsidR="00986FEC">
        <w:t>2009</w:t>
      </w:r>
      <w:r>
        <w:t>). Using simulation to allow experiential learning and faculty to role model powerful behavioural examples to students</w:t>
      </w:r>
      <w:r w:rsidR="00434D1E">
        <w:t xml:space="preserve"> appeared</w:t>
      </w:r>
      <w:r>
        <w:t xml:space="preserve"> key to developing a safety culture in the</w:t>
      </w:r>
      <w:r w:rsidR="001E19F0">
        <w:t xml:space="preserve"> next gene</w:t>
      </w:r>
      <w:r w:rsidR="00DD51E1">
        <w:t>ration of doctors (p333-47</w:t>
      </w:r>
      <w:r w:rsidR="001E19F0">
        <w:t>)</w:t>
      </w:r>
      <w:r w:rsidR="001231A4">
        <w:t xml:space="preserve">. </w:t>
      </w:r>
      <w:r>
        <w:t>Through</w:t>
      </w:r>
      <w:r w:rsidR="00E14A4A">
        <w:t>out</w:t>
      </w:r>
      <w:r>
        <w:t xml:space="preserve"> this study</w:t>
      </w:r>
      <w:r w:rsidR="00434D1E">
        <w:t>,</w:t>
      </w:r>
      <w:r>
        <w:t xml:space="preserve"> </w:t>
      </w:r>
      <w:r w:rsidR="00434D1E">
        <w:t>opportunities for</w:t>
      </w:r>
      <w:r>
        <w:t xml:space="preserve"> making and learning from mistakes through consequence learning was </w:t>
      </w:r>
      <w:r w:rsidR="00E14A4A">
        <w:t xml:space="preserve">a </w:t>
      </w:r>
      <w:r>
        <w:t>very powerful</w:t>
      </w:r>
      <w:r w:rsidR="000837F6" w:rsidRPr="000837F6">
        <w:t xml:space="preserve"> </w:t>
      </w:r>
      <w:r w:rsidR="00E14A4A">
        <w:t xml:space="preserve">tool </w:t>
      </w:r>
      <w:r w:rsidR="000837F6">
        <w:t xml:space="preserve">owing to the huge emotional </w:t>
      </w:r>
      <w:r w:rsidR="002F4338">
        <w:t>buy-in</w:t>
      </w:r>
      <w:r w:rsidR="000837F6">
        <w:t xml:space="preserve"> displayed by some students</w:t>
      </w:r>
      <w:r w:rsidR="00434D1E">
        <w:t>. O</w:t>
      </w:r>
      <w:r>
        <w:t>f equal importance</w:t>
      </w:r>
      <w:r w:rsidR="00434D1E">
        <w:t xml:space="preserve"> was</w:t>
      </w:r>
      <w:r>
        <w:t xml:space="preserve"> taki</w:t>
      </w:r>
      <w:r w:rsidR="00434D1E">
        <w:t>ng</w:t>
      </w:r>
      <w:r>
        <w:t xml:space="preserve"> responsibility for those consequences and communication with patient, team and relatives. This was linked with the concept of action and inaction</w:t>
      </w:r>
      <w:r w:rsidR="000837F6">
        <w:t>,</w:t>
      </w:r>
      <w:r>
        <w:t xml:space="preserve"> when referring to judgment and decision-making</w:t>
      </w:r>
      <w:r w:rsidR="000837F6">
        <w:t>. A</w:t>
      </w:r>
      <w:r>
        <w:t xml:space="preserve">n interesting display of body language and </w:t>
      </w:r>
      <w:r w:rsidR="000837F6">
        <w:t xml:space="preserve">vocal </w:t>
      </w:r>
      <w:r>
        <w:t xml:space="preserve">tone was witnessed when there was uncertainty in deciding </w:t>
      </w:r>
      <w:r w:rsidR="000837F6">
        <w:t xml:space="preserve">management </w:t>
      </w:r>
      <w:r w:rsidR="00986FEC">
        <w:t xml:space="preserve">for a patient. </w:t>
      </w:r>
      <w:r>
        <w:t>The concept of first do no harm may be misinterpreted as ‘do not act’</w:t>
      </w:r>
      <w:r w:rsidR="002E2D08">
        <w:t>, but doing nothing may be just as harmfu</w:t>
      </w:r>
      <w:r w:rsidR="00986FEC">
        <w:t>l</w:t>
      </w:r>
      <w:r>
        <w:t>. If students are going to understand consequences</w:t>
      </w:r>
      <w:r w:rsidR="002E2D08">
        <w:t>,</w:t>
      </w:r>
      <w:r>
        <w:t xml:space="preserve"> they need opportunity to apply their clinical </w:t>
      </w:r>
      <w:r w:rsidR="001D42C9">
        <w:t>judgment</w:t>
      </w:r>
      <w:r w:rsidR="002E2D08">
        <w:t xml:space="preserve"> and knowledge, synthesise</w:t>
      </w:r>
      <w:r>
        <w:t xml:space="preserve"> with </w:t>
      </w:r>
      <w:r w:rsidR="001231A4">
        <w:t>evidence-based</w:t>
      </w:r>
      <w:r>
        <w:t xml:space="preserve"> medicine and be empowered to make treatment decisions for patients. These should be real patients</w:t>
      </w:r>
      <w:r w:rsidR="002E2D08">
        <w:t>,</w:t>
      </w:r>
      <w:r>
        <w:t xml:space="preserve"> but with patient safety issues and clinical workplace pressures with </w:t>
      </w:r>
      <w:r w:rsidR="002E2D08">
        <w:t>supervision, simulated patients</w:t>
      </w:r>
      <w:r>
        <w:t xml:space="preserve"> allow the opportunity to bridge this gap. </w:t>
      </w:r>
    </w:p>
    <w:p w14:paraId="2C27DC1F" w14:textId="6D9AB9FD" w:rsidR="0052767A" w:rsidRDefault="0052767A" w:rsidP="0052767A">
      <w:r>
        <w:lastRenderedPageBreak/>
        <w:t>It was vital that treatment effects and responses were pla</w:t>
      </w:r>
      <w:r w:rsidR="00B05E77">
        <w:t>yed out authentically</w:t>
      </w:r>
      <w:r w:rsidR="002E2D08">
        <w:t>,</w:t>
      </w:r>
      <w:r>
        <w:t xml:space="preserve"> </w:t>
      </w:r>
      <w:r w:rsidR="00B05E77">
        <w:t xml:space="preserve">with </w:t>
      </w:r>
      <w:r w:rsidR="002E2D08">
        <w:t>time and physiology</w:t>
      </w:r>
      <w:r>
        <w:t xml:space="preserve">. This </w:t>
      </w:r>
      <w:r w:rsidR="002E2D08">
        <w:t xml:space="preserve">required </w:t>
      </w:r>
      <w:r>
        <w:t>pre-planning and cl</w:t>
      </w:r>
      <w:r w:rsidR="002E2D08">
        <w:t xml:space="preserve">inical experience from faculty. A </w:t>
      </w:r>
      <w:r>
        <w:t>good</w:t>
      </w:r>
      <w:r w:rsidR="002E2D08">
        <w:t xml:space="preserve"> consequence</w:t>
      </w:r>
      <w:r w:rsidR="00E14A4A">
        <w:t xml:space="preserve"> reinforced learning;</w:t>
      </w:r>
      <w:r w:rsidR="002E2D08">
        <w:t xml:space="preserve"> a</w:t>
      </w:r>
      <w:r>
        <w:t xml:space="preserve"> bad</w:t>
      </w:r>
      <w:r w:rsidR="002E2D08">
        <w:t xml:space="preserve"> consequence</w:t>
      </w:r>
      <w:r>
        <w:t xml:space="preserve"> allowed students to explore why </w:t>
      </w:r>
      <w:r w:rsidR="00333929">
        <w:t xml:space="preserve">it </w:t>
      </w:r>
      <w:r>
        <w:t>arose, drivers behind decisions and cognitive processes</w:t>
      </w:r>
      <w:r w:rsidR="00B05E77">
        <w:t>,</w:t>
      </w:r>
      <w:r w:rsidR="00E14A4A">
        <w:t xml:space="preserve"> which then created</w:t>
      </w:r>
      <w:r w:rsidR="00B05E77">
        <w:t xml:space="preserve"> new learning</w:t>
      </w:r>
      <w:r>
        <w:t xml:space="preserve">. Correction of any core </w:t>
      </w:r>
      <w:r w:rsidR="00B05E77">
        <w:t>misconceptions were made</w:t>
      </w:r>
      <w:r w:rsidR="006829B8">
        <w:t xml:space="preserve"> and a supportive environment lead to </w:t>
      </w:r>
      <w:r>
        <w:t xml:space="preserve">openness and duty of candour </w:t>
      </w:r>
      <w:r w:rsidR="002E2D08">
        <w:t>(</w:t>
      </w:r>
      <w:r>
        <w:t>Francis report</w:t>
      </w:r>
      <w:r w:rsidR="002E2D08">
        <w:t xml:space="preserve"> recommendation</w:t>
      </w:r>
      <w:r w:rsidR="00986FEC">
        <w:t>, 2013</w:t>
      </w:r>
      <w:r w:rsidR="002E2D08">
        <w:t>)</w:t>
      </w:r>
      <w:r>
        <w:t xml:space="preserve">. Medical students </w:t>
      </w:r>
      <w:r w:rsidR="006829B8">
        <w:t xml:space="preserve">remained </w:t>
      </w:r>
      <w:r>
        <w:t xml:space="preserve">fixated on whether they </w:t>
      </w:r>
      <w:r w:rsidR="00B05E77">
        <w:t>were ‘right or</w:t>
      </w:r>
      <w:r>
        <w:t xml:space="preserve"> wrong’</w:t>
      </w:r>
      <w:r w:rsidR="001E19F0">
        <w:t xml:space="preserve"> (Section 8.2.4</w:t>
      </w:r>
      <w:r w:rsidR="0040414D">
        <w:t>; p354</w:t>
      </w:r>
      <w:r w:rsidR="001E19F0">
        <w:t>)</w:t>
      </w:r>
      <w:r w:rsidR="006829B8">
        <w:t xml:space="preserve">. </w:t>
      </w:r>
      <w:r>
        <w:t>This phenomenon needs to be unpicked</w:t>
      </w:r>
      <w:r w:rsidR="006829B8">
        <w:t xml:space="preserve">, </w:t>
      </w:r>
      <w:r>
        <w:t>to allow develop</w:t>
      </w:r>
      <w:r w:rsidR="00211ECA">
        <w:t>ment of</w:t>
      </w:r>
      <w:r>
        <w:t xml:space="preserve"> the rich cognitive processes </w:t>
      </w:r>
      <w:r w:rsidR="006829B8">
        <w:t xml:space="preserve">required for </w:t>
      </w:r>
      <w:r>
        <w:t xml:space="preserve">problem solving clinical cases.  Unfortunately the assessment processes felt to drive learning may only reinforce </w:t>
      </w:r>
      <w:r w:rsidR="00211ECA">
        <w:t xml:space="preserve">this </w:t>
      </w:r>
      <w:r w:rsidR="006829B8">
        <w:t>approach</w:t>
      </w:r>
      <w:r w:rsidR="00D51EA2">
        <w:t xml:space="preserve">. This leads </w:t>
      </w:r>
      <w:r w:rsidR="00211ECA">
        <w:t>to</w:t>
      </w:r>
      <w:r>
        <w:t xml:space="preserve"> </w:t>
      </w:r>
      <w:r w:rsidR="00D51EA2">
        <w:t>the over</w:t>
      </w:r>
      <w:r>
        <w:t>simplif</w:t>
      </w:r>
      <w:r w:rsidR="00211ECA">
        <w:t>ication of</w:t>
      </w:r>
      <w:r>
        <w:t xml:space="preserve"> the journey </w:t>
      </w:r>
      <w:r w:rsidR="000A27DF">
        <w:t>into</w:t>
      </w:r>
      <w:r>
        <w:t xml:space="preserve"> professionalism</w:t>
      </w:r>
      <w:r w:rsidR="00211ECA">
        <w:t>,</w:t>
      </w:r>
      <w:r>
        <w:t xml:space="preserve"> of exploring, understanding and embracing clinical complexity. The anaphylaxis </w:t>
      </w:r>
      <w:r w:rsidR="00773921">
        <w:t xml:space="preserve">case </w:t>
      </w:r>
      <w:r>
        <w:t xml:space="preserve">demonstrated </w:t>
      </w:r>
      <w:r w:rsidR="00773921">
        <w:t>one student reciting</w:t>
      </w:r>
      <w:r w:rsidR="00EB7314">
        <w:t xml:space="preserve"> the correct dose and route of </w:t>
      </w:r>
      <w:r>
        <w:t>ad</w:t>
      </w:r>
      <w:r w:rsidR="00EB7314">
        <w:t>ministration</w:t>
      </w:r>
      <w:r w:rsidR="006B7303">
        <w:t>,</w:t>
      </w:r>
      <w:r>
        <w:t xml:space="preserve"> then </w:t>
      </w:r>
      <w:r w:rsidR="00D51EA2">
        <w:t xml:space="preserve">put </w:t>
      </w:r>
      <w:r>
        <w:t xml:space="preserve">under pressure </w:t>
      </w:r>
      <w:r w:rsidR="00EB7314">
        <w:t xml:space="preserve">with </w:t>
      </w:r>
      <w:r>
        <w:t xml:space="preserve">a choice, selected the incorrect strength and route. The resultant physiological </w:t>
      </w:r>
      <w:r w:rsidR="00EB7314">
        <w:t xml:space="preserve">patient </w:t>
      </w:r>
      <w:r>
        <w:t>response had to be assessed, interpreted and understood</w:t>
      </w:r>
      <w:r w:rsidR="00D51EA2">
        <w:t>. The</w:t>
      </w:r>
      <w:r>
        <w:t xml:space="preserve"> participant had to expla</w:t>
      </w:r>
      <w:r w:rsidR="000A27DF">
        <w:t>in</w:t>
      </w:r>
      <w:r w:rsidR="00D51EA2">
        <w:t xml:space="preserve"> </w:t>
      </w:r>
      <w:r w:rsidR="000A27DF">
        <w:t>to</w:t>
      </w:r>
      <w:r>
        <w:t xml:space="preserve"> the patient and take ownership of the decision</w:t>
      </w:r>
      <w:r w:rsidR="004A6514">
        <w:t>. A</w:t>
      </w:r>
      <w:r>
        <w:t xml:space="preserve">ltering the physiology in a realistic way was vital to manage the disconnect between the authentic clinical encounter and simulation. </w:t>
      </w:r>
    </w:p>
    <w:p w14:paraId="1034548D" w14:textId="4BF09B54" w:rsidR="0052767A" w:rsidRDefault="00646C90" w:rsidP="0052767A">
      <w:r>
        <w:t>C</w:t>
      </w:r>
      <w:r w:rsidR="0052767A">
        <w:t xml:space="preserve">onsequence learning is referred to in psychological </w:t>
      </w:r>
      <w:r w:rsidR="001231A4">
        <w:t>literature</w:t>
      </w:r>
      <w:r w:rsidR="0052767A">
        <w:t xml:space="preserve"> as </w:t>
      </w:r>
      <w:r w:rsidR="00D51EA2">
        <w:t>‘</w:t>
      </w:r>
      <w:r w:rsidR="0052767A">
        <w:t>operant conditioning</w:t>
      </w:r>
      <w:r w:rsidR="00D51EA2">
        <w:t>’</w:t>
      </w:r>
      <w:r>
        <w:t>. O</w:t>
      </w:r>
      <w:r w:rsidR="0052767A">
        <w:t xml:space="preserve">perant behaviour is said to emerge relative to the situation and context, linking </w:t>
      </w:r>
      <w:r w:rsidR="00D51EA2">
        <w:t xml:space="preserve">to </w:t>
      </w:r>
      <w:r w:rsidR="0052767A">
        <w:t xml:space="preserve">the concept of situated learning. Operant conditioning builds on the theory from Ivan Pavlov regarding the modification in behaviour based on positive and negative reinforcement. Experts are said to learn through </w:t>
      </w:r>
      <w:r w:rsidR="0052767A">
        <w:lastRenderedPageBreak/>
        <w:t xml:space="preserve">experience and outcomes. Simulation can be used to recreate rare and challenging events that put students </w:t>
      </w:r>
      <w:r w:rsidR="000A27DF">
        <w:t>into</w:t>
      </w:r>
      <w:r w:rsidR="0052767A">
        <w:t xml:space="preserve"> this phase of consequ</w:t>
      </w:r>
      <w:r>
        <w:t>ence learning and reflection. This</w:t>
      </w:r>
      <w:r w:rsidR="0052767A">
        <w:t xml:space="preserve"> supports </w:t>
      </w:r>
      <w:r w:rsidR="001231A4">
        <w:t>preparedness</w:t>
      </w:r>
      <w:r w:rsidR="0052767A">
        <w:t xml:space="preserve"> and</w:t>
      </w:r>
      <w:r>
        <w:t xml:space="preserve"> patient safety</w:t>
      </w:r>
      <w:r w:rsidR="0052767A">
        <w:t xml:space="preserve"> through </w:t>
      </w:r>
      <w:r>
        <w:t xml:space="preserve">enhancing </w:t>
      </w:r>
      <w:r w:rsidR="0052767A">
        <w:t xml:space="preserve">coping strategies and </w:t>
      </w:r>
      <w:r w:rsidR="00345C07">
        <w:t>teamworking</w:t>
      </w:r>
      <w:r w:rsidR="0052767A">
        <w:t xml:space="preserve"> skills. </w:t>
      </w:r>
    </w:p>
    <w:p w14:paraId="0053FAB6" w14:textId="63DE07BC" w:rsidR="0052767A" w:rsidRDefault="00434D1E" w:rsidP="0052767A">
      <w:r>
        <w:t xml:space="preserve">Aligning with the development of cognitive processes and </w:t>
      </w:r>
      <w:r w:rsidR="001231A4">
        <w:t>self-regulatory</w:t>
      </w:r>
      <w:r>
        <w:t xml:space="preserve"> skills, was the opportunity to develop prospective hazard analysis skills through simul</w:t>
      </w:r>
      <w:r w:rsidR="00FB4FB6">
        <w:t>ated encounters</w:t>
      </w:r>
      <w:r>
        <w:t xml:space="preserve">. Authenticity and </w:t>
      </w:r>
      <w:r w:rsidR="00646C90">
        <w:t xml:space="preserve">psychological </w:t>
      </w:r>
      <w:r>
        <w:t xml:space="preserve">fidelity were essential to create the responsibility and pressure to allow these </w:t>
      </w:r>
      <w:r w:rsidR="001E19F0">
        <w:t>events to occur (Section 8.2.3</w:t>
      </w:r>
      <w:r w:rsidR="0040414D">
        <w:t>; p347</w:t>
      </w:r>
      <w:r>
        <w:t xml:space="preserve">). </w:t>
      </w:r>
      <w:r w:rsidR="0052767A">
        <w:t>This more mean</w:t>
      </w:r>
      <w:r w:rsidR="00646C90">
        <w:t xml:space="preserve">ingful experience, exploration </w:t>
      </w:r>
      <w:r w:rsidR="0052767A">
        <w:t xml:space="preserve">and understanding of </w:t>
      </w:r>
      <w:r w:rsidR="00646C90">
        <w:t xml:space="preserve">human </w:t>
      </w:r>
      <w:r w:rsidR="001231A4">
        <w:t>fallibility</w:t>
      </w:r>
      <w:r w:rsidR="00646C90">
        <w:t xml:space="preserve"> and </w:t>
      </w:r>
      <w:r w:rsidR="0052767A">
        <w:t xml:space="preserve">where error has occurred </w:t>
      </w:r>
      <w:r w:rsidR="00646C90">
        <w:t>will prove</w:t>
      </w:r>
      <w:r w:rsidR="0052767A">
        <w:t xml:space="preserve"> key to </w:t>
      </w:r>
      <w:r w:rsidR="001D42C9">
        <w:t>healthcare</w:t>
      </w:r>
      <w:r w:rsidR="0052767A">
        <w:t xml:space="preserve"> cultural change.</w:t>
      </w:r>
    </w:p>
    <w:p w14:paraId="64AD2D03" w14:textId="3E61BB67" w:rsidR="0052767A" w:rsidRPr="001A5D18" w:rsidRDefault="0052767A" w:rsidP="0052767A">
      <w:pPr>
        <w:rPr>
          <w:rFonts w:eastAsiaTheme="minorEastAsia" w:cs="Arial"/>
          <w:color w:val="222222"/>
          <w:szCs w:val="24"/>
          <w:lang w:val="en-US"/>
        </w:rPr>
      </w:pPr>
      <w:r>
        <w:rPr>
          <w:rFonts w:eastAsiaTheme="minorEastAsia" w:cs="Arial"/>
          <w:color w:val="222222"/>
          <w:szCs w:val="24"/>
          <w:lang w:val="en-US"/>
        </w:rPr>
        <w:t>M</w:t>
      </w:r>
      <w:r w:rsidRPr="001A5D18">
        <w:rPr>
          <w:rFonts w:eastAsiaTheme="minorEastAsia" w:cs="Arial"/>
          <w:color w:val="222222"/>
          <w:szCs w:val="24"/>
          <w:lang w:val="en-US"/>
        </w:rPr>
        <w:t>edical students are considered novice learners with limited authentic clin</w:t>
      </w:r>
      <w:r>
        <w:rPr>
          <w:rFonts w:eastAsiaTheme="minorEastAsia" w:cs="Arial"/>
          <w:color w:val="222222"/>
          <w:szCs w:val="24"/>
          <w:lang w:val="en-US"/>
        </w:rPr>
        <w:t>i</w:t>
      </w:r>
      <w:r w:rsidRPr="001A5D18">
        <w:rPr>
          <w:rFonts w:eastAsiaTheme="minorEastAsia" w:cs="Arial"/>
          <w:color w:val="222222"/>
          <w:szCs w:val="24"/>
          <w:lang w:val="en-US"/>
        </w:rPr>
        <w:t>cal experi</w:t>
      </w:r>
      <w:r>
        <w:rPr>
          <w:rFonts w:eastAsiaTheme="minorEastAsia" w:cs="Arial"/>
          <w:color w:val="222222"/>
          <w:szCs w:val="24"/>
          <w:lang w:val="en-US"/>
        </w:rPr>
        <w:t>e</w:t>
      </w:r>
      <w:r w:rsidRPr="001A5D18">
        <w:rPr>
          <w:rFonts w:eastAsiaTheme="minorEastAsia" w:cs="Arial"/>
          <w:color w:val="222222"/>
          <w:szCs w:val="24"/>
          <w:lang w:val="en-US"/>
        </w:rPr>
        <w:t>nce,</w:t>
      </w:r>
      <w:r>
        <w:rPr>
          <w:rFonts w:eastAsiaTheme="minorEastAsia" w:cs="Arial"/>
          <w:color w:val="222222"/>
          <w:szCs w:val="24"/>
          <w:lang w:val="en-US"/>
        </w:rPr>
        <w:t xml:space="preserve"> however</w:t>
      </w:r>
      <w:r w:rsidRPr="001A5D18">
        <w:rPr>
          <w:rFonts w:eastAsiaTheme="minorEastAsia" w:cs="Arial"/>
          <w:color w:val="222222"/>
          <w:szCs w:val="24"/>
          <w:lang w:val="en-US"/>
        </w:rPr>
        <w:t xml:space="preserve"> this study found they were desperate to experience clinical complexity and learn how it felt and how to develop skills in managing it. At present</w:t>
      </w:r>
      <w:r w:rsidR="00D51EA2">
        <w:rPr>
          <w:rFonts w:eastAsiaTheme="minorEastAsia" w:cs="Arial"/>
          <w:color w:val="222222"/>
          <w:szCs w:val="24"/>
          <w:lang w:val="en-US"/>
        </w:rPr>
        <w:t>,</w:t>
      </w:r>
      <w:r w:rsidRPr="001A5D18">
        <w:rPr>
          <w:rFonts w:eastAsiaTheme="minorEastAsia" w:cs="Arial"/>
          <w:color w:val="222222"/>
          <w:szCs w:val="24"/>
          <w:lang w:val="en-US"/>
        </w:rPr>
        <w:t xml:space="preserve"> in the undergraduate medical curriculum, tasks appear divided </w:t>
      </w:r>
      <w:r w:rsidR="000A27DF">
        <w:rPr>
          <w:rFonts w:eastAsiaTheme="minorEastAsia" w:cs="Arial"/>
          <w:color w:val="222222"/>
          <w:szCs w:val="24"/>
          <w:lang w:val="en-US"/>
        </w:rPr>
        <w:t>into</w:t>
      </w:r>
      <w:r w:rsidRPr="001A5D18">
        <w:rPr>
          <w:rFonts w:eastAsiaTheme="minorEastAsia" w:cs="Arial"/>
          <w:color w:val="222222"/>
          <w:szCs w:val="24"/>
          <w:lang w:val="en-US"/>
        </w:rPr>
        <w:t xml:space="preserve"> </w:t>
      </w:r>
      <w:r w:rsidR="001231A4" w:rsidRPr="001A5D18">
        <w:rPr>
          <w:rFonts w:eastAsiaTheme="minorEastAsia" w:cs="Arial"/>
          <w:color w:val="222222"/>
          <w:szCs w:val="24"/>
          <w:lang w:val="en-US"/>
        </w:rPr>
        <w:t>technical</w:t>
      </w:r>
      <w:r w:rsidRPr="001A5D18">
        <w:rPr>
          <w:rFonts w:eastAsiaTheme="minorEastAsia" w:cs="Arial"/>
          <w:color w:val="222222"/>
          <w:szCs w:val="24"/>
          <w:lang w:val="en-US"/>
        </w:rPr>
        <w:t xml:space="preserve"> skills and non-</w:t>
      </w:r>
      <w:r w:rsidR="001231A4" w:rsidRPr="001A5D18">
        <w:rPr>
          <w:rFonts w:eastAsiaTheme="minorEastAsia" w:cs="Arial"/>
          <w:color w:val="222222"/>
          <w:szCs w:val="24"/>
          <w:lang w:val="en-US"/>
        </w:rPr>
        <w:t>technical</w:t>
      </w:r>
      <w:r w:rsidRPr="001A5D18">
        <w:rPr>
          <w:rFonts w:eastAsiaTheme="minorEastAsia" w:cs="Arial"/>
          <w:color w:val="222222"/>
          <w:szCs w:val="24"/>
          <w:lang w:val="en-US"/>
        </w:rPr>
        <w:t xml:space="preserve"> skills with the assumption that medical stude</w:t>
      </w:r>
      <w:r>
        <w:rPr>
          <w:rFonts w:eastAsiaTheme="minorEastAsia" w:cs="Arial"/>
          <w:color w:val="222222"/>
          <w:szCs w:val="24"/>
          <w:lang w:val="en-US"/>
        </w:rPr>
        <w:t>n</w:t>
      </w:r>
      <w:r w:rsidRPr="001A5D18">
        <w:rPr>
          <w:rFonts w:eastAsiaTheme="minorEastAsia" w:cs="Arial"/>
          <w:color w:val="222222"/>
          <w:szCs w:val="24"/>
          <w:lang w:val="en-US"/>
        </w:rPr>
        <w:t xml:space="preserve">ts will suddenly have the ability to merge them and understand the complexity of the </w:t>
      </w:r>
      <w:r w:rsidR="001231A4" w:rsidRPr="001A5D18">
        <w:rPr>
          <w:rFonts w:eastAsiaTheme="minorEastAsia" w:cs="Arial"/>
          <w:color w:val="222222"/>
          <w:szCs w:val="24"/>
          <w:lang w:val="en-US"/>
        </w:rPr>
        <w:t>clinical</w:t>
      </w:r>
      <w:r w:rsidRPr="001A5D18">
        <w:rPr>
          <w:rFonts w:eastAsiaTheme="minorEastAsia" w:cs="Arial"/>
          <w:color w:val="222222"/>
          <w:szCs w:val="24"/>
          <w:lang w:val="en-US"/>
        </w:rPr>
        <w:t xml:space="preserve"> environment when going </w:t>
      </w:r>
      <w:r w:rsidR="000A27DF">
        <w:rPr>
          <w:rFonts w:eastAsiaTheme="minorEastAsia" w:cs="Arial"/>
          <w:color w:val="222222"/>
          <w:szCs w:val="24"/>
          <w:lang w:val="en-US"/>
        </w:rPr>
        <w:t>into</w:t>
      </w:r>
      <w:r w:rsidRPr="001A5D18">
        <w:rPr>
          <w:rFonts w:eastAsiaTheme="minorEastAsia" w:cs="Arial"/>
          <w:color w:val="222222"/>
          <w:szCs w:val="24"/>
          <w:lang w:val="en-US"/>
        </w:rPr>
        <w:t xml:space="preserve"> practice. From observation, reflection and emergent data within this study</w:t>
      </w:r>
      <w:r>
        <w:rPr>
          <w:rFonts w:eastAsiaTheme="minorEastAsia" w:cs="Arial"/>
          <w:color w:val="222222"/>
          <w:szCs w:val="24"/>
          <w:lang w:val="en-US"/>
        </w:rPr>
        <w:t>, students</w:t>
      </w:r>
      <w:r w:rsidRPr="001A5D18">
        <w:rPr>
          <w:rFonts w:eastAsiaTheme="minorEastAsia" w:cs="Arial"/>
          <w:color w:val="222222"/>
          <w:szCs w:val="24"/>
          <w:lang w:val="en-US"/>
        </w:rPr>
        <w:t xml:space="preserve"> were</w:t>
      </w:r>
      <w:r>
        <w:rPr>
          <w:rFonts w:eastAsiaTheme="minorEastAsia" w:cs="Arial"/>
          <w:color w:val="222222"/>
          <w:szCs w:val="24"/>
          <w:lang w:val="en-US"/>
        </w:rPr>
        <w:t xml:space="preserve"> seen to </w:t>
      </w:r>
      <w:r w:rsidRPr="001A5D18">
        <w:rPr>
          <w:rFonts w:eastAsiaTheme="minorEastAsia" w:cs="Arial"/>
          <w:color w:val="222222"/>
          <w:szCs w:val="24"/>
          <w:lang w:val="en-US"/>
        </w:rPr>
        <w:t>experience</w:t>
      </w:r>
      <w:r w:rsidR="00207097">
        <w:rPr>
          <w:rFonts w:eastAsiaTheme="minorEastAsia" w:cs="Arial"/>
          <w:color w:val="222222"/>
          <w:szCs w:val="24"/>
          <w:lang w:val="en-US"/>
        </w:rPr>
        <w:t>,</w:t>
      </w:r>
      <w:r w:rsidRPr="001A5D18">
        <w:rPr>
          <w:rFonts w:eastAsiaTheme="minorEastAsia" w:cs="Arial"/>
          <w:color w:val="222222"/>
          <w:szCs w:val="24"/>
          <w:lang w:val="en-US"/>
        </w:rPr>
        <w:t xml:space="preserve"> </w:t>
      </w:r>
      <w:r w:rsidR="001231A4" w:rsidRPr="001A5D18">
        <w:rPr>
          <w:rFonts w:eastAsiaTheme="minorEastAsia" w:cs="Arial"/>
          <w:color w:val="222222"/>
          <w:szCs w:val="24"/>
          <w:lang w:val="en-US"/>
        </w:rPr>
        <w:t>and then</w:t>
      </w:r>
      <w:r w:rsidRPr="001A5D18">
        <w:rPr>
          <w:rFonts w:eastAsiaTheme="minorEastAsia" w:cs="Arial"/>
          <w:color w:val="222222"/>
          <w:szCs w:val="24"/>
          <w:lang w:val="en-US"/>
        </w:rPr>
        <w:t xml:space="preserve"> </w:t>
      </w:r>
      <w:r w:rsidR="00A05A43" w:rsidRPr="001A5D18">
        <w:rPr>
          <w:rFonts w:eastAsiaTheme="minorEastAsia" w:cs="Arial"/>
          <w:color w:val="222222"/>
          <w:szCs w:val="24"/>
          <w:lang w:val="en-US"/>
        </w:rPr>
        <w:t>beg</w:t>
      </w:r>
      <w:r w:rsidR="00A05A43">
        <w:rPr>
          <w:rFonts w:eastAsiaTheme="minorEastAsia" w:cs="Arial"/>
          <w:color w:val="222222"/>
          <w:szCs w:val="24"/>
          <w:lang w:val="en-US"/>
        </w:rPr>
        <w:t>in to</w:t>
      </w:r>
      <w:r w:rsidRPr="001A5D18">
        <w:rPr>
          <w:rFonts w:eastAsiaTheme="minorEastAsia" w:cs="Arial"/>
          <w:color w:val="222222"/>
          <w:szCs w:val="24"/>
          <w:lang w:val="en-US"/>
        </w:rPr>
        <w:t xml:space="preserve"> understand and discover these complex cognitive and emotional processes</w:t>
      </w:r>
      <w:r w:rsidR="0025010A">
        <w:rPr>
          <w:rFonts w:eastAsiaTheme="minorEastAsia" w:cs="Arial"/>
          <w:color w:val="222222"/>
          <w:szCs w:val="24"/>
          <w:lang w:val="en-US"/>
        </w:rPr>
        <w:t xml:space="preserve">. </w:t>
      </w:r>
      <w:r w:rsidR="001231A4">
        <w:rPr>
          <w:rFonts w:eastAsiaTheme="minorEastAsia" w:cs="Arial"/>
          <w:color w:val="222222"/>
          <w:szCs w:val="24"/>
          <w:lang w:val="en-US"/>
        </w:rPr>
        <w:t xml:space="preserve">In addition, </w:t>
      </w:r>
      <w:r w:rsidR="001231A4" w:rsidRPr="001A5D18">
        <w:rPr>
          <w:rFonts w:eastAsiaTheme="minorEastAsia" w:cs="Arial"/>
          <w:color w:val="222222"/>
          <w:szCs w:val="24"/>
          <w:lang w:val="en-US"/>
        </w:rPr>
        <w:t>the influ</w:t>
      </w:r>
      <w:r w:rsidR="001231A4">
        <w:rPr>
          <w:rFonts w:eastAsiaTheme="minorEastAsia" w:cs="Arial"/>
          <w:color w:val="222222"/>
          <w:szCs w:val="24"/>
          <w:lang w:val="en-US"/>
        </w:rPr>
        <w:t>e</w:t>
      </w:r>
      <w:r w:rsidR="001231A4" w:rsidRPr="001A5D18">
        <w:rPr>
          <w:rFonts w:eastAsiaTheme="minorEastAsia" w:cs="Arial"/>
          <w:color w:val="222222"/>
          <w:szCs w:val="24"/>
          <w:lang w:val="en-US"/>
        </w:rPr>
        <w:t>nce of them on their mental state, decision-making, judgment and ability to think and act</w:t>
      </w:r>
      <w:r w:rsidR="001231A4">
        <w:rPr>
          <w:rFonts w:eastAsiaTheme="minorEastAsia" w:cs="Arial"/>
          <w:color w:val="222222"/>
          <w:szCs w:val="24"/>
          <w:lang w:val="en-US"/>
        </w:rPr>
        <w:t xml:space="preserve"> (Field notes)</w:t>
      </w:r>
      <w:r w:rsidR="001231A4" w:rsidRPr="001A5D18">
        <w:rPr>
          <w:rFonts w:eastAsiaTheme="minorEastAsia" w:cs="Arial"/>
          <w:color w:val="222222"/>
          <w:szCs w:val="24"/>
          <w:lang w:val="en-US"/>
        </w:rPr>
        <w:t xml:space="preserve">. </w:t>
      </w:r>
      <w:r>
        <w:rPr>
          <w:rFonts w:eastAsiaTheme="minorEastAsia" w:cs="Arial"/>
          <w:color w:val="222222"/>
          <w:szCs w:val="24"/>
          <w:lang w:val="en-US"/>
        </w:rPr>
        <w:t xml:space="preserve">The researcher </w:t>
      </w:r>
      <w:r w:rsidR="001231A4">
        <w:rPr>
          <w:rFonts w:eastAsiaTheme="minorEastAsia" w:cs="Arial"/>
          <w:color w:val="222222"/>
          <w:szCs w:val="24"/>
          <w:lang w:val="en-US"/>
        </w:rPr>
        <w:t>concurs</w:t>
      </w:r>
      <w:r>
        <w:rPr>
          <w:rFonts w:eastAsiaTheme="minorEastAsia" w:cs="Arial"/>
          <w:color w:val="222222"/>
          <w:szCs w:val="24"/>
          <w:lang w:val="en-US"/>
        </w:rPr>
        <w:t xml:space="preserve"> that </w:t>
      </w:r>
      <w:r w:rsidR="00907E61">
        <w:rPr>
          <w:rFonts w:eastAsiaTheme="minorEastAsia" w:cs="Arial"/>
          <w:color w:val="222222"/>
          <w:szCs w:val="24"/>
          <w:lang w:val="en-US"/>
        </w:rPr>
        <w:t>c</w:t>
      </w:r>
      <w:r w:rsidR="005F705F">
        <w:rPr>
          <w:rFonts w:eastAsiaTheme="minorEastAsia" w:cs="Arial"/>
          <w:color w:val="222222"/>
          <w:szCs w:val="24"/>
          <w:lang w:val="en-US"/>
        </w:rPr>
        <w:t>andidate</w:t>
      </w:r>
      <w:r w:rsidRPr="001A5D18">
        <w:rPr>
          <w:rFonts w:eastAsiaTheme="minorEastAsia" w:cs="Arial"/>
          <w:color w:val="222222"/>
          <w:szCs w:val="24"/>
          <w:lang w:val="en-US"/>
        </w:rPr>
        <w:t xml:space="preserve">s should not become overwhelmed </w:t>
      </w:r>
      <w:r>
        <w:rPr>
          <w:rFonts w:eastAsiaTheme="minorEastAsia" w:cs="Arial"/>
          <w:color w:val="222222"/>
          <w:szCs w:val="24"/>
          <w:lang w:val="en-US"/>
        </w:rPr>
        <w:t xml:space="preserve">to the point of </w:t>
      </w:r>
      <w:r w:rsidRPr="001A5D18">
        <w:rPr>
          <w:rFonts w:eastAsiaTheme="minorEastAsia" w:cs="Arial"/>
          <w:color w:val="222222"/>
          <w:szCs w:val="24"/>
          <w:lang w:val="en-US"/>
        </w:rPr>
        <w:t>not learn</w:t>
      </w:r>
      <w:r>
        <w:rPr>
          <w:rFonts w:eastAsiaTheme="minorEastAsia" w:cs="Arial"/>
          <w:color w:val="222222"/>
          <w:szCs w:val="24"/>
          <w:lang w:val="en-US"/>
        </w:rPr>
        <w:t>ing</w:t>
      </w:r>
      <w:r w:rsidR="0025010A">
        <w:rPr>
          <w:rFonts w:eastAsiaTheme="minorEastAsia" w:cs="Arial"/>
          <w:color w:val="222222"/>
          <w:szCs w:val="24"/>
          <w:lang w:val="en-US"/>
        </w:rPr>
        <w:t>. H</w:t>
      </w:r>
      <w:r w:rsidRPr="001A5D18">
        <w:rPr>
          <w:rFonts w:eastAsiaTheme="minorEastAsia" w:cs="Arial"/>
          <w:color w:val="222222"/>
          <w:szCs w:val="24"/>
          <w:lang w:val="en-US"/>
        </w:rPr>
        <w:t xml:space="preserve">owever the concept of complexity </w:t>
      </w:r>
      <w:r w:rsidRPr="001A5D18">
        <w:rPr>
          <w:rFonts w:eastAsiaTheme="minorEastAsia" w:cs="Arial"/>
          <w:color w:val="222222"/>
          <w:szCs w:val="24"/>
          <w:lang w:val="en-US"/>
        </w:rPr>
        <w:lastRenderedPageBreak/>
        <w:t>shou</w:t>
      </w:r>
      <w:r w:rsidR="00207097">
        <w:rPr>
          <w:rFonts w:eastAsiaTheme="minorEastAsia" w:cs="Arial"/>
          <w:color w:val="222222"/>
          <w:szCs w:val="24"/>
          <w:lang w:val="en-US"/>
        </w:rPr>
        <w:t>ld be</w:t>
      </w:r>
      <w:r w:rsidRPr="001A5D18">
        <w:rPr>
          <w:rFonts w:eastAsiaTheme="minorEastAsia" w:cs="Arial"/>
          <w:color w:val="222222"/>
          <w:szCs w:val="24"/>
          <w:lang w:val="en-US"/>
        </w:rPr>
        <w:t xml:space="preserve"> embraced</w:t>
      </w:r>
      <w:r>
        <w:rPr>
          <w:rFonts w:eastAsiaTheme="minorEastAsia" w:cs="Arial"/>
          <w:color w:val="222222"/>
          <w:szCs w:val="24"/>
          <w:lang w:val="en-US"/>
        </w:rPr>
        <w:t>, and</w:t>
      </w:r>
      <w:r w:rsidRPr="001A5D18">
        <w:rPr>
          <w:rFonts w:eastAsiaTheme="minorEastAsia" w:cs="Arial"/>
          <w:color w:val="222222"/>
          <w:szCs w:val="24"/>
          <w:lang w:val="en-US"/>
        </w:rPr>
        <w:t xml:space="preserve"> i</w:t>
      </w:r>
      <w:r w:rsidR="00207097">
        <w:rPr>
          <w:rFonts w:eastAsiaTheme="minorEastAsia" w:cs="Arial"/>
          <w:color w:val="222222"/>
          <w:szCs w:val="24"/>
          <w:lang w:val="en-US"/>
        </w:rPr>
        <w:t>n</w:t>
      </w:r>
      <w:r w:rsidRPr="001A5D18">
        <w:rPr>
          <w:rFonts w:eastAsiaTheme="minorEastAsia" w:cs="Arial"/>
          <w:color w:val="222222"/>
          <w:szCs w:val="24"/>
          <w:lang w:val="en-US"/>
        </w:rPr>
        <w:t>troduce</w:t>
      </w:r>
      <w:r w:rsidR="0025010A">
        <w:rPr>
          <w:rFonts w:eastAsiaTheme="minorEastAsia" w:cs="Arial"/>
          <w:color w:val="222222"/>
          <w:szCs w:val="24"/>
          <w:lang w:val="en-US"/>
        </w:rPr>
        <w:t>d</w:t>
      </w:r>
      <w:r w:rsidRPr="001A5D18">
        <w:rPr>
          <w:rFonts w:eastAsiaTheme="minorEastAsia" w:cs="Arial"/>
          <w:color w:val="222222"/>
          <w:szCs w:val="24"/>
          <w:lang w:val="en-US"/>
        </w:rPr>
        <w:t xml:space="preserve"> at an early stage in</w:t>
      </w:r>
      <w:r w:rsidR="00D51EA2">
        <w:rPr>
          <w:rFonts w:eastAsiaTheme="minorEastAsia" w:cs="Arial"/>
          <w:color w:val="222222"/>
          <w:szCs w:val="24"/>
          <w:lang w:val="en-US"/>
        </w:rPr>
        <w:t>to</w:t>
      </w:r>
      <w:r w:rsidRPr="001A5D18">
        <w:rPr>
          <w:rFonts w:eastAsiaTheme="minorEastAsia" w:cs="Arial"/>
          <w:color w:val="222222"/>
          <w:szCs w:val="24"/>
          <w:lang w:val="en-US"/>
        </w:rPr>
        <w:t xml:space="preserve"> </w:t>
      </w:r>
      <w:r w:rsidR="0025010A">
        <w:rPr>
          <w:rFonts w:eastAsiaTheme="minorEastAsia" w:cs="Arial"/>
          <w:color w:val="222222"/>
          <w:szCs w:val="24"/>
          <w:lang w:val="en-US"/>
        </w:rPr>
        <w:t xml:space="preserve">the undergraduate curriculum in </w:t>
      </w:r>
      <w:r w:rsidRPr="001A5D18">
        <w:rPr>
          <w:rFonts w:eastAsiaTheme="minorEastAsia" w:cs="Arial"/>
          <w:color w:val="222222"/>
          <w:szCs w:val="24"/>
          <w:lang w:val="en-US"/>
        </w:rPr>
        <w:t>a graded and responsible fashion</w:t>
      </w:r>
      <w:r w:rsidR="0025010A">
        <w:rPr>
          <w:rFonts w:eastAsiaTheme="minorEastAsia" w:cs="Arial"/>
          <w:color w:val="222222"/>
          <w:szCs w:val="24"/>
          <w:lang w:val="en-US"/>
        </w:rPr>
        <w:t>,</w:t>
      </w:r>
      <w:r w:rsidR="0025010A" w:rsidRPr="0025010A">
        <w:rPr>
          <w:rFonts w:eastAsiaTheme="minorEastAsia" w:cs="Arial"/>
          <w:color w:val="222222"/>
          <w:szCs w:val="24"/>
          <w:lang w:val="en-US"/>
        </w:rPr>
        <w:t xml:space="preserve"> </w:t>
      </w:r>
      <w:r w:rsidR="00D51EA2">
        <w:rPr>
          <w:rFonts w:eastAsiaTheme="minorEastAsia" w:cs="Arial"/>
          <w:color w:val="222222"/>
          <w:szCs w:val="24"/>
          <w:lang w:val="en-US"/>
        </w:rPr>
        <w:t xml:space="preserve">and </w:t>
      </w:r>
      <w:r w:rsidR="0025010A">
        <w:rPr>
          <w:rFonts w:eastAsiaTheme="minorEastAsia" w:cs="Arial"/>
          <w:color w:val="222222"/>
          <w:szCs w:val="24"/>
          <w:lang w:val="en-US"/>
        </w:rPr>
        <w:t>underpinned by human factors</w:t>
      </w:r>
      <w:r w:rsidRPr="001A5D18">
        <w:rPr>
          <w:rFonts w:eastAsiaTheme="minorEastAsia" w:cs="Arial"/>
          <w:color w:val="222222"/>
          <w:szCs w:val="24"/>
          <w:lang w:val="en-US"/>
        </w:rPr>
        <w:t xml:space="preserve">. </w:t>
      </w:r>
      <w:r w:rsidR="0025010A">
        <w:rPr>
          <w:rFonts w:eastAsiaTheme="minorEastAsia" w:cs="Arial"/>
          <w:color w:val="222222"/>
          <w:szCs w:val="24"/>
          <w:lang w:val="en-US"/>
        </w:rPr>
        <w:t>D</w:t>
      </w:r>
      <w:r>
        <w:rPr>
          <w:rFonts w:eastAsiaTheme="minorEastAsia" w:cs="Arial"/>
          <w:color w:val="222222"/>
          <w:szCs w:val="24"/>
          <w:lang w:val="en-US"/>
        </w:rPr>
        <w:t xml:space="preserve">etail on the level of pressure and practical support on how to achieve </w:t>
      </w:r>
      <w:r w:rsidR="0025010A">
        <w:rPr>
          <w:rFonts w:eastAsiaTheme="minorEastAsia" w:cs="Arial"/>
          <w:color w:val="222222"/>
          <w:szCs w:val="24"/>
          <w:lang w:val="en-US"/>
        </w:rPr>
        <w:t xml:space="preserve">this </w:t>
      </w:r>
      <w:r>
        <w:rPr>
          <w:rFonts w:eastAsiaTheme="minorEastAsia" w:cs="Arial"/>
          <w:color w:val="222222"/>
          <w:szCs w:val="24"/>
          <w:lang w:val="en-US"/>
        </w:rPr>
        <w:t>for an individual have been brought to light throu</w:t>
      </w:r>
      <w:r w:rsidR="0040414D">
        <w:rPr>
          <w:rFonts w:eastAsiaTheme="minorEastAsia" w:cs="Arial"/>
          <w:color w:val="222222"/>
          <w:szCs w:val="24"/>
          <w:lang w:val="en-US"/>
        </w:rPr>
        <w:t>gh this research (p313-18</w:t>
      </w:r>
      <w:r w:rsidR="00705E24">
        <w:rPr>
          <w:rFonts w:eastAsiaTheme="minorEastAsia" w:cs="Arial"/>
          <w:color w:val="222222"/>
          <w:szCs w:val="24"/>
          <w:lang w:val="en-US"/>
        </w:rPr>
        <w:t xml:space="preserve">). </w:t>
      </w:r>
      <w:r w:rsidRPr="001A5D18">
        <w:rPr>
          <w:rFonts w:eastAsiaTheme="minorEastAsia" w:cs="Arial"/>
          <w:color w:val="222222"/>
          <w:szCs w:val="24"/>
          <w:lang w:val="en-US"/>
        </w:rPr>
        <w:t>Students were able to deal with complexity when able to notice, stand back</w:t>
      </w:r>
      <w:r>
        <w:rPr>
          <w:rFonts w:eastAsiaTheme="minorEastAsia" w:cs="Arial"/>
          <w:color w:val="222222"/>
          <w:szCs w:val="24"/>
          <w:lang w:val="en-US"/>
        </w:rPr>
        <w:t>,</w:t>
      </w:r>
      <w:r w:rsidRPr="001A5D18">
        <w:rPr>
          <w:rFonts w:eastAsiaTheme="minorEastAsia" w:cs="Arial"/>
          <w:color w:val="222222"/>
          <w:szCs w:val="24"/>
          <w:lang w:val="en-US"/>
        </w:rPr>
        <w:t xml:space="preserve"> </w:t>
      </w:r>
      <w:proofErr w:type="spellStart"/>
      <w:r w:rsidRPr="001A5D18">
        <w:rPr>
          <w:rFonts w:eastAsiaTheme="minorEastAsia" w:cs="Arial"/>
          <w:color w:val="222222"/>
          <w:szCs w:val="24"/>
          <w:lang w:val="en-US"/>
        </w:rPr>
        <w:t>vocalise</w:t>
      </w:r>
      <w:proofErr w:type="spellEnd"/>
      <w:r w:rsidRPr="001A5D18">
        <w:rPr>
          <w:rFonts w:eastAsiaTheme="minorEastAsia" w:cs="Arial"/>
          <w:color w:val="222222"/>
          <w:szCs w:val="24"/>
          <w:lang w:val="en-US"/>
        </w:rPr>
        <w:t xml:space="preserve"> concerns and recruit help within the situation and community they were </w:t>
      </w:r>
      <w:r w:rsidR="00345C07">
        <w:rPr>
          <w:rFonts w:eastAsiaTheme="minorEastAsia" w:cs="Arial"/>
          <w:color w:val="222222"/>
          <w:szCs w:val="24"/>
          <w:lang w:val="en-US"/>
        </w:rPr>
        <w:t>practic</w:t>
      </w:r>
      <w:r w:rsidR="00345C07" w:rsidRPr="001A5D18">
        <w:rPr>
          <w:rFonts w:eastAsiaTheme="minorEastAsia" w:cs="Arial"/>
          <w:color w:val="222222"/>
          <w:szCs w:val="24"/>
          <w:lang w:val="en-US"/>
        </w:rPr>
        <w:t>ing</w:t>
      </w:r>
      <w:r w:rsidRPr="001A5D18">
        <w:rPr>
          <w:rFonts w:eastAsiaTheme="minorEastAsia" w:cs="Arial"/>
          <w:color w:val="222222"/>
          <w:szCs w:val="24"/>
          <w:lang w:val="en-US"/>
        </w:rPr>
        <w:t xml:space="preserve"> in. They reported that this made them feel like a junior doctor looking after a patient and feel more prepared </w:t>
      </w:r>
      <w:r>
        <w:rPr>
          <w:rFonts w:eastAsiaTheme="minorEastAsia" w:cs="Arial"/>
          <w:color w:val="222222"/>
          <w:szCs w:val="24"/>
          <w:lang w:val="en-US"/>
        </w:rPr>
        <w:t>(Feedback, field notes)</w:t>
      </w:r>
      <w:r w:rsidRPr="001A5D18">
        <w:rPr>
          <w:rFonts w:eastAsiaTheme="minorEastAsia" w:cs="Arial"/>
          <w:color w:val="222222"/>
          <w:szCs w:val="24"/>
          <w:lang w:val="en-US"/>
        </w:rPr>
        <w:t xml:space="preserve">. </w:t>
      </w:r>
    </w:p>
    <w:p w14:paraId="3BF427B5" w14:textId="7A54CEC9" w:rsidR="003C0F0E" w:rsidRPr="006B027F" w:rsidRDefault="0052767A" w:rsidP="00CC2587">
      <w:pPr>
        <w:rPr>
          <w:rFonts w:eastAsiaTheme="minorEastAsia" w:cs="Arial"/>
          <w:color w:val="222222"/>
          <w:szCs w:val="24"/>
          <w:lang w:val="en-US"/>
        </w:rPr>
      </w:pPr>
      <w:r>
        <w:rPr>
          <w:rFonts w:eastAsiaTheme="minorEastAsia" w:cs="Arial"/>
          <w:color w:val="222222"/>
          <w:szCs w:val="24"/>
          <w:lang w:val="en-US"/>
        </w:rPr>
        <w:t>Cognitive load theory may be</w:t>
      </w:r>
      <w:r w:rsidRPr="001A5D18">
        <w:rPr>
          <w:rFonts w:eastAsiaTheme="minorEastAsia" w:cs="Arial"/>
          <w:color w:val="222222"/>
          <w:szCs w:val="24"/>
          <w:lang w:val="en-US"/>
        </w:rPr>
        <w:t xml:space="preserve"> useful to </w:t>
      </w:r>
      <w:r w:rsidR="0025010A">
        <w:rPr>
          <w:rFonts w:eastAsiaTheme="minorEastAsia" w:cs="Arial"/>
          <w:color w:val="222222"/>
          <w:szCs w:val="24"/>
          <w:lang w:val="en-US"/>
        </w:rPr>
        <w:t>support</w:t>
      </w:r>
      <w:r w:rsidRPr="001A5D18">
        <w:rPr>
          <w:rFonts w:eastAsiaTheme="minorEastAsia" w:cs="Arial"/>
          <w:color w:val="222222"/>
          <w:szCs w:val="24"/>
          <w:lang w:val="en-US"/>
        </w:rPr>
        <w:t xml:space="preserve"> design of simul</w:t>
      </w:r>
      <w:r>
        <w:rPr>
          <w:rFonts w:eastAsiaTheme="minorEastAsia" w:cs="Arial"/>
          <w:color w:val="222222"/>
          <w:szCs w:val="24"/>
          <w:lang w:val="en-US"/>
        </w:rPr>
        <w:t>ation for</w:t>
      </w:r>
      <w:r w:rsidRPr="001A5D18">
        <w:rPr>
          <w:rFonts w:eastAsiaTheme="minorEastAsia" w:cs="Arial"/>
          <w:color w:val="222222"/>
          <w:szCs w:val="24"/>
          <w:lang w:val="en-US"/>
        </w:rPr>
        <w:t xml:space="preserve"> education initiatives, however it should be use</w:t>
      </w:r>
      <w:r w:rsidR="00881625">
        <w:rPr>
          <w:rFonts w:eastAsiaTheme="minorEastAsia" w:cs="Arial"/>
          <w:color w:val="222222"/>
          <w:szCs w:val="24"/>
          <w:lang w:val="en-US"/>
        </w:rPr>
        <w:t>d in the context of other theories</w:t>
      </w:r>
      <w:r w:rsidRPr="001A5D18">
        <w:rPr>
          <w:rFonts w:eastAsiaTheme="minorEastAsia" w:cs="Arial"/>
          <w:color w:val="222222"/>
          <w:szCs w:val="24"/>
          <w:lang w:val="en-US"/>
        </w:rPr>
        <w:t xml:space="preserve"> </w:t>
      </w:r>
      <w:r w:rsidR="00F76411">
        <w:rPr>
          <w:rFonts w:eastAsiaTheme="minorEastAsia" w:cs="Arial"/>
          <w:color w:val="222222"/>
          <w:szCs w:val="24"/>
          <w:lang w:val="en-US"/>
        </w:rPr>
        <w:t xml:space="preserve">and </w:t>
      </w:r>
      <w:r w:rsidR="001231A4" w:rsidRPr="001A5D18">
        <w:rPr>
          <w:rFonts w:eastAsiaTheme="minorEastAsia" w:cs="Arial"/>
          <w:color w:val="222222"/>
          <w:szCs w:val="24"/>
          <w:lang w:val="en-US"/>
        </w:rPr>
        <w:t>adapted</w:t>
      </w:r>
      <w:r>
        <w:rPr>
          <w:rFonts w:eastAsiaTheme="minorEastAsia" w:cs="Arial"/>
          <w:color w:val="222222"/>
          <w:szCs w:val="24"/>
          <w:lang w:val="en-US"/>
        </w:rPr>
        <w:t>. This should</w:t>
      </w:r>
      <w:r w:rsidRPr="001A5D18">
        <w:rPr>
          <w:rFonts w:eastAsiaTheme="minorEastAsia" w:cs="Arial"/>
          <w:color w:val="222222"/>
          <w:szCs w:val="24"/>
          <w:lang w:val="en-US"/>
        </w:rPr>
        <w:t xml:space="preserve"> include </w:t>
      </w:r>
      <w:r w:rsidR="00881625">
        <w:rPr>
          <w:rFonts w:eastAsiaTheme="minorEastAsia" w:cs="Arial"/>
          <w:color w:val="222222"/>
          <w:szCs w:val="24"/>
          <w:lang w:val="en-US"/>
        </w:rPr>
        <w:t xml:space="preserve">the </w:t>
      </w:r>
      <w:r w:rsidRPr="001A5D18">
        <w:rPr>
          <w:rFonts w:eastAsiaTheme="minorEastAsia" w:cs="Arial"/>
          <w:color w:val="222222"/>
          <w:szCs w:val="24"/>
          <w:lang w:val="en-US"/>
        </w:rPr>
        <w:t>tailoring of pressure to individuals a</w:t>
      </w:r>
      <w:r>
        <w:rPr>
          <w:rFonts w:eastAsiaTheme="minorEastAsia" w:cs="Arial"/>
          <w:color w:val="222222"/>
          <w:szCs w:val="24"/>
          <w:lang w:val="en-US"/>
        </w:rPr>
        <w:t>s</w:t>
      </w:r>
      <w:r w:rsidRPr="001A5D18">
        <w:rPr>
          <w:rFonts w:eastAsiaTheme="minorEastAsia" w:cs="Arial"/>
          <w:color w:val="222222"/>
          <w:szCs w:val="24"/>
          <w:lang w:val="en-US"/>
        </w:rPr>
        <w:t xml:space="preserve"> suggested by this study</w:t>
      </w:r>
      <w:r w:rsidR="00F76411">
        <w:rPr>
          <w:rFonts w:eastAsiaTheme="minorEastAsia" w:cs="Arial"/>
          <w:color w:val="222222"/>
          <w:szCs w:val="24"/>
          <w:lang w:val="en-US"/>
        </w:rPr>
        <w:t xml:space="preserve">. Others highlight </w:t>
      </w:r>
      <w:r w:rsidRPr="001A5D18">
        <w:rPr>
          <w:rFonts w:eastAsiaTheme="minorEastAsia" w:cs="Arial"/>
          <w:color w:val="222222"/>
          <w:szCs w:val="24"/>
          <w:lang w:val="en-US"/>
        </w:rPr>
        <w:t xml:space="preserve">areas of </w:t>
      </w:r>
      <w:r w:rsidR="001231A4" w:rsidRPr="001A5D18">
        <w:rPr>
          <w:rFonts w:eastAsiaTheme="minorEastAsia" w:cs="Arial"/>
          <w:color w:val="222222"/>
          <w:szCs w:val="24"/>
          <w:lang w:val="en-US"/>
        </w:rPr>
        <w:t>cognitive</w:t>
      </w:r>
      <w:r w:rsidRPr="001A5D18">
        <w:rPr>
          <w:rFonts w:eastAsiaTheme="minorEastAsia" w:cs="Arial"/>
          <w:color w:val="222222"/>
          <w:szCs w:val="24"/>
          <w:lang w:val="en-US"/>
        </w:rPr>
        <w:t xml:space="preserve"> load theory that</w:t>
      </w:r>
      <w:r>
        <w:rPr>
          <w:rFonts w:eastAsiaTheme="minorEastAsia" w:cs="Arial"/>
          <w:color w:val="222222"/>
          <w:szCs w:val="24"/>
          <w:lang w:val="en-US"/>
        </w:rPr>
        <w:t xml:space="preserve"> may transfer for use in simula</w:t>
      </w:r>
      <w:r w:rsidRPr="001A5D18">
        <w:rPr>
          <w:rFonts w:eastAsiaTheme="minorEastAsia" w:cs="Arial"/>
          <w:color w:val="222222"/>
          <w:szCs w:val="24"/>
          <w:lang w:val="en-US"/>
        </w:rPr>
        <w:t>t</w:t>
      </w:r>
      <w:r>
        <w:rPr>
          <w:rFonts w:eastAsiaTheme="minorEastAsia" w:cs="Arial"/>
          <w:color w:val="222222"/>
          <w:szCs w:val="24"/>
          <w:lang w:val="en-US"/>
        </w:rPr>
        <w:t>i</w:t>
      </w:r>
      <w:r w:rsidRPr="001A5D18">
        <w:rPr>
          <w:rFonts w:eastAsiaTheme="minorEastAsia" w:cs="Arial"/>
          <w:color w:val="222222"/>
          <w:szCs w:val="24"/>
          <w:lang w:val="en-US"/>
        </w:rPr>
        <w:t xml:space="preserve">on design </w:t>
      </w:r>
      <w:r w:rsidRPr="001A5D18">
        <w:rPr>
          <w:rFonts w:eastAsiaTheme="minorEastAsia" w:cs="Arial"/>
          <w:color w:val="222222"/>
          <w:szCs w:val="24"/>
          <w:lang w:val="en-US"/>
        </w:rPr>
        <w:fldChar w:fldCharType="begin"/>
      </w:r>
      <w:r w:rsidRPr="001A5D18">
        <w:rPr>
          <w:rFonts w:eastAsiaTheme="minorEastAsia" w:cs="Arial"/>
          <w:color w:val="222222"/>
          <w:szCs w:val="24"/>
          <w:lang w:val="en-US"/>
        </w:rPr>
        <w:instrText xml:space="preserve"> ADDIN EN.CITE &lt;EndNote&gt;&lt;Cite&gt;&lt;Author&gt;Reedy&lt;/Author&gt;&lt;Year&gt;2015&lt;/Year&gt;&lt;IDText&gt;Using Cognitive Load theory to Inform Simulation Design and Practice&lt;/IDText&gt;&lt;DisplayText&gt;(Reedy, 2015)&lt;/DisplayText&gt;&lt;record&gt;&lt;titles&gt;&lt;title&gt;Using Cognitive Load theory to Inform Simulation Design and Practice&lt;/title&gt;&lt;secondary-title&gt;Clinical Simulation in Nursing&lt;/secondary-title&gt;&lt;/titles&gt;&lt;pages&gt;355-360&lt;/pages&gt;&lt;number&gt;8&lt;/number&gt;&lt;contributors&gt;&lt;authors&gt;&lt;author&gt;Reedy, Gabriel&lt;/author&gt;&lt;/authors&gt;&lt;/contributors&gt;&lt;added-date format="utc"&gt;1472552618&lt;/added-date&gt;&lt;ref-type name="Journal Article"&gt;17&lt;/ref-type&gt;&lt;dates&gt;&lt;year&gt;2015&lt;/year&gt;&lt;/dates&gt;&lt;rec-number&gt;274&lt;/rec-number&gt;&lt;last-updated-date format="utc"&gt;1472552724&lt;/last-updated-date&gt;&lt;volume&gt;11&lt;/volume&gt;&lt;/record&gt;&lt;/Cite&gt;&lt;/EndNote&gt;</w:instrText>
      </w:r>
      <w:r w:rsidRPr="001A5D18">
        <w:rPr>
          <w:rFonts w:eastAsiaTheme="minorEastAsia" w:cs="Arial"/>
          <w:color w:val="222222"/>
          <w:szCs w:val="24"/>
          <w:lang w:val="en-US"/>
        </w:rPr>
        <w:fldChar w:fldCharType="separate"/>
      </w:r>
      <w:r w:rsidRPr="001A5D18">
        <w:rPr>
          <w:rFonts w:eastAsiaTheme="minorEastAsia" w:cs="Arial"/>
          <w:noProof/>
          <w:color w:val="222222"/>
          <w:szCs w:val="24"/>
          <w:lang w:val="en-US"/>
        </w:rPr>
        <w:t>(Reedy, 2015)</w:t>
      </w:r>
      <w:r w:rsidRPr="001A5D18">
        <w:rPr>
          <w:rFonts w:eastAsiaTheme="minorEastAsia" w:cs="Arial"/>
          <w:color w:val="222222"/>
          <w:szCs w:val="24"/>
          <w:lang w:val="en-US"/>
        </w:rPr>
        <w:fldChar w:fldCharType="end"/>
      </w:r>
      <w:r w:rsidRPr="001A5D18">
        <w:rPr>
          <w:rFonts w:eastAsiaTheme="minorEastAsia" w:cs="Arial"/>
          <w:color w:val="222222"/>
          <w:szCs w:val="24"/>
          <w:lang w:val="en-US"/>
        </w:rPr>
        <w:t>.</w:t>
      </w:r>
      <w:r w:rsidR="00F76411">
        <w:rPr>
          <w:rFonts w:eastAsiaTheme="minorEastAsia" w:cs="Arial"/>
          <w:color w:val="222222"/>
          <w:szCs w:val="24"/>
          <w:lang w:val="en-US"/>
        </w:rPr>
        <w:t xml:space="preserve"> </w:t>
      </w:r>
      <w:r w:rsidR="00881625">
        <w:rPr>
          <w:rFonts w:eastAsiaTheme="minorEastAsia" w:cs="Arial"/>
          <w:color w:val="222222"/>
          <w:szCs w:val="24"/>
          <w:lang w:val="en-US"/>
        </w:rPr>
        <w:t>The Yerkes–</w:t>
      </w:r>
      <w:r w:rsidRPr="001A5D18">
        <w:rPr>
          <w:rFonts w:eastAsiaTheme="minorEastAsia" w:cs="Arial"/>
          <w:color w:val="222222"/>
          <w:szCs w:val="24"/>
          <w:lang w:val="en-US"/>
        </w:rPr>
        <w:t xml:space="preserve">Dodson law supports the notion that each individual has an optimum level of stress at which they perform at their best </w:t>
      </w:r>
      <w:r w:rsidRPr="001A5D18">
        <w:rPr>
          <w:rFonts w:eastAsiaTheme="minorEastAsia" w:cs="Arial"/>
          <w:color w:val="222222"/>
          <w:szCs w:val="24"/>
          <w:lang w:val="en-US"/>
        </w:rPr>
        <w:fldChar w:fldCharType="begin"/>
      </w:r>
      <w:r w:rsidRPr="001A5D18">
        <w:rPr>
          <w:rFonts w:eastAsiaTheme="minorEastAsia" w:cs="Arial"/>
          <w:color w:val="222222"/>
          <w:szCs w:val="24"/>
          <w:lang w:val="en-US"/>
        </w:rPr>
        <w:instrText xml:space="preserve"> ADDIN EN.CITE &lt;EndNote&gt;&lt;Cite&gt;&lt;Author&gt;Yerkes&lt;/Author&gt;&lt;Year&gt;1908&lt;/Year&gt;&lt;IDText&gt;The relation of strength of stimulus to rapidity of habit-formation&lt;/IDText&gt;&lt;DisplayText&gt;(Yerkes and Dodson, 1908)&lt;/DisplayText&gt;&lt;record&gt;&lt;titles&gt;&lt;title&gt;The relation of strength of stimulus to rapidity of habit-formation&lt;/title&gt;&lt;secondary-title&gt;Journal of Comparative Neurology and Psychology&lt;/secondary-title&gt;&lt;/titles&gt;&lt;pages&gt;459-482&lt;/pages&gt;&lt;contributors&gt;&lt;authors&gt;&lt;author&gt;Yerkes, R. M&lt;/author&gt;&lt;author&gt;Dodson, J. D&lt;/author&gt;&lt;/authors&gt;&lt;/contributors&gt;&lt;added-date format="utc"&gt;1472655122&lt;/added-date&gt;&lt;ref-type name="Journal Article"&gt;17&lt;/ref-type&gt;&lt;dates&gt;&lt;year&gt;1908&lt;/year&gt;&lt;/dates&gt;&lt;rec-number&gt;284&lt;/rec-number&gt;&lt;last-updated-date format="utc"&gt;1472655241&lt;/last-updated-date&gt;&lt;volume&gt;18&lt;/volume&gt;&lt;/record&gt;&lt;/Cite&gt;&lt;/EndNote&gt;</w:instrText>
      </w:r>
      <w:r w:rsidRPr="001A5D18">
        <w:rPr>
          <w:rFonts w:eastAsiaTheme="minorEastAsia" w:cs="Arial"/>
          <w:color w:val="222222"/>
          <w:szCs w:val="24"/>
          <w:lang w:val="en-US"/>
        </w:rPr>
        <w:fldChar w:fldCharType="separate"/>
      </w:r>
      <w:r w:rsidRPr="001A5D18">
        <w:rPr>
          <w:rFonts w:eastAsiaTheme="minorEastAsia" w:cs="Arial"/>
          <w:noProof/>
          <w:color w:val="222222"/>
          <w:szCs w:val="24"/>
          <w:lang w:val="en-US"/>
        </w:rPr>
        <w:t>(Yerkes and Dodson, 1908)</w:t>
      </w:r>
      <w:r w:rsidRPr="001A5D18">
        <w:rPr>
          <w:rFonts w:eastAsiaTheme="minorEastAsia" w:cs="Arial"/>
          <w:color w:val="222222"/>
          <w:szCs w:val="24"/>
          <w:lang w:val="en-US"/>
        </w:rPr>
        <w:fldChar w:fldCharType="end"/>
      </w:r>
      <w:r w:rsidRPr="001A5D18">
        <w:rPr>
          <w:rFonts w:eastAsiaTheme="minorEastAsia" w:cs="Arial"/>
          <w:color w:val="222222"/>
          <w:szCs w:val="24"/>
          <w:lang w:val="en-US"/>
        </w:rPr>
        <w:t>. We have learn</w:t>
      </w:r>
      <w:r>
        <w:rPr>
          <w:rFonts w:eastAsiaTheme="minorEastAsia" w:cs="Arial"/>
          <w:color w:val="222222"/>
          <w:szCs w:val="24"/>
          <w:lang w:val="en-US"/>
        </w:rPr>
        <w:t>t</w:t>
      </w:r>
      <w:r w:rsidRPr="001A5D18">
        <w:rPr>
          <w:rFonts w:eastAsiaTheme="minorEastAsia" w:cs="Arial"/>
          <w:color w:val="222222"/>
          <w:szCs w:val="24"/>
          <w:lang w:val="en-US"/>
        </w:rPr>
        <w:t xml:space="preserve"> that this is linked to emotional intelligence, mental toughness and personality</w:t>
      </w:r>
      <w:r>
        <w:rPr>
          <w:rFonts w:eastAsiaTheme="minorEastAsia" w:cs="Arial"/>
          <w:color w:val="222222"/>
          <w:szCs w:val="24"/>
          <w:lang w:val="en-US"/>
        </w:rPr>
        <w:t>,</w:t>
      </w:r>
      <w:r w:rsidRPr="001A5D18">
        <w:rPr>
          <w:rFonts w:eastAsiaTheme="minorEastAsia" w:cs="Arial"/>
          <w:color w:val="222222"/>
          <w:szCs w:val="24"/>
          <w:lang w:val="en-US"/>
        </w:rPr>
        <w:t xml:space="preserve"> unique to each individual. There is an ethical imperative to prepare undergraduates for the real clini</w:t>
      </w:r>
      <w:r>
        <w:rPr>
          <w:rFonts w:eastAsiaTheme="minorEastAsia" w:cs="Arial"/>
          <w:color w:val="222222"/>
          <w:szCs w:val="24"/>
          <w:lang w:val="en-US"/>
        </w:rPr>
        <w:t>c</w:t>
      </w:r>
      <w:r w:rsidRPr="001A5D18">
        <w:rPr>
          <w:rFonts w:eastAsiaTheme="minorEastAsia" w:cs="Arial"/>
          <w:color w:val="222222"/>
          <w:szCs w:val="24"/>
          <w:lang w:val="en-US"/>
        </w:rPr>
        <w:t>al environment</w:t>
      </w:r>
      <w:r w:rsidR="00F76411">
        <w:rPr>
          <w:rFonts w:eastAsiaTheme="minorEastAsia" w:cs="Arial"/>
          <w:color w:val="222222"/>
          <w:szCs w:val="24"/>
          <w:lang w:val="en-US"/>
        </w:rPr>
        <w:t>,</w:t>
      </w:r>
      <w:r w:rsidRPr="001A5D18">
        <w:rPr>
          <w:rFonts w:eastAsiaTheme="minorEastAsia" w:cs="Arial"/>
          <w:color w:val="222222"/>
          <w:szCs w:val="24"/>
          <w:lang w:val="en-US"/>
        </w:rPr>
        <w:t xml:space="preserve"> to improve </w:t>
      </w:r>
      <w:r w:rsidR="007E4E3D">
        <w:rPr>
          <w:rFonts w:eastAsiaTheme="minorEastAsia" w:cs="Arial"/>
          <w:color w:val="222222"/>
          <w:szCs w:val="24"/>
          <w:lang w:val="en-US"/>
        </w:rPr>
        <w:t xml:space="preserve">coping strategies, </w:t>
      </w:r>
      <w:r w:rsidRPr="001A5D18">
        <w:rPr>
          <w:rFonts w:eastAsiaTheme="minorEastAsia" w:cs="Arial"/>
          <w:color w:val="222222"/>
          <w:szCs w:val="24"/>
          <w:lang w:val="en-US"/>
        </w:rPr>
        <w:t xml:space="preserve">resultant mental health </w:t>
      </w:r>
      <w:r w:rsidR="007E4E3D">
        <w:rPr>
          <w:rFonts w:eastAsiaTheme="minorEastAsia" w:cs="Arial"/>
          <w:color w:val="222222"/>
          <w:szCs w:val="24"/>
          <w:lang w:val="en-US"/>
        </w:rPr>
        <w:t>and impact</w:t>
      </w:r>
      <w:r w:rsidRPr="001A5D18">
        <w:rPr>
          <w:rFonts w:eastAsiaTheme="minorEastAsia" w:cs="Arial"/>
          <w:color w:val="222222"/>
          <w:szCs w:val="24"/>
          <w:lang w:val="en-US"/>
        </w:rPr>
        <w:t xml:space="preserve"> </w:t>
      </w:r>
      <w:r w:rsidR="001231A4" w:rsidRPr="001A5D18">
        <w:rPr>
          <w:rFonts w:eastAsiaTheme="minorEastAsia" w:cs="Arial"/>
          <w:color w:val="222222"/>
          <w:szCs w:val="24"/>
          <w:lang w:val="en-US"/>
        </w:rPr>
        <w:t>patient</w:t>
      </w:r>
      <w:r w:rsidRPr="001A5D18">
        <w:rPr>
          <w:rFonts w:eastAsiaTheme="minorEastAsia" w:cs="Arial"/>
          <w:color w:val="222222"/>
          <w:szCs w:val="24"/>
          <w:lang w:val="en-US"/>
        </w:rPr>
        <w:t xml:space="preserve"> safety</w:t>
      </w:r>
      <w:r>
        <w:rPr>
          <w:rFonts w:eastAsiaTheme="minorEastAsia" w:cs="Arial"/>
          <w:color w:val="222222"/>
          <w:szCs w:val="24"/>
          <w:lang w:val="en-US"/>
        </w:rPr>
        <w:t xml:space="preserve"> and morale</w:t>
      </w:r>
      <w:r w:rsidRPr="001A5D18">
        <w:rPr>
          <w:rFonts w:eastAsiaTheme="minorEastAsia" w:cs="Arial"/>
          <w:color w:val="222222"/>
          <w:szCs w:val="24"/>
          <w:lang w:val="en-US"/>
        </w:rPr>
        <w:t xml:space="preserve">. </w:t>
      </w:r>
    </w:p>
    <w:p w14:paraId="3DC801A2" w14:textId="3CF37CB8" w:rsidR="003C0F0E" w:rsidRDefault="003C0F0E" w:rsidP="006B027F">
      <w:pPr>
        <w:pStyle w:val="Heading2"/>
      </w:pPr>
      <w:bookmarkStart w:id="434" w:name="_Toc419116208"/>
      <w:r>
        <w:t>Emotion in learning and emotional intelligence</w:t>
      </w:r>
      <w:bookmarkEnd w:id="434"/>
    </w:p>
    <w:p w14:paraId="0EA71C44" w14:textId="77777777" w:rsidR="003C0F0E" w:rsidRPr="003C0F0E" w:rsidRDefault="003C0F0E"/>
    <w:p w14:paraId="6D02FB64" w14:textId="240B584E" w:rsidR="00A601A5" w:rsidRDefault="00650805" w:rsidP="00CC2587">
      <w:r>
        <w:t>In this study, t</w:t>
      </w:r>
      <w:r w:rsidR="00CC2587">
        <w:t xml:space="preserve">he importance of emotional support </w:t>
      </w:r>
      <w:r>
        <w:t xml:space="preserve">and </w:t>
      </w:r>
      <w:r w:rsidR="00CC2587">
        <w:t xml:space="preserve">emotion in learning was emphasised </w:t>
      </w:r>
      <w:r w:rsidR="00026F3F">
        <w:t xml:space="preserve">in </w:t>
      </w:r>
      <w:r w:rsidR="00CC2587">
        <w:t>relation to preparedness</w:t>
      </w:r>
      <w:r w:rsidR="00026F3F">
        <w:t>.</w:t>
      </w:r>
      <w:r w:rsidR="00CC2587">
        <w:t xml:space="preserve"> </w:t>
      </w:r>
      <w:r w:rsidR="00026F3F">
        <w:t xml:space="preserve">This included </w:t>
      </w:r>
      <w:r w:rsidR="00CC2587">
        <w:t>emotional preparedness</w:t>
      </w:r>
      <w:r w:rsidR="00312BFF">
        <w:t xml:space="preserve"> (Interview</w:t>
      </w:r>
      <w:r w:rsidR="00881625">
        <w:t>s</w:t>
      </w:r>
      <w:r w:rsidR="00312BFF">
        <w:t xml:space="preserve"> 6, 8)</w:t>
      </w:r>
      <w:r w:rsidR="00CC2587">
        <w:t xml:space="preserve"> </w:t>
      </w:r>
      <w:r>
        <w:t xml:space="preserve">and the powerful learning triggered through </w:t>
      </w:r>
      <w:r w:rsidR="00CC2587">
        <w:t xml:space="preserve">emotional </w:t>
      </w:r>
      <w:r w:rsidR="00CC2587">
        <w:lastRenderedPageBreak/>
        <w:t xml:space="preserve">responses </w:t>
      </w:r>
      <w:r>
        <w:t xml:space="preserve">to </w:t>
      </w:r>
      <w:r w:rsidR="00CC2587">
        <w:t xml:space="preserve">mistakes or consequences of action or inaction. Emotional intelligence </w:t>
      </w:r>
      <w:r>
        <w:t>was felt to be</w:t>
      </w:r>
      <w:r w:rsidR="00026F3F">
        <w:t xml:space="preserve"> key </w:t>
      </w:r>
      <w:r>
        <w:t xml:space="preserve">to </w:t>
      </w:r>
      <w:r w:rsidR="00026F3F">
        <w:t xml:space="preserve">developing professional identity and </w:t>
      </w:r>
      <w:r w:rsidR="00345C07">
        <w:t>teamworking</w:t>
      </w:r>
      <w:r>
        <w:t xml:space="preserve"> skills</w:t>
      </w:r>
      <w:r w:rsidR="00026F3F">
        <w:t xml:space="preserve">. </w:t>
      </w:r>
      <w:r>
        <w:t xml:space="preserve">It related </w:t>
      </w:r>
      <w:r w:rsidR="00CC2587">
        <w:t xml:space="preserve">to </w:t>
      </w:r>
      <w:r w:rsidR="00881625">
        <w:t xml:space="preserve">the </w:t>
      </w:r>
      <w:r w:rsidR="00CC2587">
        <w:t xml:space="preserve">ability to reflect </w:t>
      </w:r>
      <w:r w:rsidR="00026F3F">
        <w:t xml:space="preserve">on </w:t>
      </w:r>
      <w:r w:rsidR="00CC2587">
        <w:t>action</w:t>
      </w:r>
      <w:r w:rsidR="00881625">
        <w:t>s</w:t>
      </w:r>
      <w:r>
        <w:t xml:space="preserve"> and</w:t>
      </w:r>
      <w:r w:rsidR="00026F3F">
        <w:t xml:space="preserve"> </w:t>
      </w:r>
      <w:r w:rsidR="00CC2587">
        <w:t xml:space="preserve">interpret behaviour and </w:t>
      </w:r>
      <w:r w:rsidR="00881625">
        <w:t xml:space="preserve">the </w:t>
      </w:r>
      <w:r w:rsidR="001231A4">
        <w:t>responses</w:t>
      </w:r>
      <w:r w:rsidR="00CC2587">
        <w:t xml:space="preserve"> of others</w:t>
      </w:r>
      <w:r>
        <w:t xml:space="preserve">. It was seen to be of equal importance for </w:t>
      </w:r>
      <w:r w:rsidR="00CC2587">
        <w:t xml:space="preserve">faculty when interpreting </w:t>
      </w:r>
      <w:r w:rsidR="00881625">
        <w:t>c</w:t>
      </w:r>
      <w:r w:rsidR="005F705F">
        <w:t>andidate</w:t>
      </w:r>
      <w:r w:rsidR="00CC2587">
        <w:t xml:space="preserve"> behaviour. </w:t>
      </w:r>
    </w:p>
    <w:p w14:paraId="5FBBD44E" w14:textId="0BC157C2" w:rsidR="00CC2587" w:rsidRDefault="00CC2587" w:rsidP="00CC2587">
      <w:r>
        <w:t>Emotional intell</w:t>
      </w:r>
      <w:r w:rsidR="00C368E9">
        <w:t>i</w:t>
      </w:r>
      <w:r>
        <w:t xml:space="preserve">gence is said to represent a ‘set of hierarchically organised core competencies for identifying, processing and regulating emotions’ in self and others </w:t>
      </w:r>
      <w:r>
        <w:fldChar w:fldCharType="begin"/>
      </w:r>
      <w:r>
        <w:instrText xml:space="preserve"> ADDIN EN.CITE &lt;EndNote&gt;&lt;Cite&gt;&lt;Author&gt;Salovey&lt;/Author&gt;&lt;Year&gt;2002&lt;/Year&gt;&lt;IDText&gt;The positive psychology of emotional intelligence&lt;/IDText&gt;&lt;DisplayText&gt;(Salovey et al., 2002)&lt;/DisplayText&gt;&lt;record&gt;&lt;titles&gt;&lt;title&gt;The positive psychology of emotional intelligence&lt;/title&gt;&lt;secondary-title&gt;Handbook of positive psychology&lt;/secondary-title&gt;&lt;/titles&gt;&lt;pages&gt;159-171&lt;/pages&gt;&lt;contributors&gt;&lt;authors&gt;&lt;author&gt;Salovey, P&lt;/author&gt;&lt;author&gt;Mayer, J. D&lt;/author&gt;&lt;author&gt;Caruso, D&lt;/author&gt;&lt;/authors&gt;&lt;/contributors&gt;&lt;added-date format="utc"&gt;1472646717&lt;/added-date&gt;&lt;pub-location&gt;New York&lt;/pub-location&gt;&lt;ref-type name="Book Section"&gt;5&lt;/ref-type&gt;&lt;dates&gt;&lt;year&gt;2002&lt;/year&gt;&lt;/dates&gt;&lt;rec-number&gt;282&lt;/rec-number&gt;&lt;publisher&gt;Oxford University Press&lt;/publisher&gt;&lt;last-updated-date format="utc"&gt;1472646896&lt;/last-updated-date&gt;&lt;contributors&gt;&lt;secondary-authors&gt;&lt;author&gt;Snyder, C. R&lt;/author&gt;&lt;author&gt;Lopez, S. J&lt;/author&gt;&lt;/secondary-authors&gt;&lt;/contributors&gt;&lt;/record&gt;&lt;/Cite&gt;&lt;/EndNote&gt;</w:instrText>
      </w:r>
      <w:r>
        <w:fldChar w:fldCharType="separate"/>
      </w:r>
      <w:r>
        <w:rPr>
          <w:noProof/>
        </w:rPr>
        <w:t>(Salovey et al., 2002)</w:t>
      </w:r>
      <w:r>
        <w:fldChar w:fldCharType="end"/>
      </w:r>
      <w:r>
        <w:t xml:space="preserve">. Indeed the link between emotional intelligence and cognitive abilities has been described with initial work by Mayer and </w:t>
      </w:r>
      <w:proofErr w:type="spellStart"/>
      <w:r>
        <w:t>Slovey</w:t>
      </w:r>
      <w:proofErr w:type="spellEnd"/>
      <w:r>
        <w:t xml:space="preserve"> (1990). Goleman also reported links between emotional intelligence and ‘adaptive outcomes’ </w:t>
      </w:r>
      <w:r>
        <w:fldChar w:fldCharType="begin"/>
      </w:r>
      <w:r>
        <w:instrText xml:space="preserve"> ADDIN EN.CITE &lt;EndNote&gt;&lt;Cite&gt;&lt;Author&gt;Goleman&lt;/Author&gt;&lt;Year&gt;1995&lt;/Year&gt;&lt;IDText&gt;Emotional intelligence: Why it can matter more than IQ&lt;/IDText&gt;&lt;DisplayText&gt;(Goleman, 1995)&lt;/DisplayText&gt;&lt;record&gt;&lt;titles&gt;&lt;title&gt;Emotional intelligence: Why it can matter more than IQ&lt;/title&gt;&lt;/titles&gt;&lt;contributors&gt;&lt;authors&gt;&lt;author&gt;Goleman, D&lt;/author&gt;&lt;/authors&gt;&lt;/contributors&gt;&lt;added-date format="utc"&gt;1472646569&lt;/added-date&gt;&lt;pub-location&gt;New York&lt;/pub-location&gt;&lt;ref-type name="Book"&gt;6&lt;/ref-type&gt;&lt;dates&gt;&lt;year&gt;1995&lt;/year&gt;&lt;/dates&gt;&lt;rec-number&gt;281&lt;/rec-number&gt;&lt;publisher&gt;Bantam Books&lt;/publisher&gt;&lt;last-updated-date format="utc"&gt;1472646622&lt;/last-updated-date&gt;&lt;/record&gt;&lt;/Cite&gt;&lt;/EndNote&gt;</w:instrText>
      </w:r>
      <w:r>
        <w:fldChar w:fldCharType="separate"/>
      </w:r>
      <w:r>
        <w:rPr>
          <w:noProof/>
        </w:rPr>
        <w:t>(Goleman, 1995)</w:t>
      </w:r>
      <w:r>
        <w:fldChar w:fldCharType="end"/>
      </w:r>
      <w:r>
        <w:t>.Two models have been described related to emotional intelligence</w:t>
      </w:r>
      <w:r w:rsidR="004630DF">
        <w:t>.</w:t>
      </w:r>
      <w:r>
        <w:t xml:space="preserve"> </w:t>
      </w:r>
      <w:r w:rsidR="004630DF">
        <w:t>T</w:t>
      </w:r>
      <w:r>
        <w:t>he ‘ability model’</w:t>
      </w:r>
      <w:r w:rsidR="004630DF">
        <w:t>,</w:t>
      </w:r>
      <w:r>
        <w:t xml:space="preserve"> related to </w:t>
      </w:r>
      <w:r w:rsidR="004630DF">
        <w:t xml:space="preserve">the </w:t>
      </w:r>
      <w:r>
        <w:t>capability of ‘applying information provided by emotion to improve cognitive processing’</w:t>
      </w:r>
      <w:r w:rsidR="004630DF">
        <w:t>;</w:t>
      </w:r>
      <w:r>
        <w:t xml:space="preserve"> and ‘mixed models’</w:t>
      </w:r>
      <w:r w:rsidR="004630DF">
        <w:t>,</w:t>
      </w:r>
      <w:r>
        <w:t xml:space="preserve"> which are informed by ‘mental abilities, stable behavioural traits and personality variables’ </w:t>
      </w:r>
      <w:r>
        <w:fldChar w:fldCharType="begin"/>
      </w:r>
      <w:r>
        <w:instrText xml:space="preserve"> ADDIN EN.CITE &lt;EndNote&gt;&lt;Cite&gt;&lt;Author&gt;Fernández-Berrocal&lt;/Author&gt;&lt;Year&gt;2016&lt;/Year&gt;&lt;IDText&gt;Editorial: Emotional Intelligence and Cognitive Abilities&lt;/IDText&gt;&lt;DisplayText&gt;(Fernández-Berrocal and Checa, 2016)&lt;/DisplayText&gt;&lt;record&gt;&lt;urls&gt;&lt;related-urls&gt;&lt;url&gt;https://www.ncbi.nlm.nih.gov/pubmed/27445920&lt;/url&gt;&lt;/related-urls&gt;&lt;/urls&gt;&lt;isbn&gt;1664-1078&lt;/isbn&gt;&lt;custom2&gt;PMC4917557&lt;/custom2&gt;&lt;titles&gt;&lt;title&gt;Editorial: Emotional Intelligence and Cognitive Abilities&lt;/title&gt;&lt;secondary-title&gt;Front Psychol&lt;/secondary-title&gt;&lt;/titles&gt;&lt;pages&gt;955&lt;/pages&gt;&lt;contributors&gt;&lt;authors&gt;&lt;author&gt;Fernández-Berrocal, P.&lt;/author&gt;&lt;author&gt;Checa, P.&lt;/author&gt;&lt;/authors&gt;&lt;/contributors&gt;&lt;language&gt;eng&lt;/language&gt;&lt;added-date format="utc"&gt;1472553516&lt;/added-date&gt;&lt;ref-type name="Journal Article"&gt;17&lt;/ref-type&gt;&lt;dates&gt;&lt;year&gt;2016&lt;/year&gt;&lt;/dates&gt;&lt;rec-number&gt;276&lt;/rec-number&gt;&lt;last-updated-date format="utc"&gt;1472553516&lt;/last-updated-date&gt;&lt;accession-num&gt;27445920&lt;/accession-num&gt;&lt;electronic-resource-num&gt;10.3389/fpsyg.2016.00955&lt;/electronic-resource-num&gt;&lt;volume&gt;7&lt;/volume&gt;&lt;/record&gt;&lt;/Cite&gt;&lt;/EndNote&gt;</w:instrText>
      </w:r>
      <w:r>
        <w:fldChar w:fldCharType="separate"/>
      </w:r>
      <w:r>
        <w:rPr>
          <w:noProof/>
        </w:rPr>
        <w:t>(Fernández-Berrocal and Checa, 2016)</w:t>
      </w:r>
      <w:r>
        <w:fldChar w:fldCharType="end"/>
      </w:r>
      <w:r>
        <w:t>. In an editorial</w:t>
      </w:r>
      <w:r w:rsidR="004630DF">
        <w:t xml:space="preserve"> by </w:t>
      </w:r>
      <w:r w:rsidR="004630DF">
        <w:rPr>
          <w:noProof/>
        </w:rPr>
        <w:t>Fernández-Berrocal and Checa (2016)</w:t>
      </w:r>
      <w:r w:rsidR="00650805">
        <w:t>,</w:t>
      </w:r>
      <w:r>
        <w:t xml:space="preserve"> evidence is presented that</w:t>
      </w:r>
      <w:r w:rsidR="004630DF">
        <w:t xml:space="preserve"> the</w:t>
      </w:r>
      <w:r>
        <w:t xml:space="preserve"> ‘managing of emotions is negatively related to impulsivity’</w:t>
      </w:r>
      <w:r w:rsidR="00650805">
        <w:t>,</w:t>
      </w:r>
      <w:r>
        <w:t xml:space="preserve"> which aligns with cases in this study where pressure lead to impulsive decisions and loss of control by some students</w:t>
      </w:r>
      <w:r w:rsidR="00026F3F">
        <w:t xml:space="preserve"> (Field notes)</w:t>
      </w:r>
      <w:r>
        <w:t>. The editorial reports that those with greater emotional intelligence ‘</w:t>
      </w:r>
      <w:r w:rsidR="001231A4">
        <w:t>perceive</w:t>
      </w:r>
      <w:r>
        <w:t xml:space="preserve"> more available social support, have implications for divergent thinking and motivational state with contributions to ‘health and wellbeing’, ‘career satisfaction and success’ </w:t>
      </w:r>
      <w:r>
        <w:fldChar w:fldCharType="begin"/>
      </w:r>
      <w:r>
        <w:instrText xml:space="preserve"> ADDIN EN.CITE &lt;EndNote&gt;&lt;Cite&gt;&lt;Author&gt;Fernández-Berrocal&lt;/Author&gt;&lt;Year&gt;2016&lt;/Year&gt;&lt;IDText&gt;Editorial: Emotional Intelligence and Cognitive Abilities&lt;/IDText&gt;&lt;DisplayText&gt;(Fernández-Berrocal and Checa, 2016)&lt;/DisplayText&gt;&lt;record&gt;&lt;urls&gt;&lt;related-urls&gt;&lt;url&gt;https://www.ncbi.nlm.nih.gov/pubmed/27445920&lt;/url&gt;&lt;/related-urls&gt;&lt;/urls&gt;&lt;isbn&gt;1664-1078&lt;/isbn&gt;&lt;custom2&gt;PMC4917557&lt;/custom2&gt;&lt;titles&gt;&lt;title&gt;Editorial: Emotional Intelligence and Cognitive Abilities&lt;/title&gt;&lt;secondary-title&gt;Front Psychol&lt;/secondary-title&gt;&lt;/titles&gt;&lt;pages&gt;955&lt;/pages&gt;&lt;contributors&gt;&lt;authors&gt;&lt;author&gt;Fernández-Berrocal, P.&lt;/author&gt;&lt;author&gt;Checa, P.&lt;/author&gt;&lt;/authors&gt;&lt;/contributors&gt;&lt;language&gt;eng&lt;/language&gt;&lt;added-date format="utc"&gt;1472553516&lt;/added-date&gt;&lt;ref-type name="Journal Article"&gt;17&lt;/ref-type&gt;&lt;dates&gt;&lt;year&gt;2016&lt;/year&gt;&lt;/dates&gt;&lt;rec-number&gt;276&lt;/rec-number&gt;&lt;last-updated-date format="utc"&gt;1472553516&lt;/last-updated-date&gt;&lt;accession-num&gt;27445920&lt;/accession-num&gt;&lt;electronic-resource-num&gt;10.3389/fpsyg.2016.00955&lt;/electronic-resource-num&gt;&lt;volume&gt;7&lt;/volume&gt;&lt;/record&gt;&lt;/Cite&gt;&lt;/EndNote&gt;</w:instrText>
      </w:r>
      <w:r>
        <w:fldChar w:fldCharType="separate"/>
      </w:r>
      <w:r>
        <w:rPr>
          <w:noProof/>
        </w:rPr>
        <w:t>(Fernández-Berrocal and Checa, 2016)</w:t>
      </w:r>
      <w:r>
        <w:fldChar w:fldCharType="end"/>
      </w:r>
      <w:r>
        <w:t xml:space="preserve">. </w:t>
      </w:r>
    </w:p>
    <w:p w14:paraId="7DF39B6C" w14:textId="3A0CE218" w:rsidR="00217960" w:rsidRDefault="00ED041E" w:rsidP="00CC2587">
      <w:r>
        <w:lastRenderedPageBreak/>
        <w:t>E</w:t>
      </w:r>
      <w:r w:rsidR="00CC2587">
        <w:t>nhanc</w:t>
      </w:r>
      <w:r>
        <w:t>ing</w:t>
      </w:r>
      <w:r w:rsidR="00CC2587">
        <w:t xml:space="preserve"> emotional intelligence through simul</w:t>
      </w:r>
      <w:r w:rsidR="003C0F0E">
        <w:t>a</w:t>
      </w:r>
      <w:r w:rsidR="00CC2587">
        <w:t>tion with practice under pressure</w:t>
      </w:r>
      <w:r w:rsidR="004630DF">
        <w:t>;</w:t>
      </w:r>
      <w:r>
        <w:t xml:space="preserve"> </w:t>
      </w:r>
      <w:r w:rsidR="00CC2587">
        <w:t xml:space="preserve">the emotional journey of taking ownership </w:t>
      </w:r>
      <w:r>
        <w:t xml:space="preserve">of </w:t>
      </w:r>
      <w:r w:rsidR="00CC2587">
        <w:t>decisions</w:t>
      </w:r>
      <w:r w:rsidR="004630DF">
        <w:t>,</w:t>
      </w:r>
      <w:r>
        <w:t xml:space="preserve"> and reflection through facilitated debriefing</w:t>
      </w:r>
      <w:r w:rsidR="00CC2587">
        <w:t xml:space="preserve"> appear c</w:t>
      </w:r>
      <w:r w:rsidR="004630DF">
        <w:t>ritical</w:t>
      </w:r>
      <w:r w:rsidR="00CC2587">
        <w:t xml:space="preserve"> to professional development</w:t>
      </w:r>
      <w:r w:rsidR="00217960">
        <w:t xml:space="preserve"> and preparedness</w:t>
      </w:r>
      <w:r w:rsidR="00CC2587">
        <w:t xml:space="preserve">. Indeed others support this finding that emotional </w:t>
      </w:r>
      <w:r w:rsidR="001231A4">
        <w:t>intelligence</w:t>
      </w:r>
      <w:r w:rsidR="00CC2587">
        <w:t xml:space="preserve"> is ‘pivotal in determining health and wellbeing in individuals, society’ and daily cognitive and behavioural </w:t>
      </w:r>
      <w:r w:rsidR="001231A4">
        <w:t>functioning</w:t>
      </w:r>
      <w:r w:rsidR="00217960">
        <w:t>,</w:t>
      </w:r>
      <w:r w:rsidR="00CC2587">
        <w:t xml:space="preserve"> with remaining debate about whether it is purely a cognitive phenomenon or related to personality </w:t>
      </w:r>
      <w:r w:rsidR="00CC2587">
        <w:fldChar w:fldCharType="begin"/>
      </w:r>
      <w:r w:rsidR="00CC2587">
        <w:instrText xml:space="preserve"> ADDIN EN.CITE &lt;EndNote&gt;&lt;Cite&gt;&lt;Author&gt;Zeidner&lt;/Author&gt;&lt;Year&gt;2012&lt;/Year&gt;&lt;IDText&gt;The Emotional Intelligence, Health, and Well-Being Nexus: What Have We Learned and What Have We Missed?&lt;/IDText&gt;&lt;DisplayText&gt;(Zeidner et al., 2012)&lt;/DisplayText&gt;&lt;record&gt;&lt;dates&gt;&lt;pub-dates&gt;&lt;date&gt;Mar&lt;/date&gt;&lt;/pub-dates&gt;&lt;year&gt;2012&lt;/year&gt;&lt;/dates&gt;&lt;keywords&gt;&lt;keyword&gt;Adaptation, Psychological&lt;/keyword&gt;&lt;keyword&gt;Emotional Intelligence&lt;/keyword&gt;&lt;keyword&gt;Emotions&lt;/keyword&gt;&lt;keyword&gt;Female&lt;/keyword&gt;&lt;keyword&gt;Health Status&lt;/keyword&gt;&lt;keyword&gt;Humans&lt;/keyword&gt;&lt;keyword&gt;Male&lt;/keyword&gt;&lt;keyword&gt;Mental Disorders&lt;/keyword&gt;&lt;keyword&gt;Models, Psychological&lt;/keyword&gt;&lt;keyword&gt;Psychometrics&lt;/keyword&gt;&lt;keyword&gt;Research&lt;/keyword&gt;&lt;keyword&gt;Risk Factors&lt;/keyword&gt;&lt;keyword&gt;Social Behavior&lt;/keyword&gt;&lt;/keywords&gt;&lt;urls&gt;&lt;related-urls&gt;&lt;url&gt;https://www.ncbi.nlm.nih.gov/pubmed/26286968&lt;/url&gt;&lt;/related-urls&gt;&lt;/urls&gt;&lt;isbn&gt;1758-0854&lt;/isbn&gt;&lt;titles&gt;&lt;title&gt;The Emotional Intelligence, Health, and Well-Being Nexus: What Have We Learned and What Have We Missed?&lt;/title&gt;&lt;secondary-title&gt;Appl Psychol Health Well Being&lt;/secondary-title&gt;&lt;/titles&gt;&lt;pages&gt;1-30&lt;/pages&gt;&lt;number&gt;1&lt;/number&gt;&lt;contributors&gt;&lt;authors&gt;&lt;author&gt;Zeidner, M.&lt;/author&gt;&lt;author&gt;Matthews, G.&lt;/author&gt;&lt;author&gt;Roberts, R. D.&lt;/author&gt;&lt;/authors&gt;&lt;/contributors&gt;&lt;language&gt;eng&lt;/language&gt;&lt;added-date format="utc"&gt;1472553686&lt;/added-date&gt;&lt;ref-type name="Journal Article"&gt;17&lt;/ref-type&gt;&lt;rec-number&gt;277&lt;/rec-number&gt;&lt;last-updated-date format="utc"&gt;1472553686&lt;/last-updated-date&gt;&lt;accession-num&gt;26286968&lt;/accession-num&gt;&lt;electronic-resource-num&gt;10.1111/j.1758-0854.2011.01062.x&lt;/electronic-resource-num&gt;&lt;volume&gt;4&lt;/volume&gt;&lt;/record&gt;&lt;/Cite&gt;&lt;/EndNote&gt;</w:instrText>
      </w:r>
      <w:r w:rsidR="00CC2587">
        <w:fldChar w:fldCharType="separate"/>
      </w:r>
      <w:r w:rsidR="00CC2587">
        <w:rPr>
          <w:noProof/>
        </w:rPr>
        <w:t>(Zeidner et al., 2012)</w:t>
      </w:r>
      <w:r w:rsidR="00CC2587">
        <w:fldChar w:fldCharType="end"/>
      </w:r>
      <w:r w:rsidR="00CC2587">
        <w:t xml:space="preserve">. </w:t>
      </w:r>
      <w:r w:rsidR="00217960">
        <w:t xml:space="preserve">This study </w:t>
      </w:r>
      <w:r w:rsidR="00C368E9">
        <w:t>expands on this</w:t>
      </w:r>
      <w:r>
        <w:t>,</w:t>
      </w:r>
      <w:r w:rsidR="00C368E9">
        <w:t xml:space="preserve"> by demonstrating</w:t>
      </w:r>
      <w:r w:rsidR="00217960">
        <w:t xml:space="preserve"> that it is possible to allow students to learn about cognitive processes</w:t>
      </w:r>
      <w:r>
        <w:t>, understand emotional responses</w:t>
      </w:r>
      <w:r w:rsidR="00217960">
        <w:t xml:space="preserve"> and train th</w:t>
      </w:r>
      <w:r w:rsidR="00C368E9">
        <w:t>em to</w:t>
      </w:r>
      <w:r>
        <w:t xml:space="preserve"> notice, </w:t>
      </w:r>
      <w:r w:rsidR="004630DF">
        <w:t xml:space="preserve">in order </w:t>
      </w:r>
      <w:r>
        <w:t>to</w:t>
      </w:r>
      <w:r w:rsidR="00C368E9">
        <w:t xml:space="preserve"> improve </w:t>
      </w:r>
      <w:r w:rsidR="001231A4">
        <w:t>self-management</w:t>
      </w:r>
      <w:r w:rsidR="00217960">
        <w:t xml:space="preserve">. </w:t>
      </w:r>
    </w:p>
    <w:p w14:paraId="43CC9FB5" w14:textId="3BFE29CB" w:rsidR="00CC2587" w:rsidRDefault="00CC2587" w:rsidP="00CC2587">
      <w:r>
        <w:t>Described effects of emotional intelligence are said to be linked with cognitive processes</w:t>
      </w:r>
      <w:r w:rsidR="00B8367A">
        <w:t>,</w:t>
      </w:r>
      <w:r>
        <w:t xml:space="preserve"> including decision-making, </w:t>
      </w:r>
      <w:r w:rsidR="001D42C9">
        <w:t>judgment</w:t>
      </w:r>
      <w:r>
        <w:t xml:space="preserve"> and ‘social process such as seeking social support’, </w:t>
      </w:r>
      <w:r w:rsidR="00B8367A">
        <w:t xml:space="preserve">and </w:t>
      </w:r>
      <w:r>
        <w:t xml:space="preserve">with the improved ability to ‘adaptively cope with stressors’ through improved ‘self-regulation’ </w:t>
      </w:r>
      <w:r>
        <w:fldChar w:fldCharType="begin"/>
      </w:r>
      <w:r>
        <w:instrText xml:space="preserve"> ADDIN EN.CITE &lt;EndNote&gt;&lt;Cite&gt;&lt;Author&gt;Zeidner&lt;/Author&gt;&lt;Year&gt;2012&lt;/Year&gt;&lt;IDText&gt;The Emotional Intelligence, Health, and Well-Being Nexus: What Have We Learned and What Have We Missed?&lt;/IDText&gt;&lt;DisplayText&gt;(Zeidner et al., 2012)&lt;/DisplayText&gt;&lt;record&gt;&lt;dates&gt;&lt;pub-dates&gt;&lt;date&gt;Mar&lt;/date&gt;&lt;/pub-dates&gt;&lt;year&gt;2012&lt;/year&gt;&lt;/dates&gt;&lt;keywords&gt;&lt;keyword&gt;Adaptation, Psychological&lt;/keyword&gt;&lt;keyword&gt;Emotional Intelligence&lt;/keyword&gt;&lt;keyword&gt;Emotions&lt;/keyword&gt;&lt;keyword&gt;Female&lt;/keyword&gt;&lt;keyword&gt;Health Status&lt;/keyword&gt;&lt;keyword&gt;Humans&lt;/keyword&gt;&lt;keyword&gt;Male&lt;/keyword&gt;&lt;keyword&gt;Mental Disorders&lt;/keyword&gt;&lt;keyword&gt;Models, Psychological&lt;/keyword&gt;&lt;keyword&gt;Psychometrics&lt;/keyword&gt;&lt;keyword&gt;Research&lt;/keyword&gt;&lt;keyword&gt;Risk Factors&lt;/keyword&gt;&lt;keyword&gt;Social Behavior&lt;/keyword&gt;&lt;/keywords&gt;&lt;urls&gt;&lt;related-urls&gt;&lt;url&gt;https://www.ncbi.nlm.nih.gov/pubmed/26286968&lt;/url&gt;&lt;/related-urls&gt;&lt;/urls&gt;&lt;isbn&gt;1758-0854&lt;/isbn&gt;&lt;titles&gt;&lt;title&gt;The Emotional Intelligence, Health, and Well-Being Nexus: What Have We Learned and What Have We Missed?&lt;/title&gt;&lt;secondary-title&gt;Appl Psychol Health Well Being&lt;/secondary-title&gt;&lt;/titles&gt;&lt;pages&gt;1-30&lt;/pages&gt;&lt;number&gt;1&lt;/number&gt;&lt;contributors&gt;&lt;authors&gt;&lt;author&gt;Zeidner, M.&lt;/author&gt;&lt;author&gt;Matthews, G.&lt;/author&gt;&lt;author&gt;Roberts, R. D.&lt;/author&gt;&lt;/authors&gt;&lt;/contributors&gt;&lt;language&gt;eng&lt;/language&gt;&lt;added-date format="utc"&gt;1472553686&lt;/added-date&gt;&lt;ref-type name="Journal Article"&gt;17&lt;/ref-type&gt;&lt;rec-number&gt;277&lt;/rec-number&gt;&lt;last-updated-date format="utc"&gt;1472553686&lt;/last-updated-date&gt;&lt;accession-num&gt;26286968&lt;/accession-num&gt;&lt;electronic-resource-num&gt;10.1111/j.1758-0854.2011.01062.x&lt;/electronic-resource-num&gt;&lt;volume&gt;4&lt;/volume&gt;&lt;/record&gt;&lt;/Cite&gt;&lt;/EndNote&gt;</w:instrText>
      </w:r>
      <w:r>
        <w:fldChar w:fldCharType="separate"/>
      </w:r>
      <w:r>
        <w:rPr>
          <w:noProof/>
        </w:rPr>
        <w:t>(Zeidner et al., 2012)</w:t>
      </w:r>
      <w:r>
        <w:fldChar w:fldCharType="end"/>
      </w:r>
      <w:r>
        <w:t xml:space="preserve">. There has been </w:t>
      </w:r>
      <w:r w:rsidR="00ED041E">
        <w:t xml:space="preserve">focus </w:t>
      </w:r>
      <w:r>
        <w:t>in the literatu</w:t>
      </w:r>
      <w:r w:rsidR="003C0F0E">
        <w:t>r</w:t>
      </w:r>
      <w:r>
        <w:t xml:space="preserve">e </w:t>
      </w:r>
      <w:r w:rsidR="00234677">
        <w:t>on the</w:t>
      </w:r>
      <w:r>
        <w:t xml:space="preserve"> development of resilience and self-regulation amongst medical students and that it may improve preparedness for the uncertainty and changing landscape in the NHS. </w:t>
      </w:r>
      <w:r w:rsidR="00217960">
        <w:t xml:space="preserve">This study concurs with this view. </w:t>
      </w:r>
      <w:proofErr w:type="spellStart"/>
      <w:r>
        <w:t>Zeidner</w:t>
      </w:r>
      <w:proofErr w:type="spellEnd"/>
      <w:r>
        <w:t xml:space="preserve"> et al. </w:t>
      </w:r>
      <w:r w:rsidR="00ED041E">
        <w:t xml:space="preserve">(2012) opine </w:t>
      </w:r>
      <w:r>
        <w:t xml:space="preserve">that for a person to be </w:t>
      </w:r>
      <w:r w:rsidR="001231A4">
        <w:t>considered</w:t>
      </w:r>
      <w:r>
        <w:t xml:space="preserve"> resilient they must ‘experience significant threat or sever</w:t>
      </w:r>
      <w:r w:rsidR="003C0F0E">
        <w:t>e</w:t>
      </w:r>
      <w:r>
        <w:t xml:space="preserve"> adversity and achieve positive adaptation - despite threat or risk exposure’</w:t>
      </w:r>
      <w:r w:rsidR="00ED041E">
        <w:t xml:space="preserve">. </w:t>
      </w:r>
      <w:r>
        <w:t>This concept resonates with the experience within this study</w:t>
      </w:r>
      <w:r w:rsidR="00ED041E">
        <w:t xml:space="preserve"> with</w:t>
      </w:r>
      <w:r>
        <w:t xml:space="preserve"> observations and reported feelings </w:t>
      </w:r>
      <w:r w:rsidR="00ED041E">
        <w:t>of</w:t>
      </w:r>
      <w:r>
        <w:t xml:space="preserve"> anxiety of being given responsibility</w:t>
      </w:r>
      <w:r w:rsidR="00D20018">
        <w:t xml:space="preserve"> and having pote</w:t>
      </w:r>
      <w:r w:rsidR="00ED041E">
        <w:t xml:space="preserve">ntial </w:t>
      </w:r>
      <w:r w:rsidR="004A7DAA">
        <w:t>‘</w:t>
      </w:r>
      <w:r w:rsidR="00ED041E">
        <w:t>lack of knowledge exposed</w:t>
      </w:r>
      <w:r w:rsidR="004A7DAA">
        <w:t>’</w:t>
      </w:r>
      <w:r w:rsidR="00ED041E">
        <w:t>.</w:t>
      </w:r>
      <w:r>
        <w:t xml:space="preserve"> </w:t>
      </w:r>
      <w:r w:rsidR="001231A4">
        <w:t>Structured debriefing to explore personality and self-</w:t>
      </w:r>
      <w:r w:rsidR="00234677">
        <w:t>management</w:t>
      </w:r>
      <w:r w:rsidR="001231A4">
        <w:t xml:space="preserve"> through objective self-reflection, facilitated construction of cognitive and behavioural coping strategies</w:t>
      </w:r>
      <w:r w:rsidR="001E19F0">
        <w:t xml:space="preserve"> (Section 8.2.5</w:t>
      </w:r>
      <w:r w:rsidR="0040414D">
        <w:t>; p361</w:t>
      </w:r>
      <w:r w:rsidR="00A15E53">
        <w:t>)</w:t>
      </w:r>
      <w:r w:rsidR="00986FEC">
        <w:t xml:space="preserve">. </w:t>
      </w:r>
      <w:r w:rsidR="004A7DAA">
        <w:t>T</w:t>
      </w:r>
      <w:r>
        <w:t>his was only poss</w:t>
      </w:r>
      <w:r w:rsidR="00C368E9">
        <w:t>i</w:t>
      </w:r>
      <w:r>
        <w:t xml:space="preserve">ble through the </w:t>
      </w:r>
      <w:r>
        <w:lastRenderedPageBreak/>
        <w:t xml:space="preserve">recreation of the complexity of the clinical environment and </w:t>
      </w:r>
      <w:r w:rsidR="00217960">
        <w:t xml:space="preserve">allowing </w:t>
      </w:r>
      <w:r w:rsidR="001E19F0">
        <w:t>c</w:t>
      </w:r>
      <w:r w:rsidR="005F705F">
        <w:t>andidate</w:t>
      </w:r>
      <w:r w:rsidR="00217960">
        <w:t xml:space="preserve">s to </w:t>
      </w:r>
      <w:r w:rsidR="004A7DAA">
        <w:t xml:space="preserve">be central to the experience, </w:t>
      </w:r>
      <w:r w:rsidR="00234677">
        <w:t xml:space="preserve">and </w:t>
      </w:r>
      <w:r w:rsidR="004A7DAA">
        <w:t>taking</w:t>
      </w:r>
      <w:r w:rsidR="00217960">
        <w:t xml:space="preserve"> full </w:t>
      </w:r>
      <w:r w:rsidR="001231A4">
        <w:t>responsibility</w:t>
      </w:r>
      <w:r>
        <w:t xml:space="preserve">. </w:t>
      </w:r>
    </w:p>
    <w:p w14:paraId="1C17C7C2" w14:textId="5B634E85" w:rsidR="00CC2587" w:rsidRDefault="00CC2587" w:rsidP="00CC2587">
      <w:r>
        <w:t xml:space="preserve">Emotional intelligence is felt to correlate with </w:t>
      </w:r>
      <w:r w:rsidR="00234677">
        <w:t xml:space="preserve">the </w:t>
      </w:r>
      <w:r>
        <w:t>ability to cope with ‘disturbing emotions, social demands and challenges, ability to reduce stress and have more effective social coping strategies</w:t>
      </w:r>
      <w:r w:rsidR="004A7DAA">
        <w:t>,</w:t>
      </w:r>
      <w:r>
        <w:t xml:space="preserve"> to enhance quality of relationships and availability of social support’ </w:t>
      </w:r>
      <w:r>
        <w:fldChar w:fldCharType="begin"/>
      </w:r>
      <w:r>
        <w:instrText xml:space="preserve"> ADDIN EN.CITE &lt;EndNote&gt;&lt;Cite&gt;&lt;Author&gt;Zeidner&lt;/Author&gt;&lt;Year&gt;2012&lt;/Year&gt;&lt;IDText&gt;The Emotional Intelligence, Health, and Well-Being Nexus: What Have We Learned and What Have We Missed?&lt;/IDText&gt;&lt;DisplayText&gt;(Zeidner et al., 2012)&lt;/DisplayText&gt;&lt;record&gt;&lt;dates&gt;&lt;pub-dates&gt;&lt;date&gt;Mar&lt;/date&gt;&lt;/pub-dates&gt;&lt;year&gt;2012&lt;/year&gt;&lt;/dates&gt;&lt;keywords&gt;&lt;keyword&gt;Adaptation, Psychological&lt;/keyword&gt;&lt;keyword&gt;Emotional Intelligence&lt;/keyword&gt;&lt;keyword&gt;Emotions&lt;/keyword&gt;&lt;keyword&gt;Female&lt;/keyword&gt;&lt;keyword&gt;Health Status&lt;/keyword&gt;&lt;keyword&gt;Humans&lt;/keyword&gt;&lt;keyword&gt;Male&lt;/keyword&gt;&lt;keyword&gt;Mental Disorders&lt;/keyword&gt;&lt;keyword&gt;Models, Psychological&lt;/keyword&gt;&lt;keyword&gt;Psychometrics&lt;/keyword&gt;&lt;keyword&gt;Research&lt;/keyword&gt;&lt;keyword&gt;Risk Factors&lt;/keyword&gt;&lt;keyword&gt;Social Behavior&lt;/keyword&gt;&lt;/keywords&gt;&lt;urls&gt;&lt;related-urls&gt;&lt;url&gt;https://www.ncbi.nlm.nih.gov/pubmed/26286968&lt;/url&gt;&lt;/related-urls&gt;&lt;/urls&gt;&lt;isbn&gt;1758-0854&lt;/isbn&gt;&lt;titles&gt;&lt;title&gt;The Emotional Intelligence, Health, and Well-Being Nexus: What Have We Learned and What Have We Missed?&lt;/title&gt;&lt;secondary-title&gt;Appl Psychol Health Well Being&lt;/secondary-title&gt;&lt;/titles&gt;&lt;pages&gt;1-30&lt;/pages&gt;&lt;number&gt;1&lt;/number&gt;&lt;contributors&gt;&lt;authors&gt;&lt;author&gt;Zeidner, M.&lt;/author&gt;&lt;author&gt;Matthews, G.&lt;/author&gt;&lt;author&gt;Roberts, R. D.&lt;/author&gt;&lt;/authors&gt;&lt;/contributors&gt;&lt;language&gt;eng&lt;/language&gt;&lt;added-date format="utc"&gt;1472553686&lt;/added-date&gt;&lt;ref-type name="Journal Article"&gt;17&lt;/ref-type&gt;&lt;rec-number&gt;277&lt;/rec-number&gt;&lt;last-updated-date format="utc"&gt;1472553686&lt;/last-updated-date&gt;&lt;accession-num&gt;26286968&lt;/accession-num&gt;&lt;electronic-resource-num&gt;10.1111/j.1758-0854.2011.01062.x&lt;/electronic-resource-num&gt;&lt;volume&gt;4&lt;/volume&gt;&lt;/record&gt;&lt;/Cite&gt;&lt;/EndNote&gt;</w:instrText>
      </w:r>
      <w:r>
        <w:fldChar w:fldCharType="separate"/>
      </w:r>
      <w:r>
        <w:rPr>
          <w:noProof/>
        </w:rPr>
        <w:t>(Zeidner et al., 2012)</w:t>
      </w:r>
      <w:r>
        <w:fldChar w:fldCharType="end"/>
      </w:r>
      <w:r>
        <w:t>. This is clearly transferable when considering the importance of belonging and effective teamwork</w:t>
      </w:r>
      <w:r w:rsidR="00C3600C">
        <w:t xml:space="preserve"> shown in this study</w:t>
      </w:r>
      <w:r>
        <w:t>. It also h</w:t>
      </w:r>
      <w:r w:rsidR="00C3600C">
        <w:t>olds</w:t>
      </w:r>
      <w:r>
        <w:t xml:space="preserve"> significance for impacting on </w:t>
      </w:r>
      <w:r w:rsidR="00C3600C">
        <w:t xml:space="preserve">reported </w:t>
      </w:r>
      <w:r>
        <w:t>poor mental health amongst new doctors</w:t>
      </w:r>
      <w:r w:rsidR="00C3600C">
        <w:t>,</w:t>
      </w:r>
      <w:r>
        <w:t xml:space="preserve"> owing to the stress of the clinical environment, feeling overworked, reported lack of support</w:t>
      </w:r>
      <w:r w:rsidR="00234677">
        <w:t>,</w:t>
      </w:r>
      <w:r>
        <w:t xml:space="preserve"> and </w:t>
      </w:r>
      <w:r w:rsidR="00C3600C">
        <w:t xml:space="preserve">uncertainty about </w:t>
      </w:r>
      <w:r>
        <w:t xml:space="preserve">responsibility and </w:t>
      </w:r>
      <w:r w:rsidR="00C3600C">
        <w:t xml:space="preserve">how to </w:t>
      </w:r>
      <w:r>
        <w:t xml:space="preserve">manage stress </w:t>
      </w:r>
      <w:r>
        <w:fldChar w:fldCharType="begin">
          <w:fldData xml:space="preserve">PEVuZE5vdGU+PENpdGU+PEF1dGhvcj5QYWljZTwvQXV0aG9yPjxZZWFyPjIwMDI8L1llYXI+PElE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</w:fldData>
        </w:fldChar>
      </w:r>
      <w:r>
        <w:instrText xml:space="preserve"> ADDIN EN.CITE </w:instrText>
      </w:r>
      <w:r>
        <w:fldChar w:fldCharType="begin">
          <w:fldData xml:space="preserve">PEVuZE5vdGU+PENpdGU+PEF1dGhvcj5QYWljZTwvQXV0aG9yPjxZZWFyPjIwMDI8L1llYXI+PElE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</w:fldData>
        </w:fldChar>
      </w:r>
      <w:r>
        <w:instrText xml:space="preserve"> ADDIN EN.CITE.DATA </w:instrText>
      </w:r>
      <w:r>
        <w:fldChar w:fldCharType="end"/>
      </w:r>
      <w:r>
        <w:fldChar w:fldCharType="separate"/>
      </w:r>
      <w:r>
        <w:rPr>
          <w:noProof/>
        </w:rPr>
        <w:t>(Paice et al., 2002, Tallentire, 2011, Brennan et al., 2010)</w:t>
      </w:r>
      <w:r>
        <w:fldChar w:fldCharType="end"/>
      </w:r>
      <w:r>
        <w:t>.</w:t>
      </w:r>
      <w:r w:rsidR="009702F6">
        <w:t xml:space="preserve"> Parallels can be drawn with Roy</w:t>
      </w:r>
      <w:r w:rsidR="00590BD5">
        <w:t>’s Adaption M</w:t>
      </w:r>
      <w:r w:rsidR="009702F6">
        <w:t>odel created in 1970 as a nursing conceptual diagram (A</w:t>
      </w:r>
      <w:r w:rsidR="00AE0F56">
        <w:t>ppendix 13</w:t>
      </w:r>
      <w:r w:rsidR="004976C9">
        <w:t>.49</w:t>
      </w:r>
      <w:r w:rsidR="009702F6">
        <w:t xml:space="preserve">). It represents the need to learn to manage stressful stimuli and the environment through control of physiological and mental coping mechanisms. This study builds on this work by adding a deeper understanding on how to bring out valuable learning </w:t>
      </w:r>
      <w:r w:rsidR="001231A4">
        <w:t>opportunities</w:t>
      </w:r>
      <w:r w:rsidR="009702F6">
        <w:t xml:space="preserve"> to support development of clinical cognitive competence.</w:t>
      </w:r>
    </w:p>
    <w:p w14:paraId="5757319F" w14:textId="4FA10C57" w:rsidR="00CC2587" w:rsidRDefault="00CC2587" w:rsidP="00CC2587">
      <w:pPr>
        <w:rPr>
          <w:noProof/>
        </w:rPr>
      </w:pPr>
      <w:r>
        <w:t>In work related to the study of athletes, emotional intelligence was found to be a significant predictor of ‘mental toughness’, a mediator of ‘coping effectiveness’</w:t>
      </w:r>
      <w:r w:rsidR="00590BD5">
        <w:t xml:space="preserve"> </w:t>
      </w:r>
      <w:r>
        <w:fldChar w:fldCharType="begin"/>
      </w:r>
      <w:r>
        <w:instrText xml:space="preserve"> ADDIN EN.CITE &lt;EndNote&gt;&lt;Cite&gt;&lt;Author&gt;Cowden&lt;/Author&gt;&lt;Year&gt;2016&lt;/Year&gt;&lt;IDText&gt;Mental Toughness, Emotional Intelligence, and Coping Effectiveness: An Analysis of Construct Interrelatedness Among High-Performing Adolescent Male Athletes&lt;/IDText&gt;&lt;DisplayText&gt;(Cowden, 2016)&lt;/DisplayText&gt;&lt;record&gt;&lt;dates&gt;&lt;pub-dates&gt;&lt;date&gt;Aug&lt;/date&gt;&lt;/pub-dates&gt;&lt;year&gt;2016&lt;/year&gt;&lt;/dates&gt;&lt;urls&gt;&lt;related-urls&gt;&lt;url&gt;https://www.ncbi.nlm.nih.gov/pubmed/27555364&lt;/url&gt;&lt;/related-urls&gt;&lt;/urls&gt;&lt;isbn&gt;1558-688X&lt;/isbn&gt;&lt;titles&gt;&lt;title&gt;Mental Toughness, Emotional Intelligence, and Coping Effectiveness: An Analysis of Construct Interrelatedness Among High-Performing Adolescent Male Athletes&lt;/title&gt;&lt;secondary-title&gt;Percept Mot Skills&lt;/secondary-title&gt;&lt;/titles&gt;&lt;contributors&gt;&lt;authors&gt;&lt;author&gt;Cowden, R. G.&lt;/author&gt;&lt;/authors&gt;&lt;/contributors&gt;&lt;language&gt;ENG&lt;/language&gt;&lt;added-date format="utc"&gt;1472552970&lt;/added-date&gt;&lt;ref-type name="Journal Article"&gt;17&lt;/ref-type&gt;&lt;rec-number&gt;275&lt;/rec-number&gt;&lt;last-updated-date format="utc"&gt;1472552970&lt;/last-updated-date&gt;&lt;accession-num&gt;27555364&lt;/accession-num&gt;&lt;electronic-resource-num&gt;10.1177/0031512516666027&lt;/electronic-resource-num&gt;&lt;/record&gt;&lt;/Cite&gt;&lt;/EndNote&gt;</w:instrText>
      </w:r>
      <w:r>
        <w:fldChar w:fldCharType="separate"/>
      </w:r>
      <w:r>
        <w:rPr>
          <w:noProof/>
        </w:rPr>
        <w:t>(Cowden, 2016)</w:t>
      </w:r>
      <w:r>
        <w:fldChar w:fldCharType="end"/>
      </w:r>
      <w:r>
        <w:t>. Mental toughness describe</w:t>
      </w:r>
      <w:r w:rsidR="00FF7582">
        <w:t>s</w:t>
      </w:r>
      <w:r>
        <w:t xml:space="preserve"> attributes which ‘facilitate the </w:t>
      </w:r>
      <w:r w:rsidR="001231A4">
        <w:t>pursuit</w:t>
      </w:r>
      <w:r>
        <w:t>, attainment and maintenance of performance excellence’</w:t>
      </w:r>
      <w:r w:rsidR="00FF7582">
        <w:t>,</w:t>
      </w:r>
      <w:r>
        <w:t xml:space="preserve"> </w:t>
      </w:r>
      <w:r w:rsidR="00FF7582">
        <w:t xml:space="preserve">which </w:t>
      </w:r>
      <w:r>
        <w:t xml:space="preserve">health professionals also strive for. </w:t>
      </w:r>
      <w:r w:rsidR="00FF7582">
        <w:t>M</w:t>
      </w:r>
      <w:r>
        <w:t xml:space="preserve">entally tougher athletes </w:t>
      </w:r>
      <w:r w:rsidR="00FF7582">
        <w:t xml:space="preserve">were reported to </w:t>
      </w:r>
      <w:r>
        <w:t>displa</w:t>
      </w:r>
      <w:r w:rsidR="00FF7582">
        <w:t>y</w:t>
      </w:r>
      <w:r>
        <w:t xml:space="preserve"> ‘more emotional control’</w:t>
      </w:r>
      <w:r w:rsidR="00590BD5">
        <w:t>,</w:t>
      </w:r>
      <w:r>
        <w:t xml:space="preserve"> which required </w:t>
      </w:r>
      <w:r w:rsidR="00590BD5">
        <w:t xml:space="preserve">the </w:t>
      </w:r>
      <w:r>
        <w:t xml:space="preserve">‘ability to </w:t>
      </w:r>
      <w:r w:rsidR="001231A4">
        <w:t>perceive</w:t>
      </w:r>
      <w:r>
        <w:t xml:space="preserve"> and understand </w:t>
      </w:r>
      <w:r>
        <w:lastRenderedPageBreak/>
        <w:t>emergent emotions’</w:t>
      </w:r>
      <w:r w:rsidR="00590BD5">
        <w:t xml:space="preserve"> </w:t>
      </w:r>
      <w:r w:rsidR="00FF7582">
        <w:fldChar w:fldCharType="begin"/>
      </w:r>
      <w:r w:rsidR="00FF7582">
        <w:instrText xml:space="preserve"> ADDIN EN.CITE &lt;EndNote&gt;&lt;Cite&gt;&lt;Author&gt;Cowden&lt;/Author&gt;&lt;Year&gt;2016&lt;/Year&gt;&lt;IDText&gt;Mental Toughness, Emotional Intelligence, and Coping Effectiveness: An Analysis of Construct Interrelatedness Among High-Performing Adolescent Male Athletes&lt;/IDText&gt;&lt;DisplayText&gt;(Cowden, 2016)&lt;/DisplayText&gt;&lt;record&gt;&lt;dates&gt;&lt;pub-dates&gt;&lt;date&gt;Aug&lt;/date&gt;&lt;/pub-dates&gt;&lt;year&gt;2016&lt;/year&gt;&lt;/dates&gt;&lt;urls&gt;&lt;related-urls&gt;&lt;url&gt;https://www.ncbi.nlm.nih.gov/pubmed/27555364&lt;/url&gt;&lt;/related-urls&gt;&lt;/urls&gt;&lt;isbn&gt;1558-688X&lt;/isbn&gt;&lt;titles&gt;&lt;title&gt;Mental Toughness, Emotional Intelligence, and Coping Effectiveness: An Analysis of Construct Interrelatedness Among High-Performing Adolescent Male Athletes&lt;/title&gt;&lt;secondary-title&gt;Percept Mot Skills&lt;/secondary-title&gt;&lt;/titles&gt;&lt;contributors&gt;&lt;authors&gt;&lt;author&gt;Cowden, R. G.&lt;/author&gt;&lt;/authors&gt;&lt;/contributors&gt;&lt;language&gt;ENG&lt;/language&gt;&lt;added-date format="utc"&gt;1472552970&lt;/added-date&gt;&lt;ref-type name="Journal Article"&gt;17&lt;/ref-type&gt;&lt;rec-number&gt;275&lt;/rec-number&gt;&lt;last-updated-date format="utc"&gt;1472552970&lt;/last-updated-date&gt;&lt;accession-num&gt;27555364&lt;/accession-num&gt;&lt;electronic-resource-num&gt;10.1177/0031512516666027&lt;/electronic-resource-num&gt;&lt;/record&gt;&lt;/Cite&gt;&lt;/EndNote&gt;</w:instrText>
      </w:r>
      <w:r w:rsidR="00FF7582">
        <w:fldChar w:fldCharType="separate"/>
      </w:r>
      <w:r w:rsidR="00FF7582">
        <w:rPr>
          <w:noProof/>
        </w:rPr>
        <w:t>(Cowden, 2016)</w:t>
      </w:r>
      <w:r w:rsidR="00FF7582">
        <w:fldChar w:fldCharType="end"/>
      </w:r>
      <w:r>
        <w:t xml:space="preserve">. This discovery phase was supported </w:t>
      </w:r>
      <w:r w:rsidR="00FF7582">
        <w:t xml:space="preserve">in this study </w:t>
      </w:r>
      <w:r>
        <w:t>by structured debrief and emphasised the importance of understanding</w:t>
      </w:r>
      <w:r w:rsidR="00FF7582">
        <w:t xml:space="preserve">, </w:t>
      </w:r>
      <w:r>
        <w:t xml:space="preserve">rather than just presence of emotional intelligence </w:t>
      </w:r>
      <w:r>
        <w:fldChar w:fldCharType="begin"/>
      </w:r>
      <w:r>
        <w:instrText xml:space="preserve"> ADDIN EN.CITE &lt;EndNote&gt;&lt;Cite&gt;&lt;Author&gt;Cowden&lt;/Author&gt;&lt;Year&gt;2016&lt;/Year&gt;&lt;IDText&gt;Mental Toughness, Emotional Intelligence, and Coping Effectiveness: An Analysis of Construct Interrelatedness Among High-Performing Adolescent Male Athletes&lt;/IDText&gt;&lt;DisplayText&gt;(Cowden, 2016)&lt;/DisplayText&gt;&lt;record&gt;&lt;dates&gt;&lt;pub-dates&gt;&lt;date&gt;Aug&lt;/date&gt;&lt;/pub-dates&gt;&lt;year&gt;2016&lt;/year&gt;&lt;/dates&gt;&lt;urls&gt;&lt;related-urls&gt;&lt;url&gt;https://www.ncbi.nlm.nih.gov/pubmed/27555364&lt;/url&gt;&lt;/related-urls&gt;&lt;/urls&gt;&lt;isbn&gt;1558-688X&lt;/isbn&gt;&lt;titles&gt;&lt;title&gt;Mental Toughness, Emotional Intelligence, and Coping Effectiveness: An Analysis of Construct Interrelatedness Among High-Performing Adolescent Male Athletes&lt;/title&gt;&lt;secondary-title&gt;Percept Mot Skills&lt;/secondary-title&gt;&lt;/titles&gt;&lt;contributors&gt;&lt;authors&gt;&lt;author&gt;Cowden, R. G.&lt;/author&gt;&lt;/authors&gt;&lt;/contributors&gt;&lt;language&gt;ENG&lt;/language&gt;&lt;added-date format="utc"&gt;1472552970&lt;/added-date&gt;&lt;ref-type name="Journal Article"&gt;17&lt;/ref-type&gt;&lt;rec-number&gt;275&lt;/rec-number&gt;&lt;last-updated-date format="utc"&gt;1472552970&lt;/last-updated-date&gt;&lt;accession-num&gt;27555364&lt;/accession-num&gt;&lt;electronic-resource-num&gt;10.1177/0031512516666027&lt;/electronic-resource-num&gt;&lt;/record&gt;&lt;/Cite&gt;&lt;/EndNote&gt;</w:instrText>
      </w:r>
      <w:r>
        <w:fldChar w:fldCharType="separate"/>
      </w:r>
      <w:r>
        <w:rPr>
          <w:noProof/>
        </w:rPr>
        <w:t>(Cowden, 2016)</w:t>
      </w:r>
      <w:r>
        <w:fldChar w:fldCharType="end"/>
      </w:r>
      <w:r>
        <w:t xml:space="preserve">. </w:t>
      </w:r>
    </w:p>
    <w:p w14:paraId="471779ED" w14:textId="6AB52503" w:rsidR="00CC2587" w:rsidRDefault="00CC2587" w:rsidP="00CC2587">
      <w:r>
        <w:t xml:space="preserve">If the </w:t>
      </w:r>
      <w:r w:rsidR="001231A4">
        <w:t>undergraduate</w:t>
      </w:r>
      <w:r>
        <w:t xml:space="preserve"> curriculum can respond by creating learning opportunities that embrace complexity</w:t>
      </w:r>
      <w:r w:rsidR="00312BFF">
        <w:t xml:space="preserve">, </w:t>
      </w:r>
      <w:r>
        <w:t xml:space="preserve">develop emotional intelligence to support cognitive abilities to adapt and deal with stress, then students should feel more prepared. </w:t>
      </w:r>
      <w:r w:rsidR="00217960">
        <w:t>Though</w:t>
      </w:r>
      <w:r>
        <w:t xml:space="preserve"> specific task orientated </w:t>
      </w:r>
      <w:r w:rsidR="001231A4">
        <w:t>initiatives</w:t>
      </w:r>
      <w:r w:rsidR="00217960">
        <w:t xml:space="preserve"> are useful and </w:t>
      </w:r>
      <w:r w:rsidR="00312BFF">
        <w:t xml:space="preserve">outcomes </w:t>
      </w:r>
      <w:r w:rsidR="00217960">
        <w:t>easier to measur</w:t>
      </w:r>
      <w:r w:rsidR="00312BFF">
        <w:t>e</w:t>
      </w:r>
      <w:r w:rsidR="00217960">
        <w:t xml:space="preserve">, the gap </w:t>
      </w:r>
      <w:r w:rsidR="00312BFF">
        <w:t xml:space="preserve">remains in </w:t>
      </w:r>
      <w:r w:rsidR="00217960">
        <w:t>leadership</w:t>
      </w:r>
      <w:r w:rsidR="00312BFF">
        <w:t xml:space="preserve"> skills</w:t>
      </w:r>
      <w:r w:rsidR="00217960">
        <w:t>, cognitive processing, understanding human factors and own behaviour.</w:t>
      </w:r>
    </w:p>
    <w:p w14:paraId="3A7488D6" w14:textId="778818BA" w:rsidR="00CC2587" w:rsidRDefault="00CC2587" w:rsidP="00334E70">
      <w:r>
        <w:t xml:space="preserve">O’Callaghan </w:t>
      </w:r>
      <w:r w:rsidR="00217960">
        <w:t xml:space="preserve">(2015) </w:t>
      </w:r>
      <w:r>
        <w:t>reports on the concept of ‘emotional congruence’</w:t>
      </w:r>
      <w:r w:rsidR="00C1320D">
        <w:t>,</w:t>
      </w:r>
      <w:r>
        <w:t xml:space="preserve"> highlighting the need through role modelling to ‘attend to the emotional lives of students in a </w:t>
      </w:r>
      <w:r w:rsidR="001231A4">
        <w:t>congruent</w:t>
      </w:r>
      <w:r>
        <w:t xml:space="preserve"> way to how future doctors are taught to attend to the emotional lives of patients’ </w:t>
      </w:r>
      <w:r>
        <w:fldChar w:fldCharType="begin"/>
      </w:r>
      <w:r>
        <w:instrText xml:space="preserve"> ADDIN EN.CITE &lt;EndNote&gt;&lt;Cite&gt;&lt;Author&gt;O&amp;apos;Callaghan&lt;/Author&gt;&lt;Year&gt;2015&lt;/Year&gt;&lt;IDText&gt;When I say … emotional congruence in medical education&lt;/IDText&gt;&lt;DisplayText&gt;(O&amp;apos;Callaghan, 2015)&lt;/DisplayText&gt;&lt;record&gt;&lt;dates&gt;&lt;pub-dates&gt;&lt;date&gt;Apr&lt;/date&gt;&lt;/pub-dates&gt;&lt;year&gt;2015&lt;/year&gt;&lt;/dates&gt;&lt;keywords&gt;&lt;keyword&gt;Education, Medical&lt;/keyword&gt;&lt;keyword&gt;Emotions&lt;/keyword&gt;&lt;keyword&gt;Humans&lt;/keyword&gt;&lt;keyword&gt;Learning&lt;/keyword&gt;&lt;keyword&gt;Students, Medical&lt;/keyword&gt;&lt;/keywords&gt;&lt;urls&gt;&lt;related-urls&gt;&lt;url&gt;https://www.ncbi.nlm.nih.gov/pubmed/25800295&lt;/url&gt;&lt;/related-urls&gt;&lt;/urls&gt;&lt;isbn&gt;1365-2923&lt;/isbn&gt;&lt;titles&gt;&lt;title&gt;When I say … emotional congruence in medical education&lt;/title&gt;&lt;secondary-title&gt;Med Educ&lt;/secondary-title&gt;&lt;/titles&gt;&lt;pages&gt;357-8&lt;/pages&gt;&lt;number&gt;4&lt;/number&gt;&lt;contributors&gt;&lt;authors&gt;&lt;author&gt;O&amp;apos;Callaghan, A.&lt;/author&gt;&lt;/authors&gt;&lt;/contributors&gt;&lt;language&gt;eng&lt;/language&gt;&lt;added-date format="utc"&gt;1472651574&lt;/added-date&gt;&lt;ref-type name="Journal Article"&gt;17&lt;/ref-type&gt;&lt;rec-number&gt;283&lt;/rec-number&gt;&lt;last-updated-date format="utc"&gt;1472651574&lt;/last-updated-date&gt;&lt;accession-num&gt;25800295&lt;/accession-num&gt;&lt;electronic-resource-num&gt;10.1111/medu.12639&lt;/electronic-resource-num&gt;&lt;volume&gt;49&lt;/volume&gt;&lt;/record&gt;&lt;/Cite&gt;&lt;/EndNote&gt;</w:instrText>
      </w:r>
      <w:r>
        <w:fldChar w:fldCharType="separate"/>
      </w:r>
      <w:r>
        <w:rPr>
          <w:noProof/>
        </w:rPr>
        <w:t>(O'Callaghan, 2015)</w:t>
      </w:r>
      <w:r>
        <w:fldChar w:fldCharType="end"/>
      </w:r>
      <w:r>
        <w:t>.</w:t>
      </w:r>
      <w:r w:rsidR="00C1320D">
        <w:t xml:space="preserve"> They</w:t>
      </w:r>
      <w:r>
        <w:t xml:space="preserve"> advocate the provision of an ‘emotional landscape that enhances learning’ for both students and patients owing to their parallel experiences of vulnerability and ‘feeling overwhelmed’. </w:t>
      </w:r>
      <w:r w:rsidR="00C1320D">
        <w:t>T</w:t>
      </w:r>
      <w:r>
        <w:t>he</w:t>
      </w:r>
      <w:r w:rsidR="00C1320D">
        <w:t>y</w:t>
      </w:r>
      <w:r>
        <w:t xml:space="preserve"> advocate role modelling by responding to the emotions of students explicitly to achieve this, which resonates with </w:t>
      </w:r>
      <w:r w:rsidR="00312BFF">
        <w:t xml:space="preserve">these data and </w:t>
      </w:r>
      <w:r>
        <w:t xml:space="preserve">the concept of </w:t>
      </w:r>
      <w:r w:rsidR="001231A4">
        <w:t>remaining</w:t>
      </w:r>
      <w:r>
        <w:t xml:space="preserve"> empathic to learners</w:t>
      </w:r>
      <w:r w:rsidR="00217960">
        <w:t xml:space="preserve"> as well as </w:t>
      </w:r>
      <w:r w:rsidR="001231A4">
        <w:t>opportunities</w:t>
      </w:r>
      <w:r w:rsidR="00217960">
        <w:t xml:space="preserve"> to enhance emotional intelligence by discovering and debriefing</w:t>
      </w:r>
      <w:r>
        <w:t xml:space="preserve"> </w:t>
      </w:r>
      <w:r>
        <w:fldChar w:fldCharType="begin"/>
      </w:r>
      <w:r>
        <w:instrText xml:space="preserve"> ADDIN EN.CITE &lt;EndNote&gt;&lt;Cite&gt;&lt;Author&gt;O&amp;apos;Callaghan&lt;/Author&gt;&lt;Year&gt;2015&lt;/Year&gt;&lt;IDText&gt;When I say … emotional congruence in medical education&lt;/IDText&gt;&lt;DisplayText&gt;(O&amp;apos;Callaghan, 2015)&lt;/DisplayText&gt;&lt;record&gt;&lt;dates&gt;&lt;pub-dates&gt;&lt;date&gt;Apr&lt;/date&gt;&lt;/pub-dates&gt;&lt;year&gt;2015&lt;/year&gt;&lt;/dates&gt;&lt;keywords&gt;&lt;keyword&gt;Education, Medical&lt;/keyword&gt;&lt;keyword&gt;Emotions&lt;/keyword&gt;&lt;keyword&gt;Humans&lt;/keyword&gt;&lt;keyword&gt;Learning&lt;/keyword&gt;&lt;keyword&gt;Students, Medical&lt;/keyword&gt;&lt;/keywords&gt;&lt;urls&gt;&lt;related-urls&gt;&lt;url&gt;https://www.ncbi.nlm.nih.gov/pubmed/25800295&lt;/url&gt;&lt;/related-urls&gt;&lt;/urls&gt;&lt;isbn&gt;1365-2923&lt;/isbn&gt;&lt;titles&gt;&lt;title&gt;When I say … emotional congruence in medical education&lt;/title&gt;&lt;secondary-title&gt;Med Educ&lt;/secondary-title&gt;&lt;/titles&gt;&lt;pages&gt;357-8&lt;/pages&gt;&lt;number&gt;4&lt;/number&gt;&lt;contributors&gt;&lt;authors&gt;&lt;author&gt;O&amp;apos;Callaghan, A.&lt;/author&gt;&lt;/authors&gt;&lt;/contributors&gt;&lt;language&gt;eng&lt;/language&gt;&lt;added-date format="utc"&gt;1472651574&lt;/added-date&gt;&lt;ref-type name="Journal Article"&gt;17&lt;/ref-type&gt;&lt;rec-number&gt;283&lt;/rec-number&gt;&lt;last-updated-date format="utc"&gt;1472651574&lt;/last-updated-date&gt;&lt;accession-num&gt;25800295&lt;/accession-num&gt;&lt;electronic-resource-num&gt;10.1111/medu.12639&lt;/electronic-resource-num&gt;&lt;volume&gt;49&lt;/volume&gt;&lt;/record&gt;&lt;/Cite&gt;&lt;/EndNote&gt;</w:instrText>
      </w:r>
      <w:r>
        <w:fldChar w:fldCharType="separate"/>
      </w:r>
      <w:r>
        <w:rPr>
          <w:noProof/>
        </w:rPr>
        <w:t>(O'Callaghan, 2015)</w:t>
      </w:r>
      <w:r>
        <w:fldChar w:fldCharType="end"/>
      </w:r>
      <w:r>
        <w:t>.</w:t>
      </w:r>
      <w:r w:rsidR="008F4D7F">
        <w:t xml:space="preserve"> In order to allow emergence of these concepts through experiential simulated scenarios</w:t>
      </w:r>
      <w:r w:rsidR="008A1871">
        <w:t>,</w:t>
      </w:r>
      <w:r w:rsidR="008F4D7F">
        <w:t xml:space="preserve"> it was vital to </w:t>
      </w:r>
      <w:r w:rsidR="00905C08">
        <w:t>practice</w:t>
      </w:r>
      <w:r w:rsidR="008F4D7F">
        <w:t xml:space="preserve"> under pressure.</w:t>
      </w:r>
      <w:bookmarkStart w:id="435" w:name="_Toc348686439"/>
      <w:bookmarkEnd w:id="435"/>
    </w:p>
    <w:p w14:paraId="011EE58E" w14:textId="6108D393" w:rsidR="00923BD6" w:rsidRDefault="00923BD6" w:rsidP="00187756">
      <w:pPr>
        <w:pStyle w:val="Heading2"/>
      </w:pPr>
      <w:bookmarkStart w:id="436" w:name="_Toc343501251"/>
      <w:bookmarkStart w:id="437" w:name="_Toc348686446"/>
      <w:bookmarkStart w:id="438" w:name="_Toc419116209"/>
      <w:r>
        <w:lastRenderedPageBreak/>
        <w:t>From basic skills to mastery – comparisons with existing educational theory</w:t>
      </w:r>
      <w:r w:rsidR="002E1A8F">
        <w:t xml:space="preserve"> for e</w:t>
      </w:r>
      <w:r w:rsidR="00CA15CC">
        <w:t>mbedding non</w:t>
      </w:r>
      <w:r w:rsidR="002D7817">
        <w:t>-</w:t>
      </w:r>
      <w:r w:rsidR="00CA15CC">
        <w:t>technical skills</w:t>
      </w:r>
      <w:bookmarkEnd w:id="436"/>
      <w:bookmarkEnd w:id="437"/>
      <w:bookmarkEnd w:id="438"/>
    </w:p>
    <w:p w14:paraId="41CF11FA" w14:textId="77777777" w:rsidR="008E55C3" w:rsidRDefault="008E55C3" w:rsidP="008E55C3"/>
    <w:p w14:paraId="4B3182DC" w14:textId="0696739C" w:rsidR="00C25E3A" w:rsidRDefault="002D7817" w:rsidP="00C25E3A">
      <w:pPr>
        <w:rPr>
          <w:rFonts w:eastAsiaTheme="minorEastAsia" w:cs="Arial"/>
          <w:color w:val="222222"/>
          <w:szCs w:val="24"/>
          <w:lang w:val="en-US"/>
        </w:rPr>
      </w:pPr>
      <w:r>
        <w:rPr>
          <w:rFonts w:eastAsiaTheme="minorEastAsia" w:cs="Arial"/>
          <w:color w:val="222222"/>
          <w:szCs w:val="24"/>
          <w:lang w:val="en-US"/>
        </w:rPr>
        <w:t>I</w:t>
      </w:r>
      <w:r w:rsidR="00C25E3A" w:rsidRPr="005229FF">
        <w:rPr>
          <w:rFonts w:eastAsiaTheme="minorEastAsia" w:cs="Arial"/>
          <w:color w:val="222222"/>
          <w:szCs w:val="24"/>
          <w:lang w:val="en-US"/>
        </w:rPr>
        <w:t>n cognitive load theory, the novice is said to become distracted when overloaded with patient c</w:t>
      </w:r>
      <w:r w:rsidR="00C25E3A">
        <w:rPr>
          <w:rFonts w:eastAsiaTheme="minorEastAsia" w:cs="Arial"/>
          <w:color w:val="222222"/>
          <w:szCs w:val="24"/>
          <w:lang w:val="en-US"/>
        </w:rPr>
        <w:t>ondition, the monitors, informa</w:t>
      </w:r>
      <w:r w:rsidR="00C25E3A" w:rsidRPr="005229FF">
        <w:rPr>
          <w:rFonts w:eastAsiaTheme="minorEastAsia" w:cs="Arial"/>
          <w:color w:val="222222"/>
          <w:szCs w:val="24"/>
          <w:lang w:val="en-US"/>
        </w:rPr>
        <w:t>t</w:t>
      </w:r>
      <w:r w:rsidR="00C25E3A">
        <w:rPr>
          <w:rFonts w:eastAsiaTheme="minorEastAsia" w:cs="Arial"/>
          <w:color w:val="222222"/>
          <w:szCs w:val="24"/>
          <w:lang w:val="en-US"/>
        </w:rPr>
        <w:t>i</w:t>
      </w:r>
      <w:r w:rsidR="00C25E3A" w:rsidRPr="005229FF">
        <w:rPr>
          <w:rFonts w:eastAsiaTheme="minorEastAsia" w:cs="Arial"/>
          <w:color w:val="222222"/>
          <w:szCs w:val="24"/>
          <w:lang w:val="en-US"/>
        </w:rPr>
        <w:t>on and</w:t>
      </w:r>
      <w:r w:rsidR="00413D71">
        <w:rPr>
          <w:rFonts w:eastAsiaTheme="minorEastAsia" w:cs="Arial"/>
          <w:color w:val="222222"/>
          <w:szCs w:val="24"/>
          <w:lang w:val="en-US"/>
        </w:rPr>
        <w:t xml:space="preserve"> distractions. Mastery</w:t>
      </w:r>
      <w:r w:rsidR="00C25E3A" w:rsidRPr="005229FF">
        <w:rPr>
          <w:rFonts w:eastAsiaTheme="minorEastAsia" w:cs="Arial"/>
          <w:color w:val="222222"/>
          <w:szCs w:val="24"/>
          <w:lang w:val="en-US"/>
        </w:rPr>
        <w:t xml:space="preserve"> skills are said to be developed ov</w:t>
      </w:r>
      <w:r w:rsidR="00C25E3A">
        <w:rPr>
          <w:rFonts w:eastAsiaTheme="minorEastAsia" w:cs="Arial"/>
          <w:color w:val="222222"/>
          <w:szCs w:val="24"/>
          <w:lang w:val="en-US"/>
        </w:rPr>
        <w:t>er time on the wards with exper</w:t>
      </w:r>
      <w:r w:rsidR="00C25E3A" w:rsidRPr="005229FF">
        <w:rPr>
          <w:rFonts w:eastAsiaTheme="minorEastAsia" w:cs="Arial"/>
          <w:color w:val="222222"/>
          <w:szCs w:val="24"/>
          <w:lang w:val="en-US"/>
        </w:rPr>
        <w:t>i</w:t>
      </w:r>
      <w:r w:rsidR="00C25E3A">
        <w:rPr>
          <w:rFonts w:eastAsiaTheme="minorEastAsia" w:cs="Arial"/>
          <w:color w:val="222222"/>
          <w:szCs w:val="24"/>
          <w:lang w:val="en-US"/>
        </w:rPr>
        <w:t>e</w:t>
      </w:r>
      <w:r w:rsidR="00C25E3A" w:rsidRPr="005229FF">
        <w:rPr>
          <w:rFonts w:eastAsiaTheme="minorEastAsia" w:cs="Arial"/>
          <w:color w:val="222222"/>
          <w:szCs w:val="24"/>
          <w:lang w:val="en-US"/>
        </w:rPr>
        <w:t>nce. H</w:t>
      </w:r>
      <w:r w:rsidR="00C25E3A">
        <w:rPr>
          <w:rFonts w:eastAsiaTheme="minorEastAsia" w:cs="Arial"/>
          <w:color w:val="222222"/>
          <w:szCs w:val="24"/>
          <w:lang w:val="en-US"/>
        </w:rPr>
        <w:t xml:space="preserve">owever, </w:t>
      </w:r>
      <w:r w:rsidR="00C25E3A" w:rsidRPr="005229FF">
        <w:rPr>
          <w:rFonts w:eastAsiaTheme="minorEastAsia" w:cs="Arial"/>
          <w:color w:val="222222"/>
          <w:szCs w:val="24"/>
          <w:lang w:val="en-US"/>
        </w:rPr>
        <w:t xml:space="preserve">this study demonstrates </w:t>
      </w:r>
      <w:r>
        <w:rPr>
          <w:rFonts w:eastAsiaTheme="minorEastAsia" w:cs="Arial"/>
          <w:color w:val="222222"/>
          <w:szCs w:val="24"/>
          <w:lang w:val="en-US"/>
        </w:rPr>
        <w:t xml:space="preserve">the possibility of </w:t>
      </w:r>
      <w:r w:rsidR="00C25E3A" w:rsidRPr="005229FF">
        <w:rPr>
          <w:rFonts w:eastAsiaTheme="minorEastAsia" w:cs="Arial"/>
          <w:color w:val="222222"/>
          <w:szCs w:val="24"/>
          <w:lang w:val="en-US"/>
        </w:rPr>
        <w:t>bring</w:t>
      </w:r>
      <w:r>
        <w:rPr>
          <w:rFonts w:eastAsiaTheme="minorEastAsia" w:cs="Arial"/>
          <w:color w:val="222222"/>
          <w:szCs w:val="24"/>
          <w:lang w:val="en-US"/>
        </w:rPr>
        <w:t>ing</w:t>
      </w:r>
      <w:r w:rsidR="00C25E3A" w:rsidRPr="005229FF">
        <w:rPr>
          <w:rFonts w:eastAsiaTheme="minorEastAsia" w:cs="Arial"/>
          <w:color w:val="222222"/>
          <w:szCs w:val="24"/>
          <w:lang w:val="en-US"/>
        </w:rPr>
        <w:t xml:space="preserve"> in these skills using simulation</w:t>
      </w:r>
      <w:r>
        <w:rPr>
          <w:rFonts w:eastAsiaTheme="minorEastAsia" w:cs="Arial"/>
          <w:color w:val="222222"/>
          <w:szCs w:val="24"/>
          <w:lang w:val="en-US"/>
        </w:rPr>
        <w:t xml:space="preserve"> </w:t>
      </w:r>
      <w:r w:rsidR="00C25E3A" w:rsidRPr="005229FF">
        <w:rPr>
          <w:rFonts w:eastAsiaTheme="minorEastAsia" w:cs="Arial"/>
          <w:color w:val="222222"/>
          <w:szCs w:val="24"/>
          <w:lang w:val="en-US"/>
        </w:rPr>
        <w:t>under graded pressure and responsibility</w:t>
      </w:r>
      <w:r w:rsidR="00C25E3A">
        <w:rPr>
          <w:rFonts w:eastAsiaTheme="minorEastAsia" w:cs="Arial"/>
          <w:color w:val="222222"/>
          <w:szCs w:val="24"/>
          <w:lang w:val="en-US"/>
        </w:rPr>
        <w:t>,</w:t>
      </w:r>
      <w:r w:rsidR="00C25E3A" w:rsidRPr="005229FF">
        <w:rPr>
          <w:rFonts w:eastAsiaTheme="minorEastAsia" w:cs="Arial"/>
          <w:color w:val="222222"/>
          <w:szCs w:val="24"/>
          <w:lang w:val="en-US"/>
        </w:rPr>
        <w:t xml:space="preserve"> with supp</w:t>
      </w:r>
      <w:r w:rsidR="00C25E3A">
        <w:rPr>
          <w:rFonts w:eastAsiaTheme="minorEastAsia" w:cs="Arial"/>
          <w:color w:val="222222"/>
          <w:szCs w:val="24"/>
          <w:lang w:val="en-US"/>
        </w:rPr>
        <w:t xml:space="preserve">orted structured debriefing. This was seen to </w:t>
      </w:r>
      <w:r w:rsidR="00C25E3A" w:rsidRPr="005229FF">
        <w:rPr>
          <w:rFonts w:eastAsiaTheme="minorEastAsia" w:cs="Arial"/>
          <w:color w:val="222222"/>
          <w:szCs w:val="24"/>
          <w:lang w:val="en-US"/>
        </w:rPr>
        <w:t>m</w:t>
      </w:r>
      <w:r w:rsidR="00C25E3A">
        <w:rPr>
          <w:rFonts w:eastAsiaTheme="minorEastAsia" w:cs="Arial"/>
          <w:color w:val="222222"/>
          <w:szCs w:val="24"/>
          <w:lang w:val="en-US"/>
        </w:rPr>
        <w:t>ove novices up the learning jou</w:t>
      </w:r>
      <w:r w:rsidR="00C25E3A" w:rsidRPr="005229FF">
        <w:rPr>
          <w:rFonts w:eastAsiaTheme="minorEastAsia" w:cs="Arial"/>
          <w:color w:val="222222"/>
          <w:szCs w:val="24"/>
          <w:lang w:val="en-US"/>
        </w:rPr>
        <w:t>r</w:t>
      </w:r>
      <w:r w:rsidR="00C25E3A">
        <w:rPr>
          <w:rFonts w:eastAsiaTheme="minorEastAsia" w:cs="Arial"/>
          <w:color w:val="222222"/>
          <w:szCs w:val="24"/>
          <w:lang w:val="en-US"/>
        </w:rPr>
        <w:t>ney, both subjectively and objectively, so that they felt</w:t>
      </w:r>
      <w:r w:rsidR="00C25E3A" w:rsidRPr="005229FF">
        <w:rPr>
          <w:rFonts w:eastAsiaTheme="minorEastAsia" w:cs="Arial"/>
          <w:color w:val="222222"/>
          <w:szCs w:val="24"/>
          <w:lang w:val="en-US"/>
        </w:rPr>
        <w:t xml:space="preserve"> mo</w:t>
      </w:r>
      <w:r w:rsidR="00C25E3A">
        <w:rPr>
          <w:rFonts w:eastAsiaTheme="minorEastAsia" w:cs="Arial"/>
          <w:color w:val="222222"/>
          <w:szCs w:val="24"/>
          <w:lang w:val="en-US"/>
        </w:rPr>
        <w:t>re ready and able to cope in a</w:t>
      </w:r>
      <w:r w:rsidR="00C25E3A" w:rsidRPr="005229FF">
        <w:rPr>
          <w:rFonts w:eastAsiaTheme="minorEastAsia" w:cs="Arial"/>
          <w:color w:val="222222"/>
          <w:szCs w:val="24"/>
          <w:lang w:val="en-US"/>
        </w:rPr>
        <w:t xml:space="preserve"> clinical environment at times of highest stress. </w:t>
      </w:r>
    </w:p>
    <w:p w14:paraId="25D72EF7" w14:textId="3C7A6CD8" w:rsidR="00C25E3A" w:rsidRDefault="00055DAB" w:rsidP="008E55C3">
      <w:r>
        <w:rPr>
          <w:rFonts w:eastAsiaTheme="minorEastAsia" w:cs="Arial"/>
          <w:color w:val="222222"/>
          <w:szCs w:val="24"/>
          <w:lang w:val="en-US"/>
        </w:rPr>
        <w:t xml:space="preserve">An important element of mastery is managing cognitive overload. </w:t>
      </w:r>
      <w:r w:rsidR="00C25E3A" w:rsidRPr="001A5D18">
        <w:rPr>
          <w:rFonts w:eastAsiaTheme="minorEastAsia" w:cs="Arial"/>
          <w:color w:val="222222"/>
          <w:szCs w:val="24"/>
          <w:lang w:val="en-US"/>
        </w:rPr>
        <w:t>Cognitive load theory suggests there is a huge risk of causing cognitive overlo</w:t>
      </w:r>
      <w:r w:rsidR="002D7817">
        <w:rPr>
          <w:rFonts w:eastAsiaTheme="minorEastAsia" w:cs="Arial"/>
          <w:color w:val="222222"/>
          <w:szCs w:val="24"/>
          <w:lang w:val="en-US"/>
        </w:rPr>
        <w:t>ad if employing complexity in novice learning. H</w:t>
      </w:r>
      <w:r w:rsidR="00C25E3A" w:rsidRPr="001A5D18">
        <w:rPr>
          <w:rFonts w:eastAsiaTheme="minorEastAsia" w:cs="Arial"/>
          <w:color w:val="222222"/>
          <w:szCs w:val="24"/>
          <w:lang w:val="en-US"/>
        </w:rPr>
        <w:t>owever the impact of experiencing cognitive overload on the actual wards when caring for unwell patients</w:t>
      </w:r>
      <w:r w:rsidR="002D7817">
        <w:rPr>
          <w:rFonts w:eastAsiaTheme="minorEastAsia" w:cs="Arial"/>
          <w:color w:val="222222"/>
          <w:szCs w:val="24"/>
          <w:lang w:val="en-US"/>
        </w:rPr>
        <w:t>,</w:t>
      </w:r>
      <w:r w:rsidR="00F051C2">
        <w:rPr>
          <w:rFonts w:eastAsiaTheme="minorEastAsia" w:cs="Arial"/>
          <w:color w:val="222222"/>
          <w:szCs w:val="24"/>
          <w:lang w:val="en-US"/>
        </w:rPr>
        <w:t xml:space="preserve"> is</w:t>
      </w:r>
      <w:r w:rsidR="00C25E3A" w:rsidRPr="001A5D18">
        <w:rPr>
          <w:rFonts w:eastAsiaTheme="minorEastAsia" w:cs="Arial"/>
          <w:color w:val="222222"/>
          <w:szCs w:val="24"/>
          <w:lang w:val="en-US"/>
        </w:rPr>
        <w:t xml:space="preserve"> hugely dangerous for doctors and patients. </w:t>
      </w:r>
    </w:p>
    <w:p w14:paraId="3D037EC3" w14:textId="6BB031A6" w:rsidR="005229FF" w:rsidRDefault="002F4B43" w:rsidP="008E55C3">
      <w:r>
        <w:fldChar w:fldCharType="begin"/>
      </w:r>
      <w:r w:rsidR="005823F4">
        <w:instrText xml:space="preserve"> ADDIN EN.CITE &lt;EndNote&gt;&lt;Cite&gt;&lt;Author&gt;Lave&lt;/Author&gt;&lt;Year&gt;1991&lt;/Year&gt;&lt;IDText&gt;Situated Learning: Legitimate peripheral participation&lt;/IDText&gt;&lt;DisplayText&gt;(Lave and Wenger, 1991)&lt;/DisplayText&gt;&lt;record&gt;&lt;titles&gt;&lt;title&gt;Situated Learning: Legitimate peripheral participation&lt;/title&gt;&lt;/titles&gt;&lt;contributors&gt;&lt;authors&gt;&lt;author&gt;Lave, Jean&lt;/author&gt;&lt;author&gt;Wenger, Etienne&lt;/author&gt;&lt;/authors&gt;&lt;/contributors&gt;&lt;added-date format="utc"&gt;1459260078&lt;/added-date&gt;&lt;pub-location&gt;Cambridge&lt;/pub-location&gt;&lt;ref-type name="Book"&gt;6&lt;/ref-type&gt;&lt;dates&gt;&lt;year&gt;1991&lt;/year&gt;&lt;/dates&gt;&lt;rec-number&gt;241&lt;/rec-number&gt;&lt;publisher&gt;Cambridge University Press &lt;/publisher&gt;&lt;last-updated-date format="utc"&gt;1459260152&lt;/last-updated-date&gt;&lt;/record&gt;&lt;/Cite&gt;&lt;/EndNote&gt;</w:instrText>
      </w:r>
      <w:r>
        <w:fldChar w:fldCharType="separate"/>
      </w:r>
      <w:r w:rsidR="001E19F0">
        <w:rPr>
          <w:noProof/>
        </w:rPr>
        <w:t>Lave and Wenger</w:t>
      </w:r>
      <w:r w:rsidR="005823F4">
        <w:rPr>
          <w:noProof/>
        </w:rPr>
        <w:t xml:space="preserve"> </w:t>
      </w:r>
      <w:r w:rsidR="001E19F0">
        <w:rPr>
          <w:noProof/>
        </w:rPr>
        <w:t>(</w:t>
      </w:r>
      <w:r w:rsidR="005823F4">
        <w:rPr>
          <w:noProof/>
        </w:rPr>
        <w:t>1991)</w:t>
      </w:r>
      <w:r>
        <w:fldChar w:fldCharType="end"/>
      </w:r>
      <w:r w:rsidR="001E19F0">
        <w:t>,</w:t>
      </w:r>
      <w:r>
        <w:t xml:space="preserve"> </w:t>
      </w:r>
      <w:r w:rsidR="008E55C3">
        <w:t xml:space="preserve">report the view that </w:t>
      </w:r>
      <w:r w:rsidR="00F051C2">
        <w:t>m</w:t>
      </w:r>
      <w:r w:rsidR="008E55C3">
        <w:t xml:space="preserve">astery is not limited to the </w:t>
      </w:r>
      <w:r w:rsidR="00F051C2">
        <w:t>m</w:t>
      </w:r>
      <w:r w:rsidR="008E55C3">
        <w:t>aster but resides in the ‘organisation of the community of practice of which the master is part’</w:t>
      </w:r>
      <w:r>
        <w:t xml:space="preserve">. </w:t>
      </w:r>
      <w:r w:rsidR="00CD41D5">
        <w:t>From the</w:t>
      </w:r>
      <w:r w:rsidR="008E55C3">
        <w:t xml:space="preserve"> experience</w:t>
      </w:r>
      <w:r w:rsidR="00CD41D5">
        <w:t xml:space="preserve"> of the researcher and field notes</w:t>
      </w:r>
      <w:r w:rsidR="008E55C3">
        <w:t xml:space="preserve">, mastery is acquiring the combination of skills both technical and non-technical under the broad governing compass of human factors. This requires mastery from the individual in </w:t>
      </w:r>
      <w:r w:rsidR="00137253">
        <w:t>terms</w:t>
      </w:r>
      <w:r w:rsidR="008E55C3">
        <w:t xml:space="preserve"> of leadership skills as well as flexibility to </w:t>
      </w:r>
      <w:r w:rsidR="00EC1643">
        <w:t xml:space="preserve">allow </w:t>
      </w:r>
      <w:r w:rsidR="00137253">
        <w:t>hierarchical</w:t>
      </w:r>
      <w:r w:rsidR="008E55C3">
        <w:t xml:space="preserve"> access and challenge, </w:t>
      </w:r>
      <w:r w:rsidR="002D7817">
        <w:t xml:space="preserve">plus </w:t>
      </w:r>
      <w:r w:rsidR="008E55C3">
        <w:t xml:space="preserve">mastery by all team individuals on a personal and </w:t>
      </w:r>
      <w:r w:rsidR="00345C07">
        <w:t>teamworking</w:t>
      </w:r>
      <w:r w:rsidR="008E55C3">
        <w:t xml:space="preserve"> level. All of these skills need to be nurtured and developed in each </w:t>
      </w:r>
      <w:r w:rsidR="008E55C3">
        <w:lastRenderedPageBreak/>
        <w:t>member</w:t>
      </w:r>
      <w:r w:rsidR="002D7817">
        <w:t>. E</w:t>
      </w:r>
      <w:r w:rsidR="008E55C3">
        <w:t xml:space="preserve">ach member should be valued </w:t>
      </w:r>
      <w:r w:rsidR="00D35033">
        <w:t xml:space="preserve">as part </w:t>
      </w:r>
      <w:r w:rsidR="008E55C3">
        <w:t xml:space="preserve">of the team. </w:t>
      </w:r>
      <w:r w:rsidR="00297FA7">
        <w:t xml:space="preserve">To </w:t>
      </w:r>
      <w:r w:rsidR="008E55C3">
        <w:t>benefit fr</w:t>
      </w:r>
      <w:r w:rsidR="00297FA7">
        <w:t>o</w:t>
      </w:r>
      <w:r w:rsidR="008E55C3">
        <w:t>m this form of community learning and support</w:t>
      </w:r>
      <w:r w:rsidR="00297FA7">
        <w:t>,</w:t>
      </w:r>
      <w:r w:rsidR="008E55C3">
        <w:t xml:space="preserve"> </w:t>
      </w:r>
      <w:r w:rsidR="00297FA7">
        <w:t xml:space="preserve">required being </w:t>
      </w:r>
      <w:r w:rsidR="008E55C3">
        <w:t>welcomed</w:t>
      </w:r>
      <w:r w:rsidR="00297FA7">
        <w:t xml:space="preserve">, with </w:t>
      </w:r>
      <w:r w:rsidR="008E55C3">
        <w:t>a sense of belonging</w:t>
      </w:r>
      <w:r w:rsidR="00D35033">
        <w:t>, role</w:t>
      </w:r>
      <w:r w:rsidR="008E55C3">
        <w:t xml:space="preserve"> and responsibility. </w:t>
      </w:r>
    </w:p>
    <w:p w14:paraId="3FC01ABF" w14:textId="7B6AF463" w:rsidR="00000138" w:rsidRDefault="00D35033" w:rsidP="008E55C3">
      <w:r>
        <w:t xml:space="preserve">There needs to be clarity </w:t>
      </w:r>
      <w:r w:rsidR="008E55C3">
        <w:t>of roles and expectations</w:t>
      </w:r>
      <w:r w:rsidR="00297FA7">
        <w:t>.</w:t>
      </w:r>
      <w:r w:rsidR="008E55C3">
        <w:t xml:space="preserve"> </w:t>
      </w:r>
      <w:r w:rsidR="00297FA7">
        <w:t>S</w:t>
      </w:r>
      <w:r w:rsidR="008E55C3">
        <w:t>eniors and peers</w:t>
      </w:r>
      <w:r>
        <w:t xml:space="preserve"> have a key role</w:t>
      </w:r>
      <w:r w:rsidR="008E55C3">
        <w:t xml:space="preserve"> </w:t>
      </w:r>
      <w:r w:rsidR="00297FA7">
        <w:t>in</w:t>
      </w:r>
      <w:r>
        <w:t xml:space="preserve"> </w:t>
      </w:r>
      <w:r w:rsidR="00EC1643">
        <w:t>‘scaffold</w:t>
      </w:r>
      <w:r w:rsidR="00297FA7">
        <w:t>ing</w:t>
      </w:r>
      <w:r w:rsidR="00EC1643">
        <w:t xml:space="preserve">’, </w:t>
      </w:r>
      <w:r w:rsidR="00F051C2">
        <w:t xml:space="preserve">and the </w:t>
      </w:r>
      <w:r w:rsidR="00EC1643">
        <w:t>‘co-construct</w:t>
      </w:r>
      <w:r w:rsidR="00297FA7">
        <w:t>ion</w:t>
      </w:r>
      <w:r w:rsidR="00EC1643">
        <w:t xml:space="preserve">’ </w:t>
      </w:r>
      <w:r w:rsidR="00297FA7">
        <w:t xml:space="preserve">of </w:t>
      </w:r>
      <w:r w:rsidR="00EC1643">
        <w:t>learning</w:t>
      </w:r>
      <w:r w:rsidR="008E55C3">
        <w:t xml:space="preserve"> development within the </w:t>
      </w:r>
      <w:r w:rsidR="001D42C9">
        <w:t>healthcare</w:t>
      </w:r>
      <w:r w:rsidR="008E55C3">
        <w:t xml:space="preserve"> environment or ‘community’. The </w:t>
      </w:r>
      <w:r w:rsidR="002D7817">
        <w:t>work</w:t>
      </w:r>
      <w:r w:rsidR="008E55C3">
        <w:t xml:space="preserve"> of Piaget and Vygotsky </w:t>
      </w:r>
      <w:r w:rsidR="001231A4">
        <w:t>resonate</w:t>
      </w:r>
      <w:r w:rsidR="008E55C3">
        <w:t xml:space="preserve"> with these findings</w:t>
      </w:r>
      <w:r w:rsidR="00297FA7">
        <w:t>,</w:t>
      </w:r>
      <w:r w:rsidR="008E55C3">
        <w:t xml:space="preserve"> tha</w:t>
      </w:r>
      <w:r w:rsidR="00EC1643">
        <w:t>t peer</w:t>
      </w:r>
      <w:r w:rsidR="00F051C2">
        <w:t>-</w:t>
      </w:r>
      <w:r w:rsidR="00EC1643">
        <w:t>to</w:t>
      </w:r>
      <w:r w:rsidR="00F051C2">
        <w:t>-</w:t>
      </w:r>
      <w:r w:rsidR="00EC1643">
        <w:t>peer a</w:t>
      </w:r>
      <w:r w:rsidR="00297FA7">
        <w:t>nd</w:t>
      </w:r>
      <w:r w:rsidR="00EC1643">
        <w:t xml:space="preserve"> adults</w:t>
      </w:r>
      <w:r w:rsidR="00297FA7">
        <w:t xml:space="preserve"> or</w:t>
      </w:r>
      <w:r w:rsidR="00EC1643">
        <w:t xml:space="preserve"> senior team members are key to cognitive development.</w:t>
      </w:r>
      <w:r w:rsidR="00D02D8D">
        <w:t xml:space="preserve"> </w:t>
      </w:r>
      <w:r w:rsidR="00EC1643">
        <w:t>Peers often perform as a support network and seniors</w:t>
      </w:r>
      <w:r w:rsidR="00000138">
        <w:t xml:space="preserve"> can act as</w:t>
      </w:r>
      <w:r w:rsidR="00EC1643">
        <w:t xml:space="preserve"> the driving force to add challenge and an aspect of overlearning</w:t>
      </w:r>
      <w:r>
        <w:t>. I</w:t>
      </w:r>
      <w:r w:rsidR="00EC1643">
        <w:t xml:space="preserve">ndividual learners </w:t>
      </w:r>
      <w:r w:rsidR="00D02D8D">
        <w:t xml:space="preserve">then require </w:t>
      </w:r>
      <w:r w:rsidR="00EC1643">
        <w:t xml:space="preserve">the motivation and </w:t>
      </w:r>
      <w:r w:rsidR="005336B9">
        <w:t>self-direction</w:t>
      </w:r>
      <w:r w:rsidR="00EC1643">
        <w:t xml:space="preserve"> and regulation to goal set and plan professional development</w:t>
      </w:r>
      <w:r w:rsidR="00D02D8D">
        <w:t xml:space="preserve"> to</w:t>
      </w:r>
      <w:r w:rsidR="00EC1643">
        <w:t xml:space="preserve"> allow </w:t>
      </w:r>
      <w:r w:rsidR="00F051C2">
        <w:t xml:space="preserve">for </w:t>
      </w:r>
      <w:r w:rsidR="00EC1643">
        <w:t>competence progression. It is a two</w:t>
      </w:r>
      <w:r w:rsidR="00F051C2">
        <w:t>-</w:t>
      </w:r>
      <w:r w:rsidR="00EC1643">
        <w:t xml:space="preserve">way process. </w:t>
      </w:r>
    </w:p>
    <w:p w14:paraId="3FF17EDC" w14:textId="4D6F2445" w:rsidR="008E55C3" w:rsidRDefault="00EC1643" w:rsidP="008E55C3">
      <w:r>
        <w:t xml:space="preserve">Senior team members </w:t>
      </w:r>
      <w:r w:rsidR="00D02D8D">
        <w:t xml:space="preserve">require </w:t>
      </w:r>
      <w:r>
        <w:t>support to develop educational skills, in particular debriefing</w:t>
      </w:r>
      <w:r w:rsidR="000F51CE">
        <w:t>, to facilitate</w:t>
      </w:r>
      <w:r>
        <w:t xml:space="preserve"> meaningful reflection within a busy hospital environment. Equally</w:t>
      </w:r>
      <w:r w:rsidR="000F51CE">
        <w:t>,</w:t>
      </w:r>
      <w:r>
        <w:t xml:space="preserve"> from medical school</w:t>
      </w:r>
      <w:r w:rsidR="000F51CE">
        <w:t>,</w:t>
      </w:r>
      <w:r>
        <w:t xml:space="preserve"> skills related to </w:t>
      </w:r>
      <w:r w:rsidR="00137253">
        <w:t>self-regulation</w:t>
      </w:r>
      <w:r>
        <w:t xml:space="preserve"> and reflection should be nurtured. </w:t>
      </w:r>
    </w:p>
    <w:p w14:paraId="46D2628F" w14:textId="615E666B" w:rsidR="00D85334" w:rsidRDefault="00D85334" w:rsidP="008E55C3">
      <w:r>
        <w:t xml:space="preserve">Ericsson’s </w:t>
      </w:r>
      <w:r w:rsidR="00D35033">
        <w:t xml:space="preserve">(2004) </w:t>
      </w:r>
      <w:r>
        <w:t>exploration of deliberate practice, skill acquisition and expert performance</w:t>
      </w:r>
      <w:r w:rsidR="00D35033">
        <w:t>,</w:t>
      </w:r>
      <w:r>
        <w:t xml:space="preserve"> challenges Galton</w:t>
      </w:r>
      <w:r w:rsidR="00E62A1C">
        <w:t xml:space="preserve">’s view </w:t>
      </w:r>
      <w:r>
        <w:t>that innate mechanisms determine mental capacities</w:t>
      </w:r>
      <w:r w:rsidR="00D35033">
        <w:t>. Ericsson</w:t>
      </w:r>
      <w:r>
        <w:t xml:space="preserve"> suggests </w:t>
      </w:r>
      <w:r w:rsidR="00E62A1C">
        <w:t xml:space="preserve">that </w:t>
      </w:r>
      <w:r>
        <w:t xml:space="preserve">motivation and deliberate practice are key to expert performance </w:t>
      </w:r>
      <w:r>
        <w:fldChar w:fldCharType="begin"/>
      </w:r>
      <w:r>
        <w:instrText xml:space="preserve"> ADDIN EN.CITE &lt;EndNote&gt;&lt;Cite&gt;&lt;Author&gt;Ericsson&lt;/Author&gt;&lt;Year&gt;2004&lt;/Year&gt;&lt;IDText&gt;Deliberate practice and the acquisition and maintenance of expert performance in medicine and related domains&lt;/IDText&gt;&lt;DisplayText&gt;(Ericsson, 2004)&lt;/DisplayText&gt;&lt;record&gt;&lt;dates&gt;&lt;pub-dates&gt;&lt;date&gt;Oct&lt;/date&gt;&lt;/pub-dates&gt;&lt;year&gt;2004&lt;/year&gt;&lt;/dates&gt;&lt;keywords&gt;&lt;keyword&gt;Clinical Competence&lt;/keyword&gt;&lt;keyword&gt;Education, Medical&lt;/keyword&gt;&lt;keyword&gt;Humans&lt;/keyword&gt;&lt;keyword&gt;Learning&lt;/keyword&gt;&lt;keyword&gt;Practice (Psychology)&lt;/keyword&gt;&lt;keyword&gt;Professional Practice&lt;/keyword&gt;&lt;/keywords&gt;&lt;urls&gt;&lt;related-urls&gt;&lt;url&gt;http://www.ncbi.nlm.nih.gov/pubmed/15383395&lt;/url&gt;&lt;/related-urls&gt;&lt;/urls&gt;&lt;isbn&gt;1040-2446&lt;/isbn&gt;&lt;titles&gt;&lt;title&gt;Deliberate practice and the acquisition and maintenance of expert performance in medicine and related domains&lt;/title&gt;&lt;secondary-title&gt;Acad Med&lt;/secondary-title&gt;&lt;/titles&gt;&lt;pages&gt;S70-81&lt;/pages&gt;&lt;number&gt;10 Suppl&lt;/number&gt;&lt;contributors&gt;&lt;authors&gt;&lt;author&gt;Ericsson, K. A.&lt;/author&gt;&lt;/authors&gt;&lt;/contributors&gt;&lt;language&gt;eng&lt;/language&gt;&lt;added-date format="utc"&gt;1459415107&lt;/added-date&gt;&lt;ref-type name="Journal Article"&gt;17&lt;/ref-type&gt;&lt;rec-number&gt;244&lt;/rec-number&gt;&lt;last-updated-date format="utc"&gt;1459415107&lt;/last-updated-date&gt;&lt;accession-num&gt;15383395&lt;/accession-num&gt;&lt;volume&gt;79&lt;/volume&gt;&lt;/record&gt;&lt;/Cite&gt;&lt;/EndNote&gt;</w:instrText>
      </w:r>
      <w:r>
        <w:fldChar w:fldCharType="separate"/>
      </w:r>
      <w:r>
        <w:rPr>
          <w:noProof/>
        </w:rPr>
        <w:t>(Ericsson, 2004)</w:t>
      </w:r>
      <w:r>
        <w:fldChar w:fldCharType="end"/>
      </w:r>
      <w:r>
        <w:t xml:space="preserve">. The development of initial everyday tasks at an acceptable level are believed to begin at novice level, followed by </w:t>
      </w:r>
      <w:r w:rsidR="00E62A1C">
        <w:t xml:space="preserve">a </w:t>
      </w:r>
      <w:r>
        <w:t>reduction of gross mistakes and smoother performance</w:t>
      </w:r>
      <w:r w:rsidR="007E03CD">
        <w:t>,</w:t>
      </w:r>
      <w:r>
        <w:t xml:space="preserve"> then </w:t>
      </w:r>
      <w:r w:rsidR="00E62A1C">
        <w:t xml:space="preserve">an </w:t>
      </w:r>
      <w:r>
        <w:t xml:space="preserve">automaticity of skill where continuous control is lost and it becomes difficult to </w:t>
      </w:r>
      <w:r>
        <w:lastRenderedPageBreak/>
        <w:t>make intentional modifications. If medical student</w:t>
      </w:r>
      <w:r w:rsidR="007E03CD">
        <w:t>s are exposed</w:t>
      </w:r>
      <w:r>
        <w:t xml:space="preserve"> to regular deliberate practice </w:t>
      </w:r>
      <w:r w:rsidR="007E03CD">
        <w:t>under conditions of graded responsibility and pressure, it</w:t>
      </w:r>
      <w:r>
        <w:t xml:space="preserve"> </w:t>
      </w:r>
      <w:r w:rsidR="00254AA7">
        <w:t xml:space="preserve">appears </w:t>
      </w:r>
      <w:r w:rsidR="007E03CD">
        <w:t>possible</w:t>
      </w:r>
      <w:r>
        <w:t xml:space="preserve"> to build these mental models to help when exposed to an acute situatio</w:t>
      </w:r>
      <w:r w:rsidR="00163A72">
        <w:t>n to be more safe and effective. One of the drawbacks of automaticity is that if the pattern recognition for a diagnosis or problem is inaccurate</w:t>
      </w:r>
      <w:r w:rsidR="00254AA7">
        <w:t>,</w:t>
      </w:r>
      <w:r w:rsidR="00163A72">
        <w:t xml:space="preserve"> it may be difficult to shift away from this due to cognitive bias</w:t>
      </w:r>
      <w:r w:rsidR="00254AA7">
        <w:t xml:space="preserve"> </w:t>
      </w:r>
      <w:r w:rsidR="00E62A1C">
        <w:t>(</w:t>
      </w:r>
      <w:r w:rsidR="00254AA7">
        <w:t>as described in study</w:t>
      </w:r>
      <w:r w:rsidR="007E03CD">
        <w:t xml:space="preserve"> case</w:t>
      </w:r>
      <w:r w:rsidR="00254AA7">
        <w:t>s</w:t>
      </w:r>
      <w:r w:rsidR="00E62A1C">
        <w:t>)</w:t>
      </w:r>
      <w:r w:rsidR="00163A72">
        <w:t>. Learning about cognitive biases and teaching in a more problem</w:t>
      </w:r>
      <w:r w:rsidR="00E62A1C">
        <w:t>-based</w:t>
      </w:r>
      <w:r w:rsidR="007E03CD">
        <w:t>,</w:t>
      </w:r>
      <w:r w:rsidR="00000138">
        <w:t xml:space="preserve"> rather tha</w:t>
      </w:r>
      <w:r w:rsidR="00E62A1C">
        <w:t xml:space="preserve">n a </w:t>
      </w:r>
      <w:r w:rsidR="00000138">
        <w:t>diagnosis</w:t>
      </w:r>
      <w:r w:rsidR="00E62A1C">
        <w:t>-</w:t>
      </w:r>
      <w:r w:rsidR="00000138">
        <w:t>le</w:t>
      </w:r>
      <w:r w:rsidR="00163A72">
        <w:t xml:space="preserve">d fashion to increase clinical reasoning and </w:t>
      </w:r>
      <w:r w:rsidR="001D42C9">
        <w:t>judgment</w:t>
      </w:r>
      <w:r w:rsidR="00163A72">
        <w:t xml:space="preserve"> appears key. </w:t>
      </w:r>
      <w:r w:rsidR="00000138">
        <w:t xml:space="preserve">This notion goes against the groundings of cognitive load theory that advocates the avoidance of </w:t>
      </w:r>
      <w:r w:rsidR="001231A4">
        <w:t>problem-based</w:t>
      </w:r>
      <w:r w:rsidR="00000138">
        <w:t xml:space="preserve"> learning at early stages</w:t>
      </w:r>
      <w:r w:rsidR="00254AA7">
        <w:t>. However,</w:t>
      </w:r>
      <w:r w:rsidR="00000138">
        <w:t xml:space="preserve"> interestingly </w:t>
      </w:r>
      <w:r w:rsidR="00E83AFE">
        <w:t>cognitive load theory</w:t>
      </w:r>
      <w:r w:rsidR="00254AA7">
        <w:t xml:space="preserve"> </w:t>
      </w:r>
      <w:r w:rsidR="00000138">
        <w:t xml:space="preserve">suggests </w:t>
      </w:r>
      <w:r w:rsidR="00254AA7">
        <w:t>avoid</w:t>
      </w:r>
      <w:r w:rsidR="00E83AFE">
        <w:t>ing goal-</w:t>
      </w:r>
      <w:r w:rsidR="00254AA7">
        <w:t xml:space="preserve">setting </w:t>
      </w:r>
      <w:r w:rsidR="00000138">
        <w:t xml:space="preserve">for novices </w:t>
      </w:r>
      <w:r w:rsidR="007E03CD">
        <w:t xml:space="preserve">because </w:t>
      </w:r>
      <w:r w:rsidR="00000138">
        <w:t xml:space="preserve">it reduces cognitive load </w:t>
      </w:r>
      <w:r w:rsidR="007E03CD">
        <w:t xml:space="preserve">through </w:t>
      </w:r>
      <w:r w:rsidR="00000138">
        <w:t xml:space="preserve">not working backwards from a planned goal or objective. These data along with the concepts </w:t>
      </w:r>
      <w:r w:rsidR="001231A4">
        <w:t>underpinning</w:t>
      </w:r>
      <w:r w:rsidR="00000138">
        <w:t xml:space="preserve"> complexity theory advocate the emergence of learning and learner derived outcomes to allow </w:t>
      </w:r>
      <w:r w:rsidR="008B10E1">
        <w:t xml:space="preserve">for the </w:t>
      </w:r>
      <w:r w:rsidR="00000138">
        <w:t xml:space="preserve">tailoring of a session to </w:t>
      </w:r>
      <w:r w:rsidR="00AA2E94">
        <w:t>individual needs</w:t>
      </w:r>
      <w:r w:rsidR="007E03CD">
        <w:t xml:space="preserve">. This was </w:t>
      </w:r>
      <w:r w:rsidR="00AA2E94">
        <w:t xml:space="preserve">challenging </w:t>
      </w:r>
      <w:r w:rsidR="00AD29C8">
        <w:t xml:space="preserve">due to the </w:t>
      </w:r>
      <w:r w:rsidR="00AA2E94">
        <w:t xml:space="preserve">limit </w:t>
      </w:r>
      <w:r w:rsidR="00AD29C8">
        <w:t xml:space="preserve">of </w:t>
      </w:r>
      <w:r w:rsidR="00AA2E94">
        <w:t>pre</w:t>
      </w:r>
      <w:r w:rsidR="008B10E1">
        <w:t>-</w:t>
      </w:r>
      <w:r w:rsidR="00AA2E94">
        <w:t>planning that c</w:t>
      </w:r>
      <w:r w:rsidR="00AD29C8">
        <w:t>ould</w:t>
      </w:r>
      <w:r w:rsidR="00AA2E94">
        <w:t xml:space="preserve"> occur.</w:t>
      </w:r>
      <w:r w:rsidR="007E03CD">
        <w:t xml:space="preserve"> </w:t>
      </w:r>
      <w:r w:rsidR="008B10E1">
        <w:t>The concept of e</w:t>
      </w:r>
      <w:r w:rsidR="00AA2E94">
        <w:t xml:space="preserve">mergence </w:t>
      </w:r>
      <w:r w:rsidR="008B10E1">
        <w:t>in</w:t>
      </w:r>
      <w:r w:rsidR="00AA2E94">
        <w:t xml:space="preserve"> learning </w:t>
      </w:r>
      <w:r w:rsidR="008B10E1">
        <w:t xml:space="preserve">complements </w:t>
      </w:r>
      <w:r w:rsidR="00AA2E94">
        <w:t>the notion that a complex environment is associated with uncertainty and unpredictability</w:t>
      </w:r>
      <w:r w:rsidR="008B10E1">
        <w:t xml:space="preserve">, which </w:t>
      </w:r>
      <w:r w:rsidR="00AA2E94">
        <w:t>requir</w:t>
      </w:r>
      <w:r w:rsidR="008B10E1">
        <w:t>es</w:t>
      </w:r>
      <w:r w:rsidR="00AA2E94">
        <w:t xml:space="preserve"> dynamism</w:t>
      </w:r>
      <w:r w:rsidR="008B10E1">
        <w:t xml:space="preserve"> and</w:t>
      </w:r>
      <w:r w:rsidR="00AA2E94">
        <w:t xml:space="preserve"> flexibility to adapt. </w:t>
      </w:r>
      <w:r w:rsidR="00163A72">
        <w:t xml:space="preserve">Teaching and role modelling </w:t>
      </w:r>
      <w:r w:rsidR="007E03CD">
        <w:t xml:space="preserve">acceptance and </w:t>
      </w:r>
      <w:r w:rsidR="00AD29C8">
        <w:t>comfort</w:t>
      </w:r>
      <w:r w:rsidR="007E03CD">
        <w:t xml:space="preserve"> with </w:t>
      </w:r>
      <w:r w:rsidR="00163A72">
        <w:t xml:space="preserve">flexibility and complexity </w:t>
      </w:r>
      <w:r w:rsidR="008B10E1">
        <w:t>were</w:t>
      </w:r>
      <w:r w:rsidR="00163A72">
        <w:t xml:space="preserve"> vital to foster this development</w:t>
      </w:r>
      <w:r w:rsidR="007E03CD">
        <w:t xml:space="preserve"> and understanding</w:t>
      </w:r>
      <w:r w:rsidR="008B10E1">
        <w:t xml:space="preserve"> for</w:t>
      </w:r>
      <w:r w:rsidR="007E03CD">
        <w:t xml:space="preserve"> students</w:t>
      </w:r>
      <w:r w:rsidR="00163A72">
        <w:t xml:space="preserve">. </w:t>
      </w:r>
    </w:p>
    <w:p w14:paraId="618F4A99" w14:textId="2E2A1FAF" w:rsidR="005229FF" w:rsidRDefault="004E6193" w:rsidP="008E55C3">
      <w:r>
        <w:t xml:space="preserve">In the model of skill acquisition developed through triangulation of data in this study </w:t>
      </w:r>
      <w:r w:rsidR="001E19F0">
        <w:t>(Figure 8.2</w:t>
      </w:r>
      <w:r w:rsidR="007E03CD">
        <w:t xml:space="preserve">), </w:t>
      </w:r>
      <w:r>
        <w:t>the development of mastery or expert performance was considered when an individual was able to manage the task whilst dealing with human factors</w:t>
      </w:r>
      <w:r w:rsidR="0072317A">
        <w:t xml:space="preserve"> -</w:t>
      </w:r>
      <w:r>
        <w:t xml:space="preserve"> related complexity</w:t>
      </w:r>
      <w:r w:rsidR="007E03CD">
        <w:t>,</w:t>
      </w:r>
      <w:r>
        <w:t xml:space="preserve"> </w:t>
      </w:r>
      <w:r w:rsidR="00AD29C8">
        <w:t xml:space="preserve">in an </w:t>
      </w:r>
      <w:r>
        <w:t>auth</w:t>
      </w:r>
      <w:r w:rsidR="005229FF">
        <w:t>e</w:t>
      </w:r>
      <w:r>
        <w:t>ntic clin</w:t>
      </w:r>
      <w:r w:rsidR="005229FF">
        <w:t>ic</w:t>
      </w:r>
      <w:r>
        <w:t xml:space="preserve">al environment. This </w:t>
      </w:r>
      <w:r w:rsidR="001231A4">
        <w:lastRenderedPageBreak/>
        <w:t>concurs</w:t>
      </w:r>
      <w:r>
        <w:t xml:space="preserve"> with the Dreyfus model of skill acquisition proposed by </w:t>
      </w:r>
      <w:proofErr w:type="spellStart"/>
      <w:r>
        <w:t>Eraut</w:t>
      </w:r>
      <w:proofErr w:type="spellEnd"/>
      <w:r w:rsidR="00AE0F56">
        <w:t xml:space="preserve"> (Appendix 13</w:t>
      </w:r>
      <w:r w:rsidR="00E00BB7">
        <w:t>.5)</w:t>
      </w:r>
      <w:r>
        <w:t xml:space="preserve">, whereby </w:t>
      </w:r>
      <w:r w:rsidR="0072317A">
        <w:t xml:space="preserve">the </w:t>
      </w:r>
      <w:r>
        <w:t xml:space="preserve">novice moves through five stages to </w:t>
      </w:r>
      <w:r w:rsidR="0072317A">
        <w:t xml:space="preserve">become </w:t>
      </w:r>
      <w:r>
        <w:t>expert with layering of skills</w:t>
      </w:r>
      <w:r w:rsidR="0072317A">
        <w:t xml:space="preserve"> -</w:t>
      </w:r>
      <w:r>
        <w:t xml:space="preserve"> moving from </w:t>
      </w:r>
      <w:r w:rsidR="001231A4">
        <w:t>adherence</w:t>
      </w:r>
      <w:r>
        <w:t xml:space="preserve"> to rules and poor situational judgment to an expert that does not rely on rules and can employ analytic approaches in new situations to problem solve </w:t>
      </w:r>
      <w:r>
        <w:fldChar w:fldCharType="begin"/>
      </w:r>
      <w:r w:rsidR="00B159B8">
        <w:instrText xml:space="preserve"> ADDIN EN.CITE &lt;EndNote&gt;&lt;Cite&gt;&lt;Author&gt;Eraut&lt;/Author&gt;&lt;Year&gt;1994&lt;/Year&gt;&lt;IDText&gt;Developing Professional Knowledge and Competence&lt;/IDText&gt;&lt;DisplayText&gt;(Eraut, 1994)&lt;/DisplayText&gt;&lt;record&gt;&lt;isbn&gt;0 7507 0331 8&lt;/isbn&gt;&lt;titles&gt;&lt;title&gt;Developing Professional Knowledge and Competence&lt;/title&gt;&lt;/titles&gt;&lt;contributors&gt;&lt;authors&gt;&lt;author&gt;Eraut, Michael&lt;/author&gt;&lt;/authors&gt;&lt;/contributors&gt;&lt;added-date format="utc"&gt;1464771400&lt;/added-date&gt;&lt;pub-location&gt;Oxon&lt;/pub-location&gt;&lt;ref-type name="Book"&gt;6&lt;/ref-type&gt;&lt;dates&gt;&lt;year&gt;1994&lt;/year&gt;&lt;/dates&gt;&lt;rec-number&gt;251&lt;/rec-number&gt;&lt;publisher&gt;Routledge: Taylor &amp;amp; Francis group&lt;/publisher&gt;&lt;last-updated-date format="utc"&gt;1464771561&lt;/last-updated-date&gt;&lt;/record&gt;&lt;/Cite&gt;&lt;/EndNote&gt;</w:instrText>
      </w:r>
      <w:r>
        <w:fldChar w:fldCharType="separate"/>
      </w:r>
      <w:r w:rsidR="00B159B8">
        <w:rPr>
          <w:noProof/>
        </w:rPr>
        <w:t>(Eraut, 1994</w:t>
      </w:r>
      <w:r>
        <w:fldChar w:fldCharType="end"/>
      </w:r>
      <w:r w:rsidR="00E00BB7">
        <w:t xml:space="preserve">; </w:t>
      </w:r>
      <w:r>
        <w:t>p124)</w:t>
      </w:r>
      <w:r w:rsidR="00256D0A">
        <w:t xml:space="preserve">. The </w:t>
      </w:r>
      <w:r w:rsidR="00C03BCB">
        <w:t xml:space="preserve">Dreyfus model is based on experiential learning with </w:t>
      </w:r>
      <w:r w:rsidR="00256D0A">
        <w:t>emphasis on ‘perception and decision-making’</w:t>
      </w:r>
      <w:r w:rsidR="00AD29C8">
        <w:t>,</w:t>
      </w:r>
      <w:r w:rsidR="00256D0A">
        <w:t xml:space="preserve"> rather than protocols and ‘routinised action’, with the belief that acquiring skills is integral to developing ‘professional action’ </w:t>
      </w:r>
      <w:r w:rsidR="00256D0A">
        <w:fldChar w:fldCharType="begin"/>
      </w:r>
      <w:r w:rsidR="00256D0A">
        <w:instrText xml:space="preserve"> ADDIN EN.CITE &lt;EndNote&gt;&lt;Cite&gt;&lt;Author&gt;Eraut&lt;/Author&gt;&lt;Year&gt;1994&lt;/Year&gt;&lt;IDText&gt;Developing Professional Knowledge and Competence&lt;/IDText&gt;&lt;DisplayText&gt;(Eraut, 1994)&lt;/DisplayText&gt;&lt;record&gt;&lt;isbn&gt;0 7507 0331 8&lt;/isbn&gt;&lt;titles&gt;&lt;title&gt;Developing Professional Knowledge and Competence&lt;/title&gt;&lt;/titles&gt;&lt;contributors&gt;&lt;authors&gt;&lt;author&gt;Eraut, Michael&lt;/author&gt;&lt;/authors&gt;&lt;/contributors&gt;&lt;added-date format="utc"&gt;1464771400&lt;/added-date&gt;&lt;pub-location&gt;Oxon&lt;/pub-location&gt;&lt;ref-type name="Book"&gt;6&lt;/ref-type&gt;&lt;dates&gt;&lt;year&gt;1994&lt;/year&gt;&lt;/dates&gt;&lt;rec-number&gt;251&lt;/rec-number&gt;&lt;publisher&gt;Routledge: Taylor &amp;amp; Francis group&lt;/publisher&gt;&lt;last-updated-date format="utc"&gt;1464771561&lt;/last-updated-date&gt;&lt;/record&gt;&lt;/Cite&gt;&lt;/EndNote&gt;</w:instrText>
      </w:r>
      <w:r w:rsidR="00256D0A">
        <w:fldChar w:fldCharType="separate"/>
      </w:r>
      <w:r w:rsidR="00256D0A">
        <w:rPr>
          <w:noProof/>
        </w:rPr>
        <w:t>(Eraut, 1994)</w:t>
      </w:r>
      <w:r w:rsidR="00256D0A">
        <w:fldChar w:fldCharType="end"/>
      </w:r>
      <w:r w:rsidR="00256D0A">
        <w:t xml:space="preserve">. </w:t>
      </w:r>
      <w:r w:rsidR="001231A4">
        <w:t xml:space="preserve">This aligns with findings from this study </w:t>
      </w:r>
      <w:r w:rsidR="0072317A">
        <w:t>whereby</w:t>
      </w:r>
      <w:r w:rsidR="001231A4">
        <w:t xml:space="preserve"> perception or noticing, understanding and discovery were all felt to be key to developing clinical cognitive competence, </w:t>
      </w:r>
      <w:r w:rsidR="0072317A">
        <w:t xml:space="preserve">and </w:t>
      </w:r>
      <w:r w:rsidR="001231A4">
        <w:t xml:space="preserve">linked to professional behaviour and self-regulation. </w:t>
      </w:r>
    </w:p>
    <w:p w14:paraId="07A455B3" w14:textId="77F93200" w:rsidR="005229FF" w:rsidRDefault="00256D0A" w:rsidP="008E55C3">
      <w:r>
        <w:t xml:space="preserve">Dreyfus and Dreyfus (1986) held the belief that ‘human understanding was a skill </w:t>
      </w:r>
      <w:r w:rsidR="00A05A43">
        <w:t>akin to</w:t>
      </w:r>
      <w:r>
        <w:t xml:space="preserve"> knowing how to find one’s way about in the world, rather than knowing a lot of facts and rules’</w:t>
      </w:r>
      <w:r w:rsidR="00E00BB7">
        <w:t xml:space="preserve">. This </w:t>
      </w:r>
      <w:r>
        <w:t>aligns with the findings in this study in terms of the importance of consequence learning, allowing flexibility and emerg</w:t>
      </w:r>
      <w:r w:rsidR="00E00BB7">
        <w:t>e</w:t>
      </w:r>
      <w:r>
        <w:t>nce in learning</w:t>
      </w:r>
      <w:r w:rsidR="003B1066">
        <w:t>,</w:t>
      </w:r>
      <w:r>
        <w:t xml:space="preserve"> and creating a sense of belonging and community</w:t>
      </w:r>
      <w:r w:rsidR="003B1066">
        <w:t>. This allowed</w:t>
      </w:r>
      <w:r>
        <w:t xml:space="preserve"> learners </w:t>
      </w:r>
      <w:r w:rsidR="003B1066">
        <w:t xml:space="preserve">to </w:t>
      </w:r>
      <w:r>
        <w:t>feel secure and develop skills to manage uncertainty and complexity.</w:t>
      </w:r>
      <w:r w:rsidR="00C03BCB">
        <w:t xml:space="preserve"> The model also </w:t>
      </w:r>
      <w:r w:rsidR="00C41480">
        <w:t>concurs</w:t>
      </w:r>
      <w:r w:rsidR="00C03BCB">
        <w:t xml:space="preserve"> with the </w:t>
      </w:r>
      <w:r w:rsidR="00C41480">
        <w:t>phenomenon</w:t>
      </w:r>
      <w:r w:rsidR="00C03BCB">
        <w:t xml:space="preserve"> of </w:t>
      </w:r>
      <w:r w:rsidR="00905C08">
        <w:t>practice</w:t>
      </w:r>
      <w:r w:rsidR="00C03BCB">
        <w:t xml:space="preserve"> under pressure</w:t>
      </w:r>
      <w:r w:rsidR="003B1066">
        <w:t xml:space="preserve">, </w:t>
      </w:r>
      <w:r w:rsidR="00C03BCB">
        <w:t>prospective planning and risk analysis</w:t>
      </w:r>
      <w:r w:rsidR="00E00BB7">
        <w:t>,</w:t>
      </w:r>
      <w:r w:rsidR="00C03BCB">
        <w:t xml:space="preserve"> </w:t>
      </w:r>
      <w:r w:rsidR="003B1066">
        <w:t xml:space="preserve">on </w:t>
      </w:r>
      <w:r w:rsidR="00C03BCB">
        <w:t>mov</w:t>
      </w:r>
      <w:r w:rsidR="003B1066">
        <w:t>ing</w:t>
      </w:r>
      <w:r w:rsidR="00C03BCB">
        <w:t xml:space="preserve"> t</w:t>
      </w:r>
      <w:r w:rsidR="005229FF">
        <w:t xml:space="preserve">hrough the model. </w:t>
      </w:r>
    </w:p>
    <w:p w14:paraId="15248628" w14:textId="0F7942B5" w:rsidR="005229FF" w:rsidRDefault="005229FF" w:rsidP="008E55C3">
      <w:r>
        <w:t>The model</w:t>
      </w:r>
      <w:r w:rsidR="00C03BCB">
        <w:t xml:space="preserve"> notes the importance of situational awareness and the </w:t>
      </w:r>
      <w:r w:rsidR="00C41480">
        <w:t>rapidity</w:t>
      </w:r>
      <w:r w:rsidR="00C03BCB">
        <w:t xml:space="preserve"> at which those with experience </w:t>
      </w:r>
      <w:r w:rsidR="00E00BB7">
        <w:t xml:space="preserve">can </w:t>
      </w:r>
      <w:r w:rsidR="00C03BCB">
        <w:t xml:space="preserve">notice </w:t>
      </w:r>
      <w:r w:rsidR="003B1066">
        <w:t xml:space="preserve">and act on </w:t>
      </w:r>
      <w:r w:rsidR="00C03BCB">
        <w:t>anomalies</w:t>
      </w:r>
      <w:r w:rsidR="003B1066">
        <w:t xml:space="preserve">. </w:t>
      </w:r>
      <w:r w:rsidR="00C03BCB">
        <w:t>The movement from novice to expert is referred to as taking years</w:t>
      </w:r>
      <w:r w:rsidR="0072317A">
        <w:t>,</w:t>
      </w:r>
      <w:r w:rsidR="00C03BCB">
        <w:t xml:space="preserve"> </w:t>
      </w:r>
      <w:r w:rsidR="003B1066">
        <w:t>as</w:t>
      </w:r>
      <w:r w:rsidR="0072317A">
        <w:t xml:space="preserve"> it</w:t>
      </w:r>
      <w:r w:rsidR="003B1066">
        <w:t xml:space="preserve"> is </w:t>
      </w:r>
      <w:r w:rsidR="00C03BCB">
        <w:t>linked with experience</w:t>
      </w:r>
      <w:r w:rsidR="003B1066">
        <w:t xml:space="preserve"> of clinical encounters</w:t>
      </w:r>
      <w:r w:rsidR="00E00BB7">
        <w:t>. H</w:t>
      </w:r>
      <w:r w:rsidR="00C03BCB">
        <w:t>owever from this study</w:t>
      </w:r>
      <w:r w:rsidR="003B1066">
        <w:t xml:space="preserve">, plus </w:t>
      </w:r>
      <w:r w:rsidR="00C03BCB">
        <w:t>other</w:t>
      </w:r>
      <w:r w:rsidR="003B1066">
        <w:t>s</w:t>
      </w:r>
      <w:r w:rsidR="00C03BCB">
        <w:t xml:space="preserve"> challenging the introduction of early problem</w:t>
      </w:r>
      <w:r w:rsidR="0072317A">
        <w:t>-</w:t>
      </w:r>
      <w:r w:rsidR="00C03BCB">
        <w:t xml:space="preserve">based learning, it can be argued </w:t>
      </w:r>
      <w:r w:rsidR="00C03BCB">
        <w:lastRenderedPageBreak/>
        <w:t>that even at novice level</w:t>
      </w:r>
      <w:r w:rsidR="00E00BB7">
        <w:t>,</w:t>
      </w:r>
      <w:r w:rsidR="00C03BCB">
        <w:t xml:space="preserve"> the employment of graded pressure, responsibility and complexity can allow these skills to begin develop</w:t>
      </w:r>
      <w:r w:rsidR="0072317A">
        <w:t>ing</w:t>
      </w:r>
      <w:r w:rsidR="00733BBE">
        <w:t>.</w:t>
      </w:r>
      <w:r w:rsidR="00C03BCB">
        <w:t xml:space="preserve"> </w:t>
      </w:r>
      <w:r w:rsidR="0072317A">
        <w:t xml:space="preserve">This as opposed to </w:t>
      </w:r>
      <w:r w:rsidR="00C03BCB">
        <w:t>allowing collect</w:t>
      </w:r>
      <w:r w:rsidR="00733BBE">
        <w:t>ion</w:t>
      </w:r>
      <w:r w:rsidR="00C03BCB">
        <w:t xml:space="preserve"> </w:t>
      </w:r>
      <w:r w:rsidR="00C41480">
        <w:t>ad hoc</w:t>
      </w:r>
      <w:r w:rsidR="00C03BCB">
        <w:t xml:space="preserve"> from experience without potential mentoring and </w:t>
      </w:r>
      <w:r w:rsidR="00C41480">
        <w:t>debriefing</w:t>
      </w:r>
      <w:r w:rsidR="00C03BCB">
        <w:t xml:space="preserve"> to </w:t>
      </w:r>
      <w:r w:rsidR="00733BBE">
        <w:t xml:space="preserve">support </w:t>
      </w:r>
      <w:r w:rsidR="00C03BCB">
        <w:t>self-ref</w:t>
      </w:r>
      <w:r w:rsidR="00786AEA">
        <w:t>l</w:t>
      </w:r>
      <w:r w:rsidR="00C03BCB">
        <w:t xml:space="preserve">ection. </w:t>
      </w:r>
    </w:p>
    <w:p w14:paraId="44F29AF7" w14:textId="3A69E508" w:rsidR="005229FF" w:rsidRDefault="00F91EAB" w:rsidP="008E55C3">
      <w:r>
        <w:t>Schön</w:t>
      </w:r>
      <w:r w:rsidR="00786AEA">
        <w:t xml:space="preserve"> (1983) </w:t>
      </w:r>
      <w:r w:rsidR="00C678BF">
        <w:t xml:space="preserve">summarised the need to look for a better understanding of professional expertise by pointing out that ‘practice was implicit in the artistic, intuitive processes which some practitioners bring to situations of uncertainty, instability, uniqueness and value conflict’ </w:t>
      </w:r>
      <w:r w:rsidR="00C678BF">
        <w:fldChar w:fldCharType="begin"/>
      </w:r>
      <w:r w:rsidR="008B7E49">
        <w:instrText xml:space="preserve"> ADDIN EN.CITE &lt;EndNote&gt;&lt;Cite&gt;&lt;Author&gt;Schon&lt;/Author&gt;&lt;Year&gt;1983&lt;/Year&gt;&lt;IDText&gt;The Reflective Practitioner&lt;/IDText&gt;&lt;DisplayText&gt;(Schon, 1983)&lt;/DisplayText&gt;&lt;record&gt;&lt;titles&gt;&lt;title&gt;The Reflective Practitioner&lt;/title&gt;&lt;/titles&gt;&lt;contributors&gt;&lt;authors&gt;&lt;author&gt;Schon, D&lt;/author&gt;&lt;/authors&gt;&lt;/contributors&gt;&lt;added-date format="utc"&gt;1459258081&lt;/added-date&gt;&lt;pub-location&gt;New York&lt;/pub-location&gt;&lt;ref-type name="Book"&gt;6&lt;/ref-type&gt;&lt;dates&gt;&lt;year&gt;1983&lt;/year&gt;&lt;/dates&gt;&lt;rec-number&gt;239&lt;/rec-number&gt;&lt;publisher&gt;Basic Books&lt;/publisher&gt;&lt;last-updated-date format="utc"&gt;1459258277&lt;/last-updated-date&gt;&lt;/record&gt;&lt;/Cite&gt;&lt;/EndNote&gt;</w:instrText>
      </w:r>
      <w:r w:rsidR="00C678BF">
        <w:fldChar w:fldCharType="separate"/>
      </w:r>
      <w:r w:rsidR="008B7E49">
        <w:rPr>
          <w:noProof/>
        </w:rPr>
        <w:t>(Schon, 1983)</w:t>
      </w:r>
      <w:r w:rsidR="00C678BF">
        <w:fldChar w:fldCharType="end"/>
      </w:r>
      <w:r w:rsidR="00C678BF">
        <w:t xml:space="preserve">. </w:t>
      </w:r>
      <w:r>
        <w:t>Schön</w:t>
      </w:r>
      <w:r w:rsidR="00C678BF">
        <w:t xml:space="preserve"> is known for openly refuting the technical rationality model of professional knowledge</w:t>
      </w:r>
      <w:r w:rsidR="00733BBE">
        <w:t xml:space="preserve"> (</w:t>
      </w:r>
      <w:r w:rsidR="00C678BF">
        <w:t>founded on positivist epistemology</w:t>
      </w:r>
      <w:r w:rsidR="00733BBE">
        <w:t>)</w:t>
      </w:r>
      <w:r w:rsidR="00C678BF">
        <w:t xml:space="preserve">, </w:t>
      </w:r>
      <w:r w:rsidR="00733BBE">
        <w:t xml:space="preserve">because </w:t>
      </w:r>
      <w:r w:rsidR="00C678BF">
        <w:t xml:space="preserve">he felt it did not account for the complexity of real world experiences and practice. </w:t>
      </w:r>
    </w:p>
    <w:p w14:paraId="78D8A48E" w14:textId="39AF24E0" w:rsidR="00786AEA" w:rsidRDefault="00F91EAB" w:rsidP="008E55C3">
      <w:r>
        <w:t>Schön</w:t>
      </w:r>
      <w:r w:rsidR="005229FF">
        <w:t xml:space="preserve"> introduced the concepts of ref</w:t>
      </w:r>
      <w:r w:rsidR="00993178">
        <w:t>l</w:t>
      </w:r>
      <w:r w:rsidR="005229FF">
        <w:t>e</w:t>
      </w:r>
      <w:r w:rsidR="00993178">
        <w:t>ction in action</w:t>
      </w:r>
      <w:r w:rsidR="005229FF">
        <w:t xml:space="preserve"> a</w:t>
      </w:r>
      <w:r w:rsidR="00993178">
        <w:t>nd on action</w:t>
      </w:r>
      <w:r w:rsidR="00733BBE">
        <w:t xml:space="preserve">, both </w:t>
      </w:r>
      <w:r w:rsidR="00993178">
        <w:t>employed by studen</w:t>
      </w:r>
      <w:r w:rsidR="005229FF">
        <w:t>ts during their sce</w:t>
      </w:r>
      <w:r w:rsidR="00993178">
        <w:t>n</w:t>
      </w:r>
      <w:r w:rsidR="005229FF">
        <w:t>a</w:t>
      </w:r>
      <w:r w:rsidR="00993178">
        <w:t>rios when try</w:t>
      </w:r>
      <w:r w:rsidR="00224150">
        <w:t>ing to make decisions and probl</w:t>
      </w:r>
      <w:r w:rsidR="00993178">
        <w:t>e</w:t>
      </w:r>
      <w:r w:rsidR="00224150">
        <w:t>m</w:t>
      </w:r>
      <w:r w:rsidR="00993178">
        <w:t xml:space="preserve"> solve. </w:t>
      </w:r>
      <w:r>
        <w:t>Schön</w:t>
      </w:r>
      <w:r w:rsidR="009D6188">
        <w:t xml:space="preserve"> described ‘knowing</w:t>
      </w:r>
      <w:r w:rsidR="00993178">
        <w:t>–</w:t>
      </w:r>
      <w:r w:rsidR="009D6188">
        <w:t>in</w:t>
      </w:r>
      <w:r w:rsidR="00993178">
        <w:t>–action’ as tacit</w:t>
      </w:r>
      <w:r w:rsidR="009D6188">
        <w:t xml:space="preserve">, versus </w:t>
      </w:r>
      <w:r w:rsidR="00C41480">
        <w:t>reflection</w:t>
      </w:r>
      <w:r w:rsidR="009D6188">
        <w:t xml:space="preserve"> in action as a notion that occurs when an experience stands out as abnormal or uncomfortable</w:t>
      </w:r>
      <w:r w:rsidR="00E00BB7">
        <w:t xml:space="preserve"> </w:t>
      </w:r>
      <w:r w:rsidR="00E00BB7">
        <w:fldChar w:fldCharType="begin"/>
      </w:r>
      <w:r w:rsidR="006102D5">
        <w:instrText xml:space="preserve"> ADDIN EN.CITE &lt;EndNote&gt;&lt;Cite&gt;&lt;Author&gt;Schon&lt;/Author&gt;&lt;Year&gt;1983&lt;/Year&gt;&lt;IDText&gt;The Reflective Practitioner&lt;/IDText&gt;&lt;DisplayText&gt;(Schon, 1983)&lt;/DisplayText&gt;&lt;record&gt;&lt;titles&gt;&lt;title&gt;The Reflective Practitioner&lt;/title&gt;&lt;/titles&gt;&lt;contributors&gt;&lt;authors&gt;&lt;author&gt;Schon, D&lt;/author&gt;&lt;/authors&gt;&lt;/contributors&gt;&lt;added-date format="utc"&gt;1459258081&lt;/added-date&gt;&lt;pub-location&gt;New York&lt;/pub-location&gt;&lt;ref-type name="Book"&gt;6&lt;/ref-type&gt;&lt;dates&gt;&lt;year&gt;1983&lt;/year&gt;&lt;/dates&gt;&lt;rec-number&gt;239&lt;/rec-number&gt;&lt;publisher&gt;Basic Books&lt;/publisher&gt;&lt;last-updated-date format="utc"&gt;1459258277&lt;/last-updated-date&gt;&lt;/record&gt;&lt;/Cite&gt;&lt;/EndNote&gt;</w:instrText>
      </w:r>
      <w:r w:rsidR="00E00BB7">
        <w:fldChar w:fldCharType="separate"/>
      </w:r>
      <w:r w:rsidR="006102D5">
        <w:rPr>
          <w:noProof/>
        </w:rPr>
        <w:t>(Schon, 1983</w:t>
      </w:r>
      <w:r w:rsidR="001E19F0">
        <w:rPr>
          <w:noProof/>
        </w:rPr>
        <w:t>;</w:t>
      </w:r>
      <w:r w:rsidR="00E00BB7">
        <w:fldChar w:fldCharType="end"/>
      </w:r>
      <w:r w:rsidR="00E00BB7">
        <w:t xml:space="preserve"> </w:t>
      </w:r>
      <w:r w:rsidR="008E6DC1">
        <w:t>p28-9</w:t>
      </w:r>
      <w:r w:rsidR="00D62273">
        <w:t>)</w:t>
      </w:r>
      <w:r w:rsidR="009D6188">
        <w:t>. This is said to trigger ref</w:t>
      </w:r>
      <w:r w:rsidR="00D62273">
        <w:t>l</w:t>
      </w:r>
      <w:r w:rsidR="009D6188">
        <w:t>ection on how the situation was arrived at, any familiar</w:t>
      </w:r>
      <w:r w:rsidR="005229FF">
        <w:t>ity then ‘an</w:t>
      </w:r>
      <w:r w:rsidR="00D62273">
        <w:t xml:space="preserve"> </w:t>
      </w:r>
      <w:r w:rsidR="005229FF">
        <w:t>on</w:t>
      </w:r>
      <w:r w:rsidR="00D62273">
        <w:t>-</w:t>
      </w:r>
      <w:r w:rsidR="005229FF">
        <w:t>the</w:t>
      </w:r>
      <w:r w:rsidR="00D62273">
        <w:t>-</w:t>
      </w:r>
      <w:r w:rsidR="005229FF">
        <w:t>spot experi</w:t>
      </w:r>
      <w:r w:rsidR="009D6188">
        <w:t>ment’</w:t>
      </w:r>
      <w:r w:rsidR="00733BBE">
        <w:t>,</w:t>
      </w:r>
      <w:r w:rsidR="009D6188">
        <w:t xml:space="preserve"> highlighted in this study as consequence learning</w:t>
      </w:r>
      <w:r w:rsidR="00733BBE">
        <w:t xml:space="preserve">, </w:t>
      </w:r>
      <w:r w:rsidR="009D6188">
        <w:t>experienced and described by students</w:t>
      </w:r>
      <w:r w:rsidR="00E00BB7">
        <w:t xml:space="preserve">. They felt it was vital for learning to </w:t>
      </w:r>
      <w:r w:rsidR="009D6188">
        <w:t>see</w:t>
      </w:r>
      <w:r w:rsidR="00E00BB7">
        <w:t xml:space="preserve"> and experience</w:t>
      </w:r>
      <w:r w:rsidR="009D6188">
        <w:t xml:space="preserve"> what happened to a patient as a result of their decision</w:t>
      </w:r>
      <w:r w:rsidR="00E00BB7">
        <w:t>.</w:t>
      </w:r>
      <w:r w:rsidR="009D6188">
        <w:t xml:space="preserve"> </w:t>
      </w:r>
    </w:p>
    <w:p w14:paraId="683A53E5" w14:textId="71BB5C0C" w:rsidR="00AA2E94" w:rsidRDefault="00786AEA" w:rsidP="008E55C3">
      <w:r>
        <w:t>When solidifying th</w:t>
      </w:r>
      <w:r w:rsidR="005229FF">
        <w:t xml:space="preserve">e </w:t>
      </w:r>
      <w:r w:rsidR="00C41480">
        <w:t>opportunities</w:t>
      </w:r>
      <w:r w:rsidR="005229FF">
        <w:t xml:space="preserve"> </w:t>
      </w:r>
      <w:r w:rsidR="00337A7E">
        <w:t>using</w:t>
      </w:r>
      <w:r w:rsidR="005229FF">
        <w:t xml:space="preserve"> simula</w:t>
      </w:r>
      <w:r>
        <w:t>t</w:t>
      </w:r>
      <w:r w:rsidR="005229FF">
        <w:t>i</w:t>
      </w:r>
      <w:r>
        <w:t>o</w:t>
      </w:r>
      <w:r w:rsidR="00733BBE">
        <w:t>n,</w:t>
      </w:r>
      <w:r>
        <w:t xml:space="preserve"> considering experiential learning</w:t>
      </w:r>
      <w:r w:rsidR="00E00BB7">
        <w:t xml:space="preserve"> (Kolb</w:t>
      </w:r>
      <w:r w:rsidR="006568F3">
        <w:t xml:space="preserve"> 1984</w:t>
      </w:r>
      <w:r w:rsidR="00E00BB7">
        <w:t xml:space="preserve">: Appendix </w:t>
      </w:r>
      <w:r w:rsidR="009B45DE">
        <w:t>13</w:t>
      </w:r>
      <w:r w:rsidR="00705E24">
        <w:t>.</w:t>
      </w:r>
      <w:r w:rsidR="00E00BB7">
        <w:t>2)</w:t>
      </w:r>
      <w:r w:rsidR="009B45DE">
        <w:t xml:space="preserve">, this study found </w:t>
      </w:r>
      <w:r>
        <w:t xml:space="preserve">some additional phases </w:t>
      </w:r>
      <w:r w:rsidR="007419C6">
        <w:t xml:space="preserve">that </w:t>
      </w:r>
      <w:r>
        <w:t xml:space="preserve">were key to improving learning </w:t>
      </w:r>
      <w:r w:rsidR="00E00BB7">
        <w:t xml:space="preserve">in the </w:t>
      </w:r>
      <w:r w:rsidR="00C41480">
        <w:t>undergraduate</w:t>
      </w:r>
      <w:r w:rsidR="0026537A">
        <w:t xml:space="preserve"> population. </w:t>
      </w:r>
      <w:r w:rsidR="00E00BB7">
        <w:t xml:space="preserve">These </w:t>
      </w:r>
      <w:r w:rsidR="00E00BB7">
        <w:lastRenderedPageBreak/>
        <w:t>were</w:t>
      </w:r>
      <w:r w:rsidR="007419C6">
        <w:t>:</w:t>
      </w:r>
      <w:r w:rsidR="00E00BB7">
        <w:t xml:space="preserve"> </w:t>
      </w:r>
      <w:r>
        <w:t>the addition of an understanding phase to explore consequences</w:t>
      </w:r>
      <w:r w:rsidR="006568F3">
        <w:t>;</w:t>
      </w:r>
      <w:r>
        <w:t xml:space="preserve"> combination of </w:t>
      </w:r>
      <w:r w:rsidR="00C41480">
        <w:t>technical</w:t>
      </w:r>
      <w:r>
        <w:t xml:space="preserve"> and non-</w:t>
      </w:r>
      <w:r w:rsidR="00C41480">
        <w:t>technical</w:t>
      </w:r>
      <w:r>
        <w:t xml:space="preserve"> skills with a human factors app</w:t>
      </w:r>
      <w:r w:rsidR="005229FF">
        <w:t>roach</w:t>
      </w:r>
      <w:r w:rsidR="006568F3">
        <w:t>;</w:t>
      </w:r>
      <w:r w:rsidR="005229FF">
        <w:t xml:space="preserve"> gradi</w:t>
      </w:r>
      <w:r>
        <w:t>ng of pressure, responsibility and complexity to an individual level</w:t>
      </w:r>
      <w:r w:rsidR="006568F3">
        <w:t>;</w:t>
      </w:r>
      <w:r>
        <w:t xml:space="preserve"> facilitated</w:t>
      </w:r>
      <w:r w:rsidR="005229FF">
        <w:t xml:space="preserve"> debrief as opposed to just ref</w:t>
      </w:r>
      <w:r>
        <w:t>l</w:t>
      </w:r>
      <w:r w:rsidR="005229FF">
        <w:t>e</w:t>
      </w:r>
      <w:r>
        <w:t>ction</w:t>
      </w:r>
      <w:r w:rsidR="007419C6">
        <w:t>;</w:t>
      </w:r>
      <w:r>
        <w:t xml:space="preserve"> followed by a self-correction phase during consolidation of learning. This adds more det</w:t>
      </w:r>
      <w:r w:rsidR="006568F3">
        <w:t>a</w:t>
      </w:r>
      <w:r>
        <w:t xml:space="preserve">il to that of Kolb’s experiential learning cycle </w:t>
      </w:r>
      <w:r w:rsidR="006568F3">
        <w:t xml:space="preserve">to aid with development of practical solutions to aid preparedness for practice </w:t>
      </w:r>
      <w:r>
        <w:fldChar w:fldCharType="begin"/>
      </w:r>
      <w:r>
        <w:instrText xml:space="preserve"> ADDIN EN.CITE &lt;EndNote&gt;&lt;Cite&gt;&lt;Author&gt;Kolb&lt;/Author&gt;&lt;Year&gt;1984&lt;/Year&gt;&lt;IDText&gt;Experiential learning: Experience as the source of Learning and Development&lt;/IDText&gt;&lt;DisplayText&gt;(Kolb, 1984)&lt;/DisplayText&gt;&lt;record&gt;&lt;titles&gt;&lt;title&gt;Experiential learning: Experience as the source of Learning and Development&lt;/title&gt;&lt;/titles&gt;&lt;contributors&gt;&lt;authors&gt;&lt;author&gt;Kolb, D. A&lt;/author&gt;&lt;/authors&gt;&lt;/contributors&gt;&lt;added-date format="utc"&gt;1472636454&lt;/added-date&gt;&lt;pub-location&gt;Englewood Cliffs, NJ&lt;/pub-location&gt;&lt;ref-type name="Book"&gt;6&lt;/ref-type&gt;&lt;dates&gt;&lt;year&gt;1984&lt;/year&gt;&lt;/dates&gt;&lt;rec-number&gt;279&lt;/rec-number&gt;&lt;publisher&gt;Prentice Hall Inc&lt;/publisher&gt;&lt;last-updated-date format="utc"&gt;1472636544&lt;/last-updated-date&gt;&lt;/record&gt;&lt;/Cite&gt;&lt;/EndNote&gt;</w:instrText>
      </w:r>
      <w:r>
        <w:fldChar w:fldCharType="separate"/>
      </w:r>
      <w:r>
        <w:rPr>
          <w:noProof/>
        </w:rPr>
        <w:t>(Kolb, 1984)</w:t>
      </w:r>
      <w:r>
        <w:fldChar w:fldCharType="end"/>
      </w:r>
      <w:r>
        <w:t xml:space="preserve">. </w:t>
      </w:r>
      <w:r w:rsidR="00224150">
        <w:t>The notion of</w:t>
      </w:r>
      <w:r w:rsidR="005229FF">
        <w:t xml:space="preserve"> the need to develop ‘</w:t>
      </w:r>
      <w:r w:rsidR="00224150">
        <w:t xml:space="preserve">tolerance of uncertainty as a key attribute’ in improving preparedness for </w:t>
      </w:r>
      <w:r w:rsidR="00905C08">
        <w:t>practice</w:t>
      </w:r>
      <w:r w:rsidR="00224150">
        <w:t xml:space="preserve"> and the transition from undergraduate to FY1 is echoed in other studies </w:t>
      </w:r>
      <w:r w:rsidR="00224150">
        <w:fldChar w:fldCharType="begin"/>
      </w:r>
      <w:r w:rsidR="00224150">
        <w:instrText xml:space="preserve"> ADDIN EN.CITE &lt;EndNote&gt;&lt;Cite&gt;&lt;Author&gt;Bleakley&lt;/Author&gt;&lt;Year&gt;2011&lt;/Year&gt;&lt;IDText&gt;Does undergraduate curriculum design make a difference to readiness to practice as a junior doctor?&lt;/IDText&gt;&lt;DisplayText&gt;(Bleakley and Brennan, 2011)&lt;/DisplayText&gt;&lt;record&gt;&lt;keywords&gt;&lt;keyword&gt;Attitude of Health Personnel&lt;/keyword&gt;&lt;keyword&gt;Clinical Competence&lt;/keyword&gt;&lt;keyword&gt;Cohort Studies&lt;/keyword&gt;&lt;keyword&gt;Curriculum&lt;/keyword&gt;&lt;keyword&gt;Education, Medical, Undergraduate&lt;/keyword&gt;&lt;keyword&gt;Great Britain&lt;/keyword&gt;&lt;keyword&gt;Humans&lt;/keyword&gt;&lt;keyword&gt;Schools, Medical&lt;/keyword&gt;&lt;keyword&gt;Students, Medical&lt;/keyword&gt;&lt;keyword&gt;Surveys and Questionnaires&lt;/keyword&gt;&lt;/keywords&gt;&lt;urls&gt;&lt;related-urls&gt;&lt;url&gt;https://www.ncbi.nlm.nih.gov/pubmed/21609175&lt;/url&gt;&lt;/related-urls&gt;&lt;/urls&gt;&lt;isbn&gt;1466-187X&lt;/isbn&gt;&lt;titles&gt;&lt;title&gt;Does undergraduate curriculum design make a difference to readiness to practice as a junior doctor?&lt;/title&gt;&lt;secondary-title&gt;Med Teach&lt;/secondary-title&gt;&lt;/titles&gt;&lt;pages&gt;459-67&lt;/pages&gt;&lt;number&gt;6&lt;/number&gt;&lt;contributors&gt;&lt;authors&gt;&lt;author&gt;Bleakley, A.&lt;/author&gt;&lt;author&gt;Brennan, N.&lt;/author&gt;&lt;/authors&gt;&lt;/contributors&gt;&lt;language&gt;eng&lt;/language&gt;&lt;added-date format="utc"&gt;1472725417&lt;/added-date&gt;&lt;ref-type name="Journal Article"&gt;17&lt;/ref-type&gt;&lt;dates&gt;&lt;year&gt;2011&lt;/year&gt;&lt;/dates&gt;&lt;rec-number&gt;291&lt;/rec-number&gt;&lt;last-updated-date format="utc"&gt;1472725417&lt;/last-updated-date&gt;&lt;accession-num&gt;21609175&lt;/accession-num&gt;&lt;electronic-resource-num&gt;10.3109/0142159X.2010.540267&lt;/electronic-resource-num&gt;&lt;volume&gt;33&lt;/volume&gt;&lt;/record&gt;&lt;/Cite&gt;&lt;/EndNote&gt;</w:instrText>
      </w:r>
      <w:r w:rsidR="00224150">
        <w:fldChar w:fldCharType="separate"/>
      </w:r>
      <w:r w:rsidR="00224150">
        <w:rPr>
          <w:noProof/>
        </w:rPr>
        <w:t>(Bleakley and Brennan, 2011)</w:t>
      </w:r>
      <w:r w:rsidR="00224150">
        <w:fldChar w:fldCharType="end"/>
      </w:r>
      <w:r w:rsidR="00224150">
        <w:t>.</w:t>
      </w:r>
    </w:p>
    <w:p w14:paraId="7882CD17" w14:textId="6184140E" w:rsidR="00A9716A" w:rsidRPr="008E55C3" w:rsidRDefault="002D7817" w:rsidP="008E55C3">
      <w:r>
        <w:rPr>
          <w:rFonts w:eastAsiaTheme="minorEastAsia" w:cs="Arial"/>
          <w:color w:val="222222"/>
          <w:szCs w:val="24"/>
          <w:lang w:val="en-US"/>
        </w:rPr>
        <w:t xml:space="preserve">These data support the embracing and embedding of complexity and opportunities for responsibility </w:t>
      </w:r>
      <w:r w:rsidRPr="001A5D18">
        <w:rPr>
          <w:rFonts w:eastAsiaTheme="minorEastAsia" w:cs="Arial"/>
          <w:color w:val="222222"/>
          <w:szCs w:val="24"/>
          <w:lang w:val="en-US"/>
        </w:rPr>
        <w:t>in the undergraduate curriculum</w:t>
      </w:r>
      <w:r>
        <w:rPr>
          <w:rFonts w:eastAsiaTheme="minorEastAsia" w:cs="Arial"/>
          <w:color w:val="222222"/>
          <w:szCs w:val="24"/>
          <w:lang w:val="en-US"/>
        </w:rPr>
        <w:t>. Encounters</w:t>
      </w:r>
      <w:r w:rsidRPr="001A5D18">
        <w:rPr>
          <w:rFonts w:eastAsiaTheme="minorEastAsia" w:cs="Arial"/>
          <w:color w:val="222222"/>
          <w:szCs w:val="24"/>
          <w:lang w:val="en-US"/>
        </w:rPr>
        <w:t xml:space="preserve"> can be well designed, executed with structured </w:t>
      </w:r>
      <w:r w:rsidR="00C41480" w:rsidRPr="001A5D18">
        <w:rPr>
          <w:rFonts w:eastAsiaTheme="minorEastAsia" w:cs="Arial"/>
          <w:color w:val="222222"/>
          <w:szCs w:val="24"/>
          <w:lang w:val="en-US"/>
        </w:rPr>
        <w:t>debriefing</w:t>
      </w:r>
      <w:r w:rsidRPr="001A5D18">
        <w:rPr>
          <w:rFonts w:eastAsiaTheme="minorEastAsia" w:cs="Arial"/>
          <w:color w:val="222222"/>
          <w:szCs w:val="24"/>
          <w:lang w:val="en-US"/>
        </w:rPr>
        <w:t xml:space="preserve">, role </w:t>
      </w:r>
      <w:r w:rsidR="00C41480" w:rsidRPr="001A5D18">
        <w:rPr>
          <w:rFonts w:eastAsiaTheme="minorEastAsia" w:cs="Arial"/>
          <w:color w:val="222222"/>
          <w:szCs w:val="24"/>
          <w:lang w:val="en-US"/>
        </w:rPr>
        <w:t>modeling</w:t>
      </w:r>
      <w:r w:rsidRPr="001A5D18">
        <w:rPr>
          <w:rFonts w:eastAsiaTheme="minorEastAsia" w:cs="Arial"/>
          <w:color w:val="222222"/>
          <w:szCs w:val="24"/>
          <w:lang w:val="en-US"/>
        </w:rPr>
        <w:t xml:space="preserve"> and support</w:t>
      </w:r>
      <w:r>
        <w:rPr>
          <w:rFonts w:eastAsiaTheme="minorEastAsia" w:cs="Arial"/>
          <w:color w:val="222222"/>
          <w:szCs w:val="24"/>
          <w:lang w:val="en-US"/>
        </w:rPr>
        <w:t xml:space="preserve"> to</w:t>
      </w:r>
      <w:r w:rsidRPr="001A5D18">
        <w:rPr>
          <w:rFonts w:eastAsiaTheme="minorEastAsia" w:cs="Arial"/>
          <w:color w:val="222222"/>
          <w:szCs w:val="24"/>
          <w:lang w:val="en-US"/>
        </w:rPr>
        <w:t xml:space="preserve"> pave the way f</w:t>
      </w:r>
      <w:r>
        <w:rPr>
          <w:rFonts w:eastAsiaTheme="minorEastAsia" w:cs="Arial"/>
          <w:color w:val="222222"/>
          <w:szCs w:val="24"/>
          <w:lang w:val="en-US"/>
        </w:rPr>
        <w:t>or</w:t>
      </w:r>
      <w:r w:rsidR="007419C6">
        <w:rPr>
          <w:rFonts w:eastAsiaTheme="minorEastAsia" w:cs="Arial"/>
          <w:color w:val="222222"/>
          <w:szCs w:val="24"/>
          <w:lang w:val="en-US"/>
        </w:rPr>
        <w:t xml:space="preserve"> facilitation of self</w:t>
      </w:r>
      <w:r w:rsidRPr="001A5D18">
        <w:rPr>
          <w:rFonts w:eastAsiaTheme="minorEastAsia" w:cs="Arial"/>
          <w:color w:val="222222"/>
          <w:szCs w:val="24"/>
          <w:lang w:val="en-US"/>
        </w:rPr>
        <w:t>–regulation and skills to adapt and seek support. T</w:t>
      </w:r>
      <w:r>
        <w:rPr>
          <w:rFonts w:eastAsiaTheme="minorEastAsia" w:cs="Arial"/>
          <w:color w:val="222222"/>
          <w:szCs w:val="24"/>
          <w:lang w:val="en-US"/>
        </w:rPr>
        <w:t xml:space="preserve">hese data suggest this </w:t>
      </w:r>
      <w:r w:rsidRPr="001A5D18">
        <w:rPr>
          <w:rFonts w:eastAsiaTheme="minorEastAsia" w:cs="Arial"/>
          <w:color w:val="222222"/>
          <w:szCs w:val="24"/>
          <w:lang w:val="en-US"/>
        </w:rPr>
        <w:t xml:space="preserve">should be the future of better preparing students, not theory that suggests complexity is only for the expert. </w:t>
      </w:r>
    </w:p>
    <w:p w14:paraId="6AC7C719" w14:textId="3A4B7A7B" w:rsidR="00601AF7" w:rsidRDefault="00F54ED4" w:rsidP="00187756">
      <w:pPr>
        <w:pStyle w:val="Heading2"/>
      </w:pPr>
      <w:bookmarkStart w:id="439" w:name="_Toc343501253"/>
      <w:bookmarkStart w:id="440" w:name="_Toc348686448"/>
      <w:bookmarkStart w:id="441" w:name="_Toc419116210"/>
      <w:r>
        <w:t>Recommendations for b</w:t>
      </w:r>
      <w:r w:rsidR="00601AF7">
        <w:t>est practice guidance for simulation use in the undergraduate curriculum</w:t>
      </w:r>
      <w:bookmarkEnd w:id="439"/>
      <w:bookmarkEnd w:id="440"/>
      <w:bookmarkEnd w:id="441"/>
    </w:p>
    <w:p w14:paraId="365B09BB" w14:textId="77777777" w:rsidR="00B16149" w:rsidRDefault="00B16149" w:rsidP="00B16149"/>
    <w:p w14:paraId="13E80BA5" w14:textId="0CEA5C13" w:rsidR="001B1D17" w:rsidRDefault="002B5D30" w:rsidP="00B16149">
      <w:r>
        <w:t xml:space="preserve">The findings of this study </w:t>
      </w:r>
      <w:r w:rsidR="00733BBE">
        <w:t xml:space="preserve">for </w:t>
      </w:r>
      <w:r>
        <w:t xml:space="preserve">informing best practice </w:t>
      </w:r>
      <w:r w:rsidR="00C41480">
        <w:t>guidance</w:t>
      </w:r>
      <w:r>
        <w:t xml:space="preserve"> for</w:t>
      </w:r>
      <w:r w:rsidR="00E077CA">
        <w:t xml:space="preserve"> </w:t>
      </w:r>
      <w:r w:rsidR="007419C6">
        <w:t>simulation-based medical education (S</w:t>
      </w:r>
      <w:r w:rsidR="00E077CA">
        <w:t>BME</w:t>
      </w:r>
      <w:r w:rsidR="007419C6">
        <w:t>)</w:t>
      </w:r>
      <w:r w:rsidR="000744EF">
        <w:t xml:space="preserve">, </w:t>
      </w:r>
      <w:r>
        <w:t xml:space="preserve">echo those published by </w:t>
      </w:r>
      <w:proofErr w:type="spellStart"/>
      <w:r>
        <w:t>Motola</w:t>
      </w:r>
      <w:proofErr w:type="spellEnd"/>
      <w:r>
        <w:t xml:space="preserve"> et al.</w:t>
      </w:r>
      <w:r w:rsidR="002033B8">
        <w:t xml:space="preserve"> and </w:t>
      </w:r>
      <w:proofErr w:type="spellStart"/>
      <w:r w:rsidR="002033B8">
        <w:t>McGaghie</w:t>
      </w:r>
      <w:proofErr w:type="spellEnd"/>
      <w:r w:rsidR="002033B8">
        <w:t xml:space="preserve"> </w:t>
      </w:r>
      <w:r w:rsidR="000744EF">
        <w:fldChar w:fldCharType="begin"/>
      </w:r>
      <w:r w:rsidR="002033B8">
        <w:instrText xml:space="preserve"> ADDIN EN.CITE &lt;EndNote&gt;&lt;Cite&gt;&lt;Author&gt;Motola&lt;/Author&gt;&lt;Year&gt;2013&lt;/Year&gt;&lt;IDText&gt;Simulation in healthcare education: A best evidence practical guide. AMEE Guide No. 82&lt;/IDText&gt;&lt;DisplayText&gt;(Motola et al., 2013, McGaghie et al., 2016)&lt;/DisplayText&gt;&lt;record&gt;&lt;titles&gt;&lt;title&gt;Simulation in healthcare education: A best evidence practical guide. AMEE Guide No. 82&lt;/title&gt;&lt;secondary-title&gt;Medical Teacher&lt;/secondary-title&gt;&lt;/titles&gt;&lt;pages&gt;1511 - 1530&lt;/pages&gt;&lt;contributors&gt;&lt;authors&gt;&lt;author&gt;Motola, I.&lt;/author&gt;&lt;author&gt;Devine, L.&lt;/author&gt;&lt;author&gt;Chung, H.&lt;/author&gt;&lt;author&gt;Sullivan, J.&lt;/author&gt;&lt;author&gt;Issenberg, B.&lt;/author&gt;&lt;/authors&gt;&lt;/contributors&gt;&lt;added-date format="utc"&gt;1390830724&lt;/added-date&gt;&lt;ref-type name="Journal Article"&gt;17&lt;/ref-type&gt;&lt;dates&gt;&lt;year&gt;2013&lt;/year&gt;&lt;/dates&gt;&lt;rec-number&gt;4&lt;/rec-number&gt;&lt;last-updated-date format="utc"&gt;1390830991&lt;/last-updated-date&gt;&lt;volume&gt;35&lt;/volume&gt;&lt;/record&gt;&lt;/Cite&gt;&lt;Cite&gt;&lt;Author&gt;McGaghie&lt;/Author&gt;&lt;Year&gt;2016&lt;/Year&gt;&lt;IDText&gt;Revisiting &amp;apos;A critical review of simulation-based medical education research: 2003-2009&amp;apos;&lt;/IDText&gt;&lt;record&gt;&lt;dates&gt;&lt;pub-dates&gt;&lt;date&gt;Oct&lt;/date&gt;&lt;/pub-dates&gt;&lt;year&gt;2016&lt;/year&gt;&lt;/dates&gt;&lt;urls&gt;&lt;related-urls&gt;&lt;url&gt;https://www.ncbi.nlm.nih.gov/pubmed/27628715&lt;/url&gt;&lt;/related-urls&gt;&lt;/urls&gt;&lt;isbn&gt;1365-2923&lt;/isbn&gt;&lt;titles&gt;&lt;title&gt;Revisiting &amp;apos;A critical review of simulation-based medical education research: 2003-2009&amp;apos;&lt;/title&gt;&lt;secondary-title&gt;Med Educ&lt;/secondary-title&gt;&lt;/titles&gt;&lt;pages&gt;986-91&lt;/pages&gt;&lt;number&gt;10&lt;/number&gt;&lt;contributors&gt;&lt;authors&gt;&lt;author&gt;McGaghie, W. C.&lt;/author&gt;&lt;author&gt;Issenberg, S. B.&lt;/author&gt;&lt;author&gt;Petrusa, E. R.&lt;/author&gt;&lt;author&gt;Scalese, R. J.&lt;/author&gt;&lt;/authors&gt;&lt;/contributors&gt;&lt;language&gt;eng&lt;/language&gt;&lt;added-date format="utc"&gt;1474278048&lt;/added-date&gt;&lt;ref-type name="Journal Article"&gt;17&lt;/ref-type&gt;&lt;rec-number&gt;299&lt;/rec-number&gt;&lt;last-updated-date format="utc"&gt;1474278048&lt;/last-updated-date&gt;&lt;accession-num&gt;27628715&lt;/accession-num&gt;&lt;electronic-resource-num&gt;10.1111/medu.12795&lt;/electronic-resource-num&gt;&lt;volume&gt;50&lt;/volume&gt;&lt;/record&gt;&lt;/Cite&gt;&lt;/EndNote&gt;</w:instrText>
      </w:r>
      <w:r w:rsidR="000744EF">
        <w:fldChar w:fldCharType="separate"/>
      </w:r>
      <w:r w:rsidR="002033B8">
        <w:rPr>
          <w:noProof/>
        </w:rPr>
        <w:t>(Motola et al., 2013, McGaghie et al., 2016)</w:t>
      </w:r>
      <w:r w:rsidR="000744EF">
        <w:fldChar w:fldCharType="end"/>
      </w:r>
      <w:r w:rsidR="000744EF">
        <w:t xml:space="preserve">. The stages diagram follows the same path highlighting the need for </w:t>
      </w:r>
      <w:r w:rsidR="00C41480">
        <w:t>curriculum</w:t>
      </w:r>
      <w:r w:rsidR="000744EF">
        <w:t xml:space="preserve"> </w:t>
      </w:r>
      <w:r w:rsidR="00C41480">
        <w:t>integration</w:t>
      </w:r>
      <w:r w:rsidR="007419C6">
        <w:t>,</w:t>
      </w:r>
      <w:r w:rsidR="000744EF">
        <w:t xml:space="preserve"> a learning needs analysis and detail on design and implementation</w:t>
      </w:r>
      <w:r w:rsidR="0026537A">
        <w:t xml:space="preserve"> (Figure 8.3</w:t>
      </w:r>
      <w:r w:rsidR="002E5F27">
        <w:t>)</w:t>
      </w:r>
      <w:r w:rsidR="000744EF">
        <w:t xml:space="preserve">. </w:t>
      </w:r>
    </w:p>
    <w:p w14:paraId="2B026441" w14:textId="20BF5263" w:rsidR="001B1D17" w:rsidRDefault="000744EF" w:rsidP="00B16149">
      <w:r>
        <w:lastRenderedPageBreak/>
        <w:t>Owing to the nature of this thesis</w:t>
      </w:r>
      <w:r w:rsidR="007419C6">
        <w:t>,</w:t>
      </w:r>
      <w:r>
        <w:t xml:space="preserve"> it has been possible to expand the level of detail to explore these stages further </w:t>
      </w:r>
      <w:r w:rsidR="002E5F27">
        <w:t xml:space="preserve">in the </w:t>
      </w:r>
      <w:r w:rsidR="00C41480">
        <w:t>undergraduate</w:t>
      </w:r>
      <w:r w:rsidR="002E5F27">
        <w:t xml:space="preserve"> population</w:t>
      </w:r>
      <w:r w:rsidR="007419C6">
        <w:t>,</w:t>
      </w:r>
      <w:r w:rsidR="002E5F27">
        <w:t xml:space="preserve"> </w:t>
      </w:r>
      <w:r>
        <w:t xml:space="preserve">and in particular clarify terminology as well as the challenges and barriers </w:t>
      </w:r>
      <w:r w:rsidR="007419C6">
        <w:t>to</w:t>
      </w:r>
      <w:r w:rsidR="00733BBE">
        <w:t xml:space="preserve"> </w:t>
      </w:r>
      <w:r>
        <w:t xml:space="preserve">solutions </w:t>
      </w:r>
      <w:r w:rsidR="00A26C9C">
        <w:t>for</w:t>
      </w:r>
      <w:r>
        <w:t xml:space="preserve"> implementing a simul</w:t>
      </w:r>
      <w:r w:rsidR="002E5F27">
        <w:t>a</w:t>
      </w:r>
      <w:r>
        <w:t xml:space="preserve">tion curriculum. </w:t>
      </w:r>
    </w:p>
    <w:p w14:paraId="1191F8D3" w14:textId="0333235D" w:rsidR="001B1D17" w:rsidRDefault="000744EF" w:rsidP="00B16149">
      <w:r>
        <w:t>The notion of the crucial nature of feedback has been carefully and purposefully worded as ‘debrief</w:t>
      </w:r>
      <w:r w:rsidR="003A567D">
        <w:t>i</w:t>
      </w:r>
      <w:r>
        <w:t>ng’ in this study,  owing to the more open</w:t>
      </w:r>
      <w:r w:rsidR="007419C6">
        <w:t>, two-</w:t>
      </w:r>
      <w:r w:rsidR="003A567D">
        <w:t xml:space="preserve">way </w:t>
      </w:r>
      <w:proofErr w:type="spellStart"/>
      <w:r>
        <w:t>facilitational</w:t>
      </w:r>
      <w:proofErr w:type="spellEnd"/>
      <w:r>
        <w:t xml:space="preserve"> </w:t>
      </w:r>
      <w:r w:rsidR="007419C6">
        <w:t>construct</w:t>
      </w:r>
      <w:r>
        <w:t xml:space="preserve"> </w:t>
      </w:r>
      <w:r w:rsidR="00FC2779">
        <w:t xml:space="preserve">versus </w:t>
      </w:r>
      <w:r>
        <w:t xml:space="preserve">the </w:t>
      </w:r>
      <w:r w:rsidR="00FC2779">
        <w:t>potential</w:t>
      </w:r>
      <w:r>
        <w:t xml:space="preserve"> unidirectional</w:t>
      </w:r>
      <w:r w:rsidR="00FC2779">
        <w:t>,</w:t>
      </w:r>
      <w:r>
        <w:t xml:space="preserve"> didactic concept of </w:t>
      </w:r>
      <w:r w:rsidR="001B1D17">
        <w:t>‘</w:t>
      </w:r>
      <w:r>
        <w:t>feedback</w:t>
      </w:r>
      <w:r w:rsidR="001B1D17">
        <w:t>’</w:t>
      </w:r>
      <w:r>
        <w:t>. Eva</w:t>
      </w:r>
      <w:r w:rsidR="001B1D17">
        <w:t>luation and revisional phases w</w:t>
      </w:r>
      <w:r>
        <w:t>ere mirrored in both guidance</w:t>
      </w:r>
      <w:r w:rsidR="001B1D17">
        <w:t>,</w:t>
      </w:r>
      <w:r>
        <w:t xml:space="preserve"> </w:t>
      </w:r>
      <w:r w:rsidR="00C41480">
        <w:t>highlighting</w:t>
      </w:r>
      <w:r>
        <w:t xml:space="preserve"> the importance of standardisation and </w:t>
      </w:r>
      <w:r w:rsidR="00C41480">
        <w:t>insurance</w:t>
      </w:r>
      <w:r>
        <w:t xml:space="preserve"> that goals are being met from all stakeholders</w:t>
      </w:r>
      <w:r w:rsidR="001B1D17">
        <w:t>’</w:t>
      </w:r>
      <w:r>
        <w:t xml:space="preserve"> points of view. </w:t>
      </w:r>
      <w:proofErr w:type="spellStart"/>
      <w:r>
        <w:t>Motola</w:t>
      </w:r>
      <w:proofErr w:type="spellEnd"/>
      <w:r>
        <w:t xml:space="preserve"> et al. highlight the need to ‘capture clinical variation’ and ‘present a range of difficulty’ but do not add importance </w:t>
      </w:r>
      <w:r w:rsidR="00101549">
        <w:t xml:space="preserve">to </w:t>
      </w:r>
      <w:r>
        <w:t xml:space="preserve">faculty in terms of role modelling, emotional intelligence and </w:t>
      </w:r>
      <w:r w:rsidR="00C41480">
        <w:t>facilitation</w:t>
      </w:r>
      <w:r>
        <w:t xml:space="preserve"> to ensure individualised learning. </w:t>
      </w:r>
    </w:p>
    <w:p w14:paraId="62FEEA28" w14:textId="1545CFAB" w:rsidR="001B1D17" w:rsidRDefault="000744EF" w:rsidP="00B16149">
      <w:r>
        <w:t xml:space="preserve">The team </w:t>
      </w:r>
      <w:r w:rsidR="001B1D17">
        <w:t>do highlight the need for patie</w:t>
      </w:r>
      <w:r>
        <w:t>n</w:t>
      </w:r>
      <w:r w:rsidR="001B1D17">
        <w:t>t</w:t>
      </w:r>
      <w:r>
        <w:t xml:space="preserve"> safety and</w:t>
      </w:r>
      <w:r w:rsidR="001B1D17">
        <w:t xml:space="preserve"> patient</w:t>
      </w:r>
      <w:r w:rsidR="00101549">
        <w:t>-</w:t>
      </w:r>
      <w:r w:rsidR="001B1D17">
        <w:t xml:space="preserve">centred care and this </w:t>
      </w:r>
      <w:r>
        <w:t>is echoed in this study with a</w:t>
      </w:r>
      <w:r w:rsidR="001B1D17">
        <w:t>n in-depth exploration of patie</w:t>
      </w:r>
      <w:r>
        <w:t>n</w:t>
      </w:r>
      <w:r w:rsidR="001B1D17">
        <w:t>t</w:t>
      </w:r>
      <w:r>
        <w:t xml:space="preserve"> safety elements that emerged from </w:t>
      </w:r>
      <w:r w:rsidR="00C41480">
        <w:t>triangulated</w:t>
      </w:r>
      <w:r>
        <w:t xml:space="preserve"> data</w:t>
      </w:r>
      <w:r w:rsidR="002033B8">
        <w:t xml:space="preserve"> (Appendix</w:t>
      </w:r>
      <w:r w:rsidR="009B45DE">
        <w:t xml:space="preserve"> 13</w:t>
      </w:r>
      <w:r w:rsidR="002A2EEA">
        <w:t>.47</w:t>
      </w:r>
      <w:r w:rsidR="002033B8">
        <w:t>)</w:t>
      </w:r>
      <w:r w:rsidR="00FC2779">
        <w:rPr>
          <w:rStyle w:val="CommentReference"/>
          <w:rFonts w:ascii="Calibri" w:hAnsi="Calibri"/>
        </w:rPr>
        <w:t>.</w:t>
      </w:r>
      <w:r w:rsidR="005C5E1F">
        <w:t xml:space="preserve"> </w:t>
      </w:r>
    </w:p>
    <w:p w14:paraId="282178D6" w14:textId="00E3ED1B" w:rsidR="002B5D30" w:rsidRDefault="005C5E1F" w:rsidP="00B16149">
      <w:proofErr w:type="spellStart"/>
      <w:r>
        <w:t>Motola</w:t>
      </w:r>
      <w:proofErr w:type="spellEnd"/>
      <w:r>
        <w:t xml:space="preserve"> et al. </w:t>
      </w:r>
      <w:r w:rsidR="00FC2779">
        <w:t xml:space="preserve">(2013) </w:t>
      </w:r>
      <w:r>
        <w:t>conclude with the recommendations that further work is required abo</w:t>
      </w:r>
      <w:r w:rsidR="001B1D17">
        <w:t>ut how best to structure simula</w:t>
      </w:r>
      <w:r>
        <w:t>t</w:t>
      </w:r>
      <w:r w:rsidR="001B1D17">
        <w:t>i</w:t>
      </w:r>
      <w:r>
        <w:t>on interventions</w:t>
      </w:r>
      <w:r w:rsidR="00DF717C">
        <w:t>. T</w:t>
      </w:r>
      <w:r>
        <w:t>hough this is a UK perspective</w:t>
      </w:r>
      <w:r w:rsidR="00DF717C">
        <w:t xml:space="preserve"> and based on undergraduates,</w:t>
      </w:r>
      <w:r>
        <w:t xml:space="preserve"> it is certa</w:t>
      </w:r>
      <w:r w:rsidR="00DF717C">
        <w:t>i</w:t>
      </w:r>
      <w:r>
        <w:t xml:space="preserve">nly a start and offers some clear practical </w:t>
      </w:r>
      <w:r w:rsidR="00C41480">
        <w:t>guidance</w:t>
      </w:r>
      <w:r>
        <w:t xml:space="preserve"> with rich evidence to support the learning that has occurred for students and faculty. </w:t>
      </w:r>
      <w:proofErr w:type="spellStart"/>
      <w:r w:rsidR="00FC2779">
        <w:t>Motola</w:t>
      </w:r>
      <w:proofErr w:type="spellEnd"/>
      <w:r w:rsidR="00FC2779">
        <w:t xml:space="preserve"> et al. (2013) </w:t>
      </w:r>
      <w:r>
        <w:t xml:space="preserve">recommend that further work surrounding feedback and </w:t>
      </w:r>
      <w:r w:rsidR="00C41480">
        <w:t>debriefing</w:t>
      </w:r>
      <w:r>
        <w:t xml:space="preserve"> to understanding how to ‘</w:t>
      </w:r>
      <w:r w:rsidR="00C41480">
        <w:t>optimise</w:t>
      </w:r>
      <w:r>
        <w:t xml:space="preserve"> learning’ is needed and again this study reveals from a student, </w:t>
      </w:r>
      <w:r>
        <w:lastRenderedPageBreak/>
        <w:t>experience and expert point of view</w:t>
      </w:r>
      <w:r w:rsidR="00FC2779">
        <w:t>.</w:t>
      </w:r>
      <w:r>
        <w:t xml:space="preserve"> </w:t>
      </w:r>
      <w:r w:rsidR="00FC2779">
        <w:t xml:space="preserve"> </w:t>
      </w:r>
      <w:r w:rsidR="000B4F95">
        <w:t>In particular those related to emotional intelligence, practice under pressure</w:t>
      </w:r>
      <w:r w:rsidR="00FC2779">
        <w:t xml:space="preserve">, community </w:t>
      </w:r>
      <w:r w:rsidR="000B4F95">
        <w:t>and embedding complexity, human fac</w:t>
      </w:r>
      <w:r w:rsidR="00FC2779">
        <w:t>tors</w:t>
      </w:r>
      <w:r w:rsidR="000B4F95">
        <w:t xml:space="preserve"> and emergence </w:t>
      </w:r>
      <w:r w:rsidR="000A27DF">
        <w:t>into</w:t>
      </w:r>
      <w:r w:rsidR="000B4F95">
        <w:t xml:space="preserve"> learning</w:t>
      </w:r>
      <w:r>
        <w:t xml:space="preserve">. </w:t>
      </w:r>
    </w:p>
    <w:p w14:paraId="3291F5D0" w14:textId="1A8D6F7B" w:rsidR="005C5E1F" w:rsidRDefault="005C5E1F" w:rsidP="00C9110D">
      <w:r>
        <w:t>This study has not been able to demonstrate the translational science of</w:t>
      </w:r>
      <w:r w:rsidR="000B3A19">
        <w:t xml:space="preserve"> SBME</w:t>
      </w:r>
      <w:r>
        <w:t>, in terms of effect on patient outcomes</w:t>
      </w:r>
      <w:r w:rsidR="00FC2779">
        <w:t>.</w:t>
      </w:r>
      <w:r>
        <w:t xml:space="preserve"> </w:t>
      </w:r>
      <w:r w:rsidR="00FC2779">
        <w:t>H</w:t>
      </w:r>
      <w:r>
        <w:t>owever it does support evidence that simulation allows behavioural change and opportunity to enhance self-regulat</w:t>
      </w:r>
      <w:r w:rsidR="00FC2779">
        <w:t>i</w:t>
      </w:r>
      <w:r>
        <w:t>on</w:t>
      </w:r>
      <w:r w:rsidR="000B3A19">
        <w:t>,</w:t>
      </w:r>
      <w:r>
        <w:t xml:space="preserve"> understanding of behaviours</w:t>
      </w:r>
      <w:r w:rsidR="000B3A19">
        <w:t>,</w:t>
      </w:r>
      <w:r>
        <w:t xml:space="preserve"> cognitive processes and biases</w:t>
      </w:r>
      <w:r w:rsidR="000B3A19">
        <w:t>,</w:t>
      </w:r>
      <w:r>
        <w:t xml:space="preserve"> that experts had only achieved over time</w:t>
      </w:r>
      <w:r w:rsidR="0025362F">
        <w:t xml:space="preserve"> </w:t>
      </w:r>
      <w:r w:rsidR="00443C1B">
        <w:fldChar w:fldCharType="begin"/>
      </w:r>
      <w:r w:rsidR="00443C1B">
        <w:instrText xml:space="preserve"> ADDIN EN.CITE &lt;EndNote&gt;&lt;Cite&gt;&lt;Author&gt;McGaghie&lt;/Author&gt;&lt;Year&gt;2010&lt;/Year&gt;&lt;IDText&gt;Medical education research as translational science&lt;/IDText&gt;&lt;DisplayText&gt;(McGaghie, 2010)&lt;/DisplayText&gt;&lt;record&gt;&lt;titles&gt;&lt;title&gt;Medical education research as translational science&lt;/title&gt;&lt;secondary-title&gt;Sci Transl Med&lt;/secondary-title&gt;&lt;/titles&gt;&lt;pages&gt;1-3&lt;/pages&gt;&lt;contributors&gt;&lt;authors&gt;&lt;author&gt;McGaghie, W C&lt;/author&gt;&lt;/authors&gt;&lt;/contributors&gt;&lt;added-date format="utc"&gt;1472729977&lt;/added-date&gt;&lt;ref-type name="Journal Article"&gt;17&lt;/ref-type&gt;&lt;dates&gt;&lt;year&gt;2010&lt;/year&gt;&lt;/dates&gt;&lt;rec-number&gt;296&lt;/rec-number&gt;&lt;last-updated-date format="utc"&gt;1472730045&lt;/last-updated-date&gt;&lt;volume&gt;2&lt;/volume&gt;&lt;/record&gt;&lt;/Cite&gt;&lt;/EndNote&gt;</w:instrText>
      </w:r>
      <w:r w:rsidR="00443C1B">
        <w:fldChar w:fldCharType="separate"/>
      </w:r>
      <w:r w:rsidR="00443C1B">
        <w:rPr>
          <w:noProof/>
        </w:rPr>
        <w:t>(McGaghie, 2010)</w:t>
      </w:r>
      <w:r w:rsidR="00443C1B">
        <w:fldChar w:fldCharType="end"/>
      </w:r>
      <w:r>
        <w:t>. If these concepts can be introduced earlier in a graded and scaffolded method</w:t>
      </w:r>
      <w:r w:rsidR="000B3A19">
        <w:t>,</w:t>
      </w:r>
      <w:r>
        <w:t xml:space="preserve"> then clinicians of the future may be more able to deal with the complexity of the clinical environment </w:t>
      </w:r>
      <w:r w:rsidR="000B3A19">
        <w:t>to</w:t>
      </w:r>
      <w:r>
        <w:t xml:space="preserve"> be </w:t>
      </w:r>
      <w:r w:rsidR="000B3A19">
        <w:t xml:space="preserve">safer and more </w:t>
      </w:r>
      <w:r>
        <w:t>effective for patients</w:t>
      </w:r>
      <w:r w:rsidR="000B3A19">
        <w:t>.</w:t>
      </w:r>
      <w:r>
        <w:t xml:space="preserve"> </w:t>
      </w:r>
    </w:p>
    <w:p w14:paraId="188F4EC5" w14:textId="7B962DCA" w:rsidR="005D3C2A" w:rsidRDefault="00443C1B" w:rsidP="00C9110D">
      <w:pPr>
        <w:pStyle w:val="NoSpacing"/>
        <w:spacing w:line="480" w:lineRule="auto"/>
      </w:pPr>
      <w:r>
        <w:t>In terms of design and delivery of simulat</w:t>
      </w:r>
      <w:r w:rsidR="003A567D">
        <w:t>i</w:t>
      </w:r>
      <w:r>
        <w:t xml:space="preserve">on educational sessions, some parallels can be drawn with the work of </w:t>
      </w:r>
      <w:proofErr w:type="spellStart"/>
      <w:r>
        <w:t>Chiniara</w:t>
      </w:r>
      <w:proofErr w:type="spellEnd"/>
      <w:r>
        <w:t xml:space="preserve"> et al. who employ instructional design to assist in planning simu</w:t>
      </w:r>
      <w:r w:rsidR="003A567D">
        <w:t>l</w:t>
      </w:r>
      <w:r>
        <w:t>at</w:t>
      </w:r>
      <w:r w:rsidR="000B4F95">
        <w:t>i</w:t>
      </w:r>
      <w:r>
        <w:t xml:space="preserve">on development </w:t>
      </w:r>
      <w:r>
        <w:fldChar w:fldCharType="begin"/>
      </w:r>
      <w:r>
        <w:instrText xml:space="preserve"> ADDIN EN.CITE &lt;EndNote&gt;&lt;Cite&gt;&lt;Author&gt;Chiniara&lt;/Author&gt;&lt;Year&gt;2013&lt;/Year&gt;&lt;IDText&gt;Simulation in healthcare: a taxonomy and a conceptual framework for instructional design and media selection&lt;/IDText&gt;&lt;DisplayText&gt;(Chiniara et al., 2013)&lt;/DisplayText&gt;&lt;record&gt;&lt;dates&gt;&lt;pub-dates&gt;&lt;date&gt;Aug&lt;/date&gt;&lt;/pub-dates&gt;&lt;year&gt;2013&lt;/year&gt;&lt;/dates&gt;&lt;keywords&gt;&lt;keyword&gt;Computer Simulation&lt;/keyword&gt;&lt;keyword&gt;Education, Medical&lt;/keyword&gt;&lt;keyword&gt;Feedback&lt;/keyword&gt;&lt;keyword&gt;Humans&lt;/keyword&gt;&lt;keyword&gt;Learning&lt;/keyword&gt;&lt;keyword&gt;Models, Educational&lt;/keyword&gt;&lt;keyword&gt;Patient Simulation&lt;/keyword&gt;&lt;keyword&gt;Teaching&lt;/keyword&gt;&lt;/keywords&gt;&lt;urls&gt;&lt;related-urls&gt;&lt;url&gt;https://www.ncbi.nlm.nih.gov/pubmed/23121247&lt;/url&gt;&lt;/related-urls&gt;&lt;/urls&gt;&lt;isbn&gt;1466-187X&lt;/isbn&gt;&lt;titles&gt;&lt;title&gt;Simulation in healthcare: a taxonomy and a conceptual framework for instructional design and media selection&lt;/title&gt;&lt;secondary-title&gt;Med Teach&lt;/secondary-title&gt;&lt;/titles&gt;&lt;pages&gt;e1380-95&lt;/pages&gt;&lt;number&gt;8&lt;/number&gt;&lt;contributors&gt;&lt;authors&gt;&lt;author&gt;Chiniara, G.&lt;/author&gt;&lt;author&gt;Cole, G.&lt;/author&gt;&lt;author&gt;Brisbin, K.&lt;/author&gt;&lt;author&gt;Huffman, D.&lt;/author&gt;&lt;author&gt;Cragg, B.&lt;/author&gt;&lt;author&gt;Lamacchia, M.&lt;/author&gt;&lt;author&gt;Norman, D.&lt;/author&gt;&lt;author&gt;Canadian Network For Simulation In Healthcare, G.idelines Working Group&lt;/author&gt;&lt;/authors&gt;&lt;/contributors&gt;&lt;language&gt;eng&lt;/language&gt;&lt;added-date format="utc"&gt;1472551280&lt;/added-date&gt;&lt;ref-type name="Journal Article"&gt;17&lt;/ref-type&gt;&lt;rec-number&gt;268&lt;/rec-number&gt;&lt;last-updated-date format="utc"&gt;1472551280&lt;/last-updated-date&gt;&lt;accession-num&gt;23121247&lt;/accession-num&gt;&lt;electronic-resource-num&gt;10.3109/0142159X.2012.733451&lt;/electronic-resource-num&gt;&lt;volume&gt;35&lt;/volume&gt;&lt;/record&gt;&lt;/Cite&gt;&lt;/EndNote&gt;</w:instrText>
      </w:r>
      <w:r>
        <w:fldChar w:fldCharType="separate"/>
      </w:r>
      <w:r>
        <w:rPr>
          <w:noProof/>
        </w:rPr>
        <w:t>(Chiniara et al., 2013)</w:t>
      </w:r>
      <w:r>
        <w:fldChar w:fldCharType="end"/>
      </w:r>
      <w:r>
        <w:t>. They discuss ‘instructional medium, simulat</w:t>
      </w:r>
      <w:r w:rsidR="003A567D">
        <w:t>i</w:t>
      </w:r>
      <w:r>
        <w:t>on modality, instructional method and presentation’, where presentat</w:t>
      </w:r>
      <w:r w:rsidR="000B4F95">
        <w:t>i</w:t>
      </w:r>
      <w:r>
        <w:t xml:space="preserve">on represents </w:t>
      </w:r>
      <w:r w:rsidR="00C9110D">
        <w:t xml:space="preserve">feedback, fidelity, simulator and team composition’ </w:t>
      </w:r>
      <w:r w:rsidR="00C9110D">
        <w:fldChar w:fldCharType="begin"/>
      </w:r>
      <w:r w:rsidR="00C9110D">
        <w:instrText xml:space="preserve"> ADDIN EN.CITE &lt;EndNote&gt;&lt;Cite&gt;&lt;Author&gt;Chiniara&lt;/Author&gt;&lt;Year&gt;2013&lt;/Year&gt;&lt;IDText&gt;Simulation in healthcare: a taxonomy and a conceptual framework for instructional design and media selection&lt;/IDText&gt;&lt;DisplayText&gt;(Chiniara et al., 2013)&lt;/DisplayText&gt;&lt;record&gt;&lt;dates&gt;&lt;pub-dates&gt;&lt;date&gt;Aug&lt;/date&gt;&lt;/pub-dates&gt;&lt;year&gt;2013&lt;/year&gt;&lt;/dates&gt;&lt;keywords&gt;&lt;keyword&gt;Computer Simulation&lt;/keyword&gt;&lt;keyword&gt;Education, Medical&lt;/keyword&gt;&lt;keyword&gt;Feedback&lt;/keyword&gt;&lt;keyword&gt;Humans&lt;/keyword&gt;&lt;keyword&gt;Learning&lt;/keyword&gt;&lt;keyword&gt;Models, Educational&lt;/keyword&gt;&lt;keyword&gt;Patient Simulation&lt;/keyword&gt;&lt;keyword&gt;Teaching&lt;/keyword&gt;&lt;/keywords&gt;&lt;urls&gt;&lt;related-urls&gt;&lt;url&gt;https://www.ncbi.nlm.nih.gov/pubmed/23121247&lt;/url&gt;&lt;/related-urls&gt;&lt;/urls&gt;&lt;isbn&gt;1466-187X&lt;/isbn&gt;&lt;titles&gt;&lt;title&gt;Simulation in healthcare: a taxonomy and a conceptual framework for instructional design and media selection&lt;/title&gt;&lt;secondary-title&gt;Med Teach&lt;/secondary-title&gt;&lt;/titles&gt;&lt;pages&gt;e1380-95&lt;/pages&gt;&lt;number&gt;8&lt;/number&gt;&lt;contributors&gt;&lt;authors&gt;&lt;author&gt;Chiniara, G.&lt;/author&gt;&lt;author&gt;Cole, G.&lt;/author&gt;&lt;author&gt;Brisbin, K.&lt;/author&gt;&lt;author&gt;Huffman, D.&lt;/author&gt;&lt;author&gt;Cragg, B.&lt;/author&gt;&lt;author&gt;Lamacchia, M.&lt;/author&gt;&lt;author&gt;Norman, D.&lt;/author&gt;&lt;author&gt;Canadian Network For Simulation In Healthcare, G.idelines Working Group&lt;/author&gt;&lt;/authors&gt;&lt;/contributors&gt;&lt;language&gt;eng&lt;/language&gt;&lt;added-date format="utc"&gt;1472551280&lt;/added-date&gt;&lt;ref-type name="Journal Article"&gt;17&lt;/ref-type&gt;&lt;rec-number&gt;268&lt;/rec-number&gt;&lt;last-updated-date format="utc"&gt;1472551280&lt;/last-updated-date&gt;&lt;accession-num&gt;23121247&lt;/accession-num&gt;&lt;electronic-resource-num&gt;10.3109/0142159X.2012.733451&lt;/electronic-resource-num&gt;&lt;volume&gt;35&lt;/volume&gt;&lt;/record&gt;&lt;/Cite&gt;&lt;/EndNote&gt;</w:instrText>
      </w:r>
      <w:r w:rsidR="00C9110D">
        <w:fldChar w:fldCharType="separate"/>
      </w:r>
      <w:r w:rsidR="00C9110D">
        <w:rPr>
          <w:noProof/>
        </w:rPr>
        <w:t>(Chiniara et al., 2013)</w:t>
      </w:r>
      <w:r w:rsidR="00C9110D">
        <w:fldChar w:fldCharType="end"/>
      </w:r>
      <w:r w:rsidR="00C9110D">
        <w:t xml:space="preserve">. </w:t>
      </w:r>
      <w:r w:rsidR="000B3A19">
        <w:t>T</w:t>
      </w:r>
      <w:r w:rsidR="00C9110D">
        <w:t xml:space="preserve">here </w:t>
      </w:r>
      <w:r w:rsidR="000B3A19">
        <w:t>remains</w:t>
      </w:r>
      <w:r w:rsidR="001B1D17">
        <w:t xml:space="preserve"> a risk </w:t>
      </w:r>
      <w:r w:rsidR="000B3A19">
        <w:t xml:space="preserve">however, </w:t>
      </w:r>
      <w:r w:rsidR="001B1D17">
        <w:t>that forcing simula</w:t>
      </w:r>
      <w:r w:rsidR="00C9110D">
        <w:t>t</w:t>
      </w:r>
      <w:r w:rsidR="001B1D17">
        <w:t>i</w:t>
      </w:r>
      <w:r w:rsidR="00C9110D">
        <w:t xml:space="preserve">on on to a rigid model </w:t>
      </w:r>
      <w:r w:rsidR="000B3A19">
        <w:t>may</w:t>
      </w:r>
      <w:r w:rsidR="00C9110D">
        <w:t xml:space="preserve"> lead to over</w:t>
      </w:r>
      <w:r w:rsidR="00101549">
        <w:t>-</w:t>
      </w:r>
      <w:r w:rsidR="00C9110D">
        <w:t>simplification</w:t>
      </w:r>
      <w:r w:rsidR="000B3A19">
        <w:t xml:space="preserve"> and reduce</w:t>
      </w:r>
      <w:r w:rsidR="00C9110D">
        <w:t xml:space="preserve"> </w:t>
      </w:r>
      <w:r w:rsidR="00C41480">
        <w:t>potential</w:t>
      </w:r>
      <w:r w:rsidR="00C9110D">
        <w:t xml:space="preserve"> for learning</w:t>
      </w:r>
      <w:r w:rsidR="000B3A19">
        <w:t xml:space="preserve">. </w:t>
      </w:r>
      <w:proofErr w:type="spellStart"/>
      <w:r w:rsidR="003A567D">
        <w:t>Chin</w:t>
      </w:r>
      <w:r w:rsidR="0030497B">
        <w:t>iara</w:t>
      </w:r>
      <w:proofErr w:type="spellEnd"/>
      <w:r w:rsidR="0030497B">
        <w:t xml:space="preserve"> et al (2013)</w:t>
      </w:r>
      <w:r w:rsidR="000B3A19">
        <w:t xml:space="preserve"> highlight</w:t>
      </w:r>
      <w:r w:rsidR="00C9110D">
        <w:t xml:space="preserve"> the challenges of gaps in understandi</w:t>
      </w:r>
      <w:r w:rsidR="001B1D17">
        <w:t>ng and interpretation of simula</w:t>
      </w:r>
      <w:r w:rsidR="00C9110D">
        <w:t>t</w:t>
      </w:r>
      <w:r w:rsidR="001B1D17">
        <w:t>i</w:t>
      </w:r>
      <w:r w:rsidR="00C9110D">
        <w:t>on and fidelity</w:t>
      </w:r>
      <w:r w:rsidR="001B1D17">
        <w:t>. T</w:t>
      </w:r>
      <w:r w:rsidR="00C9110D">
        <w:t xml:space="preserve">here is </w:t>
      </w:r>
      <w:r w:rsidR="00C41480">
        <w:t>paucity</w:t>
      </w:r>
      <w:r w:rsidR="00C9110D">
        <w:t xml:space="preserve"> in the richness of understan</w:t>
      </w:r>
      <w:r w:rsidR="000B4F95">
        <w:t>d</w:t>
      </w:r>
      <w:r w:rsidR="00C9110D">
        <w:t>ing</w:t>
      </w:r>
      <w:r w:rsidR="00C95A45">
        <w:t xml:space="preserve"> </w:t>
      </w:r>
      <w:r w:rsidR="000B3A19">
        <w:t>in the literature</w:t>
      </w:r>
      <w:r w:rsidR="00C41480">
        <w:t>, which</w:t>
      </w:r>
      <w:r w:rsidR="00C95A45">
        <w:t xml:space="preserve"> this study addresses. </w:t>
      </w:r>
      <w:r w:rsidR="001B1D17">
        <w:t>‘I</w:t>
      </w:r>
      <w:r w:rsidR="0025362F">
        <w:t>mmersion</w:t>
      </w:r>
      <w:r w:rsidR="001B1D17">
        <w:t>’</w:t>
      </w:r>
      <w:r w:rsidR="0025362F">
        <w:t xml:space="preserve"> in this paper relate</w:t>
      </w:r>
      <w:r w:rsidR="00C95A45">
        <w:t>s largely</w:t>
      </w:r>
      <w:r w:rsidR="0025362F">
        <w:t xml:space="preserve"> to equipment and environment fidelity</w:t>
      </w:r>
      <w:r w:rsidR="00C95A45">
        <w:t>,</w:t>
      </w:r>
      <w:r w:rsidR="0025362F">
        <w:t xml:space="preserve"> with no comment on the importance of psychological fidelity</w:t>
      </w:r>
      <w:r w:rsidR="001B1D17">
        <w:t>,</w:t>
      </w:r>
      <w:r w:rsidR="0025362F">
        <w:t xml:space="preserve"> which recurred </w:t>
      </w:r>
      <w:r w:rsidR="00C41480">
        <w:t>throughout</w:t>
      </w:r>
      <w:r w:rsidR="0025362F">
        <w:t xml:space="preserve"> this study as key to buy</w:t>
      </w:r>
      <w:r w:rsidR="0030497B">
        <w:t>-</w:t>
      </w:r>
      <w:r w:rsidR="0025362F">
        <w:t xml:space="preserve">in and effective </w:t>
      </w:r>
      <w:r w:rsidR="0025362F">
        <w:lastRenderedPageBreak/>
        <w:t xml:space="preserve">learning over and above equipment fidelity. </w:t>
      </w:r>
      <w:r w:rsidR="00B00F33">
        <w:t>The team emphasise the need to measure fidelity rather than understand how to achieve it and why that is important to learners</w:t>
      </w:r>
      <w:r w:rsidR="000B4F95">
        <w:t>,</w:t>
      </w:r>
      <w:r w:rsidR="00B00F33">
        <w:t xml:space="preserve"> which appears to miss the point </w:t>
      </w:r>
      <w:r w:rsidR="00B00F33">
        <w:fldChar w:fldCharType="begin"/>
      </w:r>
      <w:r w:rsidR="00B00F33">
        <w:instrText xml:space="preserve"> ADDIN EN.CITE &lt;EndNote&gt;&lt;Cite&gt;&lt;Author&gt;Chiniara&lt;/Author&gt;&lt;Year&gt;2013&lt;/Year&gt;&lt;IDText&gt;Simulation in healthcare: a taxonomy and a conceptual framework for instructional design and media selection&lt;/IDText&gt;&lt;DisplayText&gt;(Chiniara et al., 2013)&lt;/DisplayText&gt;&lt;record&gt;&lt;dates&gt;&lt;pub-dates&gt;&lt;date&gt;Aug&lt;/date&gt;&lt;/pub-dates&gt;&lt;year&gt;2013&lt;/year&gt;&lt;/dates&gt;&lt;keywords&gt;&lt;keyword&gt;Computer Simulation&lt;/keyword&gt;&lt;keyword&gt;Education, Medical&lt;/keyword&gt;&lt;keyword&gt;Feedback&lt;/keyword&gt;&lt;keyword&gt;Humans&lt;/keyword&gt;&lt;keyword&gt;Learning&lt;/keyword&gt;&lt;keyword&gt;Models, Educational&lt;/keyword&gt;&lt;keyword&gt;Patient Simulation&lt;/keyword&gt;&lt;keyword&gt;Teaching&lt;/keyword&gt;&lt;/keywords&gt;&lt;urls&gt;&lt;related-urls&gt;&lt;url&gt;https://www.ncbi.nlm.nih.gov/pubmed/23121247&lt;/url&gt;&lt;/related-urls&gt;&lt;/urls&gt;&lt;isbn&gt;1466-187X&lt;/isbn&gt;&lt;titles&gt;&lt;title&gt;Simulation in healthcare: a taxonomy and a conceptual framework for instructional design and media selection&lt;/title&gt;&lt;secondary-title&gt;Med Teach&lt;/secondary-title&gt;&lt;/titles&gt;&lt;pages&gt;e1380-95&lt;/pages&gt;&lt;number&gt;8&lt;/number&gt;&lt;contributors&gt;&lt;authors&gt;&lt;author&gt;Chiniara, G.&lt;/author&gt;&lt;author&gt;Cole, G.&lt;/author&gt;&lt;author&gt;Brisbin, K.&lt;/author&gt;&lt;author&gt;Huffman, D.&lt;/author&gt;&lt;author&gt;Cragg, B.&lt;/author&gt;&lt;author&gt;Lamacchia, M.&lt;/author&gt;&lt;author&gt;Norman, D.&lt;/author&gt;&lt;author&gt;Canadian Network For Simulation In Healthcare, G.idelines Working Group&lt;/author&gt;&lt;/authors&gt;&lt;/contributors&gt;&lt;language&gt;eng&lt;/language&gt;&lt;added-date format="utc"&gt;1472551280&lt;/added-date&gt;&lt;ref-type name="Journal Article"&gt;17&lt;/ref-type&gt;&lt;rec-number&gt;268&lt;/rec-number&gt;&lt;last-updated-date format="utc"&gt;1472551280&lt;/last-updated-date&gt;&lt;accession-num&gt;23121247&lt;/accession-num&gt;&lt;electronic-resource-num&gt;10.3109/0142159X.2012.733451&lt;/electronic-resource-num&gt;&lt;volume&gt;35&lt;/volume&gt;&lt;/record&gt;&lt;/Cite&gt;&lt;/EndNote&gt;</w:instrText>
      </w:r>
      <w:r w:rsidR="00B00F33">
        <w:fldChar w:fldCharType="separate"/>
      </w:r>
      <w:r w:rsidR="00B00F33">
        <w:rPr>
          <w:noProof/>
        </w:rPr>
        <w:t>(Chiniara et al., 2013)</w:t>
      </w:r>
      <w:r w:rsidR="00B00F33">
        <w:fldChar w:fldCharType="end"/>
      </w:r>
      <w:r w:rsidR="00B00F33">
        <w:t xml:space="preserve">. </w:t>
      </w:r>
      <w:r w:rsidR="0025362F">
        <w:t>The team highlight the importance of feedback and present it again as a didactic concept</w:t>
      </w:r>
      <w:r w:rsidR="00BC5959">
        <w:t xml:space="preserve">, </w:t>
      </w:r>
      <w:r w:rsidR="0025362F">
        <w:t>allow</w:t>
      </w:r>
      <w:r w:rsidR="00BC5959">
        <w:t>ing</w:t>
      </w:r>
      <w:r w:rsidR="0025362F">
        <w:t xml:space="preserve"> a message to be ‘conveyed’ rather than the facilitation and discovery</w:t>
      </w:r>
      <w:r w:rsidR="000B4F95">
        <w:t>,</w:t>
      </w:r>
      <w:r w:rsidR="0025362F">
        <w:t xml:space="preserve"> f</w:t>
      </w:r>
      <w:r w:rsidR="00BC5959">
        <w:t>ound</w:t>
      </w:r>
      <w:r w:rsidR="0025362F">
        <w:t xml:space="preserve"> to be so crucial to students in understa</w:t>
      </w:r>
      <w:r w:rsidR="001B1D17">
        <w:t>nd</w:t>
      </w:r>
      <w:r w:rsidR="005D3C2A">
        <w:t>ing their behaviour</w:t>
      </w:r>
      <w:r w:rsidR="0025362F">
        <w:t xml:space="preserve"> in these data. </w:t>
      </w:r>
    </w:p>
    <w:p w14:paraId="04E9EB30" w14:textId="77777777" w:rsidR="005D3C2A" w:rsidRDefault="005D3C2A" w:rsidP="00C9110D">
      <w:pPr>
        <w:pStyle w:val="NoSpacing"/>
        <w:spacing w:line="480" w:lineRule="auto"/>
      </w:pPr>
    </w:p>
    <w:p w14:paraId="3AF5116C" w14:textId="5BB25D65" w:rsidR="0025362F" w:rsidRDefault="00C41480" w:rsidP="00C9110D">
      <w:pPr>
        <w:pStyle w:val="NoSpacing"/>
        <w:spacing w:line="480" w:lineRule="auto"/>
      </w:pPr>
      <w:r>
        <w:t>Confucius</w:t>
      </w:r>
      <w:r w:rsidR="0025362F">
        <w:t xml:space="preserve"> is often quoted with regards to simulation and experiential learning surrounding the benefits of ‘doing’</w:t>
      </w:r>
      <w:r w:rsidR="00BC5959">
        <w:t xml:space="preserve">; </w:t>
      </w:r>
      <w:r w:rsidR="0025362F">
        <w:t>‘I hear and I forget, I see and I remember, I do and I understand’</w:t>
      </w:r>
      <w:r w:rsidR="000B4F95">
        <w:t>. T</w:t>
      </w:r>
      <w:r w:rsidR="0025362F">
        <w:t xml:space="preserve">his study would add </w:t>
      </w:r>
      <w:r w:rsidR="000B4F95">
        <w:t xml:space="preserve">in </w:t>
      </w:r>
      <w:r w:rsidR="0025362F">
        <w:t>‘I undertake a facilitated debrief, discover for myself</w:t>
      </w:r>
      <w:r w:rsidR="00101549">
        <w:t>,</w:t>
      </w:r>
      <w:r w:rsidR="0025362F">
        <w:t xml:space="preserve"> and can modify my behaviour through this</w:t>
      </w:r>
      <w:r w:rsidR="00B00F33">
        <w:t xml:space="preserve"> understanding and self-correct</w:t>
      </w:r>
      <w:r w:rsidR="00BC5959">
        <w:t>’</w:t>
      </w:r>
      <w:r w:rsidR="00B00F33">
        <w:t xml:space="preserve">. </w:t>
      </w:r>
    </w:p>
    <w:p w14:paraId="1CF053F3" w14:textId="77777777" w:rsidR="005D3C2A" w:rsidRDefault="005D3C2A" w:rsidP="00C9110D">
      <w:pPr>
        <w:pStyle w:val="NoSpacing"/>
        <w:spacing w:line="480" w:lineRule="auto"/>
      </w:pPr>
    </w:p>
    <w:p w14:paraId="4AD15E01" w14:textId="3BD7A97C" w:rsidR="005D3C2A" w:rsidRDefault="00B00F33" w:rsidP="00C9110D">
      <w:pPr>
        <w:pStyle w:val="NoSpacing"/>
        <w:spacing w:line="480" w:lineRule="auto"/>
      </w:pPr>
      <w:r>
        <w:t>Finally</w:t>
      </w:r>
      <w:r w:rsidR="006C7CBF">
        <w:t xml:space="preserve">, </w:t>
      </w:r>
      <w:r>
        <w:t xml:space="preserve">discussion surrounding learning outcomes is vague and </w:t>
      </w:r>
      <w:r w:rsidR="006C7CBF">
        <w:t xml:space="preserve">lacks </w:t>
      </w:r>
      <w:r>
        <w:t>clarity over design and development</w:t>
      </w:r>
      <w:r w:rsidR="006C7CBF">
        <w:t>,</w:t>
      </w:r>
      <w:r>
        <w:t xml:space="preserve"> which this study does</w:t>
      </w:r>
      <w:r w:rsidR="006C7CBF">
        <w:t xml:space="preserve"> not</w:t>
      </w:r>
      <w:r>
        <w:t>. The team conclude</w:t>
      </w:r>
      <w:r w:rsidR="006C7CBF">
        <w:t xml:space="preserve"> </w:t>
      </w:r>
      <w:r>
        <w:t>that that there is ‘great need for an instructional design framework for simulation to support education and future research’</w:t>
      </w:r>
      <w:r w:rsidR="00AC144D">
        <w:t>,</w:t>
      </w:r>
      <w:r>
        <w:t xml:space="preserve"> as well as to ‘</w:t>
      </w:r>
      <w:r w:rsidR="00C41480">
        <w:t>optimise</w:t>
      </w:r>
      <w:r>
        <w:t xml:space="preserve"> what simu</w:t>
      </w:r>
      <w:r w:rsidR="006C7CBF">
        <w:t>l</w:t>
      </w:r>
      <w:r>
        <w:t>a</w:t>
      </w:r>
      <w:r w:rsidR="006C7CBF">
        <w:t>t</w:t>
      </w:r>
      <w:r>
        <w:t>ion has to offer and innovate curricula’</w:t>
      </w:r>
      <w:r w:rsidR="006C7CBF">
        <w:t xml:space="preserve"> </w:t>
      </w:r>
      <w:r w:rsidR="006C7CBF">
        <w:fldChar w:fldCharType="begin"/>
      </w:r>
      <w:r w:rsidR="006C7CBF">
        <w:instrText xml:space="preserve"> ADDIN EN.CITE &lt;EndNote&gt;&lt;Cite&gt;&lt;Author&gt;Chiniara&lt;/Author&gt;&lt;Year&gt;2013&lt;/Year&gt;&lt;IDText&gt;Simulation in healthcare: a taxonomy and a conceptual framework for instructional design and media selection&lt;/IDText&gt;&lt;DisplayText&gt;(Chiniara et al., 2013)&lt;/DisplayText&gt;&lt;record&gt;&lt;dates&gt;&lt;pub-dates&gt;&lt;date&gt;Aug&lt;/date&gt;&lt;/pub-dates&gt;&lt;year&gt;2013&lt;/year&gt;&lt;/dates&gt;&lt;keywords&gt;&lt;keyword&gt;Computer Simulation&lt;/keyword&gt;&lt;keyword&gt;Education, Medical&lt;/keyword&gt;&lt;keyword&gt;Feedback&lt;/keyword&gt;&lt;keyword&gt;Humans&lt;/keyword&gt;&lt;keyword&gt;Learning&lt;/keyword&gt;&lt;keyword&gt;Models, Educational&lt;/keyword&gt;&lt;keyword&gt;Patient Simulation&lt;/keyword&gt;&lt;keyword&gt;Teaching&lt;/keyword&gt;&lt;/keywords&gt;&lt;urls&gt;&lt;related-urls&gt;&lt;url&gt;https://www.ncbi.nlm.nih.gov/pubmed/23121247&lt;/url&gt;&lt;/related-urls&gt;&lt;/urls&gt;&lt;isbn&gt;1466-187X&lt;/isbn&gt;&lt;titles&gt;&lt;title&gt;Simulation in healthcare: a taxonomy and a conceptual framework for instructional design and media selection&lt;/title&gt;&lt;secondary-title&gt;Med Teach&lt;/secondary-title&gt;&lt;/titles&gt;&lt;pages&gt;e1380-95&lt;/pages&gt;&lt;number&gt;8&lt;/number&gt;&lt;contributors&gt;&lt;authors&gt;&lt;author&gt;Chiniara, G.&lt;/author&gt;&lt;author&gt;Cole, G.&lt;/author&gt;&lt;author&gt;Brisbin, K.&lt;/author&gt;&lt;author&gt;Huffman, D.&lt;/author&gt;&lt;author&gt;Cragg, B.&lt;/author&gt;&lt;author&gt;Lamacchia, M.&lt;/author&gt;&lt;author&gt;Norman, D.&lt;/author&gt;&lt;author&gt;Canadian Network For Simulation In Healthcare, G.idelines Working Group&lt;/author&gt;&lt;/authors&gt;&lt;/contributors&gt;&lt;language&gt;eng&lt;/language&gt;&lt;added-date format="utc"&gt;1472551280&lt;/added-date&gt;&lt;ref-type name="Journal Article"&gt;17&lt;/ref-type&gt;&lt;rec-number&gt;268&lt;/rec-number&gt;&lt;last-updated-date format="utc"&gt;1472551280&lt;/last-updated-date&gt;&lt;accession-num&gt;23121247&lt;/accession-num&gt;&lt;electronic-resource-num&gt;10.3109/0142159X.2012.733451&lt;/electronic-resource-num&gt;&lt;volume&gt;35&lt;/volume&gt;&lt;/record&gt;&lt;/Cite&gt;&lt;/EndNote&gt;</w:instrText>
      </w:r>
      <w:r w:rsidR="006C7CBF">
        <w:fldChar w:fldCharType="separate"/>
      </w:r>
      <w:r w:rsidR="006C7CBF">
        <w:rPr>
          <w:noProof/>
        </w:rPr>
        <w:t>(Chiniara et al., 2013)</w:t>
      </w:r>
      <w:r w:rsidR="006C7CBF">
        <w:fldChar w:fldCharType="end"/>
      </w:r>
      <w:r w:rsidR="006C7CBF">
        <w:t>.</w:t>
      </w:r>
      <w:r>
        <w:t xml:space="preserve"> </w:t>
      </w:r>
      <w:r w:rsidR="006C7CBF">
        <w:t>H</w:t>
      </w:r>
      <w:r>
        <w:t>owever</w:t>
      </w:r>
      <w:r w:rsidR="000B4F95">
        <w:t xml:space="preserve"> as mentioned above </w:t>
      </w:r>
      <w:r>
        <w:t xml:space="preserve">forcing simulation </w:t>
      </w:r>
      <w:r w:rsidR="000A27DF">
        <w:t>into</w:t>
      </w:r>
      <w:r>
        <w:t xml:space="preserve"> a fixed design model </w:t>
      </w:r>
      <w:r w:rsidR="000B4F95">
        <w:t xml:space="preserve">could risk </w:t>
      </w:r>
      <w:r w:rsidR="00685655">
        <w:t>losing</w:t>
      </w:r>
      <w:r>
        <w:t xml:space="preserve"> the potential added value by over</w:t>
      </w:r>
      <w:r w:rsidR="00C41480">
        <w:t>simplifying</w:t>
      </w:r>
      <w:r>
        <w:t xml:space="preserve"> and generalising about design and miss the rich opportunities it offers. </w:t>
      </w:r>
    </w:p>
    <w:p w14:paraId="4F966A90" w14:textId="77777777" w:rsidR="005D3C2A" w:rsidRDefault="005D3C2A" w:rsidP="00C9110D">
      <w:pPr>
        <w:pStyle w:val="NoSpacing"/>
        <w:spacing w:line="480" w:lineRule="auto"/>
      </w:pPr>
    </w:p>
    <w:p w14:paraId="3296D6D7" w14:textId="59B64CB4" w:rsidR="00B00F33" w:rsidRDefault="00B00F33" w:rsidP="00C9110D">
      <w:pPr>
        <w:pStyle w:val="NoSpacing"/>
        <w:spacing w:line="480" w:lineRule="auto"/>
      </w:pPr>
      <w:r>
        <w:t xml:space="preserve">Links with existing </w:t>
      </w:r>
      <w:r w:rsidR="00D32991">
        <w:t>educational theories are useful</w:t>
      </w:r>
      <w:r>
        <w:t xml:space="preserve"> </w:t>
      </w:r>
      <w:r w:rsidR="00D32991">
        <w:t>t</w:t>
      </w:r>
      <w:r>
        <w:t>o explore to see which bring out the best and maximise opportunitie</w:t>
      </w:r>
      <w:r w:rsidR="00D32991">
        <w:t>s in simula</w:t>
      </w:r>
      <w:r w:rsidR="000B4F95">
        <w:t>ti</w:t>
      </w:r>
      <w:r w:rsidR="00D32991">
        <w:t xml:space="preserve">on rather than </w:t>
      </w:r>
      <w:r w:rsidR="00C41480">
        <w:t>stifling</w:t>
      </w:r>
      <w:r w:rsidR="00D32991">
        <w:t xml:space="preserve"> </w:t>
      </w:r>
      <w:r w:rsidR="00D32991">
        <w:lastRenderedPageBreak/>
        <w:t xml:space="preserve">innovation by not ‘fitting’. The team do highlight that the instructional design </w:t>
      </w:r>
      <w:r w:rsidR="00C41480">
        <w:t>framework</w:t>
      </w:r>
      <w:r w:rsidR="00D32991">
        <w:t xml:space="preserve"> </w:t>
      </w:r>
      <w:r w:rsidR="005D3C2A">
        <w:t>they have employed,</w:t>
      </w:r>
      <w:r w:rsidR="00D32991">
        <w:t xml:space="preserve"> does not include important ‘</w:t>
      </w:r>
      <w:r w:rsidR="00C41480">
        <w:t>endeavours</w:t>
      </w:r>
      <w:r w:rsidR="00D32991">
        <w:t xml:space="preserve"> such</w:t>
      </w:r>
      <w:r w:rsidR="005D3C2A">
        <w:t xml:space="preserve"> a</w:t>
      </w:r>
      <w:r w:rsidR="00D32991">
        <w:t xml:space="preserve">s epistemology </w:t>
      </w:r>
      <w:r w:rsidR="005D3C2A">
        <w:t>of human factor</w:t>
      </w:r>
      <w:r w:rsidR="00D32991">
        <w:t>s and system dynamics’</w:t>
      </w:r>
      <w:r w:rsidR="009179D8">
        <w:t>,</w:t>
      </w:r>
      <w:r w:rsidR="00D32991">
        <w:t xml:space="preserve"> which were found in this study to be the overarching requir</w:t>
      </w:r>
      <w:r w:rsidR="005D3C2A">
        <w:t>e</w:t>
      </w:r>
      <w:r w:rsidR="00D32991">
        <w:t xml:space="preserve">ments to add value to simulation education. Simulation should not be put in a </w:t>
      </w:r>
      <w:r w:rsidR="000B4F95">
        <w:t xml:space="preserve">rigid </w:t>
      </w:r>
      <w:r w:rsidR="00D32991">
        <w:t xml:space="preserve">framework that </w:t>
      </w:r>
      <w:r w:rsidR="005D3C2A">
        <w:t>stifles</w:t>
      </w:r>
      <w:r w:rsidR="00D32991">
        <w:t xml:space="preserve"> the potential of learning stimulated by the available constructs.</w:t>
      </w:r>
      <w:r w:rsidR="007D3ED8">
        <w:t xml:space="preserve"> That said</w:t>
      </w:r>
      <w:r w:rsidR="000B4F95">
        <w:t>,</w:t>
      </w:r>
      <w:r w:rsidR="007D3ED8">
        <w:t xml:space="preserve"> a </w:t>
      </w:r>
      <w:proofErr w:type="spellStart"/>
      <w:r w:rsidR="007D3ED8">
        <w:t>meta analysis</w:t>
      </w:r>
      <w:proofErr w:type="spellEnd"/>
      <w:r w:rsidR="007D3ED8">
        <w:t xml:space="preserve"> has recommended that small to moderate effects have been shown favouring ‘theory predicted instruction</w:t>
      </w:r>
      <w:r w:rsidR="005D3C2A">
        <w:t xml:space="preserve">al design features’ to aid </w:t>
      </w:r>
      <w:r w:rsidR="0070140D">
        <w:t>simulation-based</w:t>
      </w:r>
      <w:r w:rsidR="007D3ED8">
        <w:t xml:space="preserve"> educational design, but also highlights the that though studie</w:t>
      </w:r>
      <w:r w:rsidR="005D3C2A">
        <w:t>s reveal ‘simu</w:t>
      </w:r>
      <w:r w:rsidR="007D3ED8">
        <w:t>l</w:t>
      </w:r>
      <w:r w:rsidR="005D3C2A">
        <w:t>a</w:t>
      </w:r>
      <w:r w:rsidR="007D3ED8">
        <w:t>tion is effective they do not show what makes it effec</w:t>
      </w:r>
      <w:r w:rsidR="00036570">
        <w:t>tive’ which this study do</w:t>
      </w:r>
      <w:r w:rsidR="006C7CBF">
        <w:t>es</w:t>
      </w:r>
      <w:r w:rsidR="00036570">
        <w:t xml:space="preserve"> </w:t>
      </w:r>
      <w:r w:rsidR="00036570">
        <w:fldChar w:fldCharType="begin"/>
      </w:r>
      <w:r w:rsidR="00036570">
        <w:instrText xml:space="preserve"> ADDIN EN.CITE &lt;EndNote&gt;&lt;Cite&gt;&lt;Author&gt;Cook&lt;/Author&gt;&lt;Year&gt;2013&lt;/Year&gt;&lt;IDText&gt;Comparative effectiveness of instructional design features in simulation-based education: systematic review and meta-analysis&lt;/IDText&gt;&lt;DisplayText&gt;(Cook et al., 2013)&lt;/DisplayText&gt;&lt;record&gt;&lt;keywords&gt;&lt;keyword&gt;Comparative Effectiveness Research&lt;/keyword&gt;&lt;keyword&gt;Computer Simulation&lt;/keyword&gt;&lt;keyword&gt;Education, Medical, Undergraduate&lt;/keyword&gt;&lt;keyword&gt;Humans&lt;/keyword&gt;&lt;keyword&gt;Problem-Based Learning&lt;/keyword&gt;&lt;/keywords&gt;&lt;urls&gt;&lt;related-urls&gt;&lt;url&gt;https://www.ncbi.nlm.nih.gov/pubmed/22938677&lt;/url&gt;&lt;/related-urls&gt;&lt;/urls&gt;&lt;isbn&gt;1466-187X&lt;/isbn&gt;&lt;titles&gt;&lt;title&gt;Comparative effectiveness of instructional design features in simulation-based education: systematic review and meta-analysis&lt;/title&gt;&lt;secondary-title&gt;Med Teach&lt;/secondary-title&gt;&lt;/titles&gt;&lt;pages&gt;e867-98&lt;/pages&gt;&lt;number&gt;1&lt;/number&gt;&lt;contributors&gt;&lt;authors&gt;&lt;author&gt;Cook, D. A.&lt;/author&gt;&lt;author&gt;Hamstra, S. J.&lt;/author&gt;&lt;author&gt;Brydges, R.&lt;/author&gt;&lt;author&gt;Zendejas, B.&lt;/author&gt;&lt;author&gt;Szostek, J. H.&lt;/author&gt;&lt;author&gt;Wang, A. T.&lt;/author&gt;&lt;author&gt;Erwin, P. J.&lt;/author&gt;&lt;author&gt;Hatala, R.&lt;/author&gt;&lt;/authors&gt;&lt;/contributors&gt;&lt;language&gt;eng&lt;/language&gt;&lt;added-date format="utc"&gt;1472551435&lt;/added-date&gt;&lt;ref-type name="Journal Article"&gt;17&lt;/ref-type&gt;&lt;dates&gt;&lt;year&gt;2013&lt;/year&gt;&lt;/dates&gt;&lt;rec-number&gt;269&lt;/rec-number&gt;&lt;last-updated-date format="utc"&gt;1472551435&lt;/last-updated-date&gt;&lt;accession-num&gt;22938677&lt;/accession-num&gt;&lt;electronic-resource-num&gt;10.3109/0142159X.2012.714886&lt;/electronic-resource-num&gt;&lt;volume&gt;35&lt;/volume&gt;&lt;/record&gt;&lt;/Cite&gt;&lt;/EndNote&gt;</w:instrText>
      </w:r>
      <w:r w:rsidR="00036570">
        <w:fldChar w:fldCharType="separate"/>
      </w:r>
      <w:r w:rsidR="00036570">
        <w:rPr>
          <w:noProof/>
        </w:rPr>
        <w:t>(Cook et al., 2013)</w:t>
      </w:r>
      <w:r w:rsidR="00036570">
        <w:fldChar w:fldCharType="end"/>
      </w:r>
      <w:r w:rsidR="007D3ED8">
        <w:t xml:space="preserve">. </w:t>
      </w:r>
    </w:p>
    <w:p w14:paraId="7F5F226F" w14:textId="6AB81BFD" w:rsidR="00A9716A" w:rsidRDefault="00A9716A" w:rsidP="00A9716A">
      <w:r>
        <w:t>More evidence is being published regarding the need for i</w:t>
      </w:r>
      <w:r w:rsidR="009179D8">
        <w:t>ndividualised learning, problem-</w:t>
      </w:r>
      <w:r>
        <w:t xml:space="preserve">based learning and adult learning principles because they are </w:t>
      </w:r>
      <w:r w:rsidR="006C7CBF">
        <w:t xml:space="preserve">more effective than </w:t>
      </w:r>
      <w:r>
        <w:t xml:space="preserve">traditional models of education </w:t>
      </w:r>
      <w:r>
        <w:fldChar w:fldCharType="begin"/>
      </w:r>
      <w:r>
        <w:instrText xml:space="preserve"> ADDIN EN.CITE &lt;EndNote&gt;&lt;Cite&gt;&lt;Author&gt;Jones&lt;/Author&gt;&lt;Year&gt;2002&lt;/Year&gt;&lt;IDText&gt;Perceptions of how well graduates are prepared for the role of pre-registration house officer: a comparison of outcomes from a traditional and an integrated PBL curriculum&lt;/IDText&gt;&lt;DisplayText&gt;(Jones et al., 2002)&lt;/DisplayText&gt;&lt;record&gt;&lt;dates&gt;&lt;pub-dates&gt;&lt;date&gt;Jan&lt;/date&gt;&lt;/pub-dates&gt;&lt;year&gt;2002&lt;/year&gt;&lt;/dates&gt;&lt;keywords&gt;&lt;keyword&gt;Clinical Competence&lt;/keyword&gt;&lt;keyword&gt;Curriculum&lt;/keyword&gt;&lt;keyword&gt;Education, Medical, Undergraduate&lt;/keyword&gt;&lt;keyword&gt;Educational Measurement&lt;/keyword&gt;&lt;keyword&gt;England&lt;/keyword&gt;&lt;keyword&gt;Humans&lt;/keyword&gt;&lt;keyword&gt;Problem-Based Learning&lt;/keyword&gt;&lt;keyword&gt;Surveys and Questionnaires&lt;/keyword&gt;&lt;/keywords&gt;&lt;urls&gt;&lt;related-urls&gt;&lt;url&gt;http://www.ncbi.nlm.nih.gov/pubmed/11849520&lt;/url&gt;&lt;/related-urls&gt;&lt;/urls&gt;&lt;isbn&gt;0308-0110&lt;/isbn&gt;&lt;titles&gt;&lt;title&gt;Perceptions of how well graduates are prepared for the role of pre-registration house officer: a comparison of outcomes from a traditional and an integrated PBL curriculum&lt;/title&gt;&lt;secondary-title&gt;Med Educ&lt;/secondary-title&gt;&lt;/titles&gt;&lt;pages&gt;16-25&lt;/pages&gt;&lt;number&gt;1&lt;/number&gt;&lt;contributors&gt;&lt;authors&gt;&lt;author&gt;Jones, A.&lt;/author&gt;&lt;author&gt;McArdle, P. J.&lt;/author&gt;&lt;author&gt;O&amp;apos;Neill, P. A.&lt;/author&gt;&lt;/authors&gt;&lt;/contributors&gt;&lt;language&gt;eng&lt;/language&gt;&lt;added-date format="utc"&gt;1455618873&lt;/added-date&gt;&lt;ref-type name="Journal Article"&gt;17&lt;/ref-type&gt;&lt;rec-number&gt;166&lt;/rec-number&gt;&lt;last-updated-date format="utc"&gt;1455618873&lt;/last-updated-date&gt;&lt;accession-num&gt;11849520&lt;/accession-num&gt;&lt;volume&gt;36&lt;/volume&gt;&lt;/record&gt;&lt;/Cite&gt;&lt;/EndNote&gt;</w:instrText>
      </w:r>
      <w:r>
        <w:fldChar w:fldCharType="separate"/>
      </w:r>
      <w:r>
        <w:rPr>
          <w:noProof/>
        </w:rPr>
        <w:t>(Jones et al., 2002)</w:t>
      </w:r>
      <w:r>
        <w:fldChar w:fldCharType="end"/>
      </w:r>
      <w:r>
        <w:t xml:space="preserve">. </w:t>
      </w:r>
      <w:r w:rsidR="006C7CBF">
        <w:t>T</w:t>
      </w:r>
      <w:r>
        <w:t>hese educational methodologies</w:t>
      </w:r>
      <w:r w:rsidR="006C7CBF">
        <w:t xml:space="preserve"> </w:t>
      </w:r>
      <w:r>
        <w:t>transfer responsibi</w:t>
      </w:r>
      <w:r w:rsidR="000B4F95">
        <w:t>lity over to students, which offers</w:t>
      </w:r>
      <w:r>
        <w:t xml:space="preserve"> a way of grading the transition from undergraduate to postgraduate</w:t>
      </w:r>
      <w:r w:rsidR="004B1F1F">
        <w:t xml:space="preserve"> to increase awareness of</w:t>
      </w:r>
      <w:r>
        <w:t xml:space="preserve"> own strengths and weakness</w:t>
      </w:r>
      <w:r w:rsidR="006C7CBF">
        <w:t xml:space="preserve"> with leadership skills, </w:t>
      </w:r>
      <w:r w:rsidR="00B2451B">
        <w:t>teamwork</w:t>
      </w:r>
      <w:r>
        <w:t xml:space="preserve">ing, self-motivation and self-regulation. </w:t>
      </w:r>
    </w:p>
    <w:p w14:paraId="2D623892" w14:textId="77777777" w:rsidR="009E6F6F" w:rsidRDefault="00A9716A" w:rsidP="006B027F">
      <w:r>
        <w:t>Creating smaller group sessions and opportunities to give specific individual feedback</w:t>
      </w:r>
      <w:r w:rsidR="0030497B">
        <w:t xml:space="preserve"> may help counteract</w:t>
      </w:r>
      <w:r>
        <w:t xml:space="preserve"> the loss of team-based structure on the wards on clinical placement. It is vital that the medical undergraduates feel a sense of belongin</w:t>
      </w:r>
      <w:r w:rsidR="000B4F95">
        <w:t xml:space="preserve">g on the wards and careful attention must be given </w:t>
      </w:r>
      <w:r>
        <w:t>about how to achieve this</w:t>
      </w:r>
      <w:r w:rsidR="004B1F1F">
        <w:t>, EPAs are one solution as is simulation</w:t>
      </w:r>
      <w:r>
        <w:t>. If this can be nurtured throughout medical school this should result in more grounded</w:t>
      </w:r>
      <w:r w:rsidR="009179D8">
        <w:t>,</w:t>
      </w:r>
      <w:r>
        <w:t xml:space="preserve"> self-directed </w:t>
      </w:r>
      <w:r>
        <w:lastRenderedPageBreak/>
        <w:t xml:space="preserve">learners and </w:t>
      </w:r>
      <w:proofErr w:type="spellStart"/>
      <w:r w:rsidR="00B2451B">
        <w:t>teamwork</w:t>
      </w:r>
      <w:r>
        <w:t>ers</w:t>
      </w:r>
      <w:proofErr w:type="spellEnd"/>
      <w:r>
        <w:t xml:space="preserve"> that are able to use their skills to problem solve, think critically and synthesise evidence to help inform decisions and counsel patients.</w:t>
      </w:r>
    </w:p>
    <w:p w14:paraId="4FD62470" w14:textId="15DB0FE9" w:rsidR="00A9716A" w:rsidRPr="00B16149" w:rsidRDefault="00A9716A" w:rsidP="006B027F"/>
    <w:p w14:paraId="37F77F2B" w14:textId="41A975AC" w:rsidR="00601AF7" w:rsidRDefault="00601AF7" w:rsidP="00187756">
      <w:pPr>
        <w:pStyle w:val="Heading2"/>
      </w:pPr>
      <w:bookmarkStart w:id="442" w:name="_Toc343501254"/>
      <w:bookmarkStart w:id="443" w:name="_Toc348686449"/>
      <w:bookmarkStart w:id="444" w:name="_Toc419116211"/>
      <w:r>
        <w:t>Limitations of research</w:t>
      </w:r>
      <w:bookmarkEnd w:id="442"/>
      <w:bookmarkEnd w:id="443"/>
      <w:bookmarkEnd w:id="444"/>
    </w:p>
    <w:p w14:paraId="3598F722" w14:textId="77777777" w:rsidR="00793575" w:rsidRDefault="00793575" w:rsidP="00793575"/>
    <w:p w14:paraId="7F2D0E96" w14:textId="5BF87AFD" w:rsidR="009E6F6F" w:rsidRDefault="009E6F6F" w:rsidP="009E6F6F">
      <w:r>
        <w:t xml:space="preserve">One of the limitations and largest personal challenges was that of the size of this study and being completed by </w:t>
      </w:r>
      <w:r w:rsidR="00E065A7">
        <w:t xml:space="preserve">myself as </w:t>
      </w:r>
      <w:r>
        <w:t>a single researcher (FF). There were challenges with having li</w:t>
      </w:r>
      <w:r w:rsidR="00E065A7">
        <w:t>mited personal research experience</w:t>
      </w:r>
      <w:r>
        <w:t xml:space="preserve"> and having to learn about how to conduct focus groups and interviews, how to design the study and cope with collecting and analysing all of the data gathered. It was difficult to learn all of these new techniques, however this was hugely aided by support from supervisors, dedicating time to reading how to run them and taking part in recognised courses run by </w:t>
      </w:r>
      <w:r w:rsidR="00E065A7">
        <w:t xml:space="preserve">the </w:t>
      </w:r>
      <w:r>
        <w:t>Nat</w:t>
      </w:r>
      <w:r w:rsidR="00E065A7">
        <w:t>ional</w:t>
      </w:r>
      <w:r>
        <w:t xml:space="preserve"> Cen</w:t>
      </w:r>
      <w:r w:rsidR="00E065A7">
        <w:t>tre for Social Research</w:t>
      </w:r>
      <w:r>
        <w:t xml:space="preserve">. As a single researcher the volume of data </w:t>
      </w:r>
      <w:r w:rsidR="00E065A7">
        <w:t xml:space="preserve">that I </w:t>
      </w:r>
      <w:r>
        <w:t xml:space="preserve">gathered was difficult to manage to ensure it was fully interrogated in a systematic way. This was managed by the sequential nature of this study allowing the process of analysis at each stage to produce outcomes to inform the next stage. This also allowed </w:t>
      </w:r>
      <w:r w:rsidR="00E065A7">
        <w:t xml:space="preserve">me the </w:t>
      </w:r>
      <w:r>
        <w:t xml:space="preserve">ability to return to earlier themes and cross check alignment with initial thematic analysis and that the study remained grounded and true to initial data. </w:t>
      </w:r>
    </w:p>
    <w:p w14:paraId="7E958082" w14:textId="2D9595BA" w:rsidR="009E6F6F" w:rsidRDefault="009E6F6F" w:rsidP="009E6F6F">
      <w:r>
        <w:t xml:space="preserve">The limitation of this is that of single researcher bias and my potential </w:t>
      </w:r>
      <w:r w:rsidR="00E065A7">
        <w:t>influence on the data. Though I</w:t>
      </w:r>
      <w:r>
        <w:t xml:space="preserve"> had a view</w:t>
      </w:r>
      <w:r w:rsidR="00E065A7">
        <w:t xml:space="preserve"> that simulation had a place, I</w:t>
      </w:r>
      <w:r>
        <w:t xml:space="preserve"> had had poor and good experiences of simulation and of preparedness when transitioning in to different roles during medical and surgical training. So from that stance </w:t>
      </w:r>
      <w:r w:rsidR="00E065A7">
        <w:t xml:space="preserve">I </w:t>
      </w:r>
      <w:r>
        <w:t xml:space="preserve">was </w:t>
      </w:r>
      <w:r>
        <w:lastRenderedPageBreak/>
        <w:t>unsure of what simulation could add, why and how to achieve this and what the experien</w:t>
      </w:r>
      <w:r w:rsidR="00E065A7">
        <w:t xml:space="preserve">ce and views were of others. I </w:t>
      </w:r>
      <w:r>
        <w:t>remained accepting that not al</w:t>
      </w:r>
      <w:r w:rsidR="00E065A7">
        <w:t>l educational methodologies</w:t>
      </w:r>
      <w:r>
        <w:t xml:space="preserve"> work for all learners but grew to appreciate the importance of personal learning and tailored education to learner preferences.  Though this is a limitat</w:t>
      </w:r>
      <w:r w:rsidR="00101820">
        <w:t>ion it is also one of the main</w:t>
      </w:r>
      <w:r>
        <w:t xml:space="preserve"> strengths of this work. It was felt throughout, that to allow </w:t>
      </w:r>
      <w:r w:rsidR="00101820">
        <w:t xml:space="preserve">the </w:t>
      </w:r>
      <w:r>
        <w:t xml:space="preserve">ability to think and explore the data I had to be part of the experiences to feel reactions and changes, to witness body language and responses closely and first hand. This allowed for powerful reflections and ability to remain in the world of the participants. </w:t>
      </w:r>
      <w:r w:rsidR="00101820">
        <w:t>Medical education research is participatory and real world</w:t>
      </w:r>
      <w:r w:rsidR="00B159B8">
        <w:t xml:space="preserve"> </w:t>
      </w:r>
      <w:r w:rsidR="00B159B8">
        <w:fldChar w:fldCharType="begin">
          <w:fldData xml:space="preserve">PEVuZE5vdGU+PENpdGU+PEF1dGhvcj5DbGVsYW5kPC9BdXRob3I+PFllYXI+MjAxNzwvWWVhcj48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</w:fldData>
        </w:fldChar>
      </w:r>
      <w:r w:rsidR="00B159B8">
        <w:instrText xml:space="preserve"> ADDIN EN.CITE </w:instrText>
      </w:r>
      <w:r w:rsidR="00B159B8">
        <w:fldChar w:fldCharType="begin">
          <w:fldData xml:space="preserve">PEVuZE5vdGU+PENpdGU+PEF1dGhvcj5DbGVsYW5kPC9BdXRob3I+PFllYXI+MjAxNzwvWWVhcj48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</w:fldData>
        </w:fldChar>
      </w:r>
      <w:r w:rsidR="00B159B8">
        <w:instrText xml:space="preserve"> ADDIN EN.CITE.DATA </w:instrText>
      </w:r>
      <w:r w:rsidR="00B159B8">
        <w:fldChar w:fldCharType="end"/>
      </w:r>
      <w:r w:rsidR="00B159B8">
        <w:fldChar w:fldCharType="separate"/>
      </w:r>
      <w:r w:rsidR="00B159B8">
        <w:rPr>
          <w:noProof/>
        </w:rPr>
        <w:t>(Cleland, 2017, Cribb and Bignold, 1999)</w:t>
      </w:r>
      <w:r w:rsidR="00B159B8">
        <w:fldChar w:fldCharType="end"/>
      </w:r>
      <w:r w:rsidR="00101820">
        <w:t xml:space="preserve">. </w:t>
      </w:r>
      <w:r>
        <w:t>The benefit of being familiar and embedded was the comfort and familiarity that gave to me to be relaxed in the situations, which helped students to relax. They appeared unthreatened and appeared able to talk freely. I had to be careful that assumptions were not made, which did occur with students feeling that because I was teaching using simulation that I strongly believed in it. It was important to emphasise as above that I did believe it had a place but not how and why and that was the area to explore, particularly with whether it could be used to support preparedness. In terms of interactions with experts, again they ma</w:t>
      </w:r>
      <w:r w:rsidR="00E065A7">
        <w:t xml:space="preserve">de assumptions about my </w:t>
      </w:r>
      <w:r>
        <w:t xml:space="preserve">stance saying ‘as I’m sure you agree’ and again reiteration about what value simulation can add and how, was emphasised as the area of exploration. </w:t>
      </w:r>
    </w:p>
    <w:p w14:paraId="486FEA58" w14:textId="700A461F" w:rsidR="009E6F6F" w:rsidRDefault="009E6F6F" w:rsidP="009E6F6F">
      <w:r>
        <w:t>At times being fully embedded in the research could get overwhelming and it was important to take some time and space out of the environment to re-ene</w:t>
      </w:r>
      <w:r w:rsidR="00E065A7">
        <w:t xml:space="preserve">rgise thought processes. I </w:t>
      </w:r>
      <w:r>
        <w:t>underestim</w:t>
      </w:r>
      <w:r w:rsidR="00B159B8">
        <w:t>ated the amount of familiarising and immersion</w:t>
      </w:r>
      <w:r>
        <w:t xml:space="preserve"> that was required for qualitative data analysis</w:t>
      </w:r>
      <w:r w:rsidR="00B159B8">
        <w:t xml:space="preserve"> </w:t>
      </w:r>
      <w:r w:rsidR="00B159B8">
        <w:fldChar w:fldCharType="begin"/>
      </w:r>
      <w:r w:rsidR="00B159B8">
        <w:instrText xml:space="preserve"> ADDIN EN.CITE &lt;EndNote&gt;&lt;Cite&gt;&lt;Author&gt;Gale&lt;/Author&gt;&lt;Year&gt;2013&lt;/Year&gt;&lt;IDText&gt;Using the framework method for the analysis of qualitative data in multi-disciplinary health research&lt;/IDText&gt;&lt;DisplayText&gt;(Gale et al., 2013)&lt;/DisplayText&gt;&lt;record&gt;&lt;dates&gt;&lt;pub-dates&gt;&lt;date&gt;Sep&lt;/date&gt;&lt;/pub-dates&gt;&lt;year&gt;2013&lt;/year&gt;&lt;/dates&gt;&lt;keywords&gt;&lt;keyword&gt;Health Services Research&lt;/keyword&gt;&lt;keyword&gt;Humans&lt;/keyword&gt;&lt;keyword&gt;Qualitative Research&lt;/keyword&gt;&lt;keyword&gt;Research Design&lt;/keyword&gt;&lt;/keywords&gt;&lt;urls&gt;&lt;related-urls&gt;&lt;url&gt;https://www.ncbi.nlm.nih.gov/pubmed/24047204&lt;/url&gt;&lt;/related-urls&gt;&lt;/urls&gt;&lt;isbn&gt;1471-2288&lt;/isbn&gt;&lt;custom2&gt;PMC3848812&lt;/custom2&gt;&lt;titles&gt;&lt;title&gt;Using the framework method for the analysis of qualitative data in multi-disciplinary health research&lt;/title&gt;&lt;secondary-title&gt;BMC Med Res Methodol&lt;/secondary-title&gt;&lt;/titles&gt;&lt;pages&gt;117&lt;/pages&gt;&lt;contributors&gt;&lt;authors&gt;&lt;author&gt;Gale, N. K.&lt;/author&gt;&lt;author&gt;Heath, G.&lt;/author&gt;&lt;author&gt;Cameron, E.&lt;/author&gt;&lt;author&gt;Rashid, S.&lt;/author&gt;&lt;author&gt;Redwood, S.&lt;/author&gt;&lt;/authors&gt;&lt;/contributors&gt;&lt;edition&gt;2013/09/18&lt;/edition&gt;&lt;language&gt;eng&lt;/language&gt;&lt;added-date format="utc"&gt;1535106680&lt;/added-date&gt;&lt;ref-type name="Journal Article"&gt;17&lt;/ref-type&gt;&lt;rec-number&gt;393&lt;/rec-number&gt;&lt;last-updated-date format="utc"&gt;1535106680&lt;/last-updated-date&gt;&lt;accession-num&gt;24047204&lt;/accession-num&gt;&lt;electronic-resource-num&gt;10.1186/1471-2288-13-117&lt;/electronic-resource-num&gt;&lt;volume&gt;13&lt;/volume&gt;&lt;/record&gt;&lt;/Cite&gt;&lt;/EndNote&gt;</w:instrText>
      </w:r>
      <w:r w:rsidR="00B159B8">
        <w:fldChar w:fldCharType="separate"/>
      </w:r>
      <w:r w:rsidR="00B159B8">
        <w:rPr>
          <w:noProof/>
        </w:rPr>
        <w:t>(Gale et al., 2013)</w:t>
      </w:r>
      <w:r w:rsidR="00B159B8">
        <w:fldChar w:fldCharType="end"/>
      </w:r>
      <w:r>
        <w:t xml:space="preserve">. </w:t>
      </w:r>
      <w:r>
        <w:lastRenderedPageBreak/>
        <w:t>Having developed skills in statistical analysis for the quantitative data, which was aga</w:t>
      </w:r>
      <w:r w:rsidR="00E065A7">
        <w:t>in a new skill for me</w:t>
      </w:r>
      <w:r>
        <w:t>, I had been naïve in the amount of organising, filtering, grouping and exploration required for the volume of data generated. By being fully embedded thro</w:t>
      </w:r>
      <w:r w:rsidR="00E065A7">
        <w:t>ughout as a single researcher I</w:t>
      </w:r>
      <w:r>
        <w:t xml:space="preserve"> was able </w:t>
      </w:r>
      <w:r w:rsidR="00E065A7">
        <w:t>to reach to rich experiences I</w:t>
      </w:r>
      <w:r>
        <w:t xml:space="preserve"> had been involved in and reflect on case examples which may have displayed contrasting behaviour, then allow time to pick t</w:t>
      </w:r>
      <w:r w:rsidR="00E065A7">
        <w:t>hat apart. I</w:t>
      </w:r>
      <w:r>
        <w:t xml:space="preserve"> was able to understand and experience the people involved in the study and gain a 360-degree appreciation of all elements, which helped </w:t>
      </w:r>
      <w:r w:rsidR="00E065A7">
        <w:t>with the data interpretation. I</w:t>
      </w:r>
      <w:r>
        <w:t xml:space="preserve"> was able to reach to </w:t>
      </w:r>
      <w:r w:rsidR="00E065A7">
        <w:t xml:space="preserve">my </w:t>
      </w:r>
      <w:r>
        <w:t xml:space="preserve">own feelings and those witnessed of others in particular situations. A limitation of this was the </w:t>
      </w:r>
      <w:proofErr w:type="spellStart"/>
      <w:r>
        <w:t>affect</w:t>
      </w:r>
      <w:proofErr w:type="spellEnd"/>
      <w:r>
        <w:t xml:space="preserve"> of recall bias and influences of own interpretation hence the importance and value of triangulation and multiple stakeholder perspectives. </w:t>
      </w:r>
    </w:p>
    <w:p w14:paraId="087E1A33" w14:textId="61393F4A" w:rsidR="009E6F6F" w:rsidRDefault="009E6F6F" w:rsidP="009E6F6F">
      <w:r>
        <w:t xml:space="preserve">Framework was utilised in </w:t>
      </w:r>
      <w:proofErr w:type="spellStart"/>
      <w:r>
        <w:t>Nvivo</w:t>
      </w:r>
      <w:proofErr w:type="spellEnd"/>
      <w:r>
        <w:t xml:space="preserve"> to help manage this volume of data and without it I would probably still be doing the data analysis now. It is unclear why it has been called ‘framework analysis’ owing to the fact it is really just a computerised grid as first designed for thematic analysis, that allows the bringing together of multiple data sources to manage them in one place. The package does not do thematic analysis for you. It is possible to search for words or items, which can be useful for locating quotes to support thematic analysis, but this is not for analysis. Some may use it to look at word frequencies but for me this belittles all value of qualitative research. It makes what is rich and fascinating become superficial and meaningless. It is not just the words that have been used, it is what is being said or not being said, and how it is said, the emotion, the depth and the passion that comes through in these interviews or focus groups. I have explored others views on computer packages for use in </w:t>
      </w:r>
      <w:r>
        <w:lastRenderedPageBreak/>
        <w:t xml:space="preserve">qualitative data analysis to review the contentions and my perception is that of misunderstanding and misrepresentation. Personally I feel that this is a </w:t>
      </w:r>
      <w:r w:rsidR="00345C07">
        <w:t>protectionist</w:t>
      </w:r>
      <w:r>
        <w:t xml:space="preserve"> view by some</w:t>
      </w:r>
      <w:r w:rsidR="00B159B8">
        <w:t xml:space="preserve"> researchers that are perhaps a</w:t>
      </w:r>
      <w:r>
        <w:t>verse to technology and see it as a thre</w:t>
      </w:r>
      <w:r w:rsidR="00B159B8">
        <w:t>at to rigor and technique where</w:t>
      </w:r>
      <w:r>
        <w:t xml:space="preserve">as my personal experience is the opposite. It allows transparent triangulation of vast quantities of data and different sources, which adds to the power of triangulation. It frees up thinking time and space to consider themes and what is emerging from the data allowing quality time for abstract conceptualisation. </w:t>
      </w:r>
    </w:p>
    <w:p w14:paraId="68BFBD0A" w14:textId="3D4A750C" w:rsidR="009E6F6F" w:rsidRDefault="00E065A7" w:rsidP="009E6F6F">
      <w:r>
        <w:t>As a senior surgical trainee I have</w:t>
      </w:r>
      <w:r w:rsidR="009E6F6F">
        <w:t xml:space="preserve"> gone </w:t>
      </w:r>
      <w:proofErr w:type="spellStart"/>
      <w:r w:rsidR="009E6F6F">
        <w:t>though</w:t>
      </w:r>
      <w:proofErr w:type="spellEnd"/>
      <w:r w:rsidR="009E6F6F">
        <w:t xml:space="preserve"> much of educational life with relatively direct and efficient lines of thought, developing rapid problem solving skills for the unwell patient. It took a lot of time and cognitive effort to force myself out of that mode of thinking in to a reflective and open space. At one workshop I was encouraged to go home and ‘open my mind’ and following that was unable to sleep well due to thoughts and ideas pouring in and linking making me realise how structured and managed my thought processes had become. This was a new way of thinking about the world and concepts and was a surprise that took a while to switch back to current mode. Abstract conceptualisation required this open mode, with time and space both in the data and outside of it. When this was recognised it was easier to accept that this could not be a rapid process and a change to usual thought processes had to be embraced. This was a realisation moment that was essential to allow progress in data analysis. </w:t>
      </w:r>
    </w:p>
    <w:p w14:paraId="1EC41069" w14:textId="081193BE" w:rsidR="009E6F6F" w:rsidRDefault="00787C4E" w:rsidP="009E6F6F">
      <w:r>
        <w:t>I have</w:t>
      </w:r>
      <w:r w:rsidR="009E6F6F">
        <w:t xml:space="preserve"> tried to make it clear </w:t>
      </w:r>
      <w:proofErr w:type="spellStart"/>
      <w:r w:rsidR="009E6F6F">
        <w:t>through out</w:t>
      </w:r>
      <w:proofErr w:type="spellEnd"/>
      <w:r w:rsidR="009E6F6F">
        <w:t xml:space="preserve"> that only some tools of grounded theory have been employed in this study and it is by no means a pure grounded theory </w:t>
      </w:r>
      <w:r w:rsidR="009E6F6F">
        <w:lastRenderedPageBreak/>
        <w:t xml:space="preserve">study. Grounded theory has been introduced and explored in chapter three to explain the tools and where the theory emerged from then tools to facilitate thematic analysis employed throughout data analysis. </w:t>
      </w:r>
    </w:p>
    <w:p w14:paraId="62B65593" w14:textId="77777777" w:rsidR="009E6F6F" w:rsidRDefault="009E6F6F" w:rsidP="009E6F6F">
      <w:r>
        <w:t xml:space="preserve">In terms of gender, there were more female than male undergraduates in the study groups (67 vs. 27). This was representative of current demographics related to undergraduate medical students, so felt to be acceptable, though acknowledged that some significant gender differences may have been missed or under-represented in males </w:t>
      </w:r>
      <w:r>
        <w:fldChar w:fldCharType="begin"/>
      </w:r>
      <w:r>
        <w:instrText xml:space="preserve"> ADDIN EN.CITE &lt;EndNote&gt;&lt;Cite&gt;&lt;Author&gt;Gibson&lt;/Author&gt;&lt;Year&gt;2011&lt;/Year&gt;&lt;IDText&gt;The shifting landscape: how undergraduate students have changed. In: Cavenagh P, Leinster SJ, Miles S, editors. The changing face of medical education.&lt;/IDText&gt;&lt;DisplayText&gt;(Sandra and Laura, 2011)&lt;/DisplayText&gt;&lt;record&gt;&lt;contributors&gt;&lt;tertiary-authors&gt;&lt;author&gt;Cavenagh P,&lt;/author&gt;&lt;author&gt;Leinster S. J&lt;/author&gt;&lt;author&gt;Miles S&lt;/author&gt;&lt;/tertiary-authors&gt;&lt;/contributors&gt;&lt;titles&gt;&lt;title&gt;The shifting landscape: how undergraduate students have changed. In: Cavenagh P, Leinster SJ, Miles S, editors. The changing face of medical education.&lt;/title&gt;&lt;/titles&gt;&lt;pages&gt;51-63&lt;/pages&gt;&lt;contributors&gt;&lt;authors&gt;&lt;author&gt;Gibson Sandra&lt;/author&gt;&lt;author&gt;Bowater Laura&lt;/author&gt;&lt;/authors&gt;&lt;/contributors&gt;&lt;added-date format="utc"&gt;1456225468&lt;/added-date&gt;&lt;pub-location&gt;Abingdon&lt;/pub-location&gt;&lt;ref-type name="Book Section"&gt;5&lt;/ref-type&gt;&lt;dates&gt;&lt;year&gt;2011&lt;/year&gt;&lt;/dates&gt;&lt;rec-number&gt;197&lt;/rec-number&gt;&lt;publisher&gt;Radcliffe&lt;/publisher&gt;&lt;last-updated-date format="utc"&gt;1456225731&lt;/last-updated-date&gt;&lt;/record&gt;&lt;/Cite&gt;&lt;/EndNote&gt;</w:instrText>
      </w:r>
      <w:r>
        <w:fldChar w:fldCharType="separate"/>
      </w:r>
      <w:r>
        <w:rPr>
          <w:noProof/>
        </w:rPr>
        <w:t>(Sandra and Laura, 2011)</w:t>
      </w:r>
      <w:r>
        <w:fldChar w:fldCharType="end"/>
      </w:r>
      <w:r>
        <w:t xml:space="preserve">. Exploration between sexes related to preparedness was beyond the scope of this study but it was important to have representation from both genders to support generalisability and be true to current demographics. </w:t>
      </w:r>
    </w:p>
    <w:p w14:paraId="07FDC28B" w14:textId="77777777" w:rsidR="009E6F6F" w:rsidRDefault="009E6F6F" w:rsidP="009E6F6F">
      <w:r>
        <w:t xml:space="preserve">The use of confidence as a marker of self-rated prospective preparedness was attempted to be avoided by trying to employ the concept of self-rated capability as proposed by Bandura </w:t>
      </w:r>
      <w:r>
        <w:fldChar w:fldCharType="begin"/>
      </w:r>
      <w:r>
        <w:instrText xml:space="preserve"> ADDIN EN.CITE &lt;EndNote&gt;&lt;Cite&gt;&lt;Author&gt;Bandura&lt;/Author&gt;&lt;Year&gt;1977&lt;/Year&gt;&lt;IDText&gt;Self-efficacy: toward a unifying theory of behavioral change&lt;/IDText&gt;&lt;DisplayText&gt;(Bandura, 1977)&lt;/DisplayText&gt;&lt;record&gt;&lt;dates&gt;&lt;pub-dates&gt;&lt;date&gt;Mar&lt;/date&gt;&lt;/pub-dates&gt;&lt;year&gt;1977&lt;/year&gt;&lt;/dates&gt;&lt;keywords&gt;&lt;keyword&gt;Behavior Therapy&lt;/keyword&gt;&lt;keyword&gt;Cognition&lt;/keyword&gt;&lt;keyword&gt;Defense Mechanisms&lt;/keyword&gt;&lt;keyword&gt;Humans&lt;/keyword&gt;&lt;keyword&gt;Inhibition (Psychology)&lt;/keyword&gt;&lt;keyword&gt;Mental Disorders&lt;/keyword&gt;&lt;keyword&gt;Models, Psychological&lt;/keyword&gt;&lt;keyword&gt;Probability&lt;/keyword&gt;&lt;keyword&gt;Psychotherapy&lt;/keyword&gt;&lt;keyword&gt;Self Concept&lt;/keyword&gt;&lt;/keywords&gt;&lt;urls&gt;&lt;related-urls&gt;&lt;url&gt;http://www.ncbi.nlm.nih.gov/pubmed/847061&lt;/url&gt;&lt;/related-urls&gt;&lt;/urls&gt;&lt;isbn&gt;0033-295X&lt;/isbn&gt;&lt;titles&gt;&lt;title&gt;Self-efficacy: toward a unifying theory of behavioral change&lt;/title&gt;&lt;secondary-title&gt;Psychol Rev&lt;/secondary-title&gt;&lt;/titles&gt;&lt;pages&gt;191-215&lt;/pages&gt;&lt;number&gt;2&lt;/number&gt;&lt;contributors&gt;&lt;authors&gt;&lt;author&gt;Bandura, A.&lt;/author&gt;&lt;/authors&gt;&lt;/contributors&gt;&lt;language&gt;eng&lt;/language&gt;&lt;added-date format="utc"&gt;1457009314&lt;/added-date&gt;&lt;ref-type name="Journal Article"&gt;17&lt;/ref-type&gt;&lt;rec-number&gt;215&lt;/rec-number&gt;&lt;last-updated-date format="utc"&gt;1457009314&lt;/last-updated-date&gt;&lt;accession-num&gt;847061&lt;/accession-num&gt;&lt;volume&gt;84&lt;/volume&gt;&lt;/record&gt;&lt;/Cite&gt;&lt;/EndNote&gt;</w:instrText>
      </w:r>
      <w:r>
        <w:fldChar w:fldCharType="separate"/>
      </w:r>
      <w:r>
        <w:rPr>
          <w:noProof/>
        </w:rPr>
        <w:t>(Bandura, 1977)</w:t>
      </w:r>
      <w:r>
        <w:fldChar w:fldCharType="end"/>
      </w:r>
      <w:r>
        <w:t xml:space="preserve">. However as described in the design of the intervention (Chapter 5), students were unable to assess and complete capability assessments for items they had not performed. Preparedness has been described as having ‘good face validity’, however no significant correlations between preparedness and published ratings of medical schools in the UK has been demonstrated </w:t>
      </w:r>
      <w:r>
        <w:fldChar w:fldCharType="begin"/>
      </w:r>
      <w:r>
        <w:instrText xml:space="preserve"> ADDIN EN.CITE &lt;EndNote&gt;&lt;Cite&gt;&lt;Author&gt;Cave&lt;/Author&gt;&lt;Year&gt;2009&lt;/Year&gt;&lt;IDText&gt;Easing the transition from student to doctor: how can medical schools help prepare their graduates for starting work?&lt;/IDText&gt;&lt;DisplayText&gt;(Cave et al., 2009)&lt;/DisplayText&gt;&lt;record&gt;&lt;dates&gt;&lt;pub-dates&gt;&lt;date&gt;May&lt;/date&gt;&lt;/pub-dates&gt;&lt;year&gt;2009&lt;/year&gt;&lt;/dates&gt;&lt;keywords&gt;&lt;keyword&gt;Clinical Competence&lt;/keyword&gt;&lt;keyword&gt;Employment&lt;/keyword&gt;&lt;keyword&gt;Female&lt;/keyword&gt;&lt;keyword&gt;Great Britain&lt;/keyword&gt;&lt;keyword&gt;Humans&lt;/keyword&gt;&lt;keyword&gt;Male&lt;/keyword&gt;&lt;keyword&gt;Schools, Medical&lt;/keyword&gt;&lt;keyword&gt;Students, Medical&lt;/keyword&gt;&lt;keyword&gt;Surveys and Questionnaires&lt;/keyword&gt;&lt;/keywords&gt;&lt;urls&gt;&lt;related-urls&gt;&lt;url&gt;http://www.ncbi.nlm.nih.gov/pubmed/19142797&lt;/url&gt;&lt;/related-urls&gt;&lt;/urls&gt;&lt;isbn&gt;1466-187X&lt;/isbn&gt;&lt;titles&gt;&lt;title&gt;Easing the transition from student to doctor: how can medical schools help prepare their graduates for starting work?&lt;/title&gt;&lt;secondary-title&gt;Med Teach&lt;/secondary-title&gt;&lt;/titles&gt;&lt;pages&gt;403-8&lt;/pages&gt;&lt;number&gt;5&lt;/number&gt;&lt;contributors&gt;&lt;authors&gt;&lt;author&gt;Cave, J.&lt;/author&gt;&lt;author&gt;Woolf, K.&lt;/author&gt;&lt;author&gt;Jones, A.&lt;/author&gt;&lt;author&gt;Dacre, J.&lt;/author&gt;&lt;/authors&gt;&lt;/contributors&gt;&lt;language&gt;eng&lt;/language&gt;&lt;added-date format="utc"&gt;1455791110&lt;/added-date&gt;&lt;ref-type name="Journal Article"&gt;17&lt;/ref-type&gt;&lt;rec-number&gt;187&lt;/rec-number&gt;&lt;last-updated-date format="utc"&gt;1455791110&lt;/last-updated-date&gt;&lt;accession-num&gt;19142797&lt;/accession-num&gt;&lt;electronic-resource-num&gt;10.1080/01421590802348127&lt;/electronic-resource-num&gt;&lt;volume&gt;31&lt;/volume&gt;&lt;/record&gt;&lt;/Cite&gt;&lt;/EndNote&gt;</w:instrText>
      </w:r>
      <w:r>
        <w:fldChar w:fldCharType="separate"/>
      </w:r>
      <w:r>
        <w:rPr>
          <w:noProof/>
        </w:rPr>
        <w:t>(Cave et al., 2009)</w:t>
      </w:r>
      <w:r>
        <w:fldChar w:fldCharType="end"/>
      </w:r>
      <w:r>
        <w:t xml:space="preserve">. The relationships between preparedness confidence and competence have been found to be complex and not fully described or explained </w:t>
      </w:r>
      <w:r>
        <w:fldChar w:fldCharType="begin"/>
      </w:r>
      <w:r>
        <w:instrText xml:space="preserve"> ADDIN EN.CITE &lt;EndNote&gt;&lt;Cite&gt;&lt;Author&gt;Fox&lt;/Author&gt;&lt;Year&gt;2000&lt;/Year&gt;&lt;IDText&gt;A study of pre-registration house officers&amp;apos; clinical skills&lt;/IDText&gt;&lt;DisplayText&gt;(Fox et al., 2000)&lt;/DisplayText&gt;&lt;record&gt;&lt;dates&gt;&lt;pub-dates&gt;&lt;date&gt;Dec&lt;/date&gt;&lt;/pub-dates&gt;&lt;year&gt;2000&lt;/year&gt;&lt;/dates&gt;&lt;keywords&gt;&lt;keyword&gt;Adult&lt;/keyword&gt;&lt;keyword&gt;Clinical Competence&lt;/keyword&gt;&lt;keyword&gt;Education, Medical, Graduate&lt;/keyword&gt;&lt;keyword&gt;Female&lt;/keyword&gt;&lt;keyword&gt;Humans&lt;/keyword&gt;&lt;keyword&gt;London&lt;/keyword&gt;&lt;keyword&gt;Male&lt;/keyword&gt;&lt;keyword&gt;Medical Staff, Hospital&lt;/keyword&gt;&lt;/keywords&gt;&lt;urls&gt;&lt;related-urls&gt;&lt;url&gt;https://www.ncbi.nlm.nih.gov/pubmed/11123564&lt;/url&gt;&lt;/related-urls&gt;&lt;/urls&gt;&lt;isbn&gt;0308-0110&lt;/isbn&gt;&lt;titles&gt;&lt;title&gt;A study of pre-registration house officers&amp;apos; clinical skills&lt;/title&gt;&lt;secondary-title&gt;Med Educ&lt;/secondary-title&gt;&lt;/titles&gt;&lt;pages&gt;1007-12&lt;/pages&gt;&lt;number&gt;12&lt;/number&gt;&lt;contributors&gt;&lt;authors&gt;&lt;author&gt;Fox, R. A.&lt;/author&gt;&lt;author&gt;Ingham Clark, C. L.&lt;/author&gt;&lt;author&gt;Scotland, A. D.&lt;/author&gt;&lt;author&gt;Dacre, J. E.&lt;/author&gt;&lt;/authors&gt;&lt;/contributors&gt;&lt;language&gt;eng&lt;/language&gt;&lt;added-date format="utc"&gt;1472726087&lt;/added-date&gt;&lt;ref-type name="Journal Article"&gt;17&lt;/ref-type&gt;&lt;rec-number&gt;292&lt;/rec-number&gt;&lt;last-updated-date format="utc"&gt;1472726087&lt;/last-updated-date&gt;&lt;accession-num&gt;11123564&lt;/accession-num&gt;&lt;volume&gt;34&lt;/volume&gt;&lt;/record&gt;&lt;/Cite&gt;&lt;/EndNote&gt;</w:instrText>
      </w:r>
      <w:r>
        <w:fldChar w:fldCharType="separate"/>
      </w:r>
      <w:r>
        <w:rPr>
          <w:noProof/>
        </w:rPr>
        <w:t>(Fox et al., 2000)</w:t>
      </w:r>
      <w:r>
        <w:fldChar w:fldCharType="end"/>
      </w:r>
      <w:r>
        <w:t xml:space="preserve">. Confidence did appear to be related to competence and this is echoed in other studies </w:t>
      </w:r>
      <w:r>
        <w:fldChar w:fldCharType="begin">
          <w:fldData xml:space="preserve">PEVuZE5vdGU+PENpdGU+PEF1dGhvcj5TdGV3YXJ0PC9BdXRob3I+PFllYXI+MjAwMDwvWWVhcj48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</w:fldData>
        </w:fldChar>
      </w:r>
      <w:r>
        <w:instrText xml:space="preserve"> ADDIN EN.CITE </w:instrText>
      </w:r>
      <w:r>
        <w:fldChar w:fldCharType="begin">
          <w:fldData xml:space="preserve">PEVuZE5vdGU+PENpdGU+PEF1dGhvcj5TdGV3YXJ0PC9BdXRob3I+PFllYXI+MjAwMDwvWWVhcj48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</w:fldData>
        </w:fldChar>
      </w:r>
      <w:r>
        <w:instrText xml:space="preserve"> ADDIN EN.CITE.DATA </w:instrText>
      </w:r>
      <w:r>
        <w:fldChar w:fldCharType="end"/>
      </w:r>
      <w:r>
        <w:fldChar w:fldCharType="separate"/>
      </w:r>
      <w:r>
        <w:rPr>
          <w:noProof/>
        </w:rPr>
        <w:t>(Stewart et al., 2000, Schubert et al., 1999)</w:t>
      </w:r>
      <w:r>
        <w:fldChar w:fldCharType="end"/>
      </w:r>
      <w:r>
        <w:t xml:space="preserve">. However some refute that self-assessment is linked to competence </w:t>
      </w:r>
      <w:r>
        <w:fldChar w:fldCharType="begin">
          <w:fldData xml:space="preserve">PEVuZE5vdGU+PENpdGU+PEF1dGhvcj5DYXNwaTwvQXV0aG9yPjxZZWFyPjIwMDY8L1llYXI+PElE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</w:fldData>
        </w:fldChar>
      </w:r>
      <w:r>
        <w:instrText xml:space="preserve"> ADDIN EN.CITE </w:instrText>
      </w:r>
      <w:r>
        <w:fldChar w:fldCharType="begin">
          <w:fldData xml:space="preserve">PEVuZE5vdGU+PENpdGU+PEF1dGhvcj5DYXNwaTwvQXV0aG9yPjxZZWFyPjIwMDY8L1llYXI+PElE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</w:fldData>
        </w:fldChar>
      </w:r>
      <w:r>
        <w:instrText xml:space="preserve"> ADDIN EN.CITE.DATA </w:instrText>
      </w:r>
      <w:r>
        <w:fldChar w:fldCharType="end"/>
      </w:r>
      <w:r>
        <w:fldChar w:fldCharType="separate"/>
      </w:r>
      <w:r>
        <w:rPr>
          <w:noProof/>
        </w:rPr>
        <w:t>(Caspi et al., 2006, Gordon, 1991)</w:t>
      </w:r>
      <w:r>
        <w:fldChar w:fldCharType="end"/>
      </w:r>
      <w:r>
        <w:t xml:space="preserve">. Self-assessment has been </w:t>
      </w:r>
      <w:r>
        <w:lastRenderedPageBreak/>
        <w:t xml:space="preserve">criticised owing to its subjective nature, however self-evaluation has been found to be important for reflection, development of self-regulation and of professional behaviour </w:t>
      </w:r>
      <w:r>
        <w:fldChar w:fldCharType="begin">
          <w:fldData xml:space="preserve">PEVuZE5vdGU+PENpdGU+PEF1dGhvcj5TdGV3YXJ0PC9BdXRob3I+PFllYXI+MjAwMDwvWWVhcj48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</w:fldData>
        </w:fldChar>
      </w:r>
      <w:r>
        <w:instrText xml:space="preserve"> ADDIN EN.CITE </w:instrText>
      </w:r>
      <w:r>
        <w:fldChar w:fldCharType="begin">
          <w:fldData xml:space="preserve">PEVuZE5vdGU+PENpdGU+PEF1dGhvcj5TdGV3YXJ0PC9BdXRob3I+PFllYXI+MjAwMDwvWWVhcj48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</w:fldData>
        </w:fldChar>
      </w:r>
      <w:r>
        <w:instrText xml:space="preserve"> ADDIN EN.CITE.DATA </w:instrText>
      </w:r>
      <w:r>
        <w:fldChar w:fldCharType="end"/>
      </w:r>
      <w:r>
        <w:fldChar w:fldCharType="separate"/>
      </w:r>
      <w:r>
        <w:rPr>
          <w:noProof/>
        </w:rPr>
        <w:t>(Stewart et al., 2000, Eva and Regehr, 2005, Arnold et al., 1985)</w:t>
      </w:r>
      <w:r>
        <w:fldChar w:fldCharType="end"/>
      </w:r>
      <w:r>
        <w:t xml:space="preserve">. </w:t>
      </w:r>
    </w:p>
    <w:p w14:paraId="2D1D15AE" w14:textId="50CFBAC7" w:rsidR="009E6F6F" w:rsidRDefault="009E6F6F" w:rsidP="009E6F6F">
      <w:r>
        <w:t xml:space="preserve">Confidence is complex and may not be a linear construct. However, it does provide a marker of readiness to engage and was found to be enhanced through belonging, understanding of expectations and practice with structured debriefing. Confidence is important where; if an individual fails that they will try again. It is likely to be linked to emotional intelligence, mental toughness and improved health and wellbeing. Confidence levels are crucial to new doctors transitioning into unfamiliar settings, though caution is advocated for those less able to evaluate risk. Emphasis was on self-assessment in terms of limitations, strengths and weaknesses, and development of self-regulation. </w:t>
      </w:r>
      <w:r w:rsidR="00B159B8">
        <w:t xml:space="preserve">This was through </w:t>
      </w:r>
      <w:r w:rsidR="001150AF">
        <w:t>consequence</w:t>
      </w:r>
      <w:r w:rsidR="00B159B8">
        <w:t xml:space="preserve"> learning and reflection </w:t>
      </w:r>
      <w:r w:rsidR="006B116A">
        <w:t>‘</w:t>
      </w:r>
      <w:r w:rsidR="00B159B8">
        <w:t>in action</w:t>
      </w:r>
      <w:r w:rsidR="006B116A">
        <w:t>’</w:t>
      </w:r>
      <w:r w:rsidR="00B159B8">
        <w:t xml:space="preserve"> during scenarios and </w:t>
      </w:r>
      <w:r w:rsidR="006B116A">
        <w:t>‘</w:t>
      </w:r>
      <w:r w:rsidR="00B159B8">
        <w:t xml:space="preserve">on </w:t>
      </w:r>
      <w:r w:rsidR="006B116A">
        <w:t xml:space="preserve">action’ during the debrief stage </w:t>
      </w:r>
      <w:r w:rsidR="006B116A">
        <w:fldChar w:fldCharType="begin"/>
      </w:r>
      <w:r w:rsidR="006B116A">
        <w:instrText xml:space="preserve"> ADDIN EN.CITE &lt;EndNote&gt;&lt;Cite&gt;&lt;Author&gt;Schön&lt;/Author&gt;&lt;Year&gt;1983&lt;/Year&gt;&lt;IDText&gt;The Reflective Practitioner&lt;/IDText&gt;&lt;DisplayText&gt;(Schön, 1983)&lt;/DisplayText&gt;&lt;record&gt;&lt;titles&gt;&lt;title&gt;The Reflective Practitioner&lt;/title&gt;&lt;/titles&gt;&lt;contributors&gt;&lt;authors&gt;&lt;author&gt;Schön, D&lt;/author&gt;&lt;/authors&gt;&lt;/contributors&gt;&lt;added-date format="utc"&gt;1459258081&lt;/added-date&gt;&lt;pub-location&gt;New York&lt;/pub-location&gt;&lt;ref-type name="Book"&gt;6&lt;/ref-type&gt;&lt;dates&gt;&lt;year&gt;1983&lt;/year&gt;&lt;/dates&gt;&lt;rec-number&gt;239&lt;/rec-number&gt;&lt;publisher&gt;Basic Books&lt;/publisher&gt;&lt;last-updated-date format="utc"&gt;1505899028&lt;/last-updated-date&gt;&lt;/record&gt;&lt;/Cite&gt;&lt;/EndNote&gt;</w:instrText>
      </w:r>
      <w:r w:rsidR="006B116A">
        <w:fldChar w:fldCharType="separate"/>
      </w:r>
      <w:r w:rsidR="006B116A">
        <w:rPr>
          <w:noProof/>
        </w:rPr>
        <w:t>(Schön, 1983)</w:t>
      </w:r>
      <w:r w:rsidR="006B116A">
        <w:fldChar w:fldCharType="end"/>
      </w:r>
      <w:r w:rsidR="006B116A">
        <w:t>. P</w:t>
      </w:r>
      <w:r w:rsidR="00B159B8">
        <w:t>ersonal learning occurred</w:t>
      </w:r>
      <w:r w:rsidR="006B116A">
        <w:t xml:space="preserve"> and insight in how to use strengths and weaknesses</w:t>
      </w:r>
      <w:r w:rsidR="00B159B8">
        <w:t xml:space="preserve"> to enhance performance. </w:t>
      </w:r>
      <w:r>
        <w:t xml:space="preserve">The message appears that confidence and competence are both important when considering preparedness, development of professional practice and self-regulatory skills. Gordon (1991) reports that because ‘valid self-assessment is fundamental to continuing professional competence’, it should be explicitly taught </w:t>
      </w:r>
      <w:r>
        <w:fldChar w:fldCharType="begin"/>
      </w:r>
      <w:r>
        <w:instrText xml:space="preserve"> ADDIN EN.CITE &lt;EndNote&gt;&lt;Cite&gt;&lt;Author&gt;Gordon&lt;/Author&gt;&lt;Year&gt;1991&lt;/Year&gt;&lt;IDText&gt;A review of the validity and accuracy of self-assessments in health professions training&lt;/IDText&gt;&lt;DisplayText&gt;(Gordon, 1991)&lt;/DisplayText&gt;&lt;record&gt;&lt;dates&gt;&lt;pub-dates&gt;&lt;date&gt;Dec&lt;/date&gt;&lt;/pub-dates&gt;&lt;year&gt;1991&lt;/year&gt;&lt;/dates&gt;&lt;keywords&gt;&lt;keyword&gt;Health Personnel&lt;/keyword&gt;&lt;keyword&gt;Reproducibility of Results&lt;/keyword&gt;&lt;keyword&gt;Self-Assessment&lt;/keyword&gt;&lt;keyword&gt;Self-Evaluation Programs&lt;/keyword&gt;&lt;/keywords&gt;&lt;urls&gt;&lt;related-urls&gt;&lt;url&gt;http://www.ncbi.nlm.nih.gov/pubmed/1750956&lt;/url&gt;&lt;/related-urls&gt;&lt;/urls&gt;&lt;isbn&gt;1040-2446&lt;/isbn&gt;&lt;titles&gt;&lt;title&gt;A review of the validity and accuracy of self-assessments in health professions training&lt;/title&gt;&lt;secondary-title&gt;Acad Med&lt;/secondary-title&gt;&lt;/titles&gt;&lt;pages&gt;762-9&lt;/pages&gt;&lt;number&gt;12&lt;/number&gt;&lt;contributors&gt;&lt;authors&gt;&lt;author&gt;Gordon, M. J.&lt;/author&gt;&lt;/authors&gt;&lt;/contributors&gt;&lt;language&gt;eng&lt;/language&gt;&lt;added-date format="utc"&gt;1456825068&lt;/added-date&gt;&lt;ref-type name="Journal Article"&gt;17&lt;/ref-type&gt;&lt;rec-number&gt;200&lt;/rec-number&gt;&lt;last-updated-date format="utc"&gt;1456825068&lt;/last-updated-date&gt;&lt;accession-num&gt;1750956&lt;/accession-num&gt;&lt;volume&gt;66&lt;/volume&gt;&lt;/record&gt;&lt;/Cite&gt;&lt;/EndNote&gt;</w:instrText>
      </w:r>
      <w:r>
        <w:fldChar w:fldCharType="separate"/>
      </w:r>
      <w:r>
        <w:rPr>
          <w:noProof/>
        </w:rPr>
        <w:t>(Gordon, 1991)</w:t>
      </w:r>
      <w:r>
        <w:fldChar w:fldCharType="end"/>
      </w:r>
      <w:r>
        <w:t xml:space="preserve">. Considerations about gender, experience and emotion are highlighted as important when designing interventions, with particular focus on feedback, where overconfidence in ability is suggested due to ‘low-quality or lack of feedback’ </w:t>
      </w:r>
      <w:r>
        <w:fldChar w:fldCharType="begin">
          <w:fldData xml:space="preserve">PEVuZE5vdGU+PENpdGU+PEF1dGhvcj5TY2h3YXJ0ejwvQXV0aG9yPjxZZWFyPjE5OTM8L1llYXI+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</w:fldData>
        </w:fldChar>
      </w:r>
      <w:r>
        <w:instrText xml:space="preserve"> ADDIN EN.CITE </w:instrText>
      </w:r>
      <w:r>
        <w:fldChar w:fldCharType="begin">
          <w:fldData xml:space="preserve">PEVuZE5vdGU+PENpdGU+PEF1dGhvcj5TY2h3YXJ0ejwvQXV0aG9yPjxZZWFyPjE5OTM8L1llYXI+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</w:fldData>
        </w:fldChar>
      </w:r>
      <w:r>
        <w:instrText xml:space="preserve"> ADDIN EN.CITE.DATA </w:instrText>
      </w:r>
      <w:r>
        <w:fldChar w:fldCharType="end"/>
      </w:r>
      <w:r>
        <w:fldChar w:fldCharType="separate"/>
      </w:r>
      <w:r>
        <w:rPr>
          <w:noProof/>
        </w:rPr>
        <w:t>(Schwartz and Griffin, 1993, Colbert-Getz et al., 2013)</w:t>
      </w:r>
      <w:r>
        <w:fldChar w:fldCharType="end"/>
      </w:r>
      <w:r>
        <w:t>.</w:t>
      </w:r>
    </w:p>
    <w:p w14:paraId="4FD57D1E" w14:textId="64CB489B" w:rsidR="009E6F6F" w:rsidRDefault="009E6F6F" w:rsidP="009E6F6F">
      <w:r>
        <w:lastRenderedPageBreak/>
        <w:t>Two UK universities were explored in this study, yielding different numbers. These were chosen more for pr</w:t>
      </w:r>
      <w:r w:rsidR="00787C4E">
        <w:t>actical reasons for the links I</w:t>
      </w:r>
      <w:r>
        <w:t xml:space="preserve"> had and access to educational teams, facilities and equipment. Students were familiar with the settings and this was important for comfort and security when exposing them to realistic workplace based pressures th</w:t>
      </w:r>
      <w:r w:rsidR="00787C4E">
        <w:t>r</w:t>
      </w:r>
      <w:r>
        <w:t>ough recreating of the clinical environment as much as po</w:t>
      </w:r>
      <w:r w:rsidR="00787C4E">
        <w:t>ssible. I</w:t>
      </w:r>
      <w:r>
        <w:t xml:space="preserve"> felt that it would be useful to have two universities to allow an element of comparison and add rigor. There were initial plans to consider running the study in further UK medical schools</w:t>
      </w:r>
      <w:r w:rsidR="009437B8">
        <w:t>,</w:t>
      </w:r>
      <w:r>
        <w:t xml:space="preserve"> however once power had been reached for the quantitative data it was recognised that really the focus was now understanding preparedness</w:t>
      </w:r>
      <w:r w:rsidR="005D5C30">
        <w:t xml:space="preserve"> through qualitative approaches</w:t>
      </w:r>
      <w:r>
        <w:t>. In addition</w:t>
      </w:r>
      <w:r w:rsidR="009437B8">
        <w:t>,</w:t>
      </w:r>
      <w:r>
        <w:t xml:space="preserve"> how to achieve it and </w:t>
      </w:r>
      <w:r w:rsidR="00FF1C23">
        <w:t xml:space="preserve">whether a </w:t>
      </w:r>
      <w:r>
        <w:t xml:space="preserve">simulation </w:t>
      </w:r>
      <w:r w:rsidR="00FF1C23">
        <w:t>based curriculum can offer value added support to achieving satisfactory preparedness of future doctors</w:t>
      </w:r>
      <w:r>
        <w:t xml:space="preserve">. This could not be answered by more quantitative measures so decision was made for the next stage to be interviews of </w:t>
      </w:r>
      <w:proofErr w:type="spellStart"/>
      <w:r>
        <w:t>medial</w:t>
      </w:r>
      <w:proofErr w:type="spellEnd"/>
      <w:r>
        <w:t xml:space="preserve"> education and simulation experts. Some may query as to whether this stage was necessary in an already large mixed methods study. I feel strongly that it was necessary owing to the need for additional credibility and experience from multiple stakeholders to consider how to integrate simulation education in the undergraduate curriculum to help enhance preparedness. At</w:t>
      </w:r>
      <w:r w:rsidR="00787C4E">
        <w:t xml:space="preserve"> this stage I </w:t>
      </w:r>
      <w:r>
        <w:t>only had limited experience of simulation and medical education having only done two years as a clinical lecturer and a year of a simulation and clinical leadership fellowship, compared with th</w:t>
      </w:r>
      <w:r w:rsidR="00FF1C23">
        <w:t xml:space="preserve">e many </w:t>
      </w:r>
      <w:proofErr w:type="spellStart"/>
      <w:r w:rsidR="00FF1C23">
        <w:t>years experience</w:t>
      </w:r>
      <w:proofErr w:type="spellEnd"/>
      <w:r w:rsidR="00FF1C23">
        <w:t xml:space="preserve"> the interviewees</w:t>
      </w:r>
      <w:r>
        <w:t xml:space="preserve"> had. To not tap in to this as a resource would have been a lack in my opinion and would have not allowed </w:t>
      </w:r>
      <w:r w:rsidR="00DB2DEE">
        <w:t>triangulation of student and other stakeholder perspective</w:t>
      </w:r>
      <w:r w:rsidR="00787C4E">
        <w:t>s. It was important to have studen</w:t>
      </w:r>
      <w:r w:rsidR="00DB2DEE">
        <w:t xml:space="preserve">t and expert views </w:t>
      </w:r>
      <w:r w:rsidR="00DB2DEE">
        <w:lastRenderedPageBreak/>
        <w:t>because many students</w:t>
      </w:r>
      <w:r>
        <w:t xml:space="preserve"> were unsure of ex</w:t>
      </w:r>
      <w:r w:rsidR="00DB2DEE">
        <w:t>pectations of FY1 and though some</w:t>
      </w:r>
      <w:r>
        <w:t xml:space="preserve"> experts interviewed </w:t>
      </w:r>
      <w:r w:rsidR="00DB2DEE">
        <w:t xml:space="preserve">were </w:t>
      </w:r>
      <w:r>
        <w:t xml:space="preserve">FY1s a long time ago, they still had direct </w:t>
      </w:r>
      <w:r w:rsidR="00DB2DEE">
        <w:t>experience with FY1s and were familiar with what was</w:t>
      </w:r>
      <w:r>
        <w:t xml:space="preserve"> expected of them on the ward. They had experience in education and the NHS in understanding the complexity of both. Role modelling, leading b</w:t>
      </w:r>
      <w:r w:rsidR="00787C4E">
        <w:t>y example and engagement in my</w:t>
      </w:r>
      <w:r>
        <w:t xml:space="preserve"> opinion are central to making potential changes so the interviews were felt to be key to the study. </w:t>
      </w:r>
    </w:p>
    <w:p w14:paraId="4C2DB79F" w14:textId="0648F5FF" w:rsidR="009E6F6F" w:rsidRDefault="009E6F6F" w:rsidP="009E6F6F">
      <w:r>
        <w:t>Equal numbers of students and additional universities may have allowed further exploration and comparison of different curricula. The purpose of this study was however, to allow a deeper understanding of preparedness for practice and how that could be enhanced using simulation as an educational methodology. Curricular differences have been addressed in the literatu</w:t>
      </w:r>
      <w:r w:rsidR="00DB2DEE">
        <w:t xml:space="preserve">re as reviewed in chapter 2. Increase of the quantity of data </w:t>
      </w:r>
      <w:r w:rsidR="00345C07">
        <w:t>gathered</w:t>
      </w:r>
      <w:r w:rsidR="00DB2DEE">
        <w:t xml:space="preserve"> would have </w:t>
      </w:r>
      <w:r w:rsidR="00345C07">
        <w:t>posed challenges</w:t>
      </w:r>
      <w:r w:rsidR="00DB2DEE">
        <w:t xml:space="preserve"> to appropriate in-depth analysis within the time fr</w:t>
      </w:r>
      <w:r w:rsidR="00F54ED4">
        <w:t>ame availa</w:t>
      </w:r>
      <w:r w:rsidR="00DB2DEE">
        <w:t xml:space="preserve">ble. </w:t>
      </w:r>
    </w:p>
    <w:p w14:paraId="10EA32CB" w14:textId="2310C23A" w:rsidR="009E6F6F" w:rsidRDefault="009E6F6F" w:rsidP="009E6F6F">
      <w:r>
        <w:t xml:space="preserve">In terms of the data collection through focus groups, it was a real challenge staying on top of transcribing comments when students made it clear they were not comfortable being recorded. At the point of recognising this it could have been better to </w:t>
      </w:r>
      <w:r w:rsidR="00345C07">
        <w:t>have</w:t>
      </w:r>
      <w:r>
        <w:t xml:space="preserve"> someone trained in short hand to take comments while the focus group was continuing. It was vital that students felt free to ta</w:t>
      </w:r>
      <w:r w:rsidR="00F54ED4">
        <w:t>lk without consequences to glean</w:t>
      </w:r>
      <w:r>
        <w:t xml:space="preserve"> true feelings and views. This should have allowed more truth and openness, how</w:t>
      </w:r>
      <w:r w:rsidR="00787C4E">
        <w:t>ever it meant it was hard for me</w:t>
      </w:r>
      <w:r>
        <w:t xml:space="preserve"> to keep track and guide the group, </w:t>
      </w:r>
      <w:r w:rsidR="00DB2DEE">
        <w:t xml:space="preserve">due to simultaneously </w:t>
      </w:r>
      <w:r>
        <w:t xml:space="preserve">taking notes and </w:t>
      </w:r>
      <w:r w:rsidR="00DB2DEE">
        <w:t>listening to participants who were speaking</w:t>
      </w:r>
      <w:r>
        <w:t xml:space="preserve">. One of the benefits of this was that there was a comfort in allowing silences and thinking time while I was making notes allowing time to </w:t>
      </w:r>
      <w:r>
        <w:lastRenderedPageBreak/>
        <w:t xml:space="preserve">reflect on each other’s views. If recorded, transcriptions would have been more exact with words and comments, however this would have been at the potential loss of honesty and ability for students to share true thoughts. </w:t>
      </w:r>
    </w:p>
    <w:p w14:paraId="03AB5C08" w14:textId="6967809B" w:rsidR="009E6F6F" w:rsidRDefault="009E6F6F" w:rsidP="009E6F6F">
      <w:r>
        <w:t>On reflection it may have been better to try to get more experience with focus group facilitation as it may have meant I could have improved on data collected. Perhaps an external researcher trained in focus group facilitation could have come to run the focus groups. This would have been off set with the rapport built with myself during the day and more difficulty w</w:t>
      </w:r>
      <w:r w:rsidR="00DB2DEE">
        <w:t>h</w:t>
      </w:r>
      <w:r>
        <w:t>en analysing</w:t>
      </w:r>
      <w:r w:rsidR="00DB2DEE">
        <w:t xml:space="preserve"> the data due to not being present and imbedded</w:t>
      </w:r>
      <w:r>
        <w:t xml:space="preserve"> and it is difficult to know what would have bee</w:t>
      </w:r>
      <w:r w:rsidR="00787C4E">
        <w:t>n</w:t>
      </w:r>
      <w:r>
        <w:t xml:space="preserve"> more beneficial to ensure the most robust data was collected. Fatigue may have been an issue and influenced </w:t>
      </w:r>
      <w:r w:rsidR="00DB2DEE">
        <w:t xml:space="preserve">the quality of the </w:t>
      </w:r>
      <w:r>
        <w:t>data owing to the focus groups being run after the courses. The</w:t>
      </w:r>
      <w:r w:rsidR="00F54ED4">
        <w:t xml:space="preserve"> </w:t>
      </w:r>
      <w:r w:rsidR="00DB2DEE">
        <w:t xml:space="preserve">focus groups were run straight after the </w:t>
      </w:r>
      <w:r w:rsidR="00FA344B">
        <w:t>simulation courses to</w:t>
      </w:r>
      <w:r>
        <w:t xml:space="preserve"> capture initial feelings and emotion following th</w:t>
      </w:r>
      <w:r w:rsidR="00FA344B">
        <w:t>e intervention and thoughts</w:t>
      </w:r>
      <w:r>
        <w:t xml:space="preserve"> about preparedness. Also for practical reasons of having the students together it meant the groups were familiar with each other and available. It could be argued that I could have performed less and on a different day so students and I were less tired, but then I may have got only the most motivated people attending rather than being able to sample the whole cohort of students taking part, which was felt to be important.</w:t>
      </w:r>
    </w:p>
    <w:p w14:paraId="5FF660EB" w14:textId="4A726064" w:rsidR="009E6F6F" w:rsidRDefault="009E6F6F" w:rsidP="009E6F6F">
      <w:r>
        <w:t xml:space="preserve">This research is also about me developing as a researcher and accountability. I certainly feel as though I have developed many skills and experienced many challenges to give me initial skills in both qualitative and quantitative research. </w:t>
      </w:r>
      <w:r w:rsidR="00FA344B">
        <w:t xml:space="preserve">In addition I have gained skills as an educator using SBME and in mentoring </w:t>
      </w:r>
      <w:r w:rsidR="00FA344B">
        <w:lastRenderedPageBreak/>
        <w:t xml:space="preserve">and supervision of junior doctors, which will be of great value to me as a consultant. </w:t>
      </w:r>
    </w:p>
    <w:p w14:paraId="09F0F230" w14:textId="19517630" w:rsidR="009E6F6F" w:rsidRDefault="009E6F6F" w:rsidP="009E6F6F">
      <w:r>
        <w:t>Due to the volume of data and multistage design another large challenge faced was the writing up</w:t>
      </w:r>
      <w:r w:rsidR="00FA344B">
        <w:t xml:space="preserve"> and to allow my thesis to be appealing to read</w:t>
      </w:r>
      <w:r w:rsidR="00787C4E">
        <w:t>. I</w:t>
      </w:r>
      <w:r>
        <w:t xml:space="preserve"> found the qualitative data analysis to be a real journey and felt important to take the reader on that journey, however from an outsider objective point of view this was not felt nece</w:t>
      </w:r>
      <w:r w:rsidR="00FA344B">
        <w:t xml:space="preserve">ssary and was easy to </w:t>
      </w:r>
      <w:proofErr w:type="spellStart"/>
      <w:r w:rsidR="00FA344B">
        <w:t>loose</w:t>
      </w:r>
      <w:proofErr w:type="spellEnd"/>
      <w:r w:rsidR="00FA344B">
        <w:t xml:space="preserve"> </w:t>
      </w:r>
      <w:r>
        <w:t>the main message</w:t>
      </w:r>
      <w:r w:rsidR="00FA344B">
        <w:t xml:space="preserve"> with the volume of data</w:t>
      </w:r>
      <w:r>
        <w:t xml:space="preserve">. Being so embedded in the research has made it hard to step </w:t>
      </w:r>
      <w:r w:rsidR="00787C4E">
        <w:t>back from it as it makes sense</w:t>
      </w:r>
      <w:r>
        <w:t xml:space="preserve"> </w:t>
      </w:r>
      <w:r w:rsidR="00787C4E">
        <w:t xml:space="preserve">to me, </w:t>
      </w:r>
      <w:r>
        <w:t xml:space="preserve">but having time and space away from the work and further objective feedback has helped </w:t>
      </w:r>
      <w:r w:rsidR="00787C4E">
        <w:t xml:space="preserve">me </w:t>
      </w:r>
      <w:r>
        <w:t>to try and reorganise the results and thesis</w:t>
      </w:r>
      <w:r w:rsidR="00F54ED4">
        <w:t xml:space="preserve"> with the aim of making it </w:t>
      </w:r>
      <w:r>
        <w:t>clear</w:t>
      </w:r>
      <w:r w:rsidR="00F54ED4">
        <w:t>er</w:t>
      </w:r>
      <w:r>
        <w:t xml:space="preserve">. </w:t>
      </w:r>
    </w:p>
    <w:p w14:paraId="7B87D49B" w14:textId="2C9B5A4D" w:rsidR="009E6F6F" w:rsidRDefault="009E6F6F" w:rsidP="009E6F6F">
      <w:r>
        <w:t>Utilisation of mixed methods in this study makes so mu</w:t>
      </w:r>
      <w:r w:rsidR="00FA344B">
        <w:t>ch sense to me, as they both serve</w:t>
      </w:r>
      <w:r>
        <w:t xml:space="preserve"> such different needs when reviewing impact of an intervention and understanding why and how it works. </w:t>
      </w:r>
      <w:r w:rsidR="00787C4E">
        <w:t>I have considered</w:t>
      </w:r>
      <w:r>
        <w:t xml:space="preserve"> whether mixed methods need to be seen in their own right as a separate research technique to qualitative and quantitative. I remain unsure </w:t>
      </w:r>
      <w:r w:rsidR="00787C4E">
        <w:t xml:space="preserve">that </w:t>
      </w:r>
      <w:r>
        <w:t xml:space="preserve">this is necessary. The main importance appears to be robust study design to address the research question and knowledge of the methods and why each has been selected with strengths and limitations acknowledged. Certainly those in teams and performing qualitative research with large data sets would be missing out hugely if they did not make use of the facilities of data management within framework in </w:t>
      </w:r>
      <w:proofErr w:type="spellStart"/>
      <w:r>
        <w:t>Nvivo</w:t>
      </w:r>
      <w:proofErr w:type="spellEnd"/>
      <w:r>
        <w:t xml:space="preserve"> and I hope previous views shared do not stifle the benefits of this to aid and support rigor and quality in qualitative research. </w:t>
      </w:r>
      <w:r w:rsidR="00FA344B">
        <w:t xml:space="preserve">It certainly helped me manage </w:t>
      </w:r>
      <w:r w:rsidR="00FA344B">
        <w:lastRenderedPageBreak/>
        <w:t xml:space="preserve">my data and allow transparency over demonstrating my technique for thematic </w:t>
      </w:r>
      <w:r w:rsidR="00345C07">
        <w:t>analysis</w:t>
      </w:r>
      <w:r w:rsidR="00FA344B">
        <w:t xml:space="preserve"> and ability to link back easily to original data for supporting quotes. </w:t>
      </w:r>
    </w:p>
    <w:p w14:paraId="24F42EDA" w14:textId="4142D7F3" w:rsidR="009E6F6F" w:rsidRDefault="009E6F6F" w:rsidP="009E6F6F">
      <w:r>
        <w:t xml:space="preserve">In my limited experience of mixed methods research I feel the main focus should be on help to support the writing up of studies that involve mixed methods. Perhaps the taxonomy of ‘Cresswell and Clark’ helps the reader feel there is added rigor and in recognising a design, there is an added comfort and trust. However on the other side there is a risk of making a study fit a taxonomy. Does it weaken the study if it does not fit </w:t>
      </w:r>
      <w:r w:rsidR="00C12C2D">
        <w:t xml:space="preserve">a particular taxonomy despite transparent </w:t>
      </w:r>
      <w:r>
        <w:t>robust methods? I find it difficult to understand the importance of making the study fit</w:t>
      </w:r>
      <w:r w:rsidR="00C12C2D">
        <w:t xml:space="preserve"> a particular taxonomy</w:t>
      </w:r>
      <w:r>
        <w:t xml:space="preserve">. The areas that emerged were considered and the design was built from the ground up, ensuring that the research question was being addressed and further study stages responded to this. It may be that this taxonomy is too rigid to allow for the flexibility required for an evolving iterative study and that the taxonomy is more suited to simpler study design that do not aim to explore more complex phenomena. Or it may be that because the researcher has little experience in study design and mixed methods that they have failed to make their study fit and this remains a limitation and flaw.  </w:t>
      </w:r>
    </w:p>
    <w:p w14:paraId="46B63471" w14:textId="5990F891" w:rsidR="009E6F6F" w:rsidRDefault="009E6F6F" w:rsidP="009E6F6F">
      <w:r>
        <w:t xml:space="preserve">It is important to make clear that a simulation mannequin and education centre were used here to allow consistency with response and ability to perform procedures in real time on the patient which is what happens on the ward, with authentic physiological and verbal responses form the patient. This was essential to bring in real time application of technical and non-technical skills and play out human factors elements to allow them to be experienced by </w:t>
      </w:r>
      <w:r>
        <w:lastRenderedPageBreak/>
        <w:t xml:space="preserve">participants and observed by peers. It also allowed for authentic roles with family present, nurses and wider team to </w:t>
      </w:r>
      <w:r w:rsidR="00471BED">
        <w:t>allow challenge of hierarchy. I certainly do</w:t>
      </w:r>
      <w:r>
        <w:t xml:space="preserve"> not see mannequins as the only</w:t>
      </w:r>
      <w:r w:rsidR="00471BED">
        <w:t xml:space="preserve"> form of simulation. I see</w:t>
      </w:r>
      <w:r w:rsidR="00C12C2D">
        <w:t xml:space="preserve"> simulation</w:t>
      </w:r>
      <w:r>
        <w:t xml:space="preserve"> as a vast and open resource to allow repetitive pr</w:t>
      </w:r>
      <w:r w:rsidR="00471BED">
        <w:t>actice with huge potential. I recognise and use cognitive simulation in my daily practice at work. I see</w:t>
      </w:r>
      <w:r>
        <w:t xml:space="preserve"> the importance of simulated patients but </w:t>
      </w:r>
      <w:proofErr w:type="spellStart"/>
      <w:r>
        <w:t>ove</w:t>
      </w:r>
      <w:r w:rsidR="00471BED">
        <w:t>r all</w:t>
      </w:r>
      <w:proofErr w:type="spellEnd"/>
      <w:r w:rsidR="00471BED">
        <w:t xml:space="preserve"> see</w:t>
      </w:r>
      <w:r>
        <w:t xml:space="preserve"> the value and need for practice under pressure, meaningful human factors education and responsibility</w:t>
      </w:r>
      <w:r w:rsidR="00471BED">
        <w:t xml:space="preserve"> in supporting preparedness. I do</w:t>
      </w:r>
      <w:r>
        <w:t xml:space="preserve"> not feel this has to </w:t>
      </w:r>
      <w:r w:rsidR="00471BED">
        <w:t xml:space="preserve">be through simulation and feel </w:t>
      </w:r>
      <w:r>
        <w:t>it would be better in the authentic environment. However, this does not allow controlled grading of pressure and ease of ability to intervene and tailor pressure and challenge to an individual learner, because patient safety has to r</w:t>
      </w:r>
      <w:r w:rsidR="00C12C2D">
        <w:t>emain the top priority. You can</w:t>
      </w:r>
      <w:r>
        <w:t>not ethically allow a consequence to be played out on the ward if unsafe just to allow powerful l</w:t>
      </w:r>
      <w:r w:rsidR="00C12C2D">
        <w:t>earning. Equally procedures can</w:t>
      </w:r>
      <w:r>
        <w:t xml:space="preserve">not be performed on simulated patients. The reality has to be addressed with which ever means creates the best psychological fidelity to feel responsible for another person. </w:t>
      </w:r>
    </w:p>
    <w:p w14:paraId="5706A552" w14:textId="77777777" w:rsidR="009E6F6F" w:rsidRDefault="009E6F6F" w:rsidP="009E6F6F">
      <w:r>
        <w:t>Simulation is complex, people are complex. This is an area of great interest and passion for me. Yes a mannequin has a plastic interface or ‘hypo realism’ but this study showed psychological fidelity was the most important over everything when it came to authenticity. The key to this was team buy in that this is a real patient you are looking after and then it became real. The importance of introduction to interfaces, environment, equipment and people whether simulated or real were key with clear pre brief and debrief required.</w:t>
      </w:r>
    </w:p>
    <w:p w14:paraId="35012590" w14:textId="08D273B6" w:rsidR="009E6F6F" w:rsidRDefault="009E6F6F" w:rsidP="009E6F6F">
      <w:r>
        <w:lastRenderedPageBreak/>
        <w:t>The emotional buy in to this work was unanticipa</w:t>
      </w:r>
      <w:r w:rsidR="00471BED">
        <w:t xml:space="preserve">ted. With putting everything I </w:t>
      </w:r>
      <w:r>
        <w:t>had in to it and it being a real passion did at times lead to feelings of fatigue and exposure, which could potentially influence the research. Researcher stance does have an impact and personality, views and interpretation are shared throughout this work. Personal challenge, potential failings and own personal weaknesses have been highlighted though this work and that can lead to a feeling of exposure an</w:t>
      </w:r>
      <w:r w:rsidR="00471BED">
        <w:t>d vulnerability, again areas I</w:t>
      </w:r>
      <w:r>
        <w:t xml:space="preserve"> was not prepared for. </w:t>
      </w:r>
    </w:p>
    <w:p w14:paraId="080AD8F0" w14:textId="77777777" w:rsidR="009E6F6F" w:rsidRDefault="009E6F6F" w:rsidP="009E6F6F">
      <w:r>
        <w:t xml:space="preserve">It is ironic this study is about preparedness and despite having felt I have learnt many lessons that are transferrable, I have still been left feeling underprepared for many aspects of the processes within this research. It is hoped this will make me stronger and better as an educator and potentially supporting others work and future research. </w:t>
      </w:r>
    </w:p>
    <w:p w14:paraId="7AB9A74E" w14:textId="0296E3D1" w:rsidR="00F51C61" w:rsidRPr="00FE0087" w:rsidRDefault="00F51C61" w:rsidP="00F51C61">
      <w:pPr>
        <w:rPr>
          <w:rFonts w:eastAsia="Times New Roman"/>
          <w:szCs w:val="24"/>
        </w:rPr>
      </w:pPr>
      <w:r w:rsidRPr="00FE0087">
        <w:rPr>
          <w:rFonts w:eastAsia="Times New Roman"/>
          <w:color w:val="222222"/>
          <w:szCs w:val="24"/>
          <w:shd w:val="clear" w:color="auto" w:fill="FFFFFF"/>
        </w:rPr>
        <w:t>I have understood how important reflective practice and reflexivity in medical educational research is.  The methods utilised require reflection on my experiences as well as about how my strengths and weaknesses impact on interactions with immediate environment as well as with the wider environment. A reflexive approach to the research process allowed me to challenge my own assumptions and potential biases and traditional methods in education. My reflective skills and reflexive approach t</w:t>
      </w:r>
      <w:r w:rsidR="00471BED">
        <w:rPr>
          <w:rFonts w:eastAsia="Times New Roman"/>
          <w:color w:val="222222"/>
          <w:szCs w:val="24"/>
          <w:shd w:val="clear" w:color="auto" w:fill="FFFFFF"/>
        </w:rPr>
        <w:t>o medical education research were</w:t>
      </w:r>
      <w:r w:rsidRPr="00FE0087">
        <w:rPr>
          <w:rFonts w:eastAsia="Times New Roman"/>
          <w:color w:val="222222"/>
          <w:szCs w:val="24"/>
          <w:shd w:val="clear" w:color="auto" w:fill="FFFFFF"/>
        </w:rPr>
        <w:t xml:space="preserve"> developed through the continuing conversations with the supervisors as well as through immersion into medical education research practice.  I have learnt the importance of valuing others and the need for time and space to be able to reflect. In addition, that reflection is a skill that needs to be learnt and facilitated within an organisation. It can be seen as a potential threat when challenging </w:t>
      </w:r>
      <w:r w:rsidRPr="00FE0087">
        <w:rPr>
          <w:rFonts w:eastAsia="Times New Roman"/>
          <w:color w:val="222222"/>
          <w:szCs w:val="24"/>
          <w:shd w:val="clear" w:color="auto" w:fill="FFFFFF"/>
        </w:rPr>
        <w:lastRenderedPageBreak/>
        <w:t>prevalent techniques, however it should be seen as opportunity to facilitate change, challenge techniques that may be traditional but that do not reflect the current world, culture and social responsibility. There needs to be support, openness and responsibility to facilitate potential change to enhance learning. This has been said to facilitate creative solutions and improve morale (Fook, 2002). Reflexivity is key in finding strategies to question thoughts, assumptions and attitudes to understand own roles and impact on learning and others.</w:t>
      </w:r>
    </w:p>
    <w:p w14:paraId="484D9477" w14:textId="0A9487DE" w:rsidR="009E6F6F" w:rsidRDefault="009E6F6F" w:rsidP="009E6F6F"/>
    <w:p w14:paraId="18922BED" w14:textId="038A18BE" w:rsidR="00923BD6" w:rsidRDefault="00224150" w:rsidP="00923BD6">
      <w:pPr>
        <w:sectPr w:rsidR="00923BD6" w:rsidSect="005F454B">
          <w:pgSz w:w="11900" w:h="16840"/>
          <w:pgMar w:top="1134" w:right="1134" w:bottom="1134" w:left="2268" w:header="1134" w:footer="1134" w:gutter="0"/>
          <w:cols w:space="708"/>
          <w:docGrid w:linePitch="360"/>
        </w:sectPr>
      </w:pPr>
      <w:r>
        <w:t xml:space="preserve"> </w:t>
      </w:r>
    </w:p>
    <w:p w14:paraId="75720E33" w14:textId="2A1D9CB8" w:rsidR="00243AB8" w:rsidRDefault="001D42C9" w:rsidP="006B027F">
      <w:pPr>
        <w:pStyle w:val="Heading1"/>
      </w:pPr>
      <w:bookmarkStart w:id="445" w:name="_Toc343501255"/>
      <w:bookmarkStart w:id="446" w:name="_Toc348686450"/>
      <w:bookmarkStart w:id="447" w:name="_Toc419116212"/>
      <w:r>
        <w:lastRenderedPageBreak/>
        <w:t>Chapter</w:t>
      </w:r>
      <w:r w:rsidR="008E3493">
        <w:t xml:space="preserve"> 10</w:t>
      </w:r>
      <w:r w:rsidR="00923BD6" w:rsidRPr="00F003A8">
        <w:t>: Conclusions</w:t>
      </w:r>
      <w:bookmarkEnd w:id="445"/>
      <w:bookmarkEnd w:id="446"/>
      <w:bookmarkEnd w:id="447"/>
    </w:p>
    <w:p w14:paraId="07114FC7" w14:textId="445FAD36" w:rsidR="006A1D69" w:rsidRDefault="0098142F" w:rsidP="00E83860">
      <w:r>
        <w:rPr>
          <w:noProof/>
          <w:lang w:val="en-US"/>
        </w:rPr>
        <w:drawing>
          <wp:inline distT="0" distB="0" distL="0" distR="0" wp14:anchorId="52A85C86" wp14:editId="5B6B77D9">
            <wp:extent cx="4894580" cy="7679690"/>
            <wp:effectExtent l="38100" t="19050" r="20320" b="35560"/>
            <wp:docPr id="77" name="Diagram 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0" r:lo="rId171" r:qs="rId172" r:cs="rId173"/>
              </a:graphicData>
            </a:graphic>
          </wp:inline>
        </w:drawing>
      </w:r>
    </w:p>
    <w:p w14:paraId="33AAA297" w14:textId="6B3A445D" w:rsidR="00024BAD" w:rsidRDefault="00024BAD">
      <w:r>
        <w:lastRenderedPageBreak/>
        <w:t xml:space="preserve">This study has explored preparedness for practice in </w:t>
      </w:r>
      <w:r w:rsidR="00321C8F">
        <w:t xml:space="preserve">final year medical students for FY1, from two UK universities. Simulation as a methodology to support preparedness has been evaluated via a </w:t>
      </w:r>
      <w:r w:rsidR="002568B6">
        <w:t>curriculum-mapped</w:t>
      </w:r>
      <w:r w:rsidR="00321C8F">
        <w:t xml:space="preserve"> course. Sim</w:t>
      </w:r>
      <w:r w:rsidR="00875027">
        <w:t xml:space="preserve">ulation and educational expert </w:t>
      </w:r>
      <w:r w:rsidR="00321C8F">
        <w:t>views allow</w:t>
      </w:r>
      <w:r w:rsidR="006D12B4">
        <w:t>ed</w:t>
      </w:r>
      <w:r w:rsidR="00321C8F">
        <w:t xml:space="preserve"> data triangulation to offer a rich understanding of preparedness, solutions to enhance preparedness and allow abstract conceptua</w:t>
      </w:r>
      <w:r w:rsidR="00875027">
        <w:t>lisation and best practice guida</w:t>
      </w:r>
      <w:r w:rsidR="00321C8F">
        <w:t xml:space="preserve">nce for medical schools. </w:t>
      </w:r>
      <w:r w:rsidR="00C86519">
        <w:t xml:space="preserve">There are recommendations in the literature to uncover what makes </w:t>
      </w:r>
      <w:r w:rsidR="00C41480">
        <w:t>simulation</w:t>
      </w:r>
      <w:r w:rsidR="00C86519">
        <w:t xml:space="preserve"> effectiv</w:t>
      </w:r>
      <w:r w:rsidR="002D2D1A">
        <w:t>e</w:t>
      </w:r>
      <w:r w:rsidR="00D9206B">
        <w:t>,</w:t>
      </w:r>
      <w:r w:rsidR="002D2D1A">
        <w:t xml:space="preserve"> and this study addresses this with focus on preparedness.</w:t>
      </w:r>
      <w:r w:rsidR="00C86519">
        <w:t xml:space="preserve"> </w:t>
      </w:r>
    </w:p>
    <w:p w14:paraId="4D636112" w14:textId="355D8C50" w:rsidR="00321C8F" w:rsidRDefault="006D12B4">
      <w:r>
        <w:t xml:space="preserve">Medical students do not feel prepared for practice. </w:t>
      </w:r>
      <w:r w:rsidR="00F9584F">
        <w:t xml:space="preserve">Understanding preparedness is of central importance </w:t>
      </w:r>
      <w:r w:rsidR="00875027">
        <w:t>when trying to plan initiatives to enhance and measu</w:t>
      </w:r>
      <w:r w:rsidR="000615AA">
        <w:t>re it</w:t>
      </w:r>
      <w:r w:rsidR="00875027">
        <w:t>. Initiatives aim to support</w:t>
      </w:r>
      <w:r w:rsidR="00F9584F">
        <w:t xml:space="preserve"> the transition from undergraduate to doctor in the complex </w:t>
      </w:r>
      <w:r w:rsidR="001D42C9">
        <w:t>healthcare</w:t>
      </w:r>
      <w:r w:rsidR="00F9584F">
        <w:t xml:space="preserve"> environment. </w:t>
      </w:r>
      <w:r w:rsidR="002D659C">
        <w:t xml:space="preserve">Despite this little attention has been given to what preparedness means to various stakeholders. </w:t>
      </w:r>
    </w:p>
    <w:p w14:paraId="4BF873CB" w14:textId="134896E9" w:rsidR="006D12B4" w:rsidRDefault="002D659C" w:rsidP="006D12B4">
      <w:r>
        <w:t>The findings of this project reveal that preparedness is complex and related to</w:t>
      </w:r>
      <w:r w:rsidR="00D9206B">
        <w:t>:</w:t>
      </w:r>
      <w:r>
        <w:t xml:space="preserve"> confidence, </w:t>
      </w:r>
      <w:r w:rsidR="004451C1">
        <w:t xml:space="preserve">knowledge, expectations, ability, skills, capability, </w:t>
      </w:r>
      <w:r w:rsidR="00C41480">
        <w:t>professionalism</w:t>
      </w:r>
      <w:r w:rsidR="004451C1">
        <w:t xml:space="preserve">, emotional preparedness and </w:t>
      </w:r>
      <w:r w:rsidR="00C41480">
        <w:t>transference</w:t>
      </w:r>
      <w:r w:rsidR="004451C1">
        <w:t xml:space="preserve">. </w:t>
      </w:r>
      <w:r w:rsidR="006D12B4">
        <w:t>Medical students in this cohort interpret</w:t>
      </w:r>
      <w:r w:rsidR="00875027">
        <w:t>ed</w:t>
      </w:r>
      <w:r w:rsidR="006D12B4">
        <w:t xml:space="preserve"> preparedness overwhelmingly as confidence (prospective). Experts view</w:t>
      </w:r>
      <w:r w:rsidR="00875027">
        <w:t>ed</w:t>
      </w:r>
      <w:r w:rsidR="006D12B4">
        <w:t xml:space="preserve"> preparedness as competence and outco</w:t>
      </w:r>
      <w:r w:rsidR="00D9206B">
        <w:t>me-</w:t>
      </w:r>
      <w:r w:rsidR="004451C1">
        <w:t xml:space="preserve">based (retrospective). </w:t>
      </w:r>
      <w:r w:rsidR="006D12B4">
        <w:t>The nine elements deemed key to enhancing preparedness were</w:t>
      </w:r>
      <w:r w:rsidR="00D9206B">
        <w:t>: knowledge,</w:t>
      </w:r>
      <w:r w:rsidR="006D12B4">
        <w:t xml:space="preserve"> </w:t>
      </w:r>
      <w:r w:rsidR="00C41480">
        <w:t>technical</w:t>
      </w:r>
      <w:r w:rsidR="00D9206B">
        <w:t xml:space="preserve"> skills, cognitive processes, non-technical skills,</w:t>
      </w:r>
      <w:r w:rsidR="000615AA">
        <w:t xml:space="preserve"> </w:t>
      </w:r>
      <w:r w:rsidR="00D9206B">
        <w:t>human factors,</w:t>
      </w:r>
      <w:r w:rsidR="006D12B4">
        <w:t xml:space="preserve"> belo</w:t>
      </w:r>
      <w:r w:rsidR="00D9206B">
        <w:t>nging,</w:t>
      </w:r>
      <w:r w:rsidR="006D12B4">
        <w:t xml:space="preserve"> </w:t>
      </w:r>
      <w:r w:rsidR="00905C08">
        <w:t>practice</w:t>
      </w:r>
      <w:r w:rsidR="00D9206B">
        <w:t xml:space="preserve"> under pressure,</w:t>
      </w:r>
      <w:r w:rsidR="006D12B4">
        <w:t xml:space="preserve"> </w:t>
      </w:r>
      <w:r w:rsidR="00905C08">
        <w:t>practice</w:t>
      </w:r>
      <w:r w:rsidR="006D12B4">
        <w:t xml:space="preserve"> in the clinical environment</w:t>
      </w:r>
      <w:r w:rsidR="00D9206B">
        <w:t>,</w:t>
      </w:r>
      <w:r w:rsidR="006D12B4">
        <w:t xml:space="preserve"> and mentorship. Responsibility and </w:t>
      </w:r>
      <w:r w:rsidR="00A645DC">
        <w:t>interprofessional</w:t>
      </w:r>
      <w:r w:rsidR="006D12B4">
        <w:t xml:space="preserve"> learning were vital at every stage.</w:t>
      </w:r>
    </w:p>
    <w:p w14:paraId="178B6D2E" w14:textId="2BFCBE9D" w:rsidR="004451C1" w:rsidRDefault="004451C1" w:rsidP="004451C1">
      <w:r>
        <w:lastRenderedPageBreak/>
        <w:t xml:space="preserve">The question remains whether it is </w:t>
      </w:r>
      <w:r w:rsidR="00C41480">
        <w:t>possible</w:t>
      </w:r>
      <w:r>
        <w:t xml:space="preserve"> to fully prepare all students for FY1. The hospital environment is com</w:t>
      </w:r>
      <w:r w:rsidR="00692677">
        <w:t>plex; there are layers of socio-</w:t>
      </w:r>
      <w:r>
        <w:t xml:space="preserve">cultural interactions and immense influence of hierarchy and the hidden </w:t>
      </w:r>
      <w:r w:rsidR="00C41480">
        <w:t>curriculum</w:t>
      </w:r>
      <w:r>
        <w:t xml:space="preserve">. Understanding preparedness in more detail has been key to expose areas and skills that need support and development. Enhancing belonging, understanding cognitive processes, developing leadership skills, nurturing emotional preparedness, facilitating </w:t>
      </w:r>
      <w:r w:rsidR="00CD658D">
        <w:t>self-assessment</w:t>
      </w:r>
      <w:r>
        <w:t xml:space="preserve"> and </w:t>
      </w:r>
      <w:r w:rsidR="006C719D">
        <w:t>self-regulation</w:t>
      </w:r>
      <w:r>
        <w:t xml:space="preserve"> were core to this process. The findings support the idea that </w:t>
      </w:r>
      <w:r w:rsidR="00684DDA">
        <w:t xml:space="preserve">application of </w:t>
      </w:r>
      <w:r>
        <w:t xml:space="preserve">complexity theory and human factors </w:t>
      </w:r>
      <w:r w:rsidR="00684DDA">
        <w:t xml:space="preserve">education </w:t>
      </w:r>
      <w:r>
        <w:t xml:space="preserve">are </w:t>
      </w:r>
      <w:r w:rsidR="00875027">
        <w:t xml:space="preserve">important </w:t>
      </w:r>
      <w:r>
        <w:t xml:space="preserve">to allow </w:t>
      </w:r>
      <w:r w:rsidR="00692677">
        <w:t xml:space="preserve">the </w:t>
      </w:r>
      <w:r>
        <w:t>emerge</w:t>
      </w:r>
      <w:r w:rsidR="000615AA">
        <w:t>nce of these areas</w:t>
      </w:r>
      <w:r>
        <w:t xml:space="preserve"> through</w:t>
      </w:r>
      <w:r w:rsidR="00684DDA">
        <w:t xml:space="preserve"> experiential</w:t>
      </w:r>
      <w:r>
        <w:t xml:space="preserve"> consequence learning.</w:t>
      </w:r>
    </w:p>
    <w:p w14:paraId="6A4815A6" w14:textId="678245C7" w:rsidR="000E77FA" w:rsidRDefault="00692677" w:rsidP="000E77FA">
      <w:r>
        <w:t>The d</w:t>
      </w:r>
      <w:r w:rsidR="000E77FA">
        <w:t xml:space="preserve">evelopment of clinical cognitive competence was felt </w:t>
      </w:r>
      <w:r>
        <w:t xml:space="preserve">to be </w:t>
      </w:r>
      <w:r w:rsidR="000E77FA">
        <w:t>the central outcome and potential that educational strategies within the undergraduate curriculum should seek to achieve</w:t>
      </w:r>
      <w:r w:rsidR="004E0D7A">
        <w:t>,</w:t>
      </w:r>
      <w:r w:rsidR="000E77FA">
        <w:t xml:space="preserve"> </w:t>
      </w:r>
      <w:r>
        <w:t xml:space="preserve">in order </w:t>
      </w:r>
      <w:r w:rsidR="000E77FA">
        <w:t>to improve preparedness. This finding moves awa</w:t>
      </w:r>
      <w:r>
        <w:t>y from procedural and knowledge-</w:t>
      </w:r>
      <w:r w:rsidR="000E77FA">
        <w:t>bas</w:t>
      </w:r>
      <w:r w:rsidR="004E0D7A">
        <w:t>ed competence</w:t>
      </w:r>
      <w:r>
        <w:t>,</w:t>
      </w:r>
      <w:r w:rsidR="004E0D7A">
        <w:t xml:space="preserve"> and highlights the</w:t>
      </w:r>
      <w:r w:rsidR="000E77FA">
        <w:t xml:space="preserve"> essential </w:t>
      </w:r>
      <w:r w:rsidR="004E0D7A">
        <w:t xml:space="preserve">need </w:t>
      </w:r>
      <w:r w:rsidR="000E77FA">
        <w:t xml:space="preserve">to learn to understand cognitive processes and biases </w:t>
      </w:r>
      <w:r w:rsidR="004E0D7A">
        <w:t xml:space="preserve">within </w:t>
      </w:r>
      <w:r w:rsidR="000E77FA">
        <w:t xml:space="preserve">a complex environment. </w:t>
      </w:r>
    </w:p>
    <w:p w14:paraId="5BABD975" w14:textId="7C8370ED" w:rsidR="00875027" w:rsidRDefault="00875027" w:rsidP="00F85EA0">
      <w:r>
        <w:t>S</w:t>
      </w:r>
      <w:r w:rsidR="00F85EA0">
        <w:t>imulation as a</w:t>
      </w:r>
      <w:r>
        <w:t>n experiential learning</w:t>
      </w:r>
      <w:r w:rsidR="00692677">
        <w:t xml:space="preserve"> methodology</w:t>
      </w:r>
      <w:r>
        <w:t xml:space="preserve"> </w:t>
      </w:r>
      <w:r w:rsidR="00F85EA0">
        <w:t>created the opportunity to train the bra</w:t>
      </w:r>
      <w:r w:rsidR="000A27DF">
        <w:t>in</w:t>
      </w:r>
      <w:r w:rsidR="00692677">
        <w:t xml:space="preserve"> </w:t>
      </w:r>
      <w:r w:rsidR="000A27DF">
        <w:t>to</w:t>
      </w:r>
      <w:r w:rsidR="00F85EA0">
        <w:t xml:space="preserve"> </w:t>
      </w:r>
      <w:r>
        <w:t xml:space="preserve">enhance </w:t>
      </w:r>
      <w:r w:rsidR="00692677">
        <w:t xml:space="preserve">its </w:t>
      </w:r>
      <w:r w:rsidR="00F85EA0">
        <w:t>ability to judge and process a situation, access and apply knowledge and skills under pressure, communicate efficiently and act safely for patients (Cl</w:t>
      </w:r>
      <w:r w:rsidR="00692677">
        <w:t>inical Cognitive Competence M</w:t>
      </w:r>
      <w:r w:rsidR="00F85EA0">
        <w:t>odel).</w:t>
      </w:r>
      <w:r>
        <w:t xml:space="preserve"> S</w:t>
      </w:r>
      <w:r w:rsidR="00F85EA0">
        <w:t>imulati</w:t>
      </w:r>
      <w:r>
        <w:t>on created</w:t>
      </w:r>
      <w:r w:rsidR="00F85EA0">
        <w:t xml:space="preserve"> a personal experience with time to reflect both in and on action</w:t>
      </w:r>
      <w:r w:rsidR="00692677">
        <w:t>,</w:t>
      </w:r>
      <w:r w:rsidR="00F85EA0">
        <w:t xml:space="preserve"> with facilitation. It allowed the development, application of and reflection </w:t>
      </w:r>
      <w:r>
        <w:t>on clinical reasoning, decision-</w:t>
      </w:r>
      <w:r w:rsidR="00F85EA0">
        <w:t xml:space="preserve">making </w:t>
      </w:r>
      <w:r>
        <w:t xml:space="preserve">and prioritisation skills. This was </w:t>
      </w:r>
      <w:r w:rsidR="00F85EA0">
        <w:t>through consequence learning a</w:t>
      </w:r>
      <w:r>
        <w:t>nd</w:t>
      </w:r>
      <w:r w:rsidR="00F85EA0">
        <w:t xml:space="preserve"> </w:t>
      </w:r>
      <w:r w:rsidR="00CD4730">
        <w:t xml:space="preserve">the </w:t>
      </w:r>
      <w:r w:rsidR="00F85EA0">
        <w:t>opportunity to experience cognitive overload and complexity</w:t>
      </w:r>
      <w:r>
        <w:t xml:space="preserve">, </w:t>
      </w:r>
      <w:r>
        <w:lastRenderedPageBreak/>
        <w:t>followed by</w:t>
      </w:r>
      <w:r w:rsidR="00F85EA0">
        <w:t xml:space="preserve"> move</w:t>
      </w:r>
      <w:r>
        <w:t>ment</w:t>
      </w:r>
      <w:r w:rsidR="00CD4730">
        <w:t xml:space="preserve"> to take control.</w:t>
      </w:r>
      <w:r w:rsidR="00F85EA0">
        <w:t xml:space="preserve"> The</w:t>
      </w:r>
      <w:r>
        <w:t>re was</w:t>
      </w:r>
      <w:r w:rsidR="00F85EA0">
        <w:t xml:space="preserve"> opportunity to develo</w:t>
      </w:r>
      <w:r>
        <w:t>p skills to challenge hierarchy</w:t>
      </w:r>
      <w:r w:rsidR="00F85EA0">
        <w:t xml:space="preserve"> and enhance awareness and development of emotional intelligence. </w:t>
      </w:r>
      <w:r>
        <w:t xml:space="preserve">No previous </w:t>
      </w:r>
      <w:r w:rsidR="00F85EA0">
        <w:t xml:space="preserve">studies have reported this. </w:t>
      </w:r>
    </w:p>
    <w:p w14:paraId="25FB0F8C" w14:textId="73A75553" w:rsidR="00F85EA0" w:rsidRDefault="00F85EA0" w:rsidP="00F85EA0">
      <w:r>
        <w:t>Two types of experts have been described in the litera</w:t>
      </w:r>
      <w:r w:rsidR="004E0D7A">
        <w:t>ture: ‘experienced non-experts’ (rehearse skills,</w:t>
      </w:r>
      <w:r>
        <w:t xml:space="preserve"> drills and protocols</w:t>
      </w:r>
      <w:r w:rsidR="004E0D7A">
        <w:t>)</w:t>
      </w:r>
      <w:r w:rsidR="006E4B5B">
        <w:t>,</w:t>
      </w:r>
      <w:r w:rsidR="004E0D7A">
        <w:t xml:space="preserve"> and the ‘adaptiv</w:t>
      </w:r>
      <w:r w:rsidR="006E4B5B">
        <w:t>e expert’ (skilled with problem-</w:t>
      </w:r>
      <w:r w:rsidR="004E0D7A">
        <w:t>solving,</w:t>
      </w:r>
      <w:r>
        <w:t xml:space="preserve"> new situations</w:t>
      </w:r>
      <w:r w:rsidR="004E0D7A">
        <w:t>)</w:t>
      </w:r>
      <w:r>
        <w:t xml:space="preserve"> </w:t>
      </w:r>
      <w:r>
        <w:fldChar w:fldCharType="begin"/>
      </w:r>
      <w:r>
        <w:instrText xml:space="preserve"> ADDIN EN.CITE &lt;EndNote&gt;&lt;Cite&gt;&lt;Author&gt;Bereiter&lt;/Author&gt;&lt;Year&gt;1993&lt;/Year&gt;&lt;IDText&gt;Surpassing Ourselves: An Enquiry Into the Nature and Implications of Expertise&lt;/IDText&gt;&lt;DisplayText&gt;(Bereiter and Scardamalia, 1993)&lt;/DisplayText&gt;&lt;record&gt;&lt;titles&gt;&lt;title&gt;Surpassing Ourselves: An Enquiry Into the Nature and Implications of Expertise&lt;/title&gt;&lt;/titles&gt;&lt;contributors&gt;&lt;authors&gt;&lt;author&gt;Bereiter, Carl&lt;/author&gt;&lt;author&gt;Scardamalia, Marlene&lt;/author&gt;&lt;/authors&gt;&lt;/contributors&gt;&lt;added-date format="utc"&gt;1459264550&lt;/added-date&gt;&lt;pub-location&gt;Chicago, Illinois&lt;/pub-location&gt;&lt;ref-type name="Book"&gt;6&lt;/ref-type&gt;&lt;dates&gt;&lt;year&gt;1993&lt;/year&gt;&lt;/dates&gt;&lt;rec-number&gt;242&lt;/rec-number&gt;&lt;publisher&gt;Open Court&lt;/publisher&gt;&lt;last-updated-date format="utc"&gt;1459264656&lt;/last-updated-date&gt;&lt;/record&gt;&lt;/Cite&gt;&lt;/EndNote&gt;</w:instrText>
      </w:r>
      <w:r>
        <w:fldChar w:fldCharType="separate"/>
      </w:r>
      <w:r>
        <w:rPr>
          <w:noProof/>
        </w:rPr>
        <w:t>(Bereiter and Scardamalia, 1993)</w:t>
      </w:r>
      <w:r>
        <w:fldChar w:fldCharType="end"/>
      </w:r>
      <w:r w:rsidR="004E0D7A">
        <w:t xml:space="preserve">. Both </w:t>
      </w:r>
      <w:r>
        <w:t>elements are required for starting as a new FY1. Adaptive experts are said to ‘seek out new challenges’ and are not overwhelmed by complexity. These theorists highlight the risk of oversimplification of the concept of ‘mastery learning’</w:t>
      </w:r>
      <w:r w:rsidR="004E0D7A">
        <w:t>,</w:t>
      </w:r>
      <w:r>
        <w:t xml:space="preserve"> as does </w:t>
      </w:r>
      <w:r>
        <w:fldChar w:fldCharType="begin"/>
      </w:r>
      <w:r w:rsidR="005A1E45">
        <w:instrText xml:space="preserve"> ADDIN EN.CITE &lt;EndNote&gt;&lt;Cite&gt;&lt;Author&gt;Kneebone&lt;/Author&gt;&lt;Year&gt;2009&lt;/Year&gt;&lt;IDText&gt;Perspective: Simulation and transformational change: the paradox of expertise&lt;/IDText&gt;&lt;DisplayText&gt;(Kneebone, 2009)&lt;/DisplayText&gt;&lt;record&gt;&lt;dates&gt;&lt;pub-dates&gt;&lt;date&gt;Jul&lt;/date&gt;&lt;/pub-dates&gt;&lt;year&gt;2009&lt;/year&gt;&lt;/dates&gt;&lt;keywords&gt;&lt;keyword&gt;Attitude of Health Personnel&lt;/keyword&gt;&lt;keyword&gt;Clinical Competence&lt;/keyword&gt;&lt;keyword&gt;Curriculum&lt;/keyword&gt;&lt;keyword&gt;Education, Medical&lt;/keyword&gt;&lt;keyword&gt;Humans&lt;/keyword&gt;&lt;keyword&gt;Manikins&lt;/keyword&gt;&lt;keyword&gt;Metaphor&lt;/keyword&gt;&lt;keyword&gt;Patient Simulation&lt;/keyword&gt;&lt;keyword&gt;Problem-Based Learning&lt;/keyword&gt;&lt;/keywords&gt;&lt;urls&gt;&lt;related-urls&gt;&lt;url&gt;http://www.ncbi.nlm.nih.gov/pubmed/19550196&lt;/url&gt;&lt;/related-urls&gt;&lt;/urls&gt;&lt;isbn&gt;1938-808X&lt;/isbn&gt;&lt;titles&gt;&lt;title&gt;Perspective: Simulation and transformational change: the paradox of expertise&lt;/title&gt;&lt;secondary-title&gt;Acad Med&lt;/secondary-title&gt;&lt;/titles&gt;&lt;pages&gt;954-7&lt;/pages&gt;&lt;number&gt;7&lt;/number&gt;&lt;contributors&gt;&lt;authors&gt;&lt;author&gt;Kneebone, R.&lt;/author&gt;&lt;/authors&gt;&lt;/contributors&gt;&lt;language&gt;eng&lt;/language&gt;&lt;added-date format="utc"&gt;1458296674&lt;/added-date&gt;&lt;ref-type name="Journal Article"&gt;17&lt;/ref-type&gt;&lt;rec-number&gt;224&lt;/rec-number&gt;&lt;last-updated-date format="utc"&gt;1458296674&lt;/last-updated-date&gt;&lt;accession-num&gt;19550196&lt;/accession-num&gt;&lt;electronic-resource-num&gt;10.1097/ACM.0b013e3181a843d6&lt;/electronic-resource-num&gt;&lt;volume&gt;84&lt;/volume&gt;&lt;/record&gt;&lt;/Cite&gt;&lt;/EndNote&gt;</w:instrText>
      </w:r>
      <w:r>
        <w:fldChar w:fldCharType="separate"/>
      </w:r>
      <w:r w:rsidR="005A1E45">
        <w:rPr>
          <w:noProof/>
        </w:rPr>
        <w:t>(Kneebone, 2009)</w:t>
      </w:r>
      <w:r>
        <w:fldChar w:fldCharType="end"/>
      </w:r>
      <w:r w:rsidR="004E0D7A">
        <w:t>. F</w:t>
      </w:r>
      <w:r>
        <w:t>indings from this study</w:t>
      </w:r>
      <w:r w:rsidR="004C69EA">
        <w:t xml:space="preserve"> concur</w:t>
      </w:r>
      <w:r w:rsidR="006E4B5B">
        <w:t xml:space="preserve"> in that </w:t>
      </w:r>
      <w:r w:rsidR="004E0D7A">
        <w:t>t</w:t>
      </w:r>
      <w:r>
        <w:t>o</w:t>
      </w:r>
      <w:r w:rsidR="00F91031">
        <w:t xml:space="preserve"> say</w:t>
      </w:r>
      <w:r>
        <w:t xml:space="preserve"> a skill has been truly mastered, the learner should be able to demonstrate the plethora of skills that are fully integral to performance, such as managing patient, team, equipme</w:t>
      </w:r>
      <w:r w:rsidR="006E4B5B">
        <w:t>nt and environmental complexity -</w:t>
      </w:r>
      <w:r>
        <w:t xml:space="preserve"> a human factors approach. On the conce</w:t>
      </w:r>
      <w:r w:rsidR="00F91031">
        <w:t xml:space="preserve">ptual model of mastery learning, </w:t>
      </w:r>
      <w:r>
        <w:t xml:space="preserve">adapted with the addition of </w:t>
      </w:r>
      <w:r w:rsidR="003A0C51">
        <w:t>non-technical</w:t>
      </w:r>
      <w:r>
        <w:t xml:space="preserve"> skills and human factors</w:t>
      </w:r>
      <w:r w:rsidR="006E4B5B">
        <w:t xml:space="preserve">, </w:t>
      </w:r>
      <w:r>
        <w:t>the idea of ‘experienced non-experts’ would sit with technical skill acquisition and the ‘adaptive expert’ towards the top l</w:t>
      </w:r>
      <w:r w:rsidR="00575B37">
        <w:t xml:space="preserve">evel, </w:t>
      </w:r>
      <w:r>
        <w:t>able t</w:t>
      </w:r>
      <w:r w:rsidR="00575B37">
        <w:t>o embrace the complexity of real life practice</w:t>
      </w:r>
      <w:r>
        <w:t>. This study has shown that amongst these ‘novice’ learners</w:t>
      </w:r>
      <w:r w:rsidR="006E4B5B">
        <w:t>,</w:t>
      </w:r>
      <w:r>
        <w:t xml:space="preserve"> it is possible with a carefully planned educational method to enhance and develop </w:t>
      </w:r>
      <w:r w:rsidR="006E4B5B">
        <w:t>the skills required for problem-</w:t>
      </w:r>
      <w:r>
        <w:t xml:space="preserve">solving, managing complexity and mastery. </w:t>
      </w:r>
    </w:p>
    <w:p w14:paraId="0D44DAC0" w14:textId="0C118A76" w:rsidR="006A1D69" w:rsidRDefault="000E77FA" w:rsidP="000E77FA">
      <w:r>
        <w:t>This</w:t>
      </w:r>
      <w:r w:rsidR="002D659C">
        <w:t xml:space="preserve"> study confirms earlier work by </w:t>
      </w:r>
      <w:r>
        <w:t xml:space="preserve">Tallentire et al </w:t>
      </w:r>
      <w:r w:rsidR="002D659C">
        <w:t>and moreover, suggests that</w:t>
      </w:r>
      <w:r>
        <w:t xml:space="preserve"> though students are being well prepared with practical skills and knowledge, without cognitive and emotional preparation these skills may not be accessed and effective when under the pressure of the complex hospital environment.</w:t>
      </w:r>
      <w:r w:rsidR="00F85EA0" w:rsidRPr="00F85EA0">
        <w:t xml:space="preserve"> </w:t>
      </w:r>
      <w:r w:rsidR="00F85EA0">
        <w:lastRenderedPageBreak/>
        <w:t>This study concurs with perspectives shared by Kneebone (2009) that ‘non-technical skills are at least as important’ as technical skills</w:t>
      </w:r>
      <w:r w:rsidR="003231A3">
        <w:t>,</w:t>
      </w:r>
      <w:r w:rsidR="00F85EA0">
        <w:t xml:space="preserve"> and that they are not mutually exclusive. There is need to include complexity that allows the ‘process of reintegration of skills’ – technical with </w:t>
      </w:r>
      <w:r w:rsidR="00C41480">
        <w:t>non-technical</w:t>
      </w:r>
      <w:r w:rsidR="00F85EA0">
        <w:t xml:space="preserve"> ski</w:t>
      </w:r>
      <w:r w:rsidR="003231A3">
        <w:t>lls in an authentic environment</w:t>
      </w:r>
      <w:r w:rsidR="00F85EA0">
        <w:t xml:space="preserve"> that exposes the learner to the messiness of the environment and the challenges of hierarchy and culture. On a practical level this would include ensuring that practical educational skills at medical school are graded more appropriately by including</w:t>
      </w:r>
      <w:r w:rsidR="003231A3">
        <w:t xml:space="preserve"> authentic complexity</w:t>
      </w:r>
      <w:r w:rsidR="004C69EA">
        <w:t xml:space="preserve"> to include </w:t>
      </w:r>
      <w:r w:rsidR="00F85EA0">
        <w:t xml:space="preserve">distractions, equipment failure, </w:t>
      </w:r>
      <w:r w:rsidR="00C41480">
        <w:t>hierarchical</w:t>
      </w:r>
      <w:r w:rsidR="00F85EA0">
        <w:t xml:space="preserve"> influences and complex communication. </w:t>
      </w:r>
    </w:p>
    <w:p w14:paraId="7B0FDD38" w14:textId="6BF56B05" w:rsidR="00C20770" w:rsidRDefault="004C5FE8" w:rsidP="00E83860">
      <w:r>
        <w:t>Non-technical skills need to be focused o</w:t>
      </w:r>
      <w:r w:rsidR="003231A3">
        <w:t>n and enhanced withi</w:t>
      </w:r>
      <w:r w:rsidR="0059523A">
        <w:t xml:space="preserve">n the undergraduate curriculum, with </w:t>
      </w:r>
      <w:r>
        <w:t xml:space="preserve">educational strategies given </w:t>
      </w:r>
      <w:r w:rsidR="0059523A">
        <w:t xml:space="preserve">an </w:t>
      </w:r>
      <w:r>
        <w:t xml:space="preserve">equal weighting </w:t>
      </w:r>
      <w:r w:rsidR="0059523A">
        <w:t>to</w:t>
      </w:r>
      <w:r>
        <w:t xml:space="preserve"> knowledge and practical skills. Encounters should put </w:t>
      </w:r>
      <w:r w:rsidR="00D6777D">
        <w:t>c</w:t>
      </w:r>
      <w:r w:rsidR="005F705F">
        <w:t>andidate</w:t>
      </w:r>
      <w:r>
        <w:t xml:space="preserve">s under </w:t>
      </w:r>
      <w:r w:rsidR="0059523A">
        <w:t xml:space="preserve">individualised </w:t>
      </w:r>
      <w:r>
        <w:t>pressure to ensure they reach their challenge point</w:t>
      </w:r>
      <w:r w:rsidR="0059523A">
        <w:t>,</w:t>
      </w:r>
      <w:r>
        <w:t xml:space="preserve"> </w:t>
      </w:r>
      <w:r w:rsidR="0059523A">
        <w:t>experiencing</w:t>
      </w:r>
      <w:r>
        <w:t xml:space="preserve"> cognitive overload</w:t>
      </w:r>
      <w:r w:rsidR="003231A3">
        <w:t>,</w:t>
      </w:r>
      <w:r>
        <w:t xml:space="preserve"> and learn</w:t>
      </w:r>
      <w:r w:rsidR="0059523A">
        <w:t>ing</w:t>
      </w:r>
      <w:r>
        <w:t xml:space="preserve"> to manage it.</w:t>
      </w:r>
    </w:p>
    <w:p w14:paraId="34ADC515" w14:textId="65256367" w:rsidR="005074B1" w:rsidRDefault="00C32159" w:rsidP="005074B1">
      <w:r>
        <w:t xml:space="preserve">Interlaced and recurring through these qualitative data </w:t>
      </w:r>
      <w:r w:rsidR="004C69EA">
        <w:t>was the</w:t>
      </w:r>
      <w:r>
        <w:t xml:space="preserve"> notion of flexibility, initial</w:t>
      </w:r>
      <w:r w:rsidR="00AB7B50">
        <w:t xml:space="preserve">ly amongst faculty </w:t>
      </w:r>
      <w:r w:rsidR="00555F85">
        <w:t>allowing emergence of learning outcomes.</w:t>
      </w:r>
      <w:r w:rsidR="0059523A" w:rsidRPr="0059523A">
        <w:t xml:space="preserve"> </w:t>
      </w:r>
      <w:r w:rsidR="0059523A">
        <w:t>This reduce</w:t>
      </w:r>
      <w:r w:rsidR="006E422D">
        <w:t xml:space="preserve">d the impact of hierarchy and </w:t>
      </w:r>
      <w:r>
        <w:t xml:space="preserve">was </w:t>
      </w:r>
      <w:r w:rsidR="00555F85">
        <w:t xml:space="preserve">felt </w:t>
      </w:r>
      <w:r>
        <w:t>vital for developing adaptability to new situations and consequences</w:t>
      </w:r>
      <w:r w:rsidR="0059523A">
        <w:t>,</w:t>
      </w:r>
      <w:r w:rsidR="00555F85">
        <w:t xml:space="preserve"> to support</w:t>
      </w:r>
      <w:r w:rsidR="00555F85" w:rsidRPr="00555F85">
        <w:t xml:space="preserve"> </w:t>
      </w:r>
      <w:r w:rsidR="00555F85">
        <w:t>resilience</w:t>
      </w:r>
      <w:r>
        <w:t xml:space="preserve">. </w:t>
      </w:r>
      <w:r w:rsidR="001A74BA">
        <w:t xml:space="preserve">Developing comfort in challenge </w:t>
      </w:r>
      <w:r w:rsidR="00AD674D">
        <w:t xml:space="preserve">of </w:t>
      </w:r>
      <w:r w:rsidR="001A74BA">
        <w:t xml:space="preserve">own knowledge </w:t>
      </w:r>
      <w:r w:rsidR="00B02205">
        <w:t>wa</w:t>
      </w:r>
      <w:r w:rsidR="001A74BA">
        <w:t xml:space="preserve">s an important step to developing professionalism and </w:t>
      </w:r>
      <w:r w:rsidR="006E422D">
        <w:t>was</w:t>
      </w:r>
      <w:r w:rsidR="00AF5CA2">
        <w:t xml:space="preserve"> </w:t>
      </w:r>
      <w:r w:rsidR="00B02205">
        <w:t xml:space="preserve">achieved </w:t>
      </w:r>
      <w:r w:rsidR="00AF5CA2">
        <w:t>through faculty being open to challenge.</w:t>
      </w:r>
    </w:p>
    <w:p w14:paraId="007F6ECB" w14:textId="08E152F0" w:rsidR="004C69EA" w:rsidRDefault="005074B1" w:rsidP="004C69EA">
      <w:r>
        <w:t>Simulation is experiential and transformative learning but this research demonstrates there is</w:t>
      </w:r>
      <w:r w:rsidR="006E422D">
        <w:t xml:space="preserve"> </w:t>
      </w:r>
      <w:r>
        <w:t>more to it</w:t>
      </w:r>
      <w:r w:rsidR="004C69EA">
        <w:t>,</w:t>
      </w:r>
      <w:r>
        <w:t xml:space="preserve"> in terms of the potential for self-objective </w:t>
      </w:r>
      <w:r>
        <w:lastRenderedPageBreak/>
        <w:t>ref</w:t>
      </w:r>
      <w:r w:rsidR="00AF5CA2">
        <w:t>l</w:t>
      </w:r>
      <w:r>
        <w:t>ection and behavioural change</w:t>
      </w:r>
      <w:r w:rsidR="004C69EA">
        <w:t>. This occurred</w:t>
      </w:r>
      <w:r>
        <w:t xml:space="preserve"> </w:t>
      </w:r>
      <w:r w:rsidR="00AF5CA2">
        <w:t xml:space="preserve">through the </w:t>
      </w:r>
      <w:r>
        <w:t xml:space="preserve">understanding </w:t>
      </w:r>
      <w:r w:rsidR="00FB4C82">
        <w:t xml:space="preserve">of </w:t>
      </w:r>
      <w:r>
        <w:t>complex cognitive process</w:t>
      </w:r>
      <w:r w:rsidR="004C69EA">
        <w:t>es</w:t>
      </w:r>
      <w:r w:rsidR="00AF5CA2">
        <w:t xml:space="preserve"> </w:t>
      </w:r>
      <w:r w:rsidR="00FB4C82">
        <w:t>that emerge</w:t>
      </w:r>
      <w:r w:rsidR="004C69EA">
        <w:t>d</w:t>
      </w:r>
      <w:r w:rsidR="00FB4C82">
        <w:t xml:space="preserve"> </w:t>
      </w:r>
      <w:r w:rsidR="00AF5CA2">
        <w:t xml:space="preserve">through </w:t>
      </w:r>
      <w:r w:rsidR="00905C08">
        <w:t>practice</w:t>
      </w:r>
      <w:r w:rsidR="00AF5CA2">
        <w:t xml:space="preserve"> under pressure</w:t>
      </w:r>
      <w:r w:rsidR="00555F85">
        <w:t>.</w:t>
      </w:r>
      <w:r w:rsidR="004C69EA" w:rsidRPr="004C69EA">
        <w:t xml:space="preserve"> </w:t>
      </w:r>
      <w:r w:rsidR="004C69EA">
        <w:t xml:space="preserve">Individuals gained insight </w:t>
      </w:r>
      <w:r w:rsidR="000A27DF">
        <w:t>into</w:t>
      </w:r>
      <w:r w:rsidR="004C69EA">
        <w:t xml:space="preserve"> the impact of their behaviour and personality traits, offering the potential to optimise interactions to enhance efficiency and improve patient safety. This inc</w:t>
      </w:r>
      <w:r w:rsidR="005112DE">
        <w:t>reased self-confidence and self-</w:t>
      </w:r>
      <w:r w:rsidR="004C69EA">
        <w:t xml:space="preserve">perceived preparedness for practice. </w:t>
      </w:r>
    </w:p>
    <w:p w14:paraId="6E5B9CFD" w14:textId="335D92E5" w:rsidR="009A51CE" w:rsidRDefault="009A51CE" w:rsidP="005074B1">
      <w:r>
        <w:t xml:space="preserve">Mezirow and </w:t>
      </w:r>
      <w:r w:rsidR="00F91EAB">
        <w:t>Schön</w:t>
      </w:r>
      <w:r>
        <w:t xml:space="preserve"> </w:t>
      </w:r>
      <w:r w:rsidR="00990CFC">
        <w:t xml:space="preserve">highlight </w:t>
      </w:r>
      <w:r>
        <w:t xml:space="preserve">the importance of experiencing ‘discomfort and uncertainty’ to help move a learner forward in thoughts and beliefs </w:t>
      </w:r>
      <w:r>
        <w:fldChar w:fldCharType="begin"/>
      </w:r>
      <w:r w:rsidR="005A1E45">
        <w:instrText xml:space="preserve"> ADDIN EN.CITE &lt;EndNote&gt;&lt;Cite&gt;&lt;Author&gt;Mezirow&lt;/Author&gt;&lt;Year&gt;1991&lt;/Year&gt;&lt;IDText&gt;Transformative Dimensions of Adult learning&lt;/IDText&gt;&lt;DisplayText&gt;(Mezirow, 1991, Schon, 1983)&lt;/DisplayText&gt;&lt;record&gt;&lt;titles&gt;&lt;title&gt;Transformative Dimensions of Adult learning&lt;/title&gt;&lt;/titles&gt;&lt;contributors&gt;&lt;authors&gt;&lt;author&gt;Mezirow, J&lt;/author&gt;&lt;/authors&gt;&lt;/contributors&gt;&lt;added-date format="utc"&gt;1459259170&lt;/added-date&gt;&lt;pub-location&gt;San Francisco, CA&lt;/pub-location&gt;&lt;ref-type name="Book"&gt;6&lt;/ref-type&gt;&lt;dates&gt;&lt;year&gt;1991&lt;/year&gt;&lt;/dates&gt;&lt;rec-number&gt;240&lt;/rec-number&gt;&lt;publisher&gt;Jossey-Bass&lt;/publisher&gt;&lt;last-updated-date format="utc"&gt;1459259228&lt;/last-updated-date&gt;&lt;/record&gt;&lt;/Cite&gt;&lt;Cite&gt;&lt;Author&gt;Schon&lt;/Author&gt;&lt;Year&gt;1983&lt;/Year&gt;&lt;IDText&gt;The Reflective Practitioner&lt;/IDText&gt;&lt;record&gt;&lt;titles&gt;&lt;title&gt;The Reflective Practitioner&lt;/title&gt;&lt;/titles&gt;&lt;contributors&gt;&lt;authors&gt;&lt;author&gt;Schon, D&lt;/author&gt;&lt;/authors&gt;&lt;/contributors&gt;&lt;added-date format="utc"&gt;1459258081&lt;/added-date&gt;&lt;pub-location&gt;New York&lt;/pub-location&gt;&lt;ref-type name="Book"&gt;6&lt;/ref-type&gt;&lt;dates&gt;&lt;year&gt;1983&lt;/year&gt;&lt;/dates&gt;&lt;rec-number&gt;239&lt;/rec-number&gt;&lt;publisher&gt;Basic Books&lt;/publisher&gt;&lt;last-updated-date format="utc"&gt;1459258277&lt;/last-updated-date&gt;&lt;/record&gt;&lt;/Cite&gt;&lt;/EndNote&gt;</w:instrText>
      </w:r>
      <w:r>
        <w:fldChar w:fldCharType="separate"/>
      </w:r>
      <w:r w:rsidR="005A1E45">
        <w:rPr>
          <w:noProof/>
        </w:rPr>
        <w:t>(Mezirow, 1991, Schon, 1983)</w:t>
      </w:r>
      <w:r>
        <w:fldChar w:fldCharType="end"/>
      </w:r>
      <w:r>
        <w:t>. Th</w:t>
      </w:r>
      <w:r w:rsidR="00990CFC">
        <w:t xml:space="preserve">ese study findings </w:t>
      </w:r>
      <w:r>
        <w:t>support th</w:t>
      </w:r>
      <w:r w:rsidR="00990CFC">
        <w:t>is</w:t>
      </w:r>
      <w:r w:rsidR="006E422D">
        <w:t xml:space="preserve"> concept.</w:t>
      </w:r>
      <w:r>
        <w:t xml:space="preserve"> </w:t>
      </w:r>
      <w:r w:rsidR="006E422D">
        <w:t>E</w:t>
      </w:r>
      <w:r>
        <w:t xml:space="preserve">xperiencing pressure </w:t>
      </w:r>
      <w:r w:rsidR="006E422D">
        <w:t>and</w:t>
      </w:r>
      <w:r>
        <w:t xml:space="preserve"> getting stuck allow</w:t>
      </w:r>
      <w:r w:rsidR="006E422D">
        <w:t>ed</w:t>
      </w:r>
      <w:r>
        <w:t xml:space="preserve"> </w:t>
      </w:r>
      <w:r w:rsidR="005112DE">
        <w:t xml:space="preserve">for </w:t>
      </w:r>
      <w:r>
        <w:t>a new understanding and feeling of confidence</w:t>
      </w:r>
      <w:r w:rsidR="00990CFC">
        <w:t>,</w:t>
      </w:r>
      <w:r>
        <w:t xml:space="preserve"> </w:t>
      </w:r>
      <w:r w:rsidR="00AF5CA2">
        <w:t>to</w:t>
      </w:r>
      <w:r>
        <w:t xml:space="preserve"> </w:t>
      </w:r>
      <w:r w:rsidR="00345C07">
        <w:t>construct coping</w:t>
      </w:r>
      <w:r>
        <w:t xml:space="preserve"> strateg</w:t>
      </w:r>
      <w:r w:rsidR="00AF5CA2">
        <w:t>ies or mental models</w:t>
      </w:r>
      <w:r w:rsidR="00990CFC">
        <w:t>,</w:t>
      </w:r>
      <w:r>
        <w:t xml:space="preserve"> </w:t>
      </w:r>
      <w:r w:rsidR="005112DE">
        <w:t xml:space="preserve">and </w:t>
      </w:r>
      <w:r>
        <w:t>to allow cl</w:t>
      </w:r>
      <w:r w:rsidR="00990CFC">
        <w:t>arity of</w:t>
      </w:r>
      <w:r>
        <w:t xml:space="preserve"> thought and reasoning.</w:t>
      </w:r>
      <w:r w:rsidR="00AF5CA2">
        <w:t xml:space="preserve"> These data highlight the challenge of getting the level of pressure correct for an individual</w:t>
      </w:r>
      <w:r w:rsidR="005112DE">
        <w:t>,</w:t>
      </w:r>
      <w:r w:rsidR="00AF5CA2">
        <w:t xml:space="preserve"> and </w:t>
      </w:r>
      <w:r w:rsidR="00990CFC">
        <w:t xml:space="preserve">adds to </w:t>
      </w:r>
      <w:r w:rsidR="00AF5CA2">
        <w:t>the</w:t>
      </w:r>
      <w:r w:rsidR="00990CFC">
        <w:t xml:space="preserve"> literature with</w:t>
      </w:r>
      <w:r w:rsidR="00AF5CA2">
        <w:t xml:space="preserve"> practical ways of doing this. Emotional intelligence</w:t>
      </w:r>
      <w:r w:rsidR="00E77AA2">
        <w:t>, social skills and</w:t>
      </w:r>
      <w:r w:rsidR="00AF5CA2">
        <w:t xml:space="preserve"> flexibility from faculty were found key to this dynamic process</w:t>
      </w:r>
      <w:r w:rsidR="00E77AA2">
        <w:t xml:space="preserve"> to interpret</w:t>
      </w:r>
      <w:r w:rsidR="00E77AA2" w:rsidRPr="00E77AA2">
        <w:t xml:space="preserve"> </w:t>
      </w:r>
      <w:r w:rsidR="00E77AA2">
        <w:t>body language, language, actions and inactions of learners</w:t>
      </w:r>
      <w:r w:rsidR="00AF5CA2">
        <w:t>.</w:t>
      </w:r>
      <w:r>
        <w:t xml:space="preserve"> </w:t>
      </w:r>
      <w:r w:rsidR="00E77AA2">
        <w:t xml:space="preserve">This should be developed in educational faculty through structured mentoring and peer review. </w:t>
      </w:r>
      <w:r w:rsidR="006C33AF">
        <w:t>The idea of learning about cognitive strategies, when to stop and stand back and be critical and reflective</w:t>
      </w:r>
      <w:r w:rsidR="005112DE">
        <w:t>,</w:t>
      </w:r>
      <w:r w:rsidR="006C33AF">
        <w:t xml:space="preserve"> and when to trust a more seemingly intuitive decision has been demonstrated and support</w:t>
      </w:r>
      <w:r w:rsidR="00990CFC">
        <w:t>s</w:t>
      </w:r>
      <w:r w:rsidR="006C33AF">
        <w:t xml:space="preserve"> the work of </w:t>
      </w:r>
      <w:r w:rsidR="006C33AF">
        <w:fldChar w:fldCharType="begin"/>
      </w:r>
      <w:r w:rsidR="005A1E45">
        <w:instrText xml:space="preserve"> ADDIN EN.CITE &lt;EndNote&gt;&lt;Cite&gt;&lt;Author&gt;Webster&lt;/Author&gt;&lt;Year&gt;2015&lt;/Year&gt;&lt;IDText&gt;More on &amp;quot;fast&amp;quot; and &amp;quot;slow&amp;quot; thinking in diagnostic reasoning&lt;/IDText&gt;&lt;DisplayText&gt;(Webster, 2015)&lt;/DisplayText&gt;&lt;record&gt;&lt;dates&gt;&lt;pub-dates&gt;&lt;date&gt;Jan&lt;/date&gt;&lt;/pub-dates&gt;&lt;year&gt;2015&lt;/year&gt;&lt;/dates&gt;&lt;keywords&gt;&lt;keyword&gt;Clinical Competence&lt;/keyword&gt;&lt;keyword&gt;Decision Making&lt;/keyword&gt;&lt;keyword&gt;Diagnostic Errors&lt;/keyword&gt;&lt;keyword&gt;Humans&lt;/keyword&gt;&lt;keyword&gt;Internal Medicine&lt;/keyword&gt;&lt;keyword&gt;Internship and Residency&lt;/keyword&gt;&lt;/keywords&gt;&lt;urls&gt;&lt;related-urls&gt;&lt;url&gt;http://www.ncbi.nlm.nih.gov/pubmed/25544998&lt;/url&gt;&lt;/related-urls&gt;&lt;/urls&gt;&lt;isbn&gt;1938-808X&lt;/isbn&gt;&lt;titles&gt;&lt;title&gt;More on &amp;quot;fast&amp;quot; and &amp;quot;slow&amp;quot; thinking in diagnostic reasoning&lt;/title&gt;&lt;secondary-title&gt;Acad Med&lt;/secondary-title&gt;&lt;/titles&gt;&lt;pages&gt;3&lt;/pages&gt;&lt;number&gt;1&lt;/number&gt;&lt;contributors&gt;&lt;authors&gt;&lt;author&gt;Webster, C.&lt;/author&gt;&lt;/authors&gt;&lt;/contributors&gt;&lt;language&gt;eng&lt;/language&gt;&lt;added-date format="utc"&gt;1456827589&lt;/added-date&gt;&lt;ref-type name="Journal Article"&gt;17&lt;/ref-type&gt;&lt;rec-number&gt;202&lt;/rec-number&gt;&lt;last-updated-date format="utc"&gt;1456827589&lt;/last-updated-date&gt;&lt;accession-num&gt;25544998&lt;/accession-num&gt;&lt;electronic-resource-num&gt;10.1097/ACM.0000000000000555&lt;/electronic-resource-num&gt;&lt;volume&gt;90&lt;/volume&gt;&lt;/record&gt;&lt;/Cite&gt;&lt;/EndNote&gt;</w:instrText>
      </w:r>
      <w:r w:rsidR="006C33AF">
        <w:fldChar w:fldCharType="separate"/>
      </w:r>
      <w:r w:rsidR="005A1E45">
        <w:rPr>
          <w:noProof/>
        </w:rPr>
        <w:t>(Webster, 2015)</w:t>
      </w:r>
      <w:r w:rsidR="006C33AF">
        <w:fldChar w:fldCharType="end"/>
      </w:r>
      <w:r w:rsidR="006C33AF">
        <w:t xml:space="preserve">. </w:t>
      </w:r>
    </w:p>
    <w:p w14:paraId="708021D0" w14:textId="707246AA" w:rsidR="00CE78F0" w:rsidRDefault="00362827" w:rsidP="005074B1">
      <w:r>
        <w:t xml:space="preserve">Reviews of </w:t>
      </w:r>
      <w:r w:rsidR="0070140D">
        <w:t>simulation-based</w:t>
      </w:r>
      <w:r w:rsidR="00FF09A6">
        <w:t xml:space="preserve"> educat</w:t>
      </w:r>
      <w:r w:rsidR="006C33AF">
        <w:t>i</w:t>
      </w:r>
      <w:r w:rsidR="00FF09A6">
        <w:t xml:space="preserve">on have been criticised for </w:t>
      </w:r>
      <w:r w:rsidR="00091C61">
        <w:t>focusing</w:t>
      </w:r>
      <w:r w:rsidR="00FF09A6">
        <w:t xml:space="preserve"> more on ‘technological apparatus of high fidelity environment than on pedagogies that can maximise outcome</w:t>
      </w:r>
      <w:r w:rsidR="00E77AA2">
        <w:t xml:space="preserve">s </w:t>
      </w:r>
      <w:r w:rsidR="00FF09A6">
        <w:t>of these environments’</w:t>
      </w:r>
      <w:r>
        <w:fldChar w:fldCharType="begin"/>
      </w:r>
      <w:r>
        <w:instrText xml:space="preserve"> ADDIN EN.CITE &lt;EndNote&gt;&lt;Cite&gt;&lt;Author&gt;Fenwick&lt;/Author&gt;&lt;Year&gt;2015&lt;/Year&gt;&lt;IDText&gt;Towards socio-material approaches in simulation-based education: lessons from complexity theory&lt;/IDText&gt;&lt;DisplayText&gt;(Fenwick and Dahlgren, 2015)&lt;/DisplayText&gt;&lt;record&gt;&lt;dates&gt;&lt;pub-dates&gt;&lt;date&gt;Apr&lt;/date&gt;&lt;/pub-dates&gt;&lt;year&gt;2015&lt;/year&gt;&lt;/dates&gt;&lt;keywords&gt;&lt;keyword&gt;Clinical Competence&lt;/keyword&gt;&lt;keyword&gt;Education, Medical&lt;/keyword&gt;&lt;keyword&gt;Feedback&lt;/keyword&gt;&lt;keyword&gt;Humans&lt;/keyword&gt;&lt;keyword&gt;Learning&lt;/keyword&gt;&lt;keyword&gt;Models, Educational&lt;/keyword&gt;&lt;keyword&gt;Patient Simulation&lt;/keyword&gt;&lt;keyword&gt;Social Theory&lt;/keyword&gt;&lt;/keywords&gt;&lt;urls&gt;&lt;related-urls&gt;&lt;url&gt;https://www.ncbi.nlm.nih.gov/pubmed/25800296&lt;/url&gt;&lt;/related-urls&gt;&lt;/urls&gt;&lt;isbn&gt;1365-2923&lt;/isbn&gt;&lt;titles&gt;&lt;title&gt;Towards socio-material approaches in simulation-based education: lessons from complexity theory&lt;/title&gt;&lt;secondary-title&gt;Med Educ&lt;/secondary-title&gt;&lt;/titles&gt;&lt;pages&gt;359-67&lt;/pages&gt;&lt;number&gt;4&lt;/number&gt;&lt;contributors&gt;&lt;authors&gt;&lt;author&gt;Fenwick, T.&lt;/author&gt;&lt;author&gt;Dahlgren, M. A.&lt;/author&gt;&lt;/authors&gt;&lt;/contributors&gt;&lt;language&gt;eng&lt;/language&gt;&lt;added-date format="utc"&gt;1472656488&lt;/added-date&gt;&lt;ref-type name="Journal Article"&gt;17&lt;/ref-type&gt;&lt;rec-number&gt;285&lt;/rec-number&gt;&lt;last-updated-date format="utc"&gt;1472656488&lt;/last-updated-date&gt;&lt;accession-num&gt;25800296&lt;/accession-num&gt;&lt;electronic-resource-num&gt;10.1111/medu.12638&lt;/electronic-resource-num&gt;&lt;volume&gt;49&lt;/volume&gt;&lt;/record&gt;&lt;/Cite&gt;&lt;/EndNote&gt;</w:instrText>
      </w:r>
      <w:r>
        <w:fldChar w:fldCharType="separate"/>
      </w:r>
      <w:r>
        <w:rPr>
          <w:noProof/>
        </w:rPr>
        <w:t>(Fenwick and Dahlgren, 2015)</w:t>
      </w:r>
      <w:r>
        <w:fldChar w:fldCharType="end"/>
      </w:r>
      <w:r>
        <w:t>.</w:t>
      </w:r>
      <w:r w:rsidR="00304A23">
        <w:t xml:space="preserve"> </w:t>
      </w:r>
      <w:r>
        <w:t xml:space="preserve">This study has explored and uncovered the elements to support pedagogies </w:t>
      </w:r>
      <w:r>
        <w:lastRenderedPageBreak/>
        <w:t>and theories</w:t>
      </w:r>
      <w:r w:rsidR="00990CFC">
        <w:t>,</w:t>
      </w:r>
      <w:r>
        <w:t xml:space="preserve"> with recommendations and practice </w:t>
      </w:r>
      <w:r w:rsidR="00C41480">
        <w:t>guidance</w:t>
      </w:r>
      <w:r>
        <w:t xml:space="preserve"> on the use of simulation education</w:t>
      </w:r>
      <w:r w:rsidR="00990CFC">
        <w:t xml:space="preserve">. They </w:t>
      </w:r>
      <w:r w:rsidR="0066688D">
        <w:t>can be transferred to other methodologies to enhance preparedness.</w:t>
      </w:r>
      <w:r w:rsidR="00990CFC" w:rsidRPr="00990CFC">
        <w:t xml:space="preserve"> </w:t>
      </w:r>
    </w:p>
    <w:p w14:paraId="39450419" w14:textId="223C2A52" w:rsidR="00AF3013" w:rsidRDefault="00362827" w:rsidP="00AF3013">
      <w:r>
        <w:t>Employing complexity th</w:t>
      </w:r>
      <w:r w:rsidR="00832F54">
        <w:t>e</w:t>
      </w:r>
      <w:r>
        <w:t xml:space="preserve">ory and a human factors approach to </w:t>
      </w:r>
      <w:r w:rsidR="0066688D">
        <w:t xml:space="preserve">education in </w:t>
      </w:r>
      <w:r>
        <w:t>the undergraduate curriculum should help better prepare students for the ‘messiness’ of the clini</w:t>
      </w:r>
      <w:r w:rsidR="0066688D">
        <w:t>c</w:t>
      </w:r>
      <w:r>
        <w:t>al environment</w:t>
      </w:r>
      <w:r w:rsidR="0066688D">
        <w:t xml:space="preserve">. It should </w:t>
      </w:r>
      <w:r>
        <w:t xml:space="preserve">support self-regulation </w:t>
      </w:r>
      <w:r w:rsidR="0066688D">
        <w:t xml:space="preserve">and enhance </w:t>
      </w:r>
      <w:r>
        <w:t xml:space="preserve">health and </w:t>
      </w:r>
      <w:r w:rsidR="003236BE">
        <w:t>well</w:t>
      </w:r>
      <w:r w:rsidR="00C41480">
        <w:t>being</w:t>
      </w:r>
      <w:r>
        <w:t xml:space="preserve"> through role modelling and de</w:t>
      </w:r>
      <w:r w:rsidR="0066688D">
        <w:t>livering</w:t>
      </w:r>
      <w:r>
        <w:t xml:space="preserve"> emotional support as well as developing emotional intelligence</w:t>
      </w:r>
      <w:r w:rsidR="0066688D">
        <w:t>,</w:t>
      </w:r>
      <w:r>
        <w:t xml:space="preserve"> known to be linked to mental toughness and resilience. </w:t>
      </w:r>
    </w:p>
    <w:p w14:paraId="79DA7F0D" w14:textId="592DD015" w:rsidR="00AF3013" w:rsidRDefault="00860C9F" w:rsidP="00AF3013">
      <w:r>
        <w:t>Experiential learning based on complexity theory and human factors education</w:t>
      </w:r>
      <w:r w:rsidR="00AF3013">
        <w:t xml:space="preserve"> should be </w:t>
      </w:r>
      <w:r w:rsidR="002568B6">
        <w:t>curriculum-mapped</w:t>
      </w:r>
      <w:r w:rsidR="00AF3013">
        <w:t xml:space="preserve"> and embedded</w:t>
      </w:r>
      <w:r>
        <w:t xml:space="preserve"> and allow for graded responsibility and pressure</w:t>
      </w:r>
      <w:r w:rsidR="00AF3013">
        <w:t xml:space="preserve">. </w:t>
      </w:r>
      <w:r>
        <w:t xml:space="preserve">Simulation as an example of one </w:t>
      </w:r>
      <w:r w:rsidR="00C41480">
        <w:t>methodology</w:t>
      </w:r>
      <w:r w:rsidR="00AF3013">
        <w:t xml:space="preserve"> should be delivered regularly with trained facilitators who are peer reviewed and mentored. </w:t>
      </w:r>
      <w:r w:rsidR="00E53203">
        <w:t xml:space="preserve">These findings fit with </w:t>
      </w:r>
      <w:r w:rsidR="00A01D85">
        <w:t>published guidance in the educational literature</w:t>
      </w:r>
      <w:r w:rsidR="00E53203">
        <w:t xml:space="preserve"> </w:t>
      </w:r>
      <w:r w:rsidR="00E53203">
        <w:fldChar w:fldCharType="begin"/>
      </w:r>
      <w:r w:rsidR="00E53203">
        <w:instrText xml:space="preserve"> ADDIN EN.CITE &lt;EndNote&gt;&lt;Cite&gt;&lt;Author&gt;Swanick&lt;/Author&gt;&lt;Year&gt;2010&lt;/Year&gt;&lt;IDText&gt;Understanding Medical Education. Evidence. theory and practice&lt;/IDText&gt;&lt;DisplayText&gt;(Swanick, 2010, Motola et al., 2013)&lt;/DisplayText&gt;&lt;record&gt;&lt;contributors&gt;&lt;tertiary-authors&gt;&lt;author&gt;Swanick&lt;/author&gt;&lt;/tertiary-authors&gt;&lt;/contributors&gt;&lt;titles&gt;&lt;title&gt;Understanding Medical Education. Evidence. theory and practice&lt;/title&gt;&lt;/titles&gt;&lt;contributors&gt;&lt;authors&gt;&lt;author&gt;Swanick, Tim&lt;/author&gt;&lt;/authors&gt;&lt;/contributors&gt;&lt;added-date format="utc"&gt;1459255837&lt;/added-date&gt;&lt;pub-location&gt;West Sussex&lt;/pub-location&gt;&lt;ref-type name="Book"&gt;6&lt;/ref-type&gt;&lt;dates&gt;&lt;year&gt;2010&lt;/year&gt;&lt;/dates&gt;&lt;rec-number&gt;238&lt;/rec-number&gt;&lt;publisher&gt;Wiley - Blackwell&lt;/publisher&gt;&lt;last-updated-date format="utc"&gt;1459256039&lt;/last-updated-date&gt;&lt;contributors&gt;&lt;secondary-authors&gt;&lt;author&gt;Swanick, Tim&lt;/author&gt;&lt;/secondary-authors&gt;&lt;/contributors&gt;&lt;/record&gt;&lt;/Cite&gt;&lt;Cite&gt;&lt;Author&gt;Motola&lt;/Author&gt;&lt;Year&gt;2013&lt;/Year&gt;&lt;IDText&gt;Simulation in healthcare education: A best evidence practical guide. AMEE Guide No. 82&lt;/IDText&gt;&lt;record&gt;&lt;titles&gt;&lt;title&gt;Simulation in healthcare education: A best evidence practical guide. AMEE Guide No. 82&lt;/title&gt;&lt;secondary-title&gt;Medical Teacher&lt;/secondary-title&gt;&lt;/titles&gt;&lt;pages&gt;1511 - 1530&lt;/pages&gt;&lt;contributors&gt;&lt;authors&gt;&lt;author&gt;Motola, I.&lt;/author&gt;&lt;author&gt;Devine, L.&lt;/author&gt;&lt;author&gt;Chung, H.&lt;/author&gt;&lt;author&gt;Sullivan, J.&lt;/author&gt;&lt;author&gt;Issenberg, B.&lt;/author&gt;&lt;/authors&gt;&lt;/contributors&gt;&lt;added-date format="utc"&gt;1390830724&lt;/added-date&gt;&lt;ref-type name="Journal Article"&gt;17&lt;/ref-type&gt;&lt;dates&gt;&lt;year&gt;2013&lt;/year&gt;&lt;/dates&gt;&lt;rec-number&gt;4&lt;/rec-number&gt;&lt;last-updated-date format="utc"&gt;1390830991&lt;/last-updated-date&gt;&lt;volume&gt;35&lt;/volume&gt;&lt;/record&gt;&lt;/Cite&gt;&lt;/EndNote&gt;</w:instrText>
      </w:r>
      <w:r w:rsidR="00E53203">
        <w:fldChar w:fldCharType="separate"/>
      </w:r>
      <w:r w:rsidR="00E53203">
        <w:rPr>
          <w:noProof/>
        </w:rPr>
        <w:t>(Swanick, 2010, Motola et al., 2013)</w:t>
      </w:r>
      <w:r w:rsidR="00E53203">
        <w:fldChar w:fldCharType="end"/>
      </w:r>
      <w:r w:rsidR="00E53203">
        <w:t xml:space="preserve">. </w:t>
      </w:r>
      <w:r w:rsidR="00AF3013">
        <w:t>Training may be delivered locally or nationally to an agreed set of standards that align with GMC requirements. Good facilitative educators</w:t>
      </w:r>
      <w:r>
        <w:t xml:space="preserve"> with </w:t>
      </w:r>
      <w:r w:rsidR="00C41480">
        <w:t>clinical</w:t>
      </w:r>
      <w:r>
        <w:t xml:space="preserve"> experience and high emotional intelligence</w:t>
      </w:r>
      <w:r w:rsidR="00AF3013">
        <w:t xml:space="preserve"> make good simulation faculty. </w:t>
      </w:r>
      <w:r w:rsidR="00E77AA2">
        <w:t>Perhaps it is time to look critically at develop</w:t>
      </w:r>
      <w:r w:rsidR="002D2D1A">
        <w:t>ment and education of</w:t>
      </w:r>
      <w:r w:rsidR="00E77AA2">
        <w:t xml:space="preserve"> our educators</w:t>
      </w:r>
      <w:r w:rsidR="002D2D1A">
        <w:t>.</w:t>
      </w:r>
      <w:r w:rsidR="00E77AA2">
        <w:t xml:space="preserve"> </w:t>
      </w:r>
    </w:p>
    <w:p w14:paraId="4A8A5255" w14:textId="06A34E3A" w:rsidR="00AF3013" w:rsidRDefault="0070140D" w:rsidP="00AF3013">
      <w:r>
        <w:t>Simulation-based</w:t>
      </w:r>
      <w:r w:rsidR="00AF3013">
        <w:t xml:space="preserve"> educational sessions should include a human factors element and be designed with patient safety at the core.</w:t>
      </w:r>
      <w:r w:rsidR="00751A07">
        <w:t xml:space="preserve"> </w:t>
      </w:r>
      <w:r w:rsidR="00AF3013">
        <w:t xml:space="preserve">Sessions should have a planned trajectory in terms of skill acquisition and pressure. Pressure should be graded in increments with faculty using emotional </w:t>
      </w:r>
      <w:r w:rsidR="00FE3403">
        <w:t>intelligence to interven</w:t>
      </w:r>
      <w:r w:rsidR="00AF3013">
        <w:t xml:space="preserve">e and </w:t>
      </w:r>
      <w:r w:rsidR="00AF3013">
        <w:lastRenderedPageBreak/>
        <w:t>alter pressure for individuals based on their</w:t>
      </w:r>
      <w:r w:rsidR="00FE3403">
        <w:t xml:space="preserve"> personalised rea</w:t>
      </w:r>
      <w:r w:rsidR="00AF3013">
        <w:t xml:space="preserve">ctions with body language, actions and voice.  </w:t>
      </w:r>
    </w:p>
    <w:p w14:paraId="3B0D68ED" w14:textId="40A02020" w:rsidR="00A2406F" w:rsidRDefault="003236BE" w:rsidP="00A2406F">
      <w:r>
        <w:t>In terms of the 12</w:t>
      </w:r>
      <w:r w:rsidR="00A01D85">
        <w:t xml:space="preserve"> best practice</w:t>
      </w:r>
      <w:r w:rsidR="00E77AA2">
        <w:t xml:space="preserve"> features suggested by </w:t>
      </w:r>
      <w:proofErr w:type="spellStart"/>
      <w:r w:rsidR="00E77AA2">
        <w:t>McGaghie</w:t>
      </w:r>
      <w:proofErr w:type="spellEnd"/>
      <w:r w:rsidR="00E77AA2">
        <w:t xml:space="preserve"> et al. (2010)</w:t>
      </w:r>
      <w:r w:rsidR="00A01D85">
        <w:t>,</w:t>
      </w:r>
      <w:r w:rsidR="00E77AA2">
        <w:t xml:space="preserve"> these data concur with</w:t>
      </w:r>
      <w:r>
        <w:t>:</w:t>
      </w:r>
      <w:r w:rsidR="00E77AA2">
        <w:t xml:space="preserve"> </w:t>
      </w:r>
      <w:r w:rsidR="00ED4476">
        <w:t>deliberate practi</w:t>
      </w:r>
      <w:r>
        <w:t>ce, curriculum mapping,</w:t>
      </w:r>
      <w:r w:rsidR="00ED4476">
        <w:t xml:space="preserve"> sk</w:t>
      </w:r>
      <w:r>
        <w:t>ill acquisition and maintenance, mastery learning, transfer to practice, team training,</w:t>
      </w:r>
      <w:r w:rsidR="00ED4476">
        <w:t xml:space="preserve"> high stakes</w:t>
      </w:r>
      <w:r>
        <w:t xml:space="preserve"> training,</w:t>
      </w:r>
      <w:r w:rsidR="00ED4476">
        <w:t xml:space="preserve"> instructor training and educational and professional context</w:t>
      </w:r>
      <w:r>
        <w:t>. However</w:t>
      </w:r>
      <w:r w:rsidR="00A01D85">
        <w:t xml:space="preserve"> they</w:t>
      </w:r>
      <w:r w:rsidR="00ED4476">
        <w:t xml:space="preserve"> would change </w:t>
      </w:r>
      <w:r w:rsidR="00A01D85">
        <w:t>‘</w:t>
      </w:r>
      <w:r w:rsidR="00ED4476">
        <w:t>feedback</w:t>
      </w:r>
      <w:r w:rsidR="00A01D85">
        <w:t>’</w:t>
      </w:r>
      <w:r w:rsidR="00ED4476">
        <w:t xml:space="preserve"> to </w:t>
      </w:r>
      <w:r w:rsidR="00A01D85">
        <w:t>‘</w:t>
      </w:r>
      <w:r w:rsidR="00ED4476">
        <w:t>debriefing</w:t>
      </w:r>
      <w:r w:rsidR="00A01D85">
        <w:t>’</w:t>
      </w:r>
      <w:r w:rsidR="00ED4476">
        <w:t xml:space="preserve"> and </w:t>
      </w:r>
      <w:r w:rsidR="00A01D85">
        <w:t>‘</w:t>
      </w:r>
      <w:r w:rsidR="00ED4476">
        <w:t>simulation fidelity</w:t>
      </w:r>
      <w:r w:rsidR="00A01D85">
        <w:t>’</w:t>
      </w:r>
      <w:r w:rsidR="00ED4476">
        <w:t xml:space="preserve"> to </w:t>
      </w:r>
      <w:r w:rsidR="00A01D85">
        <w:t>‘</w:t>
      </w:r>
      <w:r w:rsidR="00ED4476">
        <w:t>psychological fidelity</w:t>
      </w:r>
      <w:r w:rsidR="00A01D85">
        <w:t>’</w:t>
      </w:r>
      <w:r w:rsidR="00ED4476">
        <w:t xml:space="preserve">. Team training would be swapped to </w:t>
      </w:r>
      <w:r w:rsidR="00A645DC">
        <w:t>interprofessional</w:t>
      </w:r>
      <w:r w:rsidR="00ED4476">
        <w:t xml:space="preserve"> learning and further additions include</w:t>
      </w:r>
      <w:r w:rsidR="00A01D85">
        <w:t xml:space="preserve"> the importance of</w:t>
      </w:r>
      <w:r w:rsidR="00ED4476">
        <w:t xml:space="preserve"> </w:t>
      </w:r>
      <w:r>
        <w:t>the emergence of learning outcomes, consequence learning,</w:t>
      </w:r>
      <w:r w:rsidR="00ED4476">
        <w:t xml:space="preserve"> responsibility and </w:t>
      </w:r>
      <w:r w:rsidR="00905C08">
        <w:t>practice</w:t>
      </w:r>
      <w:r w:rsidR="00ED4476">
        <w:t xml:space="preserve"> under pressure. </w:t>
      </w:r>
    </w:p>
    <w:p w14:paraId="07D8D569" w14:textId="2FDC7EE3" w:rsidR="00F70692" w:rsidRDefault="00A2406F" w:rsidP="00F70692">
      <w:r>
        <w:t xml:space="preserve">Simulation has been reported to be ‘episodic, locally driven, unsupported by a wider curriculum, ad hoc and driven by enthusiasts on available equipment’ </w:t>
      </w:r>
      <w:r>
        <w:fldChar w:fldCharType="begin"/>
      </w:r>
      <w:r>
        <w:instrText xml:space="preserve"> ADDIN EN.CITE &lt;EndNote&gt;&lt;Cite&gt;&lt;Author&gt;Kneebone&lt;/Author&gt;&lt;Year&gt;2009&lt;/Year&gt;&lt;IDText&gt;Perspective: Simulation and transformational change: the paradox of expertise&lt;/IDText&gt;&lt;DisplayText&gt;(Kneebone, 2009)&lt;/DisplayText&gt;&lt;record&gt;&lt;dates&gt;&lt;pub-dates&gt;&lt;date&gt;Jul&lt;/date&gt;&lt;/pub-dates&gt;&lt;year&gt;2009&lt;/year&gt;&lt;/dates&gt;&lt;keywords&gt;&lt;keyword&gt;Attitude of Health Personnel&lt;/keyword&gt;&lt;keyword&gt;Clinical Competence&lt;/keyword&gt;&lt;keyword&gt;Curriculum&lt;/keyword&gt;&lt;keyword&gt;Education, Medical&lt;/keyword&gt;&lt;keyword&gt;Humans&lt;/keyword&gt;&lt;keyword&gt;Manikins&lt;/keyword&gt;&lt;keyword&gt;Metaphor&lt;/keyword&gt;&lt;keyword&gt;Patient Simulation&lt;/keyword&gt;&lt;keyword&gt;Problem-Based Learning&lt;/keyword&gt;&lt;/keywords&gt;&lt;urls&gt;&lt;related-urls&gt;&lt;url&gt;http://www.ncbi.nlm.nih.gov/pubmed/19550196&lt;/url&gt;&lt;/related-urls&gt;&lt;/urls&gt;&lt;isbn&gt;1938-808X&lt;/isbn&gt;&lt;titles&gt;&lt;title&gt;Perspective: Simulation and transformational change: the paradox of expertise&lt;/title&gt;&lt;secondary-title&gt;Acad Med&lt;/secondary-title&gt;&lt;/titles&gt;&lt;pages&gt;954-7&lt;/pages&gt;&lt;number&gt;7&lt;/number&gt;&lt;contributors&gt;&lt;authors&gt;&lt;author&gt;Kneebone, R.&lt;/author&gt;&lt;/authors&gt;&lt;/contributors&gt;&lt;language&gt;eng&lt;/language&gt;&lt;added-date format="utc"&gt;1458296674&lt;/added-date&gt;&lt;ref-type name="Journal Article"&gt;17&lt;/ref-type&gt;&lt;rec-number&gt;224&lt;/rec-number&gt;&lt;last-updated-date format="utc"&gt;1458296674&lt;/last-updated-date&gt;&lt;accession-num&gt;19550196&lt;/accession-num&gt;&lt;electronic-resource-num&gt;10.1097/ACM.0b013e3181a843d6&lt;/electronic-resource-num&gt;&lt;volume&gt;84&lt;/volume&gt;&lt;/record&gt;&lt;/Cite&gt;&lt;/EndNote&gt;</w:instrText>
      </w:r>
      <w:r>
        <w:fldChar w:fldCharType="separate"/>
      </w:r>
      <w:r>
        <w:rPr>
          <w:noProof/>
        </w:rPr>
        <w:t>(Kneebone, 2009)</w:t>
      </w:r>
      <w:r>
        <w:fldChar w:fldCharType="end"/>
      </w:r>
      <w:r>
        <w:t>. These data highlight the fact that many forms of simulation can be employed (co</w:t>
      </w:r>
      <w:r w:rsidR="0065702A">
        <w:t>gnitive simulation, simple part-</w:t>
      </w:r>
      <w:r>
        <w:t>task train</w:t>
      </w:r>
      <w:r w:rsidR="0065702A">
        <w:t>ers, simulated patients, actors</w:t>
      </w:r>
      <w:r>
        <w:t xml:space="preserve"> </w:t>
      </w:r>
      <w:r w:rsidR="0065702A">
        <w:t xml:space="preserve">and </w:t>
      </w:r>
      <w:r>
        <w:t>mannequins)</w:t>
      </w:r>
      <w:r w:rsidR="0065702A">
        <w:t>,</w:t>
      </w:r>
      <w:r>
        <w:t xml:space="preserve"> and that psychological</w:t>
      </w:r>
      <w:r w:rsidR="0065702A">
        <w:t xml:space="preserve"> fidelity is more important than</w:t>
      </w:r>
      <w:r>
        <w:t xml:space="preserve"> equipment. This means it should be possible for all medical schools to address these issues with current available resources to run regular, quality simulated sessions with robust educational principles. Sessions do not need to be run in an expensive dedicated simulation centre, </w:t>
      </w:r>
      <w:r w:rsidR="0065702A">
        <w:t>al</w:t>
      </w:r>
      <w:r>
        <w:t xml:space="preserve">though authenticity is key so environment should be </w:t>
      </w:r>
      <w:r w:rsidR="00C41480">
        <w:t>optimised</w:t>
      </w:r>
      <w:r>
        <w:t>.</w:t>
      </w:r>
      <w:r w:rsidR="00F70692" w:rsidRPr="00F70692">
        <w:t xml:space="preserve"> </w:t>
      </w:r>
    </w:p>
    <w:p w14:paraId="6182276D" w14:textId="38FCA521" w:rsidR="007878E7" w:rsidRDefault="00F70692" w:rsidP="00F70692">
      <w:r>
        <w:t>Structured, timely and facilitative debri</w:t>
      </w:r>
      <w:r w:rsidR="00257B68">
        <w:t xml:space="preserve">efing on </w:t>
      </w:r>
      <w:r w:rsidR="0065702A">
        <w:t xml:space="preserve">the </w:t>
      </w:r>
      <w:r w:rsidR="00257B68">
        <w:t>student’s performance wa</w:t>
      </w:r>
      <w:r>
        <w:t>s important to help develop indiv</w:t>
      </w:r>
      <w:r w:rsidR="00257B68">
        <w:t xml:space="preserve">idual reflective practice. Self-correction was </w:t>
      </w:r>
      <w:r w:rsidR="00257B68">
        <w:lastRenderedPageBreak/>
        <w:t>encouraged through</w:t>
      </w:r>
      <w:r>
        <w:t xml:space="preserve"> </w:t>
      </w:r>
      <w:r w:rsidR="00257B68">
        <w:t xml:space="preserve">increased </w:t>
      </w:r>
      <w:r>
        <w:t>aware</w:t>
      </w:r>
      <w:r w:rsidR="00257B68">
        <w:t>ness</w:t>
      </w:r>
      <w:r>
        <w:t xml:space="preserve"> </w:t>
      </w:r>
      <w:r w:rsidR="0029775B">
        <w:t xml:space="preserve">of own strengths and weaknesses, learning </w:t>
      </w:r>
      <w:r>
        <w:t xml:space="preserve">how to adjust behaviour. </w:t>
      </w:r>
      <w:r w:rsidR="0029775B">
        <w:t>R</w:t>
      </w:r>
      <w:r>
        <w:t xml:space="preserve">ecognition of stress and </w:t>
      </w:r>
      <w:r w:rsidR="0029775B">
        <w:t xml:space="preserve">experience of </w:t>
      </w:r>
      <w:r>
        <w:t xml:space="preserve">cognitive overload </w:t>
      </w:r>
      <w:r w:rsidR="0029775B">
        <w:t xml:space="preserve">allowed </w:t>
      </w:r>
      <w:r>
        <w:t xml:space="preserve">help and support </w:t>
      </w:r>
      <w:r w:rsidR="0029775B">
        <w:t xml:space="preserve">to be sought </w:t>
      </w:r>
      <w:r>
        <w:t>before</w:t>
      </w:r>
      <w:r w:rsidR="00751A07">
        <w:t xml:space="preserve"> </w:t>
      </w:r>
      <w:r w:rsidR="0029775B">
        <w:t>becoming ‘paralysed’ (</w:t>
      </w:r>
      <w:r w:rsidR="00173DE4">
        <w:t>focus group</w:t>
      </w:r>
      <w:r w:rsidR="0029775B">
        <w:t xml:space="preserve"> 4, field notes)</w:t>
      </w:r>
      <w:r>
        <w:t>.</w:t>
      </w:r>
      <w:r w:rsidR="002D2D1A" w:rsidRPr="002D2D1A">
        <w:t xml:space="preserve"> </w:t>
      </w:r>
    </w:p>
    <w:p w14:paraId="1D9DA6AC" w14:textId="4A3CADEE" w:rsidR="00F70692" w:rsidRDefault="00F70692" w:rsidP="00F70692">
      <w:r>
        <w:t xml:space="preserve">It is widely considered unethical to not debrief a </w:t>
      </w:r>
      <w:r w:rsidR="00953D8C">
        <w:t>c</w:t>
      </w:r>
      <w:r w:rsidR="005F705F">
        <w:t>andidate</w:t>
      </w:r>
      <w:r>
        <w:t xml:space="preserve"> </w:t>
      </w:r>
      <w:r w:rsidR="00C41480">
        <w:t>following</w:t>
      </w:r>
      <w:r>
        <w:t xml:space="preserve"> a simulated experience and it is unclear why this is not the case following every teaching session. Other studies have found with skill acquisition that students must receive feedback otherwise there is ‘no effect on long-term competence’ </w:t>
      </w:r>
      <w:r>
        <w:fldChar w:fldCharType="begin"/>
      </w:r>
      <w:r>
        <w:instrText xml:space="preserve"> ADDIN EN.CITE &lt;EndNote&gt;&lt;Cite&gt;&lt;Author&gt;Dehmer&lt;/Author&gt;&lt;Year&gt;2013&lt;/Year&gt;&lt;IDText&gt;Competence and confidence with basic procedural skills: the experience and opinions of fourth-year medical students at a single institution&lt;/IDText&gt;&lt;DisplayText&gt;(Dehmer et al., 2013)&lt;/DisplayText&gt;&lt;record&gt;&lt;dates&gt;&lt;pub-dates&gt;&lt;date&gt;May&lt;/date&gt;&lt;/pub-dates&gt;&lt;year&gt;2013&lt;/year&gt;&lt;/dates&gt;&lt;keywords&gt;&lt;keyword&gt;Adult&lt;/keyword&gt;&lt;keyword&gt;Analysis of Variance&lt;/keyword&gt;&lt;keyword&gt;Clinical Competence&lt;/keyword&gt;&lt;keyword&gt;Education, Medical, Undergraduate&lt;/keyword&gt;&lt;keyword&gt;Female&lt;/keyword&gt;&lt;keyword&gt;Humans&lt;/keyword&gt;&lt;keyword&gt;Male&lt;/keyword&gt;&lt;keyword&gt;North Carolina&lt;/keyword&gt;&lt;keyword&gt;Self Efficacy&lt;/keyword&gt;&lt;keyword&gt;Self Report&lt;/keyword&gt;&lt;keyword&gt;Students, Medical&lt;/keyword&gt;&lt;/keywords&gt;&lt;urls&gt;&lt;related-urls&gt;&lt;url&gt;https://www.ncbi.nlm.nih.gov/pubmed/23524922&lt;/url&gt;&lt;/related-urls&gt;&lt;/urls&gt;&lt;isbn&gt;1938-808X&lt;/isbn&gt;&lt;titles&gt;&lt;title&gt;Competence and confidence with basic procedural skills: the experience and opinions of fourth-year medical students at a single institution&lt;/title&gt;&lt;secondary-title&gt;Acad Med&lt;/secondary-title&gt;&lt;/titles&gt;&lt;pages&gt;682-7&lt;/pages&gt;&lt;number&gt;5&lt;/number&gt;&lt;contributors&gt;&lt;authors&gt;&lt;author&gt;Dehmer, J. J.&lt;/author&gt;&lt;author&gt;Amos, K. D.&lt;/author&gt;&lt;author&gt;Farrell, T. M.&lt;/author&gt;&lt;author&gt;Meyer, A. A.&lt;/author&gt;&lt;author&gt;Newton, W. P.&lt;/author&gt;&lt;author&gt;Meyers, M. O.&lt;/author&gt;&lt;/authors&gt;&lt;/contributors&gt;&lt;language&gt;eng&lt;/language&gt;&lt;added-date format="utc"&gt;1472723916&lt;/added-date&gt;&lt;ref-type name="Journal Article"&gt;17&lt;/ref-type&gt;&lt;rec-number&gt;288&lt;/rec-number&gt;&lt;last-updated-date format="utc"&gt;1472723916&lt;/last-updated-date&gt;&lt;accession-num&gt;23524922&lt;/accession-num&gt;&lt;electronic-resource-num&gt;10.1097/ACM.0b013e31828b0007&lt;/electronic-resource-num&gt;&lt;volume&gt;88&lt;/volume&gt;&lt;/record&gt;&lt;/Cite&gt;&lt;/EndNote&gt;</w:instrText>
      </w:r>
      <w:r>
        <w:fldChar w:fldCharType="separate"/>
      </w:r>
      <w:r>
        <w:rPr>
          <w:noProof/>
        </w:rPr>
        <w:t>(Dehmer et al., 2013)</w:t>
      </w:r>
      <w:r>
        <w:fldChar w:fldCharType="end"/>
      </w:r>
      <w:r>
        <w:t>. This study would support that where possible</w:t>
      </w:r>
      <w:r w:rsidR="0029775B">
        <w:t>,</w:t>
      </w:r>
      <w:r>
        <w:t xml:space="preserve"> educational sessions should include a debriefing session to encourage personal discovery to lead to more powerful learning. This should not be unique to simulation. Educators should be trained and mentored in debriefing because it is a complex skill. </w:t>
      </w:r>
      <w:r w:rsidR="0029775B">
        <w:t>D</w:t>
      </w:r>
      <w:r>
        <w:t xml:space="preserve">ebriefing </w:t>
      </w:r>
      <w:r w:rsidR="0029775B">
        <w:t xml:space="preserve">depicts </w:t>
      </w:r>
      <w:r>
        <w:t xml:space="preserve">a more </w:t>
      </w:r>
      <w:r w:rsidR="00C41480">
        <w:t>facilitated</w:t>
      </w:r>
      <w:r w:rsidR="0029775B">
        <w:t xml:space="preserve"> learning </w:t>
      </w:r>
      <w:r w:rsidR="00C41480">
        <w:t>journey</w:t>
      </w:r>
      <w:r w:rsidR="0029775B">
        <w:t xml:space="preserve"> where</w:t>
      </w:r>
      <w:r>
        <w:t xml:space="preserve"> the </w:t>
      </w:r>
      <w:r w:rsidR="00487A90">
        <w:t>c</w:t>
      </w:r>
      <w:r w:rsidR="005F705F">
        <w:t>andidate</w:t>
      </w:r>
      <w:r>
        <w:t xml:space="preserve"> </w:t>
      </w:r>
      <w:r w:rsidR="0029775B">
        <w:t>is doing more talking than</w:t>
      </w:r>
      <w:r>
        <w:t xml:space="preserve"> </w:t>
      </w:r>
      <w:r w:rsidR="0065702A">
        <w:t xml:space="preserve">their </w:t>
      </w:r>
      <w:r>
        <w:t xml:space="preserve">facilitator. This is a huge step away from historic and didactic methods but </w:t>
      </w:r>
      <w:r w:rsidR="0029775B">
        <w:t xml:space="preserve">felt </w:t>
      </w:r>
      <w:r>
        <w:t xml:space="preserve">key in </w:t>
      </w:r>
      <w:r w:rsidR="0029775B">
        <w:t xml:space="preserve">supporting </w:t>
      </w:r>
      <w:r w:rsidR="00C41480">
        <w:t>self-regulation</w:t>
      </w:r>
      <w:r>
        <w:t xml:space="preserve">, </w:t>
      </w:r>
      <w:r w:rsidR="002D2D1A">
        <w:t>Faculty shared stories and personal experiences, creating an open culture through honesty about mistakes, feelings and emotions, believed to help develop emotional resilience.</w:t>
      </w:r>
    </w:p>
    <w:p w14:paraId="4CD4C9E5" w14:textId="5A8E9728" w:rsidR="00F85EA0" w:rsidRDefault="00F85EA0" w:rsidP="00F85EA0">
      <w:r>
        <w:t xml:space="preserve">The project was restricted by </w:t>
      </w:r>
      <w:r w:rsidR="00A01D85">
        <w:t xml:space="preserve">use of only two medical school and limited to the UK. The research </w:t>
      </w:r>
      <w:r w:rsidR="0087581E">
        <w:t>focused</w:t>
      </w:r>
      <w:r w:rsidR="00A01D85">
        <w:t xml:space="preserve"> upon </w:t>
      </w:r>
      <w:r w:rsidR="00C41480">
        <w:t>preparedness, which</w:t>
      </w:r>
      <w:r w:rsidR="00A01D85">
        <w:t xml:space="preserve"> was found to be very complex when planning the study outcomes. Ethical consideratio</w:t>
      </w:r>
      <w:r>
        <w:t>n</w:t>
      </w:r>
      <w:r w:rsidR="00A01D85">
        <w:t>s</w:t>
      </w:r>
      <w:r>
        <w:t xml:space="preserve"> precluded the use of a </w:t>
      </w:r>
      <w:r w:rsidR="00A01D85">
        <w:t xml:space="preserve">separate </w:t>
      </w:r>
      <w:r>
        <w:t>control group</w:t>
      </w:r>
      <w:r w:rsidR="00F70692">
        <w:t xml:space="preserve"> for the final study</w:t>
      </w:r>
      <w:r w:rsidR="00A01D85">
        <w:t>.</w:t>
      </w:r>
    </w:p>
    <w:p w14:paraId="7F3C52C9" w14:textId="196367A9" w:rsidR="00F70692" w:rsidRDefault="00990CFC" w:rsidP="00F85EA0">
      <w:r>
        <w:lastRenderedPageBreak/>
        <w:t>It can be concluded that there is a need for increased responsibility in the undergraduate curriculum and a need for individualised learning in terms of level of pressure through experiential learning, whic</w:t>
      </w:r>
      <w:r w:rsidR="0029775B">
        <w:t>h must include effective debrie</w:t>
      </w:r>
      <w:r>
        <w:t>f</w:t>
      </w:r>
      <w:r w:rsidR="0029775B">
        <w:t>i</w:t>
      </w:r>
      <w:r>
        <w:t xml:space="preserve">ng. </w:t>
      </w:r>
      <w:r w:rsidR="0029775B">
        <w:t>Students should be embedded in</w:t>
      </w:r>
      <w:r w:rsidR="00F70692">
        <w:t xml:space="preserve"> clinical team</w:t>
      </w:r>
      <w:r w:rsidR="0029775B">
        <w:t>s,</w:t>
      </w:r>
      <w:r w:rsidR="00F70692">
        <w:t xml:space="preserve"> so student and team feel they belong and a relationship can be built. </w:t>
      </w:r>
      <w:r>
        <w:t xml:space="preserve">Allowing graded practice under pressure with authentic graded responsibility is key to enhancing preparedness. </w:t>
      </w:r>
    </w:p>
    <w:p w14:paraId="7E33363B" w14:textId="2D6DF5A4" w:rsidR="00F85EA0" w:rsidRDefault="00F85EA0" w:rsidP="00F85EA0">
      <w:r>
        <w:t>The evidence fr</w:t>
      </w:r>
      <w:r w:rsidR="0029775B">
        <w:t xml:space="preserve">om this research suggests that </w:t>
      </w:r>
      <w:r>
        <w:t xml:space="preserve">the </w:t>
      </w:r>
      <w:r w:rsidR="00C41480">
        <w:t>undergraduate</w:t>
      </w:r>
      <w:r>
        <w:t xml:space="preserve"> curriculum should be evaluated to ensure opportunity for these described elements is maximised to improve preparedness.</w:t>
      </w:r>
      <w:r w:rsidR="0029775B">
        <w:t xml:space="preserve"> M</w:t>
      </w:r>
      <w:r>
        <w:t>ore needs to be done.</w:t>
      </w:r>
      <w:r w:rsidR="00F70692" w:rsidRPr="00F70692">
        <w:t xml:space="preserve"> </w:t>
      </w:r>
      <w:r w:rsidR="00F70692">
        <w:t xml:space="preserve">Using experiential learning in an authentic clinical environment does not </w:t>
      </w:r>
      <w:r w:rsidR="00C41480">
        <w:t>necessarily</w:t>
      </w:r>
      <w:r w:rsidR="00F70692">
        <w:t xml:space="preserve"> mean simulation</w:t>
      </w:r>
      <w:r w:rsidR="00ED76EE">
        <w:t>, however</w:t>
      </w:r>
      <w:r w:rsidR="00F70692">
        <w:t xml:space="preserve"> while ethical and safety issues </w:t>
      </w:r>
      <w:r w:rsidR="00ED76EE">
        <w:t xml:space="preserve">remain </w:t>
      </w:r>
      <w:r w:rsidR="00F70692">
        <w:t xml:space="preserve">with grading responsibility in </w:t>
      </w:r>
      <w:r w:rsidR="00C41480">
        <w:t>clinical</w:t>
      </w:r>
      <w:r w:rsidR="00F70692">
        <w:t xml:space="preserve"> spaces, then simulation designed to the standards described in this study offers a solution.</w:t>
      </w:r>
      <w:r w:rsidR="00751A07" w:rsidRPr="00751A07">
        <w:t xml:space="preserve"> </w:t>
      </w:r>
      <w:r w:rsidR="00751A07">
        <w:t xml:space="preserve">Others concur that ‘performance in the ward can successfully be recreated in simulation </w:t>
      </w:r>
      <w:r w:rsidR="00751A07">
        <w:fldChar w:fldCharType="begin"/>
      </w:r>
      <w:r w:rsidR="00751A07">
        <w:instrText xml:space="preserve"> ADDIN EN.CITE &lt;EndNote&gt;&lt;Cite&gt;&lt;Author&gt;Ker&lt;/Author&gt;&lt;Year&gt;2006&lt;/Year&gt;&lt;IDText&gt;Can a ward simulation exercise achieve the realism that reflects the complexity of everyday practice junior doctors encounter?&lt;/IDText&gt;&lt;DisplayText&gt;(Ker et al., 2006)&lt;/DisplayText&gt;&lt;record&gt;&lt;dates&gt;&lt;pub-dates&gt;&lt;date&gt;Jun&lt;/date&gt;&lt;/pub-dates&gt;&lt;year&gt;2006&lt;/year&gt;&lt;/dates&gt;&lt;keywords&gt;&lt;keyword&gt;Clinical Competence&lt;/keyword&gt;&lt;keyword&gt;Education, Medical&lt;/keyword&gt;&lt;keyword&gt;Hospitals&lt;/keyword&gt;&lt;keyword&gt;Humans&lt;/keyword&gt;&lt;keyword&gt;Interviews as Topic&lt;/keyword&gt;&lt;keyword&gt;Manikins&lt;/keyword&gt;&lt;keyword&gt;Patient Care Team&lt;/keyword&gt;&lt;keyword&gt;Patients&amp;apos; Rooms&lt;/keyword&gt;&lt;keyword&gt;Physicians&lt;/keyword&gt;&lt;keyword&gt;Surveys and Questionnaires&lt;/keyword&gt;&lt;keyword&gt;Teaching&lt;/keyword&gt;&lt;/keywords&gt;&lt;urls&gt;&lt;related-urls&gt;&lt;url&gt;https://www.ncbi.nlm.nih.gov/pubmed/16807171&lt;/url&gt;&lt;/related-urls&gt;&lt;/urls&gt;&lt;isbn&gt;1466-187X&lt;/isbn&gt;&lt;titles&gt;&lt;title&gt;Can a ward simulation exercise achieve the realism that reflects the complexity of everyday practice junior doctors encounter?&lt;/title&gt;&lt;secondary-title&gt;Med Teach&lt;/secondary-title&gt;&lt;/titles&gt;&lt;pages&gt;330-4&lt;/pages&gt;&lt;number&gt;4&lt;/number&gt;&lt;contributors&gt;&lt;authors&gt;&lt;author&gt;Ker, J. S.&lt;/author&gt;&lt;author&gt;Hesketh, E. A.&lt;/author&gt;&lt;author&gt;Anderson, F.&lt;/author&gt;&lt;author&gt;Johnston, D. A.&lt;/author&gt;&lt;/authors&gt;&lt;/contributors&gt;&lt;language&gt;eng&lt;/language&gt;&lt;added-date format="utc"&gt;1474541382&lt;/added-date&gt;&lt;ref-type name="Journal Article"&gt;17&lt;/ref-type&gt;&lt;rec-number&gt;311&lt;/rec-number&gt;&lt;last-updated-date format="utc"&gt;1474541382&lt;/last-updated-date&gt;&lt;accession-num&gt;16807171&lt;/accession-num&gt;&lt;electronic-resource-num&gt;10.1080/01421590600627623&lt;/electronic-resource-num&gt;&lt;volume&gt;28&lt;/volume&gt;&lt;/record&gt;&lt;/Cite&gt;&lt;/EndNote&gt;</w:instrText>
      </w:r>
      <w:r w:rsidR="00751A07">
        <w:fldChar w:fldCharType="separate"/>
      </w:r>
      <w:r w:rsidR="00751A07">
        <w:rPr>
          <w:noProof/>
        </w:rPr>
        <w:t>(Ker et al., 2006)</w:t>
      </w:r>
      <w:r w:rsidR="00751A07">
        <w:fldChar w:fldCharType="end"/>
      </w:r>
      <w:r w:rsidR="00751A07">
        <w:t xml:space="preserve">. </w:t>
      </w:r>
    </w:p>
    <w:p w14:paraId="208F0CFE" w14:textId="38CC01DD" w:rsidR="00A2406F" w:rsidRDefault="00A2406F" w:rsidP="00A2406F">
      <w:r>
        <w:t xml:space="preserve">Further work needs to address how to integrate further meaningful opportunity for responsibility and </w:t>
      </w:r>
      <w:r w:rsidR="00A645DC">
        <w:t>interprofessional</w:t>
      </w:r>
      <w:r>
        <w:t xml:space="preserve"> learning in the undergraduate curriculum</w:t>
      </w:r>
      <w:r w:rsidR="00F70692">
        <w:t xml:space="preserve"> and to embed students within the clinical team with a central role</w:t>
      </w:r>
      <w:r>
        <w:t>.</w:t>
      </w:r>
    </w:p>
    <w:p w14:paraId="16CD1CCE" w14:textId="61DAD4DF" w:rsidR="00AF3013" w:rsidRPr="00AF3013" w:rsidRDefault="00A2406F" w:rsidP="00AF3013">
      <w:r>
        <w:t xml:space="preserve">It would be </w:t>
      </w:r>
      <w:r w:rsidR="00712AEE">
        <w:t xml:space="preserve">of </w:t>
      </w:r>
      <w:r>
        <w:t>interes</w:t>
      </w:r>
      <w:r w:rsidR="00712AEE">
        <w:t>t</w:t>
      </w:r>
      <w:r>
        <w:t xml:space="preserve"> to explore </w:t>
      </w:r>
      <w:r w:rsidR="00C41480">
        <w:t>resilience</w:t>
      </w:r>
      <w:r>
        <w:t xml:space="preserve"> and emotional preparedness in more detail and effects of varying forms of feedback versus </w:t>
      </w:r>
      <w:r w:rsidR="00C41480">
        <w:t>debriefing</w:t>
      </w:r>
      <w:r>
        <w:t xml:space="preserve"> on learning.</w:t>
      </w:r>
    </w:p>
    <w:p w14:paraId="1A1318A9" w14:textId="69A5CC0E" w:rsidR="00923BD6" w:rsidRDefault="00923BD6" w:rsidP="00923BD6"/>
    <w:p w14:paraId="57B63D10" w14:textId="77777777" w:rsidR="003C6579" w:rsidRDefault="003C6579" w:rsidP="00923BD6">
      <w:pPr>
        <w:sectPr w:rsidR="003C6579" w:rsidSect="005F454B">
          <w:pgSz w:w="11900" w:h="16840"/>
          <w:pgMar w:top="1134" w:right="1134" w:bottom="1134" w:left="2268" w:header="1134" w:footer="1134" w:gutter="0"/>
          <w:cols w:space="708"/>
          <w:docGrid w:linePitch="360"/>
        </w:sectPr>
      </w:pPr>
    </w:p>
    <w:p w14:paraId="216DF9D3" w14:textId="47D71F70" w:rsidR="003C6579" w:rsidRDefault="001D42C9" w:rsidP="006F09AC">
      <w:pPr>
        <w:pStyle w:val="Heading1"/>
      </w:pPr>
      <w:bookmarkStart w:id="448" w:name="_Toc343501262"/>
      <w:bookmarkStart w:id="449" w:name="_Toc348686457"/>
      <w:bookmarkStart w:id="450" w:name="_Toc419116213"/>
      <w:r>
        <w:lastRenderedPageBreak/>
        <w:t>Chapter</w:t>
      </w:r>
      <w:r w:rsidR="008E3493">
        <w:t xml:space="preserve"> 11</w:t>
      </w:r>
      <w:r w:rsidR="003C6579" w:rsidRPr="00F003A8">
        <w:t>: Recommendations for future work</w:t>
      </w:r>
      <w:bookmarkEnd w:id="448"/>
      <w:bookmarkEnd w:id="449"/>
      <w:bookmarkEnd w:id="450"/>
    </w:p>
    <w:p w14:paraId="3397B8EF" w14:textId="77777777" w:rsidR="00243AB8" w:rsidRDefault="00243AB8" w:rsidP="00243AB8"/>
    <w:p w14:paraId="4EA0831B" w14:textId="4AAC3B0C" w:rsidR="00A53323" w:rsidRDefault="0098142F" w:rsidP="00846CF9">
      <w:r>
        <w:rPr>
          <w:noProof/>
          <w:lang w:val="en-US"/>
        </w:rPr>
        <w:drawing>
          <wp:inline distT="0" distB="0" distL="0" distR="0" wp14:anchorId="135B3FD1" wp14:editId="4179BF2E">
            <wp:extent cx="4780280" cy="7565390"/>
            <wp:effectExtent l="19050" t="19050" r="20320" b="35560"/>
            <wp:docPr id="78" name="Diagram 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5" r:lo="rId176" r:qs="rId177" r:cs="rId178"/>
              </a:graphicData>
            </a:graphic>
          </wp:inline>
        </w:drawing>
      </w:r>
    </w:p>
    <w:p w14:paraId="589DF5DF" w14:textId="7B5ABE9D" w:rsidR="002D0F88" w:rsidRDefault="008F24C1" w:rsidP="00846CF9">
      <w:r>
        <w:lastRenderedPageBreak/>
        <w:t>Responsibility was core to supporting preparedness. Additional methods for creating opportunity for responsibility for medical students in the clinical environment should be explored</w:t>
      </w:r>
      <w:r w:rsidR="0093043C">
        <w:t xml:space="preserve"> amongst underg</w:t>
      </w:r>
      <w:r w:rsidR="000177EA">
        <w:t>ra</w:t>
      </w:r>
      <w:r w:rsidR="002D0F88">
        <w:t>duate curricula</w:t>
      </w:r>
      <w:r>
        <w:t xml:space="preserve">. Methods to allow meaningful </w:t>
      </w:r>
      <w:r w:rsidR="007007E5">
        <w:t>interprofessional</w:t>
      </w:r>
      <w:r>
        <w:t xml:space="preserve"> learning in clinical areas is required and perhaps a comparison of student outcomes with those given additional responsibility with a role on the ward and those not. Qualitative views would be of interest from a student, patient and team perspective about what this adds from an educational and preparedness perspective. It is an exciting time for medical education, with increasing availability for </w:t>
      </w:r>
      <w:r w:rsidR="007007E5">
        <w:t>simulation-based</w:t>
      </w:r>
      <w:r>
        <w:t xml:space="preserve"> learning. I believe it is vital to </w:t>
      </w:r>
      <w:r w:rsidR="007007E5">
        <w:t>explore</w:t>
      </w:r>
      <w:r>
        <w:t xml:space="preserve"> the use of current educational methodology used in undergraduate medical schools to ensu</w:t>
      </w:r>
      <w:r w:rsidR="002D0F88">
        <w:t>re we are better preparing stud</w:t>
      </w:r>
      <w:r>
        <w:t>e</w:t>
      </w:r>
      <w:r w:rsidR="002D0F88">
        <w:t>n</w:t>
      </w:r>
      <w:r>
        <w:t>ts for clinical practice</w:t>
      </w:r>
      <w:r w:rsidR="0093043C">
        <w:t xml:space="preserve"> through allowing authentic role and responsibility</w:t>
      </w:r>
      <w:r>
        <w:t>. Meaningful interprofe</w:t>
      </w:r>
      <w:r w:rsidR="0093043C">
        <w:t>ssional learning for</w:t>
      </w:r>
      <w:r>
        <w:t xml:space="preserve"> students </w:t>
      </w:r>
      <w:r w:rsidR="002D0F88">
        <w:t>being re</w:t>
      </w:r>
      <w:r w:rsidR="0093043C">
        <w:t>s</w:t>
      </w:r>
      <w:r w:rsidR="002D0F88">
        <w:t>ponsible</w:t>
      </w:r>
      <w:r>
        <w:t xml:space="preserve"> for a patient whether simulated or not appears to be a key aspect to this. </w:t>
      </w:r>
      <w:r w:rsidR="000177EA">
        <w:t>If we are to work well tog</w:t>
      </w:r>
      <w:r w:rsidR="002D0F88">
        <w:t>e</w:t>
      </w:r>
      <w:r w:rsidR="000177EA">
        <w:t>t</w:t>
      </w:r>
      <w:r w:rsidR="002D0F88">
        <w:t xml:space="preserve">her in the clinical </w:t>
      </w:r>
      <w:r w:rsidR="007007E5">
        <w:t>environment</w:t>
      </w:r>
      <w:r w:rsidR="000177EA">
        <w:t xml:space="preserve"> f</w:t>
      </w:r>
      <w:r w:rsidR="002D0F88">
        <w:t>r</w:t>
      </w:r>
      <w:r w:rsidR="000177EA">
        <w:t>o</w:t>
      </w:r>
      <w:r w:rsidR="002D0F88">
        <w:t xml:space="preserve">m day </w:t>
      </w:r>
      <w:r w:rsidR="0093043C">
        <w:t>one we need to train well toget</w:t>
      </w:r>
      <w:r w:rsidR="002D0F88">
        <w:t xml:space="preserve">her and break down the current model of learning in silos. </w:t>
      </w:r>
    </w:p>
    <w:p w14:paraId="2D94CCF0" w14:textId="71B9ECF7" w:rsidR="008F24C1" w:rsidRDefault="008F24C1" w:rsidP="00846CF9">
      <w:r>
        <w:t xml:space="preserve">Though it is important </w:t>
      </w:r>
      <w:r w:rsidR="002D0F88">
        <w:t>to break down skills as we learn</w:t>
      </w:r>
      <w:r>
        <w:t xml:space="preserve"> at undergraduate level we must make sure we have allowed time for these </w:t>
      </w:r>
      <w:r w:rsidR="000177EA">
        <w:t>de</w:t>
      </w:r>
      <w:r>
        <w:t>con</w:t>
      </w:r>
      <w:r w:rsidR="0093043C">
        <w:t>s</w:t>
      </w:r>
      <w:r>
        <w:t xml:space="preserve">tructed skills to be </w:t>
      </w:r>
      <w:r w:rsidR="000177EA">
        <w:t>reconstructed</w:t>
      </w:r>
      <w:r>
        <w:t xml:space="preserve"> and practiced under pressure prior to being on the ward. </w:t>
      </w:r>
      <w:r w:rsidR="0093043C">
        <w:t xml:space="preserve">We also need to move away from the concept of focussing and rewarding </w:t>
      </w:r>
      <w:r w:rsidR="007007E5">
        <w:t>knowledge</w:t>
      </w:r>
      <w:r w:rsidR="0093043C">
        <w:t xml:space="preserve"> over other skills that are vital for patient safety and being a good </w:t>
      </w:r>
      <w:r w:rsidR="000177EA">
        <w:t xml:space="preserve">health care professional such as leadership, </w:t>
      </w:r>
      <w:r w:rsidR="007007E5">
        <w:t>communication</w:t>
      </w:r>
      <w:r w:rsidR="000177EA">
        <w:t xml:space="preserve"> skills, </w:t>
      </w:r>
      <w:r w:rsidR="007007E5">
        <w:t>self-regulation</w:t>
      </w:r>
      <w:r w:rsidR="00345C07">
        <w:t xml:space="preserve"> and team</w:t>
      </w:r>
      <w:r w:rsidR="000177EA">
        <w:t xml:space="preserve">work. </w:t>
      </w:r>
      <w:r>
        <w:t>Through apprentic</w:t>
      </w:r>
      <w:r w:rsidR="0093043C">
        <w:t>e</w:t>
      </w:r>
      <w:r>
        <w:t xml:space="preserve">ship models that offer personal learning and support it may be that we can improve the reported </w:t>
      </w:r>
      <w:proofErr w:type="spellStart"/>
      <w:r>
        <w:t>underpreparedness</w:t>
      </w:r>
      <w:proofErr w:type="spellEnd"/>
      <w:r>
        <w:t xml:space="preserve"> for FY1. </w:t>
      </w:r>
    </w:p>
    <w:p w14:paraId="138672CC" w14:textId="7C03D9A2" w:rsidR="004A2845" w:rsidRDefault="00FE3403" w:rsidP="00846CF9">
      <w:r>
        <w:lastRenderedPageBreak/>
        <w:t>It would be</w:t>
      </w:r>
      <w:r w:rsidR="000177EA">
        <w:t xml:space="preserve"> of interest</w:t>
      </w:r>
      <w:r>
        <w:t xml:space="preserve"> to explore the personal views of medical students and clinic</w:t>
      </w:r>
      <w:r w:rsidR="00846CF9">
        <w:t>i</w:t>
      </w:r>
      <w:r>
        <w:t>ans when asked what ‘emotional resil</w:t>
      </w:r>
      <w:r w:rsidR="00846CF9">
        <w:t>ie</w:t>
      </w:r>
      <w:r>
        <w:t xml:space="preserve">nce’ </w:t>
      </w:r>
      <w:r w:rsidR="004A6AE6">
        <w:t xml:space="preserve">and emotional intelligence </w:t>
      </w:r>
      <w:r w:rsidR="005D3C2A">
        <w:t xml:space="preserve">means to them. </w:t>
      </w:r>
      <w:r w:rsidR="00BD6271">
        <w:t>T</w:t>
      </w:r>
      <w:r>
        <w:t xml:space="preserve">o explore </w:t>
      </w:r>
      <w:r w:rsidR="00846CF9">
        <w:t>if there are valid measurement</w:t>
      </w:r>
      <w:r w:rsidR="00A53323">
        <w:t>s</w:t>
      </w:r>
      <w:r w:rsidR="00846CF9">
        <w:t xml:space="preserve"> </w:t>
      </w:r>
      <w:r>
        <w:t xml:space="preserve">of this and how this relates to outcomes </w:t>
      </w:r>
      <w:r w:rsidR="00846CF9">
        <w:t>in terms of burn</w:t>
      </w:r>
      <w:r w:rsidR="00BD6271">
        <w:t>-</w:t>
      </w:r>
      <w:r w:rsidR="00846CF9">
        <w:t>out, self</w:t>
      </w:r>
      <w:r w:rsidR="00BD6271">
        <w:t>-</w:t>
      </w:r>
      <w:r w:rsidR="00846CF9">
        <w:t>satisfaction, mental health</w:t>
      </w:r>
      <w:r w:rsidR="00BD6271">
        <w:t>,</w:t>
      </w:r>
      <w:r w:rsidR="00A53323">
        <w:t xml:space="preserve"> and how much is </w:t>
      </w:r>
      <w:r w:rsidR="00BD6271">
        <w:t xml:space="preserve">felt to be </w:t>
      </w:r>
      <w:r w:rsidR="00A53323">
        <w:t>innate.</w:t>
      </w:r>
      <w:r w:rsidR="004A2845">
        <w:t xml:space="preserve"> There has been an increase in reported burn out of health care professionals at a time when the health ser</w:t>
      </w:r>
      <w:r w:rsidR="008F24C1">
        <w:t>vice is in need of retaining qu</w:t>
      </w:r>
      <w:r w:rsidR="004A2845">
        <w:t>a</w:t>
      </w:r>
      <w:r w:rsidR="008F24C1">
        <w:t>l</w:t>
      </w:r>
      <w:r w:rsidR="004A2845">
        <w:t xml:space="preserve">ity staff. </w:t>
      </w:r>
      <w:r w:rsidR="008F24C1">
        <w:t xml:space="preserve">Concepts such as mentoring and methods to try and improve mental health and </w:t>
      </w:r>
      <w:proofErr w:type="spellStart"/>
      <w:r w:rsidR="008F24C1">
        <w:t>well being</w:t>
      </w:r>
      <w:proofErr w:type="spellEnd"/>
      <w:r w:rsidR="008F24C1">
        <w:t xml:space="preserve"> among staff are advertised within hospitals, however we do not understand the real causes and what methods are ef</w:t>
      </w:r>
      <w:r w:rsidR="000177EA">
        <w:t>f</w:t>
      </w:r>
      <w:r w:rsidR="008F24C1">
        <w:t xml:space="preserve">ective to address those. Exploration of the work environment and what makes clinical staff feel burnt out are important and how we work together to better understand and address this. </w:t>
      </w:r>
      <w:r w:rsidR="0093043C">
        <w:t xml:space="preserve">It is likely that this will be </w:t>
      </w:r>
      <w:r w:rsidR="007007E5">
        <w:t>hugely</w:t>
      </w:r>
      <w:r w:rsidR="0093043C">
        <w:t xml:space="preserve"> supported by human factors education and training throughout </w:t>
      </w:r>
      <w:r w:rsidR="007007E5">
        <w:t>undergraduate</w:t>
      </w:r>
      <w:r w:rsidR="0093043C">
        <w:t xml:space="preserve"> education and this is an area of great interest. Simulation provided an excellent platform to allow this rich human factors embedded experiential learning. </w:t>
      </w:r>
    </w:p>
    <w:p w14:paraId="5E3A5D07" w14:textId="1D4717DF" w:rsidR="0022202F" w:rsidRDefault="00A53323" w:rsidP="0022202F">
      <w:r>
        <w:t>S</w:t>
      </w:r>
      <w:r w:rsidR="0093043C">
        <w:t xml:space="preserve">imulation is a </w:t>
      </w:r>
      <w:r w:rsidR="000177EA">
        <w:t xml:space="preserve">good </w:t>
      </w:r>
      <w:r w:rsidR="00846CF9">
        <w:t xml:space="preserve">educational tool </w:t>
      </w:r>
      <w:r>
        <w:t xml:space="preserve">but there were polarised views amongst experts when discussing </w:t>
      </w:r>
      <w:r w:rsidR="00BD6271">
        <w:t xml:space="preserve">its </w:t>
      </w:r>
      <w:r>
        <w:t xml:space="preserve">use as an </w:t>
      </w:r>
      <w:r w:rsidR="00846CF9">
        <w:t>assessment tool</w:t>
      </w:r>
      <w:r>
        <w:t>.</w:t>
      </w:r>
      <w:r w:rsidR="00846CF9">
        <w:t xml:space="preserve"> </w:t>
      </w:r>
      <w:r>
        <w:t>M</w:t>
      </w:r>
      <w:r w:rsidR="00846CF9">
        <w:t>ethods to standardise c</w:t>
      </w:r>
      <w:r>
        <w:t>ould</w:t>
      </w:r>
      <w:r w:rsidR="00846CF9">
        <w:t xml:space="preserve"> be explored to ensure </w:t>
      </w:r>
      <w:r>
        <w:t xml:space="preserve">it is </w:t>
      </w:r>
      <w:r w:rsidR="00846CF9">
        <w:t>valid and fair</w:t>
      </w:r>
      <w:r w:rsidR="008A6658">
        <w:t xml:space="preserve"> without </w:t>
      </w:r>
      <w:r w:rsidR="00685655">
        <w:t>losing</w:t>
      </w:r>
      <w:r w:rsidR="008A6658">
        <w:t xml:space="preserve"> the richness and individualised nature of the potential for learning. </w:t>
      </w:r>
      <w:r w:rsidR="008F24C1">
        <w:t xml:space="preserve">Use for formative assessment may be preferred. Techniques to allow large numbers of students to experience simulation </w:t>
      </w:r>
      <w:r w:rsidR="002D0F88">
        <w:t xml:space="preserve">should not lead to over </w:t>
      </w:r>
      <w:r w:rsidR="007007E5">
        <w:t>simplifying</w:t>
      </w:r>
      <w:r w:rsidR="002D0F88">
        <w:t xml:space="preserve"> what it is capable of. </w:t>
      </w:r>
      <w:r w:rsidR="008F24C1">
        <w:t>Techniques to create mass s</w:t>
      </w:r>
      <w:r w:rsidR="000177EA">
        <w:t>imulation based labs where stud</w:t>
      </w:r>
      <w:r w:rsidR="008F24C1">
        <w:t>e</w:t>
      </w:r>
      <w:r w:rsidR="000177EA">
        <w:t>n</w:t>
      </w:r>
      <w:r w:rsidR="008F24C1">
        <w:t xml:space="preserve">ts are encouraged in to a tick box mentality </w:t>
      </w:r>
      <w:r w:rsidR="002D0F88">
        <w:t xml:space="preserve">but do not receive debriefing and the personal learning and mentorship possible with this mode of education should be limited. </w:t>
      </w:r>
    </w:p>
    <w:p w14:paraId="1FDE0FB4" w14:textId="7A80675B" w:rsidR="0026537A" w:rsidRDefault="0026537A" w:rsidP="0022202F">
      <w:r>
        <w:lastRenderedPageBreak/>
        <w:t xml:space="preserve">Further exploration of personalised learning with strategies to decipher optimal individual pressure level to enhance learning, how to create and maintain this would be of interest along with further consideration of the </w:t>
      </w:r>
      <w:r w:rsidR="002D0F88">
        <w:t xml:space="preserve">impact of emotion in learning. </w:t>
      </w:r>
      <w:r w:rsidR="0093043C">
        <w:t>The Yerkes Dods</w:t>
      </w:r>
      <w:r w:rsidR="000177EA">
        <w:t>o</w:t>
      </w:r>
      <w:r w:rsidR="0093043C">
        <w:t>n model is still referred to and this would be an interesting area to explore a</w:t>
      </w:r>
      <w:r w:rsidR="000177EA">
        <w:t>nd update with an enhanced unde</w:t>
      </w:r>
      <w:r w:rsidR="0093043C">
        <w:t xml:space="preserve">rstanding. </w:t>
      </w:r>
      <w:r w:rsidR="002D0F88">
        <w:t xml:space="preserve">There is great interest in </w:t>
      </w:r>
      <w:r w:rsidR="007007E5">
        <w:t>self-regulation</w:t>
      </w:r>
      <w:r w:rsidR="002D0F88">
        <w:t xml:space="preserve"> but no clarity on how to develop this and the impact this has. I have seen this can be developed through personal learning, helping individuals to better understand their reactions to stress and differing levels of pressure. The importance of debriefing and having educators skilled in debriefing </w:t>
      </w:r>
      <w:r w:rsidR="007007E5">
        <w:t>appeared</w:t>
      </w:r>
      <w:r w:rsidR="002D0F88">
        <w:t xml:space="preserve"> key</w:t>
      </w:r>
      <w:r w:rsidR="00315D7B">
        <w:t xml:space="preserve"> to this. </w:t>
      </w:r>
    </w:p>
    <w:p w14:paraId="4BF24A8E" w14:textId="6EE00D28" w:rsidR="000177EA" w:rsidRDefault="000177EA" w:rsidP="0022202F">
      <w:r>
        <w:t xml:space="preserve">Clinical leadership and management skills are encouraged and courses mandated at senior trainee levels. Again these are skills that should be developed and nurtured throughout the </w:t>
      </w:r>
      <w:r w:rsidR="007007E5">
        <w:t>undergraduate</w:t>
      </w:r>
      <w:r>
        <w:t xml:space="preserve"> medical education system to help shape future leaders within the NHS and allow for personal development. It is important that the undergraduate </w:t>
      </w:r>
      <w:r w:rsidR="007007E5">
        <w:t>curriculum</w:t>
      </w:r>
      <w:r>
        <w:t xml:space="preserve"> is preparing doctors that are prepared for the work </w:t>
      </w:r>
      <w:r w:rsidR="007007E5">
        <w:t>environment</w:t>
      </w:r>
      <w:r>
        <w:t xml:space="preserve"> to sustain and develop our health care system. It is unclear who makes the best managers within a health care environment. Having a better understanding from an earlier stage is in training I feel is important. </w:t>
      </w:r>
    </w:p>
    <w:p w14:paraId="60377FE4" w14:textId="1553372D" w:rsidR="002D0F88" w:rsidRDefault="002D0F88" w:rsidP="0022202F">
      <w:r>
        <w:t>Many of these methods describe understanding of phenomena and a</w:t>
      </w:r>
      <w:r w:rsidR="0093043C">
        <w:t>reas of complexity that require</w:t>
      </w:r>
      <w:r>
        <w:t xml:space="preserve"> a potential mixed methods approach. It is important that future researchers </w:t>
      </w:r>
      <w:r w:rsidR="007007E5">
        <w:t>particularly</w:t>
      </w:r>
      <w:r>
        <w:t xml:space="preserve"> in medical education are trained in skills of </w:t>
      </w:r>
      <w:r w:rsidR="007007E5">
        <w:t>qualitative</w:t>
      </w:r>
      <w:r>
        <w:t xml:space="preserve"> research design to allow an improved understanding. </w:t>
      </w:r>
    </w:p>
    <w:p w14:paraId="531689A2" w14:textId="08B47B3D" w:rsidR="0062788E" w:rsidRPr="00CE54C3" w:rsidRDefault="003C6579" w:rsidP="006F09AC">
      <w:pPr>
        <w:pStyle w:val="Heading1"/>
      </w:pPr>
      <w:bookmarkStart w:id="451" w:name="_Toc343501268"/>
      <w:bookmarkStart w:id="452" w:name="_Toc348686463"/>
      <w:bookmarkStart w:id="453" w:name="_Toc419116214"/>
      <w:r>
        <w:lastRenderedPageBreak/>
        <w:t>Bibliography</w:t>
      </w:r>
      <w:bookmarkEnd w:id="451"/>
      <w:bookmarkEnd w:id="452"/>
      <w:bookmarkEnd w:id="453"/>
    </w:p>
    <w:p w14:paraId="22AADD73" w14:textId="77777777" w:rsidR="0062788E" w:rsidRDefault="0062788E" w:rsidP="0062788E"/>
    <w:p w14:paraId="00490522" w14:textId="35FC7155" w:rsidR="00223944" w:rsidRPr="00223944" w:rsidRDefault="0098142F" w:rsidP="0026537A">
      <w:r>
        <w:rPr>
          <w:noProof/>
          <w:lang w:val="en-US"/>
        </w:rPr>
        <w:drawing>
          <wp:inline distT="0" distB="0" distL="0" distR="0" wp14:anchorId="237CB9A0" wp14:editId="61F7BE2C">
            <wp:extent cx="4457700" cy="7184390"/>
            <wp:effectExtent l="19050" t="19050" r="19050" b="35560"/>
            <wp:docPr id="79" name="Diagram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0" r:lo="rId181" r:qs="rId182" r:cs="rId183"/>
              </a:graphicData>
            </a:graphic>
          </wp:inline>
        </w:drawing>
      </w:r>
      <w:r w:rsidR="0062788E">
        <w:rPr>
          <w:rFonts w:cs="Arial"/>
        </w:rPr>
        <w:fldChar w:fldCharType="begin"/>
      </w:r>
      <w:r w:rsidR="0062788E">
        <w:rPr>
          <w:rFonts w:cs="Arial"/>
        </w:rPr>
        <w:instrText xml:space="preserve"> ADDIN EN.REFLIST </w:instrText>
      </w:r>
      <w:r w:rsidR="0062788E">
        <w:rPr>
          <w:rFonts w:cs="Arial"/>
        </w:rPr>
        <w:fldChar w:fldCharType="separate"/>
      </w:r>
    </w:p>
    <w:p w14:paraId="70193637" w14:textId="77777777" w:rsidR="00223944" w:rsidRPr="00223944" w:rsidRDefault="00223944" w:rsidP="00223944">
      <w:pPr>
        <w:pStyle w:val="EndNoteBibliography"/>
        <w:spacing w:after="0"/>
        <w:ind w:left="720" w:hanging="720"/>
        <w:rPr>
          <w:noProof/>
        </w:rPr>
      </w:pPr>
      <w:r w:rsidRPr="00223944">
        <w:rPr>
          <w:noProof/>
        </w:rPr>
        <w:lastRenderedPageBreak/>
        <w:t xml:space="preserve">Adams, T. (2016) 'The Application of Cognitive Load Theory to Dual-Task Simulation Training', </w:t>
      </w:r>
      <w:r w:rsidRPr="00223944">
        <w:rPr>
          <w:i/>
          <w:noProof/>
        </w:rPr>
        <w:t>Simul Healthc,</w:t>
      </w:r>
      <w:r w:rsidRPr="00223944">
        <w:rPr>
          <w:noProof/>
        </w:rPr>
        <w:t xml:space="preserve"> 11(1), pp. 66-7.</w:t>
      </w:r>
    </w:p>
    <w:p w14:paraId="2ECFE49F" w14:textId="77777777" w:rsidR="00223944" w:rsidRPr="00223944" w:rsidRDefault="00223944" w:rsidP="00223944">
      <w:pPr>
        <w:pStyle w:val="EndNoteBibliography"/>
        <w:spacing w:after="0"/>
        <w:ind w:left="720" w:hanging="720"/>
        <w:rPr>
          <w:noProof/>
        </w:rPr>
      </w:pPr>
      <w:r w:rsidRPr="00223944">
        <w:rPr>
          <w:noProof/>
        </w:rPr>
        <w:t xml:space="preserve">AH., M. (1943) 'A theory of human motivation', </w:t>
      </w:r>
      <w:r w:rsidRPr="00223944">
        <w:rPr>
          <w:i/>
          <w:noProof/>
        </w:rPr>
        <w:t>Psychol Rev,</w:t>
      </w:r>
      <w:r w:rsidRPr="00223944">
        <w:rPr>
          <w:noProof/>
        </w:rPr>
        <w:t xml:space="preserve"> 50, pp. 370-396.</w:t>
      </w:r>
    </w:p>
    <w:p w14:paraId="3DC4BB62" w14:textId="77777777" w:rsidR="00223944" w:rsidRPr="00223944" w:rsidRDefault="00223944" w:rsidP="00223944">
      <w:pPr>
        <w:pStyle w:val="EndNoteBibliography"/>
        <w:spacing w:after="0"/>
        <w:ind w:left="720" w:hanging="720"/>
        <w:rPr>
          <w:noProof/>
        </w:rPr>
      </w:pPr>
      <w:r w:rsidRPr="00223944">
        <w:rPr>
          <w:noProof/>
        </w:rPr>
        <w:t xml:space="preserve">Alexander, C., Cameron, A., Millar, J., Szmidt, N., Hanlon, K. and Cleland, J. (2014) 'Can new doctors be prepared for practice? A review', </w:t>
      </w:r>
      <w:r w:rsidRPr="00223944">
        <w:rPr>
          <w:i/>
          <w:noProof/>
        </w:rPr>
        <w:t>Clin Teach,</w:t>
      </w:r>
      <w:r w:rsidRPr="00223944">
        <w:rPr>
          <w:noProof/>
        </w:rPr>
        <w:t xml:space="preserve"> 11(3), pp. 188-92.</w:t>
      </w:r>
    </w:p>
    <w:p w14:paraId="56C3EC58" w14:textId="77777777" w:rsidR="00223944" w:rsidRPr="00223944" w:rsidRDefault="00223944" w:rsidP="00223944">
      <w:pPr>
        <w:pStyle w:val="EndNoteBibliography"/>
        <w:spacing w:after="0"/>
        <w:ind w:left="720" w:hanging="720"/>
        <w:rPr>
          <w:noProof/>
        </w:rPr>
      </w:pPr>
      <w:r w:rsidRPr="00223944">
        <w:rPr>
          <w:noProof/>
        </w:rPr>
        <w:t xml:space="preserve">Andreatta, P. B., Dooley-Hash, S. L., Klotz, J. J., Hauptman, J. G., Biddinger, B. and House, J. B. (2016) 'Retention Curves for Pediatric and Neonatal Intubation Skills After Simulation-Based Training', </w:t>
      </w:r>
      <w:r w:rsidRPr="00223944">
        <w:rPr>
          <w:i/>
          <w:noProof/>
        </w:rPr>
        <w:t>Pediatr Emerg Care</w:t>
      </w:r>
      <w:r w:rsidRPr="00223944">
        <w:rPr>
          <w:noProof/>
        </w:rPr>
        <w:t>.</w:t>
      </w:r>
    </w:p>
    <w:p w14:paraId="4B59431D" w14:textId="77777777" w:rsidR="00223944" w:rsidRPr="00223944" w:rsidRDefault="00223944" w:rsidP="00223944">
      <w:pPr>
        <w:pStyle w:val="EndNoteBibliography"/>
        <w:spacing w:after="0"/>
        <w:ind w:left="720" w:hanging="720"/>
        <w:rPr>
          <w:noProof/>
        </w:rPr>
      </w:pPr>
      <w:r w:rsidRPr="00223944">
        <w:rPr>
          <w:noProof/>
        </w:rPr>
        <w:t xml:space="preserve">Andreatta, P. B., Woodrum, D. T., Birkmeyer, J. D., Yellamanchilli, R. K., Doherty, G. M., Gauger, P. G. and Minter, R. M. (2006) 'Laparoscopic skills are improved with LapMentor (TM) training - Results of a randomized, double-blinded study', </w:t>
      </w:r>
      <w:r w:rsidRPr="00223944">
        <w:rPr>
          <w:i/>
          <w:noProof/>
        </w:rPr>
        <w:t>Annals of Surgery,</w:t>
      </w:r>
      <w:r w:rsidRPr="00223944">
        <w:rPr>
          <w:noProof/>
        </w:rPr>
        <w:t xml:space="preserve"> 243(6), pp. 854-863.</w:t>
      </w:r>
    </w:p>
    <w:p w14:paraId="68E57EB9" w14:textId="77777777" w:rsidR="00223944" w:rsidRPr="00223944" w:rsidRDefault="00223944" w:rsidP="00223944">
      <w:pPr>
        <w:pStyle w:val="EndNoteBibliography"/>
        <w:spacing w:after="0"/>
        <w:ind w:left="720" w:hanging="720"/>
        <w:rPr>
          <w:noProof/>
        </w:rPr>
      </w:pPr>
      <w:r w:rsidRPr="00223944">
        <w:rPr>
          <w:noProof/>
        </w:rPr>
        <w:t xml:space="preserve">Arnold, L., Willoughby, T. L. and Calkins, E. V. (1985) 'Self-evaluation in undergraduate medical education: a longitudinal perspective', </w:t>
      </w:r>
      <w:r w:rsidRPr="00223944">
        <w:rPr>
          <w:i/>
          <w:noProof/>
        </w:rPr>
        <w:t>J Med Educ,</w:t>
      </w:r>
      <w:r w:rsidRPr="00223944">
        <w:rPr>
          <w:noProof/>
        </w:rPr>
        <w:t xml:space="preserve"> 60(1), pp. 21-8.</w:t>
      </w:r>
    </w:p>
    <w:p w14:paraId="1DF7799C" w14:textId="77777777" w:rsidR="00223944" w:rsidRPr="00223944" w:rsidRDefault="00223944" w:rsidP="00223944">
      <w:pPr>
        <w:pStyle w:val="EndNoteBibliography"/>
        <w:spacing w:after="0"/>
        <w:ind w:left="720" w:hanging="720"/>
        <w:rPr>
          <w:noProof/>
        </w:rPr>
      </w:pPr>
      <w:r w:rsidRPr="00223944">
        <w:rPr>
          <w:noProof/>
        </w:rPr>
        <w:t xml:space="preserve">Avisar, L., Shiyovich, A., Aharonson-Daniel, L. and Nesher, L. (2013) 'Cardiopulmonary Resuscitation Skills Retention and Self-Confidence of Preclinical Medical Students', </w:t>
      </w:r>
      <w:r w:rsidRPr="00223944">
        <w:rPr>
          <w:i/>
          <w:noProof/>
        </w:rPr>
        <w:t>Israel Medical Association Journal,</w:t>
      </w:r>
      <w:r w:rsidRPr="00223944">
        <w:rPr>
          <w:noProof/>
        </w:rPr>
        <w:t xml:space="preserve"> 15(10), pp. 622-627.</w:t>
      </w:r>
    </w:p>
    <w:p w14:paraId="562D3870" w14:textId="77777777" w:rsidR="00223944" w:rsidRPr="00223944" w:rsidRDefault="00223944" w:rsidP="00223944">
      <w:pPr>
        <w:pStyle w:val="EndNoteBibliography"/>
        <w:spacing w:after="0"/>
        <w:ind w:left="720" w:hanging="720"/>
        <w:rPr>
          <w:noProof/>
        </w:rPr>
      </w:pPr>
      <w:r w:rsidRPr="00223944">
        <w:rPr>
          <w:noProof/>
        </w:rPr>
        <w:t>Babbie, E. 1997. The practice of social research. 8th ed. Belmont, CA: Wadsworth.</w:t>
      </w:r>
    </w:p>
    <w:p w14:paraId="6383627A" w14:textId="77777777" w:rsidR="00223944" w:rsidRPr="00223944" w:rsidRDefault="00223944" w:rsidP="00223944">
      <w:pPr>
        <w:pStyle w:val="EndNoteBibliography"/>
        <w:spacing w:after="0"/>
        <w:ind w:left="720" w:hanging="720"/>
        <w:rPr>
          <w:noProof/>
        </w:rPr>
      </w:pPr>
      <w:r w:rsidRPr="00223944">
        <w:rPr>
          <w:noProof/>
        </w:rPr>
        <w:t xml:space="preserve">Bandura, A. (1977) 'Self-efficacy: toward a unifying theory of behavioral change', </w:t>
      </w:r>
      <w:r w:rsidRPr="00223944">
        <w:rPr>
          <w:i/>
          <w:noProof/>
        </w:rPr>
        <w:t>Psychol Rev,</w:t>
      </w:r>
      <w:r w:rsidRPr="00223944">
        <w:rPr>
          <w:noProof/>
        </w:rPr>
        <w:t xml:space="preserve"> 84(2), pp. 191-215.</w:t>
      </w:r>
    </w:p>
    <w:p w14:paraId="5426E01C" w14:textId="77777777" w:rsidR="00223944" w:rsidRPr="00223944" w:rsidRDefault="00223944" w:rsidP="00223944">
      <w:pPr>
        <w:pStyle w:val="EndNoteBibliography"/>
        <w:spacing w:after="0"/>
        <w:ind w:left="720" w:hanging="720"/>
        <w:rPr>
          <w:noProof/>
        </w:rPr>
      </w:pPr>
      <w:r w:rsidRPr="00223944">
        <w:rPr>
          <w:noProof/>
        </w:rPr>
        <w:t xml:space="preserve">Bandura, A. (1982) 'The assessment and predictive generality of self-percepts of efficacy', </w:t>
      </w:r>
      <w:r w:rsidRPr="00223944">
        <w:rPr>
          <w:i/>
          <w:noProof/>
        </w:rPr>
        <w:t>J Behav Ther Exp Psychiatry,</w:t>
      </w:r>
      <w:r w:rsidRPr="00223944">
        <w:rPr>
          <w:noProof/>
        </w:rPr>
        <w:t xml:space="preserve"> 13(3), pp. 195-9.</w:t>
      </w:r>
    </w:p>
    <w:p w14:paraId="33A76742" w14:textId="77777777" w:rsidR="00223944" w:rsidRPr="00223944" w:rsidRDefault="00223944" w:rsidP="00223944">
      <w:pPr>
        <w:pStyle w:val="EndNoteBibliography"/>
        <w:spacing w:after="0"/>
        <w:ind w:left="720" w:hanging="720"/>
        <w:rPr>
          <w:noProof/>
        </w:rPr>
      </w:pPr>
      <w:r w:rsidRPr="00223944">
        <w:rPr>
          <w:noProof/>
        </w:rPr>
        <w:t xml:space="preserve">Bandura, A. (1986) </w:t>
      </w:r>
      <w:r w:rsidRPr="00223944">
        <w:rPr>
          <w:i/>
          <w:noProof/>
        </w:rPr>
        <w:t>Social foundations of thought and action.</w:t>
      </w:r>
      <w:r w:rsidRPr="00223944">
        <w:rPr>
          <w:noProof/>
        </w:rPr>
        <w:t xml:space="preserve"> Englewood Cliffs, NJ: Prentice Hall Inc, p. 50 - 107.</w:t>
      </w:r>
    </w:p>
    <w:p w14:paraId="4EC16513" w14:textId="77777777" w:rsidR="00223944" w:rsidRPr="00223944" w:rsidRDefault="00223944" w:rsidP="00223944">
      <w:pPr>
        <w:pStyle w:val="EndNoteBibliography"/>
        <w:spacing w:after="0"/>
        <w:ind w:left="720" w:hanging="720"/>
        <w:rPr>
          <w:noProof/>
        </w:rPr>
      </w:pPr>
      <w:r w:rsidRPr="00223944">
        <w:rPr>
          <w:noProof/>
        </w:rPr>
        <w:t xml:space="preserve">Bandura, A., Adams, N. E. and Beyer, J. (1977) 'Cognitive processes mediating behavioral change', </w:t>
      </w:r>
      <w:r w:rsidRPr="00223944">
        <w:rPr>
          <w:i/>
          <w:noProof/>
        </w:rPr>
        <w:t>J Pers Soc Psychol,</w:t>
      </w:r>
      <w:r w:rsidRPr="00223944">
        <w:rPr>
          <w:noProof/>
        </w:rPr>
        <w:t xml:space="preserve"> 35(3), pp. 125-39.</w:t>
      </w:r>
    </w:p>
    <w:p w14:paraId="48BCFCB6" w14:textId="77777777" w:rsidR="00223944" w:rsidRPr="00223944" w:rsidRDefault="00223944" w:rsidP="00223944">
      <w:pPr>
        <w:pStyle w:val="EndNoteBibliography"/>
        <w:spacing w:after="0"/>
        <w:ind w:left="720" w:hanging="720"/>
        <w:rPr>
          <w:noProof/>
        </w:rPr>
      </w:pPr>
      <w:r w:rsidRPr="00223944">
        <w:rPr>
          <w:noProof/>
        </w:rPr>
        <w:t xml:space="preserve">Bandura, A. and Schunk, D. H. (1981) 'CULTIVATING COMPETENCE, SELF-EFFICACY, AND INTRINSIC INTEREST THROUGH PROXIMAL SELF-MOTIVATION', </w:t>
      </w:r>
      <w:r w:rsidRPr="00223944">
        <w:rPr>
          <w:i/>
          <w:noProof/>
        </w:rPr>
        <w:t>Journal of Personality and Social Psychology,</w:t>
      </w:r>
      <w:r w:rsidRPr="00223944">
        <w:rPr>
          <w:noProof/>
        </w:rPr>
        <w:t xml:space="preserve"> 41(3), pp. 586-598.</w:t>
      </w:r>
    </w:p>
    <w:p w14:paraId="11AD601F" w14:textId="77777777" w:rsidR="00223944" w:rsidRPr="00223944" w:rsidRDefault="00223944" w:rsidP="00223944">
      <w:pPr>
        <w:pStyle w:val="EndNoteBibliography"/>
        <w:spacing w:after="0"/>
        <w:ind w:left="720" w:hanging="720"/>
        <w:rPr>
          <w:noProof/>
        </w:rPr>
      </w:pPr>
      <w:r w:rsidRPr="00223944">
        <w:rPr>
          <w:noProof/>
        </w:rPr>
        <w:t xml:space="preserve">Barbour, R. S. (2005) 'Making sense of focus groups', </w:t>
      </w:r>
      <w:r w:rsidRPr="00223944">
        <w:rPr>
          <w:i/>
          <w:noProof/>
        </w:rPr>
        <w:t>Med Educ,</w:t>
      </w:r>
      <w:r w:rsidRPr="00223944">
        <w:rPr>
          <w:noProof/>
        </w:rPr>
        <w:t xml:space="preserve"> 39(7), pp. 742-50.</w:t>
      </w:r>
    </w:p>
    <w:p w14:paraId="655843FA" w14:textId="77777777" w:rsidR="00223944" w:rsidRPr="00223944" w:rsidRDefault="00223944" w:rsidP="00223944">
      <w:pPr>
        <w:pStyle w:val="EndNoteBibliography"/>
        <w:spacing w:after="0"/>
        <w:ind w:left="720" w:hanging="720"/>
        <w:rPr>
          <w:noProof/>
        </w:rPr>
      </w:pPr>
      <w:r w:rsidRPr="00223944">
        <w:rPr>
          <w:noProof/>
        </w:rPr>
        <w:t xml:space="preserve">Barnsley, L., Lyon, P. M., Ralston, S. J., Hibbert, E. J., Cunningham, I., Gordon, F. C. and Field, M. J. (2004) 'Clinical skills in junior medical officers: a comparison of self-reported confidence and observed competence', </w:t>
      </w:r>
      <w:r w:rsidRPr="00223944">
        <w:rPr>
          <w:i/>
          <w:noProof/>
        </w:rPr>
        <w:t>Medical Education,</w:t>
      </w:r>
      <w:r w:rsidRPr="00223944">
        <w:rPr>
          <w:noProof/>
        </w:rPr>
        <w:t xml:space="preserve"> 38(4), pp. 358-367.</w:t>
      </w:r>
    </w:p>
    <w:p w14:paraId="127F390A" w14:textId="77777777" w:rsidR="00223944" w:rsidRPr="00223944" w:rsidRDefault="00223944" w:rsidP="00223944">
      <w:pPr>
        <w:pStyle w:val="EndNoteBibliography"/>
        <w:spacing w:after="0"/>
        <w:ind w:left="720" w:hanging="720"/>
        <w:rPr>
          <w:noProof/>
        </w:rPr>
      </w:pPr>
      <w:r w:rsidRPr="00223944">
        <w:rPr>
          <w:noProof/>
        </w:rPr>
        <w:t xml:space="preserve">Barsuk, J. H., Cohen, E. R., Wayne, D. B., Siddall, V. J. and McGaghie, W. C. (2016) 'Developing a Simulation-Based Mastery Learning Curriculum: Lessons From 11 Years of Advanced Cardiac Life Support', </w:t>
      </w:r>
      <w:r w:rsidRPr="00223944">
        <w:rPr>
          <w:i/>
          <w:noProof/>
        </w:rPr>
        <w:t>Simul Healthc,</w:t>
      </w:r>
      <w:r w:rsidRPr="00223944">
        <w:rPr>
          <w:noProof/>
        </w:rPr>
        <w:t xml:space="preserve"> 11(1), pp. 52-9.</w:t>
      </w:r>
    </w:p>
    <w:p w14:paraId="3441AB2A" w14:textId="622D9521" w:rsidR="00223944" w:rsidRPr="00223944" w:rsidRDefault="00223944" w:rsidP="00223944">
      <w:pPr>
        <w:pStyle w:val="EndNoteBibliography"/>
        <w:spacing w:after="0"/>
        <w:ind w:left="720" w:hanging="720"/>
        <w:rPr>
          <w:noProof/>
        </w:rPr>
      </w:pPr>
      <w:r w:rsidRPr="00223944">
        <w:rPr>
          <w:noProof/>
        </w:rPr>
        <w:t xml:space="preserve">Benner, P. (2015) </w:t>
      </w:r>
      <w:r w:rsidRPr="00223944">
        <w:rPr>
          <w:i/>
          <w:noProof/>
        </w:rPr>
        <w:t>The Implications of Teaching and Learning in a Practice: Paying attention to Situated Thinking and Action in Practice</w:t>
      </w:r>
      <w:r w:rsidRPr="00223944">
        <w:rPr>
          <w:noProof/>
        </w:rPr>
        <w:t xml:space="preserve">. On line. Available at: </w:t>
      </w:r>
      <w:hyperlink r:id="rId185" w:history="1">
        <w:r w:rsidRPr="0024309A">
          <w:rPr>
            <w:rStyle w:val="Hyperlink"/>
            <w:rFonts w:ascii="Arial" w:hAnsi="Arial"/>
            <w:noProof/>
            <w:color w:val="auto"/>
            <w:sz w:val="20"/>
            <w:szCs w:val="20"/>
            <w:lang w:val="en-GB"/>
          </w:rPr>
          <w:t>http://www.educatingnurses.com/the-implications-of-teaching-and-learning-in-a-practice-paying-attention-to-situated-thinking-and-action-in-practice</w:t>
        </w:r>
      </w:hyperlink>
      <w:r w:rsidRPr="0024309A">
        <w:rPr>
          <w:noProof/>
          <w:sz w:val="20"/>
          <w:szCs w:val="20"/>
        </w:rPr>
        <w:t xml:space="preserve"> </w:t>
      </w:r>
      <w:r w:rsidRPr="00223944">
        <w:rPr>
          <w:noProof/>
        </w:rPr>
        <w:t>2016).</w:t>
      </w:r>
    </w:p>
    <w:p w14:paraId="6FADD1F0" w14:textId="77777777" w:rsidR="00223944" w:rsidRPr="00223944" w:rsidRDefault="00223944" w:rsidP="00223944">
      <w:pPr>
        <w:pStyle w:val="EndNoteBibliography"/>
        <w:spacing w:after="0"/>
        <w:ind w:left="720" w:hanging="720"/>
        <w:rPr>
          <w:noProof/>
        </w:rPr>
      </w:pPr>
      <w:r w:rsidRPr="00223944">
        <w:rPr>
          <w:noProof/>
        </w:rPr>
        <w:t xml:space="preserve">Bereiter, C. and Scardamalia, M. (1993) </w:t>
      </w:r>
      <w:r w:rsidRPr="00223944">
        <w:rPr>
          <w:i/>
          <w:noProof/>
        </w:rPr>
        <w:t>Surpassing Ourselves: An Enquiry Into the Nature and Implications of Expertise.</w:t>
      </w:r>
      <w:r w:rsidRPr="00223944">
        <w:rPr>
          <w:noProof/>
        </w:rPr>
        <w:t xml:space="preserve"> Chicago, Illinois: Open Court.</w:t>
      </w:r>
    </w:p>
    <w:p w14:paraId="38125099" w14:textId="77777777" w:rsidR="00223944" w:rsidRPr="00223944" w:rsidRDefault="00223944" w:rsidP="00223944">
      <w:pPr>
        <w:pStyle w:val="EndNoteBibliography"/>
        <w:spacing w:after="0"/>
        <w:ind w:left="720" w:hanging="720"/>
        <w:rPr>
          <w:noProof/>
        </w:rPr>
      </w:pPr>
      <w:r w:rsidRPr="00223944">
        <w:rPr>
          <w:noProof/>
        </w:rPr>
        <w:lastRenderedPageBreak/>
        <w:t xml:space="preserve">Berridge, E. J., Freeth, D., Sharpe, J. and Roberts, C. M. (2007) 'Bridging the gap: supporting the transition from medical student to practising doctor--a two-week preparation programme after graduation', </w:t>
      </w:r>
      <w:r w:rsidRPr="00223944">
        <w:rPr>
          <w:i/>
          <w:noProof/>
        </w:rPr>
        <w:t>Med Teach,</w:t>
      </w:r>
      <w:r w:rsidRPr="00223944">
        <w:rPr>
          <w:noProof/>
        </w:rPr>
        <w:t xml:space="preserve"> 29(2-3), pp. 119-27.</w:t>
      </w:r>
    </w:p>
    <w:p w14:paraId="031130A9" w14:textId="77777777" w:rsidR="00223944" w:rsidRPr="00223944" w:rsidRDefault="00223944" w:rsidP="00223944">
      <w:pPr>
        <w:pStyle w:val="EndNoteBibliography"/>
        <w:spacing w:after="0"/>
        <w:ind w:left="720" w:hanging="720"/>
        <w:rPr>
          <w:noProof/>
        </w:rPr>
      </w:pPr>
      <w:r w:rsidRPr="00223944">
        <w:rPr>
          <w:noProof/>
        </w:rPr>
        <w:t xml:space="preserve">Berwick, D. M. (2001) 'Not again!', </w:t>
      </w:r>
      <w:r w:rsidRPr="00223944">
        <w:rPr>
          <w:i/>
          <w:noProof/>
        </w:rPr>
        <w:t>BMJ,</w:t>
      </w:r>
      <w:r w:rsidRPr="00223944">
        <w:rPr>
          <w:noProof/>
        </w:rPr>
        <w:t xml:space="preserve"> 322(7281), pp. 247-8.</w:t>
      </w:r>
    </w:p>
    <w:p w14:paraId="6DA3E9F9" w14:textId="77777777" w:rsidR="00223944" w:rsidRPr="00223944" w:rsidRDefault="00223944" w:rsidP="00223944">
      <w:pPr>
        <w:pStyle w:val="EndNoteBibliography"/>
        <w:spacing w:after="0"/>
        <w:ind w:left="720" w:hanging="720"/>
        <w:rPr>
          <w:noProof/>
        </w:rPr>
      </w:pPr>
      <w:r w:rsidRPr="00223944">
        <w:rPr>
          <w:noProof/>
        </w:rPr>
        <w:t xml:space="preserve">Birden, H., Barker, J. and Wilson, I. (2015) 'Effectiveness of a rural longitudinal integrated clerkship in preparing medical students for internship', </w:t>
      </w:r>
      <w:r w:rsidRPr="00223944">
        <w:rPr>
          <w:i/>
          <w:noProof/>
        </w:rPr>
        <w:t>Med Teach</w:t>
      </w:r>
      <w:r w:rsidRPr="00223944">
        <w:rPr>
          <w:noProof/>
        </w:rPr>
        <w:t>, pp. 1-11.</w:t>
      </w:r>
    </w:p>
    <w:p w14:paraId="62241BA9" w14:textId="77777777" w:rsidR="00223944" w:rsidRPr="00223944" w:rsidRDefault="00223944" w:rsidP="00223944">
      <w:pPr>
        <w:pStyle w:val="EndNoteBibliography"/>
        <w:spacing w:after="0"/>
        <w:ind w:left="720" w:hanging="720"/>
        <w:rPr>
          <w:noProof/>
        </w:rPr>
      </w:pPr>
      <w:r w:rsidRPr="00223944">
        <w:rPr>
          <w:noProof/>
        </w:rPr>
        <w:t xml:space="preserve">Bleakley, A. and Bligh, J. (2008) 'Students learning from patients: let's get real in medical education', </w:t>
      </w:r>
      <w:r w:rsidRPr="00223944">
        <w:rPr>
          <w:i/>
          <w:noProof/>
        </w:rPr>
        <w:t>Adv Health Sci Educ Theory Pract,</w:t>
      </w:r>
      <w:r w:rsidRPr="00223944">
        <w:rPr>
          <w:noProof/>
        </w:rPr>
        <w:t xml:space="preserve"> 13, pp. 89 - 107.</w:t>
      </w:r>
    </w:p>
    <w:p w14:paraId="3F6A5E0C" w14:textId="77777777" w:rsidR="00223944" w:rsidRPr="00223944" w:rsidRDefault="00223944" w:rsidP="00223944">
      <w:pPr>
        <w:pStyle w:val="EndNoteBibliography"/>
        <w:spacing w:after="0"/>
        <w:ind w:left="720" w:hanging="720"/>
        <w:rPr>
          <w:noProof/>
        </w:rPr>
      </w:pPr>
      <w:r w:rsidRPr="00223944">
        <w:rPr>
          <w:noProof/>
        </w:rPr>
        <w:t xml:space="preserve">Bleakley, A. and Brennan, N. (2011) 'Does undergraduate curriculum design make a difference to readiness to practice as a junior doctor?', </w:t>
      </w:r>
      <w:r w:rsidRPr="00223944">
        <w:rPr>
          <w:i/>
          <w:noProof/>
        </w:rPr>
        <w:t>Med Teach,</w:t>
      </w:r>
      <w:r w:rsidRPr="00223944">
        <w:rPr>
          <w:noProof/>
        </w:rPr>
        <w:t xml:space="preserve"> 33(6), pp. 459-67.</w:t>
      </w:r>
    </w:p>
    <w:p w14:paraId="4F5B257B" w14:textId="77777777" w:rsidR="00223944" w:rsidRPr="00223944" w:rsidRDefault="00223944" w:rsidP="00223944">
      <w:pPr>
        <w:pStyle w:val="EndNoteBibliography"/>
        <w:spacing w:after="0"/>
        <w:ind w:left="720" w:hanging="720"/>
        <w:rPr>
          <w:noProof/>
        </w:rPr>
      </w:pPr>
      <w:r w:rsidRPr="00223944">
        <w:rPr>
          <w:noProof/>
        </w:rPr>
        <w:t xml:space="preserve">Blencowe, N. S., Van Hamel, C., Bethune, R. and Aspinall, R. (2015) ''From scared to prepared': targeted structured induction training during the transition from medical school to foundation doctor', </w:t>
      </w:r>
      <w:r w:rsidRPr="00223944">
        <w:rPr>
          <w:i/>
          <w:noProof/>
        </w:rPr>
        <w:t>Perspect Med Educ,</w:t>
      </w:r>
      <w:r w:rsidRPr="00223944">
        <w:rPr>
          <w:noProof/>
        </w:rPr>
        <w:t xml:space="preserve"> 4(2), pp. 90-2.</w:t>
      </w:r>
    </w:p>
    <w:p w14:paraId="2449FEB0" w14:textId="77777777" w:rsidR="00223944" w:rsidRPr="00223944" w:rsidRDefault="00223944" w:rsidP="00223944">
      <w:pPr>
        <w:pStyle w:val="EndNoteBibliography"/>
        <w:spacing w:after="0"/>
        <w:ind w:left="720" w:hanging="720"/>
        <w:rPr>
          <w:noProof/>
        </w:rPr>
      </w:pPr>
      <w:r w:rsidRPr="00223944">
        <w:rPr>
          <w:noProof/>
        </w:rPr>
        <w:t xml:space="preserve">Blum, M. G., Powers, T. W. and Sundaresan, S. (2004) 'Bronchoscopy simulator effectively prepares junior residents to competently perform basic clinical bronchoscopy', </w:t>
      </w:r>
      <w:r w:rsidRPr="00223944">
        <w:rPr>
          <w:i/>
          <w:noProof/>
        </w:rPr>
        <w:t>Annals of Thoracic Surgery,</w:t>
      </w:r>
      <w:r w:rsidRPr="00223944">
        <w:rPr>
          <w:noProof/>
        </w:rPr>
        <w:t xml:space="preserve"> 78(1), pp. 287-291.</w:t>
      </w:r>
    </w:p>
    <w:p w14:paraId="4C8F0D79" w14:textId="77777777" w:rsidR="00223944" w:rsidRPr="00223944" w:rsidRDefault="00223944" w:rsidP="00223944">
      <w:pPr>
        <w:pStyle w:val="EndNoteBibliography"/>
        <w:spacing w:after="0"/>
        <w:ind w:left="720" w:hanging="720"/>
        <w:rPr>
          <w:noProof/>
        </w:rPr>
      </w:pPr>
      <w:r w:rsidRPr="00223944">
        <w:rPr>
          <w:noProof/>
        </w:rPr>
        <w:t xml:space="preserve">Bogg, J., Gibbs, T. and Bundred, P. (2001) 'Training, job demands and mental health of pre-registration house officers', </w:t>
      </w:r>
      <w:r w:rsidRPr="00223944">
        <w:rPr>
          <w:i/>
          <w:noProof/>
        </w:rPr>
        <w:t>Medical Education,</w:t>
      </w:r>
      <w:r w:rsidRPr="00223944">
        <w:rPr>
          <w:noProof/>
        </w:rPr>
        <w:t xml:space="preserve"> 35(6), pp. 590-595.</w:t>
      </w:r>
    </w:p>
    <w:p w14:paraId="7E02A076" w14:textId="77777777" w:rsidR="00223944" w:rsidRPr="00223944" w:rsidRDefault="00223944" w:rsidP="00223944">
      <w:pPr>
        <w:pStyle w:val="EndNoteBibliography"/>
        <w:spacing w:after="0"/>
        <w:ind w:left="720" w:hanging="720"/>
        <w:rPr>
          <w:noProof/>
        </w:rPr>
      </w:pPr>
      <w:r w:rsidRPr="00223944">
        <w:rPr>
          <w:noProof/>
        </w:rPr>
        <w:t xml:space="preserve">Bordage, G. (2007) 'Moving the field forward: going beyond quantitative-qualitative', </w:t>
      </w:r>
      <w:r w:rsidRPr="00223944">
        <w:rPr>
          <w:i/>
          <w:noProof/>
        </w:rPr>
        <w:t>Acad Med,</w:t>
      </w:r>
      <w:r w:rsidRPr="00223944">
        <w:rPr>
          <w:noProof/>
        </w:rPr>
        <w:t xml:space="preserve"> 82(10 Suppl), pp. S126-8.</w:t>
      </w:r>
    </w:p>
    <w:p w14:paraId="362FBE3E" w14:textId="7DFD2FF1" w:rsidR="00223944" w:rsidRPr="00223944" w:rsidRDefault="00223944" w:rsidP="0026537A">
      <w:pPr>
        <w:pStyle w:val="EndNoteBibliography"/>
        <w:ind w:left="720" w:hanging="720"/>
        <w:rPr>
          <w:noProof/>
        </w:rPr>
      </w:pPr>
      <w:r w:rsidRPr="00223944">
        <w:rPr>
          <w:noProof/>
        </w:rPr>
        <w:t xml:space="preserve">Bowling, A. (2014) </w:t>
      </w:r>
      <w:r w:rsidRPr="00223944">
        <w:rPr>
          <w:i/>
          <w:noProof/>
        </w:rPr>
        <w:t>Research Methods in Health: Investigating health and health services.</w:t>
      </w:r>
      <w:r w:rsidRPr="00223944">
        <w:rPr>
          <w:noProof/>
        </w:rPr>
        <w:t xml:space="preserve"> 4th edn. Berkshire, England New York: Open University Press</w:t>
      </w:r>
      <w:r w:rsidR="0026537A">
        <w:rPr>
          <w:noProof/>
        </w:rPr>
        <w:t xml:space="preserve">, </w:t>
      </w:r>
      <w:r w:rsidRPr="00223944">
        <w:rPr>
          <w:noProof/>
        </w:rPr>
        <w:t>Two Penn Plaza.</w:t>
      </w:r>
    </w:p>
    <w:p w14:paraId="11E51F4A" w14:textId="77777777" w:rsidR="00223944" w:rsidRPr="00223944" w:rsidRDefault="00223944" w:rsidP="00223944">
      <w:pPr>
        <w:pStyle w:val="EndNoteBibliography"/>
        <w:spacing w:after="0"/>
        <w:ind w:left="720" w:hanging="720"/>
        <w:rPr>
          <w:noProof/>
        </w:rPr>
      </w:pPr>
      <w:r w:rsidRPr="00223944">
        <w:rPr>
          <w:noProof/>
        </w:rPr>
        <w:t xml:space="preserve">Brennan, N., Corrigan, O., Allard, J., Archer, J., Barnes, R., Bleakley, A., Collett, T. and de Bere, S. R. (2010) 'The transition from medical student to junior doctor: today's experiences of Tomorrow's Doctors', </w:t>
      </w:r>
      <w:r w:rsidRPr="00223944">
        <w:rPr>
          <w:i/>
          <w:noProof/>
        </w:rPr>
        <w:t>Med Educ,</w:t>
      </w:r>
      <w:r w:rsidRPr="00223944">
        <w:rPr>
          <w:noProof/>
        </w:rPr>
        <w:t xml:space="preserve"> 44(5), pp. 449-58.</w:t>
      </w:r>
    </w:p>
    <w:p w14:paraId="50A012CD" w14:textId="77777777" w:rsidR="00223944" w:rsidRPr="00223944" w:rsidRDefault="00223944" w:rsidP="00223944">
      <w:pPr>
        <w:pStyle w:val="EndNoteBibliography"/>
        <w:spacing w:after="0"/>
        <w:ind w:left="720" w:hanging="720"/>
        <w:rPr>
          <w:noProof/>
        </w:rPr>
      </w:pPr>
      <w:r w:rsidRPr="00223944">
        <w:rPr>
          <w:noProof/>
        </w:rPr>
        <w:t xml:space="preserve">Brown, J. (1999) 'Focus group interviews.', in Crabtree, B. &amp; Miller, W. (eds.) </w:t>
      </w:r>
      <w:r w:rsidRPr="00223944">
        <w:rPr>
          <w:i/>
          <w:noProof/>
        </w:rPr>
        <w:t>Doing qualitative research</w:t>
      </w:r>
      <w:r w:rsidRPr="00223944">
        <w:rPr>
          <w:noProof/>
        </w:rPr>
        <w:t>. Thousand Oaks, CA.: Sage Publications, pp. 109-124.</w:t>
      </w:r>
    </w:p>
    <w:p w14:paraId="12D5A480" w14:textId="77777777" w:rsidR="00223944" w:rsidRPr="00223944" w:rsidRDefault="00223944" w:rsidP="00223944">
      <w:pPr>
        <w:pStyle w:val="EndNoteBibliography"/>
        <w:spacing w:after="0"/>
        <w:ind w:left="720" w:hanging="720"/>
        <w:rPr>
          <w:noProof/>
        </w:rPr>
      </w:pPr>
      <w:r w:rsidRPr="00223944">
        <w:rPr>
          <w:noProof/>
        </w:rPr>
        <w:t xml:space="preserve">Bruner, J. S. (1967) </w:t>
      </w:r>
      <w:r w:rsidRPr="00223944">
        <w:rPr>
          <w:i/>
          <w:noProof/>
        </w:rPr>
        <w:t>Toward a Theory of Instruction.</w:t>
      </w:r>
      <w:r w:rsidRPr="00223944">
        <w:rPr>
          <w:noProof/>
        </w:rPr>
        <w:t xml:space="preserve"> Cambridge, MA: Harvard University Press.</w:t>
      </w:r>
    </w:p>
    <w:p w14:paraId="1D336B30" w14:textId="77777777" w:rsidR="00223944" w:rsidRPr="00223944" w:rsidRDefault="00223944" w:rsidP="00223944">
      <w:pPr>
        <w:pStyle w:val="EndNoteBibliography"/>
        <w:spacing w:after="0"/>
        <w:ind w:left="720" w:hanging="720"/>
        <w:rPr>
          <w:noProof/>
        </w:rPr>
      </w:pPr>
      <w:r w:rsidRPr="00223944">
        <w:rPr>
          <w:noProof/>
        </w:rPr>
        <w:t xml:space="preserve">Buckley, S., Coleman, J., Davison, I., Khan, K. S., Zamora, J., Malick, S., Morley, D., Pollard, D., Ashcroft, T., Popovic, C. and Sayers, J. (2009) 'The educational effects of portfolios on undergraduate student learning: a Best Evidence Medical Education (BEME) systematic review. BEME Guide No. 11', </w:t>
      </w:r>
      <w:r w:rsidRPr="00223944">
        <w:rPr>
          <w:i/>
          <w:noProof/>
        </w:rPr>
        <w:t>Med Teach,</w:t>
      </w:r>
      <w:r w:rsidRPr="00223944">
        <w:rPr>
          <w:noProof/>
        </w:rPr>
        <w:t xml:space="preserve"> 31(4), pp. 282-98.</w:t>
      </w:r>
    </w:p>
    <w:p w14:paraId="549693A2" w14:textId="77777777" w:rsidR="00223944" w:rsidRPr="00223944" w:rsidRDefault="00223944" w:rsidP="00223944">
      <w:pPr>
        <w:pStyle w:val="EndNoteBibliography"/>
        <w:spacing w:after="0"/>
        <w:ind w:left="720" w:hanging="720"/>
        <w:rPr>
          <w:noProof/>
        </w:rPr>
      </w:pPr>
      <w:r w:rsidRPr="00223944">
        <w:rPr>
          <w:noProof/>
        </w:rPr>
        <w:t xml:space="preserve">Burford, B., Whittle, V. and Vance, G. H. (2014) 'The relationship between medical student learning opportunities and preparedness for practice: a questionnaire study', </w:t>
      </w:r>
      <w:r w:rsidRPr="00223944">
        <w:rPr>
          <w:i/>
          <w:noProof/>
        </w:rPr>
        <w:t>BMC Med Educ,</w:t>
      </w:r>
      <w:r w:rsidRPr="00223944">
        <w:rPr>
          <w:noProof/>
        </w:rPr>
        <w:t xml:space="preserve"> 14, pp. 223.</w:t>
      </w:r>
    </w:p>
    <w:p w14:paraId="5B14E0F4" w14:textId="77777777" w:rsidR="00223944" w:rsidRPr="00223944" w:rsidRDefault="00223944" w:rsidP="00223944">
      <w:pPr>
        <w:pStyle w:val="EndNoteBibliography"/>
        <w:spacing w:after="0"/>
        <w:ind w:left="720" w:hanging="720"/>
        <w:rPr>
          <w:noProof/>
        </w:rPr>
      </w:pPr>
      <w:r w:rsidRPr="00223944">
        <w:rPr>
          <w:noProof/>
        </w:rPr>
        <w:t xml:space="preserve">Butter, J., McGaghie, W. C., Cohen, E. R., Kaye, M. E. and Wayne, D. B. (2010) 'Simulation-based Mastery Learning Improves Cardiac Auscultation Skills in Medical Students', </w:t>
      </w:r>
      <w:r w:rsidRPr="00223944">
        <w:rPr>
          <w:i/>
          <w:noProof/>
        </w:rPr>
        <w:t>Journal of General Internal Medicine,</w:t>
      </w:r>
      <w:r w:rsidRPr="00223944">
        <w:rPr>
          <w:noProof/>
        </w:rPr>
        <w:t xml:space="preserve"> 25(8), pp. 780-785.</w:t>
      </w:r>
    </w:p>
    <w:p w14:paraId="5EEE9E37" w14:textId="77777777" w:rsidR="00223944" w:rsidRPr="00223944" w:rsidRDefault="00223944" w:rsidP="00223944">
      <w:pPr>
        <w:pStyle w:val="EndNoteBibliography"/>
        <w:spacing w:after="0"/>
        <w:ind w:left="720" w:hanging="720"/>
        <w:rPr>
          <w:noProof/>
        </w:rPr>
      </w:pPr>
      <w:r w:rsidRPr="00223944">
        <w:rPr>
          <w:noProof/>
        </w:rPr>
        <w:t xml:space="preserve">Carling, J. (2010) 'Are graduate doctors adequately prepared to manage acutely unwell patients?', </w:t>
      </w:r>
      <w:r w:rsidRPr="00223944">
        <w:rPr>
          <w:i/>
          <w:noProof/>
        </w:rPr>
        <w:t>Clin Teach,</w:t>
      </w:r>
      <w:r w:rsidRPr="00223944">
        <w:rPr>
          <w:noProof/>
        </w:rPr>
        <w:t xml:space="preserve"> 7(2), pp. 102-5.</w:t>
      </w:r>
    </w:p>
    <w:p w14:paraId="055205EE" w14:textId="77777777" w:rsidR="00223944" w:rsidRPr="00223944" w:rsidRDefault="00223944" w:rsidP="00223944">
      <w:pPr>
        <w:pStyle w:val="EndNoteBibliography"/>
        <w:spacing w:after="0"/>
        <w:ind w:left="720" w:hanging="720"/>
        <w:rPr>
          <w:noProof/>
        </w:rPr>
      </w:pPr>
      <w:r w:rsidRPr="00223944">
        <w:rPr>
          <w:noProof/>
        </w:rPr>
        <w:t xml:space="preserve">Caspi, O., McKnight, P., Kruse, L., Cunningham, V., Figueredo, A. J. and Sechrest, L. (2006) 'Evidence-based medicine: discrepancy between perceived competence and actual performance among graduating medical students', </w:t>
      </w:r>
      <w:r w:rsidRPr="00223944">
        <w:rPr>
          <w:i/>
          <w:noProof/>
        </w:rPr>
        <w:t>Med Teach,</w:t>
      </w:r>
      <w:r w:rsidRPr="00223944">
        <w:rPr>
          <w:noProof/>
        </w:rPr>
        <w:t xml:space="preserve"> 28(4), pp. 318-25.</w:t>
      </w:r>
    </w:p>
    <w:p w14:paraId="2AE15878" w14:textId="77777777" w:rsidR="00223944" w:rsidRPr="00223944" w:rsidRDefault="00223944" w:rsidP="00223944">
      <w:pPr>
        <w:pStyle w:val="EndNoteBibliography"/>
        <w:spacing w:after="0"/>
        <w:ind w:left="720" w:hanging="720"/>
        <w:rPr>
          <w:noProof/>
        </w:rPr>
      </w:pPr>
      <w:r w:rsidRPr="00223944">
        <w:rPr>
          <w:noProof/>
        </w:rPr>
        <w:lastRenderedPageBreak/>
        <w:t xml:space="preserve">Cave, J., Goldacre, M., Lambert, T., Woolf, K., Jones, A. and Dacre, J. (2007) 'Newly qualified doctors' views about whether their medical school had trained them well: questionnaire surveys', </w:t>
      </w:r>
      <w:r w:rsidRPr="00223944">
        <w:rPr>
          <w:i/>
          <w:noProof/>
        </w:rPr>
        <w:t>BMC medical education,</w:t>
      </w:r>
      <w:r w:rsidRPr="00223944">
        <w:rPr>
          <w:noProof/>
        </w:rPr>
        <w:t xml:space="preserve"> 7, pp. 38-38.</w:t>
      </w:r>
    </w:p>
    <w:p w14:paraId="73B474C2" w14:textId="77777777" w:rsidR="00223944" w:rsidRPr="00223944" w:rsidRDefault="00223944" w:rsidP="00223944">
      <w:pPr>
        <w:pStyle w:val="EndNoteBibliography"/>
        <w:spacing w:after="0"/>
        <w:ind w:left="720" w:hanging="720"/>
        <w:rPr>
          <w:noProof/>
        </w:rPr>
      </w:pPr>
      <w:r w:rsidRPr="00223944">
        <w:rPr>
          <w:noProof/>
        </w:rPr>
        <w:t xml:space="preserve">Cave, J., Woolf, K., Jones, A. and Dacre, J. (2009) 'Easing the transition from student to doctor: how can medical schools help prepare their graduates for starting work?', </w:t>
      </w:r>
      <w:r w:rsidRPr="00223944">
        <w:rPr>
          <w:i/>
          <w:noProof/>
        </w:rPr>
        <w:t>Med Teach,</w:t>
      </w:r>
      <w:r w:rsidRPr="00223944">
        <w:rPr>
          <w:noProof/>
        </w:rPr>
        <w:t xml:space="preserve"> 31(5), pp. 403-8.</w:t>
      </w:r>
    </w:p>
    <w:p w14:paraId="4B9F000D" w14:textId="77777777" w:rsidR="00223944" w:rsidRPr="00223944" w:rsidRDefault="00223944" w:rsidP="00223944">
      <w:pPr>
        <w:pStyle w:val="EndNoteBibliography"/>
        <w:spacing w:after="0"/>
        <w:ind w:left="720" w:hanging="720"/>
        <w:rPr>
          <w:noProof/>
        </w:rPr>
      </w:pPr>
      <w:r w:rsidRPr="00223944">
        <w:rPr>
          <w:noProof/>
        </w:rPr>
        <w:t xml:space="preserve">Chaby, L. E., Sheriff, M. J., Hirrlinger, A. M. and Braithwaite, V. A. (2015) 'Can we understand how developmental stress enhances performance under future threat with the Yerkes-Dodson law?', </w:t>
      </w:r>
      <w:r w:rsidRPr="00223944">
        <w:rPr>
          <w:i/>
          <w:noProof/>
        </w:rPr>
        <w:t>Commun Integr Biol,</w:t>
      </w:r>
      <w:r w:rsidRPr="00223944">
        <w:rPr>
          <w:noProof/>
        </w:rPr>
        <w:t xml:space="preserve"> 8(3), pp. e1029689.</w:t>
      </w:r>
    </w:p>
    <w:p w14:paraId="523E55DC" w14:textId="77777777" w:rsidR="00223944" w:rsidRPr="00223944" w:rsidRDefault="00223944" w:rsidP="00223944">
      <w:pPr>
        <w:pStyle w:val="EndNoteBibliography"/>
        <w:spacing w:after="0"/>
        <w:ind w:left="720" w:hanging="720"/>
        <w:rPr>
          <w:noProof/>
        </w:rPr>
      </w:pPr>
      <w:r w:rsidRPr="00223944">
        <w:rPr>
          <w:noProof/>
        </w:rPr>
        <w:t xml:space="preserve">Charmaz, K. (2009) 'Shifting the grounds: Constructivist grounded theory methods for the twenty-first century', in J. Morse, P.S., J. Corbin, B. Bowers, K. Charmaz &amp; A. Clarke (ed.) </w:t>
      </w:r>
      <w:r w:rsidRPr="00223944">
        <w:rPr>
          <w:i/>
          <w:noProof/>
        </w:rPr>
        <w:t>Developing grounded theory: The second generation</w:t>
      </w:r>
      <w:r w:rsidRPr="00223944">
        <w:rPr>
          <w:noProof/>
        </w:rPr>
        <w:t>. Walnut Creek, CA: Left Coast Press, pp. 127 - 154.</w:t>
      </w:r>
    </w:p>
    <w:p w14:paraId="49DA3C45" w14:textId="77777777" w:rsidR="00223944" w:rsidRPr="00223944" w:rsidRDefault="00223944" w:rsidP="00223944">
      <w:pPr>
        <w:pStyle w:val="EndNoteBibliography"/>
        <w:spacing w:after="0"/>
        <w:ind w:left="720" w:hanging="720"/>
        <w:rPr>
          <w:noProof/>
        </w:rPr>
      </w:pPr>
      <w:r w:rsidRPr="00223944">
        <w:rPr>
          <w:noProof/>
        </w:rPr>
        <w:t xml:space="preserve">Charmaz, K. (2014) </w:t>
      </w:r>
      <w:r w:rsidRPr="00223944">
        <w:rPr>
          <w:i/>
          <w:noProof/>
        </w:rPr>
        <w:t>Constructing grounded theory.</w:t>
      </w:r>
      <w:r w:rsidRPr="00223944">
        <w:rPr>
          <w:noProof/>
        </w:rPr>
        <w:t xml:space="preserve"> London: Sage.</w:t>
      </w:r>
    </w:p>
    <w:p w14:paraId="44703AC2" w14:textId="77777777" w:rsidR="00223944" w:rsidRPr="00223944" w:rsidRDefault="00223944" w:rsidP="00223944">
      <w:pPr>
        <w:pStyle w:val="EndNoteBibliography"/>
        <w:spacing w:after="0"/>
        <w:ind w:left="720" w:hanging="720"/>
        <w:rPr>
          <w:noProof/>
        </w:rPr>
      </w:pPr>
      <w:r w:rsidRPr="00223944">
        <w:rPr>
          <w:noProof/>
        </w:rPr>
        <w:t xml:space="preserve">Charmaz, K. (2015) 'Teaching Theory Construction With Initial Grounded Theory Tools: A Reflection on Lessons and Learning', </w:t>
      </w:r>
      <w:r w:rsidRPr="00223944">
        <w:rPr>
          <w:i/>
          <w:noProof/>
        </w:rPr>
        <w:t>Qual Health Res,</w:t>
      </w:r>
      <w:r w:rsidRPr="00223944">
        <w:rPr>
          <w:noProof/>
        </w:rPr>
        <w:t xml:space="preserve"> 25(12), pp. 1610-22.</w:t>
      </w:r>
    </w:p>
    <w:p w14:paraId="0E84E406" w14:textId="77777777" w:rsidR="00223944" w:rsidRPr="00223944" w:rsidRDefault="00223944" w:rsidP="00223944">
      <w:pPr>
        <w:pStyle w:val="EndNoteBibliography"/>
        <w:spacing w:after="0"/>
        <w:ind w:left="720" w:hanging="720"/>
        <w:rPr>
          <w:noProof/>
        </w:rPr>
      </w:pPr>
      <w:r w:rsidRPr="00223944">
        <w:rPr>
          <w:noProof/>
        </w:rPr>
        <w:t xml:space="preserve">Chen, H. C., van den Broek, W. E. and ten Cate, O. (2015) 'The case for use of entrustable professional activities in undergraduate medical education', </w:t>
      </w:r>
      <w:r w:rsidRPr="00223944">
        <w:rPr>
          <w:i/>
          <w:noProof/>
        </w:rPr>
        <w:t>Acad Med,</w:t>
      </w:r>
      <w:r w:rsidRPr="00223944">
        <w:rPr>
          <w:noProof/>
        </w:rPr>
        <w:t xml:space="preserve"> 90(4), pp. 431-6.</w:t>
      </w:r>
    </w:p>
    <w:p w14:paraId="794AD972" w14:textId="77777777" w:rsidR="00223944" w:rsidRPr="00223944" w:rsidRDefault="00223944" w:rsidP="00223944">
      <w:pPr>
        <w:pStyle w:val="EndNoteBibliography"/>
        <w:spacing w:after="0"/>
        <w:ind w:left="720" w:hanging="720"/>
        <w:rPr>
          <w:noProof/>
        </w:rPr>
      </w:pPr>
      <w:r w:rsidRPr="00223944">
        <w:rPr>
          <w:noProof/>
        </w:rPr>
        <w:t xml:space="preserve">Chiniara, G., Cole, G., Brisbin, K., Huffman, D., Cragg, B., Lamacchia, M., Norman, D. and Canadian Network For Simulation In Healthcare, G. i. W. G. (2013) 'Simulation in healthcare: a taxonomy and a conceptual framework for instructional design and media selection', </w:t>
      </w:r>
      <w:r w:rsidRPr="00223944">
        <w:rPr>
          <w:i/>
          <w:noProof/>
        </w:rPr>
        <w:t>Med Teach,</w:t>
      </w:r>
      <w:r w:rsidRPr="00223944">
        <w:rPr>
          <w:noProof/>
        </w:rPr>
        <w:t xml:space="preserve"> 35(8), pp. e1380-95.</w:t>
      </w:r>
    </w:p>
    <w:p w14:paraId="50186D5B" w14:textId="77777777" w:rsidR="00223944" w:rsidRPr="00223944" w:rsidRDefault="00223944" w:rsidP="00223944">
      <w:pPr>
        <w:pStyle w:val="EndNoteBibliography"/>
        <w:spacing w:after="0"/>
        <w:ind w:left="720" w:hanging="720"/>
        <w:rPr>
          <w:noProof/>
        </w:rPr>
      </w:pPr>
      <w:r w:rsidRPr="00223944">
        <w:rPr>
          <w:noProof/>
        </w:rPr>
        <w:t xml:space="preserve">Cleland, J. A. (2017) 'The qualitative orientation in medical education research', </w:t>
      </w:r>
      <w:r w:rsidRPr="00223944">
        <w:rPr>
          <w:i/>
          <w:noProof/>
        </w:rPr>
        <w:t>Korean J Med Educ,</w:t>
      </w:r>
      <w:r w:rsidRPr="00223944">
        <w:rPr>
          <w:noProof/>
        </w:rPr>
        <w:t xml:space="preserve"> 29(2), pp. 61-71.</w:t>
      </w:r>
    </w:p>
    <w:p w14:paraId="21F97D6D" w14:textId="77777777" w:rsidR="00223944" w:rsidRPr="00223944" w:rsidRDefault="00223944" w:rsidP="00223944">
      <w:pPr>
        <w:pStyle w:val="EndNoteBibliography"/>
        <w:spacing w:after="0"/>
        <w:ind w:left="720" w:hanging="720"/>
        <w:rPr>
          <w:noProof/>
        </w:rPr>
      </w:pPr>
      <w:r w:rsidRPr="00223944">
        <w:rPr>
          <w:noProof/>
        </w:rPr>
        <w:t xml:space="preserve">Coffey, A. and Atkinson, P. (1996) </w:t>
      </w:r>
      <w:r w:rsidRPr="00223944">
        <w:rPr>
          <w:i/>
          <w:noProof/>
        </w:rPr>
        <w:t>Making sense of Qualitative Data: Complementary Research Strategies.</w:t>
      </w:r>
      <w:r w:rsidRPr="00223944">
        <w:rPr>
          <w:noProof/>
        </w:rPr>
        <w:t xml:space="preserve"> London: Sage.</w:t>
      </w:r>
    </w:p>
    <w:p w14:paraId="45D10314" w14:textId="77777777" w:rsidR="00223944" w:rsidRPr="00223944" w:rsidRDefault="00223944" w:rsidP="00223944">
      <w:pPr>
        <w:pStyle w:val="EndNoteBibliography"/>
        <w:spacing w:after="0"/>
        <w:ind w:left="720" w:hanging="720"/>
        <w:rPr>
          <w:noProof/>
        </w:rPr>
      </w:pPr>
      <w:r w:rsidRPr="00223944">
        <w:rPr>
          <w:noProof/>
        </w:rPr>
        <w:t xml:space="preserve">Cohen, J. (1988) </w:t>
      </w:r>
      <w:r w:rsidRPr="00223944">
        <w:rPr>
          <w:i/>
          <w:noProof/>
        </w:rPr>
        <w:t>Statistical Power Analysis for the Behavioral Sciences.</w:t>
      </w:r>
      <w:r w:rsidRPr="00223944">
        <w:rPr>
          <w:noProof/>
        </w:rPr>
        <w:t xml:space="preserve"> 2nd edn.: Routledge.</w:t>
      </w:r>
    </w:p>
    <w:p w14:paraId="2552C4E4" w14:textId="77777777" w:rsidR="00223944" w:rsidRPr="00223944" w:rsidRDefault="00223944" w:rsidP="00223944">
      <w:pPr>
        <w:pStyle w:val="EndNoteBibliography"/>
        <w:spacing w:after="0"/>
        <w:ind w:left="720" w:hanging="720"/>
        <w:rPr>
          <w:noProof/>
        </w:rPr>
      </w:pPr>
      <w:r w:rsidRPr="00223944">
        <w:rPr>
          <w:noProof/>
        </w:rPr>
        <w:t xml:space="preserve">Cohen, L., Manion, L. and Morrison, K. (2000) </w:t>
      </w:r>
      <w:r w:rsidRPr="00223944">
        <w:rPr>
          <w:i/>
          <w:noProof/>
        </w:rPr>
        <w:t>Research Methods in Education.</w:t>
      </w:r>
      <w:r w:rsidRPr="00223944">
        <w:rPr>
          <w:noProof/>
        </w:rPr>
        <w:t xml:space="preserve"> 5th edn. London: RoutledgeFalmer.</w:t>
      </w:r>
    </w:p>
    <w:p w14:paraId="3AC055D8" w14:textId="77777777" w:rsidR="00223944" w:rsidRPr="00223944" w:rsidRDefault="00223944" w:rsidP="00223944">
      <w:pPr>
        <w:pStyle w:val="EndNoteBibliography"/>
        <w:spacing w:after="0"/>
        <w:ind w:left="720" w:hanging="720"/>
        <w:rPr>
          <w:noProof/>
        </w:rPr>
      </w:pPr>
      <w:r w:rsidRPr="00223944">
        <w:rPr>
          <w:noProof/>
        </w:rPr>
        <w:t xml:space="preserve">Colbert-Getz, J. M., Fleishman, C., Jung, J. and Shilkofski, N. (2013) 'How do gender and anxiety affect students' self-assessment and actual performance on a high-stakes clinical skills examination?', </w:t>
      </w:r>
      <w:r w:rsidRPr="00223944">
        <w:rPr>
          <w:i/>
          <w:noProof/>
        </w:rPr>
        <w:t>Acad Med,</w:t>
      </w:r>
      <w:r w:rsidRPr="00223944">
        <w:rPr>
          <w:noProof/>
        </w:rPr>
        <w:t xml:space="preserve"> 88(1), pp. 44-8.</w:t>
      </w:r>
    </w:p>
    <w:p w14:paraId="5B083485" w14:textId="77777777" w:rsidR="00223944" w:rsidRPr="00223944" w:rsidRDefault="00223944" w:rsidP="00223944">
      <w:pPr>
        <w:pStyle w:val="EndNoteBibliography"/>
        <w:spacing w:after="0"/>
        <w:ind w:left="720" w:hanging="720"/>
        <w:rPr>
          <w:noProof/>
        </w:rPr>
      </w:pPr>
      <w:r w:rsidRPr="00223944">
        <w:rPr>
          <w:noProof/>
        </w:rPr>
        <w:t xml:space="preserve">Colleges, T. A. o. t. R. (2012) </w:t>
      </w:r>
      <w:r w:rsidRPr="00223944">
        <w:rPr>
          <w:i/>
          <w:noProof/>
        </w:rPr>
        <w:t>The UK Foundation Programme Curriculum</w:t>
      </w:r>
      <w:r w:rsidRPr="00223944">
        <w:rPr>
          <w:noProof/>
        </w:rPr>
        <w:t xml:space="preserve"> (Accessed: 9th May 2016.</w:t>
      </w:r>
    </w:p>
    <w:p w14:paraId="28AE1EA0" w14:textId="77777777" w:rsidR="00223944" w:rsidRPr="00223944" w:rsidRDefault="00223944" w:rsidP="00223944">
      <w:pPr>
        <w:pStyle w:val="EndNoteBibliography"/>
        <w:spacing w:after="0"/>
        <w:ind w:left="720" w:hanging="720"/>
        <w:rPr>
          <w:noProof/>
        </w:rPr>
      </w:pPr>
      <w:r w:rsidRPr="00223944">
        <w:rPr>
          <w:noProof/>
        </w:rPr>
        <w:t xml:space="preserve">Collins, J. A. and Fauser, B. C. (2005) 'Balancing the strengths of systematic and narrative reviews', </w:t>
      </w:r>
      <w:r w:rsidRPr="00223944">
        <w:rPr>
          <w:i/>
          <w:noProof/>
        </w:rPr>
        <w:t>Hum Reprod Update,</w:t>
      </w:r>
      <w:r w:rsidRPr="00223944">
        <w:rPr>
          <w:noProof/>
        </w:rPr>
        <w:t xml:space="preserve"> 11(2), pp. 103-4.</w:t>
      </w:r>
    </w:p>
    <w:p w14:paraId="4C13BDAC" w14:textId="77777777" w:rsidR="00223944" w:rsidRPr="00223944" w:rsidRDefault="00223944" w:rsidP="00223944">
      <w:pPr>
        <w:pStyle w:val="EndNoteBibliography"/>
        <w:spacing w:after="0"/>
        <w:ind w:left="720" w:hanging="720"/>
        <w:rPr>
          <w:noProof/>
        </w:rPr>
      </w:pPr>
      <w:r w:rsidRPr="00223944">
        <w:rPr>
          <w:noProof/>
        </w:rPr>
        <w:t xml:space="preserve">Colliver, J. A. (2000) 'Effectiveness of PBL curricula', </w:t>
      </w:r>
      <w:r w:rsidRPr="00223944">
        <w:rPr>
          <w:i/>
          <w:noProof/>
        </w:rPr>
        <w:t>Med Educ,</w:t>
      </w:r>
      <w:r w:rsidRPr="00223944">
        <w:rPr>
          <w:noProof/>
        </w:rPr>
        <w:t xml:space="preserve"> 34(11), pp. 959-60.</w:t>
      </w:r>
    </w:p>
    <w:p w14:paraId="4CAA285F" w14:textId="77777777" w:rsidR="00223944" w:rsidRPr="00223944" w:rsidRDefault="00223944" w:rsidP="00223944">
      <w:pPr>
        <w:pStyle w:val="EndNoteBibliography"/>
        <w:spacing w:after="0"/>
        <w:ind w:left="720" w:hanging="720"/>
        <w:rPr>
          <w:noProof/>
        </w:rPr>
      </w:pPr>
      <w:r w:rsidRPr="00223944">
        <w:rPr>
          <w:noProof/>
        </w:rPr>
        <w:t xml:space="preserve">Colliver, J. A. (2002) 'Educational theory and medical education practice: a cautionary note for medical school faculty', </w:t>
      </w:r>
      <w:r w:rsidRPr="00223944">
        <w:rPr>
          <w:i/>
          <w:noProof/>
        </w:rPr>
        <w:t>Acad Med,</w:t>
      </w:r>
      <w:r w:rsidRPr="00223944">
        <w:rPr>
          <w:noProof/>
        </w:rPr>
        <w:t xml:space="preserve"> 77(12 Pt 1), pp. 1217-20.</w:t>
      </w:r>
    </w:p>
    <w:p w14:paraId="38900220" w14:textId="77777777" w:rsidR="00223944" w:rsidRPr="00223944" w:rsidRDefault="00223944" w:rsidP="00223944">
      <w:pPr>
        <w:pStyle w:val="EndNoteBibliography"/>
        <w:spacing w:after="0"/>
        <w:ind w:left="720" w:hanging="720"/>
        <w:rPr>
          <w:noProof/>
        </w:rPr>
      </w:pPr>
      <w:r w:rsidRPr="00223944">
        <w:rPr>
          <w:noProof/>
        </w:rPr>
        <w:t xml:space="preserve">Colliver, J. A. and Markwell, S. J. (2007) 'Research on problem-based learning: the need for critical analysis of methods and findings', </w:t>
      </w:r>
      <w:r w:rsidRPr="00223944">
        <w:rPr>
          <w:i/>
          <w:noProof/>
        </w:rPr>
        <w:t>Med Educ,</w:t>
      </w:r>
      <w:r w:rsidRPr="00223944">
        <w:rPr>
          <w:noProof/>
        </w:rPr>
        <w:t xml:space="preserve"> 41(6), pp. 533-5.</w:t>
      </w:r>
    </w:p>
    <w:p w14:paraId="563B383B" w14:textId="77777777" w:rsidR="00223944" w:rsidRPr="00223944" w:rsidRDefault="00223944" w:rsidP="00223944">
      <w:pPr>
        <w:pStyle w:val="EndNoteBibliography"/>
        <w:spacing w:after="0"/>
        <w:ind w:left="720" w:hanging="720"/>
        <w:rPr>
          <w:noProof/>
        </w:rPr>
      </w:pPr>
      <w:r w:rsidRPr="00223944">
        <w:rPr>
          <w:noProof/>
        </w:rPr>
        <w:lastRenderedPageBreak/>
        <w:t xml:space="preserve">Cook, D. A., Hamstra, S. J., Brydges, R., Zendejas, B., Szostek, J. H., Wang, A. T., Erwin, P. J. and Hatala, R. (2013) 'Comparative effectiveness of instructional design features in simulation-based education: systematic review and meta-analysis', </w:t>
      </w:r>
      <w:r w:rsidRPr="00223944">
        <w:rPr>
          <w:i/>
          <w:noProof/>
        </w:rPr>
        <w:t>Med Teach,</w:t>
      </w:r>
      <w:r w:rsidRPr="00223944">
        <w:rPr>
          <w:noProof/>
        </w:rPr>
        <w:t xml:space="preserve"> 35(1), pp. e867-98.</w:t>
      </w:r>
    </w:p>
    <w:p w14:paraId="015EB166" w14:textId="77777777" w:rsidR="00223944" w:rsidRPr="00223944" w:rsidRDefault="00223944" w:rsidP="00223944">
      <w:pPr>
        <w:pStyle w:val="EndNoteBibliography"/>
        <w:spacing w:after="0"/>
        <w:ind w:left="720" w:hanging="720"/>
        <w:rPr>
          <w:noProof/>
        </w:rPr>
      </w:pPr>
      <w:r w:rsidRPr="00223944">
        <w:rPr>
          <w:noProof/>
        </w:rPr>
        <w:t xml:space="preserve">Cowden, R. G. (2016) 'Mental Toughness, Emotional Intelligence, and Coping Effectiveness: An Analysis of Construct Interrelatedness Among High-Performing Adolescent Male Athletes', </w:t>
      </w:r>
      <w:r w:rsidRPr="00223944">
        <w:rPr>
          <w:i/>
          <w:noProof/>
        </w:rPr>
        <w:t>Percept Mot Skills</w:t>
      </w:r>
      <w:r w:rsidRPr="00223944">
        <w:rPr>
          <w:noProof/>
        </w:rPr>
        <w:t>.</w:t>
      </w:r>
    </w:p>
    <w:p w14:paraId="6E83F46B" w14:textId="583151A7" w:rsidR="00223944" w:rsidRPr="00223944" w:rsidRDefault="00223944" w:rsidP="0026537A">
      <w:pPr>
        <w:pStyle w:val="EndNoteBibliography"/>
        <w:ind w:left="720" w:hanging="720"/>
        <w:rPr>
          <w:noProof/>
        </w:rPr>
      </w:pPr>
      <w:r w:rsidRPr="00223944">
        <w:rPr>
          <w:noProof/>
        </w:rPr>
        <w:t xml:space="preserve">Creswell, J. W. (2015) </w:t>
      </w:r>
      <w:r w:rsidRPr="00223944">
        <w:rPr>
          <w:i/>
          <w:noProof/>
        </w:rPr>
        <w:t>A Concise Introduction to Mixed Methods Research.</w:t>
      </w:r>
      <w:r w:rsidRPr="00223944">
        <w:rPr>
          <w:noProof/>
        </w:rPr>
        <w:t xml:space="preserve"> Thousand Oaks, California</w:t>
      </w:r>
      <w:r w:rsidR="0026537A">
        <w:rPr>
          <w:noProof/>
        </w:rPr>
        <w:t xml:space="preserve">, </w:t>
      </w:r>
      <w:r w:rsidRPr="00223944">
        <w:rPr>
          <w:noProof/>
        </w:rPr>
        <w:t>London</w:t>
      </w:r>
      <w:r w:rsidR="0026537A">
        <w:rPr>
          <w:noProof/>
        </w:rPr>
        <w:t xml:space="preserve">, </w:t>
      </w:r>
      <w:r w:rsidRPr="00223944">
        <w:rPr>
          <w:noProof/>
        </w:rPr>
        <w:t>New Delhi</w:t>
      </w:r>
      <w:r w:rsidR="0026537A">
        <w:rPr>
          <w:noProof/>
        </w:rPr>
        <w:t xml:space="preserve">, </w:t>
      </w:r>
      <w:r w:rsidRPr="00223944">
        <w:rPr>
          <w:noProof/>
        </w:rPr>
        <w:t>Singapore Sage.</w:t>
      </w:r>
    </w:p>
    <w:p w14:paraId="290846C1" w14:textId="77777777" w:rsidR="00223944" w:rsidRPr="00223944" w:rsidRDefault="00223944" w:rsidP="00223944">
      <w:pPr>
        <w:pStyle w:val="EndNoteBibliography"/>
        <w:spacing w:after="0"/>
        <w:ind w:left="720" w:hanging="720"/>
        <w:rPr>
          <w:noProof/>
        </w:rPr>
      </w:pPr>
      <w:r w:rsidRPr="00223944">
        <w:rPr>
          <w:noProof/>
        </w:rPr>
        <w:t xml:space="preserve">Creswell, J. W. and Miller, D. L. (2000) 'Determining validity in qualitative inquiry', </w:t>
      </w:r>
      <w:r w:rsidRPr="00223944">
        <w:rPr>
          <w:i/>
          <w:noProof/>
        </w:rPr>
        <w:t>Theory into Practice,</w:t>
      </w:r>
      <w:r w:rsidRPr="00223944">
        <w:rPr>
          <w:noProof/>
        </w:rPr>
        <w:t xml:space="preserve"> 39(3), pp. 124-130.</w:t>
      </w:r>
    </w:p>
    <w:p w14:paraId="38A9763F" w14:textId="77777777" w:rsidR="00223944" w:rsidRPr="00223944" w:rsidRDefault="00223944" w:rsidP="00223944">
      <w:pPr>
        <w:pStyle w:val="EndNoteBibliography"/>
        <w:spacing w:after="0"/>
        <w:ind w:left="720" w:hanging="720"/>
        <w:rPr>
          <w:noProof/>
        </w:rPr>
      </w:pPr>
      <w:r w:rsidRPr="00223944">
        <w:rPr>
          <w:noProof/>
        </w:rPr>
        <w:t xml:space="preserve">Creswell, J. W. and Plano Clark, V. L. (2007) </w:t>
      </w:r>
      <w:r w:rsidRPr="00223944">
        <w:rPr>
          <w:i/>
          <w:noProof/>
        </w:rPr>
        <w:t>Designing and conducting mixed methods research.</w:t>
      </w:r>
      <w:r w:rsidRPr="00223944">
        <w:rPr>
          <w:noProof/>
        </w:rPr>
        <w:t xml:space="preserve"> Thousand Oaks, CA: Sage.</w:t>
      </w:r>
    </w:p>
    <w:p w14:paraId="41D0C400" w14:textId="77777777" w:rsidR="00223944" w:rsidRPr="00223944" w:rsidRDefault="00223944" w:rsidP="00223944">
      <w:pPr>
        <w:pStyle w:val="EndNoteBibliography"/>
        <w:spacing w:after="0"/>
        <w:ind w:left="720" w:hanging="720"/>
        <w:rPr>
          <w:noProof/>
        </w:rPr>
      </w:pPr>
      <w:r w:rsidRPr="00223944">
        <w:rPr>
          <w:noProof/>
        </w:rPr>
        <w:t xml:space="preserve">Cribb, A. and Bignold, S. (1999) 'Towards the reflexive medical school: The hidden curriculum and medical education research', </w:t>
      </w:r>
      <w:r w:rsidRPr="00223944">
        <w:rPr>
          <w:i/>
          <w:noProof/>
        </w:rPr>
        <w:t>Studies in Higher Education,</w:t>
      </w:r>
      <w:r w:rsidRPr="00223944">
        <w:rPr>
          <w:noProof/>
        </w:rPr>
        <w:t xml:space="preserve"> 24(2), pp. 195-209.</w:t>
      </w:r>
    </w:p>
    <w:p w14:paraId="62AE4BA0" w14:textId="77777777" w:rsidR="00223944" w:rsidRPr="00223944" w:rsidRDefault="00223944" w:rsidP="00223944">
      <w:pPr>
        <w:pStyle w:val="EndNoteBibliography"/>
        <w:spacing w:after="0"/>
        <w:ind w:left="720" w:hanging="720"/>
        <w:rPr>
          <w:noProof/>
        </w:rPr>
      </w:pPr>
      <w:r w:rsidRPr="00223944">
        <w:rPr>
          <w:noProof/>
        </w:rPr>
        <w:t xml:space="preserve">Croley, W. C. and Rothenberg, D. M. (2007) 'Education of trainees in the intensive care unit', </w:t>
      </w:r>
      <w:r w:rsidRPr="00223944">
        <w:rPr>
          <w:i/>
          <w:noProof/>
        </w:rPr>
        <w:t>Critical Care Medicine,</w:t>
      </w:r>
      <w:r w:rsidRPr="00223944">
        <w:rPr>
          <w:noProof/>
        </w:rPr>
        <w:t xml:space="preserve"> 35(2), pp. S117-S121.</w:t>
      </w:r>
    </w:p>
    <w:p w14:paraId="4A3B7F7D" w14:textId="77777777" w:rsidR="00223944" w:rsidRPr="00223944" w:rsidRDefault="00223944" w:rsidP="00223944">
      <w:pPr>
        <w:pStyle w:val="EndNoteBibliography"/>
        <w:spacing w:after="0"/>
        <w:ind w:left="720" w:hanging="720"/>
        <w:rPr>
          <w:noProof/>
        </w:rPr>
      </w:pPr>
      <w:r w:rsidRPr="00223944">
        <w:rPr>
          <w:noProof/>
        </w:rPr>
        <w:t xml:space="preserve">Croskerry, P., Petrie, D. A., Reilly, J. B. and Tait, G. (2014) 'Deciding about fast and slow decisions', </w:t>
      </w:r>
      <w:r w:rsidRPr="00223944">
        <w:rPr>
          <w:i/>
          <w:noProof/>
        </w:rPr>
        <w:t>Acad Med,</w:t>
      </w:r>
      <w:r w:rsidRPr="00223944">
        <w:rPr>
          <w:noProof/>
        </w:rPr>
        <w:t xml:space="preserve"> 89(2), pp. 197-200.</w:t>
      </w:r>
    </w:p>
    <w:p w14:paraId="1C805CEA" w14:textId="77777777" w:rsidR="00223944" w:rsidRPr="00223944" w:rsidRDefault="00223944" w:rsidP="00223944">
      <w:pPr>
        <w:pStyle w:val="EndNoteBibliography"/>
        <w:spacing w:after="0"/>
        <w:ind w:left="720" w:hanging="720"/>
        <w:rPr>
          <w:noProof/>
        </w:rPr>
      </w:pPr>
      <w:r w:rsidRPr="00223944">
        <w:rPr>
          <w:noProof/>
        </w:rPr>
        <w:t xml:space="preserve">Curry, L. A. and Nunez-Smith, M. (2015) </w:t>
      </w:r>
      <w:r w:rsidRPr="00223944">
        <w:rPr>
          <w:i/>
          <w:noProof/>
        </w:rPr>
        <w:t>Mixed methods in health sciences research: A practical primer.</w:t>
      </w:r>
      <w:r w:rsidRPr="00223944">
        <w:rPr>
          <w:noProof/>
        </w:rPr>
        <w:t xml:space="preserve"> Thousand Oaks, CA: Sage.</w:t>
      </w:r>
    </w:p>
    <w:p w14:paraId="4BFC8F63" w14:textId="77777777" w:rsidR="00223944" w:rsidRPr="00223944" w:rsidRDefault="00223944" w:rsidP="00223944">
      <w:pPr>
        <w:pStyle w:val="EndNoteBibliography"/>
        <w:spacing w:after="0"/>
        <w:ind w:left="720" w:hanging="720"/>
        <w:rPr>
          <w:noProof/>
        </w:rPr>
      </w:pPr>
      <w:r w:rsidRPr="00223944">
        <w:rPr>
          <w:noProof/>
        </w:rPr>
        <w:t xml:space="preserve">Custers, E. J. (2013) 'Medical education and cognitive continuum theory: an alternative perspective on medical problem solving and clinical reasoning', </w:t>
      </w:r>
      <w:r w:rsidRPr="00223944">
        <w:rPr>
          <w:i/>
          <w:noProof/>
        </w:rPr>
        <w:t>Acad Med,</w:t>
      </w:r>
      <w:r w:rsidRPr="00223944">
        <w:rPr>
          <w:noProof/>
        </w:rPr>
        <w:t xml:space="preserve"> 88(8), pp. 1074-80.</w:t>
      </w:r>
    </w:p>
    <w:p w14:paraId="530EFB45" w14:textId="77777777" w:rsidR="00223944" w:rsidRPr="00223944" w:rsidRDefault="00223944" w:rsidP="00223944">
      <w:pPr>
        <w:pStyle w:val="EndNoteBibliography"/>
        <w:spacing w:after="0"/>
        <w:ind w:left="720" w:hanging="720"/>
        <w:rPr>
          <w:noProof/>
        </w:rPr>
      </w:pPr>
      <w:r w:rsidRPr="00223944">
        <w:rPr>
          <w:noProof/>
        </w:rPr>
        <w:t xml:space="preserve">Dalgaty, F., Guthrie, G., Walker, H. and Stirling, K. (2016) 'The value of mentorship in medical education', </w:t>
      </w:r>
      <w:r w:rsidRPr="00223944">
        <w:rPr>
          <w:i/>
          <w:noProof/>
        </w:rPr>
        <w:t>Clin Teach</w:t>
      </w:r>
      <w:r w:rsidRPr="00223944">
        <w:rPr>
          <w:noProof/>
        </w:rPr>
        <w:t>.</w:t>
      </w:r>
    </w:p>
    <w:p w14:paraId="4F916447" w14:textId="77777777" w:rsidR="00223944" w:rsidRPr="00223944" w:rsidRDefault="00223944" w:rsidP="00223944">
      <w:pPr>
        <w:pStyle w:val="EndNoteBibliography"/>
        <w:spacing w:after="0"/>
        <w:ind w:left="720" w:hanging="720"/>
        <w:rPr>
          <w:noProof/>
        </w:rPr>
      </w:pPr>
      <w:r w:rsidRPr="00223944">
        <w:rPr>
          <w:noProof/>
        </w:rPr>
        <w:t xml:space="preserve">Dehmer, J. J., Amos, K. D., Farrell, T. M., Meyer, A. A., Newton, W. P. and Meyers, M. O. (2013) 'Competence and confidence with basic procedural skills: the experience and opinions of fourth-year medical students at a single institution', </w:t>
      </w:r>
      <w:r w:rsidRPr="00223944">
        <w:rPr>
          <w:i/>
          <w:noProof/>
        </w:rPr>
        <w:t>Acad Med,</w:t>
      </w:r>
      <w:r w:rsidRPr="00223944">
        <w:rPr>
          <w:noProof/>
        </w:rPr>
        <w:t xml:space="preserve"> 88(5), pp. 682-7.</w:t>
      </w:r>
    </w:p>
    <w:p w14:paraId="5C50B8D9" w14:textId="77777777" w:rsidR="00223944" w:rsidRPr="00223944" w:rsidRDefault="00223944" w:rsidP="00223944">
      <w:pPr>
        <w:pStyle w:val="EndNoteBibliography"/>
        <w:spacing w:after="0"/>
        <w:ind w:left="720" w:hanging="720"/>
        <w:rPr>
          <w:noProof/>
        </w:rPr>
      </w:pPr>
      <w:r w:rsidRPr="00223944">
        <w:rPr>
          <w:noProof/>
        </w:rPr>
        <w:t xml:space="preserve">Denzin, N. (2006) </w:t>
      </w:r>
      <w:r w:rsidRPr="00223944">
        <w:rPr>
          <w:i/>
          <w:noProof/>
        </w:rPr>
        <w:t>Sociological Methods: A Sourcebook.</w:t>
      </w:r>
      <w:r w:rsidRPr="00223944">
        <w:rPr>
          <w:noProof/>
        </w:rPr>
        <w:t xml:space="preserve"> 5th edn.: Aldine Transaction.</w:t>
      </w:r>
    </w:p>
    <w:p w14:paraId="147497A3" w14:textId="77777777" w:rsidR="00223944" w:rsidRPr="00223944" w:rsidRDefault="00223944" w:rsidP="00223944">
      <w:pPr>
        <w:pStyle w:val="EndNoteBibliography"/>
        <w:spacing w:after="0"/>
        <w:ind w:left="720" w:hanging="720"/>
        <w:rPr>
          <w:noProof/>
        </w:rPr>
      </w:pPr>
      <w:r w:rsidRPr="00223944">
        <w:rPr>
          <w:noProof/>
        </w:rPr>
        <w:t>Denzin, N. K. and Lincoln, Y. S. 1998. Collecting and interpreting qualitative material. Thousand Oaks, CA: Sage.</w:t>
      </w:r>
    </w:p>
    <w:p w14:paraId="4716B034" w14:textId="77777777" w:rsidR="00223944" w:rsidRPr="00223944" w:rsidRDefault="00223944" w:rsidP="00223944">
      <w:pPr>
        <w:pStyle w:val="EndNoteBibliography"/>
        <w:spacing w:after="0"/>
        <w:ind w:left="720" w:hanging="720"/>
        <w:rPr>
          <w:noProof/>
        </w:rPr>
      </w:pPr>
      <w:r w:rsidRPr="00223944">
        <w:rPr>
          <w:noProof/>
        </w:rPr>
        <w:t xml:space="preserve">Denzin, N. K. and Lincoln, Y. S. (2013) </w:t>
      </w:r>
      <w:r w:rsidRPr="00223944">
        <w:rPr>
          <w:i/>
          <w:noProof/>
        </w:rPr>
        <w:t>Strategies of qualitative inquiry.</w:t>
      </w:r>
      <w:r w:rsidRPr="00223944">
        <w:rPr>
          <w:noProof/>
        </w:rPr>
        <w:t xml:space="preserve"> 4th edn. Thousand Oaks, CA: Sage.</w:t>
      </w:r>
    </w:p>
    <w:p w14:paraId="4B57275E" w14:textId="77777777" w:rsidR="00223944" w:rsidRPr="00223944" w:rsidRDefault="00223944" w:rsidP="00223944">
      <w:pPr>
        <w:pStyle w:val="EndNoteBibliography"/>
        <w:spacing w:after="0"/>
        <w:ind w:left="720" w:hanging="720"/>
        <w:rPr>
          <w:noProof/>
        </w:rPr>
      </w:pPr>
      <w:r w:rsidRPr="00223944">
        <w:rPr>
          <w:noProof/>
        </w:rPr>
        <w:t xml:space="preserve">Dieckmann, P., Friis, S. M., Lippert, A. and Ostergaard, D. (2009) 'The art and science of debriefing in simulation: Ideal and practice', </w:t>
      </w:r>
      <w:r w:rsidRPr="00223944">
        <w:rPr>
          <w:i/>
          <w:noProof/>
        </w:rPr>
        <w:t>Medical Teacher,</w:t>
      </w:r>
      <w:r w:rsidRPr="00223944">
        <w:rPr>
          <w:noProof/>
        </w:rPr>
        <w:t xml:space="preserve"> 31(7), pp. E287-E294.</w:t>
      </w:r>
    </w:p>
    <w:p w14:paraId="0C43A6DC" w14:textId="77777777" w:rsidR="00223944" w:rsidRPr="00223944" w:rsidRDefault="00223944" w:rsidP="00223944">
      <w:pPr>
        <w:pStyle w:val="EndNoteBibliography"/>
        <w:spacing w:after="0"/>
        <w:ind w:left="720" w:hanging="720"/>
        <w:rPr>
          <w:noProof/>
        </w:rPr>
      </w:pPr>
      <w:r w:rsidRPr="00223944">
        <w:rPr>
          <w:noProof/>
        </w:rPr>
        <w:t xml:space="preserve">Dieckmann, P., Gaba, D. and Rall, M. (2007) 'Deepening the theoretical foundations of patient simulation as social practice', </w:t>
      </w:r>
      <w:r w:rsidRPr="00223944">
        <w:rPr>
          <w:i/>
          <w:noProof/>
        </w:rPr>
        <w:t>Simulation in healthcare : journal of the Society for Simulation in Healthcare,</w:t>
      </w:r>
      <w:r w:rsidRPr="00223944">
        <w:rPr>
          <w:noProof/>
        </w:rPr>
        <w:t xml:space="preserve"> 2(3), pp. 183-93.</w:t>
      </w:r>
    </w:p>
    <w:p w14:paraId="68FFE16F" w14:textId="77777777" w:rsidR="00223944" w:rsidRPr="00223944" w:rsidRDefault="00223944" w:rsidP="00223944">
      <w:pPr>
        <w:pStyle w:val="EndNoteBibliography"/>
        <w:spacing w:after="0"/>
        <w:ind w:left="720" w:hanging="720"/>
        <w:rPr>
          <w:noProof/>
        </w:rPr>
      </w:pPr>
      <w:r w:rsidRPr="00223944">
        <w:rPr>
          <w:noProof/>
        </w:rPr>
        <w:t xml:space="preserve">Draycott, T. J., Crofts, J. F., Ash, J. P., Wilson, L. V., Yard, E., Sibanda, T. and Whitelaw, A. (2008a) 'Improving Neonatal Outcome Through Practical Shoulder Dystocia Training', </w:t>
      </w:r>
      <w:r w:rsidRPr="00223944">
        <w:rPr>
          <w:i/>
          <w:noProof/>
        </w:rPr>
        <w:t>Obstetrical &amp; Gynecological Survey,</w:t>
      </w:r>
      <w:r w:rsidRPr="00223944">
        <w:rPr>
          <w:noProof/>
        </w:rPr>
        <w:t xml:space="preserve"> 63(11), pp. 683-684.</w:t>
      </w:r>
    </w:p>
    <w:p w14:paraId="1F9B972A" w14:textId="77777777" w:rsidR="00223944" w:rsidRPr="00223944" w:rsidRDefault="00223944" w:rsidP="00223944">
      <w:pPr>
        <w:pStyle w:val="EndNoteBibliography"/>
        <w:spacing w:after="0"/>
        <w:ind w:left="720" w:hanging="720"/>
        <w:rPr>
          <w:noProof/>
        </w:rPr>
      </w:pPr>
      <w:r w:rsidRPr="00223944">
        <w:rPr>
          <w:noProof/>
        </w:rPr>
        <w:lastRenderedPageBreak/>
        <w:t xml:space="preserve">Draycott, T. J., Crofts, J. F., Ash, J. P., Wilson, L. V., Yard, E., Sibanda, T. and Whitelaw, A. (2008b) 'Improving Neonatal Outcome Through Practical Shoulder Dystocia Training', </w:t>
      </w:r>
      <w:r w:rsidRPr="00223944">
        <w:rPr>
          <w:i/>
          <w:noProof/>
        </w:rPr>
        <w:t>Obstetrical &amp;amp; Gynecological Survey,</w:t>
      </w:r>
      <w:r w:rsidRPr="00223944">
        <w:rPr>
          <w:noProof/>
        </w:rPr>
        <w:t xml:space="preserve"> 63(11), pp. 683-684.</w:t>
      </w:r>
    </w:p>
    <w:p w14:paraId="633097EC" w14:textId="77777777" w:rsidR="00223944" w:rsidRPr="00223944" w:rsidRDefault="00223944" w:rsidP="00223944">
      <w:pPr>
        <w:pStyle w:val="EndNoteBibliography"/>
        <w:spacing w:after="0"/>
        <w:ind w:left="720" w:hanging="720"/>
        <w:rPr>
          <w:noProof/>
        </w:rPr>
      </w:pPr>
      <w:r w:rsidRPr="00223944">
        <w:rPr>
          <w:noProof/>
        </w:rPr>
        <w:t xml:space="preserve">Duns, G., Weiland, T., Crotty, B., Jolly, B., Cuddihy, H. and Dent, A. (2008) 'Self-rated preparedness of Australian prevocational hospital doctors for emergencies', </w:t>
      </w:r>
      <w:r w:rsidRPr="00223944">
        <w:rPr>
          <w:i/>
          <w:noProof/>
        </w:rPr>
        <w:t>Emerg Med Australas,</w:t>
      </w:r>
      <w:r w:rsidRPr="00223944">
        <w:rPr>
          <w:noProof/>
        </w:rPr>
        <w:t xml:space="preserve"> 20(2), pp. 144-8.</w:t>
      </w:r>
    </w:p>
    <w:p w14:paraId="46360073" w14:textId="77777777" w:rsidR="00223944" w:rsidRPr="00223944" w:rsidRDefault="00223944" w:rsidP="00223944">
      <w:pPr>
        <w:pStyle w:val="EndNoteBibliography"/>
        <w:spacing w:after="0"/>
        <w:ind w:left="720" w:hanging="720"/>
        <w:rPr>
          <w:noProof/>
        </w:rPr>
      </w:pPr>
      <w:r w:rsidRPr="00223944">
        <w:rPr>
          <w:noProof/>
        </w:rPr>
        <w:t xml:space="preserve">Eraut, M. (1994) </w:t>
      </w:r>
      <w:r w:rsidRPr="00223944">
        <w:rPr>
          <w:i/>
          <w:noProof/>
        </w:rPr>
        <w:t>Developing Professional Knowledge and Competence.</w:t>
      </w:r>
      <w:r w:rsidRPr="00223944">
        <w:rPr>
          <w:noProof/>
        </w:rPr>
        <w:t xml:space="preserve"> Oxon: Routledge: Taylor &amp; Francis group.</w:t>
      </w:r>
    </w:p>
    <w:p w14:paraId="6BF4D04A" w14:textId="77777777" w:rsidR="00223944" w:rsidRPr="00223944" w:rsidRDefault="00223944" w:rsidP="00223944">
      <w:pPr>
        <w:pStyle w:val="EndNoteBibliography"/>
        <w:spacing w:after="0"/>
        <w:ind w:left="720" w:hanging="720"/>
        <w:rPr>
          <w:noProof/>
        </w:rPr>
      </w:pPr>
      <w:r w:rsidRPr="00223944">
        <w:rPr>
          <w:noProof/>
        </w:rPr>
        <w:t xml:space="preserve">Ericsson, K. A. (2004) 'Deliberate practice and the acquisition and maintenance of expert performance in medicine and related domains', </w:t>
      </w:r>
      <w:r w:rsidRPr="00223944">
        <w:rPr>
          <w:i/>
          <w:noProof/>
        </w:rPr>
        <w:t>Acad Med,</w:t>
      </w:r>
      <w:r w:rsidRPr="00223944">
        <w:rPr>
          <w:noProof/>
        </w:rPr>
        <w:t xml:space="preserve"> 79(10 Suppl), pp. S70-81.</w:t>
      </w:r>
    </w:p>
    <w:p w14:paraId="01FE0995" w14:textId="77777777" w:rsidR="00223944" w:rsidRPr="00223944" w:rsidRDefault="00223944" w:rsidP="00223944">
      <w:pPr>
        <w:pStyle w:val="EndNoteBibliography"/>
        <w:spacing w:after="0"/>
        <w:ind w:left="720" w:hanging="720"/>
        <w:rPr>
          <w:noProof/>
        </w:rPr>
      </w:pPr>
      <w:r w:rsidRPr="00223944">
        <w:rPr>
          <w:noProof/>
        </w:rPr>
        <w:t xml:space="preserve">Eva, K. W. and Regehr, G. (2005) 'Self-assessment in the health professions: a reformulation and research agenda', </w:t>
      </w:r>
      <w:r w:rsidRPr="00223944">
        <w:rPr>
          <w:i/>
          <w:noProof/>
        </w:rPr>
        <w:t>Acad Med,</w:t>
      </w:r>
      <w:r w:rsidRPr="00223944">
        <w:rPr>
          <w:noProof/>
        </w:rPr>
        <w:t xml:space="preserve"> 80(10 Suppl), pp. S46-54.</w:t>
      </w:r>
    </w:p>
    <w:p w14:paraId="7E0767B8" w14:textId="77777777" w:rsidR="00223944" w:rsidRPr="00223944" w:rsidRDefault="00223944" w:rsidP="00223944">
      <w:pPr>
        <w:pStyle w:val="EndNoteBibliography"/>
        <w:spacing w:after="0"/>
        <w:ind w:left="720" w:hanging="720"/>
        <w:rPr>
          <w:noProof/>
        </w:rPr>
      </w:pPr>
      <w:r w:rsidRPr="00223944">
        <w:rPr>
          <w:noProof/>
        </w:rPr>
        <w:t xml:space="preserve">Evans, D. E. and Roberts, C. M. (2006) 'Preparation for practice: how can medical schools better prepare PRHOs?', </w:t>
      </w:r>
      <w:r w:rsidRPr="00223944">
        <w:rPr>
          <w:i/>
          <w:noProof/>
        </w:rPr>
        <w:t>Med Teach,</w:t>
      </w:r>
      <w:r w:rsidRPr="00223944">
        <w:rPr>
          <w:noProof/>
        </w:rPr>
        <w:t xml:space="preserve"> 28(6), pp. 549-52.</w:t>
      </w:r>
    </w:p>
    <w:p w14:paraId="6B95C00A" w14:textId="77777777" w:rsidR="00223944" w:rsidRPr="00223944" w:rsidRDefault="00223944" w:rsidP="00223944">
      <w:pPr>
        <w:pStyle w:val="EndNoteBibliography"/>
        <w:spacing w:after="0"/>
        <w:ind w:left="720" w:hanging="720"/>
        <w:rPr>
          <w:noProof/>
        </w:rPr>
      </w:pPr>
      <w:r w:rsidRPr="00223944">
        <w:rPr>
          <w:noProof/>
        </w:rPr>
        <w:t xml:space="preserve">Evans, D. E., Wood, D. F. and Roberts, C. M. (2004) 'The effect of an extended hospital induction on perceived confidence and assessed clinical skills of newly qualified pre-registration house officers', </w:t>
      </w:r>
      <w:r w:rsidRPr="00223944">
        <w:rPr>
          <w:i/>
          <w:noProof/>
        </w:rPr>
        <w:t>Medical Education,</w:t>
      </w:r>
      <w:r w:rsidRPr="00223944">
        <w:rPr>
          <w:noProof/>
        </w:rPr>
        <w:t xml:space="preserve"> 38(9), pp. 998-1001.</w:t>
      </w:r>
    </w:p>
    <w:p w14:paraId="6AD086DF" w14:textId="77777777" w:rsidR="00223944" w:rsidRPr="00223944" w:rsidRDefault="00223944" w:rsidP="00223944">
      <w:pPr>
        <w:pStyle w:val="EndNoteBibliography"/>
        <w:spacing w:after="0"/>
        <w:ind w:left="720" w:hanging="720"/>
        <w:rPr>
          <w:noProof/>
        </w:rPr>
      </w:pPr>
      <w:r w:rsidRPr="00223944">
        <w:rPr>
          <w:noProof/>
        </w:rPr>
        <w:t xml:space="preserve">Fanning, R. M. and Gaba, D. M. (2007) 'The role of debriefing in simulation-based learning', </w:t>
      </w:r>
      <w:r w:rsidRPr="00223944">
        <w:rPr>
          <w:i/>
          <w:noProof/>
        </w:rPr>
        <w:t>Simulation in healthcare : journal of the Society for Simulation in Healthcare,</w:t>
      </w:r>
      <w:r w:rsidRPr="00223944">
        <w:rPr>
          <w:noProof/>
        </w:rPr>
        <w:t xml:space="preserve"> 2(2), pp. 115-25.</w:t>
      </w:r>
    </w:p>
    <w:p w14:paraId="2D787878" w14:textId="77777777" w:rsidR="00223944" w:rsidRPr="00223944" w:rsidRDefault="00223944" w:rsidP="00223944">
      <w:pPr>
        <w:pStyle w:val="EndNoteBibliography"/>
        <w:spacing w:after="0"/>
        <w:ind w:left="720" w:hanging="720"/>
        <w:rPr>
          <w:noProof/>
        </w:rPr>
      </w:pPr>
      <w:r w:rsidRPr="00223944">
        <w:rPr>
          <w:noProof/>
        </w:rPr>
        <w:t xml:space="preserve">Fenwick, T. and Dahlgren, M. A. (2015) 'Towards socio-material approaches in simulation-based education: lessons from complexity theory', </w:t>
      </w:r>
      <w:r w:rsidRPr="00223944">
        <w:rPr>
          <w:i/>
          <w:noProof/>
        </w:rPr>
        <w:t>Med Educ,</w:t>
      </w:r>
      <w:r w:rsidRPr="00223944">
        <w:rPr>
          <w:noProof/>
        </w:rPr>
        <w:t xml:space="preserve"> 49(4), pp. 359-67.</w:t>
      </w:r>
    </w:p>
    <w:p w14:paraId="3476547F" w14:textId="77777777" w:rsidR="00223944" w:rsidRPr="00223944" w:rsidRDefault="00223944" w:rsidP="00223944">
      <w:pPr>
        <w:pStyle w:val="EndNoteBibliography"/>
        <w:spacing w:after="0"/>
        <w:ind w:left="720" w:hanging="720"/>
        <w:rPr>
          <w:noProof/>
        </w:rPr>
      </w:pPr>
      <w:r w:rsidRPr="00223944">
        <w:rPr>
          <w:noProof/>
        </w:rPr>
        <w:t xml:space="preserve">Fernández-Berrocal, P. and Checa, P. (2016) 'Editorial: Emotional Intelligence and Cognitive Abilities', </w:t>
      </w:r>
      <w:r w:rsidRPr="00223944">
        <w:rPr>
          <w:i/>
          <w:noProof/>
        </w:rPr>
        <w:t>Front Psychol,</w:t>
      </w:r>
      <w:r w:rsidRPr="00223944">
        <w:rPr>
          <w:noProof/>
        </w:rPr>
        <w:t xml:space="preserve"> 7, pp. 955.</w:t>
      </w:r>
    </w:p>
    <w:p w14:paraId="1D68FC37" w14:textId="77777777" w:rsidR="00223944" w:rsidRPr="00223944" w:rsidRDefault="00223944" w:rsidP="00223944">
      <w:pPr>
        <w:pStyle w:val="EndNoteBibliography"/>
        <w:spacing w:after="0"/>
        <w:ind w:left="720" w:hanging="720"/>
        <w:rPr>
          <w:noProof/>
        </w:rPr>
      </w:pPr>
      <w:r w:rsidRPr="00223944">
        <w:rPr>
          <w:noProof/>
        </w:rPr>
        <w:t xml:space="preserve">Ferrari, R. (2015) 'Writing narrative style literature reviews', </w:t>
      </w:r>
      <w:r w:rsidRPr="00223944">
        <w:rPr>
          <w:i/>
          <w:noProof/>
        </w:rPr>
        <w:t>Medical Writing,</w:t>
      </w:r>
      <w:r w:rsidRPr="00223944">
        <w:rPr>
          <w:noProof/>
        </w:rPr>
        <w:t xml:space="preserve"> 24(4), pp. 230 - 235.</w:t>
      </w:r>
    </w:p>
    <w:p w14:paraId="2FA58D61" w14:textId="77777777" w:rsidR="00223944" w:rsidRPr="00223944" w:rsidRDefault="00223944" w:rsidP="00223944">
      <w:pPr>
        <w:pStyle w:val="EndNoteBibliography"/>
        <w:spacing w:after="0"/>
        <w:ind w:left="720" w:hanging="720"/>
        <w:rPr>
          <w:noProof/>
        </w:rPr>
      </w:pPr>
      <w:r w:rsidRPr="00223944">
        <w:rPr>
          <w:noProof/>
        </w:rPr>
        <w:t xml:space="preserve">Field, A. (2012) </w:t>
      </w:r>
      <w:r w:rsidRPr="00223944">
        <w:rPr>
          <w:i/>
          <w:noProof/>
        </w:rPr>
        <w:t>Discovering statistics using IBM SPSS statistics.</w:t>
      </w:r>
      <w:r w:rsidRPr="00223944">
        <w:rPr>
          <w:noProof/>
        </w:rPr>
        <w:t xml:space="preserve"> 4th edn. London: SAGE Publications.</w:t>
      </w:r>
    </w:p>
    <w:p w14:paraId="55C46B3C" w14:textId="77777777" w:rsidR="00223944" w:rsidRPr="00223944" w:rsidRDefault="00223944" w:rsidP="00223944">
      <w:pPr>
        <w:pStyle w:val="EndNoteBibliography"/>
        <w:spacing w:after="0"/>
        <w:ind w:left="720" w:hanging="720"/>
        <w:rPr>
          <w:noProof/>
        </w:rPr>
      </w:pPr>
      <w:r w:rsidRPr="00223944">
        <w:rPr>
          <w:noProof/>
        </w:rPr>
        <w:t xml:space="preserve">Flick, U. (2009) </w:t>
      </w:r>
      <w:r w:rsidRPr="00223944">
        <w:rPr>
          <w:i/>
          <w:noProof/>
        </w:rPr>
        <w:t>An Introduction to Qualitative Research.</w:t>
      </w:r>
      <w:r w:rsidRPr="00223944">
        <w:rPr>
          <w:noProof/>
        </w:rPr>
        <w:t xml:space="preserve"> 4th edn. London: Sage.</w:t>
      </w:r>
    </w:p>
    <w:p w14:paraId="53EF9913" w14:textId="77777777" w:rsidR="00223944" w:rsidRPr="00223944" w:rsidRDefault="00223944" w:rsidP="00223944">
      <w:pPr>
        <w:pStyle w:val="EndNoteBibliography"/>
        <w:spacing w:after="0"/>
        <w:ind w:left="720" w:hanging="720"/>
        <w:rPr>
          <w:noProof/>
        </w:rPr>
      </w:pPr>
      <w:r w:rsidRPr="00223944">
        <w:rPr>
          <w:noProof/>
        </w:rPr>
        <w:t xml:space="preserve">Flin, R. and Patey, R. (2009) 'Improving patient safety through training in non-technical skills', </w:t>
      </w:r>
      <w:r w:rsidRPr="00223944">
        <w:rPr>
          <w:i/>
          <w:noProof/>
        </w:rPr>
        <w:t>British Medical Journal,</w:t>
      </w:r>
      <w:r w:rsidRPr="00223944">
        <w:rPr>
          <w:noProof/>
        </w:rPr>
        <w:t xml:space="preserve"> 339.</w:t>
      </w:r>
    </w:p>
    <w:p w14:paraId="3803A2AF" w14:textId="77777777" w:rsidR="00223944" w:rsidRPr="00223944" w:rsidRDefault="00223944" w:rsidP="00223944">
      <w:pPr>
        <w:pStyle w:val="EndNoteBibliography"/>
        <w:spacing w:after="0"/>
        <w:ind w:left="720" w:hanging="720"/>
        <w:rPr>
          <w:noProof/>
        </w:rPr>
      </w:pPr>
      <w:r w:rsidRPr="00223944">
        <w:rPr>
          <w:noProof/>
        </w:rPr>
        <w:t xml:space="preserve">Fook, J. (2002) </w:t>
      </w:r>
      <w:r w:rsidRPr="00223944">
        <w:rPr>
          <w:i/>
          <w:noProof/>
        </w:rPr>
        <w:t>Social work: Critical theory and Practice.</w:t>
      </w:r>
      <w:r w:rsidRPr="00223944">
        <w:rPr>
          <w:noProof/>
        </w:rPr>
        <w:t xml:space="preserve"> London: Sage.</w:t>
      </w:r>
    </w:p>
    <w:p w14:paraId="0557FE23" w14:textId="77777777" w:rsidR="00223944" w:rsidRPr="00223944" w:rsidRDefault="00223944" w:rsidP="00223944">
      <w:pPr>
        <w:pStyle w:val="EndNoteBibliography"/>
        <w:spacing w:after="0"/>
        <w:ind w:left="720" w:hanging="720"/>
        <w:rPr>
          <w:noProof/>
        </w:rPr>
      </w:pPr>
      <w:r w:rsidRPr="00223944">
        <w:rPr>
          <w:noProof/>
        </w:rPr>
        <w:t xml:space="preserve">Fox, R. A., Ingham Clark, C. L., Scotland, A. D. and Dacre, J. E. (2000) 'A study of pre-registration house officers' clinical skills', </w:t>
      </w:r>
      <w:r w:rsidRPr="00223944">
        <w:rPr>
          <w:i/>
          <w:noProof/>
        </w:rPr>
        <w:t>Med Educ,</w:t>
      </w:r>
      <w:r w:rsidRPr="00223944">
        <w:rPr>
          <w:noProof/>
        </w:rPr>
        <w:t xml:space="preserve"> 34(12), pp. 1007-12.</w:t>
      </w:r>
    </w:p>
    <w:p w14:paraId="445B2A65" w14:textId="77777777" w:rsidR="00223944" w:rsidRPr="00223944" w:rsidRDefault="00223944" w:rsidP="00223944">
      <w:pPr>
        <w:pStyle w:val="EndNoteBibliography"/>
        <w:spacing w:after="0"/>
        <w:ind w:left="720" w:hanging="720"/>
        <w:rPr>
          <w:noProof/>
        </w:rPr>
      </w:pPr>
      <w:r w:rsidRPr="00EE4DE7">
        <w:rPr>
          <w:noProof/>
          <w:lang w:val="de-DE"/>
        </w:rPr>
        <w:t xml:space="preserve">Frambach, J. M., van der Vleuten, C. P. and Durning, S. J. (2013) 'AM last page. </w:t>
      </w:r>
      <w:r w:rsidRPr="00223944">
        <w:rPr>
          <w:noProof/>
        </w:rPr>
        <w:t xml:space="preserve">Quality criteria in qualitative and quantitative research', </w:t>
      </w:r>
      <w:r w:rsidRPr="00223944">
        <w:rPr>
          <w:i/>
          <w:noProof/>
        </w:rPr>
        <w:t>Acad Med,</w:t>
      </w:r>
      <w:r w:rsidRPr="00223944">
        <w:rPr>
          <w:noProof/>
        </w:rPr>
        <w:t xml:space="preserve"> 88(4), pp. 552.</w:t>
      </w:r>
    </w:p>
    <w:p w14:paraId="54B0D951" w14:textId="77777777" w:rsidR="00223944" w:rsidRPr="00223944" w:rsidRDefault="00223944" w:rsidP="00223944">
      <w:pPr>
        <w:pStyle w:val="EndNoteBibliography"/>
        <w:spacing w:after="0"/>
        <w:ind w:left="720" w:hanging="720"/>
        <w:rPr>
          <w:noProof/>
        </w:rPr>
      </w:pPr>
      <w:r w:rsidRPr="00223944">
        <w:rPr>
          <w:noProof/>
        </w:rPr>
        <w:t xml:space="preserve">Fraser, K. L., Ayres, P. and Sweller, J. (2015) 'Cognitive Load Theory for the Design of Medical Simulations', </w:t>
      </w:r>
      <w:r w:rsidRPr="00223944">
        <w:rPr>
          <w:i/>
          <w:noProof/>
        </w:rPr>
        <w:t>Simul Healthc,</w:t>
      </w:r>
      <w:r w:rsidRPr="00223944">
        <w:rPr>
          <w:noProof/>
        </w:rPr>
        <w:t xml:space="preserve"> 10(5), pp. 295-307.</w:t>
      </w:r>
    </w:p>
    <w:p w14:paraId="2CA606D3" w14:textId="77777777" w:rsidR="00223944" w:rsidRPr="00223944" w:rsidRDefault="00223944" w:rsidP="00223944">
      <w:pPr>
        <w:pStyle w:val="EndNoteBibliography"/>
        <w:spacing w:after="0"/>
        <w:ind w:left="720" w:hanging="720"/>
        <w:rPr>
          <w:noProof/>
        </w:rPr>
      </w:pPr>
      <w:r w:rsidRPr="00223944">
        <w:rPr>
          <w:noProof/>
        </w:rPr>
        <w:t xml:space="preserve">Frei, E., Stamm, M. and Buddeberg-Fischer, B. (2010) 'Mentoring programs for medical students--a review of the PubMed literature 2000-2008', </w:t>
      </w:r>
      <w:r w:rsidRPr="00223944">
        <w:rPr>
          <w:i/>
          <w:noProof/>
        </w:rPr>
        <w:t>BMC Med Educ,</w:t>
      </w:r>
      <w:r w:rsidRPr="00223944">
        <w:rPr>
          <w:noProof/>
        </w:rPr>
        <w:t xml:space="preserve"> 10, pp. 32.</w:t>
      </w:r>
    </w:p>
    <w:p w14:paraId="2F83DA13" w14:textId="77777777" w:rsidR="00223944" w:rsidRPr="00223944" w:rsidRDefault="00223944" w:rsidP="00223944">
      <w:pPr>
        <w:pStyle w:val="EndNoteBibliography"/>
        <w:spacing w:after="0"/>
        <w:ind w:left="720" w:hanging="720"/>
        <w:rPr>
          <w:noProof/>
        </w:rPr>
      </w:pPr>
      <w:r w:rsidRPr="00223944">
        <w:rPr>
          <w:noProof/>
        </w:rPr>
        <w:t xml:space="preserve">Friedson, E. (1970) </w:t>
      </w:r>
      <w:r w:rsidRPr="00223944">
        <w:rPr>
          <w:i/>
          <w:noProof/>
        </w:rPr>
        <w:t>Profession of Medicine.</w:t>
      </w:r>
      <w:r w:rsidRPr="00223944">
        <w:rPr>
          <w:noProof/>
        </w:rPr>
        <w:t xml:space="preserve"> New York: Dodd, Mead and Co., p. 71 - 72.</w:t>
      </w:r>
    </w:p>
    <w:p w14:paraId="0FFDA77E" w14:textId="77777777" w:rsidR="00223944" w:rsidRPr="00223944" w:rsidRDefault="00223944" w:rsidP="00223944">
      <w:pPr>
        <w:pStyle w:val="EndNoteBibliography"/>
        <w:spacing w:after="0"/>
        <w:ind w:left="720" w:hanging="720"/>
        <w:rPr>
          <w:noProof/>
        </w:rPr>
      </w:pPr>
      <w:r w:rsidRPr="00223944">
        <w:rPr>
          <w:noProof/>
        </w:rPr>
        <w:lastRenderedPageBreak/>
        <w:t xml:space="preserve">Gaba, D. M. (1992) 'IMPROVING ANESTHESIOLOGISTS PERFORMANCE BY SIMULATING REALITY', </w:t>
      </w:r>
      <w:r w:rsidRPr="00223944">
        <w:rPr>
          <w:i/>
          <w:noProof/>
        </w:rPr>
        <w:t>Anesthesiology,</w:t>
      </w:r>
      <w:r w:rsidRPr="00223944">
        <w:rPr>
          <w:noProof/>
        </w:rPr>
        <w:t xml:space="preserve"> 76(4), pp. 491-494.</w:t>
      </w:r>
    </w:p>
    <w:p w14:paraId="26CC1E82" w14:textId="77777777" w:rsidR="00223944" w:rsidRPr="00223944" w:rsidRDefault="00223944" w:rsidP="00223944">
      <w:pPr>
        <w:pStyle w:val="EndNoteBibliography"/>
        <w:spacing w:after="0"/>
        <w:ind w:left="720" w:hanging="720"/>
        <w:rPr>
          <w:noProof/>
        </w:rPr>
      </w:pPr>
      <w:r w:rsidRPr="00223944">
        <w:rPr>
          <w:noProof/>
        </w:rPr>
        <w:t xml:space="preserve">Gaba, D. M. (2004) 'The future vision of simulation in health care', </w:t>
      </w:r>
      <w:r w:rsidRPr="00223944">
        <w:rPr>
          <w:i/>
          <w:noProof/>
        </w:rPr>
        <w:t>Quality &amp; Safety in Health Care,</w:t>
      </w:r>
      <w:r w:rsidRPr="00223944">
        <w:rPr>
          <w:noProof/>
        </w:rPr>
        <w:t xml:space="preserve"> 13, pp. I2-I10.</w:t>
      </w:r>
    </w:p>
    <w:p w14:paraId="43E12A1C" w14:textId="77777777" w:rsidR="00223944" w:rsidRPr="00223944" w:rsidRDefault="00223944" w:rsidP="00223944">
      <w:pPr>
        <w:pStyle w:val="EndNoteBibliography"/>
        <w:spacing w:after="0"/>
        <w:ind w:left="720" w:hanging="720"/>
        <w:rPr>
          <w:noProof/>
        </w:rPr>
      </w:pPr>
      <w:r w:rsidRPr="00223944">
        <w:rPr>
          <w:noProof/>
        </w:rPr>
        <w:t xml:space="preserve">Gaba, D. M. and Deanda, A. (1988) 'A COMPREHENSIVE ANESTHESIA SIMULATION ENVIRONMENT - RECREATING THE OPERATING-ROOM FOR RESEARCH AND TRAINING', </w:t>
      </w:r>
      <w:r w:rsidRPr="00223944">
        <w:rPr>
          <w:i/>
          <w:noProof/>
        </w:rPr>
        <w:t>Anesthesiology,</w:t>
      </w:r>
      <w:r w:rsidRPr="00223944">
        <w:rPr>
          <w:noProof/>
        </w:rPr>
        <w:t xml:space="preserve"> 69(3), pp. 387-394.</w:t>
      </w:r>
    </w:p>
    <w:p w14:paraId="549948DB" w14:textId="77777777" w:rsidR="00223944" w:rsidRPr="00223944" w:rsidRDefault="00223944" w:rsidP="00223944">
      <w:pPr>
        <w:pStyle w:val="EndNoteBibliography"/>
        <w:spacing w:after="0"/>
        <w:ind w:left="720" w:hanging="720"/>
        <w:rPr>
          <w:noProof/>
        </w:rPr>
      </w:pPr>
      <w:r w:rsidRPr="00223944">
        <w:rPr>
          <w:noProof/>
        </w:rPr>
        <w:t xml:space="preserve">Gale, N. K., Heath, G., Cameron, E., Rashid, S. and Redwood, S. (2013) 'Using the framework method for the analysis of qualitative data in multi-disciplinary health research', </w:t>
      </w:r>
      <w:r w:rsidRPr="00223944">
        <w:rPr>
          <w:i/>
          <w:noProof/>
        </w:rPr>
        <w:t>BMC Med Res Methodol,</w:t>
      </w:r>
      <w:r w:rsidRPr="00223944">
        <w:rPr>
          <w:noProof/>
        </w:rPr>
        <w:t xml:space="preserve"> 13, pp. 117.</w:t>
      </w:r>
    </w:p>
    <w:p w14:paraId="4AC480ED" w14:textId="77777777" w:rsidR="00223944" w:rsidRPr="00223944" w:rsidRDefault="00223944" w:rsidP="00223944">
      <w:pPr>
        <w:pStyle w:val="EndNoteBibliography"/>
        <w:spacing w:after="0"/>
        <w:ind w:left="720" w:hanging="720"/>
        <w:rPr>
          <w:noProof/>
        </w:rPr>
      </w:pPr>
      <w:r w:rsidRPr="00223944">
        <w:rPr>
          <w:noProof/>
        </w:rPr>
        <w:t xml:space="preserve">Gall, M. D., Borg, W. R. and Gall, J. P. (1996) </w:t>
      </w:r>
      <w:r w:rsidRPr="00223944">
        <w:rPr>
          <w:i/>
          <w:noProof/>
        </w:rPr>
        <w:t>Educational research: An introduction.</w:t>
      </w:r>
      <w:r w:rsidRPr="00223944">
        <w:rPr>
          <w:noProof/>
        </w:rPr>
        <w:t xml:space="preserve"> 6th edn. White Plains, NY: Longman.</w:t>
      </w:r>
    </w:p>
    <w:p w14:paraId="21E9E009" w14:textId="77777777" w:rsidR="00223944" w:rsidRPr="00223944" w:rsidRDefault="00223944" w:rsidP="00223944">
      <w:pPr>
        <w:pStyle w:val="EndNoteBibliography"/>
        <w:spacing w:after="0"/>
        <w:ind w:left="720" w:hanging="720"/>
        <w:rPr>
          <w:noProof/>
        </w:rPr>
      </w:pPr>
      <w:r w:rsidRPr="00223944">
        <w:rPr>
          <w:noProof/>
        </w:rPr>
        <w:t xml:space="preserve">Galton, F., Sir (1979) </w:t>
      </w:r>
      <w:r w:rsidRPr="00223944">
        <w:rPr>
          <w:i/>
          <w:noProof/>
        </w:rPr>
        <w:t>Hereditary genius: An inquiry into its laws and consequences.</w:t>
      </w:r>
      <w:r w:rsidRPr="00223944">
        <w:rPr>
          <w:noProof/>
        </w:rPr>
        <w:t xml:space="preserve"> London: Julian Friedman Publishers (Originally published 1969).</w:t>
      </w:r>
    </w:p>
    <w:p w14:paraId="73990430" w14:textId="77777777" w:rsidR="00223944" w:rsidRPr="00223944" w:rsidRDefault="00223944" w:rsidP="00223944">
      <w:pPr>
        <w:pStyle w:val="EndNoteBibliography"/>
        <w:spacing w:after="0"/>
        <w:ind w:left="720" w:hanging="720"/>
        <w:rPr>
          <w:noProof/>
        </w:rPr>
      </w:pPr>
      <w:r w:rsidRPr="00223944">
        <w:rPr>
          <w:noProof/>
        </w:rPr>
        <w:t xml:space="preserve">Gaufberg, E., Hirsh, D., Krupat, E., Ogur, B., Pelletier, S., Reiff, D. and Bor, D. (2014) 'Into the future: patient-centredness endures in longitudinal integrated clerkship graduates', </w:t>
      </w:r>
      <w:r w:rsidRPr="00223944">
        <w:rPr>
          <w:i/>
          <w:noProof/>
        </w:rPr>
        <w:t>Med Educ,</w:t>
      </w:r>
      <w:r w:rsidRPr="00223944">
        <w:rPr>
          <w:noProof/>
        </w:rPr>
        <w:t xml:space="preserve"> 48(6), pp. 572-82.</w:t>
      </w:r>
    </w:p>
    <w:p w14:paraId="51DEA81B" w14:textId="77777777" w:rsidR="00223944" w:rsidRPr="00223944" w:rsidRDefault="00223944" w:rsidP="00223944">
      <w:pPr>
        <w:pStyle w:val="EndNoteBibliography"/>
        <w:spacing w:after="0"/>
        <w:ind w:left="720" w:hanging="720"/>
        <w:rPr>
          <w:noProof/>
        </w:rPr>
      </w:pPr>
      <w:r w:rsidRPr="00223944">
        <w:rPr>
          <w:noProof/>
        </w:rPr>
        <w:t xml:space="preserve">Gerson, L. B. and Van Dam, J. (2003) 'A prospective randomized trial comparing a virtual reality simulator to bedside teaching for training in sigmoidoscopy', </w:t>
      </w:r>
      <w:r w:rsidRPr="00223944">
        <w:rPr>
          <w:i/>
          <w:noProof/>
        </w:rPr>
        <w:t>Endoscopy,</w:t>
      </w:r>
      <w:r w:rsidRPr="00223944">
        <w:rPr>
          <w:noProof/>
        </w:rPr>
        <w:t xml:space="preserve"> 35(7), pp. 569-575.</w:t>
      </w:r>
    </w:p>
    <w:p w14:paraId="15965525" w14:textId="7A0358BA" w:rsidR="00223944" w:rsidRPr="00223944" w:rsidRDefault="00223944" w:rsidP="00223944">
      <w:pPr>
        <w:pStyle w:val="EndNoteBibliography"/>
        <w:spacing w:after="0"/>
        <w:ind w:left="720" w:hanging="720"/>
        <w:rPr>
          <w:noProof/>
        </w:rPr>
      </w:pPr>
      <w:r w:rsidRPr="00223944">
        <w:rPr>
          <w:noProof/>
        </w:rPr>
        <w:t xml:space="preserve">GMC (2016) </w:t>
      </w:r>
      <w:r w:rsidRPr="00223944">
        <w:rPr>
          <w:i/>
          <w:noProof/>
        </w:rPr>
        <w:t>Outcomes for graduates (Tomorrow's Doctors)</w:t>
      </w:r>
      <w:r w:rsidRPr="00223944">
        <w:rPr>
          <w:noProof/>
        </w:rPr>
        <w:t xml:space="preserve">. Available at: </w:t>
      </w:r>
      <w:hyperlink r:id="rId186" w:history="1">
        <w:r w:rsidRPr="0024309A">
          <w:rPr>
            <w:rStyle w:val="Hyperlink"/>
            <w:rFonts w:ascii="Arial" w:hAnsi="Arial"/>
            <w:noProof/>
            <w:color w:val="auto"/>
            <w:sz w:val="20"/>
            <w:szCs w:val="20"/>
            <w:lang w:val="en-GB"/>
          </w:rPr>
          <w:t>http://www.gmc-uk.org/static/documents/content/Outcomes_for_graduates_Dec_16.pdf</w:t>
        </w:r>
      </w:hyperlink>
      <w:r w:rsidRPr="0024309A">
        <w:rPr>
          <w:noProof/>
          <w:sz w:val="20"/>
          <w:szCs w:val="20"/>
        </w:rPr>
        <w:t>.</w:t>
      </w:r>
    </w:p>
    <w:p w14:paraId="04F5DC32" w14:textId="1E4ED959" w:rsidR="00223944" w:rsidRPr="00223944" w:rsidRDefault="00223944" w:rsidP="00223944">
      <w:pPr>
        <w:pStyle w:val="EndNoteBibliography"/>
        <w:spacing w:after="0"/>
        <w:ind w:left="720" w:hanging="720"/>
        <w:rPr>
          <w:noProof/>
        </w:rPr>
      </w:pPr>
      <w:r w:rsidRPr="00223944">
        <w:rPr>
          <w:noProof/>
        </w:rPr>
        <w:t xml:space="preserve">GMC, G. M. C. (2009) </w:t>
      </w:r>
      <w:r w:rsidRPr="00223944">
        <w:rPr>
          <w:i/>
          <w:noProof/>
        </w:rPr>
        <w:t>Tomorrow's Doctors. Outcomes and standards for undergraduate medical education</w:t>
      </w:r>
      <w:r w:rsidRPr="00223944">
        <w:rPr>
          <w:noProof/>
        </w:rPr>
        <w:t xml:space="preserve">. On line: London. Available at: </w:t>
      </w:r>
      <w:hyperlink r:id="rId187" w:history="1">
        <w:r w:rsidRPr="0024309A">
          <w:rPr>
            <w:rStyle w:val="Hyperlink"/>
            <w:rFonts w:ascii="Arial" w:hAnsi="Arial"/>
            <w:noProof/>
            <w:color w:val="auto"/>
            <w:sz w:val="20"/>
            <w:szCs w:val="20"/>
            <w:lang w:val="en-GB"/>
          </w:rPr>
          <w:t>http://www.gmc-uk.org/education/undergraduate/tomorrows_doctors_2009</w:t>
        </w:r>
      </w:hyperlink>
      <w:r w:rsidRPr="0024309A">
        <w:rPr>
          <w:noProof/>
          <w:sz w:val="20"/>
          <w:szCs w:val="20"/>
        </w:rPr>
        <w:t>.</w:t>
      </w:r>
    </w:p>
    <w:p w14:paraId="297A3115" w14:textId="77777777" w:rsidR="00223944" w:rsidRPr="00223944" w:rsidRDefault="00223944" w:rsidP="00223944">
      <w:pPr>
        <w:pStyle w:val="EndNoteBibliography"/>
        <w:spacing w:after="0"/>
        <w:ind w:left="720" w:hanging="720"/>
        <w:rPr>
          <w:noProof/>
        </w:rPr>
      </w:pPr>
      <w:r w:rsidRPr="00223944">
        <w:rPr>
          <w:noProof/>
        </w:rPr>
        <w:t xml:space="preserve">Goldacre, M. J., Lambert, T., Evans, J. and Turner, G. (2003) 'Preregistration house officers' views on whether their experience at medical school prepared them well for their jobs: national questionnaire survey', </w:t>
      </w:r>
      <w:r w:rsidRPr="00223944">
        <w:rPr>
          <w:i/>
          <w:noProof/>
        </w:rPr>
        <w:t>British Medical Journal,</w:t>
      </w:r>
      <w:r w:rsidRPr="00223944">
        <w:rPr>
          <w:noProof/>
        </w:rPr>
        <w:t xml:space="preserve"> 326(7397), pp. 1011-1012.</w:t>
      </w:r>
    </w:p>
    <w:p w14:paraId="2561AF37" w14:textId="77777777" w:rsidR="00223944" w:rsidRPr="00223944" w:rsidRDefault="00223944" w:rsidP="00223944">
      <w:pPr>
        <w:pStyle w:val="EndNoteBibliography"/>
        <w:spacing w:after="0"/>
        <w:ind w:left="720" w:hanging="720"/>
        <w:rPr>
          <w:noProof/>
        </w:rPr>
      </w:pPr>
      <w:r w:rsidRPr="00223944">
        <w:rPr>
          <w:noProof/>
        </w:rPr>
        <w:t xml:space="preserve">Goldacre, M. J., Lambert, T. W. and Svirko, E. (2014) 'Foundation doctors' views on whether their medical school prepared them well for work: UK graduates of 2008 and 2009', </w:t>
      </w:r>
      <w:r w:rsidRPr="00223944">
        <w:rPr>
          <w:i/>
          <w:noProof/>
        </w:rPr>
        <w:t>Postgrad Med J,</w:t>
      </w:r>
      <w:r w:rsidRPr="00223944">
        <w:rPr>
          <w:noProof/>
        </w:rPr>
        <w:t xml:space="preserve"> 90(1060), pp. 63-8.</w:t>
      </w:r>
    </w:p>
    <w:p w14:paraId="5261D1B1" w14:textId="77777777" w:rsidR="00223944" w:rsidRPr="00223944" w:rsidRDefault="00223944" w:rsidP="00223944">
      <w:pPr>
        <w:pStyle w:val="EndNoteBibliography"/>
        <w:spacing w:after="0"/>
        <w:ind w:left="720" w:hanging="720"/>
        <w:rPr>
          <w:noProof/>
        </w:rPr>
      </w:pPr>
      <w:r w:rsidRPr="00223944">
        <w:rPr>
          <w:noProof/>
        </w:rPr>
        <w:t xml:space="preserve">Goldacre, M. J., Taylor, K. and Lambert, T. W. (2010) 'Views of junior doctors about whether their medical school prepared them well for work: questionnaire surveys', </w:t>
      </w:r>
      <w:r w:rsidRPr="00223944">
        <w:rPr>
          <w:i/>
          <w:noProof/>
        </w:rPr>
        <w:t>Bmc Medical Education,</w:t>
      </w:r>
      <w:r w:rsidRPr="00223944">
        <w:rPr>
          <w:noProof/>
        </w:rPr>
        <w:t xml:space="preserve"> 10.</w:t>
      </w:r>
    </w:p>
    <w:p w14:paraId="3175E8CA" w14:textId="77777777" w:rsidR="00223944" w:rsidRPr="00223944" w:rsidRDefault="00223944" w:rsidP="00223944">
      <w:pPr>
        <w:pStyle w:val="EndNoteBibliography"/>
        <w:spacing w:after="0"/>
        <w:ind w:left="720" w:hanging="720"/>
        <w:rPr>
          <w:noProof/>
        </w:rPr>
      </w:pPr>
      <w:r w:rsidRPr="00223944">
        <w:rPr>
          <w:noProof/>
        </w:rPr>
        <w:t xml:space="preserve">Goleman, D. (1995) </w:t>
      </w:r>
      <w:r w:rsidRPr="00223944">
        <w:rPr>
          <w:i/>
          <w:noProof/>
        </w:rPr>
        <w:t>Emotional intelligence: Why it can matter more than IQ.</w:t>
      </w:r>
      <w:r w:rsidRPr="00223944">
        <w:rPr>
          <w:noProof/>
        </w:rPr>
        <w:t xml:space="preserve"> New York: Bantam Books.</w:t>
      </w:r>
    </w:p>
    <w:p w14:paraId="56E7AD66" w14:textId="77777777" w:rsidR="00223944" w:rsidRPr="00223944" w:rsidRDefault="00223944" w:rsidP="00223944">
      <w:pPr>
        <w:pStyle w:val="EndNoteBibliography"/>
        <w:spacing w:after="0"/>
        <w:ind w:left="720" w:hanging="720"/>
        <w:rPr>
          <w:noProof/>
        </w:rPr>
      </w:pPr>
      <w:r w:rsidRPr="00223944">
        <w:rPr>
          <w:noProof/>
        </w:rPr>
        <w:t xml:space="preserve">Goodfellow, P. B. and Claydon, P. (2001) 'Students sitting medical finals - ready to be house officers?', </w:t>
      </w:r>
      <w:r w:rsidRPr="00223944">
        <w:rPr>
          <w:i/>
          <w:noProof/>
        </w:rPr>
        <w:t>Journal of the Royal Society of Medicine,</w:t>
      </w:r>
      <w:r w:rsidRPr="00223944">
        <w:rPr>
          <w:noProof/>
        </w:rPr>
        <w:t xml:space="preserve"> 94(10), pp. 516-520.</w:t>
      </w:r>
    </w:p>
    <w:p w14:paraId="77892CBF" w14:textId="77777777" w:rsidR="00223944" w:rsidRPr="00223944" w:rsidRDefault="00223944" w:rsidP="00223944">
      <w:pPr>
        <w:pStyle w:val="EndNoteBibliography"/>
        <w:spacing w:after="0"/>
        <w:ind w:left="720" w:hanging="720"/>
        <w:rPr>
          <w:noProof/>
        </w:rPr>
      </w:pPr>
      <w:r w:rsidRPr="00223944">
        <w:rPr>
          <w:noProof/>
        </w:rPr>
        <w:t xml:space="preserve">Gordon, M. J. (1991) 'A review of the validity and accuracy of self-assessments in health professions training', </w:t>
      </w:r>
      <w:r w:rsidRPr="00223944">
        <w:rPr>
          <w:i/>
          <w:noProof/>
        </w:rPr>
        <w:t>Acad Med,</w:t>
      </w:r>
      <w:r w:rsidRPr="00223944">
        <w:rPr>
          <w:noProof/>
        </w:rPr>
        <w:t xml:space="preserve"> 66(12), pp. 762-9.</w:t>
      </w:r>
    </w:p>
    <w:p w14:paraId="18769F5A" w14:textId="77777777" w:rsidR="00223944" w:rsidRPr="00223944" w:rsidRDefault="00223944" w:rsidP="00223944">
      <w:pPr>
        <w:pStyle w:val="EndNoteBibliography"/>
        <w:spacing w:after="0"/>
        <w:ind w:left="720" w:hanging="720"/>
        <w:rPr>
          <w:noProof/>
        </w:rPr>
      </w:pPr>
      <w:r w:rsidRPr="00223944">
        <w:rPr>
          <w:noProof/>
        </w:rPr>
        <w:t xml:space="preserve">Grant, M. J. and Booth, A. (2009) 'A typology of reviews: an analysis of 14 review types and associated methodologies', </w:t>
      </w:r>
      <w:r w:rsidRPr="00223944">
        <w:rPr>
          <w:i/>
          <w:noProof/>
        </w:rPr>
        <w:t>Health Info Libr J,</w:t>
      </w:r>
      <w:r w:rsidRPr="00223944">
        <w:rPr>
          <w:noProof/>
        </w:rPr>
        <w:t xml:space="preserve"> 26(2), pp. 91-108.</w:t>
      </w:r>
    </w:p>
    <w:p w14:paraId="4FFDE74F" w14:textId="79774CA5" w:rsidR="00223944" w:rsidRPr="00223944" w:rsidRDefault="00223944" w:rsidP="00223944">
      <w:pPr>
        <w:pStyle w:val="EndNoteBibliography"/>
        <w:spacing w:after="0"/>
        <w:ind w:left="720" w:hanging="720"/>
        <w:rPr>
          <w:noProof/>
        </w:rPr>
      </w:pPr>
      <w:r w:rsidRPr="00223944">
        <w:rPr>
          <w:noProof/>
        </w:rPr>
        <w:lastRenderedPageBreak/>
        <w:t xml:space="preserve">Greenaway, D. (2013) </w:t>
      </w:r>
      <w:r w:rsidRPr="00223944">
        <w:rPr>
          <w:i/>
          <w:noProof/>
        </w:rPr>
        <w:t>Shape of training: securing the future of excellent patient care.</w:t>
      </w:r>
      <w:r w:rsidRPr="00223944">
        <w:rPr>
          <w:noProof/>
        </w:rPr>
        <w:t xml:space="preserve"> London: General Medical Council. Available at: </w:t>
      </w:r>
      <w:hyperlink r:id="rId188" w:history="1">
        <w:r w:rsidRPr="0024309A">
          <w:rPr>
            <w:rStyle w:val="Hyperlink"/>
            <w:rFonts w:ascii="Arial" w:hAnsi="Arial"/>
            <w:noProof/>
            <w:color w:val="auto"/>
            <w:sz w:val="20"/>
            <w:szCs w:val="20"/>
            <w:lang w:val="en-GB"/>
          </w:rPr>
          <w:t>http://www.shapeoftraining.co.uk/static/documents/content/Shape_of_training_FINAL_Report.pdf_53977887.pdf</w:t>
        </w:r>
      </w:hyperlink>
      <w:r w:rsidRPr="0024309A">
        <w:rPr>
          <w:noProof/>
          <w:sz w:val="20"/>
          <w:szCs w:val="20"/>
        </w:rPr>
        <w:t>.</w:t>
      </w:r>
    </w:p>
    <w:p w14:paraId="287DEDA3" w14:textId="77777777" w:rsidR="00223944" w:rsidRPr="00223944" w:rsidRDefault="00223944" w:rsidP="00223944">
      <w:pPr>
        <w:pStyle w:val="EndNoteBibliography"/>
        <w:spacing w:after="0"/>
        <w:ind w:left="720" w:hanging="720"/>
        <w:rPr>
          <w:noProof/>
        </w:rPr>
      </w:pPr>
      <w:r w:rsidRPr="00223944">
        <w:rPr>
          <w:noProof/>
        </w:rPr>
        <w:t xml:space="preserve">Guba, E. G. 1989. Fourth generation evaluation. </w:t>
      </w:r>
      <w:r w:rsidRPr="00EE4DE7">
        <w:rPr>
          <w:i/>
          <w:noProof/>
          <w:lang w:val="it-IT"/>
        </w:rPr>
        <w:t>In:</w:t>
      </w:r>
      <w:r w:rsidRPr="00EE4DE7">
        <w:rPr>
          <w:noProof/>
          <w:lang w:val="it-IT"/>
        </w:rPr>
        <w:t xml:space="preserve"> Lincoln, Y.S. (ed.). </w:t>
      </w:r>
      <w:r w:rsidRPr="00223944">
        <w:rPr>
          <w:noProof/>
        </w:rPr>
        <w:t>Newbury Park, CA: Sage.</w:t>
      </w:r>
    </w:p>
    <w:p w14:paraId="10DA25DD" w14:textId="77777777" w:rsidR="00223944" w:rsidRPr="00223944" w:rsidRDefault="00223944" w:rsidP="00223944">
      <w:pPr>
        <w:pStyle w:val="EndNoteBibliography"/>
        <w:spacing w:after="0"/>
        <w:ind w:left="720" w:hanging="720"/>
        <w:rPr>
          <w:noProof/>
        </w:rPr>
      </w:pPr>
      <w:r w:rsidRPr="00223944">
        <w:rPr>
          <w:noProof/>
        </w:rPr>
        <w:t xml:space="preserve">Hammersley, M. (1992) </w:t>
      </w:r>
      <w:r w:rsidRPr="00223944">
        <w:rPr>
          <w:i/>
          <w:noProof/>
        </w:rPr>
        <w:t>What's wrong with Ethnography? Methodological Explorations.</w:t>
      </w:r>
      <w:r w:rsidRPr="00223944">
        <w:rPr>
          <w:noProof/>
        </w:rPr>
        <w:t xml:space="preserve"> London: Routledge.</w:t>
      </w:r>
    </w:p>
    <w:p w14:paraId="3D0C5CCB" w14:textId="77777777" w:rsidR="00223944" w:rsidRPr="00223944" w:rsidRDefault="00223944" w:rsidP="00223944">
      <w:pPr>
        <w:pStyle w:val="EndNoteBibliography"/>
        <w:spacing w:after="0"/>
        <w:ind w:left="720" w:hanging="720"/>
        <w:rPr>
          <w:noProof/>
        </w:rPr>
      </w:pPr>
      <w:r w:rsidRPr="00223944">
        <w:rPr>
          <w:noProof/>
        </w:rPr>
        <w:t xml:space="preserve">Hirsh, D., Gaufberg, E., Ogur, B., Cohen, P., Krupat, E., Cox, M., Pelletier, S. and Bor, D. (2012) 'Educational outcomes of the Harvard Medical School-Cambridge integrated clerkship: a way forward for medical education', </w:t>
      </w:r>
      <w:r w:rsidRPr="00223944">
        <w:rPr>
          <w:i/>
          <w:noProof/>
        </w:rPr>
        <w:t>Acad Med,</w:t>
      </w:r>
      <w:r w:rsidRPr="00223944">
        <w:rPr>
          <w:noProof/>
        </w:rPr>
        <w:t xml:space="preserve"> 87(5), pp. 643-50.</w:t>
      </w:r>
    </w:p>
    <w:p w14:paraId="69FCF4FA" w14:textId="77777777" w:rsidR="00223944" w:rsidRPr="00223944" w:rsidRDefault="00223944" w:rsidP="00223944">
      <w:pPr>
        <w:pStyle w:val="EndNoteBibliography"/>
        <w:spacing w:after="0"/>
        <w:ind w:left="720" w:hanging="720"/>
        <w:rPr>
          <w:noProof/>
        </w:rPr>
      </w:pPr>
      <w:r w:rsidRPr="00223944">
        <w:rPr>
          <w:noProof/>
        </w:rPr>
        <w:t xml:space="preserve">Hirsh, D. A., Holmboe, E. S. and ten Cate, O. (2014) 'Time to trust: longitudinal integrated clerkships and entrustable professional activities', </w:t>
      </w:r>
      <w:r w:rsidRPr="00223944">
        <w:rPr>
          <w:i/>
          <w:noProof/>
        </w:rPr>
        <w:t>Acad Med,</w:t>
      </w:r>
      <w:r w:rsidRPr="00223944">
        <w:rPr>
          <w:noProof/>
        </w:rPr>
        <w:t xml:space="preserve"> 89(2), pp. 201-4.</w:t>
      </w:r>
    </w:p>
    <w:p w14:paraId="3ACC762A" w14:textId="77777777" w:rsidR="00223944" w:rsidRPr="00223944" w:rsidRDefault="00223944" w:rsidP="00223944">
      <w:pPr>
        <w:pStyle w:val="EndNoteBibliography"/>
        <w:spacing w:after="0"/>
        <w:ind w:left="720" w:hanging="720"/>
        <w:rPr>
          <w:noProof/>
        </w:rPr>
      </w:pPr>
      <w:r w:rsidRPr="00223944">
        <w:rPr>
          <w:noProof/>
        </w:rPr>
        <w:t xml:space="preserve">Hoppe, A., Persson, E. and Birgegård, G. (2009) 'Medical interns' view of their undergraduate medical education in Uppsala: an alumnus study with clear attitude differences between women and men', </w:t>
      </w:r>
      <w:r w:rsidRPr="00223944">
        <w:rPr>
          <w:i/>
          <w:noProof/>
        </w:rPr>
        <w:t>Med Teach,</w:t>
      </w:r>
      <w:r w:rsidRPr="00223944">
        <w:rPr>
          <w:noProof/>
        </w:rPr>
        <w:t xml:space="preserve"> 31(5), pp. 426-32.</w:t>
      </w:r>
    </w:p>
    <w:p w14:paraId="38302F52" w14:textId="77777777" w:rsidR="00223944" w:rsidRPr="00223944" w:rsidRDefault="00223944" w:rsidP="00223944">
      <w:pPr>
        <w:pStyle w:val="EndNoteBibliography"/>
        <w:spacing w:after="0"/>
        <w:ind w:left="720" w:hanging="720"/>
        <w:rPr>
          <w:noProof/>
        </w:rPr>
      </w:pPr>
      <w:r w:rsidRPr="00223944">
        <w:rPr>
          <w:noProof/>
        </w:rPr>
        <w:t xml:space="preserve">Illing, J., Peile, E., Morrison, J., Morrow, G., Kergon, C., Burford, B., Spencer, J. and Davies, C. B., Beate (2008) </w:t>
      </w:r>
      <w:r w:rsidRPr="00223944">
        <w:rPr>
          <w:i/>
          <w:noProof/>
        </w:rPr>
        <w:t>How prepared are medical graduates to begin practice? A comparison of 3 diverse UK medical schools.</w:t>
      </w:r>
      <w:r w:rsidRPr="00223944">
        <w:rPr>
          <w:noProof/>
        </w:rPr>
        <w:t>: General Medical Council.</w:t>
      </w:r>
    </w:p>
    <w:p w14:paraId="68FD8D2E" w14:textId="77777777" w:rsidR="00223944" w:rsidRPr="00223944" w:rsidRDefault="00223944" w:rsidP="00223944">
      <w:pPr>
        <w:pStyle w:val="EndNoteBibliography"/>
        <w:spacing w:after="0"/>
        <w:ind w:left="720" w:hanging="720"/>
        <w:rPr>
          <w:noProof/>
        </w:rPr>
      </w:pPr>
      <w:r w:rsidRPr="00223944">
        <w:rPr>
          <w:noProof/>
        </w:rPr>
        <w:t xml:space="preserve">Illing, J. C., Morrow, G. M., Rothwell nee Kergon, C. R., Burford, B. C., Baldauf, B. K., Davies, C. L., Peile, E. B., Spencer, J. A., Johnson, N., Allen, M. and Morrison, J. (2013) 'Perceptions of UK medical graduates' preparedness for practice: a multi-centre qualitative study reflecting the importance of learning on the job', </w:t>
      </w:r>
      <w:r w:rsidRPr="00223944">
        <w:rPr>
          <w:i/>
          <w:noProof/>
        </w:rPr>
        <w:t>BMC Med Educ,</w:t>
      </w:r>
      <w:r w:rsidRPr="00223944">
        <w:rPr>
          <w:noProof/>
        </w:rPr>
        <w:t xml:space="preserve"> 13, pp. 34.</w:t>
      </w:r>
    </w:p>
    <w:p w14:paraId="34639A3D" w14:textId="77777777" w:rsidR="00223944" w:rsidRPr="00223944" w:rsidRDefault="00223944" w:rsidP="00223944">
      <w:pPr>
        <w:pStyle w:val="EndNoteBibliography"/>
        <w:spacing w:after="0"/>
        <w:ind w:left="720" w:hanging="720"/>
        <w:rPr>
          <w:noProof/>
        </w:rPr>
      </w:pPr>
      <w:r w:rsidRPr="00223944">
        <w:rPr>
          <w:noProof/>
        </w:rPr>
        <w:t xml:space="preserve">Issenberg, S. (2006) 'The scope of simulation-based healthcare education', </w:t>
      </w:r>
      <w:r w:rsidRPr="00223944">
        <w:rPr>
          <w:i/>
          <w:noProof/>
        </w:rPr>
        <w:t>Sim Healthcare,</w:t>
      </w:r>
      <w:r w:rsidRPr="00223944">
        <w:rPr>
          <w:noProof/>
        </w:rPr>
        <w:t xml:space="preserve"> 1, pp. 203-208.</w:t>
      </w:r>
    </w:p>
    <w:p w14:paraId="40736852" w14:textId="77777777" w:rsidR="00223944" w:rsidRPr="00223944" w:rsidRDefault="00223944" w:rsidP="00223944">
      <w:pPr>
        <w:pStyle w:val="EndNoteBibliography"/>
        <w:spacing w:after="0"/>
        <w:ind w:left="720" w:hanging="720"/>
        <w:rPr>
          <w:noProof/>
        </w:rPr>
      </w:pPr>
      <w:r w:rsidRPr="00223944">
        <w:rPr>
          <w:noProof/>
        </w:rPr>
        <w:t xml:space="preserve">Issenberg, S. B., McGaghie, W. C., Gordon, D. L., Symes, S., Petrusa, E. R., Hart, I. R. and Harden, R. M. (2002) 'Effectiveness of a cardiology review course for internal medicine residents using simulation technology and deliberate practice', </w:t>
      </w:r>
      <w:r w:rsidRPr="00223944">
        <w:rPr>
          <w:i/>
          <w:noProof/>
        </w:rPr>
        <w:t>Teaching and Learning in Medicine,</w:t>
      </w:r>
      <w:r w:rsidRPr="00223944">
        <w:rPr>
          <w:noProof/>
        </w:rPr>
        <w:t xml:space="preserve"> 14(4), pp. 223-228.</w:t>
      </w:r>
    </w:p>
    <w:p w14:paraId="05EFDD60" w14:textId="77777777" w:rsidR="00223944" w:rsidRPr="00223944" w:rsidRDefault="00223944" w:rsidP="00223944">
      <w:pPr>
        <w:pStyle w:val="EndNoteBibliography"/>
        <w:spacing w:after="0"/>
        <w:ind w:left="720" w:hanging="720"/>
        <w:rPr>
          <w:noProof/>
        </w:rPr>
      </w:pPr>
      <w:r w:rsidRPr="00223944">
        <w:rPr>
          <w:noProof/>
        </w:rPr>
        <w:t xml:space="preserve">Issenberg, S. B., McGaghie, W. C., Hart, I. R., Mayer, J. W., Felner, J. M., Petrusa, E. R., Waugh, R. A., Brown, D. D., Safford, R. R., Gessner, I. H., Gordon, D. L. and Ewy, G. A. (1999) 'Simulation technology for health care professional skills training and assessment', </w:t>
      </w:r>
      <w:r w:rsidRPr="00223944">
        <w:rPr>
          <w:i/>
          <w:noProof/>
        </w:rPr>
        <w:t>Jama-Journal of the American Medical Association,</w:t>
      </w:r>
      <w:r w:rsidRPr="00223944">
        <w:rPr>
          <w:noProof/>
        </w:rPr>
        <w:t xml:space="preserve"> 282(9), pp. 861-866.</w:t>
      </w:r>
    </w:p>
    <w:p w14:paraId="794E89F4" w14:textId="77777777" w:rsidR="00223944" w:rsidRPr="00223944" w:rsidRDefault="00223944" w:rsidP="00223944">
      <w:pPr>
        <w:pStyle w:val="EndNoteBibliography"/>
        <w:spacing w:after="0"/>
        <w:ind w:left="720" w:hanging="720"/>
        <w:rPr>
          <w:noProof/>
        </w:rPr>
      </w:pPr>
      <w:r w:rsidRPr="00223944">
        <w:rPr>
          <w:noProof/>
        </w:rPr>
        <w:t xml:space="preserve">Jackson, M. B., Keen, M., Wenrich, M. D., Schaad, D. C., Robins, L. and Goldstein, E. A. (2009) 'Impact of a pre-clinical clinical skills curriculum on student performance in third-year clerkships', </w:t>
      </w:r>
      <w:r w:rsidRPr="00223944">
        <w:rPr>
          <w:i/>
          <w:noProof/>
        </w:rPr>
        <w:t>J Gen Intern Med,</w:t>
      </w:r>
      <w:r w:rsidRPr="00223944">
        <w:rPr>
          <w:noProof/>
        </w:rPr>
        <w:t xml:space="preserve"> 24(8), pp. 929-33.</w:t>
      </w:r>
    </w:p>
    <w:p w14:paraId="4DB25963" w14:textId="77777777" w:rsidR="00223944" w:rsidRPr="00223944" w:rsidRDefault="00223944" w:rsidP="00223944">
      <w:pPr>
        <w:pStyle w:val="EndNoteBibliography"/>
        <w:spacing w:after="0"/>
        <w:ind w:left="720" w:hanging="720"/>
        <w:rPr>
          <w:noProof/>
        </w:rPr>
      </w:pPr>
      <w:r w:rsidRPr="00223944">
        <w:rPr>
          <w:noProof/>
        </w:rPr>
        <w:t xml:space="preserve">Jen, M. H., Bottle, A., Majeed, A., Bell, D. and Aylin, P. (2009) 'Early in-hospital mortality following trainee doctors' first day at work', </w:t>
      </w:r>
      <w:r w:rsidRPr="00223944">
        <w:rPr>
          <w:i/>
          <w:noProof/>
        </w:rPr>
        <w:t>PLoS One,</w:t>
      </w:r>
      <w:r w:rsidRPr="00223944">
        <w:rPr>
          <w:noProof/>
        </w:rPr>
        <w:t xml:space="preserve"> 4(9), pp. e7103.</w:t>
      </w:r>
    </w:p>
    <w:p w14:paraId="2C06F1E7" w14:textId="77777777" w:rsidR="00223944" w:rsidRPr="00223944" w:rsidRDefault="00223944" w:rsidP="00223944">
      <w:pPr>
        <w:pStyle w:val="EndNoteBibliography"/>
        <w:spacing w:after="0"/>
        <w:ind w:left="720" w:hanging="720"/>
        <w:rPr>
          <w:noProof/>
        </w:rPr>
      </w:pPr>
      <w:r w:rsidRPr="00223944">
        <w:rPr>
          <w:noProof/>
        </w:rPr>
        <w:t xml:space="preserve">Jones, A., McArdle, P. J. and O'Neill, P. A. (2001) 'How well prepared are graduates for the role of pre-registration house officer? A comparison of the perceptions of new graduates and educational supervisors', </w:t>
      </w:r>
      <w:r w:rsidRPr="00223944">
        <w:rPr>
          <w:i/>
          <w:noProof/>
        </w:rPr>
        <w:t>Medical Education,</w:t>
      </w:r>
      <w:r w:rsidRPr="00223944">
        <w:rPr>
          <w:noProof/>
        </w:rPr>
        <w:t xml:space="preserve"> 35(6), pp. 578-584.</w:t>
      </w:r>
    </w:p>
    <w:p w14:paraId="09FD4C8D" w14:textId="77777777" w:rsidR="00223944" w:rsidRPr="00223944" w:rsidRDefault="00223944" w:rsidP="00223944">
      <w:pPr>
        <w:pStyle w:val="EndNoteBibliography"/>
        <w:spacing w:after="0"/>
        <w:ind w:left="720" w:hanging="720"/>
        <w:rPr>
          <w:noProof/>
        </w:rPr>
      </w:pPr>
      <w:r w:rsidRPr="00223944">
        <w:rPr>
          <w:noProof/>
        </w:rPr>
        <w:t xml:space="preserve">Jones, A., McArdle, P. J. and O'Neill, P. A. (2002) 'Perceptions of how well graduates are prepared for the role of pre-registration house officer: a comparison of outcomes from a traditional and an integrated PBL curriculum', </w:t>
      </w:r>
      <w:r w:rsidRPr="00223944">
        <w:rPr>
          <w:i/>
          <w:noProof/>
        </w:rPr>
        <w:t>Med Educ,</w:t>
      </w:r>
      <w:r w:rsidRPr="00223944">
        <w:rPr>
          <w:noProof/>
        </w:rPr>
        <w:t xml:space="preserve"> 36(1), pp. 16-25.</w:t>
      </w:r>
    </w:p>
    <w:p w14:paraId="08B856C6" w14:textId="77777777" w:rsidR="00223944" w:rsidRPr="00223944" w:rsidRDefault="00223944" w:rsidP="00223944">
      <w:pPr>
        <w:pStyle w:val="EndNoteBibliography"/>
        <w:spacing w:after="0"/>
        <w:ind w:left="720" w:hanging="720"/>
        <w:rPr>
          <w:noProof/>
        </w:rPr>
      </w:pPr>
      <w:r w:rsidRPr="00223944">
        <w:rPr>
          <w:noProof/>
        </w:rPr>
        <w:lastRenderedPageBreak/>
        <w:t xml:space="preserve">Jones, K. (2004) 'Mission Drift in Qualitative Research, or Moving Toward a Systematic Review of Qualitative Studies, Moving Back to a More Systematic Narrative Review', </w:t>
      </w:r>
      <w:r w:rsidRPr="00223944">
        <w:rPr>
          <w:i/>
          <w:noProof/>
        </w:rPr>
        <w:t>The Qualitative Report,</w:t>
      </w:r>
      <w:r w:rsidRPr="00223944">
        <w:rPr>
          <w:noProof/>
        </w:rPr>
        <w:t xml:space="preserve"> 9, pp. 95-112.</w:t>
      </w:r>
    </w:p>
    <w:p w14:paraId="1CA8DFEF" w14:textId="77777777" w:rsidR="00223944" w:rsidRPr="00EE4DE7" w:rsidRDefault="00223944" w:rsidP="00223944">
      <w:pPr>
        <w:pStyle w:val="EndNoteBibliography"/>
        <w:spacing w:after="0"/>
        <w:ind w:left="720" w:hanging="720"/>
        <w:rPr>
          <w:noProof/>
          <w:lang w:val="nl-NL"/>
        </w:rPr>
      </w:pPr>
      <w:r w:rsidRPr="00223944">
        <w:rPr>
          <w:noProof/>
        </w:rPr>
        <w:t xml:space="preserve">Kahneman, D. (2011) </w:t>
      </w:r>
      <w:r w:rsidRPr="00223944">
        <w:rPr>
          <w:i/>
          <w:noProof/>
        </w:rPr>
        <w:t>Thinking Fast and Slow.</w:t>
      </w:r>
      <w:r w:rsidRPr="00223944">
        <w:rPr>
          <w:noProof/>
        </w:rPr>
        <w:t xml:space="preserve"> </w:t>
      </w:r>
      <w:r w:rsidRPr="00EE4DE7">
        <w:rPr>
          <w:noProof/>
          <w:lang w:val="nl-NL"/>
        </w:rPr>
        <w:t>UK: Penguin Random House UK.</w:t>
      </w:r>
    </w:p>
    <w:p w14:paraId="444BDA52" w14:textId="77777777" w:rsidR="00223944" w:rsidRPr="00223944" w:rsidRDefault="00223944" w:rsidP="00223944">
      <w:pPr>
        <w:pStyle w:val="EndNoteBibliography"/>
        <w:spacing w:after="0"/>
        <w:ind w:left="720" w:hanging="720"/>
        <w:rPr>
          <w:noProof/>
        </w:rPr>
      </w:pPr>
      <w:r w:rsidRPr="00223944">
        <w:rPr>
          <w:noProof/>
        </w:rPr>
        <w:t xml:space="preserve">Kassim, S. S., McGowan, Y., McGee, H. and Whitford, D. L. (2016) 'Prepared to practice? Perception of career preparation and guidance of recent medical graduates at two campuses of a transnational medical school: a cross-sectional study', </w:t>
      </w:r>
      <w:r w:rsidRPr="00223944">
        <w:rPr>
          <w:i/>
          <w:noProof/>
        </w:rPr>
        <w:t>BMC Med Educ,</w:t>
      </w:r>
      <w:r w:rsidRPr="00223944">
        <w:rPr>
          <w:noProof/>
        </w:rPr>
        <w:t xml:space="preserve"> 16(1), pp. 56.</w:t>
      </w:r>
    </w:p>
    <w:p w14:paraId="7329DC78" w14:textId="77777777" w:rsidR="00223944" w:rsidRPr="00223944" w:rsidRDefault="00223944" w:rsidP="00223944">
      <w:pPr>
        <w:pStyle w:val="EndNoteBibliography"/>
        <w:spacing w:after="0"/>
        <w:ind w:left="720" w:hanging="720"/>
        <w:rPr>
          <w:noProof/>
        </w:rPr>
      </w:pPr>
      <w:r w:rsidRPr="00223944">
        <w:rPr>
          <w:noProof/>
        </w:rPr>
        <w:t xml:space="preserve">Keats, D. m. (2000) </w:t>
      </w:r>
      <w:r w:rsidRPr="00223944">
        <w:rPr>
          <w:i/>
          <w:noProof/>
        </w:rPr>
        <w:t>Interviewing; A practical guide for students and professionals.</w:t>
      </w:r>
      <w:r w:rsidRPr="00223944">
        <w:rPr>
          <w:noProof/>
        </w:rPr>
        <w:t xml:space="preserve"> Buckingham, Philadelphia: Open University Press.</w:t>
      </w:r>
    </w:p>
    <w:p w14:paraId="76E74B70" w14:textId="77777777" w:rsidR="00223944" w:rsidRPr="00223944" w:rsidRDefault="00223944" w:rsidP="00223944">
      <w:pPr>
        <w:pStyle w:val="EndNoteBibliography"/>
        <w:spacing w:after="0"/>
        <w:ind w:left="720" w:hanging="720"/>
        <w:rPr>
          <w:noProof/>
        </w:rPr>
      </w:pPr>
      <w:r w:rsidRPr="00223944">
        <w:rPr>
          <w:noProof/>
        </w:rPr>
        <w:t xml:space="preserve">Kellett, J., Papageorgiou, A., Cavenagh, P., Salter, C., Miles, S. and Leinster, S. J. (2015) 'The preparedness of newly qualified doctors - Views of Foundation doctors and supervisors', </w:t>
      </w:r>
      <w:r w:rsidRPr="00223944">
        <w:rPr>
          <w:i/>
          <w:noProof/>
        </w:rPr>
        <w:t>Med Teach,</w:t>
      </w:r>
      <w:r w:rsidRPr="00223944">
        <w:rPr>
          <w:noProof/>
        </w:rPr>
        <w:t xml:space="preserve"> 37(10), pp. 949-54.</w:t>
      </w:r>
    </w:p>
    <w:p w14:paraId="165DF764" w14:textId="77777777" w:rsidR="00223944" w:rsidRPr="00223944" w:rsidRDefault="00223944" w:rsidP="00223944">
      <w:pPr>
        <w:pStyle w:val="EndNoteBibliography"/>
        <w:spacing w:after="0"/>
        <w:ind w:left="720" w:hanging="720"/>
        <w:rPr>
          <w:noProof/>
        </w:rPr>
      </w:pPr>
      <w:r w:rsidRPr="00223944">
        <w:rPr>
          <w:noProof/>
        </w:rPr>
        <w:t xml:space="preserve">Ker, J. S., Hesketh, E. A., Anderson, F. and Johnston, D. A. (2006) 'Can a ward simulation exercise achieve the realism that reflects the complexity of everyday practice junior doctors encounter?', </w:t>
      </w:r>
      <w:r w:rsidRPr="00223944">
        <w:rPr>
          <w:i/>
          <w:noProof/>
        </w:rPr>
        <w:t>Med Teach,</w:t>
      </w:r>
      <w:r w:rsidRPr="00223944">
        <w:rPr>
          <w:noProof/>
        </w:rPr>
        <w:t xml:space="preserve"> 28(4), pp. 330-4.</w:t>
      </w:r>
    </w:p>
    <w:p w14:paraId="4BD70A28" w14:textId="77777777" w:rsidR="00223944" w:rsidRPr="00223944" w:rsidRDefault="00223944" w:rsidP="00223944">
      <w:pPr>
        <w:pStyle w:val="EndNoteBibliography"/>
        <w:spacing w:after="0"/>
        <w:ind w:left="720" w:hanging="720"/>
        <w:rPr>
          <w:noProof/>
        </w:rPr>
      </w:pPr>
      <w:r w:rsidRPr="00223944">
        <w:rPr>
          <w:noProof/>
        </w:rPr>
        <w:t xml:space="preserve">Kneebone, R. (2005) 'Evaluating clinical simulations for learning procedural skills: a theory-based approach', </w:t>
      </w:r>
      <w:r w:rsidRPr="00223944">
        <w:rPr>
          <w:i/>
          <w:noProof/>
        </w:rPr>
        <w:t>Acad Med,</w:t>
      </w:r>
      <w:r w:rsidRPr="00223944">
        <w:rPr>
          <w:noProof/>
        </w:rPr>
        <w:t xml:space="preserve"> 80(6), pp. 549-53.</w:t>
      </w:r>
    </w:p>
    <w:p w14:paraId="42D2DE01" w14:textId="77777777" w:rsidR="00223944" w:rsidRPr="00223944" w:rsidRDefault="00223944" w:rsidP="00223944">
      <w:pPr>
        <w:pStyle w:val="EndNoteBibliography"/>
        <w:spacing w:after="0"/>
        <w:ind w:left="720" w:hanging="720"/>
        <w:rPr>
          <w:noProof/>
        </w:rPr>
      </w:pPr>
      <w:r w:rsidRPr="00223944">
        <w:rPr>
          <w:noProof/>
        </w:rPr>
        <w:t xml:space="preserve">Kneebone, R. (2009) 'Perspective: Simulation and transformational change: the paradox of expertise', </w:t>
      </w:r>
      <w:r w:rsidRPr="00223944">
        <w:rPr>
          <w:i/>
          <w:noProof/>
        </w:rPr>
        <w:t>Acad Med,</w:t>
      </w:r>
      <w:r w:rsidRPr="00223944">
        <w:rPr>
          <w:noProof/>
        </w:rPr>
        <w:t xml:space="preserve"> 84(7), pp. 954-7.</w:t>
      </w:r>
    </w:p>
    <w:p w14:paraId="249D068E" w14:textId="77777777" w:rsidR="00223944" w:rsidRPr="00223944" w:rsidRDefault="00223944" w:rsidP="00223944">
      <w:pPr>
        <w:pStyle w:val="EndNoteBibliography"/>
        <w:spacing w:after="0"/>
        <w:ind w:left="720" w:hanging="720"/>
        <w:rPr>
          <w:noProof/>
        </w:rPr>
      </w:pPr>
      <w:r w:rsidRPr="00223944">
        <w:rPr>
          <w:noProof/>
        </w:rPr>
        <w:t xml:space="preserve">Kneebone, R. L. (2016) 'Simulation reframed', </w:t>
      </w:r>
      <w:r w:rsidRPr="00223944">
        <w:rPr>
          <w:i/>
          <w:noProof/>
        </w:rPr>
        <w:t>Adv Simul (Lond),</w:t>
      </w:r>
      <w:r w:rsidRPr="00223944">
        <w:rPr>
          <w:noProof/>
        </w:rPr>
        <w:t xml:space="preserve"> 1, pp. 27.</w:t>
      </w:r>
    </w:p>
    <w:p w14:paraId="5B3FFF97" w14:textId="77777777" w:rsidR="00223944" w:rsidRPr="00223944" w:rsidRDefault="00223944" w:rsidP="00223944">
      <w:pPr>
        <w:pStyle w:val="EndNoteBibliography"/>
        <w:spacing w:after="0"/>
        <w:ind w:left="720" w:hanging="720"/>
        <w:rPr>
          <w:noProof/>
        </w:rPr>
      </w:pPr>
      <w:r w:rsidRPr="00223944">
        <w:rPr>
          <w:noProof/>
        </w:rPr>
        <w:t xml:space="preserve">Kolb, D. A. (1984) </w:t>
      </w:r>
      <w:r w:rsidRPr="00223944">
        <w:rPr>
          <w:i/>
          <w:noProof/>
        </w:rPr>
        <w:t>Experiential learning: Experience as the source of Learning and Development.</w:t>
      </w:r>
      <w:r w:rsidRPr="00223944">
        <w:rPr>
          <w:noProof/>
        </w:rPr>
        <w:t xml:space="preserve"> Englewood Cliffs, NJ: Prentice Hall Inc.</w:t>
      </w:r>
    </w:p>
    <w:p w14:paraId="6097C81C" w14:textId="77777777" w:rsidR="00223944" w:rsidRPr="00223944" w:rsidRDefault="00223944" w:rsidP="00223944">
      <w:pPr>
        <w:pStyle w:val="EndNoteBibliography"/>
        <w:spacing w:after="0"/>
        <w:ind w:left="720" w:hanging="720"/>
        <w:rPr>
          <w:noProof/>
        </w:rPr>
      </w:pPr>
      <w:r w:rsidRPr="00223944">
        <w:rPr>
          <w:noProof/>
        </w:rPr>
        <w:t>Kvale, S. 1996. InterViews:An introduction to qualitative research interviewing. Thousand Oaks, CA: Sage.</w:t>
      </w:r>
    </w:p>
    <w:p w14:paraId="11A71ECF" w14:textId="77777777" w:rsidR="00223944" w:rsidRPr="00223944" w:rsidRDefault="00223944" w:rsidP="00223944">
      <w:pPr>
        <w:pStyle w:val="EndNoteBibliography"/>
        <w:spacing w:after="0"/>
        <w:ind w:left="720" w:hanging="720"/>
        <w:rPr>
          <w:noProof/>
        </w:rPr>
      </w:pPr>
      <w:r w:rsidRPr="00223944">
        <w:rPr>
          <w:noProof/>
        </w:rPr>
        <w:t xml:space="preserve">Laschinger, S., Medves, J., Pulling, C., McGraw, D. R., Waytuck, B., Harrison, M. B. and Gambeta, K. (2008) 'Effectiveness of simulation on health profession students' knowledge, skills, confidence and satisfaction', </w:t>
      </w:r>
      <w:r w:rsidRPr="00223944">
        <w:rPr>
          <w:i/>
          <w:noProof/>
        </w:rPr>
        <w:t>International journal of evidence-based healthcare,</w:t>
      </w:r>
      <w:r w:rsidRPr="00223944">
        <w:rPr>
          <w:noProof/>
        </w:rPr>
        <w:t xml:space="preserve"> 6(3), pp. 278-302.</w:t>
      </w:r>
    </w:p>
    <w:p w14:paraId="28BF7D78" w14:textId="77777777" w:rsidR="00223944" w:rsidRPr="00223944" w:rsidRDefault="00223944" w:rsidP="00223944">
      <w:pPr>
        <w:pStyle w:val="EndNoteBibliography"/>
        <w:spacing w:after="0"/>
        <w:ind w:left="720" w:hanging="720"/>
        <w:rPr>
          <w:noProof/>
        </w:rPr>
      </w:pPr>
      <w:r w:rsidRPr="00223944">
        <w:rPr>
          <w:noProof/>
        </w:rPr>
        <w:t xml:space="preserve">Lave, J. and Wenger, E. (1991) </w:t>
      </w:r>
      <w:r w:rsidRPr="00223944">
        <w:rPr>
          <w:i/>
          <w:noProof/>
        </w:rPr>
        <w:t>Situated Learning: Legitimate peripheral participation.</w:t>
      </w:r>
      <w:r w:rsidRPr="00223944">
        <w:rPr>
          <w:noProof/>
        </w:rPr>
        <w:t xml:space="preserve"> Cambridge: Cambridge University Press </w:t>
      </w:r>
    </w:p>
    <w:p w14:paraId="166058CF" w14:textId="77777777" w:rsidR="00223944" w:rsidRPr="00223944" w:rsidRDefault="00223944" w:rsidP="00223944">
      <w:pPr>
        <w:pStyle w:val="EndNoteBibliography"/>
        <w:spacing w:after="0"/>
        <w:ind w:left="720" w:hanging="720"/>
        <w:rPr>
          <w:noProof/>
        </w:rPr>
      </w:pPr>
      <w:r w:rsidRPr="00223944">
        <w:rPr>
          <w:noProof/>
        </w:rPr>
        <w:t xml:space="preserve">Lederman, L. C. (1984) 'DEBRIEFING - A CRITICAL REEXAMINATION OF THE POSTEXPERIENCE ANALYTIC PROCESS WITH IMPLICATIONS FOR ITS EFFECTIVE USE', </w:t>
      </w:r>
      <w:r w:rsidRPr="00223944">
        <w:rPr>
          <w:i/>
          <w:noProof/>
        </w:rPr>
        <w:t>Simulation &amp; Gaming,</w:t>
      </w:r>
      <w:r w:rsidRPr="00223944">
        <w:rPr>
          <w:noProof/>
        </w:rPr>
        <w:t xml:space="preserve"> 15(4), pp. 415-431.</w:t>
      </w:r>
    </w:p>
    <w:p w14:paraId="56149F0E" w14:textId="77777777" w:rsidR="00223944" w:rsidRPr="00223944" w:rsidRDefault="00223944" w:rsidP="00223944">
      <w:pPr>
        <w:pStyle w:val="EndNoteBibliography"/>
        <w:spacing w:after="0"/>
        <w:ind w:left="720" w:hanging="720"/>
        <w:rPr>
          <w:noProof/>
        </w:rPr>
      </w:pPr>
      <w:r w:rsidRPr="00223944">
        <w:rPr>
          <w:noProof/>
        </w:rPr>
        <w:t xml:space="preserve">Lederman, L. C. (1992) 'DEBRIEFING - TOWARD A SYSTEMATIC ASSESSMENT OF THEORY AND PRACTICE', </w:t>
      </w:r>
      <w:r w:rsidRPr="00223944">
        <w:rPr>
          <w:i/>
          <w:noProof/>
        </w:rPr>
        <w:t>Simulation &amp; Gaming,</w:t>
      </w:r>
      <w:r w:rsidRPr="00223944">
        <w:rPr>
          <w:noProof/>
        </w:rPr>
        <w:t xml:space="preserve"> 23(2), pp. 145-160.</w:t>
      </w:r>
    </w:p>
    <w:p w14:paraId="52D9E76E" w14:textId="77777777" w:rsidR="00223944" w:rsidRPr="00223944" w:rsidRDefault="00223944" w:rsidP="00223944">
      <w:pPr>
        <w:pStyle w:val="EndNoteBibliography"/>
        <w:spacing w:after="0"/>
        <w:ind w:left="720" w:hanging="720"/>
        <w:rPr>
          <w:noProof/>
        </w:rPr>
      </w:pPr>
      <w:r w:rsidRPr="00223944">
        <w:rPr>
          <w:noProof/>
        </w:rPr>
        <w:t xml:space="preserve">Leech, N. L., Dellinger, A. B., Brannagan, K. B. and Tanaka, H. (2010) 'Evaluating mixed research studies: A mixed methods approach', </w:t>
      </w:r>
      <w:r w:rsidRPr="00223944">
        <w:rPr>
          <w:i/>
          <w:noProof/>
        </w:rPr>
        <w:t>Journal of Mixed Methods Research,</w:t>
      </w:r>
      <w:r w:rsidRPr="00223944">
        <w:rPr>
          <w:noProof/>
        </w:rPr>
        <w:t xml:space="preserve"> 4(1), pp. 17-31.</w:t>
      </w:r>
    </w:p>
    <w:p w14:paraId="191ABBB8" w14:textId="77777777" w:rsidR="00223944" w:rsidRPr="00223944" w:rsidRDefault="00223944" w:rsidP="00223944">
      <w:pPr>
        <w:pStyle w:val="EndNoteBibliography"/>
        <w:spacing w:after="0"/>
        <w:ind w:left="720" w:hanging="720"/>
        <w:rPr>
          <w:noProof/>
        </w:rPr>
      </w:pPr>
      <w:r w:rsidRPr="00223944">
        <w:rPr>
          <w:noProof/>
        </w:rPr>
        <w:t xml:space="preserve">Leigh, G. T. (2008) 'High-fidelity patient simulation and nursing students' self-efficacy: a review of the literature', </w:t>
      </w:r>
      <w:r w:rsidRPr="00223944">
        <w:rPr>
          <w:i/>
          <w:noProof/>
        </w:rPr>
        <w:t>Int J Nurs Educ Scholarsh,</w:t>
      </w:r>
      <w:r w:rsidRPr="00223944">
        <w:rPr>
          <w:noProof/>
        </w:rPr>
        <w:t xml:space="preserve"> 5, pp. Article 37.</w:t>
      </w:r>
    </w:p>
    <w:p w14:paraId="0E3C525B" w14:textId="77777777" w:rsidR="00223944" w:rsidRPr="00223944" w:rsidRDefault="00223944" w:rsidP="00223944">
      <w:pPr>
        <w:pStyle w:val="EndNoteBibliography"/>
        <w:spacing w:after="0"/>
        <w:ind w:left="720" w:hanging="720"/>
        <w:rPr>
          <w:noProof/>
        </w:rPr>
      </w:pPr>
      <w:r w:rsidRPr="00223944">
        <w:rPr>
          <w:noProof/>
        </w:rPr>
        <w:t xml:space="preserve">Leopold, S. S., Morgan, H. D., Kadel, N. J., Gardner, G. C., Schaad, D. C. and Wolf, F. M. (2005) 'Impact of educational intervention on confidence and competence in the </w:t>
      </w:r>
      <w:r w:rsidRPr="00223944">
        <w:rPr>
          <w:noProof/>
        </w:rPr>
        <w:lastRenderedPageBreak/>
        <w:t xml:space="preserve">performance of a simple surgical task', </w:t>
      </w:r>
      <w:r w:rsidRPr="00223944">
        <w:rPr>
          <w:i/>
          <w:noProof/>
        </w:rPr>
        <w:t>Journal of Bone and Joint Surgery-American Volume,</w:t>
      </w:r>
      <w:r w:rsidRPr="00223944">
        <w:rPr>
          <w:noProof/>
        </w:rPr>
        <w:t xml:space="preserve"> 87A(5), pp. 1031-1037.</w:t>
      </w:r>
    </w:p>
    <w:p w14:paraId="40CFF445" w14:textId="77777777" w:rsidR="00223944" w:rsidRPr="00223944" w:rsidRDefault="00223944" w:rsidP="00223944">
      <w:pPr>
        <w:pStyle w:val="EndNoteBibliography"/>
        <w:spacing w:after="0"/>
        <w:ind w:left="720" w:hanging="720"/>
        <w:rPr>
          <w:noProof/>
        </w:rPr>
      </w:pPr>
      <w:r w:rsidRPr="00223944">
        <w:rPr>
          <w:noProof/>
        </w:rPr>
        <w:t xml:space="preserve">Lewis, J. (2009) 'Redefining Qualitative Methods: Believability in the Fifth Moment', </w:t>
      </w:r>
      <w:r w:rsidRPr="00223944">
        <w:rPr>
          <w:i/>
          <w:noProof/>
        </w:rPr>
        <w:t>International Journal of Qualitative Methods,</w:t>
      </w:r>
      <w:r w:rsidRPr="00223944">
        <w:rPr>
          <w:noProof/>
        </w:rPr>
        <w:t xml:space="preserve"> 8(2), pp. 1 - 13.</w:t>
      </w:r>
    </w:p>
    <w:p w14:paraId="0677A44F" w14:textId="77777777" w:rsidR="00223944" w:rsidRPr="00223944" w:rsidRDefault="00223944" w:rsidP="00223944">
      <w:pPr>
        <w:pStyle w:val="EndNoteBibliography"/>
        <w:spacing w:after="0"/>
        <w:ind w:left="720" w:hanging="720"/>
        <w:rPr>
          <w:noProof/>
        </w:rPr>
      </w:pPr>
      <w:r w:rsidRPr="00223944">
        <w:rPr>
          <w:noProof/>
        </w:rPr>
        <w:t xml:space="preserve">Liddell, M. J. and Davidson, S. K. (2004) 'Student attitudes and their academic performance: is there any relationship?', </w:t>
      </w:r>
      <w:r w:rsidRPr="00223944">
        <w:rPr>
          <w:i/>
          <w:noProof/>
        </w:rPr>
        <w:t>Medical Teacher,</w:t>
      </w:r>
      <w:r w:rsidRPr="00223944">
        <w:rPr>
          <w:noProof/>
        </w:rPr>
        <w:t xml:space="preserve"> 26(1), pp. 52-56.</w:t>
      </w:r>
    </w:p>
    <w:p w14:paraId="5C608BCD" w14:textId="77777777" w:rsidR="00223944" w:rsidRPr="00223944" w:rsidRDefault="00223944" w:rsidP="00223944">
      <w:pPr>
        <w:pStyle w:val="EndNoteBibliography"/>
        <w:spacing w:after="0"/>
        <w:ind w:left="720" w:hanging="720"/>
        <w:rPr>
          <w:noProof/>
        </w:rPr>
      </w:pPr>
      <w:r w:rsidRPr="00223944">
        <w:rPr>
          <w:noProof/>
        </w:rPr>
        <w:t xml:space="preserve">Lucieer, S. M., Jonker, L., Visscher, C., Rikers, R. M. and Themmen, A. P. (2015) 'Self-regulated learning and academic performance in medical education', </w:t>
      </w:r>
      <w:r w:rsidRPr="00223944">
        <w:rPr>
          <w:i/>
          <w:noProof/>
        </w:rPr>
        <w:t>Med Teach</w:t>
      </w:r>
      <w:r w:rsidRPr="00223944">
        <w:rPr>
          <w:noProof/>
        </w:rPr>
        <w:t>, pp. 1-9.</w:t>
      </w:r>
    </w:p>
    <w:p w14:paraId="0FEA82AA" w14:textId="77777777" w:rsidR="00223944" w:rsidRPr="00223944" w:rsidRDefault="00223944" w:rsidP="00223944">
      <w:pPr>
        <w:pStyle w:val="EndNoteBibliography"/>
        <w:spacing w:after="0"/>
        <w:ind w:left="720" w:hanging="720"/>
        <w:rPr>
          <w:noProof/>
        </w:rPr>
      </w:pPr>
      <w:r w:rsidRPr="00223944">
        <w:rPr>
          <w:noProof/>
        </w:rPr>
        <w:t xml:space="preserve">Ma, I. W. (2015) 'Embracing complexity: taking the messiness in simulation-based training one step further', </w:t>
      </w:r>
      <w:r w:rsidRPr="00223944">
        <w:rPr>
          <w:i/>
          <w:noProof/>
        </w:rPr>
        <w:t>Med Educ,</w:t>
      </w:r>
      <w:r w:rsidRPr="00223944">
        <w:rPr>
          <w:noProof/>
        </w:rPr>
        <w:t xml:space="preserve"> 49(4), pp. 346-8.</w:t>
      </w:r>
    </w:p>
    <w:p w14:paraId="141EA11E" w14:textId="77777777" w:rsidR="00223944" w:rsidRPr="00223944" w:rsidRDefault="00223944" w:rsidP="00223944">
      <w:pPr>
        <w:pStyle w:val="EndNoteBibliography"/>
        <w:spacing w:after="0"/>
        <w:ind w:left="720" w:hanging="720"/>
        <w:rPr>
          <w:noProof/>
        </w:rPr>
      </w:pPr>
      <w:r w:rsidRPr="00223944">
        <w:rPr>
          <w:noProof/>
        </w:rPr>
        <w:t xml:space="preserve">Maa, A. and McCullough, L. B. (2006) 'Medical education in the public versus the private setting: a qualitative study of medical students' attitudes', </w:t>
      </w:r>
      <w:r w:rsidRPr="00223944">
        <w:rPr>
          <w:i/>
          <w:noProof/>
        </w:rPr>
        <w:t>Med Teach,</w:t>
      </w:r>
      <w:r w:rsidRPr="00223944">
        <w:rPr>
          <w:noProof/>
        </w:rPr>
        <w:t xml:space="preserve"> 28(4), pp. 351-5.</w:t>
      </w:r>
    </w:p>
    <w:p w14:paraId="096CFC7C" w14:textId="77777777" w:rsidR="00223944" w:rsidRPr="00223944" w:rsidRDefault="00223944" w:rsidP="00223944">
      <w:pPr>
        <w:pStyle w:val="EndNoteBibliography"/>
        <w:spacing w:after="0"/>
        <w:ind w:left="720" w:hanging="720"/>
        <w:rPr>
          <w:noProof/>
        </w:rPr>
      </w:pPr>
      <w:r w:rsidRPr="00223944">
        <w:rPr>
          <w:noProof/>
        </w:rPr>
        <w:t xml:space="preserve">Mahajan, R. P. (2010) 'Critical incident reporting and learning', </w:t>
      </w:r>
      <w:r w:rsidRPr="00223944">
        <w:rPr>
          <w:i/>
          <w:noProof/>
        </w:rPr>
        <w:t>British Journal of Anaesthesia,</w:t>
      </w:r>
      <w:r w:rsidRPr="00223944">
        <w:rPr>
          <w:noProof/>
        </w:rPr>
        <w:t xml:space="preserve"> 105(1), pp. 69-75.</w:t>
      </w:r>
    </w:p>
    <w:p w14:paraId="3AB8ABD7" w14:textId="77777777" w:rsidR="00223944" w:rsidRPr="00223944" w:rsidRDefault="00223944" w:rsidP="00223944">
      <w:pPr>
        <w:pStyle w:val="EndNoteBibliography"/>
        <w:spacing w:after="0"/>
        <w:ind w:left="720" w:hanging="720"/>
        <w:rPr>
          <w:noProof/>
        </w:rPr>
      </w:pPr>
      <w:r w:rsidRPr="00223944">
        <w:rPr>
          <w:noProof/>
        </w:rPr>
        <w:t xml:space="preserve">Martimianakis, M. A. and Albert, M. (2013) 'Confronting complexity: medical education, social theory and the 'fate of our times'', </w:t>
      </w:r>
      <w:r w:rsidRPr="00223944">
        <w:rPr>
          <w:i/>
          <w:noProof/>
        </w:rPr>
        <w:t>Med Educ,</w:t>
      </w:r>
      <w:r w:rsidRPr="00223944">
        <w:rPr>
          <w:noProof/>
        </w:rPr>
        <w:t xml:space="preserve"> 47(1), pp. 3-5.</w:t>
      </w:r>
    </w:p>
    <w:p w14:paraId="4310CC79" w14:textId="77777777" w:rsidR="00223944" w:rsidRPr="00223944" w:rsidRDefault="00223944" w:rsidP="00223944">
      <w:pPr>
        <w:pStyle w:val="EndNoteBibliography"/>
        <w:spacing w:after="0"/>
        <w:ind w:left="720" w:hanging="720"/>
        <w:rPr>
          <w:noProof/>
        </w:rPr>
      </w:pPr>
      <w:r w:rsidRPr="00223944">
        <w:rPr>
          <w:noProof/>
        </w:rPr>
        <w:t xml:space="preserve">Mattick, K. L., Kaufhold, K., Kelly, N., Cole, J. A., Scheffler, G., Rees, C. E., Bullock, A., G J and Monrouxe, L. V. (2016) 'Implications of aligning full registration of doctors with medical school graduation: a qualitative study of stakeholder perspectives', </w:t>
      </w:r>
      <w:r w:rsidRPr="00223944">
        <w:rPr>
          <w:i/>
          <w:noProof/>
        </w:rPr>
        <w:t>BMJ Open,</w:t>
      </w:r>
      <w:r w:rsidRPr="00223944">
        <w:rPr>
          <w:noProof/>
        </w:rPr>
        <w:t xml:space="preserve"> (6).</w:t>
      </w:r>
    </w:p>
    <w:p w14:paraId="4F897527" w14:textId="77777777" w:rsidR="00223944" w:rsidRPr="00223944" w:rsidRDefault="00223944" w:rsidP="00223944">
      <w:pPr>
        <w:pStyle w:val="EndNoteBibliography"/>
        <w:spacing w:after="0"/>
        <w:ind w:left="720" w:hanging="720"/>
        <w:rPr>
          <w:noProof/>
        </w:rPr>
      </w:pPr>
      <w:r w:rsidRPr="00223944">
        <w:rPr>
          <w:noProof/>
        </w:rPr>
        <w:t xml:space="preserve">Maxfield, M. G. 2001. Research methods for criminal justice and criminology. </w:t>
      </w:r>
      <w:r w:rsidRPr="00223944">
        <w:rPr>
          <w:i/>
          <w:noProof/>
        </w:rPr>
        <w:t>In:</w:t>
      </w:r>
      <w:r w:rsidRPr="00223944">
        <w:rPr>
          <w:noProof/>
        </w:rPr>
        <w:t xml:space="preserve"> Babbie, E. (ed.) 3rd ed. Belmont, CA: Wadsworth/ Thomson learning.</w:t>
      </w:r>
    </w:p>
    <w:p w14:paraId="4360AF4D" w14:textId="77777777" w:rsidR="00223944" w:rsidRPr="00223944" w:rsidRDefault="00223944" w:rsidP="00223944">
      <w:pPr>
        <w:pStyle w:val="EndNoteBibliography"/>
        <w:spacing w:after="0"/>
        <w:ind w:left="720" w:hanging="720"/>
        <w:rPr>
          <w:noProof/>
        </w:rPr>
      </w:pPr>
      <w:r w:rsidRPr="00223944">
        <w:rPr>
          <w:noProof/>
        </w:rPr>
        <w:t>Maxwell, J. A. 1996. Qualitative research design: An interactive approach. Thousand Oaks, CA: Sage.</w:t>
      </w:r>
    </w:p>
    <w:p w14:paraId="685DF7AF" w14:textId="77777777" w:rsidR="00223944" w:rsidRPr="00223944" w:rsidRDefault="00223944" w:rsidP="00223944">
      <w:pPr>
        <w:pStyle w:val="EndNoteBibliography"/>
        <w:spacing w:after="0"/>
        <w:ind w:left="720" w:hanging="720"/>
        <w:rPr>
          <w:noProof/>
        </w:rPr>
      </w:pPr>
      <w:r w:rsidRPr="00223944">
        <w:rPr>
          <w:noProof/>
        </w:rPr>
        <w:t xml:space="preserve">McGaghie, W. C. (2010) 'Medical education research as translational science', </w:t>
      </w:r>
      <w:r w:rsidRPr="00223944">
        <w:rPr>
          <w:i/>
          <w:noProof/>
        </w:rPr>
        <w:t>Sci Transl Med,</w:t>
      </w:r>
      <w:r w:rsidRPr="00223944">
        <w:rPr>
          <w:noProof/>
        </w:rPr>
        <w:t xml:space="preserve"> 2, pp. 1-3.</w:t>
      </w:r>
    </w:p>
    <w:p w14:paraId="6EC03D43" w14:textId="77777777" w:rsidR="00223944" w:rsidRPr="00223944" w:rsidRDefault="00223944" w:rsidP="00223944">
      <w:pPr>
        <w:pStyle w:val="EndNoteBibliography"/>
        <w:spacing w:after="0"/>
        <w:ind w:left="720" w:hanging="720"/>
        <w:rPr>
          <w:noProof/>
        </w:rPr>
      </w:pPr>
      <w:r w:rsidRPr="00223944">
        <w:rPr>
          <w:noProof/>
        </w:rPr>
        <w:t xml:space="preserve">McGaghie, W. C., Issenberg, S. B., Cohen, E. R., Barsuk, J. H. and Wayne, D. B. (2011) 'Does Simulation-Based Medical Education With Deliberate Practice Yield Better Results Than Traditional Clinical Education? A Meta-Analytic Comparative Review of the Evidence', </w:t>
      </w:r>
      <w:r w:rsidRPr="00223944">
        <w:rPr>
          <w:i/>
          <w:noProof/>
        </w:rPr>
        <w:t>Academic Medicine,</w:t>
      </w:r>
      <w:r w:rsidRPr="00223944">
        <w:rPr>
          <w:noProof/>
        </w:rPr>
        <w:t xml:space="preserve"> 86(6), pp. 706-711.</w:t>
      </w:r>
    </w:p>
    <w:p w14:paraId="3225E759" w14:textId="77777777" w:rsidR="00223944" w:rsidRPr="00223944" w:rsidRDefault="00223944" w:rsidP="00223944">
      <w:pPr>
        <w:pStyle w:val="EndNoteBibliography"/>
        <w:spacing w:after="0"/>
        <w:ind w:left="720" w:hanging="720"/>
        <w:rPr>
          <w:noProof/>
        </w:rPr>
      </w:pPr>
      <w:r w:rsidRPr="00223944">
        <w:rPr>
          <w:noProof/>
        </w:rPr>
        <w:t xml:space="preserve">McGaghie, W. C., Issenberg, S. B., Petrusa, E. R. and Scalese, R. J. (2016) 'Revisiting 'A critical review of simulation-based medical education research: 2003-2009'', </w:t>
      </w:r>
      <w:r w:rsidRPr="00223944">
        <w:rPr>
          <w:i/>
          <w:noProof/>
        </w:rPr>
        <w:t>Med Educ,</w:t>
      </w:r>
      <w:r w:rsidRPr="00223944">
        <w:rPr>
          <w:noProof/>
        </w:rPr>
        <w:t xml:space="preserve"> 50(10), pp. 986-91.</w:t>
      </w:r>
    </w:p>
    <w:p w14:paraId="44728639" w14:textId="77777777" w:rsidR="00223944" w:rsidRPr="00223944" w:rsidRDefault="00223944" w:rsidP="00223944">
      <w:pPr>
        <w:pStyle w:val="EndNoteBibliography"/>
        <w:spacing w:after="0"/>
        <w:ind w:left="720" w:hanging="720"/>
        <w:rPr>
          <w:noProof/>
        </w:rPr>
      </w:pPr>
      <w:r w:rsidRPr="00223944">
        <w:rPr>
          <w:noProof/>
        </w:rPr>
        <w:t xml:space="preserve">McGaghie, W. C., Siddall, V. J., Mazmanian, P. E. and Myers, J. (2009) 'Lessons for Continuing Medical Education From Simulation Research in Undergraduate and Graduate Medical Education Effectiveness of Continuing Medical Education: American College of Chest Physicians Evidence-Based Educational Guidelines', </w:t>
      </w:r>
      <w:r w:rsidRPr="00223944">
        <w:rPr>
          <w:i/>
          <w:noProof/>
        </w:rPr>
        <w:t>Chest,</w:t>
      </w:r>
      <w:r w:rsidRPr="00223944">
        <w:rPr>
          <w:noProof/>
        </w:rPr>
        <w:t xml:space="preserve"> 135(3), pp. 62S-68S.</w:t>
      </w:r>
    </w:p>
    <w:p w14:paraId="65A37EFE" w14:textId="77777777" w:rsidR="00223944" w:rsidRPr="00223944" w:rsidRDefault="00223944" w:rsidP="00223944">
      <w:pPr>
        <w:pStyle w:val="EndNoteBibliography"/>
        <w:spacing w:after="0"/>
        <w:ind w:left="720" w:hanging="720"/>
        <w:rPr>
          <w:noProof/>
        </w:rPr>
      </w:pPr>
      <w:r w:rsidRPr="00223944">
        <w:rPr>
          <w:noProof/>
        </w:rPr>
        <w:t xml:space="preserve">McLeod, P. J., Steinert, Y., Trudel, J. and Gottesman, R. (2001) 'Seven principles for teaching procedural and technical skills', </w:t>
      </w:r>
      <w:r w:rsidRPr="00223944">
        <w:rPr>
          <w:i/>
          <w:noProof/>
        </w:rPr>
        <w:t>Academic Medicine,</w:t>
      </w:r>
      <w:r w:rsidRPr="00223944">
        <w:rPr>
          <w:noProof/>
        </w:rPr>
        <w:t xml:space="preserve"> 76(10), pp. 1080-1080.</w:t>
      </w:r>
    </w:p>
    <w:p w14:paraId="1286E428" w14:textId="77777777" w:rsidR="00223944" w:rsidRPr="00223944" w:rsidRDefault="00223944" w:rsidP="00223944">
      <w:pPr>
        <w:pStyle w:val="EndNoteBibliography"/>
        <w:spacing w:after="0"/>
        <w:ind w:left="720" w:hanging="720"/>
        <w:rPr>
          <w:noProof/>
        </w:rPr>
      </w:pPr>
      <w:r w:rsidRPr="00223944">
        <w:rPr>
          <w:noProof/>
        </w:rPr>
        <w:t xml:space="preserve">McManus, C., Winder, B. and Richards, P. (1998a) 'Clinical experience and performance in final examinations - Valid methods are needed to assess students - Reply', </w:t>
      </w:r>
      <w:r w:rsidRPr="00223944">
        <w:rPr>
          <w:i/>
          <w:noProof/>
        </w:rPr>
        <w:t>British Medical Journal,</w:t>
      </w:r>
      <w:r w:rsidRPr="00223944">
        <w:rPr>
          <w:noProof/>
        </w:rPr>
        <w:t xml:space="preserve"> 316(7149), pp. 1984-1985.</w:t>
      </w:r>
    </w:p>
    <w:p w14:paraId="7EF3D6E4" w14:textId="77777777" w:rsidR="00223944" w:rsidRPr="00223944" w:rsidRDefault="00223944" w:rsidP="00223944">
      <w:pPr>
        <w:pStyle w:val="EndNoteBibliography"/>
        <w:spacing w:after="0"/>
        <w:ind w:left="720" w:hanging="720"/>
        <w:rPr>
          <w:noProof/>
        </w:rPr>
      </w:pPr>
      <w:r w:rsidRPr="00223944">
        <w:rPr>
          <w:noProof/>
        </w:rPr>
        <w:lastRenderedPageBreak/>
        <w:t xml:space="preserve">McManus, I. C., Richards, P., Winder, B. C. and Sproston, K. A. (1998b) 'Clinical experience, performance in final examinations, and learning style in medical students: prospective study', </w:t>
      </w:r>
      <w:r w:rsidRPr="00223944">
        <w:rPr>
          <w:i/>
          <w:noProof/>
        </w:rPr>
        <w:t>British Medical Journal,</w:t>
      </w:r>
      <w:r w:rsidRPr="00223944">
        <w:rPr>
          <w:noProof/>
        </w:rPr>
        <w:t xml:space="preserve"> 316(7128), pp. 345-350.</w:t>
      </w:r>
    </w:p>
    <w:p w14:paraId="312AC51B" w14:textId="77777777" w:rsidR="00223944" w:rsidRPr="00223944" w:rsidRDefault="00223944" w:rsidP="00223944">
      <w:pPr>
        <w:pStyle w:val="EndNoteBibliography"/>
        <w:spacing w:after="0"/>
        <w:ind w:left="720" w:hanging="720"/>
        <w:rPr>
          <w:noProof/>
        </w:rPr>
      </w:pPr>
      <w:r w:rsidRPr="00223944">
        <w:rPr>
          <w:noProof/>
        </w:rPr>
        <w:t xml:space="preserve">Mennin, S. (2010) 'Self-organisation, integration and curriculum in the complex world of medical education', </w:t>
      </w:r>
      <w:r w:rsidRPr="00223944">
        <w:rPr>
          <w:i/>
          <w:noProof/>
        </w:rPr>
        <w:t>Med Educ,</w:t>
      </w:r>
      <w:r w:rsidRPr="00223944">
        <w:rPr>
          <w:noProof/>
        </w:rPr>
        <w:t xml:space="preserve"> 44(1), pp. 20-30.</w:t>
      </w:r>
    </w:p>
    <w:p w14:paraId="17D457F1" w14:textId="77777777" w:rsidR="00223944" w:rsidRPr="00223944" w:rsidRDefault="00223944" w:rsidP="00223944">
      <w:pPr>
        <w:pStyle w:val="EndNoteBibliography"/>
        <w:spacing w:after="0"/>
        <w:ind w:left="720" w:hanging="720"/>
        <w:rPr>
          <w:noProof/>
        </w:rPr>
      </w:pPr>
      <w:r w:rsidRPr="00223944">
        <w:rPr>
          <w:noProof/>
        </w:rPr>
        <w:t xml:space="preserve">Mezirow, J. (1991) </w:t>
      </w:r>
      <w:r w:rsidRPr="00223944">
        <w:rPr>
          <w:i/>
          <w:noProof/>
        </w:rPr>
        <w:t>Transformative Dimensions of Adult learning.</w:t>
      </w:r>
      <w:r w:rsidRPr="00223944">
        <w:rPr>
          <w:noProof/>
        </w:rPr>
        <w:t xml:space="preserve"> San Francisco, CA: Jossey-Bass.</w:t>
      </w:r>
    </w:p>
    <w:p w14:paraId="70660133" w14:textId="77777777" w:rsidR="00223944" w:rsidRPr="00223944" w:rsidRDefault="00223944" w:rsidP="00223944">
      <w:pPr>
        <w:pStyle w:val="EndNoteBibliography"/>
        <w:spacing w:after="0"/>
        <w:ind w:left="720" w:hanging="720"/>
        <w:rPr>
          <w:noProof/>
        </w:rPr>
      </w:pPr>
      <w:r w:rsidRPr="00223944">
        <w:rPr>
          <w:noProof/>
        </w:rPr>
        <w:t xml:space="preserve">Miczo, N. (2003) 'Beyond the "fetishism of words": considerations on the use of the interview to gather chronic illness narratives', </w:t>
      </w:r>
      <w:r w:rsidRPr="00223944">
        <w:rPr>
          <w:i/>
          <w:noProof/>
        </w:rPr>
        <w:t>Qual Health Res,</w:t>
      </w:r>
      <w:r w:rsidRPr="00223944">
        <w:rPr>
          <w:noProof/>
        </w:rPr>
        <w:t xml:space="preserve"> 13(4), pp. 469-90.</w:t>
      </w:r>
    </w:p>
    <w:p w14:paraId="4D8F8ECE" w14:textId="77777777" w:rsidR="00223944" w:rsidRPr="00223944" w:rsidRDefault="00223944" w:rsidP="00223944">
      <w:pPr>
        <w:pStyle w:val="EndNoteBibliography"/>
        <w:spacing w:after="0"/>
        <w:ind w:left="720" w:hanging="720"/>
        <w:rPr>
          <w:noProof/>
        </w:rPr>
      </w:pPr>
      <w:r w:rsidRPr="00223944">
        <w:rPr>
          <w:noProof/>
        </w:rPr>
        <w:t xml:space="preserve">Minha, S., Shefet, D., Sagi, D., Berkenstadt, H. and Ziv, A. (2016) '"See One, Sim One, Do One"- A National Pre-Internship Boot-Camp to Ensure a Safer "Student to Doctor" Transition', </w:t>
      </w:r>
      <w:r w:rsidRPr="00223944">
        <w:rPr>
          <w:i/>
          <w:noProof/>
        </w:rPr>
        <w:t>PLoS One,</w:t>
      </w:r>
      <w:r w:rsidRPr="00223944">
        <w:rPr>
          <w:noProof/>
        </w:rPr>
        <w:t xml:space="preserve"> 11(3), pp. e0150122.</w:t>
      </w:r>
    </w:p>
    <w:p w14:paraId="74E35507" w14:textId="77777777" w:rsidR="00223944" w:rsidRPr="00223944" w:rsidRDefault="00223944" w:rsidP="00223944">
      <w:pPr>
        <w:pStyle w:val="EndNoteBibliography"/>
        <w:spacing w:after="0"/>
        <w:ind w:left="720" w:hanging="720"/>
        <w:rPr>
          <w:noProof/>
        </w:rPr>
      </w:pPr>
      <w:r w:rsidRPr="00223944">
        <w:rPr>
          <w:noProof/>
        </w:rPr>
        <w:t xml:space="preserve">Morgan, D. L. (1997) </w:t>
      </w:r>
      <w:r w:rsidRPr="00223944">
        <w:rPr>
          <w:i/>
          <w:noProof/>
        </w:rPr>
        <w:t>Focus groups as qualitative research. Qualitative Research Methods Series</w:t>
      </w:r>
      <w:r w:rsidRPr="00223944">
        <w:rPr>
          <w:noProof/>
        </w:rPr>
        <w:t xml:space="preserve"> 2nd edn. Thousand Oaks, CA: Sage.</w:t>
      </w:r>
    </w:p>
    <w:p w14:paraId="1CAF344E" w14:textId="77777777" w:rsidR="00223944" w:rsidRPr="00223944" w:rsidRDefault="00223944" w:rsidP="00223944">
      <w:pPr>
        <w:pStyle w:val="EndNoteBibliography"/>
        <w:spacing w:after="0"/>
        <w:ind w:left="720" w:hanging="720"/>
        <w:rPr>
          <w:noProof/>
        </w:rPr>
      </w:pPr>
      <w:r w:rsidRPr="00223944">
        <w:rPr>
          <w:noProof/>
        </w:rPr>
        <w:t xml:space="preserve">Morgan, P. J. and Cleave-Hogg, D. (2002) 'Comparison between medical students' experience, confidence and competence', </w:t>
      </w:r>
      <w:r w:rsidRPr="00223944">
        <w:rPr>
          <w:i/>
          <w:noProof/>
        </w:rPr>
        <w:t>Medical Education,</w:t>
      </w:r>
      <w:r w:rsidRPr="00223944">
        <w:rPr>
          <w:noProof/>
        </w:rPr>
        <w:t xml:space="preserve"> 36(6), pp. 534-539.</w:t>
      </w:r>
    </w:p>
    <w:p w14:paraId="6B39EA23" w14:textId="77777777" w:rsidR="00223944" w:rsidRPr="00223944" w:rsidRDefault="00223944" w:rsidP="00223944">
      <w:pPr>
        <w:pStyle w:val="EndNoteBibliography"/>
        <w:spacing w:after="0"/>
        <w:ind w:left="720" w:hanging="720"/>
        <w:rPr>
          <w:noProof/>
        </w:rPr>
      </w:pPr>
      <w:r w:rsidRPr="00223944">
        <w:rPr>
          <w:noProof/>
        </w:rPr>
        <w:t xml:space="preserve">Morrow, G., Johnson, N., Burford, B., Rothwell, C., Spencer, J., Peile, E., Davies, C., Allen, M., Baldauf, B., Morrison, J. and Illing, J. (2012) 'Preparedness for practice: the perceptions of medical graduates and clinical teams', </w:t>
      </w:r>
      <w:r w:rsidRPr="00223944">
        <w:rPr>
          <w:i/>
          <w:noProof/>
        </w:rPr>
        <w:t>Med Teach,</w:t>
      </w:r>
      <w:r w:rsidRPr="00223944">
        <w:rPr>
          <w:noProof/>
        </w:rPr>
        <w:t xml:space="preserve"> 34(2), pp. 123-35.</w:t>
      </w:r>
    </w:p>
    <w:p w14:paraId="2CA43B8A" w14:textId="77777777" w:rsidR="00223944" w:rsidRPr="00223944" w:rsidRDefault="00223944" w:rsidP="00223944">
      <w:pPr>
        <w:pStyle w:val="EndNoteBibliography"/>
        <w:spacing w:after="0"/>
        <w:ind w:left="720" w:hanging="720"/>
        <w:rPr>
          <w:noProof/>
        </w:rPr>
      </w:pPr>
      <w:r w:rsidRPr="00223944">
        <w:rPr>
          <w:noProof/>
        </w:rPr>
        <w:t xml:space="preserve">Motola, I., Devine, L., Chung, H., Sullivan, J. and Issenberg, B. (2013) 'Simulation in healthcare education: A best evidence practical guide. AMEE Guide No. 82', </w:t>
      </w:r>
      <w:r w:rsidRPr="00223944">
        <w:rPr>
          <w:i/>
          <w:noProof/>
        </w:rPr>
        <w:t>Medical Teacher,</w:t>
      </w:r>
      <w:r w:rsidRPr="00223944">
        <w:rPr>
          <w:noProof/>
        </w:rPr>
        <w:t xml:space="preserve"> 35, pp. 1511 - 1530.</w:t>
      </w:r>
    </w:p>
    <w:p w14:paraId="11078DCA" w14:textId="77777777" w:rsidR="00223944" w:rsidRPr="00223944" w:rsidRDefault="00223944" w:rsidP="00223944">
      <w:pPr>
        <w:pStyle w:val="EndNoteBibliography"/>
        <w:spacing w:after="0"/>
        <w:ind w:left="720" w:hanging="720"/>
        <w:rPr>
          <w:noProof/>
        </w:rPr>
      </w:pPr>
      <w:r w:rsidRPr="00223944">
        <w:rPr>
          <w:noProof/>
        </w:rPr>
        <w:t xml:space="preserve">O'Callaghan, A. (2015) 'When I say … emotional congruence in medical education', </w:t>
      </w:r>
      <w:r w:rsidRPr="00223944">
        <w:rPr>
          <w:i/>
          <w:noProof/>
        </w:rPr>
        <w:t>Med Educ,</w:t>
      </w:r>
      <w:r w:rsidRPr="00223944">
        <w:rPr>
          <w:noProof/>
        </w:rPr>
        <w:t xml:space="preserve"> 49(4), pp. 357-8.</w:t>
      </w:r>
    </w:p>
    <w:p w14:paraId="05746DAF" w14:textId="77777777" w:rsidR="00223944" w:rsidRPr="00223944" w:rsidRDefault="00223944" w:rsidP="00223944">
      <w:pPr>
        <w:pStyle w:val="EndNoteBibliography"/>
        <w:spacing w:after="0"/>
        <w:ind w:left="720" w:hanging="720"/>
        <w:rPr>
          <w:noProof/>
        </w:rPr>
      </w:pPr>
      <w:r w:rsidRPr="00223944">
        <w:rPr>
          <w:noProof/>
        </w:rPr>
        <w:t xml:space="preserve">O'Cathain, A. (2010) 'Assessing the quality of mixed methods research: Toward a comprehensive framework', in Teddlie, A.T.C. (ed.) </w:t>
      </w:r>
      <w:r w:rsidRPr="00223944">
        <w:rPr>
          <w:i/>
          <w:noProof/>
        </w:rPr>
        <w:t xml:space="preserve">SAGE handbook of mixed methods in social and behavioural research. </w:t>
      </w:r>
      <w:r w:rsidRPr="00223944">
        <w:rPr>
          <w:noProof/>
        </w:rPr>
        <w:t>2nd ed. Thousand Oaks, CA: Sage, pp. 531-555.</w:t>
      </w:r>
    </w:p>
    <w:p w14:paraId="4ED36E6E" w14:textId="77777777" w:rsidR="00223944" w:rsidRPr="00223944" w:rsidRDefault="00223944" w:rsidP="00223944">
      <w:pPr>
        <w:pStyle w:val="EndNoteBibliography"/>
        <w:spacing w:after="0"/>
        <w:ind w:left="720" w:hanging="720"/>
        <w:rPr>
          <w:noProof/>
        </w:rPr>
      </w:pPr>
      <w:r w:rsidRPr="00223944">
        <w:rPr>
          <w:noProof/>
        </w:rPr>
        <w:t xml:space="preserve">Ochsmann, E. B., Zier, U., Drexler, H. and Schmid, K. (2011) 'Well prepared for work? Junior doctors' self-assessment after medical education', </w:t>
      </w:r>
      <w:r w:rsidRPr="00223944">
        <w:rPr>
          <w:i/>
          <w:noProof/>
        </w:rPr>
        <w:t>BMC Med Educ,</w:t>
      </w:r>
      <w:r w:rsidRPr="00223944">
        <w:rPr>
          <w:noProof/>
        </w:rPr>
        <w:t xml:space="preserve"> 11, pp. 99.</w:t>
      </w:r>
    </w:p>
    <w:p w14:paraId="6FB0676F" w14:textId="77777777" w:rsidR="00223944" w:rsidRPr="00223944" w:rsidRDefault="00223944" w:rsidP="00223944">
      <w:pPr>
        <w:pStyle w:val="EndNoteBibliography"/>
        <w:spacing w:after="0"/>
        <w:ind w:left="720" w:hanging="720"/>
        <w:rPr>
          <w:noProof/>
        </w:rPr>
      </w:pPr>
      <w:r w:rsidRPr="00223944">
        <w:rPr>
          <w:noProof/>
        </w:rPr>
        <w:t xml:space="preserve">Okuda, Y., Bryson, E. O., DeMaria, S., Jr., Jacobson, L., Quinones, J., Shen, B. and Levine, A. I. (2009) 'The Utility of Simulation in Medical Education: What is the Evidence?', </w:t>
      </w:r>
      <w:r w:rsidRPr="00223944">
        <w:rPr>
          <w:i/>
          <w:noProof/>
        </w:rPr>
        <w:t>Mount Sinai Journal of Medicine,</w:t>
      </w:r>
      <w:r w:rsidRPr="00223944">
        <w:rPr>
          <w:noProof/>
        </w:rPr>
        <w:t xml:space="preserve"> 76(4), pp. 330-343.</w:t>
      </w:r>
    </w:p>
    <w:p w14:paraId="21F51586" w14:textId="77777777" w:rsidR="00223944" w:rsidRPr="00223944" w:rsidRDefault="00223944" w:rsidP="00223944">
      <w:pPr>
        <w:pStyle w:val="EndNoteBibliography"/>
        <w:spacing w:after="0"/>
        <w:ind w:left="720" w:hanging="720"/>
        <w:rPr>
          <w:noProof/>
        </w:rPr>
      </w:pPr>
      <w:r w:rsidRPr="00223944">
        <w:rPr>
          <w:noProof/>
        </w:rPr>
        <w:t xml:space="preserve">Onwuegbuzie, A. J. and Johnson, R. B. (2006) 'The validity issue in mixed research', </w:t>
      </w:r>
      <w:r w:rsidRPr="00223944">
        <w:rPr>
          <w:i/>
          <w:noProof/>
        </w:rPr>
        <w:t>Research in the schools,</w:t>
      </w:r>
      <w:r w:rsidRPr="00223944">
        <w:rPr>
          <w:noProof/>
        </w:rPr>
        <w:t xml:space="preserve"> 13(1), pp. 48 - 63.</w:t>
      </w:r>
    </w:p>
    <w:p w14:paraId="25D7A2E3" w14:textId="77777777" w:rsidR="00223944" w:rsidRPr="00223944" w:rsidRDefault="00223944" w:rsidP="00223944">
      <w:pPr>
        <w:pStyle w:val="EndNoteBibliography"/>
        <w:spacing w:after="0"/>
        <w:ind w:left="720" w:hanging="720"/>
        <w:rPr>
          <w:noProof/>
        </w:rPr>
      </w:pPr>
      <w:r w:rsidRPr="00223944">
        <w:rPr>
          <w:noProof/>
        </w:rPr>
        <w:t xml:space="preserve">Paice, E., Rutter, H., Wetherell, M., Winder, B. and McManus, I. C. (2002) 'Stressful incidents, stress and coping strategies in the pre-registration house officer year', </w:t>
      </w:r>
      <w:r w:rsidRPr="00223944">
        <w:rPr>
          <w:i/>
          <w:noProof/>
        </w:rPr>
        <w:t>Med Educ,</w:t>
      </w:r>
      <w:r w:rsidRPr="00223944">
        <w:rPr>
          <w:noProof/>
        </w:rPr>
        <w:t xml:space="preserve"> 36(1), pp. 56-65.</w:t>
      </w:r>
    </w:p>
    <w:p w14:paraId="339A20F0" w14:textId="77777777" w:rsidR="00223944" w:rsidRPr="00223944" w:rsidRDefault="00223944" w:rsidP="00223944">
      <w:pPr>
        <w:pStyle w:val="EndNoteBibliography"/>
        <w:spacing w:after="0"/>
        <w:ind w:left="720" w:hanging="720"/>
        <w:rPr>
          <w:noProof/>
        </w:rPr>
      </w:pPr>
      <w:r w:rsidRPr="00223944">
        <w:rPr>
          <w:noProof/>
        </w:rPr>
        <w:t xml:space="preserve">Passi, V., Johnson, S., Peile, E., Wright, S., Hafferty, F. and Johnson, N. (2013) 'Doctor role modelling in medical education: BEME Guide No. 27', </w:t>
      </w:r>
      <w:r w:rsidRPr="00223944">
        <w:rPr>
          <w:i/>
          <w:noProof/>
        </w:rPr>
        <w:t>Med Teach,</w:t>
      </w:r>
      <w:r w:rsidRPr="00223944">
        <w:rPr>
          <w:noProof/>
        </w:rPr>
        <w:t xml:space="preserve"> 35(9), pp. e1422-36.</w:t>
      </w:r>
    </w:p>
    <w:p w14:paraId="2244EE50" w14:textId="77777777" w:rsidR="00223944" w:rsidRPr="00223944" w:rsidRDefault="00223944" w:rsidP="00223944">
      <w:pPr>
        <w:pStyle w:val="EndNoteBibliography"/>
        <w:spacing w:after="0"/>
        <w:ind w:left="720" w:hanging="720"/>
        <w:rPr>
          <w:noProof/>
        </w:rPr>
      </w:pPr>
      <w:r w:rsidRPr="00223944">
        <w:rPr>
          <w:noProof/>
        </w:rPr>
        <w:t xml:space="preserve">Patton, M. Q. (1990) </w:t>
      </w:r>
      <w:r w:rsidRPr="00223944">
        <w:rPr>
          <w:i/>
          <w:noProof/>
        </w:rPr>
        <w:t>Qualitative evaluation and research methods.</w:t>
      </w:r>
      <w:r w:rsidRPr="00223944">
        <w:rPr>
          <w:noProof/>
        </w:rPr>
        <w:t xml:space="preserve"> 2nd edn. Newbury Park, CA: Sage.</w:t>
      </w:r>
    </w:p>
    <w:p w14:paraId="7CD4795E" w14:textId="77777777" w:rsidR="00223944" w:rsidRPr="00223944" w:rsidRDefault="00223944" w:rsidP="00223944">
      <w:pPr>
        <w:pStyle w:val="EndNoteBibliography"/>
        <w:spacing w:after="0"/>
        <w:ind w:left="720" w:hanging="720"/>
        <w:rPr>
          <w:noProof/>
        </w:rPr>
      </w:pPr>
      <w:r w:rsidRPr="00223944">
        <w:rPr>
          <w:noProof/>
        </w:rPr>
        <w:t xml:space="preserve">Peters, S. (2012) </w:t>
      </w:r>
      <w:r w:rsidRPr="00223944">
        <w:rPr>
          <w:i/>
          <w:noProof/>
        </w:rPr>
        <w:t>The Chimp Paradox: The Mind Management Program to Help You Achieve Success, Confidence, and Happiness.</w:t>
      </w:r>
      <w:r w:rsidRPr="00223944">
        <w:rPr>
          <w:noProof/>
        </w:rPr>
        <w:t xml:space="preserve"> Vermilion.</w:t>
      </w:r>
    </w:p>
    <w:p w14:paraId="28A4179C" w14:textId="77777777" w:rsidR="00223944" w:rsidRPr="00223944" w:rsidRDefault="00223944" w:rsidP="00223944">
      <w:pPr>
        <w:pStyle w:val="EndNoteBibliography"/>
        <w:spacing w:after="0"/>
        <w:ind w:left="720" w:hanging="720"/>
        <w:rPr>
          <w:noProof/>
        </w:rPr>
      </w:pPr>
      <w:r w:rsidRPr="00223944">
        <w:rPr>
          <w:noProof/>
        </w:rPr>
        <w:lastRenderedPageBreak/>
        <w:t xml:space="preserve">Rall, M., Manser, T. and Howard, S. (2000) 'Key elements of debriefing for simulator training', </w:t>
      </w:r>
      <w:r w:rsidRPr="00223944">
        <w:rPr>
          <w:i/>
          <w:noProof/>
        </w:rPr>
        <w:t>European Journal of Anaesthesiology,</w:t>
      </w:r>
      <w:r w:rsidRPr="00223944">
        <w:rPr>
          <w:noProof/>
        </w:rPr>
        <w:t xml:space="preserve"> 17, pp. 516-517.</w:t>
      </w:r>
    </w:p>
    <w:p w14:paraId="0DD93E39" w14:textId="77777777" w:rsidR="00223944" w:rsidRPr="00223944" w:rsidRDefault="00223944" w:rsidP="00223944">
      <w:pPr>
        <w:pStyle w:val="EndNoteBibliography"/>
        <w:spacing w:after="0"/>
        <w:ind w:left="720" w:hanging="720"/>
        <w:rPr>
          <w:noProof/>
        </w:rPr>
      </w:pPr>
      <w:r w:rsidRPr="00223944">
        <w:rPr>
          <w:noProof/>
        </w:rPr>
        <w:t xml:space="preserve">Reedy, G. (2015) 'Using Cognitive Load theory to Inform Simulation Design and Practice', </w:t>
      </w:r>
      <w:r w:rsidRPr="00223944">
        <w:rPr>
          <w:i/>
          <w:noProof/>
        </w:rPr>
        <w:t>Clinical Simulation in Nursing,</w:t>
      </w:r>
      <w:r w:rsidRPr="00223944">
        <w:rPr>
          <w:noProof/>
        </w:rPr>
        <w:t xml:space="preserve"> 11(8), pp. 355-360.</w:t>
      </w:r>
    </w:p>
    <w:p w14:paraId="7ABF4C3B" w14:textId="77777777" w:rsidR="00223944" w:rsidRPr="00223944" w:rsidRDefault="00223944" w:rsidP="00223944">
      <w:pPr>
        <w:pStyle w:val="EndNoteBibliography"/>
        <w:spacing w:after="0"/>
        <w:ind w:left="720" w:hanging="720"/>
        <w:rPr>
          <w:noProof/>
        </w:rPr>
      </w:pPr>
      <w:r w:rsidRPr="00223944">
        <w:rPr>
          <w:noProof/>
        </w:rPr>
        <w:t xml:space="preserve">Regehr, G., MacRae, H., Reznick, R. K. and Szalay, D. (1998) 'Comparing the psychometric properties of checklists and global rating scales for assessing performance on an OSCE-format examination', </w:t>
      </w:r>
      <w:r w:rsidRPr="00223944">
        <w:rPr>
          <w:i/>
          <w:noProof/>
        </w:rPr>
        <w:t>Academic Medicine,</w:t>
      </w:r>
      <w:r w:rsidRPr="00223944">
        <w:rPr>
          <w:noProof/>
        </w:rPr>
        <w:t xml:space="preserve"> 73(9), pp. 993-997.</w:t>
      </w:r>
    </w:p>
    <w:p w14:paraId="6C5DBAF1" w14:textId="77777777" w:rsidR="00223944" w:rsidRPr="00223944" w:rsidRDefault="00223944" w:rsidP="00223944">
      <w:pPr>
        <w:pStyle w:val="EndNoteBibliography"/>
        <w:spacing w:after="0"/>
        <w:ind w:left="720" w:hanging="720"/>
        <w:rPr>
          <w:noProof/>
        </w:rPr>
      </w:pPr>
      <w:r w:rsidRPr="00223944">
        <w:rPr>
          <w:noProof/>
        </w:rPr>
        <w:t xml:space="preserve">Ritchie, J., Lewis, J., McNaughton Nicholls, C. and Ormston, R. (2014) </w:t>
      </w:r>
      <w:r w:rsidRPr="00223944">
        <w:rPr>
          <w:i/>
          <w:noProof/>
        </w:rPr>
        <w:t>Qualitative Research Practice: A Guide for Social Science Students &amp; Researchers.</w:t>
      </w:r>
      <w:r w:rsidRPr="00223944">
        <w:rPr>
          <w:noProof/>
        </w:rPr>
        <w:t xml:space="preserve"> 2nd edn. Los Angeles, London, New Delhi, Singapore, Washington DC: Sage Publications.</w:t>
      </w:r>
    </w:p>
    <w:p w14:paraId="4AFFE855" w14:textId="77777777" w:rsidR="00223944" w:rsidRPr="00223944" w:rsidRDefault="00223944" w:rsidP="00223944">
      <w:pPr>
        <w:pStyle w:val="EndNoteBibliography"/>
        <w:spacing w:after="0"/>
        <w:ind w:left="720" w:hanging="720"/>
        <w:rPr>
          <w:noProof/>
        </w:rPr>
      </w:pPr>
      <w:r w:rsidRPr="00223944">
        <w:rPr>
          <w:noProof/>
        </w:rPr>
        <w:t xml:space="preserve">Rossman, R. B. and Rallis, S. F. (1998) </w:t>
      </w:r>
      <w:r w:rsidRPr="00223944">
        <w:rPr>
          <w:i/>
          <w:noProof/>
        </w:rPr>
        <w:t>Learning in the field: An introduction to Qualitative Research.</w:t>
      </w:r>
      <w:r w:rsidRPr="00223944">
        <w:rPr>
          <w:noProof/>
        </w:rPr>
        <w:t xml:space="preserve"> Thousand Oaks, CA: Sage.</w:t>
      </w:r>
    </w:p>
    <w:p w14:paraId="02E2BEA3" w14:textId="77777777" w:rsidR="00223944" w:rsidRPr="00223944" w:rsidRDefault="00223944" w:rsidP="00223944">
      <w:pPr>
        <w:pStyle w:val="EndNoteBibliography"/>
        <w:spacing w:after="0"/>
        <w:ind w:left="720" w:hanging="720"/>
        <w:rPr>
          <w:noProof/>
        </w:rPr>
      </w:pPr>
      <w:r w:rsidRPr="00223944">
        <w:rPr>
          <w:noProof/>
        </w:rPr>
        <w:t xml:space="preserve">Rudolph, J. W., Simon, R., Dufresne, R. L. and Raemer, D. B. (2006) 'There's no such thing as "nonjudgmental" debriefing: a theory and method for debriefing with good judgment', </w:t>
      </w:r>
      <w:r w:rsidRPr="00223944">
        <w:rPr>
          <w:i/>
          <w:noProof/>
        </w:rPr>
        <w:t>Simulation in healthcare : journal of the Society for Simulation in Healthcare,</w:t>
      </w:r>
      <w:r w:rsidRPr="00223944">
        <w:rPr>
          <w:noProof/>
        </w:rPr>
        <w:t xml:space="preserve"> 1(1), pp. 49-55.</w:t>
      </w:r>
    </w:p>
    <w:p w14:paraId="19906D36" w14:textId="77777777" w:rsidR="00223944" w:rsidRPr="00223944" w:rsidRDefault="00223944" w:rsidP="00223944">
      <w:pPr>
        <w:pStyle w:val="EndNoteBibliography"/>
        <w:spacing w:after="0"/>
        <w:ind w:left="720" w:hanging="720"/>
        <w:rPr>
          <w:noProof/>
        </w:rPr>
      </w:pPr>
      <w:r w:rsidRPr="00223944">
        <w:rPr>
          <w:noProof/>
        </w:rPr>
        <w:t xml:space="preserve">Rudolph, J. W., Simon, R., Raemer, D. B. and Eppich, W. J. (2008) 'Debriefing as Formative Assessment: Closing Performance Gaps in Medical Education', </w:t>
      </w:r>
      <w:r w:rsidRPr="00223944">
        <w:rPr>
          <w:i/>
          <w:noProof/>
        </w:rPr>
        <w:t>Academic Emergency Medicine,</w:t>
      </w:r>
      <w:r w:rsidRPr="00223944">
        <w:rPr>
          <w:noProof/>
        </w:rPr>
        <w:t xml:space="preserve"> 15(11), pp. 1010-1016.</w:t>
      </w:r>
    </w:p>
    <w:p w14:paraId="0D84DF8F" w14:textId="77777777" w:rsidR="00223944" w:rsidRPr="00223944" w:rsidRDefault="00223944" w:rsidP="00223944">
      <w:pPr>
        <w:pStyle w:val="EndNoteBibliography"/>
        <w:spacing w:after="0"/>
        <w:ind w:left="720" w:hanging="720"/>
        <w:rPr>
          <w:noProof/>
        </w:rPr>
      </w:pPr>
      <w:r w:rsidRPr="00223944">
        <w:rPr>
          <w:noProof/>
        </w:rPr>
        <w:t xml:space="preserve">Rudolph, J. W., Simon, R., Rivard, P., Dufresne, R. L. and Raemer, D. B. (2007) 'Debriefing with good judgment: combining rigorous feedback with genuine inquiry', </w:t>
      </w:r>
      <w:r w:rsidRPr="00223944">
        <w:rPr>
          <w:i/>
          <w:noProof/>
        </w:rPr>
        <w:t>Anesthesiology clinics,</w:t>
      </w:r>
      <w:r w:rsidRPr="00223944">
        <w:rPr>
          <w:noProof/>
        </w:rPr>
        <w:t xml:space="preserve"> 25(2), pp. 361-76.</w:t>
      </w:r>
    </w:p>
    <w:p w14:paraId="5E1E1BF8" w14:textId="77777777" w:rsidR="00223944" w:rsidRPr="00223944" w:rsidRDefault="00223944" w:rsidP="00223944">
      <w:pPr>
        <w:pStyle w:val="EndNoteBibliography"/>
        <w:spacing w:after="0"/>
        <w:ind w:left="720" w:hanging="720"/>
        <w:rPr>
          <w:noProof/>
        </w:rPr>
      </w:pPr>
      <w:r w:rsidRPr="00223944">
        <w:rPr>
          <w:noProof/>
        </w:rPr>
        <w:t xml:space="preserve">Salovey, P., Mayer, J. D. and Caruso, D. (2002) 'The positive psychology of emotional intelligence', in Snyder, C.R. &amp; Lopez, S.J. (eds.) </w:t>
      </w:r>
      <w:r w:rsidRPr="00223944">
        <w:rPr>
          <w:i/>
          <w:noProof/>
        </w:rPr>
        <w:t>Handbook of positive psychology</w:t>
      </w:r>
      <w:r w:rsidRPr="00223944">
        <w:rPr>
          <w:noProof/>
        </w:rPr>
        <w:t>. New York: Oxford University Press, pp. 159-171.</w:t>
      </w:r>
    </w:p>
    <w:p w14:paraId="1290B712" w14:textId="77777777" w:rsidR="00223944" w:rsidRPr="00223944" w:rsidRDefault="00223944" w:rsidP="00223944">
      <w:pPr>
        <w:pStyle w:val="EndNoteBibliography"/>
        <w:spacing w:after="0"/>
        <w:ind w:left="720" w:hanging="720"/>
        <w:rPr>
          <w:noProof/>
        </w:rPr>
      </w:pPr>
      <w:r w:rsidRPr="00223944">
        <w:rPr>
          <w:noProof/>
        </w:rPr>
        <w:t>Sandra, G. and Laura, B. (2011) 'The shifting landscape: how undergraduate students have changed. In: Cavenagh P, Leinster SJ, Miles S, editors. The changing face of medical education.'. Abingdon: Radcliffe, pp. 51-63.</w:t>
      </w:r>
    </w:p>
    <w:p w14:paraId="3F8AFFA0" w14:textId="77777777" w:rsidR="00223944" w:rsidRPr="00223944" w:rsidRDefault="00223944" w:rsidP="00223944">
      <w:pPr>
        <w:pStyle w:val="EndNoteBibliography"/>
        <w:spacing w:after="0"/>
        <w:ind w:left="720" w:hanging="720"/>
        <w:rPr>
          <w:noProof/>
        </w:rPr>
      </w:pPr>
      <w:r w:rsidRPr="00223944">
        <w:rPr>
          <w:noProof/>
        </w:rPr>
        <w:t xml:space="preserve">Scager, K., Boonstra, J., Peeters, T., Vulperhorst, J. and Wiegant, F. (2016) 'Collaborative Learning in Higher Education: Evoking Positive Interdependence', </w:t>
      </w:r>
      <w:r w:rsidRPr="00223944">
        <w:rPr>
          <w:i/>
          <w:noProof/>
        </w:rPr>
        <w:t>CBE Life Sci Educ,</w:t>
      </w:r>
      <w:r w:rsidRPr="00223944">
        <w:rPr>
          <w:noProof/>
        </w:rPr>
        <w:t xml:space="preserve"> 15(4).</w:t>
      </w:r>
    </w:p>
    <w:p w14:paraId="3249B367" w14:textId="77777777" w:rsidR="00223944" w:rsidRPr="00223944" w:rsidRDefault="00223944" w:rsidP="00223944">
      <w:pPr>
        <w:pStyle w:val="EndNoteBibliography"/>
        <w:spacing w:after="0"/>
        <w:ind w:left="720" w:hanging="720"/>
        <w:rPr>
          <w:noProof/>
        </w:rPr>
      </w:pPr>
      <w:r w:rsidRPr="00223944">
        <w:rPr>
          <w:noProof/>
        </w:rPr>
        <w:t xml:space="preserve">Schon, D. (1983) </w:t>
      </w:r>
      <w:r w:rsidRPr="00223944">
        <w:rPr>
          <w:i/>
          <w:noProof/>
        </w:rPr>
        <w:t>The Reflective Practitioner.</w:t>
      </w:r>
      <w:r w:rsidRPr="00223944">
        <w:rPr>
          <w:noProof/>
        </w:rPr>
        <w:t xml:space="preserve"> New York: Basic Books.</w:t>
      </w:r>
    </w:p>
    <w:p w14:paraId="75FFCF59" w14:textId="77777777" w:rsidR="00223944" w:rsidRPr="00223944" w:rsidRDefault="00223944" w:rsidP="00223944">
      <w:pPr>
        <w:pStyle w:val="EndNoteBibliography"/>
        <w:spacing w:after="0"/>
        <w:ind w:left="720" w:hanging="720"/>
        <w:rPr>
          <w:noProof/>
        </w:rPr>
      </w:pPr>
      <w:r w:rsidRPr="00223944">
        <w:rPr>
          <w:noProof/>
        </w:rPr>
        <w:t xml:space="preserve">Schubert, A., Tetzlaff, J. E., Tan, M., Ryckman, J. V. and Mascha, E. (1999) 'Consistency, inter-rater reliability, and validity of 441 consecutive mock oral examinations in anesthesiology: implications for use as a tool for assessment of residents', </w:t>
      </w:r>
      <w:r w:rsidRPr="00223944">
        <w:rPr>
          <w:i/>
          <w:noProof/>
        </w:rPr>
        <w:t>Anesthesiology,</w:t>
      </w:r>
      <w:r w:rsidRPr="00223944">
        <w:rPr>
          <w:noProof/>
        </w:rPr>
        <w:t xml:space="preserve"> 91(1), pp. 288-98.</w:t>
      </w:r>
    </w:p>
    <w:p w14:paraId="6076E87B" w14:textId="77777777" w:rsidR="00223944" w:rsidRPr="00223944" w:rsidRDefault="00223944" w:rsidP="00223944">
      <w:pPr>
        <w:pStyle w:val="EndNoteBibliography"/>
        <w:spacing w:after="0"/>
        <w:ind w:left="720" w:hanging="720"/>
        <w:rPr>
          <w:noProof/>
        </w:rPr>
      </w:pPr>
      <w:r w:rsidRPr="00223944">
        <w:rPr>
          <w:noProof/>
        </w:rPr>
        <w:t>Schwandt, T. 2007. The Sage dictionary of qualitative inquiry. 3rd ed. Thousand Oaks, CA: Sage.</w:t>
      </w:r>
    </w:p>
    <w:p w14:paraId="0E3B8A17" w14:textId="77777777" w:rsidR="00223944" w:rsidRPr="00223944" w:rsidRDefault="00223944" w:rsidP="00223944">
      <w:pPr>
        <w:pStyle w:val="EndNoteBibliography"/>
        <w:spacing w:after="0"/>
        <w:ind w:left="720" w:hanging="720"/>
        <w:rPr>
          <w:noProof/>
        </w:rPr>
      </w:pPr>
      <w:r w:rsidRPr="00223944">
        <w:rPr>
          <w:noProof/>
        </w:rPr>
        <w:t xml:space="preserve">Schwartz, L. R., Fernandez, R., Kouyoumjian, S. R., Jones, K. A. and Compton, S. (2007) 'A Randomized comparison trial of case-based learning versus human patient simulation in medical student education', </w:t>
      </w:r>
      <w:r w:rsidRPr="00223944">
        <w:rPr>
          <w:i/>
          <w:noProof/>
        </w:rPr>
        <w:t>Academic Emergency Medicine,</w:t>
      </w:r>
      <w:r w:rsidRPr="00223944">
        <w:rPr>
          <w:noProof/>
        </w:rPr>
        <w:t xml:space="preserve"> 14(2), pp. 130-137.</w:t>
      </w:r>
    </w:p>
    <w:p w14:paraId="6D128915" w14:textId="77777777" w:rsidR="00223944" w:rsidRPr="00223944" w:rsidRDefault="00223944" w:rsidP="00223944">
      <w:pPr>
        <w:pStyle w:val="EndNoteBibliography"/>
        <w:spacing w:after="0"/>
        <w:ind w:left="720" w:hanging="720"/>
        <w:rPr>
          <w:noProof/>
        </w:rPr>
      </w:pPr>
      <w:r w:rsidRPr="00223944">
        <w:rPr>
          <w:noProof/>
        </w:rPr>
        <w:t xml:space="preserve">Schwartz, S. and Griffin, T. (1993) 'Comparing different types of performance feedback and computer-based instruction in teaching medical students how to diagnose acute abdominal pain', </w:t>
      </w:r>
      <w:r w:rsidRPr="00223944">
        <w:rPr>
          <w:i/>
          <w:noProof/>
        </w:rPr>
        <w:t>Acad Med,</w:t>
      </w:r>
      <w:r w:rsidRPr="00223944">
        <w:rPr>
          <w:noProof/>
        </w:rPr>
        <w:t xml:space="preserve"> 68(11), pp. 862-4.</w:t>
      </w:r>
    </w:p>
    <w:p w14:paraId="524ECB96" w14:textId="77777777" w:rsidR="00223944" w:rsidRPr="00223944" w:rsidRDefault="00223944" w:rsidP="00223944">
      <w:pPr>
        <w:pStyle w:val="EndNoteBibliography"/>
        <w:spacing w:after="0"/>
        <w:ind w:left="720" w:hanging="720"/>
        <w:rPr>
          <w:noProof/>
        </w:rPr>
      </w:pPr>
      <w:r w:rsidRPr="00223944">
        <w:rPr>
          <w:noProof/>
        </w:rPr>
        <w:t xml:space="preserve">Schön, D. (1983) </w:t>
      </w:r>
      <w:r w:rsidRPr="00223944">
        <w:rPr>
          <w:i/>
          <w:noProof/>
        </w:rPr>
        <w:t>The Reflective Practitioner.</w:t>
      </w:r>
      <w:r w:rsidRPr="00223944">
        <w:rPr>
          <w:noProof/>
        </w:rPr>
        <w:t xml:space="preserve"> New York: Basic Books.</w:t>
      </w:r>
    </w:p>
    <w:p w14:paraId="7631D4E7" w14:textId="77777777" w:rsidR="00223944" w:rsidRPr="00223944" w:rsidRDefault="00223944" w:rsidP="00223944">
      <w:pPr>
        <w:pStyle w:val="EndNoteBibliography"/>
        <w:spacing w:after="0"/>
        <w:ind w:left="720" w:hanging="720"/>
        <w:rPr>
          <w:noProof/>
        </w:rPr>
      </w:pPr>
      <w:r w:rsidRPr="00223944">
        <w:rPr>
          <w:noProof/>
        </w:rPr>
        <w:lastRenderedPageBreak/>
        <w:t xml:space="preserve">Seale, C. (2010) 'Using computers to analyse qualitative data', in Silverman, D. (ed.) </w:t>
      </w:r>
      <w:r w:rsidRPr="00223944">
        <w:rPr>
          <w:i/>
          <w:noProof/>
        </w:rPr>
        <w:t xml:space="preserve">Doing Qualitative Research: a Practical Handbook. </w:t>
      </w:r>
      <w:r w:rsidRPr="00223944">
        <w:rPr>
          <w:noProof/>
        </w:rPr>
        <w:t>3rd ed. London: Sage, pp. 251 - 267.</w:t>
      </w:r>
    </w:p>
    <w:p w14:paraId="21F648E2" w14:textId="77777777" w:rsidR="00223944" w:rsidRPr="00223944" w:rsidRDefault="00223944" w:rsidP="00223944">
      <w:pPr>
        <w:pStyle w:val="EndNoteBibliography"/>
        <w:spacing w:after="0"/>
        <w:ind w:left="720" w:hanging="720"/>
        <w:rPr>
          <w:noProof/>
        </w:rPr>
      </w:pPr>
      <w:r w:rsidRPr="00223944">
        <w:rPr>
          <w:noProof/>
        </w:rPr>
        <w:t xml:space="preserve">Seymour, N. E., Gallagher, A. G., Roman, S. A., O'Brien, M. K., Bansal, V. K., Andersen, D. K. and Satava, R. M. (2002) 'Virtual reality training improves operating room performance - Results of a randomized, double-blinded study', </w:t>
      </w:r>
      <w:r w:rsidRPr="00223944">
        <w:rPr>
          <w:i/>
          <w:noProof/>
        </w:rPr>
        <w:t>Annals of Surgery,</w:t>
      </w:r>
      <w:r w:rsidRPr="00223944">
        <w:rPr>
          <w:noProof/>
        </w:rPr>
        <w:t xml:space="preserve"> 236(4), pp. 458-464.</w:t>
      </w:r>
    </w:p>
    <w:p w14:paraId="1C0E5DF0" w14:textId="77777777" w:rsidR="00223944" w:rsidRPr="00223944" w:rsidRDefault="00223944" w:rsidP="00223944">
      <w:pPr>
        <w:pStyle w:val="EndNoteBibliography"/>
        <w:spacing w:after="0"/>
        <w:ind w:left="720" w:hanging="720"/>
        <w:rPr>
          <w:noProof/>
        </w:rPr>
      </w:pPr>
      <w:r w:rsidRPr="00223944">
        <w:rPr>
          <w:noProof/>
        </w:rPr>
        <w:t xml:space="preserve">Silverman, D. (2000) </w:t>
      </w:r>
      <w:r w:rsidRPr="00223944">
        <w:rPr>
          <w:i/>
          <w:noProof/>
        </w:rPr>
        <w:t>Doing Qualitative Research; A Practical Handbook.</w:t>
      </w:r>
      <w:r w:rsidRPr="00223944">
        <w:rPr>
          <w:noProof/>
        </w:rPr>
        <w:t xml:space="preserve"> London, Thousand Oaks, New Delhi: Sage publications Ltd.</w:t>
      </w:r>
    </w:p>
    <w:p w14:paraId="3BB50D29" w14:textId="77777777" w:rsidR="00223944" w:rsidRPr="00223944" w:rsidRDefault="00223944" w:rsidP="00223944">
      <w:pPr>
        <w:pStyle w:val="EndNoteBibliography"/>
        <w:spacing w:after="0"/>
        <w:ind w:left="720" w:hanging="720"/>
        <w:rPr>
          <w:noProof/>
        </w:rPr>
      </w:pPr>
      <w:r w:rsidRPr="00223944">
        <w:rPr>
          <w:noProof/>
        </w:rPr>
        <w:t xml:space="preserve">Silverman, D. (2007) </w:t>
      </w:r>
      <w:r w:rsidRPr="00223944">
        <w:rPr>
          <w:i/>
          <w:noProof/>
        </w:rPr>
        <w:t>A very short, fairly interesting and reasonably cheap book about qualitative research.</w:t>
      </w:r>
      <w:r w:rsidRPr="00223944">
        <w:rPr>
          <w:noProof/>
        </w:rPr>
        <w:t xml:space="preserve"> London: Sage.</w:t>
      </w:r>
    </w:p>
    <w:p w14:paraId="2633C27F" w14:textId="77777777" w:rsidR="00223944" w:rsidRPr="00223944" w:rsidRDefault="00223944" w:rsidP="00223944">
      <w:pPr>
        <w:pStyle w:val="EndNoteBibliography"/>
        <w:spacing w:after="0"/>
        <w:ind w:left="720" w:hanging="720"/>
        <w:rPr>
          <w:noProof/>
        </w:rPr>
      </w:pPr>
      <w:r w:rsidRPr="00223944">
        <w:rPr>
          <w:noProof/>
        </w:rPr>
        <w:t xml:space="preserve">Smith, S. D., Dunham, L., Dekhtyar, M., Dinh, A., Lanken, P. N., Moynahan, K. F., Stuber, M. L. and Skochelak, S. E. (2016) 'Medical Student Perceptions of the Learning Environment: Learning Communities Are Associated With a More Positive Learning Environment in a Multi-Institutional Medical School Study', </w:t>
      </w:r>
      <w:r w:rsidRPr="00223944">
        <w:rPr>
          <w:i/>
          <w:noProof/>
        </w:rPr>
        <w:t>Acad Med,</w:t>
      </w:r>
      <w:r w:rsidRPr="00223944">
        <w:rPr>
          <w:noProof/>
        </w:rPr>
        <w:t xml:space="preserve"> 91(9), pp. 1263-9.</w:t>
      </w:r>
    </w:p>
    <w:p w14:paraId="3BCD5DA7" w14:textId="77777777" w:rsidR="00223944" w:rsidRPr="00223944" w:rsidRDefault="00223944" w:rsidP="00223944">
      <w:pPr>
        <w:pStyle w:val="EndNoteBibliography"/>
        <w:spacing w:after="0"/>
        <w:ind w:left="720" w:hanging="720"/>
        <w:rPr>
          <w:noProof/>
        </w:rPr>
      </w:pPr>
      <w:r w:rsidRPr="00223944">
        <w:rPr>
          <w:noProof/>
        </w:rPr>
        <w:t xml:space="preserve">Smith, S. E., Tallentire, V. R., Cameron, H. S. and Wood, S. M. (2013) 'The effects of contributing to patient care on medical students' workplace learning', </w:t>
      </w:r>
      <w:r w:rsidRPr="00223944">
        <w:rPr>
          <w:i/>
          <w:noProof/>
        </w:rPr>
        <w:t>Med Educ,</w:t>
      </w:r>
      <w:r w:rsidRPr="00223944">
        <w:rPr>
          <w:noProof/>
        </w:rPr>
        <w:t xml:space="preserve"> 47(12), pp. 1184-96.</w:t>
      </w:r>
    </w:p>
    <w:p w14:paraId="78A831B5" w14:textId="77777777" w:rsidR="00223944" w:rsidRPr="00223944" w:rsidRDefault="00223944" w:rsidP="00223944">
      <w:pPr>
        <w:pStyle w:val="EndNoteBibliography"/>
        <w:spacing w:after="0"/>
        <w:ind w:left="720" w:hanging="720"/>
        <w:rPr>
          <w:noProof/>
        </w:rPr>
      </w:pPr>
      <w:r w:rsidRPr="00223944">
        <w:rPr>
          <w:noProof/>
        </w:rPr>
        <w:t xml:space="preserve">Smith-Jentsch, K. A., Zeisig, R. L., Acton, B. and McPherson, J. A. (1998) 'Team dimensional training: A strategy for guided team self correction', in JA, C.-B. &amp; Salas, E. (eds.) </w:t>
      </w:r>
      <w:r w:rsidRPr="00223944">
        <w:rPr>
          <w:i/>
          <w:noProof/>
        </w:rPr>
        <w:t>Making decisions under stress: Implications for individual and team training</w:t>
      </w:r>
      <w:r w:rsidRPr="00223944">
        <w:rPr>
          <w:noProof/>
        </w:rPr>
        <w:t>. Washington, DC: APA.</w:t>
      </w:r>
    </w:p>
    <w:p w14:paraId="660FF3F0" w14:textId="77777777" w:rsidR="00223944" w:rsidRPr="00223944" w:rsidRDefault="00223944" w:rsidP="00223944">
      <w:pPr>
        <w:pStyle w:val="EndNoteBibliography"/>
        <w:spacing w:after="0"/>
        <w:ind w:left="720" w:hanging="720"/>
        <w:rPr>
          <w:noProof/>
        </w:rPr>
      </w:pPr>
      <w:r w:rsidRPr="00223944">
        <w:rPr>
          <w:noProof/>
        </w:rPr>
        <w:t xml:space="preserve">Snedecor, G. W. and Cochran, W. G. (1980) </w:t>
      </w:r>
      <w:r w:rsidRPr="00223944">
        <w:rPr>
          <w:i/>
          <w:noProof/>
        </w:rPr>
        <w:t>Statistical methods.</w:t>
      </w:r>
      <w:r w:rsidRPr="00223944">
        <w:rPr>
          <w:noProof/>
        </w:rPr>
        <w:t xml:space="preserve"> 7th edn. Iowa State Univeristy, Iowa, p. 104.</w:t>
      </w:r>
    </w:p>
    <w:p w14:paraId="48BD03E4" w14:textId="77777777" w:rsidR="00223944" w:rsidRPr="00223944" w:rsidRDefault="00223944" w:rsidP="00223944">
      <w:pPr>
        <w:pStyle w:val="EndNoteBibliography"/>
        <w:spacing w:after="0"/>
        <w:ind w:left="720" w:hanging="720"/>
        <w:rPr>
          <w:noProof/>
        </w:rPr>
      </w:pPr>
      <w:r w:rsidRPr="00223944">
        <w:rPr>
          <w:noProof/>
        </w:rPr>
        <w:t xml:space="preserve">Steadman, R. H., Coates, W. C., Huang, Y. M., Matevosian, R., Larmon, B. R., McCullough, L. and Ariel, D. (2006) 'Simulation-based training is superior to problem-based learning for the acquisition of critical assessment and management skills', </w:t>
      </w:r>
      <w:r w:rsidRPr="00223944">
        <w:rPr>
          <w:i/>
          <w:noProof/>
        </w:rPr>
        <w:t>Critical Care Medicine,</w:t>
      </w:r>
      <w:r w:rsidRPr="00223944">
        <w:rPr>
          <w:noProof/>
        </w:rPr>
        <w:t xml:space="preserve"> 34(1), pp. 151-157.</w:t>
      </w:r>
    </w:p>
    <w:p w14:paraId="774D9C71" w14:textId="77777777" w:rsidR="00223944" w:rsidRPr="00223944" w:rsidRDefault="00223944" w:rsidP="00223944">
      <w:pPr>
        <w:pStyle w:val="EndNoteBibliography"/>
        <w:spacing w:after="0"/>
        <w:ind w:left="720" w:hanging="720"/>
        <w:rPr>
          <w:noProof/>
        </w:rPr>
      </w:pPr>
      <w:r w:rsidRPr="00223944">
        <w:rPr>
          <w:noProof/>
        </w:rPr>
        <w:t xml:space="preserve">Stewart, J., O'Halloran, C., Barton, J. R., Singleton, S. J., Harrigan, P. and Spencer, J. (2000) 'Clarifying the concepts of confidence and competence to produce appropriate self-evaluation measurement scales', </w:t>
      </w:r>
      <w:r w:rsidRPr="00223944">
        <w:rPr>
          <w:i/>
          <w:noProof/>
        </w:rPr>
        <w:t>Medical Education,</w:t>
      </w:r>
      <w:r w:rsidRPr="00223944">
        <w:rPr>
          <w:noProof/>
        </w:rPr>
        <w:t xml:space="preserve"> 34(11), pp. 903-909.</w:t>
      </w:r>
    </w:p>
    <w:p w14:paraId="4A838F7C" w14:textId="126F1A28" w:rsidR="00223944" w:rsidRPr="00223944" w:rsidRDefault="00223944" w:rsidP="00223944">
      <w:pPr>
        <w:pStyle w:val="EndNoteBibliography"/>
        <w:spacing w:after="0"/>
        <w:ind w:left="720" w:hanging="720"/>
        <w:rPr>
          <w:noProof/>
        </w:rPr>
      </w:pPr>
      <w:r w:rsidRPr="00223944">
        <w:rPr>
          <w:noProof/>
        </w:rPr>
        <w:t xml:space="preserve">SurveyMonkey (1999) </w:t>
      </w:r>
      <w:r w:rsidRPr="00223944">
        <w:rPr>
          <w:i/>
          <w:noProof/>
        </w:rPr>
        <w:t>Survey Monkey</w:t>
      </w:r>
      <w:r w:rsidRPr="00223944">
        <w:rPr>
          <w:noProof/>
        </w:rPr>
        <w:t xml:space="preserve">. Available at: </w:t>
      </w:r>
      <w:hyperlink r:id="rId189" w:history="1">
        <w:r w:rsidRPr="0024309A">
          <w:rPr>
            <w:rStyle w:val="Hyperlink"/>
            <w:rFonts w:ascii="Arial" w:hAnsi="Arial"/>
            <w:noProof/>
            <w:color w:val="auto"/>
            <w:sz w:val="20"/>
            <w:szCs w:val="20"/>
            <w:lang w:val="en-GB"/>
          </w:rPr>
          <w:t>https://www.surveymonkey.com/user/sign-in/?</w:t>
        </w:r>
      </w:hyperlink>
    </w:p>
    <w:p w14:paraId="75D71016" w14:textId="77777777" w:rsidR="00223944" w:rsidRPr="00223944" w:rsidRDefault="00223944" w:rsidP="00223944">
      <w:pPr>
        <w:pStyle w:val="EndNoteBibliography"/>
        <w:spacing w:after="0"/>
        <w:ind w:left="720" w:hanging="720"/>
        <w:rPr>
          <w:noProof/>
        </w:rPr>
      </w:pPr>
      <w:r w:rsidRPr="00223944">
        <w:rPr>
          <w:noProof/>
        </w:rPr>
        <w:t xml:space="preserve">Swanick, T. (2010) </w:t>
      </w:r>
      <w:r w:rsidRPr="00223944">
        <w:rPr>
          <w:i/>
          <w:noProof/>
        </w:rPr>
        <w:t>Understanding Medical Education. Evidence. theory and practice.</w:t>
      </w:r>
      <w:r w:rsidRPr="00223944">
        <w:rPr>
          <w:noProof/>
        </w:rPr>
        <w:t xml:space="preserve"> West Sussex: Wiley - Blackwell.</w:t>
      </w:r>
    </w:p>
    <w:p w14:paraId="173E63FC" w14:textId="77777777" w:rsidR="00223944" w:rsidRPr="00223944" w:rsidRDefault="00223944" w:rsidP="00223944">
      <w:pPr>
        <w:pStyle w:val="EndNoteBibliography"/>
        <w:spacing w:after="0"/>
        <w:ind w:left="720" w:hanging="720"/>
        <w:rPr>
          <w:noProof/>
        </w:rPr>
      </w:pPr>
      <w:r w:rsidRPr="00223944">
        <w:rPr>
          <w:noProof/>
        </w:rPr>
        <w:t xml:space="preserve">Tai, J. and Ajjawi, R. (2016) 'Undertaking and reporting qualitative research', </w:t>
      </w:r>
      <w:r w:rsidRPr="00223944">
        <w:rPr>
          <w:i/>
          <w:noProof/>
        </w:rPr>
        <w:t>Clin Teach,</w:t>
      </w:r>
      <w:r w:rsidRPr="00223944">
        <w:rPr>
          <w:noProof/>
        </w:rPr>
        <w:t xml:space="preserve"> 13(3), pp. 175-82.</w:t>
      </w:r>
    </w:p>
    <w:p w14:paraId="5CCF7145" w14:textId="77777777" w:rsidR="00223944" w:rsidRPr="00223944" w:rsidRDefault="00223944" w:rsidP="00223944">
      <w:pPr>
        <w:pStyle w:val="EndNoteBibliography"/>
        <w:spacing w:after="0"/>
        <w:ind w:left="720" w:hanging="720"/>
        <w:rPr>
          <w:noProof/>
        </w:rPr>
      </w:pPr>
      <w:r w:rsidRPr="00223944">
        <w:rPr>
          <w:noProof/>
        </w:rPr>
        <w:t xml:space="preserve">Talisman, N., Harazduk, N., Rush, C., Graves, K. and Haramati, A. (2015) 'The impact of mind-body medicine facilitation on affirming and enhancing professional identity in health care professions faculty', </w:t>
      </w:r>
      <w:r w:rsidRPr="00223944">
        <w:rPr>
          <w:i/>
          <w:noProof/>
        </w:rPr>
        <w:t>Acad Med,</w:t>
      </w:r>
      <w:r w:rsidRPr="00223944">
        <w:rPr>
          <w:noProof/>
        </w:rPr>
        <w:t xml:space="preserve"> 90(6), pp. 780-4.</w:t>
      </w:r>
    </w:p>
    <w:p w14:paraId="5DAF5D5A" w14:textId="77777777" w:rsidR="00223944" w:rsidRPr="00223944" w:rsidRDefault="00223944" w:rsidP="00223944">
      <w:pPr>
        <w:pStyle w:val="EndNoteBibliography"/>
        <w:spacing w:after="0"/>
        <w:ind w:left="720" w:hanging="720"/>
        <w:rPr>
          <w:noProof/>
        </w:rPr>
      </w:pPr>
      <w:r w:rsidRPr="00223944">
        <w:rPr>
          <w:noProof/>
        </w:rPr>
        <w:t xml:space="preserve">Tallentire, V. R. (2011) 'Preparing for practice: what really counts?', </w:t>
      </w:r>
      <w:r w:rsidRPr="00223944">
        <w:rPr>
          <w:i/>
          <w:noProof/>
        </w:rPr>
        <w:t>Clin Teach,</w:t>
      </w:r>
      <w:r w:rsidRPr="00223944">
        <w:rPr>
          <w:noProof/>
        </w:rPr>
        <w:t xml:space="preserve"> 8(4), pp. 280-1.</w:t>
      </w:r>
    </w:p>
    <w:p w14:paraId="46457724" w14:textId="77777777" w:rsidR="00223944" w:rsidRPr="00223944" w:rsidRDefault="00223944" w:rsidP="00223944">
      <w:pPr>
        <w:pStyle w:val="EndNoteBibliography"/>
        <w:spacing w:after="0"/>
        <w:ind w:left="720" w:hanging="720"/>
        <w:rPr>
          <w:noProof/>
        </w:rPr>
      </w:pPr>
      <w:r w:rsidRPr="00223944">
        <w:rPr>
          <w:noProof/>
        </w:rPr>
        <w:t xml:space="preserve">Tallentire, V. R., Smith, S. E. and Cameron, H. S. (2012a) 'Designing a purposeful student assistantship', </w:t>
      </w:r>
      <w:r w:rsidRPr="00223944">
        <w:rPr>
          <w:i/>
          <w:noProof/>
        </w:rPr>
        <w:t>Clin Teach,</w:t>
      </w:r>
      <w:r w:rsidRPr="00223944">
        <w:rPr>
          <w:noProof/>
        </w:rPr>
        <w:t xml:space="preserve"> 9(4), pp. 210-5.</w:t>
      </w:r>
    </w:p>
    <w:p w14:paraId="10ADAAC1" w14:textId="77777777" w:rsidR="00223944" w:rsidRPr="00223944" w:rsidRDefault="00223944" w:rsidP="00223944">
      <w:pPr>
        <w:pStyle w:val="EndNoteBibliography"/>
        <w:spacing w:after="0"/>
        <w:ind w:left="720" w:hanging="720"/>
        <w:rPr>
          <w:noProof/>
        </w:rPr>
      </w:pPr>
      <w:r w:rsidRPr="00223944">
        <w:rPr>
          <w:noProof/>
        </w:rPr>
        <w:lastRenderedPageBreak/>
        <w:t xml:space="preserve">Tallentire, V. R., Smith, S. E., Skinner, J. and Cameron, H. S. (2011a) 'Understanding the behaviour of newly qualified doctors in acute care contexts', </w:t>
      </w:r>
      <w:r w:rsidRPr="00223944">
        <w:rPr>
          <w:i/>
          <w:noProof/>
        </w:rPr>
        <w:t>Medical Education,</w:t>
      </w:r>
      <w:r w:rsidRPr="00223944">
        <w:rPr>
          <w:noProof/>
        </w:rPr>
        <w:t xml:space="preserve"> 45(10), pp. 995-1005.</w:t>
      </w:r>
    </w:p>
    <w:p w14:paraId="28DE0CC5" w14:textId="77777777" w:rsidR="00223944" w:rsidRPr="00223944" w:rsidRDefault="00223944" w:rsidP="00223944">
      <w:pPr>
        <w:pStyle w:val="EndNoteBibliography"/>
        <w:spacing w:after="0"/>
        <w:ind w:left="720" w:hanging="720"/>
        <w:rPr>
          <w:noProof/>
        </w:rPr>
      </w:pPr>
      <w:r w:rsidRPr="00223944">
        <w:rPr>
          <w:noProof/>
        </w:rPr>
        <w:t xml:space="preserve">Tallentire, V. R., Smith, S. E., Skinner, J. and Cameron, H. S. (2011b) 'Understanding the behaviour of newly qualified doctors in acute care contexts', </w:t>
      </w:r>
      <w:r w:rsidRPr="00223944">
        <w:rPr>
          <w:i/>
          <w:noProof/>
        </w:rPr>
        <w:t>Med Educ,</w:t>
      </w:r>
      <w:r w:rsidRPr="00223944">
        <w:rPr>
          <w:noProof/>
        </w:rPr>
        <w:t xml:space="preserve"> 45(10), pp. 995-1005.</w:t>
      </w:r>
    </w:p>
    <w:p w14:paraId="52F696A3" w14:textId="77777777" w:rsidR="00223944" w:rsidRPr="00223944" w:rsidRDefault="00223944" w:rsidP="00223944">
      <w:pPr>
        <w:pStyle w:val="EndNoteBibliography"/>
        <w:spacing w:after="0"/>
        <w:ind w:left="720" w:hanging="720"/>
        <w:rPr>
          <w:noProof/>
        </w:rPr>
      </w:pPr>
      <w:r w:rsidRPr="00223944">
        <w:rPr>
          <w:noProof/>
        </w:rPr>
        <w:t xml:space="preserve">Tallentire, V. R., Smith, S. E., Skinner, J. and Cameron, H. S. (2012b) 'The preparedness of UK graduates in acute care: a systematic literature review', </w:t>
      </w:r>
      <w:r w:rsidRPr="00223944">
        <w:rPr>
          <w:i/>
          <w:noProof/>
        </w:rPr>
        <w:t>Postgrad Med J,</w:t>
      </w:r>
      <w:r w:rsidRPr="00223944">
        <w:rPr>
          <w:noProof/>
        </w:rPr>
        <w:t xml:space="preserve"> 88(1041), pp. 365-71.</w:t>
      </w:r>
    </w:p>
    <w:p w14:paraId="1AD9779F" w14:textId="77777777" w:rsidR="00223944" w:rsidRPr="00223944" w:rsidRDefault="00223944" w:rsidP="00223944">
      <w:pPr>
        <w:pStyle w:val="EndNoteBibliography"/>
        <w:spacing w:after="0"/>
        <w:ind w:left="720" w:hanging="720"/>
        <w:rPr>
          <w:noProof/>
        </w:rPr>
      </w:pPr>
      <w:r w:rsidRPr="00223944">
        <w:rPr>
          <w:noProof/>
        </w:rPr>
        <w:t xml:space="preserve">Tallentire, V. R., Smith, S. E., Wylde, K. and Cameron, H. S. (2011c) 'Are medical graduates ready to face the challenges of Foundation training?', </w:t>
      </w:r>
      <w:r w:rsidRPr="00223944">
        <w:rPr>
          <w:i/>
          <w:noProof/>
        </w:rPr>
        <w:t>Postgrad Med J,</w:t>
      </w:r>
      <w:r w:rsidRPr="00223944">
        <w:rPr>
          <w:noProof/>
        </w:rPr>
        <w:t xml:space="preserve"> 87(1031), pp. 590-5.</w:t>
      </w:r>
    </w:p>
    <w:p w14:paraId="2EA5BCF0" w14:textId="77777777" w:rsidR="00223944" w:rsidRPr="00223944" w:rsidRDefault="00223944" w:rsidP="00223944">
      <w:pPr>
        <w:pStyle w:val="EndNoteBibliography"/>
        <w:spacing w:after="0"/>
        <w:ind w:left="720" w:hanging="720"/>
        <w:rPr>
          <w:noProof/>
        </w:rPr>
      </w:pPr>
      <w:r w:rsidRPr="00223944">
        <w:rPr>
          <w:noProof/>
        </w:rPr>
        <w:t xml:space="preserve">Teddlie, C. and Tashakkori, A. (2009) </w:t>
      </w:r>
      <w:r w:rsidRPr="00223944">
        <w:rPr>
          <w:i/>
          <w:noProof/>
        </w:rPr>
        <w:t>Foundations of mixed methods research: Integrating quantitative and qualitative approaches in the social and behavioural sciences.</w:t>
      </w:r>
      <w:r w:rsidRPr="00223944">
        <w:rPr>
          <w:noProof/>
        </w:rPr>
        <w:t xml:space="preserve"> Thousand Oaks, CA: Sage.</w:t>
      </w:r>
    </w:p>
    <w:p w14:paraId="1D864719" w14:textId="77777777" w:rsidR="00223944" w:rsidRPr="00223944" w:rsidRDefault="00223944" w:rsidP="00223944">
      <w:pPr>
        <w:pStyle w:val="EndNoteBibliography"/>
        <w:spacing w:after="0"/>
        <w:ind w:left="720" w:hanging="720"/>
        <w:rPr>
          <w:noProof/>
        </w:rPr>
      </w:pPr>
      <w:r w:rsidRPr="00223944">
        <w:rPr>
          <w:noProof/>
        </w:rPr>
        <w:t xml:space="preserve">ten Cate, O. (2005) 'Entrustability of professional activities and competency-based training', </w:t>
      </w:r>
      <w:r w:rsidRPr="00223944">
        <w:rPr>
          <w:i/>
          <w:noProof/>
        </w:rPr>
        <w:t>Med Educ,</w:t>
      </w:r>
      <w:r w:rsidRPr="00223944">
        <w:rPr>
          <w:noProof/>
        </w:rPr>
        <w:t xml:space="preserve"> 39(12), pp. 1176-7.</w:t>
      </w:r>
    </w:p>
    <w:p w14:paraId="2A9B6BBA" w14:textId="77777777" w:rsidR="00223944" w:rsidRPr="00223944" w:rsidRDefault="00223944" w:rsidP="00223944">
      <w:pPr>
        <w:pStyle w:val="EndNoteBibliography"/>
        <w:spacing w:after="0"/>
        <w:ind w:left="720" w:hanging="720"/>
        <w:rPr>
          <w:noProof/>
        </w:rPr>
      </w:pPr>
      <w:r w:rsidRPr="00223944">
        <w:rPr>
          <w:noProof/>
        </w:rPr>
        <w:t xml:space="preserve">Ten Cate, O. (2017) 'Entrustment Decisions: Bringing the Patient Into the Assessment Equation', </w:t>
      </w:r>
      <w:r w:rsidRPr="00223944">
        <w:rPr>
          <w:i/>
          <w:noProof/>
        </w:rPr>
        <w:t>Acad Med,</w:t>
      </w:r>
      <w:r w:rsidRPr="00223944">
        <w:rPr>
          <w:noProof/>
        </w:rPr>
        <w:t xml:space="preserve"> 92(6), pp. 736-738.</w:t>
      </w:r>
    </w:p>
    <w:p w14:paraId="6C98E896" w14:textId="77777777" w:rsidR="00223944" w:rsidRPr="00223944" w:rsidRDefault="00223944" w:rsidP="00223944">
      <w:pPr>
        <w:pStyle w:val="EndNoteBibliography"/>
        <w:spacing w:after="0"/>
        <w:ind w:left="720" w:hanging="720"/>
        <w:rPr>
          <w:noProof/>
        </w:rPr>
      </w:pPr>
      <w:r w:rsidRPr="00223944">
        <w:rPr>
          <w:noProof/>
        </w:rPr>
        <w:t xml:space="preserve">ten Cate, O. and Scheele, F. (2007) 'Competency-based postgraduate training: can we bridge the gap between theory and clinical practice?', </w:t>
      </w:r>
      <w:r w:rsidRPr="00223944">
        <w:rPr>
          <w:i/>
          <w:noProof/>
        </w:rPr>
        <w:t>Acad Med,</w:t>
      </w:r>
      <w:r w:rsidRPr="00223944">
        <w:rPr>
          <w:noProof/>
        </w:rPr>
        <w:t xml:space="preserve"> 82(6), pp. 542-7.</w:t>
      </w:r>
    </w:p>
    <w:p w14:paraId="77C837A6" w14:textId="77777777" w:rsidR="00223944" w:rsidRPr="00223944" w:rsidRDefault="00223944" w:rsidP="00223944">
      <w:pPr>
        <w:pStyle w:val="EndNoteBibliography"/>
        <w:spacing w:after="0"/>
        <w:ind w:left="720" w:hanging="720"/>
        <w:rPr>
          <w:noProof/>
        </w:rPr>
      </w:pPr>
      <w:r w:rsidRPr="00223944">
        <w:rPr>
          <w:noProof/>
        </w:rPr>
        <w:t xml:space="preserve">Turan, S., Demirel, O. and Sayek, I. (2009) 'Metacognitive awareness and self-regulated learning skills of medical students in different medical curricula', </w:t>
      </w:r>
      <w:r w:rsidRPr="00223944">
        <w:rPr>
          <w:i/>
          <w:noProof/>
        </w:rPr>
        <w:t>Med Teach,</w:t>
      </w:r>
      <w:r w:rsidRPr="00223944">
        <w:rPr>
          <w:noProof/>
        </w:rPr>
        <w:t xml:space="preserve"> 31(10), pp. e477-83.</w:t>
      </w:r>
    </w:p>
    <w:p w14:paraId="3B0B803D" w14:textId="77777777" w:rsidR="00223944" w:rsidRPr="00223944" w:rsidRDefault="00223944" w:rsidP="00223944">
      <w:pPr>
        <w:pStyle w:val="EndNoteBibliography"/>
        <w:spacing w:after="0"/>
        <w:ind w:left="720" w:hanging="720"/>
        <w:rPr>
          <w:noProof/>
        </w:rPr>
      </w:pPr>
      <w:r w:rsidRPr="00223944">
        <w:rPr>
          <w:noProof/>
        </w:rPr>
        <w:t xml:space="preserve">van der Vleuten, C. P. M. and Schuwirth, L. W. T. (2005) 'Assessing professional competence: from methods to programmes', </w:t>
      </w:r>
      <w:r w:rsidRPr="00223944">
        <w:rPr>
          <w:i/>
          <w:noProof/>
        </w:rPr>
        <w:t>Medical Education,</w:t>
      </w:r>
      <w:r w:rsidRPr="00223944">
        <w:rPr>
          <w:noProof/>
        </w:rPr>
        <w:t xml:space="preserve"> 39(3), pp. 309-317.</w:t>
      </w:r>
    </w:p>
    <w:p w14:paraId="0FD64C5F" w14:textId="77777777" w:rsidR="00223944" w:rsidRPr="00223944" w:rsidRDefault="00223944" w:rsidP="00223944">
      <w:pPr>
        <w:pStyle w:val="EndNoteBibliography"/>
        <w:spacing w:after="0"/>
        <w:ind w:left="720" w:hanging="720"/>
        <w:rPr>
          <w:noProof/>
        </w:rPr>
      </w:pPr>
      <w:r w:rsidRPr="00223944">
        <w:rPr>
          <w:noProof/>
        </w:rPr>
        <w:t>van Merrienboer, J. 1997. Training complex cognitive skills. Englewood Cliffs, New Jersey: Educational Technology Publications.</w:t>
      </w:r>
    </w:p>
    <w:p w14:paraId="4D9991A8" w14:textId="77777777" w:rsidR="00223944" w:rsidRPr="00223944" w:rsidRDefault="00223944" w:rsidP="00223944">
      <w:pPr>
        <w:pStyle w:val="EndNoteBibliography"/>
        <w:spacing w:after="0"/>
        <w:ind w:left="720" w:hanging="720"/>
        <w:rPr>
          <w:noProof/>
        </w:rPr>
      </w:pPr>
      <w:r w:rsidRPr="00223944">
        <w:rPr>
          <w:noProof/>
        </w:rPr>
        <w:t xml:space="preserve">van Merrienboer, J. J. G. and Sweller, J. (2010) 'Cognitive load theory in health professional education: design principles and strategies', </w:t>
      </w:r>
      <w:r w:rsidRPr="00223944">
        <w:rPr>
          <w:i/>
          <w:noProof/>
        </w:rPr>
        <w:t>Medical Education,</w:t>
      </w:r>
      <w:r w:rsidRPr="00223944">
        <w:rPr>
          <w:noProof/>
        </w:rPr>
        <w:t xml:space="preserve"> 44(1), pp. 85-93.</w:t>
      </w:r>
    </w:p>
    <w:p w14:paraId="488F6FB6" w14:textId="77777777" w:rsidR="00223944" w:rsidRPr="00223944" w:rsidRDefault="00223944" w:rsidP="00223944">
      <w:pPr>
        <w:pStyle w:val="EndNoteBibliography"/>
        <w:spacing w:after="0"/>
        <w:ind w:left="720" w:hanging="720"/>
        <w:rPr>
          <w:noProof/>
        </w:rPr>
      </w:pPr>
      <w:r w:rsidRPr="00223944">
        <w:rPr>
          <w:noProof/>
        </w:rPr>
        <w:t xml:space="preserve">Vivekananda-Schmidt, P., Lewis, M., Hassell, A. B., Coady, D., Walker, D., Kay, L., McLean, M. J., Haq, I. and Rahman, A. (2007) 'Validation of MSAT: an instrument to measure medical students' self-assessed confidence in musculoskeletal examination skills', </w:t>
      </w:r>
      <w:r w:rsidRPr="00223944">
        <w:rPr>
          <w:i/>
          <w:noProof/>
        </w:rPr>
        <w:t>Medical Education,</w:t>
      </w:r>
      <w:r w:rsidRPr="00223944">
        <w:rPr>
          <w:noProof/>
        </w:rPr>
        <w:t xml:space="preserve"> 41(4), pp. 402-410.</w:t>
      </w:r>
    </w:p>
    <w:p w14:paraId="53D457DA" w14:textId="77777777" w:rsidR="00223944" w:rsidRPr="00223944" w:rsidRDefault="00223944" w:rsidP="00223944">
      <w:pPr>
        <w:pStyle w:val="EndNoteBibliography"/>
        <w:spacing w:after="0"/>
        <w:ind w:left="720" w:hanging="720"/>
        <w:rPr>
          <w:noProof/>
        </w:rPr>
      </w:pPr>
      <w:r w:rsidRPr="00223944">
        <w:rPr>
          <w:noProof/>
        </w:rPr>
        <w:t xml:space="preserve">Vygotsky, L. (1962) </w:t>
      </w:r>
      <w:r w:rsidRPr="00223944">
        <w:rPr>
          <w:i/>
          <w:noProof/>
        </w:rPr>
        <w:t>Thought and Language.</w:t>
      </w:r>
      <w:r w:rsidRPr="00223944">
        <w:rPr>
          <w:noProof/>
        </w:rPr>
        <w:t xml:space="preserve"> Cambridge, MA: MIT Press.</w:t>
      </w:r>
    </w:p>
    <w:p w14:paraId="3EAA0404" w14:textId="77777777" w:rsidR="00223944" w:rsidRPr="00223944" w:rsidRDefault="00223944" w:rsidP="00223944">
      <w:pPr>
        <w:pStyle w:val="EndNoteBibliography"/>
        <w:spacing w:after="0"/>
        <w:ind w:left="720" w:hanging="720"/>
        <w:rPr>
          <w:noProof/>
        </w:rPr>
      </w:pPr>
      <w:r w:rsidRPr="00223944">
        <w:rPr>
          <w:noProof/>
        </w:rPr>
        <w:t xml:space="preserve">Wall, D., Bolshaw, A. and Carolan, J. (2006) 'From undergraduate medical education to pre-registration house officer year: how prepared are students?', </w:t>
      </w:r>
      <w:r w:rsidRPr="00223944">
        <w:rPr>
          <w:i/>
          <w:noProof/>
        </w:rPr>
        <w:t>Medical Teacher,</w:t>
      </w:r>
      <w:r w:rsidRPr="00223944">
        <w:rPr>
          <w:noProof/>
        </w:rPr>
        <w:t xml:space="preserve"> 28(5), pp. 435-439.</w:t>
      </w:r>
    </w:p>
    <w:p w14:paraId="173A4F1E" w14:textId="77777777" w:rsidR="00223944" w:rsidRPr="00223944" w:rsidRDefault="00223944" w:rsidP="00223944">
      <w:pPr>
        <w:pStyle w:val="EndNoteBibliography"/>
        <w:spacing w:after="0"/>
        <w:ind w:left="720" w:hanging="720"/>
        <w:rPr>
          <w:noProof/>
        </w:rPr>
      </w:pPr>
      <w:r w:rsidRPr="00223944">
        <w:rPr>
          <w:noProof/>
        </w:rPr>
        <w:t xml:space="preserve">Watmough, S., Taylor, D. and Garden, A. (2006) 'Educational supervisors evaluate the preparedness of graduates from a reformed UK curriculum to work as pre-registration house officers (PRHOs): a qualitative study', </w:t>
      </w:r>
      <w:r w:rsidRPr="00223944">
        <w:rPr>
          <w:i/>
          <w:noProof/>
        </w:rPr>
        <w:t>Medical Education,</w:t>
      </w:r>
      <w:r w:rsidRPr="00223944">
        <w:rPr>
          <w:noProof/>
        </w:rPr>
        <w:t xml:space="preserve"> 40(10), pp. 995-1001.</w:t>
      </w:r>
    </w:p>
    <w:p w14:paraId="699CB33B" w14:textId="77777777" w:rsidR="00223944" w:rsidRPr="00223944" w:rsidRDefault="00223944" w:rsidP="00223944">
      <w:pPr>
        <w:pStyle w:val="EndNoteBibliography"/>
        <w:spacing w:after="0"/>
        <w:ind w:left="720" w:hanging="720"/>
        <w:rPr>
          <w:noProof/>
        </w:rPr>
      </w:pPr>
      <w:r w:rsidRPr="00223944">
        <w:rPr>
          <w:noProof/>
        </w:rPr>
        <w:t xml:space="preserve">Wayne, D. B., Butter, J., Siddall, V. J., Fudala, M. J., Lindquist, L. A., Feinglass, J., Wade, L. D. and McGaghie, W. C. (2005) 'Simulation-based training of internal medicine residents in </w:t>
      </w:r>
      <w:r w:rsidRPr="00223944">
        <w:rPr>
          <w:noProof/>
        </w:rPr>
        <w:lastRenderedPageBreak/>
        <w:t xml:space="preserve">advanced cardiac life support protocols: A randomized trial', </w:t>
      </w:r>
      <w:r w:rsidRPr="00223944">
        <w:rPr>
          <w:i/>
          <w:noProof/>
        </w:rPr>
        <w:t>Teaching and Learning in Medicine,</w:t>
      </w:r>
      <w:r w:rsidRPr="00223944">
        <w:rPr>
          <w:noProof/>
        </w:rPr>
        <w:t xml:space="preserve"> 17(3), pp. 210-216.</w:t>
      </w:r>
    </w:p>
    <w:p w14:paraId="5403A060" w14:textId="77777777" w:rsidR="00223944" w:rsidRPr="00223944" w:rsidRDefault="00223944" w:rsidP="00223944">
      <w:pPr>
        <w:pStyle w:val="EndNoteBibliography"/>
        <w:spacing w:after="0"/>
        <w:ind w:left="720" w:hanging="720"/>
        <w:rPr>
          <w:noProof/>
        </w:rPr>
      </w:pPr>
      <w:r w:rsidRPr="00223944">
        <w:rPr>
          <w:noProof/>
        </w:rPr>
        <w:t xml:space="preserve">Webster, C. (2015) 'More on "fast" and "slow" thinking in diagnostic reasoning', </w:t>
      </w:r>
      <w:r w:rsidRPr="00223944">
        <w:rPr>
          <w:i/>
          <w:noProof/>
        </w:rPr>
        <w:t>Acad Med,</w:t>
      </w:r>
      <w:r w:rsidRPr="00223944">
        <w:rPr>
          <w:noProof/>
        </w:rPr>
        <w:t xml:space="preserve"> 90(1), pp. 3.</w:t>
      </w:r>
    </w:p>
    <w:p w14:paraId="2F4EA909" w14:textId="77777777" w:rsidR="00223944" w:rsidRPr="00223944" w:rsidRDefault="00223944" w:rsidP="00223944">
      <w:pPr>
        <w:pStyle w:val="EndNoteBibliography"/>
        <w:spacing w:after="0"/>
        <w:ind w:left="720" w:hanging="720"/>
        <w:rPr>
          <w:noProof/>
        </w:rPr>
      </w:pPr>
      <w:r w:rsidRPr="00223944">
        <w:rPr>
          <w:noProof/>
        </w:rPr>
        <w:t xml:space="preserve">Weitzman, E. A. (2000) 'Software and qualitative research', in Denzin, N.K. &amp; Lincoln, Y.S. (eds.) </w:t>
      </w:r>
      <w:r w:rsidRPr="00223944">
        <w:rPr>
          <w:i/>
          <w:noProof/>
        </w:rPr>
        <w:t xml:space="preserve">Handbook of Qualitative Research. </w:t>
      </w:r>
      <w:r w:rsidRPr="00223944">
        <w:rPr>
          <w:noProof/>
        </w:rPr>
        <w:t>2nd ed. Thousand Oaks, CA: Sage, pp. 803 - 820.</w:t>
      </w:r>
    </w:p>
    <w:p w14:paraId="3A30053A" w14:textId="77777777" w:rsidR="00223944" w:rsidRPr="00223944" w:rsidRDefault="00223944" w:rsidP="00223944">
      <w:pPr>
        <w:pStyle w:val="EndNoteBibliography"/>
        <w:spacing w:after="0"/>
        <w:ind w:left="720" w:hanging="720"/>
        <w:rPr>
          <w:noProof/>
        </w:rPr>
      </w:pPr>
      <w:r w:rsidRPr="00223944">
        <w:rPr>
          <w:noProof/>
        </w:rPr>
        <w:t xml:space="preserve">Whipple, M. E., Barlow, C. B., Smith, S. and Goldstein, E. A. (2006) 'Early introduction of clinical skills improves medical student comfort at the start of third-year clerkships', </w:t>
      </w:r>
      <w:r w:rsidRPr="00223944">
        <w:rPr>
          <w:i/>
          <w:noProof/>
        </w:rPr>
        <w:t>Acad Med,</w:t>
      </w:r>
      <w:r w:rsidRPr="00223944">
        <w:rPr>
          <w:noProof/>
        </w:rPr>
        <w:t xml:space="preserve"> 81(10 Suppl), pp. S40-3.</w:t>
      </w:r>
    </w:p>
    <w:p w14:paraId="7F93D177" w14:textId="77777777" w:rsidR="00223944" w:rsidRPr="00223944" w:rsidRDefault="00223944" w:rsidP="00223944">
      <w:pPr>
        <w:pStyle w:val="EndNoteBibliography"/>
        <w:spacing w:after="0"/>
        <w:ind w:left="720" w:hanging="720"/>
        <w:rPr>
          <w:noProof/>
        </w:rPr>
      </w:pPr>
      <w:r w:rsidRPr="00223944">
        <w:rPr>
          <w:noProof/>
        </w:rPr>
        <w:t xml:space="preserve">Wilson, G., Larkin, V., Redfern, N., Stewart, J. and Steven, A. (2017) 'Exploring the relationship between mentoring and doctors' health and wellbeing: a narrative review', </w:t>
      </w:r>
      <w:r w:rsidRPr="00223944">
        <w:rPr>
          <w:i/>
          <w:noProof/>
        </w:rPr>
        <w:t>J R Soc Med,</w:t>
      </w:r>
      <w:r w:rsidRPr="00223944">
        <w:rPr>
          <w:noProof/>
        </w:rPr>
        <w:t xml:space="preserve"> 110(5), pp. 188-197.</w:t>
      </w:r>
    </w:p>
    <w:p w14:paraId="763CA8CE" w14:textId="77777777" w:rsidR="00223944" w:rsidRPr="00223944" w:rsidRDefault="00223944" w:rsidP="00223944">
      <w:pPr>
        <w:pStyle w:val="EndNoteBibliography"/>
        <w:spacing w:after="0"/>
        <w:ind w:left="720" w:hanging="720"/>
        <w:rPr>
          <w:noProof/>
        </w:rPr>
      </w:pPr>
      <w:r w:rsidRPr="00223944">
        <w:rPr>
          <w:noProof/>
        </w:rPr>
        <w:t xml:space="preserve">Yerkes, R. M. and Dodson, J. D. (1908) 'The relation of strength of stimulus to rapidity of habit-formation', </w:t>
      </w:r>
      <w:r w:rsidRPr="00223944">
        <w:rPr>
          <w:i/>
          <w:noProof/>
        </w:rPr>
        <w:t>Journal of Comparative Neurology and Psychology,</w:t>
      </w:r>
      <w:r w:rsidRPr="00223944">
        <w:rPr>
          <w:noProof/>
        </w:rPr>
        <w:t xml:space="preserve"> 18, pp. 459-482.</w:t>
      </w:r>
    </w:p>
    <w:p w14:paraId="65B1E8CF" w14:textId="77777777" w:rsidR="00223944" w:rsidRPr="00223944" w:rsidRDefault="00223944" w:rsidP="00223944">
      <w:pPr>
        <w:pStyle w:val="EndNoteBibliography"/>
        <w:spacing w:after="0"/>
        <w:ind w:left="720" w:hanging="720"/>
        <w:rPr>
          <w:noProof/>
        </w:rPr>
      </w:pPr>
      <w:r w:rsidRPr="00223944">
        <w:rPr>
          <w:noProof/>
        </w:rPr>
        <w:t xml:space="preserve">Young, J. Q., Van Merrienboer, J., Durning, S. and Ten Cate, O. (2014) 'Cognitive Load Theory: implications for medical education: AMEE Guide No. 86', </w:t>
      </w:r>
      <w:r w:rsidRPr="00223944">
        <w:rPr>
          <w:i/>
          <w:noProof/>
        </w:rPr>
        <w:t>Med Teach,</w:t>
      </w:r>
      <w:r w:rsidRPr="00223944">
        <w:rPr>
          <w:noProof/>
        </w:rPr>
        <w:t xml:space="preserve"> 36(5), pp. 371-84.</w:t>
      </w:r>
    </w:p>
    <w:p w14:paraId="5840C8F4" w14:textId="77777777" w:rsidR="00223944" w:rsidRPr="00223944" w:rsidRDefault="00223944" w:rsidP="00223944">
      <w:pPr>
        <w:pStyle w:val="EndNoteBibliography"/>
        <w:ind w:left="720" w:hanging="720"/>
        <w:rPr>
          <w:noProof/>
        </w:rPr>
      </w:pPr>
      <w:r w:rsidRPr="00223944">
        <w:rPr>
          <w:noProof/>
        </w:rPr>
        <w:t xml:space="preserve">Zeidner, M., Matthews, G. and Roberts, R. D. (2012) 'The Emotional Intelligence, Health, and Well-Being Nexus: What Have We Learned and What Have We Missed?', </w:t>
      </w:r>
      <w:r w:rsidRPr="00223944">
        <w:rPr>
          <w:i/>
          <w:noProof/>
        </w:rPr>
        <w:t>Appl Psychol Health Well Being,</w:t>
      </w:r>
      <w:r w:rsidRPr="00223944">
        <w:rPr>
          <w:noProof/>
        </w:rPr>
        <w:t xml:space="preserve"> 4(1), pp. 1-30.</w:t>
      </w:r>
    </w:p>
    <w:p w14:paraId="65F79D6C" w14:textId="4B7EBDB6" w:rsidR="003C6579" w:rsidRDefault="0062788E" w:rsidP="00B855D4">
      <w:pPr>
        <w:spacing w:line="360" w:lineRule="auto"/>
        <w:rPr>
          <w:rFonts w:cs="Arial"/>
        </w:rPr>
        <w:sectPr w:rsidR="003C6579" w:rsidSect="005F454B">
          <w:pgSz w:w="11900" w:h="16840"/>
          <w:pgMar w:top="1134" w:right="1134" w:bottom="1134" w:left="2268" w:header="1134" w:footer="1134" w:gutter="0"/>
          <w:cols w:space="708"/>
          <w:docGrid w:linePitch="360"/>
        </w:sectPr>
      </w:pPr>
      <w:r>
        <w:rPr>
          <w:rFonts w:cs="Arial"/>
        </w:rPr>
        <w:fldChar w:fldCharType="end"/>
      </w:r>
    </w:p>
    <w:p w14:paraId="6EFA5121" w14:textId="2F9BCF65" w:rsidR="00BD5D02" w:rsidRDefault="003C6579" w:rsidP="006F09AC">
      <w:pPr>
        <w:pStyle w:val="Heading1"/>
      </w:pPr>
      <w:bookmarkStart w:id="454" w:name="_Toc343501269"/>
      <w:bookmarkStart w:id="455" w:name="_Toc348686464"/>
      <w:bookmarkStart w:id="456" w:name="_Toc419116215"/>
      <w:r>
        <w:lastRenderedPageBreak/>
        <w:t>Appendices</w:t>
      </w:r>
      <w:bookmarkEnd w:id="454"/>
      <w:bookmarkEnd w:id="455"/>
      <w:bookmarkEnd w:id="456"/>
    </w:p>
    <w:p w14:paraId="0FFDDC85" w14:textId="77777777" w:rsidR="0098142F" w:rsidRDefault="0098142F" w:rsidP="0098142F"/>
    <w:p w14:paraId="19019151" w14:textId="6C309056" w:rsidR="0098142F" w:rsidRPr="0098142F" w:rsidRDefault="0098142F" w:rsidP="0098142F">
      <w:r>
        <w:rPr>
          <w:noProof/>
          <w:lang w:val="en-US"/>
        </w:rPr>
        <w:drawing>
          <wp:inline distT="0" distB="0" distL="0" distR="0" wp14:anchorId="1E1E3120" wp14:editId="54E87E6B">
            <wp:extent cx="4457700" cy="7184390"/>
            <wp:effectExtent l="38100" t="19050" r="19050" b="35560"/>
            <wp:docPr id="80" name="Diagram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0" r:lo="rId191" r:qs="rId192" r:cs="rId193"/>
              </a:graphicData>
            </a:graphic>
          </wp:inline>
        </w:drawing>
      </w:r>
    </w:p>
    <w:p w14:paraId="14075288" w14:textId="10385062" w:rsidR="00BD5D02" w:rsidRPr="005611F7" w:rsidRDefault="00BD5D02" w:rsidP="00187756">
      <w:pPr>
        <w:pStyle w:val="Heading2"/>
      </w:pPr>
      <w:bookmarkStart w:id="457" w:name="_Toc419116216"/>
      <w:bookmarkStart w:id="458" w:name="_Toc348686465"/>
      <w:bookmarkStart w:id="459" w:name="_Toc343501270"/>
      <w:bookmarkStart w:id="460" w:name="_Toc386283342"/>
      <w:r w:rsidRPr="005611F7">
        <w:lastRenderedPageBreak/>
        <w:t xml:space="preserve">Influences and their inter-relationships, on the </w:t>
      </w:r>
      <w:proofErr w:type="spellStart"/>
      <w:r w:rsidRPr="005611F7">
        <w:t>behaviour</w:t>
      </w:r>
      <w:proofErr w:type="spellEnd"/>
      <w:r w:rsidRPr="005611F7">
        <w:t xml:space="preserve"> of newly qualified doctors caring for acutely unwell patients </w:t>
      </w:r>
      <w:r w:rsidRPr="005611F7">
        <w:fldChar w:fldCharType="begin"/>
      </w:r>
      <w:r w:rsidR="00B159B8">
        <w:instrText xml:space="preserve"> ADDIN EN.CITE &lt;EndNote&gt;&lt;Cite&gt;&lt;Author&gt;Tallentire&lt;/Author&gt;&lt;Year&gt;2011&lt;/Year&gt;&lt;IDText&gt;Understanding the behaviour of newly qualified doctors in acute care contexts&lt;/IDText&gt;&lt;DisplayText&gt;(Tallentire et al., 2011a)&lt;/DisplayText&gt;&lt;record&gt;&lt;dates&gt;&lt;pub-dates&gt;&lt;date&gt;Oct&lt;/date&gt;&lt;/pub-dates&gt;&lt;year&gt;2011&lt;/year&gt;&lt;/dates&gt;&lt;isbn&gt;0308-0110&lt;/isbn&gt;&lt;titles&gt;&lt;title&gt;Understanding the behaviour of newly qualified doctors in acute care contexts&lt;/title&gt;&lt;secondary-title&gt;Medical Education&lt;/secondary-title&gt;&lt;/titles&gt;&lt;pages&gt;995-1005&lt;/pages&gt;&lt;number&gt;10&lt;/number&gt;&lt;contributors&gt;&lt;authors&gt;&lt;author&gt;Tallentire, Victoria R.&lt;/author&gt;&lt;author&gt;Smith, Samantha E.&lt;/author&gt;&lt;author&gt;Skinner, Janet&lt;/author&gt;&lt;author&gt;Cameron, Helen S.&lt;/author&gt;&lt;/authors&gt;&lt;/contributors&gt;&lt;added-date format="utc"&gt;1391177816&lt;/added-date&gt;&lt;ref-type name="Journal Article"&gt;17&lt;/ref-type&gt;&lt;rec-number&gt;73&lt;/rec-number&gt;&lt;last-updated-date format="utc"&gt;1397403004&lt;/last-updated-date&gt;&lt;accession-num&gt;WOS:000294865300006&lt;/accession-num&gt;&lt;electronic-resource-num&gt;10.1111/j.1365-2923.2011.04024.x&lt;/electronic-resource-num&gt;&lt;volume&gt;45&lt;/volume&gt;&lt;/record&gt;&lt;/Cite&gt;&lt;/EndNote&gt;</w:instrText>
      </w:r>
      <w:r w:rsidRPr="005611F7">
        <w:fldChar w:fldCharType="separate"/>
      </w:r>
      <w:bookmarkEnd w:id="458"/>
      <w:bookmarkEnd w:id="459"/>
      <w:bookmarkEnd w:id="460"/>
      <w:r w:rsidR="00B159B8">
        <w:rPr>
          <w:noProof/>
        </w:rPr>
        <w:t>(Tallentire et al., 2011a)</w:t>
      </w:r>
      <w:bookmarkEnd w:id="457"/>
      <w:r w:rsidRPr="005611F7">
        <w:fldChar w:fldCharType="end"/>
      </w:r>
    </w:p>
    <w:p w14:paraId="77F5E27A" w14:textId="77777777" w:rsidR="00BD5D02" w:rsidRPr="003D581A" w:rsidRDefault="00BD5D02" w:rsidP="00BD5D02"/>
    <w:p w14:paraId="2EFE4F91" w14:textId="77777777" w:rsidR="00BD5D02" w:rsidRDefault="00BD5D02" w:rsidP="00BD5D02">
      <w:pPr>
        <w:rPr>
          <w:rFonts w:cs="Arial"/>
          <w:szCs w:val="24"/>
        </w:rPr>
      </w:pPr>
      <w:r>
        <w:rPr>
          <w:noProof/>
          <w:lang w:val="en-US"/>
        </w:rPr>
        <w:drawing>
          <wp:inline distT="0" distB="0" distL="0" distR="0" wp14:anchorId="0D2114F1" wp14:editId="492D0CB6">
            <wp:extent cx="5362575" cy="4181823"/>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cstate="print"/>
                    <a:srcRect l="22606" t="19946" r="23039" b="12234"/>
                    <a:stretch/>
                  </pic:blipFill>
                  <pic:spPr bwMode="auto">
                    <a:xfrm>
                      <a:off x="0" y="0"/>
                      <a:ext cx="5367565" cy="418571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D3F4138" w14:textId="53834034" w:rsidR="00BD5D02" w:rsidRPr="001053CE" w:rsidRDefault="00BD5D02" w:rsidP="00BD5D02">
      <w:pPr>
        <w:rPr>
          <w:rFonts w:cs="Arial"/>
          <w:szCs w:val="24"/>
        </w:rPr>
      </w:pPr>
      <w:r w:rsidRPr="001053CE">
        <w:rPr>
          <w:rFonts w:cs="Arial"/>
          <w:szCs w:val="24"/>
        </w:rPr>
        <w:t>Tallentire et al.</w:t>
      </w:r>
      <w:r>
        <w:rPr>
          <w:rFonts w:cs="Arial"/>
          <w:szCs w:val="24"/>
        </w:rPr>
        <w:t xml:space="preserve"> has created this excellent</w:t>
      </w:r>
      <w:r w:rsidRPr="001053CE">
        <w:rPr>
          <w:rFonts w:cs="Arial"/>
          <w:szCs w:val="24"/>
        </w:rPr>
        <w:t xml:space="preserve"> framework to illustrate the major influences and their inter-relationships, on the behaviour of newly qualified doctors caring for acutely unwell patients. This is useful for planning interventions to help with improving preparedness</w:t>
      </w:r>
      <w:r>
        <w:rPr>
          <w:rFonts w:cs="Arial"/>
          <w:szCs w:val="24"/>
        </w:rPr>
        <w:t xml:space="preserve">. As demonstrated diagnostic uncertainty can lead to stress which can impair </w:t>
      </w:r>
      <w:r w:rsidR="00137253">
        <w:rPr>
          <w:rFonts w:cs="Arial"/>
          <w:szCs w:val="24"/>
        </w:rPr>
        <w:t>decision-making</w:t>
      </w:r>
      <w:r>
        <w:rPr>
          <w:rFonts w:cs="Arial"/>
          <w:szCs w:val="24"/>
        </w:rPr>
        <w:t>. There is emphasis on the reluctance to make decisions due to the fear of causing harm and the expectations of junior doctors versus consultants of their own performance will vary. This will influence their behaviour and all factors will have an impact on patient safety</w:t>
      </w:r>
      <w:r w:rsidR="00C00713">
        <w:rPr>
          <w:rFonts w:cs="Arial"/>
          <w:szCs w:val="24"/>
        </w:rPr>
        <w:t xml:space="preserve"> </w:t>
      </w:r>
      <w:r>
        <w:rPr>
          <w:rFonts w:cs="Arial"/>
          <w:szCs w:val="24"/>
        </w:rPr>
        <w:fldChar w:fldCharType="begin"/>
      </w:r>
      <w:r w:rsidR="00B159B8">
        <w:rPr>
          <w:rFonts w:cs="Arial"/>
          <w:szCs w:val="24"/>
        </w:rPr>
        <w:instrText xml:space="preserve"> ADDIN EN.CITE &lt;EndNote&gt;&lt;Cite&gt;&lt;Author&gt;Tallentire&lt;/Author&gt;&lt;Year&gt;2011&lt;/Year&gt;&lt;IDText&gt;Understanding the behaviour of newly qualified doctors in acute care contexts&lt;/IDText&gt;&lt;DisplayText&gt;(Tallentire et al., 2011a)&lt;/DisplayText&gt;&lt;record&gt;&lt;dates&gt;&lt;pub-dates&gt;&lt;date&gt;Oct&lt;/date&gt;&lt;/pub-dates&gt;&lt;year&gt;2011&lt;/year&gt;&lt;/dates&gt;&lt;urls&gt;&lt;related-urls&gt;&lt;url&gt;&amp;lt;Go to ISI&amp;gt;://WOS:000294865300006&lt;/url&gt;&lt;/related-urls&gt;&lt;/urls&gt;&lt;isbn&gt;0308-0110&lt;/isbn&gt;&lt;titles&gt;&lt;title&gt;Understanding the behaviour of newly qualified doctors in acute care contexts&lt;/title&gt;&lt;secondary-title&gt;Medical Education&lt;/secondary-title&gt;&lt;/titles&gt;&lt;pages&gt;995-1005&lt;/pages&gt;&lt;number&gt;10&lt;/number&gt;&lt;contributors&gt;&lt;authors&gt;&lt;author&gt;Tallentire, Victoria R.&lt;/author&gt;&lt;author&gt;Smith, Samantha E.&lt;/author&gt;&lt;author&gt;Skinner, Janet&lt;/author&gt;&lt;author&gt;Cameron, Helen S.&lt;/author&gt;&lt;/authors&gt;&lt;/contributors&gt;&lt;added-date format="utc"&gt;1391177816&lt;/added-date&gt;&lt;ref-type name="Journal Article"&gt;17&lt;/ref-type&gt;&lt;rec-number&gt;73&lt;/rec-number&gt;&lt;last-updated-date format="utc"&gt;1397403004&lt;/last-updated-date&gt;&lt;accession-num&gt;WOS:000294865300006&lt;/accession-num&gt;&lt;electronic-resource-num&gt;10.1111/j.1365-2923.2011.04024.x&lt;/electronic-resource-num&gt;&lt;volume&gt;45&lt;/volume&gt;&lt;/record&gt;&lt;/Cite&gt;&lt;/EndNote&gt;</w:instrText>
      </w:r>
      <w:r>
        <w:rPr>
          <w:rFonts w:cs="Arial"/>
          <w:szCs w:val="24"/>
        </w:rPr>
        <w:fldChar w:fldCharType="separate"/>
      </w:r>
      <w:r w:rsidR="00B159B8">
        <w:rPr>
          <w:rFonts w:cs="Arial"/>
          <w:noProof/>
          <w:szCs w:val="24"/>
        </w:rPr>
        <w:t>(Tallentire et al., 2011a)</w:t>
      </w:r>
      <w:r>
        <w:rPr>
          <w:rFonts w:cs="Arial"/>
          <w:szCs w:val="24"/>
        </w:rPr>
        <w:fldChar w:fldCharType="end"/>
      </w:r>
      <w:r>
        <w:rPr>
          <w:rFonts w:cs="Arial"/>
          <w:szCs w:val="24"/>
        </w:rPr>
        <w:t>.</w:t>
      </w:r>
    </w:p>
    <w:p w14:paraId="2EB5EF7D" w14:textId="2291CF96" w:rsidR="00BD5D02" w:rsidRPr="00064FAF" w:rsidRDefault="00BD5D02" w:rsidP="00187756">
      <w:pPr>
        <w:pStyle w:val="Heading2"/>
      </w:pPr>
      <w:bookmarkStart w:id="461" w:name="_Toc386283343"/>
      <w:bookmarkStart w:id="462" w:name="_Toc343501271"/>
      <w:bookmarkStart w:id="463" w:name="_Toc348686466"/>
      <w:bookmarkStart w:id="464" w:name="_Toc419116217"/>
      <w:r w:rsidRPr="00064FAF">
        <w:lastRenderedPageBreak/>
        <w:t>Kolb’s’ cycle of experiential learning</w:t>
      </w:r>
      <w:bookmarkEnd w:id="461"/>
      <w:bookmarkEnd w:id="462"/>
      <w:bookmarkEnd w:id="463"/>
      <w:bookmarkEnd w:id="464"/>
    </w:p>
    <w:p w14:paraId="14B168DA" w14:textId="77777777" w:rsidR="00BD5D02" w:rsidRPr="003D581A" w:rsidRDefault="00BD5D02" w:rsidP="00BD5D02"/>
    <w:p w14:paraId="75102FE2" w14:textId="77777777" w:rsidR="00BD5D02" w:rsidRDefault="00BD5D02" w:rsidP="00BD5D02">
      <w:pPr>
        <w:rPr>
          <w:rFonts w:cs="Arial"/>
          <w:szCs w:val="24"/>
        </w:rPr>
      </w:pPr>
      <w:r w:rsidRPr="00A234A4">
        <w:rPr>
          <w:rFonts w:cs="Arial"/>
          <w:noProof/>
          <w:szCs w:val="24"/>
          <w:lang w:val="en-US"/>
        </w:rPr>
        <w:drawing>
          <wp:inline distT="0" distB="0" distL="0" distR="0" wp14:anchorId="604D6D91" wp14:editId="15715082">
            <wp:extent cx="4301466" cy="3295650"/>
            <wp:effectExtent l="0" t="0" r="0" b="0"/>
            <wp:docPr id="4" name="Picture 4" descr="http://www.simplypsychology.org/learning-ko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implypsychology.org/learning-kolb.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304692" cy="3298122"/>
                    </a:xfrm>
                    <a:prstGeom prst="rect">
                      <a:avLst/>
                    </a:prstGeom>
                    <a:noFill/>
                    <a:ln>
                      <a:noFill/>
                    </a:ln>
                  </pic:spPr>
                </pic:pic>
              </a:graphicData>
            </a:graphic>
          </wp:inline>
        </w:drawing>
      </w:r>
    </w:p>
    <w:p w14:paraId="0909F641" w14:textId="4ED576EC" w:rsidR="00BD5D02" w:rsidRDefault="00BD5D02" w:rsidP="00BD5D02">
      <w:pPr>
        <w:rPr>
          <w:rFonts w:cs="Arial"/>
          <w:szCs w:val="24"/>
        </w:rPr>
      </w:pPr>
      <w:r w:rsidRPr="00EE4DE7">
        <w:rPr>
          <w:rFonts w:cs="Arial"/>
          <w:szCs w:val="24"/>
          <w:lang w:val="sv-SE"/>
        </w:rPr>
        <w:t xml:space="preserve">URL: </w:t>
      </w:r>
      <w:hyperlink r:id="rId197" w:history="1">
        <w:r w:rsidRPr="00EE4DE7">
          <w:rPr>
            <w:rStyle w:val="Hyperlink"/>
            <w:rFonts w:cs="Arial"/>
            <w:szCs w:val="24"/>
            <w:lang w:val="sv-SE"/>
          </w:rPr>
          <w:t>http://www.learningfromexperience.com/images/uploads/process-of-experiential-learning.pdf</w:t>
        </w:r>
      </w:hyperlink>
      <w:r w:rsidR="00C41480" w:rsidRPr="00EE4DE7">
        <w:rPr>
          <w:rFonts w:cs="Arial"/>
          <w:szCs w:val="24"/>
          <w:lang w:val="sv-SE"/>
        </w:rPr>
        <w:t xml:space="preserve">! </w:t>
      </w:r>
      <w:r w:rsidR="00C41480" w:rsidRPr="00356680">
        <w:rPr>
          <w:rFonts w:cs="Arial"/>
          <w:szCs w:val="24"/>
        </w:rPr>
        <w:t>(</w:t>
      </w:r>
      <w:r w:rsidRPr="00356680">
        <w:rPr>
          <w:rFonts w:cs="Arial"/>
          <w:szCs w:val="24"/>
        </w:rPr>
        <w:t>31.05.2006)</w:t>
      </w:r>
    </w:p>
    <w:p w14:paraId="69FF718C" w14:textId="77777777" w:rsidR="00FD2636" w:rsidRDefault="00FD2636" w:rsidP="00BD5D02">
      <w:pPr>
        <w:rPr>
          <w:rFonts w:cs="Arial"/>
          <w:szCs w:val="24"/>
        </w:rPr>
      </w:pPr>
    </w:p>
    <w:p w14:paraId="07B3FE66" w14:textId="77777777" w:rsidR="00FD2636" w:rsidRDefault="00FD2636" w:rsidP="00BD5D02">
      <w:pPr>
        <w:rPr>
          <w:rFonts w:cs="Arial"/>
          <w:szCs w:val="24"/>
        </w:rPr>
      </w:pPr>
    </w:p>
    <w:p w14:paraId="1F33502B" w14:textId="77777777" w:rsidR="00FD2636" w:rsidRDefault="00FD2636" w:rsidP="00BD5D02">
      <w:pPr>
        <w:rPr>
          <w:rFonts w:cs="Arial"/>
          <w:szCs w:val="24"/>
        </w:rPr>
      </w:pPr>
    </w:p>
    <w:p w14:paraId="0E97558B" w14:textId="77777777" w:rsidR="00FD2636" w:rsidRDefault="00FD2636" w:rsidP="00BD5D02">
      <w:pPr>
        <w:rPr>
          <w:rFonts w:cs="Arial"/>
          <w:szCs w:val="24"/>
        </w:rPr>
      </w:pPr>
    </w:p>
    <w:p w14:paraId="5EB979C1" w14:textId="77777777" w:rsidR="00FD2636" w:rsidRDefault="00FD2636" w:rsidP="00BD5D02">
      <w:pPr>
        <w:rPr>
          <w:rFonts w:cs="Arial"/>
          <w:szCs w:val="24"/>
        </w:rPr>
      </w:pPr>
    </w:p>
    <w:p w14:paraId="4325C5C5" w14:textId="77777777" w:rsidR="00BD5D02" w:rsidRDefault="00BD5D02" w:rsidP="00BD5D02">
      <w:pPr>
        <w:rPr>
          <w:rFonts w:cs="Arial"/>
          <w:szCs w:val="24"/>
          <w:u w:val="single"/>
        </w:rPr>
      </w:pPr>
    </w:p>
    <w:p w14:paraId="1B20F966" w14:textId="68BE538D" w:rsidR="00BD5D02" w:rsidRDefault="00BD5D02" w:rsidP="00187756">
      <w:pPr>
        <w:pStyle w:val="Heading2"/>
      </w:pPr>
      <w:bookmarkStart w:id="465" w:name="_Toc386283344"/>
      <w:bookmarkStart w:id="466" w:name="_Toc343501272"/>
      <w:bookmarkStart w:id="467" w:name="_Toc348686467"/>
      <w:bookmarkStart w:id="468" w:name="_Toc419116218"/>
      <w:r w:rsidRPr="008A3EF6">
        <w:lastRenderedPageBreak/>
        <w:t>Simulation debriefing and how it fits with Kolb’s experiential learning cycle</w:t>
      </w:r>
      <w:bookmarkEnd w:id="465"/>
      <w:bookmarkEnd w:id="466"/>
      <w:bookmarkEnd w:id="467"/>
      <w:bookmarkEnd w:id="468"/>
    </w:p>
    <w:p w14:paraId="5B0C87EF" w14:textId="77777777" w:rsidR="00BD5D02" w:rsidRPr="00AD5EFA" w:rsidRDefault="00BD5D02" w:rsidP="00BD5D02"/>
    <w:p w14:paraId="0AC7B96A" w14:textId="77777777" w:rsidR="00BD5D02" w:rsidRDefault="00BD5D02" w:rsidP="00BD5D02">
      <w:pPr>
        <w:rPr>
          <w:rFonts w:cs="Arial"/>
          <w:szCs w:val="24"/>
        </w:rPr>
      </w:pPr>
      <w:r w:rsidRPr="00195179">
        <w:rPr>
          <w:rFonts w:cs="Arial"/>
          <w:noProof/>
          <w:szCs w:val="24"/>
          <w:lang w:val="en-US"/>
        </w:rPr>
        <w:drawing>
          <wp:inline distT="0" distB="0" distL="0" distR="0" wp14:anchorId="372A563B" wp14:editId="6E3AE874">
            <wp:extent cx="5731510" cy="4289677"/>
            <wp:effectExtent l="0" t="0" r="2540" b="0"/>
            <wp:docPr id="5" name="Picture 5" descr="http://1.bp.blogspot.com/-J2ZiSYqmrxs/UkiO-hWs6lI/AAAAAAAAANI/ool0nJ6Vr3I/s1600/Screen+Shot+2013-09-29+at+21.3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J2ZiSYqmrxs/UkiO-hWs6lI/AAAAAAAAANI/ool0nJ6Vr3I/s1600/Screen+Shot+2013-09-29+at+21.33.24.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31510" cy="4289677"/>
                    </a:xfrm>
                    <a:prstGeom prst="rect">
                      <a:avLst/>
                    </a:prstGeom>
                    <a:noFill/>
                    <a:ln>
                      <a:noFill/>
                    </a:ln>
                  </pic:spPr>
                </pic:pic>
              </a:graphicData>
            </a:graphic>
          </wp:inline>
        </w:drawing>
      </w:r>
    </w:p>
    <w:p w14:paraId="2B20C5F7" w14:textId="77777777" w:rsidR="00BD5D02" w:rsidRDefault="00BD5D02" w:rsidP="00BD5D02">
      <w:pPr>
        <w:rPr>
          <w:rFonts w:cs="Arial"/>
          <w:szCs w:val="24"/>
        </w:rPr>
      </w:pPr>
    </w:p>
    <w:p w14:paraId="23575FE3" w14:textId="77777777" w:rsidR="00BD5D02" w:rsidRDefault="00CA4352" w:rsidP="00BD5D02">
      <w:pPr>
        <w:rPr>
          <w:rFonts w:cs="Arial"/>
          <w:szCs w:val="24"/>
        </w:rPr>
      </w:pPr>
      <w:hyperlink r:id="rId199" w:history="1">
        <w:r w:rsidR="00BD5D02" w:rsidRPr="00B4354B">
          <w:rPr>
            <w:rStyle w:val="Hyperlink"/>
            <w:rFonts w:cs="Arial"/>
            <w:szCs w:val="24"/>
          </w:rPr>
          <w:t>http://www.scsc.scot.nhs.uk/courses/faculty-development</w:t>
        </w:r>
      </w:hyperlink>
      <w:r w:rsidR="00BD5D02">
        <w:rPr>
          <w:rFonts w:cs="Arial"/>
          <w:szCs w:val="24"/>
        </w:rPr>
        <w:t xml:space="preserve"> from train the trainers in simulation course.</w:t>
      </w:r>
    </w:p>
    <w:p w14:paraId="6A06420E" w14:textId="77777777" w:rsidR="00BD5D02" w:rsidRDefault="00BD5D02" w:rsidP="00BD5D02">
      <w:pPr>
        <w:rPr>
          <w:rFonts w:cs="Arial"/>
          <w:szCs w:val="24"/>
        </w:rPr>
      </w:pPr>
      <w:r>
        <w:rPr>
          <w:rFonts w:cs="Arial"/>
          <w:szCs w:val="24"/>
        </w:rPr>
        <w:t>This conceptualised framework demonstrates the importance of facilitated debriefing at three of the four stages of the learning cycle. This emphasises the importance of appropriately trained faculty in knowing how to debrief correctly to allow self-reflection from the student.</w:t>
      </w:r>
    </w:p>
    <w:p w14:paraId="6604674B" w14:textId="689835FE" w:rsidR="00C77957" w:rsidRDefault="00C77957" w:rsidP="00187756">
      <w:pPr>
        <w:pStyle w:val="Heading2"/>
      </w:pPr>
      <w:bookmarkStart w:id="469" w:name="_Toc343501273"/>
      <w:bookmarkStart w:id="470" w:name="_Toc348686468"/>
      <w:bookmarkStart w:id="471" w:name="_Toc419116219"/>
      <w:r w:rsidRPr="00C77957">
        <w:lastRenderedPageBreak/>
        <w:t>Miller’s pyramid of clinical competence</w:t>
      </w:r>
      <w:bookmarkEnd w:id="469"/>
      <w:bookmarkEnd w:id="470"/>
      <w:bookmarkEnd w:id="471"/>
    </w:p>
    <w:p w14:paraId="7C6385CC" w14:textId="77777777" w:rsidR="00C00713" w:rsidRPr="00C00713" w:rsidRDefault="00C00713" w:rsidP="00334E70"/>
    <w:p w14:paraId="3E5571C4" w14:textId="7BFBBC90" w:rsidR="00BD5D02" w:rsidRDefault="00C77957" w:rsidP="00BD5D02">
      <w:r>
        <w:rPr>
          <w:rFonts w:ascii="Helvetica" w:eastAsiaTheme="minorEastAsia" w:hAnsi="Helvetica" w:cs="Helvetica"/>
          <w:noProof/>
          <w:szCs w:val="24"/>
          <w:lang w:val="en-US"/>
        </w:rPr>
        <w:drawing>
          <wp:inline distT="0" distB="0" distL="0" distR="0" wp14:anchorId="568D465B" wp14:editId="6F45DB8B">
            <wp:extent cx="5396230" cy="3298234"/>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96230" cy="3298234"/>
                    </a:xfrm>
                    <a:prstGeom prst="rect">
                      <a:avLst/>
                    </a:prstGeom>
                    <a:noFill/>
                    <a:ln>
                      <a:noFill/>
                    </a:ln>
                  </pic:spPr>
                </pic:pic>
              </a:graphicData>
            </a:graphic>
          </wp:inline>
        </w:drawing>
      </w:r>
    </w:p>
    <w:p w14:paraId="2595C48E" w14:textId="55D97B43" w:rsidR="00C77957" w:rsidRDefault="00CA4352" w:rsidP="00BD5D02">
      <w:hyperlink r:id="rId201" w:history="1">
        <w:r w:rsidR="003E116C" w:rsidRPr="00271DAD">
          <w:rPr>
            <w:rStyle w:val="Hyperlink"/>
          </w:rPr>
          <w:t>http://www.gp-training.net/training/educational_theory/adult_learning/prism.png</w:t>
        </w:r>
      </w:hyperlink>
      <w:r w:rsidR="003E116C">
        <w:t xml:space="preserve"> accessed 31/5/16</w:t>
      </w:r>
    </w:p>
    <w:p w14:paraId="4D827C60" w14:textId="77777777" w:rsidR="00C00713" w:rsidRDefault="00C00713" w:rsidP="00BD5D02"/>
    <w:p w14:paraId="21EA5E39" w14:textId="77777777" w:rsidR="00C00713" w:rsidRDefault="00C00713" w:rsidP="00BD5D02"/>
    <w:p w14:paraId="372D780A" w14:textId="77777777" w:rsidR="00C00713" w:rsidRDefault="00C00713" w:rsidP="00BD5D02"/>
    <w:p w14:paraId="6662EE79" w14:textId="77777777" w:rsidR="00C00713" w:rsidRDefault="00C00713" w:rsidP="00BD5D02"/>
    <w:p w14:paraId="35FFF455" w14:textId="77777777" w:rsidR="00212034" w:rsidRDefault="00212034" w:rsidP="00BD5D02"/>
    <w:p w14:paraId="374D2E95" w14:textId="77777777" w:rsidR="00212034" w:rsidRDefault="00212034" w:rsidP="00BD5D02"/>
    <w:p w14:paraId="5827ED26" w14:textId="325C2F16" w:rsidR="003E116C" w:rsidRDefault="003E116C" w:rsidP="00187756">
      <w:pPr>
        <w:pStyle w:val="Heading2"/>
      </w:pPr>
      <w:bookmarkStart w:id="472" w:name="_Toc343501274"/>
      <w:bookmarkStart w:id="473" w:name="_Toc348686469"/>
      <w:bookmarkStart w:id="474" w:name="_Toc419116220"/>
      <w:r w:rsidRPr="003E116C">
        <w:lastRenderedPageBreak/>
        <w:t>Dreyfus model of skill acquisition</w:t>
      </w:r>
      <w:bookmarkEnd w:id="472"/>
      <w:bookmarkEnd w:id="473"/>
      <w:bookmarkEnd w:id="474"/>
      <w:r w:rsidRPr="003E116C">
        <w:t xml:space="preserve"> </w:t>
      </w:r>
    </w:p>
    <w:p w14:paraId="19101395" w14:textId="77777777" w:rsidR="003E116C" w:rsidRDefault="003E116C" w:rsidP="003E116C"/>
    <w:p w14:paraId="18CC0B15" w14:textId="6BF97152" w:rsidR="003E116C" w:rsidRDefault="003E116C" w:rsidP="003E116C">
      <w:r>
        <w:rPr>
          <w:rFonts w:ascii="Helvetica" w:eastAsiaTheme="minorEastAsia" w:hAnsi="Helvetica" w:cs="Helvetica"/>
          <w:noProof/>
          <w:szCs w:val="24"/>
          <w:lang w:val="en-US"/>
        </w:rPr>
        <w:drawing>
          <wp:inline distT="0" distB="0" distL="0" distR="0" wp14:anchorId="1A458207" wp14:editId="45833886">
            <wp:extent cx="5396230" cy="3542048"/>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396230" cy="3542048"/>
                    </a:xfrm>
                    <a:prstGeom prst="rect">
                      <a:avLst/>
                    </a:prstGeom>
                    <a:noFill/>
                    <a:ln>
                      <a:noFill/>
                    </a:ln>
                  </pic:spPr>
                </pic:pic>
              </a:graphicData>
            </a:graphic>
          </wp:inline>
        </w:drawing>
      </w:r>
    </w:p>
    <w:p w14:paraId="561C4039" w14:textId="588E6AA8" w:rsidR="003E116C" w:rsidRDefault="00CA4352" w:rsidP="003E116C">
      <w:hyperlink r:id="rId203" w:history="1">
        <w:r w:rsidR="003E116C" w:rsidRPr="00271DAD">
          <w:rPr>
            <w:rStyle w:val="Hyperlink"/>
          </w:rPr>
          <w:t>http://victorarias.com.br/images/2013-05-16/1.jpg</w:t>
        </w:r>
      </w:hyperlink>
      <w:r w:rsidR="003E116C">
        <w:t xml:space="preserve"> accessed 1/6/16</w:t>
      </w:r>
    </w:p>
    <w:p w14:paraId="5DC24B27" w14:textId="40C2046D" w:rsidR="00C405C1" w:rsidRDefault="003C1F62" w:rsidP="006B027F">
      <w:pPr>
        <w:pStyle w:val="Heading2"/>
      </w:pPr>
      <w:bookmarkStart w:id="475" w:name="_Toc419116221"/>
      <w:r>
        <w:lastRenderedPageBreak/>
        <w:t>Ethics Approval</w:t>
      </w:r>
      <w:bookmarkEnd w:id="475"/>
    </w:p>
    <w:p w14:paraId="325FAFB1" w14:textId="2B84A997" w:rsidR="001B5201" w:rsidRPr="001B5201" w:rsidRDefault="00CA4352">
      <w:r>
        <w:rPr>
          <w:noProof/>
          <w:lang w:val="en-US"/>
        </w:rPr>
        <mc:AlternateContent>
          <mc:Choice Requires="wps">
            <w:drawing>
              <wp:anchor distT="0" distB="0" distL="114300" distR="114300" simplePos="0" relativeHeight="251664384" behindDoc="0" locked="0" layoutInCell="1" allowOverlap="1" wp14:anchorId="1B6ABF1A" wp14:editId="248BC25D">
                <wp:simplePos x="0" y="0"/>
                <wp:positionH relativeFrom="column">
                  <wp:posOffset>464820</wp:posOffset>
                </wp:positionH>
                <wp:positionV relativeFrom="paragraph">
                  <wp:posOffset>6115685</wp:posOffset>
                </wp:positionV>
                <wp:extent cx="861060" cy="266700"/>
                <wp:effectExtent l="0" t="0" r="15240" b="19050"/>
                <wp:wrapNone/>
                <wp:docPr id="6" name="Rectangle 6"/>
                <wp:cNvGraphicFramePr/>
                <a:graphic xmlns:a="http://schemas.openxmlformats.org/drawingml/2006/main">
                  <a:graphicData uri="http://schemas.microsoft.com/office/word/2010/wordprocessingShape">
                    <wps:wsp>
                      <wps:cNvSpPr/>
                      <wps:spPr>
                        <a:xfrm>
                          <a:off x="0" y="0"/>
                          <a:ext cx="861060" cy="266700"/>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15AC61" id="Rectangle 6" o:spid="_x0000_s1026" style="position:absolute;margin-left:36.6pt;margin-top:481.55pt;width:67.8pt;height:21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" fillcolor="black [3200]" strokecolor="black [480]" strokeweight="2pt"/>
            </w:pict>
          </mc:Fallback>
        </mc:AlternateContent>
      </w:r>
      <w:r w:rsidR="00B574B0">
        <w:rPr>
          <w:noProof/>
          <w:lang w:val="en-US"/>
        </w:rPr>
        <w:drawing>
          <wp:inline distT="0" distB="0" distL="0" distR="0" wp14:anchorId="7A1B9430" wp14:editId="5DCFCEB3">
            <wp:extent cx="5720080" cy="8144896"/>
            <wp:effectExtent l="0" t="0" r="0" b="8890"/>
            <wp:docPr id="118" name="Picture 118" descr="Macintosh HD:Users:Fliss:Desktop:Screen Shot 2017-08-14 at 10.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iss:Desktop:Screen Shot 2017-08-14 at 10.51.05.png"/>
                    <pic:cNvPicPr>
                      <a:picLocks noChangeAspect="1" noChangeArrowheads="1"/>
                    </pic:cNvPicPr>
                  </pic:nvPicPr>
                  <pic:blipFill rotWithShape="1">
                    <a:blip r:embed="rId204">
                      <a:extLst>
                        <a:ext uri="{28A0092B-C50C-407E-A947-70E740481C1C}">
                          <a14:useLocalDpi xmlns:a14="http://schemas.microsoft.com/office/drawing/2010/main" val="0"/>
                        </a:ext>
                      </a:extLst>
                    </a:blip>
                    <a:srcRect l="28235" t="1504" r="28471"/>
                    <a:stretch/>
                  </pic:blipFill>
                  <pic:spPr bwMode="auto">
                    <a:xfrm>
                      <a:off x="0" y="0"/>
                      <a:ext cx="5720410" cy="814536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8CF3F27" w14:textId="45BCE43F" w:rsidR="003C1F62" w:rsidRDefault="00C81B6F" w:rsidP="006B027F">
      <w:pPr>
        <w:pStyle w:val="Heading2"/>
      </w:pPr>
      <w:bookmarkStart w:id="476" w:name="_Toc419116222"/>
      <w:r>
        <w:lastRenderedPageBreak/>
        <w:t xml:space="preserve">IMASS </w:t>
      </w:r>
      <w:r w:rsidR="003C1F62">
        <w:t>learning outcomes</w:t>
      </w:r>
      <w:bookmarkEnd w:id="476"/>
    </w:p>
    <w:p w14:paraId="5E7DFBBE" w14:textId="77777777" w:rsidR="00C81B6F" w:rsidRPr="008C3723" w:rsidRDefault="00C81B6F" w:rsidP="00C81B6F">
      <w:pPr>
        <w:jc w:val="center"/>
        <w:rPr>
          <w:rFonts w:cs="Arial"/>
          <w:szCs w:val="24"/>
          <w:u w:val="single"/>
        </w:rPr>
      </w:pPr>
      <w:r w:rsidRPr="008C3723">
        <w:rPr>
          <w:rFonts w:cs="Arial"/>
          <w:szCs w:val="24"/>
          <w:u w:val="single"/>
        </w:rPr>
        <w:t>Learning outcomes for the IMASS course 2013</w:t>
      </w:r>
    </w:p>
    <w:p w14:paraId="222F895C" w14:textId="77777777" w:rsidR="00C81B6F" w:rsidRDefault="00C81B6F" w:rsidP="00C81B6F">
      <w:pPr>
        <w:rPr>
          <w:rFonts w:cs="Arial"/>
          <w:szCs w:val="24"/>
        </w:rPr>
      </w:pPr>
      <w:r>
        <w:rPr>
          <w:rFonts w:cs="Arial"/>
          <w:szCs w:val="24"/>
        </w:rPr>
        <w:t>In the final year, students must use practical and clinical skills, rehearsing their eventual responsibilities as an F1 doctor. This includes making recommendations for drug prescription, managing acutely ill patients under supervision. Students must be properly prepared for their first F1 post. Undergraduate medical education is part of a continuum of education and training which continues through to post graduate training and continuing professional development. Tomorrows Doctors 2009</w:t>
      </w:r>
    </w:p>
    <w:p w14:paraId="14B54007" w14:textId="77777777" w:rsidR="00C81B6F" w:rsidRPr="006B027F" w:rsidRDefault="00C81B6F" w:rsidP="002424E3">
      <w:pPr>
        <w:pStyle w:val="ListParagraph"/>
        <w:numPr>
          <w:ilvl w:val="0"/>
          <w:numId w:val="16"/>
        </w:numPr>
        <w:spacing w:after="200" w:line="276" w:lineRule="auto"/>
        <w:rPr>
          <w:rFonts w:ascii="Arial" w:hAnsi="Arial" w:cs="Arial"/>
          <w:b/>
          <w:sz w:val="24"/>
          <w:szCs w:val="24"/>
          <w:u w:val="single"/>
        </w:rPr>
      </w:pPr>
      <w:r w:rsidRPr="006B027F">
        <w:rPr>
          <w:rFonts w:ascii="Arial" w:hAnsi="Arial" w:cs="Arial"/>
          <w:b/>
          <w:sz w:val="24"/>
          <w:szCs w:val="24"/>
          <w:u w:val="single"/>
        </w:rPr>
        <w:t xml:space="preserve">Recognition of the acutely ill patient: </w:t>
      </w:r>
    </w:p>
    <w:p w14:paraId="26FAEFE4" w14:textId="77777777" w:rsidR="00C81B6F" w:rsidRPr="008C3723" w:rsidRDefault="00C81B6F" w:rsidP="006B027F">
      <w:pPr>
        <w:pStyle w:val="ListParagraph"/>
        <w:spacing w:after="200" w:line="276" w:lineRule="auto"/>
        <w:rPr>
          <w:rFonts w:ascii="Arial" w:hAnsi="Arial" w:cs="Arial"/>
          <w:sz w:val="24"/>
          <w:szCs w:val="24"/>
          <w:u w:val="single"/>
        </w:rPr>
      </w:pPr>
    </w:p>
    <w:p w14:paraId="08660977" w14:textId="5115E386" w:rsidR="00C81B6F" w:rsidRPr="001A37D5" w:rsidRDefault="00C81B6F" w:rsidP="002424E3">
      <w:pPr>
        <w:pStyle w:val="ListParagraph"/>
        <w:numPr>
          <w:ilvl w:val="0"/>
          <w:numId w:val="17"/>
        </w:numPr>
        <w:spacing w:line="480" w:lineRule="auto"/>
        <w:rPr>
          <w:rFonts w:cs="Arial"/>
          <w:szCs w:val="24"/>
        </w:rPr>
      </w:pPr>
      <w:r w:rsidRPr="006B027F">
        <w:rPr>
          <w:rFonts w:ascii="Arial" w:hAnsi="Arial" w:cs="Arial"/>
          <w:sz w:val="24"/>
          <w:szCs w:val="24"/>
        </w:rPr>
        <w:t xml:space="preserve">Assess </w:t>
      </w:r>
      <w:r w:rsidR="009B3879">
        <w:rPr>
          <w:rFonts w:ascii="Arial" w:hAnsi="Arial" w:cs="Arial"/>
          <w:sz w:val="24"/>
          <w:szCs w:val="24"/>
        </w:rPr>
        <w:t>and</w:t>
      </w:r>
      <w:r w:rsidRPr="006B027F">
        <w:rPr>
          <w:rFonts w:ascii="Arial" w:hAnsi="Arial" w:cs="Arial"/>
          <w:sz w:val="24"/>
          <w:szCs w:val="24"/>
        </w:rPr>
        <w:t xml:space="preserve"> recognise severity of a clinical presentation and need for emergency care, diagnose and manage acute medical emergencies.</w:t>
      </w:r>
    </w:p>
    <w:p w14:paraId="4D85C131" w14:textId="77777777" w:rsidR="00C81B6F" w:rsidRPr="001A37D5" w:rsidRDefault="00C81B6F" w:rsidP="002424E3">
      <w:pPr>
        <w:pStyle w:val="ListParagraph"/>
        <w:numPr>
          <w:ilvl w:val="0"/>
          <w:numId w:val="17"/>
        </w:numPr>
        <w:spacing w:line="480" w:lineRule="auto"/>
        <w:rPr>
          <w:rFonts w:cs="Arial"/>
          <w:szCs w:val="24"/>
        </w:rPr>
      </w:pPr>
      <w:r w:rsidRPr="006B027F">
        <w:rPr>
          <w:rFonts w:ascii="Arial" w:hAnsi="Arial" w:cs="Arial"/>
          <w:sz w:val="24"/>
          <w:szCs w:val="24"/>
        </w:rPr>
        <w:t xml:space="preserve">Uses ABCDE approach to assess. </w:t>
      </w:r>
    </w:p>
    <w:p w14:paraId="1F516007" w14:textId="77777777" w:rsidR="00C81B6F" w:rsidRPr="001A37D5" w:rsidRDefault="00C81B6F" w:rsidP="002424E3">
      <w:pPr>
        <w:pStyle w:val="ListParagraph"/>
        <w:numPr>
          <w:ilvl w:val="0"/>
          <w:numId w:val="17"/>
        </w:numPr>
        <w:spacing w:line="480" w:lineRule="auto"/>
        <w:rPr>
          <w:rFonts w:cs="Arial"/>
          <w:szCs w:val="24"/>
        </w:rPr>
      </w:pPr>
      <w:r w:rsidRPr="006B027F">
        <w:rPr>
          <w:rFonts w:ascii="Arial" w:hAnsi="Arial" w:cs="Arial"/>
          <w:sz w:val="24"/>
          <w:szCs w:val="24"/>
        </w:rPr>
        <w:t xml:space="preserve">Recognise and start initial management. </w:t>
      </w:r>
    </w:p>
    <w:p w14:paraId="0FDD9D40" w14:textId="77777777" w:rsidR="00C81B6F" w:rsidRPr="001A37D5" w:rsidRDefault="00C81B6F" w:rsidP="002424E3">
      <w:pPr>
        <w:pStyle w:val="ListParagraph"/>
        <w:numPr>
          <w:ilvl w:val="0"/>
          <w:numId w:val="17"/>
        </w:numPr>
        <w:spacing w:line="480" w:lineRule="auto"/>
        <w:rPr>
          <w:rFonts w:cs="Arial"/>
          <w:szCs w:val="24"/>
        </w:rPr>
      </w:pPr>
      <w:r w:rsidRPr="006B027F">
        <w:rPr>
          <w:rFonts w:ascii="Arial" w:hAnsi="Arial" w:cs="Arial"/>
          <w:sz w:val="24"/>
          <w:szCs w:val="24"/>
        </w:rPr>
        <w:t xml:space="preserve">Formulates plan. </w:t>
      </w:r>
    </w:p>
    <w:p w14:paraId="43E65646" w14:textId="77777777" w:rsidR="00C81B6F" w:rsidRPr="001A37D5" w:rsidRDefault="00C81B6F" w:rsidP="002424E3">
      <w:pPr>
        <w:pStyle w:val="ListParagraph"/>
        <w:numPr>
          <w:ilvl w:val="0"/>
          <w:numId w:val="17"/>
        </w:numPr>
        <w:spacing w:line="480" w:lineRule="auto"/>
        <w:rPr>
          <w:rFonts w:cs="Arial"/>
          <w:szCs w:val="24"/>
        </w:rPr>
      </w:pPr>
      <w:r w:rsidRPr="006B027F">
        <w:rPr>
          <w:rFonts w:ascii="Arial" w:hAnsi="Arial" w:cs="Arial"/>
          <w:sz w:val="24"/>
          <w:szCs w:val="24"/>
        </w:rPr>
        <w:t xml:space="preserve">Starts antimicrobials, oxygen and fluid therapy. </w:t>
      </w:r>
    </w:p>
    <w:p w14:paraId="768893D8" w14:textId="77777777" w:rsidR="00C81B6F" w:rsidRPr="001A37D5" w:rsidRDefault="00C81B6F" w:rsidP="002424E3">
      <w:pPr>
        <w:pStyle w:val="ListParagraph"/>
        <w:numPr>
          <w:ilvl w:val="0"/>
          <w:numId w:val="17"/>
        </w:numPr>
        <w:spacing w:line="480" w:lineRule="auto"/>
        <w:rPr>
          <w:rFonts w:cs="Arial"/>
          <w:szCs w:val="24"/>
        </w:rPr>
      </w:pPr>
      <w:r w:rsidRPr="006B027F">
        <w:rPr>
          <w:rFonts w:ascii="Arial" w:hAnsi="Arial" w:cs="Arial"/>
          <w:sz w:val="24"/>
          <w:szCs w:val="24"/>
        </w:rPr>
        <w:t xml:space="preserve">Recognise when needs ABG/ bloods. </w:t>
      </w:r>
    </w:p>
    <w:p w14:paraId="709CAC31" w14:textId="77777777" w:rsidR="00C81B6F" w:rsidRPr="001A37D5" w:rsidRDefault="00C81B6F" w:rsidP="002424E3">
      <w:pPr>
        <w:pStyle w:val="ListParagraph"/>
        <w:numPr>
          <w:ilvl w:val="0"/>
          <w:numId w:val="17"/>
        </w:numPr>
        <w:spacing w:line="480" w:lineRule="auto"/>
        <w:rPr>
          <w:rFonts w:cs="Arial"/>
          <w:szCs w:val="24"/>
        </w:rPr>
      </w:pPr>
      <w:r w:rsidRPr="006B027F">
        <w:rPr>
          <w:rFonts w:ascii="Arial" w:hAnsi="Arial" w:cs="Arial"/>
          <w:sz w:val="24"/>
          <w:szCs w:val="24"/>
        </w:rPr>
        <w:t xml:space="preserve">Reassess after treatment, try and prevent deterioration. </w:t>
      </w:r>
    </w:p>
    <w:p w14:paraId="4586D534" w14:textId="77777777" w:rsidR="00C81B6F" w:rsidRPr="001A37D5" w:rsidRDefault="00C81B6F" w:rsidP="002424E3">
      <w:pPr>
        <w:pStyle w:val="ListParagraph"/>
        <w:numPr>
          <w:ilvl w:val="0"/>
          <w:numId w:val="17"/>
        </w:numPr>
        <w:spacing w:line="480" w:lineRule="auto"/>
        <w:rPr>
          <w:rFonts w:cs="Arial"/>
          <w:szCs w:val="24"/>
        </w:rPr>
      </w:pPr>
      <w:r w:rsidRPr="006B027F">
        <w:rPr>
          <w:rFonts w:ascii="Arial" w:hAnsi="Arial" w:cs="Arial"/>
          <w:sz w:val="24"/>
          <w:szCs w:val="24"/>
        </w:rPr>
        <w:t xml:space="preserve">Recognise indicators for ITU/escalation. </w:t>
      </w:r>
    </w:p>
    <w:p w14:paraId="60ADFA0A" w14:textId="77777777" w:rsidR="00C81B6F" w:rsidRDefault="00C81B6F" w:rsidP="002424E3">
      <w:pPr>
        <w:pStyle w:val="ListParagraph"/>
        <w:numPr>
          <w:ilvl w:val="0"/>
          <w:numId w:val="17"/>
        </w:numPr>
        <w:spacing w:line="480" w:lineRule="auto"/>
        <w:rPr>
          <w:rFonts w:cs="Arial"/>
          <w:szCs w:val="24"/>
        </w:rPr>
      </w:pPr>
      <w:r w:rsidRPr="006B027F">
        <w:rPr>
          <w:rFonts w:ascii="Arial" w:hAnsi="Arial" w:cs="Arial"/>
          <w:sz w:val="24"/>
          <w:szCs w:val="24"/>
        </w:rPr>
        <w:t>Managing sepsis – sepsis resus bundle www.survivingsepsis.org, takes specimens at timely stage, appropriate antimicrobials.</w:t>
      </w:r>
    </w:p>
    <w:p w14:paraId="7D0AEB89" w14:textId="77777777" w:rsidR="00C81B6F" w:rsidRPr="001A37D5" w:rsidRDefault="00C81B6F" w:rsidP="006B027F">
      <w:pPr>
        <w:pStyle w:val="ListParagraph"/>
        <w:rPr>
          <w:rFonts w:cs="Arial"/>
          <w:szCs w:val="24"/>
        </w:rPr>
      </w:pPr>
    </w:p>
    <w:p w14:paraId="0D5E3CC9" w14:textId="77777777" w:rsidR="00C81B6F" w:rsidRPr="006B027F" w:rsidRDefault="00C81B6F" w:rsidP="002424E3">
      <w:pPr>
        <w:pStyle w:val="ListParagraph"/>
        <w:numPr>
          <w:ilvl w:val="0"/>
          <w:numId w:val="16"/>
        </w:numPr>
        <w:spacing w:after="200" w:line="276" w:lineRule="auto"/>
        <w:rPr>
          <w:rFonts w:ascii="Arial" w:hAnsi="Arial" w:cs="Arial"/>
          <w:b/>
          <w:sz w:val="24"/>
          <w:szCs w:val="24"/>
          <w:u w:val="single"/>
        </w:rPr>
      </w:pPr>
      <w:r w:rsidRPr="006B027F">
        <w:rPr>
          <w:rFonts w:ascii="Arial" w:hAnsi="Arial" w:cs="Arial"/>
          <w:b/>
          <w:sz w:val="24"/>
          <w:szCs w:val="24"/>
          <w:u w:val="single"/>
        </w:rPr>
        <w:t>Investigations and procedures:</w:t>
      </w:r>
    </w:p>
    <w:p w14:paraId="21DA3D4E" w14:textId="77777777" w:rsidR="00C81B6F" w:rsidRPr="008C3723" w:rsidRDefault="00C81B6F" w:rsidP="006B027F">
      <w:pPr>
        <w:pStyle w:val="ListParagraph"/>
        <w:spacing w:after="200" w:line="276" w:lineRule="auto"/>
        <w:rPr>
          <w:rFonts w:ascii="Arial" w:hAnsi="Arial" w:cs="Arial"/>
          <w:sz w:val="24"/>
          <w:szCs w:val="24"/>
          <w:u w:val="single"/>
        </w:rPr>
      </w:pPr>
    </w:p>
    <w:p w14:paraId="734E94C0" w14:textId="77777777" w:rsidR="00C81B6F" w:rsidRPr="001A37D5" w:rsidRDefault="00C81B6F" w:rsidP="002424E3">
      <w:pPr>
        <w:pStyle w:val="ListParagraph"/>
        <w:numPr>
          <w:ilvl w:val="0"/>
          <w:numId w:val="18"/>
        </w:numPr>
        <w:spacing w:line="480" w:lineRule="auto"/>
        <w:rPr>
          <w:rFonts w:cs="Arial"/>
          <w:szCs w:val="24"/>
        </w:rPr>
      </w:pPr>
      <w:r w:rsidRPr="006B027F">
        <w:rPr>
          <w:rFonts w:ascii="Arial" w:hAnsi="Arial" w:cs="Arial"/>
          <w:sz w:val="24"/>
          <w:szCs w:val="24"/>
        </w:rPr>
        <w:t xml:space="preserve">Perform a range of diagnostic procedures, measure and record the findings, demonstrate correct practice in general aspects of practical </w:t>
      </w:r>
      <w:r w:rsidRPr="006B027F">
        <w:rPr>
          <w:rFonts w:ascii="Arial" w:hAnsi="Arial" w:cs="Arial"/>
          <w:sz w:val="24"/>
          <w:szCs w:val="24"/>
        </w:rPr>
        <w:lastRenderedPageBreak/>
        <w:t>procedures. Requests, arranges, interprets, acts upon lab tests, x-rays, urine analysis, ECGs. Correctly identifies NGT placement on x-ray.</w:t>
      </w:r>
    </w:p>
    <w:p w14:paraId="28AD909F" w14:textId="180DBE12" w:rsidR="00C81B6F" w:rsidRPr="001A37D5" w:rsidRDefault="00C81B6F" w:rsidP="002424E3">
      <w:pPr>
        <w:pStyle w:val="ListParagraph"/>
        <w:numPr>
          <w:ilvl w:val="0"/>
          <w:numId w:val="18"/>
        </w:numPr>
        <w:spacing w:line="480" w:lineRule="auto"/>
        <w:rPr>
          <w:rFonts w:cs="Arial"/>
          <w:szCs w:val="24"/>
        </w:rPr>
      </w:pPr>
      <w:r w:rsidRPr="006B027F">
        <w:rPr>
          <w:rFonts w:ascii="Arial" w:hAnsi="Arial" w:cs="Arial"/>
          <w:sz w:val="24"/>
          <w:szCs w:val="24"/>
        </w:rPr>
        <w:t xml:space="preserve">Venepuncture, IV cannulation, safe IV medication and fluid administration, ABG, Blood culture, injection local anaesthetic </w:t>
      </w:r>
      <w:r w:rsidR="000A27DF">
        <w:rPr>
          <w:rFonts w:ascii="Arial" w:hAnsi="Arial" w:cs="Arial"/>
          <w:sz w:val="24"/>
          <w:szCs w:val="24"/>
        </w:rPr>
        <w:t>into</w:t>
      </w:r>
      <w:r w:rsidRPr="006B027F">
        <w:rPr>
          <w:rFonts w:ascii="Arial" w:hAnsi="Arial" w:cs="Arial"/>
          <w:sz w:val="24"/>
          <w:szCs w:val="24"/>
        </w:rPr>
        <w:t xml:space="preserve"> skin, IM and SC injection, perform and interpret ECG, perform and interpret peak flow, urethral catheterisation in men and women, airway care </w:t>
      </w:r>
      <w:r w:rsidR="009B3879">
        <w:rPr>
          <w:rFonts w:ascii="Arial" w:hAnsi="Arial" w:cs="Arial"/>
          <w:sz w:val="24"/>
          <w:szCs w:val="24"/>
        </w:rPr>
        <w:t>and</w:t>
      </w:r>
      <w:r w:rsidRPr="006B027F">
        <w:rPr>
          <w:rFonts w:ascii="Arial" w:hAnsi="Arial" w:cs="Arial"/>
          <w:sz w:val="24"/>
          <w:szCs w:val="24"/>
        </w:rPr>
        <w:t xml:space="preserve"> simple adjuncts.</w:t>
      </w:r>
    </w:p>
    <w:p w14:paraId="2591FBCE" w14:textId="77777777" w:rsidR="00C81B6F" w:rsidRPr="001A37D5" w:rsidRDefault="00C81B6F" w:rsidP="002424E3">
      <w:pPr>
        <w:pStyle w:val="ListParagraph"/>
        <w:numPr>
          <w:ilvl w:val="0"/>
          <w:numId w:val="18"/>
        </w:numPr>
        <w:spacing w:line="480" w:lineRule="auto"/>
        <w:rPr>
          <w:rFonts w:cs="Arial"/>
          <w:szCs w:val="24"/>
        </w:rPr>
      </w:pPr>
      <w:r w:rsidRPr="006B027F">
        <w:rPr>
          <w:rFonts w:ascii="Arial" w:hAnsi="Arial" w:cs="Arial"/>
          <w:sz w:val="24"/>
          <w:szCs w:val="24"/>
        </w:rPr>
        <w:t xml:space="preserve">For tasks – </w:t>
      </w:r>
    </w:p>
    <w:p w14:paraId="6C75D1B8" w14:textId="77777777" w:rsidR="00C81B6F" w:rsidRPr="001A37D5" w:rsidRDefault="00C81B6F" w:rsidP="002424E3">
      <w:pPr>
        <w:pStyle w:val="ListParagraph"/>
        <w:numPr>
          <w:ilvl w:val="0"/>
          <w:numId w:val="18"/>
        </w:numPr>
        <w:spacing w:line="480" w:lineRule="auto"/>
        <w:rPr>
          <w:rFonts w:cs="Arial"/>
          <w:szCs w:val="24"/>
        </w:rPr>
      </w:pPr>
      <w:r w:rsidRPr="006B027F">
        <w:rPr>
          <w:rFonts w:ascii="Arial" w:hAnsi="Arial" w:cs="Arial"/>
          <w:sz w:val="24"/>
          <w:szCs w:val="24"/>
        </w:rPr>
        <w:t xml:space="preserve">Explain procedure and gain valid informed consent. </w:t>
      </w:r>
    </w:p>
    <w:p w14:paraId="7EFB6F69" w14:textId="77777777" w:rsidR="00C81B6F" w:rsidRPr="001A37D5" w:rsidRDefault="00C81B6F" w:rsidP="002424E3">
      <w:pPr>
        <w:pStyle w:val="ListParagraph"/>
        <w:numPr>
          <w:ilvl w:val="0"/>
          <w:numId w:val="18"/>
        </w:numPr>
        <w:spacing w:line="480" w:lineRule="auto"/>
        <w:rPr>
          <w:rFonts w:cs="Arial"/>
          <w:szCs w:val="24"/>
        </w:rPr>
      </w:pPr>
      <w:r w:rsidRPr="006B027F">
        <w:rPr>
          <w:rFonts w:ascii="Arial" w:hAnsi="Arial" w:cs="Arial"/>
          <w:sz w:val="24"/>
          <w:szCs w:val="24"/>
        </w:rPr>
        <w:t>Prepare equipment, sterile field, position patient, appropriate pre-procedure analgesia.</w:t>
      </w:r>
    </w:p>
    <w:p w14:paraId="0EEDFAD2" w14:textId="77777777" w:rsidR="00C81B6F" w:rsidRPr="001A37D5" w:rsidRDefault="00C81B6F" w:rsidP="002424E3">
      <w:pPr>
        <w:pStyle w:val="ListParagraph"/>
        <w:numPr>
          <w:ilvl w:val="0"/>
          <w:numId w:val="18"/>
        </w:numPr>
        <w:spacing w:line="480" w:lineRule="auto"/>
        <w:rPr>
          <w:rFonts w:cs="Arial"/>
          <w:szCs w:val="24"/>
        </w:rPr>
      </w:pPr>
      <w:r w:rsidRPr="006B027F">
        <w:rPr>
          <w:rFonts w:ascii="Arial" w:hAnsi="Arial" w:cs="Arial"/>
          <w:sz w:val="24"/>
          <w:szCs w:val="24"/>
        </w:rPr>
        <w:t xml:space="preserve">Prepare the skin, ask for help if appropriate, </w:t>
      </w:r>
    </w:p>
    <w:p w14:paraId="5ABBFE83" w14:textId="77777777" w:rsidR="00C81B6F" w:rsidRPr="001A37D5" w:rsidRDefault="00C81B6F" w:rsidP="002424E3">
      <w:pPr>
        <w:pStyle w:val="ListParagraph"/>
        <w:numPr>
          <w:ilvl w:val="0"/>
          <w:numId w:val="18"/>
        </w:numPr>
        <w:spacing w:line="480" w:lineRule="auto"/>
        <w:rPr>
          <w:rFonts w:cs="Arial"/>
          <w:szCs w:val="24"/>
        </w:rPr>
      </w:pPr>
      <w:r w:rsidRPr="006B027F">
        <w:rPr>
          <w:rFonts w:ascii="Arial" w:hAnsi="Arial" w:cs="Arial"/>
          <w:sz w:val="24"/>
          <w:szCs w:val="24"/>
        </w:rPr>
        <w:t>Safely dispose of equipment particularly sharps.</w:t>
      </w:r>
    </w:p>
    <w:p w14:paraId="791FD894" w14:textId="77777777" w:rsidR="00C81B6F" w:rsidRPr="001A37D5" w:rsidRDefault="00C81B6F" w:rsidP="002424E3">
      <w:pPr>
        <w:pStyle w:val="ListParagraph"/>
        <w:numPr>
          <w:ilvl w:val="0"/>
          <w:numId w:val="18"/>
        </w:numPr>
        <w:spacing w:line="480" w:lineRule="auto"/>
        <w:rPr>
          <w:rFonts w:cs="Arial"/>
          <w:szCs w:val="24"/>
        </w:rPr>
      </w:pPr>
      <w:r w:rsidRPr="006B027F">
        <w:rPr>
          <w:rFonts w:ascii="Arial" w:hAnsi="Arial" w:cs="Arial"/>
          <w:sz w:val="24"/>
          <w:szCs w:val="24"/>
        </w:rPr>
        <w:t>Maintain patient dignity.</w:t>
      </w:r>
    </w:p>
    <w:p w14:paraId="55C4A2AC" w14:textId="77777777" w:rsidR="00C81B6F" w:rsidRPr="001A37D5" w:rsidRDefault="00C81B6F" w:rsidP="002424E3">
      <w:pPr>
        <w:pStyle w:val="ListParagraph"/>
        <w:numPr>
          <w:ilvl w:val="0"/>
          <w:numId w:val="18"/>
        </w:numPr>
        <w:spacing w:line="480" w:lineRule="auto"/>
        <w:rPr>
          <w:rFonts w:cs="Arial"/>
          <w:szCs w:val="24"/>
        </w:rPr>
      </w:pPr>
      <w:r w:rsidRPr="006B027F">
        <w:rPr>
          <w:rFonts w:ascii="Arial" w:hAnsi="Arial" w:cs="Arial"/>
          <w:sz w:val="24"/>
          <w:szCs w:val="24"/>
        </w:rPr>
        <w:t>Document procedure, label specimens, ensure adequate post procedure instructions are left/ documented</w:t>
      </w:r>
    </w:p>
    <w:p w14:paraId="73A17287" w14:textId="77777777" w:rsidR="00C81B6F" w:rsidRPr="006B027F" w:rsidRDefault="00C81B6F" w:rsidP="002424E3">
      <w:pPr>
        <w:pStyle w:val="ListParagraph"/>
        <w:numPr>
          <w:ilvl w:val="0"/>
          <w:numId w:val="16"/>
        </w:numPr>
        <w:spacing w:after="200" w:line="276" w:lineRule="auto"/>
        <w:rPr>
          <w:rFonts w:ascii="Arial" w:hAnsi="Arial" w:cs="Arial"/>
          <w:b/>
          <w:sz w:val="24"/>
          <w:szCs w:val="24"/>
          <w:u w:val="single"/>
        </w:rPr>
      </w:pPr>
      <w:r w:rsidRPr="006B027F">
        <w:rPr>
          <w:rFonts w:ascii="Arial" w:hAnsi="Arial" w:cs="Arial"/>
          <w:b/>
          <w:sz w:val="24"/>
          <w:szCs w:val="24"/>
          <w:u w:val="single"/>
        </w:rPr>
        <w:t>Good clinical care:</w:t>
      </w:r>
    </w:p>
    <w:p w14:paraId="3CDDBE4C" w14:textId="77777777" w:rsidR="00C81B6F" w:rsidRPr="00EE028E" w:rsidRDefault="00C81B6F" w:rsidP="006B027F">
      <w:pPr>
        <w:pStyle w:val="ListParagraph"/>
        <w:spacing w:after="200" w:line="276" w:lineRule="auto"/>
        <w:rPr>
          <w:rFonts w:ascii="Arial" w:hAnsi="Arial" w:cs="Arial"/>
          <w:sz w:val="24"/>
          <w:szCs w:val="24"/>
          <w:u w:val="single"/>
        </w:rPr>
      </w:pPr>
    </w:p>
    <w:p w14:paraId="13B3A147" w14:textId="77777777" w:rsidR="00C81B6F" w:rsidRPr="001A37D5" w:rsidRDefault="00C81B6F" w:rsidP="002424E3">
      <w:pPr>
        <w:pStyle w:val="ListParagraph"/>
        <w:numPr>
          <w:ilvl w:val="0"/>
          <w:numId w:val="19"/>
        </w:numPr>
        <w:spacing w:line="480" w:lineRule="auto"/>
        <w:rPr>
          <w:rFonts w:cs="Arial"/>
          <w:szCs w:val="24"/>
        </w:rPr>
      </w:pPr>
      <w:r w:rsidRPr="006B027F">
        <w:rPr>
          <w:rFonts w:ascii="Arial" w:hAnsi="Arial" w:cs="Arial"/>
          <w:sz w:val="24"/>
          <w:szCs w:val="24"/>
        </w:rPr>
        <w:t>Delivers high quality care, asks for help when appropriate.</w:t>
      </w:r>
    </w:p>
    <w:p w14:paraId="6D3EDA8F" w14:textId="77777777" w:rsidR="00C81B6F" w:rsidRPr="001A37D5" w:rsidRDefault="00C81B6F" w:rsidP="002424E3">
      <w:pPr>
        <w:pStyle w:val="ListParagraph"/>
        <w:numPr>
          <w:ilvl w:val="0"/>
          <w:numId w:val="19"/>
        </w:numPr>
        <w:spacing w:line="480" w:lineRule="auto"/>
        <w:rPr>
          <w:rFonts w:cs="Arial"/>
          <w:szCs w:val="24"/>
        </w:rPr>
      </w:pPr>
      <w:r w:rsidRPr="006B027F">
        <w:rPr>
          <w:rFonts w:ascii="Arial" w:hAnsi="Arial" w:cs="Arial"/>
          <w:sz w:val="24"/>
          <w:szCs w:val="24"/>
        </w:rPr>
        <w:t xml:space="preserve">Maintains patient safety. </w:t>
      </w:r>
    </w:p>
    <w:p w14:paraId="1F53A1E1" w14:textId="77777777" w:rsidR="00C81B6F" w:rsidRPr="001A37D5" w:rsidRDefault="00C81B6F" w:rsidP="002424E3">
      <w:pPr>
        <w:pStyle w:val="ListParagraph"/>
        <w:numPr>
          <w:ilvl w:val="0"/>
          <w:numId w:val="19"/>
        </w:numPr>
        <w:spacing w:line="480" w:lineRule="auto"/>
        <w:rPr>
          <w:rFonts w:cs="Arial"/>
          <w:szCs w:val="24"/>
        </w:rPr>
      </w:pPr>
      <w:r w:rsidRPr="006B027F">
        <w:rPr>
          <w:rFonts w:ascii="Arial" w:hAnsi="Arial" w:cs="Arial"/>
          <w:sz w:val="24"/>
          <w:szCs w:val="24"/>
        </w:rPr>
        <w:t xml:space="preserve">Obtains accurate history, examination and records findings. </w:t>
      </w:r>
    </w:p>
    <w:p w14:paraId="6675E703" w14:textId="77777777" w:rsidR="00C81B6F" w:rsidRPr="001A37D5" w:rsidRDefault="00C81B6F" w:rsidP="002424E3">
      <w:pPr>
        <w:pStyle w:val="ListParagraph"/>
        <w:numPr>
          <w:ilvl w:val="0"/>
          <w:numId w:val="19"/>
        </w:numPr>
        <w:spacing w:line="480" w:lineRule="auto"/>
        <w:rPr>
          <w:rFonts w:cs="Arial"/>
          <w:szCs w:val="24"/>
        </w:rPr>
      </w:pPr>
      <w:r w:rsidRPr="006B027F">
        <w:rPr>
          <w:rFonts w:ascii="Arial" w:hAnsi="Arial" w:cs="Arial"/>
          <w:sz w:val="24"/>
          <w:szCs w:val="24"/>
        </w:rPr>
        <w:t xml:space="preserve">Makes appropriate differential diagnosis and formulates management plan. </w:t>
      </w:r>
    </w:p>
    <w:p w14:paraId="542C59B8" w14:textId="77777777" w:rsidR="00C81B6F" w:rsidRPr="001A37D5" w:rsidRDefault="00C81B6F" w:rsidP="002424E3">
      <w:pPr>
        <w:pStyle w:val="ListParagraph"/>
        <w:numPr>
          <w:ilvl w:val="0"/>
          <w:numId w:val="19"/>
        </w:numPr>
        <w:spacing w:line="480" w:lineRule="auto"/>
        <w:rPr>
          <w:rFonts w:cs="Arial"/>
          <w:szCs w:val="24"/>
        </w:rPr>
      </w:pPr>
      <w:r w:rsidRPr="006B027F">
        <w:rPr>
          <w:rFonts w:ascii="Arial" w:hAnsi="Arial" w:cs="Arial"/>
          <w:sz w:val="24"/>
          <w:szCs w:val="24"/>
        </w:rPr>
        <w:t xml:space="preserve">Takes responsibility for reviews, investigations and completing management plans. Demonstrates use of non-invasive monitoring and correct interpretation. </w:t>
      </w:r>
    </w:p>
    <w:p w14:paraId="447ADCCF" w14:textId="77777777" w:rsidR="00C81B6F" w:rsidRPr="001A37D5" w:rsidRDefault="00C81B6F" w:rsidP="002424E3">
      <w:pPr>
        <w:pStyle w:val="ListParagraph"/>
        <w:numPr>
          <w:ilvl w:val="0"/>
          <w:numId w:val="19"/>
        </w:numPr>
        <w:spacing w:line="480" w:lineRule="auto"/>
        <w:rPr>
          <w:rFonts w:cs="Arial"/>
          <w:szCs w:val="24"/>
        </w:rPr>
      </w:pPr>
      <w:r w:rsidRPr="006B027F">
        <w:rPr>
          <w:rFonts w:ascii="Arial" w:hAnsi="Arial" w:cs="Arial"/>
          <w:sz w:val="24"/>
          <w:szCs w:val="24"/>
        </w:rPr>
        <w:lastRenderedPageBreak/>
        <w:t xml:space="preserve">Demonstrates good infection control techniques. Records accurately and documents results. </w:t>
      </w:r>
    </w:p>
    <w:p w14:paraId="3875B96E" w14:textId="77777777" w:rsidR="00C81B6F" w:rsidRPr="001A37D5" w:rsidRDefault="00C81B6F" w:rsidP="002424E3">
      <w:pPr>
        <w:pStyle w:val="ListParagraph"/>
        <w:numPr>
          <w:ilvl w:val="0"/>
          <w:numId w:val="19"/>
        </w:numPr>
        <w:spacing w:line="480" w:lineRule="auto"/>
        <w:rPr>
          <w:rFonts w:cs="Arial"/>
          <w:szCs w:val="24"/>
        </w:rPr>
      </w:pPr>
      <w:r w:rsidRPr="006B027F">
        <w:rPr>
          <w:rFonts w:ascii="Arial" w:hAnsi="Arial" w:cs="Arial"/>
          <w:sz w:val="24"/>
          <w:szCs w:val="24"/>
        </w:rPr>
        <w:t>Makes appropriate referrals.</w:t>
      </w:r>
    </w:p>
    <w:p w14:paraId="17578EB3" w14:textId="77777777" w:rsidR="00C81B6F" w:rsidRPr="001A37D5" w:rsidRDefault="00C81B6F" w:rsidP="002424E3">
      <w:pPr>
        <w:pStyle w:val="ListParagraph"/>
        <w:numPr>
          <w:ilvl w:val="0"/>
          <w:numId w:val="19"/>
        </w:numPr>
        <w:spacing w:line="480" w:lineRule="auto"/>
        <w:rPr>
          <w:rFonts w:cs="Arial"/>
          <w:szCs w:val="24"/>
        </w:rPr>
      </w:pPr>
      <w:r w:rsidRPr="006B027F">
        <w:rPr>
          <w:rFonts w:ascii="Arial" w:hAnsi="Arial" w:cs="Arial"/>
          <w:sz w:val="24"/>
          <w:szCs w:val="24"/>
        </w:rPr>
        <w:t>Prescribes drugs safely, effectively and economically, plan appropriate drug therapy, provide safe and legal prescription, detect and report adverse drug reactions.</w:t>
      </w:r>
    </w:p>
    <w:p w14:paraId="150A256C" w14:textId="77777777" w:rsidR="00C81B6F" w:rsidRDefault="00C81B6F" w:rsidP="002424E3">
      <w:pPr>
        <w:pStyle w:val="ListParagraph"/>
        <w:numPr>
          <w:ilvl w:val="0"/>
          <w:numId w:val="19"/>
        </w:numPr>
        <w:spacing w:line="480" w:lineRule="auto"/>
        <w:rPr>
          <w:rFonts w:cs="Arial"/>
          <w:szCs w:val="24"/>
        </w:rPr>
      </w:pPr>
      <w:r w:rsidRPr="006B027F">
        <w:rPr>
          <w:rFonts w:ascii="Arial" w:hAnsi="Arial" w:cs="Arial"/>
          <w:sz w:val="24"/>
          <w:szCs w:val="24"/>
        </w:rPr>
        <w:t>Keep accurate, legible and complete clinical records. Keep to requirements of confidentiality and data protection legislation</w:t>
      </w:r>
    </w:p>
    <w:p w14:paraId="4E23BCDF" w14:textId="77777777" w:rsidR="00C81B6F" w:rsidRPr="001A37D5" w:rsidRDefault="00C81B6F" w:rsidP="006B027F">
      <w:pPr>
        <w:pStyle w:val="ListParagraph"/>
        <w:spacing w:line="480" w:lineRule="auto"/>
        <w:rPr>
          <w:rFonts w:cs="Arial"/>
          <w:szCs w:val="24"/>
        </w:rPr>
      </w:pPr>
    </w:p>
    <w:p w14:paraId="414A6325" w14:textId="52C94F08" w:rsidR="00C81B6F" w:rsidRPr="006B027F" w:rsidRDefault="00C81B6F" w:rsidP="002424E3">
      <w:pPr>
        <w:pStyle w:val="ListParagraph"/>
        <w:numPr>
          <w:ilvl w:val="0"/>
          <w:numId w:val="16"/>
        </w:numPr>
        <w:spacing w:after="200" w:line="276" w:lineRule="auto"/>
        <w:rPr>
          <w:rFonts w:ascii="Arial" w:hAnsi="Arial" w:cs="Arial"/>
          <w:b/>
          <w:sz w:val="24"/>
          <w:szCs w:val="24"/>
          <w:u w:val="single"/>
        </w:rPr>
      </w:pPr>
      <w:r w:rsidRPr="006B027F">
        <w:rPr>
          <w:rFonts w:ascii="Arial" w:hAnsi="Arial" w:cs="Arial"/>
          <w:b/>
          <w:sz w:val="24"/>
          <w:szCs w:val="24"/>
          <w:u w:val="single"/>
        </w:rPr>
        <w:t xml:space="preserve">Relationship </w:t>
      </w:r>
      <w:r w:rsidR="009B3879">
        <w:rPr>
          <w:rFonts w:ascii="Arial" w:hAnsi="Arial" w:cs="Arial"/>
          <w:b/>
          <w:sz w:val="24"/>
          <w:szCs w:val="24"/>
          <w:u w:val="single"/>
        </w:rPr>
        <w:t>and</w:t>
      </w:r>
      <w:r w:rsidRPr="006B027F">
        <w:rPr>
          <w:rFonts w:ascii="Arial" w:hAnsi="Arial" w:cs="Arial"/>
          <w:b/>
          <w:sz w:val="24"/>
          <w:szCs w:val="24"/>
          <w:u w:val="single"/>
        </w:rPr>
        <w:t xml:space="preserve"> communication with patients and staff:</w:t>
      </w:r>
    </w:p>
    <w:p w14:paraId="21650E2E" w14:textId="77777777" w:rsidR="00C81B6F" w:rsidRPr="00EE028E" w:rsidRDefault="00C81B6F" w:rsidP="006B027F">
      <w:pPr>
        <w:pStyle w:val="ListParagraph"/>
        <w:spacing w:after="200" w:line="276" w:lineRule="auto"/>
        <w:rPr>
          <w:rFonts w:ascii="Arial" w:hAnsi="Arial" w:cs="Arial"/>
          <w:sz w:val="24"/>
          <w:szCs w:val="24"/>
          <w:u w:val="single"/>
        </w:rPr>
      </w:pPr>
    </w:p>
    <w:p w14:paraId="5DCA6425" w14:textId="77777777" w:rsidR="00C81B6F" w:rsidRPr="001A37D5" w:rsidRDefault="00C81B6F" w:rsidP="002424E3">
      <w:pPr>
        <w:pStyle w:val="ListParagraph"/>
        <w:numPr>
          <w:ilvl w:val="0"/>
          <w:numId w:val="20"/>
        </w:numPr>
        <w:spacing w:line="480" w:lineRule="auto"/>
        <w:rPr>
          <w:rFonts w:cs="Arial"/>
          <w:szCs w:val="24"/>
        </w:rPr>
      </w:pPr>
      <w:r w:rsidRPr="006B027F">
        <w:rPr>
          <w:rFonts w:ascii="Arial" w:hAnsi="Arial" w:cs="Arial"/>
          <w:sz w:val="24"/>
          <w:szCs w:val="24"/>
        </w:rPr>
        <w:t xml:space="preserve">Prioritises needs of patients, respects them as individuals, works in partnership in open way. </w:t>
      </w:r>
    </w:p>
    <w:p w14:paraId="3870DA40" w14:textId="77777777" w:rsidR="00C81B6F" w:rsidRPr="001A37D5" w:rsidRDefault="00C81B6F" w:rsidP="002424E3">
      <w:pPr>
        <w:pStyle w:val="ListParagraph"/>
        <w:numPr>
          <w:ilvl w:val="0"/>
          <w:numId w:val="20"/>
        </w:numPr>
        <w:spacing w:line="480" w:lineRule="auto"/>
        <w:rPr>
          <w:rFonts w:cs="Arial"/>
          <w:szCs w:val="24"/>
        </w:rPr>
      </w:pPr>
      <w:r w:rsidRPr="006B027F">
        <w:rPr>
          <w:rFonts w:ascii="Arial" w:hAnsi="Arial" w:cs="Arial"/>
          <w:sz w:val="24"/>
          <w:szCs w:val="24"/>
        </w:rPr>
        <w:t xml:space="preserve">Effective empathetic communication. </w:t>
      </w:r>
    </w:p>
    <w:p w14:paraId="5C7197EC" w14:textId="16B2A573" w:rsidR="00C81B6F" w:rsidRPr="001A37D5" w:rsidRDefault="00C81B6F" w:rsidP="002424E3">
      <w:pPr>
        <w:pStyle w:val="ListParagraph"/>
        <w:numPr>
          <w:ilvl w:val="0"/>
          <w:numId w:val="20"/>
        </w:numPr>
        <w:spacing w:line="480" w:lineRule="auto"/>
        <w:rPr>
          <w:rFonts w:cs="Arial"/>
          <w:szCs w:val="24"/>
        </w:rPr>
      </w:pPr>
      <w:r w:rsidRPr="006B027F">
        <w:rPr>
          <w:rFonts w:ascii="Arial" w:hAnsi="Arial" w:cs="Arial"/>
          <w:sz w:val="24"/>
          <w:szCs w:val="24"/>
        </w:rPr>
        <w:t xml:space="preserve">Breaks bad news effectively </w:t>
      </w:r>
      <w:r w:rsidR="009B3879">
        <w:rPr>
          <w:rFonts w:ascii="Arial" w:hAnsi="Arial" w:cs="Arial"/>
          <w:sz w:val="24"/>
          <w:szCs w:val="24"/>
        </w:rPr>
        <w:t>and</w:t>
      </w:r>
      <w:r w:rsidRPr="006B027F">
        <w:rPr>
          <w:rFonts w:ascii="Arial" w:hAnsi="Arial" w:cs="Arial"/>
          <w:sz w:val="24"/>
          <w:szCs w:val="24"/>
        </w:rPr>
        <w:t xml:space="preserve"> compassionately. </w:t>
      </w:r>
    </w:p>
    <w:p w14:paraId="0CDE2E4D" w14:textId="77777777" w:rsidR="00C81B6F" w:rsidRPr="001A37D5" w:rsidRDefault="00C81B6F" w:rsidP="002424E3">
      <w:pPr>
        <w:pStyle w:val="ListParagraph"/>
        <w:numPr>
          <w:ilvl w:val="0"/>
          <w:numId w:val="20"/>
        </w:numPr>
        <w:spacing w:line="480" w:lineRule="auto"/>
        <w:rPr>
          <w:rFonts w:cs="Arial"/>
          <w:szCs w:val="24"/>
        </w:rPr>
      </w:pPr>
      <w:r w:rsidRPr="006B027F">
        <w:rPr>
          <w:rFonts w:ascii="Arial" w:hAnsi="Arial" w:cs="Arial"/>
          <w:sz w:val="24"/>
          <w:szCs w:val="24"/>
        </w:rPr>
        <w:t xml:space="preserve">Recognise a situation that may lead to a complaint, apologises for errors. </w:t>
      </w:r>
    </w:p>
    <w:p w14:paraId="42A2F339" w14:textId="77777777" w:rsidR="00C81B6F" w:rsidRPr="001A37D5" w:rsidRDefault="00C81B6F" w:rsidP="002424E3">
      <w:pPr>
        <w:pStyle w:val="ListParagraph"/>
        <w:numPr>
          <w:ilvl w:val="0"/>
          <w:numId w:val="20"/>
        </w:numPr>
        <w:spacing w:line="480" w:lineRule="auto"/>
        <w:rPr>
          <w:rFonts w:cs="Arial"/>
          <w:szCs w:val="24"/>
        </w:rPr>
      </w:pPr>
      <w:r w:rsidRPr="006B027F">
        <w:rPr>
          <w:rFonts w:ascii="Arial" w:hAnsi="Arial" w:cs="Arial"/>
          <w:sz w:val="24"/>
          <w:szCs w:val="24"/>
        </w:rPr>
        <w:t xml:space="preserve">Obtains appropriate consent for procedures.  </w:t>
      </w:r>
    </w:p>
    <w:p w14:paraId="0059B4D7" w14:textId="77777777" w:rsidR="00C81B6F" w:rsidRPr="001A37D5" w:rsidRDefault="00C81B6F" w:rsidP="002424E3">
      <w:pPr>
        <w:pStyle w:val="ListParagraph"/>
        <w:numPr>
          <w:ilvl w:val="0"/>
          <w:numId w:val="20"/>
        </w:numPr>
        <w:spacing w:line="480" w:lineRule="auto"/>
        <w:rPr>
          <w:rFonts w:cs="Arial"/>
          <w:szCs w:val="24"/>
        </w:rPr>
      </w:pPr>
      <w:r w:rsidRPr="006B027F">
        <w:rPr>
          <w:rFonts w:ascii="Arial" w:hAnsi="Arial" w:cs="Arial"/>
          <w:sz w:val="24"/>
          <w:szCs w:val="24"/>
        </w:rPr>
        <w:t>Communicates clearly, sensitively and effectively with patients, relatives, carers, colleagues by listening, sharing responding</w:t>
      </w:r>
    </w:p>
    <w:p w14:paraId="0C7B5B80" w14:textId="77777777" w:rsidR="00C81B6F" w:rsidRPr="001A37D5" w:rsidRDefault="00C81B6F" w:rsidP="002424E3">
      <w:pPr>
        <w:pStyle w:val="ListParagraph"/>
        <w:numPr>
          <w:ilvl w:val="0"/>
          <w:numId w:val="20"/>
        </w:numPr>
        <w:spacing w:line="480" w:lineRule="auto"/>
        <w:rPr>
          <w:rFonts w:cs="Arial"/>
          <w:szCs w:val="24"/>
        </w:rPr>
      </w:pPr>
      <w:r w:rsidRPr="006B027F">
        <w:rPr>
          <w:rFonts w:ascii="Arial" w:hAnsi="Arial" w:cs="Arial"/>
          <w:sz w:val="24"/>
          <w:szCs w:val="24"/>
        </w:rPr>
        <w:t>Communicate by spoken, written and electronic methods, communicate appropriately in difficult circumstances</w:t>
      </w:r>
    </w:p>
    <w:p w14:paraId="7371E43D" w14:textId="77777777" w:rsidR="00C81B6F" w:rsidRPr="001A37D5" w:rsidRDefault="00C81B6F" w:rsidP="002424E3">
      <w:pPr>
        <w:pStyle w:val="ListParagraph"/>
        <w:numPr>
          <w:ilvl w:val="0"/>
          <w:numId w:val="20"/>
        </w:numPr>
        <w:spacing w:line="480" w:lineRule="auto"/>
        <w:rPr>
          <w:rFonts w:cs="Arial"/>
          <w:szCs w:val="24"/>
        </w:rPr>
      </w:pPr>
      <w:r w:rsidRPr="006B027F">
        <w:rPr>
          <w:rFonts w:ascii="Arial" w:hAnsi="Arial" w:cs="Arial"/>
          <w:sz w:val="24"/>
          <w:szCs w:val="24"/>
        </w:rPr>
        <w:t>Be polite, considerate, trustworthy and honest, respect all patients and colleagues</w:t>
      </w:r>
    </w:p>
    <w:p w14:paraId="734DDCDA" w14:textId="50C9D615" w:rsidR="00C81B6F" w:rsidRDefault="00C81B6F" w:rsidP="002424E3">
      <w:pPr>
        <w:pStyle w:val="ListParagraph"/>
        <w:numPr>
          <w:ilvl w:val="0"/>
          <w:numId w:val="20"/>
        </w:numPr>
        <w:spacing w:line="480" w:lineRule="auto"/>
        <w:rPr>
          <w:rFonts w:cs="Arial"/>
          <w:szCs w:val="24"/>
        </w:rPr>
      </w:pPr>
      <w:r w:rsidRPr="006B027F">
        <w:rPr>
          <w:rFonts w:ascii="Arial" w:hAnsi="Arial" w:cs="Arial"/>
          <w:sz w:val="24"/>
          <w:szCs w:val="24"/>
        </w:rPr>
        <w:t xml:space="preserve">Work and respect colleagues for effective </w:t>
      </w:r>
      <w:r w:rsidR="00B2451B">
        <w:rPr>
          <w:rFonts w:ascii="Arial" w:hAnsi="Arial" w:cs="Arial"/>
          <w:sz w:val="24"/>
          <w:szCs w:val="24"/>
        </w:rPr>
        <w:t>teamwork</w:t>
      </w:r>
      <w:r w:rsidRPr="006B027F">
        <w:rPr>
          <w:rFonts w:ascii="Arial" w:hAnsi="Arial" w:cs="Arial"/>
          <w:sz w:val="24"/>
          <w:szCs w:val="24"/>
        </w:rPr>
        <w:t>ing to deliver high quality and safe care.</w:t>
      </w:r>
    </w:p>
    <w:p w14:paraId="0FECD344" w14:textId="77777777" w:rsidR="00C81B6F" w:rsidRPr="001A37D5" w:rsidRDefault="00C81B6F" w:rsidP="006B027F">
      <w:pPr>
        <w:pStyle w:val="ListParagraph"/>
        <w:spacing w:line="480" w:lineRule="auto"/>
        <w:rPr>
          <w:rFonts w:cs="Arial"/>
          <w:szCs w:val="24"/>
        </w:rPr>
      </w:pPr>
    </w:p>
    <w:p w14:paraId="0D1E8D10" w14:textId="36A7993E" w:rsidR="00C81B6F" w:rsidRPr="006B027F" w:rsidRDefault="00C81B6F" w:rsidP="002424E3">
      <w:pPr>
        <w:pStyle w:val="ListParagraph"/>
        <w:numPr>
          <w:ilvl w:val="0"/>
          <w:numId w:val="16"/>
        </w:numPr>
        <w:spacing w:after="200" w:line="276" w:lineRule="auto"/>
        <w:rPr>
          <w:rFonts w:ascii="Arial" w:hAnsi="Arial" w:cs="Arial"/>
          <w:b/>
          <w:sz w:val="24"/>
          <w:szCs w:val="24"/>
          <w:u w:val="single"/>
        </w:rPr>
      </w:pPr>
      <w:r w:rsidRPr="006B027F">
        <w:rPr>
          <w:rFonts w:ascii="Arial" w:hAnsi="Arial" w:cs="Arial"/>
          <w:b/>
          <w:sz w:val="24"/>
          <w:szCs w:val="24"/>
          <w:u w:val="single"/>
        </w:rPr>
        <w:lastRenderedPageBreak/>
        <w:t xml:space="preserve">Safety </w:t>
      </w:r>
      <w:r w:rsidR="009B3879">
        <w:rPr>
          <w:rFonts w:ascii="Arial" w:hAnsi="Arial" w:cs="Arial"/>
          <w:b/>
          <w:sz w:val="24"/>
          <w:szCs w:val="24"/>
          <w:u w:val="single"/>
        </w:rPr>
        <w:t>and</w:t>
      </w:r>
      <w:r w:rsidRPr="006B027F">
        <w:rPr>
          <w:rFonts w:ascii="Arial" w:hAnsi="Arial" w:cs="Arial"/>
          <w:b/>
          <w:sz w:val="24"/>
          <w:szCs w:val="24"/>
          <w:u w:val="single"/>
        </w:rPr>
        <w:t xml:space="preserve"> Governance:</w:t>
      </w:r>
    </w:p>
    <w:p w14:paraId="1A4342C4" w14:textId="77777777" w:rsidR="00C81B6F" w:rsidRPr="00EE028E" w:rsidRDefault="00C81B6F" w:rsidP="006B027F">
      <w:pPr>
        <w:pStyle w:val="ListParagraph"/>
        <w:spacing w:after="200" w:line="276" w:lineRule="auto"/>
        <w:rPr>
          <w:rFonts w:ascii="Arial" w:hAnsi="Arial" w:cs="Arial"/>
          <w:sz w:val="24"/>
          <w:szCs w:val="24"/>
          <w:u w:val="single"/>
        </w:rPr>
      </w:pPr>
    </w:p>
    <w:p w14:paraId="681647A5" w14:textId="77777777" w:rsidR="00C81B6F" w:rsidRPr="001A37D5" w:rsidRDefault="00C81B6F" w:rsidP="002424E3">
      <w:pPr>
        <w:pStyle w:val="ListParagraph"/>
        <w:numPr>
          <w:ilvl w:val="0"/>
          <w:numId w:val="21"/>
        </w:numPr>
        <w:spacing w:line="480" w:lineRule="auto"/>
        <w:rPr>
          <w:rFonts w:cs="Arial"/>
          <w:szCs w:val="24"/>
        </w:rPr>
      </w:pPr>
      <w:r w:rsidRPr="006B027F">
        <w:rPr>
          <w:rFonts w:ascii="Arial" w:hAnsi="Arial" w:cs="Arial"/>
          <w:sz w:val="24"/>
          <w:szCs w:val="24"/>
        </w:rPr>
        <w:t xml:space="preserve">Recognise that fatigue and health problems in medical workers can compromise patient care – address accordingly. </w:t>
      </w:r>
    </w:p>
    <w:p w14:paraId="39C784EB" w14:textId="77777777" w:rsidR="00C81B6F" w:rsidRPr="001A37D5" w:rsidRDefault="00C81B6F" w:rsidP="002424E3">
      <w:pPr>
        <w:pStyle w:val="ListParagraph"/>
        <w:numPr>
          <w:ilvl w:val="0"/>
          <w:numId w:val="21"/>
        </w:numPr>
        <w:spacing w:line="480" w:lineRule="auto"/>
        <w:rPr>
          <w:rFonts w:cs="Arial"/>
          <w:szCs w:val="24"/>
        </w:rPr>
      </w:pPr>
      <w:r w:rsidRPr="006B027F">
        <w:rPr>
          <w:rFonts w:ascii="Arial" w:hAnsi="Arial" w:cs="Arial"/>
          <w:sz w:val="24"/>
          <w:szCs w:val="24"/>
        </w:rPr>
        <w:t xml:space="preserve">Delivers high quality care. </w:t>
      </w:r>
    </w:p>
    <w:p w14:paraId="36430E81" w14:textId="77777777" w:rsidR="00C81B6F" w:rsidRPr="001A37D5" w:rsidRDefault="00C81B6F" w:rsidP="002424E3">
      <w:pPr>
        <w:pStyle w:val="ListParagraph"/>
        <w:numPr>
          <w:ilvl w:val="0"/>
          <w:numId w:val="21"/>
        </w:numPr>
        <w:spacing w:line="480" w:lineRule="auto"/>
        <w:rPr>
          <w:rFonts w:cs="Arial"/>
          <w:szCs w:val="24"/>
        </w:rPr>
      </w:pPr>
      <w:r w:rsidRPr="006B027F">
        <w:rPr>
          <w:rFonts w:ascii="Arial" w:hAnsi="Arial" w:cs="Arial"/>
          <w:sz w:val="24"/>
          <w:szCs w:val="24"/>
        </w:rPr>
        <w:t xml:space="preserve">Ensures confidentiality and privacy for patients. </w:t>
      </w:r>
    </w:p>
    <w:p w14:paraId="45902A41" w14:textId="77777777" w:rsidR="00C81B6F" w:rsidRPr="001A37D5" w:rsidRDefault="00C81B6F" w:rsidP="002424E3">
      <w:pPr>
        <w:pStyle w:val="ListParagraph"/>
        <w:numPr>
          <w:ilvl w:val="0"/>
          <w:numId w:val="21"/>
        </w:numPr>
        <w:spacing w:line="480" w:lineRule="auto"/>
        <w:rPr>
          <w:rFonts w:cs="Arial"/>
          <w:szCs w:val="24"/>
        </w:rPr>
      </w:pPr>
      <w:r w:rsidRPr="006B027F">
        <w:rPr>
          <w:rFonts w:ascii="Arial" w:hAnsi="Arial" w:cs="Arial"/>
          <w:sz w:val="24"/>
          <w:szCs w:val="24"/>
        </w:rPr>
        <w:t xml:space="preserve">Takes responsibility for and justifies actions. </w:t>
      </w:r>
    </w:p>
    <w:p w14:paraId="46B1CCB7" w14:textId="77777777" w:rsidR="00C81B6F" w:rsidRPr="001A37D5" w:rsidRDefault="00C81B6F" w:rsidP="002424E3">
      <w:pPr>
        <w:pStyle w:val="ListParagraph"/>
        <w:numPr>
          <w:ilvl w:val="0"/>
          <w:numId w:val="21"/>
        </w:numPr>
        <w:spacing w:line="480" w:lineRule="auto"/>
        <w:rPr>
          <w:rFonts w:cs="Arial"/>
          <w:szCs w:val="24"/>
        </w:rPr>
      </w:pPr>
      <w:r w:rsidRPr="006B027F">
        <w:rPr>
          <w:rFonts w:ascii="Arial" w:hAnsi="Arial" w:cs="Arial"/>
          <w:sz w:val="24"/>
          <w:szCs w:val="24"/>
        </w:rPr>
        <w:t xml:space="preserve">Reflects on feedback from teachers and learners. </w:t>
      </w:r>
    </w:p>
    <w:p w14:paraId="2E075ECD" w14:textId="77777777" w:rsidR="00C81B6F" w:rsidRPr="001A37D5" w:rsidRDefault="00C81B6F" w:rsidP="002424E3">
      <w:pPr>
        <w:pStyle w:val="ListParagraph"/>
        <w:numPr>
          <w:ilvl w:val="0"/>
          <w:numId w:val="21"/>
        </w:numPr>
        <w:spacing w:line="480" w:lineRule="auto"/>
        <w:rPr>
          <w:rFonts w:cs="Arial"/>
          <w:szCs w:val="24"/>
        </w:rPr>
      </w:pPr>
      <w:r w:rsidRPr="006B027F">
        <w:rPr>
          <w:rFonts w:ascii="Arial" w:hAnsi="Arial" w:cs="Arial"/>
          <w:sz w:val="24"/>
          <w:szCs w:val="24"/>
        </w:rPr>
        <w:t xml:space="preserve">Demonstrates professional learning goals/ needs. </w:t>
      </w:r>
    </w:p>
    <w:p w14:paraId="6BCC9B89" w14:textId="77B51174" w:rsidR="00C81B6F" w:rsidRDefault="00A31C20" w:rsidP="002424E3">
      <w:pPr>
        <w:pStyle w:val="ListParagraph"/>
        <w:numPr>
          <w:ilvl w:val="0"/>
          <w:numId w:val="21"/>
        </w:numPr>
        <w:spacing w:line="480" w:lineRule="auto"/>
        <w:rPr>
          <w:rFonts w:cs="Arial"/>
          <w:szCs w:val="24"/>
        </w:rPr>
      </w:pPr>
      <w:r w:rsidRPr="00A31C20">
        <w:rPr>
          <w:rFonts w:ascii="Arial" w:hAnsi="Arial" w:cs="Arial"/>
          <w:sz w:val="24"/>
          <w:szCs w:val="24"/>
        </w:rPr>
        <w:t>Follows appropriate</w:t>
      </w:r>
      <w:r w:rsidR="00C81B6F" w:rsidRPr="006B027F">
        <w:rPr>
          <w:rFonts w:ascii="Arial" w:hAnsi="Arial" w:cs="Arial"/>
          <w:sz w:val="24"/>
          <w:szCs w:val="24"/>
        </w:rPr>
        <w:t xml:space="preserve"> guidelines, interprets evidence.</w:t>
      </w:r>
    </w:p>
    <w:p w14:paraId="1765700B" w14:textId="77777777" w:rsidR="00C81B6F" w:rsidRPr="001A37D5" w:rsidRDefault="00C81B6F" w:rsidP="006B027F">
      <w:pPr>
        <w:pStyle w:val="ListParagraph"/>
        <w:spacing w:line="480" w:lineRule="auto"/>
        <w:rPr>
          <w:rFonts w:cs="Arial"/>
          <w:szCs w:val="24"/>
        </w:rPr>
      </w:pPr>
    </w:p>
    <w:p w14:paraId="2377D866" w14:textId="2A4A06B1" w:rsidR="00C81B6F" w:rsidRPr="006B027F" w:rsidRDefault="00A31C20" w:rsidP="002424E3">
      <w:pPr>
        <w:pStyle w:val="ListParagraph"/>
        <w:numPr>
          <w:ilvl w:val="0"/>
          <w:numId w:val="16"/>
        </w:numPr>
        <w:spacing w:after="200" w:line="276" w:lineRule="auto"/>
        <w:rPr>
          <w:rFonts w:ascii="Arial" w:hAnsi="Arial" w:cs="Arial"/>
          <w:b/>
          <w:sz w:val="24"/>
          <w:szCs w:val="24"/>
          <w:u w:val="single"/>
        </w:rPr>
      </w:pPr>
      <w:r w:rsidRPr="00A31C20">
        <w:rPr>
          <w:rFonts w:ascii="Arial" w:hAnsi="Arial" w:cs="Arial"/>
          <w:b/>
          <w:sz w:val="24"/>
          <w:szCs w:val="24"/>
          <w:u w:val="single"/>
        </w:rPr>
        <w:t>Professionalism:</w:t>
      </w:r>
    </w:p>
    <w:p w14:paraId="2B348E49" w14:textId="77777777" w:rsidR="00C81B6F" w:rsidRPr="00240124" w:rsidRDefault="00C81B6F" w:rsidP="006B027F">
      <w:pPr>
        <w:pStyle w:val="ListParagraph"/>
        <w:spacing w:after="200" w:line="276" w:lineRule="auto"/>
        <w:rPr>
          <w:rFonts w:ascii="Arial" w:hAnsi="Arial" w:cs="Arial"/>
          <w:sz w:val="24"/>
          <w:szCs w:val="24"/>
          <w:u w:val="single"/>
        </w:rPr>
      </w:pPr>
    </w:p>
    <w:p w14:paraId="47B57DD2" w14:textId="09884543" w:rsidR="00C81B6F" w:rsidRPr="001A37D5" w:rsidRDefault="00C81B6F" w:rsidP="002424E3">
      <w:pPr>
        <w:pStyle w:val="ListParagraph"/>
        <w:numPr>
          <w:ilvl w:val="0"/>
          <w:numId w:val="22"/>
        </w:numPr>
        <w:spacing w:line="480" w:lineRule="auto"/>
        <w:rPr>
          <w:rFonts w:cs="Arial"/>
          <w:szCs w:val="24"/>
        </w:rPr>
      </w:pPr>
      <w:r w:rsidRPr="006B027F">
        <w:rPr>
          <w:rFonts w:ascii="Arial" w:hAnsi="Arial" w:cs="Arial"/>
          <w:sz w:val="24"/>
          <w:szCs w:val="24"/>
        </w:rPr>
        <w:t xml:space="preserve">Professionalism in the workplace and with interaction with colleagues </w:t>
      </w:r>
      <w:r w:rsidR="009B3879">
        <w:rPr>
          <w:rFonts w:ascii="Arial" w:hAnsi="Arial" w:cs="Arial"/>
          <w:sz w:val="24"/>
          <w:szCs w:val="24"/>
        </w:rPr>
        <w:t>and</w:t>
      </w:r>
      <w:r w:rsidRPr="006B027F">
        <w:rPr>
          <w:rFonts w:ascii="Arial" w:hAnsi="Arial" w:cs="Arial"/>
          <w:sz w:val="24"/>
          <w:szCs w:val="24"/>
        </w:rPr>
        <w:t xml:space="preserve"> Patients.</w:t>
      </w:r>
    </w:p>
    <w:p w14:paraId="18A8C70B" w14:textId="3BE34CE3" w:rsidR="00C81B6F" w:rsidRPr="001A37D5" w:rsidRDefault="00C81B6F" w:rsidP="002424E3">
      <w:pPr>
        <w:pStyle w:val="ListParagraph"/>
        <w:numPr>
          <w:ilvl w:val="0"/>
          <w:numId w:val="22"/>
        </w:numPr>
        <w:spacing w:line="480" w:lineRule="auto"/>
        <w:rPr>
          <w:rFonts w:cs="Arial"/>
          <w:szCs w:val="24"/>
        </w:rPr>
      </w:pPr>
      <w:r w:rsidRPr="006B027F">
        <w:rPr>
          <w:rFonts w:ascii="Arial" w:hAnsi="Arial" w:cs="Arial"/>
          <w:sz w:val="24"/>
          <w:szCs w:val="24"/>
        </w:rPr>
        <w:t>Punctual, delegates tasks appropriately.</w:t>
      </w:r>
    </w:p>
    <w:p w14:paraId="1DE8BE1A" w14:textId="62B42D62" w:rsidR="00C81B6F" w:rsidRPr="001A37D5" w:rsidRDefault="00C81B6F" w:rsidP="002424E3">
      <w:pPr>
        <w:pStyle w:val="ListParagraph"/>
        <w:numPr>
          <w:ilvl w:val="0"/>
          <w:numId w:val="22"/>
        </w:numPr>
        <w:spacing w:line="480" w:lineRule="auto"/>
        <w:rPr>
          <w:rFonts w:cs="Arial"/>
          <w:szCs w:val="24"/>
        </w:rPr>
      </w:pPr>
      <w:r w:rsidRPr="006B027F">
        <w:rPr>
          <w:rFonts w:ascii="Arial" w:hAnsi="Arial" w:cs="Arial"/>
          <w:sz w:val="24"/>
          <w:szCs w:val="24"/>
        </w:rPr>
        <w:t xml:space="preserve">Bring accurate information to hand over </w:t>
      </w:r>
      <w:r w:rsidR="009B3879">
        <w:rPr>
          <w:rFonts w:ascii="Arial" w:hAnsi="Arial" w:cs="Arial"/>
          <w:sz w:val="24"/>
          <w:szCs w:val="24"/>
        </w:rPr>
        <w:t>and</w:t>
      </w:r>
      <w:r w:rsidRPr="006B027F">
        <w:rPr>
          <w:rFonts w:ascii="Arial" w:hAnsi="Arial" w:cs="Arial"/>
          <w:sz w:val="24"/>
          <w:szCs w:val="24"/>
        </w:rPr>
        <w:t xml:space="preserve"> indicates priorities. </w:t>
      </w:r>
    </w:p>
    <w:p w14:paraId="04D19B67" w14:textId="77777777" w:rsidR="00C81B6F" w:rsidRPr="001A37D5" w:rsidRDefault="00C81B6F" w:rsidP="002424E3">
      <w:pPr>
        <w:pStyle w:val="ListParagraph"/>
        <w:numPr>
          <w:ilvl w:val="0"/>
          <w:numId w:val="22"/>
        </w:numPr>
        <w:spacing w:line="480" w:lineRule="auto"/>
        <w:rPr>
          <w:rFonts w:cs="Arial"/>
          <w:szCs w:val="24"/>
        </w:rPr>
      </w:pPr>
      <w:r w:rsidRPr="006B027F">
        <w:rPr>
          <w:rFonts w:ascii="Arial" w:hAnsi="Arial" w:cs="Arial"/>
          <w:sz w:val="24"/>
          <w:szCs w:val="24"/>
        </w:rPr>
        <w:t xml:space="preserve">Understands role within team, listens to view point of others. </w:t>
      </w:r>
    </w:p>
    <w:p w14:paraId="78437B7B" w14:textId="77777777" w:rsidR="00C81B6F" w:rsidRPr="001A37D5" w:rsidRDefault="00C81B6F" w:rsidP="002424E3">
      <w:pPr>
        <w:pStyle w:val="ListParagraph"/>
        <w:numPr>
          <w:ilvl w:val="0"/>
          <w:numId w:val="22"/>
        </w:numPr>
        <w:spacing w:line="480" w:lineRule="auto"/>
        <w:rPr>
          <w:rFonts w:cs="Arial"/>
          <w:szCs w:val="24"/>
        </w:rPr>
      </w:pPr>
      <w:r w:rsidRPr="006B027F">
        <w:rPr>
          <w:rFonts w:ascii="Arial" w:hAnsi="Arial" w:cs="Arial"/>
          <w:sz w:val="24"/>
          <w:szCs w:val="24"/>
        </w:rPr>
        <w:t>Demonstrates leadership role in clinical situations.</w:t>
      </w:r>
    </w:p>
    <w:p w14:paraId="4FE51F4F" w14:textId="77777777" w:rsidR="00C81B6F" w:rsidRDefault="00C81B6F" w:rsidP="002424E3">
      <w:pPr>
        <w:pStyle w:val="ListParagraph"/>
        <w:numPr>
          <w:ilvl w:val="0"/>
          <w:numId w:val="22"/>
        </w:numPr>
        <w:spacing w:line="480" w:lineRule="auto"/>
        <w:rPr>
          <w:rFonts w:cs="Arial"/>
          <w:szCs w:val="24"/>
        </w:rPr>
      </w:pPr>
      <w:r w:rsidRPr="006B027F">
        <w:rPr>
          <w:rFonts w:ascii="Arial" w:hAnsi="Arial" w:cs="Arial"/>
          <w:sz w:val="24"/>
          <w:szCs w:val="24"/>
        </w:rPr>
        <w:t>Manage time and prioritise tasks</w:t>
      </w:r>
    </w:p>
    <w:p w14:paraId="65C281B4" w14:textId="77777777" w:rsidR="00C81B6F" w:rsidRPr="001A37D5" w:rsidRDefault="00C81B6F" w:rsidP="006B027F">
      <w:pPr>
        <w:pStyle w:val="ListParagraph"/>
        <w:spacing w:line="480" w:lineRule="auto"/>
        <w:rPr>
          <w:rFonts w:cs="Arial"/>
          <w:szCs w:val="24"/>
        </w:rPr>
      </w:pPr>
    </w:p>
    <w:p w14:paraId="23EEFCD5" w14:textId="24949EA9" w:rsidR="00C81B6F" w:rsidRPr="006B027F" w:rsidRDefault="00C81B6F" w:rsidP="002424E3">
      <w:pPr>
        <w:pStyle w:val="ListParagraph"/>
        <w:numPr>
          <w:ilvl w:val="0"/>
          <w:numId w:val="16"/>
        </w:numPr>
        <w:spacing w:after="200" w:line="276" w:lineRule="auto"/>
        <w:rPr>
          <w:rFonts w:ascii="Arial" w:hAnsi="Arial" w:cs="Arial"/>
          <w:b/>
          <w:sz w:val="24"/>
          <w:szCs w:val="24"/>
          <w:u w:val="single"/>
        </w:rPr>
      </w:pPr>
      <w:r w:rsidRPr="006B027F">
        <w:rPr>
          <w:rFonts w:ascii="Arial" w:hAnsi="Arial" w:cs="Arial"/>
          <w:b/>
          <w:sz w:val="24"/>
          <w:szCs w:val="24"/>
          <w:u w:val="single"/>
        </w:rPr>
        <w:t xml:space="preserve">Resus </w:t>
      </w:r>
      <w:r w:rsidR="009B3879">
        <w:rPr>
          <w:rFonts w:ascii="Arial" w:hAnsi="Arial" w:cs="Arial"/>
          <w:b/>
          <w:sz w:val="24"/>
          <w:szCs w:val="24"/>
          <w:u w:val="single"/>
        </w:rPr>
        <w:t>and</w:t>
      </w:r>
      <w:r w:rsidRPr="006B027F">
        <w:rPr>
          <w:rFonts w:ascii="Arial" w:hAnsi="Arial" w:cs="Arial"/>
          <w:b/>
          <w:sz w:val="24"/>
          <w:szCs w:val="24"/>
          <w:u w:val="single"/>
        </w:rPr>
        <w:t xml:space="preserve"> end of life care:</w:t>
      </w:r>
    </w:p>
    <w:p w14:paraId="56D10187" w14:textId="77777777" w:rsidR="00C81B6F" w:rsidRPr="00240124" w:rsidRDefault="00C81B6F" w:rsidP="006B027F">
      <w:pPr>
        <w:pStyle w:val="ListParagraph"/>
        <w:spacing w:after="200" w:line="276" w:lineRule="auto"/>
        <w:rPr>
          <w:rFonts w:ascii="Arial" w:hAnsi="Arial" w:cs="Arial"/>
          <w:sz w:val="24"/>
          <w:szCs w:val="24"/>
          <w:u w:val="single"/>
        </w:rPr>
      </w:pPr>
    </w:p>
    <w:p w14:paraId="226636C5" w14:textId="77777777" w:rsidR="00C81B6F" w:rsidRPr="001A37D5" w:rsidRDefault="00C81B6F" w:rsidP="002424E3">
      <w:pPr>
        <w:pStyle w:val="ListParagraph"/>
        <w:numPr>
          <w:ilvl w:val="0"/>
          <w:numId w:val="23"/>
        </w:numPr>
        <w:spacing w:line="480" w:lineRule="auto"/>
        <w:rPr>
          <w:rFonts w:cs="Arial"/>
          <w:szCs w:val="24"/>
        </w:rPr>
      </w:pPr>
      <w:r w:rsidRPr="006B027F">
        <w:rPr>
          <w:rFonts w:ascii="Arial" w:hAnsi="Arial" w:cs="Arial"/>
          <w:sz w:val="24"/>
          <w:szCs w:val="24"/>
        </w:rPr>
        <w:t xml:space="preserve">Trained in ILS +/- PLS is doing </w:t>
      </w:r>
      <w:proofErr w:type="spellStart"/>
      <w:r w:rsidRPr="006B027F">
        <w:rPr>
          <w:rFonts w:ascii="Arial" w:hAnsi="Arial" w:cs="Arial"/>
          <w:sz w:val="24"/>
          <w:szCs w:val="24"/>
        </w:rPr>
        <w:t>Paeds</w:t>
      </w:r>
      <w:proofErr w:type="spellEnd"/>
      <w:r w:rsidRPr="006B027F">
        <w:rPr>
          <w:rFonts w:ascii="Arial" w:hAnsi="Arial" w:cs="Arial"/>
          <w:sz w:val="24"/>
          <w:szCs w:val="24"/>
        </w:rPr>
        <w:t>. Provide basic first aid and immediate life support.</w:t>
      </w:r>
    </w:p>
    <w:p w14:paraId="464FF0AB" w14:textId="77777777" w:rsidR="00C81B6F" w:rsidRPr="001A37D5" w:rsidRDefault="00C81B6F" w:rsidP="002424E3">
      <w:pPr>
        <w:pStyle w:val="ListParagraph"/>
        <w:numPr>
          <w:ilvl w:val="0"/>
          <w:numId w:val="23"/>
        </w:numPr>
        <w:spacing w:line="480" w:lineRule="auto"/>
        <w:rPr>
          <w:rFonts w:cs="Arial"/>
          <w:szCs w:val="24"/>
        </w:rPr>
      </w:pPr>
      <w:r w:rsidRPr="006B027F">
        <w:rPr>
          <w:rFonts w:ascii="Arial" w:hAnsi="Arial" w:cs="Arial"/>
          <w:sz w:val="24"/>
          <w:szCs w:val="24"/>
        </w:rPr>
        <w:t xml:space="preserve">Initiate and respond to a crash call. </w:t>
      </w:r>
    </w:p>
    <w:p w14:paraId="03D0A671" w14:textId="77777777" w:rsidR="00C81B6F" w:rsidRPr="001A37D5" w:rsidRDefault="00C81B6F" w:rsidP="002424E3">
      <w:pPr>
        <w:pStyle w:val="ListParagraph"/>
        <w:numPr>
          <w:ilvl w:val="0"/>
          <w:numId w:val="23"/>
        </w:numPr>
        <w:spacing w:line="480" w:lineRule="auto"/>
        <w:rPr>
          <w:rFonts w:cs="Arial"/>
          <w:szCs w:val="24"/>
        </w:rPr>
      </w:pPr>
      <w:r w:rsidRPr="006B027F">
        <w:rPr>
          <w:rFonts w:ascii="Arial" w:hAnsi="Arial" w:cs="Arial"/>
          <w:sz w:val="24"/>
          <w:szCs w:val="24"/>
        </w:rPr>
        <w:t xml:space="preserve">Recognise and manage critically ill, peri-arrest patient. </w:t>
      </w:r>
    </w:p>
    <w:p w14:paraId="768DFA1D" w14:textId="77777777" w:rsidR="00C81B6F" w:rsidRPr="001A37D5" w:rsidRDefault="00C81B6F" w:rsidP="002424E3">
      <w:pPr>
        <w:pStyle w:val="ListParagraph"/>
        <w:numPr>
          <w:ilvl w:val="0"/>
          <w:numId w:val="23"/>
        </w:numPr>
        <w:spacing w:line="480" w:lineRule="auto"/>
        <w:rPr>
          <w:rFonts w:cs="Arial"/>
          <w:szCs w:val="24"/>
        </w:rPr>
      </w:pPr>
      <w:r w:rsidRPr="006B027F">
        <w:rPr>
          <w:rFonts w:ascii="Arial" w:hAnsi="Arial" w:cs="Arial"/>
          <w:sz w:val="24"/>
          <w:szCs w:val="24"/>
        </w:rPr>
        <w:t>Understands use of DNAR. Provides high quality end of life care.</w:t>
      </w:r>
    </w:p>
    <w:p w14:paraId="3FC12C29" w14:textId="77777777" w:rsidR="00C81B6F" w:rsidRPr="001A37D5" w:rsidRDefault="00C81B6F" w:rsidP="002424E3">
      <w:pPr>
        <w:pStyle w:val="ListParagraph"/>
        <w:numPr>
          <w:ilvl w:val="0"/>
          <w:numId w:val="23"/>
        </w:numPr>
        <w:spacing w:line="480" w:lineRule="auto"/>
        <w:rPr>
          <w:rFonts w:cs="Arial"/>
          <w:szCs w:val="24"/>
        </w:rPr>
      </w:pPr>
      <w:r w:rsidRPr="006B027F">
        <w:rPr>
          <w:rFonts w:ascii="Arial" w:hAnsi="Arial" w:cs="Arial"/>
          <w:sz w:val="24"/>
          <w:szCs w:val="24"/>
        </w:rPr>
        <w:lastRenderedPageBreak/>
        <w:t>Provide cardiopulmonary resuscitation or direct other team members to carry out resuscitation.</w:t>
      </w:r>
    </w:p>
    <w:p w14:paraId="405DE1C9" w14:textId="77777777" w:rsidR="00C81B6F" w:rsidRDefault="00C81B6F" w:rsidP="00C81B6F"/>
    <w:p w14:paraId="4C6EAF0E" w14:textId="0369390A" w:rsidR="00C81B6F" w:rsidRDefault="00C81B6F" w:rsidP="006B027F">
      <w:pPr>
        <w:pStyle w:val="Heading2"/>
      </w:pPr>
      <w:bookmarkStart w:id="477" w:name="_Toc419116223"/>
      <w:r>
        <w:t>IMASS Simulation scenarios</w:t>
      </w:r>
      <w:bookmarkEnd w:id="477"/>
    </w:p>
    <w:p w14:paraId="50B6533B" w14:textId="77777777" w:rsidR="00965F00" w:rsidRPr="00965F00" w:rsidRDefault="00965F00"/>
    <w:p w14:paraId="626629F2" w14:textId="77777777" w:rsidR="002C5FBF" w:rsidRPr="001560D2" w:rsidRDefault="002C5FBF" w:rsidP="002C5FBF">
      <w:pPr>
        <w:jc w:val="center"/>
        <w:rPr>
          <w:u w:val="single"/>
        </w:rPr>
      </w:pPr>
      <w:r>
        <w:rPr>
          <w:u w:val="single"/>
        </w:rPr>
        <w:t>IMASS course scenarios 4</w:t>
      </w:r>
      <w:r w:rsidRPr="001560D2">
        <w:rPr>
          <w:u w:val="single"/>
        </w:rPr>
        <w:t xml:space="preserve"> students within each group</w:t>
      </w:r>
      <w:r>
        <w:rPr>
          <w:u w:val="single"/>
        </w:rPr>
        <w:t>. Scenario 5 = BLS</w:t>
      </w:r>
      <w:r w:rsidRPr="001560D2">
        <w:rPr>
          <w:u w:val="single"/>
        </w:rPr>
        <w:t>.</w:t>
      </w:r>
    </w:p>
    <w:p w14:paraId="046412CB" w14:textId="77777777" w:rsidR="002C5FBF" w:rsidRPr="0011023F" w:rsidRDefault="002C5FBF" w:rsidP="002C5FBF">
      <w:pPr>
        <w:rPr>
          <w:u w:val="single"/>
        </w:rPr>
      </w:pPr>
      <w:r>
        <w:rPr>
          <w:u w:val="single"/>
        </w:rPr>
        <w:t>Scenario 1 Sepsis</w:t>
      </w:r>
    </w:p>
    <w:p w14:paraId="0E319C1D" w14:textId="77777777" w:rsidR="002C5FBF" w:rsidRDefault="002C5FBF" w:rsidP="002C5FBF">
      <w:r>
        <w:t>Jack Allan 70 year old male.  GP referral to surgical assessment unit.</w:t>
      </w:r>
    </w:p>
    <w:p w14:paraId="203EB803" w14:textId="4FA448FF" w:rsidR="002C5FBF" w:rsidRDefault="002C5FBF" w:rsidP="002C5FBF">
      <w:r>
        <w:t xml:space="preserve">PC: 5 day </w:t>
      </w:r>
      <w:proofErr w:type="spellStart"/>
      <w:r>
        <w:t>Hx</w:t>
      </w:r>
      <w:proofErr w:type="spellEnd"/>
      <w:r>
        <w:t xml:space="preserve"> Dysuria, fevers, </w:t>
      </w:r>
      <w:r w:rsidR="007464C8">
        <w:t>rigour</w:t>
      </w:r>
      <w:r>
        <w:t xml:space="preserve">s, vomiting, 24 hour </w:t>
      </w:r>
      <w:proofErr w:type="spellStart"/>
      <w:r>
        <w:t>Hx</w:t>
      </w:r>
      <w:proofErr w:type="spellEnd"/>
      <w:r>
        <w:t xml:space="preserve"> difficulty voiding, not passed urine for 6 hours</w:t>
      </w:r>
    </w:p>
    <w:p w14:paraId="21261CC4" w14:textId="77777777" w:rsidR="002C5FBF" w:rsidRDefault="002C5FBF" w:rsidP="002C5FBF">
      <w:r>
        <w:t>PMHx; Renal stones, benign prostatic enlargement</w:t>
      </w:r>
    </w:p>
    <w:p w14:paraId="4E2A3E3B" w14:textId="77777777" w:rsidR="002C5FBF" w:rsidRDefault="002C5FBF" w:rsidP="002C5FBF">
      <w:proofErr w:type="spellStart"/>
      <w:r>
        <w:t>PSHx</w:t>
      </w:r>
      <w:proofErr w:type="spellEnd"/>
      <w:r>
        <w:t>: Ureteroscopy</w:t>
      </w:r>
    </w:p>
    <w:p w14:paraId="45A22BA9" w14:textId="77777777" w:rsidR="002C5FBF" w:rsidRDefault="002C5FBF" w:rsidP="002C5FBF">
      <w:proofErr w:type="spellStart"/>
      <w:r>
        <w:t>DHx</w:t>
      </w:r>
      <w:proofErr w:type="spellEnd"/>
      <w:r>
        <w:t xml:space="preserve">: Allergy to Penicillin. Takes Tamsulosin, recently started </w:t>
      </w:r>
      <w:proofErr w:type="spellStart"/>
      <w:r>
        <w:t>Oxybutanin</w:t>
      </w:r>
      <w:proofErr w:type="spellEnd"/>
      <w:r>
        <w:t xml:space="preserve"> for urinary frequency</w:t>
      </w:r>
    </w:p>
    <w:p w14:paraId="7971BE25" w14:textId="10222391" w:rsidR="002C5FBF" w:rsidRDefault="005F705F" w:rsidP="002C5FBF">
      <w:pPr>
        <w:rPr>
          <w:u w:val="single"/>
        </w:rPr>
      </w:pPr>
      <w:r>
        <w:rPr>
          <w:u w:val="single"/>
        </w:rPr>
        <w:t>Candidate</w:t>
      </w:r>
      <w:r w:rsidR="002C5FBF" w:rsidRPr="001560D2">
        <w:rPr>
          <w:u w:val="single"/>
        </w:rPr>
        <w:t xml:space="preserve"> 1:</w:t>
      </w:r>
    </w:p>
    <w:p w14:paraId="1B9883C9" w14:textId="77777777" w:rsidR="002C5FBF" w:rsidRDefault="002C5FBF" w:rsidP="002C5FBF">
      <w:r>
        <w:t>On arrival clammy and looks unwell, c/o lower abdominal discomfort and right loin pain. There is a student nurse checking his details who can help you. Go and assess and start initial management.</w:t>
      </w:r>
    </w:p>
    <w:p w14:paraId="450470B0" w14:textId="11C055FC" w:rsidR="002C5FBF" w:rsidRDefault="002C5FBF" w:rsidP="002C5FBF">
      <w:r>
        <w:lastRenderedPageBreak/>
        <w:t xml:space="preserve">A – talking – </w:t>
      </w:r>
      <w:r w:rsidR="005F705F">
        <w:t>Candidate</w:t>
      </w:r>
      <w:r>
        <w:t xml:space="preserve"> should apply oxygen as looks unwell – correct selection of mask and L of oxygen</w:t>
      </w:r>
    </w:p>
    <w:p w14:paraId="5663F264" w14:textId="77777777" w:rsidR="002C5FBF" w:rsidRDefault="002C5FBF" w:rsidP="002C5FBF">
      <w:r>
        <w:t>B – Chest clear, RR 36</w:t>
      </w:r>
    </w:p>
    <w:p w14:paraId="5356DA17" w14:textId="77777777" w:rsidR="002C5FBF" w:rsidRDefault="002C5FBF" w:rsidP="002C5FBF">
      <w:r>
        <w:t>C – HR 120 weak pulse CRT &lt; 2 secs</w:t>
      </w:r>
    </w:p>
    <w:p w14:paraId="45F9968C" w14:textId="77777777" w:rsidR="002C5FBF" w:rsidRDefault="002C5FBF" w:rsidP="002C5FBF">
      <w:r>
        <w:t>Ask for OBS – HR 120, BP 90/60, RR 36, Sats 95% Air, Temp 39.4</w:t>
      </w:r>
    </w:p>
    <w:p w14:paraId="13114BCF" w14:textId="77777777" w:rsidR="002C5FBF" w:rsidRDefault="002C5FBF" w:rsidP="002C5FBF">
      <w:r>
        <w:t>IV access, bloods, VBG can be done by phlebotomist</w:t>
      </w:r>
    </w:p>
    <w:p w14:paraId="1995FA9A" w14:textId="77777777" w:rsidR="002C5FBF" w:rsidRDefault="002C5FBF" w:rsidP="002C5FBF">
      <w:r w:rsidRPr="00F1037C">
        <w:rPr>
          <w:b/>
          <w:color w:val="C00000"/>
        </w:rPr>
        <w:t>HF</w:t>
      </w:r>
      <w:r>
        <w:t xml:space="preserve"> – during assessment – sister comes to ask for an “urgent TTO, there are no beds and unless you do it now a patient in theatre will get cancelled and it will be your fault” She brings the drug card and TTO for you to do there and then. </w:t>
      </w:r>
    </w:p>
    <w:p w14:paraId="29BB947A" w14:textId="77777777" w:rsidR="002C5FBF" w:rsidRDefault="002C5FBF" w:rsidP="002C5FBF">
      <w:r>
        <w:t>D – GCS 15, BM 6, Temp 39.4</w:t>
      </w:r>
    </w:p>
    <w:p w14:paraId="1C3BDE72" w14:textId="77777777" w:rsidR="002C5FBF" w:rsidRDefault="002C5FBF" w:rsidP="002C5FBF">
      <w:r>
        <w:t>E – Palpable mass lower abdomen, tender and tender R loin</w:t>
      </w:r>
    </w:p>
    <w:p w14:paraId="3FD171E3" w14:textId="77777777" w:rsidR="002C5FBF" w:rsidRDefault="002C5FBF" w:rsidP="002C5FBF">
      <w:r w:rsidRPr="0011023F">
        <w:rPr>
          <w:color w:val="FF0000"/>
        </w:rPr>
        <w:t>Mx</w:t>
      </w:r>
      <w:r>
        <w:t xml:space="preserve"> – Oxygen, IV access, bloods, cultures, IV fluids, IV Abx – which?</w:t>
      </w:r>
    </w:p>
    <w:p w14:paraId="610AED53" w14:textId="77777777" w:rsidR="002C5FBF" w:rsidRDefault="002C5FBF" w:rsidP="002C5FBF">
      <w:r w:rsidRPr="00F1037C">
        <w:rPr>
          <w:b/>
          <w:color w:val="C00000"/>
        </w:rPr>
        <w:t>Skill</w:t>
      </w:r>
      <w:r>
        <w:t xml:space="preserve"> – urethral catheter</w:t>
      </w:r>
    </w:p>
    <w:p w14:paraId="7B3F7D83" w14:textId="77777777" w:rsidR="002C5FBF" w:rsidRDefault="002C5FBF" w:rsidP="002C5FBF">
      <w:r>
        <w:t>Drains 1L pain settles</w:t>
      </w:r>
    </w:p>
    <w:p w14:paraId="4DBF0E2A" w14:textId="77777777" w:rsidR="002C5FBF" w:rsidRDefault="002C5FBF" w:rsidP="002C5FBF">
      <w:r>
        <w:t>Reassess BP 100/60, HR 100, Temp 37.5, Sats 99% 15L, RR 20, abdomen soft non tender</w:t>
      </w:r>
    </w:p>
    <w:p w14:paraId="358F3999" w14:textId="77777777" w:rsidR="002C5FBF" w:rsidRDefault="002C5FBF" w:rsidP="002C5FBF">
      <w:r w:rsidRPr="00F1037C">
        <w:rPr>
          <w:b/>
          <w:color w:val="C00000"/>
        </w:rPr>
        <w:t>Refer</w:t>
      </w:r>
      <w:r w:rsidRPr="00F1037C">
        <w:rPr>
          <w:b/>
        </w:rPr>
        <w:t xml:space="preserve"> </w:t>
      </w:r>
      <w:r>
        <w:t xml:space="preserve">to Urology </w:t>
      </w:r>
      <w:proofErr w:type="spellStart"/>
      <w:r>
        <w:t>SpR</w:t>
      </w:r>
      <w:proofErr w:type="spellEnd"/>
      <w:r>
        <w:t xml:space="preserve"> over phone </w:t>
      </w:r>
    </w:p>
    <w:p w14:paraId="52A18257" w14:textId="55F5B726" w:rsidR="002C5FBF" w:rsidRDefault="002C5FBF" w:rsidP="002C5FBF">
      <w:r w:rsidRPr="00F1037C">
        <w:rPr>
          <w:b/>
          <w:color w:val="C00000"/>
        </w:rPr>
        <w:lastRenderedPageBreak/>
        <w:t>Hand over</w:t>
      </w:r>
      <w:r>
        <w:t xml:space="preserve"> to your colleague (</w:t>
      </w:r>
      <w:r w:rsidR="005F705F">
        <w:t>Candidate</w:t>
      </w:r>
      <w:r>
        <w:t xml:space="preserve"> 2) who will take over from you tomorrow morning for the ward round. Sepsis proforma available for review/ guide. </w:t>
      </w:r>
    </w:p>
    <w:p w14:paraId="191222B1" w14:textId="77777777" w:rsidR="002C5FBF" w:rsidRDefault="002C5FBF" w:rsidP="002C5FBF">
      <w:r w:rsidRPr="00E820AB">
        <w:rPr>
          <w:b/>
          <w:color w:val="C00000"/>
        </w:rPr>
        <w:t>Document</w:t>
      </w:r>
      <w:r>
        <w:t xml:space="preserve"> in the notes</w:t>
      </w:r>
    </w:p>
    <w:p w14:paraId="67C9A708" w14:textId="23407A73" w:rsidR="002C5FBF" w:rsidRPr="00E820AB" w:rsidRDefault="005F705F" w:rsidP="002C5FBF">
      <w:r>
        <w:rPr>
          <w:u w:val="single"/>
        </w:rPr>
        <w:t>Candidate</w:t>
      </w:r>
      <w:r w:rsidR="002C5FBF" w:rsidRPr="00F1037C">
        <w:rPr>
          <w:u w:val="single"/>
        </w:rPr>
        <w:t xml:space="preserve"> 2</w:t>
      </w:r>
    </w:p>
    <w:p w14:paraId="3E19C9BA" w14:textId="77777777" w:rsidR="002C5FBF" w:rsidRDefault="002C5FBF" w:rsidP="002C5FBF">
      <w:r>
        <w:t xml:space="preserve">You are the FY1 on days. You are handed an MSU result form and bloods from the patient ready for the ward round. </w:t>
      </w:r>
    </w:p>
    <w:p w14:paraId="7E5CCD04" w14:textId="741DEBCE" w:rsidR="002C5FBF" w:rsidRDefault="002C5FBF" w:rsidP="002C5FBF">
      <w:r>
        <w:t xml:space="preserve">MSU – </w:t>
      </w:r>
      <w:proofErr w:type="spellStart"/>
      <w:r>
        <w:t>Ecoli</w:t>
      </w:r>
      <w:proofErr w:type="spellEnd"/>
      <w:r>
        <w:t xml:space="preserve"> </w:t>
      </w:r>
      <w:r w:rsidR="009B3879">
        <w:t>and</w:t>
      </w:r>
      <w:r>
        <w:t xml:space="preserve"> Proteus Sensitive to Augmentin and Gentamicin</w:t>
      </w:r>
    </w:p>
    <w:p w14:paraId="49321A99" w14:textId="77777777" w:rsidR="002C5FBF" w:rsidRDefault="002C5FBF" w:rsidP="002C5FBF">
      <w:r>
        <w:t xml:space="preserve">HB 12, WCC 36, </w:t>
      </w:r>
      <w:proofErr w:type="spellStart"/>
      <w:r>
        <w:t>Plt</w:t>
      </w:r>
      <w:proofErr w:type="spellEnd"/>
      <w:r>
        <w:t xml:space="preserve"> 400, Na 140, K 5.0, Urea 7.0, </w:t>
      </w:r>
      <w:proofErr w:type="spellStart"/>
      <w:r>
        <w:t>Creat</w:t>
      </w:r>
      <w:proofErr w:type="spellEnd"/>
      <w:r>
        <w:t xml:space="preserve"> 130. You are told that these results were handed to the night doctor who did not have time to see the patient but acted on them, his drug card had been lost so he had completed another one. You are asked to see the patient urgently as they are complaining of shortness of breath.</w:t>
      </w:r>
    </w:p>
    <w:p w14:paraId="22333B12" w14:textId="77777777" w:rsidR="002C5FBF" w:rsidRDefault="002C5FBF" w:rsidP="002C5FBF">
      <w:r>
        <w:t xml:space="preserve">Prompts – drug card at end of bed with </w:t>
      </w:r>
      <w:proofErr w:type="spellStart"/>
      <w:r>
        <w:t>obs</w:t>
      </w:r>
      <w:proofErr w:type="spellEnd"/>
      <w:r>
        <w:t xml:space="preserve"> chart showing deterioration from 7am when Augmentin was signed for – drug card has not got the allergy section completed it says ‘unsure’ – bag of drug attached to patient going through labelled Augmentin.</w:t>
      </w:r>
    </w:p>
    <w:p w14:paraId="226DF310" w14:textId="20758312" w:rsidR="002C5FBF" w:rsidRDefault="00A31C20" w:rsidP="002C5FBF">
      <w:r>
        <w:t>O/A – A – wheezy, half sentences, looks unwell, maintaining airway</w:t>
      </w:r>
    </w:p>
    <w:p w14:paraId="6F127843" w14:textId="77777777" w:rsidR="002C5FBF" w:rsidRDefault="002C5FBF" w:rsidP="002C5FBF">
      <w:r>
        <w:t>B – Wheeze throughout RR 38, c/o chest tightness – apply oxygen</w:t>
      </w:r>
    </w:p>
    <w:p w14:paraId="329C9F2C" w14:textId="77777777" w:rsidR="002C5FBF" w:rsidRDefault="002C5FBF" w:rsidP="002C5FBF">
      <w:r>
        <w:t>C – HR 100 regular CRT &lt;2secs</w:t>
      </w:r>
    </w:p>
    <w:p w14:paraId="3D932623" w14:textId="77777777" w:rsidR="002C5FBF" w:rsidRDefault="002C5FBF" w:rsidP="002C5FBF">
      <w:proofErr w:type="spellStart"/>
      <w:r>
        <w:lastRenderedPageBreak/>
        <w:t>Obs</w:t>
      </w:r>
      <w:proofErr w:type="spellEnd"/>
      <w:r>
        <w:t xml:space="preserve"> – BP 90/50, HR 100, Sats 90% air RR 38</w:t>
      </w:r>
    </w:p>
    <w:p w14:paraId="512AEDAC" w14:textId="77777777" w:rsidR="002C5FBF" w:rsidRDefault="002C5FBF" w:rsidP="002C5FBF">
      <w:r>
        <w:t>D – BM 5, GCS 15, Temp 37.5</w:t>
      </w:r>
    </w:p>
    <w:p w14:paraId="76ECBAF8" w14:textId="34B4C5B1" w:rsidR="002C5FBF" w:rsidRDefault="002C5FBF" w:rsidP="002C5FBF">
      <w:r w:rsidRPr="004D023C">
        <w:rPr>
          <w:b/>
          <w:color w:val="C00000"/>
        </w:rPr>
        <w:t>HF</w:t>
      </w:r>
      <w:r>
        <w:t xml:space="preserve"> – wife rushes in concerned about her husband asking what you have done to make him so unwell – </w:t>
      </w:r>
      <w:r w:rsidR="005F705F">
        <w:t>Candidate</w:t>
      </w:r>
      <w:r>
        <w:t xml:space="preserve"> must manage her and the interruption. He panics more and gets more breathless calling out for help saying he </w:t>
      </w:r>
      <w:proofErr w:type="spellStart"/>
      <w:r>
        <w:t>can not</w:t>
      </w:r>
      <w:proofErr w:type="spellEnd"/>
      <w:r>
        <w:t xml:space="preserve"> breathe. The wife accidently dislodges his only cannula.</w:t>
      </w:r>
    </w:p>
    <w:p w14:paraId="72CDB3FA" w14:textId="77777777" w:rsidR="002C5FBF" w:rsidRDefault="002C5FBF" w:rsidP="002C5FBF">
      <w:r w:rsidRPr="0011023F">
        <w:rPr>
          <w:color w:val="FF0000"/>
        </w:rPr>
        <w:t>Mx</w:t>
      </w:r>
      <w:r>
        <w:t xml:space="preserve"> – Stop the drug, oxygen, adrenaline, hydrocortisone.</w:t>
      </w:r>
    </w:p>
    <w:p w14:paraId="587E6FA3" w14:textId="77777777" w:rsidR="002C5FBF" w:rsidRDefault="002C5FBF" w:rsidP="002C5FBF">
      <w:r w:rsidRPr="004D023C">
        <w:rPr>
          <w:b/>
          <w:color w:val="C00000"/>
        </w:rPr>
        <w:t xml:space="preserve">Skill </w:t>
      </w:r>
      <w:r>
        <w:t>– Cannula</w:t>
      </w:r>
    </w:p>
    <w:p w14:paraId="058D96C3" w14:textId="77777777" w:rsidR="002C5FBF" w:rsidRDefault="002C5FBF" w:rsidP="002C5FBF">
      <w:r>
        <w:t>He improves Sats 100% O2, RR 18, BP 120/80, HR 90 – wife comes in wants a full explanation and what you will do to prevent this happening again.</w:t>
      </w:r>
    </w:p>
    <w:p w14:paraId="23DD6273" w14:textId="77777777" w:rsidR="002C5FBF" w:rsidRDefault="002C5FBF" w:rsidP="002C5FBF">
      <w:r w:rsidRPr="004D023C">
        <w:rPr>
          <w:b/>
          <w:color w:val="C00000"/>
        </w:rPr>
        <w:t>Refer</w:t>
      </w:r>
      <w:r>
        <w:t xml:space="preserve"> to SPR – ask advice on what to do with antibiotics – advise gentamicin – </w:t>
      </w:r>
      <w:proofErr w:type="spellStart"/>
      <w:r>
        <w:t>SpR</w:t>
      </w:r>
      <w:proofErr w:type="spellEnd"/>
      <w:r>
        <w:t xml:space="preserve"> will ask what the risks are and how you will monitor it</w:t>
      </w:r>
    </w:p>
    <w:p w14:paraId="7F16A4AC" w14:textId="20312415" w:rsidR="002C5FBF" w:rsidRDefault="002C5FBF" w:rsidP="002C5FBF">
      <w:r w:rsidRPr="004D023C">
        <w:rPr>
          <w:b/>
          <w:color w:val="C00000"/>
        </w:rPr>
        <w:t>Hand over</w:t>
      </w:r>
      <w:r>
        <w:t xml:space="preserve"> to the weekend team (</w:t>
      </w:r>
      <w:r w:rsidR="005F705F">
        <w:t>Candidate</w:t>
      </w:r>
      <w:r>
        <w:t xml:space="preserve"> 3)</w:t>
      </w:r>
    </w:p>
    <w:p w14:paraId="22B864F4" w14:textId="77777777" w:rsidR="002C5FBF" w:rsidRDefault="002C5FBF" w:rsidP="002C5FBF">
      <w:r w:rsidRPr="00E820AB">
        <w:rPr>
          <w:b/>
          <w:color w:val="C00000"/>
        </w:rPr>
        <w:t xml:space="preserve">Document </w:t>
      </w:r>
      <w:r>
        <w:t>in the notes</w:t>
      </w:r>
    </w:p>
    <w:p w14:paraId="5F6669F0" w14:textId="1E29C1B9" w:rsidR="002C5FBF" w:rsidRPr="006B027F" w:rsidRDefault="002C5FBF" w:rsidP="002C5FBF">
      <w:r>
        <w:t>Discussion point = incident form reporting/ completion.</w:t>
      </w:r>
    </w:p>
    <w:p w14:paraId="76FAF81F" w14:textId="390BBE9D" w:rsidR="002C5FBF" w:rsidRDefault="005F705F" w:rsidP="002C5FBF">
      <w:pPr>
        <w:rPr>
          <w:u w:val="single"/>
        </w:rPr>
      </w:pPr>
      <w:r>
        <w:rPr>
          <w:u w:val="single"/>
        </w:rPr>
        <w:t>Candidate</w:t>
      </w:r>
      <w:r w:rsidR="002C5FBF" w:rsidRPr="004D023C">
        <w:rPr>
          <w:u w:val="single"/>
        </w:rPr>
        <w:t xml:space="preserve"> 3:</w:t>
      </w:r>
    </w:p>
    <w:p w14:paraId="150DB899" w14:textId="77777777" w:rsidR="002C5FBF" w:rsidRDefault="002C5FBF" w:rsidP="002C5FBF">
      <w:r>
        <w:t>2 days later you are asked to see the patient due to an ongoing pyrexia despite 48 hours of IV Gentamicin, he still has loin pain and looks unwell. You need to assess him and start initial management.</w:t>
      </w:r>
    </w:p>
    <w:p w14:paraId="4A6F7875" w14:textId="77777777" w:rsidR="002C5FBF" w:rsidRDefault="002C5FBF" w:rsidP="002C5FBF">
      <w:r>
        <w:lastRenderedPageBreak/>
        <w:t xml:space="preserve">Prompts – </w:t>
      </w:r>
      <w:proofErr w:type="spellStart"/>
      <w:r>
        <w:t>Obs</w:t>
      </w:r>
      <w:proofErr w:type="spellEnd"/>
      <w:r>
        <w:t xml:space="preserve"> chart showing swinging pyrexia up to 40, associated with a tachycardia. Fluid balance chart UO 20mls/hr for 2 hours</w:t>
      </w:r>
    </w:p>
    <w:p w14:paraId="316D0728" w14:textId="77777777" w:rsidR="002C5FBF" w:rsidRDefault="002C5FBF" w:rsidP="002C5FBF">
      <w:r>
        <w:t>Reassess A – maintain own, full sentences, apply O2</w:t>
      </w:r>
    </w:p>
    <w:p w14:paraId="3EB85D87" w14:textId="77777777" w:rsidR="002C5FBF" w:rsidRDefault="002C5FBF" w:rsidP="002C5FBF">
      <w:r>
        <w:t>B – ok</w:t>
      </w:r>
    </w:p>
    <w:p w14:paraId="41E8CF45" w14:textId="77777777" w:rsidR="002C5FBF" w:rsidRDefault="002C5FBF" w:rsidP="002C5FBF">
      <w:r>
        <w:t>C – HR 110 CRT &lt;2secs, warm peripheries, clammy</w:t>
      </w:r>
    </w:p>
    <w:p w14:paraId="1B6471FF" w14:textId="77777777" w:rsidR="002C5FBF" w:rsidRDefault="002C5FBF" w:rsidP="002C5FBF">
      <w:proofErr w:type="spellStart"/>
      <w:r>
        <w:t>Obs</w:t>
      </w:r>
      <w:proofErr w:type="spellEnd"/>
      <w:r>
        <w:t xml:space="preserve"> BP 80/60, HR 110, Sats 95% air, RR 32</w:t>
      </w:r>
    </w:p>
    <w:p w14:paraId="7775F4A3" w14:textId="77777777" w:rsidR="002C5FBF" w:rsidRDefault="002C5FBF" w:rsidP="002C5FBF">
      <w:r>
        <w:t>D – BM 6, GCS 15, Temp 39.4, OE tender Right loin, catheter in situ, Poor UO 20mls last 2 hours</w:t>
      </w:r>
    </w:p>
    <w:p w14:paraId="0337097B" w14:textId="77777777" w:rsidR="002C5FBF" w:rsidRDefault="002C5FBF" w:rsidP="002C5FBF">
      <w:r>
        <w:t xml:space="preserve">Mx – oxygen, has IV access, </w:t>
      </w:r>
      <w:proofErr w:type="spellStart"/>
      <w:r>
        <w:t>rpt</w:t>
      </w:r>
      <w:proofErr w:type="spellEnd"/>
      <w:r>
        <w:t xml:space="preserve"> bloods been sent first thing, IV fluids</w:t>
      </w:r>
    </w:p>
    <w:p w14:paraId="71735553" w14:textId="77777777" w:rsidR="002C5FBF" w:rsidRDefault="002C5FBF" w:rsidP="002C5FBF">
      <w:r w:rsidRPr="00972420">
        <w:rPr>
          <w:b/>
          <w:color w:val="C00000"/>
        </w:rPr>
        <w:t>Skill</w:t>
      </w:r>
      <w:r>
        <w:t>: Blood cultures</w:t>
      </w:r>
    </w:p>
    <w:p w14:paraId="709D4058" w14:textId="77777777" w:rsidR="002C5FBF" w:rsidRDefault="002C5FBF" w:rsidP="002C5FBF">
      <w:r>
        <w:t xml:space="preserve">Differential diagnosis – </w:t>
      </w:r>
      <w:r w:rsidRPr="00972420">
        <w:rPr>
          <w:b/>
          <w:color w:val="C00000"/>
        </w:rPr>
        <w:t>get help</w:t>
      </w:r>
      <w:r>
        <w:t xml:space="preserve"> – d/w SHO or </w:t>
      </w:r>
      <w:proofErr w:type="spellStart"/>
      <w:r>
        <w:t>SpR</w:t>
      </w:r>
      <w:proofErr w:type="spellEnd"/>
      <w:r>
        <w:t xml:space="preserve"> – advise USS renal – ask you why – exclude blocked infected kidney or renal abscess. Advise d/w microbiology</w:t>
      </w:r>
    </w:p>
    <w:p w14:paraId="5BBA762A" w14:textId="77777777" w:rsidR="002C5FBF" w:rsidRDefault="002C5FBF" w:rsidP="002C5FBF">
      <w:r>
        <w:rPr>
          <w:b/>
          <w:color w:val="C00000"/>
        </w:rPr>
        <w:t xml:space="preserve">HF - </w:t>
      </w:r>
      <w:r w:rsidRPr="00972420">
        <w:rPr>
          <w:b/>
          <w:color w:val="C00000"/>
        </w:rPr>
        <w:t>Discuss</w:t>
      </w:r>
      <w:r>
        <w:t xml:space="preserve"> with radiology </w:t>
      </w:r>
      <w:proofErr w:type="spellStart"/>
      <w:r>
        <w:t>SpR</w:t>
      </w:r>
      <w:proofErr w:type="spellEnd"/>
      <w:r>
        <w:t xml:space="preserve"> – asks if your </w:t>
      </w:r>
      <w:proofErr w:type="spellStart"/>
      <w:r>
        <w:t>SpR</w:t>
      </w:r>
      <w:proofErr w:type="spellEnd"/>
      <w:r>
        <w:t xml:space="preserve"> has seen the patient ‘how dare you call me before the </w:t>
      </w:r>
      <w:proofErr w:type="spellStart"/>
      <w:r>
        <w:t>SpR</w:t>
      </w:r>
      <w:proofErr w:type="spellEnd"/>
      <w:r>
        <w:t xml:space="preserve"> has seen them. Don’t waste my time – hang up.</w:t>
      </w:r>
    </w:p>
    <w:p w14:paraId="1B540F63" w14:textId="34654CE2" w:rsidR="002C5FBF" w:rsidRDefault="002C5FBF" w:rsidP="002C5FBF">
      <w:r>
        <w:t xml:space="preserve">Call back - refuse to do an USS – say the patient will not be stable enough in </w:t>
      </w:r>
      <w:r w:rsidR="00A31C20">
        <w:t>department,</w:t>
      </w:r>
      <w:r>
        <w:t xml:space="preserve"> hangs up the phone</w:t>
      </w:r>
    </w:p>
    <w:p w14:paraId="02DF128C" w14:textId="1F88C479" w:rsidR="002C5FBF" w:rsidRDefault="00A31C20" w:rsidP="002C5FBF">
      <w:r w:rsidRPr="00972420">
        <w:rPr>
          <w:b/>
          <w:color w:val="C00000"/>
        </w:rPr>
        <w:lastRenderedPageBreak/>
        <w:t>Discuss</w:t>
      </w:r>
      <w:r w:rsidR="002C5FBF">
        <w:t xml:space="preserve"> micro – advise </w:t>
      </w:r>
      <w:proofErr w:type="spellStart"/>
      <w:r w:rsidR="002C5FBF">
        <w:t>Tazocin</w:t>
      </w:r>
      <w:proofErr w:type="spellEnd"/>
      <w:r w:rsidR="002C5FBF">
        <w:t xml:space="preserve"> (</w:t>
      </w:r>
      <w:proofErr w:type="spellStart"/>
      <w:r w:rsidR="002C5FBF">
        <w:t>nb</w:t>
      </w:r>
      <w:proofErr w:type="spellEnd"/>
      <w:r w:rsidR="002C5FBF">
        <w:t xml:space="preserve"> Penicillin allergy) – ask if </w:t>
      </w:r>
      <w:proofErr w:type="spellStart"/>
      <w:r w:rsidR="002C5FBF">
        <w:t>tazocin</w:t>
      </w:r>
      <w:proofErr w:type="spellEnd"/>
      <w:r w:rsidR="002C5FBF">
        <w:t xml:space="preserve"> is ok? No – </w:t>
      </w:r>
      <w:r>
        <w:t>re-culture</w:t>
      </w:r>
      <w:r w:rsidR="002C5FBF">
        <w:t xml:space="preserve"> then meropenem – prescribe </w:t>
      </w:r>
    </w:p>
    <w:p w14:paraId="42D74692" w14:textId="12712A44" w:rsidR="002C5FBF" w:rsidRDefault="002C5FBF" w:rsidP="002C5FBF">
      <w:r>
        <w:t xml:space="preserve">Reassess after meropenem </w:t>
      </w:r>
      <w:r w:rsidR="009B3879">
        <w:t>and</w:t>
      </w:r>
      <w:r>
        <w:t xml:space="preserve"> IV fluids </w:t>
      </w:r>
    </w:p>
    <w:p w14:paraId="57BB3458" w14:textId="77777777" w:rsidR="002C5FBF" w:rsidRDefault="002C5FBF" w:rsidP="002C5FBF">
      <w:r>
        <w:t>A ok but getting tired, B – clear, C - BP 80/60, HR 120 UO 8mls last one hour – had 5L of fluid in 24 hours – where does patient need to go?</w:t>
      </w:r>
    </w:p>
    <w:p w14:paraId="43D3F4A0" w14:textId="77777777" w:rsidR="002C5FBF" w:rsidRDefault="002C5FBF" w:rsidP="002C5FBF">
      <w:r>
        <w:t xml:space="preserve">Further tests before calling ITU – Yes ABG – phlebotomy has performed </w:t>
      </w:r>
    </w:p>
    <w:p w14:paraId="355C841A" w14:textId="77777777" w:rsidR="002C5FBF" w:rsidRPr="0011023F" w:rsidRDefault="002C5FBF" w:rsidP="002C5FBF">
      <w:r>
        <w:t>Interpret ABG result pO2 40, pCO2 3.4, pH 7.2, BE -4, Bic 16</w:t>
      </w:r>
    </w:p>
    <w:p w14:paraId="3944BB74" w14:textId="12BC4CBA" w:rsidR="002C5FBF" w:rsidRDefault="002C5FBF" w:rsidP="002C5FBF">
      <w:r w:rsidRPr="00E820AB">
        <w:rPr>
          <w:b/>
          <w:color w:val="C00000"/>
        </w:rPr>
        <w:t>Hand over</w:t>
      </w:r>
      <w:r>
        <w:t xml:space="preserve"> to </w:t>
      </w:r>
      <w:proofErr w:type="spellStart"/>
      <w:r>
        <w:t>ITU</w:t>
      </w:r>
      <w:r w:rsidR="009B3879">
        <w:t>and</w:t>
      </w:r>
      <w:proofErr w:type="spellEnd"/>
      <w:r>
        <w:t xml:space="preserve"> your colleague on for surgery over the weekend (</w:t>
      </w:r>
      <w:r w:rsidR="005F705F">
        <w:t>Candidate</w:t>
      </w:r>
      <w:r>
        <w:t xml:space="preserve"> 4). What will you do about the USS?</w:t>
      </w:r>
    </w:p>
    <w:p w14:paraId="393EEA21" w14:textId="5E63360D" w:rsidR="002C5FBF" w:rsidRPr="006B027F" w:rsidRDefault="002C5FBF" w:rsidP="002C5FBF">
      <w:r w:rsidRPr="00E820AB">
        <w:rPr>
          <w:b/>
          <w:color w:val="C00000"/>
        </w:rPr>
        <w:t>Document</w:t>
      </w:r>
      <w:r>
        <w:t xml:space="preserve"> in the notes</w:t>
      </w:r>
    </w:p>
    <w:p w14:paraId="3DA8BF84" w14:textId="00F4629D" w:rsidR="002C5FBF" w:rsidRPr="003E72C2" w:rsidRDefault="005F705F" w:rsidP="002C5FBF">
      <w:pPr>
        <w:rPr>
          <w:u w:val="single"/>
        </w:rPr>
      </w:pPr>
      <w:r>
        <w:rPr>
          <w:u w:val="single"/>
        </w:rPr>
        <w:t>Candidate</w:t>
      </w:r>
      <w:r w:rsidR="002C5FBF" w:rsidRPr="003E72C2">
        <w:rPr>
          <w:u w:val="single"/>
        </w:rPr>
        <w:t xml:space="preserve"> 4:</w:t>
      </w:r>
    </w:p>
    <w:p w14:paraId="0DC80864" w14:textId="77777777" w:rsidR="002C5FBF" w:rsidRDefault="002C5FBF" w:rsidP="002C5FBF">
      <w:r>
        <w:t xml:space="preserve">The patient had been on ITU –once been stabilised a portable USS was arranged by the urology </w:t>
      </w:r>
      <w:proofErr w:type="spellStart"/>
      <w:r>
        <w:t>SpR.</w:t>
      </w:r>
      <w:proofErr w:type="spellEnd"/>
      <w:r>
        <w:t xml:space="preserve"> It had shown gross right hydronephrosis and a nephrostomy tube had been placed which drained 50mls of pus. It was sent for culture. The nephrostomy had been difficult to place and required multiple attempts at puncture. He has been sent back to the ward because they needed a bed and he seemed to have improved. He was not handed over to any of your team. You are asked to see him because he is short of breath.</w:t>
      </w:r>
    </w:p>
    <w:p w14:paraId="4DF6AB36" w14:textId="77777777" w:rsidR="002C5FBF" w:rsidRDefault="002C5FBF" w:rsidP="002C5FBF">
      <w:r>
        <w:t>Issue –No hand over from ITU</w:t>
      </w:r>
    </w:p>
    <w:p w14:paraId="0B130A04" w14:textId="77777777" w:rsidR="002C5FBF" w:rsidRDefault="002C5FBF" w:rsidP="002C5FBF">
      <w:r>
        <w:lastRenderedPageBreak/>
        <w:t xml:space="preserve">Prompts – </w:t>
      </w:r>
      <w:proofErr w:type="spellStart"/>
      <w:r>
        <w:t>Obs</w:t>
      </w:r>
      <w:proofErr w:type="spellEnd"/>
      <w:r>
        <w:t xml:space="preserve"> chart – temp 37.5 down from 40, HR 110, BP 120/80, RR 40, sats 92% in Air</w:t>
      </w:r>
    </w:p>
    <w:p w14:paraId="7473F54B" w14:textId="77777777" w:rsidR="002C5FBF" w:rsidRDefault="002C5FBF" w:rsidP="002C5FBF">
      <w:r>
        <w:t>A – half sentences, c/o difficulty getting is breath – apply oxygen</w:t>
      </w:r>
    </w:p>
    <w:p w14:paraId="1F964724" w14:textId="7F8BFE6D" w:rsidR="002C5FBF" w:rsidRDefault="002C5FBF" w:rsidP="002C5FBF">
      <w:r>
        <w:t xml:space="preserve">B – Reduced breath sounds on right, reduced expansion on right, trachea central, mildly increased to </w:t>
      </w:r>
      <w:r w:rsidR="00A31C20">
        <w:t>percussion</w:t>
      </w:r>
      <w:r>
        <w:t xml:space="preserve"> on right</w:t>
      </w:r>
    </w:p>
    <w:p w14:paraId="63340485" w14:textId="77777777" w:rsidR="002C5FBF" w:rsidRDefault="002C5FBF" w:rsidP="002C5FBF">
      <w:r>
        <w:t xml:space="preserve">C – HR 105 BP 130/80 </w:t>
      </w:r>
    </w:p>
    <w:p w14:paraId="5D9E575A" w14:textId="77777777" w:rsidR="002C5FBF" w:rsidRDefault="002C5FBF" w:rsidP="002C5FBF">
      <w:r>
        <w:t>D – GCS 14 a little drowsy, BM 5</w:t>
      </w:r>
    </w:p>
    <w:p w14:paraId="1E8A0D43" w14:textId="77777777" w:rsidR="002C5FBF" w:rsidRDefault="002C5FBF" w:rsidP="002C5FBF">
      <w:r>
        <w:t xml:space="preserve">E – </w:t>
      </w:r>
      <w:proofErr w:type="spellStart"/>
      <w:r>
        <w:t>neph</w:t>
      </w:r>
      <w:proofErr w:type="spellEnd"/>
      <w:r>
        <w:t xml:space="preserve"> tube draining pus on right</w:t>
      </w:r>
    </w:p>
    <w:p w14:paraId="312B7698" w14:textId="77777777" w:rsidR="002C5FBF" w:rsidRDefault="002C5FBF" w:rsidP="002C5FBF">
      <w:r>
        <w:t>Management – oxygen, investigate chest</w:t>
      </w:r>
    </w:p>
    <w:p w14:paraId="6B7161FC" w14:textId="58BB6B4A" w:rsidR="002C5FBF" w:rsidRDefault="002C5FBF" w:rsidP="002C5FBF">
      <w:r w:rsidRPr="000F4754">
        <w:rPr>
          <w:color w:val="FF0000"/>
        </w:rPr>
        <w:t xml:space="preserve">Skill </w:t>
      </w:r>
      <w:r>
        <w:t xml:space="preserve">– do an ABG – assess oxygenation </w:t>
      </w:r>
      <w:r w:rsidR="009B3879">
        <w:t>and</w:t>
      </w:r>
      <w:r>
        <w:t xml:space="preserve"> arrange portable CXR</w:t>
      </w:r>
    </w:p>
    <w:p w14:paraId="77C8E64C" w14:textId="77777777" w:rsidR="002C5FBF" w:rsidRDefault="002C5FBF" w:rsidP="002C5FBF">
      <w:r>
        <w:t>Interpret CXR – right pneumothorax</w:t>
      </w:r>
    </w:p>
    <w:p w14:paraId="7137E539" w14:textId="77777777" w:rsidR="002C5FBF" w:rsidRDefault="002C5FBF" w:rsidP="002C5FBF">
      <w:r w:rsidRPr="000F4754">
        <w:rPr>
          <w:color w:val="FF0000"/>
        </w:rPr>
        <w:t>Refer</w:t>
      </w:r>
      <w:r>
        <w:t xml:space="preserve"> to respiratory </w:t>
      </w:r>
      <w:proofErr w:type="spellStart"/>
      <w:r>
        <w:t>SpR</w:t>
      </w:r>
      <w:proofErr w:type="spellEnd"/>
      <w:r>
        <w:t xml:space="preserve"> to arrange chest drain placement</w:t>
      </w:r>
    </w:p>
    <w:p w14:paraId="0861A00A" w14:textId="619A7B9B" w:rsidR="002C5FBF" w:rsidRDefault="002C5FBF" w:rsidP="002C5FBF">
      <w:r w:rsidRPr="000F4754">
        <w:rPr>
          <w:color w:val="FF0000"/>
        </w:rPr>
        <w:t>Hand over</w:t>
      </w:r>
      <w:r>
        <w:t xml:space="preserve"> to your </w:t>
      </w:r>
      <w:proofErr w:type="spellStart"/>
      <w:r>
        <w:t>SpR</w:t>
      </w:r>
      <w:proofErr w:type="spellEnd"/>
      <w:r>
        <w:t xml:space="preserve"> –clinical condition </w:t>
      </w:r>
      <w:r w:rsidR="009B3879">
        <w:t>and</w:t>
      </w:r>
      <w:r>
        <w:t xml:space="preserve"> initial management, student should use this opportunity to escalate and discuss patient safety issue of no hand over from ITU</w:t>
      </w:r>
    </w:p>
    <w:p w14:paraId="24455B81" w14:textId="6CAE0583" w:rsidR="002C5FBF" w:rsidRDefault="002C5FBF" w:rsidP="002C5FBF">
      <w:r w:rsidRPr="000F4754">
        <w:rPr>
          <w:color w:val="FF0000"/>
        </w:rPr>
        <w:t>HF</w:t>
      </w:r>
      <w:r>
        <w:t xml:space="preserve"> – wife in attendance, wants to know what has happened now, what you have done to her husband and what will happen next? Why did he come back to the ward if he was so unwell? Even she could see he was not right? Who allowed this to happen and what are you doing about it? You need to expla</w:t>
      </w:r>
      <w:r w:rsidR="000A27DF">
        <w:t>in</w:t>
      </w:r>
      <w:r w:rsidR="00A05A43">
        <w:t xml:space="preserve"> </w:t>
      </w:r>
      <w:r w:rsidR="000A27DF">
        <w:t>to</w:t>
      </w:r>
      <w:r>
        <w:t xml:space="preserve"> </w:t>
      </w:r>
      <w:r>
        <w:lastRenderedPageBreak/>
        <w:t xml:space="preserve">her and the patient what a chest drain is and why it is required and how the procedure will be done. If </w:t>
      </w:r>
      <w:r w:rsidR="005F705F">
        <w:t>Candidate</w:t>
      </w:r>
      <w:r>
        <w:t xml:space="preserve"> is doing well wife will probe about the risks and benefits of the chest drain. </w:t>
      </w:r>
    </w:p>
    <w:p w14:paraId="13D41C5D" w14:textId="77777777" w:rsidR="002C5FBF" w:rsidRDefault="002C5FBF" w:rsidP="002C5FBF">
      <w:r w:rsidRPr="000F4754">
        <w:rPr>
          <w:color w:val="FF0000"/>
        </w:rPr>
        <w:t>Document</w:t>
      </w:r>
      <w:r>
        <w:t xml:space="preserve"> in the notes your findings on arrival, your management and your further plans.</w:t>
      </w:r>
    </w:p>
    <w:p w14:paraId="4B50CD9D" w14:textId="77777777" w:rsidR="002C5FBF" w:rsidRPr="00E14A9D" w:rsidRDefault="002C5FBF" w:rsidP="002C5FBF">
      <w:r>
        <w:t>Discuss the issue of no hand over to ITU, discuss needle decompression if had been clinically tension pneumothorax.</w:t>
      </w:r>
    </w:p>
    <w:p w14:paraId="75ECD1DB" w14:textId="24707AFB" w:rsidR="002C5FBF" w:rsidRPr="00E14A9D" w:rsidRDefault="002C5FBF" w:rsidP="002C5FBF">
      <w:r w:rsidRPr="00E14A9D">
        <w:t xml:space="preserve">Formative assessment will include clinical knowledge, control of human factors, </w:t>
      </w:r>
      <w:r w:rsidR="00B2451B">
        <w:t>teamwork</w:t>
      </w:r>
      <w:r w:rsidR="00A31C20" w:rsidRPr="00E14A9D">
        <w:t>ing</w:t>
      </w:r>
      <w:r w:rsidRPr="00E14A9D">
        <w:t>, hand over and referral quality.</w:t>
      </w:r>
      <w:r>
        <w:t xml:space="preserve"> Feedback will give the </w:t>
      </w:r>
      <w:r w:rsidR="005F705F">
        <w:t>Candidate</w:t>
      </w:r>
      <w:r>
        <w:t xml:space="preserve"> opportunity for </w:t>
      </w:r>
      <w:r w:rsidR="00A31C20">
        <w:t>self-reflection</w:t>
      </w:r>
      <w:r>
        <w:t xml:space="preserve">, will be structured, </w:t>
      </w:r>
      <w:r w:rsidR="00A31C20">
        <w:t>and will</w:t>
      </w:r>
      <w:r>
        <w:t xml:space="preserve"> involve peer and assessor feedback.</w:t>
      </w:r>
    </w:p>
    <w:p w14:paraId="193BA5E3" w14:textId="77777777" w:rsidR="002C5FBF" w:rsidRPr="00E43770" w:rsidRDefault="002C5FBF" w:rsidP="002C5FBF">
      <w:pPr>
        <w:rPr>
          <w:u w:val="single"/>
        </w:rPr>
      </w:pPr>
      <w:r w:rsidRPr="00E43770">
        <w:rPr>
          <w:u w:val="single"/>
        </w:rPr>
        <w:t>Scenario 2 : Exacerbation of COPD</w:t>
      </w:r>
    </w:p>
    <w:p w14:paraId="2057BB86" w14:textId="403CAB95" w:rsidR="002C5FBF" w:rsidRDefault="002C5FBF" w:rsidP="002C5FBF">
      <w:r>
        <w:t xml:space="preserve">All 3 </w:t>
      </w:r>
      <w:r w:rsidR="00D6777D">
        <w:t>c</w:t>
      </w:r>
      <w:r w:rsidR="005F705F">
        <w:t>andidate</w:t>
      </w:r>
      <w:r>
        <w:t>s will get the same initial information to read.</w:t>
      </w:r>
    </w:p>
    <w:p w14:paraId="60C1D726" w14:textId="5B44134A" w:rsidR="002C5FBF" w:rsidRDefault="002C5FBF" w:rsidP="002C5FBF">
      <w:r>
        <w:t xml:space="preserve">Ethel </w:t>
      </w:r>
      <w:proofErr w:type="spellStart"/>
      <w:r>
        <w:t>Monogan</w:t>
      </w:r>
      <w:proofErr w:type="spellEnd"/>
      <w:r>
        <w:t xml:space="preserve">, 2/2/1923, Hospital number WW2234, 80 year old female </w:t>
      </w:r>
      <w:r w:rsidR="00B2451B">
        <w:t>lifelong</w:t>
      </w:r>
      <w:r>
        <w:t xml:space="preserve"> smoker. GP referral to medical assessment unit.</w:t>
      </w:r>
    </w:p>
    <w:p w14:paraId="0767B3FC" w14:textId="77777777" w:rsidR="002C5FBF" w:rsidRDefault="002C5FBF" w:rsidP="002C5FBF">
      <w:r>
        <w:t>PC: 6 day history of cough productive of green sputum, fever, unwell, short of breath.</w:t>
      </w:r>
    </w:p>
    <w:p w14:paraId="30708298" w14:textId="77777777" w:rsidR="002C5FBF" w:rsidRDefault="002C5FBF" w:rsidP="002C5FBF">
      <w:r>
        <w:t>Weight 50Kg</w:t>
      </w:r>
    </w:p>
    <w:p w14:paraId="674ED5F6" w14:textId="77777777" w:rsidR="002C5FBF" w:rsidRDefault="002C5FBF" w:rsidP="002C5FBF">
      <w:r>
        <w:t>PMHx Asthma</w:t>
      </w:r>
    </w:p>
    <w:p w14:paraId="567328EA" w14:textId="77777777" w:rsidR="002C5FBF" w:rsidRDefault="002C5FBF" w:rsidP="002C5FBF">
      <w:proofErr w:type="spellStart"/>
      <w:r>
        <w:lastRenderedPageBreak/>
        <w:t>DHx</w:t>
      </w:r>
      <w:proofErr w:type="spellEnd"/>
      <w:r>
        <w:t xml:space="preserve"> Allergy to an antibiotic, not sure which, rash in childhood</w:t>
      </w:r>
    </w:p>
    <w:p w14:paraId="1AF57E17" w14:textId="77777777" w:rsidR="002C5FBF" w:rsidRDefault="002C5FBF" w:rsidP="002C5FBF">
      <w:r>
        <w:t>Salbutamol inhaler PRN</w:t>
      </w:r>
    </w:p>
    <w:p w14:paraId="56F2ED1B" w14:textId="77777777" w:rsidR="002C5FBF" w:rsidRDefault="002C5FBF" w:rsidP="002C5FBF">
      <w:proofErr w:type="spellStart"/>
      <w:r>
        <w:t>Becotide</w:t>
      </w:r>
      <w:proofErr w:type="spellEnd"/>
      <w:r>
        <w:t xml:space="preserve"> 200 II puffs bd</w:t>
      </w:r>
    </w:p>
    <w:p w14:paraId="407EF9DA" w14:textId="62DC784B" w:rsidR="002C5FBF" w:rsidRPr="00E43770" w:rsidRDefault="005F705F" w:rsidP="002C5FBF">
      <w:pPr>
        <w:rPr>
          <w:u w:val="single"/>
        </w:rPr>
      </w:pPr>
      <w:r>
        <w:rPr>
          <w:u w:val="single"/>
        </w:rPr>
        <w:t>Candidate</w:t>
      </w:r>
      <w:r w:rsidR="002C5FBF" w:rsidRPr="00E43770">
        <w:rPr>
          <w:u w:val="single"/>
        </w:rPr>
        <w:t xml:space="preserve"> 1:</w:t>
      </w:r>
    </w:p>
    <w:p w14:paraId="62440040" w14:textId="77777777" w:rsidR="002C5FBF" w:rsidRDefault="002C5FBF" w:rsidP="002C5FBF">
      <w:r>
        <w:t>You are the FY1 on call, a student nurse is checking in the patient. They are available to help you. You need to assess the patient and start initial management. On arrival she is clammy, unwell and shot of breath.</w:t>
      </w:r>
    </w:p>
    <w:p w14:paraId="65CA9235" w14:textId="77777777" w:rsidR="002C5FBF" w:rsidRDefault="002C5FBF" w:rsidP="002C5FBF">
      <w:r>
        <w:t>A – maintaining own but talking in half sentences</w:t>
      </w:r>
    </w:p>
    <w:p w14:paraId="2757D7DE" w14:textId="77777777" w:rsidR="002C5FBF" w:rsidRDefault="002C5FBF" w:rsidP="002C5FBF">
      <w:r>
        <w:t>B – Wheeze throughout chest, reduced air entry right base.</w:t>
      </w:r>
    </w:p>
    <w:p w14:paraId="7001269A" w14:textId="77777777" w:rsidR="002C5FBF" w:rsidRDefault="002C5FBF" w:rsidP="002C5FBF">
      <w:r>
        <w:t>C – HR 100 regular, CRT &lt; 2 secs</w:t>
      </w:r>
    </w:p>
    <w:p w14:paraId="7732E2AB" w14:textId="77777777" w:rsidR="002C5FBF" w:rsidRDefault="002C5FBF" w:rsidP="002C5FBF">
      <w:proofErr w:type="spellStart"/>
      <w:r>
        <w:t>Obs</w:t>
      </w:r>
      <w:proofErr w:type="spellEnd"/>
      <w:r>
        <w:t xml:space="preserve"> – BP 95/60, HR 100, Sats 89% on Air, RR 38/minute</w:t>
      </w:r>
    </w:p>
    <w:p w14:paraId="762EBCB8" w14:textId="77777777" w:rsidR="002C5FBF" w:rsidRDefault="002C5FBF" w:rsidP="002C5FBF">
      <w:r>
        <w:t>D – BM 4.6, Temp 38.2, GCS 14/15, a little drowsy</w:t>
      </w:r>
    </w:p>
    <w:p w14:paraId="7A0ACFC2" w14:textId="5ED6DD95" w:rsidR="002C5FBF" w:rsidRDefault="002C5FBF" w:rsidP="002C5FBF">
      <w:r w:rsidRPr="00C622C9">
        <w:rPr>
          <w:b/>
          <w:color w:val="FF0000"/>
        </w:rPr>
        <w:t>HF</w:t>
      </w:r>
      <w:r>
        <w:t xml:space="preserve"> – A senior nurse interrupts you with an urgent TTO, she has copied the drugs over, she asks you just to quickly sign it because there are no beds and a patient will be cancelled for </w:t>
      </w:r>
      <w:r w:rsidR="00A31C20">
        <w:t>theatre, which</w:t>
      </w:r>
      <w:r>
        <w:t xml:space="preserve"> will be your fault.</w:t>
      </w:r>
    </w:p>
    <w:p w14:paraId="0BD13B7E" w14:textId="77777777" w:rsidR="002C5FBF" w:rsidRDefault="002C5FBF" w:rsidP="002C5FBF">
      <w:r>
        <w:t>E – Abdomen normal, ankles mild oedema</w:t>
      </w:r>
    </w:p>
    <w:p w14:paraId="74E4078B" w14:textId="77777777" w:rsidR="002C5FBF" w:rsidRDefault="002C5FBF" w:rsidP="002C5FBF">
      <w:r w:rsidRPr="00EF6A1C">
        <w:rPr>
          <w:b/>
          <w:color w:val="FF0000"/>
        </w:rPr>
        <w:t>Management</w:t>
      </w:r>
      <w:r>
        <w:t xml:space="preserve"> – Oxygen 15L non rebreathe, IV access, bloods, cultures, IV Augmentin/ clarithromycin, steroids, nebulisers</w:t>
      </w:r>
    </w:p>
    <w:p w14:paraId="6B02573B" w14:textId="77777777" w:rsidR="002C5FBF" w:rsidRDefault="002C5FBF" w:rsidP="002C5FBF">
      <w:r w:rsidRPr="00EF6A1C">
        <w:rPr>
          <w:b/>
          <w:color w:val="FF0000"/>
        </w:rPr>
        <w:lastRenderedPageBreak/>
        <w:t>Skills</w:t>
      </w:r>
      <w:r>
        <w:t xml:space="preserve"> – cannula, bloods, cultures</w:t>
      </w:r>
    </w:p>
    <w:p w14:paraId="53D95676" w14:textId="3D321490" w:rsidR="002C5FBF" w:rsidRDefault="00202330" w:rsidP="002C5FBF">
      <w:r>
        <w:rPr>
          <w:b/>
          <w:color w:val="FF0000"/>
        </w:rPr>
        <w:t>Follow-up</w:t>
      </w:r>
      <w:r w:rsidR="002C5FBF">
        <w:t xml:space="preserve"> – what investigations will you order?</w:t>
      </w:r>
    </w:p>
    <w:p w14:paraId="53D6D996" w14:textId="77777777" w:rsidR="002C5FBF" w:rsidRDefault="002C5FBF" w:rsidP="002C5FBF">
      <w:r>
        <w:t xml:space="preserve">What Oxygen and mask will you leave them on – potentially discuss </w:t>
      </w:r>
    </w:p>
    <w:p w14:paraId="74663ED5" w14:textId="7B94A74F" w:rsidR="002C5FBF" w:rsidRDefault="002C5FBF" w:rsidP="002C5FBF">
      <w:r w:rsidRPr="00EF6A1C">
        <w:rPr>
          <w:b/>
          <w:color w:val="FF0000"/>
        </w:rPr>
        <w:t>Referral</w:t>
      </w:r>
      <w:r>
        <w:t xml:space="preserve"> to </w:t>
      </w:r>
      <w:r w:rsidR="00A31C20">
        <w:t>x-ray</w:t>
      </w:r>
      <w:r>
        <w:t xml:space="preserve"> to arrange CXR out of hours ? interpret CXR</w:t>
      </w:r>
    </w:p>
    <w:p w14:paraId="11856E70" w14:textId="72514C23" w:rsidR="002C5FBF" w:rsidRDefault="002C5FBF" w:rsidP="002C5FBF">
      <w:r w:rsidRPr="00EF6A1C">
        <w:rPr>
          <w:b/>
          <w:color w:val="FF0000"/>
        </w:rPr>
        <w:t>Hand over</w:t>
      </w:r>
      <w:r>
        <w:t xml:space="preserve"> to the FY1 on call tomorrow – </w:t>
      </w:r>
      <w:r w:rsidR="005F705F">
        <w:t>Candidate</w:t>
      </w:r>
      <w:r>
        <w:t xml:space="preserve"> 2</w:t>
      </w:r>
    </w:p>
    <w:p w14:paraId="46EA784F" w14:textId="1C85CE21" w:rsidR="002C5FBF" w:rsidRPr="00C622C9" w:rsidRDefault="005F705F" w:rsidP="002C5FBF">
      <w:pPr>
        <w:rPr>
          <w:u w:val="single"/>
        </w:rPr>
      </w:pPr>
      <w:r>
        <w:rPr>
          <w:u w:val="single"/>
        </w:rPr>
        <w:t>Candidate</w:t>
      </w:r>
      <w:r w:rsidR="002C5FBF" w:rsidRPr="00C622C9">
        <w:rPr>
          <w:u w:val="single"/>
        </w:rPr>
        <w:t xml:space="preserve"> 2: </w:t>
      </w:r>
    </w:p>
    <w:p w14:paraId="2C163C54" w14:textId="77777777" w:rsidR="002C5FBF" w:rsidRDefault="002C5FBF" w:rsidP="002C5FBF">
      <w:r>
        <w:t xml:space="preserve">One of the nurses asks you to see Mrs </w:t>
      </w:r>
      <w:proofErr w:type="spellStart"/>
      <w:r>
        <w:t>Monogan</w:t>
      </w:r>
      <w:proofErr w:type="spellEnd"/>
      <w:r>
        <w:t xml:space="preserve"> urgently as she is difficult to rouse. She is in bed. You are handed the </w:t>
      </w:r>
      <w:proofErr w:type="spellStart"/>
      <w:r>
        <w:t>obs</w:t>
      </w:r>
      <w:proofErr w:type="spellEnd"/>
      <w:r>
        <w:t xml:space="preserve"> chart.</w:t>
      </w:r>
    </w:p>
    <w:p w14:paraId="6C151CE2" w14:textId="77777777" w:rsidR="002C5FBF" w:rsidRDefault="002C5FBF" w:rsidP="002C5FBF">
      <w:r>
        <w:t>Overnight her sats had dropped to 70%, the HCA noticed and put her on 15L of oxygen via a non rebreathe mask, the staff nurse had been sleeping so when rechecked her sats were 99% and she seemed to be comfortable so she left her to sleep and did not disturb the nurse in charge.</w:t>
      </w:r>
    </w:p>
    <w:p w14:paraId="0101F70D" w14:textId="77777777" w:rsidR="002C5FBF" w:rsidRDefault="002C5FBF" w:rsidP="002C5FBF">
      <w:r>
        <w:t>A – not maintaining – chin lift/ jaw thrust/ call for help/ oxygen</w:t>
      </w:r>
    </w:p>
    <w:p w14:paraId="436F6565" w14:textId="77777777" w:rsidR="002C5FBF" w:rsidRDefault="002C5FBF" w:rsidP="002C5FBF">
      <w:r>
        <w:t>B – no breath sounds</w:t>
      </w:r>
    </w:p>
    <w:p w14:paraId="2391ABF6" w14:textId="77777777" w:rsidR="002C5FBF" w:rsidRDefault="002C5FBF" w:rsidP="002C5FBF">
      <w:r>
        <w:t>C – Weak pulse 110bpm</w:t>
      </w:r>
    </w:p>
    <w:p w14:paraId="267EBA43" w14:textId="77777777" w:rsidR="002C5FBF" w:rsidRDefault="002C5FBF" w:rsidP="002C5FBF">
      <w:r w:rsidRPr="009343BF">
        <w:rPr>
          <w:b/>
          <w:color w:val="FF0000"/>
        </w:rPr>
        <w:t>Skill BLS</w:t>
      </w:r>
      <w:r>
        <w:t xml:space="preserve">– airway adjunct, - </w:t>
      </w:r>
      <w:proofErr w:type="spellStart"/>
      <w:r>
        <w:t>Guedel</w:t>
      </w:r>
      <w:proofErr w:type="spellEnd"/>
      <w:r>
        <w:t xml:space="preserve"> or NP airway bag and mask ventilation</w:t>
      </w:r>
    </w:p>
    <w:p w14:paraId="66BC512A" w14:textId="77777777" w:rsidR="002C5FBF" w:rsidRDefault="002C5FBF" w:rsidP="002C5FBF">
      <w:proofErr w:type="spellStart"/>
      <w:r>
        <w:t>Obs</w:t>
      </w:r>
      <w:proofErr w:type="spellEnd"/>
      <w:r>
        <w:t xml:space="preserve">: BP 90/60, HR 110bpm, Sats 90% while bag mask ventilation, no </w:t>
      </w:r>
      <w:proofErr w:type="spellStart"/>
      <w:r>
        <w:t>resp</w:t>
      </w:r>
      <w:proofErr w:type="spellEnd"/>
      <w:r>
        <w:t xml:space="preserve"> effort</w:t>
      </w:r>
    </w:p>
    <w:p w14:paraId="61829445" w14:textId="71945A18" w:rsidR="002C5FBF" w:rsidRDefault="002C5FBF" w:rsidP="002C5FBF">
      <w:r>
        <w:lastRenderedPageBreak/>
        <w:t xml:space="preserve">Another F1 turns up - </w:t>
      </w:r>
      <w:r w:rsidR="005F705F">
        <w:t>Candidate</w:t>
      </w:r>
      <w:r>
        <w:t xml:space="preserve"> 3 – hand over to F1 – they offer to take over airway so you can continue.</w:t>
      </w:r>
    </w:p>
    <w:p w14:paraId="697EF700" w14:textId="77777777" w:rsidR="002C5FBF" w:rsidRDefault="002C5FBF" w:rsidP="002C5FBF">
      <w:r>
        <w:t xml:space="preserve">Check drug card for </w:t>
      </w:r>
      <w:proofErr w:type="spellStart"/>
      <w:r>
        <w:t>resp</w:t>
      </w:r>
      <w:proofErr w:type="spellEnd"/>
      <w:r>
        <w:t xml:space="preserve"> depressants, do ABG</w:t>
      </w:r>
    </w:p>
    <w:p w14:paraId="46D6B655" w14:textId="77777777" w:rsidR="002C5FBF" w:rsidRDefault="002C5FBF" w:rsidP="002C5FBF">
      <w:r w:rsidRPr="00E14A9D">
        <w:rPr>
          <w:color w:val="FF0000"/>
        </w:rPr>
        <w:t>Skill</w:t>
      </w:r>
      <w:r>
        <w:t xml:space="preserve"> – ABG </w:t>
      </w:r>
    </w:p>
    <w:p w14:paraId="361DB3F8" w14:textId="77777777" w:rsidR="002C5FBF" w:rsidRDefault="002C5FBF" w:rsidP="002C5FBF">
      <w:r w:rsidRPr="009343BF">
        <w:rPr>
          <w:b/>
          <w:color w:val="FF0000"/>
        </w:rPr>
        <w:t>HF</w:t>
      </w:r>
      <w:r>
        <w:t xml:space="preserve"> – leadership to take control of situation, delegate tasks. </w:t>
      </w:r>
    </w:p>
    <w:p w14:paraId="2C8E09CF" w14:textId="77777777" w:rsidR="002C5FBF" w:rsidRDefault="002C5FBF" w:rsidP="002C5FBF">
      <w:r>
        <w:t xml:space="preserve">Interpret ABG pO2  7, pCO2 8, pH 7.3, BIC 18, BE -5. Type 2 </w:t>
      </w:r>
      <w:proofErr w:type="spellStart"/>
      <w:r>
        <w:t>resp</w:t>
      </w:r>
      <w:proofErr w:type="spellEnd"/>
      <w:r>
        <w:t xml:space="preserve"> failure, compensated </w:t>
      </w:r>
      <w:proofErr w:type="spellStart"/>
      <w:r>
        <w:t>resp</w:t>
      </w:r>
      <w:proofErr w:type="spellEnd"/>
      <w:r>
        <w:t xml:space="preserve"> acidosis</w:t>
      </w:r>
    </w:p>
    <w:p w14:paraId="601B266F" w14:textId="0171D133" w:rsidR="002C5FBF" w:rsidRDefault="00202330" w:rsidP="002C5FBF">
      <w:r>
        <w:rPr>
          <w:b/>
          <w:color w:val="FF0000"/>
        </w:rPr>
        <w:t>Follow-up</w:t>
      </w:r>
      <w:r w:rsidR="002C5FBF">
        <w:t xml:space="preserve"> – where should the patient go – poor </w:t>
      </w:r>
      <w:proofErr w:type="spellStart"/>
      <w:r w:rsidR="002C5FBF">
        <w:t>resp</w:t>
      </w:r>
      <w:proofErr w:type="spellEnd"/>
      <w:r w:rsidR="002C5FBF">
        <w:t xml:space="preserve"> effort </w:t>
      </w:r>
    </w:p>
    <w:p w14:paraId="3302773A" w14:textId="2700CB78" w:rsidR="002C5FBF" w:rsidRDefault="002C5FBF" w:rsidP="002C5FBF">
      <w:r w:rsidRPr="009343BF">
        <w:rPr>
          <w:b/>
          <w:color w:val="FF0000"/>
        </w:rPr>
        <w:t>Referral</w:t>
      </w:r>
      <w:r>
        <w:t xml:space="preserve"> ITU </w:t>
      </w:r>
      <w:proofErr w:type="spellStart"/>
      <w:r>
        <w:t>SpR</w:t>
      </w:r>
      <w:proofErr w:type="spellEnd"/>
      <w:r>
        <w:t xml:space="preserve"> they agree to come and see the patient.</w:t>
      </w:r>
    </w:p>
    <w:p w14:paraId="00A4C64A" w14:textId="4015F885" w:rsidR="002C5FBF" w:rsidRPr="00A021DA" w:rsidRDefault="005F705F" w:rsidP="002C5FBF">
      <w:pPr>
        <w:rPr>
          <w:u w:val="single"/>
        </w:rPr>
      </w:pPr>
      <w:r>
        <w:rPr>
          <w:u w:val="single"/>
        </w:rPr>
        <w:t>Candidate</w:t>
      </w:r>
      <w:r w:rsidR="002C5FBF" w:rsidRPr="00A021DA">
        <w:rPr>
          <w:u w:val="single"/>
        </w:rPr>
        <w:t xml:space="preserve"> 3:</w:t>
      </w:r>
    </w:p>
    <w:p w14:paraId="4C57ACAB" w14:textId="77777777" w:rsidR="002C5FBF" w:rsidRDefault="002C5FBF" w:rsidP="002C5FBF">
      <w:r>
        <w:t xml:space="preserve">You are waiting for the ITU </w:t>
      </w:r>
      <w:proofErr w:type="spellStart"/>
      <w:r>
        <w:t>SpR.</w:t>
      </w:r>
      <w:proofErr w:type="spellEnd"/>
      <w:r>
        <w:t xml:space="preserve"> You continue to bag the patient – she starts to cough and spits out her airway then suddenly goes quiet. You need to reassess the patient and start management. You colleague has gone off shift. You have help from a student nurse.</w:t>
      </w:r>
    </w:p>
    <w:p w14:paraId="5A880745" w14:textId="77777777" w:rsidR="002C5FBF" w:rsidRDefault="002C5FBF" w:rsidP="002C5FBF">
      <w:r>
        <w:t xml:space="preserve">A – no airway </w:t>
      </w:r>
    </w:p>
    <w:p w14:paraId="2F8BBDA1" w14:textId="77777777" w:rsidR="002C5FBF" w:rsidRDefault="002C5FBF" w:rsidP="002C5FBF">
      <w:r>
        <w:t>B – No breathing</w:t>
      </w:r>
    </w:p>
    <w:p w14:paraId="1EF6A1FB" w14:textId="77777777" w:rsidR="002C5FBF" w:rsidRDefault="002C5FBF" w:rsidP="002C5FBF">
      <w:r>
        <w:t>C – No pulse – Start CPR – call for help – arrest call</w:t>
      </w:r>
    </w:p>
    <w:p w14:paraId="76B0E183" w14:textId="77777777" w:rsidR="002C5FBF" w:rsidRDefault="002C5FBF" w:rsidP="002C5FBF">
      <w:r w:rsidRPr="00C72ED7">
        <w:rPr>
          <w:b/>
          <w:color w:val="FF0000"/>
        </w:rPr>
        <w:t>BLS skill</w:t>
      </w:r>
      <w:r>
        <w:t xml:space="preserve"> – 30:2 bag mask ventilation</w:t>
      </w:r>
    </w:p>
    <w:p w14:paraId="7AC85BCB" w14:textId="77777777" w:rsidR="002C5FBF" w:rsidRDefault="002C5FBF" w:rsidP="002C5FBF">
      <w:r w:rsidRPr="00C72ED7">
        <w:rPr>
          <w:b/>
          <w:color w:val="FF0000"/>
        </w:rPr>
        <w:lastRenderedPageBreak/>
        <w:t>HF</w:t>
      </w:r>
      <w:r>
        <w:t xml:space="preserve"> – husband walks in on you doing CPR and tells you to stop because she would not have wanted this. What do you do? There is no DNA form in the notes</w:t>
      </w:r>
    </w:p>
    <w:p w14:paraId="737668AA" w14:textId="77777777" w:rsidR="002C5FBF" w:rsidRDefault="002C5FBF" w:rsidP="002C5FBF">
      <w:proofErr w:type="spellStart"/>
      <w:r>
        <w:t>Cont</w:t>
      </w:r>
      <w:proofErr w:type="spellEnd"/>
      <w:r>
        <w:t xml:space="preserve"> BLS – delegate student to airway so can run the BLS  - attach defib – PEA – adrenaline and </w:t>
      </w:r>
      <w:proofErr w:type="spellStart"/>
      <w:r>
        <w:t>cont</w:t>
      </w:r>
      <w:proofErr w:type="spellEnd"/>
      <w:r>
        <w:t xml:space="preserve"> BLS </w:t>
      </w:r>
      <w:proofErr w:type="spellStart"/>
      <w:r>
        <w:t>algorhythm</w:t>
      </w:r>
      <w:proofErr w:type="spellEnd"/>
    </w:p>
    <w:p w14:paraId="209A2D95" w14:textId="0C241866" w:rsidR="002C5FBF" w:rsidRDefault="002C5FBF" w:rsidP="002C5FBF">
      <w:r>
        <w:t xml:space="preserve">No help arrived yet – bleep system is down – what do you do…. Call ITU </w:t>
      </w:r>
      <w:r w:rsidR="00A31C20">
        <w:t>etc.</w:t>
      </w:r>
    </w:p>
    <w:p w14:paraId="55D36F4A" w14:textId="77777777" w:rsidR="002C5FBF" w:rsidRDefault="002C5FBF" w:rsidP="002C5FBF">
      <w:r>
        <w:t xml:space="preserve">Patient starts to show signs of life and wakes up ITU </w:t>
      </w:r>
      <w:proofErr w:type="spellStart"/>
      <w:r>
        <w:t>SpR</w:t>
      </w:r>
      <w:proofErr w:type="spellEnd"/>
      <w:r>
        <w:t xml:space="preserve"> says they are on their way now and to make sure now the patient has responded that they have a catheter</w:t>
      </w:r>
    </w:p>
    <w:p w14:paraId="2B6152A2" w14:textId="77777777" w:rsidR="002C5FBF" w:rsidRDefault="002C5FBF" w:rsidP="002C5FBF">
      <w:r w:rsidRPr="00C72ED7">
        <w:rPr>
          <w:b/>
          <w:color w:val="FF0000"/>
        </w:rPr>
        <w:t>Skill</w:t>
      </w:r>
      <w:r>
        <w:t xml:space="preserve"> – female catheter</w:t>
      </w:r>
    </w:p>
    <w:p w14:paraId="4FABE824" w14:textId="646AD70E" w:rsidR="002C5FBF" w:rsidRDefault="002C5FBF" w:rsidP="002C5FBF">
      <w:r>
        <w:t xml:space="preserve">ITU </w:t>
      </w:r>
      <w:proofErr w:type="spellStart"/>
      <w:r>
        <w:t>SpR</w:t>
      </w:r>
      <w:proofErr w:type="spellEnd"/>
      <w:r>
        <w:t xml:space="preserve"> arrives – </w:t>
      </w:r>
      <w:r w:rsidRPr="00C72ED7">
        <w:rPr>
          <w:b/>
          <w:color w:val="FF0000"/>
        </w:rPr>
        <w:t xml:space="preserve">hand over </w:t>
      </w:r>
      <w:r>
        <w:t xml:space="preserve">/ make a referral to ITU </w:t>
      </w:r>
      <w:r w:rsidR="009B3879">
        <w:t>and</w:t>
      </w:r>
      <w:r>
        <w:t xml:space="preserve"> hand over to you colleague </w:t>
      </w:r>
      <w:r w:rsidR="005F705F">
        <w:t>Candidate</w:t>
      </w:r>
      <w:r>
        <w:t xml:space="preserve"> 4 who will be ward cover when discharged.</w:t>
      </w:r>
    </w:p>
    <w:p w14:paraId="39C96E91" w14:textId="057B1863" w:rsidR="002C5FBF" w:rsidRDefault="002C5FBF" w:rsidP="002C5FBF">
      <w:r>
        <w:t xml:space="preserve">Formative assessment – clinical knowledge, </w:t>
      </w:r>
      <w:r w:rsidR="00B2451B">
        <w:t>teamwork</w:t>
      </w:r>
      <w:r>
        <w:t xml:space="preserve">ing, human factors – control, leadership, BLS and catheter skills. </w:t>
      </w:r>
    </w:p>
    <w:p w14:paraId="7FA37229" w14:textId="4D1341A2" w:rsidR="002C5FBF" w:rsidRPr="00BB1C16" w:rsidRDefault="005F705F" w:rsidP="002C5FBF">
      <w:pPr>
        <w:rPr>
          <w:u w:val="single"/>
        </w:rPr>
      </w:pPr>
      <w:r>
        <w:rPr>
          <w:u w:val="single"/>
        </w:rPr>
        <w:t>Candidate</w:t>
      </w:r>
      <w:r w:rsidR="002C5FBF" w:rsidRPr="00BB1C16">
        <w:rPr>
          <w:u w:val="single"/>
        </w:rPr>
        <w:t xml:space="preserve"> 4:</w:t>
      </w:r>
    </w:p>
    <w:p w14:paraId="3C5F85A8" w14:textId="1827415B" w:rsidR="002C5FBF" w:rsidRDefault="002C5FBF" w:rsidP="002C5FBF">
      <w:r>
        <w:t xml:space="preserve">Mrs </w:t>
      </w:r>
      <w:proofErr w:type="spellStart"/>
      <w:r>
        <w:t>Monogan</w:t>
      </w:r>
      <w:proofErr w:type="spellEnd"/>
      <w:r>
        <w:t xml:space="preserve"> is discharged back from ITU to the ward. You are the ward FY1 on days. She was seen over night because her drug card was lost and her sputum culture has come back showing Strep pneumonia </w:t>
      </w:r>
      <w:r w:rsidR="009B3879">
        <w:t>and</w:t>
      </w:r>
      <w:r>
        <w:t xml:space="preserve"> klebsiella. She has been on oral clarithromycin. She was given a dose of IV </w:t>
      </w:r>
      <w:r w:rsidR="00A31C20">
        <w:t>Augmentin</w:t>
      </w:r>
      <w:r>
        <w:t xml:space="preserve"> in the night, this is still hung up but her cannula has </w:t>
      </w:r>
      <w:proofErr w:type="spellStart"/>
      <w:r>
        <w:t>tissued</w:t>
      </w:r>
      <w:proofErr w:type="spellEnd"/>
      <w:r>
        <w:t>, they were waiting for the night doctor to replace it. Most of the antibiotic has gone through.</w:t>
      </w:r>
    </w:p>
    <w:p w14:paraId="37975420" w14:textId="77777777" w:rsidR="002C5FBF" w:rsidRDefault="002C5FBF" w:rsidP="002C5FBF">
      <w:r>
        <w:lastRenderedPageBreak/>
        <w:t>On arrival – short of breath</w:t>
      </w:r>
    </w:p>
    <w:p w14:paraId="43831E26" w14:textId="3A009A97" w:rsidR="002C5FBF" w:rsidRDefault="002C5FBF" w:rsidP="002C5FBF">
      <w:r>
        <w:t xml:space="preserve">A – struggling, talking in half sentences complaining of tight throat – closing up – has </w:t>
      </w:r>
      <w:r w:rsidR="00A31C20">
        <w:t>angioedema</w:t>
      </w:r>
      <w:r>
        <w:t xml:space="preserve"> – apply oxygen</w:t>
      </w:r>
    </w:p>
    <w:p w14:paraId="18287F6F" w14:textId="77777777" w:rsidR="002C5FBF" w:rsidRDefault="002C5FBF" w:rsidP="002C5FBF">
      <w:r>
        <w:t>B – Wheeze throughout chest, RR 38/min</w:t>
      </w:r>
    </w:p>
    <w:p w14:paraId="64AD80D1" w14:textId="77777777" w:rsidR="002C5FBF" w:rsidRDefault="002C5FBF" w:rsidP="002C5FBF">
      <w:r>
        <w:t>C - BP 80/60 HR 120 bpm CRT &lt; 2 secs</w:t>
      </w:r>
    </w:p>
    <w:p w14:paraId="6F33B44E" w14:textId="77777777" w:rsidR="002C5FBF" w:rsidRDefault="002C5FBF" w:rsidP="002C5FBF">
      <w:r>
        <w:t>D – BM 6, GCS / AVPU – alert</w:t>
      </w:r>
    </w:p>
    <w:p w14:paraId="2D990122" w14:textId="77777777" w:rsidR="002C5FBF" w:rsidRDefault="002C5FBF" w:rsidP="002C5FBF">
      <w:r>
        <w:t>Mx – call for help – oxygen, adrenaline</w:t>
      </w:r>
    </w:p>
    <w:p w14:paraId="61CD454C" w14:textId="77777777" w:rsidR="002C5FBF" w:rsidRDefault="002C5FBF" w:rsidP="002C5FBF">
      <w:r w:rsidRPr="008E5DE5">
        <w:rPr>
          <w:color w:val="FF0000"/>
        </w:rPr>
        <w:t>Skill</w:t>
      </w:r>
      <w:r>
        <w:t xml:space="preserve"> IV access, hydrocortisone and flush</w:t>
      </w:r>
    </w:p>
    <w:p w14:paraId="1AE86D8C" w14:textId="77777777" w:rsidR="002C5FBF" w:rsidRDefault="002C5FBF" w:rsidP="002C5FBF">
      <w:r w:rsidRPr="008E5DE5">
        <w:rPr>
          <w:color w:val="FF0000"/>
        </w:rPr>
        <w:t>Reassess</w:t>
      </w:r>
      <w:r>
        <w:t xml:space="preserve"> – improved </w:t>
      </w:r>
    </w:p>
    <w:p w14:paraId="61BF4DC7" w14:textId="77777777" w:rsidR="002C5FBF" w:rsidRDefault="002C5FBF" w:rsidP="002C5FBF">
      <w:r w:rsidRPr="008E5DE5">
        <w:rPr>
          <w:color w:val="FF0000"/>
        </w:rPr>
        <w:t>Prescribe</w:t>
      </w:r>
      <w:r>
        <w:t xml:space="preserve"> all of the drugs that you have given and sign for them, correct her allergy status.</w:t>
      </w:r>
    </w:p>
    <w:p w14:paraId="0317B4CC" w14:textId="375EDFDE" w:rsidR="002C5FBF" w:rsidRDefault="002C5FBF" w:rsidP="002C5FBF">
      <w:r w:rsidRPr="008E5DE5">
        <w:rPr>
          <w:color w:val="FF0000"/>
        </w:rPr>
        <w:t>HF</w:t>
      </w:r>
      <w:r>
        <w:t xml:space="preserve"> – husband/ daughter attends – wants to know what you have done to her mother, she has already nearly died once. She asks you not to put her through too much and wants to discuss DNAR. </w:t>
      </w:r>
      <w:r w:rsidR="005F705F">
        <w:t>Candidate</w:t>
      </w:r>
      <w:r>
        <w:t xml:space="preserve"> should discuss DNAR – away from the patient initially</w:t>
      </w:r>
    </w:p>
    <w:p w14:paraId="3F7F9FFF" w14:textId="77777777" w:rsidR="002C5FBF" w:rsidRDefault="002C5FBF" w:rsidP="002C5FBF">
      <w:r w:rsidRPr="008E5DE5">
        <w:rPr>
          <w:color w:val="FF0000"/>
        </w:rPr>
        <w:t>Refer</w:t>
      </w:r>
      <w:r>
        <w:t xml:space="preserve"> to </w:t>
      </w:r>
      <w:proofErr w:type="spellStart"/>
      <w:r>
        <w:t>SpR</w:t>
      </w:r>
      <w:proofErr w:type="spellEnd"/>
      <w:r>
        <w:t xml:space="preserve"> / consultant and </w:t>
      </w:r>
      <w:r w:rsidRPr="00BB1C16">
        <w:rPr>
          <w:color w:val="FF0000"/>
        </w:rPr>
        <w:t>hand over</w:t>
      </w:r>
      <w:r>
        <w:t xml:space="preserve"> case discussing DNAR – offer opportunity to discuss with seniors.</w:t>
      </w:r>
    </w:p>
    <w:p w14:paraId="76BDEC87" w14:textId="77777777" w:rsidR="00C81B6F" w:rsidRPr="00C81B6F" w:rsidRDefault="00C81B6F" w:rsidP="002C5FBF"/>
    <w:p w14:paraId="70FCC185" w14:textId="2AB54755" w:rsidR="004C5E53" w:rsidRPr="00212034" w:rsidRDefault="003C1F62" w:rsidP="006B027F">
      <w:pPr>
        <w:pStyle w:val="Heading2"/>
      </w:pPr>
      <w:bookmarkStart w:id="478" w:name="_Toc419116224"/>
      <w:r>
        <w:lastRenderedPageBreak/>
        <w:t>Equipment list</w:t>
      </w:r>
      <w:bookmarkEnd w:id="478"/>
    </w:p>
    <w:p w14:paraId="28B5DCD6" w14:textId="77777777" w:rsidR="004C5E53" w:rsidRPr="00D06E7D" w:rsidRDefault="004C5E53" w:rsidP="004C5E53">
      <w:pPr>
        <w:jc w:val="center"/>
        <w:rPr>
          <w:rFonts w:cs="Arial"/>
          <w:sz w:val="28"/>
          <w:szCs w:val="28"/>
          <w:u w:val="single"/>
        </w:rPr>
      </w:pPr>
      <w:r w:rsidRPr="00D06E7D">
        <w:rPr>
          <w:rFonts w:cs="Arial"/>
          <w:sz w:val="28"/>
          <w:szCs w:val="28"/>
          <w:u w:val="single"/>
        </w:rPr>
        <w:t>IMASS long case equipment list 2013</w:t>
      </w:r>
    </w:p>
    <w:p w14:paraId="63E5B33D" w14:textId="35892BB5" w:rsidR="004C5E53" w:rsidRPr="00D06E7D" w:rsidRDefault="004C5E53" w:rsidP="004C5E53">
      <w:pPr>
        <w:rPr>
          <w:rFonts w:cs="Arial"/>
          <w:sz w:val="28"/>
          <w:szCs w:val="28"/>
        </w:rPr>
      </w:pPr>
      <w:r w:rsidRPr="00D06E7D">
        <w:rPr>
          <w:rFonts w:cs="Arial"/>
          <w:sz w:val="28"/>
          <w:szCs w:val="28"/>
        </w:rPr>
        <w:t xml:space="preserve">4 days max 32 </w:t>
      </w:r>
      <w:r w:rsidR="005F705F">
        <w:rPr>
          <w:rFonts w:cs="Arial"/>
          <w:sz w:val="28"/>
          <w:szCs w:val="28"/>
        </w:rPr>
        <w:t>Candidate</w:t>
      </w:r>
      <w:r w:rsidRPr="00D06E7D">
        <w:rPr>
          <w:rFonts w:cs="Arial"/>
          <w:sz w:val="28"/>
          <w:szCs w:val="28"/>
        </w:rPr>
        <w:t xml:space="preserve">s. </w:t>
      </w:r>
    </w:p>
    <w:p w14:paraId="7E1A1F85" w14:textId="4D5C9F68" w:rsidR="004C5E53" w:rsidRPr="00D06E7D" w:rsidRDefault="004C5E53" w:rsidP="004C5E53">
      <w:pPr>
        <w:rPr>
          <w:rFonts w:cs="Arial"/>
          <w:sz w:val="28"/>
          <w:szCs w:val="28"/>
          <w:u w:val="single"/>
        </w:rPr>
      </w:pPr>
      <w:r w:rsidRPr="00D06E7D">
        <w:rPr>
          <w:rFonts w:cs="Arial"/>
          <w:sz w:val="28"/>
          <w:szCs w:val="28"/>
          <w:u w:val="single"/>
        </w:rPr>
        <w:t>Faculty</w:t>
      </w:r>
      <w:r>
        <w:rPr>
          <w:rFonts w:cs="Arial"/>
          <w:sz w:val="28"/>
          <w:szCs w:val="28"/>
          <w:u w:val="single"/>
        </w:rPr>
        <w:t xml:space="preserve"> </w:t>
      </w:r>
      <w:r w:rsidR="009B3879">
        <w:rPr>
          <w:rFonts w:cs="Arial"/>
          <w:sz w:val="28"/>
          <w:szCs w:val="28"/>
          <w:u w:val="single"/>
        </w:rPr>
        <w:t>and</w:t>
      </w:r>
      <w:r>
        <w:rPr>
          <w:rFonts w:cs="Arial"/>
          <w:sz w:val="28"/>
          <w:szCs w:val="28"/>
          <w:u w:val="single"/>
        </w:rPr>
        <w:t xml:space="preserve"> general equipment</w:t>
      </w:r>
      <w:r w:rsidRPr="00D06E7D">
        <w:rPr>
          <w:rFonts w:cs="Arial"/>
          <w:sz w:val="28"/>
          <w:szCs w:val="28"/>
          <w:u w:val="single"/>
        </w:rPr>
        <w:t xml:space="preserve">: </w:t>
      </w:r>
    </w:p>
    <w:p w14:paraId="4B3834E4" w14:textId="77777777" w:rsidR="004C5E53" w:rsidRPr="00D06E7D" w:rsidRDefault="004C5E53" w:rsidP="002424E3">
      <w:pPr>
        <w:pStyle w:val="ListParagraph"/>
        <w:numPr>
          <w:ilvl w:val="0"/>
          <w:numId w:val="34"/>
        </w:numPr>
        <w:spacing w:after="200" w:line="276" w:lineRule="auto"/>
        <w:rPr>
          <w:rFonts w:ascii="Arial" w:hAnsi="Arial" w:cs="Arial"/>
          <w:sz w:val="28"/>
          <w:szCs w:val="28"/>
        </w:rPr>
      </w:pPr>
      <w:r w:rsidRPr="00D06E7D">
        <w:rPr>
          <w:rFonts w:ascii="Arial" w:hAnsi="Arial" w:cs="Arial"/>
          <w:sz w:val="28"/>
          <w:szCs w:val="28"/>
        </w:rPr>
        <w:t xml:space="preserve">1 for sim man voice and on instructor pad, </w:t>
      </w:r>
    </w:p>
    <w:p w14:paraId="4651E72B" w14:textId="77777777" w:rsidR="004C5E53" w:rsidRPr="00D06E7D" w:rsidRDefault="004C5E53" w:rsidP="002424E3">
      <w:pPr>
        <w:pStyle w:val="ListParagraph"/>
        <w:numPr>
          <w:ilvl w:val="0"/>
          <w:numId w:val="34"/>
        </w:numPr>
        <w:spacing w:after="200" w:line="276" w:lineRule="auto"/>
        <w:rPr>
          <w:rFonts w:ascii="Arial" w:hAnsi="Arial" w:cs="Arial"/>
          <w:sz w:val="28"/>
          <w:szCs w:val="28"/>
        </w:rPr>
      </w:pPr>
      <w:r w:rsidRPr="00D06E7D">
        <w:rPr>
          <w:rFonts w:ascii="Arial" w:hAnsi="Arial" w:cs="Arial"/>
          <w:sz w:val="28"/>
          <w:szCs w:val="28"/>
        </w:rPr>
        <w:t xml:space="preserve">1 facilitator, </w:t>
      </w:r>
    </w:p>
    <w:p w14:paraId="4F1E3C61" w14:textId="77777777" w:rsidR="004C5E53" w:rsidRPr="00D06E7D" w:rsidRDefault="004C5E53" w:rsidP="002424E3">
      <w:pPr>
        <w:pStyle w:val="ListParagraph"/>
        <w:numPr>
          <w:ilvl w:val="0"/>
          <w:numId w:val="34"/>
        </w:numPr>
        <w:spacing w:after="200" w:line="276" w:lineRule="auto"/>
        <w:rPr>
          <w:rFonts w:ascii="Arial" w:hAnsi="Arial" w:cs="Arial"/>
          <w:sz w:val="28"/>
          <w:szCs w:val="28"/>
        </w:rPr>
      </w:pPr>
      <w:r w:rsidRPr="00D06E7D">
        <w:rPr>
          <w:rFonts w:ascii="Arial" w:hAnsi="Arial" w:cs="Arial"/>
          <w:sz w:val="28"/>
          <w:szCs w:val="28"/>
        </w:rPr>
        <w:t xml:space="preserve">1 nurse to help with </w:t>
      </w:r>
      <w:proofErr w:type="spellStart"/>
      <w:r w:rsidRPr="00D06E7D">
        <w:rPr>
          <w:rFonts w:ascii="Arial" w:hAnsi="Arial" w:cs="Arial"/>
          <w:sz w:val="28"/>
          <w:szCs w:val="28"/>
        </w:rPr>
        <w:t>obs</w:t>
      </w:r>
      <w:proofErr w:type="spellEnd"/>
      <w:r w:rsidRPr="00D06E7D">
        <w:rPr>
          <w:rFonts w:ascii="Arial" w:hAnsi="Arial" w:cs="Arial"/>
          <w:sz w:val="28"/>
          <w:szCs w:val="28"/>
        </w:rPr>
        <w:t xml:space="preserve"> etc, </w:t>
      </w:r>
    </w:p>
    <w:p w14:paraId="55FF3452" w14:textId="77777777" w:rsidR="004C5E53" w:rsidRDefault="004C5E53" w:rsidP="002424E3">
      <w:pPr>
        <w:pStyle w:val="ListParagraph"/>
        <w:numPr>
          <w:ilvl w:val="0"/>
          <w:numId w:val="34"/>
        </w:numPr>
        <w:spacing w:after="200" w:line="276" w:lineRule="auto"/>
        <w:rPr>
          <w:rFonts w:ascii="Arial" w:hAnsi="Arial" w:cs="Arial"/>
          <w:sz w:val="28"/>
          <w:szCs w:val="28"/>
        </w:rPr>
      </w:pPr>
      <w:r w:rsidRPr="00D06E7D">
        <w:rPr>
          <w:rFonts w:ascii="Arial" w:hAnsi="Arial" w:cs="Arial"/>
          <w:sz w:val="28"/>
          <w:szCs w:val="28"/>
        </w:rPr>
        <w:t>1 matron to interrupt/ family member (4)</w:t>
      </w:r>
    </w:p>
    <w:p w14:paraId="3A871AE3" w14:textId="77777777" w:rsidR="004C5E53" w:rsidRDefault="004C5E53" w:rsidP="002424E3">
      <w:pPr>
        <w:pStyle w:val="ListParagraph"/>
        <w:numPr>
          <w:ilvl w:val="0"/>
          <w:numId w:val="34"/>
        </w:numPr>
        <w:spacing w:after="200" w:line="276" w:lineRule="auto"/>
        <w:rPr>
          <w:rFonts w:ascii="Arial" w:hAnsi="Arial" w:cs="Arial"/>
          <w:sz w:val="28"/>
          <w:szCs w:val="28"/>
        </w:rPr>
      </w:pPr>
      <w:r>
        <w:rPr>
          <w:rFonts w:ascii="Arial" w:hAnsi="Arial" w:cs="Arial"/>
          <w:sz w:val="28"/>
          <w:szCs w:val="28"/>
        </w:rPr>
        <w:t>1 telephone</w:t>
      </w:r>
    </w:p>
    <w:p w14:paraId="6C1F3BEC" w14:textId="6DCC86E5" w:rsidR="004C5E53" w:rsidRDefault="004C5E53" w:rsidP="002424E3">
      <w:pPr>
        <w:pStyle w:val="ListParagraph"/>
        <w:numPr>
          <w:ilvl w:val="0"/>
          <w:numId w:val="34"/>
        </w:numPr>
        <w:spacing w:after="200" w:line="276" w:lineRule="auto"/>
        <w:rPr>
          <w:rFonts w:ascii="Arial" w:hAnsi="Arial" w:cs="Arial"/>
          <w:sz w:val="28"/>
          <w:szCs w:val="28"/>
        </w:rPr>
      </w:pPr>
      <w:r>
        <w:rPr>
          <w:rFonts w:ascii="Arial" w:hAnsi="Arial" w:cs="Arial"/>
          <w:sz w:val="28"/>
          <w:szCs w:val="28"/>
        </w:rPr>
        <w:t xml:space="preserve">Audio-visual </w:t>
      </w:r>
      <w:r w:rsidR="009B3879">
        <w:rPr>
          <w:rFonts w:ascii="Arial" w:hAnsi="Arial" w:cs="Arial"/>
          <w:sz w:val="28"/>
          <w:szCs w:val="28"/>
        </w:rPr>
        <w:t>and</w:t>
      </w:r>
      <w:r>
        <w:rPr>
          <w:rFonts w:ascii="Arial" w:hAnsi="Arial" w:cs="Arial"/>
          <w:sz w:val="28"/>
          <w:szCs w:val="28"/>
        </w:rPr>
        <w:t xml:space="preserve"> video recording facilities</w:t>
      </w:r>
    </w:p>
    <w:p w14:paraId="054AB530" w14:textId="2F401E2A" w:rsidR="004C5E53" w:rsidRDefault="004C5E53" w:rsidP="002424E3">
      <w:pPr>
        <w:pStyle w:val="ListParagraph"/>
        <w:numPr>
          <w:ilvl w:val="0"/>
          <w:numId w:val="34"/>
        </w:numPr>
        <w:spacing w:after="200" w:line="276" w:lineRule="auto"/>
        <w:rPr>
          <w:rFonts w:ascii="Arial" w:hAnsi="Arial" w:cs="Arial"/>
          <w:sz w:val="28"/>
          <w:szCs w:val="28"/>
        </w:rPr>
      </w:pPr>
      <w:r>
        <w:rPr>
          <w:rFonts w:ascii="Arial" w:hAnsi="Arial" w:cs="Arial"/>
          <w:sz w:val="28"/>
          <w:szCs w:val="28"/>
        </w:rPr>
        <w:t xml:space="preserve">1 Sim Man 3G, instructor </w:t>
      </w:r>
      <w:r w:rsidR="009B3879">
        <w:rPr>
          <w:rFonts w:ascii="Arial" w:hAnsi="Arial" w:cs="Arial"/>
          <w:sz w:val="28"/>
          <w:szCs w:val="28"/>
        </w:rPr>
        <w:t>and</w:t>
      </w:r>
      <w:r>
        <w:rPr>
          <w:rFonts w:ascii="Arial" w:hAnsi="Arial" w:cs="Arial"/>
          <w:sz w:val="28"/>
          <w:szCs w:val="28"/>
        </w:rPr>
        <w:t xml:space="preserve"> patient monitor</w:t>
      </w:r>
    </w:p>
    <w:p w14:paraId="1E15AE02" w14:textId="49981652" w:rsidR="004C5E53" w:rsidRDefault="004C5E53" w:rsidP="002424E3">
      <w:pPr>
        <w:pStyle w:val="ListParagraph"/>
        <w:numPr>
          <w:ilvl w:val="0"/>
          <w:numId w:val="34"/>
        </w:numPr>
        <w:spacing w:after="200" w:line="276" w:lineRule="auto"/>
        <w:rPr>
          <w:rFonts w:ascii="Arial" w:hAnsi="Arial" w:cs="Arial"/>
          <w:sz w:val="28"/>
          <w:szCs w:val="28"/>
        </w:rPr>
      </w:pPr>
      <w:r>
        <w:rPr>
          <w:rFonts w:ascii="Arial" w:hAnsi="Arial" w:cs="Arial"/>
          <w:sz w:val="28"/>
          <w:szCs w:val="28"/>
        </w:rPr>
        <w:t xml:space="preserve">1 room with projector for </w:t>
      </w:r>
      <w:r w:rsidR="005F705F">
        <w:rPr>
          <w:rFonts w:ascii="Arial" w:hAnsi="Arial" w:cs="Arial"/>
          <w:sz w:val="28"/>
          <w:szCs w:val="28"/>
        </w:rPr>
        <w:t>Candidate</w:t>
      </w:r>
      <w:r>
        <w:rPr>
          <w:rFonts w:ascii="Arial" w:hAnsi="Arial" w:cs="Arial"/>
          <w:sz w:val="28"/>
          <w:szCs w:val="28"/>
        </w:rPr>
        <w:t xml:space="preserve">s to watch </w:t>
      </w:r>
      <w:r w:rsidR="009B3879">
        <w:rPr>
          <w:rFonts w:ascii="Arial" w:hAnsi="Arial" w:cs="Arial"/>
          <w:sz w:val="28"/>
          <w:szCs w:val="28"/>
        </w:rPr>
        <w:t>and</w:t>
      </w:r>
      <w:r>
        <w:rPr>
          <w:rFonts w:ascii="Arial" w:hAnsi="Arial" w:cs="Arial"/>
          <w:sz w:val="28"/>
          <w:szCs w:val="28"/>
        </w:rPr>
        <w:t xml:space="preserve"> debrief</w:t>
      </w:r>
    </w:p>
    <w:p w14:paraId="40C145B6" w14:textId="77777777" w:rsidR="004C5E53" w:rsidRPr="00D06E7D" w:rsidRDefault="004C5E53" w:rsidP="002424E3">
      <w:pPr>
        <w:pStyle w:val="ListParagraph"/>
        <w:numPr>
          <w:ilvl w:val="0"/>
          <w:numId w:val="34"/>
        </w:numPr>
        <w:spacing w:after="200" w:line="276" w:lineRule="auto"/>
        <w:rPr>
          <w:rFonts w:ascii="Arial" w:hAnsi="Arial" w:cs="Arial"/>
          <w:sz w:val="28"/>
          <w:szCs w:val="28"/>
        </w:rPr>
      </w:pPr>
      <w:r>
        <w:rPr>
          <w:rFonts w:ascii="Arial" w:hAnsi="Arial" w:cs="Arial"/>
          <w:sz w:val="28"/>
          <w:szCs w:val="28"/>
        </w:rPr>
        <w:t xml:space="preserve">1 room with Sim Man in </w:t>
      </w:r>
    </w:p>
    <w:p w14:paraId="519C3FCB" w14:textId="77777777" w:rsidR="004C5E53" w:rsidRPr="00D06E7D" w:rsidRDefault="004C5E53" w:rsidP="004C5E53">
      <w:pPr>
        <w:rPr>
          <w:rFonts w:cs="Arial"/>
          <w:sz w:val="28"/>
          <w:szCs w:val="28"/>
          <w:u w:val="single"/>
        </w:rPr>
      </w:pPr>
      <w:r w:rsidRPr="00D06E7D">
        <w:rPr>
          <w:rFonts w:cs="Arial"/>
          <w:sz w:val="28"/>
          <w:szCs w:val="28"/>
          <w:u w:val="single"/>
        </w:rPr>
        <w:t>Clinical equipment:</w:t>
      </w:r>
    </w:p>
    <w:p w14:paraId="72481F11" w14:textId="77777777"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Oxygen mask – reservoir/ nasal specs/ venturi mask x 1 of each</w:t>
      </w:r>
    </w:p>
    <w:p w14:paraId="53DCC496" w14:textId="77777777" w:rsidR="004C5E53" w:rsidRPr="00D06E7D" w:rsidRDefault="004C5E53" w:rsidP="002424E3">
      <w:pPr>
        <w:pStyle w:val="ListParagraph"/>
        <w:numPr>
          <w:ilvl w:val="0"/>
          <w:numId w:val="35"/>
        </w:numPr>
        <w:spacing w:after="200" w:line="276" w:lineRule="auto"/>
        <w:rPr>
          <w:rFonts w:ascii="Arial" w:hAnsi="Arial" w:cs="Arial"/>
          <w:sz w:val="28"/>
          <w:szCs w:val="28"/>
        </w:rPr>
      </w:pPr>
      <w:proofErr w:type="spellStart"/>
      <w:r w:rsidRPr="00D06E7D">
        <w:rPr>
          <w:rFonts w:ascii="Arial" w:hAnsi="Arial" w:cs="Arial"/>
          <w:sz w:val="28"/>
          <w:szCs w:val="28"/>
        </w:rPr>
        <w:t>Guedel</w:t>
      </w:r>
      <w:proofErr w:type="spellEnd"/>
      <w:r w:rsidRPr="00D06E7D">
        <w:rPr>
          <w:rFonts w:ascii="Arial" w:hAnsi="Arial" w:cs="Arial"/>
          <w:sz w:val="28"/>
          <w:szCs w:val="28"/>
        </w:rPr>
        <w:t xml:space="preserve"> airway x 2 diff sizes, Nasopharyngeal airway x 1</w:t>
      </w:r>
    </w:p>
    <w:p w14:paraId="576EA09B" w14:textId="154AD1BF"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 xml:space="preserve">Box of gloves x 2 (medium </w:t>
      </w:r>
      <w:r w:rsidR="009B3879">
        <w:rPr>
          <w:rFonts w:ascii="Arial" w:hAnsi="Arial" w:cs="Arial"/>
          <w:sz w:val="28"/>
          <w:szCs w:val="28"/>
        </w:rPr>
        <w:t>and</w:t>
      </w:r>
      <w:r w:rsidRPr="00D06E7D">
        <w:rPr>
          <w:rFonts w:ascii="Arial" w:hAnsi="Arial" w:cs="Arial"/>
          <w:sz w:val="28"/>
          <w:szCs w:val="28"/>
        </w:rPr>
        <w:t xml:space="preserve"> large)</w:t>
      </w:r>
    </w:p>
    <w:p w14:paraId="4A144CA6" w14:textId="7F05EBD7"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 xml:space="preserve">Tape </w:t>
      </w:r>
      <w:r w:rsidR="009B3879">
        <w:rPr>
          <w:rFonts w:ascii="Arial" w:hAnsi="Arial" w:cs="Arial"/>
          <w:sz w:val="28"/>
          <w:szCs w:val="28"/>
        </w:rPr>
        <w:t>and</w:t>
      </w:r>
      <w:r w:rsidRPr="00D06E7D">
        <w:rPr>
          <w:rFonts w:ascii="Arial" w:hAnsi="Arial" w:cs="Arial"/>
          <w:sz w:val="28"/>
          <w:szCs w:val="28"/>
        </w:rPr>
        <w:t xml:space="preserve"> cotton wool</w:t>
      </w:r>
    </w:p>
    <w:p w14:paraId="07CD5D31" w14:textId="20733E04"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 xml:space="preserve">Sterile wash </w:t>
      </w:r>
      <w:r w:rsidR="009B3879">
        <w:rPr>
          <w:rFonts w:ascii="Arial" w:hAnsi="Arial" w:cs="Arial"/>
          <w:sz w:val="28"/>
          <w:szCs w:val="28"/>
        </w:rPr>
        <w:t>and</w:t>
      </w:r>
      <w:r w:rsidRPr="00D06E7D">
        <w:rPr>
          <w:rFonts w:ascii="Arial" w:hAnsi="Arial" w:cs="Arial"/>
          <w:sz w:val="28"/>
          <w:szCs w:val="28"/>
        </w:rPr>
        <w:t xml:space="preserve"> sterile wipes x 32</w:t>
      </w:r>
    </w:p>
    <w:p w14:paraId="6C7CCEF4" w14:textId="3D577A8D"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 xml:space="preserve">IV fluid bag </w:t>
      </w:r>
      <w:r w:rsidR="009B3879">
        <w:rPr>
          <w:rFonts w:ascii="Arial" w:hAnsi="Arial" w:cs="Arial"/>
          <w:sz w:val="28"/>
          <w:szCs w:val="28"/>
        </w:rPr>
        <w:t>and</w:t>
      </w:r>
      <w:r w:rsidRPr="00D06E7D">
        <w:rPr>
          <w:rFonts w:ascii="Arial" w:hAnsi="Arial" w:cs="Arial"/>
          <w:sz w:val="28"/>
          <w:szCs w:val="28"/>
        </w:rPr>
        <w:t xml:space="preserve"> giving set x 1</w:t>
      </w:r>
    </w:p>
    <w:p w14:paraId="0B1C62A7" w14:textId="77777777"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Small IV bag to be labelled Augmentin with giving set</w:t>
      </w:r>
    </w:p>
    <w:p w14:paraId="5B014575" w14:textId="4530ECF8"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 xml:space="preserve">IV cannulation pack x 8 </w:t>
      </w:r>
      <w:r w:rsidR="009B3879">
        <w:rPr>
          <w:rFonts w:ascii="Arial" w:hAnsi="Arial" w:cs="Arial"/>
          <w:sz w:val="28"/>
          <w:szCs w:val="28"/>
        </w:rPr>
        <w:t>and</w:t>
      </w:r>
      <w:r w:rsidRPr="00D06E7D">
        <w:rPr>
          <w:rFonts w:ascii="Arial" w:hAnsi="Arial" w:cs="Arial"/>
          <w:sz w:val="28"/>
          <w:szCs w:val="28"/>
        </w:rPr>
        <w:t xml:space="preserve"> cannulation arm x 1</w:t>
      </w:r>
    </w:p>
    <w:p w14:paraId="5AD27A76" w14:textId="6BFD81D1"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 xml:space="preserve">Venepuncture set x 8 </w:t>
      </w:r>
      <w:r w:rsidR="009B3879">
        <w:rPr>
          <w:rFonts w:ascii="Arial" w:hAnsi="Arial" w:cs="Arial"/>
          <w:sz w:val="28"/>
          <w:szCs w:val="28"/>
        </w:rPr>
        <w:t>and</w:t>
      </w:r>
      <w:r w:rsidRPr="00D06E7D">
        <w:rPr>
          <w:rFonts w:ascii="Arial" w:hAnsi="Arial" w:cs="Arial"/>
          <w:sz w:val="28"/>
          <w:szCs w:val="28"/>
        </w:rPr>
        <w:t xml:space="preserve"> arm x 1</w:t>
      </w:r>
    </w:p>
    <w:p w14:paraId="57B0DC5A" w14:textId="3CD32267"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 xml:space="preserve">Blood culture pack and bottles x 8 </w:t>
      </w:r>
      <w:r w:rsidR="009B3879">
        <w:rPr>
          <w:rFonts w:ascii="Arial" w:hAnsi="Arial" w:cs="Arial"/>
          <w:sz w:val="28"/>
          <w:szCs w:val="28"/>
        </w:rPr>
        <w:t>and</w:t>
      </w:r>
      <w:r w:rsidRPr="00D06E7D">
        <w:rPr>
          <w:rFonts w:ascii="Arial" w:hAnsi="Arial" w:cs="Arial"/>
          <w:sz w:val="28"/>
          <w:szCs w:val="28"/>
        </w:rPr>
        <w:t xml:space="preserve"> arm X 1</w:t>
      </w:r>
    </w:p>
    <w:p w14:paraId="37026095" w14:textId="25697FCA"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 xml:space="preserve">ABG set x 8 </w:t>
      </w:r>
      <w:r w:rsidR="009B3879">
        <w:rPr>
          <w:rFonts w:ascii="Arial" w:hAnsi="Arial" w:cs="Arial"/>
          <w:sz w:val="28"/>
          <w:szCs w:val="28"/>
        </w:rPr>
        <w:t>and</w:t>
      </w:r>
      <w:r w:rsidRPr="00D06E7D">
        <w:rPr>
          <w:rFonts w:ascii="Arial" w:hAnsi="Arial" w:cs="Arial"/>
          <w:sz w:val="28"/>
          <w:szCs w:val="28"/>
        </w:rPr>
        <w:t xml:space="preserve"> arm x 1</w:t>
      </w:r>
    </w:p>
    <w:p w14:paraId="713FFF94" w14:textId="5345F733"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 xml:space="preserve">Urethral catheter pack x 1, catheter (x8 – reuse x 1) </w:t>
      </w:r>
      <w:r w:rsidR="009B3879">
        <w:rPr>
          <w:rFonts w:ascii="Arial" w:hAnsi="Arial" w:cs="Arial"/>
          <w:sz w:val="28"/>
          <w:szCs w:val="28"/>
        </w:rPr>
        <w:t>and</w:t>
      </w:r>
      <w:r w:rsidRPr="00D06E7D">
        <w:rPr>
          <w:rFonts w:ascii="Arial" w:hAnsi="Arial" w:cs="Arial"/>
          <w:sz w:val="28"/>
          <w:szCs w:val="28"/>
        </w:rPr>
        <w:t xml:space="preserve"> catheter model </w:t>
      </w:r>
      <w:r w:rsidR="009B3879">
        <w:rPr>
          <w:rFonts w:ascii="Arial" w:hAnsi="Arial" w:cs="Arial"/>
          <w:sz w:val="28"/>
          <w:szCs w:val="28"/>
        </w:rPr>
        <w:t>and</w:t>
      </w:r>
      <w:r w:rsidRPr="00D06E7D">
        <w:rPr>
          <w:rFonts w:ascii="Arial" w:hAnsi="Arial" w:cs="Arial"/>
          <w:sz w:val="28"/>
          <w:szCs w:val="28"/>
        </w:rPr>
        <w:t xml:space="preserve"> bag </w:t>
      </w:r>
      <w:r w:rsidR="009B3879">
        <w:rPr>
          <w:rFonts w:ascii="Arial" w:hAnsi="Arial" w:cs="Arial"/>
          <w:sz w:val="28"/>
          <w:szCs w:val="28"/>
        </w:rPr>
        <w:t>and</w:t>
      </w:r>
      <w:r w:rsidRPr="00D06E7D">
        <w:rPr>
          <w:rFonts w:ascii="Arial" w:hAnsi="Arial" w:cs="Arial"/>
          <w:sz w:val="28"/>
          <w:szCs w:val="28"/>
        </w:rPr>
        <w:t xml:space="preserve"> lignocaine</w:t>
      </w:r>
    </w:p>
    <w:p w14:paraId="3F3CCD99" w14:textId="77777777"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t>Small drain/leg bag to act as nephrostomy bag x 1</w:t>
      </w:r>
    </w:p>
    <w:p w14:paraId="1AA831BD" w14:textId="77777777" w:rsidR="004C5E53" w:rsidRPr="00D06E7D" w:rsidRDefault="004C5E53" w:rsidP="002424E3">
      <w:pPr>
        <w:pStyle w:val="ListParagraph"/>
        <w:numPr>
          <w:ilvl w:val="0"/>
          <w:numId w:val="35"/>
        </w:numPr>
        <w:spacing w:after="200" w:line="276" w:lineRule="auto"/>
        <w:rPr>
          <w:rFonts w:ascii="Arial" w:hAnsi="Arial" w:cs="Arial"/>
          <w:sz w:val="28"/>
          <w:szCs w:val="28"/>
        </w:rPr>
      </w:pPr>
      <w:r w:rsidRPr="00D06E7D">
        <w:rPr>
          <w:rFonts w:ascii="Arial" w:hAnsi="Arial" w:cs="Arial"/>
          <w:sz w:val="28"/>
          <w:szCs w:val="28"/>
        </w:rPr>
        <w:lastRenderedPageBreak/>
        <w:t xml:space="preserve">Syringes x 7 10ml labelled – Adrenaline IM dose, saline flush, water for catheter, </w:t>
      </w:r>
      <w:proofErr w:type="spellStart"/>
      <w:r w:rsidRPr="00D06E7D">
        <w:rPr>
          <w:rFonts w:ascii="Arial" w:hAnsi="Arial" w:cs="Arial"/>
          <w:sz w:val="28"/>
          <w:szCs w:val="28"/>
        </w:rPr>
        <w:t>instillagel</w:t>
      </w:r>
      <w:proofErr w:type="spellEnd"/>
      <w:r w:rsidRPr="00D06E7D">
        <w:rPr>
          <w:rFonts w:ascii="Arial" w:hAnsi="Arial" w:cs="Arial"/>
          <w:sz w:val="28"/>
          <w:szCs w:val="28"/>
        </w:rPr>
        <w:t>, hydrocortisone, IV Antibiotic – Gentamicin, Meropenem</w:t>
      </w:r>
    </w:p>
    <w:p w14:paraId="3A29CB1A" w14:textId="6F43EDD5" w:rsidR="004C5E53" w:rsidRPr="006B027F" w:rsidRDefault="004C5E53" w:rsidP="002424E3">
      <w:pPr>
        <w:pStyle w:val="ListParagraph"/>
        <w:numPr>
          <w:ilvl w:val="0"/>
          <w:numId w:val="35"/>
        </w:numPr>
        <w:spacing w:after="200" w:line="276" w:lineRule="auto"/>
        <w:rPr>
          <w:rFonts w:cs="Arial"/>
          <w:sz w:val="28"/>
          <w:szCs w:val="28"/>
        </w:rPr>
      </w:pPr>
      <w:r w:rsidRPr="00D06E7D">
        <w:rPr>
          <w:rFonts w:ascii="Arial" w:hAnsi="Arial" w:cs="Arial"/>
          <w:sz w:val="28"/>
          <w:szCs w:val="28"/>
        </w:rPr>
        <w:t>Wrist labels for patients x 2 so far</w:t>
      </w:r>
    </w:p>
    <w:p w14:paraId="706175F7" w14:textId="77777777" w:rsidR="004C5E53" w:rsidRPr="00D06E7D" w:rsidRDefault="004C5E53" w:rsidP="004C5E53">
      <w:pPr>
        <w:rPr>
          <w:rFonts w:cs="Arial"/>
          <w:sz w:val="28"/>
          <w:szCs w:val="28"/>
          <w:u w:val="single"/>
        </w:rPr>
      </w:pPr>
      <w:r w:rsidRPr="00D06E7D">
        <w:rPr>
          <w:rFonts w:cs="Arial"/>
          <w:sz w:val="28"/>
          <w:szCs w:val="28"/>
          <w:u w:val="single"/>
        </w:rPr>
        <w:t>Documentation:</w:t>
      </w:r>
    </w:p>
    <w:p w14:paraId="65F7768B" w14:textId="2BFFCE0E" w:rsidR="004C5E53" w:rsidRPr="00D06E7D" w:rsidRDefault="004C5E53" w:rsidP="002424E3">
      <w:pPr>
        <w:pStyle w:val="ListParagraph"/>
        <w:numPr>
          <w:ilvl w:val="0"/>
          <w:numId w:val="36"/>
        </w:numPr>
        <w:spacing w:after="200" w:line="276" w:lineRule="auto"/>
        <w:rPr>
          <w:rFonts w:ascii="Arial" w:hAnsi="Arial" w:cs="Arial"/>
          <w:sz w:val="28"/>
          <w:szCs w:val="28"/>
        </w:rPr>
      </w:pPr>
      <w:r w:rsidRPr="00D06E7D">
        <w:rPr>
          <w:rFonts w:ascii="Arial" w:hAnsi="Arial" w:cs="Arial"/>
          <w:sz w:val="28"/>
          <w:szCs w:val="28"/>
        </w:rPr>
        <w:t xml:space="preserve">Laminated scenarios for </w:t>
      </w:r>
      <w:r w:rsidR="005F705F">
        <w:rPr>
          <w:rFonts w:ascii="Arial" w:hAnsi="Arial" w:cs="Arial"/>
          <w:sz w:val="28"/>
          <w:szCs w:val="28"/>
        </w:rPr>
        <w:t>Candidate</w:t>
      </w:r>
      <w:r w:rsidRPr="00D06E7D">
        <w:rPr>
          <w:rFonts w:ascii="Arial" w:hAnsi="Arial" w:cs="Arial"/>
          <w:sz w:val="28"/>
          <w:szCs w:val="28"/>
        </w:rPr>
        <w:t xml:space="preserve"> 1 – 4 (5 if time = BLS)</w:t>
      </w:r>
    </w:p>
    <w:p w14:paraId="618BAF66" w14:textId="77777777" w:rsidR="004C5E53" w:rsidRPr="00D06E7D" w:rsidRDefault="004C5E53" w:rsidP="002424E3">
      <w:pPr>
        <w:pStyle w:val="ListParagraph"/>
        <w:numPr>
          <w:ilvl w:val="0"/>
          <w:numId w:val="36"/>
        </w:numPr>
        <w:spacing w:after="200" w:line="276" w:lineRule="auto"/>
        <w:rPr>
          <w:rFonts w:ascii="Arial" w:hAnsi="Arial" w:cs="Arial"/>
          <w:sz w:val="28"/>
          <w:szCs w:val="28"/>
        </w:rPr>
      </w:pPr>
      <w:r w:rsidRPr="00D06E7D">
        <w:rPr>
          <w:rFonts w:ascii="Arial" w:hAnsi="Arial" w:cs="Arial"/>
          <w:sz w:val="28"/>
          <w:szCs w:val="28"/>
        </w:rPr>
        <w:t>TTO x 1 (MAU)</w:t>
      </w:r>
    </w:p>
    <w:p w14:paraId="46D4D464" w14:textId="77777777" w:rsidR="004C5E53" w:rsidRPr="00D06E7D" w:rsidRDefault="004C5E53" w:rsidP="002424E3">
      <w:pPr>
        <w:pStyle w:val="ListParagraph"/>
        <w:numPr>
          <w:ilvl w:val="0"/>
          <w:numId w:val="36"/>
        </w:numPr>
        <w:spacing w:after="200" w:line="276" w:lineRule="auto"/>
        <w:rPr>
          <w:rFonts w:ascii="Arial" w:hAnsi="Arial" w:cs="Arial"/>
          <w:sz w:val="28"/>
          <w:szCs w:val="28"/>
        </w:rPr>
      </w:pPr>
      <w:r w:rsidRPr="00D06E7D">
        <w:rPr>
          <w:rFonts w:ascii="Arial" w:hAnsi="Arial" w:cs="Arial"/>
          <w:sz w:val="28"/>
          <w:szCs w:val="28"/>
        </w:rPr>
        <w:t>Drug card x 8 or laminate</w:t>
      </w:r>
    </w:p>
    <w:p w14:paraId="6DE4CF3A" w14:textId="77777777" w:rsidR="004C5E53" w:rsidRPr="00D06E7D" w:rsidRDefault="004C5E53" w:rsidP="002424E3">
      <w:pPr>
        <w:pStyle w:val="ListParagraph"/>
        <w:numPr>
          <w:ilvl w:val="0"/>
          <w:numId w:val="36"/>
        </w:numPr>
        <w:spacing w:after="200" w:line="276" w:lineRule="auto"/>
        <w:rPr>
          <w:rFonts w:ascii="Arial" w:hAnsi="Arial" w:cs="Arial"/>
          <w:sz w:val="28"/>
          <w:szCs w:val="28"/>
        </w:rPr>
      </w:pPr>
      <w:r w:rsidRPr="00D06E7D">
        <w:rPr>
          <w:rFonts w:ascii="Arial" w:hAnsi="Arial" w:cs="Arial"/>
          <w:sz w:val="28"/>
          <w:szCs w:val="28"/>
        </w:rPr>
        <w:t>Trust paper/ history sheets x 32</w:t>
      </w:r>
    </w:p>
    <w:p w14:paraId="7DEEC82C" w14:textId="77777777" w:rsidR="004C5E53" w:rsidRPr="00D06E7D" w:rsidRDefault="004C5E53" w:rsidP="002424E3">
      <w:pPr>
        <w:pStyle w:val="ListParagraph"/>
        <w:numPr>
          <w:ilvl w:val="0"/>
          <w:numId w:val="36"/>
        </w:numPr>
        <w:spacing w:after="200" w:line="276" w:lineRule="auto"/>
        <w:rPr>
          <w:rFonts w:ascii="Arial" w:hAnsi="Arial" w:cs="Arial"/>
          <w:sz w:val="28"/>
          <w:szCs w:val="28"/>
        </w:rPr>
      </w:pPr>
      <w:r w:rsidRPr="00D06E7D">
        <w:rPr>
          <w:rFonts w:ascii="Arial" w:hAnsi="Arial" w:cs="Arial"/>
          <w:sz w:val="28"/>
          <w:szCs w:val="28"/>
        </w:rPr>
        <w:t>Fluid prescription charts x 8/ laminate</w:t>
      </w:r>
    </w:p>
    <w:p w14:paraId="4C823399" w14:textId="77777777" w:rsidR="004C5E53" w:rsidRPr="00D06E7D" w:rsidRDefault="004C5E53" w:rsidP="002424E3">
      <w:pPr>
        <w:pStyle w:val="ListParagraph"/>
        <w:numPr>
          <w:ilvl w:val="0"/>
          <w:numId w:val="36"/>
        </w:numPr>
        <w:spacing w:after="200" w:line="276" w:lineRule="auto"/>
        <w:rPr>
          <w:rFonts w:ascii="Arial" w:hAnsi="Arial" w:cs="Arial"/>
          <w:sz w:val="28"/>
          <w:szCs w:val="28"/>
        </w:rPr>
      </w:pPr>
      <w:r w:rsidRPr="00D06E7D">
        <w:rPr>
          <w:rFonts w:ascii="Arial" w:hAnsi="Arial" w:cs="Arial"/>
          <w:sz w:val="28"/>
          <w:szCs w:val="28"/>
        </w:rPr>
        <w:t>Fluid balance charts x 8/ laminate</w:t>
      </w:r>
    </w:p>
    <w:p w14:paraId="3A0258E9" w14:textId="5090058A" w:rsidR="004C5E53" w:rsidRPr="00D06E7D" w:rsidRDefault="004C5E53" w:rsidP="002424E3">
      <w:pPr>
        <w:pStyle w:val="ListParagraph"/>
        <w:numPr>
          <w:ilvl w:val="0"/>
          <w:numId w:val="36"/>
        </w:numPr>
        <w:spacing w:after="200" w:line="276" w:lineRule="auto"/>
        <w:rPr>
          <w:rFonts w:ascii="Arial" w:hAnsi="Arial" w:cs="Arial"/>
          <w:sz w:val="28"/>
          <w:szCs w:val="28"/>
        </w:rPr>
      </w:pPr>
      <w:proofErr w:type="spellStart"/>
      <w:r w:rsidRPr="00D06E7D">
        <w:rPr>
          <w:rFonts w:ascii="Arial" w:hAnsi="Arial" w:cs="Arial"/>
          <w:sz w:val="28"/>
          <w:szCs w:val="28"/>
        </w:rPr>
        <w:t>Obs</w:t>
      </w:r>
      <w:proofErr w:type="spellEnd"/>
      <w:r w:rsidRPr="00D06E7D">
        <w:rPr>
          <w:rFonts w:ascii="Arial" w:hAnsi="Arial" w:cs="Arial"/>
          <w:sz w:val="28"/>
          <w:szCs w:val="28"/>
        </w:rPr>
        <w:t xml:space="preserve"> charts x 4 </w:t>
      </w:r>
      <w:r w:rsidR="009B3879">
        <w:rPr>
          <w:rFonts w:ascii="Arial" w:hAnsi="Arial" w:cs="Arial"/>
          <w:sz w:val="28"/>
          <w:szCs w:val="28"/>
        </w:rPr>
        <w:t>and</w:t>
      </w:r>
      <w:r w:rsidRPr="00D06E7D">
        <w:rPr>
          <w:rFonts w:ascii="Arial" w:hAnsi="Arial" w:cs="Arial"/>
          <w:sz w:val="28"/>
          <w:szCs w:val="28"/>
        </w:rPr>
        <w:t xml:space="preserve"> laminate</w:t>
      </w:r>
    </w:p>
    <w:p w14:paraId="029FC45E" w14:textId="09CB2385" w:rsidR="004C5E53" w:rsidRPr="006B027F" w:rsidRDefault="004C5E53" w:rsidP="002424E3">
      <w:pPr>
        <w:pStyle w:val="ListParagraph"/>
        <w:numPr>
          <w:ilvl w:val="0"/>
          <w:numId w:val="36"/>
        </w:numPr>
        <w:spacing w:after="200" w:line="276" w:lineRule="auto"/>
        <w:rPr>
          <w:rFonts w:cs="Arial"/>
          <w:sz w:val="28"/>
          <w:szCs w:val="28"/>
        </w:rPr>
      </w:pPr>
      <w:r w:rsidRPr="00D06E7D">
        <w:rPr>
          <w:rFonts w:ascii="Arial" w:hAnsi="Arial" w:cs="Arial"/>
          <w:sz w:val="28"/>
          <w:szCs w:val="28"/>
        </w:rPr>
        <w:t xml:space="preserve">Sepsis </w:t>
      </w:r>
      <w:proofErr w:type="spellStart"/>
      <w:r w:rsidRPr="00D06E7D">
        <w:rPr>
          <w:rFonts w:ascii="Arial" w:hAnsi="Arial" w:cs="Arial"/>
          <w:sz w:val="28"/>
          <w:szCs w:val="28"/>
        </w:rPr>
        <w:t>algorhythm</w:t>
      </w:r>
      <w:proofErr w:type="spellEnd"/>
      <w:r w:rsidRPr="00D06E7D">
        <w:rPr>
          <w:rFonts w:ascii="Arial" w:hAnsi="Arial" w:cs="Arial"/>
          <w:sz w:val="28"/>
          <w:szCs w:val="28"/>
        </w:rPr>
        <w:t xml:space="preserve"> x 1 laminated</w:t>
      </w:r>
    </w:p>
    <w:p w14:paraId="463D0019" w14:textId="77777777" w:rsidR="004C5E53" w:rsidRPr="00D06E7D" w:rsidRDefault="004C5E53" w:rsidP="004C5E53">
      <w:pPr>
        <w:rPr>
          <w:rFonts w:cs="Arial"/>
          <w:sz w:val="28"/>
          <w:szCs w:val="28"/>
          <w:u w:val="single"/>
        </w:rPr>
      </w:pPr>
      <w:r w:rsidRPr="00D06E7D">
        <w:rPr>
          <w:rFonts w:cs="Arial"/>
          <w:sz w:val="28"/>
          <w:szCs w:val="28"/>
          <w:u w:val="single"/>
        </w:rPr>
        <w:t>Results to laminate:</w:t>
      </w:r>
    </w:p>
    <w:p w14:paraId="2D399088" w14:textId="3D87DFA7" w:rsidR="004C5E53" w:rsidRPr="00D06E7D" w:rsidRDefault="004C5E53" w:rsidP="002424E3">
      <w:pPr>
        <w:pStyle w:val="ListParagraph"/>
        <w:numPr>
          <w:ilvl w:val="0"/>
          <w:numId w:val="37"/>
        </w:numPr>
        <w:spacing w:after="200" w:line="276" w:lineRule="auto"/>
        <w:rPr>
          <w:rFonts w:ascii="Arial" w:hAnsi="Arial" w:cs="Arial"/>
          <w:sz w:val="28"/>
          <w:szCs w:val="28"/>
        </w:rPr>
      </w:pPr>
      <w:r w:rsidRPr="00D06E7D">
        <w:rPr>
          <w:rFonts w:ascii="Arial" w:hAnsi="Arial" w:cs="Arial"/>
          <w:sz w:val="28"/>
          <w:szCs w:val="28"/>
        </w:rPr>
        <w:t>ABG results (</w:t>
      </w:r>
      <w:r w:rsidR="005F705F">
        <w:rPr>
          <w:rFonts w:ascii="Arial" w:hAnsi="Arial" w:cs="Arial"/>
          <w:sz w:val="28"/>
          <w:szCs w:val="28"/>
        </w:rPr>
        <w:t>Candidate</w:t>
      </w:r>
      <w:r w:rsidRPr="00D06E7D">
        <w:rPr>
          <w:rFonts w:ascii="Arial" w:hAnsi="Arial" w:cs="Arial"/>
          <w:sz w:val="28"/>
          <w:szCs w:val="28"/>
        </w:rPr>
        <w:t xml:space="preserve"> 3 </w:t>
      </w:r>
      <w:r w:rsidR="009B3879">
        <w:rPr>
          <w:rFonts w:ascii="Arial" w:hAnsi="Arial" w:cs="Arial"/>
          <w:sz w:val="28"/>
          <w:szCs w:val="28"/>
        </w:rPr>
        <w:t>and</w:t>
      </w:r>
      <w:r w:rsidRPr="00D06E7D">
        <w:rPr>
          <w:rFonts w:ascii="Arial" w:hAnsi="Arial" w:cs="Arial"/>
          <w:sz w:val="28"/>
          <w:szCs w:val="28"/>
        </w:rPr>
        <w:t xml:space="preserve"> 4 </w:t>
      </w:r>
      <w:r w:rsidR="009B3879">
        <w:rPr>
          <w:rFonts w:ascii="Arial" w:hAnsi="Arial" w:cs="Arial"/>
          <w:sz w:val="28"/>
          <w:szCs w:val="28"/>
        </w:rPr>
        <w:t>and</w:t>
      </w:r>
      <w:r w:rsidRPr="00D06E7D">
        <w:rPr>
          <w:rFonts w:ascii="Arial" w:hAnsi="Arial" w:cs="Arial"/>
          <w:sz w:val="28"/>
          <w:szCs w:val="28"/>
        </w:rPr>
        <w:t xml:space="preserve"> laminate)</w:t>
      </w:r>
    </w:p>
    <w:p w14:paraId="146A8CE6" w14:textId="18373B1B" w:rsidR="004C5E53" w:rsidRPr="00D06E7D" w:rsidRDefault="004C5E53" w:rsidP="002424E3">
      <w:pPr>
        <w:pStyle w:val="ListParagraph"/>
        <w:numPr>
          <w:ilvl w:val="0"/>
          <w:numId w:val="37"/>
        </w:numPr>
        <w:spacing w:after="200" w:line="276" w:lineRule="auto"/>
        <w:rPr>
          <w:rFonts w:ascii="Arial" w:hAnsi="Arial" w:cs="Arial"/>
          <w:sz w:val="28"/>
          <w:szCs w:val="28"/>
        </w:rPr>
      </w:pPr>
      <w:r w:rsidRPr="00D06E7D">
        <w:rPr>
          <w:rFonts w:ascii="Arial" w:hAnsi="Arial" w:cs="Arial"/>
          <w:sz w:val="28"/>
          <w:szCs w:val="28"/>
        </w:rPr>
        <w:t xml:space="preserve">Blood results </w:t>
      </w:r>
      <w:r w:rsidR="00A31C20" w:rsidRPr="00D06E7D">
        <w:rPr>
          <w:rFonts w:ascii="Arial" w:hAnsi="Arial" w:cs="Arial"/>
          <w:sz w:val="28"/>
          <w:szCs w:val="28"/>
        </w:rPr>
        <w:t>(</w:t>
      </w:r>
      <w:r w:rsidR="005F705F">
        <w:rPr>
          <w:rFonts w:ascii="Arial" w:hAnsi="Arial" w:cs="Arial"/>
          <w:sz w:val="28"/>
          <w:szCs w:val="28"/>
        </w:rPr>
        <w:t>Candidate</w:t>
      </w:r>
      <w:r w:rsidRPr="00D06E7D">
        <w:rPr>
          <w:rFonts w:ascii="Arial" w:hAnsi="Arial" w:cs="Arial"/>
          <w:sz w:val="28"/>
          <w:szCs w:val="28"/>
        </w:rPr>
        <w:t xml:space="preserve"> 2 </w:t>
      </w:r>
      <w:r w:rsidR="009B3879">
        <w:rPr>
          <w:rFonts w:ascii="Arial" w:hAnsi="Arial" w:cs="Arial"/>
          <w:sz w:val="28"/>
          <w:szCs w:val="28"/>
        </w:rPr>
        <w:t>and</w:t>
      </w:r>
      <w:r w:rsidRPr="00D06E7D">
        <w:rPr>
          <w:rFonts w:ascii="Arial" w:hAnsi="Arial" w:cs="Arial"/>
          <w:sz w:val="28"/>
          <w:szCs w:val="28"/>
        </w:rPr>
        <w:t xml:space="preserve"> laminate)</w:t>
      </w:r>
    </w:p>
    <w:p w14:paraId="56ABFEB6" w14:textId="3F618AED" w:rsidR="004C5E53" w:rsidRPr="00D06E7D" w:rsidRDefault="004C5E53" w:rsidP="002424E3">
      <w:pPr>
        <w:pStyle w:val="ListParagraph"/>
        <w:numPr>
          <w:ilvl w:val="0"/>
          <w:numId w:val="37"/>
        </w:numPr>
        <w:spacing w:after="200" w:line="276" w:lineRule="auto"/>
        <w:rPr>
          <w:rFonts w:ascii="Arial" w:hAnsi="Arial" w:cs="Arial"/>
          <w:sz w:val="28"/>
          <w:szCs w:val="28"/>
        </w:rPr>
      </w:pPr>
      <w:r w:rsidRPr="00D06E7D">
        <w:rPr>
          <w:rFonts w:ascii="Arial" w:hAnsi="Arial" w:cs="Arial"/>
          <w:sz w:val="28"/>
          <w:szCs w:val="28"/>
        </w:rPr>
        <w:t>MSU results (</w:t>
      </w:r>
      <w:r w:rsidR="005F705F">
        <w:rPr>
          <w:rFonts w:ascii="Arial" w:hAnsi="Arial" w:cs="Arial"/>
          <w:sz w:val="28"/>
          <w:szCs w:val="28"/>
        </w:rPr>
        <w:t>Candidate</w:t>
      </w:r>
      <w:r w:rsidRPr="00D06E7D">
        <w:rPr>
          <w:rFonts w:ascii="Arial" w:hAnsi="Arial" w:cs="Arial"/>
          <w:sz w:val="28"/>
          <w:szCs w:val="28"/>
        </w:rPr>
        <w:t xml:space="preserve"> 2 </w:t>
      </w:r>
      <w:r w:rsidR="009B3879">
        <w:rPr>
          <w:rFonts w:ascii="Arial" w:hAnsi="Arial" w:cs="Arial"/>
          <w:sz w:val="28"/>
          <w:szCs w:val="28"/>
        </w:rPr>
        <w:t>and</w:t>
      </w:r>
      <w:r w:rsidRPr="00D06E7D">
        <w:rPr>
          <w:rFonts w:ascii="Arial" w:hAnsi="Arial" w:cs="Arial"/>
          <w:sz w:val="28"/>
          <w:szCs w:val="28"/>
        </w:rPr>
        <w:t xml:space="preserve"> laminate)</w:t>
      </w:r>
    </w:p>
    <w:p w14:paraId="1F577DF0" w14:textId="77777777" w:rsidR="004C5E53" w:rsidRPr="00D06E7D" w:rsidRDefault="004C5E53" w:rsidP="002424E3">
      <w:pPr>
        <w:pStyle w:val="ListParagraph"/>
        <w:numPr>
          <w:ilvl w:val="0"/>
          <w:numId w:val="37"/>
        </w:numPr>
        <w:spacing w:after="200" w:line="276" w:lineRule="auto"/>
        <w:rPr>
          <w:rFonts w:ascii="Arial" w:hAnsi="Arial" w:cs="Arial"/>
          <w:sz w:val="28"/>
          <w:szCs w:val="28"/>
        </w:rPr>
      </w:pPr>
      <w:r w:rsidRPr="00D06E7D">
        <w:rPr>
          <w:rFonts w:ascii="Arial" w:hAnsi="Arial" w:cs="Arial"/>
          <w:sz w:val="28"/>
          <w:szCs w:val="28"/>
        </w:rPr>
        <w:t>CXR – right pneumothorax</w:t>
      </w:r>
    </w:p>
    <w:p w14:paraId="2A88D840" w14:textId="190AE2C8" w:rsidR="004C5E53" w:rsidRPr="006B027F" w:rsidRDefault="004C5E53" w:rsidP="002424E3">
      <w:pPr>
        <w:pStyle w:val="ListParagraph"/>
        <w:numPr>
          <w:ilvl w:val="0"/>
          <w:numId w:val="37"/>
        </w:numPr>
        <w:spacing w:after="200" w:line="276" w:lineRule="auto"/>
        <w:rPr>
          <w:rFonts w:cs="Arial"/>
          <w:sz w:val="28"/>
          <w:szCs w:val="28"/>
        </w:rPr>
      </w:pPr>
      <w:r w:rsidRPr="00D06E7D">
        <w:rPr>
          <w:rFonts w:ascii="Arial" w:hAnsi="Arial" w:cs="Arial"/>
          <w:sz w:val="28"/>
          <w:szCs w:val="28"/>
        </w:rPr>
        <w:t>ECG – sinus tachycardia</w:t>
      </w:r>
    </w:p>
    <w:p w14:paraId="5EDCE258" w14:textId="242F8C9E" w:rsidR="004C5E53" w:rsidRPr="00D06E7D" w:rsidRDefault="004C5E53" w:rsidP="004C5E53">
      <w:pPr>
        <w:rPr>
          <w:rFonts w:cs="Arial"/>
          <w:sz w:val="28"/>
          <w:szCs w:val="28"/>
          <w:u w:val="single"/>
        </w:rPr>
      </w:pPr>
      <w:proofErr w:type="spellStart"/>
      <w:r w:rsidRPr="00D06E7D">
        <w:rPr>
          <w:rFonts w:cs="Arial"/>
          <w:sz w:val="28"/>
          <w:szCs w:val="28"/>
          <w:u w:val="single"/>
        </w:rPr>
        <w:t>Obs</w:t>
      </w:r>
      <w:proofErr w:type="spellEnd"/>
      <w:r w:rsidRPr="00D06E7D">
        <w:rPr>
          <w:rFonts w:cs="Arial"/>
          <w:sz w:val="28"/>
          <w:szCs w:val="28"/>
          <w:u w:val="single"/>
        </w:rPr>
        <w:t xml:space="preserve"> </w:t>
      </w:r>
      <w:r w:rsidR="009B3879">
        <w:rPr>
          <w:rFonts w:cs="Arial"/>
          <w:sz w:val="28"/>
          <w:szCs w:val="28"/>
          <w:u w:val="single"/>
        </w:rPr>
        <w:t>and</w:t>
      </w:r>
      <w:r w:rsidRPr="00D06E7D">
        <w:rPr>
          <w:rFonts w:cs="Arial"/>
          <w:sz w:val="28"/>
          <w:szCs w:val="28"/>
          <w:u w:val="single"/>
        </w:rPr>
        <w:t xml:space="preserve"> charts to complete for: </w:t>
      </w:r>
    </w:p>
    <w:p w14:paraId="5AE434AA" w14:textId="6846D1FE" w:rsidR="004C5E53" w:rsidRPr="00D06E7D" w:rsidRDefault="005F705F" w:rsidP="002424E3">
      <w:pPr>
        <w:pStyle w:val="ListParagraph"/>
        <w:numPr>
          <w:ilvl w:val="0"/>
          <w:numId w:val="38"/>
        </w:numPr>
        <w:spacing w:after="200" w:line="276" w:lineRule="auto"/>
        <w:rPr>
          <w:rFonts w:ascii="Arial" w:hAnsi="Arial" w:cs="Arial"/>
          <w:sz w:val="28"/>
          <w:szCs w:val="28"/>
        </w:rPr>
      </w:pPr>
      <w:r>
        <w:rPr>
          <w:rFonts w:ascii="Arial" w:hAnsi="Arial" w:cs="Arial"/>
          <w:sz w:val="28"/>
          <w:szCs w:val="28"/>
        </w:rPr>
        <w:t>Candidate</w:t>
      </w:r>
      <w:r w:rsidR="004C5E53" w:rsidRPr="00D06E7D">
        <w:rPr>
          <w:rFonts w:ascii="Arial" w:hAnsi="Arial" w:cs="Arial"/>
          <w:sz w:val="28"/>
          <w:szCs w:val="28"/>
        </w:rPr>
        <w:t xml:space="preserve"> 2 </w:t>
      </w:r>
      <w:r w:rsidR="009B3879">
        <w:rPr>
          <w:rFonts w:ascii="Arial" w:hAnsi="Arial" w:cs="Arial"/>
          <w:sz w:val="28"/>
          <w:szCs w:val="28"/>
        </w:rPr>
        <w:t>and</w:t>
      </w:r>
      <w:r w:rsidR="004C5E53" w:rsidRPr="00D06E7D">
        <w:rPr>
          <w:rFonts w:ascii="Arial" w:hAnsi="Arial" w:cs="Arial"/>
          <w:sz w:val="28"/>
          <w:szCs w:val="28"/>
        </w:rPr>
        <w:t xml:space="preserve"> 4</w:t>
      </w:r>
    </w:p>
    <w:p w14:paraId="7FC550C5" w14:textId="2518E3D8" w:rsidR="004C5E53" w:rsidRPr="00D06E7D" w:rsidRDefault="005F705F" w:rsidP="002424E3">
      <w:pPr>
        <w:pStyle w:val="ListParagraph"/>
        <w:numPr>
          <w:ilvl w:val="0"/>
          <w:numId w:val="38"/>
        </w:numPr>
        <w:spacing w:after="200" w:line="276" w:lineRule="auto"/>
        <w:rPr>
          <w:rFonts w:ascii="Arial" w:hAnsi="Arial" w:cs="Arial"/>
          <w:sz w:val="28"/>
          <w:szCs w:val="28"/>
        </w:rPr>
      </w:pPr>
      <w:r>
        <w:rPr>
          <w:rFonts w:ascii="Arial" w:hAnsi="Arial" w:cs="Arial"/>
          <w:sz w:val="28"/>
          <w:szCs w:val="28"/>
        </w:rPr>
        <w:t>Candidate</w:t>
      </w:r>
      <w:r w:rsidR="004C5E53" w:rsidRPr="00D06E7D">
        <w:rPr>
          <w:rFonts w:ascii="Arial" w:hAnsi="Arial" w:cs="Arial"/>
          <w:sz w:val="28"/>
          <w:szCs w:val="28"/>
        </w:rPr>
        <w:t xml:space="preserve"> 3 </w:t>
      </w:r>
      <w:r w:rsidR="009B3879">
        <w:rPr>
          <w:rFonts w:ascii="Arial" w:hAnsi="Arial" w:cs="Arial"/>
          <w:sz w:val="28"/>
          <w:szCs w:val="28"/>
        </w:rPr>
        <w:t>and</w:t>
      </w:r>
      <w:r w:rsidR="004C5E53" w:rsidRPr="00D06E7D">
        <w:rPr>
          <w:rFonts w:ascii="Arial" w:hAnsi="Arial" w:cs="Arial"/>
          <w:sz w:val="28"/>
          <w:szCs w:val="28"/>
        </w:rPr>
        <w:t xml:space="preserve"> fluid balance chart</w:t>
      </w:r>
    </w:p>
    <w:p w14:paraId="4FB88ECD" w14:textId="09C9EB7C" w:rsidR="004C5E53" w:rsidRPr="00D06E7D" w:rsidRDefault="004C5E53" w:rsidP="002424E3">
      <w:pPr>
        <w:pStyle w:val="ListParagraph"/>
        <w:numPr>
          <w:ilvl w:val="0"/>
          <w:numId w:val="38"/>
        </w:numPr>
        <w:spacing w:after="200" w:line="276" w:lineRule="auto"/>
        <w:rPr>
          <w:rFonts w:ascii="Arial" w:hAnsi="Arial" w:cs="Arial"/>
          <w:sz w:val="28"/>
          <w:szCs w:val="28"/>
        </w:rPr>
      </w:pPr>
      <w:r w:rsidRPr="00D06E7D">
        <w:rPr>
          <w:rFonts w:ascii="Arial" w:hAnsi="Arial" w:cs="Arial"/>
          <w:sz w:val="28"/>
          <w:szCs w:val="28"/>
        </w:rPr>
        <w:t xml:space="preserve">Drug card for </w:t>
      </w:r>
      <w:r w:rsidR="005F705F">
        <w:rPr>
          <w:rFonts w:ascii="Arial" w:hAnsi="Arial" w:cs="Arial"/>
          <w:sz w:val="28"/>
          <w:szCs w:val="28"/>
        </w:rPr>
        <w:t>Candidate</w:t>
      </w:r>
      <w:r w:rsidRPr="00D06E7D">
        <w:rPr>
          <w:rFonts w:ascii="Arial" w:hAnsi="Arial" w:cs="Arial"/>
          <w:sz w:val="28"/>
          <w:szCs w:val="28"/>
        </w:rPr>
        <w:t xml:space="preserve"> 2 with Augmentin as stat dose and allergy section incomplete</w:t>
      </w:r>
    </w:p>
    <w:p w14:paraId="764B246A" w14:textId="77777777" w:rsidR="004C5E53" w:rsidRDefault="004C5E53" w:rsidP="004C5E53">
      <w:pPr>
        <w:rPr>
          <w:rFonts w:cs="Arial"/>
          <w:szCs w:val="24"/>
        </w:rPr>
      </w:pPr>
    </w:p>
    <w:p w14:paraId="3BC0DD76" w14:textId="77777777" w:rsidR="004C5E53" w:rsidRPr="00796932" w:rsidRDefault="004C5E53" w:rsidP="004C5E53">
      <w:pPr>
        <w:rPr>
          <w:rFonts w:cs="Arial"/>
          <w:szCs w:val="24"/>
        </w:rPr>
      </w:pPr>
    </w:p>
    <w:p w14:paraId="0769836D" w14:textId="77777777" w:rsidR="00E5209C" w:rsidRPr="00E5209C" w:rsidRDefault="00E5209C" w:rsidP="004C5E53"/>
    <w:p w14:paraId="10DAAD3D" w14:textId="3034B2F6" w:rsidR="00E5209C" w:rsidRDefault="00E5209C" w:rsidP="006B027F">
      <w:pPr>
        <w:pStyle w:val="Heading2"/>
      </w:pPr>
      <w:bookmarkStart w:id="479" w:name="_Toc419116225"/>
      <w:r>
        <w:lastRenderedPageBreak/>
        <w:t>IMASS timetable</w:t>
      </w:r>
      <w:bookmarkEnd w:id="479"/>
    </w:p>
    <w:p w14:paraId="70C24AE0" w14:textId="4AEA3DE2" w:rsidR="00E5209C" w:rsidRPr="00E5209C" w:rsidRDefault="00E5209C">
      <w:r>
        <w:rPr>
          <w:noProof/>
          <w:lang w:val="en-US"/>
        </w:rPr>
        <w:drawing>
          <wp:inline distT="0" distB="0" distL="0" distR="0" wp14:anchorId="11CABD13" wp14:editId="1D76E531">
            <wp:extent cx="5485506" cy="3488690"/>
            <wp:effectExtent l="0" t="0" r="1270" b="0"/>
            <wp:docPr id="119" name="Picture 119" descr="Macintosh HD:Users:Fliss:Desktop:Screen Shot 2017-08-14 at 11.1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Macintosh HD:Users:Fliss:Desktop:Screen Shot 2017-08-14 at 11.19.00.png"/>
                    <pic:cNvPicPr>
                      <a:picLocks noChangeAspect="1" noChangeArrowheads="1"/>
                    </pic:cNvPicPr>
                  </pic:nvPicPr>
                  <pic:blipFill rotWithShape="1">
                    <a:blip r:embed="rId205">
                      <a:extLst>
                        <a:ext uri="{28A0092B-C50C-407E-A947-70E740481C1C}">
                          <a14:useLocalDpi xmlns:a14="http://schemas.microsoft.com/office/drawing/2010/main" val="0"/>
                        </a:ext>
                      </a:extLst>
                    </a:blip>
                    <a:srcRect l="20941" t="19925" r="22824" b="22932"/>
                    <a:stretch/>
                  </pic:blipFill>
                  <pic:spPr bwMode="auto">
                    <a:xfrm>
                      <a:off x="0" y="0"/>
                      <a:ext cx="5486730" cy="348946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9F4E33" w14:textId="77F6924C" w:rsidR="00E5209C" w:rsidRDefault="00E5209C" w:rsidP="006B027F">
      <w:pPr>
        <w:pStyle w:val="Heading2"/>
        <w:numPr>
          <w:ilvl w:val="0"/>
          <w:numId w:val="0"/>
        </w:numPr>
        <w:ind w:left="1152"/>
      </w:pPr>
      <w:r w:rsidRPr="00C9395B">
        <w:rPr>
          <w:noProof/>
        </w:rPr>
        <w:drawing>
          <wp:inline distT="0" distB="0" distL="0" distR="0" wp14:anchorId="4124137C" wp14:editId="78154ACB">
            <wp:extent cx="4490697" cy="3069590"/>
            <wp:effectExtent l="0" t="0" r="5715" b="3810"/>
            <wp:docPr id="121" name="Picture 121" descr="Macintosh HD:Users:Fliss:Desktop:Screen Shot 2017-08-14 at 11.1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liss:Desktop:Screen Shot 2017-08-14 at 11.19.04.png"/>
                    <pic:cNvPicPr>
                      <a:picLocks noChangeAspect="1" noChangeArrowheads="1"/>
                    </pic:cNvPicPr>
                  </pic:nvPicPr>
                  <pic:blipFill rotWithShape="1">
                    <a:blip r:embed="rId206">
                      <a:extLst>
                        <a:ext uri="{28A0092B-C50C-407E-A947-70E740481C1C}">
                          <a14:useLocalDpi xmlns:a14="http://schemas.microsoft.com/office/drawing/2010/main" val="0"/>
                        </a:ext>
                      </a:extLst>
                    </a:blip>
                    <a:srcRect l="21412" t="31579" r="22823" b="7519"/>
                    <a:stretch/>
                  </pic:blipFill>
                  <pic:spPr bwMode="auto">
                    <a:xfrm>
                      <a:off x="0" y="0"/>
                      <a:ext cx="4492103" cy="30705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703A3DF" w14:textId="77777777" w:rsidR="00BB4233" w:rsidRDefault="00BB4233" w:rsidP="00BB4233"/>
    <w:p w14:paraId="1110EE41" w14:textId="77777777" w:rsidR="00C00713" w:rsidRPr="00BB4233" w:rsidRDefault="00C00713" w:rsidP="00BB4233"/>
    <w:p w14:paraId="12DEBB59" w14:textId="01B39412" w:rsidR="003C1F62" w:rsidRDefault="00B55EE8" w:rsidP="006B027F">
      <w:pPr>
        <w:pStyle w:val="Heading2"/>
      </w:pPr>
      <w:bookmarkStart w:id="480" w:name="_Toc419116226"/>
      <w:r>
        <w:lastRenderedPageBreak/>
        <w:t xml:space="preserve">Study </w:t>
      </w:r>
      <w:r w:rsidR="003C1F62">
        <w:t>information sheet</w:t>
      </w:r>
      <w:bookmarkEnd w:id="480"/>
    </w:p>
    <w:p w14:paraId="1B494927" w14:textId="77777777" w:rsidR="004C5E53" w:rsidRPr="004C5E53" w:rsidRDefault="004C5E53"/>
    <w:p w14:paraId="11833612" w14:textId="5C7BEBAD" w:rsidR="004C5E53" w:rsidRDefault="00BB4233" w:rsidP="004C5E53">
      <w:r>
        <w:rPr>
          <w:noProof/>
          <w:lang w:val="en-US"/>
        </w:rPr>
        <w:drawing>
          <wp:inline distT="0" distB="0" distL="0" distR="0" wp14:anchorId="36DCDB8F" wp14:editId="10D9A778">
            <wp:extent cx="5834380" cy="7876413"/>
            <wp:effectExtent l="0" t="0" r="7620" b="0"/>
            <wp:docPr id="116" name="Picture 116" descr="Macintosh HD:Users:Fliss:Desktop:Screen Shot 2017-08-14 at 22.0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iss:Desktop:Screen Shot 2017-08-14 at 22.00.20.png"/>
                    <pic:cNvPicPr>
                      <a:picLocks noChangeAspect="1" noChangeArrowheads="1"/>
                    </pic:cNvPicPr>
                  </pic:nvPicPr>
                  <pic:blipFill rotWithShape="1">
                    <a:blip r:embed="rId207">
                      <a:extLst>
                        <a:ext uri="{28A0092B-C50C-407E-A947-70E740481C1C}">
                          <a14:useLocalDpi xmlns:a14="http://schemas.microsoft.com/office/drawing/2010/main" val="0"/>
                        </a:ext>
                      </a:extLst>
                    </a:blip>
                    <a:srcRect l="18588" t="19173" r="48471" b="9774"/>
                    <a:stretch/>
                  </pic:blipFill>
                  <pic:spPr bwMode="auto">
                    <a:xfrm>
                      <a:off x="0" y="0"/>
                      <a:ext cx="5834380" cy="787641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3D521B" w14:textId="1EBD6F15" w:rsidR="00BB4233" w:rsidRDefault="00BB4233" w:rsidP="004C5E53">
      <w:r>
        <w:rPr>
          <w:noProof/>
          <w:lang w:val="en-US"/>
        </w:rPr>
        <w:lastRenderedPageBreak/>
        <w:drawing>
          <wp:inline distT="0" distB="0" distL="0" distR="0" wp14:anchorId="2896C0AC" wp14:editId="51C1E88F">
            <wp:extent cx="5834380" cy="8065172"/>
            <wp:effectExtent l="0" t="0" r="7620" b="12065"/>
            <wp:docPr id="120" name="Picture 120" descr="Macintosh HD:Users:Fliss:Desktop:Screen Shot 2017-08-14 at 22.0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iss:Desktop:Screen Shot 2017-08-14 at 22.00.28.png"/>
                    <pic:cNvPicPr>
                      <a:picLocks noChangeAspect="1" noChangeArrowheads="1"/>
                    </pic:cNvPicPr>
                  </pic:nvPicPr>
                  <pic:blipFill rotWithShape="1">
                    <a:blip r:embed="rId208">
                      <a:extLst>
                        <a:ext uri="{28A0092B-C50C-407E-A947-70E740481C1C}">
                          <a14:useLocalDpi xmlns:a14="http://schemas.microsoft.com/office/drawing/2010/main" val="0"/>
                        </a:ext>
                      </a:extLst>
                    </a:blip>
                    <a:srcRect l="19294" t="19173" r="48706" b="10150"/>
                    <a:stretch/>
                  </pic:blipFill>
                  <pic:spPr bwMode="auto">
                    <a:xfrm>
                      <a:off x="0" y="0"/>
                      <a:ext cx="5834380" cy="806517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88398CC" w14:textId="77777777" w:rsidR="00BB4233" w:rsidRPr="004C5E53" w:rsidRDefault="00BB4233" w:rsidP="004C5E53"/>
    <w:p w14:paraId="1FB9A229" w14:textId="0FF2A2C9" w:rsidR="003C1F62" w:rsidRDefault="00B55EE8" w:rsidP="006B027F">
      <w:pPr>
        <w:pStyle w:val="Heading2"/>
      </w:pPr>
      <w:bookmarkStart w:id="481" w:name="_Toc419116227"/>
      <w:r>
        <w:lastRenderedPageBreak/>
        <w:t xml:space="preserve">Student participant </w:t>
      </w:r>
      <w:r w:rsidR="003C1F62">
        <w:t>Consent form</w:t>
      </w:r>
      <w:bookmarkEnd w:id="481"/>
    </w:p>
    <w:p w14:paraId="30C4112E" w14:textId="7A688D15" w:rsidR="001A37D5" w:rsidRDefault="00B858B0" w:rsidP="001A37D5">
      <w:pPr>
        <w:rPr>
          <w:rFonts w:eastAsia="Times New Roman"/>
        </w:rPr>
      </w:pPr>
      <w:r w:rsidRPr="006B027F">
        <w:rPr>
          <w:rFonts w:eastAsia="Times New Roman"/>
          <w:noProof/>
          <w:lang w:val="en-US"/>
        </w:rPr>
        <w:drawing>
          <wp:inline distT="0" distB="0" distL="0" distR="0" wp14:anchorId="43847BC6" wp14:editId="5F827657">
            <wp:extent cx="5834380" cy="8200773"/>
            <wp:effectExtent l="0" t="0" r="7620" b="3810"/>
            <wp:docPr id="133" name="Picture 133" descr="Macintosh HD:Users:Fliss:Desktop:Screen Shot 2017-08-14 at 21.4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liss:Desktop:Screen Shot 2017-08-14 at 21.44.19.png"/>
                    <pic:cNvPicPr>
                      <a:picLocks noChangeAspect="1" noChangeArrowheads="1"/>
                    </pic:cNvPicPr>
                  </pic:nvPicPr>
                  <pic:blipFill rotWithShape="1">
                    <a:blip r:embed="rId209">
                      <a:extLst>
                        <a:ext uri="{28A0092B-C50C-407E-A947-70E740481C1C}">
                          <a14:useLocalDpi xmlns:a14="http://schemas.microsoft.com/office/drawing/2010/main" val="0"/>
                        </a:ext>
                      </a:extLst>
                    </a:blip>
                    <a:srcRect l="32471" t="15413" r="33883" b="9022"/>
                    <a:stretch/>
                  </pic:blipFill>
                  <pic:spPr bwMode="auto">
                    <a:xfrm>
                      <a:off x="0" y="0"/>
                      <a:ext cx="5834659" cy="82011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717CCAD" w14:textId="1C1B2318" w:rsidR="003C1F62" w:rsidRDefault="003C1F62" w:rsidP="006B027F">
      <w:pPr>
        <w:pStyle w:val="Heading2"/>
      </w:pPr>
      <w:bookmarkStart w:id="482" w:name="_Toc419116228"/>
      <w:r>
        <w:lastRenderedPageBreak/>
        <w:t>Confidence scoring tool</w:t>
      </w:r>
      <w:bookmarkEnd w:id="482"/>
    </w:p>
    <w:p w14:paraId="3444A30A" w14:textId="40D6A881" w:rsidR="001A37D5" w:rsidRPr="001A37D5" w:rsidRDefault="00B858B0" w:rsidP="001A37D5">
      <w:r>
        <w:rPr>
          <w:noProof/>
          <w:lang w:val="en-US"/>
        </w:rPr>
        <w:drawing>
          <wp:inline distT="0" distB="0" distL="0" distR="0" wp14:anchorId="045731DC" wp14:editId="2DE67F7D">
            <wp:extent cx="5834380" cy="8098468"/>
            <wp:effectExtent l="0" t="0" r="7620" b="4445"/>
            <wp:docPr id="134" name="Picture 134" descr="Macintosh HD:Users:Fliss:Desktop:Screen Shot 2017-08-14 at 21.4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liss:Desktop:Screen Shot 2017-08-14 at 21.46.55.png"/>
                    <pic:cNvPicPr>
                      <a:picLocks noChangeAspect="1" noChangeArrowheads="1"/>
                    </pic:cNvPicPr>
                  </pic:nvPicPr>
                  <pic:blipFill rotWithShape="1">
                    <a:blip r:embed="rId210">
                      <a:extLst>
                        <a:ext uri="{28A0092B-C50C-407E-A947-70E740481C1C}">
                          <a14:useLocalDpi xmlns:a14="http://schemas.microsoft.com/office/drawing/2010/main" val="0"/>
                        </a:ext>
                      </a:extLst>
                    </a:blip>
                    <a:srcRect l="33647" t="15789" r="34823" b="14286"/>
                    <a:stretch/>
                  </pic:blipFill>
                  <pic:spPr bwMode="auto">
                    <a:xfrm>
                      <a:off x="0" y="0"/>
                      <a:ext cx="5834380" cy="809846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713C28C" w14:textId="12D7C20E" w:rsidR="003C1F62" w:rsidRDefault="003C1F62" w:rsidP="006B027F">
      <w:pPr>
        <w:pStyle w:val="Heading2"/>
      </w:pPr>
      <w:bookmarkStart w:id="483" w:name="_Toc419116229"/>
      <w:r>
        <w:lastRenderedPageBreak/>
        <w:t>Formative assessment tool</w:t>
      </w:r>
      <w:bookmarkEnd w:id="483"/>
    </w:p>
    <w:p w14:paraId="2D02DC84" w14:textId="263B6F4C" w:rsidR="007018EA" w:rsidRDefault="00CF6DF8">
      <w:r>
        <w:rPr>
          <w:noProof/>
          <w:lang w:val="en-US"/>
        </w:rPr>
        <w:drawing>
          <wp:inline distT="0" distB="0" distL="0" distR="0" wp14:anchorId="51116E6F" wp14:editId="2BE96E34">
            <wp:extent cx="6015911" cy="7946390"/>
            <wp:effectExtent l="0" t="0" r="4445" b="3810"/>
            <wp:docPr id="136" name="Picture 136" descr="Macintosh HD:Users:Fliss:Desktop:Screen Shot 2017-08-14 at 21.5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liss:Desktop:Screen Shot 2017-08-14 at 21.52.07.png"/>
                    <pic:cNvPicPr>
                      <a:picLocks noChangeAspect="1" noChangeArrowheads="1"/>
                    </pic:cNvPicPr>
                  </pic:nvPicPr>
                  <pic:blipFill rotWithShape="1">
                    <a:blip r:embed="rId211">
                      <a:extLst>
                        <a:ext uri="{28A0092B-C50C-407E-A947-70E740481C1C}">
                          <a14:useLocalDpi xmlns:a14="http://schemas.microsoft.com/office/drawing/2010/main" val="0"/>
                        </a:ext>
                      </a:extLst>
                    </a:blip>
                    <a:srcRect l="18353" t="20301" r="50118" b="13158"/>
                    <a:stretch/>
                  </pic:blipFill>
                  <pic:spPr bwMode="auto">
                    <a:xfrm>
                      <a:off x="0" y="0"/>
                      <a:ext cx="6017825" cy="794891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9A570F1" w14:textId="4BD9BA75" w:rsidR="00260A80" w:rsidRDefault="00260A80">
      <w:r>
        <w:rPr>
          <w:noProof/>
          <w:lang w:val="en-US"/>
        </w:rPr>
        <w:lastRenderedPageBreak/>
        <w:drawing>
          <wp:inline distT="0" distB="0" distL="0" distR="0" wp14:anchorId="221F9E50" wp14:editId="1FD41C7A">
            <wp:extent cx="6107285" cy="8098790"/>
            <wp:effectExtent l="0" t="0" r="0" b="3810"/>
            <wp:docPr id="138" name="Picture 138" descr="Macintosh HD:Users:Fliss:Desktop:Screen Shot 2017-08-14 at 21.5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Fliss:Desktop:Screen Shot 2017-08-14 at 21.52.14.png"/>
                    <pic:cNvPicPr>
                      <a:picLocks noChangeAspect="1" noChangeArrowheads="1"/>
                    </pic:cNvPicPr>
                  </pic:nvPicPr>
                  <pic:blipFill rotWithShape="1">
                    <a:blip r:embed="rId212">
                      <a:extLst>
                        <a:ext uri="{28A0092B-C50C-407E-A947-70E740481C1C}">
                          <a14:useLocalDpi xmlns:a14="http://schemas.microsoft.com/office/drawing/2010/main" val="0"/>
                        </a:ext>
                      </a:extLst>
                    </a:blip>
                    <a:srcRect l="17882" t="19549" r="49647" b="11654"/>
                    <a:stretch/>
                  </pic:blipFill>
                  <pic:spPr bwMode="auto">
                    <a:xfrm>
                      <a:off x="0" y="0"/>
                      <a:ext cx="6107328" cy="809884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AD3086C" w14:textId="77777777" w:rsidR="00260A80" w:rsidRDefault="00260A80"/>
    <w:p w14:paraId="0CF702FC" w14:textId="2800645A" w:rsidR="00260A80" w:rsidRPr="007018EA" w:rsidRDefault="00260A80">
      <w:r>
        <w:rPr>
          <w:noProof/>
          <w:lang w:val="en-US"/>
        </w:rPr>
        <w:lastRenderedPageBreak/>
        <w:drawing>
          <wp:inline distT="0" distB="0" distL="0" distR="0" wp14:anchorId="03A27768" wp14:editId="347C0588">
            <wp:extent cx="5948680" cy="7788919"/>
            <wp:effectExtent l="0" t="0" r="0" b="8890"/>
            <wp:docPr id="139" name="Picture 139" descr="Macintosh HD:Users:Fliss:Desktop:Screen Shot 2017-08-14 at 21.5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Fliss:Desktop:Screen Shot 2017-08-14 at 21.52.31.png"/>
                    <pic:cNvPicPr>
                      <a:picLocks noChangeAspect="1" noChangeArrowheads="1"/>
                    </pic:cNvPicPr>
                  </pic:nvPicPr>
                  <pic:blipFill rotWithShape="1">
                    <a:blip r:embed="rId213">
                      <a:extLst>
                        <a:ext uri="{28A0092B-C50C-407E-A947-70E740481C1C}">
                          <a14:useLocalDpi xmlns:a14="http://schemas.microsoft.com/office/drawing/2010/main" val="0"/>
                        </a:ext>
                      </a:extLst>
                    </a:blip>
                    <a:srcRect l="17411" t="19174" r="49883" b="12405"/>
                    <a:stretch/>
                  </pic:blipFill>
                  <pic:spPr bwMode="auto">
                    <a:xfrm>
                      <a:off x="0" y="0"/>
                      <a:ext cx="5948680" cy="778891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1E05F7" w14:textId="757FF313" w:rsidR="003C1F62" w:rsidRDefault="003C1F62" w:rsidP="006B027F">
      <w:pPr>
        <w:pStyle w:val="Heading2"/>
      </w:pPr>
      <w:bookmarkStart w:id="484" w:name="_Toc419116230"/>
      <w:r>
        <w:lastRenderedPageBreak/>
        <w:t>Peer feedback sheet</w:t>
      </w:r>
      <w:bookmarkEnd w:id="484"/>
    </w:p>
    <w:p w14:paraId="61D2743D" w14:textId="7437ACF5" w:rsidR="007018EA" w:rsidRPr="007018EA" w:rsidRDefault="006A167D">
      <w:r>
        <w:rPr>
          <w:noProof/>
          <w:lang w:val="en-US"/>
        </w:rPr>
        <w:drawing>
          <wp:inline distT="0" distB="0" distL="0" distR="0" wp14:anchorId="00E94007" wp14:editId="764A15BE">
            <wp:extent cx="5834380" cy="8455623"/>
            <wp:effectExtent l="0" t="0" r="7620" b="3175"/>
            <wp:docPr id="135" name="Picture 135" descr="Macintosh HD:Users:Fliss:Desktop:Screen Shot 2017-08-14 at 21.4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liss:Desktop:Screen Shot 2017-08-14 at 21.49.24.png"/>
                    <pic:cNvPicPr>
                      <a:picLocks noChangeAspect="1" noChangeArrowheads="1"/>
                    </pic:cNvPicPr>
                  </pic:nvPicPr>
                  <pic:blipFill rotWithShape="1">
                    <a:blip r:embed="rId214">
                      <a:extLst>
                        <a:ext uri="{28A0092B-C50C-407E-A947-70E740481C1C}">
                          <a14:useLocalDpi xmlns:a14="http://schemas.microsoft.com/office/drawing/2010/main" val="0"/>
                        </a:ext>
                      </a:extLst>
                    </a:blip>
                    <a:srcRect l="32941" t="15789" r="34588" b="9022"/>
                    <a:stretch/>
                  </pic:blipFill>
                  <pic:spPr bwMode="auto">
                    <a:xfrm>
                      <a:off x="0" y="0"/>
                      <a:ext cx="5834380" cy="845562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A3C4715" w14:textId="489D293F" w:rsidR="003C1F62" w:rsidRDefault="003C1F62" w:rsidP="006B027F">
      <w:pPr>
        <w:pStyle w:val="Heading2"/>
      </w:pPr>
      <w:bookmarkStart w:id="485" w:name="_Toc419116231"/>
      <w:r>
        <w:lastRenderedPageBreak/>
        <w:t>Feedback sheet</w:t>
      </w:r>
      <w:bookmarkEnd w:id="485"/>
    </w:p>
    <w:p w14:paraId="165C9580" w14:textId="5993D487" w:rsidR="003670C7" w:rsidRPr="003670C7" w:rsidRDefault="003670C7">
      <w:r>
        <w:rPr>
          <w:noProof/>
          <w:lang w:val="en-US"/>
        </w:rPr>
        <w:drawing>
          <wp:inline distT="0" distB="0" distL="0" distR="0" wp14:anchorId="5F661D3E" wp14:editId="75B795B0">
            <wp:extent cx="5529819" cy="8098790"/>
            <wp:effectExtent l="0" t="0" r="7620" b="3810"/>
            <wp:docPr id="123" name="Picture 123" descr="Macintosh HD:Users:Fliss:Desktop:Screen Shot 2017-08-14 at 22.1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iss:Desktop:Screen Shot 2017-08-14 at 22.17.16.png"/>
                    <pic:cNvPicPr>
                      <a:picLocks noChangeAspect="1" noChangeArrowheads="1"/>
                    </pic:cNvPicPr>
                  </pic:nvPicPr>
                  <pic:blipFill rotWithShape="1">
                    <a:blip r:embed="rId215">
                      <a:extLst>
                        <a:ext uri="{28A0092B-C50C-407E-A947-70E740481C1C}">
                          <a14:useLocalDpi xmlns:a14="http://schemas.microsoft.com/office/drawing/2010/main" val="0"/>
                        </a:ext>
                      </a:extLst>
                    </a:blip>
                    <a:srcRect l="18588" t="18797" r="51529" b="11279"/>
                    <a:stretch/>
                  </pic:blipFill>
                  <pic:spPr bwMode="auto">
                    <a:xfrm>
                      <a:off x="0" y="0"/>
                      <a:ext cx="5530000" cy="809905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632B15F" w14:textId="11501057" w:rsidR="00A86DD7" w:rsidRDefault="00A86DD7" w:rsidP="006B027F">
      <w:pPr>
        <w:pStyle w:val="Heading2"/>
      </w:pPr>
      <w:bookmarkStart w:id="486" w:name="_Toc419116232"/>
      <w:r>
        <w:lastRenderedPageBreak/>
        <w:t xml:space="preserve">Example of survey money </w:t>
      </w:r>
      <w:r w:rsidR="00202330">
        <w:t>follow-up</w:t>
      </w:r>
      <w:r>
        <w:t xml:space="preserve"> confidence </w:t>
      </w:r>
      <w:r w:rsidR="00A31C20">
        <w:t>scoring</w:t>
      </w:r>
      <w:r>
        <w:t xml:space="preserve"> tool.</w:t>
      </w:r>
      <w:bookmarkEnd w:id="486"/>
    </w:p>
    <w:p w14:paraId="6AF11FD4" w14:textId="228A3FE6" w:rsidR="00FB1A46" w:rsidRDefault="00FB1A46">
      <w:r>
        <w:rPr>
          <w:noProof/>
          <w:lang w:val="en-US"/>
        </w:rPr>
        <w:drawing>
          <wp:inline distT="0" distB="0" distL="0" distR="0" wp14:anchorId="6CE6D9B0" wp14:editId="3D6B49B1">
            <wp:extent cx="5262880" cy="8211361"/>
            <wp:effectExtent l="0" t="0" r="0" b="0"/>
            <wp:docPr id="124" name="Picture 124" descr="Macintosh HD:Users:Fliss:Desktop:Screen Shot 2017-08-14 at 22.2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liss:Desktop:Screen Shot 2017-08-14 at 22.21.38.png"/>
                    <pic:cNvPicPr>
                      <a:picLocks noChangeAspect="1" noChangeArrowheads="1"/>
                    </pic:cNvPicPr>
                  </pic:nvPicPr>
                  <pic:blipFill rotWithShape="1">
                    <a:blip r:embed="rId216">
                      <a:extLst>
                        <a:ext uri="{28A0092B-C50C-407E-A947-70E740481C1C}">
                          <a14:useLocalDpi xmlns:a14="http://schemas.microsoft.com/office/drawing/2010/main" val="0"/>
                        </a:ext>
                      </a:extLst>
                    </a:blip>
                    <a:srcRect l="30354" t="6767" r="30587" b="-4135"/>
                    <a:stretch/>
                  </pic:blipFill>
                  <pic:spPr bwMode="auto">
                    <a:xfrm>
                      <a:off x="0" y="0"/>
                      <a:ext cx="5263258" cy="82119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F5F097E" w14:textId="6B3A5F97" w:rsidR="00FB1A46" w:rsidRDefault="00FB1A46">
      <w:r>
        <w:rPr>
          <w:noProof/>
          <w:lang w:val="en-US"/>
        </w:rPr>
        <w:lastRenderedPageBreak/>
        <w:drawing>
          <wp:inline distT="0" distB="0" distL="0" distR="0" wp14:anchorId="2BF476D4" wp14:editId="5A387FBD">
            <wp:extent cx="5262880" cy="7101718"/>
            <wp:effectExtent l="0" t="0" r="0" b="10795"/>
            <wp:docPr id="125" name="Picture 125" descr="Macintosh HD:Users:Fliss:Desktop:Screen Shot 2017-08-14 at 22.2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liss:Desktop:Screen Shot 2017-08-14 at 22.21.47.png"/>
                    <pic:cNvPicPr>
                      <a:picLocks noChangeAspect="1" noChangeArrowheads="1"/>
                    </pic:cNvPicPr>
                  </pic:nvPicPr>
                  <pic:blipFill rotWithShape="1">
                    <a:blip r:embed="rId217">
                      <a:extLst>
                        <a:ext uri="{28A0092B-C50C-407E-A947-70E740481C1C}">
                          <a14:useLocalDpi xmlns:a14="http://schemas.microsoft.com/office/drawing/2010/main" val="0"/>
                        </a:ext>
                      </a:extLst>
                    </a:blip>
                    <a:srcRect l="30354" t="6015" r="30587" b="9774"/>
                    <a:stretch/>
                  </pic:blipFill>
                  <pic:spPr bwMode="auto">
                    <a:xfrm>
                      <a:off x="0" y="0"/>
                      <a:ext cx="5262880" cy="710171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BFBFBD1" w14:textId="77777777" w:rsidR="00FB1A46" w:rsidRDefault="00FB1A46"/>
    <w:p w14:paraId="4CF860FC" w14:textId="77777777" w:rsidR="00FB1A46" w:rsidRPr="00FB1A46" w:rsidRDefault="00FB1A46"/>
    <w:p w14:paraId="62334903" w14:textId="4DB63692" w:rsidR="009332C0" w:rsidRDefault="00EC2673" w:rsidP="00187756">
      <w:pPr>
        <w:pStyle w:val="Heading2"/>
      </w:pPr>
      <w:bookmarkStart w:id="487" w:name="_Toc419116233"/>
      <w:r>
        <w:lastRenderedPageBreak/>
        <w:t>Post-It</w:t>
      </w:r>
      <w:r w:rsidR="009332C0">
        <w:t xml:space="preserve"> note emergent themes example</w:t>
      </w:r>
      <w:bookmarkEnd w:id="487"/>
    </w:p>
    <w:p w14:paraId="747C5E1C" w14:textId="006960CD" w:rsidR="009332C0" w:rsidRDefault="009332C0" w:rsidP="009332C0">
      <w:r>
        <w:rPr>
          <w:noProof/>
          <w:lang w:val="en-US"/>
        </w:rPr>
        <w:drawing>
          <wp:inline distT="0" distB="0" distL="0" distR="0" wp14:anchorId="65B34FC5" wp14:editId="2B08145B">
            <wp:extent cx="4119880" cy="6822731"/>
            <wp:effectExtent l="0" t="0" r="0" b="10160"/>
            <wp:docPr id="117" name="Picture 117" descr="Macintosh HD:Users:Fliss:Desktop:Screen Shot 2017-08-14 at 10.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Fliss:Desktop:Screen Shot 2017-08-14 at 10.25.52.png"/>
                    <pic:cNvPicPr>
                      <a:picLocks noChangeAspect="1" noChangeArrowheads="1"/>
                    </pic:cNvPicPr>
                  </pic:nvPicPr>
                  <pic:blipFill rotWithShape="1">
                    <a:blip r:embed="rId218">
                      <a:extLst>
                        <a:ext uri="{28A0092B-C50C-407E-A947-70E740481C1C}">
                          <a14:useLocalDpi xmlns:a14="http://schemas.microsoft.com/office/drawing/2010/main" val="0"/>
                        </a:ext>
                      </a:extLst>
                    </a:blip>
                    <a:srcRect l="31529" t="2256" r="31529"/>
                    <a:stretch/>
                  </pic:blipFill>
                  <pic:spPr bwMode="auto">
                    <a:xfrm rot="10800000">
                      <a:off x="0" y="0"/>
                      <a:ext cx="4120305" cy="682343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4894AB4" w14:textId="77777777" w:rsidR="00FB1A46" w:rsidRDefault="00FB1A46" w:rsidP="009332C0"/>
    <w:p w14:paraId="6203BB72" w14:textId="77777777" w:rsidR="00FB1A46" w:rsidRPr="009332C0" w:rsidRDefault="00FB1A46" w:rsidP="009332C0"/>
    <w:p w14:paraId="50725565" w14:textId="2885F47E" w:rsidR="003C1F62" w:rsidRDefault="003C1F62" w:rsidP="006B027F">
      <w:pPr>
        <w:pStyle w:val="Heading2"/>
      </w:pPr>
      <w:bookmarkStart w:id="488" w:name="_Toc419116234"/>
      <w:r>
        <w:lastRenderedPageBreak/>
        <w:t xml:space="preserve">Initial </w:t>
      </w:r>
      <w:r w:rsidR="00173DE4">
        <w:t>focus group</w:t>
      </w:r>
      <w:r>
        <w:t xml:space="preserve"> thematic analysis</w:t>
      </w:r>
      <w:r w:rsidR="009332C0">
        <w:t xml:space="preserve"> – grouping and summary</w:t>
      </w:r>
      <w:bookmarkEnd w:id="488"/>
    </w:p>
    <w:p w14:paraId="78AC242D" w14:textId="77777777" w:rsidR="003C1F62" w:rsidRDefault="003C1F62" w:rsidP="003E116C"/>
    <w:p w14:paraId="3D3996C2" w14:textId="156C61CF" w:rsidR="003C1F62" w:rsidRDefault="003C1F62" w:rsidP="003E116C">
      <w:r w:rsidRPr="006B027F">
        <w:rPr>
          <w:rFonts w:ascii="Times" w:eastAsiaTheme="minorEastAsia" w:hAnsi="Times" w:cs="Times"/>
          <w:noProof/>
          <w:szCs w:val="24"/>
          <w:lang w:val="en-US"/>
        </w:rPr>
        <w:drawing>
          <wp:inline distT="0" distB="0" distL="0" distR="0" wp14:anchorId="79F10DE0" wp14:editId="6A59234D">
            <wp:extent cx="5396230" cy="6741637"/>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96230" cy="6741637"/>
                    </a:xfrm>
                    <a:prstGeom prst="rect">
                      <a:avLst/>
                    </a:prstGeom>
                    <a:noFill/>
                    <a:ln>
                      <a:noFill/>
                    </a:ln>
                  </pic:spPr>
                </pic:pic>
              </a:graphicData>
            </a:graphic>
          </wp:inline>
        </w:drawing>
      </w:r>
    </w:p>
    <w:p w14:paraId="4B0721DC" w14:textId="68C9AA22" w:rsidR="00B55EE8" w:rsidRPr="00B55EE8" w:rsidRDefault="00B55EE8" w:rsidP="00B574B0"/>
    <w:p w14:paraId="3ACCE057" w14:textId="20804C35" w:rsidR="003C1F62" w:rsidRDefault="00173DE4" w:rsidP="006B027F">
      <w:pPr>
        <w:pStyle w:val="Heading2"/>
      </w:pPr>
      <w:bookmarkStart w:id="489" w:name="_Toc419116235"/>
      <w:r>
        <w:lastRenderedPageBreak/>
        <w:t>focus group</w:t>
      </w:r>
      <w:r w:rsidR="003C1F62">
        <w:t xml:space="preserve"> topic guide</w:t>
      </w:r>
      <w:bookmarkEnd w:id="489"/>
    </w:p>
    <w:p w14:paraId="3CFEA9EA" w14:textId="3542DB9F" w:rsidR="001B5201" w:rsidRPr="006B027F" w:rsidRDefault="00173DE4" w:rsidP="006B027F">
      <w:pPr>
        <w:jc w:val="center"/>
        <w:rPr>
          <w:rFonts w:cs="Arial"/>
          <w:u w:val="single"/>
        </w:rPr>
      </w:pPr>
      <w:r>
        <w:rPr>
          <w:rFonts w:cs="Arial"/>
          <w:u w:val="single"/>
        </w:rPr>
        <w:t>focus group</w:t>
      </w:r>
      <w:r w:rsidR="001B5201" w:rsidRPr="00F62145">
        <w:rPr>
          <w:rFonts w:cs="Arial"/>
          <w:u w:val="single"/>
        </w:rPr>
        <w:t xml:space="preserve"> Topic Guide F Fletcher PhD</w:t>
      </w:r>
    </w:p>
    <w:p w14:paraId="15AD0DA5" w14:textId="52A3DB74" w:rsidR="001B5201" w:rsidRPr="00B574B0" w:rsidRDefault="001B5201" w:rsidP="001B5201">
      <w:pPr>
        <w:rPr>
          <w:rFonts w:cs="Arial"/>
          <w:b/>
          <w:szCs w:val="24"/>
        </w:rPr>
      </w:pPr>
      <w:r w:rsidRPr="001B5201">
        <w:rPr>
          <w:rFonts w:cs="Arial"/>
          <w:b/>
          <w:szCs w:val="24"/>
        </w:rPr>
        <w:t>Simulation:</w:t>
      </w:r>
    </w:p>
    <w:p w14:paraId="2AF136C1"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Previous experience of simulation</w:t>
      </w:r>
    </w:p>
    <w:p w14:paraId="02CE4C5B"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What it means to you - term</w:t>
      </w:r>
    </w:p>
    <w:p w14:paraId="3F53E20D"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Thoughts about scenarios / day</w:t>
      </w:r>
    </w:p>
    <w:p w14:paraId="1013DFE6"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Place for simulation in undergraduate curriculum</w:t>
      </w:r>
    </w:p>
    <w:p w14:paraId="6581367F"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Utility and why useful</w:t>
      </w:r>
    </w:p>
    <w:p w14:paraId="29148BF7"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What would change</w:t>
      </w:r>
    </w:p>
    <w:p w14:paraId="144A56CE"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When to introduce and how</w:t>
      </w:r>
    </w:p>
    <w:p w14:paraId="02F0C8AC"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MDT element</w:t>
      </w:r>
    </w:p>
    <w:p w14:paraId="6A4F2BEC"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Use of faculty</w:t>
      </w:r>
    </w:p>
    <w:p w14:paraId="7A54FAD6" w14:textId="77777777" w:rsidR="001B5201" w:rsidRPr="006B027F" w:rsidRDefault="001B5201" w:rsidP="002424E3">
      <w:pPr>
        <w:pStyle w:val="ListParagraph"/>
        <w:numPr>
          <w:ilvl w:val="0"/>
          <w:numId w:val="14"/>
        </w:numPr>
        <w:spacing w:line="480" w:lineRule="auto"/>
        <w:rPr>
          <w:rFonts w:ascii="Arial" w:hAnsi="Arial" w:cs="Arial"/>
          <w:sz w:val="24"/>
          <w:szCs w:val="24"/>
        </w:rPr>
      </w:pPr>
      <w:r w:rsidRPr="006B027F">
        <w:rPr>
          <w:rFonts w:ascii="Arial" w:hAnsi="Arial" w:cs="Arial"/>
          <w:sz w:val="24"/>
          <w:szCs w:val="24"/>
        </w:rPr>
        <w:t>Realism – environment/ scenarios</w:t>
      </w:r>
    </w:p>
    <w:p w14:paraId="7C1B38BE" w14:textId="2E932CB6" w:rsidR="001B5201" w:rsidRPr="00C96508" w:rsidRDefault="001B5201" w:rsidP="002424E3">
      <w:pPr>
        <w:pStyle w:val="ListParagraph"/>
        <w:numPr>
          <w:ilvl w:val="0"/>
          <w:numId w:val="14"/>
        </w:numPr>
        <w:spacing w:line="480" w:lineRule="auto"/>
        <w:rPr>
          <w:rFonts w:cs="Arial"/>
          <w:szCs w:val="24"/>
        </w:rPr>
      </w:pPr>
      <w:r w:rsidRPr="006B027F">
        <w:rPr>
          <w:rFonts w:ascii="Arial" w:hAnsi="Arial" w:cs="Arial"/>
          <w:sz w:val="24"/>
          <w:szCs w:val="24"/>
        </w:rPr>
        <w:t xml:space="preserve">Peer feedback and </w:t>
      </w:r>
      <w:r w:rsidR="00CD658D">
        <w:rPr>
          <w:rFonts w:ascii="Arial" w:hAnsi="Arial" w:cs="Arial"/>
          <w:sz w:val="24"/>
          <w:szCs w:val="24"/>
        </w:rPr>
        <w:t>self-assessment</w:t>
      </w:r>
    </w:p>
    <w:p w14:paraId="70AE6871" w14:textId="7326CBA7" w:rsidR="001B5201" w:rsidRPr="006B027F" w:rsidRDefault="001B5201" w:rsidP="001B5201">
      <w:pPr>
        <w:rPr>
          <w:rFonts w:cs="Arial"/>
          <w:b/>
          <w:szCs w:val="24"/>
        </w:rPr>
      </w:pPr>
      <w:r w:rsidRPr="00B574B0">
        <w:rPr>
          <w:rFonts w:cs="Arial"/>
          <w:b/>
          <w:szCs w:val="24"/>
        </w:rPr>
        <w:t>Prep</w:t>
      </w:r>
      <w:r w:rsidRPr="00C518CB">
        <w:rPr>
          <w:rFonts w:cs="Arial"/>
          <w:b/>
          <w:szCs w:val="24"/>
        </w:rPr>
        <w:t>a</w:t>
      </w:r>
      <w:r w:rsidRPr="00C81B6F">
        <w:rPr>
          <w:rFonts w:cs="Arial"/>
          <w:b/>
          <w:szCs w:val="24"/>
        </w:rPr>
        <w:t>redness</w:t>
      </w:r>
    </w:p>
    <w:p w14:paraId="6DE9A44B" w14:textId="77777777" w:rsidR="001B5201" w:rsidRPr="006B027F" w:rsidRDefault="001B5201" w:rsidP="002424E3">
      <w:pPr>
        <w:pStyle w:val="ListParagraph"/>
        <w:numPr>
          <w:ilvl w:val="0"/>
          <w:numId w:val="15"/>
        </w:numPr>
        <w:spacing w:line="480" w:lineRule="auto"/>
        <w:rPr>
          <w:rFonts w:ascii="Arial" w:hAnsi="Arial" w:cs="Arial"/>
          <w:sz w:val="24"/>
          <w:szCs w:val="24"/>
        </w:rPr>
      </w:pPr>
      <w:r w:rsidRPr="006B027F">
        <w:rPr>
          <w:rFonts w:ascii="Arial" w:hAnsi="Arial" w:cs="Arial"/>
          <w:sz w:val="24"/>
          <w:szCs w:val="24"/>
        </w:rPr>
        <w:t>What means to you personally</w:t>
      </w:r>
    </w:p>
    <w:p w14:paraId="3750CB28" w14:textId="77777777" w:rsidR="001B5201" w:rsidRPr="006B027F" w:rsidRDefault="001B5201" w:rsidP="002424E3">
      <w:pPr>
        <w:pStyle w:val="ListParagraph"/>
        <w:numPr>
          <w:ilvl w:val="0"/>
          <w:numId w:val="15"/>
        </w:numPr>
        <w:spacing w:line="480" w:lineRule="auto"/>
        <w:rPr>
          <w:rFonts w:ascii="Arial" w:hAnsi="Arial" w:cs="Arial"/>
          <w:sz w:val="24"/>
          <w:szCs w:val="24"/>
        </w:rPr>
      </w:pPr>
      <w:r w:rsidRPr="006B027F">
        <w:rPr>
          <w:rFonts w:ascii="Arial" w:hAnsi="Arial" w:cs="Arial"/>
          <w:sz w:val="24"/>
          <w:szCs w:val="24"/>
        </w:rPr>
        <w:t>Why important</w:t>
      </w:r>
    </w:p>
    <w:p w14:paraId="318E8564" w14:textId="77777777" w:rsidR="001B5201" w:rsidRPr="006B027F" w:rsidRDefault="001B5201" w:rsidP="002424E3">
      <w:pPr>
        <w:pStyle w:val="ListParagraph"/>
        <w:numPr>
          <w:ilvl w:val="0"/>
          <w:numId w:val="15"/>
        </w:numPr>
        <w:spacing w:line="480" w:lineRule="auto"/>
        <w:rPr>
          <w:rFonts w:ascii="Arial" w:hAnsi="Arial" w:cs="Arial"/>
          <w:sz w:val="24"/>
          <w:szCs w:val="24"/>
        </w:rPr>
      </w:pPr>
      <w:r w:rsidRPr="006B027F">
        <w:rPr>
          <w:rFonts w:ascii="Arial" w:hAnsi="Arial" w:cs="Arial"/>
          <w:sz w:val="24"/>
          <w:szCs w:val="24"/>
        </w:rPr>
        <w:t>What supports preparedness</w:t>
      </w:r>
    </w:p>
    <w:p w14:paraId="43A00839" w14:textId="77777777" w:rsidR="001B5201" w:rsidRPr="006B027F" w:rsidRDefault="001B5201" w:rsidP="002424E3">
      <w:pPr>
        <w:pStyle w:val="ListParagraph"/>
        <w:numPr>
          <w:ilvl w:val="0"/>
          <w:numId w:val="15"/>
        </w:numPr>
        <w:spacing w:line="480" w:lineRule="auto"/>
        <w:rPr>
          <w:rFonts w:ascii="Arial" w:hAnsi="Arial" w:cs="Arial"/>
          <w:sz w:val="24"/>
          <w:szCs w:val="24"/>
        </w:rPr>
      </w:pPr>
      <w:r w:rsidRPr="006B027F">
        <w:rPr>
          <w:rFonts w:ascii="Arial" w:hAnsi="Arial" w:cs="Arial"/>
          <w:sz w:val="24"/>
          <w:szCs w:val="24"/>
        </w:rPr>
        <w:t>How to improve</w:t>
      </w:r>
    </w:p>
    <w:p w14:paraId="6D6843B4" w14:textId="20DF81BF" w:rsidR="001B5201" w:rsidRPr="006B027F" w:rsidRDefault="001B5201" w:rsidP="002424E3">
      <w:pPr>
        <w:pStyle w:val="ListParagraph"/>
        <w:numPr>
          <w:ilvl w:val="0"/>
          <w:numId w:val="15"/>
        </w:numPr>
        <w:spacing w:line="480" w:lineRule="auto"/>
        <w:rPr>
          <w:rFonts w:ascii="Arial" w:hAnsi="Arial" w:cs="Arial"/>
          <w:sz w:val="24"/>
          <w:szCs w:val="24"/>
        </w:rPr>
      </w:pPr>
      <w:r w:rsidRPr="006B027F">
        <w:rPr>
          <w:rFonts w:ascii="Arial" w:hAnsi="Arial" w:cs="Arial"/>
          <w:sz w:val="24"/>
          <w:szCs w:val="24"/>
        </w:rPr>
        <w:t xml:space="preserve">Areas of preparedness vs. </w:t>
      </w:r>
      <w:proofErr w:type="spellStart"/>
      <w:r w:rsidR="001D42C9">
        <w:rPr>
          <w:rFonts w:ascii="Arial" w:hAnsi="Arial" w:cs="Arial"/>
          <w:sz w:val="24"/>
          <w:szCs w:val="24"/>
        </w:rPr>
        <w:t>underpreparedness</w:t>
      </w:r>
      <w:proofErr w:type="spellEnd"/>
    </w:p>
    <w:p w14:paraId="53FA37CA" w14:textId="77777777" w:rsidR="001B5201" w:rsidRPr="001B5201" w:rsidRDefault="001B5201" w:rsidP="001B5201">
      <w:pPr>
        <w:rPr>
          <w:rFonts w:cs="Arial"/>
          <w:szCs w:val="24"/>
        </w:rPr>
      </w:pPr>
    </w:p>
    <w:p w14:paraId="4D541B97" w14:textId="4F0DFC72" w:rsidR="009332C0" w:rsidRPr="006B027F" w:rsidRDefault="001B5201">
      <w:pPr>
        <w:rPr>
          <w:rFonts w:cs="Arial"/>
          <w:b/>
          <w:szCs w:val="24"/>
        </w:rPr>
      </w:pPr>
      <w:r w:rsidRPr="001B5201">
        <w:rPr>
          <w:rFonts w:cs="Arial"/>
          <w:b/>
          <w:szCs w:val="24"/>
        </w:rPr>
        <w:t>Other views/ comme</w:t>
      </w:r>
      <w:r w:rsidRPr="00B574B0">
        <w:rPr>
          <w:rFonts w:cs="Arial"/>
          <w:b/>
          <w:szCs w:val="24"/>
        </w:rPr>
        <w:t>nts/ concerns</w:t>
      </w:r>
    </w:p>
    <w:p w14:paraId="53A27709" w14:textId="443AFF5F" w:rsidR="00846412" w:rsidRDefault="00846412" w:rsidP="006B027F">
      <w:pPr>
        <w:pStyle w:val="Heading2"/>
      </w:pPr>
      <w:bookmarkStart w:id="490" w:name="_Toc419116236"/>
      <w:r>
        <w:lastRenderedPageBreak/>
        <w:t>Pilot study SPSS outputs</w:t>
      </w:r>
      <w:bookmarkEnd w:id="490"/>
    </w:p>
    <w:p w14:paraId="6D8E046A" w14:textId="77777777" w:rsidR="00C00713" w:rsidRPr="00C00713" w:rsidRDefault="00C00713"/>
    <w:tbl>
      <w:tblPr>
        <w:tblW w:w="9997" w:type="dxa"/>
        <w:tblInd w:w="-1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39"/>
        <w:gridCol w:w="1137"/>
        <w:gridCol w:w="850"/>
        <w:gridCol w:w="992"/>
        <w:gridCol w:w="1033"/>
        <w:gridCol w:w="1134"/>
        <w:gridCol w:w="1134"/>
        <w:gridCol w:w="992"/>
        <w:gridCol w:w="851"/>
        <w:gridCol w:w="1235"/>
      </w:tblGrid>
      <w:tr w:rsidR="00DE6E71" w:rsidRPr="00484AE6" w14:paraId="349F7867" w14:textId="77777777" w:rsidTr="00000A14">
        <w:trPr>
          <w:cantSplit/>
          <w:trHeight w:val="730"/>
        </w:trPr>
        <w:tc>
          <w:tcPr>
            <w:tcW w:w="9997" w:type="dxa"/>
            <w:gridSpan w:val="10"/>
            <w:tcBorders>
              <w:top w:val="nil"/>
              <w:left w:val="nil"/>
              <w:bottom w:val="nil"/>
              <w:right w:val="nil"/>
            </w:tcBorders>
            <w:shd w:val="clear" w:color="auto" w:fill="FFFFFF"/>
            <w:vAlign w:val="center"/>
          </w:tcPr>
          <w:p w14:paraId="34C99680" w14:textId="77777777" w:rsidR="00846412" w:rsidRPr="00484AE6" w:rsidRDefault="00846412" w:rsidP="00912D74">
            <w:pPr>
              <w:widowControl w:val="0"/>
              <w:autoSpaceDE w:val="0"/>
              <w:autoSpaceDN w:val="0"/>
              <w:adjustRightInd w:val="0"/>
              <w:spacing w:line="320" w:lineRule="atLeast"/>
              <w:ind w:left="60" w:right="60"/>
              <w:jc w:val="center"/>
              <w:rPr>
                <w:rFonts w:cs="Arial"/>
                <w:color w:val="000000"/>
              </w:rPr>
            </w:pPr>
            <w:r w:rsidRPr="00484AE6">
              <w:rPr>
                <w:rFonts w:cs="Arial"/>
                <w:b/>
                <w:bCs/>
                <w:color w:val="000000"/>
              </w:rPr>
              <w:t>Paired Samples Test</w:t>
            </w:r>
          </w:p>
        </w:tc>
      </w:tr>
      <w:tr w:rsidR="00000A14" w:rsidRPr="00484AE6" w14:paraId="1EAD3A04" w14:textId="77777777" w:rsidTr="00000A14">
        <w:trPr>
          <w:cantSplit/>
          <w:trHeight w:val="730"/>
        </w:trPr>
        <w:tc>
          <w:tcPr>
            <w:tcW w:w="1776" w:type="dxa"/>
            <w:gridSpan w:val="2"/>
            <w:vMerge w:val="restart"/>
            <w:tcBorders>
              <w:top w:val="single" w:sz="16" w:space="0" w:color="000000"/>
              <w:left w:val="single" w:sz="16" w:space="0" w:color="000000"/>
              <w:bottom w:val="nil"/>
              <w:right w:val="nil"/>
            </w:tcBorders>
            <w:shd w:val="clear" w:color="auto" w:fill="FFFFFF"/>
            <w:vAlign w:val="bottom"/>
          </w:tcPr>
          <w:p w14:paraId="64DAE154" w14:textId="77777777" w:rsidR="00846412" w:rsidRPr="006B027F" w:rsidRDefault="00846412" w:rsidP="00912D74">
            <w:pPr>
              <w:widowControl w:val="0"/>
              <w:autoSpaceDE w:val="0"/>
              <w:autoSpaceDN w:val="0"/>
              <w:adjustRightInd w:val="0"/>
              <w:rPr>
                <w:rFonts w:ascii="Times New Roman" w:hAnsi="Times New Roman"/>
                <w:sz w:val="18"/>
                <w:szCs w:val="18"/>
              </w:rPr>
            </w:pPr>
          </w:p>
        </w:tc>
        <w:tc>
          <w:tcPr>
            <w:tcW w:w="5143" w:type="dxa"/>
            <w:gridSpan w:val="5"/>
            <w:tcBorders>
              <w:top w:val="single" w:sz="16" w:space="0" w:color="000000"/>
              <w:left w:val="single" w:sz="16" w:space="0" w:color="000000"/>
            </w:tcBorders>
            <w:shd w:val="clear" w:color="auto" w:fill="FFFFFF"/>
            <w:vAlign w:val="bottom"/>
          </w:tcPr>
          <w:p w14:paraId="3C035285"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r w:rsidRPr="006B027F">
              <w:rPr>
                <w:rFonts w:cs="Arial"/>
                <w:color w:val="000000"/>
                <w:sz w:val="18"/>
                <w:szCs w:val="18"/>
              </w:rPr>
              <w:t>Paired Differences</w:t>
            </w:r>
          </w:p>
        </w:tc>
        <w:tc>
          <w:tcPr>
            <w:tcW w:w="992" w:type="dxa"/>
            <w:vMerge w:val="restart"/>
            <w:tcBorders>
              <w:top w:val="single" w:sz="16" w:space="0" w:color="000000"/>
            </w:tcBorders>
            <w:shd w:val="clear" w:color="auto" w:fill="FFFFFF"/>
            <w:vAlign w:val="bottom"/>
          </w:tcPr>
          <w:p w14:paraId="66818D95"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r w:rsidRPr="006B027F">
              <w:rPr>
                <w:rFonts w:cs="Arial"/>
                <w:color w:val="000000"/>
                <w:sz w:val="18"/>
                <w:szCs w:val="18"/>
              </w:rPr>
              <w:t>t</w:t>
            </w:r>
          </w:p>
        </w:tc>
        <w:tc>
          <w:tcPr>
            <w:tcW w:w="851" w:type="dxa"/>
            <w:vMerge w:val="restart"/>
            <w:tcBorders>
              <w:top w:val="single" w:sz="16" w:space="0" w:color="000000"/>
            </w:tcBorders>
            <w:shd w:val="clear" w:color="auto" w:fill="FFFFFF"/>
            <w:vAlign w:val="bottom"/>
          </w:tcPr>
          <w:p w14:paraId="13218218"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proofErr w:type="spellStart"/>
            <w:r w:rsidRPr="006B027F">
              <w:rPr>
                <w:rFonts w:cs="Arial"/>
                <w:color w:val="000000"/>
                <w:sz w:val="18"/>
                <w:szCs w:val="18"/>
              </w:rPr>
              <w:t>df</w:t>
            </w:r>
            <w:proofErr w:type="spellEnd"/>
          </w:p>
        </w:tc>
        <w:tc>
          <w:tcPr>
            <w:tcW w:w="1235" w:type="dxa"/>
            <w:vMerge w:val="restart"/>
            <w:tcBorders>
              <w:top w:val="single" w:sz="16" w:space="0" w:color="000000"/>
              <w:right w:val="single" w:sz="16" w:space="0" w:color="000000"/>
            </w:tcBorders>
            <w:shd w:val="clear" w:color="auto" w:fill="FFFFFF"/>
            <w:vAlign w:val="bottom"/>
          </w:tcPr>
          <w:p w14:paraId="07889AF4"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r w:rsidRPr="006B027F">
              <w:rPr>
                <w:rFonts w:cs="Arial"/>
                <w:color w:val="000000"/>
                <w:sz w:val="18"/>
                <w:szCs w:val="18"/>
              </w:rPr>
              <w:t>Sig. (2-tailed)</w:t>
            </w:r>
          </w:p>
        </w:tc>
      </w:tr>
      <w:tr w:rsidR="00000A14" w:rsidRPr="00484AE6" w14:paraId="5E15663A" w14:textId="77777777" w:rsidTr="00000A14">
        <w:trPr>
          <w:cantSplit/>
          <w:trHeight w:val="138"/>
        </w:trPr>
        <w:tc>
          <w:tcPr>
            <w:tcW w:w="1776" w:type="dxa"/>
            <w:gridSpan w:val="2"/>
            <w:vMerge/>
            <w:tcBorders>
              <w:top w:val="single" w:sz="16" w:space="0" w:color="000000"/>
              <w:left w:val="single" w:sz="16" w:space="0" w:color="000000"/>
              <w:bottom w:val="nil"/>
              <w:right w:val="nil"/>
            </w:tcBorders>
            <w:shd w:val="clear" w:color="auto" w:fill="FFFFFF"/>
            <w:vAlign w:val="bottom"/>
          </w:tcPr>
          <w:p w14:paraId="769767D8" w14:textId="77777777" w:rsidR="00846412" w:rsidRPr="006B027F" w:rsidRDefault="00846412" w:rsidP="00912D74">
            <w:pPr>
              <w:widowControl w:val="0"/>
              <w:autoSpaceDE w:val="0"/>
              <w:autoSpaceDN w:val="0"/>
              <w:adjustRightInd w:val="0"/>
              <w:rPr>
                <w:rFonts w:cs="Arial"/>
                <w:color w:val="000000"/>
                <w:sz w:val="18"/>
                <w:szCs w:val="18"/>
              </w:rPr>
            </w:pPr>
          </w:p>
        </w:tc>
        <w:tc>
          <w:tcPr>
            <w:tcW w:w="850" w:type="dxa"/>
            <w:vMerge w:val="restart"/>
            <w:tcBorders>
              <w:left w:val="single" w:sz="16" w:space="0" w:color="000000"/>
            </w:tcBorders>
            <w:shd w:val="clear" w:color="auto" w:fill="FFFFFF"/>
            <w:vAlign w:val="bottom"/>
          </w:tcPr>
          <w:p w14:paraId="2977B2BF"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r w:rsidRPr="006B027F">
              <w:rPr>
                <w:rFonts w:cs="Arial"/>
                <w:color w:val="000000"/>
                <w:sz w:val="18"/>
                <w:szCs w:val="18"/>
              </w:rPr>
              <w:t>Mean</w:t>
            </w:r>
          </w:p>
        </w:tc>
        <w:tc>
          <w:tcPr>
            <w:tcW w:w="992" w:type="dxa"/>
            <w:vMerge w:val="restart"/>
            <w:shd w:val="clear" w:color="auto" w:fill="FFFFFF"/>
            <w:vAlign w:val="bottom"/>
          </w:tcPr>
          <w:p w14:paraId="701104CD"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r w:rsidRPr="006B027F">
              <w:rPr>
                <w:rFonts w:cs="Arial"/>
                <w:color w:val="000000"/>
                <w:sz w:val="18"/>
                <w:szCs w:val="18"/>
              </w:rPr>
              <w:t>Std. Deviation</w:t>
            </w:r>
          </w:p>
        </w:tc>
        <w:tc>
          <w:tcPr>
            <w:tcW w:w="1033" w:type="dxa"/>
            <w:vMerge w:val="restart"/>
            <w:shd w:val="clear" w:color="auto" w:fill="FFFFFF"/>
            <w:vAlign w:val="bottom"/>
          </w:tcPr>
          <w:p w14:paraId="57F22E3F"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r w:rsidRPr="006B027F">
              <w:rPr>
                <w:rFonts w:cs="Arial"/>
                <w:color w:val="000000"/>
                <w:sz w:val="18"/>
                <w:szCs w:val="18"/>
              </w:rPr>
              <w:t>Std. Error Mean</w:t>
            </w:r>
          </w:p>
        </w:tc>
        <w:tc>
          <w:tcPr>
            <w:tcW w:w="2268" w:type="dxa"/>
            <w:gridSpan w:val="2"/>
            <w:shd w:val="clear" w:color="auto" w:fill="FFFFFF"/>
            <w:vAlign w:val="bottom"/>
          </w:tcPr>
          <w:p w14:paraId="00E517CF"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r w:rsidRPr="006B027F">
              <w:rPr>
                <w:rFonts w:cs="Arial"/>
                <w:color w:val="000000"/>
                <w:sz w:val="18"/>
                <w:szCs w:val="18"/>
              </w:rPr>
              <w:t>95% Confidence Interval of the Difference</w:t>
            </w:r>
          </w:p>
        </w:tc>
        <w:tc>
          <w:tcPr>
            <w:tcW w:w="992" w:type="dxa"/>
            <w:vMerge/>
            <w:tcBorders>
              <w:top w:val="single" w:sz="16" w:space="0" w:color="000000"/>
            </w:tcBorders>
            <w:shd w:val="clear" w:color="auto" w:fill="FFFFFF"/>
            <w:vAlign w:val="bottom"/>
          </w:tcPr>
          <w:p w14:paraId="6FCF0968" w14:textId="77777777" w:rsidR="00846412" w:rsidRPr="006B027F" w:rsidRDefault="00846412" w:rsidP="00912D74">
            <w:pPr>
              <w:widowControl w:val="0"/>
              <w:autoSpaceDE w:val="0"/>
              <w:autoSpaceDN w:val="0"/>
              <w:adjustRightInd w:val="0"/>
              <w:rPr>
                <w:rFonts w:cs="Arial"/>
                <w:color w:val="000000"/>
                <w:sz w:val="18"/>
                <w:szCs w:val="18"/>
              </w:rPr>
            </w:pPr>
          </w:p>
        </w:tc>
        <w:tc>
          <w:tcPr>
            <w:tcW w:w="851" w:type="dxa"/>
            <w:vMerge/>
            <w:tcBorders>
              <w:top w:val="single" w:sz="16" w:space="0" w:color="000000"/>
            </w:tcBorders>
            <w:shd w:val="clear" w:color="auto" w:fill="FFFFFF"/>
            <w:vAlign w:val="bottom"/>
          </w:tcPr>
          <w:p w14:paraId="74A8D73C" w14:textId="77777777" w:rsidR="00846412" w:rsidRPr="006B027F" w:rsidRDefault="00846412" w:rsidP="002424E3">
            <w:pPr>
              <w:keepNext/>
              <w:keepLines/>
              <w:widowControl w:val="0"/>
              <w:numPr>
                <w:ilvl w:val="0"/>
                <w:numId w:val="30"/>
              </w:numPr>
              <w:autoSpaceDE w:val="0"/>
              <w:autoSpaceDN w:val="0"/>
              <w:adjustRightInd w:val="0"/>
              <w:jc w:val="center"/>
              <w:outlineLvl w:val="0"/>
              <w:rPr>
                <w:rFonts w:cs="Arial"/>
                <w:color w:val="000000"/>
                <w:sz w:val="18"/>
                <w:szCs w:val="18"/>
              </w:rPr>
            </w:pPr>
          </w:p>
        </w:tc>
        <w:tc>
          <w:tcPr>
            <w:tcW w:w="1235" w:type="dxa"/>
            <w:vMerge/>
            <w:tcBorders>
              <w:top w:val="single" w:sz="16" w:space="0" w:color="000000"/>
              <w:right w:val="single" w:sz="16" w:space="0" w:color="000000"/>
            </w:tcBorders>
            <w:shd w:val="clear" w:color="auto" w:fill="FFFFFF"/>
            <w:vAlign w:val="bottom"/>
          </w:tcPr>
          <w:p w14:paraId="0C56194D" w14:textId="77777777" w:rsidR="00846412" w:rsidRPr="006B027F" w:rsidRDefault="00846412" w:rsidP="00912D74">
            <w:pPr>
              <w:widowControl w:val="0"/>
              <w:autoSpaceDE w:val="0"/>
              <w:autoSpaceDN w:val="0"/>
              <w:adjustRightInd w:val="0"/>
              <w:rPr>
                <w:rFonts w:cs="Arial"/>
                <w:color w:val="000000"/>
                <w:sz w:val="18"/>
                <w:szCs w:val="18"/>
              </w:rPr>
            </w:pPr>
          </w:p>
        </w:tc>
      </w:tr>
      <w:tr w:rsidR="00000A14" w:rsidRPr="00484AE6" w14:paraId="1051CBE9" w14:textId="77777777" w:rsidTr="00000A14">
        <w:trPr>
          <w:cantSplit/>
          <w:trHeight w:val="138"/>
        </w:trPr>
        <w:tc>
          <w:tcPr>
            <w:tcW w:w="1776" w:type="dxa"/>
            <w:gridSpan w:val="2"/>
            <w:vMerge/>
            <w:tcBorders>
              <w:top w:val="single" w:sz="16" w:space="0" w:color="000000"/>
              <w:left w:val="single" w:sz="16" w:space="0" w:color="000000"/>
              <w:bottom w:val="nil"/>
              <w:right w:val="nil"/>
            </w:tcBorders>
            <w:shd w:val="clear" w:color="auto" w:fill="FFFFFF"/>
            <w:vAlign w:val="bottom"/>
          </w:tcPr>
          <w:p w14:paraId="75FFB54E" w14:textId="77777777" w:rsidR="00846412" w:rsidRPr="006B027F" w:rsidRDefault="00846412" w:rsidP="00912D74">
            <w:pPr>
              <w:widowControl w:val="0"/>
              <w:autoSpaceDE w:val="0"/>
              <w:autoSpaceDN w:val="0"/>
              <w:adjustRightInd w:val="0"/>
              <w:rPr>
                <w:rFonts w:cs="Arial"/>
                <w:color w:val="000000"/>
                <w:sz w:val="18"/>
                <w:szCs w:val="18"/>
              </w:rPr>
            </w:pPr>
          </w:p>
        </w:tc>
        <w:tc>
          <w:tcPr>
            <w:tcW w:w="850" w:type="dxa"/>
            <w:vMerge/>
            <w:tcBorders>
              <w:left w:val="single" w:sz="16" w:space="0" w:color="000000"/>
            </w:tcBorders>
            <w:shd w:val="clear" w:color="auto" w:fill="FFFFFF"/>
            <w:vAlign w:val="bottom"/>
          </w:tcPr>
          <w:p w14:paraId="6DDB634D" w14:textId="77777777" w:rsidR="00846412" w:rsidRPr="006B027F" w:rsidRDefault="00846412" w:rsidP="00912D74">
            <w:pPr>
              <w:widowControl w:val="0"/>
              <w:autoSpaceDE w:val="0"/>
              <w:autoSpaceDN w:val="0"/>
              <w:adjustRightInd w:val="0"/>
              <w:rPr>
                <w:rFonts w:cs="Arial"/>
                <w:color w:val="000000"/>
                <w:sz w:val="18"/>
                <w:szCs w:val="18"/>
              </w:rPr>
            </w:pPr>
          </w:p>
        </w:tc>
        <w:tc>
          <w:tcPr>
            <w:tcW w:w="992" w:type="dxa"/>
            <w:vMerge/>
            <w:shd w:val="clear" w:color="auto" w:fill="FFFFFF"/>
            <w:vAlign w:val="bottom"/>
          </w:tcPr>
          <w:p w14:paraId="147D6574" w14:textId="77777777" w:rsidR="00846412" w:rsidRPr="006B027F" w:rsidRDefault="00846412" w:rsidP="00912D74">
            <w:pPr>
              <w:widowControl w:val="0"/>
              <w:autoSpaceDE w:val="0"/>
              <w:autoSpaceDN w:val="0"/>
              <w:adjustRightInd w:val="0"/>
              <w:rPr>
                <w:rFonts w:cs="Arial"/>
                <w:color w:val="000000"/>
                <w:sz w:val="18"/>
                <w:szCs w:val="18"/>
              </w:rPr>
            </w:pPr>
          </w:p>
        </w:tc>
        <w:tc>
          <w:tcPr>
            <w:tcW w:w="1033" w:type="dxa"/>
            <w:vMerge/>
            <w:shd w:val="clear" w:color="auto" w:fill="FFFFFF"/>
            <w:vAlign w:val="bottom"/>
          </w:tcPr>
          <w:p w14:paraId="29A9DCF2" w14:textId="77777777" w:rsidR="00846412" w:rsidRPr="006B027F" w:rsidRDefault="00846412" w:rsidP="00912D74">
            <w:pPr>
              <w:widowControl w:val="0"/>
              <w:autoSpaceDE w:val="0"/>
              <w:autoSpaceDN w:val="0"/>
              <w:adjustRightInd w:val="0"/>
              <w:rPr>
                <w:rFonts w:cs="Arial"/>
                <w:color w:val="000000"/>
                <w:sz w:val="18"/>
                <w:szCs w:val="18"/>
              </w:rPr>
            </w:pPr>
          </w:p>
        </w:tc>
        <w:tc>
          <w:tcPr>
            <w:tcW w:w="1134" w:type="dxa"/>
            <w:tcBorders>
              <w:bottom w:val="single" w:sz="16" w:space="0" w:color="000000"/>
            </w:tcBorders>
            <w:shd w:val="clear" w:color="auto" w:fill="FFFFFF"/>
            <w:vAlign w:val="bottom"/>
          </w:tcPr>
          <w:p w14:paraId="748E0687"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r w:rsidRPr="006B027F">
              <w:rPr>
                <w:rFonts w:cs="Arial"/>
                <w:color w:val="000000"/>
                <w:sz w:val="18"/>
                <w:szCs w:val="18"/>
              </w:rPr>
              <w:t>Lower</w:t>
            </w:r>
          </w:p>
        </w:tc>
        <w:tc>
          <w:tcPr>
            <w:tcW w:w="1134" w:type="dxa"/>
            <w:tcBorders>
              <w:bottom w:val="single" w:sz="16" w:space="0" w:color="000000"/>
            </w:tcBorders>
            <w:shd w:val="clear" w:color="auto" w:fill="FFFFFF"/>
            <w:vAlign w:val="bottom"/>
          </w:tcPr>
          <w:p w14:paraId="079D685A" w14:textId="77777777" w:rsidR="00846412" w:rsidRPr="006B027F" w:rsidRDefault="00846412" w:rsidP="00912D74">
            <w:pPr>
              <w:widowControl w:val="0"/>
              <w:autoSpaceDE w:val="0"/>
              <w:autoSpaceDN w:val="0"/>
              <w:adjustRightInd w:val="0"/>
              <w:spacing w:line="320" w:lineRule="atLeast"/>
              <w:ind w:left="60" w:right="60"/>
              <w:jc w:val="center"/>
              <w:rPr>
                <w:rFonts w:cs="Arial"/>
                <w:color w:val="000000"/>
                <w:sz w:val="18"/>
                <w:szCs w:val="18"/>
              </w:rPr>
            </w:pPr>
            <w:r w:rsidRPr="006B027F">
              <w:rPr>
                <w:rFonts w:cs="Arial"/>
                <w:color w:val="000000"/>
                <w:sz w:val="18"/>
                <w:szCs w:val="18"/>
              </w:rPr>
              <w:t>Upper</w:t>
            </w:r>
          </w:p>
        </w:tc>
        <w:tc>
          <w:tcPr>
            <w:tcW w:w="992" w:type="dxa"/>
            <w:vMerge/>
            <w:tcBorders>
              <w:top w:val="single" w:sz="16" w:space="0" w:color="000000"/>
            </w:tcBorders>
            <w:shd w:val="clear" w:color="auto" w:fill="FFFFFF"/>
            <w:vAlign w:val="bottom"/>
          </w:tcPr>
          <w:p w14:paraId="3CB8E930" w14:textId="77777777" w:rsidR="00846412" w:rsidRPr="006B027F" w:rsidRDefault="00846412" w:rsidP="00912D74">
            <w:pPr>
              <w:widowControl w:val="0"/>
              <w:autoSpaceDE w:val="0"/>
              <w:autoSpaceDN w:val="0"/>
              <w:adjustRightInd w:val="0"/>
              <w:rPr>
                <w:rFonts w:cs="Arial"/>
                <w:color w:val="000000"/>
                <w:sz w:val="18"/>
                <w:szCs w:val="18"/>
              </w:rPr>
            </w:pPr>
          </w:p>
        </w:tc>
        <w:tc>
          <w:tcPr>
            <w:tcW w:w="851" w:type="dxa"/>
            <w:vMerge/>
            <w:tcBorders>
              <w:top w:val="single" w:sz="16" w:space="0" w:color="000000"/>
            </w:tcBorders>
            <w:shd w:val="clear" w:color="auto" w:fill="FFFFFF"/>
            <w:vAlign w:val="bottom"/>
          </w:tcPr>
          <w:p w14:paraId="1CD69B86" w14:textId="77777777" w:rsidR="00846412" w:rsidRPr="006B027F" w:rsidRDefault="00846412" w:rsidP="00912D74">
            <w:pPr>
              <w:widowControl w:val="0"/>
              <w:autoSpaceDE w:val="0"/>
              <w:autoSpaceDN w:val="0"/>
              <w:adjustRightInd w:val="0"/>
              <w:rPr>
                <w:rFonts w:cs="Arial"/>
                <w:color w:val="000000"/>
                <w:sz w:val="18"/>
                <w:szCs w:val="18"/>
              </w:rPr>
            </w:pPr>
          </w:p>
        </w:tc>
        <w:tc>
          <w:tcPr>
            <w:tcW w:w="1235" w:type="dxa"/>
            <w:vMerge/>
            <w:tcBorders>
              <w:top w:val="single" w:sz="16" w:space="0" w:color="000000"/>
              <w:right w:val="single" w:sz="16" w:space="0" w:color="000000"/>
            </w:tcBorders>
            <w:shd w:val="clear" w:color="auto" w:fill="FFFFFF"/>
            <w:vAlign w:val="bottom"/>
          </w:tcPr>
          <w:p w14:paraId="70192949" w14:textId="77777777" w:rsidR="00846412" w:rsidRPr="006B027F" w:rsidRDefault="00846412" w:rsidP="00912D74">
            <w:pPr>
              <w:widowControl w:val="0"/>
              <w:autoSpaceDE w:val="0"/>
              <w:autoSpaceDN w:val="0"/>
              <w:adjustRightInd w:val="0"/>
              <w:rPr>
                <w:rFonts w:cs="Arial"/>
                <w:color w:val="000000"/>
                <w:sz w:val="18"/>
                <w:szCs w:val="18"/>
              </w:rPr>
            </w:pPr>
          </w:p>
        </w:tc>
      </w:tr>
      <w:tr w:rsidR="00000A14" w:rsidRPr="00484AE6" w14:paraId="1C136566" w14:textId="77777777" w:rsidTr="00000A14">
        <w:trPr>
          <w:cantSplit/>
          <w:trHeight w:val="3576"/>
        </w:trPr>
        <w:tc>
          <w:tcPr>
            <w:tcW w:w="639" w:type="dxa"/>
            <w:tcBorders>
              <w:top w:val="single" w:sz="16" w:space="0" w:color="000000"/>
              <w:left w:val="single" w:sz="16" w:space="0" w:color="000000"/>
              <w:bottom w:val="single" w:sz="16" w:space="0" w:color="000000"/>
              <w:right w:val="nil"/>
            </w:tcBorders>
            <w:shd w:val="clear" w:color="auto" w:fill="FFFFFF"/>
          </w:tcPr>
          <w:p w14:paraId="2D085CD2" w14:textId="77777777" w:rsidR="00846412" w:rsidRPr="006B027F" w:rsidRDefault="00846412" w:rsidP="00912D74">
            <w:pPr>
              <w:widowControl w:val="0"/>
              <w:autoSpaceDE w:val="0"/>
              <w:autoSpaceDN w:val="0"/>
              <w:adjustRightInd w:val="0"/>
              <w:spacing w:line="320" w:lineRule="atLeast"/>
              <w:ind w:left="60" w:right="60"/>
              <w:rPr>
                <w:rFonts w:cs="Arial"/>
                <w:color w:val="000000"/>
                <w:sz w:val="18"/>
                <w:szCs w:val="18"/>
              </w:rPr>
            </w:pPr>
            <w:r w:rsidRPr="006B027F">
              <w:rPr>
                <w:rFonts w:cs="Arial"/>
                <w:color w:val="000000"/>
                <w:sz w:val="18"/>
                <w:szCs w:val="18"/>
              </w:rPr>
              <w:t>Pair 1</w:t>
            </w:r>
          </w:p>
        </w:tc>
        <w:tc>
          <w:tcPr>
            <w:tcW w:w="1137" w:type="dxa"/>
            <w:tcBorders>
              <w:top w:val="single" w:sz="16" w:space="0" w:color="000000"/>
              <w:left w:val="nil"/>
              <w:bottom w:val="single" w:sz="16" w:space="0" w:color="000000"/>
              <w:right w:val="single" w:sz="16" w:space="0" w:color="000000"/>
            </w:tcBorders>
            <w:shd w:val="clear" w:color="auto" w:fill="FFFFFF"/>
          </w:tcPr>
          <w:p w14:paraId="34DDC074" w14:textId="644B4C2C" w:rsidR="00846412" w:rsidRPr="006B027F" w:rsidRDefault="00F0175B" w:rsidP="00912D74">
            <w:pPr>
              <w:widowControl w:val="0"/>
              <w:autoSpaceDE w:val="0"/>
              <w:autoSpaceDN w:val="0"/>
              <w:adjustRightInd w:val="0"/>
              <w:spacing w:line="320" w:lineRule="atLeast"/>
              <w:ind w:left="60" w:right="60"/>
              <w:rPr>
                <w:rFonts w:cs="Arial"/>
                <w:color w:val="000000"/>
                <w:sz w:val="18"/>
                <w:szCs w:val="18"/>
              </w:rPr>
            </w:pPr>
            <w:r>
              <w:rPr>
                <w:rFonts w:cs="Arial"/>
                <w:color w:val="000000"/>
                <w:sz w:val="18"/>
                <w:szCs w:val="18"/>
              </w:rPr>
              <w:t xml:space="preserve">Baseline confidence score – </w:t>
            </w:r>
            <w:proofErr w:type="spellStart"/>
            <w:r>
              <w:rPr>
                <w:rFonts w:cs="Arial"/>
                <w:color w:val="000000"/>
                <w:sz w:val="18"/>
                <w:szCs w:val="18"/>
              </w:rPr>
              <w:t>Postcourse</w:t>
            </w:r>
            <w:proofErr w:type="spellEnd"/>
            <w:r>
              <w:rPr>
                <w:rFonts w:cs="Arial"/>
                <w:color w:val="000000"/>
                <w:sz w:val="18"/>
                <w:szCs w:val="18"/>
              </w:rPr>
              <w:t xml:space="preserve"> confidence </w:t>
            </w:r>
            <w:r w:rsidR="00846412" w:rsidRPr="006B027F">
              <w:rPr>
                <w:rFonts w:cs="Arial"/>
                <w:color w:val="000000"/>
                <w:sz w:val="18"/>
                <w:szCs w:val="18"/>
              </w:rPr>
              <w:t>score</w:t>
            </w:r>
          </w:p>
        </w:tc>
        <w:tc>
          <w:tcPr>
            <w:tcW w:w="850" w:type="dxa"/>
            <w:tcBorders>
              <w:top w:val="single" w:sz="16" w:space="0" w:color="000000"/>
              <w:left w:val="single" w:sz="16" w:space="0" w:color="000000"/>
              <w:bottom w:val="single" w:sz="16" w:space="0" w:color="000000"/>
            </w:tcBorders>
            <w:shd w:val="clear" w:color="auto" w:fill="FFFFFF"/>
            <w:vAlign w:val="center"/>
          </w:tcPr>
          <w:p w14:paraId="3A2CE5A7" w14:textId="77777777" w:rsidR="00846412" w:rsidRPr="006B027F" w:rsidRDefault="00846412" w:rsidP="00912D74">
            <w:pPr>
              <w:widowControl w:val="0"/>
              <w:autoSpaceDE w:val="0"/>
              <w:autoSpaceDN w:val="0"/>
              <w:adjustRightInd w:val="0"/>
              <w:spacing w:line="320" w:lineRule="atLeast"/>
              <w:ind w:left="60" w:right="60"/>
              <w:jc w:val="right"/>
              <w:rPr>
                <w:rFonts w:cs="Arial"/>
                <w:color w:val="000000"/>
                <w:sz w:val="18"/>
                <w:szCs w:val="18"/>
              </w:rPr>
            </w:pPr>
            <w:r w:rsidRPr="006B027F">
              <w:rPr>
                <w:rFonts w:cs="Arial"/>
                <w:color w:val="000000"/>
                <w:sz w:val="18"/>
                <w:szCs w:val="18"/>
              </w:rPr>
              <w:t>-1.69565</w:t>
            </w:r>
          </w:p>
        </w:tc>
        <w:tc>
          <w:tcPr>
            <w:tcW w:w="992" w:type="dxa"/>
            <w:tcBorders>
              <w:top w:val="single" w:sz="16" w:space="0" w:color="000000"/>
              <w:bottom w:val="single" w:sz="16" w:space="0" w:color="000000"/>
            </w:tcBorders>
            <w:shd w:val="clear" w:color="auto" w:fill="FFFFFF"/>
            <w:vAlign w:val="center"/>
          </w:tcPr>
          <w:p w14:paraId="67730464" w14:textId="77777777" w:rsidR="00846412" w:rsidRPr="006B027F" w:rsidRDefault="00846412" w:rsidP="00912D74">
            <w:pPr>
              <w:widowControl w:val="0"/>
              <w:autoSpaceDE w:val="0"/>
              <w:autoSpaceDN w:val="0"/>
              <w:adjustRightInd w:val="0"/>
              <w:spacing w:line="320" w:lineRule="atLeast"/>
              <w:ind w:left="60" w:right="60"/>
              <w:jc w:val="right"/>
              <w:rPr>
                <w:rFonts w:cs="Arial"/>
                <w:color w:val="000000"/>
                <w:sz w:val="18"/>
                <w:szCs w:val="18"/>
              </w:rPr>
            </w:pPr>
            <w:r w:rsidRPr="006B027F">
              <w:rPr>
                <w:rFonts w:cs="Arial"/>
                <w:color w:val="000000"/>
                <w:sz w:val="18"/>
                <w:szCs w:val="18"/>
              </w:rPr>
              <w:t>1.22232</w:t>
            </w:r>
          </w:p>
        </w:tc>
        <w:tc>
          <w:tcPr>
            <w:tcW w:w="1033" w:type="dxa"/>
            <w:tcBorders>
              <w:top w:val="single" w:sz="16" w:space="0" w:color="000000"/>
              <w:bottom w:val="single" w:sz="16" w:space="0" w:color="000000"/>
            </w:tcBorders>
            <w:shd w:val="clear" w:color="auto" w:fill="FFFFFF"/>
            <w:vAlign w:val="center"/>
          </w:tcPr>
          <w:p w14:paraId="427C7088" w14:textId="77777777" w:rsidR="00846412" w:rsidRPr="006B027F" w:rsidRDefault="00846412" w:rsidP="00912D74">
            <w:pPr>
              <w:widowControl w:val="0"/>
              <w:autoSpaceDE w:val="0"/>
              <w:autoSpaceDN w:val="0"/>
              <w:adjustRightInd w:val="0"/>
              <w:spacing w:line="320" w:lineRule="atLeast"/>
              <w:ind w:left="60" w:right="60"/>
              <w:jc w:val="right"/>
              <w:rPr>
                <w:rFonts w:cs="Arial"/>
                <w:color w:val="000000"/>
                <w:sz w:val="18"/>
                <w:szCs w:val="18"/>
              </w:rPr>
            </w:pPr>
            <w:r w:rsidRPr="006B027F">
              <w:rPr>
                <w:rFonts w:cs="Arial"/>
                <w:color w:val="000000"/>
                <w:sz w:val="18"/>
                <w:szCs w:val="18"/>
              </w:rPr>
              <w:t>.25487</w:t>
            </w:r>
          </w:p>
        </w:tc>
        <w:tc>
          <w:tcPr>
            <w:tcW w:w="1134" w:type="dxa"/>
            <w:tcBorders>
              <w:top w:val="single" w:sz="16" w:space="0" w:color="000000"/>
              <w:bottom w:val="single" w:sz="16" w:space="0" w:color="000000"/>
            </w:tcBorders>
            <w:shd w:val="clear" w:color="auto" w:fill="FFFFFF"/>
            <w:vAlign w:val="center"/>
          </w:tcPr>
          <w:p w14:paraId="3AF5E314" w14:textId="77777777" w:rsidR="00846412" w:rsidRPr="006B027F" w:rsidRDefault="00846412" w:rsidP="00912D74">
            <w:pPr>
              <w:widowControl w:val="0"/>
              <w:autoSpaceDE w:val="0"/>
              <w:autoSpaceDN w:val="0"/>
              <w:adjustRightInd w:val="0"/>
              <w:spacing w:line="320" w:lineRule="atLeast"/>
              <w:ind w:left="60" w:right="60"/>
              <w:jc w:val="right"/>
              <w:rPr>
                <w:rFonts w:cs="Arial"/>
                <w:color w:val="000000"/>
                <w:sz w:val="18"/>
                <w:szCs w:val="18"/>
              </w:rPr>
            </w:pPr>
            <w:r w:rsidRPr="006B027F">
              <w:rPr>
                <w:rFonts w:cs="Arial"/>
                <w:color w:val="000000"/>
                <w:sz w:val="18"/>
                <w:szCs w:val="18"/>
              </w:rPr>
              <w:t>-2.22422</w:t>
            </w:r>
          </w:p>
        </w:tc>
        <w:tc>
          <w:tcPr>
            <w:tcW w:w="1134" w:type="dxa"/>
            <w:tcBorders>
              <w:top w:val="single" w:sz="16" w:space="0" w:color="000000"/>
              <w:bottom w:val="single" w:sz="16" w:space="0" w:color="000000"/>
            </w:tcBorders>
            <w:shd w:val="clear" w:color="auto" w:fill="FFFFFF"/>
            <w:vAlign w:val="center"/>
          </w:tcPr>
          <w:p w14:paraId="06154FA9" w14:textId="77777777" w:rsidR="00846412" w:rsidRPr="006B027F" w:rsidRDefault="00846412" w:rsidP="00912D74">
            <w:pPr>
              <w:widowControl w:val="0"/>
              <w:autoSpaceDE w:val="0"/>
              <w:autoSpaceDN w:val="0"/>
              <w:adjustRightInd w:val="0"/>
              <w:spacing w:line="320" w:lineRule="atLeast"/>
              <w:ind w:left="60" w:right="60"/>
              <w:jc w:val="right"/>
              <w:rPr>
                <w:rFonts w:cs="Arial"/>
                <w:color w:val="000000"/>
                <w:sz w:val="18"/>
                <w:szCs w:val="18"/>
              </w:rPr>
            </w:pPr>
            <w:r w:rsidRPr="006B027F">
              <w:rPr>
                <w:rFonts w:cs="Arial"/>
                <w:color w:val="000000"/>
                <w:sz w:val="18"/>
                <w:szCs w:val="18"/>
              </w:rPr>
              <w:t>-1.16708</w:t>
            </w:r>
          </w:p>
        </w:tc>
        <w:tc>
          <w:tcPr>
            <w:tcW w:w="992" w:type="dxa"/>
            <w:tcBorders>
              <w:top w:val="single" w:sz="16" w:space="0" w:color="000000"/>
              <w:bottom w:val="single" w:sz="16" w:space="0" w:color="000000"/>
            </w:tcBorders>
            <w:shd w:val="clear" w:color="auto" w:fill="FFFFFF"/>
            <w:vAlign w:val="center"/>
          </w:tcPr>
          <w:p w14:paraId="7A9DAE41" w14:textId="77777777" w:rsidR="00846412" w:rsidRPr="006B027F" w:rsidRDefault="00846412" w:rsidP="00912D74">
            <w:pPr>
              <w:widowControl w:val="0"/>
              <w:autoSpaceDE w:val="0"/>
              <w:autoSpaceDN w:val="0"/>
              <w:adjustRightInd w:val="0"/>
              <w:spacing w:line="320" w:lineRule="atLeast"/>
              <w:ind w:left="60" w:right="60"/>
              <w:jc w:val="right"/>
              <w:rPr>
                <w:rFonts w:cs="Arial"/>
                <w:color w:val="000000"/>
                <w:sz w:val="18"/>
                <w:szCs w:val="18"/>
              </w:rPr>
            </w:pPr>
            <w:r w:rsidRPr="006B027F">
              <w:rPr>
                <w:rFonts w:cs="Arial"/>
                <w:color w:val="000000"/>
                <w:sz w:val="18"/>
                <w:szCs w:val="18"/>
              </w:rPr>
              <w:t>-6.653</w:t>
            </w:r>
          </w:p>
        </w:tc>
        <w:tc>
          <w:tcPr>
            <w:tcW w:w="851" w:type="dxa"/>
            <w:tcBorders>
              <w:top w:val="single" w:sz="16" w:space="0" w:color="000000"/>
              <w:bottom w:val="single" w:sz="16" w:space="0" w:color="000000"/>
            </w:tcBorders>
            <w:shd w:val="clear" w:color="auto" w:fill="FFFFFF"/>
            <w:vAlign w:val="center"/>
          </w:tcPr>
          <w:p w14:paraId="0E32E5BC" w14:textId="77777777" w:rsidR="00846412" w:rsidRPr="006B027F" w:rsidRDefault="00846412" w:rsidP="00912D74">
            <w:pPr>
              <w:widowControl w:val="0"/>
              <w:autoSpaceDE w:val="0"/>
              <w:autoSpaceDN w:val="0"/>
              <w:adjustRightInd w:val="0"/>
              <w:spacing w:line="320" w:lineRule="atLeast"/>
              <w:ind w:left="60" w:right="60"/>
              <w:jc w:val="right"/>
              <w:rPr>
                <w:rFonts w:cs="Arial"/>
                <w:color w:val="000000"/>
                <w:sz w:val="18"/>
                <w:szCs w:val="18"/>
              </w:rPr>
            </w:pPr>
            <w:r w:rsidRPr="006B027F">
              <w:rPr>
                <w:rFonts w:cs="Arial"/>
                <w:color w:val="000000"/>
                <w:sz w:val="18"/>
                <w:szCs w:val="18"/>
              </w:rPr>
              <w:t>22</w:t>
            </w:r>
          </w:p>
        </w:tc>
        <w:tc>
          <w:tcPr>
            <w:tcW w:w="1235" w:type="dxa"/>
            <w:tcBorders>
              <w:top w:val="single" w:sz="16" w:space="0" w:color="000000"/>
              <w:bottom w:val="single" w:sz="16" w:space="0" w:color="000000"/>
              <w:right w:val="single" w:sz="16" w:space="0" w:color="000000"/>
            </w:tcBorders>
            <w:shd w:val="clear" w:color="auto" w:fill="FFFFFF"/>
            <w:vAlign w:val="center"/>
          </w:tcPr>
          <w:p w14:paraId="51A402FC" w14:textId="77777777" w:rsidR="00846412" w:rsidRPr="006B027F" w:rsidRDefault="00846412" w:rsidP="00912D74">
            <w:pPr>
              <w:widowControl w:val="0"/>
              <w:autoSpaceDE w:val="0"/>
              <w:autoSpaceDN w:val="0"/>
              <w:adjustRightInd w:val="0"/>
              <w:spacing w:line="320" w:lineRule="atLeast"/>
              <w:ind w:left="60" w:right="60"/>
              <w:jc w:val="right"/>
              <w:rPr>
                <w:rFonts w:cs="Arial"/>
                <w:color w:val="000000"/>
                <w:sz w:val="18"/>
                <w:szCs w:val="18"/>
              </w:rPr>
            </w:pPr>
            <w:r w:rsidRPr="006B027F">
              <w:rPr>
                <w:rFonts w:cs="Arial"/>
                <w:color w:val="000000"/>
                <w:sz w:val="18"/>
                <w:szCs w:val="18"/>
              </w:rPr>
              <w:t>.000</w:t>
            </w:r>
          </w:p>
        </w:tc>
      </w:tr>
    </w:tbl>
    <w:p w14:paraId="71556CE9" w14:textId="77777777" w:rsidR="00846412" w:rsidRDefault="00846412" w:rsidP="003E116C"/>
    <w:p w14:paraId="4DFC48F0" w14:textId="77777777" w:rsidR="00C00713" w:rsidRDefault="00C00713" w:rsidP="003E116C"/>
    <w:p w14:paraId="7C4C3AE9" w14:textId="77777777" w:rsidR="00C00713" w:rsidRDefault="00C00713" w:rsidP="003E116C"/>
    <w:p w14:paraId="137CE5C6" w14:textId="77777777" w:rsidR="00C00713" w:rsidRDefault="00C00713" w:rsidP="003E116C"/>
    <w:p w14:paraId="6286EF0F" w14:textId="77777777" w:rsidR="00C00713" w:rsidRDefault="00C00713" w:rsidP="003E116C"/>
    <w:p w14:paraId="2EA35115" w14:textId="77777777" w:rsidR="00A9684B" w:rsidRDefault="00A9684B" w:rsidP="003E116C"/>
    <w:p w14:paraId="01C9FB20" w14:textId="1ABD759B" w:rsidR="00C405C1" w:rsidRDefault="00C405C1" w:rsidP="006B027F">
      <w:pPr>
        <w:pStyle w:val="Heading2"/>
      </w:pPr>
      <w:bookmarkStart w:id="491" w:name="_Toc419116237"/>
      <w:r>
        <w:lastRenderedPageBreak/>
        <w:t>One way ANOVA SPSS supporting outputs from data for pilot study</w:t>
      </w:r>
      <w:bookmarkEnd w:id="491"/>
    </w:p>
    <w:p w14:paraId="461EE7E1" w14:textId="77777777" w:rsidR="00C405C1" w:rsidRDefault="00C405C1" w:rsidP="00C405C1"/>
    <w:tbl>
      <w:tblPr>
        <w:tblW w:w="9371" w:type="dxa"/>
        <w:tblInd w:w="-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54"/>
        <w:gridCol w:w="425"/>
        <w:gridCol w:w="1076"/>
        <w:gridCol w:w="424"/>
        <w:gridCol w:w="978"/>
        <w:gridCol w:w="1122"/>
        <w:gridCol w:w="516"/>
        <w:gridCol w:w="188"/>
        <w:gridCol w:w="1263"/>
        <w:gridCol w:w="56"/>
        <w:gridCol w:w="924"/>
        <w:gridCol w:w="845"/>
      </w:tblGrid>
      <w:tr w:rsidR="00DE6E71" w:rsidRPr="00484AE6" w14:paraId="1AC9DDCE" w14:textId="77777777" w:rsidTr="006B027F">
        <w:trPr>
          <w:cantSplit/>
          <w:trHeight w:val="142"/>
        </w:trPr>
        <w:tc>
          <w:tcPr>
            <w:tcW w:w="9370" w:type="dxa"/>
            <w:gridSpan w:val="12"/>
            <w:tcBorders>
              <w:top w:val="nil"/>
              <w:left w:val="nil"/>
              <w:bottom w:val="nil"/>
              <w:right w:val="nil"/>
            </w:tcBorders>
            <w:shd w:val="clear" w:color="auto" w:fill="FFFFFF"/>
            <w:vAlign w:val="center"/>
          </w:tcPr>
          <w:p w14:paraId="2AB271F0" w14:textId="77777777" w:rsidR="00C405C1" w:rsidRPr="00484AE6" w:rsidRDefault="00C405C1" w:rsidP="00327506">
            <w:pPr>
              <w:widowControl w:val="0"/>
              <w:autoSpaceDE w:val="0"/>
              <w:autoSpaceDN w:val="0"/>
              <w:adjustRightInd w:val="0"/>
              <w:spacing w:line="320" w:lineRule="atLeast"/>
              <w:ind w:left="60" w:right="60"/>
              <w:jc w:val="center"/>
              <w:rPr>
                <w:rFonts w:cs="Arial"/>
                <w:color w:val="000000"/>
              </w:rPr>
            </w:pPr>
            <w:r w:rsidRPr="00484AE6">
              <w:rPr>
                <w:rFonts w:cs="Arial"/>
                <w:b/>
                <w:bCs/>
                <w:color w:val="000000"/>
              </w:rPr>
              <w:t xml:space="preserve">Mauchly's Test of </w:t>
            </w:r>
            <w:proofErr w:type="spellStart"/>
            <w:r w:rsidRPr="00484AE6">
              <w:rPr>
                <w:rFonts w:cs="Arial"/>
                <w:b/>
                <w:bCs/>
                <w:color w:val="000000"/>
              </w:rPr>
              <w:t>Sphericity</w:t>
            </w:r>
            <w:r w:rsidRPr="00484AE6">
              <w:rPr>
                <w:rFonts w:cs="Arial"/>
                <w:b/>
                <w:bCs/>
                <w:color w:val="000000"/>
                <w:vertAlign w:val="superscript"/>
              </w:rPr>
              <w:t>a</w:t>
            </w:r>
            <w:proofErr w:type="spellEnd"/>
          </w:p>
        </w:tc>
      </w:tr>
      <w:tr w:rsidR="00DE6E71" w:rsidRPr="00484AE6" w14:paraId="66A4CDB2" w14:textId="77777777" w:rsidTr="006B027F">
        <w:trPr>
          <w:cantSplit/>
          <w:trHeight w:val="142"/>
        </w:trPr>
        <w:tc>
          <w:tcPr>
            <w:tcW w:w="9370" w:type="dxa"/>
            <w:gridSpan w:val="12"/>
            <w:tcBorders>
              <w:top w:val="nil"/>
              <w:left w:val="nil"/>
              <w:bottom w:val="nil"/>
              <w:right w:val="nil"/>
            </w:tcBorders>
            <w:shd w:val="clear" w:color="auto" w:fill="FFFFFF"/>
            <w:vAlign w:val="bottom"/>
          </w:tcPr>
          <w:p w14:paraId="4D4EE49A" w14:textId="543DE4C3" w:rsidR="00C405C1" w:rsidRPr="00484AE6" w:rsidRDefault="00C405C1" w:rsidP="00327506">
            <w:pPr>
              <w:widowControl w:val="0"/>
              <w:autoSpaceDE w:val="0"/>
              <w:autoSpaceDN w:val="0"/>
              <w:adjustRightInd w:val="0"/>
              <w:spacing w:line="320" w:lineRule="atLeast"/>
              <w:rPr>
                <w:rFonts w:ascii="Times New Roman" w:hAnsi="Times New Roman"/>
              </w:rPr>
            </w:pPr>
          </w:p>
        </w:tc>
      </w:tr>
      <w:tr w:rsidR="00232E8A" w:rsidRPr="00484AE6" w14:paraId="517D80AB" w14:textId="77777777" w:rsidTr="00232E8A">
        <w:trPr>
          <w:cantSplit/>
          <w:trHeight w:val="142"/>
        </w:trPr>
        <w:tc>
          <w:tcPr>
            <w:tcW w:w="1979" w:type="dxa"/>
            <w:gridSpan w:val="2"/>
            <w:vMerge w:val="restart"/>
            <w:tcBorders>
              <w:top w:val="single" w:sz="16" w:space="0" w:color="000000"/>
              <w:left w:val="single" w:sz="16" w:space="0" w:color="000000"/>
              <w:bottom w:val="nil"/>
              <w:right w:val="single" w:sz="16" w:space="0" w:color="000000"/>
            </w:tcBorders>
            <w:shd w:val="clear" w:color="auto" w:fill="FFFFFF"/>
            <w:vAlign w:val="bottom"/>
          </w:tcPr>
          <w:p w14:paraId="5B741921" w14:textId="77777777" w:rsidR="00C405C1" w:rsidRPr="006B027F" w:rsidRDefault="00C405C1" w:rsidP="00DE6E71">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Within Subjects Effect</w:t>
            </w:r>
          </w:p>
        </w:tc>
        <w:tc>
          <w:tcPr>
            <w:tcW w:w="1076" w:type="dxa"/>
            <w:vMerge w:val="restart"/>
            <w:tcBorders>
              <w:top w:val="single" w:sz="16" w:space="0" w:color="000000"/>
              <w:left w:val="single" w:sz="16" w:space="0" w:color="000000"/>
            </w:tcBorders>
            <w:shd w:val="clear" w:color="auto" w:fill="FFFFFF"/>
            <w:vAlign w:val="bottom"/>
          </w:tcPr>
          <w:p w14:paraId="0FF4DD4F"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Mauchly's W</w:t>
            </w:r>
          </w:p>
        </w:tc>
        <w:tc>
          <w:tcPr>
            <w:tcW w:w="1401" w:type="dxa"/>
            <w:gridSpan w:val="2"/>
            <w:vMerge w:val="restart"/>
            <w:tcBorders>
              <w:top w:val="single" w:sz="16" w:space="0" w:color="000000"/>
            </w:tcBorders>
            <w:shd w:val="clear" w:color="auto" w:fill="FFFFFF"/>
            <w:vAlign w:val="bottom"/>
          </w:tcPr>
          <w:p w14:paraId="3FDADCC4"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Approx. Chi-Square</w:t>
            </w:r>
          </w:p>
        </w:tc>
        <w:tc>
          <w:tcPr>
            <w:tcW w:w="1122" w:type="dxa"/>
            <w:vMerge w:val="restart"/>
            <w:tcBorders>
              <w:top w:val="single" w:sz="16" w:space="0" w:color="000000"/>
            </w:tcBorders>
            <w:shd w:val="clear" w:color="auto" w:fill="FFFFFF"/>
            <w:vAlign w:val="bottom"/>
          </w:tcPr>
          <w:p w14:paraId="4A542677"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proofErr w:type="spellStart"/>
            <w:r w:rsidRPr="006B027F">
              <w:rPr>
                <w:rFonts w:cs="Arial"/>
                <w:color w:val="000000"/>
                <w:sz w:val="20"/>
                <w:szCs w:val="20"/>
              </w:rPr>
              <w:t>df</w:t>
            </w:r>
            <w:proofErr w:type="spellEnd"/>
          </w:p>
        </w:tc>
        <w:tc>
          <w:tcPr>
            <w:tcW w:w="704" w:type="dxa"/>
            <w:gridSpan w:val="2"/>
            <w:vMerge w:val="restart"/>
            <w:tcBorders>
              <w:top w:val="single" w:sz="16" w:space="0" w:color="000000"/>
            </w:tcBorders>
            <w:shd w:val="clear" w:color="auto" w:fill="FFFFFF"/>
            <w:vAlign w:val="bottom"/>
          </w:tcPr>
          <w:p w14:paraId="19548637"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Sig.</w:t>
            </w:r>
          </w:p>
        </w:tc>
        <w:tc>
          <w:tcPr>
            <w:tcW w:w="3088" w:type="dxa"/>
            <w:gridSpan w:val="4"/>
            <w:tcBorders>
              <w:top w:val="single" w:sz="16" w:space="0" w:color="000000"/>
              <w:right w:val="single" w:sz="16" w:space="0" w:color="000000"/>
            </w:tcBorders>
            <w:shd w:val="clear" w:color="auto" w:fill="FFFFFF"/>
            <w:vAlign w:val="bottom"/>
          </w:tcPr>
          <w:p w14:paraId="5AAD9D6F"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proofErr w:type="spellStart"/>
            <w:r w:rsidRPr="006B027F">
              <w:rPr>
                <w:rFonts w:cs="Arial"/>
                <w:color w:val="000000"/>
                <w:sz w:val="20"/>
                <w:szCs w:val="20"/>
              </w:rPr>
              <w:t>Epsilon</w:t>
            </w:r>
            <w:r w:rsidRPr="006B027F">
              <w:rPr>
                <w:rFonts w:cs="Arial"/>
                <w:color w:val="000000"/>
                <w:sz w:val="20"/>
                <w:szCs w:val="20"/>
                <w:vertAlign w:val="superscript"/>
              </w:rPr>
              <w:t>b</w:t>
            </w:r>
            <w:proofErr w:type="spellEnd"/>
          </w:p>
        </w:tc>
      </w:tr>
      <w:tr w:rsidR="00232E8A" w:rsidRPr="00484AE6" w14:paraId="10E714FA" w14:textId="77777777" w:rsidTr="00232E8A">
        <w:trPr>
          <w:cantSplit/>
          <w:trHeight w:val="142"/>
        </w:trPr>
        <w:tc>
          <w:tcPr>
            <w:tcW w:w="1979" w:type="dxa"/>
            <w:gridSpan w:val="2"/>
            <w:vMerge/>
            <w:tcBorders>
              <w:top w:val="single" w:sz="16" w:space="0" w:color="000000"/>
              <w:left w:val="single" w:sz="16" w:space="0" w:color="000000"/>
              <w:bottom w:val="nil"/>
              <w:right w:val="single" w:sz="16" w:space="0" w:color="000000"/>
            </w:tcBorders>
            <w:shd w:val="clear" w:color="auto" w:fill="FFFFFF"/>
            <w:vAlign w:val="bottom"/>
          </w:tcPr>
          <w:p w14:paraId="56BDF5B0"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076" w:type="dxa"/>
            <w:vMerge/>
            <w:tcBorders>
              <w:top w:val="single" w:sz="16" w:space="0" w:color="000000"/>
              <w:left w:val="single" w:sz="16" w:space="0" w:color="000000"/>
            </w:tcBorders>
            <w:shd w:val="clear" w:color="auto" w:fill="FFFFFF"/>
            <w:vAlign w:val="bottom"/>
          </w:tcPr>
          <w:p w14:paraId="50874B69"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401" w:type="dxa"/>
            <w:gridSpan w:val="2"/>
            <w:vMerge/>
            <w:tcBorders>
              <w:top w:val="single" w:sz="16" w:space="0" w:color="000000"/>
            </w:tcBorders>
            <w:shd w:val="clear" w:color="auto" w:fill="FFFFFF"/>
            <w:vAlign w:val="bottom"/>
          </w:tcPr>
          <w:p w14:paraId="7164D940"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122" w:type="dxa"/>
            <w:vMerge/>
            <w:tcBorders>
              <w:top w:val="single" w:sz="16" w:space="0" w:color="000000"/>
            </w:tcBorders>
            <w:shd w:val="clear" w:color="auto" w:fill="FFFFFF"/>
            <w:vAlign w:val="bottom"/>
          </w:tcPr>
          <w:p w14:paraId="44EF71D9"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704" w:type="dxa"/>
            <w:gridSpan w:val="2"/>
            <w:vMerge/>
            <w:tcBorders>
              <w:top w:val="single" w:sz="16" w:space="0" w:color="000000"/>
            </w:tcBorders>
            <w:shd w:val="clear" w:color="auto" w:fill="FFFFFF"/>
            <w:vAlign w:val="bottom"/>
          </w:tcPr>
          <w:p w14:paraId="30EF6694"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263" w:type="dxa"/>
            <w:tcBorders>
              <w:bottom w:val="single" w:sz="16" w:space="0" w:color="000000"/>
            </w:tcBorders>
            <w:shd w:val="clear" w:color="auto" w:fill="FFFFFF"/>
            <w:vAlign w:val="bottom"/>
          </w:tcPr>
          <w:p w14:paraId="6B3EFFF3"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Greenhouse-</w:t>
            </w:r>
            <w:proofErr w:type="spellStart"/>
            <w:r w:rsidRPr="006B027F">
              <w:rPr>
                <w:rFonts w:cs="Arial"/>
                <w:color w:val="000000"/>
                <w:sz w:val="20"/>
                <w:szCs w:val="20"/>
              </w:rPr>
              <w:t>Geisser</w:t>
            </w:r>
            <w:proofErr w:type="spellEnd"/>
          </w:p>
        </w:tc>
        <w:tc>
          <w:tcPr>
            <w:tcW w:w="980" w:type="dxa"/>
            <w:gridSpan w:val="2"/>
            <w:tcBorders>
              <w:bottom w:val="single" w:sz="16" w:space="0" w:color="000000"/>
            </w:tcBorders>
            <w:shd w:val="clear" w:color="auto" w:fill="FFFFFF"/>
            <w:vAlign w:val="bottom"/>
          </w:tcPr>
          <w:p w14:paraId="6AEDF25A"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Huynh-Feldt</w:t>
            </w:r>
          </w:p>
        </w:tc>
        <w:tc>
          <w:tcPr>
            <w:tcW w:w="845" w:type="dxa"/>
            <w:tcBorders>
              <w:bottom w:val="single" w:sz="16" w:space="0" w:color="000000"/>
              <w:right w:val="single" w:sz="16" w:space="0" w:color="000000"/>
            </w:tcBorders>
            <w:shd w:val="clear" w:color="auto" w:fill="FFFFFF"/>
            <w:vAlign w:val="bottom"/>
          </w:tcPr>
          <w:p w14:paraId="4577683F"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Lower-bound</w:t>
            </w:r>
          </w:p>
        </w:tc>
      </w:tr>
      <w:tr w:rsidR="00232E8A" w:rsidRPr="00484AE6" w14:paraId="19569F94" w14:textId="77777777" w:rsidTr="00232E8A">
        <w:trPr>
          <w:cantSplit/>
          <w:trHeight w:val="142"/>
        </w:trPr>
        <w:tc>
          <w:tcPr>
            <w:tcW w:w="1979" w:type="dxa"/>
            <w:gridSpan w:val="2"/>
            <w:tcBorders>
              <w:top w:val="single" w:sz="16" w:space="0" w:color="000000"/>
              <w:left w:val="single" w:sz="16" w:space="0" w:color="000000"/>
              <w:bottom w:val="single" w:sz="16" w:space="0" w:color="000000"/>
              <w:right w:val="single" w:sz="16" w:space="0" w:color="000000"/>
            </w:tcBorders>
            <w:shd w:val="clear" w:color="auto" w:fill="FFFFFF"/>
          </w:tcPr>
          <w:p w14:paraId="0C1C775E" w14:textId="77777777" w:rsidR="00C405C1" w:rsidRPr="006B027F" w:rsidRDefault="00C405C1" w:rsidP="00DE6E71">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factor1</w:t>
            </w:r>
          </w:p>
        </w:tc>
        <w:tc>
          <w:tcPr>
            <w:tcW w:w="1076" w:type="dxa"/>
            <w:tcBorders>
              <w:top w:val="single" w:sz="16" w:space="0" w:color="000000"/>
              <w:left w:val="single" w:sz="16" w:space="0" w:color="000000"/>
              <w:bottom w:val="single" w:sz="16" w:space="0" w:color="000000"/>
            </w:tcBorders>
            <w:shd w:val="clear" w:color="auto" w:fill="FFFFFF"/>
            <w:vAlign w:val="center"/>
          </w:tcPr>
          <w:p w14:paraId="3B1BFBA2"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.798</w:t>
            </w:r>
          </w:p>
        </w:tc>
        <w:tc>
          <w:tcPr>
            <w:tcW w:w="1401" w:type="dxa"/>
            <w:gridSpan w:val="2"/>
            <w:tcBorders>
              <w:top w:val="single" w:sz="16" w:space="0" w:color="000000"/>
              <w:bottom w:val="single" w:sz="16" w:space="0" w:color="000000"/>
            </w:tcBorders>
            <w:shd w:val="clear" w:color="auto" w:fill="FFFFFF"/>
            <w:vAlign w:val="center"/>
          </w:tcPr>
          <w:p w14:paraId="3B914F51"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3.151</w:t>
            </w:r>
          </w:p>
        </w:tc>
        <w:tc>
          <w:tcPr>
            <w:tcW w:w="1122" w:type="dxa"/>
            <w:tcBorders>
              <w:top w:val="single" w:sz="16" w:space="0" w:color="000000"/>
              <w:bottom w:val="single" w:sz="16" w:space="0" w:color="000000"/>
            </w:tcBorders>
            <w:shd w:val="clear" w:color="auto" w:fill="FFFFFF"/>
            <w:vAlign w:val="center"/>
          </w:tcPr>
          <w:p w14:paraId="509CAB9E"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w:t>
            </w:r>
          </w:p>
        </w:tc>
        <w:tc>
          <w:tcPr>
            <w:tcW w:w="704" w:type="dxa"/>
            <w:gridSpan w:val="2"/>
            <w:tcBorders>
              <w:top w:val="single" w:sz="16" w:space="0" w:color="000000"/>
              <w:bottom w:val="single" w:sz="16" w:space="0" w:color="000000"/>
            </w:tcBorders>
            <w:shd w:val="clear" w:color="auto" w:fill="FFFFFF"/>
            <w:vAlign w:val="center"/>
          </w:tcPr>
          <w:p w14:paraId="2570BA65"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.207</w:t>
            </w:r>
          </w:p>
        </w:tc>
        <w:tc>
          <w:tcPr>
            <w:tcW w:w="1263" w:type="dxa"/>
            <w:tcBorders>
              <w:top w:val="single" w:sz="16" w:space="0" w:color="000000"/>
              <w:bottom w:val="single" w:sz="16" w:space="0" w:color="000000"/>
            </w:tcBorders>
            <w:shd w:val="clear" w:color="auto" w:fill="FFFFFF"/>
            <w:vAlign w:val="center"/>
          </w:tcPr>
          <w:p w14:paraId="70AB810A"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.832</w:t>
            </w:r>
          </w:p>
        </w:tc>
        <w:tc>
          <w:tcPr>
            <w:tcW w:w="980" w:type="dxa"/>
            <w:gridSpan w:val="2"/>
            <w:tcBorders>
              <w:top w:val="single" w:sz="16" w:space="0" w:color="000000"/>
              <w:bottom w:val="single" w:sz="16" w:space="0" w:color="000000"/>
            </w:tcBorders>
            <w:shd w:val="clear" w:color="auto" w:fill="FFFFFF"/>
            <w:vAlign w:val="center"/>
          </w:tcPr>
          <w:p w14:paraId="7E82605A"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.924</w:t>
            </w:r>
          </w:p>
        </w:tc>
        <w:tc>
          <w:tcPr>
            <w:tcW w:w="845" w:type="dxa"/>
            <w:tcBorders>
              <w:top w:val="single" w:sz="16" w:space="0" w:color="000000"/>
              <w:bottom w:val="single" w:sz="16" w:space="0" w:color="000000"/>
              <w:right w:val="single" w:sz="16" w:space="0" w:color="000000"/>
            </w:tcBorders>
            <w:shd w:val="clear" w:color="auto" w:fill="FFFFFF"/>
            <w:vAlign w:val="center"/>
          </w:tcPr>
          <w:p w14:paraId="6AB7697C"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.500</w:t>
            </w:r>
          </w:p>
        </w:tc>
      </w:tr>
      <w:tr w:rsidR="00DE6E71" w:rsidRPr="00484AE6" w14:paraId="1E42C80D" w14:textId="77777777" w:rsidTr="006B027F">
        <w:trPr>
          <w:cantSplit/>
          <w:trHeight w:val="142"/>
        </w:trPr>
        <w:tc>
          <w:tcPr>
            <w:tcW w:w="9370" w:type="dxa"/>
            <w:gridSpan w:val="12"/>
            <w:tcBorders>
              <w:top w:val="nil"/>
              <w:left w:val="nil"/>
              <w:bottom w:val="nil"/>
              <w:right w:val="nil"/>
            </w:tcBorders>
            <w:shd w:val="clear" w:color="auto" w:fill="FFFFFF"/>
          </w:tcPr>
          <w:p w14:paraId="2B34A8F7" w14:textId="77777777" w:rsidR="00C405C1" w:rsidRPr="00484AE6" w:rsidRDefault="00C405C1" w:rsidP="00327506">
            <w:pPr>
              <w:widowControl w:val="0"/>
              <w:autoSpaceDE w:val="0"/>
              <w:autoSpaceDN w:val="0"/>
              <w:adjustRightInd w:val="0"/>
              <w:spacing w:line="320" w:lineRule="atLeast"/>
              <w:ind w:left="60" w:right="60"/>
              <w:rPr>
                <w:rFonts w:cs="Arial"/>
                <w:color w:val="000000"/>
              </w:rPr>
            </w:pPr>
            <w:r w:rsidRPr="00484AE6">
              <w:rPr>
                <w:rFonts w:cs="Arial"/>
                <w:color w:val="000000"/>
              </w:rPr>
              <w:t>Tests the null hypothesis that the error covariance matrix of the orthonormalized transformed dependent variables is proportional to an identity matrix.</w:t>
            </w:r>
          </w:p>
        </w:tc>
      </w:tr>
      <w:tr w:rsidR="00DE6E71" w:rsidRPr="00484AE6" w14:paraId="2CB85791" w14:textId="77777777" w:rsidTr="006B027F">
        <w:trPr>
          <w:cantSplit/>
          <w:trHeight w:val="142"/>
        </w:trPr>
        <w:tc>
          <w:tcPr>
            <w:tcW w:w="9370" w:type="dxa"/>
            <w:gridSpan w:val="12"/>
            <w:tcBorders>
              <w:top w:val="nil"/>
              <w:left w:val="nil"/>
              <w:bottom w:val="nil"/>
              <w:right w:val="nil"/>
            </w:tcBorders>
            <w:shd w:val="clear" w:color="auto" w:fill="FFFFFF"/>
          </w:tcPr>
          <w:p w14:paraId="030156AB" w14:textId="77777777" w:rsidR="00C405C1" w:rsidRPr="00484AE6" w:rsidRDefault="00C405C1" w:rsidP="00327506">
            <w:pPr>
              <w:widowControl w:val="0"/>
              <w:autoSpaceDE w:val="0"/>
              <w:autoSpaceDN w:val="0"/>
              <w:adjustRightInd w:val="0"/>
              <w:spacing w:line="320" w:lineRule="atLeast"/>
              <w:ind w:left="60" w:right="60"/>
              <w:rPr>
                <w:rFonts w:cs="Arial"/>
                <w:color w:val="000000"/>
              </w:rPr>
            </w:pPr>
            <w:r w:rsidRPr="00484AE6">
              <w:rPr>
                <w:rFonts w:cs="Arial"/>
                <w:color w:val="000000"/>
              </w:rPr>
              <w:t xml:space="preserve">a. Design: Intercept </w:t>
            </w:r>
          </w:p>
          <w:p w14:paraId="65669D95" w14:textId="77777777" w:rsidR="00C405C1" w:rsidRPr="00484AE6" w:rsidRDefault="00C405C1" w:rsidP="00327506">
            <w:pPr>
              <w:widowControl w:val="0"/>
              <w:autoSpaceDE w:val="0"/>
              <w:autoSpaceDN w:val="0"/>
              <w:adjustRightInd w:val="0"/>
              <w:spacing w:line="320" w:lineRule="atLeast"/>
              <w:ind w:left="60" w:right="60"/>
              <w:rPr>
                <w:rFonts w:cs="Arial"/>
                <w:color w:val="000000"/>
              </w:rPr>
            </w:pPr>
            <w:r w:rsidRPr="00484AE6">
              <w:rPr>
                <w:rFonts w:cs="Arial"/>
                <w:color w:val="000000"/>
              </w:rPr>
              <w:t xml:space="preserve"> Within Subjects Design: factor1</w:t>
            </w:r>
          </w:p>
        </w:tc>
      </w:tr>
      <w:tr w:rsidR="00DE6E71" w:rsidRPr="00484AE6" w14:paraId="332D3454" w14:textId="77777777" w:rsidTr="006B027F">
        <w:trPr>
          <w:cantSplit/>
          <w:trHeight w:val="142"/>
        </w:trPr>
        <w:tc>
          <w:tcPr>
            <w:tcW w:w="9370" w:type="dxa"/>
            <w:gridSpan w:val="12"/>
            <w:tcBorders>
              <w:top w:val="nil"/>
              <w:left w:val="nil"/>
              <w:bottom w:val="nil"/>
              <w:right w:val="nil"/>
            </w:tcBorders>
            <w:shd w:val="clear" w:color="auto" w:fill="FFFFFF"/>
          </w:tcPr>
          <w:p w14:paraId="37041883" w14:textId="77777777" w:rsidR="00C405C1" w:rsidRPr="00484AE6" w:rsidRDefault="00C405C1" w:rsidP="00327506">
            <w:pPr>
              <w:widowControl w:val="0"/>
              <w:autoSpaceDE w:val="0"/>
              <w:autoSpaceDN w:val="0"/>
              <w:adjustRightInd w:val="0"/>
              <w:spacing w:line="320" w:lineRule="atLeast"/>
              <w:ind w:left="60" w:right="60"/>
              <w:rPr>
                <w:rFonts w:cs="Arial"/>
                <w:color w:val="000000"/>
              </w:rPr>
            </w:pPr>
            <w:r w:rsidRPr="00484AE6">
              <w:rPr>
                <w:rFonts w:cs="Arial"/>
                <w:color w:val="000000"/>
              </w:rPr>
              <w:t>b. May be used to adjust the degrees of freedom for the averaged tests of significance. Corrected tests are displayed in the Tests of Within-Subjects Effects table.</w:t>
            </w:r>
          </w:p>
        </w:tc>
      </w:tr>
      <w:tr w:rsidR="00DE6E71" w:rsidRPr="006A1B95" w14:paraId="13A91AEF" w14:textId="77777777" w:rsidTr="006B027F">
        <w:trPr>
          <w:cantSplit/>
          <w:trHeight w:val="142"/>
        </w:trPr>
        <w:tc>
          <w:tcPr>
            <w:tcW w:w="9370" w:type="dxa"/>
            <w:gridSpan w:val="12"/>
            <w:tcBorders>
              <w:top w:val="nil"/>
              <w:left w:val="nil"/>
              <w:bottom w:val="nil"/>
              <w:right w:val="nil"/>
            </w:tcBorders>
            <w:shd w:val="clear" w:color="auto" w:fill="FFFFFF"/>
          </w:tcPr>
          <w:p w14:paraId="03B298DE" w14:textId="77777777" w:rsidR="00DE6E71" w:rsidRDefault="00DE6E71" w:rsidP="00327506">
            <w:pPr>
              <w:widowControl w:val="0"/>
              <w:autoSpaceDE w:val="0"/>
              <w:autoSpaceDN w:val="0"/>
              <w:adjustRightInd w:val="0"/>
              <w:spacing w:line="320" w:lineRule="atLeast"/>
              <w:ind w:left="60" w:right="60"/>
              <w:rPr>
                <w:rFonts w:cs="Arial"/>
                <w:color w:val="000000"/>
              </w:rPr>
            </w:pPr>
          </w:p>
          <w:p w14:paraId="759F23FC" w14:textId="77777777" w:rsidR="00DE6E71" w:rsidRDefault="00DE6E71" w:rsidP="00327506">
            <w:pPr>
              <w:widowControl w:val="0"/>
              <w:autoSpaceDE w:val="0"/>
              <w:autoSpaceDN w:val="0"/>
              <w:adjustRightInd w:val="0"/>
              <w:spacing w:line="320" w:lineRule="atLeast"/>
              <w:ind w:left="60" w:right="60"/>
              <w:rPr>
                <w:rFonts w:cs="Arial"/>
                <w:color w:val="000000"/>
              </w:rPr>
            </w:pPr>
          </w:p>
          <w:p w14:paraId="7534623F" w14:textId="77777777" w:rsidR="00DE6E71" w:rsidRDefault="00DE6E71" w:rsidP="00327506">
            <w:pPr>
              <w:widowControl w:val="0"/>
              <w:autoSpaceDE w:val="0"/>
              <w:autoSpaceDN w:val="0"/>
              <w:adjustRightInd w:val="0"/>
              <w:spacing w:line="320" w:lineRule="atLeast"/>
              <w:ind w:left="60" w:right="60"/>
              <w:rPr>
                <w:rFonts w:cs="Arial"/>
                <w:color w:val="000000"/>
              </w:rPr>
            </w:pPr>
          </w:p>
          <w:p w14:paraId="75A9F3B5" w14:textId="77777777" w:rsidR="00DE6E71" w:rsidRDefault="00DE6E71" w:rsidP="00327506">
            <w:pPr>
              <w:widowControl w:val="0"/>
              <w:autoSpaceDE w:val="0"/>
              <w:autoSpaceDN w:val="0"/>
              <w:adjustRightInd w:val="0"/>
              <w:spacing w:line="320" w:lineRule="atLeast"/>
              <w:ind w:left="60" w:right="60"/>
              <w:rPr>
                <w:rFonts w:cs="Arial"/>
                <w:color w:val="000000"/>
              </w:rPr>
            </w:pPr>
          </w:p>
          <w:p w14:paraId="13F76B74" w14:textId="77777777" w:rsidR="00DE6E71" w:rsidRDefault="00DE6E71" w:rsidP="00327506">
            <w:pPr>
              <w:widowControl w:val="0"/>
              <w:autoSpaceDE w:val="0"/>
              <w:autoSpaceDN w:val="0"/>
              <w:adjustRightInd w:val="0"/>
              <w:spacing w:line="320" w:lineRule="atLeast"/>
              <w:ind w:left="60" w:right="60"/>
              <w:rPr>
                <w:rFonts w:cs="Arial"/>
                <w:color w:val="000000"/>
              </w:rPr>
            </w:pPr>
          </w:p>
          <w:p w14:paraId="07693014" w14:textId="77777777" w:rsidR="00DE6E71" w:rsidRDefault="00DE6E71" w:rsidP="00DE6E71">
            <w:pPr>
              <w:widowControl w:val="0"/>
              <w:autoSpaceDE w:val="0"/>
              <w:autoSpaceDN w:val="0"/>
              <w:adjustRightInd w:val="0"/>
              <w:spacing w:line="320" w:lineRule="atLeast"/>
              <w:ind w:right="60"/>
              <w:rPr>
                <w:rFonts w:cs="Arial"/>
                <w:color w:val="000000"/>
              </w:rPr>
            </w:pPr>
          </w:p>
          <w:p w14:paraId="683D5314" w14:textId="33D05A04" w:rsidR="00C405C1" w:rsidRPr="006A1B95" w:rsidRDefault="00C405C1" w:rsidP="00DE6E71">
            <w:pPr>
              <w:widowControl w:val="0"/>
              <w:autoSpaceDE w:val="0"/>
              <w:autoSpaceDN w:val="0"/>
              <w:adjustRightInd w:val="0"/>
              <w:spacing w:line="320" w:lineRule="atLeast"/>
              <w:ind w:right="60"/>
              <w:rPr>
                <w:rFonts w:cs="Arial"/>
                <w:color w:val="000000"/>
              </w:rPr>
            </w:pPr>
          </w:p>
        </w:tc>
      </w:tr>
      <w:tr w:rsidR="00DE6E71" w:rsidRPr="006A1B95" w14:paraId="5C36A5EE" w14:textId="77777777" w:rsidTr="006B027F">
        <w:trPr>
          <w:cantSplit/>
          <w:trHeight w:val="142"/>
        </w:trPr>
        <w:tc>
          <w:tcPr>
            <w:tcW w:w="9370" w:type="dxa"/>
            <w:gridSpan w:val="12"/>
            <w:tcBorders>
              <w:top w:val="nil"/>
              <w:left w:val="nil"/>
              <w:bottom w:val="nil"/>
              <w:right w:val="nil"/>
            </w:tcBorders>
            <w:shd w:val="clear" w:color="auto" w:fill="FFFFFF"/>
          </w:tcPr>
          <w:p w14:paraId="777AC676" w14:textId="77777777" w:rsidR="00C405C1" w:rsidRDefault="00DE6E71" w:rsidP="006B027F">
            <w:pPr>
              <w:widowControl w:val="0"/>
              <w:autoSpaceDE w:val="0"/>
              <w:autoSpaceDN w:val="0"/>
              <w:adjustRightInd w:val="0"/>
              <w:spacing w:line="320" w:lineRule="atLeast"/>
              <w:ind w:left="60" w:right="60"/>
              <w:jc w:val="center"/>
              <w:rPr>
                <w:rFonts w:cs="Arial"/>
                <w:b/>
                <w:color w:val="000000"/>
              </w:rPr>
            </w:pPr>
            <w:r w:rsidRPr="006B027F">
              <w:rPr>
                <w:rFonts w:cs="Arial"/>
                <w:b/>
                <w:color w:val="000000"/>
              </w:rPr>
              <w:lastRenderedPageBreak/>
              <w:t>Tests of Within-Subjects Effects</w:t>
            </w:r>
          </w:p>
          <w:p w14:paraId="597AEF2E" w14:textId="5B1A0AC4" w:rsidR="00DE6E71" w:rsidRPr="006B027F" w:rsidRDefault="00DE6E71" w:rsidP="006B027F">
            <w:pPr>
              <w:widowControl w:val="0"/>
              <w:autoSpaceDE w:val="0"/>
              <w:autoSpaceDN w:val="0"/>
              <w:adjustRightInd w:val="0"/>
              <w:spacing w:line="320" w:lineRule="atLeast"/>
              <w:ind w:left="60" w:right="60"/>
              <w:jc w:val="center"/>
              <w:rPr>
                <w:rFonts w:cs="Arial"/>
                <w:b/>
                <w:color w:val="000000"/>
              </w:rPr>
            </w:pPr>
          </w:p>
        </w:tc>
      </w:tr>
      <w:tr w:rsidR="00232E8A" w:rsidRPr="006A1B95" w14:paraId="5D7C5C21" w14:textId="77777777" w:rsidTr="00232E8A">
        <w:trPr>
          <w:cantSplit/>
          <w:trHeight w:val="142"/>
        </w:trPr>
        <w:tc>
          <w:tcPr>
            <w:tcW w:w="3478" w:type="dxa"/>
            <w:gridSpan w:val="4"/>
            <w:tcBorders>
              <w:top w:val="single" w:sz="16" w:space="0" w:color="000000"/>
              <w:left w:val="single" w:sz="16" w:space="0" w:color="000000"/>
              <w:bottom w:val="single" w:sz="16" w:space="0" w:color="000000"/>
              <w:right w:val="nil"/>
            </w:tcBorders>
            <w:shd w:val="clear" w:color="auto" w:fill="FFFFFF"/>
            <w:vAlign w:val="bottom"/>
          </w:tcPr>
          <w:p w14:paraId="37887CB8" w14:textId="77777777" w:rsidR="00C405C1" w:rsidRPr="006B027F" w:rsidRDefault="00C405C1" w:rsidP="00DE6E71">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Source</w:t>
            </w:r>
          </w:p>
        </w:tc>
        <w:tc>
          <w:tcPr>
            <w:tcW w:w="978" w:type="dxa"/>
            <w:tcBorders>
              <w:top w:val="single" w:sz="16" w:space="0" w:color="000000"/>
              <w:left w:val="single" w:sz="16" w:space="0" w:color="000000"/>
              <w:bottom w:val="single" w:sz="16" w:space="0" w:color="000000"/>
            </w:tcBorders>
            <w:shd w:val="clear" w:color="auto" w:fill="FFFFFF"/>
            <w:vAlign w:val="bottom"/>
          </w:tcPr>
          <w:p w14:paraId="0A256FD8"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Type III Sum of Squares</w:t>
            </w:r>
          </w:p>
        </w:tc>
        <w:tc>
          <w:tcPr>
            <w:tcW w:w="1638" w:type="dxa"/>
            <w:gridSpan w:val="2"/>
            <w:tcBorders>
              <w:top w:val="single" w:sz="16" w:space="0" w:color="000000"/>
              <w:bottom w:val="single" w:sz="16" w:space="0" w:color="000000"/>
            </w:tcBorders>
            <w:shd w:val="clear" w:color="auto" w:fill="FFFFFF"/>
            <w:vAlign w:val="bottom"/>
          </w:tcPr>
          <w:p w14:paraId="59407281"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proofErr w:type="spellStart"/>
            <w:r w:rsidRPr="006B027F">
              <w:rPr>
                <w:rFonts w:cs="Arial"/>
                <w:color w:val="000000"/>
                <w:sz w:val="20"/>
                <w:szCs w:val="20"/>
              </w:rPr>
              <w:t>df</w:t>
            </w:r>
            <w:proofErr w:type="spellEnd"/>
          </w:p>
        </w:tc>
        <w:tc>
          <w:tcPr>
            <w:tcW w:w="1507" w:type="dxa"/>
            <w:gridSpan w:val="3"/>
            <w:tcBorders>
              <w:top w:val="single" w:sz="16" w:space="0" w:color="000000"/>
              <w:bottom w:val="single" w:sz="16" w:space="0" w:color="000000"/>
            </w:tcBorders>
            <w:shd w:val="clear" w:color="auto" w:fill="FFFFFF"/>
            <w:vAlign w:val="bottom"/>
          </w:tcPr>
          <w:p w14:paraId="1875B22E"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Mean Square</w:t>
            </w:r>
          </w:p>
        </w:tc>
        <w:tc>
          <w:tcPr>
            <w:tcW w:w="924" w:type="dxa"/>
            <w:tcBorders>
              <w:top w:val="single" w:sz="16" w:space="0" w:color="000000"/>
              <w:bottom w:val="single" w:sz="16" w:space="0" w:color="000000"/>
            </w:tcBorders>
            <w:shd w:val="clear" w:color="auto" w:fill="FFFFFF"/>
            <w:vAlign w:val="bottom"/>
          </w:tcPr>
          <w:p w14:paraId="76415717"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F</w:t>
            </w:r>
          </w:p>
        </w:tc>
        <w:tc>
          <w:tcPr>
            <w:tcW w:w="845" w:type="dxa"/>
            <w:tcBorders>
              <w:top w:val="single" w:sz="16" w:space="0" w:color="000000"/>
              <w:bottom w:val="single" w:sz="16" w:space="0" w:color="000000"/>
              <w:right w:val="single" w:sz="16" w:space="0" w:color="000000"/>
            </w:tcBorders>
            <w:shd w:val="clear" w:color="auto" w:fill="FFFFFF"/>
            <w:vAlign w:val="bottom"/>
          </w:tcPr>
          <w:p w14:paraId="43B6F907" w14:textId="77777777" w:rsidR="00C405C1" w:rsidRPr="006B027F" w:rsidRDefault="00C405C1" w:rsidP="00DE6E71">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Sig.</w:t>
            </w:r>
          </w:p>
        </w:tc>
      </w:tr>
      <w:tr w:rsidR="00232E8A" w:rsidRPr="006A1B95" w14:paraId="4A4F95C6" w14:textId="77777777" w:rsidTr="00232E8A">
        <w:trPr>
          <w:cantSplit/>
          <w:trHeight w:val="1663"/>
        </w:trPr>
        <w:tc>
          <w:tcPr>
            <w:tcW w:w="1554" w:type="dxa"/>
            <w:vMerge w:val="restart"/>
            <w:tcBorders>
              <w:top w:val="single" w:sz="16" w:space="0" w:color="000000"/>
              <w:left w:val="single" w:sz="16" w:space="0" w:color="000000"/>
              <w:right w:val="nil"/>
            </w:tcBorders>
            <w:shd w:val="clear" w:color="auto" w:fill="FFFFFF"/>
          </w:tcPr>
          <w:p w14:paraId="06E74EFC" w14:textId="77777777" w:rsidR="00C405C1" w:rsidRPr="006B027F" w:rsidRDefault="00C405C1" w:rsidP="00DE6E71">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factor1</w:t>
            </w:r>
          </w:p>
        </w:tc>
        <w:tc>
          <w:tcPr>
            <w:tcW w:w="1925" w:type="dxa"/>
            <w:gridSpan w:val="3"/>
            <w:tcBorders>
              <w:top w:val="single" w:sz="16" w:space="0" w:color="000000"/>
              <w:left w:val="nil"/>
              <w:bottom w:val="nil"/>
              <w:right w:val="single" w:sz="16" w:space="0" w:color="000000"/>
            </w:tcBorders>
            <w:shd w:val="clear" w:color="auto" w:fill="FFFFFF"/>
          </w:tcPr>
          <w:p w14:paraId="72CDC9B9" w14:textId="77777777" w:rsidR="00C405C1" w:rsidRPr="006B027F" w:rsidRDefault="00C405C1" w:rsidP="00DE6E71">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Sphericity Assumed</w:t>
            </w:r>
          </w:p>
        </w:tc>
        <w:tc>
          <w:tcPr>
            <w:tcW w:w="978" w:type="dxa"/>
            <w:tcBorders>
              <w:top w:val="single" w:sz="16" w:space="0" w:color="000000"/>
              <w:left w:val="single" w:sz="16" w:space="0" w:color="000000"/>
              <w:bottom w:val="nil"/>
            </w:tcBorders>
            <w:shd w:val="clear" w:color="auto" w:fill="FFFFFF"/>
            <w:vAlign w:val="center"/>
          </w:tcPr>
          <w:p w14:paraId="5BC0B68A"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23.792</w:t>
            </w:r>
          </w:p>
        </w:tc>
        <w:tc>
          <w:tcPr>
            <w:tcW w:w="1638" w:type="dxa"/>
            <w:gridSpan w:val="2"/>
            <w:tcBorders>
              <w:top w:val="single" w:sz="16" w:space="0" w:color="000000"/>
              <w:bottom w:val="nil"/>
            </w:tcBorders>
            <w:shd w:val="clear" w:color="auto" w:fill="FFFFFF"/>
            <w:vAlign w:val="center"/>
          </w:tcPr>
          <w:p w14:paraId="0B27C18D"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w:t>
            </w:r>
          </w:p>
        </w:tc>
        <w:tc>
          <w:tcPr>
            <w:tcW w:w="1507" w:type="dxa"/>
            <w:gridSpan w:val="3"/>
            <w:tcBorders>
              <w:top w:val="single" w:sz="16" w:space="0" w:color="000000"/>
              <w:bottom w:val="nil"/>
            </w:tcBorders>
            <w:shd w:val="clear" w:color="auto" w:fill="FFFFFF"/>
            <w:vAlign w:val="center"/>
          </w:tcPr>
          <w:p w14:paraId="0F38E38A"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11.896</w:t>
            </w:r>
          </w:p>
        </w:tc>
        <w:tc>
          <w:tcPr>
            <w:tcW w:w="924" w:type="dxa"/>
            <w:tcBorders>
              <w:top w:val="single" w:sz="16" w:space="0" w:color="000000"/>
              <w:bottom w:val="nil"/>
            </w:tcBorders>
            <w:shd w:val="clear" w:color="auto" w:fill="FFFFFF"/>
            <w:vAlign w:val="center"/>
          </w:tcPr>
          <w:p w14:paraId="147DEA25"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8.731</w:t>
            </w:r>
          </w:p>
        </w:tc>
        <w:tc>
          <w:tcPr>
            <w:tcW w:w="845" w:type="dxa"/>
            <w:tcBorders>
              <w:top w:val="single" w:sz="16" w:space="0" w:color="000000"/>
              <w:bottom w:val="nil"/>
              <w:right w:val="single" w:sz="16" w:space="0" w:color="000000"/>
            </w:tcBorders>
            <w:shd w:val="clear" w:color="auto" w:fill="FFFFFF"/>
            <w:vAlign w:val="center"/>
          </w:tcPr>
          <w:p w14:paraId="3D8C4C15"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.001</w:t>
            </w:r>
          </w:p>
        </w:tc>
      </w:tr>
      <w:tr w:rsidR="00232E8A" w:rsidRPr="006A1B95" w14:paraId="2E6C9242" w14:textId="77777777" w:rsidTr="00232E8A">
        <w:trPr>
          <w:cantSplit/>
          <w:trHeight w:val="142"/>
        </w:trPr>
        <w:tc>
          <w:tcPr>
            <w:tcW w:w="1554" w:type="dxa"/>
            <w:vMerge/>
            <w:tcBorders>
              <w:top w:val="single" w:sz="16" w:space="0" w:color="000000"/>
              <w:left w:val="single" w:sz="16" w:space="0" w:color="000000"/>
              <w:right w:val="nil"/>
            </w:tcBorders>
            <w:shd w:val="clear" w:color="auto" w:fill="FFFFFF"/>
          </w:tcPr>
          <w:p w14:paraId="6A31A618"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925" w:type="dxa"/>
            <w:gridSpan w:val="3"/>
            <w:tcBorders>
              <w:top w:val="nil"/>
              <w:left w:val="nil"/>
              <w:bottom w:val="nil"/>
              <w:right w:val="single" w:sz="16" w:space="0" w:color="000000"/>
            </w:tcBorders>
            <w:shd w:val="clear" w:color="auto" w:fill="FFFFFF"/>
          </w:tcPr>
          <w:p w14:paraId="0DBDC668"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Greenhouse-</w:t>
            </w:r>
            <w:proofErr w:type="spellStart"/>
            <w:r w:rsidRPr="006B027F">
              <w:rPr>
                <w:rFonts w:cs="Arial"/>
                <w:color w:val="000000"/>
                <w:sz w:val="20"/>
                <w:szCs w:val="20"/>
              </w:rPr>
              <w:t>Geisser</w:t>
            </w:r>
            <w:proofErr w:type="spellEnd"/>
          </w:p>
        </w:tc>
        <w:tc>
          <w:tcPr>
            <w:tcW w:w="978" w:type="dxa"/>
            <w:tcBorders>
              <w:top w:val="nil"/>
              <w:left w:val="single" w:sz="16" w:space="0" w:color="000000"/>
              <w:bottom w:val="nil"/>
            </w:tcBorders>
            <w:shd w:val="clear" w:color="auto" w:fill="FFFFFF"/>
            <w:vAlign w:val="center"/>
          </w:tcPr>
          <w:p w14:paraId="44713589"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23.792</w:t>
            </w:r>
          </w:p>
        </w:tc>
        <w:tc>
          <w:tcPr>
            <w:tcW w:w="1638" w:type="dxa"/>
            <w:gridSpan w:val="2"/>
            <w:tcBorders>
              <w:top w:val="nil"/>
              <w:bottom w:val="nil"/>
            </w:tcBorders>
            <w:shd w:val="clear" w:color="auto" w:fill="FFFFFF"/>
            <w:vAlign w:val="center"/>
          </w:tcPr>
          <w:p w14:paraId="461F939F"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1.664</w:t>
            </w:r>
          </w:p>
        </w:tc>
        <w:tc>
          <w:tcPr>
            <w:tcW w:w="1507" w:type="dxa"/>
            <w:gridSpan w:val="3"/>
            <w:tcBorders>
              <w:top w:val="nil"/>
              <w:bottom w:val="nil"/>
            </w:tcBorders>
            <w:shd w:val="clear" w:color="auto" w:fill="FFFFFF"/>
            <w:vAlign w:val="center"/>
          </w:tcPr>
          <w:p w14:paraId="446F2635"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14.294</w:t>
            </w:r>
          </w:p>
        </w:tc>
        <w:tc>
          <w:tcPr>
            <w:tcW w:w="924" w:type="dxa"/>
            <w:tcBorders>
              <w:top w:val="nil"/>
              <w:bottom w:val="nil"/>
            </w:tcBorders>
            <w:shd w:val="clear" w:color="auto" w:fill="FFFFFF"/>
            <w:vAlign w:val="center"/>
          </w:tcPr>
          <w:p w14:paraId="7719AB39"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8.731</w:t>
            </w:r>
          </w:p>
        </w:tc>
        <w:tc>
          <w:tcPr>
            <w:tcW w:w="845" w:type="dxa"/>
            <w:tcBorders>
              <w:top w:val="nil"/>
              <w:bottom w:val="nil"/>
              <w:right w:val="single" w:sz="16" w:space="0" w:color="000000"/>
            </w:tcBorders>
            <w:shd w:val="clear" w:color="auto" w:fill="FFFFFF"/>
            <w:vAlign w:val="center"/>
          </w:tcPr>
          <w:p w14:paraId="2ECAA018"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.002</w:t>
            </w:r>
          </w:p>
        </w:tc>
      </w:tr>
      <w:tr w:rsidR="00232E8A" w:rsidRPr="006A1B95" w14:paraId="1F3F012B" w14:textId="77777777" w:rsidTr="00232E8A">
        <w:trPr>
          <w:cantSplit/>
          <w:trHeight w:val="142"/>
        </w:trPr>
        <w:tc>
          <w:tcPr>
            <w:tcW w:w="1554" w:type="dxa"/>
            <w:vMerge/>
            <w:tcBorders>
              <w:top w:val="single" w:sz="16" w:space="0" w:color="000000"/>
              <w:left w:val="single" w:sz="16" w:space="0" w:color="000000"/>
              <w:right w:val="nil"/>
            </w:tcBorders>
            <w:shd w:val="clear" w:color="auto" w:fill="FFFFFF"/>
          </w:tcPr>
          <w:p w14:paraId="1633CA24"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925" w:type="dxa"/>
            <w:gridSpan w:val="3"/>
            <w:tcBorders>
              <w:top w:val="nil"/>
              <w:left w:val="nil"/>
              <w:bottom w:val="nil"/>
              <w:right w:val="single" w:sz="16" w:space="0" w:color="000000"/>
            </w:tcBorders>
            <w:shd w:val="clear" w:color="auto" w:fill="FFFFFF"/>
          </w:tcPr>
          <w:p w14:paraId="5BDE8A96"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Huynh-Feldt</w:t>
            </w:r>
          </w:p>
        </w:tc>
        <w:tc>
          <w:tcPr>
            <w:tcW w:w="978" w:type="dxa"/>
            <w:tcBorders>
              <w:top w:val="nil"/>
              <w:left w:val="single" w:sz="16" w:space="0" w:color="000000"/>
              <w:bottom w:val="nil"/>
            </w:tcBorders>
            <w:shd w:val="clear" w:color="auto" w:fill="FFFFFF"/>
            <w:vAlign w:val="center"/>
          </w:tcPr>
          <w:p w14:paraId="03778F96"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23.792</w:t>
            </w:r>
          </w:p>
        </w:tc>
        <w:tc>
          <w:tcPr>
            <w:tcW w:w="1638" w:type="dxa"/>
            <w:gridSpan w:val="2"/>
            <w:tcBorders>
              <w:top w:val="nil"/>
              <w:bottom w:val="nil"/>
            </w:tcBorders>
            <w:shd w:val="clear" w:color="auto" w:fill="FFFFFF"/>
            <w:vAlign w:val="center"/>
          </w:tcPr>
          <w:p w14:paraId="1CCC20F8"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1.847</w:t>
            </w:r>
          </w:p>
        </w:tc>
        <w:tc>
          <w:tcPr>
            <w:tcW w:w="1507" w:type="dxa"/>
            <w:gridSpan w:val="3"/>
            <w:tcBorders>
              <w:top w:val="nil"/>
              <w:bottom w:val="nil"/>
            </w:tcBorders>
            <w:shd w:val="clear" w:color="auto" w:fill="FFFFFF"/>
            <w:vAlign w:val="center"/>
          </w:tcPr>
          <w:p w14:paraId="5E199BC4"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12.881</w:t>
            </w:r>
          </w:p>
        </w:tc>
        <w:tc>
          <w:tcPr>
            <w:tcW w:w="924" w:type="dxa"/>
            <w:tcBorders>
              <w:top w:val="nil"/>
              <w:bottom w:val="nil"/>
            </w:tcBorders>
            <w:shd w:val="clear" w:color="auto" w:fill="FFFFFF"/>
            <w:vAlign w:val="center"/>
          </w:tcPr>
          <w:p w14:paraId="17798798"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8.731</w:t>
            </w:r>
          </w:p>
        </w:tc>
        <w:tc>
          <w:tcPr>
            <w:tcW w:w="845" w:type="dxa"/>
            <w:tcBorders>
              <w:top w:val="nil"/>
              <w:bottom w:val="nil"/>
              <w:right w:val="single" w:sz="16" w:space="0" w:color="000000"/>
            </w:tcBorders>
            <w:shd w:val="clear" w:color="auto" w:fill="FFFFFF"/>
            <w:vAlign w:val="center"/>
          </w:tcPr>
          <w:p w14:paraId="2C53A072"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.001</w:t>
            </w:r>
          </w:p>
        </w:tc>
      </w:tr>
      <w:tr w:rsidR="00232E8A" w:rsidRPr="006A1B95" w14:paraId="11F27251" w14:textId="77777777" w:rsidTr="00232E8A">
        <w:trPr>
          <w:cantSplit/>
          <w:trHeight w:val="142"/>
        </w:trPr>
        <w:tc>
          <w:tcPr>
            <w:tcW w:w="1554" w:type="dxa"/>
            <w:vMerge/>
            <w:tcBorders>
              <w:top w:val="single" w:sz="16" w:space="0" w:color="000000"/>
              <w:left w:val="single" w:sz="16" w:space="0" w:color="000000"/>
              <w:right w:val="nil"/>
            </w:tcBorders>
            <w:shd w:val="clear" w:color="auto" w:fill="FFFFFF"/>
          </w:tcPr>
          <w:p w14:paraId="4F1C9A99"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925" w:type="dxa"/>
            <w:gridSpan w:val="3"/>
            <w:tcBorders>
              <w:top w:val="nil"/>
              <w:left w:val="nil"/>
              <w:right w:val="single" w:sz="16" w:space="0" w:color="000000"/>
            </w:tcBorders>
            <w:shd w:val="clear" w:color="auto" w:fill="FFFFFF"/>
          </w:tcPr>
          <w:p w14:paraId="1763C078"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Lower-bound</w:t>
            </w:r>
          </w:p>
        </w:tc>
        <w:tc>
          <w:tcPr>
            <w:tcW w:w="978" w:type="dxa"/>
            <w:tcBorders>
              <w:top w:val="nil"/>
              <w:left w:val="single" w:sz="16" w:space="0" w:color="000000"/>
            </w:tcBorders>
            <w:shd w:val="clear" w:color="auto" w:fill="FFFFFF"/>
            <w:vAlign w:val="center"/>
          </w:tcPr>
          <w:p w14:paraId="68DB69BF"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23.792</w:t>
            </w:r>
          </w:p>
        </w:tc>
        <w:tc>
          <w:tcPr>
            <w:tcW w:w="1638" w:type="dxa"/>
            <w:gridSpan w:val="2"/>
            <w:tcBorders>
              <w:top w:val="nil"/>
            </w:tcBorders>
            <w:shd w:val="clear" w:color="auto" w:fill="FFFFFF"/>
            <w:vAlign w:val="center"/>
          </w:tcPr>
          <w:p w14:paraId="4474C065"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1.000</w:t>
            </w:r>
          </w:p>
        </w:tc>
        <w:tc>
          <w:tcPr>
            <w:tcW w:w="1507" w:type="dxa"/>
            <w:gridSpan w:val="3"/>
            <w:tcBorders>
              <w:top w:val="nil"/>
            </w:tcBorders>
            <w:shd w:val="clear" w:color="auto" w:fill="FFFFFF"/>
            <w:vAlign w:val="center"/>
          </w:tcPr>
          <w:p w14:paraId="4E05ADC5"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23.792</w:t>
            </w:r>
          </w:p>
        </w:tc>
        <w:tc>
          <w:tcPr>
            <w:tcW w:w="924" w:type="dxa"/>
            <w:tcBorders>
              <w:top w:val="nil"/>
            </w:tcBorders>
            <w:shd w:val="clear" w:color="auto" w:fill="FFFFFF"/>
            <w:vAlign w:val="center"/>
          </w:tcPr>
          <w:p w14:paraId="4AE8388E"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8.731</w:t>
            </w:r>
          </w:p>
        </w:tc>
        <w:tc>
          <w:tcPr>
            <w:tcW w:w="845" w:type="dxa"/>
            <w:tcBorders>
              <w:top w:val="nil"/>
              <w:right w:val="single" w:sz="16" w:space="0" w:color="000000"/>
            </w:tcBorders>
            <w:shd w:val="clear" w:color="auto" w:fill="FFFFFF"/>
            <w:vAlign w:val="center"/>
          </w:tcPr>
          <w:p w14:paraId="49CE7F32"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.010</w:t>
            </w:r>
          </w:p>
        </w:tc>
      </w:tr>
      <w:tr w:rsidR="00232E8A" w:rsidRPr="006A1B95" w14:paraId="2793D782" w14:textId="77777777" w:rsidTr="00232E8A">
        <w:trPr>
          <w:cantSplit/>
          <w:trHeight w:val="1047"/>
        </w:trPr>
        <w:tc>
          <w:tcPr>
            <w:tcW w:w="1554" w:type="dxa"/>
            <w:vMerge w:val="restart"/>
            <w:tcBorders>
              <w:top w:val="nil"/>
              <w:left w:val="single" w:sz="16" w:space="0" w:color="000000"/>
              <w:bottom w:val="single" w:sz="16" w:space="0" w:color="000000"/>
              <w:right w:val="nil"/>
            </w:tcBorders>
            <w:shd w:val="clear" w:color="auto" w:fill="FFFFFF"/>
          </w:tcPr>
          <w:p w14:paraId="1D18360A" w14:textId="77777777" w:rsidR="00C405C1" w:rsidRPr="006B027F" w:rsidRDefault="00C405C1" w:rsidP="00DE6E71">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Error(factor1)</w:t>
            </w:r>
          </w:p>
        </w:tc>
        <w:tc>
          <w:tcPr>
            <w:tcW w:w="1925" w:type="dxa"/>
            <w:gridSpan w:val="3"/>
            <w:tcBorders>
              <w:top w:val="nil"/>
              <w:left w:val="nil"/>
              <w:bottom w:val="nil"/>
              <w:right w:val="single" w:sz="16" w:space="0" w:color="000000"/>
            </w:tcBorders>
            <w:shd w:val="clear" w:color="auto" w:fill="FFFFFF"/>
          </w:tcPr>
          <w:p w14:paraId="44DDE258" w14:textId="77777777" w:rsidR="00C405C1" w:rsidRPr="006B027F" w:rsidRDefault="00C405C1" w:rsidP="00DE6E71">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Sphericity Assumed</w:t>
            </w:r>
          </w:p>
        </w:tc>
        <w:tc>
          <w:tcPr>
            <w:tcW w:w="978" w:type="dxa"/>
            <w:tcBorders>
              <w:top w:val="nil"/>
              <w:left w:val="single" w:sz="16" w:space="0" w:color="000000"/>
              <w:bottom w:val="nil"/>
            </w:tcBorders>
            <w:shd w:val="clear" w:color="auto" w:fill="FFFFFF"/>
            <w:vAlign w:val="center"/>
          </w:tcPr>
          <w:p w14:paraId="0F41131A"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40.875</w:t>
            </w:r>
          </w:p>
        </w:tc>
        <w:tc>
          <w:tcPr>
            <w:tcW w:w="1638" w:type="dxa"/>
            <w:gridSpan w:val="2"/>
            <w:tcBorders>
              <w:top w:val="nil"/>
              <w:bottom w:val="nil"/>
            </w:tcBorders>
            <w:shd w:val="clear" w:color="auto" w:fill="FFFFFF"/>
            <w:vAlign w:val="center"/>
          </w:tcPr>
          <w:p w14:paraId="4E868AB6"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30</w:t>
            </w:r>
          </w:p>
        </w:tc>
        <w:tc>
          <w:tcPr>
            <w:tcW w:w="1507" w:type="dxa"/>
            <w:gridSpan w:val="3"/>
            <w:tcBorders>
              <w:top w:val="nil"/>
              <w:bottom w:val="nil"/>
            </w:tcBorders>
            <w:shd w:val="clear" w:color="auto" w:fill="FFFFFF"/>
            <w:vAlign w:val="center"/>
          </w:tcPr>
          <w:p w14:paraId="1A843FC9"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1.363</w:t>
            </w:r>
          </w:p>
        </w:tc>
        <w:tc>
          <w:tcPr>
            <w:tcW w:w="924" w:type="dxa"/>
            <w:tcBorders>
              <w:top w:val="nil"/>
              <w:bottom w:val="nil"/>
            </w:tcBorders>
            <w:shd w:val="clear" w:color="auto" w:fill="FFFFFF"/>
            <w:vAlign w:val="center"/>
          </w:tcPr>
          <w:p w14:paraId="5E8FC96D"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c>
          <w:tcPr>
            <w:tcW w:w="845" w:type="dxa"/>
            <w:tcBorders>
              <w:top w:val="nil"/>
              <w:bottom w:val="nil"/>
              <w:right w:val="single" w:sz="16" w:space="0" w:color="000000"/>
            </w:tcBorders>
            <w:shd w:val="clear" w:color="auto" w:fill="FFFFFF"/>
            <w:vAlign w:val="center"/>
          </w:tcPr>
          <w:p w14:paraId="4D2F3868"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r>
      <w:tr w:rsidR="00232E8A" w:rsidRPr="006A1B95" w14:paraId="1F0AC749" w14:textId="77777777" w:rsidTr="00232E8A">
        <w:trPr>
          <w:cantSplit/>
          <w:trHeight w:val="142"/>
        </w:trPr>
        <w:tc>
          <w:tcPr>
            <w:tcW w:w="1554" w:type="dxa"/>
            <w:vMerge/>
            <w:tcBorders>
              <w:top w:val="nil"/>
              <w:left w:val="single" w:sz="16" w:space="0" w:color="000000"/>
              <w:bottom w:val="single" w:sz="16" w:space="0" w:color="000000"/>
              <w:right w:val="nil"/>
            </w:tcBorders>
            <w:shd w:val="clear" w:color="auto" w:fill="FFFFFF"/>
          </w:tcPr>
          <w:p w14:paraId="6DBF5504" w14:textId="77777777" w:rsidR="00C405C1" w:rsidRPr="006B027F" w:rsidRDefault="00C405C1" w:rsidP="006B027F">
            <w:pPr>
              <w:widowControl w:val="0"/>
              <w:autoSpaceDE w:val="0"/>
              <w:autoSpaceDN w:val="0"/>
              <w:adjustRightInd w:val="0"/>
              <w:spacing w:line="240" w:lineRule="auto"/>
              <w:rPr>
                <w:rFonts w:ascii="Times New Roman" w:hAnsi="Times New Roman"/>
                <w:sz w:val="20"/>
                <w:szCs w:val="20"/>
              </w:rPr>
            </w:pPr>
          </w:p>
        </w:tc>
        <w:tc>
          <w:tcPr>
            <w:tcW w:w="1925" w:type="dxa"/>
            <w:gridSpan w:val="3"/>
            <w:tcBorders>
              <w:top w:val="nil"/>
              <w:left w:val="nil"/>
              <w:bottom w:val="nil"/>
              <w:right w:val="single" w:sz="16" w:space="0" w:color="000000"/>
            </w:tcBorders>
            <w:shd w:val="clear" w:color="auto" w:fill="FFFFFF"/>
          </w:tcPr>
          <w:p w14:paraId="602D5C88"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Greenhouse-</w:t>
            </w:r>
            <w:proofErr w:type="spellStart"/>
            <w:r w:rsidRPr="006B027F">
              <w:rPr>
                <w:rFonts w:cs="Arial"/>
                <w:color w:val="000000"/>
                <w:sz w:val="20"/>
                <w:szCs w:val="20"/>
              </w:rPr>
              <w:t>Geisser</w:t>
            </w:r>
            <w:proofErr w:type="spellEnd"/>
          </w:p>
        </w:tc>
        <w:tc>
          <w:tcPr>
            <w:tcW w:w="978" w:type="dxa"/>
            <w:tcBorders>
              <w:top w:val="nil"/>
              <w:left w:val="single" w:sz="16" w:space="0" w:color="000000"/>
              <w:bottom w:val="nil"/>
            </w:tcBorders>
            <w:shd w:val="clear" w:color="auto" w:fill="FFFFFF"/>
            <w:vAlign w:val="center"/>
          </w:tcPr>
          <w:p w14:paraId="4743C4C4"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40.875</w:t>
            </w:r>
          </w:p>
        </w:tc>
        <w:tc>
          <w:tcPr>
            <w:tcW w:w="1638" w:type="dxa"/>
            <w:gridSpan w:val="2"/>
            <w:tcBorders>
              <w:top w:val="nil"/>
              <w:bottom w:val="nil"/>
            </w:tcBorders>
            <w:shd w:val="clear" w:color="auto" w:fill="FFFFFF"/>
            <w:vAlign w:val="center"/>
          </w:tcPr>
          <w:p w14:paraId="0DE07A9C"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24.967</w:t>
            </w:r>
          </w:p>
        </w:tc>
        <w:tc>
          <w:tcPr>
            <w:tcW w:w="1507" w:type="dxa"/>
            <w:gridSpan w:val="3"/>
            <w:tcBorders>
              <w:top w:val="nil"/>
              <w:bottom w:val="nil"/>
            </w:tcBorders>
            <w:shd w:val="clear" w:color="auto" w:fill="FFFFFF"/>
            <w:vAlign w:val="center"/>
          </w:tcPr>
          <w:p w14:paraId="77CC5942"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1.637</w:t>
            </w:r>
          </w:p>
        </w:tc>
        <w:tc>
          <w:tcPr>
            <w:tcW w:w="924" w:type="dxa"/>
            <w:tcBorders>
              <w:top w:val="nil"/>
              <w:bottom w:val="nil"/>
            </w:tcBorders>
            <w:shd w:val="clear" w:color="auto" w:fill="FFFFFF"/>
            <w:vAlign w:val="center"/>
          </w:tcPr>
          <w:p w14:paraId="758927B8"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c>
          <w:tcPr>
            <w:tcW w:w="845" w:type="dxa"/>
            <w:tcBorders>
              <w:top w:val="nil"/>
              <w:bottom w:val="nil"/>
              <w:right w:val="single" w:sz="16" w:space="0" w:color="000000"/>
            </w:tcBorders>
            <w:shd w:val="clear" w:color="auto" w:fill="FFFFFF"/>
            <w:vAlign w:val="center"/>
          </w:tcPr>
          <w:p w14:paraId="29C5A9AB"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r>
      <w:tr w:rsidR="00232E8A" w:rsidRPr="006A1B95" w14:paraId="23412801" w14:textId="77777777" w:rsidTr="00232E8A">
        <w:trPr>
          <w:cantSplit/>
          <w:trHeight w:val="142"/>
        </w:trPr>
        <w:tc>
          <w:tcPr>
            <w:tcW w:w="1554" w:type="dxa"/>
            <w:vMerge/>
            <w:tcBorders>
              <w:top w:val="nil"/>
              <w:left w:val="single" w:sz="16" w:space="0" w:color="000000"/>
              <w:bottom w:val="single" w:sz="16" w:space="0" w:color="000000"/>
              <w:right w:val="nil"/>
            </w:tcBorders>
            <w:shd w:val="clear" w:color="auto" w:fill="FFFFFF"/>
          </w:tcPr>
          <w:p w14:paraId="7B8BFDE7" w14:textId="77777777" w:rsidR="00C405C1" w:rsidRPr="006B027F" w:rsidRDefault="00C405C1" w:rsidP="006B027F">
            <w:pPr>
              <w:widowControl w:val="0"/>
              <w:autoSpaceDE w:val="0"/>
              <w:autoSpaceDN w:val="0"/>
              <w:adjustRightInd w:val="0"/>
              <w:spacing w:line="240" w:lineRule="auto"/>
              <w:rPr>
                <w:rFonts w:ascii="Times New Roman" w:hAnsi="Times New Roman"/>
                <w:sz w:val="20"/>
                <w:szCs w:val="20"/>
              </w:rPr>
            </w:pPr>
          </w:p>
        </w:tc>
        <w:tc>
          <w:tcPr>
            <w:tcW w:w="1925" w:type="dxa"/>
            <w:gridSpan w:val="3"/>
            <w:tcBorders>
              <w:top w:val="nil"/>
              <w:left w:val="nil"/>
              <w:bottom w:val="nil"/>
              <w:right w:val="single" w:sz="16" w:space="0" w:color="000000"/>
            </w:tcBorders>
            <w:shd w:val="clear" w:color="auto" w:fill="FFFFFF"/>
          </w:tcPr>
          <w:p w14:paraId="44988493"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Huynh-Feldt</w:t>
            </w:r>
          </w:p>
        </w:tc>
        <w:tc>
          <w:tcPr>
            <w:tcW w:w="978" w:type="dxa"/>
            <w:tcBorders>
              <w:top w:val="nil"/>
              <w:left w:val="single" w:sz="16" w:space="0" w:color="000000"/>
              <w:bottom w:val="nil"/>
            </w:tcBorders>
            <w:shd w:val="clear" w:color="auto" w:fill="FFFFFF"/>
            <w:vAlign w:val="center"/>
          </w:tcPr>
          <w:p w14:paraId="2A22C668"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40.875</w:t>
            </w:r>
          </w:p>
        </w:tc>
        <w:tc>
          <w:tcPr>
            <w:tcW w:w="1638" w:type="dxa"/>
            <w:gridSpan w:val="2"/>
            <w:tcBorders>
              <w:top w:val="nil"/>
              <w:bottom w:val="nil"/>
            </w:tcBorders>
            <w:shd w:val="clear" w:color="auto" w:fill="FFFFFF"/>
            <w:vAlign w:val="center"/>
          </w:tcPr>
          <w:p w14:paraId="132256CE"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27.706</w:t>
            </w:r>
          </w:p>
        </w:tc>
        <w:tc>
          <w:tcPr>
            <w:tcW w:w="1507" w:type="dxa"/>
            <w:gridSpan w:val="3"/>
            <w:tcBorders>
              <w:top w:val="nil"/>
              <w:bottom w:val="nil"/>
            </w:tcBorders>
            <w:shd w:val="clear" w:color="auto" w:fill="FFFFFF"/>
            <w:vAlign w:val="center"/>
          </w:tcPr>
          <w:p w14:paraId="2768DA34"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1.475</w:t>
            </w:r>
          </w:p>
        </w:tc>
        <w:tc>
          <w:tcPr>
            <w:tcW w:w="924" w:type="dxa"/>
            <w:tcBorders>
              <w:top w:val="nil"/>
              <w:bottom w:val="nil"/>
            </w:tcBorders>
            <w:shd w:val="clear" w:color="auto" w:fill="FFFFFF"/>
            <w:vAlign w:val="center"/>
          </w:tcPr>
          <w:p w14:paraId="7C87CDA9"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c>
          <w:tcPr>
            <w:tcW w:w="845" w:type="dxa"/>
            <w:tcBorders>
              <w:top w:val="nil"/>
              <w:bottom w:val="nil"/>
              <w:right w:val="single" w:sz="16" w:space="0" w:color="000000"/>
            </w:tcBorders>
            <w:shd w:val="clear" w:color="auto" w:fill="FFFFFF"/>
            <w:vAlign w:val="center"/>
          </w:tcPr>
          <w:p w14:paraId="00E9C542"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r>
      <w:tr w:rsidR="00232E8A" w:rsidRPr="006A1B95" w14:paraId="6E8F55FB" w14:textId="77777777" w:rsidTr="00232E8A">
        <w:trPr>
          <w:cantSplit/>
          <w:trHeight w:val="142"/>
        </w:trPr>
        <w:tc>
          <w:tcPr>
            <w:tcW w:w="1554" w:type="dxa"/>
            <w:vMerge/>
            <w:tcBorders>
              <w:top w:val="nil"/>
              <w:left w:val="single" w:sz="16" w:space="0" w:color="000000"/>
              <w:bottom w:val="single" w:sz="16" w:space="0" w:color="000000"/>
              <w:right w:val="nil"/>
            </w:tcBorders>
            <w:shd w:val="clear" w:color="auto" w:fill="FFFFFF"/>
          </w:tcPr>
          <w:p w14:paraId="15A87C98" w14:textId="77777777" w:rsidR="00C405C1" w:rsidRPr="006B027F" w:rsidRDefault="00C405C1" w:rsidP="006B027F">
            <w:pPr>
              <w:widowControl w:val="0"/>
              <w:autoSpaceDE w:val="0"/>
              <w:autoSpaceDN w:val="0"/>
              <w:adjustRightInd w:val="0"/>
              <w:spacing w:line="240" w:lineRule="auto"/>
              <w:rPr>
                <w:rFonts w:ascii="Times New Roman" w:hAnsi="Times New Roman"/>
                <w:sz w:val="20"/>
                <w:szCs w:val="20"/>
              </w:rPr>
            </w:pPr>
          </w:p>
        </w:tc>
        <w:tc>
          <w:tcPr>
            <w:tcW w:w="1925" w:type="dxa"/>
            <w:gridSpan w:val="3"/>
            <w:tcBorders>
              <w:top w:val="nil"/>
              <w:left w:val="nil"/>
              <w:bottom w:val="single" w:sz="16" w:space="0" w:color="000000"/>
              <w:right w:val="single" w:sz="16" w:space="0" w:color="000000"/>
            </w:tcBorders>
            <w:shd w:val="clear" w:color="auto" w:fill="FFFFFF"/>
          </w:tcPr>
          <w:p w14:paraId="7BC0841B"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Lower-bound</w:t>
            </w:r>
          </w:p>
        </w:tc>
        <w:tc>
          <w:tcPr>
            <w:tcW w:w="978" w:type="dxa"/>
            <w:tcBorders>
              <w:top w:val="nil"/>
              <w:left w:val="single" w:sz="16" w:space="0" w:color="000000"/>
              <w:bottom w:val="single" w:sz="16" w:space="0" w:color="000000"/>
            </w:tcBorders>
            <w:shd w:val="clear" w:color="auto" w:fill="FFFFFF"/>
            <w:vAlign w:val="center"/>
          </w:tcPr>
          <w:p w14:paraId="239900CD"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40.875</w:t>
            </w:r>
          </w:p>
        </w:tc>
        <w:tc>
          <w:tcPr>
            <w:tcW w:w="1638" w:type="dxa"/>
            <w:gridSpan w:val="2"/>
            <w:tcBorders>
              <w:top w:val="nil"/>
              <w:bottom w:val="single" w:sz="16" w:space="0" w:color="000000"/>
            </w:tcBorders>
            <w:shd w:val="clear" w:color="auto" w:fill="FFFFFF"/>
            <w:vAlign w:val="center"/>
          </w:tcPr>
          <w:p w14:paraId="3FC07371"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15.000</w:t>
            </w:r>
          </w:p>
        </w:tc>
        <w:tc>
          <w:tcPr>
            <w:tcW w:w="1507" w:type="dxa"/>
            <w:gridSpan w:val="3"/>
            <w:tcBorders>
              <w:top w:val="nil"/>
              <w:bottom w:val="single" w:sz="16" w:space="0" w:color="000000"/>
            </w:tcBorders>
            <w:shd w:val="clear" w:color="auto" w:fill="FFFFFF"/>
            <w:vAlign w:val="center"/>
          </w:tcPr>
          <w:p w14:paraId="55198E04"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2.725</w:t>
            </w:r>
          </w:p>
        </w:tc>
        <w:tc>
          <w:tcPr>
            <w:tcW w:w="924" w:type="dxa"/>
            <w:tcBorders>
              <w:top w:val="nil"/>
              <w:bottom w:val="single" w:sz="16" w:space="0" w:color="000000"/>
            </w:tcBorders>
            <w:shd w:val="clear" w:color="auto" w:fill="FFFFFF"/>
            <w:vAlign w:val="center"/>
          </w:tcPr>
          <w:p w14:paraId="506A12BC"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c>
          <w:tcPr>
            <w:tcW w:w="845" w:type="dxa"/>
            <w:tcBorders>
              <w:top w:val="nil"/>
              <w:bottom w:val="single" w:sz="16" w:space="0" w:color="000000"/>
              <w:right w:val="single" w:sz="16" w:space="0" w:color="000000"/>
            </w:tcBorders>
            <w:shd w:val="clear" w:color="auto" w:fill="FFFFFF"/>
            <w:vAlign w:val="center"/>
          </w:tcPr>
          <w:p w14:paraId="105D83A0"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r>
    </w:tbl>
    <w:p w14:paraId="0BE27B9E" w14:textId="77777777" w:rsidR="00C405C1" w:rsidRDefault="00C405C1" w:rsidP="00C405C1"/>
    <w:p w14:paraId="0437C480" w14:textId="77777777" w:rsidR="00DE6E71" w:rsidRDefault="00DE6E71" w:rsidP="00C405C1"/>
    <w:p w14:paraId="6A7A270F" w14:textId="77777777" w:rsidR="00DE6E71" w:rsidRDefault="00DE6E71" w:rsidP="00C405C1"/>
    <w:p w14:paraId="6B394C01" w14:textId="77777777" w:rsidR="00DE6E71" w:rsidRDefault="00DE6E71" w:rsidP="00C405C1"/>
    <w:p w14:paraId="1025AF3D" w14:textId="77777777" w:rsidR="00DE6E71" w:rsidRDefault="00DE6E71" w:rsidP="00C405C1"/>
    <w:tbl>
      <w:tblPr>
        <w:tblW w:w="8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79"/>
        <w:gridCol w:w="1710"/>
        <w:gridCol w:w="1369"/>
        <w:gridCol w:w="951"/>
        <w:gridCol w:w="1337"/>
        <w:gridCol w:w="951"/>
        <w:gridCol w:w="953"/>
      </w:tblGrid>
      <w:tr w:rsidR="00DE6E71" w:rsidRPr="00484AE6" w14:paraId="2CAE5165" w14:textId="77777777" w:rsidTr="00DE6E71">
        <w:trPr>
          <w:cantSplit/>
          <w:trHeight w:val="693"/>
        </w:trPr>
        <w:tc>
          <w:tcPr>
            <w:tcW w:w="8650" w:type="dxa"/>
            <w:gridSpan w:val="7"/>
            <w:tcBorders>
              <w:top w:val="nil"/>
              <w:left w:val="nil"/>
              <w:bottom w:val="nil"/>
              <w:right w:val="nil"/>
            </w:tcBorders>
            <w:shd w:val="clear" w:color="auto" w:fill="FFFFFF"/>
            <w:vAlign w:val="center"/>
          </w:tcPr>
          <w:p w14:paraId="0AAD1293" w14:textId="77777777" w:rsidR="00C405C1" w:rsidRPr="00484AE6" w:rsidRDefault="00C405C1" w:rsidP="00327506">
            <w:pPr>
              <w:widowControl w:val="0"/>
              <w:autoSpaceDE w:val="0"/>
              <w:autoSpaceDN w:val="0"/>
              <w:adjustRightInd w:val="0"/>
              <w:spacing w:line="320" w:lineRule="atLeast"/>
              <w:ind w:left="60" w:right="60"/>
              <w:jc w:val="center"/>
              <w:rPr>
                <w:rFonts w:cs="Arial"/>
                <w:color w:val="000000"/>
              </w:rPr>
            </w:pPr>
            <w:r w:rsidRPr="00484AE6">
              <w:rPr>
                <w:rFonts w:cs="Arial"/>
                <w:b/>
                <w:bCs/>
                <w:color w:val="000000"/>
              </w:rPr>
              <w:t>Tests of Within-Subjects Contrasts</w:t>
            </w:r>
          </w:p>
        </w:tc>
      </w:tr>
      <w:tr w:rsidR="00DE6E71" w:rsidRPr="00484AE6" w14:paraId="4C50D246" w14:textId="77777777" w:rsidTr="00DE6E71">
        <w:trPr>
          <w:cantSplit/>
          <w:trHeight w:val="693"/>
        </w:trPr>
        <w:tc>
          <w:tcPr>
            <w:tcW w:w="8650" w:type="dxa"/>
            <w:gridSpan w:val="7"/>
            <w:tcBorders>
              <w:top w:val="nil"/>
              <w:left w:val="nil"/>
              <w:bottom w:val="nil"/>
              <w:right w:val="nil"/>
            </w:tcBorders>
            <w:shd w:val="clear" w:color="auto" w:fill="FFFFFF"/>
            <w:vAlign w:val="bottom"/>
          </w:tcPr>
          <w:p w14:paraId="367547D0" w14:textId="657E0027" w:rsidR="00C405C1" w:rsidRPr="00484AE6" w:rsidRDefault="00C405C1" w:rsidP="00327506">
            <w:pPr>
              <w:widowControl w:val="0"/>
              <w:autoSpaceDE w:val="0"/>
              <w:autoSpaceDN w:val="0"/>
              <w:adjustRightInd w:val="0"/>
              <w:spacing w:line="320" w:lineRule="atLeast"/>
              <w:rPr>
                <w:rFonts w:ascii="Times New Roman" w:hAnsi="Times New Roman"/>
              </w:rPr>
            </w:pPr>
          </w:p>
        </w:tc>
      </w:tr>
      <w:tr w:rsidR="00DE6E71" w:rsidRPr="00484AE6" w14:paraId="6CBE1550" w14:textId="77777777" w:rsidTr="00DE6E71">
        <w:trPr>
          <w:cantSplit/>
          <w:trHeight w:val="820"/>
        </w:trPr>
        <w:tc>
          <w:tcPr>
            <w:tcW w:w="1379" w:type="dxa"/>
            <w:tcBorders>
              <w:top w:val="single" w:sz="16" w:space="0" w:color="000000"/>
              <w:left w:val="single" w:sz="16" w:space="0" w:color="000000"/>
              <w:bottom w:val="single" w:sz="16" w:space="0" w:color="000000"/>
              <w:right w:val="nil"/>
            </w:tcBorders>
            <w:shd w:val="clear" w:color="auto" w:fill="FFFFFF"/>
            <w:vAlign w:val="bottom"/>
          </w:tcPr>
          <w:p w14:paraId="539FADDB" w14:textId="77777777" w:rsidR="00C405C1" w:rsidRPr="00DE6E71" w:rsidRDefault="00C405C1" w:rsidP="00DE6E71">
            <w:pPr>
              <w:widowControl w:val="0"/>
              <w:autoSpaceDE w:val="0"/>
              <w:autoSpaceDN w:val="0"/>
              <w:adjustRightInd w:val="0"/>
              <w:spacing w:line="240" w:lineRule="auto"/>
              <w:ind w:left="60" w:right="60"/>
              <w:rPr>
                <w:rFonts w:cs="Arial"/>
                <w:color w:val="000000"/>
                <w:sz w:val="20"/>
                <w:szCs w:val="20"/>
              </w:rPr>
            </w:pPr>
            <w:r w:rsidRPr="00DE6E71">
              <w:rPr>
                <w:rFonts w:cs="Arial"/>
                <w:color w:val="000000"/>
                <w:sz w:val="20"/>
                <w:szCs w:val="20"/>
              </w:rPr>
              <w:t>Source</w:t>
            </w:r>
          </w:p>
        </w:tc>
        <w:tc>
          <w:tcPr>
            <w:tcW w:w="1710" w:type="dxa"/>
            <w:tcBorders>
              <w:top w:val="single" w:sz="16" w:space="0" w:color="000000"/>
              <w:left w:val="nil"/>
              <w:bottom w:val="single" w:sz="16" w:space="0" w:color="000000"/>
              <w:right w:val="single" w:sz="16" w:space="0" w:color="000000"/>
            </w:tcBorders>
            <w:shd w:val="clear" w:color="auto" w:fill="FFFFFF"/>
            <w:vAlign w:val="bottom"/>
          </w:tcPr>
          <w:p w14:paraId="2FDD9003" w14:textId="77777777" w:rsidR="00C405C1" w:rsidRPr="00DE6E71" w:rsidRDefault="00C405C1" w:rsidP="00DE6E71">
            <w:pPr>
              <w:widowControl w:val="0"/>
              <w:autoSpaceDE w:val="0"/>
              <w:autoSpaceDN w:val="0"/>
              <w:adjustRightInd w:val="0"/>
              <w:spacing w:line="240" w:lineRule="auto"/>
              <w:ind w:left="60" w:right="60"/>
              <w:rPr>
                <w:rFonts w:cs="Arial"/>
                <w:color w:val="000000"/>
                <w:sz w:val="20"/>
                <w:szCs w:val="20"/>
              </w:rPr>
            </w:pPr>
            <w:r w:rsidRPr="00DE6E71">
              <w:rPr>
                <w:rFonts w:cs="Arial"/>
                <w:color w:val="000000"/>
                <w:sz w:val="20"/>
                <w:szCs w:val="20"/>
              </w:rPr>
              <w:t>factor1</w:t>
            </w:r>
          </w:p>
        </w:tc>
        <w:tc>
          <w:tcPr>
            <w:tcW w:w="1369" w:type="dxa"/>
            <w:tcBorders>
              <w:top w:val="single" w:sz="16" w:space="0" w:color="000000"/>
              <w:left w:val="single" w:sz="16" w:space="0" w:color="000000"/>
              <w:bottom w:val="single" w:sz="16" w:space="0" w:color="000000"/>
            </w:tcBorders>
            <w:shd w:val="clear" w:color="auto" w:fill="FFFFFF"/>
            <w:vAlign w:val="bottom"/>
          </w:tcPr>
          <w:p w14:paraId="61EA9AAE" w14:textId="77777777" w:rsidR="00C405C1" w:rsidRPr="00DE6E71" w:rsidRDefault="00C405C1" w:rsidP="00DE6E71">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Type III Sum of Squares</w:t>
            </w:r>
          </w:p>
        </w:tc>
        <w:tc>
          <w:tcPr>
            <w:tcW w:w="951" w:type="dxa"/>
            <w:tcBorders>
              <w:top w:val="single" w:sz="16" w:space="0" w:color="000000"/>
              <w:bottom w:val="single" w:sz="16" w:space="0" w:color="000000"/>
            </w:tcBorders>
            <w:shd w:val="clear" w:color="auto" w:fill="FFFFFF"/>
            <w:vAlign w:val="bottom"/>
          </w:tcPr>
          <w:p w14:paraId="003CEC04" w14:textId="77777777" w:rsidR="00C405C1" w:rsidRPr="00DE6E71" w:rsidRDefault="00C405C1" w:rsidP="00DE6E71">
            <w:pPr>
              <w:widowControl w:val="0"/>
              <w:autoSpaceDE w:val="0"/>
              <w:autoSpaceDN w:val="0"/>
              <w:adjustRightInd w:val="0"/>
              <w:spacing w:line="240" w:lineRule="auto"/>
              <w:ind w:left="60" w:right="60"/>
              <w:jc w:val="center"/>
              <w:rPr>
                <w:rFonts w:cs="Arial"/>
                <w:color w:val="000000"/>
                <w:sz w:val="20"/>
                <w:szCs w:val="20"/>
              </w:rPr>
            </w:pPr>
            <w:proofErr w:type="spellStart"/>
            <w:r w:rsidRPr="00DE6E71">
              <w:rPr>
                <w:rFonts w:cs="Arial"/>
                <w:color w:val="000000"/>
                <w:sz w:val="20"/>
                <w:szCs w:val="20"/>
              </w:rPr>
              <w:t>df</w:t>
            </w:r>
            <w:proofErr w:type="spellEnd"/>
          </w:p>
        </w:tc>
        <w:tc>
          <w:tcPr>
            <w:tcW w:w="1337" w:type="dxa"/>
            <w:tcBorders>
              <w:top w:val="single" w:sz="16" w:space="0" w:color="000000"/>
              <w:bottom w:val="single" w:sz="16" w:space="0" w:color="000000"/>
            </w:tcBorders>
            <w:shd w:val="clear" w:color="auto" w:fill="FFFFFF"/>
            <w:vAlign w:val="bottom"/>
          </w:tcPr>
          <w:p w14:paraId="3C371106" w14:textId="77777777" w:rsidR="00C405C1" w:rsidRPr="00DE6E71" w:rsidRDefault="00C405C1" w:rsidP="00DE6E71">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Mean Square</w:t>
            </w:r>
          </w:p>
        </w:tc>
        <w:tc>
          <w:tcPr>
            <w:tcW w:w="951" w:type="dxa"/>
            <w:tcBorders>
              <w:top w:val="single" w:sz="16" w:space="0" w:color="000000"/>
              <w:bottom w:val="single" w:sz="16" w:space="0" w:color="000000"/>
            </w:tcBorders>
            <w:shd w:val="clear" w:color="auto" w:fill="FFFFFF"/>
            <w:vAlign w:val="bottom"/>
          </w:tcPr>
          <w:p w14:paraId="2794D62B" w14:textId="77777777" w:rsidR="00C405C1" w:rsidRPr="00DE6E71" w:rsidRDefault="00C405C1" w:rsidP="00DE6E71">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F</w:t>
            </w:r>
          </w:p>
        </w:tc>
        <w:tc>
          <w:tcPr>
            <w:tcW w:w="951" w:type="dxa"/>
            <w:tcBorders>
              <w:top w:val="single" w:sz="16" w:space="0" w:color="000000"/>
              <w:bottom w:val="single" w:sz="16" w:space="0" w:color="000000"/>
              <w:right w:val="single" w:sz="16" w:space="0" w:color="000000"/>
            </w:tcBorders>
            <w:shd w:val="clear" w:color="auto" w:fill="FFFFFF"/>
            <w:vAlign w:val="bottom"/>
          </w:tcPr>
          <w:p w14:paraId="13E90052" w14:textId="77777777" w:rsidR="00C405C1" w:rsidRPr="00DE6E71" w:rsidRDefault="00C405C1" w:rsidP="00DE6E71">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Sig.</w:t>
            </w:r>
          </w:p>
        </w:tc>
      </w:tr>
      <w:tr w:rsidR="00DE6E71" w:rsidRPr="00484AE6" w14:paraId="72B9A1A6" w14:textId="77777777" w:rsidTr="00DE6E71">
        <w:trPr>
          <w:cantSplit/>
          <w:trHeight w:val="620"/>
        </w:trPr>
        <w:tc>
          <w:tcPr>
            <w:tcW w:w="1379" w:type="dxa"/>
            <w:vMerge w:val="restart"/>
            <w:tcBorders>
              <w:top w:val="single" w:sz="16" w:space="0" w:color="000000"/>
              <w:left w:val="single" w:sz="16" w:space="0" w:color="000000"/>
              <w:right w:val="nil"/>
            </w:tcBorders>
            <w:shd w:val="clear" w:color="auto" w:fill="FFFFFF"/>
          </w:tcPr>
          <w:p w14:paraId="5344A1DC" w14:textId="77777777" w:rsidR="00C405C1" w:rsidRPr="00DE6E71" w:rsidRDefault="00C405C1" w:rsidP="00DE6E71">
            <w:pPr>
              <w:widowControl w:val="0"/>
              <w:autoSpaceDE w:val="0"/>
              <w:autoSpaceDN w:val="0"/>
              <w:adjustRightInd w:val="0"/>
              <w:spacing w:line="240" w:lineRule="auto"/>
              <w:ind w:left="60" w:right="60"/>
              <w:rPr>
                <w:rFonts w:cs="Arial"/>
                <w:color w:val="000000"/>
                <w:sz w:val="20"/>
                <w:szCs w:val="20"/>
              </w:rPr>
            </w:pPr>
            <w:r w:rsidRPr="00DE6E71">
              <w:rPr>
                <w:rFonts w:cs="Arial"/>
                <w:color w:val="000000"/>
                <w:sz w:val="20"/>
                <w:szCs w:val="20"/>
              </w:rPr>
              <w:t>factor1</w:t>
            </w:r>
          </w:p>
        </w:tc>
        <w:tc>
          <w:tcPr>
            <w:tcW w:w="1710" w:type="dxa"/>
            <w:tcBorders>
              <w:top w:val="single" w:sz="16" w:space="0" w:color="000000"/>
              <w:left w:val="nil"/>
              <w:bottom w:val="nil"/>
              <w:right w:val="single" w:sz="16" w:space="0" w:color="000000"/>
            </w:tcBorders>
            <w:shd w:val="clear" w:color="auto" w:fill="FFFFFF"/>
          </w:tcPr>
          <w:p w14:paraId="0B02623F" w14:textId="77777777" w:rsidR="00C405C1" w:rsidRPr="00DE6E71" w:rsidRDefault="00C405C1" w:rsidP="00DE6E71">
            <w:pPr>
              <w:widowControl w:val="0"/>
              <w:autoSpaceDE w:val="0"/>
              <w:autoSpaceDN w:val="0"/>
              <w:adjustRightInd w:val="0"/>
              <w:spacing w:line="240" w:lineRule="auto"/>
              <w:ind w:left="60" w:right="60"/>
              <w:rPr>
                <w:rFonts w:cs="Arial"/>
                <w:color w:val="000000"/>
                <w:sz w:val="20"/>
                <w:szCs w:val="20"/>
              </w:rPr>
            </w:pPr>
            <w:r w:rsidRPr="00DE6E71">
              <w:rPr>
                <w:rFonts w:cs="Arial"/>
                <w:color w:val="000000"/>
                <w:sz w:val="20"/>
                <w:szCs w:val="20"/>
              </w:rPr>
              <w:t>Level 1 vs. Later</w:t>
            </w:r>
          </w:p>
        </w:tc>
        <w:tc>
          <w:tcPr>
            <w:tcW w:w="1369" w:type="dxa"/>
            <w:tcBorders>
              <w:top w:val="single" w:sz="16" w:space="0" w:color="000000"/>
              <w:left w:val="single" w:sz="16" w:space="0" w:color="000000"/>
              <w:bottom w:val="nil"/>
            </w:tcBorders>
            <w:shd w:val="clear" w:color="auto" w:fill="FFFFFF"/>
            <w:vAlign w:val="center"/>
          </w:tcPr>
          <w:p w14:paraId="757FBEE2" w14:textId="77777777" w:rsidR="00C405C1" w:rsidRPr="00DE6E71" w:rsidRDefault="00C405C1" w:rsidP="006B027F">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15.016</w:t>
            </w:r>
          </w:p>
        </w:tc>
        <w:tc>
          <w:tcPr>
            <w:tcW w:w="951" w:type="dxa"/>
            <w:tcBorders>
              <w:top w:val="single" w:sz="16" w:space="0" w:color="000000"/>
              <w:bottom w:val="nil"/>
            </w:tcBorders>
            <w:shd w:val="clear" w:color="auto" w:fill="FFFFFF"/>
            <w:vAlign w:val="center"/>
          </w:tcPr>
          <w:p w14:paraId="40CAE68D" w14:textId="77777777" w:rsidR="00C405C1" w:rsidRPr="00DE6E71" w:rsidRDefault="00C405C1" w:rsidP="006B027F">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1</w:t>
            </w:r>
          </w:p>
        </w:tc>
        <w:tc>
          <w:tcPr>
            <w:tcW w:w="1337" w:type="dxa"/>
            <w:tcBorders>
              <w:top w:val="single" w:sz="16" w:space="0" w:color="000000"/>
              <w:bottom w:val="nil"/>
            </w:tcBorders>
            <w:shd w:val="clear" w:color="auto" w:fill="FFFFFF"/>
            <w:vAlign w:val="center"/>
          </w:tcPr>
          <w:p w14:paraId="42FB9234" w14:textId="77777777" w:rsidR="00C405C1" w:rsidRPr="00DE6E71" w:rsidRDefault="00C405C1" w:rsidP="006B027F">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15.016</w:t>
            </w:r>
          </w:p>
        </w:tc>
        <w:tc>
          <w:tcPr>
            <w:tcW w:w="951" w:type="dxa"/>
            <w:tcBorders>
              <w:top w:val="single" w:sz="16" w:space="0" w:color="000000"/>
              <w:bottom w:val="nil"/>
            </w:tcBorders>
            <w:shd w:val="clear" w:color="auto" w:fill="FFFFFF"/>
            <w:vAlign w:val="center"/>
          </w:tcPr>
          <w:p w14:paraId="4824ACB5" w14:textId="77777777" w:rsidR="00C405C1" w:rsidRPr="00DE6E71" w:rsidRDefault="00C405C1" w:rsidP="006B027F">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12.352</w:t>
            </w:r>
          </w:p>
        </w:tc>
        <w:tc>
          <w:tcPr>
            <w:tcW w:w="951" w:type="dxa"/>
            <w:tcBorders>
              <w:top w:val="single" w:sz="16" w:space="0" w:color="000000"/>
              <w:bottom w:val="nil"/>
              <w:right w:val="single" w:sz="16" w:space="0" w:color="000000"/>
            </w:tcBorders>
            <w:shd w:val="clear" w:color="auto" w:fill="FFFFFF"/>
            <w:vAlign w:val="center"/>
          </w:tcPr>
          <w:p w14:paraId="42027119" w14:textId="77777777" w:rsidR="00C405C1" w:rsidRPr="00DE6E71" w:rsidRDefault="00C405C1" w:rsidP="006B027F">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.003</w:t>
            </w:r>
          </w:p>
        </w:tc>
      </w:tr>
      <w:tr w:rsidR="00DE6E71" w:rsidRPr="00484AE6" w14:paraId="0A3CE15A" w14:textId="77777777" w:rsidTr="00DE6E71">
        <w:trPr>
          <w:cantSplit/>
          <w:trHeight w:val="131"/>
        </w:trPr>
        <w:tc>
          <w:tcPr>
            <w:tcW w:w="1379" w:type="dxa"/>
            <w:vMerge/>
            <w:tcBorders>
              <w:top w:val="single" w:sz="16" w:space="0" w:color="000000"/>
              <w:left w:val="single" w:sz="16" w:space="0" w:color="000000"/>
              <w:right w:val="nil"/>
            </w:tcBorders>
            <w:shd w:val="clear" w:color="auto" w:fill="FFFFFF"/>
          </w:tcPr>
          <w:p w14:paraId="567B47C7"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710" w:type="dxa"/>
            <w:tcBorders>
              <w:top w:val="nil"/>
              <w:left w:val="nil"/>
              <w:right w:val="single" w:sz="16" w:space="0" w:color="000000"/>
            </w:tcBorders>
            <w:shd w:val="clear" w:color="auto" w:fill="FFFFFF"/>
          </w:tcPr>
          <w:p w14:paraId="527D7B7A"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Level 2 vs. Level 3</w:t>
            </w:r>
          </w:p>
        </w:tc>
        <w:tc>
          <w:tcPr>
            <w:tcW w:w="1369" w:type="dxa"/>
            <w:tcBorders>
              <w:top w:val="nil"/>
              <w:left w:val="single" w:sz="16" w:space="0" w:color="000000"/>
            </w:tcBorders>
            <w:shd w:val="clear" w:color="auto" w:fill="FFFFFF"/>
            <w:vAlign w:val="center"/>
          </w:tcPr>
          <w:p w14:paraId="32F6DD86"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27.563</w:t>
            </w:r>
          </w:p>
        </w:tc>
        <w:tc>
          <w:tcPr>
            <w:tcW w:w="951" w:type="dxa"/>
            <w:tcBorders>
              <w:top w:val="nil"/>
            </w:tcBorders>
            <w:shd w:val="clear" w:color="auto" w:fill="FFFFFF"/>
            <w:vAlign w:val="center"/>
          </w:tcPr>
          <w:p w14:paraId="439D2E3A"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w:t>
            </w:r>
          </w:p>
        </w:tc>
        <w:tc>
          <w:tcPr>
            <w:tcW w:w="1337" w:type="dxa"/>
            <w:tcBorders>
              <w:top w:val="nil"/>
            </w:tcBorders>
            <w:shd w:val="clear" w:color="auto" w:fill="FFFFFF"/>
            <w:vAlign w:val="center"/>
          </w:tcPr>
          <w:p w14:paraId="00034B07"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27.563</w:t>
            </w:r>
          </w:p>
        </w:tc>
        <w:tc>
          <w:tcPr>
            <w:tcW w:w="951" w:type="dxa"/>
            <w:tcBorders>
              <w:top w:val="nil"/>
            </w:tcBorders>
            <w:shd w:val="clear" w:color="auto" w:fill="FFFFFF"/>
            <w:vAlign w:val="center"/>
          </w:tcPr>
          <w:p w14:paraId="19620ADC"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7.198</w:t>
            </w:r>
          </w:p>
        </w:tc>
        <w:tc>
          <w:tcPr>
            <w:tcW w:w="951" w:type="dxa"/>
            <w:tcBorders>
              <w:top w:val="nil"/>
              <w:right w:val="single" w:sz="16" w:space="0" w:color="000000"/>
            </w:tcBorders>
            <w:shd w:val="clear" w:color="auto" w:fill="FFFFFF"/>
            <w:vAlign w:val="center"/>
          </w:tcPr>
          <w:p w14:paraId="6147600E"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.017</w:t>
            </w:r>
          </w:p>
        </w:tc>
      </w:tr>
      <w:tr w:rsidR="00DE6E71" w:rsidRPr="00484AE6" w14:paraId="23FE390B" w14:textId="77777777" w:rsidTr="00DE6E71">
        <w:trPr>
          <w:cantSplit/>
          <w:trHeight w:val="620"/>
        </w:trPr>
        <w:tc>
          <w:tcPr>
            <w:tcW w:w="1379" w:type="dxa"/>
            <w:vMerge w:val="restart"/>
            <w:tcBorders>
              <w:top w:val="nil"/>
              <w:left w:val="single" w:sz="16" w:space="0" w:color="000000"/>
              <w:bottom w:val="single" w:sz="16" w:space="0" w:color="000000"/>
              <w:right w:val="nil"/>
            </w:tcBorders>
            <w:shd w:val="clear" w:color="auto" w:fill="FFFFFF"/>
          </w:tcPr>
          <w:p w14:paraId="5C9DF6D6" w14:textId="77777777" w:rsidR="00C405C1" w:rsidRPr="00DE6E71" w:rsidRDefault="00C405C1" w:rsidP="00DE6E71">
            <w:pPr>
              <w:widowControl w:val="0"/>
              <w:autoSpaceDE w:val="0"/>
              <w:autoSpaceDN w:val="0"/>
              <w:adjustRightInd w:val="0"/>
              <w:spacing w:line="240" w:lineRule="auto"/>
              <w:ind w:left="60" w:right="60"/>
              <w:rPr>
                <w:rFonts w:cs="Arial"/>
                <w:color w:val="000000"/>
                <w:sz w:val="20"/>
                <w:szCs w:val="20"/>
              </w:rPr>
            </w:pPr>
            <w:r w:rsidRPr="00DE6E71">
              <w:rPr>
                <w:rFonts w:cs="Arial"/>
                <w:color w:val="000000"/>
                <w:sz w:val="20"/>
                <w:szCs w:val="20"/>
              </w:rPr>
              <w:t>Error(factor1)</w:t>
            </w:r>
          </w:p>
        </w:tc>
        <w:tc>
          <w:tcPr>
            <w:tcW w:w="1710" w:type="dxa"/>
            <w:tcBorders>
              <w:top w:val="nil"/>
              <w:left w:val="nil"/>
              <w:bottom w:val="nil"/>
              <w:right w:val="single" w:sz="16" w:space="0" w:color="000000"/>
            </w:tcBorders>
            <w:shd w:val="clear" w:color="auto" w:fill="FFFFFF"/>
          </w:tcPr>
          <w:p w14:paraId="331351F9" w14:textId="77777777" w:rsidR="00C405C1" w:rsidRPr="00DE6E71" w:rsidRDefault="00C405C1" w:rsidP="00DE6E71">
            <w:pPr>
              <w:widowControl w:val="0"/>
              <w:autoSpaceDE w:val="0"/>
              <w:autoSpaceDN w:val="0"/>
              <w:adjustRightInd w:val="0"/>
              <w:spacing w:line="240" w:lineRule="auto"/>
              <w:ind w:left="60" w:right="60"/>
              <w:rPr>
                <w:rFonts w:cs="Arial"/>
                <w:color w:val="000000"/>
                <w:sz w:val="20"/>
                <w:szCs w:val="20"/>
              </w:rPr>
            </w:pPr>
            <w:r w:rsidRPr="00DE6E71">
              <w:rPr>
                <w:rFonts w:cs="Arial"/>
                <w:color w:val="000000"/>
                <w:sz w:val="20"/>
                <w:szCs w:val="20"/>
              </w:rPr>
              <w:t>Level 1 vs. Later</w:t>
            </w:r>
          </w:p>
        </w:tc>
        <w:tc>
          <w:tcPr>
            <w:tcW w:w="1369" w:type="dxa"/>
            <w:tcBorders>
              <w:top w:val="nil"/>
              <w:left w:val="single" w:sz="16" w:space="0" w:color="000000"/>
              <w:bottom w:val="nil"/>
            </w:tcBorders>
            <w:shd w:val="clear" w:color="auto" w:fill="FFFFFF"/>
            <w:vAlign w:val="center"/>
          </w:tcPr>
          <w:p w14:paraId="073C9C52" w14:textId="77777777" w:rsidR="00C405C1" w:rsidRPr="00DE6E71" w:rsidRDefault="00C405C1" w:rsidP="006B027F">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18.234</w:t>
            </w:r>
          </w:p>
        </w:tc>
        <w:tc>
          <w:tcPr>
            <w:tcW w:w="951" w:type="dxa"/>
            <w:tcBorders>
              <w:top w:val="nil"/>
              <w:bottom w:val="nil"/>
            </w:tcBorders>
            <w:shd w:val="clear" w:color="auto" w:fill="FFFFFF"/>
            <w:vAlign w:val="center"/>
          </w:tcPr>
          <w:p w14:paraId="3B45A79E" w14:textId="77777777" w:rsidR="00C405C1" w:rsidRPr="00DE6E71" w:rsidRDefault="00C405C1" w:rsidP="006B027F">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15</w:t>
            </w:r>
          </w:p>
        </w:tc>
        <w:tc>
          <w:tcPr>
            <w:tcW w:w="1337" w:type="dxa"/>
            <w:tcBorders>
              <w:top w:val="nil"/>
              <w:bottom w:val="nil"/>
            </w:tcBorders>
            <w:shd w:val="clear" w:color="auto" w:fill="FFFFFF"/>
            <w:vAlign w:val="center"/>
          </w:tcPr>
          <w:p w14:paraId="7A3C2A38" w14:textId="77777777" w:rsidR="00C405C1" w:rsidRPr="00DE6E71" w:rsidRDefault="00C405C1" w:rsidP="006B027F">
            <w:pPr>
              <w:widowControl w:val="0"/>
              <w:autoSpaceDE w:val="0"/>
              <w:autoSpaceDN w:val="0"/>
              <w:adjustRightInd w:val="0"/>
              <w:spacing w:line="240" w:lineRule="auto"/>
              <w:ind w:left="60" w:right="60"/>
              <w:jc w:val="center"/>
              <w:rPr>
                <w:rFonts w:cs="Arial"/>
                <w:color w:val="000000"/>
                <w:sz w:val="20"/>
                <w:szCs w:val="20"/>
              </w:rPr>
            </w:pPr>
            <w:r w:rsidRPr="00DE6E71">
              <w:rPr>
                <w:rFonts w:cs="Arial"/>
                <w:color w:val="000000"/>
                <w:sz w:val="20"/>
                <w:szCs w:val="20"/>
              </w:rPr>
              <w:t>1.216</w:t>
            </w:r>
          </w:p>
        </w:tc>
        <w:tc>
          <w:tcPr>
            <w:tcW w:w="951" w:type="dxa"/>
            <w:tcBorders>
              <w:top w:val="nil"/>
              <w:bottom w:val="nil"/>
            </w:tcBorders>
            <w:shd w:val="clear" w:color="auto" w:fill="FFFFFF"/>
            <w:vAlign w:val="center"/>
          </w:tcPr>
          <w:p w14:paraId="712C8DAB" w14:textId="77777777" w:rsidR="00C405C1" w:rsidRPr="00DE6E71" w:rsidRDefault="00C405C1" w:rsidP="006B027F">
            <w:pPr>
              <w:widowControl w:val="0"/>
              <w:autoSpaceDE w:val="0"/>
              <w:autoSpaceDN w:val="0"/>
              <w:adjustRightInd w:val="0"/>
              <w:spacing w:line="240" w:lineRule="auto"/>
              <w:jc w:val="center"/>
              <w:rPr>
                <w:rFonts w:ascii="Times New Roman" w:hAnsi="Times New Roman"/>
                <w:sz w:val="20"/>
                <w:szCs w:val="20"/>
              </w:rPr>
            </w:pPr>
          </w:p>
        </w:tc>
        <w:tc>
          <w:tcPr>
            <w:tcW w:w="951" w:type="dxa"/>
            <w:tcBorders>
              <w:top w:val="nil"/>
              <w:bottom w:val="nil"/>
              <w:right w:val="single" w:sz="16" w:space="0" w:color="000000"/>
            </w:tcBorders>
            <w:shd w:val="clear" w:color="auto" w:fill="FFFFFF"/>
            <w:vAlign w:val="center"/>
          </w:tcPr>
          <w:p w14:paraId="5543C58B" w14:textId="77777777" w:rsidR="00C405C1" w:rsidRPr="00DE6E71" w:rsidRDefault="00C405C1" w:rsidP="006B027F">
            <w:pPr>
              <w:widowControl w:val="0"/>
              <w:autoSpaceDE w:val="0"/>
              <w:autoSpaceDN w:val="0"/>
              <w:adjustRightInd w:val="0"/>
              <w:spacing w:line="240" w:lineRule="auto"/>
              <w:jc w:val="center"/>
              <w:rPr>
                <w:rFonts w:ascii="Times New Roman" w:hAnsi="Times New Roman"/>
                <w:sz w:val="20"/>
                <w:szCs w:val="20"/>
              </w:rPr>
            </w:pPr>
          </w:p>
        </w:tc>
      </w:tr>
      <w:tr w:rsidR="00DE6E71" w:rsidRPr="00484AE6" w14:paraId="4F37C524" w14:textId="77777777" w:rsidTr="00DE6E71">
        <w:trPr>
          <w:cantSplit/>
          <w:trHeight w:val="131"/>
        </w:trPr>
        <w:tc>
          <w:tcPr>
            <w:tcW w:w="1379" w:type="dxa"/>
            <w:vMerge/>
            <w:tcBorders>
              <w:top w:val="nil"/>
              <w:left w:val="single" w:sz="16" w:space="0" w:color="000000"/>
              <w:bottom w:val="single" w:sz="16" w:space="0" w:color="000000"/>
              <w:right w:val="nil"/>
            </w:tcBorders>
            <w:shd w:val="clear" w:color="auto" w:fill="FFFFFF"/>
          </w:tcPr>
          <w:p w14:paraId="6ADF22C6" w14:textId="77777777" w:rsidR="00C405C1" w:rsidRPr="006B027F" w:rsidRDefault="00C405C1" w:rsidP="006B027F">
            <w:pPr>
              <w:widowControl w:val="0"/>
              <w:autoSpaceDE w:val="0"/>
              <w:autoSpaceDN w:val="0"/>
              <w:adjustRightInd w:val="0"/>
              <w:spacing w:line="240" w:lineRule="auto"/>
              <w:rPr>
                <w:rFonts w:ascii="Times New Roman" w:hAnsi="Times New Roman"/>
                <w:sz w:val="20"/>
                <w:szCs w:val="20"/>
              </w:rPr>
            </w:pPr>
          </w:p>
        </w:tc>
        <w:tc>
          <w:tcPr>
            <w:tcW w:w="1710" w:type="dxa"/>
            <w:tcBorders>
              <w:top w:val="nil"/>
              <w:left w:val="nil"/>
              <w:bottom w:val="single" w:sz="16" w:space="0" w:color="000000"/>
              <w:right w:val="single" w:sz="16" w:space="0" w:color="000000"/>
            </w:tcBorders>
            <w:shd w:val="clear" w:color="auto" w:fill="FFFFFF"/>
          </w:tcPr>
          <w:p w14:paraId="0D460696"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Level 2 vs. Level 3</w:t>
            </w:r>
          </w:p>
        </w:tc>
        <w:tc>
          <w:tcPr>
            <w:tcW w:w="1369" w:type="dxa"/>
            <w:tcBorders>
              <w:top w:val="nil"/>
              <w:left w:val="single" w:sz="16" w:space="0" w:color="000000"/>
              <w:bottom w:val="single" w:sz="16" w:space="0" w:color="000000"/>
            </w:tcBorders>
            <w:shd w:val="clear" w:color="auto" w:fill="FFFFFF"/>
            <w:vAlign w:val="center"/>
          </w:tcPr>
          <w:p w14:paraId="52775752"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57.438</w:t>
            </w:r>
          </w:p>
        </w:tc>
        <w:tc>
          <w:tcPr>
            <w:tcW w:w="951" w:type="dxa"/>
            <w:tcBorders>
              <w:top w:val="nil"/>
              <w:bottom w:val="single" w:sz="16" w:space="0" w:color="000000"/>
            </w:tcBorders>
            <w:shd w:val="clear" w:color="auto" w:fill="FFFFFF"/>
            <w:vAlign w:val="center"/>
          </w:tcPr>
          <w:p w14:paraId="475DD2C9"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w:t>
            </w:r>
          </w:p>
        </w:tc>
        <w:tc>
          <w:tcPr>
            <w:tcW w:w="1337" w:type="dxa"/>
            <w:tcBorders>
              <w:top w:val="nil"/>
              <w:bottom w:val="single" w:sz="16" w:space="0" w:color="000000"/>
            </w:tcBorders>
            <w:shd w:val="clear" w:color="auto" w:fill="FFFFFF"/>
            <w:vAlign w:val="center"/>
          </w:tcPr>
          <w:p w14:paraId="756C355E"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3.829</w:t>
            </w:r>
          </w:p>
        </w:tc>
        <w:tc>
          <w:tcPr>
            <w:tcW w:w="951" w:type="dxa"/>
            <w:tcBorders>
              <w:top w:val="nil"/>
              <w:bottom w:val="single" w:sz="16" w:space="0" w:color="000000"/>
            </w:tcBorders>
            <w:shd w:val="clear" w:color="auto" w:fill="FFFFFF"/>
            <w:vAlign w:val="center"/>
          </w:tcPr>
          <w:p w14:paraId="53485ADF"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c>
          <w:tcPr>
            <w:tcW w:w="951" w:type="dxa"/>
            <w:tcBorders>
              <w:top w:val="nil"/>
              <w:bottom w:val="single" w:sz="16" w:space="0" w:color="000000"/>
              <w:right w:val="single" w:sz="16" w:space="0" w:color="000000"/>
            </w:tcBorders>
            <w:shd w:val="clear" w:color="auto" w:fill="FFFFFF"/>
            <w:vAlign w:val="center"/>
          </w:tcPr>
          <w:p w14:paraId="19D30371" w14:textId="77777777" w:rsidR="00C405C1" w:rsidRPr="006B027F" w:rsidRDefault="00C405C1" w:rsidP="006B027F">
            <w:pPr>
              <w:widowControl w:val="0"/>
              <w:autoSpaceDE w:val="0"/>
              <w:autoSpaceDN w:val="0"/>
              <w:adjustRightInd w:val="0"/>
              <w:spacing w:line="240" w:lineRule="auto"/>
              <w:jc w:val="center"/>
              <w:rPr>
                <w:rFonts w:ascii="Times New Roman" w:hAnsi="Times New Roman"/>
                <w:sz w:val="20"/>
                <w:szCs w:val="20"/>
              </w:rPr>
            </w:pPr>
          </w:p>
        </w:tc>
      </w:tr>
    </w:tbl>
    <w:p w14:paraId="2992CDAC" w14:textId="77777777" w:rsidR="00C405C1" w:rsidRDefault="00C405C1" w:rsidP="00C405C1"/>
    <w:tbl>
      <w:tblPr>
        <w:tblW w:w="84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57"/>
        <w:gridCol w:w="1717"/>
        <w:gridCol w:w="1198"/>
        <w:gridCol w:w="1685"/>
        <w:gridCol w:w="1415"/>
        <w:gridCol w:w="1202"/>
      </w:tblGrid>
      <w:tr w:rsidR="00C405C1" w:rsidRPr="00484AE6" w14:paraId="28AEE2AB" w14:textId="77777777" w:rsidTr="006B027F">
        <w:trPr>
          <w:cantSplit/>
          <w:trHeight w:val="834"/>
        </w:trPr>
        <w:tc>
          <w:tcPr>
            <w:tcW w:w="8474" w:type="dxa"/>
            <w:gridSpan w:val="6"/>
            <w:tcBorders>
              <w:top w:val="nil"/>
              <w:left w:val="nil"/>
              <w:bottom w:val="nil"/>
              <w:right w:val="nil"/>
            </w:tcBorders>
            <w:shd w:val="clear" w:color="auto" w:fill="FFFFFF"/>
            <w:vAlign w:val="center"/>
          </w:tcPr>
          <w:p w14:paraId="7FE8FFEB" w14:textId="77777777" w:rsidR="00C405C1" w:rsidRPr="00484AE6" w:rsidRDefault="00C405C1" w:rsidP="00327506">
            <w:pPr>
              <w:widowControl w:val="0"/>
              <w:autoSpaceDE w:val="0"/>
              <w:autoSpaceDN w:val="0"/>
              <w:adjustRightInd w:val="0"/>
              <w:spacing w:line="320" w:lineRule="atLeast"/>
              <w:ind w:left="60" w:right="60"/>
              <w:jc w:val="center"/>
              <w:rPr>
                <w:rFonts w:cs="Arial"/>
                <w:color w:val="000000"/>
              </w:rPr>
            </w:pPr>
            <w:r w:rsidRPr="00484AE6">
              <w:rPr>
                <w:rFonts w:cs="Arial"/>
                <w:b/>
                <w:bCs/>
                <w:color w:val="000000"/>
              </w:rPr>
              <w:t>Tests of Between-Subjects Effects</w:t>
            </w:r>
          </w:p>
        </w:tc>
      </w:tr>
      <w:tr w:rsidR="00C405C1" w:rsidRPr="00484AE6" w14:paraId="56E13D5A" w14:textId="77777777" w:rsidTr="006B027F">
        <w:trPr>
          <w:cantSplit/>
          <w:trHeight w:val="834"/>
        </w:trPr>
        <w:tc>
          <w:tcPr>
            <w:tcW w:w="8474" w:type="dxa"/>
            <w:gridSpan w:val="6"/>
            <w:tcBorders>
              <w:top w:val="nil"/>
              <w:left w:val="nil"/>
              <w:bottom w:val="nil"/>
              <w:right w:val="nil"/>
            </w:tcBorders>
            <w:shd w:val="clear" w:color="auto" w:fill="FFFFFF"/>
            <w:vAlign w:val="bottom"/>
          </w:tcPr>
          <w:p w14:paraId="583A7D2E" w14:textId="2DD8C6EA" w:rsidR="00C405C1" w:rsidRPr="00484AE6" w:rsidRDefault="00C405C1" w:rsidP="00327506">
            <w:pPr>
              <w:widowControl w:val="0"/>
              <w:autoSpaceDE w:val="0"/>
              <w:autoSpaceDN w:val="0"/>
              <w:adjustRightInd w:val="0"/>
              <w:spacing w:line="320" w:lineRule="atLeast"/>
              <w:rPr>
                <w:rFonts w:ascii="Times New Roman" w:hAnsi="Times New Roman"/>
              </w:rPr>
            </w:pPr>
          </w:p>
        </w:tc>
      </w:tr>
      <w:tr w:rsidR="00C405C1" w:rsidRPr="00484AE6" w14:paraId="640D11C3" w14:textId="77777777" w:rsidTr="006B027F">
        <w:trPr>
          <w:cantSplit/>
          <w:trHeight w:val="834"/>
        </w:trPr>
        <w:tc>
          <w:tcPr>
            <w:tcW w:w="8474" w:type="dxa"/>
            <w:gridSpan w:val="6"/>
            <w:tcBorders>
              <w:top w:val="nil"/>
              <w:left w:val="nil"/>
              <w:bottom w:val="nil"/>
              <w:right w:val="nil"/>
            </w:tcBorders>
            <w:shd w:val="clear" w:color="auto" w:fill="FFFFFF"/>
            <w:vAlign w:val="bottom"/>
          </w:tcPr>
          <w:p w14:paraId="19FB9843" w14:textId="77777777" w:rsidR="00C405C1" w:rsidRPr="00484AE6" w:rsidRDefault="00C405C1" w:rsidP="00327506">
            <w:pPr>
              <w:widowControl w:val="0"/>
              <w:autoSpaceDE w:val="0"/>
              <w:autoSpaceDN w:val="0"/>
              <w:adjustRightInd w:val="0"/>
              <w:spacing w:line="320" w:lineRule="atLeast"/>
              <w:rPr>
                <w:rFonts w:ascii="Times New Roman" w:hAnsi="Times New Roman"/>
              </w:rPr>
            </w:pPr>
            <w:r w:rsidRPr="00484AE6">
              <w:rPr>
                <w:rFonts w:cs="Arial"/>
                <w:color w:val="000000"/>
                <w:shd w:val="clear" w:color="auto" w:fill="FFFFFF"/>
              </w:rPr>
              <w:t xml:space="preserve">Transformed Variable:   Average  </w:t>
            </w:r>
          </w:p>
        </w:tc>
      </w:tr>
      <w:tr w:rsidR="00DE6E71" w:rsidRPr="00484AE6" w14:paraId="4E32CADE" w14:textId="77777777" w:rsidTr="00DE6E71">
        <w:trPr>
          <w:cantSplit/>
          <w:trHeight w:val="1184"/>
        </w:trPr>
        <w:tc>
          <w:tcPr>
            <w:tcW w:w="1257"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646F545B" w14:textId="77777777" w:rsidR="00C405C1" w:rsidRPr="006B027F" w:rsidRDefault="00C405C1" w:rsidP="00327506">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Source</w:t>
            </w:r>
          </w:p>
        </w:tc>
        <w:tc>
          <w:tcPr>
            <w:tcW w:w="1717" w:type="dxa"/>
            <w:tcBorders>
              <w:top w:val="single" w:sz="16" w:space="0" w:color="000000"/>
              <w:left w:val="single" w:sz="16" w:space="0" w:color="000000"/>
              <w:bottom w:val="single" w:sz="16" w:space="0" w:color="000000"/>
            </w:tcBorders>
            <w:shd w:val="clear" w:color="auto" w:fill="FFFFFF"/>
            <w:vAlign w:val="bottom"/>
          </w:tcPr>
          <w:p w14:paraId="1E042431" w14:textId="77777777" w:rsidR="00C405C1" w:rsidRPr="006B027F" w:rsidRDefault="00C405C1" w:rsidP="00327506">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Type III Sum of Squares</w:t>
            </w:r>
          </w:p>
        </w:tc>
        <w:tc>
          <w:tcPr>
            <w:tcW w:w="1198" w:type="dxa"/>
            <w:tcBorders>
              <w:top w:val="single" w:sz="16" w:space="0" w:color="000000"/>
              <w:bottom w:val="single" w:sz="16" w:space="0" w:color="000000"/>
            </w:tcBorders>
            <w:shd w:val="clear" w:color="auto" w:fill="FFFFFF"/>
            <w:vAlign w:val="bottom"/>
          </w:tcPr>
          <w:p w14:paraId="1FED2C51" w14:textId="77777777" w:rsidR="00C405C1" w:rsidRPr="006B027F" w:rsidRDefault="00C405C1" w:rsidP="00327506">
            <w:pPr>
              <w:widowControl w:val="0"/>
              <w:autoSpaceDE w:val="0"/>
              <w:autoSpaceDN w:val="0"/>
              <w:adjustRightInd w:val="0"/>
              <w:spacing w:line="320" w:lineRule="atLeast"/>
              <w:ind w:left="60" w:right="60"/>
              <w:jc w:val="center"/>
              <w:rPr>
                <w:rFonts w:cs="Arial"/>
                <w:color w:val="000000"/>
                <w:sz w:val="20"/>
                <w:szCs w:val="20"/>
              </w:rPr>
            </w:pPr>
            <w:proofErr w:type="spellStart"/>
            <w:r w:rsidRPr="006B027F">
              <w:rPr>
                <w:rFonts w:cs="Arial"/>
                <w:color w:val="000000"/>
                <w:sz w:val="20"/>
                <w:szCs w:val="20"/>
              </w:rPr>
              <w:t>df</w:t>
            </w:r>
            <w:proofErr w:type="spellEnd"/>
          </w:p>
        </w:tc>
        <w:tc>
          <w:tcPr>
            <w:tcW w:w="1685" w:type="dxa"/>
            <w:tcBorders>
              <w:top w:val="single" w:sz="16" w:space="0" w:color="000000"/>
              <w:bottom w:val="single" w:sz="16" w:space="0" w:color="000000"/>
            </w:tcBorders>
            <w:shd w:val="clear" w:color="auto" w:fill="FFFFFF"/>
            <w:vAlign w:val="bottom"/>
          </w:tcPr>
          <w:p w14:paraId="68C9E1F6" w14:textId="77777777" w:rsidR="00C405C1" w:rsidRPr="006B027F" w:rsidRDefault="00C405C1" w:rsidP="00327506">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Mean Square</w:t>
            </w:r>
          </w:p>
        </w:tc>
        <w:tc>
          <w:tcPr>
            <w:tcW w:w="1415" w:type="dxa"/>
            <w:tcBorders>
              <w:top w:val="single" w:sz="16" w:space="0" w:color="000000"/>
              <w:bottom w:val="single" w:sz="16" w:space="0" w:color="000000"/>
            </w:tcBorders>
            <w:shd w:val="clear" w:color="auto" w:fill="FFFFFF"/>
            <w:vAlign w:val="bottom"/>
          </w:tcPr>
          <w:p w14:paraId="23EE7F99" w14:textId="77777777" w:rsidR="00C405C1" w:rsidRPr="006B027F" w:rsidRDefault="00C405C1" w:rsidP="00327506">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F</w:t>
            </w:r>
          </w:p>
        </w:tc>
        <w:tc>
          <w:tcPr>
            <w:tcW w:w="1198" w:type="dxa"/>
            <w:tcBorders>
              <w:top w:val="single" w:sz="16" w:space="0" w:color="000000"/>
              <w:bottom w:val="single" w:sz="16" w:space="0" w:color="000000"/>
              <w:right w:val="single" w:sz="16" w:space="0" w:color="000000"/>
            </w:tcBorders>
            <w:shd w:val="clear" w:color="auto" w:fill="FFFFFF"/>
            <w:vAlign w:val="bottom"/>
          </w:tcPr>
          <w:p w14:paraId="0FA1D346" w14:textId="77777777" w:rsidR="00C405C1" w:rsidRPr="006B027F" w:rsidRDefault="00C405C1" w:rsidP="00327506">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Sig.</w:t>
            </w:r>
          </w:p>
        </w:tc>
      </w:tr>
      <w:tr w:rsidR="00DE6E71" w:rsidRPr="00484AE6" w14:paraId="12AD933A" w14:textId="77777777" w:rsidTr="00DE6E71">
        <w:trPr>
          <w:cantSplit/>
          <w:trHeight w:val="834"/>
        </w:trPr>
        <w:tc>
          <w:tcPr>
            <w:tcW w:w="1257" w:type="dxa"/>
            <w:tcBorders>
              <w:top w:val="single" w:sz="16" w:space="0" w:color="000000"/>
              <w:left w:val="single" w:sz="16" w:space="0" w:color="000000"/>
              <w:bottom w:val="nil"/>
              <w:right w:val="single" w:sz="16" w:space="0" w:color="000000"/>
            </w:tcBorders>
            <w:shd w:val="clear" w:color="auto" w:fill="FFFFFF"/>
          </w:tcPr>
          <w:p w14:paraId="0D9D8776" w14:textId="77777777" w:rsidR="00C405C1" w:rsidRPr="006B027F" w:rsidRDefault="00C405C1" w:rsidP="00327506">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Intercept</w:t>
            </w:r>
          </w:p>
        </w:tc>
        <w:tc>
          <w:tcPr>
            <w:tcW w:w="1717" w:type="dxa"/>
            <w:tcBorders>
              <w:top w:val="single" w:sz="16" w:space="0" w:color="000000"/>
              <w:left w:val="single" w:sz="16" w:space="0" w:color="000000"/>
              <w:bottom w:val="nil"/>
            </w:tcBorders>
            <w:shd w:val="clear" w:color="auto" w:fill="FFFFFF"/>
            <w:vAlign w:val="center"/>
          </w:tcPr>
          <w:p w14:paraId="6F62610D" w14:textId="77777777" w:rsidR="00C405C1" w:rsidRPr="006B027F" w:rsidRDefault="00C405C1" w:rsidP="00327506">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667.361</w:t>
            </w:r>
          </w:p>
        </w:tc>
        <w:tc>
          <w:tcPr>
            <w:tcW w:w="1198" w:type="dxa"/>
            <w:tcBorders>
              <w:top w:val="single" w:sz="16" w:space="0" w:color="000000"/>
              <w:bottom w:val="nil"/>
            </w:tcBorders>
            <w:shd w:val="clear" w:color="auto" w:fill="FFFFFF"/>
            <w:vAlign w:val="center"/>
          </w:tcPr>
          <w:p w14:paraId="2C322FDA" w14:textId="77777777" w:rsidR="00C405C1" w:rsidRPr="006B027F" w:rsidRDefault="00C405C1" w:rsidP="00327506">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1</w:t>
            </w:r>
          </w:p>
        </w:tc>
        <w:tc>
          <w:tcPr>
            <w:tcW w:w="1685" w:type="dxa"/>
            <w:tcBorders>
              <w:top w:val="single" w:sz="16" w:space="0" w:color="000000"/>
              <w:bottom w:val="nil"/>
            </w:tcBorders>
            <w:shd w:val="clear" w:color="auto" w:fill="FFFFFF"/>
            <w:vAlign w:val="center"/>
          </w:tcPr>
          <w:p w14:paraId="1C62890D" w14:textId="77777777" w:rsidR="00C405C1" w:rsidRPr="006B027F" w:rsidRDefault="00C405C1" w:rsidP="00327506">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667.361</w:t>
            </w:r>
          </w:p>
        </w:tc>
        <w:tc>
          <w:tcPr>
            <w:tcW w:w="1415" w:type="dxa"/>
            <w:tcBorders>
              <w:top w:val="single" w:sz="16" w:space="0" w:color="000000"/>
              <w:bottom w:val="nil"/>
            </w:tcBorders>
            <w:shd w:val="clear" w:color="auto" w:fill="FFFFFF"/>
            <w:vAlign w:val="center"/>
          </w:tcPr>
          <w:p w14:paraId="0B307CCF" w14:textId="77777777" w:rsidR="00C405C1" w:rsidRPr="006B027F" w:rsidRDefault="00C405C1" w:rsidP="00327506">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1413.235</w:t>
            </w:r>
          </w:p>
        </w:tc>
        <w:tc>
          <w:tcPr>
            <w:tcW w:w="1198" w:type="dxa"/>
            <w:tcBorders>
              <w:top w:val="single" w:sz="16" w:space="0" w:color="000000"/>
              <w:bottom w:val="nil"/>
              <w:right w:val="single" w:sz="16" w:space="0" w:color="000000"/>
            </w:tcBorders>
            <w:shd w:val="clear" w:color="auto" w:fill="FFFFFF"/>
            <w:vAlign w:val="center"/>
          </w:tcPr>
          <w:p w14:paraId="5E30D6CE" w14:textId="77777777" w:rsidR="00C405C1" w:rsidRPr="006B027F" w:rsidRDefault="00C405C1" w:rsidP="00327506">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.000</w:t>
            </w:r>
          </w:p>
        </w:tc>
      </w:tr>
      <w:tr w:rsidR="00DE6E71" w:rsidRPr="00484AE6" w14:paraId="2BA1882C" w14:textId="77777777" w:rsidTr="00DE6E71">
        <w:trPr>
          <w:cantSplit/>
          <w:trHeight w:val="988"/>
        </w:trPr>
        <w:tc>
          <w:tcPr>
            <w:tcW w:w="1257" w:type="dxa"/>
            <w:tcBorders>
              <w:top w:val="nil"/>
              <w:left w:val="single" w:sz="16" w:space="0" w:color="000000"/>
              <w:bottom w:val="single" w:sz="16" w:space="0" w:color="000000"/>
              <w:right w:val="single" w:sz="16" w:space="0" w:color="000000"/>
            </w:tcBorders>
            <w:shd w:val="clear" w:color="auto" w:fill="FFFFFF"/>
          </w:tcPr>
          <w:p w14:paraId="27F5CB40" w14:textId="77777777" w:rsidR="00C405C1" w:rsidRPr="006B027F" w:rsidRDefault="00C405C1" w:rsidP="00327506">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Error</w:t>
            </w:r>
          </w:p>
        </w:tc>
        <w:tc>
          <w:tcPr>
            <w:tcW w:w="1717" w:type="dxa"/>
            <w:tcBorders>
              <w:top w:val="nil"/>
              <w:left w:val="single" w:sz="16" w:space="0" w:color="000000"/>
              <w:bottom w:val="single" w:sz="16" w:space="0" w:color="000000"/>
            </w:tcBorders>
            <w:shd w:val="clear" w:color="auto" w:fill="FFFFFF"/>
            <w:vAlign w:val="center"/>
          </w:tcPr>
          <w:p w14:paraId="1B830C0D" w14:textId="77777777" w:rsidR="00C405C1" w:rsidRPr="006B027F" w:rsidRDefault="00C405C1" w:rsidP="00327506">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7.083</w:t>
            </w:r>
          </w:p>
        </w:tc>
        <w:tc>
          <w:tcPr>
            <w:tcW w:w="1198" w:type="dxa"/>
            <w:tcBorders>
              <w:top w:val="nil"/>
              <w:bottom w:val="single" w:sz="16" w:space="0" w:color="000000"/>
            </w:tcBorders>
            <w:shd w:val="clear" w:color="auto" w:fill="FFFFFF"/>
            <w:vAlign w:val="center"/>
          </w:tcPr>
          <w:p w14:paraId="0D72123D" w14:textId="77777777" w:rsidR="00C405C1" w:rsidRPr="006B027F" w:rsidRDefault="00C405C1" w:rsidP="00327506">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15</w:t>
            </w:r>
          </w:p>
        </w:tc>
        <w:tc>
          <w:tcPr>
            <w:tcW w:w="1685" w:type="dxa"/>
            <w:tcBorders>
              <w:top w:val="nil"/>
              <w:bottom w:val="single" w:sz="16" w:space="0" w:color="000000"/>
            </w:tcBorders>
            <w:shd w:val="clear" w:color="auto" w:fill="FFFFFF"/>
            <w:vAlign w:val="center"/>
          </w:tcPr>
          <w:p w14:paraId="6C325485" w14:textId="77777777" w:rsidR="00C405C1" w:rsidRPr="006B027F" w:rsidRDefault="00C405C1" w:rsidP="00327506">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.472</w:t>
            </w:r>
          </w:p>
        </w:tc>
        <w:tc>
          <w:tcPr>
            <w:tcW w:w="1415" w:type="dxa"/>
            <w:tcBorders>
              <w:top w:val="nil"/>
              <w:bottom w:val="single" w:sz="16" w:space="0" w:color="000000"/>
            </w:tcBorders>
            <w:shd w:val="clear" w:color="auto" w:fill="FFFFFF"/>
            <w:vAlign w:val="center"/>
          </w:tcPr>
          <w:p w14:paraId="61E17284" w14:textId="77777777" w:rsidR="00C405C1" w:rsidRPr="006B027F" w:rsidRDefault="00C405C1" w:rsidP="00327506">
            <w:pPr>
              <w:widowControl w:val="0"/>
              <w:autoSpaceDE w:val="0"/>
              <w:autoSpaceDN w:val="0"/>
              <w:adjustRightInd w:val="0"/>
              <w:rPr>
                <w:rFonts w:ascii="Times New Roman" w:hAnsi="Times New Roman"/>
                <w:sz w:val="20"/>
                <w:szCs w:val="20"/>
              </w:rPr>
            </w:pPr>
          </w:p>
        </w:tc>
        <w:tc>
          <w:tcPr>
            <w:tcW w:w="1198" w:type="dxa"/>
            <w:tcBorders>
              <w:top w:val="nil"/>
              <w:bottom w:val="single" w:sz="16" w:space="0" w:color="000000"/>
              <w:right w:val="single" w:sz="16" w:space="0" w:color="000000"/>
            </w:tcBorders>
            <w:shd w:val="clear" w:color="auto" w:fill="FFFFFF"/>
            <w:vAlign w:val="center"/>
          </w:tcPr>
          <w:p w14:paraId="20F32A11" w14:textId="77777777" w:rsidR="00C405C1" w:rsidRPr="006B027F" w:rsidRDefault="00C405C1" w:rsidP="00327506">
            <w:pPr>
              <w:widowControl w:val="0"/>
              <w:autoSpaceDE w:val="0"/>
              <w:autoSpaceDN w:val="0"/>
              <w:adjustRightInd w:val="0"/>
              <w:rPr>
                <w:rFonts w:ascii="Times New Roman" w:hAnsi="Times New Roman"/>
                <w:sz w:val="20"/>
                <w:szCs w:val="20"/>
              </w:rPr>
            </w:pPr>
          </w:p>
        </w:tc>
      </w:tr>
    </w:tbl>
    <w:p w14:paraId="6EF1CA16" w14:textId="77777777" w:rsidR="00C405C1" w:rsidRDefault="00C405C1" w:rsidP="00C405C1"/>
    <w:tbl>
      <w:tblPr>
        <w:tblW w:w="86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20"/>
        <w:gridCol w:w="1133"/>
        <w:gridCol w:w="1432"/>
        <w:gridCol w:w="1103"/>
        <w:gridCol w:w="999"/>
        <w:gridCol w:w="1431"/>
        <w:gridCol w:w="1434"/>
      </w:tblGrid>
      <w:tr w:rsidR="00C405C1" w:rsidRPr="00484AE6" w14:paraId="2D337D81" w14:textId="77777777" w:rsidTr="006B027F">
        <w:trPr>
          <w:cantSplit/>
          <w:trHeight w:val="775"/>
        </w:trPr>
        <w:tc>
          <w:tcPr>
            <w:tcW w:w="8652" w:type="dxa"/>
            <w:gridSpan w:val="7"/>
            <w:tcBorders>
              <w:top w:val="nil"/>
              <w:left w:val="nil"/>
              <w:bottom w:val="nil"/>
              <w:right w:val="nil"/>
            </w:tcBorders>
            <w:shd w:val="clear" w:color="auto" w:fill="FFFFFF"/>
            <w:vAlign w:val="center"/>
          </w:tcPr>
          <w:p w14:paraId="4CE2A07B" w14:textId="77777777" w:rsidR="00C405C1" w:rsidRPr="00484AE6" w:rsidRDefault="00C405C1" w:rsidP="00327506">
            <w:pPr>
              <w:widowControl w:val="0"/>
              <w:autoSpaceDE w:val="0"/>
              <w:autoSpaceDN w:val="0"/>
              <w:adjustRightInd w:val="0"/>
              <w:spacing w:line="320" w:lineRule="atLeast"/>
              <w:ind w:left="60" w:right="60"/>
              <w:jc w:val="center"/>
              <w:rPr>
                <w:rFonts w:cs="Arial"/>
                <w:color w:val="000000"/>
              </w:rPr>
            </w:pPr>
            <w:r w:rsidRPr="00484AE6">
              <w:rPr>
                <w:rFonts w:cs="Arial"/>
                <w:b/>
                <w:bCs/>
                <w:color w:val="000000"/>
              </w:rPr>
              <w:lastRenderedPageBreak/>
              <w:t>Pairwise Comparisons</w:t>
            </w:r>
          </w:p>
        </w:tc>
      </w:tr>
      <w:tr w:rsidR="00C405C1" w:rsidRPr="00484AE6" w14:paraId="7E5A5D78" w14:textId="77777777" w:rsidTr="006B027F">
        <w:trPr>
          <w:cantSplit/>
          <w:trHeight w:val="775"/>
        </w:trPr>
        <w:tc>
          <w:tcPr>
            <w:tcW w:w="8652" w:type="dxa"/>
            <w:gridSpan w:val="7"/>
            <w:tcBorders>
              <w:top w:val="nil"/>
              <w:left w:val="nil"/>
              <w:bottom w:val="nil"/>
              <w:right w:val="nil"/>
            </w:tcBorders>
            <w:shd w:val="clear" w:color="auto" w:fill="FFFFFF"/>
            <w:vAlign w:val="bottom"/>
          </w:tcPr>
          <w:p w14:paraId="2B628A24" w14:textId="4802E32F" w:rsidR="00C405C1" w:rsidRPr="00484AE6" w:rsidRDefault="00C405C1" w:rsidP="00327506">
            <w:pPr>
              <w:widowControl w:val="0"/>
              <w:autoSpaceDE w:val="0"/>
              <w:autoSpaceDN w:val="0"/>
              <w:adjustRightInd w:val="0"/>
              <w:spacing w:line="320" w:lineRule="atLeast"/>
              <w:rPr>
                <w:rFonts w:ascii="Times New Roman" w:hAnsi="Times New Roman"/>
              </w:rPr>
            </w:pPr>
          </w:p>
        </w:tc>
      </w:tr>
      <w:tr w:rsidR="00C405C1" w:rsidRPr="00484AE6" w14:paraId="3D926A97" w14:textId="77777777" w:rsidTr="006B027F">
        <w:trPr>
          <w:cantSplit/>
          <w:trHeight w:val="918"/>
        </w:trPr>
        <w:tc>
          <w:tcPr>
            <w:tcW w:w="1120" w:type="dxa"/>
            <w:vMerge w:val="restart"/>
            <w:tcBorders>
              <w:top w:val="single" w:sz="16" w:space="0" w:color="000000"/>
              <w:left w:val="single" w:sz="16" w:space="0" w:color="000000"/>
              <w:bottom w:val="nil"/>
              <w:right w:val="nil"/>
            </w:tcBorders>
            <w:shd w:val="clear" w:color="auto" w:fill="FFFFFF"/>
            <w:vAlign w:val="bottom"/>
          </w:tcPr>
          <w:p w14:paraId="6BC0AEFD" w14:textId="77777777" w:rsidR="00C405C1" w:rsidRPr="00232E8A" w:rsidRDefault="00C405C1" w:rsidP="00232E8A">
            <w:pPr>
              <w:widowControl w:val="0"/>
              <w:autoSpaceDE w:val="0"/>
              <w:autoSpaceDN w:val="0"/>
              <w:adjustRightInd w:val="0"/>
              <w:spacing w:line="240" w:lineRule="auto"/>
              <w:ind w:left="60" w:right="60"/>
              <w:rPr>
                <w:rFonts w:cs="Arial"/>
                <w:color w:val="000000"/>
                <w:sz w:val="20"/>
                <w:szCs w:val="20"/>
              </w:rPr>
            </w:pPr>
            <w:r w:rsidRPr="00232E8A">
              <w:rPr>
                <w:rFonts w:cs="Arial"/>
                <w:color w:val="000000"/>
                <w:sz w:val="20"/>
                <w:szCs w:val="20"/>
              </w:rPr>
              <w:t>(I) factor1</w:t>
            </w:r>
          </w:p>
        </w:tc>
        <w:tc>
          <w:tcPr>
            <w:tcW w:w="1133" w:type="dxa"/>
            <w:vMerge w:val="restart"/>
            <w:tcBorders>
              <w:top w:val="single" w:sz="16" w:space="0" w:color="000000"/>
              <w:left w:val="nil"/>
              <w:bottom w:val="nil"/>
              <w:right w:val="single" w:sz="16" w:space="0" w:color="000000"/>
            </w:tcBorders>
            <w:shd w:val="clear" w:color="auto" w:fill="FFFFFF"/>
            <w:vAlign w:val="bottom"/>
          </w:tcPr>
          <w:p w14:paraId="5A061D6A" w14:textId="77777777" w:rsidR="00C405C1" w:rsidRPr="00232E8A" w:rsidRDefault="00C405C1" w:rsidP="00232E8A">
            <w:pPr>
              <w:widowControl w:val="0"/>
              <w:autoSpaceDE w:val="0"/>
              <w:autoSpaceDN w:val="0"/>
              <w:adjustRightInd w:val="0"/>
              <w:spacing w:line="240" w:lineRule="auto"/>
              <w:ind w:left="60" w:right="60"/>
              <w:rPr>
                <w:rFonts w:cs="Arial"/>
                <w:color w:val="000000"/>
                <w:sz w:val="20"/>
                <w:szCs w:val="20"/>
              </w:rPr>
            </w:pPr>
            <w:r w:rsidRPr="00232E8A">
              <w:rPr>
                <w:rFonts w:cs="Arial"/>
                <w:color w:val="000000"/>
                <w:sz w:val="20"/>
                <w:szCs w:val="20"/>
              </w:rPr>
              <w:t>(J) factor1</w:t>
            </w:r>
          </w:p>
        </w:tc>
        <w:tc>
          <w:tcPr>
            <w:tcW w:w="1432" w:type="dxa"/>
            <w:vMerge w:val="restart"/>
            <w:tcBorders>
              <w:top w:val="single" w:sz="16" w:space="0" w:color="000000"/>
              <w:left w:val="single" w:sz="16" w:space="0" w:color="000000"/>
            </w:tcBorders>
            <w:shd w:val="clear" w:color="auto" w:fill="FFFFFF"/>
            <w:vAlign w:val="bottom"/>
          </w:tcPr>
          <w:p w14:paraId="37A34EF0" w14:textId="77777777" w:rsidR="00C405C1" w:rsidRPr="00232E8A" w:rsidRDefault="00C405C1" w:rsidP="00232E8A">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Mean Difference (I-J)</w:t>
            </w:r>
          </w:p>
        </w:tc>
        <w:tc>
          <w:tcPr>
            <w:tcW w:w="1103" w:type="dxa"/>
            <w:vMerge w:val="restart"/>
            <w:tcBorders>
              <w:top w:val="single" w:sz="16" w:space="0" w:color="000000"/>
            </w:tcBorders>
            <w:shd w:val="clear" w:color="auto" w:fill="FFFFFF"/>
            <w:vAlign w:val="bottom"/>
          </w:tcPr>
          <w:p w14:paraId="0F182874" w14:textId="77777777" w:rsidR="00C405C1" w:rsidRPr="00232E8A" w:rsidRDefault="00C405C1" w:rsidP="00232E8A">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Std. Error</w:t>
            </w:r>
          </w:p>
        </w:tc>
        <w:tc>
          <w:tcPr>
            <w:tcW w:w="999" w:type="dxa"/>
            <w:vMerge w:val="restart"/>
            <w:tcBorders>
              <w:top w:val="single" w:sz="16" w:space="0" w:color="000000"/>
            </w:tcBorders>
            <w:shd w:val="clear" w:color="auto" w:fill="FFFFFF"/>
            <w:vAlign w:val="bottom"/>
          </w:tcPr>
          <w:p w14:paraId="2CD4A6C2" w14:textId="77777777" w:rsidR="00C405C1" w:rsidRPr="00232E8A" w:rsidRDefault="00C405C1" w:rsidP="00232E8A">
            <w:pPr>
              <w:widowControl w:val="0"/>
              <w:autoSpaceDE w:val="0"/>
              <w:autoSpaceDN w:val="0"/>
              <w:adjustRightInd w:val="0"/>
              <w:spacing w:line="240" w:lineRule="auto"/>
              <w:ind w:left="60" w:right="60"/>
              <w:jc w:val="center"/>
              <w:rPr>
                <w:rFonts w:cs="Arial"/>
                <w:color w:val="000000"/>
                <w:sz w:val="20"/>
                <w:szCs w:val="20"/>
              </w:rPr>
            </w:pPr>
            <w:proofErr w:type="spellStart"/>
            <w:r w:rsidRPr="00232E8A">
              <w:rPr>
                <w:rFonts w:cs="Arial"/>
                <w:color w:val="000000"/>
                <w:sz w:val="20"/>
                <w:szCs w:val="20"/>
              </w:rPr>
              <w:t>Sig.</w:t>
            </w:r>
            <w:r w:rsidRPr="00232E8A">
              <w:rPr>
                <w:rFonts w:cs="Arial"/>
                <w:color w:val="000000"/>
                <w:sz w:val="20"/>
                <w:szCs w:val="20"/>
                <w:vertAlign w:val="superscript"/>
              </w:rPr>
              <w:t>b</w:t>
            </w:r>
            <w:proofErr w:type="spellEnd"/>
          </w:p>
        </w:tc>
        <w:tc>
          <w:tcPr>
            <w:tcW w:w="2865" w:type="dxa"/>
            <w:gridSpan w:val="2"/>
            <w:tcBorders>
              <w:top w:val="single" w:sz="16" w:space="0" w:color="000000"/>
              <w:right w:val="single" w:sz="16" w:space="0" w:color="000000"/>
            </w:tcBorders>
            <w:shd w:val="clear" w:color="auto" w:fill="FFFFFF"/>
            <w:vAlign w:val="bottom"/>
          </w:tcPr>
          <w:p w14:paraId="750E384A" w14:textId="77777777" w:rsidR="00C405C1" w:rsidRPr="00232E8A" w:rsidRDefault="00C405C1" w:rsidP="00232E8A">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 xml:space="preserve">95% Confidence Interval for </w:t>
            </w:r>
            <w:proofErr w:type="spellStart"/>
            <w:r w:rsidRPr="00232E8A">
              <w:rPr>
                <w:rFonts w:cs="Arial"/>
                <w:color w:val="000000"/>
                <w:sz w:val="20"/>
                <w:szCs w:val="20"/>
              </w:rPr>
              <w:t>Difference</w:t>
            </w:r>
            <w:r w:rsidRPr="00232E8A">
              <w:rPr>
                <w:rFonts w:cs="Arial"/>
                <w:color w:val="000000"/>
                <w:sz w:val="20"/>
                <w:szCs w:val="20"/>
                <w:vertAlign w:val="superscript"/>
              </w:rPr>
              <w:t>b</w:t>
            </w:r>
            <w:proofErr w:type="spellEnd"/>
          </w:p>
        </w:tc>
      </w:tr>
      <w:tr w:rsidR="00232E8A" w:rsidRPr="00484AE6" w14:paraId="12CD0251" w14:textId="77777777" w:rsidTr="00232E8A">
        <w:trPr>
          <w:cantSplit/>
          <w:trHeight w:val="147"/>
        </w:trPr>
        <w:tc>
          <w:tcPr>
            <w:tcW w:w="1120" w:type="dxa"/>
            <w:vMerge/>
            <w:tcBorders>
              <w:top w:val="single" w:sz="16" w:space="0" w:color="000000"/>
              <w:left w:val="single" w:sz="16" w:space="0" w:color="000000"/>
              <w:bottom w:val="nil"/>
              <w:right w:val="nil"/>
            </w:tcBorders>
            <w:shd w:val="clear" w:color="auto" w:fill="FFFFFF"/>
            <w:vAlign w:val="bottom"/>
          </w:tcPr>
          <w:p w14:paraId="350FF880"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133" w:type="dxa"/>
            <w:vMerge/>
            <w:tcBorders>
              <w:top w:val="single" w:sz="16" w:space="0" w:color="000000"/>
              <w:left w:val="nil"/>
              <w:bottom w:val="nil"/>
              <w:right w:val="single" w:sz="16" w:space="0" w:color="000000"/>
            </w:tcBorders>
            <w:shd w:val="clear" w:color="auto" w:fill="FFFFFF"/>
            <w:vAlign w:val="bottom"/>
          </w:tcPr>
          <w:p w14:paraId="40BD1194"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432" w:type="dxa"/>
            <w:vMerge/>
            <w:tcBorders>
              <w:top w:val="single" w:sz="16" w:space="0" w:color="000000"/>
              <w:left w:val="single" w:sz="16" w:space="0" w:color="000000"/>
            </w:tcBorders>
            <w:shd w:val="clear" w:color="auto" w:fill="FFFFFF"/>
            <w:vAlign w:val="bottom"/>
          </w:tcPr>
          <w:p w14:paraId="305834C1"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103" w:type="dxa"/>
            <w:vMerge/>
            <w:tcBorders>
              <w:top w:val="single" w:sz="16" w:space="0" w:color="000000"/>
            </w:tcBorders>
            <w:shd w:val="clear" w:color="auto" w:fill="FFFFFF"/>
            <w:vAlign w:val="bottom"/>
          </w:tcPr>
          <w:p w14:paraId="42ECAFB9"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999" w:type="dxa"/>
            <w:vMerge/>
            <w:tcBorders>
              <w:top w:val="single" w:sz="16" w:space="0" w:color="000000"/>
            </w:tcBorders>
            <w:shd w:val="clear" w:color="auto" w:fill="FFFFFF"/>
            <w:vAlign w:val="bottom"/>
          </w:tcPr>
          <w:p w14:paraId="0D1E1D5C"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431" w:type="dxa"/>
            <w:tcBorders>
              <w:bottom w:val="single" w:sz="16" w:space="0" w:color="000000"/>
            </w:tcBorders>
            <w:shd w:val="clear" w:color="auto" w:fill="FFFFFF"/>
            <w:vAlign w:val="bottom"/>
          </w:tcPr>
          <w:p w14:paraId="5758FB08"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Lower Bound</w:t>
            </w:r>
          </w:p>
        </w:tc>
        <w:tc>
          <w:tcPr>
            <w:tcW w:w="1431" w:type="dxa"/>
            <w:tcBorders>
              <w:bottom w:val="single" w:sz="16" w:space="0" w:color="000000"/>
              <w:right w:val="single" w:sz="16" w:space="0" w:color="000000"/>
            </w:tcBorders>
            <w:shd w:val="clear" w:color="auto" w:fill="FFFFFF"/>
            <w:vAlign w:val="bottom"/>
          </w:tcPr>
          <w:p w14:paraId="0BA34CFB"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Upper Bound</w:t>
            </w:r>
          </w:p>
        </w:tc>
      </w:tr>
      <w:tr w:rsidR="00232E8A" w:rsidRPr="00484AE6" w14:paraId="0671AC91" w14:textId="77777777" w:rsidTr="00232E8A">
        <w:trPr>
          <w:cantSplit/>
          <w:trHeight w:val="694"/>
        </w:trPr>
        <w:tc>
          <w:tcPr>
            <w:tcW w:w="1120" w:type="dxa"/>
            <w:vMerge w:val="restart"/>
            <w:tcBorders>
              <w:top w:val="single" w:sz="16" w:space="0" w:color="000000"/>
              <w:left w:val="single" w:sz="16" w:space="0" w:color="000000"/>
              <w:right w:val="nil"/>
            </w:tcBorders>
            <w:shd w:val="clear" w:color="auto" w:fill="FFFFFF"/>
          </w:tcPr>
          <w:p w14:paraId="5DDE9BB1" w14:textId="77777777" w:rsidR="00C405C1" w:rsidRPr="00232E8A" w:rsidRDefault="00C405C1" w:rsidP="00232E8A">
            <w:pPr>
              <w:widowControl w:val="0"/>
              <w:autoSpaceDE w:val="0"/>
              <w:autoSpaceDN w:val="0"/>
              <w:adjustRightInd w:val="0"/>
              <w:spacing w:line="240" w:lineRule="auto"/>
              <w:ind w:left="60" w:right="60"/>
              <w:rPr>
                <w:rFonts w:cs="Arial"/>
                <w:color w:val="000000"/>
                <w:sz w:val="20"/>
                <w:szCs w:val="20"/>
              </w:rPr>
            </w:pPr>
            <w:r w:rsidRPr="00232E8A">
              <w:rPr>
                <w:rFonts w:cs="Arial"/>
                <w:color w:val="000000"/>
                <w:sz w:val="20"/>
                <w:szCs w:val="20"/>
              </w:rPr>
              <w:t>1</w:t>
            </w:r>
          </w:p>
        </w:tc>
        <w:tc>
          <w:tcPr>
            <w:tcW w:w="1133" w:type="dxa"/>
            <w:tcBorders>
              <w:top w:val="single" w:sz="16" w:space="0" w:color="000000"/>
              <w:left w:val="nil"/>
              <w:bottom w:val="nil"/>
              <w:right w:val="single" w:sz="16" w:space="0" w:color="000000"/>
            </w:tcBorders>
            <w:shd w:val="clear" w:color="auto" w:fill="FFFFFF"/>
          </w:tcPr>
          <w:p w14:paraId="4007ACF8" w14:textId="77777777" w:rsidR="00C405C1" w:rsidRPr="00232E8A" w:rsidRDefault="00C405C1" w:rsidP="00232E8A">
            <w:pPr>
              <w:widowControl w:val="0"/>
              <w:autoSpaceDE w:val="0"/>
              <w:autoSpaceDN w:val="0"/>
              <w:adjustRightInd w:val="0"/>
              <w:spacing w:line="240" w:lineRule="auto"/>
              <w:ind w:left="60" w:right="60"/>
              <w:rPr>
                <w:rFonts w:cs="Arial"/>
                <w:color w:val="000000"/>
                <w:sz w:val="20"/>
                <w:szCs w:val="20"/>
              </w:rPr>
            </w:pPr>
            <w:r w:rsidRPr="00232E8A">
              <w:rPr>
                <w:rFonts w:cs="Arial"/>
                <w:color w:val="000000"/>
                <w:sz w:val="20"/>
                <w:szCs w:val="20"/>
              </w:rPr>
              <w:t>2</w:t>
            </w:r>
          </w:p>
        </w:tc>
        <w:tc>
          <w:tcPr>
            <w:tcW w:w="1432" w:type="dxa"/>
            <w:tcBorders>
              <w:top w:val="single" w:sz="16" w:space="0" w:color="000000"/>
              <w:left w:val="single" w:sz="16" w:space="0" w:color="000000"/>
              <w:bottom w:val="nil"/>
            </w:tcBorders>
            <w:shd w:val="clear" w:color="auto" w:fill="FFFFFF"/>
            <w:vAlign w:val="center"/>
          </w:tcPr>
          <w:p w14:paraId="01836D81"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-1.625</w:t>
            </w:r>
            <w:r w:rsidRPr="00232E8A">
              <w:rPr>
                <w:rFonts w:cs="Arial"/>
                <w:color w:val="000000"/>
                <w:sz w:val="20"/>
                <w:szCs w:val="20"/>
                <w:vertAlign w:val="superscript"/>
              </w:rPr>
              <w:t>*</w:t>
            </w:r>
          </w:p>
        </w:tc>
        <w:tc>
          <w:tcPr>
            <w:tcW w:w="1103" w:type="dxa"/>
            <w:tcBorders>
              <w:top w:val="single" w:sz="16" w:space="0" w:color="000000"/>
              <w:bottom w:val="nil"/>
            </w:tcBorders>
            <w:shd w:val="clear" w:color="auto" w:fill="FFFFFF"/>
            <w:vAlign w:val="center"/>
          </w:tcPr>
          <w:p w14:paraId="2A0CA550"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.328</w:t>
            </w:r>
          </w:p>
        </w:tc>
        <w:tc>
          <w:tcPr>
            <w:tcW w:w="999" w:type="dxa"/>
            <w:tcBorders>
              <w:top w:val="single" w:sz="16" w:space="0" w:color="000000"/>
              <w:bottom w:val="nil"/>
            </w:tcBorders>
            <w:shd w:val="clear" w:color="auto" w:fill="FFFFFF"/>
            <w:vAlign w:val="center"/>
          </w:tcPr>
          <w:p w14:paraId="422EB16D"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.001</w:t>
            </w:r>
          </w:p>
        </w:tc>
        <w:tc>
          <w:tcPr>
            <w:tcW w:w="1431" w:type="dxa"/>
            <w:tcBorders>
              <w:top w:val="single" w:sz="16" w:space="0" w:color="000000"/>
              <w:bottom w:val="nil"/>
            </w:tcBorders>
            <w:shd w:val="clear" w:color="auto" w:fill="FFFFFF"/>
            <w:vAlign w:val="center"/>
          </w:tcPr>
          <w:p w14:paraId="14596CE4"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-2.507</w:t>
            </w:r>
          </w:p>
        </w:tc>
        <w:tc>
          <w:tcPr>
            <w:tcW w:w="1431" w:type="dxa"/>
            <w:tcBorders>
              <w:top w:val="single" w:sz="16" w:space="0" w:color="000000"/>
              <w:bottom w:val="nil"/>
              <w:right w:val="single" w:sz="16" w:space="0" w:color="000000"/>
            </w:tcBorders>
            <w:shd w:val="clear" w:color="auto" w:fill="FFFFFF"/>
            <w:vAlign w:val="center"/>
          </w:tcPr>
          <w:p w14:paraId="45B33128"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-.743</w:t>
            </w:r>
          </w:p>
        </w:tc>
      </w:tr>
      <w:tr w:rsidR="00232E8A" w:rsidRPr="00484AE6" w14:paraId="00EBF9A3" w14:textId="77777777" w:rsidTr="00232E8A">
        <w:trPr>
          <w:cantSplit/>
          <w:trHeight w:val="147"/>
        </w:trPr>
        <w:tc>
          <w:tcPr>
            <w:tcW w:w="1120" w:type="dxa"/>
            <w:vMerge/>
            <w:tcBorders>
              <w:top w:val="single" w:sz="16" w:space="0" w:color="000000"/>
              <w:left w:val="single" w:sz="16" w:space="0" w:color="000000"/>
              <w:right w:val="nil"/>
            </w:tcBorders>
            <w:shd w:val="clear" w:color="auto" w:fill="FFFFFF"/>
          </w:tcPr>
          <w:p w14:paraId="51F5F2C4"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133" w:type="dxa"/>
            <w:tcBorders>
              <w:top w:val="nil"/>
              <w:left w:val="nil"/>
              <w:right w:val="single" w:sz="16" w:space="0" w:color="000000"/>
            </w:tcBorders>
            <w:shd w:val="clear" w:color="auto" w:fill="FFFFFF"/>
          </w:tcPr>
          <w:p w14:paraId="636F3CF7"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3</w:t>
            </w:r>
          </w:p>
        </w:tc>
        <w:tc>
          <w:tcPr>
            <w:tcW w:w="1432" w:type="dxa"/>
            <w:tcBorders>
              <w:top w:val="nil"/>
              <w:left w:val="single" w:sz="16" w:space="0" w:color="000000"/>
            </w:tcBorders>
            <w:shd w:val="clear" w:color="auto" w:fill="FFFFFF"/>
            <w:vAlign w:val="center"/>
          </w:tcPr>
          <w:p w14:paraId="3D82C1EC"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-.313</w:t>
            </w:r>
          </w:p>
        </w:tc>
        <w:tc>
          <w:tcPr>
            <w:tcW w:w="1103" w:type="dxa"/>
            <w:tcBorders>
              <w:top w:val="nil"/>
            </w:tcBorders>
            <w:shd w:val="clear" w:color="auto" w:fill="FFFFFF"/>
            <w:vAlign w:val="center"/>
          </w:tcPr>
          <w:p w14:paraId="5C564DAE"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.405</w:t>
            </w:r>
          </w:p>
        </w:tc>
        <w:tc>
          <w:tcPr>
            <w:tcW w:w="999" w:type="dxa"/>
            <w:tcBorders>
              <w:top w:val="nil"/>
            </w:tcBorders>
            <w:shd w:val="clear" w:color="auto" w:fill="FFFFFF"/>
            <w:vAlign w:val="center"/>
          </w:tcPr>
          <w:p w14:paraId="75EEE8F8"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1.000</w:t>
            </w:r>
          </w:p>
        </w:tc>
        <w:tc>
          <w:tcPr>
            <w:tcW w:w="1431" w:type="dxa"/>
            <w:tcBorders>
              <w:top w:val="nil"/>
            </w:tcBorders>
            <w:shd w:val="clear" w:color="auto" w:fill="FFFFFF"/>
            <w:vAlign w:val="center"/>
          </w:tcPr>
          <w:p w14:paraId="696C6D59"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-1.404</w:t>
            </w:r>
          </w:p>
        </w:tc>
        <w:tc>
          <w:tcPr>
            <w:tcW w:w="1431" w:type="dxa"/>
            <w:tcBorders>
              <w:top w:val="nil"/>
              <w:right w:val="single" w:sz="16" w:space="0" w:color="000000"/>
            </w:tcBorders>
            <w:shd w:val="clear" w:color="auto" w:fill="FFFFFF"/>
            <w:vAlign w:val="center"/>
          </w:tcPr>
          <w:p w14:paraId="7FABE7E3"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.779</w:t>
            </w:r>
          </w:p>
        </w:tc>
      </w:tr>
      <w:tr w:rsidR="00232E8A" w:rsidRPr="00484AE6" w14:paraId="58780A13" w14:textId="77777777" w:rsidTr="00232E8A">
        <w:trPr>
          <w:cantSplit/>
          <w:trHeight w:val="673"/>
        </w:trPr>
        <w:tc>
          <w:tcPr>
            <w:tcW w:w="1120" w:type="dxa"/>
            <w:vMerge w:val="restart"/>
            <w:tcBorders>
              <w:top w:val="nil"/>
              <w:left w:val="single" w:sz="16" w:space="0" w:color="000000"/>
              <w:right w:val="nil"/>
            </w:tcBorders>
            <w:shd w:val="clear" w:color="auto" w:fill="FFFFFF"/>
          </w:tcPr>
          <w:p w14:paraId="77D49397" w14:textId="77777777" w:rsidR="00C405C1" w:rsidRPr="00232E8A" w:rsidRDefault="00C405C1" w:rsidP="00232E8A">
            <w:pPr>
              <w:widowControl w:val="0"/>
              <w:autoSpaceDE w:val="0"/>
              <w:autoSpaceDN w:val="0"/>
              <w:adjustRightInd w:val="0"/>
              <w:spacing w:line="240" w:lineRule="auto"/>
              <w:ind w:left="60" w:right="60"/>
              <w:rPr>
                <w:rFonts w:cs="Arial"/>
                <w:color w:val="000000"/>
                <w:sz w:val="20"/>
                <w:szCs w:val="20"/>
              </w:rPr>
            </w:pPr>
            <w:r w:rsidRPr="00232E8A">
              <w:rPr>
                <w:rFonts w:cs="Arial"/>
                <w:color w:val="000000"/>
                <w:sz w:val="20"/>
                <w:szCs w:val="20"/>
              </w:rPr>
              <w:t>2</w:t>
            </w:r>
          </w:p>
        </w:tc>
        <w:tc>
          <w:tcPr>
            <w:tcW w:w="1133" w:type="dxa"/>
            <w:tcBorders>
              <w:top w:val="nil"/>
              <w:left w:val="nil"/>
              <w:bottom w:val="nil"/>
              <w:right w:val="single" w:sz="16" w:space="0" w:color="000000"/>
            </w:tcBorders>
            <w:shd w:val="clear" w:color="auto" w:fill="FFFFFF"/>
          </w:tcPr>
          <w:p w14:paraId="312EFC99" w14:textId="77777777" w:rsidR="00C405C1" w:rsidRPr="00232E8A" w:rsidRDefault="00C405C1" w:rsidP="00232E8A">
            <w:pPr>
              <w:widowControl w:val="0"/>
              <w:autoSpaceDE w:val="0"/>
              <w:autoSpaceDN w:val="0"/>
              <w:adjustRightInd w:val="0"/>
              <w:spacing w:line="240" w:lineRule="auto"/>
              <w:ind w:left="60" w:right="60"/>
              <w:rPr>
                <w:rFonts w:cs="Arial"/>
                <w:color w:val="000000"/>
                <w:sz w:val="20"/>
                <w:szCs w:val="20"/>
              </w:rPr>
            </w:pPr>
            <w:r w:rsidRPr="00232E8A">
              <w:rPr>
                <w:rFonts w:cs="Arial"/>
                <w:color w:val="000000"/>
                <w:sz w:val="20"/>
                <w:szCs w:val="20"/>
              </w:rPr>
              <w:t>1</w:t>
            </w:r>
          </w:p>
        </w:tc>
        <w:tc>
          <w:tcPr>
            <w:tcW w:w="1432" w:type="dxa"/>
            <w:tcBorders>
              <w:top w:val="nil"/>
              <w:left w:val="single" w:sz="16" w:space="0" w:color="000000"/>
              <w:bottom w:val="nil"/>
            </w:tcBorders>
            <w:shd w:val="clear" w:color="auto" w:fill="FFFFFF"/>
            <w:vAlign w:val="center"/>
          </w:tcPr>
          <w:p w14:paraId="729D3872"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1.625</w:t>
            </w:r>
            <w:r w:rsidRPr="00232E8A">
              <w:rPr>
                <w:rFonts w:cs="Arial"/>
                <w:color w:val="000000"/>
                <w:sz w:val="20"/>
                <w:szCs w:val="20"/>
                <w:vertAlign w:val="superscript"/>
              </w:rPr>
              <w:t>*</w:t>
            </w:r>
          </w:p>
        </w:tc>
        <w:tc>
          <w:tcPr>
            <w:tcW w:w="1103" w:type="dxa"/>
            <w:tcBorders>
              <w:top w:val="nil"/>
              <w:bottom w:val="nil"/>
            </w:tcBorders>
            <w:shd w:val="clear" w:color="auto" w:fill="FFFFFF"/>
            <w:vAlign w:val="center"/>
          </w:tcPr>
          <w:p w14:paraId="148B5677"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.328</w:t>
            </w:r>
          </w:p>
        </w:tc>
        <w:tc>
          <w:tcPr>
            <w:tcW w:w="999" w:type="dxa"/>
            <w:tcBorders>
              <w:top w:val="nil"/>
              <w:bottom w:val="nil"/>
            </w:tcBorders>
            <w:shd w:val="clear" w:color="auto" w:fill="FFFFFF"/>
            <w:vAlign w:val="center"/>
          </w:tcPr>
          <w:p w14:paraId="4080E02F"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.001</w:t>
            </w:r>
          </w:p>
        </w:tc>
        <w:tc>
          <w:tcPr>
            <w:tcW w:w="1431" w:type="dxa"/>
            <w:tcBorders>
              <w:top w:val="nil"/>
              <w:bottom w:val="nil"/>
            </w:tcBorders>
            <w:shd w:val="clear" w:color="auto" w:fill="FFFFFF"/>
            <w:vAlign w:val="center"/>
          </w:tcPr>
          <w:p w14:paraId="2B253375"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.743</w:t>
            </w:r>
          </w:p>
        </w:tc>
        <w:tc>
          <w:tcPr>
            <w:tcW w:w="1431" w:type="dxa"/>
            <w:tcBorders>
              <w:top w:val="nil"/>
              <w:bottom w:val="nil"/>
              <w:right w:val="single" w:sz="16" w:space="0" w:color="000000"/>
            </w:tcBorders>
            <w:shd w:val="clear" w:color="auto" w:fill="FFFFFF"/>
            <w:vAlign w:val="center"/>
          </w:tcPr>
          <w:p w14:paraId="4D33D4D0"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2.507</w:t>
            </w:r>
          </w:p>
        </w:tc>
      </w:tr>
      <w:tr w:rsidR="00232E8A" w:rsidRPr="00484AE6" w14:paraId="728AC162" w14:textId="77777777" w:rsidTr="00232E8A">
        <w:trPr>
          <w:cantSplit/>
          <w:trHeight w:val="147"/>
        </w:trPr>
        <w:tc>
          <w:tcPr>
            <w:tcW w:w="1120" w:type="dxa"/>
            <w:vMerge/>
            <w:tcBorders>
              <w:top w:val="nil"/>
              <w:left w:val="single" w:sz="16" w:space="0" w:color="000000"/>
              <w:right w:val="nil"/>
            </w:tcBorders>
            <w:shd w:val="clear" w:color="auto" w:fill="FFFFFF"/>
          </w:tcPr>
          <w:p w14:paraId="102764EE"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133" w:type="dxa"/>
            <w:tcBorders>
              <w:top w:val="nil"/>
              <w:left w:val="nil"/>
              <w:right w:val="single" w:sz="16" w:space="0" w:color="000000"/>
            </w:tcBorders>
            <w:shd w:val="clear" w:color="auto" w:fill="FFFFFF"/>
          </w:tcPr>
          <w:p w14:paraId="5257B2C3"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3</w:t>
            </w:r>
          </w:p>
        </w:tc>
        <w:tc>
          <w:tcPr>
            <w:tcW w:w="1432" w:type="dxa"/>
            <w:tcBorders>
              <w:top w:val="nil"/>
              <w:left w:val="single" w:sz="16" w:space="0" w:color="000000"/>
            </w:tcBorders>
            <w:shd w:val="clear" w:color="auto" w:fill="FFFFFF"/>
            <w:vAlign w:val="center"/>
          </w:tcPr>
          <w:p w14:paraId="0971B471"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1.313</w:t>
            </w:r>
          </w:p>
        </w:tc>
        <w:tc>
          <w:tcPr>
            <w:tcW w:w="1103" w:type="dxa"/>
            <w:tcBorders>
              <w:top w:val="nil"/>
            </w:tcBorders>
            <w:shd w:val="clear" w:color="auto" w:fill="FFFFFF"/>
            <w:vAlign w:val="center"/>
          </w:tcPr>
          <w:p w14:paraId="6A23FF1B"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.489</w:t>
            </w:r>
          </w:p>
        </w:tc>
        <w:tc>
          <w:tcPr>
            <w:tcW w:w="999" w:type="dxa"/>
            <w:tcBorders>
              <w:top w:val="nil"/>
            </w:tcBorders>
            <w:shd w:val="clear" w:color="auto" w:fill="FFFFFF"/>
            <w:vAlign w:val="center"/>
          </w:tcPr>
          <w:p w14:paraId="01FEA786"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.051</w:t>
            </w:r>
          </w:p>
        </w:tc>
        <w:tc>
          <w:tcPr>
            <w:tcW w:w="1431" w:type="dxa"/>
            <w:tcBorders>
              <w:top w:val="nil"/>
            </w:tcBorders>
            <w:shd w:val="clear" w:color="auto" w:fill="FFFFFF"/>
            <w:vAlign w:val="center"/>
          </w:tcPr>
          <w:p w14:paraId="216D64B2"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-.005</w:t>
            </w:r>
          </w:p>
        </w:tc>
        <w:tc>
          <w:tcPr>
            <w:tcW w:w="1431" w:type="dxa"/>
            <w:tcBorders>
              <w:top w:val="nil"/>
              <w:right w:val="single" w:sz="16" w:space="0" w:color="000000"/>
            </w:tcBorders>
            <w:shd w:val="clear" w:color="auto" w:fill="FFFFFF"/>
            <w:vAlign w:val="center"/>
          </w:tcPr>
          <w:p w14:paraId="7CBCD029"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2.630</w:t>
            </w:r>
          </w:p>
        </w:tc>
      </w:tr>
      <w:tr w:rsidR="00232E8A" w:rsidRPr="00484AE6" w14:paraId="6EFA6402" w14:textId="77777777" w:rsidTr="00232E8A">
        <w:trPr>
          <w:cantSplit/>
          <w:trHeight w:val="673"/>
        </w:trPr>
        <w:tc>
          <w:tcPr>
            <w:tcW w:w="1120" w:type="dxa"/>
            <w:vMerge w:val="restart"/>
            <w:tcBorders>
              <w:top w:val="nil"/>
              <w:left w:val="single" w:sz="16" w:space="0" w:color="000000"/>
              <w:bottom w:val="single" w:sz="16" w:space="0" w:color="000000"/>
              <w:right w:val="nil"/>
            </w:tcBorders>
            <w:shd w:val="clear" w:color="auto" w:fill="FFFFFF"/>
          </w:tcPr>
          <w:p w14:paraId="5029BC9E" w14:textId="77777777" w:rsidR="00C405C1" w:rsidRPr="00232E8A" w:rsidRDefault="00C405C1" w:rsidP="00232E8A">
            <w:pPr>
              <w:widowControl w:val="0"/>
              <w:autoSpaceDE w:val="0"/>
              <w:autoSpaceDN w:val="0"/>
              <w:adjustRightInd w:val="0"/>
              <w:spacing w:line="240" w:lineRule="auto"/>
              <w:ind w:left="60" w:right="60"/>
              <w:rPr>
                <w:rFonts w:cs="Arial"/>
                <w:color w:val="000000"/>
                <w:sz w:val="20"/>
                <w:szCs w:val="20"/>
              </w:rPr>
            </w:pPr>
            <w:r w:rsidRPr="00232E8A">
              <w:rPr>
                <w:rFonts w:cs="Arial"/>
                <w:color w:val="000000"/>
                <w:sz w:val="20"/>
                <w:szCs w:val="20"/>
              </w:rPr>
              <w:t>3</w:t>
            </w:r>
          </w:p>
        </w:tc>
        <w:tc>
          <w:tcPr>
            <w:tcW w:w="1133" w:type="dxa"/>
            <w:tcBorders>
              <w:top w:val="nil"/>
              <w:left w:val="nil"/>
              <w:bottom w:val="nil"/>
              <w:right w:val="single" w:sz="16" w:space="0" w:color="000000"/>
            </w:tcBorders>
            <w:shd w:val="clear" w:color="auto" w:fill="FFFFFF"/>
          </w:tcPr>
          <w:p w14:paraId="6C35E884" w14:textId="77777777" w:rsidR="00C405C1" w:rsidRPr="00232E8A" w:rsidRDefault="00C405C1" w:rsidP="00232E8A">
            <w:pPr>
              <w:widowControl w:val="0"/>
              <w:autoSpaceDE w:val="0"/>
              <w:autoSpaceDN w:val="0"/>
              <w:adjustRightInd w:val="0"/>
              <w:spacing w:line="240" w:lineRule="auto"/>
              <w:ind w:left="60" w:right="60"/>
              <w:rPr>
                <w:rFonts w:cs="Arial"/>
                <w:color w:val="000000"/>
                <w:sz w:val="20"/>
                <w:szCs w:val="20"/>
              </w:rPr>
            </w:pPr>
            <w:r w:rsidRPr="00232E8A">
              <w:rPr>
                <w:rFonts w:cs="Arial"/>
                <w:color w:val="000000"/>
                <w:sz w:val="20"/>
                <w:szCs w:val="20"/>
              </w:rPr>
              <w:t>1</w:t>
            </w:r>
          </w:p>
        </w:tc>
        <w:tc>
          <w:tcPr>
            <w:tcW w:w="1432" w:type="dxa"/>
            <w:tcBorders>
              <w:top w:val="nil"/>
              <w:left w:val="single" w:sz="16" w:space="0" w:color="000000"/>
              <w:bottom w:val="nil"/>
            </w:tcBorders>
            <w:shd w:val="clear" w:color="auto" w:fill="FFFFFF"/>
            <w:vAlign w:val="center"/>
          </w:tcPr>
          <w:p w14:paraId="6B25F81A"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.313</w:t>
            </w:r>
          </w:p>
        </w:tc>
        <w:tc>
          <w:tcPr>
            <w:tcW w:w="1103" w:type="dxa"/>
            <w:tcBorders>
              <w:top w:val="nil"/>
              <w:bottom w:val="nil"/>
            </w:tcBorders>
            <w:shd w:val="clear" w:color="auto" w:fill="FFFFFF"/>
            <w:vAlign w:val="center"/>
          </w:tcPr>
          <w:p w14:paraId="2AABE9DE"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.405</w:t>
            </w:r>
          </w:p>
        </w:tc>
        <w:tc>
          <w:tcPr>
            <w:tcW w:w="999" w:type="dxa"/>
            <w:tcBorders>
              <w:top w:val="nil"/>
              <w:bottom w:val="nil"/>
            </w:tcBorders>
            <w:shd w:val="clear" w:color="auto" w:fill="FFFFFF"/>
            <w:vAlign w:val="center"/>
          </w:tcPr>
          <w:p w14:paraId="2037BD32"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1.000</w:t>
            </w:r>
          </w:p>
        </w:tc>
        <w:tc>
          <w:tcPr>
            <w:tcW w:w="1431" w:type="dxa"/>
            <w:tcBorders>
              <w:top w:val="nil"/>
              <w:bottom w:val="nil"/>
            </w:tcBorders>
            <w:shd w:val="clear" w:color="auto" w:fill="FFFFFF"/>
            <w:vAlign w:val="center"/>
          </w:tcPr>
          <w:p w14:paraId="1561EEF3"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-.779</w:t>
            </w:r>
          </w:p>
        </w:tc>
        <w:tc>
          <w:tcPr>
            <w:tcW w:w="1431" w:type="dxa"/>
            <w:tcBorders>
              <w:top w:val="nil"/>
              <w:bottom w:val="nil"/>
              <w:right w:val="single" w:sz="16" w:space="0" w:color="000000"/>
            </w:tcBorders>
            <w:shd w:val="clear" w:color="auto" w:fill="FFFFFF"/>
            <w:vAlign w:val="center"/>
          </w:tcPr>
          <w:p w14:paraId="69189433" w14:textId="77777777" w:rsidR="00C405C1" w:rsidRPr="00232E8A" w:rsidRDefault="00C405C1" w:rsidP="006B027F">
            <w:pPr>
              <w:widowControl w:val="0"/>
              <w:autoSpaceDE w:val="0"/>
              <w:autoSpaceDN w:val="0"/>
              <w:adjustRightInd w:val="0"/>
              <w:spacing w:line="240" w:lineRule="auto"/>
              <w:ind w:left="60" w:right="60"/>
              <w:jc w:val="center"/>
              <w:rPr>
                <w:rFonts w:cs="Arial"/>
                <w:color w:val="000000"/>
                <w:sz w:val="20"/>
                <w:szCs w:val="20"/>
              </w:rPr>
            </w:pPr>
            <w:r w:rsidRPr="00232E8A">
              <w:rPr>
                <w:rFonts w:cs="Arial"/>
                <w:color w:val="000000"/>
                <w:sz w:val="20"/>
                <w:szCs w:val="20"/>
              </w:rPr>
              <w:t>1.404</w:t>
            </w:r>
          </w:p>
        </w:tc>
      </w:tr>
      <w:tr w:rsidR="00232E8A" w:rsidRPr="00484AE6" w14:paraId="19614BA9" w14:textId="77777777" w:rsidTr="00232E8A">
        <w:trPr>
          <w:cantSplit/>
          <w:trHeight w:val="147"/>
        </w:trPr>
        <w:tc>
          <w:tcPr>
            <w:tcW w:w="1120" w:type="dxa"/>
            <w:vMerge/>
            <w:tcBorders>
              <w:top w:val="nil"/>
              <w:left w:val="single" w:sz="16" w:space="0" w:color="000000"/>
              <w:bottom w:val="single" w:sz="16" w:space="0" w:color="000000"/>
              <w:right w:val="nil"/>
            </w:tcBorders>
            <w:shd w:val="clear" w:color="auto" w:fill="FFFFFF"/>
          </w:tcPr>
          <w:p w14:paraId="16DB87C1" w14:textId="77777777" w:rsidR="00C405C1" w:rsidRPr="006B027F" w:rsidRDefault="00C405C1" w:rsidP="006B027F">
            <w:pPr>
              <w:widowControl w:val="0"/>
              <w:autoSpaceDE w:val="0"/>
              <w:autoSpaceDN w:val="0"/>
              <w:adjustRightInd w:val="0"/>
              <w:spacing w:line="240" w:lineRule="auto"/>
              <w:rPr>
                <w:rFonts w:cs="Arial"/>
                <w:color w:val="000000"/>
                <w:sz w:val="20"/>
                <w:szCs w:val="20"/>
              </w:rPr>
            </w:pPr>
          </w:p>
        </w:tc>
        <w:tc>
          <w:tcPr>
            <w:tcW w:w="1133" w:type="dxa"/>
            <w:tcBorders>
              <w:top w:val="nil"/>
              <w:left w:val="nil"/>
              <w:bottom w:val="single" w:sz="16" w:space="0" w:color="000000"/>
              <w:right w:val="single" w:sz="16" w:space="0" w:color="000000"/>
            </w:tcBorders>
            <w:shd w:val="clear" w:color="auto" w:fill="FFFFFF"/>
          </w:tcPr>
          <w:p w14:paraId="7EF3C7A8" w14:textId="77777777" w:rsidR="00C405C1" w:rsidRPr="006B027F" w:rsidRDefault="00C405C1"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2</w:t>
            </w:r>
          </w:p>
        </w:tc>
        <w:tc>
          <w:tcPr>
            <w:tcW w:w="1432" w:type="dxa"/>
            <w:tcBorders>
              <w:top w:val="nil"/>
              <w:left w:val="single" w:sz="16" w:space="0" w:color="000000"/>
              <w:bottom w:val="single" w:sz="16" w:space="0" w:color="000000"/>
            </w:tcBorders>
            <w:shd w:val="clear" w:color="auto" w:fill="FFFFFF"/>
            <w:vAlign w:val="center"/>
          </w:tcPr>
          <w:p w14:paraId="693F8259"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-1.313</w:t>
            </w:r>
          </w:p>
        </w:tc>
        <w:tc>
          <w:tcPr>
            <w:tcW w:w="1103" w:type="dxa"/>
            <w:tcBorders>
              <w:top w:val="nil"/>
              <w:bottom w:val="single" w:sz="16" w:space="0" w:color="000000"/>
            </w:tcBorders>
            <w:shd w:val="clear" w:color="auto" w:fill="FFFFFF"/>
            <w:vAlign w:val="center"/>
          </w:tcPr>
          <w:p w14:paraId="44787629"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.489</w:t>
            </w:r>
          </w:p>
        </w:tc>
        <w:tc>
          <w:tcPr>
            <w:tcW w:w="999" w:type="dxa"/>
            <w:tcBorders>
              <w:top w:val="nil"/>
              <w:bottom w:val="single" w:sz="16" w:space="0" w:color="000000"/>
            </w:tcBorders>
            <w:shd w:val="clear" w:color="auto" w:fill="FFFFFF"/>
            <w:vAlign w:val="center"/>
          </w:tcPr>
          <w:p w14:paraId="5C59D6F6"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.051</w:t>
            </w:r>
          </w:p>
        </w:tc>
        <w:tc>
          <w:tcPr>
            <w:tcW w:w="1431" w:type="dxa"/>
            <w:tcBorders>
              <w:top w:val="nil"/>
              <w:bottom w:val="single" w:sz="16" w:space="0" w:color="000000"/>
            </w:tcBorders>
            <w:shd w:val="clear" w:color="auto" w:fill="FFFFFF"/>
            <w:vAlign w:val="center"/>
          </w:tcPr>
          <w:p w14:paraId="7D9893EC"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-2.630</w:t>
            </w:r>
          </w:p>
        </w:tc>
        <w:tc>
          <w:tcPr>
            <w:tcW w:w="1431" w:type="dxa"/>
            <w:tcBorders>
              <w:top w:val="nil"/>
              <w:bottom w:val="single" w:sz="16" w:space="0" w:color="000000"/>
              <w:right w:val="single" w:sz="16" w:space="0" w:color="000000"/>
            </w:tcBorders>
            <w:shd w:val="clear" w:color="auto" w:fill="FFFFFF"/>
            <w:vAlign w:val="center"/>
          </w:tcPr>
          <w:p w14:paraId="616FCEE7" w14:textId="77777777" w:rsidR="00C405C1" w:rsidRPr="006B027F" w:rsidRDefault="00C405C1"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.005</w:t>
            </w:r>
          </w:p>
        </w:tc>
      </w:tr>
      <w:tr w:rsidR="00C405C1" w:rsidRPr="00484AE6" w14:paraId="57AD3F41" w14:textId="77777777" w:rsidTr="006B027F">
        <w:trPr>
          <w:cantSplit/>
          <w:trHeight w:val="775"/>
        </w:trPr>
        <w:tc>
          <w:tcPr>
            <w:tcW w:w="8652" w:type="dxa"/>
            <w:gridSpan w:val="7"/>
            <w:tcBorders>
              <w:top w:val="nil"/>
              <w:left w:val="nil"/>
              <w:bottom w:val="nil"/>
              <w:right w:val="nil"/>
            </w:tcBorders>
            <w:shd w:val="clear" w:color="auto" w:fill="FFFFFF"/>
          </w:tcPr>
          <w:p w14:paraId="44A060C5" w14:textId="77777777" w:rsidR="00C405C1" w:rsidRPr="00484AE6" w:rsidRDefault="00C405C1" w:rsidP="00327506">
            <w:pPr>
              <w:widowControl w:val="0"/>
              <w:autoSpaceDE w:val="0"/>
              <w:autoSpaceDN w:val="0"/>
              <w:adjustRightInd w:val="0"/>
              <w:spacing w:line="320" w:lineRule="atLeast"/>
              <w:ind w:left="60" w:right="60"/>
              <w:rPr>
                <w:rFonts w:cs="Arial"/>
                <w:color w:val="000000"/>
              </w:rPr>
            </w:pPr>
            <w:r w:rsidRPr="00484AE6">
              <w:rPr>
                <w:rFonts w:cs="Arial"/>
                <w:color w:val="000000"/>
              </w:rPr>
              <w:t>Based on estimated marginal means</w:t>
            </w:r>
          </w:p>
        </w:tc>
      </w:tr>
      <w:tr w:rsidR="00C405C1" w:rsidRPr="00484AE6" w14:paraId="0EB649C1" w14:textId="77777777" w:rsidTr="006B027F">
        <w:trPr>
          <w:cantSplit/>
          <w:trHeight w:val="775"/>
        </w:trPr>
        <w:tc>
          <w:tcPr>
            <w:tcW w:w="8652" w:type="dxa"/>
            <w:gridSpan w:val="7"/>
            <w:tcBorders>
              <w:top w:val="nil"/>
              <w:left w:val="nil"/>
              <w:bottom w:val="nil"/>
              <w:right w:val="nil"/>
            </w:tcBorders>
            <w:shd w:val="clear" w:color="auto" w:fill="FFFFFF"/>
          </w:tcPr>
          <w:p w14:paraId="2C608AB7" w14:textId="77777777" w:rsidR="00C405C1" w:rsidRPr="00484AE6" w:rsidRDefault="00C405C1" w:rsidP="00327506">
            <w:pPr>
              <w:widowControl w:val="0"/>
              <w:autoSpaceDE w:val="0"/>
              <w:autoSpaceDN w:val="0"/>
              <w:adjustRightInd w:val="0"/>
              <w:spacing w:line="320" w:lineRule="atLeast"/>
              <w:ind w:left="60" w:right="60"/>
              <w:rPr>
                <w:rFonts w:cs="Arial"/>
                <w:color w:val="000000"/>
              </w:rPr>
            </w:pPr>
            <w:r w:rsidRPr="00484AE6">
              <w:rPr>
                <w:rFonts w:cs="Arial"/>
                <w:color w:val="000000"/>
              </w:rPr>
              <w:t>*. The mean difference is significant at the</w:t>
            </w:r>
          </w:p>
        </w:tc>
      </w:tr>
      <w:tr w:rsidR="00C405C1" w:rsidRPr="00484AE6" w14:paraId="3D063BDE" w14:textId="77777777" w:rsidTr="006B027F">
        <w:trPr>
          <w:cantSplit/>
          <w:trHeight w:val="775"/>
        </w:trPr>
        <w:tc>
          <w:tcPr>
            <w:tcW w:w="8652" w:type="dxa"/>
            <w:gridSpan w:val="7"/>
            <w:tcBorders>
              <w:top w:val="nil"/>
              <w:left w:val="nil"/>
              <w:bottom w:val="nil"/>
              <w:right w:val="nil"/>
            </w:tcBorders>
            <w:shd w:val="clear" w:color="auto" w:fill="FFFFFF"/>
          </w:tcPr>
          <w:p w14:paraId="0238183B" w14:textId="77777777" w:rsidR="00C405C1" w:rsidRPr="00484AE6" w:rsidRDefault="00C405C1" w:rsidP="00327506">
            <w:pPr>
              <w:widowControl w:val="0"/>
              <w:autoSpaceDE w:val="0"/>
              <w:autoSpaceDN w:val="0"/>
              <w:adjustRightInd w:val="0"/>
              <w:spacing w:line="320" w:lineRule="atLeast"/>
              <w:ind w:left="60" w:right="60"/>
              <w:rPr>
                <w:rFonts w:cs="Arial"/>
                <w:color w:val="000000"/>
              </w:rPr>
            </w:pPr>
            <w:r w:rsidRPr="00484AE6">
              <w:rPr>
                <w:rFonts w:cs="Arial"/>
                <w:color w:val="000000"/>
              </w:rPr>
              <w:t>b. Adjustment for multiple comparisons: Bonferroni.</w:t>
            </w:r>
          </w:p>
        </w:tc>
      </w:tr>
    </w:tbl>
    <w:p w14:paraId="5DCA5A88" w14:textId="77777777" w:rsidR="00376BFB" w:rsidRDefault="00376BFB" w:rsidP="003E116C"/>
    <w:p w14:paraId="31D26AE6" w14:textId="77777777" w:rsidR="00232E8A" w:rsidRDefault="00232E8A" w:rsidP="003E116C"/>
    <w:p w14:paraId="705BD7D0" w14:textId="77777777" w:rsidR="00232E8A" w:rsidRDefault="00232E8A" w:rsidP="003E116C"/>
    <w:p w14:paraId="249B4A20" w14:textId="77777777" w:rsidR="00BC63A1" w:rsidRDefault="00BC63A1" w:rsidP="003E116C"/>
    <w:p w14:paraId="13C1EA81" w14:textId="643909DE" w:rsidR="00EA2ACC" w:rsidRDefault="00376BFB" w:rsidP="00EA2ACC">
      <w:pPr>
        <w:pStyle w:val="Heading2"/>
      </w:pPr>
      <w:bookmarkStart w:id="492" w:name="_Toc419116238"/>
      <w:r>
        <w:lastRenderedPageBreak/>
        <w:t>Pilot study results SPSS: Intervention group (n=16) versus controls (n=16)</w:t>
      </w:r>
      <w:bookmarkEnd w:id="492"/>
    </w:p>
    <w:p w14:paraId="74777C99" w14:textId="77777777" w:rsidR="00BC63A1" w:rsidRDefault="00BC63A1" w:rsidP="00BC63A1"/>
    <w:p w14:paraId="26F3E4A8" w14:textId="42C22CF1" w:rsidR="00BC63A1" w:rsidRPr="00BC63A1" w:rsidRDefault="00BC63A1" w:rsidP="00BC63A1">
      <w:pPr>
        <w:jc w:val="center"/>
        <w:rPr>
          <w:b/>
        </w:rPr>
      </w:pPr>
      <w:r w:rsidRPr="00D960A4">
        <w:rPr>
          <w:b/>
        </w:rPr>
        <w:t>Independent Samples Test</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026"/>
        <w:gridCol w:w="883"/>
        <w:gridCol w:w="641"/>
        <w:gridCol w:w="643"/>
        <w:gridCol w:w="643"/>
        <w:gridCol w:w="715"/>
        <w:gridCol w:w="671"/>
        <w:gridCol w:w="946"/>
        <w:gridCol w:w="946"/>
        <w:gridCol w:w="677"/>
        <w:gridCol w:w="677"/>
      </w:tblGrid>
      <w:tr w:rsidR="00BC63A1" w14:paraId="6D90B818" w14:textId="77777777" w:rsidTr="00285181">
        <w:tc>
          <w:tcPr>
            <w:tcW w:w="1910" w:type="dxa"/>
            <w:gridSpan w:val="2"/>
            <w:vMerge w:val="restart"/>
            <w:tcBorders>
              <w:top w:val="single" w:sz="12" w:space="0" w:color="auto"/>
              <w:bottom w:val="single" w:sz="4" w:space="0" w:color="auto"/>
              <w:right w:val="single" w:sz="12" w:space="0" w:color="auto"/>
            </w:tcBorders>
            <w:vAlign w:val="center"/>
          </w:tcPr>
          <w:p w14:paraId="3A999BB0" w14:textId="77777777" w:rsidR="00BC63A1" w:rsidRPr="00D960A4" w:rsidRDefault="00BC63A1" w:rsidP="00285181">
            <w:pPr>
              <w:spacing w:line="240" w:lineRule="auto"/>
              <w:jc w:val="center"/>
              <w:rPr>
                <w:sz w:val="16"/>
                <w:szCs w:val="16"/>
              </w:rPr>
            </w:pPr>
          </w:p>
        </w:tc>
        <w:tc>
          <w:tcPr>
            <w:tcW w:w="1368" w:type="dxa"/>
            <w:gridSpan w:val="2"/>
            <w:tcBorders>
              <w:top w:val="single" w:sz="12" w:space="0" w:color="auto"/>
              <w:left w:val="single" w:sz="12" w:space="0" w:color="auto"/>
              <w:bottom w:val="single" w:sz="12" w:space="0" w:color="auto"/>
            </w:tcBorders>
            <w:vAlign w:val="center"/>
          </w:tcPr>
          <w:p w14:paraId="31F679B8" w14:textId="77777777" w:rsidR="00BC63A1" w:rsidRPr="00D960A4" w:rsidRDefault="00BC63A1" w:rsidP="00285181">
            <w:pPr>
              <w:spacing w:line="240" w:lineRule="auto"/>
              <w:jc w:val="center"/>
              <w:rPr>
                <w:sz w:val="16"/>
                <w:szCs w:val="16"/>
              </w:rPr>
            </w:pPr>
            <w:proofErr w:type="spellStart"/>
            <w:r>
              <w:rPr>
                <w:sz w:val="16"/>
                <w:szCs w:val="16"/>
              </w:rPr>
              <w:t>Levene’s</w:t>
            </w:r>
            <w:proofErr w:type="spellEnd"/>
            <w:r>
              <w:rPr>
                <w:sz w:val="16"/>
                <w:szCs w:val="16"/>
              </w:rPr>
              <w:t xml:space="preserve"> Test for Equality of Variance</w:t>
            </w:r>
          </w:p>
        </w:tc>
        <w:tc>
          <w:tcPr>
            <w:tcW w:w="5443" w:type="dxa"/>
            <w:gridSpan w:val="7"/>
            <w:tcBorders>
              <w:top w:val="single" w:sz="12" w:space="0" w:color="auto"/>
              <w:bottom w:val="single" w:sz="12" w:space="0" w:color="auto"/>
            </w:tcBorders>
            <w:vAlign w:val="center"/>
          </w:tcPr>
          <w:p w14:paraId="57A845F5" w14:textId="77777777" w:rsidR="00BC63A1" w:rsidRPr="00D960A4" w:rsidRDefault="00BC63A1" w:rsidP="00285181">
            <w:pPr>
              <w:spacing w:line="240" w:lineRule="auto"/>
              <w:jc w:val="center"/>
              <w:rPr>
                <w:sz w:val="16"/>
                <w:szCs w:val="16"/>
              </w:rPr>
            </w:pPr>
            <w:r>
              <w:rPr>
                <w:sz w:val="16"/>
                <w:szCs w:val="16"/>
              </w:rPr>
              <w:t>t-test for Equality of Means</w:t>
            </w:r>
          </w:p>
        </w:tc>
      </w:tr>
      <w:tr w:rsidR="00BC63A1" w14:paraId="29C4DD0E" w14:textId="77777777" w:rsidTr="00285181">
        <w:trPr>
          <w:trHeight w:val="730"/>
        </w:trPr>
        <w:tc>
          <w:tcPr>
            <w:tcW w:w="1910" w:type="dxa"/>
            <w:gridSpan w:val="2"/>
            <w:vMerge/>
            <w:tcBorders>
              <w:top w:val="single" w:sz="4" w:space="0" w:color="auto"/>
              <w:bottom w:val="single" w:sz="4" w:space="0" w:color="auto"/>
              <w:right w:val="single" w:sz="12" w:space="0" w:color="auto"/>
            </w:tcBorders>
            <w:vAlign w:val="center"/>
          </w:tcPr>
          <w:p w14:paraId="63F366BB" w14:textId="77777777" w:rsidR="00BC63A1" w:rsidRPr="00D960A4" w:rsidRDefault="00BC63A1" w:rsidP="00285181">
            <w:pPr>
              <w:spacing w:line="240" w:lineRule="auto"/>
              <w:jc w:val="center"/>
              <w:rPr>
                <w:sz w:val="16"/>
                <w:szCs w:val="16"/>
              </w:rPr>
            </w:pPr>
          </w:p>
        </w:tc>
        <w:tc>
          <w:tcPr>
            <w:tcW w:w="683" w:type="dxa"/>
            <w:vMerge w:val="restart"/>
            <w:tcBorders>
              <w:top w:val="single" w:sz="12" w:space="0" w:color="auto"/>
              <w:left w:val="single" w:sz="12" w:space="0" w:color="auto"/>
            </w:tcBorders>
            <w:vAlign w:val="bottom"/>
          </w:tcPr>
          <w:p w14:paraId="0BB8F113" w14:textId="77777777" w:rsidR="00BC63A1" w:rsidRPr="00D960A4" w:rsidRDefault="00BC63A1" w:rsidP="00285181">
            <w:pPr>
              <w:spacing w:line="240" w:lineRule="auto"/>
              <w:jc w:val="center"/>
              <w:rPr>
                <w:sz w:val="16"/>
                <w:szCs w:val="16"/>
              </w:rPr>
            </w:pPr>
            <w:r>
              <w:rPr>
                <w:sz w:val="16"/>
                <w:szCs w:val="16"/>
              </w:rPr>
              <w:t>F</w:t>
            </w:r>
          </w:p>
        </w:tc>
        <w:tc>
          <w:tcPr>
            <w:tcW w:w="685" w:type="dxa"/>
            <w:vMerge w:val="restart"/>
            <w:tcBorders>
              <w:top w:val="single" w:sz="12" w:space="0" w:color="auto"/>
            </w:tcBorders>
            <w:vAlign w:val="bottom"/>
          </w:tcPr>
          <w:p w14:paraId="510510E9" w14:textId="77777777" w:rsidR="00BC63A1" w:rsidRPr="00D960A4" w:rsidRDefault="00BC63A1" w:rsidP="00285181">
            <w:pPr>
              <w:spacing w:line="240" w:lineRule="auto"/>
              <w:jc w:val="center"/>
              <w:rPr>
                <w:sz w:val="16"/>
                <w:szCs w:val="16"/>
              </w:rPr>
            </w:pPr>
            <w:r>
              <w:rPr>
                <w:sz w:val="16"/>
                <w:szCs w:val="16"/>
              </w:rPr>
              <w:t>Sig.</w:t>
            </w:r>
          </w:p>
        </w:tc>
        <w:tc>
          <w:tcPr>
            <w:tcW w:w="685" w:type="dxa"/>
            <w:vMerge w:val="restart"/>
            <w:tcBorders>
              <w:top w:val="single" w:sz="12" w:space="0" w:color="auto"/>
            </w:tcBorders>
            <w:vAlign w:val="bottom"/>
          </w:tcPr>
          <w:p w14:paraId="4A669E86" w14:textId="77777777" w:rsidR="00BC63A1" w:rsidRPr="00D960A4" w:rsidRDefault="00BC63A1" w:rsidP="00285181">
            <w:pPr>
              <w:spacing w:line="240" w:lineRule="auto"/>
              <w:jc w:val="center"/>
              <w:rPr>
                <w:sz w:val="16"/>
                <w:szCs w:val="16"/>
              </w:rPr>
            </w:pPr>
            <w:r>
              <w:rPr>
                <w:sz w:val="16"/>
                <w:szCs w:val="16"/>
              </w:rPr>
              <w:t>t</w:t>
            </w:r>
          </w:p>
        </w:tc>
        <w:tc>
          <w:tcPr>
            <w:tcW w:w="729" w:type="dxa"/>
            <w:vMerge w:val="restart"/>
            <w:tcBorders>
              <w:top w:val="single" w:sz="12" w:space="0" w:color="auto"/>
            </w:tcBorders>
            <w:vAlign w:val="bottom"/>
          </w:tcPr>
          <w:p w14:paraId="5DDC5963" w14:textId="77777777" w:rsidR="00BC63A1" w:rsidRPr="00D960A4" w:rsidRDefault="00BC63A1" w:rsidP="00285181">
            <w:pPr>
              <w:spacing w:line="240" w:lineRule="auto"/>
              <w:jc w:val="center"/>
              <w:rPr>
                <w:sz w:val="16"/>
                <w:szCs w:val="16"/>
              </w:rPr>
            </w:pPr>
            <w:proofErr w:type="spellStart"/>
            <w:r>
              <w:rPr>
                <w:sz w:val="16"/>
                <w:szCs w:val="16"/>
              </w:rPr>
              <w:t>Df</w:t>
            </w:r>
            <w:proofErr w:type="spellEnd"/>
          </w:p>
        </w:tc>
        <w:tc>
          <w:tcPr>
            <w:tcW w:w="702" w:type="dxa"/>
            <w:vMerge w:val="restart"/>
            <w:tcBorders>
              <w:top w:val="single" w:sz="12" w:space="0" w:color="auto"/>
            </w:tcBorders>
            <w:vAlign w:val="bottom"/>
          </w:tcPr>
          <w:p w14:paraId="695E1B94" w14:textId="77777777" w:rsidR="00BC63A1" w:rsidRPr="00D960A4" w:rsidRDefault="00BC63A1" w:rsidP="00285181">
            <w:pPr>
              <w:spacing w:line="240" w:lineRule="auto"/>
              <w:jc w:val="center"/>
              <w:rPr>
                <w:sz w:val="16"/>
                <w:szCs w:val="16"/>
              </w:rPr>
            </w:pPr>
            <w:r>
              <w:rPr>
                <w:sz w:val="16"/>
                <w:szCs w:val="16"/>
              </w:rPr>
              <w:t>Sig. (2 tailed)</w:t>
            </w:r>
          </w:p>
        </w:tc>
        <w:tc>
          <w:tcPr>
            <w:tcW w:w="946" w:type="dxa"/>
            <w:vMerge w:val="restart"/>
            <w:tcBorders>
              <w:top w:val="single" w:sz="12" w:space="0" w:color="auto"/>
            </w:tcBorders>
            <w:vAlign w:val="bottom"/>
          </w:tcPr>
          <w:p w14:paraId="5A54FD31" w14:textId="77777777" w:rsidR="00BC63A1" w:rsidRPr="00D960A4" w:rsidRDefault="00BC63A1" w:rsidP="00285181">
            <w:pPr>
              <w:spacing w:line="240" w:lineRule="auto"/>
              <w:jc w:val="center"/>
              <w:rPr>
                <w:sz w:val="16"/>
                <w:szCs w:val="16"/>
              </w:rPr>
            </w:pPr>
            <w:r>
              <w:rPr>
                <w:sz w:val="16"/>
                <w:szCs w:val="16"/>
              </w:rPr>
              <w:t>Mean Difference</w:t>
            </w:r>
          </w:p>
        </w:tc>
        <w:tc>
          <w:tcPr>
            <w:tcW w:w="946" w:type="dxa"/>
            <w:vMerge w:val="restart"/>
            <w:tcBorders>
              <w:top w:val="single" w:sz="12" w:space="0" w:color="auto"/>
            </w:tcBorders>
            <w:vAlign w:val="bottom"/>
          </w:tcPr>
          <w:p w14:paraId="09822762" w14:textId="77777777" w:rsidR="00BC63A1" w:rsidRPr="00D960A4" w:rsidRDefault="00BC63A1" w:rsidP="00285181">
            <w:pPr>
              <w:spacing w:line="240" w:lineRule="auto"/>
              <w:jc w:val="center"/>
              <w:rPr>
                <w:sz w:val="16"/>
                <w:szCs w:val="16"/>
              </w:rPr>
            </w:pPr>
            <w:r>
              <w:rPr>
                <w:sz w:val="16"/>
                <w:szCs w:val="16"/>
              </w:rPr>
              <w:t>Std Error Difference</w:t>
            </w:r>
          </w:p>
        </w:tc>
        <w:tc>
          <w:tcPr>
            <w:tcW w:w="1435" w:type="dxa"/>
            <w:gridSpan w:val="2"/>
            <w:tcBorders>
              <w:top w:val="single" w:sz="12" w:space="0" w:color="auto"/>
            </w:tcBorders>
            <w:vAlign w:val="center"/>
          </w:tcPr>
          <w:p w14:paraId="612D8143" w14:textId="77777777" w:rsidR="00BC63A1" w:rsidRPr="00D960A4" w:rsidRDefault="00BC63A1" w:rsidP="00285181">
            <w:pPr>
              <w:spacing w:line="240" w:lineRule="auto"/>
              <w:jc w:val="center"/>
              <w:rPr>
                <w:sz w:val="16"/>
                <w:szCs w:val="16"/>
              </w:rPr>
            </w:pPr>
            <w:r>
              <w:rPr>
                <w:sz w:val="16"/>
                <w:szCs w:val="16"/>
              </w:rPr>
              <w:t>95% Confidence Interval of the Difference</w:t>
            </w:r>
          </w:p>
        </w:tc>
      </w:tr>
      <w:tr w:rsidR="00BC63A1" w14:paraId="29298E27" w14:textId="77777777" w:rsidTr="00285181">
        <w:trPr>
          <w:trHeight w:val="447"/>
        </w:trPr>
        <w:tc>
          <w:tcPr>
            <w:tcW w:w="1910" w:type="dxa"/>
            <w:gridSpan w:val="2"/>
            <w:vMerge/>
            <w:tcBorders>
              <w:top w:val="single" w:sz="4" w:space="0" w:color="auto"/>
              <w:bottom w:val="single" w:sz="12" w:space="0" w:color="auto"/>
              <w:right w:val="single" w:sz="12" w:space="0" w:color="auto"/>
            </w:tcBorders>
            <w:vAlign w:val="center"/>
          </w:tcPr>
          <w:p w14:paraId="00612347" w14:textId="77777777" w:rsidR="00BC63A1" w:rsidRPr="00D960A4" w:rsidRDefault="00BC63A1" w:rsidP="00285181">
            <w:pPr>
              <w:spacing w:line="240" w:lineRule="auto"/>
              <w:jc w:val="center"/>
              <w:rPr>
                <w:sz w:val="16"/>
                <w:szCs w:val="16"/>
              </w:rPr>
            </w:pPr>
          </w:p>
        </w:tc>
        <w:tc>
          <w:tcPr>
            <w:tcW w:w="683" w:type="dxa"/>
            <w:vMerge/>
            <w:tcBorders>
              <w:left w:val="single" w:sz="12" w:space="0" w:color="auto"/>
              <w:bottom w:val="single" w:sz="12" w:space="0" w:color="auto"/>
            </w:tcBorders>
            <w:vAlign w:val="center"/>
          </w:tcPr>
          <w:p w14:paraId="29930F52" w14:textId="77777777" w:rsidR="00BC63A1" w:rsidRPr="00D960A4" w:rsidRDefault="00BC63A1" w:rsidP="00285181">
            <w:pPr>
              <w:spacing w:line="240" w:lineRule="auto"/>
              <w:jc w:val="center"/>
              <w:rPr>
                <w:sz w:val="16"/>
                <w:szCs w:val="16"/>
              </w:rPr>
            </w:pPr>
          </w:p>
        </w:tc>
        <w:tc>
          <w:tcPr>
            <w:tcW w:w="685" w:type="dxa"/>
            <w:vMerge/>
            <w:tcBorders>
              <w:bottom w:val="single" w:sz="12" w:space="0" w:color="auto"/>
            </w:tcBorders>
            <w:vAlign w:val="center"/>
          </w:tcPr>
          <w:p w14:paraId="09BF7CEF" w14:textId="77777777" w:rsidR="00BC63A1" w:rsidRPr="00D960A4" w:rsidRDefault="00BC63A1" w:rsidP="00285181">
            <w:pPr>
              <w:spacing w:line="240" w:lineRule="auto"/>
              <w:jc w:val="center"/>
              <w:rPr>
                <w:sz w:val="16"/>
                <w:szCs w:val="16"/>
              </w:rPr>
            </w:pPr>
          </w:p>
        </w:tc>
        <w:tc>
          <w:tcPr>
            <w:tcW w:w="685" w:type="dxa"/>
            <w:vMerge/>
            <w:tcBorders>
              <w:bottom w:val="single" w:sz="12" w:space="0" w:color="auto"/>
            </w:tcBorders>
            <w:vAlign w:val="center"/>
          </w:tcPr>
          <w:p w14:paraId="12288AE9" w14:textId="77777777" w:rsidR="00BC63A1" w:rsidRPr="00D960A4" w:rsidRDefault="00BC63A1" w:rsidP="00285181">
            <w:pPr>
              <w:spacing w:line="240" w:lineRule="auto"/>
              <w:jc w:val="center"/>
              <w:rPr>
                <w:sz w:val="16"/>
                <w:szCs w:val="16"/>
              </w:rPr>
            </w:pPr>
          </w:p>
        </w:tc>
        <w:tc>
          <w:tcPr>
            <w:tcW w:w="729" w:type="dxa"/>
            <w:vMerge/>
            <w:tcBorders>
              <w:bottom w:val="single" w:sz="12" w:space="0" w:color="auto"/>
            </w:tcBorders>
            <w:vAlign w:val="center"/>
          </w:tcPr>
          <w:p w14:paraId="3865B4F5" w14:textId="77777777" w:rsidR="00BC63A1" w:rsidRPr="00D960A4" w:rsidRDefault="00BC63A1" w:rsidP="00285181">
            <w:pPr>
              <w:spacing w:line="240" w:lineRule="auto"/>
              <w:jc w:val="center"/>
              <w:rPr>
                <w:sz w:val="16"/>
                <w:szCs w:val="16"/>
              </w:rPr>
            </w:pPr>
          </w:p>
        </w:tc>
        <w:tc>
          <w:tcPr>
            <w:tcW w:w="702" w:type="dxa"/>
            <w:vMerge/>
            <w:tcBorders>
              <w:bottom w:val="single" w:sz="12" w:space="0" w:color="auto"/>
            </w:tcBorders>
            <w:vAlign w:val="center"/>
          </w:tcPr>
          <w:p w14:paraId="30DBEA34" w14:textId="77777777" w:rsidR="00BC63A1" w:rsidRPr="00D960A4" w:rsidRDefault="00BC63A1" w:rsidP="00285181">
            <w:pPr>
              <w:spacing w:line="240" w:lineRule="auto"/>
              <w:jc w:val="center"/>
              <w:rPr>
                <w:sz w:val="16"/>
                <w:szCs w:val="16"/>
              </w:rPr>
            </w:pPr>
          </w:p>
        </w:tc>
        <w:tc>
          <w:tcPr>
            <w:tcW w:w="946" w:type="dxa"/>
            <w:vMerge/>
            <w:tcBorders>
              <w:bottom w:val="single" w:sz="12" w:space="0" w:color="auto"/>
            </w:tcBorders>
            <w:vAlign w:val="center"/>
          </w:tcPr>
          <w:p w14:paraId="7FB4A680" w14:textId="77777777" w:rsidR="00BC63A1" w:rsidRPr="00D960A4" w:rsidRDefault="00BC63A1" w:rsidP="00285181">
            <w:pPr>
              <w:spacing w:line="240" w:lineRule="auto"/>
              <w:jc w:val="center"/>
              <w:rPr>
                <w:sz w:val="16"/>
                <w:szCs w:val="16"/>
              </w:rPr>
            </w:pPr>
          </w:p>
        </w:tc>
        <w:tc>
          <w:tcPr>
            <w:tcW w:w="946" w:type="dxa"/>
            <w:vMerge/>
            <w:tcBorders>
              <w:bottom w:val="single" w:sz="12" w:space="0" w:color="auto"/>
            </w:tcBorders>
            <w:vAlign w:val="center"/>
          </w:tcPr>
          <w:p w14:paraId="506485FE" w14:textId="77777777" w:rsidR="00BC63A1" w:rsidRPr="00D960A4" w:rsidRDefault="00BC63A1" w:rsidP="00285181">
            <w:pPr>
              <w:spacing w:line="240" w:lineRule="auto"/>
              <w:jc w:val="center"/>
              <w:rPr>
                <w:sz w:val="16"/>
                <w:szCs w:val="16"/>
              </w:rPr>
            </w:pPr>
          </w:p>
        </w:tc>
        <w:tc>
          <w:tcPr>
            <w:tcW w:w="717" w:type="dxa"/>
            <w:tcBorders>
              <w:bottom w:val="single" w:sz="12" w:space="0" w:color="auto"/>
            </w:tcBorders>
            <w:vAlign w:val="center"/>
          </w:tcPr>
          <w:p w14:paraId="3B75471A" w14:textId="77777777" w:rsidR="00BC63A1" w:rsidRPr="00D960A4" w:rsidRDefault="00BC63A1" w:rsidP="00285181">
            <w:pPr>
              <w:spacing w:line="240" w:lineRule="auto"/>
              <w:jc w:val="center"/>
              <w:rPr>
                <w:sz w:val="16"/>
                <w:szCs w:val="16"/>
              </w:rPr>
            </w:pPr>
            <w:r w:rsidRPr="00D960A4">
              <w:rPr>
                <w:sz w:val="16"/>
                <w:szCs w:val="16"/>
              </w:rPr>
              <w:t>Lower</w:t>
            </w:r>
          </w:p>
        </w:tc>
        <w:tc>
          <w:tcPr>
            <w:tcW w:w="718" w:type="dxa"/>
            <w:tcBorders>
              <w:bottom w:val="single" w:sz="12" w:space="0" w:color="auto"/>
            </w:tcBorders>
            <w:vAlign w:val="center"/>
          </w:tcPr>
          <w:p w14:paraId="1D358484" w14:textId="77777777" w:rsidR="00BC63A1" w:rsidRPr="00D960A4" w:rsidRDefault="00BC63A1" w:rsidP="00285181">
            <w:pPr>
              <w:spacing w:line="240" w:lineRule="auto"/>
              <w:jc w:val="center"/>
              <w:rPr>
                <w:sz w:val="16"/>
                <w:szCs w:val="16"/>
              </w:rPr>
            </w:pPr>
            <w:r>
              <w:rPr>
                <w:sz w:val="16"/>
                <w:szCs w:val="16"/>
              </w:rPr>
              <w:t>Upper</w:t>
            </w:r>
          </w:p>
        </w:tc>
      </w:tr>
      <w:tr w:rsidR="00BC63A1" w14:paraId="7658E779" w14:textId="77777777" w:rsidTr="00285181">
        <w:tc>
          <w:tcPr>
            <w:tcW w:w="1026" w:type="dxa"/>
            <w:vMerge w:val="restart"/>
            <w:tcBorders>
              <w:top w:val="single" w:sz="12" w:space="0" w:color="auto"/>
            </w:tcBorders>
            <w:vAlign w:val="center"/>
          </w:tcPr>
          <w:p w14:paraId="3A3F2B9C" w14:textId="77777777" w:rsidR="00BC63A1" w:rsidRDefault="00BC63A1" w:rsidP="00285181">
            <w:pPr>
              <w:spacing w:line="240" w:lineRule="auto"/>
              <w:jc w:val="center"/>
              <w:rPr>
                <w:sz w:val="16"/>
                <w:szCs w:val="16"/>
              </w:rPr>
            </w:pPr>
            <w:r>
              <w:rPr>
                <w:sz w:val="16"/>
                <w:szCs w:val="16"/>
              </w:rPr>
              <w:t>Confidence</w:t>
            </w:r>
          </w:p>
          <w:p w14:paraId="2478D76A" w14:textId="77777777" w:rsidR="00BC63A1" w:rsidRPr="00D960A4" w:rsidRDefault="00BC63A1" w:rsidP="00285181">
            <w:pPr>
              <w:spacing w:line="240" w:lineRule="auto"/>
              <w:jc w:val="center"/>
              <w:rPr>
                <w:sz w:val="16"/>
                <w:szCs w:val="16"/>
              </w:rPr>
            </w:pPr>
            <w:r>
              <w:rPr>
                <w:sz w:val="16"/>
                <w:szCs w:val="16"/>
              </w:rPr>
              <w:t>0 = none, 10 = very</w:t>
            </w:r>
          </w:p>
        </w:tc>
        <w:tc>
          <w:tcPr>
            <w:tcW w:w="884" w:type="dxa"/>
            <w:tcBorders>
              <w:top w:val="single" w:sz="12" w:space="0" w:color="auto"/>
              <w:bottom w:val="single" w:sz="4" w:space="0" w:color="auto"/>
              <w:right w:val="single" w:sz="12" w:space="0" w:color="auto"/>
            </w:tcBorders>
            <w:vAlign w:val="center"/>
          </w:tcPr>
          <w:p w14:paraId="4AECCBE2" w14:textId="77777777" w:rsidR="00BC63A1" w:rsidRPr="00D960A4" w:rsidRDefault="00BC63A1" w:rsidP="00285181">
            <w:pPr>
              <w:spacing w:line="240" w:lineRule="auto"/>
              <w:jc w:val="center"/>
              <w:rPr>
                <w:sz w:val="16"/>
                <w:szCs w:val="16"/>
              </w:rPr>
            </w:pPr>
            <w:r>
              <w:rPr>
                <w:sz w:val="16"/>
                <w:szCs w:val="16"/>
              </w:rPr>
              <w:t>Equal variance Assumed</w:t>
            </w:r>
          </w:p>
        </w:tc>
        <w:tc>
          <w:tcPr>
            <w:tcW w:w="683" w:type="dxa"/>
            <w:tcBorders>
              <w:top w:val="single" w:sz="12" w:space="0" w:color="auto"/>
              <w:left w:val="single" w:sz="12" w:space="0" w:color="auto"/>
            </w:tcBorders>
            <w:vAlign w:val="center"/>
          </w:tcPr>
          <w:p w14:paraId="795676CA" w14:textId="77777777" w:rsidR="00BC63A1" w:rsidRPr="00D960A4" w:rsidRDefault="00BC63A1" w:rsidP="00285181">
            <w:pPr>
              <w:spacing w:line="240" w:lineRule="auto"/>
              <w:jc w:val="center"/>
              <w:rPr>
                <w:sz w:val="16"/>
                <w:szCs w:val="16"/>
              </w:rPr>
            </w:pPr>
            <w:r>
              <w:rPr>
                <w:sz w:val="16"/>
                <w:szCs w:val="16"/>
              </w:rPr>
              <w:t>1.491</w:t>
            </w:r>
          </w:p>
        </w:tc>
        <w:tc>
          <w:tcPr>
            <w:tcW w:w="685" w:type="dxa"/>
            <w:tcBorders>
              <w:top w:val="single" w:sz="12" w:space="0" w:color="auto"/>
            </w:tcBorders>
            <w:vAlign w:val="center"/>
          </w:tcPr>
          <w:p w14:paraId="05180D7C" w14:textId="77777777" w:rsidR="00BC63A1" w:rsidRPr="00D960A4" w:rsidRDefault="00BC63A1" w:rsidP="00285181">
            <w:pPr>
              <w:spacing w:line="240" w:lineRule="auto"/>
              <w:jc w:val="center"/>
              <w:rPr>
                <w:sz w:val="16"/>
                <w:szCs w:val="16"/>
              </w:rPr>
            </w:pPr>
            <w:r>
              <w:rPr>
                <w:sz w:val="16"/>
                <w:szCs w:val="16"/>
              </w:rPr>
              <w:t>0.232</w:t>
            </w:r>
          </w:p>
        </w:tc>
        <w:tc>
          <w:tcPr>
            <w:tcW w:w="685" w:type="dxa"/>
            <w:tcBorders>
              <w:top w:val="single" w:sz="12" w:space="0" w:color="auto"/>
            </w:tcBorders>
            <w:vAlign w:val="center"/>
          </w:tcPr>
          <w:p w14:paraId="06CA0952" w14:textId="77777777" w:rsidR="00BC63A1" w:rsidRPr="00D960A4" w:rsidRDefault="00BC63A1" w:rsidP="00285181">
            <w:pPr>
              <w:spacing w:line="240" w:lineRule="auto"/>
              <w:jc w:val="center"/>
              <w:rPr>
                <w:sz w:val="16"/>
                <w:szCs w:val="16"/>
              </w:rPr>
            </w:pPr>
            <w:r>
              <w:rPr>
                <w:sz w:val="16"/>
                <w:szCs w:val="16"/>
              </w:rPr>
              <w:t>-2.178</w:t>
            </w:r>
          </w:p>
        </w:tc>
        <w:tc>
          <w:tcPr>
            <w:tcW w:w="729" w:type="dxa"/>
            <w:tcBorders>
              <w:top w:val="single" w:sz="12" w:space="0" w:color="auto"/>
            </w:tcBorders>
            <w:vAlign w:val="center"/>
          </w:tcPr>
          <w:p w14:paraId="0FD435E8" w14:textId="77777777" w:rsidR="00BC63A1" w:rsidRPr="00D960A4" w:rsidRDefault="00BC63A1" w:rsidP="00285181">
            <w:pPr>
              <w:spacing w:line="240" w:lineRule="auto"/>
              <w:jc w:val="center"/>
              <w:rPr>
                <w:sz w:val="16"/>
                <w:szCs w:val="16"/>
              </w:rPr>
            </w:pPr>
            <w:r>
              <w:rPr>
                <w:sz w:val="16"/>
                <w:szCs w:val="16"/>
              </w:rPr>
              <w:t>30</w:t>
            </w:r>
          </w:p>
        </w:tc>
        <w:tc>
          <w:tcPr>
            <w:tcW w:w="702" w:type="dxa"/>
            <w:tcBorders>
              <w:top w:val="single" w:sz="12" w:space="0" w:color="auto"/>
            </w:tcBorders>
            <w:vAlign w:val="center"/>
          </w:tcPr>
          <w:p w14:paraId="5B24B1B6" w14:textId="77777777" w:rsidR="00BC63A1" w:rsidRPr="00D960A4" w:rsidRDefault="00BC63A1" w:rsidP="00285181">
            <w:pPr>
              <w:spacing w:line="240" w:lineRule="auto"/>
              <w:jc w:val="center"/>
              <w:rPr>
                <w:sz w:val="16"/>
                <w:szCs w:val="16"/>
              </w:rPr>
            </w:pPr>
            <w:r>
              <w:rPr>
                <w:sz w:val="16"/>
                <w:szCs w:val="16"/>
              </w:rPr>
              <w:t>0.037</w:t>
            </w:r>
          </w:p>
        </w:tc>
        <w:tc>
          <w:tcPr>
            <w:tcW w:w="946" w:type="dxa"/>
            <w:tcBorders>
              <w:top w:val="single" w:sz="12" w:space="0" w:color="auto"/>
            </w:tcBorders>
            <w:vAlign w:val="center"/>
          </w:tcPr>
          <w:p w14:paraId="29C2884F" w14:textId="77777777" w:rsidR="00BC63A1" w:rsidRPr="00D960A4" w:rsidRDefault="00BC63A1" w:rsidP="00285181">
            <w:pPr>
              <w:spacing w:line="240" w:lineRule="auto"/>
              <w:jc w:val="center"/>
              <w:rPr>
                <w:sz w:val="16"/>
                <w:szCs w:val="16"/>
              </w:rPr>
            </w:pPr>
            <w:r>
              <w:rPr>
                <w:sz w:val="16"/>
                <w:szCs w:val="16"/>
              </w:rPr>
              <w:t>-0.875</w:t>
            </w:r>
          </w:p>
        </w:tc>
        <w:tc>
          <w:tcPr>
            <w:tcW w:w="946" w:type="dxa"/>
            <w:tcBorders>
              <w:top w:val="single" w:sz="12" w:space="0" w:color="auto"/>
            </w:tcBorders>
            <w:vAlign w:val="center"/>
          </w:tcPr>
          <w:p w14:paraId="26F3F579" w14:textId="77777777" w:rsidR="00BC63A1" w:rsidRPr="00D960A4" w:rsidRDefault="00BC63A1" w:rsidP="00285181">
            <w:pPr>
              <w:spacing w:line="240" w:lineRule="auto"/>
              <w:jc w:val="center"/>
              <w:rPr>
                <w:sz w:val="16"/>
                <w:szCs w:val="16"/>
              </w:rPr>
            </w:pPr>
            <w:r>
              <w:rPr>
                <w:sz w:val="16"/>
                <w:szCs w:val="16"/>
              </w:rPr>
              <w:t>0.402</w:t>
            </w:r>
          </w:p>
        </w:tc>
        <w:tc>
          <w:tcPr>
            <w:tcW w:w="717" w:type="dxa"/>
            <w:tcBorders>
              <w:top w:val="single" w:sz="12" w:space="0" w:color="auto"/>
            </w:tcBorders>
            <w:vAlign w:val="center"/>
          </w:tcPr>
          <w:p w14:paraId="781CF453" w14:textId="77777777" w:rsidR="00BC63A1" w:rsidRPr="00D960A4" w:rsidRDefault="00BC63A1" w:rsidP="00285181">
            <w:pPr>
              <w:spacing w:line="240" w:lineRule="auto"/>
              <w:jc w:val="center"/>
              <w:rPr>
                <w:sz w:val="16"/>
                <w:szCs w:val="16"/>
              </w:rPr>
            </w:pPr>
            <w:r>
              <w:rPr>
                <w:sz w:val="16"/>
                <w:szCs w:val="16"/>
              </w:rPr>
              <w:t>-1.696</w:t>
            </w:r>
          </w:p>
        </w:tc>
        <w:tc>
          <w:tcPr>
            <w:tcW w:w="718" w:type="dxa"/>
            <w:tcBorders>
              <w:top w:val="single" w:sz="12" w:space="0" w:color="auto"/>
            </w:tcBorders>
            <w:vAlign w:val="center"/>
          </w:tcPr>
          <w:p w14:paraId="09D61E66" w14:textId="77777777" w:rsidR="00BC63A1" w:rsidRPr="00D960A4" w:rsidRDefault="00BC63A1" w:rsidP="00285181">
            <w:pPr>
              <w:spacing w:line="240" w:lineRule="auto"/>
              <w:jc w:val="center"/>
              <w:rPr>
                <w:sz w:val="16"/>
                <w:szCs w:val="16"/>
              </w:rPr>
            </w:pPr>
            <w:r>
              <w:rPr>
                <w:sz w:val="16"/>
                <w:szCs w:val="16"/>
              </w:rPr>
              <w:t>0.54</w:t>
            </w:r>
          </w:p>
        </w:tc>
      </w:tr>
      <w:tr w:rsidR="00BC63A1" w14:paraId="05839943" w14:textId="77777777" w:rsidTr="00285181">
        <w:tc>
          <w:tcPr>
            <w:tcW w:w="1026" w:type="dxa"/>
            <w:vMerge/>
            <w:vAlign w:val="center"/>
          </w:tcPr>
          <w:p w14:paraId="4BB5048B" w14:textId="77777777" w:rsidR="00BC63A1" w:rsidRPr="00D960A4" w:rsidRDefault="00BC63A1" w:rsidP="00285181">
            <w:pPr>
              <w:spacing w:line="240" w:lineRule="auto"/>
              <w:jc w:val="center"/>
              <w:rPr>
                <w:sz w:val="16"/>
                <w:szCs w:val="16"/>
              </w:rPr>
            </w:pPr>
          </w:p>
        </w:tc>
        <w:tc>
          <w:tcPr>
            <w:tcW w:w="884" w:type="dxa"/>
            <w:tcBorders>
              <w:top w:val="single" w:sz="4" w:space="0" w:color="auto"/>
              <w:bottom w:val="single" w:sz="12" w:space="0" w:color="auto"/>
              <w:right w:val="single" w:sz="12" w:space="0" w:color="auto"/>
            </w:tcBorders>
            <w:vAlign w:val="center"/>
          </w:tcPr>
          <w:p w14:paraId="7A7C1E70" w14:textId="77777777" w:rsidR="00BC63A1" w:rsidRPr="00D960A4" w:rsidRDefault="00BC63A1" w:rsidP="00285181">
            <w:pPr>
              <w:spacing w:line="240" w:lineRule="auto"/>
              <w:jc w:val="center"/>
              <w:rPr>
                <w:sz w:val="16"/>
                <w:szCs w:val="16"/>
              </w:rPr>
            </w:pPr>
            <w:r>
              <w:rPr>
                <w:sz w:val="16"/>
                <w:szCs w:val="16"/>
              </w:rPr>
              <w:t>Equal Variance not assumed</w:t>
            </w:r>
          </w:p>
        </w:tc>
        <w:tc>
          <w:tcPr>
            <w:tcW w:w="683" w:type="dxa"/>
            <w:tcBorders>
              <w:left w:val="single" w:sz="12" w:space="0" w:color="auto"/>
            </w:tcBorders>
            <w:vAlign w:val="center"/>
          </w:tcPr>
          <w:p w14:paraId="06A895A5" w14:textId="77777777" w:rsidR="00BC63A1" w:rsidRPr="00D960A4" w:rsidRDefault="00BC63A1" w:rsidP="00285181">
            <w:pPr>
              <w:spacing w:line="240" w:lineRule="auto"/>
              <w:jc w:val="center"/>
              <w:rPr>
                <w:sz w:val="16"/>
                <w:szCs w:val="16"/>
              </w:rPr>
            </w:pPr>
          </w:p>
        </w:tc>
        <w:tc>
          <w:tcPr>
            <w:tcW w:w="685" w:type="dxa"/>
            <w:vAlign w:val="center"/>
          </w:tcPr>
          <w:p w14:paraId="0C817E3C" w14:textId="77777777" w:rsidR="00BC63A1" w:rsidRPr="00D960A4" w:rsidRDefault="00BC63A1" w:rsidP="00285181">
            <w:pPr>
              <w:spacing w:line="240" w:lineRule="auto"/>
              <w:jc w:val="center"/>
              <w:rPr>
                <w:sz w:val="16"/>
                <w:szCs w:val="16"/>
              </w:rPr>
            </w:pPr>
          </w:p>
        </w:tc>
        <w:tc>
          <w:tcPr>
            <w:tcW w:w="685" w:type="dxa"/>
            <w:vAlign w:val="center"/>
          </w:tcPr>
          <w:p w14:paraId="5ED48C7A" w14:textId="77777777" w:rsidR="00BC63A1" w:rsidRPr="00D960A4" w:rsidRDefault="00BC63A1" w:rsidP="00285181">
            <w:pPr>
              <w:spacing w:line="240" w:lineRule="auto"/>
              <w:jc w:val="center"/>
              <w:rPr>
                <w:sz w:val="16"/>
                <w:szCs w:val="16"/>
              </w:rPr>
            </w:pPr>
            <w:r>
              <w:rPr>
                <w:sz w:val="16"/>
                <w:szCs w:val="16"/>
              </w:rPr>
              <w:t>-2.178</w:t>
            </w:r>
          </w:p>
        </w:tc>
        <w:tc>
          <w:tcPr>
            <w:tcW w:w="729" w:type="dxa"/>
            <w:vAlign w:val="center"/>
          </w:tcPr>
          <w:p w14:paraId="1B1E0581" w14:textId="77777777" w:rsidR="00BC63A1" w:rsidRPr="00D960A4" w:rsidRDefault="00BC63A1" w:rsidP="00285181">
            <w:pPr>
              <w:spacing w:line="240" w:lineRule="auto"/>
              <w:jc w:val="center"/>
              <w:rPr>
                <w:sz w:val="16"/>
                <w:szCs w:val="16"/>
              </w:rPr>
            </w:pPr>
            <w:r>
              <w:rPr>
                <w:sz w:val="16"/>
                <w:szCs w:val="16"/>
              </w:rPr>
              <w:t>27.069</w:t>
            </w:r>
          </w:p>
        </w:tc>
        <w:tc>
          <w:tcPr>
            <w:tcW w:w="702" w:type="dxa"/>
            <w:vAlign w:val="center"/>
          </w:tcPr>
          <w:p w14:paraId="69C5EFE4" w14:textId="77777777" w:rsidR="00BC63A1" w:rsidRPr="00D960A4" w:rsidRDefault="00BC63A1" w:rsidP="00285181">
            <w:pPr>
              <w:spacing w:line="240" w:lineRule="auto"/>
              <w:jc w:val="center"/>
              <w:rPr>
                <w:sz w:val="16"/>
                <w:szCs w:val="16"/>
              </w:rPr>
            </w:pPr>
            <w:r>
              <w:rPr>
                <w:sz w:val="16"/>
                <w:szCs w:val="16"/>
              </w:rPr>
              <w:t>0.038</w:t>
            </w:r>
          </w:p>
        </w:tc>
        <w:tc>
          <w:tcPr>
            <w:tcW w:w="946" w:type="dxa"/>
            <w:vAlign w:val="center"/>
          </w:tcPr>
          <w:p w14:paraId="6990E959" w14:textId="77777777" w:rsidR="00BC63A1" w:rsidRPr="00D960A4" w:rsidRDefault="00BC63A1" w:rsidP="00285181">
            <w:pPr>
              <w:spacing w:line="240" w:lineRule="auto"/>
              <w:jc w:val="center"/>
              <w:rPr>
                <w:sz w:val="16"/>
                <w:szCs w:val="16"/>
              </w:rPr>
            </w:pPr>
            <w:r>
              <w:rPr>
                <w:sz w:val="16"/>
                <w:szCs w:val="16"/>
              </w:rPr>
              <w:t>-0.875</w:t>
            </w:r>
          </w:p>
        </w:tc>
        <w:tc>
          <w:tcPr>
            <w:tcW w:w="946" w:type="dxa"/>
            <w:vAlign w:val="center"/>
          </w:tcPr>
          <w:p w14:paraId="7754EE45" w14:textId="77777777" w:rsidR="00BC63A1" w:rsidRPr="00D960A4" w:rsidRDefault="00BC63A1" w:rsidP="00285181">
            <w:pPr>
              <w:spacing w:line="240" w:lineRule="auto"/>
              <w:jc w:val="center"/>
              <w:rPr>
                <w:sz w:val="16"/>
                <w:szCs w:val="16"/>
              </w:rPr>
            </w:pPr>
            <w:r>
              <w:rPr>
                <w:sz w:val="16"/>
                <w:szCs w:val="16"/>
              </w:rPr>
              <w:t>0.402</w:t>
            </w:r>
          </w:p>
        </w:tc>
        <w:tc>
          <w:tcPr>
            <w:tcW w:w="717" w:type="dxa"/>
            <w:vAlign w:val="center"/>
          </w:tcPr>
          <w:p w14:paraId="1045BF56" w14:textId="77777777" w:rsidR="00BC63A1" w:rsidRPr="00D960A4" w:rsidRDefault="00BC63A1" w:rsidP="00285181">
            <w:pPr>
              <w:spacing w:line="240" w:lineRule="auto"/>
              <w:jc w:val="center"/>
              <w:rPr>
                <w:sz w:val="16"/>
                <w:szCs w:val="16"/>
              </w:rPr>
            </w:pPr>
            <w:r>
              <w:rPr>
                <w:sz w:val="16"/>
                <w:szCs w:val="16"/>
              </w:rPr>
              <w:t>-1.699</w:t>
            </w:r>
          </w:p>
        </w:tc>
        <w:tc>
          <w:tcPr>
            <w:tcW w:w="718" w:type="dxa"/>
            <w:vAlign w:val="center"/>
          </w:tcPr>
          <w:p w14:paraId="5EC9F9DE" w14:textId="77777777" w:rsidR="00BC63A1" w:rsidRPr="00D960A4" w:rsidRDefault="00BC63A1" w:rsidP="00285181">
            <w:pPr>
              <w:spacing w:line="240" w:lineRule="auto"/>
              <w:jc w:val="center"/>
              <w:rPr>
                <w:sz w:val="16"/>
                <w:szCs w:val="16"/>
              </w:rPr>
            </w:pPr>
          </w:p>
        </w:tc>
      </w:tr>
    </w:tbl>
    <w:p w14:paraId="14235137" w14:textId="77777777" w:rsidR="00376BFB" w:rsidRDefault="00376BFB" w:rsidP="003E116C"/>
    <w:p w14:paraId="7B3C86ED" w14:textId="77777777" w:rsidR="00EA2ACC" w:rsidRDefault="00EA2ACC" w:rsidP="003E116C"/>
    <w:p w14:paraId="1C3D2A2D" w14:textId="77777777" w:rsidR="00EA2ACC" w:rsidRDefault="00EA2ACC" w:rsidP="003E116C"/>
    <w:p w14:paraId="09311506" w14:textId="77777777" w:rsidR="00EA2ACC" w:rsidRDefault="00EA2ACC" w:rsidP="003E116C"/>
    <w:p w14:paraId="3B004179" w14:textId="77777777" w:rsidR="00EA2ACC" w:rsidRDefault="00EA2ACC" w:rsidP="003E116C"/>
    <w:p w14:paraId="7187CAAC" w14:textId="77777777" w:rsidR="00EA2ACC" w:rsidRDefault="00EA2ACC" w:rsidP="003E116C"/>
    <w:p w14:paraId="2E42F3D7" w14:textId="77777777" w:rsidR="00BC63A1" w:rsidRDefault="00BC63A1" w:rsidP="003E116C"/>
    <w:p w14:paraId="66789F46" w14:textId="6DBF4230" w:rsidR="00C00713" w:rsidRPr="00C00713" w:rsidRDefault="00FB1A46" w:rsidP="00EA2ACC">
      <w:pPr>
        <w:pStyle w:val="Heading2"/>
      </w:pPr>
      <w:bookmarkStart w:id="493" w:name="_Toc419116239"/>
      <w:r>
        <w:lastRenderedPageBreak/>
        <w:t xml:space="preserve">Pre and </w:t>
      </w:r>
      <w:r w:rsidR="001D42C9">
        <w:t>post-course</w:t>
      </w:r>
      <w:r>
        <w:t xml:space="preserve"> confidence scores</w:t>
      </w:r>
      <w:bookmarkEnd w:id="493"/>
      <w:r>
        <w:t xml:space="preserve"> </w:t>
      </w:r>
      <w:r w:rsidR="00254D33">
        <w:t xml:space="preserve"> </w:t>
      </w:r>
    </w:p>
    <w:p w14:paraId="414BA969" w14:textId="66FB154C" w:rsidR="00254D33" w:rsidRDefault="00254D33" w:rsidP="007000F8">
      <w:pPr>
        <w:pStyle w:val="Caption"/>
      </w:pPr>
      <w:bookmarkStart w:id="494" w:name="_Toc365579494"/>
      <w:bookmarkStart w:id="495" w:name="_Toc419116513"/>
      <w:r>
        <w:t xml:space="preserve">Table </w:t>
      </w:r>
      <w:r w:rsidR="007000F8">
        <w:fldChar w:fldCharType="begin"/>
      </w:r>
      <w:r w:rsidR="007000F8">
        <w:instrText xml:space="preserve"> STYLEREF 1 \s </w:instrText>
      </w:r>
      <w:r w:rsidR="007000F8">
        <w:fldChar w:fldCharType="separate"/>
      </w:r>
      <w:r w:rsidR="007000F8">
        <w:rPr>
          <w:noProof/>
        </w:rPr>
        <w:t>13</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1</w:t>
      </w:r>
      <w:r w:rsidR="007000F8">
        <w:fldChar w:fldCharType="end"/>
      </w:r>
      <w:r>
        <w:t xml:space="preserve"> Difference in pre and </w:t>
      </w:r>
      <w:r w:rsidR="001D42C9">
        <w:t>post-course</w:t>
      </w:r>
      <w:r>
        <w:t xml:space="preserve"> confidence scores for each of the FP and TD </w:t>
      </w:r>
      <w:r w:rsidR="002568B6">
        <w:t>curriculum-mapped</w:t>
      </w:r>
      <w:r>
        <w:t xml:space="preserve"> domains</w:t>
      </w:r>
      <w:bookmarkEnd w:id="494"/>
      <w:bookmarkEnd w:id="495"/>
    </w:p>
    <w:tbl>
      <w:tblPr>
        <w:tblW w:w="86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93"/>
        <w:gridCol w:w="1169"/>
        <w:gridCol w:w="1237"/>
        <w:gridCol w:w="1305"/>
        <w:gridCol w:w="1167"/>
        <w:gridCol w:w="1677"/>
      </w:tblGrid>
      <w:tr w:rsidR="00EA2ACC" w:rsidRPr="00BB12D4" w14:paraId="68137BE9" w14:textId="77777777" w:rsidTr="00EA2ACC">
        <w:trPr>
          <w:cantSplit/>
          <w:trHeight w:val="447"/>
        </w:trPr>
        <w:tc>
          <w:tcPr>
            <w:tcW w:w="8645" w:type="dxa"/>
            <w:gridSpan w:val="6"/>
            <w:tcBorders>
              <w:top w:val="nil"/>
              <w:left w:val="nil"/>
              <w:bottom w:val="nil"/>
              <w:right w:val="nil"/>
            </w:tcBorders>
            <w:shd w:val="clear" w:color="auto" w:fill="FFFFFF"/>
            <w:vAlign w:val="center"/>
          </w:tcPr>
          <w:p w14:paraId="0EAEEF00" w14:textId="5D5B2412" w:rsidR="00254D33" w:rsidRPr="00BB12D4" w:rsidRDefault="00254D33" w:rsidP="00EA2ACC">
            <w:pPr>
              <w:widowControl w:val="0"/>
              <w:autoSpaceDE w:val="0"/>
              <w:autoSpaceDN w:val="0"/>
              <w:adjustRightInd w:val="0"/>
              <w:spacing w:line="320" w:lineRule="atLeast"/>
              <w:ind w:right="60"/>
              <w:rPr>
                <w:rFonts w:cs="Arial"/>
                <w:color w:val="000000"/>
              </w:rPr>
            </w:pPr>
          </w:p>
        </w:tc>
      </w:tr>
      <w:tr w:rsidR="00EA2ACC" w:rsidRPr="00BB12D4" w14:paraId="5CB3ED75" w14:textId="77777777" w:rsidTr="00EA2ACC">
        <w:trPr>
          <w:cantSplit/>
          <w:trHeight w:val="377"/>
        </w:trPr>
        <w:tc>
          <w:tcPr>
            <w:tcW w:w="2093"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4E857A3A" w14:textId="77777777" w:rsidR="00254D33" w:rsidRPr="006B027F" w:rsidRDefault="00254D33" w:rsidP="00EA2ACC">
            <w:pPr>
              <w:widowControl w:val="0"/>
              <w:autoSpaceDE w:val="0"/>
              <w:autoSpaceDN w:val="0"/>
              <w:adjustRightInd w:val="0"/>
              <w:spacing w:line="240" w:lineRule="auto"/>
              <w:rPr>
                <w:rFonts w:ascii="Times New Roman" w:hAnsi="Times New Roman"/>
                <w:sz w:val="16"/>
                <w:szCs w:val="16"/>
              </w:rPr>
            </w:pPr>
          </w:p>
        </w:tc>
        <w:tc>
          <w:tcPr>
            <w:tcW w:w="1169" w:type="dxa"/>
            <w:tcBorders>
              <w:top w:val="single" w:sz="16" w:space="0" w:color="000000"/>
              <w:left w:val="single" w:sz="16" w:space="0" w:color="000000"/>
              <w:bottom w:val="single" w:sz="16" w:space="0" w:color="000000"/>
            </w:tcBorders>
            <w:shd w:val="clear" w:color="auto" w:fill="FFFFFF"/>
            <w:vAlign w:val="bottom"/>
          </w:tcPr>
          <w:p w14:paraId="71AEE214" w14:textId="77777777" w:rsidR="00254D33" w:rsidRPr="006B027F" w:rsidRDefault="00254D33" w:rsidP="00EA2ACC">
            <w:pPr>
              <w:widowControl w:val="0"/>
              <w:autoSpaceDE w:val="0"/>
              <w:autoSpaceDN w:val="0"/>
              <w:adjustRightInd w:val="0"/>
              <w:spacing w:line="240" w:lineRule="auto"/>
              <w:ind w:left="60" w:right="60"/>
              <w:jc w:val="center"/>
              <w:rPr>
                <w:rFonts w:cs="Arial"/>
                <w:color w:val="000000"/>
                <w:sz w:val="16"/>
                <w:szCs w:val="16"/>
              </w:rPr>
            </w:pPr>
            <w:r w:rsidRPr="006B027F">
              <w:rPr>
                <w:rFonts w:cs="Arial"/>
                <w:color w:val="000000"/>
                <w:sz w:val="16"/>
                <w:szCs w:val="16"/>
              </w:rPr>
              <w:t>N</w:t>
            </w:r>
          </w:p>
        </w:tc>
        <w:tc>
          <w:tcPr>
            <w:tcW w:w="1237" w:type="dxa"/>
            <w:tcBorders>
              <w:top w:val="single" w:sz="16" w:space="0" w:color="000000"/>
              <w:bottom w:val="single" w:sz="16" w:space="0" w:color="000000"/>
            </w:tcBorders>
            <w:shd w:val="clear" w:color="auto" w:fill="FFFFFF"/>
            <w:vAlign w:val="bottom"/>
          </w:tcPr>
          <w:p w14:paraId="5D23FF64" w14:textId="77777777" w:rsidR="00254D33" w:rsidRPr="006B027F" w:rsidRDefault="00254D33" w:rsidP="00EA2ACC">
            <w:pPr>
              <w:widowControl w:val="0"/>
              <w:autoSpaceDE w:val="0"/>
              <w:autoSpaceDN w:val="0"/>
              <w:adjustRightInd w:val="0"/>
              <w:spacing w:line="240" w:lineRule="auto"/>
              <w:ind w:left="60" w:right="60"/>
              <w:jc w:val="center"/>
              <w:rPr>
                <w:rFonts w:cs="Arial"/>
                <w:color w:val="000000"/>
                <w:sz w:val="16"/>
                <w:szCs w:val="16"/>
              </w:rPr>
            </w:pPr>
            <w:r w:rsidRPr="006B027F">
              <w:rPr>
                <w:rFonts w:cs="Arial"/>
                <w:color w:val="000000"/>
                <w:sz w:val="16"/>
                <w:szCs w:val="16"/>
              </w:rPr>
              <w:t>Minimum</w:t>
            </w:r>
          </w:p>
        </w:tc>
        <w:tc>
          <w:tcPr>
            <w:tcW w:w="1305" w:type="dxa"/>
            <w:tcBorders>
              <w:top w:val="single" w:sz="16" w:space="0" w:color="000000"/>
              <w:bottom w:val="single" w:sz="16" w:space="0" w:color="000000"/>
            </w:tcBorders>
            <w:shd w:val="clear" w:color="auto" w:fill="FFFFFF"/>
            <w:vAlign w:val="bottom"/>
          </w:tcPr>
          <w:p w14:paraId="49098F58" w14:textId="77777777" w:rsidR="00254D33" w:rsidRPr="006B027F" w:rsidRDefault="00254D33" w:rsidP="00EA2ACC">
            <w:pPr>
              <w:widowControl w:val="0"/>
              <w:autoSpaceDE w:val="0"/>
              <w:autoSpaceDN w:val="0"/>
              <w:adjustRightInd w:val="0"/>
              <w:spacing w:line="240" w:lineRule="auto"/>
              <w:ind w:left="60" w:right="60"/>
              <w:jc w:val="center"/>
              <w:rPr>
                <w:rFonts w:cs="Arial"/>
                <w:color w:val="000000"/>
                <w:sz w:val="16"/>
                <w:szCs w:val="16"/>
              </w:rPr>
            </w:pPr>
            <w:r w:rsidRPr="006B027F">
              <w:rPr>
                <w:rFonts w:cs="Arial"/>
                <w:color w:val="000000"/>
                <w:sz w:val="16"/>
                <w:szCs w:val="16"/>
              </w:rPr>
              <w:t>Maximum</w:t>
            </w:r>
          </w:p>
        </w:tc>
        <w:tc>
          <w:tcPr>
            <w:tcW w:w="1167" w:type="dxa"/>
            <w:tcBorders>
              <w:top w:val="single" w:sz="16" w:space="0" w:color="000000"/>
              <w:bottom w:val="single" w:sz="16" w:space="0" w:color="000000"/>
            </w:tcBorders>
            <w:shd w:val="clear" w:color="auto" w:fill="FFFFFF"/>
            <w:vAlign w:val="bottom"/>
          </w:tcPr>
          <w:p w14:paraId="0ECD1204" w14:textId="77777777" w:rsidR="00254D33" w:rsidRPr="006B027F" w:rsidRDefault="00254D33" w:rsidP="00EA2ACC">
            <w:pPr>
              <w:widowControl w:val="0"/>
              <w:autoSpaceDE w:val="0"/>
              <w:autoSpaceDN w:val="0"/>
              <w:adjustRightInd w:val="0"/>
              <w:spacing w:line="240" w:lineRule="auto"/>
              <w:ind w:left="60" w:right="60"/>
              <w:jc w:val="center"/>
              <w:rPr>
                <w:rFonts w:cs="Arial"/>
                <w:color w:val="000000"/>
                <w:sz w:val="16"/>
                <w:szCs w:val="16"/>
              </w:rPr>
            </w:pPr>
            <w:r w:rsidRPr="006B027F">
              <w:rPr>
                <w:rFonts w:cs="Arial"/>
                <w:color w:val="000000"/>
                <w:sz w:val="16"/>
                <w:szCs w:val="16"/>
              </w:rPr>
              <w:t>Mean</w:t>
            </w:r>
          </w:p>
        </w:tc>
        <w:tc>
          <w:tcPr>
            <w:tcW w:w="1677" w:type="dxa"/>
            <w:tcBorders>
              <w:top w:val="single" w:sz="16" w:space="0" w:color="000000"/>
              <w:bottom w:val="single" w:sz="16" w:space="0" w:color="000000"/>
              <w:right w:val="single" w:sz="16" w:space="0" w:color="000000"/>
            </w:tcBorders>
            <w:shd w:val="clear" w:color="auto" w:fill="FFFFFF"/>
            <w:vAlign w:val="bottom"/>
          </w:tcPr>
          <w:p w14:paraId="6C38DE45" w14:textId="77777777" w:rsidR="00254D33" w:rsidRPr="006B027F" w:rsidRDefault="00254D33" w:rsidP="00EA2ACC">
            <w:pPr>
              <w:widowControl w:val="0"/>
              <w:autoSpaceDE w:val="0"/>
              <w:autoSpaceDN w:val="0"/>
              <w:adjustRightInd w:val="0"/>
              <w:spacing w:line="240" w:lineRule="auto"/>
              <w:ind w:left="60" w:right="60"/>
              <w:jc w:val="center"/>
              <w:rPr>
                <w:rFonts w:cs="Arial"/>
                <w:color w:val="000000"/>
                <w:sz w:val="16"/>
                <w:szCs w:val="16"/>
              </w:rPr>
            </w:pPr>
            <w:r w:rsidRPr="006B027F">
              <w:rPr>
                <w:rFonts w:cs="Arial"/>
                <w:color w:val="000000"/>
                <w:sz w:val="16"/>
                <w:szCs w:val="16"/>
              </w:rPr>
              <w:t>Std. Deviation</w:t>
            </w:r>
          </w:p>
        </w:tc>
      </w:tr>
      <w:tr w:rsidR="00EA2ACC" w:rsidRPr="00BB12D4" w14:paraId="61FEB73B" w14:textId="77777777" w:rsidTr="00EA2ACC">
        <w:trPr>
          <w:cantSplit/>
          <w:trHeight w:val="391"/>
        </w:trPr>
        <w:tc>
          <w:tcPr>
            <w:tcW w:w="2093" w:type="dxa"/>
            <w:tcBorders>
              <w:top w:val="single" w:sz="16" w:space="0" w:color="000000"/>
              <w:left w:val="single" w:sz="16" w:space="0" w:color="000000"/>
              <w:bottom w:val="nil"/>
              <w:right w:val="single" w:sz="16" w:space="0" w:color="000000"/>
            </w:tcBorders>
            <w:shd w:val="clear" w:color="auto" w:fill="FFFFFF"/>
          </w:tcPr>
          <w:p w14:paraId="7DA98D06"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Q1ABCDEdifference</w:t>
            </w:r>
          </w:p>
        </w:tc>
        <w:tc>
          <w:tcPr>
            <w:tcW w:w="1169" w:type="dxa"/>
            <w:tcBorders>
              <w:top w:val="single" w:sz="16" w:space="0" w:color="000000"/>
              <w:left w:val="single" w:sz="16" w:space="0" w:color="000000"/>
              <w:bottom w:val="nil"/>
            </w:tcBorders>
            <w:shd w:val="clear" w:color="auto" w:fill="FFFFFF"/>
            <w:vAlign w:val="center"/>
          </w:tcPr>
          <w:p w14:paraId="6C94121E"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single" w:sz="16" w:space="0" w:color="000000"/>
              <w:bottom w:val="nil"/>
            </w:tcBorders>
            <w:shd w:val="clear" w:color="auto" w:fill="FFFFFF"/>
            <w:vAlign w:val="center"/>
          </w:tcPr>
          <w:p w14:paraId="0787FB51"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-3</w:t>
            </w:r>
          </w:p>
        </w:tc>
        <w:tc>
          <w:tcPr>
            <w:tcW w:w="1305" w:type="dxa"/>
            <w:tcBorders>
              <w:top w:val="single" w:sz="16" w:space="0" w:color="000000"/>
              <w:bottom w:val="nil"/>
            </w:tcBorders>
            <w:shd w:val="clear" w:color="auto" w:fill="FFFFFF"/>
            <w:vAlign w:val="center"/>
          </w:tcPr>
          <w:p w14:paraId="06C113FE"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single" w:sz="16" w:space="0" w:color="000000"/>
              <w:bottom w:val="nil"/>
            </w:tcBorders>
            <w:shd w:val="clear" w:color="auto" w:fill="FFFFFF"/>
            <w:vAlign w:val="center"/>
          </w:tcPr>
          <w:p w14:paraId="3828A847"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.83</w:t>
            </w:r>
          </w:p>
        </w:tc>
        <w:tc>
          <w:tcPr>
            <w:tcW w:w="1677" w:type="dxa"/>
            <w:tcBorders>
              <w:top w:val="single" w:sz="16" w:space="0" w:color="000000"/>
              <w:bottom w:val="nil"/>
              <w:right w:val="single" w:sz="16" w:space="0" w:color="000000"/>
            </w:tcBorders>
            <w:shd w:val="clear" w:color="auto" w:fill="FFFFFF"/>
            <w:vAlign w:val="center"/>
          </w:tcPr>
          <w:p w14:paraId="0ACC7DB1"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1.094</w:t>
            </w:r>
          </w:p>
        </w:tc>
      </w:tr>
      <w:tr w:rsidR="00EA2ACC" w:rsidRPr="00BB12D4" w14:paraId="464658E3" w14:textId="77777777" w:rsidTr="00EA2ACC">
        <w:trPr>
          <w:cantSplit/>
          <w:trHeight w:val="391"/>
        </w:trPr>
        <w:tc>
          <w:tcPr>
            <w:tcW w:w="2093" w:type="dxa"/>
            <w:tcBorders>
              <w:top w:val="nil"/>
              <w:left w:val="single" w:sz="16" w:space="0" w:color="000000"/>
              <w:bottom w:val="nil"/>
              <w:right w:val="single" w:sz="16" w:space="0" w:color="000000"/>
            </w:tcBorders>
            <w:shd w:val="clear" w:color="auto" w:fill="FFFFFF"/>
          </w:tcPr>
          <w:p w14:paraId="03C83AAA"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Q2O2difference</w:t>
            </w:r>
          </w:p>
        </w:tc>
        <w:tc>
          <w:tcPr>
            <w:tcW w:w="1169" w:type="dxa"/>
            <w:tcBorders>
              <w:top w:val="nil"/>
              <w:left w:val="single" w:sz="16" w:space="0" w:color="000000"/>
              <w:bottom w:val="nil"/>
            </w:tcBorders>
            <w:shd w:val="clear" w:color="auto" w:fill="FFFFFF"/>
            <w:vAlign w:val="center"/>
          </w:tcPr>
          <w:p w14:paraId="337F3246"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31B868D8"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w:t>
            </w:r>
          </w:p>
        </w:tc>
        <w:tc>
          <w:tcPr>
            <w:tcW w:w="1305" w:type="dxa"/>
            <w:tcBorders>
              <w:top w:val="nil"/>
              <w:bottom w:val="nil"/>
            </w:tcBorders>
            <w:shd w:val="clear" w:color="auto" w:fill="FFFFFF"/>
            <w:vAlign w:val="center"/>
          </w:tcPr>
          <w:p w14:paraId="0A9AEFE7"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5</w:t>
            </w:r>
          </w:p>
        </w:tc>
        <w:tc>
          <w:tcPr>
            <w:tcW w:w="1167" w:type="dxa"/>
            <w:tcBorders>
              <w:top w:val="nil"/>
              <w:bottom w:val="nil"/>
            </w:tcBorders>
            <w:shd w:val="clear" w:color="auto" w:fill="FFFFFF"/>
            <w:vAlign w:val="center"/>
          </w:tcPr>
          <w:p w14:paraId="74F224B1"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1.19</w:t>
            </w:r>
          </w:p>
        </w:tc>
        <w:tc>
          <w:tcPr>
            <w:tcW w:w="1677" w:type="dxa"/>
            <w:tcBorders>
              <w:top w:val="nil"/>
              <w:bottom w:val="nil"/>
              <w:right w:val="single" w:sz="16" w:space="0" w:color="000000"/>
            </w:tcBorders>
            <w:shd w:val="clear" w:color="auto" w:fill="FFFFFF"/>
            <w:vAlign w:val="center"/>
          </w:tcPr>
          <w:p w14:paraId="087687DA"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1.060</w:t>
            </w:r>
          </w:p>
        </w:tc>
      </w:tr>
      <w:tr w:rsidR="00EA2ACC" w:rsidRPr="00BB12D4" w14:paraId="7AE207A1"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13CCDA21"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Q3Startingtreatdifference</w:t>
            </w:r>
          </w:p>
        </w:tc>
        <w:tc>
          <w:tcPr>
            <w:tcW w:w="1169" w:type="dxa"/>
            <w:tcBorders>
              <w:top w:val="nil"/>
              <w:left w:val="single" w:sz="16" w:space="0" w:color="000000"/>
              <w:bottom w:val="nil"/>
            </w:tcBorders>
            <w:shd w:val="clear" w:color="auto" w:fill="FFFFFF"/>
            <w:vAlign w:val="center"/>
          </w:tcPr>
          <w:p w14:paraId="34D8D96A"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7E197E89"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w:t>
            </w:r>
          </w:p>
        </w:tc>
        <w:tc>
          <w:tcPr>
            <w:tcW w:w="1305" w:type="dxa"/>
            <w:tcBorders>
              <w:top w:val="nil"/>
              <w:bottom w:val="nil"/>
            </w:tcBorders>
            <w:shd w:val="clear" w:color="auto" w:fill="FFFFFF"/>
            <w:vAlign w:val="center"/>
          </w:tcPr>
          <w:p w14:paraId="33185577"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47938E45"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1.61</w:t>
            </w:r>
          </w:p>
        </w:tc>
        <w:tc>
          <w:tcPr>
            <w:tcW w:w="1677" w:type="dxa"/>
            <w:tcBorders>
              <w:top w:val="nil"/>
              <w:bottom w:val="nil"/>
              <w:right w:val="single" w:sz="16" w:space="0" w:color="000000"/>
            </w:tcBorders>
            <w:shd w:val="clear" w:color="auto" w:fill="FFFFFF"/>
            <w:vAlign w:val="center"/>
          </w:tcPr>
          <w:p w14:paraId="02C5D752"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1.147</w:t>
            </w:r>
          </w:p>
        </w:tc>
      </w:tr>
      <w:tr w:rsidR="00EA2ACC" w:rsidRPr="00BB12D4" w14:paraId="3D69B13D"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4C4B9716"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Q4Recognisedifference</w:t>
            </w:r>
          </w:p>
        </w:tc>
        <w:tc>
          <w:tcPr>
            <w:tcW w:w="1169" w:type="dxa"/>
            <w:tcBorders>
              <w:top w:val="nil"/>
              <w:left w:val="single" w:sz="16" w:space="0" w:color="000000"/>
              <w:bottom w:val="nil"/>
            </w:tcBorders>
            <w:shd w:val="clear" w:color="auto" w:fill="FFFFFF"/>
            <w:vAlign w:val="center"/>
          </w:tcPr>
          <w:p w14:paraId="0AF0119E"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36E0A015"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w:t>
            </w:r>
          </w:p>
        </w:tc>
        <w:tc>
          <w:tcPr>
            <w:tcW w:w="1305" w:type="dxa"/>
            <w:tcBorders>
              <w:top w:val="nil"/>
              <w:bottom w:val="nil"/>
            </w:tcBorders>
            <w:shd w:val="clear" w:color="auto" w:fill="FFFFFF"/>
            <w:vAlign w:val="center"/>
          </w:tcPr>
          <w:p w14:paraId="626A1C9E"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1BD8D52F"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1.41</w:t>
            </w:r>
          </w:p>
        </w:tc>
        <w:tc>
          <w:tcPr>
            <w:tcW w:w="1677" w:type="dxa"/>
            <w:tcBorders>
              <w:top w:val="nil"/>
              <w:bottom w:val="nil"/>
              <w:right w:val="single" w:sz="16" w:space="0" w:color="000000"/>
            </w:tcBorders>
            <w:shd w:val="clear" w:color="auto" w:fill="FFFFFF"/>
            <w:vAlign w:val="center"/>
          </w:tcPr>
          <w:p w14:paraId="6877223F"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.988</w:t>
            </w:r>
          </w:p>
        </w:tc>
      </w:tr>
      <w:tr w:rsidR="00EA2ACC" w:rsidRPr="00BB12D4" w14:paraId="1BACC4B2"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1AC14FA6"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Q5Escalationdifference</w:t>
            </w:r>
          </w:p>
        </w:tc>
        <w:tc>
          <w:tcPr>
            <w:tcW w:w="1169" w:type="dxa"/>
            <w:tcBorders>
              <w:top w:val="nil"/>
              <w:left w:val="single" w:sz="16" w:space="0" w:color="000000"/>
              <w:bottom w:val="nil"/>
            </w:tcBorders>
            <w:shd w:val="clear" w:color="auto" w:fill="FFFFFF"/>
            <w:vAlign w:val="center"/>
          </w:tcPr>
          <w:p w14:paraId="051948A8"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36051519"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-3</w:t>
            </w:r>
          </w:p>
        </w:tc>
        <w:tc>
          <w:tcPr>
            <w:tcW w:w="1305" w:type="dxa"/>
            <w:tcBorders>
              <w:top w:val="nil"/>
              <w:bottom w:val="nil"/>
            </w:tcBorders>
            <w:shd w:val="clear" w:color="auto" w:fill="FFFFFF"/>
            <w:vAlign w:val="center"/>
          </w:tcPr>
          <w:p w14:paraId="7C071F2B"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5</w:t>
            </w:r>
          </w:p>
        </w:tc>
        <w:tc>
          <w:tcPr>
            <w:tcW w:w="1167" w:type="dxa"/>
            <w:tcBorders>
              <w:top w:val="nil"/>
              <w:bottom w:val="nil"/>
            </w:tcBorders>
            <w:shd w:val="clear" w:color="auto" w:fill="FFFFFF"/>
            <w:vAlign w:val="center"/>
          </w:tcPr>
          <w:p w14:paraId="3843B29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1.63</w:t>
            </w:r>
          </w:p>
        </w:tc>
        <w:tc>
          <w:tcPr>
            <w:tcW w:w="1677" w:type="dxa"/>
            <w:tcBorders>
              <w:top w:val="nil"/>
              <w:bottom w:val="nil"/>
              <w:right w:val="single" w:sz="16" w:space="0" w:color="000000"/>
            </w:tcBorders>
            <w:shd w:val="clear" w:color="auto" w:fill="FFFFFF"/>
            <w:vAlign w:val="center"/>
          </w:tcPr>
          <w:p w14:paraId="18269848"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1.429</w:t>
            </w:r>
          </w:p>
        </w:tc>
      </w:tr>
      <w:tr w:rsidR="00EA2ACC" w:rsidRPr="00BB12D4" w14:paraId="1D76D73E"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4E029F87"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Q6Crashcalldifference</w:t>
            </w:r>
          </w:p>
        </w:tc>
        <w:tc>
          <w:tcPr>
            <w:tcW w:w="1169" w:type="dxa"/>
            <w:tcBorders>
              <w:top w:val="nil"/>
              <w:left w:val="single" w:sz="16" w:space="0" w:color="000000"/>
              <w:bottom w:val="nil"/>
            </w:tcBorders>
            <w:shd w:val="clear" w:color="auto" w:fill="FFFFFF"/>
            <w:vAlign w:val="center"/>
          </w:tcPr>
          <w:p w14:paraId="55AEE717"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31E45085"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-2</w:t>
            </w:r>
          </w:p>
        </w:tc>
        <w:tc>
          <w:tcPr>
            <w:tcW w:w="1305" w:type="dxa"/>
            <w:tcBorders>
              <w:top w:val="nil"/>
              <w:bottom w:val="nil"/>
            </w:tcBorders>
            <w:shd w:val="clear" w:color="auto" w:fill="FFFFFF"/>
            <w:vAlign w:val="center"/>
          </w:tcPr>
          <w:p w14:paraId="1EF1DF20"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6</w:t>
            </w:r>
          </w:p>
        </w:tc>
        <w:tc>
          <w:tcPr>
            <w:tcW w:w="1167" w:type="dxa"/>
            <w:tcBorders>
              <w:top w:val="nil"/>
              <w:bottom w:val="nil"/>
            </w:tcBorders>
            <w:shd w:val="clear" w:color="auto" w:fill="FFFFFF"/>
            <w:vAlign w:val="center"/>
          </w:tcPr>
          <w:p w14:paraId="40099C2D"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2.23</w:t>
            </w:r>
          </w:p>
        </w:tc>
        <w:tc>
          <w:tcPr>
            <w:tcW w:w="1677" w:type="dxa"/>
            <w:tcBorders>
              <w:top w:val="nil"/>
              <w:bottom w:val="nil"/>
              <w:right w:val="single" w:sz="16" w:space="0" w:color="000000"/>
            </w:tcBorders>
            <w:shd w:val="clear" w:color="auto" w:fill="FFFFFF"/>
            <w:vAlign w:val="center"/>
          </w:tcPr>
          <w:p w14:paraId="4BB9441D"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1.433</w:t>
            </w:r>
          </w:p>
        </w:tc>
      </w:tr>
      <w:tr w:rsidR="00EA2ACC" w:rsidRPr="00BB12D4" w14:paraId="55576862" w14:textId="77777777" w:rsidTr="00EA2ACC">
        <w:trPr>
          <w:cantSplit/>
          <w:trHeight w:val="377"/>
        </w:trPr>
        <w:tc>
          <w:tcPr>
            <w:tcW w:w="2093" w:type="dxa"/>
            <w:tcBorders>
              <w:top w:val="nil"/>
              <w:left w:val="single" w:sz="16" w:space="0" w:color="000000"/>
              <w:bottom w:val="nil"/>
              <w:right w:val="single" w:sz="16" w:space="0" w:color="000000"/>
            </w:tcBorders>
            <w:shd w:val="clear" w:color="auto" w:fill="FFFFFF"/>
          </w:tcPr>
          <w:p w14:paraId="732C1CAB"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Q7BLSdifference</w:t>
            </w:r>
          </w:p>
        </w:tc>
        <w:tc>
          <w:tcPr>
            <w:tcW w:w="1169" w:type="dxa"/>
            <w:tcBorders>
              <w:top w:val="nil"/>
              <w:left w:val="single" w:sz="16" w:space="0" w:color="000000"/>
              <w:bottom w:val="nil"/>
            </w:tcBorders>
            <w:shd w:val="clear" w:color="auto" w:fill="FFFFFF"/>
            <w:vAlign w:val="center"/>
          </w:tcPr>
          <w:p w14:paraId="7E54C055"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14637298"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-3</w:t>
            </w:r>
          </w:p>
        </w:tc>
        <w:tc>
          <w:tcPr>
            <w:tcW w:w="1305" w:type="dxa"/>
            <w:tcBorders>
              <w:top w:val="nil"/>
              <w:bottom w:val="nil"/>
            </w:tcBorders>
            <w:shd w:val="clear" w:color="auto" w:fill="FFFFFF"/>
            <w:vAlign w:val="center"/>
          </w:tcPr>
          <w:p w14:paraId="462FF27B"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5</w:t>
            </w:r>
          </w:p>
        </w:tc>
        <w:tc>
          <w:tcPr>
            <w:tcW w:w="1167" w:type="dxa"/>
            <w:tcBorders>
              <w:top w:val="nil"/>
              <w:bottom w:val="nil"/>
            </w:tcBorders>
            <w:shd w:val="clear" w:color="auto" w:fill="FFFFFF"/>
            <w:vAlign w:val="center"/>
          </w:tcPr>
          <w:p w14:paraId="38763A8A"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1.27</w:t>
            </w:r>
          </w:p>
        </w:tc>
        <w:tc>
          <w:tcPr>
            <w:tcW w:w="1677" w:type="dxa"/>
            <w:tcBorders>
              <w:top w:val="nil"/>
              <w:bottom w:val="nil"/>
              <w:right w:val="single" w:sz="16" w:space="0" w:color="000000"/>
            </w:tcBorders>
            <w:shd w:val="clear" w:color="auto" w:fill="FFFFFF"/>
            <w:vAlign w:val="center"/>
          </w:tcPr>
          <w:p w14:paraId="2AB0A28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1.220</w:t>
            </w:r>
          </w:p>
        </w:tc>
      </w:tr>
      <w:tr w:rsidR="00EA2ACC" w:rsidRPr="00BB12D4" w14:paraId="50F506F9"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154C6DEB"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Q8Proceduredifference</w:t>
            </w:r>
          </w:p>
        </w:tc>
        <w:tc>
          <w:tcPr>
            <w:tcW w:w="1169" w:type="dxa"/>
            <w:tcBorders>
              <w:top w:val="nil"/>
              <w:left w:val="single" w:sz="16" w:space="0" w:color="000000"/>
              <w:bottom w:val="nil"/>
            </w:tcBorders>
            <w:shd w:val="clear" w:color="auto" w:fill="FFFFFF"/>
            <w:vAlign w:val="center"/>
          </w:tcPr>
          <w:p w14:paraId="30217C95"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0FB51A0D"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-2</w:t>
            </w:r>
          </w:p>
        </w:tc>
        <w:tc>
          <w:tcPr>
            <w:tcW w:w="1305" w:type="dxa"/>
            <w:tcBorders>
              <w:top w:val="nil"/>
              <w:bottom w:val="nil"/>
            </w:tcBorders>
            <w:shd w:val="clear" w:color="auto" w:fill="FFFFFF"/>
            <w:vAlign w:val="center"/>
          </w:tcPr>
          <w:p w14:paraId="31B527DC"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0DC6F32C"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1.09</w:t>
            </w:r>
          </w:p>
        </w:tc>
        <w:tc>
          <w:tcPr>
            <w:tcW w:w="1677" w:type="dxa"/>
            <w:tcBorders>
              <w:top w:val="nil"/>
              <w:bottom w:val="nil"/>
              <w:right w:val="single" w:sz="16" w:space="0" w:color="000000"/>
            </w:tcBorders>
            <w:shd w:val="clear" w:color="auto" w:fill="FFFFFF"/>
            <w:vAlign w:val="center"/>
          </w:tcPr>
          <w:p w14:paraId="246BA711"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1.241</w:t>
            </w:r>
          </w:p>
        </w:tc>
      </w:tr>
      <w:tr w:rsidR="00EA2ACC" w:rsidRPr="00BB12D4" w14:paraId="7A164B1C"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63196974"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Q9Properformdifference</w:t>
            </w:r>
          </w:p>
        </w:tc>
        <w:tc>
          <w:tcPr>
            <w:tcW w:w="1169" w:type="dxa"/>
            <w:tcBorders>
              <w:top w:val="nil"/>
              <w:left w:val="single" w:sz="16" w:space="0" w:color="000000"/>
              <w:bottom w:val="nil"/>
            </w:tcBorders>
            <w:shd w:val="clear" w:color="auto" w:fill="FFFFFF"/>
            <w:vAlign w:val="center"/>
          </w:tcPr>
          <w:p w14:paraId="60EF6FAA"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5C9BB582"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-3</w:t>
            </w:r>
          </w:p>
        </w:tc>
        <w:tc>
          <w:tcPr>
            <w:tcW w:w="1305" w:type="dxa"/>
            <w:tcBorders>
              <w:top w:val="nil"/>
              <w:bottom w:val="nil"/>
            </w:tcBorders>
            <w:shd w:val="clear" w:color="auto" w:fill="FFFFFF"/>
            <w:vAlign w:val="center"/>
          </w:tcPr>
          <w:p w14:paraId="5C8F138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77ECA03E"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.98</w:t>
            </w:r>
          </w:p>
        </w:tc>
        <w:tc>
          <w:tcPr>
            <w:tcW w:w="1677" w:type="dxa"/>
            <w:tcBorders>
              <w:top w:val="nil"/>
              <w:bottom w:val="nil"/>
              <w:right w:val="single" w:sz="16" w:space="0" w:color="000000"/>
            </w:tcBorders>
            <w:shd w:val="clear" w:color="auto" w:fill="FFFFFF"/>
            <w:vAlign w:val="center"/>
          </w:tcPr>
          <w:p w14:paraId="4BCC5CF0"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1.191</w:t>
            </w:r>
          </w:p>
        </w:tc>
      </w:tr>
      <w:tr w:rsidR="00EA2ACC" w:rsidRPr="00BB12D4" w14:paraId="0D67DB57" w14:textId="77777777" w:rsidTr="00EA2ACC">
        <w:trPr>
          <w:cantSplit/>
          <w:trHeight w:val="377"/>
        </w:trPr>
        <w:tc>
          <w:tcPr>
            <w:tcW w:w="2093" w:type="dxa"/>
            <w:tcBorders>
              <w:top w:val="nil"/>
              <w:left w:val="single" w:sz="16" w:space="0" w:color="000000"/>
              <w:bottom w:val="nil"/>
              <w:right w:val="single" w:sz="16" w:space="0" w:color="000000"/>
            </w:tcBorders>
            <w:shd w:val="clear" w:color="auto" w:fill="FFFFFF"/>
          </w:tcPr>
          <w:p w14:paraId="444C6EE7"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Q10Sharpsdiffrence</w:t>
            </w:r>
          </w:p>
        </w:tc>
        <w:tc>
          <w:tcPr>
            <w:tcW w:w="1169" w:type="dxa"/>
            <w:tcBorders>
              <w:top w:val="nil"/>
              <w:left w:val="single" w:sz="16" w:space="0" w:color="000000"/>
              <w:bottom w:val="nil"/>
            </w:tcBorders>
            <w:shd w:val="clear" w:color="auto" w:fill="FFFFFF"/>
            <w:vAlign w:val="center"/>
          </w:tcPr>
          <w:p w14:paraId="434765F7"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251F8A9A"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-2</w:t>
            </w:r>
          </w:p>
        </w:tc>
        <w:tc>
          <w:tcPr>
            <w:tcW w:w="1305" w:type="dxa"/>
            <w:tcBorders>
              <w:top w:val="nil"/>
              <w:bottom w:val="nil"/>
            </w:tcBorders>
            <w:shd w:val="clear" w:color="auto" w:fill="FFFFFF"/>
            <w:vAlign w:val="center"/>
          </w:tcPr>
          <w:p w14:paraId="4614EF91"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2C375B4E"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.22</w:t>
            </w:r>
          </w:p>
        </w:tc>
        <w:tc>
          <w:tcPr>
            <w:tcW w:w="1677" w:type="dxa"/>
            <w:tcBorders>
              <w:top w:val="nil"/>
              <w:bottom w:val="nil"/>
              <w:right w:val="single" w:sz="16" w:space="0" w:color="000000"/>
            </w:tcBorders>
            <w:shd w:val="clear" w:color="auto" w:fill="FFFFFF"/>
            <w:vAlign w:val="center"/>
          </w:tcPr>
          <w:p w14:paraId="62B679B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.996</w:t>
            </w:r>
          </w:p>
        </w:tc>
      </w:tr>
      <w:tr w:rsidR="00EA2ACC" w:rsidRPr="00BB12D4" w14:paraId="4F5B0EA3" w14:textId="77777777" w:rsidTr="00EA2ACC">
        <w:trPr>
          <w:cantSplit/>
          <w:trHeight w:val="391"/>
        </w:trPr>
        <w:tc>
          <w:tcPr>
            <w:tcW w:w="2093" w:type="dxa"/>
            <w:tcBorders>
              <w:top w:val="nil"/>
              <w:left w:val="single" w:sz="16" w:space="0" w:color="000000"/>
              <w:bottom w:val="nil"/>
              <w:right w:val="single" w:sz="16" w:space="0" w:color="000000"/>
            </w:tcBorders>
            <w:shd w:val="clear" w:color="auto" w:fill="FFFFFF"/>
          </w:tcPr>
          <w:p w14:paraId="64565020"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Q11interpretdiffrence</w:t>
            </w:r>
          </w:p>
        </w:tc>
        <w:tc>
          <w:tcPr>
            <w:tcW w:w="1169" w:type="dxa"/>
            <w:tcBorders>
              <w:top w:val="nil"/>
              <w:left w:val="single" w:sz="16" w:space="0" w:color="000000"/>
              <w:bottom w:val="nil"/>
            </w:tcBorders>
            <w:shd w:val="clear" w:color="auto" w:fill="FFFFFF"/>
            <w:vAlign w:val="center"/>
          </w:tcPr>
          <w:p w14:paraId="5E4CCC51"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43472075"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w:t>
            </w:r>
          </w:p>
        </w:tc>
        <w:tc>
          <w:tcPr>
            <w:tcW w:w="1305" w:type="dxa"/>
            <w:tcBorders>
              <w:top w:val="nil"/>
              <w:bottom w:val="nil"/>
            </w:tcBorders>
            <w:shd w:val="clear" w:color="auto" w:fill="FFFFFF"/>
            <w:vAlign w:val="center"/>
          </w:tcPr>
          <w:p w14:paraId="1AB50AF6"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2E724CC5"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1.22</w:t>
            </w:r>
          </w:p>
        </w:tc>
        <w:tc>
          <w:tcPr>
            <w:tcW w:w="1677" w:type="dxa"/>
            <w:tcBorders>
              <w:top w:val="nil"/>
              <w:bottom w:val="nil"/>
              <w:right w:val="single" w:sz="16" w:space="0" w:color="000000"/>
            </w:tcBorders>
            <w:shd w:val="clear" w:color="auto" w:fill="FFFFFF"/>
            <w:vAlign w:val="center"/>
          </w:tcPr>
          <w:p w14:paraId="71F7ED6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1.089</w:t>
            </w:r>
          </w:p>
        </w:tc>
      </w:tr>
      <w:tr w:rsidR="00EA2ACC" w:rsidRPr="00BB12D4" w14:paraId="160E83BC"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734D600C"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Q12Documentdiffrence</w:t>
            </w:r>
          </w:p>
        </w:tc>
        <w:tc>
          <w:tcPr>
            <w:tcW w:w="1169" w:type="dxa"/>
            <w:tcBorders>
              <w:top w:val="nil"/>
              <w:left w:val="single" w:sz="16" w:space="0" w:color="000000"/>
              <w:bottom w:val="nil"/>
            </w:tcBorders>
            <w:shd w:val="clear" w:color="auto" w:fill="FFFFFF"/>
            <w:vAlign w:val="center"/>
          </w:tcPr>
          <w:p w14:paraId="7A6AAE95"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69B87EA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w:t>
            </w:r>
          </w:p>
        </w:tc>
        <w:tc>
          <w:tcPr>
            <w:tcW w:w="1305" w:type="dxa"/>
            <w:tcBorders>
              <w:top w:val="nil"/>
              <w:bottom w:val="nil"/>
            </w:tcBorders>
            <w:shd w:val="clear" w:color="auto" w:fill="FFFFFF"/>
            <w:vAlign w:val="center"/>
          </w:tcPr>
          <w:p w14:paraId="65DF44CC"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415F438A"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.96</w:t>
            </w:r>
          </w:p>
        </w:tc>
        <w:tc>
          <w:tcPr>
            <w:tcW w:w="1677" w:type="dxa"/>
            <w:tcBorders>
              <w:top w:val="nil"/>
              <w:bottom w:val="nil"/>
              <w:right w:val="single" w:sz="16" w:space="0" w:color="000000"/>
            </w:tcBorders>
            <w:shd w:val="clear" w:color="auto" w:fill="FFFFFF"/>
            <w:vAlign w:val="center"/>
          </w:tcPr>
          <w:p w14:paraId="7EAEE18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1.046</w:t>
            </w:r>
          </w:p>
        </w:tc>
      </w:tr>
      <w:tr w:rsidR="00EA2ACC" w:rsidRPr="00BB12D4" w14:paraId="0E117C06"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45E083A9"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Q13Communicatedifference</w:t>
            </w:r>
          </w:p>
        </w:tc>
        <w:tc>
          <w:tcPr>
            <w:tcW w:w="1169" w:type="dxa"/>
            <w:tcBorders>
              <w:top w:val="nil"/>
              <w:left w:val="single" w:sz="16" w:space="0" w:color="000000"/>
              <w:bottom w:val="nil"/>
            </w:tcBorders>
            <w:shd w:val="clear" w:color="auto" w:fill="FFFFFF"/>
            <w:vAlign w:val="center"/>
          </w:tcPr>
          <w:p w14:paraId="5127C55B"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7DCB2186"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w:t>
            </w:r>
          </w:p>
        </w:tc>
        <w:tc>
          <w:tcPr>
            <w:tcW w:w="1305" w:type="dxa"/>
            <w:tcBorders>
              <w:top w:val="nil"/>
              <w:bottom w:val="nil"/>
            </w:tcBorders>
            <w:shd w:val="clear" w:color="auto" w:fill="FFFFFF"/>
            <w:vAlign w:val="center"/>
          </w:tcPr>
          <w:p w14:paraId="74D22057"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5</w:t>
            </w:r>
          </w:p>
        </w:tc>
        <w:tc>
          <w:tcPr>
            <w:tcW w:w="1167" w:type="dxa"/>
            <w:tcBorders>
              <w:top w:val="nil"/>
              <w:bottom w:val="nil"/>
            </w:tcBorders>
            <w:shd w:val="clear" w:color="auto" w:fill="FFFFFF"/>
            <w:vAlign w:val="center"/>
          </w:tcPr>
          <w:p w14:paraId="3C2FA3D0"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1.12</w:t>
            </w:r>
          </w:p>
        </w:tc>
        <w:tc>
          <w:tcPr>
            <w:tcW w:w="1677" w:type="dxa"/>
            <w:tcBorders>
              <w:top w:val="nil"/>
              <w:bottom w:val="nil"/>
              <w:right w:val="single" w:sz="16" w:space="0" w:color="000000"/>
            </w:tcBorders>
            <w:shd w:val="clear" w:color="auto" w:fill="FFFFFF"/>
            <w:vAlign w:val="center"/>
          </w:tcPr>
          <w:p w14:paraId="0AAC464C"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1.260</w:t>
            </w:r>
          </w:p>
        </w:tc>
      </w:tr>
      <w:tr w:rsidR="00EA2ACC" w:rsidRPr="00BB12D4" w14:paraId="719BE09B" w14:textId="77777777" w:rsidTr="00EA2ACC">
        <w:trPr>
          <w:cantSplit/>
          <w:trHeight w:val="391"/>
        </w:trPr>
        <w:tc>
          <w:tcPr>
            <w:tcW w:w="2093" w:type="dxa"/>
            <w:tcBorders>
              <w:top w:val="nil"/>
              <w:left w:val="single" w:sz="16" w:space="0" w:color="000000"/>
              <w:bottom w:val="nil"/>
              <w:right w:val="single" w:sz="16" w:space="0" w:color="000000"/>
            </w:tcBorders>
            <w:shd w:val="clear" w:color="auto" w:fill="FFFFFF"/>
          </w:tcPr>
          <w:p w14:paraId="4FCF9E50"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Q14Stressdifference</w:t>
            </w:r>
          </w:p>
        </w:tc>
        <w:tc>
          <w:tcPr>
            <w:tcW w:w="1169" w:type="dxa"/>
            <w:tcBorders>
              <w:top w:val="nil"/>
              <w:left w:val="single" w:sz="16" w:space="0" w:color="000000"/>
              <w:bottom w:val="nil"/>
            </w:tcBorders>
            <w:shd w:val="clear" w:color="auto" w:fill="FFFFFF"/>
            <w:vAlign w:val="center"/>
          </w:tcPr>
          <w:p w14:paraId="6AF93C60"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768E1C7E"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-2</w:t>
            </w:r>
          </w:p>
        </w:tc>
        <w:tc>
          <w:tcPr>
            <w:tcW w:w="1305" w:type="dxa"/>
            <w:tcBorders>
              <w:top w:val="nil"/>
              <w:bottom w:val="nil"/>
            </w:tcBorders>
            <w:shd w:val="clear" w:color="auto" w:fill="FFFFFF"/>
            <w:vAlign w:val="center"/>
          </w:tcPr>
          <w:p w14:paraId="44E80416"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5</w:t>
            </w:r>
          </w:p>
        </w:tc>
        <w:tc>
          <w:tcPr>
            <w:tcW w:w="1167" w:type="dxa"/>
            <w:tcBorders>
              <w:top w:val="nil"/>
              <w:bottom w:val="nil"/>
            </w:tcBorders>
            <w:shd w:val="clear" w:color="auto" w:fill="FFFFFF"/>
            <w:vAlign w:val="center"/>
          </w:tcPr>
          <w:p w14:paraId="13F192A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1.53</w:t>
            </w:r>
          </w:p>
        </w:tc>
        <w:tc>
          <w:tcPr>
            <w:tcW w:w="1677" w:type="dxa"/>
            <w:tcBorders>
              <w:top w:val="nil"/>
              <w:bottom w:val="nil"/>
              <w:right w:val="single" w:sz="16" w:space="0" w:color="000000"/>
            </w:tcBorders>
            <w:shd w:val="clear" w:color="auto" w:fill="FFFFFF"/>
            <w:vAlign w:val="center"/>
          </w:tcPr>
          <w:p w14:paraId="35935E78"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1.442</w:t>
            </w:r>
          </w:p>
        </w:tc>
      </w:tr>
      <w:tr w:rsidR="00EA2ACC" w:rsidRPr="00BB12D4" w14:paraId="54E73C1D"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0404914C"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Q15Complaintdifference</w:t>
            </w:r>
          </w:p>
        </w:tc>
        <w:tc>
          <w:tcPr>
            <w:tcW w:w="1169" w:type="dxa"/>
            <w:tcBorders>
              <w:top w:val="nil"/>
              <w:left w:val="single" w:sz="16" w:space="0" w:color="000000"/>
              <w:bottom w:val="nil"/>
            </w:tcBorders>
            <w:shd w:val="clear" w:color="auto" w:fill="FFFFFF"/>
            <w:vAlign w:val="center"/>
          </w:tcPr>
          <w:p w14:paraId="3E46D52B"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3E6CB42E"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w:t>
            </w:r>
          </w:p>
        </w:tc>
        <w:tc>
          <w:tcPr>
            <w:tcW w:w="1305" w:type="dxa"/>
            <w:tcBorders>
              <w:top w:val="nil"/>
              <w:bottom w:val="nil"/>
            </w:tcBorders>
            <w:shd w:val="clear" w:color="auto" w:fill="FFFFFF"/>
            <w:vAlign w:val="center"/>
          </w:tcPr>
          <w:p w14:paraId="6B490F37"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5</w:t>
            </w:r>
          </w:p>
        </w:tc>
        <w:tc>
          <w:tcPr>
            <w:tcW w:w="1167" w:type="dxa"/>
            <w:tcBorders>
              <w:top w:val="nil"/>
              <w:bottom w:val="nil"/>
            </w:tcBorders>
            <w:shd w:val="clear" w:color="auto" w:fill="FFFFFF"/>
            <w:vAlign w:val="center"/>
          </w:tcPr>
          <w:p w14:paraId="6CD9AE42"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1.38</w:t>
            </w:r>
          </w:p>
        </w:tc>
        <w:tc>
          <w:tcPr>
            <w:tcW w:w="1677" w:type="dxa"/>
            <w:tcBorders>
              <w:top w:val="nil"/>
              <w:bottom w:val="nil"/>
              <w:right w:val="single" w:sz="16" w:space="0" w:color="000000"/>
            </w:tcBorders>
            <w:shd w:val="clear" w:color="auto" w:fill="FFFFFF"/>
            <w:vAlign w:val="center"/>
          </w:tcPr>
          <w:p w14:paraId="75FF0EC9"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1.304</w:t>
            </w:r>
          </w:p>
        </w:tc>
      </w:tr>
      <w:tr w:rsidR="00EA2ACC" w:rsidRPr="00BB12D4" w14:paraId="5C8DE71B" w14:textId="77777777" w:rsidTr="00EA2ACC">
        <w:trPr>
          <w:cantSplit/>
          <w:trHeight w:val="377"/>
        </w:trPr>
        <w:tc>
          <w:tcPr>
            <w:tcW w:w="2093" w:type="dxa"/>
            <w:tcBorders>
              <w:top w:val="nil"/>
              <w:left w:val="single" w:sz="16" w:space="0" w:color="000000"/>
              <w:bottom w:val="nil"/>
              <w:right w:val="single" w:sz="16" w:space="0" w:color="000000"/>
            </w:tcBorders>
            <w:shd w:val="clear" w:color="auto" w:fill="FFFFFF"/>
          </w:tcPr>
          <w:p w14:paraId="45FA118E"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Q16Verbaldifference</w:t>
            </w:r>
          </w:p>
        </w:tc>
        <w:tc>
          <w:tcPr>
            <w:tcW w:w="1169" w:type="dxa"/>
            <w:tcBorders>
              <w:top w:val="nil"/>
              <w:left w:val="single" w:sz="16" w:space="0" w:color="000000"/>
              <w:bottom w:val="nil"/>
            </w:tcBorders>
            <w:shd w:val="clear" w:color="auto" w:fill="FFFFFF"/>
            <w:vAlign w:val="center"/>
          </w:tcPr>
          <w:p w14:paraId="25805971"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47F40A42"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-2</w:t>
            </w:r>
          </w:p>
        </w:tc>
        <w:tc>
          <w:tcPr>
            <w:tcW w:w="1305" w:type="dxa"/>
            <w:tcBorders>
              <w:top w:val="nil"/>
              <w:bottom w:val="nil"/>
            </w:tcBorders>
            <w:shd w:val="clear" w:color="auto" w:fill="FFFFFF"/>
            <w:vAlign w:val="center"/>
          </w:tcPr>
          <w:p w14:paraId="783A6761"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739CF988"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1.89</w:t>
            </w:r>
          </w:p>
        </w:tc>
        <w:tc>
          <w:tcPr>
            <w:tcW w:w="1677" w:type="dxa"/>
            <w:tcBorders>
              <w:top w:val="nil"/>
              <w:bottom w:val="nil"/>
              <w:right w:val="single" w:sz="16" w:space="0" w:color="000000"/>
            </w:tcBorders>
            <w:shd w:val="clear" w:color="auto" w:fill="FFFFFF"/>
            <w:vAlign w:val="center"/>
          </w:tcPr>
          <w:p w14:paraId="681DDC00"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1.222</w:t>
            </w:r>
          </w:p>
        </w:tc>
      </w:tr>
      <w:tr w:rsidR="00EA2ACC" w:rsidRPr="00BB12D4" w14:paraId="3B4EAAE7"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4AE7E15B"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Q17Leadershipdifference</w:t>
            </w:r>
          </w:p>
        </w:tc>
        <w:tc>
          <w:tcPr>
            <w:tcW w:w="1169" w:type="dxa"/>
            <w:tcBorders>
              <w:top w:val="nil"/>
              <w:left w:val="single" w:sz="16" w:space="0" w:color="000000"/>
              <w:bottom w:val="nil"/>
            </w:tcBorders>
            <w:shd w:val="clear" w:color="auto" w:fill="FFFFFF"/>
            <w:vAlign w:val="center"/>
          </w:tcPr>
          <w:p w14:paraId="3CBD4523"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44122AD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305" w:type="dxa"/>
            <w:tcBorders>
              <w:top w:val="nil"/>
              <w:bottom w:val="nil"/>
            </w:tcBorders>
            <w:shd w:val="clear" w:color="auto" w:fill="FFFFFF"/>
            <w:vAlign w:val="center"/>
          </w:tcPr>
          <w:p w14:paraId="0801DC10"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5</w:t>
            </w:r>
          </w:p>
        </w:tc>
        <w:tc>
          <w:tcPr>
            <w:tcW w:w="1167" w:type="dxa"/>
            <w:tcBorders>
              <w:top w:val="nil"/>
              <w:bottom w:val="nil"/>
            </w:tcBorders>
            <w:shd w:val="clear" w:color="auto" w:fill="FFFFFF"/>
            <w:vAlign w:val="center"/>
          </w:tcPr>
          <w:p w14:paraId="4A640B82"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1.66</w:t>
            </w:r>
          </w:p>
        </w:tc>
        <w:tc>
          <w:tcPr>
            <w:tcW w:w="1677" w:type="dxa"/>
            <w:tcBorders>
              <w:top w:val="nil"/>
              <w:bottom w:val="nil"/>
              <w:right w:val="single" w:sz="16" w:space="0" w:color="000000"/>
            </w:tcBorders>
            <w:shd w:val="clear" w:color="auto" w:fill="FFFFFF"/>
            <w:vAlign w:val="center"/>
          </w:tcPr>
          <w:p w14:paraId="7B1A4ED1"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1.448</w:t>
            </w:r>
          </w:p>
        </w:tc>
      </w:tr>
      <w:tr w:rsidR="00EA2ACC" w:rsidRPr="00BB12D4" w14:paraId="33567579" w14:textId="77777777" w:rsidTr="00EA2ACC">
        <w:trPr>
          <w:cantSplit/>
          <w:trHeight w:val="509"/>
        </w:trPr>
        <w:tc>
          <w:tcPr>
            <w:tcW w:w="2093" w:type="dxa"/>
            <w:tcBorders>
              <w:top w:val="nil"/>
              <w:left w:val="single" w:sz="16" w:space="0" w:color="000000"/>
              <w:bottom w:val="nil"/>
              <w:right w:val="single" w:sz="16" w:space="0" w:color="000000"/>
            </w:tcBorders>
            <w:shd w:val="clear" w:color="auto" w:fill="FFFFFF"/>
          </w:tcPr>
          <w:p w14:paraId="53FF26E0"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lastRenderedPageBreak/>
              <w:t>Q18Prescribedifference</w:t>
            </w:r>
          </w:p>
        </w:tc>
        <w:tc>
          <w:tcPr>
            <w:tcW w:w="1169" w:type="dxa"/>
            <w:tcBorders>
              <w:top w:val="nil"/>
              <w:left w:val="single" w:sz="16" w:space="0" w:color="000000"/>
              <w:bottom w:val="nil"/>
            </w:tcBorders>
            <w:shd w:val="clear" w:color="auto" w:fill="FFFFFF"/>
            <w:vAlign w:val="center"/>
          </w:tcPr>
          <w:p w14:paraId="7E8339BC"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0B4AE3C0"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-2</w:t>
            </w:r>
          </w:p>
        </w:tc>
        <w:tc>
          <w:tcPr>
            <w:tcW w:w="1305" w:type="dxa"/>
            <w:tcBorders>
              <w:top w:val="nil"/>
              <w:bottom w:val="nil"/>
            </w:tcBorders>
            <w:shd w:val="clear" w:color="auto" w:fill="FFFFFF"/>
            <w:vAlign w:val="center"/>
          </w:tcPr>
          <w:p w14:paraId="530FF95E"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7</w:t>
            </w:r>
          </w:p>
        </w:tc>
        <w:tc>
          <w:tcPr>
            <w:tcW w:w="1167" w:type="dxa"/>
            <w:tcBorders>
              <w:top w:val="nil"/>
              <w:bottom w:val="nil"/>
            </w:tcBorders>
            <w:shd w:val="clear" w:color="auto" w:fill="FFFFFF"/>
            <w:vAlign w:val="center"/>
          </w:tcPr>
          <w:p w14:paraId="26DE62F7"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1.44</w:t>
            </w:r>
          </w:p>
        </w:tc>
        <w:tc>
          <w:tcPr>
            <w:tcW w:w="1677" w:type="dxa"/>
            <w:tcBorders>
              <w:top w:val="nil"/>
              <w:bottom w:val="nil"/>
              <w:right w:val="single" w:sz="16" w:space="0" w:color="000000"/>
            </w:tcBorders>
            <w:shd w:val="clear" w:color="auto" w:fill="FFFFFF"/>
            <w:vAlign w:val="center"/>
          </w:tcPr>
          <w:p w14:paraId="3C877313"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1.418</w:t>
            </w:r>
          </w:p>
        </w:tc>
      </w:tr>
      <w:tr w:rsidR="00EA2ACC" w:rsidRPr="00BB12D4" w14:paraId="59689B94" w14:textId="77777777" w:rsidTr="00EA2ACC">
        <w:trPr>
          <w:cantSplit/>
          <w:trHeight w:val="377"/>
        </w:trPr>
        <w:tc>
          <w:tcPr>
            <w:tcW w:w="2093" w:type="dxa"/>
            <w:tcBorders>
              <w:top w:val="nil"/>
              <w:left w:val="single" w:sz="16" w:space="0" w:color="000000"/>
              <w:bottom w:val="nil"/>
              <w:right w:val="single" w:sz="16" w:space="0" w:color="000000"/>
            </w:tcBorders>
            <w:shd w:val="clear" w:color="auto" w:fill="FFFFFF"/>
          </w:tcPr>
          <w:p w14:paraId="16E56712"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Q19Safetydifference</w:t>
            </w:r>
          </w:p>
        </w:tc>
        <w:tc>
          <w:tcPr>
            <w:tcW w:w="1169" w:type="dxa"/>
            <w:tcBorders>
              <w:top w:val="nil"/>
              <w:left w:val="single" w:sz="16" w:space="0" w:color="000000"/>
              <w:bottom w:val="nil"/>
            </w:tcBorders>
            <w:shd w:val="clear" w:color="auto" w:fill="FFFFFF"/>
            <w:vAlign w:val="center"/>
          </w:tcPr>
          <w:p w14:paraId="79AFD548"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699630C0"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-3</w:t>
            </w:r>
          </w:p>
        </w:tc>
        <w:tc>
          <w:tcPr>
            <w:tcW w:w="1305" w:type="dxa"/>
            <w:tcBorders>
              <w:top w:val="nil"/>
              <w:bottom w:val="nil"/>
            </w:tcBorders>
            <w:shd w:val="clear" w:color="auto" w:fill="FFFFFF"/>
            <w:vAlign w:val="center"/>
          </w:tcPr>
          <w:p w14:paraId="41D930DB"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44342C1B"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.93</w:t>
            </w:r>
          </w:p>
        </w:tc>
        <w:tc>
          <w:tcPr>
            <w:tcW w:w="1677" w:type="dxa"/>
            <w:tcBorders>
              <w:top w:val="nil"/>
              <w:bottom w:val="nil"/>
              <w:right w:val="single" w:sz="16" w:space="0" w:color="000000"/>
            </w:tcBorders>
            <w:shd w:val="clear" w:color="auto" w:fill="FFFFFF"/>
            <w:vAlign w:val="center"/>
          </w:tcPr>
          <w:p w14:paraId="208CECE4"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1.175</w:t>
            </w:r>
          </w:p>
        </w:tc>
      </w:tr>
      <w:tr w:rsidR="00EA2ACC" w:rsidRPr="00BB12D4" w14:paraId="182D63A6" w14:textId="77777777" w:rsidTr="00EA2ACC">
        <w:trPr>
          <w:cantSplit/>
          <w:trHeight w:val="391"/>
        </w:trPr>
        <w:tc>
          <w:tcPr>
            <w:tcW w:w="2093" w:type="dxa"/>
            <w:tcBorders>
              <w:top w:val="nil"/>
              <w:left w:val="single" w:sz="16" w:space="0" w:color="000000"/>
              <w:bottom w:val="nil"/>
              <w:right w:val="single" w:sz="16" w:space="0" w:color="000000"/>
            </w:tcBorders>
            <w:shd w:val="clear" w:color="auto" w:fill="FFFFFF"/>
          </w:tcPr>
          <w:p w14:paraId="1D2551D0"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Q20difference</w:t>
            </w:r>
          </w:p>
        </w:tc>
        <w:tc>
          <w:tcPr>
            <w:tcW w:w="1169" w:type="dxa"/>
            <w:tcBorders>
              <w:top w:val="nil"/>
              <w:left w:val="single" w:sz="16" w:space="0" w:color="000000"/>
              <w:bottom w:val="nil"/>
            </w:tcBorders>
            <w:shd w:val="clear" w:color="auto" w:fill="FFFFFF"/>
            <w:vAlign w:val="center"/>
          </w:tcPr>
          <w:p w14:paraId="3BC05242"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nil"/>
            </w:tcBorders>
            <w:shd w:val="clear" w:color="auto" w:fill="FFFFFF"/>
            <w:vAlign w:val="center"/>
          </w:tcPr>
          <w:p w14:paraId="5C208292"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w:t>
            </w:r>
          </w:p>
        </w:tc>
        <w:tc>
          <w:tcPr>
            <w:tcW w:w="1305" w:type="dxa"/>
            <w:tcBorders>
              <w:top w:val="nil"/>
              <w:bottom w:val="nil"/>
            </w:tcBorders>
            <w:shd w:val="clear" w:color="auto" w:fill="FFFFFF"/>
            <w:vAlign w:val="center"/>
          </w:tcPr>
          <w:p w14:paraId="663DF7A6"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4</w:t>
            </w:r>
          </w:p>
        </w:tc>
        <w:tc>
          <w:tcPr>
            <w:tcW w:w="1167" w:type="dxa"/>
            <w:tcBorders>
              <w:top w:val="nil"/>
              <w:bottom w:val="nil"/>
            </w:tcBorders>
            <w:shd w:val="clear" w:color="auto" w:fill="FFFFFF"/>
            <w:vAlign w:val="center"/>
          </w:tcPr>
          <w:p w14:paraId="7252889F"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1.33</w:t>
            </w:r>
          </w:p>
        </w:tc>
        <w:tc>
          <w:tcPr>
            <w:tcW w:w="1677" w:type="dxa"/>
            <w:tcBorders>
              <w:top w:val="nil"/>
              <w:bottom w:val="nil"/>
              <w:right w:val="single" w:sz="16" w:space="0" w:color="000000"/>
            </w:tcBorders>
            <w:shd w:val="clear" w:color="auto" w:fill="FFFFFF"/>
            <w:vAlign w:val="center"/>
          </w:tcPr>
          <w:p w14:paraId="63503C7D"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1.081</w:t>
            </w:r>
          </w:p>
        </w:tc>
      </w:tr>
      <w:tr w:rsidR="00EA2ACC" w:rsidRPr="00BB12D4" w14:paraId="18A18546" w14:textId="77777777" w:rsidTr="00EA2ACC">
        <w:trPr>
          <w:cantSplit/>
          <w:trHeight w:val="391"/>
        </w:trPr>
        <w:tc>
          <w:tcPr>
            <w:tcW w:w="2093" w:type="dxa"/>
            <w:tcBorders>
              <w:top w:val="nil"/>
              <w:left w:val="single" w:sz="16" w:space="0" w:color="000000"/>
              <w:bottom w:val="single" w:sz="16" w:space="0" w:color="000000"/>
              <w:right w:val="single" w:sz="16" w:space="0" w:color="000000"/>
            </w:tcBorders>
            <w:shd w:val="clear" w:color="auto" w:fill="FFFFFF"/>
          </w:tcPr>
          <w:p w14:paraId="2054A1C9" w14:textId="77777777" w:rsidR="00254D33" w:rsidRPr="006B027F" w:rsidRDefault="00254D33" w:rsidP="00EA2ACC">
            <w:pPr>
              <w:widowControl w:val="0"/>
              <w:autoSpaceDE w:val="0"/>
              <w:autoSpaceDN w:val="0"/>
              <w:adjustRightInd w:val="0"/>
              <w:spacing w:line="240" w:lineRule="auto"/>
              <w:ind w:left="60" w:right="60"/>
              <w:rPr>
                <w:rFonts w:cs="Arial"/>
                <w:color w:val="000000"/>
                <w:sz w:val="16"/>
                <w:szCs w:val="16"/>
              </w:rPr>
            </w:pPr>
            <w:r w:rsidRPr="006B027F">
              <w:rPr>
                <w:rFonts w:cs="Arial"/>
                <w:color w:val="000000"/>
                <w:sz w:val="16"/>
                <w:szCs w:val="16"/>
              </w:rPr>
              <w:t>Valid N (listwise)</w:t>
            </w:r>
          </w:p>
        </w:tc>
        <w:tc>
          <w:tcPr>
            <w:tcW w:w="1169" w:type="dxa"/>
            <w:tcBorders>
              <w:top w:val="nil"/>
              <w:left w:val="single" w:sz="16" w:space="0" w:color="000000"/>
              <w:bottom w:val="single" w:sz="16" w:space="0" w:color="000000"/>
            </w:tcBorders>
            <w:shd w:val="clear" w:color="auto" w:fill="FFFFFF"/>
            <w:vAlign w:val="center"/>
          </w:tcPr>
          <w:p w14:paraId="69CF649F" w14:textId="77777777" w:rsidR="00254D33" w:rsidRPr="006B027F" w:rsidRDefault="00254D33" w:rsidP="00EA2ACC">
            <w:pPr>
              <w:widowControl w:val="0"/>
              <w:autoSpaceDE w:val="0"/>
              <w:autoSpaceDN w:val="0"/>
              <w:adjustRightInd w:val="0"/>
              <w:spacing w:line="240" w:lineRule="auto"/>
              <w:ind w:left="60" w:right="60"/>
              <w:jc w:val="right"/>
              <w:rPr>
                <w:rFonts w:cs="Arial"/>
                <w:color w:val="000000"/>
                <w:sz w:val="16"/>
                <w:szCs w:val="16"/>
              </w:rPr>
            </w:pPr>
            <w:r w:rsidRPr="006B027F">
              <w:rPr>
                <w:rFonts w:cs="Arial"/>
                <w:color w:val="000000"/>
                <w:sz w:val="16"/>
                <w:szCs w:val="16"/>
              </w:rPr>
              <w:t>94</w:t>
            </w:r>
          </w:p>
        </w:tc>
        <w:tc>
          <w:tcPr>
            <w:tcW w:w="1237" w:type="dxa"/>
            <w:tcBorders>
              <w:top w:val="nil"/>
              <w:bottom w:val="single" w:sz="16" w:space="0" w:color="000000"/>
            </w:tcBorders>
            <w:shd w:val="clear" w:color="auto" w:fill="FFFFFF"/>
            <w:vAlign w:val="center"/>
          </w:tcPr>
          <w:p w14:paraId="54542856" w14:textId="77777777" w:rsidR="00254D33" w:rsidRPr="006B027F" w:rsidRDefault="00254D33" w:rsidP="00EA2ACC">
            <w:pPr>
              <w:widowControl w:val="0"/>
              <w:autoSpaceDE w:val="0"/>
              <w:autoSpaceDN w:val="0"/>
              <w:adjustRightInd w:val="0"/>
              <w:spacing w:line="240" w:lineRule="auto"/>
              <w:rPr>
                <w:rFonts w:ascii="Times New Roman" w:hAnsi="Times New Roman"/>
                <w:sz w:val="16"/>
                <w:szCs w:val="16"/>
              </w:rPr>
            </w:pPr>
          </w:p>
        </w:tc>
        <w:tc>
          <w:tcPr>
            <w:tcW w:w="1305" w:type="dxa"/>
            <w:tcBorders>
              <w:top w:val="nil"/>
              <w:bottom w:val="single" w:sz="16" w:space="0" w:color="000000"/>
            </w:tcBorders>
            <w:shd w:val="clear" w:color="auto" w:fill="FFFFFF"/>
            <w:vAlign w:val="center"/>
          </w:tcPr>
          <w:p w14:paraId="3B9C5FC2" w14:textId="77777777" w:rsidR="00254D33" w:rsidRPr="006B027F" w:rsidRDefault="00254D33" w:rsidP="00EA2ACC">
            <w:pPr>
              <w:widowControl w:val="0"/>
              <w:autoSpaceDE w:val="0"/>
              <w:autoSpaceDN w:val="0"/>
              <w:adjustRightInd w:val="0"/>
              <w:spacing w:line="240" w:lineRule="auto"/>
              <w:rPr>
                <w:rFonts w:ascii="Times New Roman" w:hAnsi="Times New Roman"/>
                <w:sz w:val="16"/>
                <w:szCs w:val="16"/>
              </w:rPr>
            </w:pPr>
          </w:p>
        </w:tc>
        <w:tc>
          <w:tcPr>
            <w:tcW w:w="1167" w:type="dxa"/>
            <w:tcBorders>
              <w:top w:val="nil"/>
              <w:bottom w:val="single" w:sz="16" w:space="0" w:color="000000"/>
            </w:tcBorders>
            <w:shd w:val="clear" w:color="auto" w:fill="FFFFFF"/>
            <w:vAlign w:val="center"/>
          </w:tcPr>
          <w:p w14:paraId="79125A42" w14:textId="77777777" w:rsidR="00254D33" w:rsidRPr="006B027F" w:rsidRDefault="00254D33" w:rsidP="00EA2ACC">
            <w:pPr>
              <w:widowControl w:val="0"/>
              <w:autoSpaceDE w:val="0"/>
              <w:autoSpaceDN w:val="0"/>
              <w:adjustRightInd w:val="0"/>
              <w:spacing w:line="240" w:lineRule="auto"/>
              <w:rPr>
                <w:rFonts w:ascii="Times New Roman" w:hAnsi="Times New Roman"/>
                <w:sz w:val="16"/>
                <w:szCs w:val="16"/>
              </w:rPr>
            </w:pPr>
          </w:p>
        </w:tc>
        <w:tc>
          <w:tcPr>
            <w:tcW w:w="1677" w:type="dxa"/>
            <w:tcBorders>
              <w:top w:val="nil"/>
              <w:bottom w:val="single" w:sz="16" w:space="0" w:color="000000"/>
              <w:right w:val="single" w:sz="16" w:space="0" w:color="000000"/>
            </w:tcBorders>
            <w:shd w:val="clear" w:color="auto" w:fill="FFFFFF"/>
            <w:vAlign w:val="center"/>
          </w:tcPr>
          <w:p w14:paraId="501D8C70" w14:textId="77777777" w:rsidR="00254D33" w:rsidRPr="006B027F" w:rsidRDefault="00254D33" w:rsidP="00EA2ACC">
            <w:pPr>
              <w:widowControl w:val="0"/>
              <w:autoSpaceDE w:val="0"/>
              <w:autoSpaceDN w:val="0"/>
              <w:adjustRightInd w:val="0"/>
              <w:spacing w:line="240" w:lineRule="auto"/>
              <w:rPr>
                <w:rFonts w:ascii="Times New Roman" w:hAnsi="Times New Roman"/>
                <w:sz w:val="16"/>
                <w:szCs w:val="16"/>
              </w:rPr>
            </w:pPr>
          </w:p>
        </w:tc>
      </w:tr>
    </w:tbl>
    <w:p w14:paraId="4232B3E2" w14:textId="77777777" w:rsidR="00C405C1" w:rsidRDefault="00C405C1" w:rsidP="003E116C"/>
    <w:p w14:paraId="13DCA4F0" w14:textId="77777777" w:rsidR="00EA2ACC" w:rsidRDefault="00EA2ACC" w:rsidP="003E116C"/>
    <w:p w14:paraId="12B046D5" w14:textId="77777777" w:rsidR="00EA2ACC" w:rsidRDefault="00EA2ACC" w:rsidP="003E116C"/>
    <w:p w14:paraId="0F9A2356" w14:textId="77777777" w:rsidR="00EA2ACC" w:rsidRDefault="00EA2ACC" w:rsidP="003E116C"/>
    <w:p w14:paraId="274A586F" w14:textId="77777777" w:rsidR="00EA2ACC" w:rsidRDefault="00EA2ACC" w:rsidP="003E116C"/>
    <w:p w14:paraId="6A2F6B05" w14:textId="77777777" w:rsidR="00EA2ACC" w:rsidRDefault="00EA2ACC" w:rsidP="003E116C"/>
    <w:p w14:paraId="382990B5" w14:textId="77777777" w:rsidR="00EA2ACC" w:rsidRDefault="00EA2ACC" w:rsidP="003E116C"/>
    <w:p w14:paraId="2DA14D31" w14:textId="77777777" w:rsidR="00EA2ACC" w:rsidRDefault="00EA2ACC" w:rsidP="003E116C"/>
    <w:p w14:paraId="201B17AF" w14:textId="77777777" w:rsidR="00EA2ACC" w:rsidRDefault="00EA2ACC" w:rsidP="003E116C"/>
    <w:p w14:paraId="4A6867F8" w14:textId="77777777" w:rsidR="00EA2ACC" w:rsidRDefault="00EA2ACC" w:rsidP="003E116C"/>
    <w:p w14:paraId="2269754E" w14:textId="77777777" w:rsidR="00EA2ACC" w:rsidRDefault="00EA2ACC" w:rsidP="003E116C"/>
    <w:p w14:paraId="42C5ED81" w14:textId="77777777" w:rsidR="00EA2ACC" w:rsidRDefault="00EA2ACC" w:rsidP="003E116C"/>
    <w:p w14:paraId="3E35423C" w14:textId="77777777" w:rsidR="00EA2ACC" w:rsidRDefault="00EA2ACC" w:rsidP="003E116C"/>
    <w:p w14:paraId="747C4100" w14:textId="20E27D8D" w:rsidR="001F3665" w:rsidRPr="001F3665" w:rsidRDefault="004628F3" w:rsidP="006B027F">
      <w:pPr>
        <w:pStyle w:val="Heading2"/>
      </w:pPr>
      <w:bookmarkStart w:id="496" w:name="_Toc419116240"/>
      <w:r>
        <w:lastRenderedPageBreak/>
        <w:t>Communalities for principal component analysis</w:t>
      </w:r>
      <w:r w:rsidR="001F3665">
        <w:t xml:space="preserve"> (PCA)</w:t>
      </w:r>
      <w:bookmarkEnd w:id="496"/>
    </w:p>
    <w:tbl>
      <w:tblPr>
        <w:tblW w:w="84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847"/>
        <w:gridCol w:w="2149"/>
        <w:gridCol w:w="2436"/>
      </w:tblGrid>
      <w:tr w:rsidR="00EA2ACC" w:rsidRPr="00582200" w14:paraId="50E3B5C6" w14:textId="77777777" w:rsidTr="00EA2ACC">
        <w:trPr>
          <w:cantSplit/>
          <w:trHeight w:val="340"/>
        </w:trPr>
        <w:tc>
          <w:tcPr>
            <w:tcW w:w="8428" w:type="dxa"/>
            <w:gridSpan w:val="3"/>
            <w:tcBorders>
              <w:top w:val="nil"/>
              <w:left w:val="nil"/>
              <w:bottom w:val="nil"/>
              <w:right w:val="nil"/>
            </w:tcBorders>
            <w:shd w:val="clear" w:color="auto" w:fill="FFFFFF"/>
            <w:vAlign w:val="center"/>
          </w:tcPr>
          <w:p w14:paraId="006F823B" w14:textId="77777777" w:rsidR="004628F3" w:rsidRPr="00582200" w:rsidRDefault="004628F3" w:rsidP="00DA2EBE">
            <w:pPr>
              <w:widowControl w:val="0"/>
              <w:autoSpaceDE w:val="0"/>
              <w:autoSpaceDN w:val="0"/>
              <w:adjustRightInd w:val="0"/>
              <w:spacing w:before="0" w:after="0" w:line="320" w:lineRule="atLeast"/>
              <w:ind w:left="60" w:right="60"/>
              <w:jc w:val="center"/>
              <w:rPr>
                <w:rFonts w:eastAsiaTheme="minorEastAsia" w:cs="Arial"/>
                <w:color w:val="000000"/>
                <w:szCs w:val="24"/>
                <w:lang w:val="en-US"/>
              </w:rPr>
            </w:pPr>
            <w:r w:rsidRPr="00582200">
              <w:rPr>
                <w:rFonts w:eastAsiaTheme="minorEastAsia" w:cs="Arial"/>
                <w:b/>
                <w:bCs/>
                <w:color w:val="000000"/>
                <w:szCs w:val="24"/>
                <w:lang w:val="en-US"/>
              </w:rPr>
              <w:t>Communalities</w:t>
            </w:r>
          </w:p>
        </w:tc>
      </w:tr>
      <w:tr w:rsidR="00EA2ACC" w:rsidRPr="00582200" w14:paraId="654D28BA" w14:textId="77777777" w:rsidTr="00EA2ACC">
        <w:trPr>
          <w:cantSplit/>
          <w:trHeight w:val="232"/>
        </w:trPr>
        <w:tc>
          <w:tcPr>
            <w:tcW w:w="3847"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4AC14A71" w14:textId="77777777" w:rsidR="004628F3" w:rsidRPr="00982B1C" w:rsidRDefault="004628F3" w:rsidP="00EA2ACC">
            <w:pPr>
              <w:widowControl w:val="0"/>
              <w:autoSpaceDE w:val="0"/>
              <w:autoSpaceDN w:val="0"/>
              <w:adjustRightInd w:val="0"/>
              <w:spacing w:before="0" w:after="0" w:line="240" w:lineRule="auto"/>
              <w:rPr>
                <w:rFonts w:ascii="Times New Roman" w:eastAsiaTheme="minorEastAsia" w:hAnsi="Times New Roman"/>
                <w:szCs w:val="24"/>
                <w:lang w:val="en-US"/>
              </w:rPr>
            </w:pPr>
          </w:p>
        </w:tc>
        <w:tc>
          <w:tcPr>
            <w:tcW w:w="2149" w:type="dxa"/>
            <w:tcBorders>
              <w:top w:val="single" w:sz="16" w:space="0" w:color="000000"/>
              <w:left w:val="single" w:sz="16" w:space="0" w:color="000000"/>
              <w:bottom w:val="single" w:sz="16" w:space="0" w:color="000000"/>
            </w:tcBorders>
            <w:shd w:val="clear" w:color="auto" w:fill="FFFFFF"/>
            <w:vAlign w:val="bottom"/>
          </w:tcPr>
          <w:p w14:paraId="7451AA5D" w14:textId="77777777" w:rsidR="004628F3" w:rsidRPr="00982B1C" w:rsidRDefault="004628F3" w:rsidP="006B027F">
            <w:pPr>
              <w:widowControl w:val="0"/>
              <w:autoSpaceDE w:val="0"/>
              <w:autoSpaceDN w:val="0"/>
              <w:adjustRightInd w:val="0"/>
              <w:spacing w:before="0" w:after="0" w:line="240" w:lineRule="auto"/>
              <w:ind w:left="60" w:right="60"/>
              <w:jc w:val="center"/>
              <w:rPr>
                <w:rFonts w:eastAsiaTheme="minorEastAsia" w:cs="Arial"/>
                <w:color w:val="000000"/>
                <w:szCs w:val="24"/>
                <w:lang w:val="en-US"/>
              </w:rPr>
            </w:pPr>
            <w:r w:rsidRPr="00982B1C">
              <w:rPr>
                <w:rFonts w:eastAsiaTheme="minorEastAsia" w:cs="Arial"/>
                <w:color w:val="000000"/>
                <w:szCs w:val="24"/>
                <w:lang w:val="en-US"/>
              </w:rPr>
              <w:t>Initial</w:t>
            </w:r>
          </w:p>
        </w:tc>
        <w:tc>
          <w:tcPr>
            <w:tcW w:w="2436" w:type="dxa"/>
            <w:tcBorders>
              <w:top w:val="single" w:sz="16" w:space="0" w:color="000000"/>
              <w:bottom w:val="single" w:sz="16" w:space="0" w:color="000000"/>
              <w:right w:val="single" w:sz="16" w:space="0" w:color="000000"/>
            </w:tcBorders>
            <w:shd w:val="clear" w:color="auto" w:fill="FFFFFF"/>
            <w:vAlign w:val="bottom"/>
          </w:tcPr>
          <w:p w14:paraId="7C019F67" w14:textId="77777777" w:rsidR="004628F3" w:rsidRPr="00982B1C" w:rsidRDefault="004628F3" w:rsidP="006B027F">
            <w:pPr>
              <w:widowControl w:val="0"/>
              <w:autoSpaceDE w:val="0"/>
              <w:autoSpaceDN w:val="0"/>
              <w:adjustRightInd w:val="0"/>
              <w:spacing w:before="0" w:after="0" w:line="240" w:lineRule="auto"/>
              <w:ind w:left="60" w:right="60"/>
              <w:jc w:val="center"/>
              <w:rPr>
                <w:rFonts w:eastAsiaTheme="minorEastAsia" w:cs="Arial"/>
                <w:color w:val="000000"/>
                <w:szCs w:val="24"/>
                <w:lang w:val="en-US"/>
              </w:rPr>
            </w:pPr>
            <w:r w:rsidRPr="00982B1C">
              <w:rPr>
                <w:rFonts w:eastAsiaTheme="minorEastAsia" w:cs="Arial"/>
                <w:color w:val="000000"/>
                <w:szCs w:val="24"/>
                <w:lang w:val="en-US"/>
              </w:rPr>
              <w:t>Extraction</w:t>
            </w:r>
          </w:p>
        </w:tc>
      </w:tr>
      <w:tr w:rsidR="00EA2ACC" w:rsidRPr="00582200" w14:paraId="0775DF01" w14:textId="77777777" w:rsidTr="00EA2ACC">
        <w:trPr>
          <w:cantSplit/>
          <w:trHeight w:val="488"/>
        </w:trPr>
        <w:tc>
          <w:tcPr>
            <w:tcW w:w="3847" w:type="dxa"/>
            <w:tcBorders>
              <w:top w:val="single" w:sz="16" w:space="0" w:color="000000"/>
              <w:left w:val="single" w:sz="16" w:space="0" w:color="000000"/>
              <w:bottom w:val="nil"/>
              <w:right w:val="single" w:sz="16" w:space="0" w:color="000000"/>
            </w:tcBorders>
            <w:shd w:val="clear" w:color="auto" w:fill="FFFFFF"/>
          </w:tcPr>
          <w:p w14:paraId="5C206094" w14:textId="589F31F0"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 ABCDE </w:t>
            </w:r>
            <w:r w:rsidR="001D42C9" w:rsidRPr="00982B1C">
              <w:rPr>
                <w:rFonts w:eastAsiaTheme="minorEastAsia" w:cs="Arial"/>
                <w:color w:val="000000"/>
                <w:szCs w:val="24"/>
                <w:lang w:val="en-US"/>
              </w:rPr>
              <w:t>Pre-course</w:t>
            </w:r>
          </w:p>
        </w:tc>
        <w:tc>
          <w:tcPr>
            <w:tcW w:w="2149" w:type="dxa"/>
            <w:tcBorders>
              <w:top w:val="single" w:sz="16" w:space="0" w:color="000000"/>
              <w:left w:val="single" w:sz="16" w:space="0" w:color="000000"/>
              <w:bottom w:val="nil"/>
            </w:tcBorders>
            <w:shd w:val="clear" w:color="auto" w:fill="FFFFFF"/>
            <w:vAlign w:val="center"/>
          </w:tcPr>
          <w:p w14:paraId="6125F504"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single" w:sz="16" w:space="0" w:color="000000"/>
              <w:bottom w:val="nil"/>
              <w:right w:val="single" w:sz="16" w:space="0" w:color="000000"/>
            </w:tcBorders>
            <w:shd w:val="clear" w:color="auto" w:fill="FFFFFF"/>
            <w:vAlign w:val="center"/>
          </w:tcPr>
          <w:p w14:paraId="08357FD6"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.624</w:t>
            </w:r>
          </w:p>
        </w:tc>
      </w:tr>
      <w:tr w:rsidR="00EA2ACC" w:rsidRPr="00582200" w14:paraId="5BBDF207"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4FF8EDEC" w14:textId="6E4BAE35"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2 </w:t>
            </w:r>
            <w:proofErr w:type="spellStart"/>
            <w:r w:rsidRPr="00982B1C">
              <w:rPr>
                <w:rFonts w:eastAsiaTheme="minorEastAsia" w:cs="Arial"/>
                <w:color w:val="000000"/>
                <w:szCs w:val="24"/>
                <w:lang w:val="en-US"/>
              </w:rPr>
              <w:t>Recognise</w:t>
            </w:r>
            <w:proofErr w:type="spellEnd"/>
            <w:r w:rsidRPr="00982B1C">
              <w:rPr>
                <w:rFonts w:eastAsiaTheme="minorEastAsia" w:cs="Arial"/>
                <w:color w:val="000000"/>
                <w:szCs w:val="24"/>
                <w:lang w:val="en-US"/>
              </w:rPr>
              <w:t xml:space="preserve"> O2, fluids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1BCC584B"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0963FBC2"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.728</w:t>
            </w:r>
          </w:p>
        </w:tc>
      </w:tr>
      <w:tr w:rsidR="00EA2ACC" w:rsidRPr="00582200" w14:paraId="69F6A682" w14:textId="77777777" w:rsidTr="00EA2ACC">
        <w:trPr>
          <w:cantSplit/>
          <w:trHeight w:val="720"/>
        </w:trPr>
        <w:tc>
          <w:tcPr>
            <w:tcW w:w="3847" w:type="dxa"/>
            <w:tcBorders>
              <w:top w:val="nil"/>
              <w:left w:val="single" w:sz="16" w:space="0" w:color="000000"/>
              <w:bottom w:val="nil"/>
              <w:right w:val="single" w:sz="16" w:space="0" w:color="000000"/>
            </w:tcBorders>
            <w:shd w:val="clear" w:color="auto" w:fill="FFFFFF"/>
          </w:tcPr>
          <w:p w14:paraId="20FAEB5C" w14:textId="68672847"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3 Starting treatment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5523E2B7"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5CBD6C75"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.767</w:t>
            </w:r>
          </w:p>
        </w:tc>
      </w:tr>
      <w:tr w:rsidR="00EA2ACC" w:rsidRPr="00582200" w14:paraId="65DCAFD6" w14:textId="77777777" w:rsidTr="00EA2ACC">
        <w:trPr>
          <w:cantSplit/>
          <w:trHeight w:val="974"/>
        </w:trPr>
        <w:tc>
          <w:tcPr>
            <w:tcW w:w="3847" w:type="dxa"/>
            <w:tcBorders>
              <w:top w:val="nil"/>
              <w:left w:val="single" w:sz="16" w:space="0" w:color="000000"/>
              <w:bottom w:val="nil"/>
              <w:right w:val="single" w:sz="16" w:space="0" w:color="000000"/>
            </w:tcBorders>
            <w:shd w:val="clear" w:color="auto" w:fill="FFFFFF"/>
          </w:tcPr>
          <w:p w14:paraId="365EB98C" w14:textId="588123E7"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4 </w:t>
            </w:r>
            <w:proofErr w:type="spellStart"/>
            <w:r w:rsidRPr="00982B1C">
              <w:rPr>
                <w:rFonts w:eastAsiaTheme="minorEastAsia" w:cs="Arial"/>
                <w:color w:val="000000"/>
                <w:szCs w:val="24"/>
                <w:lang w:val="en-US"/>
              </w:rPr>
              <w:t>Recognise</w:t>
            </w:r>
            <w:proofErr w:type="spellEnd"/>
            <w:r w:rsidRPr="00982B1C">
              <w:rPr>
                <w:rFonts w:eastAsiaTheme="minorEastAsia" w:cs="Arial"/>
                <w:color w:val="000000"/>
                <w:szCs w:val="24"/>
                <w:lang w:val="en-US"/>
              </w:rPr>
              <w:t xml:space="preserve"> and perform procedures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6B00EE0C"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1DB9396C"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.748</w:t>
            </w:r>
          </w:p>
        </w:tc>
      </w:tr>
      <w:tr w:rsidR="00EA2ACC" w:rsidRPr="00582200" w14:paraId="4285491A"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5E528925" w14:textId="6D4B3546"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5 Escalation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1F643991"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63014372"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.635</w:t>
            </w:r>
          </w:p>
        </w:tc>
      </w:tr>
      <w:tr w:rsidR="00EA2ACC" w:rsidRPr="00582200" w14:paraId="0AE6C8CB"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0E523860" w14:textId="7947AEE5"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6 Crash call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03496AC2"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32914A93"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.577</w:t>
            </w:r>
          </w:p>
        </w:tc>
      </w:tr>
      <w:tr w:rsidR="00EA2ACC" w:rsidRPr="00582200" w14:paraId="150A15DF" w14:textId="77777777" w:rsidTr="00EA2ACC">
        <w:trPr>
          <w:cantSplit/>
          <w:trHeight w:val="232"/>
        </w:trPr>
        <w:tc>
          <w:tcPr>
            <w:tcW w:w="3847" w:type="dxa"/>
            <w:tcBorders>
              <w:top w:val="nil"/>
              <w:left w:val="single" w:sz="16" w:space="0" w:color="000000"/>
              <w:bottom w:val="nil"/>
              <w:right w:val="single" w:sz="16" w:space="0" w:color="000000"/>
            </w:tcBorders>
            <w:shd w:val="clear" w:color="auto" w:fill="FFFFFF"/>
          </w:tcPr>
          <w:p w14:paraId="52B1C0A1" w14:textId="4E0D79C2"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7 BLS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0837B2C3"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5BD1A73F"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.532</w:t>
            </w:r>
          </w:p>
        </w:tc>
      </w:tr>
      <w:tr w:rsidR="00EA2ACC" w:rsidRPr="00582200" w14:paraId="6F1CAAEC" w14:textId="77777777" w:rsidTr="00EA2ACC">
        <w:trPr>
          <w:cantSplit/>
          <w:trHeight w:val="740"/>
        </w:trPr>
        <w:tc>
          <w:tcPr>
            <w:tcW w:w="3847" w:type="dxa"/>
            <w:tcBorders>
              <w:top w:val="nil"/>
              <w:left w:val="single" w:sz="16" w:space="0" w:color="000000"/>
              <w:bottom w:val="nil"/>
              <w:right w:val="single" w:sz="16" w:space="0" w:color="000000"/>
            </w:tcBorders>
            <w:shd w:val="clear" w:color="auto" w:fill="FFFFFF"/>
          </w:tcPr>
          <w:p w14:paraId="3EF5DAC3" w14:textId="7604D6F9"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8 Procedure consent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78D64101"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4E88BF38"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.585</w:t>
            </w:r>
          </w:p>
        </w:tc>
      </w:tr>
      <w:tr w:rsidR="00EA2ACC" w:rsidRPr="00582200" w14:paraId="5E9B2D09" w14:textId="77777777" w:rsidTr="00EA2ACC">
        <w:trPr>
          <w:cantSplit/>
          <w:trHeight w:val="720"/>
        </w:trPr>
        <w:tc>
          <w:tcPr>
            <w:tcW w:w="3847" w:type="dxa"/>
            <w:tcBorders>
              <w:top w:val="nil"/>
              <w:left w:val="single" w:sz="16" w:space="0" w:color="000000"/>
              <w:bottom w:val="nil"/>
              <w:right w:val="single" w:sz="16" w:space="0" w:color="000000"/>
            </w:tcBorders>
            <w:shd w:val="clear" w:color="auto" w:fill="FFFFFF"/>
          </w:tcPr>
          <w:p w14:paraId="39D608EF" w14:textId="32B803F2"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9 Procedure perform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63219390"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1A26D3E1" w14:textId="77777777" w:rsidR="004628F3" w:rsidRPr="005C2146"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5C2146">
              <w:rPr>
                <w:rFonts w:eastAsiaTheme="minorEastAsia" w:cs="Arial"/>
                <w:color w:val="000000"/>
                <w:szCs w:val="24"/>
                <w:lang w:val="en-US"/>
              </w:rPr>
              <w:t>.581</w:t>
            </w:r>
          </w:p>
        </w:tc>
      </w:tr>
      <w:tr w:rsidR="00EA2ACC" w:rsidRPr="00582200" w14:paraId="108F93C8"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021BAB5C" w14:textId="587C2D8F"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10 Sharps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7A8989E9"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097CB745"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.777</w:t>
            </w:r>
          </w:p>
        </w:tc>
      </w:tr>
      <w:tr w:rsidR="00EA2ACC" w:rsidRPr="00582200" w14:paraId="4E7DFA3C"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6F251E98" w14:textId="48E3BFE8"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11 Interpret results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7E139D3C"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5183F5EA"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.592</w:t>
            </w:r>
          </w:p>
        </w:tc>
      </w:tr>
      <w:tr w:rsidR="00EA2ACC" w:rsidRPr="00582200" w14:paraId="1747B0B5"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51F59CAC" w14:textId="6445F7E7"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12 Documentation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56885A42"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47FB85C5"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.634</w:t>
            </w:r>
          </w:p>
        </w:tc>
      </w:tr>
      <w:tr w:rsidR="00EA2ACC" w:rsidRPr="00582200" w14:paraId="15588915"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3452D6F0" w14:textId="6B4443D7"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13 Communication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690C7E17"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1F4E2E72"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.635</w:t>
            </w:r>
          </w:p>
        </w:tc>
      </w:tr>
      <w:tr w:rsidR="00EA2ACC" w:rsidRPr="00582200" w14:paraId="5C941886" w14:textId="77777777" w:rsidTr="00EA2ACC">
        <w:trPr>
          <w:cantSplit/>
          <w:trHeight w:val="720"/>
        </w:trPr>
        <w:tc>
          <w:tcPr>
            <w:tcW w:w="3847" w:type="dxa"/>
            <w:tcBorders>
              <w:top w:val="nil"/>
              <w:left w:val="single" w:sz="16" w:space="0" w:color="000000"/>
              <w:bottom w:val="nil"/>
              <w:right w:val="single" w:sz="16" w:space="0" w:color="000000"/>
            </w:tcBorders>
            <w:shd w:val="clear" w:color="auto" w:fill="FFFFFF"/>
          </w:tcPr>
          <w:p w14:paraId="008FB0EA" w14:textId="34EB70AA"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14 Stress Management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2382C306"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6A8071A1"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.601</w:t>
            </w:r>
          </w:p>
        </w:tc>
      </w:tr>
      <w:tr w:rsidR="00EA2ACC" w:rsidRPr="00582200" w14:paraId="6B78518F" w14:textId="77777777" w:rsidTr="00EA2ACC">
        <w:trPr>
          <w:cantSplit/>
          <w:trHeight w:val="740"/>
        </w:trPr>
        <w:tc>
          <w:tcPr>
            <w:tcW w:w="3847" w:type="dxa"/>
            <w:tcBorders>
              <w:top w:val="nil"/>
              <w:left w:val="single" w:sz="16" w:space="0" w:color="000000"/>
              <w:bottom w:val="nil"/>
              <w:right w:val="single" w:sz="16" w:space="0" w:color="000000"/>
            </w:tcBorders>
            <w:shd w:val="clear" w:color="auto" w:fill="FFFFFF"/>
          </w:tcPr>
          <w:p w14:paraId="387DA58C" w14:textId="474DF06A"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15 </w:t>
            </w:r>
            <w:proofErr w:type="spellStart"/>
            <w:r w:rsidRPr="00982B1C">
              <w:rPr>
                <w:rFonts w:eastAsiaTheme="minorEastAsia" w:cs="Arial"/>
                <w:color w:val="000000"/>
                <w:szCs w:val="24"/>
                <w:lang w:val="en-US"/>
              </w:rPr>
              <w:t>Recognise</w:t>
            </w:r>
            <w:proofErr w:type="spellEnd"/>
            <w:r w:rsidRPr="00982B1C">
              <w:rPr>
                <w:rFonts w:eastAsiaTheme="minorEastAsia" w:cs="Arial"/>
                <w:color w:val="000000"/>
                <w:szCs w:val="24"/>
                <w:lang w:val="en-US"/>
              </w:rPr>
              <w:t xml:space="preserve"> complaint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4744AFAB"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31141BB9"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.636</w:t>
            </w:r>
          </w:p>
        </w:tc>
      </w:tr>
      <w:tr w:rsidR="00EA2ACC" w:rsidRPr="00582200" w14:paraId="5EE30419"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01DDD47D" w14:textId="140CF75D"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16 Verbal referral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362D6480"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067558F9"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.758</w:t>
            </w:r>
          </w:p>
        </w:tc>
      </w:tr>
      <w:tr w:rsidR="00EA2ACC" w:rsidRPr="00582200" w14:paraId="1ADCD90B"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46212366" w14:textId="507A70FE"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17 Leadership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0057E49D"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46EA055F"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.794</w:t>
            </w:r>
          </w:p>
        </w:tc>
      </w:tr>
      <w:tr w:rsidR="00EA2ACC" w:rsidRPr="00582200" w14:paraId="7F3DDCA0"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257F4075" w14:textId="044DA1AF"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18 Prescribing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1DD88A98"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1749A4A4"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.631</w:t>
            </w:r>
          </w:p>
        </w:tc>
      </w:tr>
      <w:tr w:rsidR="00EA2ACC" w:rsidRPr="00582200" w14:paraId="172EF2C6" w14:textId="77777777" w:rsidTr="00EA2ACC">
        <w:trPr>
          <w:cantSplit/>
          <w:trHeight w:val="488"/>
        </w:trPr>
        <w:tc>
          <w:tcPr>
            <w:tcW w:w="3847" w:type="dxa"/>
            <w:tcBorders>
              <w:top w:val="nil"/>
              <w:left w:val="single" w:sz="16" w:space="0" w:color="000000"/>
              <w:bottom w:val="nil"/>
              <w:right w:val="single" w:sz="16" w:space="0" w:color="000000"/>
            </w:tcBorders>
            <w:shd w:val="clear" w:color="auto" w:fill="FFFFFF"/>
          </w:tcPr>
          <w:p w14:paraId="0345D70C" w14:textId="31406F25"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19 Patient safety </w:t>
            </w:r>
            <w:r w:rsidR="001D42C9" w:rsidRPr="00982B1C">
              <w:rPr>
                <w:rFonts w:eastAsiaTheme="minorEastAsia" w:cs="Arial"/>
                <w:color w:val="000000"/>
                <w:szCs w:val="24"/>
                <w:lang w:val="en-US"/>
              </w:rPr>
              <w:t>Pre-course</w:t>
            </w:r>
          </w:p>
        </w:tc>
        <w:tc>
          <w:tcPr>
            <w:tcW w:w="2149" w:type="dxa"/>
            <w:tcBorders>
              <w:top w:val="nil"/>
              <w:left w:val="single" w:sz="16" w:space="0" w:color="000000"/>
              <w:bottom w:val="nil"/>
            </w:tcBorders>
            <w:shd w:val="clear" w:color="auto" w:fill="FFFFFF"/>
            <w:vAlign w:val="center"/>
          </w:tcPr>
          <w:p w14:paraId="295790A6"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nil"/>
              <w:right w:val="single" w:sz="16" w:space="0" w:color="000000"/>
            </w:tcBorders>
            <w:shd w:val="clear" w:color="auto" w:fill="FFFFFF"/>
            <w:vAlign w:val="center"/>
          </w:tcPr>
          <w:p w14:paraId="1F54E702"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.553</w:t>
            </w:r>
          </w:p>
        </w:tc>
      </w:tr>
      <w:tr w:rsidR="00EA2ACC" w:rsidRPr="00582200" w14:paraId="6C3EF829" w14:textId="77777777" w:rsidTr="00EA2ACC">
        <w:trPr>
          <w:cantSplit/>
          <w:trHeight w:val="740"/>
        </w:trPr>
        <w:tc>
          <w:tcPr>
            <w:tcW w:w="3847" w:type="dxa"/>
            <w:tcBorders>
              <w:top w:val="nil"/>
              <w:left w:val="single" w:sz="16" w:space="0" w:color="000000"/>
              <w:bottom w:val="single" w:sz="16" w:space="0" w:color="000000"/>
              <w:right w:val="single" w:sz="16" w:space="0" w:color="000000"/>
            </w:tcBorders>
            <w:shd w:val="clear" w:color="auto" w:fill="FFFFFF"/>
          </w:tcPr>
          <w:p w14:paraId="7F244E7F" w14:textId="0FF4BD9B" w:rsidR="004628F3" w:rsidRPr="00982B1C" w:rsidRDefault="004628F3" w:rsidP="006B027F">
            <w:pPr>
              <w:widowControl w:val="0"/>
              <w:autoSpaceDE w:val="0"/>
              <w:autoSpaceDN w:val="0"/>
              <w:adjustRightInd w:val="0"/>
              <w:spacing w:before="0" w:after="0" w:line="240" w:lineRule="auto"/>
              <w:ind w:left="60" w:right="60"/>
              <w:rPr>
                <w:rFonts w:eastAsiaTheme="minorEastAsia" w:cs="Arial"/>
                <w:color w:val="000000"/>
                <w:szCs w:val="24"/>
                <w:lang w:val="en-US"/>
              </w:rPr>
            </w:pPr>
            <w:r w:rsidRPr="00982B1C">
              <w:rPr>
                <w:rFonts w:eastAsiaTheme="minorEastAsia" w:cs="Arial"/>
                <w:color w:val="000000"/>
                <w:szCs w:val="24"/>
                <w:lang w:val="en-US"/>
              </w:rPr>
              <w:t xml:space="preserve">20 Overall confidence </w:t>
            </w:r>
            <w:r w:rsidR="001D42C9" w:rsidRPr="00982B1C">
              <w:rPr>
                <w:rFonts w:eastAsiaTheme="minorEastAsia" w:cs="Arial"/>
                <w:color w:val="000000"/>
                <w:szCs w:val="24"/>
                <w:lang w:val="en-US"/>
              </w:rPr>
              <w:t>Pre-course</w:t>
            </w:r>
          </w:p>
        </w:tc>
        <w:tc>
          <w:tcPr>
            <w:tcW w:w="2149" w:type="dxa"/>
            <w:tcBorders>
              <w:top w:val="nil"/>
              <w:left w:val="single" w:sz="16" w:space="0" w:color="000000"/>
              <w:bottom w:val="single" w:sz="16" w:space="0" w:color="000000"/>
            </w:tcBorders>
            <w:shd w:val="clear" w:color="auto" w:fill="FFFFFF"/>
            <w:vAlign w:val="center"/>
          </w:tcPr>
          <w:p w14:paraId="2EE463A9" w14:textId="77777777" w:rsidR="004628F3" w:rsidRPr="00982B1C"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982B1C">
              <w:rPr>
                <w:rFonts w:eastAsiaTheme="minorEastAsia" w:cs="Arial"/>
                <w:color w:val="000000"/>
                <w:szCs w:val="24"/>
                <w:lang w:val="en-US"/>
              </w:rPr>
              <w:t>1.000</w:t>
            </w:r>
          </w:p>
        </w:tc>
        <w:tc>
          <w:tcPr>
            <w:tcW w:w="2436" w:type="dxa"/>
            <w:tcBorders>
              <w:top w:val="nil"/>
              <w:bottom w:val="single" w:sz="16" w:space="0" w:color="000000"/>
              <w:right w:val="single" w:sz="16" w:space="0" w:color="000000"/>
            </w:tcBorders>
            <w:shd w:val="clear" w:color="auto" w:fill="FFFFFF"/>
            <w:vAlign w:val="center"/>
          </w:tcPr>
          <w:p w14:paraId="0AD01840" w14:textId="77777777" w:rsidR="004628F3" w:rsidRPr="00036EBB" w:rsidRDefault="004628F3" w:rsidP="006B027F">
            <w:pPr>
              <w:widowControl w:val="0"/>
              <w:autoSpaceDE w:val="0"/>
              <w:autoSpaceDN w:val="0"/>
              <w:adjustRightInd w:val="0"/>
              <w:spacing w:before="0" w:after="0" w:line="240" w:lineRule="auto"/>
              <w:ind w:left="60" w:right="60"/>
              <w:jc w:val="right"/>
              <w:rPr>
                <w:rFonts w:eastAsiaTheme="minorEastAsia" w:cs="Arial"/>
                <w:color w:val="000000"/>
                <w:szCs w:val="24"/>
                <w:lang w:val="en-US"/>
              </w:rPr>
            </w:pPr>
            <w:r w:rsidRPr="00036EBB">
              <w:rPr>
                <w:rFonts w:eastAsiaTheme="minorEastAsia" w:cs="Arial"/>
                <w:color w:val="000000"/>
                <w:szCs w:val="24"/>
                <w:lang w:val="en-US"/>
              </w:rPr>
              <w:t>.622</w:t>
            </w:r>
          </w:p>
        </w:tc>
      </w:tr>
      <w:tr w:rsidR="00EA2ACC" w:rsidRPr="00582200" w14:paraId="464EB067" w14:textId="77777777" w:rsidTr="00EA2ACC">
        <w:trPr>
          <w:cantSplit/>
          <w:trHeight w:val="678"/>
        </w:trPr>
        <w:tc>
          <w:tcPr>
            <w:tcW w:w="8428" w:type="dxa"/>
            <w:gridSpan w:val="3"/>
            <w:tcBorders>
              <w:top w:val="nil"/>
              <w:left w:val="nil"/>
              <w:bottom w:val="nil"/>
              <w:right w:val="nil"/>
            </w:tcBorders>
            <w:shd w:val="clear" w:color="auto" w:fill="FFFFFF"/>
          </w:tcPr>
          <w:p w14:paraId="46C31D7A" w14:textId="77777777" w:rsidR="004628F3" w:rsidRPr="00582200" w:rsidRDefault="004628F3" w:rsidP="00DA2EBE">
            <w:pPr>
              <w:widowControl w:val="0"/>
              <w:autoSpaceDE w:val="0"/>
              <w:autoSpaceDN w:val="0"/>
              <w:adjustRightInd w:val="0"/>
              <w:spacing w:before="0" w:after="0" w:line="320" w:lineRule="atLeast"/>
              <w:ind w:left="60" w:right="60"/>
              <w:rPr>
                <w:rFonts w:eastAsiaTheme="minorEastAsia" w:cs="Arial"/>
                <w:color w:val="000000"/>
                <w:szCs w:val="24"/>
                <w:lang w:val="en-US"/>
              </w:rPr>
            </w:pPr>
            <w:r w:rsidRPr="00582200">
              <w:rPr>
                <w:rFonts w:eastAsiaTheme="minorEastAsia" w:cs="Arial"/>
                <w:color w:val="000000"/>
                <w:szCs w:val="24"/>
                <w:lang w:val="en-US"/>
              </w:rPr>
              <w:t>Extraction Method: Principal Component Analysis.</w:t>
            </w:r>
          </w:p>
        </w:tc>
      </w:tr>
    </w:tbl>
    <w:p w14:paraId="3C833D69" w14:textId="77777777" w:rsidR="00C00713" w:rsidRDefault="00C00713" w:rsidP="003E116C"/>
    <w:p w14:paraId="641EADFC" w14:textId="6DE0AF38" w:rsidR="00DA2EBE" w:rsidRDefault="001F3665" w:rsidP="006B027F">
      <w:pPr>
        <w:pStyle w:val="Heading2"/>
      </w:pPr>
      <w:bookmarkStart w:id="497" w:name="_Toc419116241"/>
      <w:r>
        <w:lastRenderedPageBreak/>
        <w:t>Component matrix for PCA</w:t>
      </w:r>
      <w:bookmarkEnd w:id="497"/>
      <w:r>
        <w:t xml:space="preserve"> </w:t>
      </w:r>
    </w:p>
    <w:p w14:paraId="44561F52" w14:textId="0095BE49" w:rsidR="00DA2EBE" w:rsidRDefault="00DA2EBE" w:rsidP="007000F8">
      <w:pPr>
        <w:pStyle w:val="Caption"/>
      </w:pPr>
      <w:bookmarkStart w:id="498" w:name="_Toc365579495"/>
      <w:bookmarkStart w:id="499" w:name="_Toc419116514"/>
      <w:r>
        <w:t xml:space="preserve">Table </w:t>
      </w:r>
      <w:r w:rsidR="007000F8">
        <w:fldChar w:fldCharType="begin"/>
      </w:r>
      <w:r w:rsidR="007000F8">
        <w:instrText xml:space="preserve"> STYLEREF 1 \s </w:instrText>
      </w:r>
      <w:r w:rsidR="007000F8">
        <w:fldChar w:fldCharType="separate"/>
      </w:r>
      <w:r w:rsidR="007000F8">
        <w:rPr>
          <w:noProof/>
        </w:rPr>
        <w:t>13</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2</w:t>
      </w:r>
      <w:r w:rsidR="007000F8">
        <w:fldChar w:fldCharType="end"/>
      </w:r>
      <w:r>
        <w:t xml:space="preserve"> Component matrix for Principal component analysis</w:t>
      </w:r>
      <w:bookmarkEnd w:id="498"/>
      <w:bookmarkEnd w:id="499"/>
    </w:p>
    <w:tbl>
      <w:tblPr>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230"/>
        <w:gridCol w:w="1805"/>
        <w:gridCol w:w="1805"/>
        <w:gridCol w:w="1807"/>
      </w:tblGrid>
      <w:tr w:rsidR="00DA2EBE" w:rsidRPr="00582200" w14:paraId="0C503C49" w14:textId="77777777" w:rsidTr="006B027F">
        <w:trPr>
          <w:cantSplit/>
          <w:trHeight w:val="316"/>
        </w:trPr>
        <w:tc>
          <w:tcPr>
            <w:tcW w:w="8647" w:type="dxa"/>
            <w:gridSpan w:val="4"/>
            <w:tcBorders>
              <w:top w:val="nil"/>
              <w:left w:val="nil"/>
              <w:bottom w:val="nil"/>
              <w:right w:val="nil"/>
            </w:tcBorders>
            <w:shd w:val="clear" w:color="auto" w:fill="FFFFFF"/>
            <w:vAlign w:val="center"/>
          </w:tcPr>
          <w:p w14:paraId="36FC68E0" w14:textId="77777777" w:rsidR="00DA2EBE" w:rsidRPr="00582200" w:rsidRDefault="00DA2EBE" w:rsidP="00DA2EBE">
            <w:pPr>
              <w:widowControl w:val="0"/>
              <w:autoSpaceDE w:val="0"/>
              <w:autoSpaceDN w:val="0"/>
              <w:adjustRightInd w:val="0"/>
              <w:spacing w:before="0" w:after="0" w:line="320" w:lineRule="atLeast"/>
              <w:ind w:left="60" w:right="60"/>
              <w:jc w:val="center"/>
              <w:rPr>
                <w:rFonts w:eastAsiaTheme="minorEastAsia" w:cs="Arial"/>
                <w:color w:val="000000"/>
                <w:szCs w:val="24"/>
                <w:lang w:val="en-US"/>
              </w:rPr>
            </w:pPr>
            <w:r w:rsidRPr="00582200">
              <w:rPr>
                <w:rFonts w:eastAsiaTheme="minorEastAsia" w:cs="Arial"/>
                <w:b/>
                <w:bCs/>
                <w:color w:val="000000"/>
                <w:szCs w:val="24"/>
                <w:lang w:val="en-US"/>
              </w:rPr>
              <w:t xml:space="preserve">Component </w:t>
            </w:r>
            <w:proofErr w:type="spellStart"/>
            <w:r w:rsidRPr="00582200">
              <w:rPr>
                <w:rFonts w:eastAsiaTheme="minorEastAsia" w:cs="Arial"/>
                <w:b/>
                <w:bCs/>
                <w:color w:val="000000"/>
                <w:szCs w:val="24"/>
                <w:lang w:val="en-US"/>
              </w:rPr>
              <w:t>Matrix</w:t>
            </w:r>
            <w:r w:rsidRPr="00582200">
              <w:rPr>
                <w:rFonts w:eastAsiaTheme="minorEastAsia" w:cs="Arial"/>
                <w:b/>
                <w:bCs/>
                <w:color w:val="000000"/>
                <w:szCs w:val="24"/>
                <w:vertAlign w:val="superscript"/>
                <w:lang w:val="en-US"/>
              </w:rPr>
              <w:t>a</w:t>
            </w:r>
            <w:proofErr w:type="spellEnd"/>
          </w:p>
        </w:tc>
      </w:tr>
      <w:tr w:rsidR="00DA2EBE" w:rsidRPr="00582200" w14:paraId="15281C5D" w14:textId="77777777" w:rsidTr="006B027F">
        <w:trPr>
          <w:cantSplit/>
          <w:trHeight w:val="316"/>
        </w:trPr>
        <w:tc>
          <w:tcPr>
            <w:tcW w:w="3230" w:type="dxa"/>
            <w:vMerge w:val="restart"/>
            <w:tcBorders>
              <w:top w:val="single" w:sz="16" w:space="0" w:color="000000"/>
              <w:left w:val="single" w:sz="16" w:space="0" w:color="000000"/>
              <w:bottom w:val="nil"/>
              <w:right w:val="single" w:sz="16" w:space="0" w:color="000000"/>
            </w:tcBorders>
            <w:shd w:val="clear" w:color="auto" w:fill="FFFFFF"/>
            <w:vAlign w:val="bottom"/>
          </w:tcPr>
          <w:p w14:paraId="7D256700" w14:textId="77777777" w:rsidR="00DA2EBE" w:rsidRPr="006B027F" w:rsidRDefault="00DA2EBE" w:rsidP="00982B1C">
            <w:pPr>
              <w:widowControl w:val="0"/>
              <w:autoSpaceDE w:val="0"/>
              <w:autoSpaceDN w:val="0"/>
              <w:adjustRightInd w:val="0"/>
              <w:spacing w:before="0" w:after="0" w:line="240" w:lineRule="auto"/>
              <w:rPr>
                <w:rFonts w:ascii="Times New Roman" w:eastAsiaTheme="minorEastAsia" w:hAnsi="Times New Roman"/>
                <w:sz w:val="20"/>
                <w:szCs w:val="20"/>
                <w:lang w:val="en-US"/>
              </w:rPr>
            </w:pPr>
          </w:p>
        </w:tc>
        <w:tc>
          <w:tcPr>
            <w:tcW w:w="5416" w:type="dxa"/>
            <w:gridSpan w:val="3"/>
            <w:tcBorders>
              <w:top w:val="single" w:sz="16" w:space="0" w:color="000000"/>
              <w:left w:val="single" w:sz="16" w:space="0" w:color="000000"/>
              <w:right w:val="single" w:sz="16" w:space="0" w:color="000000"/>
            </w:tcBorders>
            <w:shd w:val="clear" w:color="auto" w:fill="FFFFFF"/>
            <w:vAlign w:val="bottom"/>
          </w:tcPr>
          <w:p w14:paraId="1EED6AD4" w14:textId="77777777" w:rsidR="00DA2EBE" w:rsidRPr="006B027F" w:rsidRDefault="00DA2EBE"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Component</w:t>
            </w:r>
          </w:p>
        </w:tc>
      </w:tr>
      <w:tr w:rsidR="00982B1C" w:rsidRPr="00582200" w14:paraId="6385855D" w14:textId="77777777" w:rsidTr="00982B1C">
        <w:trPr>
          <w:cantSplit/>
          <w:trHeight w:val="143"/>
        </w:trPr>
        <w:tc>
          <w:tcPr>
            <w:tcW w:w="3230" w:type="dxa"/>
            <w:vMerge/>
            <w:tcBorders>
              <w:top w:val="single" w:sz="16" w:space="0" w:color="000000"/>
              <w:left w:val="single" w:sz="16" w:space="0" w:color="000000"/>
              <w:bottom w:val="nil"/>
              <w:right w:val="single" w:sz="16" w:space="0" w:color="000000"/>
            </w:tcBorders>
            <w:shd w:val="clear" w:color="auto" w:fill="FFFFFF"/>
            <w:vAlign w:val="bottom"/>
          </w:tcPr>
          <w:p w14:paraId="3ED4CAFE" w14:textId="77777777" w:rsidR="00DA2EBE" w:rsidRPr="006B027F" w:rsidRDefault="00DA2EBE">
            <w:pPr>
              <w:widowControl w:val="0"/>
              <w:autoSpaceDE w:val="0"/>
              <w:autoSpaceDN w:val="0"/>
              <w:adjustRightInd w:val="0"/>
              <w:spacing w:before="0" w:after="0" w:line="240" w:lineRule="auto"/>
              <w:rPr>
                <w:rFonts w:eastAsiaTheme="minorEastAsia" w:cs="Arial"/>
                <w:color w:val="000000"/>
                <w:sz w:val="20"/>
                <w:szCs w:val="20"/>
                <w:lang w:val="en-US"/>
              </w:rPr>
            </w:pPr>
          </w:p>
        </w:tc>
        <w:tc>
          <w:tcPr>
            <w:tcW w:w="1805" w:type="dxa"/>
            <w:tcBorders>
              <w:left w:val="single" w:sz="16" w:space="0" w:color="000000"/>
              <w:bottom w:val="single" w:sz="16" w:space="0" w:color="000000"/>
            </w:tcBorders>
            <w:shd w:val="clear" w:color="auto" w:fill="FFFFFF"/>
            <w:vAlign w:val="bottom"/>
          </w:tcPr>
          <w:p w14:paraId="047C3663" w14:textId="77777777" w:rsidR="00DA2EBE" w:rsidRPr="006B027F" w:rsidRDefault="00DA2EBE"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1</w:t>
            </w:r>
          </w:p>
        </w:tc>
        <w:tc>
          <w:tcPr>
            <w:tcW w:w="1805" w:type="dxa"/>
            <w:tcBorders>
              <w:bottom w:val="single" w:sz="16" w:space="0" w:color="000000"/>
            </w:tcBorders>
            <w:shd w:val="clear" w:color="auto" w:fill="FFFFFF"/>
            <w:vAlign w:val="bottom"/>
          </w:tcPr>
          <w:p w14:paraId="2C3F2BB7" w14:textId="77777777" w:rsidR="00DA2EBE" w:rsidRPr="006B027F" w:rsidRDefault="00DA2EBE"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2</w:t>
            </w:r>
          </w:p>
        </w:tc>
        <w:tc>
          <w:tcPr>
            <w:tcW w:w="1805" w:type="dxa"/>
            <w:tcBorders>
              <w:bottom w:val="single" w:sz="16" w:space="0" w:color="000000"/>
              <w:right w:val="single" w:sz="16" w:space="0" w:color="000000"/>
            </w:tcBorders>
            <w:shd w:val="clear" w:color="auto" w:fill="FFFFFF"/>
            <w:vAlign w:val="bottom"/>
          </w:tcPr>
          <w:p w14:paraId="0E7CC45B" w14:textId="77777777" w:rsidR="00DA2EBE" w:rsidRPr="006B027F" w:rsidRDefault="00DA2EBE"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3</w:t>
            </w:r>
          </w:p>
        </w:tc>
      </w:tr>
      <w:tr w:rsidR="00982B1C" w:rsidRPr="00582200" w14:paraId="0047C94C" w14:textId="77777777" w:rsidTr="00982B1C">
        <w:trPr>
          <w:cantSplit/>
          <w:trHeight w:val="633"/>
        </w:trPr>
        <w:tc>
          <w:tcPr>
            <w:tcW w:w="3230" w:type="dxa"/>
            <w:tcBorders>
              <w:top w:val="single" w:sz="16" w:space="0" w:color="000000"/>
              <w:left w:val="single" w:sz="16" w:space="0" w:color="000000"/>
              <w:bottom w:val="nil"/>
              <w:right w:val="single" w:sz="16" w:space="0" w:color="000000"/>
            </w:tcBorders>
            <w:shd w:val="clear" w:color="auto" w:fill="FFFFFF"/>
          </w:tcPr>
          <w:p w14:paraId="145A245E" w14:textId="60DF74AD"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 ABCDE </w:t>
            </w:r>
            <w:r w:rsidR="001D42C9" w:rsidRPr="006B027F">
              <w:rPr>
                <w:rFonts w:eastAsiaTheme="minorEastAsia" w:cs="Arial"/>
                <w:color w:val="000000"/>
                <w:sz w:val="20"/>
                <w:szCs w:val="20"/>
                <w:lang w:val="en-US"/>
              </w:rPr>
              <w:t>Pre-course</w:t>
            </w:r>
          </w:p>
        </w:tc>
        <w:tc>
          <w:tcPr>
            <w:tcW w:w="1805" w:type="dxa"/>
            <w:tcBorders>
              <w:top w:val="single" w:sz="16" w:space="0" w:color="000000"/>
              <w:left w:val="single" w:sz="16" w:space="0" w:color="000000"/>
              <w:bottom w:val="nil"/>
            </w:tcBorders>
            <w:shd w:val="clear" w:color="auto" w:fill="FFFFFF"/>
            <w:vAlign w:val="center"/>
          </w:tcPr>
          <w:p w14:paraId="6131ECFC"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.723</w:t>
            </w:r>
          </w:p>
        </w:tc>
        <w:tc>
          <w:tcPr>
            <w:tcW w:w="1805" w:type="dxa"/>
            <w:tcBorders>
              <w:top w:val="single" w:sz="16" w:space="0" w:color="000000"/>
              <w:bottom w:val="nil"/>
            </w:tcBorders>
            <w:shd w:val="clear" w:color="auto" w:fill="FFFFFF"/>
            <w:vAlign w:val="center"/>
          </w:tcPr>
          <w:p w14:paraId="535D5A49"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-.257</w:t>
            </w:r>
          </w:p>
        </w:tc>
        <w:tc>
          <w:tcPr>
            <w:tcW w:w="1805" w:type="dxa"/>
            <w:tcBorders>
              <w:top w:val="single" w:sz="16" w:space="0" w:color="000000"/>
              <w:bottom w:val="nil"/>
              <w:right w:val="single" w:sz="16" w:space="0" w:color="000000"/>
            </w:tcBorders>
            <w:shd w:val="clear" w:color="auto" w:fill="FFFFFF"/>
            <w:vAlign w:val="center"/>
          </w:tcPr>
          <w:p w14:paraId="3F5D7B16"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-.187</w:t>
            </w:r>
          </w:p>
        </w:tc>
      </w:tr>
      <w:tr w:rsidR="00982B1C" w:rsidRPr="00582200" w14:paraId="4539959D"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5D0214F7" w14:textId="778BFE04"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2 </w:t>
            </w:r>
            <w:proofErr w:type="spellStart"/>
            <w:r w:rsidRPr="006B027F">
              <w:rPr>
                <w:rFonts w:eastAsiaTheme="minorEastAsia" w:cs="Arial"/>
                <w:color w:val="000000"/>
                <w:sz w:val="20"/>
                <w:szCs w:val="20"/>
                <w:lang w:val="en-US"/>
              </w:rPr>
              <w:t>Recognise</w:t>
            </w:r>
            <w:proofErr w:type="spellEnd"/>
            <w:r w:rsidRPr="006B027F">
              <w:rPr>
                <w:rFonts w:eastAsiaTheme="minorEastAsia" w:cs="Arial"/>
                <w:color w:val="000000"/>
                <w:sz w:val="20"/>
                <w:szCs w:val="20"/>
                <w:lang w:val="en-US"/>
              </w:rPr>
              <w:t xml:space="preserve"> O2, fluids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33EB35F4"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.763</w:t>
            </w:r>
          </w:p>
        </w:tc>
        <w:tc>
          <w:tcPr>
            <w:tcW w:w="1805" w:type="dxa"/>
            <w:tcBorders>
              <w:top w:val="nil"/>
              <w:bottom w:val="nil"/>
            </w:tcBorders>
            <w:shd w:val="clear" w:color="auto" w:fill="FFFFFF"/>
            <w:vAlign w:val="center"/>
          </w:tcPr>
          <w:p w14:paraId="61819AEB"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-.286</w:t>
            </w:r>
          </w:p>
        </w:tc>
        <w:tc>
          <w:tcPr>
            <w:tcW w:w="1805" w:type="dxa"/>
            <w:tcBorders>
              <w:top w:val="nil"/>
              <w:bottom w:val="nil"/>
              <w:right w:val="single" w:sz="16" w:space="0" w:color="000000"/>
            </w:tcBorders>
            <w:shd w:val="clear" w:color="auto" w:fill="FFFFFF"/>
            <w:vAlign w:val="center"/>
          </w:tcPr>
          <w:p w14:paraId="44211BF0"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-.254</w:t>
            </w:r>
          </w:p>
        </w:tc>
      </w:tr>
      <w:tr w:rsidR="00982B1C" w:rsidRPr="00582200" w14:paraId="0175EB7E"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4D2D7031" w14:textId="509CD23E"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3 Starting treatment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6335DE91"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.830</w:t>
            </w:r>
          </w:p>
        </w:tc>
        <w:tc>
          <w:tcPr>
            <w:tcW w:w="1805" w:type="dxa"/>
            <w:tcBorders>
              <w:top w:val="nil"/>
              <w:bottom w:val="nil"/>
            </w:tcBorders>
            <w:shd w:val="clear" w:color="auto" w:fill="FFFFFF"/>
            <w:vAlign w:val="center"/>
          </w:tcPr>
          <w:p w14:paraId="24A8478E"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-.222</w:t>
            </w:r>
          </w:p>
        </w:tc>
        <w:tc>
          <w:tcPr>
            <w:tcW w:w="1805" w:type="dxa"/>
            <w:tcBorders>
              <w:top w:val="nil"/>
              <w:bottom w:val="nil"/>
              <w:right w:val="single" w:sz="16" w:space="0" w:color="000000"/>
            </w:tcBorders>
            <w:shd w:val="clear" w:color="auto" w:fill="FFFFFF"/>
            <w:vAlign w:val="center"/>
          </w:tcPr>
          <w:p w14:paraId="66CDD51F"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-.168</w:t>
            </w:r>
          </w:p>
        </w:tc>
      </w:tr>
      <w:tr w:rsidR="00982B1C" w:rsidRPr="00582200" w14:paraId="4FABBD1C" w14:textId="77777777" w:rsidTr="00982B1C">
        <w:trPr>
          <w:cantSplit/>
          <w:trHeight w:val="1266"/>
        </w:trPr>
        <w:tc>
          <w:tcPr>
            <w:tcW w:w="3230" w:type="dxa"/>
            <w:tcBorders>
              <w:top w:val="nil"/>
              <w:left w:val="single" w:sz="16" w:space="0" w:color="000000"/>
              <w:bottom w:val="nil"/>
              <w:right w:val="single" w:sz="16" w:space="0" w:color="000000"/>
            </w:tcBorders>
            <w:shd w:val="clear" w:color="auto" w:fill="FFFFFF"/>
          </w:tcPr>
          <w:p w14:paraId="23D80376" w14:textId="2B3A78DB"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4 </w:t>
            </w:r>
            <w:proofErr w:type="spellStart"/>
            <w:r w:rsidRPr="006B027F">
              <w:rPr>
                <w:rFonts w:eastAsiaTheme="minorEastAsia" w:cs="Arial"/>
                <w:color w:val="000000"/>
                <w:sz w:val="20"/>
                <w:szCs w:val="20"/>
                <w:lang w:val="en-US"/>
              </w:rPr>
              <w:t>Recognise</w:t>
            </w:r>
            <w:proofErr w:type="spellEnd"/>
            <w:r w:rsidRPr="006B027F">
              <w:rPr>
                <w:rFonts w:eastAsiaTheme="minorEastAsia" w:cs="Arial"/>
                <w:color w:val="000000"/>
                <w:sz w:val="20"/>
                <w:szCs w:val="20"/>
                <w:lang w:val="en-US"/>
              </w:rPr>
              <w:t xml:space="preserve"> and perform procedures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310992AC"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.805</w:t>
            </w:r>
          </w:p>
        </w:tc>
        <w:tc>
          <w:tcPr>
            <w:tcW w:w="1805" w:type="dxa"/>
            <w:tcBorders>
              <w:top w:val="nil"/>
              <w:bottom w:val="nil"/>
            </w:tcBorders>
            <w:shd w:val="clear" w:color="auto" w:fill="FFFFFF"/>
            <w:vAlign w:val="center"/>
          </w:tcPr>
          <w:p w14:paraId="574C966E"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-.229</w:t>
            </w:r>
          </w:p>
        </w:tc>
        <w:tc>
          <w:tcPr>
            <w:tcW w:w="1805" w:type="dxa"/>
            <w:tcBorders>
              <w:top w:val="nil"/>
              <w:bottom w:val="nil"/>
              <w:right w:val="single" w:sz="16" w:space="0" w:color="000000"/>
            </w:tcBorders>
            <w:shd w:val="clear" w:color="auto" w:fill="FFFFFF"/>
            <w:vAlign w:val="center"/>
          </w:tcPr>
          <w:p w14:paraId="3033D629"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-.217</w:t>
            </w:r>
          </w:p>
        </w:tc>
      </w:tr>
      <w:tr w:rsidR="00982B1C" w:rsidRPr="00582200" w14:paraId="2BBB0D96" w14:textId="77777777" w:rsidTr="00982B1C">
        <w:trPr>
          <w:cantSplit/>
          <w:trHeight w:val="633"/>
        </w:trPr>
        <w:tc>
          <w:tcPr>
            <w:tcW w:w="3230" w:type="dxa"/>
            <w:tcBorders>
              <w:top w:val="nil"/>
              <w:left w:val="single" w:sz="16" w:space="0" w:color="000000"/>
              <w:bottom w:val="nil"/>
              <w:right w:val="single" w:sz="16" w:space="0" w:color="000000"/>
            </w:tcBorders>
            <w:shd w:val="clear" w:color="auto" w:fill="FFFFFF"/>
          </w:tcPr>
          <w:p w14:paraId="0A82A953" w14:textId="7D3B2559"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5 Escalation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51A699F0"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.765</w:t>
            </w:r>
          </w:p>
        </w:tc>
        <w:tc>
          <w:tcPr>
            <w:tcW w:w="1805" w:type="dxa"/>
            <w:tcBorders>
              <w:top w:val="nil"/>
              <w:bottom w:val="nil"/>
            </w:tcBorders>
            <w:shd w:val="clear" w:color="auto" w:fill="FFFFFF"/>
            <w:vAlign w:val="center"/>
          </w:tcPr>
          <w:p w14:paraId="7F6C5C48"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.171</w:t>
            </w:r>
          </w:p>
        </w:tc>
        <w:tc>
          <w:tcPr>
            <w:tcW w:w="1805" w:type="dxa"/>
            <w:tcBorders>
              <w:top w:val="nil"/>
              <w:bottom w:val="nil"/>
              <w:right w:val="single" w:sz="16" w:space="0" w:color="000000"/>
            </w:tcBorders>
            <w:shd w:val="clear" w:color="auto" w:fill="FFFFFF"/>
            <w:vAlign w:val="center"/>
          </w:tcPr>
          <w:p w14:paraId="7B1D3D06"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-.145</w:t>
            </w:r>
          </w:p>
        </w:tc>
      </w:tr>
      <w:tr w:rsidR="00982B1C" w:rsidRPr="00582200" w14:paraId="4C7BBC58" w14:textId="77777777" w:rsidTr="00982B1C">
        <w:trPr>
          <w:cantSplit/>
          <w:trHeight w:val="633"/>
        </w:trPr>
        <w:tc>
          <w:tcPr>
            <w:tcW w:w="3230" w:type="dxa"/>
            <w:tcBorders>
              <w:top w:val="nil"/>
              <w:left w:val="single" w:sz="16" w:space="0" w:color="000000"/>
              <w:bottom w:val="nil"/>
              <w:right w:val="single" w:sz="16" w:space="0" w:color="000000"/>
            </w:tcBorders>
            <w:shd w:val="clear" w:color="auto" w:fill="FFFFFF"/>
          </w:tcPr>
          <w:p w14:paraId="4204F774" w14:textId="6114C596"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6 Crash call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5395ED50"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.732</w:t>
            </w:r>
          </w:p>
        </w:tc>
        <w:tc>
          <w:tcPr>
            <w:tcW w:w="1805" w:type="dxa"/>
            <w:tcBorders>
              <w:top w:val="nil"/>
              <w:bottom w:val="nil"/>
            </w:tcBorders>
            <w:shd w:val="clear" w:color="auto" w:fill="FFFFFF"/>
            <w:vAlign w:val="center"/>
          </w:tcPr>
          <w:p w14:paraId="39BDFD8A"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-.050</w:t>
            </w:r>
          </w:p>
        </w:tc>
        <w:tc>
          <w:tcPr>
            <w:tcW w:w="1805" w:type="dxa"/>
            <w:tcBorders>
              <w:top w:val="nil"/>
              <w:bottom w:val="nil"/>
              <w:right w:val="single" w:sz="16" w:space="0" w:color="000000"/>
            </w:tcBorders>
            <w:shd w:val="clear" w:color="auto" w:fill="FFFFFF"/>
            <w:vAlign w:val="center"/>
          </w:tcPr>
          <w:p w14:paraId="48B46B0D"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-.199</w:t>
            </w:r>
          </w:p>
        </w:tc>
      </w:tr>
      <w:tr w:rsidR="00982B1C" w:rsidRPr="00582200" w14:paraId="03321470" w14:textId="77777777" w:rsidTr="00982B1C">
        <w:trPr>
          <w:cantSplit/>
          <w:trHeight w:val="633"/>
        </w:trPr>
        <w:tc>
          <w:tcPr>
            <w:tcW w:w="3230" w:type="dxa"/>
            <w:tcBorders>
              <w:top w:val="nil"/>
              <w:left w:val="single" w:sz="16" w:space="0" w:color="000000"/>
              <w:bottom w:val="nil"/>
              <w:right w:val="single" w:sz="16" w:space="0" w:color="000000"/>
            </w:tcBorders>
            <w:shd w:val="clear" w:color="auto" w:fill="FFFFFF"/>
          </w:tcPr>
          <w:p w14:paraId="41F56804" w14:textId="74ECE7E0"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7 BLS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7EA43871"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.672</w:t>
            </w:r>
          </w:p>
        </w:tc>
        <w:tc>
          <w:tcPr>
            <w:tcW w:w="1805" w:type="dxa"/>
            <w:tcBorders>
              <w:top w:val="nil"/>
              <w:bottom w:val="nil"/>
            </w:tcBorders>
            <w:shd w:val="clear" w:color="auto" w:fill="FFFFFF"/>
            <w:vAlign w:val="center"/>
          </w:tcPr>
          <w:p w14:paraId="7D1642D4"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-.205</w:t>
            </w:r>
          </w:p>
        </w:tc>
        <w:tc>
          <w:tcPr>
            <w:tcW w:w="1805" w:type="dxa"/>
            <w:tcBorders>
              <w:top w:val="nil"/>
              <w:bottom w:val="nil"/>
              <w:right w:val="single" w:sz="16" w:space="0" w:color="000000"/>
            </w:tcBorders>
            <w:shd w:val="clear" w:color="auto" w:fill="FFFFFF"/>
            <w:vAlign w:val="center"/>
          </w:tcPr>
          <w:p w14:paraId="5A0EC1EA"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-.193</w:t>
            </w:r>
          </w:p>
        </w:tc>
      </w:tr>
      <w:tr w:rsidR="00982B1C" w:rsidRPr="00582200" w14:paraId="407B799D"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3346CBC7" w14:textId="3F887B27"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8 Procedure consent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3E0468E3"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.589</w:t>
            </w:r>
          </w:p>
        </w:tc>
        <w:tc>
          <w:tcPr>
            <w:tcW w:w="1805" w:type="dxa"/>
            <w:tcBorders>
              <w:top w:val="nil"/>
              <w:bottom w:val="nil"/>
            </w:tcBorders>
            <w:shd w:val="clear" w:color="auto" w:fill="FFFFFF"/>
            <w:vAlign w:val="center"/>
          </w:tcPr>
          <w:p w14:paraId="4A38A3E8"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.074</w:t>
            </w:r>
          </w:p>
        </w:tc>
        <w:tc>
          <w:tcPr>
            <w:tcW w:w="1805" w:type="dxa"/>
            <w:tcBorders>
              <w:top w:val="nil"/>
              <w:bottom w:val="nil"/>
              <w:right w:val="single" w:sz="16" w:space="0" w:color="000000"/>
            </w:tcBorders>
            <w:shd w:val="clear" w:color="auto" w:fill="FFFFFF"/>
            <w:vAlign w:val="center"/>
          </w:tcPr>
          <w:p w14:paraId="79F4D425"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.483</w:t>
            </w:r>
          </w:p>
        </w:tc>
      </w:tr>
      <w:tr w:rsidR="00982B1C" w:rsidRPr="00582200" w14:paraId="3595FD81"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5BF564B5" w14:textId="71E96DE4"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9 Procedure perform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70256A70"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.739</w:t>
            </w:r>
          </w:p>
        </w:tc>
        <w:tc>
          <w:tcPr>
            <w:tcW w:w="1805" w:type="dxa"/>
            <w:tcBorders>
              <w:top w:val="nil"/>
              <w:bottom w:val="nil"/>
            </w:tcBorders>
            <w:shd w:val="clear" w:color="auto" w:fill="FFFFFF"/>
            <w:vAlign w:val="center"/>
          </w:tcPr>
          <w:p w14:paraId="66714019"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-.084</w:t>
            </w:r>
          </w:p>
        </w:tc>
        <w:tc>
          <w:tcPr>
            <w:tcW w:w="1805" w:type="dxa"/>
            <w:tcBorders>
              <w:top w:val="nil"/>
              <w:bottom w:val="nil"/>
              <w:right w:val="single" w:sz="16" w:space="0" w:color="000000"/>
            </w:tcBorders>
            <w:shd w:val="clear" w:color="auto" w:fill="FFFFFF"/>
            <w:vAlign w:val="center"/>
          </w:tcPr>
          <w:p w14:paraId="21B4F133"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.165</w:t>
            </w:r>
          </w:p>
        </w:tc>
      </w:tr>
      <w:tr w:rsidR="00982B1C" w:rsidRPr="00582200" w14:paraId="6F9B297C" w14:textId="77777777" w:rsidTr="00982B1C">
        <w:trPr>
          <w:cantSplit/>
          <w:trHeight w:val="633"/>
        </w:trPr>
        <w:tc>
          <w:tcPr>
            <w:tcW w:w="3230" w:type="dxa"/>
            <w:tcBorders>
              <w:top w:val="nil"/>
              <w:left w:val="single" w:sz="16" w:space="0" w:color="000000"/>
              <w:bottom w:val="nil"/>
              <w:right w:val="single" w:sz="16" w:space="0" w:color="000000"/>
            </w:tcBorders>
            <w:shd w:val="clear" w:color="auto" w:fill="FFFFFF"/>
          </w:tcPr>
          <w:p w14:paraId="562B1EBF" w14:textId="2329C528"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10 Sharps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4F4759E8"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.631</w:t>
            </w:r>
          </w:p>
        </w:tc>
        <w:tc>
          <w:tcPr>
            <w:tcW w:w="1805" w:type="dxa"/>
            <w:tcBorders>
              <w:top w:val="nil"/>
              <w:bottom w:val="nil"/>
            </w:tcBorders>
            <w:shd w:val="clear" w:color="auto" w:fill="FFFFFF"/>
            <w:vAlign w:val="center"/>
          </w:tcPr>
          <w:p w14:paraId="7F50EEEC"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-.394</w:t>
            </w:r>
          </w:p>
        </w:tc>
        <w:tc>
          <w:tcPr>
            <w:tcW w:w="1805" w:type="dxa"/>
            <w:tcBorders>
              <w:top w:val="nil"/>
              <w:bottom w:val="nil"/>
              <w:right w:val="single" w:sz="16" w:space="0" w:color="000000"/>
            </w:tcBorders>
            <w:shd w:val="clear" w:color="auto" w:fill="FFFFFF"/>
            <w:vAlign w:val="center"/>
          </w:tcPr>
          <w:p w14:paraId="5EEAC52D"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.474</w:t>
            </w:r>
          </w:p>
        </w:tc>
      </w:tr>
      <w:tr w:rsidR="00982B1C" w:rsidRPr="00582200" w14:paraId="7912028C"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2E936798" w14:textId="147D56CB"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11 Interpret results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67F9FB46"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.747</w:t>
            </w:r>
          </w:p>
        </w:tc>
        <w:tc>
          <w:tcPr>
            <w:tcW w:w="1805" w:type="dxa"/>
            <w:tcBorders>
              <w:top w:val="nil"/>
              <w:bottom w:val="nil"/>
            </w:tcBorders>
            <w:shd w:val="clear" w:color="auto" w:fill="FFFFFF"/>
            <w:vAlign w:val="center"/>
          </w:tcPr>
          <w:p w14:paraId="7C298A16"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-.170</w:t>
            </w:r>
          </w:p>
        </w:tc>
        <w:tc>
          <w:tcPr>
            <w:tcW w:w="1805" w:type="dxa"/>
            <w:tcBorders>
              <w:top w:val="nil"/>
              <w:bottom w:val="nil"/>
              <w:right w:val="single" w:sz="16" w:space="0" w:color="000000"/>
            </w:tcBorders>
            <w:shd w:val="clear" w:color="auto" w:fill="FFFFFF"/>
            <w:vAlign w:val="center"/>
          </w:tcPr>
          <w:p w14:paraId="60A37024"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.073</w:t>
            </w:r>
          </w:p>
        </w:tc>
      </w:tr>
      <w:tr w:rsidR="00982B1C" w:rsidRPr="00582200" w14:paraId="45CD320D"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42F89D29" w14:textId="27775342"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12 Documentation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56B201BD"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.669</w:t>
            </w:r>
          </w:p>
        </w:tc>
        <w:tc>
          <w:tcPr>
            <w:tcW w:w="1805" w:type="dxa"/>
            <w:tcBorders>
              <w:top w:val="nil"/>
              <w:bottom w:val="nil"/>
            </w:tcBorders>
            <w:shd w:val="clear" w:color="auto" w:fill="FFFFFF"/>
            <w:vAlign w:val="center"/>
          </w:tcPr>
          <w:p w14:paraId="05F99352"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-.093</w:t>
            </w:r>
          </w:p>
        </w:tc>
        <w:tc>
          <w:tcPr>
            <w:tcW w:w="1805" w:type="dxa"/>
            <w:tcBorders>
              <w:top w:val="nil"/>
              <w:bottom w:val="nil"/>
              <w:right w:val="single" w:sz="16" w:space="0" w:color="000000"/>
            </w:tcBorders>
            <w:shd w:val="clear" w:color="auto" w:fill="FFFFFF"/>
            <w:vAlign w:val="center"/>
          </w:tcPr>
          <w:p w14:paraId="5295543B"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.422</w:t>
            </w:r>
          </w:p>
        </w:tc>
      </w:tr>
      <w:tr w:rsidR="00982B1C" w:rsidRPr="00582200" w14:paraId="5E69459D"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6C05F5A9" w14:textId="27C1D695"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13 Communication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3BAE4589"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.689</w:t>
            </w:r>
          </w:p>
        </w:tc>
        <w:tc>
          <w:tcPr>
            <w:tcW w:w="1805" w:type="dxa"/>
            <w:tcBorders>
              <w:top w:val="nil"/>
              <w:bottom w:val="nil"/>
            </w:tcBorders>
            <w:shd w:val="clear" w:color="auto" w:fill="FFFFFF"/>
            <w:vAlign w:val="center"/>
          </w:tcPr>
          <w:p w14:paraId="27AE7D66"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.230</w:t>
            </w:r>
          </w:p>
        </w:tc>
        <w:tc>
          <w:tcPr>
            <w:tcW w:w="1805" w:type="dxa"/>
            <w:tcBorders>
              <w:top w:val="nil"/>
              <w:bottom w:val="nil"/>
              <w:right w:val="single" w:sz="16" w:space="0" w:color="000000"/>
            </w:tcBorders>
            <w:shd w:val="clear" w:color="auto" w:fill="FFFFFF"/>
            <w:vAlign w:val="center"/>
          </w:tcPr>
          <w:p w14:paraId="6C0D89B8"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.328</w:t>
            </w:r>
          </w:p>
        </w:tc>
      </w:tr>
      <w:tr w:rsidR="00982B1C" w:rsidRPr="00582200" w14:paraId="7A0FD47F"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07A075ED" w14:textId="5251D02B"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lastRenderedPageBreak/>
              <w:t xml:space="preserve">14 Stress Management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31D8A910"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.714</w:t>
            </w:r>
          </w:p>
        </w:tc>
        <w:tc>
          <w:tcPr>
            <w:tcW w:w="1805" w:type="dxa"/>
            <w:tcBorders>
              <w:top w:val="nil"/>
              <w:bottom w:val="nil"/>
            </w:tcBorders>
            <w:shd w:val="clear" w:color="auto" w:fill="FFFFFF"/>
            <w:vAlign w:val="center"/>
          </w:tcPr>
          <w:p w14:paraId="5FDAABD8"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.300</w:t>
            </w:r>
          </w:p>
        </w:tc>
        <w:tc>
          <w:tcPr>
            <w:tcW w:w="1805" w:type="dxa"/>
            <w:tcBorders>
              <w:top w:val="nil"/>
              <w:bottom w:val="nil"/>
              <w:right w:val="single" w:sz="16" w:space="0" w:color="000000"/>
            </w:tcBorders>
            <w:shd w:val="clear" w:color="auto" w:fill="FFFFFF"/>
            <w:vAlign w:val="center"/>
          </w:tcPr>
          <w:p w14:paraId="62FF5FEC"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-.038</w:t>
            </w:r>
          </w:p>
        </w:tc>
      </w:tr>
      <w:tr w:rsidR="00982B1C" w:rsidRPr="00582200" w14:paraId="681010B9"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4C57FE54" w14:textId="27ABEABF"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15 </w:t>
            </w:r>
            <w:proofErr w:type="spellStart"/>
            <w:r w:rsidRPr="006B027F">
              <w:rPr>
                <w:rFonts w:eastAsiaTheme="minorEastAsia" w:cs="Arial"/>
                <w:color w:val="000000"/>
                <w:sz w:val="20"/>
                <w:szCs w:val="20"/>
                <w:lang w:val="en-US"/>
              </w:rPr>
              <w:t>Recognise</w:t>
            </w:r>
            <w:proofErr w:type="spellEnd"/>
            <w:r w:rsidRPr="006B027F">
              <w:rPr>
                <w:rFonts w:eastAsiaTheme="minorEastAsia" w:cs="Arial"/>
                <w:color w:val="000000"/>
                <w:sz w:val="20"/>
                <w:szCs w:val="20"/>
                <w:lang w:val="en-US"/>
              </w:rPr>
              <w:t xml:space="preserve"> complaint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66C4AF76"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.617</w:t>
            </w:r>
          </w:p>
        </w:tc>
        <w:tc>
          <w:tcPr>
            <w:tcW w:w="1805" w:type="dxa"/>
            <w:tcBorders>
              <w:top w:val="nil"/>
              <w:bottom w:val="nil"/>
            </w:tcBorders>
            <w:shd w:val="clear" w:color="auto" w:fill="FFFFFF"/>
            <w:vAlign w:val="center"/>
          </w:tcPr>
          <w:p w14:paraId="228C1EA1"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.504</w:t>
            </w:r>
          </w:p>
        </w:tc>
        <w:tc>
          <w:tcPr>
            <w:tcW w:w="1805" w:type="dxa"/>
            <w:tcBorders>
              <w:top w:val="nil"/>
              <w:bottom w:val="nil"/>
              <w:right w:val="single" w:sz="16" w:space="0" w:color="000000"/>
            </w:tcBorders>
            <w:shd w:val="clear" w:color="auto" w:fill="FFFFFF"/>
            <w:vAlign w:val="center"/>
          </w:tcPr>
          <w:p w14:paraId="747FDB61"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.035</w:t>
            </w:r>
          </w:p>
        </w:tc>
      </w:tr>
      <w:tr w:rsidR="00982B1C" w:rsidRPr="00582200" w14:paraId="32E18620"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4B5E660B" w14:textId="09597529"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16 Verbal referral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7F7D8FDB"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.773</w:t>
            </w:r>
          </w:p>
        </w:tc>
        <w:tc>
          <w:tcPr>
            <w:tcW w:w="1805" w:type="dxa"/>
            <w:tcBorders>
              <w:top w:val="nil"/>
              <w:bottom w:val="nil"/>
            </w:tcBorders>
            <w:shd w:val="clear" w:color="auto" w:fill="FFFFFF"/>
            <w:vAlign w:val="center"/>
          </w:tcPr>
          <w:p w14:paraId="0F04B8ED"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.401</w:t>
            </w:r>
          </w:p>
        </w:tc>
        <w:tc>
          <w:tcPr>
            <w:tcW w:w="1805" w:type="dxa"/>
            <w:tcBorders>
              <w:top w:val="nil"/>
              <w:bottom w:val="nil"/>
              <w:right w:val="single" w:sz="16" w:space="0" w:color="000000"/>
            </w:tcBorders>
            <w:shd w:val="clear" w:color="auto" w:fill="FFFFFF"/>
            <w:vAlign w:val="center"/>
          </w:tcPr>
          <w:p w14:paraId="43371305"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-.015</w:t>
            </w:r>
          </w:p>
        </w:tc>
      </w:tr>
      <w:tr w:rsidR="00982B1C" w:rsidRPr="00582200" w14:paraId="51F76493" w14:textId="77777777" w:rsidTr="00982B1C">
        <w:trPr>
          <w:cantSplit/>
          <w:trHeight w:val="633"/>
        </w:trPr>
        <w:tc>
          <w:tcPr>
            <w:tcW w:w="3230" w:type="dxa"/>
            <w:tcBorders>
              <w:top w:val="nil"/>
              <w:left w:val="single" w:sz="16" w:space="0" w:color="000000"/>
              <w:bottom w:val="nil"/>
              <w:right w:val="single" w:sz="16" w:space="0" w:color="000000"/>
            </w:tcBorders>
            <w:shd w:val="clear" w:color="auto" w:fill="FFFFFF"/>
          </w:tcPr>
          <w:p w14:paraId="10E35544" w14:textId="47F05C38"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17 Leadership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7C4ACACC"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.731</w:t>
            </w:r>
          </w:p>
        </w:tc>
        <w:tc>
          <w:tcPr>
            <w:tcW w:w="1805" w:type="dxa"/>
            <w:tcBorders>
              <w:top w:val="nil"/>
              <w:bottom w:val="nil"/>
            </w:tcBorders>
            <w:shd w:val="clear" w:color="auto" w:fill="FFFFFF"/>
            <w:vAlign w:val="center"/>
          </w:tcPr>
          <w:p w14:paraId="5C52DDAF"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.485</w:t>
            </w:r>
          </w:p>
        </w:tc>
        <w:tc>
          <w:tcPr>
            <w:tcW w:w="1805" w:type="dxa"/>
            <w:tcBorders>
              <w:top w:val="nil"/>
              <w:bottom w:val="nil"/>
              <w:right w:val="single" w:sz="16" w:space="0" w:color="000000"/>
            </w:tcBorders>
            <w:shd w:val="clear" w:color="auto" w:fill="FFFFFF"/>
            <w:vAlign w:val="center"/>
          </w:tcPr>
          <w:p w14:paraId="720F59DD"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-.155</w:t>
            </w:r>
          </w:p>
        </w:tc>
      </w:tr>
      <w:tr w:rsidR="00982B1C" w:rsidRPr="00582200" w14:paraId="6CB9A958" w14:textId="77777777" w:rsidTr="00982B1C">
        <w:trPr>
          <w:cantSplit/>
          <w:trHeight w:val="633"/>
        </w:trPr>
        <w:tc>
          <w:tcPr>
            <w:tcW w:w="3230" w:type="dxa"/>
            <w:tcBorders>
              <w:top w:val="nil"/>
              <w:left w:val="single" w:sz="16" w:space="0" w:color="000000"/>
              <w:bottom w:val="nil"/>
              <w:right w:val="single" w:sz="16" w:space="0" w:color="000000"/>
            </w:tcBorders>
            <w:shd w:val="clear" w:color="auto" w:fill="FFFFFF"/>
          </w:tcPr>
          <w:p w14:paraId="1ADA4DD2" w14:textId="6B0E9E44"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18 Prescribing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43E832C7"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.780</w:t>
            </w:r>
          </w:p>
        </w:tc>
        <w:tc>
          <w:tcPr>
            <w:tcW w:w="1805" w:type="dxa"/>
            <w:tcBorders>
              <w:top w:val="nil"/>
              <w:bottom w:val="nil"/>
            </w:tcBorders>
            <w:shd w:val="clear" w:color="auto" w:fill="FFFFFF"/>
            <w:vAlign w:val="center"/>
          </w:tcPr>
          <w:p w14:paraId="3DF0CCB1"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.071</w:t>
            </w:r>
          </w:p>
        </w:tc>
        <w:tc>
          <w:tcPr>
            <w:tcW w:w="1805" w:type="dxa"/>
            <w:tcBorders>
              <w:top w:val="nil"/>
              <w:bottom w:val="nil"/>
              <w:right w:val="single" w:sz="16" w:space="0" w:color="000000"/>
            </w:tcBorders>
            <w:shd w:val="clear" w:color="auto" w:fill="FFFFFF"/>
            <w:vAlign w:val="center"/>
          </w:tcPr>
          <w:p w14:paraId="59E97851"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-.132</w:t>
            </w:r>
          </w:p>
        </w:tc>
      </w:tr>
      <w:tr w:rsidR="00982B1C" w:rsidRPr="00582200" w14:paraId="58A7C04A" w14:textId="77777777" w:rsidTr="00982B1C">
        <w:trPr>
          <w:cantSplit/>
          <w:trHeight w:val="949"/>
        </w:trPr>
        <w:tc>
          <w:tcPr>
            <w:tcW w:w="3230" w:type="dxa"/>
            <w:tcBorders>
              <w:top w:val="nil"/>
              <w:left w:val="single" w:sz="16" w:space="0" w:color="000000"/>
              <w:bottom w:val="nil"/>
              <w:right w:val="single" w:sz="16" w:space="0" w:color="000000"/>
            </w:tcBorders>
            <w:shd w:val="clear" w:color="auto" w:fill="FFFFFF"/>
          </w:tcPr>
          <w:p w14:paraId="29A280B8" w14:textId="1E521A3D"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19 Patient safety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nil"/>
            </w:tcBorders>
            <w:shd w:val="clear" w:color="auto" w:fill="FFFFFF"/>
            <w:vAlign w:val="center"/>
          </w:tcPr>
          <w:p w14:paraId="5A30CE1C"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.724</w:t>
            </w:r>
          </w:p>
        </w:tc>
        <w:tc>
          <w:tcPr>
            <w:tcW w:w="1805" w:type="dxa"/>
            <w:tcBorders>
              <w:top w:val="nil"/>
              <w:bottom w:val="nil"/>
            </w:tcBorders>
            <w:shd w:val="clear" w:color="auto" w:fill="FFFFFF"/>
            <w:vAlign w:val="center"/>
          </w:tcPr>
          <w:p w14:paraId="1D5FFC03"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-.116</w:t>
            </w:r>
          </w:p>
        </w:tc>
        <w:tc>
          <w:tcPr>
            <w:tcW w:w="1805" w:type="dxa"/>
            <w:tcBorders>
              <w:top w:val="nil"/>
              <w:bottom w:val="nil"/>
              <w:right w:val="single" w:sz="16" w:space="0" w:color="000000"/>
            </w:tcBorders>
            <w:shd w:val="clear" w:color="auto" w:fill="FFFFFF"/>
            <w:vAlign w:val="center"/>
          </w:tcPr>
          <w:p w14:paraId="0653D1E4"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.123</w:t>
            </w:r>
          </w:p>
        </w:tc>
      </w:tr>
      <w:tr w:rsidR="00982B1C" w:rsidRPr="00582200" w14:paraId="144C08F9" w14:textId="77777777" w:rsidTr="00982B1C">
        <w:trPr>
          <w:cantSplit/>
          <w:trHeight w:val="949"/>
        </w:trPr>
        <w:tc>
          <w:tcPr>
            <w:tcW w:w="3230" w:type="dxa"/>
            <w:tcBorders>
              <w:top w:val="nil"/>
              <w:left w:val="single" w:sz="16" w:space="0" w:color="000000"/>
              <w:bottom w:val="single" w:sz="16" w:space="0" w:color="000000"/>
              <w:right w:val="single" w:sz="16" w:space="0" w:color="000000"/>
            </w:tcBorders>
            <w:shd w:val="clear" w:color="auto" w:fill="FFFFFF"/>
          </w:tcPr>
          <w:p w14:paraId="3688B405" w14:textId="4EC55626" w:rsidR="00DA2EBE" w:rsidRPr="006B027F" w:rsidRDefault="00DA2EBE"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20 Overall confidence </w:t>
            </w:r>
            <w:r w:rsidR="001D42C9" w:rsidRPr="006B027F">
              <w:rPr>
                <w:rFonts w:eastAsiaTheme="minorEastAsia" w:cs="Arial"/>
                <w:color w:val="000000"/>
                <w:sz w:val="20"/>
                <w:szCs w:val="20"/>
                <w:lang w:val="en-US"/>
              </w:rPr>
              <w:t>Pre-course</w:t>
            </w:r>
          </w:p>
        </w:tc>
        <w:tc>
          <w:tcPr>
            <w:tcW w:w="1805" w:type="dxa"/>
            <w:tcBorders>
              <w:top w:val="nil"/>
              <w:left w:val="single" w:sz="16" w:space="0" w:color="000000"/>
              <w:bottom w:val="single" w:sz="16" w:space="0" w:color="000000"/>
            </w:tcBorders>
            <w:shd w:val="clear" w:color="auto" w:fill="FFFFFF"/>
            <w:vAlign w:val="center"/>
          </w:tcPr>
          <w:p w14:paraId="356EF531"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.777</w:t>
            </w:r>
          </w:p>
        </w:tc>
        <w:tc>
          <w:tcPr>
            <w:tcW w:w="1805" w:type="dxa"/>
            <w:tcBorders>
              <w:top w:val="nil"/>
              <w:bottom w:val="single" w:sz="16" w:space="0" w:color="000000"/>
            </w:tcBorders>
            <w:shd w:val="clear" w:color="auto" w:fill="FFFFFF"/>
            <w:vAlign w:val="center"/>
          </w:tcPr>
          <w:p w14:paraId="7CC11650"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-.059</w:t>
            </w:r>
          </w:p>
        </w:tc>
        <w:tc>
          <w:tcPr>
            <w:tcW w:w="1805" w:type="dxa"/>
            <w:tcBorders>
              <w:top w:val="nil"/>
              <w:bottom w:val="single" w:sz="16" w:space="0" w:color="000000"/>
              <w:right w:val="single" w:sz="16" w:space="0" w:color="000000"/>
            </w:tcBorders>
            <w:shd w:val="clear" w:color="auto" w:fill="FFFFFF"/>
            <w:vAlign w:val="center"/>
          </w:tcPr>
          <w:p w14:paraId="16820023" w14:textId="77777777" w:rsidR="00DA2EBE" w:rsidRPr="006B027F" w:rsidRDefault="00DA2EBE" w:rsidP="006B027F">
            <w:pPr>
              <w:widowControl w:val="0"/>
              <w:autoSpaceDE w:val="0"/>
              <w:autoSpaceDN w:val="0"/>
              <w:adjustRightInd w:val="0"/>
              <w:spacing w:before="0" w:after="0" w:line="240" w:lineRule="auto"/>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-.120</w:t>
            </w:r>
          </w:p>
        </w:tc>
      </w:tr>
      <w:tr w:rsidR="00DA2EBE" w:rsidRPr="00582200" w14:paraId="7270A11B" w14:textId="77777777" w:rsidTr="006B027F">
        <w:trPr>
          <w:cantSplit/>
          <w:trHeight w:val="633"/>
        </w:trPr>
        <w:tc>
          <w:tcPr>
            <w:tcW w:w="8647" w:type="dxa"/>
            <w:gridSpan w:val="4"/>
            <w:tcBorders>
              <w:top w:val="nil"/>
              <w:left w:val="nil"/>
              <w:bottom w:val="nil"/>
              <w:right w:val="nil"/>
            </w:tcBorders>
            <w:shd w:val="clear" w:color="auto" w:fill="FFFFFF"/>
          </w:tcPr>
          <w:p w14:paraId="4400EC28" w14:textId="77777777" w:rsidR="00DA2EBE" w:rsidRPr="00582200" w:rsidRDefault="00DA2EBE" w:rsidP="00DA2EBE">
            <w:pPr>
              <w:widowControl w:val="0"/>
              <w:autoSpaceDE w:val="0"/>
              <w:autoSpaceDN w:val="0"/>
              <w:adjustRightInd w:val="0"/>
              <w:spacing w:before="0" w:after="0" w:line="320" w:lineRule="atLeast"/>
              <w:ind w:left="60" w:right="60"/>
              <w:rPr>
                <w:rFonts w:eastAsiaTheme="minorEastAsia" w:cs="Arial"/>
                <w:color w:val="000000"/>
                <w:szCs w:val="24"/>
                <w:lang w:val="en-US"/>
              </w:rPr>
            </w:pPr>
            <w:r w:rsidRPr="00582200">
              <w:rPr>
                <w:rFonts w:eastAsiaTheme="minorEastAsia" w:cs="Arial"/>
                <w:color w:val="000000"/>
                <w:szCs w:val="24"/>
                <w:lang w:val="en-US"/>
              </w:rPr>
              <w:t>Extraction Method: Principal Component Analysis.</w:t>
            </w:r>
          </w:p>
        </w:tc>
      </w:tr>
      <w:tr w:rsidR="00DA2EBE" w:rsidRPr="00582200" w14:paraId="16667FE1" w14:textId="77777777" w:rsidTr="006B027F">
        <w:trPr>
          <w:cantSplit/>
          <w:trHeight w:val="316"/>
        </w:trPr>
        <w:tc>
          <w:tcPr>
            <w:tcW w:w="8647" w:type="dxa"/>
            <w:gridSpan w:val="4"/>
            <w:tcBorders>
              <w:top w:val="nil"/>
              <w:left w:val="nil"/>
              <w:bottom w:val="nil"/>
              <w:right w:val="nil"/>
            </w:tcBorders>
            <w:shd w:val="clear" w:color="auto" w:fill="FFFFFF"/>
          </w:tcPr>
          <w:p w14:paraId="65E17C32" w14:textId="77777777" w:rsidR="00DA2EBE" w:rsidRPr="00582200" w:rsidRDefault="00DA2EBE" w:rsidP="00DA2EBE">
            <w:pPr>
              <w:widowControl w:val="0"/>
              <w:autoSpaceDE w:val="0"/>
              <w:autoSpaceDN w:val="0"/>
              <w:adjustRightInd w:val="0"/>
              <w:spacing w:before="0" w:after="0" w:line="320" w:lineRule="atLeast"/>
              <w:ind w:left="60" w:right="60"/>
              <w:rPr>
                <w:rFonts w:eastAsiaTheme="minorEastAsia" w:cs="Arial"/>
                <w:color w:val="000000"/>
                <w:szCs w:val="24"/>
                <w:lang w:val="en-US"/>
              </w:rPr>
            </w:pPr>
            <w:r w:rsidRPr="00582200">
              <w:rPr>
                <w:rFonts w:eastAsiaTheme="minorEastAsia" w:cs="Arial"/>
                <w:color w:val="000000"/>
                <w:szCs w:val="24"/>
                <w:lang w:val="en-US"/>
              </w:rPr>
              <w:t>a. 3 components extracted.</w:t>
            </w:r>
          </w:p>
        </w:tc>
      </w:tr>
    </w:tbl>
    <w:p w14:paraId="75449BEC" w14:textId="77777777" w:rsidR="00DA2EBE" w:rsidRDefault="00DA2EBE"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65802040"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7F62222B"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72C5D38A"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2A514228"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0A63B71A"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2E740742"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34474C43"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2E4585A6"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3C250CF1"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746E5902"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48598B4D"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2E41E044"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30455BA2" w14:textId="77777777" w:rsidR="00982B1C"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6FD921E7" w14:textId="77777777" w:rsidR="00982B1C" w:rsidRPr="00582200" w:rsidRDefault="00982B1C" w:rsidP="00DA2EBE">
      <w:pPr>
        <w:widowControl w:val="0"/>
        <w:autoSpaceDE w:val="0"/>
        <w:autoSpaceDN w:val="0"/>
        <w:adjustRightInd w:val="0"/>
        <w:spacing w:before="0" w:after="0" w:line="400" w:lineRule="atLeast"/>
        <w:rPr>
          <w:rFonts w:ascii="Times New Roman" w:eastAsiaTheme="minorEastAsia" w:hAnsi="Times New Roman"/>
          <w:szCs w:val="24"/>
          <w:lang w:val="en-US"/>
        </w:rPr>
      </w:pPr>
    </w:p>
    <w:p w14:paraId="53D24C83" w14:textId="2EC5575C" w:rsidR="004628F3" w:rsidRDefault="0008209F" w:rsidP="006B027F">
      <w:pPr>
        <w:pStyle w:val="Heading2"/>
      </w:pPr>
      <w:bookmarkStart w:id="500" w:name="_Toc419116242"/>
      <w:r>
        <w:lastRenderedPageBreak/>
        <w:t>Tests of normality on baseline confidence scores</w:t>
      </w:r>
      <w:bookmarkEnd w:id="500"/>
    </w:p>
    <w:p w14:paraId="0C3F8123" w14:textId="77F682C4" w:rsidR="0008209F" w:rsidRDefault="0008209F" w:rsidP="003E116C">
      <w:r w:rsidRPr="00CC3C7E">
        <w:rPr>
          <w:rFonts w:cs="Arial"/>
          <w:b/>
          <w:bCs/>
          <w:color w:val="000000"/>
        </w:rPr>
        <w:t>Descriptives</w:t>
      </w:r>
    </w:p>
    <w:tbl>
      <w:tblPr>
        <w:tblW w:w="86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93"/>
        <w:gridCol w:w="2193"/>
        <w:gridCol w:w="1736"/>
        <w:gridCol w:w="1223"/>
        <w:gridCol w:w="1351"/>
      </w:tblGrid>
      <w:tr w:rsidR="00982B1C" w:rsidRPr="00CC3C7E" w14:paraId="25FD6924" w14:textId="77777777" w:rsidTr="00982B1C">
        <w:trPr>
          <w:cantSplit/>
          <w:trHeight w:val="1103"/>
        </w:trPr>
        <w:tc>
          <w:tcPr>
            <w:tcW w:w="6119" w:type="dxa"/>
            <w:gridSpan w:val="3"/>
            <w:tcBorders>
              <w:top w:val="single" w:sz="16" w:space="0" w:color="000000"/>
              <w:left w:val="single" w:sz="16" w:space="0" w:color="000000"/>
              <w:bottom w:val="single" w:sz="16" w:space="0" w:color="000000"/>
              <w:right w:val="nil"/>
            </w:tcBorders>
            <w:shd w:val="clear" w:color="auto" w:fill="FFFFFF"/>
            <w:vAlign w:val="bottom"/>
          </w:tcPr>
          <w:p w14:paraId="7CEF5C08"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1223" w:type="dxa"/>
            <w:tcBorders>
              <w:top w:val="single" w:sz="16" w:space="0" w:color="000000"/>
              <w:left w:val="single" w:sz="16" w:space="0" w:color="000000"/>
              <w:bottom w:val="single" w:sz="16" w:space="0" w:color="000000"/>
            </w:tcBorders>
            <w:shd w:val="clear" w:color="auto" w:fill="FFFFFF"/>
            <w:vAlign w:val="bottom"/>
          </w:tcPr>
          <w:p w14:paraId="05AA905A" w14:textId="77777777" w:rsidR="0008209F" w:rsidRPr="00CC3C7E" w:rsidRDefault="0008209F" w:rsidP="006B027F">
            <w:pPr>
              <w:widowControl w:val="0"/>
              <w:autoSpaceDE w:val="0"/>
              <w:autoSpaceDN w:val="0"/>
              <w:adjustRightInd w:val="0"/>
              <w:spacing w:line="240" w:lineRule="auto"/>
              <w:ind w:left="60" w:right="60"/>
              <w:jc w:val="center"/>
              <w:rPr>
                <w:rFonts w:cs="Arial"/>
                <w:color w:val="000000"/>
              </w:rPr>
            </w:pPr>
            <w:r w:rsidRPr="00CC3C7E">
              <w:rPr>
                <w:rFonts w:cs="Arial"/>
                <w:color w:val="000000"/>
              </w:rPr>
              <w:t>Statistic</w:t>
            </w:r>
          </w:p>
        </w:tc>
        <w:tc>
          <w:tcPr>
            <w:tcW w:w="1351" w:type="dxa"/>
            <w:tcBorders>
              <w:top w:val="single" w:sz="16" w:space="0" w:color="000000"/>
              <w:bottom w:val="single" w:sz="16" w:space="0" w:color="000000"/>
              <w:right w:val="single" w:sz="16" w:space="0" w:color="000000"/>
            </w:tcBorders>
            <w:shd w:val="clear" w:color="auto" w:fill="FFFFFF"/>
            <w:vAlign w:val="bottom"/>
          </w:tcPr>
          <w:p w14:paraId="7B708078" w14:textId="77777777" w:rsidR="0008209F" w:rsidRPr="00CC3C7E" w:rsidRDefault="0008209F" w:rsidP="006B027F">
            <w:pPr>
              <w:widowControl w:val="0"/>
              <w:autoSpaceDE w:val="0"/>
              <w:autoSpaceDN w:val="0"/>
              <w:adjustRightInd w:val="0"/>
              <w:spacing w:line="240" w:lineRule="auto"/>
              <w:ind w:left="60" w:right="60"/>
              <w:jc w:val="center"/>
              <w:rPr>
                <w:rFonts w:cs="Arial"/>
                <w:color w:val="000000"/>
              </w:rPr>
            </w:pPr>
            <w:r w:rsidRPr="00CC3C7E">
              <w:rPr>
                <w:rFonts w:cs="Arial"/>
                <w:color w:val="000000"/>
              </w:rPr>
              <w:t>Std. Error</w:t>
            </w:r>
          </w:p>
        </w:tc>
      </w:tr>
      <w:tr w:rsidR="00982B1C" w:rsidRPr="00CC3C7E" w14:paraId="4263FBE6" w14:textId="77777777" w:rsidTr="00982B1C">
        <w:trPr>
          <w:cantSplit/>
          <w:trHeight w:val="777"/>
        </w:trPr>
        <w:tc>
          <w:tcPr>
            <w:tcW w:w="2193" w:type="dxa"/>
            <w:vMerge w:val="restart"/>
            <w:tcBorders>
              <w:top w:val="single" w:sz="16" w:space="0" w:color="000000"/>
              <w:left w:val="single" w:sz="16" w:space="0" w:color="000000"/>
              <w:bottom w:val="single" w:sz="16" w:space="0" w:color="000000"/>
              <w:right w:val="nil"/>
            </w:tcBorders>
            <w:shd w:val="clear" w:color="auto" w:fill="FFFFFF"/>
          </w:tcPr>
          <w:p w14:paraId="05B75323" w14:textId="0386CE4B"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 xml:space="preserve">20 Overall confidence </w:t>
            </w:r>
            <w:r w:rsidR="001D42C9">
              <w:rPr>
                <w:rFonts w:cs="Arial"/>
                <w:color w:val="000000"/>
              </w:rPr>
              <w:t>Pre-course</w:t>
            </w:r>
          </w:p>
        </w:tc>
        <w:tc>
          <w:tcPr>
            <w:tcW w:w="3927" w:type="dxa"/>
            <w:gridSpan w:val="2"/>
            <w:tcBorders>
              <w:top w:val="single" w:sz="16" w:space="0" w:color="000000"/>
              <w:left w:val="nil"/>
              <w:right w:val="nil"/>
            </w:tcBorders>
            <w:shd w:val="clear" w:color="auto" w:fill="FFFFFF"/>
          </w:tcPr>
          <w:p w14:paraId="64FD1D03"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Mean</w:t>
            </w:r>
          </w:p>
        </w:tc>
        <w:tc>
          <w:tcPr>
            <w:tcW w:w="1223" w:type="dxa"/>
            <w:tcBorders>
              <w:top w:val="single" w:sz="16" w:space="0" w:color="000000"/>
              <w:left w:val="single" w:sz="16" w:space="0" w:color="000000"/>
            </w:tcBorders>
            <w:shd w:val="clear" w:color="auto" w:fill="FFFFFF"/>
            <w:vAlign w:val="center"/>
          </w:tcPr>
          <w:p w14:paraId="5D4ED7E0"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5.74</w:t>
            </w:r>
          </w:p>
        </w:tc>
        <w:tc>
          <w:tcPr>
            <w:tcW w:w="1351" w:type="dxa"/>
            <w:tcBorders>
              <w:top w:val="single" w:sz="16" w:space="0" w:color="000000"/>
              <w:right w:val="single" w:sz="16" w:space="0" w:color="000000"/>
            </w:tcBorders>
            <w:shd w:val="clear" w:color="auto" w:fill="FFFFFF"/>
            <w:vAlign w:val="center"/>
          </w:tcPr>
          <w:p w14:paraId="34BC99C5"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.123</w:t>
            </w:r>
          </w:p>
        </w:tc>
      </w:tr>
      <w:tr w:rsidR="00982B1C" w:rsidRPr="00CC3C7E" w14:paraId="4C4D75D9"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10C37E86" w14:textId="77777777" w:rsidR="0008209F" w:rsidRPr="00CC3C7E" w:rsidRDefault="0008209F" w:rsidP="006B027F">
            <w:pPr>
              <w:widowControl w:val="0"/>
              <w:autoSpaceDE w:val="0"/>
              <w:autoSpaceDN w:val="0"/>
              <w:adjustRightInd w:val="0"/>
              <w:spacing w:line="240" w:lineRule="auto"/>
              <w:rPr>
                <w:rFonts w:cs="Arial"/>
                <w:color w:val="000000"/>
              </w:rPr>
            </w:pPr>
          </w:p>
        </w:tc>
        <w:tc>
          <w:tcPr>
            <w:tcW w:w="2193" w:type="dxa"/>
            <w:vMerge w:val="restart"/>
            <w:tcBorders>
              <w:top w:val="nil"/>
              <w:left w:val="nil"/>
              <w:right w:val="nil"/>
            </w:tcBorders>
            <w:shd w:val="clear" w:color="auto" w:fill="FFFFFF"/>
          </w:tcPr>
          <w:p w14:paraId="36D99799"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95% Confidence Interval for Mean</w:t>
            </w:r>
          </w:p>
        </w:tc>
        <w:tc>
          <w:tcPr>
            <w:tcW w:w="1736" w:type="dxa"/>
            <w:tcBorders>
              <w:top w:val="nil"/>
              <w:left w:val="nil"/>
              <w:bottom w:val="nil"/>
              <w:right w:val="single" w:sz="16" w:space="0" w:color="000000"/>
            </w:tcBorders>
            <w:shd w:val="clear" w:color="auto" w:fill="FFFFFF"/>
          </w:tcPr>
          <w:p w14:paraId="549995E8"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Lower Bound</w:t>
            </w:r>
          </w:p>
        </w:tc>
        <w:tc>
          <w:tcPr>
            <w:tcW w:w="1223" w:type="dxa"/>
            <w:tcBorders>
              <w:top w:val="nil"/>
              <w:left w:val="single" w:sz="16" w:space="0" w:color="000000"/>
              <w:bottom w:val="nil"/>
            </w:tcBorders>
            <w:shd w:val="clear" w:color="auto" w:fill="FFFFFF"/>
            <w:vAlign w:val="center"/>
          </w:tcPr>
          <w:p w14:paraId="2318D081"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5.50</w:t>
            </w:r>
          </w:p>
        </w:tc>
        <w:tc>
          <w:tcPr>
            <w:tcW w:w="1351" w:type="dxa"/>
            <w:tcBorders>
              <w:top w:val="nil"/>
              <w:bottom w:val="nil"/>
              <w:right w:val="single" w:sz="16" w:space="0" w:color="000000"/>
            </w:tcBorders>
            <w:shd w:val="clear" w:color="auto" w:fill="FFFFFF"/>
            <w:vAlign w:val="center"/>
          </w:tcPr>
          <w:p w14:paraId="0A03BBEF"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r>
      <w:tr w:rsidR="00982B1C" w:rsidRPr="00CC3C7E" w14:paraId="28D46005"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52AEDE3F"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2193" w:type="dxa"/>
            <w:vMerge/>
            <w:tcBorders>
              <w:top w:val="nil"/>
              <w:left w:val="nil"/>
              <w:right w:val="nil"/>
            </w:tcBorders>
            <w:shd w:val="clear" w:color="auto" w:fill="FFFFFF"/>
          </w:tcPr>
          <w:p w14:paraId="1990FD9E"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1736" w:type="dxa"/>
            <w:tcBorders>
              <w:top w:val="nil"/>
              <w:left w:val="nil"/>
              <w:right w:val="single" w:sz="16" w:space="0" w:color="000000"/>
            </w:tcBorders>
            <w:shd w:val="clear" w:color="auto" w:fill="FFFFFF"/>
          </w:tcPr>
          <w:p w14:paraId="6A5E4AFF"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Upper Bound</w:t>
            </w:r>
          </w:p>
        </w:tc>
        <w:tc>
          <w:tcPr>
            <w:tcW w:w="1223" w:type="dxa"/>
            <w:tcBorders>
              <w:top w:val="nil"/>
              <w:left w:val="single" w:sz="16" w:space="0" w:color="000000"/>
            </w:tcBorders>
            <w:shd w:val="clear" w:color="auto" w:fill="FFFFFF"/>
            <w:vAlign w:val="center"/>
          </w:tcPr>
          <w:p w14:paraId="3E70061B"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5.99</w:t>
            </w:r>
          </w:p>
        </w:tc>
        <w:tc>
          <w:tcPr>
            <w:tcW w:w="1351" w:type="dxa"/>
            <w:tcBorders>
              <w:top w:val="nil"/>
              <w:right w:val="single" w:sz="16" w:space="0" w:color="000000"/>
            </w:tcBorders>
            <w:shd w:val="clear" w:color="auto" w:fill="FFFFFF"/>
            <w:vAlign w:val="center"/>
          </w:tcPr>
          <w:p w14:paraId="6AA7221B"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r>
      <w:tr w:rsidR="00982B1C" w:rsidRPr="00CC3C7E" w14:paraId="0C441B29"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76745D1B"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3927" w:type="dxa"/>
            <w:gridSpan w:val="2"/>
            <w:tcBorders>
              <w:top w:val="nil"/>
              <w:left w:val="nil"/>
              <w:right w:val="nil"/>
            </w:tcBorders>
            <w:shd w:val="clear" w:color="auto" w:fill="FFFFFF"/>
          </w:tcPr>
          <w:p w14:paraId="6924C4F9"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5% Trimmed Mean</w:t>
            </w:r>
          </w:p>
        </w:tc>
        <w:tc>
          <w:tcPr>
            <w:tcW w:w="1223" w:type="dxa"/>
            <w:tcBorders>
              <w:top w:val="nil"/>
              <w:left w:val="single" w:sz="16" w:space="0" w:color="000000"/>
            </w:tcBorders>
            <w:shd w:val="clear" w:color="auto" w:fill="FFFFFF"/>
            <w:vAlign w:val="center"/>
          </w:tcPr>
          <w:p w14:paraId="42A58183"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5.76</w:t>
            </w:r>
          </w:p>
        </w:tc>
        <w:tc>
          <w:tcPr>
            <w:tcW w:w="1351" w:type="dxa"/>
            <w:tcBorders>
              <w:top w:val="nil"/>
              <w:right w:val="single" w:sz="16" w:space="0" w:color="000000"/>
            </w:tcBorders>
            <w:shd w:val="clear" w:color="auto" w:fill="FFFFFF"/>
            <w:vAlign w:val="center"/>
          </w:tcPr>
          <w:p w14:paraId="62665E7F"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r>
      <w:tr w:rsidR="00982B1C" w:rsidRPr="00CC3C7E" w14:paraId="7A61D77F"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2BD2B263"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3927" w:type="dxa"/>
            <w:gridSpan w:val="2"/>
            <w:tcBorders>
              <w:top w:val="nil"/>
              <w:left w:val="nil"/>
              <w:right w:val="nil"/>
            </w:tcBorders>
            <w:shd w:val="clear" w:color="auto" w:fill="FFFFFF"/>
          </w:tcPr>
          <w:p w14:paraId="4D12462C"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Median</w:t>
            </w:r>
          </w:p>
        </w:tc>
        <w:tc>
          <w:tcPr>
            <w:tcW w:w="1223" w:type="dxa"/>
            <w:tcBorders>
              <w:top w:val="nil"/>
              <w:left w:val="single" w:sz="16" w:space="0" w:color="000000"/>
            </w:tcBorders>
            <w:shd w:val="clear" w:color="auto" w:fill="FFFFFF"/>
            <w:vAlign w:val="center"/>
          </w:tcPr>
          <w:p w14:paraId="511AE764"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6.00</w:t>
            </w:r>
          </w:p>
        </w:tc>
        <w:tc>
          <w:tcPr>
            <w:tcW w:w="1351" w:type="dxa"/>
            <w:tcBorders>
              <w:top w:val="nil"/>
              <w:right w:val="single" w:sz="16" w:space="0" w:color="000000"/>
            </w:tcBorders>
            <w:shd w:val="clear" w:color="auto" w:fill="FFFFFF"/>
            <w:vAlign w:val="center"/>
          </w:tcPr>
          <w:p w14:paraId="102BC644"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r>
      <w:tr w:rsidR="00982B1C" w:rsidRPr="00CC3C7E" w14:paraId="2132303A"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16951734"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3927" w:type="dxa"/>
            <w:gridSpan w:val="2"/>
            <w:tcBorders>
              <w:top w:val="nil"/>
              <w:left w:val="nil"/>
              <w:right w:val="nil"/>
            </w:tcBorders>
            <w:shd w:val="clear" w:color="auto" w:fill="FFFFFF"/>
          </w:tcPr>
          <w:p w14:paraId="70A7E74D"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Variance</w:t>
            </w:r>
          </w:p>
        </w:tc>
        <w:tc>
          <w:tcPr>
            <w:tcW w:w="1223" w:type="dxa"/>
            <w:tcBorders>
              <w:top w:val="nil"/>
              <w:left w:val="single" w:sz="16" w:space="0" w:color="000000"/>
            </w:tcBorders>
            <w:shd w:val="clear" w:color="auto" w:fill="FFFFFF"/>
            <w:vAlign w:val="center"/>
          </w:tcPr>
          <w:p w14:paraId="746164C3"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1.418</w:t>
            </w:r>
          </w:p>
        </w:tc>
        <w:tc>
          <w:tcPr>
            <w:tcW w:w="1351" w:type="dxa"/>
            <w:tcBorders>
              <w:top w:val="nil"/>
              <w:right w:val="single" w:sz="16" w:space="0" w:color="000000"/>
            </w:tcBorders>
            <w:shd w:val="clear" w:color="auto" w:fill="FFFFFF"/>
            <w:vAlign w:val="center"/>
          </w:tcPr>
          <w:p w14:paraId="57638D57"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r>
      <w:tr w:rsidR="00982B1C" w:rsidRPr="00CC3C7E" w14:paraId="569501D8"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1D70F0F2"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3927" w:type="dxa"/>
            <w:gridSpan w:val="2"/>
            <w:tcBorders>
              <w:top w:val="nil"/>
              <w:left w:val="nil"/>
              <w:right w:val="nil"/>
            </w:tcBorders>
            <w:shd w:val="clear" w:color="auto" w:fill="FFFFFF"/>
          </w:tcPr>
          <w:p w14:paraId="10D83F85"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Std. Deviation</w:t>
            </w:r>
          </w:p>
        </w:tc>
        <w:tc>
          <w:tcPr>
            <w:tcW w:w="1223" w:type="dxa"/>
            <w:tcBorders>
              <w:top w:val="nil"/>
              <w:left w:val="single" w:sz="16" w:space="0" w:color="000000"/>
            </w:tcBorders>
            <w:shd w:val="clear" w:color="auto" w:fill="FFFFFF"/>
            <w:vAlign w:val="center"/>
          </w:tcPr>
          <w:p w14:paraId="53098F5B"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1.191</w:t>
            </w:r>
          </w:p>
        </w:tc>
        <w:tc>
          <w:tcPr>
            <w:tcW w:w="1351" w:type="dxa"/>
            <w:tcBorders>
              <w:top w:val="nil"/>
              <w:right w:val="single" w:sz="16" w:space="0" w:color="000000"/>
            </w:tcBorders>
            <w:shd w:val="clear" w:color="auto" w:fill="FFFFFF"/>
            <w:vAlign w:val="center"/>
          </w:tcPr>
          <w:p w14:paraId="30CD7F2F"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r>
      <w:tr w:rsidR="00982B1C" w:rsidRPr="00CC3C7E" w14:paraId="59D7D516"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2D749828"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3927" w:type="dxa"/>
            <w:gridSpan w:val="2"/>
            <w:tcBorders>
              <w:top w:val="nil"/>
              <w:left w:val="nil"/>
              <w:right w:val="nil"/>
            </w:tcBorders>
            <w:shd w:val="clear" w:color="auto" w:fill="FFFFFF"/>
          </w:tcPr>
          <w:p w14:paraId="6CFE0474"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Minimum</w:t>
            </w:r>
          </w:p>
        </w:tc>
        <w:tc>
          <w:tcPr>
            <w:tcW w:w="1223" w:type="dxa"/>
            <w:tcBorders>
              <w:top w:val="nil"/>
              <w:left w:val="single" w:sz="16" w:space="0" w:color="000000"/>
            </w:tcBorders>
            <w:shd w:val="clear" w:color="auto" w:fill="FFFFFF"/>
            <w:vAlign w:val="center"/>
          </w:tcPr>
          <w:p w14:paraId="67FDD2BF"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3</w:t>
            </w:r>
          </w:p>
        </w:tc>
        <w:tc>
          <w:tcPr>
            <w:tcW w:w="1351" w:type="dxa"/>
            <w:tcBorders>
              <w:top w:val="nil"/>
              <w:right w:val="single" w:sz="16" w:space="0" w:color="000000"/>
            </w:tcBorders>
            <w:shd w:val="clear" w:color="auto" w:fill="FFFFFF"/>
            <w:vAlign w:val="center"/>
          </w:tcPr>
          <w:p w14:paraId="0F8AC5ED"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r>
      <w:tr w:rsidR="00982B1C" w:rsidRPr="00CC3C7E" w14:paraId="630C3E78"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48168B7A"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3927" w:type="dxa"/>
            <w:gridSpan w:val="2"/>
            <w:tcBorders>
              <w:top w:val="nil"/>
              <w:left w:val="nil"/>
              <w:right w:val="nil"/>
            </w:tcBorders>
            <w:shd w:val="clear" w:color="auto" w:fill="FFFFFF"/>
          </w:tcPr>
          <w:p w14:paraId="23F1A309"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Maximum</w:t>
            </w:r>
          </w:p>
        </w:tc>
        <w:tc>
          <w:tcPr>
            <w:tcW w:w="1223" w:type="dxa"/>
            <w:tcBorders>
              <w:top w:val="nil"/>
              <w:left w:val="single" w:sz="16" w:space="0" w:color="000000"/>
            </w:tcBorders>
            <w:shd w:val="clear" w:color="auto" w:fill="FFFFFF"/>
            <w:vAlign w:val="center"/>
          </w:tcPr>
          <w:p w14:paraId="08085056"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8</w:t>
            </w:r>
          </w:p>
        </w:tc>
        <w:tc>
          <w:tcPr>
            <w:tcW w:w="1351" w:type="dxa"/>
            <w:tcBorders>
              <w:top w:val="nil"/>
              <w:right w:val="single" w:sz="16" w:space="0" w:color="000000"/>
            </w:tcBorders>
            <w:shd w:val="clear" w:color="auto" w:fill="FFFFFF"/>
            <w:vAlign w:val="center"/>
          </w:tcPr>
          <w:p w14:paraId="41FEB255"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r>
      <w:tr w:rsidR="00982B1C" w:rsidRPr="00CC3C7E" w14:paraId="484F283B"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67C56865"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3927" w:type="dxa"/>
            <w:gridSpan w:val="2"/>
            <w:tcBorders>
              <w:top w:val="nil"/>
              <w:left w:val="nil"/>
              <w:right w:val="nil"/>
            </w:tcBorders>
            <w:shd w:val="clear" w:color="auto" w:fill="FFFFFF"/>
          </w:tcPr>
          <w:p w14:paraId="1B42CCA0"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Range</w:t>
            </w:r>
          </w:p>
        </w:tc>
        <w:tc>
          <w:tcPr>
            <w:tcW w:w="1223" w:type="dxa"/>
            <w:tcBorders>
              <w:top w:val="nil"/>
              <w:left w:val="single" w:sz="16" w:space="0" w:color="000000"/>
            </w:tcBorders>
            <w:shd w:val="clear" w:color="auto" w:fill="FFFFFF"/>
            <w:vAlign w:val="center"/>
          </w:tcPr>
          <w:p w14:paraId="6CB0D91C"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5</w:t>
            </w:r>
          </w:p>
        </w:tc>
        <w:tc>
          <w:tcPr>
            <w:tcW w:w="1351" w:type="dxa"/>
            <w:tcBorders>
              <w:top w:val="nil"/>
              <w:right w:val="single" w:sz="16" w:space="0" w:color="000000"/>
            </w:tcBorders>
            <w:shd w:val="clear" w:color="auto" w:fill="FFFFFF"/>
            <w:vAlign w:val="center"/>
          </w:tcPr>
          <w:p w14:paraId="5785EFD8" w14:textId="77777777" w:rsidR="0008209F" w:rsidRPr="00CC3C7E" w:rsidRDefault="0008209F" w:rsidP="006B027F">
            <w:pPr>
              <w:widowControl w:val="0"/>
              <w:autoSpaceDE w:val="0"/>
              <w:autoSpaceDN w:val="0"/>
              <w:adjustRightInd w:val="0"/>
              <w:spacing w:line="240" w:lineRule="auto"/>
              <w:rPr>
                <w:rFonts w:ascii="Times New Roman" w:hAnsi="Times New Roman"/>
                <w:b/>
                <w:bCs/>
                <w:sz w:val="32"/>
                <w:u w:val="single"/>
              </w:rPr>
            </w:pPr>
          </w:p>
        </w:tc>
      </w:tr>
      <w:tr w:rsidR="00982B1C" w:rsidRPr="00CC3C7E" w14:paraId="43BA531A"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1FC73574"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3927" w:type="dxa"/>
            <w:gridSpan w:val="2"/>
            <w:tcBorders>
              <w:top w:val="nil"/>
              <w:left w:val="nil"/>
              <w:right w:val="nil"/>
            </w:tcBorders>
            <w:shd w:val="clear" w:color="auto" w:fill="FFFFFF"/>
          </w:tcPr>
          <w:p w14:paraId="385A6AB3"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Interquartile Range</w:t>
            </w:r>
          </w:p>
        </w:tc>
        <w:tc>
          <w:tcPr>
            <w:tcW w:w="1223" w:type="dxa"/>
            <w:tcBorders>
              <w:top w:val="nil"/>
              <w:left w:val="single" w:sz="16" w:space="0" w:color="000000"/>
            </w:tcBorders>
            <w:shd w:val="clear" w:color="auto" w:fill="FFFFFF"/>
            <w:vAlign w:val="center"/>
          </w:tcPr>
          <w:p w14:paraId="7FBC1A68"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2</w:t>
            </w:r>
          </w:p>
        </w:tc>
        <w:tc>
          <w:tcPr>
            <w:tcW w:w="1351" w:type="dxa"/>
            <w:tcBorders>
              <w:top w:val="nil"/>
              <w:right w:val="single" w:sz="16" w:space="0" w:color="000000"/>
            </w:tcBorders>
            <w:shd w:val="clear" w:color="auto" w:fill="FFFFFF"/>
            <w:vAlign w:val="center"/>
          </w:tcPr>
          <w:p w14:paraId="6E4E0FA0"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r>
      <w:tr w:rsidR="00982B1C" w:rsidRPr="00CC3C7E" w14:paraId="272639E3"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5E12EE86" w14:textId="77777777" w:rsidR="0008209F" w:rsidRPr="00CC3C7E" w:rsidRDefault="0008209F" w:rsidP="006B027F">
            <w:pPr>
              <w:widowControl w:val="0"/>
              <w:autoSpaceDE w:val="0"/>
              <w:autoSpaceDN w:val="0"/>
              <w:adjustRightInd w:val="0"/>
              <w:spacing w:line="240" w:lineRule="auto"/>
              <w:rPr>
                <w:rFonts w:ascii="Times New Roman" w:hAnsi="Times New Roman"/>
              </w:rPr>
            </w:pPr>
          </w:p>
        </w:tc>
        <w:tc>
          <w:tcPr>
            <w:tcW w:w="3927" w:type="dxa"/>
            <w:gridSpan w:val="2"/>
            <w:tcBorders>
              <w:top w:val="nil"/>
              <w:left w:val="nil"/>
              <w:right w:val="nil"/>
            </w:tcBorders>
            <w:shd w:val="clear" w:color="auto" w:fill="FFFFFF"/>
          </w:tcPr>
          <w:p w14:paraId="175581F8"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Skewness</w:t>
            </w:r>
          </w:p>
        </w:tc>
        <w:tc>
          <w:tcPr>
            <w:tcW w:w="1223" w:type="dxa"/>
            <w:tcBorders>
              <w:top w:val="nil"/>
              <w:left w:val="single" w:sz="16" w:space="0" w:color="000000"/>
            </w:tcBorders>
            <w:shd w:val="clear" w:color="auto" w:fill="FFFFFF"/>
            <w:vAlign w:val="center"/>
          </w:tcPr>
          <w:p w14:paraId="4667C12A"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-.270</w:t>
            </w:r>
          </w:p>
        </w:tc>
        <w:tc>
          <w:tcPr>
            <w:tcW w:w="1351" w:type="dxa"/>
            <w:tcBorders>
              <w:top w:val="nil"/>
              <w:right w:val="single" w:sz="16" w:space="0" w:color="000000"/>
            </w:tcBorders>
            <w:shd w:val="clear" w:color="auto" w:fill="FFFFFF"/>
            <w:vAlign w:val="center"/>
          </w:tcPr>
          <w:p w14:paraId="156A3955"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.249</w:t>
            </w:r>
          </w:p>
        </w:tc>
      </w:tr>
      <w:tr w:rsidR="00982B1C" w:rsidRPr="00CC3C7E" w14:paraId="1D20C6FB" w14:textId="77777777" w:rsidTr="00982B1C">
        <w:trPr>
          <w:cantSplit/>
          <w:trHeight w:val="147"/>
        </w:trPr>
        <w:tc>
          <w:tcPr>
            <w:tcW w:w="2193" w:type="dxa"/>
            <w:vMerge/>
            <w:tcBorders>
              <w:top w:val="single" w:sz="16" w:space="0" w:color="000000"/>
              <w:left w:val="single" w:sz="16" w:space="0" w:color="000000"/>
              <w:bottom w:val="single" w:sz="16" w:space="0" w:color="000000"/>
              <w:right w:val="nil"/>
            </w:tcBorders>
            <w:shd w:val="clear" w:color="auto" w:fill="FFFFFF"/>
          </w:tcPr>
          <w:p w14:paraId="0087824D" w14:textId="77777777" w:rsidR="0008209F" w:rsidRPr="00CC3C7E" w:rsidRDefault="0008209F" w:rsidP="006B027F">
            <w:pPr>
              <w:widowControl w:val="0"/>
              <w:autoSpaceDE w:val="0"/>
              <w:autoSpaceDN w:val="0"/>
              <w:adjustRightInd w:val="0"/>
              <w:spacing w:line="240" w:lineRule="auto"/>
              <w:rPr>
                <w:rFonts w:cs="Arial"/>
                <w:color w:val="000000"/>
              </w:rPr>
            </w:pPr>
          </w:p>
        </w:tc>
        <w:tc>
          <w:tcPr>
            <w:tcW w:w="3927" w:type="dxa"/>
            <w:gridSpan w:val="2"/>
            <w:tcBorders>
              <w:top w:val="nil"/>
              <w:left w:val="nil"/>
              <w:bottom w:val="single" w:sz="16" w:space="0" w:color="000000"/>
              <w:right w:val="nil"/>
            </w:tcBorders>
            <w:shd w:val="clear" w:color="auto" w:fill="FFFFFF"/>
          </w:tcPr>
          <w:p w14:paraId="699E665D" w14:textId="77777777" w:rsidR="0008209F" w:rsidRPr="00CC3C7E" w:rsidRDefault="0008209F" w:rsidP="006B027F">
            <w:pPr>
              <w:widowControl w:val="0"/>
              <w:autoSpaceDE w:val="0"/>
              <w:autoSpaceDN w:val="0"/>
              <w:adjustRightInd w:val="0"/>
              <w:spacing w:line="240" w:lineRule="auto"/>
              <w:ind w:left="60" w:right="60"/>
              <w:rPr>
                <w:rFonts w:cs="Arial"/>
                <w:color w:val="000000"/>
              </w:rPr>
            </w:pPr>
            <w:r w:rsidRPr="00CC3C7E">
              <w:rPr>
                <w:rFonts w:cs="Arial"/>
                <w:color w:val="000000"/>
              </w:rPr>
              <w:t>Kurtosis</w:t>
            </w:r>
          </w:p>
        </w:tc>
        <w:tc>
          <w:tcPr>
            <w:tcW w:w="1223" w:type="dxa"/>
            <w:tcBorders>
              <w:top w:val="nil"/>
              <w:left w:val="single" w:sz="16" w:space="0" w:color="000000"/>
              <w:bottom w:val="single" w:sz="16" w:space="0" w:color="000000"/>
            </w:tcBorders>
            <w:shd w:val="clear" w:color="auto" w:fill="FFFFFF"/>
            <w:vAlign w:val="center"/>
          </w:tcPr>
          <w:p w14:paraId="7CC9E5EF"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-.249</w:t>
            </w:r>
          </w:p>
        </w:tc>
        <w:tc>
          <w:tcPr>
            <w:tcW w:w="1351" w:type="dxa"/>
            <w:tcBorders>
              <w:top w:val="nil"/>
              <w:bottom w:val="single" w:sz="16" w:space="0" w:color="000000"/>
              <w:right w:val="single" w:sz="16" w:space="0" w:color="000000"/>
            </w:tcBorders>
            <w:shd w:val="clear" w:color="auto" w:fill="FFFFFF"/>
            <w:vAlign w:val="center"/>
          </w:tcPr>
          <w:p w14:paraId="6886F98F" w14:textId="77777777" w:rsidR="0008209F" w:rsidRPr="00CC3C7E" w:rsidRDefault="0008209F" w:rsidP="006B027F">
            <w:pPr>
              <w:widowControl w:val="0"/>
              <w:autoSpaceDE w:val="0"/>
              <w:autoSpaceDN w:val="0"/>
              <w:adjustRightInd w:val="0"/>
              <w:spacing w:line="240" w:lineRule="auto"/>
              <w:ind w:left="60" w:right="60"/>
              <w:jc w:val="right"/>
              <w:rPr>
                <w:rFonts w:cs="Arial"/>
                <w:color w:val="000000"/>
              </w:rPr>
            </w:pPr>
            <w:r w:rsidRPr="00CC3C7E">
              <w:rPr>
                <w:rFonts w:cs="Arial"/>
                <w:color w:val="000000"/>
              </w:rPr>
              <w:t>.493</w:t>
            </w:r>
          </w:p>
        </w:tc>
      </w:tr>
    </w:tbl>
    <w:p w14:paraId="0D7E5178" w14:textId="77777777" w:rsidR="0008209F" w:rsidRDefault="0008209F" w:rsidP="0008209F">
      <w:r>
        <w:t>Skewness close to 0 at -0.27, 0 = no skewness</w:t>
      </w:r>
    </w:p>
    <w:p w14:paraId="42082A9B" w14:textId="77777777" w:rsidR="0008209F" w:rsidRDefault="0008209F" w:rsidP="0008209F">
      <w:r>
        <w:t>Kurtosis close to 0 at -0.23</w:t>
      </w:r>
    </w:p>
    <w:tbl>
      <w:tblPr>
        <w:tblW w:w="82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88"/>
        <w:gridCol w:w="1054"/>
        <w:gridCol w:w="1054"/>
        <w:gridCol w:w="1055"/>
        <w:gridCol w:w="1055"/>
        <w:gridCol w:w="1055"/>
        <w:gridCol w:w="1055"/>
      </w:tblGrid>
      <w:tr w:rsidR="0008209F" w:rsidRPr="00CC3C7E" w14:paraId="07B61FCD" w14:textId="77777777" w:rsidTr="002B1609">
        <w:trPr>
          <w:cantSplit/>
        </w:trPr>
        <w:tc>
          <w:tcPr>
            <w:tcW w:w="8216" w:type="dxa"/>
            <w:gridSpan w:val="7"/>
            <w:tcBorders>
              <w:top w:val="nil"/>
              <w:left w:val="nil"/>
              <w:bottom w:val="nil"/>
              <w:right w:val="nil"/>
            </w:tcBorders>
            <w:shd w:val="clear" w:color="auto" w:fill="FFFFFF"/>
            <w:vAlign w:val="center"/>
          </w:tcPr>
          <w:p w14:paraId="4E57571F" w14:textId="77777777" w:rsidR="0008209F" w:rsidRPr="00CC3C7E" w:rsidRDefault="0008209F" w:rsidP="002B1609">
            <w:pPr>
              <w:widowControl w:val="0"/>
              <w:autoSpaceDE w:val="0"/>
              <w:autoSpaceDN w:val="0"/>
              <w:adjustRightInd w:val="0"/>
              <w:spacing w:line="320" w:lineRule="atLeast"/>
              <w:ind w:left="60" w:right="60"/>
              <w:jc w:val="center"/>
              <w:rPr>
                <w:rFonts w:cs="Arial"/>
                <w:color w:val="000000"/>
              </w:rPr>
            </w:pPr>
            <w:r w:rsidRPr="00CC3C7E">
              <w:rPr>
                <w:rFonts w:cs="Arial"/>
                <w:b/>
                <w:bCs/>
                <w:color w:val="000000"/>
              </w:rPr>
              <w:lastRenderedPageBreak/>
              <w:t>Tests of Normality</w:t>
            </w:r>
          </w:p>
        </w:tc>
      </w:tr>
      <w:tr w:rsidR="0008209F" w:rsidRPr="00CC3C7E" w14:paraId="6882E3D6" w14:textId="77777777" w:rsidTr="002B1609">
        <w:trPr>
          <w:cantSplit/>
        </w:trPr>
        <w:tc>
          <w:tcPr>
            <w:tcW w:w="1888" w:type="dxa"/>
            <w:vMerge w:val="restart"/>
            <w:tcBorders>
              <w:top w:val="single" w:sz="16" w:space="0" w:color="000000"/>
              <w:left w:val="single" w:sz="16" w:space="0" w:color="000000"/>
              <w:bottom w:val="nil"/>
              <w:right w:val="single" w:sz="16" w:space="0" w:color="000000"/>
            </w:tcBorders>
            <w:shd w:val="clear" w:color="auto" w:fill="FFFFFF"/>
            <w:vAlign w:val="bottom"/>
          </w:tcPr>
          <w:p w14:paraId="70EE9F49" w14:textId="77777777" w:rsidR="0008209F" w:rsidRPr="00CC3C7E" w:rsidRDefault="0008209F" w:rsidP="002B1609">
            <w:pPr>
              <w:widowControl w:val="0"/>
              <w:autoSpaceDE w:val="0"/>
              <w:autoSpaceDN w:val="0"/>
              <w:adjustRightInd w:val="0"/>
              <w:rPr>
                <w:rFonts w:ascii="Times New Roman" w:hAnsi="Times New Roman"/>
              </w:rPr>
            </w:pPr>
          </w:p>
        </w:tc>
        <w:tc>
          <w:tcPr>
            <w:tcW w:w="3163" w:type="dxa"/>
            <w:gridSpan w:val="3"/>
            <w:tcBorders>
              <w:top w:val="single" w:sz="16" w:space="0" w:color="000000"/>
              <w:left w:val="single" w:sz="16" w:space="0" w:color="000000"/>
            </w:tcBorders>
            <w:shd w:val="clear" w:color="auto" w:fill="FFFFFF"/>
            <w:vAlign w:val="bottom"/>
          </w:tcPr>
          <w:p w14:paraId="0D61ACFB" w14:textId="77777777" w:rsidR="0008209F" w:rsidRPr="00CC3C7E" w:rsidRDefault="0008209F" w:rsidP="002B1609">
            <w:pPr>
              <w:widowControl w:val="0"/>
              <w:autoSpaceDE w:val="0"/>
              <w:autoSpaceDN w:val="0"/>
              <w:adjustRightInd w:val="0"/>
              <w:spacing w:line="320" w:lineRule="atLeast"/>
              <w:ind w:left="60" w:right="60"/>
              <w:jc w:val="center"/>
              <w:rPr>
                <w:rFonts w:cs="Arial"/>
                <w:color w:val="000000"/>
              </w:rPr>
            </w:pPr>
            <w:r w:rsidRPr="00CC3C7E">
              <w:rPr>
                <w:rFonts w:cs="Arial"/>
                <w:color w:val="000000"/>
              </w:rPr>
              <w:t>Kolmogorov-Smirnov</w:t>
            </w:r>
            <w:r w:rsidRPr="00CC3C7E">
              <w:rPr>
                <w:rFonts w:cs="Arial"/>
                <w:color w:val="000000"/>
                <w:vertAlign w:val="superscript"/>
              </w:rPr>
              <w:t>a</w:t>
            </w:r>
          </w:p>
        </w:tc>
        <w:tc>
          <w:tcPr>
            <w:tcW w:w="3165" w:type="dxa"/>
            <w:gridSpan w:val="3"/>
            <w:tcBorders>
              <w:top w:val="single" w:sz="16" w:space="0" w:color="000000"/>
              <w:right w:val="single" w:sz="16" w:space="0" w:color="000000"/>
            </w:tcBorders>
            <w:shd w:val="clear" w:color="auto" w:fill="FFFFFF"/>
            <w:vAlign w:val="bottom"/>
          </w:tcPr>
          <w:p w14:paraId="7735DD97" w14:textId="77777777" w:rsidR="0008209F" w:rsidRPr="00CC3C7E" w:rsidRDefault="0008209F" w:rsidP="002B1609">
            <w:pPr>
              <w:widowControl w:val="0"/>
              <w:autoSpaceDE w:val="0"/>
              <w:autoSpaceDN w:val="0"/>
              <w:adjustRightInd w:val="0"/>
              <w:spacing w:line="320" w:lineRule="atLeast"/>
              <w:ind w:left="60" w:right="60"/>
              <w:jc w:val="center"/>
              <w:rPr>
                <w:rFonts w:cs="Arial"/>
                <w:color w:val="000000"/>
              </w:rPr>
            </w:pPr>
            <w:r w:rsidRPr="00CC3C7E">
              <w:rPr>
                <w:rFonts w:cs="Arial"/>
                <w:color w:val="000000"/>
              </w:rPr>
              <w:t>Shapiro-Wilk</w:t>
            </w:r>
          </w:p>
        </w:tc>
      </w:tr>
      <w:tr w:rsidR="0008209F" w:rsidRPr="00CC3C7E" w14:paraId="5E15D618" w14:textId="77777777" w:rsidTr="002B1609">
        <w:trPr>
          <w:cantSplit/>
        </w:trPr>
        <w:tc>
          <w:tcPr>
            <w:tcW w:w="1888" w:type="dxa"/>
            <w:vMerge/>
            <w:tcBorders>
              <w:top w:val="single" w:sz="16" w:space="0" w:color="000000"/>
              <w:left w:val="single" w:sz="16" w:space="0" w:color="000000"/>
              <w:bottom w:val="nil"/>
              <w:right w:val="single" w:sz="16" w:space="0" w:color="000000"/>
            </w:tcBorders>
            <w:shd w:val="clear" w:color="auto" w:fill="FFFFFF"/>
            <w:vAlign w:val="bottom"/>
          </w:tcPr>
          <w:p w14:paraId="006B7DDC" w14:textId="77777777" w:rsidR="0008209F" w:rsidRPr="00CC3C7E" w:rsidRDefault="0008209F" w:rsidP="002B1609">
            <w:pPr>
              <w:widowControl w:val="0"/>
              <w:autoSpaceDE w:val="0"/>
              <w:autoSpaceDN w:val="0"/>
              <w:adjustRightInd w:val="0"/>
              <w:rPr>
                <w:rFonts w:cs="Arial"/>
                <w:color w:val="000000"/>
              </w:rPr>
            </w:pPr>
          </w:p>
        </w:tc>
        <w:tc>
          <w:tcPr>
            <w:tcW w:w="1054" w:type="dxa"/>
            <w:tcBorders>
              <w:left w:val="single" w:sz="16" w:space="0" w:color="000000"/>
              <w:bottom w:val="single" w:sz="16" w:space="0" w:color="000000"/>
            </w:tcBorders>
            <w:shd w:val="clear" w:color="auto" w:fill="FFFFFF"/>
            <w:vAlign w:val="bottom"/>
          </w:tcPr>
          <w:p w14:paraId="36C810BA" w14:textId="77777777" w:rsidR="0008209F" w:rsidRPr="00CC3C7E" w:rsidRDefault="0008209F" w:rsidP="002B1609">
            <w:pPr>
              <w:widowControl w:val="0"/>
              <w:autoSpaceDE w:val="0"/>
              <w:autoSpaceDN w:val="0"/>
              <w:adjustRightInd w:val="0"/>
              <w:spacing w:line="320" w:lineRule="atLeast"/>
              <w:ind w:left="60" w:right="60"/>
              <w:jc w:val="center"/>
              <w:rPr>
                <w:rFonts w:cs="Arial"/>
                <w:color w:val="000000"/>
              </w:rPr>
            </w:pPr>
            <w:r w:rsidRPr="00CC3C7E">
              <w:rPr>
                <w:rFonts w:cs="Arial"/>
                <w:color w:val="000000"/>
              </w:rPr>
              <w:t>Statistic</w:t>
            </w:r>
          </w:p>
        </w:tc>
        <w:tc>
          <w:tcPr>
            <w:tcW w:w="1054" w:type="dxa"/>
            <w:tcBorders>
              <w:bottom w:val="single" w:sz="16" w:space="0" w:color="000000"/>
            </w:tcBorders>
            <w:shd w:val="clear" w:color="auto" w:fill="FFFFFF"/>
            <w:vAlign w:val="bottom"/>
          </w:tcPr>
          <w:p w14:paraId="34368511" w14:textId="77777777" w:rsidR="0008209F" w:rsidRPr="00CC3C7E" w:rsidRDefault="0008209F" w:rsidP="002B1609">
            <w:pPr>
              <w:widowControl w:val="0"/>
              <w:autoSpaceDE w:val="0"/>
              <w:autoSpaceDN w:val="0"/>
              <w:adjustRightInd w:val="0"/>
              <w:spacing w:line="320" w:lineRule="atLeast"/>
              <w:ind w:left="60" w:right="60"/>
              <w:jc w:val="center"/>
              <w:rPr>
                <w:rFonts w:cs="Arial"/>
                <w:color w:val="000000"/>
              </w:rPr>
            </w:pPr>
            <w:proofErr w:type="spellStart"/>
            <w:r w:rsidRPr="00CC3C7E">
              <w:rPr>
                <w:rFonts w:cs="Arial"/>
                <w:color w:val="000000"/>
              </w:rPr>
              <w:t>df</w:t>
            </w:r>
            <w:proofErr w:type="spellEnd"/>
          </w:p>
        </w:tc>
        <w:tc>
          <w:tcPr>
            <w:tcW w:w="1055" w:type="dxa"/>
            <w:tcBorders>
              <w:bottom w:val="single" w:sz="16" w:space="0" w:color="000000"/>
            </w:tcBorders>
            <w:shd w:val="clear" w:color="auto" w:fill="FFFFFF"/>
            <w:vAlign w:val="bottom"/>
          </w:tcPr>
          <w:p w14:paraId="2A9BA5C8" w14:textId="77777777" w:rsidR="0008209F" w:rsidRPr="00CC3C7E" w:rsidRDefault="0008209F" w:rsidP="002B1609">
            <w:pPr>
              <w:widowControl w:val="0"/>
              <w:autoSpaceDE w:val="0"/>
              <w:autoSpaceDN w:val="0"/>
              <w:adjustRightInd w:val="0"/>
              <w:spacing w:line="320" w:lineRule="atLeast"/>
              <w:ind w:left="60" w:right="60"/>
              <w:jc w:val="center"/>
              <w:rPr>
                <w:rFonts w:cs="Arial"/>
                <w:color w:val="000000"/>
              </w:rPr>
            </w:pPr>
            <w:r w:rsidRPr="00CC3C7E">
              <w:rPr>
                <w:rFonts w:cs="Arial"/>
                <w:color w:val="000000"/>
              </w:rPr>
              <w:t>Sig.</w:t>
            </w:r>
          </w:p>
        </w:tc>
        <w:tc>
          <w:tcPr>
            <w:tcW w:w="1055" w:type="dxa"/>
            <w:tcBorders>
              <w:bottom w:val="single" w:sz="16" w:space="0" w:color="000000"/>
            </w:tcBorders>
            <w:shd w:val="clear" w:color="auto" w:fill="FFFFFF"/>
            <w:vAlign w:val="bottom"/>
          </w:tcPr>
          <w:p w14:paraId="3033C3DF" w14:textId="77777777" w:rsidR="0008209F" w:rsidRPr="00CC3C7E" w:rsidRDefault="0008209F" w:rsidP="002B1609">
            <w:pPr>
              <w:widowControl w:val="0"/>
              <w:autoSpaceDE w:val="0"/>
              <w:autoSpaceDN w:val="0"/>
              <w:adjustRightInd w:val="0"/>
              <w:spacing w:line="320" w:lineRule="atLeast"/>
              <w:ind w:left="60" w:right="60"/>
              <w:jc w:val="center"/>
              <w:rPr>
                <w:rFonts w:cs="Arial"/>
                <w:color w:val="000000"/>
              </w:rPr>
            </w:pPr>
            <w:r w:rsidRPr="00CC3C7E">
              <w:rPr>
                <w:rFonts w:cs="Arial"/>
                <w:color w:val="000000"/>
              </w:rPr>
              <w:t>Statistic</w:t>
            </w:r>
          </w:p>
        </w:tc>
        <w:tc>
          <w:tcPr>
            <w:tcW w:w="1055" w:type="dxa"/>
            <w:tcBorders>
              <w:bottom w:val="single" w:sz="16" w:space="0" w:color="000000"/>
            </w:tcBorders>
            <w:shd w:val="clear" w:color="auto" w:fill="FFFFFF"/>
            <w:vAlign w:val="bottom"/>
          </w:tcPr>
          <w:p w14:paraId="4CEE1029" w14:textId="77777777" w:rsidR="0008209F" w:rsidRPr="00CC3C7E" w:rsidRDefault="0008209F" w:rsidP="002B1609">
            <w:pPr>
              <w:widowControl w:val="0"/>
              <w:autoSpaceDE w:val="0"/>
              <w:autoSpaceDN w:val="0"/>
              <w:adjustRightInd w:val="0"/>
              <w:spacing w:line="320" w:lineRule="atLeast"/>
              <w:ind w:left="60" w:right="60"/>
              <w:jc w:val="center"/>
              <w:rPr>
                <w:rFonts w:cs="Arial"/>
                <w:color w:val="000000"/>
              </w:rPr>
            </w:pPr>
            <w:proofErr w:type="spellStart"/>
            <w:r w:rsidRPr="00CC3C7E">
              <w:rPr>
                <w:rFonts w:cs="Arial"/>
                <w:color w:val="000000"/>
              </w:rPr>
              <w:t>df</w:t>
            </w:r>
            <w:proofErr w:type="spellEnd"/>
          </w:p>
        </w:tc>
        <w:tc>
          <w:tcPr>
            <w:tcW w:w="1055" w:type="dxa"/>
            <w:tcBorders>
              <w:bottom w:val="single" w:sz="16" w:space="0" w:color="000000"/>
              <w:right w:val="single" w:sz="16" w:space="0" w:color="000000"/>
            </w:tcBorders>
            <w:shd w:val="clear" w:color="auto" w:fill="FFFFFF"/>
            <w:vAlign w:val="bottom"/>
          </w:tcPr>
          <w:p w14:paraId="63EEE00A" w14:textId="77777777" w:rsidR="0008209F" w:rsidRPr="00CC3C7E" w:rsidRDefault="0008209F" w:rsidP="002B1609">
            <w:pPr>
              <w:widowControl w:val="0"/>
              <w:autoSpaceDE w:val="0"/>
              <w:autoSpaceDN w:val="0"/>
              <w:adjustRightInd w:val="0"/>
              <w:spacing w:line="320" w:lineRule="atLeast"/>
              <w:ind w:left="60" w:right="60"/>
              <w:jc w:val="center"/>
              <w:rPr>
                <w:rFonts w:cs="Arial"/>
                <w:color w:val="000000"/>
              </w:rPr>
            </w:pPr>
            <w:r w:rsidRPr="00CC3C7E">
              <w:rPr>
                <w:rFonts w:cs="Arial"/>
                <w:color w:val="000000"/>
              </w:rPr>
              <w:t>Sig.</w:t>
            </w:r>
          </w:p>
        </w:tc>
      </w:tr>
      <w:tr w:rsidR="0008209F" w:rsidRPr="00CC3C7E" w14:paraId="6AE26871" w14:textId="77777777" w:rsidTr="002B1609">
        <w:trPr>
          <w:cantSplit/>
        </w:trPr>
        <w:tc>
          <w:tcPr>
            <w:tcW w:w="1888" w:type="dxa"/>
            <w:tcBorders>
              <w:top w:val="single" w:sz="16" w:space="0" w:color="000000"/>
              <w:left w:val="single" w:sz="16" w:space="0" w:color="000000"/>
              <w:bottom w:val="single" w:sz="16" w:space="0" w:color="000000"/>
              <w:right w:val="single" w:sz="16" w:space="0" w:color="000000"/>
            </w:tcBorders>
            <w:shd w:val="clear" w:color="auto" w:fill="FFFFFF"/>
          </w:tcPr>
          <w:p w14:paraId="06C3373B" w14:textId="65A4C898" w:rsidR="0008209F" w:rsidRPr="00CC3C7E" w:rsidRDefault="0008209F" w:rsidP="002B1609">
            <w:pPr>
              <w:widowControl w:val="0"/>
              <w:autoSpaceDE w:val="0"/>
              <w:autoSpaceDN w:val="0"/>
              <w:adjustRightInd w:val="0"/>
              <w:spacing w:line="320" w:lineRule="atLeast"/>
              <w:ind w:left="60" w:right="60"/>
              <w:rPr>
                <w:rFonts w:cs="Arial"/>
                <w:color w:val="000000"/>
              </w:rPr>
            </w:pPr>
            <w:r w:rsidRPr="00CC3C7E">
              <w:rPr>
                <w:rFonts w:cs="Arial"/>
                <w:color w:val="000000"/>
              </w:rPr>
              <w:t xml:space="preserve">20 Overall confidence </w:t>
            </w:r>
            <w:r w:rsidR="001D42C9">
              <w:rPr>
                <w:rFonts w:cs="Arial"/>
                <w:color w:val="000000"/>
              </w:rPr>
              <w:t>Pre-course</w:t>
            </w:r>
          </w:p>
        </w:tc>
        <w:tc>
          <w:tcPr>
            <w:tcW w:w="1054" w:type="dxa"/>
            <w:tcBorders>
              <w:top w:val="single" w:sz="16" w:space="0" w:color="000000"/>
              <w:left w:val="single" w:sz="16" w:space="0" w:color="000000"/>
              <w:bottom w:val="single" w:sz="16" w:space="0" w:color="000000"/>
            </w:tcBorders>
            <w:shd w:val="clear" w:color="auto" w:fill="FFFFFF"/>
            <w:vAlign w:val="center"/>
          </w:tcPr>
          <w:p w14:paraId="0A2A841D" w14:textId="77777777" w:rsidR="0008209F" w:rsidRPr="00CC3C7E" w:rsidRDefault="0008209F" w:rsidP="006B027F">
            <w:pPr>
              <w:widowControl w:val="0"/>
              <w:autoSpaceDE w:val="0"/>
              <w:autoSpaceDN w:val="0"/>
              <w:adjustRightInd w:val="0"/>
              <w:spacing w:line="320" w:lineRule="atLeast"/>
              <w:ind w:left="60" w:right="60"/>
              <w:jc w:val="center"/>
              <w:rPr>
                <w:rFonts w:cs="Arial"/>
                <w:color w:val="000000"/>
              </w:rPr>
            </w:pPr>
            <w:r w:rsidRPr="00CC3C7E">
              <w:rPr>
                <w:rFonts w:cs="Arial"/>
                <w:color w:val="000000"/>
              </w:rPr>
              <w:t>.181</w:t>
            </w:r>
          </w:p>
        </w:tc>
        <w:tc>
          <w:tcPr>
            <w:tcW w:w="1054" w:type="dxa"/>
            <w:tcBorders>
              <w:top w:val="single" w:sz="16" w:space="0" w:color="000000"/>
              <w:bottom w:val="single" w:sz="16" w:space="0" w:color="000000"/>
            </w:tcBorders>
            <w:shd w:val="clear" w:color="auto" w:fill="FFFFFF"/>
            <w:vAlign w:val="center"/>
          </w:tcPr>
          <w:p w14:paraId="1C1B106C" w14:textId="77777777" w:rsidR="0008209F" w:rsidRPr="00CC3C7E" w:rsidRDefault="0008209F" w:rsidP="006B027F">
            <w:pPr>
              <w:widowControl w:val="0"/>
              <w:autoSpaceDE w:val="0"/>
              <w:autoSpaceDN w:val="0"/>
              <w:adjustRightInd w:val="0"/>
              <w:spacing w:line="320" w:lineRule="atLeast"/>
              <w:ind w:left="60" w:right="60"/>
              <w:jc w:val="center"/>
              <w:rPr>
                <w:rFonts w:cs="Arial"/>
                <w:color w:val="000000"/>
              </w:rPr>
            </w:pPr>
            <w:r w:rsidRPr="00CC3C7E">
              <w:rPr>
                <w:rFonts w:cs="Arial"/>
                <w:color w:val="000000"/>
              </w:rPr>
              <w:t>94</w:t>
            </w:r>
          </w:p>
        </w:tc>
        <w:tc>
          <w:tcPr>
            <w:tcW w:w="1055" w:type="dxa"/>
            <w:tcBorders>
              <w:top w:val="single" w:sz="16" w:space="0" w:color="000000"/>
              <w:bottom w:val="single" w:sz="16" w:space="0" w:color="000000"/>
            </w:tcBorders>
            <w:shd w:val="clear" w:color="auto" w:fill="FFFFFF"/>
            <w:vAlign w:val="center"/>
          </w:tcPr>
          <w:p w14:paraId="5551C870" w14:textId="77777777" w:rsidR="0008209F" w:rsidRPr="00CC3C7E" w:rsidRDefault="0008209F" w:rsidP="006B027F">
            <w:pPr>
              <w:widowControl w:val="0"/>
              <w:autoSpaceDE w:val="0"/>
              <w:autoSpaceDN w:val="0"/>
              <w:adjustRightInd w:val="0"/>
              <w:spacing w:line="320" w:lineRule="atLeast"/>
              <w:ind w:left="60" w:right="60"/>
              <w:jc w:val="center"/>
              <w:rPr>
                <w:rFonts w:cs="Arial"/>
                <w:color w:val="000000"/>
              </w:rPr>
            </w:pPr>
            <w:r w:rsidRPr="00CC3C7E">
              <w:rPr>
                <w:rFonts w:cs="Arial"/>
                <w:color w:val="000000"/>
              </w:rPr>
              <w:t>.000</w:t>
            </w:r>
          </w:p>
        </w:tc>
        <w:tc>
          <w:tcPr>
            <w:tcW w:w="1055" w:type="dxa"/>
            <w:tcBorders>
              <w:top w:val="single" w:sz="16" w:space="0" w:color="000000"/>
              <w:bottom w:val="single" w:sz="16" w:space="0" w:color="000000"/>
            </w:tcBorders>
            <w:shd w:val="clear" w:color="auto" w:fill="FFFFFF"/>
            <w:vAlign w:val="center"/>
          </w:tcPr>
          <w:p w14:paraId="3D835C49" w14:textId="77777777" w:rsidR="0008209F" w:rsidRPr="00CC3C7E" w:rsidRDefault="0008209F" w:rsidP="006B027F">
            <w:pPr>
              <w:widowControl w:val="0"/>
              <w:autoSpaceDE w:val="0"/>
              <w:autoSpaceDN w:val="0"/>
              <w:adjustRightInd w:val="0"/>
              <w:spacing w:line="320" w:lineRule="atLeast"/>
              <w:ind w:left="60" w:right="60"/>
              <w:jc w:val="center"/>
              <w:rPr>
                <w:rFonts w:cs="Arial"/>
                <w:color w:val="000000"/>
              </w:rPr>
            </w:pPr>
            <w:r w:rsidRPr="00CC3C7E">
              <w:rPr>
                <w:rFonts w:cs="Arial"/>
                <w:color w:val="000000"/>
              </w:rPr>
              <w:t>.930</w:t>
            </w:r>
          </w:p>
        </w:tc>
        <w:tc>
          <w:tcPr>
            <w:tcW w:w="1055" w:type="dxa"/>
            <w:tcBorders>
              <w:top w:val="single" w:sz="16" w:space="0" w:color="000000"/>
              <w:bottom w:val="single" w:sz="16" w:space="0" w:color="000000"/>
            </w:tcBorders>
            <w:shd w:val="clear" w:color="auto" w:fill="FFFFFF"/>
            <w:vAlign w:val="center"/>
          </w:tcPr>
          <w:p w14:paraId="73783010" w14:textId="77777777" w:rsidR="0008209F" w:rsidRPr="00CC3C7E" w:rsidRDefault="0008209F" w:rsidP="006B027F">
            <w:pPr>
              <w:widowControl w:val="0"/>
              <w:autoSpaceDE w:val="0"/>
              <w:autoSpaceDN w:val="0"/>
              <w:adjustRightInd w:val="0"/>
              <w:spacing w:line="320" w:lineRule="atLeast"/>
              <w:ind w:left="60" w:right="60"/>
              <w:jc w:val="center"/>
              <w:rPr>
                <w:rFonts w:cs="Arial"/>
                <w:color w:val="000000"/>
              </w:rPr>
            </w:pPr>
            <w:r w:rsidRPr="00CC3C7E">
              <w:rPr>
                <w:rFonts w:cs="Arial"/>
                <w:color w:val="000000"/>
              </w:rPr>
              <w:t>94</w:t>
            </w:r>
          </w:p>
        </w:tc>
        <w:tc>
          <w:tcPr>
            <w:tcW w:w="1055" w:type="dxa"/>
            <w:tcBorders>
              <w:top w:val="single" w:sz="16" w:space="0" w:color="000000"/>
              <w:bottom w:val="single" w:sz="16" w:space="0" w:color="000000"/>
              <w:right w:val="single" w:sz="16" w:space="0" w:color="000000"/>
            </w:tcBorders>
            <w:shd w:val="clear" w:color="auto" w:fill="FFFFFF"/>
            <w:vAlign w:val="center"/>
          </w:tcPr>
          <w:p w14:paraId="64D8C3F5" w14:textId="77777777" w:rsidR="0008209F" w:rsidRPr="00CC3C7E" w:rsidRDefault="0008209F" w:rsidP="006B027F">
            <w:pPr>
              <w:widowControl w:val="0"/>
              <w:autoSpaceDE w:val="0"/>
              <w:autoSpaceDN w:val="0"/>
              <w:adjustRightInd w:val="0"/>
              <w:spacing w:line="320" w:lineRule="atLeast"/>
              <w:ind w:left="60" w:right="60"/>
              <w:jc w:val="center"/>
              <w:rPr>
                <w:rFonts w:cs="Arial"/>
                <w:color w:val="000000"/>
              </w:rPr>
            </w:pPr>
            <w:r w:rsidRPr="00CC3C7E">
              <w:rPr>
                <w:rFonts w:cs="Arial"/>
                <w:color w:val="000000"/>
              </w:rPr>
              <w:t>.000</w:t>
            </w:r>
          </w:p>
        </w:tc>
      </w:tr>
      <w:tr w:rsidR="0008209F" w:rsidRPr="00CC3C7E" w14:paraId="0C9DDCBF" w14:textId="77777777" w:rsidTr="002B1609">
        <w:trPr>
          <w:cantSplit/>
        </w:trPr>
        <w:tc>
          <w:tcPr>
            <w:tcW w:w="8216" w:type="dxa"/>
            <w:gridSpan w:val="7"/>
            <w:tcBorders>
              <w:top w:val="nil"/>
              <w:left w:val="nil"/>
              <w:bottom w:val="nil"/>
              <w:right w:val="nil"/>
            </w:tcBorders>
            <w:shd w:val="clear" w:color="auto" w:fill="FFFFFF"/>
          </w:tcPr>
          <w:p w14:paraId="0ACD9A1C" w14:textId="77777777" w:rsidR="0008209F" w:rsidRPr="00CC3C7E" w:rsidRDefault="0008209F" w:rsidP="002B1609">
            <w:pPr>
              <w:widowControl w:val="0"/>
              <w:autoSpaceDE w:val="0"/>
              <w:autoSpaceDN w:val="0"/>
              <w:adjustRightInd w:val="0"/>
              <w:spacing w:line="320" w:lineRule="atLeast"/>
              <w:ind w:left="60" w:right="60"/>
              <w:rPr>
                <w:rFonts w:cs="Arial"/>
                <w:color w:val="000000"/>
              </w:rPr>
            </w:pPr>
            <w:r w:rsidRPr="00CC3C7E">
              <w:rPr>
                <w:rFonts w:cs="Arial"/>
                <w:color w:val="000000"/>
              </w:rPr>
              <w:t>a. Lilliefors Significance Correction</w:t>
            </w:r>
          </w:p>
        </w:tc>
      </w:tr>
    </w:tbl>
    <w:p w14:paraId="1F2A442F" w14:textId="77777777" w:rsidR="0008209F" w:rsidRDefault="0008209F" w:rsidP="0008209F">
      <w:pPr>
        <w:widowControl w:val="0"/>
        <w:autoSpaceDE w:val="0"/>
        <w:autoSpaceDN w:val="0"/>
        <w:adjustRightInd w:val="0"/>
        <w:spacing w:line="400" w:lineRule="atLeast"/>
        <w:rPr>
          <w:rFonts w:cs="Arial"/>
        </w:rPr>
      </w:pPr>
      <w:r>
        <w:rPr>
          <w:rFonts w:cs="Arial"/>
        </w:rPr>
        <w:t>Shapiro-Wilk = 0.000 = significant thus data is not normally distributed</w:t>
      </w:r>
    </w:p>
    <w:p w14:paraId="33868CC7" w14:textId="77777777" w:rsidR="0008209F" w:rsidRDefault="0008209F" w:rsidP="0008209F"/>
    <w:p w14:paraId="4BD36FA1" w14:textId="77777777" w:rsidR="0008209F" w:rsidRPr="00BD1C62" w:rsidRDefault="0008209F" w:rsidP="0008209F">
      <w:r w:rsidRPr="006B027F">
        <w:rPr>
          <w:rFonts w:ascii="Times New Roman" w:hAnsi="Times New Roman"/>
          <w:noProof/>
          <w:lang w:val="en-US"/>
        </w:rPr>
        <w:drawing>
          <wp:inline distT="0" distB="0" distL="0" distR="0" wp14:anchorId="69D84752" wp14:editId="293501F6">
            <wp:extent cx="5396230" cy="432390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396230" cy="4323902"/>
                    </a:xfrm>
                    <a:prstGeom prst="rect">
                      <a:avLst/>
                    </a:prstGeom>
                    <a:noFill/>
                    <a:ln>
                      <a:noFill/>
                    </a:ln>
                  </pic:spPr>
                </pic:pic>
              </a:graphicData>
            </a:graphic>
          </wp:inline>
        </w:drawing>
      </w:r>
    </w:p>
    <w:p w14:paraId="096E5C51" w14:textId="77777777" w:rsidR="0008209F" w:rsidRDefault="0008209F">
      <w:pPr>
        <w:pStyle w:val="Heading3"/>
        <w:numPr>
          <w:ilvl w:val="0"/>
          <w:numId w:val="0"/>
        </w:numPr>
        <w:ind w:left="720"/>
      </w:pPr>
      <w:r w:rsidRPr="005367B9">
        <w:rPr>
          <w:noProof/>
        </w:rPr>
        <w:lastRenderedPageBreak/>
        <w:drawing>
          <wp:inline distT="0" distB="0" distL="0" distR="0" wp14:anchorId="719906CB" wp14:editId="16A67E14">
            <wp:extent cx="5396230" cy="4323902"/>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96230" cy="4323902"/>
                    </a:xfrm>
                    <a:prstGeom prst="rect">
                      <a:avLst/>
                    </a:prstGeom>
                    <a:noFill/>
                    <a:ln>
                      <a:noFill/>
                    </a:ln>
                  </pic:spPr>
                </pic:pic>
              </a:graphicData>
            </a:graphic>
          </wp:inline>
        </w:drawing>
      </w:r>
    </w:p>
    <w:p w14:paraId="7850900B" w14:textId="77777777" w:rsidR="0008209F" w:rsidRDefault="0008209F" w:rsidP="003E116C"/>
    <w:p w14:paraId="11D7BE16" w14:textId="77777777" w:rsidR="00C00713" w:rsidRDefault="00C00713" w:rsidP="003E116C"/>
    <w:p w14:paraId="1CA41CC6" w14:textId="77777777" w:rsidR="00C00713" w:rsidRDefault="00C00713" w:rsidP="003E116C"/>
    <w:p w14:paraId="5EF0960B" w14:textId="77777777" w:rsidR="00C00713" w:rsidRDefault="00C00713" w:rsidP="003E116C"/>
    <w:p w14:paraId="4EB91417" w14:textId="77777777" w:rsidR="00C00713" w:rsidRDefault="00C00713" w:rsidP="003E116C"/>
    <w:p w14:paraId="2D448601" w14:textId="77777777" w:rsidR="00C00713" w:rsidRDefault="00C00713" w:rsidP="003E116C"/>
    <w:p w14:paraId="38D5B16D" w14:textId="77777777" w:rsidR="00C00713" w:rsidRDefault="00C00713" w:rsidP="003E116C"/>
    <w:p w14:paraId="0F333B9E" w14:textId="63B52921" w:rsidR="002B1609" w:rsidRDefault="002B1609" w:rsidP="006B027F">
      <w:pPr>
        <w:pStyle w:val="Heading2"/>
      </w:pPr>
      <w:bookmarkStart w:id="501" w:name="_Toc419116243"/>
      <w:r w:rsidRPr="001F3665">
        <w:lastRenderedPageBreak/>
        <w:t>ANOVA for 58 students confidence scores over four conditions (completed data</w:t>
      </w:r>
      <w:r>
        <w:t>)</w:t>
      </w:r>
      <w:bookmarkEnd w:id="501"/>
    </w:p>
    <w:p w14:paraId="7ECACF3F" w14:textId="77777777" w:rsidR="006E47E2" w:rsidRPr="008005DD" w:rsidRDefault="006E47E2" w:rsidP="006E47E2">
      <w:pPr>
        <w:widowControl w:val="0"/>
        <w:autoSpaceDE w:val="0"/>
        <w:autoSpaceDN w:val="0"/>
        <w:adjustRightInd w:val="0"/>
        <w:rPr>
          <w:rFonts w:ascii="Times New Roman" w:hAnsi="Times New Roman"/>
        </w:rPr>
      </w:pPr>
    </w:p>
    <w:tbl>
      <w:tblPr>
        <w:tblW w:w="88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49"/>
        <w:gridCol w:w="1751"/>
        <w:gridCol w:w="976"/>
        <w:gridCol w:w="1007"/>
        <w:gridCol w:w="1400"/>
        <w:gridCol w:w="976"/>
        <w:gridCol w:w="976"/>
      </w:tblGrid>
      <w:tr w:rsidR="00036EBB" w:rsidRPr="008005DD" w14:paraId="01CD43EE" w14:textId="77777777" w:rsidTr="006B027F">
        <w:trPr>
          <w:cantSplit/>
          <w:trHeight w:val="828"/>
        </w:trPr>
        <w:tc>
          <w:tcPr>
            <w:tcW w:w="8835" w:type="dxa"/>
            <w:gridSpan w:val="7"/>
            <w:tcBorders>
              <w:top w:val="nil"/>
              <w:left w:val="nil"/>
              <w:bottom w:val="nil"/>
              <w:right w:val="nil"/>
            </w:tcBorders>
            <w:shd w:val="clear" w:color="auto" w:fill="FFFFFF"/>
            <w:vAlign w:val="center"/>
          </w:tcPr>
          <w:p w14:paraId="457DAFC7" w14:textId="77777777" w:rsidR="006E47E2" w:rsidRPr="008005DD" w:rsidRDefault="006E47E2" w:rsidP="006E47E2">
            <w:pPr>
              <w:widowControl w:val="0"/>
              <w:autoSpaceDE w:val="0"/>
              <w:autoSpaceDN w:val="0"/>
              <w:adjustRightInd w:val="0"/>
              <w:spacing w:line="320" w:lineRule="atLeast"/>
              <w:ind w:left="60" w:right="60"/>
              <w:jc w:val="center"/>
              <w:rPr>
                <w:rFonts w:cs="Arial"/>
                <w:color w:val="000000"/>
              </w:rPr>
            </w:pPr>
            <w:r w:rsidRPr="008005DD">
              <w:rPr>
                <w:rFonts w:cs="Arial"/>
                <w:b/>
                <w:bCs/>
                <w:color w:val="000000"/>
              </w:rPr>
              <w:t xml:space="preserve">Multivariate </w:t>
            </w:r>
            <w:proofErr w:type="spellStart"/>
            <w:r w:rsidRPr="008005DD">
              <w:rPr>
                <w:rFonts w:cs="Arial"/>
                <w:b/>
                <w:bCs/>
                <w:color w:val="000000"/>
              </w:rPr>
              <w:t>Tests</w:t>
            </w:r>
            <w:r w:rsidRPr="008005DD">
              <w:rPr>
                <w:rFonts w:cs="Arial"/>
                <w:b/>
                <w:bCs/>
                <w:color w:val="000000"/>
                <w:vertAlign w:val="superscript"/>
              </w:rPr>
              <w:t>a</w:t>
            </w:r>
            <w:proofErr w:type="spellEnd"/>
          </w:p>
        </w:tc>
      </w:tr>
      <w:tr w:rsidR="00036EBB" w:rsidRPr="008005DD" w14:paraId="10123A6E" w14:textId="77777777" w:rsidTr="00036EBB">
        <w:trPr>
          <w:cantSplit/>
          <w:trHeight w:val="828"/>
        </w:trPr>
        <w:tc>
          <w:tcPr>
            <w:tcW w:w="3500" w:type="dxa"/>
            <w:gridSpan w:val="2"/>
            <w:tcBorders>
              <w:top w:val="single" w:sz="16" w:space="0" w:color="000000"/>
              <w:left w:val="single" w:sz="16" w:space="0" w:color="000000"/>
              <w:bottom w:val="single" w:sz="16" w:space="0" w:color="000000"/>
              <w:right w:val="nil"/>
            </w:tcBorders>
            <w:shd w:val="clear" w:color="auto" w:fill="FFFFFF"/>
            <w:vAlign w:val="bottom"/>
          </w:tcPr>
          <w:p w14:paraId="3AB3C4BF"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Effect</w:t>
            </w:r>
          </w:p>
        </w:tc>
        <w:tc>
          <w:tcPr>
            <w:tcW w:w="976" w:type="dxa"/>
            <w:tcBorders>
              <w:top w:val="single" w:sz="16" w:space="0" w:color="000000"/>
              <w:left w:val="single" w:sz="16" w:space="0" w:color="000000"/>
              <w:bottom w:val="single" w:sz="16" w:space="0" w:color="000000"/>
            </w:tcBorders>
            <w:shd w:val="clear" w:color="auto" w:fill="FFFFFF"/>
            <w:vAlign w:val="bottom"/>
          </w:tcPr>
          <w:p w14:paraId="1D8FB194"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Value</w:t>
            </w:r>
          </w:p>
        </w:tc>
        <w:tc>
          <w:tcPr>
            <w:tcW w:w="1007" w:type="dxa"/>
            <w:tcBorders>
              <w:top w:val="single" w:sz="16" w:space="0" w:color="000000"/>
              <w:bottom w:val="single" w:sz="16" w:space="0" w:color="000000"/>
            </w:tcBorders>
            <w:shd w:val="clear" w:color="auto" w:fill="FFFFFF"/>
            <w:vAlign w:val="bottom"/>
          </w:tcPr>
          <w:p w14:paraId="2C9C2B3F"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F</w:t>
            </w:r>
          </w:p>
        </w:tc>
        <w:tc>
          <w:tcPr>
            <w:tcW w:w="1400" w:type="dxa"/>
            <w:tcBorders>
              <w:top w:val="single" w:sz="16" w:space="0" w:color="000000"/>
              <w:bottom w:val="single" w:sz="16" w:space="0" w:color="000000"/>
            </w:tcBorders>
            <w:shd w:val="clear" w:color="auto" w:fill="FFFFFF"/>
            <w:vAlign w:val="bottom"/>
          </w:tcPr>
          <w:p w14:paraId="7E33D75D"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 xml:space="preserve">Hypothesis </w:t>
            </w:r>
            <w:proofErr w:type="spellStart"/>
            <w:r w:rsidRPr="006B027F">
              <w:rPr>
                <w:rFonts w:cs="Arial"/>
                <w:color w:val="000000"/>
                <w:sz w:val="20"/>
                <w:szCs w:val="20"/>
              </w:rPr>
              <w:t>df</w:t>
            </w:r>
            <w:proofErr w:type="spellEnd"/>
          </w:p>
        </w:tc>
        <w:tc>
          <w:tcPr>
            <w:tcW w:w="976" w:type="dxa"/>
            <w:tcBorders>
              <w:top w:val="single" w:sz="16" w:space="0" w:color="000000"/>
              <w:bottom w:val="single" w:sz="16" w:space="0" w:color="000000"/>
            </w:tcBorders>
            <w:shd w:val="clear" w:color="auto" w:fill="FFFFFF"/>
            <w:vAlign w:val="bottom"/>
          </w:tcPr>
          <w:p w14:paraId="25DA15EE"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 xml:space="preserve">Error </w:t>
            </w:r>
            <w:proofErr w:type="spellStart"/>
            <w:r w:rsidRPr="006B027F">
              <w:rPr>
                <w:rFonts w:cs="Arial"/>
                <w:color w:val="000000"/>
                <w:sz w:val="20"/>
                <w:szCs w:val="20"/>
              </w:rPr>
              <w:t>df</w:t>
            </w:r>
            <w:proofErr w:type="spellEnd"/>
          </w:p>
        </w:tc>
        <w:tc>
          <w:tcPr>
            <w:tcW w:w="976" w:type="dxa"/>
            <w:tcBorders>
              <w:top w:val="single" w:sz="16" w:space="0" w:color="000000"/>
              <w:bottom w:val="single" w:sz="16" w:space="0" w:color="000000"/>
              <w:right w:val="single" w:sz="16" w:space="0" w:color="000000"/>
            </w:tcBorders>
            <w:shd w:val="clear" w:color="auto" w:fill="FFFFFF"/>
            <w:vAlign w:val="bottom"/>
          </w:tcPr>
          <w:p w14:paraId="3A880AC7"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Sig.</w:t>
            </w:r>
          </w:p>
        </w:tc>
      </w:tr>
      <w:tr w:rsidR="00036EBB" w:rsidRPr="008005DD" w14:paraId="3BDC82FB" w14:textId="77777777" w:rsidTr="006B027F">
        <w:trPr>
          <w:cantSplit/>
          <w:trHeight w:val="828"/>
        </w:trPr>
        <w:tc>
          <w:tcPr>
            <w:tcW w:w="1749" w:type="dxa"/>
            <w:vMerge w:val="restart"/>
            <w:tcBorders>
              <w:top w:val="single" w:sz="16" w:space="0" w:color="000000"/>
              <w:left w:val="single" w:sz="16" w:space="0" w:color="000000"/>
              <w:bottom w:val="single" w:sz="16" w:space="0" w:color="000000"/>
              <w:right w:val="nil"/>
            </w:tcBorders>
            <w:shd w:val="clear" w:color="auto" w:fill="FFFFFF"/>
          </w:tcPr>
          <w:p w14:paraId="2658420A" w14:textId="239FFF9F"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Confi</w:t>
            </w:r>
            <w:r w:rsidR="006D6156">
              <w:rPr>
                <w:rFonts w:cs="Arial"/>
                <w:color w:val="000000"/>
                <w:sz w:val="20"/>
                <w:szCs w:val="20"/>
              </w:rPr>
              <w:t xml:space="preserve">dence </w:t>
            </w:r>
            <w:r w:rsidRPr="006B027F">
              <w:rPr>
                <w:rFonts w:cs="Arial"/>
                <w:color w:val="000000"/>
                <w:sz w:val="20"/>
                <w:szCs w:val="20"/>
              </w:rPr>
              <w:t>score</w:t>
            </w:r>
          </w:p>
        </w:tc>
        <w:tc>
          <w:tcPr>
            <w:tcW w:w="1751" w:type="dxa"/>
            <w:tcBorders>
              <w:top w:val="single" w:sz="16" w:space="0" w:color="000000"/>
              <w:left w:val="nil"/>
              <w:bottom w:val="nil"/>
              <w:right w:val="single" w:sz="16" w:space="0" w:color="000000"/>
            </w:tcBorders>
            <w:shd w:val="clear" w:color="auto" w:fill="FFFFFF"/>
          </w:tcPr>
          <w:p w14:paraId="22EA3654"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Pillai's Trace</w:t>
            </w:r>
          </w:p>
        </w:tc>
        <w:tc>
          <w:tcPr>
            <w:tcW w:w="976" w:type="dxa"/>
            <w:tcBorders>
              <w:top w:val="single" w:sz="16" w:space="0" w:color="000000"/>
              <w:left w:val="single" w:sz="16" w:space="0" w:color="000000"/>
              <w:bottom w:val="nil"/>
            </w:tcBorders>
            <w:shd w:val="clear" w:color="auto" w:fill="FFFFFF"/>
            <w:vAlign w:val="center"/>
          </w:tcPr>
          <w:p w14:paraId="0E32ECF1"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.670</w:t>
            </w:r>
          </w:p>
        </w:tc>
        <w:tc>
          <w:tcPr>
            <w:tcW w:w="1007" w:type="dxa"/>
            <w:tcBorders>
              <w:top w:val="single" w:sz="16" w:space="0" w:color="000000"/>
              <w:bottom w:val="nil"/>
            </w:tcBorders>
            <w:shd w:val="clear" w:color="auto" w:fill="FFFFFF"/>
            <w:vAlign w:val="center"/>
          </w:tcPr>
          <w:p w14:paraId="52B88469"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37.154</w:t>
            </w:r>
            <w:r w:rsidRPr="006B027F">
              <w:rPr>
                <w:rFonts w:cs="Arial"/>
                <w:color w:val="000000"/>
                <w:sz w:val="20"/>
                <w:szCs w:val="20"/>
                <w:vertAlign w:val="superscript"/>
              </w:rPr>
              <w:t>b</w:t>
            </w:r>
          </w:p>
        </w:tc>
        <w:tc>
          <w:tcPr>
            <w:tcW w:w="1400" w:type="dxa"/>
            <w:tcBorders>
              <w:top w:val="single" w:sz="16" w:space="0" w:color="000000"/>
              <w:bottom w:val="nil"/>
            </w:tcBorders>
            <w:shd w:val="clear" w:color="auto" w:fill="FFFFFF"/>
            <w:vAlign w:val="center"/>
          </w:tcPr>
          <w:p w14:paraId="0BBC8617"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3.000</w:t>
            </w:r>
          </w:p>
        </w:tc>
        <w:tc>
          <w:tcPr>
            <w:tcW w:w="976" w:type="dxa"/>
            <w:tcBorders>
              <w:top w:val="single" w:sz="16" w:space="0" w:color="000000"/>
              <w:bottom w:val="nil"/>
            </w:tcBorders>
            <w:shd w:val="clear" w:color="auto" w:fill="FFFFFF"/>
            <w:vAlign w:val="center"/>
          </w:tcPr>
          <w:p w14:paraId="5A70E0F1"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55.000</w:t>
            </w:r>
          </w:p>
        </w:tc>
        <w:tc>
          <w:tcPr>
            <w:tcW w:w="976" w:type="dxa"/>
            <w:tcBorders>
              <w:top w:val="single" w:sz="16" w:space="0" w:color="000000"/>
              <w:bottom w:val="nil"/>
              <w:right w:val="single" w:sz="16" w:space="0" w:color="000000"/>
            </w:tcBorders>
            <w:shd w:val="clear" w:color="auto" w:fill="FFFFFF"/>
            <w:vAlign w:val="center"/>
          </w:tcPr>
          <w:p w14:paraId="37726D6B"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.000</w:t>
            </w:r>
          </w:p>
        </w:tc>
      </w:tr>
      <w:tr w:rsidR="00036EBB" w:rsidRPr="008005DD" w14:paraId="02C9226E" w14:textId="77777777" w:rsidTr="006B027F">
        <w:trPr>
          <w:cantSplit/>
          <w:trHeight w:val="158"/>
        </w:trPr>
        <w:tc>
          <w:tcPr>
            <w:tcW w:w="1749" w:type="dxa"/>
            <w:vMerge/>
            <w:tcBorders>
              <w:top w:val="single" w:sz="16" w:space="0" w:color="000000"/>
              <w:left w:val="single" w:sz="16" w:space="0" w:color="000000"/>
              <w:bottom w:val="single" w:sz="16" w:space="0" w:color="000000"/>
              <w:right w:val="nil"/>
            </w:tcBorders>
            <w:shd w:val="clear" w:color="auto" w:fill="FFFFFF"/>
          </w:tcPr>
          <w:p w14:paraId="15999A3F" w14:textId="77777777" w:rsidR="006E47E2" w:rsidRPr="006B027F" w:rsidRDefault="006E47E2" w:rsidP="006E47E2">
            <w:pPr>
              <w:widowControl w:val="0"/>
              <w:autoSpaceDE w:val="0"/>
              <w:autoSpaceDN w:val="0"/>
              <w:adjustRightInd w:val="0"/>
              <w:rPr>
                <w:rFonts w:cs="Arial"/>
                <w:color w:val="000000"/>
                <w:sz w:val="20"/>
                <w:szCs w:val="20"/>
              </w:rPr>
            </w:pPr>
          </w:p>
        </w:tc>
        <w:tc>
          <w:tcPr>
            <w:tcW w:w="1751" w:type="dxa"/>
            <w:tcBorders>
              <w:top w:val="nil"/>
              <w:left w:val="nil"/>
              <w:bottom w:val="nil"/>
              <w:right w:val="single" w:sz="16" w:space="0" w:color="000000"/>
            </w:tcBorders>
            <w:shd w:val="clear" w:color="auto" w:fill="FFFFFF"/>
          </w:tcPr>
          <w:p w14:paraId="40BF2C2B"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Wilks' Lambda</w:t>
            </w:r>
          </w:p>
        </w:tc>
        <w:tc>
          <w:tcPr>
            <w:tcW w:w="976" w:type="dxa"/>
            <w:tcBorders>
              <w:top w:val="nil"/>
              <w:left w:val="single" w:sz="16" w:space="0" w:color="000000"/>
              <w:bottom w:val="nil"/>
            </w:tcBorders>
            <w:shd w:val="clear" w:color="auto" w:fill="FFFFFF"/>
            <w:vAlign w:val="center"/>
          </w:tcPr>
          <w:p w14:paraId="010E39D4"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.330</w:t>
            </w:r>
          </w:p>
        </w:tc>
        <w:tc>
          <w:tcPr>
            <w:tcW w:w="1007" w:type="dxa"/>
            <w:tcBorders>
              <w:top w:val="nil"/>
              <w:bottom w:val="nil"/>
            </w:tcBorders>
            <w:shd w:val="clear" w:color="auto" w:fill="FFFFFF"/>
            <w:vAlign w:val="center"/>
          </w:tcPr>
          <w:p w14:paraId="19CD2314"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37.154</w:t>
            </w:r>
            <w:r w:rsidRPr="006B027F">
              <w:rPr>
                <w:rFonts w:cs="Arial"/>
                <w:color w:val="000000"/>
                <w:sz w:val="20"/>
                <w:szCs w:val="20"/>
                <w:vertAlign w:val="superscript"/>
              </w:rPr>
              <w:t>b</w:t>
            </w:r>
          </w:p>
        </w:tc>
        <w:tc>
          <w:tcPr>
            <w:tcW w:w="1400" w:type="dxa"/>
            <w:tcBorders>
              <w:top w:val="nil"/>
              <w:bottom w:val="nil"/>
            </w:tcBorders>
            <w:shd w:val="clear" w:color="auto" w:fill="FFFFFF"/>
            <w:vAlign w:val="center"/>
          </w:tcPr>
          <w:p w14:paraId="6DC77E6C"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3.000</w:t>
            </w:r>
          </w:p>
        </w:tc>
        <w:tc>
          <w:tcPr>
            <w:tcW w:w="976" w:type="dxa"/>
            <w:tcBorders>
              <w:top w:val="nil"/>
              <w:bottom w:val="nil"/>
            </w:tcBorders>
            <w:shd w:val="clear" w:color="auto" w:fill="FFFFFF"/>
            <w:vAlign w:val="center"/>
          </w:tcPr>
          <w:p w14:paraId="1949D781"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55.000</w:t>
            </w:r>
          </w:p>
        </w:tc>
        <w:tc>
          <w:tcPr>
            <w:tcW w:w="976" w:type="dxa"/>
            <w:tcBorders>
              <w:top w:val="nil"/>
              <w:bottom w:val="nil"/>
              <w:right w:val="single" w:sz="16" w:space="0" w:color="000000"/>
            </w:tcBorders>
            <w:shd w:val="clear" w:color="auto" w:fill="FFFFFF"/>
            <w:vAlign w:val="center"/>
          </w:tcPr>
          <w:p w14:paraId="40DD3F10"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.000</w:t>
            </w:r>
          </w:p>
        </w:tc>
      </w:tr>
      <w:tr w:rsidR="00036EBB" w:rsidRPr="008005DD" w14:paraId="7ACD050E" w14:textId="77777777" w:rsidTr="006B027F">
        <w:trPr>
          <w:cantSplit/>
          <w:trHeight w:val="158"/>
        </w:trPr>
        <w:tc>
          <w:tcPr>
            <w:tcW w:w="1749" w:type="dxa"/>
            <w:vMerge/>
            <w:tcBorders>
              <w:top w:val="single" w:sz="16" w:space="0" w:color="000000"/>
              <w:left w:val="single" w:sz="16" w:space="0" w:color="000000"/>
              <w:bottom w:val="single" w:sz="16" w:space="0" w:color="000000"/>
              <w:right w:val="nil"/>
            </w:tcBorders>
            <w:shd w:val="clear" w:color="auto" w:fill="FFFFFF"/>
          </w:tcPr>
          <w:p w14:paraId="793A92BA" w14:textId="77777777" w:rsidR="006E47E2" w:rsidRPr="006B027F" w:rsidRDefault="006E47E2" w:rsidP="006E47E2">
            <w:pPr>
              <w:widowControl w:val="0"/>
              <w:autoSpaceDE w:val="0"/>
              <w:autoSpaceDN w:val="0"/>
              <w:adjustRightInd w:val="0"/>
              <w:rPr>
                <w:rFonts w:cs="Arial"/>
                <w:color w:val="000000"/>
                <w:sz w:val="20"/>
                <w:szCs w:val="20"/>
              </w:rPr>
            </w:pPr>
          </w:p>
        </w:tc>
        <w:tc>
          <w:tcPr>
            <w:tcW w:w="1751" w:type="dxa"/>
            <w:tcBorders>
              <w:top w:val="nil"/>
              <w:left w:val="nil"/>
              <w:bottom w:val="nil"/>
              <w:right w:val="single" w:sz="16" w:space="0" w:color="000000"/>
            </w:tcBorders>
            <w:shd w:val="clear" w:color="auto" w:fill="FFFFFF"/>
          </w:tcPr>
          <w:p w14:paraId="571BCF53"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Hotelling's Trace</w:t>
            </w:r>
          </w:p>
        </w:tc>
        <w:tc>
          <w:tcPr>
            <w:tcW w:w="976" w:type="dxa"/>
            <w:tcBorders>
              <w:top w:val="nil"/>
              <w:left w:val="single" w:sz="16" w:space="0" w:color="000000"/>
              <w:bottom w:val="nil"/>
            </w:tcBorders>
            <w:shd w:val="clear" w:color="auto" w:fill="FFFFFF"/>
            <w:vAlign w:val="center"/>
          </w:tcPr>
          <w:p w14:paraId="60ED8754"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2.027</w:t>
            </w:r>
          </w:p>
        </w:tc>
        <w:tc>
          <w:tcPr>
            <w:tcW w:w="1007" w:type="dxa"/>
            <w:tcBorders>
              <w:top w:val="nil"/>
              <w:bottom w:val="nil"/>
            </w:tcBorders>
            <w:shd w:val="clear" w:color="auto" w:fill="FFFFFF"/>
            <w:vAlign w:val="center"/>
          </w:tcPr>
          <w:p w14:paraId="136D9C1A"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37.154</w:t>
            </w:r>
            <w:r w:rsidRPr="006B027F">
              <w:rPr>
                <w:rFonts w:cs="Arial"/>
                <w:color w:val="000000"/>
                <w:sz w:val="20"/>
                <w:szCs w:val="20"/>
                <w:vertAlign w:val="superscript"/>
              </w:rPr>
              <w:t>b</w:t>
            </w:r>
          </w:p>
        </w:tc>
        <w:tc>
          <w:tcPr>
            <w:tcW w:w="1400" w:type="dxa"/>
            <w:tcBorders>
              <w:top w:val="nil"/>
              <w:bottom w:val="nil"/>
            </w:tcBorders>
            <w:shd w:val="clear" w:color="auto" w:fill="FFFFFF"/>
            <w:vAlign w:val="center"/>
          </w:tcPr>
          <w:p w14:paraId="6F0A4B36"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3.000</w:t>
            </w:r>
          </w:p>
        </w:tc>
        <w:tc>
          <w:tcPr>
            <w:tcW w:w="976" w:type="dxa"/>
            <w:tcBorders>
              <w:top w:val="nil"/>
              <w:bottom w:val="nil"/>
            </w:tcBorders>
            <w:shd w:val="clear" w:color="auto" w:fill="FFFFFF"/>
            <w:vAlign w:val="center"/>
          </w:tcPr>
          <w:p w14:paraId="78F4588A"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55.000</w:t>
            </w:r>
          </w:p>
        </w:tc>
        <w:tc>
          <w:tcPr>
            <w:tcW w:w="976" w:type="dxa"/>
            <w:tcBorders>
              <w:top w:val="nil"/>
              <w:bottom w:val="nil"/>
              <w:right w:val="single" w:sz="16" w:space="0" w:color="000000"/>
            </w:tcBorders>
            <w:shd w:val="clear" w:color="auto" w:fill="FFFFFF"/>
            <w:vAlign w:val="center"/>
          </w:tcPr>
          <w:p w14:paraId="50F5A523"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.000</w:t>
            </w:r>
          </w:p>
        </w:tc>
      </w:tr>
      <w:tr w:rsidR="00036EBB" w:rsidRPr="008005DD" w14:paraId="6DCF3B2A" w14:textId="77777777" w:rsidTr="006B027F">
        <w:trPr>
          <w:cantSplit/>
          <w:trHeight w:val="158"/>
        </w:trPr>
        <w:tc>
          <w:tcPr>
            <w:tcW w:w="1749" w:type="dxa"/>
            <w:vMerge/>
            <w:tcBorders>
              <w:top w:val="single" w:sz="16" w:space="0" w:color="000000"/>
              <w:left w:val="single" w:sz="16" w:space="0" w:color="000000"/>
              <w:bottom w:val="single" w:sz="16" w:space="0" w:color="000000"/>
              <w:right w:val="nil"/>
            </w:tcBorders>
            <w:shd w:val="clear" w:color="auto" w:fill="FFFFFF"/>
          </w:tcPr>
          <w:p w14:paraId="2647E605" w14:textId="77777777" w:rsidR="006E47E2" w:rsidRPr="006B027F" w:rsidRDefault="006E47E2" w:rsidP="006E47E2">
            <w:pPr>
              <w:widowControl w:val="0"/>
              <w:autoSpaceDE w:val="0"/>
              <w:autoSpaceDN w:val="0"/>
              <w:adjustRightInd w:val="0"/>
              <w:rPr>
                <w:rFonts w:cs="Arial"/>
                <w:color w:val="000000"/>
                <w:sz w:val="20"/>
                <w:szCs w:val="20"/>
              </w:rPr>
            </w:pPr>
          </w:p>
        </w:tc>
        <w:tc>
          <w:tcPr>
            <w:tcW w:w="1751" w:type="dxa"/>
            <w:tcBorders>
              <w:top w:val="nil"/>
              <w:left w:val="nil"/>
              <w:bottom w:val="single" w:sz="16" w:space="0" w:color="000000"/>
              <w:right w:val="single" w:sz="16" w:space="0" w:color="000000"/>
            </w:tcBorders>
            <w:shd w:val="clear" w:color="auto" w:fill="FFFFFF"/>
          </w:tcPr>
          <w:p w14:paraId="2F501214"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Roy's Largest Root</w:t>
            </w:r>
          </w:p>
        </w:tc>
        <w:tc>
          <w:tcPr>
            <w:tcW w:w="976" w:type="dxa"/>
            <w:tcBorders>
              <w:top w:val="nil"/>
              <w:left w:val="single" w:sz="16" w:space="0" w:color="000000"/>
              <w:bottom w:val="single" w:sz="16" w:space="0" w:color="000000"/>
            </w:tcBorders>
            <w:shd w:val="clear" w:color="auto" w:fill="FFFFFF"/>
            <w:vAlign w:val="center"/>
          </w:tcPr>
          <w:p w14:paraId="2DD24EF3"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2.027</w:t>
            </w:r>
          </w:p>
        </w:tc>
        <w:tc>
          <w:tcPr>
            <w:tcW w:w="1007" w:type="dxa"/>
            <w:tcBorders>
              <w:top w:val="nil"/>
              <w:bottom w:val="single" w:sz="16" w:space="0" w:color="000000"/>
            </w:tcBorders>
            <w:shd w:val="clear" w:color="auto" w:fill="FFFFFF"/>
            <w:vAlign w:val="center"/>
          </w:tcPr>
          <w:p w14:paraId="782B9744"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37.154</w:t>
            </w:r>
            <w:r w:rsidRPr="006B027F">
              <w:rPr>
                <w:rFonts w:cs="Arial"/>
                <w:color w:val="000000"/>
                <w:sz w:val="20"/>
                <w:szCs w:val="20"/>
                <w:vertAlign w:val="superscript"/>
              </w:rPr>
              <w:t>b</w:t>
            </w:r>
          </w:p>
        </w:tc>
        <w:tc>
          <w:tcPr>
            <w:tcW w:w="1400" w:type="dxa"/>
            <w:tcBorders>
              <w:top w:val="nil"/>
              <w:bottom w:val="single" w:sz="16" w:space="0" w:color="000000"/>
            </w:tcBorders>
            <w:shd w:val="clear" w:color="auto" w:fill="FFFFFF"/>
            <w:vAlign w:val="center"/>
          </w:tcPr>
          <w:p w14:paraId="3B57077C"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3.000</w:t>
            </w:r>
          </w:p>
        </w:tc>
        <w:tc>
          <w:tcPr>
            <w:tcW w:w="976" w:type="dxa"/>
            <w:tcBorders>
              <w:top w:val="nil"/>
              <w:bottom w:val="single" w:sz="16" w:space="0" w:color="000000"/>
            </w:tcBorders>
            <w:shd w:val="clear" w:color="auto" w:fill="FFFFFF"/>
            <w:vAlign w:val="center"/>
          </w:tcPr>
          <w:p w14:paraId="14C6FC96"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55.000</w:t>
            </w:r>
          </w:p>
        </w:tc>
        <w:tc>
          <w:tcPr>
            <w:tcW w:w="976" w:type="dxa"/>
            <w:tcBorders>
              <w:top w:val="nil"/>
              <w:bottom w:val="single" w:sz="16" w:space="0" w:color="000000"/>
              <w:right w:val="single" w:sz="16" w:space="0" w:color="000000"/>
            </w:tcBorders>
            <w:shd w:val="clear" w:color="auto" w:fill="FFFFFF"/>
            <w:vAlign w:val="center"/>
          </w:tcPr>
          <w:p w14:paraId="30D4C67B"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.000</w:t>
            </w:r>
          </w:p>
        </w:tc>
      </w:tr>
    </w:tbl>
    <w:p w14:paraId="348EE1A2" w14:textId="77777777" w:rsidR="006E47E2" w:rsidRPr="008005DD" w:rsidRDefault="006E47E2" w:rsidP="006E47E2">
      <w:pPr>
        <w:widowControl w:val="0"/>
        <w:autoSpaceDE w:val="0"/>
        <w:autoSpaceDN w:val="0"/>
        <w:adjustRightInd w:val="0"/>
        <w:rPr>
          <w:rFonts w:ascii="Times New Roman" w:hAnsi="Times New Roman"/>
        </w:rPr>
      </w:pPr>
    </w:p>
    <w:tbl>
      <w:tblPr>
        <w:tblW w:w="88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71"/>
        <w:gridCol w:w="1078"/>
        <w:gridCol w:w="1178"/>
        <w:gridCol w:w="819"/>
        <w:gridCol w:w="819"/>
        <w:gridCol w:w="1178"/>
        <w:gridCol w:w="1107"/>
        <w:gridCol w:w="1180"/>
        <w:gridCol w:w="6"/>
      </w:tblGrid>
      <w:tr w:rsidR="00036EBB" w:rsidRPr="008005DD" w14:paraId="16290995" w14:textId="77777777" w:rsidTr="00036EBB">
        <w:trPr>
          <w:cantSplit/>
          <w:trHeight w:val="798"/>
        </w:trPr>
        <w:tc>
          <w:tcPr>
            <w:tcW w:w="8836" w:type="dxa"/>
            <w:gridSpan w:val="9"/>
            <w:tcBorders>
              <w:top w:val="nil"/>
              <w:left w:val="nil"/>
              <w:bottom w:val="nil"/>
              <w:right w:val="nil"/>
            </w:tcBorders>
            <w:shd w:val="clear" w:color="auto" w:fill="FFFFFF"/>
            <w:vAlign w:val="center"/>
          </w:tcPr>
          <w:p w14:paraId="6872C629" w14:textId="77777777" w:rsidR="006E47E2" w:rsidRPr="008005DD" w:rsidRDefault="006E47E2" w:rsidP="006E47E2">
            <w:pPr>
              <w:widowControl w:val="0"/>
              <w:autoSpaceDE w:val="0"/>
              <w:autoSpaceDN w:val="0"/>
              <w:adjustRightInd w:val="0"/>
              <w:spacing w:line="320" w:lineRule="atLeast"/>
              <w:ind w:left="60" w:right="60"/>
              <w:jc w:val="center"/>
              <w:rPr>
                <w:rFonts w:cs="Arial"/>
                <w:color w:val="000000"/>
              </w:rPr>
            </w:pPr>
            <w:r w:rsidRPr="008005DD">
              <w:rPr>
                <w:rFonts w:cs="Arial"/>
                <w:b/>
                <w:bCs/>
                <w:color w:val="000000"/>
              </w:rPr>
              <w:t xml:space="preserve">Mauchly's Test of </w:t>
            </w:r>
            <w:proofErr w:type="spellStart"/>
            <w:r w:rsidRPr="008005DD">
              <w:rPr>
                <w:rFonts w:cs="Arial"/>
                <w:b/>
                <w:bCs/>
                <w:color w:val="000000"/>
              </w:rPr>
              <w:t>Sphericity</w:t>
            </w:r>
            <w:r w:rsidRPr="008005DD">
              <w:rPr>
                <w:rFonts w:cs="Arial"/>
                <w:b/>
                <w:bCs/>
                <w:color w:val="000000"/>
                <w:vertAlign w:val="superscript"/>
              </w:rPr>
              <w:t>a</w:t>
            </w:r>
            <w:proofErr w:type="spellEnd"/>
          </w:p>
        </w:tc>
      </w:tr>
      <w:tr w:rsidR="00036EBB" w:rsidRPr="008005DD" w14:paraId="16E67864" w14:textId="77777777" w:rsidTr="00036EBB">
        <w:trPr>
          <w:cantSplit/>
          <w:trHeight w:val="798"/>
        </w:trPr>
        <w:tc>
          <w:tcPr>
            <w:tcW w:w="8836" w:type="dxa"/>
            <w:gridSpan w:val="9"/>
            <w:tcBorders>
              <w:top w:val="nil"/>
              <w:left w:val="nil"/>
              <w:bottom w:val="nil"/>
              <w:right w:val="nil"/>
            </w:tcBorders>
            <w:shd w:val="clear" w:color="auto" w:fill="FFFFFF"/>
            <w:vAlign w:val="bottom"/>
          </w:tcPr>
          <w:p w14:paraId="3F61682E" w14:textId="7DB055A4" w:rsidR="006E47E2" w:rsidRPr="008005DD" w:rsidRDefault="006E47E2" w:rsidP="006E47E2">
            <w:pPr>
              <w:widowControl w:val="0"/>
              <w:autoSpaceDE w:val="0"/>
              <w:autoSpaceDN w:val="0"/>
              <w:adjustRightInd w:val="0"/>
              <w:spacing w:line="320" w:lineRule="atLeast"/>
              <w:rPr>
                <w:rFonts w:ascii="Times New Roman" w:hAnsi="Times New Roman"/>
              </w:rPr>
            </w:pPr>
          </w:p>
        </w:tc>
      </w:tr>
      <w:tr w:rsidR="00036EBB" w:rsidRPr="008005DD" w14:paraId="2BDBC329" w14:textId="77777777" w:rsidTr="006B027F">
        <w:trPr>
          <w:gridAfter w:val="1"/>
          <w:wAfter w:w="6" w:type="dxa"/>
          <w:cantSplit/>
          <w:trHeight w:val="692"/>
        </w:trPr>
        <w:tc>
          <w:tcPr>
            <w:tcW w:w="1471" w:type="dxa"/>
            <w:vMerge w:val="restart"/>
            <w:tcBorders>
              <w:top w:val="single" w:sz="16" w:space="0" w:color="000000"/>
              <w:left w:val="single" w:sz="16" w:space="0" w:color="000000"/>
              <w:bottom w:val="nil"/>
              <w:right w:val="single" w:sz="16" w:space="0" w:color="000000"/>
            </w:tcBorders>
            <w:shd w:val="clear" w:color="auto" w:fill="FFFFFF"/>
            <w:vAlign w:val="bottom"/>
          </w:tcPr>
          <w:p w14:paraId="22A55957" w14:textId="77777777"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Within Subjects Effect</w:t>
            </w:r>
          </w:p>
        </w:tc>
        <w:tc>
          <w:tcPr>
            <w:tcW w:w="1078" w:type="dxa"/>
            <w:vMerge w:val="restart"/>
            <w:tcBorders>
              <w:top w:val="single" w:sz="16" w:space="0" w:color="000000"/>
              <w:left w:val="single" w:sz="16" w:space="0" w:color="000000"/>
            </w:tcBorders>
            <w:shd w:val="clear" w:color="auto" w:fill="FFFFFF"/>
            <w:vAlign w:val="bottom"/>
          </w:tcPr>
          <w:p w14:paraId="3C611D3F"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Mauchly's W</w:t>
            </w:r>
          </w:p>
        </w:tc>
        <w:tc>
          <w:tcPr>
            <w:tcW w:w="1178" w:type="dxa"/>
            <w:vMerge w:val="restart"/>
            <w:tcBorders>
              <w:top w:val="single" w:sz="16" w:space="0" w:color="000000"/>
            </w:tcBorders>
            <w:shd w:val="clear" w:color="auto" w:fill="FFFFFF"/>
            <w:vAlign w:val="bottom"/>
          </w:tcPr>
          <w:p w14:paraId="74ABCE07"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Approx. Chi-Square</w:t>
            </w:r>
          </w:p>
        </w:tc>
        <w:tc>
          <w:tcPr>
            <w:tcW w:w="819" w:type="dxa"/>
            <w:vMerge w:val="restart"/>
            <w:tcBorders>
              <w:top w:val="single" w:sz="16" w:space="0" w:color="000000"/>
            </w:tcBorders>
            <w:shd w:val="clear" w:color="auto" w:fill="FFFFFF"/>
            <w:vAlign w:val="bottom"/>
          </w:tcPr>
          <w:p w14:paraId="7E0BE211"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proofErr w:type="spellStart"/>
            <w:r w:rsidRPr="00036EBB">
              <w:rPr>
                <w:rFonts w:cs="Arial"/>
                <w:color w:val="000000"/>
                <w:sz w:val="20"/>
                <w:szCs w:val="20"/>
              </w:rPr>
              <w:t>df</w:t>
            </w:r>
            <w:proofErr w:type="spellEnd"/>
          </w:p>
        </w:tc>
        <w:tc>
          <w:tcPr>
            <w:tcW w:w="819" w:type="dxa"/>
            <w:vMerge w:val="restart"/>
            <w:tcBorders>
              <w:top w:val="single" w:sz="16" w:space="0" w:color="000000"/>
            </w:tcBorders>
            <w:shd w:val="clear" w:color="auto" w:fill="FFFFFF"/>
            <w:vAlign w:val="bottom"/>
          </w:tcPr>
          <w:p w14:paraId="28ECAC60"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Sig.</w:t>
            </w:r>
          </w:p>
        </w:tc>
        <w:tc>
          <w:tcPr>
            <w:tcW w:w="3465" w:type="dxa"/>
            <w:gridSpan w:val="3"/>
            <w:tcBorders>
              <w:top w:val="single" w:sz="16" w:space="0" w:color="000000"/>
              <w:right w:val="single" w:sz="16" w:space="0" w:color="000000"/>
            </w:tcBorders>
            <w:shd w:val="clear" w:color="auto" w:fill="FFFFFF"/>
            <w:vAlign w:val="bottom"/>
          </w:tcPr>
          <w:p w14:paraId="1A9D9EA4"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proofErr w:type="spellStart"/>
            <w:r w:rsidRPr="00036EBB">
              <w:rPr>
                <w:rFonts w:cs="Arial"/>
                <w:color w:val="000000"/>
                <w:sz w:val="20"/>
                <w:szCs w:val="20"/>
              </w:rPr>
              <w:t>Epsilon</w:t>
            </w:r>
            <w:r w:rsidRPr="00036EBB">
              <w:rPr>
                <w:rFonts w:cs="Arial"/>
                <w:color w:val="000000"/>
                <w:sz w:val="20"/>
                <w:szCs w:val="20"/>
                <w:vertAlign w:val="superscript"/>
              </w:rPr>
              <w:t>b</w:t>
            </w:r>
            <w:proofErr w:type="spellEnd"/>
          </w:p>
        </w:tc>
      </w:tr>
      <w:tr w:rsidR="00036EBB" w:rsidRPr="008005DD" w14:paraId="34D114F6" w14:textId="77777777" w:rsidTr="006B027F">
        <w:trPr>
          <w:gridAfter w:val="1"/>
          <w:wAfter w:w="6" w:type="dxa"/>
          <w:cantSplit/>
          <w:trHeight w:val="150"/>
        </w:trPr>
        <w:tc>
          <w:tcPr>
            <w:tcW w:w="1471" w:type="dxa"/>
            <w:vMerge/>
            <w:tcBorders>
              <w:top w:val="single" w:sz="16" w:space="0" w:color="000000"/>
              <w:left w:val="single" w:sz="16" w:space="0" w:color="000000"/>
              <w:bottom w:val="nil"/>
              <w:right w:val="single" w:sz="16" w:space="0" w:color="000000"/>
            </w:tcBorders>
            <w:shd w:val="clear" w:color="auto" w:fill="FFFFFF"/>
            <w:vAlign w:val="bottom"/>
          </w:tcPr>
          <w:p w14:paraId="28DABD9C"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078" w:type="dxa"/>
            <w:vMerge/>
            <w:tcBorders>
              <w:top w:val="single" w:sz="16" w:space="0" w:color="000000"/>
              <w:left w:val="single" w:sz="16" w:space="0" w:color="000000"/>
            </w:tcBorders>
            <w:shd w:val="clear" w:color="auto" w:fill="FFFFFF"/>
            <w:vAlign w:val="bottom"/>
          </w:tcPr>
          <w:p w14:paraId="6AA8C89C"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178" w:type="dxa"/>
            <w:vMerge/>
            <w:tcBorders>
              <w:top w:val="single" w:sz="16" w:space="0" w:color="000000"/>
            </w:tcBorders>
            <w:shd w:val="clear" w:color="auto" w:fill="FFFFFF"/>
            <w:vAlign w:val="bottom"/>
          </w:tcPr>
          <w:p w14:paraId="6824F8B0"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819" w:type="dxa"/>
            <w:vMerge/>
            <w:tcBorders>
              <w:top w:val="single" w:sz="16" w:space="0" w:color="000000"/>
            </w:tcBorders>
            <w:shd w:val="clear" w:color="auto" w:fill="FFFFFF"/>
            <w:vAlign w:val="bottom"/>
          </w:tcPr>
          <w:p w14:paraId="6D6566FB"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819" w:type="dxa"/>
            <w:vMerge/>
            <w:tcBorders>
              <w:top w:val="single" w:sz="16" w:space="0" w:color="000000"/>
            </w:tcBorders>
            <w:shd w:val="clear" w:color="auto" w:fill="FFFFFF"/>
            <w:vAlign w:val="bottom"/>
          </w:tcPr>
          <w:p w14:paraId="662C8C5D"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178" w:type="dxa"/>
            <w:tcBorders>
              <w:bottom w:val="single" w:sz="16" w:space="0" w:color="000000"/>
            </w:tcBorders>
            <w:shd w:val="clear" w:color="auto" w:fill="FFFFFF"/>
            <w:vAlign w:val="bottom"/>
          </w:tcPr>
          <w:p w14:paraId="5611BC40"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Greenhouse-</w:t>
            </w:r>
            <w:proofErr w:type="spellStart"/>
            <w:r w:rsidRPr="006B027F">
              <w:rPr>
                <w:rFonts w:cs="Arial"/>
                <w:color w:val="000000"/>
                <w:sz w:val="20"/>
                <w:szCs w:val="20"/>
              </w:rPr>
              <w:t>Geisser</w:t>
            </w:r>
            <w:proofErr w:type="spellEnd"/>
          </w:p>
        </w:tc>
        <w:tc>
          <w:tcPr>
            <w:tcW w:w="1107" w:type="dxa"/>
            <w:tcBorders>
              <w:bottom w:val="single" w:sz="16" w:space="0" w:color="000000"/>
            </w:tcBorders>
            <w:shd w:val="clear" w:color="auto" w:fill="FFFFFF"/>
            <w:vAlign w:val="bottom"/>
          </w:tcPr>
          <w:p w14:paraId="016FD5BF"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Huynh-Feldt</w:t>
            </w:r>
          </w:p>
        </w:tc>
        <w:tc>
          <w:tcPr>
            <w:tcW w:w="1180" w:type="dxa"/>
            <w:tcBorders>
              <w:bottom w:val="single" w:sz="16" w:space="0" w:color="000000"/>
              <w:right w:val="single" w:sz="16" w:space="0" w:color="000000"/>
            </w:tcBorders>
            <w:shd w:val="clear" w:color="auto" w:fill="FFFFFF"/>
            <w:vAlign w:val="bottom"/>
          </w:tcPr>
          <w:p w14:paraId="3A67A27B"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Lower-bound</w:t>
            </w:r>
          </w:p>
        </w:tc>
      </w:tr>
      <w:tr w:rsidR="00036EBB" w:rsidRPr="008005DD" w14:paraId="101B8534" w14:textId="77777777" w:rsidTr="006B027F">
        <w:trPr>
          <w:gridAfter w:val="1"/>
          <w:wAfter w:w="6" w:type="dxa"/>
          <w:cantSplit/>
          <w:trHeight w:val="715"/>
        </w:trPr>
        <w:tc>
          <w:tcPr>
            <w:tcW w:w="1471" w:type="dxa"/>
            <w:tcBorders>
              <w:top w:val="single" w:sz="16" w:space="0" w:color="000000"/>
              <w:left w:val="single" w:sz="16" w:space="0" w:color="000000"/>
              <w:bottom w:val="single" w:sz="16" w:space="0" w:color="000000"/>
              <w:right w:val="single" w:sz="16" w:space="0" w:color="000000"/>
            </w:tcBorders>
            <w:shd w:val="clear" w:color="auto" w:fill="FFFFFF"/>
          </w:tcPr>
          <w:p w14:paraId="541E0339" w14:textId="70D28064"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Confidence</w:t>
            </w:r>
            <w:r w:rsidR="00036EBB">
              <w:rPr>
                <w:rFonts w:cs="Arial"/>
                <w:color w:val="000000"/>
                <w:sz w:val="20"/>
                <w:szCs w:val="20"/>
              </w:rPr>
              <w:t xml:space="preserve"> </w:t>
            </w:r>
            <w:r w:rsidRPr="00036EBB">
              <w:rPr>
                <w:rFonts w:cs="Arial"/>
                <w:color w:val="000000"/>
                <w:sz w:val="20"/>
                <w:szCs w:val="20"/>
              </w:rPr>
              <w:t>score</w:t>
            </w:r>
          </w:p>
        </w:tc>
        <w:tc>
          <w:tcPr>
            <w:tcW w:w="1078" w:type="dxa"/>
            <w:tcBorders>
              <w:top w:val="single" w:sz="16" w:space="0" w:color="000000"/>
              <w:left w:val="single" w:sz="16" w:space="0" w:color="000000"/>
              <w:bottom w:val="single" w:sz="16" w:space="0" w:color="000000"/>
            </w:tcBorders>
            <w:shd w:val="clear" w:color="auto" w:fill="FFFFFF"/>
            <w:vAlign w:val="center"/>
          </w:tcPr>
          <w:p w14:paraId="1E6E8417"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.700</w:t>
            </w:r>
          </w:p>
        </w:tc>
        <w:tc>
          <w:tcPr>
            <w:tcW w:w="1178" w:type="dxa"/>
            <w:tcBorders>
              <w:top w:val="single" w:sz="16" w:space="0" w:color="000000"/>
              <w:bottom w:val="single" w:sz="16" w:space="0" w:color="000000"/>
            </w:tcBorders>
            <w:shd w:val="clear" w:color="auto" w:fill="FFFFFF"/>
            <w:vAlign w:val="center"/>
          </w:tcPr>
          <w:p w14:paraId="10CE2CCB"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19.851</w:t>
            </w:r>
          </w:p>
        </w:tc>
        <w:tc>
          <w:tcPr>
            <w:tcW w:w="819" w:type="dxa"/>
            <w:tcBorders>
              <w:top w:val="single" w:sz="16" w:space="0" w:color="000000"/>
              <w:bottom w:val="single" w:sz="16" w:space="0" w:color="000000"/>
            </w:tcBorders>
            <w:shd w:val="clear" w:color="auto" w:fill="FFFFFF"/>
            <w:vAlign w:val="center"/>
          </w:tcPr>
          <w:p w14:paraId="50991155"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5</w:t>
            </w:r>
          </w:p>
        </w:tc>
        <w:tc>
          <w:tcPr>
            <w:tcW w:w="819" w:type="dxa"/>
            <w:tcBorders>
              <w:top w:val="single" w:sz="16" w:space="0" w:color="000000"/>
              <w:bottom w:val="single" w:sz="16" w:space="0" w:color="000000"/>
            </w:tcBorders>
            <w:shd w:val="clear" w:color="auto" w:fill="FFFFFF"/>
            <w:vAlign w:val="center"/>
          </w:tcPr>
          <w:p w14:paraId="1B3ABC74"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.001</w:t>
            </w:r>
          </w:p>
        </w:tc>
        <w:tc>
          <w:tcPr>
            <w:tcW w:w="1178" w:type="dxa"/>
            <w:tcBorders>
              <w:top w:val="single" w:sz="16" w:space="0" w:color="000000"/>
              <w:bottom w:val="single" w:sz="16" w:space="0" w:color="000000"/>
            </w:tcBorders>
            <w:shd w:val="clear" w:color="auto" w:fill="FFFFFF"/>
            <w:vAlign w:val="center"/>
          </w:tcPr>
          <w:p w14:paraId="375C6810"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.827</w:t>
            </w:r>
          </w:p>
        </w:tc>
        <w:tc>
          <w:tcPr>
            <w:tcW w:w="1107" w:type="dxa"/>
            <w:tcBorders>
              <w:top w:val="single" w:sz="16" w:space="0" w:color="000000"/>
              <w:bottom w:val="single" w:sz="16" w:space="0" w:color="000000"/>
            </w:tcBorders>
            <w:shd w:val="clear" w:color="auto" w:fill="FFFFFF"/>
            <w:vAlign w:val="center"/>
          </w:tcPr>
          <w:p w14:paraId="6F10F0F2"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.867</w:t>
            </w:r>
          </w:p>
        </w:tc>
        <w:tc>
          <w:tcPr>
            <w:tcW w:w="1180" w:type="dxa"/>
            <w:tcBorders>
              <w:top w:val="single" w:sz="16" w:space="0" w:color="000000"/>
              <w:bottom w:val="single" w:sz="16" w:space="0" w:color="000000"/>
              <w:right w:val="single" w:sz="16" w:space="0" w:color="000000"/>
            </w:tcBorders>
            <w:shd w:val="clear" w:color="auto" w:fill="FFFFFF"/>
            <w:vAlign w:val="center"/>
          </w:tcPr>
          <w:p w14:paraId="77F86A86"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.333</w:t>
            </w:r>
          </w:p>
        </w:tc>
      </w:tr>
      <w:tr w:rsidR="00036EBB" w:rsidRPr="008005DD" w14:paraId="2D9A1FFF" w14:textId="77777777" w:rsidTr="00036EBB">
        <w:trPr>
          <w:cantSplit/>
          <w:trHeight w:val="1134"/>
        </w:trPr>
        <w:tc>
          <w:tcPr>
            <w:tcW w:w="8836" w:type="dxa"/>
            <w:gridSpan w:val="9"/>
            <w:tcBorders>
              <w:top w:val="nil"/>
              <w:left w:val="nil"/>
              <w:bottom w:val="nil"/>
              <w:right w:val="nil"/>
            </w:tcBorders>
            <w:shd w:val="clear" w:color="auto" w:fill="FFFFFF"/>
          </w:tcPr>
          <w:p w14:paraId="0AD1CC5F" w14:textId="77777777" w:rsidR="006E47E2" w:rsidRPr="008005DD" w:rsidRDefault="006E47E2" w:rsidP="006E47E2">
            <w:pPr>
              <w:widowControl w:val="0"/>
              <w:autoSpaceDE w:val="0"/>
              <w:autoSpaceDN w:val="0"/>
              <w:adjustRightInd w:val="0"/>
              <w:spacing w:line="320" w:lineRule="atLeast"/>
              <w:ind w:left="60" w:right="60"/>
              <w:rPr>
                <w:rFonts w:cs="Arial"/>
                <w:color w:val="000000"/>
              </w:rPr>
            </w:pPr>
            <w:r w:rsidRPr="008005DD">
              <w:rPr>
                <w:rFonts w:cs="Arial"/>
                <w:color w:val="000000"/>
              </w:rPr>
              <w:t>Tests the null hypothesis that the error covariance matrix of the orthonormalized transformed dependent variables is proportional to an identity matrix.</w:t>
            </w:r>
          </w:p>
        </w:tc>
      </w:tr>
    </w:tbl>
    <w:p w14:paraId="6E22767F" w14:textId="77777777" w:rsidR="006E47E2" w:rsidRPr="008005DD" w:rsidRDefault="006E47E2" w:rsidP="006E47E2">
      <w:pPr>
        <w:widowControl w:val="0"/>
        <w:autoSpaceDE w:val="0"/>
        <w:autoSpaceDN w:val="0"/>
        <w:adjustRightInd w:val="0"/>
        <w:rPr>
          <w:rFonts w:ascii="Times New Roman" w:hAnsi="Times New Roman"/>
        </w:rPr>
      </w:pPr>
    </w:p>
    <w:tbl>
      <w:tblPr>
        <w:tblW w:w="9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68"/>
        <w:gridCol w:w="1768"/>
        <w:gridCol w:w="1415"/>
        <w:gridCol w:w="1048"/>
        <w:gridCol w:w="1384"/>
        <w:gridCol w:w="988"/>
        <w:gridCol w:w="990"/>
      </w:tblGrid>
      <w:tr w:rsidR="006E47E2" w:rsidRPr="008005DD" w14:paraId="299DFA6D" w14:textId="77777777" w:rsidTr="00E5281E">
        <w:trPr>
          <w:cantSplit/>
          <w:trHeight w:val="530"/>
        </w:trPr>
        <w:tc>
          <w:tcPr>
            <w:tcW w:w="9361" w:type="dxa"/>
            <w:gridSpan w:val="7"/>
            <w:tcBorders>
              <w:top w:val="nil"/>
              <w:left w:val="nil"/>
              <w:bottom w:val="nil"/>
              <w:right w:val="nil"/>
            </w:tcBorders>
            <w:shd w:val="clear" w:color="auto" w:fill="FFFFFF"/>
            <w:vAlign w:val="center"/>
          </w:tcPr>
          <w:p w14:paraId="3B28DC73" w14:textId="77777777" w:rsidR="006E47E2" w:rsidRPr="008005DD" w:rsidRDefault="006E47E2" w:rsidP="006E47E2">
            <w:pPr>
              <w:widowControl w:val="0"/>
              <w:autoSpaceDE w:val="0"/>
              <w:autoSpaceDN w:val="0"/>
              <w:adjustRightInd w:val="0"/>
              <w:spacing w:line="320" w:lineRule="atLeast"/>
              <w:ind w:left="60" w:right="60"/>
              <w:jc w:val="center"/>
              <w:rPr>
                <w:rFonts w:cs="Arial"/>
                <w:color w:val="000000"/>
              </w:rPr>
            </w:pPr>
            <w:r w:rsidRPr="008005DD">
              <w:rPr>
                <w:rFonts w:cs="Arial"/>
                <w:b/>
                <w:bCs/>
                <w:color w:val="000000"/>
              </w:rPr>
              <w:lastRenderedPageBreak/>
              <w:t>Tests of Within-Subjects Effects</w:t>
            </w:r>
          </w:p>
        </w:tc>
      </w:tr>
      <w:tr w:rsidR="006E47E2" w:rsidRPr="008005DD" w14:paraId="1A8FC26D" w14:textId="77777777" w:rsidTr="00E5281E">
        <w:trPr>
          <w:cantSplit/>
          <w:trHeight w:val="530"/>
        </w:trPr>
        <w:tc>
          <w:tcPr>
            <w:tcW w:w="9361" w:type="dxa"/>
            <w:gridSpan w:val="7"/>
            <w:tcBorders>
              <w:top w:val="nil"/>
              <w:left w:val="nil"/>
              <w:bottom w:val="nil"/>
              <w:right w:val="nil"/>
            </w:tcBorders>
            <w:shd w:val="clear" w:color="auto" w:fill="FFFFFF"/>
            <w:vAlign w:val="bottom"/>
          </w:tcPr>
          <w:p w14:paraId="2C9CE87D" w14:textId="6F0EF527" w:rsidR="006E47E2" w:rsidRPr="008005DD" w:rsidRDefault="006E47E2" w:rsidP="006E47E2">
            <w:pPr>
              <w:widowControl w:val="0"/>
              <w:autoSpaceDE w:val="0"/>
              <w:autoSpaceDN w:val="0"/>
              <w:adjustRightInd w:val="0"/>
              <w:spacing w:line="320" w:lineRule="atLeast"/>
              <w:rPr>
                <w:rFonts w:ascii="Times New Roman" w:hAnsi="Times New Roman"/>
              </w:rPr>
            </w:pPr>
          </w:p>
        </w:tc>
      </w:tr>
      <w:tr w:rsidR="00E5281E" w:rsidRPr="008005DD" w14:paraId="435EAB13" w14:textId="77777777" w:rsidTr="00E5281E">
        <w:trPr>
          <w:cantSplit/>
          <w:trHeight w:val="627"/>
        </w:trPr>
        <w:tc>
          <w:tcPr>
            <w:tcW w:w="3535" w:type="dxa"/>
            <w:gridSpan w:val="2"/>
            <w:tcBorders>
              <w:top w:val="single" w:sz="16" w:space="0" w:color="000000"/>
              <w:left w:val="single" w:sz="16" w:space="0" w:color="000000"/>
              <w:bottom w:val="single" w:sz="16" w:space="0" w:color="000000"/>
              <w:right w:val="nil"/>
            </w:tcBorders>
            <w:shd w:val="clear" w:color="auto" w:fill="FFFFFF"/>
            <w:vAlign w:val="bottom"/>
          </w:tcPr>
          <w:p w14:paraId="1822A039" w14:textId="77777777"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Source</w:t>
            </w:r>
          </w:p>
        </w:tc>
        <w:tc>
          <w:tcPr>
            <w:tcW w:w="1415" w:type="dxa"/>
            <w:tcBorders>
              <w:top w:val="single" w:sz="16" w:space="0" w:color="000000"/>
              <w:left w:val="single" w:sz="16" w:space="0" w:color="000000"/>
              <w:bottom w:val="single" w:sz="16" w:space="0" w:color="000000"/>
            </w:tcBorders>
            <w:shd w:val="clear" w:color="auto" w:fill="FFFFFF"/>
            <w:vAlign w:val="bottom"/>
          </w:tcPr>
          <w:p w14:paraId="03696F45"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Type III Sum of Squares</w:t>
            </w:r>
          </w:p>
        </w:tc>
        <w:tc>
          <w:tcPr>
            <w:tcW w:w="1048" w:type="dxa"/>
            <w:tcBorders>
              <w:top w:val="single" w:sz="16" w:space="0" w:color="000000"/>
              <w:bottom w:val="single" w:sz="16" w:space="0" w:color="000000"/>
            </w:tcBorders>
            <w:shd w:val="clear" w:color="auto" w:fill="FFFFFF"/>
            <w:vAlign w:val="bottom"/>
          </w:tcPr>
          <w:p w14:paraId="7EDE6542"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proofErr w:type="spellStart"/>
            <w:r w:rsidRPr="00036EBB">
              <w:rPr>
                <w:rFonts w:cs="Arial"/>
                <w:color w:val="000000"/>
                <w:sz w:val="20"/>
                <w:szCs w:val="20"/>
              </w:rPr>
              <w:t>df</w:t>
            </w:r>
            <w:proofErr w:type="spellEnd"/>
          </w:p>
        </w:tc>
        <w:tc>
          <w:tcPr>
            <w:tcW w:w="1384" w:type="dxa"/>
            <w:tcBorders>
              <w:top w:val="single" w:sz="16" w:space="0" w:color="000000"/>
              <w:bottom w:val="single" w:sz="16" w:space="0" w:color="000000"/>
            </w:tcBorders>
            <w:shd w:val="clear" w:color="auto" w:fill="FFFFFF"/>
            <w:vAlign w:val="bottom"/>
          </w:tcPr>
          <w:p w14:paraId="34DF81D9"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Mean Square</w:t>
            </w:r>
          </w:p>
        </w:tc>
        <w:tc>
          <w:tcPr>
            <w:tcW w:w="988" w:type="dxa"/>
            <w:tcBorders>
              <w:top w:val="single" w:sz="16" w:space="0" w:color="000000"/>
              <w:bottom w:val="single" w:sz="16" w:space="0" w:color="000000"/>
            </w:tcBorders>
            <w:shd w:val="clear" w:color="auto" w:fill="FFFFFF"/>
            <w:vAlign w:val="bottom"/>
          </w:tcPr>
          <w:p w14:paraId="7D8538D2"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F</w:t>
            </w:r>
          </w:p>
        </w:tc>
        <w:tc>
          <w:tcPr>
            <w:tcW w:w="988" w:type="dxa"/>
            <w:tcBorders>
              <w:top w:val="single" w:sz="16" w:space="0" w:color="000000"/>
              <w:bottom w:val="single" w:sz="16" w:space="0" w:color="000000"/>
              <w:right w:val="single" w:sz="16" w:space="0" w:color="000000"/>
            </w:tcBorders>
            <w:shd w:val="clear" w:color="auto" w:fill="FFFFFF"/>
            <w:vAlign w:val="bottom"/>
          </w:tcPr>
          <w:p w14:paraId="7AE1CC11"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Sig.</w:t>
            </w:r>
          </w:p>
        </w:tc>
      </w:tr>
      <w:tr w:rsidR="00E5281E" w:rsidRPr="008005DD" w14:paraId="19C3E8F7" w14:textId="77777777" w:rsidTr="00E5281E">
        <w:trPr>
          <w:cantSplit/>
          <w:trHeight w:val="473"/>
        </w:trPr>
        <w:tc>
          <w:tcPr>
            <w:tcW w:w="1768" w:type="dxa"/>
            <w:vMerge w:val="restart"/>
            <w:tcBorders>
              <w:top w:val="single" w:sz="16" w:space="0" w:color="000000"/>
              <w:left w:val="single" w:sz="16" w:space="0" w:color="000000"/>
              <w:right w:val="nil"/>
            </w:tcBorders>
            <w:shd w:val="clear" w:color="auto" w:fill="FFFFFF"/>
          </w:tcPr>
          <w:p w14:paraId="21D5DE55" w14:textId="57F791A9" w:rsidR="006E47E2" w:rsidRPr="00036EBB" w:rsidRDefault="00E5281E" w:rsidP="00036EBB">
            <w:pPr>
              <w:widowControl w:val="0"/>
              <w:autoSpaceDE w:val="0"/>
              <w:autoSpaceDN w:val="0"/>
              <w:adjustRightInd w:val="0"/>
              <w:spacing w:line="240" w:lineRule="auto"/>
              <w:ind w:left="60" w:right="60"/>
              <w:rPr>
                <w:rFonts w:cs="Arial"/>
                <w:color w:val="000000"/>
                <w:sz w:val="20"/>
                <w:szCs w:val="20"/>
              </w:rPr>
            </w:pPr>
            <w:r>
              <w:rPr>
                <w:rFonts w:cs="Arial"/>
                <w:color w:val="000000"/>
                <w:sz w:val="20"/>
                <w:szCs w:val="20"/>
              </w:rPr>
              <w:t xml:space="preserve">Confidence </w:t>
            </w:r>
            <w:r w:rsidR="006E47E2" w:rsidRPr="00036EBB">
              <w:rPr>
                <w:rFonts w:cs="Arial"/>
                <w:color w:val="000000"/>
                <w:sz w:val="20"/>
                <w:szCs w:val="20"/>
              </w:rPr>
              <w:t>score</w:t>
            </w:r>
          </w:p>
        </w:tc>
        <w:tc>
          <w:tcPr>
            <w:tcW w:w="1768" w:type="dxa"/>
            <w:tcBorders>
              <w:top w:val="single" w:sz="16" w:space="0" w:color="000000"/>
              <w:left w:val="nil"/>
              <w:bottom w:val="nil"/>
              <w:right w:val="single" w:sz="16" w:space="0" w:color="000000"/>
            </w:tcBorders>
            <w:shd w:val="clear" w:color="auto" w:fill="FFFFFF"/>
          </w:tcPr>
          <w:p w14:paraId="24BF21F8" w14:textId="77777777"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Sphericity Assumed</w:t>
            </w:r>
          </w:p>
        </w:tc>
        <w:tc>
          <w:tcPr>
            <w:tcW w:w="1415" w:type="dxa"/>
            <w:tcBorders>
              <w:top w:val="single" w:sz="16" w:space="0" w:color="000000"/>
              <w:left w:val="single" w:sz="16" w:space="0" w:color="000000"/>
              <w:bottom w:val="nil"/>
            </w:tcBorders>
            <w:shd w:val="clear" w:color="auto" w:fill="FFFFFF"/>
            <w:vAlign w:val="center"/>
          </w:tcPr>
          <w:p w14:paraId="5386FEAF" w14:textId="77777777" w:rsidR="006E47E2" w:rsidRPr="00036EBB" w:rsidRDefault="006E47E2" w:rsidP="00036EBB">
            <w:pPr>
              <w:widowControl w:val="0"/>
              <w:autoSpaceDE w:val="0"/>
              <w:autoSpaceDN w:val="0"/>
              <w:adjustRightInd w:val="0"/>
              <w:spacing w:line="240" w:lineRule="auto"/>
              <w:ind w:left="60" w:right="60"/>
              <w:jc w:val="right"/>
              <w:rPr>
                <w:rFonts w:cs="Arial"/>
                <w:color w:val="000000"/>
                <w:sz w:val="20"/>
                <w:szCs w:val="20"/>
              </w:rPr>
            </w:pPr>
            <w:r w:rsidRPr="00036EBB">
              <w:rPr>
                <w:rFonts w:cs="Arial"/>
                <w:color w:val="000000"/>
                <w:sz w:val="20"/>
                <w:szCs w:val="20"/>
              </w:rPr>
              <w:t>120.776</w:t>
            </w:r>
          </w:p>
        </w:tc>
        <w:tc>
          <w:tcPr>
            <w:tcW w:w="1048" w:type="dxa"/>
            <w:tcBorders>
              <w:top w:val="single" w:sz="16" w:space="0" w:color="000000"/>
              <w:bottom w:val="nil"/>
            </w:tcBorders>
            <w:shd w:val="clear" w:color="auto" w:fill="FFFFFF"/>
            <w:vAlign w:val="center"/>
          </w:tcPr>
          <w:p w14:paraId="7CE5665F" w14:textId="77777777" w:rsidR="006E47E2" w:rsidRPr="00036EBB" w:rsidRDefault="006E47E2" w:rsidP="00036EBB">
            <w:pPr>
              <w:widowControl w:val="0"/>
              <w:autoSpaceDE w:val="0"/>
              <w:autoSpaceDN w:val="0"/>
              <w:adjustRightInd w:val="0"/>
              <w:spacing w:line="240" w:lineRule="auto"/>
              <w:ind w:left="60" w:right="60"/>
              <w:jc w:val="right"/>
              <w:rPr>
                <w:rFonts w:cs="Arial"/>
                <w:color w:val="000000"/>
                <w:sz w:val="20"/>
                <w:szCs w:val="20"/>
              </w:rPr>
            </w:pPr>
            <w:r w:rsidRPr="00036EBB">
              <w:rPr>
                <w:rFonts w:cs="Arial"/>
                <w:color w:val="000000"/>
                <w:sz w:val="20"/>
                <w:szCs w:val="20"/>
              </w:rPr>
              <w:t>3</w:t>
            </w:r>
          </w:p>
        </w:tc>
        <w:tc>
          <w:tcPr>
            <w:tcW w:w="1384" w:type="dxa"/>
            <w:tcBorders>
              <w:top w:val="single" w:sz="16" w:space="0" w:color="000000"/>
              <w:bottom w:val="nil"/>
            </w:tcBorders>
            <w:shd w:val="clear" w:color="auto" w:fill="FFFFFF"/>
            <w:vAlign w:val="center"/>
          </w:tcPr>
          <w:p w14:paraId="079552CF" w14:textId="77777777" w:rsidR="006E47E2" w:rsidRPr="00036EBB" w:rsidRDefault="006E47E2" w:rsidP="00036EBB">
            <w:pPr>
              <w:widowControl w:val="0"/>
              <w:autoSpaceDE w:val="0"/>
              <w:autoSpaceDN w:val="0"/>
              <w:adjustRightInd w:val="0"/>
              <w:spacing w:line="240" w:lineRule="auto"/>
              <w:ind w:left="60" w:right="60"/>
              <w:jc w:val="right"/>
              <w:rPr>
                <w:rFonts w:cs="Arial"/>
                <w:color w:val="000000"/>
                <w:sz w:val="20"/>
                <w:szCs w:val="20"/>
              </w:rPr>
            </w:pPr>
            <w:r w:rsidRPr="00036EBB">
              <w:rPr>
                <w:rFonts w:cs="Arial"/>
                <w:color w:val="000000"/>
                <w:sz w:val="20"/>
                <w:szCs w:val="20"/>
              </w:rPr>
              <w:t>40.259</w:t>
            </w:r>
          </w:p>
        </w:tc>
        <w:tc>
          <w:tcPr>
            <w:tcW w:w="988" w:type="dxa"/>
            <w:tcBorders>
              <w:top w:val="single" w:sz="16" w:space="0" w:color="000000"/>
              <w:bottom w:val="nil"/>
            </w:tcBorders>
            <w:shd w:val="clear" w:color="auto" w:fill="FFFFFF"/>
            <w:vAlign w:val="center"/>
          </w:tcPr>
          <w:p w14:paraId="06969244" w14:textId="77777777" w:rsidR="006E47E2" w:rsidRPr="00036EBB" w:rsidRDefault="006E47E2" w:rsidP="00036EBB">
            <w:pPr>
              <w:widowControl w:val="0"/>
              <w:autoSpaceDE w:val="0"/>
              <w:autoSpaceDN w:val="0"/>
              <w:adjustRightInd w:val="0"/>
              <w:spacing w:line="240" w:lineRule="auto"/>
              <w:ind w:left="60" w:right="60"/>
              <w:jc w:val="right"/>
              <w:rPr>
                <w:rFonts w:cs="Arial"/>
                <w:color w:val="000000"/>
                <w:sz w:val="20"/>
                <w:szCs w:val="20"/>
              </w:rPr>
            </w:pPr>
            <w:r w:rsidRPr="00036EBB">
              <w:rPr>
                <w:rFonts w:cs="Arial"/>
                <w:color w:val="000000"/>
                <w:sz w:val="20"/>
                <w:szCs w:val="20"/>
              </w:rPr>
              <w:t>49.986</w:t>
            </w:r>
          </w:p>
        </w:tc>
        <w:tc>
          <w:tcPr>
            <w:tcW w:w="988" w:type="dxa"/>
            <w:tcBorders>
              <w:top w:val="single" w:sz="16" w:space="0" w:color="000000"/>
              <w:bottom w:val="nil"/>
              <w:right w:val="single" w:sz="16" w:space="0" w:color="000000"/>
            </w:tcBorders>
            <w:shd w:val="clear" w:color="auto" w:fill="FFFFFF"/>
            <w:vAlign w:val="center"/>
          </w:tcPr>
          <w:p w14:paraId="5975DD9E" w14:textId="77777777" w:rsidR="006E47E2" w:rsidRPr="00036EBB" w:rsidRDefault="006E47E2" w:rsidP="00036EBB">
            <w:pPr>
              <w:widowControl w:val="0"/>
              <w:autoSpaceDE w:val="0"/>
              <w:autoSpaceDN w:val="0"/>
              <w:adjustRightInd w:val="0"/>
              <w:spacing w:line="240" w:lineRule="auto"/>
              <w:ind w:left="60" w:right="60"/>
              <w:jc w:val="right"/>
              <w:rPr>
                <w:rFonts w:cs="Arial"/>
                <w:color w:val="000000"/>
                <w:sz w:val="20"/>
                <w:szCs w:val="20"/>
              </w:rPr>
            </w:pPr>
            <w:r w:rsidRPr="00036EBB">
              <w:rPr>
                <w:rFonts w:cs="Arial"/>
                <w:color w:val="000000"/>
                <w:sz w:val="20"/>
                <w:szCs w:val="20"/>
              </w:rPr>
              <w:t>.000</w:t>
            </w:r>
          </w:p>
        </w:tc>
      </w:tr>
      <w:tr w:rsidR="00E5281E" w:rsidRPr="008005DD" w14:paraId="09D96C13" w14:textId="77777777" w:rsidTr="00E5281E">
        <w:trPr>
          <w:cantSplit/>
          <w:trHeight w:val="103"/>
        </w:trPr>
        <w:tc>
          <w:tcPr>
            <w:tcW w:w="1768" w:type="dxa"/>
            <w:vMerge/>
            <w:tcBorders>
              <w:top w:val="single" w:sz="16" w:space="0" w:color="000000"/>
              <w:left w:val="single" w:sz="16" w:space="0" w:color="000000"/>
              <w:right w:val="nil"/>
            </w:tcBorders>
            <w:shd w:val="clear" w:color="auto" w:fill="FFFFFF"/>
          </w:tcPr>
          <w:p w14:paraId="0BCD1B28"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768" w:type="dxa"/>
            <w:tcBorders>
              <w:top w:val="nil"/>
              <w:left w:val="nil"/>
              <w:bottom w:val="nil"/>
              <w:right w:val="single" w:sz="16" w:space="0" w:color="000000"/>
            </w:tcBorders>
            <w:shd w:val="clear" w:color="auto" w:fill="FFFFFF"/>
          </w:tcPr>
          <w:p w14:paraId="569795B0"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Greenhouse-</w:t>
            </w:r>
            <w:proofErr w:type="spellStart"/>
            <w:r w:rsidRPr="006B027F">
              <w:rPr>
                <w:rFonts w:cs="Arial"/>
                <w:color w:val="000000"/>
                <w:sz w:val="20"/>
                <w:szCs w:val="20"/>
              </w:rPr>
              <w:t>Geisser</w:t>
            </w:r>
            <w:proofErr w:type="spellEnd"/>
          </w:p>
        </w:tc>
        <w:tc>
          <w:tcPr>
            <w:tcW w:w="1415" w:type="dxa"/>
            <w:tcBorders>
              <w:top w:val="nil"/>
              <w:left w:val="single" w:sz="16" w:space="0" w:color="000000"/>
              <w:bottom w:val="nil"/>
            </w:tcBorders>
            <w:shd w:val="clear" w:color="auto" w:fill="FFFFFF"/>
            <w:vAlign w:val="center"/>
          </w:tcPr>
          <w:p w14:paraId="105657B5"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120.776</w:t>
            </w:r>
          </w:p>
        </w:tc>
        <w:tc>
          <w:tcPr>
            <w:tcW w:w="1048" w:type="dxa"/>
            <w:tcBorders>
              <w:top w:val="nil"/>
              <w:bottom w:val="nil"/>
            </w:tcBorders>
            <w:shd w:val="clear" w:color="auto" w:fill="FFFFFF"/>
            <w:vAlign w:val="center"/>
          </w:tcPr>
          <w:p w14:paraId="5B6F7B44"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2.480</w:t>
            </w:r>
          </w:p>
        </w:tc>
        <w:tc>
          <w:tcPr>
            <w:tcW w:w="1384" w:type="dxa"/>
            <w:tcBorders>
              <w:top w:val="nil"/>
              <w:bottom w:val="nil"/>
            </w:tcBorders>
            <w:shd w:val="clear" w:color="auto" w:fill="FFFFFF"/>
            <w:vAlign w:val="center"/>
          </w:tcPr>
          <w:p w14:paraId="5ED8C89A"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48.703</w:t>
            </w:r>
          </w:p>
        </w:tc>
        <w:tc>
          <w:tcPr>
            <w:tcW w:w="988" w:type="dxa"/>
            <w:tcBorders>
              <w:top w:val="nil"/>
              <w:bottom w:val="nil"/>
            </w:tcBorders>
            <w:shd w:val="clear" w:color="auto" w:fill="FFFFFF"/>
            <w:vAlign w:val="center"/>
          </w:tcPr>
          <w:p w14:paraId="3D94A12D"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49.986</w:t>
            </w:r>
          </w:p>
        </w:tc>
        <w:tc>
          <w:tcPr>
            <w:tcW w:w="988" w:type="dxa"/>
            <w:tcBorders>
              <w:top w:val="nil"/>
              <w:bottom w:val="nil"/>
              <w:right w:val="single" w:sz="16" w:space="0" w:color="000000"/>
            </w:tcBorders>
            <w:shd w:val="clear" w:color="auto" w:fill="FFFFFF"/>
            <w:vAlign w:val="center"/>
          </w:tcPr>
          <w:p w14:paraId="09F7FE0A"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.000</w:t>
            </w:r>
          </w:p>
        </w:tc>
      </w:tr>
      <w:tr w:rsidR="00E5281E" w:rsidRPr="008005DD" w14:paraId="44440B02" w14:textId="77777777" w:rsidTr="00E5281E">
        <w:trPr>
          <w:cantSplit/>
          <w:trHeight w:val="103"/>
        </w:trPr>
        <w:tc>
          <w:tcPr>
            <w:tcW w:w="1768" w:type="dxa"/>
            <w:vMerge/>
            <w:tcBorders>
              <w:top w:val="single" w:sz="16" w:space="0" w:color="000000"/>
              <w:left w:val="single" w:sz="16" w:space="0" w:color="000000"/>
              <w:right w:val="nil"/>
            </w:tcBorders>
            <w:shd w:val="clear" w:color="auto" w:fill="FFFFFF"/>
          </w:tcPr>
          <w:p w14:paraId="7513CF58"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768" w:type="dxa"/>
            <w:tcBorders>
              <w:top w:val="nil"/>
              <w:left w:val="nil"/>
              <w:bottom w:val="nil"/>
              <w:right w:val="single" w:sz="16" w:space="0" w:color="000000"/>
            </w:tcBorders>
            <w:shd w:val="clear" w:color="auto" w:fill="FFFFFF"/>
          </w:tcPr>
          <w:p w14:paraId="140656E3"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Huynh-Feldt</w:t>
            </w:r>
          </w:p>
        </w:tc>
        <w:tc>
          <w:tcPr>
            <w:tcW w:w="1415" w:type="dxa"/>
            <w:tcBorders>
              <w:top w:val="nil"/>
              <w:left w:val="single" w:sz="16" w:space="0" w:color="000000"/>
              <w:bottom w:val="nil"/>
            </w:tcBorders>
            <w:shd w:val="clear" w:color="auto" w:fill="FFFFFF"/>
            <w:vAlign w:val="center"/>
          </w:tcPr>
          <w:p w14:paraId="523FF5F1"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120.776</w:t>
            </w:r>
          </w:p>
        </w:tc>
        <w:tc>
          <w:tcPr>
            <w:tcW w:w="1048" w:type="dxa"/>
            <w:tcBorders>
              <w:top w:val="nil"/>
              <w:bottom w:val="nil"/>
            </w:tcBorders>
            <w:shd w:val="clear" w:color="auto" w:fill="FFFFFF"/>
            <w:vAlign w:val="center"/>
          </w:tcPr>
          <w:p w14:paraId="7ACAF038"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2.601</w:t>
            </w:r>
          </w:p>
        </w:tc>
        <w:tc>
          <w:tcPr>
            <w:tcW w:w="1384" w:type="dxa"/>
            <w:tcBorders>
              <w:top w:val="nil"/>
              <w:bottom w:val="nil"/>
            </w:tcBorders>
            <w:shd w:val="clear" w:color="auto" w:fill="FFFFFF"/>
            <w:vAlign w:val="center"/>
          </w:tcPr>
          <w:p w14:paraId="566E9418"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46.427</w:t>
            </w:r>
          </w:p>
        </w:tc>
        <w:tc>
          <w:tcPr>
            <w:tcW w:w="988" w:type="dxa"/>
            <w:tcBorders>
              <w:top w:val="nil"/>
              <w:bottom w:val="nil"/>
            </w:tcBorders>
            <w:shd w:val="clear" w:color="auto" w:fill="FFFFFF"/>
            <w:vAlign w:val="center"/>
          </w:tcPr>
          <w:p w14:paraId="6B345161"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49.986</w:t>
            </w:r>
          </w:p>
        </w:tc>
        <w:tc>
          <w:tcPr>
            <w:tcW w:w="988" w:type="dxa"/>
            <w:tcBorders>
              <w:top w:val="nil"/>
              <w:bottom w:val="nil"/>
              <w:right w:val="single" w:sz="16" w:space="0" w:color="000000"/>
            </w:tcBorders>
            <w:shd w:val="clear" w:color="auto" w:fill="FFFFFF"/>
            <w:vAlign w:val="center"/>
          </w:tcPr>
          <w:p w14:paraId="5122EF52"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.000</w:t>
            </w:r>
          </w:p>
        </w:tc>
      </w:tr>
      <w:tr w:rsidR="00E5281E" w:rsidRPr="008005DD" w14:paraId="514F6F83" w14:textId="77777777" w:rsidTr="00E5281E">
        <w:trPr>
          <w:cantSplit/>
          <w:trHeight w:val="103"/>
        </w:trPr>
        <w:tc>
          <w:tcPr>
            <w:tcW w:w="1768" w:type="dxa"/>
            <w:vMerge/>
            <w:tcBorders>
              <w:top w:val="single" w:sz="16" w:space="0" w:color="000000"/>
              <w:left w:val="single" w:sz="16" w:space="0" w:color="000000"/>
              <w:right w:val="nil"/>
            </w:tcBorders>
            <w:shd w:val="clear" w:color="auto" w:fill="FFFFFF"/>
          </w:tcPr>
          <w:p w14:paraId="01672CFD"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768" w:type="dxa"/>
            <w:tcBorders>
              <w:top w:val="nil"/>
              <w:left w:val="nil"/>
              <w:right w:val="single" w:sz="16" w:space="0" w:color="000000"/>
            </w:tcBorders>
            <w:shd w:val="clear" w:color="auto" w:fill="FFFFFF"/>
          </w:tcPr>
          <w:p w14:paraId="6E35908B"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Lower-bound</w:t>
            </w:r>
          </w:p>
        </w:tc>
        <w:tc>
          <w:tcPr>
            <w:tcW w:w="1415" w:type="dxa"/>
            <w:tcBorders>
              <w:top w:val="nil"/>
              <w:left w:val="single" w:sz="16" w:space="0" w:color="000000"/>
            </w:tcBorders>
            <w:shd w:val="clear" w:color="auto" w:fill="FFFFFF"/>
            <w:vAlign w:val="center"/>
          </w:tcPr>
          <w:p w14:paraId="17F70BE7"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120.776</w:t>
            </w:r>
          </w:p>
        </w:tc>
        <w:tc>
          <w:tcPr>
            <w:tcW w:w="1048" w:type="dxa"/>
            <w:tcBorders>
              <w:top w:val="nil"/>
            </w:tcBorders>
            <w:shd w:val="clear" w:color="auto" w:fill="FFFFFF"/>
            <w:vAlign w:val="center"/>
          </w:tcPr>
          <w:p w14:paraId="7B904F0B"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1.000</w:t>
            </w:r>
          </w:p>
        </w:tc>
        <w:tc>
          <w:tcPr>
            <w:tcW w:w="1384" w:type="dxa"/>
            <w:tcBorders>
              <w:top w:val="nil"/>
            </w:tcBorders>
            <w:shd w:val="clear" w:color="auto" w:fill="FFFFFF"/>
            <w:vAlign w:val="center"/>
          </w:tcPr>
          <w:p w14:paraId="6A3546B0"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120.776</w:t>
            </w:r>
          </w:p>
        </w:tc>
        <w:tc>
          <w:tcPr>
            <w:tcW w:w="988" w:type="dxa"/>
            <w:tcBorders>
              <w:top w:val="nil"/>
            </w:tcBorders>
            <w:shd w:val="clear" w:color="auto" w:fill="FFFFFF"/>
            <w:vAlign w:val="center"/>
          </w:tcPr>
          <w:p w14:paraId="18E5CB25"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49.986</w:t>
            </w:r>
          </w:p>
        </w:tc>
        <w:tc>
          <w:tcPr>
            <w:tcW w:w="988" w:type="dxa"/>
            <w:tcBorders>
              <w:top w:val="nil"/>
              <w:right w:val="single" w:sz="16" w:space="0" w:color="000000"/>
            </w:tcBorders>
            <w:shd w:val="clear" w:color="auto" w:fill="FFFFFF"/>
            <w:vAlign w:val="center"/>
          </w:tcPr>
          <w:p w14:paraId="42AF11EC"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.000</w:t>
            </w:r>
          </w:p>
        </w:tc>
      </w:tr>
      <w:tr w:rsidR="00E5281E" w:rsidRPr="008005DD" w14:paraId="7F515E42" w14:textId="77777777" w:rsidTr="00E5281E">
        <w:trPr>
          <w:cantSplit/>
          <w:trHeight w:val="473"/>
        </w:trPr>
        <w:tc>
          <w:tcPr>
            <w:tcW w:w="1768" w:type="dxa"/>
            <w:vMerge w:val="restart"/>
            <w:tcBorders>
              <w:top w:val="nil"/>
              <w:left w:val="single" w:sz="16" w:space="0" w:color="000000"/>
              <w:bottom w:val="single" w:sz="16" w:space="0" w:color="000000"/>
              <w:right w:val="nil"/>
            </w:tcBorders>
            <w:shd w:val="clear" w:color="auto" w:fill="FFFFFF"/>
          </w:tcPr>
          <w:p w14:paraId="6F75DA31" w14:textId="405DCA61"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Error</w:t>
            </w:r>
            <w:r w:rsidR="00E5281E">
              <w:rPr>
                <w:rFonts w:cs="Arial"/>
                <w:color w:val="000000"/>
                <w:sz w:val="20"/>
                <w:szCs w:val="20"/>
              </w:rPr>
              <w:t xml:space="preserve"> (Confidence </w:t>
            </w:r>
            <w:r w:rsidRPr="00036EBB">
              <w:rPr>
                <w:rFonts w:cs="Arial"/>
                <w:color w:val="000000"/>
                <w:sz w:val="20"/>
                <w:szCs w:val="20"/>
              </w:rPr>
              <w:t>score)</w:t>
            </w:r>
          </w:p>
        </w:tc>
        <w:tc>
          <w:tcPr>
            <w:tcW w:w="1768" w:type="dxa"/>
            <w:tcBorders>
              <w:top w:val="nil"/>
              <w:left w:val="nil"/>
              <w:bottom w:val="nil"/>
              <w:right w:val="single" w:sz="16" w:space="0" w:color="000000"/>
            </w:tcBorders>
            <w:shd w:val="clear" w:color="auto" w:fill="FFFFFF"/>
          </w:tcPr>
          <w:p w14:paraId="17406F55" w14:textId="77777777"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Sphericity Assumed</w:t>
            </w:r>
          </w:p>
        </w:tc>
        <w:tc>
          <w:tcPr>
            <w:tcW w:w="1415" w:type="dxa"/>
            <w:tcBorders>
              <w:top w:val="nil"/>
              <w:left w:val="single" w:sz="16" w:space="0" w:color="000000"/>
              <w:bottom w:val="nil"/>
            </w:tcBorders>
            <w:shd w:val="clear" w:color="auto" w:fill="FFFFFF"/>
            <w:vAlign w:val="center"/>
          </w:tcPr>
          <w:p w14:paraId="1DFBC827" w14:textId="77777777" w:rsidR="006E47E2" w:rsidRPr="00036EBB" w:rsidRDefault="006E47E2" w:rsidP="00036EBB">
            <w:pPr>
              <w:widowControl w:val="0"/>
              <w:autoSpaceDE w:val="0"/>
              <w:autoSpaceDN w:val="0"/>
              <w:adjustRightInd w:val="0"/>
              <w:spacing w:line="240" w:lineRule="auto"/>
              <w:ind w:left="60" w:right="60"/>
              <w:jc w:val="right"/>
              <w:rPr>
                <w:rFonts w:cs="Arial"/>
                <w:color w:val="000000"/>
                <w:sz w:val="20"/>
                <w:szCs w:val="20"/>
              </w:rPr>
            </w:pPr>
            <w:r w:rsidRPr="00036EBB">
              <w:rPr>
                <w:rFonts w:cs="Arial"/>
                <w:color w:val="000000"/>
                <w:sz w:val="20"/>
                <w:szCs w:val="20"/>
              </w:rPr>
              <w:t>137.724</w:t>
            </w:r>
          </w:p>
        </w:tc>
        <w:tc>
          <w:tcPr>
            <w:tcW w:w="1048" w:type="dxa"/>
            <w:tcBorders>
              <w:top w:val="nil"/>
              <w:bottom w:val="nil"/>
            </w:tcBorders>
            <w:shd w:val="clear" w:color="auto" w:fill="FFFFFF"/>
            <w:vAlign w:val="center"/>
          </w:tcPr>
          <w:p w14:paraId="5F3A4374" w14:textId="77777777" w:rsidR="006E47E2" w:rsidRPr="00036EBB" w:rsidRDefault="006E47E2" w:rsidP="00036EBB">
            <w:pPr>
              <w:widowControl w:val="0"/>
              <w:autoSpaceDE w:val="0"/>
              <w:autoSpaceDN w:val="0"/>
              <w:adjustRightInd w:val="0"/>
              <w:spacing w:line="240" w:lineRule="auto"/>
              <w:ind w:left="60" w:right="60"/>
              <w:jc w:val="right"/>
              <w:rPr>
                <w:rFonts w:cs="Arial"/>
                <w:color w:val="000000"/>
                <w:sz w:val="20"/>
                <w:szCs w:val="20"/>
              </w:rPr>
            </w:pPr>
            <w:r w:rsidRPr="00036EBB">
              <w:rPr>
                <w:rFonts w:cs="Arial"/>
                <w:color w:val="000000"/>
                <w:sz w:val="20"/>
                <w:szCs w:val="20"/>
              </w:rPr>
              <w:t>171</w:t>
            </w:r>
          </w:p>
        </w:tc>
        <w:tc>
          <w:tcPr>
            <w:tcW w:w="1384" w:type="dxa"/>
            <w:tcBorders>
              <w:top w:val="nil"/>
              <w:bottom w:val="nil"/>
            </w:tcBorders>
            <w:shd w:val="clear" w:color="auto" w:fill="FFFFFF"/>
            <w:vAlign w:val="center"/>
          </w:tcPr>
          <w:p w14:paraId="593A9753" w14:textId="77777777" w:rsidR="006E47E2" w:rsidRPr="00036EBB" w:rsidRDefault="006E47E2" w:rsidP="00036EBB">
            <w:pPr>
              <w:widowControl w:val="0"/>
              <w:autoSpaceDE w:val="0"/>
              <w:autoSpaceDN w:val="0"/>
              <w:adjustRightInd w:val="0"/>
              <w:spacing w:line="240" w:lineRule="auto"/>
              <w:ind w:left="60" w:right="60"/>
              <w:jc w:val="right"/>
              <w:rPr>
                <w:rFonts w:cs="Arial"/>
                <w:color w:val="000000"/>
                <w:sz w:val="20"/>
                <w:szCs w:val="20"/>
              </w:rPr>
            </w:pPr>
            <w:r w:rsidRPr="00036EBB">
              <w:rPr>
                <w:rFonts w:cs="Arial"/>
                <w:color w:val="000000"/>
                <w:sz w:val="20"/>
                <w:szCs w:val="20"/>
              </w:rPr>
              <w:t>.805</w:t>
            </w:r>
          </w:p>
        </w:tc>
        <w:tc>
          <w:tcPr>
            <w:tcW w:w="988" w:type="dxa"/>
            <w:tcBorders>
              <w:top w:val="nil"/>
              <w:bottom w:val="nil"/>
            </w:tcBorders>
            <w:shd w:val="clear" w:color="auto" w:fill="FFFFFF"/>
            <w:vAlign w:val="center"/>
          </w:tcPr>
          <w:p w14:paraId="37CC315B" w14:textId="77777777" w:rsidR="006E47E2" w:rsidRPr="00036EBB" w:rsidRDefault="006E47E2" w:rsidP="00036EBB">
            <w:pPr>
              <w:widowControl w:val="0"/>
              <w:autoSpaceDE w:val="0"/>
              <w:autoSpaceDN w:val="0"/>
              <w:adjustRightInd w:val="0"/>
              <w:spacing w:line="240" w:lineRule="auto"/>
              <w:rPr>
                <w:rFonts w:ascii="Times New Roman" w:hAnsi="Times New Roman"/>
                <w:sz w:val="20"/>
                <w:szCs w:val="20"/>
              </w:rPr>
            </w:pPr>
          </w:p>
        </w:tc>
        <w:tc>
          <w:tcPr>
            <w:tcW w:w="988" w:type="dxa"/>
            <w:tcBorders>
              <w:top w:val="nil"/>
              <w:bottom w:val="nil"/>
              <w:right w:val="single" w:sz="16" w:space="0" w:color="000000"/>
            </w:tcBorders>
            <w:shd w:val="clear" w:color="auto" w:fill="FFFFFF"/>
            <w:vAlign w:val="center"/>
          </w:tcPr>
          <w:p w14:paraId="2F8E409C" w14:textId="77777777" w:rsidR="006E47E2" w:rsidRPr="00036EBB" w:rsidRDefault="006E47E2" w:rsidP="00036EBB">
            <w:pPr>
              <w:widowControl w:val="0"/>
              <w:autoSpaceDE w:val="0"/>
              <w:autoSpaceDN w:val="0"/>
              <w:adjustRightInd w:val="0"/>
              <w:spacing w:line="240" w:lineRule="auto"/>
              <w:rPr>
                <w:rFonts w:ascii="Times New Roman" w:hAnsi="Times New Roman"/>
                <w:sz w:val="20"/>
                <w:szCs w:val="20"/>
              </w:rPr>
            </w:pPr>
          </w:p>
        </w:tc>
      </w:tr>
      <w:tr w:rsidR="00E5281E" w:rsidRPr="008005DD" w14:paraId="16E4B1D6" w14:textId="77777777" w:rsidTr="00E5281E">
        <w:trPr>
          <w:cantSplit/>
          <w:trHeight w:val="103"/>
        </w:trPr>
        <w:tc>
          <w:tcPr>
            <w:tcW w:w="1768" w:type="dxa"/>
            <w:vMerge/>
            <w:tcBorders>
              <w:top w:val="nil"/>
              <w:left w:val="single" w:sz="16" w:space="0" w:color="000000"/>
              <w:bottom w:val="single" w:sz="16" w:space="0" w:color="000000"/>
              <w:right w:val="nil"/>
            </w:tcBorders>
            <w:shd w:val="clear" w:color="auto" w:fill="FFFFFF"/>
          </w:tcPr>
          <w:p w14:paraId="6F9A1604"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c>
          <w:tcPr>
            <w:tcW w:w="1768" w:type="dxa"/>
            <w:tcBorders>
              <w:top w:val="nil"/>
              <w:left w:val="nil"/>
              <w:bottom w:val="nil"/>
              <w:right w:val="single" w:sz="16" w:space="0" w:color="000000"/>
            </w:tcBorders>
            <w:shd w:val="clear" w:color="auto" w:fill="FFFFFF"/>
          </w:tcPr>
          <w:p w14:paraId="054B8407"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Greenhouse-</w:t>
            </w:r>
            <w:proofErr w:type="spellStart"/>
            <w:r w:rsidRPr="006B027F">
              <w:rPr>
                <w:rFonts w:cs="Arial"/>
                <w:color w:val="000000"/>
                <w:sz w:val="20"/>
                <w:szCs w:val="20"/>
              </w:rPr>
              <w:t>Geisser</w:t>
            </w:r>
            <w:proofErr w:type="spellEnd"/>
          </w:p>
        </w:tc>
        <w:tc>
          <w:tcPr>
            <w:tcW w:w="1415" w:type="dxa"/>
            <w:tcBorders>
              <w:top w:val="nil"/>
              <w:left w:val="single" w:sz="16" w:space="0" w:color="000000"/>
              <w:bottom w:val="nil"/>
            </w:tcBorders>
            <w:shd w:val="clear" w:color="auto" w:fill="FFFFFF"/>
            <w:vAlign w:val="center"/>
          </w:tcPr>
          <w:p w14:paraId="3D14BBA9"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137.724</w:t>
            </w:r>
          </w:p>
        </w:tc>
        <w:tc>
          <w:tcPr>
            <w:tcW w:w="1048" w:type="dxa"/>
            <w:tcBorders>
              <w:top w:val="nil"/>
              <w:bottom w:val="nil"/>
            </w:tcBorders>
            <w:shd w:val="clear" w:color="auto" w:fill="FFFFFF"/>
            <w:vAlign w:val="center"/>
          </w:tcPr>
          <w:p w14:paraId="5F70284C"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141.351</w:t>
            </w:r>
          </w:p>
        </w:tc>
        <w:tc>
          <w:tcPr>
            <w:tcW w:w="1384" w:type="dxa"/>
            <w:tcBorders>
              <w:top w:val="nil"/>
              <w:bottom w:val="nil"/>
            </w:tcBorders>
            <w:shd w:val="clear" w:color="auto" w:fill="FFFFFF"/>
            <w:vAlign w:val="center"/>
          </w:tcPr>
          <w:p w14:paraId="6CC6C6A5"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.974</w:t>
            </w:r>
          </w:p>
        </w:tc>
        <w:tc>
          <w:tcPr>
            <w:tcW w:w="988" w:type="dxa"/>
            <w:tcBorders>
              <w:top w:val="nil"/>
              <w:bottom w:val="nil"/>
            </w:tcBorders>
            <w:shd w:val="clear" w:color="auto" w:fill="FFFFFF"/>
            <w:vAlign w:val="center"/>
          </w:tcPr>
          <w:p w14:paraId="20BF9C62"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c>
          <w:tcPr>
            <w:tcW w:w="988" w:type="dxa"/>
            <w:tcBorders>
              <w:top w:val="nil"/>
              <w:bottom w:val="nil"/>
              <w:right w:val="single" w:sz="16" w:space="0" w:color="000000"/>
            </w:tcBorders>
            <w:shd w:val="clear" w:color="auto" w:fill="FFFFFF"/>
            <w:vAlign w:val="center"/>
          </w:tcPr>
          <w:p w14:paraId="71DF1991"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r>
      <w:tr w:rsidR="00E5281E" w:rsidRPr="008005DD" w14:paraId="5ACC9536" w14:textId="77777777" w:rsidTr="00E5281E">
        <w:trPr>
          <w:cantSplit/>
          <w:trHeight w:val="103"/>
        </w:trPr>
        <w:tc>
          <w:tcPr>
            <w:tcW w:w="1768" w:type="dxa"/>
            <w:vMerge/>
            <w:tcBorders>
              <w:top w:val="nil"/>
              <w:left w:val="single" w:sz="16" w:space="0" w:color="000000"/>
              <w:bottom w:val="single" w:sz="16" w:space="0" w:color="000000"/>
              <w:right w:val="nil"/>
            </w:tcBorders>
            <w:shd w:val="clear" w:color="auto" w:fill="FFFFFF"/>
          </w:tcPr>
          <w:p w14:paraId="5E87106B"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c>
          <w:tcPr>
            <w:tcW w:w="1768" w:type="dxa"/>
            <w:tcBorders>
              <w:top w:val="nil"/>
              <w:left w:val="nil"/>
              <w:bottom w:val="nil"/>
              <w:right w:val="single" w:sz="16" w:space="0" w:color="000000"/>
            </w:tcBorders>
            <w:shd w:val="clear" w:color="auto" w:fill="FFFFFF"/>
          </w:tcPr>
          <w:p w14:paraId="7E8DC31E"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Huynh-Feldt</w:t>
            </w:r>
          </w:p>
        </w:tc>
        <w:tc>
          <w:tcPr>
            <w:tcW w:w="1415" w:type="dxa"/>
            <w:tcBorders>
              <w:top w:val="nil"/>
              <w:left w:val="single" w:sz="16" w:space="0" w:color="000000"/>
              <w:bottom w:val="nil"/>
            </w:tcBorders>
            <w:shd w:val="clear" w:color="auto" w:fill="FFFFFF"/>
            <w:vAlign w:val="center"/>
          </w:tcPr>
          <w:p w14:paraId="1F834578"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137.724</w:t>
            </w:r>
          </w:p>
        </w:tc>
        <w:tc>
          <w:tcPr>
            <w:tcW w:w="1048" w:type="dxa"/>
            <w:tcBorders>
              <w:top w:val="nil"/>
              <w:bottom w:val="nil"/>
            </w:tcBorders>
            <w:shd w:val="clear" w:color="auto" w:fill="FFFFFF"/>
            <w:vAlign w:val="center"/>
          </w:tcPr>
          <w:p w14:paraId="0A0CD1E8"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148.282</w:t>
            </w:r>
          </w:p>
        </w:tc>
        <w:tc>
          <w:tcPr>
            <w:tcW w:w="1384" w:type="dxa"/>
            <w:tcBorders>
              <w:top w:val="nil"/>
              <w:bottom w:val="nil"/>
            </w:tcBorders>
            <w:shd w:val="clear" w:color="auto" w:fill="FFFFFF"/>
            <w:vAlign w:val="center"/>
          </w:tcPr>
          <w:p w14:paraId="28DD656F"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.929</w:t>
            </w:r>
          </w:p>
        </w:tc>
        <w:tc>
          <w:tcPr>
            <w:tcW w:w="988" w:type="dxa"/>
            <w:tcBorders>
              <w:top w:val="nil"/>
              <w:bottom w:val="nil"/>
            </w:tcBorders>
            <w:shd w:val="clear" w:color="auto" w:fill="FFFFFF"/>
            <w:vAlign w:val="center"/>
          </w:tcPr>
          <w:p w14:paraId="508916FC"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c>
          <w:tcPr>
            <w:tcW w:w="988" w:type="dxa"/>
            <w:tcBorders>
              <w:top w:val="nil"/>
              <w:bottom w:val="nil"/>
              <w:right w:val="single" w:sz="16" w:space="0" w:color="000000"/>
            </w:tcBorders>
            <w:shd w:val="clear" w:color="auto" w:fill="FFFFFF"/>
            <w:vAlign w:val="center"/>
          </w:tcPr>
          <w:p w14:paraId="36439C36"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r>
      <w:tr w:rsidR="00E5281E" w:rsidRPr="008005DD" w14:paraId="66BD0839" w14:textId="77777777" w:rsidTr="00E5281E">
        <w:trPr>
          <w:cantSplit/>
          <w:trHeight w:val="103"/>
        </w:trPr>
        <w:tc>
          <w:tcPr>
            <w:tcW w:w="1768" w:type="dxa"/>
            <w:vMerge/>
            <w:tcBorders>
              <w:top w:val="nil"/>
              <w:left w:val="single" w:sz="16" w:space="0" w:color="000000"/>
              <w:bottom w:val="nil"/>
              <w:right w:val="nil"/>
            </w:tcBorders>
            <w:shd w:val="clear" w:color="auto" w:fill="FFFFFF"/>
          </w:tcPr>
          <w:p w14:paraId="75853166"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c>
          <w:tcPr>
            <w:tcW w:w="1768" w:type="dxa"/>
            <w:tcBorders>
              <w:top w:val="nil"/>
              <w:left w:val="nil"/>
              <w:bottom w:val="nil"/>
              <w:right w:val="single" w:sz="16" w:space="0" w:color="000000"/>
            </w:tcBorders>
            <w:shd w:val="clear" w:color="auto" w:fill="FFFFFF"/>
          </w:tcPr>
          <w:p w14:paraId="11C50EC4"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Lower-bound</w:t>
            </w:r>
          </w:p>
        </w:tc>
        <w:tc>
          <w:tcPr>
            <w:tcW w:w="1415" w:type="dxa"/>
            <w:tcBorders>
              <w:top w:val="nil"/>
              <w:left w:val="single" w:sz="16" w:space="0" w:color="000000"/>
              <w:bottom w:val="nil"/>
            </w:tcBorders>
            <w:shd w:val="clear" w:color="auto" w:fill="FFFFFF"/>
            <w:vAlign w:val="center"/>
          </w:tcPr>
          <w:p w14:paraId="4FD440A8"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137.724</w:t>
            </w:r>
          </w:p>
        </w:tc>
        <w:tc>
          <w:tcPr>
            <w:tcW w:w="1048" w:type="dxa"/>
            <w:tcBorders>
              <w:top w:val="nil"/>
              <w:bottom w:val="nil"/>
            </w:tcBorders>
            <w:shd w:val="clear" w:color="auto" w:fill="FFFFFF"/>
            <w:vAlign w:val="center"/>
          </w:tcPr>
          <w:p w14:paraId="1CC14380"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57.000</w:t>
            </w:r>
          </w:p>
        </w:tc>
        <w:tc>
          <w:tcPr>
            <w:tcW w:w="1384" w:type="dxa"/>
            <w:tcBorders>
              <w:top w:val="nil"/>
              <w:bottom w:val="nil"/>
            </w:tcBorders>
            <w:shd w:val="clear" w:color="auto" w:fill="FFFFFF"/>
            <w:vAlign w:val="center"/>
          </w:tcPr>
          <w:p w14:paraId="3D475081" w14:textId="77777777" w:rsidR="006E47E2" w:rsidRPr="006B027F" w:rsidRDefault="006E47E2"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2.416</w:t>
            </w:r>
          </w:p>
        </w:tc>
        <w:tc>
          <w:tcPr>
            <w:tcW w:w="988" w:type="dxa"/>
            <w:tcBorders>
              <w:top w:val="nil"/>
              <w:bottom w:val="nil"/>
            </w:tcBorders>
            <w:shd w:val="clear" w:color="auto" w:fill="FFFFFF"/>
            <w:vAlign w:val="center"/>
          </w:tcPr>
          <w:p w14:paraId="73E837E2"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c>
          <w:tcPr>
            <w:tcW w:w="988" w:type="dxa"/>
            <w:tcBorders>
              <w:top w:val="nil"/>
              <w:bottom w:val="nil"/>
              <w:right w:val="single" w:sz="16" w:space="0" w:color="000000"/>
            </w:tcBorders>
            <w:shd w:val="clear" w:color="auto" w:fill="FFFFFF"/>
            <w:vAlign w:val="center"/>
          </w:tcPr>
          <w:p w14:paraId="2EB4BCD5"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r>
      <w:tr w:rsidR="00E5281E" w:rsidRPr="008005DD" w14:paraId="61770761" w14:textId="77777777" w:rsidTr="00E5281E">
        <w:trPr>
          <w:cantSplit/>
          <w:trHeight w:val="212"/>
        </w:trPr>
        <w:tc>
          <w:tcPr>
            <w:tcW w:w="1768" w:type="dxa"/>
            <w:tcBorders>
              <w:top w:val="nil"/>
              <w:left w:val="single" w:sz="16" w:space="0" w:color="000000"/>
              <w:bottom w:val="single" w:sz="16" w:space="0" w:color="000000"/>
              <w:right w:val="nil"/>
            </w:tcBorders>
            <w:shd w:val="clear" w:color="auto" w:fill="FFFFFF"/>
          </w:tcPr>
          <w:p w14:paraId="44974553" w14:textId="77777777" w:rsidR="001F3665" w:rsidRPr="00036EBB" w:rsidRDefault="001F3665" w:rsidP="00036EBB">
            <w:pPr>
              <w:widowControl w:val="0"/>
              <w:autoSpaceDE w:val="0"/>
              <w:autoSpaceDN w:val="0"/>
              <w:adjustRightInd w:val="0"/>
              <w:spacing w:line="240" w:lineRule="auto"/>
              <w:rPr>
                <w:rFonts w:ascii="Times New Roman" w:hAnsi="Times New Roman"/>
                <w:sz w:val="20"/>
                <w:szCs w:val="20"/>
              </w:rPr>
            </w:pPr>
          </w:p>
        </w:tc>
        <w:tc>
          <w:tcPr>
            <w:tcW w:w="1768" w:type="dxa"/>
            <w:tcBorders>
              <w:top w:val="nil"/>
              <w:left w:val="nil"/>
              <w:bottom w:val="single" w:sz="16" w:space="0" w:color="000000"/>
              <w:right w:val="single" w:sz="16" w:space="0" w:color="000000"/>
            </w:tcBorders>
            <w:shd w:val="clear" w:color="auto" w:fill="FFFFFF"/>
          </w:tcPr>
          <w:p w14:paraId="7A4B6195" w14:textId="77777777" w:rsidR="001F3665" w:rsidRPr="00036EBB" w:rsidRDefault="001F3665" w:rsidP="00036EBB">
            <w:pPr>
              <w:widowControl w:val="0"/>
              <w:autoSpaceDE w:val="0"/>
              <w:autoSpaceDN w:val="0"/>
              <w:adjustRightInd w:val="0"/>
              <w:spacing w:line="240" w:lineRule="auto"/>
              <w:ind w:left="60" w:right="60"/>
              <w:rPr>
                <w:rFonts w:cs="Arial"/>
                <w:color w:val="000000"/>
                <w:sz w:val="20"/>
                <w:szCs w:val="20"/>
              </w:rPr>
            </w:pPr>
          </w:p>
        </w:tc>
        <w:tc>
          <w:tcPr>
            <w:tcW w:w="1415" w:type="dxa"/>
            <w:tcBorders>
              <w:top w:val="nil"/>
              <w:left w:val="single" w:sz="16" w:space="0" w:color="000000"/>
              <w:bottom w:val="single" w:sz="16" w:space="0" w:color="000000"/>
            </w:tcBorders>
            <w:shd w:val="clear" w:color="auto" w:fill="FFFFFF"/>
            <w:vAlign w:val="center"/>
          </w:tcPr>
          <w:p w14:paraId="38EB8891" w14:textId="77777777" w:rsidR="001F3665" w:rsidRPr="00036EBB" w:rsidRDefault="001F3665" w:rsidP="00036EBB">
            <w:pPr>
              <w:widowControl w:val="0"/>
              <w:autoSpaceDE w:val="0"/>
              <w:autoSpaceDN w:val="0"/>
              <w:adjustRightInd w:val="0"/>
              <w:spacing w:line="240" w:lineRule="auto"/>
              <w:ind w:left="60" w:right="60"/>
              <w:jc w:val="right"/>
              <w:rPr>
                <w:rFonts w:cs="Arial"/>
                <w:color w:val="000000"/>
                <w:sz w:val="20"/>
                <w:szCs w:val="20"/>
              </w:rPr>
            </w:pPr>
          </w:p>
        </w:tc>
        <w:tc>
          <w:tcPr>
            <w:tcW w:w="1048" w:type="dxa"/>
            <w:tcBorders>
              <w:top w:val="nil"/>
              <w:bottom w:val="single" w:sz="16" w:space="0" w:color="000000"/>
            </w:tcBorders>
            <w:shd w:val="clear" w:color="auto" w:fill="FFFFFF"/>
            <w:vAlign w:val="center"/>
          </w:tcPr>
          <w:p w14:paraId="3EE2EAD5" w14:textId="77777777" w:rsidR="001F3665" w:rsidRPr="00036EBB" w:rsidRDefault="001F3665" w:rsidP="00036EBB">
            <w:pPr>
              <w:widowControl w:val="0"/>
              <w:autoSpaceDE w:val="0"/>
              <w:autoSpaceDN w:val="0"/>
              <w:adjustRightInd w:val="0"/>
              <w:spacing w:line="240" w:lineRule="auto"/>
              <w:ind w:left="60" w:right="60"/>
              <w:jc w:val="right"/>
              <w:rPr>
                <w:rFonts w:cs="Arial"/>
                <w:color w:val="000000"/>
                <w:sz w:val="20"/>
                <w:szCs w:val="20"/>
              </w:rPr>
            </w:pPr>
          </w:p>
        </w:tc>
        <w:tc>
          <w:tcPr>
            <w:tcW w:w="1384" w:type="dxa"/>
            <w:tcBorders>
              <w:top w:val="nil"/>
              <w:bottom w:val="single" w:sz="16" w:space="0" w:color="000000"/>
            </w:tcBorders>
            <w:shd w:val="clear" w:color="auto" w:fill="FFFFFF"/>
            <w:vAlign w:val="center"/>
          </w:tcPr>
          <w:p w14:paraId="2257C426" w14:textId="77777777" w:rsidR="001F3665" w:rsidRPr="00036EBB" w:rsidRDefault="001F3665" w:rsidP="00036EBB">
            <w:pPr>
              <w:widowControl w:val="0"/>
              <w:autoSpaceDE w:val="0"/>
              <w:autoSpaceDN w:val="0"/>
              <w:adjustRightInd w:val="0"/>
              <w:spacing w:line="240" w:lineRule="auto"/>
              <w:ind w:left="60" w:right="60"/>
              <w:jc w:val="right"/>
              <w:rPr>
                <w:rFonts w:cs="Arial"/>
                <w:color w:val="000000"/>
                <w:sz w:val="20"/>
                <w:szCs w:val="20"/>
              </w:rPr>
            </w:pPr>
          </w:p>
        </w:tc>
        <w:tc>
          <w:tcPr>
            <w:tcW w:w="988" w:type="dxa"/>
            <w:tcBorders>
              <w:top w:val="nil"/>
              <w:bottom w:val="single" w:sz="16" w:space="0" w:color="000000"/>
            </w:tcBorders>
            <w:shd w:val="clear" w:color="auto" w:fill="FFFFFF"/>
            <w:vAlign w:val="center"/>
          </w:tcPr>
          <w:p w14:paraId="2BDFD52D" w14:textId="77777777" w:rsidR="001F3665" w:rsidRDefault="001F3665" w:rsidP="00036EBB">
            <w:pPr>
              <w:widowControl w:val="0"/>
              <w:autoSpaceDE w:val="0"/>
              <w:autoSpaceDN w:val="0"/>
              <w:adjustRightInd w:val="0"/>
              <w:spacing w:line="240" w:lineRule="auto"/>
              <w:rPr>
                <w:rFonts w:ascii="Times New Roman" w:hAnsi="Times New Roman"/>
                <w:sz w:val="20"/>
                <w:szCs w:val="20"/>
              </w:rPr>
            </w:pPr>
          </w:p>
          <w:p w14:paraId="4501EA80" w14:textId="77777777" w:rsidR="00036EBB" w:rsidRDefault="00036EBB" w:rsidP="00036EBB">
            <w:pPr>
              <w:widowControl w:val="0"/>
              <w:autoSpaceDE w:val="0"/>
              <w:autoSpaceDN w:val="0"/>
              <w:adjustRightInd w:val="0"/>
              <w:spacing w:line="240" w:lineRule="auto"/>
              <w:rPr>
                <w:rFonts w:ascii="Times New Roman" w:hAnsi="Times New Roman"/>
                <w:sz w:val="20"/>
                <w:szCs w:val="20"/>
              </w:rPr>
            </w:pPr>
          </w:p>
          <w:p w14:paraId="758E1174" w14:textId="77777777" w:rsidR="00036EBB" w:rsidRDefault="00036EBB" w:rsidP="00036EBB">
            <w:pPr>
              <w:widowControl w:val="0"/>
              <w:autoSpaceDE w:val="0"/>
              <w:autoSpaceDN w:val="0"/>
              <w:adjustRightInd w:val="0"/>
              <w:spacing w:line="240" w:lineRule="auto"/>
              <w:rPr>
                <w:rFonts w:ascii="Times New Roman" w:hAnsi="Times New Roman"/>
                <w:sz w:val="20"/>
                <w:szCs w:val="20"/>
              </w:rPr>
            </w:pPr>
          </w:p>
          <w:p w14:paraId="664090FD" w14:textId="77777777" w:rsidR="00036EBB" w:rsidRDefault="00036EBB" w:rsidP="00036EBB">
            <w:pPr>
              <w:widowControl w:val="0"/>
              <w:autoSpaceDE w:val="0"/>
              <w:autoSpaceDN w:val="0"/>
              <w:adjustRightInd w:val="0"/>
              <w:spacing w:line="240" w:lineRule="auto"/>
              <w:rPr>
                <w:rFonts w:ascii="Times New Roman" w:hAnsi="Times New Roman"/>
                <w:sz w:val="20"/>
                <w:szCs w:val="20"/>
              </w:rPr>
            </w:pPr>
          </w:p>
          <w:p w14:paraId="560731DF" w14:textId="77777777" w:rsidR="00036EBB" w:rsidRDefault="00036EBB" w:rsidP="00036EBB">
            <w:pPr>
              <w:widowControl w:val="0"/>
              <w:autoSpaceDE w:val="0"/>
              <w:autoSpaceDN w:val="0"/>
              <w:adjustRightInd w:val="0"/>
              <w:spacing w:line="240" w:lineRule="auto"/>
              <w:rPr>
                <w:rFonts w:ascii="Times New Roman" w:hAnsi="Times New Roman"/>
                <w:sz w:val="20"/>
                <w:szCs w:val="20"/>
              </w:rPr>
            </w:pPr>
          </w:p>
          <w:p w14:paraId="6D110A6E" w14:textId="77777777" w:rsidR="00036EBB" w:rsidRDefault="00036EBB" w:rsidP="00036EBB">
            <w:pPr>
              <w:widowControl w:val="0"/>
              <w:autoSpaceDE w:val="0"/>
              <w:autoSpaceDN w:val="0"/>
              <w:adjustRightInd w:val="0"/>
              <w:spacing w:line="240" w:lineRule="auto"/>
              <w:rPr>
                <w:rFonts w:ascii="Times New Roman" w:hAnsi="Times New Roman"/>
                <w:sz w:val="20"/>
                <w:szCs w:val="20"/>
              </w:rPr>
            </w:pPr>
          </w:p>
          <w:p w14:paraId="1C0CA652" w14:textId="77777777" w:rsidR="00036EBB" w:rsidRPr="00036EBB" w:rsidRDefault="00036EBB" w:rsidP="00036EBB">
            <w:pPr>
              <w:widowControl w:val="0"/>
              <w:autoSpaceDE w:val="0"/>
              <w:autoSpaceDN w:val="0"/>
              <w:adjustRightInd w:val="0"/>
              <w:spacing w:line="240" w:lineRule="auto"/>
              <w:rPr>
                <w:rFonts w:ascii="Times New Roman" w:hAnsi="Times New Roman"/>
                <w:sz w:val="20"/>
                <w:szCs w:val="20"/>
              </w:rPr>
            </w:pPr>
          </w:p>
        </w:tc>
        <w:tc>
          <w:tcPr>
            <w:tcW w:w="988" w:type="dxa"/>
            <w:tcBorders>
              <w:top w:val="nil"/>
              <w:bottom w:val="single" w:sz="16" w:space="0" w:color="000000"/>
              <w:right w:val="single" w:sz="16" w:space="0" w:color="000000"/>
            </w:tcBorders>
            <w:shd w:val="clear" w:color="auto" w:fill="FFFFFF"/>
            <w:vAlign w:val="center"/>
          </w:tcPr>
          <w:p w14:paraId="2C555A54" w14:textId="77777777" w:rsidR="001F3665" w:rsidRPr="00036EBB" w:rsidRDefault="001F3665" w:rsidP="00036EBB">
            <w:pPr>
              <w:widowControl w:val="0"/>
              <w:autoSpaceDE w:val="0"/>
              <w:autoSpaceDN w:val="0"/>
              <w:adjustRightInd w:val="0"/>
              <w:spacing w:line="240" w:lineRule="auto"/>
              <w:rPr>
                <w:rFonts w:ascii="Times New Roman" w:hAnsi="Times New Roman"/>
                <w:sz w:val="20"/>
                <w:szCs w:val="20"/>
              </w:rPr>
            </w:pPr>
          </w:p>
        </w:tc>
      </w:tr>
    </w:tbl>
    <w:p w14:paraId="7130F8EF" w14:textId="5D2F1421" w:rsidR="006E47E2" w:rsidRDefault="006E47E2" w:rsidP="00036EBB">
      <w:pPr>
        <w:pStyle w:val="Heading2"/>
      </w:pPr>
      <w:bookmarkStart w:id="502" w:name="_Toc419116244"/>
      <w:r>
        <w:lastRenderedPageBreak/>
        <w:t xml:space="preserve">SPSS outputs detailing planned </w:t>
      </w:r>
      <w:r w:rsidR="00A31C20">
        <w:t>comparisons</w:t>
      </w:r>
      <w:r>
        <w:t xml:space="preserve"> between 4 conditions</w:t>
      </w:r>
      <w:bookmarkEnd w:id="502"/>
    </w:p>
    <w:p w14:paraId="4310A87A" w14:textId="77777777" w:rsidR="00036EBB" w:rsidRPr="00036EBB" w:rsidRDefault="00036EBB" w:rsidP="006B027F"/>
    <w:tbl>
      <w:tblPr>
        <w:tblW w:w="88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68"/>
        <w:gridCol w:w="1668"/>
        <w:gridCol w:w="1337"/>
        <w:gridCol w:w="932"/>
        <w:gridCol w:w="1304"/>
        <w:gridCol w:w="988"/>
        <w:gridCol w:w="933"/>
      </w:tblGrid>
      <w:tr w:rsidR="006E47E2" w:rsidRPr="008005DD" w14:paraId="6213A182" w14:textId="77777777" w:rsidTr="006B027F">
        <w:trPr>
          <w:cantSplit/>
          <w:trHeight w:val="844"/>
        </w:trPr>
        <w:tc>
          <w:tcPr>
            <w:tcW w:w="8830" w:type="dxa"/>
            <w:gridSpan w:val="7"/>
            <w:tcBorders>
              <w:top w:val="nil"/>
              <w:left w:val="nil"/>
              <w:bottom w:val="nil"/>
              <w:right w:val="nil"/>
            </w:tcBorders>
            <w:shd w:val="clear" w:color="auto" w:fill="FFFFFF"/>
            <w:vAlign w:val="center"/>
          </w:tcPr>
          <w:p w14:paraId="0B01E0A4" w14:textId="77777777" w:rsidR="006E47E2" w:rsidRPr="008005DD" w:rsidRDefault="006E47E2" w:rsidP="006E47E2">
            <w:pPr>
              <w:widowControl w:val="0"/>
              <w:autoSpaceDE w:val="0"/>
              <w:autoSpaceDN w:val="0"/>
              <w:adjustRightInd w:val="0"/>
              <w:spacing w:line="320" w:lineRule="atLeast"/>
              <w:ind w:left="60" w:right="60"/>
              <w:jc w:val="center"/>
              <w:rPr>
                <w:rFonts w:cs="Arial"/>
                <w:color w:val="000000"/>
              </w:rPr>
            </w:pPr>
            <w:r w:rsidRPr="008005DD">
              <w:rPr>
                <w:rFonts w:cs="Arial"/>
                <w:b/>
                <w:bCs/>
                <w:color w:val="000000"/>
              </w:rPr>
              <w:t>Tests of Within-Subjects Contrasts</w:t>
            </w:r>
          </w:p>
        </w:tc>
      </w:tr>
      <w:tr w:rsidR="006E47E2" w:rsidRPr="008005DD" w14:paraId="62AF70F5" w14:textId="77777777" w:rsidTr="006B027F">
        <w:trPr>
          <w:cantSplit/>
          <w:trHeight w:val="844"/>
        </w:trPr>
        <w:tc>
          <w:tcPr>
            <w:tcW w:w="8830" w:type="dxa"/>
            <w:gridSpan w:val="7"/>
            <w:tcBorders>
              <w:top w:val="nil"/>
              <w:left w:val="nil"/>
              <w:bottom w:val="nil"/>
              <w:right w:val="nil"/>
            </w:tcBorders>
            <w:shd w:val="clear" w:color="auto" w:fill="FFFFFF"/>
            <w:vAlign w:val="bottom"/>
          </w:tcPr>
          <w:p w14:paraId="2627DF54" w14:textId="75A2C0A7" w:rsidR="006E47E2" w:rsidRPr="008005DD" w:rsidRDefault="006E47E2" w:rsidP="006E47E2">
            <w:pPr>
              <w:widowControl w:val="0"/>
              <w:autoSpaceDE w:val="0"/>
              <w:autoSpaceDN w:val="0"/>
              <w:adjustRightInd w:val="0"/>
              <w:spacing w:line="320" w:lineRule="atLeast"/>
              <w:rPr>
                <w:rFonts w:ascii="Times New Roman" w:hAnsi="Times New Roman"/>
              </w:rPr>
            </w:pPr>
          </w:p>
        </w:tc>
      </w:tr>
      <w:tr w:rsidR="00036EBB" w:rsidRPr="008005DD" w14:paraId="642961D8" w14:textId="77777777" w:rsidTr="00036EBB">
        <w:trPr>
          <w:cantSplit/>
          <w:trHeight w:val="1001"/>
        </w:trPr>
        <w:tc>
          <w:tcPr>
            <w:tcW w:w="1668" w:type="dxa"/>
            <w:tcBorders>
              <w:top w:val="single" w:sz="16" w:space="0" w:color="000000"/>
              <w:left w:val="single" w:sz="16" w:space="0" w:color="000000"/>
              <w:bottom w:val="single" w:sz="16" w:space="0" w:color="000000"/>
              <w:right w:val="nil"/>
            </w:tcBorders>
            <w:shd w:val="clear" w:color="auto" w:fill="FFFFFF"/>
            <w:vAlign w:val="bottom"/>
          </w:tcPr>
          <w:p w14:paraId="7F8D3FDE" w14:textId="77777777"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Source</w:t>
            </w:r>
          </w:p>
        </w:tc>
        <w:tc>
          <w:tcPr>
            <w:tcW w:w="1668" w:type="dxa"/>
            <w:tcBorders>
              <w:top w:val="single" w:sz="16" w:space="0" w:color="000000"/>
              <w:left w:val="nil"/>
              <w:bottom w:val="single" w:sz="16" w:space="0" w:color="000000"/>
              <w:right w:val="single" w:sz="16" w:space="0" w:color="000000"/>
            </w:tcBorders>
            <w:shd w:val="clear" w:color="auto" w:fill="FFFFFF"/>
            <w:vAlign w:val="bottom"/>
          </w:tcPr>
          <w:p w14:paraId="68D811D2" w14:textId="0443CA05"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Confidence_</w:t>
            </w:r>
            <w:r w:rsidR="00036EBB">
              <w:rPr>
                <w:rFonts w:cs="Arial"/>
                <w:color w:val="000000"/>
                <w:sz w:val="20"/>
                <w:szCs w:val="20"/>
              </w:rPr>
              <w:t xml:space="preserve"> </w:t>
            </w:r>
            <w:r w:rsidRPr="00036EBB">
              <w:rPr>
                <w:rFonts w:cs="Arial"/>
                <w:color w:val="000000"/>
                <w:sz w:val="20"/>
                <w:szCs w:val="20"/>
              </w:rPr>
              <w:t>score</w:t>
            </w:r>
          </w:p>
        </w:tc>
        <w:tc>
          <w:tcPr>
            <w:tcW w:w="1337" w:type="dxa"/>
            <w:tcBorders>
              <w:top w:val="single" w:sz="16" w:space="0" w:color="000000"/>
              <w:left w:val="single" w:sz="16" w:space="0" w:color="000000"/>
              <w:bottom w:val="single" w:sz="16" w:space="0" w:color="000000"/>
            </w:tcBorders>
            <w:shd w:val="clear" w:color="auto" w:fill="FFFFFF"/>
            <w:vAlign w:val="bottom"/>
          </w:tcPr>
          <w:p w14:paraId="44308DF7"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Type III Sum of Squares</w:t>
            </w:r>
          </w:p>
        </w:tc>
        <w:tc>
          <w:tcPr>
            <w:tcW w:w="932" w:type="dxa"/>
            <w:tcBorders>
              <w:top w:val="single" w:sz="16" w:space="0" w:color="000000"/>
              <w:bottom w:val="single" w:sz="16" w:space="0" w:color="000000"/>
            </w:tcBorders>
            <w:shd w:val="clear" w:color="auto" w:fill="FFFFFF"/>
            <w:vAlign w:val="bottom"/>
          </w:tcPr>
          <w:p w14:paraId="15C30D0E"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proofErr w:type="spellStart"/>
            <w:r w:rsidRPr="00036EBB">
              <w:rPr>
                <w:rFonts w:cs="Arial"/>
                <w:color w:val="000000"/>
                <w:sz w:val="20"/>
                <w:szCs w:val="20"/>
              </w:rPr>
              <w:t>df</w:t>
            </w:r>
            <w:proofErr w:type="spellEnd"/>
          </w:p>
        </w:tc>
        <w:tc>
          <w:tcPr>
            <w:tcW w:w="1304" w:type="dxa"/>
            <w:tcBorders>
              <w:top w:val="single" w:sz="16" w:space="0" w:color="000000"/>
              <w:bottom w:val="single" w:sz="16" w:space="0" w:color="000000"/>
            </w:tcBorders>
            <w:shd w:val="clear" w:color="auto" w:fill="FFFFFF"/>
            <w:vAlign w:val="bottom"/>
          </w:tcPr>
          <w:p w14:paraId="76D8A122"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Mean Square</w:t>
            </w:r>
          </w:p>
        </w:tc>
        <w:tc>
          <w:tcPr>
            <w:tcW w:w="988" w:type="dxa"/>
            <w:tcBorders>
              <w:top w:val="single" w:sz="16" w:space="0" w:color="000000"/>
              <w:bottom w:val="single" w:sz="16" w:space="0" w:color="000000"/>
            </w:tcBorders>
            <w:shd w:val="clear" w:color="auto" w:fill="FFFFFF"/>
            <w:vAlign w:val="bottom"/>
          </w:tcPr>
          <w:p w14:paraId="6FAA8764"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F</w:t>
            </w:r>
          </w:p>
        </w:tc>
        <w:tc>
          <w:tcPr>
            <w:tcW w:w="932" w:type="dxa"/>
            <w:tcBorders>
              <w:top w:val="single" w:sz="16" w:space="0" w:color="000000"/>
              <w:bottom w:val="single" w:sz="16" w:space="0" w:color="000000"/>
              <w:right w:val="single" w:sz="16" w:space="0" w:color="000000"/>
            </w:tcBorders>
            <w:shd w:val="clear" w:color="auto" w:fill="FFFFFF"/>
            <w:vAlign w:val="bottom"/>
          </w:tcPr>
          <w:p w14:paraId="7C18F2D9" w14:textId="77777777" w:rsidR="006E47E2" w:rsidRPr="00036EBB" w:rsidRDefault="006E47E2" w:rsidP="00036EBB">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Sig.</w:t>
            </w:r>
          </w:p>
        </w:tc>
      </w:tr>
      <w:tr w:rsidR="00036EBB" w:rsidRPr="008005DD" w14:paraId="1E1BE198" w14:textId="77777777" w:rsidTr="00036EBB">
        <w:trPr>
          <w:cantSplit/>
          <w:trHeight w:val="755"/>
        </w:trPr>
        <w:tc>
          <w:tcPr>
            <w:tcW w:w="1668" w:type="dxa"/>
            <w:vMerge w:val="restart"/>
            <w:tcBorders>
              <w:top w:val="single" w:sz="16" w:space="0" w:color="000000"/>
              <w:left w:val="single" w:sz="16" w:space="0" w:color="000000"/>
              <w:right w:val="nil"/>
            </w:tcBorders>
            <w:shd w:val="clear" w:color="auto" w:fill="FFFFFF"/>
          </w:tcPr>
          <w:p w14:paraId="229B94C8" w14:textId="1E01227E" w:rsidR="006E47E2" w:rsidRPr="00036EBB" w:rsidRDefault="00E5281E" w:rsidP="00036EBB">
            <w:pPr>
              <w:widowControl w:val="0"/>
              <w:autoSpaceDE w:val="0"/>
              <w:autoSpaceDN w:val="0"/>
              <w:adjustRightInd w:val="0"/>
              <w:spacing w:line="240" w:lineRule="auto"/>
              <w:ind w:left="60" w:right="60"/>
              <w:rPr>
                <w:rFonts w:cs="Arial"/>
                <w:color w:val="000000"/>
                <w:sz w:val="20"/>
                <w:szCs w:val="20"/>
              </w:rPr>
            </w:pPr>
            <w:r>
              <w:rPr>
                <w:rFonts w:cs="Arial"/>
                <w:color w:val="000000"/>
                <w:sz w:val="20"/>
                <w:szCs w:val="20"/>
              </w:rPr>
              <w:t xml:space="preserve">Confidence </w:t>
            </w:r>
            <w:r w:rsidR="006E47E2" w:rsidRPr="00036EBB">
              <w:rPr>
                <w:rFonts w:cs="Arial"/>
                <w:color w:val="000000"/>
                <w:sz w:val="20"/>
                <w:szCs w:val="20"/>
              </w:rPr>
              <w:t>score</w:t>
            </w:r>
          </w:p>
        </w:tc>
        <w:tc>
          <w:tcPr>
            <w:tcW w:w="1668" w:type="dxa"/>
            <w:tcBorders>
              <w:top w:val="single" w:sz="16" w:space="0" w:color="000000"/>
              <w:left w:val="nil"/>
              <w:bottom w:val="nil"/>
              <w:right w:val="single" w:sz="16" w:space="0" w:color="000000"/>
            </w:tcBorders>
            <w:shd w:val="clear" w:color="auto" w:fill="FFFFFF"/>
          </w:tcPr>
          <w:p w14:paraId="45A7730E" w14:textId="77777777"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Level 1 vs. Later</w:t>
            </w:r>
          </w:p>
        </w:tc>
        <w:tc>
          <w:tcPr>
            <w:tcW w:w="1337" w:type="dxa"/>
            <w:tcBorders>
              <w:top w:val="single" w:sz="16" w:space="0" w:color="000000"/>
              <w:left w:val="single" w:sz="16" w:space="0" w:color="000000"/>
              <w:bottom w:val="nil"/>
            </w:tcBorders>
            <w:shd w:val="clear" w:color="auto" w:fill="FFFFFF"/>
            <w:vAlign w:val="center"/>
          </w:tcPr>
          <w:p w14:paraId="43F5B4FB"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148.054</w:t>
            </w:r>
          </w:p>
        </w:tc>
        <w:tc>
          <w:tcPr>
            <w:tcW w:w="932" w:type="dxa"/>
            <w:tcBorders>
              <w:top w:val="single" w:sz="16" w:space="0" w:color="000000"/>
              <w:bottom w:val="nil"/>
            </w:tcBorders>
            <w:shd w:val="clear" w:color="auto" w:fill="FFFFFF"/>
            <w:vAlign w:val="center"/>
          </w:tcPr>
          <w:p w14:paraId="442CD34E"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1</w:t>
            </w:r>
          </w:p>
        </w:tc>
        <w:tc>
          <w:tcPr>
            <w:tcW w:w="1304" w:type="dxa"/>
            <w:tcBorders>
              <w:top w:val="single" w:sz="16" w:space="0" w:color="000000"/>
              <w:bottom w:val="nil"/>
            </w:tcBorders>
            <w:shd w:val="clear" w:color="auto" w:fill="FFFFFF"/>
            <w:vAlign w:val="center"/>
          </w:tcPr>
          <w:p w14:paraId="06B3342D"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148.054</w:t>
            </w:r>
          </w:p>
        </w:tc>
        <w:tc>
          <w:tcPr>
            <w:tcW w:w="988" w:type="dxa"/>
            <w:tcBorders>
              <w:top w:val="single" w:sz="16" w:space="0" w:color="000000"/>
              <w:bottom w:val="nil"/>
            </w:tcBorders>
            <w:shd w:val="clear" w:color="auto" w:fill="FFFFFF"/>
            <w:vAlign w:val="center"/>
          </w:tcPr>
          <w:p w14:paraId="23E557D9"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114.124</w:t>
            </w:r>
          </w:p>
        </w:tc>
        <w:tc>
          <w:tcPr>
            <w:tcW w:w="932" w:type="dxa"/>
            <w:tcBorders>
              <w:top w:val="single" w:sz="16" w:space="0" w:color="000000"/>
              <w:bottom w:val="nil"/>
              <w:right w:val="single" w:sz="16" w:space="0" w:color="000000"/>
            </w:tcBorders>
            <w:shd w:val="clear" w:color="auto" w:fill="FFFFFF"/>
            <w:vAlign w:val="center"/>
          </w:tcPr>
          <w:p w14:paraId="3067EDD5"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.000</w:t>
            </w:r>
          </w:p>
        </w:tc>
      </w:tr>
      <w:tr w:rsidR="00036EBB" w:rsidRPr="008005DD" w14:paraId="32DD2A9F" w14:textId="77777777" w:rsidTr="00036EBB">
        <w:trPr>
          <w:cantSplit/>
          <w:trHeight w:val="161"/>
        </w:trPr>
        <w:tc>
          <w:tcPr>
            <w:tcW w:w="1668" w:type="dxa"/>
            <w:vMerge/>
            <w:tcBorders>
              <w:top w:val="single" w:sz="16" w:space="0" w:color="000000"/>
              <w:left w:val="single" w:sz="16" w:space="0" w:color="000000"/>
              <w:right w:val="nil"/>
            </w:tcBorders>
            <w:shd w:val="clear" w:color="auto" w:fill="FFFFFF"/>
          </w:tcPr>
          <w:p w14:paraId="2EAA3633"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668" w:type="dxa"/>
            <w:tcBorders>
              <w:top w:val="nil"/>
              <w:left w:val="nil"/>
              <w:bottom w:val="nil"/>
              <w:right w:val="single" w:sz="16" w:space="0" w:color="000000"/>
            </w:tcBorders>
            <w:shd w:val="clear" w:color="auto" w:fill="FFFFFF"/>
          </w:tcPr>
          <w:p w14:paraId="52EDFBEC"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Level 2 vs. Later</w:t>
            </w:r>
          </w:p>
        </w:tc>
        <w:tc>
          <w:tcPr>
            <w:tcW w:w="1337" w:type="dxa"/>
            <w:tcBorders>
              <w:top w:val="nil"/>
              <w:left w:val="single" w:sz="16" w:space="0" w:color="000000"/>
              <w:bottom w:val="nil"/>
            </w:tcBorders>
            <w:shd w:val="clear" w:color="auto" w:fill="FFFFFF"/>
            <w:vAlign w:val="center"/>
          </w:tcPr>
          <w:p w14:paraId="0EE66BD2"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8.345</w:t>
            </w:r>
          </w:p>
        </w:tc>
        <w:tc>
          <w:tcPr>
            <w:tcW w:w="932" w:type="dxa"/>
            <w:tcBorders>
              <w:top w:val="nil"/>
              <w:bottom w:val="nil"/>
            </w:tcBorders>
            <w:shd w:val="clear" w:color="auto" w:fill="FFFFFF"/>
            <w:vAlign w:val="center"/>
          </w:tcPr>
          <w:p w14:paraId="38C31E0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w:t>
            </w:r>
          </w:p>
        </w:tc>
        <w:tc>
          <w:tcPr>
            <w:tcW w:w="1304" w:type="dxa"/>
            <w:tcBorders>
              <w:top w:val="nil"/>
              <w:bottom w:val="nil"/>
            </w:tcBorders>
            <w:shd w:val="clear" w:color="auto" w:fill="FFFFFF"/>
            <w:vAlign w:val="center"/>
          </w:tcPr>
          <w:p w14:paraId="306391A4"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8.345</w:t>
            </w:r>
          </w:p>
        </w:tc>
        <w:tc>
          <w:tcPr>
            <w:tcW w:w="988" w:type="dxa"/>
            <w:tcBorders>
              <w:top w:val="nil"/>
              <w:bottom w:val="nil"/>
            </w:tcBorders>
            <w:shd w:val="clear" w:color="auto" w:fill="FFFFFF"/>
            <w:vAlign w:val="center"/>
          </w:tcPr>
          <w:p w14:paraId="76D702A9"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8.470</w:t>
            </w:r>
          </w:p>
        </w:tc>
        <w:tc>
          <w:tcPr>
            <w:tcW w:w="932" w:type="dxa"/>
            <w:tcBorders>
              <w:top w:val="nil"/>
              <w:bottom w:val="nil"/>
              <w:right w:val="single" w:sz="16" w:space="0" w:color="000000"/>
            </w:tcBorders>
            <w:shd w:val="clear" w:color="auto" w:fill="FFFFFF"/>
            <w:vAlign w:val="center"/>
          </w:tcPr>
          <w:p w14:paraId="318E158A"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.005</w:t>
            </w:r>
          </w:p>
        </w:tc>
      </w:tr>
      <w:tr w:rsidR="00036EBB" w:rsidRPr="008005DD" w14:paraId="10820F51" w14:textId="77777777" w:rsidTr="00036EBB">
        <w:trPr>
          <w:cantSplit/>
          <w:trHeight w:val="161"/>
        </w:trPr>
        <w:tc>
          <w:tcPr>
            <w:tcW w:w="1668" w:type="dxa"/>
            <w:vMerge/>
            <w:tcBorders>
              <w:top w:val="single" w:sz="16" w:space="0" w:color="000000"/>
              <w:left w:val="single" w:sz="16" w:space="0" w:color="000000"/>
              <w:right w:val="nil"/>
            </w:tcBorders>
            <w:shd w:val="clear" w:color="auto" w:fill="FFFFFF"/>
          </w:tcPr>
          <w:p w14:paraId="69B8E748"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668" w:type="dxa"/>
            <w:tcBorders>
              <w:top w:val="nil"/>
              <w:left w:val="nil"/>
              <w:right w:val="single" w:sz="16" w:space="0" w:color="000000"/>
            </w:tcBorders>
            <w:shd w:val="clear" w:color="auto" w:fill="FFFFFF"/>
          </w:tcPr>
          <w:p w14:paraId="758DA6F8"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Level 3 vs. Level 4</w:t>
            </w:r>
          </w:p>
        </w:tc>
        <w:tc>
          <w:tcPr>
            <w:tcW w:w="1337" w:type="dxa"/>
            <w:tcBorders>
              <w:top w:val="nil"/>
              <w:left w:val="single" w:sz="16" w:space="0" w:color="000000"/>
            </w:tcBorders>
            <w:shd w:val="clear" w:color="auto" w:fill="FFFFFF"/>
            <w:vAlign w:val="center"/>
          </w:tcPr>
          <w:p w14:paraId="564B74EC"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8.345</w:t>
            </w:r>
          </w:p>
        </w:tc>
        <w:tc>
          <w:tcPr>
            <w:tcW w:w="932" w:type="dxa"/>
            <w:tcBorders>
              <w:top w:val="nil"/>
            </w:tcBorders>
            <w:shd w:val="clear" w:color="auto" w:fill="FFFFFF"/>
            <w:vAlign w:val="center"/>
          </w:tcPr>
          <w:p w14:paraId="27D17341"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w:t>
            </w:r>
          </w:p>
        </w:tc>
        <w:tc>
          <w:tcPr>
            <w:tcW w:w="1304" w:type="dxa"/>
            <w:tcBorders>
              <w:top w:val="nil"/>
            </w:tcBorders>
            <w:shd w:val="clear" w:color="auto" w:fill="FFFFFF"/>
            <w:vAlign w:val="center"/>
          </w:tcPr>
          <w:p w14:paraId="293F3F35"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8.345</w:t>
            </w:r>
          </w:p>
        </w:tc>
        <w:tc>
          <w:tcPr>
            <w:tcW w:w="988" w:type="dxa"/>
            <w:tcBorders>
              <w:top w:val="nil"/>
            </w:tcBorders>
            <w:shd w:val="clear" w:color="auto" w:fill="FFFFFF"/>
            <w:vAlign w:val="center"/>
          </w:tcPr>
          <w:p w14:paraId="7A68AFBD"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5.305</w:t>
            </w:r>
          </w:p>
        </w:tc>
        <w:tc>
          <w:tcPr>
            <w:tcW w:w="932" w:type="dxa"/>
            <w:tcBorders>
              <w:top w:val="nil"/>
              <w:right w:val="single" w:sz="16" w:space="0" w:color="000000"/>
            </w:tcBorders>
            <w:shd w:val="clear" w:color="auto" w:fill="FFFFFF"/>
            <w:vAlign w:val="center"/>
          </w:tcPr>
          <w:p w14:paraId="1D2ADD8C"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.025</w:t>
            </w:r>
          </w:p>
        </w:tc>
      </w:tr>
      <w:tr w:rsidR="00036EBB" w:rsidRPr="008005DD" w14:paraId="537D20D1" w14:textId="77777777" w:rsidTr="00036EBB">
        <w:trPr>
          <w:cantSplit/>
          <w:trHeight w:val="755"/>
        </w:trPr>
        <w:tc>
          <w:tcPr>
            <w:tcW w:w="1668" w:type="dxa"/>
            <w:vMerge w:val="restart"/>
            <w:tcBorders>
              <w:top w:val="nil"/>
              <w:left w:val="single" w:sz="16" w:space="0" w:color="000000"/>
              <w:bottom w:val="single" w:sz="16" w:space="0" w:color="000000"/>
              <w:right w:val="nil"/>
            </w:tcBorders>
            <w:shd w:val="clear" w:color="auto" w:fill="FFFFFF"/>
          </w:tcPr>
          <w:p w14:paraId="68924687" w14:textId="68ED58F2"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Error</w:t>
            </w:r>
            <w:r w:rsidR="00036EBB">
              <w:rPr>
                <w:rFonts w:cs="Arial"/>
                <w:color w:val="000000"/>
                <w:sz w:val="20"/>
                <w:szCs w:val="20"/>
              </w:rPr>
              <w:t xml:space="preserve"> </w:t>
            </w:r>
            <w:r w:rsidR="00E5281E">
              <w:rPr>
                <w:rFonts w:cs="Arial"/>
                <w:color w:val="000000"/>
                <w:sz w:val="20"/>
                <w:szCs w:val="20"/>
              </w:rPr>
              <w:t xml:space="preserve">(Confidence </w:t>
            </w:r>
            <w:r w:rsidR="00036EBB">
              <w:rPr>
                <w:rFonts w:cs="Arial"/>
                <w:color w:val="000000"/>
                <w:sz w:val="20"/>
                <w:szCs w:val="20"/>
              </w:rPr>
              <w:t xml:space="preserve"> </w:t>
            </w:r>
            <w:r w:rsidRPr="00036EBB">
              <w:rPr>
                <w:rFonts w:cs="Arial"/>
                <w:color w:val="000000"/>
                <w:sz w:val="20"/>
                <w:szCs w:val="20"/>
              </w:rPr>
              <w:t>score)</w:t>
            </w:r>
          </w:p>
        </w:tc>
        <w:tc>
          <w:tcPr>
            <w:tcW w:w="1668" w:type="dxa"/>
            <w:tcBorders>
              <w:top w:val="nil"/>
              <w:left w:val="nil"/>
              <w:bottom w:val="nil"/>
              <w:right w:val="single" w:sz="16" w:space="0" w:color="000000"/>
            </w:tcBorders>
            <w:shd w:val="clear" w:color="auto" w:fill="FFFFFF"/>
          </w:tcPr>
          <w:p w14:paraId="4EA89A69" w14:textId="77777777" w:rsidR="006E47E2" w:rsidRPr="00036EBB" w:rsidRDefault="006E47E2" w:rsidP="00036EBB">
            <w:pPr>
              <w:widowControl w:val="0"/>
              <w:autoSpaceDE w:val="0"/>
              <w:autoSpaceDN w:val="0"/>
              <w:adjustRightInd w:val="0"/>
              <w:spacing w:line="240" w:lineRule="auto"/>
              <w:ind w:left="60" w:right="60"/>
              <w:rPr>
                <w:rFonts w:cs="Arial"/>
                <w:color w:val="000000"/>
                <w:sz w:val="20"/>
                <w:szCs w:val="20"/>
              </w:rPr>
            </w:pPr>
            <w:r w:rsidRPr="00036EBB">
              <w:rPr>
                <w:rFonts w:cs="Arial"/>
                <w:color w:val="000000"/>
                <w:sz w:val="20"/>
                <w:szCs w:val="20"/>
              </w:rPr>
              <w:t>Level 1 vs. Later</w:t>
            </w:r>
          </w:p>
        </w:tc>
        <w:tc>
          <w:tcPr>
            <w:tcW w:w="1337" w:type="dxa"/>
            <w:tcBorders>
              <w:top w:val="nil"/>
              <w:left w:val="single" w:sz="16" w:space="0" w:color="000000"/>
              <w:bottom w:val="nil"/>
            </w:tcBorders>
            <w:shd w:val="clear" w:color="auto" w:fill="FFFFFF"/>
            <w:vAlign w:val="center"/>
          </w:tcPr>
          <w:p w14:paraId="3538812B"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73.946</w:t>
            </w:r>
          </w:p>
        </w:tc>
        <w:tc>
          <w:tcPr>
            <w:tcW w:w="932" w:type="dxa"/>
            <w:tcBorders>
              <w:top w:val="nil"/>
              <w:bottom w:val="nil"/>
            </w:tcBorders>
            <w:shd w:val="clear" w:color="auto" w:fill="FFFFFF"/>
            <w:vAlign w:val="center"/>
          </w:tcPr>
          <w:p w14:paraId="53C00BFD"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57</w:t>
            </w:r>
          </w:p>
        </w:tc>
        <w:tc>
          <w:tcPr>
            <w:tcW w:w="1304" w:type="dxa"/>
            <w:tcBorders>
              <w:top w:val="nil"/>
              <w:bottom w:val="nil"/>
            </w:tcBorders>
            <w:shd w:val="clear" w:color="auto" w:fill="FFFFFF"/>
            <w:vAlign w:val="center"/>
          </w:tcPr>
          <w:p w14:paraId="0998B9B0" w14:textId="77777777" w:rsidR="006E47E2" w:rsidRPr="00036EBB" w:rsidRDefault="006E47E2" w:rsidP="006B027F">
            <w:pPr>
              <w:widowControl w:val="0"/>
              <w:autoSpaceDE w:val="0"/>
              <w:autoSpaceDN w:val="0"/>
              <w:adjustRightInd w:val="0"/>
              <w:spacing w:line="240" w:lineRule="auto"/>
              <w:ind w:left="60" w:right="60"/>
              <w:jc w:val="center"/>
              <w:rPr>
                <w:rFonts w:cs="Arial"/>
                <w:color w:val="000000"/>
                <w:sz w:val="20"/>
                <w:szCs w:val="20"/>
              </w:rPr>
            </w:pPr>
            <w:r w:rsidRPr="00036EBB">
              <w:rPr>
                <w:rFonts w:cs="Arial"/>
                <w:color w:val="000000"/>
                <w:sz w:val="20"/>
                <w:szCs w:val="20"/>
              </w:rPr>
              <w:t>1.297</w:t>
            </w:r>
          </w:p>
        </w:tc>
        <w:tc>
          <w:tcPr>
            <w:tcW w:w="988" w:type="dxa"/>
            <w:tcBorders>
              <w:top w:val="nil"/>
              <w:bottom w:val="nil"/>
            </w:tcBorders>
            <w:shd w:val="clear" w:color="auto" w:fill="FFFFFF"/>
            <w:vAlign w:val="center"/>
          </w:tcPr>
          <w:p w14:paraId="43184112" w14:textId="77777777" w:rsidR="006E47E2" w:rsidRPr="00036EBB" w:rsidRDefault="006E47E2" w:rsidP="006B027F">
            <w:pPr>
              <w:widowControl w:val="0"/>
              <w:autoSpaceDE w:val="0"/>
              <w:autoSpaceDN w:val="0"/>
              <w:adjustRightInd w:val="0"/>
              <w:spacing w:line="240" w:lineRule="auto"/>
              <w:jc w:val="center"/>
              <w:rPr>
                <w:rFonts w:ascii="Times New Roman" w:hAnsi="Times New Roman"/>
                <w:sz w:val="20"/>
                <w:szCs w:val="20"/>
              </w:rPr>
            </w:pPr>
          </w:p>
        </w:tc>
        <w:tc>
          <w:tcPr>
            <w:tcW w:w="932" w:type="dxa"/>
            <w:tcBorders>
              <w:top w:val="nil"/>
              <w:bottom w:val="nil"/>
              <w:right w:val="single" w:sz="16" w:space="0" w:color="000000"/>
            </w:tcBorders>
            <w:shd w:val="clear" w:color="auto" w:fill="FFFFFF"/>
            <w:vAlign w:val="center"/>
          </w:tcPr>
          <w:p w14:paraId="148528DB" w14:textId="77777777" w:rsidR="006E47E2" w:rsidRPr="00036EBB" w:rsidRDefault="006E47E2" w:rsidP="006B027F">
            <w:pPr>
              <w:widowControl w:val="0"/>
              <w:autoSpaceDE w:val="0"/>
              <w:autoSpaceDN w:val="0"/>
              <w:adjustRightInd w:val="0"/>
              <w:spacing w:line="240" w:lineRule="auto"/>
              <w:jc w:val="center"/>
              <w:rPr>
                <w:rFonts w:ascii="Times New Roman" w:hAnsi="Times New Roman"/>
                <w:sz w:val="20"/>
                <w:szCs w:val="20"/>
              </w:rPr>
            </w:pPr>
          </w:p>
        </w:tc>
      </w:tr>
      <w:tr w:rsidR="00036EBB" w:rsidRPr="008005DD" w14:paraId="12C639E3" w14:textId="77777777" w:rsidTr="00036EBB">
        <w:trPr>
          <w:cantSplit/>
          <w:trHeight w:val="161"/>
        </w:trPr>
        <w:tc>
          <w:tcPr>
            <w:tcW w:w="1668" w:type="dxa"/>
            <w:vMerge/>
            <w:tcBorders>
              <w:top w:val="nil"/>
              <w:left w:val="single" w:sz="16" w:space="0" w:color="000000"/>
              <w:bottom w:val="single" w:sz="16" w:space="0" w:color="000000"/>
              <w:right w:val="nil"/>
            </w:tcBorders>
            <w:shd w:val="clear" w:color="auto" w:fill="FFFFFF"/>
          </w:tcPr>
          <w:p w14:paraId="0260C1CE"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c>
          <w:tcPr>
            <w:tcW w:w="1668" w:type="dxa"/>
            <w:tcBorders>
              <w:top w:val="nil"/>
              <w:left w:val="nil"/>
              <w:bottom w:val="nil"/>
              <w:right w:val="single" w:sz="16" w:space="0" w:color="000000"/>
            </w:tcBorders>
            <w:shd w:val="clear" w:color="auto" w:fill="FFFFFF"/>
          </w:tcPr>
          <w:p w14:paraId="54F7A113"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Level 2 vs. Later</w:t>
            </w:r>
          </w:p>
        </w:tc>
        <w:tc>
          <w:tcPr>
            <w:tcW w:w="1337" w:type="dxa"/>
            <w:tcBorders>
              <w:top w:val="nil"/>
              <w:left w:val="single" w:sz="16" w:space="0" w:color="000000"/>
              <w:bottom w:val="nil"/>
            </w:tcBorders>
            <w:shd w:val="clear" w:color="auto" w:fill="FFFFFF"/>
            <w:vAlign w:val="center"/>
          </w:tcPr>
          <w:p w14:paraId="3AEB3A4F"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56.155</w:t>
            </w:r>
          </w:p>
        </w:tc>
        <w:tc>
          <w:tcPr>
            <w:tcW w:w="932" w:type="dxa"/>
            <w:tcBorders>
              <w:top w:val="nil"/>
              <w:bottom w:val="nil"/>
            </w:tcBorders>
            <w:shd w:val="clear" w:color="auto" w:fill="FFFFFF"/>
            <w:vAlign w:val="center"/>
          </w:tcPr>
          <w:p w14:paraId="6D28C27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57</w:t>
            </w:r>
          </w:p>
        </w:tc>
        <w:tc>
          <w:tcPr>
            <w:tcW w:w="1304" w:type="dxa"/>
            <w:tcBorders>
              <w:top w:val="nil"/>
              <w:bottom w:val="nil"/>
            </w:tcBorders>
            <w:shd w:val="clear" w:color="auto" w:fill="FFFFFF"/>
            <w:vAlign w:val="center"/>
          </w:tcPr>
          <w:p w14:paraId="4FB919EF"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.985</w:t>
            </w:r>
          </w:p>
        </w:tc>
        <w:tc>
          <w:tcPr>
            <w:tcW w:w="988" w:type="dxa"/>
            <w:tcBorders>
              <w:top w:val="nil"/>
              <w:bottom w:val="nil"/>
            </w:tcBorders>
            <w:shd w:val="clear" w:color="auto" w:fill="FFFFFF"/>
            <w:vAlign w:val="center"/>
          </w:tcPr>
          <w:p w14:paraId="0B24C36A" w14:textId="77777777" w:rsidR="006E47E2" w:rsidRPr="006B027F" w:rsidRDefault="006E47E2" w:rsidP="006B027F">
            <w:pPr>
              <w:widowControl w:val="0"/>
              <w:autoSpaceDE w:val="0"/>
              <w:autoSpaceDN w:val="0"/>
              <w:adjustRightInd w:val="0"/>
              <w:spacing w:line="240" w:lineRule="auto"/>
              <w:jc w:val="center"/>
              <w:rPr>
                <w:rFonts w:ascii="Times New Roman" w:hAnsi="Times New Roman"/>
                <w:sz w:val="20"/>
                <w:szCs w:val="20"/>
              </w:rPr>
            </w:pPr>
          </w:p>
        </w:tc>
        <w:tc>
          <w:tcPr>
            <w:tcW w:w="932" w:type="dxa"/>
            <w:tcBorders>
              <w:top w:val="nil"/>
              <w:bottom w:val="nil"/>
              <w:right w:val="single" w:sz="16" w:space="0" w:color="000000"/>
            </w:tcBorders>
            <w:shd w:val="clear" w:color="auto" w:fill="FFFFFF"/>
            <w:vAlign w:val="center"/>
          </w:tcPr>
          <w:p w14:paraId="1C6967F7" w14:textId="77777777" w:rsidR="006E47E2" w:rsidRPr="006B027F" w:rsidRDefault="006E47E2" w:rsidP="006B027F">
            <w:pPr>
              <w:widowControl w:val="0"/>
              <w:autoSpaceDE w:val="0"/>
              <w:autoSpaceDN w:val="0"/>
              <w:adjustRightInd w:val="0"/>
              <w:spacing w:line="240" w:lineRule="auto"/>
              <w:jc w:val="center"/>
              <w:rPr>
                <w:rFonts w:ascii="Times New Roman" w:hAnsi="Times New Roman"/>
                <w:sz w:val="20"/>
                <w:szCs w:val="20"/>
              </w:rPr>
            </w:pPr>
          </w:p>
        </w:tc>
      </w:tr>
      <w:tr w:rsidR="00036EBB" w:rsidRPr="008005DD" w14:paraId="4B9BA7DF" w14:textId="77777777" w:rsidTr="00036EBB">
        <w:trPr>
          <w:cantSplit/>
          <w:trHeight w:val="161"/>
        </w:trPr>
        <w:tc>
          <w:tcPr>
            <w:tcW w:w="1668" w:type="dxa"/>
            <w:vMerge/>
            <w:tcBorders>
              <w:top w:val="nil"/>
              <w:left w:val="single" w:sz="16" w:space="0" w:color="000000"/>
              <w:bottom w:val="single" w:sz="16" w:space="0" w:color="000000"/>
              <w:right w:val="nil"/>
            </w:tcBorders>
            <w:shd w:val="clear" w:color="auto" w:fill="FFFFFF"/>
          </w:tcPr>
          <w:p w14:paraId="59A7740F" w14:textId="77777777" w:rsidR="006E47E2" w:rsidRPr="006B027F" w:rsidRDefault="006E47E2" w:rsidP="006B027F">
            <w:pPr>
              <w:widowControl w:val="0"/>
              <w:autoSpaceDE w:val="0"/>
              <w:autoSpaceDN w:val="0"/>
              <w:adjustRightInd w:val="0"/>
              <w:spacing w:line="240" w:lineRule="auto"/>
              <w:rPr>
                <w:rFonts w:ascii="Times New Roman" w:hAnsi="Times New Roman"/>
                <w:sz w:val="20"/>
                <w:szCs w:val="20"/>
              </w:rPr>
            </w:pPr>
          </w:p>
        </w:tc>
        <w:tc>
          <w:tcPr>
            <w:tcW w:w="1668" w:type="dxa"/>
            <w:tcBorders>
              <w:top w:val="nil"/>
              <w:left w:val="nil"/>
              <w:bottom w:val="single" w:sz="16" w:space="0" w:color="000000"/>
              <w:right w:val="single" w:sz="16" w:space="0" w:color="000000"/>
            </w:tcBorders>
            <w:shd w:val="clear" w:color="auto" w:fill="FFFFFF"/>
          </w:tcPr>
          <w:p w14:paraId="081C3EF1"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Level 3 vs. Level 4</w:t>
            </w:r>
          </w:p>
        </w:tc>
        <w:tc>
          <w:tcPr>
            <w:tcW w:w="1337" w:type="dxa"/>
            <w:tcBorders>
              <w:top w:val="nil"/>
              <w:left w:val="single" w:sz="16" w:space="0" w:color="000000"/>
              <w:bottom w:val="single" w:sz="16" w:space="0" w:color="000000"/>
            </w:tcBorders>
            <w:shd w:val="clear" w:color="auto" w:fill="FFFFFF"/>
            <w:vAlign w:val="center"/>
          </w:tcPr>
          <w:p w14:paraId="3EA74EB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89.655</w:t>
            </w:r>
          </w:p>
        </w:tc>
        <w:tc>
          <w:tcPr>
            <w:tcW w:w="932" w:type="dxa"/>
            <w:tcBorders>
              <w:top w:val="nil"/>
              <w:bottom w:val="single" w:sz="16" w:space="0" w:color="000000"/>
            </w:tcBorders>
            <w:shd w:val="clear" w:color="auto" w:fill="FFFFFF"/>
            <w:vAlign w:val="center"/>
          </w:tcPr>
          <w:p w14:paraId="33836792"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57</w:t>
            </w:r>
          </w:p>
        </w:tc>
        <w:tc>
          <w:tcPr>
            <w:tcW w:w="1304" w:type="dxa"/>
            <w:tcBorders>
              <w:top w:val="nil"/>
              <w:bottom w:val="single" w:sz="16" w:space="0" w:color="000000"/>
            </w:tcBorders>
            <w:shd w:val="clear" w:color="auto" w:fill="FFFFFF"/>
            <w:vAlign w:val="center"/>
          </w:tcPr>
          <w:p w14:paraId="53292281"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1.573</w:t>
            </w:r>
          </w:p>
        </w:tc>
        <w:tc>
          <w:tcPr>
            <w:tcW w:w="988" w:type="dxa"/>
            <w:tcBorders>
              <w:top w:val="nil"/>
              <w:bottom w:val="single" w:sz="16" w:space="0" w:color="000000"/>
            </w:tcBorders>
            <w:shd w:val="clear" w:color="auto" w:fill="FFFFFF"/>
            <w:vAlign w:val="center"/>
          </w:tcPr>
          <w:p w14:paraId="6C1DA03A" w14:textId="77777777" w:rsidR="006E47E2" w:rsidRPr="006B027F" w:rsidRDefault="006E47E2" w:rsidP="006B027F">
            <w:pPr>
              <w:widowControl w:val="0"/>
              <w:autoSpaceDE w:val="0"/>
              <w:autoSpaceDN w:val="0"/>
              <w:adjustRightInd w:val="0"/>
              <w:spacing w:line="240" w:lineRule="auto"/>
              <w:jc w:val="center"/>
              <w:rPr>
                <w:rFonts w:ascii="Times New Roman" w:hAnsi="Times New Roman"/>
                <w:sz w:val="20"/>
                <w:szCs w:val="20"/>
              </w:rPr>
            </w:pPr>
          </w:p>
        </w:tc>
        <w:tc>
          <w:tcPr>
            <w:tcW w:w="932" w:type="dxa"/>
            <w:tcBorders>
              <w:top w:val="nil"/>
              <w:bottom w:val="single" w:sz="16" w:space="0" w:color="000000"/>
              <w:right w:val="single" w:sz="16" w:space="0" w:color="000000"/>
            </w:tcBorders>
            <w:shd w:val="clear" w:color="auto" w:fill="FFFFFF"/>
            <w:vAlign w:val="center"/>
          </w:tcPr>
          <w:p w14:paraId="4798CA74" w14:textId="77777777" w:rsidR="006E47E2" w:rsidRPr="006B027F" w:rsidRDefault="006E47E2" w:rsidP="006B027F">
            <w:pPr>
              <w:widowControl w:val="0"/>
              <w:autoSpaceDE w:val="0"/>
              <w:autoSpaceDN w:val="0"/>
              <w:adjustRightInd w:val="0"/>
              <w:spacing w:line="240" w:lineRule="auto"/>
              <w:jc w:val="center"/>
              <w:rPr>
                <w:rFonts w:ascii="Times New Roman" w:hAnsi="Times New Roman"/>
                <w:sz w:val="20"/>
                <w:szCs w:val="20"/>
              </w:rPr>
            </w:pPr>
          </w:p>
        </w:tc>
      </w:tr>
    </w:tbl>
    <w:p w14:paraId="38397F84" w14:textId="77777777" w:rsidR="006E47E2" w:rsidRDefault="006E47E2" w:rsidP="006E47E2">
      <w:pPr>
        <w:widowControl w:val="0"/>
        <w:autoSpaceDE w:val="0"/>
        <w:autoSpaceDN w:val="0"/>
        <w:adjustRightInd w:val="0"/>
        <w:rPr>
          <w:rFonts w:ascii="Times New Roman" w:hAnsi="Times New Roman"/>
        </w:rPr>
      </w:pPr>
    </w:p>
    <w:p w14:paraId="37A9CC74" w14:textId="77777777" w:rsidR="00036EBB" w:rsidRDefault="00036EBB" w:rsidP="006E47E2">
      <w:pPr>
        <w:widowControl w:val="0"/>
        <w:autoSpaceDE w:val="0"/>
        <w:autoSpaceDN w:val="0"/>
        <w:adjustRightInd w:val="0"/>
        <w:rPr>
          <w:rFonts w:ascii="Times New Roman" w:hAnsi="Times New Roman"/>
        </w:rPr>
      </w:pPr>
    </w:p>
    <w:p w14:paraId="08153F2F" w14:textId="77777777" w:rsidR="00036EBB" w:rsidRDefault="00036EBB" w:rsidP="006E47E2">
      <w:pPr>
        <w:widowControl w:val="0"/>
        <w:autoSpaceDE w:val="0"/>
        <w:autoSpaceDN w:val="0"/>
        <w:adjustRightInd w:val="0"/>
        <w:rPr>
          <w:rFonts w:ascii="Times New Roman" w:hAnsi="Times New Roman"/>
        </w:rPr>
      </w:pPr>
    </w:p>
    <w:p w14:paraId="2F895863" w14:textId="77777777" w:rsidR="00036EBB" w:rsidRDefault="00036EBB" w:rsidP="006E47E2">
      <w:pPr>
        <w:widowControl w:val="0"/>
        <w:autoSpaceDE w:val="0"/>
        <w:autoSpaceDN w:val="0"/>
        <w:adjustRightInd w:val="0"/>
        <w:rPr>
          <w:rFonts w:ascii="Times New Roman" w:hAnsi="Times New Roman"/>
        </w:rPr>
      </w:pPr>
    </w:p>
    <w:p w14:paraId="711C3A57" w14:textId="77777777" w:rsidR="00036EBB" w:rsidRPr="008005DD" w:rsidRDefault="00036EBB" w:rsidP="006E47E2">
      <w:pPr>
        <w:widowControl w:val="0"/>
        <w:autoSpaceDE w:val="0"/>
        <w:autoSpaceDN w:val="0"/>
        <w:adjustRightInd w:val="0"/>
        <w:rPr>
          <w:rFonts w:ascii="Times New Roman" w:hAnsi="Times New Roman"/>
        </w:rPr>
      </w:pPr>
    </w:p>
    <w:tbl>
      <w:tblPr>
        <w:tblW w:w="86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80"/>
        <w:gridCol w:w="1752"/>
        <w:gridCol w:w="1222"/>
        <w:gridCol w:w="1718"/>
        <w:gridCol w:w="1443"/>
        <w:gridCol w:w="1222"/>
        <w:gridCol w:w="8"/>
      </w:tblGrid>
      <w:tr w:rsidR="006E47E2" w:rsidRPr="008005DD" w14:paraId="26BF5253" w14:textId="77777777" w:rsidTr="006B027F">
        <w:trPr>
          <w:cantSplit/>
          <w:trHeight w:val="400"/>
        </w:trPr>
        <w:tc>
          <w:tcPr>
            <w:tcW w:w="8645" w:type="dxa"/>
            <w:gridSpan w:val="7"/>
            <w:tcBorders>
              <w:top w:val="nil"/>
              <w:left w:val="nil"/>
              <w:bottom w:val="nil"/>
              <w:right w:val="nil"/>
            </w:tcBorders>
            <w:shd w:val="clear" w:color="auto" w:fill="FFFFFF"/>
            <w:vAlign w:val="center"/>
          </w:tcPr>
          <w:p w14:paraId="10DDC445" w14:textId="77777777" w:rsidR="006E47E2" w:rsidRPr="008005DD" w:rsidRDefault="006E47E2" w:rsidP="006E47E2">
            <w:pPr>
              <w:widowControl w:val="0"/>
              <w:autoSpaceDE w:val="0"/>
              <w:autoSpaceDN w:val="0"/>
              <w:adjustRightInd w:val="0"/>
              <w:spacing w:line="320" w:lineRule="atLeast"/>
              <w:ind w:left="60" w:right="60"/>
              <w:jc w:val="center"/>
              <w:rPr>
                <w:rFonts w:cs="Arial"/>
                <w:color w:val="000000"/>
              </w:rPr>
            </w:pPr>
            <w:r w:rsidRPr="008005DD">
              <w:rPr>
                <w:rFonts w:cs="Arial"/>
                <w:b/>
                <w:bCs/>
                <w:color w:val="000000"/>
              </w:rPr>
              <w:lastRenderedPageBreak/>
              <w:t>Tests of Between-Subjects Effects</w:t>
            </w:r>
          </w:p>
        </w:tc>
      </w:tr>
      <w:tr w:rsidR="006E47E2" w:rsidRPr="008005DD" w14:paraId="0C7B7A26" w14:textId="77777777" w:rsidTr="006B027F">
        <w:trPr>
          <w:cantSplit/>
          <w:trHeight w:val="400"/>
        </w:trPr>
        <w:tc>
          <w:tcPr>
            <w:tcW w:w="8645" w:type="dxa"/>
            <w:gridSpan w:val="7"/>
            <w:tcBorders>
              <w:top w:val="nil"/>
              <w:left w:val="nil"/>
              <w:bottom w:val="nil"/>
              <w:right w:val="nil"/>
            </w:tcBorders>
            <w:shd w:val="clear" w:color="auto" w:fill="FFFFFF"/>
            <w:vAlign w:val="bottom"/>
          </w:tcPr>
          <w:p w14:paraId="14C60A07" w14:textId="7FC5B808" w:rsidR="006E47E2" w:rsidRPr="008005DD" w:rsidRDefault="006E47E2" w:rsidP="006E47E2">
            <w:pPr>
              <w:widowControl w:val="0"/>
              <w:autoSpaceDE w:val="0"/>
              <w:autoSpaceDN w:val="0"/>
              <w:adjustRightInd w:val="0"/>
              <w:spacing w:line="320" w:lineRule="atLeast"/>
              <w:rPr>
                <w:rFonts w:ascii="Times New Roman" w:hAnsi="Times New Roman"/>
              </w:rPr>
            </w:pPr>
          </w:p>
        </w:tc>
      </w:tr>
      <w:tr w:rsidR="006E47E2" w:rsidRPr="008005DD" w14:paraId="295E6498" w14:textId="77777777" w:rsidTr="006B027F">
        <w:trPr>
          <w:cantSplit/>
          <w:trHeight w:val="400"/>
        </w:trPr>
        <w:tc>
          <w:tcPr>
            <w:tcW w:w="8645" w:type="dxa"/>
            <w:gridSpan w:val="7"/>
            <w:tcBorders>
              <w:top w:val="nil"/>
              <w:left w:val="nil"/>
              <w:bottom w:val="nil"/>
              <w:right w:val="nil"/>
            </w:tcBorders>
            <w:shd w:val="clear" w:color="auto" w:fill="FFFFFF"/>
            <w:vAlign w:val="bottom"/>
          </w:tcPr>
          <w:p w14:paraId="7809C1D8" w14:textId="77777777" w:rsidR="006E47E2" w:rsidRPr="008005DD" w:rsidRDefault="006E47E2" w:rsidP="006E47E2">
            <w:pPr>
              <w:widowControl w:val="0"/>
              <w:autoSpaceDE w:val="0"/>
              <w:autoSpaceDN w:val="0"/>
              <w:adjustRightInd w:val="0"/>
              <w:spacing w:line="320" w:lineRule="atLeast"/>
              <w:rPr>
                <w:rFonts w:ascii="Times New Roman" w:hAnsi="Times New Roman"/>
              </w:rPr>
            </w:pPr>
            <w:r w:rsidRPr="008005DD">
              <w:rPr>
                <w:rFonts w:cs="Arial"/>
                <w:color w:val="000000"/>
                <w:shd w:val="clear" w:color="auto" w:fill="FFFFFF"/>
              </w:rPr>
              <w:t xml:space="preserve">Transformed Variable:   Average  </w:t>
            </w:r>
          </w:p>
        </w:tc>
      </w:tr>
      <w:tr w:rsidR="00036EBB" w:rsidRPr="008005DD" w14:paraId="75131A5A" w14:textId="77777777" w:rsidTr="00036EBB">
        <w:trPr>
          <w:gridAfter w:val="1"/>
          <w:wAfter w:w="8" w:type="dxa"/>
          <w:cantSplit/>
          <w:trHeight w:val="1208"/>
        </w:trPr>
        <w:tc>
          <w:tcPr>
            <w:tcW w:w="1280"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2545EF11"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Source</w:t>
            </w:r>
          </w:p>
        </w:tc>
        <w:tc>
          <w:tcPr>
            <w:tcW w:w="1752" w:type="dxa"/>
            <w:tcBorders>
              <w:top w:val="single" w:sz="16" w:space="0" w:color="000000"/>
              <w:left w:val="single" w:sz="16" w:space="0" w:color="000000"/>
              <w:bottom w:val="single" w:sz="16" w:space="0" w:color="000000"/>
            </w:tcBorders>
            <w:shd w:val="clear" w:color="auto" w:fill="FFFFFF"/>
            <w:vAlign w:val="bottom"/>
          </w:tcPr>
          <w:p w14:paraId="06F11C79"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Type III Sum of Squares</w:t>
            </w:r>
          </w:p>
        </w:tc>
        <w:tc>
          <w:tcPr>
            <w:tcW w:w="1222" w:type="dxa"/>
            <w:tcBorders>
              <w:top w:val="single" w:sz="16" w:space="0" w:color="000000"/>
              <w:bottom w:val="single" w:sz="16" w:space="0" w:color="000000"/>
            </w:tcBorders>
            <w:shd w:val="clear" w:color="auto" w:fill="FFFFFF"/>
            <w:vAlign w:val="bottom"/>
          </w:tcPr>
          <w:p w14:paraId="6ADDF165"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proofErr w:type="spellStart"/>
            <w:r w:rsidRPr="006B027F">
              <w:rPr>
                <w:rFonts w:cs="Arial"/>
                <w:color w:val="000000"/>
                <w:sz w:val="20"/>
                <w:szCs w:val="20"/>
              </w:rPr>
              <w:t>df</w:t>
            </w:r>
            <w:proofErr w:type="spellEnd"/>
          </w:p>
        </w:tc>
        <w:tc>
          <w:tcPr>
            <w:tcW w:w="1718" w:type="dxa"/>
            <w:tcBorders>
              <w:top w:val="single" w:sz="16" w:space="0" w:color="000000"/>
              <w:bottom w:val="single" w:sz="16" w:space="0" w:color="000000"/>
            </w:tcBorders>
            <w:shd w:val="clear" w:color="auto" w:fill="FFFFFF"/>
            <w:vAlign w:val="bottom"/>
          </w:tcPr>
          <w:p w14:paraId="5F82ACAC"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Mean Square</w:t>
            </w:r>
          </w:p>
        </w:tc>
        <w:tc>
          <w:tcPr>
            <w:tcW w:w="1443" w:type="dxa"/>
            <w:tcBorders>
              <w:top w:val="single" w:sz="16" w:space="0" w:color="000000"/>
              <w:bottom w:val="single" w:sz="16" w:space="0" w:color="000000"/>
            </w:tcBorders>
            <w:shd w:val="clear" w:color="auto" w:fill="FFFFFF"/>
            <w:vAlign w:val="bottom"/>
          </w:tcPr>
          <w:p w14:paraId="33271B6D"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F</w:t>
            </w:r>
          </w:p>
        </w:tc>
        <w:tc>
          <w:tcPr>
            <w:tcW w:w="1222" w:type="dxa"/>
            <w:tcBorders>
              <w:top w:val="single" w:sz="16" w:space="0" w:color="000000"/>
              <w:bottom w:val="single" w:sz="16" w:space="0" w:color="000000"/>
              <w:right w:val="single" w:sz="16" w:space="0" w:color="000000"/>
            </w:tcBorders>
            <w:shd w:val="clear" w:color="auto" w:fill="FFFFFF"/>
            <w:vAlign w:val="bottom"/>
          </w:tcPr>
          <w:p w14:paraId="7E53EF5F"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Sig.</w:t>
            </w:r>
          </w:p>
        </w:tc>
      </w:tr>
      <w:tr w:rsidR="00036EBB" w:rsidRPr="008005DD" w14:paraId="6DAA95CC" w14:textId="77777777" w:rsidTr="00036EBB">
        <w:trPr>
          <w:gridAfter w:val="1"/>
          <w:wAfter w:w="8" w:type="dxa"/>
          <w:cantSplit/>
          <w:trHeight w:val="808"/>
        </w:trPr>
        <w:tc>
          <w:tcPr>
            <w:tcW w:w="1280" w:type="dxa"/>
            <w:tcBorders>
              <w:top w:val="single" w:sz="16" w:space="0" w:color="000000"/>
              <w:left w:val="single" w:sz="16" w:space="0" w:color="000000"/>
              <w:bottom w:val="nil"/>
              <w:right w:val="single" w:sz="16" w:space="0" w:color="000000"/>
            </w:tcBorders>
            <w:shd w:val="clear" w:color="auto" w:fill="FFFFFF"/>
          </w:tcPr>
          <w:p w14:paraId="78E6DEDC"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Intercept</w:t>
            </w:r>
          </w:p>
        </w:tc>
        <w:tc>
          <w:tcPr>
            <w:tcW w:w="1752" w:type="dxa"/>
            <w:tcBorders>
              <w:top w:val="single" w:sz="16" w:space="0" w:color="000000"/>
              <w:left w:val="single" w:sz="16" w:space="0" w:color="000000"/>
              <w:bottom w:val="nil"/>
            </w:tcBorders>
            <w:shd w:val="clear" w:color="auto" w:fill="FFFFFF"/>
            <w:vAlign w:val="center"/>
          </w:tcPr>
          <w:p w14:paraId="4C009AFA"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2905.349</w:t>
            </w:r>
          </w:p>
        </w:tc>
        <w:tc>
          <w:tcPr>
            <w:tcW w:w="1222" w:type="dxa"/>
            <w:tcBorders>
              <w:top w:val="single" w:sz="16" w:space="0" w:color="000000"/>
              <w:bottom w:val="nil"/>
            </w:tcBorders>
            <w:shd w:val="clear" w:color="auto" w:fill="FFFFFF"/>
            <w:vAlign w:val="center"/>
          </w:tcPr>
          <w:p w14:paraId="4E4648CE"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1</w:t>
            </w:r>
          </w:p>
        </w:tc>
        <w:tc>
          <w:tcPr>
            <w:tcW w:w="1718" w:type="dxa"/>
            <w:tcBorders>
              <w:top w:val="single" w:sz="16" w:space="0" w:color="000000"/>
              <w:bottom w:val="nil"/>
            </w:tcBorders>
            <w:shd w:val="clear" w:color="auto" w:fill="FFFFFF"/>
            <w:vAlign w:val="center"/>
          </w:tcPr>
          <w:p w14:paraId="7963D475"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2905.349</w:t>
            </w:r>
          </w:p>
        </w:tc>
        <w:tc>
          <w:tcPr>
            <w:tcW w:w="1443" w:type="dxa"/>
            <w:tcBorders>
              <w:top w:val="single" w:sz="16" w:space="0" w:color="000000"/>
              <w:bottom w:val="nil"/>
            </w:tcBorders>
            <w:shd w:val="clear" w:color="auto" w:fill="FFFFFF"/>
            <w:vAlign w:val="center"/>
          </w:tcPr>
          <w:p w14:paraId="05DA939A"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5425.069</w:t>
            </w:r>
          </w:p>
        </w:tc>
        <w:tc>
          <w:tcPr>
            <w:tcW w:w="1222" w:type="dxa"/>
            <w:tcBorders>
              <w:top w:val="single" w:sz="16" w:space="0" w:color="000000"/>
              <w:bottom w:val="nil"/>
              <w:right w:val="single" w:sz="16" w:space="0" w:color="000000"/>
            </w:tcBorders>
            <w:shd w:val="clear" w:color="auto" w:fill="FFFFFF"/>
            <w:vAlign w:val="center"/>
          </w:tcPr>
          <w:p w14:paraId="2D5D419B"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.000</w:t>
            </w:r>
          </w:p>
        </w:tc>
      </w:tr>
      <w:tr w:rsidR="00036EBB" w:rsidRPr="008005DD" w14:paraId="5FEE8F63" w14:textId="77777777" w:rsidTr="00036EBB">
        <w:trPr>
          <w:gridAfter w:val="1"/>
          <w:wAfter w:w="8" w:type="dxa"/>
          <w:cantSplit/>
          <w:trHeight w:val="400"/>
        </w:trPr>
        <w:tc>
          <w:tcPr>
            <w:tcW w:w="1280" w:type="dxa"/>
            <w:tcBorders>
              <w:top w:val="nil"/>
              <w:left w:val="single" w:sz="16" w:space="0" w:color="000000"/>
              <w:bottom w:val="single" w:sz="16" w:space="0" w:color="000000"/>
              <w:right w:val="single" w:sz="16" w:space="0" w:color="000000"/>
            </w:tcBorders>
            <w:shd w:val="clear" w:color="auto" w:fill="FFFFFF"/>
          </w:tcPr>
          <w:p w14:paraId="44419FAE"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Error</w:t>
            </w:r>
          </w:p>
        </w:tc>
        <w:tc>
          <w:tcPr>
            <w:tcW w:w="1752" w:type="dxa"/>
            <w:tcBorders>
              <w:top w:val="nil"/>
              <w:left w:val="single" w:sz="16" w:space="0" w:color="000000"/>
              <w:bottom w:val="single" w:sz="16" w:space="0" w:color="000000"/>
            </w:tcBorders>
            <w:shd w:val="clear" w:color="auto" w:fill="FFFFFF"/>
            <w:vAlign w:val="center"/>
          </w:tcPr>
          <w:p w14:paraId="2497B7B2"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30.526</w:t>
            </w:r>
          </w:p>
        </w:tc>
        <w:tc>
          <w:tcPr>
            <w:tcW w:w="1222" w:type="dxa"/>
            <w:tcBorders>
              <w:top w:val="nil"/>
              <w:bottom w:val="single" w:sz="16" w:space="0" w:color="000000"/>
            </w:tcBorders>
            <w:shd w:val="clear" w:color="auto" w:fill="FFFFFF"/>
            <w:vAlign w:val="center"/>
          </w:tcPr>
          <w:p w14:paraId="6B6EE733"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57</w:t>
            </w:r>
          </w:p>
        </w:tc>
        <w:tc>
          <w:tcPr>
            <w:tcW w:w="1718" w:type="dxa"/>
            <w:tcBorders>
              <w:top w:val="nil"/>
              <w:bottom w:val="single" w:sz="16" w:space="0" w:color="000000"/>
            </w:tcBorders>
            <w:shd w:val="clear" w:color="auto" w:fill="FFFFFF"/>
            <w:vAlign w:val="center"/>
          </w:tcPr>
          <w:p w14:paraId="18A890EE"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.536</w:t>
            </w:r>
          </w:p>
        </w:tc>
        <w:tc>
          <w:tcPr>
            <w:tcW w:w="1443" w:type="dxa"/>
            <w:tcBorders>
              <w:top w:val="nil"/>
              <w:bottom w:val="single" w:sz="16" w:space="0" w:color="000000"/>
            </w:tcBorders>
            <w:shd w:val="clear" w:color="auto" w:fill="FFFFFF"/>
            <w:vAlign w:val="center"/>
          </w:tcPr>
          <w:p w14:paraId="15CCC89D" w14:textId="77777777" w:rsidR="006E47E2" w:rsidRPr="006B027F" w:rsidRDefault="006E47E2" w:rsidP="006B027F">
            <w:pPr>
              <w:widowControl w:val="0"/>
              <w:autoSpaceDE w:val="0"/>
              <w:autoSpaceDN w:val="0"/>
              <w:adjustRightInd w:val="0"/>
              <w:jc w:val="center"/>
              <w:rPr>
                <w:rFonts w:ascii="Times New Roman" w:hAnsi="Times New Roman"/>
                <w:sz w:val="20"/>
                <w:szCs w:val="20"/>
              </w:rPr>
            </w:pPr>
          </w:p>
        </w:tc>
        <w:tc>
          <w:tcPr>
            <w:tcW w:w="1222" w:type="dxa"/>
            <w:tcBorders>
              <w:top w:val="nil"/>
              <w:bottom w:val="single" w:sz="16" w:space="0" w:color="000000"/>
              <w:right w:val="single" w:sz="16" w:space="0" w:color="000000"/>
            </w:tcBorders>
            <w:shd w:val="clear" w:color="auto" w:fill="FFFFFF"/>
            <w:vAlign w:val="center"/>
          </w:tcPr>
          <w:p w14:paraId="6C38F3D1" w14:textId="77777777" w:rsidR="006E47E2" w:rsidRPr="006B027F" w:rsidRDefault="006E47E2" w:rsidP="006B027F">
            <w:pPr>
              <w:widowControl w:val="0"/>
              <w:autoSpaceDE w:val="0"/>
              <w:autoSpaceDN w:val="0"/>
              <w:adjustRightInd w:val="0"/>
              <w:jc w:val="center"/>
              <w:rPr>
                <w:rFonts w:ascii="Times New Roman" w:hAnsi="Times New Roman"/>
                <w:sz w:val="20"/>
                <w:szCs w:val="20"/>
              </w:rPr>
            </w:pPr>
          </w:p>
        </w:tc>
      </w:tr>
    </w:tbl>
    <w:p w14:paraId="5DFFA98C" w14:textId="77777777" w:rsidR="006E47E2" w:rsidRDefault="006E47E2" w:rsidP="006E47E2">
      <w:pPr>
        <w:widowControl w:val="0"/>
        <w:autoSpaceDE w:val="0"/>
        <w:autoSpaceDN w:val="0"/>
        <w:adjustRightInd w:val="0"/>
        <w:spacing w:line="400" w:lineRule="atLeast"/>
        <w:rPr>
          <w:rFonts w:ascii="Times New Roman" w:hAnsi="Times New Roman"/>
        </w:rPr>
      </w:pPr>
    </w:p>
    <w:p w14:paraId="62F71CA1" w14:textId="77777777" w:rsidR="00036EBB" w:rsidRDefault="00036EBB" w:rsidP="006E47E2">
      <w:pPr>
        <w:widowControl w:val="0"/>
        <w:autoSpaceDE w:val="0"/>
        <w:autoSpaceDN w:val="0"/>
        <w:adjustRightInd w:val="0"/>
        <w:spacing w:line="400" w:lineRule="atLeast"/>
        <w:rPr>
          <w:rFonts w:ascii="Times New Roman" w:hAnsi="Times New Roman"/>
        </w:rPr>
      </w:pPr>
    </w:p>
    <w:p w14:paraId="63FA8BDF" w14:textId="77777777" w:rsidR="006E47E2" w:rsidRPr="008005DD" w:rsidRDefault="006E47E2" w:rsidP="006E47E2">
      <w:pPr>
        <w:widowControl w:val="0"/>
        <w:autoSpaceDE w:val="0"/>
        <w:autoSpaceDN w:val="0"/>
        <w:adjustRightInd w:val="0"/>
        <w:rPr>
          <w:rFonts w:ascii="Times New Roman" w:hAnsi="Times New Roman"/>
        </w:rPr>
      </w:pPr>
    </w:p>
    <w:tbl>
      <w:tblPr>
        <w:tblW w:w="73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0"/>
        <w:gridCol w:w="1658"/>
        <w:gridCol w:w="2091"/>
        <w:gridCol w:w="2136"/>
      </w:tblGrid>
      <w:tr w:rsidR="006E47E2" w:rsidRPr="008005DD" w14:paraId="088C7B4D" w14:textId="77777777" w:rsidTr="006E47E2">
        <w:trPr>
          <w:cantSplit/>
          <w:trHeight w:val="311"/>
        </w:trPr>
        <w:tc>
          <w:tcPr>
            <w:tcW w:w="7395" w:type="dxa"/>
            <w:gridSpan w:val="4"/>
            <w:tcBorders>
              <w:top w:val="nil"/>
              <w:left w:val="nil"/>
              <w:bottom w:val="nil"/>
              <w:right w:val="nil"/>
            </w:tcBorders>
            <w:shd w:val="clear" w:color="auto" w:fill="FFFFFF"/>
            <w:vAlign w:val="center"/>
          </w:tcPr>
          <w:p w14:paraId="1DD4D217" w14:textId="77777777" w:rsidR="006E47E2" w:rsidRPr="008005DD" w:rsidRDefault="006E47E2" w:rsidP="006E47E2">
            <w:pPr>
              <w:widowControl w:val="0"/>
              <w:autoSpaceDE w:val="0"/>
              <w:autoSpaceDN w:val="0"/>
              <w:adjustRightInd w:val="0"/>
              <w:spacing w:line="320" w:lineRule="atLeast"/>
              <w:ind w:left="60" w:right="60"/>
              <w:jc w:val="center"/>
              <w:rPr>
                <w:rFonts w:cs="Arial"/>
                <w:color w:val="000000"/>
              </w:rPr>
            </w:pPr>
            <w:r w:rsidRPr="008005DD">
              <w:rPr>
                <w:rFonts w:cs="Arial"/>
                <w:b/>
                <w:bCs/>
                <w:color w:val="000000"/>
              </w:rPr>
              <w:t>1. Grand Mean</w:t>
            </w:r>
          </w:p>
        </w:tc>
      </w:tr>
      <w:tr w:rsidR="006E47E2" w:rsidRPr="008005DD" w14:paraId="3BA8E562" w14:textId="77777777" w:rsidTr="006E47E2">
        <w:trPr>
          <w:cantSplit/>
          <w:trHeight w:val="311"/>
        </w:trPr>
        <w:tc>
          <w:tcPr>
            <w:tcW w:w="7395" w:type="dxa"/>
            <w:gridSpan w:val="4"/>
            <w:tcBorders>
              <w:top w:val="nil"/>
              <w:left w:val="nil"/>
              <w:bottom w:val="nil"/>
              <w:right w:val="nil"/>
            </w:tcBorders>
            <w:shd w:val="clear" w:color="auto" w:fill="FFFFFF"/>
            <w:vAlign w:val="bottom"/>
          </w:tcPr>
          <w:p w14:paraId="1062DC44" w14:textId="77777777" w:rsidR="006E47E2" w:rsidRPr="008005DD" w:rsidRDefault="006E47E2" w:rsidP="006E47E2">
            <w:pPr>
              <w:widowControl w:val="0"/>
              <w:autoSpaceDE w:val="0"/>
              <w:autoSpaceDN w:val="0"/>
              <w:adjustRightInd w:val="0"/>
              <w:spacing w:line="320" w:lineRule="atLeast"/>
              <w:rPr>
                <w:rFonts w:ascii="Times New Roman" w:hAnsi="Times New Roman"/>
              </w:rPr>
            </w:pPr>
            <w:r w:rsidRPr="008005DD">
              <w:rPr>
                <w:rFonts w:cs="Arial"/>
                <w:color w:val="000000"/>
                <w:shd w:val="clear" w:color="auto" w:fill="FFFFFF"/>
              </w:rPr>
              <w:t xml:space="preserve">Measure:   MEASURE_1  </w:t>
            </w:r>
          </w:p>
        </w:tc>
      </w:tr>
      <w:tr w:rsidR="006E47E2" w:rsidRPr="008005DD" w14:paraId="0176DBC2" w14:textId="77777777" w:rsidTr="006E47E2">
        <w:trPr>
          <w:cantSplit/>
          <w:trHeight w:val="311"/>
        </w:trPr>
        <w:tc>
          <w:tcPr>
            <w:tcW w:w="1510" w:type="dxa"/>
            <w:vMerge w:val="restart"/>
            <w:tcBorders>
              <w:top w:val="single" w:sz="16" w:space="0" w:color="000000"/>
              <w:left w:val="single" w:sz="16" w:space="0" w:color="000000"/>
            </w:tcBorders>
            <w:shd w:val="clear" w:color="auto" w:fill="FFFFFF"/>
            <w:vAlign w:val="bottom"/>
          </w:tcPr>
          <w:p w14:paraId="5974C1C8"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Mean</w:t>
            </w:r>
          </w:p>
        </w:tc>
        <w:tc>
          <w:tcPr>
            <w:tcW w:w="1658" w:type="dxa"/>
            <w:vMerge w:val="restart"/>
            <w:tcBorders>
              <w:top w:val="single" w:sz="16" w:space="0" w:color="000000"/>
            </w:tcBorders>
            <w:shd w:val="clear" w:color="auto" w:fill="FFFFFF"/>
            <w:vAlign w:val="bottom"/>
          </w:tcPr>
          <w:p w14:paraId="6F3B060C"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Std. Error</w:t>
            </w:r>
          </w:p>
        </w:tc>
        <w:tc>
          <w:tcPr>
            <w:tcW w:w="4226" w:type="dxa"/>
            <w:gridSpan w:val="2"/>
            <w:tcBorders>
              <w:top w:val="single" w:sz="16" w:space="0" w:color="000000"/>
              <w:right w:val="single" w:sz="16" w:space="0" w:color="000000"/>
            </w:tcBorders>
            <w:shd w:val="clear" w:color="auto" w:fill="FFFFFF"/>
            <w:vAlign w:val="bottom"/>
          </w:tcPr>
          <w:p w14:paraId="4663E5E2"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95% Confidence Interval</w:t>
            </w:r>
          </w:p>
        </w:tc>
      </w:tr>
      <w:tr w:rsidR="006E47E2" w:rsidRPr="008005DD" w14:paraId="321AC1BA" w14:textId="77777777" w:rsidTr="006E47E2">
        <w:trPr>
          <w:cantSplit/>
          <w:trHeight w:val="139"/>
        </w:trPr>
        <w:tc>
          <w:tcPr>
            <w:tcW w:w="1510" w:type="dxa"/>
            <w:vMerge/>
            <w:tcBorders>
              <w:top w:val="single" w:sz="16" w:space="0" w:color="000000"/>
              <w:left w:val="single" w:sz="16" w:space="0" w:color="000000"/>
            </w:tcBorders>
            <w:shd w:val="clear" w:color="auto" w:fill="FFFFFF"/>
            <w:vAlign w:val="bottom"/>
          </w:tcPr>
          <w:p w14:paraId="47D94DFC" w14:textId="77777777" w:rsidR="006E47E2" w:rsidRPr="006B027F" w:rsidRDefault="006E47E2" w:rsidP="006E47E2">
            <w:pPr>
              <w:widowControl w:val="0"/>
              <w:autoSpaceDE w:val="0"/>
              <w:autoSpaceDN w:val="0"/>
              <w:adjustRightInd w:val="0"/>
              <w:rPr>
                <w:rFonts w:cs="Arial"/>
                <w:color w:val="000000"/>
                <w:sz w:val="20"/>
                <w:szCs w:val="20"/>
              </w:rPr>
            </w:pPr>
          </w:p>
        </w:tc>
        <w:tc>
          <w:tcPr>
            <w:tcW w:w="1658" w:type="dxa"/>
            <w:vMerge/>
            <w:tcBorders>
              <w:top w:val="single" w:sz="16" w:space="0" w:color="000000"/>
            </w:tcBorders>
            <w:shd w:val="clear" w:color="auto" w:fill="FFFFFF"/>
            <w:vAlign w:val="bottom"/>
          </w:tcPr>
          <w:p w14:paraId="76919257" w14:textId="77777777" w:rsidR="006E47E2" w:rsidRPr="006B027F" w:rsidRDefault="006E47E2" w:rsidP="006E47E2">
            <w:pPr>
              <w:widowControl w:val="0"/>
              <w:autoSpaceDE w:val="0"/>
              <w:autoSpaceDN w:val="0"/>
              <w:adjustRightInd w:val="0"/>
              <w:rPr>
                <w:rFonts w:cs="Arial"/>
                <w:color w:val="000000"/>
                <w:sz w:val="20"/>
                <w:szCs w:val="20"/>
              </w:rPr>
            </w:pPr>
          </w:p>
        </w:tc>
        <w:tc>
          <w:tcPr>
            <w:tcW w:w="2091" w:type="dxa"/>
            <w:tcBorders>
              <w:bottom w:val="single" w:sz="16" w:space="0" w:color="000000"/>
            </w:tcBorders>
            <w:shd w:val="clear" w:color="auto" w:fill="FFFFFF"/>
            <w:vAlign w:val="bottom"/>
          </w:tcPr>
          <w:p w14:paraId="49A7F816"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Lower Bound</w:t>
            </w:r>
          </w:p>
        </w:tc>
        <w:tc>
          <w:tcPr>
            <w:tcW w:w="2136" w:type="dxa"/>
            <w:tcBorders>
              <w:bottom w:val="single" w:sz="16" w:space="0" w:color="000000"/>
              <w:right w:val="single" w:sz="16" w:space="0" w:color="000000"/>
            </w:tcBorders>
            <w:shd w:val="clear" w:color="auto" w:fill="FFFFFF"/>
            <w:vAlign w:val="bottom"/>
          </w:tcPr>
          <w:p w14:paraId="4BE52DCC"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Upper Bound</w:t>
            </w:r>
          </w:p>
        </w:tc>
      </w:tr>
      <w:tr w:rsidR="006E47E2" w:rsidRPr="008005DD" w14:paraId="4FC380FE" w14:textId="77777777" w:rsidTr="006E47E2">
        <w:trPr>
          <w:cantSplit/>
          <w:trHeight w:val="311"/>
        </w:trPr>
        <w:tc>
          <w:tcPr>
            <w:tcW w:w="1510" w:type="dxa"/>
            <w:tcBorders>
              <w:top w:val="single" w:sz="16" w:space="0" w:color="000000"/>
              <w:left w:val="single" w:sz="16" w:space="0" w:color="000000"/>
              <w:bottom w:val="single" w:sz="16" w:space="0" w:color="000000"/>
            </w:tcBorders>
            <w:shd w:val="clear" w:color="auto" w:fill="FFFFFF"/>
            <w:vAlign w:val="center"/>
          </w:tcPr>
          <w:p w14:paraId="4786D583"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7.078</w:t>
            </w:r>
          </w:p>
        </w:tc>
        <w:tc>
          <w:tcPr>
            <w:tcW w:w="1658" w:type="dxa"/>
            <w:tcBorders>
              <w:top w:val="single" w:sz="16" w:space="0" w:color="000000"/>
              <w:bottom w:val="single" w:sz="16" w:space="0" w:color="000000"/>
            </w:tcBorders>
            <w:shd w:val="clear" w:color="auto" w:fill="FFFFFF"/>
            <w:vAlign w:val="center"/>
          </w:tcPr>
          <w:p w14:paraId="1AB9CD5F"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.096</w:t>
            </w:r>
          </w:p>
        </w:tc>
        <w:tc>
          <w:tcPr>
            <w:tcW w:w="2091" w:type="dxa"/>
            <w:tcBorders>
              <w:top w:val="single" w:sz="16" w:space="0" w:color="000000"/>
              <w:bottom w:val="single" w:sz="16" w:space="0" w:color="000000"/>
            </w:tcBorders>
            <w:shd w:val="clear" w:color="auto" w:fill="FFFFFF"/>
            <w:vAlign w:val="center"/>
          </w:tcPr>
          <w:p w14:paraId="650873A0"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6.885</w:t>
            </w:r>
          </w:p>
        </w:tc>
        <w:tc>
          <w:tcPr>
            <w:tcW w:w="2136" w:type="dxa"/>
            <w:tcBorders>
              <w:top w:val="single" w:sz="16" w:space="0" w:color="000000"/>
              <w:bottom w:val="single" w:sz="16" w:space="0" w:color="000000"/>
              <w:right w:val="single" w:sz="16" w:space="0" w:color="000000"/>
            </w:tcBorders>
            <w:shd w:val="clear" w:color="auto" w:fill="FFFFFF"/>
            <w:vAlign w:val="center"/>
          </w:tcPr>
          <w:p w14:paraId="1048B139" w14:textId="77777777" w:rsidR="006E47E2" w:rsidRPr="006B027F" w:rsidRDefault="006E47E2" w:rsidP="006B027F">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7.270</w:t>
            </w:r>
          </w:p>
        </w:tc>
      </w:tr>
    </w:tbl>
    <w:p w14:paraId="1A386D56" w14:textId="77777777" w:rsidR="006E47E2" w:rsidRPr="008005DD" w:rsidRDefault="006E47E2" w:rsidP="006E47E2">
      <w:pPr>
        <w:widowControl w:val="0"/>
        <w:autoSpaceDE w:val="0"/>
        <w:autoSpaceDN w:val="0"/>
        <w:adjustRightInd w:val="0"/>
        <w:spacing w:line="400" w:lineRule="atLeast"/>
        <w:rPr>
          <w:rFonts w:ascii="Times New Roman" w:hAnsi="Times New Roman"/>
        </w:rPr>
      </w:pPr>
    </w:p>
    <w:p w14:paraId="01C746A6" w14:textId="77777777" w:rsidR="006E47E2" w:rsidRPr="008005DD" w:rsidRDefault="006E47E2" w:rsidP="006E47E2">
      <w:pPr>
        <w:widowControl w:val="0"/>
        <w:autoSpaceDE w:val="0"/>
        <w:autoSpaceDN w:val="0"/>
        <w:adjustRightInd w:val="0"/>
        <w:rPr>
          <w:rFonts w:ascii="Times New Roman" w:hAnsi="Times New Roman"/>
        </w:rPr>
      </w:pPr>
    </w:p>
    <w:tbl>
      <w:tblPr>
        <w:tblW w:w="88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361"/>
        <w:gridCol w:w="1318"/>
        <w:gridCol w:w="1457"/>
        <w:gridCol w:w="1829"/>
        <w:gridCol w:w="1870"/>
      </w:tblGrid>
      <w:tr w:rsidR="006E47E2" w:rsidRPr="008005DD" w14:paraId="4BE66EE3" w14:textId="77777777" w:rsidTr="006B027F">
        <w:trPr>
          <w:cantSplit/>
          <w:trHeight w:val="789"/>
        </w:trPr>
        <w:tc>
          <w:tcPr>
            <w:tcW w:w="8834" w:type="dxa"/>
            <w:gridSpan w:val="5"/>
            <w:tcBorders>
              <w:top w:val="nil"/>
              <w:left w:val="nil"/>
              <w:bottom w:val="nil"/>
              <w:right w:val="nil"/>
            </w:tcBorders>
            <w:shd w:val="clear" w:color="auto" w:fill="FFFFFF"/>
            <w:vAlign w:val="center"/>
          </w:tcPr>
          <w:p w14:paraId="54EE0FF1" w14:textId="77777777" w:rsidR="006E47E2" w:rsidRPr="008005DD" w:rsidRDefault="006E47E2" w:rsidP="006E47E2">
            <w:pPr>
              <w:widowControl w:val="0"/>
              <w:autoSpaceDE w:val="0"/>
              <w:autoSpaceDN w:val="0"/>
              <w:adjustRightInd w:val="0"/>
              <w:spacing w:line="320" w:lineRule="atLeast"/>
              <w:ind w:left="60" w:right="60"/>
              <w:jc w:val="center"/>
              <w:rPr>
                <w:rFonts w:cs="Arial"/>
                <w:color w:val="000000"/>
              </w:rPr>
            </w:pPr>
            <w:r w:rsidRPr="008005DD">
              <w:rPr>
                <w:rFonts w:cs="Arial"/>
                <w:b/>
                <w:bCs/>
                <w:color w:val="000000"/>
              </w:rPr>
              <w:lastRenderedPageBreak/>
              <w:t>Estimates</w:t>
            </w:r>
          </w:p>
        </w:tc>
      </w:tr>
      <w:tr w:rsidR="006E47E2" w:rsidRPr="008005DD" w14:paraId="3AD93320" w14:textId="77777777" w:rsidTr="006B027F">
        <w:trPr>
          <w:cantSplit/>
          <w:trHeight w:val="789"/>
        </w:trPr>
        <w:tc>
          <w:tcPr>
            <w:tcW w:w="8834" w:type="dxa"/>
            <w:gridSpan w:val="5"/>
            <w:tcBorders>
              <w:top w:val="nil"/>
              <w:left w:val="nil"/>
              <w:bottom w:val="nil"/>
              <w:right w:val="nil"/>
            </w:tcBorders>
            <w:shd w:val="clear" w:color="auto" w:fill="FFFFFF"/>
            <w:vAlign w:val="bottom"/>
          </w:tcPr>
          <w:p w14:paraId="6238DF3E" w14:textId="56947A6E" w:rsidR="006E47E2" w:rsidRPr="008005DD" w:rsidRDefault="006E47E2" w:rsidP="006E47E2">
            <w:pPr>
              <w:widowControl w:val="0"/>
              <w:autoSpaceDE w:val="0"/>
              <w:autoSpaceDN w:val="0"/>
              <w:adjustRightInd w:val="0"/>
              <w:spacing w:line="320" w:lineRule="atLeast"/>
              <w:rPr>
                <w:rFonts w:ascii="Times New Roman" w:hAnsi="Times New Roman"/>
              </w:rPr>
            </w:pPr>
          </w:p>
        </w:tc>
      </w:tr>
      <w:tr w:rsidR="006E47E2" w:rsidRPr="008005DD" w14:paraId="163ABA6B" w14:textId="77777777" w:rsidTr="006B027F">
        <w:trPr>
          <w:cantSplit/>
          <w:trHeight w:val="789"/>
        </w:trPr>
        <w:tc>
          <w:tcPr>
            <w:tcW w:w="2361" w:type="dxa"/>
            <w:vMerge w:val="restart"/>
            <w:tcBorders>
              <w:top w:val="single" w:sz="16" w:space="0" w:color="000000"/>
              <w:left w:val="single" w:sz="16" w:space="0" w:color="000000"/>
              <w:bottom w:val="nil"/>
              <w:right w:val="single" w:sz="16" w:space="0" w:color="000000"/>
            </w:tcBorders>
            <w:shd w:val="clear" w:color="auto" w:fill="FFFFFF"/>
            <w:vAlign w:val="bottom"/>
          </w:tcPr>
          <w:p w14:paraId="398B3827"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proofErr w:type="spellStart"/>
            <w:r w:rsidRPr="006B027F">
              <w:rPr>
                <w:rFonts w:cs="Arial"/>
                <w:color w:val="000000"/>
                <w:sz w:val="20"/>
                <w:szCs w:val="20"/>
              </w:rPr>
              <w:t>Confidence_score</w:t>
            </w:r>
            <w:proofErr w:type="spellEnd"/>
          </w:p>
        </w:tc>
        <w:tc>
          <w:tcPr>
            <w:tcW w:w="1318" w:type="dxa"/>
            <w:vMerge w:val="restart"/>
            <w:tcBorders>
              <w:top w:val="single" w:sz="16" w:space="0" w:color="000000"/>
              <w:left w:val="single" w:sz="16" w:space="0" w:color="000000"/>
            </w:tcBorders>
            <w:shd w:val="clear" w:color="auto" w:fill="FFFFFF"/>
            <w:vAlign w:val="bottom"/>
          </w:tcPr>
          <w:p w14:paraId="2CF60EBB"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Mean</w:t>
            </w:r>
          </w:p>
        </w:tc>
        <w:tc>
          <w:tcPr>
            <w:tcW w:w="1457" w:type="dxa"/>
            <w:vMerge w:val="restart"/>
            <w:tcBorders>
              <w:top w:val="single" w:sz="16" w:space="0" w:color="000000"/>
            </w:tcBorders>
            <w:shd w:val="clear" w:color="auto" w:fill="FFFFFF"/>
            <w:vAlign w:val="bottom"/>
          </w:tcPr>
          <w:p w14:paraId="769FD83F"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Std. Error</w:t>
            </w:r>
          </w:p>
        </w:tc>
        <w:tc>
          <w:tcPr>
            <w:tcW w:w="3699" w:type="dxa"/>
            <w:gridSpan w:val="2"/>
            <w:tcBorders>
              <w:top w:val="single" w:sz="16" w:space="0" w:color="000000"/>
              <w:right w:val="single" w:sz="16" w:space="0" w:color="000000"/>
            </w:tcBorders>
            <w:shd w:val="clear" w:color="auto" w:fill="FFFFFF"/>
            <w:vAlign w:val="bottom"/>
          </w:tcPr>
          <w:p w14:paraId="6D37F18E"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95% Confidence Interval</w:t>
            </w:r>
          </w:p>
        </w:tc>
      </w:tr>
      <w:tr w:rsidR="00036EBB" w:rsidRPr="008005DD" w14:paraId="3545FC83" w14:textId="77777777" w:rsidTr="00036EBB">
        <w:trPr>
          <w:cantSplit/>
          <w:trHeight w:val="149"/>
        </w:trPr>
        <w:tc>
          <w:tcPr>
            <w:tcW w:w="2361" w:type="dxa"/>
            <w:vMerge/>
            <w:tcBorders>
              <w:top w:val="single" w:sz="16" w:space="0" w:color="000000"/>
              <w:left w:val="single" w:sz="16" w:space="0" w:color="000000"/>
              <w:bottom w:val="nil"/>
              <w:right w:val="single" w:sz="16" w:space="0" w:color="000000"/>
            </w:tcBorders>
            <w:shd w:val="clear" w:color="auto" w:fill="FFFFFF"/>
            <w:vAlign w:val="bottom"/>
          </w:tcPr>
          <w:p w14:paraId="660E48A6" w14:textId="77777777" w:rsidR="006E47E2" w:rsidRPr="006B027F" w:rsidRDefault="006E47E2" w:rsidP="006E47E2">
            <w:pPr>
              <w:widowControl w:val="0"/>
              <w:autoSpaceDE w:val="0"/>
              <w:autoSpaceDN w:val="0"/>
              <w:adjustRightInd w:val="0"/>
              <w:rPr>
                <w:rFonts w:cs="Arial"/>
                <w:color w:val="000000"/>
                <w:sz w:val="20"/>
                <w:szCs w:val="20"/>
              </w:rPr>
            </w:pPr>
          </w:p>
        </w:tc>
        <w:tc>
          <w:tcPr>
            <w:tcW w:w="1318" w:type="dxa"/>
            <w:vMerge/>
            <w:tcBorders>
              <w:top w:val="single" w:sz="16" w:space="0" w:color="000000"/>
              <w:left w:val="single" w:sz="16" w:space="0" w:color="000000"/>
            </w:tcBorders>
            <w:shd w:val="clear" w:color="auto" w:fill="FFFFFF"/>
            <w:vAlign w:val="bottom"/>
          </w:tcPr>
          <w:p w14:paraId="4D0607D5" w14:textId="77777777" w:rsidR="006E47E2" w:rsidRPr="006B027F" w:rsidRDefault="006E47E2" w:rsidP="006E47E2">
            <w:pPr>
              <w:widowControl w:val="0"/>
              <w:autoSpaceDE w:val="0"/>
              <w:autoSpaceDN w:val="0"/>
              <w:adjustRightInd w:val="0"/>
              <w:rPr>
                <w:rFonts w:cs="Arial"/>
                <w:color w:val="000000"/>
                <w:sz w:val="20"/>
                <w:szCs w:val="20"/>
              </w:rPr>
            </w:pPr>
          </w:p>
        </w:tc>
        <w:tc>
          <w:tcPr>
            <w:tcW w:w="1457" w:type="dxa"/>
            <w:vMerge/>
            <w:tcBorders>
              <w:top w:val="single" w:sz="16" w:space="0" w:color="000000"/>
            </w:tcBorders>
            <w:shd w:val="clear" w:color="auto" w:fill="FFFFFF"/>
            <w:vAlign w:val="bottom"/>
          </w:tcPr>
          <w:p w14:paraId="7B67560F" w14:textId="77777777" w:rsidR="006E47E2" w:rsidRPr="006B027F" w:rsidRDefault="006E47E2" w:rsidP="006E47E2">
            <w:pPr>
              <w:widowControl w:val="0"/>
              <w:autoSpaceDE w:val="0"/>
              <w:autoSpaceDN w:val="0"/>
              <w:adjustRightInd w:val="0"/>
              <w:rPr>
                <w:rFonts w:cs="Arial"/>
                <w:color w:val="000000"/>
                <w:sz w:val="20"/>
                <w:szCs w:val="20"/>
              </w:rPr>
            </w:pPr>
          </w:p>
        </w:tc>
        <w:tc>
          <w:tcPr>
            <w:tcW w:w="1829" w:type="dxa"/>
            <w:tcBorders>
              <w:bottom w:val="single" w:sz="16" w:space="0" w:color="000000"/>
            </w:tcBorders>
            <w:shd w:val="clear" w:color="auto" w:fill="FFFFFF"/>
            <w:vAlign w:val="bottom"/>
          </w:tcPr>
          <w:p w14:paraId="465D7BEE"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Lower Bound</w:t>
            </w:r>
          </w:p>
        </w:tc>
        <w:tc>
          <w:tcPr>
            <w:tcW w:w="1869" w:type="dxa"/>
            <w:tcBorders>
              <w:bottom w:val="single" w:sz="16" w:space="0" w:color="000000"/>
              <w:right w:val="single" w:sz="16" w:space="0" w:color="000000"/>
            </w:tcBorders>
            <w:shd w:val="clear" w:color="auto" w:fill="FFFFFF"/>
            <w:vAlign w:val="bottom"/>
          </w:tcPr>
          <w:p w14:paraId="0B682451" w14:textId="77777777" w:rsidR="006E47E2" w:rsidRPr="006B027F" w:rsidRDefault="006E47E2" w:rsidP="006E47E2">
            <w:pPr>
              <w:widowControl w:val="0"/>
              <w:autoSpaceDE w:val="0"/>
              <w:autoSpaceDN w:val="0"/>
              <w:adjustRightInd w:val="0"/>
              <w:spacing w:line="320" w:lineRule="atLeast"/>
              <w:ind w:left="60" w:right="60"/>
              <w:jc w:val="center"/>
              <w:rPr>
                <w:rFonts w:cs="Arial"/>
                <w:color w:val="000000"/>
                <w:sz w:val="20"/>
                <w:szCs w:val="20"/>
              </w:rPr>
            </w:pPr>
            <w:r w:rsidRPr="006B027F">
              <w:rPr>
                <w:rFonts w:cs="Arial"/>
                <w:color w:val="000000"/>
                <w:sz w:val="20"/>
                <w:szCs w:val="20"/>
              </w:rPr>
              <w:t>Upper Bound</w:t>
            </w:r>
          </w:p>
        </w:tc>
      </w:tr>
      <w:tr w:rsidR="00036EBB" w:rsidRPr="008005DD" w14:paraId="4897CCD8" w14:textId="77777777" w:rsidTr="00036EBB">
        <w:trPr>
          <w:cantSplit/>
          <w:trHeight w:val="789"/>
        </w:trPr>
        <w:tc>
          <w:tcPr>
            <w:tcW w:w="2361" w:type="dxa"/>
            <w:tcBorders>
              <w:top w:val="single" w:sz="16" w:space="0" w:color="000000"/>
              <w:left w:val="single" w:sz="16" w:space="0" w:color="000000"/>
              <w:bottom w:val="nil"/>
              <w:right w:val="single" w:sz="16" w:space="0" w:color="000000"/>
            </w:tcBorders>
            <w:shd w:val="clear" w:color="auto" w:fill="FFFFFF"/>
          </w:tcPr>
          <w:p w14:paraId="58F4F332"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1</w:t>
            </w:r>
          </w:p>
        </w:tc>
        <w:tc>
          <w:tcPr>
            <w:tcW w:w="1318" w:type="dxa"/>
            <w:tcBorders>
              <w:top w:val="single" w:sz="16" w:space="0" w:color="000000"/>
              <w:left w:val="single" w:sz="16" w:space="0" w:color="000000"/>
              <w:bottom w:val="nil"/>
            </w:tcBorders>
            <w:shd w:val="clear" w:color="auto" w:fill="FFFFFF"/>
            <w:vAlign w:val="center"/>
          </w:tcPr>
          <w:p w14:paraId="4822BB8D"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5.879</w:t>
            </w:r>
          </w:p>
        </w:tc>
        <w:tc>
          <w:tcPr>
            <w:tcW w:w="1457" w:type="dxa"/>
            <w:tcBorders>
              <w:top w:val="single" w:sz="16" w:space="0" w:color="000000"/>
              <w:bottom w:val="nil"/>
            </w:tcBorders>
            <w:shd w:val="clear" w:color="auto" w:fill="FFFFFF"/>
            <w:vAlign w:val="center"/>
          </w:tcPr>
          <w:p w14:paraId="7781E9C2"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.167</w:t>
            </w:r>
          </w:p>
        </w:tc>
        <w:tc>
          <w:tcPr>
            <w:tcW w:w="1829" w:type="dxa"/>
            <w:tcBorders>
              <w:top w:val="single" w:sz="16" w:space="0" w:color="000000"/>
              <w:bottom w:val="nil"/>
            </w:tcBorders>
            <w:shd w:val="clear" w:color="auto" w:fill="FFFFFF"/>
            <w:vAlign w:val="center"/>
          </w:tcPr>
          <w:p w14:paraId="4DF1BA00"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5.545</w:t>
            </w:r>
          </w:p>
        </w:tc>
        <w:tc>
          <w:tcPr>
            <w:tcW w:w="1869" w:type="dxa"/>
            <w:tcBorders>
              <w:top w:val="single" w:sz="16" w:space="0" w:color="000000"/>
              <w:bottom w:val="nil"/>
              <w:right w:val="single" w:sz="16" w:space="0" w:color="000000"/>
            </w:tcBorders>
            <w:shd w:val="clear" w:color="auto" w:fill="FFFFFF"/>
            <w:vAlign w:val="center"/>
          </w:tcPr>
          <w:p w14:paraId="4D797C06"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6.214</w:t>
            </w:r>
          </w:p>
        </w:tc>
      </w:tr>
      <w:tr w:rsidR="00036EBB" w:rsidRPr="008005DD" w14:paraId="1B5842DE" w14:textId="77777777" w:rsidTr="00036EBB">
        <w:trPr>
          <w:cantSplit/>
          <w:trHeight w:val="789"/>
        </w:trPr>
        <w:tc>
          <w:tcPr>
            <w:tcW w:w="2361" w:type="dxa"/>
            <w:tcBorders>
              <w:top w:val="nil"/>
              <w:left w:val="single" w:sz="16" w:space="0" w:color="000000"/>
              <w:bottom w:val="nil"/>
              <w:right w:val="single" w:sz="16" w:space="0" w:color="000000"/>
            </w:tcBorders>
            <w:shd w:val="clear" w:color="auto" w:fill="FFFFFF"/>
          </w:tcPr>
          <w:p w14:paraId="029A4C12"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2</w:t>
            </w:r>
          </w:p>
        </w:tc>
        <w:tc>
          <w:tcPr>
            <w:tcW w:w="1318" w:type="dxa"/>
            <w:tcBorders>
              <w:top w:val="nil"/>
              <w:left w:val="single" w:sz="16" w:space="0" w:color="000000"/>
              <w:bottom w:val="nil"/>
            </w:tcBorders>
            <w:shd w:val="clear" w:color="auto" w:fill="FFFFFF"/>
            <w:vAlign w:val="center"/>
          </w:tcPr>
          <w:p w14:paraId="7464FA98"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7.224</w:t>
            </w:r>
          </w:p>
        </w:tc>
        <w:tc>
          <w:tcPr>
            <w:tcW w:w="1457" w:type="dxa"/>
            <w:tcBorders>
              <w:top w:val="nil"/>
              <w:bottom w:val="nil"/>
            </w:tcBorders>
            <w:shd w:val="clear" w:color="auto" w:fill="FFFFFF"/>
            <w:vAlign w:val="center"/>
          </w:tcPr>
          <w:p w14:paraId="60EE91EE"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.135</w:t>
            </w:r>
          </w:p>
        </w:tc>
        <w:tc>
          <w:tcPr>
            <w:tcW w:w="1829" w:type="dxa"/>
            <w:tcBorders>
              <w:top w:val="nil"/>
              <w:bottom w:val="nil"/>
            </w:tcBorders>
            <w:shd w:val="clear" w:color="auto" w:fill="FFFFFF"/>
            <w:vAlign w:val="center"/>
          </w:tcPr>
          <w:p w14:paraId="3B6139D8"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6.954</w:t>
            </w:r>
          </w:p>
        </w:tc>
        <w:tc>
          <w:tcPr>
            <w:tcW w:w="1869" w:type="dxa"/>
            <w:tcBorders>
              <w:top w:val="nil"/>
              <w:bottom w:val="nil"/>
              <w:right w:val="single" w:sz="16" w:space="0" w:color="000000"/>
            </w:tcBorders>
            <w:shd w:val="clear" w:color="auto" w:fill="FFFFFF"/>
            <w:vAlign w:val="center"/>
          </w:tcPr>
          <w:p w14:paraId="1BF4D9E7"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7.494</w:t>
            </w:r>
          </w:p>
        </w:tc>
      </w:tr>
      <w:tr w:rsidR="00036EBB" w:rsidRPr="008005DD" w14:paraId="17E712CE" w14:textId="77777777" w:rsidTr="00036EBB">
        <w:trPr>
          <w:cantSplit/>
          <w:trHeight w:val="789"/>
        </w:trPr>
        <w:tc>
          <w:tcPr>
            <w:tcW w:w="2361" w:type="dxa"/>
            <w:tcBorders>
              <w:top w:val="nil"/>
              <w:left w:val="single" w:sz="16" w:space="0" w:color="000000"/>
              <w:bottom w:val="nil"/>
              <w:right w:val="single" w:sz="16" w:space="0" w:color="000000"/>
            </w:tcBorders>
            <w:shd w:val="clear" w:color="auto" w:fill="FFFFFF"/>
          </w:tcPr>
          <w:p w14:paraId="240A1139"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3</w:t>
            </w:r>
          </w:p>
        </w:tc>
        <w:tc>
          <w:tcPr>
            <w:tcW w:w="1318" w:type="dxa"/>
            <w:tcBorders>
              <w:top w:val="nil"/>
              <w:left w:val="single" w:sz="16" w:space="0" w:color="000000"/>
              <w:bottom w:val="nil"/>
            </w:tcBorders>
            <w:shd w:val="clear" w:color="auto" w:fill="FFFFFF"/>
            <w:vAlign w:val="center"/>
          </w:tcPr>
          <w:p w14:paraId="314371A1"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7.414</w:t>
            </w:r>
          </w:p>
        </w:tc>
        <w:tc>
          <w:tcPr>
            <w:tcW w:w="1457" w:type="dxa"/>
            <w:tcBorders>
              <w:top w:val="nil"/>
              <w:bottom w:val="nil"/>
            </w:tcBorders>
            <w:shd w:val="clear" w:color="auto" w:fill="FFFFFF"/>
            <w:vAlign w:val="center"/>
          </w:tcPr>
          <w:p w14:paraId="036AF0A1"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.113</w:t>
            </w:r>
          </w:p>
        </w:tc>
        <w:tc>
          <w:tcPr>
            <w:tcW w:w="1829" w:type="dxa"/>
            <w:tcBorders>
              <w:top w:val="nil"/>
              <w:bottom w:val="nil"/>
            </w:tcBorders>
            <w:shd w:val="clear" w:color="auto" w:fill="FFFFFF"/>
            <w:vAlign w:val="center"/>
          </w:tcPr>
          <w:p w14:paraId="389DFA60"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7.188</w:t>
            </w:r>
          </w:p>
        </w:tc>
        <w:tc>
          <w:tcPr>
            <w:tcW w:w="1869" w:type="dxa"/>
            <w:tcBorders>
              <w:top w:val="nil"/>
              <w:bottom w:val="nil"/>
              <w:right w:val="single" w:sz="16" w:space="0" w:color="000000"/>
            </w:tcBorders>
            <w:shd w:val="clear" w:color="auto" w:fill="FFFFFF"/>
            <w:vAlign w:val="center"/>
          </w:tcPr>
          <w:p w14:paraId="1F9AFCF5"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7.640</w:t>
            </w:r>
          </w:p>
        </w:tc>
      </w:tr>
      <w:tr w:rsidR="00036EBB" w:rsidRPr="008005DD" w14:paraId="782FC4A4" w14:textId="77777777" w:rsidTr="00036EBB">
        <w:trPr>
          <w:cantSplit/>
          <w:trHeight w:val="789"/>
        </w:trPr>
        <w:tc>
          <w:tcPr>
            <w:tcW w:w="2361" w:type="dxa"/>
            <w:tcBorders>
              <w:top w:val="nil"/>
              <w:left w:val="single" w:sz="16" w:space="0" w:color="000000"/>
              <w:bottom w:val="single" w:sz="16" w:space="0" w:color="000000"/>
              <w:right w:val="single" w:sz="16" w:space="0" w:color="000000"/>
            </w:tcBorders>
            <w:shd w:val="clear" w:color="auto" w:fill="FFFFFF"/>
          </w:tcPr>
          <w:p w14:paraId="16C92D79" w14:textId="77777777" w:rsidR="006E47E2" w:rsidRPr="006B027F" w:rsidRDefault="006E47E2" w:rsidP="006E47E2">
            <w:pPr>
              <w:widowControl w:val="0"/>
              <w:autoSpaceDE w:val="0"/>
              <w:autoSpaceDN w:val="0"/>
              <w:adjustRightInd w:val="0"/>
              <w:spacing w:line="320" w:lineRule="atLeast"/>
              <w:ind w:left="60" w:right="60"/>
              <w:rPr>
                <w:rFonts w:cs="Arial"/>
                <w:color w:val="000000"/>
                <w:sz w:val="20"/>
                <w:szCs w:val="20"/>
              </w:rPr>
            </w:pPr>
            <w:r w:rsidRPr="006B027F">
              <w:rPr>
                <w:rFonts w:cs="Arial"/>
                <w:color w:val="000000"/>
                <w:sz w:val="20"/>
                <w:szCs w:val="20"/>
              </w:rPr>
              <w:t>4</w:t>
            </w:r>
          </w:p>
        </w:tc>
        <w:tc>
          <w:tcPr>
            <w:tcW w:w="1318" w:type="dxa"/>
            <w:tcBorders>
              <w:top w:val="nil"/>
              <w:left w:val="single" w:sz="16" w:space="0" w:color="000000"/>
              <w:bottom w:val="single" w:sz="16" w:space="0" w:color="000000"/>
            </w:tcBorders>
            <w:shd w:val="clear" w:color="auto" w:fill="FFFFFF"/>
            <w:vAlign w:val="center"/>
          </w:tcPr>
          <w:p w14:paraId="3EE23D1E"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7.793</w:t>
            </w:r>
          </w:p>
        </w:tc>
        <w:tc>
          <w:tcPr>
            <w:tcW w:w="1457" w:type="dxa"/>
            <w:tcBorders>
              <w:top w:val="nil"/>
              <w:bottom w:val="single" w:sz="16" w:space="0" w:color="000000"/>
            </w:tcBorders>
            <w:shd w:val="clear" w:color="auto" w:fill="FFFFFF"/>
            <w:vAlign w:val="center"/>
          </w:tcPr>
          <w:p w14:paraId="084F90A7"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.141</w:t>
            </w:r>
          </w:p>
        </w:tc>
        <w:tc>
          <w:tcPr>
            <w:tcW w:w="1829" w:type="dxa"/>
            <w:tcBorders>
              <w:top w:val="nil"/>
              <w:bottom w:val="single" w:sz="16" w:space="0" w:color="000000"/>
            </w:tcBorders>
            <w:shd w:val="clear" w:color="auto" w:fill="FFFFFF"/>
            <w:vAlign w:val="center"/>
          </w:tcPr>
          <w:p w14:paraId="6F6D0798"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7.511</w:t>
            </w:r>
          </w:p>
        </w:tc>
        <w:tc>
          <w:tcPr>
            <w:tcW w:w="1869" w:type="dxa"/>
            <w:tcBorders>
              <w:top w:val="nil"/>
              <w:bottom w:val="single" w:sz="16" w:space="0" w:color="000000"/>
              <w:right w:val="single" w:sz="16" w:space="0" w:color="000000"/>
            </w:tcBorders>
            <w:shd w:val="clear" w:color="auto" w:fill="FFFFFF"/>
            <w:vAlign w:val="center"/>
          </w:tcPr>
          <w:p w14:paraId="44C94383" w14:textId="77777777" w:rsidR="006E47E2" w:rsidRPr="006B027F" w:rsidRDefault="006E47E2" w:rsidP="006E47E2">
            <w:pPr>
              <w:widowControl w:val="0"/>
              <w:autoSpaceDE w:val="0"/>
              <w:autoSpaceDN w:val="0"/>
              <w:adjustRightInd w:val="0"/>
              <w:spacing w:line="320" w:lineRule="atLeast"/>
              <w:ind w:left="60" w:right="60"/>
              <w:jc w:val="right"/>
              <w:rPr>
                <w:rFonts w:cs="Arial"/>
                <w:color w:val="000000"/>
                <w:sz w:val="20"/>
                <w:szCs w:val="20"/>
              </w:rPr>
            </w:pPr>
            <w:r w:rsidRPr="006B027F">
              <w:rPr>
                <w:rFonts w:cs="Arial"/>
                <w:color w:val="000000"/>
                <w:sz w:val="20"/>
                <w:szCs w:val="20"/>
              </w:rPr>
              <w:t>8.075</w:t>
            </w:r>
          </w:p>
        </w:tc>
      </w:tr>
    </w:tbl>
    <w:p w14:paraId="5B97AF6D" w14:textId="77777777" w:rsidR="006E47E2" w:rsidRDefault="006E47E2" w:rsidP="006E47E2">
      <w:pPr>
        <w:widowControl w:val="0"/>
        <w:autoSpaceDE w:val="0"/>
        <w:autoSpaceDN w:val="0"/>
        <w:adjustRightInd w:val="0"/>
        <w:rPr>
          <w:rFonts w:ascii="Times New Roman" w:hAnsi="Times New Roman"/>
        </w:rPr>
      </w:pPr>
    </w:p>
    <w:p w14:paraId="732BC4A7" w14:textId="77777777" w:rsidR="00036EBB" w:rsidRDefault="00036EBB" w:rsidP="006E47E2">
      <w:pPr>
        <w:widowControl w:val="0"/>
        <w:autoSpaceDE w:val="0"/>
        <w:autoSpaceDN w:val="0"/>
        <w:adjustRightInd w:val="0"/>
        <w:rPr>
          <w:rFonts w:ascii="Times New Roman" w:hAnsi="Times New Roman"/>
        </w:rPr>
      </w:pPr>
    </w:p>
    <w:p w14:paraId="71242D28" w14:textId="77777777" w:rsidR="00036EBB" w:rsidRDefault="00036EBB" w:rsidP="006E47E2">
      <w:pPr>
        <w:widowControl w:val="0"/>
        <w:autoSpaceDE w:val="0"/>
        <w:autoSpaceDN w:val="0"/>
        <w:adjustRightInd w:val="0"/>
        <w:rPr>
          <w:rFonts w:ascii="Times New Roman" w:hAnsi="Times New Roman"/>
        </w:rPr>
      </w:pPr>
    </w:p>
    <w:p w14:paraId="13E551E4" w14:textId="77777777" w:rsidR="00036EBB" w:rsidRDefault="00036EBB" w:rsidP="006E47E2">
      <w:pPr>
        <w:widowControl w:val="0"/>
        <w:autoSpaceDE w:val="0"/>
        <w:autoSpaceDN w:val="0"/>
        <w:adjustRightInd w:val="0"/>
        <w:rPr>
          <w:rFonts w:ascii="Times New Roman" w:hAnsi="Times New Roman"/>
        </w:rPr>
      </w:pPr>
    </w:p>
    <w:p w14:paraId="5F836321" w14:textId="77777777" w:rsidR="00036EBB" w:rsidRDefault="00036EBB" w:rsidP="006E47E2">
      <w:pPr>
        <w:widowControl w:val="0"/>
        <w:autoSpaceDE w:val="0"/>
        <w:autoSpaceDN w:val="0"/>
        <w:adjustRightInd w:val="0"/>
        <w:rPr>
          <w:rFonts w:ascii="Times New Roman" w:hAnsi="Times New Roman"/>
        </w:rPr>
      </w:pPr>
    </w:p>
    <w:p w14:paraId="4E7ED7E2" w14:textId="77777777" w:rsidR="00036EBB" w:rsidRDefault="00036EBB" w:rsidP="006E47E2">
      <w:pPr>
        <w:widowControl w:val="0"/>
        <w:autoSpaceDE w:val="0"/>
        <w:autoSpaceDN w:val="0"/>
        <w:adjustRightInd w:val="0"/>
        <w:rPr>
          <w:rFonts w:ascii="Times New Roman" w:hAnsi="Times New Roman"/>
        </w:rPr>
      </w:pPr>
    </w:p>
    <w:p w14:paraId="732CCC58" w14:textId="77777777" w:rsidR="00036EBB" w:rsidRDefault="00036EBB" w:rsidP="006E47E2">
      <w:pPr>
        <w:widowControl w:val="0"/>
        <w:autoSpaceDE w:val="0"/>
        <w:autoSpaceDN w:val="0"/>
        <w:adjustRightInd w:val="0"/>
        <w:rPr>
          <w:rFonts w:ascii="Times New Roman" w:hAnsi="Times New Roman"/>
        </w:rPr>
      </w:pPr>
    </w:p>
    <w:p w14:paraId="18A8449B" w14:textId="77777777" w:rsidR="00036EBB" w:rsidRPr="008005DD" w:rsidRDefault="00036EBB" w:rsidP="006E47E2">
      <w:pPr>
        <w:widowControl w:val="0"/>
        <w:autoSpaceDE w:val="0"/>
        <w:autoSpaceDN w:val="0"/>
        <w:adjustRightInd w:val="0"/>
        <w:rPr>
          <w:rFonts w:ascii="Times New Roman" w:hAnsi="Times New Roman"/>
        </w:rPr>
      </w:pPr>
    </w:p>
    <w:tbl>
      <w:tblPr>
        <w:tblW w:w="94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60"/>
        <w:gridCol w:w="1559"/>
        <w:gridCol w:w="1559"/>
        <w:gridCol w:w="1276"/>
        <w:gridCol w:w="992"/>
        <w:gridCol w:w="1276"/>
        <w:gridCol w:w="1276"/>
      </w:tblGrid>
      <w:tr w:rsidR="006E47E2" w:rsidRPr="008005DD" w14:paraId="4558622E" w14:textId="77777777" w:rsidTr="00E5281E">
        <w:trPr>
          <w:cantSplit/>
        </w:trPr>
        <w:tc>
          <w:tcPr>
            <w:tcW w:w="9498" w:type="dxa"/>
            <w:gridSpan w:val="7"/>
            <w:tcBorders>
              <w:top w:val="nil"/>
              <w:left w:val="nil"/>
              <w:bottom w:val="nil"/>
              <w:right w:val="nil"/>
            </w:tcBorders>
            <w:shd w:val="clear" w:color="auto" w:fill="FFFFFF"/>
            <w:vAlign w:val="center"/>
          </w:tcPr>
          <w:p w14:paraId="6531DF82" w14:textId="77777777" w:rsidR="006E47E2" w:rsidRPr="008005DD" w:rsidRDefault="006E47E2" w:rsidP="006E47E2">
            <w:pPr>
              <w:widowControl w:val="0"/>
              <w:autoSpaceDE w:val="0"/>
              <w:autoSpaceDN w:val="0"/>
              <w:adjustRightInd w:val="0"/>
              <w:spacing w:line="320" w:lineRule="atLeast"/>
              <w:ind w:left="60" w:right="60"/>
              <w:jc w:val="center"/>
              <w:rPr>
                <w:rFonts w:cs="Arial"/>
                <w:color w:val="000000"/>
              </w:rPr>
            </w:pPr>
            <w:r w:rsidRPr="008005DD">
              <w:rPr>
                <w:rFonts w:cs="Arial"/>
                <w:b/>
                <w:bCs/>
                <w:color w:val="000000"/>
              </w:rPr>
              <w:lastRenderedPageBreak/>
              <w:t>Pairwise Comparisons</w:t>
            </w:r>
          </w:p>
        </w:tc>
      </w:tr>
      <w:tr w:rsidR="006E47E2" w:rsidRPr="008005DD" w14:paraId="32071676" w14:textId="77777777" w:rsidTr="00E5281E">
        <w:trPr>
          <w:cantSplit/>
          <w:trHeight w:val="837"/>
        </w:trPr>
        <w:tc>
          <w:tcPr>
            <w:tcW w:w="9498" w:type="dxa"/>
            <w:gridSpan w:val="7"/>
            <w:tcBorders>
              <w:top w:val="nil"/>
              <w:left w:val="nil"/>
              <w:bottom w:val="nil"/>
              <w:right w:val="nil"/>
            </w:tcBorders>
            <w:shd w:val="clear" w:color="auto" w:fill="FFFFFF"/>
            <w:vAlign w:val="bottom"/>
          </w:tcPr>
          <w:p w14:paraId="6ABB6463" w14:textId="1929C2C7" w:rsidR="006E47E2" w:rsidRPr="008005DD" w:rsidRDefault="006E47E2" w:rsidP="006E47E2">
            <w:pPr>
              <w:widowControl w:val="0"/>
              <w:autoSpaceDE w:val="0"/>
              <w:autoSpaceDN w:val="0"/>
              <w:adjustRightInd w:val="0"/>
              <w:spacing w:line="320" w:lineRule="atLeast"/>
              <w:rPr>
                <w:rFonts w:ascii="Times New Roman" w:hAnsi="Times New Roman"/>
              </w:rPr>
            </w:pPr>
          </w:p>
        </w:tc>
      </w:tr>
      <w:tr w:rsidR="00E5281E" w:rsidRPr="008005DD" w14:paraId="05F22108" w14:textId="77777777" w:rsidTr="00E5281E">
        <w:trPr>
          <w:cantSplit/>
        </w:trPr>
        <w:tc>
          <w:tcPr>
            <w:tcW w:w="1560" w:type="dxa"/>
            <w:vMerge w:val="restart"/>
            <w:tcBorders>
              <w:top w:val="single" w:sz="16" w:space="0" w:color="000000"/>
              <w:left w:val="single" w:sz="16" w:space="0" w:color="000000"/>
              <w:bottom w:val="nil"/>
              <w:right w:val="nil"/>
            </w:tcBorders>
            <w:shd w:val="clear" w:color="auto" w:fill="FFFFFF"/>
            <w:vAlign w:val="bottom"/>
          </w:tcPr>
          <w:p w14:paraId="54F5874E" w14:textId="0D9B1C84" w:rsidR="006E47E2" w:rsidRPr="006B027F" w:rsidRDefault="00E5281E" w:rsidP="006B027F">
            <w:pPr>
              <w:widowControl w:val="0"/>
              <w:autoSpaceDE w:val="0"/>
              <w:autoSpaceDN w:val="0"/>
              <w:adjustRightInd w:val="0"/>
              <w:spacing w:line="240" w:lineRule="auto"/>
              <w:ind w:left="60" w:right="60"/>
              <w:rPr>
                <w:rFonts w:cs="Arial"/>
                <w:color w:val="000000"/>
                <w:sz w:val="20"/>
                <w:szCs w:val="20"/>
              </w:rPr>
            </w:pPr>
            <w:r>
              <w:rPr>
                <w:rFonts w:cs="Arial"/>
                <w:color w:val="000000"/>
                <w:sz w:val="20"/>
                <w:szCs w:val="20"/>
              </w:rPr>
              <w:t xml:space="preserve">(I) Confidence </w:t>
            </w:r>
            <w:r w:rsidR="006E47E2" w:rsidRPr="006B027F">
              <w:rPr>
                <w:rFonts w:cs="Arial"/>
                <w:color w:val="000000"/>
                <w:sz w:val="20"/>
                <w:szCs w:val="20"/>
              </w:rPr>
              <w:t>score</w:t>
            </w:r>
          </w:p>
        </w:tc>
        <w:tc>
          <w:tcPr>
            <w:tcW w:w="1559" w:type="dxa"/>
            <w:vMerge w:val="restart"/>
            <w:tcBorders>
              <w:top w:val="single" w:sz="16" w:space="0" w:color="000000"/>
              <w:left w:val="nil"/>
              <w:bottom w:val="nil"/>
              <w:right w:val="single" w:sz="16" w:space="0" w:color="000000"/>
            </w:tcBorders>
            <w:shd w:val="clear" w:color="auto" w:fill="FFFFFF"/>
            <w:vAlign w:val="bottom"/>
          </w:tcPr>
          <w:p w14:paraId="6A549E64" w14:textId="61A355F9" w:rsidR="006E47E2" w:rsidRPr="006B027F" w:rsidRDefault="00E5281E" w:rsidP="006B027F">
            <w:pPr>
              <w:widowControl w:val="0"/>
              <w:autoSpaceDE w:val="0"/>
              <w:autoSpaceDN w:val="0"/>
              <w:adjustRightInd w:val="0"/>
              <w:spacing w:line="240" w:lineRule="auto"/>
              <w:ind w:left="60" w:right="60"/>
              <w:rPr>
                <w:rFonts w:cs="Arial"/>
                <w:color w:val="000000"/>
                <w:sz w:val="20"/>
                <w:szCs w:val="20"/>
              </w:rPr>
            </w:pPr>
            <w:r>
              <w:rPr>
                <w:rFonts w:cs="Arial"/>
                <w:color w:val="000000"/>
                <w:sz w:val="20"/>
                <w:szCs w:val="20"/>
              </w:rPr>
              <w:t xml:space="preserve">(J) Confidence </w:t>
            </w:r>
            <w:r w:rsidR="006E47E2" w:rsidRPr="006B027F">
              <w:rPr>
                <w:rFonts w:cs="Arial"/>
                <w:color w:val="000000"/>
                <w:sz w:val="20"/>
                <w:szCs w:val="20"/>
              </w:rPr>
              <w:t>score</w:t>
            </w:r>
          </w:p>
        </w:tc>
        <w:tc>
          <w:tcPr>
            <w:tcW w:w="1559" w:type="dxa"/>
            <w:vMerge w:val="restart"/>
            <w:tcBorders>
              <w:top w:val="single" w:sz="16" w:space="0" w:color="000000"/>
              <w:left w:val="single" w:sz="16" w:space="0" w:color="000000"/>
            </w:tcBorders>
            <w:shd w:val="clear" w:color="auto" w:fill="FFFFFF"/>
            <w:vAlign w:val="bottom"/>
          </w:tcPr>
          <w:p w14:paraId="4B4D411D"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Mean Difference (I-J)</w:t>
            </w:r>
          </w:p>
        </w:tc>
        <w:tc>
          <w:tcPr>
            <w:tcW w:w="1276" w:type="dxa"/>
            <w:vMerge w:val="restart"/>
            <w:tcBorders>
              <w:top w:val="single" w:sz="16" w:space="0" w:color="000000"/>
            </w:tcBorders>
            <w:shd w:val="clear" w:color="auto" w:fill="FFFFFF"/>
            <w:vAlign w:val="bottom"/>
          </w:tcPr>
          <w:p w14:paraId="6DC7C6C1"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Std. Error</w:t>
            </w:r>
          </w:p>
        </w:tc>
        <w:tc>
          <w:tcPr>
            <w:tcW w:w="992" w:type="dxa"/>
            <w:vMerge w:val="restart"/>
            <w:tcBorders>
              <w:top w:val="single" w:sz="16" w:space="0" w:color="000000"/>
            </w:tcBorders>
            <w:shd w:val="clear" w:color="auto" w:fill="FFFFFF"/>
            <w:vAlign w:val="bottom"/>
          </w:tcPr>
          <w:p w14:paraId="2420D66C"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proofErr w:type="spellStart"/>
            <w:r w:rsidRPr="006B027F">
              <w:rPr>
                <w:rFonts w:cs="Arial"/>
                <w:color w:val="000000"/>
                <w:sz w:val="20"/>
                <w:szCs w:val="20"/>
              </w:rPr>
              <w:t>Sig.</w:t>
            </w:r>
            <w:r w:rsidRPr="006B027F">
              <w:rPr>
                <w:rFonts w:cs="Arial"/>
                <w:color w:val="000000"/>
                <w:sz w:val="20"/>
                <w:szCs w:val="20"/>
                <w:vertAlign w:val="superscript"/>
              </w:rPr>
              <w:t>b</w:t>
            </w:r>
            <w:proofErr w:type="spellEnd"/>
          </w:p>
        </w:tc>
        <w:tc>
          <w:tcPr>
            <w:tcW w:w="2552" w:type="dxa"/>
            <w:gridSpan w:val="2"/>
            <w:tcBorders>
              <w:top w:val="single" w:sz="16" w:space="0" w:color="000000"/>
              <w:right w:val="single" w:sz="16" w:space="0" w:color="000000"/>
            </w:tcBorders>
            <w:shd w:val="clear" w:color="auto" w:fill="FFFFFF"/>
            <w:vAlign w:val="bottom"/>
          </w:tcPr>
          <w:p w14:paraId="1ACEADE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 xml:space="preserve">95% Confidence Interval for </w:t>
            </w:r>
            <w:proofErr w:type="spellStart"/>
            <w:r w:rsidRPr="006B027F">
              <w:rPr>
                <w:rFonts w:cs="Arial"/>
                <w:color w:val="000000"/>
                <w:sz w:val="20"/>
                <w:szCs w:val="20"/>
              </w:rPr>
              <w:t>Difference</w:t>
            </w:r>
            <w:r w:rsidRPr="006B027F">
              <w:rPr>
                <w:rFonts w:cs="Arial"/>
                <w:color w:val="000000"/>
                <w:sz w:val="20"/>
                <w:szCs w:val="20"/>
                <w:vertAlign w:val="superscript"/>
              </w:rPr>
              <w:t>b</w:t>
            </w:r>
            <w:proofErr w:type="spellEnd"/>
          </w:p>
        </w:tc>
      </w:tr>
      <w:tr w:rsidR="00E5281E" w:rsidRPr="008005DD" w14:paraId="11DD714B" w14:textId="77777777" w:rsidTr="00E5281E">
        <w:trPr>
          <w:cantSplit/>
        </w:trPr>
        <w:tc>
          <w:tcPr>
            <w:tcW w:w="1560" w:type="dxa"/>
            <w:vMerge/>
            <w:tcBorders>
              <w:top w:val="single" w:sz="16" w:space="0" w:color="000000"/>
              <w:left w:val="single" w:sz="16" w:space="0" w:color="000000"/>
              <w:bottom w:val="nil"/>
              <w:right w:val="nil"/>
            </w:tcBorders>
            <w:shd w:val="clear" w:color="auto" w:fill="FFFFFF"/>
            <w:vAlign w:val="bottom"/>
          </w:tcPr>
          <w:p w14:paraId="34E9E688"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vMerge/>
            <w:tcBorders>
              <w:top w:val="single" w:sz="16" w:space="0" w:color="000000"/>
              <w:left w:val="nil"/>
              <w:bottom w:val="nil"/>
              <w:right w:val="single" w:sz="16" w:space="0" w:color="000000"/>
            </w:tcBorders>
            <w:shd w:val="clear" w:color="auto" w:fill="FFFFFF"/>
            <w:vAlign w:val="bottom"/>
          </w:tcPr>
          <w:p w14:paraId="0C3DB2D8"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vMerge/>
            <w:tcBorders>
              <w:top w:val="single" w:sz="16" w:space="0" w:color="000000"/>
              <w:left w:val="single" w:sz="16" w:space="0" w:color="000000"/>
            </w:tcBorders>
            <w:shd w:val="clear" w:color="auto" w:fill="FFFFFF"/>
            <w:vAlign w:val="bottom"/>
          </w:tcPr>
          <w:p w14:paraId="3602CE3A"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276" w:type="dxa"/>
            <w:vMerge/>
            <w:tcBorders>
              <w:top w:val="single" w:sz="16" w:space="0" w:color="000000"/>
            </w:tcBorders>
            <w:shd w:val="clear" w:color="auto" w:fill="FFFFFF"/>
            <w:vAlign w:val="bottom"/>
          </w:tcPr>
          <w:p w14:paraId="24AE6508"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992" w:type="dxa"/>
            <w:vMerge/>
            <w:tcBorders>
              <w:top w:val="single" w:sz="16" w:space="0" w:color="000000"/>
            </w:tcBorders>
            <w:shd w:val="clear" w:color="auto" w:fill="FFFFFF"/>
            <w:vAlign w:val="bottom"/>
          </w:tcPr>
          <w:p w14:paraId="5166B534"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276" w:type="dxa"/>
            <w:tcBorders>
              <w:bottom w:val="single" w:sz="16" w:space="0" w:color="000000"/>
            </w:tcBorders>
            <w:shd w:val="clear" w:color="auto" w:fill="FFFFFF"/>
            <w:vAlign w:val="bottom"/>
          </w:tcPr>
          <w:p w14:paraId="6C4268CD"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Lower Bound</w:t>
            </w:r>
          </w:p>
        </w:tc>
        <w:tc>
          <w:tcPr>
            <w:tcW w:w="1276" w:type="dxa"/>
            <w:tcBorders>
              <w:bottom w:val="single" w:sz="16" w:space="0" w:color="000000"/>
              <w:right w:val="single" w:sz="16" w:space="0" w:color="000000"/>
            </w:tcBorders>
            <w:shd w:val="clear" w:color="auto" w:fill="FFFFFF"/>
            <w:vAlign w:val="bottom"/>
          </w:tcPr>
          <w:p w14:paraId="4ABB634E"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Upper Bound</w:t>
            </w:r>
          </w:p>
        </w:tc>
      </w:tr>
      <w:tr w:rsidR="00E5281E" w:rsidRPr="008005DD" w14:paraId="0673EF92" w14:textId="77777777" w:rsidTr="00E5281E">
        <w:trPr>
          <w:cantSplit/>
        </w:trPr>
        <w:tc>
          <w:tcPr>
            <w:tcW w:w="1560" w:type="dxa"/>
            <w:vMerge w:val="restart"/>
            <w:tcBorders>
              <w:top w:val="single" w:sz="16" w:space="0" w:color="000000"/>
              <w:left w:val="single" w:sz="16" w:space="0" w:color="000000"/>
              <w:right w:val="nil"/>
            </w:tcBorders>
            <w:shd w:val="clear" w:color="auto" w:fill="FFFFFF"/>
          </w:tcPr>
          <w:p w14:paraId="7750086F"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1</w:t>
            </w:r>
          </w:p>
        </w:tc>
        <w:tc>
          <w:tcPr>
            <w:tcW w:w="1559" w:type="dxa"/>
            <w:tcBorders>
              <w:top w:val="single" w:sz="16" w:space="0" w:color="000000"/>
              <w:left w:val="nil"/>
              <w:bottom w:val="nil"/>
              <w:right w:val="single" w:sz="16" w:space="0" w:color="000000"/>
            </w:tcBorders>
            <w:shd w:val="clear" w:color="auto" w:fill="FFFFFF"/>
          </w:tcPr>
          <w:p w14:paraId="54608162"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2</w:t>
            </w:r>
          </w:p>
        </w:tc>
        <w:tc>
          <w:tcPr>
            <w:tcW w:w="1559" w:type="dxa"/>
            <w:tcBorders>
              <w:top w:val="single" w:sz="16" w:space="0" w:color="000000"/>
              <w:left w:val="single" w:sz="16" w:space="0" w:color="000000"/>
              <w:bottom w:val="nil"/>
            </w:tcBorders>
            <w:shd w:val="clear" w:color="auto" w:fill="FFFFFF"/>
            <w:vAlign w:val="center"/>
          </w:tcPr>
          <w:p w14:paraId="15507E92"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-1.345</w:t>
            </w:r>
            <w:r w:rsidRPr="006B027F">
              <w:rPr>
                <w:rFonts w:cs="Arial"/>
                <w:color w:val="000000"/>
                <w:sz w:val="20"/>
                <w:szCs w:val="20"/>
                <w:vertAlign w:val="superscript"/>
              </w:rPr>
              <w:t>*</w:t>
            </w:r>
          </w:p>
        </w:tc>
        <w:tc>
          <w:tcPr>
            <w:tcW w:w="1276" w:type="dxa"/>
            <w:tcBorders>
              <w:top w:val="single" w:sz="16" w:space="0" w:color="000000"/>
              <w:bottom w:val="nil"/>
            </w:tcBorders>
            <w:shd w:val="clear" w:color="auto" w:fill="FFFFFF"/>
            <w:vAlign w:val="center"/>
          </w:tcPr>
          <w:p w14:paraId="4C146514"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.159</w:t>
            </w:r>
          </w:p>
        </w:tc>
        <w:tc>
          <w:tcPr>
            <w:tcW w:w="992" w:type="dxa"/>
            <w:tcBorders>
              <w:top w:val="single" w:sz="16" w:space="0" w:color="000000"/>
              <w:bottom w:val="nil"/>
            </w:tcBorders>
            <w:shd w:val="clear" w:color="auto" w:fill="FFFFFF"/>
            <w:vAlign w:val="center"/>
          </w:tcPr>
          <w:p w14:paraId="45769964"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.000</w:t>
            </w:r>
          </w:p>
        </w:tc>
        <w:tc>
          <w:tcPr>
            <w:tcW w:w="1276" w:type="dxa"/>
            <w:tcBorders>
              <w:top w:val="single" w:sz="16" w:space="0" w:color="000000"/>
              <w:bottom w:val="nil"/>
            </w:tcBorders>
            <w:shd w:val="clear" w:color="auto" w:fill="FFFFFF"/>
            <w:vAlign w:val="center"/>
          </w:tcPr>
          <w:p w14:paraId="71E76518"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-1.778</w:t>
            </w:r>
          </w:p>
        </w:tc>
        <w:tc>
          <w:tcPr>
            <w:tcW w:w="1276" w:type="dxa"/>
            <w:tcBorders>
              <w:top w:val="single" w:sz="16" w:space="0" w:color="000000"/>
              <w:bottom w:val="nil"/>
              <w:right w:val="single" w:sz="16" w:space="0" w:color="000000"/>
            </w:tcBorders>
            <w:shd w:val="clear" w:color="auto" w:fill="FFFFFF"/>
            <w:vAlign w:val="center"/>
          </w:tcPr>
          <w:p w14:paraId="551E4CC4"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-.911</w:t>
            </w:r>
          </w:p>
        </w:tc>
      </w:tr>
      <w:tr w:rsidR="00E5281E" w:rsidRPr="008005DD" w14:paraId="4EEDCCC6" w14:textId="77777777" w:rsidTr="00E5281E">
        <w:trPr>
          <w:cantSplit/>
        </w:trPr>
        <w:tc>
          <w:tcPr>
            <w:tcW w:w="1560" w:type="dxa"/>
            <w:vMerge/>
            <w:tcBorders>
              <w:top w:val="single" w:sz="16" w:space="0" w:color="000000"/>
              <w:left w:val="single" w:sz="16" w:space="0" w:color="000000"/>
              <w:right w:val="nil"/>
            </w:tcBorders>
            <w:shd w:val="clear" w:color="auto" w:fill="FFFFFF"/>
          </w:tcPr>
          <w:p w14:paraId="28BA6AE3"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tcBorders>
              <w:top w:val="nil"/>
              <w:left w:val="nil"/>
              <w:bottom w:val="nil"/>
              <w:right w:val="single" w:sz="16" w:space="0" w:color="000000"/>
            </w:tcBorders>
            <w:shd w:val="clear" w:color="auto" w:fill="FFFFFF"/>
          </w:tcPr>
          <w:p w14:paraId="12A35ECF"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3</w:t>
            </w:r>
          </w:p>
        </w:tc>
        <w:tc>
          <w:tcPr>
            <w:tcW w:w="1559" w:type="dxa"/>
            <w:tcBorders>
              <w:top w:val="nil"/>
              <w:left w:val="single" w:sz="16" w:space="0" w:color="000000"/>
              <w:bottom w:val="nil"/>
            </w:tcBorders>
            <w:shd w:val="clear" w:color="auto" w:fill="FFFFFF"/>
            <w:vAlign w:val="center"/>
          </w:tcPr>
          <w:p w14:paraId="2078E499"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-1.534</w:t>
            </w:r>
            <w:r w:rsidRPr="006B027F">
              <w:rPr>
                <w:rFonts w:cs="Arial"/>
                <w:color w:val="000000"/>
                <w:sz w:val="20"/>
                <w:szCs w:val="20"/>
                <w:vertAlign w:val="superscript"/>
              </w:rPr>
              <w:t>*</w:t>
            </w:r>
          </w:p>
        </w:tc>
        <w:tc>
          <w:tcPr>
            <w:tcW w:w="1276" w:type="dxa"/>
            <w:tcBorders>
              <w:top w:val="nil"/>
              <w:bottom w:val="nil"/>
            </w:tcBorders>
            <w:shd w:val="clear" w:color="auto" w:fill="FFFFFF"/>
            <w:vAlign w:val="center"/>
          </w:tcPr>
          <w:p w14:paraId="58E67A4D"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.156</w:t>
            </w:r>
          </w:p>
        </w:tc>
        <w:tc>
          <w:tcPr>
            <w:tcW w:w="992" w:type="dxa"/>
            <w:tcBorders>
              <w:top w:val="nil"/>
              <w:bottom w:val="nil"/>
            </w:tcBorders>
            <w:shd w:val="clear" w:color="auto" w:fill="FFFFFF"/>
            <w:vAlign w:val="center"/>
          </w:tcPr>
          <w:p w14:paraId="1CEEC912"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.000</w:t>
            </w:r>
          </w:p>
        </w:tc>
        <w:tc>
          <w:tcPr>
            <w:tcW w:w="1276" w:type="dxa"/>
            <w:tcBorders>
              <w:top w:val="nil"/>
              <w:bottom w:val="nil"/>
            </w:tcBorders>
            <w:shd w:val="clear" w:color="auto" w:fill="FFFFFF"/>
            <w:vAlign w:val="center"/>
          </w:tcPr>
          <w:p w14:paraId="0FA47D00"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-1.961</w:t>
            </w:r>
          </w:p>
        </w:tc>
        <w:tc>
          <w:tcPr>
            <w:tcW w:w="1276" w:type="dxa"/>
            <w:tcBorders>
              <w:top w:val="nil"/>
              <w:bottom w:val="nil"/>
              <w:right w:val="single" w:sz="16" w:space="0" w:color="000000"/>
            </w:tcBorders>
            <w:shd w:val="clear" w:color="auto" w:fill="FFFFFF"/>
            <w:vAlign w:val="center"/>
          </w:tcPr>
          <w:p w14:paraId="345C2B1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-1.108</w:t>
            </w:r>
          </w:p>
        </w:tc>
      </w:tr>
      <w:tr w:rsidR="00E5281E" w:rsidRPr="008005DD" w14:paraId="7F2B6CF3" w14:textId="77777777" w:rsidTr="00E5281E">
        <w:trPr>
          <w:cantSplit/>
        </w:trPr>
        <w:tc>
          <w:tcPr>
            <w:tcW w:w="1560" w:type="dxa"/>
            <w:vMerge/>
            <w:tcBorders>
              <w:top w:val="single" w:sz="16" w:space="0" w:color="000000"/>
              <w:left w:val="single" w:sz="16" w:space="0" w:color="000000"/>
              <w:right w:val="nil"/>
            </w:tcBorders>
            <w:shd w:val="clear" w:color="auto" w:fill="FFFFFF"/>
          </w:tcPr>
          <w:p w14:paraId="13D5A358"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tcBorders>
              <w:top w:val="nil"/>
              <w:left w:val="nil"/>
              <w:right w:val="single" w:sz="16" w:space="0" w:color="000000"/>
            </w:tcBorders>
            <w:shd w:val="clear" w:color="auto" w:fill="FFFFFF"/>
          </w:tcPr>
          <w:p w14:paraId="05E83187"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4</w:t>
            </w:r>
          </w:p>
        </w:tc>
        <w:tc>
          <w:tcPr>
            <w:tcW w:w="1559" w:type="dxa"/>
            <w:tcBorders>
              <w:top w:val="nil"/>
              <w:left w:val="single" w:sz="16" w:space="0" w:color="000000"/>
            </w:tcBorders>
            <w:shd w:val="clear" w:color="auto" w:fill="FFFFFF"/>
            <w:vAlign w:val="center"/>
          </w:tcPr>
          <w:p w14:paraId="37C0B141"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-1.914</w:t>
            </w:r>
            <w:r w:rsidRPr="006B027F">
              <w:rPr>
                <w:rFonts w:cs="Arial"/>
                <w:color w:val="000000"/>
                <w:sz w:val="20"/>
                <w:szCs w:val="20"/>
                <w:vertAlign w:val="superscript"/>
              </w:rPr>
              <w:t>*</w:t>
            </w:r>
          </w:p>
        </w:tc>
        <w:tc>
          <w:tcPr>
            <w:tcW w:w="1276" w:type="dxa"/>
            <w:tcBorders>
              <w:top w:val="nil"/>
            </w:tcBorders>
            <w:shd w:val="clear" w:color="auto" w:fill="FFFFFF"/>
            <w:vAlign w:val="center"/>
          </w:tcPr>
          <w:p w14:paraId="765CE0B4"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.206</w:t>
            </w:r>
          </w:p>
        </w:tc>
        <w:tc>
          <w:tcPr>
            <w:tcW w:w="992" w:type="dxa"/>
            <w:tcBorders>
              <w:top w:val="nil"/>
            </w:tcBorders>
            <w:shd w:val="clear" w:color="auto" w:fill="FFFFFF"/>
            <w:vAlign w:val="center"/>
          </w:tcPr>
          <w:p w14:paraId="64254E47"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.000</w:t>
            </w:r>
          </w:p>
        </w:tc>
        <w:tc>
          <w:tcPr>
            <w:tcW w:w="1276" w:type="dxa"/>
            <w:tcBorders>
              <w:top w:val="nil"/>
            </w:tcBorders>
            <w:shd w:val="clear" w:color="auto" w:fill="FFFFFF"/>
            <w:vAlign w:val="center"/>
          </w:tcPr>
          <w:p w14:paraId="0638E16C"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-2.477</w:t>
            </w:r>
          </w:p>
        </w:tc>
        <w:tc>
          <w:tcPr>
            <w:tcW w:w="1276" w:type="dxa"/>
            <w:tcBorders>
              <w:top w:val="nil"/>
              <w:right w:val="single" w:sz="16" w:space="0" w:color="000000"/>
            </w:tcBorders>
            <w:shd w:val="clear" w:color="auto" w:fill="FFFFFF"/>
            <w:vAlign w:val="center"/>
          </w:tcPr>
          <w:p w14:paraId="4F2CA7BA"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-1.350</w:t>
            </w:r>
          </w:p>
        </w:tc>
      </w:tr>
      <w:tr w:rsidR="00E5281E" w:rsidRPr="008005DD" w14:paraId="7DECD78F" w14:textId="77777777" w:rsidTr="00E5281E">
        <w:trPr>
          <w:cantSplit/>
        </w:trPr>
        <w:tc>
          <w:tcPr>
            <w:tcW w:w="1560" w:type="dxa"/>
            <w:vMerge w:val="restart"/>
            <w:tcBorders>
              <w:top w:val="nil"/>
              <w:left w:val="single" w:sz="16" w:space="0" w:color="000000"/>
              <w:right w:val="nil"/>
            </w:tcBorders>
            <w:shd w:val="clear" w:color="auto" w:fill="FFFFFF"/>
          </w:tcPr>
          <w:p w14:paraId="3FFF9313"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2</w:t>
            </w:r>
          </w:p>
        </w:tc>
        <w:tc>
          <w:tcPr>
            <w:tcW w:w="1559" w:type="dxa"/>
            <w:tcBorders>
              <w:top w:val="nil"/>
              <w:left w:val="nil"/>
              <w:bottom w:val="nil"/>
              <w:right w:val="single" w:sz="16" w:space="0" w:color="000000"/>
            </w:tcBorders>
            <w:shd w:val="clear" w:color="auto" w:fill="FFFFFF"/>
          </w:tcPr>
          <w:p w14:paraId="4ABA0FDA"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1</w:t>
            </w:r>
          </w:p>
        </w:tc>
        <w:tc>
          <w:tcPr>
            <w:tcW w:w="1559" w:type="dxa"/>
            <w:tcBorders>
              <w:top w:val="nil"/>
              <w:left w:val="single" w:sz="16" w:space="0" w:color="000000"/>
              <w:bottom w:val="nil"/>
            </w:tcBorders>
            <w:shd w:val="clear" w:color="auto" w:fill="FFFFFF"/>
            <w:vAlign w:val="center"/>
          </w:tcPr>
          <w:p w14:paraId="5EFEF0C4"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1.345</w:t>
            </w:r>
            <w:r w:rsidRPr="006B027F">
              <w:rPr>
                <w:rFonts w:cs="Arial"/>
                <w:color w:val="000000"/>
                <w:sz w:val="20"/>
                <w:szCs w:val="20"/>
                <w:vertAlign w:val="superscript"/>
              </w:rPr>
              <w:t>*</w:t>
            </w:r>
          </w:p>
        </w:tc>
        <w:tc>
          <w:tcPr>
            <w:tcW w:w="1276" w:type="dxa"/>
            <w:tcBorders>
              <w:top w:val="nil"/>
              <w:bottom w:val="nil"/>
            </w:tcBorders>
            <w:shd w:val="clear" w:color="auto" w:fill="FFFFFF"/>
            <w:vAlign w:val="center"/>
          </w:tcPr>
          <w:p w14:paraId="75676F7C"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.159</w:t>
            </w:r>
          </w:p>
        </w:tc>
        <w:tc>
          <w:tcPr>
            <w:tcW w:w="992" w:type="dxa"/>
            <w:tcBorders>
              <w:top w:val="nil"/>
              <w:bottom w:val="nil"/>
            </w:tcBorders>
            <w:shd w:val="clear" w:color="auto" w:fill="FFFFFF"/>
            <w:vAlign w:val="center"/>
          </w:tcPr>
          <w:p w14:paraId="1C2CD18C"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.000</w:t>
            </w:r>
          </w:p>
        </w:tc>
        <w:tc>
          <w:tcPr>
            <w:tcW w:w="1276" w:type="dxa"/>
            <w:tcBorders>
              <w:top w:val="nil"/>
              <w:bottom w:val="nil"/>
            </w:tcBorders>
            <w:shd w:val="clear" w:color="auto" w:fill="FFFFFF"/>
            <w:vAlign w:val="center"/>
          </w:tcPr>
          <w:p w14:paraId="7E6FB81B"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.911</w:t>
            </w:r>
          </w:p>
        </w:tc>
        <w:tc>
          <w:tcPr>
            <w:tcW w:w="1276" w:type="dxa"/>
            <w:tcBorders>
              <w:top w:val="nil"/>
              <w:bottom w:val="nil"/>
              <w:right w:val="single" w:sz="16" w:space="0" w:color="000000"/>
            </w:tcBorders>
            <w:shd w:val="clear" w:color="auto" w:fill="FFFFFF"/>
            <w:vAlign w:val="center"/>
          </w:tcPr>
          <w:p w14:paraId="1EF6D241"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1.778</w:t>
            </w:r>
          </w:p>
        </w:tc>
      </w:tr>
      <w:tr w:rsidR="00E5281E" w:rsidRPr="008005DD" w14:paraId="32FE218C" w14:textId="77777777" w:rsidTr="00E5281E">
        <w:trPr>
          <w:cantSplit/>
        </w:trPr>
        <w:tc>
          <w:tcPr>
            <w:tcW w:w="1560" w:type="dxa"/>
            <w:vMerge/>
            <w:tcBorders>
              <w:top w:val="nil"/>
              <w:left w:val="single" w:sz="16" w:space="0" w:color="000000"/>
              <w:right w:val="nil"/>
            </w:tcBorders>
            <w:shd w:val="clear" w:color="auto" w:fill="FFFFFF"/>
          </w:tcPr>
          <w:p w14:paraId="021681E3"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tcBorders>
              <w:top w:val="nil"/>
              <w:left w:val="nil"/>
              <w:bottom w:val="nil"/>
              <w:right w:val="single" w:sz="16" w:space="0" w:color="000000"/>
            </w:tcBorders>
            <w:shd w:val="clear" w:color="auto" w:fill="FFFFFF"/>
          </w:tcPr>
          <w:p w14:paraId="34819B89"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3</w:t>
            </w:r>
          </w:p>
        </w:tc>
        <w:tc>
          <w:tcPr>
            <w:tcW w:w="1559" w:type="dxa"/>
            <w:tcBorders>
              <w:top w:val="nil"/>
              <w:left w:val="single" w:sz="16" w:space="0" w:color="000000"/>
              <w:bottom w:val="nil"/>
            </w:tcBorders>
            <w:shd w:val="clear" w:color="auto" w:fill="FFFFFF"/>
            <w:vAlign w:val="center"/>
          </w:tcPr>
          <w:p w14:paraId="6B38A7D8"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-.190</w:t>
            </w:r>
          </w:p>
        </w:tc>
        <w:tc>
          <w:tcPr>
            <w:tcW w:w="1276" w:type="dxa"/>
            <w:tcBorders>
              <w:top w:val="nil"/>
              <w:bottom w:val="nil"/>
            </w:tcBorders>
            <w:shd w:val="clear" w:color="auto" w:fill="FFFFFF"/>
            <w:vAlign w:val="center"/>
          </w:tcPr>
          <w:p w14:paraId="778BE87A"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.117</w:t>
            </w:r>
          </w:p>
        </w:tc>
        <w:tc>
          <w:tcPr>
            <w:tcW w:w="992" w:type="dxa"/>
            <w:tcBorders>
              <w:top w:val="nil"/>
              <w:bottom w:val="nil"/>
            </w:tcBorders>
            <w:shd w:val="clear" w:color="auto" w:fill="FFFFFF"/>
            <w:vAlign w:val="center"/>
          </w:tcPr>
          <w:p w14:paraId="4D627672"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.655</w:t>
            </w:r>
          </w:p>
        </w:tc>
        <w:tc>
          <w:tcPr>
            <w:tcW w:w="1276" w:type="dxa"/>
            <w:tcBorders>
              <w:top w:val="nil"/>
              <w:bottom w:val="nil"/>
            </w:tcBorders>
            <w:shd w:val="clear" w:color="auto" w:fill="FFFFFF"/>
            <w:vAlign w:val="center"/>
          </w:tcPr>
          <w:p w14:paraId="5566E36E"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-.508</w:t>
            </w:r>
          </w:p>
        </w:tc>
        <w:tc>
          <w:tcPr>
            <w:tcW w:w="1276" w:type="dxa"/>
            <w:tcBorders>
              <w:top w:val="nil"/>
              <w:bottom w:val="nil"/>
              <w:right w:val="single" w:sz="16" w:space="0" w:color="000000"/>
            </w:tcBorders>
            <w:shd w:val="clear" w:color="auto" w:fill="FFFFFF"/>
            <w:vAlign w:val="center"/>
          </w:tcPr>
          <w:p w14:paraId="672FE201"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.129</w:t>
            </w:r>
          </w:p>
        </w:tc>
      </w:tr>
      <w:tr w:rsidR="00E5281E" w:rsidRPr="008005DD" w14:paraId="21991751" w14:textId="77777777" w:rsidTr="00E5281E">
        <w:trPr>
          <w:cantSplit/>
        </w:trPr>
        <w:tc>
          <w:tcPr>
            <w:tcW w:w="1560" w:type="dxa"/>
            <w:vMerge/>
            <w:tcBorders>
              <w:top w:val="nil"/>
              <w:left w:val="single" w:sz="16" w:space="0" w:color="000000"/>
              <w:right w:val="nil"/>
            </w:tcBorders>
            <w:shd w:val="clear" w:color="auto" w:fill="FFFFFF"/>
          </w:tcPr>
          <w:p w14:paraId="5A59C1E3"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tcBorders>
              <w:top w:val="nil"/>
              <w:left w:val="nil"/>
              <w:right w:val="single" w:sz="16" w:space="0" w:color="000000"/>
            </w:tcBorders>
            <w:shd w:val="clear" w:color="auto" w:fill="FFFFFF"/>
          </w:tcPr>
          <w:p w14:paraId="40700CFD"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4</w:t>
            </w:r>
          </w:p>
        </w:tc>
        <w:tc>
          <w:tcPr>
            <w:tcW w:w="1559" w:type="dxa"/>
            <w:tcBorders>
              <w:top w:val="nil"/>
              <w:left w:val="single" w:sz="16" w:space="0" w:color="000000"/>
            </w:tcBorders>
            <w:shd w:val="clear" w:color="auto" w:fill="FFFFFF"/>
            <w:vAlign w:val="center"/>
          </w:tcPr>
          <w:p w14:paraId="25AF127D"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-.569</w:t>
            </w:r>
            <w:r w:rsidRPr="006B027F">
              <w:rPr>
                <w:rFonts w:cs="Arial"/>
                <w:color w:val="000000"/>
                <w:sz w:val="20"/>
                <w:szCs w:val="20"/>
                <w:vertAlign w:val="superscript"/>
              </w:rPr>
              <w:t>*</w:t>
            </w:r>
          </w:p>
        </w:tc>
        <w:tc>
          <w:tcPr>
            <w:tcW w:w="1276" w:type="dxa"/>
            <w:tcBorders>
              <w:top w:val="nil"/>
            </w:tcBorders>
            <w:shd w:val="clear" w:color="auto" w:fill="FFFFFF"/>
            <w:vAlign w:val="center"/>
          </w:tcPr>
          <w:p w14:paraId="48651150"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.184</w:t>
            </w:r>
          </w:p>
        </w:tc>
        <w:tc>
          <w:tcPr>
            <w:tcW w:w="992" w:type="dxa"/>
            <w:tcBorders>
              <w:top w:val="nil"/>
            </w:tcBorders>
            <w:shd w:val="clear" w:color="auto" w:fill="FFFFFF"/>
            <w:vAlign w:val="center"/>
          </w:tcPr>
          <w:p w14:paraId="685603F9"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.019</w:t>
            </w:r>
          </w:p>
        </w:tc>
        <w:tc>
          <w:tcPr>
            <w:tcW w:w="1276" w:type="dxa"/>
            <w:tcBorders>
              <w:top w:val="nil"/>
            </w:tcBorders>
            <w:shd w:val="clear" w:color="auto" w:fill="FFFFFF"/>
            <w:vAlign w:val="center"/>
          </w:tcPr>
          <w:p w14:paraId="46E3667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-1.073</w:t>
            </w:r>
          </w:p>
        </w:tc>
        <w:tc>
          <w:tcPr>
            <w:tcW w:w="1276" w:type="dxa"/>
            <w:tcBorders>
              <w:top w:val="nil"/>
              <w:right w:val="single" w:sz="16" w:space="0" w:color="000000"/>
            </w:tcBorders>
            <w:shd w:val="clear" w:color="auto" w:fill="FFFFFF"/>
            <w:vAlign w:val="center"/>
          </w:tcPr>
          <w:p w14:paraId="1CDE9223"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-.065</w:t>
            </w:r>
          </w:p>
        </w:tc>
      </w:tr>
      <w:tr w:rsidR="00E5281E" w:rsidRPr="008005DD" w14:paraId="3370AA0E" w14:textId="77777777" w:rsidTr="00E5281E">
        <w:trPr>
          <w:cantSplit/>
        </w:trPr>
        <w:tc>
          <w:tcPr>
            <w:tcW w:w="1560" w:type="dxa"/>
            <w:vMerge w:val="restart"/>
            <w:tcBorders>
              <w:top w:val="nil"/>
              <w:left w:val="single" w:sz="16" w:space="0" w:color="000000"/>
              <w:right w:val="nil"/>
            </w:tcBorders>
            <w:shd w:val="clear" w:color="auto" w:fill="FFFFFF"/>
          </w:tcPr>
          <w:p w14:paraId="092046A9"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3</w:t>
            </w:r>
          </w:p>
        </w:tc>
        <w:tc>
          <w:tcPr>
            <w:tcW w:w="1559" w:type="dxa"/>
            <w:tcBorders>
              <w:top w:val="nil"/>
              <w:left w:val="nil"/>
              <w:bottom w:val="nil"/>
              <w:right w:val="single" w:sz="16" w:space="0" w:color="000000"/>
            </w:tcBorders>
            <w:shd w:val="clear" w:color="auto" w:fill="FFFFFF"/>
          </w:tcPr>
          <w:p w14:paraId="364378C4"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1</w:t>
            </w:r>
          </w:p>
        </w:tc>
        <w:tc>
          <w:tcPr>
            <w:tcW w:w="1559" w:type="dxa"/>
            <w:tcBorders>
              <w:top w:val="nil"/>
              <w:left w:val="single" w:sz="16" w:space="0" w:color="000000"/>
              <w:bottom w:val="nil"/>
            </w:tcBorders>
            <w:shd w:val="clear" w:color="auto" w:fill="FFFFFF"/>
            <w:vAlign w:val="center"/>
          </w:tcPr>
          <w:p w14:paraId="557CD9F5"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1.534</w:t>
            </w:r>
            <w:r w:rsidRPr="006B027F">
              <w:rPr>
                <w:rFonts w:cs="Arial"/>
                <w:color w:val="000000"/>
                <w:sz w:val="20"/>
                <w:szCs w:val="20"/>
                <w:vertAlign w:val="superscript"/>
              </w:rPr>
              <w:t>*</w:t>
            </w:r>
          </w:p>
        </w:tc>
        <w:tc>
          <w:tcPr>
            <w:tcW w:w="1276" w:type="dxa"/>
            <w:tcBorders>
              <w:top w:val="nil"/>
              <w:bottom w:val="nil"/>
            </w:tcBorders>
            <w:shd w:val="clear" w:color="auto" w:fill="FFFFFF"/>
            <w:vAlign w:val="center"/>
          </w:tcPr>
          <w:p w14:paraId="31C27548"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.156</w:t>
            </w:r>
          </w:p>
        </w:tc>
        <w:tc>
          <w:tcPr>
            <w:tcW w:w="992" w:type="dxa"/>
            <w:tcBorders>
              <w:top w:val="nil"/>
              <w:bottom w:val="nil"/>
            </w:tcBorders>
            <w:shd w:val="clear" w:color="auto" w:fill="FFFFFF"/>
            <w:vAlign w:val="center"/>
          </w:tcPr>
          <w:p w14:paraId="0C1A0681"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.000</w:t>
            </w:r>
          </w:p>
        </w:tc>
        <w:tc>
          <w:tcPr>
            <w:tcW w:w="1276" w:type="dxa"/>
            <w:tcBorders>
              <w:top w:val="nil"/>
              <w:bottom w:val="nil"/>
            </w:tcBorders>
            <w:shd w:val="clear" w:color="auto" w:fill="FFFFFF"/>
            <w:vAlign w:val="center"/>
          </w:tcPr>
          <w:p w14:paraId="5D7830F1"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1.108</w:t>
            </w:r>
          </w:p>
        </w:tc>
        <w:tc>
          <w:tcPr>
            <w:tcW w:w="1276" w:type="dxa"/>
            <w:tcBorders>
              <w:top w:val="nil"/>
              <w:bottom w:val="nil"/>
              <w:right w:val="single" w:sz="16" w:space="0" w:color="000000"/>
            </w:tcBorders>
            <w:shd w:val="clear" w:color="auto" w:fill="FFFFFF"/>
            <w:vAlign w:val="center"/>
          </w:tcPr>
          <w:p w14:paraId="66FA829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1.961</w:t>
            </w:r>
          </w:p>
        </w:tc>
      </w:tr>
      <w:tr w:rsidR="00E5281E" w:rsidRPr="008005DD" w14:paraId="3CBD2114" w14:textId="77777777" w:rsidTr="00E5281E">
        <w:trPr>
          <w:cantSplit/>
        </w:trPr>
        <w:tc>
          <w:tcPr>
            <w:tcW w:w="1560" w:type="dxa"/>
            <w:vMerge/>
            <w:tcBorders>
              <w:top w:val="nil"/>
              <w:left w:val="single" w:sz="16" w:space="0" w:color="000000"/>
              <w:right w:val="nil"/>
            </w:tcBorders>
            <w:shd w:val="clear" w:color="auto" w:fill="FFFFFF"/>
          </w:tcPr>
          <w:p w14:paraId="0438B4B4"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tcBorders>
              <w:top w:val="nil"/>
              <w:left w:val="nil"/>
              <w:bottom w:val="nil"/>
              <w:right w:val="single" w:sz="16" w:space="0" w:color="000000"/>
            </w:tcBorders>
            <w:shd w:val="clear" w:color="auto" w:fill="FFFFFF"/>
          </w:tcPr>
          <w:p w14:paraId="0E791A29"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2</w:t>
            </w:r>
          </w:p>
        </w:tc>
        <w:tc>
          <w:tcPr>
            <w:tcW w:w="1559" w:type="dxa"/>
            <w:tcBorders>
              <w:top w:val="nil"/>
              <w:left w:val="single" w:sz="16" w:space="0" w:color="000000"/>
              <w:bottom w:val="nil"/>
            </w:tcBorders>
            <w:shd w:val="clear" w:color="auto" w:fill="FFFFFF"/>
            <w:vAlign w:val="center"/>
          </w:tcPr>
          <w:p w14:paraId="56ED5648"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.190</w:t>
            </w:r>
          </w:p>
        </w:tc>
        <w:tc>
          <w:tcPr>
            <w:tcW w:w="1276" w:type="dxa"/>
            <w:tcBorders>
              <w:top w:val="nil"/>
              <w:bottom w:val="nil"/>
            </w:tcBorders>
            <w:shd w:val="clear" w:color="auto" w:fill="FFFFFF"/>
            <w:vAlign w:val="center"/>
          </w:tcPr>
          <w:p w14:paraId="6A13FB9E"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.117</w:t>
            </w:r>
          </w:p>
        </w:tc>
        <w:tc>
          <w:tcPr>
            <w:tcW w:w="992" w:type="dxa"/>
            <w:tcBorders>
              <w:top w:val="nil"/>
              <w:bottom w:val="nil"/>
            </w:tcBorders>
            <w:shd w:val="clear" w:color="auto" w:fill="FFFFFF"/>
            <w:vAlign w:val="center"/>
          </w:tcPr>
          <w:p w14:paraId="1BA8D915"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.655</w:t>
            </w:r>
          </w:p>
        </w:tc>
        <w:tc>
          <w:tcPr>
            <w:tcW w:w="1276" w:type="dxa"/>
            <w:tcBorders>
              <w:top w:val="nil"/>
              <w:bottom w:val="nil"/>
            </w:tcBorders>
            <w:shd w:val="clear" w:color="auto" w:fill="FFFFFF"/>
            <w:vAlign w:val="center"/>
          </w:tcPr>
          <w:p w14:paraId="379CB7B2"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-.129</w:t>
            </w:r>
          </w:p>
        </w:tc>
        <w:tc>
          <w:tcPr>
            <w:tcW w:w="1276" w:type="dxa"/>
            <w:tcBorders>
              <w:top w:val="nil"/>
              <w:bottom w:val="nil"/>
              <w:right w:val="single" w:sz="16" w:space="0" w:color="000000"/>
            </w:tcBorders>
            <w:shd w:val="clear" w:color="auto" w:fill="FFFFFF"/>
            <w:vAlign w:val="center"/>
          </w:tcPr>
          <w:p w14:paraId="124002EE"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.508</w:t>
            </w:r>
          </w:p>
        </w:tc>
      </w:tr>
      <w:tr w:rsidR="00E5281E" w:rsidRPr="008005DD" w14:paraId="2BDED5B3" w14:textId="77777777" w:rsidTr="00E5281E">
        <w:trPr>
          <w:cantSplit/>
        </w:trPr>
        <w:tc>
          <w:tcPr>
            <w:tcW w:w="1560" w:type="dxa"/>
            <w:vMerge/>
            <w:tcBorders>
              <w:top w:val="nil"/>
              <w:left w:val="single" w:sz="16" w:space="0" w:color="000000"/>
              <w:right w:val="nil"/>
            </w:tcBorders>
            <w:shd w:val="clear" w:color="auto" w:fill="FFFFFF"/>
          </w:tcPr>
          <w:p w14:paraId="3EAAD415"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tcBorders>
              <w:top w:val="nil"/>
              <w:left w:val="nil"/>
              <w:right w:val="single" w:sz="16" w:space="0" w:color="000000"/>
            </w:tcBorders>
            <w:shd w:val="clear" w:color="auto" w:fill="FFFFFF"/>
          </w:tcPr>
          <w:p w14:paraId="3A96FEF9"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4</w:t>
            </w:r>
          </w:p>
        </w:tc>
        <w:tc>
          <w:tcPr>
            <w:tcW w:w="1559" w:type="dxa"/>
            <w:tcBorders>
              <w:top w:val="nil"/>
              <w:left w:val="single" w:sz="16" w:space="0" w:color="000000"/>
            </w:tcBorders>
            <w:shd w:val="clear" w:color="auto" w:fill="FFFFFF"/>
            <w:vAlign w:val="center"/>
          </w:tcPr>
          <w:p w14:paraId="4DC06C0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-.379</w:t>
            </w:r>
          </w:p>
        </w:tc>
        <w:tc>
          <w:tcPr>
            <w:tcW w:w="1276" w:type="dxa"/>
            <w:tcBorders>
              <w:top w:val="nil"/>
            </w:tcBorders>
            <w:shd w:val="clear" w:color="auto" w:fill="FFFFFF"/>
            <w:vAlign w:val="center"/>
          </w:tcPr>
          <w:p w14:paraId="69FD0CA7"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.165</w:t>
            </w:r>
          </w:p>
        </w:tc>
        <w:tc>
          <w:tcPr>
            <w:tcW w:w="992" w:type="dxa"/>
            <w:tcBorders>
              <w:top w:val="nil"/>
            </w:tcBorders>
            <w:shd w:val="clear" w:color="auto" w:fill="FFFFFF"/>
            <w:vAlign w:val="center"/>
          </w:tcPr>
          <w:p w14:paraId="2BDB40C8"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.150</w:t>
            </w:r>
          </w:p>
        </w:tc>
        <w:tc>
          <w:tcPr>
            <w:tcW w:w="1276" w:type="dxa"/>
            <w:tcBorders>
              <w:top w:val="nil"/>
            </w:tcBorders>
            <w:shd w:val="clear" w:color="auto" w:fill="FFFFFF"/>
            <w:vAlign w:val="center"/>
          </w:tcPr>
          <w:p w14:paraId="1550F188"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-.829</w:t>
            </w:r>
          </w:p>
        </w:tc>
        <w:tc>
          <w:tcPr>
            <w:tcW w:w="1276" w:type="dxa"/>
            <w:tcBorders>
              <w:top w:val="nil"/>
              <w:right w:val="single" w:sz="16" w:space="0" w:color="000000"/>
            </w:tcBorders>
            <w:shd w:val="clear" w:color="auto" w:fill="FFFFFF"/>
            <w:vAlign w:val="center"/>
          </w:tcPr>
          <w:p w14:paraId="5D4E9CB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.071</w:t>
            </w:r>
          </w:p>
        </w:tc>
      </w:tr>
      <w:tr w:rsidR="00E5281E" w:rsidRPr="008005DD" w14:paraId="73997339" w14:textId="77777777" w:rsidTr="00E5281E">
        <w:trPr>
          <w:cantSplit/>
        </w:trPr>
        <w:tc>
          <w:tcPr>
            <w:tcW w:w="1560" w:type="dxa"/>
            <w:vMerge w:val="restart"/>
            <w:tcBorders>
              <w:top w:val="nil"/>
              <w:left w:val="single" w:sz="16" w:space="0" w:color="000000"/>
              <w:bottom w:val="single" w:sz="16" w:space="0" w:color="000000"/>
              <w:right w:val="nil"/>
            </w:tcBorders>
            <w:shd w:val="clear" w:color="auto" w:fill="FFFFFF"/>
          </w:tcPr>
          <w:p w14:paraId="1EB8F6DE"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4</w:t>
            </w:r>
          </w:p>
        </w:tc>
        <w:tc>
          <w:tcPr>
            <w:tcW w:w="1559" w:type="dxa"/>
            <w:tcBorders>
              <w:top w:val="nil"/>
              <w:left w:val="nil"/>
              <w:bottom w:val="nil"/>
              <w:right w:val="single" w:sz="16" w:space="0" w:color="000000"/>
            </w:tcBorders>
            <w:shd w:val="clear" w:color="auto" w:fill="FFFFFF"/>
          </w:tcPr>
          <w:p w14:paraId="38E35706"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1</w:t>
            </w:r>
          </w:p>
        </w:tc>
        <w:tc>
          <w:tcPr>
            <w:tcW w:w="1559" w:type="dxa"/>
            <w:tcBorders>
              <w:top w:val="nil"/>
              <w:left w:val="single" w:sz="16" w:space="0" w:color="000000"/>
              <w:bottom w:val="nil"/>
            </w:tcBorders>
            <w:shd w:val="clear" w:color="auto" w:fill="FFFFFF"/>
            <w:vAlign w:val="center"/>
          </w:tcPr>
          <w:p w14:paraId="048E59C0"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1.914</w:t>
            </w:r>
            <w:r w:rsidRPr="006B027F">
              <w:rPr>
                <w:rFonts w:cs="Arial"/>
                <w:color w:val="000000"/>
                <w:sz w:val="20"/>
                <w:szCs w:val="20"/>
                <w:vertAlign w:val="superscript"/>
              </w:rPr>
              <w:t>*</w:t>
            </w:r>
          </w:p>
        </w:tc>
        <w:tc>
          <w:tcPr>
            <w:tcW w:w="1276" w:type="dxa"/>
            <w:tcBorders>
              <w:top w:val="nil"/>
              <w:bottom w:val="nil"/>
            </w:tcBorders>
            <w:shd w:val="clear" w:color="auto" w:fill="FFFFFF"/>
            <w:vAlign w:val="center"/>
          </w:tcPr>
          <w:p w14:paraId="6415C2AF"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.206</w:t>
            </w:r>
          </w:p>
        </w:tc>
        <w:tc>
          <w:tcPr>
            <w:tcW w:w="992" w:type="dxa"/>
            <w:tcBorders>
              <w:top w:val="nil"/>
              <w:bottom w:val="nil"/>
            </w:tcBorders>
            <w:shd w:val="clear" w:color="auto" w:fill="FFFFFF"/>
            <w:vAlign w:val="center"/>
          </w:tcPr>
          <w:p w14:paraId="31DAACA9"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.000</w:t>
            </w:r>
          </w:p>
        </w:tc>
        <w:tc>
          <w:tcPr>
            <w:tcW w:w="1276" w:type="dxa"/>
            <w:tcBorders>
              <w:top w:val="nil"/>
              <w:bottom w:val="nil"/>
            </w:tcBorders>
            <w:shd w:val="clear" w:color="auto" w:fill="FFFFFF"/>
            <w:vAlign w:val="center"/>
          </w:tcPr>
          <w:p w14:paraId="2D1E9741"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1.350</w:t>
            </w:r>
          </w:p>
        </w:tc>
        <w:tc>
          <w:tcPr>
            <w:tcW w:w="1276" w:type="dxa"/>
            <w:tcBorders>
              <w:top w:val="nil"/>
              <w:bottom w:val="nil"/>
              <w:right w:val="single" w:sz="16" w:space="0" w:color="000000"/>
            </w:tcBorders>
            <w:shd w:val="clear" w:color="auto" w:fill="FFFFFF"/>
            <w:vAlign w:val="center"/>
          </w:tcPr>
          <w:p w14:paraId="099D5383"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2.477</w:t>
            </w:r>
          </w:p>
        </w:tc>
      </w:tr>
      <w:tr w:rsidR="00E5281E" w:rsidRPr="008005DD" w14:paraId="2598E5B6" w14:textId="77777777" w:rsidTr="00E5281E">
        <w:trPr>
          <w:cantSplit/>
        </w:trPr>
        <w:tc>
          <w:tcPr>
            <w:tcW w:w="1560" w:type="dxa"/>
            <w:vMerge/>
            <w:tcBorders>
              <w:top w:val="nil"/>
              <w:left w:val="single" w:sz="16" w:space="0" w:color="000000"/>
              <w:bottom w:val="single" w:sz="16" w:space="0" w:color="000000"/>
              <w:right w:val="nil"/>
            </w:tcBorders>
            <w:shd w:val="clear" w:color="auto" w:fill="FFFFFF"/>
          </w:tcPr>
          <w:p w14:paraId="60E6391B"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tcBorders>
              <w:top w:val="nil"/>
              <w:left w:val="nil"/>
              <w:bottom w:val="nil"/>
              <w:right w:val="single" w:sz="16" w:space="0" w:color="000000"/>
            </w:tcBorders>
            <w:shd w:val="clear" w:color="auto" w:fill="FFFFFF"/>
          </w:tcPr>
          <w:p w14:paraId="7B29B41F"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2</w:t>
            </w:r>
          </w:p>
        </w:tc>
        <w:tc>
          <w:tcPr>
            <w:tcW w:w="1559" w:type="dxa"/>
            <w:tcBorders>
              <w:top w:val="nil"/>
              <w:left w:val="single" w:sz="16" w:space="0" w:color="000000"/>
              <w:bottom w:val="nil"/>
            </w:tcBorders>
            <w:shd w:val="clear" w:color="auto" w:fill="FFFFFF"/>
            <w:vAlign w:val="center"/>
          </w:tcPr>
          <w:p w14:paraId="09EFF802"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.569</w:t>
            </w:r>
            <w:r w:rsidRPr="006B027F">
              <w:rPr>
                <w:rFonts w:cs="Arial"/>
                <w:color w:val="000000"/>
                <w:sz w:val="20"/>
                <w:szCs w:val="20"/>
                <w:vertAlign w:val="superscript"/>
              </w:rPr>
              <w:t>*</w:t>
            </w:r>
          </w:p>
        </w:tc>
        <w:tc>
          <w:tcPr>
            <w:tcW w:w="1276" w:type="dxa"/>
            <w:tcBorders>
              <w:top w:val="nil"/>
              <w:bottom w:val="nil"/>
            </w:tcBorders>
            <w:shd w:val="clear" w:color="auto" w:fill="FFFFFF"/>
            <w:vAlign w:val="center"/>
          </w:tcPr>
          <w:p w14:paraId="560A2A2F"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.184</w:t>
            </w:r>
          </w:p>
        </w:tc>
        <w:tc>
          <w:tcPr>
            <w:tcW w:w="992" w:type="dxa"/>
            <w:tcBorders>
              <w:top w:val="nil"/>
              <w:bottom w:val="nil"/>
            </w:tcBorders>
            <w:shd w:val="clear" w:color="auto" w:fill="FFFFFF"/>
            <w:vAlign w:val="center"/>
          </w:tcPr>
          <w:p w14:paraId="5F01358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.019</w:t>
            </w:r>
          </w:p>
        </w:tc>
        <w:tc>
          <w:tcPr>
            <w:tcW w:w="1276" w:type="dxa"/>
            <w:tcBorders>
              <w:top w:val="nil"/>
              <w:bottom w:val="nil"/>
            </w:tcBorders>
            <w:shd w:val="clear" w:color="auto" w:fill="FFFFFF"/>
            <w:vAlign w:val="center"/>
          </w:tcPr>
          <w:p w14:paraId="4C6F3776"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.065</w:t>
            </w:r>
          </w:p>
        </w:tc>
        <w:tc>
          <w:tcPr>
            <w:tcW w:w="1276" w:type="dxa"/>
            <w:tcBorders>
              <w:top w:val="nil"/>
              <w:bottom w:val="nil"/>
              <w:right w:val="single" w:sz="16" w:space="0" w:color="000000"/>
            </w:tcBorders>
            <w:shd w:val="clear" w:color="auto" w:fill="FFFFFF"/>
            <w:vAlign w:val="center"/>
          </w:tcPr>
          <w:p w14:paraId="61AF8547"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1.073</w:t>
            </w:r>
          </w:p>
        </w:tc>
      </w:tr>
      <w:tr w:rsidR="00E5281E" w:rsidRPr="008005DD" w14:paraId="0DFA3073" w14:textId="77777777" w:rsidTr="00E5281E">
        <w:trPr>
          <w:cantSplit/>
        </w:trPr>
        <w:tc>
          <w:tcPr>
            <w:tcW w:w="1560" w:type="dxa"/>
            <w:vMerge/>
            <w:tcBorders>
              <w:top w:val="nil"/>
              <w:left w:val="single" w:sz="16" w:space="0" w:color="000000"/>
              <w:bottom w:val="single" w:sz="16" w:space="0" w:color="000000"/>
              <w:right w:val="nil"/>
            </w:tcBorders>
            <w:shd w:val="clear" w:color="auto" w:fill="FFFFFF"/>
          </w:tcPr>
          <w:p w14:paraId="75B146B0" w14:textId="77777777" w:rsidR="006E47E2" w:rsidRPr="006B027F" w:rsidRDefault="006E47E2" w:rsidP="006B027F">
            <w:pPr>
              <w:widowControl w:val="0"/>
              <w:autoSpaceDE w:val="0"/>
              <w:autoSpaceDN w:val="0"/>
              <w:adjustRightInd w:val="0"/>
              <w:spacing w:line="240" w:lineRule="auto"/>
              <w:rPr>
                <w:rFonts w:cs="Arial"/>
                <w:color w:val="000000"/>
                <w:sz w:val="20"/>
                <w:szCs w:val="20"/>
              </w:rPr>
            </w:pPr>
          </w:p>
        </w:tc>
        <w:tc>
          <w:tcPr>
            <w:tcW w:w="1559" w:type="dxa"/>
            <w:tcBorders>
              <w:top w:val="nil"/>
              <w:left w:val="nil"/>
              <w:bottom w:val="single" w:sz="16" w:space="0" w:color="000000"/>
              <w:right w:val="single" w:sz="16" w:space="0" w:color="000000"/>
            </w:tcBorders>
            <w:shd w:val="clear" w:color="auto" w:fill="FFFFFF"/>
          </w:tcPr>
          <w:p w14:paraId="2CF1CA65" w14:textId="77777777" w:rsidR="006E47E2" w:rsidRPr="006B027F" w:rsidRDefault="006E47E2"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3</w:t>
            </w:r>
          </w:p>
        </w:tc>
        <w:tc>
          <w:tcPr>
            <w:tcW w:w="1559" w:type="dxa"/>
            <w:tcBorders>
              <w:top w:val="nil"/>
              <w:left w:val="single" w:sz="16" w:space="0" w:color="000000"/>
              <w:bottom w:val="single" w:sz="16" w:space="0" w:color="000000"/>
            </w:tcBorders>
            <w:shd w:val="clear" w:color="auto" w:fill="FFFFFF"/>
            <w:vAlign w:val="center"/>
          </w:tcPr>
          <w:p w14:paraId="52EE534A"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.379</w:t>
            </w:r>
          </w:p>
        </w:tc>
        <w:tc>
          <w:tcPr>
            <w:tcW w:w="1276" w:type="dxa"/>
            <w:tcBorders>
              <w:top w:val="nil"/>
              <w:bottom w:val="single" w:sz="16" w:space="0" w:color="000000"/>
            </w:tcBorders>
            <w:shd w:val="clear" w:color="auto" w:fill="FFFFFF"/>
            <w:vAlign w:val="center"/>
          </w:tcPr>
          <w:p w14:paraId="1BFE2C7B"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.165</w:t>
            </w:r>
          </w:p>
        </w:tc>
        <w:tc>
          <w:tcPr>
            <w:tcW w:w="992" w:type="dxa"/>
            <w:tcBorders>
              <w:top w:val="nil"/>
              <w:bottom w:val="single" w:sz="16" w:space="0" w:color="000000"/>
            </w:tcBorders>
            <w:shd w:val="clear" w:color="auto" w:fill="FFFFFF"/>
            <w:vAlign w:val="center"/>
          </w:tcPr>
          <w:p w14:paraId="00FD220F"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.150</w:t>
            </w:r>
          </w:p>
        </w:tc>
        <w:tc>
          <w:tcPr>
            <w:tcW w:w="1276" w:type="dxa"/>
            <w:tcBorders>
              <w:top w:val="nil"/>
              <w:bottom w:val="single" w:sz="16" w:space="0" w:color="000000"/>
            </w:tcBorders>
            <w:shd w:val="clear" w:color="auto" w:fill="FFFFFF"/>
            <w:vAlign w:val="center"/>
          </w:tcPr>
          <w:p w14:paraId="0A1055D8"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-.071</w:t>
            </w:r>
          </w:p>
        </w:tc>
        <w:tc>
          <w:tcPr>
            <w:tcW w:w="1276" w:type="dxa"/>
            <w:tcBorders>
              <w:top w:val="nil"/>
              <w:bottom w:val="single" w:sz="16" w:space="0" w:color="000000"/>
              <w:right w:val="single" w:sz="16" w:space="0" w:color="000000"/>
            </w:tcBorders>
            <w:shd w:val="clear" w:color="auto" w:fill="FFFFFF"/>
            <w:vAlign w:val="center"/>
          </w:tcPr>
          <w:p w14:paraId="2FBA0262" w14:textId="77777777" w:rsidR="006E47E2" w:rsidRPr="006B027F" w:rsidRDefault="006E47E2"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.829</w:t>
            </w:r>
          </w:p>
        </w:tc>
      </w:tr>
      <w:tr w:rsidR="006E47E2" w:rsidRPr="008005DD" w14:paraId="66B31250" w14:textId="77777777" w:rsidTr="00E5281E">
        <w:trPr>
          <w:cantSplit/>
        </w:trPr>
        <w:tc>
          <w:tcPr>
            <w:tcW w:w="9498" w:type="dxa"/>
            <w:gridSpan w:val="7"/>
            <w:tcBorders>
              <w:top w:val="nil"/>
              <w:left w:val="nil"/>
              <w:bottom w:val="nil"/>
              <w:right w:val="nil"/>
            </w:tcBorders>
            <w:shd w:val="clear" w:color="auto" w:fill="FFFFFF"/>
          </w:tcPr>
          <w:p w14:paraId="52216882" w14:textId="77777777" w:rsidR="006E47E2" w:rsidRPr="008005DD" w:rsidRDefault="006E47E2" w:rsidP="006E47E2">
            <w:pPr>
              <w:widowControl w:val="0"/>
              <w:autoSpaceDE w:val="0"/>
              <w:autoSpaceDN w:val="0"/>
              <w:adjustRightInd w:val="0"/>
              <w:spacing w:line="320" w:lineRule="atLeast"/>
              <w:ind w:left="60" w:right="60"/>
              <w:rPr>
                <w:rFonts w:cs="Arial"/>
                <w:color w:val="000000"/>
              </w:rPr>
            </w:pPr>
            <w:r w:rsidRPr="008005DD">
              <w:rPr>
                <w:rFonts w:cs="Arial"/>
                <w:color w:val="000000"/>
              </w:rPr>
              <w:t>Based on estimated marginal means</w:t>
            </w:r>
          </w:p>
        </w:tc>
      </w:tr>
      <w:tr w:rsidR="006E47E2" w:rsidRPr="008005DD" w14:paraId="692120F9" w14:textId="77777777" w:rsidTr="00E5281E">
        <w:trPr>
          <w:cantSplit/>
        </w:trPr>
        <w:tc>
          <w:tcPr>
            <w:tcW w:w="9498" w:type="dxa"/>
            <w:gridSpan w:val="7"/>
            <w:tcBorders>
              <w:top w:val="nil"/>
              <w:left w:val="nil"/>
              <w:bottom w:val="nil"/>
              <w:right w:val="nil"/>
            </w:tcBorders>
            <w:shd w:val="clear" w:color="auto" w:fill="FFFFFF"/>
          </w:tcPr>
          <w:p w14:paraId="7ED2695D" w14:textId="77777777" w:rsidR="006E47E2" w:rsidRPr="008005DD" w:rsidRDefault="006E47E2" w:rsidP="006E47E2">
            <w:pPr>
              <w:widowControl w:val="0"/>
              <w:autoSpaceDE w:val="0"/>
              <w:autoSpaceDN w:val="0"/>
              <w:adjustRightInd w:val="0"/>
              <w:spacing w:line="320" w:lineRule="atLeast"/>
              <w:ind w:left="60" w:right="60"/>
              <w:rPr>
                <w:rFonts w:cs="Arial"/>
                <w:color w:val="000000"/>
              </w:rPr>
            </w:pPr>
            <w:r w:rsidRPr="008005DD">
              <w:rPr>
                <w:rFonts w:cs="Arial"/>
                <w:color w:val="000000"/>
              </w:rPr>
              <w:t>*. The mean difference is significant at the</w:t>
            </w:r>
          </w:p>
        </w:tc>
      </w:tr>
      <w:tr w:rsidR="006E47E2" w:rsidRPr="008005DD" w14:paraId="5314DEE5" w14:textId="77777777" w:rsidTr="00E5281E">
        <w:trPr>
          <w:cantSplit/>
        </w:trPr>
        <w:tc>
          <w:tcPr>
            <w:tcW w:w="9498" w:type="dxa"/>
            <w:gridSpan w:val="7"/>
            <w:tcBorders>
              <w:top w:val="nil"/>
              <w:left w:val="nil"/>
              <w:bottom w:val="nil"/>
              <w:right w:val="nil"/>
            </w:tcBorders>
            <w:shd w:val="clear" w:color="auto" w:fill="FFFFFF"/>
          </w:tcPr>
          <w:p w14:paraId="36FAEAF7" w14:textId="77777777" w:rsidR="006E47E2" w:rsidRPr="008005DD" w:rsidRDefault="006E47E2" w:rsidP="006E47E2">
            <w:pPr>
              <w:widowControl w:val="0"/>
              <w:autoSpaceDE w:val="0"/>
              <w:autoSpaceDN w:val="0"/>
              <w:adjustRightInd w:val="0"/>
              <w:spacing w:line="320" w:lineRule="atLeast"/>
              <w:ind w:left="60" w:right="60"/>
              <w:rPr>
                <w:rFonts w:cs="Arial"/>
                <w:color w:val="000000"/>
              </w:rPr>
            </w:pPr>
            <w:r w:rsidRPr="008005DD">
              <w:rPr>
                <w:rFonts w:cs="Arial"/>
                <w:color w:val="000000"/>
              </w:rPr>
              <w:lastRenderedPageBreak/>
              <w:t>b. Adjustment for multiple comparisons: Bonferroni.</w:t>
            </w:r>
          </w:p>
        </w:tc>
      </w:tr>
    </w:tbl>
    <w:p w14:paraId="62B7D6DF" w14:textId="2E62FD4A" w:rsidR="006E47E2" w:rsidRDefault="004B2C19" w:rsidP="006B027F">
      <w:pPr>
        <w:pStyle w:val="Heading2"/>
      </w:pPr>
      <w:bookmarkStart w:id="503" w:name="_Toc419116245"/>
      <w:r>
        <w:t>Analysis of missing values (ANOVA) compared with present values in complete data set</w:t>
      </w:r>
      <w:bookmarkEnd w:id="503"/>
    </w:p>
    <w:tbl>
      <w:tblPr>
        <w:tblpPr w:leftFromText="180" w:rightFromText="180" w:vertAnchor="text" w:horzAnchor="page" w:tblpX="943" w:tblpY="-4175"/>
        <w:tblW w:w="99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82"/>
        <w:gridCol w:w="2524"/>
        <w:gridCol w:w="1408"/>
        <w:gridCol w:w="1408"/>
        <w:gridCol w:w="2033"/>
        <w:gridCol w:w="2013"/>
        <w:gridCol w:w="20"/>
      </w:tblGrid>
      <w:tr w:rsidR="00036EBB" w:rsidRPr="00C73814" w14:paraId="6464C153" w14:textId="77777777" w:rsidTr="00036EBB">
        <w:trPr>
          <w:gridAfter w:val="1"/>
          <w:wAfter w:w="20" w:type="dxa"/>
          <w:cantSplit/>
          <w:trHeight w:val="357"/>
        </w:trPr>
        <w:tc>
          <w:tcPr>
            <w:tcW w:w="9968" w:type="dxa"/>
            <w:gridSpan w:val="6"/>
            <w:tcBorders>
              <w:top w:val="nil"/>
              <w:left w:val="nil"/>
              <w:bottom w:val="nil"/>
              <w:right w:val="nil"/>
            </w:tcBorders>
            <w:shd w:val="clear" w:color="auto" w:fill="FFFFFF"/>
            <w:vAlign w:val="center"/>
          </w:tcPr>
          <w:p w14:paraId="41A176DF" w14:textId="77777777" w:rsidR="004B2C19" w:rsidRDefault="004B2C19" w:rsidP="004B2C19">
            <w:pPr>
              <w:widowControl w:val="0"/>
              <w:autoSpaceDE w:val="0"/>
              <w:autoSpaceDN w:val="0"/>
              <w:adjustRightInd w:val="0"/>
              <w:spacing w:line="320" w:lineRule="atLeast"/>
              <w:ind w:left="60" w:right="60"/>
              <w:jc w:val="center"/>
              <w:rPr>
                <w:rFonts w:cs="Arial"/>
                <w:b/>
                <w:bCs/>
                <w:color w:val="000000"/>
              </w:rPr>
            </w:pPr>
          </w:p>
          <w:p w14:paraId="6A5A12E4" w14:textId="77777777" w:rsidR="004B2C19" w:rsidRDefault="004B2C19" w:rsidP="004B2C19">
            <w:pPr>
              <w:widowControl w:val="0"/>
              <w:autoSpaceDE w:val="0"/>
              <w:autoSpaceDN w:val="0"/>
              <w:adjustRightInd w:val="0"/>
              <w:spacing w:line="320" w:lineRule="atLeast"/>
              <w:ind w:left="60" w:right="60"/>
              <w:jc w:val="center"/>
              <w:rPr>
                <w:rFonts w:cs="Arial"/>
                <w:b/>
                <w:bCs/>
                <w:color w:val="000000"/>
              </w:rPr>
            </w:pPr>
          </w:p>
          <w:p w14:paraId="1C93926B" w14:textId="77777777" w:rsidR="004B2C19" w:rsidRPr="00C73814" w:rsidRDefault="004B2C19" w:rsidP="004B2C19">
            <w:pPr>
              <w:widowControl w:val="0"/>
              <w:autoSpaceDE w:val="0"/>
              <w:autoSpaceDN w:val="0"/>
              <w:adjustRightInd w:val="0"/>
              <w:spacing w:line="320" w:lineRule="atLeast"/>
              <w:ind w:left="60" w:right="60"/>
              <w:jc w:val="center"/>
              <w:rPr>
                <w:rFonts w:cs="Arial"/>
                <w:color w:val="000000"/>
              </w:rPr>
            </w:pPr>
            <w:r w:rsidRPr="00C73814">
              <w:rPr>
                <w:rFonts w:cs="Arial"/>
                <w:b/>
                <w:bCs/>
                <w:color w:val="000000"/>
              </w:rPr>
              <w:t>Paired Samples Statistics</w:t>
            </w:r>
          </w:p>
        </w:tc>
      </w:tr>
      <w:tr w:rsidR="00036EBB" w:rsidRPr="00C73814" w14:paraId="0AE7D67C" w14:textId="77777777" w:rsidTr="00036EBB">
        <w:trPr>
          <w:cantSplit/>
          <w:trHeight w:val="713"/>
        </w:trPr>
        <w:tc>
          <w:tcPr>
            <w:tcW w:w="3105" w:type="dxa"/>
            <w:gridSpan w:val="2"/>
            <w:tcBorders>
              <w:top w:val="single" w:sz="16" w:space="0" w:color="000000"/>
              <w:left w:val="single" w:sz="16" w:space="0" w:color="000000"/>
              <w:bottom w:val="single" w:sz="16" w:space="0" w:color="000000"/>
              <w:right w:val="nil"/>
            </w:tcBorders>
            <w:shd w:val="clear" w:color="auto" w:fill="FFFFFF"/>
            <w:vAlign w:val="bottom"/>
          </w:tcPr>
          <w:p w14:paraId="08597EAC" w14:textId="77777777" w:rsidR="004B2C19" w:rsidRPr="006B027F" w:rsidRDefault="004B2C19" w:rsidP="006B027F">
            <w:pPr>
              <w:widowControl w:val="0"/>
              <w:autoSpaceDE w:val="0"/>
              <w:autoSpaceDN w:val="0"/>
              <w:adjustRightInd w:val="0"/>
              <w:spacing w:line="240" w:lineRule="auto"/>
              <w:rPr>
                <w:rFonts w:ascii="Times New Roman" w:hAnsi="Times New Roman"/>
                <w:sz w:val="20"/>
                <w:szCs w:val="20"/>
              </w:rPr>
            </w:pPr>
          </w:p>
        </w:tc>
        <w:tc>
          <w:tcPr>
            <w:tcW w:w="1408" w:type="dxa"/>
            <w:tcBorders>
              <w:top w:val="single" w:sz="16" w:space="0" w:color="000000"/>
              <w:left w:val="single" w:sz="16" w:space="0" w:color="000000"/>
              <w:bottom w:val="single" w:sz="16" w:space="0" w:color="000000"/>
            </w:tcBorders>
            <w:shd w:val="clear" w:color="auto" w:fill="FFFFFF"/>
            <w:vAlign w:val="bottom"/>
          </w:tcPr>
          <w:p w14:paraId="6C5D4713" w14:textId="77777777" w:rsidR="004B2C19" w:rsidRPr="006B027F" w:rsidRDefault="004B2C19"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Mean</w:t>
            </w:r>
          </w:p>
        </w:tc>
        <w:tc>
          <w:tcPr>
            <w:tcW w:w="1408" w:type="dxa"/>
            <w:tcBorders>
              <w:top w:val="single" w:sz="16" w:space="0" w:color="000000"/>
              <w:bottom w:val="single" w:sz="16" w:space="0" w:color="000000"/>
            </w:tcBorders>
            <w:shd w:val="clear" w:color="auto" w:fill="FFFFFF"/>
            <w:vAlign w:val="bottom"/>
          </w:tcPr>
          <w:p w14:paraId="517CA5C1" w14:textId="77777777" w:rsidR="004B2C19" w:rsidRPr="006B027F" w:rsidRDefault="004B2C19"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N</w:t>
            </w:r>
          </w:p>
        </w:tc>
        <w:tc>
          <w:tcPr>
            <w:tcW w:w="2033" w:type="dxa"/>
            <w:tcBorders>
              <w:top w:val="single" w:sz="16" w:space="0" w:color="000000"/>
              <w:bottom w:val="single" w:sz="16" w:space="0" w:color="000000"/>
            </w:tcBorders>
            <w:shd w:val="clear" w:color="auto" w:fill="FFFFFF"/>
            <w:vAlign w:val="bottom"/>
          </w:tcPr>
          <w:p w14:paraId="35EFAEB6" w14:textId="77777777" w:rsidR="004B2C19" w:rsidRPr="006B027F" w:rsidRDefault="004B2C19"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Std. Deviation</w:t>
            </w:r>
          </w:p>
        </w:tc>
        <w:tc>
          <w:tcPr>
            <w:tcW w:w="2033" w:type="dxa"/>
            <w:gridSpan w:val="2"/>
            <w:tcBorders>
              <w:top w:val="single" w:sz="16" w:space="0" w:color="000000"/>
              <w:bottom w:val="single" w:sz="16" w:space="0" w:color="000000"/>
              <w:right w:val="single" w:sz="16" w:space="0" w:color="000000"/>
            </w:tcBorders>
            <w:shd w:val="clear" w:color="auto" w:fill="FFFFFF"/>
            <w:vAlign w:val="bottom"/>
          </w:tcPr>
          <w:p w14:paraId="470E4E8A" w14:textId="77777777" w:rsidR="004B2C19" w:rsidRPr="006B027F" w:rsidRDefault="004B2C19"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Std. Error Mean</w:t>
            </w:r>
          </w:p>
        </w:tc>
      </w:tr>
      <w:tr w:rsidR="00036EBB" w:rsidRPr="00C73814" w14:paraId="61C2D52B" w14:textId="77777777" w:rsidTr="00036EBB">
        <w:trPr>
          <w:cantSplit/>
          <w:trHeight w:val="1426"/>
        </w:trPr>
        <w:tc>
          <w:tcPr>
            <w:tcW w:w="582" w:type="dxa"/>
            <w:vMerge w:val="restart"/>
            <w:tcBorders>
              <w:top w:val="single" w:sz="16" w:space="0" w:color="000000"/>
              <w:left w:val="single" w:sz="16" w:space="0" w:color="000000"/>
              <w:bottom w:val="single" w:sz="16" w:space="0" w:color="000000"/>
              <w:right w:val="nil"/>
            </w:tcBorders>
            <w:shd w:val="clear" w:color="auto" w:fill="FFFFFF"/>
          </w:tcPr>
          <w:p w14:paraId="7B1BF80F" w14:textId="77777777" w:rsidR="004B2C19" w:rsidRPr="006B027F" w:rsidRDefault="004B2C19"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Pair 1</w:t>
            </w:r>
          </w:p>
        </w:tc>
        <w:tc>
          <w:tcPr>
            <w:tcW w:w="2524" w:type="dxa"/>
            <w:tcBorders>
              <w:top w:val="single" w:sz="16" w:space="0" w:color="000000"/>
              <w:left w:val="nil"/>
              <w:bottom w:val="nil"/>
              <w:right w:val="single" w:sz="16" w:space="0" w:color="000000"/>
            </w:tcBorders>
            <w:shd w:val="clear" w:color="auto" w:fill="FFFFFF"/>
          </w:tcPr>
          <w:p w14:paraId="7B084D4F" w14:textId="4458E45B" w:rsidR="004B2C19" w:rsidRPr="006B027F" w:rsidRDefault="004B2C19"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 xml:space="preserve">Missing 20 Overall confidence </w:t>
            </w:r>
            <w:r w:rsidR="001D42C9" w:rsidRPr="006B027F">
              <w:rPr>
                <w:rFonts w:cs="Arial"/>
                <w:color w:val="000000"/>
                <w:sz w:val="20"/>
                <w:szCs w:val="20"/>
              </w:rPr>
              <w:t>Pre-course</w:t>
            </w:r>
          </w:p>
        </w:tc>
        <w:tc>
          <w:tcPr>
            <w:tcW w:w="1408" w:type="dxa"/>
            <w:tcBorders>
              <w:top w:val="single" w:sz="16" w:space="0" w:color="000000"/>
              <w:left w:val="single" w:sz="16" w:space="0" w:color="000000"/>
              <w:bottom w:val="nil"/>
            </w:tcBorders>
            <w:shd w:val="clear" w:color="auto" w:fill="FFFFFF"/>
            <w:vAlign w:val="center"/>
          </w:tcPr>
          <w:p w14:paraId="088AC544" w14:textId="77777777" w:rsidR="004B2C19" w:rsidRPr="006B027F" w:rsidRDefault="004B2C19"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5.53</w:t>
            </w:r>
          </w:p>
        </w:tc>
        <w:tc>
          <w:tcPr>
            <w:tcW w:w="1408" w:type="dxa"/>
            <w:tcBorders>
              <w:top w:val="single" w:sz="16" w:space="0" w:color="000000"/>
              <w:bottom w:val="nil"/>
            </w:tcBorders>
            <w:shd w:val="clear" w:color="auto" w:fill="FFFFFF"/>
            <w:vAlign w:val="center"/>
          </w:tcPr>
          <w:p w14:paraId="4EBE7507" w14:textId="77777777" w:rsidR="004B2C19" w:rsidRPr="006B027F" w:rsidRDefault="004B2C19"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36</w:t>
            </w:r>
          </w:p>
        </w:tc>
        <w:tc>
          <w:tcPr>
            <w:tcW w:w="2033" w:type="dxa"/>
            <w:tcBorders>
              <w:top w:val="single" w:sz="16" w:space="0" w:color="000000"/>
              <w:bottom w:val="nil"/>
            </w:tcBorders>
            <w:shd w:val="clear" w:color="auto" w:fill="FFFFFF"/>
            <w:vAlign w:val="center"/>
          </w:tcPr>
          <w:p w14:paraId="7B9C77A3" w14:textId="77777777" w:rsidR="004B2C19" w:rsidRPr="006B027F" w:rsidRDefault="004B2C19"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1.028</w:t>
            </w:r>
          </w:p>
        </w:tc>
        <w:tc>
          <w:tcPr>
            <w:tcW w:w="2033" w:type="dxa"/>
            <w:gridSpan w:val="2"/>
            <w:tcBorders>
              <w:top w:val="single" w:sz="16" w:space="0" w:color="000000"/>
              <w:bottom w:val="nil"/>
              <w:right w:val="single" w:sz="16" w:space="0" w:color="000000"/>
            </w:tcBorders>
            <w:shd w:val="clear" w:color="auto" w:fill="FFFFFF"/>
            <w:vAlign w:val="center"/>
          </w:tcPr>
          <w:p w14:paraId="3CA6B036" w14:textId="77777777" w:rsidR="004B2C19" w:rsidRPr="006B027F" w:rsidRDefault="004B2C19"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.171</w:t>
            </w:r>
          </w:p>
        </w:tc>
      </w:tr>
      <w:tr w:rsidR="00036EBB" w:rsidRPr="00C73814" w14:paraId="63FABF5B" w14:textId="77777777" w:rsidTr="00036EBB">
        <w:trPr>
          <w:cantSplit/>
          <w:trHeight w:val="158"/>
        </w:trPr>
        <w:tc>
          <w:tcPr>
            <w:tcW w:w="582" w:type="dxa"/>
            <w:vMerge/>
            <w:tcBorders>
              <w:top w:val="single" w:sz="16" w:space="0" w:color="000000"/>
              <w:left w:val="single" w:sz="16" w:space="0" w:color="000000"/>
              <w:bottom w:val="single" w:sz="16" w:space="0" w:color="000000"/>
              <w:right w:val="nil"/>
            </w:tcBorders>
            <w:shd w:val="clear" w:color="auto" w:fill="FFFFFF"/>
          </w:tcPr>
          <w:p w14:paraId="0A78AC64" w14:textId="77777777" w:rsidR="004B2C19" w:rsidRPr="006B027F" w:rsidRDefault="004B2C19" w:rsidP="006B027F">
            <w:pPr>
              <w:widowControl w:val="0"/>
              <w:autoSpaceDE w:val="0"/>
              <w:autoSpaceDN w:val="0"/>
              <w:adjustRightInd w:val="0"/>
              <w:spacing w:line="240" w:lineRule="auto"/>
              <w:rPr>
                <w:rFonts w:cs="Arial"/>
                <w:color w:val="000000"/>
                <w:sz w:val="20"/>
                <w:szCs w:val="20"/>
              </w:rPr>
            </w:pPr>
          </w:p>
        </w:tc>
        <w:tc>
          <w:tcPr>
            <w:tcW w:w="2524" w:type="dxa"/>
            <w:tcBorders>
              <w:top w:val="nil"/>
              <w:left w:val="nil"/>
              <w:bottom w:val="single" w:sz="16" w:space="0" w:color="000000"/>
              <w:right w:val="single" w:sz="16" w:space="0" w:color="000000"/>
            </w:tcBorders>
            <w:shd w:val="clear" w:color="auto" w:fill="FFFFFF"/>
          </w:tcPr>
          <w:p w14:paraId="527A1CAB" w14:textId="71EEB64A" w:rsidR="004B2C19" w:rsidRPr="006B027F" w:rsidRDefault="004B2C19"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 xml:space="preserve">Missing 20 Overall confidence </w:t>
            </w:r>
            <w:r w:rsidR="001D42C9" w:rsidRPr="006B027F">
              <w:rPr>
                <w:rFonts w:cs="Arial"/>
                <w:color w:val="000000"/>
                <w:sz w:val="20"/>
                <w:szCs w:val="20"/>
              </w:rPr>
              <w:t>Post-course</w:t>
            </w:r>
            <w:r w:rsidRPr="006B027F">
              <w:rPr>
                <w:rFonts w:cs="Arial"/>
                <w:color w:val="000000"/>
                <w:sz w:val="20"/>
                <w:szCs w:val="20"/>
              </w:rPr>
              <w:t xml:space="preserve"> immediate</w:t>
            </w:r>
          </w:p>
        </w:tc>
        <w:tc>
          <w:tcPr>
            <w:tcW w:w="1408" w:type="dxa"/>
            <w:tcBorders>
              <w:top w:val="nil"/>
              <w:left w:val="single" w:sz="16" w:space="0" w:color="000000"/>
              <w:bottom w:val="single" w:sz="16" w:space="0" w:color="000000"/>
            </w:tcBorders>
            <w:shd w:val="clear" w:color="auto" w:fill="FFFFFF"/>
            <w:vAlign w:val="center"/>
          </w:tcPr>
          <w:p w14:paraId="31AAA9A2" w14:textId="77777777" w:rsidR="004B2C19" w:rsidRPr="006B027F" w:rsidRDefault="004B2C19"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6.83</w:t>
            </w:r>
          </w:p>
        </w:tc>
        <w:tc>
          <w:tcPr>
            <w:tcW w:w="1408" w:type="dxa"/>
            <w:tcBorders>
              <w:top w:val="nil"/>
              <w:bottom w:val="single" w:sz="16" w:space="0" w:color="000000"/>
            </w:tcBorders>
            <w:shd w:val="clear" w:color="auto" w:fill="FFFFFF"/>
            <w:vAlign w:val="center"/>
          </w:tcPr>
          <w:p w14:paraId="7B3A79B3" w14:textId="77777777" w:rsidR="004B2C19" w:rsidRPr="006B027F" w:rsidRDefault="004B2C19"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36</w:t>
            </w:r>
          </w:p>
        </w:tc>
        <w:tc>
          <w:tcPr>
            <w:tcW w:w="2033" w:type="dxa"/>
            <w:tcBorders>
              <w:top w:val="nil"/>
              <w:bottom w:val="single" w:sz="16" w:space="0" w:color="000000"/>
            </w:tcBorders>
            <w:shd w:val="clear" w:color="auto" w:fill="FFFFFF"/>
            <w:vAlign w:val="center"/>
          </w:tcPr>
          <w:p w14:paraId="0D5BBDAB" w14:textId="77777777" w:rsidR="004B2C19" w:rsidRPr="006B027F" w:rsidRDefault="004B2C19"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.971</w:t>
            </w:r>
          </w:p>
        </w:tc>
        <w:tc>
          <w:tcPr>
            <w:tcW w:w="2033" w:type="dxa"/>
            <w:gridSpan w:val="2"/>
            <w:tcBorders>
              <w:top w:val="nil"/>
              <w:bottom w:val="single" w:sz="16" w:space="0" w:color="000000"/>
              <w:right w:val="single" w:sz="16" w:space="0" w:color="000000"/>
            </w:tcBorders>
            <w:shd w:val="clear" w:color="auto" w:fill="FFFFFF"/>
            <w:vAlign w:val="center"/>
          </w:tcPr>
          <w:p w14:paraId="1388037E" w14:textId="77777777" w:rsidR="004B2C19" w:rsidRPr="006B027F" w:rsidRDefault="004B2C19"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.162</w:t>
            </w:r>
          </w:p>
        </w:tc>
      </w:tr>
    </w:tbl>
    <w:p w14:paraId="185B4481" w14:textId="77777777" w:rsidR="004B2C19" w:rsidRDefault="004B2C19" w:rsidP="006E47E2"/>
    <w:p w14:paraId="6E9F378D" w14:textId="431BCD2E" w:rsidR="001E38FE" w:rsidRDefault="001E38FE" w:rsidP="007000F8">
      <w:pPr>
        <w:pStyle w:val="Caption"/>
      </w:pPr>
      <w:bookmarkStart w:id="504" w:name="_Toc365579496"/>
      <w:bookmarkStart w:id="505" w:name="_Toc419116515"/>
      <w:r>
        <w:t xml:space="preserve">Table </w:t>
      </w:r>
      <w:r w:rsidR="007000F8">
        <w:fldChar w:fldCharType="begin"/>
      </w:r>
      <w:r w:rsidR="007000F8">
        <w:instrText xml:space="preserve"> STYLEREF 1 \s </w:instrText>
      </w:r>
      <w:r w:rsidR="007000F8">
        <w:fldChar w:fldCharType="separate"/>
      </w:r>
      <w:r w:rsidR="007000F8">
        <w:rPr>
          <w:noProof/>
        </w:rPr>
        <w:t>13</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3</w:t>
      </w:r>
      <w:r w:rsidR="007000F8">
        <w:fldChar w:fldCharType="end"/>
      </w:r>
      <w:r>
        <w:t xml:space="preserve"> Descriptive statistics for analysed complete data present across all four conditions for pre and </w:t>
      </w:r>
      <w:r w:rsidR="001D42C9">
        <w:t>post-course</w:t>
      </w:r>
      <w:r>
        <w:t xml:space="preserve"> confidence levels</w:t>
      </w:r>
      <w:bookmarkEnd w:id="504"/>
      <w:bookmarkEnd w:id="505"/>
    </w:p>
    <w:tbl>
      <w:tblPr>
        <w:tblW w:w="9559" w:type="dxa"/>
        <w:tblInd w:w="-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59"/>
        <w:gridCol w:w="2390"/>
        <w:gridCol w:w="1335"/>
        <w:gridCol w:w="1335"/>
        <w:gridCol w:w="1920"/>
        <w:gridCol w:w="1920"/>
      </w:tblGrid>
      <w:tr w:rsidR="001E38FE" w:rsidRPr="005D5F5F" w14:paraId="76CFB5B9" w14:textId="77777777" w:rsidTr="006B027F">
        <w:trPr>
          <w:cantSplit/>
          <w:trHeight w:val="394"/>
        </w:trPr>
        <w:tc>
          <w:tcPr>
            <w:tcW w:w="9555" w:type="dxa"/>
            <w:gridSpan w:val="6"/>
            <w:tcBorders>
              <w:top w:val="nil"/>
              <w:left w:val="nil"/>
              <w:bottom w:val="nil"/>
              <w:right w:val="nil"/>
            </w:tcBorders>
            <w:shd w:val="clear" w:color="auto" w:fill="FFFFFF"/>
            <w:vAlign w:val="center"/>
          </w:tcPr>
          <w:p w14:paraId="6D231B00" w14:textId="77777777" w:rsidR="001E38FE" w:rsidRPr="005D5F5F" w:rsidRDefault="001E38FE" w:rsidP="001E38FE">
            <w:pPr>
              <w:widowControl w:val="0"/>
              <w:autoSpaceDE w:val="0"/>
              <w:autoSpaceDN w:val="0"/>
              <w:adjustRightInd w:val="0"/>
              <w:spacing w:line="320" w:lineRule="atLeast"/>
              <w:ind w:left="60" w:right="60"/>
              <w:jc w:val="center"/>
              <w:rPr>
                <w:rFonts w:cs="Arial"/>
                <w:color w:val="000000"/>
              </w:rPr>
            </w:pPr>
            <w:r w:rsidRPr="005D5F5F">
              <w:rPr>
                <w:rFonts w:cs="Arial"/>
                <w:b/>
                <w:bCs/>
                <w:color w:val="000000"/>
              </w:rPr>
              <w:t>Paired Samples Statistics</w:t>
            </w:r>
          </w:p>
        </w:tc>
      </w:tr>
      <w:tr w:rsidR="001E38FE" w:rsidRPr="005D5F5F" w14:paraId="0BF46A16" w14:textId="77777777" w:rsidTr="006B027F">
        <w:trPr>
          <w:cantSplit/>
          <w:trHeight w:val="788"/>
        </w:trPr>
        <w:tc>
          <w:tcPr>
            <w:tcW w:w="3049" w:type="dxa"/>
            <w:gridSpan w:val="2"/>
            <w:tcBorders>
              <w:top w:val="single" w:sz="16" w:space="0" w:color="000000"/>
              <w:left w:val="single" w:sz="16" w:space="0" w:color="000000"/>
              <w:bottom w:val="single" w:sz="16" w:space="0" w:color="000000"/>
              <w:right w:val="nil"/>
            </w:tcBorders>
            <w:shd w:val="clear" w:color="auto" w:fill="FFFFFF"/>
            <w:vAlign w:val="bottom"/>
          </w:tcPr>
          <w:p w14:paraId="197B7B9C" w14:textId="77777777" w:rsidR="001E38FE" w:rsidRPr="006B027F" w:rsidRDefault="001E38FE" w:rsidP="006B027F">
            <w:pPr>
              <w:widowControl w:val="0"/>
              <w:autoSpaceDE w:val="0"/>
              <w:autoSpaceDN w:val="0"/>
              <w:adjustRightInd w:val="0"/>
              <w:spacing w:line="240" w:lineRule="auto"/>
              <w:rPr>
                <w:rFonts w:ascii="Times New Roman" w:hAnsi="Times New Roman"/>
                <w:sz w:val="20"/>
                <w:szCs w:val="20"/>
              </w:rPr>
            </w:pPr>
          </w:p>
        </w:tc>
        <w:tc>
          <w:tcPr>
            <w:tcW w:w="1335" w:type="dxa"/>
            <w:tcBorders>
              <w:top w:val="single" w:sz="16" w:space="0" w:color="000000"/>
              <w:left w:val="single" w:sz="16" w:space="0" w:color="000000"/>
              <w:bottom w:val="single" w:sz="16" w:space="0" w:color="000000"/>
            </w:tcBorders>
            <w:shd w:val="clear" w:color="auto" w:fill="FFFFFF"/>
            <w:vAlign w:val="bottom"/>
          </w:tcPr>
          <w:p w14:paraId="3141DDD3"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Mean</w:t>
            </w:r>
          </w:p>
        </w:tc>
        <w:tc>
          <w:tcPr>
            <w:tcW w:w="1335" w:type="dxa"/>
            <w:tcBorders>
              <w:top w:val="single" w:sz="16" w:space="0" w:color="000000"/>
              <w:bottom w:val="single" w:sz="16" w:space="0" w:color="000000"/>
            </w:tcBorders>
            <w:shd w:val="clear" w:color="auto" w:fill="FFFFFF"/>
            <w:vAlign w:val="bottom"/>
          </w:tcPr>
          <w:p w14:paraId="46E7AC70"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N</w:t>
            </w:r>
          </w:p>
        </w:tc>
        <w:tc>
          <w:tcPr>
            <w:tcW w:w="1920" w:type="dxa"/>
            <w:tcBorders>
              <w:top w:val="single" w:sz="16" w:space="0" w:color="000000"/>
              <w:bottom w:val="single" w:sz="16" w:space="0" w:color="000000"/>
            </w:tcBorders>
            <w:shd w:val="clear" w:color="auto" w:fill="FFFFFF"/>
            <w:vAlign w:val="bottom"/>
          </w:tcPr>
          <w:p w14:paraId="40CF14C9"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Std. Deviation</w:t>
            </w:r>
          </w:p>
        </w:tc>
        <w:tc>
          <w:tcPr>
            <w:tcW w:w="1920" w:type="dxa"/>
            <w:tcBorders>
              <w:top w:val="single" w:sz="16" w:space="0" w:color="000000"/>
              <w:bottom w:val="single" w:sz="16" w:space="0" w:color="000000"/>
              <w:right w:val="single" w:sz="16" w:space="0" w:color="000000"/>
            </w:tcBorders>
            <w:shd w:val="clear" w:color="auto" w:fill="FFFFFF"/>
            <w:vAlign w:val="bottom"/>
          </w:tcPr>
          <w:p w14:paraId="635D4386"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Std. Error Mean</w:t>
            </w:r>
          </w:p>
        </w:tc>
      </w:tr>
      <w:tr w:rsidR="00036EBB" w:rsidRPr="005D5F5F" w14:paraId="5BCF8ECA" w14:textId="77777777" w:rsidTr="00036EBB">
        <w:trPr>
          <w:cantSplit/>
          <w:trHeight w:val="1578"/>
        </w:trPr>
        <w:tc>
          <w:tcPr>
            <w:tcW w:w="659" w:type="dxa"/>
            <w:vMerge w:val="restart"/>
            <w:tcBorders>
              <w:top w:val="single" w:sz="16" w:space="0" w:color="000000"/>
              <w:left w:val="single" w:sz="16" w:space="0" w:color="000000"/>
              <w:bottom w:val="single" w:sz="16" w:space="0" w:color="000000"/>
              <w:right w:val="nil"/>
            </w:tcBorders>
            <w:shd w:val="clear" w:color="auto" w:fill="FFFFFF"/>
          </w:tcPr>
          <w:p w14:paraId="3A9691E1" w14:textId="77777777" w:rsidR="001E38FE" w:rsidRPr="006B027F" w:rsidRDefault="001E38FE"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Pair 1</w:t>
            </w:r>
          </w:p>
        </w:tc>
        <w:tc>
          <w:tcPr>
            <w:tcW w:w="2389" w:type="dxa"/>
            <w:tcBorders>
              <w:top w:val="single" w:sz="16" w:space="0" w:color="000000"/>
              <w:left w:val="nil"/>
              <w:bottom w:val="nil"/>
              <w:right w:val="single" w:sz="16" w:space="0" w:color="000000"/>
            </w:tcBorders>
            <w:shd w:val="clear" w:color="auto" w:fill="FFFFFF"/>
          </w:tcPr>
          <w:p w14:paraId="3D672DF2" w14:textId="4A57E214" w:rsidR="001E38FE" w:rsidRPr="006B027F" w:rsidRDefault="001E38FE"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 xml:space="preserve">Present 20 Overall confidence </w:t>
            </w:r>
            <w:r w:rsidR="001D42C9" w:rsidRPr="006B027F">
              <w:rPr>
                <w:rFonts w:cs="Arial"/>
                <w:color w:val="000000"/>
                <w:sz w:val="20"/>
                <w:szCs w:val="20"/>
              </w:rPr>
              <w:t>Pre-course</w:t>
            </w:r>
          </w:p>
        </w:tc>
        <w:tc>
          <w:tcPr>
            <w:tcW w:w="1335" w:type="dxa"/>
            <w:tcBorders>
              <w:top w:val="single" w:sz="16" w:space="0" w:color="000000"/>
              <w:left w:val="single" w:sz="16" w:space="0" w:color="000000"/>
              <w:bottom w:val="nil"/>
            </w:tcBorders>
            <w:shd w:val="clear" w:color="auto" w:fill="FFFFFF"/>
            <w:vAlign w:val="center"/>
          </w:tcPr>
          <w:p w14:paraId="3A5A6226"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5.88</w:t>
            </w:r>
          </w:p>
        </w:tc>
        <w:tc>
          <w:tcPr>
            <w:tcW w:w="1335" w:type="dxa"/>
            <w:tcBorders>
              <w:top w:val="single" w:sz="16" w:space="0" w:color="000000"/>
              <w:bottom w:val="nil"/>
            </w:tcBorders>
            <w:shd w:val="clear" w:color="auto" w:fill="FFFFFF"/>
            <w:vAlign w:val="center"/>
          </w:tcPr>
          <w:p w14:paraId="38741F5A"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58</w:t>
            </w:r>
          </w:p>
        </w:tc>
        <w:tc>
          <w:tcPr>
            <w:tcW w:w="1920" w:type="dxa"/>
            <w:tcBorders>
              <w:top w:val="single" w:sz="16" w:space="0" w:color="000000"/>
              <w:bottom w:val="nil"/>
            </w:tcBorders>
            <w:shd w:val="clear" w:color="auto" w:fill="FFFFFF"/>
            <w:vAlign w:val="center"/>
          </w:tcPr>
          <w:p w14:paraId="59E3877A"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1.272</w:t>
            </w:r>
          </w:p>
        </w:tc>
        <w:tc>
          <w:tcPr>
            <w:tcW w:w="1920" w:type="dxa"/>
            <w:tcBorders>
              <w:top w:val="single" w:sz="16" w:space="0" w:color="000000"/>
              <w:bottom w:val="nil"/>
              <w:right w:val="single" w:sz="16" w:space="0" w:color="000000"/>
            </w:tcBorders>
            <w:shd w:val="clear" w:color="auto" w:fill="FFFFFF"/>
            <w:vAlign w:val="center"/>
          </w:tcPr>
          <w:p w14:paraId="08D12D9D"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.167</w:t>
            </w:r>
          </w:p>
        </w:tc>
      </w:tr>
      <w:tr w:rsidR="00036EBB" w:rsidRPr="005D5F5F" w14:paraId="342405DF" w14:textId="77777777" w:rsidTr="00036EBB">
        <w:trPr>
          <w:cantSplit/>
          <w:trHeight w:val="177"/>
        </w:trPr>
        <w:tc>
          <w:tcPr>
            <w:tcW w:w="659" w:type="dxa"/>
            <w:vMerge/>
            <w:tcBorders>
              <w:top w:val="single" w:sz="16" w:space="0" w:color="000000"/>
              <w:left w:val="single" w:sz="16" w:space="0" w:color="000000"/>
              <w:bottom w:val="single" w:sz="16" w:space="0" w:color="000000"/>
              <w:right w:val="nil"/>
            </w:tcBorders>
            <w:shd w:val="clear" w:color="auto" w:fill="FFFFFF"/>
          </w:tcPr>
          <w:p w14:paraId="44A5C269"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2389" w:type="dxa"/>
            <w:tcBorders>
              <w:top w:val="nil"/>
              <w:left w:val="nil"/>
              <w:bottom w:val="single" w:sz="16" w:space="0" w:color="000000"/>
              <w:right w:val="single" w:sz="16" w:space="0" w:color="000000"/>
            </w:tcBorders>
            <w:shd w:val="clear" w:color="auto" w:fill="FFFFFF"/>
          </w:tcPr>
          <w:p w14:paraId="2620069F" w14:textId="06E7200D" w:rsidR="001E38FE" w:rsidRPr="006B027F" w:rsidRDefault="001E38FE"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 xml:space="preserve">Present 20 Overall confidence </w:t>
            </w:r>
            <w:r w:rsidR="001D42C9" w:rsidRPr="006B027F">
              <w:rPr>
                <w:rFonts w:cs="Arial"/>
                <w:color w:val="000000"/>
                <w:sz w:val="20"/>
                <w:szCs w:val="20"/>
              </w:rPr>
              <w:t>Post-course</w:t>
            </w:r>
            <w:r w:rsidRPr="006B027F">
              <w:rPr>
                <w:rFonts w:cs="Arial"/>
                <w:color w:val="000000"/>
                <w:sz w:val="20"/>
                <w:szCs w:val="20"/>
              </w:rPr>
              <w:t xml:space="preserve"> immediate</w:t>
            </w:r>
          </w:p>
        </w:tc>
        <w:tc>
          <w:tcPr>
            <w:tcW w:w="1335" w:type="dxa"/>
            <w:tcBorders>
              <w:top w:val="nil"/>
              <w:left w:val="single" w:sz="16" w:space="0" w:color="000000"/>
              <w:bottom w:val="single" w:sz="16" w:space="0" w:color="000000"/>
            </w:tcBorders>
            <w:shd w:val="clear" w:color="auto" w:fill="FFFFFF"/>
            <w:vAlign w:val="center"/>
          </w:tcPr>
          <w:p w14:paraId="35AAB863"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7.22</w:t>
            </w:r>
          </w:p>
        </w:tc>
        <w:tc>
          <w:tcPr>
            <w:tcW w:w="1335" w:type="dxa"/>
            <w:tcBorders>
              <w:top w:val="nil"/>
              <w:bottom w:val="single" w:sz="16" w:space="0" w:color="000000"/>
            </w:tcBorders>
            <w:shd w:val="clear" w:color="auto" w:fill="FFFFFF"/>
            <w:vAlign w:val="center"/>
          </w:tcPr>
          <w:p w14:paraId="71707166"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58</w:t>
            </w:r>
          </w:p>
        </w:tc>
        <w:tc>
          <w:tcPr>
            <w:tcW w:w="1920" w:type="dxa"/>
            <w:tcBorders>
              <w:top w:val="nil"/>
              <w:bottom w:val="single" w:sz="16" w:space="0" w:color="000000"/>
            </w:tcBorders>
            <w:shd w:val="clear" w:color="auto" w:fill="FFFFFF"/>
            <w:vAlign w:val="center"/>
          </w:tcPr>
          <w:p w14:paraId="01BB422E"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1.027</w:t>
            </w:r>
          </w:p>
        </w:tc>
        <w:tc>
          <w:tcPr>
            <w:tcW w:w="1920" w:type="dxa"/>
            <w:tcBorders>
              <w:top w:val="nil"/>
              <w:bottom w:val="single" w:sz="16" w:space="0" w:color="000000"/>
              <w:right w:val="single" w:sz="16" w:space="0" w:color="000000"/>
            </w:tcBorders>
            <w:shd w:val="clear" w:color="auto" w:fill="FFFFFF"/>
            <w:vAlign w:val="center"/>
          </w:tcPr>
          <w:p w14:paraId="07E69663" w14:textId="77777777" w:rsidR="001E38FE" w:rsidRPr="006B027F" w:rsidRDefault="001E38FE" w:rsidP="006B027F">
            <w:pPr>
              <w:keepNext/>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.135</w:t>
            </w:r>
          </w:p>
        </w:tc>
      </w:tr>
    </w:tbl>
    <w:p w14:paraId="6502056E" w14:textId="77777777" w:rsidR="001E38FE" w:rsidRDefault="001E38FE" w:rsidP="001E38FE">
      <w:pPr>
        <w:keepNext/>
        <w:widowControl w:val="0"/>
        <w:autoSpaceDE w:val="0"/>
        <w:autoSpaceDN w:val="0"/>
        <w:adjustRightInd w:val="0"/>
      </w:pPr>
      <w:r w:rsidRPr="006B027F">
        <w:rPr>
          <w:rFonts w:ascii="Times New Roman" w:hAnsi="Times New Roman"/>
          <w:noProof/>
          <w:lang w:val="en-US"/>
        </w:rPr>
        <w:lastRenderedPageBreak/>
        <w:drawing>
          <wp:inline distT="0" distB="0" distL="0" distR="0" wp14:anchorId="4259A9C6" wp14:editId="04D2F69C">
            <wp:extent cx="5705856" cy="45720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06067" cy="4572169"/>
                    </a:xfrm>
                    <a:prstGeom prst="rect">
                      <a:avLst/>
                    </a:prstGeom>
                    <a:noFill/>
                    <a:ln>
                      <a:noFill/>
                    </a:ln>
                  </pic:spPr>
                </pic:pic>
              </a:graphicData>
            </a:graphic>
          </wp:inline>
        </w:drawing>
      </w:r>
    </w:p>
    <w:p w14:paraId="19973E38" w14:textId="27AA4698" w:rsidR="001E38FE" w:rsidRDefault="001E38FE" w:rsidP="007000F8">
      <w:pPr>
        <w:pStyle w:val="Caption"/>
        <w:rPr>
          <w:rFonts w:ascii="Times New Roman" w:hAnsi="Times New Roman"/>
        </w:rPr>
      </w:pPr>
      <w:bookmarkStart w:id="506" w:name="_Toc365579464"/>
      <w:bookmarkStart w:id="507" w:name="_Toc368056064"/>
      <w:bookmarkStart w:id="508" w:name="_Toc419116481"/>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w:t>
      </w:r>
      <w:r w:rsidR="009A2F08">
        <w:fldChar w:fldCharType="end"/>
      </w:r>
      <w:r>
        <w:t xml:space="preserve"> Histogram for </w:t>
      </w:r>
      <w:proofErr w:type="spellStart"/>
      <w:r>
        <w:t>precourse</w:t>
      </w:r>
      <w:proofErr w:type="spellEnd"/>
      <w:r>
        <w:t xml:space="preserve"> confidence scores for missing data not analysed (n=36)</w:t>
      </w:r>
      <w:bookmarkEnd w:id="506"/>
      <w:bookmarkEnd w:id="507"/>
      <w:bookmarkEnd w:id="508"/>
    </w:p>
    <w:p w14:paraId="5A3A9FB1" w14:textId="77777777" w:rsidR="001E38FE" w:rsidRDefault="001E38FE" w:rsidP="001E38FE">
      <w:pPr>
        <w:keepNext/>
        <w:widowControl w:val="0"/>
        <w:autoSpaceDE w:val="0"/>
        <w:autoSpaceDN w:val="0"/>
        <w:adjustRightInd w:val="0"/>
      </w:pPr>
      <w:r w:rsidRPr="006B027F">
        <w:rPr>
          <w:rFonts w:ascii="Times New Roman" w:hAnsi="Times New Roman"/>
          <w:noProof/>
          <w:lang w:val="en-US"/>
        </w:rPr>
        <w:lastRenderedPageBreak/>
        <w:drawing>
          <wp:inline distT="0" distB="0" distL="0" distR="0" wp14:anchorId="2C4B84CE" wp14:editId="6832AD46">
            <wp:extent cx="5715000" cy="4579327"/>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4579327"/>
                    </a:xfrm>
                    <a:prstGeom prst="rect">
                      <a:avLst/>
                    </a:prstGeom>
                    <a:noFill/>
                    <a:ln>
                      <a:noFill/>
                    </a:ln>
                  </pic:spPr>
                </pic:pic>
              </a:graphicData>
            </a:graphic>
          </wp:inline>
        </w:drawing>
      </w:r>
    </w:p>
    <w:p w14:paraId="160D2FBB" w14:textId="7189101F" w:rsidR="001E38FE" w:rsidRDefault="001E38FE" w:rsidP="007000F8">
      <w:pPr>
        <w:pStyle w:val="Caption"/>
        <w:rPr>
          <w:rFonts w:ascii="Times New Roman" w:hAnsi="Times New Roman"/>
        </w:rPr>
      </w:pPr>
      <w:bookmarkStart w:id="509" w:name="_Toc365579465"/>
      <w:bookmarkStart w:id="510" w:name="_Toc368056065"/>
      <w:bookmarkStart w:id="511" w:name="_Toc419116482"/>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2</w:t>
      </w:r>
      <w:r w:rsidR="009A2F08">
        <w:fldChar w:fldCharType="end"/>
      </w:r>
      <w:r>
        <w:t xml:space="preserve"> Histogram for </w:t>
      </w:r>
      <w:proofErr w:type="spellStart"/>
      <w:r>
        <w:t>precourse</w:t>
      </w:r>
      <w:proofErr w:type="spellEnd"/>
      <w:r>
        <w:t xml:space="preserve"> confidence scores for analysed data present for all 4 conditions (n=58)</w:t>
      </w:r>
      <w:bookmarkEnd w:id="509"/>
      <w:bookmarkEnd w:id="510"/>
      <w:bookmarkEnd w:id="511"/>
    </w:p>
    <w:p w14:paraId="12ECD807" w14:textId="77777777" w:rsidR="001E38FE" w:rsidRPr="007B66C0" w:rsidRDefault="001E38FE" w:rsidP="001E38FE">
      <w:pPr>
        <w:widowControl w:val="0"/>
        <w:autoSpaceDE w:val="0"/>
        <w:autoSpaceDN w:val="0"/>
        <w:adjustRightInd w:val="0"/>
        <w:rPr>
          <w:rFonts w:ascii="Times New Roman" w:hAnsi="Times New Roman"/>
        </w:rPr>
      </w:pPr>
    </w:p>
    <w:tbl>
      <w:tblPr>
        <w:tblW w:w="86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15"/>
        <w:gridCol w:w="1548"/>
        <w:gridCol w:w="1069"/>
        <w:gridCol w:w="1069"/>
        <w:gridCol w:w="1531"/>
        <w:gridCol w:w="1524"/>
        <w:gridCol w:w="7"/>
      </w:tblGrid>
      <w:tr w:rsidR="001E38FE" w:rsidRPr="00847236" w14:paraId="58A3AD5E" w14:textId="77777777" w:rsidTr="006B027F">
        <w:trPr>
          <w:gridAfter w:val="1"/>
          <w:wAfter w:w="7" w:type="dxa"/>
          <w:cantSplit/>
          <w:trHeight w:val="400"/>
        </w:trPr>
        <w:tc>
          <w:tcPr>
            <w:tcW w:w="8656" w:type="dxa"/>
            <w:gridSpan w:val="6"/>
            <w:tcBorders>
              <w:top w:val="nil"/>
              <w:left w:val="nil"/>
              <w:bottom w:val="nil"/>
              <w:right w:val="nil"/>
            </w:tcBorders>
            <w:shd w:val="clear" w:color="auto" w:fill="FFFFFF"/>
            <w:vAlign w:val="center"/>
          </w:tcPr>
          <w:p w14:paraId="232835C6" w14:textId="77777777" w:rsidR="001E38FE" w:rsidRPr="006B027F" w:rsidRDefault="001E38FE" w:rsidP="006B027F">
            <w:pPr>
              <w:widowControl w:val="0"/>
              <w:autoSpaceDE w:val="0"/>
              <w:autoSpaceDN w:val="0"/>
              <w:adjustRightInd w:val="0"/>
              <w:spacing w:line="240" w:lineRule="auto"/>
              <w:ind w:left="-426" w:right="60"/>
              <w:jc w:val="center"/>
              <w:rPr>
                <w:rFonts w:cs="Arial"/>
                <w:color w:val="000000"/>
                <w:sz w:val="20"/>
                <w:szCs w:val="20"/>
              </w:rPr>
            </w:pPr>
            <w:r w:rsidRPr="006B027F">
              <w:rPr>
                <w:rFonts w:cs="Arial"/>
                <w:b/>
                <w:bCs/>
                <w:color w:val="000000"/>
                <w:sz w:val="20"/>
                <w:szCs w:val="20"/>
              </w:rPr>
              <w:t>Group Statistics</w:t>
            </w:r>
          </w:p>
        </w:tc>
      </w:tr>
      <w:tr w:rsidR="00847236" w:rsidRPr="007B66C0" w14:paraId="36C099EA" w14:textId="77777777" w:rsidTr="00847236">
        <w:trPr>
          <w:cantSplit/>
          <w:trHeight w:val="802"/>
        </w:trPr>
        <w:tc>
          <w:tcPr>
            <w:tcW w:w="1915" w:type="dxa"/>
          </w:tcPr>
          <w:p w14:paraId="1A3ED115"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1548" w:type="dxa"/>
            <w:tcBorders>
              <w:top w:val="single" w:sz="16" w:space="0" w:color="000000"/>
              <w:left w:val="nil"/>
              <w:bottom w:val="single" w:sz="16" w:space="0" w:color="000000"/>
              <w:right w:val="single" w:sz="16" w:space="0" w:color="000000"/>
            </w:tcBorders>
            <w:shd w:val="clear" w:color="auto" w:fill="FFFFFF"/>
            <w:vAlign w:val="bottom"/>
          </w:tcPr>
          <w:p w14:paraId="76E7D59D" w14:textId="77777777" w:rsidR="001E38FE" w:rsidRPr="006B027F" w:rsidRDefault="001E38FE" w:rsidP="006B027F">
            <w:pPr>
              <w:widowControl w:val="0"/>
              <w:autoSpaceDE w:val="0"/>
              <w:autoSpaceDN w:val="0"/>
              <w:adjustRightInd w:val="0"/>
              <w:spacing w:line="240" w:lineRule="auto"/>
              <w:ind w:left="60" w:right="60"/>
              <w:rPr>
                <w:rFonts w:cs="Arial"/>
                <w:color w:val="000000"/>
                <w:sz w:val="20"/>
                <w:szCs w:val="20"/>
              </w:rPr>
            </w:pPr>
            <w:proofErr w:type="spellStart"/>
            <w:r w:rsidRPr="006B027F">
              <w:rPr>
                <w:rFonts w:cs="Arial"/>
                <w:color w:val="000000"/>
                <w:sz w:val="20"/>
                <w:szCs w:val="20"/>
              </w:rPr>
              <w:t>Analyseddata</w:t>
            </w:r>
            <w:proofErr w:type="spellEnd"/>
          </w:p>
        </w:tc>
        <w:tc>
          <w:tcPr>
            <w:tcW w:w="1069" w:type="dxa"/>
            <w:tcBorders>
              <w:top w:val="single" w:sz="16" w:space="0" w:color="000000"/>
              <w:left w:val="single" w:sz="16" w:space="0" w:color="000000"/>
              <w:bottom w:val="single" w:sz="16" w:space="0" w:color="000000"/>
            </w:tcBorders>
            <w:shd w:val="clear" w:color="auto" w:fill="FFFFFF"/>
            <w:vAlign w:val="bottom"/>
          </w:tcPr>
          <w:p w14:paraId="36FAD0B6"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N</w:t>
            </w:r>
          </w:p>
        </w:tc>
        <w:tc>
          <w:tcPr>
            <w:tcW w:w="1069" w:type="dxa"/>
            <w:tcBorders>
              <w:top w:val="single" w:sz="16" w:space="0" w:color="000000"/>
              <w:bottom w:val="single" w:sz="16" w:space="0" w:color="000000"/>
            </w:tcBorders>
            <w:shd w:val="clear" w:color="auto" w:fill="FFFFFF"/>
            <w:vAlign w:val="bottom"/>
          </w:tcPr>
          <w:p w14:paraId="4F25A684"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Mean</w:t>
            </w:r>
          </w:p>
        </w:tc>
        <w:tc>
          <w:tcPr>
            <w:tcW w:w="1531" w:type="dxa"/>
            <w:tcBorders>
              <w:top w:val="single" w:sz="16" w:space="0" w:color="000000"/>
              <w:bottom w:val="single" w:sz="16" w:space="0" w:color="000000"/>
            </w:tcBorders>
            <w:shd w:val="clear" w:color="auto" w:fill="FFFFFF"/>
            <w:vAlign w:val="bottom"/>
          </w:tcPr>
          <w:p w14:paraId="7271EBF8"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Std. Deviation</w:t>
            </w:r>
          </w:p>
        </w:tc>
        <w:tc>
          <w:tcPr>
            <w:tcW w:w="1531" w:type="dxa"/>
            <w:gridSpan w:val="2"/>
            <w:tcBorders>
              <w:top w:val="single" w:sz="16" w:space="0" w:color="000000"/>
              <w:bottom w:val="single" w:sz="16" w:space="0" w:color="000000"/>
              <w:right w:val="single" w:sz="16" w:space="0" w:color="000000"/>
            </w:tcBorders>
            <w:shd w:val="clear" w:color="auto" w:fill="FFFFFF"/>
            <w:vAlign w:val="bottom"/>
          </w:tcPr>
          <w:p w14:paraId="17767704"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Std. Error Mean</w:t>
            </w:r>
          </w:p>
        </w:tc>
      </w:tr>
      <w:tr w:rsidR="00847236" w:rsidRPr="007B66C0" w14:paraId="355FE37A" w14:textId="77777777" w:rsidTr="00847236">
        <w:trPr>
          <w:cantSplit/>
          <w:trHeight w:val="400"/>
        </w:trPr>
        <w:tc>
          <w:tcPr>
            <w:tcW w:w="1915" w:type="dxa"/>
            <w:vMerge w:val="restart"/>
            <w:tcBorders>
              <w:top w:val="single" w:sz="16" w:space="0" w:color="000000"/>
              <w:left w:val="single" w:sz="16" w:space="0" w:color="000000"/>
              <w:bottom w:val="single" w:sz="16" w:space="0" w:color="000000"/>
              <w:right w:val="nil"/>
            </w:tcBorders>
            <w:shd w:val="clear" w:color="auto" w:fill="FFFFFF"/>
          </w:tcPr>
          <w:p w14:paraId="15DD6819" w14:textId="27819464" w:rsidR="001E38FE" w:rsidRPr="006B027F" w:rsidRDefault="001E38FE"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 xml:space="preserve">Q 20 Overall confidence </w:t>
            </w:r>
            <w:r w:rsidR="001D42C9" w:rsidRPr="006B027F">
              <w:rPr>
                <w:rFonts w:cs="Arial"/>
                <w:color w:val="000000"/>
                <w:sz w:val="20"/>
                <w:szCs w:val="20"/>
              </w:rPr>
              <w:t>Pre-course</w:t>
            </w:r>
          </w:p>
        </w:tc>
        <w:tc>
          <w:tcPr>
            <w:tcW w:w="1548" w:type="dxa"/>
            <w:tcBorders>
              <w:top w:val="single" w:sz="16" w:space="0" w:color="000000"/>
              <w:left w:val="nil"/>
              <w:bottom w:val="nil"/>
              <w:right w:val="single" w:sz="16" w:space="0" w:color="000000"/>
            </w:tcBorders>
            <w:shd w:val="clear" w:color="auto" w:fill="FFFFFF"/>
          </w:tcPr>
          <w:p w14:paraId="69EF427F" w14:textId="77777777" w:rsidR="001E38FE" w:rsidRPr="006B027F" w:rsidRDefault="001E38FE"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Missing</w:t>
            </w:r>
          </w:p>
        </w:tc>
        <w:tc>
          <w:tcPr>
            <w:tcW w:w="1069" w:type="dxa"/>
            <w:tcBorders>
              <w:top w:val="single" w:sz="16" w:space="0" w:color="000000"/>
              <w:left w:val="single" w:sz="16" w:space="0" w:color="000000"/>
              <w:bottom w:val="nil"/>
            </w:tcBorders>
            <w:shd w:val="clear" w:color="auto" w:fill="FFFFFF"/>
            <w:vAlign w:val="center"/>
          </w:tcPr>
          <w:p w14:paraId="1AD703EA"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36</w:t>
            </w:r>
          </w:p>
        </w:tc>
        <w:tc>
          <w:tcPr>
            <w:tcW w:w="1069" w:type="dxa"/>
            <w:tcBorders>
              <w:top w:val="single" w:sz="16" w:space="0" w:color="000000"/>
              <w:bottom w:val="nil"/>
            </w:tcBorders>
            <w:shd w:val="clear" w:color="auto" w:fill="FFFFFF"/>
            <w:vAlign w:val="center"/>
          </w:tcPr>
          <w:p w14:paraId="45BDF290"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5.53</w:t>
            </w:r>
          </w:p>
        </w:tc>
        <w:tc>
          <w:tcPr>
            <w:tcW w:w="1531" w:type="dxa"/>
            <w:tcBorders>
              <w:top w:val="single" w:sz="16" w:space="0" w:color="000000"/>
              <w:bottom w:val="nil"/>
            </w:tcBorders>
            <w:shd w:val="clear" w:color="auto" w:fill="FFFFFF"/>
            <w:vAlign w:val="center"/>
          </w:tcPr>
          <w:p w14:paraId="230F4DE3"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1.028</w:t>
            </w:r>
          </w:p>
        </w:tc>
        <w:tc>
          <w:tcPr>
            <w:tcW w:w="1531" w:type="dxa"/>
            <w:gridSpan w:val="2"/>
            <w:tcBorders>
              <w:top w:val="single" w:sz="16" w:space="0" w:color="000000"/>
              <w:bottom w:val="nil"/>
              <w:right w:val="single" w:sz="16" w:space="0" w:color="000000"/>
            </w:tcBorders>
            <w:shd w:val="clear" w:color="auto" w:fill="FFFFFF"/>
            <w:vAlign w:val="center"/>
          </w:tcPr>
          <w:p w14:paraId="1D2BD38F"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.171</w:t>
            </w:r>
          </w:p>
        </w:tc>
      </w:tr>
      <w:tr w:rsidR="00847236" w:rsidRPr="007B66C0" w14:paraId="4E401A96" w14:textId="77777777" w:rsidTr="00847236">
        <w:trPr>
          <w:cantSplit/>
          <w:trHeight w:val="180"/>
        </w:trPr>
        <w:tc>
          <w:tcPr>
            <w:tcW w:w="1915" w:type="dxa"/>
            <w:vMerge/>
            <w:tcBorders>
              <w:top w:val="single" w:sz="16" w:space="0" w:color="000000"/>
              <w:left w:val="single" w:sz="16" w:space="0" w:color="000000"/>
              <w:bottom w:val="single" w:sz="16" w:space="0" w:color="000000"/>
              <w:right w:val="nil"/>
            </w:tcBorders>
            <w:shd w:val="clear" w:color="auto" w:fill="FFFFFF"/>
          </w:tcPr>
          <w:p w14:paraId="3AA68095"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1548" w:type="dxa"/>
            <w:tcBorders>
              <w:top w:val="nil"/>
              <w:left w:val="nil"/>
              <w:bottom w:val="single" w:sz="16" w:space="0" w:color="000000"/>
              <w:right w:val="single" w:sz="16" w:space="0" w:color="000000"/>
            </w:tcBorders>
            <w:shd w:val="clear" w:color="auto" w:fill="FFFFFF"/>
          </w:tcPr>
          <w:p w14:paraId="209FB5FD" w14:textId="77777777" w:rsidR="001E38FE" w:rsidRPr="006B027F" w:rsidRDefault="001E38FE" w:rsidP="006B027F">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Present</w:t>
            </w:r>
          </w:p>
        </w:tc>
        <w:tc>
          <w:tcPr>
            <w:tcW w:w="1069" w:type="dxa"/>
            <w:tcBorders>
              <w:top w:val="nil"/>
              <w:left w:val="single" w:sz="16" w:space="0" w:color="000000"/>
              <w:bottom w:val="single" w:sz="16" w:space="0" w:color="000000"/>
            </w:tcBorders>
            <w:shd w:val="clear" w:color="auto" w:fill="FFFFFF"/>
            <w:vAlign w:val="center"/>
          </w:tcPr>
          <w:p w14:paraId="2A1566EE"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58</w:t>
            </w:r>
          </w:p>
        </w:tc>
        <w:tc>
          <w:tcPr>
            <w:tcW w:w="1069" w:type="dxa"/>
            <w:tcBorders>
              <w:top w:val="nil"/>
              <w:bottom w:val="single" w:sz="16" w:space="0" w:color="000000"/>
            </w:tcBorders>
            <w:shd w:val="clear" w:color="auto" w:fill="FFFFFF"/>
            <w:vAlign w:val="center"/>
          </w:tcPr>
          <w:p w14:paraId="121A7EE6"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5.88</w:t>
            </w:r>
          </w:p>
        </w:tc>
        <w:tc>
          <w:tcPr>
            <w:tcW w:w="1531" w:type="dxa"/>
            <w:tcBorders>
              <w:top w:val="nil"/>
              <w:bottom w:val="single" w:sz="16" w:space="0" w:color="000000"/>
            </w:tcBorders>
            <w:shd w:val="clear" w:color="auto" w:fill="FFFFFF"/>
            <w:vAlign w:val="center"/>
          </w:tcPr>
          <w:p w14:paraId="1D82E724"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1.272</w:t>
            </w:r>
          </w:p>
        </w:tc>
        <w:tc>
          <w:tcPr>
            <w:tcW w:w="1531" w:type="dxa"/>
            <w:gridSpan w:val="2"/>
            <w:tcBorders>
              <w:top w:val="nil"/>
              <w:bottom w:val="single" w:sz="16" w:space="0" w:color="000000"/>
              <w:right w:val="single" w:sz="16" w:space="0" w:color="000000"/>
            </w:tcBorders>
            <w:shd w:val="clear" w:color="auto" w:fill="FFFFFF"/>
            <w:vAlign w:val="center"/>
          </w:tcPr>
          <w:p w14:paraId="41EA22A6"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.167</w:t>
            </w:r>
          </w:p>
        </w:tc>
      </w:tr>
    </w:tbl>
    <w:p w14:paraId="0C48D5FF" w14:textId="77777777" w:rsidR="001E38FE" w:rsidRPr="007B66C0" w:rsidRDefault="001E38FE" w:rsidP="001E38FE">
      <w:pPr>
        <w:widowControl w:val="0"/>
        <w:autoSpaceDE w:val="0"/>
        <w:autoSpaceDN w:val="0"/>
        <w:adjustRightInd w:val="0"/>
        <w:spacing w:line="400" w:lineRule="atLeast"/>
        <w:rPr>
          <w:rFonts w:ascii="Times New Roman" w:hAnsi="Times New Roman"/>
        </w:rPr>
      </w:pPr>
    </w:p>
    <w:p w14:paraId="61464185" w14:textId="77777777" w:rsidR="001E38FE" w:rsidRPr="007B66C0" w:rsidRDefault="001E38FE" w:rsidP="001E38FE">
      <w:pPr>
        <w:widowControl w:val="0"/>
        <w:autoSpaceDE w:val="0"/>
        <w:autoSpaceDN w:val="0"/>
        <w:adjustRightInd w:val="0"/>
        <w:rPr>
          <w:rFonts w:ascii="Times New Roman" w:hAnsi="Times New Roman"/>
        </w:rPr>
      </w:pPr>
    </w:p>
    <w:tbl>
      <w:tblPr>
        <w:tblW w:w="16850" w:type="dxa"/>
        <w:tblInd w:w="-2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34"/>
        <w:gridCol w:w="1529"/>
        <w:gridCol w:w="739"/>
        <w:gridCol w:w="851"/>
        <w:gridCol w:w="850"/>
        <w:gridCol w:w="993"/>
        <w:gridCol w:w="1134"/>
        <w:gridCol w:w="1134"/>
        <w:gridCol w:w="1275"/>
        <w:gridCol w:w="5521"/>
        <w:gridCol w:w="1690"/>
      </w:tblGrid>
      <w:tr w:rsidR="001E38FE" w:rsidRPr="007B66C0" w14:paraId="13E7FDA4" w14:textId="77777777" w:rsidTr="007D7536">
        <w:trPr>
          <w:cantSplit/>
        </w:trPr>
        <w:tc>
          <w:tcPr>
            <w:tcW w:w="16850" w:type="dxa"/>
            <w:gridSpan w:val="11"/>
            <w:tcBorders>
              <w:top w:val="nil"/>
              <w:left w:val="nil"/>
              <w:bottom w:val="nil"/>
              <w:right w:val="nil"/>
            </w:tcBorders>
            <w:shd w:val="clear" w:color="auto" w:fill="FFFFFF"/>
            <w:vAlign w:val="center"/>
          </w:tcPr>
          <w:p w14:paraId="5F4C79C2" w14:textId="77777777" w:rsidR="001E38FE" w:rsidRPr="007B66C0" w:rsidRDefault="001E38FE" w:rsidP="001E38FE">
            <w:pPr>
              <w:widowControl w:val="0"/>
              <w:autoSpaceDE w:val="0"/>
              <w:autoSpaceDN w:val="0"/>
              <w:adjustRightInd w:val="0"/>
              <w:spacing w:line="320" w:lineRule="atLeast"/>
              <w:ind w:left="60" w:right="60"/>
              <w:jc w:val="center"/>
              <w:rPr>
                <w:rFonts w:cs="Arial"/>
                <w:color w:val="000000"/>
              </w:rPr>
            </w:pPr>
            <w:r w:rsidRPr="007B66C0">
              <w:rPr>
                <w:rFonts w:cs="Arial"/>
                <w:b/>
                <w:bCs/>
                <w:color w:val="000000"/>
              </w:rPr>
              <w:lastRenderedPageBreak/>
              <w:t>Independent Samples Test</w:t>
            </w:r>
          </w:p>
        </w:tc>
      </w:tr>
      <w:tr w:rsidR="00847236" w:rsidRPr="007B66C0" w14:paraId="6068DA4E" w14:textId="77777777" w:rsidTr="007D7536">
        <w:trPr>
          <w:cantSplit/>
        </w:trPr>
        <w:tc>
          <w:tcPr>
            <w:tcW w:w="2663" w:type="dxa"/>
            <w:gridSpan w:val="2"/>
            <w:vMerge w:val="restart"/>
            <w:tcBorders>
              <w:top w:val="single" w:sz="16" w:space="0" w:color="000000"/>
              <w:left w:val="single" w:sz="16" w:space="0" w:color="000000"/>
              <w:bottom w:val="nil"/>
              <w:right w:val="nil"/>
            </w:tcBorders>
            <w:shd w:val="clear" w:color="auto" w:fill="FFFFFF"/>
            <w:vAlign w:val="bottom"/>
          </w:tcPr>
          <w:p w14:paraId="45FA4136" w14:textId="77777777" w:rsidR="001E38FE" w:rsidRPr="00847236" w:rsidRDefault="001E38FE" w:rsidP="00847236">
            <w:pPr>
              <w:widowControl w:val="0"/>
              <w:autoSpaceDE w:val="0"/>
              <w:autoSpaceDN w:val="0"/>
              <w:adjustRightInd w:val="0"/>
              <w:spacing w:line="240" w:lineRule="auto"/>
              <w:ind w:left="-426" w:firstLine="426"/>
              <w:rPr>
                <w:rFonts w:ascii="Times New Roman" w:hAnsi="Times New Roman"/>
                <w:sz w:val="20"/>
                <w:szCs w:val="20"/>
              </w:rPr>
            </w:pPr>
          </w:p>
        </w:tc>
        <w:tc>
          <w:tcPr>
            <w:tcW w:w="1590" w:type="dxa"/>
            <w:gridSpan w:val="2"/>
            <w:tcBorders>
              <w:top w:val="single" w:sz="16" w:space="0" w:color="000000"/>
              <w:left w:val="single" w:sz="16" w:space="0" w:color="000000"/>
            </w:tcBorders>
            <w:shd w:val="clear" w:color="auto" w:fill="FFFFFF"/>
            <w:vAlign w:val="bottom"/>
          </w:tcPr>
          <w:p w14:paraId="2CA49D25" w14:textId="77777777" w:rsidR="001E38FE" w:rsidRPr="00847236" w:rsidRDefault="001E38FE" w:rsidP="00847236">
            <w:pPr>
              <w:widowControl w:val="0"/>
              <w:autoSpaceDE w:val="0"/>
              <w:autoSpaceDN w:val="0"/>
              <w:adjustRightInd w:val="0"/>
              <w:spacing w:line="240" w:lineRule="auto"/>
              <w:ind w:left="60" w:right="60"/>
              <w:jc w:val="center"/>
              <w:rPr>
                <w:rFonts w:cs="Arial"/>
                <w:color w:val="000000"/>
                <w:sz w:val="20"/>
                <w:szCs w:val="20"/>
              </w:rPr>
            </w:pPr>
            <w:proofErr w:type="spellStart"/>
            <w:r w:rsidRPr="00847236">
              <w:rPr>
                <w:rFonts w:cs="Arial"/>
                <w:color w:val="000000"/>
                <w:sz w:val="20"/>
                <w:szCs w:val="20"/>
              </w:rPr>
              <w:t>Levene's</w:t>
            </w:r>
            <w:proofErr w:type="spellEnd"/>
            <w:r w:rsidRPr="00847236">
              <w:rPr>
                <w:rFonts w:cs="Arial"/>
                <w:color w:val="000000"/>
                <w:sz w:val="20"/>
                <w:szCs w:val="20"/>
              </w:rPr>
              <w:t xml:space="preserve"> Test for Equality of Variances</w:t>
            </w:r>
          </w:p>
        </w:tc>
        <w:tc>
          <w:tcPr>
            <w:tcW w:w="12597" w:type="dxa"/>
            <w:gridSpan w:val="7"/>
            <w:tcBorders>
              <w:top w:val="single" w:sz="16" w:space="0" w:color="000000"/>
              <w:right w:val="single" w:sz="16" w:space="0" w:color="000000"/>
            </w:tcBorders>
            <w:shd w:val="clear" w:color="auto" w:fill="FFFFFF"/>
            <w:vAlign w:val="bottom"/>
          </w:tcPr>
          <w:p w14:paraId="422D56D4" w14:textId="77777777" w:rsidR="001E38FE" w:rsidRPr="00847236" w:rsidRDefault="001E38FE" w:rsidP="00847236">
            <w:pPr>
              <w:widowControl w:val="0"/>
              <w:autoSpaceDE w:val="0"/>
              <w:autoSpaceDN w:val="0"/>
              <w:adjustRightInd w:val="0"/>
              <w:spacing w:line="240" w:lineRule="auto"/>
              <w:ind w:left="60" w:right="60"/>
              <w:jc w:val="center"/>
              <w:rPr>
                <w:rFonts w:cs="Arial"/>
                <w:color w:val="000000"/>
                <w:sz w:val="20"/>
                <w:szCs w:val="20"/>
              </w:rPr>
            </w:pPr>
            <w:r w:rsidRPr="00847236">
              <w:rPr>
                <w:rFonts w:cs="Arial"/>
                <w:color w:val="000000"/>
                <w:sz w:val="20"/>
                <w:szCs w:val="20"/>
              </w:rPr>
              <w:t>t-test for Equality of Means</w:t>
            </w:r>
          </w:p>
        </w:tc>
      </w:tr>
      <w:tr w:rsidR="007D7536" w:rsidRPr="007B66C0" w14:paraId="61A0A6E9" w14:textId="77777777" w:rsidTr="007D7536">
        <w:trPr>
          <w:cantSplit/>
        </w:trPr>
        <w:tc>
          <w:tcPr>
            <w:tcW w:w="2663" w:type="dxa"/>
            <w:gridSpan w:val="2"/>
            <w:vMerge/>
            <w:tcBorders>
              <w:top w:val="single" w:sz="16" w:space="0" w:color="000000"/>
              <w:left w:val="single" w:sz="16" w:space="0" w:color="000000"/>
              <w:bottom w:val="nil"/>
              <w:right w:val="nil"/>
            </w:tcBorders>
            <w:shd w:val="clear" w:color="auto" w:fill="FFFFFF"/>
            <w:vAlign w:val="bottom"/>
          </w:tcPr>
          <w:p w14:paraId="318BD3A1"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739" w:type="dxa"/>
            <w:vMerge w:val="restart"/>
            <w:tcBorders>
              <w:left w:val="single" w:sz="16" w:space="0" w:color="000000"/>
            </w:tcBorders>
            <w:shd w:val="clear" w:color="auto" w:fill="FFFFFF"/>
            <w:vAlign w:val="bottom"/>
          </w:tcPr>
          <w:p w14:paraId="5C42938A"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F</w:t>
            </w:r>
          </w:p>
        </w:tc>
        <w:tc>
          <w:tcPr>
            <w:tcW w:w="851" w:type="dxa"/>
            <w:vMerge w:val="restart"/>
            <w:shd w:val="clear" w:color="auto" w:fill="FFFFFF"/>
            <w:vAlign w:val="bottom"/>
          </w:tcPr>
          <w:p w14:paraId="0122FCFD"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Sig.</w:t>
            </w:r>
          </w:p>
        </w:tc>
        <w:tc>
          <w:tcPr>
            <w:tcW w:w="850" w:type="dxa"/>
            <w:vMerge w:val="restart"/>
            <w:shd w:val="clear" w:color="auto" w:fill="FFFFFF"/>
            <w:vAlign w:val="bottom"/>
          </w:tcPr>
          <w:p w14:paraId="36501FF2"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t</w:t>
            </w:r>
          </w:p>
        </w:tc>
        <w:tc>
          <w:tcPr>
            <w:tcW w:w="993" w:type="dxa"/>
            <w:vMerge w:val="restart"/>
            <w:shd w:val="clear" w:color="auto" w:fill="FFFFFF"/>
            <w:vAlign w:val="bottom"/>
          </w:tcPr>
          <w:p w14:paraId="3AE65CEF"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proofErr w:type="spellStart"/>
            <w:r w:rsidRPr="006B027F">
              <w:rPr>
                <w:rFonts w:cs="Arial"/>
                <w:color w:val="000000"/>
                <w:sz w:val="20"/>
                <w:szCs w:val="20"/>
              </w:rPr>
              <w:t>df</w:t>
            </w:r>
            <w:proofErr w:type="spellEnd"/>
          </w:p>
        </w:tc>
        <w:tc>
          <w:tcPr>
            <w:tcW w:w="1134" w:type="dxa"/>
            <w:vMerge w:val="restart"/>
            <w:shd w:val="clear" w:color="auto" w:fill="FFFFFF"/>
            <w:vAlign w:val="bottom"/>
          </w:tcPr>
          <w:p w14:paraId="32880FD9"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Sig. (2-tailed)</w:t>
            </w:r>
          </w:p>
        </w:tc>
        <w:tc>
          <w:tcPr>
            <w:tcW w:w="1134" w:type="dxa"/>
            <w:vMerge w:val="restart"/>
            <w:shd w:val="clear" w:color="auto" w:fill="FFFFFF"/>
            <w:vAlign w:val="bottom"/>
          </w:tcPr>
          <w:p w14:paraId="28D4B533"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Mean Difference</w:t>
            </w:r>
          </w:p>
        </w:tc>
        <w:tc>
          <w:tcPr>
            <w:tcW w:w="1275" w:type="dxa"/>
            <w:vMerge w:val="restart"/>
            <w:shd w:val="clear" w:color="auto" w:fill="FFFFFF"/>
            <w:vAlign w:val="bottom"/>
          </w:tcPr>
          <w:p w14:paraId="0338364E" w14:textId="77777777" w:rsidR="001E38FE" w:rsidRPr="006B027F" w:rsidRDefault="001E38FE" w:rsidP="006B027F">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Std. Error Difference</w:t>
            </w:r>
          </w:p>
        </w:tc>
        <w:tc>
          <w:tcPr>
            <w:tcW w:w="7211" w:type="dxa"/>
            <w:gridSpan w:val="2"/>
            <w:tcBorders>
              <w:right w:val="single" w:sz="16" w:space="0" w:color="000000"/>
            </w:tcBorders>
            <w:shd w:val="clear" w:color="auto" w:fill="FFFFFF"/>
            <w:vAlign w:val="bottom"/>
          </w:tcPr>
          <w:p w14:paraId="1E87FA79" w14:textId="77777777" w:rsidR="001E38FE" w:rsidRPr="006B027F" w:rsidRDefault="001E38FE" w:rsidP="00847236">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95% Confidence Interval of the Difference</w:t>
            </w:r>
          </w:p>
        </w:tc>
      </w:tr>
      <w:tr w:rsidR="007D7536" w:rsidRPr="007B66C0" w14:paraId="3572390B" w14:textId="77777777" w:rsidTr="007D7536">
        <w:trPr>
          <w:cantSplit/>
        </w:trPr>
        <w:tc>
          <w:tcPr>
            <w:tcW w:w="2663" w:type="dxa"/>
            <w:gridSpan w:val="2"/>
            <w:vMerge/>
            <w:tcBorders>
              <w:top w:val="single" w:sz="16" w:space="0" w:color="000000"/>
              <w:left w:val="single" w:sz="16" w:space="0" w:color="000000"/>
              <w:bottom w:val="nil"/>
              <w:right w:val="nil"/>
            </w:tcBorders>
            <w:shd w:val="clear" w:color="auto" w:fill="FFFFFF"/>
            <w:vAlign w:val="bottom"/>
          </w:tcPr>
          <w:p w14:paraId="6B3016E7"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739" w:type="dxa"/>
            <w:vMerge/>
            <w:tcBorders>
              <w:left w:val="single" w:sz="16" w:space="0" w:color="000000"/>
            </w:tcBorders>
            <w:shd w:val="clear" w:color="auto" w:fill="FFFFFF"/>
            <w:vAlign w:val="bottom"/>
          </w:tcPr>
          <w:p w14:paraId="2EEB8917"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851" w:type="dxa"/>
            <w:vMerge/>
            <w:shd w:val="clear" w:color="auto" w:fill="FFFFFF"/>
            <w:vAlign w:val="bottom"/>
          </w:tcPr>
          <w:p w14:paraId="1CF703DC"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850" w:type="dxa"/>
            <w:vMerge/>
            <w:shd w:val="clear" w:color="auto" w:fill="FFFFFF"/>
            <w:vAlign w:val="bottom"/>
          </w:tcPr>
          <w:p w14:paraId="4B5BD3DB"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993" w:type="dxa"/>
            <w:vMerge/>
            <w:shd w:val="clear" w:color="auto" w:fill="FFFFFF"/>
            <w:vAlign w:val="bottom"/>
          </w:tcPr>
          <w:p w14:paraId="1CDB5699"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1134" w:type="dxa"/>
            <w:vMerge/>
            <w:shd w:val="clear" w:color="auto" w:fill="FFFFFF"/>
            <w:vAlign w:val="bottom"/>
          </w:tcPr>
          <w:p w14:paraId="2595DD7C"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1134" w:type="dxa"/>
            <w:vMerge/>
            <w:shd w:val="clear" w:color="auto" w:fill="FFFFFF"/>
            <w:vAlign w:val="bottom"/>
          </w:tcPr>
          <w:p w14:paraId="015EB6D7"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1275" w:type="dxa"/>
            <w:vMerge/>
            <w:shd w:val="clear" w:color="auto" w:fill="FFFFFF"/>
            <w:vAlign w:val="bottom"/>
          </w:tcPr>
          <w:p w14:paraId="299912F3" w14:textId="77777777" w:rsidR="001E38FE" w:rsidRPr="006B027F" w:rsidRDefault="001E38FE" w:rsidP="006B027F">
            <w:pPr>
              <w:widowControl w:val="0"/>
              <w:autoSpaceDE w:val="0"/>
              <w:autoSpaceDN w:val="0"/>
              <w:adjustRightInd w:val="0"/>
              <w:spacing w:line="240" w:lineRule="auto"/>
              <w:rPr>
                <w:rFonts w:cs="Arial"/>
                <w:color w:val="000000"/>
                <w:sz w:val="20"/>
                <w:szCs w:val="20"/>
              </w:rPr>
            </w:pPr>
          </w:p>
        </w:tc>
        <w:tc>
          <w:tcPr>
            <w:tcW w:w="5521" w:type="dxa"/>
            <w:tcBorders>
              <w:bottom w:val="single" w:sz="16" w:space="0" w:color="000000"/>
            </w:tcBorders>
            <w:shd w:val="clear" w:color="auto" w:fill="FFFFFF"/>
            <w:vAlign w:val="bottom"/>
          </w:tcPr>
          <w:p w14:paraId="7078BAA2" w14:textId="77777777" w:rsidR="001E38FE" w:rsidRPr="006B027F" w:rsidRDefault="001E38FE" w:rsidP="00847236">
            <w:pPr>
              <w:widowControl w:val="0"/>
              <w:autoSpaceDE w:val="0"/>
              <w:autoSpaceDN w:val="0"/>
              <w:adjustRightInd w:val="0"/>
              <w:spacing w:line="240" w:lineRule="auto"/>
              <w:ind w:left="60" w:right="60"/>
              <w:rPr>
                <w:rFonts w:cs="Arial"/>
                <w:color w:val="000000"/>
                <w:sz w:val="20"/>
                <w:szCs w:val="20"/>
              </w:rPr>
            </w:pPr>
            <w:r w:rsidRPr="006B027F">
              <w:rPr>
                <w:rFonts w:cs="Arial"/>
                <w:color w:val="000000"/>
                <w:sz w:val="20"/>
                <w:szCs w:val="20"/>
              </w:rPr>
              <w:t>Lower</w:t>
            </w:r>
          </w:p>
        </w:tc>
        <w:tc>
          <w:tcPr>
            <w:tcW w:w="1690" w:type="dxa"/>
            <w:tcBorders>
              <w:bottom w:val="single" w:sz="16" w:space="0" w:color="000000"/>
              <w:right w:val="single" w:sz="16" w:space="0" w:color="000000"/>
            </w:tcBorders>
            <w:shd w:val="clear" w:color="auto" w:fill="FFFFFF"/>
            <w:vAlign w:val="bottom"/>
          </w:tcPr>
          <w:p w14:paraId="629CD3B2" w14:textId="77777777" w:rsidR="001E38FE" w:rsidRPr="006B027F" w:rsidRDefault="001E38FE" w:rsidP="00847236">
            <w:pPr>
              <w:widowControl w:val="0"/>
              <w:autoSpaceDE w:val="0"/>
              <w:autoSpaceDN w:val="0"/>
              <w:adjustRightInd w:val="0"/>
              <w:spacing w:line="240" w:lineRule="auto"/>
              <w:ind w:left="60" w:right="60"/>
              <w:jc w:val="center"/>
              <w:rPr>
                <w:rFonts w:cs="Arial"/>
                <w:color w:val="000000"/>
                <w:sz w:val="20"/>
                <w:szCs w:val="20"/>
              </w:rPr>
            </w:pPr>
            <w:r w:rsidRPr="006B027F">
              <w:rPr>
                <w:rFonts w:cs="Arial"/>
                <w:color w:val="000000"/>
                <w:sz w:val="20"/>
                <w:szCs w:val="20"/>
              </w:rPr>
              <w:t>Upper</w:t>
            </w:r>
          </w:p>
        </w:tc>
      </w:tr>
      <w:tr w:rsidR="007D7536" w:rsidRPr="007B66C0" w14:paraId="31C2F2BC" w14:textId="77777777" w:rsidTr="007D7536">
        <w:trPr>
          <w:cantSplit/>
        </w:trPr>
        <w:tc>
          <w:tcPr>
            <w:tcW w:w="1134" w:type="dxa"/>
            <w:vMerge w:val="restart"/>
            <w:tcBorders>
              <w:top w:val="single" w:sz="16" w:space="0" w:color="000000"/>
              <w:left w:val="single" w:sz="16" w:space="0" w:color="000000"/>
              <w:bottom w:val="single" w:sz="16" w:space="0" w:color="000000"/>
              <w:right w:val="nil"/>
            </w:tcBorders>
            <w:shd w:val="clear" w:color="auto" w:fill="FFFFFF"/>
          </w:tcPr>
          <w:p w14:paraId="7A032B9E" w14:textId="2C5D8A30" w:rsidR="001E38FE" w:rsidRPr="007D7536" w:rsidRDefault="001E38FE" w:rsidP="00847236">
            <w:pPr>
              <w:widowControl w:val="0"/>
              <w:autoSpaceDE w:val="0"/>
              <w:autoSpaceDN w:val="0"/>
              <w:adjustRightInd w:val="0"/>
              <w:spacing w:line="240" w:lineRule="auto"/>
              <w:ind w:left="60" w:right="60"/>
              <w:rPr>
                <w:rFonts w:cs="Arial"/>
                <w:color w:val="000000"/>
                <w:sz w:val="16"/>
                <w:szCs w:val="16"/>
              </w:rPr>
            </w:pPr>
            <w:r w:rsidRPr="007D7536">
              <w:rPr>
                <w:rFonts w:cs="Arial"/>
                <w:color w:val="000000"/>
                <w:sz w:val="16"/>
                <w:szCs w:val="16"/>
              </w:rPr>
              <w:t xml:space="preserve">Q 20 Overall confidence </w:t>
            </w:r>
            <w:r w:rsidR="001D42C9" w:rsidRPr="007D7536">
              <w:rPr>
                <w:rFonts w:cs="Arial"/>
                <w:color w:val="000000"/>
                <w:sz w:val="16"/>
                <w:szCs w:val="16"/>
              </w:rPr>
              <w:t>Pre-course</w:t>
            </w:r>
          </w:p>
        </w:tc>
        <w:tc>
          <w:tcPr>
            <w:tcW w:w="1529" w:type="dxa"/>
            <w:tcBorders>
              <w:top w:val="single" w:sz="16" w:space="0" w:color="000000"/>
              <w:left w:val="nil"/>
              <w:bottom w:val="nil"/>
              <w:right w:val="single" w:sz="16" w:space="0" w:color="000000"/>
            </w:tcBorders>
            <w:shd w:val="clear" w:color="auto" w:fill="FFFFFF"/>
          </w:tcPr>
          <w:p w14:paraId="66AD3752" w14:textId="77777777" w:rsidR="001E38FE" w:rsidRPr="007D7536" w:rsidRDefault="001E38FE" w:rsidP="00847236">
            <w:pPr>
              <w:widowControl w:val="0"/>
              <w:autoSpaceDE w:val="0"/>
              <w:autoSpaceDN w:val="0"/>
              <w:adjustRightInd w:val="0"/>
              <w:spacing w:line="240" w:lineRule="auto"/>
              <w:ind w:left="60" w:right="60"/>
              <w:rPr>
                <w:rFonts w:cs="Arial"/>
                <w:color w:val="000000"/>
                <w:sz w:val="16"/>
                <w:szCs w:val="16"/>
              </w:rPr>
            </w:pPr>
            <w:r w:rsidRPr="007D7536">
              <w:rPr>
                <w:rFonts w:cs="Arial"/>
                <w:color w:val="000000"/>
                <w:sz w:val="16"/>
                <w:szCs w:val="16"/>
              </w:rPr>
              <w:t>Equal variances assumed</w:t>
            </w:r>
          </w:p>
        </w:tc>
        <w:tc>
          <w:tcPr>
            <w:tcW w:w="739" w:type="dxa"/>
            <w:tcBorders>
              <w:top w:val="single" w:sz="16" w:space="0" w:color="000000"/>
              <w:left w:val="single" w:sz="16" w:space="0" w:color="000000"/>
              <w:bottom w:val="nil"/>
            </w:tcBorders>
            <w:shd w:val="clear" w:color="auto" w:fill="FFFFFF"/>
            <w:vAlign w:val="center"/>
          </w:tcPr>
          <w:p w14:paraId="1E30266C" w14:textId="77777777" w:rsidR="001E38FE" w:rsidRPr="00847236" w:rsidRDefault="001E38FE" w:rsidP="00847236">
            <w:pPr>
              <w:widowControl w:val="0"/>
              <w:autoSpaceDE w:val="0"/>
              <w:autoSpaceDN w:val="0"/>
              <w:adjustRightInd w:val="0"/>
              <w:spacing w:line="240" w:lineRule="auto"/>
              <w:ind w:left="60" w:right="60"/>
              <w:jc w:val="right"/>
              <w:rPr>
                <w:rFonts w:cs="Arial"/>
                <w:color w:val="000000"/>
                <w:sz w:val="20"/>
                <w:szCs w:val="20"/>
              </w:rPr>
            </w:pPr>
            <w:r w:rsidRPr="00847236">
              <w:rPr>
                <w:rFonts w:cs="Arial"/>
                <w:color w:val="000000"/>
                <w:sz w:val="20"/>
                <w:szCs w:val="20"/>
              </w:rPr>
              <w:t>1.565</w:t>
            </w:r>
          </w:p>
        </w:tc>
        <w:tc>
          <w:tcPr>
            <w:tcW w:w="851" w:type="dxa"/>
            <w:tcBorders>
              <w:top w:val="single" w:sz="16" w:space="0" w:color="000000"/>
              <w:bottom w:val="nil"/>
            </w:tcBorders>
            <w:shd w:val="clear" w:color="auto" w:fill="FFFFFF"/>
            <w:vAlign w:val="center"/>
          </w:tcPr>
          <w:p w14:paraId="383ECAB6" w14:textId="77777777" w:rsidR="001E38FE" w:rsidRPr="00847236" w:rsidRDefault="001E38FE" w:rsidP="00847236">
            <w:pPr>
              <w:widowControl w:val="0"/>
              <w:autoSpaceDE w:val="0"/>
              <w:autoSpaceDN w:val="0"/>
              <w:adjustRightInd w:val="0"/>
              <w:spacing w:line="240" w:lineRule="auto"/>
              <w:ind w:left="60" w:right="60"/>
              <w:jc w:val="right"/>
              <w:rPr>
                <w:rFonts w:cs="Arial"/>
                <w:color w:val="000000"/>
                <w:sz w:val="20"/>
                <w:szCs w:val="20"/>
              </w:rPr>
            </w:pPr>
            <w:r w:rsidRPr="00847236">
              <w:rPr>
                <w:rFonts w:cs="Arial"/>
                <w:color w:val="000000"/>
                <w:sz w:val="20"/>
                <w:szCs w:val="20"/>
              </w:rPr>
              <w:t>.214</w:t>
            </w:r>
          </w:p>
        </w:tc>
        <w:tc>
          <w:tcPr>
            <w:tcW w:w="850" w:type="dxa"/>
            <w:tcBorders>
              <w:top w:val="single" w:sz="16" w:space="0" w:color="000000"/>
              <w:bottom w:val="nil"/>
            </w:tcBorders>
            <w:shd w:val="clear" w:color="auto" w:fill="FFFFFF"/>
            <w:vAlign w:val="center"/>
          </w:tcPr>
          <w:p w14:paraId="5BF37AE9" w14:textId="77777777" w:rsidR="001E38FE" w:rsidRPr="00847236" w:rsidRDefault="001E38FE" w:rsidP="00847236">
            <w:pPr>
              <w:widowControl w:val="0"/>
              <w:autoSpaceDE w:val="0"/>
              <w:autoSpaceDN w:val="0"/>
              <w:adjustRightInd w:val="0"/>
              <w:spacing w:line="240" w:lineRule="auto"/>
              <w:ind w:left="60" w:right="60"/>
              <w:jc w:val="right"/>
              <w:rPr>
                <w:rFonts w:cs="Arial"/>
                <w:color w:val="000000"/>
                <w:sz w:val="20"/>
                <w:szCs w:val="20"/>
              </w:rPr>
            </w:pPr>
            <w:r w:rsidRPr="00847236">
              <w:rPr>
                <w:rFonts w:cs="Arial"/>
                <w:color w:val="000000"/>
                <w:sz w:val="20"/>
                <w:szCs w:val="20"/>
              </w:rPr>
              <w:t>-1.398</w:t>
            </w:r>
          </w:p>
        </w:tc>
        <w:tc>
          <w:tcPr>
            <w:tcW w:w="993" w:type="dxa"/>
            <w:tcBorders>
              <w:top w:val="single" w:sz="16" w:space="0" w:color="000000"/>
              <w:bottom w:val="nil"/>
            </w:tcBorders>
            <w:shd w:val="clear" w:color="auto" w:fill="FFFFFF"/>
            <w:vAlign w:val="center"/>
          </w:tcPr>
          <w:p w14:paraId="26BF31D6" w14:textId="77777777" w:rsidR="001E38FE" w:rsidRPr="00847236" w:rsidRDefault="001E38FE" w:rsidP="00847236">
            <w:pPr>
              <w:widowControl w:val="0"/>
              <w:autoSpaceDE w:val="0"/>
              <w:autoSpaceDN w:val="0"/>
              <w:adjustRightInd w:val="0"/>
              <w:spacing w:line="240" w:lineRule="auto"/>
              <w:ind w:left="60" w:right="60"/>
              <w:jc w:val="right"/>
              <w:rPr>
                <w:rFonts w:cs="Arial"/>
                <w:color w:val="000000"/>
                <w:sz w:val="20"/>
                <w:szCs w:val="20"/>
              </w:rPr>
            </w:pPr>
            <w:r w:rsidRPr="00847236">
              <w:rPr>
                <w:rFonts w:cs="Arial"/>
                <w:color w:val="000000"/>
                <w:sz w:val="20"/>
                <w:szCs w:val="20"/>
              </w:rPr>
              <w:t>92</w:t>
            </w:r>
          </w:p>
        </w:tc>
        <w:tc>
          <w:tcPr>
            <w:tcW w:w="1134" w:type="dxa"/>
            <w:tcBorders>
              <w:top w:val="single" w:sz="16" w:space="0" w:color="000000"/>
              <w:bottom w:val="nil"/>
            </w:tcBorders>
            <w:shd w:val="clear" w:color="auto" w:fill="FFFFFF"/>
            <w:vAlign w:val="center"/>
          </w:tcPr>
          <w:p w14:paraId="0FE79585" w14:textId="77777777" w:rsidR="001E38FE" w:rsidRPr="00847236" w:rsidRDefault="001E38FE" w:rsidP="00847236">
            <w:pPr>
              <w:widowControl w:val="0"/>
              <w:autoSpaceDE w:val="0"/>
              <w:autoSpaceDN w:val="0"/>
              <w:adjustRightInd w:val="0"/>
              <w:spacing w:line="240" w:lineRule="auto"/>
              <w:ind w:left="60" w:right="60"/>
              <w:jc w:val="right"/>
              <w:rPr>
                <w:rFonts w:cs="Arial"/>
                <w:color w:val="000000"/>
                <w:sz w:val="20"/>
                <w:szCs w:val="20"/>
              </w:rPr>
            </w:pPr>
            <w:r w:rsidRPr="00847236">
              <w:rPr>
                <w:rFonts w:cs="Arial"/>
                <w:color w:val="000000"/>
                <w:sz w:val="20"/>
                <w:szCs w:val="20"/>
              </w:rPr>
              <w:t>.165</w:t>
            </w:r>
          </w:p>
        </w:tc>
        <w:tc>
          <w:tcPr>
            <w:tcW w:w="1134" w:type="dxa"/>
            <w:tcBorders>
              <w:top w:val="single" w:sz="16" w:space="0" w:color="000000"/>
              <w:bottom w:val="nil"/>
            </w:tcBorders>
            <w:shd w:val="clear" w:color="auto" w:fill="FFFFFF"/>
            <w:vAlign w:val="center"/>
          </w:tcPr>
          <w:p w14:paraId="425FBA53" w14:textId="77777777" w:rsidR="001E38FE" w:rsidRPr="00847236" w:rsidRDefault="001E38FE" w:rsidP="00847236">
            <w:pPr>
              <w:widowControl w:val="0"/>
              <w:autoSpaceDE w:val="0"/>
              <w:autoSpaceDN w:val="0"/>
              <w:adjustRightInd w:val="0"/>
              <w:spacing w:line="240" w:lineRule="auto"/>
              <w:ind w:left="60" w:right="60"/>
              <w:jc w:val="right"/>
              <w:rPr>
                <w:rFonts w:cs="Arial"/>
                <w:color w:val="000000"/>
                <w:sz w:val="20"/>
                <w:szCs w:val="20"/>
              </w:rPr>
            </w:pPr>
            <w:r w:rsidRPr="00847236">
              <w:rPr>
                <w:rFonts w:cs="Arial"/>
                <w:color w:val="000000"/>
                <w:sz w:val="20"/>
                <w:szCs w:val="20"/>
              </w:rPr>
              <w:t>-.352</w:t>
            </w:r>
          </w:p>
        </w:tc>
        <w:tc>
          <w:tcPr>
            <w:tcW w:w="1275" w:type="dxa"/>
            <w:tcBorders>
              <w:top w:val="single" w:sz="16" w:space="0" w:color="000000"/>
              <w:bottom w:val="nil"/>
            </w:tcBorders>
            <w:shd w:val="clear" w:color="auto" w:fill="FFFFFF"/>
            <w:vAlign w:val="center"/>
          </w:tcPr>
          <w:p w14:paraId="6D7BE608" w14:textId="77777777" w:rsidR="001E38FE" w:rsidRPr="00847236" w:rsidRDefault="001E38FE" w:rsidP="00847236">
            <w:pPr>
              <w:widowControl w:val="0"/>
              <w:autoSpaceDE w:val="0"/>
              <w:autoSpaceDN w:val="0"/>
              <w:adjustRightInd w:val="0"/>
              <w:spacing w:line="240" w:lineRule="auto"/>
              <w:ind w:left="60" w:right="60"/>
              <w:jc w:val="right"/>
              <w:rPr>
                <w:rFonts w:cs="Arial"/>
                <w:color w:val="000000"/>
                <w:sz w:val="20"/>
                <w:szCs w:val="20"/>
              </w:rPr>
            </w:pPr>
            <w:r w:rsidRPr="00847236">
              <w:rPr>
                <w:rFonts w:cs="Arial"/>
                <w:color w:val="000000"/>
                <w:sz w:val="20"/>
                <w:szCs w:val="20"/>
              </w:rPr>
              <w:t>.251</w:t>
            </w:r>
          </w:p>
        </w:tc>
        <w:tc>
          <w:tcPr>
            <w:tcW w:w="5521" w:type="dxa"/>
            <w:tcBorders>
              <w:top w:val="single" w:sz="16" w:space="0" w:color="000000"/>
              <w:bottom w:val="nil"/>
            </w:tcBorders>
            <w:shd w:val="clear" w:color="auto" w:fill="FFFFFF"/>
            <w:vAlign w:val="center"/>
          </w:tcPr>
          <w:p w14:paraId="45349F9E" w14:textId="58ED711F" w:rsidR="001E38FE" w:rsidRPr="00847236" w:rsidRDefault="00847236" w:rsidP="00847236">
            <w:pPr>
              <w:widowControl w:val="0"/>
              <w:autoSpaceDE w:val="0"/>
              <w:autoSpaceDN w:val="0"/>
              <w:adjustRightInd w:val="0"/>
              <w:spacing w:line="240" w:lineRule="auto"/>
              <w:ind w:right="60"/>
              <w:rPr>
                <w:rFonts w:cs="Arial"/>
                <w:color w:val="000000"/>
                <w:sz w:val="20"/>
                <w:szCs w:val="20"/>
              </w:rPr>
            </w:pPr>
            <w:r>
              <w:rPr>
                <w:rFonts w:cs="Arial"/>
                <w:color w:val="000000"/>
                <w:sz w:val="20"/>
                <w:szCs w:val="20"/>
              </w:rPr>
              <w:t xml:space="preserve">   </w:t>
            </w:r>
            <w:r w:rsidR="001E38FE" w:rsidRPr="00847236">
              <w:rPr>
                <w:rFonts w:cs="Arial"/>
                <w:color w:val="000000"/>
                <w:sz w:val="20"/>
                <w:szCs w:val="20"/>
              </w:rPr>
              <w:t>-.851</w:t>
            </w:r>
          </w:p>
        </w:tc>
        <w:tc>
          <w:tcPr>
            <w:tcW w:w="1690" w:type="dxa"/>
            <w:tcBorders>
              <w:top w:val="single" w:sz="16" w:space="0" w:color="000000"/>
              <w:bottom w:val="nil"/>
              <w:right w:val="single" w:sz="16" w:space="0" w:color="000000"/>
            </w:tcBorders>
            <w:shd w:val="clear" w:color="auto" w:fill="FFFFFF"/>
            <w:vAlign w:val="center"/>
          </w:tcPr>
          <w:p w14:paraId="0EDC3AA8" w14:textId="77777777" w:rsidR="001E38FE" w:rsidRPr="00847236" w:rsidRDefault="001E38FE" w:rsidP="00847236">
            <w:pPr>
              <w:widowControl w:val="0"/>
              <w:autoSpaceDE w:val="0"/>
              <w:autoSpaceDN w:val="0"/>
              <w:adjustRightInd w:val="0"/>
              <w:spacing w:line="240" w:lineRule="auto"/>
              <w:ind w:left="60" w:right="60"/>
              <w:jc w:val="right"/>
              <w:rPr>
                <w:rFonts w:cs="Arial"/>
                <w:color w:val="000000"/>
                <w:sz w:val="20"/>
                <w:szCs w:val="20"/>
              </w:rPr>
            </w:pPr>
            <w:r w:rsidRPr="00847236">
              <w:rPr>
                <w:rFonts w:cs="Arial"/>
                <w:color w:val="000000"/>
                <w:sz w:val="20"/>
                <w:szCs w:val="20"/>
              </w:rPr>
              <w:t>.148</w:t>
            </w:r>
          </w:p>
        </w:tc>
      </w:tr>
      <w:tr w:rsidR="007D7536" w:rsidRPr="007B66C0" w14:paraId="0CA2A647" w14:textId="77777777" w:rsidTr="007D7536">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1EE6D683" w14:textId="77777777" w:rsidR="001E38FE" w:rsidRPr="007D7536" w:rsidRDefault="001E38FE" w:rsidP="006B027F">
            <w:pPr>
              <w:widowControl w:val="0"/>
              <w:autoSpaceDE w:val="0"/>
              <w:autoSpaceDN w:val="0"/>
              <w:adjustRightInd w:val="0"/>
              <w:spacing w:line="240" w:lineRule="auto"/>
              <w:rPr>
                <w:rFonts w:cs="Arial"/>
                <w:color w:val="000000"/>
                <w:sz w:val="16"/>
                <w:szCs w:val="16"/>
              </w:rPr>
            </w:pPr>
          </w:p>
        </w:tc>
        <w:tc>
          <w:tcPr>
            <w:tcW w:w="1529" w:type="dxa"/>
            <w:tcBorders>
              <w:top w:val="nil"/>
              <w:left w:val="nil"/>
              <w:bottom w:val="single" w:sz="16" w:space="0" w:color="000000"/>
              <w:right w:val="single" w:sz="16" w:space="0" w:color="000000"/>
            </w:tcBorders>
            <w:shd w:val="clear" w:color="auto" w:fill="FFFFFF"/>
          </w:tcPr>
          <w:p w14:paraId="18C02C9E" w14:textId="77777777" w:rsidR="001E38FE" w:rsidRPr="007D7536" w:rsidRDefault="001E38FE" w:rsidP="006B027F">
            <w:pPr>
              <w:widowControl w:val="0"/>
              <w:autoSpaceDE w:val="0"/>
              <w:autoSpaceDN w:val="0"/>
              <w:adjustRightInd w:val="0"/>
              <w:spacing w:line="240" w:lineRule="auto"/>
              <w:ind w:left="60" w:right="60"/>
              <w:rPr>
                <w:rFonts w:cs="Arial"/>
                <w:color w:val="000000"/>
                <w:sz w:val="16"/>
                <w:szCs w:val="16"/>
              </w:rPr>
            </w:pPr>
            <w:r w:rsidRPr="007D7536">
              <w:rPr>
                <w:rFonts w:cs="Arial"/>
                <w:color w:val="000000"/>
                <w:sz w:val="16"/>
                <w:szCs w:val="16"/>
              </w:rPr>
              <w:t>Equal variances not assumed</w:t>
            </w:r>
          </w:p>
        </w:tc>
        <w:tc>
          <w:tcPr>
            <w:tcW w:w="739" w:type="dxa"/>
            <w:tcBorders>
              <w:top w:val="nil"/>
              <w:left w:val="single" w:sz="16" w:space="0" w:color="000000"/>
              <w:bottom w:val="single" w:sz="16" w:space="0" w:color="000000"/>
            </w:tcBorders>
            <w:shd w:val="clear" w:color="auto" w:fill="FFFFFF"/>
            <w:vAlign w:val="center"/>
          </w:tcPr>
          <w:p w14:paraId="1F7C78C0" w14:textId="77777777" w:rsidR="001E38FE" w:rsidRPr="006B027F" w:rsidRDefault="001E38FE" w:rsidP="006B027F">
            <w:pPr>
              <w:widowControl w:val="0"/>
              <w:autoSpaceDE w:val="0"/>
              <w:autoSpaceDN w:val="0"/>
              <w:adjustRightInd w:val="0"/>
              <w:spacing w:line="240" w:lineRule="auto"/>
              <w:rPr>
                <w:rFonts w:ascii="Times New Roman" w:hAnsi="Times New Roman"/>
                <w:sz w:val="20"/>
                <w:szCs w:val="20"/>
              </w:rPr>
            </w:pPr>
          </w:p>
        </w:tc>
        <w:tc>
          <w:tcPr>
            <w:tcW w:w="851" w:type="dxa"/>
            <w:tcBorders>
              <w:top w:val="nil"/>
              <w:bottom w:val="single" w:sz="16" w:space="0" w:color="000000"/>
            </w:tcBorders>
            <w:shd w:val="clear" w:color="auto" w:fill="FFFFFF"/>
            <w:vAlign w:val="center"/>
          </w:tcPr>
          <w:p w14:paraId="05311EF1" w14:textId="77777777" w:rsidR="001E38FE" w:rsidRPr="006B027F" w:rsidRDefault="001E38FE" w:rsidP="006B027F">
            <w:pPr>
              <w:widowControl w:val="0"/>
              <w:autoSpaceDE w:val="0"/>
              <w:autoSpaceDN w:val="0"/>
              <w:adjustRightInd w:val="0"/>
              <w:spacing w:line="240" w:lineRule="auto"/>
              <w:rPr>
                <w:rFonts w:ascii="Times New Roman" w:hAnsi="Times New Roman"/>
                <w:sz w:val="20"/>
                <w:szCs w:val="20"/>
              </w:rPr>
            </w:pPr>
          </w:p>
        </w:tc>
        <w:tc>
          <w:tcPr>
            <w:tcW w:w="850" w:type="dxa"/>
            <w:tcBorders>
              <w:top w:val="nil"/>
              <w:bottom w:val="single" w:sz="16" w:space="0" w:color="000000"/>
            </w:tcBorders>
            <w:shd w:val="clear" w:color="auto" w:fill="FFFFFF"/>
            <w:vAlign w:val="center"/>
          </w:tcPr>
          <w:p w14:paraId="487CB813"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-1.470</w:t>
            </w:r>
          </w:p>
        </w:tc>
        <w:tc>
          <w:tcPr>
            <w:tcW w:w="993" w:type="dxa"/>
            <w:tcBorders>
              <w:top w:val="nil"/>
              <w:bottom w:val="single" w:sz="16" w:space="0" w:color="000000"/>
            </w:tcBorders>
            <w:shd w:val="clear" w:color="auto" w:fill="FFFFFF"/>
            <w:vAlign w:val="center"/>
          </w:tcPr>
          <w:p w14:paraId="73AE9767"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85.632</w:t>
            </w:r>
          </w:p>
        </w:tc>
        <w:tc>
          <w:tcPr>
            <w:tcW w:w="1134" w:type="dxa"/>
            <w:tcBorders>
              <w:top w:val="nil"/>
              <w:bottom w:val="single" w:sz="16" w:space="0" w:color="000000"/>
            </w:tcBorders>
            <w:shd w:val="clear" w:color="auto" w:fill="FFFFFF"/>
            <w:vAlign w:val="center"/>
          </w:tcPr>
          <w:p w14:paraId="0BF336D8"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.145</w:t>
            </w:r>
          </w:p>
        </w:tc>
        <w:tc>
          <w:tcPr>
            <w:tcW w:w="1134" w:type="dxa"/>
            <w:tcBorders>
              <w:top w:val="nil"/>
              <w:bottom w:val="single" w:sz="16" w:space="0" w:color="000000"/>
            </w:tcBorders>
            <w:shd w:val="clear" w:color="auto" w:fill="FFFFFF"/>
            <w:vAlign w:val="center"/>
          </w:tcPr>
          <w:p w14:paraId="0C8BA9A7"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-.352</w:t>
            </w:r>
          </w:p>
        </w:tc>
        <w:tc>
          <w:tcPr>
            <w:tcW w:w="1275" w:type="dxa"/>
            <w:tcBorders>
              <w:top w:val="nil"/>
              <w:bottom w:val="single" w:sz="16" w:space="0" w:color="000000"/>
            </w:tcBorders>
            <w:shd w:val="clear" w:color="auto" w:fill="FFFFFF"/>
            <w:vAlign w:val="center"/>
          </w:tcPr>
          <w:p w14:paraId="64F83373" w14:textId="77777777" w:rsidR="001E38FE" w:rsidRPr="006B027F" w:rsidRDefault="001E38FE" w:rsidP="006B027F">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.239</w:t>
            </w:r>
          </w:p>
        </w:tc>
        <w:tc>
          <w:tcPr>
            <w:tcW w:w="5521" w:type="dxa"/>
            <w:tcBorders>
              <w:top w:val="nil"/>
              <w:bottom w:val="single" w:sz="16" w:space="0" w:color="000000"/>
            </w:tcBorders>
            <w:shd w:val="clear" w:color="auto" w:fill="FFFFFF"/>
            <w:vAlign w:val="center"/>
          </w:tcPr>
          <w:p w14:paraId="20DA9D11" w14:textId="2819A594" w:rsidR="001E38FE" w:rsidRPr="006B027F" w:rsidRDefault="00847236" w:rsidP="00847236">
            <w:pPr>
              <w:widowControl w:val="0"/>
              <w:autoSpaceDE w:val="0"/>
              <w:autoSpaceDN w:val="0"/>
              <w:adjustRightInd w:val="0"/>
              <w:spacing w:line="240" w:lineRule="auto"/>
              <w:ind w:left="60" w:right="60"/>
              <w:rPr>
                <w:rFonts w:cs="Arial"/>
                <w:color w:val="000000"/>
                <w:sz w:val="20"/>
                <w:szCs w:val="20"/>
              </w:rPr>
            </w:pPr>
            <w:r>
              <w:rPr>
                <w:rFonts w:cs="Arial"/>
                <w:color w:val="000000"/>
                <w:sz w:val="20"/>
                <w:szCs w:val="20"/>
              </w:rPr>
              <w:t xml:space="preserve">   </w:t>
            </w:r>
            <w:r w:rsidR="001E38FE" w:rsidRPr="006B027F">
              <w:rPr>
                <w:rFonts w:cs="Arial"/>
                <w:color w:val="000000"/>
                <w:sz w:val="20"/>
                <w:szCs w:val="20"/>
              </w:rPr>
              <w:t>-.827</w:t>
            </w:r>
          </w:p>
        </w:tc>
        <w:tc>
          <w:tcPr>
            <w:tcW w:w="1690" w:type="dxa"/>
            <w:tcBorders>
              <w:top w:val="nil"/>
              <w:bottom w:val="single" w:sz="16" w:space="0" w:color="000000"/>
              <w:right w:val="single" w:sz="16" w:space="0" w:color="000000"/>
            </w:tcBorders>
            <w:shd w:val="clear" w:color="auto" w:fill="FFFFFF"/>
            <w:vAlign w:val="center"/>
          </w:tcPr>
          <w:p w14:paraId="7DC86A4A" w14:textId="77777777" w:rsidR="001E38FE" w:rsidRPr="006B027F" w:rsidRDefault="001E38FE" w:rsidP="00847236">
            <w:pPr>
              <w:widowControl w:val="0"/>
              <w:autoSpaceDE w:val="0"/>
              <w:autoSpaceDN w:val="0"/>
              <w:adjustRightInd w:val="0"/>
              <w:spacing w:line="240" w:lineRule="auto"/>
              <w:ind w:left="60" w:right="60"/>
              <w:jc w:val="right"/>
              <w:rPr>
                <w:rFonts w:cs="Arial"/>
                <w:color w:val="000000"/>
                <w:sz w:val="20"/>
                <w:szCs w:val="20"/>
              </w:rPr>
            </w:pPr>
            <w:r w:rsidRPr="006B027F">
              <w:rPr>
                <w:rFonts w:cs="Arial"/>
                <w:color w:val="000000"/>
                <w:sz w:val="20"/>
                <w:szCs w:val="20"/>
              </w:rPr>
              <w:t>.124</w:t>
            </w:r>
          </w:p>
        </w:tc>
      </w:tr>
    </w:tbl>
    <w:p w14:paraId="56D19BFA" w14:textId="77777777" w:rsidR="001E38FE" w:rsidRDefault="001E38FE" w:rsidP="001E38FE">
      <w:pPr>
        <w:widowControl w:val="0"/>
        <w:autoSpaceDE w:val="0"/>
        <w:autoSpaceDN w:val="0"/>
        <w:adjustRightInd w:val="0"/>
        <w:spacing w:line="400" w:lineRule="atLeast"/>
        <w:rPr>
          <w:rFonts w:ascii="Times New Roman" w:hAnsi="Times New Roman"/>
        </w:rPr>
      </w:pPr>
    </w:p>
    <w:p w14:paraId="7AF1E725" w14:textId="77777777" w:rsidR="00847236" w:rsidRDefault="00847236" w:rsidP="001E38FE">
      <w:pPr>
        <w:widowControl w:val="0"/>
        <w:autoSpaceDE w:val="0"/>
        <w:autoSpaceDN w:val="0"/>
        <w:adjustRightInd w:val="0"/>
        <w:spacing w:line="400" w:lineRule="atLeast"/>
        <w:rPr>
          <w:rFonts w:ascii="Times New Roman" w:hAnsi="Times New Roman"/>
        </w:rPr>
      </w:pPr>
    </w:p>
    <w:p w14:paraId="2D3D621D" w14:textId="77777777" w:rsidR="00847236" w:rsidRDefault="00847236" w:rsidP="001E38FE">
      <w:pPr>
        <w:widowControl w:val="0"/>
        <w:autoSpaceDE w:val="0"/>
        <w:autoSpaceDN w:val="0"/>
        <w:adjustRightInd w:val="0"/>
        <w:spacing w:line="400" w:lineRule="atLeast"/>
        <w:rPr>
          <w:rFonts w:ascii="Times New Roman" w:hAnsi="Times New Roman"/>
        </w:rPr>
      </w:pPr>
    </w:p>
    <w:p w14:paraId="26E9CD20" w14:textId="77777777" w:rsidR="00847236" w:rsidRDefault="00847236" w:rsidP="001E38FE">
      <w:pPr>
        <w:widowControl w:val="0"/>
        <w:autoSpaceDE w:val="0"/>
        <w:autoSpaceDN w:val="0"/>
        <w:adjustRightInd w:val="0"/>
        <w:spacing w:line="400" w:lineRule="atLeast"/>
        <w:rPr>
          <w:rFonts w:ascii="Times New Roman" w:hAnsi="Times New Roman"/>
        </w:rPr>
      </w:pPr>
    </w:p>
    <w:p w14:paraId="726F0F40" w14:textId="77777777" w:rsidR="00847236" w:rsidRDefault="00847236" w:rsidP="001E38FE">
      <w:pPr>
        <w:widowControl w:val="0"/>
        <w:autoSpaceDE w:val="0"/>
        <w:autoSpaceDN w:val="0"/>
        <w:adjustRightInd w:val="0"/>
        <w:spacing w:line="400" w:lineRule="atLeast"/>
        <w:rPr>
          <w:rFonts w:ascii="Times New Roman" w:hAnsi="Times New Roman"/>
        </w:rPr>
      </w:pPr>
    </w:p>
    <w:p w14:paraId="29A90728" w14:textId="77777777" w:rsidR="00847236" w:rsidRDefault="00847236" w:rsidP="001E38FE">
      <w:pPr>
        <w:widowControl w:val="0"/>
        <w:autoSpaceDE w:val="0"/>
        <w:autoSpaceDN w:val="0"/>
        <w:adjustRightInd w:val="0"/>
        <w:spacing w:line="400" w:lineRule="atLeast"/>
        <w:rPr>
          <w:rFonts w:ascii="Times New Roman" w:hAnsi="Times New Roman"/>
        </w:rPr>
      </w:pPr>
    </w:p>
    <w:p w14:paraId="54845B94" w14:textId="77777777" w:rsidR="00847236" w:rsidRDefault="00847236" w:rsidP="001E38FE">
      <w:pPr>
        <w:widowControl w:val="0"/>
        <w:autoSpaceDE w:val="0"/>
        <w:autoSpaceDN w:val="0"/>
        <w:adjustRightInd w:val="0"/>
        <w:spacing w:line="400" w:lineRule="atLeast"/>
        <w:rPr>
          <w:rFonts w:ascii="Times New Roman" w:hAnsi="Times New Roman"/>
        </w:rPr>
      </w:pPr>
    </w:p>
    <w:p w14:paraId="74BA12A1" w14:textId="77777777" w:rsidR="00847236" w:rsidRDefault="00847236" w:rsidP="001E38FE">
      <w:pPr>
        <w:widowControl w:val="0"/>
        <w:autoSpaceDE w:val="0"/>
        <w:autoSpaceDN w:val="0"/>
        <w:adjustRightInd w:val="0"/>
        <w:spacing w:line="400" w:lineRule="atLeast"/>
        <w:rPr>
          <w:rFonts w:ascii="Times New Roman" w:hAnsi="Times New Roman"/>
        </w:rPr>
      </w:pPr>
    </w:p>
    <w:p w14:paraId="2169B0D6" w14:textId="77777777" w:rsidR="00847236" w:rsidRDefault="00847236" w:rsidP="001E38FE">
      <w:pPr>
        <w:widowControl w:val="0"/>
        <w:autoSpaceDE w:val="0"/>
        <w:autoSpaceDN w:val="0"/>
        <w:adjustRightInd w:val="0"/>
        <w:spacing w:line="400" w:lineRule="atLeast"/>
        <w:rPr>
          <w:rFonts w:ascii="Times New Roman" w:hAnsi="Times New Roman"/>
        </w:rPr>
      </w:pPr>
    </w:p>
    <w:p w14:paraId="6EB1CF71" w14:textId="77777777" w:rsidR="00847236" w:rsidRDefault="00847236" w:rsidP="001E38FE">
      <w:pPr>
        <w:widowControl w:val="0"/>
        <w:autoSpaceDE w:val="0"/>
        <w:autoSpaceDN w:val="0"/>
        <w:adjustRightInd w:val="0"/>
        <w:spacing w:line="400" w:lineRule="atLeast"/>
        <w:rPr>
          <w:rFonts w:ascii="Times New Roman" w:hAnsi="Times New Roman"/>
        </w:rPr>
      </w:pPr>
    </w:p>
    <w:p w14:paraId="314A9A47" w14:textId="77777777" w:rsidR="00A9684B" w:rsidRPr="007B66C0" w:rsidRDefault="00A9684B" w:rsidP="001E38FE">
      <w:pPr>
        <w:widowControl w:val="0"/>
        <w:autoSpaceDE w:val="0"/>
        <w:autoSpaceDN w:val="0"/>
        <w:adjustRightInd w:val="0"/>
        <w:spacing w:line="400" w:lineRule="atLeast"/>
        <w:rPr>
          <w:rFonts w:ascii="Times New Roman" w:hAnsi="Times New Roman"/>
        </w:rPr>
      </w:pPr>
    </w:p>
    <w:p w14:paraId="39F21D94" w14:textId="269BCCB0" w:rsidR="006E47E2" w:rsidRDefault="00FA255A" w:rsidP="006B027F">
      <w:pPr>
        <w:pStyle w:val="Heading2"/>
      </w:pPr>
      <w:bookmarkStart w:id="512" w:name="_Toc419116246"/>
      <w:r>
        <w:lastRenderedPageBreak/>
        <w:t>Correlations: Confidence and performance</w:t>
      </w:r>
      <w:bookmarkEnd w:id="512"/>
    </w:p>
    <w:p w14:paraId="2EE68E9C" w14:textId="4E6C22E5" w:rsidR="00FA255A" w:rsidRDefault="00FA255A" w:rsidP="007000F8">
      <w:pPr>
        <w:pStyle w:val="Caption"/>
      </w:pPr>
      <w:bookmarkStart w:id="513" w:name="_Toc365579497"/>
      <w:bookmarkStart w:id="514" w:name="_Toc419116516"/>
      <w:r>
        <w:t xml:space="preserve">Table </w:t>
      </w:r>
      <w:r w:rsidR="007000F8">
        <w:fldChar w:fldCharType="begin"/>
      </w:r>
      <w:r w:rsidR="007000F8">
        <w:instrText xml:space="preserve"> STYLEREF 1 \s </w:instrText>
      </w:r>
      <w:r w:rsidR="007000F8">
        <w:fldChar w:fldCharType="separate"/>
      </w:r>
      <w:r w:rsidR="007000F8">
        <w:rPr>
          <w:noProof/>
        </w:rPr>
        <w:t>13</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4</w:t>
      </w:r>
      <w:r w:rsidR="007000F8">
        <w:fldChar w:fldCharType="end"/>
      </w:r>
      <w:r>
        <w:t xml:space="preserve"> Descriptive statistics for correlation: Performance versus overall pre-course confidence SPSS V21</w:t>
      </w:r>
      <w:bookmarkEnd w:id="513"/>
      <w:bookmarkEnd w:id="514"/>
    </w:p>
    <w:tbl>
      <w:tblPr>
        <w:tblW w:w="82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831"/>
        <w:gridCol w:w="1581"/>
        <w:gridCol w:w="2266"/>
        <w:gridCol w:w="1581"/>
        <w:gridCol w:w="7"/>
      </w:tblGrid>
      <w:tr w:rsidR="00FA255A" w:rsidRPr="0059719B" w14:paraId="534B2890" w14:textId="77777777" w:rsidTr="006B027F">
        <w:trPr>
          <w:cantSplit/>
          <w:trHeight w:val="383"/>
        </w:trPr>
        <w:tc>
          <w:tcPr>
            <w:tcW w:w="8266" w:type="dxa"/>
            <w:gridSpan w:val="5"/>
            <w:tcBorders>
              <w:top w:val="nil"/>
              <w:left w:val="nil"/>
              <w:bottom w:val="nil"/>
              <w:right w:val="nil"/>
            </w:tcBorders>
            <w:shd w:val="clear" w:color="auto" w:fill="FFFFFF"/>
            <w:vAlign w:val="center"/>
          </w:tcPr>
          <w:p w14:paraId="5DF9CD70" w14:textId="77777777" w:rsidR="00FA255A" w:rsidRPr="0059719B" w:rsidRDefault="00FA255A" w:rsidP="00FA255A">
            <w:pPr>
              <w:widowControl w:val="0"/>
              <w:autoSpaceDE w:val="0"/>
              <w:autoSpaceDN w:val="0"/>
              <w:adjustRightInd w:val="0"/>
              <w:spacing w:before="0" w:after="0" w:line="320" w:lineRule="atLeast"/>
              <w:ind w:left="60" w:right="60"/>
              <w:jc w:val="center"/>
              <w:rPr>
                <w:rFonts w:eastAsiaTheme="minorEastAsia" w:cs="Arial"/>
                <w:color w:val="000000"/>
                <w:szCs w:val="24"/>
                <w:lang w:val="en-US"/>
              </w:rPr>
            </w:pPr>
            <w:r w:rsidRPr="0059719B">
              <w:rPr>
                <w:rFonts w:eastAsiaTheme="minorEastAsia" w:cs="Arial"/>
                <w:b/>
                <w:bCs/>
                <w:color w:val="000000"/>
                <w:szCs w:val="24"/>
                <w:lang w:val="en-US"/>
              </w:rPr>
              <w:t>Descriptive Statistics</w:t>
            </w:r>
          </w:p>
        </w:tc>
      </w:tr>
      <w:tr w:rsidR="00847236" w:rsidRPr="0059719B" w14:paraId="545F0EB4" w14:textId="77777777" w:rsidTr="00847236">
        <w:trPr>
          <w:gridAfter w:val="1"/>
          <w:wAfter w:w="7" w:type="dxa"/>
          <w:cantSplit/>
          <w:trHeight w:val="769"/>
        </w:trPr>
        <w:tc>
          <w:tcPr>
            <w:tcW w:w="2831"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05600537" w14:textId="77777777" w:rsidR="00FA255A" w:rsidRPr="006B027F" w:rsidRDefault="00FA255A" w:rsidP="00FA255A">
            <w:pPr>
              <w:widowControl w:val="0"/>
              <w:autoSpaceDE w:val="0"/>
              <w:autoSpaceDN w:val="0"/>
              <w:adjustRightInd w:val="0"/>
              <w:spacing w:before="0" w:after="0" w:line="240" w:lineRule="auto"/>
              <w:rPr>
                <w:rFonts w:ascii="Times New Roman" w:eastAsiaTheme="minorEastAsia" w:hAnsi="Times New Roman"/>
                <w:sz w:val="20"/>
                <w:szCs w:val="20"/>
                <w:lang w:val="en-US"/>
              </w:rPr>
            </w:pPr>
          </w:p>
        </w:tc>
        <w:tc>
          <w:tcPr>
            <w:tcW w:w="1581" w:type="dxa"/>
            <w:tcBorders>
              <w:top w:val="single" w:sz="16" w:space="0" w:color="000000"/>
              <w:left w:val="single" w:sz="16" w:space="0" w:color="000000"/>
              <w:bottom w:val="single" w:sz="16" w:space="0" w:color="000000"/>
            </w:tcBorders>
            <w:shd w:val="clear" w:color="auto" w:fill="FFFFFF"/>
            <w:vAlign w:val="bottom"/>
          </w:tcPr>
          <w:p w14:paraId="4FB4CDD8" w14:textId="77777777" w:rsidR="00FA255A" w:rsidRPr="006B027F" w:rsidRDefault="00FA255A" w:rsidP="00FA255A">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Mean</w:t>
            </w:r>
          </w:p>
        </w:tc>
        <w:tc>
          <w:tcPr>
            <w:tcW w:w="2266" w:type="dxa"/>
            <w:tcBorders>
              <w:top w:val="single" w:sz="16" w:space="0" w:color="000000"/>
              <w:bottom w:val="single" w:sz="16" w:space="0" w:color="000000"/>
            </w:tcBorders>
            <w:shd w:val="clear" w:color="auto" w:fill="FFFFFF"/>
            <w:vAlign w:val="bottom"/>
          </w:tcPr>
          <w:p w14:paraId="6649C084" w14:textId="77777777" w:rsidR="00FA255A" w:rsidRPr="006B027F" w:rsidRDefault="00FA255A" w:rsidP="00FA255A">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Std. Deviation</w:t>
            </w:r>
          </w:p>
        </w:tc>
        <w:tc>
          <w:tcPr>
            <w:tcW w:w="1581" w:type="dxa"/>
            <w:tcBorders>
              <w:top w:val="single" w:sz="16" w:space="0" w:color="000000"/>
              <w:bottom w:val="single" w:sz="16" w:space="0" w:color="000000"/>
              <w:right w:val="single" w:sz="16" w:space="0" w:color="000000"/>
            </w:tcBorders>
            <w:shd w:val="clear" w:color="auto" w:fill="FFFFFF"/>
            <w:vAlign w:val="bottom"/>
          </w:tcPr>
          <w:p w14:paraId="366B7B1E" w14:textId="77777777" w:rsidR="00FA255A" w:rsidRPr="006B027F" w:rsidRDefault="00FA255A" w:rsidP="00FA255A">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N</w:t>
            </w:r>
          </w:p>
        </w:tc>
      </w:tr>
      <w:tr w:rsidR="00847236" w:rsidRPr="0059719B" w14:paraId="4FA13947" w14:textId="77777777" w:rsidTr="00847236">
        <w:trPr>
          <w:gridAfter w:val="1"/>
          <w:wAfter w:w="7" w:type="dxa"/>
          <w:cantSplit/>
          <w:trHeight w:val="1151"/>
        </w:trPr>
        <w:tc>
          <w:tcPr>
            <w:tcW w:w="2831" w:type="dxa"/>
            <w:tcBorders>
              <w:top w:val="single" w:sz="16" w:space="0" w:color="000000"/>
              <w:left w:val="single" w:sz="16" w:space="0" w:color="000000"/>
              <w:bottom w:val="nil"/>
              <w:right w:val="single" w:sz="16" w:space="0" w:color="000000"/>
            </w:tcBorders>
            <w:shd w:val="clear" w:color="auto" w:fill="FFFFFF"/>
          </w:tcPr>
          <w:p w14:paraId="5DC4034E" w14:textId="77777777" w:rsidR="00FA255A" w:rsidRPr="006B027F" w:rsidRDefault="00FA255A" w:rsidP="00FA255A">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6B027F">
              <w:rPr>
                <w:rFonts w:eastAsiaTheme="minorEastAsia" w:cs="Arial"/>
                <w:color w:val="000000"/>
                <w:sz w:val="20"/>
                <w:szCs w:val="20"/>
                <w:lang w:val="en-US"/>
              </w:rPr>
              <w:t>Formative assessment mark</w:t>
            </w:r>
          </w:p>
        </w:tc>
        <w:tc>
          <w:tcPr>
            <w:tcW w:w="1581" w:type="dxa"/>
            <w:tcBorders>
              <w:top w:val="single" w:sz="16" w:space="0" w:color="000000"/>
              <w:left w:val="single" w:sz="16" w:space="0" w:color="000000"/>
              <w:bottom w:val="nil"/>
            </w:tcBorders>
            <w:shd w:val="clear" w:color="auto" w:fill="FFFFFF"/>
            <w:vAlign w:val="center"/>
          </w:tcPr>
          <w:p w14:paraId="43BFA11A" w14:textId="77777777" w:rsidR="00FA255A" w:rsidRPr="006B027F" w:rsidRDefault="00FA255A" w:rsidP="006B027F">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116.93</w:t>
            </w:r>
          </w:p>
        </w:tc>
        <w:tc>
          <w:tcPr>
            <w:tcW w:w="2266" w:type="dxa"/>
            <w:tcBorders>
              <w:top w:val="single" w:sz="16" w:space="0" w:color="000000"/>
              <w:bottom w:val="nil"/>
            </w:tcBorders>
            <w:shd w:val="clear" w:color="auto" w:fill="FFFFFF"/>
            <w:vAlign w:val="center"/>
          </w:tcPr>
          <w:p w14:paraId="29942D27" w14:textId="77777777" w:rsidR="00FA255A" w:rsidRPr="006B027F" w:rsidRDefault="00FA255A" w:rsidP="006B027F">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14.291</w:t>
            </w:r>
          </w:p>
        </w:tc>
        <w:tc>
          <w:tcPr>
            <w:tcW w:w="1581" w:type="dxa"/>
            <w:tcBorders>
              <w:top w:val="single" w:sz="16" w:space="0" w:color="000000"/>
              <w:bottom w:val="nil"/>
              <w:right w:val="single" w:sz="16" w:space="0" w:color="000000"/>
            </w:tcBorders>
            <w:shd w:val="clear" w:color="auto" w:fill="FFFFFF"/>
            <w:vAlign w:val="center"/>
          </w:tcPr>
          <w:p w14:paraId="3494E851" w14:textId="77777777" w:rsidR="00FA255A" w:rsidRPr="006B027F" w:rsidRDefault="00FA255A" w:rsidP="006B027F">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94</w:t>
            </w:r>
          </w:p>
        </w:tc>
      </w:tr>
      <w:tr w:rsidR="00847236" w:rsidRPr="0059719B" w14:paraId="0B1BA953" w14:textId="77777777" w:rsidTr="00847236">
        <w:trPr>
          <w:gridAfter w:val="1"/>
          <w:wAfter w:w="7" w:type="dxa"/>
          <w:cantSplit/>
          <w:trHeight w:val="1151"/>
        </w:trPr>
        <w:tc>
          <w:tcPr>
            <w:tcW w:w="2831" w:type="dxa"/>
            <w:tcBorders>
              <w:top w:val="nil"/>
              <w:left w:val="single" w:sz="16" w:space="0" w:color="000000"/>
              <w:bottom w:val="single" w:sz="16" w:space="0" w:color="000000"/>
              <w:right w:val="single" w:sz="16" w:space="0" w:color="000000"/>
            </w:tcBorders>
            <w:shd w:val="clear" w:color="auto" w:fill="FFFFFF"/>
          </w:tcPr>
          <w:p w14:paraId="771F2810" w14:textId="582B84C5" w:rsidR="00FA255A" w:rsidRPr="006B027F" w:rsidRDefault="00FA255A" w:rsidP="00FA255A">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20 Overall confidence </w:t>
            </w:r>
            <w:r w:rsidR="001D42C9" w:rsidRPr="006B027F">
              <w:rPr>
                <w:rFonts w:eastAsiaTheme="minorEastAsia" w:cs="Arial"/>
                <w:color w:val="000000"/>
                <w:sz w:val="20"/>
                <w:szCs w:val="20"/>
                <w:lang w:val="en-US"/>
              </w:rPr>
              <w:t>Pre-course</w:t>
            </w:r>
          </w:p>
        </w:tc>
        <w:tc>
          <w:tcPr>
            <w:tcW w:w="1581" w:type="dxa"/>
            <w:tcBorders>
              <w:top w:val="nil"/>
              <w:left w:val="single" w:sz="16" w:space="0" w:color="000000"/>
              <w:bottom w:val="single" w:sz="16" w:space="0" w:color="000000"/>
            </w:tcBorders>
            <w:shd w:val="clear" w:color="auto" w:fill="FFFFFF"/>
            <w:vAlign w:val="center"/>
          </w:tcPr>
          <w:p w14:paraId="0150F4C3" w14:textId="77777777" w:rsidR="00FA255A" w:rsidRPr="006B027F" w:rsidRDefault="00FA255A" w:rsidP="006B027F">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5.74</w:t>
            </w:r>
          </w:p>
        </w:tc>
        <w:tc>
          <w:tcPr>
            <w:tcW w:w="2266" w:type="dxa"/>
            <w:tcBorders>
              <w:top w:val="nil"/>
              <w:bottom w:val="single" w:sz="16" w:space="0" w:color="000000"/>
            </w:tcBorders>
            <w:shd w:val="clear" w:color="auto" w:fill="FFFFFF"/>
            <w:vAlign w:val="center"/>
          </w:tcPr>
          <w:p w14:paraId="19CA9590" w14:textId="77777777" w:rsidR="00FA255A" w:rsidRPr="006B027F" w:rsidRDefault="00FA255A" w:rsidP="006B027F">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1.191</w:t>
            </w:r>
          </w:p>
        </w:tc>
        <w:tc>
          <w:tcPr>
            <w:tcW w:w="1581" w:type="dxa"/>
            <w:tcBorders>
              <w:top w:val="nil"/>
              <w:bottom w:val="single" w:sz="16" w:space="0" w:color="000000"/>
              <w:right w:val="single" w:sz="16" w:space="0" w:color="000000"/>
            </w:tcBorders>
            <w:shd w:val="clear" w:color="auto" w:fill="FFFFFF"/>
            <w:vAlign w:val="center"/>
          </w:tcPr>
          <w:p w14:paraId="0BD87C0D" w14:textId="77777777" w:rsidR="00FA255A" w:rsidRPr="006B027F" w:rsidRDefault="00FA255A" w:rsidP="006B027F">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94</w:t>
            </w:r>
          </w:p>
        </w:tc>
      </w:tr>
    </w:tbl>
    <w:p w14:paraId="19142299" w14:textId="0DF79978" w:rsidR="00FA255A" w:rsidRDefault="00FA255A" w:rsidP="007000F8">
      <w:pPr>
        <w:pStyle w:val="Caption"/>
      </w:pPr>
      <w:bookmarkStart w:id="515" w:name="_Toc365579498"/>
      <w:bookmarkStart w:id="516" w:name="_Toc419116517"/>
      <w:r>
        <w:t xml:space="preserve">Table </w:t>
      </w:r>
      <w:r w:rsidR="007000F8">
        <w:fldChar w:fldCharType="begin"/>
      </w:r>
      <w:r w:rsidR="007000F8">
        <w:instrText xml:space="preserve"> STYLEREF 1 \s </w:instrText>
      </w:r>
      <w:r w:rsidR="007000F8">
        <w:fldChar w:fldCharType="separate"/>
      </w:r>
      <w:r w:rsidR="007000F8">
        <w:rPr>
          <w:noProof/>
        </w:rPr>
        <w:t>13</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5</w:t>
      </w:r>
      <w:r w:rsidR="007000F8">
        <w:fldChar w:fldCharType="end"/>
      </w:r>
      <w:r>
        <w:t xml:space="preserve"> Pearson correlation coefficient SPSS output: One-tailed</w:t>
      </w:r>
      <w:bookmarkEnd w:id="515"/>
      <w:bookmarkEnd w:id="516"/>
    </w:p>
    <w:tbl>
      <w:tblPr>
        <w:tblW w:w="82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304"/>
        <w:gridCol w:w="2304"/>
        <w:gridCol w:w="1842"/>
        <w:gridCol w:w="1842"/>
      </w:tblGrid>
      <w:tr w:rsidR="00FA255A" w:rsidRPr="0059719B" w14:paraId="2BFA89B1" w14:textId="77777777" w:rsidTr="006B027F">
        <w:trPr>
          <w:cantSplit/>
          <w:trHeight w:val="337"/>
        </w:trPr>
        <w:tc>
          <w:tcPr>
            <w:tcW w:w="8292" w:type="dxa"/>
            <w:gridSpan w:val="4"/>
            <w:tcBorders>
              <w:top w:val="nil"/>
              <w:left w:val="nil"/>
              <w:bottom w:val="nil"/>
              <w:right w:val="nil"/>
            </w:tcBorders>
            <w:shd w:val="clear" w:color="auto" w:fill="FFFFFF"/>
            <w:vAlign w:val="center"/>
          </w:tcPr>
          <w:p w14:paraId="347FF584" w14:textId="77777777" w:rsidR="00FA255A" w:rsidRPr="0059719B" w:rsidRDefault="00FA255A" w:rsidP="00FA255A">
            <w:pPr>
              <w:widowControl w:val="0"/>
              <w:autoSpaceDE w:val="0"/>
              <w:autoSpaceDN w:val="0"/>
              <w:adjustRightInd w:val="0"/>
              <w:spacing w:before="0" w:after="0" w:line="320" w:lineRule="atLeast"/>
              <w:ind w:left="60" w:right="60"/>
              <w:jc w:val="center"/>
              <w:rPr>
                <w:rFonts w:eastAsiaTheme="minorEastAsia" w:cs="Arial"/>
                <w:color w:val="000000"/>
                <w:szCs w:val="24"/>
                <w:lang w:val="en-US"/>
              </w:rPr>
            </w:pPr>
            <w:r w:rsidRPr="0059719B">
              <w:rPr>
                <w:rFonts w:eastAsiaTheme="minorEastAsia" w:cs="Arial"/>
                <w:b/>
                <w:bCs/>
                <w:color w:val="000000"/>
                <w:szCs w:val="24"/>
                <w:lang w:val="en-US"/>
              </w:rPr>
              <w:t>Correlations</w:t>
            </w:r>
          </w:p>
        </w:tc>
      </w:tr>
      <w:tr w:rsidR="00FA255A" w:rsidRPr="0059719B" w14:paraId="79D90ED0" w14:textId="77777777" w:rsidTr="006B027F">
        <w:trPr>
          <w:cantSplit/>
          <w:trHeight w:val="1012"/>
        </w:trPr>
        <w:tc>
          <w:tcPr>
            <w:tcW w:w="4608" w:type="dxa"/>
            <w:gridSpan w:val="2"/>
            <w:tcBorders>
              <w:top w:val="single" w:sz="16" w:space="0" w:color="000000"/>
              <w:left w:val="single" w:sz="16" w:space="0" w:color="000000"/>
              <w:bottom w:val="single" w:sz="16" w:space="0" w:color="000000"/>
              <w:right w:val="nil"/>
            </w:tcBorders>
            <w:shd w:val="clear" w:color="auto" w:fill="FFFFFF"/>
            <w:vAlign w:val="bottom"/>
          </w:tcPr>
          <w:p w14:paraId="458122BE" w14:textId="77777777" w:rsidR="00FA255A" w:rsidRPr="006B027F" w:rsidRDefault="00FA255A" w:rsidP="00847236">
            <w:pPr>
              <w:widowControl w:val="0"/>
              <w:autoSpaceDE w:val="0"/>
              <w:autoSpaceDN w:val="0"/>
              <w:adjustRightInd w:val="0"/>
              <w:spacing w:before="0" w:after="0" w:line="240" w:lineRule="auto"/>
              <w:rPr>
                <w:rFonts w:ascii="Times New Roman" w:eastAsiaTheme="minorEastAsia" w:hAnsi="Times New Roman"/>
                <w:sz w:val="20"/>
                <w:szCs w:val="20"/>
                <w:lang w:val="en-US"/>
              </w:rPr>
            </w:pPr>
          </w:p>
        </w:tc>
        <w:tc>
          <w:tcPr>
            <w:tcW w:w="1842" w:type="dxa"/>
            <w:tcBorders>
              <w:top w:val="single" w:sz="16" w:space="0" w:color="000000"/>
              <w:left w:val="single" w:sz="16" w:space="0" w:color="000000"/>
              <w:bottom w:val="single" w:sz="16" w:space="0" w:color="000000"/>
            </w:tcBorders>
            <w:shd w:val="clear" w:color="auto" w:fill="FFFFFF"/>
            <w:vAlign w:val="bottom"/>
          </w:tcPr>
          <w:p w14:paraId="061EABE4"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Formative assessment mark</w:t>
            </w:r>
          </w:p>
        </w:tc>
        <w:tc>
          <w:tcPr>
            <w:tcW w:w="1842" w:type="dxa"/>
            <w:tcBorders>
              <w:top w:val="single" w:sz="16" w:space="0" w:color="000000"/>
              <w:bottom w:val="single" w:sz="16" w:space="0" w:color="000000"/>
              <w:right w:val="single" w:sz="16" w:space="0" w:color="000000"/>
            </w:tcBorders>
            <w:shd w:val="clear" w:color="auto" w:fill="FFFFFF"/>
            <w:vAlign w:val="bottom"/>
          </w:tcPr>
          <w:p w14:paraId="61B50DA3" w14:textId="1B20AE7A"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 xml:space="preserve">20 Overall confidence </w:t>
            </w:r>
            <w:r w:rsidR="001D42C9" w:rsidRPr="006B027F">
              <w:rPr>
                <w:rFonts w:eastAsiaTheme="minorEastAsia" w:cs="Arial"/>
                <w:color w:val="000000"/>
                <w:sz w:val="20"/>
                <w:szCs w:val="20"/>
                <w:lang w:val="en-US"/>
              </w:rPr>
              <w:t>Pre-course</w:t>
            </w:r>
          </w:p>
        </w:tc>
      </w:tr>
      <w:tr w:rsidR="00847236" w:rsidRPr="0059719B" w14:paraId="58CD16D0" w14:textId="77777777" w:rsidTr="00847236">
        <w:trPr>
          <w:cantSplit/>
          <w:trHeight w:val="1012"/>
        </w:trPr>
        <w:tc>
          <w:tcPr>
            <w:tcW w:w="2304" w:type="dxa"/>
            <w:vMerge w:val="restart"/>
            <w:tcBorders>
              <w:top w:val="single" w:sz="16" w:space="0" w:color="000000"/>
              <w:left w:val="single" w:sz="16" w:space="0" w:color="000000"/>
              <w:right w:val="nil"/>
            </w:tcBorders>
            <w:shd w:val="clear" w:color="auto" w:fill="FFFFFF"/>
          </w:tcPr>
          <w:p w14:paraId="171A3149" w14:textId="77777777" w:rsidR="00FA255A" w:rsidRPr="006B027F" w:rsidRDefault="00FA255A"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Pearson Correlation</w:t>
            </w:r>
          </w:p>
        </w:tc>
        <w:tc>
          <w:tcPr>
            <w:tcW w:w="2304" w:type="dxa"/>
            <w:tcBorders>
              <w:top w:val="single" w:sz="16" w:space="0" w:color="000000"/>
              <w:left w:val="nil"/>
              <w:bottom w:val="nil"/>
              <w:right w:val="single" w:sz="16" w:space="0" w:color="000000"/>
            </w:tcBorders>
            <w:shd w:val="clear" w:color="auto" w:fill="FFFFFF"/>
          </w:tcPr>
          <w:p w14:paraId="62E16A66" w14:textId="77777777" w:rsidR="00FA255A" w:rsidRPr="006B027F" w:rsidRDefault="00FA255A"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Formative assessment mark</w:t>
            </w:r>
          </w:p>
        </w:tc>
        <w:tc>
          <w:tcPr>
            <w:tcW w:w="1842" w:type="dxa"/>
            <w:tcBorders>
              <w:top w:val="single" w:sz="16" w:space="0" w:color="000000"/>
              <w:left w:val="single" w:sz="16" w:space="0" w:color="000000"/>
              <w:bottom w:val="nil"/>
            </w:tcBorders>
            <w:shd w:val="clear" w:color="auto" w:fill="FFFFFF"/>
            <w:vAlign w:val="center"/>
          </w:tcPr>
          <w:p w14:paraId="7CBBC3B0"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1.000</w:t>
            </w:r>
          </w:p>
        </w:tc>
        <w:tc>
          <w:tcPr>
            <w:tcW w:w="1842" w:type="dxa"/>
            <w:tcBorders>
              <w:top w:val="single" w:sz="16" w:space="0" w:color="000000"/>
              <w:bottom w:val="nil"/>
              <w:right w:val="single" w:sz="16" w:space="0" w:color="000000"/>
            </w:tcBorders>
            <w:shd w:val="clear" w:color="auto" w:fill="FFFFFF"/>
            <w:vAlign w:val="center"/>
          </w:tcPr>
          <w:p w14:paraId="4A4F21B6"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.048</w:t>
            </w:r>
          </w:p>
        </w:tc>
      </w:tr>
      <w:tr w:rsidR="00847236" w:rsidRPr="0059719B" w14:paraId="6748417E" w14:textId="77777777" w:rsidTr="00847236">
        <w:trPr>
          <w:cantSplit/>
          <w:trHeight w:val="153"/>
        </w:trPr>
        <w:tc>
          <w:tcPr>
            <w:tcW w:w="2304" w:type="dxa"/>
            <w:vMerge/>
            <w:tcBorders>
              <w:top w:val="single" w:sz="16" w:space="0" w:color="000000"/>
              <w:left w:val="single" w:sz="16" w:space="0" w:color="000000"/>
              <w:right w:val="nil"/>
            </w:tcBorders>
            <w:shd w:val="clear" w:color="auto" w:fill="FFFFFF"/>
          </w:tcPr>
          <w:p w14:paraId="4EF0FF48" w14:textId="77777777" w:rsidR="00FA255A" w:rsidRPr="006B027F" w:rsidRDefault="00FA255A">
            <w:pPr>
              <w:widowControl w:val="0"/>
              <w:autoSpaceDE w:val="0"/>
              <w:autoSpaceDN w:val="0"/>
              <w:adjustRightInd w:val="0"/>
              <w:spacing w:before="0" w:after="0" w:line="240" w:lineRule="auto"/>
              <w:rPr>
                <w:rFonts w:eastAsiaTheme="minorEastAsia" w:cs="Arial"/>
                <w:color w:val="000000"/>
                <w:sz w:val="20"/>
                <w:szCs w:val="20"/>
                <w:lang w:val="en-US"/>
              </w:rPr>
            </w:pPr>
          </w:p>
        </w:tc>
        <w:tc>
          <w:tcPr>
            <w:tcW w:w="2304" w:type="dxa"/>
            <w:tcBorders>
              <w:top w:val="nil"/>
              <w:left w:val="nil"/>
              <w:right w:val="single" w:sz="16" w:space="0" w:color="000000"/>
            </w:tcBorders>
            <w:shd w:val="clear" w:color="auto" w:fill="FFFFFF"/>
          </w:tcPr>
          <w:p w14:paraId="0E7E3F35" w14:textId="4FD24713" w:rsidR="00FA255A" w:rsidRPr="006B027F" w:rsidRDefault="00FA255A"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20 Overall confidence </w:t>
            </w:r>
            <w:r w:rsidR="001D42C9" w:rsidRPr="006B027F">
              <w:rPr>
                <w:rFonts w:eastAsiaTheme="minorEastAsia" w:cs="Arial"/>
                <w:color w:val="000000"/>
                <w:sz w:val="20"/>
                <w:szCs w:val="20"/>
                <w:lang w:val="en-US"/>
              </w:rPr>
              <w:t>Pre-course</w:t>
            </w:r>
          </w:p>
        </w:tc>
        <w:tc>
          <w:tcPr>
            <w:tcW w:w="1842" w:type="dxa"/>
            <w:tcBorders>
              <w:top w:val="nil"/>
              <w:left w:val="single" w:sz="16" w:space="0" w:color="000000"/>
            </w:tcBorders>
            <w:shd w:val="clear" w:color="auto" w:fill="FFFFFF"/>
            <w:vAlign w:val="center"/>
          </w:tcPr>
          <w:p w14:paraId="1C4B83C3"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.048</w:t>
            </w:r>
          </w:p>
        </w:tc>
        <w:tc>
          <w:tcPr>
            <w:tcW w:w="1842" w:type="dxa"/>
            <w:tcBorders>
              <w:top w:val="nil"/>
              <w:right w:val="single" w:sz="16" w:space="0" w:color="000000"/>
            </w:tcBorders>
            <w:shd w:val="clear" w:color="auto" w:fill="FFFFFF"/>
            <w:vAlign w:val="center"/>
          </w:tcPr>
          <w:p w14:paraId="180A8976"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1.000</w:t>
            </w:r>
          </w:p>
        </w:tc>
      </w:tr>
      <w:tr w:rsidR="00847236" w:rsidRPr="0059719B" w14:paraId="414637D2" w14:textId="77777777" w:rsidTr="00847236">
        <w:trPr>
          <w:cantSplit/>
          <w:trHeight w:val="1012"/>
        </w:trPr>
        <w:tc>
          <w:tcPr>
            <w:tcW w:w="2304" w:type="dxa"/>
            <w:vMerge w:val="restart"/>
            <w:tcBorders>
              <w:top w:val="nil"/>
              <w:left w:val="single" w:sz="16" w:space="0" w:color="000000"/>
              <w:right w:val="nil"/>
            </w:tcBorders>
            <w:shd w:val="clear" w:color="auto" w:fill="FFFFFF"/>
          </w:tcPr>
          <w:p w14:paraId="5A055F81" w14:textId="77777777" w:rsidR="00FA255A" w:rsidRPr="006B027F" w:rsidRDefault="00FA255A"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Sig. (1-tailed)</w:t>
            </w:r>
          </w:p>
        </w:tc>
        <w:tc>
          <w:tcPr>
            <w:tcW w:w="2304" w:type="dxa"/>
            <w:tcBorders>
              <w:top w:val="nil"/>
              <w:left w:val="nil"/>
              <w:bottom w:val="nil"/>
              <w:right w:val="single" w:sz="16" w:space="0" w:color="000000"/>
            </w:tcBorders>
            <w:shd w:val="clear" w:color="auto" w:fill="FFFFFF"/>
          </w:tcPr>
          <w:p w14:paraId="1B2DC4D0" w14:textId="77777777" w:rsidR="00FA255A" w:rsidRPr="006B027F" w:rsidRDefault="00FA255A"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Formative assessment mark</w:t>
            </w:r>
          </w:p>
        </w:tc>
        <w:tc>
          <w:tcPr>
            <w:tcW w:w="1842" w:type="dxa"/>
            <w:tcBorders>
              <w:top w:val="nil"/>
              <w:left w:val="single" w:sz="16" w:space="0" w:color="000000"/>
              <w:bottom w:val="nil"/>
            </w:tcBorders>
            <w:shd w:val="clear" w:color="auto" w:fill="FFFFFF"/>
            <w:vAlign w:val="center"/>
          </w:tcPr>
          <w:p w14:paraId="45E41716"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w:t>
            </w:r>
          </w:p>
        </w:tc>
        <w:tc>
          <w:tcPr>
            <w:tcW w:w="1842" w:type="dxa"/>
            <w:tcBorders>
              <w:top w:val="nil"/>
              <w:bottom w:val="nil"/>
              <w:right w:val="single" w:sz="16" w:space="0" w:color="000000"/>
            </w:tcBorders>
            <w:shd w:val="clear" w:color="auto" w:fill="FFFFFF"/>
            <w:vAlign w:val="center"/>
          </w:tcPr>
          <w:p w14:paraId="5A567152"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.325</w:t>
            </w:r>
          </w:p>
        </w:tc>
      </w:tr>
      <w:tr w:rsidR="00847236" w:rsidRPr="0059719B" w14:paraId="6BD44D12" w14:textId="77777777" w:rsidTr="00847236">
        <w:trPr>
          <w:cantSplit/>
          <w:trHeight w:val="153"/>
        </w:trPr>
        <w:tc>
          <w:tcPr>
            <w:tcW w:w="2304" w:type="dxa"/>
            <w:vMerge/>
            <w:tcBorders>
              <w:top w:val="nil"/>
              <w:left w:val="single" w:sz="16" w:space="0" w:color="000000"/>
              <w:right w:val="nil"/>
            </w:tcBorders>
            <w:shd w:val="clear" w:color="auto" w:fill="FFFFFF"/>
          </w:tcPr>
          <w:p w14:paraId="3DD855BF" w14:textId="77777777" w:rsidR="00FA255A" w:rsidRPr="006B027F" w:rsidRDefault="00FA255A">
            <w:pPr>
              <w:widowControl w:val="0"/>
              <w:autoSpaceDE w:val="0"/>
              <w:autoSpaceDN w:val="0"/>
              <w:adjustRightInd w:val="0"/>
              <w:spacing w:before="0" w:after="0" w:line="240" w:lineRule="auto"/>
              <w:rPr>
                <w:rFonts w:eastAsiaTheme="minorEastAsia" w:cs="Arial"/>
                <w:color w:val="000000"/>
                <w:sz w:val="20"/>
                <w:szCs w:val="20"/>
                <w:lang w:val="en-US"/>
              </w:rPr>
            </w:pPr>
          </w:p>
        </w:tc>
        <w:tc>
          <w:tcPr>
            <w:tcW w:w="2304" w:type="dxa"/>
            <w:tcBorders>
              <w:top w:val="nil"/>
              <w:left w:val="nil"/>
              <w:right w:val="single" w:sz="16" w:space="0" w:color="000000"/>
            </w:tcBorders>
            <w:shd w:val="clear" w:color="auto" w:fill="FFFFFF"/>
          </w:tcPr>
          <w:p w14:paraId="2F5E4DCA" w14:textId="50FD8C0D" w:rsidR="00FA255A" w:rsidRPr="006B027F" w:rsidRDefault="00FA255A"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20 Overall confidence </w:t>
            </w:r>
            <w:r w:rsidR="001D42C9" w:rsidRPr="006B027F">
              <w:rPr>
                <w:rFonts w:eastAsiaTheme="minorEastAsia" w:cs="Arial"/>
                <w:color w:val="000000"/>
                <w:sz w:val="20"/>
                <w:szCs w:val="20"/>
                <w:lang w:val="en-US"/>
              </w:rPr>
              <w:t>Pre-course</w:t>
            </w:r>
          </w:p>
        </w:tc>
        <w:tc>
          <w:tcPr>
            <w:tcW w:w="1842" w:type="dxa"/>
            <w:tcBorders>
              <w:top w:val="nil"/>
              <w:left w:val="single" w:sz="16" w:space="0" w:color="000000"/>
            </w:tcBorders>
            <w:shd w:val="clear" w:color="auto" w:fill="FFFFFF"/>
            <w:vAlign w:val="center"/>
          </w:tcPr>
          <w:p w14:paraId="4FDB0A36"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.325</w:t>
            </w:r>
          </w:p>
        </w:tc>
        <w:tc>
          <w:tcPr>
            <w:tcW w:w="1842" w:type="dxa"/>
            <w:tcBorders>
              <w:top w:val="nil"/>
              <w:right w:val="single" w:sz="16" w:space="0" w:color="000000"/>
            </w:tcBorders>
            <w:shd w:val="clear" w:color="auto" w:fill="FFFFFF"/>
            <w:vAlign w:val="center"/>
          </w:tcPr>
          <w:p w14:paraId="21238C91"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w:t>
            </w:r>
          </w:p>
        </w:tc>
      </w:tr>
      <w:tr w:rsidR="00847236" w:rsidRPr="0059719B" w14:paraId="6FBBC0A9" w14:textId="77777777" w:rsidTr="00847236">
        <w:trPr>
          <w:cantSplit/>
          <w:trHeight w:val="1012"/>
        </w:trPr>
        <w:tc>
          <w:tcPr>
            <w:tcW w:w="2304" w:type="dxa"/>
            <w:vMerge w:val="restart"/>
            <w:tcBorders>
              <w:top w:val="nil"/>
              <w:left w:val="single" w:sz="16" w:space="0" w:color="000000"/>
              <w:bottom w:val="single" w:sz="16" w:space="0" w:color="000000"/>
              <w:right w:val="nil"/>
            </w:tcBorders>
            <w:shd w:val="clear" w:color="auto" w:fill="FFFFFF"/>
          </w:tcPr>
          <w:p w14:paraId="4A9DA6CC" w14:textId="77777777" w:rsidR="00FA255A" w:rsidRPr="006B027F" w:rsidRDefault="00FA255A"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N</w:t>
            </w:r>
          </w:p>
        </w:tc>
        <w:tc>
          <w:tcPr>
            <w:tcW w:w="2304" w:type="dxa"/>
            <w:tcBorders>
              <w:top w:val="nil"/>
              <w:left w:val="nil"/>
              <w:bottom w:val="nil"/>
              <w:right w:val="single" w:sz="16" w:space="0" w:color="000000"/>
            </w:tcBorders>
            <w:shd w:val="clear" w:color="auto" w:fill="FFFFFF"/>
          </w:tcPr>
          <w:p w14:paraId="1D14B24F" w14:textId="77777777" w:rsidR="00FA255A" w:rsidRPr="006B027F" w:rsidRDefault="00FA255A"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Formative assessment mark</w:t>
            </w:r>
          </w:p>
        </w:tc>
        <w:tc>
          <w:tcPr>
            <w:tcW w:w="1842" w:type="dxa"/>
            <w:tcBorders>
              <w:top w:val="nil"/>
              <w:left w:val="single" w:sz="16" w:space="0" w:color="000000"/>
              <w:bottom w:val="nil"/>
            </w:tcBorders>
            <w:shd w:val="clear" w:color="auto" w:fill="FFFFFF"/>
            <w:vAlign w:val="center"/>
          </w:tcPr>
          <w:p w14:paraId="3E093E24"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94</w:t>
            </w:r>
          </w:p>
        </w:tc>
        <w:tc>
          <w:tcPr>
            <w:tcW w:w="1842" w:type="dxa"/>
            <w:tcBorders>
              <w:top w:val="nil"/>
              <w:bottom w:val="nil"/>
              <w:right w:val="single" w:sz="16" w:space="0" w:color="000000"/>
            </w:tcBorders>
            <w:shd w:val="clear" w:color="auto" w:fill="FFFFFF"/>
            <w:vAlign w:val="center"/>
          </w:tcPr>
          <w:p w14:paraId="03A1C2D3"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94</w:t>
            </w:r>
          </w:p>
        </w:tc>
      </w:tr>
      <w:tr w:rsidR="00847236" w:rsidRPr="0059719B" w14:paraId="15BC7F13" w14:textId="77777777" w:rsidTr="00847236">
        <w:trPr>
          <w:cantSplit/>
          <w:trHeight w:val="153"/>
        </w:trPr>
        <w:tc>
          <w:tcPr>
            <w:tcW w:w="2304" w:type="dxa"/>
            <w:vMerge/>
            <w:tcBorders>
              <w:top w:val="nil"/>
              <w:left w:val="single" w:sz="16" w:space="0" w:color="000000"/>
              <w:bottom w:val="single" w:sz="16" w:space="0" w:color="000000"/>
              <w:right w:val="nil"/>
            </w:tcBorders>
            <w:shd w:val="clear" w:color="auto" w:fill="FFFFFF"/>
          </w:tcPr>
          <w:p w14:paraId="10DB1373" w14:textId="77777777" w:rsidR="00FA255A" w:rsidRPr="006B027F" w:rsidRDefault="00FA255A">
            <w:pPr>
              <w:widowControl w:val="0"/>
              <w:autoSpaceDE w:val="0"/>
              <w:autoSpaceDN w:val="0"/>
              <w:adjustRightInd w:val="0"/>
              <w:spacing w:before="0" w:after="0" w:line="240" w:lineRule="auto"/>
              <w:rPr>
                <w:rFonts w:eastAsiaTheme="minorEastAsia" w:cs="Arial"/>
                <w:color w:val="000000"/>
                <w:sz w:val="20"/>
                <w:szCs w:val="20"/>
                <w:lang w:val="en-US"/>
              </w:rPr>
            </w:pPr>
          </w:p>
        </w:tc>
        <w:tc>
          <w:tcPr>
            <w:tcW w:w="2304" w:type="dxa"/>
            <w:tcBorders>
              <w:top w:val="nil"/>
              <w:left w:val="nil"/>
              <w:bottom w:val="single" w:sz="16" w:space="0" w:color="000000"/>
              <w:right w:val="single" w:sz="16" w:space="0" w:color="000000"/>
            </w:tcBorders>
            <w:shd w:val="clear" w:color="auto" w:fill="FFFFFF"/>
          </w:tcPr>
          <w:p w14:paraId="3F85E696" w14:textId="29F2BAFF" w:rsidR="00FA255A" w:rsidRPr="006B027F" w:rsidRDefault="00FA255A" w:rsidP="006B027F">
            <w:pPr>
              <w:widowControl w:val="0"/>
              <w:autoSpaceDE w:val="0"/>
              <w:autoSpaceDN w:val="0"/>
              <w:adjustRightInd w:val="0"/>
              <w:spacing w:before="0" w:after="0" w:line="240" w:lineRule="auto"/>
              <w:ind w:left="60" w:right="60"/>
              <w:rPr>
                <w:rFonts w:eastAsiaTheme="minorEastAsia" w:cs="Arial"/>
                <w:color w:val="000000"/>
                <w:sz w:val="20"/>
                <w:szCs w:val="20"/>
                <w:lang w:val="en-US"/>
              </w:rPr>
            </w:pPr>
            <w:r w:rsidRPr="006B027F">
              <w:rPr>
                <w:rFonts w:eastAsiaTheme="minorEastAsia" w:cs="Arial"/>
                <w:color w:val="000000"/>
                <w:sz w:val="20"/>
                <w:szCs w:val="20"/>
                <w:lang w:val="en-US"/>
              </w:rPr>
              <w:t xml:space="preserve">20 Overall confidence </w:t>
            </w:r>
            <w:r w:rsidR="001D42C9" w:rsidRPr="006B027F">
              <w:rPr>
                <w:rFonts w:eastAsiaTheme="minorEastAsia" w:cs="Arial"/>
                <w:color w:val="000000"/>
                <w:sz w:val="20"/>
                <w:szCs w:val="20"/>
                <w:lang w:val="en-US"/>
              </w:rPr>
              <w:t>Pre-course</w:t>
            </w:r>
          </w:p>
        </w:tc>
        <w:tc>
          <w:tcPr>
            <w:tcW w:w="1842" w:type="dxa"/>
            <w:tcBorders>
              <w:top w:val="nil"/>
              <w:left w:val="single" w:sz="16" w:space="0" w:color="000000"/>
              <w:bottom w:val="single" w:sz="16" w:space="0" w:color="000000"/>
            </w:tcBorders>
            <w:shd w:val="clear" w:color="auto" w:fill="FFFFFF"/>
            <w:vAlign w:val="center"/>
          </w:tcPr>
          <w:p w14:paraId="0EEBF118"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94</w:t>
            </w:r>
          </w:p>
        </w:tc>
        <w:tc>
          <w:tcPr>
            <w:tcW w:w="1842" w:type="dxa"/>
            <w:tcBorders>
              <w:top w:val="nil"/>
              <w:bottom w:val="single" w:sz="16" w:space="0" w:color="000000"/>
              <w:right w:val="single" w:sz="16" w:space="0" w:color="000000"/>
            </w:tcBorders>
            <w:shd w:val="clear" w:color="auto" w:fill="FFFFFF"/>
            <w:vAlign w:val="center"/>
          </w:tcPr>
          <w:p w14:paraId="0C8CEF14" w14:textId="77777777" w:rsidR="00FA255A" w:rsidRPr="006B027F" w:rsidRDefault="00FA255A" w:rsidP="006B027F">
            <w:pPr>
              <w:widowControl w:val="0"/>
              <w:autoSpaceDE w:val="0"/>
              <w:autoSpaceDN w:val="0"/>
              <w:adjustRightInd w:val="0"/>
              <w:spacing w:before="0" w:after="0" w:line="240" w:lineRule="auto"/>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94</w:t>
            </w:r>
          </w:p>
        </w:tc>
      </w:tr>
    </w:tbl>
    <w:p w14:paraId="60892082" w14:textId="77777777" w:rsidR="00FA255A" w:rsidRDefault="00FA255A" w:rsidP="003E116C"/>
    <w:p w14:paraId="440BB307" w14:textId="77777777" w:rsidR="00847236" w:rsidRDefault="00847236" w:rsidP="003E116C"/>
    <w:p w14:paraId="2CC44B8D" w14:textId="1A2C94E0" w:rsidR="00B11165" w:rsidRDefault="00B11165" w:rsidP="007000F8">
      <w:pPr>
        <w:pStyle w:val="Caption"/>
      </w:pPr>
      <w:bookmarkStart w:id="517" w:name="_Toc365579499"/>
      <w:bookmarkStart w:id="518" w:name="_Toc419116518"/>
      <w:r>
        <w:lastRenderedPageBreak/>
        <w:t xml:space="preserve">Table </w:t>
      </w:r>
      <w:r w:rsidR="007000F8">
        <w:fldChar w:fldCharType="begin"/>
      </w:r>
      <w:r w:rsidR="007000F8">
        <w:instrText xml:space="preserve"> STYLEREF 1 \s </w:instrText>
      </w:r>
      <w:r w:rsidR="007000F8">
        <w:fldChar w:fldCharType="separate"/>
      </w:r>
      <w:r w:rsidR="007000F8">
        <w:rPr>
          <w:noProof/>
        </w:rPr>
        <w:t>13</w:t>
      </w:r>
      <w:r w:rsidR="007000F8">
        <w:fldChar w:fldCharType="end"/>
      </w:r>
      <w:r w:rsidR="007000F8">
        <w:noBreakHyphen/>
      </w:r>
      <w:r w:rsidR="007000F8">
        <w:fldChar w:fldCharType="begin"/>
      </w:r>
      <w:r w:rsidR="007000F8">
        <w:instrText xml:space="preserve"> SEQ Table \* ARABIC \s 1 </w:instrText>
      </w:r>
      <w:r w:rsidR="007000F8">
        <w:fldChar w:fldCharType="separate"/>
      </w:r>
      <w:r w:rsidR="007000F8">
        <w:rPr>
          <w:noProof/>
        </w:rPr>
        <w:t>6</w:t>
      </w:r>
      <w:r w:rsidR="007000F8">
        <w:fldChar w:fldCharType="end"/>
      </w:r>
      <w:r>
        <w:t xml:space="preserve"> Regression model summary</w:t>
      </w:r>
      <w:bookmarkEnd w:id="517"/>
      <w:bookmarkEnd w:id="518"/>
    </w:p>
    <w:tbl>
      <w:tblPr>
        <w:tblW w:w="84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88"/>
        <w:gridCol w:w="1473"/>
        <w:gridCol w:w="1563"/>
        <w:gridCol w:w="2114"/>
        <w:gridCol w:w="2114"/>
      </w:tblGrid>
      <w:tr w:rsidR="00B11165" w:rsidRPr="0059719B" w14:paraId="0704F68D" w14:textId="77777777" w:rsidTr="006B027F">
        <w:trPr>
          <w:cantSplit/>
          <w:trHeight w:val="445"/>
        </w:trPr>
        <w:tc>
          <w:tcPr>
            <w:tcW w:w="8450" w:type="dxa"/>
            <w:gridSpan w:val="5"/>
            <w:tcBorders>
              <w:top w:val="nil"/>
              <w:left w:val="nil"/>
              <w:bottom w:val="nil"/>
              <w:right w:val="nil"/>
            </w:tcBorders>
            <w:shd w:val="clear" w:color="auto" w:fill="FFFFFF"/>
            <w:vAlign w:val="center"/>
          </w:tcPr>
          <w:p w14:paraId="01933280" w14:textId="77777777" w:rsidR="00B11165" w:rsidRPr="0059719B" w:rsidRDefault="00B11165" w:rsidP="00B11165">
            <w:pPr>
              <w:widowControl w:val="0"/>
              <w:autoSpaceDE w:val="0"/>
              <w:autoSpaceDN w:val="0"/>
              <w:adjustRightInd w:val="0"/>
              <w:spacing w:before="0" w:after="0" w:line="320" w:lineRule="atLeast"/>
              <w:ind w:left="60" w:right="60"/>
              <w:jc w:val="center"/>
              <w:rPr>
                <w:rFonts w:eastAsiaTheme="minorEastAsia" w:cs="Arial"/>
                <w:color w:val="000000"/>
                <w:szCs w:val="24"/>
                <w:lang w:val="en-US"/>
              </w:rPr>
            </w:pPr>
            <w:r w:rsidRPr="0059719B">
              <w:rPr>
                <w:rFonts w:eastAsiaTheme="minorEastAsia" w:cs="Arial"/>
                <w:b/>
                <w:bCs/>
                <w:color w:val="000000"/>
                <w:szCs w:val="24"/>
                <w:lang w:val="en-US"/>
              </w:rPr>
              <w:t>Model Summary</w:t>
            </w:r>
          </w:p>
        </w:tc>
      </w:tr>
      <w:tr w:rsidR="00B11165" w:rsidRPr="0059719B" w14:paraId="1FD6F2BB" w14:textId="77777777" w:rsidTr="006B027F">
        <w:trPr>
          <w:cantSplit/>
          <w:trHeight w:val="1335"/>
        </w:trPr>
        <w:tc>
          <w:tcPr>
            <w:tcW w:w="1188"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64732C7B" w14:textId="77777777" w:rsidR="00B11165" w:rsidRPr="006B027F" w:rsidRDefault="00B11165" w:rsidP="00B11165">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6B027F">
              <w:rPr>
                <w:rFonts w:eastAsiaTheme="minorEastAsia" w:cs="Arial"/>
                <w:color w:val="000000"/>
                <w:sz w:val="20"/>
                <w:szCs w:val="20"/>
                <w:lang w:val="en-US"/>
              </w:rPr>
              <w:t>Model</w:t>
            </w:r>
          </w:p>
        </w:tc>
        <w:tc>
          <w:tcPr>
            <w:tcW w:w="1473" w:type="dxa"/>
            <w:tcBorders>
              <w:top w:val="single" w:sz="16" w:space="0" w:color="000000"/>
              <w:left w:val="single" w:sz="16" w:space="0" w:color="000000"/>
              <w:bottom w:val="single" w:sz="16" w:space="0" w:color="000000"/>
            </w:tcBorders>
            <w:shd w:val="clear" w:color="auto" w:fill="FFFFFF"/>
            <w:vAlign w:val="bottom"/>
          </w:tcPr>
          <w:p w14:paraId="317E44F0" w14:textId="77777777" w:rsidR="00B11165" w:rsidRPr="006B027F" w:rsidRDefault="00B11165" w:rsidP="00B11165">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R</w:t>
            </w:r>
          </w:p>
        </w:tc>
        <w:tc>
          <w:tcPr>
            <w:tcW w:w="1563" w:type="dxa"/>
            <w:tcBorders>
              <w:top w:val="single" w:sz="16" w:space="0" w:color="000000"/>
              <w:bottom w:val="single" w:sz="16" w:space="0" w:color="000000"/>
            </w:tcBorders>
            <w:shd w:val="clear" w:color="auto" w:fill="FFFFFF"/>
            <w:vAlign w:val="bottom"/>
          </w:tcPr>
          <w:p w14:paraId="542769AD" w14:textId="77777777" w:rsidR="00B11165" w:rsidRPr="006B027F" w:rsidRDefault="00B11165" w:rsidP="00B11165">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R Square</w:t>
            </w:r>
          </w:p>
        </w:tc>
        <w:tc>
          <w:tcPr>
            <w:tcW w:w="2114" w:type="dxa"/>
            <w:tcBorders>
              <w:top w:val="single" w:sz="16" w:space="0" w:color="000000"/>
              <w:bottom w:val="single" w:sz="16" w:space="0" w:color="000000"/>
            </w:tcBorders>
            <w:shd w:val="clear" w:color="auto" w:fill="FFFFFF"/>
            <w:vAlign w:val="bottom"/>
          </w:tcPr>
          <w:p w14:paraId="070DFE6C" w14:textId="77777777" w:rsidR="00B11165" w:rsidRPr="006B027F" w:rsidRDefault="00B11165" w:rsidP="00B11165">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Adjusted R Square</w:t>
            </w:r>
          </w:p>
        </w:tc>
        <w:tc>
          <w:tcPr>
            <w:tcW w:w="2114" w:type="dxa"/>
            <w:tcBorders>
              <w:top w:val="single" w:sz="16" w:space="0" w:color="000000"/>
              <w:bottom w:val="single" w:sz="16" w:space="0" w:color="000000"/>
              <w:right w:val="single" w:sz="16" w:space="0" w:color="000000"/>
            </w:tcBorders>
            <w:shd w:val="clear" w:color="auto" w:fill="FFFFFF"/>
            <w:vAlign w:val="bottom"/>
          </w:tcPr>
          <w:p w14:paraId="3EE63047" w14:textId="77777777" w:rsidR="00B11165" w:rsidRPr="006B027F" w:rsidRDefault="00B11165" w:rsidP="00B11165">
            <w:pPr>
              <w:widowControl w:val="0"/>
              <w:autoSpaceDE w:val="0"/>
              <w:autoSpaceDN w:val="0"/>
              <w:adjustRightInd w:val="0"/>
              <w:spacing w:before="0" w:after="0" w:line="320" w:lineRule="atLeast"/>
              <w:ind w:left="60" w:right="60"/>
              <w:jc w:val="center"/>
              <w:rPr>
                <w:rFonts w:eastAsiaTheme="minorEastAsia" w:cs="Arial"/>
                <w:color w:val="000000"/>
                <w:sz w:val="20"/>
                <w:szCs w:val="20"/>
                <w:lang w:val="en-US"/>
              </w:rPr>
            </w:pPr>
            <w:r w:rsidRPr="006B027F">
              <w:rPr>
                <w:rFonts w:eastAsiaTheme="minorEastAsia" w:cs="Arial"/>
                <w:color w:val="000000"/>
                <w:sz w:val="20"/>
                <w:szCs w:val="20"/>
                <w:lang w:val="en-US"/>
              </w:rPr>
              <w:t>Std. Error of the Estimate</w:t>
            </w:r>
          </w:p>
        </w:tc>
      </w:tr>
      <w:tr w:rsidR="00B11165" w:rsidRPr="0059719B" w14:paraId="2790E792" w14:textId="77777777" w:rsidTr="006B027F">
        <w:trPr>
          <w:cantSplit/>
          <w:trHeight w:val="445"/>
        </w:trPr>
        <w:tc>
          <w:tcPr>
            <w:tcW w:w="1188" w:type="dxa"/>
            <w:tcBorders>
              <w:top w:val="single" w:sz="16" w:space="0" w:color="000000"/>
              <w:left w:val="single" w:sz="16" w:space="0" w:color="000000"/>
              <w:bottom w:val="single" w:sz="16" w:space="0" w:color="000000"/>
              <w:right w:val="single" w:sz="16" w:space="0" w:color="000000"/>
            </w:tcBorders>
            <w:shd w:val="clear" w:color="auto" w:fill="FFFFFF"/>
          </w:tcPr>
          <w:p w14:paraId="142AA8BB" w14:textId="77777777" w:rsidR="00B11165" w:rsidRPr="006B027F" w:rsidRDefault="00B11165" w:rsidP="00B11165">
            <w:pPr>
              <w:widowControl w:val="0"/>
              <w:autoSpaceDE w:val="0"/>
              <w:autoSpaceDN w:val="0"/>
              <w:adjustRightInd w:val="0"/>
              <w:spacing w:before="0" w:after="0" w:line="320" w:lineRule="atLeast"/>
              <w:ind w:left="60" w:right="60"/>
              <w:rPr>
                <w:rFonts w:eastAsiaTheme="minorEastAsia" w:cs="Arial"/>
                <w:color w:val="000000"/>
                <w:sz w:val="20"/>
                <w:szCs w:val="20"/>
                <w:lang w:val="en-US"/>
              </w:rPr>
            </w:pPr>
            <w:r w:rsidRPr="006B027F">
              <w:rPr>
                <w:rFonts w:eastAsiaTheme="minorEastAsia" w:cs="Arial"/>
                <w:color w:val="000000"/>
                <w:sz w:val="20"/>
                <w:szCs w:val="20"/>
                <w:lang w:val="en-US"/>
              </w:rPr>
              <w:t>1</w:t>
            </w:r>
          </w:p>
        </w:tc>
        <w:tc>
          <w:tcPr>
            <w:tcW w:w="1473" w:type="dxa"/>
            <w:tcBorders>
              <w:top w:val="single" w:sz="16" w:space="0" w:color="000000"/>
              <w:left w:val="single" w:sz="16" w:space="0" w:color="000000"/>
              <w:bottom w:val="single" w:sz="16" w:space="0" w:color="000000"/>
            </w:tcBorders>
            <w:shd w:val="clear" w:color="auto" w:fill="FFFFFF"/>
            <w:vAlign w:val="center"/>
          </w:tcPr>
          <w:p w14:paraId="4397DBA2" w14:textId="77777777" w:rsidR="00B11165" w:rsidRPr="006B027F" w:rsidRDefault="00B11165" w:rsidP="00B11165">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.048</w:t>
            </w:r>
            <w:r w:rsidRPr="006B027F">
              <w:rPr>
                <w:rFonts w:eastAsiaTheme="minorEastAsia" w:cs="Arial"/>
                <w:color w:val="000000"/>
                <w:sz w:val="20"/>
                <w:szCs w:val="20"/>
                <w:vertAlign w:val="superscript"/>
                <w:lang w:val="en-US"/>
              </w:rPr>
              <w:t>a</w:t>
            </w:r>
          </w:p>
        </w:tc>
        <w:tc>
          <w:tcPr>
            <w:tcW w:w="1563" w:type="dxa"/>
            <w:tcBorders>
              <w:top w:val="single" w:sz="16" w:space="0" w:color="000000"/>
              <w:bottom w:val="single" w:sz="16" w:space="0" w:color="000000"/>
            </w:tcBorders>
            <w:shd w:val="clear" w:color="auto" w:fill="FFFFFF"/>
            <w:vAlign w:val="center"/>
          </w:tcPr>
          <w:p w14:paraId="33D1BD8E" w14:textId="77777777" w:rsidR="00B11165" w:rsidRPr="006B027F" w:rsidRDefault="00B11165" w:rsidP="00B11165">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.002</w:t>
            </w:r>
          </w:p>
        </w:tc>
        <w:tc>
          <w:tcPr>
            <w:tcW w:w="2114" w:type="dxa"/>
            <w:tcBorders>
              <w:top w:val="single" w:sz="16" w:space="0" w:color="000000"/>
              <w:bottom w:val="single" w:sz="16" w:space="0" w:color="000000"/>
            </w:tcBorders>
            <w:shd w:val="clear" w:color="auto" w:fill="FFFFFF"/>
            <w:vAlign w:val="center"/>
          </w:tcPr>
          <w:p w14:paraId="1061B30D" w14:textId="77777777" w:rsidR="00B11165" w:rsidRPr="006B027F" w:rsidRDefault="00B11165" w:rsidP="00B11165">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-.009</w:t>
            </w:r>
          </w:p>
        </w:tc>
        <w:tc>
          <w:tcPr>
            <w:tcW w:w="2114" w:type="dxa"/>
            <w:tcBorders>
              <w:top w:val="single" w:sz="16" w:space="0" w:color="000000"/>
              <w:bottom w:val="single" w:sz="16" w:space="0" w:color="000000"/>
              <w:right w:val="single" w:sz="16" w:space="0" w:color="000000"/>
            </w:tcBorders>
            <w:shd w:val="clear" w:color="auto" w:fill="FFFFFF"/>
            <w:vAlign w:val="center"/>
          </w:tcPr>
          <w:p w14:paraId="0F1EB19F" w14:textId="77777777" w:rsidR="00B11165" w:rsidRPr="006B027F" w:rsidRDefault="00B11165" w:rsidP="00B11165">
            <w:pPr>
              <w:widowControl w:val="0"/>
              <w:autoSpaceDE w:val="0"/>
              <w:autoSpaceDN w:val="0"/>
              <w:adjustRightInd w:val="0"/>
              <w:spacing w:before="0" w:after="0" w:line="320" w:lineRule="atLeast"/>
              <w:ind w:left="60" w:right="60"/>
              <w:jc w:val="right"/>
              <w:rPr>
                <w:rFonts w:eastAsiaTheme="minorEastAsia" w:cs="Arial"/>
                <w:color w:val="000000"/>
                <w:sz w:val="20"/>
                <w:szCs w:val="20"/>
                <w:lang w:val="en-US"/>
              </w:rPr>
            </w:pPr>
            <w:r w:rsidRPr="006B027F">
              <w:rPr>
                <w:rFonts w:eastAsiaTheme="minorEastAsia" w:cs="Arial"/>
                <w:color w:val="000000"/>
                <w:sz w:val="20"/>
                <w:szCs w:val="20"/>
                <w:lang w:val="en-US"/>
              </w:rPr>
              <w:t>14.352</w:t>
            </w:r>
          </w:p>
        </w:tc>
      </w:tr>
      <w:tr w:rsidR="00B11165" w:rsidRPr="0059719B" w14:paraId="00B5F190" w14:textId="77777777" w:rsidTr="006B027F">
        <w:trPr>
          <w:cantSplit/>
          <w:trHeight w:val="890"/>
        </w:trPr>
        <w:tc>
          <w:tcPr>
            <w:tcW w:w="8450" w:type="dxa"/>
            <w:gridSpan w:val="5"/>
            <w:tcBorders>
              <w:top w:val="nil"/>
              <w:left w:val="nil"/>
              <w:bottom w:val="nil"/>
              <w:right w:val="nil"/>
            </w:tcBorders>
            <w:shd w:val="clear" w:color="auto" w:fill="FFFFFF"/>
          </w:tcPr>
          <w:p w14:paraId="7D109876" w14:textId="39D0D12F" w:rsidR="00B11165" w:rsidRPr="0059719B" w:rsidRDefault="00B11165" w:rsidP="00B11165">
            <w:pPr>
              <w:widowControl w:val="0"/>
              <w:autoSpaceDE w:val="0"/>
              <w:autoSpaceDN w:val="0"/>
              <w:adjustRightInd w:val="0"/>
              <w:spacing w:before="0" w:after="0" w:line="320" w:lineRule="atLeast"/>
              <w:ind w:left="60" w:right="60"/>
              <w:rPr>
                <w:rFonts w:eastAsiaTheme="minorEastAsia" w:cs="Arial"/>
                <w:color w:val="000000"/>
                <w:szCs w:val="24"/>
                <w:lang w:val="en-US"/>
              </w:rPr>
            </w:pPr>
            <w:r w:rsidRPr="0059719B">
              <w:rPr>
                <w:rFonts w:eastAsiaTheme="minorEastAsia" w:cs="Arial"/>
                <w:color w:val="000000"/>
                <w:szCs w:val="24"/>
                <w:lang w:val="en-US"/>
              </w:rPr>
              <w:t xml:space="preserve">a. Predictors: (Constant), 20 Overall confidence </w:t>
            </w:r>
            <w:r w:rsidR="001D42C9">
              <w:rPr>
                <w:rFonts w:eastAsiaTheme="minorEastAsia" w:cs="Arial"/>
                <w:color w:val="000000"/>
                <w:szCs w:val="24"/>
                <w:lang w:val="en-US"/>
              </w:rPr>
              <w:t>Pre-course</w:t>
            </w:r>
          </w:p>
        </w:tc>
      </w:tr>
    </w:tbl>
    <w:p w14:paraId="5DFF78A5" w14:textId="77777777" w:rsidR="00B11165" w:rsidRDefault="00B11165" w:rsidP="003E116C"/>
    <w:p w14:paraId="3CD3C826" w14:textId="77777777" w:rsidR="00463723" w:rsidRPr="00EE4D09" w:rsidRDefault="00463723" w:rsidP="00463723">
      <w:pPr>
        <w:widowControl w:val="0"/>
        <w:autoSpaceDE w:val="0"/>
        <w:autoSpaceDN w:val="0"/>
        <w:adjustRightInd w:val="0"/>
        <w:spacing w:before="0" w:after="0" w:line="240" w:lineRule="auto"/>
        <w:rPr>
          <w:rFonts w:ascii="Times New Roman" w:eastAsiaTheme="minorEastAsia" w:hAnsi="Times New Roman"/>
          <w:szCs w:val="24"/>
          <w:lang w:val="en-US"/>
        </w:rPr>
      </w:pPr>
      <w:r w:rsidRPr="006B027F">
        <w:rPr>
          <w:rFonts w:ascii="Times New Roman" w:eastAsiaTheme="minorEastAsia" w:hAnsi="Times New Roman"/>
          <w:noProof/>
          <w:szCs w:val="24"/>
          <w:lang w:val="en-US"/>
        </w:rPr>
        <w:drawing>
          <wp:inline distT="0" distB="0" distL="0" distR="0" wp14:anchorId="75348558" wp14:editId="7AEC6B10">
            <wp:extent cx="5396230" cy="4323902"/>
            <wp:effectExtent l="0" t="0" r="0" b="0"/>
            <wp:docPr id="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396230" cy="4323902"/>
                    </a:xfrm>
                    <a:prstGeom prst="rect">
                      <a:avLst/>
                    </a:prstGeom>
                    <a:noFill/>
                    <a:ln>
                      <a:noFill/>
                    </a:ln>
                  </pic:spPr>
                </pic:pic>
              </a:graphicData>
            </a:graphic>
          </wp:inline>
        </w:drawing>
      </w:r>
    </w:p>
    <w:p w14:paraId="23B21BD2" w14:textId="77777777" w:rsidR="00463723" w:rsidRPr="00EE4D09" w:rsidRDefault="00463723" w:rsidP="00463723">
      <w:pPr>
        <w:widowControl w:val="0"/>
        <w:autoSpaceDE w:val="0"/>
        <w:autoSpaceDN w:val="0"/>
        <w:adjustRightInd w:val="0"/>
        <w:spacing w:before="0" w:after="0" w:line="400" w:lineRule="atLeast"/>
        <w:rPr>
          <w:rFonts w:ascii="Times New Roman" w:eastAsiaTheme="minorEastAsia" w:hAnsi="Times New Roman"/>
          <w:szCs w:val="24"/>
          <w:lang w:val="en-US"/>
        </w:rPr>
      </w:pPr>
    </w:p>
    <w:p w14:paraId="02E1FBBE" w14:textId="77777777" w:rsidR="00463723" w:rsidRDefault="00463723" w:rsidP="00463723">
      <w:pPr>
        <w:keepNext/>
        <w:widowControl w:val="0"/>
        <w:autoSpaceDE w:val="0"/>
        <w:autoSpaceDN w:val="0"/>
        <w:adjustRightInd w:val="0"/>
        <w:spacing w:before="0" w:after="0" w:line="240" w:lineRule="auto"/>
      </w:pPr>
    </w:p>
    <w:p w14:paraId="32836132" w14:textId="5DA8E705" w:rsidR="00463723" w:rsidRDefault="00463723" w:rsidP="007000F8">
      <w:pPr>
        <w:pStyle w:val="Caption"/>
        <w:rPr>
          <w:rFonts w:ascii="Times New Roman" w:eastAsiaTheme="minorEastAsia" w:hAnsi="Times New Roman"/>
          <w:szCs w:val="24"/>
          <w:lang w:val="en-US"/>
        </w:rPr>
      </w:pPr>
      <w:bookmarkStart w:id="519" w:name="_Toc365579466"/>
      <w:bookmarkStart w:id="520" w:name="_Toc368056066"/>
      <w:bookmarkStart w:id="521" w:name="_Toc419116483"/>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3</w:t>
      </w:r>
      <w:r w:rsidR="009A2F08">
        <w:fldChar w:fldCharType="end"/>
      </w:r>
      <w:r>
        <w:t xml:space="preserve"> Scatter plot of data points for correlation between formative assessment mark (performance) and </w:t>
      </w:r>
      <w:proofErr w:type="spellStart"/>
      <w:r>
        <w:t>precourse</w:t>
      </w:r>
      <w:proofErr w:type="spellEnd"/>
      <w:r>
        <w:t xml:space="preserve"> confidence</w:t>
      </w:r>
      <w:bookmarkEnd w:id="519"/>
      <w:bookmarkEnd w:id="520"/>
      <w:bookmarkEnd w:id="521"/>
    </w:p>
    <w:p w14:paraId="71296084" w14:textId="77777777" w:rsidR="00463723" w:rsidRDefault="00463723" w:rsidP="00463723">
      <w:pPr>
        <w:keepNext/>
        <w:widowControl w:val="0"/>
        <w:autoSpaceDE w:val="0"/>
        <w:autoSpaceDN w:val="0"/>
        <w:adjustRightInd w:val="0"/>
        <w:spacing w:before="0" w:after="0" w:line="240" w:lineRule="auto"/>
      </w:pPr>
      <w:r w:rsidRPr="006B027F">
        <w:rPr>
          <w:rFonts w:ascii="Times New Roman" w:eastAsiaTheme="minorEastAsia" w:hAnsi="Times New Roman"/>
          <w:noProof/>
          <w:szCs w:val="24"/>
          <w:lang w:val="en-US"/>
        </w:rPr>
        <w:drawing>
          <wp:inline distT="0" distB="0" distL="0" distR="0" wp14:anchorId="54730D0B" wp14:editId="6B32FA1A">
            <wp:extent cx="5542605" cy="4441190"/>
            <wp:effectExtent l="0" t="0" r="0" b="3810"/>
            <wp:docPr id="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42605" cy="4441190"/>
                    </a:xfrm>
                    <a:prstGeom prst="rect">
                      <a:avLst/>
                    </a:prstGeom>
                    <a:noFill/>
                    <a:ln>
                      <a:noFill/>
                    </a:ln>
                  </pic:spPr>
                </pic:pic>
              </a:graphicData>
            </a:graphic>
          </wp:inline>
        </w:drawing>
      </w:r>
    </w:p>
    <w:p w14:paraId="5B688995" w14:textId="03DFD9B9" w:rsidR="00463723" w:rsidRDefault="00463723" w:rsidP="007000F8">
      <w:pPr>
        <w:pStyle w:val="Caption"/>
        <w:rPr>
          <w:rFonts w:ascii="Times New Roman" w:eastAsiaTheme="minorEastAsia" w:hAnsi="Times New Roman"/>
          <w:szCs w:val="24"/>
          <w:lang w:val="en-US"/>
        </w:rPr>
      </w:pPr>
      <w:bookmarkStart w:id="522" w:name="_Toc365579467"/>
      <w:bookmarkStart w:id="523" w:name="_Toc368056067"/>
      <w:bookmarkStart w:id="524" w:name="_Toc419116484"/>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4</w:t>
      </w:r>
      <w:r w:rsidR="009A2F08">
        <w:fldChar w:fldCharType="end"/>
      </w:r>
      <w:r>
        <w:t xml:space="preserve"> Scatter plot of correlation between mean formative assessment mark and mean </w:t>
      </w:r>
      <w:proofErr w:type="spellStart"/>
      <w:r>
        <w:t>precourse</w:t>
      </w:r>
      <w:proofErr w:type="spellEnd"/>
      <w:r>
        <w:t xml:space="preserve"> confidence score</w:t>
      </w:r>
      <w:bookmarkEnd w:id="522"/>
      <w:bookmarkEnd w:id="523"/>
      <w:bookmarkEnd w:id="524"/>
    </w:p>
    <w:p w14:paraId="41F98442" w14:textId="01AAEDAB" w:rsidR="00C345BF" w:rsidRDefault="00C345BF" w:rsidP="00C345BF">
      <w:pPr>
        <w:widowControl w:val="0"/>
        <w:autoSpaceDE w:val="0"/>
        <w:autoSpaceDN w:val="0"/>
        <w:adjustRightInd w:val="0"/>
        <w:spacing w:before="0" w:after="0" w:line="240" w:lineRule="auto"/>
        <w:rPr>
          <w:rFonts w:ascii="Times" w:eastAsiaTheme="minorEastAsia" w:hAnsi="Times" w:cs="Times"/>
          <w:szCs w:val="24"/>
          <w:lang w:val="en-US"/>
        </w:rPr>
      </w:pPr>
    </w:p>
    <w:p w14:paraId="5C97C71E" w14:textId="77777777" w:rsidR="00A86DD7" w:rsidRDefault="00A86DD7" w:rsidP="006B027F">
      <w:pPr>
        <w:pStyle w:val="Heading2"/>
      </w:pPr>
      <w:bookmarkStart w:id="525" w:name="_Toc419116247"/>
      <w:r>
        <w:lastRenderedPageBreak/>
        <w:t>Development of interview topic guide</w:t>
      </w:r>
      <w:r w:rsidR="001B245A">
        <w:t>:</w:t>
      </w:r>
      <w:bookmarkEnd w:id="525"/>
    </w:p>
    <w:p w14:paraId="5F225842" w14:textId="08D14108" w:rsidR="00004AC7" w:rsidRDefault="001F3665">
      <w:r>
        <w:rPr>
          <w:noProof/>
          <w:lang w:val="en-US"/>
        </w:rPr>
        <w:drawing>
          <wp:inline distT="0" distB="0" distL="0" distR="0" wp14:anchorId="501B1B27" wp14:editId="26AA9483">
            <wp:extent cx="4691380" cy="7506208"/>
            <wp:effectExtent l="0" t="0" r="7620" b="12700"/>
            <wp:docPr id="126" name="Picture 126" descr="Macintosh HD:Users:Fliss:Desktop:Screen Shot 2017-08-14 at 10.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liss:Desktop:Screen Shot 2017-08-14 at 10.25.52.png"/>
                    <pic:cNvPicPr>
                      <a:picLocks noChangeAspect="1" noChangeArrowheads="1"/>
                    </pic:cNvPicPr>
                  </pic:nvPicPr>
                  <pic:blipFill rotWithShape="1">
                    <a:blip r:embed="rId218">
                      <a:extLst>
                        <a:ext uri="{28A0092B-C50C-407E-A947-70E740481C1C}">
                          <a14:useLocalDpi xmlns:a14="http://schemas.microsoft.com/office/drawing/2010/main" val="0"/>
                        </a:ext>
                      </a:extLst>
                    </a:blip>
                    <a:srcRect l="31059" t="2256" r="31294" b="1504"/>
                    <a:stretch/>
                  </pic:blipFill>
                  <pic:spPr bwMode="auto">
                    <a:xfrm>
                      <a:off x="0" y="0"/>
                      <a:ext cx="4691380" cy="750620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FCC9E04" w14:textId="77777777" w:rsidR="008D65C9" w:rsidRPr="00004AC7" w:rsidRDefault="008D65C9"/>
    <w:p w14:paraId="39D295B2" w14:textId="5EC5A39B" w:rsidR="00004AC7" w:rsidRDefault="00004AC7" w:rsidP="006B027F">
      <w:pPr>
        <w:pStyle w:val="Heading2"/>
      </w:pPr>
      <w:bookmarkStart w:id="526" w:name="_Toc419116248"/>
      <w:r>
        <w:lastRenderedPageBreak/>
        <w:t>Interview topic guide</w:t>
      </w:r>
      <w:bookmarkEnd w:id="526"/>
    </w:p>
    <w:p w14:paraId="43A0CBD8" w14:textId="5A566100" w:rsidR="00004AC7" w:rsidRDefault="008D65C9">
      <w:r>
        <w:rPr>
          <w:noProof/>
          <w:lang w:val="en-US"/>
        </w:rPr>
        <w:drawing>
          <wp:inline distT="0" distB="0" distL="0" distR="0" wp14:anchorId="0A3207A5" wp14:editId="5D596098">
            <wp:extent cx="6107594" cy="7832090"/>
            <wp:effectExtent l="0" t="0" r="0" b="0"/>
            <wp:docPr id="137" name="Picture 137" descr="Macintosh HD:Users:Fliss:Desktop:Screen Shot 2017-08-14 at 22.4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Fliss:Desktop:Screen Shot 2017-08-14 at 22.49.23.png"/>
                    <pic:cNvPicPr>
                      <a:picLocks noChangeAspect="1" noChangeArrowheads="1"/>
                    </pic:cNvPicPr>
                  </pic:nvPicPr>
                  <pic:blipFill rotWithShape="1">
                    <a:blip r:embed="rId226">
                      <a:extLst>
                        <a:ext uri="{28A0092B-C50C-407E-A947-70E740481C1C}">
                          <a14:useLocalDpi xmlns:a14="http://schemas.microsoft.com/office/drawing/2010/main" val="0"/>
                        </a:ext>
                      </a:extLst>
                    </a:blip>
                    <a:srcRect l="8470" t="14287" r="51530" b="3759"/>
                    <a:stretch/>
                  </pic:blipFill>
                  <pic:spPr bwMode="auto">
                    <a:xfrm>
                      <a:off x="0" y="0"/>
                      <a:ext cx="6107824" cy="783238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7D6D192" w14:textId="14FC91F3" w:rsidR="008D65C9" w:rsidRDefault="008D65C9">
      <w:r>
        <w:rPr>
          <w:noProof/>
          <w:lang w:val="en-US"/>
        </w:rPr>
        <w:lastRenderedPageBreak/>
        <w:drawing>
          <wp:inline distT="0" distB="0" distL="0" distR="0" wp14:anchorId="69B0C572" wp14:editId="23847D42">
            <wp:extent cx="5948680" cy="7896165"/>
            <wp:effectExtent l="0" t="0" r="0" b="3810"/>
            <wp:docPr id="140" name="Picture 140" descr="Macintosh HD:Users:Fliss:Desktop:Screen Shot 2017-08-14 at 22.4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Fliss:Desktop:Screen Shot 2017-08-14 at 22.49.23.png"/>
                    <pic:cNvPicPr>
                      <a:picLocks noChangeAspect="1" noChangeArrowheads="1"/>
                    </pic:cNvPicPr>
                  </pic:nvPicPr>
                  <pic:blipFill rotWithShape="1">
                    <a:blip r:embed="rId226">
                      <a:extLst>
                        <a:ext uri="{28A0092B-C50C-407E-A947-70E740481C1C}">
                          <a14:useLocalDpi xmlns:a14="http://schemas.microsoft.com/office/drawing/2010/main" val="0"/>
                        </a:ext>
                      </a:extLst>
                    </a:blip>
                    <a:srcRect l="50588" t="14662" r="9883" b="1504"/>
                    <a:stretch/>
                  </pic:blipFill>
                  <pic:spPr bwMode="auto">
                    <a:xfrm>
                      <a:off x="0" y="0"/>
                      <a:ext cx="5948680" cy="78961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732D13E" w14:textId="77777777" w:rsidR="008D65C9" w:rsidRPr="00004AC7" w:rsidRDefault="008D65C9"/>
    <w:p w14:paraId="3F00CB4C" w14:textId="77777777" w:rsidR="00A86DD7" w:rsidRDefault="00A86DD7" w:rsidP="006B027F">
      <w:pPr>
        <w:pStyle w:val="Heading2"/>
      </w:pPr>
      <w:bookmarkStart w:id="527" w:name="_Toc419116249"/>
      <w:r>
        <w:lastRenderedPageBreak/>
        <w:t>Interview information sheet</w:t>
      </w:r>
      <w:bookmarkEnd w:id="527"/>
    </w:p>
    <w:p w14:paraId="0AB8FE94" w14:textId="77777777" w:rsidR="00004AC7" w:rsidRDefault="00004AC7"/>
    <w:p w14:paraId="767248E5" w14:textId="237C19C2" w:rsidR="00626CFA" w:rsidRDefault="00BE570C">
      <w:r>
        <w:rPr>
          <w:noProof/>
          <w:lang w:val="en-US"/>
        </w:rPr>
        <w:drawing>
          <wp:inline distT="0" distB="0" distL="0" distR="0" wp14:anchorId="7422827A" wp14:editId="267BDD51">
            <wp:extent cx="5398950" cy="7641590"/>
            <wp:effectExtent l="0" t="0" r="11430" b="3810"/>
            <wp:docPr id="122" name="Picture 122" descr="Macintosh HD:Users:Fliss:Desktop:Screen Shot 2017-08-14 at 23.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iss:Desktop:Screen Shot 2017-08-14 at 23.03.13.png"/>
                    <pic:cNvPicPr>
                      <a:picLocks noChangeAspect="1" noChangeArrowheads="1"/>
                    </pic:cNvPicPr>
                  </pic:nvPicPr>
                  <pic:blipFill rotWithShape="1">
                    <a:blip r:embed="rId227">
                      <a:extLst>
                        <a:ext uri="{28A0092B-C50C-407E-A947-70E740481C1C}">
                          <a14:useLocalDpi xmlns:a14="http://schemas.microsoft.com/office/drawing/2010/main" val="0"/>
                        </a:ext>
                      </a:extLst>
                    </a:blip>
                    <a:srcRect l="14824" t="19924" r="54588" b="10903"/>
                    <a:stretch/>
                  </pic:blipFill>
                  <pic:spPr bwMode="auto">
                    <a:xfrm>
                      <a:off x="0" y="0"/>
                      <a:ext cx="5399771" cy="764275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8E620B9" w14:textId="3D085E73" w:rsidR="00BE570C" w:rsidRDefault="00BE570C">
      <w:r>
        <w:rPr>
          <w:noProof/>
          <w:lang w:val="en-US"/>
        </w:rPr>
        <w:lastRenderedPageBreak/>
        <w:drawing>
          <wp:inline distT="0" distB="0" distL="0" distR="0" wp14:anchorId="3F47A537" wp14:editId="79EA6C97">
            <wp:extent cx="5262880" cy="7529967"/>
            <wp:effectExtent l="0" t="0" r="0" b="0"/>
            <wp:docPr id="128" name="Picture 128" descr="Macintosh HD:Users:Fliss:Desktop:Screen Shot 2017-08-14 at 23.0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iss:Desktop:Screen Shot 2017-08-14 at 23.03.22.png"/>
                    <pic:cNvPicPr>
                      <a:picLocks noChangeAspect="1" noChangeArrowheads="1"/>
                    </pic:cNvPicPr>
                  </pic:nvPicPr>
                  <pic:blipFill rotWithShape="1">
                    <a:blip r:embed="rId228">
                      <a:extLst>
                        <a:ext uri="{28A0092B-C50C-407E-A947-70E740481C1C}">
                          <a14:useLocalDpi xmlns:a14="http://schemas.microsoft.com/office/drawing/2010/main" val="0"/>
                        </a:ext>
                      </a:extLst>
                    </a:blip>
                    <a:srcRect l="14353" t="19925" r="55059" b="10151"/>
                    <a:stretch/>
                  </pic:blipFill>
                  <pic:spPr bwMode="auto">
                    <a:xfrm>
                      <a:off x="0" y="0"/>
                      <a:ext cx="5262880" cy="752996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F82512B" w14:textId="77777777" w:rsidR="00BE570C" w:rsidRPr="00004AC7" w:rsidRDefault="00BE570C"/>
    <w:p w14:paraId="0C8FEF70" w14:textId="77777777" w:rsidR="00A86DD7" w:rsidRDefault="00A86DD7" w:rsidP="006B027F">
      <w:pPr>
        <w:pStyle w:val="Heading2"/>
      </w:pPr>
      <w:bookmarkStart w:id="528" w:name="_Toc419116250"/>
      <w:r>
        <w:lastRenderedPageBreak/>
        <w:t>Framework thematic classification</w:t>
      </w:r>
      <w:bookmarkEnd w:id="528"/>
    </w:p>
    <w:p w14:paraId="2BB8A8DB" w14:textId="57186BCC" w:rsidR="00A86DD7" w:rsidRPr="00A86DD7" w:rsidRDefault="00A86DD7">
      <w:r>
        <w:rPr>
          <w:noProof/>
          <w:lang w:val="en-US"/>
        </w:rPr>
        <w:drawing>
          <wp:inline distT="0" distB="0" distL="0" distR="0" wp14:anchorId="16C106B6" wp14:editId="00FE7CA9">
            <wp:extent cx="6404966" cy="3641090"/>
            <wp:effectExtent l="0" t="0" r="0" b="0"/>
            <wp:docPr id="111" name="Picture 111" descr="Macintosh HD:Users:Fliss:Desktop:Screen Shot 2017-08-13 at 23.1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iss:Desktop:Screen Shot 2017-08-13 at 23.17.45.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405880" cy="3641610"/>
                    </a:xfrm>
                    <a:prstGeom prst="rect">
                      <a:avLst/>
                    </a:prstGeom>
                    <a:noFill/>
                    <a:ln>
                      <a:noFill/>
                    </a:ln>
                  </pic:spPr>
                </pic:pic>
              </a:graphicData>
            </a:graphic>
          </wp:inline>
        </w:drawing>
      </w:r>
      <w:r>
        <w:rPr>
          <w:noProof/>
          <w:lang w:val="en-US"/>
        </w:rPr>
        <w:drawing>
          <wp:inline distT="0" distB="0" distL="0" distR="0" wp14:anchorId="3D57F71E" wp14:editId="45C6B144">
            <wp:extent cx="6385689" cy="3996690"/>
            <wp:effectExtent l="0" t="0" r="0" b="0"/>
            <wp:docPr id="52" name="Picture 52" descr="Macintosh HD:Users:Fliss:Desktop:Screen Shot 2017-08-13 at 23.1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Fliss:Desktop:Screen Shot 2017-08-13 at 23.16.57.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385689" cy="3996690"/>
                    </a:xfrm>
                    <a:prstGeom prst="rect">
                      <a:avLst/>
                    </a:prstGeom>
                    <a:noFill/>
                    <a:ln>
                      <a:noFill/>
                    </a:ln>
                  </pic:spPr>
                </pic:pic>
              </a:graphicData>
            </a:graphic>
          </wp:inline>
        </w:drawing>
      </w:r>
    </w:p>
    <w:p w14:paraId="60FE2638" w14:textId="4816BF60" w:rsidR="00C345BF" w:rsidRDefault="00A86DD7" w:rsidP="006B027F">
      <w:pPr>
        <w:pStyle w:val="Heading2"/>
      </w:pPr>
      <w:bookmarkStart w:id="529" w:name="_Toc419116251"/>
      <w:r>
        <w:lastRenderedPageBreak/>
        <w:t>Framework example with case, summary and original data</w:t>
      </w:r>
      <w:bookmarkEnd w:id="529"/>
      <w:r w:rsidR="001B245A">
        <w:t xml:space="preserve"> </w:t>
      </w:r>
    </w:p>
    <w:p w14:paraId="5B770804" w14:textId="231741DB" w:rsidR="00873307" w:rsidRDefault="00004AC7" w:rsidP="00873307">
      <w:r>
        <w:rPr>
          <w:noProof/>
          <w:lang w:val="en-US"/>
        </w:rPr>
        <w:drawing>
          <wp:inline distT="0" distB="0" distL="0" distR="0" wp14:anchorId="13A8E687" wp14:editId="53991549">
            <wp:extent cx="7095887" cy="4441190"/>
            <wp:effectExtent l="0" t="0" r="0" b="3810"/>
            <wp:docPr id="114" name="Picture 114" descr="Macintosh HD:Users:Fliss:Desktop:Screen Shot 2017-08-13 at 23.1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Fliss:Desktop:Screen Shot 2017-08-13 at 23.18.05.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7096899" cy="4441824"/>
                    </a:xfrm>
                    <a:prstGeom prst="rect">
                      <a:avLst/>
                    </a:prstGeom>
                    <a:noFill/>
                    <a:ln>
                      <a:noFill/>
                    </a:ln>
                  </pic:spPr>
                </pic:pic>
              </a:graphicData>
            </a:graphic>
          </wp:inline>
        </w:drawing>
      </w:r>
    </w:p>
    <w:p w14:paraId="136938C9" w14:textId="77777777" w:rsidR="00004AC7" w:rsidRDefault="00004AC7" w:rsidP="00873307"/>
    <w:p w14:paraId="4E462302" w14:textId="77777777" w:rsidR="00004AC7" w:rsidRDefault="00004AC7" w:rsidP="00873307"/>
    <w:p w14:paraId="46B443E5" w14:textId="510B0D6E" w:rsidR="00004AC7" w:rsidRDefault="00004AC7" w:rsidP="00873307">
      <w:r>
        <w:rPr>
          <w:noProof/>
          <w:lang w:val="en-US"/>
        </w:rPr>
        <w:lastRenderedPageBreak/>
        <w:drawing>
          <wp:inline distT="0" distB="0" distL="0" distR="0" wp14:anchorId="3D504B85" wp14:editId="74108BDD">
            <wp:extent cx="6405880" cy="4009327"/>
            <wp:effectExtent l="0" t="0" r="0" b="4445"/>
            <wp:docPr id="115" name="Picture 115" descr="Macintosh HD:Users:Fliss:Desktop:Screen Shot 2017-08-13 at 23.1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liss:Desktop:Screen Shot 2017-08-13 at 23.18.26.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05880" cy="4009327"/>
                    </a:xfrm>
                    <a:prstGeom prst="rect">
                      <a:avLst/>
                    </a:prstGeom>
                    <a:noFill/>
                    <a:ln>
                      <a:noFill/>
                    </a:ln>
                  </pic:spPr>
                </pic:pic>
              </a:graphicData>
            </a:graphic>
          </wp:inline>
        </w:drawing>
      </w:r>
    </w:p>
    <w:p w14:paraId="3D161568" w14:textId="77777777" w:rsidR="006771AF" w:rsidRDefault="006771AF" w:rsidP="00873307"/>
    <w:p w14:paraId="134003E3" w14:textId="77777777" w:rsidR="006771AF" w:rsidRDefault="006771AF" w:rsidP="00873307"/>
    <w:p w14:paraId="19E1CB6C" w14:textId="77777777" w:rsidR="006771AF" w:rsidRDefault="006771AF" w:rsidP="00873307"/>
    <w:p w14:paraId="0645AB4E" w14:textId="77777777" w:rsidR="006771AF" w:rsidRDefault="006771AF" w:rsidP="00873307"/>
    <w:p w14:paraId="0CE4020B" w14:textId="77777777" w:rsidR="00A9684B" w:rsidRDefault="00A9684B" w:rsidP="00873307"/>
    <w:p w14:paraId="222F11AD" w14:textId="77777777" w:rsidR="00A9684B" w:rsidRDefault="00A9684B" w:rsidP="00873307"/>
    <w:p w14:paraId="02C5DDBD" w14:textId="77777777" w:rsidR="00A9684B" w:rsidRDefault="00A9684B" w:rsidP="00873307"/>
    <w:p w14:paraId="791022E1" w14:textId="3B5D7F28" w:rsidR="00B7682F" w:rsidRDefault="00B7682F" w:rsidP="006B027F">
      <w:pPr>
        <w:pStyle w:val="Heading2"/>
      </w:pPr>
      <w:bookmarkStart w:id="530" w:name="_Toc419116252"/>
      <w:r>
        <w:lastRenderedPageBreak/>
        <w:t xml:space="preserve">Thematic analysis using framework matrix – process – abstract </w:t>
      </w:r>
      <w:proofErr w:type="spellStart"/>
      <w:r>
        <w:t>conceptualisation</w:t>
      </w:r>
      <w:proofErr w:type="spellEnd"/>
      <w:r>
        <w:t xml:space="preserve"> </w:t>
      </w:r>
      <w:r w:rsidR="00A9684B">
        <w:t xml:space="preserve">- </w:t>
      </w:r>
      <w:r>
        <w:t xml:space="preserve">responsibility </w:t>
      </w:r>
      <w:r w:rsidR="009B3879">
        <w:t>and</w:t>
      </w:r>
      <w:r>
        <w:t xml:space="preserve"> </w:t>
      </w:r>
      <w:r w:rsidR="00905C08">
        <w:t>practice</w:t>
      </w:r>
      <w:r>
        <w:t xml:space="preserve"> under pressure</w:t>
      </w:r>
      <w:bookmarkEnd w:id="530"/>
    </w:p>
    <w:p w14:paraId="273E7AB2" w14:textId="77777777" w:rsidR="00B7682F" w:rsidRPr="00B7682F" w:rsidRDefault="00B7682F"/>
    <w:p w14:paraId="3CB0F7F9" w14:textId="5AD45DE4" w:rsidR="00B7682F" w:rsidRDefault="00B7682F">
      <w:r>
        <w:rPr>
          <w:noProof/>
          <w:lang w:val="en-US"/>
        </w:rPr>
        <w:drawing>
          <wp:inline distT="0" distB="0" distL="0" distR="0" wp14:anchorId="2485B4A5" wp14:editId="28BB3B07">
            <wp:extent cx="5148580" cy="7285726"/>
            <wp:effectExtent l="0" t="0" r="7620" b="4445"/>
            <wp:docPr id="127" name="Picture 127" descr="Macintosh HD:Users:Fliss:Desktop:Framework process - 14 Aug 2017 - 09-5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liss:Desktop:Framework process - 14 Aug 2017 - 09-59.pdf"/>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48964" cy="7286270"/>
                    </a:xfrm>
                    <a:prstGeom prst="rect">
                      <a:avLst/>
                    </a:prstGeom>
                    <a:noFill/>
                    <a:ln>
                      <a:noFill/>
                    </a:ln>
                  </pic:spPr>
                </pic:pic>
              </a:graphicData>
            </a:graphic>
          </wp:inline>
        </w:drawing>
      </w:r>
    </w:p>
    <w:p w14:paraId="5D72E4AD" w14:textId="26E2B11F" w:rsidR="00B7682F" w:rsidRDefault="00B7682F">
      <w:r>
        <w:rPr>
          <w:noProof/>
          <w:lang w:val="en-US"/>
        </w:rPr>
        <w:lastRenderedPageBreak/>
        <w:drawing>
          <wp:inline distT="0" distB="0" distL="0" distR="0" wp14:anchorId="70D127C3" wp14:editId="7E188B6F">
            <wp:extent cx="5880566" cy="7641590"/>
            <wp:effectExtent l="0" t="0" r="12700" b="3810"/>
            <wp:docPr id="131" name="Picture 131" descr="Macintosh HD:Users:Fliss:Desktop:Screen Shot 2017-08-14 at 22.3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liss:Desktop:Screen Shot 2017-08-14 at 22.34.41.png"/>
                    <pic:cNvPicPr>
                      <a:picLocks noChangeAspect="1" noChangeArrowheads="1"/>
                    </pic:cNvPicPr>
                  </pic:nvPicPr>
                  <pic:blipFill rotWithShape="1">
                    <a:blip r:embed="rId234">
                      <a:extLst>
                        <a:ext uri="{28A0092B-C50C-407E-A947-70E740481C1C}">
                          <a14:useLocalDpi xmlns:a14="http://schemas.microsoft.com/office/drawing/2010/main" val="0"/>
                        </a:ext>
                      </a:extLst>
                    </a:blip>
                    <a:srcRect l="49412" t="3006" r="6588" b="5639"/>
                    <a:stretch/>
                  </pic:blipFill>
                  <pic:spPr bwMode="auto">
                    <a:xfrm>
                      <a:off x="0" y="0"/>
                      <a:ext cx="5880716" cy="764178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BBB9778" w14:textId="77777777" w:rsidR="00B7682F" w:rsidRDefault="00B7682F"/>
    <w:p w14:paraId="45DC0864" w14:textId="657D93D8" w:rsidR="00B7682F" w:rsidRDefault="00B7682F">
      <w:r>
        <w:rPr>
          <w:noProof/>
          <w:lang w:val="en-US"/>
        </w:rPr>
        <w:lastRenderedPageBreak/>
        <w:drawing>
          <wp:inline distT="0" distB="0" distL="0" distR="0" wp14:anchorId="371EDC8F" wp14:editId="2F255288">
            <wp:extent cx="5834380" cy="8398943"/>
            <wp:effectExtent l="0" t="0" r="7620" b="8890"/>
            <wp:docPr id="130" name="Picture 130" descr="Macintosh HD:Users:Fliss:Desktop:Screen Shot 2017-08-14 at 22.3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liss:Desktop:Screen Shot 2017-08-14 at 22.34.41.png"/>
                    <pic:cNvPicPr>
                      <a:picLocks noChangeAspect="1" noChangeArrowheads="1"/>
                    </pic:cNvPicPr>
                  </pic:nvPicPr>
                  <pic:blipFill rotWithShape="1">
                    <a:blip r:embed="rId234">
                      <a:extLst>
                        <a:ext uri="{28A0092B-C50C-407E-A947-70E740481C1C}">
                          <a14:useLocalDpi xmlns:a14="http://schemas.microsoft.com/office/drawing/2010/main" val="0"/>
                        </a:ext>
                      </a:extLst>
                    </a:blip>
                    <a:srcRect l="6353" t="376" r="50823" b="1126"/>
                    <a:stretch/>
                  </pic:blipFill>
                  <pic:spPr bwMode="auto">
                    <a:xfrm>
                      <a:off x="0" y="0"/>
                      <a:ext cx="5834380" cy="839894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912477B" w14:textId="79B0EBF6" w:rsidR="001C0FE2" w:rsidRDefault="001C0FE2" w:rsidP="006B027F">
      <w:pPr>
        <w:pStyle w:val="Heading2"/>
      </w:pPr>
      <w:bookmarkStart w:id="531" w:name="_Toc419116253"/>
      <w:r>
        <w:lastRenderedPageBreak/>
        <w:t>Practice under pressure</w:t>
      </w:r>
      <w:bookmarkEnd w:id="531"/>
    </w:p>
    <w:p w14:paraId="1D9DC406" w14:textId="4875EC00" w:rsidR="00847236" w:rsidRPr="00847236" w:rsidRDefault="00847236" w:rsidP="006B027F">
      <w:r w:rsidRPr="00C9395B">
        <w:rPr>
          <w:noProof/>
          <w:lang w:val="en-US"/>
        </w:rPr>
        <w:drawing>
          <wp:inline distT="0" distB="0" distL="0" distR="0" wp14:anchorId="6EEBA353" wp14:editId="6D213CAF">
            <wp:extent cx="5396230" cy="7636361"/>
            <wp:effectExtent l="0" t="0" r="0" b="9525"/>
            <wp:docPr id="132" name="Picture 132" descr="Macintosh HD:Users:Fliss:Desktop:Practise under pressure process - 14 Aug 2017 - 10-0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liss:Desktop:Practise under pressure process - 14 Aug 2017 - 10-05.pd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396230" cy="7636361"/>
                    </a:xfrm>
                    <a:prstGeom prst="rect">
                      <a:avLst/>
                    </a:prstGeom>
                    <a:noFill/>
                    <a:ln>
                      <a:noFill/>
                    </a:ln>
                  </pic:spPr>
                </pic:pic>
              </a:graphicData>
            </a:graphic>
          </wp:inline>
        </w:drawing>
      </w:r>
    </w:p>
    <w:p w14:paraId="4D4D21E9" w14:textId="77777777" w:rsidR="001C0FE2" w:rsidRDefault="001C0FE2" w:rsidP="001C0FE2">
      <w:pPr>
        <w:keepNext/>
      </w:pPr>
      <w:r>
        <w:rPr>
          <w:noProof/>
          <w:lang w:val="en-US"/>
        </w:rPr>
        <w:lastRenderedPageBreak/>
        <w:drawing>
          <wp:inline distT="0" distB="0" distL="0" distR="0" wp14:anchorId="528F19F6" wp14:editId="56E3DE0A">
            <wp:extent cx="6520180" cy="10200640"/>
            <wp:effectExtent l="57150" t="19050" r="0" b="0"/>
            <wp:docPr id="144" name="Diagram 1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6" r:lo="rId237" r:qs="rId238" r:cs="rId239"/>
              </a:graphicData>
            </a:graphic>
          </wp:inline>
        </w:drawing>
      </w:r>
    </w:p>
    <w:p w14:paraId="231AB499" w14:textId="17A31A95" w:rsidR="001C0FE2" w:rsidRDefault="001C0FE2" w:rsidP="007000F8">
      <w:pPr>
        <w:pStyle w:val="Caption"/>
      </w:pPr>
      <w:bookmarkStart w:id="532" w:name="_Toc368056068"/>
      <w:bookmarkStart w:id="533" w:name="_Toc419116485"/>
      <w:r>
        <w:lastRenderedPageBreak/>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5</w:t>
      </w:r>
      <w:r w:rsidR="009A2F08">
        <w:fldChar w:fldCharType="end"/>
      </w:r>
      <w:r>
        <w:t xml:space="preserve"> Thematic framework surrounding 'Practice under pressure' from framework analysis of triangulated qualitative data</w:t>
      </w:r>
      <w:bookmarkEnd w:id="532"/>
      <w:bookmarkEnd w:id="533"/>
    </w:p>
    <w:p w14:paraId="0C4CCAF1" w14:textId="77777777" w:rsidR="001C0FE2" w:rsidRPr="00B7682F" w:rsidRDefault="001C0FE2"/>
    <w:p w14:paraId="007B6509" w14:textId="7985C4FC" w:rsidR="00873307" w:rsidRDefault="00B70A96" w:rsidP="006B027F">
      <w:pPr>
        <w:pStyle w:val="Heading2"/>
      </w:pPr>
      <w:bookmarkStart w:id="534" w:name="_Toc348686470"/>
      <w:bookmarkStart w:id="535" w:name="_Toc419116254"/>
      <w:r>
        <w:t>C</w:t>
      </w:r>
      <w:r w:rsidR="00873307">
        <w:t xml:space="preserve">ulture and the hidden curriculum in </w:t>
      </w:r>
      <w:bookmarkEnd w:id="534"/>
      <w:r w:rsidR="001D42C9">
        <w:t>healthcare</w:t>
      </w:r>
      <w:bookmarkEnd w:id="535"/>
    </w:p>
    <w:p w14:paraId="18DFCD1C" w14:textId="77777777" w:rsidR="00873307" w:rsidRDefault="00873307" w:rsidP="00873307">
      <w:pPr>
        <w:keepNext/>
      </w:pPr>
      <w:r>
        <w:rPr>
          <w:noProof/>
          <w:lang w:val="en-US"/>
        </w:rPr>
        <w:drawing>
          <wp:inline distT="0" distB="0" distL="0" distR="0" wp14:anchorId="2030E887" wp14:editId="438F8983">
            <wp:extent cx="5669280" cy="5977890"/>
            <wp:effectExtent l="133350" t="0" r="140970" b="0"/>
            <wp:docPr id="92" name="Diagram 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1" r:lo="rId242" r:qs="rId243" r:cs="rId244"/>
              </a:graphicData>
            </a:graphic>
          </wp:inline>
        </w:drawing>
      </w:r>
    </w:p>
    <w:p w14:paraId="3B5F86AE" w14:textId="50B2CBA4" w:rsidR="002C4020" w:rsidRDefault="00873307" w:rsidP="007000F8">
      <w:pPr>
        <w:pStyle w:val="Caption"/>
      </w:pPr>
      <w:bookmarkStart w:id="536" w:name="_Toc368056069"/>
      <w:bookmarkStart w:id="537" w:name="_Toc419116486"/>
      <w:bookmarkStart w:id="538" w:name="_Toc365579468"/>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6</w:t>
      </w:r>
      <w:r w:rsidR="009A2F08">
        <w:fldChar w:fldCharType="end"/>
      </w:r>
      <w:r>
        <w:t xml:space="preserve"> Relationship diagram to summari</w:t>
      </w:r>
      <w:r w:rsidR="00355787">
        <w:t>se</w:t>
      </w:r>
      <w:r>
        <w:t xml:space="preserve"> culture and the hidden curriculum in </w:t>
      </w:r>
      <w:r w:rsidR="001D42C9">
        <w:t>healthcare</w:t>
      </w:r>
      <w:bookmarkEnd w:id="536"/>
      <w:bookmarkEnd w:id="537"/>
      <w:r>
        <w:t xml:space="preserve"> </w:t>
      </w:r>
      <w:bookmarkEnd w:id="538"/>
    </w:p>
    <w:p w14:paraId="32D2819D" w14:textId="77777777" w:rsidR="00B53F9A" w:rsidRPr="00B53F9A" w:rsidRDefault="00B53F9A" w:rsidP="00B53F9A"/>
    <w:p w14:paraId="5ABE925B" w14:textId="63F555DD" w:rsidR="002C4020" w:rsidRDefault="00B70A96" w:rsidP="006B027F">
      <w:pPr>
        <w:pStyle w:val="Heading2"/>
      </w:pPr>
      <w:bookmarkStart w:id="539" w:name="_Toc348686471"/>
      <w:bookmarkStart w:id="540" w:name="_Toc419116255"/>
      <w:r>
        <w:lastRenderedPageBreak/>
        <w:t>M</w:t>
      </w:r>
      <w:r w:rsidR="002C4020">
        <w:t xml:space="preserve">ethods to address culture and the hidden curriculum in </w:t>
      </w:r>
      <w:bookmarkEnd w:id="539"/>
      <w:r w:rsidR="001D42C9">
        <w:t>healthcare</w:t>
      </w:r>
      <w:bookmarkEnd w:id="540"/>
    </w:p>
    <w:p w14:paraId="5C01A265" w14:textId="77777777" w:rsidR="002C4020" w:rsidRDefault="002C4020" w:rsidP="002C4020">
      <w:pPr>
        <w:keepNext/>
      </w:pPr>
      <w:r w:rsidRPr="00C9395B">
        <w:rPr>
          <w:rFonts w:cs="Arial"/>
          <w:noProof/>
          <w:lang w:val="en-US"/>
        </w:rPr>
        <w:drawing>
          <wp:inline distT="0" distB="0" distL="0" distR="0" wp14:anchorId="1DA360AB" wp14:editId="06C32711">
            <wp:extent cx="5605780" cy="5266690"/>
            <wp:effectExtent l="0" t="19050" r="0" b="67310"/>
            <wp:docPr id="94" name="Diagram 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6" r:lo="rId247" r:qs="rId248" r:cs="rId249"/>
              </a:graphicData>
            </a:graphic>
          </wp:inline>
        </w:drawing>
      </w:r>
    </w:p>
    <w:p w14:paraId="45BFE7C4" w14:textId="4F9378A9" w:rsidR="002C4020" w:rsidRDefault="002C4020" w:rsidP="007000F8">
      <w:pPr>
        <w:pStyle w:val="Caption"/>
      </w:pPr>
      <w:bookmarkStart w:id="541" w:name="_Toc368056070"/>
      <w:bookmarkStart w:id="542" w:name="_Toc419116487"/>
      <w:bookmarkStart w:id="543" w:name="_Toc365579469"/>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7</w:t>
      </w:r>
      <w:r w:rsidR="009A2F08">
        <w:fldChar w:fldCharType="end"/>
      </w:r>
      <w:r>
        <w:t xml:space="preserve"> </w:t>
      </w:r>
      <w:r w:rsidR="00986E0B">
        <w:t>M</w:t>
      </w:r>
      <w:r>
        <w:t xml:space="preserve">ethods to address the culture and hidden curriculum in </w:t>
      </w:r>
      <w:r w:rsidR="001D42C9">
        <w:t>healthcare</w:t>
      </w:r>
      <w:bookmarkEnd w:id="541"/>
      <w:bookmarkEnd w:id="542"/>
      <w:r>
        <w:t xml:space="preserve"> </w:t>
      </w:r>
      <w:bookmarkEnd w:id="543"/>
    </w:p>
    <w:p w14:paraId="50C333AF" w14:textId="77777777" w:rsidR="00B53F9A" w:rsidRPr="00B53F9A" w:rsidRDefault="00B53F9A" w:rsidP="00B53F9A"/>
    <w:p w14:paraId="183B8B0A" w14:textId="672842E5" w:rsidR="00B617DC" w:rsidRDefault="00B617DC" w:rsidP="006B027F">
      <w:pPr>
        <w:pStyle w:val="Heading2"/>
      </w:pPr>
      <w:bookmarkStart w:id="544" w:name="_Toc419116256"/>
      <w:bookmarkStart w:id="545" w:name="_Toc348686472"/>
      <w:r>
        <w:lastRenderedPageBreak/>
        <w:t>Human factors</w:t>
      </w:r>
      <w:bookmarkEnd w:id="544"/>
      <w:r>
        <w:t xml:space="preserve"> </w:t>
      </w:r>
      <w:bookmarkEnd w:id="545"/>
    </w:p>
    <w:p w14:paraId="3F51AE10" w14:textId="77777777" w:rsidR="00B617DC" w:rsidRDefault="00B617DC" w:rsidP="00B617DC">
      <w:pPr>
        <w:keepNext/>
      </w:pPr>
      <w:r>
        <w:rPr>
          <w:noProof/>
          <w:lang w:val="en-US"/>
        </w:rPr>
        <w:drawing>
          <wp:inline distT="0" distB="0" distL="0" distR="0" wp14:anchorId="5AD6EEF3" wp14:editId="12F1F091">
            <wp:extent cx="5986780" cy="4758690"/>
            <wp:effectExtent l="76200" t="0" r="71120" b="0"/>
            <wp:docPr id="95" name="Diagram 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1" r:lo="rId252" r:qs="rId253" r:cs="rId254"/>
              </a:graphicData>
            </a:graphic>
          </wp:inline>
        </w:drawing>
      </w:r>
    </w:p>
    <w:p w14:paraId="3B8F74D4" w14:textId="5D96635E" w:rsidR="00B617DC" w:rsidRDefault="00B617DC" w:rsidP="007000F8">
      <w:pPr>
        <w:pStyle w:val="Caption"/>
      </w:pPr>
      <w:bookmarkStart w:id="546" w:name="_Toc368056071"/>
      <w:bookmarkStart w:id="547" w:name="_Toc419116488"/>
      <w:bookmarkStart w:id="548" w:name="_Toc365579470"/>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8</w:t>
      </w:r>
      <w:r w:rsidR="009A2F08">
        <w:fldChar w:fldCharType="end"/>
      </w:r>
      <w:r>
        <w:t xml:space="preserve"> </w:t>
      </w:r>
      <w:r w:rsidR="00684DF0">
        <w:t>H</w:t>
      </w:r>
      <w:r>
        <w:t>uman factors</w:t>
      </w:r>
      <w:bookmarkEnd w:id="546"/>
      <w:bookmarkEnd w:id="547"/>
      <w:r>
        <w:t xml:space="preserve"> </w:t>
      </w:r>
      <w:bookmarkEnd w:id="548"/>
    </w:p>
    <w:p w14:paraId="6BA29DA2" w14:textId="77777777" w:rsidR="00B53F9A" w:rsidRPr="00B53F9A" w:rsidRDefault="00B53F9A" w:rsidP="00B53F9A"/>
    <w:p w14:paraId="7E3A092B" w14:textId="5D4457A2" w:rsidR="00D00603" w:rsidRDefault="00D00603" w:rsidP="006B027F">
      <w:pPr>
        <w:pStyle w:val="Heading2"/>
      </w:pPr>
      <w:bookmarkStart w:id="549" w:name="_Toc419116257"/>
      <w:r>
        <w:lastRenderedPageBreak/>
        <w:t>Non-</w:t>
      </w:r>
      <w:r w:rsidR="00B60302">
        <w:t>technical</w:t>
      </w:r>
      <w:r>
        <w:t xml:space="preserve"> skills</w:t>
      </w:r>
      <w:bookmarkEnd w:id="549"/>
    </w:p>
    <w:p w14:paraId="137EB63A" w14:textId="77777777" w:rsidR="00D00603" w:rsidRDefault="00D00603" w:rsidP="00D00603">
      <w:pPr>
        <w:keepNext/>
      </w:pPr>
      <w:r>
        <w:rPr>
          <w:noProof/>
          <w:lang w:val="en-US"/>
        </w:rPr>
        <w:drawing>
          <wp:inline distT="0" distB="0" distL="0" distR="0" wp14:anchorId="5383E428" wp14:editId="2539BB0C">
            <wp:extent cx="5758180" cy="4872990"/>
            <wp:effectExtent l="76200" t="0" r="71120" b="0"/>
            <wp:docPr id="96" name="Diagram 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6" r:lo="rId257" r:qs="rId258" r:cs="rId259"/>
              </a:graphicData>
            </a:graphic>
          </wp:inline>
        </w:drawing>
      </w:r>
    </w:p>
    <w:p w14:paraId="7F218F6E" w14:textId="7E7F5164" w:rsidR="00D00603" w:rsidRDefault="00D00603" w:rsidP="007000F8">
      <w:pPr>
        <w:pStyle w:val="Caption"/>
      </w:pPr>
      <w:bookmarkStart w:id="550" w:name="_Toc365579471"/>
      <w:bookmarkStart w:id="551" w:name="_Toc368056072"/>
      <w:bookmarkStart w:id="552" w:name="_Toc419116489"/>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9</w:t>
      </w:r>
      <w:r w:rsidR="009A2F08">
        <w:fldChar w:fldCharType="end"/>
      </w:r>
      <w:r>
        <w:t xml:space="preserve"> </w:t>
      </w:r>
      <w:r w:rsidR="00684DF0">
        <w:t>N</w:t>
      </w:r>
      <w:r>
        <w:t>on-technical skills from framework analysis of triangulated data</w:t>
      </w:r>
      <w:bookmarkEnd w:id="550"/>
      <w:bookmarkEnd w:id="551"/>
      <w:bookmarkEnd w:id="552"/>
    </w:p>
    <w:p w14:paraId="5886409E" w14:textId="77777777" w:rsidR="00B53F9A" w:rsidRPr="00B53F9A" w:rsidRDefault="00B53F9A" w:rsidP="00B53F9A"/>
    <w:p w14:paraId="27436C4A" w14:textId="469231F2" w:rsidR="005D0A86" w:rsidRPr="00431229" w:rsidRDefault="009915E6" w:rsidP="006B027F">
      <w:pPr>
        <w:pStyle w:val="Heading2"/>
      </w:pPr>
      <w:bookmarkStart w:id="553" w:name="_Toc419116258"/>
      <w:r>
        <w:lastRenderedPageBreak/>
        <w:t>Human factors: When and h</w:t>
      </w:r>
      <w:r w:rsidR="005D0A86">
        <w:t>ow to teach</w:t>
      </w:r>
      <w:bookmarkEnd w:id="553"/>
    </w:p>
    <w:p w14:paraId="2DD35624" w14:textId="77777777" w:rsidR="005D0A86" w:rsidRDefault="005D0A86" w:rsidP="005D0A86">
      <w:pPr>
        <w:keepNext/>
      </w:pPr>
      <w:r w:rsidRPr="00395A04">
        <w:rPr>
          <w:noProof/>
          <w:lang w:val="en-US"/>
        </w:rPr>
        <w:drawing>
          <wp:inline distT="0" distB="0" distL="0" distR="0" wp14:anchorId="54912CF3" wp14:editId="52D6E8B8">
            <wp:extent cx="5491480" cy="5380990"/>
            <wp:effectExtent l="0" t="38100" r="0" b="67310"/>
            <wp:docPr id="97" name="Diagram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1" r:lo="rId262" r:qs="rId263" r:cs="rId264"/>
              </a:graphicData>
            </a:graphic>
          </wp:inline>
        </w:drawing>
      </w:r>
    </w:p>
    <w:p w14:paraId="1F9C7008" w14:textId="4691337B" w:rsidR="005D0A86" w:rsidRDefault="005D0A86" w:rsidP="007000F8">
      <w:pPr>
        <w:pStyle w:val="Caption"/>
      </w:pPr>
      <w:bookmarkStart w:id="554" w:name="_Toc365579472"/>
      <w:bookmarkStart w:id="555" w:name="_Toc368056073"/>
      <w:bookmarkStart w:id="556" w:name="_Toc419116490"/>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10</w:t>
      </w:r>
      <w:r w:rsidR="009A2F08">
        <w:fldChar w:fldCharType="end"/>
      </w:r>
      <w:r>
        <w:t xml:space="preserve"> </w:t>
      </w:r>
      <w:r w:rsidR="00717D6A">
        <w:t>W</w:t>
      </w:r>
      <w:r>
        <w:t xml:space="preserve">hen and how to teach human factors in </w:t>
      </w:r>
      <w:r w:rsidR="001D42C9">
        <w:t>healthcare</w:t>
      </w:r>
      <w:r>
        <w:t xml:space="preserve"> </w:t>
      </w:r>
      <w:bookmarkEnd w:id="554"/>
      <w:r w:rsidR="00717D6A">
        <w:t>–key themes</w:t>
      </w:r>
      <w:bookmarkEnd w:id="555"/>
      <w:bookmarkEnd w:id="556"/>
    </w:p>
    <w:p w14:paraId="3169D57A" w14:textId="77777777" w:rsidR="00B53F9A" w:rsidRPr="00B53F9A" w:rsidRDefault="00B53F9A" w:rsidP="00B53F9A"/>
    <w:p w14:paraId="11AA1EAC" w14:textId="5E23F506" w:rsidR="00AF0AE1" w:rsidRPr="00AF0AE1" w:rsidRDefault="00AF0AE1" w:rsidP="006B027F">
      <w:pPr>
        <w:pStyle w:val="Heading2"/>
      </w:pPr>
      <w:bookmarkStart w:id="557" w:name="_Toc419116259"/>
      <w:r>
        <w:lastRenderedPageBreak/>
        <w:t>Chall</w:t>
      </w:r>
      <w:r w:rsidR="00CC1277">
        <w:t xml:space="preserve">enges and barriers for </w:t>
      </w:r>
      <w:r w:rsidR="0070140D">
        <w:t>simulation-based</w:t>
      </w:r>
      <w:r w:rsidR="00CC1277">
        <w:t xml:space="preserve"> medical education</w:t>
      </w:r>
      <w:bookmarkEnd w:id="557"/>
    </w:p>
    <w:p w14:paraId="22FB709F" w14:textId="77777777" w:rsidR="008D6FDD" w:rsidRDefault="00AF0AE1">
      <w:pPr>
        <w:keepNext/>
      </w:pPr>
      <w:r>
        <w:t xml:space="preserve"> </w:t>
      </w:r>
      <w:r w:rsidR="008D6FDD">
        <w:rPr>
          <w:noProof/>
          <w:lang w:val="en-US"/>
        </w:rPr>
        <w:drawing>
          <wp:inline distT="0" distB="0" distL="0" distR="0" wp14:anchorId="4ED21FAC" wp14:editId="127D9C5B">
            <wp:extent cx="5800725" cy="2429480"/>
            <wp:effectExtent l="0" t="0" r="0" b="9525"/>
            <wp:docPr id="59" name="Picture 59" descr="Macintosh HD:Users:Fliss:Desktop:Screen Shot 2017-09-08 at 00.1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iss:Desktop:Screen Shot 2017-09-08 at 00.17.22.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800855" cy="2429535"/>
                    </a:xfrm>
                    <a:prstGeom prst="rect">
                      <a:avLst/>
                    </a:prstGeom>
                    <a:noFill/>
                    <a:ln>
                      <a:noFill/>
                    </a:ln>
                  </pic:spPr>
                </pic:pic>
              </a:graphicData>
            </a:graphic>
          </wp:inline>
        </w:drawing>
      </w:r>
    </w:p>
    <w:p w14:paraId="46676534" w14:textId="2DF58926" w:rsidR="00AF0AE1" w:rsidRDefault="008D6FDD" w:rsidP="007000F8">
      <w:pPr>
        <w:pStyle w:val="Caption"/>
      </w:pPr>
      <w:bookmarkStart w:id="558" w:name="_Toc368056074"/>
      <w:bookmarkStart w:id="559" w:name="_Toc419116491"/>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11</w:t>
      </w:r>
      <w:r w:rsidR="009A2F08">
        <w:fldChar w:fldCharType="end"/>
      </w:r>
      <w:r>
        <w:t xml:space="preserve"> </w:t>
      </w:r>
      <w:r w:rsidR="008E4B1F">
        <w:t>Q</w:t>
      </w:r>
      <w:r>
        <w:t>uality as a main theme related to challenges and barriers for SBME</w:t>
      </w:r>
      <w:bookmarkEnd w:id="558"/>
      <w:bookmarkEnd w:id="559"/>
      <w:r>
        <w:t xml:space="preserve"> </w:t>
      </w:r>
    </w:p>
    <w:p w14:paraId="77805D8D" w14:textId="63AAD5E4" w:rsidR="00AF0AE1" w:rsidRDefault="00AF0AE1" w:rsidP="00AF0AE1">
      <w:r>
        <w:t xml:space="preserve">In terms of quality there were four main areas that emerged when </w:t>
      </w:r>
      <w:r w:rsidR="00B60302">
        <w:t>analysing</w:t>
      </w:r>
      <w:r>
        <w:t xml:space="preserve"> </w:t>
      </w:r>
      <w:r w:rsidR="00B60302">
        <w:t>triangulated</w:t>
      </w:r>
      <w:r>
        <w:t xml:space="preserve"> data through the process of framework analysis. The first was quality assurance (QA) and included the challenge of ensuring QA without </w:t>
      </w:r>
      <w:r w:rsidR="00B60302">
        <w:t>stifling</w:t>
      </w:r>
      <w:r>
        <w:t xml:space="preserve"> local innovation. There was debate amongst experts about whether practice needed to be standardised with some feeling this was a vital step and others feeling that the beauty and key to excellent simulation was the rich variety in faculty and their individual traits that they bring. Peer review was felt to be key to supporting and quality assuring simulated practice and some experts described having set this up and the </w:t>
      </w:r>
      <w:r w:rsidR="00B60302">
        <w:t>challenges</w:t>
      </w:r>
      <w:r>
        <w:t xml:space="preserve"> with getting time and resources to support it. The final challenge was measurement of outcomes and effect to satisfy those still searching for evidence and to justify some centres high cost with maintenance and repairs. </w:t>
      </w:r>
    </w:p>
    <w:p w14:paraId="1291EC9A" w14:textId="29495BA6" w:rsidR="00AF0AE1" w:rsidRDefault="00AF0AE1" w:rsidP="00AF0AE1">
      <w:r>
        <w:lastRenderedPageBreak/>
        <w:t xml:space="preserve">The second area was labelled ‘educationally sound’ and was divided </w:t>
      </w:r>
      <w:r w:rsidR="000A27DF">
        <w:t>into</w:t>
      </w:r>
      <w:r>
        <w:t xml:space="preserve"> the importance of avoidance of didactic and </w:t>
      </w:r>
      <w:r w:rsidR="001D42C9">
        <w:t>judgment</w:t>
      </w:r>
      <w:r>
        <w:t xml:space="preserve">al approaches through faculty training including how to debrief, creation of a safe environment and good planning and a clear structure for the sessions. Creation of a safe environment involved the steps of familiarisation with the mannequin, equipment and environment, development and sharing of clear learning outcomes, employment of meaningful </w:t>
      </w:r>
      <w:r w:rsidR="00A645DC">
        <w:t>interprofessional</w:t>
      </w:r>
      <w:r>
        <w:t xml:space="preserve"> learning and a structured debrief to support reflection on action and how to share and learn from mistakes. </w:t>
      </w:r>
    </w:p>
    <w:p w14:paraId="032E8586" w14:textId="687BE8D0" w:rsidR="00AF0AE1" w:rsidRDefault="00AF0AE1" w:rsidP="00AF0AE1">
      <w:r>
        <w:t xml:space="preserve">Faculty was subdivided </w:t>
      </w:r>
      <w:r w:rsidR="000A27DF">
        <w:t>into</w:t>
      </w:r>
      <w:r>
        <w:t xml:space="preserve"> the importance of ‘ethos’ and having a similar ethos when involved in education, experience and credibility, training and peer review, multitasking skills and the importance of being flexible, empathic to learners hand having a reasonable level of emotional intelligence. The concept of </w:t>
      </w:r>
      <w:r w:rsidR="00B60302">
        <w:t>multitasking</w:t>
      </w:r>
      <w:r>
        <w:t xml:space="preserve"> was felt to be important owing to the skills set required to include technical skills with </w:t>
      </w:r>
      <w:r w:rsidR="00B60302">
        <w:t>running</w:t>
      </w:r>
      <w:r>
        <w:t xml:space="preserve"> the mannequin and equipment, facilitative skills to allow </w:t>
      </w:r>
      <w:r w:rsidR="00690057">
        <w:t>c</w:t>
      </w:r>
      <w:r w:rsidR="005F705F">
        <w:t>andidate</w:t>
      </w:r>
      <w:r>
        <w:t xml:space="preserve">s to </w:t>
      </w:r>
      <w:r w:rsidR="00B60302">
        <w:t>discover</w:t>
      </w:r>
      <w:r>
        <w:t xml:space="preserve"> areas of development required themselves and opportunity to role model professional and supportive behaviours (Interview 1-10, field notes form </w:t>
      </w:r>
      <w:r w:rsidR="00173DE4">
        <w:t>focus group</w:t>
      </w:r>
      <w:r>
        <w:t xml:space="preserve">s from intervention study). </w:t>
      </w:r>
    </w:p>
    <w:p w14:paraId="2AC51449" w14:textId="402160D9" w:rsidR="00AF0AE1" w:rsidRDefault="00AF0AE1" w:rsidP="00AF0AE1">
      <w:r>
        <w:t>The final area linked to quality assurance in many ways was ‘evidence’, again the challenge of proof of effect to represent quality</w:t>
      </w:r>
      <w:r w:rsidR="00440EE8">
        <w:t>,</w:t>
      </w:r>
      <w:r>
        <w:t xml:space="preserve"> </w:t>
      </w:r>
      <w:r w:rsidR="00091C61">
        <w:t>focusing</w:t>
      </w:r>
      <w:r>
        <w:t xml:space="preserve"> on patient safety and outcomes which is known to be very difficult to achieve and one area of particular challenge personally experienced with this study. There was also a strong view by many</w:t>
      </w:r>
      <w:r w:rsidR="00440EE8">
        <w:t xml:space="preserve"> that the added value of simula</w:t>
      </w:r>
      <w:r>
        <w:t>t</w:t>
      </w:r>
      <w:r w:rsidR="00440EE8">
        <w:t>i</w:t>
      </w:r>
      <w:r>
        <w:t xml:space="preserve">on was the opportunity for behavioural change to impact efficiency and patient safety but the challenge of </w:t>
      </w:r>
      <w:r>
        <w:lastRenderedPageBreak/>
        <w:t>measuring and proving behavioural change was seen as a barrier (Interview 2,3,8,9,10).</w:t>
      </w:r>
    </w:p>
    <w:p w14:paraId="22C9547D" w14:textId="77777777" w:rsidR="00A832FB" w:rsidRDefault="00A832FB" w:rsidP="00A832FB">
      <w:pPr>
        <w:keepNext/>
      </w:pPr>
      <w:r>
        <w:rPr>
          <w:noProof/>
          <w:lang w:val="en-US"/>
        </w:rPr>
        <w:lastRenderedPageBreak/>
        <w:drawing>
          <wp:inline distT="0" distB="0" distL="0" distR="0" wp14:anchorId="43EA07C0" wp14:editId="4D27927E">
            <wp:extent cx="5897880" cy="3742690"/>
            <wp:effectExtent l="57150" t="0" r="26670" b="0"/>
            <wp:docPr id="99" name="Diagram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7" r:lo="rId268" r:qs="rId269" r:cs="rId270"/>
              </a:graphicData>
            </a:graphic>
          </wp:inline>
        </w:drawing>
      </w:r>
    </w:p>
    <w:p w14:paraId="1B7F66F9" w14:textId="4AE5991E" w:rsidR="00440EE8" w:rsidRDefault="00A832FB" w:rsidP="007000F8">
      <w:pPr>
        <w:pStyle w:val="Caption"/>
      </w:pPr>
      <w:bookmarkStart w:id="560" w:name="_Toc365579474"/>
      <w:bookmarkStart w:id="561" w:name="_Toc368056075"/>
      <w:bookmarkStart w:id="562" w:name="_Toc419116492"/>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12</w:t>
      </w:r>
      <w:r w:rsidR="009A2F08">
        <w:fldChar w:fldCharType="end"/>
      </w:r>
      <w:r>
        <w:t xml:space="preserve"> </w:t>
      </w:r>
      <w:r w:rsidR="001735A4">
        <w:t>M</w:t>
      </w:r>
      <w:r w:rsidR="00B60302">
        <w:t>onetary</w:t>
      </w:r>
      <w:r>
        <w:t xml:space="preserve"> issues surrounding the challenges and barriers of SBME</w:t>
      </w:r>
      <w:bookmarkEnd w:id="560"/>
      <w:bookmarkEnd w:id="561"/>
      <w:bookmarkEnd w:id="562"/>
    </w:p>
    <w:p w14:paraId="14E1460C" w14:textId="77777777" w:rsidR="00A832FB" w:rsidRDefault="00A832FB" w:rsidP="00A832FB">
      <w:pPr>
        <w:keepNext/>
      </w:pPr>
      <w:r>
        <w:rPr>
          <w:noProof/>
          <w:lang w:val="en-US"/>
        </w:rPr>
        <w:lastRenderedPageBreak/>
        <w:drawing>
          <wp:inline distT="0" distB="0" distL="0" distR="0" wp14:anchorId="05C1FD74" wp14:editId="083B021D">
            <wp:extent cx="6126480" cy="4669790"/>
            <wp:effectExtent l="57150" t="0" r="26670" b="0"/>
            <wp:docPr id="100" name="Diagram 1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2" r:lo="rId273" r:qs="rId274" r:cs="rId275"/>
              </a:graphicData>
            </a:graphic>
          </wp:inline>
        </w:drawing>
      </w:r>
    </w:p>
    <w:p w14:paraId="2148ED3D" w14:textId="1255CF50" w:rsidR="00A832FB" w:rsidRDefault="00A832FB" w:rsidP="007000F8">
      <w:pPr>
        <w:pStyle w:val="Caption"/>
      </w:pPr>
      <w:bookmarkStart w:id="563" w:name="_Toc365579475"/>
      <w:bookmarkStart w:id="564" w:name="_Toc368056076"/>
      <w:bookmarkStart w:id="565" w:name="_Toc419116493"/>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13</w:t>
      </w:r>
      <w:r w:rsidR="009A2F08">
        <w:fldChar w:fldCharType="end"/>
      </w:r>
      <w:r>
        <w:t xml:space="preserve"> </w:t>
      </w:r>
      <w:r w:rsidR="004752FA">
        <w:t>Physical</w:t>
      </w:r>
      <w:r>
        <w:t xml:space="preserve"> issues related to challenges and barriers for SBME </w:t>
      </w:r>
      <w:bookmarkEnd w:id="563"/>
      <w:r w:rsidR="004752FA">
        <w:t>– key themes</w:t>
      </w:r>
      <w:bookmarkEnd w:id="564"/>
      <w:bookmarkEnd w:id="565"/>
    </w:p>
    <w:p w14:paraId="442F6843" w14:textId="77777777" w:rsidR="00B53F9A" w:rsidRPr="00B53F9A" w:rsidRDefault="00B53F9A" w:rsidP="00B53F9A"/>
    <w:p w14:paraId="080FBA09" w14:textId="2FD503D0" w:rsidR="00543B0E" w:rsidRDefault="004F2428" w:rsidP="006B027F">
      <w:pPr>
        <w:pStyle w:val="Heading2"/>
      </w:pPr>
      <w:bookmarkStart w:id="566" w:name="_Toc419116260"/>
      <w:r>
        <w:lastRenderedPageBreak/>
        <w:t>Fidelity</w:t>
      </w:r>
      <w:bookmarkEnd w:id="566"/>
    </w:p>
    <w:p w14:paraId="2E2A7C69" w14:textId="77777777" w:rsidR="004F2428" w:rsidRDefault="004F2428" w:rsidP="004F2428">
      <w:pPr>
        <w:keepNext/>
      </w:pPr>
      <w:r>
        <w:rPr>
          <w:noProof/>
          <w:lang w:val="en-US"/>
        </w:rPr>
        <w:drawing>
          <wp:inline distT="0" distB="0" distL="0" distR="0" wp14:anchorId="08952C38" wp14:editId="3813BBEA">
            <wp:extent cx="5491480" cy="5342890"/>
            <wp:effectExtent l="38100" t="0" r="71120" b="0"/>
            <wp:docPr id="101" name="Diagram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7" r:lo="rId278" r:qs="rId279" r:cs="rId280"/>
              </a:graphicData>
            </a:graphic>
          </wp:inline>
        </w:drawing>
      </w:r>
    </w:p>
    <w:p w14:paraId="2EF38B35" w14:textId="0B415CF9" w:rsidR="004F2428" w:rsidRDefault="004F2428" w:rsidP="007000F8">
      <w:pPr>
        <w:pStyle w:val="Caption"/>
      </w:pPr>
      <w:bookmarkStart w:id="567" w:name="_Toc365579476"/>
      <w:bookmarkStart w:id="568" w:name="_Toc368056077"/>
      <w:bookmarkStart w:id="569" w:name="_Toc419116494"/>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14</w:t>
      </w:r>
      <w:r w:rsidR="009A2F08">
        <w:fldChar w:fldCharType="end"/>
      </w:r>
      <w:r>
        <w:t xml:space="preserve"> </w:t>
      </w:r>
      <w:r w:rsidR="00813358">
        <w:t>F</w:t>
      </w:r>
      <w:r>
        <w:t xml:space="preserve">idelity and </w:t>
      </w:r>
      <w:r w:rsidR="00B60302">
        <w:t xml:space="preserve">SBME </w:t>
      </w:r>
      <w:bookmarkEnd w:id="567"/>
      <w:r w:rsidR="00813358">
        <w:t>– key themes</w:t>
      </w:r>
      <w:bookmarkEnd w:id="568"/>
      <w:bookmarkEnd w:id="569"/>
    </w:p>
    <w:p w14:paraId="1DCA81D3" w14:textId="77777777" w:rsidR="00A9684B" w:rsidRDefault="00A9684B" w:rsidP="006B027F"/>
    <w:p w14:paraId="7CE3429B" w14:textId="77777777" w:rsidR="00A9684B" w:rsidRDefault="00A9684B" w:rsidP="006B027F"/>
    <w:p w14:paraId="357F3509" w14:textId="77777777" w:rsidR="00A9684B" w:rsidRDefault="00A9684B" w:rsidP="006B027F"/>
    <w:p w14:paraId="6C227681" w14:textId="77777777" w:rsidR="00A9684B" w:rsidRPr="00A9684B" w:rsidRDefault="00A9684B" w:rsidP="006B027F"/>
    <w:p w14:paraId="00880E77" w14:textId="1A001FED" w:rsidR="005A49B0" w:rsidRDefault="005A49B0" w:rsidP="006B027F">
      <w:pPr>
        <w:pStyle w:val="Heading2"/>
      </w:pPr>
      <w:bookmarkStart w:id="570" w:name="_Toc419116261"/>
      <w:r>
        <w:lastRenderedPageBreak/>
        <w:t>Faculty for SBME</w:t>
      </w:r>
      <w:bookmarkEnd w:id="570"/>
    </w:p>
    <w:p w14:paraId="11D58704" w14:textId="77777777" w:rsidR="009915E6" w:rsidRPr="009915E6" w:rsidRDefault="009915E6"/>
    <w:p w14:paraId="331C3E4D" w14:textId="33F65393" w:rsidR="005A49B0" w:rsidRDefault="005A49B0" w:rsidP="005A49B0">
      <w:r>
        <w:t xml:space="preserve">There were four main themes that emerged related to faculty for SBME, the first ‘knowledge’ related to the importance of awareness of learner’s current stage and curriculum, as well as knowledge of the expectations of the role they were transitioning </w:t>
      </w:r>
      <w:r w:rsidR="000A27DF">
        <w:t>into</w:t>
      </w:r>
      <w:r>
        <w:t xml:space="preserve">. Knowledge and </w:t>
      </w:r>
      <w:r w:rsidR="00B60302">
        <w:t>understanding</w:t>
      </w:r>
      <w:r>
        <w:t xml:space="preserve"> of human factors and non-</w:t>
      </w:r>
      <w:r w:rsidR="00B60302">
        <w:t>technical</w:t>
      </w:r>
      <w:r>
        <w:t xml:space="preserve"> skills, of educational theory were felt to be key. This included experience with planning and facilitating educational sessions and knowledge of the technology and equipment to be used, including limitations of SBME. </w:t>
      </w:r>
    </w:p>
    <w:p w14:paraId="7C751460" w14:textId="77777777" w:rsidR="00A9684B" w:rsidRDefault="00A9684B" w:rsidP="00A9684B">
      <w:r>
        <w:t xml:space="preserve">Clinical experience and resultant credibility was felt to be important to facilitate the sharing of anecdotes, mistakes, personal experience and an understanding of the pressures and complexity of the clinical environment. It was also felt to be important for understanding the influence of medical hierarchy on behaviour and how to challenge hierarchy appropriately to enhance patient safety. </w:t>
      </w:r>
    </w:p>
    <w:p w14:paraId="2B09C1AC" w14:textId="77777777" w:rsidR="00A9684B" w:rsidRDefault="00A9684B" w:rsidP="00A9684B">
      <w:r>
        <w:t xml:space="preserve">The personality characteristics felt to be important for making a good educator and in particular a good SBME educator was flexibility, someone who embraces complexity and was dynamic (Field notes, interview 1,2,5,8,9). It was felt that faculty should be empathic to learners, open, honest, unintimidating and be reflective themselves so aware of own strengths and weaknesses and able to share their own mistakes. It was felt that they should enjoy being challenged and have good facilitative and planning skills. Good faculty were described as respectful, a good role model with good communication and teamworking skills but also able to have fun and enjoy sessions because this transferred to learners (Field notes, focus group 2,5,10, interview 2,8,9,10). </w:t>
      </w:r>
    </w:p>
    <w:p w14:paraId="1AA5332C" w14:textId="77777777" w:rsidR="00A9684B" w:rsidRDefault="00A9684B" w:rsidP="005A49B0"/>
    <w:p w14:paraId="5D8EE2B1" w14:textId="77777777" w:rsidR="005A49B0" w:rsidRDefault="005A49B0" w:rsidP="005A49B0">
      <w:pPr>
        <w:keepNext/>
      </w:pPr>
      <w:r>
        <w:rPr>
          <w:noProof/>
          <w:lang w:val="en-US"/>
        </w:rPr>
        <w:drawing>
          <wp:inline distT="0" distB="0" distL="0" distR="0" wp14:anchorId="4BCC5674" wp14:editId="518B2A55">
            <wp:extent cx="5834380" cy="5812790"/>
            <wp:effectExtent l="19050" t="0" r="13970" b="54610"/>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2" r:lo="rId283" r:qs="rId284" r:cs="rId285"/>
              </a:graphicData>
            </a:graphic>
          </wp:inline>
        </w:drawing>
      </w:r>
    </w:p>
    <w:p w14:paraId="4D9B8E85" w14:textId="61876B40" w:rsidR="005A49B0" w:rsidRDefault="005A49B0" w:rsidP="007000F8">
      <w:pPr>
        <w:pStyle w:val="Caption"/>
      </w:pPr>
      <w:bookmarkStart w:id="571" w:name="_Toc365579477"/>
      <w:bookmarkStart w:id="572" w:name="_Toc368056078"/>
      <w:bookmarkStart w:id="573" w:name="_Toc419116495"/>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15</w:t>
      </w:r>
      <w:r w:rsidR="009A2F08">
        <w:fldChar w:fldCharType="end"/>
      </w:r>
      <w:r>
        <w:t xml:space="preserve"> </w:t>
      </w:r>
      <w:r w:rsidR="005759F7">
        <w:t>F</w:t>
      </w:r>
      <w:r>
        <w:t xml:space="preserve">aculty for SBME </w:t>
      </w:r>
      <w:bookmarkEnd w:id="571"/>
      <w:bookmarkEnd w:id="572"/>
      <w:r w:rsidR="005759F7">
        <w:t>– key themes</w:t>
      </w:r>
      <w:bookmarkEnd w:id="573"/>
    </w:p>
    <w:p w14:paraId="2E63F575" w14:textId="5A44D345" w:rsidR="005A49B0" w:rsidRDefault="005A49B0" w:rsidP="005A49B0">
      <w:r>
        <w:t xml:space="preserve">The final theme, educational skills felt to benefit faculty for SBME, included holding an interest in behaviour and complex cognitive processes (Interview 2,8,10, field notes). </w:t>
      </w:r>
      <w:r w:rsidR="002F4338">
        <w:t>Buy-in</w:t>
      </w:r>
      <w:r w:rsidR="000A27DF">
        <w:t>to</w:t>
      </w:r>
      <w:r>
        <w:t xml:space="preserve"> simulation as an educational tool was felt to be vital to be able to fully immerse themselves and take it </w:t>
      </w:r>
      <w:r w:rsidR="00B60302">
        <w:t>seriously</w:t>
      </w:r>
      <w:r>
        <w:t xml:space="preserve"> as well as having good debriefing and facilitative skills (Interview 5,8,field notes). It was felt </w:t>
      </w:r>
      <w:r>
        <w:lastRenderedPageBreak/>
        <w:t>they should have an understanding of how to apply educational theory, plan sessions and have some classroom management skills and experience (Interview 3, field notes). Ability to multitask, work well as part of a team and with technology and embrace human factors as well as the environment were felt to be vital (</w:t>
      </w:r>
      <w:r w:rsidR="00173DE4">
        <w:t>focus group</w:t>
      </w:r>
      <w:r>
        <w:t xml:space="preserve"> 1-19, interview 1-10, field notes form intervention study). As described above there was a divide between experts when considering how to train faculty with some holding the view that local training and peer review was practical and achievable with minimal impact on </w:t>
      </w:r>
      <w:r w:rsidR="00B60302">
        <w:t>stifling</w:t>
      </w:r>
      <w:r>
        <w:t xml:space="preserve"> </w:t>
      </w:r>
      <w:r w:rsidR="00B60302">
        <w:t>enthusiasm</w:t>
      </w:r>
      <w:r>
        <w:t xml:space="preserve"> and innovation whilst others voiced the need for standardisation, co-ordinated and </w:t>
      </w:r>
      <w:r w:rsidR="00B60302">
        <w:t>centralised</w:t>
      </w:r>
      <w:r>
        <w:t xml:space="preserve"> national accreditation to try and drive up standards (Interview 2,3,4,5,8,9,10). </w:t>
      </w:r>
    </w:p>
    <w:p w14:paraId="697FA38D" w14:textId="77777777" w:rsidR="00C815A6" w:rsidRDefault="00C815A6" w:rsidP="005A49B0"/>
    <w:p w14:paraId="60B24DDC" w14:textId="77777777" w:rsidR="00C815A6" w:rsidRDefault="00C815A6" w:rsidP="005A49B0"/>
    <w:p w14:paraId="3361D181" w14:textId="77777777" w:rsidR="00C815A6" w:rsidRDefault="00C815A6" w:rsidP="005A49B0"/>
    <w:p w14:paraId="4AAF20DF" w14:textId="77777777" w:rsidR="00C815A6" w:rsidRDefault="00C815A6" w:rsidP="005A49B0"/>
    <w:p w14:paraId="3B8CF124" w14:textId="77777777" w:rsidR="00C815A6" w:rsidRDefault="00C815A6" w:rsidP="005A49B0"/>
    <w:p w14:paraId="290BBBA9" w14:textId="77777777" w:rsidR="00C815A6" w:rsidRDefault="00C815A6" w:rsidP="005A49B0"/>
    <w:p w14:paraId="422B041B" w14:textId="77777777" w:rsidR="00C815A6" w:rsidRDefault="00C815A6" w:rsidP="005A49B0"/>
    <w:p w14:paraId="6F83F887" w14:textId="77777777" w:rsidR="00C815A6" w:rsidRDefault="00C815A6" w:rsidP="005A49B0"/>
    <w:p w14:paraId="05C07A22" w14:textId="1094EDBB" w:rsidR="009915E6" w:rsidRPr="009915E6" w:rsidRDefault="0063488A" w:rsidP="00B53F9A">
      <w:pPr>
        <w:pStyle w:val="Heading2"/>
      </w:pPr>
      <w:bookmarkStart w:id="574" w:name="_Toc419116262"/>
      <w:r>
        <w:lastRenderedPageBreak/>
        <w:t>Patient safety and SBME</w:t>
      </w:r>
      <w:bookmarkEnd w:id="574"/>
    </w:p>
    <w:p w14:paraId="3090189D" w14:textId="77777777" w:rsidR="0063488A" w:rsidRDefault="0063488A" w:rsidP="0063488A">
      <w:pPr>
        <w:keepNext/>
      </w:pPr>
      <w:r>
        <w:rPr>
          <w:noProof/>
          <w:lang w:val="en-US"/>
        </w:rPr>
        <w:drawing>
          <wp:inline distT="0" distB="0" distL="0" distR="0" wp14:anchorId="6FCFFC0F" wp14:editId="76260D1D">
            <wp:extent cx="5986780" cy="5571490"/>
            <wp:effectExtent l="76200" t="38100" r="71120" b="86360"/>
            <wp:docPr id="103" name="Diagram 1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7" r:lo="rId288" r:qs="rId289" r:cs="rId290"/>
              </a:graphicData>
            </a:graphic>
          </wp:inline>
        </w:drawing>
      </w:r>
    </w:p>
    <w:p w14:paraId="230D1A86" w14:textId="6D86ABAC" w:rsidR="0063488A" w:rsidRDefault="0063488A" w:rsidP="007000F8">
      <w:pPr>
        <w:pStyle w:val="Caption"/>
      </w:pPr>
      <w:bookmarkStart w:id="575" w:name="_Toc365579478"/>
      <w:bookmarkStart w:id="576" w:name="_Toc368056079"/>
      <w:bookmarkStart w:id="577" w:name="_Toc419116496"/>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16</w:t>
      </w:r>
      <w:r w:rsidR="009A2F08">
        <w:fldChar w:fldCharType="end"/>
      </w:r>
      <w:r>
        <w:t xml:space="preserve"> </w:t>
      </w:r>
      <w:r w:rsidR="00A26D02">
        <w:t>P</w:t>
      </w:r>
      <w:r>
        <w:t xml:space="preserve">atient safety in the context of SBME </w:t>
      </w:r>
      <w:bookmarkEnd w:id="575"/>
      <w:bookmarkEnd w:id="576"/>
      <w:r w:rsidR="00A26D02">
        <w:t>– key themes</w:t>
      </w:r>
      <w:bookmarkEnd w:id="577"/>
    </w:p>
    <w:p w14:paraId="3C70C632" w14:textId="77777777" w:rsidR="00B53F9A" w:rsidRPr="00B53F9A" w:rsidRDefault="00B53F9A" w:rsidP="00B53F9A"/>
    <w:p w14:paraId="3026A404" w14:textId="441A2CF7" w:rsidR="00004B38" w:rsidRDefault="00004B38" w:rsidP="006B027F">
      <w:pPr>
        <w:pStyle w:val="Heading2"/>
      </w:pPr>
      <w:bookmarkStart w:id="578" w:name="_Toc419116263"/>
      <w:r>
        <w:lastRenderedPageBreak/>
        <w:t>Planning SBME</w:t>
      </w:r>
      <w:bookmarkEnd w:id="578"/>
    </w:p>
    <w:p w14:paraId="152BE36F" w14:textId="77777777" w:rsidR="00004B38" w:rsidRDefault="00004B38" w:rsidP="00004B38">
      <w:pPr>
        <w:keepNext/>
      </w:pPr>
      <w:r>
        <w:rPr>
          <w:noProof/>
          <w:lang w:val="en-US"/>
        </w:rPr>
        <w:drawing>
          <wp:inline distT="0" distB="0" distL="0" distR="0" wp14:anchorId="36AAF609" wp14:editId="48DBD107">
            <wp:extent cx="5872480" cy="3983990"/>
            <wp:effectExtent l="76200" t="0" r="71120" b="0"/>
            <wp:docPr id="104" name="Diagram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2" r:lo="rId293" r:qs="rId294" r:cs="rId295"/>
              </a:graphicData>
            </a:graphic>
          </wp:inline>
        </w:drawing>
      </w:r>
    </w:p>
    <w:p w14:paraId="4FC0E8AC" w14:textId="02667D2A" w:rsidR="00004B38" w:rsidRDefault="00004B38" w:rsidP="007000F8">
      <w:pPr>
        <w:pStyle w:val="Caption"/>
      </w:pPr>
      <w:bookmarkStart w:id="579" w:name="_Toc365579479"/>
      <w:bookmarkStart w:id="580" w:name="_Toc368056080"/>
      <w:bookmarkStart w:id="581" w:name="_Toc419116497"/>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17</w:t>
      </w:r>
      <w:r w:rsidR="009A2F08">
        <w:fldChar w:fldCharType="end"/>
      </w:r>
      <w:r>
        <w:t xml:space="preserve"> </w:t>
      </w:r>
      <w:r w:rsidR="004217A2">
        <w:t>P</w:t>
      </w:r>
      <w:r>
        <w:t xml:space="preserve">lanning a </w:t>
      </w:r>
      <w:r w:rsidR="0070140D">
        <w:t>simulation-based</w:t>
      </w:r>
      <w:r>
        <w:t xml:space="preserve"> education intervention </w:t>
      </w:r>
      <w:bookmarkEnd w:id="579"/>
      <w:bookmarkEnd w:id="580"/>
      <w:r w:rsidR="004217A2">
        <w:t>– key themes</w:t>
      </w:r>
      <w:bookmarkEnd w:id="581"/>
    </w:p>
    <w:p w14:paraId="7ED48899" w14:textId="77777777" w:rsidR="00F16EEB" w:rsidRDefault="00F16EEB" w:rsidP="006B027F"/>
    <w:p w14:paraId="3F8AAA57" w14:textId="77777777" w:rsidR="00F16EEB" w:rsidRDefault="00F16EEB" w:rsidP="00F16EEB">
      <w:pPr>
        <w:keepNext/>
      </w:pPr>
      <w:r>
        <w:rPr>
          <w:noProof/>
          <w:lang w:val="en-US"/>
        </w:rPr>
        <w:lastRenderedPageBreak/>
        <w:drawing>
          <wp:inline distT="0" distB="0" distL="0" distR="0" wp14:anchorId="622ED3E4" wp14:editId="10B4E1F4">
            <wp:extent cx="5529580" cy="4326890"/>
            <wp:effectExtent l="76200" t="0" r="71120" b="0"/>
            <wp:docPr id="105" name="Diagram 1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7" r:lo="rId298" r:qs="rId299" r:cs="rId300"/>
              </a:graphicData>
            </a:graphic>
          </wp:inline>
        </w:drawing>
      </w:r>
    </w:p>
    <w:p w14:paraId="45B59556" w14:textId="7EAA6FEB" w:rsidR="00F16EEB" w:rsidRDefault="00F16EEB" w:rsidP="007000F8">
      <w:pPr>
        <w:pStyle w:val="Caption"/>
      </w:pPr>
      <w:bookmarkStart w:id="582" w:name="_Toc368056081"/>
      <w:bookmarkStart w:id="583" w:name="_Toc419116498"/>
      <w:bookmarkStart w:id="584" w:name="_Toc365579480"/>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18</w:t>
      </w:r>
      <w:r w:rsidR="009A2F08">
        <w:fldChar w:fldCharType="end"/>
      </w:r>
      <w:r>
        <w:t xml:space="preserve"> </w:t>
      </w:r>
      <w:r w:rsidR="00435CF5">
        <w:t>L</w:t>
      </w:r>
      <w:r>
        <w:t>earning outcomes when designing a SBME intervention</w:t>
      </w:r>
      <w:bookmarkEnd w:id="582"/>
      <w:bookmarkEnd w:id="583"/>
      <w:r>
        <w:t xml:space="preserve"> </w:t>
      </w:r>
      <w:bookmarkEnd w:id="584"/>
    </w:p>
    <w:p w14:paraId="67C9D1C3" w14:textId="77777777" w:rsidR="00491CB2" w:rsidRDefault="00491CB2" w:rsidP="00491CB2">
      <w:pPr>
        <w:keepNext/>
      </w:pPr>
      <w:r>
        <w:rPr>
          <w:noProof/>
          <w:lang w:val="en-US"/>
        </w:rPr>
        <w:lastRenderedPageBreak/>
        <w:drawing>
          <wp:inline distT="0" distB="0" distL="0" distR="0" wp14:anchorId="25F70FB3" wp14:editId="244B5C4F">
            <wp:extent cx="6062980" cy="5241290"/>
            <wp:effectExtent l="0" t="0" r="0" b="0"/>
            <wp:docPr id="106" name="Diagram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2" r:lo="rId303" r:qs="rId304" r:cs="rId305"/>
              </a:graphicData>
            </a:graphic>
          </wp:inline>
        </w:drawing>
      </w:r>
    </w:p>
    <w:p w14:paraId="44810DB1" w14:textId="1F8AF1E7" w:rsidR="00491CB2" w:rsidRDefault="00491CB2" w:rsidP="007000F8">
      <w:pPr>
        <w:pStyle w:val="Caption"/>
      </w:pPr>
      <w:bookmarkStart w:id="585" w:name="_Toc368056082"/>
      <w:bookmarkStart w:id="586" w:name="_Toc419116499"/>
      <w:bookmarkStart w:id="587" w:name="_Toc365579481"/>
      <w:r>
        <w:t xml:space="preserve">Figure </w:t>
      </w:r>
      <w:r w:rsidR="009A2F08">
        <w:fldChar w:fldCharType="begin"/>
      </w:r>
      <w:r w:rsidR="009A2F08">
        <w:instrText xml:space="preserve"> STYLEREF 1 \s </w:instrText>
      </w:r>
      <w:r w:rsidR="009A2F08">
        <w:fldChar w:fldCharType="separate"/>
      </w:r>
      <w:r w:rsidR="007220A7">
        <w:rPr>
          <w:noProof/>
        </w:rPr>
        <w:t>13</w:t>
      </w:r>
      <w:r w:rsidR="009A2F08">
        <w:fldChar w:fldCharType="end"/>
      </w:r>
      <w:r w:rsidR="009A2F08">
        <w:noBreakHyphen/>
      </w:r>
      <w:r w:rsidR="009A2F08">
        <w:fldChar w:fldCharType="begin"/>
      </w:r>
      <w:r w:rsidR="009A2F08">
        <w:instrText xml:space="preserve"> SEQ Figure \* ARABIC \s 1 </w:instrText>
      </w:r>
      <w:r w:rsidR="009A2F08">
        <w:fldChar w:fldCharType="separate"/>
      </w:r>
      <w:r w:rsidR="007220A7">
        <w:rPr>
          <w:noProof/>
        </w:rPr>
        <w:t>19</w:t>
      </w:r>
      <w:r w:rsidR="009A2F08">
        <w:fldChar w:fldCharType="end"/>
      </w:r>
      <w:r>
        <w:t xml:space="preserve"> </w:t>
      </w:r>
      <w:r w:rsidR="00435CF5">
        <w:t>D</w:t>
      </w:r>
      <w:r>
        <w:t>esigning scenarios for SBME</w:t>
      </w:r>
      <w:bookmarkEnd w:id="585"/>
      <w:bookmarkEnd w:id="586"/>
      <w:r>
        <w:t xml:space="preserve"> </w:t>
      </w:r>
      <w:bookmarkEnd w:id="587"/>
    </w:p>
    <w:p w14:paraId="66AE8DB3" w14:textId="77777777" w:rsidR="00435CF5" w:rsidRDefault="00435CF5" w:rsidP="006B027F"/>
    <w:p w14:paraId="3C0CD106" w14:textId="31F0B9B3" w:rsidR="00105D47" w:rsidRDefault="00682114" w:rsidP="006B027F">
      <w:pPr>
        <w:pStyle w:val="Heading2"/>
      </w:pPr>
      <w:bookmarkStart w:id="588" w:name="_Toc419116264"/>
      <w:r>
        <w:lastRenderedPageBreak/>
        <w:t>Roy Adaptation Model</w:t>
      </w:r>
      <w:bookmarkEnd w:id="588"/>
    </w:p>
    <w:p w14:paraId="2E656944" w14:textId="0AA8A38C" w:rsidR="00682114" w:rsidRPr="00F16EEB" w:rsidRDefault="00682114" w:rsidP="006B027F">
      <w:r w:rsidRPr="006B027F">
        <w:rPr>
          <w:rFonts w:ascii="Helvetica" w:eastAsiaTheme="minorEastAsia" w:hAnsi="Helvetica" w:cs="Helvetica"/>
          <w:noProof/>
          <w:szCs w:val="24"/>
          <w:lang w:val="en-US"/>
        </w:rPr>
        <w:drawing>
          <wp:inline distT="0" distB="0" distL="0" distR="0" wp14:anchorId="7DC25FF6" wp14:editId="2C496137">
            <wp:extent cx="5396230" cy="5935853"/>
            <wp:effectExtent l="0" t="0" r="0" b="0"/>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396230" cy="5935853"/>
                    </a:xfrm>
                    <a:prstGeom prst="rect">
                      <a:avLst/>
                    </a:prstGeom>
                    <a:noFill/>
                    <a:ln>
                      <a:noFill/>
                    </a:ln>
                  </pic:spPr>
                </pic:pic>
              </a:graphicData>
            </a:graphic>
          </wp:inline>
        </w:drawing>
      </w:r>
    </w:p>
    <w:p w14:paraId="79B66C51" w14:textId="6E9AF7C0" w:rsidR="00B617DC" w:rsidRPr="003E116C" w:rsidRDefault="00682114" w:rsidP="003E116C">
      <w:r>
        <w:t xml:space="preserve">Ref: </w:t>
      </w:r>
      <w:r w:rsidRPr="00682114">
        <w:t>https://nurseslabs.com/sister-callista-roys-adaptation-model/</w:t>
      </w:r>
      <w:r>
        <w:t xml:space="preserve"> last accessed 26/7/17</w:t>
      </w:r>
    </w:p>
    <w:sectPr w:rsidR="00B617DC" w:rsidRPr="003E116C" w:rsidSect="005F454B">
      <w:pgSz w:w="11900" w:h="16840"/>
      <w:pgMar w:top="1134" w:right="1134" w:bottom="1134" w:left="2268" w:header="1134"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BCA808" w14:textId="77777777" w:rsidR="00EA1E36" w:rsidRDefault="00EA1E36" w:rsidP="00B855D4">
      <w:r>
        <w:separator/>
      </w:r>
    </w:p>
  </w:endnote>
  <w:endnote w:type="continuationSeparator" w:id="0">
    <w:p w14:paraId="420DD436" w14:textId="77777777" w:rsidR="00EA1E36" w:rsidRDefault="00EA1E36" w:rsidP="00B855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TUOS Stephenson">
    <w:panose1 w:val="02070503080000020004"/>
    <w:charset w:val="00"/>
    <w:family w:val="roman"/>
    <w:pitch w:val="variable"/>
    <w:sig w:usb0="8000002F" w:usb1="4000004A" w:usb2="00000000" w:usb3="00000000" w:csb0="00000011" w:csb1="00000000"/>
  </w:font>
  <w:font w:name="Blake">
    <w:altName w:val="Arial"/>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UOS Blake">
    <w:panose1 w:val="020B0503040000020004"/>
    <w:charset w:val="00"/>
    <w:family w:val="swiss"/>
    <w:pitch w:val="variable"/>
    <w:sig w:usb0="8000002F" w:usb1="4000004A"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F7F80" w14:textId="77777777" w:rsidR="00EA1E36" w:rsidRDefault="00EA1E36" w:rsidP="006F2A5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BC59EF1" w14:textId="77777777" w:rsidR="00EA1E36" w:rsidRDefault="00EA1E36" w:rsidP="006F2A58">
    <w:pPr>
      <w:pStyle w:val="Footer"/>
      <w:framePr w:wrap="around"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0A7331E8" w14:textId="77777777" w:rsidR="00EA1E36" w:rsidRDefault="00EA1E36" w:rsidP="006F2A5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43AF9" w14:textId="20D1D4C1" w:rsidR="00EA1E36" w:rsidRDefault="00EA1E36" w:rsidP="00595623">
    <w:pPr>
      <w:pStyle w:val="Footer"/>
      <w:ind w:right="360"/>
    </w:pPr>
    <w:r>
      <w:rPr>
        <w:rStyle w:val="PageNumber"/>
      </w:rPr>
      <w:fldChar w:fldCharType="begin"/>
    </w:r>
    <w:r>
      <w:rPr>
        <w:rStyle w:val="PageNumber"/>
      </w:rPr>
      <w:instrText xml:space="preserve"> PAGE </w:instrText>
    </w:r>
    <w:r>
      <w:rPr>
        <w:rStyle w:val="PageNumber"/>
      </w:rPr>
      <w:fldChar w:fldCharType="separate"/>
    </w:r>
    <w:r w:rsidR="00501D87">
      <w:rPr>
        <w:rStyle w:val="PageNumber"/>
        <w:noProof/>
      </w:rPr>
      <w:t>I</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4A8A6" w14:textId="77777777" w:rsidR="00EA1E36" w:rsidRDefault="00EA1E36" w:rsidP="001E2A7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w:t>
    </w:r>
    <w:r>
      <w:rPr>
        <w:rStyle w:val="PageNumber"/>
      </w:rPr>
      <w:fldChar w:fldCharType="end"/>
    </w:r>
  </w:p>
  <w:p w14:paraId="47A68A8C" w14:textId="77777777" w:rsidR="00EA1E36" w:rsidRDefault="00EA1E36" w:rsidP="001E2A74">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3D437" w14:textId="77777777" w:rsidR="00EA1E36" w:rsidRDefault="00EA1E36" w:rsidP="006F2A5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XII</w:t>
    </w:r>
    <w:r>
      <w:rPr>
        <w:rStyle w:val="PageNumber"/>
      </w:rPr>
      <w:fldChar w:fldCharType="end"/>
    </w:r>
  </w:p>
  <w:p w14:paraId="45389120" w14:textId="176F718C" w:rsidR="00EA1E36" w:rsidRDefault="00EA1E36" w:rsidP="00595623">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5761C" w14:textId="77777777" w:rsidR="00EA1E36" w:rsidRDefault="00EA1E36" w:rsidP="005F45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128</w:t>
    </w:r>
    <w:r>
      <w:rPr>
        <w:rStyle w:val="PageNumber"/>
      </w:rPr>
      <w:fldChar w:fldCharType="end"/>
    </w:r>
  </w:p>
  <w:p w14:paraId="2B10F0AE" w14:textId="77777777" w:rsidR="00EA1E36" w:rsidRDefault="00EA1E36" w:rsidP="00595623">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3F0C8" w14:textId="77777777" w:rsidR="00EA1E36" w:rsidRDefault="00EA1E36" w:rsidP="005F45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276</w:t>
    </w:r>
    <w:r>
      <w:rPr>
        <w:rStyle w:val="PageNumber"/>
      </w:rPr>
      <w:fldChar w:fldCharType="end"/>
    </w:r>
  </w:p>
  <w:p w14:paraId="43691F0B" w14:textId="77777777" w:rsidR="00EA1E36" w:rsidRDefault="00EA1E36" w:rsidP="0059562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9A5662" w14:textId="77777777" w:rsidR="00EA1E36" w:rsidRDefault="00EA1E36" w:rsidP="00B855D4">
      <w:r>
        <w:separator/>
      </w:r>
    </w:p>
  </w:footnote>
  <w:footnote w:type="continuationSeparator" w:id="0">
    <w:p w14:paraId="37DAB7CF" w14:textId="77777777" w:rsidR="00EA1E36" w:rsidRDefault="00EA1E36" w:rsidP="00B855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6AA52" w14:textId="77777777" w:rsidR="00EA1E36" w:rsidRDefault="00EA1E36" w:rsidP="001E2A7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w:t>
    </w:r>
    <w:r>
      <w:rPr>
        <w:rStyle w:val="PageNumber"/>
      </w:rPr>
      <w:fldChar w:fldCharType="end"/>
    </w:r>
  </w:p>
  <w:p w14:paraId="7700CC13" w14:textId="77777777" w:rsidR="00EA1E36" w:rsidRDefault="00EA1E36" w:rsidP="001E2A7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C620E" w14:textId="77777777" w:rsidR="00EA1E36" w:rsidRDefault="00EA1E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85080" w14:textId="77777777" w:rsidR="00EA1E36" w:rsidRDefault="00EA1E3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DDD56" w14:textId="77777777" w:rsidR="00EA1E36" w:rsidRDefault="00EA1E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355E7"/>
    <w:multiLevelType w:val="hybridMultilevel"/>
    <w:tmpl w:val="7A80ED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D120E1"/>
    <w:multiLevelType w:val="hybridMultilevel"/>
    <w:tmpl w:val="1B8E6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C1AC3"/>
    <w:multiLevelType w:val="hybridMultilevel"/>
    <w:tmpl w:val="DD78C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4546F1"/>
    <w:multiLevelType w:val="hybridMultilevel"/>
    <w:tmpl w:val="A2D2E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711D73"/>
    <w:multiLevelType w:val="hybridMultilevel"/>
    <w:tmpl w:val="015A1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383CBE"/>
    <w:multiLevelType w:val="hybridMultilevel"/>
    <w:tmpl w:val="040A7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F13955"/>
    <w:multiLevelType w:val="multilevel"/>
    <w:tmpl w:val="EB6E6B16"/>
    <w:lvl w:ilvl="0">
      <w:start w:val="1"/>
      <w:numFmt w:val="decimal"/>
      <w:pStyle w:val="Heading1"/>
      <w:lvlText w:val="%1."/>
      <w:lvlJc w:val="left"/>
      <w:pPr>
        <w:ind w:left="360" w:hanging="360"/>
      </w:pPr>
      <w:rPr>
        <w:rFonts w:hint="default"/>
      </w:rPr>
    </w:lvl>
    <w:lvl w:ilvl="1">
      <w:start w:val="1"/>
      <w:numFmt w:val="decimal"/>
      <w:pStyle w:val="Heading2"/>
      <w:lvlText w:val="%1.%2."/>
      <w:lvlJc w:val="left"/>
      <w:pPr>
        <w:tabs>
          <w:tab w:val="num" w:pos="340"/>
        </w:tabs>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3163587"/>
    <w:multiLevelType w:val="hybridMultilevel"/>
    <w:tmpl w:val="921A59D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98764F6"/>
    <w:multiLevelType w:val="hybridMultilevel"/>
    <w:tmpl w:val="DC229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E430C2"/>
    <w:multiLevelType w:val="hybridMultilevel"/>
    <w:tmpl w:val="85B2784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CA72DFF"/>
    <w:multiLevelType w:val="hybridMultilevel"/>
    <w:tmpl w:val="B838E8B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A62002"/>
    <w:multiLevelType w:val="hybridMultilevel"/>
    <w:tmpl w:val="6ED20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CB4F1E"/>
    <w:multiLevelType w:val="hybridMultilevel"/>
    <w:tmpl w:val="A5764C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F26540"/>
    <w:multiLevelType w:val="hybridMultilevel"/>
    <w:tmpl w:val="08E0EDB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B876B5"/>
    <w:multiLevelType w:val="hybridMultilevel"/>
    <w:tmpl w:val="C226E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7A0FE4"/>
    <w:multiLevelType w:val="hybridMultilevel"/>
    <w:tmpl w:val="81AAD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94019F"/>
    <w:multiLevelType w:val="hybridMultilevel"/>
    <w:tmpl w:val="B7F23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5418FB"/>
    <w:multiLevelType w:val="hybridMultilevel"/>
    <w:tmpl w:val="17045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4856C63"/>
    <w:multiLevelType w:val="hybridMultilevel"/>
    <w:tmpl w:val="7A3A7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88186B"/>
    <w:multiLevelType w:val="hybridMultilevel"/>
    <w:tmpl w:val="D5722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C10594C"/>
    <w:multiLevelType w:val="hybridMultilevel"/>
    <w:tmpl w:val="26922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CC1A68"/>
    <w:multiLevelType w:val="multilevel"/>
    <w:tmpl w:val="790C2C9A"/>
    <w:lvl w:ilvl="0">
      <w:start w:val="1"/>
      <w:numFmt w:val="decimal"/>
      <w:lvlText w:val="%1"/>
      <w:lvlJc w:val="left"/>
      <w:pPr>
        <w:ind w:left="1008" w:hanging="432"/>
      </w:pPr>
      <w:rPr>
        <w:rFonts w:hint="default"/>
      </w:rPr>
    </w:lvl>
    <w:lvl w:ilvl="1">
      <w:start w:val="1"/>
      <w:numFmt w:val="decimal"/>
      <w:lvlText w:val="%1.%2"/>
      <w:lvlJc w:val="left"/>
      <w:pPr>
        <w:ind w:left="1152" w:hanging="576"/>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440" w:hanging="864"/>
      </w:pPr>
      <w:rPr>
        <w:rFonts w:hint="default"/>
      </w:rPr>
    </w:lvl>
    <w:lvl w:ilvl="4">
      <w:start w:val="1"/>
      <w:numFmt w:val="decimal"/>
      <w:lvlText w:val="%1.%2.%3.%4.%5"/>
      <w:lvlJc w:val="left"/>
      <w:pPr>
        <w:ind w:left="1584" w:hanging="1008"/>
      </w:pPr>
      <w:rPr>
        <w:rFonts w:hint="default"/>
      </w:rPr>
    </w:lvl>
    <w:lvl w:ilvl="5">
      <w:start w:val="1"/>
      <w:numFmt w:val="decimal"/>
      <w:pStyle w:val="Heading6"/>
      <w:lvlText w:val="%1.%2.%3.%4.%5.%6"/>
      <w:lvlJc w:val="left"/>
      <w:pPr>
        <w:ind w:left="1728" w:hanging="1152"/>
      </w:pPr>
      <w:rPr>
        <w:rFonts w:hint="default"/>
      </w:rPr>
    </w:lvl>
    <w:lvl w:ilvl="6">
      <w:start w:val="1"/>
      <w:numFmt w:val="decimal"/>
      <w:pStyle w:val="Heading7"/>
      <w:lvlText w:val="%1.%2.%3.%4.%5.%6.%7"/>
      <w:lvlJc w:val="left"/>
      <w:pPr>
        <w:ind w:left="1872" w:hanging="1296"/>
      </w:pPr>
      <w:rPr>
        <w:rFonts w:hint="default"/>
      </w:rPr>
    </w:lvl>
    <w:lvl w:ilvl="7">
      <w:start w:val="1"/>
      <w:numFmt w:val="decimal"/>
      <w:pStyle w:val="Heading8"/>
      <w:lvlText w:val="%1.%2.%3.%4.%5.%6.%7.%8"/>
      <w:lvlJc w:val="left"/>
      <w:pPr>
        <w:ind w:left="2016" w:hanging="1440"/>
      </w:pPr>
      <w:rPr>
        <w:rFonts w:hint="default"/>
      </w:rPr>
    </w:lvl>
    <w:lvl w:ilvl="8">
      <w:start w:val="1"/>
      <w:numFmt w:val="decimal"/>
      <w:pStyle w:val="Heading9"/>
      <w:lvlText w:val="%1.%2.%3.%4.%5.%6.%7.%8.%9"/>
      <w:lvlJc w:val="left"/>
      <w:pPr>
        <w:ind w:left="2160" w:hanging="1584"/>
      </w:pPr>
      <w:rPr>
        <w:rFonts w:hint="default"/>
      </w:rPr>
    </w:lvl>
  </w:abstractNum>
  <w:abstractNum w:abstractNumId="22" w15:restartNumberingAfterBreak="0">
    <w:nsid w:val="51AB4716"/>
    <w:multiLevelType w:val="hybridMultilevel"/>
    <w:tmpl w:val="9B440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0C5921"/>
    <w:multiLevelType w:val="hybridMultilevel"/>
    <w:tmpl w:val="2DFCA3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554914"/>
    <w:multiLevelType w:val="hybridMultilevel"/>
    <w:tmpl w:val="9E8E3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4638D7"/>
    <w:multiLevelType w:val="hybridMultilevel"/>
    <w:tmpl w:val="B83C6FBC"/>
    <w:lvl w:ilvl="0" w:tplc="AF2A674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A664BF2"/>
    <w:multiLevelType w:val="hybridMultilevel"/>
    <w:tmpl w:val="77A80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390550"/>
    <w:multiLevelType w:val="hybridMultilevel"/>
    <w:tmpl w:val="D9845064"/>
    <w:lvl w:ilvl="0" w:tplc="AF2A674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E815532"/>
    <w:multiLevelType w:val="multilevel"/>
    <w:tmpl w:val="64BE5852"/>
    <w:lvl w:ilvl="0">
      <w:start w:val="1"/>
      <w:numFmt w:val="decimal"/>
      <w:lvlText w:val="%1"/>
      <w:lvlJc w:val="left"/>
      <w:pPr>
        <w:ind w:left="1008" w:hanging="432"/>
      </w:pPr>
    </w:lvl>
    <w:lvl w:ilvl="1">
      <w:start w:val="1"/>
      <w:numFmt w:val="decimal"/>
      <w:lvlText w:val="%1.%2"/>
      <w:lvlJc w:val="left"/>
      <w:pPr>
        <w:ind w:left="1152" w:hanging="576"/>
      </w:pPr>
    </w:lvl>
    <w:lvl w:ilvl="2">
      <w:start w:val="1"/>
      <w:numFmt w:val="decimal"/>
      <w:lvlText w:val="%1.%2.%3"/>
      <w:lvlJc w:val="left"/>
      <w:pPr>
        <w:ind w:left="1296" w:hanging="720"/>
      </w:pPr>
    </w:lvl>
    <w:lvl w:ilvl="3">
      <w:start w:val="1"/>
      <w:numFmt w:val="decimal"/>
      <w:lvlText w:val="%1.%2.%3.%4"/>
      <w:lvlJc w:val="left"/>
      <w:pPr>
        <w:ind w:left="1440" w:hanging="864"/>
      </w:pPr>
    </w:lvl>
    <w:lvl w:ilvl="4">
      <w:start w:val="1"/>
      <w:numFmt w:val="decimal"/>
      <w:lvlText w:val="%1.%2.%3.%4.%5"/>
      <w:lvlJc w:val="left"/>
      <w:pPr>
        <w:ind w:left="1584" w:hanging="1008"/>
      </w:pPr>
    </w:lvl>
    <w:lvl w:ilvl="5">
      <w:start w:val="1"/>
      <w:numFmt w:val="decimal"/>
      <w:lvlText w:val="%1.%2.%3.%4.%5.%6"/>
      <w:lvlJc w:val="left"/>
      <w:pPr>
        <w:ind w:left="1728" w:hanging="1152"/>
      </w:pPr>
    </w:lvl>
    <w:lvl w:ilvl="6">
      <w:start w:val="1"/>
      <w:numFmt w:val="decimal"/>
      <w:lvlText w:val="%1.%2.%3.%4.%5.%6.%7"/>
      <w:lvlJc w:val="left"/>
      <w:pPr>
        <w:ind w:left="1872" w:hanging="1296"/>
      </w:pPr>
    </w:lvl>
    <w:lvl w:ilvl="7">
      <w:start w:val="1"/>
      <w:numFmt w:val="decimal"/>
      <w:lvlText w:val="%1.%2.%3.%4.%5.%6.%7.%8"/>
      <w:lvlJc w:val="left"/>
      <w:pPr>
        <w:ind w:left="2016" w:hanging="1440"/>
      </w:pPr>
    </w:lvl>
    <w:lvl w:ilvl="8">
      <w:start w:val="1"/>
      <w:numFmt w:val="decimal"/>
      <w:lvlText w:val="%1.%2.%3.%4.%5.%6.%7.%8.%9"/>
      <w:lvlJc w:val="left"/>
      <w:pPr>
        <w:ind w:left="2160" w:hanging="1584"/>
      </w:pPr>
    </w:lvl>
  </w:abstractNum>
  <w:abstractNum w:abstractNumId="29" w15:restartNumberingAfterBreak="0">
    <w:nsid w:val="63CA08ED"/>
    <w:multiLevelType w:val="hybridMultilevel"/>
    <w:tmpl w:val="15E41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D415BA"/>
    <w:multiLevelType w:val="hybridMultilevel"/>
    <w:tmpl w:val="819A6A1C"/>
    <w:lvl w:ilvl="0" w:tplc="2A02F3A4">
      <w:start w:val="1"/>
      <w:numFmt w:val="bullet"/>
      <w:lvlText w:val="•"/>
      <w:lvlJc w:val="left"/>
      <w:pPr>
        <w:tabs>
          <w:tab w:val="num" w:pos="720"/>
        </w:tabs>
        <w:ind w:left="720" w:hanging="360"/>
      </w:pPr>
      <w:rPr>
        <w:rFonts w:ascii="Times" w:hAnsi="Times" w:hint="default"/>
      </w:rPr>
    </w:lvl>
    <w:lvl w:ilvl="1" w:tplc="7B4EEF98">
      <w:numFmt w:val="bullet"/>
      <w:lvlText w:val="•"/>
      <w:lvlJc w:val="left"/>
      <w:pPr>
        <w:tabs>
          <w:tab w:val="num" w:pos="1440"/>
        </w:tabs>
        <w:ind w:left="1440" w:hanging="360"/>
      </w:pPr>
      <w:rPr>
        <w:rFonts w:ascii="Times" w:hAnsi="Times" w:hint="default"/>
      </w:rPr>
    </w:lvl>
    <w:lvl w:ilvl="2" w:tplc="3FA05632" w:tentative="1">
      <w:start w:val="1"/>
      <w:numFmt w:val="bullet"/>
      <w:lvlText w:val="•"/>
      <w:lvlJc w:val="left"/>
      <w:pPr>
        <w:tabs>
          <w:tab w:val="num" w:pos="2160"/>
        </w:tabs>
        <w:ind w:left="2160" w:hanging="360"/>
      </w:pPr>
      <w:rPr>
        <w:rFonts w:ascii="Times" w:hAnsi="Times" w:hint="default"/>
      </w:rPr>
    </w:lvl>
    <w:lvl w:ilvl="3" w:tplc="5052CA96" w:tentative="1">
      <w:start w:val="1"/>
      <w:numFmt w:val="bullet"/>
      <w:lvlText w:val="•"/>
      <w:lvlJc w:val="left"/>
      <w:pPr>
        <w:tabs>
          <w:tab w:val="num" w:pos="2880"/>
        </w:tabs>
        <w:ind w:left="2880" w:hanging="360"/>
      </w:pPr>
      <w:rPr>
        <w:rFonts w:ascii="Times" w:hAnsi="Times" w:hint="default"/>
      </w:rPr>
    </w:lvl>
    <w:lvl w:ilvl="4" w:tplc="6B921950" w:tentative="1">
      <w:start w:val="1"/>
      <w:numFmt w:val="bullet"/>
      <w:lvlText w:val="•"/>
      <w:lvlJc w:val="left"/>
      <w:pPr>
        <w:tabs>
          <w:tab w:val="num" w:pos="3600"/>
        </w:tabs>
        <w:ind w:left="3600" w:hanging="360"/>
      </w:pPr>
      <w:rPr>
        <w:rFonts w:ascii="Times" w:hAnsi="Times" w:hint="default"/>
      </w:rPr>
    </w:lvl>
    <w:lvl w:ilvl="5" w:tplc="61F0987A" w:tentative="1">
      <w:start w:val="1"/>
      <w:numFmt w:val="bullet"/>
      <w:lvlText w:val="•"/>
      <w:lvlJc w:val="left"/>
      <w:pPr>
        <w:tabs>
          <w:tab w:val="num" w:pos="4320"/>
        </w:tabs>
        <w:ind w:left="4320" w:hanging="360"/>
      </w:pPr>
      <w:rPr>
        <w:rFonts w:ascii="Times" w:hAnsi="Times" w:hint="default"/>
      </w:rPr>
    </w:lvl>
    <w:lvl w:ilvl="6" w:tplc="0DE67E7C" w:tentative="1">
      <w:start w:val="1"/>
      <w:numFmt w:val="bullet"/>
      <w:lvlText w:val="•"/>
      <w:lvlJc w:val="left"/>
      <w:pPr>
        <w:tabs>
          <w:tab w:val="num" w:pos="5040"/>
        </w:tabs>
        <w:ind w:left="5040" w:hanging="360"/>
      </w:pPr>
      <w:rPr>
        <w:rFonts w:ascii="Times" w:hAnsi="Times" w:hint="default"/>
      </w:rPr>
    </w:lvl>
    <w:lvl w:ilvl="7" w:tplc="02DCFCAA" w:tentative="1">
      <w:start w:val="1"/>
      <w:numFmt w:val="bullet"/>
      <w:lvlText w:val="•"/>
      <w:lvlJc w:val="left"/>
      <w:pPr>
        <w:tabs>
          <w:tab w:val="num" w:pos="5760"/>
        </w:tabs>
        <w:ind w:left="5760" w:hanging="360"/>
      </w:pPr>
      <w:rPr>
        <w:rFonts w:ascii="Times" w:hAnsi="Times" w:hint="default"/>
      </w:rPr>
    </w:lvl>
    <w:lvl w:ilvl="8" w:tplc="A8265740" w:tentative="1">
      <w:start w:val="1"/>
      <w:numFmt w:val="bullet"/>
      <w:lvlText w:val="•"/>
      <w:lvlJc w:val="left"/>
      <w:pPr>
        <w:tabs>
          <w:tab w:val="num" w:pos="6480"/>
        </w:tabs>
        <w:ind w:left="6480" w:hanging="360"/>
      </w:pPr>
      <w:rPr>
        <w:rFonts w:ascii="Times" w:hAnsi="Times" w:hint="default"/>
      </w:rPr>
    </w:lvl>
  </w:abstractNum>
  <w:abstractNum w:abstractNumId="31" w15:restartNumberingAfterBreak="0">
    <w:nsid w:val="665A478A"/>
    <w:multiLevelType w:val="hybridMultilevel"/>
    <w:tmpl w:val="2F1000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AE7EF1"/>
    <w:multiLevelType w:val="hybridMultilevel"/>
    <w:tmpl w:val="834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C7444E"/>
    <w:multiLevelType w:val="hybridMultilevel"/>
    <w:tmpl w:val="5EA8A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1F520AD"/>
    <w:multiLevelType w:val="hybridMultilevel"/>
    <w:tmpl w:val="A1189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FC6EE9"/>
    <w:multiLevelType w:val="hybridMultilevel"/>
    <w:tmpl w:val="1FC07344"/>
    <w:lvl w:ilvl="0" w:tplc="734C90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88A1D3D"/>
    <w:multiLevelType w:val="hybridMultilevel"/>
    <w:tmpl w:val="3CD2A85C"/>
    <w:lvl w:ilvl="0" w:tplc="32EC14C6">
      <w:start w:val="1"/>
      <w:numFmt w:val="decimal"/>
      <w:lvlText w:val="%1."/>
      <w:lvlJc w:val="left"/>
      <w:pPr>
        <w:ind w:left="720" w:hanging="360"/>
      </w:pPr>
      <w:rPr>
        <w:rFonts w:ascii="Arial" w:hAnsi="Arial" w:cs="Arial"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F8865A9"/>
    <w:multiLevelType w:val="hybridMultilevel"/>
    <w:tmpl w:val="9C88A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5387684">
    <w:abstractNumId w:val="35"/>
  </w:num>
  <w:num w:numId="2" w16cid:durableId="1487938169">
    <w:abstractNumId w:val="18"/>
  </w:num>
  <w:num w:numId="3" w16cid:durableId="1308709005">
    <w:abstractNumId w:val="23"/>
  </w:num>
  <w:num w:numId="4" w16cid:durableId="1671133641">
    <w:abstractNumId w:val="28"/>
  </w:num>
  <w:num w:numId="5" w16cid:durableId="1681811168">
    <w:abstractNumId w:val="17"/>
  </w:num>
  <w:num w:numId="6" w16cid:durableId="488331690">
    <w:abstractNumId w:val="0"/>
  </w:num>
  <w:num w:numId="7" w16cid:durableId="1522470278">
    <w:abstractNumId w:val="30"/>
  </w:num>
  <w:num w:numId="8" w16cid:durableId="425853540">
    <w:abstractNumId w:val="24"/>
  </w:num>
  <w:num w:numId="9" w16cid:durableId="1766462829">
    <w:abstractNumId w:val="22"/>
  </w:num>
  <w:num w:numId="10" w16cid:durableId="754588607">
    <w:abstractNumId w:val="11"/>
  </w:num>
  <w:num w:numId="11" w16cid:durableId="392000175">
    <w:abstractNumId w:val="15"/>
  </w:num>
  <w:num w:numId="12" w16cid:durableId="1510831633">
    <w:abstractNumId w:val="26"/>
  </w:num>
  <w:num w:numId="13" w16cid:durableId="949168316">
    <w:abstractNumId w:val="29"/>
  </w:num>
  <w:num w:numId="14" w16cid:durableId="1491410333">
    <w:abstractNumId w:val="37"/>
  </w:num>
  <w:num w:numId="15" w16cid:durableId="1284461746">
    <w:abstractNumId w:val="19"/>
  </w:num>
  <w:num w:numId="16" w16cid:durableId="620503301">
    <w:abstractNumId w:val="36"/>
  </w:num>
  <w:num w:numId="17" w16cid:durableId="355816237">
    <w:abstractNumId w:val="33"/>
  </w:num>
  <w:num w:numId="18" w16cid:durableId="1801804017">
    <w:abstractNumId w:val="1"/>
  </w:num>
  <w:num w:numId="19" w16cid:durableId="1757555528">
    <w:abstractNumId w:val="32"/>
  </w:num>
  <w:num w:numId="20" w16cid:durableId="1687515015">
    <w:abstractNumId w:val="20"/>
  </w:num>
  <w:num w:numId="21" w16cid:durableId="1519470352">
    <w:abstractNumId w:val="4"/>
  </w:num>
  <w:num w:numId="22" w16cid:durableId="132528992">
    <w:abstractNumId w:val="8"/>
  </w:num>
  <w:num w:numId="23" w16cid:durableId="572159663">
    <w:abstractNumId w:val="34"/>
  </w:num>
  <w:num w:numId="24" w16cid:durableId="2030330555">
    <w:abstractNumId w:val="25"/>
  </w:num>
  <w:num w:numId="25" w16cid:durableId="1884512330">
    <w:abstractNumId w:val="27"/>
  </w:num>
  <w:num w:numId="26" w16cid:durableId="921060879">
    <w:abstractNumId w:val="14"/>
  </w:num>
  <w:num w:numId="27" w16cid:durableId="1190219699">
    <w:abstractNumId w:val="2"/>
  </w:num>
  <w:num w:numId="28" w16cid:durableId="812647973">
    <w:abstractNumId w:val="16"/>
  </w:num>
  <w:num w:numId="29" w16cid:durableId="2049408469">
    <w:abstractNumId w:val="5"/>
  </w:num>
  <w:num w:numId="30" w16cid:durableId="1060782934">
    <w:abstractNumId w:val="6"/>
  </w:num>
  <w:num w:numId="31" w16cid:durableId="1614479567">
    <w:abstractNumId w:val="21"/>
  </w:num>
  <w:num w:numId="32" w16cid:durableId="1030494295">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22151304">
    <w:abstractNumId w:val="12"/>
  </w:num>
  <w:num w:numId="34" w16cid:durableId="1297100494">
    <w:abstractNumId w:val="10"/>
  </w:num>
  <w:num w:numId="35" w16cid:durableId="1093014471">
    <w:abstractNumId w:val="13"/>
  </w:num>
  <w:num w:numId="36" w16cid:durableId="227571225">
    <w:abstractNumId w:val="7"/>
  </w:num>
  <w:num w:numId="37" w16cid:durableId="1961763543">
    <w:abstractNumId w:val="3"/>
  </w:num>
  <w:num w:numId="38" w16cid:durableId="491874753">
    <w:abstractNumId w:val="9"/>
  </w:num>
  <w:num w:numId="39" w16cid:durableId="408504328">
    <w:abstractNumId w:val="3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ite Them Righ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D24765"/>
    <w:rsid w:val="000000DE"/>
    <w:rsid w:val="00000138"/>
    <w:rsid w:val="00000A14"/>
    <w:rsid w:val="00002B39"/>
    <w:rsid w:val="00003F31"/>
    <w:rsid w:val="00004AC7"/>
    <w:rsid w:val="00004B38"/>
    <w:rsid w:val="00005201"/>
    <w:rsid w:val="00006ADF"/>
    <w:rsid w:val="0000784E"/>
    <w:rsid w:val="000102DF"/>
    <w:rsid w:val="0001128B"/>
    <w:rsid w:val="000114AE"/>
    <w:rsid w:val="00011B9D"/>
    <w:rsid w:val="00012047"/>
    <w:rsid w:val="0001214C"/>
    <w:rsid w:val="000121E2"/>
    <w:rsid w:val="00013182"/>
    <w:rsid w:val="00013E7C"/>
    <w:rsid w:val="0001426C"/>
    <w:rsid w:val="00015A5F"/>
    <w:rsid w:val="0001664D"/>
    <w:rsid w:val="00017623"/>
    <w:rsid w:val="000177EA"/>
    <w:rsid w:val="00021731"/>
    <w:rsid w:val="0002179F"/>
    <w:rsid w:val="000219A9"/>
    <w:rsid w:val="000219B1"/>
    <w:rsid w:val="0002343C"/>
    <w:rsid w:val="0002357B"/>
    <w:rsid w:val="000238BA"/>
    <w:rsid w:val="00023990"/>
    <w:rsid w:val="000240D5"/>
    <w:rsid w:val="00024BAD"/>
    <w:rsid w:val="00024C8C"/>
    <w:rsid w:val="00025617"/>
    <w:rsid w:val="00026418"/>
    <w:rsid w:val="00026F3F"/>
    <w:rsid w:val="00027FB0"/>
    <w:rsid w:val="000333AF"/>
    <w:rsid w:val="00033FF0"/>
    <w:rsid w:val="000348DB"/>
    <w:rsid w:val="00034FC4"/>
    <w:rsid w:val="00035D65"/>
    <w:rsid w:val="0003649C"/>
    <w:rsid w:val="00036570"/>
    <w:rsid w:val="00036713"/>
    <w:rsid w:val="00036BB8"/>
    <w:rsid w:val="00036EBB"/>
    <w:rsid w:val="00037261"/>
    <w:rsid w:val="000375F2"/>
    <w:rsid w:val="00037685"/>
    <w:rsid w:val="00040107"/>
    <w:rsid w:val="00040663"/>
    <w:rsid w:val="0004085C"/>
    <w:rsid w:val="00040872"/>
    <w:rsid w:val="00040B26"/>
    <w:rsid w:val="000418C8"/>
    <w:rsid w:val="00043416"/>
    <w:rsid w:val="000440F6"/>
    <w:rsid w:val="000445B6"/>
    <w:rsid w:val="00044917"/>
    <w:rsid w:val="00044B25"/>
    <w:rsid w:val="000469E5"/>
    <w:rsid w:val="00046AEF"/>
    <w:rsid w:val="00046F9A"/>
    <w:rsid w:val="000472A7"/>
    <w:rsid w:val="000477EB"/>
    <w:rsid w:val="00050A52"/>
    <w:rsid w:val="00051300"/>
    <w:rsid w:val="000513CA"/>
    <w:rsid w:val="00053ABC"/>
    <w:rsid w:val="00055206"/>
    <w:rsid w:val="00055602"/>
    <w:rsid w:val="00055DAB"/>
    <w:rsid w:val="0005622E"/>
    <w:rsid w:val="00056DAD"/>
    <w:rsid w:val="000570DD"/>
    <w:rsid w:val="00057D2F"/>
    <w:rsid w:val="0006025C"/>
    <w:rsid w:val="000608C9"/>
    <w:rsid w:val="00060CC7"/>
    <w:rsid w:val="000612D3"/>
    <w:rsid w:val="000615AA"/>
    <w:rsid w:val="000619BC"/>
    <w:rsid w:val="00061A01"/>
    <w:rsid w:val="0006219B"/>
    <w:rsid w:val="000624D2"/>
    <w:rsid w:val="000625F0"/>
    <w:rsid w:val="00062776"/>
    <w:rsid w:val="000628C3"/>
    <w:rsid w:val="000637D3"/>
    <w:rsid w:val="00063C6B"/>
    <w:rsid w:val="00063F56"/>
    <w:rsid w:val="0006448D"/>
    <w:rsid w:val="00064929"/>
    <w:rsid w:val="00064AAA"/>
    <w:rsid w:val="00064C22"/>
    <w:rsid w:val="00065599"/>
    <w:rsid w:val="00066721"/>
    <w:rsid w:val="000671C2"/>
    <w:rsid w:val="0006748A"/>
    <w:rsid w:val="00067ABD"/>
    <w:rsid w:val="000708C2"/>
    <w:rsid w:val="00070E15"/>
    <w:rsid w:val="00071703"/>
    <w:rsid w:val="00071C0B"/>
    <w:rsid w:val="00072C4B"/>
    <w:rsid w:val="00074105"/>
    <w:rsid w:val="000744EF"/>
    <w:rsid w:val="00074BBA"/>
    <w:rsid w:val="000750B3"/>
    <w:rsid w:val="000754E9"/>
    <w:rsid w:val="00075A62"/>
    <w:rsid w:val="000763BC"/>
    <w:rsid w:val="00076782"/>
    <w:rsid w:val="00076B81"/>
    <w:rsid w:val="0007776A"/>
    <w:rsid w:val="000777B9"/>
    <w:rsid w:val="00080470"/>
    <w:rsid w:val="00080F7B"/>
    <w:rsid w:val="0008159B"/>
    <w:rsid w:val="00081A45"/>
    <w:rsid w:val="0008209F"/>
    <w:rsid w:val="000824A3"/>
    <w:rsid w:val="00082638"/>
    <w:rsid w:val="00082BB6"/>
    <w:rsid w:val="0008321F"/>
    <w:rsid w:val="000837F6"/>
    <w:rsid w:val="00084242"/>
    <w:rsid w:val="000853B8"/>
    <w:rsid w:val="000858EB"/>
    <w:rsid w:val="00085A4D"/>
    <w:rsid w:val="00087410"/>
    <w:rsid w:val="00087A6D"/>
    <w:rsid w:val="00091C34"/>
    <w:rsid w:val="00091C61"/>
    <w:rsid w:val="000933CA"/>
    <w:rsid w:val="000947F2"/>
    <w:rsid w:val="0009495D"/>
    <w:rsid w:val="00095428"/>
    <w:rsid w:val="0009542A"/>
    <w:rsid w:val="00096AC0"/>
    <w:rsid w:val="00096D3C"/>
    <w:rsid w:val="000979A1"/>
    <w:rsid w:val="000A033A"/>
    <w:rsid w:val="000A1B63"/>
    <w:rsid w:val="000A1C09"/>
    <w:rsid w:val="000A1CFE"/>
    <w:rsid w:val="000A27DF"/>
    <w:rsid w:val="000A3325"/>
    <w:rsid w:val="000A6525"/>
    <w:rsid w:val="000A70AC"/>
    <w:rsid w:val="000A773F"/>
    <w:rsid w:val="000A7C25"/>
    <w:rsid w:val="000A7DF9"/>
    <w:rsid w:val="000A7E86"/>
    <w:rsid w:val="000B0A96"/>
    <w:rsid w:val="000B0AC3"/>
    <w:rsid w:val="000B0BAA"/>
    <w:rsid w:val="000B1403"/>
    <w:rsid w:val="000B15FB"/>
    <w:rsid w:val="000B1C02"/>
    <w:rsid w:val="000B2B80"/>
    <w:rsid w:val="000B36AF"/>
    <w:rsid w:val="000B391C"/>
    <w:rsid w:val="000B3A19"/>
    <w:rsid w:val="000B3CF9"/>
    <w:rsid w:val="000B433D"/>
    <w:rsid w:val="000B4C71"/>
    <w:rsid w:val="000B4D1A"/>
    <w:rsid w:val="000B4F95"/>
    <w:rsid w:val="000B592E"/>
    <w:rsid w:val="000B59C8"/>
    <w:rsid w:val="000B69EC"/>
    <w:rsid w:val="000B6DB1"/>
    <w:rsid w:val="000B7E40"/>
    <w:rsid w:val="000C0213"/>
    <w:rsid w:val="000C0298"/>
    <w:rsid w:val="000C0B28"/>
    <w:rsid w:val="000C331F"/>
    <w:rsid w:val="000C37B3"/>
    <w:rsid w:val="000C3A5E"/>
    <w:rsid w:val="000C3B36"/>
    <w:rsid w:val="000C3FFB"/>
    <w:rsid w:val="000C44A8"/>
    <w:rsid w:val="000C62F6"/>
    <w:rsid w:val="000C6943"/>
    <w:rsid w:val="000C6FC4"/>
    <w:rsid w:val="000C77EE"/>
    <w:rsid w:val="000D0749"/>
    <w:rsid w:val="000D0A29"/>
    <w:rsid w:val="000D0F20"/>
    <w:rsid w:val="000D1263"/>
    <w:rsid w:val="000D141B"/>
    <w:rsid w:val="000D1DB5"/>
    <w:rsid w:val="000D2DE5"/>
    <w:rsid w:val="000D47B9"/>
    <w:rsid w:val="000D51D7"/>
    <w:rsid w:val="000D546C"/>
    <w:rsid w:val="000D591F"/>
    <w:rsid w:val="000D5B3F"/>
    <w:rsid w:val="000D5D0F"/>
    <w:rsid w:val="000D6248"/>
    <w:rsid w:val="000D6F79"/>
    <w:rsid w:val="000D71D9"/>
    <w:rsid w:val="000D7B66"/>
    <w:rsid w:val="000E11EC"/>
    <w:rsid w:val="000E2174"/>
    <w:rsid w:val="000E2AD9"/>
    <w:rsid w:val="000E2BD7"/>
    <w:rsid w:val="000E2CFE"/>
    <w:rsid w:val="000E3B4F"/>
    <w:rsid w:val="000E3D39"/>
    <w:rsid w:val="000E3D40"/>
    <w:rsid w:val="000E4B81"/>
    <w:rsid w:val="000E4FCE"/>
    <w:rsid w:val="000E502A"/>
    <w:rsid w:val="000E6529"/>
    <w:rsid w:val="000E77FA"/>
    <w:rsid w:val="000E7D95"/>
    <w:rsid w:val="000F034E"/>
    <w:rsid w:val="000F1E71"/>
    <w:rsid w:val="000F1F25"/>
    <w:rsid w:val="000F1FDB"/>
    <w:rsid w:val="000F2413"/>
    <w:rsid w:val="000F268C"/>
    <w:rsid w:val="000F2A45"/>
    <w:rsid w:val="000F33C1"/>
    <w:rsid w:val="000F41B6"/>
    <w:rsid w:val="000F496D"/>
    <w:rsid w:val="000F4B98"/>
    <w:rsid w:val="000F51CE"/>
    <w:rsid w:val="000F65F6"/>
    <w:rsid w:val="000F6E20"/>
    <w:rsid w:val="000F7738"/>
    <w:rsid w:val="000F7BF0"/>
    <w:rsid w:val="000F7F6B"/>
    <w:rsid w:val="001004EA"/>
    <w:rsid w:val="00100BC2"/>
    <w:rsid w:val="00100E1D"/>
    <w:rsid w:val="00101549"/>
    <w:rsid w:val="00101639"/>
    <w:rsid w:val="00101820"/>
    <w:rsid w:val="0010183B"/>
    <w:rsid w:val="00101A5A"/>
    <w:rsid w:val="00101C85"/>
    <w:rsid w:val="0010216C"/>
    <w:rsid w:val="00103139"/>
    <w:rsid w:val="00104405"/>
    <w:rsid w:val="001049C6"/>
    <w:rsid w:val="00105D47"/>
    <w:rsid w:val="00106836"/>
    <w:rsid w:val="00107517"/>
    <w:rsid w:val="00107F2C"/>
    <w:rsid w:val="00110424"/>
    <w:rsid w:val="00111B5E"/>
    <w:rsid w:val="00112C49"/>
    <w:rsid w:val="001133EA"/>
    <w:rsid w:val="0011373C"/>
    <w:rsid w:val="00114322"/>
    <w:rsid w:val="00114867"/>
    <w:rsid w:val="001150AF"/>
    <w:rsid w:val="00115108"/>
    <w:rsid w:val="001154EE"/>
    <w:rsid w:val="00115CEE"/>
    <w:rsid w:val="0011634C"/>
    <w:rsid w:val="001166E4"/>
    <w:rsid w:val="0011686E"/>
    <w:rsid w:val="00116B4A"/>
    <w:rsid w:val="00116FA1"/>
    <w:rsid w:val="001201C4"/>
    <w:rsid w:val="00120284"/>
    <w:rsid w:val="00120745"/>
    <w:rsid w:val="00120D8F"/>
    <w:rsid w:val="00120ED6"/>
    <w:rsid w:val="00122AF0"/>
    <w:rsid w:val="00122C4C"/>
    <w:rsid w:val="00122D9B"/>
    <w:rsid w:val="001231A4"/>
    <w:rsid w:val="00123906"/>
    <w:rsid w:val="00123C01"/>
    <w:rsid w:val="0012454C"/>
    <w:rsid w:val="0012487F"/>
    <w:rsid w:val="00124AD2"/>
    <w:rsid w:val="00124E79"/>
    <w:rsid w:val="001253E1"/>
    <w:rsid w:val="001256CD"/>
    <w:rsid w:val="00125B98"/>
    <w:rsid w:val="00125D02"/>
    <w:rsid w:val="001272C0"/>
    <w:rsid w:val="00127312"/>
    <w:rsid w:val="001274E4"/>
    <w:rsid w:val="00127863"/>
    <w:rsid w:val="00127968"/>
    <w:rsid w:val="001314D0"/>
    <w:rsid w:val="00131C14"/>
    <w:rsid w:val="00132288"/>
    <w:rsid w:val="00132776"/>
    <w:rsid w:val="001328C4"/>
    <w:rsid w:val="001338A3"/>
    <w:rsid w:val="00134D0A"/>
    <w:rsid w:val="00135232"/>
    <w:rsid w:val="00135C28"/>
    <w:rsid w:val="00135FC1"/>
    <w:rsid w:val="00137253"/>
    <w:rsid w:val="00137392"/>
    <w:rsid w:val="001376D4"/>
    <w:rsid w:val="00137B0F"/>
    <w:rsid w:val="0014032A"/>
    <w:rsid w:val="00140DB6"/>
    <w:rsid w:val="00141108"/>
    <w:rsid w:val="0014136E"/>
    <w:rsid w:val="00141684"/>
    <w:rsid w:val="00143C0B"/>
    <w:rsid w:val="00143D2A"/>
    <w:rsid w:val="00144195"/>
    <w:rsid w:val="00144657"/>
    <w:rsid w:val="001454C0"/>
    <w:rsid w:val="001455CF"/>
    <w:rsid w:val="00145A49"/>
    <w:rsid w:val="00145AB6"/>
    <w:rsid w:val="0014643A"/>
    <w:rsid w:val="0014729D"/>
    <w:rsid w:val="001473D7"/>
    <w:rsid w:val="00147C9E"/>
    <w:rsid w:val="00150939"/>
    <w:rsid w:val="00150E4C"/>
    <w:rsid w:val="001512B4"/>
    <w:rsid w:val="001516E1"/>
    <w:rsid w:val="001519E8"/>
    <w:rsid w:val="00151A00"/>
    <w:rsid w:val="00153C3E"/>
    <w:rsid w:val="001541BE"/>
    <w:rsid w:val="00154C56"/>
    <w:rsid w:val="00154EC1"/>
    <w:rsid w:val="00155BE3"/>
    <w:rsid w:val="001569C8"/>
    <w:rsid w:val="0015713A"/>
    <w:rsid w:val="00157143"/>
    <w:rsid w:val="001578A0"/>
    <w:rsid w:val="00160A65"/>
    <w:rsid w:val="0016277C"/>
    <w:rsid w:val="00162A24"/>
    <w:rsid w:val="00162EAC"/>
    <w:rsid w:val="00162FC9"/>
    <w:rsid w:val="0016346F"/>
    <w:rsid w:val="001634E4"/>
    <w:rsid w:val="00163A72"/>
    <w:rsid w:val="00164071"/>
    <w:rsid w:val="0016432C"/>
    <w:rsid w:val="00164D60"/>
    <w:rsid w:val="0016513A"/>
    <w:rsid w:val="001659FA"/>
    <w:rsid w:val="00166E47"/>
    <w:rsid w:val="0016710A"/>
    <w:rsid w:val="00167830"/>
    <w:rsid w:val="00167BB9"/>
    <w:rsid w:val="001735A4"/>
    <w:rsid w:val="00173C3B"/>
    <w:rsid w:val="00173D27"/>
    <w:rsid w:val="00173DE4"/>
    <w:rsid w:val="00174842"/>
    <w:rsid w:val="00175480"/>
    <w:rsid w:val="0017596F"/>
    <w:rsid w:val="00177874"/>
    <w:rsid w:val="00180AC7"/>
    <w:rsid w:val="00182D47"/>
    <w:rsid w:val="00182DE8"/>
    <w:rsid w:val="00182F11"/>
    <w:rsid w:val="00183517"/>
    <w:rsid w:val="001839BB"/>
    <w:rsid w:val="00184247"/>
    <w:rsid w:val="00185861"/>
    <w:rsid w:val="00185F07"/>
    <w:rsid w:val="00186B6F"/>
    <w:rsid w:val="00186C5F"/>
    <w:rsid w:val="00187756"/>
    <w:rsid w:val="00187BD9"/>
    <w:rsid w:val="00190745"/>
    <w:rsid w:val="00190B53"/>
    <w:rsid w:val="00190F72"/>
    <w:rsid w:val="001920B8"/>
    <w:rsid w:val="0019287A"/>
    <w:rsid w:val="0019337B"/>
    <w:rsid w:val="001933CC"/>
    <w:rsid w:val="00193C37"/>
    <w:rsid w:val="00193CF2"/>
    <w:rsid w:val="00194424"/>
    <w:rsid w:val="0019465E"/>
    <w:rsid w:val="00194D53"/>
    <w:rsid w:val="0019530D"/>
    <w:rsid w:val="00196563"/>
    <w:rsid w:val="00197B5F"/>
    <w:rsid w:val="001A01A7"/>
    <w:rsid w:val="001A01AC"/>
    <w:rsid w:val="001A0DA6"/>
    <w:rsid w:val="001A0ED6"/>
    <w:rsid w:val="001A1661"/>
    <w:rsid w:val="001A1933"/>
    <w:rsid w:val="001A19A0"/>
    <w:rsid w:val="001A2A19"/>
    <w:rsid w:val="001A2BC9"/>
    <w:rsid w:val="001A34F6"/>
    <w:rsid w:val="001A37D5"/>
    <w:rsid w:val="001A56DF"/>
    <w:rsid w:val="001A5D18"/>
    <w:rsid w:val="001A5F24"/>
    <w:rsid w:val="001A5F84"/>
    <w:rsid w:val="001A6532"/>
    <w:rsid w:val="001A6DBB"/>
    <w:rsid w:val="001A74BA"/>
    <w:rsid w:val="001A776A"/>
    <w:rsid w:val="001B02F8"/>
    <w:rsid w:val="001B0657"/>
    <w:rsid w:val="001B0DE1"/>
    <w:rsid w:val="001B1D17"/>
    <w:rsid w:val="001B245A"/>
    <w:rsid w:val="001B2E62"/>
    <w:rsid w:val="001B31AE"/>
    <w:rsid w:val="001B3F50"/>
    <w:rsid w:val="001B48B3"/>
    <w:rsid w:val="001B490D"/>
    <w:rsid w:val="001B49C2"/>
    <w:rsid w:val="001B5201"/>
    <w:rsid w:val="001B62D3"/>
    <w:rsid w:val="001B6BA2"/>
    <w:rsid w:val="001B6DB4"/>
    <w:rsid w:val="001B6ECA"/>
    <w:rsid w:val="001B72AA"/>
    <w:rsid w:val="001B7871"/>
    <w:rsid w:val="001C0EB2"/>
    <w:rsid w:val="001C0FE2"/>
    <w:rsid w:val="001C131C"/>
    <w:rsid w:val="001C16A0"/>
    <w:rsid w:val="001C210C"/>
    <w:rsid w:val="001C21A5"/>
    <w:rsid w:val="001C2389"/>
    <w:rsid w:val="001C3B55"/>
    <w:rsid w:val="001C3DA7"/>
    <w:rsid w:val="001C48A0"/>
    <w:rsid w:val="001C4BB0"/>
    <w:rsid w:val="001C5131"/>
    <w:rsid w:val="001C5AEC"/>
    <w:rsid w:val="001C5DE8"/>
    <w:rsid w:val="001C6285"/>
    <w:rsid w:val="001C6B7A"/>
    <w:rsid w:val="001C6B7E"/>
    <w:rsid w:val="001C6C22"/>
    <w:rsid w:val="001C6C99"/>
    <w:rsid w:val="001D0009"/>
    <w:rsid w:val="001D007E"/>
    <w:rsid w:val="001D048C"/>
    <w:rsid w:val="001D10E7"/>
    <w:rsid w:val="001D15DD"/>
    <w:rsid w:val="001D18E7"/>
    <w:rsid w:val="001D1F6D"/>
    <w:rsid w:val="001D25D4"/>
    <w:rsid w:val="001D2782"/>
    <w:rsid w:val="001D2E7C"/>
    <w:rsid w:val="001D3636"/>
    <w:rsid w:val="001D384F"/>
    <w:rsid w:val="001D3D5F"/>
    <w:rsid w:val="001D42C9"/>
    <w:rsid w:val="001D4D2F"/>
    <w:rsid w:val="001D4F78"/>
    <w:rsid w:val="001D5559"/>
    <w:rsid w:val="001D5DB8"/>
    <w:rsid w:val="001D5F90"/>
    <w:rsid w:val="001D60FF"/>
    <w:rsid w:val="001D619D"/>
    <w:rsid w:val="001D6303"/>
    <w:rsid w:val="001D6EC7"/>
    <w:rsid w:val="001E0A3A"/>
    <w:rsid w:val="001E10BF"/>
    <w:rsid w:val="001E14D6"/>
    <w:rsid w:val="001E19EA"/>
    <w:rsid w:val="001E19F0"/>
    <w:rsid w:val="001E2A74"/>
    <w:rsid w:val="001E38CD"/>
    <w:rsid w:val="001E38FE"/>
    <w:rsid w:val="001E391A"/>
    <w:rsid w:val="001E4880"/>
    <w:rsid w:val="001E4B72"/>
    <w:rsid w:val="001E59DB"/>
    <w:rsid w:val="001E5F60"/>
    <w:rsid w:val="001E646D"/>
    <w:rsid w:val="001E656C"/>
    <w:rsid w:val="001E7446"/>
    <w:rsid w:val="001E779D"/>
    <w:rsid w:val="001E77A1"/>
    <w:rsid w:val="001E7895"/>
    <w:rsid w:val="001F085E"/>
    <w:rsid w:val="001F0F74"/>
    <w:rsid w:val="001F1C37"/>
    <w:rsid w:val="001F2899"/>
    <w:rsid w:val="001F31D5"/>
    <w:rsid w:val="001F33A6"/>
    <w:rsid w:val="001F3665"/>
    <w:rsid w:val="001F39FD"/>
    <w:rsid w:val="001F3E2D"/>
    <w:rsid w:val="001F5660"/>
    <w:rsid w:val="001F58F7"/>
    <w:rsid w:val="001F66D0"/>
    <w:rsid w:val="001F6718"/>
    <w:rsid w:val="001F7717"/>
    <w:rsid w:val="001F7D00"/>
    <w:rsid w:val="00200071"/>
    <w:rsid w:val="00200FCB"/>
    <w:rsid w:val="00201751"/>
    <w:rsid w:val="00202295"/>
    <w:rsid w:val="00202330"/>
    <w:rsid w:val="00202465"/>
    <w:rsid w:val="002033B8"/>
    <w:rsid w:val="00203B1B"/>
    <w:rsid w:val="0020524B"/>
    <w:rsid w:val="002055A4"/>
    <w:rsid w:val="00205B95"/>
    <w:rsid w:val="00205E28"/>
    <w:rsid w:val="00207097"/>
    <w:rsid w:val="0020751F"/>
    <w:rsid w:val="0020756C"/>
    <w:rsid w:val="00210800"/>
    <w:rsid w:val="00211B51"/>
    <w:rsid w:val="00211CD4"/>
    <w:rsid w:val="00211ECA"/>
    <w:rsid w:val="00211EFD"/>
    <w:rsid w:val="00212034"/>
    <w:rsid w:val="00212A50"/>
    <w:rsid w:val="002130D4"/>
    <w:rsid w:val="00213715"/>
    <w:rsid w:val="0021418B"/>
    <w:rsid w:val="002146DC"/>
    <w:rsid w:val="002147C8"/>
    <w:rsid w:val="00215221"/>
    <w:rsid w:val="00215484"/>
    <w:rsid w:val="002163E5"/>
    <w:rsid w:val="00216652"/>
    <w:rsid w:val="00217960"/>
    <w:rsid w:val="00217D44"/>
    <w:rsid w:val="0022202F"/>
    <w:rsid w:val="00223944"/>
    <w:rsid w:val="00224150"/>
    <w:rsid w:val="00225016"/>
    <w:rsid w:val="0022507D"/>
    <w:rsid w:val="002250AD"/>
    <w:rsid w:val="002272BE"/>
    <w:rsid w:val="00227CF1"/>
    <w:rsid w:val="00230221"/>
    <w:rsid w:val="00230542"/>
    <w:rsid w:val="002306B7"/>
    <w:rsid w:val="00230BD4"/>
    <w:rsid w:val="002315C2"/>
    <w:rsid w:val="002318C3"/>
    <w:rsid w:val="00231BA8"/>
    <w:rsid w:val="00232CCF"/>
    <w:rsid w:val="00232DE8"/>
    <w:rsid w:val="00232E8A"/>
    <w:rsid w:val="00233071"/>
    <w:rsid w:val="00233D9F"/>
    <w:rsid w:val="00233DF6"/>
    <w:rsid w:val="00234677"/>
    <w:rsid w:val="00234DA5"/>
    <w:rsid w:val="00234DAE"/>
    <w:rsid w:val="0023583B"/>
    <w:rsid w:val="00235D0B"/>
    <w:rsid w:val="00235DD3"/>
    <w:rsid w:val="002360A2"/>
    <w:rsid w:val="0023627E"/>
    <w:rsid w:val="00236E1D"/>
    <w:rsid w:val="002373C9"/>
    <w:rsid w:val="00237971"/>
    <w:rsid w:val="002400B0"/>
    <w:rsid w:val="002424E3"/>
    <w:rsid w:val="002428C0"/>
    <w:rsid w:val="0024294B"/>
    <w:rsid w:val="00242B1E"/>
    <w:rsid w:val="00242C2E"/>
    <w:rsid w:val="00242D8A"/>
    <w:rsid w:val="0024309A"/>
    <w:rsid w:val="002432EA"/>
    <w:rsid w:val="00243419"/>
    <w:rsid w:val="00243AB8"/>
    <w:rsid w:val="00243FEF"/>
    <w:rsid w:val="002455CD"/>
    <w:rsid w:val="0024575B"/>
    <w:rsid w:val="002457F7"/>
    <w:rsid w:val="00245DB3"/>
    <w:rsid w:val="0024623D"/>
    <w:rsid w:val="00246784"/>
    <w:rsid w:val="00247122"/>
    <w:rsid w:val="002472F2"/>
    <w:rsid w:val="0025010A"/>
    <w:rsid w:val="0025097E"/>
    <w:rsid w:val="00250F50"/>
    <w:rsid w:val="00251331"/>
    <w:rsid w:val="00252DE0"/>
    <w:rsid w:val="0025362F"/>
    <w:rsid w:val="00253925"/>
    <w:rsid w:val="00253B81"/>
    <w:rsid w:val="00253FF9"/>
    <w:rsid w:val="0025498A"/>
    <w:rsid w:val="00254AA7"/>
    <w:rsid w:val="00254BFA"/>
    <w:rsid w:val="00254D33"/>
    <w:rsid w:val="00254ED6"/>
    <w:rsid w:val="0025581A"/>
    <w:rsid w:val="0025644C"/>
    <w:rsid w:val="002568B6"/>
    <w:rsid w:val="00256D0A"/>
    <w:rsid w:val="00256E7A"/>
    <w:rsid w:val="00257B68"/>
    <w:rsid w:val="00260A80"/>
    <w:rsid w:val="00260C40"/>
    <w:rsid w:val="00261D1F"/>
    <w:rsid w:val="00262005"/>
    <w:rsid w:val="002628CD"/>
    <w:rsid w:val="002629E6"/>
    <w:rsid w:val="0026367B"/>
    <w:rsid w:val="0026452A"/>
    <w:rsid w:val="00264610"/>
    <w:rsid w:val="00264BB2"/>
    <w:rsid w:val="0026537A"/>
    <w:rsid w:val="00265CE4"/>
    <w:rsid w:val="002661EF"/>
    <w:rsid w:val="002664CC"/>
    <w:rsid w:val="00266A48"/>
    <w:rsid w:val="00266C04"/>
    <w:rsid w:val="00267033"/>
    <w:rsid w:val="00270087"/>
    <w:rsid w:val="0027013E"/>
    <w:rsid w:val="002708B4"/>
    <w:rsid w:val="0027175C"/>
    <w:rsid w:val="0027242F"/>
    <w:rsid w:val="00272DD8"/>
    <w:rsid w:val="002730CA"/>
    <w:rsid w:val="0027337B"/>
    <w:rsid w:val="00273792"/>
    <w:rsid w:val="00273B37"/>
    <w:rsid w:val="00273BC2"/>
    <w:rsid w:val="002744A5"/>
    <w:rsid w:val="002751E2"/>
    <w:rsid w:val="00275939"/>
    <w:rsid w:val="00276C57"/>
    <w:rsid w:val="00276FC8"/>
    <w:rsid w:val="00280B32"/>
    <w:rsid w:val="00280C88"/>
    <w:rsid w:val="00280FAE"/>
    <w:rsid w:val="0028118B"/>
    <w:rsid w:val="002811AA"/>
    <w:rsid w:val="00281D8A"/>
    <w:rsid w:val="0028314B"/>
    <w:rsid w:val="0028381C"/>
    <w:rsid w:val="002839B9"/>
    <w:rsid w:val="00285181"/>
    <w:rsid w:val="00285590"/>
    <w:rsid w:val="002857C0"/>
    <w:rsid w:val="002862CA"/>
    <w:rsid w:val="0028700B"/>
    <w:rsid w:val="0028732E"/>
    <w:rsid w:val="00287440"/>
    <w:rsid w:val="00287495"/>
    <w:rsid w:val="002874D3"/>
    <w:rsid w:val="00287E6A"/>
    <w:rsid w:val="00291997"/>
    <w:rsid w:val="00291A71"/>
    <w:rsid w:val="00291AD0"/>
    <w:rsid w:val="00292644"/>
    <w:rsid w:val="00292A30"/>
    <w:rsid w:val="002931C8"/>
    <w:rsid w:val="002938BF"/>
    <w:rsid w:val="00293902"/>
    <w:rsid w:val="00293D31"/>
    <w:rsid w:val="00295106"/>
    <w:rsid w:val="002951E7"/>
    <w:rsid w:val="0029561D"/>
    <w:rsid w:val="00295F77"/>
    <w:rsid w:val="00295FEA"/>
    <w:rsid w:val="002962EF"/>
    <w:rsid w:val="0029752E"/>
    <w:rsid w:val="0029775B"/>
    <w:rsid w:val="00297DDB"/>
    <w:rsid w:val="00297FA7"/>
    <w:rsid w:val="002A1215"/>
    <w:rsid w:val="002A134F"/>
    <w:rsid w:val="002A262C"/>
    <w:rsid w:val="002A2D9A"/>
    <w:rsid w:val="002A2EEA"/>
    <w:rsid w:val="002A30FB"/>
    <w:rsid w:val="002A362E"/>
    <w:rsid w:val="002A3913"/>
    <w:rsid w:val="002A4749"/>
    <w:rsid w:val="002A636D"/>
    <w:rsid w:val="002A6786"/>
    <w:rsid w:val="002A6F97"/>
    <w:rsid w:val="002A70E3"/>
    <w:rsid w:val="002A7100"/>
    <w:rsid w:val="002A7434"/>
    <w:rsid w:val="002A7966"/>
    <w:rsid w:val="002B089D"/>
    <w:rsid w:val="002B0D3A"/>
    <w:rsid w:val="002B0DD9"/>
    <w:rsid w:val="002B159A"/>
    <w:rsid w:val="002B1609"/>
    <w:rsid w:val="002B1D90"/>
    <w:rsid w:val="002B219B"/>
    <w:rsid w:val="002B2EA3"/>
    <w:rsid w:val="002B3369"/>
    <w:rsid w:val="002B357B"/>
    <w:rsid w:val="002B3E28"/>
    <w:rsid w:val="002B3F2C"/>
    <w:rsid w:val="002B4924"/>
    <w:rsid w:val="002B56EB"/>
    <w:rsid w:val="002B5B14"/>
    <w:rsid w:val="002B5D30"/>
    <w:rsid w:val="002B6A32"/>
    <w:rsid w:val="002C0B60"/>
    <w:rsid w:val="002C0D48"/>
    <w:rsid w:val="002C1958"/>
    <w:rsid w:val="002C21CB"/>
    <w:rsid w:val="002C300E"/>
    <w:rsid w:val="002C33D2"/>
    <w:rsid w:val="002C3458"/>
    <w:rsid w:val="002C4020"/>
    <w:rsid w:val="002C4AE5"/>
    <w:rsid w:val="002C5B9B"/>
    <w:rsid w:val="002C5EF0"/>
    <w:rsid w:val="002C5FBF"/>
    <w:rsid w:val="002C638C"/>
    <w:rsid w:val="002C6F84"/>
    <w:rsid w:val="002C794A"/>
    <w:rsid w:val="002D0F88"/>
    <w:rsid w:val="002D12E4"/>
    <w:rsid w:val="002D1F92"/>
    <w:rsid w:val="002D296C"/>
    <w:rsid w:val="002D2D1A"/>
    <w:rsid w:val="002D2F56"/>
    <w:rsid w:val="002D3695"/>
    <w:rsid w:val="002D37B7"/>
    <w:rsid w:val="002D5320"/>
    <w:rsid w:val="002D5484"/>
    <w:rsid w:val="002D5545"/>
    <w:rsid w:val="002D5900"/>
    <w:rsid w:val="002D659C"/>
    <w:rsid w:val="002D7396"/>
    <w:rsid w:val="002D7817"/>
    <w:rsid w:val="002E0660"/>
    <w:rsid w:val="002E07E0"/>
    <w:rsid w:val="002E0F1F"/>
    <w:rsid w:val="002E107B"/>
    <w:rsid w:val="002E1A8F"/>
    <w:rsid w:val="002E2D08"/>
    <w:rsid w:val="002E2ED3"/>
    <w:rsid w:val="002E2F8A"/>
    <w:rsid w:val="002E3550"/>
    <w:rsid w:val="002E39FB"/>
    <w:rsid w:val="002E3C9A"/>
    <w:rsid w:val="002E3D22"/>
    <w:rsid w:val="002E4717"/>
    <w:rsid w:val="002E51D4"/>
    <w:rsid w:val="002E5F27"/>
    <w:rsid w:val="002F09B3"/>
    <w:rsid w:val="002F0BAE"/>
    <w:rsid w:val="002F1182"/>
    <w:rsid w:val="002F192E"/>
    <w:rsid w:val="002F1FA0"/>
    <w:rsid w:val="002F2531"/>
    <w:rsid w:val="002F31CE"/>
    <w:rsid w:val="002F3B31"/>
    <w:rsid w:val="002F4338"/>
    <w:rsid w:val="002F4B43"/>
    <w:rsid w:val="002F6423"/>
    <w:rsid w:val="002F6445"/>
    <w:rsid w:val="002F67AB"/>
    <w:rsid w:val="002F6A12"/>
    <w:rsid w:val="002F6D35"/>
    <w:rsid w:val="002F6E72"/>
    <w:rsid w:val="002F77C8"/>
    <w:rsid w:val="003005A6"/>
    <w:rsid w:val="00300D26"/>
    <w:rsid w:val="003015FC"/>
    <w:rsid w:val="00301FBB"/>
    <w:rsid w:val="003025D8"/>
    <w:rsid w:val="00302AD9"/>
    <w:rsid w:val="0030314E"/>
    <w:rsid w:val="0030339B"/>
    <w:rsid w:val="003037E2"/>
    <w:rsid w:val="00303C51"/>
    <w:rsid w:val="0030444C"/>
    <w:rsid w:val="003046F9"/>
    <w:rsid w:val="0030497B"/>
    <w:rsid w:val="00304A23"/>
    <w:rsid w:val="00304AC2"/>
    <w:rsid w:val="0030501D"/>
    <w:rsid w:val="00305570"/>
    <w:rsid w:val="00305946"/>
    <w:rsid w:val="003064C4"/>
    <w:rsid w:val="0030676D"/>
    <w:rsid w:val="0030793D"/>
    <w:rsid w:val="00307F5B"/>
    <w:rsid w:val="003103C3"/>
    <w:rsid w:val="003111FE"/>
    <w:rsid w:val="00311AD9"/>
    <w:rsid w:val="00311F34"/>
    <w:rsid w:val="003125F5"/>
    <w:rsid w:val="00312AAA"/>
    <w:rsid w:val="00312BFF"/>
    <w:rsid w:val="00313168"/>
    <w:rsid w:val="0031421D"/>
    <w:rsid w:val="00314E28"/>
    <w:rsid w:val="00315162"/>
    <w:rsid w:val="0031532D"/>
    <w:rsid w:val="00315A18"/>
    <w:rsid w:val="00315AFB"/>
    <w:rsid w:val="00315D0B"/>
    <w:rsid w:val="00315D7B"/>
    <w:rsid w:val="003171C0"/>
    <w:rsid w:val="00317440"/>
    <w:rsid w:val="00320613"/>
    <w:rsid w:val="003206B9"/>
    <w:rsid w:val="00321C8F"/>
    <w:rsid w:val="003231A3"/>
    <w:rsid w:val="0032331B"/>
    <w:rsid w:val="003236BE"/>
    <w:rsid w:val="00324138"/>
    <w:rsid w:val="00324FC3"/>
    <w:rsid w:val="0032577B"/>
    <w:rsid w:val="00327096"/>
    <w:rsid w:val="00327368"/>
    <w:rsid w:val="00327506"/>
    <w:rsid w:val="00330400"/>
    <w:rsid w:val="00330A61"/>
    <w:rsid w:val="00330B62"/>
    <w:rsid w:val="00330DC7"/>
    <w:rsid w:val="00331111"/>
    <w:rsid w:val="0033119C"/>
    <w:rsid w:val="00331611"/>
    <w:rsid w:val="00332974"/>
    <w:rsid w:val="003336B1"/>
    <w:rsid w:val="00333719"/>
    <w:rsid w:val="00333929"/>
    <w:rsid w:val="00333C46"/>
    <w:rsid w:val="00333D6B"/>
    <w:rsid w:val="0033498A"/>
    <w:rsid w:val="00334E70"/>
    <w:rsid w:val="00336813"/>
    <w:rsid w:val="003377BB"/>
    <w:rsid w:val="00337A41"/>
    <w:rsid w:val="00337A7E"/>
    <w:rsid w:val="00337B19"/>
    <w:rsid w:val="00337D77"/>
    <w:rsid w:val="003409E4"/>
    <w:rsid w:val="00340B67"/>
    <w:rsid w:val="0034183A"/>
    <w:rsid w:val="00341A1E"/>
    <w:rsid w:val="00341BA8"/>
    <w:rsid w:val="00341CA0"/>
    <w:rsid w:val="003426D8"/>
    <w:rsid w:val="00342CED"/>
    <w:rsid w:val="0034340E"/>
    <w:rsid w:val="00344BD8"/>
    <w:rsid w:val="00345C07"/>
    <w:rsid w:val="00345C3C"/>
    <w:rsid w:val="003467EE"/>
    <w:rsid w:val="00347573"/>
    <w:rsid w:val="00350417"/>
    <w:rsid w:val="00350562"/>
    <w:rsid w:val="00350C75"/>
    <w:rsid w:val="0035155F"/>
    <w:rsid w:val="0035182B"/>
    <w:rsid w:val="00351E96"/>
    <w:rsid w:val="0035273C"/>
    <w:rsid w:val="003540F2"/>
    <w:rsid w:val="00355568"/>
    <w:rsid w:val="00355787"/>
    <w:rsid w:val="00360E74"/>
    <w:rsid w:val="003612C6"/>
    <w:rsid w:val="00361F41"/>
    <w:rsid w:val="00362827"/>
    <w:rsid w:val="003638FE"/>
    <w:rsid w:val="003643B4"/>
    <w:rsid w:val="00364888"/>
    <w:rsid w:val="00364CD1"/>
    <w:rsid w:val="00364FA6"/>
    <w:rsid w:val="00365317"/>
    <w:rsid w:val="003658F4"/>
    <w:rsid w:val="00366AD8"/>
    <w:rsid w:val="003670C7"/>
    <w:rsid w:val="00367328"/>
    <w:rsid w:val="003676D6"/>
    <w:rsid w:val="003704CA"/>
    <w:rsid w:val="00371AB3"/>
    <w:rsid w:val="00372241"/>
    <w:rsid w:val="0037254A"/>
    <w:rsid w:val="00375ABC"/>
    <w:rsid w:val="0037653E"/>
    <w:rsid w:val="003766AD"/>
    <w:rsid w:val="0037697A"/>
    <w:rsid w:val="00376ACA"/>
    <w:rsid w:val="00376BFB"/>
    <w:rsid w:val="00376CCF"/>
    <w:rsid w:val="00377974"/>
    <w:rsid w:val="00381279"/>
    <w:rsid w:val="003812DC"/>
    <w:rsid w:val="0038136D"/>
    <w:rsid w:val="003813BC"/>
    <w:rsid w:val="00382A6E"/>
    <w:rsid w:val="003834B1"/>
    <w:rsid w:val="00383AF6"/>
    <w:rsid w:val="00384441"/>
    <w:rsid w:val="00384F37"/>
    <w:rsid w:val="00385B84"/>
    <w:rsid w:val="00390A48"/>
    <w:rsid w:val="00390B2D"/>
    <w:rsid w:val="003910C0"/>
    <w:rsid w:val="003934AE"/>
    <w:rsid w:val="00393658"/>
    <w:rsid w:val="00393A16"/>
    <w:rsid w:val="00393DF0"/>
    <w:rsid w:val="003943DD"/>
    <w:rsid w:val="0039508A"/>
    <w:rsid w:val="00395226"/>
    <w:rsid w:val="00395449"/>
    <w:rsid w:val="00395559"/>
    <w:rsid w:val="003956C0"/>
    <w:rsid w:val="00395A04"/>
    <w:rsid w:val="00395C1C"/>
    <w:rsid w:val="00395DBB"/>
    <w:rsid w:val="00395DC0"/>
    <w:rsid w:val="00395F76"/>
    <w:rsid w:val="0039604A"/>
    <w:rsid w:val="003961BA"/>
    <w:rsid w:val="00396608"/>
    <w:rsid w:val="00397728"/>
    <w:rsid w:val="00397F07"/>
    <w:rsid w:val="003A0536"/>
    <w:rsid w:val="003A06E2"/>
    <w:rsid w:val="003A0C51"/>
    <w:rsid w:val="003A1175"/>
    <w:rsid w:val="003A26C7"/>
    <w:rsid w:val="003A2D32"/>
    <w:rsid w:val="003A377D"/>
    <w:rsid w:val="003A39EC"/>
    <w:rsid w:val="003A3D57"/>
    <w:rsid w:val="003A404A"/>
    <w:rsid w:val="003A45FC"/>
    <w:rsid w:val="003A4843"/>
    <w:rsid w:val="003A5253"/>
    <w:rsid w:val="003A567D"/>
    <w:rsid w:val="003A6493"/>
    <w:rsid w:val="003A6857"/>
    <w:rsid w:val="003A6F9C"/>
    <w:rsid w:val="003A7D42"/>
    <w:rsid w:val="003B036E"/>
    <w:rsid w:val="003B0522"/>
    <w:rsid w:val="003B0986"/>
    <w:rsid w:val="003B09A6"/>
    <w:rsid w:val="003B1066"/>
    <w:rsid w:val="003B1967"/>
    <w:rsid w:val="003B25F1"/>
    <w:rsid w:val="003B27C3"/>
    <w:rsid w:val="003B2909"/>
    <w:rsid w:val="003B2EBC"/>
    <w:rsid w:val="003B5732"/>
    <w:rsid w:val="003B590D"/>
    <w:rsid w:val="003B5CCF"/>
    <w:rsid w:val="003B7116"/>
    <w:rsid w:val="003B767F"/>
    <w:rsid w:val="003B7C1F"/>
    <w:rsid w:val="003B7E55"/>
    <w:rsid w:val="003C011A"/>
    <w:rsid w:val="003C0705"/>
    <w:rsid w:val="003C07DA"/>
    <w:rsid w:val="003C0F0E"/>
    <w:rsid w:val="003C144F"/>
    <w:rsid w:val="003C1F62"/>
    <w:rsid w:val="003C22E4"/>
    <w:rsid w:val="003C311B"/>
    <w:rsid w:val="003C3F6C"/>
    <w:rsid w:val="003C3FFB"/>
    <w:rsid w:val="003C40DD"/>
    <w:rsid w:val="003C43A8"/>
    <w:rsid w:val="003C4B2E"/>
    <w:rsid w:val="003C514F"/>
    <w:rsid w:val="003C5C7C"/>
    <w:rsid w:val="003C62B5"/>
    <w:rsid w:val="003C6579"/>
    <w:rsid w:val="003C7B19"/>
    <w:rsid w:val="003C7BE5"/>
    <w:rsid w:val="003D08B8"/>
    <w:rsid w:val="003D18D5"/>
    <w:rsid w:val="003D222A"/>
    <w:rsid w:val="003D3895"/>
    <w:rsid w:val="003D3B6F"/>
    <w:rsid w:val="003D4100"/>
    <w:rsid w:val="003D4AF7"/>
    <w:rsid w:val="003D4D75"/>
    <w:rsid w:val="003D55B3"/>
    <w:rsid w:val="003D60AC"/>
    <w:rsid w:val="003D625D"/>
    <w:rsid w:val="003D65C4"/>
    <w:rsid w:val="003D6D04"/>
    <w:rsid w:val="003D72FE"/>
    <w:rsid w:val="003D7EBF"/>
    <w:rsid w:val="003E06A1"/>
    <w:rsid w:val="003E098E"/>
    <w:rsid w:val="003E116C"/>
    <w:rsid w:val="003E11E0"/>
    <w:rsid w:val="003E13D5"/>
    <w:rsid w:val="003E1ECA"/>
    <w:rsid w:val="003E35F0"/>
    <w:rsid w:val="003E43D7"/>
    <w:rsid w:val="003E48BE"/>
    <w:rsid w:val="003E580E"/>
    <w:rsid w:val="003E5C50"/>
    <w:rsid w:val="003E660F"/>
    <w:rsid w:val="003E69E4"/>
    <w:rsid w:val="003E7173"/>
    <w:rsid w:val="003F00CE"/>
    <w:rsid w:val="003F013A"/>
    <w:rsid w:val="003F051D"/>
    <w:rsid w:val="003F17A1"/>
    <w:rsid w:val="003F1897"/>
    <w:rsid w:val="003F1898"/>
    <w:rsid w:val="003F1AD3"/>
    <w:rsid w:val="003F1CFD"/>
    <w:rsid w:val="003F23F2"/>
    <w:rsid w:val="003F27DA"/>
    <w:rsid w:val="003F2A23"/>
    <w:rsid w:val="003F2F6C"/>
    <w:rsid w:val="003F3422"/>
    <w:rsid w:val="003F3A51"/>
    <w:rsid w:val="003F3AA8"/>
    <w:rsid w:val="003F4270"/>
    <w:rsid w:val="003F51A5"/>
    <w:rsid w:val="003F552A"/>
    <w:rsid w:val="003F5D22"/>
    <w:rsid w:val="003F6F7E"/>
    <w:rsid w:val="003F74B0"/>
    <w:rsid w:val="004015CE"/>
    <w:rsid w:val="00402CCF"/>
    <w:rsid w:val="00403444"/>
    <w:rsid w:val="004038D4"/>
    <w:rsid w:val="0040414D"/>
    <w:rsid w:val="00404467"/>
    <w:rsid w:val="00404776"/>
    <w:rsid w:val="00404D35"/>
    <w:rsid w:val="004051CE"/>
    <w:rsid w:val="00405A0C"/>
    <w:rsid w:val="00406445"/>
    <w:rsid w:val="00407220"/>
    <w:rsid w:val="00407BC6"/>
    <w:rsid w:val="00407D33"/>
    <w:rsid w:val="00410841"/>
    <w:rsid w:val="00411318"/>
    <w:rsid w:val="00411494"/>
    <w:rsid w:val="00411E67"/>
    <w:rsid w:val="004132EA"/>
    <w:rsid w:val="00413611"/>
    <w:rsid w:val="004138E6"/>
    <w:rsid w:val="00413D71"/>
    <w:rsid w:val="00414112"/>
    <w:rsid w:val="004145C9"/>
    <w:rsid w:val="00415BEC"/>
    <w:rsid w:val="00415D46"/>
    <w:rsid w:val="004165E9"/>
    <w:rsid w:val="004172AF"/>
    <w:rsid w:val="004200FC"/>
    <w:rsid w:val="0042117D"/>
    <w:rsid w:val="004217A2"/>
    <w:rsid w:val="00421DA8"/>
    <w:rsid w:val="0042205F"/>
    <w:rsid w:val="00423A98"/>
    <w:rsid w:val="00424201"/>
    <w:rsid w:val="00424396"/>
    <w:rsid w:val="00425738"/>
    <w:rsid w:val="00425C77"/>
    <w:rsid w:val="00425F1D"/>
    <w:rsid w:val="00426105"/>
    <w:rsid w:val="004261BC"/>
    <w:rsid w:val="004279FF"/>
    <w:rsid w:val="00427AE6"/>
    <w:rsid w:val="00430A9B"/>
    <w:rsid w:val="00430FEB"/>
    <w:rsid w:val="00431229"/>
    <w:rsid w:val="004320DB"/>
    <w:rsid w:val="004328F0"/>
    <w:rsid w:val="00433077"/>
    <w:rsid w:val="00433AAA"/>
    <w:rsid w:val="00433B9B"/>
    <w:rsid w:val="004346EF"/>
    <w:rsid w:val="00434C7E"/>
    <w:rsid w:val="00434D1E"/>
    <w:rsid w:val="00434DD2"/>
    <w:rsid w:val="00434E16"/>
    <w:rsid w:val="00435866"/>
    <w:rsid w:val="00435CF5"/>
    <w:rsid w:val="0043624E"/>
    <w:rsid w:val="004366F9"/>
    <w:rsid w:val="004367CF"/>
    <w:rsid w:val="00436AF3"/>
    <w:rsid w:val="00436B48"/>
    <w:rsid w:val="00436EFE"/>
    <w:rsid w:val="00440EE8"/>
    <w:rsid w:val="00441144"/>
    <w:rsid w:val="0044128D"/>
    <w:rsid w:val="004417A4"/>
    <w:rsid w:val="00441832"/>
    <w:rsid w:val="00441A50"/>
    <w:rsid w:val="00442099"/>
    <w:rsid w:val="0044228C"/>
    <w:rsid w:val="00442E2A"/>
    <w:rsid w:val="00443AD7"/>
    <w:rsid w:val="00443C1B"/>
    <w:rsid w:val="004441F3"/>
    <w:rsid w:val="0044429D"/>
    <w:rsid w:val="004442F1"/>
    <w:rsid w:val="004449C3"/>
    <w:rsid w:val="00444B9C"/>
    <w:rsid w:val="00444E83"/>
    <w:rsid w:val="004451C1"/>
    <w:rsid w:val="004452C4"/>
    <w:rsid w:val="00445865"/>
    <w:rsid w:val="0044611C"/>
    <w:rsid w:val="0044634A"/>
    <w:rsid w:val="0044710B"/>
    <w:rsid w:val="004471FC"/>
    <w:rsid w:val="00447551"/>
    <w:rsid w:val="004501CA"/>
    <w:rsid w:val="00450E4C"/>
    <w:rsid w:val="0045132C"/>
    <w:rsid w:val="004523B2"/>
    <w:rsid w:val="00452BBD"/>
    <w:rsid w:val="0045354D"/>
    <w:rsid w:val="00453A2A"/>
    <w:rsid w:val="004547E8"/>
    <w:rsid w:val="00454A34"/>
    <w:rsid w:val="00455010"/>
    <w:rsid w:val="00455982"/>
    <w:rsid w:val="00455DFC"/>
    <w:rsid w:val="00456053"/>
    <w:rsid w:val="0045731F"/>
    <w:rsid w:val="004605C2"/>
    <w:rsid w:val="00461912"/>
    <w:rsid w:val="00461E2D"/>
    <w:rsid w:val="00461FD0"/>
    <w:rsid w:val="004622DA"/>
    <w:rsid w:val="00462339"/>
    <w:rsid w:val="00462580"/>
    <w:rsid w:val="00462832"/>
    <w:rsid w:val="004628F3"/>
    <w:rsid w:val="00462ED5"/>
    <w:rsid w:val="004630DF"/>
    <w:rsid w:val="00463723"/>
    <w:rsid w:val="004638C4"/>
    <w:rsid w:val="004667B6"/>
    <w:rsid w:val="00467914"/>
    <w:rsid w:val="0047050A"/>
    <w:rsid w:val="00471BED"/>
    <w:rsid w:val="004723EF"/>
    <w:rsid w:val="00472889"/>
    <w:rsid w:val="00472E04"/>
    <w:rsid w:val="00473F23"/>
    <w:rsid w:val="00473F5C"/>
    <w:rsid w:val="004745CF"/>
    <w:rsid w:val="004752FA"/>
    <w:rsid w:val="00475C4C"/>
    <w:rsid w:val="00475F03"/>
    <w:rsid w:val="00476902"/>
    <w:rsid w:val="00477499"/>
    <w:rsid w:val="004816C3"/>
    <w:rsid w:val="00481FEA"/>
    <w:rsid w:val="00483B87"/>
    <w:rsid w:val="004840E9"/>
    <w:rsid w:val="00484E36"/>
    <w:rsid w:val="00485244"/>
    <w:rsid w:val="00486392"/>
    <w:rsid w:val="004872E3"/>
    <w:rsid w:val="00487342"/>
    <w:rsid w:val="00487A90"/>
    <w:rsid w:val="00490493"/>
    <w:rsid w:val="00490912"/>
    <w:rsid w:val="004910A3"/>
    <w:rsid w:val="00491998"/>
    <w:rsid w:val="00491A36"/>
    <w:rsid w:val="00491CB2"/>
    <w:rsid w:val="004920CC"/>
    <w:rsid w:val="00492726"/>
    <w:rsid w:val="00493130"/>
    <w:rsid w:val="00493D20"/>
    <w:rsid w:val="004959BD"/>
    <w:rsid w:val="0049694B"/>
    <w:rsid w:val="004976C9"/>
    <w:rsid w:val="004976E2"/>
    <w:rsid w:val="004A0AA3"/>
    <w:rsid w:val="004A1A7B"/>
    <w:rsid w:val="004A1FD6"/>
    <w:rsid w:val="004A2845"/>
    <w:rsid w:val="004A284D"/>
    <w:rsid w:val="004A2D5F"/>
    <w:rsid w:val="004A362B"/>
    <w:rsid w:val="004A4D8C"/>
    <w:rsid w:val="004A5A41"/>
    <w:rsid w:val="004A629E"/>
    <w:rsid w:val="004A6514"/>
    <w:rsid w:val="004A6AE6"/>
    <w:rsid w:val="004A6F05"/>
    <w:rsid w:val="004A7265"/>
    <w:rsid w:val="004A7DAA"/>
    <w:rsid w:val="004B1F1F"/>
    <w:rsid w:val="004B2C19"/>
    <w:rsid w:val="004B2D1E"/>
    <w:rsid w:val="004B36CB"/>
    <w:rsid w:val="004B4F7A"/>
    <w:rsid w:val="004B694D"/>
    <w:rsid w:val="004B7940"/>
    <w:rsid w:val="004B7B28"/>
    <w:rsid w:val="004C0E8F"/>
    <w:rsid w:val="004C1096"/>
    <w:rsid w:val="004C1F83"/>
    <w:rsid w:val="004C26B9"/>
    <w:rsid w:val="004C2E02"/>
    <w:rsid w:val="004C4018"/>
    <w:rsid w:val="004C4370"/>
    <w:rsid w:val="004C4695"/>
    <w:rsid w:val="004C5A03"/>
    <w:rsid w:val="004C5E53"/>
    <w:rsid w:val="004C5FE8"/>
    <w:rsid w:val="004C69EA"/>
    <w:rsid w:val="004C6FA6"/>
    <w:rsid w:val="004C75F0"/>
    <w:rsid w:val="004D052A"/>
    <w:rsid w:val="004D1B3E"/>
    <w:rsid w:val="004D1B61"/>
    <w:rsid w:val="004D2DCB"/>
    <w:rsid w:val="004D372A"/>
    <w:rsid w:val="004D37B3"/>
    <w:rsid w:val="004D38A2"/>
    <w:rsid w:val="004D4C24"/>
    <w:rsid w:val="004D4FFB"/>
    <w:rsid w:val="004D5448"/>
    <w:rsid w:val="004D55D0"/>
    <w:rsid w:val="004D5B32"/>
    <w:rsid w:val="004D61FD"/>
    <w:rsid w:val="004E01A0"/>
    <w:rsid w:val="004E0B95"/>
    <w:rsid w:val="004E0D7A"/>
    <w:rsid w:val="004E0DCC"/>
    <w:rsid w:val="004E1D8A"/>
    <w:rsid w:val="004E2131"/>
    <w:rsid w:val="004E2675"/>
    <w:rsid w:val="004E2E10"/>
    <w:rsid w:val="004E2EE5"/>
    <w:rsid w:val="004E2FF4"/>
    <w:rsid w:val="004E396C"/>
    <w:rsid w:val="004E481C"/>
    <w:rsid w:val="004E491A"/>
    <w:rsid w:val="004E495B"/>
    <w:rsid w:val="004E4C18"/>
    <w:rsid w:val="004E4DC6"/>
    <w:rsid w:val="004E5E33"/>
    <w:rsid w:val="004E5FF8"/>
    <w:rsid w:val="004E6193"/>
    <w:rsid w:val="004E6DBB"/>
    <w:rsid w:val="004E6F4F"/>
    <w:rsid w:val="004E7BC7"/>
    <w:rsid w:val="004E7C81"/>
    <w:rsid w:val="004F0450"/>
    <w:rsid w:val="004F08F6"/>
    <w:rsid w:val="004F090C"/>
    <w:rsid w:val="004F0C27"/>
    <w:rsid w:val="004F10DA"/>
    <w:rsid w:val="004F17D5"/>
    <w:rsid w:val="004F1AD8"/>
    <w:rsid w:val="004F2428"/>
    <w:rsid w:val="004F2BFB"/>
    <w:rsid w:val="004F2F62"/>
    <w:rsid w:val="004F2F8B"/>
    <w:rsid w:val="004F360B"/>
    <w:rsid w:val="004F450A"/>
    <w:rsid w:val="004F47C8"/>
    <w:rsid w:val="004F5BBE"/>
    <w:rsid w:val="004F5E04"/>
    <w:rsid w:val="004F6B62"/>
    <w:rsid w:val="004F70B8"/>
    <w:rsid w:val="004F70BD"/>
    <w:rsid w:val="00501125"/>
    <w:rsid w:val="00501CA5"/>
    <w:rsid w:val="00501D87"/>
    <w:rsid w:val="0050222E"/>
    <w:rsid w:val="00502A56"/>
    <w:rsid w:val="00502DF9"/>
    <w:rsid w:val="00502FCD"/>
    <w:rsid w:val="00503509"/>
    <w:rsid w:val="00503715"/>
    <w:rsid w:val="00504969"/>
    <w:rsid w:val="00505154"/>
    <w:rsid w:val="005057DE"/>
    <w:rsid w:val="00506766"/>
    <w:rsid w:val="00506854"/>
    <w:rsid w:val="0050693E"/>
    <w:rsid w:val="005070B6"/>
    <w:rsid w:val="005074B1"/>
    <w:rsid w:val="00507BE6"/>
    <w:rsid w:val="00507E6E"/>
    <w:rsid w:val="0051038C"/>
    <w:rsid w:val="00510EA7"/>
    <w:rsid w:val="005112DE"/>
    <w:rsid w:val="00511ED1"/>
    <w:rsid w:val="005125F9"/>
    <w:rsid w:val="00512AF1"/>
    <w:rsid w:val="00513424"/>
    <w:rsid w:val="00513FE4"/>
    <w:rsid w:val="005146ED"/>
    <w:rsid w:val="005149EC"/>
    <w:rsid w:val="00514D90"/>
    <w:rsid w:val="0051509F"/>
    <w:rsid w:val="00515262"/>
    <w:rsid w:val="00515B0B"/>
    <w:rsid w:val="0051625C"/>
    <w:rsid w:val="00516284"/>
    <w:rsid w:val="005162BF"/>
    <w:rsid w:val="00516A12"/>
    <w:rsid w:val="005175D0"/>
    <w:rsid w:val="00517951"/>
    <w:rsid w:val="0052026C"/>
    <w:rsid w:val="00520640"/>
    <w:rsid w:val="00520909"/>
    <w:rsid w:val="0052091A"/>
    <w:rsid w:val="00520A58"/>
    <w:rsid w:val="00521590"/>
    <w:rsid w:val="00521CDE"/>
    <w:rsid w:val="0052216F"/>
    <w:rsid w:val="005229FF"/>
    <w:rsid w:val="00522EFC"/>
    <w:rsid w:val="0052347A"/>
    <w:rsid w:val="00523C5A"/>
    <w:rsid w:val="005248BA"/>
    <w:rsid w:val="0052511C"/>
    <w:rsid w:val="005266AE"/>
    <w:rsid w:val="00527014"/>
    <w:rsid w:val="0052707A"/>
    <w:rsid w:val="0052767A"/>
    <w:rsid w:val="00527A68"/>
    <w:rsid w:val="00527D26"/>
    <w:rsid w:val="005301BC"/>
    <w:rsid w:val="0053059B"/>
    <w:rsid w:val="00531880"/>
    <w:rsid w:val="005324DD"/>
    <w:rsid w:val="00532B6A"/>
    <w:rsid w:val="00533223"/>
    <w:rsid w:val="005336B9"/>
    <w:rsid w:val="00533BDF"/>
    <w:rsid w:val="00534D45"/>
    <w:rsid w:val="0053589E"/>
    <w:rsid w:val="00535D46"/>
    <w:rsid w:val="00535F6C"/>
    <w:rsid w:val="00536370"/>
    <w:rsid w:val="005367B9"/>
    <w:rsid w:val="00537678"/>
    <w:rsid w:val="0054083B"/>
    <w:rsid w:val="00540F48"/>
    <w:rsid w:val="00541A52"/>
    <w:rsid w:val="0054261F"/>
    <w:rsid w:val="00542A63"/>
    <w:rsid w:val="00543431"/>
    <w:rsid w:val="00543B0E"/>
    <w:rsid w:val="00543BC1"/>
    <w:rsid w:val="0054424E"/>
    <w:rsid w:val="0054493C"/>
    <w:rsid w:val="005464A7"/>
    <w:rsid w:val="00546BE4"/>
    <w:rsid w:val="0054771D"/>
    <w:rsid w:val="00550282"/>
    <w:rsid w:val="005503C1"/>
    <w:rsid w:val="005503FF"/>
    <w:rsid w:val="0055118D"/>
    <w:rsid w:val="00552122"/>
    <w:rsid w:val="00552338"/>
    <w:rsid w:val="005526F7"/>
    <w:rsid w:val="00552CA0"/>
    <w:rsid w:val="0055411D"/>
    <w:rsid w:val="00554B08"/>
    <w:rsid w:val="0055509A"/>
    <w:rsid w:val="00555F85"/>
    <w:rsid w:val="005573C8"/>
    <w:rsid w:val="00557409"/>
    <w:rsid w:val="00557DFF"/>
    <w:rsid w:val="00561B0A"/>
    <w:rsid w:val="00562173"/>
    <w:rsid w:val="0056367E"/>
    <w:rsid w:val="00565407"/>
    <w:rsid w:val="005655D8"/>
    <w:rsid w:val="0056678E"/>
    <w:rsid w:val="00566F39"/>
    <w:rsid w:val="00570111"/>
    <w:rsid w:val="00570924"/>
    <w:rsid w:val="00570E67"/>
    <w:rsid w:val="00570FBC"/>
    <w:rsid w:val="00571331"/>
    <w:rsid w:val="00571D6D"/>
    <w:rsid w:val="00571F40"/>
    <w:rsid w:val="00572373"/>
    <w:rsid w:val="00573260"/>
    <w:rsid w:val="005733DC"/>
    <w:rsid w:val="0057381A"/>
    <w:rsid w:val="00573EFC"/>
    <w:rsid w:val="00574124"/>
    <w:rsid w:val="00574FE9"/>
    <w:rsid w:val="005759F7"/>
    <w:rsid w:val="00575A55"/>
    <w:rsid w:val="00575B37"/>
    <w:rsid w:val="00575EEA"/>
    <w:rsid w:val="00575F1A"/>
    <w:rsid w:val="0057602B"/>
    <w:rsid w:val="00576436"/>
    <w:rsid w:val="00576A94"/>
    <w:rsid w:val="00576D61"/>
    <w:rsid w:val="00577083"/>
    <w:rsid w:val="0057754B"/>
    <w:rsid w:val="00577B34"/>
    <w:rsid w:val="00577D0D"/>
    <w:rsid w:val="00577FC7"/>
    <w:rsid w:val="005821BF"/>
    <w:rsid w:val="00582200"/>
    <w:rsid w:val="005823F4"/>
    <w:rsid w:val="00582757"/>
    <w:rsid w:val="005829D5"/>
    <w:rsid w:val="00582A86"/>
    <w:rsid w:val="005834CF"/>
    <w:rsid w:val="00584FC6"/>
    <w:rsid w:val="005852E3"/>
    <w:rsid w:val="005853C0"/>
    <w:rsid w:val="005855AA"/>
    <w:rsid w:val="005859D6"/>
    <w:rsid w:val="00585DBF"/>
    <w:rsid w:val="00586085"/>
    <w:rsid w:val="005864F0"/>
    <w:rsid w:val="00586ACE"/>
    <w:rsid w:val="005874D7"/>
    <w:rsid w:val="00587535"/>
    <w:rsid w:val="00587BE3"/>
    <w:rsid w:val="0059059C"/>
    <w:rsid w:val="00590BD5"/>
    <w:rsid w:val="00590DF7"/>
    <w:rsid w:val="005915AC"/>
    <w:rsid w:val="005924CA"/>
    <w:rsid w:val="00592A48"/>
    <w:rsid w:val="00592B0A"/>
    <w:rsid w:val="005937EA"/>
    <w:rsid w:val="00593B89"/>
    <w:rsid w:val="00594290"/>
    <w:rsid w:val="00594904"/>
    <w:rsid w:val="005949B3"/>
    <w:rsid w:val="0059523A"/>
    <w:rsid w:val="00595623"/>
    <w:rsid w:val="00596640"/>
    <w:rsid w:val="00596816"/>
    <w:rsid w:val="00597051"/>
    <w:rsid w:val="0059719B"/>
    <w:rsid w:val="00597C35"/>
    <w:rsid w:val="005A010A"/>
    <w:rsid w:val="005A1E45"/>
    <w:rsid w:val="005A24BD"/>
    <w:rsid w:val="005A2B19"/>
    <w:rsid w:val="005A32E2"/>
    <w:rsid w:val="005A49B0"/>
    <w:rsid w:val="005A4C3E"/>
    <w:rsid w:val="005A5122"/>
    <w:rsid w:val="005A5376"/>
    <w:rsid w:val="005A5835"/>
    <w:rsid w:val="005A62A1"/>
    <w:rsid w:val="005A690E"/>
    <w:rsid w:val="005A6FBD"/>
    <w:rsid w:val="005A7761"/>
    <w:rsid w:val="005A785C"/>
    <w:rsid w:val="005A791D"/>
    <w:rsid w:val="005B0381"/>
    <w:rsid w:val="005B09A1"/>
    <w:rsid w:val="005B145E"/>
    <w:rsid w:val="005B1CA2"/>
    <w:rsid w:val="005B4535"/>
    <w:rsid w:val="005B5480"/>
    <w:rsid w:val="005B6019"/>
    <w:rsid w:val="005B652B"/>
    <w:rsid w:val="005B6CBB"/>
    <w:rsid w:val="005B6EE2"/>
    <w:rsid w:val="005B72EC"/>
    <w:rsid w:val="005C0A2A"/>
    <w:rsid w:val="005C1731"/>
    <w:rsid w:val="005C2146"/>
    <w:rsid w:val="005C277D"/>
    <w:rsid w:val="005C2D37"/>
    <w:rsid w:val="005C2D5A"/>
    <w:rsid w:val="005C2DFD"/>
    <w:rsid w:val="005C34C6"/>
    <w:rsid w:val="005C407C"/>
    <w:rsid w:val="005C503B"/>
    <w:rsid w:val="005C5E1F"/>
    <w:rsid w:val="005C649A"/>
    <w:rsid w:val="005C6958"/>
    <w:rsid w:val="005C787A"/>
    <w:rsid w:val="005D0A86"/>
    <w:rsid w:val="005D0C76"/>
    <w:rsid w:val="005D14ED"/>
    <w:rsid w:val="005D1BB8"/>
    <w:rsid w:val="005D1ECC"/>
    <w:rsid w:val="005D24D8"/>
    <w:rsid w:val="005D252E"/>
    <w:rsid w:val="005D29AB"/>
    <w:rsid w:val="005D3ACB"/>
    <w:rsid w:val="005D3C2A"/>
    <w:rsid w:val="005D41C0"/>
    <w:rsid w:val="005D537A"/>
    <w:rsid w:val="005D595B"/>
    <w:rsid w:val="005D5C30"/>
    <w:rsid w:val="005D6910"/>
    <w:rsid w:val="005D6AEF"/>
    <w:rsid w:val="005D6F0E"/>
    <w:rsid w:val="005D77D2"/>
    <w:rsid w:val="005D7A77"/>
    <w:rsid w:val="005D7D6A"/>
    <w:rsid w:val="005E0424"/>
    <w:rsid w:val="005E0726"/>
    <w:rsid w:val="005E0FDD"/>
    <w:rsid w:val="005E1111"/>
    <w:rsid w:val="005E11FB"/>
    <w:rsid w:val="005E1F5A"/>
    <w:rsid w:val="005E2E3C"/>
    <w:rsid w:val="005E4179"/>
    <w:rsid w:val="005E4C29"/>
    <w:rsid w:val="005E5532"/>
    <w:rsid w:val="005E5FD8"/>
    <w:rsid w:val="005E7E2B"/>
    <w:rsid w:val="005F011C"/>
    <w:rsid w:val="005F096E"/>
    <w:rsid w:val="005F186F"/>
    <w:rsid w:val="005F1BF3"/>
    <w:rsid w:val="005F248E"/>
    <w:rsid w:val="005F2683"/>
    <w:rsid w:val="005F2A37"/>
    <w:rsid w:val="005F3405"/>
    <w:rsid w:val="005F4125"/>
    <w:rsid w:val="005F42BC"/>
    <w:rsid w:val="005F454B"/>
    <w:rsid w:val="005F4E8C"/>
    <w:rsid w:val="005F4ECF"/>
    <w:rsid w:val="005F5443"/>
    <w:rsid w:val="005F705F"/>
    <w:rsid w:val="005F7231"/>
    <w:rsid w:val="005F7511"/>
    <w:rsid w:val="005F7555"/>
    <w:rsid w:val="005F7AB5"/>
    <w:rsid w:val="00601951"/>
    <w:rsid w:val="00601AF7"/>
    <w:rsid w:val="006023B6"/>
    <w:rsid w:val="00602DF4"/>
    <w:rsid w:val="00603175"/>
    <w:rsid w:val="006032E9"/>
    <w:rsid w:val="006046A7"/>
    <w:rsid w:val="006049B4"/>
    <w:rsid w:val="00604F57"/>
    <w:rsid w:val="006054FE"/>
    <w:rsid w:val="00605737"/>
    <w:rsid w:val="00605D2D"/>
    <w:rsid w:val="00606594"/>
    <w:rsid w:val="00606ACF"/>
    <w:rsid w:val="00607184"/>
    <w:rsid w:val="006071E6"/>
    <w:rsid w:val="00607402"/>
    <w:rsid w:val="0060745F"/>
    <w:rsid w:val="006102D5"/>
    <w:rsid w:val="0061151D"/>
    <w:rsid w:val="006127A3"/>
    <w:rsid w:val="00612A01"/>
    <w:rsid w:val="00612FC3"/>
    <w:rsid w:val="00614CA7"/>
    <w:rsid w:val="00615A55"/>
    <w:rsid w:val="006162F1"/>
    <w:rsid w:val="00617D95"/>
    <w:rsid w:val="006203FA"/>
    <w:rsid w:val="006206C1"/>
    <w:rsid w:val="00620E70"/>
    <w:rsid w:val="00621C01"/>
    <w:rsid w:val="0062266D"/>
    <w:rsid w:val="00622CD1"/>
    <w:rsid w:val="00623A89"/>
    <w:rsid w:val="0062489B"/>
    <w:rsid w:val="00625513"/>
    <w:rsid w:val="00625675"/>
    <w:rsid w:val="006256D0"/>
    <w:rsid w:val="006260EA"/>
    <w:rsid w:val="00626CFA"/>
    <w:rsid w:val="0062788E"/>
    <w:rsid w:val="00631100"/>
    <w:rsid w:val="00631382"/>
    <w:rsid w:val="006318DF"/>
    <w:rsid w:val="006320E1"/>
    <w:rsid w:val="0063239B"/>
    <w:rsid w:val="00632AE2"/>
    <w:rsid w:val="0063488A"/>
    <w:rsid w:val="00635B09"/>
    <w:rsid w:val="00635B2C"/>
    <w:rsid w:val="00635C24"/>
    <w:rsid w:val="00636075"/>
    <w:rsid w:val="006372E6"/>
    <w:rsid w:val="00637633"/>
    <w:rsid w:val="006418BC"/>
    <w:rsid w:val="00642260"/>
    <w:rsid w:val="00642285"/>
    <w:rsid w:val="006424DA"/>
    <w:rsid w:val="006425B9"/>
    <w:rsid w:val="006427D3"/>
    <w:rsid w:val="00642921"/>
    <w:rsid w:val="006436EE"/>
    <w:rsid w:val="00643A66"/>
    <w:rsid w:val="00644828"/>
    <w:rsid w:val="00644DBC"/>
    <w:rsid w:val="00645712"/>
    <w:rsid w:val="0064586A"/>
    <w:rsid w:val="0064656E"/>
    <w:rsid w:val="00646987"/>
    <w:rsid w:val="00646A30"/>
    <w:rsid w:val="00646C90"/>
    <w:rsid w:val="00646FAF"/>
    <w:rsid w:val="00647F37"/>
    <w:rsid w:val="00650805"/>
    <w:rsid w:val="00650F86"/>
    <w:rsid w:val="00652090"/>
    <w:rsid w:val="00652CEE"/>
    <w:rsid w:val="00652DEC"/>
    <w:rsid w:val="006537E9"/>
    <w:rsid w:val="006548C1"/>
    <w:rsid w:val="00655AA6"/>
    <w:rsid w:val="00655E2B"/>
    <w:rsid w:val="0065617A"/>
    <w:rsid w:val="006561DD"/>
    <w:rsid w:val="0065647C"/>
    <w:rsid w:val="006568F3"/>
    <w:rsid w:val="00656B6A"/>
    <w:rsid w:val="00656D75"/>
    <w:rsid w:val="00656EEB"/>
    <w:rsid w:val="0065702A"/>
    <w:rsid w:val="00657092"/>
    <w:rsid w:val="006577AB"/>
    <w:rsid w:val="00657920"/>
    <w:rsid w:val="00657BDC"/>
    <w:rsid w:val="00657E9B"/>
    <w:rsid w:val="00661229"/>
    <w:rsid w:val="00661674"/>
    <w:rsid w:val="0066318E"/>
    <w:rsid w:val="006645F3"/>
    <w:rsid w:val="006655EB"/>
    <w:rsid w:val="00665C56"/>
    <w:rsid w:val="00665DC5"/>
    <w:rsid w:val="0066688D"/>
    <w:rsid w:val="00667054"/>
    <w:rsid w:val="00667202"/>
    <w:rsid w:val="00667437"/>
    <w:rsid w:val="006676E4"/>
    <w:rsid w:val="006714ED"/>
    <w:rsid w:val="0067584B"/>
    <w:rsid w:val="00675A6F"/>
    <w:rsid w:val="0067622F"/>
    <w:rsid w:val="00676BB6"/>
    <w:rsid w:val="006771AF"/>
    <w:rsid w:val="006777C5"/>
    <w:rsid w:val="00677B0D"/>
    <w:rsid w:val="00677F1B"/>
    <w:rsid w:val="00680135"/>
    <w:rsid w:val="006807F7"/>
    <w:rsid w:val="006816C1"/>
    <w:rsid w:val="00682114"/>
    <w:rsid w:val="00682415"/>
    <w:rsid w:val="006829B8"/>
    <w:rsid w:val="00682C39"/>
    <w:rsid w:val="0068323C"/>
    <w:rsid w:val="00684143"/>
    <w:rsid w:val="00684781"/>
    <w:rsid w:val="00684DDA"/>
    <w:rsid w:val="00684DF0"/>
    <w:rsid w:val="0068551B"/>
    <w:rsid w:val="00685655"/>
    <w:rsid w:val="006856B8"/>
    <w:rsid w:val="006862CB"/>
    <w:rsid w:val="00686A9C"/>
    <w:rsid w:val="00687E92"/>
    <w:rsid w:val="00690057"/>
    <w:rsid w:val="006903F9"/>
    <w:rsid w:val="00690AC9"/>
    <w:rsid w:val="006915BA"/>
    <w:rsid w:val="00691917"/>
    <w:rsid w:val="00691ED7"/>
    <w:rsid w:val="00691FC4"/>
    <w:rsid w:val="0069223F"/>
    <w:rsid w:val="00692367"/>
    <w:rsid w:val="0069247F"/>
    <w:rsid w:val="00692677"/>
    <w:rsid w:val="00693230"/>
    <w:rsid w:val="006932F6"/>
    <w:rsid w:val="00693688"/>
    <w:rsid w:val="006938FC"/>
    <w:rsid w:val="00694D84"/>
    <w:rsid w:val="00694FE4"/>
    <w:rsid w:val="006950AC"/>
    <w:rsid w:val="00695261"/>
    <w:rsid w:val="006959A7"/>
    <w:rsid w:val="00697828"/>
    <w:rsid w:val="006978E7"/>
    <w:rsid w:val="00697907"/>
    <w:rsid w:val="00697DEC"/>
    <w:rsid w:val="006A0835"/>
    <w:rsid w:val="006A0903"/>
    <w:rsid w:val="006A167D"/>
    <w:rsid w:val="006A1953"/>
    <w:rsid w:val="006A1D69"/>
    <w:rsid w:val="006A1ECB"/>
    <w:rsid w:val="006A23A9"/>
    <w:rsid w:val="006A28D2"/>
    <w:rsid w:val="006A2C4A"/>
    <w:rsid w:val="006A2CBF"/>
    <w:rsid w:val="006A3116"/>
    <w:rsid w:val="006A3666"/>
    <w:rsid w:val="006A5E5A"/>
    <w:rsid w:val="006A60E9"/>
    <w:rsid w:val="006A6F14"/>
    <w:rsid w:val="006A705D"/>
    <w:rsid w:val="006A7CB0"/>
    <w:rsid w:val="006B027F"/>
    <w:rsid w:val="006B08A6"/>
    <w:rsid w:val="006B0E44"/>
    <w:rsid w:val="006B113F"/>
    <w:rsid w:val="006B116A"/>
    <w:rsid w:val="006B15C2"/>
    <w:rsid w:val="006B162B"/>
    <w:rsid w:val="006B177C"/>
    <w:rsid w:val="006B2558"/>
    <w:rsid w:val="006B2927"/>
    <w:rsid w:val="006B31B8"/>
    <w:rsid w:val="006B43DB"/>
    <w:rsid w:val="006B5077"/>
    <w:rsid w:val="006B7303"/>
    <w:rsid w:val="006B7B19"/>
    <w:rsid w:val="006B7CFE"/>
    <w:rsid w:val="006B7E0D"/>
    <w:rsid w:val="006B7E11"/>
    <w:rsid w:val="006C046D"/>
    <w:rsid w:val="006C2175"/>
    <w:rsid w:val="006C2287"/>
    <w:rsid w:val="006C240C"/>
    <w:rsid w:val="006C275B"/>
    <w:rsid w:val="006C290A"/>
    <w:rsid w:val="006C2A4B"/>
    <w:rsid w:val="006C30E9"/>
    <w:rsid w:val="006C33AF"/>
    <w:rsid w:val="006C401F"/>
    <w:rsid w:val="006C4A53"/>
    <w:rsid w:val="006C69AE"/>
    <w:rsid w:val="006C6B03"/>
    <w:rsid w:val="006C6CE8"/>
    <w:rsid w:val="006C719D"/>
    <w:rsid w:val="006C7331"/>
    <w:rsid w:val="006C7795"/>
    <w:rsid w:val="006C7CBF"/>
    <w:rsid w:val="006D12B4"/>
    <w:rsid w:val="006D1455"/>
    <w:rsid w:val="006D1A7E"/>
    <w:rsid w:val="006D1B62"/>
    <w:rsid w:val="006D237E"/>
    <w:rsid w:val="006D2FAC"/>
    <w:rsid w:val="006D3BF1"/>
    <w:rsid w:val="006D3CC9"/>
    <w:rsid w:val="006D4745"/>
    <w:rsid w:val="006D593A"/>
    <w:rsid w:val="006D5A3C"/>
    <w:rsid w:val="006D5D3F"/>
    <w:rsid w:val="006D5F13"/>
    <w:rsid w:val="006D6156"/>
    <w:rsid w:val="006E0352"/>
    <w:rsid w:val="006E09FB"/>
    <w:rsid w:val="006E0BF1"/>
    <w:rsid w:val="006E0E2F"/>
    <w:rsid w:val="006E1F44"/>
    <w:rsid w:val="006E26D8"/>
    <w:rsid w:val="006E2FF1"/>
    <w:rsid w:val="006E3A62"/>
    <w:rsid w:val="006E422D"/>
    <w:rsid w:val="006E47E2"/>
    <w:rsid w:val="006E4823"/>
    <w:rsid w:val="006E4B5B"/>
    <w:rsid w:val="006E4E9D"/>
    <w:rsid w:val="006E5C21"/>
    <w:rsid w:val="006E7037"/>
    <w:rsid w:val="006E728F"/>
    <w:rsid w:val="006E7B26"/>
    <w:rsid w:val="006E7C79"/>
    <w:rsid w:val="006F0149"/>
    <w:rsid w:val="006F0994"/>
    <w:rsid w:val="006F09AC"/>
    <w:rsid w:val="006F0BC7"/>
    <w:rsid w:val="006F0C7D"/>
    <w:rsid w:val="006F2026"/>
    <w:rsid w:val="006F2A58"/>
    <w:rsid w:val="006F30DC"/>
    <w:rsid w:val="006F3920"/>
    <w:rsid w:val="006F3A85"/>
    <w:rsid w:val="006F3F99"/>
    <w:rsid w:val="006F4052"/>
    <w:rsid w:val="006F4B7C"/>
    <w:rsid w:val="006F5108"/>
    <w:rsid w:val="006F5502"/>
    <w:rsid w:val="006F55AB"/>
    <w:rsid w:val="006F6288"/>
    <w:rsid w:val="006F6FAB"/>
    <w:rsid w:val="006F72E0"/>
    <w:rsid w:val="006F743C"/>
    <w:rsid w:val="006F7C9B"/>
    <w:rsid w:val="007000F8"/>
    <w:rsid w:val="007007A5"/>
    <w:rsid w:val="007007E5"/>
    <w:rsid w:val="0070140D"/>
    <w:rsid w:val="007018EA"/>
    <w:rsid w:val="007027B5"/>
    <w:rsid w:val="0070287F"/>
    <w:rsid w:val="00704BEC"/>
    <w:rsid w:val="0070501C"/>
    <w:rsid w:val="007056E4"/>
    <w:rsid w:val="0070598C"/>
    <w:rsid w:val="00705E24"/>
    <w:rsid w:val="007062CE"/>
    <w:rsid w:val="00706CD4"/>
    <w:rsid w:val="0070757E"/>
    <w:rsid w:val="00707662"/>
    <w:rsid w:val="00707DAD"/>
    <w:rsid w:val="007103F9"/>
    <w:rsid w:val="00710A0D"/>
    <w:rsid w:val="00712AEE"/>
    <w:rsid w:val="00712F7A"/>
    <w:rsid w:val="007132ED"/>
    <w:rsid w:val="007137BA"/>
    <w:rsid w:val="00713A17"/>
    <w:rsid w:val="00713A53"/>
    <w:rsid w:val="00713E43"/>
    <w:rsid w:val="007145A0"/>
    <w:rsid w:val="00714ABD"/>
    <w:rsid w:val="0071510B"/>
    <w:rsid w:val="00715DC2"/>
    <w:rsid w:val="007161C8"/>
    <w:rsid w:val="0071622B"/>
    <w:rsid w:val="0071657C"/>
    <w:rsid w:val="00716A2D"/>
    <w:rsid w:val="00716C3D"/>
    <w:rsid w:val="0071766E"/>
    <w:rsid w:val="00717D19"/>
    <w:rsid w:val="00717D6A"/>
    <w:rsid w:val="00720039"/>
    <w:rsid w:val="00720436"/>
    <w:rsid w:val="00720997"/>
    <w:rsid w:val="00720BBF"/>
    <w:rsid w:val="00721065"/>
    <w:rsid w:val="007210A6"/>
    <w:rsid w:val="00721157"/>
    <w:rsid w:val="007213F8"/>
    <w:rsid w:val="00721E4B"/>
    <w:rsid w:val="007220A7"/>
    <w:rsid w:val="007221BF"/>
    <w:rsid w:val="007224B2"/>
    <w:rsid w:val="00722914"/>
    <w:rsid w:val="007229ED"/>
    <w:rsid w:val="00722DA2"/>
    <w:rsid w:val="0072317A"/>
    <w:rsid w:val="00723A59"/>
    <w:rsid w:val="00724727"/>
    <w:rsid w:val="007251D3"/>
    <w:rsid w:val="00725549"/>
    <w:rsid w:val="007257E6"/>
    <w:rsid w:val="0072591C"/>
    <w:rsid w:val="00725A65"/>
    <w:rsid w:val="007261BF"/>
    <w:rsid w:val="007264E0"/>
    <w:rsid w:val="00730337"/>
    <w:rsid w:val="0073187B"/>
    <w:rsid w:val="00731A36"/>
    <w:rsid w:val="00731CE6"/>
    <w:rsid w:val="00731DE2"/>
    <w:rsid w:val="00731FDA"/>
    <w:rsid w:val="0073207F"/>
    <w:rsid w:val="00732554"/>
    <w:rsid w:val="00732C76"/>
    <w:rsid w:val="00733BBE"/>
    <w:rsid w:val="00733F10"/>
    <w:rsid w:val="007348B1"/>
    <w:rsid w:val="00735033"/>
    <w:rsid w:val="00735ED9"/>
    <w:rsid w:val="00736514"/>
    <w:rsid w:val="00736555"/>
    <w:rsid w:val="00736920"/>
    <w:rsid w:val="00737BBE"/>
    <w:rsid w:val="00737F9D"/>
    <w:rsid w:val="007412A4"/>
    <w:rsid w:val="007419C6"/>
    <w:rsid w:val="00741F8B"/>
    <w:rsid w:val="00742320"/>
    <w:rsid w:val="00742490"/>
    <w:rsid w:val="00742503"/>
    <w:rsid w:val="00742630"/>
    <w:rsid w:val="0074289A"/>
    <w:rsid w:val="00743FA9"/>
    <w:rsid w:val="00744896"/>
    <w:rsid w:val="00745892"/>
    <w:rsid w:val="007464C8"/>
    <w:rsid w:val="00746AFC"/>
    <w:rsid w:val="00746F4B"/>
    <w:rsid w:val="007508DF"/>
    <w:rsid w:val="00751433"/>
    <w:rsid w:val="00751A07"/>
    <w:rsid w:val="00751F8C"/>
    <w:rsid w:val="0075201E"/>
    <w:rsid w:val="0075281D"/>
    <w:rsid w:val="00752867"/>
    <w:rsid w:val="0075374C"/>
    <w:rsid w:val="00753853"/>
    <w:rsid w:val="007546A7"/>
    <w:rsid w:val="0075485E"/>
    <w:rsid w:val="00754B0C"/>
    <w:rsid w:val="0075510F"/>
    <w:rsid w:val="0076065B"/>
    <w:rsid w:val="00761BD7"/>
    <w:rsid w:val="00762000"/>
    <w:rsid w:val="0076277E"/>
    <w:rsid w:val="00764BBF"/>
    <w:rsid w:val="00766697"/>
    <w:rsid w:val="00766753"/>
    <w:rsid w:val="00766C4F"/>
    <w:rsid w:val="00766CD6"/>
    <w:rsid w:val="00766F84"/>
    <w:rsid w:val="00771207"/>
    <w:rsid w:val="00772548"/>
    <w:rsid w:val="0077281C"/>
    <w:rsid w:val="00772A11"/>
    <w:rsid w:val="00772F9E"/>
    <w:rsid w:val="007730D5"/>
    <w:rsid w:val="007736F6"/>
    <w:rsid w:val="00773921"/>
    <w:rsid w:val="007742DB"/>
    <w:rsid w:val="0077434B"/>
    <w:rsid w:val="00775774"/>
    <w:rsid w:val="00775EE7"/>
    <w:rsid w:val="00777418"/>
    <w:rsid w:val="00780873"/>
    <w:rsid w:val="00781BA9"/>
    <w:rsid w:val="00781C86"/>
    <w:rsid w:val="00782103"/>
    <w:rsid w:val="00782E3D"/>
    <w:rsid w:val="00783FEB"/>
    <w:rsid w:val="0078426D"/>
    <w:rsid w:val="00784799"/>
    <w:rsid w:val="00784F55"/>
    <w:rsid w:val="00785762"/>
    <w:rsid w:val="007857BB"/>
    <w:rsid w:val="00785B03"/>
    <w:rsid w:val="0078669C"/>
    <w:rsid w:val="00786AEA"/>
    <w:rsid w:val="0078712C"/>
    <w:rsid w:val="00787821"/>
    <w:rsid w:val="007878E7"/>
    <w:rsid w:val="00787C4E"/>
    <w:rsid w:val="0079009A"/>
    <w:rsid w:val="00790AF1"/>
    <w:rsid w:val="00791242"/>
    <w:rsid w:val="0079175B"/>
    <w:rsid w:val="0079180B"/>
    <w:rsid w:val="00791A3C"/>
    <w:rsid w:val="00792797"/>
    <w:rsid w:val="0079279A"/>
    <w:rsid w:val="0079328E"/>
    <w:rsid w:val="00793575"/>
    <w:rsid w:val="007940DF"/>
    <w:rsid w:val="007953BF"/>
    <w:rsid w:val="00795742"/>
    <w:rsid w:val="00796710"/>
    <w:rsid w:val="00796C25"/>
    <w:rsid w:val="007972AD"/>
    <w:rsid w:val="00797518"/>
    <w:rsid w:val="00797F4A"/>
    <w:rsid w:val="007A0A4C"/>
    <w:rsid w:val="007A0D1B"/>
    <w:rsid w:val="007A10B4"/>
    <w:rsid w:val="007A279F"/>
    <w:rsid w:val="007A3B76"/>
    <w:rsid w:val="007A43B7"/>
    <w:rsid w:val="007A494F"/>
    <w:rsid w:val="007A49C8"/>
    <w:rsid w:val="007A5150"/>
    <w:rsid w:val="007A541C"/>
    <w:rsid w:val="007A583C"/>
    <w:rsid w:val="007A5AD1"/>
    <w:rsid w:val="007A5D80"/>
    <w:rsid w:val="007A5DA2"/>
    <w:rsid w:val="007A5DE3"/>
    <w:rsid w:val="007A7B60"/>
    <w:rsid w:val="007B063C"/>
    <w:rsid w:val="007B086F"/>
    <w:rsid w:val="007B0B57"/>
    <w:rsid w:val="007B0D79"/>
    <w:rsid w:val="007B1268"/>
    <w:rsid w:val="007B181B"/>
    <w:rsid w:val="007B1D75"/>
    <w:rsid w:val="007B2124"/>
    <w:rsid w:val="007B238F"/>
    <w:rsid w:val="007B243E"/>
    <w:rsid w:val="007B5F09"/>
    <w:rsid w:val="007B63AF"/>
    <w:rsid w:val="007B71BB"/>
    <w:rsid w:val="007B78B2"/>
    <w:rsid w:val="007B7C35"/>
    <w:rsid w:val="007C00A2"/>
    <w:rsid w:val="007C167B"/>
    <w:rsid w:val="007C1B21"/>
    <w:rsid w:val="007C1E85"/>
    <w:rsid w:val="007C3650"/>
    <w:rsid w:val="007C5D62"/>
    <w:rsid w:val="007C68F3"/>
    <w:rsid w:val="007C7085"/>
    <w:rsid w:val="007C7536"/>
    <w:rsid w:val="007C78D0"/>
    <w:rsid w:val="007C7B93"/>
    <w:rsid w:val="007C7C22"/>
    <w:rsid w:val="007D0B34"/>
    <w:rsid w:val="007D137E"/>
    <w:rsid w:val="007D1A68"/>
    <w:rsid w:val="007D2238"/>
    <w:rsid w:val="007D295C"/>
    <w:rsid w:val="007D3E76"/>
    <w:rsid w:val="007D3ED8"/>
    <w:rsid w:val="007D40D7"/>
    <w:rsid w:val="007D443E"/>
    <w:rsid w:val="007D49BD"/>
    <w:rsid w:val="007D5CB9"/>
    <w:rsid w:val="007D5CC8"/>
    <w:rsid w:val="007D61BB"/>
    <w:rsid w:val="007D650A"/>
    <w:rsid w:val="007D7536"/>
    <w:rsid w:val="007D7BEF"/>
    <w:rsid w:val="007E00CD"/>
    <w:rsid w:val="007E03CD"/>
    <w:rsid w:val="007E0419"/>
    <w:rsid w:val="007E0632"/>
    <w:rsid w:val="007E0AB2"/>
    <w:rsid w:val="007E1302"/>
    <w:rsid w:val="007E1EF5"/>
    <w:rsid w:val="007E209A"/>
    <w:rsid w:val="007E2A9F"/>
    <w:rsid w:val="007E2CA1"/>
    <w:rsid w:val="007E2DBC"/>
    <w:rsid w:val="007E32A4"/>
    <w:rsid w:val="007E3906"/>
    <w:rsid w:val="007E3AE0"/>
    <w:rsid w:val="007E3B8F"/>
    <w:rsid w:val="007E4955"/>
    <w:rsid w:val="007E4E3D"/>
    <w:rsid w:val="007E5349"/>
    <w:rsid w:val="007E60F3"/>
    <w:rsid w:val="007E6372"/>
    <w:rsid w:val="007E668D"/>
    <w:rsid w:val="007E6A83"/>
    <w:rsid w:val="007E763C"/>
    <w:rsid w:val="007E7666"/>
    <w:rsid w:val="007E76C1"/>
    <w:rsid w:val="007E79AB"/>
    <w:rsid w:val="007F018C"/>
    <w:rsid w:val="007F0386"/>
    <w:rsid w:val="007F05C6"/>
    <w:rsid w:val="007F08A2"/>
    <w:rsid w:val="007F1D21"/>
    <w:rsid w:val="007F1D8D"/>
    <w:rsid w:val="007F3375"/>
    <w:rsid w:val="007F40FC"/>
    <w:rsid w:val="007F44C6"/>
    <w:rsid w:val="007F527A"/>
    <w:rsid w:val="007F596C"/>
    <w:rsid w:val="007F6133"/>
    <w:rsid w:val="007F675B"/>
    <w:rsid w:val="007F691F"/>
    <w:rsid w:val="007F7D4B"/>
    <w:rsid w:val="008000B5"/>
    <w:rsid w:val="0080104D"/>
    <w:rsid w:val="0080145B"/>
    <w:rsid w:val="00801ED2"/>
    <w:rsid w:val="00802C06"/>
    <w:rsid w:val="008030B9"/>
    <w:rsid w:val="0080397F"/>
    <w:rsid w:val="0080444A"/>
    <w:rsid w:val="00804C11"/>
    <w:rsid w:val="00805250"/>
    <w:rsid w:val="008056B3"/>
    <w:rsid w:val="00805ACF"/>
    <w:rsid w:val="00805B90"/>
    <w:rsid w:val="0080647B"/>
    <w:rsid w:val="00806776"/>
    <w:rsid w:val="0080730A"/>
    <w:rsid w:val="00807DDC"/>
    <w:rsid w:val="0081018F"/>
    <w:rsid w:val="0081063A"/>
    <w:rsid w:val="0081066A"/>
    <w:rsid w:val="00810DDF"/>
    <w:rsid w:val="00811100"/>
    <w:rsid w:val="00811BF2"/>
    <w:rsid w:val="008124A3"/>
    <w:rsid w:val="00812726"/>
    <w:rsid w:val="00812A86"/>
    <w:rsid w:val="00812DCA"/>
    <w:rsid w:val="00813358"/>
    <w:rsid w:val="008138E6"/>
    <w:rsid w:val="00813CC8"/>
    <w:rsid w:val="008152CA"/>
    <w:rsid w:val="00815483"/>
    <w:rsid w:val="00815991"/>
    <w:rsid w:val="00816144"/>
    <w:rsid w:val="00816223"/>
    <w:rsid w:val="00820587"/>
    <w:rsid w:val="008215A7"/>
    <w:rsid w:val="00821798"/>
    <w:rsid w:val="00821973"/>
    <w:rsid w:val="00821DD2"/>
    <w:rsid w:val="00822838"/>
    <w:rsid w:val="00822FAB"/>
    <w:rsid w:val="00824590"/>
    <w:rsid w:val="0082468B"/>
    <w:rsid w:val="008248A2"/>
    <w:rsid w:val="008251F2"/>
    <w:rsid w:val="00825CC4"/>
    <w:rsid w:val="0082639C"/>
    <w:rsid w:val="008268B1"/>
    <w:rsid w:val="008272E8"/>
    <w:rsid w:val="008272F1"/>
    <w:rsid w:val="00830C17"/>
    <w:rsid w:val="0083116C"/>
    <w:rsid w:val="00832824"/>
    <w:rsid w:val="00832B77"/>
    <w:rsid w:val="00832F54"/>
    <w:rsid w:val="008332CD"/>
    <w:rsid w:val="00833751"/>
    <w:rsid w:val="0083385B"/>
    <w:rsid w:val="008338AC"/>
    <w:rsid w:val="008344B7"/>
    <w:rsid w:val="00834A2B"/>
    <w:rsid w:val="00834C56"/>
    <w:rsid w:val="00835D38"/>
    <w:rsid w:val="008376C9"/>
    <w:rsid w:val="0083789A"/>
    <w:rsid w:val="00837C39"/>
    <w:rsid w:val="00837EEC"/>
    <w:rsid w:val="00840EC7"/>
    <w:rsid w:val="00841530"/>
    <w:rsid w:val="00841840"/>
    <w:rsid w:val="00841867"/>
    <w:rsid w:val="00841D4D"/>
    <w:rsid w:val="00842774"/>
    <w:rsid w:val="00844541"/>
    <w:rsid w:val="008455BF"/>
    <w:rsid w:val="00845AE3"/>
    <w:rsid w:val="00846412"/>
    <w:rsid w:val="00846AA0"/>
    <w:rsid w:val="00846CF9"/>
    <w:rsid w:val="00846E9B"/>
    <w:rsid w:val="00846EDF"/>
    <w:rsid w:val="00847236"/>
    <w:rsid w:val="00847845"/>
    <w:rsid w:val="0084791F"/>
    <w:rsid w:val="0085072F"/>
    <w:rsid w:val="0085129E"/>
    <w:rsid w:val="00853870"/>
    <w:rsid w:val="00853DF7"/>
    <w:rsid w:val="008541BF"/>
    <w:rsid w:val="00854ACD"/>
    <w:rsid w:val="00855198"/>
    <w:rsid w:val="0085587F"/>
    <w:rsid w:val="00855BA8"/>
    <w:rsid w:val="008562C5"/>
    <w:rsid w:val="00857223"/>
    <w:rsid w:val="00860C9F"/>
    <w:rsid w:val="008614BD"/>
    <w:rsid w:val="00862970"/>
    <w:rsid w:val="00862D78"/>
    <w:rsid w:val="00864121"/>
    <w:rsid w:val="00864139"/>
    <w:rsid w:val="008654BF"/>
    <w:rsid w:val="00865611"/>
    <w:rsid w:val="00866BDB"/>
    <w:rsid w:val="00867E6A"/>
    <w:rsid w:val="008702AF"/>
    <w:rsid w:val="008708CB"/>
    <w:rsid w:val="0087192F"/>
    <w:rsid w:val="00872DFC"/>
    <w:rsid w:val="00873307"/>
    <w:rsid w:val="0087338D"/>
    <w:rsid w:val="00873555"/>
    <w:rsid w:val="00873E90"/>
    <w:rsid w:val="00874286"/>
    <w:rsid w:val="00874DCC"/>
    <w:rsid w:val="00875027"/>
    <w:rsid w:val="008755A3"/>
    <w:rsid w:val="0087581E"/>
    <w:rsid w:val="0087593A"/>
    <w:rsid w:val="00876623"/>
    <w:rsid w:val="008771FF"/>
    <w:rsid w:val="00877D5F"/>
    <w:rsid w:val="008805C8"/>
    <w:rsid w:val="00880BDF"/>
    <w:rsid w:val="00880BED"/>
    <w:rsid w:val="00881041"/>
    <w:rsid w:val="00881520"/>
    <w:rsid w:val="00881625"/>
    <w:rsid w:val="00881901"/>
    <w:rsid w:val="0088266A"/>
    <w:rsid w:val="00882D47"/>
    <w:rsid w:val="00883D66"/>
    <w:rsid w:val="0088439F"/>
    <w:rsid w:val="00884530"/>
    <w:rsid w:val="00884E57"/>
    <w:rsid w:val="00885299"/>
    <w:rsid w:val="00885E7B"/>
    <w:rsid w:val="00886412"/>
    <w:rsid w:val="00887D08"/>
    <w:rsid w:val="00887E55"/>
    <w:rsid w:val="008900F1"/>
    <w:rsid w:val="00890210"/>
    <w:rsid w:val="00890A6A"/>
    <w:rsid w:val="008913DD"/>
    <w:rsid w:val="00891B15"/>
    <w:rsid w:val="00893565"/>
    <w:rsid w:val="00895584"/>
    <w:rsid w:val="008955F0"/>
    <w:rsid w:val="00896203"/>
    <w:rsid w:val="00896595"/>
    <w:rsid w:val="00896854"/>
    <w:rsid w:val="00897792"/>
    <w:rsid w:val="008977B0"/>
    <w:rsid w:val="008A00D1"/>
    <w:rsid w:val="008A00E4"/>
    <w:rsid w:val="008A038E"/>
    <w:rsid w:val="008A04A9"/>
    <w:rsid w:val="008A0670"/>
    <w:rsid w:val="008A1181"/>
    <w:rsid w:val="008A1871"/>
    <w:rsid w:val="008A1B3E"/>
    <w:rsid w:val="008A21A9"/>
    <w:rsid w:val="008A31F7"/>
    <w:rsid w:val="008A35B2"/>
    <w:rsid w:val="008A3627"/>
    <w:rsid w:val="008A45D0"/>
    <w:rsid w:val="008A4C1C"/>
    <w:rsid w:val="008A526C"/>
    <w:rsid w:val="008A53A0"/>
    <w:rsid w:val="008A54DA"/>
    <w:rsid w:val="008A5874"/>
    <w:rsid w:val="008A605F"/>
    <w:rsid w:val="008A61A0"/>
    <w:rsid w:val="008A6658"/>
    <w:rsid w:val="008A6A01"/>
    <w:rsid w:val="008A6C76"/>
    <w:rsid w:val="008A6DF4"/>
    <w:rsid w:val="008A7C55"/>
    <w:rsid w:val="008B10A8"/>
    <w:rsid w:val="008B10E1"/>
    <w:rsid w:val="008B188E"/>
    <w:rsid w:val="008B1BEA"/>
    <w:rsid w:val="008B1F40"/>
    <w:rsid w:val="008B2E57"/>
    <w:rsid w:val="008B45AC"/>
    <w:rsid w:val="008B6763"/>
    <w:rsid w:val="008B7E49"/>
    <w:rsid w:val="008C0BF2"/>
    <w:rsid w:val="008C1447"/>
    <w:rsid w:val="008C1B7D"/>
    <w:rsid w:val="008C1C78"/>
    <w:rsid w:val="008C1F36"/>
    <w:rsid w:val="008C256F"/>
    <w:rsid w:val="008C2820"/>
    <w:rsid w:val="008C2C6D"/>
    <w:rsid w:val="008C3BBE"/>
    <w:rsid w:val="008C4465"/>
    <w:rsid w:val="008C488D"/>
    <w:rsid w:val="008C4A7C"/>
    <w:rsid w:val="008C50DE"/>
    <w:rsid w:val="008C5E7A"/>
    <w:rsid w:val="008C6245"/>
    <w:rsid w:val="008C6C13"/>
    <w:rsid w:val="008C6F58"/>
    <w:rsid w:val="008C7151"/>
    <w:rsid w:val="008C7807"/>
    <w:rsid w:val="008C7CB4"/>
    <w:rsid w:val="008C7FF8"/>
    <w:rsid w:val="008D0029"/>
    <w:rsid w:val="008D1A04"/>
    <w:rsid w:val="008D1A9F"/>
    <w:rsid w:val="008D21CC"/>
    <w:rsid w:val="008D291E"/>
    <w:rsid w:val="008D2B3C"/>
    <w:rsid w:val="008D3962"/>
    <w:rsid w:val="008D40D0"/>
    <w:rsid w:val="008D481F"/>
    <w:rsid w:val="008D598C"/>
    <w:rsid w:val="008D65C9"/>
    <w:rsid w:val="008D6E1B"/>
    <w:rsid w:val="008D6FDD"/>
    <w:rsid w:val="008D791F"/>
    <w:rsid w:val="008E05D8"/>
    <w:rsid w:val="008E1EE4"/>
    <w:rsid w:val="008E2504"/>
    <w:rsid w:val="008E2A71"/>
    <w:rsid w:val="008E30ED"/>
    <w:rsid w:val="008E318B"/>
    <w:rsid w:val="008E3493"/>
    <w:rsid w:val="008E34DE"/>
    <w:rsid w:val="008E35E0"/>
    <w:rsid w:val="008E402D"/>
    <w:rsid w:val="008E4B1F"/>
    <w:rsid w:val="008E55C3"/>
    <w:rsid w:val="008E5B17"/>
    <w:rsid w:val="008E5F26"/>
    <w:rsid w:val="008E6443"/>
    <w:rsid w:val="008E6DC1"/>
    <w:rsid w:val="008E7172"/>
    <w:rsid w:val="008E77E8"/>
    <w:rsid w:val="008E7A94"/>
    <w:rsid w:val="008F032E"/>
    <w:rsid w:val="008F0F96"/>
    <w:rsid w:val="008F1133"/>
    <w:rsid w:val="008F164E"/>
    <w:rsid w:val="008F232F"/>
    <w:rsid w:val="008F237A"/>
    <w:rsid w:val="008F24C1"/>
    <w:rsid w:val="008F32B4"/>
    <w:rsid w:val="008F4423"/>
    <w:rsid w:val="008F48C5"/>
    <w:rsid w:val="008F4BED"/>
    <w:rsid w:val="008F4C8F"/>
    <w:rsid w:val="008F4D7F"/>
    <w:rsid w:val="008F5A07"/>
    <w:rsid w:val="008F5B35"/>
    <w:rsid w:val="008F7025"/>
    <w:rsid w:val="0090003F"/>
    <w:rsid w:val="009004A9"/>
    <w:rsid w:val="00901639"/>
    <w:rsid w:val="009018A5"/>
    <w:rsid w:val="00901B60"/>
    <w:rsid w:val="00901EA6"/>
    <w:rsid w:val="00901FD6"/>
    <w:rsid w:val="009036DC"/>
    <w:rsid w:val="00903960"/>
    <w:rsid w:val="00903F0F"/>
    <w:rsid w:val="0090451D"/>
    <w:rsid w:val="00905100"/>
    <w:rsid w:val="00905C08"/>
    <w:rsid w:val="00905DB0"/>
    <w:rsid w:val="00906711"/>
    <w:rsid w:val="00906AE0"/>
    <w:rsid w:val="009071F3"/>
    <w:rsid w:val="00907289"/>
    <w:rsid w:val="00907543"/>
    <w:rsid w:val="00907E5E"/>
    <w:rsid w:val="00907E61"/>
    <w:rsid w:val="009104A9"/>
    <w:rsid w:val="00910783"/>
    <w:rsid w:val="00911761"/>
    <w:rsid w:val="00911D50"/>
    <w:rsid w:val="00912BEA"/>
    <w:rsid w:val="00912D74"/>
    <w:rsid w:val="00912EE3"/>
    <w:rsid w:val="00913583"/>
    <w:rsid w:val="00913986"/>
    <w:rsid w:val="00913EB0"/>
    <w:rsid w:val="00914388"/>
    <w:rsid w:val="00914D03"/>
    <w:rsid w:val="00915D37"/>
    <w:rsid w:val="0091605B"/>
    <w:rsid w:val="00916C8B"/>
    <w:rsid w:val="00917162"/>
    <w:rsid w:val="0091738C"/>
    <w:rsid w:val="00917424"/>
    <w:rsid w:val="009179D8"/>
    <w:rsid w:val="00917F77"/>
    <w:rsid w:val="00917FD4"/>
    <w:rsid w:val="009207A0"/>
    <w:rsid w:val="0092174D"/>
    <w:rsid w:val="00922426"/>
    <w:rsid w:val="009228F0"/>
    <w:rsid w:val="00922B1A"/>
    <w:rsid w:val="00923A79"/>
    <w:rsid w:val="00923BD6"/>
    <w:rsid w:val="0092406F"/>
    <w:rsid w:val="009251C5"/>
    <w:rsid w:val="0092544D"/>
    <w:rsid w:val="00926D7E"/>
    <w:rsid w:val="00927ED9"/>
    <w:rsid w:val="0093043C"/>
    <w:rsid w:val="00930AA9"/>
    <w:rsid w:val="00931B28"/>
    <w:rsid w:val="00931B56"/>
    <w:rsid w:val="00932CF0"/>
    <w:rsid w:val="0093305B"/>
    <w:rsid w:val="009332C0"/>
    <w:rsid w:val="00934444"/>
    <w:rsid w:val="009344E7"/>
    <w:rsid w:val="009349C5"/>
    <w:rsid w:val="00935066"/>
    <w:rsid w:val="0093518C"/>
    <w:rsid w:val="0093555E"/>
    <w:rsid w:val="00935759"/>
    <w:rsid w:val="0093581A"/>
    <w:rsid w:val="009358FD"/>
    <w:rsid w:val="00935FAF"/>
    <w:rsid w:val="00936051"/>
    <w:rsid w:val="00936C14"/>
    <w:rsid w:val="00937670"/>
    <w:rsid w:val="0093781A"/>
    <w:rsid w:val="009405D1"/>
    <w:rsid w:val="00942495"/>
    <w:rsid w:val="0094270B"/>
    <w:rsid w:val="00942A4A"/>
    <w:rsid w:val="00942D8D"/>
    <w:rsid w:val="009437B8"/>
    <w:rsid w:val="00943EBD"/>
    <w:rsid w:val="00944DF5"/>
    <w:rsid w:val="00945353"/>
    <w:rsid w:val="00945943"/>
    <w:rsid w:val="00945EE0"/>
    <w:rsid w:val="009460E8"/>
    <w:rsid w:val="009462E8"/>
    <w:rsid w:val="00946F17"/>
    <w:rsid w:val="00950EE9"/>
    <w:rsid w:val="00951716"/>
    <w:rsid w:val="009517E7"/>
    <w:rsid w:val="00951950"/>
    <w:rsid w:val="00951C83"/>
    <w:rsid w:val="00951E5B"/>
    <w:rsid w:val="00952959"/>
    <w:rsid w:val="00952ACC"/>
    <w:rsid w:val="0095309B"/>
    <w:rsid w:val="009531EC"/>
    <w:rsid w:val="00953CDE"/>
    <w:rsid w:val="00953D8C"/>
    <w:rsid w:val="00954005"/>
    <w:rsid w:val="00954684"/>
    <w:rsid w:val="009547CF"/>
    <w:rsid w:val="00954B42"/>
    <w:rsid w:val="00954E2B"/>
    <w:rsid w:val="00955A77"/>
    <w:rsid w:val="00955E4C"/>
    <w:rsid w:val="00956661"/>
    <w:rsid w:val="00957407"/>
    <w:rsid w:val="00957737"/>
    <w:rsid w:val="0096074A"/>
    <w:rsid w:val="00960847"/>
    <w:rsid w:val="00960888"/>
    <w:rsid w:val="00961FBB"/>
    <w:rsid w:val="00962044"/>
    <w:rsid w:val="009621F0"/>
    <w:rsid w:val="00962366"/>
    <w:rsid w:val="00962E98"/>
    <w:rsid w:val="0096321B"/>
    <w:rsid w:val="00964E54"/>
    <w:rsid w:val="00964F95"/>
    <w:rsid w:val="00965F00"/>
    <w:rsid w:val="009668AF"/>
    <w:rsid w:val="0096716A"/>
    <w:rsid w:val="009672B9"/>
    <w:rsid w:val="0096732F"/>
    <w:rsid w:val="009677EC"/>
    <w:rsid w:val="009702F6"/>
    <w:rsid w:val="0097071E"/>
    <w:rsid w:val="009710B8"/>
    <w:rsid w:val="009722DD"/>
    <w:rsid w:val="00972825"/>
    <w:rsid w:val="00972DF2"/>
    <w:rsid w:val="00972E38"/>
    <w:rsid w:val="00972EC7"/>
    <w:rsid w:val="00973B1A"/>
    <w:rsid w:val="00973D84"/>
    <w:rsid w:val="00974439"/>
    <w:rsid w:val="0097487B"/>
    <w:rsid w:val="00975306"/>
    <w:rsid w:val="009755CB"/>
    <w:rsid w:val="009761C7"/>
    <w:rsid w:val="0097639F"/>
    <w:rsid w:val="009768F3"/>
    <w:rsid w:val="00977660"/>
    <w:rsid w:val="0098070D"/>
    <w:rsid w:val="0098142F"/>
    <w:rsid w:val="00981711"/>
    <w:rsid w:val="00981D14"/>
    <w:rsid w:val="009824C1"/>
    <w:rsid w:val="00982B1C"/>
    <w:rsid w:val="00982E98"/>
    <w:rsid w:val="00983070"/>
    <w:rsid w:val="00983352"/>
    <w:rsid w:val="00983727"/>
    <w:rsid w:val="00984702"/>
    <w:rsid w:val="00986E0B"/>
    <w:rsid w:val="00986FEC"/>
    <w:rsid w:val="009874EF"/>
    <w:rsid w:val="009878B3"/>
    <w:rsid w:val="00987B11"/>
    <w:rsid w:val="0099002F"/>
    <w:rsid w:val="009906E8"/>
    <w:rsid w:val="00990CFC"/>
    <w:rsid w:val="00990E3E"/>
    <w:rsid w:val="009915E6"/>
    <w:rsid w:val="00991A1C"/>
    <w:rsid w:val="00993178"/>
    <w:rsid w:val="00993F92"/>
    <w:rsid w:val="0099533F"/>
    <w:rsid w:val="00995ECF"/>
    <w:rsid w:val="00997345"/>
    <w:rsid w:val="009A2A64"/>
    <w:rsid w:val="009A2D4C"/>
    <w:rsid w:val="009A2F08"/>
    <w:rsid w:val="009A37B8"/>
    <w:rsid w:val="009A4055"/>
    <w:rsid w:val="009A51CE"/>
    <w:rsid w:val="009A581D"/>
    <w:rsid w:val="009A59DC"/>
    <w:rsid w:val="009A5A27"/>
    <w:rsid w:val="009A5B30"/>
    <w:rsid w:val="009A612C"/>
    <w:rsid w:val="009A657A"/>
    <w:rsid w:val="009A6F91"/>
    <w:rsid w:val="009A77D1"/>
    <w:rsid w:val="009A7C3C"/>
    <w:rsid w:val="009B0027"/>
    <w:rsid w:val="009B0B83"/>
    <w:rsid w:val="009B24AC"/>
    <w:rsid w:val="009B2510"/>
    <w:rsid w:val="009B37FB"/>
    <w:rsid w:val="009B3879"/>
    <w:rsid w:val="009B45DE"/>
    <w:rsid w:val="009B4F51"/>
    <w:rsid w:val="009B6153"/>
    <w:rsid w:val="009B7D91"/>
    <w:rsid w:val="009C023B"/>
    <w:rsid w:val="009C12FB"/>
    <w:rsid w:val="009C1A77"/>
    <w:rsid w:val="009C2415"/>
    <w:rsid w:val="009C2FFD"/>
    <w:rsid w:val="009C31D3"/>
    <w:rsid w:val="009C3449"/>
    <w:rsid w:val="009C4554"/>
    <w:rsid w:val="009C573E"/>
    <w:rsid w:val="009C5BF9"/>
    <w:rsid w:val="009C6FB5"/>
    <w:rsid w:val="009C701C"/>
    <w:rsid w:val="009C74D8"/>
    <w:rsid w:val="009C78D5"/>
    <w:rsid w:val="009D1FDF"/>
    <w:rsid w:val="009D2A46"/>
    <w:rsid w:val="009D2FB8"/>
    <w:rsid w:val="009D3775"/>
    <w:rsid w:val="009D37C2"/>
    <w:rsid w:val="009D40F5"/>
    <w:rsid w:val="009D4D85"/>
    <w:rsid w:val="009D4FEC"/>
    <w:rsid w:val="009D51E7"/>
    <w:rsid w:val="009D57F1"/>
    <w:rsid w:val="009D583E"/>
    <w:rsid w:val="009D6188"/>
    <w:rsid w:val="009D6DE7"/>
    <w:rsid w:val="009E0CE5"/>
    <w:rsid w:val="009E0E61"/>
    <w:rsid w:val="009E1E4A"/>
    <w:rsid w:val="009E227A"/>
    <w:rsid w:val="009E2A41"/>
    <w:rsid w:val="009E324B"/>
    <w:rsid w:val="009E3878"/>
    <w:rsid w:val="009E38AF"/>
    <w:rsid w:val="009E3DAA"/>
    <w:rsid w:val="009E47B7"/>
    <w:rsid w:val="009E5241"/>
    <w:rsid w:val="009E56D7"/>
    <w:rsid w:val="009E624D"/>
    <w:rsid w:val="009E68BF"/>
    <w:rsid w:val="009E6D6F"/>
    <w:rsid w:val="009E6F6F"/>
    <w:rsid w:val="009E7B91"/>
    <w:rsid w:val="009F0ABC"/>
    <w:rsid w:val="009F0B8D"/>
    <w:rsid w:val="009F0FC0"/>
    <w:rsid w:val="009F104E"/>
    <w:rsid w:val="009F198F"/>
    <w:rsid w:val="009F37A1"/>
    <w:rsid w:val="009F3C1C"/>
    <w:rsid w:val="009F430A"/>
    <w:rsid w:val="009F45FB"/>
    <w:rsid w:val="009F4AE2"/>
    <w:rsid w:val="009F5228"/>
    <w:rsid w:val="009F534E"/>
    <w:rsid w:val="009F5D80"/>
    <w:rsid w:val="009F6076"/>
    <w:rsid w:val="009F6923"/>
    <w:rsid w:val="009F6BE2"/>
    <w:rsid w:val="009F75CB"/>
    <w:rsid w:val="00A0023C"/>
    <w:rsid w:val="00A00CC0"/>
    <w:rsid w:val="00A00D4E"/>
    <w:rsid w:val="00A01D85"/>
    <w:rsid w:val="00A01FFE"/>
    <w:rsid w:val="00A02253"/>
    <w:rsid w:val="00A02379"/>
    <w:rsid w:val="00A02596"/>
    <w:rsid w:val="00A02961"/>
    <w:rsid w:val="00A02AC1"/>
    <w:rsid w:val="00A02C52"/>
    <w:rsid w:val="00A0393F"/>
    <w:rsid w:val="00A0492A"/>
    <w:rsid w:val="00A049F6"/>
    <w:rsid w:val="00A05692"/>
    <w:rsid w:val="00A05A43"/>
    <w:rsid w:val="00A061F1"/>
    <w:rsid w:val="00A065CE"/>
    <w:rsid w:val="00A06A6B"/>
    <w:rsid w:val="00A06DCF"/>
    <w:rsid w:val="00A0708C"/>
    <w:rsid w:val="00A07666"/>
    <w:rsid w:val="00A07EEF"/>
    <w:rsid w:val="00A07FA4"/>
    <w:rsid w:val="00A10E3B"/>
    <w:rsid w:val="00A119B6"/>
    <w:rsid w:val="00A11FD1"/>
    <w:rsid w:val="00A12988"/>
    <w:rsid w:val="00A129D3"/>
    <w:rsid w:val="00A12C13"/>
    <w:rsid w:val="00A13123"/>
    <w:rsid w:val="00A1313C"/>
    <w:rsid w:val="00A1331A"/>
    <w:rsid w:val="00A13436"/>
    <w:rsid w:val="00A1354D"/>
    <w:rsid w:val="00A13935"/>
    <w:rsid w:val="00A13B99"/>
    <w:rsid w:val="00A14A82"/>
    <w:rsid w:val="00A14D11"/>
    <w:rsid w:val="00A14ED3"/>
    <w:rsid w:val="00A15829"/>
    <w:rsid w:val="00A15E53"/>
    <w:rsid w:val="00A16A6A"/>
    <w:rsid w:val="00A2016F"/>
    <w:rsid w:val="00A20189"/>
    <w:rsid w:val="00A212F8"/>
    <w:rsid w:val="00A21C98"/>
    <w:rsid w:val="00A22953"/>
    <w:rsid w:val="00A22D2C"/>
    <w:rsid w:val="00A22F66"/>
    <w:rsid w:val="00A23861"/>
    <w:rsid w:val="00A23BD4"/>
    <w:rsid w:val="00A2406F"/>
    <w:rsid w:val="00A25E47"/>
    <w:rsid w:val="00A26040"/>
    <w:rsid w:val="00A26346"/>
    <w:rsid w:val="00A266AA"/>
    <w:rsid w:val="00A26C9C"/>
    <w:rsid w:val="00A26D02"/>
    <w:rsid w:val="00A26EDB"/>
    <w:rsid w:val="00A301F5"/>
    <w:rsid w:val="00A30C2D"/>
    <w:rsid w:val="00A30F8D"/>
    <w:rsid w:val="00A3189A"/>
    <w:rsid w:val="00A31C20"/>
    <w:rsid w:val="00A31E29"/>
    <w:rsid w:val="00A31EB4"/>
    <w:rsid w:val="00A3222B"/>
    <w:rsid w:val="00A323CE"/>
    <w:rsid w:val="00A324BA"/>
    <w:rsid w:val="00A326D5"/>
    <w:rsid w:val="00A331CA"/>
    <w:rsid w:val="00A33BB3"/>
    <w:rsid w:val="00A33CB9"/>
    <w:rsid w:val="00A34565"/>
    <w:rsid w:val="00A3469E"/>
    <w:rsid w:val="00A36AFD"/>
    <w:rsid w:val="00A36BB6"/>
    <w:rsid w:val="00A37212"/>
    <w:rsid w:val="00A373D9"/>
    <w:rsid w:val="00A37424"/>
    <w:rsid w:val="00A3785D"/>
    <w:rsid w:val="00A4014A"/>
    <w:rsid w:val="00A40716"/>
    <w:rsid w:val="00A41F31"/>
    <w:rsid w:val="00A41FFF"/>
    <w:rsid w:val="00A42103"/>
    <w:rsid w:val="00A42C06"/>
    <w:rsid w:val="00A4304B"/>
    <w:rsid w:val="00A4321C"/>
    <w:rsid w:val="00A4354E"/>
    <w:rsid w:val="00A4376C"/>
    <w:rsid w:val="00A43890"/>
    <w:rsid w:val="00A43FA5"/>
    <w:rsid w:val="00A44507"/>
    <w:rsid w:val="00A458DB"/>
    <w:rsid w:val="00A461A9"/>
    <w:rsid w:val="00A466BF"/>
    <w:rsid w:val="00A46FEC"/>
    <w:rsid w:val="00A472FA"/>
    <w:rsid w:val="00A503E3"/>
    <w:rsid w:val="00A50D7E"/>
    <w:rsid w:val="00A50E66"/>
    <w:rsid w:val="00A524A1"/>
    <w:rsid w:val="00A53069"/>
    <w:rsid w:val="00A5320E"/>
    <w:rsid w:val="00A53323"/>
    <w:rsid w:val="00A53516"/>
    <w:rsid w:val="00A53A3B"/>
    <w:rsid w:val="00A53C43"/>
    <w:rsid w:val="00A53D19"/>
    <w:rsid w:val="00A55453"/>
    <w:rsid w:val="00A566A9"/>
    <w:rsid w:val="00A56B2A"/>
    <w:rsid w:val="00A57293"/>
    <w:rsid w:val="00A5729C"/>
    <w:rsid w:val="00A572C0"/>
    <w:rsid w:val="00A5741A"/>
    <w:rsid w:val="00A601A5"/>
    <w:rsid w:val="00A6107E"/>
    <w:rsid w:val="00A6114C"/>
    <w:rsid w:val="00A615CD"/>
    <w:rsid w:val="00A616D1"/>
    <w:rsid w:val="00A6175F"/>
    <w:rsid w:val="00A62D68"/>
    <w:rsid w:val="00A63E04"/>
    <w:rsid w:val="00A645DC"/>
    <w:rsid w:val="00A648B9"/>
    <w:rsid w:val="00A64973"/>
    <w:rsid w:val="00A64C92"/>
    <w:rsid w:val="00A64EB8"/>
    <w:rsid w:val="00A65657"/>
    <w:rsid w:val="00A6607F"/>
    <w:rsid w:val="00A66138"/>
    <w:rsid w:val="00A66151"/>
    <w:rsid w:val="00A662E2"/>
    <w:rsid w:val="00A665DF"/>
    <w:rsid w:val="00A66818"/>
    <w:rsid w:val="00A66BE3"/>
    <w:rsid w:val="00A70431"/>
    <w:rsid w:val="00A70B3A"/>
    <w:rsid w:val="00A712E1"/>
    <w:rsid w:val="00A71E69"/>
    <w:rsid w:val="00A71E6C"/>
    <w:rsid w:val="00A7205B"/>
    <w:rsid w:val="00A7311B"/>
    <w:rsid w:val="00A73773"/>
    <w:rsid w:val="00A73E24"/>
    <w:rsid w:val="00A74478"/>
    <w:rsid w:val="00A74AA5"/>
    <w:rsid w:val="00A74E61"/>
    <w:rsid w:val="00A757F6"/>
    <w:rsid w:val="00A75E92"/>
    <w:rsid w:val="00A7690B"/>
    <w:rsid w:val="00A77F31"/>
    <w:rsid w:val="00A802FA"/>
    <w:rsid w:val="00A80C21"/>
    <w:rsid w:val="00A818AC"/>
    <w:rsid w:val="00A81CBA"/>
    <w:rsid w:val="00A82232"/>
    <w:rsid w:val="00A82C66"/>
    <w:rsid w:val="00A832FB"/>
    <w:rsid w:val="00A840D5"/>
    <w:rsid w:val="00A84895"/>
    <w:rsid w:val="00A85549"/>
    <w:rsid w:val="00A85B7C"/>
    <w:rsid w:val="00A86BAD"/>
    <w:rsid w:val="00A86DD7"/>
    <w:rsid w:val="00A86E9B"/>
    <w:rsid w:val="00A86FBB"/>
    <w:rsid w:val="00A87AE6"/>
    <w:rsid w:val="00A90822"/>
    <w:rsid w:val="00A91D18"/>
    <w:rsid w:val="00A92DF0"/>
    <w:rsid w:val="00A93560"/>
    <w:rsid w:val="00A93778"/>
    <w:rsid w:val="00A941E8"/>
    <w:rsid w:val="00A94BBE"/>
    <w:rsid w:val="00A95029"/>
    <w:rsid w:val="00A95439"/>
    <w:rsid w:val="00A95730"/>
    <w:rsid w:val="00A95B46"/>
    <w:rsid w:val="00A96417"/>
    <w:rsid w:val="00A96786"/>
    <w:rsid w:val="00A9684B"/>
    <w:rsid w:val="00A96B22"/>
    <w:rsid w:val="00A96E9B"/>
    <w:rsid w:val="00A9716A"/>
    <w:rsid w:val="00A97FA5"/>
    <w:rsid w:val="00AA0157"/>
    <w:rsid w:val="00AA0AF4"/>
    <w:rsid w:val="00AA0D73"/>
    <w:rsid w:val="00AA0F7B"/>
    <w:rsid w:val="00AA10CD"/>
    <w:rsid w:val="00AA171C"/>
    <w:rsid w:val="00AA2E94"/>
    <w:rsid w:val="00AA31C9"/>
    <w:rsid w:val="00AA3981"/>
    <w:rsid w:val="00AA4BDC"/>
    <w:rsid w:val="00AA523F"/>
    <w:rsid w:val="00AA569C"/>
    <w:rsid w:val="00AA6F21"/>
    <w:rsid w:val="00AA7253"/>
    <w:rsid w:val="00AA7451"/>
    <w:rsid w:val="00AA7C28"/>
    <w:rsid w:val="00AA7FAC"/>
    <w:rsid w:val="00AB012E"/>
    <w:rsid w:val="00AB0926"/>
    <w:rsid w:val="00AB0C2A"/>
    <w:rsid w:val="00AB1C66"/>
    <w:rsid w:val="00AB2377"/>
    <w:rsid w:val="00AB2807"/>
    <w:rsid w:val="00AB2912"/>
    <w:rsid w:val="00AB33DD"/>
    <w:rsid w:val="00AB54D4"/>
    <w:rsid w:val="00AB57E1"/>
    <w:rsid w:val="00AB671C"/>
    <w:rsid w:val="00AB70D6"/>
    <w:rsid w:val="00AB7B50"/>
    <w:rsid w:val="00AB7DFD"/>
    <w:rsid w:val="00AC0266"/>
    <w:rsid w:val="00AC144D"/>
    <w:rsid w:val="00AC2533"/>
    <w:rsid w:val="00AC32BE"/>
    <w:rsid w:val="00AC3678"/>
    <w:rsid w:val="00AC38C3"/>
    <w:rsid w:val="00AC3A19"/>
    <w:rsid w:val="00AC3E3C"/>
    <w:rsid w:val="00AC4582"/>
    <w:rsid w:val="00AC4C9C"/>
    <w:rsid w:val="00AC4CE4"/>
    <w:rsid w:val="00AC5B5C"/>
    <w:rsid w:val="00AC702B"/>
    <w:rsid w:val="00AC7474"/>
    <w:rsid w:val="00AC788C"/>
    <w:rsid w:val="00AC79EC"/>
    <w:rsid w:val="00AD03EC"/>
    <w:rsid w:val="00AD0ADB"/>
    <w:rsid w:val="00AD12B5"/>
    <w:rsid w:val="00AD12D9"/>
    <w:rsid w:val="00AD17EB"/>
    <w:rsid w:val="00AD29C8"/>
    <w:rsid w:val="00AD2BB4"/>
    <w:rsid w:val="00AD3B3B"/>
    <w:rsid w:val="00AD3E12"/>
    <w:rsid w:val="00AD4539"/>
    <w:rsid w:val="00AD499E"/>
    <w:rsid w:val="00AD4A8C"/>
    <w:rsid w:val="00AD5375"/>
    <w:rsid w:val="00AD53EF"/>
    <w:rsid w:val="00AD5CDA"/>
    <w:rsid w:val="00AD5E02"/>
    <w:rsid w:val="00AD674D"/>
    <w:rsid w:val="00AD79C6"/>
    <w:rsid w:val="00AE05F5"/>
    <w:rsid w:val="00AE0798"/>
    <w:rsid w:val="00AE0A2B"/>
    <w:rsid w:val="00AE0F56"/>
    <w:rsid w:val="00AE1F89"/>
    <w:rsid w:val="00AE23C1"/>
    <w:rsid w:val="00AE2D7B"/>
    <w:rsid w:val="00AE366F"/>
    <w:rsid w:val="00AE3E0B"/>
    <w:rsid w:val="00AE49A2"/>
    <w:rsid w:val="00AE4BAE"/>
    <w:rsid w:val="00AE52D6"/>
    <w:rsid w:val="00AE5886"/>
    <w:rsid w:val="00AE59AA"/>
    <w:rsid w:val="00AE621C"/>
    <w:rsid w:val="00AE62D6"/>
    <w:rsid w:val="00AE62DE"/>
    <w:rsid w:val="00AE6607"/>
    <w:rsid w:val="00AE69F8"/>
    <w:rsid w:val="00AE7523"/>
    <w:rsid w:val="00AE756C"/>
    <w:rsid w:val="00AF091F"/>
    <w:rsid w:val="00AF0AE1"/>
    <w:rsid w:val="00AF167E"/>
    <w:rsid w:val="00AF1FB0"/>
    <w:rsid w:val="00AF299A"/>
    <w:rsid w:val="00AF2ACC"/>
    <w:rsid w:val="00AF2F82"/>
    <w:rsid w:val="00AF3013"/>
    <w:rsid w:val="00AF3D97"/>
    <w:rsid w:val="00AF3E3E"/>
    <w:rsid w:val="00AF4DC0"/>
    <w:rsid w:val="00AF4FA3"/>
    <w:rsid w:val="00AF5CA2"/>
    <w:rsid w:val="00AF648E"/>
    <w:rsid w:val="00AF70FA"/>
    <w:rsid w:val="00B00F33"/>
    <w:rsid w:val="00B02205"/>
    <w:rsid w:val="00B02501"/>
    <w:rsid w:val="00B02712"/>
    <w:rsid w:val="00B02D48"/>
    <w:rsid w:val="00B02FE7"/>
    <w:rsid w:val="00B03010"/>
    <w:rsid w:val="00B03B46"/>
    <w:rsid w:val="00B03ED6"/>
    <w:rsid w:val="00B04D44"/>
    <w:rsid w:val="00B05046"/>
    <w:rsid w:val="00B05E61"/>
    <w:rsid w:val="00B05E77"/>
    <w:rsid w:val="00B064C0"/>
    <w:rsid w:val="00B066EC"/>
    <w:rsid w:val="00B06814"/>
    <w:rsid w:val="00B07056"/>
    <w:rsid w:val="00B10437"/>
    <w:rsid w:val="00B108E0"/>
    <w:rsid w:val="00B10ECF"/>
    <w:rsid w:val="00B11105"/>
    <w:rsid w:val="00B11165"/>
    <w:rsid w:val="00B11D97"/>
    <w:rsid w:val="00B1276F"/>
    <w:rsid w:val="00B12AB7"/>
    <w:rsid w:val="00B133FC"/>
    <w:rsid w:val="00B13AEF"/>
    <w:rsid w:val="00B13DC8"/>
    <w:rsid w:val="00B14300"/>
    <w:rsid w:val="00B14CA0"/>
    <w:rsid w:val="00B153BD"/>
    <w:rsid w:val="00B1576B"/>
    <w:rsid w:val="00B159B8"/>
    <w:rsid w:val="00B15AA9"/>
    <w:rsid w:val="00B1605B"/>
    <w:rsid w:val="00B16149"/>
    <w:rsid w:val="00B165AB"/>
    <w:rsid w:val="00B167F5"/>
    <w:rsid w:val="00B169D1"/>
    <w:rsid w:val="00B1775A"/>
    <w:rsid w:val="00B20BCD"/>
    <w:rsid w:val="00B2198A"/>
    <w:rsid w:val="00B2240E"/>
    <w:rsid w:val="00B23096"/>
    <w:rsid w:val="00B2319C"/>
    <w:rsid w:val="00B2330C"/>
    <w:rsid w:val="00B2451B"/>
    <w:rsid w:val="00B24E71"/>
    <w:rsid w:val="00B2555B"/>
    <w:rsid w:val="00B26DE6"/>
    <w:rsid w:val="00B27DF5"/>
    <w:rsid w:val="00B30B71"/>
    <w:rsid w:val="00B30F8F"/>
    <w:rsid w:val="00B312FA"/>
    <w:rsid w:val="00B314A9"/>
    <w:rsid w:val="00B32950"/>
    <w:rsid w:val="00B32A40"/>
    <w:rsid w:val="00B33098"/>
    <w:rsid w:val="00B3338E"/>
    <w:rsid w:val="00B335C7"/>
    <w:rsid w:val="00B33C30"/>
    <w:rsid w:val="00B340C3"/>
    <w:rsid w:val="00B34151"/>
    <w:rsid w:val="00B34153"/>
    <w:rsid w:val="00B351B6"/>
    <w:rsid w:val="00B365CC"/>
    <w:rsid w:val="00B36A45"/>
    <w:rsid w:val="00B3766A"/>
    <w:rsid w:val="00B37A9B"/>
    <w:rsid w:val="00B4042B"/>
    <w:rsid w:val="00B4099C"/>
    <w:rsid w:val="00B40D44"/>
    <w:rsid w:val="00B414D1"/>
    <w:rsid w:val="00B428FD"/>
    <w:rsid w:val="00B43491"/>
    <w:rsid w:val="00B43951"/>
    <w:rsid w:val="00B44388"/>
    <w:rsid w:val="00B45147"/>
    <w:rsid w:val="00B45ED9"/>
    <w:rsid w:val="00B47B3F"/>
    <w:rsid w:val="00B50290"/>
    <w:rsid w:val="00B51047"/>
    <w:rsid w:val="00B51CE3"/>
    <w:rsid w:val="00B51FD8"/>
    <w:rsid w:val="00B5224E"/>
    <w:rsid w:val="00B5242E"/>
    <w:rsid w:val="00B52685"/>
    <w:rsid w:val="00B53F9A"/>
    <w:rsid w:val="00B5469B"/>
    <w:rsid w:val="00B55850"/>
    <w:rsid w:val="00B55EE8"/>
    <w:rsid w:val="00B562C7"/>
    <w:rsid w:val="00B565E9"/>
    <w:rsid w:val="00B56D7E"/>
    <w:rsid w:val="00B56E9D"/>
    <w:rsid w:val="00B574B0"/>
    <w:rsid w:val="00B57A0C"/>
    <w:rsid w:val="00B57F5F"/>
    <w:rsid w:val="00B60302"/>
    <w:rsid w:val="00B6140A"/>
    <w:rsid w:val="00B61617"/>
    <w:rsid w:val="00B6169D"/>
    <w:rsid w:val="00B617DC"/>
    <w:rsid w:val="00B63639"/>
    <w:rsid w:val="00B662D4"/>
    <w:rsid w:val="00B66482"/>
    <w:rsid w:val="00B66518"/>
    <w:rsid w:val="00B66BA5"/>
    <w:rsid w:val="00B67528"/>
    <w:rsid w:val="00B67C6F"/>
    <w:rsid w:val="00B702B8"/>
    <w:rsid w:val="00B70A96"/>
    <w:rsid w:val="00B71428"/>
    <w:rsid w:val="00B71686"/>
    <w:rsid w:val="00B71FBC"/>
    <w:rsid w:val="00B72696"/>
    <w:rsid w:val="00B73605"/>
    <w:rsid w:val="00B73F3B"/>
    <w:rsid w:val="00B74756"/>
    <w:rsid w:val="00B76159"/>
    <w:rsid w:val="00B76259"/>
    <w:rsid w:val="00B765CD"/>
    <w:rsid w:val="00B767AD"/>
    <w:rsid w:val="00B7682F"/>
    <w:rsid w:val="00B76D81"/>
    <w:rsid w:val="00B77850"/>
    <w:rsid w:val="00B80389"/>
    <w:rsid w:val="00B80958"/>
    <w:rsid w:val="00B81270"/>
    <w:rsid w:val="00B8174C"/>
    <w:rsid w:val="00B81E35"/>
    <w:rsid w:val="00B822B0"/>
    <w:rsid w:val="00B823D0"/>
    <w:rsid w:val="00B8266A"/>
    <w:rsid w:val="00B826A3"/>
    <w:rsid w:val="00B8348A"/>
    <w:rsid w:val="00B8367A"/>
    <w:rsid w:val="00B84AB1"/>
    <w:rsid w:val="00B84D4D"/>
    <w:rsid w:val="00B855D4"/>
    <w:rsid w:val="00B858B0"/>
    <w:rsid w:val="00B85AD0"/>
    <w:rsid w:val="00B867F6"/>
    <w:rsid w:val="00B86AA8"/>
    <w:rsid w:val="00B871A1"/>
    <w:rsid w:val="00B87598"/>
    <w:rsid w:val="00B87734"/>
    <w:rsid w:val="00B9000F"/>
    <w:rsid w:val="00B904D1"/>
    <w:rsid w:val="00B90BF2"/>
    <w:rsid w:val="00B9104A"/>
    <w:rsid w:val="00B9177C"/>
    <w:rsid w:val="00B91DE9"/>
    <w:rsid w:val="00B926F9"/>
    <w:rsid w:val="00B927EB"/>
    <w:rsid w:val="00B92CF3"/>
    <w:rsid w:val="00B93638"/>
    <w:rsid w:val="00B93F1C"/>
    <w:rsid w:val="00B94062"/>
    <w:rsid w:val="00B94A58"/>
    <w:rsid w:val="00B95747"/>
    <w:rsid w:val="00B95752"/>
    <w:rsid w:val="00B95843"/>
    <w:rsid w:val="00B97BB2"/>
    <w:rsid w:val="00B97D02"/>
    <w:rsid w:val="00B97D07"/>
    <w:rsid w:val="00BA0318"/>
    <w:rsid w:val="00BA0CAE"/>
    <w:rsid w:val="00BA17DB"/>
    <w:rsid w:val="00BA1DB4"/>
    <w:rsid w:val="00BA20F8"/>
    <w:rsid w:val="00BA2FA5"/>
    <w:rsid w:val="00BA3780"/>
    <w:rsid w:val="00BA4E47"/>
    <w:rsid w:val="00BA4F7B"/>
    <w:rsid w:val="00BA704F"/>
    <w:rsid w:val="00BA7264"/>
    <w:rsid w:val="00BA7BEF"/>
    <w:rsid w:val="00BB048B"/>
    <w:rsid w:val="00BB063E"/>
    <w:rsid w:val="00BB1968"/>
    <w:rsid w:val="00BB2A65"/>
    <w:rsid w:val="00BB305A"/>
    <w:rsid w:val="00BB31A6"/>
    <w:rsid w:val="00BB3D76"/>
    <w:rsid w:val="00BB3E73"/>
    <w:rsid w:val="00BB4233"/>
    <w:rsid w:val="00BB43BC"/>
    <w:rsid w:val="00BB45F4"/>
    <w:rsid w:val="00BB6FE2"/>
    <w:rsid w:val="00BB75FD"/>
    <w:rsid w:val="00BB7977"/>
    <w:rsid w:val="00BC07C1"/>
    <w:rsid w:val="00BC14D7"/>
    <w:rsid w:val="00BC1737"/>
    <w:rsid w:val="00BC1840"/>
    <w:rsid w:val="00BC1D59"/>
    <w:rsid w:val="00BC2E6D"/>
    <w:rsid w:val="00BC31E8"/>
    <w:rsid w:val="00BC38E1"/>
    <w:rsid w:val="00BC3D36"/>
    <w:rsid w:val="00BC4343"/>
    <w:rsid w:val="00BC4377"/>
    <w:rsid w:val="00BC43E0"/>
    <w:rsid w:val="00BC4E88"/>
    <w:rsid w:val="00BC569C"/>
    <w:rsid w:val="00BC56E7"/>
    <w:rsid w:val="00BC5959"/>
    <w:rsid w:val="00BC63A1"/>
    <w:rsid w:val="00BC6B4E"/>
    <w:rsid w:val="00BC793B"/>
    <w:rsid w:val="00BC7A24"/>
    <w:rsid w:val="00BD0068"/>
    <w:rsid w:val="00BD0AB6"/>
    <w:rsid w:val="00BD167B"/>
    <w:rsid w:val="00BD176B"/>
    <w:rsid w:val="00BD1C62"/>
    <w:rsid w:val="00BD30BA"/>
    <w:rsid w:val="00BD4B6F"/>
    <w:rsid w:val="00BD4CDD"/>
    <w:rsid w:val="00BD5050"/>
    <w:rsid w:val="00BD5566"/>
    <w:rsid w:val="00BD5D02"/>
    <w:rsid w:val="00BD6271"/>
    <w:rsid w:val="00BD64AE"/>
    <w:rsid w:val="00BD6B4D"/>
    <w:rsid w:val="00BD6C29"/>
    <w:rsid w:val="00BD736C"/>
    <w:rsid w:val="00BE09FB"/>
    <w:rsid w:val="00BE1210"/>
    <w:rsid w:val="00BE2623"/>
    <w:rsid w:val="00BE3957"/>
    <w:rsid w:val="00BE479B"/>
    <w:rsid w:val="00BE4C83"/>
    <w:rsid w:val="00BE4E18"/>
    <w:rsid w:val="00BE5126"/>
    <w:rsid w:val="00BE570C"/>
    <w:rsid w:val="00BE574C"/>
    <w:rsid w:val="00BE5CD5"/>
    <w:rsid w:val="00BE5F7B"/>
    <w:rsid w:val="00BE61A0"/>
    <w:rsid w:val="00BE70CB"/>
    <w:rsid w:val="00BE7572"/>
    <w:rsid w:val="00BE7F65"/>
    <w:rsid w:val="00BF0098"/>
    <w:rsid w:val="00BF015A"/>
    <w:rsid w:val="00BF01BC"/>
    <w:rsid w:val="00BF1341"/>
    <w:rsid w:val="00BF14F2"/>
    <w:rsid w:val="00BF1D01"/>
    <w:rsid w:val="00BF2BAA"/>
    <w:rsid w:val="00BF2F9E"/>
    <w:rsid w:val="00BF4082"/>
    <w:rsid w:val="00BF63E5"/>
    <w:rsid w:val="00BF67C5"/>
    <w:rsid w:val="00C00264"/>
    <w:rsid w:val="00C005BC"/>
    <w:rsid w:val="00C00713"/>
    <w:rsid w:val="00C00E4D"/>
    <w:rsid w:val="00C00F4F"/>
    <w:rsid w:val="00C0135C"/>
    <w:rsid w:val="00C01613"/>
    <w:rsid w:val="00C022A3"/>
    <w:rsid w:val="00C02A5C"/>
    <w:rsid w:val="00C030CE"/>
    <w:rsid w:val="00C03BCB"/>
    <w:rsid w:val="00C043CC"/>
    <w:rsid w:val="00C0584C"/>
    <w:rsid w:val="00C05C06"/>
    <w:rsid w:val="00C06341"/>
    <w:rsid w:val="00C063E3"/>
    <w:rsid w:val="00C0690D"/>
    <w:rsid w:val="00C06D1A"/>
    <w:rsid w:val="00C07016"/>
    <w:rsid w:val="00C07261"/>
    <w:rsid w:val="00C073D7"/>
    <w:rsid w:val="00C07C41"/>
    <w:rsid w:val="00C07D9A"/>
    <w:rsid w:val="00C102F2"/>
    <w:rsid w:val="00C10679"/>
    <w:rsid w:val="00C114BB"/>
    <w:rsid w:val="00C11A26"/>
    <w:rsid w:val="00C12468"/>
    <w:rsid w:val="00C12C2D"/>
    <w:rsid w:val="00C1320D"/>
    <w:rsid w:val="00C13525"/>
    <w:rsid w:val="00C15822"/>
    <w:rsid w:val="00C15CBE"/>
    <w:rsid w:val="00C15EFF"/>
    <w:rsid w:val="00C16D2F"/>
    <w:rsid w:val="00C16F1D"/>
    <w:rsid w:val="00C173B9"/>
    <w:rsid w:val="00C177F3"/>
    <w:rsid w:val="00C17BF9"/>
    <w:rsid w:val="00C203F5"/>
    <w:rsid w:val="00C204E5"/>
    <w:rsid w:val="00C20770"/>
    <w:rsid w:val="00C214D9"/>
    <w:rsid w:val="00C21BD5"/>
    <w:rsid w:val="00C2222F"/>
    <w:rsid w:val="00C231FD"/>
    <w:rsid w:val="00C2384D"/>
    <w:rsid w:val="00C24DAD"/>
    <w:rsid w:val="00C25D95"/>
    <w:rsid w:val="00C25E3A"/>
    <w:rsid w:val="00C26932"/>
    <w:rsid w:val="00C27124"/>
    <w:rsid w:val="00C2768E"/>
    <w:rsid w:val="00C27CB7"/>
    <w:rsid w:val="00C3031A"/>
    <w:rsid w:val="00C30392"/>
    <w:rsid w:val="00C303B0"/>
    <w:rsid w:val="00C30777"/>
    <w:rsid w:val="00C30DAF"/>
    <w:rsid w:val="00C31634"/>
    <w:rsid w:val="00C31F5C"/>
    <w:rsid w:val="00C32159"/>
    <w:rsid w:val="00C3252A"/>
    <w:rsid w:val="00C329EC"/>
    <w:rsid w:val="00C330AC"/>
    <w:rsid w:val="00C3311E"/>
    <w:rsid w:val="00C33216"/>
    <w:rsid w:val="00C3409A"/>
    <w:rsid w:val="00C345BF"/>
    <w:rsid w:val="00C347A4"/>
    <w:rsid w:val="00C3600C"/>
    <w:rsid w:val="00C36810"/>
    <w:rsid w:val="00C368E9"/>
    <w:rsid w:val="00C36A4C"/>
    <w:rsid w:val="00C377F2"/>
    <w:rsid w:val="00C37E69"/>
    <w:rsid w:val="00C405C1"/>
    <w:rsid w:val="00C40EB3"/>
    <w:rsid w:val="00C41221"/>
    <w:rsid w:val="00C41480"/>
    <w:rsid w:val="00C4261D"/>
    <w:rsid w:val="00C42F40"/>
    <w:rsid w:val="00C43819"/>
    <w:rsid w:val="00C43D04"/>
    <w:rsid w:val="00C43D13"/>
    <w:rsid w:val="00C4555F"/>
    <w:rsid w:val="00C46222"/>
    <w:rsid w:val="00C47195"/>
    <w:rsid w:val="00C473DE"/>
    <w:rsid w:val="00C47A05"/>
    <w:rsid w:val="00C5009E"/>
    <w:rsid w:val="00C5035B"/>
    <w:rsid w:val="00C50552"/>
    <w:rsid w:val="00C50E3B"/>
    <w:rsid w:val="00C511ED"/>
    <w:rsid w:val="00C518CB"/>
    <w:rsid w:val="00C51A3E"/>
    <w:rsid w:val="00C521E4"/>
    <w:rsid w:val="00C5253D"/>
    <w:rsid w:val="00C538E7"/>
    <w:rsid w:val="00C53A83"/>
    <w:rsid w:val="00C54EDD"/>
    <w:rsid w:val="00C57663"/>
    <w:rsid w:val="00C576EA"/>
    <w:rsid w:val="00C614C8"/>
    <w:rsid w:val="00C61BC3"/>
    <w:rsid w:val="00C61C02"/>
    <w:rsid w:val="00C63AFE"/>
    <w:rsid w:val="00C63D23"/>
    <w:rsid w:val="00C651F6"/>
    <w:rsid w:val="00C65939"/>
    <w:rsid w:val="00C65EBD"/>
    <w:rsid w:val="00C67589"/>
    <w:rsid w:val="00C678BF"/>
    <w:rsid w:val="00C67CE7"/>
    <w:rsid w:val="00C70905"/>
    <w:rsid w:val="00C70BFA"/>
    <w:rsid w:val="00C710FC"/>
    <w:rsid w:val="00C73887"/>
    <w:rsid w:val="00C74A20"/>
    <w:rsid w:val="00C74B07"/>
    <w:rsid w:val="00C75BA3"/>
    <w:rsid w:val="00C76FF3"/>
    <w:rsid w:val="00C77957"/>
    <w:rsid w:val="00C77CA7"/>
    <w:rsid w:val="00C80D89"/>
    <w:rsid w:val="00C80FC8"/>
    <w:rsid w:val="00C815A6"/>
    <w:rsid w:val="00C819D8"/>
    <w:rsid w:val="00C81B6F"/>
    <w:rsid w:val="00C81DF7"/>
    <w:rsid w:val="00C823F3"/>
    <w:rsid w:val="00C828DE"/>
    <w:rsid w:val="00C829EB"/>
    <w:rsid w:val="00C82AB5"/>
    <w:rsid w:val="00C831D9"/>
    <w:rsid w:val="00C83A81"/>
    <w:rsid w:val="00C8485D"/>
    <w:rsid w:val="00C84F2A"/>
    <w:rsid w:val="00C85B7A"/>
    <w:rsid w:val="00C85E07"/>
    <w:rsid w:val="00C86519"/>
    <w:rsid w:val="00C872A6"/>
    <w:rsid w:val="00C87F8C"/>
    <w:rsid w:val="00C87FA0"/>
    <w:rsid w:val="00C90083"/>
    <w:rsid w:val="00C90783"/>
    <w:rsid w:val="00C9110D"/>
    <w:rsid w:val="00C91A6D"/>
    <w:rsid w:val="00C92679"/>
    <w:rsid w:val="00C92F78"/>
    <w:rsid w:val="00C9305B"/>
    <w:rsid w:val="00C937A3"/>
    <w:rsid w:val="00C9395B"/>
    <w:rsid w:val="00C9514F"/>
    <w:rsid w:val="00C957CD"/>
    <w:rsid w:val="00C95A45"/>
    <w:rsid w:val="00C95C49"/>
    <w:rsid w:val="00C95F1B"/>
    <w:rsid w:val="00C96508"/>
    <w:rsid w:val="00C96BE5"/>
    <w:rsid w:val="00C976D1"/>
    <w:rsid w:val="00C97790"/>
    <w:rsid w:val="00C9797A"/>
    <w:rsid w:val="00C97D33"/>
    <w:rsid w:val="00C97DE0"/>
    <w:rsid w:val="00CA0BCD"/>
    <w:rsid w:val="00CA0E85"/>
    <w:rsid w:val="00CA0EB3"/>
    <w:rsid w:val="00CA12A6"/>
    <w:rsid w:val="00CA15CC"/>
    <w:rsid w:val="00CA17F4"/>
    <w:rsid w:val="00CA1C02"/>
    <w:rsid w:val="00CA1DF5"/>
    <w:rsid w:val="00CA1E0A"/>
    <w:rsid w:val="00CA1E94"/>
    <w:rsid w:val="00CA25C2"/>
    <w:rsid w:val="00CA2642"/>
    <w:rsid w:val="00CA28E4"/>
    <w:rsid w:val="00CA2E96"/>
    <w:rsid w:val="00CA38A4"/>
    <w:rsid w:val="00CA3D30"/>
    <w:rsid w:val="00CA4352"/>
    <w:rsid w:val="00CA49F2"/>
    <w:rsid w:val="00CA4CE8"/>
    <w:rsid w:val="00CA4F5E"/>
    <w:rsid w:val="00CA53EB"/>
    <w:rsid w:val="00CA5E06"/>
    <w:rsid w:val="00CA6555"/>
    <w:rsid w:val="00CB0817"/>
    <w:rsid w:val="00CB1AE7"/>
    <w:rsid w:val="00CB4463"/>
    <w:rsid w:val="00CB48F4"/>
    <w:rsid w:val="00CB4C5D"/>
    <w:rsid w:val="00CB554F"/>
    <w:rsid w:val="00CB62B6"/>
    <w:rsid w:val="00CB72B2"/>
    <w:rsid w:val="00CC00D6"/>
    <w:rsid w:val="00CC03ED"/>
    <w:rsid w:val="00CC0610"/>
    <w:rsid w:val="00CC1277"/>
    <w:rsid w:val="00CC1460"/>
    <w:rsid w:val="00CC224F"/>
    <w:rsid w:val="00CC22F5"/>
    <w:rsid w:val="00CC2587"/>
    <w:rsid w:val="00CC2B36"/>
    <w:rsid w:val="00CC2C90"/>
    <w:rsid w:val="00CC3ADC"/>
    <w:rsid w:val="00CC4D24"/>
    <w:rsid w:val="00CC62C9"/>
    <w:rsid w:val="00CC6D82"/>
    <w:rsid w:val="00CC744D"/>
    <w:rsid w:val="00CC7F63"/>
    <w:rsid w:val="00CD019E"/>
    <w:rsid w:val="00CD047B"/>
    <w:rsid w:val="00CD062E"/>
    <w:rsid w:val="00CD0795"/>
    <w:rsid w:val="00CD08C8"/>
    <w:rsid w:val="00CD098B"/>
    <w:rsid w:val="00CD14DA"/>
    <w:rsid w:val="00CD1749"/>
    <w:rsid w:val="00CD20CC"/>
    <w:rsid w:val="00CD21F9"/>
    <w:rsid w:val="00CD25F4"/>
    <w:rsid w:val="00CD31E8"/>
    <w:rsid w:val="00CD32FE"/>
    <w:rsid w:val="00CD378F"/>
    <w:rsid w:val="00CD41D5"/>
    <w:rsid w:val="00CD4730"/>
    <w:rsid w:val="00CD51FD"/>
    <w:rsid w:val="00CD54D2"/>
    <w:rsid w:val="00CD5706"/>
    <w:rsid w:val="00CD6466"/>
    <w:rsid w:val="00CD658D"/>
    <w:rsid w:val="00CD66D5"/>
    <w:rsid w:val="00CE013C"/>
    <w:rsid w:val="00CE01FF"/>
    <w:rsid w:val="00CE0652"/>
    <w:rsid w:val="00CE13E3"/>
    <w:rsid w:val="00CE1D2B"/>
    <w:rsid w:val="00CE216C"/>
    <w:rsid w:val="00CE233E"/>
    <w:rsid w:val="00CE273E"/>
    <w:rsid w:val="00CE35A0"/>
    <w:rsid w:val="00CE4D49"/>
    <w:rsid w:val="00CE533F"/>
    <w:rsid w:val="00CE54C3"/>
    <w:rsid w:val="00CE5661"/>
    <w:rsid w:val="00CE5801"/>
    <w:rsid w:val="00CE7291"/>
    <w:rsid w:val="00CE78F0"/>
    <w:rsid w:val="00CE7ABD"/>
    <w:rsid w:val="00CF069E"/>
    <w:rsid w:val="00CF0989"/>
    <w:rsid w:val="00CF19BD"/>
    <w:rsid w:val="00CF24A2"/>
    <w:rsid w:val="00CF2A8F"/>
    <w:rsid w:val="00CF2B27"/>
    <w:rsid w:val="00CF3B52"/>
    <w:rsid w:val="00CF4138"/>
    <w:rsid w:val="00CF418D"/>
    <w:rsid w:val="00CF4A16"/>
    <w:rsid w:val="00CF4C75"/>
    <w:rsid w:val="00CF542A"/>
    <w:rsid w:val="00CF59C7"/>
    <w:rsid w:val="00CF5F2D"/>
    <w:rsid w:val="00CF5FF4"/>
    <w:rsid w:val="00CF6691"/>
    <w:rsid w:val="00CF6DF8"/>
    <w:rsid w:val="00CF7AC8"/>
    <w:rsid w:val="00D00603"/>
    <w:rsid w:val="00D006C1"/>
    <w:rsid w:val="00D0150D"/>
    <w:rsid w:val="00D01DD8"/>
    <w:rsid w:val="00D024E2"/>
    <w:rsid w:val="00D02764"/>
    <w:rsid w:val="00D02D8D"/>
    <w:rsid w:val="00D051E3"/>
    <w:rsid w:val="00D052A6"/>
    <w:rsid w:val="00D06881"/>
    <w:rsid w:val="00D0695F"/>
    <w:rsid w:val="00D0714A"/>
    <w:rsid w:val="00D109EB"/>
    <w:rsid w:val="00D112B3"/>
    <w:rsid w:val="00D11D71"/>
    <w:rsid w:val="00D12100"/>
    <w:rsid w:val="00D12360"/>
    <w:rsid w:val="00D125DA"/>
    <w:rsid w:val="00D1308F"/>
    <w:rsid w:val="00D14A69"/>
    <w:rsid w:val="00D14CB6"/>
    <w:rsid w:val="00D1515A"/>
    <w:rsid w:val="00D15D12"/>
    <w:rsid w:val="00D15D99"/>
    <w:rsid w:val="00D16849"/>
    <w:rsid w:val="00D17590"/>
    <w:rsid w:val="00D20018"/>
    <w:rsid w:val="00D214B6"/>
    <w:rsid w:val="00D2235E"/>
    <w:rsid w:val="00D2366A"/>
    <w:rsid w:val="00D23D00"/>
    <w:rsid w:val="00D23E19"/>
    <w:rsid w:val="00D24765"/>
    <w:rsid w:val="00D24796"/>
    <w:rsid w:val="00D24D74"/>
    <w:rsid w:val="00D25917"/>
    <w:rsid w:val="00D25BD5"/>
    <w:rsid w:val="00D26C4F"/>
    <w:rsid w:val="00D30961"/>
    <w:rsid w:val="00D30B37"/>
    <w:rsid w:val="00D32036"/>
    <w:rsid w:val="00D32900"/>
    <w:rsid w:val="00D32991"/>
    <w:rsid w:val="00D3466F"/>
    <w:rsid w:val="00D34C03"/>
    <w:rsid w:val="00D35033"/>
    <w:rsid w:val="00D35050"/>
    <w:rsid w:val="00D35F6C"/>
    <w:rsid w:val="00D369BE"/>
    <w:rsid w:val="00D36FC3"/>
    <w:rsid w:val="00D37717"/>
    <w:rsid w:val="00D379E5"/>
    <w:rsid w:val="00D414AD"/>
    <w:rsid w:val="00D41659"/>
    <w:rsid w:val="00D41A77"/>
    <w:rsid w:val="00D41D21"/>
    <w:rsid w:val="00D42179"/>
    <w:rsid w:val="00D42C39"/>
    <w:rsid w:val="00D430AE"/>
    <w:rsid w:val="00D44169"/>
    <w:rsid w:val="00D441DA"/>
    <w:rsid w:val="00D4426F"/>
    <w:rsid w:val="00D4483D"/>
    <w:rsid w:val="00D44A59"/>
    <w:rsid w:val="00D44AB9"/>
    <w:rsid w:val="00D4519D"/>
    <w:rsid w:val="00D45576"/>
    <w:rsid w:val="00D45C65"/>
    <w:rsid w:val="00D471F7"/>
    <w:rsid w:val="00D47636"/>
    <w:rsid w:val="00D50891"/>
    <w:rsid w:val="00D50A6C"/>
    <w:rsid w:val="00D51412"/>
    <w:rsid w:val="00D5160A"/>
    <w:rsid w:val="00D518C0"/>
    <w:rsid w:val="00D51970"/>
    <w:rsid w:val="00D51CEC"/>
    <w:rsid w:val="00D51D54"/>
    <w:rsid w:val="00D51EA2"/>
    <w:rsid w:val="00D52173"/>
    <w:rsid w:val="00D5373A"/>
    <w:rsid w:val="00D548F2"/>
    <w:rsid w:val="00D54B1E"/>
    <w:rsid w:val="00D55B5E"/>
    <w:rsid w:val="00D567A0"/>
    <w:rsid w:val="00D56806"/>
    <w:rsid w:val="00D569F5"/>
    <w:rsid w:val="00D56C69"/>
    <w:rsid w:val="00D61B4F"/>
    <w:rsid w:val="00D62273"/>
    <w:rsid w:val="00D622F6"/>
    <w:rsid w:val="00D63AC8"/>
    <w:rsid w:val="00D64832"/>
    <w:rsid w:val="00D648E9"/>
    <w:rsid w:val="00D64B71"/>
    <w:rsid w:val="00D653E0"/>
    <w:rsid w:val="00D6777D"/>
    <w:rsid w:val="00D71A91"/>
    <w:rsid w:val="00D72696"/>
    <w:rsid w:val="00D72DBF"/>
    <w:rsid w:val="00D72F0E"/>
    <w:rsid w:val="00D73BD7"/>
    <w:rsid w:val="00D7477F"/>
    <w:rsid w:val="00D74CAD"/>
    <w:rsid w:val="00D74D49"/>
    <w:rsid w:val="00D75646"/>
    <w:rsid w:val="00D75BE7"/>
    <w:rsid w:val="00D76620"/>
    <w:rsid w:val="00D766FA"/>
    <w:rsid w:val="00D76E1A"/>
    <w:rsid w:val="00D76FEB"/>
    <w:rsid w:val="00D77773"/>
    <w:rsid w:val="00D80A1A"/>
    <w:rsid w:val="00D8191D"/>
    <w:rsid w:val="00D8286C"/>
    <w:rsid w:val="00D82964"/>
    <w:rsid w:val="00D82BEC"/>
    <w:rsid w:val="00D82DB6"/>
    <w:rsid w:val="00D834F3"/>
    <w:rsid w:val="00D85334"/>
    <w:rsid w:val="00D86631"/>
    <w:rsid w:val="00D8666B"/>
    <w:rsid w:val="00D86984"/>
    <w:rsid w:val="00D86CCE"/>
    <w:rsid w:val="00D86E37"/>
    <w:rsid w:val="00D908F3"/>
    <w:rsid w:val="00D90F14"/>
    <w:rsid w:val="00D9206B"/>
    <w:rsid w:val="00D92646"/>
    <w:rsid w:val="00D926D6"/>
    <w:rsid w:val="00D931E0"/>
    <w:rsid w:val="00D94156"/>
    <w:rsid w:val="00D9484C"/>
    <w:rsid w:val="00D9546B"/>
    <w:rsid w:val="00D95773"/>
    <w:rsid w:val="00D95BD6"/>
    <w:rsid w:val="00D95C16"/>
    <w:rsid w:val="00D95EE0"/>
    <w:rsid w:val="00D95FEE"/>
    <w:rsid w:val="00D963C4"/>
    <w:rsid w:val="00D96548"/>
    <w:rsid w:val="00DA044C"/>
    <w:rsid w:val="00DA0B0B"/>
    <w:rsid w:val="00DA1BF4"/>
    <w:rsid w:val="00DA2633"/>
    <w:rsid w:val="00DA2EBE"/>
    <w:rsid w:val="00DA30E6"/>
    <w:rsid w:val="00DA3301"/>
    <w:rsid w:val="00DA358C"/>
    <w:rsid w:val="00DA485D"/>
    <w:rsid w:val="00DA5025"/>
    <w:rsid w:val="00DA5506"/>
    <w:rsid w:val="00DA55B5"/>
    <w:rsid w:val="00DA600A"/>
    <w:rsid w:val="00DA6412"/>
    <w:rsid w:val="00DA6D2F"/>
    <w:rsid w:val="00DA74E9"/>
    <w:rsid w:val="00DA7712"/>
    <w:rsid w:val="00DA782F"/>
    <w:rsid w:val="00DA7849"/>
    <w:rsid w:val="00DA7AE8"/>
    <w:rsid w:val="00DA7CC9"/>
    <w:rsid w:val="00DB15E1"/>
    <w:rsid w:val="00DB1A18"/>
    <w:rsid w:val="00DB1D70"/>
    <w:rsid w:val="00DB289A"/>
    <w:rsid w:val="00DB2C37"/>
    <w:rsid w:val="00DB2DEE"/>
    <w:rsid w:val="00DB3311"/>
    <w:rsid w:val="00DB38AD"/>
    <w:rsid w:val="00DB4442"/>
    <w:rsid w:val="00DB4B85"/>
    <w:rsid w:val="00DB552E"/>
    <w:rsid w:val="00DB78E8"/>
    <w:rsid w:val="00DC039F"/>
    <w:rsid w:val="00DC05EF"/>
    <w:rsid w:val="00DC068E"/>
    <w:rsid w:val="00DC0B8E"/>
    <w:rsid w:val="00DC0F06"/>
    <w:rsid w:val="00DC1314"/>
    <w:rsid w:val="00DC147D"/>
    <w:rsid w:val="00DC1FE8"/>
    <w:rsid w:val="00DC222D"/>
    <w:rsid w:val="00DC2292"/>
    <w:rsid w:val="00DC2684"/>
    <w:rsid w:val="00DC2E60"/>
    <w:rsid w:val="00DC2ECD"/>
    <w:rsid w:val="00DC2F9D"/>
    <w:rsid w:val="00DC30AA"/>
    <w:rsid w:val="00DC31F0"/>
    <w:rsid w:val="00DC33B5"/>
    <w:rsid w:val="00DC34B3"/>
    <w:rsid w:val="00DC37BA"/>
    <w:rsid w:val="00DC3BFC"/>
    <w:rsid w:val="00DC3D43"/>
    <w:rsid w:val="00DC4C07"/>
    <w:rsid w:val="00DC59C0"/>
    <w:rsid w:val="00DC65A9"/>
    <w:rsid w:val="00DC70EF"/>
    <w:rsid w:val="00DD0ABD"/>
    <w:rsid w:val="00DD1245"/>
    <w:rsid w:val="00DD1567"/>
    <w:rsid w:val="00DD1829"/>
    <w:rsid w:val="00DD231D"/>
    <w:rsid w:val="00DD34D4"/>
    <w:rsid w:val="00DD47DD"/>
    <w:rsid w:val="00DD4D0E"/>
    <w:rsid w:val="00DD5061"/>
    <w:rsid w:val="00DD51E1"/>
    <w:rsid w:val="00DD5BFC"/>
    <w:rsid w:val="00DD5EFF"/>
    <w:rsid w:val="00DD5F53"/>
    <w:rsid w:val="00DD738A"/>
    <w:rsid w:val="00DD7A37"/>
    <w:rsid w:val="00DE07AB"/>
    <w:rsid w:val="00DE0897"/>
    <w:rsid w:val="00DE1595"/>
    <w:rsid w:val="00DE23E8"/>
    <w:rsid w:val="00DE2E06"/>
    <w:rsid w:val="00DE315A"/>
    <w:rsid w:val="00DE3502"/>
    <w:rsid w:val="00DE537F"/>
    <w:rsid w:val="00DE5413"/>
    <w:rsid w:val="00DE5A7A"/>
    <w:rsid w:val="00DE5A9C"/>
    <w:rsid w:val="00DE5B54"/>
    <w:rsid w:val="00DE5B61"/>
    <w:rsid w:val="00DE6841"/>
    <w:rsid w:val="00DE6E71"/>
    <w:rsid w:val="00DE6FCF"/>
    <w:rsid w:val="00DE741A"/>
    <w:rsid w:val="00DE77F7"/>
    <w:rsid w:val="00DF0C4E"/>
    <w:rsid w:val="00DF0D25"/>
    <w:rsid w:val="00DF11EE"/>
    <w:rsid w:val="00DF1B9B"/>
    <w:rsid w:val="00DF1CB3"/>
    <w:rsid w:val="00DF1E84"/>
    <w:rsid w:val="00DF2434"/>
    <w:rsid w:val="00DF28C6"/>
    <w:rsid w:val="00DF2C41"/>
    <w:rsid w:val="00DF2C5D"/>
    <w:rsid w:val="00DF2F25"/>
    <w:rsid w:val="00DF30C2"/>
    <w:rsid w:val="00DF3384"/>
    <w:rsid w:val="00DF3C25"/>
    <w:rsid w:val="00DF3CA2"/>
    <w:rsid w:val="00DF3F83"/>
    <w:rsid w:val="00DF4AD7"/>
    <w:rsid w:val="00DF5930"/>
    <w:rsid w:val="00DF5B83"/>
    <w:rsid w:val="00DF5DAB"/>
    <w:rsid w:val="00DF6693"/>
    <w:rsid w:val="00DF672F"/>
    <w:rsid w:val="00DF6B65"/>
    <w:rsid w:val="00DF6C8C"/>
    <w:rsid w:val="00DF717C"/>
    <w:rsid w:val="00DF7ADC"/>
    <w:rsid w:val="00E00751"/>
    <w:rsid w:val="00E00BB7"/>
    <w:rsid w:val="00E014A3"/>
    <w:rsid w:val="00E016D5"/>
    <w:rsid w:val="00E0178C"/>
    <w:rsid w:val="00E01947"/>
    <w:rsid w:val="00E03568"/>
    <w:rsid w:val="00E03B8D"/>
    <w:rsid w:val="00E044F7"/>
    <w:rsid w:val="00E047C8"/>
    <w:rsid w:val="00E04E8D"/>
    <w:rsid w:val="00E065A7"/>
    <w:rsid w:val="00E077CA"/>
    <w:rsid w:val="00E07DB9"/>
    <w:rsid w:val="00E103A7"/>
    <w:rsid w:val="00E10615"/>
    <w:rsid w:val="00E12484"/>
    <w:rsid w:val="00E13FFF"/>
    <w:rsid w:val="00E140CD"/>
    <w:rsid w:val="00E14A4A"/>
    <w:rsid w:val="00E14BE1"/>
    <w:rsid w:val="00E14E80"/>
    <w:rsid w:val="00E1520F"/>
    <w:rsid w:val="00E152EA"/>
    <w:rsid w:val="00E1545B"/>
    <w:rsid w:val="00E15C7E"/>
    <w:rsid w:val="00E1655A"/>
    <w:rsid w:val="00E16723"/>
    <w:rsid w:val="00E168B6"/>
    <w:rsid w:val="00E17349"/>
    <w:rsid w:val="00E17E70"/>
    <w:rsid w:val="00E17FD7"/>
    <w:rsid w:val="00E20D04"/>
    <w:rsid w:val="00E217A0"/>
    <w:rsid w:val="00E22423"/>
    <w:rsid w:val="00E2259F"/>
    <w:rsid w:val="00E22A11"/>
    <w:rsid w:val="00E22A30"/>
    <w:rsid w:val="00E23268"/>
    <w:rsid w:val="00E23EC6"/>
    <w:rsid w:val="00E24435"/>
    <w:rsid w:val="00E24642"/>
    <w:rsid w:val="00E24A79"/>
    <w:rsid w:val="00E25869"/>
    <w:rsid w:val="00E25ECE"/>
    <w:rsid w:val="00E2676F"/>
    <w:rsid w:val="00E27428"/>
    <w:rsid w:val="00E30879"/>
    <w:rsid w:val="00E318BF"/>
    <w:rsid w:val="00E31B32"/>
    <w:rsid w:val="00E32164"/>
    <w:rsid w:val="00E325D3"/>
    <w:rsid w:val="00E326F3"/>
    <w:rsid w:val="00E32BFF"/>
    <w:rsid w:val="00E33F99"/>
    <w:rsid w:val="00E33FBB"/>
    <w:rsid w:val="00E343E9"/>
    <w:rsid w:val="00E34DC8"/>
    <w:rsid w:val="00E350AE"/>
    <w:rsid w:val="00E35FBF"/>
    <w:rsid w:val="00E36630"/>
    <w:rsid w:val="00E37672"/>
    <w:rsid w:val="00E40961"/>
    <w:rsid w:val="00E40C4B"/>
    <w:rsid w:val="00E41FF6"/>
    <w:rsid w:val="00E42E42"/>
    <w:rsid w:val="00E42EDE"/>
    <w:rsid w:val="00E43009"/>
    <w:rsid w:val="00E4351B"/>
    <w:rsid w:val="00E4398D"/>
    <w:rsid w:val="00E43D7F"/>
    <w:rsid w:val="00E43E97"/>
    <w:rsid w:val="00E443C4"/>
    <w:rsid w:val="00E44C9A"/>
    <w:rsid w:val="00E45264"/>
    <w:rsid w:val="00E45BAA"/>
    <w:rsid w:val="00E45D80"/>
    <w:rsid w:val="00E45FAE"/>
    <w:rsid w:val="00E46324"/>
    <w:rsid w:val="00E46767"/>
    <w:rsid w:val="00E46F1A"/>
    <w:rsid w:val="00E46FAB"/>
    <w:rsid w:val="00E50BBD"/>
    <w:rsid w:val="00E50D61"/>
    <w:rsid w:val="00E51676"/>
    <w:rsid w:val="00E51EBE"/>
    <w:rsid w:val="00E51F9F"/>
    <w:rsid w:val="00E5207F"/>
    <w:rsid w:val="00E5209C"/>
    <w:rsid w:val="00E5281E"/>
    <w:rsid w:val="00E52F79"/>
    <w:rsid w:val="00E53203"/>
    <w:rsid w:val="00E53429"/>
    <w:rsid w:val="00E540AD"/>
    <w:rsid w:val="00E548B9"/>
    <w:rsid w:val="00E54C4A"/>
    <w:rsid w:val="00E554BC"/>
    <w:rsid w:val="00E56A7D"/>
    <w:rsid w:val="00E5762F"/>
    <w:rsid w:val="00E60141"/>
    <w:rsid w:val="00E606ED"/>
    <w:rsid w:val="00E60DD1"/>
    <w:rsid w:val="00E6155D"/>
    <w:rsid w:val="00E622AB"/>
    <w:rsid w:val="00E62809"/>
    <w:rsid w:val="00E62A1C"/>
    <w:rsid w:val="00E631C0"/>
    <w:rsid w:val="00E633E0"/>
    <w:rsid w:val="00E64A93"/>
    <w:rsid w:val="00E64C79"/>
    <w:rsid w:val="00E650F8"/>
    <w:rsid w:val="00E6599F"/>
    <w:rsid w:val="00E6744D"/>
    <w:rsid w:val="00E702C9"/>
    <w:rsid w:val="00E71C66"/>
    <w:rsid w:val="00E7208F"/>
    <w:rsid w:val="00E7210E"/>
    <w:rsid w:val="00E72255"/>
    <w:rsid w:val="00E72333"/>
    <w:rsid w:val="00E7298C"/>
    <w:rsid w:val="00E74819"/>
    <w:rsid w:val="00E74BDA"/>
    <w:rsid w:val="00E757A9"/>
    <w:rsid w:val="00E75B6E"/>
    <w:rsid w:val="00E761C1"/>
    <w:rsid w:val="00E762D9"/>
    <w:rsid w:val="00E7645B"/>
    <w:rsid w:val="00E76F42"/>
    <w:rsid w:val="00E77AA2"/>
    <w:rsid w:val="00E800EC"/>
    <w:rsid w:val="00E801FD"/>
    <w:rsid w:val="00E80200"/>
    <w:rsid w:val="00E80848"/>
    <w:rsid w:val="00E822D1"/>
    <w:rsid w:val="00E82912"/>
    <w:rsid w:val="00E83036"/>
    <w:rsid w:val="00E830C5"/>
    <w:rsid w:val="00E83860"/>
    <w:rsid w:val="00E83A14"/>
    <w:rsid w:val="00E83AFE"/>
    <w:rsid w:val="00E85824"/>
    <w:rsid w:val="00E85D16"/>
    <w:rsid w:val="00E87688"/>
    <w:rsid w:val="00E87E26"/>
    <w:rsid w:val="00E90FDB"/>
    <w:rsid w:val="00E91FD9"/>
    <w:rsid w:val="00E9302C"/>
    <w:rsid w:val="00E9391C"/>
    <w:rsid w:val="00E93AAE"/>
    <w:rsid w:val="00E93D75"/>
    <w:rsid w:val="00E9446A"/>
    <w:rsid w:val="00E94B4E"/>
    <w:rsid w:val="00E94F8D"/>
    <w:rsid w:val="00E95A7B"/>
    <w:rsid w:val="00E96265"/>
    <w:rsid w:val="00E964F9"/>
    <w:rsid w:val="00E96D46"/>
    <w:rsid w:val="00E97067"/>
    <w:rsid w:val="00E97836"/>
    <w:rsid w:val="00E97C18"/>
    <w:rsid w:val="00EA0AE6"/>
    <w:rsid w:val="00EA1E36"/>
    <w:rsid w:val="00EA2ACC"/>
    <w:rsid w:val="00EA4AFB"/>
    <w:rsid w:val="00EA4B18"/>
    <w:rsid w:val="00EA5B5A"/>
    <w:rsid w:val="00EA6464"/>
    <w:rsid w:val="00EA65E4"/>
    <w:rsid w:val="00EA68B7"/>
    <w:rsid w:val="00EA6C90"/>
    <w:rsid w:val="00EA6DA1"/>
    <w:rsid w:val="00EA7A37"/>
    <w:rsid w:val="00EA7A7A"/>
    <w:rsid w:val="00EA7E40"/>
    <w:rsid w:val="00EB0A3F"/>
    <w:rsid w:val="00EB109E"/>
    <w:rsid w:val="00EB1426"/>
    <w:rsid w:val="00EB251C"/>
    <w:rsid w:val="00EB339E"/>
    <w:rsid w:val="00EB3F65"/>
    <w:rsid w:val="00EB425A"/>
    <w:rsid w:val="00EB4269"/>
    <w:rsid w:val="00EB4432"/>
    <w:rsid w:val="00EB4599"/>
    <w:rsid w:val="00EB49A6"/>
    <w:rsid w:val="00EB4A55"/>
    <w:rsid w:val="00EB4A90"/>
    <w:rsid w:val="00EB5D85"/>
    <w:rsid w:val="00EB5F6B"/>
    <w:rsid w:val="00EB678B"/>
    <w:rsid w:val="00EB7314"/>
    <w:rsid w:val="00EB7458"/>
    <w:rsid w:val="00EB7C33"/>
    <w:rsid w:val="00EB7E1D"/>
    <w:rsid w:val="00EC1643"/>
    <w:rsid w:val="00EC19D9"/>
    <w:rsid w:val="00EC2673"/>
    <w:rsid w:val="00EC2685"/>
    <w:rsid w:val="00EC3684"/>
    <w:rsid w:val="00EC4264"/>
    <w:rsid w:val="00EC4303"/>
    <w:rsid w:val="00EC442E"/>
    <w:rsid w:val="00EC4627"/>
    <w:rsid w:val="00EC480D"/>
    <w:rsid w:val="00EC4C52"/>
    <w:rsid w:val="00EC4C69"/>
    <w:rsid w:val="00EC4C8A"/>
    <w:rsid w:val="00EC4CE1"/>
    <w:rsid w:val="00EC4E3D"/>
    <w:rsid w:val="00EC5BC4"/>
    <w:rsid w:val="00EC5D95"/>
    <w:rsid w:val="00EC5E92"/>
    <w:rsid w:val="00EC6CDB"/>
    <w:rsid w:val="00EC6F37"/>
    <w:rsid w:val="00EC737F"/>
    <w:rsid w:val="00EC76F6"/>
    <w:rsid w:val="00ED041E"/>
    <w:rsid w:val="00ED04B1"/>
    <w:rsid w:val="00ED0D89"/>
    <w:rsid w:val="00ED132A"/>
    <w:rsid w:val="00ED1537"/>
    <w:rsid w:val="00ED197C"/>
    <w:rsid w:val="00ED2A39"/>
    <w:rsid w:val="00ED2B20"/>
    <w:rsid w:val="00ED2B48"/>
    <w:rsid w:val="00ED2D21"/>
    <w:rsid w:val="00ED3217"/>
    <w:rsid w:val="00ED3B04"/>
    <w:rsid w:val="00ED4476"/>
    <w:rsid w:val="00ED4865"/>
    <w:rsid w:val="00ED684F"/>
    <w:rsid w:val="00ED6867"/>
    <w:rsid w:val="00ED7184"/>
    <w:rsid w:val="00ED76EE"/>
    <w:rsid w:val="00ED7EE5"/>
    <w:rsid w:val="00EE00CE"/>
    <w:rsid w:val="00EE054B"/>
    <w:rsid w:val="00EE0907"/>
    <w:rsid w:val="00EE097A"/>
    <w:rsid w:val="00EE1BED"/>
    <w:rsid w:val="00EE25E8"/>
    <w:rsid w:val="00EE29A4"/>
    <w:rsid w:val="00EE2A96"/>
    <w:rsid w:val="00EE2ECD"/>
    <w:rsid w:val="00EE4097"/>
    <w:rsid w:val="00EE4D09"/>
    <w:rsid w:val="00EE4DE7"/>
    <w:rsid w:val="00EE59CF"/>
    <w:rsid w:val="00EE5A01"/>
    <w:rsid w:val="00EE5F9E"/>
    <w:rsid w:val="00EE60DD"/>
    <w:rsid w:val="00EE6345"/>
    <w:rsid w:val="00EE6E27"/>
    <w:rsid w:val="00EE79A4"/>
    <w:rsid w:val="00EF0297"/>
    <w:rsid w:val="00EF0D17"/>
    <w:rsid w:val="00EF0FDF"/>
    <w:rsid w:val="00EF11CB"/>
    <w:rsid w:val="00EF12EE"/>
    <w:rsid w:val="00EF18B1"/>
    <w:rsid w:val="00EF2E62"/>
    <w:rsid w:val="00EF30A5"/>
    <w:rsid w:val="00EF3574"/>
    <w:rsid w:val="00EF4351"/>
    <w:rsid w:val="00EF4762"/>
    <w:rsid w:val="00EF5B44"/>
    <w:rsid w:val="00EF6883"/>
    <w:rsid w:val="00EF6954"/>
    <w:rsid w:val="00EF6FB9"/>
    <w:rsid w:val="00EF70FA"/>
    <w:rsid w:val="00EF7840"/>
    <w:rsid w:val="00F0175B"/>
    <w:rsid w:val="00F01871"/>
    <w:rsid w:val="00F051C2"/>
    <w:rsid w:val="00F0548E"/>
    <w:rsid w:val="00F05E1B"/>
    <w:rsid w:val="00F06671"/>
    <w:rsid w:val="00F06817"/>
    <w:rsid w:val="00F07153"/>
    <w:rsid w:val="00F077BB"/>
    <w:rsid w:val="00F07956"/>
    <w:rsid w:val="00F108A1"/>
    <w:rsid w:val="00F10909"/>
    <w:rsid w:val="00F10B46"/>
    <w:rsid w:val="00F10BA5"/>
    <w:rsid w:val="00F12C32"/>
    <w:rsid w:val="00F12F4D"/>
    <w:rsid w:val="00F13527"/>
    <w:rsid w:val="00F13BAC"/>
    <w:rsid w:val="00F14A9C"/>
    <w:rsid w:val="00F14D16"/>
    <w:rsid w:val="00F1535C"/>
    <w:rsid w:val="00F1646B"/>
    <w:rsid w:val="00F16A4A"/>
    <w:rsid w:val="00F16BD1"/>
    <w:rsid w:val="00F16EEB"/>
    <w:rsid w:val="00F170AF"/>
    <w:rsid w:val="00F17284"/>
    <w:rsid w:val="00F20EAA"/>
    <w:rsid w:val="00F22EBA"/>
    <w:rsid w:val="00F23C5C"/>
    <w:rsid w:val="00F23DAF"/>
    <w:rsid w:val="00F2416C"/>
    <w:rsid w:val="00F2462A"/>
    <w:rsid w:val="00F255AE"/>
    <w:rsid w:val="00F27061"/>
    <w:rsid w:val="00F2710B"/>
    <w:rsid w:val="00F30083"/>
    <w:rsid w:val="00F30A4E"/>
    <w:rsid w:val="00F30A59"/>
    <w:rsid w:val="00F3131C"/>
    <w:rsid w:val="00F31A1A"/>
    <w:rsid w:val="00F326C4"/>
    <w:rsid w:val="00F3316E"/>
    <w:rsid w:val="00F33675"/>
    <w:rsid w:val="00F341D5"/>
    <w:rsid w:val="00F34F3B"/>
    <w:rsid w:val="00F350A3"/>
    <w:rsid w:val="00F363CD"/>
    <w:rsid w:val="00F36A9D"/>
    <w:rsid w:val="00F36E97"/>
    <w:rsid w:val="00F37751"/>
    <w:rsid w:val="00F37A7F"/>
    <w:rsid w:val="00F4044B"/>
    <w:rsid w:val="00F40B0D"/>
    <w:rsid w:val="00F40BCB"/>
    <w:rsid w:val="00F40CCA"/>
    <w:rsid w:val="00F4109B"/>
    <w:rsid w:val="00F4248D"/>
    <w:rsid w:val="00F4377A"/>
    <w:rsid w:val="00F43B04"/>
    <w:rsid w:val="00F43F31"/>
    <w:rsid w:val="00F446A2"/>
    <w:rsid w:val="00F44C68"/>
    <w:rsid w:val="00F45231"/>
    <w:rsid w:val="00F465FD"/>
    <w:rsid w:val="00F46A2F"/>
    <w:rsid w:val="00F5045F"/>
    <w:rsid w:val="00F50982"/>
    <w:rsid w:val="00F50D1B"/>
    <w:rsid w:val="00F50ED1"/>
    <w:rsid w:val="00F50F15"/>
    <w:rsid w:val="00F51608"/>
    <w:rsid w:val="00F51B4C"/>
    <w:rsid w:val="00F51C61"/>
    <w:rsid w:val="00F52735"/>
    <w:rsid w:val="00F52766"/>
    <w:rsid w:val="00F53BEE"/>
    <w:rsid w:val="00F53FC5"/>
    <w:rsid w:val="00F54ED4"/>
    <w:rsid w:val="00F55623"/>
    <w:rsid w:val="00F55BB8"/>
    <w:rsid w:val="00F56243"/>
    <w:rsid w:val="00F56363"/>
    <w:rsid w:val="00F56D31"/>
    <w:rsid w:val="00F57A40"/>
    <w:rsid w:val="00F6043A"/>
    <w:rsid w:val="00F60B07"/>
    <w:rsid w:val="00F60C88"/>
    <w:rsid w:val="00F6171A"/>
    <w:rsid w:val="00F6179B"/>
    <w:rsid w:val="00F6188E"/>
    <w:rsid w:val="00F62994"/>
    <w:rsid w:val="00F62D93"/>
    <w:rsid w:val="00F6389A"/>
    <w:rsid w:val="00F6438B"/>
    <w:rsid w:val="00F64A34"/>
    <w:rsid w:val="00F64B02"/>
    <w:rsid w:val="00F64BE8"/>
    <w:rsid w:val="00F65CA8"/>
    <w:rsid w:val="00F662A4"/>
    <w:rsid w:val="00F6652D"/>
    <w:rsid w:val="00F6664E"/>
    <w:rsid w:val="00F67596"/>
    <w:rsid w:val="00F67D98"/>
    <w:rsid w:val="00F701E9"/>
    <w:rsid w:val="00F70692"/>
    <w:rsid w:val="00F70843"/>
    <w:rsid w:val="00F70D54"/>
    <w:rsid w:val="00F71029"/>
    <w:rsid w:val="00F710E7"/>
    <w:rsid w:val="00F72ADB"/>
    <w:rsid w:val="00F73441"/>
    <w:rsid w:val="00F736C6"/>
    <w:rsid w:val="00F738BE"/>
    <w:rsid w:val="00F748B3"/>
    <w:rsid w:val="00F7563C"/>
    <w:rsid w:val="00F75970"/>
    <w:rsid w:val="00F75A95"/>
    <w:rsid w:val="00F76411"/>
    <w:rsid w:val="00F81F6A"/>
    <w:rsid w:val="00F81FD4"/>
    <w:rsid w:val="00F821B2"/>
    <w:rsid w:val="00F8220A"/>
    <w:rsid w:val="00F8247B"/>
    <w:rsid w:val="00F84A1B"/>
    <w:rsid w:val="00F857CF"/>
    <w:rsid w:val="00F85EA0"/>
    <w:rsid w:val="00F86606"/>
    <w:rsid w:val="00F867EF"/>
    <w:rsid w:val="00F86888"/>
    <w:rsid w:val="00F903CB"/>
    <w:rsid w:val="00F908BD"/>
    <w:rsid w:val="00F91031"/>
    <w:rsid w:val="00F910D6"/>
    <w:rsid w:val="00F91206"/>
    <w:rsid w:val="00F9133C"/>
    <w:rsid w:val="00F91EAB"/>
    <w:rsid w:val="00F92BAB"/>
    <w:rsid w:val="00F92E39"/>
    <w:rsid w:val="00F93527"/>
    <w:rsid w:val="00F94387"/>
    <w:rsid w:val="00F9451C"/>
    <w:rsid w:val="00F946AE"/>
    <w:rsid w:val="00F9584F"/>
    <w:rsid w:val="00F960B4"/>
    <w:rsid w:val="00F96229"/>
    <w:rsid w:val="00F96BF1"/>
    <w:rsid w:val="00F9721B"/>
    <w:rsid w:val="00FA1A1F"/>
    <w:rsid w:val="00FA1D51"/>
    <w:rsid w:val="00FA206A"/>
    <w:rsid w:val="00FA255A"/>
    <w:rsid w:val="00FA257D"/>
    <w:rsid w:val="00FA344B"/>
    <w:rsid w:val="00FA3A8D"/>
    <w:rsid w:val="00FA428D"/>
    <w:rsid w:val="00FA622A"/>
    <w:rsid w:val="00FA6CB4"/>
    <w:rsid w:val="00FA6CF2"/>
    <w:rsid w:val="00FA6D74"/>
    <w:rsid w:val="00FB0D8A"/>
    <w:rsid w:val="00FB0E56"/>
    <w:rsid w:val="00FB1A46"/>
    <w:rsid w:val="00FB2B0A"/>
    <w:rsid w:val="00FB2C3B"/>
    <w:rsid w:val="00FB3D40"/>
    <w:rsid w:val="00FB4960"/>
    <w:rsid w:val="00FB4C82"/>
    <w:rsid w:val="00FB4FB6"/>
    <w:rsid w:val="00FB5C44"/>
    <w:rsid w:val="00FB62B8"/>
    <w:rsid w:val="00FB699E"/>
    <w:rsid w:val="00FB7121"/>
    <w:rsid w:val="00FB7DA0"/>
    <w:rsid w:val="00FC0104"/>
    <w:rsid w:val="00FC01C1"/>
    <w:rsid w:val="00FC04D9"/>
    <w:rsid w:val="00FC06BA"/>
    <w:rsid w:val="00FC0F14"/>
    <w:rsid w:val="00FC226A"/>
    <w:rsid w:val="00FC237F"/>
    <w:rsid w:val="00FC2779"/>
    <w:rsid w:val="00FC2C42"/>
    <w:rsid w:val="00FC31F5"/>
    <w:rsid w:val="00FC3850"/>
    <w:rsid w:val="00FC41DA"/>
    <w:rsid w:val="00FC4211"/>
    <w:rsid w:val="00FC4B07"/>
    <w:rsid w:val="00FC4DEA"/>
    <w:rsid w:val="00FC5140"/>
    <w:rsid w:val="00FC54E9"/>
    <w:rsid w:val="00FC5977"/>
    <w:rsid w:val="00FC5CA8"/>
    <w:rsid w:val="00FC6818"/>
    <w:rsid w:val="00FC6BCB"/>
    <w:rsid w:val="00FC7313"/>
    <w:rsid w:val="00FD0F3D"/>
    <w:rsid w:val="00FD12EB"/>
    <w:rsid w:val="00FD17A6"/>
    <w:rsid w:val="00FD1B8A"/>
    <w:rsid w:val="00FD1BA0"/>
    <w:rsid w:val="00FD1FD5"/>
    <w:rsid w:val="00FD2636"/>
    <w:rsid w:val="00FD28E8"/>
    <w:rsid w:val="00FD2D0E"/>
    <w:rsid w:val="00FD3D08"/>
    <w:rsid w:val="00FD43DF"/>
    <w:rsid w:val="00FD5047"/>
    <w:rsid w:val="00FD5203"/>
    <w:rsid w:val="00FD553B"/>
    <w:rsid w:val="00FD562D"/>
    <w:rsid w:val="00FD58E5"/>
    <w:rsid w:val="00FD74E9"/>
    <w:rsid w:val="00FD7558"/>
    <w:rsid w:val="00FD76D5"/>
    <w:rsid w:val="00FE00B9"/>
    <w:rsid w:val="00FE060F"/>
    <w:rsid w:val="00FE0C8D"/>
    <w:rsid w:val="00FE13EF"/>
    <w:rsid w:val="00FE1F2C"/>
    <w:rsid w:val="00FE221E"/>
    <w:rsid w:val="00FE2918"/>
    <w:rsid w:val="00FE3403"/>
    <w:rsid w:val="00FE418D"/>
    <w:rsid w:val="00FE42DE"/>
    <w:rsid w:val="00FE44B6"/>
    <w:rsid w:val="00FE4521"/>
    <w:rsid w:val="00FE5431"/>
    <w:rsid w:val="00FE592C"/>
    <w:rsid w:val="00FE5AAA"/>
    <w:rsid w:val="00FE5D19"/>
    <w:rsid w:val="00FE6005"/>
    <w:rsid w:val="00FE7960"/>
    <w:rsid w:val="00FE7BAB"/>
    <w:rsid w:val="00FF09A6"/>
    <w:rsid w:val="00FF1C23"/>
    <w:rsid w:val="00FF2CBA"/>
    <w:rsid w:val="00FF420D"/>
    <w:rsid w:val="00FF4544"/>
    <w:rsid w:val="00FF5173"/>
    <w:rsid w:val="00FF53C7"/>
    <w:rsid w:val="00FF596B"/>
    <w:rsid w:val="00FF5A4F"/>
    <w:rsid w:val="00FF5D96"/>
    <w:rsid w:val="00FF60D7"/>
    <w:rsid w:val="00FF6D16"/>
    <w:rsid w:val="00FF6F5D"/>
    <w:rsid w:val="00FF7582"/>
    <w:rsid w:val="00FF77C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2F804AAE"/>
  <w14:defaultImageDpi w14:val="300"/>
  <w15:docId w15:val="{16B61455-E184-4D5A-AA0A-7B594EFA5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1611"/>
    <w:pPr>
      <w:spacing w:before="120" w:after="320" w:line="480" w:lineRule="auto"/>
    </w:pPr>
    <w:rPr>
      <w:rFonts w:ascii="Arial" w:eastAsia="Calibri" w:hAnsi="Arial" w:cs="Times New Roman"/>
      <w:szCs w:val="22"/>
      <w:lang w:val="en-GB"/>
    </w:rPr>
  </w:style>
  <w:style w:type="paragraph" w:styleId="Heading1">
    <w:name w:val="heading 1"/>
    <w:basedOn w:val="Normal"/>
    <w:next w:val="Normal"/>
    <w:link w:val="Heading1Char"/>
    <w:autoRedefine/>
    <w:uiPriority w:val="9"/>
    <w:qFormat/>
    <w:rsid w:val="004261BC"/>
    <w:pPr>
      <w:keepNext/>
      <w:keepLines/>
      <w:numPr>
        <w:numId w:val="30"/>
      </w:numPr>
      <w:spacing w:before="480" w:after="0" w:line="360" w:lineRule="auto"/>
      <w:jc w:val="center"/>
      <w:outlineLvl w:val="0"/>
    </w:pPr>
    <w:rPr>
      <w:rFonts w:eastAsiaTheme="majorEastAsia" w:cstheme="majorBidi"/>
      <w:b/>
      <w:bCs/>
      <w:sz w:val="32"/>
      <w:szCs w:val="24"/>
      <w:u w:val="single"/>
      <w:lang w:val="en-US"/>
    </w:rPr>
  </w:style>
  <w:style w:type="paragraph" w:styleId="Heading2">
    <w:name w:val="heading 2"/>
    <w:basedOn w:val="Normal"/>
    <w:next w:val="Normal"/>
    <w:link w:val="Heading2Char"/>
    <w:autoRedefine/>
    <w:uiPriority w:val="9"/>
    <w:unhideWhenUsed/>
    <w:qFormat/>
    <w:rsid w:val="004261BC"/>
    <w:pPr>
      <w:keepNext/>
      <w:keepLines/>
      <w:numPr>
        <w:ilvl w:val="1"/>
        <w:numId w:val="30"/>
      </w:numPr>
      <w:spacing w:before="200" w:after="0" w:line="240" w:lineRule="auto"/>
      <w:outlineLvl w:val="1"/>
    </w:pPr>
    <w:rPr>
      <w:rFonts w:eastAsiaTheme="majorEastAsia" w:cs="Arial"/>
      <w:b/>
      <w:bCs/>
      <w:sz w:val="26"/>
      <w:szCs w:val="24"/>
      <w:lang w:val="en-US"/>
    </w:rPr>
  </w:style>
  <w:style w:type="paragraph" w:styleId="Heading3">
    <w:name w:val="heading 3"/>
    <w:basedOn w:val="Normal"/>
    <w:next w:val="Normal"/>
    <w:link w:val="Heading3Char"/>
    <w:autoRedefine/>
    <w:uiPriority w:val="9"/>
    <w:unhideWhenUsed/>
    <w:qFormat/>
    <w:rsid w:val="00915D37"/>
    <w:pPr>
      <w:keepNext/>
      <w:keepLines/>
      <w:numPr>
        <w:ilvl w:val="2"/>
        <w:numId w:val="30"/>
      </w:numPr>
      <w:spacing w:before="200" w:after="0" w:line="240" w:lineRule="auto"/>
      <w:outlineLvl w:val="2"/>
    </w:pPr>
    <w:rPr>
      <w:rFonts w:eastAsiaTheme="majorEastAsia" w:cstheme="majorBidi"/>
      <w:b/>
      <w:bCs/>
      <w:szCs w:val="24"/>
      <w:lang w:val="en-US"/>
    </w:rPr>
  </w:style>
  <w:style w:type="paragraph" w:styleId="Heading4">
    <w:name w:val="heading 4"/>
    <w:basedOn w:val="Normal"/>
    <w:next w:val="Normal"/>
    <w:link w:val="Heading4Char"/>
    <w:autoRedefine/>
    <w:uiPriority w:val="9"/>
    <w:unhideWhenUsed/>
    <w:qFormat/>
    <w:rsid w:val="00915D37"/>
    <w:pPr>
      <w:keepNext/>
      <w:keepLines/>
      <w:numPr>
        <w:ilvl w:val="3"/>
        <w:numId w:val="30"/>
      </w:numPr>
      <w:spacing w:before="200" w:after="0" w:line="240" w:lineRule="auto"/>
      <w:outlineLvl w:val="3"/>
    </w:pPr>
    <w:rPr>
      <w:rFonts w:asciiTheme="majorHAnsi" w:eastAsiaTheme="majorEastAsia" w:hAnsiTheme="majorHAnsi" w:cstheme="majorBidi"/>
      <w:b/>
      <w:bCs/>
      <w:i/>
      <w:iCs/>
      <w:szCs w:val="24"/>
      <w:lang w:val="en-US"/>
    </w:rPr>
  </w:style>
  <w:style w:type="paragraph" w:styleId="Heading5">
    <w:name w:val="heading 5"/>
    <w:basedOn w:val="Normal"/>
    <w:next w:val="Normal"/>
    <w:link w:val="Heading5Char"/>
    <w:uiPriority w:val="9"/>
    <w:semiHidden/>
    <w:unhideWhenUsed/>
    <w:qFormat/>
    <w:rsid w:val="004261BC"/>
    <w:pPr>
      <w:keepNext/>
      <w:keepLines/>
      <w:numPr>
        <w:ilvl w:val="4"/>
        <w:numId w:val="30"/>
      </w:numPr>
      <w:spacing w:before="200" w:after="0" w:line="240" w:lineRule="auto"/>
      <w:outlineLvl w:val="4"/>
    </w:pPr>
    <w:rPr>
      <w:rFonts w:asciiTheme="majorHAnsi" w:eastAsiaTheme="majorEastAsia" w:hAnsiTheme="majorHAnsi" w:cstheme="majorBidi"/>
      <w:color w:val="243F60" w:themeColor="accent1" w:themeShade="7F"/>
      <w:szCs w:val="24"/>
      <w:lang w:val="en-US"/>
    </w:rPr>
  </w:style>
  <w:style w:type="paragraph" w:styleId="Heading6">
    <w:name w:val="heading 6"/>
    <w:basedOn w:val="Normal"/>
    <w:next w:val="Normal"/>
    <w:link w:val="Heading6Char"/>
    <w:uiPriority w:val="9"/>
    <w:semiHidden/>
    <w:unhideWhenUsed/>
    <w:qFormat/>
    <w:rsid w:val="00A07FA4"/>
    <w:pPr>
      <w:keepNext/>
      <w:keepLines/>
      <w:numPr>
        <w:ilvl w:val="5"/>
        <w:numId w:val="31"/>
      </w:numPr>
      <w:spacing w:before="200" w:after="0" w:line="240" w:lineRule="auto"/>
      <w:outlineLvl w:val="5"/>
    </w:pPr>
    <w:rPr>
      <w:rFonts w:asciiTheme="majorHAnsi" w:eastAsiaTheme="majorEastAsia" w:hAnsiTheme="majorHAnsi" w:cstheme="majorBidi"/>
      <w:i/>
      <w:iCs/>
      <w:color w:val="243F60" w:themeColor="accent1" w:themeShade="7F"/>
      <w:szCs w:val="24"/>
      <w:lang w:val="en-US"/>
    </w:rPr>
  </w:style>
  <w:style w:type="paragraph" w:styleId="Heading7">
    <w:name w:val="heading 7"/>
    <w:basedOn w:val="Normal"/>
    <w:next w:val="Normal"/>
    <w:link w:val="Heading7Char"/>
    <w:uiPriority w:val="9"/>
    <w:semiHidden/>
    <w:unhideWhenUsed/>
    <w:qFormat/>
    <w:rsid w:val="00A07FA4"/>
    <w:pPr>
      <w:keepNext/>
      <w:keepLines/>
      <w:numPr>
        <w:ilvl w:val="6"/>
        <w:numId w:val="31"/>
      </w:numPr>
      <w:spacing w:before="200" w:after="0" w:line="240" w:lineRule="auto"/>
      <w:outlineLvl w:val="6"/>
    </w:pPr>
    <w:rPr>
      <w:rFonts w:asciiTheme="majorHAnsi" w:eastAsiaTheme="majorEastAsia" w:hAnsiTheme="majorHAnsi" w:cstheme="majorBidi"/>
      <w:i/>
      <w:iCs/>
      <w:color w:val="404040" w:themeColor="text1" w:themeTint="BF"/>
      <w:szCs w:val="24"/>
      <w:lang w:val="en-US"/>
    </w:rPr>
  </w:style>
  <w:style w:type="paragraph" w:styleId="Heading8">
    <w:name w:val="heading 8"/>
    <w:basedOn w:val="Normal"/>
    <w:next w:val="Normal"/>
    <w:link w:val="Heading8Char"/>
    <w:uiPriority w:val="9"/>
    <w:semiHidden/>
    <w:unhideWhenUsed/>
    <w:qFormat/>
    <w:rsid w:val="00A07FA4"/>
    <w:pPr>
      <w:keepNext/>
      <w:keepLines/>
      <w:numPr>
        <w:ilvl w:val="7"/>
        <w:numId w:val="31"/>
      </w:numPr>
      <w:spacing w:before="200" w:after="0" w:line="240" w:lineRule="auto"/>
      <w:outlineLvl w:val="7"/>
    </w:pPr>
    <w:rPr>
      <w:rFonts w:asciiTheme="majorHAnsi" w:eastAsiaTheme="majorEastAsia" w:hAnsiTheme="majorHAnsi" w:cstheme="majorBidi"/>
      <w:color w:val="404040" w:themeColor="text1" w:themeTint="BF"/>
      <w:sz w:val="20"/>
      <w:szCs w:val="20"/>
      <w:lang w:val="en-US"/>
    </w:rPr>
  </w:style>
  <w:style w:type="paragraph" w:styleId="Heading9">
    <w:name w:val="heading 9"/>
    <w:basedOn w:val="Normal"/>
    <w:next w:val="Normal"/>
    <w:link w:val="Heading9Char"/>
    <w:uiPriority w:val="9"/>
    <w:semiHidden/>
    <w:unhideWhenUsed/>
    <w:qFormat/>
    <w:rsid w:val="00A07FA4"/>
    <w:pPr>
      <w:keepNext/>
      <w:keepLines/>
      <w:numPr>
        <w:ilvl w:val="8"/>
        <w:numId w:val="31"/>
      </w:numPr>
      <w:spacing w:before="200" w:after="0" w:line="240" w:lineRule="auto"/>
      <w:outlineLvl w:val="8"/>
    </w:pPr>
    <w:rPr>
      <w:rFonts w:asciiTheme="majorHAnsi" w:eastAsiaTheme="majorEastAsia" w:hAnsiTheme="majorHAnsi" w:cstheme="majorBidi"/>
      <w:i/>
      <w:iCs/>
      <w:color w:val="404040" w:themeColor="text1" w:themeTint="BF"/>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61BC"/>
    <w:rPr>
      <w:rFonts w:ascii="Arial" w:eastAsiaTheme="majorEastAsia" w:hAnsi="Arial" w:cstheme="majorBidi"/>
      <w:b/>
      <w:bCs/>
      <w:sz w:val="32"/>
      <w:u w:val="single"/>
    </w:rPr>
  </w:style>
  <w:style w:type="character" w:customStyle="1" w:styleId="Heading2Char">
    <w:name w:val="Heading 2 Char"/>
    <w:basedOn w:val="DefaultParagraphFont"/>
    <w:link w:val="Heading2"/>
    <w:uiPriority w:val="9"/>
    <w:rsid w:val="004261BC"/>
    <w:rPr>
      <w:rFonts w:ascii="Arial" w:eastAsiaTheme="majorEastAsia" w:hAnsi="Arial" w:cs="Arial"/>
      <w:b/>
      <w:bCs/>
      <w:sz w:val="26"/>
    </w:rPr>
  </w:style>
  <w:style w:type="character" w:customStyle="1" w:styleId="Heading3Char">
    <w:name w:val="Heading 3 Char"/>
    <w:basedOn w:val="DefaultParagraphFont"/>
    <w:link w:val="Heading3"/>
    <w:uiPriority w:val="9"/>
    <w:rsid w:val="00915D37"/>
    <w:rPr>
      <w:rFonts w:ascii="Arial" w:eastAsiaTheme="majorEastAsia" w:hAnsi="Arial" w:cstheme="majorBidi"/>
      <w:b/>
      <w:bCs/>
    </w:rPr>
  </w:style>
  <w:style w:type="character" w:customStyle="1" w:styleId="Heading4Char">
    <w:name w:val="Heading 4 Char"/>
    <w:basedOn w:val="DefaultParagraphFont"/>
    <w:link w:val="Heading4"/>
    <w:uiPriority w:val="9"/>
    <w:rsid w:val="00915D37"/>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4261B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07FA4"/>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07FA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07FA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A07FA4"/>
    <w:rPr>
      <w:rFonts w:asciiTheme="majorHAnsi" w:eastAsiaTheme="majorEastAsia" w:hAnsiTheme="majorHAnsi" w:cstheme="majorBidi"/>
      <w:i/>
      <w:iCs/>
      <w:color w:val="404040" w:themeColor="text1" w:themeTint="BF"/>
      <w:sz w:val="20"/>
      <w:szCs w:val="20"/>
    </w:rPr>
  </w:style>
  <w:style w:type="paragraph" w:styleId="Footer">
    <w:name w:val="footer"/>
    <w:basedOn w:val="Normal"/>
    <w:link w:val="FooterChar"/>
    <w:uiPriority w:val="99"/>
    <w:unhideWhenUsed/>
    <w:rsid w:val="00B855D4"/>
    <w:pPr>
      <w:tabs>
        <w:tab w:val="center" w:pos="4320"/>
        <w:tab w:val="right" w:pos="8640"/>
      </w:tabs>
      <w:spacing w:after="0" w:line="240" w:lineRule="auto"/>
    </w:pPr>
    <w:rPr>
      <w:rFonts w:asciiTheme="minorHAnsi" w:eastAsiaTheme="minorEastAsia" w:hAnsiTheme="minorHAnsi" w:cstheme="minorBidi"/>
      <w:szCs w:val="24"/>
      <w:lang w:val="en-US"/>
    </w:rPr>
  </w:style>
  <w:style w:type="character" w:customStyle="1" w:styleId="FooterChar">
    <w:name w:val="Footer Char"/>
    <w:basedOn w:val="DefaultParagraphFont"/>
    <w:link w:val="Footer"/>
    <w:uiPriority w:val="99"/>
    <w:rsid w:val="00B855D4"/>
  </w:style>
  <w:style w:type="character" w:styleId="PageNumber">
    <w:name w:val="page number"/>
    <w:basedOn w:val="DefaultParagraphFont"/>
    <w:uiPriority w:val="99"/>
    <w:semiHidden/>
    <w:unhideWhenUsed/>
    <w:rsid w:val="00B855D4"/>
  </w:style>
  <w:style w:type="paragraph" w:styleId="BalloonText">
    <w:name w:val="Balloon Text"/>
    <w:basedOn w:val="Normal"/>
    <w:link w:val="BalloonTextChar"/>
    <w:uiPriority w:val="99"/>
    <w:semiHidden/>
    <w:unhideWhenUsed/>
    <w:rsid w:val="00D24765"/>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4765"/>
    <w:rPr>
      <w:rFonts w:ascii="Lucida Grande" w:eastAsia="Calibri" w:hAnsi="Lucida Grande" w:cs="Lucida Grande"/>
      <w:sz w:val="18"/>
      <w:szCs w:val="18"/>
      <w:lang w:val="en-GB"/>
    </w:rPr>
  </w:style>
  <w:style w:type="paragraph" w:styleId="Header">
    <w:name w:val="header"/>
    <w:basedOn w:val="Normal"/>
    <w:link w:val="HeaderChar"/>
    <w:uiPriority w:val="99"/>
    <w:unhideWhenUsed/>
    <w:rsid w:val="00D24765"/>
    <w:pPr>
      <w:tabs>
        <w:tab w:val="center" w:pos="4320"/>
        <w:tab w:val="right" w:pos="8640"/>
      </w:tabs>
      <w:spacing w:after="0" w:line="240" w:lineRule="auto"/>
    </w:pPr>
  </w:style>
  <w:style w:type="character" w:customStyle="1" w:styleId="HeaderChar">
    <w:name w:val="Header Char"/>
    <w:basedOn w:val="DefaultParagraphFont"/>
    <w:link w:val="Header"/>
    <w:uiPriority w:val="99"/>
    <w:rsid w:val="00D24765"/>
    <w:rPr>
      <w:rFonts w:ascii="Calibri" w:eastAsia="Calibri" w:hAnsi="Calibri" w:cs="Times New Roman"/>
      <w:sz w:val="22"/>
      <w:szCs w:val="22"/>
      <w:lang w:val="en-GB"/>
    </w:rPr>
  </w:style>
  <w:style w:type="paragraph" w:styleId="TOCHeading">
    <w:name w:val="TOC Heading"/>
    <w:basedOn w:val="Heading1"/>
    <w:next w:val="Normal"/>
    <w:uiPriority w:val="39"/>
    <w:unhideWhenUsed/>
    <w:qFormat/>
    <w:rsid w:val="00552338"/>
    <w:pPr>
      <w:spacing w:line="276" w:lineRule="auto"/>
      <w:ind w:left="0" w:firstLine="0"/>
      <w:outlineLvl w:val="9"/>
    </w:pPr>
    <w:rPr>
      <w:color w:val="365F91" w:themeColor="accent1" w:themeShade="BF"/>
      <w:sz w:val="28"/>
      <w:szCs w:val="28"/>
    </w:rPr>
  </w:style>
  <w:style w:type="paragraph" w:styleId="TOC1">
    <w:name w:val="toc 1"/>
    <w:basedOn w:val="Normal"/>
    <w:next w:val="Normal"/>
    <w:autoRedefine/>
    <w:uiPriority w:val="39"/>
    <w:unhideWhenUsed/>
    <w:rsid w:val="002C5EF0"/>
    <w:pPr>
      <w:spacing w:after="0"/>
    </w:pPr>
    <w:rPr>
      <w:rFonts w:asciiTheme="minorHAnsi" w:hAnsiTheme="minorHAnsi"/>
      <w:b/>
      <w:szCs w:val="24"/>
    </w:rPr>
  </w:style>
  <w:style w:type="paragraph" w:styleId="TOC2">
    <w:name w:val="toc 2"/>
    <w:basedOn w:val="Normal"/>
    <w:next w:val="Normal"/>
    <w:autoRedefine/>
    <w:uiPriority w:val="39"/>
    <w:unhideWhenUsed/>
    <w:rsid w:val="00552338"/>
    <w:pPr>
      <w:spacing w:before="0" w:after="0"/>
      <w:ind w:left="240"/>
    </w:pPr>
    <w:rPr>
      <w:rFonts w:asciiTheme="minorHAnsi" w:hAnsiTheme="minorHAnsi"/>
      <w:b/>
      <w:sz w:val="22"/>
    </w:rPr>
  </w:style>
  <w:style w:type="paragraph" w:styleId="TOC3">
    <w:name w:val="toc 3"/>
    <w:basedOn w:val="Normal"/>
    <w:next w:val="Normal"/>
    <w:autoRedefine/>
    <w:uiPriority w:val="39"/>
    <w:unhideWhenUsed/>
    <w:rsid w:val="00552338"/>
    <w:pPr>
      <w:spacing w:before="0" w:after="0"/>
      <w:ind w:left="480"/>
    </w:pPr>
    <w:rPr>
      <w:rFonts w:asciiTheme="minorHAnsi" w:hAnsiTheme="minorHAnsi"/>
      <w:sz w:val="22"/>
    </w:rPr>
  </w:style>
  <w:style w:type="paragraph" w:styleId="TOC4">
    <w:name w:val="toc 4"/>
    <w:basedOn w:val="Normal"/>
    <w:next w:val="Normal"/>
    <w:autoRedefine/>
    <w:uiPriority w:val="39"/>
    <w:unhideWhenUsed/>
    <w:rsid w:val="00552338"/>
    <w:pPr>
      <w:spacing w:before="0" w:after="0"/>
      <w:ind w:left="720"/>
    </w:pPr>
    <w:rPr>
      <w:rFonts w:asciiTheme="minorHAnsi" w:hAnsiTheme="minorHAnsi"/>
      <w:sz w:val="20"/>
      <w:szCs w:val="20"/>
    </w:rPr>
  </w:style>
  <w:style w:type="paragraph" w:styleId="TOC5">
    <w:name w:val="toc 5"/>
    <w:basedOn w:val="Normal"/>
    <w:next w:val="Normal"/>
    <w:autoRedefine/>
    <w:uiPriority w:val="39"/>
    <w:unhideWhenUsed/>
    <w:rsid w:val="00552338"/>
    <w:pPr>
      <w:spacing w:before="0" w:after="0"/>
      <w:ind w:left="960"/>
    </w:pPr>
    <w:rPr>
      <w:rFonts w:asciiTheme="minorHAnsi" w:hAnsiTheme="minorHAnsi"/>
      <w:sz w:val="20"/>
      <w:szCs w:val="20"/>
    </w:rPr>
  </w:style>
  <w:style w:type="paragraph" w:styleId="TOC6">
    <w:name w:val="toc 6"/>
    <w:basedOn w:val="Normal"/>
    <w:next w:val="Normal"/>
    <w:autoRedefine/>
    <w:uiPriority w:val="39"/>
    <w:unhideWhenUsed/>
    <w:rsid w:val="00552338"/>
    <w:pPr>
      <w:spacing w:before="0" w:after="0"/>
      <w:ind w:left="1200"/>
    </w:pPr>
    <w:rPr>
      <w:rFonts w:asciiTheme="minorHAnsi" w:hAnsiTheme="minorHAnsi"/>
      <w:sz w:val="20"/>
      <w:szCs w:val="20"/>
    </w:rPr>
  </w:style>
  <w:style w:type="paragraph" w:styleId="TOC7">
    <w:name w:val="toc 7"/>
    <w:basedOn w:val="Normal"/>
    <w:next w:val="Normal"/>
    <w:autoRedefine/>
    <w:uiPriority w:val="39"/>
    <w:unhideWhenUsed/>
    <w:rsid w:val="00552338"/>
    <w:pPr>
      <w:spacing w:before="0" w:after="0"/>
      <w:ind w:left="1440"/>
    </w:pPr>
    <w:rPr>
      <w:rFonts w:asciiTheme="minorHAnsi" w:hAnsiTheme="minorHAnsi"/>
      <w:sz w:val="20"/>
      <w:szCs w:val="20"/>
    </w:rPr>
  </w:style>
  <w:style w:type="paragraph" w:styleId="TOC8">
    <w:name w:val="toc 8"/>
    <w:basedOn w:val="Normal"/>
    <w:next w:val="Normal"/>
    <w:autoRedefine/>
    <w:uiPriority w:val="39"/>
    <w:unhideWhenUsed/>
    <w:rsid w:val="00552338"/>
    <w:pPr>
      <w:spacing w:before="0" w:after="0"/>
      <w:ind w:left="1680"/>
    </w:pPr>
    <w:rPr>
      <w:rFonts w:asciiTheme="minorHAnsi" w:hAnsiTheme="minorHAnsi"/>
      <w:sz w:val="20"/>
      <w:szCs w:val="20"/>
    </w:rPr>
  </w:style>
  <w:style w:type="paragraph" w:styleId="TOC9">
    <w:name w:val="toc 9"/>
    <w:basedOn w:val="Normal"/>
    <w:next w:val="Normal"/>
    <w:autoRedefine/>
    <w:uiPriority w:val="39"/>
    <w:unhideWhenUsed/>
    <w:rsid w:val="00552338"/>
    <w:pPr>
      <w:spacing w:before="0" w:after="0"/>
      <w:ind w:left="1920"/>
    </w:pPr>
    <w:rPr>
      <w:rFonts w:asciiTheme="minorHAnsi" w:hAnsiTheme="minorHAnsi"/>
      <w:sz w:val="20"/>
      <w:szCs w:val="20"/>
    </w:rPr>
  </w:style>
  <w:style w:type="paragraph" w:styleId="Caption">
    <w:name w:val="caption"/>
    <w:basedOn w:val="Normal"/>
    <w:next w:val="Normal"/>
    <w:autoRedefine/>
    <w:uiPriority w:val="35"/>
    <w:unhideWhenUsed/>
    <w:qFormat/>
    <w:rsid w:val="007000F8"/>
    <w:pPr>
      <w:keepNext/>
      <w:spacing w:line="360" w:lineRule="auto"/>
    </w:pPr>
    <w:rPr>
      <w:rFonts w:cs="Arial"/>
      <w:b/>
      <w:bCs/>
      <w:sz w:val="20"/>
      <w:szCs w:val="20"/>
    </w:rPr>
  </w:style>
  <w:style w:type="paragraph" w:styleId="TableofFigures">
    <w:name w:val="table of figures"/>
    <w:basedOn w:val="Normal"/>
    <w:next w:val="Normal"/>
    <w:uiPriority w:val="99"/>
    <w:unhideWhenUsed/>
    <w:rsid w:val="003C7BE5"/>
    <w:pPr>
      <w:ind w:left="440" w:hanging="440"/>
    </w:pPr>
  </w:style>
  <w:style w:type="paragraph" w:styleId="EndnoteText">
    <w:name w:val="endnote text"/>
    <w:basedOn w:val="Normal"/>
    <w:link w:val="EndnoteTextChar"/>
    <w:uiPriority w:val="99"/>
    <w:unhideWhenUsed/>
    <w:rsid w:val="0062788E"/>
    <w:pPr>
      <w:spacing w:after="0" w:line="240" w:lineRule="auto"/>
    </w:pPr>
    <w:rPr>
      <w:szCs w:val="24"/>
    </w:rPr>
  </w:style>
  <w:style w:type="character" w:customStyle="1" w:styleId="EndnoteTextChar">
    <w:name w:val="Endnote Text Char"/>
    <w:basedOn w:val="DefaultParagraphFont"/>
    <w:link w:val="EndnoteText"/>
    <w:uiPriority w:val="99"/>
    <w:rsid w:val="0062788E"/>
    <w:rPr>
      <w:rFonts w:ascii="Calibri" w:eastAsia="Calibri" w:hAnsi="Calibri" w:cs="Times New Roman"/>
      <w:lang w:val="en-GB"/>
    </w:rPr>
  </w:style>
  <w:style w:type="character" w:styleId="EndnoteReference">
    <w:name w:val="endnote reference"/>
    <w:basedOn w:val="DefaultParagraphFont"/>
    <w:uiPriority w:val="99"/>
    <w:unhideWhenUsed/>
    <w:rsid w:val="0062788E"/>
    <w:rPr>
      <w:vertAlign w:val="superscript"/>
    </w:rPr>
  </w:style>
  <w:style w:type="paragraph" w:customStyle="1" w:styleId="EndNoteBibliographyTitle">
    <w:name w:val="EndNote Bibliography Title"/>
    <w:basedOn w:val="Normal"/>
    <w:rsid w:val="0062788E"/>
    <w:pPr>
      <w:spacing w:after="0"/>
      <w:jc w:val="center"/>
    </w:pPr>
    <w:rPr>
      <w:rFonts w:ascii="Calibri" w:hAnsi="Calibri"/>
      <w:sz w:val="22"/>
      <w:lang w:val="en-US"/>
    </w:rPr>
  </w:style>
  <w:style w:type="paragraph" w:customStyle="1" w:styleId="EndNoteBibliography">
    <w:name w:val="EndNote Bibliography"/>
    <w:basedOn w:val="Normal"/>
    <w:rsid w:val="0062788E"/>
    <w:pPr>
      <w:spacing w:line="240" w:lineRule="auto"/>
    </w:pPr>
    <w:rPr>
      <w:rFonts w:ascii="Calibri" w:hAnsi="Calibri"/>
      <w:sz w:val="22"/>
      <w:lang w:val="en-US"/>
    </w:rPr>
  </w:style>
  <w:style w:type="character" w:styleId="Hyperlink">
    <w:name w:val="Hyperlink"/>
    <w:basedOn w:val="DefaultParagraphFont"/>
    <w:uiPriority w:val="99"/>
    <w:unhideWhenUsed/>
    <w:rsid w:val="00CE54C3"/>
    <w:rPr>
      <w:color w:val="0000FF" w:themeColor="hyperlink"/>
      <w:u w:val="single"/>
    </w:rPr>
  </w:style>
  <w:style w:type="paragraph" w:customStyle="1" w:styleId="Default">
    <w:name w:val="Default"/>
    <w:rsid w:val="009F0B8D"/>
    <w:pPr>
      <w:widowControl w:val="0"/>
      <w:autoSpaceDE w:val="0"/>
      <w:autoSpaceDN w:val="0"/>
      <w:adjustRightInd w:val="0"/>
    </w:pPr>
    <w:rPr>
      <w:rFonts w:ascii="TUOS Stephenson" w:eastAsia="Times New Roman" w:hAnsi="TUOS Stephenson" w:cs="TUOS Stephenson"/>
      <w:color w:val="000000"/>
      <w:lang w:val="en-GB" w:eastAsia="en-GB"/>
    </w:rPr>
  </w:style>
  <w:style w:type="paragraph" w:styleId="ListParagraph">
    <w:name w:val="List Paragraph"/>
    <w:basedOn w:val="Normal"/>
    <w:uiPriority w:val="34"/>
    <w:qFormat/>
    <w:rsid w:val="00E830C5"/>
    <w:pPr>
      <w:spacing w:before="0" w:after="0" w:line="240" w:lineRule="auto"/>
      <w:ind w:left="720"/>
      <w:contextualSpacing/>
    </w:pPr>
    <w:rPr>
      <w:rFonts w:ascii="Blake" w:eastAsia="SimSun" w:hAnsi="Blake" w:cs="Blake"/>
      <w:sz w:val="20"/>
      <w:szCs w:val="20"/>
      <w:lang w:eastAsia="zh-CN"/>
    </w:rPr>
  </w:style>
  <w:style w:type="character" w:styleId="CommentReference">
    <w:name w:val="annotation reference"/>
    <w:uiPriority w:val="99"/>
    <w:semiHidden/>
    <w:unhideWhenUsed/>
    <w:rsid w:val="004959BD"/>
    <w:rPr>
      <w:sz w:val="18"/>
      <w:szCs w:val="18"/>
    </w:rPr>
  </w:style>
  <w:style w:type="paragraph" w:styleId="CommentText">
    <w:name w:val="annotation text"/>
    <w:basedOn w:val="Normal"/>
    <w:link w:val="CommentTextChar"/>
    <w:uiPriority w:val="99"/>
    <w:semiHidden/>
    <w:unhideWhenUsed/>
    <w:rsid w:val="004959BD"/>
    <w:pPr>
      <w:spacing w:before="0" w:after="200" w:line="240" w:lineRule="auto"/>
    </w:pPr>
    <w:rPr>
      <w:rFonts w:ascii="Calibri" w:hAnsi="Calibri"/>
      <w:szCs w:val="24"/>
    </w:rPr>
  </w:style>
  <w:style w:type="character" w:customStyle="1" w:styleId="CommentTextChar">
    <w:name w:val="Comment Text Char"/>
    <w:basedOn w:val="DefaultParagraphFont"/>
    <w:link w:val="CommentText"/>
    <w:uiPriority w:val="99"/>
    <w:semiHidden/>
    <w:rsid w:val="004959BD"/>
    <w:rPr>
      <w:rFonts w:ascii="Calibri" w:eastAsia="Calibri" w:hAnsi="Calibri" w:cs="Times New Roman"/>
      <w:lang w:val="en-GB"/>
    </w:rPr>
  </w:style>
  <w:style w:type="paragraph" w:styleId="NormalWeb">
    <w:name w:val="Normal (Web)"/>
    <w:basedOn w:val="Normal"/>
    <w:uiPriority w:val="99"/>
    <w:unhideWhenUsed/>
    <w:rsid w:val="00C06D1A"/>
    <w:pPr>
      <w:spacing w:before="100" w:beforeAutospacing="1" w:after="100" w:afterAutospacing="1" w:line="240" w:lineRule="auto"/>
    </w:pPr>
    <w:rPr>
      <w:rFonts w:ascii="Times New Roman" w:eastAsia="Times New Roman" w:hAnsi="Times New Roman"/>
      <w:szCs w:val="24"/>
      <w:lang w:eastAsia="en-GB"/>
    </w:rPr>
  </w:style>
  <w:style w:type="paragraph" w:styleId="CommentSubject">
    <w:name w:val="annotation subject"/>
    <w:basedOn w:val="CommentText"/>
    <w:next w:val="CommentText"/>
    <w:link w:val="CommentSubjectChar"/>
    <w:uiPriority w:val="99"/>
    <w:semiHidden/>
    <w:unhideWhenUsed/>
    <w:rsid w:val="00541A52"/>
    <w:pPr>
      <w:spacing w:before="120" w:after="320"/>
    </w:pPr>
    <w:rPr>
      <w:rFonts w:ascii="Arial" w:hAnsi="Arial"/>
      <w:b/>
      <w:bCs/>
      <w:sz w:val="20"/>
      <w:szCs w:val="20"/>
    </w:rPr>
  </w:style>
  <w:style w:type="character" w:customStyle="1" w:styleId="CommentSubjectChar">
    <w:name w:val="Comment Subject Char"/>
    <w:basedOn w:val="CommentTextChar"/>
    <w:link w:val="CommentSubject"/>
    <w:uiPriority w:val="99"/>
    <w:semiHidden/>
    <w:rsid w:val="00541A52"/>
    <w:rPr>
      <w:rFonts w:ascii="Arial" w:eastAsia="Calibri" w:hAnsi="Arial" w:cs="Times New Roman"/>
      <w:b/>
      <w:bCs/>
      <w:sz w:val="20"/>
      <w:szCs w:val="20"/>
      <w:lang w:val="en-GB"/>
    </w:rPr>
  </w:style>
  <w:style w:type="paragraph" w:styleId="NoSpacing">
    <w:name w:val="No Spacing"/>
    <w:qFormat/>
    <w:rsid w:val="00C9110D"/>
    <w:rPr>
      <w:rFonts w:ascii="Arial" w:eastAsia="Calibri" w:hAnsi="Arial" w:cs="Times New Roman"/>
      <w:szCs w:val="22"/>
      <w:lang w:val="en-GB"/>
    </w:rPr>
  </w:style>
  <w:style w:type="paragraph" w:styleId="Revision">
    <w:name w:val="Revision"/>
    <w:hidden/>
    <w:uiPriority w:val="99"/>
    <w:semiHidden/>
    <w:rsid w:val="009A59DC"/>
    <w:rPr>
      <w:rFonts w:ascii="Arial" w:eastAsia="Calibri" w:hAnsi="Arial" w:cs="Times New Roman"/>
      <w:szCs w:val="22"/>
      <w:lang w:val="en-GB"/>
    </w:rPr>
  </w:style>
  <w:style w:type="paragraph" w:styleId="BodyText">
    <w:name w:val="Body Text"/>
    <w:basedOn w:val="Normal"/>
    <w:link w:val="BodyTextChar"/>
    <w:rsid w:val="004C5E53"/>
    <w:pPr>
      <w:spacing w:before="0" w:after="0" w:line="240" w:lineRule="auto"/>
    </w:pPr>
    <w:rPr>
      <w:rFonts w:ascii="TUOS Blake" w:eastAsia="Times New Roman" w:hAnsi="TUOS Blake"/>
      <w:color w:val="000000"/>
      <w:sz w:val="20"/>
      <w:szCs w:val="20"/>
    </w:rPr>
  </w:style>
  <w:style w:type="character" w:customStyle="1" w:styleId="BodyTextChar">
    <w:name w:val="Body Text Char"/>
    <w:basedOn w:val="DefaultParagraphFont"/>
    <w:link w:val="BodyText"/>
    <w:rsid w:val="004C5E53"/>
    <w:rPr>
      <w:rFonts w:ascii="TUOS Blake" w:eastAsia="Times New Roman" w:hAnsi="TUOS Blake" w:cs="Times New Roman"/>
      <w:color w:val="000000"/>
      <w:sz w:val="20"/>
      <w:szCs w:val="20"/>
      <w:lang w:val="en-GB"/>
    </w:rPr>
  </w:style>
  <w:style w:type="paragraph" w:customStyle="1" w:styleId="Body">
    <w:name w:val="Body"/>
    <w:rsid w:val="0071766E"/>
    <w:pPr>
      <w:pBdr>
        <w:top w:val="nil"/>
        <w:left w:val="nil"/>
        <w:bottom w:val="nil"/>
        <w:right w:val="nil"/>
        <w:between w:val="nil"/>
        <w:bar w:val="nil"/>
      </w:pBdr>
    </w:pPr>
    <w:rPr>
      <w:rFonts w:ascii="Cambria" w:eastAsia="Cambria" w:hAnsi="Cambria" w:cs="Cambria"/>
      <w:color w:val="000000"/>
      <w:u w:color="000000"/>
      <w:bdr w:val="nil"/>
    </w:rPr>
  </w:style>
  <w:style w:type="paragraph" w:styleId="Index1">
    <w:name w:val="index 1"/>
    <w:basedOn w:val="Normal"/>
    <w:next w:val="Normal"/>
    <w:autoRedefine/>
    <w:uiPriority w:val="99"/>
    <w:unhideWhenUsed/>
    <w:rsid w:val="00040107"/>
    <w:pPr>
      <w:ind w:left="240" w:hanging="240"/>
    </w:pPr>
  </w:style>
  <w:style w:type="paragraph" w:styleId="Index2">
    <w:name w:val="index 2"/>
    <w:basedOn w:val="Normal"/>
    <w:next w:val="Normal"/>
    <w:autoRedefine/>
    <w:uiPriority w:val="99"/>
    <w:unhideWhenUsed/>
    <w:rsid w:val="00040107"/>
    <w:pPr>
      <w:ind w:left="480" w:hanging="240"/>
    </w:pPr>
  </w:style>
  <w:style w:type="paragraph" w:styleId="Index3">
    <w:name w:val="index 3"/>
    <w:basedOn w:val="Normal"/>
    <w:next w:val="Normal"/>
    <w:autoRedefine/>
    <w:uiPriority w:val="99"/>
    <w:unhideWhenUsed/>
    <w:rsid w:val="00040107"/>
    <w:pPr>
      <w:ind w:left="720" w:hanging="240"/>
    </w:pPr>
  </w:style>
  <w:style w:type="paragraph" w:styleId="Index4">
    <w:name w:val="index 4"/>
    <w:basedOn w:val="Normal"/>
    <w:next w:val="Normal"/>
    <w:autoRedefine/>
    <w:uiPriority w:val="99"/>
    <w:unhideWhenUsed/>
    <w:rsid w:val="00040107"/>
    <w:pPr>
      <w:ind w:left="960" w:hanging="240"/>
    </w:pPr>
  </w:style>
  <w:style w:type="paragraph" w:styleId="Index5">
    <w:name w:val="index 5"/>
    <w:basedOn w:val="Normal"/>
    <w:next w:val="Normal"/>
    <w:autoRedefine/>
    <w:uiPriority w:val="99"/>
    <w:unhideWhenUsed/>
    <w:rsid w:val="00040107"/>
    <w:pPr>
      <w:ind w:left="1200" w:hanging="240"/>
    </w:pPr>
  </w:style>
  <w:style w:type="paragraph" w:styleId="Index6">
    <w:name w:val="index 6"/>
    <w:basedOn w:val="Normal"/>
    <w:next w:val="Normal"/>
    <w:autoRedefine/>
    <w:uiPriority w:val="99"/>
    <w:unhideWhenUsed/>
    <w:rsid w:val="00040107"/>
    <w:pPr>
      <w:ind w:left="1440" w:hanging="240"/>
    </w:pPr>
  </w:style>
  <w:style w:type="paragraph" w:styleId="Index7">
    <w:name w:val="index 7"/>
    <w:basedOn w:val="Normal"/>
    <w:next w:val="Normal"/>
    <w:autoRedefine/>
    <w:uiPriority w:val="99"/>
    <w:unhideWhenUsed/>
    <w:rsid w:val="00040107"/>
    <w:pPr>
      <w:ind w:left="1680" w:hanging="240"/>
    </w:pPr>
  </w:style>
  <w:style w:type="paragraph" w:styleId="Index8">
    <w:name w:val="index 8"/>
    <w:basedOn w:val="Normal"/>
    <w:next w:val="Normal"/>
    <w:autoRedefine/>
    <w:uiPriority w:val="99"/>
    <w:unhideWhenUsed/>
    <w:rsid w:val="00040107"/>
    <w:pPr>
      <w:ind w:left="1920" w:hanging="240"/>
    </w:pPr>
  </w:style>
  <w:style w:type="paragraph" w:styleId="Index9">
    <w:name w:val="index 9"/>
    <w:basedOn w:val="Normal"/>
    <w:next w:val="Normal"/>
    <w:autoRedefine/>
    <w:uiPriority w:val="99"/>
    <w:unhideWhenUsed/>
    <w:rsid w:val="00040107"/>
    <w:pPr>
      <w:ind w:left="2160" w:hanging="240"/>
    </w:pPr>
  </w:style>
  <w:style w:type="paragraph" w:styleId="IndexHeading">
    <w:name w:val="index heading"/>
    <w:basedOn w:val="Normal"/>
    <w:next w:val="Index1"/>
    <w:uiPriority w:val="99"/>
    <w:unhideWhenUsed/>
    <w:rsid w:val="00040107"/>
  </w:style>
  <w:style w:type="character" w:styleId="FollowedHyperlink">
    <w:name w:val="FollowedHyperlink"/>
    <w:basedOn w:val="DefaultParagraphFont"/>
    <w:uiPriority w:val="99"/>
    <w:semiHidden/>
    <w:unhideWhenUsed/>
    <w:rsid w:val="00212034"/>
    <w:rPr>
      <w:color w:val="800080" w:themeColor="followedHyperlink"/>
      <w:u w:val="single"/>
    </w:rPr>
  </w:style>
  <w:style w:type="table" w:styleId="TableGrid">
    <w:name w:val="Table Grid"/>
    <w:basedOn w:val="TableNormal"/>
    <w:uiPriority w:val="59"/>
    <w:rsid w:val="009143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61485">
      <w:bodyDiv w:val="1"/>
      <w:marLeft w:val="0"/>
      <w:marRight w:val="0"/>
      <w:marTop w:val="0"/>
      <w:marBottom w:val="0"/>
      <w:divBdr>
        <w:top w:val="none" w:sz="0" w:space="0" w:color="auto"/>
        <w:left w:val="none" w:sz="0" w:space="0" w:color="auto"/>
        <w:bottom w:val="none" w:sz="0" w:space="0" w:color="auto"/>
        <w:right w:val="none" w:sz="0" w:space="0" w:color="auto"/>
      </w:divBdr>
      <w:divsChild>
        <w:div w:id="183980892">
          <w:marLeft w:val="547"/>
          <w:marRight w:val="0"/>
          <w:marTop w:val="0"/>
          <w:marBottom w:val="0"/>
          <w:divBdr>
            <w:top w:val="none" w:sz="0" w:space="0" w:color="auto"/>
            <w:left w:val="none" w:sz="0" w:space="0" w:color="auto"/>
            <w:bottom w:val="none" w:sz="0" w:space="0" w:color="auto"/>
            <w:right w:val="none" w:sz="0" w:space="0" w:color="auto"/>
          </w:divBdr>
        </w:div>
        <w:div w:id="1056931663">
          <w:marLeft w:val="1166"/>
          <w:marRight w:val="0"/>
          <w:marTop w:val="0"/>
          <w:marBottom w:val="0"/>
          <w:divBdr>
            <w:top w:val="none" w:sz="0" w:space="0" w:color="auto"/>
            <w:left w:val="none" w:sz="0" w:space="0" w:color="auto"/>
            <w:bottom w:val="none" w:sz="0" w:space="0" w:color="auto"/>
            <w:right w:val="none" w:sz="0" w:space="0" w:color="auto"/>
          </w:divBdr>
        </w:div>
        <w:div w:id="592498">
          <w:marLeft w:val="1166"/>
          <w:marRight w:val="0"/>
          <w:marTop w:val="0"/>
          <w:marBottom w:val="0"/>
          <w:divBdr>
            <w:top w:val="none" w:sz="0" w:space="0" w:color="auto"/>
            <w:left w:val="none" w:sz="0" w:space="0" w:color="auto"/>
            <w:bottom w:val="none" w:sz="0" w:space="0" w:color="auto"/>
            <w:right w:val="none" w:sz="0" w:space="0" w:color="auto"/>
          </w:divBdr>
        </w:div>
        <w:div w:id="1055592790">
          <w:marLeft w:val="1166"/>
          <w:marRight w:val="0"/>
          <w:marTop w:val="0"/>
          <w:marBottom w:val="0"/>
          <w:divBdr>
            <w:top w:val="none" w:sz="0" w:space="0" w:color="auto"/>
            <w:left w:val="none" w:sz="0" w:space="0" w:color="auto"/>
            <w:bottom w:val="none" w:sz="0" w:space="0" w:color="auto"/>
            <w:right w:val="none" w:sz="0" w:space="0" w:color="auto"/>
          </w:divBdr>
        </w:div>
        <w:div w:id="978075048">
          <w:marLeft w:val="1166"/>
          <w:marRight w:val="0"/>
          <w:marTop w:val="0"/>
          <w:marBottom w:val="0"/>
          <w:divBdr>
            <w:top w:val="none" w:sz="0" w:space="0" w:color="auto"/>
            <w:left w:val="none" w:sz="0" w:space="0" w:color="auto"/>
            <w:bottom w:val="none" w:sz="0" w:space="0" w:color="auto"/>
            <w:right w:val="none" w:sz="0" w:space="0" w:color="auto"/>
          </w:divBdr>
        </w:div>
        <w:div w:id="437455069">
          <w:marLeft w:val="547"/>
          <w:marRight w:val="0"/>
          <w:marTop w:val="0"/>
          <w:marBottom w:val="0"/>
          <w:divBdr>
            <w:top w:val="none" w:sz="0" w:space="0" w:color="auto"/>
            <w:left w:val="none" w:sz="0" w:space="0" w:color="auto"/>
            <w:bottom w:val="none" w:sz="0" w:space="0" w:color="auto"/>
            <w:right w:val="none" w:sz="0" w:space="0" w:color="auto"/>
          </w:divBdr>
        </w:div>
        <w:div w:id="1762992785">
          <w:marLeft w:val="1166"/>
          <w:marRight w:val="0"/>
          <w:marTop w:val="0"/>
          <w:marBottom w:val="0"/>
          <w:divBdr>
            <w:top w:val="none" w:sz="0" w:space="0" w:color="auto"/>
            <w:left w:val="none" w:sz="0" w:space="0" w:color="auto"/>
            <w:bottom w:val="none" w:sz="0" w:space="0" w:color="auto"/>
            <w:right w:val="none" w:sz="0" w:space="0" w:color="auto"/>
          </w:divBdr>
        </w:div>
        <w:div w:id="1842040536">
          <w:marLeft w:val="1166"/>
          <w:marRight w:val="0"/>
          <w:marTop w:val="0"/>
          <w:marBottom w:val="0"/>
          <w:divBdr>
            <w:top w:val="none" w:sz="0" w:space="0" w:color="auto"/>
            <w:left w:val="none" w:sz="0" w:space="0" w:color="auto"/>
            <w:bottom w:val="none" w:sz="0" w:space="0" w:color="auto"/>
            <w:right w:val="none" w:sz="0" w:space="0" w:color="auto"/>
          </w:divBdr>
        </w:div>
        <w:div w:id="77792882">
          <w:marLeft w:val="1166"/>
          <w:marRight w:val="0"/>
          <w:marTop w:val="0"/>
          <w:marBottom w:val="0"/>
          <w:divBdr>
            <w:top w:val="none" w:sz="0" w:space="0" w:color="auto"/>
            <w:left w:val="none" w:sz="0" w:space="0" w:color="auto"/>
            <w:bottom w:val="none" w:sz="0" w:space="0" w:color="auto"/>
            <w:right w:val="none" w:sz="0" w:space="0" w:color="auto"/>
          </w:divBdr>
        </w:div>
        <w:div w:id="1022778083">
          <w:marLeft w:val="1166"/>
          <w:marRight w:val="0"/>
          <w:marTop w:val="0"/>
          <w:marBottom w:val="0"/>
          <w:divBdr>
            <w:top w:val="none" w:sz="0" w:space="0" w:color="auto"/>
            <w:left w:val="none" w:sz="0" w:space="0" w:color="auto"/>
            <w:bottom w:val="none" w:sz="0" w:space="0" w:color="auto"/>
            <w:right w:val="none" w:sz="0" w:space="0" w:color="auto"/>
          </w:divBdr>
        </w:div>
        <w:div w:id="1641688450">
          <w:marLeft w:val="547"/>
          <w:marRight w:val="0"/>
          <w:marTop w:val="0"/>
          <w:marBottom w:val="0"/>
          <w:divBdr>
            <w:top w:val="none" w:sz="0" w:space="0" w:color="auto"/>
            <w:left w:val="none" w:sz="0" w:space="0" w:color="auto"/>
            <w:bottom w:val="none" w:sz="0" w:space="0" w:color="auto"/>
            <w:right w:val="none" w:sz="0" w:space="0" w:color="auto"/>
          </w:divBdr>
        </w:div>
        <w:div w:id="229850606">
          <w:marLeft w:val="1166"/>
          <w:marRight w:val="0"/>
          <w:marTop w:val="0"/>
          <w:marBottom w:val="0"/>
          <w:divBdr>
            <w:top w:val="none" w:sz="0" w:space="0" w:color="auto"/>
            <w:left w:val="none" w:sz="0" w:space="0" w:color="auto"/>
            <w:bottom w:val="none" w:sz="0" w:space="0" w:color="auto"/>
            <w:right w:val="none" w:sz="0" w:space="0" w:color="auto"/>
          </w:divBdr>
        </w:div>
        <w:div w:id="1747922332">
          <w:marLeft w:val="1166"/>
          <w:marRight w:val="0"/>
          <w:marTop w:val="0"/>
          <w:marBottom w:val="0"/>
          <w:divBdr>
            <w:top w:val="none" w:sz="0" w:space="0" w:color="auto"/>
            <w:left w:val="none" w:sz="0" w:space="0" w:color="auto"/>
            <w:bottom w:val="none" w:sz="0" w:space="0" w:color="auto"/>
            <w:right w:val="none" w:sz="0" w:space="0" w:color="auto"/>
          </w:divBdr>
        </w:div>
        <w:div w:id="844518384">
          <w:marLeft w:val="1166"/>
          <w:marRight w:val="0"/>
          <w:marTop w:val="0"/>
          <w:marBottom w:val="0"/>
          <w:divBdr>
            <w:top w:val="none" w:sz="0" w:space="0" w:color="auto"/>
            <w:left w:val="none" w:sz="0" w:space="0" w:color="auto"/>
            <w:bottom w:val="none" w:sz="0" w:space="0" w:color="auto"/>
            <w:right w:val="none" w:sz="0" w:space="0" w:color="auto"/>
          </w:divBdr>
        </w:div>
        <w:div w:id="960842623">
          <w:marLeft w:val="1166"/>
          <w:marRight w:val="0"/>
          <w:marTop w:val="0"/>
          <w:marBottom w:val="0"/>
          <w:divBdr>
            <w:top w:val="none" w:sz="0" w:space="0" w:color="auto"/>
            <w:left w:val="none" w:sz="0" w:space="0" w:color="auto"/>
            <w:bottom w:val="none" w:sz="0" w:space="0" w:color="auto"/>
            <w:right w:val="none" w:sz="0" w:space="0" w:color="auto"/>
          </w:divBdr>
        </w:div>
        <w:div w:id="1569340851">
          <w:marLeft w:val="547"/>
          <w:marRight w:val="0"/>
          <w:marTop w:val="0"/>
          <w:marBottom w:val="0"/>
          <w:divBdr>
            <w:top w:val="none" w:sz="0" w:space="0" w:color="auto"/>
            <w:left w:val="none" w:sz="0" w:space="0" w:color="auto"/>
            <w:bottom w:val="none" w:sz="0" w:space="0" w:color="auto"/>
            <w:right w:val="none" w:sz="0" w:space="0" w:color="auto"/>
          </w:divBdr>
        </w:div>
        <w:div w:id="56438258">
          <w:marLeft w:val="1166"/>
          <w:marRight w:val="0"/>
          <w:marTop w:val="0"/>
          <w:marBottom w:val="0"/>
          <w:divBdr>
            <w:top w:val="none" w:sz="0" w:space="0" w:color="auto"/>
            <w:left w:val="none" w:sz="0" w:space="0" w:color="auto"/>
            <w:bottom w:val="none" w:sz="0" w:space="0" w:color="auto"/>
            <w:right w:val="none" w:sz="0" w:space="0" w:color="auto"/>
          </w:divBdr>
        </w:div>
        <w:div w:id="813178127">
          <w:marLeft w:val="1166"/>
          <w:marRight w:val="0"/>
          <w:marTop w:val="0"/>
          <w:marBottom w:val="0"/>
          <w:divBdr>
            <w:top w:val="none" w:sz="0" w:space="0" w:color="auto"/>
            <w:left w:val="none" w:sz="0" w:space="0" w:color="auto"/>
            <w:bottom w:val="none" w:sz="0" w:space="0" w:color="auto"/>
            <w:right w:val="none" w:sz="0" w:space="0" w:color="auto"/>
          </w:divBdr>
        </w:div>
        <w:div w:id="2098675277">
          <w:marLeft w:val="1166"/>
          <w:marRight w:val="0"/>
          <w:marTop w:val="0"/>
          <w:marBottom w:val="0"/>
          <w:divBdr>
            <w:top w:val="none" w:sz="0" w:space="0" w:color="auto"/>
            <w:left w:val="none" w:sz="0" w:space="0" w:color="auto"/>
            <w:bottom w:val="none" w:sz="0" w:space="0" w:color="auto"/>
            <w:right w:val="none" w:sz="0" w:space="0" w:color="auto"/>
          </w:divBdr>
        </w:div>
        <w:div w:id="1491483765">
          <w:marLeft w:val="547"/>
          <w:marRight w:val="0"/>
          <w:marTop w:val="0"/>
          <w:marBottom w:val="0"/>
          <w:divBdr>
            <w:top w:val="none" w:sz="0" w:space="0" w:color="auto"/>
            <w:left w:val="none" w:sz="0" w:space="0" w:color="auto"/>
            <w:bottom w:val="none" w:sz="0" w:space="0" w:color="auto"/>
            <w:right w:val="none" w:sz="0" w:space="0" w:color="auto"/>
          </w:divBdr>
        </w:div>
        <w:div w:id="212233933">
          <w:marLeft w:val="1166"/>
          <w:marRight w:val="0"/>
          <w:marTop w:val="0"/>
          <w:marBottom w:val="0"/>
          <w:divBdr>
            <w:top w:val="none" w:sz="0" w:space="0" w:color="auto"/>
            <w:left w:val="none" w:sz="0" w:space="0" w:color="auto"/>
            <w:bottom w:val="none" w:sz="0" w:space="0" w:color="auto"/>
            <w:right w:val="none" w:sz="0" w:space="0" w:color="auto"/>
          </w:divBdr>
        </w:div>
        <w:div w:id="701707322">
          <w:marLeft w:val="1166"/>
          <w:marRight w:val="0"/>
          <w:marTop w:val="0"/>
          <w:marBottom w:val="0"/>
          <w:divBdr>
            <w:top w:val="none" w:sz="0" w:space="0" w:color="auto"/>
            <w:left w:val="none" w:sz="0" w:space="0" w:color="auto"/>
            <w:bottom w:val="none" w:sz="0" w:space="0" w:color="auto"/>
            <w:right w:val="none" w:sz="0" w:space="0" w:color="auto"/>
          </w:divBdr>
        </w:div>
        <w:div w:id="1335692745">
          <w:marLeft w:val="1166"/>
          <w:marRight w:val="0"/>
          <w:marTop w:val="0"/>
          <w:marBottom w:val="0"/>
          <w:divBdr>
            <w:top w:val="none" w:sz="0" w:space="0" w:color="auto"/>
            <w:left w:val="none" w:sz="0" w:space="0" w:color="auto"/>
            <w:bottom w:val="none" w:sz="0" w:space="0" w:color="auto"/>
            <w:right w:val="none" w:sz="0" w:space="0" w:color="auto"/>
          </w:divBdr>
        </w:div>
        <w:div w:id="410857208">
          <w:marLeft w:val="1166"/>
          <w:marRight w:val="0"/>
          <w:marTop w:val="0"/>
          <w:marBottom w:val="0"/>
          <w:divBdr>
            <w:top w:val="none" w:sz="0" w:space="0" w:color="auto"/>
            <w:left w:val="none" w:sz="0" w:space="0" w:color="auto"/>
            <w:bottom w:val="none" w:sz="0" w:space="0" w:color="auto"/>
            <w:right w:val="none" w:sz="0" w:space="0" w:color="auto"/>
          </w:divBdr>
        </w:div>
        <w:div w:id="1583905145">
          <w:marLeft w:val="547"/>
          <w:marRight w:val="0"/>
          <w:marTop w:val="0"/>
          <w:marBottom w:val="0"/>
          <w:divBdr>
            <w:top w:val="none" w:sz="0" w:space="0" w:color="auto"/>
            <w:left w:val="none" w:sz="0" w:space="0" w:color="auto"/>
            <w:bottom w:val="none" w:sz="0" w:space="0" w:color="auto"/>
            <w:right w:val="none" w:sz="0" w:space="0" w:color="auto"/>
          </w:divBdr>
        </w:div>
        <w:div w:id="979189266">
          <w:marLeft w:val="1166"/>
          <w:marRight w:val="0"/>
          <w:marTop w:val="0"/>
          <w:marBottom w:val="0"/>
          <w:divBdr>
            <w:top w:val="none" w:sz="0" w:space="0" w:color="auto"/>
            <w:left w:val="none" w:sz="0" w:space="0" w:color="auto"/>
            <w:bottom w:val="none" w:sz="0" w:space="0" w:color="auto"/>
            <w:right w:val="none" w:sz="0" w:space="0" w:color="auto"/>
          </w:divBdr>
        </w:div>
        <w:div w:id="1787775610">
          <w:marLeft w:val="1166"/>
          <w:marRight w:val="0"/>
          <w:marTop w:val="0"/>
          <w:marBottom w:val="0"/>
          <w:divBdr>
            <w:top w:val="none" w:sz="0" w:space="0" w:color="auto"/>
            <w:left w:val="none" w:sz="0" w:space="0" w:color="auto"/>
            <w:bottom w:val="none" w:sz="0" w:space="0" w:color="auto"/>
            <w:right w:val="none" w:sz="0" w:space="0" w:color="auto"/>
          </w:divBdr>
        </w:div>
        <w:div w:id="31654317">
          <w:marLeft w:val="1166"/>
          <w:marRight w:val="0"/>
          <w:marTop w:val="0"/>
          <w:marBottom w:val="0"/>
          <w:divBdr>
            <w:top w:val="none" w:sz="0" w:space="0" w:color="auto"/>
            <w:left w:val="none" w:sz="0" w:space="0" w:color="auto"/>
            <w:bottom w:val="none" w:sz="0" w:space="0" w:color="auto"/>
            <w:right w:val="none" w:sz="0" w:space="0" w:color="auto"/>
          </w:divBdr>
        </w:div>
        <w:div w:id="1388189821">
          <w:marLeft w:val="1166"/>
          <w:marRight w:val="0"/>
          <w:marTop w:val="0"/>
          <w:marBottom w:val="0"/>
          <w:divBdr>
            <w:top w:val="none" w:sz="0" w:space="0" w:color="auto"/>
            <w:left w:val="none" w:sz="0" w:space="0" w:color="auto"/>
            <w:bottom w:val="none" w:sz="0" w:space="0" w:color="auto"/>
            <w:right w:val="none" w:sz="0" w:space="0" w:color="auto"/>
          </w:divBdr>
        </w:div>
        <w:div w:id="87778779">
          <w:marLeft w:val="1166"/>
          <w:marRight w:val="0"/>
          <w:marTop w:val="0"/>
          <w:marBottom w:val="0"/>
          <w:divBdr>
            <w:top w:val="none" w:sz="0" w:space="0" w:color="auto"/>
            <w:left w:val="none" w:sz="0" w:space="0" w:color="auto"/>
            <w:bottom w:val="none" w:sz="0" w:space="0" w:color="auto"/>
            <w:right w:val="none" w:sz="0" w:space="0" w:color="auto"/>
          </w:divBdr>
        </w:div>
        <w:div w:id="907302812">
          <w:marLeft w:val="547"/>
          <w:marRight w:val="0"/>
          <w:marTop w:val="0"/>
          <w:marBottom w:val="0"/>
          <w:divBdr>
            <w:top w:val="none" w:sz="0" w:space="0" w:color="auto"/>
            <w:left w:val="none" w:sz="0" w:space="0" w:color="auto"/>
            <w:bottom w:val="none" w:sz="0" w:space="0" w:color="auto"/>
            <w:right w:val="none" w:sz="0" w:space="0" w:color="auto"/>
          </w:divBdr>
        </w:div>
        <w:div w:id="1322461493">
          <w:marLeft w:val="1166"/>
          <w:marRight w:val="0"/>
          <w:marTop w:val="0"/>
          <w:marBottom w:val="0"/>
          <w:divBdr>
            <w:top w:val="none" w:sz="0" w:space="0" w:color="auto"/>
            <w:left w:val="none" w:sz="0" w:space="0" w:color="auto"/>
            <w:bottom w:val="none" w:sz="0" w:space="0" w:color="auto"/>
            <w:right w:val="none" w:sz="0" w:space="0" w:color="auto"/>
          </w:divBdr>
        </w:div>
        <w:div w:id="1704205943">
          <w:marLeft w:val="1166"/>
          <w:marRight w:val="0"/>
          <w:marTop w:val="0"/>
          <w:marBottom w:val="0"/>
          <w:divBdr>
            <w:top w:val="none" w:sz="0" w:space="0" w:color="auto"/>
            <w:left w:val="none" w:sz="0" w:space="0" w:color="auto"/>
            <w:bottom w:val="none" w:sz="0" w:space="0" w:color="auto"/>
            <w:right w:val="none" w:sz="0" w:space="0" w:color="auto"/>
          </w:divBdr>
        </w:div>
        <w:div w:id="674309860">
          <w:marLeft w:val="1166"/>
          <w:marRight w:val="0"/>
          <w:marTop w:val="0"/>
          <w:marBottom w:val="0"/>
          <w:divBdr>
            <w:top w:val="none" w:sz="0" w:space="0" w:color="auto"/>
            <w:left w:val="none" w:sz="0" w:space="0" w:color="auto"/>
            <w:bottom w:val="none" w:sz="0" w:space="0" w:color="auto"/>
            <w:right w:val="none" w:sz="0" w:space="0" w:color="auto"/>
          </w:divBdr>
        </w:div>
        <w:div w:id="1644508703">
          <w:marLeft w:val="1166"/>
          <w:marRight w:val="0"/>
          <w:marTop w:val="0"/>
          <w:marBottom w:val="0"/>
          <w:divBdr>
            <w:top w:val="none" w:sz="0" w:space="0" w:color="auto"/>
            <w:left w:val="none" w:sz="0" w:space="0" w:color="auto"/>
            <w:bottom w:val="none" w:sz="0" w:space="0" w:color="auto"/>
            <w:right w:val="none" w:sz="0" w:space="0" w:color="auto"/>
          </w:divBdr>
        </w:div>
        <w:div w:id="273485753">
          <w:marLeft w:val="1166"/>
          <w:marRight w:val="0"/>
          <w:marTop w:val="0"/>
          <w:marBottom w:val="0"/>
          <w:divBdr>
            <w:top w:val="none" w:sz="0" w:space="0" w:color="auto"/>
            <w:left w:val="none" w:sz="0" w:space="0" w:color="auto"/>
            <w:bottom w:val="none" w:sz="0" w:space="0" w:color="auto"/>
            <w:right w:val="none" w:sz="0" w:space="0" w:color="auto"/>
          </w:divBdr>
        </w:div>
        <w:div w:id="1677809094">
          <w:marLeft w:val="547"/>
          <w:marRight w:val="0"/>
          <w:marTop w:val="0"/>
          <w:marBottom w:val="0"/>
          <w:divBdr>
            <w:top w:val="none" w:sz="0" w:space="0" w:color="auto"/>
            <w:left w:val="none" w:sz="0" w:space="0" w:color="auto"/>
            <w:bottom w:val="none" w:sz="0" w:space="0" w:color="auto"/>
            <w:right w:val="none" w:sz="0" w:space="0" w:color="auto"/>
          </w:divBdr>
        </w:div>
        <w:div w:id="1071347197">
          <w:marLeft w:val="1166"/>
          <w:marRight w:val="0"/>
          <w:marTop w:val="0"/>
          <w:marBottom w:val="0"/>
          <w:divBdr>
            <w:top w:val="none" w:sz="0" w:space="0" w:color="auto"/>
            <w:left w:val="none" w:sz="0" w:space="0" w:color="auto"/>
            <w:bottom w:val="none" w:sz="0" w:space="0" w:color="auto"/>
            <w:right w:val="none" w:sz="0" w:space="0" w:color="auto"/>
          </w:divBdr>
        </w:div>
        <w:div w:id="1124230083">
          <w:marLeft w:val="1166"/>
          <w:marRight w:val="0"/>
          <w:marTop w:val="0"/>
          <w:marBottom w:val="0"/>
          <w:divBdr>
            <w:top w:val="none" w:sz="0" w:space="0" w:color="auto"/>
            <w:left w:val="none" w:sz="0" w:space="0" w:color="auto"/>
            <w:bottom w:val="none" w:sz="0" w:space="0" w:color="auto"/>
            <w:right w:val="none" w:sz="0" w:space="0" w:color="auto"/>
          </w:divBdr>
        </w:div>
        <w:div w:id="173762213">
          <w:marLeft w:val="1166"/>
          <w:marRight w:val="0"/>
          <w:marTop w:val="0"/>
          <w:marBottom w:val="0"/>
          <w:divBdr>
            <w:top w:val="none" w:sz="0" w:space="0" w:color="auto"/>
            <w:left w:val="none" w:sz="0" w:space="0" w:color="auto"/>
            <w:bottom w:val="none" w:sz="0" w:space="0" w:color="auto"/>
            <w:right w:val="none" w:sz="0" w:space="0" w:color="auto"/>
          </w:divBdr>
        </w:div>
        <w:div w:id="1552031643">
          <w:marLeft w:val="1166"/>
          <w:marRight w:val="0"/>
          <w:marTop w:val="0"/>
          <w:marBottom w:val="0"/>
          <w:divBdr>
            <w:top w:val="none" w:sz="0" w:space="0" w:color="auto"/>
            <w:left w:val="none" w:sz="0" w:space="0" w:color="auto"/>
            <w:bottom w:val="none" w:sz="0" w:space="0" w:color="auto"/>
            <w:right w:val="none" w:sz="0" w:space="0" w:color="auto"/>
          </w:divBdr>
        </w:div>
        <w:div w:id="2011987356">
          <w:marLeft w:val="547"/>
          <w:marRight w:val="0"/>
          <w:marTop w:val="0"/>
          <w:marBottom w:val="0"/>
          <w:divBdr>
            <w:top w:val="none" w:sz="0" w:space="0" w:color="auto"/>
            <w:left w:val="none" w:sz="0" w:space="0" w:color="auto"/>
            <w:bottom w:val="none" w:sz="0" w:space="0" w:color="auto"/>
            <w:right w:val="none" w:sz="0" w:space="0" w:color="auto"/>
          </w:divBdr>
        </w:div>
      </w:divsChild>
    </w:div>
    <w:div w:id="75905422">
      <w:bodyDiv w:val="1"/>
      <w:marLeft w:val="0"/>
      <w:marRight w:val="0"/>
      <w:marTop w:val="0"/>
      <w:marBottom w:val="0"/>
      <w:divBdr>
        <w:top w:val="none" w:sz="0" w:space="0" w:color="auto"/>
        <w:left w:val="none" w:sz="0" w:space="0" w:color="auto"/>
        <w:bottom w:val="none" w:sz="0" w:space="0" w:color="auto"/>
        <w:right w:val="none" w:sz="0" w:space="0" w:color="auto"/>
      </w:divBdr>
      <w:divsChild>
        <w:div w:id="370958780">
          <w:marLeft w:val="547"/>
          <w:marRight w:val="0"/>
          <w:marTop w:val="0"/>
          <w:marBottom w:val="0"/>
          <w:divBdr>
            <w:top w:val="none" w:sz="0" w:space="0" w:color="auto"/>
            <w:left w:val="none" w:sz="0" w:space="0" w:color="auto"/>
            <w:bottom w:val="none" w:sz="0" w:space="0" w:color="auto"/>
            <w:right w:val="none" w:sz="0" w:space="0" w:color="auto"/>
          </w:divBdr>
        </w:div>
      </w:divsChild>
    </w:div>
    <w:div w:id="81411076">
      <w:bodyDiv w:val="1"/>
      <w:marLeft w:val="0"/>
      <w:marRight w:val="0"/>
      <w:marTop w:val="0"/>
      <w:marBottom w:val="0"/>
      <w:divBdr>
        <w:top w:val="none" w:sz="0" w:space="0" w:color="auto"/>
        <w:left w:val="none" w:sz="0" w:space="0" w:color="auto"/>
        <w:bottom w:val="none" w:sz="0" w:space="0" w:color="auto"/>
        <w:right w:val="none" w:sz="0" w:space="0" w:color="auto"/>
      </w:divBdr>
      <w:divsChild>
        <w:div w:id="804464349">
          <w:marLeft w:val="547"/>
          <w:marRight w:val="0"/>
          <w:marTop w:val="0"/>
          <w:marBottom w:val="0"/>
          <w:divBdr>
            <w:top w:val="none" w:sz="0" w:space="0" w:color="auto"/>
            <w:left w:val="none" w:sz="0" w:space="0" w:color="auto"/>
            <w:bottom w:val="none" w:sz="0" w:space="0" w:color="auto"/>
            <w:right w:val="none" w:sz="0" w:space="0" w:color="auto"/>
          </w:divBdr>
        </w:div>
      </w:divsChild>
    </w:div>
    <w:div w:id="267811373">
      <w:bodyDiv w:val="1"/>
      <w:marLeft w:val="0"/>
      <w:marRight w:val="0"/>
      <w:marTop w:val="0"/>
      <w:marBottom w:val="0"/>
      <w:divBdr>
        <w:top w:val="none" w:sz="0" w:space="0" w:color="auto"/>
        <w:left w:val="none" w:sz="0" w:space="0" w:color="auto"/>
        <w:bottom w:val="none" w:sz="0" w:space="0" w:color="auto"/>
        <w:right w:val="none" w:sz="0" w:space="0" w:color="auto"/>
      </w:divBdr>
      <w:divsChild>
        <w:div w:id="1453863427">
          <w:marLeft w:val="547"/>
          <w:marRight w:val="0"/>
          <w:marTop w:val="0"/>
          <w:marBottom w:val="0"/>
          <w:divBdr>
            <w:top w:val="none" w:sz="0" w:space="0" w:color="auto"/>
            <w:left w:val="none" w:sz="0" w:space="0" w:color="auto"/>
            <w:bottom w:val="none" w:sz="0" w:space="0" w:color="auto"/>
            <w:right w:val="none" w:sz="0" w:space="0" w:color="auto"/>
          </w:divBdr>
        </w:div>
        <w:div w:id="749698320">
          <w:marLeft w:val="1166"/>
          <w:marRight w:val="0"/>
          <w:marTop w:val="0"/>
          <w:marBottom w:val="0"/>
          <w:divBdr>
            <w:top w:val="none" w:sz="0" w:space="0" w:color="auto"/>
            <w:left w:val="none" w:sz="0" w:space="0" w:color="auto"/>
            <w:bottom w:val="none" w:sz="0" w:space="0" w:color="auto"/>
            <w:right w:val="none" w:sz="0" w:space="0" w:color="auto"/>
          </w:divBdr>
        </w:div>
        <w:div w:id="792407967">
          <w:marLeft w:val="1166"/>
          <w:marRight w:val="0"/>
          <w:marTop w:val="0"/>
          <w:marBottom w:val="0"/>
          <w:divBdr>
            <w:top w:val="none" w:sz="0" w:space="0" w:color="auto"/>
            <w:left w:val="none" w:sz="0" w:space="0" w:color="auto"/>
            <w:bottom w:val="none" w:sz="0" w:space="0" w:color="auto"/>
            <w:right w:val="none" w:sz="0" w:space="0" w:color="auto"/>
          </w:divBdr>
        </w:div>
        <w:div w:id="1132409143">
          <w:marLeft w:val="1166"/>
          <w:marRight w:val="0"/>
          <w:marTop w:val="0"/>
          <w:marBottom w:val="0"/>
          <w:divBdr>
            <w:top w:val="none" w:sz="0" w:space="0" w:color="auto"/>
            <w:left w:val="none" w:sz="0" w:space="0" w:color="auto"/>
            <w:bottom w:val="none" w:sz="0" w:space="0" w:color="auto"/>
            <w:right w:val="none" w:sz="0" w:space="0" w:color="auto"/>
          </w:divBdr>
        </w:div>
      </w:divsChild>
    </w:div>
    <w:div w:id="743381332">
      <w:bodyDiv w:val="1"/>
      <w:marLeft w:val="0"/>
      <w:marRight w:val="0"/>
      <w:marTop w:val="0"/>
      <w:marBottom w:val="0"/>
      <w:divBdr>
        <w:top w:val="none" w:sz="0" w:space="0" w:color="auto"/>
        <w:left w:val="none" w:sz="0" w:space="0" w:color="auto"/>
        <w:bottom w:val="none" w:sz="0" w:space="0" w:color="auto"/>
        <w:right w:val="none" w:sz="0" w:space="0" w:color="auto"/>
      </w:divBdr>
      <w:divsChild>
        <w:div w:id="788399389">
          <w:marLeft w:val="0"/>
          <w:marRight w:val="0"/>
          <w:marTop w:val="0"/>
          <w:marBottom w:val="0"/>
          <w:divBdr>
            <w:top w:val="none" w:sz="0" w:space="0" w:color="auto"/>
            <w:left w:val="none" w:sz="0" w:space="0" w:color="auto"/>
            <w:bottom w:val="none" w:sz="0" w:space="0" w:color="auto"/>
            <w:right w:val="none" w:sz="0" w:space="0" w:color="auto"/>
          </w:divBdr>
          <w:divsChild>
            <w:div w:id="629628228">
              <w:marLeft w:val="0"/>
              <w:marRight w:val="0"/>
              <w:marTop w:val="0"/>
              <w:marBottom w:val="0"/>
              <w:divBdr>
                <w:top w:val="none" w:sz="0" w:space="0" w:color="auto"/>
                <w:left w:val="none" w:sz="0" w:space="0" w:color="auto"/>
                <w:bottom w:val="none" w:sz="0" w:space="0" w:color="auto"/>
                <w:right w:val="none" w:sz="0" w:space="0" w:color="auto"/>
              </w:divBdr>
              <w:divsChild>
                <w:div w:id="21385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sChild>
        <w:div w:id="550577464">
          <w:marLeft w:val="547"/>
          <w:marRight w:val="0"/>
          <w:marTop w:val="0"/>
          <w:marBottom w:val="0"/>
          <w:divBdr>
            <w:top w:val="none" w:sz="0" w:space="0" w:color="auto"/>
            <w:left w:val="none" w:sz="0" w:space="0" w:color="auto"/>
            <w:bottom w:val="none" w:sz="0" w:space="0" w:color="auto"/>
            <w:right w:val="none" w:sz="0" w:space="0" w:color="auto"/>
          </w:divBdr>
        </w:div>
      </w:divsChild>
    </w:div>
    <w:div w:id="1479418081">
      <w:bodyDiv w:val="1"/>
      <w:marLeft w:val="0"/>
      <w:marRight w:val="0"/>
      <w:marTop w:val="0"/>
      <w:marBottom w:val="0"/>
      <w:divBdr>
        <w:top w:val="none" w:sz="0" w:space="0" w:color="auto"/>
        <w:left w:val="none" w:sz="0" w:space="0" w:color="auto"/>
        <w:bottom w:val="none" w:sz="0" w:space="0" w:color="auto"/>
        <w:right w:val="none" w:sz="0" w:space="0" w:color="auto"/>
      </w:divBdr>
      <w:divsChild>
        <w:div w:id="293214942">
          <w:marLeft w:val="547"/>
          <w:marRight w:val="0"/>
          <w:marTop w:val="0"/>
          <w:marBottom w:val="0"/>
          <w:divBdr>
            <w:top w:val="none" w:sz="0" w:space="0" w:color="auto"/>
            <w:left w:val="none" w:sz="0" w:space="0" w:color="auto"/>
            <w:bottom w:val="none" w:sz="0" w:space="0" w:color="auto"/>
            <w:right w:val="none" w:sz="0" w:space="0" w:color="auto"/>
          </w:divBdr>
        </w:div>
      </w:divsChild>
    </w:div>
    <w:div w:id="1511797614">
      <w:bodyDiv w:val="1"/>
      <w:marLeft w:val="0"/>
      <w:marRight w:val="0"/>
      <w:marTop w:val="0"/>
      <w:marBottom w:val="0"/>
      <w:divBdr>
        <w:top w:val="none" w:sz="0" w:space="0" w:color="auto"/>
        <w:left w:val="none" w:sz="0" w:space="0" w:color="auto"/>
        <w:bottom w:val="none" w:sz="0" w:space="0" w:color="auto"/>
        <w:right w:val="none" w:sz="0" w:space="0" w:color="auto"/>
      </w:divBdr>
      <w:divsChild>
        <w:div w:id="119615137">
          <w:marLeft w:val="0"/>
          <w:marRight w:val="0"/>
          <w:marTop w:val="0"/>
          <w:marBottom w:val="0"/>
          <w:divBdr>
            <w:top w:val="none" w:sz="0" w:space="0" w:color="auto"/>
            <w:left w:val="none" w:sz="0" w:space="0" w:color="auto"/>
            <w:bottom w:val="none" w:sz="0" w:space="0" w:color="auto"/>
            <w:right w:val="none" w:sz="0" w:space="0" w:color="auto"/>
          </w:divBdr>
          <w:divsChild>
            <w:div w:id="1522276891">
              <w:marLeft w:val="0"/>
              <w:marRight w:val="0"/>
              <w:marTop w:val="0"/>
              <w:marBottom w:val="0"/>
              <w:divBdr>
                <w:top w:val="none" w:sz="0" w:space="0" w:color="auto"/>
                <w:left w:val="none" w:sz="0" w:space="0" w:color="auto"/>
                <w:bottom w:val="none" w:sz="0" w:space="0" w:color="auto"/>
                <w:right w:val="none" w:sz="0" w:space="0" w:color="auto"/>
              </w:divBdr>
              <w:divsChild>
                <w:div w:id="170617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106298">
      <w:bodyDiv w:val="1"/>
      <w:marLeft w:val="0"/>
      <w:marRight w:val="0"/>
      <w:marTop w:val="0"/>
      <w:marBottom w:val="0"/>
      <w:divBdr>
        <w:top w:val="none" w:sz="0" w:space="0" w:color="auto"/>
        <w:left w:val="none" w:sz="0" w:space="0" w:color="auto"/>
        <w:bottom w:val="none" w:sz="0" w:space="0" w:color="auto"/>
        <w:right w:val="none" w:sz="0" w:space="0" w:color="auto"/>
      </w:divBdr>
      <w:divsChild>
        <w:div w:id="87580491">
          <w:marLeft w:val="0"/>
          <w:marRight w:val="0"/>
          <w:marTop w:val="0"/>
          <w:marBottom w:val="0"/>
          <w:divBdr>
            <w:top w:val="none" w:sz="0" w:space="0" w:color="auto"/>
            <w:left w:val="none" w:sz="0" w:space="0" w:color="auto"/>
            <w:bottom w:val="none" w:sz="0" w:space="0" w:color="auto"/>
            <w:right w:val="none" w:sz="0" w:space="0" w:color="auto"/>
          </w:divBdr>
          <w:divsChild>
            <w:div w:id="335810631">
              <w:marLeft w:val="0"/>
              <w:marRight w:val="0"/>
              <w:marTop w:val="0"/>
              <w:marBottom w:val="0"/>
              <w:divBdr>
                <w:top w:val="none" w:sz="0" w:space="0" w:color="auto"/>
                <w:left w:val="none" w:sz="0" w:space="0" w:color="auto"/>
                <w:bottom w:val="none" w:sz="0" w:space="0" w:color="auto"/>
                <w:right w:val="none" w:sz="0" w:space="0" w:color="auto"/>
              </w:divBdr>
              <w:divsChild>
                <w:div w:id="352416246">
                  <w:marLeft w:val="0"/>
                  <w:marRight w:val="0"/>
                  <w:marTop w:val="0"/>
                  <w:marBottom w:val="0"/>
                  <w:divBdr>
                    <w:top w:val="none" w:sz="0" w:space="0" w:color="auto"/>
                    <w:left w:val="none" w:sz="0" w:space="0" w:color="auto"/>
                    <w:bottom w:val="none" w:sz="0" w:space="0" w:color="auto"/>
                    <w:right w:val="none" w:sz="0" w:space="0" w:color="auto"/>
                  </w:divBdr>
                  <w:divsChild>
                    <w:div w:id="106884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423799">
      <w:bodyDiv w:val="1"/>
      <w:marLeft w:val="0"/>
      <w:marRight w:val="0"/>
      <w:marTop w:val="0"/>
      <w:marBottom w:val="0"/>
      <w:divBdr>
        <w:top w:val="none" w:sz="0" w:space="0" w:color="auto"/>
        <w:left w:val="none" w:sz="0" w:space="0" w:color="auto"/>
        <w:bottom w:val="none" w:sz="0" w:space="0" w:color="auto"/>
        <w:right w:val="none" w:sz="0" w:space="0" w:color="auto"/>
      </w:divBdr>
      <w:divsChild>
        <w:div w:id="2071420639">
          <w:marLeft w:val="547"/>
          <w:marRight w:val="0"/>
          <w:marTop w:val="0"/>
          <w:marBottom w:val="0"/>
          <w:divBdr>
            <w:top w:val="none" w:sz="0" w:space="0" w:color="auto"/>
            <w:left w:val="none" w:sz="0" w:space="0" w:color="auto"/>
            <w:bottom w:val="none" w:sz="0" w:space="0" w:color="auto"/>
            <w:right w:val="none" w:sz="0" w:space="0" w:color="auto"/>
          </w:divBdr>
        </w:div>
        <w:div w:id="1893494394">
          <w:marLeft w:val="1166"/>
          <w:marRight w:val="0"/>
          <w:marTop w:val="0"/>
          <w:marBottom w:val="0"/>
          <w:divBdr>
            <w:top w:val="none" w:sz="0" w:space="0" w:color="auto"/>
            <w:left w:val="none" w:sz="0" w:space="0" w:color="auto"/>
            <w:bottom w:val="none" w:sz="0" w:space="0" w:color="auto"/>
            <w:right w:val="none" w:sz="0" w:space="0" w:color="auto"/>
          </w:divBdr>
        </w:div>
        <w:div w:id="466896090">
          <w:marLeft w:val="1166"/>
          <w:marRight w:val="0"/>
          <w:marTop w:val="0"/>
          <w:marBottom w:val="0"/>
          <w:divBdr>
            <w:top w:val="none" w:sz="0" w:space="0" w:color="auto"/>
            <w:left w:val="none" w:sz="0" w:space="0" w:color="auto"/>
            <w:bottom w:val="none" w:sz="0" w:space="0" w:color="auto"/>
            <w:right w:val="none" w:sz="0" w:space="0" w:color="auto"/>
          </w:divBdr>
        </w:div>
        <w:div w:id="1761171866">
          <w:marLeft w:val="1166"/>
          <w:marRight w:val="0"/>
          <w:marTop w:val="0"/>
          <w:marBottom w:val="0"/>
          <w:divBdr>
            <w:top w:val="none" w:sz="0" w:space="0" w:color="auto"/>
            <w:left w:val="none" w:sz="0" w:space="0" w:color="auto"/>
            <w:bottom w:val="none" w:sz="0" w:space="0" w:color="auto"/>
            <w:right w:val="none" w:sz="0" w:space="0" w:color="auto"/>
          </w:divBdr>
        </w:div>
        <w:div w:id="632708656">
          <w:marLeft w:val="1166"/>
          <w:marRight w:val="0"/>
          <w:marTop w:val="0"/>
          <w:marBottom w:val="0"/>
          <w:divBdr>
            <w:top w:val="none" w:sz="0" w:space="0" w:color="auto"/>
            <w:left w:val="none" w:sz="0" w:space="0" w:color="auto"/>
            <w:bottom w:val="none" w:sz="0" w:space="0" w:color="auto"/>
            <w:right w:val="none" w:sz="0" w:space="0" w:color="auto"/>
          </w:divBdr>
        </w:div>
        <w:div w:id="1072585339">
          <w:marLeft w:val="547"/>
          <w:marRight w:val="0"/>
          <w:marTop w:val="0"/>
          <w:marBottom w:val="0"/>
          <w:divBdr>
            <w:top w:val="none" w:sz="0" w:space="0" w:color="auto"/>
            <w:left w:val="none" w:sz="0" w:space="0" w:color="auto"/>
            <w:bottom w:val="none" w:sz="0" w:space="0" w:color="auto"/>
            <w:right w:val="none" w:sz="0" w:space="0" w:color="auto"/>
          </w:divBdr>
        </w:div>
        <w:div w:id="1456675234">
          <w:marLeft w:val="1166"/>
          <w:marRight w:val="0"/>
          <w:marTop w:val="0"/>
          <w:marBottom w:val="0"/>
          <w:divBdr>
            <w:top w:val="none" w:sz="0" w:space="0" w:color="auto"/>
            <w:left w:val="none" w:sz="0" w:space="0" w:color="auto"/>
            <w:bottom w:val="none" w:sz="0" w:space="0" w:color="auto"/>
            <w:right w:val="none" w:sz="0" w:space="0" w:color="auto"/>
          </w:divBdr>
        </w:div>
        <w:div w:id="1143349136">
          <w:marLeft w:val="1166"/>
          <w:marRight w:val="0"/>
          <w:marTop w:val="0"/>
          <w:marBottom w:val="0"/>
          <w:divBdr>
            <w:top w:val="none" w:sz="0" w:space="0" w:color="auto"/>
            <w:left w:val="none" w:sz="0" w:space="0" w:color="auto"/>
            <w:bottom w:val="none" w:sz="0" w:space="0" w:color="auto"/>
            <w:right w:val="none" w:sz="0" w:space="0" w:color="auto"/>
          </w:divBdr>
        </w:div>
      </w:divsChild>
    </w:div>
    <w:div w:id="1866675369">
      <w:bodyDiv w:val="1"/>
      <w:marLeft w:val="0"/>
      <w:marRight w:val="0"/>
      <w:marTop w:val="0"/>
      <w:marBottom w:val="0"/>
      <w:divBdr>
        <w:top w:val="none" w:sz="0" w:space="0" w:color="auto"/>
        <w:left w:val="none" w:sz="0" w:space="0" w:color="auto"/>
        <w:bottom w:val="none" w:sz="0" w:space="0" w:color="auto"/>
        <w:right w:val="none" w:sz="0" w:space="0" w:color="auto"/>
      </w:divBdr>
      <w:divsChild>
        <w:div w:id="412628959">
          <w:marLeft w:val="0"/>
          <w:marRight w:val="0"/>
          <w:marTop w:val="0"/>
          <w:marBottom w:val="0"/>
          <w:divBdr>
            <w:top w:val="none" w:sz="0" w:space="0" w:color="auto"/>
            <w:left w:val="none" w:sz="0" w:space="0" w:color="auto"/>
            <w:bottom w:val="none" w:sz="0" w:space="0" w:color="auto"/>
            <w:right w:val="none" w:sz="0" w:space="0" w:color="auto"/>
          </w:divBdr>
          <w:divsChild>
            <w:div w:id="1688676182">
              <w:marLeft w:val="0"/>
              <w:marRight w:val="0"/>
              <w:marTop w:val="0"/>
              <w:marBottom w:val="0"/>
              <w:divBdr>
                <w:top w:val="none" w:sz="0" w:space="0" w:color="auto"/>
                <w:left w:val="none" w:sz="0" w:space="0" w:color="auto"/>
                <w:bottom w:val="none" w:sz="0" w:space="0" w:color="auto"/>
                <w:right w:val="none" w:sz="0" w:space="0" w:color="auto"/>
              </w:divBdr>
              <w:divsChild>
                <w:div w:id="1749764207">
                  <w:marLeft w:val="0"/>
                  <w:marRight w:val="0"/>
                  <w:marTop w:val="0"/>
                  <w:marBottom w:val="0"/>
                  <w:divBdr>
                    <w:top w:val="none" w:sz="0" w:space="0" w:color="auto"/>
                    <w:left w:val="none" w:sz="0" w:space="0" w:color="auto"/>
                    <w:bottom w:val="none" w:sz="0" w:space="0" w:color="auto"/>
                    <w:right w:val="none" w:sz="0" w:space="0" w:color="auto"/>
                  </w:divBdr>
                  <w:divsChild>
                    <w:div w:id="142137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684675">
      <w:bodyDiv w:val="1"/>
      <w:marLeft w:val="0"/>
      <w:marRight w:val="0"/>
      <w:marTop w:val="0"/>
      <w:marBottom w:val="0"/>
      <w:divBdr>
        <w:top w:val="none" w:sz="0" w:space="0" w:color="auto"/>
        <w:left w:val="none" w:sz="0" w:space="0" w:color="auto"/>
        <w:bottom w:val="none" w:sz="0" w:space="0" w:color="auto"/>
        <w:right w:val="none" w:sz="0" w:space="0" w:color="auto"/>
      </w:divBdr>
      <w:divsChild>
        <w:div w:id="931932533">
          <w:marLeft w:val="547"/>
          <w:marRight w:val="0"/>
          <w:marTop w:val="0"/>
          <w:marBottom w:val="0"/>
          <w:divBdr>
            <w:top w:val="none" w:sz="0" w:space="0" w:color="auto"/>
            <w:left w:val="none" w:sz="0" w:space="0" w:color="auto"/>
            <w:bottom w:val="none" w:sz="0" w:space="0" w:color="auto"/>
            <w:right w:val="none" w:sz="0" w:space="0" w:color="auto"/>
          </w:divBdr>
        </w:div>
      </w:divsChild>
    </w:div>
    <w:div w:id="2078505278">
      <w:bodyDiv w:val="1"/>
      <w:marLeft w:val="0"/>
      <w:marRight w:val="0"/>
      <w:marTop w:val="0"/>
      <w:marBottom w:val="0"/>
      <w:divBdr>
        <w:top w:val="none" w:sz="0" w:space="0" w:color="auto"/>
        <w:left w:val="none" w:sz="0" w:space="0" w:color="auto"/>
        <w:bottom w:val="none" w:sz="0" w:space="0" w:color="auto"/>
        <w:right w:val="none" w:sz="0" w:space="0" w:color="auto"/>
      </w:divBdr>
      <w:divsChild>
        <w:div w:id="120611718">
          <w:marLeft w:val="547"/>
          <w:marRight w:val="0"/>
          <w:marTop w:val="0"/>
          <w:marBottom w:val="0"/>
          <w:divBdr>
            <w:top w:val="none" w:sz="0" w:space="0" w:color="auto"/>
            <w:left w:val="none" w:sz="0" w:space="0" w:color="auto"/>
            <w:bottom w:val="none" w:sz="0" w:space="0" w:color="auto"/>
            <w:right w:val="none" w:sz="0" w:space="0" w:color="auto"/>
          </w:divBdr>
        </w:div>
        <w:div w:id="45570209">
          <w:marLeft w:val="1166"/>
          <w:marRight w:val="0"/>
          <w:marTop w:val="0"/>
          <w:marBottom w:val="0"/>
          <w:divBdr>
            <w:top w:val="none" w:sz="0" w:space="0" w:color="auto"/>
            <w:left w:val="none" w:sz="0" w:space="0" w:color="auto"/>
            <w:bottom w:val="none" w:sz="0" w:space="0" w:color="auto"/>
            <w:right w:val="none" w:sz="0" w:space="0" w:color="auto"/>
          </w:divBdr>
        </w:div>
        <w:div w:id="1480616417">
          <w:marLeft w:val="1166"/>
          <w:marRight w:val="0"/>
          <w:marTop w:val="0"/>
          <w:marBottom w:val="0"/>
          <w:divBdr>
            <w:top w:val="none" w:sz="0" w:space="0" w:color="auto"/>
            <w:left w:val="none" w:sz="0" w:space="0" w:color="auto"/>
            <w:bottom w:val="none" w:sz="0" w:space="0" w:color="auto"/>
            <w:right w:val="none" w:sz="0" w:space="0" w:color="auto"/>
          </w:divBdr>
        </w:div>
        <w:div w:id="1130440509">
          <w:marLeft w:val="1166"/>
          <w:marRight w:val="0"/>
          <w:marTop w:val="0"/>
          <w:marBottom w:val="0"/>
          <w:divBdr>
            <w:top w:val="none" w:sz="0" w:space="0" w:color="auto"/>
            <w:left w:val="none" w:sz="0" w:space="0" w:color="auto"/>
            <w:bottom w:val="none" w:sz="0" w:space="0" w:color="auto"/>
            <w:right w:val="none" w:sz="0" w:space="0" w:color="auto"/>
          </w:divBdr>
        </w:div>
        <w:div w:id="286468796">
          <w:marLeft w:val="1166"/>
          <w:marRight w:val="0"/>
          <w:marTop w:val="0"/>
          <w:marBottom w:val="0"/>
          <w:divBdr>
            <w:top w:val="none" w:sz="0" w:space="0" w:color="auto"/>
            <w:left w:val="none" w:sz="0" w:space="0" w:color="auto"/>
            <w:bottom w:val="none" w:sz="0" w:space="0" w:color="auto"/>
            <w:right w:val="none" w:sz="0" w:space="0" w:color="auto"/>
          </w:divBdr>
        </w:div>
        <w:div w:id="122846287">
          <w:marLeft w:val="1166"/>
          <w:marRight w:val="0"/>
          <w:marTop w:val="0"/>
          <w:marBottom w:val="0"/>
          <w:divBdr>
            <w:top w:val="none" w:sz="0" w:space="0" w:color="auto"/>
            <w:left w:val="none" w:sz="0" w:space="0" w:color="auto"/>
            <w:bottom w:val="none" w:sz="0" w:space="0" w:color="auto"/>
            <w:right w:val="none" w:sz="0" w:space="0" w:color="auto"/>
          </w:divBdr>
        </w:div>
        <w:div w:id="300497425">
          <w:marLeft w:val="1166"/>
          <w:marRight w:val="0"/>
          <w:marTop w:val="0"/>
          <w:marBottom w:val="0"/>
          <w:divBdr>
            <w:top w:val="none" w:sz="0" w:space="0" w:color="auto"/>
            <w:left w:val="none" w:sz="0" w:space="0" w:color="auto"/>
            <w:bottom w:val="none" w:sz="0" w:space="0" w:color="auto"/>
            <w:right w:val="none" w:sz="0" w:space="0" w:color="auto"/>
          </w:divBdr>
        </w:div>
        <w:div w:id="2124759396">
          <w:marLeft w:val="1166"/>
          <w:marRight w:val="0"/>
          <w:marTop w:val="0"/>
          <w:marBottom w:val="0"/>
          <w:divBdr>
            <w:top w:val="none" w:sz="0" w:space="0" w:color="auto"/>
            <w:left w:val="none" w:sz="0" w:space="0" w:color="auto"/>
            <w:bottom w:val="none" w:sz="0" w:space="0" w:color="auto"/>
            <w:right w:val="none" w:sz="0" w:space="0" w:color="auto"/>
          </w:divBdr>
        </w:div>
        <w:div w:id="444353505">
          <w:marLeft w:val="1166"/>
          <w:marRight w:val="0"/>
          <w:marTop w:val="0"/>
          <w:marBottom w:val="0"/>
          <w:divBdr>
            <w:top w:val="none" w:sz="0" w:space="0" w:color="auto"/>
            <w:left w:val="none" w:sz="0" w:space="0" w:color="auto"/>
            <w:bottom w:val="none" w:sz="0" w:space="0" w:color="auto"/>
            <w:right w:val="none" w:sz="0" w:space="0" w:color="auto"/>
          </w:divBdr>
        </w:div>
        <w:div w:id="1615096960">
          <w:marLeft w:val="1166"/>
          <w:marRight w:val="0"/>
          <w:marTop w:val="0"/>
          <w:marBottom w:val="0"/>
          <w:divBdr>
            <w:top w:val="none" w:sz="0" w:space="0" w:color="auto"/>
            <w:left w:val="none" w:sz="0" w:space="0" w:color="auto"/>
            <w:bottom w:val="none" w:sz="0" w:space="0" w:color="auto"/>
            <w:right w:val="none" w:sz="0" w:space="0" w:color="auto"/>
          </w:divBdr>
        </w:div>
        <w:div w:id="1819809881">
          <w:marLeft w:val="1166"/>
          <w:marRight w:val="0"/>
          <w:marTop w:val="0"/>
          <w:marBottom w:val="0"/>
          <w:divBdr>
            <w:top w:val="none" w:sz="0" w:space="0" w:color="auto"/>
            <w:left w:val="none" w:sz="0" w:space="0" w:color="auto"/>
            <w:bottom w:val="none" w:sz="0" w:space="0" w:color="auto"/>
            <w:right w:val="none" w:sz="0" w:space="0" w:color="auto"/>
          </w:divBdr>
        </w:div>
        <w:div w:id="162160360">
          <w:marLeft w:val="1166"/>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17.xml"/><Relationship Id="rId299" Type="http://schemas.openxmlformats.org/officeDocument/2006/relationships/diagramQuickStyle" Target="diagrams/quickStyle44.xml"/><Relationship Id="rId21" Type="http://schemas.openxmlformats.org/officeDocument/2006/relationships/diagramQuickStyle" Target="diagrams/quickStyle2.xml"/><Relationship Id="rId63" Type="http://schemas.openxmlformats.org/officeDocument/2006/relationships/footer" Target="footer6.xml"/><Relationship Id="rId159" Type="http://schemas.microsoft.com/office/2007/relationships/diagramDrawing" Target="diagrams/drawing25.xml"/><Relationship Id="rId170" Type="http://schemas.openxmlformats.org/officeDocument/2006/relationships/diagramData" Target="diagrams/data28.xml"/><Relationship Id="rId226" Type="http://schemas.openxmlformats.org/officeDocument/2006/relationships/image" Target="media/image43.png"/><Relationship Id="rId268" Type="http://schemas.openxmlformats.org/officeDocument/2006/relationships/diagramLayout" Target="diagrams/layout38.xml"/><Relationship Id="rId32" Type="http://schemas.openxmlformats.org/officeDocument/2006/relationships/diagramData" Target="diagrams/data4.xml"/><Relationship Id="rId74" Type="http://schemas.openxmlformats.org/officeDocument/2006/relationships/chart" Target="charts/chart1.xml"/><Relationship Id="rId128" Type="http://schemas.microsoft.com/office/2007/relationships/diagramDrawing" Target="diagrams/drawing19.xml"/><Relationship Id="rId5" Type="http://schemas.openxmlformats.org/officeDocument/2006/relationships/webSettings" Target="webSettings.xml"/><Relationship Id="rId181" Type="http://schemas.openxmlformats.org/officeDocument/2006/relationships/diagramLayout" Target="diagrams/layout30.xml"/><Relationship Id="rId237" Type="http://schemas.openxmlformats.org/officeDocument/2006/relationships/diagramLayout" Target="diagrams/layout32.xml"/><Relationship Id="rId279" Type="http://schemas.openxmlformats.org/officeDocument/2006/relationships/diagramQuickStyle" Target="diagrams/quickStyle40.xml"/><Relationship Id="rId43" Type="http://schemas.openxmlformats.org/officeDocument/2006/relationships/diagramLayout" Target="diagrams/layout6.xml"/><Relationship Id="rId139" Type="http://schemas.openxmlformats.org/officeDocument/2006/relationships/diagramData" Target="diagrams/data22.xml"/><Relationship Id="rId290" Type="http://schemas.openxmlformats.org/officeDocument/2006/relationships/diagramColors" Target="diagrams/colors42.xml"/><Relationship Id="rId304" Type="http://schemas.openxmlformats.org/officeDocument/2006/relationships/diagramQuickStyle" Target="diagrams/quickStyle45.xml"/><Relationship Id="rId85" Type="http://schemas.openxmlformats.org/officeDocument/2006/relationships/diagramData" Target="diagrams/data14.xml"/><Relationship Id="rId150" Type="http://schemas.openxmlformats.org/officeDocument/2006/relationships/diagramData" Target="diagrams/data24.xml"/><Relationship Id="rId192" Type="http://schemas.openxmlformats.org/officeDocument/2006/relationships/diagramQuickStyle" Target="diagrams/quickStyle31.xml"/><Relationship Id="rId206" Type="http://schemas.openxmlformats.org/officeDocument/2006/relationships/image" Target="media/image23.png"/><Relationship Id="rId248" Type="http://schemas.openxmlformats.org/officeDocument/2006/relationships/diagramQuickStyle" Target="diagrams/quickStyle34.xml"/><Relationship Id="rId12" Type="http://schemas.openxmlformats.org/officeDocument/2006/relationships/footer" Target="footer3.xml"/><Relationship Id="rId108" Type="http://schemas.microsoft.com/office/2007/relationships/diagramDrawing" Target="diagrams/drawing16.xml"/><Relationship Id="rId54" Type="http://schemas.openxmlformats.org/officeDocument/2006/relationships/diagramQuickStyle" Target="diagrams/quickStyle8.xml"/><Relationship Id="rId96" Type="http://schemas.openxmlformats.org/officeDocument/2006/relationships/image" Target="media/image8.png"/><Relationship Id="rId161" Type="http://schemas.openxmlformats.org/officeDocument/2006/relationships/diagramLayout" Target="diagrams/layout26.xml"/><Relationship Id="rId217" Type="http://schemas.openxmlformats.org/officeDocument/2006/relationships/image" Target="media/image34.png"/><Relationship Id="rId259" Type="http://schemas.openxmlformats.org/officeDocument/2006/relationships/diagramColors" Target="diagrams/colors36.xml"/><Relationship Id="rId23" Type="http://schemas.microsoft.com/office/2007/relationships/diagramDrawing" Target="diagrams/drawing2.xml"/><Relationship Id="rId119" Type="http://schemas.openxmlformats.org/officeDocument/2006/relationships/diagramData" Target="diagrams/data18.xml"/><Relationship Id="rId270" Type="http://schemas.openxmlformats.org/officeDocument/2006/relationships/diagramColors" Target="diagrams/colors38.xml"/><Relationship Id="rId44" Type="http://schemas.openxmlformats.org/officeDocument/2006/relationships/diagramQuickStyle" Target="diagrams/quickStyle6.xml"/><Relationship Id="rId65" Type="http://schemas.openxmlformats.org/officeDocument/2006/relationships/diagramLayout" Target="diagrams/layout10.xml"/><Relationship Id="rId86" Type="http://schemas.openxmlformats.org/officeDocument/2006/relationships/diagramLayout" Target="diagrams/layout14.xml"/><Relationship Id="rId130" Type="http://schemas.openxmlformats.org/officeDocument/2006/relationships/diagramLayout" Target="diagrams/layout20.xml"/><Relationship Id="rId151" Type="http://schemas.openxmlformats.org/officeDocument/2006/relationships/diagramLayout" Target="diagrams/layout24.xml"/><Relationship Id="rId172" Type="http://schemas.openxmlformats.org/officeDocument/2006/relationships/diagramQuickStyle" Target="diagrams/quickStyle28.xml"/><Relationship Id="rId193" Type="http://schemas.openxmlformats.org/officeDocument/2006/relationships/diagramColors" Target="diagrams/colors31.xml"/><Relationship Id="rId207" Type="http://schemas.openxmlformats.org/officeDocument/2006/relationships/image" Target="media/image24.png"/><Relationship Id="rId228" Type="http://schemas.openxmlformats.org/officeDocument/2006/relationships/image" Target="media/image45.png"/><Relationship Id="rId249" Type="http://schemas.openxmlformats.org/officeDocument/2006/relationships/diagramColors" Target="diagrams/colors34.xml"/><Relationship Id="rId13" Type="http://schemas.openxmlformats.org/officeDocument/2006/relationships/footer" Target="footer4.xml"/><Relationship Id="rId109" Type="http://schemas.openxmlformats.org/officeDocument/2006/relationships/image" Target="media/image10.png"/><Relationship Id="rId260" Type="http://schemas.microsoft.com/office/2007/relationships/diagramDrawing" Target="diagrams/drawing36.xml"/><Relationship Id="rId281" Type="http://schemas.microsoft.com/office/2007/relationships/diagramDrawing" Target="diagrams/drawing40.xml"/><Relationship Id="rId34" Type="http://schemas.openxmlformats.org/officeDocument/2006/relationships/diagramQuickStyle" Target="diagrams/quickStyle4.xml"/><Relationship Id="rId55" Type="http://schemas.openxmlformats.org/officeDocument/2006/relationships/diagramColors" Target="diagrams/colors8.xml"/><Relationship Id="rId76" Type="http://schemas.openxmlformats.org/officeDocument/2006/relationships/diagramLayout" Target="diagrams/layout12.xml"/><Relationship Id="rId97" Type="http://schemas.openxmlformats.org/officeDocument/2006/relationships/image" Target="media/image9.png"/><Relationship Id="rId120" Type="http://schemas.openxmlformats.org/officeDocument/2006/relationships/diagramLayout" Target="diagrams/layout18.xml"/><Relationship Id="rId141" Type="http://schemas.openxmlformats.org/officeDocument/2006/relationships/diagramQuickStyle" Target="diagrams/quickStyle22.xml"/><Relationship Id="rId7" Type="http://schemas.openxmlformats.org/officeDocument/2006/relationships/endnotes" Target="endnotes.xml"/><Relationship Id="rId162" Type="http://schemas.openxmlformats.org/officeDocument/2006/relationships/diagramQuickStyle" Target="diagrams/quickStyle26.xml"/><Relationship Id="rId183" Type="http://schemas.openxmlformats.org/officeDocument/2006/relationships/diagramColors" Target="diagrams/colors30.xml"/><Relationship Id="rId218" Type="http://schemas.openxmlformats.org/officeDocument/2006/relationships/image" Target="media/image35.png"/><Relationship Id="rId239" Type="http://schemas.openxmlformats.org/officeDocument/2006/relationships/diagramColors" Target="diagrams/colors32.xml"/><Relationship Id="rId250" Type="http://schemas.microsoft.com/office/2007/relationships/diagramDrawing" Target="diagrams/drawing34.xml"/><Relationship Id="rId271" Type="http://schemas.microsoft.com/office/2007/relationships/diagramDrawing" Target="diagrams/drawing38.xml"/><Relationship Id="rId292" Type="http://schemas.openxmlformats.org/officeDocument/2006/relationships/diagramData" Target="diagrams/data43.xml"/><Relationship Id="rId306" Type="http://schemas.microsoft.com/office/2007/relationships/diagramDrawing" Target="diagrams/drawing45.xml"/><Relationship Id="rId24" Type="http://schemas.openxmlformats.org/officeDocument/2006/relationships/header" Target="header2.xml"/><Relationship Id="rId45" Type="http://schemas.openxmlformats.org/officeDocument/2006/relationships/diagramColors" Target="diagrams/colors6.xml"/><Relationship Id="rId66" Type="http://schemas.openxmlformats.org/officeDocument/2006/relationships/diagramQuickStyle" Target="diagrams/quickStyle10.xml"/><Relationship Id="rId87" Type="http://schemas.openxmlformats.org/officeDocument/2006/relationships/diagramQuickStyle" Target="diagrams/quickStyle14.xml"/><Relationship Id="rId110" Type="http://schemas.openxmlformats.org/officeDocument/2006/relationships/image" Target="media/image11.png"/><Relationship Id="rId131" Type="http://schemas.openxmlformats.org/officeDocument/2006/relationships/diagramQuickStyle" Target="diagrams/quickStyle20.xml"/><Relationship Id="rId152" Type="http://schemas.openxmlformats.org/officeDocument/2006/relationships/diagramQuickStyle" Target="diagrams/quickStyle24.xml"/><Relationship Id="rId173" Type="http://schemas.openxmlformats.org/officeDocument/2006/relationships/diagramColors" Target="diagrams/colors28.xml"/><Relationship Id="rId194" Type="http://schemas.microsoft.com/office/2007/relationships/diagramDrawing" Target="diagrams/drawing31.xml"/><Relationship Id="rId208" Type="http://schemas.openxmlformats.org/officeDocument/2006/relationships/image" Target="media/image25.png"/><Relationship Id="rId229" Type="http://schemas.openxmlformats.org/officeDocument/2006/relationships/image" Target="media/image46.png"/><Relationship Id="rId240" Type="http://schemas.microsoft.com/office/2007/relationships/diagramDrawing" Target="diagrams/drawing32.xml"/><Relationship Id="rId261" Type="http://schemas.openxmlformats.org/officeDocument/2006/relationships/diagramData" Target="diagrams/data37.xml"/><Relationship Id="rId14" Type="http://schemas.openxmlformats.org/officeDocument/2006/relationships/diagramData" Target="diagrams/data1.xml"/><Relationship Id="rId35" Type="http://schemas.openxmlformats.org/officeDocument/2006/relationships/diagramColors" Target="diagrams/colors4.xml"/><Relationship Id="rId56" Type="http://schemas.microsoft.com/office/2007/relationships/diagramDrawing" Target="diagrams/drawing8.xml"/><Relationship Id="rId77" Type="http://schemas.openxmlformats.org/officeDocument/2006/relationships/diagramQuickStyle" Target="diagrams/quickStyle12.xml"/><Relationship Id="rId100" Type="http://schemas.openxmlformats.org/officeDocument/2006/relationships/diagramLayout" Target="diagrams/layout15.xml"/><Relationship Id="rId282" Type="http://schemas.openxmlformats.org/officeDocument/2006/relationships/diagramData" Target="diagrams/data41.xml"/><Relationship Id="rId8" Type="http://schemas.openxmlformats.org/officeDocument/2006/relationships/image" Target="media/image1.png"/><Relationship Id="rId98" Type="http://schemas.openxmlformats.org/officeDocument/2006/relationships/hyperlink" Target="http://www.physicsforums.com" TargetMode="External"/><Relationship Id="rId121" Type="http://schemas.openxmlformats.org/officeDocument/2006/relationships/diagramQuickStyle" Target="diagrams/quickStyle18.xml"/><Relationship Id="rId142" Type="http://schemas.openxmlformats.org/officeDocument/2006/relationships/diagramColors" Target="diagrams/colors22.xml"/><Relationship Id="rId163" Type="http://schemas.openxmlformats.org/officeDocument/2006/relationships/diagramColors" Target="diagrams/colors26.xml"/><Relationship Id="rId184" Type="http://schemas.microsoft.com/office/2007/relationships/diagramDrawing" Target="diagrams/drawing30.xml"/><Relationship Id="rId219" Type="http://schemas.openxmlformats.org/officeDocument/2006/relationships/image" Target="media/image36.jpeg"/><Relationship Id="rId230" Type="http://schemas.openxmlformats.org/officeDocument/2006/relationships/image" Target="media/image47.png"/><Relationship Id="rId251" Type="http://schemas.openxmlformats.org/officeDocument/2006/relationships/diagramData" Target="diagrams/data35.xml"/><Relationship Id="rId25" Type="http://schemas.openxmlformats.org/officeDocument/2006/relationships/footer" Target="footer5.xml"/><Relationship Id="rId46" Type="http://schemas.microsoft.com/office/2007/relationships/diagramDrawing" Target="diagrams/drawing6.xml"/><Relationship Id="rId67" Type="http://schemas.openxmlformats.org/officeDocument/2006/relationships/diagramColors" Target="diagrams/colors10.xml"/><Relationship Id="rId272" Type="http://schemas.openxmlformats.org/officeDocument/2006/relationships/diagramData" Target="diagrams/data39.xml"/><Relationship Id="rId293" Type="http://schemas.openxmlformats.org/officeDocument/2006/relationships/diagramLayout" Target="diagrams/layout43.xml"/><Relationship Id="rId307" Type="http://schemas.openxmlformats.org/officeDocument/2006/relationships/image" Target="media/image54.png"/><Relationship Id="rId88" Type="http://schemas.openxmlformats.org/officeDocument/2006/relationships/diagramColors" Target="diagrams/colors14.xml"/><Relationship Id="rId111" Type="http://schemas.openxmlformats.org/officeDocument/2006/relationships/image" Target="media/image12.png"/><Relationship Id="rId132" Type="http://schemas.openxmlformats.org/officeDocument/2006/relationships/diagramColors" Target="diagrams/colors20.xml"/><Relationship Id="rId153" Type="http://schemas.openxmlformats.org/officeDocument/2006/relationships/diagramColors" Target="diagrams/colors24.xml"/><Relationship Id="rId174" Type="http://schemas.microsoft.com/office/2007/relationships/diagramDrawing" Target="diagrams/drawing28.xml"/><Relationship Id="rId195" Type="http://schemas.openxmlformats.org/officeDocument/2006/relationships/image" Target="media/image16.png"/><Relationship Id="rId209" Type="http://schemas.openxmlformats.org/officeDocument/2006/relationships/image" Target="media/image26.png"/><Relationship Id="rId220" Type="http://schemas.openxmlformats.org/officeDocument/2006/relationships/image" Target="media/image37.png"/><Relationship Id="rId241" Type="http://schemas.openxmlformats.org/officeDocument/2006/relationships/diagramData" Target="diagrams/data33.xml"/><Relationship Id="rId15" Type="http://schemas.openxmlformats.org/officeDocument/2006/relationships/diagramLayout" Target="diagrams/layout1.xml"/><Relationship Id="rId36" Type="http://schemas.microsoft.com/office/2007/relationships/diagramDrawing" Target="diagrams/drawing4.xml"/><Relationship Id="rId57" Type="http://schemas.openxmlformats.org/officeDocument/2006/relationships/diagramData" Target="diagrams/data9.xml"/><Relationship Id="rId262" Type="http://schemas.openxmlformats.org/officeDocument/2006/relationships/diagramLayout" Target="diagrams/layout37.xml"/><Relationship Id="rId283" Type="http://schemas.openxmlformats.org/officeDocument/2006/relationships/diagramLayout" Target="diagrams/layout41.xml"/><Relationship Id="rId78" Type="http://schemas.openxmlformats.org/officeDocument/2006/relationships/diagramColors" Target="diagrams/colors12.xml"/><Relationship Id="rId99" Type="http://schemas.openxmlformats.org/officeDocument/2006/relationships/diagramData" Target="diagrams/data15.xml"/><Relationship Id="rId101" Type="http://schemas.openxmlformats.org/officeDocument/2006/relationships/diagramQuickStyle" Target="diagrams/quickStyle15.xml"/><Relationship Id="rId122" Type="http://schemas.openxmlformats.org/officeDocument/2006/relationships/diagramColors" Target="diagrams/colors18.xml"/><Relationship Id="rId143" Type="http://schemas.microsoft.com/office/2007/relationships/diagramDrawing" Target="diagrams/drawing22.xml"/><Relationship Id="rId164" Type="http://schemas.microsoft.com/office/2007/relationships/diagramDrawing" Target="diagrams/drawing26.xml"/><Relationship Id="rId185" Type="http://schemas.openxmlformats.org/officeDocument/2006/relationships/hyperlink" Target="http://www.educatingnurses.com/the-implications-of-teaching-and-learning-in-a-practice-paying-attention-to-situated-thinking-and-action-in-practice" TargetMode="External"/><Relationship Id="rId9" Type="http://schemas.openxmlformats.org/officeDocument/2006/relationships/footer" Target="footer1.xml"/><Relationship Id="rId210" Type="http://schemas.openxmlformats.org/officeDocument/2006/relationships/image" Target="media/image27.png"/><Relationship Id="rId26" Type="http://schemas.openxmlformats.org/officeDocument/2006/relationships/header" Target="header3.xml"/><Relationship Id="rId231" Type="http://schemas.openxmlformats.org/officeDocument/2006/relationships/image" Target="media/image48.png"/><Relationship Id="rId252" Type="http://schemas.openxmlformats.org/officeDocument/2006/relationships/diagramLayout" Target="diagrams/layout35.xml"/><Relationship Id="rId273" Type="http://schemas.openxmlformats.org/officeDocument/2006/relationships/diagramLayout" Target="diagrams/layout39.xml"/><Relationship Id="rId294" Type="http://schemas.openxmlformats.org/officeDocument/2006/relationships/diagramQuickStyle" Target="diagrams/quickStyle43.xml"/><Relationship Id="rId308" Type="http://schemas.openxmlformats.org/officeDocument/2006/relationships/fontTable" Target="fontTable.xml"/><Relationship Id="rId47" Type="http://schemas.openxmlformats.org/officeDocument/2006/relationships/diagramData" Target="diagrams/data7.xml"/><Relationship Id="rId68" Type="http://schemas.microsoft.com/office/2007/relationships/diagramDrawing" Target="diagrams/drawing10.xml"/><Relationship Id="rId89" Type="http://schemas.microsoft.com/office/2007/relationships/diagramDrawing" Target="diagrams/drawing14.xml"/><Relationship Id="rId112" Type="http://schemas.openxmlformats.org/officeDocument/2006/relationships/image" Target="media/image13.png"/><Relationship Id="rId133" Type="http://schemas.microsoft.com/office/2007/relationships/diagramDrawing" Target="diagrams/drawing20.xml"/><Relationship Id="rId154" Type="http://schemas.microsoft.com/office/2007/relationships/diagramDrawing" Target="diagrams/drawing24.xml"/><Relationship Id="rId175" Type="http://schemas.openxmlformats.org/officeDocument/2006/relationships/diagramData" Target="diagrams/data29.xml"/><Relationship Id="rId196" Type="http://schemas.openxmlformats.org/officeDocument/2006/relationships/image" Target="media/image17.jpeg"/><Relationship Id="rId200" Type="http://schemas.openxmlformats.org/officeDocument/2006/relationships/image" Target="media/image19.png"/><Relationship Id="rId16" Type="http://schemas.openxmlformats.org/officeDocument/2006/relationships/diagramQuickStyle" Target="diagrams/quickStyle1.xml"/><Relationship Id="rId221" Type="http://schemas.openxmlformats.org/officeDocument/2006/relationships/image" Target="media/image38.png"/><Relationship Id="rId242" Type="http://schemas.openxmlformats.org/officeDocument/2006/relationships/diagramLayout" Target="diagrams/layout33.xml"/><Relationship Id="rId263" Type="http://schemas.openxmlformats.org/officeDocument/2006/relationships/diagramQuickStyle" Target="diagrams/quickStyle37.xml"/><Relationship Id="rId284" Type="http://schemas.openxmlformats.org/officeDocument/2006/relationships/diagramQuickStyle" Target="diagrams/quickStyle41.xml"/><Relationship Id="rId37" Type="http://schemas.openxmlformats.org/officeDocument/2006/relationships/diagramData" Target="diagrams/data5.xml"/><Relationship Id="rId58" Type="http://schemas.openxmlformats.org/officeDocument/2006/relationships/diagramLayout" Target="diagrams/layout9.xml"/><Relationship Id="rId79" Type="http://schemas.microsoft.com/office/2007/relationships/diagramDrawing" Target="diagrams/drawing12.xml"/><Relationship Id="rId102" Type="http://schemas.openxmlformats.org/officeDocument/2006/relationships/diagramColors" Target="diagrams/colors15.xml"/><Relationship Id="rId123" Type="http://schemas.microsoft.com/office/2007/relationships/diagramDrawing" Target="diagrams/drawing18.xml"/><Relationship Id="rId144" Type="http://schemas.openxmlformats.org/officeDocument/2006/relationships/image" Target="media/image15.png"/><Relationship Id="rId90" Type="http://schemas.openxmlformats.org/officeDocument/2006/relationships/image" Target="media/image2.png"/><Relationship Id="rId165" Type="http://schemas.openxmlformats.org/officeDocument/2006/relationships/diagramData" Target="diagrams/data27.xml"/><Relationship Id="rId186" Type="http://schemas.openxmlformats.org/officeDocument/2006/relationships/hyperlink" Target="http://www.gmc-uk.org/static/documents/content/Outcomes_for_graduates_Dec_16.pdf" TargetMode="External"/><Relationship Id="rId211" Type="http://schemas.openxmlformats.org/officeDocument/2006/relationships/image" Target="media/image28.png"/><Relationship Id="rId232" Type="http://schemas.openxmlformats.org/officeDocument/2006/relationships/image" Target="media/image49.png"/><Relationship Id="rId253" Type="http://schemas.openxmlformats.org/officeDocument/2006/relationships/diagramQuickStyle" Target="diagrams/quickStyle35.xml"/><Relationship Id="rId274" Type="http://schemas.openxmlformats.org/officeDocument/2006/relationships/diagramQuickStyle" Target="diagrams/quickStyle39.xml"/><Relationship Id="rId295" Type="http://schemas.openxmlformats.org/officeDocument/2006/relationships/diagramColors" Target="diagrams/colors43.xml"/><Relationship Id="rId309" Type="http://schemas.openxmlformats.org/officeDocument/2006/relationships/theme" Target="theme/theme1.xml"/><Relationship Id="rId27" Type="http://schemas.openxmlformats.org/officeDocument/2006/relationships/diagramData" Target="diagrams/data3.xml"/><Relationship Id="rId48" Type="http://schemas.openxmlformats.org/officeDocument/2006/relationships/diagramLayout" Target="diagrams/layout7.xml"/><Relationship Id="rId69" Type="http://schemas.openxmlformats.org/officeDocument/2006/relationships/diagramData" Target="diagrams/data11.xml"/><Relationship Id="rId113" Type="http://schemas.openxmlformats.org/officeDocument/2006/relationships/image" Target="media/image14.png"/><Relationship Id="rId134" Type="http://schemas.openxmlformats.org/officeDocument/2006/relationships/diagramData" Target="diagrams/data21.xml"/><Relationship Id="rId80" Type="http://schemas.openxmlformats.org/officeDocument/2006/relationships/diagramData" Target="diagrams/data13.xml"/><Relationship Id="rId155" Type="http://schemas.openxmlformats.org/officeDocument/2006/relationships/diagramData" Target="diagrams/data25.xml"/><Relationship Id="rId176" Type="http://schemas.openxmlformats.org/officeDocument/2006/relationships/diagramLayout" Target="diagrams/layout29.xml"/><Relationship Id="rId197" Type="http://schemas.openxmlformats.org/officeDocument/2006/relationships/hyperlink" Target="http://www.learningfromexperience.com/images/uploads/process-of-experiential-learning.pdf" TargetMode="External"/><Relationship Id="rId201" Type="http://schemas.openxmlformats.org/officeDocument/2006/relationships/hyperlink" Target="http://www.gp-training.net/training/educational_theory/adult_learning/prism.png" TargetMode="External"/><Relationship Id="rId222" Type="http://schemas.openxmlformats.org/officeDocument/2006/relationships/image" Target="media/image39.png"/><Relationship Id="rId243" Type="http://schemas.openxmlformats.org/officeDocument/2006/relationships/diagramQuickStyle" Target="diagrams/quickStyle33.xml"/><Relationship Id="rId264" Type="http://schemas.openxmlformats.org/officeDocument/2006/relationships/diagramColors" Target="diagrams/colors37.xml"/><Relationship Id="rId285" Type="http://schemas.openxmlformats.org/officeDocument/2006/relationships/diagramColors" Target="diagrams/colors41.xml"/><Relationship Id="rId17" Type="http://schemas.openxmlformats.org/officeDocument/2006/relationships/diagramColors" Target="diagrams/colors1.xml"/><Relationship Id="rId38" Type="http://schemas.openxmlformats.org/officeDocument/2006/relationships/diagramLayout" Target="diagrams/layout5.xml"/><Relationship Id="rId59" Type="http://schemas.openxmlformats.org/officeDocument/2006/relationships/diagramQuickStyle" Target="diagrams/quickStyle9.xml"/><Relationship Id="rId103" Type="http://schemas.microsoft.com/office/2007/relationships/diagramDrawing" Target="diagrams/drawing15.xml"/><Relationship Id="rId124" Type="http://schemas.openxmlformats.org/officeDocument/2006/relationships/diagramData" Target="diagrams/data19.xml"/><Relationship Id="rId70" Type="http://schemas.openxmlformats.org/officeDocument/2006/relationships/diagramLayout" Target="diagrams/layout11.xml"/><Relationship Id="rId91" Type="http://schemas.openxmlformats.org/officeDocument/2006/relationships/image" Target="media/image3.png"/><Relationship Id="rId145" Type="http://schemas.openxmlformats.org/officeDocument/2006/relationships/diagramData" Target="diagrams/data23.xml"/><Relationship Id="rId166" Type="http://schemas.openxmlformats.org/officeDocument/2006/relationships/diagramLayout" Target="diagrams/layout27.xml"/><Relationship Id="rId187" Type="http://schemas.openxmlformats.org/officeDocument/2006/relationships/hyperlink" Target="http://www.gmc-uk.org/education/undergraduate/tomorrows_doctors_2009" TargetMode="External"/><Relationship Id="rId1" Type="http://schemas.openxmlformats.org/officeDocument/2006/relationships/customXml" Target="../customXml/item1.xml"/><Relationship Id="rId212" Type="http://schemas.openxmlformats.org/officeDocument/2006/relationships/image" Target="media/image29.png"/><Relationship Id="rId233" Type="http://schemas.openxmlformats.org/officeDocument/2006/relationships/image" Target="media/image50.jpeg"/><Relationship Id="rId254" Type="http://schemas.openxmlformats.org/officeDocument/2006/relationships/diagramColors" Target="diagrams/colors35.xml"/><Relationship Id="rId28" Type="http://schemas.openxmlformats.org/officeDocument/2006/relationships/diagramLayout" Target="diagrams/layout3.xml"/><Relationship Id="rId49" Type="http://schemas.openxmlformats.org/officeDocument/2006/relationships/diagramQuickStyle" Target="diagrams/quickStyle7.xml"/><Relationship Id="rId114" Type="http://schemas.openxmlformats.org/officeDocument/2006/relationships/diagramData" Target="diagrams/data17.xml"/><Relationship Id="rId275" Type="http://schemas.openxmlformats.org/officeDocument/2006/relationships/diagramColors" Target="diagrams/colors39.xml"/><Relationship Id="rId296" Type="http://schemas.microsoft.com/office/2007/relationships/diagramDrawing" Target="diagrams/drawing43.xml"/><Relationship Id="rId300" Type="http://schemas.openxmlformats.org/officeDocument/2006/relationships/diagramColors" Target="diagrams/colors44.xml"/><Relationship Id="rId60" Type="http://schemas.openxmlformats.org/officeDocument/2006/relationships/diagramColors" Target="diagrams/colors9.xml"/><Relationship Id="rId81" Type="http://schemas.openxmlformats.org/officeDocument/2006/relationships/diagramLayout" Target="diagrams/layout13.xml"/><Relationship Id="rId135" Type="http://schemas.openxmlformats.org/officeDocument/2006/relationships/diagramLayout" Target="diagrams/layout21.xml"/><Relationship Id="rId156" Type="http://schemas.openxmlformats.org/officeDocument/2006/relationships/diagramLayout" Target="diagrams/layout25.xml"/><Relationship Id="rId177" Type="http://schemas.openxmlformats.org/officeDocument/2006/relationships/diagramQuickStyle" Target="diagrams/quickStyle29.xml"/><Relationship Id="rId198" Type="http://schemas.openxmlformats.org/officeDocument/2006/relationships/image" Target="media/image18.png"/><Relationship Id="rId202" Type="http://schemas.openxmlformats.org/officeDocument/2006/relationships/image" Target="media/image20.jpeg"/><Relationship Id="rId223" Type="http://schemas.openxmlformats.org/officeDocument/2006/relationships/image" Target="media/image40.png"/><Relationship Id="rId244" Type="http://schemas.openxmlformats.org/officeDocument/2006/relationships/diagramColors" Target="diagrams/colors33.xml"/><Relationship Id="rId18" Type="http://schemas.microsoft.com/office/2007/relationships/diagramDrawing" Target="diagrams/drawing1.xml"/><Relationship Id="rId39" Type="http://schemas.openxmlformats.org/officeDocument/2006/relationships/diagramQuickStyle" Target="diagrams/quickStyle5.xml"/><Relationship Id="rId265" Type="http://schemas.microsoft.com/office/2007/relationships/diagramDrawing" Target="diagrams/drawing37.xml"/><Relationship Id="rId286" Type="http://schemas.microsoft.com/office/2007/relationships/diagramDrawing" Target="diagrams/drawing41.xml"/><Relationship Id="rId50" Type="http://schemas.openxmlformats.org/officeDocument/2006/relationships/diagramColors" Target="diagrams/colors7.xml"/><Relationship Id="rId104" Type="http://schemas.openxmlformats.org/officeDocument/2006/relationships/diagramData" Target="diagrams/data16.xml"/><Relationship Id="rId125" Type="http://schemas.openxmlformats.org/officeDocument/2006/relationships/diagramLayout" Target="diagrams/layout19.xml"/><Relationship Id="rId146" Type="http://schemas.openxmlformats.org/officeDocument/2006/relationships/diagramLayout" Target="diagrams/layout23.xml"/><Relationship Id="rId167" Type="http://schemas.openxmlformats.org/officeDocument/2006/relationships/diagramQuickStyle" Target="diagrams/quickStyle27.xml"/><Relationship Id="rId188" Type="http://schemas.openxmlformats.org/officeDocument/2006/relationships/hyperlink" Target="http://www.shapeoftraining.co.uk/static/documents/content/Shape_of_training_FINAL_Report.pdf_53977887.pdf" TargetMode="External"/><Relationship Id="rId71" Type="http://schemas.openxmlformats.org/officeDocument/2006/relationships/diagramQuickStyle" Target="diagrams/quickStyle11.xml"/><Relationship Id="rId92" Type="http://schemas.openxmlformats.org/officeDocument/2006/relationships/image" Target="media/image4.png"/><Relationship Id="rId213" Type="http://schemas.openxmlformats.org/officeDocument/2006/relationships/image" Target="media/image30.png"/><Relationship Id="rId234"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diagramQuickStyle" Target="diagrams/quickStyle3.xml"/><Relationship Id="rId255" Type="http://schemas.microsoft.com/office/2007/relationships/diagramDrawing" Target="diagrams/drawing35.xml"/><Relationship Id="rId276" Type="http://schemas.microsoft.com/office/2007/relationships/diagramDrawing" Target="diagrams/drawing39.xml"/><Relationship Id="rId297" Type="http://schemas.openxmlformats.org/officeDocument/2006/relationships/diagramData" Target="diagrams/data44.xml"/><Relationship Id="rId40" Type="http://schemas.openxmlformats.org/officeDocument/2006/relationships/diagramColors" Target="diagrams/colors5.xml"/><Relationship Id="rId115" Type="http://schemas.openxmlformats.org/officeDocument/2006/relationships/diagramLayout" Target="diagrams/layout17.xml"/><Relationship Id="rId136" Type="http://schemas.openxmlformats.org/officeDocument/2006/relationships/diagramQuickStyle" Target="diagrams/quickStyle21.xml"/><Relationship Id="rId157" Type="http://schemas.openxmlformats.org/officeDocument/2006/relationships/diagramQuickStyle" Target="diagrams/quickStyle25.xml"/><Relationship Id="rId178" Type="http://schemas.openxmlformats.org/officeDocument/2006/relationships/diagramColors" Target="diagrams/colors29.xml"/><Relationship Id="rId301" Type="http://schemas.microsoft.com/office/2007/relationships/diagramDrawing" Target="diagrams/drawing44.xml"/><Relationship Id="rId61" Type="http://schemas.microsoft.com/office/2007/relationships/diagramDrawing" Target="diagrams/drawing9.xml"/><Relationship Id="rId82" Type="http://schemas.openxmlformats.org/officeDocument/2006/relationships/diagramQuickStyle" Target="diagrams/quickStyle13.xml"/><Relationship Id="rId199" Type="http://schemas.openxmlformats.org/officeDocument/2006/relationships/hyperlink" Target="http://www.scsc.scot.nhs.uk/courses/faculty-development" TargetMode="External"/><Relationship Id="rId203" Type="http://schemas.openxmlformats.org/officeDocument/2006/relationships/hyperlink" Target="http://victorarias.com.br/images/2013-05-16/1.jpg" TargetMode="External"/><Relationship Id="rId19" Type="http://schemas.openxmlformats.org/officeDocument/2006/relationships/diagramData" Target="diagrams/data2.xml"/><Relationship Id="rId224" Type="http://schemas.openxmlformats.org/officeDocument/2006/relationships/image" Target="media/image41.png"/><Relationship Id="rId245" Type="http://schemas.microsoft.com/office/2007/relationships/diagramDrawing" Target="diagrams/drawing33.xml"/><Relationship Id="rId266" Type="http://schemas.openxmlformats.org/officeDocument/2006/relationships/image" Target="media/image53.png"/><Relationship Id="rId287" Type="http://schemas.openxmlformats.org/officeDocument/2006/relationships/diagramData" Target="diagrams/data42.xml"/><Relationship Id="rId30" Type="http://schemas.openxmlformats.org/officeDocument/2006/relationships/diagramColors" Target="diagrams/colors3.xml"/><Relationship Id="rId105" Type="http://schemas.openxmlformats.org/officeDocument/2006/relationships/diagramLayout" Target="diagrams/layout16.xml"/><Relationship Id="rId126" Type="http://schemas.openxmlformats.org/officeDocument/2006/relationships/diagramQuickStyle" Target="diagrams/quickStyle19.xml"/><Relationship Id="rId147" Type="http://schemas.openxmlformats.org/officeDocument/2006/relationships/diagramQuickStyle" Target="diagrams/quickStyle23.xml"/><Relationship Id="rId168" Type="http://schemas.openxmlformats.org/officeDocument/2006/relationships/diagramColors" Target="diagrams/colors27.xml"/><Relationship Id="rId51" Type="http://schemas.microsoft.com/office/2007/relationships/diagramDrawing" Target="diagrams/drawing7.xml"/><Relationship Id="rId72" Type="http://schemas.openxmlformats.org/officeDocument/2006/relationships/diagramColors" Target="diagrams/colors11.xml"/><Relationship Id="rId93" Type="http://schemas.openxmlformats.org/officeDocument/2006/relationships/image" Target="media/image5.png"/><Relationship Id="rId189" Type="http://schemas.openxmlformats.org/officeDocument/2006/relationships/hyperlink" Target="https://www.surveymonkey.com/user/sign-in/?" TargetMode="External"/><Relationship Id="rId3" Type="http://schemas.openxmlformats.org/officeDocument/2006/relationships/styles" Target="styles.xml"/><Relationship Id="rId214" Type="http://schemas.openxmlformats.org/officeDocument/2006/relationships/image" Target="media/image31.png"/><Relationship Id="rId235" Type="http://schemas.openxmlformats.org/officeDocument/2006/relationships/image" Target="media/image52.jpeg"/><Relationship Id="rId256" Type="http://schemas.openxmlformats.org/officeDocument/2006/relationships/diagramData" Target="diagrams/data36.xml"/><Relationship Id="rId277" Type="http://schemas.openxmlformats.org/officeDocument/2006/relationships/diagramData" Target="diagrams/data40.xml"/><Relationship Id="rId298" Type="http://schemas.openxmlformats.org/officeDocument/2006/relationships/diagramLayout" Target="diagrams/layout44.xml"/><Relationship Id="rId116" Type="http://schemas.openxmlformats.org/officeDocument/2006/relationships/diagramQuickStyle" Target="diagrams/quickStyle17.xml"/><Relationship Id="rId137" Type="http://schemas.openxmlformats.org/officeDocument/2006/relationships/diagramColors" Target="diagrams/colors21.xml"/><Relationship Id="rId158" Type="http://schemas.openxmlformats.org/officeDocument/2006/relationships/diagramColors" Target="diagrams/colors25.xml"/><Relationship Id="rId302" Type="http://schemas.openxmlformats.org/officeDocument/2006/relationships/diagramData" Target="diagrams/data45.xml"/><Relationship Id="rId20" Type="http://schemas.openxmlformats.org/officeDocument/2006/relationships/diagramLayout" Target="diagrams/layout2.xml"/><Relationship Id="rId41" Type="http://schemas.microsoft.com/office/2007/relationships/diagramDrawing" Target="diagrams/drawing5.xml"/><Relationship Id="rId62" Type="http://schemas.openxmlformats.org/officeDocument/2006/relationships/header" Target="header4.xml"/><Relationship Id="rId83" Type="http://schemas.openxmlformats.org/officeDocument/2006/relationships/diagramColors" Target="diagrams/colors13.xml"/><Relationship Id="rId179" Type="http://schemas.microsoft.com/office/2007/relationships/diagramDrawing" Target="diagrams/drawing29.xml"/><Relationship Id="rId190" Type="http://schemas.openxmlformats.org/officeDocument/2006/relationships/diagramData" Target="diagrams/data31.xml"/><Relationship Id="rId204" Type="http://schemas.openxmlformats.org/officeDocument/2006/relationships/image" Target="media/image21.png"/><Relationship Id="rId225" Type="http://schemas.openxmlformats.org/officeDocument/2006/relationships/image" Target="media/image42.png"/><Relationship Id="rId246" Type="http://schemas.openxmlformats.org/officeDocument/2006/relationships/diagramData" Target="diagrams/data34.xml"/><Relationship Id="rId267" Type="http://schemas.openxmlformats.org/officeDocument/2006/relationships/diagramData" Target="diagrams/data38.xml"/><Relationship Id="rId288" Type="http://schemas.openxmlformats.org/officeDocument/2006/relationships/diagramLayout" Target="diagrams/layout42.xml"/><Relationship Id="rId106" Type="http://schemas.openxmlformats.org/officeDocument/2006/relationships/diagramQuickStyle" Target="diagrams/quickStyle16.xml"/><Relationship Id="rId127" Type="http://schemas.openxmlformats.org/officeDocument/2006/relationships/diagramColors" Target="diagrams/colors19.xml"/><Relationship Id="rId10" Type="http://schemas.openxmlformats.org/officeDocument/2006/relationships/footer" Target="footer2.xml"/><Relationship Id="rId31" Type="http://schemas.microsoft.com/office/2007/relationships/diagramDrawing" Target="diagrams/drawing3.xml"/><Relationship Id="rId52" Type="http://schemas.openxmlformats.org/officeDocument/2006/relationships/diagramData" Target="diagrams/data8.xml"/><Relationship Id="rId73" Type="http://schemas.microsoft.com/office/2007/relationships/diagramDrawing" Target="diagrams/drawing11.xml"/><Relationship Id="rId94" Type="http://schemas.openxmlformats.org/officeDocument/2006/relationships/image" Target="media/image6.png"/><Relationship Id="rId148" Type="http://schemas.openxmlformats.org/officeDocument/2006/relationships/diagramColors" Target="diagrams/colors23.xml"/><Relationship Id="rId169" Type="http://schemas.microsoft.com/office/2007/relationships/diagramDrawing" Target="diagrams/drawing27.xml"/><Relationship Id="rId4" Type="http://schemas.openxmlformats.org/officeDocument/2006/relationships/settings" Target="settings.xml"/><Relationship Id="rId180" Type="http://schemas.openxmlformats.org/officeDocument/2006/relationships/diagramData" Target="diagrams/data30.xml"/><Relationship Id="rId215" Type="http://schemas.openxmlformats.org/officeDocument/2006/relationships/image" Target="media/image32.png"/><Relationship Id="rId236" Type="http://schemas.openxmlformats.org/officeDocument/2006/relationships/diagramData" Target="diagrams/data32.xml"/><Relationship Id="rId257" Type="http://schemas.openxmlformats.org/officeDocument/2006/relationships/diagramLayout" Target="diagrams/layout36.xml"/><Relationship Id="rId278" Type="http://schemas.openxmlformats.org/officeDocument/2006/relationships/diagramLayout" Target="diagrams/layout40.xml"/><Relationship Id="rId303" Type="http://schemas.openxmlformats.org/officeDocument/2006/relationships/diagramLayout" Target="diagrams/layout45.xml"/><Relationship Id="rId42" Type="http://schemas.openxmlformats.org/officeDocument/2006/relationships/diagramData" Target="diagrams/data6.xml"/><Relationship Id="rId84" Type="http://schemas.microsoft.com/office/2007/relationships/diagramDrawing" Target="diagrams/drawing13.xml"/><Relationship Id="rId138" Type="http://schemas.microsoft.com/office/2007/relationships/diagramDrawing" Target="diagrams/drawing21.xml"/><Relationship Id="rId191" Type="http://schemas.openxmlformats.org/officeDocument/2006/relationships/diagramLayout" Target="diagrams/layout31.xml"/><Relationship Id="rId205" Type="http://schemas.openxmlformats.org/officeDocument/2006/relationships/image" Target="media/image22.png"/><Relationship Id="rId247" Type="http://schemas.openxmlformats.org/officeDocument/2006/relationships/diagramLayout" Target="diagrams/layout34.xml"/><Relationship Id="rId107" Type="http://schemas.openxmlformats.org/officeDocument/2006/relationships/diagramColors" Target="diagrams/colors16.xml"/><Relationship Id="rId289" Type="http://schemas.openxmlformats.org/officeDocument/2006/relationships/diagramQuickStyle" Target="diagrams/quickStyle42.xml"/><Relationship Id="rId11" Type="http://schemas.openxmlformats.org/officeDocument/2006/relationships/header" Target="header1.xml"/><Relationship Id="rId53" Type="http://schemas.openxmlformats.org/officeDocument/2006/relationships/diagramLayout" Target="diagrams/layout8.xml"/><Relationship Id="rId149" Type="http://schemas.microsoft.com/office/2007/relationships/diagramDrawing" Target="diagrams/drawing23.xml"/><Relationship Id="rId95" Type="http://schemas.openxmlformats.org/officeDocument/2006/relationships/image" Target="media/image7.png"/><Relationship Id="rId160" Type="http://schemas.openxmlformats.org/officeDocument/2006/relationships/diagramData" Target="diagrams/data26.xml"/><Relationship Id="rId216" Type="http://schemas.openxmlformats.org/officeDocument/2006/relationships/image" Target="media/image33.png"/><Relationship Id="rId258" Type="http://schemas.openxmlformats.org/officeDocument/2006/relationships/diagramQuickStyle" Target="diagrams/quickStyle36.xml"/><Relationship Id="rId22" Type="http://schemas.openxmlformats.org/officeDocument/2006/relationships/diagramColors" Target="diagrams/colors2.xml"/><Relationship Id="rId64" Type="http://schemas.openxmlformats.org/officeDocument/2006/relationships/diagramData" Target="diagrams/data10.xml"/><Relationship Id="rId118" Type="http://schemas.microsoft.com/office/2007/relationships/diagramDrawing" Target="diagrams/drawing17.xml"/><Relationship Id="rId171" Type="http://schemas.openxmlformats.org/officeDocument/2006/relationships/diagramLayout" Target="diagrams/layout28.xml"/><Relationship Id="rId227" Type="http://schemas.openxmlformats.org/officeDocument/2006/relationships/image" Target="media/image44.png"/><Relationship Id="rId269" Type="http://schemas.openxmlformats.org/officeDocument/2006/relationships/diagramQuickStyle" Target="diagrams/quickStyle38.xml"/><Relationship Id="rId33" Type="http://schemas.openxmlformats.org/officeDocument/2006/relationships/diagramLayout" Target="diagrams/layout4.xml"/><Relationship Id="rId129" Type="http://schemas.openxmlformats.org/officeDocument/2006/relationships/diagramData" Target="diagrams/data20.xml"/><Relationship Id="rId280" Type="http://schemas.openxmlformats.org/officeDocument/2006/relationships/diagramColors" Target="diagrams/colors40.xml"/><Relationship Id="rId75" Type="http://schemas.openxmlformats.org/officeDocument/2006/relationships/diagramData" Target="diagrams/data12.xml"/><Relationship Id="rId140" Type="http://schemas.openxmlformats.org/officeDocument/2006/relationships/diagramLayout" Target="diagrams/layout22.xml"/><Relationship Id="rId182" Type="http://schemas.openxmlformats.org/officeDocument/2006/relationships/diagramQuickStyle" Target="diagrams/quickStyle30.xml"/><Relationship Id="rId6" Type="http://schemas.openxmlformats.org/officeDocument/2006/relationships/footnotes" Target="footnotes.xml"/><Relationship Id="rId238" Type="http://schemas.openxmlformats.org/officeDocument/2006/relationships/diagramQuickStyle" Target="diagrams/quickStyle32.xml"/><Relationship Id="rId291" Type="http://schemas.microsoft.com/office/2007/relationships/diagramDrawing" Target="diagrams/drawing42.xml"/><Relationship Id="rId305" Type="http://schemas.openxmlformats.org/officeDocument/2006/relationships/diagramColors" Target="diagrams/colors45.xml"/></Relationships>
</file>

<file path=word/charts/_rels/chart1.xml.rels><?xml version="1.0" encoding="UTF-8" standalone="yes"?>
<Relationships xmlns="http://schemas.openxmlformats.org/package/2006/relationships"><Relationship Id="rId2" Type="http://schemas.openxmlformats.org/officeDocument/2006/relationships/oleObject" Target="Macintosh%20HD:Users:Fliss:Documents:ST%20Surgey:Urology%20ST3:PhD%20application%20Med%20Ed:IMASS%20course:Assessment%20validity:Assessment%20validity.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0" u="sng">
                <a:latin typeface="Arial" pitchFamily="34" charset="0"/>
                <a:cs typeface="Arial" pitchFamily="34" charset="0"/>
              </a:defRPr>
            </a:pPr>
            <a:r>
              <a:rPr lang="en-GB" sz="1400" b="0" u="sng">
                <a:latin typeface="Arial" pitchFamily="34" charset="0"/>
                <a:cs typeface="Arial" pitchFamily="34" charset="0"/>
              </a:rPr>
              <a:t>Formative</a:t>
            </a:r>
            <a:r>
              <a:rPr lang="en-GB" sz="1400" b="0" u="sng" baseline="0">
                <a:latin typeface="Arial" pitchFamily="34" charset="0"/>
                <a:cs typeface="Arial" pitchFamily="34" charset="0"/>
              </a:rPr>
              <a:t> assessment marks for different level medical trainees</a:t>
            </a:r>
            <a:endParaRPr lang="en-GB" sz="1400" b="0" u="sng">
              <a:latin typeface="Arial" pitchFamily="34" charset="0"/>
              <a:cs typeface="Arial" pitchFamily="34" charset="0"/>
            </a:endParaRPr>
          </a:p>
        </c:rich>
      </c:tx>
      <c:overlay val="0"/>
    </c:title>
    <c:autoTitleDeleted val="0"/>
    <c:plotArea>
      <c:layout/>
      <c:barChart>
        <c:barDir val="bar"/>
        <c:grouping val="clustered"/>
        <c:varyColors val="0"/>
        <c:ser>
          <c:idx val="0"/>
          <c:order val="0"/>
          <c:tx>
            <c:strRef>
              <c:f>Sheet1!$B$4</c:f>
              <c:strCache>
                <c:ptCount val="1"/>
                <c:pt idx="0">
                  <c:v>Score 1</c:v>
                </c:pt>
              </c:strCache>
            </c:strRef>
          </c:tx>
          <c:invertIfNegative val="0"/>
          <c:cat>
            <c:strRef>
              <c:f>Sheet1!$A$5:$A$9</c:f>
              <c:strCache>
                <c:ptCount val="5"/>
                <c:pt idx="0">
                  <c:v>3rd year med student</c:v>
                </c:pt>
                <c:pt idx="1">
                  <c:v>5th year med student</c:v>
                </c:pt>
                <c:pt idx="2">
                  <c:v>FY1</c:v>
                </c:pt>
                <c:pt idx="3">
                  <c:v>SHO/ CT</c:v>
                </c:pt>
                <c:pt idx="4">
                  <c:v>Registrar</c:v>
                </c:pt>
              </c:strCache>
            </c:strRef>
          </c:cat>
          <c:val>
            <c:numRef>
              <c:f>Sheet1!$B$5:$B$9</c:f>
              <c:numCache>
                <c:formatCode>General</c:formatCode>
                <c:ptCount val="5"/>
                <c:pt idx="0">
                  <c:v>85</c:v>
                </c:pt>
                <c:pt idx="1">
                  <c:v>96</c:v>
                </c:pt>
                <c:pt idx="2">
                  <c:v>130</c:v>
                </c:pt>
                <c:pt idx="3">
                  <c:v>136</c:v>
                </c:pt>
                <c:pt idx="4">
                  <c:v>145</c:v>
                </c:pt>
              </c:numCache>
            </c:numRef>
          </c:val>
          <c:extLst>
            <c:ext xmlns:c16="http://schemas.microsoft.com/office/drawing/2014/chart" uri="{C3380CC4-5D6E-409C-BE32-E72D297353CC}">
              <c16:uniqueId val="{00000000-AFFB-4FBE-9C59-ADAB85D0CBB7}"/>
            </c:ext>
          </c:extLst>
        </c:ser>
        <c:ser>
          <c:idx val="1"/>
          <c:order val="1"/>
          <c:tx>
            <c:strRef>
              <c:f>Sheet1!$C$4</c:f>
              <c:strCache>
                <c:ptCount val="1"/>
                <c:pt idx="0">
                  <c:v>Score 2</c:v>
                </c:pt>
              </c:strCache>
            </c:strRef>
          </c:tx>
          <c:invertIfNegative val="0"/>
          <c:cat>
            <c:strRef>
              <c:f>Sheet1!$A$5:$A$9</c:f>
              <c:strCache>
                <c:ptCount val="5"/>
                <c:pt idx="0">
                  <c:v>3rd year med student</c:v>
                </c:pt>
                <c:pt idx="1">
                  <c:v>5th year med student</c:v>
                </c:pt>
                <c:pt idx="2">
                  <c:v>FY1</c:v>
                </c:pt>
                <c:pt idx="3">
                  <c:v>SHO/ CT</c:v>
                </c:pt>
                <c:pt idx="4">
                  <c:v>Registrar</c:v>
                </c:pt>
              </c:strCache>
            </c:strRef>
          </c:cat>
          <c:val>
            <c:numRef>
              <c:f>Sheet1!$C$5:$C$9</c:f>
              <c:numCache>
                <c:formatCode>General</c:formatCode>
                <c:ptCount val="5"/>
                <c:pt idx="0">
                  <c:v>89</c:v>
                </c:pt>
                <c:pt idx="1">
                  <c:v>100</c:v>
                </c:pt>
                <c:pt idx="2">
                  <c:v>133</c:v>
                </c:pt>
                <c:pt idx="3">
                  <c:v>139</c:v>
                </c:pt>
                <c:pt idx="4">
                  <c:v>149</c:v>
                </c:pt>
              </c:numCache>
            </c:numRef>
          </c:val>
          <c:extLst>
            <c:ext xmlns:c16="http://schemas.microsoft.com/office/drawing/2014/chart" uri="{C3380CC4-5D6E-409C-BE32-E72D297353CC}">
              <c16:uniqueId val="{00000001-AFFB-4FBE-9C59-ADAB85D0CBB7}"/>
            </c:ext>
          </c:extLst>
        </c:ser>
        <c:ser>
          <c:idx val="2"/>
          <c:order val="2"/>
          <c:tx>
            <c:strRef>
              <c:f>Sheet1!$D$4</c:f>
              <c:strCache>
                <c:ptCount val="1"/>
                <c:pt idx="0">
                  <c:v>Score 3</c:v>
                </c:pt>
              </c:strCache>
            </c:strRef>
          </c:tx>
          <c:invertIfNegative val="0"/>
          <c:cat>
            <c:strRef>
              <c:f>Sheet1!$A$5:$A$9</c:f>
              <c:strCache>
                <c:ptCount val="5"/>
                <c:pt idx="0">
                  <c:v>3rd year med student</c:v>
                </c:pt>
                <c:pt idx="1">
                  <c:v>5th year med student</c:v>
                </c:pt>
                <c:pt idx="2">
                  <c:v>FY1</c:v>
                </c:pt>
                <c:pt idx="3">
                  <c:v>SHO/ CT</c:v>
                </c:pt>
                <c:pt idx="4">
                  <c:v>Registrar</c:v>
                </c:pt>
              </c:strCache>
            </c:strRef>
          </c:cat>
          <c:val>
            <c:numRef>
              <c:f>Sheet1!$D$5:$D$9</c:f>
              <c:numCache>
                <c:formatCode>General</c:formatCode>
                <c:ptCount val="5"/>
                <c:pt idx="0">
                  <c:v>91</c:v>
                </c:pt>
                <c:pt idx="1">
                  <c:v>109</c:v>
                </c:pt>
                <c:pt idx="2">
                  <c:v>136</c:v>
                </c:pt>
                <c:pt idx="3">
                  <c:v>140</c:v>
                </c:pt>
                <c:pt idx="4">
                  <c:v>150</c:v>
                </c:pt>
              </c:numCache>
            </c:numRef>
          </c:val>
          <c:extLst>
            <c:ext xmlns:c16="http://schemas.microsoft.com/office/drawing/2014/chart" uri="{C3380CC4-5D6E-409C-BE32-E72D297353CC}">
              <c16:uniqueId val="{00000002-AFFB-4FBE-9C59-ADAB85D0CBB7}"/>
            </c:ext>
          </c:extLst>
        </c:ser>
        <c:dLbls>
          <c:showLegendKey val="0"/>
          <c:showVal val="0"/>
          <c:showCatName val="0"/>
          <c:showSerName val="0"/>
          <c:showPercent val="0"/>
          <c:showBubbleSize val="0"/>
        </c:dLbls>
        <c:gapWidth val="150"/>
        <c:axId val="2130978648"/>
        <c:axId val="2136509768"/>
      </c:barChart>
      <c:catAx>
        <c:axId val="2130978648"/>
        <c:scaling>
          <c:orientation val="minMax"/>
        </c:scaling>
        <c:delete val="0"/>
        <c:axPos val="l"/>
        <c:title>
          <c:tx>
            <c:rich>
              <a:bodyPr/>
              <a:lstStyle/>
              <a:p>
                <a:pPr>
                  <a:defRPr/>
                </a:pPr>
                <a:r>
                  <a:rPr lang="en-GB" b="0">
                    <a:latin typeface="Arial" pitchFamily="34" charset="0"/>
                    <a:cs typeface="Arial" pitchFamily="34" charset="0"/>
                  </a:rPr>
                  <a:t>Candidate</a:t>
                </a:r>
                <a:r>
                  <a:rPr lang="en-GB" b="0" baseline="0">
                    <a:latin typeface="Arial" pitchFamily="34" charset="0"/>
                    <a:cs typeface="Arial" pitchFamily="34" charset="0"/>
                  </a:rPr>
                  <a:t> level</a:t>
                </a:r>
                <a:endParaRPr lang="en-GB" b="0">
                  <a:latin typeface="Arial" pitchFamily="34" charset="0"/>
                  <a:cs typeface="Arial" pitchFamily="34" charset="0"/>
                </a:endParaRPr>
              </a:p>
            </c:rich>
          </c:tx>
          <c:overlay val="0"/>
        </c:title>
        <c:numFmt formatCode="General" sourceLinked="0"/>
        <c:majorTickMark val="none"/>
        <c:minorTickMark val="none"/>
        <c:tickLblPos val="nextTo"/>
        <c:crossAx val="2136509768"/>
        <c:crosses val="autoZero"/>
        <c:auto val="1"/>
        <c:lblAlgn val="ctr"/>
        <c:lblOffset val="100"/>
        <c:noMultiLvlLbl val="0"/>
      </c:catAx>
      <c:valAx>
        <c:axId val="2136509768"/>
        <c:scaling>
          <c:orientation val="minMax"/>
        </c:scaling>
        <c:delete val="0"/>
        <c:axPos val="b"/>
        <c:majorGridlines/>
        <c:title>
          <c:tx>
            <c:rich>
              <a:bodyPr/>
              <a:lstStyle/>
              <a:p>
                <a:pPr>
                  <a:defRPr/>
                </a:pPr>
                <a:r>
                  <a:rPr lang="en-GB" b="0">
                    <a:latin typeface="Arial" pitchFamily="34" charset="0"/>
                    <a:cs typeface="Arial" pitchFamily="34" charset="0"/>
                  </a:rPr>
                  <a:t>Formative</a:t>
                </a:r>
                <a:r>
                  <a:rPr lang="en-GB" b="0" baseline="0">
                    <a:latin typeface="Arial" pitchFamily="34" charset="0"/>
                    <a:cs typeface="Arial" pitchFamily="34" charset="0"/>
                  </a:rPr>
                  <a:t> assessment mark (Min 30, Max 150)</a:t>
                </a:r>
                <a:endParaRPr lang="en-GB" b="0">
                  <a:latin typeface="Arial" pitchFamily="34" charset="0"/>
                  <a:cs typeface="Arial" pitchFamily="34" charset="0"/>
                </a:endParaRPr>
              </a:p>
            </c:rich>
          </c:tx>
          <c:overlay val="0"/>
        </c:title>
        <c:numFmt formatCode="General" sourceLinked="1"/>
        <c:majorTickMark val="out"/>
        <c:minorTickMark val="none"/>
        <c:tickLblPos val="nextTo"/>
        <c:crossAx val="2130978648"/>
        <c:crosses val="autoZero"/>
        <c:crossBetween val="between"/>
      </c:valAx>
    </c:plotArea>
    <c:legend>
      <c:legendPos val="r"/>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a:solidFill>
          <a:srgbClr val="800000"/>
        </a:solidFill>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custT="1"/>
      <dgm:spPr>
        <a:solidFill>
          <a:srgbClr val="800000">
            <a:alpha val="90000"/>
          </a:srgbClr>
        </a:solidFill>
      </dgm:spPr>
      <dgm:t>
        <a:bodyPr/>
        <a:lstStyle/>
        <a:p>
          <a:r>
            <a:rPr lang="en-US" sz="900">
              <a:solidFill>
                <a:srgbClr val="FFFFFF"/>
              </a:solidFill>
            </a:rPr>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custT="1"/>
      <dgm:spPr>
        <a:solidFill>
          <a:srgbClr val="800000">
            <a:alpha val="90000"/>
          </a:srgbClr>
        </a:solidFill>
      </dgm:spPr>
      <dgm:t>
        <a:bodyPr/>
        <a:lstStyle/>
        <a:p>
          <a:r>
            <a:rPr lang="en-US" sz="900">
              <a:solidFill>
                <a:srgbClr val="FFFFFF"/>
              </a:solidFill>
            </a:rPr>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3: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custT="1"/>
      <dgm:spPr>
        <a:solidFill>
          <a:srgbClr val="800000">
            <a:alpha val="90000"/>
          </a:srgbClr>
        </a:solidFill>
      </dgm:spPr>
      <dgm:t>
        <a:bodyPr/>
        <a:lstStyle/>
        <a:p>
          <a:r>
            <a:rPr lang="en-US" sz="900">
              <a:solidFill>
                <a:srgbClr val="FFFFFF"/>
              </a:solidFill>
            </a:rPr>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4: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5: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B2A22429-66BA-8444-A1C8-6126DBB1CA11}">
      <dgm:prSet phldrT="[Text]"/>
      <dgm:spPr/>
      <dgm:t>
        <a:bodyPr/>
        <a:lstStyle/>
        <a:p>
          <a:r>
            <a:rPr lang="en-US"/>
            <a:t>Responsibility</a:t>
          </a:r>
        </a:p>
      </dgm:t>
    </dgm:pt>
    <dgm:pt modelId="{5A40D859-8CE1-A247-B26A-FB5BCAB7BCEE}" type="parTrans" cxnId="{8B8A1305-5F1A-9B45-94C3-02D799ECED93}">
      <dgm:prSet/>
      <dgm:spPr/>
      <dgm:t>
        <a:bodyPr/>
        <a:lstStyle/>
        <a:p>
          <a:endParaRPr lang="en-US"/>
        </a:p>
      </dgm:t>
    </dgm:pt>
    <dgm:pt modelId="{7982AA77-FA8E-0647-B5A4-6163172ADDB0}" type="sibTrans" cxnId="{8B8A1305-5F1A-9B45-94C3-02D799ECED93}">
      <dgm:prSet/>
      <dgm:spPr/>
      <dgm:t>
        <a:bodyPr/>
        <a:lstStyle/>
        <a:p>
          <a:endParaRPr lang="en-US"/>
        </a:p>
      </dgm:t>
    </dgm:pt>
    <dgm:pt modelId="{AC833F10-F02E-8B47-8C50-509F13936F02}">
      <dgm:prSet phldrT="[Text]"/>
      <dgm:spPr/>
      <dgm:t>
        <a:bodyPr/>
        <a:lstStyle/>
        <a:p>
          <a:r>
            <a:rPr lang="en-US"/>
            <a:t>Simulation for assessment</a:t>
          </a:r>
        </a:p>
      </dgm:t>
    </dgm:pt>
    <dgm:pt modelId="{87A6088C-E766-1F47-A8DC-65F7172EAF77}" type="parTrans" cxnId="{B8188A1E-7AF3-9C41-A0E5-ACB333B51366}">
      <dgm:prSet/>
      <dgm:spPr/>
      <dgm:t>
        <a:bodyPr/>
        <a:lstStyle/>
        <a:p>
          <a:endParaRPr lang="en-US"/>
        </a:p>
      </dgm:t>
    </dgm:pt>
    <dgm:pt modelId="{0AB33A09-9884-8541-ABE8-105D24CB77E2}" type="sibTrans" cxnId="{B8188A1E-7AF3-9C41-A0E5-ACB333B51366}">
      <dgm:prSet/>
      <dgm:spPr/>
      <dgm:t>
        <a:bodyPr/>
        <a:lstStyle/>
        <a:p>
          <a:endParaRPr lang="en-US"/>
        </a:p>
      </dgm:t>
    </dgm:pt>
    <dgm:pt modelId="{3E5F420F-2388-AD4C-A239-0A3B9968CF7F}">
      <dgm:prSet phldrT="[Text]"/>
      <dgm:spPr/>
      <dgm:t>
        <a:bodyPr/>
        <a:lstStyle/>
        <a:p>
          <a:r>
            <a:rPr lang="en-US"/>
            <a:t>8: Triangulation</a:t>
          </a:r>
        </a:p>
      </dgm:t>
    </dgm:pt>
    <dgm:pt modelId="{EFE2A36C-11D4-864C-9575-721198CC8DAC}" type="parTrans" cxnId="{75D6F02D-ADD9-8444-8B4E-07BE13C97802}">
      <dgm:prSet/>
      <dgm:spPr/>
      <dgm:t>
        <a:bodyPr/>
        <a:lstStyle/>
        <a:p>
          <a:endParaRPr lang="en-US"/>
        </a:p>
      </dgm:t>
    </dgm:pt>
    <dgm:pt modelId="{A4EC95DA-3679-E94E-942C-30BB1ACA8393}" type="sibTrans" cxnId="{75D6F02D-ADD9-8444-8B4E-07BE13C97802}">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2" presStyleCnt="13">
        <dgm:presLayoutVars>
          <dgm:chMax val="1"/>
          <dgm:bulletEnabled val="1"/>
        </dgm:presLayoutVars>
      </dgm:prSet>
      <dgm:spPr/>
    </dgm:pt>
    <dgm:pt modelId="{F1EE7E3F-25DA-8041-85A7-EBBF11BC4C56}" type="pres">
      <dgm:prSet presAssocID="{93105CB4-0286-ED4F-915C-092EF42A9691}" presName="descendantText" presStyleLbl="alignAcc1" presStyleIdx="2" presStyleCnt="13">
        <dgm:presLayoutVars>
          <dgm:bulletEnabled val="1"/>
        </dgm:presLayoutVars>
      </dgm:prSet>
      <dgm:spPr/>
    </dgm:pt>
    <dgm:pt modelId="{2C8A0FE6-3CCD-674F-87D7-C945364C8330}" type="pres">
      <dgm:prSet presAssocID="{72453AAB-5C0D-2D49-B812-AF99508E8E00}"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3" presStyleCnt="13">
        <dgm:presLayoutVars>
          <dgm:chMax val="1"/>
          <dgm:bulletEnabled val="1"/>
        </dgm:presLayoutVars>
      </dgm:prSet>
      <dgm:spPr/>
    </dgm:pt>
    <dgm:pt modelId="{06B263AD-CC10-0D49-8145-0C283F585CD5}" type="pres">
      <dgm:prSet presAssocID="{8A942072-3D9B-2043-8B2E-11E707170D7E}" presName="descendantText" presStyleLbl="alignAcc1" presStyleIdx="3"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4" presStyleCnt="13">
        <dgm:presLayoutVars>
          <dgm:chMax val="1"/>
          <dgm:bulletEnabled val="1"/>
        </dgm:presLayoutVars>
      </dgm:prSet>
      <dgm:spPr/>
    </dgm:pt>
    <dgm:pt modelId="{9D5418D3-F08D-8545-87B2-2FD7B1D1031E}" type="pres">
      <dgm:prSet presAssocID="{82A06431-B147-914D-A7EE-B91B75443203}" presName="descendantText" presStyleLbl="alignAcc1" presStyleIdx="4" presStyleCnt="13">
        <dgm:presLayoutVars>
          <dgm:bulletEnabled val="1"/>
        </dgm:presLayoutVars>
      </dgm:prSet>
      <dgm:spPr/>
    </dgm:pt>
    <dgm:pt modelId="{BD082DD2-36A2-F841-B83C-3B9BAF4B2B5C}" type="pres">
      <dgm:prSet presAssocID="{2927117D-194C-1341-932F-5623EB51389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3A56179D-293F-B54A-93FF-B7073A03C311}" type="pres">
      <dgm:prSet presAssocID="{3E5F420F-2388-AD4C-A239-0A3B9968CF7F}" presName="composite" presStyleCnt="0"/>
      <dgm:spPr/>
    </dgm:pt>
    <dgm:pt modelId="{6E1880FD-941E-0340-BA55-E327E32202D4}" type="pres">
      <dgm:prSet presAssocID="{3E5F420F-2388-AD4C-A239-0A3B9968CF7F}" presName="parentText" presStyleLbl="alignNode1" presStyleIdx="7" presStyleCnt="13">
        <dgm:presLayoutVars>
          <dgm:chMax val="1"/>
          <dgm:bulletEnabled val="1"/>
        </dgm:presLayoutVars>
      </dgm:prSet>
      <dgm:spPr/>
    </dgm:pt>
    <dgm:pt modelId="{96F31A78-E715-8543-9695-B46802F8816A}" type="pres">
      <dgm:prSet presAssocID="{3E5F420F-2388-AD4C-A239-0A3B9968CF7F}" presName="descendantText" presStyleLbl="alignAcc1" presStyleIdx="7" presStyleCnt="13">
        <dgm:presLayoutVars>
          <dgm:bulletEnabled val="1"/>
        </dgm:presLayoutVars>
      </dgm:prSet>
      <dgm:spPr/>
    </dgm:pt>
    <dgm:pt modelId="{C19622BA-550F-9343-8CDD-A2A4530094CE}" type="pres">
      <dgm:prSet presAssocID="{A4EC95DA-3679-E94E-942C-30BB1ACA8393}"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8B8A1305-5F1A-9B45-94C3-02D799ECED93}" srcId="{5EFAD456-F8B8-C147-9A38-D366892E8D90}" destId="{B2A22429-66BA-8444-A1C8-6126DBB1CA11}" srcOrd="1" destOrd="0" parTransId="{5A40D859-8CE1-A247-B26A-FB5BCAB7BCEE}" sibTransId="{7982AA77-FA8E-0647-B5A4-6163172ADDB0}"/>
    <dgm:cxn modelId="{AE02DF07-FD8D-AC49-A514-4679F5562C11}" type="presOf" srcId="{C458704A-A6F3-A24F-B50F-7B434CD11794}" destId="{28826DD3-E030-6044-B2F2-D85EF85F6960}" srcOrd="0" destOrd="2" presId="urn:microsoft.com/office/officeart/2005/8/layout/chevron2"/>
    <dgm:cxn modelId="{05433009-61A1-5147-8304-B8D7B6B652F4}" type="presOf" srcId="{B2A22429-66BA-8444-A1C8-6126DBB1CA11}" destId="{C174B10A-41E6-244B-88CB-0D08E5FFF5F9}" srcOrd="0" destOrd="1" presId="urn:microsoft.com/office/officeart/2005/8/layout/chevron2"/>
    <dgm:cxn modelId="{022B530A-798B-7F4E-AEB9-6126D90397DD}" type="presOf" srcId="{7438286E-8350-184E-82B3-3AAEF5F4B429}" destId="{8BDAA81E-2E4E-9C4A-9A67-4855D9BA1510}" srcOrd="0" destOrd="2"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9737A014-77AA-2343-9EF8-1AB62E400960}" srcId="{3E5F420F-2388-AD4C-A239-0A3B9968CF7F}" destId="{0B5EEED9-AADF-5646-A4EE-16C7E3C5048F}" srcOrd="0" destOrd="0" parTransId="{5F63AFFB-8796-8145-8196-16BA65A8913E}" sibTransId="{6369732A-4608-D04B-9932-9F2E14769A9F}"/>
    <dgm:cxn modelId="{2E903815-1453-334C-B037-96C8C2ABDAE1}" type="presOf" srcId="{D4381A80-7F1D-9D4D-8093-B3E6A2F1CFCA}" destId="{9D5418D3-F08D-8545-87B2-2FD7B1D1031E}" srcOrd="0" destOrd="1" presId="urn:microsoft.com/office/officeart/2005/8/layout/chevron2"/>
    <dgm:cxn modelId="{425A741B-9872-3A46-B4DA-D764BFE4CD8B}" srcId="{32BD5717-A9E6-DD44-A13C-12122D41F212}" destId="{182D19B6-9968-F54C-9803-98CF32A9110D}" srcOrd="8" destOrd="0" parTransId="{19120E65-5B26-BC4A-9EFF-5512A25AEB14}" sibTransId="{259ED567-5FE2-2F45-B806-60F8702E00F5}"/>
    <dgm:cxn modelId="{E0E1EE1D-660D-D54F-BF3D-8165DB5DBAA2}" type="presOf" srcId="{14C4AACB-BBED-FD43-880C-31C843F0061A}" destId="{F1EE7E3F-25DA-8041-85A7-EBBF11BC4C56}" srcOrd="0" destOrd="1" presId="urn:microsoft.com/office/officeart/2005/8/layout/chevron2"/>
    <dgm:cxn modelId="{B8188A1E-7AF3-9C41-A0E5-ACB333B51366}" srcId="{5EFAD456-F8B8-C147-9A38-D366892E8D90}" destId="{AC833F10-F02E-8B47-8C50-509F13936F02}" srcOrd="2" destOrd="0" parTransId="{87A6088C-E766-1F47-A8DC-65F7172EAF77}" sibTransId="{0AB33A09-9884-8541-ABE8-105D24CB77E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99A4E025-D747-824A-8DA1-9D4AD22EEF07}" type="presOf" srcId="{3E5F420F-2388-AD4C-A239-0A3B9968CF7F}" destId="{6E1880FD-941E-0340-BA55-E327E32202D4}" srcOrd="0" destOrd="0" presId="urn:microsoft.com/office/officeart/2005/8/layout/chevron2"/>
    <dgm:cxn modelId="{4EDAB526-5112-184D-A303-E1CD518FC537}" type="presOf" srcId="{0D5E0837-38B9-E148-BB11-F780782A29CB}" destId="{9D5418D3-F08D-8545-87B2-2FD7B1D1031E}" srcOrd="0" destOrd="2"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75D6F02D-ADD9-8444-8B4E-07BE13C97802}" srcId="{32BD5717-A9E6-DD44-A13C-12122D41F212}" destId="{3E5F420F-2388-AD4C-A239-0A3B9968CF7F}" srcOrd="7" destOrd="0" parTransId="{EFE2A36C-11D4-864C-9575-721198CC8DAC}" sibTransId="{A4EC95DA-3679-E94E-942C-30BB1ACA8393}"/>
    <dgm:cxn modelId="{FCC2162F-4309-1D43-B310-817F7BBDC14F}" type="presOf" srcId="{82A06431-B147-914D-A7EE-B91B75443203}" destId="{31EA3204-EDC1-4F43-84C9-41DE884256E5}" srcOrd="0" destOrd="0" presId="urn:microsoft.com/office/officeart/2005/8/layout/chevron2"/>
    <dgm:cxn modelId="{252DA42F-75C9-F444-9226-6FFA66F5417A}" type="presOf" srcId="{3528BF8B-944A-1B4D-ADBB-12D941C8C388}" destId="{E2DE84BA-2462-A242-AC94-46E19F99F1BB}" srcOrd="0" destOrd="0"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C34F5E32-3F9E-1B40-9B80-C042609F25F1}" type="presOf" srcId="{32BD5717-A9E6-DD44-A13C-12122D41F212}" destId="{DDB27B24-50BA-ED48-8BE9-4C29E6B83259}" srcOrd="0" destOrd="0" presId="urn:microsoft.com/office/officeart/2005/8/layout/chevron2"/>
    <dgm:cxn modelId="{82B09A34-918D-6744-AF4C-0009C94EC391}" type="presOf" srcId="{0D347524-7007-BE43-81AE-44B5DE652093}" destId="{28826DD3-E030-6044-B2F2-D85EF85F6960}" srcOrd="0" destOrd="1" presId="urn:microsoft.com/office/officeart/2005/8/layout/chevron2"/>
    <dgm:cxn modelId="{AC9D8B35-3E35-964E-B49F-8C40FB3AF24D}" srcId="{182D19B6-9968-F54C-9803-98CF32A9110D}" destId="{E8835EC0-86EE-3540-9564-983F3D69B9B0}" srcOrd="4" destOrd="0" parTransId="{3507EF78-030C-2546-8CBB-075D7261FCDE}" sibTransId="{7BBE6FC9-195F-5E44-BEAA-03BE4D719D22}"/>
    <dgm:cxn modelId="{C67DC537-D4CA-2944-8330-96C6C74E0394}" srcId="{32BD5717-A9E6-DD44-A13C-12122D41F212}" destId="{34B9CBCA-90AD-D946-B26E-3A6E60BB731E}" srcOrd="6" destOrd="0" parTransId="{9332FC5B-2DEC-D146-AE72-41CD6249A702}" sibTransId="{1031D2A7-8DEF-E945-AA90-68FD6C34AE22}"/>
    <dgm:cxn modelId="{EECC3F3A-D82F-7E44-A2C4-AECDB4921E95}" type="presOf" srcId="{2725BEFC-24C3-E145-86F8-460B0C16124D}" destId="{8BDAA81E-2E4E-9C4A-9A67-4855D9BA1510}" srcOrd="0" destOrd="0" presId="urn:microsoft.com/office/officeart/2005/8/layout/chevron2"/>
    <dgm:cxn modelId="{F1BB313B-CB6C-2F46-B749-220CFB6FAECD}" type="presOf" srcId="{61A2BB49-4883-F544-A634-4207B0324D62}" destId="{06B263AD-CC10-0D49-8145-0C283F585CD5}" srcOrd="0" destOrd="0"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FC25AC62-9E82-6E48-8AF0-B7A62A0E686A}" type="presOf" srcId="{2D2AF18A-8B4F-6F43-ABC1-76E3735A0A2A}" destId="{BC4A5DFE-0373-0044-B473-93ADEF2A2324}" srcOrd="0" destOrd="0" presId="urn:microsoft.com/office/officeart/2005/8/layout/chevron2"/>
    <dgm:cxn modelId="{920DAB46-7ECD-8745-9D84-A2FC5CED5417}" type="presOf" srcId="{E6055D9E-1DDE-A243-A8F6-5CDF160A3724}" destId="{C174B10A-41E6-244B-88CB-0D08E5FFF5F9}" srcOrd="0" destOrd="0" presId="urn:microsoft.com/office/officeart/2005/8/layout/chevron2"/>
    <dgm:cxn modelId="{813ED466-2EBD-8C46-9374-ACBFB67C19AA}" type="presOf" srcId="{387817B1-B48E-804E-9741-307C0F8B2DA9}" destId="{BC4A5DFE-0373-0044-B473-93ADEF2A2324}" srcOrd="0" destOrd="1" presId="urn:microsoft.com/office/officeart/2005/8/layout/chevron2"/>
    <dgm:cxn modelId="{09A33947-5F3C-4E43-8A76-BACADD283247}" type="presOf" srcId="{EE4687FF-DC98-3D4A-8B1D-75DD628798CF}" destId="{BC4A5DFE-0373-0044-B473-93ADEF2A2324}" srcOrd="0" destOrd="2" presId="urn:microsoft.com/office/officeart/2005/8/layout/chevron2"/>
    <dgm:cxn modelId="{19CF8F67-D7E3-2849-8260-B40F5A9050C3}" type="presOf" srcId="{4E401C2C-4000-C040-828A-EB0D5B3F70BC}" destId="{8BDAA81E-2E4E-9C4A-9A67-4855D9BA1510}" srcOrd="0" destOrd="1"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2AEEF368-48D3-CC4D-823B-E8D7BE2B4DD7}" type="presOf" srcId="{1EC7AB78-D724-324B-BD90-FC58EF6E0357}" destId="{48AF7672-2483-B34A-B763-89BD09AEBA58}" srcOrd="0" destOrd="0" presId="urn:microsoft.com/office/officeart/2005/8/layout/chevron2"/>
    <dgm:cxn modelId="{7BFC9C6A-2437-D24F-B986-39DC3950C009}" srcId="{32BD5717-A9E6-DD44-A13C-12122D41F212}" destId="{332543FB-BB1C-DE43-B140-C2BB789BBCB2}" srcOrd="1" destOrd="0" parTransId="{E83559AB-8184-B94E-AA65-4420DE3012DF}" sibTransId="{9F0DECA5-F8B9-2F49-B9A7-32EB3AD7D8C5}"/>
    <dgm:cxn modelId="{D087394C-086A-8947-8F33-133DA0DE779B}" type="presOf" srcId="{46C87E74-5E28-8C46-86B1-98C82A55CBAE}" destId="{6DDDE256-1CA3-1140-A939-5530FC1F57D3}" srcOrd="0" destOrd="0" presId="urn:microsoft.com/office/officeart/2005/8/layout/chevron2"/>
    <dgm:cxn modelId="{8E062E4D-AA93-CB44-A0AC-F749EB20F43A}" srcId="{32BD5717-A9E6-DD44-A13C-12122D41F212}" destId="{82A06431-B147-914D-A7EE-B91B75443203}" srcOrd="4" destOrd="0" parTransId="{13C96808-67BD-174F-B855-16ACA3400941}" sibTransId="{2927117D-194C-1341-932F-5623EB513890}"/>
    <dgm:cxn modelId="{DB45DB70-DF82-0541-8DD9-687162D958F1}" type="presOf" srcId="{AB849386-BBEF-244B-A2A1-1BE27622D72F}" destId="{844AC346-AEB9-A649-8C9D-DBF2769C8FFC}" srcOrd="0" destOrd="0"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6C7B0773-978D-2D43-BC38-B6AD96736275}" type="presOf" srcId="{125C0A60-1A53-5F41-A8F9-BD71D1144F62}" destId="{C80BEB0B-E1AB-4443-9F91-9D6894D7833E}" srcOrd="0" destOrd="0" presId="urn:microsoft.com/office/officeart/2005/8/layout/chevron2"/>
    <dgm:cxn modelId="{EBCA7454-0A4D-574C-AF9E-ACF2192F6A69}" srcId="{34B9CBCA-90AD-D946-B26E-3A6E60BB731E}" destId="{EEF349EC-A16C-6E4F-8464-6BD71940F70C}" srcOrd="2" destOrd="0" parTransId="{4EF4EBD5-8084-7D4A-BB5E-4EF2C5C94F99}" sibTransId="{A325D897-3CF3-2444-BCE0-FB27A2B93D02}"/>
    <dgm:cxn modelId="{13EED476-7FE7-2A4C-B41F-655E03D4DE35}" type="presOf" srcId="{318E09D1-A59D-2E4B-A3CC-C2FF16965C43}" destId="{E2DE84BA-2462-A242-AC94-46E19F99F1BB}" srcOrd="0" destOrd="1" presId="urn:microsoft.com/office/officeart/2005/8/layout/chevron2"/>
    <dgm:cxn modelId="{1CF02E77-0640-6543-8AED-8A5F5C78BA99}" type="presOf" srcId="{8A942072-3D9B-2043-8B2E-11E707170D7E}" destId="{A0202F08-BEC9-8F43-8711-F30ADE817D18}" srcOrd="0" destOrd="0" presId="urn:microsoft.com/office/officeart/2005/8/layout/chevron2"/>
    <dgm:cxn modelId="{7CCA3577-052A-E54E-8A65-B79C9D3D7282}" srcId="{32BD5717-A9E6-DD44-A13C-12122D41F212}" destId="{5EFAD456-F8B8-C147-9A38-D366892E8D90}" srcOrd="10" destOrd="0" parTransId="{AEC4A29C-080E-714E-8C55-A165817C6F84}" sibTransId="{69AAF0EB-9438-D048-8CCB-3ADC0E6ED07B}"/>
    <dgm:cxn modelId="{88644878-EA63-2240-98C8-6D11858CDCEA}" type="presOf" srcId="{BE8AC978-0FAD-5E4D-B281-1B7DC61EC809}" destId="{C80BEB0B-E1AB-4443-9F91-9D6894D7833E}" srcOrd="0" destOrd="1" presId="urn:microsoft.com/office/officeart/2005/8/layout/chevron2"/>
    <dgm:cxn modelId="{6B035778-3699-BA41-8253-0FD459BF639E}" type="presOf" srcId="{AC833F10-F02E-8B47-8C50-509F13936F02}" destId="{C174B10A-41E6-244B-88CB-0D08E5FFF5F9}" srcOrd="0" destOrd="2" presId="urn:microsoft.com/office/officeart/2005/8/layout/chevron2"/>
    <dgm:cxn modelId="{941CFF7A-D638-8A4B-8278-95DAB8637AEE}" srcId="{32BD5717-A9E6-DD44-A13C-12122D41F212}" destId="{8A942072-3D9B-2043-8B2E-11E707170D7E}" srcOrd="3"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4CA3AF7D-583F-F846-B3A2-6880DDA38C79}" type="presOf" srcId="{555C02C0-6BC9-D540-8A82-3666CC61D37F}" destId="{DCD4A931-4F01-F440-965B-DC25AA6FE080}" srcOrd="0" destOrd="0" presId="urn:microsoft.com/office/officeart/2005/8/layout/chevron2"/>
    <dgm:cxn modelId="{C2637380-4378-9541-964A-D6E21D69FAFC}" srcId="{34B9CBCA-90AD-D946-B26E-3A6E60BB731E}" destId="{817AAD11-541C-8040-B8E6-60D63F44FF6E}" srcOrd="1" destOrd="0" parTransId="{820D5C7D-3565-B841-B802-D79FD186F3F0}" sibTransId="{DBDC58F4-53C2-3143-8B2E-16E385E444FB}"/>
    <dgm:cxn modelId="{5CC3D084-5203-AB40-A0F4-1A0D0B4B3789}" type="presOf" srcId="{34B9CBCA-90AD-D946-B26E-3A6E60BB731E}" destId="{B9872B13-1174-E847-A615-29577404DF21}"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BEAAC78F-C259-DF45-81A2-2EBCFEAF2FCD}" type="presOf" srcId="{0B5EEED9-AADF-5646-A4EE-16C7E3C5048F}" destId="{96F31A78-E715-8543-9695-B46802F8816A}" srcOrd="0" destOrd="0"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A0835094-D952-DC49-84C5-28C9FBB8BCE4}" type="presOf" srcId="{18ABC2A5-DCE7-414C-AE08-6EAE4EA2FE6D}" destId="{E2DE84BA-2462-A242-AC94-46E19F99F1BB}" srcOrd="0" destOrd="2" presId="urn:microsoft.com/office/officeart/2005/8/layout/chevron2"/>
    <dgm:cxn modelId="{7724FB94-3CBB-FF4F-A88F-DF25BA3B4755}" srcId="{332543FB-BB1C-DE43-B140-C2BB789BBCB2}" destId="{4E401C2C-4000-C040-828A-EB0D5B3F70BC}" srcOrd="1" destOrd="0" parTransId="{3CFB846A-189E-294E-B017-5A9A4DD6CEDE}" sibTransId="{ECEB1A3F-3DD8-E248-9697-8F101B01851A}"/>
    <dgm:cxn modelId="{06495397-CAFB-8346-B6DD-C62B8755406E}" srcId="{93105CB4-0286-ED4F-915C-092EF42A9691}" destId="{14C4AACB-BBED-FD43-880C-31C843F0061A}" srcOrd="1" destOrd="0" parTransId="{DFED4DE2-2306-C34E-907E-763B913F06DC}" sibTransId="{8C3CD2B7-B9B1-6B48-BD9C-4F4D55283F81}"/>
    <dgm:cxn modelId="{C2A5ACA1-F1A9-1347-BEAB-34809B48CF85}" srcId="{32BD5717-A9E6-DD44-A13C-12122D41F212}" destId="{46C87E74-5E28-8C46-86B1-98C82A55CBAE}" srcOrd="11" destOrd="0" parTransId="{2A9B7400-96EA-AD40-9D11-2744CE1FE9E5}" sibTransId="{04801474-7BFD-AC4B-9CCF-28521DEC6DB6}"/>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96D3FBA6-EB0B-7742-8CEC-4FE5681F7A45}" type="presOf" srcId="{182D19B6-9968-F54C-9803-98CF32A9110D}" destId="{E86BF6A3-BA90-BB43-908F-24E76E7D1587}" srcOrd="0" destOrd="0" presId="urn:microsoft.com/office/officeart/2005/8/layout/chevron2"/>
    <dgm:cxn modelId="{97DBCFA9-7AD1-1D45-B0BB-306D67169C1D}" type="presOf" srcId="{3F3526C7-6ED1-AA46-BF20-1B9948A084E5}" destId="{06B263AD-CC10-0D49-8145-0C283F585CD5}" srcOrd="0" destOrd="2" presId="urn:microsoft.com/office/officeart/2005/8/layout/chevron2"/>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2" destOrd="0" parTransId="{A4EA5788-EDE5-E443-B24A-EA951734FC41}" sibTransId="{72453AAB-5C0D-2D49-B812-AF99508E8E00}"/>
    <dgm:cxn modelId="{1AC4BCBE-5D59-A54A-8D00-87E4FEAAE3D3}" type="presOf" srcId="{CF8D6B60-3FEF-0048-B019-B0883DEB78C2}" destId="{06B263AD-CC10-0D49-8145-0C283F585CD5}" srcOrd="0" destOrd="1"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B6687DC7-3117-AC4F-9900-BE6474462FA9}" type="presOf" srcId="{65337D44-9B2C-044E-AEF9-F665764413CE}" destId="{9D5418D3-F08D-8545-87B2-2FD7B1D1031E}" srcOrd="0" destOrd="0" presId="urn:microsoft.com/office/officeart/2005/8/layout/chevron2"/>
    <dgm:cxn modelId="{70E433C8-C482-5B44-AB90-4985E6FFF6F2}" type="presOf" srcId="{817AAD11-541C-8040-B8E6-60D63F44FF6E}" destId="{DCD4A931-4F01-F440-965B-DC25AA6FE080}" srcOrd="0" destOrd="1" presId="urn:microsoft.com/office/officeart/2005/8/layout/chevron2"/>
    <dgm:cxn modelId="{E2F329CF-5D02-3241-B348-50CB30650C25}" srcId="{182D19B6-9968-F54C-9803-98CF32A9110D}" destId="{318E09D1-A59D-2E4B-A3CC-C2FF16965C43}" srcOrd="1" destOrd="0" parTransId="{692F5075-8AA7-1545-9821-5B796547FE98}" sibTransId="{C3BC74F0-F4E6-BD4C-8197-893C2058CDAE}"/>
    <dgm:cxn modelId="{B240DCD7-3069-C745-95A1-FC23E3B81600}" type="presOf" srcId="{332543FB-BB1C-DE43-B140-C2BB789BBCB2}" destId="{B422BFF3-8BFD-2144-8980-375702EA9496}" srcOrd="0" destOrd="0" presId="urn:microsoft.com/office/officeart/2005/8/layout/chevron2"/>
    <dgm:cxn modelId="{B25C6DDB-F9E6-DD4A-A894-6CB0923A49A0}" type="presOf" srcId="{A8C6C2DC-42DC-4841-8B38-6F4C4E8905E8}" destId="{B88D95AA-AFFF-224F-9EBE-1226F2119586}" srcOrd="0" destOrd="0" presId="urn:microsoft.com/office/officeart/2005/8/layout/chevron2"/>
    <dgm:cxn modelId="{828A5ADB-597F-1A42-8FF2-4900D57B5BC4}" type="presOf" srcId="{E8835EC0-86EE-3540-9564-983F3D69B9B0}" destId="{E2DE84BA-2462-A242-AC94-46E19F99F1BB}" srcOrd="0" destOrd="4" presId="urn:microsoft.com/office/officeart/2005/8/layout/chevron2"/>
    <dgm:cxn modelId="{274A2DE0-4D64-5E48-8038-9CDBCB10CC65}" type="presOf" srcId="{5EFAD456-F8B8-C147-9A38-D366892E8D90}" destId="{ED0EEAAD-1F9F-C445-9ED5-D61D26A0F8D1}" srcOrd="0" destOrd="0" presId="urn:microsoft.com/office/officeart/2005/8/layout/chevron2"/>
    <dgm:cxn modelId="{EF3BAAE0-66F0-E44B-9F03-1C9C1DB9EEBE}" type="presOf" srcId="{718C1A72-EF39-DD4E-BFDE-F45DD7D520FB}" destId="{B3EE9CE6-0ABB-F14B-8299-D4BFC2EC579D}" srcOrd="0" destOrd="0" presId="urn:microsoft.com/office/officeart/2005/8/layout/chevron2"/>
    <dgm:cxn modelId="{93E68BE1-2295-B147-B8FE-7D750FB38025}" type="presOf" srcId="{A177B3ED-63C5-3348-B066-3691D8643EDE}" destId="{F1EE7E3F-25DA-8041-85A7-EBBF11BC4C56}" srcOrd="0" destOrd="0" presId="urn:microsoft.com/office/officeart/2005/8/layout/chevron2"/>
    <dgm:cxn modelId="{D0A978EA-521D-E54D-8088-256B39EBF955}" type="presOf" srcId="{6AEE21D3-4CB1-7443-AC17-5D71D849EEF3}" destId="{28826DD3-E030-6044-B2F2-D85EF85F6960}" srcOrd="0" destOrd="0"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4EDB36F2-7415-C240-ACB0-5373C67912E9}" srcId="{5EFAD456-F8B8-C147-9A38-D366892E8D90}" destId="{E6055D9E-1DDE-A243-A8F6-5CDF160A3724}" srcOrd="0" destOrd="0" parTransId="{0B1DC3A5-5264-CD49-8D31-3B1A5E86C1C7}" sibTransId="{6C856E09-93CE-D348-B575-16FE79947A8D}"/>
    <dgm:cxn modelId="{44192EF4-9A63-9041-9EE5-95A47C6A952C}" type="presOf" srcId="{93105CB4-0286-ED4F-915C-092EF42A9691}" destId="{CCC28DE8-0568-7547-9A1F-3C6F0F33A2CF}" srcOrd="0" destOrd="0" presId="urn:microsoft.com/office/officeart/2005/8/layout/chevron2"/>
    <dgm:cxn modelId="{9908D6F4-C0F5-4542-868B-44F5EF4B2245}" srcId="{93105CB4-0286-ED4F-915C-092EF42A9691}" destId="{A177B3ED-63C5-3348-B066-3691D8643EDE}" srcOrd="0" destOrd="0" parTransId="{2716D8C5-47EC-914C-A0C1-738796E8B970}" sibTransId="{8A8CA50E-7D69-3145-B4F9-FFF4F50F2CC8}"/>
    <dgm:cxn modelId="{B220E8F4-AFB8-AA4B-931E-F387619DE8F2}" type="presOf" srcId="{B81682CE-3DAA-7547-977E-5CA5485D7B79}" destId="{E2DE84BA-2462-A242-AC94-46E19F99F1BB}" srcOrd="0" destOrd="3" presId="urn:microsoft.com/office/officeart/2005/8/layout/chevron2"/>
    <dgm:cxn modelId="{598240F5-F87C-AE44-8986-2C05586D89F8}" srcId="{32BD5717-A9E6-DD44-A13C-12122D41F212}" destId="{A8C6C2DC-42DC-4841-8B38-6F4C4E8905E8}" srcOrd="9" destOrd="0" parTransId="{8A5F89D1-42B4-1148-8907-D7CC48A00BFD}" sibTransId="{9073B681-2853-EB4F-BA4E-A12B1C47BB5F}"/>
    <dgm:cxn modelId="{A3D7ACF7-2BA2-4F49-A0E0-7346B1E54F6B}" srcId="{82A06431-B147-914D-A7EE-B91B75443203}" destId="{0D5E0837-38B9-E148-BB11-F780782A29CB}" srcOrd="2" destOrd="0" parTransId="{22B50FC3-BF2E-BC48-A0D0-DF6C126E5EEE}" sibTransId="{BF3788D2-6547-5A48-A40F-C81D634AEA59}"/>
    <dgm:cxn modelId="{CC5F85FA-7F19-AB44-9FD2-0798ECD725FA}" type="presOf" srcId="{EEF349EC-A16C-6E4F-8464-6BD71940F70C}" destId="{DCD4A931-4F01-F440-965B-DC25AA6FE080}" srcOrd="0" destOrd="2"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0233E5FF-37AD-FE46-A60A-752DE0EABB2F}" type="presParOf" srcId="{DDB27B24-50BA-ED48-8BE9-4C29E6B83259}" destId="{B4D05EFA-2710-E24E-95A8-E5ADA436F1BA}" srcOrd="0" destOrd="0" presId="urn:microsoft.com/office/officeart/2005/8/layout/chevron2"/>
    <dgm:cxn modelId="{AFBA5919-EB15-9549-A4F1-DD01BA40834A}" type="presParOf" srcId="{B4D05EFA-2710-E24E-95A8-E5ADA436F1BA}" destId="{B3EE9CE6-0ABB-F14B-8299-D4BFC2EC579D}" srcOrd="0" destOrd="0" presId="urn:microsoft.com/office/officeart/2005/8/layout/chevron2"/>
    <dgm:cxn modelId="{9EC0F527-F773-A641-8A35-84C0ACD1249B}" type="presParOf" srcId="{B4D05EFA-2710-E24E-95A8-E5ADA436F1BA}" destId="{28826DD3-E030-6044-B2F2-D85EF85F6960}" srcOrd="1" destOrd="0" presId="urn:microsoft.com/office/officeart/2005/8/layout/chevron2"/>
    <dgm:cxn modelId="{D5524933-8065-A64F-ADD5-4E13B3FC93F1}" type="presParOf" srcId="{DDB27B24-50BA-ED48-8BE9-4C29E6B83259}" destId="{585C7840-A253-9640-BBF2-282E7F35583D}" srcOrd="1" destOrd="0" presId="urn:microsoft.com/office/officeart/2005/8/layout/chevron2"/>
    <dgm:cxn modelId="{F421C646-2F83-B246-B93D-618691D7A55F}" type="presParOf" srcId="{DDB27B24-50BA-ED48-8BE9-4C29E6B83259}" destId="{725C6BB0-2454-F04B-AEC7-CF75FCBB3A74}" srcOrd="2" destOrd="0" presId="urn:microsoft.com/office/officeart/2005/8/layout/chevron2"/>
    <dgm:cxn modelId="{4C373456-36EE-3046-8856-461891CD41D5}" type="presParOf" srcId="{725C6BB0-2454-F04B-AEC7-CF75FCBB3A74}" destId="{B422BFF3-8BFD-2144-8980-375702EA9496}" srcOrd="0" destOrd="0" presId="urn:microsoft.com/office/officeart/2005/8/layout/chevron2"/>
    <dgm:cxn modelId="{4F3050C4-DADB-E24C-976A-9E49FD3E552C}" type="presParOf" srcId="{725C6BB0-2454-F04B-AEC7-CF75FCBB3A74}" destId="{8BDAA81E-2E4E-9C4A-9A67-4855D9BA1510}" srcOrd="1" destOrd="0" presId="urn:microsoft.com/office/officeart/2005/8/layout/chevron2"/>
    <dgm:cxn modelId="{D74D69CD-196A-1C45-8419-5DD4A3898BA5}" type="presParOf" srcId="{DDB27B24-50BA-ED48-8BE9-4C29E6B83259}" destId="{D756A8C3-50EB-084A-8277-DD5831B4E8C7}" srcOrd="3" destOrd="0" presId="urn:microsoft.com/office/officeart/2005/8/layout/chevron2"/>
    <dgm:cxn modelId="{D20B0C30-980A-BA4D-B7A2-FFBE7069E73C}" type="presParOf" srcId="{DDB27B24-50BA-ED48-8BE9-4C29E6B83259}" destId="{C371305F-B72D-3C44-BB22-E50B26871DA6}" srcOrd="4" destOrd="0" presId="urn:microsoft.com/office/officeart/2005/8/layout/chevron2"/>
    <dgm:cxn modelId="{C25BF0E2-E60A-5546-957A-8366ACCF8BEA}" type="presParOf" srcId="{C371305F-B72D-3C44-BB22-E50B26871DA6}" destId="{CCC28DE8-0568-7547-9A1F-3C6F0F33A2CF}" srcOrd="0" destOrd="0" presId="urn:microsoft.com/office/officeart/2005/8/layout/chevron2"/>
    <dgm:cxn modelId="{3BECE8E0-7A74-614A-99EE-EE6E17F263DF}" type="presParOf" srcId="{C371305F-B72D-3C44-BB22-E50B26871DA6}" destId="{F1EE7E3F-25DA-8041-85A7-EBBF11BC4C56}" srcOrd="1" destOrd="0" presId="urn:microsoft.com/office/officeart/2005/8/layout/chevron2"/>
    <dgm:cxn modelId="{993875F4-B716-1D40-ABF1-53478BFFDD97}" type="presParOf" srcId="{DDB27B24-50BA-ED48-8BE9-4C29E6B83259}" destId="{2C8A0FE6-3CCD-674F-87D7-C945364C8330}" srcOrd="5" destOrd="0" presId="urn:microsoft.com/office/officeart/2005/8/layout/chevron2"/>
    <dgm:cxn modelId="{0F9DC875-4A65-BB46-9DC3-1821C06B9AFC}" type="presParOf" srcId="{DDB27B24-50BA-ED48-8BE9-4C29E6B83259}" destId="{D669929D-DE6F-0D40-8D4A-1736805AD131}" srcOrd="6" destOrd="0" presId="urn:microsoft.com/office/officeart/2005/8/layout/chevron2"/>
    <dgm:cxn modelId="{C72B2CA8-974F-A644-8805-1B708E54DBC0}" type="presParOf" srcId="{D669929D-DE6F-0D40-8D4A-1736805AD131}" destId="{A0202F08-BEC9-8F43-8711-F30ADE817D18}" srcOrd="0" destOrd="0" presId="urn:microsoft.com/office/officeart/2005/8/layout/chevron2"/>
    <dgm:cxn modelId="{3D02CF25-7DEF-A64B-849D-F1321B438556}" type="presParOf" srcId="{D669929D-DE6F-0D40-8D4A-1736805AD131}" destId="{06B263AD-CC10-0D49-8145-0C283F585CD5}" srcOrd="1" destOrd="0" presId="urn:microsoft.com/office/officeart/2005/8/layout/chevron2"/>
    <dgm:cxn modelId="{7CF73DDA-DBCF-284E-B627-90146533A174}" type="presParOf" srcId="{DDB27B24-50BA-ED48-8BE9-4C29E6B83259}" destId="{B5F0F139-C5B5-F942-A092-8BB086CFFEFA}" srcOrd="7" destOrd="0" presId="urn:microsoft.com/office/officeart/2005/8/layout/chevron2"/>
    <dgm:cxn modelId="{32D7E9FE-4A8B-B147-99A0-914EAD2D24A7}" type="presParOf" srcId="{DDB27B24-50BA-ED48-8BE9-4C29E6B83259}" destId="{A6A53311-4EDF-944C-B7A8-A929BD874343}" srcOrd="8" destOrd="0" presId="urn:microsoft.com/office/officeart/2005/8/layout/chevron2"/>
    <dgm:cxn modelId="{A51D3075-DDAA-7844-9949-DC78F91C4A71}" type="presParOf" srcId="{A6A53311-4EDF-944C-B7A8-A929BD874343}" destId="{31EA3204-EDC1-4F43-84C9-41DE884256E5}" srcOrd="0" destOrd="0" presId="urn:microsoft.com/office/officeart/2005/8/layout/chevron2"/>
    <dgm:cxn modelId="{4119327F-32DA-764E-84EA-AD4A73D65F36}" type="presParOf" srcId="{A6A53311-4EDF-944C-B7A8-A929BD874343}" destId="{9D5418D3-F08D-8545-87B2-2FD7B1D1031E}" srcOrd="1" destOrd="0" presId="urn:microsoft.com/office/officeart/2005/8/layout/chevron2"/>
    <dgm:cxn modelId="{4E3F0772-0F09-EF49-809E-6E9CE06DD8AE}" type="presParOf" srcId="{DDB27B24-50BA-ED48-8BE9-4C29E6B83259}" destId="{BD082DD2-36A2-F841-B83C-3B9BAF4B2B5C}" srcOrd="9" destOrd="0" presId="urn:microsoft.com/office/officeart/2005/8/layout/chevron2"/>
    <dgm:cxn modelId="{FCD80B98-C122-8341-8AC9-958E5B846B6D}" type="presParOf" srcId="{DDB27B24-50BA-ED48-8BE9-4C29E6B83259}" destId="{C8A774E9-C669-9C42-8FD8-567A31043E1A}" srcOrd="10" destOrd="0" presId="urn:microsoft.com/office/officeart/2005/8/layout/chevron2"/>
    <dgm:cxn modelId="{87AB9E0C-2F03-5F4B-B802-56D077D9A0CF}" type="presParOf" srcId="{C8A774E9-C669-9C42-8FD8-567A31043E1A}" destId="{844AC346-AEB9-A649-8C9D-DBF2769C8FFC}" srcOrd="0" destOrd="0" presId="urn:microsoft.com/office/officeart/2005/8/layout/chevron2"/>
    <dgm:cxn modelId="{B9CB4463-A992-4746-890E-C4E37CDD42EB}" type="presParOf" srcId="{C8A774E9-C669-9C42-8FD8-567A31043E1A}" destId="{C80BEB0B-E1AB-4443-9F91-9D6894D7833E}" srcOrd="1" destOrd="0" presId="urn:microsoft.com/office/officeart/2005/8/layout/chevron2"/>
    <dgm:cxn modelId="{043F0F60-2293-304E-95F0-032A2F486FD5}" type="presParOf" srcId="{DDB27B24-50BA-ED48-8BE9-4C29E6B83259}" destId="{59BB4FCD-F10D-9947-BE1C-B71549A60A1E}" srcOrd="11" destOrd="0" presId="urn:microsoft.com/office/officeart/2005/8/layout/chevron2"/>
    <dgm:cxn modelId="{53D4D5E2-7A2C-EF4F-B630-2C7A4C380DAD}" type="presParOf" srcId="{DDB27B24-50BA-ED48-8BE9-4C29E6B83259}" destId="{9EA93BB1-069D-5E45-B7BF-50881B2F72E6}" srcOrd="12" destOrd="0" presId="urn:microsoft.com/office/officeart/2005/8/layout/chevron2"/>
    <dgm:cxn modelId="{791EB3D3-84D3-D646-99C1-17525D90B31E}" type="presParOf" srcId="{9EA93BB1-069D-5E45-B7BF-50881B2F72E6}" destId="{B9872B13-1174-E847-A615-29577404DF21}" srcOrd="0" destOrd="0" presId="urn:microsoft.com/office/officeart/2005/8/layout/chevron2"/>
    <dgm:cxn modelId="{5E4C69DA-1043-504A-B486-C328F582BA98}" type="presParOf" srcId="{9EA93BB1-069D-5E45-B7BF-50881B2F72E6}" destId="{DCD4A931-4F01-F440-965B-DC25AA6FE080}" srcOrd="1" destOrd="0" presId="urn:microsoft.com/office/officeart/2005/8/layout/chevron2"/>
    <dgm:cxn modelId="{89A14D8D-6880-1843-A893-1389244EBD62}" type="presParOf" srcId="{DDB27B24-50BA-ED48-8BE9-4C29E6B83259}" destId="{201CAB8F-4C7F-6E4E-9169-C9E7B5CBE404}" srcOrd="13" destOrd="0" presId="urn:microsoft.com/office/officeart/2005/8/layout/chevron2"/>
    <dgm:cxn modelId="{BFE2DC98-0643-EA40-9CFA-5826C0A3D5CC}" type="presParOf" srcId="{DDB27B24-50BA-ED48-8BE9-4C29E6B83259}" destId="{3A56179D-293F-B54A-93FF-B7073A03C311}" srcOrd="14" destOrd="0" presId="urn:microsoft.com/office/officeart/2005/8/layout/chevron2"/>
    <dgm:cxn modelId="{0739ADBF-2A10-7344-8F0C-1D5DC49D8230}" type="presParOf" srcId="{3A56179D-293F-B54A-93FF-B7073A03C311}" destId="{6E1880FD-941E-0340-BA55-E327E32202D4}" srcOrd="0" destOrd="0" presId="urn:microsoft.com/office/officeart/2005/8/layout/chevron2"/>
    <dgm:cxn modelId="{EE063A0A-06BA-514D-B964-9B1FBA5913AC}" type="presParOf" srcId="{3A56179D-293F-B54A-93FF-B7073A03C311}" destId="{96F31A78-E715-8543-9695-B46802F8816A}" srcOrd="1" destOrd="0" presId="urn:microsoft.com/office/officeart/2005/8/layout/chevron2"/>
    <dgm:cxn modelId="{09EB1528-0786-644C-891F-952F427C8324}" type="presParOf" srcId="{DDB27B24-50BA-ED48-8BE9-4C29E6B83259}" destId="{C19622BA-550F-9343-8CDD-A2A4530094CE}" srcOrd="15" destOrd="0" presId="urn:microsoft.com/office/officeart/2005/8/layout/chevron2"/>
    <dgm:cxn modelId="{7538031B-E722-3148-9C57-2AEECBBD5D55}" type="presParOf" srcId="{DDB27B24-50BA-ED48-8BE9-4C29E6B83259}" destId="{C588B7A2-4017-6643-93CD-7EB3E7875B06}" srcOrd="16" destOrd="0" presId="urn:microsoft.com/office/officeart/2005/8/layout/chevron2"/>
    <dgm:cxn modelId="{39AB20EE-6300-0542-8CD7-E665B6469B51}" type="presParOf" srcId="{C588B7A2-4017-6643-93CD-7EB3E7875B06}" destId="{E86BF6A3-BA90-BB43-908F-24E76E7D1587}" srcOrd="0" destOrd="0" presId="urn:microsoft.com/office/officeart/2005/8/layout/chevron2"/>
    <dgm:cxn modelId="{EB73BBD9-9A37-BF43-ADE9-14CDA996E1BB}" type="presParOf" srcId="{C588B7A2-4017-6643-93CD-7EB3E7875B06}" destId="{E2DE84BA-2462-A242-AC94-46E19F99F1BB}" srcOrd="1" destOrd="0" presId="urn:microsoft.com/office/officeart/2005/8/layout/chevron2"/>
    <dgm:cxn modelId="{51667BF0-1E51-1A41-A1F6-6D36FD1584CE}" type="presParOf" srcId="{DDB27B24-50BA-ED48-8BE9-4C29E6B83259}" destId="{C2AB1E69-06F4-D043-944B-D85D9601ACA6}" srcOrd="17" destOrd="0" presId="urn:microsoft.com/office/officeart/2005/8/layout/chevron2"/>
    <dgm:cxn modelId="{28FFB64B-0561-3648-A82C-512EAA7FA9AC}" type="presParOf" srcId="{DDB27B24-50BA-ED48-8BE9-4C29E6B83259}" destId="{51C6866E-9F56-9A45-ADF2-6F81F533274A}" srcOrd="18" destOrd="0" presId="urn:microsoft.com/office/officeart/2005/8/layout/chevron2"/>
    <dgm:cxn modelId="{4E1E5A11-B62C-8F46-ADB0-8C1185056731}" type="presParOf" srcId="{51C6866E-9F56-9A45-ADF2-6F81F533274A}" destId="{B88D95AA-AFFF-224F-9EBE-1226F2119586}" srcOrd="0" destOrd="0" presId="urn:microsoft.com/office/officeart/2005/8/layout/chevron2"/>
    <dgm:cxn modelId="{33F2D5F1-AACB-8D49-95CB-9ABC3261186F}" type="presParOf" srcId="{51C6866E-9F56-9A45-ADF2-6F81F533274A}" destId="{BC4A5DFE-0373-0044-B473-93ADEF2A2324}" srcOrd="1" destOrd="0" presId="urn:microsoft.com/office/officeart/2005/8/layout/chevron2"/>
    <dgm:cxn modelId="{8F52405B-B36C-4340-89D4-ED1DAD01EFA9}" type="presParOf" srcId="{DDB27B24-50BA-ED48-8BE9-4C29E6B83259}" destId="{01E3A2D8-2E7D-6941-B2B2-FA006E31EF08}" srcOrd="19" destOrd="0" presId="urn:microsoft.com/office/officeart/2005/8/layout/chevron2"/>
    <dgm:cxn modelId="{7D12B67F-9A23-1747-9EAB-92D9BFE81ABA}" type="presParOf" srcId="{DDB27B24-50BA-ED48-8BE9-4C29E6B83259}" destId="{37D2DAC8-74EC-BF4C-831D-920A9C40B9D5}" srcOrd="20" destOrd="0" presId="urn:microsoft.com/office/officeart/2005/8/layout/chevron2"/>
    <dgm:cxn modelId="{1269EA0C-019A-2544-9997-E40D173C0E4C}" type="presParOf" srcId="{37D2DAC8-74EC-BF4C-831D-920A9C40B9D5}" destId="{ED0EEAAD-1F9F-C445-9ED5-D61D26A0F8D1}" srcOrd="0" destOrd="0" presId="urn:microsoft.com/office/officeart/2005/8/layout/chevron2"/>
    <dgm:cxn modelId="{D924F468-509A-D34A-98A3-ED5E7FD8A7C1}" type="presParOf" srcId="{37D2DAC8-74EC-BF4C-831D-920A9C40B9D5}" destId="{C174B10A-41E6-244B-88CB-0D08E5FFF5F9}" srcOrd="1" destOrd="0" presId="urn:microsoft.com/office/officeart/2005/8/layout/chevron2"/>
    <dgm:cxn modelId="{184E9B77-1F58-DC46-8DBF-A335AAA26647}" type="presParOf" srcId="{DDB27B24-50BA-ED48-8BE9-4C29E6B83259}" destId="{43FB22C6-B891-E44F-B0D7-B9F71AB372F1}" srcOrd="21" destOrd="0" presId="urn:microsoft.com/office/officeart/2005/8/layout/chevron2"/>
    <dgm:cxn modelId="{1A595978-3C02-B14F-82A0-602DECFAE629}" type="presParOf" srcId="{DDB27B24-50BA-ED48-8BE9-4C29E6B83259}" destId="{73DF1BD6-49ED-134F-A291-CE4DB94547A9}" srcOrd="22" destOrd="0" presId="urn:microsoft.com/office/officeart/2005/8/layout/chevron2"/>
    <dgm:cxn modelId="{36EBD9A1-47D2-3B4B-80CD-4D95832B3D83}" type="presParOf" srcId="{73DF1BD6-49ED-134F-A291-CE4DB94547A9}" destId="{6DDDE256-1CA3-1140-A939-5530FC1F57D3}" srcOrd="0" destOrd="0" presId="urn:microsoft.com/office/officeart/2005/8/layout/chevron2"/>
    <dgm:cxn modelId="{AABF6287-DA53-EC42-BACE-8AC5E0217141}" type="presParOf" srcId="{73DF1BD6-49ED-134F-A291-CE4DB94547A9}" destId="{999FDDA9-9F6A-1143-BE3C-B1E07CBE9945}" srcOrd="1" destOrd="0" presId="urn:microsoft.com/office/officeart/2005/8/layout/chevron2"/>
    <dgm:cxn modelId="{CB971BE4-4175-004D-929D-A5D0B8B27307}" type="presParOf" srcId="{DDB27B24-50BA-ED48-8BE9-4C29E6B83259}" destId="{A73ECDF3-49A4-0948-BD1F-387AF7BD3FC1}" srcOrd="23" destOrd="0" presId="urn:microsoft.com/office/officeart/2005/8/layout/chevron2"/>
    <dgm:cxn modelId="{7F45A594-174F-5640-ABCB-6138C85A0FD5}" type="presParOf" srcId="{DDB27B24-50BA-ED48-8BE9-4C29E6B83259}" destId="{F2D2A481-D011-064A-92C0-32CD4D676904}" srcOrd="24" destOrd="0" presId="urn:microsoft.com/office/officeart/2005/8/layout/chevron2"/>
    <dgm:cxn modelId="{7AE561B7-AE35-0943-87BB-1B634280A2DE}" type="presParOf" srcId="{F2D2A481-D011-064A-92C0-32CD4D676904}" destId="{48AF7672-2483-B34A-B763-89BD09AEBA58}" srcOrd="0" destOrd="0" presId="urn:microsoft.com/office/officeart/2005/8/layout/chevron2"/>
    <dgm:cxn modelId="{35A585C1-A033-1C47-9A36-03EF78FDCC81}"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a:solidFill>
          <a:srgbClr val="800000"/>
        </a:solidFill>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custT="1"/>
      <dgm:spPr>
        <a:solidFill>
          <a:srgbClr val="800000">
            <a:alpha val="90000"/>
          </a:srgbClr>
        </a:solidFill>
      </dgm:spPr>
      <dgm:t>
        <a:bodyPr/>
        <a:lstStyle/>
        <a:p>
          <a:r>
            <a:rPr lang="en-US" sz="900">
              <a:solidFill>
                <a:srgbClr val="FFFFFF"/>
              </a:solidFill>
            </a:rPr>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custT="1"/>
      <dgm:spPr>
        <a:solidFill>
          <a:srgbClr val="800000">
            <a:alpha val="90000"/>
          </a:srgbClr>
        </a:solidFill>
      </dgm:spPr>
      <dgm:t>
        <a:bodyPr/>
        <a:lstStyle/>
        <a:p>
          <a:r>
            <a:rPr lang="en-US" sz="900">
              <a:solidFill>
                <a:srgbClr val="FFFFFF"/>
              </a:solidFill>
            </a:rPr>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C7FAF0D1-DF62-9641-BAE6-D74FD5952FE7}">
      <dgm:prSet phldrT="[Text]"/>
      <dgm:spPr/>
      <dgm:t>
        <a:bodyPr/>
        <a:lstStyle/>
        <a:p>
          <a:r>
            <a:rPr lang="en-US"/>
            <a:t>Responsibility</a:t>
          </a:r>
        </a:p>
      </dgm:t>
    </dgm:pt>
    <dgm:pt modelId="{8E8A3E0B-6968-0C4B-A853-946284736E55}" type="parTrans" cxnId="{EAFCA7E3-0F77-4D4A-A954-3175B2AF25A2}">
      <dgm:prSet/>
      <dgm:spPr/>
      <dgm:t>
        <a:bodyPr/>
        <a:lstStyle/>
        <a:p>
          <a:endParaRPr lang="en-US"/>
        </a:p>
      </dgm:t>
    </dgm:pt>
    <dgm:pt modelId="{D9F73AB2-6A5A-3D4F-93FC-2B08B0750350}" type="sibTrans" cxnId="{EAFCA7E3-0F77-4D4A-A954-3175B2AF25A2}">
      <dgm:prSet/>
      <dgm:spPr/>
      <dgm:t>
        <a:bodyPr/>
        <a:lstStyle/>
        <a:p>
          <a:endParaRPr lang="en-US"/>
        </a:p>
      </dgm:t>
    </dgm:pt>
    <dgm:pt modelId="{01B26BE6-F3A0-1C48-AA77-45BED30E4835}">
      <dgm:prSet phldrT="[Text]"/>
      <dgm:spPr/>
      <dgm:t>
        <a:bodyPr/>
        <a:lstStyle/>
        <a:p>
          <a:r>
            <a:rPr lang="en-US"/>
            <a:t>Simulation for assessment</a:t>
          </a:r>
        </a:p>
      </dgm:t>
    </dgm:pt>
    <dgm:pt modelId="{F3D027FE-EF17-9248-89A3-5454012150FC}" type="parTrans" cxnId="{9493CBF4-F8A1-A143-9225-8C1D3F5F2256}">
      <dgm:prSet/>
      <dgm:spPr/>
      <dgm:t>
        <a:bodyPr/>
        <a:lstStyle/>
        <a:p>
          <a:endParaRPr lang="en-US"/>
        </a:p>
      </dgm:t>
    </dgm:pt>
    <dgm:pt modelId="{B6EECD3D-5079-6148-9581-7A4F6A775606}" type="sibTrans" cxnId="{9493CBF4-F8A1-A143-9225-8C1D3F5F2256}">
      <dgm:prSet/>
      <dgm:spPr/>
      <dgm:t>
        <a:bodyPr/>
        <a:lstStyle/>
        <a:p>
          <a:endParaRPr lang="en-US"/>
        </a:p>
      </dgm:t>
    </dgm:pt>
    <dgm:pt modelId="{E22B691E-4EB9-7545-A75F-30D0453A3A53}">
      <dgm:prSet phldrT="[Text]"/>
      <dgm:spPr/>
      <dgm:t>
        <a:bodyPr/>
        <a:lstStyle/>
        <a:p>
          <a:r>
            <a:rPr lang="en-US"/>
            <a:t>8: Triangulation</a:t>
          </a:r>
        </a:p>
      </dgm:t>
    </dgm:pt>
    <dgm:pt modelId="{E17A3AA9-62E4-7A41-9F72-DB67DCC531D8}" type="parTrans" cxnId="{EF76566F-05A0-2048-AA95-3F244F6B2E4B}">
      <dgm:prSet/>
      <dgm:spPr/>
      <dgm:t>
        <a:bodyPr/>
        <a:lstStyle/>
        <a:p>
          <a:endParaRPr lang="en-US"/>
        </a:p>
      </dgm:t>
    </dgm:pt>
    <dgm:pt modelId="{197433FF-0647-C04D-B2DE-E18BC46BFE53}" type="sibTrans" cxnId="{EF76566F-05A0-2048-AA95-3F244F6B2E4B}">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A7E158CB-AE50-4144-82F1-FF04EEB17AB6}" type="pres">
      <dgm:prSet presAssocID="{E22B691E-4EB9-7545-A75F-30D0453A3A53}" presName="composite" presStyleCnt="0"/>
      <dgm:spPr/>
    </dgm:pt>
    <dgm:pt modelId="{185E99A8-F001-DA47-ADA3-1EFCF3B9F812}" type="pres">
      <dgm:prSet presAssocID="{E22B691E-4EB9-7545-A75F-30D0453A3A53}" presName="parentText" presStyleLbl="alignNode1" presStyleIdx="7" presStyleCnt="13">
        <dgm:presLayoutVars>
          <dgm:chMax val="1"/>
          <dgm:bulletEnabled val="1"/>
        </dgm:presLayoutVars>
      </dgm:prSet>
      <dgm:spPr/>
    </dgm:pt>
    <dgm:pt modelId="{640D99BD-5BDA-2B46-8B31-4C1105709B8B}" type="pres">
      <dgm:prSet presAssocID="{E22B691E-4EB9-7545-A75F-30D0453A3A53}" presName="descendantText" presStyleLbl="alignAcc1" presStyleIdx="7" presStyleCnt="13">
        <dgm:presLayoutVars>
          <dgm:bulletEnabled val="1"/>
        </dgm:presLayoutVars>
      </dgm:prSet>
      <dgm:spPr/>
    </dgm:pt>
    <dgm:pt modelId="{B1CA724F-D50F-3941-9F64-4E11F92145B5}" type="pres">
      <dgm:prSet presAssocID="{197433FF-0647-C04D-B2DE-E18BC46BFE53}"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FCA03005-E64E-D74F-B519-8D56F9EBB7FD}" type="presOf" srcId="{C458704A-A6F3-A24F-B50F-7B434CD11794}" destId="{28826DD3-E030-6044-B2F2-D85EF85F6960}" srcOrd="0" destOrd="2" presId="urn:microsoft.com/office/officeart/2005/8/layout/chevron2"/>
    <dgm:cxn modelId="{A9BCCB06-3F24-414F-8B56-65947FA3C9D6}" type="presOf" srcId="{3F3526C7-6ED1-AA46-BF20-1B9948A084E5}" destId="{06B263AD-CC10-0D49-8145-0C283F585CD5}" srcOrd="0" destOrd="2" presId="urn:microsoft.com/office/officeart/2005/8/layout/chevron2"/>
    <dgm:cxn modelId="{5BFC7007-38CE-404E-9389-45842F81FFCC}" type="presOf" srcId="{1EC7AB78-D724-324B-BD90-FC58EF6E0357}" destId="{48AF7672-2483-B34A-B763-89BD09AEBA58}" srcOrd="0" destOrd="0" presId="urn:microsoft.com/office/officeart/2005/8/layout/chevron2"/>
    <dgm:cxn modelId="{0EB55108-08F6-2B46-99D0-8B022F1A6358}" type="presOf" srcId="{CF8D6B60-3FEF-0048-B019-B0883DEB78C2}" destId="{06B263AD-CC10-0D49-8145-0C283F585CD5}" srcOrd="0" destOrd="1" presId="urn:microsoft.com/office/officeart/2005/8/layout/chevron2"/>
    <dgm:cxn modelId="{A01AFD0E-ED96-2C45-AEB0-38681E16CA67}" type="presOf" srcId="{EEF349EC-A16C-6E4F-8464-6BD71940F70C}" destId="{DCD4A931-4F01-F440-965B-DC25AA6FE080}" srcOrd="0" destOrd="2"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A45B9810-522F-2546-9F49-8B77359F5E9F}" type="presOf" srcId="{E22B691E-4EB9-7545-A75F-30D0453A3A53}" destId="{185E99A8-F001-DA47-ADA3-1EFCF3B9F812}" srcOrd="0" destOrd="0" presId="urn:microsoft.com/office/officeart/2005/8/layout/chevron2"/>
    <dgm:cxn modelId="{9737A014-77AA-2343-9EF8-1AB62E400960}" srcId="{E22B691E-4EB9-7545-A75F-30D0453A3A53}" destId="{0B5EEED9-AADF-5646-A4EE-16C7E3C5048F}" srcOrd="0" destOrd="0" parTransId="{5F63AFFB-8796-8145-8196-16BA65A8913E}" sibTransId="{6369732A-4608-D04B-9932-9F2E14769A9F}"/>
    <dgm:cxn modelId="{D07DB217-FFCE-B743-B49F-AFC13681AA6B}" type="presOf" srcId="{5EFAD456-F8B8-C147-9A38-D366892E8D90}" destId="{ED0EEAAD-1F9F-C445-9ED5-D61D26A0F8D1}" srcOrd="0" destOrd="0" presId="urn:microsoft.com/office/officeart/2005/8/layout/chevron2"/>
    <dgm:cxn modelId="{425A741B-9872-3A46-B4DA-D764BFE4CD8B}" srcId="{32BD5717-A9E6-DD44-A13C-12122D41F212}" destId="{182D19B6-9968-F54C-9803-98CF32A9110D}" srcOrd="8" destOrd="0" parTransId="{19120E65-5B26-BC4A-9EFF-5512A25AEB14}" sibTransId="{259ED567-5FE2-2F45-B806-60F8702E00F5}"/>
    <dgm:cxn modelId="{6C9BAD1C-F19C-294D-A2CC-A6886062D40E}" type="presOf" srcId="{332543FB-BB1C-DE43-B140-C2BB789BBCB2}" destId="{B422BFF3-8BFD-2144-8980-375702EA9496}" srcOrd="0" destOrd="0" presId="urn:microsoft.com/office/officeart/2005/8/layout/chevron2"/>
    <dgm:cxn modelId="{C1BA221F-EAA6-E547-84E8-0B3712D82E51}" type="presOf" srcId="{7438286E-8350-184E-82B3-3AAEF5F4B429}" destId="{8BDAA81E-2E4E-9C4A-9A67-4855D9BA1510}" srcOrd="0" destOrd="2"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D5B86026-0B1F-BD44-81B1-E3BF2EB7E2A2}" type="presOf" srcId="{82A06431-B147-914D-A7EE-B91B75443203}" destId="{31EA3204-EDC1-4F43-84C9-41DE884256E5}" srcOrd="0" destOrd="0"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482B5D2C-01B8-A743-B012-CED831E626B4}" type="presOf" srcId="{0D5E0837-38B9-E148-BB11-F780782A29CB}" destId="{9D5418D3-F08D-8545-87B2-2FD7B1D1031E}" srcOrd="0" destOrd="2" presId="urn:microsoft.com/office/officeart/2005/8/layout/chevron2"/>
    <dgm:cxn modelId="{9067422C-9EA1-4F42-8B72-73C991A3C2A2}" type="presOf" srcId="{A8C6C2DC-42DC-4841-8B38-6F4C4E8905E8}" destId="{B88D95AA-AFFF-224F-9EBE-1226F2119586}" srcOrd="0" destOrd="0" presId="urn:microsoft.com/office/officeart/2005/8/layout/chevron2"/>
    <dgm:cxn modelId="{FC63C12C-7B99-8A4C-B84A-BFAE0C28B745}" type="presOf" srcId="{46C87E74-5E28-8C46-86B1-98C82A55CBAE}" destId="{6DDDE256-1CA3-1140-A939-5530FC1F57D3}" srcOrd="0" destOrd="0"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2885F033-FDC1-8E44-9BC9-E4D3D8B49E49}" type="presOf" srcId="{0B5EEED9-AADF-5646-A4EE-16C7E3C5048F}" destId="{640D99BD-5BDA-2B46-8B31-4C1105709B8B}" srcOrd="0" destOrd="0" presId="urn:microsoft.com/office/officeart/2005/8/layout/chevron2"/>
    <dgm:cxn modelId="{AC9D8B35-3E35-964E-B49F-8C40FB3AF24D}" srcId="{182D19B6-9968-F54C-9803-98CF32A9110D}" destId="{E8835EC0-86EE-3540-9564-983F3D69B9B0}" srcOrd="4" destOrd="0" parTransId="{3507EF78-030C-2546-8CBB-075D7261FCDE}" sibTransId="{7BBE6FC9-195F-5E44-BEAA-03BE4D719D22}"/>
    <dgm:cxn modelId="{C67DC537-D4CA-2944-8330-96C6C74E0394}" srcId="{32BD5717-A9E6-DD44-A13C-12122D41F212}" destId="{34B9CBCA-90AD-D946-B26E-3A6E60BB731E}" srcOrd="6" destOrd="0" parTransId="{9332FC5B-2DEC-D146-AE72-41CD6249A702}" sibTransId="{1031D2A7-8DEF-E945-AA90-68FD6C34AE22}"/>
    <dgm:cxn modelId="{DFCA2F39-9FE9-184D-8690-201E5CD7D6FE}" type="presOf" srcId="{93105CB4-0286-ED4F-915C-092EF42A9691}" destId="{CCC28DE8-0568-7547-9A1F-3C6F0F33A2CF}" srcOrd="0" destOrd="0" presId="urn:microsoft.com/office/officeart/2005/8/layout/chevron2"/>
    <dgm:cxn modelId="{10846F3D-3AFA-7946-A87C-9F72D893E139}" type="presOf" srcId="{18ABC2A5-DCE7-414C-AE08-6EAE4EA2FE6D}" destId="{E2DE84BA-2462-A242-AC94-46E19F99F1BB}" srcOrd="0" destOrd="2" presId="urn:microsoft.com/office/officeart/2005/8/layout/chevron2"/>
    <dgm:cxn modelId="{8F18AE3D-7014-8F44-8BED-70D3B17DDEF2}" type="presOf" srcId="{318E09D1-A59D-2E4B-A3CC-C2FF16965C43}" destId="{E2DE84BA-2462-A242-AC94-46E19F99F1BB}" srcOrd="0" destOrd="1" presId="urn:microsoft.com/office/officeart/2005/8/layout/chevron2"/>
    <dgm:cxn modelId="{9F8EB63D-35A2-7548-B1B5-5BA6C659AD7A}" type="presOf" srcId="{6AEE21D3-4CB1-7443-AC17-5D71D849EEF3}" destId="{28826DD3-E030-6044-B2F2-D85EF85F6960}" srcOrd="0" destOrd="0"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B6B49D5D-2AFF-9746-BC95-53D563A54C02}" type="presOf" srcId="{EE4687FF-DC98-3D4A-8B1D-75DD628798CF}" destId="{BC4A5DFE-0373-0044-B473-93ADEF2A2324}" srcOrd="0" destOrd="2" presId="urn:microsoft.com/office/officeart/2005/8/layout/chevron2"/>
    <dgm:cxn modelId="{8E60FF47-54AF-2845-B2FE-72D0233FB176}" type="presOf" srcId="{4E401C2C-4000-C040-828A-EB0D5B3F70BC}" destId="{8BDAA81E-2E4E-9C4A-9A67-4855D9BA1510}" srcOrd="0" destOrd="1" presId="urn:microsoft.com/office/officeart/2005/8/layout/chevron2"/>
    <dgm:cxn modelId="{62711B48-DE2C-354E-A643-90535EF47973}" type="presOf" srcId="{B81682CE-3DAA-7547-977E-5CA5485D7B79}" destId="{E2DE84BA-2462-A242-AC94-46E19F99F1BB}" srcOrd="0" destOrd="3"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93E7CA69-6DD3-C749-A8AF-1C020EFC20D7}" type="presOf" srcId="{555C02C0-6BC9-D540-8A82-3666CC61D37F}" destId="{DCD4A931-4F01-F440-965B-DC25AA6FE080}" srcOrd="0" destOrd="0" presId="urn:microsoft.com/office/officeart/2005/8/layout/chevron2"/>
    <dgm:cxn modelId="{7BFC9C6A-2437-D24F-B986-39DC3950C009}" srcId="{32BD5717-A9E6-DD44-A13C-12122D41F212}" destId="{332543FB-BB1C-DE43-B140-C2BB789BBCB2}" srcOrd="1" destOrd="0" parTransId="{E83559AB-8184-B94E-AA65-4420DE3012DF}" sibTransId="{9F0DECA5-F8B9-2F49-B9A7-32EB3AD7D8C5}"/>
    <dgm:cxn modelId="{8E062E4D-AA93-CB44-A0AC-F749EB20F43A}" srcId="{32BD5717-A9E6-DD44-A13C-12122D41F212}" destId="{82A06431-B147-914D-A7EE-B91B75443203}" srcOrd="3" destOrd="0" parTransId="{13C96808-67BD-174F-B855-16ACA3400941}" sibTransId="{2927117D-194C-1341-932F-5623EB513890}"/>
    <dgm:cxn modelId="{72F0716D-46AD-994F-9C41-40E015BAE621}" type="presOf" srcId="{182D19B6-9968-F54C-9803-98CF32A9110D}" destId="{E86BF6A3-BA90-BB43-908F-24E76E7D1587}" srcOrd="0" destOrd="0" presId="urn:microsoft.com/office/officeart/2005/8/layout/chevron2"/>
    <dgm:cxn modelId="{EF76566F-05A0-2048-AA95-3F244F6B2E4B}" srcId="{32BD5717-A9E6-DD44-A13C-12122D41F212}" destId="{E22B691E-4EB9-7545-A75F-30D0453A3A53}" srcOrd="7" destOrd="0" parTransId="{E17A3AA9-62E4-7A41-9F72-DB67DCC531D8}" sibTransId="{197433FF-0647-C04D-B2DE-E18BC46BFE53}"/>
    <dgm:cxn modelId="{2EC00D50-C72C-1048-BAB7-76CCA9A67238}" type="presOf" srcId="{2725BEFC-24C3-E145-86F8-460B0C16124D}" destId="{8BDAA81E-2E4E-9C4A-9A67-4855D9BA1510}" srcOrd="0" destOrd="0"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EBCA7454-0A4D-574C-AF9E-ACF2192F6A69}" srcId="{34B9CBCA-90AD-D946-B26E-3A6E60BB731E}" destId="{EEF349EC-A16C-6E4F-8464-6BD71940F70C}" srcOrd="2" destOrd="0" parTransId="{4EF4EBD5-8084-7D4A-BB5E-4EF2C5C94F99}" sibTransId="{A325D897-3CF3-2444-BCE0-FB27A2B93D02}"/>
    <dgm:cxn modelId="{281F4475-3255-E44C-B3A0-DE4E4BB2705A}" type="presOf" srcId="{01B26BE6-F3A0-1C48-AA77-45BED30E4835}" destId="{C174B10A-41E6-244B-88CB-0D08E5FFF5F9}" srcOrd="0" destOrd="2" presId="urn:microsoft.com/office/officeart/2005/8/layout/chevron2"/>
    <dgm:cxn modelId="{F0BA4F55-C8C2-AD49-9063-AFCA6BDD4AD8}" type="presOf" srcId="{2D2AF18A-8B4F-6F43-ABC1-76E3735A0A2A}" destId="{BC4A5DFE-0373-0044-B473-93ADEF2A2324}" srcOrd="0" destOrd="0" presId="urn:microsoft.com/office/officeart/2005/8/layout/chevron2"/>
    <dgm:cxn modelId="{5B00FF55-CC0E-C74F-9F3F-2C75CFEDD0C0}" type="presOf" srcId="{34B9CBCA-90AD-D946-B26E-3A6E60BB731E}" destId="{B9872B13-1174-E847-A615-29577404DF21}" srcOrd="0" destOrd="0" presId="urn:microsoft.com/office/officeart/2005/8/layout/chevron2"/>
    <dgm:cxn modelId="{7CCA3577-052A-E54E-8A65-B79C9D3D7282}" srcId="{32BD5717-A9E6-DD44-A13C-12122D41F212}" destId="{5EFAD456-F8B8-C147-9A38-D366892E8D90}" srcOrd="10" destOrd="0" parTransId="{AEC4A29C-080E-714E-8C55-A165817C6F84}" sibTransId="{69AAF0EB-9438-D048-8CCB-3ADC0E6ED07B}"/>
    <dgm:cxn modelId="{40139079-69A3-564B-8576-4F021D1A76D3}" type="presOf" srcId="{8A942072-3D9B-2043-8B2E-11E707170D7E}" destId="{A0202F08-BEC9-8F43-8711-F30ADE817D18}" srcOrd="0" destOrd="0" presId="urn:microsoft.com/office/officeart/2005/8/layout/chevron2"/>
    <dgm:cxn modelId="{941CFF7A-D638-8A4B-8278-95DAB8637AEE}" srcId="{32BD5717-A9E6-DD44-A13C-12122D41F212}" destId="{8A942072-3D9B-2043-8B2E-11E707170D7E}" srcOrd="2" destOrd="0" parTransId="{F49F7276-856F-E64E-8188-3D686B4D473E}" sibTransId="{393ABEA7-D1FC-994A-9DCC-A33FEBFF19A8}"/>
    <dgm:cxn modelId="{AF4B8C7B-552E-9846-8FF6-3B3CCD3ED96A}" type="presOf" srcId="{61A2BB49-4883-F544-A634-4207B0324D62}" destId="{06B263AD-CC10-0D49-8145-0C283F585CD5}" srcOrd="0" destOrd="0" presId="urn:microsoft.com/office/officeart/2005/8/layout/chevron2"/>
    <dgm:cxn modelId="{759B727C-F170-CB44-B32F-469BA669930A}" srcId="{332543FB-BB1C-DE43-B140-C2BB789BBCB2}" destId="{7438286E-8350-184E-82B3-3AAEF5F4B429}" srcOrd="2" destOrd="0" parTransId="{E8AA2A5B-C348-8248-9D0D-C0147AC7D7FA}" sibTransId="{DDE64E92-A7DB-1F46-870A-4BB5B715BA64}"/>
    <dgm:cxn modelId="{C2637380-4378-9541-964A-D6E21D69FAFC}" srcId="{34B9CBCA-90AD-D946-B26E-3A6E60BB731E}" destId="{817AAD11-541C-8040-B8E6-60D63F44FF6E}" srcOrd="1" destOrd="0" parTransId="{820D5C7D-3565-B841-B802-D79FD186F3F0}" sibTransId="{DBDC58F4-53C2-3143-8B2E-16E385E444FB}"/>
    <dgm:cxn modelId="{2953E681-E445-1747-8006-F4EAB553F5BD}" type="presOf" srcId="{65337D44-9B2C-044E-AEF9-F665764413CE}" destId="{9D5418D3-F08D-8545-87B2-2FD7B1D1031E}"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AAFF288C-7EE0-C748-A53A-5F899E4E582E}" type="presOf" srcId="{E6055D9E-1DDE-A243-A8F6-5CDF160A3724}" destId="{C174B10A-41E6-244B-88CB-0D08E5FFF5F9}" srcOrd="0" destOrd="0"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06495397-CAFB-8346-B6DD-C62B8755406E}" srcId="{93105CB4-0286-ED4F-915C-092EF42A9691}" destId="{14C4AACB-BBED-FD43-880C-31C843F0061A}" srcOrd="1" destOrd="0" parTransId="{DFED4DE2-2306-C34E-907E-763B913F06DC}" sibTransId="{8C3CD2B7-B9B1-6B48-BD9C-4F4D55283F81}"/>
    <dgm:cxn modelId="{F6CE4499-D231-7F4F-B6F7-7819A878A550}" type="presOf" srcId="{3528BF8B-944A-1B4D-ADBB-12D941C8C388}" destId="{E2DE84BA-2462-A242-AC94-46E19F99F1BB}" srcOrd="0" destOrd="0" presId="urn:microsoft.com/office/officeart/2005/8/layout/chevron2"/>
    <dgm:cxn modelId="{8AF5DE9D-35B1-D242-9B97-CEFF1A2C7832}" type="presOf" srcId="{E8835EC0-86EE-3540-9564-983F3D69B9B0}" destId="{E2DE84BA-2462-A242-AC94-46E19F99F1BB}" srcOrd="0" destOrd="4" presId="urn:microsoft.com/office/officeart/2005/8/layout/chevron2"/>
    <dgm:cxn modelId="{C2A5ACA1-F1A9-1347-BEAB-34809B48CF85}" srcId="{32BD5717-A9E6-DD44-A13C-12122D41F212}" destId="{46C87E74-5E28-8C46-86B1-98C82A55CBAE}" srcOrd="11" destOrd="0" parTransId="{2A9B7400-96EA-AD40-9D11-2744CE1FE9E5}" sibTransId="{04801474-7BFD-AC4B-9CCF-28521DEC6DB6}"/>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4" destOrd="0" parTransId="{A4EA5788-EDE5-E443-B24A-EA951734FC41}" sibTransId="{72453AAB-5C0D-2D49-B812-AF99508E8E00}"/>
    <dgm:cxn modelId="{3CD97AAC-433B-FC43-8189-0F8B37AF84EB}" type="presOf" srcId="{14C4AACB-BBED-FD43-880C-31C843F0061A}" destId="{F1EE7E3F-25DA-8041-85A7-EBBF11BC4C56}" srcOrd="0" destOrd="1" presId="urn:microsoft.com/office/officeart/2005/8/layout/chevron2"/>
    <dgm:cxn modelId="{E6421BBB-1D95-EB45-B970-01512439F295}" type="presOf" srcId="{718C1A72-EF39-DD4E-BFDE-F45DD7D520FB}" destId="{B3EE9CE6-0ABB-F14B-8299-D4BFC2EC579D}" srcOrd="0" destOrd="0" presId="urn:microsoft.com/office/officeart/2005/8/layout/chevron2"/>
    <dgm:cxn modelId="{A1A223BE-F39F-4B40-AFF4-9454D14944AC}" type="presOf" srcId="{D4381A80-7F1D-9D4D-8093-B3E6A2F1CFCA}" destId="{9D5418D3-F08D-8545-87B2-2FD7B1D1031E}" srcOrd="0" destOrd="1" presId="urn:microsoft.com/office/officeart/2005/8/layout/chevron2"/>
    <dgm:cxn modelId="{02196AC2-D211-344A-B65D-0B5F4ECDC4BD}" type="presOf" srcId="{AB849386-BBEF-244B-A2A1-1BE27622D72F}" destId="{844AC346-AEB9-A649-8C9D-DBF2769C8FFC}" srcOrd="0" destOrd="0"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E2F329CF-5D02-3241-B348-50CB30650C25}" srcId="{182D19B6-9968-F54C-9803-98CF32A9110D}" destId="{318E09D1-A59D-2E4B-A3CC-C2FF16965C43}" srcOrd="1" destOrd="0" parTransId="{692F5075-8AA7-1545-9821-5B796547FE98}" sibTransId="{C3BC74F0-F4E6-BD4C-8197-893C2058CDAE}"/>
    <dgm:cxn modelId="{4F10E4D0-13F2-494E-998B-A7DF8826C6DB}" type="presOf" srcId="{32BD5717-A9E6-DD44-A13C-12122D41F212}" destId="{DDB27B24-50BA-ED48-8BE9-4C29E6B83259}" srcOrd="0" destOrd="0" presId="urn:microsoft.com/office/officeart/2005/8/layout/chevron2"/>
    <dgm:cxn modelId="{4215EAD5-560B-6945-83F4-2FACCA0DCA17}" type="presOf" srcId="{817AAD11-541C-8040-B8E6-60D63F44FF6E}" destId="{DCD4A931-4F01-F440-965B-DC25AA6FE080}" srcOrd="0" destOrd="1" presId="urn:microsoft.com/office/officeart/2005/8/layout/chevron2"/>
    <dgm:cxn modelId="{63888EDA-47E6-DA4D-9AD1-ED32C29F38C1}" type="presOf" srcId="{0D347524-7007-BE43-81AE-44B5DE652093}" destId="{28826DD3-E030-6044-B2F2-D85EF85F6960}" srcOrd="0" destOrd="1" presId="urn:microsoft.com/office/officeart/2005/8/layout/chevron2"/>
    <dgm:cxn modelId="{C07C61E2-80F8-1B4F-AEA1-299A439FF580}" type="presOf" srcId="{BE8AC978-0FAD-5E4D-B281-1B7DC61EC809}" destId="{C80BEB0B-E1AB-4443-9F91-9D6894D7833E}" srcOrd="0" destOrd="1" presId="urn:microsoft.com/office/officeart/2005/8/layout/chevron2"/>
    <dgm:cxn modelId="{EAFCA7E3-0F77-4D4A-A954-3175B2AF25A2}" srcId="{5EFAD456-F8B8-C147-9A38-D366892E8D90}" destId="{C7FAF0D1-DF62-9641-BAE6-D74FD5952FE7}" srcOrd="1" destOrd="0" parTransId="{8E8A3E0B-6968-0C4B-A853-946284736E55}" sibTransId="{D9F73AB2-6A5A-3D4F-93FC-2B08B0750350}"/>
    <dgm:cxn modelId="{F68E1DE7-93C1-E24A-BC93-13C3C57FBC52}" type="presOf" srcId="{125C0A60-1A53-5F41-A8F9-BD71D1144F62}" destId="{C80BEB0B-E1AB-4443-9F91-9D6894D7833E}" srcOrd="0" destOrd="0"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C13928F1-2B5C-1C41-ABEB-B52A3A61C14E}" type="presOf" srcId="{C7FAF0D1-DF62-9641-BAE6-D74FD5952FE7}" destId="{C174B10A-41E6-244B-88CB-0D08E5FFF5F9}" srcOrd="0" destOrd="1"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328AD6F2-74DF-0C4E-99F3-40ACAB0E4D2B}" type="presOf" srcId="{387817B1-B48E-804E-9741-307C0F8B2DA9}" destId="{BC4A5DFE-0373-0044-B473-93ADEF2A2324}" srcOrd="0" destOrd="1" presId="urn:microsoft.com/office/officeart/2005/8/layout/chevron2"/>
    <dgm:cxn modelId="{9493CBF4-F8A1-A143-9225-8C1D3F5F2256}" srcId="{5EFAD456-F8B8-C147-9A38-D366892E8D90}" destId="{01B26BE6-F3A0-1C48-AA77-45BED30E4835}" srcOrd="2" destOrd="0" parTransId="{F3D027FE-EF17-9248-89A3-5454012150FC}" sibTransId="{B6EECD3D-5079-6148-9581-7A4F6A775606}"/>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9BA140F6-7D62-7D42-A605-C1CBB8FBE025}" type="presOf" srcId="{A177B3ED-63C5-3348-B066-3691D8643EDE}" destId="{F1EE7E3F-25DA-8041-85A7-EBBF11BC4C56}" srcOrd="0" destOrd="0" presId="urn:microsoft.com/office/officeart/2005/8/layout/chevron2"/>
    <dgm:cxn modelId="{A3D7ACF7-2BA2-4F49-A0E0-7346B1E54F6B}" srcId="{82A06431-B147-914D-A7EE-B91B75443203}" destId="{0D5E0837-38B9-E148-BB11-F780782A29CB}" srcOrd="2" destOrd="0" parTransId="{22B50FC3-BF2E-BC48-A0D0-DF6C126E5EEE}" sibTransId="{BF3788D2-6547-5A48-A40F-C81D634AEA59}"/>
    <dgm:cxn modelId="{B02852FD-4758-B749-AC5D-FB4340CA7163}" srcId="{A8C6C2DC-42DC-4841-8B38-6F4C4E8905E8}" destId="{EE4687FF-DC98-3D4A-8B1D-75DD628798CF}" srcOrd="2" destOrd="0" parTransId="{EF50026A-DD1B-0E4E-B9CD-D2642DD4CB15}" sibTransId="{D890892B-FF11-CB4A-BA7B-86EF3BCF1799}"/>
    <dgm:cxn modelId="{E3840F54-E618-3B4C-86A7-DD5FB8894A0F}" type="presParOf" srcId="{DDB27B24-50BA-ED48-8BE9-4C29E6B83259}" destId="{B4D05EFA-2710-E24E-95A8-E5ADA436F1BA}" srcOrd="0" destOrd="0" presId="urn:microsoft.com/office/officeart/2005/8/layout/chevron2"/>
    <dgm:cxn modelId="{883D0CEF-2EFE-FC4B-8445-9509588435C0}" type="presParOf" srcId="{B4D05EFA-2710-E24E-95A8-E5ADA436F1BA}" destId="{B3EE9CE6-0ABB-F14B-8299-D4BFC2EC579D}" srcOrd="0" destOrd="0" presId="urn:microsoft.com/office/officeart/2005/8/layout/chevron2"/>
    <dgm:cxn modelId="{6B9DEC17-4811-CB48-A4FB-8474BE01A079}" type="presParOf" srcId="{B4D05EFA-2710-E24E-95A8-E5ADA436F1BA}" destId="{28826DD3-E030-6044-B2F2-D85EF85F6960}" srcOrd="1" destOrd="0" presId="urn:microsoft.com/office/officeart/2005/8/layout/chevron2"/>
    <dgm:cxn modelId="{68CEB41F-F991-E94D-B4D9-8B94BC49703F}" type="presParOf" srcId="{DDB27B24-50BA-ED48-8BE9-4C29E6B83259}" destId="{585C7840-A253-9640-BBF2-282E7F35583D}" srcOrd="1" destOrd="0" presId="urn:microsoft.com/office/officeart/2005/8/layout/chevron2"/>
    <dgm:cxn modelId="{449A6513-C7C4-B14C-ABB8-FFE5F9868DA2}" type="presParOf" srcId="{DDB27B24-50BA-ED48-8BE9-4C29E6B83259}" destId="{725C6BB0-2454-F04B-AEC7-CF75FCBB3A74}" srcOrd="2" destOrd="0" presId="urn:microsoft.com/office/officeart/2005/8/layout/chevron2"/>
    <dgm:cxn modelId="{D3E319CC-6148-2842-9606-53CEF23FEA4E}" type="presParOf" srcId="{725C6BB0-2454-F04B-AEC7-CF75FCBB3A74}" destId="{B422BFF3-8BFD-2144-8980-375702EA9496}" srcOrd="0" destOrd="0" presId="urn:microsoft.com/office/officeart/2005/8/layout/chevron2"/>
    <dgm:cxn modelId="{FFE95005-F03C-5443-B098-B5CBBE9CEE6A}" type="presParOf" srcId="{725C6BB0-2454-F04B-AEC7-CF75FCBB3A74}" destId="{8BDAA81E-2E4E-9C4A-9A67-4855D9BA1510}" srcOrd="1" destOrd="0" presId="urn:microsoft.com/office/officeart/2005/8/layout/chevron2"/>
    <dgm:cxn modelId="{94079F64-E016-5845-A6F6-5BE06AEAAB18}" type="presParOf" srcId="{DDB27B24-50BA-ED48-8BE9-4C29E6B83259}" destId="{D756A8C3-50EB-084A-8277-DD5831B4E8C7}" srcOrd="3" destOrd="0" presId="urn:microsoft.com/office/officeart/2005/8/layout/chevron2"/>
    <dgm:cxn modelId="{E8B360AB-EF31-E54E-B094-9CFDF0EABA21}" type="presParOf" srcId="{DDB27B24-50BA-ED48-8BE9-4C29E6B83259}" destId="{D669929D-DE6F-0D40-8D4A-1736805AD131}" srcOrd="4" destOrd="0" presId="urn:microsoft.com/office/officeart/2005/8/layout/chevron2"/>
    <dgm:cxn modelId="{5F89E71A-BFCB-BD4A-B500-211F164CC479}" type="presParOf" srcId="{D669929D-DE6F-0D40-8D4A-1736805AD131}" destId="{A0202F08-BEC9-8F43-8711-F30ADE817D18}" srcOrd="0" destOrd="0" presId="urn:microsoft.com/office/officeart/2005/8/layout/chevron2"/>
    <dgm:cxn modelId="{5DECCD96-A26A-A944-BAEC-D02905E9C9B0}" type="presParOf" srcId="{D669929D-DE6F-0D40-8D4A-1736805AD131}" destId="{06B263AD-CC10-0D49-8145-0C283F585CD5}" srcOrd="1" destOrd="0" presId="urn:microsoft.com/office/officeart/2005/8/layout/chevron2"/>
    <dgm:cxn modelId="{3030BE1E-1B56-A644-91A4-EB94430F22C3}" type="presParOf" srcId="{DDB27B24-50BA-ED48-8BE9-4C29E6B83259}" destId="{B5F0F139-C5B5-F942-A092-8BB086CFFEFA}" srcOrd="5" destOrd="0" presId="urn:microsoft.com/office/officeart/2005/8/layout/chevron2"/>
    <dgm:cxn modelId="{FB16F1E4-886B-4C4F-A74A-5567206B0EC1}" type="presParOf" srcId="{DDB27B24-50BA-ED48-8BE9-4C29E6B83259}" destId="{A6A53311-4EDF-944C-B7A8-A929BD874343}" srcOrd="6" destOrd="0" presId="urn:microsoft.com/office/officeart/2005/8/layout/chevron2"/>
    <dgm:cxn modelId="{94F52650-9388-7946-85B3-B6457CB5F903}" type="presParOf" srcId="{A6A53311-4EDF-944C-B7A8-A929BD874343}" destId="{31EA3204-EDC1-4F43-84C9-41DE884256E5}" srcOrd="0" destOrd="0" presId="urn:microsoft.com/office/officeart/2005/8/layout/chevron2"/>
    <dgm:cxn modelId="{F109CE24-AB57-5F4C-B236-1996884ED49E}" type="presParOf" srcId="{A6A53311-4EDF-944C-B7A8-A929BD874343}" destId="{9D5418D3-F08D-8545-87B2-2FD7B1D1031E}" srcOrd="1" destOrd="0" presId="urn:microsoft.com/office/officeart/2005/8/layout/chevron2"/>
    <dgm:cxn modelId="{7B6F7481-FCF7-2141-ADC6-EC903FD58AB9}" type="presParOf" srcId="{DDB27B24-50BA-ED48-8BE9-4C29E6B83259}" destId="{BD082DD2-36A2-F841-B83C-3B9BAF4B2B5C}" srcOrd="7" destOrd="0" presId="urn:microsoft.com/office/officeart/2005/8/layout/chevron2"/>
    <dgm:cxn modelId="{21F38C6D-AD04-1147-8B46-98E8598FB4FA}" type="presParOf" srcId="{DDB27B24-50BA-ED48-8BE9-4C29E6B83259}" destId="{C371305F-B72D-3C44-BB22-E50B26871DA6}" srcOrd="8" destOrd="0" presId="urn:microsoft.com/office/officeart/2005/8/layout/chevron2"/>
    <dgm:cxn modelId="{AC48FD7F-ADA4-2149-9AE6-D3207B81E79C}" type="presParOf" srcId="{C371305F-B72D-3C44-BB22-E50B26871DA6}" destId="{CCC28DE8-0568-7547-9A1F-3C6F0F33A2CF}" srcOrd="0" destOrd="0" presId="urn:microsoft.com/office/officeart/2005/8/layout/chevron2"/>
    <dgm:cxn modelId="{83C218D2-A2A3-BF48-B0D7-9E07082F540D}" type="presParOf" srcId="{C371305F-B72D-3C44-BB22-E50B26871DA6}" destId="{F1EE7E3F-25DA-8041-85A7-EBBF11BC4C56}" srcOrd="1" destOrd="0" presId="urn:microsoft.com/office/officeart/2005/8/layout/chevron2"/>
    <dgm:cxn modelId="{D9EF4737-941F-C241-94A1-1E0846206DE7}" type="presParOf" srcId="{DDB27B24-50BA-ED48-8BE9-4C29E6B83259}" destId="{2C8A0FE6-3CCD-674F-87D7-C945364C8330}" srcOrd="9" destOrd="0" presId="urn:microsoft.com/office/officeart/2005/8/layout/chevron2"/>
    <dgm:cxn modelId="{797A9A56-0C02-4548-B26C-AAD14192D6B6}" type="presParOf" srcId="{DDB27B24-50BA-ED48-8BE9-4C29E6B83259}" destId="{C8A774E9-C669-9C42-8FD8-567A31043E1A}" srcOrd="10" destOrd="0" presId="urn:microsoft.com/office/officeart/2005/8/layout/chevron2"/>
    <dgm:cxn modelId="{64C6F72C-5183-7546-9F49-FA1DBC4B433B}" type="presParOf" srcId="{C8A774E9-C669-9C42-8FD8-567A31043E1A}" destId="{844AC346-AEB9-A649-8C9D-DBF2769C8FFC}" srcOrd="0" destOrd="0" presId="urn:microsoft.com/office/officeart/2005/8/layout/chevron2"/>
    <dgm:cxn modelId="{F4E29DBB-167B-0845-8B43-2B5F4ED674CE}" type="presParOf" srcId="{C8A774E9-C669-9C42-8FD8-567A31043E1A}" destId="{C80BEB0B-E1AB-4443-9F91-9D6894D7833E}" srcOrd="1" destOrd="0" presId="urn:microsoft.com/office/officeart/2005/8/layout/chevron2"/>
    <dgm:cxn modelId="{4DC93CFE-3028-964C-823F-B132EC355C3E}" type="presParOf" srcId="{DDB27B24-50BA-ED48-8BE9-4C29E6B83259}" destId="{59BB4FCD-F10D-9947-BE1C-B71549A60A1E}" srcOrd="11" destOrd="0" presId="urn:microsoft.com/office/officeart/2005/8/layout/chevron2"/>
    <dgm:cxn modelId="{8F3C6F3C-BAAE-004C-BEAC-04F156E8D605}" type="presParOf" srcId="{DDB27B24-50BA-ED48-8BE9-4C29E6B83259}" destId="{9EA93BB1-069D-5E45-B7BF-50881B2F72E6}" srcOrd="12" destOrd="0" presId="urn:microsoft.com/office/officeart/2005/8/layout/chevron2"/>
    <dgm:cxn modelId="{4E125553-B17A-854D-9373-7291833A43B6}" type="presParOf" srcId="{9EA93BB1-069D-5E45-B7BF-50881B2F72E6}" destId="{B9872B13-1174-E847-A615-29577404DF21}" srcOrd="0" destOrd="0" presId="urn:microsoft.com/office/officeart/2005/8/layout/chevron2"/>
    <dgm:cxn modelId="{8D6364A3-9ECA-D649-B045-FBA2F8E7EF1B}" type="presParOf" srcId="{9EA93BB1-069D-5E45-B7BF-50881B2F72E6}" destId="{DCD4A931-4F01-F440-965B-DC25AA6FE080}" srcOrd="1" destOrd="0" presId="urn:microsoft.com/office/officeart/2005/8/layout/chevron2"/>
    <dgm:cxn modelId="{A4FD2005-1080-6343-88E5-9B125E9D9871}" type="presParOf" srcId="{DDB27B24-50BA-ED48-8BE9-4C29E6B83259}" destId="{201CAB8F-4C7F-6E4E-9169-C9E7B5CBE404}" srcOrd="13" destOrd="0" presId="urn:microsoft.com/office/officeart/2005/8/layout/chevron2"/>
    <dgm:cxn modelId="{19E3DFD7-13A4-6B42-979E-31276199A596}" type="presParOf" srcId="{DDB27B24-50BA-ED48-8BE9-4C29E6B83259}" destId="{A7E158CB-AE50-4144-82F1-FF04EEB17AB6}" srcOrd="14" destOrd="0" presId="urn:microsoft.com/office/officeart/2005/8/layout/chevron2"/>
    <dgm:cxn modelId="{2FA59C8D-ED51-8746-94C5-8ED1AE7B5AA4}" type="presParOf" srcId="{A7E158CB-AE50-4144-82F1-FF04EEB17AB6}" destId="{185E99A8-F001-DA47-ADA3-1EFCF3B9F812}" srcOrd="0" destOrd="0" presId="urn:microsoft.com/office/officeart/2005/8/layout/chevron2"/>
    <dgm:cxn modelId="{85B0CD97-1EC5-3B41-8D27-4617754C6A8F}" type="presParOf" srcId="{A7E158CB-AE50-4144-82F1-FF04EEB17AB6}" destId="{640D99BD-5BDA-2B46-8B31-4C1105709B8B}" srcOrd="1" destOrd="0" presId="urn:microsoft.com/office/officeart/2005/8/layout/chevron2"/>
    <dgm:cxn modelId="{362408CD-9EA3-0045-BD2A-B1539336BF03}" type="presParOf" srcId="{DDB27B24-50BA-ED48-8BE9-4C29E6B83259}" destId="{B1CA724F-D50F-3941-9F64-4E11F92145B5}" srcOrd="15" destOrd="0" presId="urn:microsoft.com/office/officeart/2005/8/layout/chevron2"/>
    <dgm:cxn modelId="{CD4ECC30-6CDC-F344-9CF4-87F917FEB899}" type="presParOf" srcId="{DDB27B24-50BA-ED48-8BE9-4C29E6B83259}" destId="{C588B7A2-4017-6643-93CD-7EB3E7875B06}" srcOrd="16" destOrd="0" presId="urn:microsoft.com/office/officeart/2005/8/layout/chevron2"/>
    <dgm:cxn modelId="{6A8BBDB0-446B-4740-937D-C7654C8FF88A}" type="presParOf" srcId="{C588B7A2-4017-6643-93CD-7EB3E7875B06}" destId="{E86BF6A3-BA90-BB43-908F-24E76E7D1587}" srcOrd="0" destOrd="0" presId="urn:microsoft.com/office/officeart/2005/8/layout/chevron2"/>
    <dgm:cxn modelId="{93E3B1FB-CA8C-D543-AF01-8D11BA22E62F}" type="presParOf" srcId="{C588B7A2-4017-6643-93CD-7EB3E7875B06}" destId="{E2DE84BA-2462-A242-AC94-46E19F99F1BB}" srcOrd="1" destOrd="0" presId="urn:microsoft.com/office/officeart/2005/8/layout/chevron2"/>
    <dgm:cxn modelId="{B881BF37-57C3-4C46-8CA1-CBBED693C602}" type="presParOf" srcId="{DDB27B24-50BA-ED48-8BE9-4C29E6B83259}" destId="{C2AB1E69-06F4-D043-944B-D85D9601ACA6}" srcOrd="17" destOrd="0" presId="urn:microsoft.com/office/officeart/2005/8/layout/chevron2"/>
    <dgm:cxn modelId="{2C3AD139-5E37-D94A-816B-0D9AC381BA11}" type="presParOf" srcId="{DDB27B24-50BA-ED48-8BE9-4C29E6B83259}" destId="{51C6866E-9F56-9A45-ADF2-6F81F533274A}" srcOrd="18" destOrd="0" presId="urn:microsoft.com/office/officeart/2005/8/layout/chevron2"/>
    <dgm:cxn modelId="{E7DD3AFF-E403-8B48-A25F-9BADE6CA4EA5}" type="presParOf" srcId="{51C6866E-9F56-9A45-ADF2-6F81F533274A}" destId="{B88D95AA-AFFF-224F-9EBE-1226F2119586}" srcOrd="0" destOrd="0" presId="urn:microsoft.com/office/officeart/2005/8/layout/chevron2"/>
    <dgm:cxn modelId="{96BF0E53-D2B7-B34A-98A2-5B7DC36C235D}" type="presParOf" srcId="{51C6866E-9F56-9A45-ADF2-6F81F533274A}" destId="{BC4A5DFE-0373-0044-B473-93ADEF2A2324}" srcOrd="1" destOrd="0" presId="urn:microsoft.com/office/officeart/2005/8/layout/chevron2"/>
    <dgm:cxn modelId="{41CEB98A-2354-C345-AA39-5AED8B9D951D}" type="presParOf" srcId="{DDB27B24-50BA-ED48-8BE9-4C29E6B83259}" destId="{01E3A2D8-2E7D-6941-B2B2-FA006E31EF08}" srcOrd="19" destOrd="0" presId="urn:microsoft.com/office/officeart/2005/8/layout/chevron2"/>
    <dgm:cxn modelId="{235C23FC-043A-2941-ADCD-868D922DFF93}" type="presParOf" srcId="{DDB27B24-50BA-ED48-8BE9-4C29E6B83259}" destId="{37D2DAC8-74EC-BF4C-831D-920A9C40B9D5}" srcOrd="20" destOrd="0" presId="urn:microsoft.com/office/officeart/2005/8/layout/chevron2"/>
    <dgm:cxn modelId="{E564FE45-90DA-664E-B40C-4AD5CF6405FC}" type="presParOf" srcId="{37D2DAC8-74EC-BF4C-831D-920A9C40B9D5}" destId="{ED0EEAAD-1F9F-C445-9ED5-D61D26A0F8D1}" srcOrd="0" destOrd="0" presId="urn:microsoft.com/office/officeart/2005/8/layout/chevron2"/>
    <dgm:cxn modelId="{9B19CD9B-EF45-B449-AB2D-C74543E985B0}" type="presParOf" srcId="{37D2DAC8-74EC-BF4C-831D-920A9C40B9D5}" destId="{C174B10A-41E6-244B-88CB-0D08E5FFF5F9}" srcOrd="1" destOrd="0" presId="urn:microsoft.com/office/officeart/2005/8/layout/chevron2"/>
    <dgm:cxn modelId="{6FF20617-7795-CA49-8DA8-9B6AC23FC0B6}" type="presParOf" srcId="{DDB27B24-50BA-ED48-8BE9-4C29E6B83259}" destId="{43FB22C6-B891-E44F-B0D7-B9F71AB372F1}" srcOrd="21" destOrd="0" presId="urn:microsoft.com/office/officeart/2005/8/layout/chevron2"/>
    <dgm:cxn modelId="{A1BBD88A-24CD-5A44-908A-A10145F803D8}" type="presParOf" srcId="{DDB27B24-50BA-ED48-8BE9-4C29E6B83259}" destId="{73DF1BD6-49ED-134F-A291-CE4DB94547A9}" srcOrd="22" destOrd="0" presId="urn:microsoft.com/office/officeart/2005/8/layout/chevron2"/>
    <dgm:cxn modelId="{B97BC5A6-5554-1D44-85AD-4489737A418F}" type="presParOf" srcId="{73DF1BD6-49ED-134F-A291-CE4DB94547A9}" destId="{6DDDE256-1CA3-1140-A939-5530FC1F57D3}" srcOrd="0" destOrd="0" presId="urn:microsoft.com/office/officeart/2005/8/layout/chevron2"/>
    <dgm:cxn modelId="{B7AFEFF7-1563-F746-A643-8C796C3F062D}" type="presParOf" srcId="{73DF1BD6-49ED-134F-A291-CE4DB94547A9}" destId="{999FDDA9-9F6A-1143-BE3C-B1E07CBE9945}" srcOrd="1" destOrd="0" presId="urn:microsoft.com/office/officeart/2005/8/layout/chevron2"/>
    <dgm:cxn modelId="{F634575F-4D8E-934B-A087-D66FCC5F4EB9}" type="presParOf" srcId="{DDB27B24-50BA-ED48-8BE9-4C29E6B83259}" destId="{A73ECDF3-49A4-0948-BD1F-387AF7BD3FC1}" srcOrd="23" destOrd="0" presId="urn:microsoft.com/office/officeart/2005/8/layout/chevron2"/>
    <dgm:cxn modelId="{82E4C117-DD87-D841-B4A2-63A65DBF6AF5}" type="presParOf" srcId="{DDB27B24-50BA-ED48-8BE9-4C29E6B83259}" destId="{F2D2A481-D011-064A-92C0-32CD4D676904}" srcOrd="24" destOrd="0" presId="urn:microsoft.com/office/officeart/2005/8/layout/chevron2"/>
    <dgm:cxn modelId="{A9557EE1-6668-A94C-A860-9F609CB78E74}" type="presParOf" srcId="{F2D2A481-D011-064A-92C0-32CD4D676904}" destId="{48AF7672-2483-B34A-B763-89BD09AEBA58}" srcOrd="0" destOrd="0" presId="urn:microsoft.com/office/officeart/2005/8/layout/chevron2"/>
    <dgm:cxn modelId="{7BACE34F-63C4-FC44-A223-F33DC035ABF3}"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10F329F1-EBCB-3842-A8AE-6DEC44432B2C}" type="doc">
      <dgm:prSet loTypeId="urn:microsoft.com/office/officeart/2005/8/layout/process4" loCatId="" qsTypeId="urn:microsoft.com/office/officeart/2005/8/quickstyle/simple4" qsCatId="simple" csTypeId="urn:microsoft.com/office/officeart/2005/8/colors/accent1_2" csCatId="accent1" phldr="1"/>
      <dgm:spPr/>
      <dgm:t>
        <a:bodyPr/>
        <a:lstStyle/>
        <a:p>
          <a:endParaRPr lang="en-US"/>
        </a:p>
      </dgm:t>
    </dgm:pt>
    <dgm:pt modelId="{7A7E1E7B-349A-A94D-88B0-7F4D3964D22E}">
      <dgm:prSet phldrT="[Text]" custT="1"/>
      <dgm:spPr/>
      <dgm:t>
        <a:bodyPr/>
        <a:lstStyle/>
        <a:p>
          <a:r>
            <a:rPr lang="en-US" sz="2400" dirty="0"/>
            <a:t>Final intervention study</a:t>
          </a:r>
        </a:p>
      </dgm:t>
    </dgm:pt>
    <dgm:pt modelId="{DEF44014-BD11-044D-BDB0-860AE3864EA3}" type="parTrans" cxnId="{35684771-3623-A44A-8554-638A8B9E1F9D}">
      <dgm:prSet/>
      <dgm:spPr/>
      <dgm:t>
        <a:bodyPr/>
        <a:lstStyle/>
        <a:p>
          <a:endParaRPr lang="en-US"/>
        </a:p>
      </dgm:t>
    </dgm:pt>
    <dgm:pt modelId="{DD9098CC-0923-6A4F-82F3-7B6852DC9996}" type="sibTrans" cxnId="{35684771-3623-A44A-8554-638A8B9E1F9D}">
      <dgm:prSet/>
      <dgm:spPr/>
      <dgm:t>
        <a:bodyPr/>
        <a:lstStyle/>
        <a:p>
          <a:endParaRPr lang="en-US"/>
        </a:p>
      </dgm:t>
    </dgm:pt>
    <dgm:pt modelId="{B7BAAF37-8C7E-2B46-AFEA-4548D04C4AD8}">
      <dgm:prSet phldrT="[Text]" custT="1"/>
      <dgm:spPr/>
      <dgm:t>
        <a:bodyPr/>
        <a:lstStyle/>
        <a:p>
          <a:r>
            <a:rPr lang="en-US" sz="1800" dirty="0"/>
            <a:t>Final study n=94</a:t>
          </a:r>
        </a:p>
      </dgm:t>
    </dgm:pt>
    <dgm:pt modelId="{964A2443-F5B7-024B-9B90-CEF474D439CA}" type="parTrans" cxnId="{27065346-3D1A-674A-8C9B-BDABF538F17C}">
      <dgm:prSet/>
      <dgm:spPr/>
      <dgm:t>
        <a:bodyPr/>
        <a:lstStyle/>
        <a:p>
          <a:endParaRPr lang="en-US"/>
        </a:p>
      </dgm:t>
    </dgm:pt>
    <dgm:pt modelId="{64D5F8FC-542B-184C-9E23-29106F309D79}" type="sibTrans" cxnId="{27065346-3D1A-674A-8C9B-BDABF538F17C}">
      <dgm:prSet/>
      <dgm:spPr/>
      <dgm:t>
        <a:bodyPr/>
        <a:lstStyle/>
        <a:p>
          <a:endParaRPr lang="en-US"/>
        </a:p>
      </dgm:t>
    </dgm:pt>
    <dgm:pt modelId="{2BBAA71D-C97E-0F49-8756-8AB97C02E7E0}">
      <dgm:prSet phldrT="[Text]" custT="1"/>
      <dgm:spPr/>
      <dgm:t>
        <a:bodyPr/>
        <a:lstStyle/>
        <a:p>
          <a:r>
            <a:rPr lang="en-US" sz="1800" dirty="0"/>
            <a:t>Focus groups</a:t>
          </a:r>
        </a:p>
      </dgm:t>
    </dgm:pt>
    <dgm:pt modelId="{0A09FC44-4F91-E94B-BFE2-D25379A9D125}" type="parTrans" cxnId="{081E7EE1-8477-6A4B-8BB3-FCB11820C767}">
      <dgm:prSet/>
      <dgm:spPr/>
      <dgm:t>
        <a:bodyPr/>
        <a:lstStyle/>
        <a:p>
          <a:endParaRPr lang="en-US"/>
        </a:p>
      </dgm:t>
    </dgm:pt>
    <dgm:pt modelId="{ECE95B69-3060-E346-9EF7-2C670F170307}" type="sibTrans" cxnId="{081E7EE1-8477-6A4B-8BB3-FCB11820C767}">
      <dgm:prSet/>
      <dgm:spPr/>
      <dgm:t>
        <a:bodyPr/>
        <a:lstStyle/>
        <a:p>
          <a:endParaRPr lang="en-US"/>
        </a:p>
      </dgm:t>
    </dgm:pt>
    <dgm:pt modelId="{7BD33696-36BB-9049-8E1F-6E1E0CDFFDC0}">
      <dgm:prSet phldrT="[Text]" custT="1"/>
      <dgm:spPr/>
      <dgm:t>
        <a:bodyPr/>
        <a:lstStyle/>
        <a:p>
          <a:r>
            <a:rPr lang="en-US" sz="1800" dirty="0"/>
            <a:t>Pilot study</a:t>
          </a:r>
        </a:p>
      </dgm:t>
    </dgm:pt>
    <dgm:pt modelId="{3A077B5B-2634-474C-A9D6-5C586201F902}" type="parTrans" cxnId="{F04A96D2-2E13-5A41-BB15-232E819EB96E}">
      <dgm:prSet/>
      <dgm:spPr/>
      <dgm:t>
        <a:bodyPr/>
        <a:lstStyle/>
        <a:p>
          <a:endParaRPr lang="en-US"/>
        </a:p>
      </dgm:t>
    </dgm:pt>
    <dgm:pt modelId="{502D6311-27FD-2C48-B9E6-971B6EC5BB20}" type="sibTrans" cxnId="{F04A96D2-2E13-5A41-BB15-232E819EB96E}">
      <dgm:prSet/>
      <dgm:spPr/>
      <dgm:t>
        <a:bodyPr/>
        <a:lstStyle/>
        <a:p>
          <a:endParaRPr lang="en-US"/>
        </a:p>
      </dgm:t>
    </dgm:pt>
    <dgm:pt modelId="{AE2E0A9E-77CB-814A-B7FB-4A28A2F2B40F}">
      <dgm:prSet phldrT="[Text]" custT="1"/>
      <dgm:spPr/>
      <dgm:t>
        <a:bodyPr/>
        <a:lstStyle/>
        <a:p>
          <a:r>
            <a:rPr lang="en-US" sz="2400" dirty="0"/>
            <a:t>Stakeholder</a:t>
          </a:r>
          <a:r>
            <a:rPr lang="en-US" sz="2400" baseline="0" dirty="0"/>
            <a:t> views</a:t>
          </a:r>
          <a:endParaRPr lang="en-US" sz="2400" dirty="0"/>
        </a:p>
      </dgm:t>
    </dgm:pt>
    <dgm:pt modelId="{630296A8-A1A0-F540-8D0F-07DD202CC1ED}" type="parTrans" cxnId="{0D69F8B1-E2B8-AC4C-8568-50343536EFB7}">
      <dgm:prSet/>
      <dgm:spPr/>
      <dgm:t>
        <a:bodyPr/>
        <a:lstStyle/>
        <a:p>
          <a:endParaRPr lang="en-US"/>
        </a:p>
      </dgm:t>
    </dgm:pt>
    <dgm:pt modelId="{5633A71F-8A83-8143-B9FA-556399E831EE}" type="sibTrans" cxnId="{0D69F8B1-E2B8-AC4C-8568-50343536EFB7}">
      <dgm:prSet/>
      <dgm:spPr/>
      <dgm:t>
        <a:bodyPr/>
        <a:lstStyle/>
        <a:p>
          <a:endParaRPr lang="en-US"/>
        </a:p>
      </dgm:t>
    </dgm:pt>
    <dgm:pt modelId="{7D14EC61-7365-2F42-8470-221CE223CDDE}">
      <dgm:prSet phldrT="[Text]" custT="1"/>
      <dgm:spPr/>
      <dgm:t>
        <a:bodyPr/>
        <a:lstStyle/>
        <a:p>
          <a:r>
            <a:rPr lang="en-US" sz="2400" dirty="0"/>
            <a:t>Triangulation of data</a:t>
          </a:r>
        </a:p>
      </dgm:t>
    </dgm:pt>
    <dgm:pt modelId="{7FACA3CF-0CD9-9247-B82A-71E458AEDB48}" type="parTrans" cxnId="{E9B5EA99-F5B7-8E49-A716-B08A3FD97B7F}">
      <dgm:prSet/>
      <dgm:spPr/>
      <dgm:t>
        <a:bodyPr/>
        <a:lstStyle/>
        <a:p>
          <a:endParaRPr lang="en-US"/>
        </a:p>
      </dgm:t>
    </dgm:pt>
    <dgm:pt modelId="{5584D1DB-9426-594D-8340-8452E44F2213}" type="sibTrans" cxnId="{E9B5EA99-F5B7-8E49-A716-B08A3FD97B7F}">
      <dgm:prSet/>
      <dgm:spPr/>
      <dgm:t>
        <a:bodyPr/>
        <a:lstStyle/>
        <a:p>
          <a:endParaRPr lang="en-US"/>
        </a:p>
      </dgm:t>
    </dgm:pt>
    <dgm:pt modelId="{25E444B9-433E-3740-A0C5-3F883A57A357}">
      <dgm:prSet phldrT="[Text]" custT="1"/>
      <dgm:spPr/>
      <dgm:t>
        <a:bodyPr/>
        <a:lstStyle/>
        <a:p>
          <a:r>
            <a:rPr lang="en-US" sz="1800" dirty="0"/>
            <a:t>Framework analysis</a:t>
          </a:r>
        </a:p>
      </dgm:t>
    </dgm:pt>
    <dgm:pt modelId="{CC00D8BF-3454-AB4D-8E2F-1B9C61C7C0C1}" type="parTrans" cxnId="{082764B0-9D76-764B-87C2-00B4E039406C}">
      <dgm:prSet/>
      <dgm:spPr/>
      <dgm:t>
        <a:bodyPr/>
        <a:lstStyle/>
        <a:p>
          <a:endParaRPr lang="en-US"/>
        </a:p>
      </dgm:t>
    </dgm:pt>
    <dgm:pt modelId="{59224EC6-2B81-6646-96A3-235AD77F9B74}" type="sibTrans" cxnId="{082764B0-9D76-764B-87C2-00B4E039406C}">
      <dgm:prSet/>
      <dgm:spPr/>
      <dgm:t>
        <a:bodyPr/>
        <a:lstStyle/>
        <a:p>
          <a:endParaRPr lang="en-US"/>
        </a:p>
      </dgm:t>
    </dgm:pt>
    <dgm:pt modelId="{60EA4072-8EC8-B544-B642-50E9FE4F9305}">
      <dgm:prSet phldrT="[Text]" custT="1"/>
      <dgm:spPr/>
      <dgm:t>
        <a:bodyPr/>
        <a:lstStyle/>
        <a:p>
          <a:r>
            <a:rPr lang="en-US" sz="1800" dirty="0"/>
            <a:t>n=10</a:t>
          </a:r>
        </a:p>
      </dgm:t>
    </dgm:pt>
    <dgm:pt modelId="{3CFC5AD0-E3A8-CC41-830F-EB162AD2EFA3}" type="parTrans" cxnId="{A5512103-C498-B344-8475-72EA0B752F82}">
      <dgm:prSet/>
      <dgm:spPr/>
      <dgm:t>
        <a:bodyPr/>
        <a:lstStyle/>
        <a:p>
          <a:endParaRPr lang="en-US"/>
        </a:p>
      </dgm:t>
    </dgm:pt>
    <dgm:pt modelId="{44ED26D3-6E18-0649-A74A-A640A63812CE}" type="sibTrans" cxnId="{A5512103-C498-B344-8475-72EA0B752F82}">
      <dgm:prSet/>
      <dgm:spPr/>
      <dgm:t>
        <a:bodyPr/>
        <a:lstStyle/>
        <a:p>
          <a:endParaRPr lang="en-US"/>
        </a:p>
      </dgm:t>
    </dgm:pt>
    <dgm:pt modelId="{BE0A3D7C-ABC5-B341-82EB-A39DED619EDC}">
      <dgm:prSet phldrT="[Text]" custT="1"/>
      <dgm:spPr/>
      <dgm:t>
        <a:bodyPr/>
        <a:lstStyle/>
        <a:p>
          <a:r>
            <a:rPr lang="en-US" sz="1800" dirty="0"/>
            <a:t>Interviews</a:t>
          </a:r>
        </a:p>
      </dgm:t>
    </dgm:pt>
    <dgm:pt modelId="{DB969C56-053A-9244-92F9-49789D158E9E}" type="parTrans" cxnId="{002DEDD8-335D-EB4F-9CE8-A8353268533D}">
      <dgm:prSet/>
      <dgm:spPr/>
      <dgm:t>
        <a:bodyPr/>
        <a:lstStyle/>
        <a:p>
          <a:endParaRPr lang="en-US"/>
        </a:p>
      </dgm:t>
    </dgm:pt>
    <dgm:pt modelId="{15BAB72B-8888-DC48-B9B8-88C88C0D886F}" type="sibTrans" cxnId="{002DEDD8-335D-EB4F-9CE8-A8353268533D}">
      <dgm:prSet/>
      <dgm:spPr/>
      <dgm:t>
        <a:bodyPr/>
        <a:lstStyle/>
        <a:p>
          <a:endParaRPr lang="en-US"/>
        </a:p>
      </dgm:t>
    </dgm:pt>
    <dgm:pt modelId="{C804514B-ED51-9F42-9BF7-61567B43F578}" type="pres">
      <dgm:prSet presAssocID="{10F329F1-EBCB-3842-A8AE-6DEC44432B2C}" presName="Name0" presStyleCnt="0">
        <dgm:presLayoutVars>
          <dgm:dir/>
          <dgm:animLvl val="lvl"/>
          <dgm:resizeHandles val="exact"/>
        </dgm:presLayoutVars>
      </dgm:prSet>
      <dgm:spPr/>
    </dgm:pt>
    <dgm:pt modelId="{A0D40A30-B26F-8A4D-A419-CEC1D92147D9}" type="pres">
      <dgm:prSet presAssocID="{7D14EC61-7365-2F42-8470-221CE223CDDE}" presName="boxAndChildren" presStyleCnt="0"/>
      <dgm:spPr/>
    </dgm:pt>
    <dgm:pt modelId="{8A3569F7-C928-714D-8019-F95CEB48AAAD}" type="pres">
      <dgm:prSet presAssocID="{7D14EC61-7365-2F42-8470-221CE223CDDE}" presName="parentTextBox" presStyleLbl="node1" presStyleIdx="0" presStyleCnt="3"/>
      <dgm:spPr/>
    </dgm:pt>
    <dgm:pt modelId="{D28DC6F8-1AC4-9C4E-8053-CDBEB378B7B1}" type="pres">
      <dgm:prSet presAssocID="{7D14EC61-7365-2F42-8470-221CE223CDDE}" presName="entireBox" presStyleLbl="node1" presStyleIdx="0" presStyleCnt="3"/>
      <dgm:spPr/>
    </dgm:pt>
    <dgm:pt modelId="{7EB0E7DE-B272-074E-850E-90CC77AD7126}" type="pres">
      <dgm:prSet presAssocID="{7D14EC61-7365-2F42-8470-221CE223CDDE}" presName="descendantBox" presStyleCnt="0"/>
      <dgm:spPr/>
    </dgm:pt>
    <dgm:pt modelId="{E5AD5DE1-39BE-8742-9062-0C0A25071934}" type="pres">
      <dgm:prSet presAssocID="{25E444B9-433E-3740-A0C5-3F883A57A357}" presName="childTextBox" presStyleLbl="fgAccFollowNode1" presStyleIdx="0" presStyleCnt="6">
        <dgm:presLayoutVars>
          <dgm:bulletEnabled val="1"/>
        </dgm:presLayoutVars>
      </dgm:prSet>
      <dgm:spPr/>
    </dgm:pt>
    <dgm:pt modelId="{42FE268B-8B10-AC48-AE16-CCB99B6D1C99}" type="pres">
      <dgm:prSet presAssocID="{5633A71F-8A83-8143-B9FA-556399E831EE}" presName="sp" presStyleCnt="0"/>
      <dgm:spPr/>
    </dgm:pt>
    <dgm:pt modelId="{FEB6175B-3F40-6245-B92A-F71DA244DA8B}" type="pres">
      <dgm:prSet presAssocID="{AE2E0A9E-77CB-814A-B7FB-4A28A2F2B40F}" presName="arrowAndChildren" presStyleCnt="0"/>
      <dgm:spPr/>
    </dgm:pt>
    <dgm:pt modelId="{B3F8AB7C-669A-A942-A5AC-0FC1B0F5AD93}" type="pres">
      <dgm:prSet presAssocID="{AE2E0A9E-77CB-814A-B7FB-4A28A2F2B40F}" presName="parentTextArrow" presStyleLbl="node1" presStyleIdx="0" presStyleCnt="3"/>
      <dgm:spPr/>
    </dgm:pt>
    <dgm:pt modelId="{1735DB96-FA6B-3B45-AA99-C61950B6F1B2}" type="pres">
      <dgm:prSet presAssocID="{AE2E0A9E-77CB-814A-B7FB-4A28A2F2B40F}" presName="arrow" presStyleLbl="node1" presStyleIdx="1" presStyleCnt="3"/>
      <dgm:spPr/>
    </dgm:pt>
    <dgm:pt modelId="{FF0C6F9D-F9AA-6D49-A49E-75D87850A721}" type="pres">
      <dgm:prSet presAssocID="{AE2E0A9E-77CB-814A-B7FB-4A28A2F2B40F}" presName="descendantArrow" presStyleCnt="0"/>
      <dgm:spPr/>
    </dgm:pt>
    <dgm:pt modelId="{9C50769E-21F8-2E44-9D97-524031966F84}" type="pres">
      <dgm:prSet presAssocID="{BE0A3D7C-ABC5-B341-82EB-A39DED619EDC}" presName="childTextArrow" presStyleLbl="fgAccFollowNode1" presStyleIdx="1" presStyleCnt="6">
        <dgm:presLayoutVars>
          <dgm:bulletEnabled val="1"/>
        </dgm:presLayoutVars>
      </dgm:prSet>
      <dgm:spPr/>
    </dgm:pt>
    <dgm:pt modelId="{9AD0373A-03C8-764E-B007-022728467BB3}" type="pres">
      <dgm:prSet presAssocID="{60EA4072-8EC8-B544-B642-50E9FE4F9305}" presName="childTextArrow" presStyleLbl="fgAccFollowNode1" presStyleIdx="2" presStyleCnt="6">
        <dgm:presLayoutVars>
          <dgm:bulletEnabled val="1"/>
        </dgm:presLayoutVars>
      </dgm:prSet>
      <dgm:spPr/>
    </dgm:pt>
    <dgm:pt modelId="{6F0B9A99-0B8A-8249-96D2-3278B4A4EA0C}" type="pres">
      <dgm:prSet presAssocID="{DD9098CC-0923-6A4F-82F3-7B6852DC9996}" presName="sp" presStyleCnt="0"/>
      <dgm:spPr/>
    </dgm:pt>
    <dgm:pt modelId="{FFF25CD3-5BC8-CB45-B707-789427047C14}" type="pres">
      <dgm:prSet presAssocID="{7A7E1E7B-349A-A94D-88B0-7F4D3964D22E}" presName="arrowAndChildren" presStyleCnt="0"/>
      <dgm:spPr/>
    </dgm:pt>
    <dgm:pt modelId="{66C7711F-A11A-364F-8470-D888E100AB61}" type="pres">
      <dgm:prSet presAssocID="{7A7E1E7B-349A-A94D-88B0-7F4D3964D22E}" presName="parentTextArrow" presStyleLbl="node1" presStyleIdx="1" presStyleCnt="3"/>
      <dgm:spPr/>
    </dgm:pt>
    <dgm:pt modelId="{E61D0AF5-4AA9-1741-AF6D-6F5534440118}" type="pres">
      <dgm:prSet presAssocID="{7A7E1E7B-349A-A94D-88B0-7F4D3964D22E}" presName="arrow" presStyleLbl="node1" presStyleIdx="2" presStyleCnt="3"/>
      <dgm:spPr/>
    </dgm:pt>
    <dgm:pt modelId="{F50323CE-A1A4-784D-98FC-FC5C2410B3AD}" type="pres">
      <dgm:prSet presAssocID="{7A7E1E7B-349A-A94D-88B0-7F4D3964D22E}" presName="descendantArrow" presStyleCnt="0"/>
      <dgm:spPr/>
    </dgm:pt>
    <dgm:pt modelId="{0CB0E21A-AA95-5F48-A955-5176FF7817FB}" type="pres">
      <dgm:prSet presAssocID="{7BD33696-36BB-9049-8E1F-6E1E0CDFFDC0}" presName="childTextArrow" presStyleLbl="fgAccFollowNode1" presStyleIdx="3" presStyleCnt="6">
        <dgm:presLayoutVars>
          <dgm:bulletEnabled val="1"/>
        </dgm:presLayoutVars>
      </dgm:prSet>
      <dgm:spPr/>
    </dgm:pt>
    <dgm:pt modelId="{70E1C419-59DE-7C45-9B16-94EA4677B1B2}" type="pres">
      <dgm:prSet presAssocID="{B7BAAF37-8C7E-2B46-AFEA-4548D04C4AD8}" presName="childTextArrow" presStyleLbl="fgAccFollowNode1" presStyleIdx="4" presStyleCnt="6">
        <dgm:presLayoutVars>
          <dgm:bulletEnabled val="1"/>
        </dgm:presLayoutVars>
      </dgm:prSet>
      <dgm:spPr/>
    </dgm:pt>
    <dgm:pt modelId="{FD64E691-B136-9348-A059-29CAA991C969}" type="pres">
      <dgm:prSet presAssocID="{2BBAA71D-C97E-0F49-8756-8AB97C02E7E0}" presName="childTextArrow" presStyleLbl="fgAccFollowNode1" presStyleIdx="5" presStyleCnt="6">
        <dgm:presLayoutVars>
          <dgm:bulletEnabled val="1"/>
        </dgm:presLayoutVars>
      </dgm:prSet>
      <dgm:spPr/>
    </dgm:pt>
  </dgm:ptLst>
  <dgm:cxnLst>
    <dgm:cxn modelId="{A5512103-C498-B344-8475-72EA0B752F82}" srcId="{AE2E0A9E-77CB-814A-B7FB-4A28A2F2B40F}" destId="{60EA4072-8EC8-B544-B642-50E9FE4F9305}" srcOrd="1" destOrd="0" parTransId="{3CFC5AD0-E3A8-CC41-830F-EB162AD2EFA3}" sibTransId="{44ED26D3-6E18-0649-A74A-A640A63812CE}"/>
    <dgm:cxn modelId="{165E9406-EE03-AE4B-AE80-703C9F5BECA6}" type="presOf" srcId="{7D14EC61-7365-2F42-8470-221CE223CDDE}" destId="{8A3569F7-C928-714D-8019-F95CEB48AAAD}" srcOrd="0" destOrd="0" presId="urn:microsoft.com/office/officeart/2005/8/layout/process4"/>
    <dgm:cxn modelId="{168CE224-25B0-9B4B-A8C5-6F0BA4979264}" type="presOf" srcId="{25E444B9-433E-3740-A0C5-3F883A57A357}" destId="{E5AD5DE1-39BE-8742-9062-0C0A25071934}" srcOrd="0" destOrd="0" presId="urn:microsoft.com/office/officeart/2005/8/layout/process4"/>
    <dgm:cxn modelId="{F209323E-5448-2C49-ACCF-5B2F0D830293}" type="presOf" srcId="{60EA4072-8EC8-B544-B642-50E9FE4F9305}" destId="{9AD0373A-03C8-764E-B007-022728467BB3}" srcOrd="0" destOrd="0" presId="urn:microsoft.com/office/officeart/2005/8/layout/process4"/>
    <dgm:cxn modelId="{01F28A5D-C0A4-A648-8651-F3450D2C1725}" type="presOf" srcId="{B7BAAF37-8C7E-2B46-AFEA-4548D04C4AD8}" destId="{70E1C419-59DE-7C45-9B16-94EA4677B1B2}" srcOrd="0" destOrd="0" presId="urn:microsoft.com/office/officeart/2005/8/layout/process4"/>
    <dgm:cxn modelId="{27065346-3D1A-674A-8C9B-BDABF538F17C}" srcId="{7A7E1E7B-349A-A94D-88B0-7F4D3964D22E}" destId="{B7BAAF37-8C7E-2B46-AFEA-4548D04C4AD8}" srcOrd="1" destOrd="0" parTransId="{964A2443-F5B7-024B-9B90-CEF474D439CA}" sibTransId="{64D5F8FC-542B-184C-9E23-29106F309D79}"/>
    <dgm:cxn modelId="{1E2C626A-9DC7-2544-BBF7-4C98E710E3ED}" type="presOf" srcId="{AE2E0A9E-77CB-814A-B7FB-4A28A2F2B40F}" destId="{B3F8AB7C-669A-A942-A5AC-0FC1B0F5AD93}" srcOrd="0" destOrd="0" presId="urn:microsoft.com/office/officeart/2005/8/layout/process4"/>
    <dgm:cxn modelId="{B007FB70-9F09-864D-AB1A-672F93C9B4F6}" type="presOf" srcId="{BE0A3D7C-ABC5-B341-82EB-A39DED619EDC}" destId="{9C50769E-21F8-2E44-9D97-524031966F84}" srcOrd="0" destOrd="0" presId="urn:microsoft.com/office/officeart/2005/8/layout/process4"/>
    <dgm:cxn modelId="{35684771-3623-A44A-8554-638A8B9E1F9D}" srcId="{10F329F1-EBCB-3842-A8AE-6DEC44432B2C}" destId="{7A7E1E7B-349A-A94D-88B0-7F4D3964D22E}" srcOrd="0" destOrd="0" parTransId="{DEF44014-BD11-044D-BDB0-860AE3864EA3}" sibTransId="{DD9098CC-0923-6A4F-82F3-7B6852DC9996}"/>
    <dgm:cxn modelId="{888A2385-3639-0E4D-B77B-40A38C075F66}" type="presOf" srcId="{7BD33696-36BB-9049-8E1F-6E1E0CDFFDC0}" destId="{0CB0E21A-AA95-5F48-A955-5176FF7817FB}" srcOrd="0" destOrd="0" presId="urn:microsoft.com/office/officeart/2005/8/layout/process4"/>
    <dgm:cxn modelId="{E9B5EA99-F5B7-8E49-A716-B08A3FD97B7F}" srcId="{10F329F1-EBCB-3842-A8AE-6DEC44432B2C}" destId="{7D14EC61-7365-2F42-8470-221CE223CDDE}" srcOrd="2" destOrd="0" parTransId="{7FACA3CF-0CD9-9247-B82A-71E458AEDB48}" sibTransId="{5584D1DB-9426-594D-8340-8452E44F2213}"/>
    <dgm:cxn modelId="{082764B0-9D76-764B-87C2-00B4E039406C}" srcId="{7D14EC61-7365-2F42-8470-221CE223CDDE}" destId="{25E444B9-433E-3740-A0C5-3F883A57A357}" srcOrd="0" destOrd="0" parTransId="{CC00D8BF-3454-AB4D-8E2F-1B9C61C7C0C1}" sibTransId="{59224EC6-2B81-6646-96A3-235AD77F9B74}"/>
    <dgm:cxn modelId="{0D69F8B1-E2B8-AC4C-8568-50343536EFB7}" srcId="{10F329F1-EBCB-3842-A8AE-6DEC44432B2C}" destId="{AE2E0A9E-77CB-814A-B7FB-4A28A2F2B40F}" srcOrd="1" destOrd="0" parTransId="{630296A8-A1A0-F540-8D0F-07DD202CC1ED}" sibTransId="{5633A71F-8A83-8143-B9FA-556399E831EE}"/>
    <dgm:cxn modelId="{6969E0B3-8263-6945-9A70-2F9E83D58BA8}" type="presOf" srcId="{AE2E0A9E-77CB-814A-B7FB-4A28A2F2B40F}" destId="{1735DB96-FA6B-3B45-AA99-C61950B6F1B2}" srcOrd="1" destOrd="0" presId="urn:microsoft.com/office/officeart/2005/8/layout/process4"/>
    <dgm:cxn modelId="{F04A96D2-2E13-5A41-BB15-232E819EB96E}" srcId="{7A7E1E7B-349A-A94D-88B0-7F4D3964D22E}" destId="{7BD33696-36BB-9049-8E1F-6E1E0CDFFDC0}" srcOrd="0" destOrd="0" parTransId="{3A077B5B-2634-474C-A9D6-5C586201F902}" sibTransId="{502D6311-27FD-2C48-B9E6-971B6EC5BB20}"/>
    <dgm:cxn modelId="{002DEDD8-335D-EB4F-9CE8-A8353268533D}" srcId="{AE2E0A9E-77CB-814A-B7FB-4A28A2F2B40F}" destId="{BE0A3D7C-ABC5-B341-82EB-A39DED619EDC}" srcOrd="0" destOrd="0" parTransId="{DB969C56-053A-9244-92F9-49789D158E9E}" sibTransId="{15BAB72B-8888-DC48-B9B8-88C88C0D886F}"/>
    <dgm:cxn modelId="{572988DB-0AD1-2943-BD48-DAB7F28454CB}" type="presOf" srcId="{7D14EC61-7365-2F42-8470-221CE223CDDE}" destId="{D28DC6F8-1AC4-9C4E-8053-CDBEB378B7B1}" srcOrd="1" destOrd="0" presId="urn:microsoft.com/office/officeart/2005/8/layout/process4"/>
    <dgm:cxn modelId="{01BA97DB-753B-2643-9604-EC7F6573BD2A}" type="presOf" srcId="{7A7E1E7B-349A-A94D-88B0-7F4D3964D22E}" destId="{E61D0AF5-4AA9-1741-AF6D-6F5534440118}" srcOrd="1" destOrd="0" presId="urn:microsoft.com/office/officeart/2005/8/layout/process4"/>
    <dgm:cxn modelId="{30AD7AE0-422E-5C42-8421-B0A486AC6A51}" type="presOf" srcId="{2BBAA71D-C97E-0F49-8756-8AB97C02E7E0}" destId="{FD64E691-B136-9348-A059-29CAA991C969}" srcOrd="0" destOrd="0" presId="urn:microsoft.com/office/officeart/2005/8/layout/process4"/>
    <dgm:cxn modelId="{081E7EE1-8477-6A4B-8BB3-FCB11820C767}" srcId="{7A7E1E7B-349A-A94D-88B0-7F4D3964D22E}" destId="{2BBAA71D-C97E-0F49-8756-8AB97C02E7E0}" srcOrd="2" destOrd="0" parTransId="{0A09FC44-4F91-E94B-BFE2-D25379A9D125}" sibTransId="{ECE95B69-3060-E346-9EF7-2C670F170307}"/>
    <dgm:cxn modelId="{7C71FFE7-D8B6-4F44-90C7-AC7969845192}" type="presOf" srcId="{10F329F1-EBCB-3842-A8AE-6DEC44432B2C}" destId="{C804514B-ED51-9F42-9BF7-61567B43F578}" srcOrd="0" destOrd="0" presId="urn:microsoft.com/office/officeart/2005/8/layout/process4"/>
    <dgm:cxn modelId="{D1039AFF-DE13-C749-8BDA-53E169625262}" type="presOf" srcId="{7A7E1E7B-349A-A94D-88B0-7F4D3964D22E}" destId="{66C7711F-A11A-364F-8470-D888E100AB61}" srcOrd="0" destOrd="0" presId="urn:microsoft.com/office/officeart/2005/8/layout/process4"/>
    <dgm:cxn modelId="{51D46581-EF02-D244-A727-4C51C83B8719}" type="presParOf" srcId="{C804514B-ED51-9F42-9BF7-61567B43F578}" destId="{A0D40A30-B26F-8A4D-A419-CEC1D92147D9}" srcOrd="0" destOrd="0" presId="urn:microsoft.com/office/officeart/2005/8/layout/process4"/>
    <dgm:cxn modelId="{20711CFE-F74B-8C44-847A-F29A21AF7BF3}" type="presParOf" srcId="{A0D40A30-B26F-8A4D-A419-CEC1D92147D9}" destId="{8A3569F7-C928-714D-8019-F95CEB48AAAD}" srcOrd="0" destOrd="0" presId="urn:microsoft.com/office/officeart/2005/8/layout/process4"/>
    <dgm:cxn modelId="{BFF3EE1E-F52F-FF42-82CE-D524340418F5}" type="presParOf" srcId="{A0D40A30-B26F-8A4D-A419-CEC1D92147D9}" destId="{D28DC6F8-1AC4-9C4E-8053-CDBEB378B7B1}" srcOrd="1" destOrd="0" presId="urn:microsoft.com/office/officeart/2005/8/layout/process4"/>
    <dgm:cxn modelId="{FFDBF385-218E-CD4A-A803-E75A81F640A0}" type="presParOf" srcId="{A0D40A30-B26F-8A4D-A419-CEC1D92147D9}" destId="{7EB0E7DE-B272-074E-850E-90CC77AD7126}" srcOrd="2" destOrd="0" presId="urn:microsoft.com/office/officeart/2005/8/layout/process4"/>
    <dgm:cxn modelId="{CC8F445D-93EF-6445-B96D-D9D349FBAD07}" type="presParOf" srcId="{7EB0E7DE-B272-074E-850E-90CC77AD7126}" destId="{E5AD5DE1-39BE-8742-9062-0C0A25071934}" srcOrd="0" destOrd="0" presId="urn:microsoft.com/office/officeart/2005/8/layout/process4"/>
    <dgm:cxn modelId="{DD86E4F8-7E05-9349-A6F9-E0099AF26DB0}" type="presParOf" srcId="{C804514B-ED51-9F42-9BF7-61567B43F578}" destId="{42FE268B-8B10-AC48-AE16-CCB99B6D1C99}" srcOrd="1" destOrd="0" presId="urn:microsoft.com/office/officeart/2005/8/layout/process4"/>
    <dgm:cxn modelId="{649F8731-9588-4E47-9978-0BD0BF7873C7}" type="presParOf" srcId="{C804514B-ED51-9F42-9BF7-61567B43F578}" destId="{FEB6175B-3F40-6245-B92A-F71DA244DA8B}" srcOrd="2" destOrd="0" presId="urn:microsoft.com/office/officeart/2005/8/layout/process4"/>
    <dgm:cxn modelId="{2EED12DA-7CFC-624B-BAA4-8CC8AB3EC1A8}" type="presParOf" srcId="{FEB6175B-3F40-6245-B92A-F71DA244DA8B}" destId="{B3F8AB7C-669A-A942-A5AC-0FC1B0F5AD93}" srcOrd="0" destOrd="0" presId="urn:microsoft.com/office/officeart/2005/8/layout/process4"/>
    <dgm:cxn modelId="{827832AA-CFF2-9B44-A07A-DEFA33FEA2D3}" type="presParOf" srcId="{FEB6175B-3F40-6245-B92A-F71DA244DA8B}" destId="{1735DB96-FA6B-3B45-AA99-C61950B6F1B2}" srcOrd="1" destOrd="0" presId="urn:microsoft.com/office/officeart/2005/8/layout/process4"/>
    <dgm:cxn modelId="{02F2CCD4-2489-534E-B7E0-70DF9B2AF93C}" type="presParOf" srcId="{FEB6175B-3F40-6245-B92A-F71DA244DA8B}" destId="{FF0C6F9D-F9AA-6D49-A49E-75D87850A721}" srcOrd="2" destOrd="0" presId="urn:microsoft.com/office/officeart/2005/8/layout/process4"/>
    <dgm:cxn modelId="{32FFE5AC-A68D-2C4F-B819-B3631B5F82B7}" type="presParOf" srcId="{FF0C6F9D-F9AA-6D49-A49E-75D87850A721}" destId="{9C50769E-21F8-2E44-9D97-524031966F84}" srcOrd="0" destOrd="0" presId="urn:microsoft.com/office/officeart/2005/8/layout/process4"/>
    <dgm:cxn modelId="{8705112E-CFB2-3747-96E2-A44D1A38A026}" type="presParOf" srcId="{FF0C6F9D-F9AA-6D49-A49E-75D87850A721}" destId="{9AD0373A-03C8-764E-B007-022728467BB3}" srcOrd="1" destOrd="0" presId="urn:microsoft.com/office/officeart/2005/8/layout/process4"/>
    <dgm:cxn modelId="{0AB8CABD-9F93-6941-81E0-061B4DED000B}" type="presParOf" srcId="{C804514B-ED51-9F42-9BF7-61567B43F578}" destId="{6F0B9A99-0B8A-8249-96D2-3278B4A4EA0C}" srcOrd="3" destOrd="0" presId="urn:microsoft.com/office/officeart/2005/8/layout/process4"/>
    <dgm:cxn modelId="{BBA59791-DD2C-7F4F-96B7-A117982EBE59}" type="presParOf" srcId="{C804514B-ED51-9F42-9BF7-61567B43F578}" destId="{FFF25CD3-5BC8-CB45-B707-789427047C14}" srcOrd="4" destOrd="0" presId="urn:microsoft.com/office/officeart/2005/8/layout/process4"/>
    <dgm:cxn modelId="{F6DE31DB-9E55-AE47-88EF-8E397AFC0119}" type="presParOf" srcId="{FFF25CD3-5BC8-CB45-B707-789427047C14}" destId="{66C7711F-A11A-364F-8470-D888E100AB61}" srcOrd="0" destOrd="0" presId="urn:microsoft.com/office/officeart/2005/8/layout/process4"/>
    <dgm:cxn modelId="{33D7D2D4-08B7-4348-AECE-42CE410F2D07}" type="presParOf" srcId="{FFF25CD3-5BC8-CB45-B707-789427047C14}" destId="{E61D0AF5-4AA9-1741-AF6D-6F5534440118}" srcOrd="1" destOrd="0" presId="urn:microsoft.com/office/officeart/2005/8/layout/process4"/>
    <dgm:cxn modelId="{23A77697-209A-7044-B82E-E025DF80E983}" type="presParOf" srcId="{FFF25CD3-5BC8-CB45-B707-789427047C14}" destId="{F50323CE-A1A4-784D-98FC-FC5C2410B3AD}" srcOrd="2" destOrd="0" presId="urn:microsoft.com/office/officeart/2005/8/layout/process4"/>
    <dgm:cxn modelId="{0BEEFCC3-5610-0C44-921D-D78C4211CE51}" type="presParOf" srcId="{F50323CE-A1A4-784D-98FC-FC5C2410B3AD}" destId="{0CB0E21A-AA95-5F48-A955-5176FF7817FB}" srcOrd="0" destOrd="0" presId="urn:microsoft.com/office/officeart/2005/8/layout/process4"/>
    <dgm:cxn modelId="{2A56E1C2-3B10-B244-8802-6FF993564BD8}" type="presParOf" srcId="{F50323CE-A1A4-784D-98FC-FC5C2410B3AD}" destId="{70E1C419-59DE-7C45-9B16-94EA4677B1B2}" srcOrd="1" destOrd="0" presId="urn:microsoft.com/office/officeart/2005/8/layout/process4"/>
    <dgm:cxn modelId="{9A708471-B0C3-8E4F-BC5A-DC2E28975A21}" type="presParOf" srcId="{F50323CE-A1A4-784D-98FC-FC5C2410B3AD}" destId="{FD64E691-B136-9348-A059-29CAA991C969}" srcOrd="2" destOrd="0" presId="urn:microsoft.com/office/officeart/2005/8/layout/process4"/>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2698F7DA-D392-2445-86E6-B3B448EE5F11}" type="doc">
      <dgm:prSet loTypeId="urn:microsoft.com/office/officeart/2005/8/layout/chevron2" loCatId="" qsTypeId="urn:microsoft.com/office/officeart/2005/8/quickstyle/simple4" qsCatId="simple" csTypeId="urn:microsoft.com/office/officeart/2005/8/colors/accent1_2" csCatId="accent1" phldr="1"/>
      <dgm:spPr/>
      <dgm:t>
        <a:bodyPr/>
        <a:lstStyle/>
        <a:p>
          <a:endParaRPr lang="en-US"/>
        </a:p>
      </dgm:t>
    </dgm:pt>
    <dgm:pt modelId="{EA13D17F-DBDB-F849-8480-87B3F26B8E26}">
      <dgm:prSet phldrT="[Text]"/>
      <dgm:spPr/>
      <dgm:t>
        <a:bodyPr/>
        <a:lstStyle/>
        <a:p>
          <a:r>
            <a:rPr lang="en-US"/>
            <a:t>Introduction</a:t>
          </a:r>
        </a:p>
      </dgm:t>
    </dgm:pt>
    <dgm:pt modelId="{54323BF6-6A2C-6246-BC62-3DE76E36B4BF}" type="parTrans" cxnId="{161A9F82-316B-C240-9400-7C435BB4A166}">
      <dgm:prSet/>
      <dgm:spPr/>
      <dgm:t>
        <a:bodyPr/>
        <a:lstStyle/>
        <a:p>
          <a:endParaRPr lang="en-US"/>
        </a:p>
      </dgm:t>
    </dgm:pt>
    <dgm:pt modelId="{6EA6C6DD-421D-2D46-B723-39408E08F713}" type="sibTrans" cxnId="{161A9F82-316B-C240-9400-7C435BB4A166}">
      <dgm:prSet/>
      <dgm:spPr/>
      <dgm:t>
        <a:bodyPr/>
        <a:lstStyle/>
        <a:p>
          <a:endParaRPr lang="en-US"/>
        </a:p>
      </dgm:t>
    </dgm:pt>
    <dgm:pt modelId="{9CB46E70-019D-2748-B5E4-024A7BB04D5D}">
      <dgm:prSet phldrT="[Text]"/>
      <dgm:spPr/>
      <dgm:t>
        <a:bodyPr/>
        <a:lstStyle/>
        <a:p>
          <a:r>
            <a:rPr lang="en-US"/>
            <a:t>To environment</a:t>
          </a:r>
        </a:p>
      </dgm:t>
    </dgm:pt>
    <dgm:pt modelId="{33D98051-DC88-A540-AA5D-F9F99482748D}" type="parTrans" cxnId="{EF86A93A-DC3C-3744-9DE8-1872213F935A}">
      <dgm:prSet/>
      <dgm:spPr/>
      <dgm:t>
        <a:bodyPr/>
        <a:lstStyle/>
        <a:p>
          <a:endParaRPr lang="en-US"/>
        </a:p>
      </dgm:t>
    </dgm:pt>
    <dgm:pt modelId="{D1D4D5FC-8588-FC4A-87A1-B42D427279BB}" type="sibTrans" cxnId="{EF86A93A-DC3C-3744-9DE8-1872213F935A}">
      <dgm:prSet/>
      <dgm:spPr/>
      <dgm:t>
        <a:bodyPr/>
        <a:lstStyle/>
        <a:p>
          <a:endParaRPr lang="en-US"/>
        </a:p>
      </dgm:t>
    </dgm:pt>
    <dgm:pt modelId="{AA4D185D-37B1-B243-9021-C0FA389724F8}">
      <dgm:prSet phldrT="[Text]"/>
      <dgm:spPr/>
      <dgm:t>
        <a:bodyPr/>
        <a:lstStyle/>
        <a:p>
          <a:r>
            <a:rPr lang="en-US"/>
            <a:t>To mannequin</a:t>
          </a:r>
        </a:p>
      </dgm:t>
    </dgm:pt>
    <dgm:pt modelId="{31A1457F-4ACA-A244-B7C0-9BFDBC0DB280}" type="parTrans" cxnId="{E23A39B5-8204-2248-8313-D438FED0E73F}">
      <dgm:prSet/>
      <dgm:spPr/>
      <dgm:t>
        <a:bodyPr/>
        <a:lstStyle/>
        <a:p>
          <a:endParaRPr lang="en-US"/>
        </a:p>
      </dgm:t>
    </dgm:pt>
    <dgm:pt modelId="{9B81415E-052D-5D45-89A4-578A55B2C07A}" type="sibTrans" cxnId="{E23A39B5-8204-2248-8313-D438FED0E73F}">
      <dgm:prSet/>
      <dgm:spPr/>
      <dgm:t>
        <a:bodyPr/>
        <a:lstStyle/>
        <a:p>
          <a:endParaRPr lang="en-US"/>
        </a:p>
      </dgm:t>
    </dgm:pt>
    <dgm:pt modelId="{C3D1D724-0DDF-B343-AE7D-61A7A592F96F}">
      <dgm:prSet phldrT="[Text]"/>
      <dgm:spPr/>
      <dgm:t>
        <a:bodyPr/>
        <a:lstStyle/>
        <a:p>
          <a:r>
            <a:rPr lang="en-US"/>
            <a:t>Scenario n=5</a:t>
          </a:r>
        </a:p>
      </dgm:t>
    </dgm:pt>
    <dgm:pt modelId="{1B9F25EC-BB81-D54E-8D0C-BA53E7F32165}" type="parTrans" cxnId="{BF5E97A4-2800-9449-9C08-B58C44C6FCF3}">
      <dgm:prSet/>
      <dgm:spPr/>
      <dgm:t>
        <a:bodyPr/>
        <a:lstStyle/>
        <a:p>
          <a:endParaRPr lang="en-US"/>
        </a:p>
      </dgm:t>
    </dgm:pt>
    <dgm:pt modelId="{4277B1A5-A4AE-F64A-A66C-3F3C7F1D35A3}" type="sibTrans" cxnId="{BF5E97A4-2800-9449-9C08-B58C44C6FCF3}">
      <dgm:prSet/>
      <dgm:spPr/>
      <dgm:t>
        <a:bodyPr/>
        <a:lstStyle/>
        <a:p>
          <a:endParaRPr lang="en-US"/>
        </a:p>
      </dgm:t>
    </dgm:pt>
    <dgm:pt modelId="{C6850D64-72EF-FC4F-83AF-3BF081BCB6B7}">
      <dgm:prSet phldrT="[Text]"/>
      <dgm:spPr/>
      <dgm:t>
        <a:bodyPr/>
        <a:lstStyle/>
        <a:p>
          <a:r>
            <a:rPr lang="en-US"/>
            <a:t>20 minutes </a:t>
          </a:r>
        </a:p>
      </dgm:t>
    </dgm:pt>
    <dgm:pt modelId="{3879C781-97F5-E941-99DA-D2EAA7CF314B}" type="parTrans" cxnId="{4B5FA732-2A3E-0B4B-A7F6-C94527FF230E}">
      <dgm:prSet/>
      <dgm:spPr/>
      <dgm:t>
        <a:bodyPr/>
        <a:lstStyle/>
        <a:p>
          <a:endParaRPr lang="en-US"/>
        </a:p>
      </dgm:t>
    </dgm:pt>
    <dgm:pt modelId="{04A27C5A-BB58-2F42-858D-A5CDE5FA485D}" type="sibTrans" cxnId="{4B5FA732-2A3E-0B4B-A7F6-C94527FF230E}">
      <dgm:prSet/>
      <dgm:spPr/>
      <dgm:t>
        <a:bodyPr/>
        <a:lstStyle/>
        <a:p>
          <a:endParaRPr lang="en-US"/>
        </a:p>
      </dgm:t>
    </dgm:pt>
    <dgm:pt modelId="{09476D17-AF9B-784E-A356-AC90C0535C86}">
      <dgm:prSet phldrT="[Text]"/>
      <dgm:spPr/>
      <dgm:t>
        <a:bodyPr/>
        <a:lstStyle/>
        <a:p>
          <a:r>
            <a:rPr lang="en-US"/>
            <a:t>Debrief</a:t>
          </a:r>
        </a:p>
      </dgm:t>
    </dgm:pt>
    <dgm:pt modelId="{1A080881-6A1E-5145-8324-37F55AE93E5A}" type="parTrans" cxnId="{11B88A99-66BF-F743-A93A-69412A4EF5C9}">
      <dgm:prSet/>
      <dgm:spPr/>
      <dgm:t>
        <a:bodyPr/>
        <a:lstStyle/>
        <a:p>
          <a:endParaRPr lang="en-US"/>
        </a:p>
      </dgm:t>
    </dgm:pt>
    <dgm:pt modelId="{B859EE01-5D71-AC46-87C1-CB2F3F056509}" type="sibTrans" cxnId="{11B88A99-66BF-F743-A93A-69412A4EF5C9}">
      <dgm:prSet/>
      <dgm:spPr/>
      <dgm:t>
        <a:bodyPr/>
        <a:lstStyle/>
        <a:p>
          <a:endParaRPr lang="en-US"/>
        </a:p>
      </dgm:t>
    </dgm:pt>
    <dgm:pt modelId="{AD33708C-A52D-274F-BC49-B8B6B8683058}">
      <dgm:prSet phldrT="[Text]"/>
      <dgm:spPr/>
      <dgm:t>
        <a:bodyPr/>
        <a:lstStyle/>
        <a:p>
          <a:r>
            <a:rPr lang="en-US"/>
            <a:t>20 minutes</a:t>
          </a:r>
        </a:p>
      </dgm:t>
    </dgm:pt>
    <dgm:pt modelId="{44B5F2FE-45B2-3842-A103-D3352A42E177}" type="parTrans" cxnId="{50C7B8BF-2483-5845-B8CB-3A718F4AFE42}">
      <dgm:prSet/>
      <dgm:spPr/>
      <dgm:t>
        <a:bodyPr/>
        <a:lstStyle/>
        <a:p>
          <a:endParaRPr lang="en-US"/>
        </a:p>
      </dgm:t>
    </dgm:pt>
    <dgm:pt modelId="{9F149924-0DBA-814A-9141-A2E1204A278F}" type="sibTrans" cxnId="{50C7B8BF-2483-5845-B8CB-3A718F4AFE42}">
      <dgm:prSet/>
      <dgm:spPr/>
      <dgm:t>
        <a:bodyPr/>
        <a:lstStyle/>
        <a:p>
          <a:endParaRPr lang="en-US"/>
        </a:p>
      </dgm:t>
    </dgm:pt>
    <dgm:pt modelId="{93CC8FD7-A2CE-794B-949C-1D94C841FD85}">
      <dgm:prSet phldrT="[Text]"/>
      <dgm:spPr/>
      <dgm:t>
        <a:bodyPr/>
        <a:lstStyle/>
        <a:p>
          <a:r>
            <a:rPr lang="en-US"/>
            <a:t>Good judgment model</a:t>
          </a:r>
        </a:p>
      </dgm:t>
    </dgm:pt>
    <dgm:pt modelId="{8542D1D4-CAE2-864B-A1EC-10717443C974}" type="parTrans" cxnId="{4940BED0-3600-D14C-80EB-CC2CEBD4F72A}">
      <dgm:prSet/>
      <dgm:spPr/>
      <dgm:t>
        <a:bodyPr/>
        <a:lstStyle/>
        <a:p>
          <a:endParaRPr lang="en-US"/>
        </a:p>
      </dgm:t>
    </dgm:pt>
    <dgm:pt modelId="{0A72AD32-9A54-3440-B769-C7F743B10DBE}" type="sibTrans" cxnId="{4940BED0-3600-D14C-80EB-CC2CEBD4F72A}">
      <dgm:prSet/>
      <dgm:spPr/>
      <dgm:t>
        <a:bodyPr/>
        <a:lstStyle/>
        <a:p>
          <a:endParaRPr lang="en-US"/>
        </a:p>
      </dgm:t>
    </dgm:pt>
    <dgm:pt modelId="{03151E96-23F4-B24D-9B01-716C2529B07C}">
      <dgm:prSet phldrT="[Text]"/>
      <dgm:spPr/>
      <dgm:t>
        <a:bodyPr/>
        <a:lstStyle/>
        <a:p>
          <a:r>
            <a:rPr lang="en-US"/>
            <a:t>How to access help</a:t>
          </a:r>
        </a:p>
      </dgm:t>
    </dgm:pt>
    <dgm:pt modelId="{046EF99D-BCAF-E242-8B12-C6EDDCC6C4E6}" type="parTrans" cxnId="{1F1C560E-7295-8F44-89EF-BAB967C02974}">
      <dgm:prSet/>
      <dgm:spPr/>
      <dgm:t>
        <a:bodyPr/>
        <a:lstStyle/>
        <a:p>
          <a:endParaRPr lang="en-US"/>
        </a:p>
      </dgm:t>
    </dgm:pt>
    <dgm:pt modelId="{F7D7DFCB-7964-0443-857D-0FAE855ECF62}" type="sibTrans" cxnId="{1F1C560E-7295-8F44-89EF-BAB967C02974}">
      <dgm:prSet/>
      <dgm:spPr/>
      <dgm:t>
        <a:bodyPr/>
        <a:lstStyle/>
        <a:p>
          <a:endParaRPr lang="en-US"/>
        </a:p>
      </dgm:t>
    </dgm:pt>
    <dgm:pt modelId="{5F80ADCC-2805-474F-91AA-31C4E7C8014C}">
      <dgm:prSet phldrT="[Text]"/>
      <dgm:spPr/>
      <dgm:t>
        <a:bodyPr/>
        <a:lstStyle/>
        <a:p>
          <a:r>
            <a:rPr lang="en-US"/>
            <a:t>Learning outcomes</a:t>
          </a:r>
        </a:p>
      </dgm:t>
    </dgm:pt>
    <dgm:pt modelId="{790FE129-25BE-EB49-829E-CF668B2F7BD5}" type="parTrans" cxnId="{0619D51C-CC7B-574C-9975-A25FEB34FD0D}">
      <dgm:prSet/>
      <dgm:spPr/>
      <dgm:t>
        <a:bodyPr/>
        <a:lstStyle/>
        <a:p>
          <a:endParaRPr lang="en-US"/>
        </a:p>
      </dgm:t>
    </dgm:pt>
    <dgm:pt modelId="{D57C8D5C-A628-F141-8AC6-D541513B843F}" type="sibTrans" cxnId="{0619D51C-CC7B-574C-9975-A25FEB34FD0D}">
      <dgm:prSet/>
      <dgm:spPr/>
      <dgm:t>
        <a:bodyPr/>
        <a:lstStyle/>
        <a:p>
          <a:endParaRPr lang="en-US"/>
        </a:p>
      </dgm:t>
    </dgm:pt>
    <dgm:pt modelId="{CA753E97-F32A-8D42-9D97-24915BF9F840}">
      <dgm:prSet phldrT="[Text]"/>
      <dgm:spPr/>
      <dgm:t>
        <a:bodyPr/>
        <a:lstStyle/>
        <a:p>
          <a:r>
            <a:rPr lang="en-US"/>
            <a:t>Peer observation</a:t>
          </a:r>
        </a:p>
      </dgm:t>
    </dgm:pt>
    <dgm:pt modelId="{A8B79DDC-EA36-C842-98CC-FE5DEA5F0974}" type="parTrans" cxnId="{86A3C299-9596-D04F-B871-684B86412D89}">
      <dgm:prSet/>
      <dgm:spPr/>
      <dgm:t>
        <a:bodyPr/>
        <a:lstStyle/>
        <a:p>
          <a:endParaRPr lang="en-US"/>
        </a:p>
      </dgm:t>
    </dgm:pt>
    <dgm:pt modelId="{FB80AA75-BCEA-5E4F-847E-F63518A7CD73}" type="sibTrans" cxnId="{86A3C299-9596-D04F-B871-684B86412D89}">
      <dgm:prSet/>
      <dgm:spPr/>
      <dgm:t>
        <a:bodyPr/>
        <a:lstStyle/>
        <a:p>
          <a:endParaRPr lang="en-US"/>
        </a:p>
      </dgm:t>
    </dgm:pt>
    <dgm:pt modelId="{82F835F0-9F8E-364F-8022-24450CAC6737}">
      <dgm:prSet phldrT="[Text]"/>
      <dgm:spPr/>
      <dgm:t>
        <a:bodyPr/>
        <a:lstStyle/>
        <a:p>
          <a:r>
            <a:rPr lang="en-US"/>
            <a:t>Curriculum mapped</a:t>
          </a:r>
        </a:p>
      </dgm:t>
    </dgm:pt>
    <dgm:pt modelId="{97A5FB07-BFDE-B54A-A9DD-1C351007B36F}" type="parTrans" cxnId="{5BE6D5B5-0B28-F640-ACDA-4E4C4C3E96E4}">
      <dgm:prSet/>
      <dgm:spPr/>
      <dgm:t>
        <a:bodyPr/>
        <a:lstStyle/>
        <a:p>
          <a:endParaRPr lang="en-US"/>
        </a:p>
      </dgm:t>
    </dgm:pt>
    <dgm:pt modelId="{0AC34775-E0B8-8244-8F62-040AEB42B770}" type="sibTrans" cxnId="{5BE6D5B5-0B28-F640-ACDA-4E4C4C3E96E4}">
      <dgm:prSet/>
      <dgm:spPr/>
      <dgm:t>
        <a:bodyPr/>
        <a:lstStyle/>
        <a:p>
          <a:endParaRPr lang="en-US"/>
        </a:p>
      </dgm:t>
    </dgm:pt>
    <dgm:pt modelId="{705E8F3E-A529-F44B-A721-381EF5F0EDF3}">
      <dgm:prSet phldrT="[Text]"/>
      <dgm:spPr/>
      <dgm:t>
        <a:bodyPr/>
        <a:lstStyle/>
        <a:p>
          <a:r>
            <a:rPr lang="en-US"/>
            <a:t>Summary </a:t>
          </a:r>
        </a:p>
      </dgm:t>
    </dgm:pt>
    <dgm:pt modelId="{B3CD3816-46DA-0041-A106-9DDFBE9EBA55}" type="parTrans" cxnId="{9697F004-2EBC-DF48-8DEA-71949E5154EC}">
      <dgm:prSet/>
      <dgm:spPr/>
      <dgm:t>
        <a:bodyPr/>
        <a:lstStyle/>
        <a:p>
          <a:endParaRPr lang="en-US"/>
        </a:p>
      </dgm:t>
    </dgm:pt>
    <dgm:pt modelId="{7CD7A270-E048-6E4E-AB78-B80B167273F8}" type="sibTrans" cxnId="{9697F004-2EBC-DF48-8DEA-71949E5154EC}">
      <dgm:prSet/>
      <dgm:spPr/>
      <dgm:t>
        <a:bodyPr/>
        <a:lstStyle/>
        <a:p>
          <a:endParaRPr lang="en-US"/>
        </a:p>
      </dgm:t>
    </dgm:pt>
    <dgm:pt modelId="{CF04002B-0C7F-FC42-B410-F0D11EA20B74}">
      <dgm:prSet phldrT="[Text]"/>
      <dgm:spPr/>
      <dgm:t>
        <a:bodyPr/>
        <a:lstStyle/>
        <a:p>
          <a:r>
            <a:rPr lang="en-US"/>
            <a:t>Learning outcomes</a:t>
          </a:r>
        </a:p>
      </dgm:t>
    </dgm:pt>
    <dgm:pt modelId="{8E9325EE-E957-854F-84BB-B79A0FA75826}" type="parTrans" cxnId="{021FF7A7-51DF-ED4F-9CD9-4405F66FB3DA}">
      <dgm:prSet/>
      <dgm:spPr/>
      <dgm:t>
        <a:bodyPr/>
        <a:lstStyle/>
        <a:p>
          <a:endParaRPr lang="en-US"/>
        </a:p>
      </dgm:t>
    </dgm:pt>
    <dgm:pt modelId="{29E999B5-5CE7-3140-BF92-3529BFB9C3F9}" type="sibTrans" cxnId="{021FF7A7-51DF-ED4F-9CD9-4405F66FB3DA}">
      <dgm:prSet/>
      <dgm:spPr/>
      <dgm:t>
        <a:bodyPr/>
        <a:lstStyle/>
        <a:p>
          <a:endParaRPr lang="en-US"/>
        </a:p>
      </dgm:t>
    </dgm:pt>
    <dgm:pt modelId="{AA99B3D3-9462-2640-B6F8-9F45588D17C8}">
      <dgm:prSet phldrT="[Text]"/>
      <dgm:spPr/>
      <dgm:t>
        <a:bodyPr/>
        <a:lstStyle/>
        <a:p>
          <a:r>
            <a:rPr lang="en-US"/>
            <a:t>Take home messages</a:t>
          </a:r>
        </a:p>
      </dgm:t>
    </dgm:pt>
    <dgm:pt modelId="{C7773B95-AD28-AF47-807E-C18958889E75}" type="parTrans" cxnId="{F51D22AD-0372-0C46-B29C-3A0426B18812}">
      <dgm:prSet/>
      <dgm:spPr/>
      <dgm:t>
        <a:bodyPr/>
        <a:lstStyle/>
        <a:p>
          <a:endParaRPr lang="en-US"/>
        </a:p>
      </dgm:t>
    </dgm:pt>
    <dgm:pt modelId="{041B5566-59D0-E54D-B195-773B7F428232}" type="sibTrans" cxnId="{F51D22AD-0372-0C46-B29C-3A0426B18812}">
      <dgm:prSet/>
      <dgm:spPr/>
      <dgm:t>
        <a:bodyPr/>
        <a:lstStyle/>
        <a:p>
          <a:endParaRPr lang="en-US"/>
        </a:p>
      </dgm:t>
    </dgm:pt>
    <dgm:pt modelId="{79043C02-ADA4-C64E-87DD-D520A4FC9918}">
      <dgm:prSet phldrT="[Text]"/>
      <dgm:spPr/>
      <dgm:t>
        <a:bodyPr/>
        <a:lstStyle/>
        <a:p>
          <a:r>
            <a:rPr lang="en-US"/>
            <a:t>Skills, knoweldge, human factors</a:t>
          </a:r>
        </a:p>
      </dgm:t>
    </dgm:pt>
    <dgm:pt modelId="{966DB8D3-9B35-6C4A-9209-6BE8A59B4BEB}" type="parTrans" cxnId="{139154A9-1BA7-EA42-84B3-A004D92F9972}">
      <dgm:prSet/>
      <dgm:spPr/>
      <dgm:t>
        <a:bodyPr/>
        <a:lstStyle/>
        <a:p>
          <a:endParaRPr lang="en-US"/>
        </a:p>
      </dgm:t>
    </dgm:pt>
    <dgm:pt modelId="{28F3E161-FF42-C442-9858-1AF02C0DBD2D}" type="sibTrans" cxnId="{139154A9-1BA7-EA42-84B3-A004D92F9972}">
      <dgm:prSet/>
      <dgm:spPr/>
      <dgm:t>
        <a:bodyPr/>
        <a:lstStyle/>
        <a:p>
          <a:endParaRPr lang="en-US"/>
        </a:p>
      </dgm:t>
    </dgm:pt>
    <dgm:pt modelId="{A823D479-41B5-264C-8CB7-9728CBD8205A}" type="pres">
      <dgm:prSet presAssocID="{2698F7DA-D392-2445-86E6-B3B448EE5F11}" presName="linearFlow" presStyleCnt="0">
        <dgm:presLayoutVars>
          <dgm:dir/>
          <dgm:animLvl val="lvl"/>
          <dgm:resizeHandles val="exact"/>
        </dgm:presLayoutVars>
      </dgm:prSet>
      <dgm:spPr/>
    </dgm:pt>
    <dgm:pt modelId="{712F1093-60B1-2541-8096-121C708813AE}" type="pres">
      <dgm:prSet presAssocID="{EA13D17F-DBDB-F849-8480-87B3F26B8E26}" presName="composite" presStyleCnt="0"/>
      <dgm:spPr/>
    </dgm:pt>
    <dgm:pt modelId="{77134BDA-4E14-9143-B420-2FCF8A314981}" type="pres">
      <dgm:prSet presAssocID="{EA13D17F-DBDB-F849-8480-87B3F26B8E26}" presName="parentText" presStyleLbl="alignNode1" presStyleIdx="0" presStyleCnt="4">
        <dgm:presLayoutVars>
          <dgm:chMax val="1"/>
          <dgm:bulletEnabled val="1"/>
        </dgm:presLayoutVars>
      </dgm:prSet>
      <dgm:spPr/>
    </dgm:pt>
    <dgm:pt modelId="{FCC701B3-1442-FD4A-8D66-5B653DC00980}" type="pres">
      <dgm:prSet presAssocID="{EA13D17F-DBDB-F849-8480-87B3F26B8E26}" presName="descendantText" presStyleLbl="alignAcc1" presStyleIdx="0" presStyleCnt="4">
        <dgm:presLayoutVars>
          <dgm:bulletEnabled val="1"/>
        </dgm:presLayoutVars>
      </dgm:prSet>
      <dgm:spPr/>
    </dgm:pt>
    <dgm:pt modelId="{21BA6730-48DA-804A-8909-D63A08BA61F5}" type="pres">
      <dgm:prSet presAssocID="{6EA6C6DD-421D-2D46-B723-39408E08F713}" presName="sp" presStyleCnt="0"/>
      <dgm:spPr/>
    </dgm:pt>
    <dgm:pt modelId="{78F3C07C-1C3D-5040-8866-5F807183CEEC}" type="pres">
      <dgm:prSet presAssocID="{C3D1D724-0DDF-B343-AE7D-61A7A592F96F}" presName="composite" presStyleCnt="0"/>
      <dgm:spPr/>
    </dgm:pt>
    <dgm:pt modelId="{09058706-54D0-8747-876B-0ED17406060C}" type="pres">
      <dgm:prSet presAssocID="{C3D1D724-0DDF-B343-AE7D-61A7A592F96F}" presName="parentText" presStyleLbl="alignNode1" presStyleIdx="1" presStyleCnt="4">
        <dgm:presLayoutVars>
          <dgm:chMax val="1"/>
          <dgm:bulletEnabled val="1"/>
        </dgm:presLayoutVars>
      </dgm:prSet>
      <dgm:spPr/>
    </dgm:pt>
    <dgm:pt modelId="{7EE836A4-63C0-3046-941F-79586547A790}" type="pres">
      <dgm:prSet presAssocID="{C3D1D724-0DDF-B343-AE7D-61A7A592F96F}" presName="descendantText" presStyleLbl="alignAcc1" presStyleIdx="1" presStyleCnt="4">
        <dgm:presLayoutVars>
          <dgm:bulletEnabled val="1"/>
        </dgm:presLayoutVars>
      </dgm:prSet>
      <dgm:spPr/>
    </dgm:pt>
    <dgm:pt modelId="{B6CB170F-8B47-7643-B138-907C9FF2A505}" type="pres">
      <dgm:prSet presAssocID="{4277B1A5-A4AE-F64A-A66C-3F3C7F1D35A3}" presName="sp" presStyleCnt="0"/>
      <dgm:spPr/>
    </dgm:pt>
    <dgm:pt modelId="{FD70BD2E-9E5A-264D-BFC3-2428AC30A310}" type="pres">
      <dgm:prSet presAssocID="{09476D17-AF9B-784E-A356-AC90C0535C86}" presName="composite" presStyleCnt="0"/>
      <dgm:spPr/>
    </dgm:pt>
    <dgm:pt modelId="{EDD3EFC4-823E-004B-9813-12B078801CAF}" type="pres">
      <dgm:prSet presAssocID="{09476D17-AF9B-784E-A356-AC90C0535C86}" presName="parentText" presStyleLbl="alignNode1" presStyleIdx="2" presStyleCnt="4">
        <dgm:presLayoutVars>
          <dgm:chMax val="1"/>
          <dgm:bulletEnabled val="1"/>
        </dgm:presLayoutVars>
      </dgm:prSet>
      <dgm:spPr/>
    </dgm:pt>
    <dgm:pt modelId="{3A59D491-5DC1-B94E-9340-987F0D7A4778}" type="pres">
      <dgm:prSet presAssocID="{09476D17-AF9B-784E-A356-AC90C0535C86}" presName="descendantText" presStyleLbl="alignAcc1" presStyleIdx="2" presStyleCnt="4">
        <dgm:presLayoutVars>
          <dgm:bulletEnabled val="1"/>
        </dgm:presLayoutVars>
      </dgm:prSet>
      <dgm:spPr/>
    </dgm:pt>
    <dgm:pt modelId="{A8F68F18-F500-8946-AA5E-AC6E08DA78B8}" type="pres">
      <dgm:prSet presAssocID="{B859EE01-5D71-AC46-87C1-CB2F3F056509}" presName="sp" presStyleCnt="0"/>
      <dgm:spPr/>
    </dgm:pt>
    <dgm:pt modelId="{F6BD045C-58B5-AE4D-AAA5-F4AD47A137C8}" type="pres">
      <dgm:prSet presAssocID="{705E8F3E-A529-F44B-A721-381EF5F0EDF3}" presName="composite" presStyleCnt="0"/>
      <dgm:spPr/>
    </dgm:pt>
    <dgm:pt modelId="{02127E02-94BD-D049-8D72-A57F4D7FC2EA}" type="pres">
      <dgm:prSet presAssocID="{705E8F3E-A529-F44B-A721-381EF5F0EDF3}" presName="parentText" presStyleLbl="alignNode1" presStyleIdx="3" presStyleCnt="4">
        <dgm:presLayoutVars>
          <dgm:chMax val="1"/>
          <dgm:bulletEnabled val="1"/>
        </dgm:presLayoutVars>
      </dgm:prSet>
      <dgm:spPr/>
    </dgm:pt>
    <dgm:pt modelId="{C716E045-B5C3-F344-8D81-52D76C987A60}" type="pres">
      <dgm:prSet presAssocID="{705E8F3E-A529-F44B-A721-381EF5F0EDF3}" presName="descendantText" presStyleLbl="alignAcc1" presStyleIdx="3" presStyleCnt="4">
        <dgm:presLayoutVars>
          <dgm:bulletEnabled val="1"/>
        </dgm:presLayoutVars>
      </dgm:prSet>
      <dgm:spPr/>
    </dgm:pt>
  </dgm:ptLst>
  <dgm:cxnLst>
    <dgm:cxn modelId="{1BB0F601-A562-BF44-A994-50BDC25C9113}" type="presOf" srcId="{CA753E97-F32A-8D42-9D97-24915BF9F840}" destId="{7EE836A4-63C0-3046-941F-79586547A790}" srcOrd="0" destOrd="1" presId="urn:microsoft.com/office/officeart/2005/8/layout/chevron2"/>
    <dgm:cxn modelId="{9697F004-2EBC-DF48-8DEA-71949E5154EC}" srcId="{2698F7DA-D392-2445-86E6-B3B448EE5F11}" destId="{705E8F3E-A529-F44B-A721-381EF5F0EDF3}" srcOrd="3" destOrd="0" parTransId="{B3CD3816-46DA-0041-A106-9DDFBE9EBA55}" sibTransId="{7CD7A270-E048-6E4E-AB78-B80B167273F8}"/>
    <dgm:cxn modelId="{2BD2A908-18B2-1E4C-881C-A6B16D61A753}" type="presOf" srcId="{EA13D17F-DBDB-F849-8480-87B3F26B8E26}" destId="{77134BDA-4E14-9143-B420-2FCF8A314981}" srcOrd="0" destOrd="0" presId="urn:microsoft.com/office/officeart/2005/8/layout/chevron2"/>
    <dgm:cxn modelId="{1F1C560E-7295-8F44-89EF-BAB967C02974}" srcId="{EA13D17F-DBDB-F849-8480-87B3F26B8E26}" destId="{03151E96-23F4-B24D-9B01-716C2529B07C}" srcOrd="3" destOrd="0" parTransId="{046EF99D-BCAF-E242-8B12-C6EDDCC6C4E6}" sibTransId="{F7D7DFCB-7964-0443-857D-0FAE855ECF62}"/>
    <dgm:cxn modelId="{FBEE731C-B97D-EE46-B83B-BC979A4948B0}" type="presOf" srcId="{2698F7DA-D392-2445-86E6-B3B448EE5F11}" destId="{A823D479-41B5-264C-8CB7-9728CBD8205A}" srcOrd="0" destOrd="0" presId="urn:microsoft.com/office/officeart/2005/8/layout/chevron2"/>
    <dgm:cxn modelId="{0619D51C-CC7B-574C-9975-A25FEB34FD0D}" srcId="{EA13D17F-DBDB-F849-8480-87B3F26B8E26}" destId="{5F80ADCC-2805-474F-91AA-31C4E7C8014C}" srcOrd="0" destOrd="0" parTransId="{790FE129-25BE-EB49-829E-CF668B2F7BD5}" sibTransId="{D57C8D5C-A628-F141-8AC6-D541513B843F}"/>
    <dgm:cxn modelId="{4B5FA732-2A3E-0B4B-A7F6-C94527FF230E}" srcId="{C3D1D724-0DDF-B343-AE7D-61A7A592F96F}" destId="{C6850D64-72EF-FC4F-83AF-3BF081BCB6B7}" srcOrd="0" destOrd="0" parTransId="{3879C781-97F5-E941-99DA-D2EAA7CF314B}" sibTransId="{04A27C5A-BB58-2F42-858D-A5CDE5FA485D}"/>
    <dgm:cxn modelId="{EF86A93A-DC3C-3744-9DE8-1872213F935A}" srcId="{EA13D17F-DBDB-F849-8480-87B3F26B8E26}" destId="{9CB46E70-019D-2748-B5E4-024A7BB04D5D}" srcOrd="1" destOrd="0" parTransId="{33D98051-DC88-A540-AA5D-F9F99482748D}" sibTransId="{D1D4D5FC-8588-FC4A-87A1-B42D427279BB}"/>
    <dgm:cxn modelId="{090AB43A-0D3D-4542-A939-44DAD2308F90}" type="presOf" srcId="{AA4D185D-37B1-B243-9021-C0FA389724F8}" destId="{FCC701B3-1442-FD4A-8D66-5B653DC00980}" srcOrd="0" destOrd="2" presId="urn:microsoft.com/office/officeart/2005/8/layout/chevron2"/>
    <dgm:cxn modelId="{78DA6560-7AAF-7A4F-82F3-757193558F15}" type="presOf" srcId="{03151E96-23F4-B24D-9B01-716C2529B07C}" destId="{FCC701B3-1442-FD4A-8D66-5B653DC00980}" srcOrd="0" destOrd="3" presId="urn:microsoft.com/office/officeart/2005/8/layout/chevron2"/>
    <dgm:cxn modelId="{38E4846D-FB1C-384E-B4D4-D1B33937377F}" type="presOf" srcId="{AD33708C-A52D-274F-BC49-B8B6B8683058}" destId="{3A59D491-5DC1-B94E-9340-987F0D7A4778}" srcOrd="0" destOrd="0" presId="urn:microsoft.com/office/officeart/2005/8/layout/chevron2"/>
    <dgm:cxn modelId="{C938096E-3A1E-A74D-A819-1271AB08D859}" type="presOf" srcId="{5F80ADCC-2805-474F-91AA-31C4E7C8014C}" destId="{FCC701B3-1442-FD4A-8D66-5B653DC00980}" srcOrd="0" destOrd="0" presId="urn:microsoft.com/office/officeart/2005/8/layout/chevron2"/>
    <dgm:cxn modelId="{A86B1658-F36A-5E4A-B7A5-7D7D9CAB0431}" type="presOf" srcId="{09476D17-AF9B-784E-A356-AC90C0535C86}" destId="{EDD3EFC4-823E-004B-9813-12B078801CAF}" srcOrd="0" destOrd="0" presId="urn:microsoft.com/office/officeart/2005/8/layout/chevron2"/>
    <dgm:cxn modelId="{DA5C7159-F5C4-0040-BA4E-282830675478}" type="presOf" srcId="{AA99B3D3-9462-2640-B6F8-9F45588D17C8}" destId="{C716E045-B5C3-F344-8D81-52D76C987A60}" srcOrd="0" destOrd="1" presId="urn:microsoft.com/office/officeart/2005/8/layout/chevron2"/>
    <dgm:cxn modelId="{161A9F82-316B-C240-9400-7C435BB4A166}" srcId="{2698F7DA-D392-2445-86E6-B3B448EE5F11}" destId="{EA13D17F-DBDB-F849-8480-87B3F26B8E26}" srcOrd="0" destOrd="0" parTransId="{54323BF6-6A2C-6246-BC62-3DE76E36B4BF}" sibTransId="{6EA6C6DD-421D-2D46-B723-39408E08F713}"/>
    <dgm:cxn modelId="{58D0318E-DEC5-9445-AF7A-CA70DF69B0A2}" type="presOf" srcId="{9CB46E70-019D-2748-B5E4-024A7BB04D5D}" destId="{FCC701B3-1442-FD4A-8D66-5B653DC00980}" srcOrd="0" destOrd="1" presId="urn:microsoft.com/office/officeart/2005/8/layout/chevron2"/>
    <dgm:cxn modelId="{11B88A99-66BF-F743-A93A-69412A4EF5C9}" srcId="{2698F7DA-D392-2445-86E6-B3B448EE5F11}" destId="{09476D17-AF9B-784E-A356-AC90C0535C86}" srcOrd="2" destOrd="0" parTransId="{1A080881-6A1E-5145-8324-37F55AE93E5A}" sibTransId="{B859EE01-5D71-AC46-87C1-CB2F3F056509}"/>
    <dgm:cxn modelId="{86A3C299-9596-D04F-B871-684B86412D89}" srcId="{C3D1D724-0DDF-B343-AE7D-61A7A592F96F}" destId="{CA753E97-F32A-8D42-9D97-24915BF9F840}" srcOrd="1" destOrd="0" parTransId="{A8B79DDC-EA36-C842-98CC-FE5DEA5F0974}" sibTransId="{FB80AA75-BCEA-5E4F-847E-F63518A7CD73}"/>
    <dgm:cxn modelId="{CD221A9A-81BB-1948-B4ED-7747FDB6D42A}" type="presOf" srcId="{93CC8FD7-A2CE-794B-949C-1D94C841FD85}" destId="{3A59D491-5DC1-B94E-9340-987F0D7A4778}" srcOrd="0" destOrd="1" presId="urn:microsoft.com/office/officeart/2005/8/layout/chevron2"/>
    <dgm:cxn modelId="{9FF9B59E-0A01-FD45-82B1-944F178F740F}" type="presOf" srcId="{C3D1D724-0DDF-B343-AE7D-61A7A592F96F}" destId="{09058706-54D0-8747-876B-0ED17406060C}" srcOrd="0" destOrd="0" presId="urn:microsoft.com/office/officeart/2005/8/layout/chevron2"/>
    <dgm:cxn modelId="{09E4D29E-5625-A548-AFDC-FB292B269646}" type="presOf" srcId="{705E8F3E-A529-F44B-A721-381EF5F0EDF3}" destId="{02127E02-94BD-D049-8D72-A57F4D7FC2EA}" srcOrd="0" destOrd="0" presId="urn:microsoft.com/office/officeart/2005/8/layout/chevron2"/>
    <dgm:cxn modelId="{BF5E97A4-2800-9449-9C08-B58C44C6FCF3}" srcId="{2698F7DA-D392-2445-86E6-B3B448EE5F11}" destId="{C3D1D724-0DDF-B343-AE7D-61A7A592F96F}" srcOrd="1" destOrd="0" parTransId="{1B9F25EC-BB81-D54E-8D0C-BA53E7F32165}" sibTransId="{4277B1A5-A4AE-F64A-A66C-3F3C7F1D35A3}"/>
    <dgm:cxn modelId="{021FF7A7-51DF-ED4F-9CD9-4405F66FB3DA}" srcId="{705E8F3E-A529-F44B-A721-381EF5F0EDF3}" destId="{CF04002B-0C7F-FC42-B410-F0D11EA20B74}" srcOrd="0" destOrd="0" parTransId="{8E9325EE-E957-854F-84BB-B79A0FA75826}" sibTransId="{29E999B5-5CE7-3140-BF92-3529BFB9C3F9}"/>
    <dgm:cxn modelId="{139154A9-1BA7-EA42-84B3-A004D92F9972}" srcId="{09476D17-AF9B-784E-A356-AC90C0535C86}" destId="{79043C02-ADA4-C64E-87DD-D520A4FC9918}" srcOrd="2" destOrd="0" parTransId="{966DB8D3-9B35-6C4A-9209-6BE8A59B4BEB}" sibTransId="{28F3E161-FF42-C442-9858-1AF02C0DBD2D}"/>
    <dgm:cxn modelId="{F51D22AD-0372-0C46-B29C-3A0426B18812}" srcId="{705E8F3E-A529-F44B-A721-381EF5F0EDF3}" destId="{AA99B3D3-9462-2640-B6F8-9F45588D17C8}" srcOrd="1" destOrd="0" parTransId="{C7773B95-AD28-AF47-807E-C18958889E75}" sibTransId="{041B5566-59D0-E54D-B195-773B7F428232}"/>
    <dgm:cxn modelId="{E23A39B5-8204-2248-8313-D438FED0E73F}" srcId="{EA13D17F-DBDB-F849-8480-87B3F26B8E26}" destId="{AA4D185D-37B1-B243-9021-C0FA389724F8}" srcOrd="2" destOrd="0" parTransId="{31A1457F-4ACA-A244-B7C0-9BFDBC0DB280}" sibTransId="{9B81415E-052D-5D45-89A4-578A55B2C07A}"/>
    <dgm:cxn modelId="{5BE6D5B5-0B28-F640-ACDA-4E4C4C3E96E4}" srcId="{C3D1D724-0DDF-B343-AE7D-61A7A592F96F}" destId="{82F835F0-9F8E-364F-8022-24450CAC6737}" srcOrd="2" destOrd="0" parTransId="{97A5FB07-BFDE-B54A-A9DD-1C351007B36F}" sibTransId="{0AC34775-E0B8-8244-8F62-040AEB42B770}"/>
    <dgm:cxn modelId="{C45808B9-D922-8F48-8729-3C9989DC6436}" type="presOf" srcId="{CF04002B-0C7F-FC42-B410-F0D11EA20B74}" destId="{C716E045-B5C3-F344-8D81-52D76C987A60}" srcOrd="0" destOrd="0" presId="urn:microsoft.com/office/officeart/2005/8/layout/chevron2"/>
    <dgm:cxn modelId="{50C7B8BF-2483-5845-B8CB-3A718F4AFE42}" srcId="{09476D17-AF9B-784E-A356-AC90C0535C86}" destId="{AD33708C-A52D-274F-BC49-B8B6B8683058}" srcOrd="0" destOrd="0" parTransId="{44B5F2FE-45B2-3842-A103-D3352A42E177}" sibTransId="{9F149924-0DBA-814A-9141-A2E1204A278F}"/>
    <dgm:cxn modelId="{4940BED0-3600-D14C-80EB-CC2CEBD4F72A}" srcId="{09476D17-AF9B-784E-A356-AC90C0535C86}" destId="{93CC8FD7-A2CE-794B-949C-1D94C841FD85}" srcOrd="1" destOrd="0" parTransId="{8542D1D4-CAE2-864B-A1EC-10717443C974}" sibTransId="{0A72AD32-9A54-3440-B769-C7F743B10DBE}"/>
    <dgm:cxn modelId="{D7FA79D2-D372-3945-8516-129B64AF235D}" type="presOf" srcId="{C6850D64-72EF-FC4F-83AF-3BF081BCB6B7}" destId="{7EE836A4-63C0-3046-941F-79586547A790}" srcOrd="0" destOrd="0" presId="urn:microsoft.com/office/officeart/2005/8/layout/chevron2"/>
    <dgm:cxn modelId="{8BF471D3-BDCA-E64D-80C8-87A110CD7F03}" type="presOf" srcId="{82F835F0-9F8E-364F-8022-24450CAC6737}" destId="{7EE836A4-63C0-3046-941F-79586547A790}" srcOrd="0" destOrd="2" presId="urn:microsoft.com/office/officeart/2005/8/layout/chevron2"/>
    <dgm:cxn modelId="{A5E2EFD5-A9FE-7340-9E3B-DEF2BD969186}" type="presOf" srcId="{79043C02-ADA4-C64E-87DD-D520A4FC9918}" destId="{3A59D491-5DC1-B94E-9340-987F0D7A4778}" srcOrd="0" destOrd="2" presId="urn:microsoft.com/office/officeart/2005/8/layout/chevron2"/>
    <dgm:cxn modelId="{2ACC7293-7ABA-3544-AA00-194C067C5BE9}" type="presParOf" srcId="{A823D479-41B5-264C-8CB7-9728CBD8205A}" destId="{712F1093-60B1-2541-8096-121C708813AE}" srcOrd="0" destOrd="0" presId="urn:microsoft.com/office/officeart/2005/8/layout/chevron2"/>
    <dgm:cxn modelId="{558FFBB3-6B0F-134F-83D1-1208B07E5DBF}" type="presParOf" srcId="{712F1093-60B1-2541-8096-121C708813AE}" destId="{77134BDA-4E14-9143-B420-2FCF8A314981}" srcOrd="0" destOrd="0" presId="urn:microsoft.com/office/officeart/2005/8/layout/chevron2"/>
    <dgm:cxn modelId="{CC6A7122-E171-7245-83C6-186E20D5F1EB}" type="presParOf" srcId="{712F1093-60B1-2541-8096-121C708813AE}" destId="{FCC701B3-1442-FD4A-8D66-5B653DC00980}" srcOrd="1" destOrd="0" presId="urn:microsoft.com/office/officeart/2005/8/layout/chevron2"/>
    <dgm:cxn modelId="{781C4820-3DF0-9C41-8159-C09D1A37C3E9}" type="presParOf" srcId="{A823D479-41B5-264C-8CB7-9728CBD8205A}" destId="{21BA6730-48DA-804A-8909-D63A08BA61F5}" srcOrd="1" destOrd="0" presId="urn:microsoft.com/office/officeart/2005/8/layout/chevron2"/>
    <dgm:cxn modelId="{16E0E4F8-7CAF-604F-85D0-842A9814D173}" type="presParOf" srcId="{A823D479-41B5-264C-8CB7-9728CBD8205A}" destId="{78F3C07C-1C3D-5040-8866-5F807183CEEC}" srcOrd="2" destOrd="0" presId="urn:microsoft.com/office/officeart/2005/8/layout/chevron2"/>
    <dgm:cxn modelId="{CB68BEE2-82D0-7041-9C04-176664B104CD}" type="presParOf" srcId="{78F3C07C-1C3D-5040-8866-5F807183CEEC}" destId="{09058706-54D0-8747-876B-0ED17406060C}" srcOrd="0" destOrd="0" presId="urn:microsoft.com/office/officeart/2005/8/layout/chevron2"/>
    <dgm:cxn modelId="{EBCBB03F-A6EB-4B45-B209-30A4EB0317A4}" type="presParOf" srcId="{78F3C07C-1C3D-5040-8866-5F807183CEEC}" destId="{7EE836A4-63C0-3046-941F-79586547A790}" srcOrd="1" destOrd="0" presId="urn:microsoft.com/office/officeart/2005/8/layout/chevron2"/>
    <dgm:cxn modelId="{A6641931-D8D8-9E4A-86F9-F55034BDE609}" type="presParOf" srcId="{A823D479-41B5-264C-8CB7-9728CBD8205A}" destId="{B6CB170F-8B47-7643-B138-907C9FF2A505}" srcOrd="3" destOrd="0" presId="urn:microsoft.com/office/officeart/2005/8/layout/chevron2"/>
    <dgm:cxn modelId="{DEF6AA43-9730-114E-9F91-03566690538B}" type="presParOf" srcId="{A823D479-41B5-264C-8CB7-9728CBD8205A}" destId="{FD70BD2E-9E5A-264D-BFC3-2428AC30A310}" srcOrd="4" destOrd="0" presId="urn:microsoft.com/office/officeart/2005/8/layout/chevron2"/>
    <dgm:cxn modelId="{865CB5C5-B070-A24E-9749-DB07BCD39ADC}" type="presParOf" srcId="{FD70BD2E-9E5A-264D-BFC3-2428AC30A310}" destId="{EDD3EFC4-823E-004B-9813-12B078801CAF}" srcOrd="0" destOrd="0" presId="urn:microsoft.com/office/officeart/2005/8/layout/chevron2"/>
    <dgm:cxn modelId="{26522F4D-4BBE-2145-BF3E-8B06C5C27B71}" type="presParOf" srcId="{FD70BD2E-9E5A-264D-BFC3-2428AC30A310}" destId="{3A59D491-5DC1-B94E-9340-987F0D7A4778}" srcOrd="1" destOrd="0" presId="urn:microsoft.com/office/officeart/2005/8/layout/chevron2"/>
    <dgm:cxn modelId="{EECB82DC-8760-BD42-8B33-D29A1F02490E}" type="presParOf" srcId="{A823D479-41B5-264C-8CB7-9728CBD8205A}" destId="{A8F68F18-F500-8946-AA5E-AC6E08DA78B8}" srcOrd="5" destOrd="0" presId="urn:microsoft.com/office/officeart/2005/8/layout/chevron2"/>
    <dgm:cxn modelId="{FD76CF74-C861-2144-8C5C-A70827D2A21E}" type="presParOf" srcId="{A823D479-41B5-264C-8CB7-9728CBD8205A}" destId="{F6BD045C-58B5-AE4D-AAA5-F4AD47A137C8}" srcOrd="6" destOrd="0" presId="urn:microsoft.com/office/officeart/2005/8/layout/chevron2"/>
    <dgm:cxn modelId="{CB511E8C-9118-A041-99A0-023C4254F63F}" type="presParOf" srcId="{F6BD045C-58B5-AE4D-AAA5-F4AD47A137C8}" destId="{02127E02-94BD-D049-8D72-A57F4D7FC2EA}" srcOrd="0" destOrd="0" presId="urn:microsoft.com/office/officeart/2005/8/layout/chevron2"/>
    <dgm:cxn modelId="{DCD01731-3D74-1048-8FD8-770DD0A60948}" type="presParOf" srcId="{F6BD045C-58B5-AE4D-AAA5-F4AD47A137C8}" destId="{C716E045-B5C3-F344-8D81-52D76C987A60}" srcOrd="1" destOrd="0" presId="urn:microsoft.com/office/officeart/2005/8/layout/chevron2"/>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10F329F1-EBCB-3842-A8AE-6DEC44432B2C}" type="doc">
      <dgm:prSet loTypeId="urn:microsoft.com/office/officeart/2005/8/layout/process4" loCatId="" qsTypeId="urn:microsoft.com/office/officeart/2005/8/quickstyle/simple4" qsCatId="simple" csTypeId="urn:microsoft.com/office/officeart/2005/8/colors/accent1_2" csCatId="accent1" phldr="1"/>
      <dgm:spPr/>
      <dgm:t>
        <a:bodyPr/>
        <a:lstStyle/>
        <a:p>
          <a:endParaRPr lang="en-US"/>
        </a:p>
      </dgm:t>
    </dgm:pt>
    <dgm:pt modelId="{3812865A-F573-904E-9862-E822C1085039}">
      <dgm:prSet phldrT="[Text]" custT="1"/>
      <dgm:spPr/>
      <dgm:t>
        <a:bodyPr/>
        <a:lstStyle/>
        <a:p>
          <a:r>
            <a:rPr lang="en-US" sz="1200" dirty="0"/>
            <a:t>Literature review </a:t>
          </a:r>
        </a:p>
      </dgm:t>
    </dgm:pt>
    <dgm:pt modelId="{7BE83670-5CD3-DF4B-97E7-43A4E350373B}" type="parTrans" cxnId="{F706B8C3-691B-FD45-B464-E26091D5320B}">
      <dgm:prSet/>
      <dgm:spPr/>
      <dgm:t>
        <a:bodyPr/>
        <a:lstStyle/>
        <a:p>
          <a:endParaRPr lang="en-US"/>
        </a:p>
      </dgm:t>
    </dgm:pt>
    <dgm:pt modelId="{7EF17130-DEE3-B34E-AE53-E493C66BD84F}" type="sibTrans" cxnId="{F706B8C3-691B-FD45-B464-E26091D5320B}">
      <dgm:prSet/>
      <dgm:spPr/>
      <dgm:t>
        <a:bodyPr/>
        <a:lstStyle/>
        <a:p>
          <a:endParaRPr lang="en-US"/>
        </a:p>
      </dgm:t>
    </dgm:pt>
    <dgm:pt modelId="{13F312C3-5D6C-FD43-BB2F-1C364EDAFC9D}">
      <dgm:prSet phldrT="[Text]"/>
      <dgm:spPr/>
      <dgm:t>
        <a:bodyPr/>
        <a:lstStyle/>
        <a:p>
          <a:r>
            <a:rPr lang="en-US" dirty="0"/>
            <a:t>Gaps in literature</a:t>
          </a:r>
        </a:p>
      </dgm:t>
    </dgm:pt>
    <dgm:pt modelId="{D5762D6E-1F1A-8742-96E5-DF27EF397952}" type="parTrans" cxnId="{3FA44040-F076-5D4C-B819-EF4DF484E4AA}">
      <dgm:prSet/>
      <dgm:spPr/>
      <dgm:t>
        <a:bodyPr/>
        <a:lstStyle/>
        <a:p>
          <a:endParaRPr lang="en-US"/>
        </a:p>
      </dgm:t>
    </dgm:pt>
    <dgm:pt modelId="{43E4D588-C43E-4F43-BF58-718317C9DE45}" type="sibTrans" cxnId="{3FA44040-F076-5D4C-B819-EF4DF484E4AA}">
      <dgm:prSet/>
      <dgm:spPr/>
      <dgm:t>
        <a:bodyPr/>
        <a:lstStyle/>
        <a:p>
          <a:endParaRPr lang="en-US"/>
        </a:p>
      </dgm:t>
    </dgm:pt>
    <dgm:pt modelId="{14D0AEE1-D44B-F649-9BB5-F891154DFF9A}">
      <dgm:prSet phldrT="[Text]"/>
      <dgm:spPr/>
      <dgm:t>
        <a:bodyPr/>
        <a:lstStyle/>
        <a:p>
          <a:r>
            <a:rPr lang="en-US" dirty="0"/>
            <a:t>Research question</a:t>
          </a:r>
        </a:p>
      </dgm:t>
    </dgm:pt>
    <dgm:pt modelId="{16F311E0-AD66-4442-B2F0-F65277EF6EA3}" type="parTrans" cxnId="{25C0036D-023E-7E48-9079-E882758700C7}">
      <dgm:prSet/>
      <dgm:spPr/>
      <dgm:t>
        <a:bodyPr/>
        <a:lstStyle/>
        <a:p>
          <a:endParaRPr lang="en-US"/>
        </a:p>
      </dgm:t>
    </dgm:pt>
    <dgm:pt modelId="{A2F8B718-F154-6A4E-9721-02F8F8B6606B}" type="sibTrans" cxnId="{25C0036D-023E-7E48-9079-E882758700C7}">
      <dgm:prSet/>
      <dgm:spPr/>
      <dgm:t>
        <a:bodyPr/>
        <a:lstStyle/>
        <a:p>
          <a:endParaRPr lang="en-US"/>
        </a:p>
      </dgm:t>
    </dgm:pt>
    <dgm:pt modelId="{49A2EF61-DDC0-D147-B1E7-E29F239BAD3A}">
      <dgm:prSet phldrT="[Text]" custT="1"/>
      <dgm:spPr/>
      <dgm:t>
        <a:bodyPr/>
        <a:lstStyle/>
        <a:p>
          <a:r>
            <a:rPr lang="en-US" sz="1200" dirty="0"/>
            <a:t>Focus groups with 5</a:t>
          </a:r>
          <a:r>
            <a:rPr lang="en-US" sz="1200" baseline="30000" dirty="0"/>
            <a:t>th</a:t>
          </a:r>
          <a:r>
            <a:rPr lang="en-US" sz="1200" dirty="0"/>
            <a:t> year medical students</a:t>
          </a:r>
        </a:p>
      </dgm:t>
    </dgm:pt>
    <dgm:pt modelId="{3993AAF9-AE2C-D746-8DAF-B78E5C18E664}" type="parTrans" cxnId="{E4B6A9E8-41AA-0E4C-8F62-7DC2D1290CF4}">
      <dgm:prSet/>
      <dgm:spPr/>
      <dgm:t>
        <a:bodyPr/>
        <a:lstStyle/>
        <a:p>
          <a:endParaRPr lang="en-US"/>
        </a:p>
      </dgm:t>
    </dgm:pt>
    <dgm:pt modelId="{4EEAFCC3-793F-9940-88FD-B2DBA091B69C}" type="sibTrans" cxnId="{E4B6A9E8-41AA-0E4C-8F62-7DC2D1290CF4}">
      <dgm:prSet/>
      <dgm:spPr/>
      <dgm:t>
        <a:bodyPr/>
        <a:lstStyle/>
        <a:p>
          <a:endParaRPr lang="en-US"/>
        </a:p>
      </dgm:t>
    </dgm:pt>
    <dgm:pt modelId="{D39E0B4B-EA30-7F47-8DAC-8D77D2394A68}">
      <dgm:prSet phldrT="[Text]"/>
      <dgm:spPr/>
      <dgm:t>
        <a:bodyPr/>
        <a:lstStyle/>
        <a:p>
          <a:r>
            <a:rPr lang="en-US" dirty="0"/>
            <a:t>Preparedness for practice </a:t>
          </a:r>
        </a:p>
      </dgm:t>
    </dgm:pt>
    <dgm:pt modelId="{33A70F7E-32ED-6247-BAF9-629F9856C782}" type="parTrans" cxnId="{930253E3-7176-4247-BC16-96FFC4E47FDC}">
      <dgm:prSet/>
      <dgm:spPr/>
      <dgm:t>
        <a:bodyPr/>
        <a:lstStyle/>
        <a:p>
          <a:endParaRPr lang="en-US"/>
        </a:p>
      </dgm:t>
    </dgm:pt>
    <dgm:pt modelId="{EB967750-377D-9C4D-905A-8BA101D438A5}" type="sibTrans" cxnId="{930253E3-7176-4247-BC16-96FFC4E47FDC}">
      <dgm:prSet/>
      <dgm:spPr/>
      <dgm:t>
        <a:bodyPr/>
        <a:lstStyle/>
        <a:p>
          <a:endParaRPr lang="en-US"/>
        </a:p>
      </dgm:t>
    </dgm:pt>
    <dgm:pt modelId="{238A0578-FA57-E648-8B50-F904D415A53F}">
      <dgm:prSet phldrT="[Text]"/>
      <dgm:spPr/>
      <dgm:t>
        <a:bodyPr/>
        <a:lstStyle/>
        <a:p>
          <a:r>
            <a:rPr lang="en-US" dirty="0"/>
            <a:t>Simulation </a:t>
          </a:r>
        </a:p>
      </dgm:t>
    </dgm:pt>
    <dgm:pt modelId="{0A0038A5-9208-B34F-9A7A-3059330FF584}" type="parTrans" cxnId="{4F58D862-FFE1-8343-9BD6-01EFB591AD60}">
      <dgm:prSet/>
      <dgm:spPr/>
      <dgm:t>
        <a:bodyPr/>
        <a:lstStyle/>
        <a:p>
          <a:endParaRPr lang="en-US"/>
        </a:p>
      </dgm:t>
    </dgm:pt>
    <dgm:pt modelId="{64651624-4CDD-A641-9AE2-1DA7A67C464A}" type="sibTrans" cxnId="{4F58D862-FFE1-8343-9BD6-01EFB591AD60}">
      <dgm:prSet/>
      <dgm:spPr/>
      <dgm:t>
        <a:bodyPr/>
        <a:lstStyle/>
        <a:p>
          <a:endParaRPr lang="en-US"/>
        </a:p>
      </dgm:t>
    </dgm:pt>
    <dgm:pt modelId="{971A7DCE-F8EE-FF45-8B5E-F40D023FAE1B}">
      <dgm:prSet phldrT="[Text]" custT="1"/>
      <dgm:spPr/>
      <dgm:t>
        <a:bodyPr/>
        <a:lstStyle/>
        <a:p>
          <a:r>
            <a:rPr lang="en-US" sz="1200" dirty="0">
              <a:solidFill>
                <a:srgbClr val="FF0000"/>
              </a:solidFill>
            </a:rPr>
            <a:t>Simulation course design</a:t>
          </a:r>
        </a:p>
      </dgm:t>
    </dgm:pt>
    <dgm:pt modelId="{3A6BFFFF-3869-3B46-A50D-3137C145F2DA}" type="parTrans" cxnId="{649A61DC-EC7B-3643-AC19-2DCEB0B10B0B}">
      <dgm:prSet/>
      <dgm:spPr/>
      <dgm:t>
        <a:bodyPr/>
        <a:lstStyle/>
        <a:p>
          <a:endParaRPr lang="en-US"/>
        </a:p>
      </dgm:t>
    </dgm:pt>
    <dgm:pt modelId="{3CBBE074-067F-764B-BAFC-C90043BD688C}" type="sibTrans" cxnId="{649A61DC-EC7B-3643-AC19-2DCEB0B10B0B}">
      <dgm:prSet/>
      <dgm:spPr/>
      <dgm:t>
        <a:bodyPr/>
        <a:lstStyle/>
        <a:p>
          <a:endParaRPr lang="en-US"/>
        </a:p>
      </dgm:t>
    </dgm:pt>
    <dgm:pt modelId="{99273A4C-1682-1045-B4AA-43A620584510}">
      <dgm:prSet phldrT="[Text]"/>
      <dgm:spPr/>
      <dgm:t>
        <a:bodyPr/>
        <a:lstStyle/>
        <a:p>
          <a:r>
            <a:rPr lang="en-US" dirty="0"/>
            <a:t>Gap analysis</a:t>
          </a:r>
        </a:p>
      </dgm:t>
    </dgm:pt>
    <dgm:pt modelId="{017DAD2A-782B-D943-BD58-27A8DF537718}" type="parTrans" cxnId="{81A04080-0367-3247-8E44-2E3E511E3B46}">
      <dgm:prSet/>
      <dgm:spPr/>
      <dgm:t>
        <a:bodyPr/>
        <a:lstStyle/>
        <a:p>
          <a:endParaRPr lang="en-US"/>
        </a:p>
      </dgm:t>
    </dgm:pt>
    <dgm:pt modelId="{0BFEBBE1-8947-CC42-AB2F-1B75718F98A2}" type="sibTrans" cxnId="{81A04080-0367-3247-8E44-2E3E511E3B46}">
      <dgm:prSet/>
      <dgm:spPr/>
      <dgm:t>
        <a:bodyPr/>
        <a:lstStyle/>
        <a:p>
          <a:endParaRPr lang="en-US"/>
        </a:p>
      </dgm:t>
    </dgm:pt>
    <dgm:pt modelId="{4AA2FB1E-3851-CE4C-B88D-6A46E964CB51}">
      <dgm:prSet phldrT="[Text]"/>
      <dgm:spPr/>
      <dgm:t>
        <a:bodyPr/>
        <a:lstStyle/>
        <a:p>
          <a:r>
            <a:rPr lang="en-US" dirty="0"/>
            <a:t>Curricula</a:t>
          </a:r>
        </a:p>
      </dgm:t>
    </dgm:pt>
    <dgm:pt modelId="{3E29E279-9130-BF4B-8123-5FFEAFDDD7C1}" type="parTrans" cxnId="{98A4390F-4645-A840-8110-8F3220F26B34}">
      <dgm:prSet/>
      <dgm:spPr/>
      <dgm:t>
        <a:bodyPr/>
        <a:lstStyle/>
        <a:p>
          <a:endParaRPr lang="en-US"/>
        </a:p>
      </dgm:t>
    </dgm:pt>
    <dgm:pt modelId="{F17F01BD-52AD-0F4D-82F7-33080F41C4C7}" type="sibTrans" cxnId="{98A4390F-4645-A840-8110-8F3220F26B34}">
      <dgm:prSet/>
      <dgm:spPr/>
      <dgm:t>
        <a:bodyPr/>
        <a:lstStyle/>
        <a:p>
          <a:endParaRPr lang="en-US"/>
        </a:p>
      </dgm:t>
    </dgm:pt>
    <dgm:pt modelId="{B425D703-1BB9-3D49-A627-4C060A58A144}">
      <dgm:prSet phldrT="[Text]"/>
      <dgm:spPr/>
      <dgm:t>
        <a:bodyPr/>
        <a:lstStyle/>
        <a:p>
          <a:r>
            <a:rPr lang="en-US" dirty="0"/>
            <a:t>Expert consensus</a:t>
          </a:r>
        </a:p>
      </dgm:t>
    </dgm:pt>
    <dgm:pt modelId="{8D0F8D65-2694-B147-B32D-1CF1B8AFCCA9}" type="parTrans" cxnId="{2B3468CE-AEC7-4240-9284-E2D9B371D8DC}">
      <dgm:prSet/>
      <dgm:spPr/>
      <dgm:t>
        <a:bodyPr/>
        <a:lstStyle/>
        <a:p>
          <a:endParaRPr lang="en-US"/>
        </a:p>
      </dgm:t>
    </dgm:pt>
    <dgm:pt modelId="{6CFCD7A4-11E3-E245-A765-9C378F5F0F6D}" type="sibTrans" cxnId="{2B3468CE-AEC7-4240-9284-E2D9B371D8DC}">
      <dgm:prSet/>
      <dgm:spPr/>
      <dgm:t>
        <a:bodyPr/>
        <a:lstStyle/>
        <a:p>
          <a:endParaRPr lang="en-US"/>
        </a:p>
      </dgm:t>
    </dgm:pt>
    <dgm:pt modelId="{62B9E090-E2AA-AA49-8747-6AEB52CE9471}">
      <dgm:prSet phldrT="[Text]" custT="1"/>
      <dgm:spPr/>
      <dgm:t>
        <a:bodyPr/>
        <a:lstStyle/>
        <a:p>
          <a:r>
            <a:rPr lang="en-US" sz="1200" dirty="0">
              <a:solidFill>
                <a:srgbClr val="FF0000"/>
              </a:solidFill>
            </a:rPr>
            <a:t>Assessment design </a:t>
          </a:r>
        </a:p>
      </dgm:t>
    </dgm:pt>
    <dgm:pt modelId="{3B83493D-59E6-8244-A156-5163CD8650D0}" type="parTrans" cxnId="{52D00317-002B-4346-AEA1-7D3CC5548CE3}">
      <dgm:prSet/>
      <dgm:spPr/>
      <dgm:t>
        <a:bodyPr/>
        <a:lstStyle/>
        <a:p>
          <a:endParaRPr lang="en-US"/>
        </a:p>
      </dgm:t>
    </dgm:pt>
    <dgm:pt modelId="{89C6723C-C460-E64A-AFCB-D2A56ADD38AD}" type="sibTrans" cxnId="{52D00317-002B-4346-AEA1-7D3CC5548CE3}">
      <dgm:prSet/>
      <dgm:spPr/>
      <dgm:t>
        <a:bodyPr/>
        <a:lstStyle/>
        <a:p>
          <a:endParaRPr lang="en-US"/>
        </a:p>
      </dgm:t>
    </dgm:pt>
    <dgm:pt modelId="{C40DBF64-B360-E747-958F-6A3CE3A9145D}">
      <dgm:prSet phldrT="[Text]"/>
      <dgm:spPr/>
      <dgm:t>
        <a:bodyPr/>
        <a:lstStyle/>
        <a:p>
          <a:r>
            <a:rPr lang="en-US" dirty="0"/>
            <a:t>Validation</a:t>
          </a:r>
        </a:p>
      </dgm:t>
    </dgm:pt>
    <dgm:pt modelId="{4B8222FF-581F-5543-B888-395B12200104}" type="parTrans" cxnId="{1AC81D1A-A271-774D-B777-82FBDAF73F3F}">
      <dgm:prSet/>
      <dgm:spPr/>
      <dgm:t>
        <a:bodyPr/>
        <a:lstStyle/>
        <a:p>
          <a:endParaRPr lang="en-US"/>
        </a:p>
      </dgm:t>
    </dgm:pt>
    <dgm:pt modelId="{B9B2FF91-6EF3-9749-AA17-ADE84402314F}" type="sibTrans" cxnId="{1AC81D1A-A271-774D-B777-82FBDAF73F3F}">
      <dgm:prSet/>
      <dgm:spPr/>
      <dgm:t>
        <a:bodyPr/>
        <a:lstStyle/>
        <a:p>
          <a:endParaRPr lang="en-US"/>
        </a:p>
      </dgm:t>
    </dgm:pt>
    <dgm:pt modelId="{098F33ED-48D5-4A42-986B-3E6E028ACA76}">
      <dgm:prSet phldrT="[Text]"/>
      <dgm:spPr/>
      <dgm:t>
        <a:bodyPr/>
        <a:lstStyle/>
        <a:p>
          <a:r>
            <a:rPr lang="en-US" dirty="0"/>
            <a:t>Justification</a:t>
          </a:r>
        </a:p>
      </dgm:t>
    </dgm:pt>
    <dgm:pt modelId="{7120646B-C31B-1A4A-9565-6CE44D52A460}" type="parTrans" cxnId="{29E549FD-FDF5-FB46-907C-B546D5D49A36}">
      <dgm:prSet/>
      <dgm:spPr/>
      <dgm:t>
        <a:bodyPr/>
        <a:lstStyle/>
        <a:p>
          <a:endParaRPr lang="en-US"/>
        </a:p>
      </dgm:t>
    </dgm:pt>
    <dgm:pt modelId="{F3913365-989E-F743-8F34-859FC758C01B}" type="sibTrans" cxnId="{29E549FD-FDF5-FB46-907C-B546D5D49A36}">
      <dgm:prSet/>
      <dgm:spPr/>
      <dgm:t>
        <a:bodyPr/>
        <a:lstStyle/>
        <a:p>
          <a:endParaRPr lang="en-US"/>
        </a:p>
      </dgm:t>
    </dgm:pt>
    <dgm:pt modelId="{76328E59-68C2-044F-B108-08200786D3F7}">
      <dgm:prSet phldrT="[Text]"/>
      <dgm:spPr/>
      <dgm:t>
        <a:bodyPr/>
        <a:lstStyle/>
        <a:p>
          <a:r>
            <a:rPr lang="en-US" dirty="0"/>
            <a:t>Triangulation</a:t>
          </a:r>
        </a:p>
      </dgm:t>
    </dgm:pt>
    <dgm:pt modelId="{A895E496-3BD4-574C-9A1A-6F97E7A0CF7A}" type="parTrans" cxnId="{64E9070A-1748-8B48-9922-416316D96B38}">
      <dgm:prSet/>
      <dgm:spPr/>
      <dgm:t>
        <a:bodyPr/>
        <a:lstStyle/>
        <a:p>
          <a:endParaRPr lang="en-US"/>
        </a:p>
      </dgm:t>
    </dgm:pt>
    <dgm:pt modelId="{03A2A9C0-DED8-4241-B1F0-40D22C08C3A7}" type="sibTrans" cxnId="{64E9070A-1748-8B48-9922-416316D96B38}">
      <dgm:prSet/>
      <dgm:spPr/>
      <dgm:t>
        <a:bodyPr/>
        <a:lstStyle/>
        <a:p>
          <a:endParaRPr lang="en-US"/>
        </a:p>
      </dgm:t>
    </dgm:pt>
    <dgm:pt modelId="{6062D879-5C79-8F4B-B040-274E2A67E030}">
      <dgm:prSet phldrT="[Text]" custT="1"/>
      <dgm:spPr/>
      <dgm:t>
        <a:bodyPr/>
        <a:lstStyle/>
        <a:p>
          <a:r>
            <a:rPr lang="en-US" sz="1200" dirty="0"/>
            <a:t>Pilot study</a:t>
          </a:r>
        </a:p>
      </dgm:t>
    </dgm:pt>
    <dgm:pt modelId="{A4BBEA24-3AD4-4145-BC96-0184BD64D86B}" type="parTrans" cxnId="{38E7E9D6-ED06-1549-B03D-1F40F4C74B9E}">
      <dgm:prSet/>
      <dgm:spPr/>
      <dgm:t>
        <a:bodyPr/>
        <a:lstStyle/>
        <a:p>
          <a:endParaRPr lang="en-US"/>
        </a:p>
      </dgm:t>
    </dgm:pt>
    <dgm:pt modelId="{E1EDB431-825D-6C4A-91C1-C55FF1243A54}" type="sibTrans" cxnId="{38E7E9D6-ED06-1549-B03D-1F40F4C74B9E}">
      <dgm:prSet/>
      <dgm:spPr/>
      <dgm:t>
        <a:bodyPr/>
        <a:lstStyle/>
        <a:p>
          <a:endParaRPr lang="en-US"/>
        </a:p>
      </dgm:t>
    </dgm:pt>
    <dgm:pt modelId="{ABB32E85-0D0D-E34C-B945-0330CF863A57}">
      <dgm:prSet phldrT="[Text]"/>
      <dgm:spPr/>
      <dgm:t>
        <a:bodyPr/>
        <a:lstStyle/>
        <a:p>
          <a:r>
            <a:rPr lang="en-US" dirty="0"/>
            <a:t>Field notes</a:t>
          </a:r>
        </a:p>
      </dgm:t>
    </dgm:pt>
    <dgm:pt modelId="{E45D7805-34EA-8041-B504-ABF4F0698007}" type="parTrans" cxnId="{3DCEC45C-A817-454A-AB5C-9DDF99EBE25B}">
      <dgm:prSet/>
      <dgm:spPr/>
      <dgm:t>
        <a:bodyPr/>
        <a:lstStyle/>
        <a:p>
          <a:endParaRPr lang="en-US"/>
        </a:p>
      </dgm:t>
    </dgm:pt>
    <dgm:pt modelId="{176525B2-32DE-8340-AA70-B3FB9DF86029}" type="sibTrans" cxnId="{3DCEC45C-A817-454A-AB5C-9DDF99EBE25B}">
      <dgm:prSet/>
      <dgm:spPr/>
      <dgm:t>
        <a:bodyPr/>
        <a:lstStyle/>
        <a:p>
          <a:endParaRPr lang="en-US"/>
        </a:p>
      </dgm:t>
    </dgm:pt>
    <dgm:pt modelId="{562F58F7-3013-2243-A871-275AAFD45979}">
      <dgm:prSet phldrT="[Text]"/>
      <dgm:spPr/>
      <dgm:t>
        <a:bodyPr/>
        <a:lstStyle/>
        <a:p>
          <a:r>
            <a:rPr lang="en-US" dirty="0"/>
            <a:t>Tutor feedback</a:t>
          </a:r>
        </a:p>
      </dgm:t>
    </dgm:pt>
    <dgm:pt modelId="{5B788605-6F96-FF4D-8EEF-3F649F898D20}" type="parTrans" cxnId="{3B6809FF-9C97-6C4F-8EA1-DC3A4026AD38}">
      <dgm:prSet/>
      <dgm:spPr/>
      <dgm:t>
        <a:bodyPr/>
        <a:lstStyle/>
        <a:p>
          <a:endParaRPr lang="en-US"/>
        </a:p>
      </dgm:t>
    </dgm:pt>
    <dgm:pt modelId="{16911F45-074B-EE41-8D6C-0E40F4B719B3}" type="sibTrans" cxnId="{3B6809FF-9C97-6C4F-8EA1-DC3A4026AD38}">
      <dgm:prSet/>
      <dgm:spPr/>
      <dgm:t>
        <a:bodyPr/>
        <a:lstStyle/>
        <a:p>
          <a:endParaRPr lang="en-US"/>
        </a:p>
      </dgm:t>
    </dgm:pt>
    <dgm:pt modelId="{DC40F8E3-BD21-8F48-909B-769F313F44BE}">
      <dgm:prSet phldrT="[Text]"/>
      <dgm:spPr/>
      <dgm:t>
        <a:bodyPr/>
        <a:lstStyle/>
        <a:p>
          <a:r>
            <a:rPr lang="en-US" dirty="0"/>
            <a:t>Student focus groups</a:t>
          </a:r>
        </a:p>
      </dgm:t>
    </dgm:pt>
    <dgm:pt modelId="{FCCE5853-6E37-7A49-9EA9-41DE091FEF7A}" type="parTrans" cxnId="{37B21ACC-5196-B34A-B5A5-753F1AE3DFBC}">
      <dgm:prSet/>
      <dgm:spPr/>
      <dgm:t>
        <a:bodyPr/>
        <a:lstStyle/>
        <a:p>
          <a:endParaRPr lang="en-US"/>
        </a:p>
      </dgm:t>
    </dgm:pt>
    <dgm:pt modelId="{97954CBF-0144-8F43-A6E1-9706A58CA2BA}" type="sibTrans" cxnId="{37B21ACC-5196-B34A-B5A5-753F1AE3DFBC}">
      <dgm:prSet/>
      <dgm:spPr/>
      <dgm:t>
        <a:bodyPr/>
        <a:lstStyle/>
        <a:p>
          <a:endParaRPr lang="en-US"/>
        </a:p>
      </dgm:t>
    </dgm:pt>
    <dgm:pt modelId="{6BC96831-6583-0942-864D-24B446616977}">
      <dgm:prSet phldrT="[Text]" custT="1"/>
      <dgm:spPr/>
      <dgm:t>
        <a:bodyPr/>
        <a:lstStyle/>
        <a:p>
          <a:r>
            <a:rPr lang="en-US" sz="1200" dirty="0"/>
            <a:t>Intervention </a:t>
          </a:r>
          <a:r>
            <a:rPr lang="en-US" sz="1200" dirty="0" err="1"/>
            <a:t>vs</a:t>
          </a:r>
          <a:r>
            <a:rPr lang="en-US" sz="1200" dirty="0"/>
            <a:t> non intervention group </a:t>
          </a:r>
        </a:p>
      </dgm:t>
    </dgm:pt>
    <dgm:pt modelId="{6614AAD1-95DB-CF4F-809F-F424598A91D0}" type="parTrans" cxnId="{F14FFA3C-F1DF-A748-981E-FA9FB201C835}">
      <dgm:prSet/>
      <dgm:spPr/>
      <dgm:t>
        <a:bodyPr/>
        <a:lstStyle/>
        <a:p>
          <a:endParaRPr lang="en-US"/>
        </a:p>
      </dgm:t>
    </dgm:pt>
    <dgm:pt modelId="{4D8DFFCE-0519-884C-8029-E1889033B8F0}" type="sibTrans" cxnId="{F14FFA3C-F1DF-A748-981E-FA9FB201C835}">
      <dgm:prSet/>
      <dgm:spPr/>
      <dgm:t>
        <a:bodyPr/>
        <a:lstStyle/>
        <a:p>
          <a:endParaRPr lang="en-US"/>
        </a:p>
      </dgm:t>
    </dgm:pt>
    <dgm:pt modelId="{D7ED2FA8-7D3C-A943-8CC2-DDE89B26782A}">
      <dgm:prSet phldrT="[Text]"/>
      <dgm:spPr/>
      <dgm:t>
        <a:bodyPr/>
        <a:lstStyle/>
        <a:p>
          <a:r>
            <a:rPr lang="en-US" dirty="0"/>
            <a:t>Preparedness for practice</a:t>
          </a:r>
        </a:p>
      </dgm:t>
    </dgm:pt>
    <dgm:pt modelId="{40B065BF-D2AD-B644-A89F-CC5DB8FC6BB9}" type="parTrans" cxnId="{6BE2800B-23ED-D54D-900E-45AD2DF0F24F}">
      <dgm:prSet/>
      <dgm:spPr/>
      <dgm:t>
        <a:bodyPr/>
        <a:lstStyle/>
        <a:p>
          <a:endParaRPr lang="en-US"/>
        </a:p>
      </dgm:t>
    </dgm:pt>
    <dgm:pt modelId="{214CF075-7A4C-9A41-8BB0-21B33EDD24A9}" type="sibTrans" cxnId="{6BE2800B-23ED-D54D-900E-45AD2DF0F24F}">
      <dgm:prSet/>
      <dgm:spPr/>
      <dgm:t>
        <a:bodyPr/>
        <a:lstStyle/>
        <a:p>
          <a:endParaRPr lang="en-US"/>
        </a:p>
      </dgm:t>
    </dgm:pt>
    <dgm:pt modelId="{7A7E1E7B-349A-A94D-88B0-7F4D3964D22E}">
      <dgm:prSet phldrT="[Text]" custT="1"/>
      <dgm:spPr/>
      <dgm:t>
        <a:bodyPr/>
        <a:lstStyle/>
        <a:p>
          <a:r>
            <a:rPr lang="en-US" sz="1200" dirty="0"/>
            <a:t>Final intervention study</a:t>
          </a:r>
        </a:p>
      </dgm:t>
    </dgm:pt>
    <dgm:pt modelId="{DEF44014-BD11-044D-BDB0-860AE3864EA3}" type="parTrans" cxnId="{35684771-3623-A44A-8554-638A8B9E1F9D}">
      <dgm:prSet/>
      <dgm:spPr/>
      <dgm:t>
        <a:bodyPr/>
        <a:lstStyle/>
        <a:p>
          <a:endParaRPr lang="en-US"/>
        </a:p>
      </dgm:t>
    </dgm:pt>
    <dgm:pt modelId="{DD9098CC-0923-6A4F-82F3-7B6852DC9996}" type="sibTrans" cxnId="{35684771-3623-A44A-8554-638A8B9E1F9D}">
      <dgm:prSet/>
      <dgm:spPr/>
      <dgm:t>
        <a:bodyPr/>
        <a:lstStyle/>
        <a:p>
          <a:endParaRPr lang="en-US"/>
        </a:p>
      </dgm:t>
    </dgm:pt>
    <dgm:pt modelId="{B7BAAF37-8C7E-2B46-AFEA-4548D04C4AD8}">
      <dgm:prSet phldrT="[Text]"/>
      <dgm:spPr/>
      <dgm:t>
        <a:bodyPr/>
        <a:lstStyle/>
        <a:p>
          <a:r>
            <a:rPr lang="en-US" dirty="0"/>
            <a:t>University 1</a:t>
          </a:r>
        </a:p>
      </dgm:t>
    </dgm:pt>
    <dgm:pt modelId="{964A2443-F5B7-024B-9B90-CEF474D439CA}" type="parTrans" cxnId="{27065346-3D1A-674A-8C9B-BDABF538F17C}">
      <dgm:prSet/>
      <dgm:spPr/>
      <dgm:t>
        <a:bodyPr/>
        <a:lstStyle/>
        <a:p>
          <a:endParaRPr lang="en-US"/>
        </a:p>
      </dgm:t>
    </dgm:pt>
    <dgm:pt modelId="{64D5F8FC-542B-184C-9E23-29106F309D79}" type="sibTrans" cxnId="{27065346-3D1A-674A-8C9B-BDABF538F17C}">
      <dgm:prSet/>
      <dgm:spPr/>
      <dgm:t>
        <a:bodyPr/>
        <a:lstStyle/>
        <a:p>
          <a:endParaRPr lang="en-US"/>
        </a:p>
      </dgm:t>
    </dgm:pt>
    <dgm:pt modelId="{2BBAA71D-C97E-0F49-8756-8AB97C02E7E0}">
      <dgm:prSet phldrT="[Text]"/>
      <dgm:spPr/>
      <dgm:t>
        <a:bodyPr/>
        <a:lstStyle/>
        <a:p>
          <a:r>
            <a:rPr lang="en-US" dirty="0"/>
            <a:t>University 2</a:t>
          </a:r>
        </a:p>
      </dgm:t>
    </dgm:pt>
    <dgm:pt modelId="{0A09FC44-4F91-E94B-BFE2-D25379A9D125}" type="parTrans" cxnId="{081E7EE1-8477-6A4B-8BB3-FCB11820C767}">
      <dgm:prSet/>
      <dgm:spPr/>
      <dgm:t>
        <a:bodyPr/>
        <a:lstStyle/>
        <a:p>
          <a:endParaRPr lang="en-US"/>
        </a:p>
      </dgm:t>
    </dgm:pt>
    <dgm:pt modelId="{ECE95B69-3060-E346-9EF7-2C670F170307}" type="sibTrans" cxnId="{081E7EE1-8477-6A4B-8BB3-FCB11820C767}">
      <dgm:prSet/>
      <dgm:spPr/>
      <dgm:t>
        <a:bodyPr/>
        <a:lstStyle/>
        <a:p>
          <a:endParaRPr lang="en-US"/>
        </a:p>
      </dgm:t>
    </dgm:pt>
    <dgm:pt modelId="{CE056CBB-B452-544B-9F3E-86CBDF3F8D84}">
      <dgm:prSet phldrT="[Text]"/>
      <dgm:spPr/>
      <dgm:t>
        <a:bodyPr/>
        <a:lstStyle/>
        <a:p>
          <a:r>
            <a:rPr lang="en-US" dirty="0"/>
            <a:t>Power calculation</a:t>
          </a:r>
        </a:p>
      </dgm:t>
    </dgm:pt>
    <dgm:pt modelId="{7FF40D66-766E-8949-9435-266F785D1CAF}" type="parTrans" cxnId="{86C88464-82FE-F84F-92D5-BA566A4F4A71}">
      <dgm:prSet/>
      <dgm:spPr/>
      <dgm:t>
        <a:bodyPr/>
        <a:lstStyle/>
        <a:p>
          <a:endParaRPr lang="en-US"/>
        </a:p>
      </dgm:t>
    </dgm:pt>
    <dgm:pt modelId="{C25C7299-E1ED-394E-9595-9238F76A48B0}" type="sibTrans" cxnId="{86C88464-82FE-F84F-92D5-BA566A4F4A71}">
      <dgm:prSet/>
      <dgm:spPr/>
      <dgm:t>
        <a:bodyPr/>
        <a:lstStyle/>
        <a:p>
          <a:endParaRPr lang="en-US"/>
        </a:p>
      </dgm:t>
    </dgm:pt>
    <dgm:pt modelId="{7BD33696-36BB-9049-8E1F-6E1E0CDFFDC0}">
      <dgm:prSet phldrT="[Text]"/>
      <dgm:spPr/>
      <dgm:t>
        <a:bodyPr/>
        <a:lstStyle/>
        <a:p>
          <a:r>
            <a:rPr lang="en-US" dirty="0"/>
            <a:t>Recruitment</a:t>
          </a:r>
        </a:p>
      </dgm:t>
    </dgm:pt>
    <dgm:pt modelId="{3A077B5B-2634-474C-A9D6-5C586201F902}" type="parTrans" cxnId="{F04A96D2-2E13-5A41-BB15-232E819EB96E}">
      <dgm:prSet/>
      <dgm:spPr/>
      <dgm:t>
        <a:bodyPr/>
        <a:lstStyle/>
        <a:p>
          <a:endParaRPr lang="en-US"/>
        </a:p>
      </dgm:t>
    </dgm:pt>
    <dgm:pt modelId="{502D6311-27FD-2C48-B9E6-971B6EC5BB20}" type="sibTrans" cxnId="{F04A96D2-2E13-5A41-BB15-232E819EB96E}">
      <dgm:prSet/>
      <dgm:spPr/>
      <dgm:t>
        <a:bodyPr/>
        <a:lstStyle/>
        <a:p>
          <a:endParaRPr lang="en-US"/>
        </a:p>
      </dgm:t>
    </dgm:pt>
    <dgm:pt modelId="{9214D848-4A62-BD47-BD0D-1D757A5F21A2}">
      <dgm:prSet phldrT="[Text]" custT="1"/>
      <dgm:spPr/>
      <dgm:t>
        <a:bodyPr/>
        <a:lstStyle/>
        <a:p>
          <a:r>
            <a:rPr lang="en-US" sz="1200" dirty="0"/>
            <a:t>Data</a:t>
          </a:r>
        </a:p>
      </dgm:t>
    </dgm:pt>
    <dgm:pt modelId="{91220E93-9E4B-3A42-964E-5AC9D382A0E5}" type="parTrans" cxnId="{8448579C-4BE9-B248-B31D-30E8AA702B55}">
      <dgm:prSet/>
      <dgm:spPr/>
      <dgm:t>
        <a:bodyPr/>
        <a:lstStyle/>
        <a:p>
          <a:endParaRPr lang="en-US"/>
        </a:p>
      </dgm:t>
    </dgm:pt>
    <dgm:pt modelId="{D1B793D2-C400-8047-8721-4BEEEF45F1FC}" type="sibTrans" cxnId="{8448579C-4BE9-B248-B31D-30E8AA702B55}">
      <dgm:prSet/>
      <dgm:spPr/>
      <dgm:t>
        <a:bodyPr/>
        <a:lstStyle/>
        <a:p>
          <a:endParaRPr lang="en-US"/>
        </a:p>
      </dgm:t>
    </dgm:pt>
    <dgm:pt modelId="{E7B0490F-283F-3548-9B78-719D7919463F}">
      <dgm:prSet phldrT="[Text]"/>
      <dgm:spPr/>
      <dgm:t>
        <a:bodyPr/>
        <a:lstStyle/>
        <a:p>
          <a:r>
            <a:rPr lang="en-US" dirty="0"/>
            <a:t>Collection</a:t>
          </a:r>
        </a:p>
      </dgm:t>
    </dgm:pt>
    <dgm:pt modelId="{1A88D18F-52DE-CA46-ACAD-1D4670B84588}" type="parTrans" cxnId="{8CAC3276-CA43-164A-BE83-2E98639D11E8}">
      <dgm:prSet/>
      <dgm:spPr/>
      <dgm:t>
        <a:bodyPr/>
        <a:lstStyle/>
        <a:p>
          <a:endParaRPr lang="en-US"/>
        </a:p>
      </dgm:t>
    </dgm:pt>
    <dgm:pt modelId="{7A36A062-13C2-904B-8ED3-8C245D68B4F8}" type="sibTrans" cxnId="{8CAC3276-CA43-164A-BE83-2E98639D11E8}">
      <dgm:prSet/>
      <dgm:spPr/>
      <dgm:t>
        <a:bodyPr/>
        <a:lstStyle/>
        <a:p>
          <a:endParaRPr lang="en-US"/>
        </a:p>
      </dgm:t>
    </dgm:pt>
    <dgm:pt modelId="{56492226-5FE3-7C43-986B-EA03957F7EA1}">
      <dgm:prSet phldrT="[Text]"/>
      <dgm:spPr/>
      <dgm:t>
        <a:bodyPr/>
        <a:lstStyle/>
        <a:p>
          <a:r>
            <a:rPr lang="en-US" dirty="0"/>
            <a:t>Analysis</a:t>
          </a:r>
        </a:p>
      </dgm:t>
    </dgm:pt>
    <dgm:pt modelId="{94D1B640-B826-BB41-A19D-D2530D090FA7}" type="parTrans" cxnId="{3D3A31B7-1FDC-2042-BB51-0EAA37DD3BEB}">
      <dgm:prSet/>
      <dgm:spPr/>
      <dgm:t>
        <a:bodyPr/>
        <a:lstStyle/>
        <a:p>
          <a:endParaRPr lang="en-US"/>
        </a:p>
      </dgm:t>
    </dgm:pt>
    <dgm:pt modelId="{CA60C3C4-FA2C-BD4E-95CF-00E6B912DC15}" type="sibTrans" cxnId="{3D3A31B7-1FDC-2042-BB51-0EAA37DD3BEB}">
      <dgm:prSet/>
      <dgm:spPr/>
      <dgm:t>
        <a:bodyPr/>
        <a:lstStyle/>
        <a:p>
          <a:endParaRPr lang="en-US"/>
        </a:p>
      </dgm:t>
    </dgm:pt>
    <dgm:pt modelId="{F4CA330B-3521-D44E-841A-41C493952433}">
      <dgm:prSet phldrT="[Text]"/>
      <dgm:spPr/>
      <dgm:t>
        <a:bodyPr/>
        <a:lstStyle/>
        <a:p>
          <a:r>
            <a:rPr lang="en-US" dirty="0"/>
            <a:t>Interpretation</a:t>
          </a:r>
        </a:p>
      </dgm:t>
    </dgm:pt>
    <dgm:pt modelId="{5C24E76D-1399-3044-875C-788F9199EB7A}" type="parTrans" cxnId="{EB563F2A-5143-A149-8A23-C423EB77C635}">
      <dgm:prSet/>
      <dgm:spPr/>
      <dgm:t>
        <a:bodyPr/>
        <a:lstStyle/>
        <a:p>
          <a:endParaRPr lang="en-US"/>
        </a:p>
      </dgm:t>
    </dgm:pt>
    <dgm:pt modelId="{FF965DD0-FE45-B143-B624-77E58BA0EFD0}" type="sibTrans" cxnId="{EB563F2A-5143-A149-8A23-C423EB77C635}">
      <dgm:prSet/>
      <dgm:spPr/>
      <dgm:t>
        <a:bodyPr/>
        <a:lstStyle/>
        <a:p>
          <a:endParaRPr lang="en-US"/>
        </a:p>
      </dgm:t>
    </dgm:pt>
    <dgm:pt modelId="{AE2E0A9E-77CB-814A-B7FB-4A28A2F2B40F}">
      <dgm:prSet phldrT="[Text]" custT="1"/>
      <dgm:spPr/>
      <dgm:t>
        <a:bodyPr/>
        <a:lstStyle/>
        <a:p>
          <a:r>
            <a:rPr lang="en-US" sz="1200" dirty="0"/>
            <a:t>Qualitative depth interviews experts</a:t>
          </a:r>
        </a:p>
      </dgm:t>
    </dgm:pt>
    <dgm:pt modelId="{630296A8-A1A0-F540-8D0F-07DD202CC1ED}" type="parTrans" cxnId="{0D69F8B1-E2B8-AC4C-8568-50343536EFB7}">
      <dgm:prSet/>
      <dgm:spPr/>
      <dgm:t>
        <a:bodyPr/>
        <a:lstStyle/>
        <a:p>
          <a:endParaRPr lang="en-US"/>
        </a:p>
      </dgm:t>
    </dgm:pt>
    <dgm:pt modelId="{5633A71F-8A83-8143-B9FA-556399E831EE}" type="sibTrans" cxnId="{0D69F8B1-E2B8-AC4C-8568-50343536EFB7}">
      <dgm:prSet/>
      <dgm:spPr/>
      <dgm:t>
        <a:bodyPr/>
        <a:lstStyle/>
        <a:p>
          <a:endParaRPr lang="en-US"/>
        </a:p>
      </dgm:t>
    </dgm:pt>
    <dgm:pt modelId="{0B76D3C9-2782-8841-87A4-3AFC673CFF1B}">
      <dgm:prSet phldrT="[Text]"/>
      <dgm:spPr/>
      <dgm:t>
        <a:bodyPr/>
        <a:lstStyle/>
        <a:p>
          <a:r>
            <a:rPr lang="en-US" dirty="0"/>
            <a:t>Topic guide</a:t>
          </a:r>
        </a:p>
      </dgm:t>
    </dgm:pt>
    <dgm:pt modelId="{F8E10BC5-961A-D342-9A64-A69A57636905}" type="parTrans" cxnId="{6992348C-3308-0B42-8224-45F6A5CE457D}">
      <dgm:prSet/>
      <dgm:spPr/>
      <dgm:t>
        <a:bodyPr/>
        <a:lstStyle/>
        <a:p>
          <a:endParaRPr lang="en-US"/>
        </a:p>
      </dgm:t>
    </dgm:pt>
    <dgm:pt modelId="{54790C81-1236-D14A-BAE9-66F5CAF925BB}" type="sibTrans" cxnId="{6992348C-3308-0B42-8224-45F6A5CE457D}">
      <dgm:prSet/>
      <dgm:spPr/>
      <dgm:t>
        <a:bodyPr/>
        <a:lstStyle/>
        <a:p>
          <a:endParaRPr lang="en-US"/>
        </a:p>
      </dgm:t>
    </dgm:pt>
    <dgm:pt modelId="{909978D1-F9DD-6542-9237-582DAF3AA698}">
      <dgm:prSet phldrT="[Text]"/>
      <dgm:spPr/>
      <dgm:t>
        <a:bodyPr/>
        <a:lstStyle/>
        <a:p>
          <a:r>
            <a:rPr lang="en-US" dirty="0"/>
            <a:t>Semi-structured</a:t>
          </a:r>
        </a:p>
      </dgm:t>
    </dgm:pt>
    <dgm:pt modelId="{9C133C23-659A-4740-8D7D-691BAA0B1592}" type="parTrans" cxnId="{B68EA713-F361-3D41-BD77-174B77E525C1}">
      <dgm:prSet/>
      <dgm:spPr/>
      <dgm:t>
        <a:bodyPr/>
        <a:lstStyle/>
        <a:p>
          <a:endParaRPr lang="en-US"/>
        </a:p>
      </dgm:t>
    </dgm:pt>
    <dgm:pt modelId="{98666EA4-2EB4-204A-8CFD-6453E2C66967}" type="sibTrans" cxnId="{B68EA713-F361-3D41-BD77-174B77E525C1}">
      <dgm:prSet/>
      <dgm:spPr/>
      <dgm:t>
        <a:bodyPr/>
        <a:lstStyle/>
        <a:p>
          <a:endParaRPr lang="en-US"/>
        </a:p>
      </dgm:t>
    </dgm:pt>
    <dgm:pt modelId="{05E171D8-BB0F-DB41-BFE6-08C9FFB69A81}">
      <dgm:prSet phldrT="[Text]"/>
      <dgm:spPr/>
      <dgm:t>
        <a:bodyPr/>
        <a:lstStyle/>
        <a:p>
          <a:r>
            <a:rPr lang="en-US" dirty="0"/>
            <a:t>Selection</a:t>
          </a:r>
        </a:p>
      </dgm:t>
    </dgm:pt>
    <dgm:pt modelId="{A2286749-4831-7749-97AC-CCE497664C0F}" type="parTrans" cxnId="{2D8406BB-631D-0649-9D11-DF11D2C00110}">
      <dgm:prSet/>
      <dgm:spPr/>
      <dgm:t>
        <a:bodyPr/>
        <a:lstStyle/>
        <a:p>
          <a:endParaRPr lang="en-US"/>
        </a:p>
      </dgm:t>
    </dgm:pt>
    <dgm:pt modelId="{1E94BAE7-F88B-F048-9BE2-43C6B57FF42E}" type="sibTrans" cxnId="{2D8406BB-631D-0649-9D11-DF11D2C00110}">
      <dgm:prSet/>
      <dgm:spPr/>
      <dgm:t>
        <a:bodyPr/>
        <a:lstStyle/>
        <a:p>
          <a:endParaRPr lang="en-US"/>
        </a:p>
      </dgm:t>
    </dgm:pt>
    <dgm:pt modelId="{843BCE5A-41ED-D046-BFD6-BB5B96B22DD9}">
      <dgm:prSet phldrT="[Text]" custT="1"/>
      <dgm:spPr/>
      <dgm:t>
        <a:bodyPr/>
        <a:lstStyle/>
        <a:p>
          <a:r>
            <a:rPr lang="en-US" sz="1200" dirty="0"/>
            <a:t>Data collection</a:t>
          </a:r>
        </a:p>
      </dgm:t>
    </dgm:pt>
    <dgm:pt modelId="{F0161BF8-1F3B-C545-8A77-BA14646493AA}" type="parTrans" cxnId="{19CEC2B5-7CA8-8140-B8A2-8CD9B207DC54}">
      <dgm:prSet/>
      <dgm:spPr/>
      <dgm:t>
        <a:bodyPr/>
        <a:lstStyle/>
        <a:p>
          <a:endParaRPr lang="en-US"/>
        </a:p>
      </dgm:t>
    </dgm:pt>
    <dgm:pt modelId="{22215DD4-E449-054B-B060-3C7A95EB8CB4}" type="sibTrans" cxnId="{19CEC2B5-7CA8-8140-B8A2-8CD9B207DC54}">
      <dgm:prSet/>
      <dgm:spPr/>
      <dgm:t>
        <a:bodyPr/>
        <a:lstStyle/>
        <a:p>
          <a:endParaRPr lang="en-US"/>
        </a:p>
      </dgm:t>
    </dgm:pt>
    <dgm:pt modelId="{7D14EC61-7365-2F42-8470-221CE223CDDE}">
      <dgm:prSet phldrT="[Text]"/>
      <dgm:spPr/>
      <dgm:t>
        <a:bodyPr/>
        <a:lstStyle/>
        <a:p>
          <a:r>
            <a:rPr lang="en-US" dirty="0"/>
            <a:t>Analysis </a:t>
          </a:r>
        </a:p>
      </dgm:t>
    </dgm:pt>
    <dgm:pt modelId="{7FACA3CF-0CD9-9247-B82A-71E458AEDB48}" type="parTrans" cxnId="{E9B5EA99-F5B7-8E49-A716-B08A3FD97B7F}">
      <dgm:prSet/>
      <dgm:spPr/>
      <dgm:t>
        <a:bodyPr/>
        <a:lstStyle/>
        <a:p>
          <a:endParaRPr lang="en-US"/>
        </a:p>
      </dgm:t>
    </dgm:pt>
    <dgm:pt modelId="{5584D1DB-9426-594D-8340-8452E44F2213}" type="sibTrans" cxnId="{E9B5EA99-F5B7-8E49-A716-B08A3FD97B7F}">
      <dgm:prSet/>
      <dgm:spPr/>
      <dgm:t>
        <a:bodyPr/>
        <a:lstStyle/>
        <a:p>
          <a:endParaRPr lang="en-US"/>
        </a:p>
      </dgm:t>
    </dgm:pt>
    <dgm:pt modelId="{25E444B9-433E-3740-A0C5-3F883A57A357}">
      <dgm:prSet phldrT="[Text]"/>
      <dgm:spPr/>
      <dgm:t>
        <a:bodyPr/>
        <a:lstStyle/>
        <a:p>
          <a:r>
            <a:rPr lang="en-US" dirty="0"/>
            <a:t>Interpretation</a:t>
          </a:r>
        </a:p>
      </dgm:t>
    </dgm:pt>
    <dgm:pt modelId="{CC00D8BF-3454-AB4D-8E2F-1B9C61C7C0C1}" type="parTrans" cxnId="{082764B0-9D76-764B-87C2-00B4E039406C}">
      <dgm:prSet/>
      <dgm:spPr/>
      <dgm:t>
        <a:bodyPr/>
        <a:lstStyle/>
        <a:p>
          <a:endParaRPr lang="en-US"/>
        </a:p>
      </dgm:t>
    </dgm:pt>
    <dgm:pt modelId="{59224EC6-2B81-6646-96A3-235AD77F9B74}" type="sibTrans" cxnId="{082764B0-9D76-764B-87C2-00B4E039406C}">
      <dgm:prSet/>
      <dgm:spPr/>
      <dgm:t>
        <a:bodyPr/>
        <a:lstStyle/>
        <a:p>
          <a:endParaRPr lang="en-US"/>
        </a:p>
      </dgm:t>
    </dgm:pt>
    <dgm:pt modelId="{D0082329-E938-B84D-87CD-B4CE05BD45C2}">
      <dgm:prSet phldrT="[Text]"/>
      <dgm:spPr/>
      <dgm:t>
        <a:bodyPr/>
        <a:lstStyle/>
        <a:p>
          <a:r>
            <a:rPr lang="en-US" dirty="0"/>
            <a:t>Triangulation</a:t>
          </a:r>
        </a:p>
      </dgm:t>
    </dgm:pt>
    <dgm:pt modelId="{CC5F55C7-3112-594B-90E5-CB94E144AFD8}" type="parTrans" cxnId="{8BB7521D-7A9C-604E-987D-EEC28590362E}">
      <dgm:prSet/>
      <dgm:spPr/>
      <dgm:t>
        <a:bodyPr/>
        <a:lstStyle/>
        <a:p>
          <a:endParaRPr lang="en-US"/>
        </a:p>
      </dgm:t>
    </dgm:pt>
    <dgm:pt modelId="{5E847826-87D7-4A4C-AA7D-5AD14BFCBF4D}" type="sibTrans" cxnId="{8BB7521D-7A9C-604E-987D-EEC28590362E}">
      <dgm:prSet/>
      <dgm:spPr/>
      <dgm:t>
        <a:bodyPr/>
        <a:lstStyle/>
        <a:p>
          <a:endParaRPr lang="en-US"/>
        </a:p>
      </dgm:t>
    </dgm:pt>
    <dgm:pt modelId="{B34917BC-7985-754C-8D5C-03B0EFCB67B4}">
      <dgm:prSet phldrT="[Text]"/>
      <dgm:spPr/>
      <dgm:t>
        <a:bodyPr/>
        <a:lstStyle/>
        <a:p>
          <a:r>
            <a:rPr lang="en-US" dirty="0"/>
            <a:t>Ethics approval</a:t>
          </a:r>
        </a:p>
      </dgm:t>
    </dgm:pt>
    <dgm:pt modelId="{0E6D8089-68C0-AA48-A27D-BAEC416A3657}" type="parTrans" cxnId="{1941E2EB-CBF1-7A4D-9155-23C353AF7DF3}">
      <dgm:prSet/>
      <dgm:spPr/>
      <dgm:t>
        <a:bodyPr/>
        <a:lstStyle/>
        <a:p>
          <a:endParaRPr lang="en-US"/>
        </a:p>
      </dgm:t>
    </dgm:pt>
    <dgm:pt modelId="{AA2DA865-2487-6442-B99F-5AF3A327699D}" type="sibTrans" cxnId="{1941E2EB-CBF1-7A4D-9155-23C353AF7DF3}">
      <dgm:prSet/>
      <dgm:spPr/>
      <dgm:t>
        <a:bodyPr/>
        <a:lstStyle/>
        <a:p>
          <a:endParaRPr lang="en-US"/>
        </a:p>
      </dgm:t>
    </dgm:pt>
    <dgm:pt modelId="{92599AE1-95A8-4F47-A048-D6B061014EAA}">
      <dgm:prSet phldrT="[Text]"/>
      <dgm:spPr/>
      <dgm:t>
        <a:bodyPr/>
        <a:lstStyle/>
        <a:p>
          <a:r>
            <a:rPr lang="en-US" dirty="0"/>
            <a:t>Educational theory</a:t>
          </a:r>
        </a:p>
      </dgm:t>
    </dgm:pt>
    <dgm:pt modelId="{E1F063F6-7D2A-464D-BB0E-84A1D63ECDD3}" type="parTrans" cxnId="{C2D609E3-B3A0-B145-B3A0-BC9BC6377D1C}">
      <dgm:prSet/>
      <dgm:spPr/>
      <dgm:t>
        <a:bodyPr/>
        <a:lstStyle/>
        <a:p>
          <a:endParaRPr lang="en-US"/>
        </a:p>
      </dgm:t>
    </dgm:pt>
    <dgm:pt modelId="{B70027B5-F229-1546-ACA7-FAA24D4A3DFE}" type="sibTrans" cxnId="{C2D609E3-B3A0-B145-B3A0-BC9BC6377D1C}">
      <dgm:prSet/>
      <dgm:spPr/>
      <dgm:t>
        <a:bodyPr/>
        <a:lstStyle/>
        <a:p>
          <a:endParaRPr lang="en-US"/>
        </a:p>
      </dgm:t>
    </dgm:pt>
    <dgm:pt modelId="{C804514B-ED51-9F42-9BF7-61567B43F578}" type="pres">
      <dgm:prSet presAssocID="{10F329F1-EBCB-3842-A8AE-6DEC44432B2C}" presName="Name0" presStyleCnt="0">
        <dgm:presLayoutVars>
          <dgm:dir/>
          <dgm:animLvl val="lvl"/>
          <dgm:resizeHandles val="exact"/>
        </dgm:presLayoutVars>
      </dgm:prSet>
      <dgm:spPr/>
    </dgm:pt>
    <dgm:pt modelId="{98966C7E-62DF-C94F-9FCC-D127C1A5ED61}" type="pres">
      <dgm:prSet presAssocID="{843BCE5A-41ED-D046-BFD6-BB5B96B22DD9}" presName="boxAndChildren" presStyleCnt="0"/>
      <dgm:spPr/>
    </dgm:pt>
    <dgm:pt modelId="{B1D9EC64-779F-F74F-BCFC-025E556A1B52}" type="pres">
      <dgm:prSet presAssocID="{843BCE5A-41ED-D046-BFD6-BB5B96B22DD9}" presName="parentTextBox" presStyleLbl="node1" presStyleIdx="0" presStyleCnt="10"/>
      <dgm:spPr/>
    </dgm:pt>
    <dgm:pt modelId="{FA12B1E0-16F7-2E4B-A043-3755438C84DE}" type="pres">
      <dgm:prSet presAssocID="{843BCE5A-41ED-D046-BFD6-BB5B96B22DD9}" presName="entireBox" presStyleLbl="node1" presStyleIdx="0" presStyleCnt="10"/>
      <dgm:spPr/>
    </dgm:pt>
    <dgm:pt modelId="{ECB8BC8E-A301-5F48-97A9-7D66E8EF91D3}" type="pres">
      <dgm:prSet presAssocID="{843BCE5A-41ED-D046-BFD6-BB5B96B22DD9}" presName="descendantBox" presStyleCnt="0"/>
      <dgm:spPr/>
    </dgm:pt>
    <dgm:pt modelId="{23CB1CED-5244-7E45-8DC3-FEC01C70F22F}" type="pres">
      <dgm:prSet presAssocID="{7D14EC61-7365-2F42-8470-221CE223CDDE}" presName="childTextBox" presStyleLbl="fgAccFollowNode1" presStyleIdx="0" presStyleCnt="29">
        <dgm:presLayoutVars>
          <dgm:bulletEnabled val="1"/>
        </dgm:presLayoutVars>
      </dgm:prSet>
      <dgm:spPr/>
    </dgm:pt>
    <dgm:pt modelId="{E5AD5DE1-39BE-8742-9062-0C0A25071934}" type="pres">
      <dgm:prSet presAssocID="{25E444B9-433E-3740-A0C5-3F883A57A357}" presName="childTextBox" presStyleLbl="fgAccFollowNode1" presStyleIdx="1" presStyleCnt="29">
        <dgm:presLayoutVars>
          <dgm:bulletEnabled val="1"/>
        </dgm:presLayoutVars>
      </dgm:prSet>
      <dgm:spPr/>
    </dgm:pt>
    <dgm:pt modelId="{AD1CB44E-DF46-9E48-8421-7A0A6C42E800}" type="pres">
      <dgm:prSet presAssocID="{D0082329-E938-B84D-87CD-B4CE05BD45C2}" presName="childTextBox" presStyleLbl="fgAccFollowNode1" presStyleIdx="2" presStyleCnt="29">
        <dgm:presLayoutVars>
          <dgm:bulletEnabled val="1"/>
        </dgm:presLayoutVars>
      </dgm:prSet>
      <dgm:spPr/>
    </dgm:pt>
    <dgm:pt modelId="{42FE268B-8B10-AC48-AE16-CCB99B6D1C99}" type="pres">
      <dgm:prSet presAssocID="{5633A71F-8A83-8143-B9FA-556399E831EE}" presName="sp" presStyleCnt="0"/>
      <dgm:spPr/>
    </dgm:pt>
    <dgm:pt modelId="{FEB6175B-3F40-6245-B92A-F71DA244DA8B}" type="pres">
      <dgm:prSet presAssocID="{AE2E0A9E-77CB-814A-B7FB-4A28A2F2B40F}" presName="arrowAndChildren" presStyleCnt="0"/>
      <dgm:spPr/>
    </dgm:pt>
    <dgm:pt modelId="{B3F8AB7C-669A-A942-A5AC-0FC1B0F5AD93}" type="pres">
      <dgm:prSet presAssocID="{AE2E0A9E-77CB-814A-B7FB-4A28A2F2B40F}" presName="parentTextArrow" presStyleLbl="node1" presStyleIdx="0" presStyleCnt="10"/>
      <dgm:spPr/>
    </dgm:pt>
    <dgm:pt modelId="{1735DB96-FA6B-3B45-AA99-C61950B6F1B2}" type="pres">
      <dgm:prSet presAssocID="{AE2E0A9E-77CB-814A-B7FB-4A28A2F2B40F}" presName="arrow" presStyleLbl="node1" presStyleIdx="1" presStyleCnt="10"/>
      <dgm:spPr/>
    </dgm:pt>
    <dgm:pt modelId="{FF0C6F9D-F9AA-6D49-A49E-75D87850A721}" type="pres">
      <dgm:prSet presAssocID="{AE2E0A9E-77CB-814A-B7FB-4A28A2F2B40F}" presName="descendantArrow" presStyleCnt="0"/>
      <dgm:spPr/>
    </dgm:pt>
    <dgm:pt modelId="{045FEA88-67D7-3F47-AAC9-7BECDDB3FD08}" type="pres">
      <dgm:prSet presAssocID="{0B76D3C9-2782-8841-87A4-3AFC673CFF1B}" presName="childTextArrow" presStyleLbl="fgAccFollowNode1" presStyleIdx="3" presStyleCnt="29">
        <dgm:presLayoutVars>
          <dgm:bulletEnabled val="1"/>
        </dgm:presLayoutVars>
      </dgm:prSet>
      <dgm:spPr/>
    </dgm:pt>
    <dgm:pt modelId="{889F9AEF-E0C0-204C-858E-B58E75B4ED6D}" type="pres">
      <dgm:prSet presAssocID="{909978D1-F9DD-6542-9237-582DAF3AA698}" presName="childTextArrow" presStyleLbl="fgAccFollowNode1" presStyleIdx="4" presStyleCnt="29">
        <dgm:presLayoutVars>
          <dgm:bulletEnabled val="1"/>
        </dgm:presLayoutVars>
      </dgm:prSet>
      <dgm:spPr/>
    </dgm:pt>
    <dgm:pt modelId="{3190EBFF-F75F-744F-9AE6-27FB8BE802EA}" type="pres">
      <dgm:prSet presAssocID="{05E171D8-BB0F-DB41-BFE6-08C9FFB69A81}" presName="childTextArrow" presStyleLbl="fgAccFollowNode1" presStyleIdx="5" presStyleCnt="29">
        <dgm:presLayoutVars>
          <dgm:bulletEnabled val="1"/>
        </dgm:presLayoutVars>
      </dgm:prSet>
      <dgm:spPr/>
    </dgm:pt>
    <dgm:pt modelId="{B4921C5C-80F1-0B46-943E-6221C45BE7EB}" type="pres">
      <dgm:prSet presAssocID="{D1B793D2-C400-8047-8721-4BEEEF45F1FC}" presName="sp" presStyleCnt="0"/>
      <dgm:spPr/>
    </dgm:pt>
    <dgm:pt modelId="{248B0AAE-248C-8347-9159-6DAFEE405253}" type="pres">
      <dgm:prSet presAssocID="{9214D848-4A62-BD47-BD0D-1D757A5F21A2}" presName="arrowAndChildren" presStyleCnt="0"/>
      <dgm:spPr/>
    </dgm:pt>
    <dgm:pt modelId="{D6B11368-3FA8-BE49-84BC-7B35FE1C2698}" type="pres">
      <dgm:prSet presAssocID="{9214D848-4A62-BD47-BD0D-1D757A5F21A2}" presName="parentTextArrow" presStyleLbl="node1" presStyleIdx="1" presStyleCnt="10"/>
      <dgm:spPr/>
    </dgm:pt>
    <dgm:pt modelId="{239AE58C-2148-1A43-A296-FC3A9AE0DEA0}" type="pres">
      <dgm:prSet presAssocID="{9214D848-4A62-BD47-BD0D-1D757A5F21A2}" presName="arrow" presStyleLbl="node1" presStyleIdx="2" presStyleCnt="10"/>
      <dgm:spPr/>
    </dgm:pt>
    <dgm:pt modelId="{7E222DD6-BF6A-394E-B697-4995990F08CD}" type="pres">
      <dgm:prSet presAssocID="{9214D848-4A62-BD47-BD0D-1D757A5F21A2}" presName="descendantArrow" presStyleCnt="0"/>
      <dgm:spPr/>
    </dgm:pt>
    <dgm:pt modelId="{4FF07087-80E7-5844-976F-B3ED71EAFBC4}" type="pres">
      <dgm:prSet presAssocID="{E7B0490F-283F-3548-9B78-719D7919463F}" presName="childTextArrow" presStyleLbl="fgAccFollowNode1" presStyleIdx="6" presStyleCnt="29">
        <dgm:presLayoutVars>
          <dgm:bulletEnabled val="1"/>
        </dgm:presLayoutVars>
      </dgm:prSet>
      <dgm:spPr/>
    </dgm:pt>
    <dgm:pt modelId="{C545A9BB-85AB-654A-BA17-74D91CD71495}" type="pres">
      <dgm:prSet presAssocID="{56492226-5FE3-7C43-986B-EA03957F7EA1}" presName="childTextArrow" presStyleLbl="fgAccFollowNode1" presStyleIdx="7" presStyleCnt="29">
        <dgm:presLayoutVars>
          <dgm:bulletEnabled val="1"/>
        </dgm:presLayoutVars>
      </dgm:prSet>
      <dgm:spPr/>
    </dgm:pt>
    <dgm:pt modelId="{19ED3B4D-6BAD-B145-A90D-B72DA9018B27}" type="pres">
      <dgm:prSet presAssocID="{F4CA330B-3521-D44E-841A-41C493952433}" presName="childTextArrow" presStyleLbl="fgAccFollowNode1" presStyleIdx="8" presStyleCnt="29">
        <dgm:presLayoutVars>
          <dgm:bulletEnabled val="1"/>
        </dgm:presLayoutVars>
      </dgm:prSet>
      <dgm:spPr/>
    </dgm:pt>
    <dgm:pt modelId="{6F0B9A99-0B8A-8249-96D2-3278B4A4EA0C}" type="pres">
      <dgm:prSet presAssocID="{DD9098CC-0923-6A4F-82F3-7B6852DC9996}" presName="sp" presStyleCnt="0"/>
      <dgm:spPr/>
    </dgm:pt>
    <dgm:pt modelId="{FFF25CD3-5BC8-CB45-B707-789427047C14}" type="pres">
      <dgm:prSet presAssocID="{7A7E1E7B-349A-A94D-88B0-7F4D3964D22E}" presName="arrowAndChildren" presStyleCnt="0"/>
      <dgm:spPr/>
    </dgm:pt>
    <dgm:pt modelId="{66C7711F-A11A-364F-8470-D888E100AB61}" type="pres">
      <dgm:prSet presAssocID="{7A7E1E7B-349A-A94D-88B0-7F4D3964D22E}" presName="parentTextArrow" presStyleLbl="node1" presStyleIdx="2" presStyleCnt="10"/>
      <dgm:spPr/>
    </dgm:pt>
    <dgm:pt modelId="{E61D0AF5-4AA9-1741-AF6D-6F5534440118}" type="pres">
      <dgm:prSet presAssocID="{7A7E1E7B-349A-A94D-88B0-7F4D3964D22E}" presName="arrow" presStyleLbl="node1" presStyleIdx="3" presStyleCnt="10"/>
      <dgm:spPr/>
    </dgm:pt>
    <dgm:pt modelId="{F50323CE-A1A4-784D-98FC-FC5C2410B3AD}" type="pres">
      <dgm:prSet presAssocID="{7A7E1E7B-349A-A94D-88B0-7F4D3964D22E}" presName="descendantArrow" presStyleCnt="0"/>
      <dgm:spPr/>
    </dgm:pt>
    <dgm:pt modelId="{0CB0E21A-AA95-5F48-A955-5176FF7817FB}" type="pres">
      <dgm:prSet presAssocID="{7BD33696-36BB-9049-8E1F-6E1E0CDFFDC0}" presName="childTextArrow" presStyleLbl="fgAccFollowNode1" presStyleIdx="9" presStyleCnt="29">
        <dgm:presLayoutVars>
          <dgm:bulletEnabled val="1"/>
        </dgm:presLayoutVars>
      </dgm:prSet>
      <dgm:spPr/>
    </dgm:pt>
    <dgm:pt modelId="{70E1C419-59DE-7C45-9B16-94EA4677B1B2}" type="pres">
      <dgm:prSet presAssocID="{B7BAAF37-8C7E-2B46-AFEA-4548D04C4AD8}" presName="childTextArrow" presStyleLbl="fgAccFollowNode1" presStyleIdx="10" presStyleCnt="29">
        <dgm:presLayoutVars>
          <dgm:bulletEnabled val="1"/>
        </dgm:presLayoutVars>
      </dgm:prSet>
      <dgm:spPr/>
    </dgm:pt>
    <dgm:pt modelId="{FD64E691-B136-9348-A059-29CAA991C969}" type="pres">
      <dgm:prSet presAssocID="{2BBAA71D-C97E-0F49-8756-8AB97C02E7E0}" presName="childTextArrow" presStyleLbl="fgAccFollowNode1" presStyleIdx="11" presStyleCnt="29">
        <dgm:presLayoutVars>
          <dgm:bulletEnabled val="1"/>
        </dgm:presLayoutVars>
      </dgm:prSet>
      <dgm:spPr/>
    </dgm:pt>
    <dgm:pt modelId="{31F55E2B-A680-A845-9124-BBB26759D976}" type="pres">
      <dgm:prSet presAssocID="{4D8DFFCE-0519-884C-8029-E1889033B8F0}" presName="sp" presStyleCnt="0"/>
      <dgm:spPr/>
    </dgm:pt>
    <dgm:pt modelId="{BDB9EB2B-782C-4047-B174-408F203F7FF2}" type="pres">
      <dgm:prSet presAssocID="{6BC96831-6583-0942-864D-24B446616977}" presName="arrowAndChildren" presStyleCnt="0"/>
      <dgm:spPr/>
    </dgm:pt>
    <dgm:pt modelId="{2B0290EB-23E2-EC43-8357-55F86EC4B4E8}" type="pres">
      <dgm:prSet presAssocID="{6BC96831-6583-0942-864D-24B446616977}" presName="parentTextArrow" presStyleLbl="node1" presStyleIdx="3" presStyleCnt="10"/>
      <dgm:spPr/>
    </dgm:pt>
    <dgm:pt modelId="{49247FF8-C43B-EE40-AAAA-D29167F68827}" type="pres">
      <dgm:prSet presAssocID="{6BC96831-6583-0942-864D-24B446616977}" presName="arrow" presStyleLbl="node1" presStyleIdx="4" presStyleCnt="10"/>
      <dgm:spPr/>
    </dgm:pt>
    <dgm:pt modelId="{3A4CF8EA-D503-9E4E-9EAE-6FBE92CE595F}" type="pres">
      <dgm:prSet presAssocID="{6BC96831-6583-0942-864D-24B446616977}" presName="descendantArrow" presStyleCnt="0"/>
      <dgm:spPr/>
    </dgm:pt>
    <dgm:pt modelId="{67B2A690-A3FF-0748-970E-CCD2232045A8}" type="pres">
      <dgm:prSet presAssocID="{D7ED2FA8-7D3C-A943-8CC2-DDE89B26782A}" presName="childTextArrow" presStyleLbl="fgAccFollowNode1" presStyleIdx="12" presStyleCnt="29">
        <dgm:presLayoutVars>
          <dgm:bulletEnabled val="1"/>
        </dgm:presLayoutVars>
      </dgm:prSet>
      <dgm:spPr/>
    </dgm:pt>
    <dgm:pt modelId="{80077ECA-AF0C-C247-A423-FA16011C125F}" type="pres">
      <dgm:prSet presAssocID="{CE056CBB-B452-544B-9F3E-86CBDF3F8D84}" presName="childTextArrow" presStyleLbl="fgAccFollowNode1" presStyleIdx="13" presStyleCnt="29">
        <dgm:presLayoutVars>
          <dgm:bulletEnabled val="1"/>
        </dgm:presLayoutVars>
      </dgm:prSet>
      <dgm:spPr/>
    </dgm:pt>
    <dgm:pt modelId="{4A4B2F6E-6731-D64D-897B-7BC6E80AF1C7}" type="pres">
      <dgm:prSet presAssocID="{E1EDB431-825D-6C4A-91C1-C55FF1243A54}" presName="sp" presStyleCnt="0"/>
      <dgm:spPr/>
    </dgm:pt>
    <dgm:pt modelId="{6B7C9AB2-9F8F-D841-9E22-18CCE582A9A0}" type="pres">
      <dgm:prSet presAssocID="{6062D879-5C79-8F4B-B040-274E2A67E030}" presName="arrowAndChildren" presStyleCnt="0"/>
      <dgm:spPr/>
    </dgm:pt>
    <dgm:pt modelId="{6CFBFD6A-E769-CB4F-9A64-F4E6AE2B4EFC}" type="pres">
      <dgm:prSet presAssocID="{6062D879-5C79-8F4B-B040-274E2A67E030}" presName="parentTextArrow" presStyleLbl="node1" presStyleIdx="4" presStyleCnt="10"/>
      <dgm:spPr/>
    </dgm:pt>
    <dgm:pt modelId="{8191012E-5A9D-F941-9667-552FD86C5C41}" type="pres">
      <dgm:prSet presAssocID="{6062D879-5C79-8F4B-B040-274E2A67E030}" presName="arrow" presStyleLbl="node1" presStyleIdx="5" presStyleCnt="10"/>
      <dgm:spPr/>
    </dgm:pt>
    <dgm:pt modelId="{A2279A1B-9296-FC44-B5C2-80A71F2E6BE5}" type="pres">
      <dgm:prSet presAssocID="{6062D879-5C79-8F4B-B040-274E2A67E030}" presName="descendantArrow" presStyleCnt="0"/>
      <dgm:spPr/>
    </dgm:pt>
    <dgm:pt modelId="{18B15CBC-B7EB-3946-8731-492452C2EAF3}" type="pres">
      <dgm:prSet presAssocID="{ABB32E85-0D0D-E34C-B945-0330CF863A57}" presName="childTextArrow" presStyleLbl="fgAccFollowNode1" presStyleIdx="14" presStyleCnt="29">
        <dgm:presLayoutVars>
          <dgm:bulletEnabled val="1"/>
        </dgm:presLayoutVars>
      </dgm:prSet>
      <dgm:spPr/>
    </dgm:pt>
    <dgm:pt modelId="{9BD73C76-B087-8C4E-8000-4C6A562327BA}" type="pres">
      <dgm:prSet presAssocID="{562F58F7-3013-2243-A871-275AAFD45979}" presName="childTextArrow" presStyleLbl="fgAccFollowNode1" presStyleIdx="15" presStyleCnt="29">
        <dgm:presLayoutVars>
          <dgm:bulletEnabled val="1"/>
        </dgm:presLayoutVars>
      </dgm:prSet>
      <dgm:spPr/>
    </dgm:pt>
    <dgm:pt modelId="{3EAABF17-4647-BE4B-8E96-B12930A7AE56}" type="pres">
      <dgm:prSet presAssocID="{DC40F8E3-BD21-8F48-909B-769F313F44BE}" presName="childTextArrow" presStyleLbl="fgAccFollowNode1" presStyleIdx="16" presStyleCnt="29">
        <dgm:presLayoutVars>
          <dgm:bulletEnabled val="1"/>
        </dgm:presLayoutVars>
      </dgm:prSet>
      <dgm:spPr/>
    </dgm:pt>
    <dgm:pt modelId="{5517395D-CA48-5345-B4EA-F14838C7AA54}" type="pres">
      <dgm:prSet presAssocID="{89C6723C-C460-E64A-AFCB-D2A56ADD38AD}" presName="sp" presStyleCnt="0"/>
      <dgm:spPr/>
    </dgm:pt>
    <dgm:pt modelId="{897CCB34-0F3B-2E40-A739-C2990BFCC787}" type="pres">
      <dgm:prSet presAssocID="{62B9E090-E2AA-AA49-8747-6AEB52CE9471}" presName="arrowAndChildren" presStyleCnt="0"/>
      <dgm:spPr/>
    </dgm:pt>
    <dgm:pt modelId="{C4D9C75C-48DE-FB40-A665-6F0D769667C5}" type="pres">
      <dgm:prSet presAssocID="{62B9E090-E2AA-AA49-8747-6AEB52CE9471}" presName="parentTextArrow" presStyleLbl="node1" presStyleIdx="5" presStyleCnt="10"/>
      <dgm:spPr/>
    </dgm:pt>
    <dgm:pt modelId="{7228887C-9F1C-FF47-95E2-75B642160274}" type="pres">
      <dgm:prSet presAssocID="{62B9E090-E2AA-AA49-8747-6AEB52CE9471}" presName="arrow" presStyleLbl="node1" presStyleIdx="6" presStyleCnt="10"/>
      <dgm:spPr/>
    </dgm:pt>
    <dgm:pt modelId="{8572FA69-914E-3548-B2B7-B1C277E98EDF}" type="pres">
      <dgm:prSet presAssocID="{62B9E090-E2AA-AA49-8747-6AEB52CE9471}" presName="descendantArrow" presStyleCnt="0"/>
      <dgm:spPr/>
    </dgm:pt>
    <dgm:pt modelId="{B2AC6733-5B02-6C48-A4D7-FC371ED7A65E}" type="pres">
      <dgm:prSet presAssocID="{C40DBF64-B360-E747-958F-6A3CE3A9145D}" presName="childTextArrow" presStyleLbl="fgAccFollowNode1" presStyleIdx="17" presStyleCnt="29">
        <dgm:presLayoutVars>
          <dgm:bulletEnabled val="1"/>
        </dgm:presLayoutVars>
      </dgm:prSet>
      <dgm:spPr/>
    </dgm:pt>
    <dgm:pt modelId="{0568FB00-6E25-8B40-BEF5-98FD9C35249C}" type="pres">
      <dgm:prSet presAssocID="{098F33ED-48D5-4A42-986B-3E6E028ACA76}" presName="childTextArrow" presStyleLbl="fgAccFollowNode1" presStyleIdx="18" presStyleCnt="29">
        <dgm:presLayoutVars>
          <dgm:bulletEnabled val="1"/>
        </dgm:presLayoutVars>
      </dgm:prSet>
      <dgm:spPr/>
    </dgm:pt>
    <dgm:pt modelId="{43544FDA-09BE-0F47-8FA8-AA8316A8391B}" type="pres">
      <dgm:prSet presAssocID="{76328E59-68C2-044F-B108-08200786D3F7}" presName="childTextArrow" presStyleLbl="fgAccFollowNode1" presStyleIdx="19" presStyleCnt="29">
        <dgm:presLayoutVars>
          <dgm:bulletEnabled val="1"/>
        </dgm:presLayoutVars>
      </dgm:prSet>
      <dgm:spPr/>
    </dgm:pt>
    <dgm:pt modelId="{B37DB2AA-6AF8-9448-8783-7A34A1CFB7C3}" type="pres">
      <dgm:prSet presAssocID="{3CBBE074-067F-764B-BAFC-C90043BD688C}" presName="sp" presStyleCnt="0"/>
      <dgm:spPr/>
    </dgm:pt>
    <dgm:pt modelId="{9092E82B-B086-3D4D-B7F0-090A1FE63027}" type="pres">
      <dgm:prSet presAssocID="{971A7DCE-F8EE-FF45-8B5E-F40D023FAE1B}" presName="arrowAndChildren" presStyleCnt="0"/>
      <dgm:spPr/>
    </dgm:pt>
    <dgm:pt modelId="{41FE49E3-377A-C048-9A4A-490BE73C9814}" type="pres">
      <dgm:prSet presAssocID="{971A7DCE-F8EE-FF45-8B5E-F40D023FAE1B}" presName="parentTextArrow" presStyleLbl="node1" presStyleIdx="6" presStyleCnt="10"/>
      <dgm:spPr/>
    </dgm:pt>
    <dgm:pt modelId="{72B1D1A9-B514-C94F-81F6-63608B08F5C1}" type="pres">
      <dgm:prSet presAssocID="{971A7DCE-F8EE-FF45-8B5E-F40D023FAE1B}" presName="arrow" presStyleLbl="node1" presStyleIdx="7" presStyleCnt="10"/>
      <dgm:spPr/>
    </dgm:pt>
    <dgm:pt modelId="{8CAEEB34-D7AC-2A4A-B7E0-A52091616019}" type="pres">
      <dgm:prSet presAssocID="{971A7DCE-F8EE-FF45-8B5E-F40D023FAE1B}" presName="descendantArrow" presStyleCnt="0"/>
      <dgm:spPr/>
    </dgm:pt>
    <dgm:pt modelId="{16B3445D-93E7-EC43-B6F7-8AD83A8BCE0E}" type="pres">
      <dgm:prSet presAssocID="{99273A4C-1682-1045-B4AA-43A620584510}" presName="childTextArrow" presStyleLbl="fgAccFollowNode1" presStyleIdx="20" presStyleCnt="29">
        <dgm:presLayoutVars>
          <dgm:bulletEnabled val="1"/>
        </dgm:presLayoutVars>
      </dgm:prSet>
      <dgm:spPr/>
    </dgm:pt>
    <dgm:pt modelId="{2EF6EFA8-5CA9-2048-8B8C-952CECCD5A2A}" type="pres">
      <dgm:prSet presAssocID="{4AA2FB1E-3851-CE4C-B88D-6A46E964CB51}" presName="childTextArrow" presStyleLbl="fgAccFollowNode1" presStyleIdx="21" presStyleCnt="29">
        <dgm:presLayoutVars>
          <dgm:bulletEnabled val="1"/>
        </dgm:presLayoutVars>
      </dgm:prSet>
      <dgm:spPr/>
    </dgm:pt>
    <dgm:pt modelId="{29BCAA45-93B1-9946-987A-6C06C324C196}" type="pres">
      <dgm:prSet presAssocID="{92599AE1-95A8-4F47-A048-D6B061014EAA}" presName="childTextArrow" presStyleLbl="fgAccFollowNode1" presStyleIdx="22" presStyleCnt="29">
        <dgm:presLayoutVars>
          <dgm:bulletEnabled val="1"/>
        </dgm:presLayoutVars>
      </dgm:prSet>
      <dgm:spPr/>
    </dgm:pt>
    <dgm:pt modelId="{380D77DB-026A-EB4C-8962-F71161977E1F}" type="pres">
      <dgm:prSet presAssocID="{B425D703-1BB9-3D49-A627-4C060A58A144}" presName="childTextArrow" presStyleLbl="fgAccFollowNode1" presStyleIdx="23" presStyleCnt="29">
        <dgm:presLayoutVars>
          <dgm:bulletEnabled val="1"/>
        </dgm:presLayoutVars>
      </dgm:prSet>
      <dgm:spPr/>
    </dgm:pt>
    <dgm:pt modelId="{F50BC82D-A824-024C-A2AB-932BC261EB40}" type="pres">
      <dgm:prSet presAssocID="{4EEAFCC3-793F-9940-88FD-B2DBA091B69C}" presName="sp" presStyleCnt="0"/>
      <dgm:spPr/>
    </dgm:pt>
    <dgm:pt modelId="{6AFB5AB4-DC76-A144-AB22-C2515D70F4A5}" type="pres">
      <dgm:prSet presAssocID="{49A2EF61-DDC0-D147-B1E7-E29F239BAD3A}" presName="arrowAndChildren" presStyleCnt="0"/>
      <dgm:spPr/>
    </dgm:pt>
    <dgm:pt modelId="{A27B3CE8-E057-2B4C-9A5A-BC666CDEDFFB}" type="pres">
      <dgm:prSet presAssocID="{49A2EF61-DDC0-D147-B1E7-E29F239BAD3A}" presName="parentTextArrow" presStyleLbl="node1" presStyleIdx="7" presStyleCnt="10"/>
      <dgm:spPr/>
    </dgm:pt>
    <dgm:pt modelId="{7349AB8C-039D-714F-B7CD-B54984534528}" type="pres">
      <dgm:prSet presAssocID="{49A2EF61-DDC0-D147-B1E7-E29F239BAD3A}" presName="arrow" presStyleLbl="node1" presStyleIdx="8" presStyleCnt="10"/>
      <dgm:spPr/>
    </dgm:pt>
    <dgm:pt modelId="{095BE36C-E5AD-AE40-8FE3-6B69CF7C88AA}" type="pres">
      <dgm:prSet presAssocID="{49A2EF61-DDC0-D147-B1E7-E29F239BAD3A}" presName="descendantArrow" presStyleCnt="0"/>
      <dgm:spPr/>
    </dgm:pt>
    <dgm:pt modelId="{B19A0FB5-C01F-EC4A-9F40-F0062968603B}" type="pres">
      <dgm:prSet presAssocID="{D39E0B4B-EA30-7F47-8DAC-8D77D2394A68}" presName="childTextArrow" presStyleLbl="fgAccFollowNode1" presStyleIdx="24" presStyleCnt="29">
        <dgm:presLayoutVars>
          <dgm:bulletEnabled val="1"/>
        </dgm:presLayoutVars>
      </dgm:prSet>
      <dgm:spPr/>
    </dgm:pt>
    <dgm:pt modelId="{EAFD7850-9F4A-474C-8B76-EFFC4DDF7787}" type="pres">
      <dgm:prSet presAssocID="{238A0578-FA57-E648-8B50-F904D415A53F}" presName="childTextArrow" presStyleLbl="fgAccFollowNode1" presStyleIdx="25" presStyleCnt="29">
        <dgm:presLayoutVars>
          <dgm:bulletEnabled val="1"/>
        </dgm:presLayoutVars>
      </dgm:prSet>
      <dgm:spPr/>
    </dgm:pt>
    <dgm:pt modelId="{FFB469EC-2E7C-3F49-B0CC-8336154C32CD}" type="pres">
      <dgm:prSet presAssocID="{7EF17130-DEE3-B34E-AE53-E493C66BD84F}" presName="sp" presStyleCnt="0"/>
      <dgm:spPr/>
    </dgm:pt>
    <dgm:pt modelId="{68CF0113-9FC9-F74D-85FC-1FDF3E541CC3}" type="pres">
      <dgm:prSet presAssocID="{3812865A-F573-904E-9862-E822C1085039}" presName="arrowAndChildren" presStyleCnt="0"/>
      <dgm:spPr/>
    </dgm:pt>
    <dgm:pt modelId="{F1D4C9AD-C858-384F-ABEE-A68BE5939755}" type="pres">
      <dgm:prSet presAssocID="{3812865A-F573-904E-9862-E822C1085039}" presName="parentTextArrow" presStyleLbl="node1" presStyleIdx="8" presStyleCnt="10"/>
      <dgm:spPr/>
    </dgm:pt>
    <dgm:pt modelId="{741C87E9-E100-9A4B-9DE1-5C0420ED6381}" type="pres">
      <dgm:prSet presAssocID="{3812865A-F573-904E-9862-E822C1085039}" presName="arrow" presStyleLbl="node1" presStyleIdx="9" presStyleCnt="10"/>
      <dgm:spPr/>
    </dgm:pt>
    <dgm:pt modelId="{71CDD78D-74CB-AC41-A408-EBA77262F1FA}" type="pres">
      <dgm:prSet presAssocID="{3812865A-F573-904E-9862-E822C1085039}" presName="descendantArrow" presStyleCnt="0"/>
      <dgm:spPr/>
    </dgm:pt>
    <dgm:pt modelId="{9BA7B71A-E203-344A-ACD7-7FCC87DEEB3C}" type="pres">
      <dgm:prSet presAssocID="{13F312C3-5D6C-FD43-BB2F-1C364EDAFC9D}" presName="childTextArrow" presStyleLbl="fgAccFollowNode1" presStyleIdx="26" presStyleCnt="29">
        <dgm:presLayoutVars>
          <dgm:bulletEnabled val="1"/>
        </dgm:presLayoutVars>
      </dgm:prSet>
      <dgm:spPr/>
    </dgm:pt>
    <dgm:pt modelId="{05160432-DC63-B745-B31E-2A7BA2029E2C}" type="pres">
      <dgm:prSet presAssocID="{14D0AEE1-D44B-F649-9BB5-F891154DFF9A}" presName="childTextArrow" presStyleLbl="fgAccFollowNode1" presStyleIdx="27" presStyleCnt="29">
        <dgm:presLayoutVars>
          <dgm:bulletEnabled val="1"/>
        </dgm:presLayoutVars>
      </dgm:prSet>
      <dgm:spPr/>
    </dgm:pt>
    <dgm:pt modelId="{C5669348-D6C1-BD4F-84C0-2960BF86AE44}" type="pres">
      <dgm:prSet presAssocID="{B34917BC-7985-754C-8D5C-03B0EFCB67B4}" presName="childTextArrow" presStyleLbl="fgAccFollowNode1" presStyleIdx="28" presStyleCnt="29">
        <dgm:presLayoutVars>
          <dgm:bulletEnabled val="1"/>
        </dgm:presLayoutVars>
      </dgm:prSet>
      <dgm:spPr/>
    </dgm:pt>
  </dgm:ptLst>
  <dgm:cxnLst>
    <dgm:cxn modelId="{2CD26C07-CA89-844E-A767-FC14CC6899F1}" type="presOf" srcId="{B425D703-1BB9-3D49-A627-4C060A58A144}" destId="{380D77DB-026A-EB4C-8962-F71161977E1F}" srcOrd="0" destOrd="0" presId="urn:microsoft.com/office/officeart/2005/8/layout/process4"/>
    <dgm:cxn modelId="{64E9070A-1748-8B48-9922-416316D96B38}" srcId="{62B9E090-E2AA-AA49-8747-6AEB52CE9471}" destId="{76328E59-68C2-044F-B108-08200786D3F7}" srcOrd="2" destOrd="0" parTransId="{A895E496-3BD4-574C-9A1A-6F97E7A0CF7A}" sibTransId="{03A2A9C0-DED8-4241-B1F0-40D22C08C3A7}"/>
    <dgm:cxn modelId="{5452120A-8BE7-104F-B63D-E2AA5557745B}" type="presOf" srcId="{909978D1-F9DD-6542-9237-582DAF3AA698}" destId="{889F9AEF-E0C0-204C-858E-B58E75B4ED6D}" srcOrd="0" destOrd="0" presId="urn:microsoft.com/office/officeart/2005/8/layout/process4"/>
    <dgm:cxn modelId="{6BE2800B-23ED-D54D-900E-45AD2DF0F24F}" srcId="{6BC96831-6583-0942-864D-24B446616977}" destId="{D7ED2FA8-7D3C-A943-8CC2-DDE89B26782A}" srcOrd="0" destOrd="0" parTransId="{40B065BF-D2AD-B644-A89F-CC5DB8FC6BB9}" sibTransId="{214CF075-7A4C-9A41-8BB0-21B33EDD24A9}"/>
    <dgm:cxn modelId="{98A4390F-4645-A840-8110-8F3220F26B34}" srcId="{971A7DCE-F8EE-FF45-8B5E-F40D023FAE1B}" destId="{4AA2FB1E-3851-CE4C-B88D-6A46E964CB51}" srcOrd="1" destOrd="0" parTransId="{3E29E279-9130-BF4B-8123-5FFEAFDDD7C1}" sibTransId="{F17F01BD-52AD-0F4D-82F7-33080F41C4C7}"/>
    <dgm:cxn modelId="{B68EA713-F361-3D41-BD77-174B77E525C1}" srcId="{AE2E0A9E-77CB-814A-B7FB-4A28A2F2B40F}" destId="{909978D1-F9DD-6542-9237-582DAF3AA698}" srcOrd="1" destOrd="0" parTransId="{9C133C23-659A-4740-8D7D-691BAA0B1592}" sibTransId="{98666EA4-2EB4-204A-8CFD-6453E2C66967}"/>
    <dgm:cxn modelId="{52D00317-002B-4346-AEA1-7D3CC5548CE3}" srcId="{10F329F1-EBCB-3842-A8AE-6DEC44432B2C}" destId="{62B9E090-E2AA-AA49-8747-6AEB52CE9471}" srcOrd="3" destOrd="0" parTransId="{3B83493D-59E6-8244-A156-5163CD8650D0}" sibTransId="{89C6723C-C460-E64A-AFCB-D2A56ADD38AD}"/>
    <dgm:cxn modelId="{1AC81D1A-A271-774D-B777-82FBDAF73F3F}" srcId="{62B9E090-E2AA-AA49-8747-6AEB52CE9471}" destId="{C40DBF64-B360-E747-958F-6A3CE3A9145D}" srcOrd="0" destOrd="0" parTransId="{4B8222FF-581F-5543-B888-395B12200104}" sibTransId="{B9B2FF91-6EF3-9749-AA17-ADE84402314F}"/>
    <dgm:cxn modelId="{8BB7521D-7A9C-604E-987D-EEC28590362E}" srcId="{843BCE5A-41ED-D046-BFD6-BB5B96B22DD9}" destId="{D0082329-E938-B84D-87CD-B4CE05BD45C2}" srcOrd="2" destOrd="0" parTransId="{CC5F55C7-3112-594B-90E5-CB94E144AFD8}" sibTransId="{5E847826-87D7-4A4C-AA7D-5AD14BFCBF4D}"/>
    <dgm:cxn modelId="{414E6627-3DA1-6949-8655-99BFF8836694}" type="presOf" srcId="{D0082329-E938-B84D-87CD-B4CE05BD45C2}" destId="{AD1CB44E-DF46-9E48-8421-7A0A6C42E800}" srcOrd="0" destOrd="0" presId="urn:microsoft.com/office/officeart/2005/8/layout/process4"/>
    <dgm:cxn modelId="{EB563F2A-5143-A149-8A23-C423EB77C635}" srcId="{9214D848-4A62-BD47-BD0D-1D757A5F21A2}" destId="{F4CA330B-3521-D44E-841A-41C493952433}" srcOrd="2" destOrd="0" parTransId="{5C24E76D-1399-3044-875C-788F9199EB7A}" sibTransId="{FF965DD0-FE45-B143-B624-77E58BA0EFD0}"/>
    <dgm:cxn modelId="{C417C433-5591-854C-8726-547274C843CB}" type="presOf" srcId="{9214D848-4A62-BD47-BD0D-1D757A5F21A2}" destId="{D6B11368-3FA8-BE49-84BC-7B35FE1C2698}" srcOrd="0" destOrd="0" presId="urn:microsoft.com/office/officeart/2005/8/layout/process4"/>
    <dgm:cxn modelId="{28458538-BBE1-8146-B7EA-D5212DB49001}" type="presOf" srcId="{7A7E1E7B-349A-A94D-88B0-7F4D3964D22E}" destId="{E61D0AF5-4AA9-1741-AF6D-6F5534440118}" srcOrd="1" destOrd="0" presId="urn:microsoft.com/office/officeart/2005/8/layout/process4"/>
    <dgm:cxn modelId="{F14FFA3C-F1DF-A748-981E-FA9FB201C835}" srcId="{10F329F1-EBCB-3842-A8AE-6DEC44432B2C}" destId="{6BC96831-6583-0942-864D-24B446616977}" srcOrd="5" destOrd="0" parTransId="{6614AAD1-95DB-CF4F-809F-F424598A91D0}" sibTransId="{4D8DFFCE-0519-884C-8029-E1889033B8F0}"/>
    <dgm:cxn modelId="{56782C3E-BFB7-8D41-AB83-A08CA35DE0BE}" type="presOf" srcId="{92599AE1-95A8-4F47-A048-D6B061014EAA}" destId="{29BCAA45-93B1-9946-987A-6C06C324C196}" srcOrd="0" destOrd="0" presId="urn:microsoft.com/office/officeart/2005/8/layout/process4"/>
    <dgm:cxn modelId="{D39D3A3E-4B08-8244-889C-89A1DACE38FE}" type="presOf" srcId="{D7ED2FA8-7D3C-A943-8CC2-DDE89B26782A}" destId="{67B2A690-A3FF-0748-970E-CCD2232045A8}" srcOrd="0" destOrd="0" presId="urn:microsoft.com/office/officeart/2005/8/layout/process4"/>
    <dgm:cxn modelId="{3FA44040-F076-5D4C-B819-EF4DF484E4AA}" srcId="{3812865A-F573-904E-9862-E822C1085039}" destId="{13F312C3-5D6C-FD43-BB2F-1C364EDAFC9D}" srcOrd="0" destOrd="0" parTransId="{D5762D6E-1F1A-8742-96E5-DF27EF397952}" sibTransId="{43E4D588-C43E-4F43-BF58-718317C9DE45}"/>
    <dgm:cxn modelId="{3DCEC45C-A817-454A-AB5C-9DDF99EBE25B}" srcId="{6062D879-5C79-8F4B-B040-274E2A67E030}" destId="{ABB32E85-0D0D-E34C-B945-0330CF863A57}" srcOrd="0" destOrd="0" parTransId="{E45D7805-34EA-8041-B504-ABF4F0698007}" sibTransId="{176525B2-32DE-8340-AA70-B3FB9DF86029}"/>
    <dgm:cxn modelId="{B6EEBA5D-5BBE-554D-8B5A-55D9881CE0AD}" type="presOf" srcId="{62B9E090-E2AA-AA49-8747-6AEB52CE9471}" destId="{7228887C-9F1C-FF47-95E2-75B642160274}" srcOrd="1" destOrd="0" presId="urn:microsoft.com/office/officeart/2005/8/layout/process4"/>
    <dgm:cxn modelId="{132C9460-4E8B-A144-9BDE-9B66D37C62A4}" type="presOf" srcId="{971A7DCE-F8EE-FF45-8B5E-F40D023FAE1B}" destId="{41FE49E3-377A-C048-9A4A-490BE73C9814}" srcOrd="0" destOrd="0" presId="urn:microsoft.com/office/officeart/2005/8/layout/process4"/>
    <dgm:cxn modelId="{B4E28661-6E58-1041-AC7B-AAFA0D277E84}" type="presOf" srcId="{AE2E0A9E-77CB-814A-B7FB-4A28A2F2B40F}" destId="{B3F8AB7C-669A-A942-A5AC-0FC1B0F5AD93}" srcOrd="0" destOrd="0" presId="urn:microsoft.com/office/officeart/2005/8/layout/process4"/>
    <dgm:cxn modelId="{7D374E62-90A4-D244-BFC1-6836BC4B2C5A}" type="presOf" srcId="{56492226-5FE3-7C43-986B-EA03957F7EA1}" destId="{C545A9BB-85AB-654A-BA17-74D91CD71495}" srcOrd="0" destOrd="0" presId="urn:microsoft.com/office/officeart/2005/8/layout/process4"/>
    <dgm:cxn modelId="{B214BD62-F139-3A4C-A46B-99E1BA905E56}" type="presOf" srcId="{B34917BC-7985-754C-8D5C-03B0EFCB67B4}" destId="{C5669348-D6C1-BD4F-84C0-2960BF86AE44}" srcOrd="0" destOrd="0" presId="urn:microsoft.com/office/officeart/2005/8/layout/process4"/>
    <dgm:cxn modelId="{4F58D862-FFE1-8343-9BD6-01EFB591AD60}" srcId="{49A2EF61-DDC0-D147-B1E7-E29F239BAD3A}" destId="{238A0578-FA57-E648-8B50-F904D415A53F}" srcOrd="1" destOrd="0" parTransId="{0A0038A5-9208-B34F-9A7A-3059330FF584}" sibTransId="{64651624-4CDD-A641-9AE2-1DA7A67C464A}"/>
    <dgm:cxn modelId="{86C88464-82FE-F84F-92D5-BA566A4F4A71}" srcId="{6BC96831-6583-0942-864D-24B446616977}" destId="{CE056CBB-B452-544B-9F3E-86CBDF3F8D84}" srcOrd="1" destOrd="0" parTransId="{7FF40D66-766E-8949-9435-266F785D1CAF}" sibTransId="{C25C7299-E1ED-394E-9595-9238F76A48B0}"/>
    <dgm:cxn modelId="{01166546-E1E8-944F-83F5-C68EF4BCA3F0}" type="presOf" srcId="{4AA2FB1E-3851-CE4C-B88D-6A46E964CB51}" destId="{2EF6EFA8-5CA9-2048-8B8C-952CECCD5A2A}" srcOrd="0" destOrd="0" presId="urn:microsoft.com/office/officeart/2005/8/layout/process4"/>
    <dgm:cxn modelId="{27065346-3D1A-674A-8C9B-BDABF538F17C}" srcId="{7A7E1E7B-349A-A94D-88B0-7F4D3964D22E}" destId="{B7BAAF37-8C7E-2B46-AFEA-4548D04C4AD8}" srcOrd="1" destOrd="0" parTransId="{964A2443-F5B7-024B-9B90-CEF474D439CA}" sibTransId="{64D5F8FC-542B-184C-9E23-29106F309D79}"/>
    <dgm:cxn modelId="{F519174A-284D-6343-B6DB-676A7C2CFC9D}" type="presOf" srcId="{D39E0B4B-EA30-7F47-8DAC-8D77D2394A68}" destId="{B19A0FB5-C01F-EC4A-9F40-F0062968603B}" srcOrd="0" destOrd="0" presId="urn:microsoft.com/office/officeart/2005/8/layout/process4"/>
    <dgm:cxn modelId="{25C0036D-023E-7E48-9079-E882758700C7}" srcId="{3812865A-F573-904E-9862-E822C1085039}" destId="{14D0AEE1-D44B-F649-9BB5-F891154DFF9A}" srcOrd="1" destOrd="0" parTransId="{16F311E0-AD66-4442-B2F0-F65277EF6EA3}" sibTransId="{A2F8B718-F154-6A4E-9721-02F8F8B6606B}"/>
    <dgm:cxn modelId="{75081A6D-F430-AA45-8D9D-66F1BDD29BBD}" type="presOf" srcId="{AE2E0A9E-77CB-814A-B7FB-4A28A2F2B40F}" destId="{1735DB96-FA6B-3B45-AA99-C61950B6F1B2}" srcOrd="1" destOrd="0" presId="urn:microsoft.com/office/officeart/2005/8/layout/process4"/>
    <dgm:cxn modelId="{2CE3B74F-4618-B946-BD6C-EF730D44209B}" type="presOf" srcId="{99273A4C-1682-1045-B4AA-43A620584510}" destId="{16B3445D-93E7-EC43-B6F7-8AD83A8BCE0E}" srcOrd="0" destOrd="0" presId="urn:microsoft.com/office/officeart/2005/8/layout/process4"/>
    <dgm:cxn modelId="{35684771-3623-A44A-8554-638A8B9E1F9D}" srcId="{10F329F1-EBCB-3842-A8AE-6DEC44432B2C}" destId="{7A7E1E7B-349A-A94D-88B0-7F4D3964D22E}" srcOrd="6" destOrd="0" parTransId="{DEF44014-BD11-044D-BDB0-860AE3864EA3}" sibTransId="{DD9098CC-0923-6A4F-82F3-7B6852DC9996}"/>
    <dgm:cxn modelId="{A9A87851-8592-F745-84BF-BE1BE9FD3AA5}" type="presOf" srcId="{13F312C3-5D6C-FD43-BB2F-1C364EDAFC9D}" destId="{9BA7B71A-E203-344A-ACD7-7FCC87DEEB3C}" srcOrd="0" destOrd="0" presId="urn:microsoft.com/office/officeart/2005/8/layout/process4"/>
    <dgm:cxn modelId="{18DB8451-635E-734F-9439-E7A33FE8F43B}" type="presOf" srcId="{62B9E090-E2AA-AA49-8747-6AEB52CE9471}" destId="{C4D9C75C-48DE-FB40-A665-6F0D769667C5}" srcOrd="0" destOrd="0" presId="urn:microsoft.com/office/officeart/2005/8/layout/process4"/>
    <dgm:cxn modelId="{0C2D5752-D4F0-6646-8640-B8215FB2EB2B}" type="presOf" srcId="{ABB32E85-0D0D-E34C-B945-0330CF863A57}" destId="{18B15CBC-B7EB-3946-8731-492452C2EAF3}" srcOrd="0" destOrd="0" presId="urn:microsoft.com/office/officeart/2005/8/layout/process4"/>
    <dgm:cxn modelId="{1AA25752-30BB-8C41-8D99-9A061FA59D54}" type="presOf" srcId="{843BCE5A-41ED-D046-BFD6-BB5B96B22DD9}" destId="{FA12B1E0-16F7-2E4B-A043-3755438C84DE}" srcOrd="1" destOrd="0" presId="urn:microsoft.com/office/officeart/2005/8/layout/process4"/>
    <dgm:cxn modelId="{1092F652-ED3D-904A-A2A7-843B2632D573}" type="presOf" srcId="{C40DBF64-B360-E747-958F-6A3CE3A9145D}" destId="{B2AC6733-5B02-6C48-A4D7-FC371ED7A65E}" srcOrd="0" destOrd="0" presId="urn:microsoft.com/office/officeart/2005/8/layout/process4"/>
    <dgm:cxn modelId="{3A1E5154-90B0-4247-8F5A-3009AF2B003F}" type="presOf" srcId="{843BCE5A-41ED-D046-BFD6-BB5B96B22DD9}" destId="{B1D9EC64-779F-F74F-BCFC-025E556A1B52}" srcOrd="0" destOrd="0" presId="urn:microsoft.com/office/officeart/2005/8/layout/process4"/>
    <dgm:cxn modelId="{8CAC3276-CA43-164A-BE83-2E98639D11E8}" srcId="{9214D848-4A62-BD47-BD0D-1D757A5F21A2}" destId="{E7B0490F-283F-3548-9B78-719D7919463F}" srcOrd="0" destOrd="0" parTransId="{1A88D18F-52DE-CA46-ACAD-1D4670B84588}" sibTransId="{7A36A062-13C2-904B-8ED3-8C245D68B4F8}"/>
    <dgm:cxn modelId="{31D94879-2C8C-BF41-B80B-A2F676A0AF84}" type="presOf" srcId="{6062D879-5C79-8F4B-B040-274E2A67E030}" destId="{6CFBFD6A-E769-CB4F-9A64-F4E6AE2B4EFC}" srcOrd="0" destOrd="0" presId="urn:microsoft.com/office/officeart/2005/8/layout/process4"/>
    <dgm:cxn modelId="{F5A39F7B-0FD0-6249-8EEA-3EFD8D8D6088}" type="presOf" srcId="{6BC96831-6583-0942-864D-24B446616977}" destId="{2B0290EB-23E2-EC43-8357-55F86EC4B4E8}" srcOrd="0" destOrd="0" presId="urn:microsoft.com/office/officeart/2005/8/layout/process4"/>
    <dgm:cxn modelId="{183FCD7F-539A-CE41-8955-510D2254CBE7}" type="presOf" srcId="{49A2EF61-DDC0-D147-B1E7-E29F239BAD3A}" destId="{A27B3CE8-E057-2B4C-9A5A-BC666CDEDFFB}" srcOrd="0" destOrd="0" presId="urn:microsoft.com/office/officeart/2005/8/layout/process4"/>
    <dgm:cxn modelId="{81A04080-0367-3247-8E44-2E3E511E3B46}" srcId="{971A7DCE-F8EE-FF45-8B5E-F40D023FAE1B}" destId="{99273A4C-1682-1045-B4AA-43A620584510}" srcOrd="0" destOrd="0" parTransId="{017DAD2A-782B-D943-BD58-27A8DF537718}" sibTransId="{0BFEBBE1-8947-CC42-AB2F-1B75718F98A2}"/>
    <dgm:cxn modelId="{6992348C-3308-0B42-8224-45F6A5CE457D}" srcId="{AE2E0A9E-77CB-814A-B7FB-4A28A2F2B40F}" destId="{0B76D3C9-2782-8841-87A4-3AFC673CFF1B}" srcOrd="0" destOrd="0" parTransId="{F8E10BC5-961A-D342-9A64-A69A57636905}" sibTransId="{54790C81-1236-D14A-BAE9-66F5CAF925BB}"/>
    <dgm:cxn modelId="{A204B68F-E062-4A4A-A168-DBB6407FF568}" type="presOf" srcId="{76328E59-68C2-044F-B108-08200786D3F7}" destId="{43544FDA-09BE-0F47-8FA8-AA8316A8391B}" srcOrd="0" destOrd="0" presId="urn:microsoft.com/office/officeart/2005/8/layout/process4"/>
    <dgm:cxn modelId="{ADD08298-CFAD-D642-B9BD-668277BEBF2D}" type="presOf" srcId="{6062D879-5C79-8F4B-B040-274E2A67E030}" destId="{8191012E-5A9D-F941-9667-552FD86C5C41}" srcOrd="1" destOrd="0" presId="urn:microsoft.com/office/officeart/2005/8/layout/process4"/>
    <dgm:cxn modelId="{E9B5EA99-F5B7-8E49-A716-B08A3FD97B7F}" srcId="{843BCE5A-41ED-D046-BFD6-BB5B96B22DD9}" destId="{7D14EC61-7365-2F42-8470-221CE223CDDE}" srcOrd="0" destOrd="0" parTransId="{7FACA3CF-0CD9-9247-B82A-71E458AEDB48}" sibTransId="{5584D1DB-9426-594D-8340-8452E44F2213}"/>
    <dgm:cxn modelId="{8448579C-4BE9-B248-B31D-30E8AA702B55}" srcId="{10F329F1-EBCB-3842-A8AE-6DEC44432B2C}" destId="{9214D848-4A62-BD47-BD0D-1D757A5F21A2}" srcOrd="7" destOrd="0" parTransId="{91220E93-9E4B-3A42-964E-5AC9D382A0E5}" sibTransId="{D1B793D2-C400-8047-8721-4BEEEF45F1FC}"/>
    <dgm:cxn modelId="{0A7B20A1-8E91-FF49-9A15-4577A7A87245}" type="presOf" srcId="{14D0AEE1-D44B-F649-9BB5-F891154DFF9A}" destId="{05160432-DC63-B745-B31E-2A7BA2029E2C}" srcOrd="0" destOrd="0" presId="urn:microsoft.com/office/officeart/2005/8/layout/process4"/>
    <dgm:cxn modelId="{C9A280A2-E1D6-DB48-90C7-DE50907F672F}" type="presOf" srcId="{49A2EF61-DDC0-D147-B1E7-E29F239BAD3A}" destId="{7349AB8C-039D-714F-B7CD-B54984534528}" srcOrd="1" destOrd="0" presId="urn:microsoft.com/office/officeart/2005/8/layout/process4"/>
    <dgm:cxn modelId="{5641E6A4-9C63-0847-AA38-3A1F16DEBA67}" type="presOf" srcId="{2BBAA71D-C97E-0F49-8756-8AB97C02E7E0}" destId="{FD64E691-B136-9348-A059-29CAA991C969}" srcOrd="0" destOrd="0" presId="urn:microsoft.com/office/officeart/2005/8/layout/process4"/>
    <dgm:cxn modelId="{082764B0-9D76-764B-87C2-00B4E039406C}" srcId="{843BCE5A-41ED-D046-BFD6-BB5B96B22DD9}" destId="{25E444B9-433E-3740-A0C5-3F883A57A357}" srcOrd="1" destOrd="0" parTransId="{CC00D8BF-3454-AB4D-8E2F-1B9C61C7C0C1}" sibTransId="{59224EC6-2B81-6646-96A3-235AD77F9B74}"/>
    <dgm:cxn modelId="{0D69F8B1-E2B8-AC4C-8568-50343536EFB7}" srcId="{10F329F1-EBCB-3842-A8AE-6DEC44432B2C}" destId="{AE2E0A9E-77CB-814A-B7FB-4A28A2F2B40F}" srcOrd="8" destOrd="0" parTransId="{630296A8-A1A0-F540-8D0F-07DD202CC1ED}" sibTransId="{5633A71F-8A83-8143-B9FA-556399E831EE}"/>
    <dgm:cxn modelId="{19CEC2B5-7CA8-8140-B8A2-8CD9B207DC54}" srcId="{10F329F1-EBCB-3842-A8AE-6DEC44432B2C}" destId="{843BCE5A-41ED-D046-BFD6-BB5B96B22DD9}" srcOrd="9" destOrd="0" parTransId="{F0161BF8-1F3B-C545-8A77-BA14646493AA}" sibTransId="{22215DD4-E449-054B-B060-3C7A95EB8CB4}"/>
    <dgm:cxn modelId="{3D3A31B7-1FDC-2042-BB51-0EAA37DD3BEB}" srcId="{9214D848-4A62-BD47-BD0D-1D757A5F21A2}" destId="{56492226-5FE3-7C43-986B-EA03957F7EA1}" srcOrd="1" destOrd="0" parTransId="{94D1B640-B826-BB41-A19D-D2530D090FA7}" sibTransId="{CA60C3C4-FA2C-BD4E-95CF-00E6B912DC15}"/>
    <dgm:cxn modelId="{FD3EDEBA-5331-964C-BDA7-D63236AA507E}" type="presOf" srcId="{25E444B9-433E-3740-A0C5-3F883A57A357}" destId="{E5AD5DE1-39BE-8742-9062-0C0A25071934}" srcOrd="0" destOrd="0" presId="urn:microsoft.com/office/officeart/2005/8/layout/process4"/>
    <dgm:cxn modelId="{2D8406BB-631D-0649-9D11-DF11D2C00110}" srcId="{AE2E0A9E-77CB-814A-B7FB-4A28A2F2B40F}" destId="{05E171D8-BB0F-DB41-BFE6-08C9FFB69A81}" srcOrd="2" destOrd="0" parTransId="{A2286749-4831-7749-97AC-CCE497664C0F}" sibTransId="{1E94BAE7-F88B-F048-9BE2-43C6B57FF42E}"/>
    <dgm:cxn modelId="{0C298BC2-C75D-A444-9147-AB1CB79F07D0}" type="presOf" srcId="{7BD33696-36BB-9049-8E1F-6E1E0CDFFDC0}" destId="{0CB0E21A-AA95-5F48-A955-5176FF7817FB}" srcOrd="0" destOrd="0" presId="urn:microsoft.com/office/officeart/2005/8/layout/process4"/>
    <dgm:cxn modelId="{F706B8C3-691B-FD45-B464-E26091D5320B}" srcId="{10F329F1-EBCB-3842-A8AE-6DEC44432B2C}" destId="{3812865A-F573-904E-9862-E822C1085039}" srcOrd="0" destOrd="0" parTransId="{7BE83670-5CD3-DF4B-97E7-43A4E350373B}" sibTransId="{7EF17130-DEE3-B34E-AE53-E493C66BD84F}"/>
    <dgm:cxn modelId="{C780B2C5-BFE5-854D-A48A-9A60433BD296}" type="presOf" srcId="{3812865A-F573-904E-9862-E822C1085039}" destId="{F1D4C9AD-C858-384F-ABEE-A68BE5939755}" srcOrd="0" destOrd="0" presId="urn:microsoft.com/office/officeart/2005/8/layout/process4"/>
    <dgm:cxn modelId="{DF40C4C5-0A8B-0E45-AA25-3202222CD4B0}" type="presOf" srcId="{098F33ED-48D5-4A42-986B-3E6E028ACA76}" destId="{0568FB00-6E25-8B40-BEF5-98FD9C35249C}" srcOrd="0" destOrd="0" presId="urn:microsoft.com/office/officeart/2005/8/layout/process4"/>
    <dgm:cxn modelId="{0B7D7ECB-3926-174D-81D1-219DF5D6A74B}" type="presOf" srcId="{10F329F1-EBCB-3842-A8AE-6DEC44432B2C}" destId="{C804514B-ED51-9F42-9BF7-61567B43F578}" srcOrd="0" destOrd="0" presId="urn:microsoft.com/office/officeart/2005/8/layout/process4"/>
    <dgm:cxn modelId="{913918CC-7160-0149-AC10-376C21AD5B73}" type="presOf" srcId="{05E171D8-BB0F-DB41-BFE6-08C9FFB69A81}" destId="{3190EBFF-F75F-744F-9AE6-27FB8BE802EA}" srcOrd="0" destOrd="0" presId="urn:microsoft.com/office/officeart/2005/8/layout/process4"/>
    <dgm:cxn modelId="{37B21ACC-5196-B34A-B5A5-753F1AE3DFBC}" srcId="{6062D879-5C79-8F4B-B040-274E2A67E030}" destId="{DC40F8E3-BD21-8F48-909B-769F313F44BE}" srcOrd="2" destOrd="0" parTransId="{FCCE5853-6E37-7A49-9EA9-41DE091FEF7A}" sibTransId="{97954CBF-0144-8F43-A6E1-9706A58CA2BA}"/>
    <dgm:cxn modelId="{2B3468CE-AEC7-4240-9284-E2D9B371D8DC}" srcId="{971A7DCE-F8EE-FF45-8B5E-F40D023FAE1B}" destId="{B425D703-1BB9-3D49-A627-4C060A58A144}" srcOrd="3" destOrd="0" parTransId="{8D0F8D65-2694-B147-B32D-1CF1B8AFCCA9}" sibTransId="{6CFCD7A4-11E3-E245-A765-9C378F5F0F6D}"/>
    <dgm:cxn modelId="{22AE10D0-9C3B-924E-9C6E-D125C0995C78}" type="presOf" srcId="{E7B0490F-283F-3548-9B78-719D7919463F}" destId="{4FF07087-80E7-5844-976F-B3ED71EAFBC4}" srcOrd="0" destOrd="0" presId="urn:microsoft.com/office/officeart/2005/8/layout/process4"/>
    <dgm:cxn modelId="{F26367D2-C379-FF48-AED8-8712662A3068}" type="presOf" srcId="{7D14EC61-7365-2F42-8470-221CE223CDDE}" destId="{23CB1CED-5244-7E45-8DC3-FEC01C70F22F}" srcOrd="0" destOrd="0" presId="urn:microsoft.com/office/officeart/2005/8/layout/process4"/>
    <dgm:cxn modelId="{F04A96D2-2E13-5A41-BB15-232E819EB96E}" srcId="{7A7E1E7B-349A-A94D-88B0-7F4D3964D22E}" destId="{7BD33696-36BB-9049-8E1F-6E1E0CDFFDC0}" srcOrd="0" destOrd="0" parTransId="{3A077B5B-2634-474C-A9D6-5C586201F902}" sibTransId="{502D6311-27FD-2C48-B9E6-971B6EC5BB20}"/>
    <dgm:cxn modelId="{054CECD2-733B-114E-890B-101CA2793017}" type="presOf" srcId="{9214D848-4A62-BD47-BD0D-1D757A5F21A2}" destId="{239AE58C-2148-1A43-A296-FC3A9AE0DEA0}" srcOrd="1" destOrd="0" presId="urn:microsoft.com/office/officeart/2005/8/layout/process4"/>
    <dgm:cxn modelId="{A0832BD3-1233-474C-A573-1B479F5B9D79}" type="presOf" srcId="{7A7E1E7B-349A-A94D-88B0-7F4D3964D22E}" destId="{66C7711F-A11A-364F-8470-D888E100AB61}" srcOrd="0" destOrd="0" presId="urn:microsoft.com/office/officeart/2005/8/layout/process4"/>
    <dgm:cxn modelId="{36EB77D5-2C7D-2F4E-BB34-A14D4B270C04}" type="presOf" srcId="{562F58F7-3013-2243-A871-275AAFD45979}" destId="{9BD73C76-B087-8C4E-8000-4C6A562327BA}" srcOrd="0" destOrd="0" presId="urn:microsoft.com/office/officeart/2005/8/layout/process4"/>
    <dgm:cxn modelId="{38E7E9D6-ED06-1549-B03D-1F40F4C74B9E}" srcId="{10F329F1-EBCB-3842-A8AE-6DEC44432B2C}" destId="{6062D879-5C79-8F4B-B040-274E2A67E030}" srcOrd="4" destOrd="0" parTransId="{A4BBEA24-3AD4-4145-BC96-0184BD64D86B}" sibTransId="{E1EDB431-825D-6C4A-91C1-C55FF1243A54}"/>
    <dgm:cxn modelId="{A4ED1FD8-4571-D348-BCF6-8790FFB77C56}" type="presOf" srcId="{3812865A-F573-904E-9862-E822C1085039}" destId="{741C87E9-E100-9A4B-9DE1-5C0420ED6381}" srcOrd="1" destOrd="0" presId="urn:microsoft.com/office/officeart/2005/8/layout/process4"/>
    <dgm:cxn modelId="{654853D9-8C0B-4941-9F45-85569FD66CB7}" type="presOf" srcId="{CE056CBB-B452-544B-9F3E-86CBDF3F8D84}" destId="{80077ECA-AF0C-C247-A423-FA16011C125F}" srcOrd="0" destOrd="0" presId="urn:microsoft.com/office/officeart/2005/8/layout/process4"/>
    <dgm:cxn modelId="{649A61DC-EC7B-3643-AC19-2DCEB0B10B0B}" srcId="{10F329F1-EBCB-3842-A8AE-6DEC44432B2C}" destId="{971A7DCE-F8EE-FF45-8B5E-F40D023FAE1B}" srcOrd="2" destOrd="0" parTransId="{3A6BFFFF-3869-3B46-A50D-3137C145F2DA}" sibTransId="{3CBBE074-067F-764B-BAFC-C90043BD688C}"/>
    <dgm:cxn modelId="{39351EDD-451C-E344-82BE-CB30710E2D69}" type="presOf" srcId="{971A7DCE-F8EE-FF45-8B5E-F40D023FAE1B}" destId="{72B1D1A9-B514-C94F-81F6-63608B08F5C1}" srcOrd="1" destOrd="0" presId="urn:microsoft.com/office/officeart/2005/8/layout/process4"/>
    <dgm:cxn modelId="{66665EE1-1CE1-9443-B628-1351404CE0CB}" type="presOf" srcId="{238A0578-FA57-E648-8B50-F904D415A53F}" destId="{EAFD7850-9F4A-474C-8B76-EFFC4DDF7787}" srcOrd="0" destOrd="0" presId="urn:microsoft.com/office/officeart/2005/8/layout/process4"/>
    <dgm:cxn modelId="{081E7EE1-8477-6A4B-8BB3-FCB11820C767}" srcId="{7A7E1E7B-349A-A94D-88B0-7F4D3964D22E}" destId="{2BBAA71D-C97E-0F49-8756-8AB97C02E7E0}" srcOrd="2" destOrd="0" parTransId="{0A09FC44-4F91-E94B-BFE2-D25379A9D125}" sibTransId="{ECE95B69-3060-E346-9EF7-2C670F170307}"/>
    <dgm:cxn modelId="{C2D609E3-B3A0-B145-B3A0-BC9BC6377D1C}" srcId="{971A7DCE-F8EE-FF45-8B5E-F40D023FAE1B}" destId="{92599AE1-95A8-4F47-A048-D6B061014EAA}" srcOrd="2" destOrd="0" parTransId="{E1F063F6-7D2A-464D-BB0E-84A1D63ECDD3}" sibTransId="{B70027B5-F229-1546-ACA7-FAA24D4A3DFE}"/>
    <dgm:cxn modelId="{930253E3-7176-4247-BC16-96FFC4E47FDC}" srcId="{49A2EF61-DDC0-D147-B1E7-E29F239BAD3A}" destId="{D39E0B4B-EA30-7F47-8DAC-8D77D2394A68}" srcOrd="0" destOrd="0" parTransId="{33A70F7E-32ED-6247-BAF9-629F9856C782}" sibTransId="{EB967750-377D-9C4D-905A-8BA101D438A5}"/>
    <dgm:cxn modelId="{84F82CE8-6FF9-794D-945A-43A46C1894C7}" type="presOf" srcId="{0B76D3C9-2782-8841-87A4-3AFC673CFF1B}" destId="{045FEA88-67D7-3F47-AAC9-7BECDDB3FD08}" srcOrd="0" destOrd="0" presId="urn:microsoft.com/office/officeart/2005/8/layout/process4"/>
    <dgm:cxn modelId="{E4B6A9E8-41AA-0E4C-8F62-7DC2D1290CF4}" srcId="{10F329F1-EBCB-3842-A8AE-6DEC44432B2C}" destId="{49A2EF61-DDC0-D147-B1E7-E29F239BAD3A}" srcOrd="1" destOrd="0" parTransId="{3993AAF9-AE2C-D746-8DAF-B78E5C18E664}" sibTransId="{4EEAFCC3-793F-9940-88FD-B2DBA091B69C}"/>
    <dgm:cxn modelId="{1941E2EB-CBF1-7A4D-9155-23C353AF7DF3}" srcId="{3812865A-F573-904E-9862-E822C1085039}" destId="{B34917BC-7985-754C-8D5C-03B0EFCB67B4}" srcOrd="2" destOrd="0" parTransId="{0E6D8089-68C0-AA48-A27D-BAEC416A3657}" sibTransId="{AA2DA865-2487-6442-B99F-5AF3A327699D}"/>
    <dgm:cxn modelId="{75C262F3-95A8-A343-AB1A-4DC4C3FFD667}" type="presOf" srcId="{B7BAAF37-8C7E-2B46-AFEA-4548D04C4AD8}" destId="{70E1C419-59DE-7C45-9B16-94EA4677B1B2}" srcOrd="0" destOrd="0" presId="urn:microsoft.com/office/officeart/2005/8/layout/process4"/>
    <dgm:cxn modelId="{F49773F3-4E39-7647-8344-5264167E8D58}" type="presOf" srcId="{F4CA330B-3521-D44E-841A-41C493952433}" destId="{19ED3B4D-6BAD-B145-A90D-B72DA9018B27}" srcOrd="0" destOrd="0" presId="urn:microsoft.com/office/officeart/2005/8/layout/process4"/>
    <dgm:cxn modelId="{08DB5EF5-F28E-CF49-B4A1-9D7F2F69AC9A}" type="presOf" srcId="{6BC96831-6583-0942-864D-24B446616977}" destId="{49247FF8-C43B-EE40-AAAA-D29167F68827}" srcOrd="1" destOrd="0" presId="urn:microsoft.com/office/officeart/2005/8/layout/process4"/>
    <dgm:cxn modelId="{E5EFB8F6-8581-E948-AD0B-8F452D4D98DA}" type="presOf" srcId="{DC40F8E3-BD21-8F48-909B-769F313F44BE}" destId="{3EAABF17-4647-BE4B-8E96-B12930A7AE56}" srcOrd="0" destOrd="0" presId="urn:microsoft.com/office/officeart/2005/8/layout/process4"/>
    <dgm:cxn modelId="{29E549FD-FDF5-FB46-907C-B546D5D49A36}" srcId="{62B9E090-E2AA-AA49-8747-6AEB52CE9471}" destId="{098F33ED-48D5-4A42-986B-3E6E028ACA76}" srcOrd="1" destOrd="0" parTransId="{7120646B-C31B-1A4A-9565-6CE44D52A460}" sibTransId="{F3913365-989E-F743-8F34-859FC758C01B}"/>
    <dgm:cxn modelId="{3B6809FF-9C97-6C4F-8EA1-DC3A4026AD38}" srcId="{6062D879-5C79-8F4B-B040-274E2A67E030}" destId="{562F58F7-3013-2243-A871-275AAFD45979}" srcOrd="1" destOrd="0" parTransId="{5B788605-6F96-FF4D-8EEF-3F649F898D20}" sibTransId="{16911F45-074B-EE41-8D6C-0E40F4B719B3}"/>
    <dgm:cxn modelId="{81E88424-2B87-554E-AD1D-4D5440C7E1E9}" type="presParOf" srcId="{C804514B-ED51-9F42-9BF7-61567B43F578}" destId="{98966C7E-62DF-C94F-9FCC-D127C1A5ED61}" srcOrd="0" destOrd="0" presId="urn:microsoft.com/office/officeart/2005/8/layout/process4"/>
    <dgm:cxn modelId="{820175F8-CA97-2240-B9FC-00774F21F8FD}" type="presParOf" srcId="{98966C7E-62DF-C94F-9FCC-D127C1A5ED61}" destId="{B1D9EC64-779F-F74F-BCFC-025E556A1B52}" srcOrd="0" destOrd="0" presId="urn:microsoft.com/office/officeart/2005/8/layout/process4"/>
    <dgm:cxn modelId="{181835A8-92BD-B84F-A190-FD456845FC96}" type="presParOf" srcId="{98966C7E-62DF-C94F-9FCC-D127C1A5ED61}" destId="{FA12B1E0-16F7-2E4B-A043-3755438C84DE}" srcOrd="1" destOrd="0" presId="urn:microsoft.com/office/officeart/2005/8/layout/process4"/>
    <dgm:cxn modelId="{35F05D95-17E7-5846-8A61-A34CBE6ABAD4}" type="presParOf" srcId="{98966C7E-62DF-C94F-9FCC-D127C1A5ED61}" destId="{ECB8BC8E-A301-5F48-97A9-7D66E8EF91D3}" srcOrd="2" destOrd="0" presId="urn:microsoft.com/office/officeart/2005/8/layout/process4"/>
    <dgm:cxn modelId="{7B7953D5-6FD3-2F42-8B97-0B4B623595D1}" type="presParOf" srcId="{ECB8BC8E-A301-5F48-97A9-7D66E8EF91D3}" destId="{23CB1CED-5244-7E45-8DC3-FEC01C70F22F}" srcOrd="0" destOrd="0" presId="urn:microsoft.com/office/officeart/2005/8/layout/process4"/>
    <dgm:cxn modelId="{114889BC-1A43-BC4D-9BC5-D5F8B43FB99E}" type="presParOf" srcId="{ECB8BC8E-A301-5F48-97A9-7D66E8EF91D3}" destId="{E5AD5DE1-39BE-8742-9062-0C0A25071934}" srcOrd="1" destOrd="0" presId="urn:microsoft.com/office/officeart/2005/8/layout/process4"/>
    <dgm:cxn modelId="{988A8B52-F7E6-FB41-A560-287193370BE0}" type="presParOf" srcId="{ECB8BC8E-A301-5F48-97A9-7D66E8EF91D3}" destId="{AD1CB44E-DF46-9E48-8421-7A0A6C42E800}" srcOrd="2" destOrd="0" presId="urn:microsoft.com/office/officeart/2005/8/layout/process4"/>
    <dgm:cxn modelId="{D9911F26-91B3-B646-9176-A2D4F799DFBA}" type="presParOf" srcId="{C804514B-ED51-9F42-9BF7-61567B43F578}" destId="{42FE268B-8B10-AC48-AE16-CCB99B6D1C99}" srcOrd="1" destOrd="0" presId="urn:microsoft.com/office/officeart/2005/8/layout/process4"/>
    <dgm:cxn modelId="{4C1B5762-BA82-AA48-A91A-CEE443EE9C24}" type="presParOf" srcId="{C804514B-ED51-9F42-9BF7-61567B43F578}" destId="{FEB6175B-3F40-6245-B92A-F71DA244DA8B}" srcOrd="2" destOrd="0" presId="urn:microsoft.com/office/officeart/2005/8/layout/process4"/>
    <dgm:cxn modelId="{229ADE70-FF9A-124E-842A-954910AAFD98}" type="presParOf" srcId="{FEB6175B-3F40-6245-B92A-F71DA244DA8B}" destId="{B3F8AB7C-669A-A942-A5AC-0FC1B0F5AD93}" srcOrd="0" destOrd="0" presId="urn:microsoft.com/office/officeart/2005/8/layout/process4"/>
    <dgm:cxn modelId="{355FB49B-E7EF-3542-8EC7-7C65C85594D1}" type="presParOf" srcId="{FEB6175B-3F40-6245-B92A-F71DA244DA8B}" destId="{1735DB96-FA6B-3B45-AA99-C61950B6F1B2}" srcOrd="1" destOrd="0" presId="urn:microsoft.com/office/officeart/2005/8/layout/process4"/>
    <dgm:cxn modelId="{3F3EC778-2B34-E642-A701-E9D829F485D6}" type="presParOf" srcId="{FEB6175B-3F40-6245-B92A-F71DA244DA8B}" destId="{FF0C6F9D-F9AA-6D49-A49E-75D87850A721}" srcOrd="2" destOrd="0" presId="urn:microsoft.com/office/officeart/2005/8/layout/process4"/>
    <dgm:cxn modelId="{793807C5-A717-034D-8550-3CF00FF5EEAD}" type="presParOf" srcId="{FF0C6F9D-F9AA-6D49-A49E-75D87850A721}" destId="{045FEA88-67D7-3F47-AAC9-7BECDDB3FD08}" srcOrd="0" destOrd="0" presId="urn:microsoft.com/office/officeart/2005/8/layout/process4"/>
    <dgm:cxn modelId="{DE28FEF5-5AF7-B34A-A67A-A255888DD3E9}" type="presParOf" srcId="{FF0C6F9D-F9AA-6D49-A49E-75D87850A721}" destId="{889F9AEF-E0C0-204C-858E-B58E75B4ED6D}" srcOrd="1" destOrd="0" presId="urn:microsoft.com/office/officeart/2005/8/layout/process4"/>
    <dgm:cxn modelId="{F7FF3CA7-69DA-AB46-B34D-EF11F6A913BC}" type="presParOf" srcId="{FF0C6F9D-F9AA-6D49-A49E-75D87850A721}" destId="{3190EBFF-F75F-744F-9AE6-27FB8BE802EA}" srcOrd="2" destOrd="0" presId="urn:microsoft.com/office/officeart/2005/8/layout/process4"/>
    <dgm:cxn modelId="{5D586FEC-285D-1043-A886-FA4BFAEF3229}" type="presParOf" srcId="{C804514B-ED51-9F42-9BF7-61567B43F578}" destId="{B4921C5C-80F1-0B46-943E-6221C45BE7EB}" srcOrd="3" destOrd="0" presId="urn:microsoft.com/office/officeart/2005/8/layout/process4"/>
    <dgm:cxn modelId="{3BA506DF-FAFF-7145-B17E-BA31ED5B62DE}" type="presParOf" srcId="{C804514B-ED51-9F42-9BF7-61567B43F578}" destId="{248B0AAE-248C-8347-9159-6DAFEE405253}" srcOrd="4" destOrd="0" presId="urn:microsoft.com/office/officeart/2005/8/layout/process4"/>
    <dgm:cxn modelId="{9D656917-C67F-EC48-94E0-57E4C05AE475}" type="presParOf" srcId="{248B0AAE-248C-8347-9159-6DAFEE405253}" destId="{D6B11368-3FA8-BE49-84BC-7B35FE1C2698}" srcOrd="0" destOrd="0" presId="urn:microsoft.com/office/officeart/2005/8/layout/process4"/>
    <dgm:cxn modelId="{619EB988-9D39-6842-81C3-FE69A24AA705}" type="presParOf" srcId="{248B0AAE-248C-8347-9159-6DAFEE405253}" destId="{239AE58C-2148-1A43-A296-FC3A9AE0DEA0}" srcOrd="1" destOrd="0" presId="urn:microsoft.com/office/officeart/2005/8/layout/process4"/>
    <dgm:cxn modelId="{5164BFA8-B4F9-4742-9D15-94F560CCA1DC}" type="presParOf" srcId="{248B0AAE-248C-8347-9159-6DAFEE405253}" destId="{7E222DD6-BF6A-394E-B697-4995990F08CD}" srcOrd="2" destOrd="0" presId="urn:microsoft.com/office/officeart/2005/8/layout/process4"/>
    <dgm:cxn modelId="{99A01D68-EA98-1048-81F6-15F80BED9F1B}" type="presParOf" srcId="{7E222DD6-BF6A-394E-B697-4995990F08CD}" destId="{4FF07087-80E7-5844-976F-B3ED71EAFBC4}" srcOrd="0" destOrd="0" presId="urn:microsoft.com/office/officeart/2005/8/layout/process4"/>
    <dgm:cxn modelId="{148DB7B6-D748-E644-9A22-B7951925D6A1}" type="presParOf" srcId="{7E222DD6-BF6A-394E-B697-4995990F08CD}" destId="{C545A9BB-85AB-654A-BA17-74D91CD71495}" srcOrd="1" destOrd="0" presId="urn:microsoft.com/office/officeart/2005/8/layout/process4"/>
    <dgm:cxn modelId="{043C26A3-A15E-F841-8C72-895BA08B2788}" type="presParOf" srcId="{7E222DD6-BF6A-394E-B697-4995990F08CD}" destId="{19ED3B4D-6BAD-B145-A90D-B72DA9018B27}" srcOrd="2" destOrd="0" presId="urn:microsoft.com/office/officeart/2005/8/layout/process4"/>
    <dgm:cxn modelId="{7B13AFA7-EE0F-AD4D-ABCD-DFCEE6978523}" type="presParOf" srcId="{C804514B-ED51-9F42-9BF7-61567B43F578}" destId="{6F0B9A99-0B8A-8249-96D2-3278B4A4EA0C}" srcOrd="5" destOrd="0" presId="urn:microsoft.com/office/officeart/2005/8/layout/process4"/>
    <dgm:cxn modelId="{4FBEA0CD-86BE-204E-A39A-785620D3A1D0}" type="presParOf" srcId="{C804514B-ED51-9F42-9BF7-61567B43F578}" destId="{FFF25CD3-5BC8-CB45-B707-789427047C14}" srcOrd="6" destOrd="0" presId="urn:microsoft.com/office/officeart/2005/8/layout/process4"/>
    <dgm:cxn modelId="{2971300B-3207-5B43-B739-42CB8DF03352}" type="presParOf" srcId="{FFF25CD3-5BC8-CB45-B707-789427047C14}" destId="{66C7711F-A11A-364F-8470-D888E100AB61}" srcOrd="0" destOrd="0" presId="urn:microsoft.com/office/officeart/2005/8/layout/process4"/>
    <dgm:cxn modelId="{186C3C04-8AB6-B049-B02A-151638344239}" type="presParOf" srcId="{FFF25CD3-5BC8-CB45-B707-789427047C14}" destId="{E61D0AF5-4AA9-1741-AF6D-6F5534440118}" srcOrd="1" destOrd="0" presId="urn:microsoft.com/office/officeart/2005/8/layout/process4"/>
    <dgm:cxn modelId="{13E7166F-4668-6D48-8E3F-27EDDD4FEE8F}" type="presParOf" srcId="{FFF25CD3-5BC8-CB45-B707-789427047C14}" destId="{F50323CE-A1A4-784D-98FC-FC5C2410B3AD}" srcOrd="2" destOrd="0" presId="urn:microsoft.com/office/officeart/2005/8/layout/process4"/>
    <dgm:cxn modelId="{45B68861-4CE2-4949-A813-A934EBE7E3CF}" type="presParOf" srcId="{F50323CE-A1A4-784D-98FC-FC5C2410B3AD}" destId="{0CB0E21A-AA95-5F48-A955-5176FF7817FB}" srcOrd="0" destOrd="0" presId="urn:microsoft.com/office/officeart/2005/8/layout/process4"/>
    <dgm:cxn modelId="{71285AE9-2907-5342-A3C9-DF03176E5FDB}" type="presParOf" srcId="{F50323CE-A1A4-784D-98FC-FC5C2410B3AD}" destId="{70E1C419-59DE-7C45-9B16-94EA4677B1B2}" srcOrd="1" destOrd="0" presId="urn:microsoft.com/office/officeart/2005/8/layout/process4"/>
    <dgm:cxn modelId="{E5D2BE99-81B6-B94D-8416-24BE5AA73825}" type="presParOf" srcId="{F50323CE-A1A4-784D-98FC-FC5C2410B3AD}" destId="{FD64E691-B136-9348-A059-29CAA991C969}" srcOrd="2" destOrd="0" presId="urn:microsoft.com/office/officeart/2005/8/layout/process4"/>
    <dgm:cxn modelId="{D4C07A40-7C03-4940-BD9D-A36B9A6535F3}" type="presParOf" srcId="{C804514B-ED51-9F42-9BF7-61567B43F578}" destId="{31F55E2B-A680-A845-9124-BBB26759D976}" srcOrd="7" destOrd="0" presId="urn:microsoft.com/office/officeart/2005/8/layout/process4"/>
    <dgm:cxn modelId="{F2A81BF4-9389-9D4A-9444-D3079624FD77}" type="presParOf" srcId="{C804514B-ED51-9F42-9BF7-61567B43F578}" destId="{BDB9EB2B-782C-4047-B174-408F203F7FF2}" srcOrd="8" destOrd="0" presId="urn:microsoft.com/office/officeart/2005/8/layout/process4"/>
    <dgm:cxn modelId="{F45DDDAA-86B6-E743-9549-3243ED70A11E}" type="presParOf" srcId="{BDB9EB2B-782C-4047-B174-408F203F7FF2}" destId="{2B0290EB-23E2-EC43-8357-55F86EC4B4E8}" srcOrd="0" destOrd="0" presId="urn:microsoft.com/office/officeart/2005/8/layout/process4"/>
    <dgm:cxn modelId="{1C19918E-E89C-3946-BCC8-1ECAC50F3DCF}" type="presParOf" srcId="{BDB9EB2B-782C-4047-B174-408F203F7FF2}" destId="{49247FF8-C43B-EE40-AAAA-D29167F68827}" srcOrd="1" destOrd="0" presId="urn:microsoft.com/office/officeart/2005/8/layout/process4"/>
    <dgm:cxn modelId="{0BBE1D90-7E48-594B-819A-394FDF6B84F9}" type="presParOf" srcId="{BDB9EB2B-782C-4047-B174-408F203F7FF2}" destId="{3A4CF8EA-D503-9E4E-9EAE-6FBE92CE595F}" srcOrd="2" destOrd="0" presId="urn:microsoft.com/office/officeart/2005/8/layout/process4"/>
    <dgm:cxn modelId="{1A9B1590-1B84-4846-81A2-928F20442AD4}" type="presParOf" srcId="{3A4CF8EA-D503-9E4E-9EAE-6FBE92CE595F}" destId="{67B2A690-A3FF-0748-970E-CCD2232045A8}" srcOrd="0" destOrd="0" presId="urn:microsoft.com/office/officeart/2005/8/layout/process4"/>
    <dgm:cxn modelId="{DE51DD2F-6E27-C348-9728-BA6D46E91500}" type="presParOf" srcId="{3A4CF8EA-D503-9E4E-9EAE-6FBE92CE595F}" destId="{80077ECA-AF0C-C247-A423-FA16011C125F}" srcOrd="1" destOrd="0" presId="urn:microsoft.com/office/officeart/2005/8/layout/process4"/>
    <dgm:cxn modelId="{DADDE65F-72C9-8A41-B535-4ADF15C7FD14}" type="presParOf" srcId="{C804514B-ED51-9F42-9BF7-61567B43F578}" destId="{4A4B2F6E-6731-D64D-897B-7BC6E80AF1C7}" srcOrd="9" destOrd="0" presId="urn:microsoft.com/office/officeart/2005/8/layout/process4"/>
    <dgm:cxn modelId="{7469E201-63AC-EF48-BA52-7E1973C8B223}" type="presParOf" srcId="{C804514B-ED51-9F42-9BF7-61567B43F578}" destId="{6B7C9AB2-9F8F-D841-9E22-18CCE582A9A0}" srcOrd="10" destOrd="0" presId="urn:microsoft.com/office/officeart/2005/8/layout/process4"/>
    <dgm:cxn modelId="{E272D555-0679-C14D-9BDD-365378A8072C}" type="presParOf" srcId="{6B7C9AB2-9F8F-D841-9E22-18CCE582A9A0}" destId="{6CFBFD6A-E769-CB4F-9A64-F4E6AE2B4EFC}" srcOrd="0" destOrd="0" presId="urn:microsoft.com/office/officeart/2005/8/layout/process4"/>
    <dgm:cxn modelId="{86AB6A76-16C1-9F4B-A49B-D64EAFCE55CD}" type="presParOf" srcId="{6B7C9AB2-9F8F-D841-9E22-18CCE582A9A0}" destId="{8191012E-5A9D-F941-9667-552FD86C5C41}" srcOrd="1" destOrd="0" presId="urn:microsoft.com/office/officeart/2005/8/layout/process4"/>
    <dgm:cxn modelId="{157AEE0C-B875-2C45-BD9F-378C98072077}" type="presParOf" srcId="{6B7C9AB2-9F8F-D841-9E22-18CCE582A9A0}" destId="{A2279A1B-9296-FC44-B5C2-80A71F2E6BE5}" srcOrd="2" destOrd="0" presId="urn:microsoft.com/office/officeart/2005/8/layout/process4"/>
    <dgm:cxn modelId="{A1D4488E-1DFE-4F41-AEB0-225460D18604}" type="presParOf" srcId="{A2279A1B-9296-FC44-B5C2-80A71F2E6BE5}" destId="{18B15CBC-B7EB-3946-8731-492452C2EAF3}" srcOrd="0" destOrd="0" presId="urn:microsoft.com/office/officeart/2005/8/layout/process4"/>
    <dgm:cxn modelId="{CA922000-DC11-0643-839E-D2F5772D989D}" type="presParOf" srcId="{A2279A1B-9296-FC44-B5C2-80A71F2E6BE5}" destId="{9BD73C76-B087-8C4E-8000-4C6A562327BA}" srcOrd="1" destOrd="0" presId="urn:microsoft.com/office/officeart/2005/8/layout/process4"/>
    <dgm:cxn modelId="{BEBD3A21-7A0A-C842-B506-360A72CA038D}" type="presParOf" srcId="{A2279A1B-9296-FC44-B5C2-80A71F2E6BE5}" destId="{3EAABF17-4647-BE4B-8E96-B12930A7AE56}" srcOrd="2" destOrd="0" presId="urn:microsoft.com/office/officeart/2005/8/layout/process4"/>
    <dgm:cxn modelId="{AA7B275F-6BF9-2E48-9318-F0DDDE71362D}" type="presParOf" srcId="{C804514B-ED51-9F42-9BF7-61567B43F578}" destId="{5517395D-CA48-5345-B4EA-F14838C7AA54}" srcOrd="11" destOrd="0" presId="urn:microsoft.com/office/officeart/2005/8/layout/process4"/>
    <dgm:cxn modelId="{FB4A03F0-B409-6845-9C63-48907A84E076}" type="presParOf" srcId="{C804514B-ED51-9F42-9BF7-61567B43F578}" destId="{897CCB34-0F3B-2E40-A739-C2990BFCC787}" srcOrd="12" destOrd="0" presId="urn:microsoft.com/office/officeart/2005/8/layout/process4"/>
    <dgm:cxn modelId="{14A8C627-1E8F-E84E-9A17-4DA511E741CC}" type="presParOf" srcId="{897CCB34-0F3B-2E40-A739-C2990BFCC787}" destId="{C4D9C75C-48DE-FB40-A665-6F0D769667C5}" srcOrd="0" destOrd="0" presId="urn:microsoft.com/office/officeart/2005/8/layout/process4"/>
    <dgm:cxn modelId="{97DF0953-6232-C240-90F1-B6DC723D8D53}" type="presParOf" srcId="{897CCB34-0F3B-2E40-A739-C2990BFCC787}" destId="{7228887C-9F1C-FF47-95E2-75B642160274}" srcOrd="1" destOrd="0" presId="urn:microsoft.com/office/officeart/2005/8/layout/process4"/>
    <dgm:cxn modelId="{6DF3BA75-6093-ED4B-8223-09E1E50AE3B4}" type="presParOf" srcId="{897CCB34-0F3B-2E40-A739-C2990BFCC787}" destId="{8572FA69-914E-3548-B2B7-B1C277E98EDF}" srcOrd="2" destOrd="0" presId="urn:microsoft.com/office/officeart/2005/8/layout/process4"/>
    <dgm:cxn modelId="{4E2AC734-F781-1E4C-8365-FBD61B1C67AD}" type="presParOf" srcId="{8572FA69-914E-3548-B2B7-B1C277E98EDF}" destId="{B2AC6733-5B02-6C48-A4D7-FC371ED7A65E}" srcOrd="0" destOrd="0" presId="urn:microsoft.com/office/officeart/2005/8/layout/process4"/>
    <dgm:cxn modelId="{3A395339-3266-1E46-BC17-087D13D23CF5}" type="presParOf" srcId="{8572FA69-914E-3548-B2B7-B1C277E98EDF}" destId="{0568FB00-6E25-8B40-BEF5-98FD9C35249C}" srcOrd="1" destOrd="0" presId="urn:microsoft.com/office/officeart/2005/8/layout/process4"/>
    <dgm:cxn modelId="{16214D66-87DA-E648-A132-98335C110FEC}" type="presParOf" srcId="{8572FA69-914E-3548-B2B7-B1C277E98EDF}" destId="{43544FDA-09BE-0F47-8FA8-AA8316A8391B}" srcOrd="2" destOrd="0" presId="urn:microsoft.com/office/officeart/2005/8/layout/process4"/>
    <dgm:cxn modelId="{33C8F58E-B72E-464C-B343-29EE048083BB}" type="presParOf" srcId="{C804514B-ED51-9F42-9BF7-61567B43F578}" destId="{B37DB2AA-6AF8-9448-8783-7A34A1CFB7C3}" srcOrd="13" destOrd="0" presId="urn:microsoft.com/office/officeart/2005/8/layout/process4"/>
    <dgm:cxn modelId="{114E3EF8-42B3-5748-BDE5-E133A44B14B8}" type="presParOf" srcId="{C804514B-ED51-9F42-9BF7-61567B43F578}" destId="{9092E82B-B086-3D4D-B7F0-090A1FE63027}" srcOrd="14" destOrd="0" presId="urn:microsoft.com/office/officeart/2005/8/layout/process4"/>
    <dgm:cxn modelId="{EB3012AD-E02A-434E-B168-2117ED422A5A}" type="presParOf" srcId="{9092E82B-B086-3D4D-B7F0-090A1FE63027}" destId="{41FE49E3-377A-C048-9A4A-490BE73C9814}" srcOrd="0" destOrd="0" presId="urn:microsoft.com/office/officeart/2005/8/layout/process4"/>
    <dgm:cxn modelId="{D634EF3C-C02F-EC42-A996-0005CCFBCEAA}" type="presParOf" srcId="{9092E82B-B086-3D4D-B7F0-090A1FE63027}" destId="{72B1D1A9-B514-C94F-81F6-63608B08F5C1}" srcOrd="1" destOrd="0" presId="urn:microsoft.com/office/officeart/2005/8/layout/process4"/>
    <dgm:cxn modelId="{C03B9816-8664-444F-A251-CC517322850F}" type="presParOf" srcId="{9092E82B-B086-3D4D-B7F0-090A1FE63027}" destId="{8CAEEB34-D7AC-2A4A-B7E0-A52091616019}" srcOrd="2" destOrd="0" presId="urn:microsoft.com/office/officeart/2005/8/layout/process4"/>
    <dgm:cxn modelId="{474662E9-BB8E-F740-A733-E350F6A7CA3C}" type="presParOf" srcId="{8CAEEB34-D7AC-2A4A-B7E0-A52091616019}" destId="{16B3445D-93E7-EC43-B6F7-8AD83A8BCE0E}" srcOrd="0" destOrd="0" presId="urn:microsoft.com/office/officeart/2005/8/layout/process4"/>
    <dgm:cxn modelId="{6F8DA54E-DA55-154E-9679-2E44EA2716FF}" type="presParOf" srcId="{8CAEEB34-D7AC-2A4A-B7E0-A52091616019}" destId="{2EF6EFA8-5CA9-2048-8B8C-952CECCD5A2A}" srcOrd="1" destOrd="0" presId="urn:microsoft.com/office/officeart/2005/8/layout/process4"/>
    <dgm:cxn modelId="{4AAEBFC2-1C6D-7740-A912-52D92D4A17D6}" type="presParOf" srcId="{8CAEEB34-D7AC-2A4A-B7E0-A52091616019}" destId="{29BCAA45-93B1-9946-987A-6C06C324C196}" srcOrd="2" destOrd="0" presId="urn:microsoft.com/office/officeart/2005/8/layout/process4"/>
    <dgm:cxn modelId="{EC0BE7B4-C06B-5347-BFD6-59A288DA1033}" type="presParOf" srcId="{8CAEEB34-D7AC-2A4A-B7E0-A52091616019}" destId="{380D77DB-026A-EB4C-8962-F71161977E1F}" srcOrd="3" destOrd="0" presId="urn:microsoft.com/office/officeart/2005/8/layout/process4"/>
    <dgm:cxn modelId="{2465A7BA-372F-7E41-AA77-C9F8EEF65E1F}" type="presParOf" srcId="{C804514B-ED51-9F42-9BF7-61567B43F578}" destId="{F50BC82D-A824-024C-A2AB-932BC261EB40}" srcOrd="15" destOrd="0" presId="urn:microsoft.com/office/officeart/2005/8/layout/process4"/>
    <dgm:cxn modelId="{6DC461BB-7028-C242-AD4D-8B409AE4C696}" type="presParOf" srcId="{C804514B-ED51-9F42-9BF7-61567B43F578}" destId="{6AFB5AB4-DC76-A144-AB22-C2515D70F4A5}" srcOrd="16" destOrd="0" presId="urn:microsoft.com/office/officeart/2005/8/layout/process4"/>
    <dgm:cxn modelId="{499CE705-E87A-3846-B065-9C599002D320}" type="presParOf" srcId="{6AFB5AB4-DC76-A144-AB22-C2515D70F4A5}" destId="{A27B3CE8-E057-2B4C-9A5A-BC666CDEDFFB}" srcOrd="0" destOrd="0" presId="urn:microsoft.com/office/officeart/2005/8/layout/process4"/>
    <dgm:cxn modelId="{7688D4B2-4C23-3A4D-AD9D-9B8E943C6E07}" type="presParOf" srcId="{6AFB5AB4-DC76-A144-AB22-C2515D70F4A5}" destId="{7349AB8C-039D-714F-B7CD-B54984534528}" srcOrd="1" destOrd="0" presId="urn:microsoft.com/office/officeart/2005/8/layout/process4"/>
    <dgm:cxn modelId="{DEA4CE0B-729F-A84A-BD12-10FC7D928137}" type="presParOf" srcId="{6AFB5AB4-DC76-A144-AB22-C2515D70F4A5}" destId="{095BE36C-E5AD-AE40-8FE3-6B69CF7C88AA}" srcOrd="2" destOrd="0" presId="urn:microsoft.com/office/officeart/2005/8/layout/process4"/>
    <dgm:cxn modelId="{9867E7AA-5FF0-454B-B8E7-F2C59B8632AD}" type="presParOf" srcId="{095BE36C-E5AD-AE40-8FE3-6B69CF7C88AA}" destId="{B19A0FB5-C01F-EC4A-9F40-F0062968603B}" srcOrd="0" destOrd="0" presId="urn:microsoft.com/office/officeart/2005/8/layout/process4"/>
    <dgm:cxn modelId="{D5C43394-9112-A44A-BDC5-C980789031FC}" type="presParOf" srcId="{095BE36C-E5AD-AE40-8FE3-6B69CF7C88AA}" destId="{EAFD7850-9F4A-474C-8B76-EFFC4DDF7787}" srcOrd="1" destOrd="0" presId="urn:microsoft.com/office/officeart/2005/8/layout/process4"/>
    <dgm:cxn modelId="{8721C1CC-9965-354C-BB5E-EC8C1035A68F}" type="presParOf" srcId="{C804514B-ED51-9F42-9BF7-61567B43F578}" destId="{FFB469EC-2E7C-3F49-B0CC-8336154C32CD}" srcOrd="17" destOrd="0" presId="urn:microsoft.com/office/officeart/2005/8/layout/process4"/>
    <dgm:cxn modelId="{49D8AB33-DECB-0E45-959A-50E8A6E2FD8D}" type="presParOf" srcId="{C804514B-ED51-9F42-9BF7-61567B43F578}" destId="{68CF0113-9FC9-F74D-85FC-1FDF3E541CC3}" srcOrd="18" destOrd="0" presId="urn:microsoft.com/office/officeart/2005/8/layout/process4"/>
    <dgm:cxn modelId="{0109431C-3E21-7141-9F90-831772454E9D}" type="presParOf" srcId="{68CF0113-9FC9-F74D-85FC-1FDF3E541CC3}" destId="{F1D4C9AD-C858-384F-ABEE-A68BE5939755}" srcOrd="0" destOrd="0" presId="urn:microsoft.com/office/officeart/2005/8/layout/process4"/>
    <dgm:cxn modelId="{4E4EC9B0-84C1-2B41-90FC-6449D057EC54}" type="presParOf" srcId="{68CF0113-9FC9-F74D-85FC-1FDF3E541CC3}" destId="{741C87E9-E100-9A4B-9DE1-5C0420ED6381}" srcOrd="1" destOrd="0" presId="urn:microsoft.com/office/officeart/2005/8/layout/process4"/>
    <dgm:cxn modelId="{E0B76940-7516-494D-AC47-8EBED1B8367E}" type="presParOf" srcId="{68CF0113-9FC9-F74D-85FC-1FDF3E541CC3}" destId="{71CDD78D-74CB-AC41-A408-EBA77262F1FA}" srcOrd="2" destOrd="0" presId="urn:microsoft.com/office/officeart/2005/8/layout/process4"/>
    <dgm:cxn modelId="{B2DC2F31-1E0E-C049-8577-137E0DA580B0}" type="presParOf" srcId="{71CDD78D-74CB-AC41-A408-EBA77262F1FA}" destId="{9BA7B71A-E203-344A-ACD7-7FCC87DEEB3C}" srcOrd="0" destOrd="0" presId="urn:microsoft.com/office/officeart/2005/8/layout/process4"/>
    <dgm:cxn modelId="{C12EEA17-93F3-AE4A-B36F-900FC83439F9}" type="presParOf" srcId="{71CDD78D-74CB-AC41-A408-EBA77262F1FA}" destId="{05160432-DC63-B745-B31E-2A7BA2029E2C}" srcOrd="1" destOrd="0" presId="urn:microsoft.com/office/officeart/2005/8/layout/process4"/>
    <dgm:cxn modelId="{1C70A277-9D54-E84A-8591-B59ED1DBB984}" type="presParOf" srcId="{71CDD78D-74CB-AC41-A408-EBA77262F1FA}" destId="{C5669348-D6C1-BD4F-84C0-2960BF86AE44}" srcOrd="2" destOrd="0" presId="urn:microsoft.com/office/officeart/2005/8/layout/process4"/>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a:solidFill>
          <a:srgbClr val="800000"/>
        </a:solidFill>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custT="1"/>
      <dgm:spPr>
        <a:solidFill>
          <a:srgbClr val="800000">
            <a:alpha val="90000"/>
          </a:srgbClr>
        </a:solidFill>
      </dgm:spPr>
      <dgm:t>
        <a:bodyPr/>
        <a:lstStyle/>
        <a:p>
          <a:r>
            <a:rPr lang="en-US" sz="900">
              <a:solidFill>
                <a:srgbClr val="FFFFFF"/>
              </a:solidFill>
            </a:rPr>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custT="1"/>
      <dgm:spPr>
        <a:solidFill>
          <a:srgbClr val="800000">
            <a:alpha val="90000"/>
          </a:srgbClr>
        </a:solidFill>
      </dgm:spPr>
      <dgm:t>
        <a:bodyPr/>
        <a:lstStyle/>
        <a:p>
          <a:r>
            <a:rPr lang="en-US" sz="900">
              <a:solidFill>
                <a:srgbClr val="FFFFFF"/>
              </a:solidFill>
            </a:rPr>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6C2C3A9F-8349-A848-B516-5F9DF6C160A4}">
      <dgm:prSet phldrT="[Text]"/>
      <dgm:spPr/>
      <dgm:t>
        <a:bodyPr/>
        <a:lstStyle/>
        <a:p>
          <a:r>
            <a:rPr lang="en-US"/>
            <a:t>Responsibility</a:t>
          </a:r>
        </a:p>
      </dgm:t>
    </dgm:pt>
    <dgm:pt modelId="{84B8DE34-1EAA-FF4C-83E3-56313A7AC52A}" type="parTrans" cxnId="{709E77B2-0E17-5345-9E20-A7D862A95ADC}">
      <dgm:prSet/>
      <dgm:spPr/>
      <dgm:t>
        <a:bodyPr/>
        <a:lstStyle/>
        <a:p>
          <a:endParaRPr lang="en-US"/>
        </a:p>
      </dgm:t>
    </dgm:pt>
    <dgm:pt modelId="{C77DE7BD-332E-BA4B-BAE7-7E1D8F02B91B}" type="sibTrans" cxnId="{709E77B2-0E17-5345-9E20-A7D862A95ADC}">
      <dgm:prSet/>
      <dgm:spPr/>
      <dgm:t>
        <a:bodyPr/>
        <a:lstStyle/>
        <a:p>
          <a:endParaRPr lang="en-US"/>
        </a:p>
      </dgm:t>
    </dgm:pt>
    <dgm:pt modelId="{C9AA25D3-47FC-704F-B8D6-921AB232AB96}">
      <dgm:prSet phldrT="[Text]"/>
      <dgm:spPr/>
      <dgm:t>
        <a:bodyPr/>
        <a:lstStyle/>
        <a:p>
          <a:r>
            <a:rPr lang="en-US"/>
            <a:t>Simulation for assessment</a:t>
          </a:r>
        </a:p>
      </dgm:t>
    </dgm:pt>
    <dgm:pt modelId="{667EEBEF-8EF7-FB4C-91E9-0E314A097BAC}" type="parTrans" cxnId="{E523DAF2-4849-1140-941C-C4F2303E6DA3}">
      <dgm:prSet/>
      <dgm:spPr/>
      <dgm:t>
        <a:bodyPr/>
        <a:lstStyle/>
        <a:p>
          <a:endParaRPr lang="en-US"/>
        </a:p>
      </dgm:t>
    </dgm:pt>
    <dgm:pt modelId="{6248D192-49E9-2C41-AF68-CCBC1FFAF6FB}" type="sibTrans" cxnId="{E523DAF2-4849-1140-941C-C4F2303E6DA3}">
      <dgm:prSet/>
      <dgm:spPr/>
      <dgm:t>
        <a:bodyPr/>
        <a:lstStyle/>
        <a:p>
          <a:endParaRPr lang="en-US"/>
        </a:p>
      </dgm:t>
    </dgm:pt>
    <dgm:pt modelId="{FB17DBC7-D781-0749-8F63-0B8919328DFE}">
      <dgm:prSet phldrT="[Text]"/>
      <dgm:spPr/>
      <dgm:t>
        <a:bodyPr/>
        <a:lstStyle/>
        <a:p>
          <a:r>
            <a:rPr lang="en-US"/>
            <a:t>8: Triangulation</a:t>
          </a:r>
        </a:p>
      </dgm:t>
    </dgm:pt>
    <dgm:pt modelId="{D72ACD99-52F9-5643-88F3-B74FC907FC42}" type="parTrans" cxnId="{B32CB657-431D-4847-ABB3-5DC6E3D1992C}">
      <dgm:prSet/>
      <dgm:spPr/>
      <dgm:t>
        <a:bodyPr/>
        <a:lstStyle/>
        <a:p>
          <a:endParaRPr lang="en-US"/>
        </a:p>
      </dgm:t>
    </dgm:pt>
    <dgm:pt modelId="{727AB657-094E-414D-B08C-D466F4E6FC8F}" type="sibTrans" cxnId="{B32CB657-431D-4847-ABB3-5DC6E3D1992C}">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C3CA8E12-C4DE-0A4C-BE5C-696E5B48BDC2}" type="pres">
      <dgm:prSet presAssocID="{FB17DBC7-D781-0749-8F63-0B8919328DFE}" presName="composite" presStyleCnt="0"/>
      <dgm:spPr/>
    </dgm:pt>
    <dgm:pt modelId="{5EFF0404-E2F5-2846-AB66-A5D5B6AF7CA2}" type="pres">
      <dgm:prSet presAssocID="{FB17DBC7-D781-0749-8F63-0B8919328DFE}" presName="parentText" presStyleLbl="alignNode1" presStyleIdx="7" presStyleCnt="13">
        <dgm:presLayoutVars>
          <dgm:chMax val="1"/>
          <dgm:bulletEnabled val="1"/>
        </dgm:presLayoutVars>
      </dgm:prSet>
      <dgm:spPr/>
    </dgm:pt>
    <dgm:pt modelId="{8896D702-2D2C-EC42-81B9-BE92AB83E01A}" type="pres">
      <dgm:prSet presAssocID="{FB17DBC7-D781-0749-8F63-0B8919328DFE}" presName="descendantText" presStyleLbl="alignAcc1" presStyleIdx="7" presStyleCnt="13">
        <dgm:presLayoutVars>
          <dgm:bulletEnabled val="1"/>
        </dgm:presLayoutVars>
      </dgm:prSet>
      <dgm:spPr/>
    </dgm:pt>
    <dgm:pt modelId="{168F1172-AA8D-F241-B9FF-E863FED88FA2}" type="pres">
      <dgm:prSet presAssocID="{727AB657-094E-414D-B08C-D466F4E6FC8F}"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74C72503-E577-F144-96BA-E759CEB79BF7}" type="presOf" srcId="{82A06431-B147-914D-A7EE-B91B75443203}" destId="{31EA3204-EDC1-4F43-84C9-41DE884256E5}" srcOrd="0" destOrd="0"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5FAA3F11-C3E1-0D47-91F4-6F49603D0CA3}" type="presOf" srcId="{18ABC2A5-DCE7-414C-AE08-6EAE4EA2FE6D}" destId="{E2DE84BA-2462-A242-AC94-46E19F99F1BB}" srcOrd="0" destOrd="2" presId="urn:microsoft.com/office/officeart/2005/8/layout/chevron2"/>
    <dgm:cxn modelId="{9737A014-77AA-2343-9EF8-1AB62E400960}" srcId="{FB17DBC7-D781-0749-8F63-0B8919328DFE}" destId="{0B5EEED9-AADF-5646-A4EE-16C7E3C5048F}" srcOrd="0" destOrd="0" parTransId="{5F63AFFB-8796-8145-8196-16BA65A8913E}" sibTransId="{6369732A-4608-D04B-9932-9F2E14769A9F}"/>
    <dgm:cxn modelId="{425A741B-9872-3A46-B4DA-D764BFE4CD8B}" srcId="{32BD5717-A9E6-DD44-A13C-12122D41F212}" destId="{182D19B6-9968-F54C-9803-98CF32A9110D}" srcOrd="8" destOrd="0" parTransId="{19120E65-5B26-BC4A-9EFF-5512A25AEB14}" sibTransId="{259ED567-5FE2-2F45-B806-60F8702E00F5}"/>
    <dgm:cxn modelId="{D7A0E421-0B16-3B41-AD6A-4167C7339F7E}" type="presOf" srcId="{387817B1-B48E-804E-9741-307C0F8B2DA9}" destId="{BC4A5DFE-0373-0044-B473-93ADEF2A2324}" srcOrd="0" destOrd="1" presId="urn:microsoft.com/office/officeart/2005/8/layout/chevron2"/>
    <dgm:cxn modelId="{BB25A622-B1D1-A44C-AC93-2179C45DA4E3}" type="presOf" srcId="{D4381A80-7F1D-9D4D-8093-B3E6A2F1CFCA}" destId="{9D5418D3-F08D-8545-87B2-2FD7B1D1031E}" srcOrd="0" destOrd="1"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D4F7AF26-7D29-4343-BDD2-61439BD7D24B}" type="presOf" srcId="{65337D44-9B2C-044E-AEF9-F665764413CE}" destId="{9D5418D3-F08D-8545-87B2-2FD7B1D1031E}" srcOrd="0" destOrd="0" presId="urn:microsoft.com/office/officeart/2005/8/layout/chevron2"/>
    <dgm:cxn modelId="{55C13728-1055-FB46-AA60-BC627B3B8D28}" type="presOf" srcId="{817AAD11-541C-8040-B8E6-60D63F44FF6E}" destId="{DCD4A931-4F01-F440-965B-DC25AA6FE080}" srcOrd="0" destOrd="1" presId="urn:microsoft.com/office/officeart/2005/8/layout/chevron2"/>
    <dgm:cxn modelId="{3C6E3229-5395-8447-894B-8EDB475D6EC6}" type="presOf" srcId="{555C02C0-6BC9-D540-8A82-3666CC61D37F}" destId="{DCD4A931-4F01-F440-965B-DC25AA6FE080}" srcOrd="0" destOrd="0"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CC8F892D-C693-534D-9295-493F2116DE18}" type="presOf" srcId="{EE4687FF-DC98-3D4A-8B1D-75DD628798CF}" destId="{BC4A5DFE-0373-0044-B473-93ADEF2A2324}" srcOrd="0" destOrd="2"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AC9D8B35-3E35-964E-B49F-8C40FB3AF24D}" srcId="{182D19B6-9968-F54C-9803-98CF32A9110D}" destId="{E8835EC0-86EE-3540-9564-983F3D69B9B0}" srcOrd="4" destOrd="0" parTransId="{3507EF78-030C-2546-8CBB-075D7261FCDE}" sibTransId="{7BBE6FC9-195F-5E44-BEAA-03BE4D719D22}"/>
    <dgm:cxn modelId="{C00D6636-239C-1A47-810A-4C21BED152D7}" type="presOf" srcId="{34B9CBCA-90AD-D946-B26E-3A6E60BB731E}" destId="{B9872B13-1174-E847-A615-29577404DF21}" srcOrd="0" destOrd="0" presId="urn:microsoft.com/office/officeart/2005/8/layout/chevron2"/>
    <dgm:cxn modelId="{C67DC537-D4CA-2944-8330-96C6C74E0394}" srcId="{32BD5717-A9E6-DD44-A13C-12122D41F212}" destId="{34B9CBCA-90AD-D946-B26E-3A6E60BB731E}" srcOrd="6" destOrd="0" parTransId="{9332FC5B-2DEC-D146-AE72-41CD6249A702}" sibTransId="{1031D2A7-8DEF-E945-AA90-68FD6C34AE22}"/>
    <dgm:cxn modelId="{11167C3A-6291-C64E-94E7-3B5734178795}" type="presOf" srcId="{FB17DBC7-D781-0749-8F63-0B8919328DFE}" destId="{5EFF0404-E2F5-2846-AB66-A5D5B6AF7CA2}" srcOrd="0" destOrd="0"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01F5363E-0F44-874A-AEBB-438A31C0CF98}" type="presOf" srcId="{32BD5717-A9E6-DD44-A13C-12122D41F212}" destId="{DDB27B24-50BA-ED48-8BE9-4C29E6B83259}" srcOrd="0" destOrd="0" presId="urn:microsoft.com/office/officeart/2005/8/layout/chevron2"/>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A99C945B-E8B5-AF4C-BC7F-3253600B260E}" type="presOf" srcId="{93105CB4-0286-ED4F-915C-092EF42A9691}" destId="{CCC28DE8-0568-7547-9A1F-3C6F0F33A2CF}" srcOrd="0" destOrd="0" presId="urn:microsoft.com/office/officeart/2005/8/layout/chevron2"/>
    <dgm:cxn modelId="{185F4D60-CCCF-B740-A7B0-BFB90111757C}" type="presOf" srcId="{C458704A-A6F3-A24F-B50F-7B434CD11794}" destId="{28826DD3-E030-6044-B2F2-D85EF85F6960}" srcOrd="0" destOrd="2" presId="urn:microsoft.com/office/officeart/2005/8/layout/chevron2"/>
    <dgm:cxn modelId="{1292F661-5EF6-674A-A27F-01EC1EFD63C7}" type="presOf" srcId="{4E401C2C-4000-C040-828A-EB0D5B3F70BC}" destId="{8BDAA81E-2E4E-9C4A-9A67-4855D9BA1510}" srcOrd="0" destOrd="1"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3787BC4A-C4C9-F847-B071-8EF6427DD8C1}" type="presOf" srcId="{C9AA25D3-47FC-704F-B8D6-921AB232AB96}" destId="{C174B10A-41E6-244B-88CB-0D08E5FFF5F9}" srcOrd="0" destOrd="2" presId="urn:microsoft.com/office/officeart/2005/8/layout/chevron2"/>
    <dgm:cxn modelId="{CFC6B66C-A261-E84E-94D7-91F62B0F3BDF}" type="presOf" srcId="{46C87E74-5E28-8C46-86B1-98C82A55CBAE}" destId="{6DDDE256-1CA3-1140-A939-5530FC1F57D3}" srcOrd="0" destOrd="0" presId="urn:microsoft.com/office/officeart/2005/8/layout/chevron2"/>
    <dgm:cxn modelId="{8E062E4D-AA93-CB44-A0AC-F749EB20F43A}" srcId="{32BD5717-A9E6-DD44-A13C-12122D41F212}" destId="{82A06431-B147-914D-A7EE-B91B75443203}" srcOrd="3" destOrd="0" parTransId="{13C96808-67BD-174F-B855-16ACA3400941}" sibTransId="{2927117D-194C-1341-932F-5623EB513890}"/>
    <dgm:cxn modelId="{FDBD646E-9850-5C48-B1EC-D0AB55DD56EC}" type="presOf" srcId="{61A2BB49-4883-F544-A634-4207B0324D62}" destId="{06B263AD-CC10-0D49-8145-0C283F585CD5}" srcOrd="0" destOrd="0" presId="urn:microsoft.com/office/officeart/2005/8/layout/chevron2"/>
    <dgm:cxn modelId="{56DC616F-AD01-0443-9B05-29BDF70F20DD}" type="presOf" srcId="{6AEE21D3-4CB1-7443-AC17-5D71D849EEF3}" destId="{28826DD3-E030-6044-B2F2-D85EF85F6960}" srcOrd="0" destOrd="0" presId="urn:microsoft.com/office/officeart/2005/8/layout/chevron2"/>
    <dgm:cxn modelId="{DD5E9F4F-CBC7-5944-B77B-5C8AE1D72DDB}" type="presOf" srcId="{2D2AF18A-8B4F-6F43-ABC1-76E3735A0A2A}" destId="{BC4A5DFE-0373-0044-B473-93ADEF2A2324}" srcOrd="0" destOrd="0"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EBCA7454-0A4D-574C-AF9E-ACF2192F6A69}" srcId="{34B9CBCA-90AD-D946-B26E-3A6E60BB731E}" destId="{EEF349EC-A16C-6E4F-8464-6BD71940F70C}" srcOrd="2" destOrd="0" parTransId="{4EF4EBD5-8084-7D4A-BB5E-4EF2C5C94F99}" sibTransId="{A325D897-3CF3-2444-BCE0-FB27A2B93D02}"/>
    <dgm:cxn modelId="{7CCA3577-052A-E54E-8A65-B79C9D3D7282}" srcId="{32BD5717-A9E6-DD44-A13C-12122D41F212}" destId="{5EFAD456-F8B8-C147-9A38-D366892E8D90}" srcOrd="10" destOrd="0" parTransId="{AEC4A29C-080E-714E-8C55-A165817C6F84}" sibTransId="{69AAF0EB-9438-D048-8CCB-3ADC0E6ED07B}"/>
    <dgm:cxn modelId="{B32CB657-431D-4847-ABB3-5DC6E3D1992C}" srcId="{32BD5717-A9E6-DD44-A13C-12122D41F212}" destId="{FB17DBC7-D781-0749-8F63-0B8919328DFE}" srcOrd="7" destOrd="0" parTransId="{D72ACD99-52F9-5643-88F3-B74FC907FC42}" sibTransId="{727AB657-094E-414D-B08C-D466F4E6FC8F}"/>
    <dgm:cxn modelId="{6E814058-60A8-FD42-8A24-A3B22B5E07BF}" type="presOf" srcId="{182D19B6-9968-F54C-9803-98CF32A9110D}" destId="{E86BF6A3-BA90-BB43-908F-24E76E7D1587}" srcOrd="0" destOrd="0" presId="urn:microsoft.com/office/officeart/2005/8/layout/chevron2"/>
    <dgm:cxn modelId="{941CFF7A-D638-8A4B-8278-95DAB8637AEE}" srcId="{32BD5717-A9E6-DD44-A13C-12122D41F212}" destId="{8A942072-3D9B-2043-8B2E-11E707170D7E}" srcOrd="2"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DC07807F-1FA6-934F-971A-8FC78454C7FD}" type="presOf" srcId="{CF8D6B60-3FEF-0048-B019-B0883DEB78C2}" destId="{06B263AD-CC10-0D49-8145-0C283F585CD5}" srcOrd="0" destOrd="1" presId="urn:microsoft.com/office/officeart/2005/8/layout/chevron2"/>
    <dgm:cxn modelId="{C2637380-4378-9541-964A-D6E21D69FAFC}" srcId="{34B9CBCA-90AD-D946-B26E-3A6E60BB731E}" destId="{817AAD11-541C-8040-B8E6-60D63F44FF6E}" srcOrd="1" destOrd="0" parTransId="{820D5C7D-3565-B841-B802-D79FD186F3F0}" sibTransId="{DBDC58F4-53C2-3143-8B2E-16E385E444FB}"/>
    <dgm:cxn modelId="{644B3083-D8B7-6B42-9BCA-F4FDA2A083F1}" type="presOf" srcId="{BE8AC978-0FAD-5E4D-B281-1B7DC61EC809}" destId="{C80BEB0B-E1AB-4443-9F91-9D6894D7833E}" srcOrd="0" destOrd="1" presId="urn:microsoft.com/office/officeart/2005/8/layout/chevron2"/>
    <dgm:cxn modelId="{D0760885-6D59-FE4E-AFC8-4F0F480704C2}" type="presOf" srcId="{0D5E0837-38B9-E148-BB11-F780782A29CB}" destId="{9D5418D3-F08D-8545-87B2-2FD7B1D1031E}" srcOrd="0" destOrd="2" presId="urn:microsoft.com/office/officeart/2005/8/layout/chevron2"/>
    <dgm:cxn modelId="{6FA51486-A77A-8042-9B5D-07B2BF9CE326}" type="presOf" srcId="{E6055D9E-1DDE-A243-A8F6-5CDF160A3724}" destId="{C174B10A-41E6-244B-88CB-0D08E5FFF5F9}" srcOrd="0" destOrd="0" presId="urn:microsoft.com/office/officeart/2005/8/layout/chevron2"/>
    <dgm:cxn modelId="{9FA11B86-6C97-2742-A09F-F3D05519AE3A}" type="presOf" srcId="{0B5EEED9-AADF-5646-A4EE-16C7E3C5048F}" destId="{8896D702-2D2C-EC42-81B9-BE92AB83E01A}"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3B1A5390-2703-9A4A-99AF-22DEB9C9F370}" type="presOf" srcId="{3F3526C7-6ED1-AA46-BF20-1B9948A084E5}" destId="{06B263AD-CC10-0D49-8145-0C283F585CD5}" srcOrd="0" destOrd="2" presId="urn:microsoft.com/office/officeart/2005/8/layout/chevron2"/>
    <dgm:cxn modelId="{B15DDF91-3E56-B34C-8986-A771063931CF}" type="presOf" srcId="{E8835EC0-86EE-3540-9564-983F3D69B9B0}" destId="{E2DE84BA-2462-A242-AC94-46E19F99F1BB}" srcOrd="0" destOrd="4" presId="urn:microsoft.com/office/officeart/2005/8/layout/chevron2"/>
    <dgm:cxn modelId="{16249A92-C0C1-224F-990C-03D56AB1BBFD}" type="presOf" srcId="{A8C6C2DC-42DC-4841-8B38-6F4C4E8905E8}" destId="{B88D95AA-AFFF-224F-9EBE-1226F2119586}" srcOrd="0" destOrd="0"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06495397-CAFB-8346-B6DD-C62B8755406E}" srcId="{93105CB4-0286-ED4F-915C-092EF42A9691}" destId="{14C4AACB-BBED-FD43-880C-31C843F0061A}" srcOrd="1" destOrd="0" parTransId="{DFED4DE2-2306-C34E-907E-763B913F06DC}" sibTransId="{8C3CD2B7-B9B1-6B48-BD9C-4F4D55283F81}"/>
    <dgm:cxn modelId="{C2A5ACA1-F1A9-1347-BEAB-34809B48CF85}" srcId="{32BD5717-A9E6-DD44-A13C-12122D41F212}" destId="{46C87E74-5E28-8C46-86B1-98C82A55CBAE}" srcOrd="11" destOrd="0" parTransId="{2A9B7400-96EA-AD40-9D11-2744CE1FE9E5}" sibTransId="{04801474-7BFD-AC4B-9CCF-28521DEC6DB6}"/>
    <dgm:cxn modelId="{750A50A3-92B4-7443-BCDA-5DDAE625A463}" type="presOf" srcId="{8A942072-3D9B-2043-8B2E-11E707170D7E}" destId="{A0202F08-BEC9-8F43-8711-F30ADE817D18}" srcOrd="0" destOrd="0" presId="urn:microsoft.com/office/officeart/2005/8/layout/chevron2"/>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A9C2C1A5-0ECA-7047-A5C7-70316DA9E025}" type="presOf" srcId="{5EFAD456-F8B8-C147-9A38-D366892E8D90}" destId="{ED0EEAAD-1F9F-C445-9ED5-D61D26A0F8D1}" srcOrd="0" destOrd="0" presId="urn:microsoft.com/office/officeart/2005/8/layout/chevron2"/>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4" destOrd="0" parTransId="{A4EA5788-EDE5-E443-B24A-EA951734FC41}" sibTransId="{72453AAB-5C0D-2D49-B812-AF99508E8E00}"/>
    <dgm:cxn modelId="{50DC35AC-A766-2E40-9DDB-5A45497CCFB7}" type="presOf" srcId="{3528BF8B-944A-1B4D-ADBB-12D941C8C388}" destId="{E2DE84BA-2462-A242-AC94-46E19F99F1BB}" srcOrd="0" destOrd="0" presId="urn:microsoft.com/office/officeart/2005/8/layout/chevron2"/>
    <dgm:cxn modelId="{709E77B2-0E17-5345-9E20-A7D862A95ADC}" srcId="{5EFAD456-F8B8-C147-9A38-D366892E8D90}" destId="{6C2C3A9F-8349-A848-B516-5F9DF6C160A4}" srcOrd="1" destOrd="0" parTransId="{84B8DE34-1EAA-FF4C-83E3-56313A7AC52A}" sibTransId="{C77DE7BD-332E-BA4B-BAE7-7E1D8F02B91B}"/>
    <dgm:cxn modelId="{290DACB9-59AF-B944-BC31-0F2729294A5F}" type="presOf" srcId="{B81682CE-3DAA-7547-977E-5CA5485D7B79}" destId="{E2DE84BA-2462-A242-AC94-46E19F99F1BB}" srcOrd="0" destOrd="3" presId="urn:microsoft.com/office/officeart/2005/8/layout/chevron2"/>
    <dgm:cxn modelId="{BC0080BE-E2F1-9341-8983-1D6C505D730F}" type="presOf" srcId="{332543FB-BB1C-DE43-B140-C2BB789BBCB2}" destId="{B422BFF3-8BFD-2144-8980-375702EA9496}" srcOrd="0" destOrd="0"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D1F36EC9-3923-7B46-9344-1D6CD751CC19}" type="presOf" srcId="{718C1A72-EF39-DD4E-BFDE-F45DD7D520FB}" destId="{B3EE9CE6-0ABB-F14B-8299-D4BFC2EC579D}" srcOrd="0" destOrd="0" presId="urn:microsoft.com/office/officeart/2005/8/layout/chevron2"/>
    <dgm:cxn modelId="{E2F329CF-5D02-3241-B348-50CB30650C25}" srcId="{182D19B6-9968-F54C-9803-98CF32A9110D}" destId="{318E09D1-A59D-2E4B-A3CC-C2FF16965C43}" srcOrd="1" destOrd="0" parTransId="{692F5075-8AA7-1545-9821-5B796547FE98}" sibTransId="{C3BC74F0-F4E6-BD4C-8197-893C2058CDAE}"/>
    <dgm:cxn modelId="{E9BFA8D1-EC2E-8142-82AA-9E8B92F8774B}" type="presOf" srcId="{318E09D1-A59D-2E4B-A3CC-C2FF16965C43}" destId="{E2DE84BA-2462-A242-AC94-46E19F99F1BB}" srcOrd="0" destOrd="1" presId="urn:microsoft.com/office/officeart/2005/8/layout/chevron2"/>
    <dgm:cxn modelId="{95E8B4D3-AC7F-1643-AA4D-916C7C4485DC}" type="presOf" srcId="{EEF349EC-A16C-6E4F-8464-6BD71940F70C}" destId="{DCD4A931-4F01-F440-965B-DC25AA6FE080}" srcOrd="0" destOrd="2" presId="urn:microsoft.com/office/officeart/2005/8/layout/chevron2"/>
    <dgm:cxn modelId="{F931C3D7-F579-8149-A4EC-D654C32871AE}" type="presOf" srcId="{14C4AACB-BBED-FD43-880C-31C843F0061A}" destId="{F1EE7E3F-25DA-8041-85A7-EBBF11BC4C56}" srcOrd="0" destOrd="1" presId="urn:microsoft.com/office/officeart/2005/8/layout/chevron2"/>
    <dgm:cxn modelId="{FD6CE5DE-73B0-EC44-B7BC-8E8B8F11111C}" type="presOf" srcId="{125C0A60-1A53-5F41-A8F9-BD71D1144F62}" destId="{C80BEB0B-E1AB-4443-9F91-9D6894D7833E}" srcOrd="0" destOrd="0" presId="urn:microsoft.com/office/officeart/2005/8/layout/chevron2"/>
    <dgm:cxn modelId="{8995E4E1-610C-0643-894C-FAAC8F0CC527}" type="presOf" srcId="{2725BEFC-24C3-E145-86F8-460B0C16124D}" destId="{8BDAA81E-2E4E-9C4A-9A67-4855D9BA1510}" srcOrd="0" destOrd="0" presId="urn:microsoft.com/office/officeart/2005/8/layout/chevron2"/>
    <dgm:cxn modelId="{1A9487E4-B74B-1941-9A50-5D13D192932B}" type="presOf" srcId="{1EC7AB78-D724-324B-BD90-FC58EF6E0357}" destId="{48AF7672-2483-B34A-B763-89BD09AEBA58}" srcOrd="0" destOrd="0" presId="urn:microsoft.com/office/officeart/2005/8/layout/chevron2"/>
    <dgm:cxn modelId="{1723E1E8-856F-2144-A3B1-BF33492EF4A9}" type="presOf" srcId="{6C2C3A9F-8349-A848-B516-5F9DF6C160A4}" destId="{C174B10A-41E6-244B-88CB-0D08E5FFF5F9}" srcOrd="0" destOrd="1"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E6C553EE-949B-4C43-8398-F0F48F4A42F6}" type="presOf" srcId="{A177B3ED-63C5-3348-B066-3691D8643EDE}" destId="{F1EE7E3F-25DA-8041-85A7-EBBF11BC4C56}" srcOrd="0" destOrd="0"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E523DAF2-4849-1140-941C-C4F2303E6DA3}" srcId="{5EFAD456-F8B8-C147-9A38-D366892E8D90}" destId="{C9AA25D3-47FC-704F-B8D6-921AB232AB96}" srcOrd="2" destOrd="0" parTransId="{667EEBEF-8EF7-FB4C-91E9-0E314A097BAC}" sibTransId="{6248D192-49E9-2C41-AF68-CCBC1FFAF6FB}"/>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A3D7ACF7-2BA2-4F49-A0E0-7346B1E54F6B}" srcId="{82A06431-B147-914D-A7EE-B91B75443203}" destId="{0D5E0837-38B9-E148-BB11-F780782A29CB}" srcOrd="2" destOrd="0" parTransId="{22B50FC3-BF2E-BC48-A0D0-DF6C126E5EEE}" sibTransId="{BF3788D2-6547-5A48-A40F-C81D634AEA59}"/>
    <dgm:cxn modelId="{B568F5FA-9056-CB4C-8F0F-7C3A892BAF78}" type="presOf" srcId="{0D347524-7007-BE43-81AE-44B5DE652093}" destId="{28826DD3-E030-6044-B2F2-D85EF85F6960}" srcOrd="0" destOrd="1" presId="urn:microsoft.com/office/officeart/2005/8/layout/chevron2"/>
    <dgm:cxn modelId="{CF993AFB-F74F-B84A-917C-7B240867B7A8}" type="presOf" srcId="{7438286E-8350-184E-82B3-3AAEF5F4B429}" destId="{8BDAA81E-2E4E-9C4A-9A67-4855D9BA1510}" srcOrd="0" destOrd="2" presId="urn:microsoft.com/office/officeart/2005/8/layout/chevron2"/>
    <dgm:cxn modelId="{B20A57FC-9BE9-6643-9245-82D4FE99FA43}" type="presOf" srcId="{AB849386-BBEF-244B-A2A1-1BE27622D72F}" destId="{844AC346-AEB9-A649-8C9D-DBF2769C8FFC}" srcOrd="0" destOrd="0"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A5297991-76D0-EA4E-9014-424C4E70D3CC}" type="presParOf" srcId="{DDB27B24-50BA-ED48-8BE9-4C29E6B83259}" destId="{B4D05EFA-2710-E24E-95A8-E5ADA436F1BA}" srcOrd="0" destOrd="0" presId="urn:microsoft.com/office/officeart/2005/8/layout/chevron2"/>
    <dgm:cxn modelId="{3CB0D664-BD57-3C4F-8E13-2590581C2E59}" type="presParOf" srcId="{B4D05EFA-2710-E24E-95A8-E5ADA436F1BA}" destId="{B3EE9CE6-0ABB-F14B-8299-D4BFC2EC579D}" srcOrd="0" destOrd="0" presId="urn:microsoft.com/office/officeart/2005/8/layout/chevron2"/>
    <dgm:cxn modelId="{7B2352BC-5653-004A-A873-F13E172B8449}" type="presParOf" srcId="{B4D05EFA-2710-E24E-95A8-E5ADA436F1BA}" destId="{28826DD3-E030-6044-B2F2-D85EF85F6960}" srcOrd="1" destOrd="0" presId="urn:microsoft.com/office/officeart/2005/8/layout/chevron2"/>
    <dgm:cxn modelId="{1DD90AE3-B693-CD43-99E6-3657275D6370}" type="presParOf" srcId="{DDB27B24-50BA-ED48-8BE9-4C29E6B83259}" destId="{585C7840-A253-9640-BBF2-282E7F35583D}" srcOrd="1" destOrd="0" presId="urn:microsoft.com/office/officeart/2005/8/layout/chevron2"/>
    <dgm:cxn modelId="{158CBB58-5DF1-4E4F-962E-A942C90B15C5}" type="presParOf" srcId="{DDB27B24-50BA-ED48-8BE9-4C29E6B83259}" destId="{725C6BB0-2454-F04B-AEC7-CF75FCBB3A74}" srcOrd="2" destOrd="0" presId="urn:microsoft.com/office/officeart/2005/8/layout/chevron2"/>
    <dgm:cxn modelId="{A914D731-1A5A-9248-A3ED-0236C217B2C1}" type="presParOf" srcId="{725C6BB0-2454-F04B-AEC7-CF75FCBB3A74}" destId="{B422BFF3-8BFD-2144-8980-375702EA9496}" srcOrd="0" destOrd="0" presId="urn:microsoft.com/office/officeart/2005/8/layout/chevron2"/>
    <dgm:cxn modelId="{9DF13212-DF29-494B-A05C-B661E703CB68}" type="presParOf" srcId="{725C6BB0-2454-F04B-AEC7-CF75FCBB3A74}" destId="{8BDAA81E-2E4E-9C4A-9A67-4855D9BA1510}" srcOrd="1" destOrd="0" presId="urn:microsoft.com/office/officeart/2005/8/layout/chevron2"/>
    <dgm:cxn modelId="{CBF56889-3A38-444E-BD47-DC4BAB410DBE}" type="presParOf" srcId="{DDB27B24-50BA-ED48-8BE9-4C29E6B83259}" destId="{D756A8C3-50EB-084A-8277-DD5831B4E8C7}" srcOrd="3" destOrd="0" presId="urn:microsoft.com/office/officeart/2005/8/layout/chevron2"/>
    <dgm:cxn modelId="{18AE0E5E-32D6-D54B-AC9E-9EC3C9579CD3}" type="presParOf" srcId="{DDB27B24-50BA-ED48-8BE9-4C29E6B83259}" destId="{D669929D-DE6F-0D40-8D4A-1736805AD131}" srcOrd="4" destOrd="0" presId="urn:microsoft.com/office/officeart/2005/8/layout/chevron2"/>
    <dgm:cxn modelId="{3154F5C6-9B1D-CF48-A1B5-E608BEDCF1FB}" type="presParOf" srcId="{D669929D-DE6F-0D40-8D4A-1736805AD131}" destId="{A0202F08-BEC9-8F43-8711-F30ADE817D18}" srcOrd="0" destOrd="0" presId="urn:microsoft.com/office/officeart/2005/8/layout/chevron2"/>
    <dgm:cxn modelId="{6183CE4E-098D-4C4F-B9C3-E00280670A7F}" type="presParOf" srcId="{D669929D-DE6F-0D40-8D4A-1736805AD131}" destId="{06B263AD-CC10-0D49-8145-0C283F585CD5}" srcOrd="1" destOrd="0" presId="urn:microsoft.com/office/officeart/2005/8/layout/chevron2"/>
    <dgm:cxn modelId="{3F84BB84-1216-354F-8A87-2EC0ED87E2D6}" type="presParOf" srcId="{DDB27B24-50BA-ED48-8BE9-4C29E6B83259}" destId="{B5F0F139-C5B5-F942-A092-8BB086CFFEFA}" srcOrd="5" destOrd="0" presId="urn:microsoft.com/office/officeart/2005/8/layout/chevron2"/>
    <dgm:cxn modelId="{587B855C-C242-B143-9541-904506448F1C}" type="presParOf" srcId="{DDB27B24-50BA-ED48-8BE9-4C29E6B83259}" destId="{A6A53311-4EDF-944C-B7A8-A929BD874343}" srcOrd="6" destOrd="0" presId="urn:microsoft.com/office/officeart/2005/8/layout/chevron2"/>
    <dgm:cxn modelId="{E84F041E-2D39-2B47-92D8-B3E4F986CF6B}" type="presParOf" srcId="{A6A53311-4EDF-944C-B7A8-A929BD874343}" destId="{31EA3204-EDC1-4F43-84C9-41DE884256E5}" srcOrd="0" destOrd="0" presId="urn:microsoft.com/office/officeart/2005/8/layout/chevron2"/>
    <dgm:cxn modelId="{37E2FB32-83B5-994C-9238-60F38ECB315F}" type="presParOf" srcId="{A6A53311-4EDF-944C-B7A8-A929BD874343}" destId="{9D5418D3-F08D-8545-87B2-2FD7B1D1031E}" srcOrd="1" destOrd="0" presId="urn:microsoft.com/office/officeart/2005/8/layout/chevron2"/>
    <dgm:cxn modelId="{92E39A3B-E622-3C49-B3D2-33F68B0B8DA4}" type="presParOf" srcId="{DDB27B24-50BA-ED48-8BE9-4C29E6B83259}" destId="{BD082DD2-36A2-F841-B83C-3B9BAF4B2B5C}" srcOrd="7" destOrd="0" presId="urn:microsoft.com/office/officeart/2005/8/layout/chevron2"/>
    <dgm:cxn modelId="{6C9A8871-A04F-CD49-8953-9F51C6D5159E}" type="presParOf" srcId="{DDB27B24-50BA-ED48-8BE9-4C29E6B83259}" destId="{C371305F-B72D-3C44-BB22-E50B26871DA6}" srcOrd="8" destOrd="0" presId="urn:microsoft.com/office/officeart/2005/8/layout/chevron2"/>
    <dgm:cxn modelId="{557765F8-FC9C-8143-AF2D-5785E7AF262B}" type="presParOf" srcId="{C371305F-B72D-3C44-BB22-E50B26871DA6}" destId="{CCC28DE8-0568-7547-9A1F-3C6F0F33A2CF}" srcOrd="0" destOrd="0" presId="urn:microsoft.com/office/officeart/2005/8/layout/chevron2"/>
    <dgm:cxn modelId="{81FEA937-5F5E-1E41-B86D-C40ADEE0BDF7}" type="presParOf" srcId="{C371305F-B72D-3C44-BB22-E50B26871DA6}" destId="{F1EE7E3F-25DA-8041-85A7-EBBF11BC4C56}" srcOrd="1" destOrd="0" presId="urn:microsoft.com/office/officeart/2005/8/layout/chevron2"/>
    <dgm:cxn modelId="{2FBFC84C-EE6D-B04D-9719-B269078B936B}" type="presParOf" srcId="{DDB27B24-50BA-ED48-8BE9-4C29E6B83259}" destId="{2C8A0FE6-3CCD-674F-87D7-C945364C8330}" srcOrd="9" destOrd="0" presId="urn:microsoft.com/office/officeart/2005/8/layout/chevron2"/>
    <dgm:cxn modelId="{E61689ED-63CF-8144-9308-53A7E6E8603C}" type="presParOf" srcId="{DDB27B24-50BA-ED48-8BE9-4C29E6B83259}" destId="{C8A774E9-C669-9C42-8FD8-567A31043E1A}" srcOrd="10" destOrd="0" presId="urn:microsoft.com/office/officeart/2005/8/layout/chevron2"/>
    <dgm:cxn modelId="{DC5B99C6-19CE-CB40-AB21-EE395AED3590}" type="presParOf" srcId="{C8A774E9-C669-9C42-8FD8-567A31043E1A}" destId="{844AC346-AEB9-A649-8C9D-DBF2769C8FFC}" srcOrd="0" destOrd="0" presId="urn:microsoft.com/office/officeart/2005/8/layout/chevron2"/>
    <dgm:cxn modelId="{0458E0F5-BFBD-844B-AE0E-704F0DDAF0B2}" type="presParOf" srcId="{C8A774E9-C669-9C42-8FD8-567A31043E1A}" destId="{C80BEB0B-E1AB-4443-9F91-9D6894D7833E}" srcOrd="1" destOrd="0" presId="urn:microsoft.com/office/officeart/2005/8/layout/chevron2"/>
    <dgm:cxn modelId="{004282D3-6637-2741-8449-C168F3B954AB}" type="presParOf" srcId="{DDB27B24-50BA-ED48-8BE9-4C29E6B83259}" destId="{59BB4FCD-F10D-9947-BE1C-B71549A60A1E}" srcOrd="11" destOrd="0" presId="urn:microsoft.com/office/officeart/2005/8/layout/chevron2"/>
    <dgm:cxn modelId="{4CF408C8-9412-E041-A0D3-6F1A794EBE77}" type="presParOf" srcId="{DDB27B24-50BA-ED48-8BE9-4C29E6B83259}" destId="{9EA93BB1-069D-5E45-B7BF-50881B2F72E6}" srcOrd="12" destOrd="0" presId="urn:microsoft.com/office/officeart/2005/8/layout/chevron2"/>
    <dgm:cxn modelId="{99A0D71A-CA43-3047-83AF-6CA6CD2BD6EB}" type="presParOf" srcId="{9EA93BB1-069D-5E45-B7BF-50881B2F72E6}" destId="{B9872B13-1174-E847-A615-29577404DF21}" srcOrd="0" destOrd="0" presId="urn:microsoft.com/office/officeart/2005/8/layout/chevron2"/>
    <dgm:cxn modelId="{2492C747-6282-574E-A643-D142027D7A14}" type="presParOf" srcId="{9EA93BB1-069D-5E45-B7BF-50881B2F72E6}" destId="{DCD4A931-4F01-F440-965B-DC25AA6FE080}" srcOrd="1" destOrd="0" presId="urn:microsoft.com/office/officeart/2005/8/layout/chevron2"/>
    <dgm:cxn modelId="{97E061ED-6E40-D94E-8BBE-06994E6F76E3}" type="presParOf" srcId="{DDB27B24-50BA-ED48-8BE9-4C29E6B83259}" destId="{201CAB8F-4C7F-6E4E-9169-C9E7B5CBE404}" srcOrd="13" destOrd="0" presId="urn:microsoft.com/office/officeart/2005/8/layout/chevron2"/>
    <dgm:cxn modelId="{3C3390A7-6301-6B4F-80AD-C4359EECB3F6}" type="presParOf" srcId="{DDB27B24-50BA-ED48-8BE9-4C29E6B83259}" destId="{C3CA8E12-C4DE-0A4C-BE5C-696E5B48BDC2}" srcOrd="14" destOrd="0" presId="urn:microsoft.com/office/officeart/2005/8/layout/chevron2"/>
    <dgm:cxn modelId="{BDEE65D8-8031-064E-BA71-E46A462A98C8}" type="presParOf" srcId="{C3CA8E12-C4DE-0A4C-BE5C-696E5B48BDC2}" destId="{5EFF0404-E2F5-2846-AB66-A5D5B6AF7CA2}" srcOrd="0" destOrd="0" presId="urn:microsoft.com/office/officeart/2005/8/layout/chevron2"/>
    <dgm:cxn modelId="{39A3A2E7-C2E9-8A47-AD00-DC59EF4AB3B9}" type="presParOf" srcId="{C3CA8E12-C4DE-0A4C-BE5C-696E5B48BDC2}" destId="{8896D702-2D2C-EC42-81B9-BE92AB83E01A}" srcOrd="1" destOrd="0" presId="urn:microsoft.com/office/officeart/2005/8/layout/chevron2"/>
    <dgm:cxn modelId="{C7E8D31A-90E9-9C43-8BCC-E2CEBEE61BFF}" type="presParOf" srcId="{DDB27B24-50BA-ED48-8BE9-4C29E6B83259}" destId="{168F1172-AA8D-F241-B9FF-E863FED88FA2}" srcOrd="15" destOrd="0" presId="urn:microsoft.com/office/officeart/2005/8/layout/chevron2"/>
    <dgm:cxn modelId="{2D4B595F-E679-EA42-BFCD-4E2EFED615FA}" type="presParOf" srcId="{DDB27B24-50BA-ED48-8BE9-4C29E6B83259}" destId="{C588B7A2-4017-6643-93CD-7EB3E7875B06}" srcOrd="16" destOrd="0" presId="urn:microsoft.com/office/officeart/2005/8/layout/chevron2"/>
    <dgm:cxn modelId="{62BEBD99-309E-6E4F-BEB1-A52D0B9E5B74}" type="presParOf" srcId="{C588B7A2-4017-6643-93CD-7EB3E7875B06}" destId="{E86BF6A3-BA90-BB43-908F-24E76E7D1587}" srcOrd="0" destOrd="0" presId="urn:microsoft.com/office/officeart/2005/8/layout/chevron2"/>
    <dgm:cxn modelId="{446CCFCF-3BBE-E840-B6F8-2501FDE4D13B}" type="presParOf" srcId="{C588B7A2-4017-6643-93CD-7EB3E7875B06}" destId="{E2DE84BA-2462-A242-AC94-46E19F99F1BB}" srcOrd="1" destOrd="0" presId="urn:microsoft.com/office/officeart/2005/8/layout/chevron2"/>
    <dgm:cxn modelId="{1B75A390-88F7-A644-93A2-A0348285B533}" type="presParOf" srcId="{DDB27B24-50BA-ED48-8BE9-4C29E6B83259}" destId="{C2AB1E69-06F4-D043-944B-D85D9601ACA6}" srcOrd="17" destOrd="0" presId="urn:microsoft.com/office/officeart/2005/8/layout/chevron2"/>
    <dgm:cxn modelId="{F19D269C-6A27-A948-87F4-9CF34459CDCD}" type="presParOf" srcId="{DDB27B24-50BA-ED48-8BE9-4C29E6B83259}" destId="{51C6866E-9F56-9A45-ADF2-6F81F533274A}" srcOrd="18" destOrd="0" presId="urn:microsoft.com/office/officeart/2005/8/layout/chevron2"/>
    <dgm:cxn modelId="{09AD6EBD-640C-1241-81E0-549524A28B48}" type="presParOf" srcId="{51C6866E-9F56-9A45-ADF2-6F81F533274A}" destId="{B88D95AA-AFFF-224F-9EBE-1226F2119586}" srcOrd="0" destOrd="0" presId="urn:microsoft.com/office/officeart/2005/8/layout/chevron2"/>
    <dgm:cxn modelId="{4252624C-F131-BE49-8387-FF29F0089994}" type="presParOf" srcId="{51C6866E-9F56-9A45-ADF2-6F81F533274A}" destId="{BC4A5DFE-0373-0044-B473-93ADEF2A2324}" srcOrd="1" destOrd="0" presId="urn:microsoft.com/office/officeart/2005/8/layout/chevron2"/>
    <dgm:cxn modelId="{AA12091E-F5D1-C940-AADB-4C158A04D0F2}" type="presParOf" srcId="{DDB27B24-50BA-ED48-8BE9-4C29E6B83259}" destId="{01E3A2D8-2E7D-6941-B2B2-FA006E31EF08}" srcOrd="19" destOrd="0" presId="urn:microsoft.com/office/officeart/2005/8/layout/chevron2"/>
    <dgm:cxn modelId="{A525CBEB-FE79-EB49-9425-8C0E43047369}" type="presParOf" srcId="{DDB27B24-50BA-ED48-8BE9-4C29E6B83259}" destId="{37D2DAC8-74EC-BF4C-831D-920A9C40B9D5}" srcOrd="20" destOrd="0" presId="urn:microsoft.com/office/officeart/2005/8/layout/chevron2"/>
    <dgm:cxn modelId="{5C48AFC0-33F7-F340-AA86-8FCDC6E13160}" type="presParOf" srcId="{37D2DAC8-74EC-BF4C-831D-920A9C40B9D5}" destId="{ED0EEAAD-1F9F-C445-9ED5-D61D26A0F8D1}" srcOrd="0" destOrd="0" presId="urn:microsoft.com/office/officeart/2005/8/layout/chevron2"/>
    <dgm:cxn modelId="{2E51C64F-C9F6-6D42-87DF-8321FEAF20E9}" type="presParOf" srcId="{37D2DAC8-74EC-BF4C-831D-920A9C40B9D5}" destId="{C174B10A-41E6-244B-88CB-0D08E5FFF5F9}" srcOrd="1" destOrd="0" presId="urn:microsoft.com/office/officeart/2005/8/layout/chevron2"/>
    <dgm:cxn modelId="{CBF3B938-8B17-1D4A-8DB9-F4686F642250}" type="presParOf" srcId="{DDB27B24-50BA-ED48-8BE9-4C29E6B83259}" destId="{43FB22C6-B891-E44F-B0D7-B9F71AB372F1}" srcOrd="21" destOrd="0" presId="urn:microsoft.com/office/officeart/2005/8/layout/chevron2"/>
    <dgm:cxn modelId="{09F8F885-6600-0E4A-B82A-6D2D4E600E81}" type="presParOf" srcId="{DDB27B24-50BA-ED48-8BE9-4C29E6B83259}" destId="{73DF1BD6-49ED-134F-A291-CE4DB94547A9}" srcOrd="22" destOrd="0" presId="urn:microsoft.com/office/officeart/2005/8/layout/chevron2"/>
    <dgm:cxn modelId="{6882C00C-EA73-2B49-B2A7-424D42954713}" type="presParOf" srcId="{73DF1BD6-49ED-134F-A291-CE4DB94547A9}" destId="{6DDDE256-1CA3-1140-A939-5530FC1F57D3}" srcOrd="0" destOrd="0" presId="urn:microsoft.com/office/officeart/2005/8/layout/chevron2"/>
    <dgm:cxn modelId="{1009E61E-3007-CD4F-993F-D100F33190F6}" type="presParOf" srcId="{73DF1BD6-49ED-134F-A291-CE4DB94547A9}" destId="{999FDDA9-9F6A-1143-BE3C-B1E07CBE9945}" srcOrd="1" destOrd="0" presId="urn:microsoft.com/office/officeart/2005/8/layout/chevron2"/>
    <dgm:cxn modelId="{409D3AD7-A85A-EC4F-BCE0-2E071956994A}" type="presParOf" srcId="{DDB27B24-50BA-ED48-8BE9-4C29E6B83259}" destId="{A73ECDF3-49A4-0948-BD1F-387AF7BD3FC1}" srcOrd="23" destOrd="0" presId="urn:microsoft.com/office/officeart/2005/8/layout/chevron2"/>
    <dgm:cxn modelId="{F2B6A593-8B93-F34C-9A12-EF2FA409C11F}" type="presParOf" srcId="{DDB27B24-50BA-ED48-8BE9-4C29E6B83259}" destId="{F2D2A481-D011-064A-92C0-32CD4D676904}" srcOrd="24" destOrd="0" presId="urn:microsoft.com/office/officeart/2005/8/layout/chevron2"/>
    <dgm:cxn modelId="{C4E15219-9F39-104D-8A89-E29079337CAC}" type="presParOf" srcId="{F2D2A481-D011-064A-92C0-32CD4D676904}" destId="{48AF7672-2483-B34A-B763-89BD09AEBA58}" srcOrd="0" destOrd="0" presId="urn:microsoft.com/office/officeart/2005/8/layout/chevron2"/>
    <dgm:cxn modelId="{A04CB4C5-40C7-BA48-B620-F62E2A6D95D6}"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a:solidFill>
          <a:srgbClr val="800000"/>
        </a:solidFill>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custT="1"/>
      <dgm:spPr>
        <a:solidFill>
          <a:srgbClr val="800000">
            <a:alpha val="90000"/>
          </a:srgbClr>
        </a:solidFill>
      </dgm:spPr>
      <dgm:t>
        <a:bodyPr/>
        <a:lstStyle/>
        <a:p>
          <a:r>
            <a:rPr lang="en-US" sz="800">
              <a:solidFill>
                <a:srgbClr val="FFFFFF"/>
              </a:solidFill>
            </a:rPr>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custT="1"/>
      <dgm:spPr>
        <a:solidFill>
          <a:srgbClr val="800000">
            <a:alpha val="90000"/>
          </a:srgbClr>
        </a:solidFill>
      </dgm:spPr>
      <dgm:t>
        <a:bodyPr/>
        <a:lstStyle/>
        <a:p>
          <a:r>
            <a:rPr lang="en-US" sz="800">
              <a:solidFill>
                <a:srgbClr val="FFFFFF"/>
              </a:solidFill>
            </a:rPr>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custT="1"/>
      <dgm:spPr>
        <a:solidFill>
          <a:srgbClr val="800000">
            <a:alpha val="90000"/>
          </a:srgbClr>
        </a:solidFill>
      </dgm:spPr>
      <dgm:t>
        <a:bodyPr/>
        <a:lstStyle/>
        <a:p>
          <a:r>
            <a:rPr lang="en-US" sz="800">
              <a:solidFill>
                <a:srgbClr val="FFFFFF"/>
              </a:solidFill>
            </a:rPr>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custT="1"/>
      <dgm:spPr>
        <a:noFill/>
      </dgm:spPr>
      <dgm:t>
        <a:bodyPr/>
        <a:lstStyle/>
        <a:p>
          <a:r>
            <a:rPr lang="en-US" sz="500">
              <a:solidFill>
                <a:schemeClr val="tx1"/>
              </a:solidFill>
            </a:rPr>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2B12944C-CA24-A446-80C3-3828047F6C7C}">
      <dgm:prSet phldrT="[Text]"/>
      <dgm:spPr/>
      <dgm:t>
        <a:bodyPr/>
        <a:lstStyle/>
        <a:p>
          <a:r>
            <a:rPr lang="en-US"/>
            <a:t>Responsibility</a:t>
          </a:r>
        </a:p>
      </dgm:t>
    </dgm:pt>
    <dgm:pt modelId="{2AE66217-8588-D942-B030-1BCCBF36EE71}" type="parTrans" cxnId="{ED90FCCD-6F14-BB4B-AF1F-3174BB5987AA}">
      <dgm:prSet/>
      <dgm:spPr/>
      <dgm:t>
        <a:bodyPr/>
        <a:lstStyle/>
        <a:p>
          <a:endParaRPr lang="en-US"/>
        </a:p>
      </dgm:t>
    </dgm:pt>
    <dgm:pt modelId="{DA610EAA-9F07-FE42-902B-FECF8B37D01E}" type="sibTrans" cxnId="{ED90FCCD-6F14-BB4B-AF1F-3174BB5987AA}">
      <dgm:prSet/>
      <dgm:spPr/>
      <dgm:t>
        <a:bodyPr/>
        <a:lstStyle/>
        <a:p>
          <a:endParaRPr lang="en-US"/>
        </a:p>
      </dgm:t>
    </dgm:pt>
    <dgm:pt modelId="{B13E58BD-E7C7-354C-9CCF-95FB448FBCF1}">
      <dgm:prSet phldrT="[Text]"/>
      <dgm:spPr/>
      <dgm:t>
        <a:bodyPr/>
        <a:lstStyle/>
        <a:p>
          <a:r>
            <a:rPr lang="en-US"/>
            <a:t>Simulation for assessment</a:t>
          </a:r>
        </a:p>
      </dgm:t>
    </dgm:pt>
    <dgm:pt modelId="{9C168733-5A96-2E4B-AF66-2AFF49A04279}" type="parTrans" cxnId="{55580466-4685-034A-BBF2-1CD94CCFFD01}">
      <dgm:prSet/>
      <dgm:spPr/>
      <dgm:t>
        <a:bodyPr/>
        <a:lstStyle/>
        <a:p>
          <a:endParaRPr lang="en-US"/>
        </a:p>
      </dgm:t>
    </dgm:pt>
    <dgm:pt modelId="{81AF8466-5E9B-7D4B-BC0C-DA95D5D7F593}" type="sibTrans" cxnId="{55580466-4685-034A-BBF2-1CD94CCFFD01}">
      <dgm:prSet/>
      <dgm:spPr/>
      <dgm:t>
        <a:bodyPr/>
        <a:lstStyle/>
        <a:p>
          <a:endParaRPr lang="en-US"/>
        </a:p>
      </dgm:t>
    </dgm:pt>
    <dgm:pt modelId="{E2A6065A-6216-3941-A093-8AC6AE3675AA}">
      <dgm:prSet phldrT="[Text]" custT="1"/>
      <dgm:spPr>
        <a:solidFill>
          <a:schemeClr val="accent1">
            <a:alpha val="90000"/>
          </a:schemeClr>
        </a:solidFill>
      </dgm:spPr>
      <dgm:t>
        <a:bodyPr/>
        <a:lstStyle/>
        <a:p>
          <a:r>
            <a:rPr lang="en-US" sz="500">
              <a:solidFill>
                <a:srgbClr val="FFFFFF"/>
              </a:solidFill>
            </a:rPr>
            <a:t>8: Triangulation</a:t>
          </a:r>
        </a:p>
      </dgm:t>
    </dgm:pt>
    <dgm:pt modelId="{A795FC8A-C927-454D-A445-E05E2381AE02}" type="parTrans" cxnId="{8C74CF7D-E603-E647-BE3A-20ABD24EA63E}">
      <dgm:prSet/>
      <dgm:spPr/>
      <dgm:t>
        <a:bodyPr/>
        <a:lstStyle/>
        <a:p>
          <a:endParaRPr lang="en-US"/>
        </a:p>
      </dgm:t>
    </dgm:pt>
    <dgm:pt modelId="{3A78F50A-304B-6849-A1F5-0FA549A34A5B}" type="sibTrans" cxnId="{8C74CF7D-E603-E647-BE3A-20ABD24EA63E}">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37090651-8A55-014B-A963-1EE8A0BF442E}" type="pres">
      <dgm:prSet presAssocID="{E2A6065A-6216-3941-A093-8AC6AE3675AA}" presName="composite" presStyleCnt="0"/>
      <dgm:spPr/>
    </dgm:pt>
    <dgm:pt modelId="{FBC92F2D-7F37-C24B-BFEF-CC15867C46D4}" type="pres">
      <dgm:prSet presAssocID="{E2A6065A-6216-3941-A093-8AC6AE3675AA}" presName="parentText" presStyleLbl="alignNode1" presStyleIdx="7" presStyleCnt="13">
        <dgm:presLayoutVars>
          <dgm:chMax val="1"/>
          <dgm:bulletEnabled val="1"/>
        </dgm:presLayoutVars>
      </dgm:prSet>
      <dgm:spPr/>
    </dgm:pt>
    <dgm:pt modelId="{E9487058-CF28-FD44-B9C2-31F73470FB7B}" type="pres">
      <dgm:prSet presAssocID="{E2A6065A-6216-3941-A093-8AC6AE3675AA}" presName="descendantText" presStyleLbl="alignAcc1" presStyleIdx="7" presStyleCnt="13">
        <dgm:presLayoutVars>
          <dgm:bulletEnabled val="1"/>
        </dgm:presLayoutVars>
      </dgm:prSet>
      <dgm:spPr/>
    </dgm:pt>
    <dgm:pt modelId="{5CDA2E69-01D1-E24F-BBCD-D61A38EBA365}" type="pres">
      <dgm:prSet presAssocID="{3A78F50A-304B-6849-A1F5-0FA549A34A5B}"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93540F01-D4BA-F940-8726-D293EB3CD138}" type="presOf" srcId="{82A06431-B147-914D-A7EE-B91B75443203}" destId="{31EA3204-EDC1-4F43-84C9-41DE884256E5}" srcOrd="0" destOrd="0" presId="urn:microsoft.com/office/officeart/2005/8/layout/chevron2"/>
    <dgm:cxn modelId="{B16DE706-CFB0-DC4F-A6A9-926123AACD23}" type="presOf" srcId="{2D2AF18A-8B4F-6F43-ABC1-76E3735A0A2A}" destId="{BC4A5DFE-0373-0044-B473-93ADEF2A2324}" srcOrd="0" destOrd="0" presId="urn:microsoft.com/office/officeart/2005/8/layout/chevron2"/>
    <dgm:cxn modelId="{AE28D209-9BDE-CD4E-B43C-1B0DE39E73BB}" type="presOf" srcId="{6AEE21D3-4CB1-7443-AC17-5D71D849EEF3}" destId="{28826DD3-E030-6044-B2F2-D85EF85F6960}" srcOrd="0" destOrd="0"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C6DD7F12-5BD0-C746-9ECC-E72DF4F70D13}" type="presOf" srcId="{32BD5717-A9E6-DD44-A13C-12122D41F212}" destId="{DDB27B24-50BA-ED48-8BE9-4C29E6B83259}" srcOrd="0" destOrd="0" presId="urn:microsoft.com/office/officeart/2005/8/layout/chevron2"/>
    <dgm:cxn modelId="{9737A014-77AA-2343-9EF8-1AB62E400960}" srcId="{E2A6065A-6216-3941-A093-8AC6AE3675AA}" destId="{0B5EEED9-AADF-5646-A4EE-16C7E3C5048F}" srcOrd="0" destOrd="0" parTransId="{5F63AFFB-8796-8145-8196-16BA65A8913E}" sibTransId="{6369732A-4608-D04B-9932-9F2E14769A9F}"/>
    <dgm:cxn modelId="{425A741B-9872-3A46-B4DA-D764BFE4CD8B}" srcId="{32BD5717-A9E6-DD44-A13C-12122D41F212}" destId="{182D19B6-9968-F54C-9803-98CF32A9110D}" srcOrd="8" destOrd="0" parTransId="{19120E65-5B26-BC4A-9EFF-5512A25AEB14}" sibTransId="{259ED567-5FE2-2F45-B806-60F8702E00F5}"/>
    <dgm:cxn modelId="{4413B41C-D311-7141-8D63-4DD3A861A9E8}" type="presOf" srcId="{318E09D1-A59D-2E4B-A3CC-C2FF16965C43}" destId="{E2DE84BA-2462-A242-AC94-46E19F99F1BB}" srcOrd="0" destOrd="1"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582BB129-F050-654D-A1D1-451C9DCA4FBA}" type="presOf" srcId="{182D19B6-9968-F54C-9803-98CF32A9110D}" destId="{E86BF6A3-BA90-BB43-908F-24E76E7D1587}" srcOrd="0" destOrd="0"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53D8E830-A664-9A42-BD2B-C582A14648BF}" type="presOf" srcId="{4E401C2C-4000-C040-828A-EB0D5B3F70BC}" destId="{8BDAA81E-2E4E-9C4A-9A67-4855D9BA1510}" srcOrd="0" destOrd="1"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A05BA134-5B86-7F49-896C-5055B4BBE63C}" type="presOf" srcId="{3528BF8B-944A-1B4D-ADBB-12D941C8C388}" destId="{E2DE84BA-2462-A242-AC94-46E19F99F1BB}" srcOrd="0" destOrd="0" presId="urn:microsoft.com/office/officeart/2005/8/layout/chevron2"/>
    <dgm:cxn modelId="{AC9D8B35-3E35-964E-B49F-8C40FB3AF24D}" srcId="{182D19B6-9968-F54C-9803-98CF32A9110D}" destId="{E8835EC0-86EE-3540-9564-983F3D69B9B0}" srcOrd="4" destOrd="0" parTransId="{3507EF78-030C-2546-8CBB-075D7261FCDE}" sibTransId="{7BBE6FC9-195F-5E44-BEAA-03BE4D719D22}"/>
    <dgm:cxn modelId="{00F87B37-271F-1C4C-8206-F2B79FDC3FDA}" type="presOf" srcId="{817AAD11-541C-8040-B8E6-60D63F44FF6E}" destId="{DCD4A931-4F01-F440-965B-DC25AA6FE080}" srcOrd="0" destOrd="1" presId="urn:microsoft.com/office/officeart/2005/8/layout/chevron2"/>
    <dgm:cxn modelId="{C67DC537-D4CA-2944-8330-96C6C74E0394}" srcId="{32BD5717-A9E6-DD44-A13C-12122D41F212}" destId="{34B9CBCA-90AD-D946-B26E-3A6E60BB731E}" srcOrd="6" destOrd="0" parTransId="{9332FC5B-2DEC-D146-AE72-41CD6249A702}" sibTransId="{1031D2A7-8DEF-E945-AA90-68FD6C34AE22}"/>
    <dgm:cxn modelId="{74B62F3A-197E-F74E-9326-6A3073A8DBFB}" type="presOf" srcId="{718C1A72-EF39-DD4E-BFDE-F45DD7D520FB}" destId="{B3EE9CE6-0ABB-F14B-8299-D4BFC2EC579D}" srcOrd="0" destOrd="0"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4AD6A45C-0D05-4E45-BCA5-560BB7761B10}" type="presOf" srcId="{332543FB-BB1C-DE43-B140-C2BB789BBCB2}" destId="{B422BFF3-8BFD-2144-8980-375702EA9496}" srcOrd="0" destOrd="0" presId="urn:microsoft.com/office/officeart/2005/8/layout/chevron2"/>
    <dgm:cxn modelId="{E5296F5F-721C-AC41-8985-41CB0742B1E1}" type="presOf" srcId="{E2A6065A-6216-3941-A093-8AC6AE3675AA}" destId="{FBC92F2D-7F37-C24B-BFEF-CC15867C46D4}" srcOrd="0" destOrd="0" presId="urn:microsoft.com/office/officeart/2005/8/layout/chevron2"/>
    <dgm:cxn modelId="{A4EF2B43-7157-0B45-9A3F-8E32D3E4E90C}" type="presOf" srcId="{0B5EEED9-AADF-5646-A4EE-16C7E3C5048F}" destId="{E9487058-CF28-FD44-B9C2-31F73470FB7B}" srcOrd="0" destOrd="0" presId="urn:microsoft.com/office/officeart/2005/8/layout/chevron2"/>
    <dgm:cxn modelId="{FAC7BB64-444E-B749-A2FF-4DDD81B0645D}" type="presOf" srcId="{14C4AACB-BBED-FD43-880C-31C843F0061A}" destId="{F1EE7E3F-25DA-8041-85A7-EBBF11BC4C56}" srcOrd="0" destOrd="1" presId="urn:microsoft.com/office/officeart/2005/8/layout/chevron2"/>
    <dgm:cxn modelId="{AAB3D845-4B59-C647-AB90-9DD59779F236}" type="presOf" srcId="{A177B3ED-63C5-3348-B066-3691D8643EDE}" destId="{F1EE7E3F-25DA-8041-85A7-EBBF11BC4C56}" srcOrd="0" destOrd="0" presId="urn:microsoft.com/office/officeart/2005/8/layout/chevron2"/>
    <dgm:cxn modelId="{55580466-4685-034A-BBF2-1CD94CCFFD01}" srcId="{5EFAD456-F8B8-C147-9A38-D366892E8D90}" destId="{B13E58BD-E7C7-354C-9CCF-95FB448FBCF1}" srcOrd="2" destOrd="0" parTransId="{9C168733-5A96-2E4B-AF66-2AFF49A04279}" sibTransId="{81AF8466-5E9B-7D4B-BC0C-DA95D5D7F593}"/>
    <dgm:cxn modelId="{0C788B66-6DAF-D041-9FC2-1B47053667BF}" type="presOf" srcId="{B13E58BD-E7C7-354C-9CCF-95FB448FBCF1}" destId="{C174B10A-41E6-244B-88CB-0D08E5FFF5F9}" srcOrd="0" destOrd="2" presId="urn:microsoft.com/office/officeart/2005/8/layout/chevron2"/>
    <dgm:cxn modelId="{4C701648-22C8-714D-8947-DC1858031D02}" type="presOf" srcId="{8A942072-3D9B-2043-8B2E-11E707170D7E}" destId="{A0202F08-BEC9-8F43-8711-F30ADE817D18}" srcOrd="0" destOrd="0"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97695A6B-E0D3-774D-8DFC-70070D23EB0D}" type="presOf" srcId="{0D347524-7007-BE43-81AE-44B5DE652093}" destId="{28826DD3-E030-6044-B2F2-D85EF85F6960}" srcOrd="0" destOrd="1" presId="urn:microsoft.com/office/officeart/2005/8/layout/chevron2"/>
    <dgm:cxn modelId="{8E062E4D-AA93-CB44-A0AC-F749EB20F43A}" srcId="{32BD5717-A9E6-DD44-A13C-12122D41F212}" destId="{82A06431-B147-914D-A7EE-B91B75443203}" srcOrd="3" destOrd="0" parTransId="{13C96808-67BD-174F-B855-16ACA3400941}" sibTransId="{2927117D-194C-1341-932F-5623EB513890}"/>
    <dgm:cxn modelId="{AC46136F-F291-304F-909A-D5A597EAAC90}" type="presOf" srcId="{2B12944C-CA24-A446-80C3-3828047F6C7C}" destId="{C174B10A-41E6-244B-88CB-0D08E5FFF5F9}" srcOrd="0" destOrd="1"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EBCA7454-0A4D-574C-AF9E-ACF2192F6A69}" srcId="{34B9CBCA-90AD-D946-B26E-3A6E60BB731E}" destId="{EEF349EC-A16C-6E4F-8464-6BD71940F70C}" srcOrd="2" destOrd="0" parTransId="{4EF4EBD5-8084-7D4A-BB5E-4EF2C5C94F99}" sibTransId="{A325D897-3CF3-2444-BCE0-FB27A2B93D02}"/>
    <dgm:cxn modelId="{7CCA3577-052A-E54E-8A65-B79C9D3D7282}" srcId="{32BD5717-A9E6-DD44-A13C-12122D41F212}" destId="{5EFAD456-F8B8-C147-9A38-D366892E8D90}" srcOrd="10" destOrd="0" parTransId="{AEC4A29C-080E-714E-8C55-A165817C6F84}" sibTransId="{69AAF0EB-9438-D048-8CCB-3ADC0E6ED07B}"/>
    <dgm:cxn modelId="{E0E35357-8841-DD46-8DD1-9810D15797C9}" type="presOf" srcId="{93105CB4-0286-ED4F-915C-092EF42A9691}" destId="{CCC28DE8-0568-7547-9A1F-3C6F0F33A2CF}" srcOrd="0" destOrd="0" presId="urn:microsoft.com/office/officeart/2005/8/layout/chevron2"/>
    <dgm:cxn modelId="{941CFF7A-D638-8A4B-8278-95DAB8637AEE}" srcId="{32BD5717-A9E6-DD44-A13C-12122D41F212}" destId="{8A942072-3D9B-2043-8B2E-11E707170D7E}" srcOrd="2"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8BAC557D-767B-784C-9AE1-B82D8DF9E1FC}" type="presOf" srcId="{BE8AC978-0FAD-5E4D-B281-1B7DC61EC809}" destId="{C80BEB0B-E1AB-4443-9F91-9D6894D7833E}" srcOrd="0" destOrd="1" presId="urn:microsoft.com/office/officeart/2005/8/layout/chevron2"/>
    <dgm:cxn modelId="{8C74CF7D-E603-E647-BE3A-20ABD24EA63E}" srcId="{32BD5717-A9E6-DD44-A13C-12122D41F212}" destId="{E2A6065A-6216-3941-A093-8AC6AE3675AA}" srcOrd="7" destOrd="0" parTransId="{A795FC8A-C927-454D-A445-E05E2381AE02}" sibTransId="{3A78F50A-304B-6849-A1F5-0FA549A34A5B}"/>
    <dgm:cxn modelId="{C2637380-4378-9541-964A-D6E21D69FAFC}" srcId="{34B9CBCA-90AD-D946-B26E-3A6E60BB731E}" destId="{817AAD11-541C-8040-B8E6-60D63F44FF6E}" srcOrd="1" destOrd="0" parTransId="{820D5C7D-3565-B841-B802-D79FD186F3F0}" sibTransId="{DBDC58F4-53C2-3143-8B2E-16E385E444FB}"/>
    <dgm:cxn modelId="{E2735F82-AA45-E947-B37D-BAE6EF1CECBA}" type="presOf" srcId="{34B9CBCA-90AD-D946-B26E-3A6E60BB731E}" destId="{B9872B13-1174-E847-A615-29577404DF21}" srcOrd="0" destOrd="0" presId="urn:microsoft.com/office/officeart/2005/8/layout/chevron2"/>
    <dgm:cxn modelId="{795E7E84-9A9D-BC4A-BFFA-ACA2116DF3DB}" type="presOf" srcId="{65337D44-9B2C-044E-AEF9-F665764413CE}" destId="{9D5418D3-F08D-8545-87B2-2FD7B1D1031E}" srcOrd="0" destOrd="0" presId="urn:microsoft.com/office/officeart/2005/8/layout/chevron2"/>
    <dgm:cxn modelId="{C5328D88-760C-4D46-B60C-4CC36B156804}" type="presOf" srcId="{0D5E0837-38B9-E148-BB11-F780782A29CB}" destId="{9D5418D3-F08D-8545-87B2-2FD7B1D1031E}" srcOrd="0" destOrd="2"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32087A95-5FD0-0240-B5FB-BDFBDBCBBA4B}" type="presOf" srcId="{7438286E-8350-184E-82B3-3AAEF5F4B429}" destId="{8BDAA81E-2E4E-9C4A-9A67-4855D9BA1510}" srcOrd="0" destOrd="2" presId="urn:microsoft.com/office/officeart/2005/8/layout/chevron2"/>
    <dgm:cxn modelId="{1A555496-CB90-4742-91CA-A24ACBCA22AC}" type="presOf" srcId="{E8835EC0-86EE-3540-9564-983F3D69B9B0}" destId="{E2DE84BA-2462-A242-AC94-46E19F99F1BB}" srcOrd="0" destOrd="4" presId="urn:microsoft.com/office/officeart/2005/8/layout/chevron2"/>
    <dgm:cxn modelId="{06495397-CAFB-8346-B6DD-C62B8755406E}" srcId="{93105CB4-0286-ED4F-915C-092EF42A9691}" destId="{14C4AACB-BBED-FD43-880C-31C843F0061A}" srcOrd="1" destOrd="0" parTransId="{DFED4DE2-2306-C34E-907E-763B913F06DC}" sibTransId="{8C3CD2B7-B9B1-6B48-BD9C-4F4D55283F81}"/>
    <dgm:cxn modelId="{DDC8369E-0B36-734A-8F2F-A86600B20AEB}" type="presOf" srcId="{D4381A80-7F1D-9D4D-8093-B3E6A2F1CFCA}" destId="{9D5418D3-F08D-8545-87B2-2FD7B1D1031E}" srcOrd="0" destOrd="1" presId="urn:microsoft.com/office/officeart/2005/8/layout/chevron2"/>
    <dgm:cxn modelId="{119E3C9F-CD8D-B44B-85E8-0C519D72EB18}" type="presOf" srcId="{387817B1-B48E-804E-9741-307C0F8B2DA9}" destId="{BC4A5DFE-0373-0044-B473-93ADEF2A2324}" srcOrd="0" destOrd="1" presId="urn:microsoft.com/office/officeart/2005/8/layout/chevron2"/>
    <dgm:cxn modelId="{353036A1-184A-9347-BA09-EFCE1399077B}" type="presOf" srcId="{2725BEFC-24C3-E145-86F8-460B0C16124D}" destId="{8BDAA81E-2E4E-9C4A-9A67-4855D9BA1510}" srcOrd="0" destOrd="0" presId="urn:microsoft.com/office/officeart/2005/8/layout/chevron2"/>
    <dgm:cxn modelId="{C2A5ACA1-F1A9-1347-BEAB-34809B48CF85}" srcId="{32BD5717-A9E6-DD44-A13C-12122D41F212}" destId="{46C87E74-5E28-8C46-86B1-98C82A55CBAE}" srcOrd="11" destOrd="0" parTransId="{2A9B7400-96EA-AD40-9D11-2744CE1FE9E5}" sibTransId="{04801474-7BFD-AC4B-9CCF-28521DEC6DB6}"/>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4" destOrd="0" parTransId="{A4EA5788-EDE5-E443-B24A-EA951734FC41}" sibTransId="{72453AAB-5C0D-2D49-B812-AF99508E8E00}"/>
    <dgm:cxn modelId="{E4A628AE-9E7B-2B46-9BC1-8FF43B2EB65C}" type="presOf" srcId="{125C0A60-1A53-5F41-A8F9-BD71D1144F62}" destId="{C80BEB0B-E1AB-4443-9F91-9D6894D7833E}" srcOrd="0" destOrd="0" presId="urn:microsoft.com/office/officeart/2005/8/layout/chevron2"/>
    <dgm:cxn modelId="{854BF1AF-8C79-9748-BF50-32678CE015E1}" type="presOf" srcId="{555C02C0-6BC9-D540-8A82-3666CC61D37F}" destId="{DCD4A931-4F01-F440-965B-DC25AA6FE080}" srcOrd="0" destOrd="0" presId="urn:microsoft.com/office/officeart/2005/8/layout/chevron2"/>
    <dgm:cxn modelId="{481575B4-B99E-9948-B457-5F43664AFB5C}" type="presOf" srcId="{A8C6C2DC-42DC-4841-8B38-6F4C4E8905E8}" destId="{B88D95AA-AFFF-224F-9EBE-1226F2119586}" srcOrd="0" destOrd="0" presId="urn:microsoft.com/office/officeart/2005/8/layout/chevron2"/>
    <dgm:cxn modelId="{54E40DB9-C7BF-FC49-9F7F-520E4CE6CD6A}" type="presOf" srcId="{EE4687FF-DC98-3D4A-8B1D-75DD628798CF}" destId="{BC4A5DFE-0373-0044-B473-93ADEF2A2324}" srcOrd="0" destOrd="2" presId="urn:microsoft.com/office/officeart/2005/8/layout/chevron2"/>
    <dgm:cxn modelId="{C6B02ABB-D7BE-FF40-AB74-23FB4E1ABBFC}" type="presOf" srcId="{B81682CE-3DAA-7547-977E-5CA5485D7B79}" destId="{E2DE84BA-2462-A242-AC94-46E19F99F1BB}" srcOrd="0" destOrd="3"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CE6B07C5-CE35-F746-8610-E9BB3372F10B}" type="presOf" srcId="{EEF349EC-A16C-6E4F-8464-6BD71940F70C}" destId="{DCD4A931-4F01-F440-965B-DC25AA6FE080}" srcOrd="0" destOrd="2" presId="urn:microsoft.com/office/officeart/2005/8/layout/chevron2"/>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529987C7-D487-C445-A1F8-1F2CE206E8A1}" type="presOf" srcId="{3F3526C7-6ED1-AA46-BF20-1B9948A084E5}" destId="{06B263AD-CC10-0D49-8145-0C283F585CD5}" srcOrd="0" destOrd="2" presId="urn:microsoft.com/office/officeart/2005/8/layout/chevron2"/>
    <dgm:cxn modelId="{112195C9-7F99-A847-ACB4-07CE10239581}" type="presOf" srcId="{CF8D6B60-3FEF-0048-B019-B0883DEB78C2}" destId="{06B263AD-CC10-0D49-8145-0C283F585CD5}" srcOrd="0" destOrd="1" presId="urn:microsoft.com/office/officeart/2005/8/layout/chevron2"/>
    <dgm:cxn modelId="{770030CD-CA95-024E-B3AB-DFBF2891D89F}" type="presOf" srcId="{61A2BB49-4883-F544-A634-4207B0324D62}" destId="{06B263AD-CC10-0D49-8145-0C283F585CD5}" srcOrd="0" destOrd="0" presId="urn:microsoft.com/office/officeart/2005/8/layout/chevron2"/>
    <dgm:cxn modelId="{ED90FCCD-6F14-BB4B-AF1F-3174BB5987AA}" srcId="{5EFAD456-F8B8-C147-9A38-D366892E8D90}" destId="{2B12944C-CA24-A446-80C3-3828047F6C7C}" srcOrd="1" destOrd="0" parTransId="{2AE66217-8588-D942-B030-1BCCBF36EE71}" sibTransId="{DA610EAA-9F07-FE42-902B-FECF8B37D01E}"/>
    <dgm:cxn modelId="{E91AD8CE-03BD-F246-9134-82895F489B6D}" type="presOf" srcId="{1EC7AB78-D724-324B-BD90-FC58EF6E0357}" destId="{48AF7672-2483-B34A-B763-89BD09AEBA58}" srcOrd="0" destOrd="0" presId="urn:microsoft.com/office/officeart/2005/8/layout/chevron2"/>
    <dgm:cxn modelId="{E2F329CF-5D02-3241-B348-50CB30650C25}" srcId="{182D19B6-9968-F54C-9803-98CF32A9110D}" destId="{318E09D1-A59D-2E4B-A3CC-C2FF16965C43}" srcOrd="1" destOrd="0" parTransId="{692F5075-8AA7-1545-9821-5B796547FE98}" sibTransId="{C3BC74F0-F4E6-BD4C-8197-893C2058CDAE}"/>
    <dgm:cxn modelId="{FB0773D8-7244-DE4B-A40D-BB60A07CC6AD}" type="presOf" srcId="{18ABC2A5-DCE7-414C-AE08-6EAE4EA2FE6D}" destId="{E2DE84BA-2462-A242-AC94-46E19F99F1BB}" srcOrd="0" destOrd="2" presId="urn:microsoft.com/office/officeart/2005/8/layout/chevron2"/>
    <dgm:cxn modelId="{22A771DE-99C4-D342-A17B-B9B87240F6B9}" type="presOf" srcId="{5EFAD456-F8B8-C147-9A38-D366892E8D90}" destId="{ED0EEAAD-1F9F-C445-9ED5-D61D26A0F8D1}" srcOrd="0" destOrd="0"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4EDB36F2-7415-C240-ACB0-5373C67912E9}" srcId="{5EFAD456-F8B8-C147-9A38-D366892E8D90}" destId="{E6055D9E-1DDE-A243-A8F6-5CDF160A3724}" srcOrd="0" destOrd="0" parTransId="{0B1DC3A5-5264-CD49-8D31-3B1A5E86C1C7}" sibTransId="{6C856E09-93CE-D348-B575-16FE79947A8D}"/>
    <dgm:cxn modelId="{7C948FF2-14CE-FD47-AC55-4288617EBB3B}" type="presOf" srcId="{AB849386-BBEF-244B-A2A1-1BE27622D72F}" destId="{844AC346-AEB9-A649-8C9D-DBF2769C8FFC}" srcOrd="0" destOrd="0" presId="urn:microsoft.com/office/officeart/2005/8/layout/chevron2"/>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998E4FF7-95D8-174B-B1FD-647834E19D84}" type="presOf" srcId="{C458704A-A6F3-A24F-B50F-7B434CD11794}" destId="{28826DD3-E030-6044-B2F2-D85EF85F6960}" srcOrd="0" destOrd="2" presId="urn:microsoft.com/office/officeart/2005/8/layout/chevron2"/>
    <dgm:cxn modelId="{A3D7ACF7-2BA2-4F49-A0E0-7346B1E54F6B}" srcId="{82A06431-B147-914D-A7EE-B91B75443203}" destId="{0D5E0837-38B9-E148-BB11-F780782A29CB}" srcOrd="2" destOrd="0" parTransId="{22B50FC3-BF2E-BC48-A0D0-DF6C126E5EEE}" sibTransId="{BF3788D2-6547-5A48-A40F-C81D634AEA59}"/>
    <dgm:cxn modelId="{8D87BCF9-E4CE-8B4B-A665-AE7600719DC5}" type="presOf" srcId="{E6055D9E-1DDE-A243-A8F6-5CDF160A3724}" destId="{C174B10A-41E6-244B-88CB-0D08E5FFF5F9}" srcOrd="0" destOrd="0" presId="urn:microsoft.com/office/officeart/2005/8/layout/chevron2"/>
    <dgm:cxn modelId="{9A9ECFFC-CB0B-2A46-A226-80A506CAF8C3}" type="presOf" srcId="{46C87E74-5E28-8C46-86B1-98C82A55CBAE}" destId="{6DDDE256-1CA3-1140-A939-5530FC1F57D3}" srcOrd="0" destOrd="0"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9A91AC49-E51F-1843-B82F-19AE047FA213}" type="presParOf" srcId="{DDB27B24-50BA-ED48-8BE9-4C29E6B83259}" destId="{B4D05EFA-2710-E24E-95A8-E5ADA436F1BA}" srcOrd="0" destOrd="0" presId="urn:microsoft.com/office/officeart/2005/8/layout/chevron2"/>
    <dgm:cxn modelId="{4BD78751-C45A-E842-B8BE-D6867A3A2933}" type="presParOf" srcId="{B4D05EFA-2710-E24E-95A8-E5ADA436F1BA}" destId="{B3EE9CE6-0ABB-F14B-8299-D4BFC2EC579D}" srcOrd="0" destOrd="0" presId="urn:microsoft.com/office/officeart/2005/8/layout/chevron2"/>
    <dgm:cxn modelId="{2D38ED77-F41A-414A-B40C-1129C16D66E7}" type="presParOf" srcId="{B4D05EFA-2710-E24E-95A8-E5ADA436F1BA}" destId="{28826DD3-E030-6044-B2F2-D85EF85F6960}" srcOrd="1" destOrd="0" presId="urn:microsoft.com/office/officeart/2005/8/layout/chevron2"/>
    <dgm:cxn modelId="{460B778A-C870-DD45-B040-3E825277B0A6}" type="presParOf" srcId="{DDB27B24-50BA-ED48-8BE9-4C29E6B83259}" destId="{585C7840-A253-9640-BBF2-282E7F35583D}" srcOrd="1" destOrd="0" presId="urn:microsoft.com/office/officeart/2005/8/layout/chevron2"/>
    <dgm:cxn modelId="{7B6C7127-19B6-8C4E-BC10-96EB1DAF6B1A}" type="presParOf" srcId="{DDB27B24-50BA-ED48-8BE9-4C29E6B83259}" destId="{725C6BB0-2454-F04B-AEC7-CF75FCBB3A74}" srcOrd="2" destOrd="0" presId="urn:microsoft.com/office/officeart/2005/8/layout/chevron2"/>
    <dgm:cxn modelId="{58A703A7-C992-A749-ABF7-0C1E93DCC124}" type="presParOf" srcId="{725C6BB0-2454-F04B-AEC7-CF75FCBB3A74}" destId="{B422BFF3-8BFD-2144-8980-375702EA9496}" srcOrd="0" destOrd="0" presId="urn:microsoft.com/office/officeart/2005/8/layout/chevron2"/>
    <dgm:cxn modelId="{0DD2F41E-2382-A949-9CB5-33DA707B45C0}" type="presParOf" srcId="{725C6BB0-2454-F04B-AEC7-CF75FCBB3A74}" destId="{8BDAA81E-2E4E-9C4A-9A67-4855D9BA1510}" srcOrd="1" destOrd="0" presId="urn:microsoft.com/office/officeart/2005/8/layout/chevron2"/>
    <dgm:cxn modelId="{9F09EFB1-970F-D14E-912A-D62AEF2E05AE}" type="presParOf" srcId="{DDB27B24-50BA-ED48-8BE9-4C29E6B83259}" destId="{D756A8C3-50EB-084A-8277-DD5831B4E8C7}" srcOrd="3" destOrd="0" presId="urn:microsoft.com/office/officeart/2005/8/layout/chevron2"/>
    <dgm:cxn modelId="{05D2C226-91CF-E94D-9171-C46CDFE9DDF5}" type="presParOf" srcId="{DDB27B24-50BA-ED48-8BE9-4C29E6B83259}" destId="{D669929D-DE6F-0D40-8D4A-1736805AD131}" srcOrd="4" destOrd="0" presId="urn:microsoft.com/office/officeart/2005/8/layout/chevron2"/>
    <dgm:cxn modelId="{7939ECD9-0DE2-B04A-A1A9-250684AAC078}" type="presParOf" srcId="{D669929D-DE6F-0D40-8D4A-1736805AD131}" destId="{A0202F08-BEC9-8F43-8711-F30ADE817D18}" srcOrd="0" destOrd="0" presId="urn:microsoft.com/office/officeart/2005/8/layout/chevron2"/>
    <dgm:cxn modelId="{6A753080-F1D2-4647-B7CE-E76DD8DB3905}" type="presParOf" srcId="{D669929D-DE6F-0D40-8D4A-1736805AD131}" destId="{06B263AD-CC10-0D49-8145-0C283F585CD5}" srcOrd="1" destOrd="0" presId="urn:microsoft.com/office/officeart/2005/8/layout/chevron2"/>
    <dgm:cxn modelId="{625C8E99-D87A-E44F-B0EA-BAAE29EE1861}" type="presParOf" srcId="{DDB27B24-50BA-ED48-8BE9-4C29E6B83259}" destId="{B5F0F139-C5B5-F942-A092-8BB086CFFEFA}" srcOrd="5" destOrd="0" presId="urn:microsoft.com/office/officeart/2005/8/layout/chevron2"/>
    <dgm:cxn modelId="{73138F5A-9C57-1043-BCDB-28F6671527CB}" type="presParOf" srcId="{DDB27B24-50BA-ED48-8BE9-4C29E6B83259}" destId="{A6A53311-4EDF-944C-B7A8-A929BD874343}" srcOrd="6" destOrd="0" presId="urn:microsoft.com/office/officeart/2005/8/layout/chevron2"/>
    <dgm:cxn modelId="{9F51AE89-AC38-714D-8405-F783BE116E30}" type="presParOf" srcId="{A6A53311-4EDF-944C-B7A8-A929BD874343}" destId="{31EA3204-EDC1-4F43-84C9-41DE884256E5}" srcOrd="0" destOrd="0" presId="urn:microsoft.com/office/officeart/2005/8/layout/chevron2"/>
    <dgm:cxn modelId="{783E20C5-6628-A242-BA78-4A4BED4136D1}" type="presParOf" srcId="{A6A53311-4EDF-944C-B7A8-A929BD874343}" destId="{9D5418D3-F08D-8545-87B2-2FD7B1D1031E}" srcOrd="1" destOrd="0" presId="urn:microsoft.com/office/officeart/2005/8/layout/chevron2"/>
    <dgm:cxn modelId="{18680522-6F0F-D547-AFF7-27D6E3C54286}" type="presParOf" srcId="{DDB27B24-50BA-ED48-8BE9-4C29E6B83259}" destId="{BD082DD2-36A2-F841-B83C-3B9BAF4B2B5C}" srcOrd="7" destOrd="0" presId="urn:microsoft.com/office/officeart/2005/8/layout/chevron2"/>
    <dgm:cxn modelId="{A3D6ED89-969B-5F4C-93ED-B526B6CE26D8}" type="presParOf" srcId="{DDB27B24-50BA-ED48-8BE9-4C29E6B83259}" destId="{C371305F-B72D-3C44-BB22-E50B26871DA6}" srcOrd="8" destOrd="0" presId="urn:microsoft.com/office/officeart/2005/8/layout/chevron2"/>
    <dgm:cxn modelId="{435B5D9C-FAFF-5447-8FF4-2B0141788F73}" type="presParOf" srcId="{C371305F-B72D-3C44-BB22-E50B26871DA6}" destId="{CCC28DE8-0568-7547-9A1F-3C6F0F33A2CF}" srcOrd="0" destOrd="0" presId="urn:microsoft.com/office/officeart/2005/8/layout/chevron2"/>
    <dgm:cxn modelId="{E19E1028-AE2F-9E4F-A129-A47001AFA4D9}" type="presParOf" srcId="{C371305F-B72D-3C44-BB22-E50B26871DA6}" destId="{F1EE7E3F-25DA-8041-85A7-EBBF11BC4C56}" srcOrd="1" destOrd="0" presId="urn:microsoft.com/office/officeart/2005/8/layout/chevron2"/>
    <dgm:cxn modelId="{AFDE419F-E162-B442-8C85-D65EDD775AB5}" type="presParOf" srcId="{DDB27B24-50BA-ED48-8BE9-4C29E6B83259}" destId="{2C8A0FE6-3CCD-674F-87D7-C945364C8330}" srcOrd="9" destOrd="0" presId="urn:microsoft.com/office/officeart/2005/8/layout/chevron2"/>
    <dgm:cxn modelId="{0E8748CC-E0CD-0442-9D30-DAE9A171B770}" type="presParOf" srcId="{DDB27B24-50BA-ED48-8BE9-4C29E6B83259}" destId="{C8A774E9-C669-9C42-8FD8-567A31043E1A}" srcOrd="10" destOrd="0" presId="urn:microsoft.com/office/officeart/2005/8/layout/chevron2"/>
    <dgm:cxn modelId="{DADF0BC5-5056-8C4C-AA59-14BC65DDDBC4}" type="presParOf" srcId="{C8A774E9-C669-9C42-8FD8-567A31043E1A}" destId="{844AC346-AEB9-A649-8C9D-DBF2769C8FFC}" srcOrd="0" destOrd="0" presId="urn:microsoft.com/office/officeart/2005/8/layout/chevron2"/>
    <dgm:cxn modelId="{5736E106-52E0-3745-924B-E1748F63859A}" type="presParOf" srcId="{C8A774E9-C669-9C42-8FD8-567A31043E1A}" destId="{C80BEB0B-E1AB-4443-9F91-9D6894D7833E}" srcOrd="1" destOrd="0" presId="urn:microsoft.com/office/officeart/2005/8/layout/chevron2"/>
    <dgm:cxn modelId="{D4DB9F71-DC87-294B-B369-19E253138173}" type="presParOf" srcId="{DDB27B24-50BA-ED48-8BE9-4C29E6B83259}" destId="{59BB4FCD-F10D-9947-BE1C-B71549A60A1E}" srcOrd="11" destOrd="0" presId="urn:microsoft.com/office/officeart/2005/8/layout/chevron2"/>
    <dgm:cxn modelId="{C79C0B91-3166-C042-A863-63AF59A859AA}" type="presParOf" srcId="{DDB27B24-50BA-ED48-8BE9-4C29E6B83259}" destId="{9EA93BB1-069D-5E45-B7BF-50881B2F72E6}" srcOrd="12" destOrd="0" presId="urn:microsoft.com/office/officeart/2005/8/layout/chevron2"/>
    <dgm:cxn modelId="{103B124A-6072-BF4B-BE27-1960961BC5EC}" type="presParOf" srcId="{9EA93BB1-069D-5E45-B7BF-50881B2F72E6}" destId="{B9872B13-1174-E847-A615-29577404DF21}" srcOrd="0" destOrd="0" presId="urn:microsoft.com/office/officeart/2005/8/layout/chevron2"/>
    <dgm:cxn modelId="{900A8A80-E351-EA40-BDA3-AFCC5707FFB0}" type="presParOf" srcId="{9EA93BB1-069D-5E45-B7BF-50881B2F72E6}" destId="{DCD4A931-4F01-F440-965B-DC25AA6FE080}" srcOrd="1" destOrd="0" presId="urn:microsoft.com/office/officeart/2005/8/layout/chevron2"/>
    <dgm:cxn modelId="{28085CB8-5DA6-1E46-BF2B-308FB7F8AF02}" type="presParOf" srcId="{DDB27B24-50BA-ED48-8BE9-4C29E6B83259}" destId="{201CAB8F-4C7F-6E4E-9169-C9E7B5CBE404}" srcOrd="13" destOrd="0" presId="urn:microsoft.com/office/officeart/2005/8/layout/chevron2"/>
    <dgm:cxn modelId="{49021EAF-C2B4-A34D-9D61-8ED77D96E077}" type="presParOf" srcId="{DDB27B24-50BA-ED48-8BE9-4C29E6B83259}" destId="{37090651-8A55-014B-A963-1EE8A0BF442E}" srcOrd="14" destOrd="0" presId="urn:microsoft.com/office/officeart/2005/8/layout/chevron2"/>
    <dgm:cxn modelId="{EEA9EB53-A606-1049-897C-08AAFBBF220F}" type="presParOf" srcId="{37090651-8A55-014B-A963-1EE8A0BF442E}" destId="{FBC92F2D-7F37-C24B-BFEF-CC15867C46D4}" srcOrd="0" destOrd="0" presId="urn:microsoft.com/office/officeart/2005/8/layout/chevron2"/>
    <dgm:cxn modelId="{E3243BD7-F7CA-9148-910E-472A84C98CA9}" type="presParOf" srcId="{37090651-8A55-014B-A963-1EE8A0BF442E}" destId="{E9487058-CF28-FD44-B9C2-31F73470FB7B}" srcOrd="1" destOrd="0" presId="urn:microsoft.com/office/officeart/2005/8/layout/chevron2"/>
    <dgm:cxn modelId="{AAEA6F5A-C453-9B4C-AA5D-F5D0FE5D5195}" type="presParOf" srcId="{DDB27B24-50BA-ED48-8BE9-4C29E6B83259}" destId="{5CDA2E69-01D1-E24F-BBCD-D61A38EBA365}" srcOrd="15" destOrd="0" presId="urn:microsoft.com/office/officeart/2005/8/layout/chevron2"/>
    <dgm:cxn modelId="{FDD7D0AA-8084-5F4D-8182-A94ACB722104}" type="presParOf" srcId="{DDB27B24-50BA-ED48-8BE9-4C29E6B83259}" destId="{C588B7A2-4017-6643-93CD-7EB3E7875B06}" srcOrd="16" destOrd="0" presId="urn:microsoft.com/office/officeart/2005/8/layout/chevron2"/>
    <dgm:cxn modelId="{8FCEE2DF-7A9F-C242-9F78-E181F2E7BE02}" type="presParOf" srcId="{C588B7A2-4017-6643-93CD-7EB3E7875B06}" destId="{E86BF6A3-BA90-BB43-908F-24E76E7D1587}" srcOrd="0" destOrd="0" presId="urn:microsoft.com/office/officeart/2005/8/layout/chevron2"/>
    <dgm:cxn modelId="{BA902BDF-2503-BA4D-B9DE-3ED1B0384BCB}" type="presParOf" srcId="{C588B7A2-4017-6643-93CD-7EB3E7875B06}" destId="{E2DE84BA-2462-A242-AC94-46E19F99F1BB}" srcOrd="1" destOrd="0" presId="urn:microsoft.com/office/officeart/2005/8/layout/chevron2"/>
    <dgm:cxn modelId="{478A180C-A08F-0348-AC97-0750C0C2397A}" type="presParOf" srcId="{DDB27B24-50BA-ED48-8BE9-4C29E6B83259}" destId="{C2AB1E69-06F4-D043-944B-D85D9601ACA6}" srcOrd="17" destOrd="0" presId="urn:microsoft.com/office/officeart/2005/8/layout/chevron2"/>
    <dgm:cxn modelId="{4896D42A-60FD-0542-85BB-E793A54B9BA0}" type="presParOf" srcId="{DDB27B24-50BA-ED48-8BE9-4C29E6B83259}" destId="{51C6866E-9F56-9A45-ADF2-6F81F533274A}" srcOrd="18" destOrd="0" presId="urn:microsoft.com/office/officeart/2005/8/layout/chevron2"/>
    <dgm:cxn modelId="{792107A0-3FCB-0943-8619-84ADFAFC02B3}" type="presParOf" srcId="{51C6866E-9F56-9A45-ADF2-6F81F533274A}" destId="{B88D95AA-AFFF-224F-9EBE-1226F2119586}" srcOrd="0" destOrd="0" presId="urn:microsoft.com/office/officeart/2005/8/layout/chevron2"/>
    <dgm:cxn modelId="{D1DD6C5D-279A-624E-9CB9-84C7108330F6}" type="presParOf" srcId="{51C6866E-9F56-9A45-ADF2-6F81F533274A}" destId="{BC4A5DFE-0373-0044-B473-93ADEF2A2324}" srcOrd="1" destOrd="0" presId="urn:microsoft.com/office/officeart/2005/8/layout/chevron2"/>
    <dgm:cxn modelId="{6BED0EDF-D178-7A49-A1AD-6EB331843BB3}" type="presParOf" srcId="{DDB27B24-50BA-ED48-8BE9-4C29E6B83259}" destId="{01E3A2D8-2E7D-6941-B2B2-FA006E31EF08}" srcOrd="19" destOrd="0" presId="urn:microsoft.com/office/officeart/2005/8/layout/chevron2"/>
    <dgm:cxn modelId="{012C0D7D-5F2A-0B42-8E50-EC9F92C180E0}" type="presParOf" srcId="{DDB27B24-50BA-ED48-8BE9-4C29E6B83259}" destId="{37D2DAC8-74EC-BF4C-831D-920A9C40B9D5}" srcOrd="20" destOrd="0" presId="urn:microsoft.com/office/officeart/2005/8/layout/chevron2"/>
    <dgm:cxn modelId="{F06537AE-0C02-1B4D-BDD1-DB7308EA70CF}" type="presParOf" srcId="{37D2DAC8-74EC-BF4C-831D-920A9C40B9D5}" destId="{ED0EEAAD-1F9F-C445-9ED5-D61D26A0F8D1}" srcOrd="0" destOrd="0" presId="urn:microsoft.com/office/officeart/2005/8/layout/chevron2"/>
    <dgm:cxn modelId="{A1190D38-3A74-5344-9AF3-640E7DAC6E86}" type="presParOf" srcId="{37D2DAC8-74EC-BF4C-831D-920A9C40B9D5}" destId="{C174B10A-41E6-244B-88CB-0D08E5FFF5F9}" srcOrd="1" destOrd="0" presId="urn:microsoft.com/office/officeart/2005/8/layout/chevron2"/>
    <dgm:cxn modelId="{A49CCA21-E935-534C-AC5D-3F0B09F41C69}" type="presParOf" srcId="{DDB27B24-50BA-ED48-8BE9-4C29E6B83259}" destId="{43FB22C6-B891-E44F-B0D7-B9F71AB372F1}" srcOrd="21" destOrd="0" presId="urn:microsoft.com/office/officeart/2005/8/layout/chevron2"/>
    <dgm:cxn modelId="{51F0EBA1-37D0-594B-BD51-9103B2852A0F}" type="presParOf" srcId="{DDB27B24-50BA-ED48-8BE9-4C29E6B83259}" destId="{73DF1BD6-49ED-134F-A291-CE4DB94547A9}" srcOrd="22" destOrd="0" presId="urn:microsoft.com/office/officeart/2005/8/layout/chevron2"/>
    <dgm:cxn modelId="{211C48FD-CB59-654C-BCCA-7F64F7C9D6E5}" type="presParOf" srcId="{73DF1BD6-49ED-134F-A291-CE4DB94547A9}" destId="{6DDDE256-1CA3-1140-A939-5530FC1F57D3}" srcOrd="0" destOrd="0" presId="urn:microsoft.com/office/officeart/2005/8/layout/chevron2"/>
    <dgm:cxn modelId="{92FF2A89-04F3-124B-A847-AD7C5DB2A4D0}" type="presParOf" srcId="{73DF1BD6-49ED-134F-A291-CE4DB94547A9}" destId="{999FDDA9-9F6A-1143-BE3C-B1E07CBE9945}" srcOrd="1" destOrd="0" presId="urn:microsoft.com/office/officeart/2005/8/layout/chevron2"/>
    <dgm:cxn modelId="{5A7B9C04-8442-134A-A221-7B2CA1DD74C8}" type="presParOf" srcId="{DDB27B24-50BA-ED48-8BE9-4C29E6B83259}" destId="{A73ECDF3-49A4-0948-BD1F-387AF7BD3FC1}" srcOrd="23" destOrd="0" presId="urn:microsoft.com/office/officeart/2005/8/layout/chevron2"/>
    <dgm:cxn modelId="{66134271-D9D9-2544-A953-543438833F52}" type="presParOf" srcId="{DDB27B24-50BA-ED48-8BE9-4C29E6B83259}" destId="{F2D2A481-D011-064A-92C0-32CD4D676904}" srcOrd="24" destOrd="0" presId="urn:microsoft.com/office/officeart/2005/8/layout/chevron2"/>
    <dgm:cxn modelId="{B170F7DF-B4C4-B845-85E2-6E0E18557EBC}" type="presParOf" srcId="{F2D2A481-D011-064A-92C0-32CD4D676904}" destId="{48AF7672-2483-B34A-B763-89BD09AEBA58}" srcOrd="0" destOrd="0" presId="urn:microsoft.com/office/officeart/2005/8/layout/chevron2"/>
    <dgm:cxn modelId="{74426881-FAA1-644B-AA0B-A70F27CA5087}"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0F23241E-7EAA-1347-8DBD-4E6A4822570C}" type="doc">
      <dgm:prSet loTypeId="urn:microsoft.com/office/officeart/2005/8/layout/process4" loCatId="" qsTypeId="urn:microsoft.com/office/officeart/2005/8/quickstyle/simple1" qsCatId="simple" csTypeId="urn:microsoft.com/office/officeart/2005/8/colors/accent1_2" csCatId="accent1" phldr="1"/>
      <dgm:spPr/>
      <dgm:t>
        <a:bodyPr/>
        <a:lstStyle/>
        <a:p>
          <a:endParaRPr lang="en-US"/>
        </a:p>
      </dgm:t>
    </dgm:pt>
    <dgm:pt modelId="{E8267802-D214-344A-9E1C-D1B38147E350}">
      <dgm:prSet phldrT="[Text]" custT="1"/>
      <dgm:spPr/>
      <dgm:t>
        <a:bodyPr/>
        <a:lstStyle/>
        <a:p>
          <a:r>
            <a:rPr lang="en-US" sz="1000"/>
            <a:t>Simulation intervention set up</a:t>
          </a:r>
        </a:p>
      </dgm:t>
    </dgm:pt>
    <dgm:pt modelId="{AFADA6B0-51D0-4749-8AD7-359F8A0E3B66}" type="parTrans" cxnId="{333B9C18-3CC9-B646-9FE9-A253C8F791C0}">
      <dgm:prSet/>
      <dgm:spPr/>
      <dgm:t>
        <a:bodyPr/>
        <a:lstStyle/>
        <a:p>
          <a:endParaRPr lang="en-US"/>
        </a:p>
      </dgm:t>
    </dgm:pt>
    <dgm:pt modelId="{C0FA4FBA-93F2-0D47-8571-EC0D370E4342}" type="sibTrans" cxnId="{333B9C18-3CC9-B646-9FE9-A253C8F791C0}">
      <dgm:prSet/>
      <dgm:spPr/>
      <dgm:t>
        <a:bodyPr/>
        <a:lstStyle/>
        <a:p>
          <a:endParaRPr lang="en-US"/>
        </a:p>
      </dgm:t>
    </dgm:pt>
    <dgm:pt modelId="{63952215-30B3-AA4E-8147-59D3830692DC}">
      <dgm:prSet phldrT="[Text]" custT="1"/>
      <dgm:spPr/>
      <dgm:t>
        <a:bodyPr/>
        <a:lstStyle/>
        <a:p>
          <a:r>
            <a:rPr lang="en-US" sz="1000"/>
            <a:t>Pre-course baseline confidence scores: Condition 1</a:t>
          </a:r>
        </a:p>
      </dgm:t>
    </dgm:pt>
    <dgm:pt modelId="{0BF7E3CB-DB41-2845-BC1B-C5AB2221A501}" type="parTrans" cxnId="{80FBB92F-7FB5-0142-8E2B-14FEE5813BBF}">
      <dgm:prSet/>
      <dgm:spPr/>
      <dgm:t>
        <a:bodyPr/>
        <a:lstStyle/>
        <a:p>
          <a:endParaRPr lang="en-US"/>
        </a:p>
      </dgm:t>
    </dgm:pt>
    <dgm:pt modelId="{091127E4-7DC6-A647-8768-2B64CE148C44}" type="sibTrans" cxnId="{80FBB92F-7FB5-0142-8E2B-14FEE5813BBF}">
      <dgm:prSet/>
      <dgm:spPr/>
      <dgm:t>
        <a:bodyPr/>
        <a:lstStyle/>
        <a:p>
          <a:endParaRPr lang="en-US"/>
        </a:p>
      </dgm:t>
    </dgm:pt>
    <dgm:pt modelId="{3044B200-8F65-DF45-BAAA-89173A791125}">
      <dgm:prSet phldrT="[Text]" custT="1"/>
      <dgm:spPr/>
      <dgm:t>
        <a:bodyPr/>
        <a:lstStyle/>
        <a:p>
          <a:r>
            <a:rPr lang="en-US" sz="1000"/>
            <a:t>Simulation intervention</a:t>
          </a:r>
        </a:p>
      </dgm:t>
    </dgm:pt>
    <dgm:pt modelId="{AE318A24-0BFB-7C4D-8D68-3DC388AC21F4}" type="parTrans" cxnId="{6FE2D093-2426-994F-B4B1-0A1A80F72F01}">
      <dgm:prSet/>
      <dgm:spPr/>
      <dgm:t>
        <a:bodyPr/>
        <a:lstStyle/>
        <a:p>
          <a:endParaRPr lang="en-US"/>
        </a:p>
      </dgm:t>
    </dgm:pt>
    <dgm:pt modelId="{8C626D0C-1D35-7A4B-A0A8-6943748902FF}" type="sibTrans" cxnId="{6FE2D093-2426-994F-B4B1-0A1A80F72F01}">
      <dgm:prSet/>
      <dgm:spPr/>
      <dgm:t>
        <a:bodyPr/>
        <a:lstStyle/>
        <a:p>
          <a:endParaRPr lang="en-US"/>
        </a:p>
      </dgm:t>
    </dgm:pt>
    <dgm:pt modelId="{FAC31F55-77E9-444E-84E2-565CDC5CD602}">
      <dgm:prSet phldrT="[Text]" custT="1"/>
      <dgm:spPr/>
      <dgm:t>
        <a:bodyPr/>
        <a:lstStyle/>
        <a:p>
          <a:r>
            <a:rPr lang="en-US" sz="1000"/>
            <a:t>Post-course immediate confidence score: Condition 2</a:t>
          </a:r>
        </a:p>
      </dgm:t>
    </dgm:pt>
    <dgm:pt modelId="{C482BA59-0000-B04E-AF60-3F254F9ED361}" type="parTrans" cxnId="{990BE9E4-6527-644C-84C0-660E6E896379}">
      <dgm:prSet/>
      <dgm:spPr/>
      <dgm:t>
        <a:bodyPr/>
        <a:lstStyle/>
        <a:p>
          <a:endParaRPr lang="en-US"/>
        </a:p>
      </dgm:t>
    </dgm:pt>
    <dgm:pt modelId="{ED205BC6-05ED-9B45-8EDB-8F03C7B9A663}" type="sibTrans" cxnId="{990BE9E4-6527-644C-84C0-660E6E896379}">
      <dgm:prSet/>
      <dgm:spPr/>
      <dgm:t>
        <a:bodyPr/>
        <a:lstStyle/>
        <a:p>
          <a:endParaRPr lang="en-US"/>
        </a:p>
      </dgm:t>
    </dgm:pt>
    <dgm:pt modelId="{480D971B-27AA-824A-AF2F-E6DB2AE94ED8}">
      <dgm:prSet phldrT="[Text]" custT="1"/>
      <dgm:spPr/>
      <dgm:t>
        <a:bodyPr/>
        <a:lstStyle/>
        <a:p>
          <a:r>
            <a:rPr lang="en-US" sz="1000"/>
            <a:t>Focus groups with final year medical students post course</a:t>
          </a:r>
        </a:p>
      </dgm:t>
    </dgm:pt>
    <dgm:pt modelId="{740B4F4A-1D08-7642-AA2C-BDC7C279AC48}" type="parTrans" cxnId="{1B29FF16-9382-E44E-B54A-46137D92C1E6}">
      <dgm:prSet/>
      <dgm:spPr/>
      <dgm:t>
        <a:bodyPr/>
        <a:lstStyle/>
        <a:p>
          <a:endParaRPr lang="en-US"/>
        </a:p>
      </dgm:t>
    </dgm:pt>
    <dgm:pt modelId="{B82976FE-EB3E-6641-8146-284FD15FE2ED}" type="sibTrans" cxnId="{1B29FF16-9382-E44E-B54A-46137D92C1E6}">
      <dgm:prSet/>
      <dgm:spPr/>
      <dgm:t>
        <a:bodyPr/>
        <a:lstStyle/>
        <a:p>
          <a:endParaRPr lang="en-US"/>
        </a:p>
      </dgm:t>
    </dgm:pt>
    <dgm:pt modelId="{C22B7C0B-C148-6C47-A448-A742297E9F9E}">
      <dgm:prSet phldrT="[Text]" custT="1"/>
      <dgm:spPr/>
      <dgm:t>
        <a:bodyPr/>
        <a:lstStyle/>
        <a:p>
          <a:r>
            <a:rPr lang="en-US" sz="1000"/>
            <a:t>One week post-course confidence score: Condition 3</a:t>
          </a:r>
        </a:p>
      </dgm:t>
    </dgm:pt>
    <dgm:pt modelId="{BECF52A1-2317-7C49-9A37-BFDD77CC7DAF}" type="parTrans" cxnId="{B0BB494F-B534-3A40-B61B-7FAFCB232D59}">
      <dgm:prSet/>
      <dgm:spPr/>
      <dgm:t>
        <a:bodyPr/>
        <a:lstStyle/>
        <a:p>
          <a:endParaRPr lang="en-US"/>
        </a:p>
      </dgm:t>
    </dgm:pt>
    <dgm:pt modelId="{4EC0B5ED-192F-F546-98B0-82010FD25218}" type="sibTrans" cxnId="{B0BB494F-B534-3A40-B61B-7FAFCB232D59}">
      <dgm:prSet/>
      <dgm:spPr/>
      <dgm:t>
        <a:bodyPr/>
        <a:lstStyle/>
        <a:p>
          <a:endParaRPr lang="en-US"/>
        </a:p>
      </dgm:t>
    </dgm:pt>
    <dgm:pt modelId="{797F6BFE-3F3C-D849-A994-AC0C9A42443F}">
      <dgm:prSet phldrT="[Text]" custT="1"/>
      <dgm:spPr/>
      <dgm:t>
        <a:bodyPr/>
        <a:lstStyle/>
        <a:p>
          <a:r>
            <a:rPr lang="en-US" sz="1000"/>
            <a:t>One month into FY1 confidence score: Condition 4</a:t>
          </a:r>
        </a:p>
      </dgm:t>
    </dgm:pt>
    <dgm:pt modelId="{5E6D626C-9C62-3A47-9B87-1ABFA306DC76}" type="parTrans" cxnId="{814C2563-9D4F-A346-B177-A45E5FE39294}">
      <dgm:prSet/>
      <dgm:spPr/>
      <dgm:t>
        <a:bodyPr/>
        <a:lstStyle/>
        <a:p>
          <a:endParaRPr lang="en-US"/>
        </a:p>
      </dgm:t>
    </dgm:pt>
    <dgm:pt modelId="{D64F8232-9274-3F43-B5D1-A3D1C2EE5BDD}" type="sibTrans" cxnId="{814C2563-9D4F-A346-B177-A45E5FE39294}">
      <dgm:prSet/>
      <dgm:spPr/>
      <dgm:t>
        <a:bodyPr/>
        <a:lstStyle/>
        <a:p>
          <a:endParaRPr lang="en-US"/>
        </a:p>
      </dgm:t>
    </dgm:pt>
    <dgm:pt modelId="{B7320670-5E35-F847-A1B8-369F53E39D13}">
      <dgm:prSet phldrT="[Text]" custT="1"/>
      <dgm:spPr/>
      <dgm:t>
        <a:bodyPr/>
        <a:lstStyle/>
        <a:p>
          <a:r>
            <a:rPr lang="en-US" sz="1000"/>
            <a:t>Quantitative data analysis </a:t>
          </a:r>
        </a:p>
      </dgm:t>
    </dgm:pt>
    <dgm:pt modelId="{C38E7868-2371-A946-9970-D00C479AED3D}" type="parTrans" cxnId="{13881565-4B5F-BF49-8479-0F852E7968F7}">
      <dgm:prSet/>
      <dgm:spPr/>
      <dgm:t>
        <a:bodyPr/>
        <a:lstStyle/>
        <a:p>
          <a:endParaRPr lang="en-US"/>
        </a:p>
      </dgm:t>
    </dgm:pt>
    <dgm:pt modelId="{2706B4D1-2C87-D642-8953-FC3923BB1D51}" type="sibTrans" cxnId="{13881565-4B5F-BF49-8479-0F852E7968F7}">
      <dgm:prSet/>
      <dgm:spPr/>
      <dgm:t>
        <a:bodyPr/>
        <a:lstStyle/>
        <a:p>
          <a:endParaRPr lang="en-US"/>
        </a:p>
      </dgm:t>
    </dgm:pt>
    <dgm:pt modelId="{68F7809A-58B3-9A45-85E0-4DB933595440}">
      <dgm:prSet phldrT="[Text]" custT="1"/>
      <dgm:spPr/>
      <dgm:t>
        <a:bodyPr/>
        <a:lstStyle/>
        <a:p>
          <a:r>
            <a:rPr lang="en-US" sz="1000"/>
            <a:t>Qualitative data analysis: Focus groups</a:t>
          </a:r>
        </a:p>
      </dgm:t>
    </dgm:pt>
    <dgm:pt modelId="{4B47E89F-9B5B-C748-9CA5-49A5F06AACF5}" type="parTrans" cxnId="{ED2903AA-2DA8-5F4A-A8A1-18A3E63CBA7B}">
      <dgm:prSet/>
      <dgm:spPr/>
      <dgm:t>
        <a:bodyPr/>
        <a:lstStyle/>
        <a:p>
          <a:endParaRPr lang="en-US"/>
        </a:p>
      </dgm:t>
    </dgm:pt>
    <dgm:pt modelId="{4011EDEE-5D8F-2F46-BD3E-94DE74806E3C}" type="sibTrans" cxnId="{ED2903AA-2DA8-5F4A-A8A1-18A3E63CBA7B}">
      <dgm:prSet/>
      <dgm:spPr/>
      <dgm:t>
        <a:bodyPr/>
        <a:lstStyle/>
        <a:p>
          <a:endParaRPr lang="en-US"/>
        </a:p>
      </dgm:t>
    </dgm:pt>
    <dgm:pt modelId="{4A52E214-B0D5-4D4C-BC0B-23F17897623A}">
      <dgm:prSet phldrT="[Text]" custT="1"/>
      <dgm:spPr/>
      <dgm:t>
        <a:bodyPr/>
        <a:lstStyle/>
        <a:p>
          <a:r>
            <a:rPr lang="en-US" sz="1000"/>
            <a:t>Interviews with UK simulation and educational experts</a:t>
          </a:r>
        </a:p>
      </dgm:t>
    </dgm:pt>
    <dgm:pt modelId="{28FA66A9-B264-7B4C-833A-3FC9251EFA6D}" type="parTrans" cxnId="{A50B8D05-8973-2E40-8812-B64E5B12620C}">
      <dgm:prSet/>
      <dgm:spPr/>
      <dgm:t>
        <a:bodyPr/>
        <a:lstStyle/>
        <a:p>
          <a:endParaRPr lang="en-US"/>
        </a:p>
      </dgm:t>
    </dgm:pt>
    <dgm:pt modelId="{5F0E7A5F-5B78-DB41-97E9-C1762F18A261}" type="sibTrans" cxnId="{A50B8D05-8973-2E40-8812-B64E5B12620C}">
      <dgm:prSet/>
      <dgm:spPr/>
      <dgm:t>
        <a:bodyPr/>
        <a:lstStyle/>
        <a:p>
          <a:endParaRPr lang="en-US"/>
        </a:p>
      </dgm:t>
    </dgm:pt>
    <dgm:pt modelId="{81F086BA-4CE2-6B45-9A63-133C154C13F4}">
      <dgm:prSet phldrT="[Text]" custT="1"/>
      <dgm:spPr/>
      <dgm:t>
        <a:bodyPr/>
        <a:lstStyle/>
        <a:p>
          <a:r>
            <a:rPr lang="en-US" sz="1000"/>
            <a:t>Qualitative data analysis: Interviews</a:t>
          </a:r>
        </a:p>
      </dgm:t>
    </dgm:pt>
    <dgm:pt modelId="{1D38BC4F-1005-D944-8994-DE3E7D0C2854}" type="parTrans" cxnId="{1214C128-5A7D-2142-8DF0-3DEBE1F4E243}">
      <dgm:prSet/>
      <dgm:spPr/>
      <dgm:t>
        <a:bodyPr/>
        <a:lstStyle/>
        <a:p>
          <a:endParaRPr lang="en-US"/>
        </a:p>
      </dgm:t>
    </dgm:pt>
    <dgm:pt modelId="{07449F9C-0F2D-0641-904D-0AC36E782591}" type="sibTrans" cxnId="{1214C128-5A7D-2142-8DF0-3DEBE1F4E243}">
      <dgm:prSet/>
      <dgm:spPr/>
      <dgm:t>
        <a:bodyPr/>
        <a:lstStyle/>
        <a:p>
          <a:endParaRPr lang="en-US"/>
        </a:p>
      </dgm:t>
    </dgm:pt>
    <dgm:pt modelId="{10FF4503-4EB7-E440-B4E0-82BC1571FA29}">
      <dgm:prSet phldrT="[Text]" custT="1"/>
      <dgm:spPr/>
      <dgm:t>
        <a:bodyPr/>
        <a:lstStyle/>
        <a:p>
          <a:r>
            <a:rPr lang="en-US" sz="1000"/>
            <a:t>Data triangulation: Chapter 8</a:t>
          </a:r>
        </a:p>
      </dgm:t>
    </dgm:pt>
    <dgm:pt modelId="{7EF1AD83-8A98-A343-90A7-24C7D6BA0D73}" type="parTrans" cxnId="{79EA081B-3D8F-7040-BA47-28441722F329}">
      <dgm:prSet/>
      <dgm:spPr/>
      <dgm:t>
        <a:bodyPr/>
        <a:lstStyle/>
        <a:p>
          <a:endParaRPr lang="en-US"/>
        </a:p>
      </dgm:t>
    </dgm:pt>
    <dgm:pt modelId="{2B4E1DAF-D837-EA42-9750-1B3B3A8DD012}" type="sibTrans" cxnId="{79EA081B-3D8F-7040-BA47-28441722F329}">
      <dgm:prSet/>
      <dgm:spPr/>
      <dgm:t>
        <a:bodyPr/>
        <a:lstStyle/>
        <a:p>
          <a:endParaRPr lang="en-US"/>
        </a:p>
      </dgm:t>
    </dgm:pt>
    <dgm:pt modelId="{E5720698-3350-5445-9D97-2B17F6D11E0F}">
      <dgm:prSet phldrT="[Text]" custT="1"/>
      <dgm:spPr/>
      <dgm:t>
        <a:bodyPr/>
        <a:lstStyle/>
        <a:p>
          <a:r>
            <a:rPr lang="en-US" sz="1000"/>
            <a:t>Feedback - written</a:t>
          </a:r>
        </a:p>
      </dgm:t>
    </dgm:pt>
    <dgm:pt modelId="{A26B5BB2-5EF7-6F41-9250-E451E9C68D3E}" type="parTrans" cxnId="{07C23D11-B2BF-BD4F-BF56-3E553608CE67}">
      <dgm:prSet/>
      <dgm:spPr/>
      <dgm:t>
        <a:bodyPr/>
        <a:lstStyle/>
        <a:p>
          <a:endParaRPr lang="en-US"/>
        </a:p>
      </dgm:t>
    </dgm:pt>
    <dgm:pt modelId="{9F70F758-61F0-CD4C-B43F-5BD196BBADEE}" type="sibTrans" cxnId="{07C23D11-B2BF-BD4F-BF56-3E553608CE67}">
      <dgm:prSet/>
      <dgm:spPr/>
      <dgm:t>
        <a:bodyPr/>
        <a:lstStyle/>
        <a:p>
          <a:endParaRPr lang="en-US"/>
        </a:p>
      </dgm:t>
    </dgm:pt>
    <dgm:pt modelId="{D6E12C4D-FB86-4447-9325-1569B95E2BC4}" type="pres">
      <dgm:prSet presAssocID="{0F23241E-7EAA-1347-8DBD-4E6A4822570C}" presName="Name0" presStyleCnt="0">
        <dgm:presLayoutVars>
          <dgm:dir/>
          <dgm:animLvl val="lvl"/>
          <dgm:resizeHandles val="exact"/>
        </dgm:presLayoutVars>
      </dgm:prSet>
      <dgm:spPr/>
    </dgm:pt>
    <dgm:pt modelId="{BB773633-51A3-7D46-9DA2-DC550E5C0555}" type="pres">
      <dgm:prSet presAssocID="{10FF4503-4EB7-E440-B4E0-82BC1571FA29}" presName="boxAndChildren" presStyleCnt="0"/>
      <dgm:spPr/>
    </dgm:pt>
    <dgm:pt modelId="{E31D533E-74D5-8E45-9B52-4F9D612A1D7D}" type="pres">
      <dgm:prSet presAssocID="{10FF4503-4EB7-E440-B4E0-82BC1571FA29}" presName="parentTextBox" presStyleLbl="node1" presStyleIdx="0" presStyleCnt="13"/>
      <dgm:spPr/>
    </dgm:pt>
    <dgm:pt modelId="{092D303A-1217-3A40-904E-0D23F1345043}" type="pres">
      <dgm:prSet presAssocID="{07449F9C-0F2D-0641-904D-0AC36E782591}" presName="sp" presStyleCnt="0"/>
      <dgm:spPr/>
    </dgm:pt>
    <dgm:pt modelId="{11EED0EF-ACEC-AA4F-97D8-39BF2B078B27}" type="pres">
      <dgm:prSet presAssocID="{81F086BA-4CE2-6B45-9A63-133C154C13F4}" presName="arrowAndChildren" presStyleCnt="0"/>
      <dgm:spPr/>
    </dgm:pt>
    <dgm:pt modelId="{F5EA2978-43D4-2344-A8FD-38B1942A0A1E}" type="pres">
      <dgm:prSet presAssocID="{81F086BA-4CE2-6B45-9A63-133C154C13F4}" presName="parentTextArrow" presStyleLbl="node1" presStyleIdx="1" presStyleCnt="13"/>
      <dgm:spPr/>
    </dgm:pt>
    <dgm:pt modelId="{64186A4D-4BE7-0740-BB44-BBE721176607}" type="pres">
      <dgm:prSet presAssocID="{5F0E7A5F-5B78-DB41-97E9-C1762F18A261}" presName="sp" presStyleCnt="0"/>
      <dgm:spPr/>
    </dgm:pt>
    <dgm:pt modelId="{1E92282E-E30E-B44B-A6AE-820C9CE8A9D0}" type="pres">
      <dgm:prSet presAssocID="{4A52E214-B0D5-4D4C-BC0B-23F17897623A}" presName="arrowAndChildren" presStyleCnt="0"/>
      <dgm:spPr/>
    </dgm:pt>
    <dgm:pt modelId="{E404B8AF-9211-8A46-A6BF-9163536B64A0}" type="pres">
      <dgm:prSet presAssocID="{4A52E214-B0D5-4D4C-BC0B-23F17897623A}" presName="parentTextArrow" presStyleLbl="node1" presStyleIdx="2" presStyleCnt="13"/>
      <dgm:spPr/>
    </dgm:pt>
    <dgm:pt modelId="{E26C1FD8-A541-0044-89F5-70E93F0AEA1F}" type="pres">
      <dgm:prSet presAssocID="{4011EDEE-5D8F-2F46-BD3E-94DE74806E3C}" presName="sp" presStyleCnt="0"/>
      <dgm:spPr/>
    </dgm:pt>
    <dgm:pt modelId="{304110FF-FAFA-9F41-963F-628E7BF9B0B2}" type="pres">
      <dgm:prSet presAssocID="{68F7809A-58B3-9A45-85E0-4DB933595440}" presName="arrowAndChildren" presStyleCnt="0"/>
      <dgm:spPr/>
    </dgm:pt>
    <dgm:pt modelId="{2A73DA62-CAC1-C043-AF07-ECFF7A7DD04F}" type="pres">
      <dgm:prSet presAssocID="{68F7809A-58B3-9A45-85E0-4DB933595440}" presName="parentTextArrow" presStyleLbl="node1" presStyleIdx="3" presStyleCnt="13"/>
      <dgm:spPr/>
    </dgm:pt>
    <dgm:pt modelId="{3390B2A7-7B82-9B4A-AE88-83F114540C9D}" type="pres">
      <dgm:prSet presAssocID="{2706B4D1-2C87-D642-8953-FC3923BB1D51}" presName="sp" presStyleCnt="0"/>
      <dgm:spPr/>
    </dgm:pt>
    <dgm:pt modelId="{BB820406-5C4F-EB4D-8E47-FF656F6D4EC8}" type="pres">
      <dgm:prSet presAssocID="{B7320670-5E35-F847-A1B8-369F53E39D13}" presName="arrowAndChildren" presStyleCnt="0"/>
      <dgm:spPr/>
    </dgm:pt>
    <dgm:pt modelId="{4471F8D7-B5DF-E049-820F-A7ADB15FB319}" type="pres">
      <dgm:prSet presAssocID="{B7320670-5E35-F847-A1B8-369F53E39D13}" presName="parentTextArrow" presStyleLbl="node1" presStyleIdx="4" presStyleCnt="13"/>
      <dgm:spPr/>
    </dgm:pt>
    <dgm:pt modelId="{618DD604-5D01-664B-9C8F-1FD633442333}" type="pres">
      <dgm:prSet presAssocID="{D64F8232-9274-3F43-B5D1-A3D1C2EE5BDD}" presName="sp" presStyleCnt="0"/>
      <dgm:spPr/>
    </dgm:pt>
    <dgm:pt modelId="{13A5BB62-C628-B741-98E8-6E8108235CFF}" type="pres">
      <dgm:prSet presAssocID="{797F6BFE-3F3C-D849-A994-AC0C9A42443F}" presName="arrowAndChildren" presStyleCnt="0"/>
      <dgm:spPr/>
    </dgm:pt>
    <dgm:pt modelId="{6CEDC011-89BA-5B46-8F4C-374C8FDE459D}" type="pres">
      <dgm:prSet presAssocID="{797F6BFE-3F3C-D849-A994-AC0C9A42443F}" presName="parentTextArrow" presStyleLbl="node1" presStyleIdx="5" presStyleCnt="13"/>
      <dgm:spPr/>
    </dgm:pt>
    <dgm:pt modelId="{5B3D1BC6-F289-F74D-B534-D8658E2D4893}" type="pres">
      <dgm:prSet presAssocID="{4EC0B5ED-192F-F546-98B0-82010FD25218}" presName="sp" presStyleCnt="0"/>
      <dgm:spPr/>
    </dgm:pt>
    <dgm:pt modelId="{2C6736AC-9B4A-874E-98FA-51382EB5E9B4}" type="pres">
      <dgm:prSet presAssocID="{C22B7C0B-C148-6C47-A448-A742297E9F9E}" presName="arrowAndChildren" presStyleCnt="0"/>
      <dgm:spPr/>
    </dgm:pt>
    <dgm:pt modelId="{4559D395-FF7E-BF41-B885-3F4C1C338973}" type="pres">
      <dgm:prSet presAssocID="{C22B7C0B-C148-6C47-A448-A742297E9F9E}" presName="parentTextArrow" presStyleLbl="node1" presStyleIdx="6" presStyleCnt="13"/>
      <dgm:spPr/>
    </dgm:pt>
    <dgm:pt modelId="{1DD216C4-9DDD-2F4A-B69E-0EB0EAC4B4CE}" type="pres">
      <dgm:prSet presAssocID="{B82976FE-EB3E-6641-8146-284FD15FE2ED}" presName="sp" presStyleCnt="0"/>
      <dgm:spPr/>
    </dgm:pt>
    <dgm:pt modelId="{67A10285-1D26-6949-8084-A02A7C0F520C}" type="pres">
      <dgm:prSet presAssocID="{480D971B-27AA-824A-AF2F-E6DB2AE94ED8}" presName="arrowAndChildren" presStyleCnt="0"/>
      <dgm:spPr/>
    </dgm:pt>
    <dgm:pt modelId="{37AAB100-F0D8-4442-A989-971C79BDC058}" type="pres">
      <dgm:prSet presAssocID="{480D971B-27AA-824A-AF2F-E6DB2AE94ED8}" presName="parentTextArrow" presStyleLbl="node1" presStyleIdx="7" presStyleCnt="13"/>
      <dgm:spPr/>
    </dgm:pt>
    <dgm:pt modelId="{C87734CF-E542-6E43-B242-A3C18D377023}" type="pres">
      <dgm:prSet presAssocID="{9F70F758-61F0-CD4C-B43F-5BD196BBADEE}" presName="sp" presStyleCnt="0"/>
      <dgm:spPr/>
    </dgm:pt>
    <dgm:pt modelId="{13F2EF58-93E5-0D44-84DC-0C644DDB8678}" type="pres">
      <dgm:prSet presAssocID="{E5720698-3350-5445-9D97-2B17F6D11E0F}" presName="arrowAndChildren" presStyleCnt="0"/>
      <dgm:spPr/>
    </dgm:pt>
    <dgm:pt modelId="{763E8193-80DD-9740-B555-E6D7D4D40B8F}" type="pres">
      <dgm:prSet presAssocID="{E5720698-3350-5445-9D97-2B17F6D11E0F}" presName="parentTextArrow" presStyleLbl="node1" presStyleIdx="8" presStyleCnt="13"/>
      <dgm:spPr/>
    </dgm:pt>
    <dgm:pt modelId="{4DCE18FF-ADC8-294A-9A9A-066B55208B28}" type="pres">
      <dgm:prSet presAssocID="{ED205BC6-05ED-9B45-8EDB-8F03C7B9A663}" presName="sp" presStyleCnt="0"/>
      <dgm:spPr/>
    </dgm:pt>
    <dgm:pt modelId="{DA58A724-EB42-244A-BB5E-6DDB431A5133}" type="pres">
      <dgm:prSet presAssocID="{FAC31F55-77E9-444E-84E2-565CDC5CD602}" presName="arrowAndChildren" presStyleCnt="0"/>
      <dgm:spPr/>
    </dgm:pt>
    <dgm:pt modelId="{86843619-F28E-C54B-AAAF-5B0EBC602F79}" type="pres">
      <dgm:prSet presAssocID="{FAC31F55-77E9-444E-84E2-565CDC5CD602}" presName="parentTextArrow" presStyleLbl="node1" presStyleIdx="9" presStyleCnt="13"/>
      <dgm:spPr/>
    </dgm:pt>
    <dgm:pt modelId="{69FA5750-B2BD-8340-A116-49CE50015D50}" type="pres">
      <dgm:prSet presAssocID="{8C626D0C-1D35-7A4B-A0A8-6943748902FF}" presName="sp" presStyleCnt="0"/>
      <dgm:spPr/>
    </dgm:pt>
    <dgm:pt modelId="{BB4A19E1-1840-6341-B25C-AABCF9755A4D}" type="pres">
      <dgm:prSet presAssocID="{3044B200-8F65-DF45-BAAA-89173A791125}" presName="arrowAndChildren" presStyleCnt="0"/>
      <dgm:spPr/>
    </dgm:pt>
    <dgm:pt modelId="{1B74346D-74CE-AE41-958E-05ECFF1B133C}" type="pres">
      <dgm:prSet presAssocID="{3044B200-8F65-DF45-BAAA-89173A791125}" presName="parentTextArrow" presStyleLbl="node1" presStyleIdx="10" presStyleCnt="13"/>
      <dgm:spPr/>
    </dgm:pt>
    <dgm:pt modelId="{DB24787E-5414-AA40-8A6E-BD62C79DFADF}" type="pres">
      <dgm:prSet presAssocID="{091127E4-7DC6-A647-8768-2B64CE148C44}" presName="sp" presStyleCnt="0"/>
      <dgm:spPr/>
    </dgm:pt>
    <dgm:pt modelId="{A6BAC69B-42C1-9A4A-ABF6-9DD6A41B86F4}" type="pres">
      <dgm:prSet presAssocID="{63952215-30B3-AA4E-8147-59D3830692DC}" presName="arrowAndChildren" presStyleCnt="0"/>
      <dgm:spPr/>
    </dgm:pt>
    <dgm:pt modelId="{7A7E081C-0CCF-C447-8E32-2C3E1880D753}" type="pres">
      <dgm:prSet presAssocID="{63952215-30B3-AA4E-8147-59D3830692DC}" presName="parentTextArrow" presStyleLbl="node1" presStyleIdx="11" presStyleCnt="13"/>
      <dgm:spPr/>
    </dgm:pt>
    <dgm:pt modelId="{5D262AE7-6E5F-0740-8587-F80C04F55B26}" type="pres">
      <dgm:prSet presAssocID="{C0FA4FBA-93F2-0D47-8571-EC0D370E4342}" presName="sp" presStyleCnt="0"/>
      <dgm:spPr/>
    </dgm:pt>
    <dgm:pt modelId="{62253B6E-9F12-1045-B0E3-C76F544C4129}" type="pres">
      <dgm:prSet presAssocID="{E8267802-D214-344A-9E1C-D1B38147E350}" presName="arrowAndChildren" presStyleCnt="0"/>
      <dgm:spPr/>
    </dgm:pt>
    <dgm:pt modelId="{B93A375E-A488-1842-B435-E2657D4A74EC}" type="pres">
      <dgm:prSet presAssocID="{E8267802-D214-344A-9E1C-D1B38147E350}" presName="parentTextArrow" presStyleLbl="node1" presStyleIdx="12" presStyleCnt="13"/>
      <dgm:spPr/>
    </dgm:pt>
  </dgm:ptLst>
  <dgm:cxnLst>
    <dgm:cxn modelId="{A50B8D05-8973-2E40-8812-B64E5B12620C}" srcId="{0F23241E-7EAA-1347-8DBD-4E6A4822570C}" destId="{4A52E214-B0D5-4D4C-BC0B-23F17897623A}" srcOrd="10" destOrd="0" parTransId="{28FA66A9-B264-7B4C-833A-3FC9251EFA6D}" sibTransId="{5F0E7A5F-5B78-DB41-97E9-C1762F18A261}"/>
    <dgm:cxn modelId="{07C23D11-B2BF-BD4F-BF56-3E553608CE67}" srcId="{0F23241E-7EAA-1347-8DBD-4E6A4822570C}" destId="{E5720698-3350-5445-9D97-2B17F6D11E0F}" srcOrd="4" destOrd="0" parTransId="{A26B5BB2-5EF7-6F41-9250-E451E9C68D3E}" sibTransId="{9F70F758-61F0-CD4C-B43F-5BD196BBADEE}"/>
    <dgm:cxn modelId="{1B29FF16-9382-E44E-B54A-46137D92C1E6}" srcId="{0F23241E-7EAA-1347-8DBD-4E6A4822570C}" destId="{480D971B-27AA-824A-AF2F-E6DB2AE94ED8}" srcOrd="5" destOrd="0" parTransId="{740B4F4A-1D08-7642-AA2C-BDC7C279AC48}" sibTransId="{B82976FE-EB3E-6641-8146-284FD15FE2ED}"/>
    <dgm:cxn modelId="{333B9C18-3CC9-B646-9FE9-A253C8F791C0}" srcId="{0F23241E-7EAA-1347-8DBD-4E6A4822570C}" destId="{E8267802-D214-344A-9E1C-D1B38147E350}" srcOrd="0" destOrd="0" parTransId="{AFADA6B0-51D0-4749-8AD7-359F8A0E3B66}" sibTransId="{C0FA4FBA-93F2-0D47-8571-EC0D370E4342}"/>
    <dgm:cxn modelId="{79EA081B-3D8F-7040-BA47-28441722F329}" srcId="{0F23241E-7EAA-1347-8DBD-4E6A4822570C}" destId="{10FF4503-4EB7-E440-B4E0-82BC1571FA29}" srcOrd="12" destOrd="0" parTransId="{7EF1AD83-8A98-A343-90A7-24C7D6BA0D73}" sibTransId="{2B4E1DAF-D837-EA42-9750-1B3B3A8DD012}"/>
    <dgm:cxn modelId="{D363761B-2B98-9147-A63E-C3B0F0F0C517}" type="presOf" srcId="{63952215-30B3-AA4E-8147-59D3830692DC}" destId="{7A7E081C-0CCF-C447-8E32-2C3E1880D753}" srcOrd="0" destOrd="0" presId="urn:microsoft.com/office/officeart/2005/8/layout/process4"/>
    <dgm:cxn modelId="{1214C128-5A7D-2142-8DF0-3DEBE1F4E243}" srcId="{0F23241E-7EAA-1347-8DBD-4E6A4822570C}" destId="{81F086BA-4CE2-6B45-9A63-133C154C13F4}" srcOrd="11" destOrd="0" parTransId="{1D38BC4F-1005-D944-8994-DE3E7D0C2854}" sibTransId="{07449F9C-0F2D-0641-904D-0AC36E782591}"/>
    <dgm:cxn modelId="{80FBB92F-7FB5-0142-8E2B-14FEE5813BBF}" srcId="{0F23241E-7EAA-1347-8DBD-4E6A4822570C}" destId="{63952215-30B3-AA4E-8147-59D3830692DC}" srcOrd="1" destOrd="0" parTransId="{0BF7E3CB-DB41-2845-BC1B-C5AB2221A501}" sibTransId="{091127E4-7DC6-A647-8768-2B64CE148C44}"/>
    <dgm:cxn modelId="{B424AE36-55BC-3141-9871-DB967639AFAD}" type="presOf" srcId="{4A52E214-B0D5-4D4C-BC0B-23F17897623A}" destId="{E404B8AF-9211-8A46-A6BF-9163536B64A0}" srcOrd="0" destOrd="0" presId="urn:microsoft.com/office/officeart/2005/8/layout/process4"/>
    <dgm:cxn modelId="{F9800D38-22AE-1A4E-BFA7-427C2E67D3BC}" type="presOf" srcId="{81F086BA-4CE2-6B45-9A63-133C154C13F4}" destId="{F5EA2978-43D4-2344-A8FD-38B1942A0A1E}" srcOrd="0" destOrd="0" presId="urn:microsoft.com/office/officeart/2005/8/layout/process4"/>
    <dgm:cxn modelId="{213B4A42-986B-6746-B194-5AB5EEDCEF86}" type="presOf" srcId="{E8267802-D214-344A-9E1C-D1B38147E350}" destId="{B93A375E-A488-1842-B435-E2657D4A74EC}" srcOrd="0" destOrd="0" presId="urn:microsoft.com/office/officeart/2005/8/layout/process4"/>
    <dgm:cxn modelId="{814C2563-9D4F-A346-B177-A45E5FE39294}" srcId="{0F23241E-7EAA-1347-8DBD-4E6A4822570C}" destId="{797F6BFE-3F3C-D849-A994-AC0C9A42443F}" srcOrd="7" destOrd="0" parTransId="{5E6D626C-9C62-3A47-9B87-1ABFA306DC76}" sibTransId="{D64F8232-9274-3F43-B5D1-A3D1C2EE5BDD}"/>
    <dgm:cxn modelId="{13881565-4B5F-BF49-8479-0F852E7968F7}" srcId="{0F23241E-7EAA-1347-8DBD-4E6A4822570C}" destId="{B7320670-5E35-F847-A1B8-369F53E39D13}" srcOrd="8" destOrd="0" parTransId="{C38E7868-2371-A946-9970-D00C479AED3D}" sibTransId="{2706B4D1-2C87-D642-8953-FC3923BB1D51}"/>
    <dgm:cxn modelId="{440D1766-6F05-2A49-8C3D-57753FD8E20F}" type="presOf" srcId="{480D971B-27AA-824A-AF2F-E6DB2AE94ED8}" destId="{37AAB100-F0D8-4442-A989-971C79BDC058}" srcOrd="0" destOrd="0" presId="urn:microsoft.com/office/officeart/2005/8/layout/process4"/>
    <dgm:cxn modelId="{36E59D6B-E99D-584D-AA8C-5CA7B4E210CC}" type="presOf" srcId="{797F6BFE-3F3C-D849-A994-AC0C9A42443F}" destId="{6CEDC011-89BA-5B46-8F4C-374C8FDE459D}" srcOrd="0" destOrd="0" presId="urn:microsoft.com/office/officeart/2005/8/layout/process4"/>
    <dgm:cxn modelId="{B0BB494F-B534-3A40-B61B-7FAFCB232D59}" srcId="{0F23241E-7EAA-1347-8DBD-4E6A4822570C}" destId="{C22B7C0B-C148-6C47-A448-A742297E9F9E}" srcOrd="6" destOrd="0" parTransId="{BECF52A1-2317-7C49-9A37-BFDD77CC7DAF}" sibTransId="{4EC0B5ED-192F-F546-98B0-82010FD25218}"/>
    <dgm:cxn modelId="{670BAE7B-4E8C-504C-A4C3-C97208CDFE2F}" type="presOf" srcId="{68F7809A-58B3-9A45-85E0-4DB933595440}" destId="{2A73DA62-CAC1-C043-AF07-ECFF7A7DD04F}" srcOrd="0" destOrd="0" presId="urn:microsoft.com/office/officeart/2005/8/layout/process4"/>
    <dgm:cxn modelId="{3BDCEE85-EF48-6044-AE3F-E2789D6C9033}" type="presOf" srcId="{C22B7C0B-C148-6C47-A448-A742297E9F9E}" destId="{4559D395-FF7E-BF41-B885-3F4C1C338973}" srcOrd="0" destOrd="0" presId="urn:microsoft.com/office/officeart/2005/8/layout/process4"/>
    <dgm:cxn modelId="{67363E87-38F8-824F-87FC-AD1A8B644206}" type="presOf" srcId="{3044B200-8F65-DF45-BAAA-89173A791125}" destId="{1B74346D-74CE-AE41-958E-05ECFF1B133C}" srcOrd="0" destOrd="0" presId="urn:microsoft.com/office/officeart/2005/8/layout/process4"/>
    <dgm:cxn modelId="{49ABB290-2925-2D44-94D1-5125644F4441}" type="presOf" srcId="{E5720698-3350-5445-9D97-2B17F6D11E0F}" destId="{763E8193-80DD-9740-B555-E6D7D4D40B8F}" srcOrd="0" destOrd="0" presId="urn:microsoft.com/office/officeart/2005/8/layout/process4"/>
    <dgm:cxn modelId="{6FE2D093-2426-994F-B4B1-0A1A80F72F01}" srcId="{0F23241E-7EAA-1347-8DBD-4E6A4822570C}" destId="{3044B200-8F65-DF45-BAAA-89173A791125}" srcOrd="2" destOrd="0" parTransId="{AE318A24-0BFB-7C4D-8D68-3DC388AC21F4}" sibTransId="{8C626D0C-1D35-7A4B-A0A8-6943748902FF}"/>
    <dgm:cxn modelId="{ED2903AA-2DA8-5F4A-A8A1-18A3E63CBA7B}" srcId="{0F23241E-7EAA-1347-8DBD-4E6A4822570C}" destId="{68F7809A-58B3-9A45-85E0-4DB933595440}" srcOrd="9" destOrd="0" parTransId="{4B47E89F-9B5B-C748-9CA5-49A5F06AACF5}" sibTransId="{4011EDEE-5D8F-2F46-BD3E-94DE74806E3C}"/>
    <dgm:cxn modelId="{B22CB1D2-43B1-944E-9B90-9E0D5E6EF6F2}" type="presOf" srcId="{10FF4503-4EB7-E440-B4E0-82BC1571FA29}" destId="{E31D533E-74D5-8E45-9B52-4F9D612A1D7D}" srcOrd="0" destOrd="0" presId="urn:microsoft.com/office/officeart/2005/8/layout/process4"/>
    <dgm:cxn modelId="{990BE9E4-6527-644C-84C0-660E6E896379}" srcId="{0F23241E-7EAA-1347-8DBD-4E6A4822570C}" destId="{FAC31F55-77E9-444E-84E2-565CDC5CD602}" srcOrd="3" destOrd="0" parTransId="{C482BA59-0000-B04E-AF60-3F254F9ED361}" sibTransId="{ED205BC6-05ED-9B45-8EDB-8F03C7B9A663}"/>
    <dgm:cxn modelId="{7824CCE5-BEE6-2B4D-ADB2-41335A212FA2}" type="presOf" srcId="{0F23241E-7EAA-1347-8DBD-4E6A4822570C}" destId="{D6E12C4D-FB86-4447-9325-1569B95E2BC4}" srcOrd="0" destOrd="0" presId="urn:microsoft.com/office/officeart/2005/8/layout/process4"/>
    <dgm:cxn modelId="{614409F8-CE1B-E64C-9EB3-51296C9F5C8B}" type="presOf" srcId="{FAC31F55-77E9-444E-84E2-565CDC5CD602}" destId="{86843619-F28E-C54B-AAAF-5B0EBC602F79}" srcOrd="0" destOrd="0" presId="urn:microsoft.com/office/officeart/2005/8/layout/process4"/>
    <dgm:cxn modelId="{123064FA-4443-0549-BABA-B9D6D90E2418}" type="presOf" srcId="{B7320670-5E35-F847-A1B8-369F53E39D13}" destId="{4471F8D7-B5DF-E049-820F-A7ADB15FB319}" srcOrd="0" destOrd="0" presId="urn:microsoft.com/office/officeart/2005/8/layout/process4"/>
    <dgm:cxn modelId="{F9ECC7A9-F367-9449-BA4C-AB7BD03649B5}" type="presParOf" srcId="{D6E12C4D-FB86-4447-9325-1569B95E2BC4}" destId="{BB773633-51A3-7D46-9DA2-DC550E5C0555}" srcOrd="0" destOrd="0" presId="urn:microsoft.com/office/officeart/2005/8/layout/process4"/>
    <dgm:cxn modelId="{683153C9-33AC-6A4E-A8FA-59DCF47B77BD}" type="presParOf" srcId="{BB773633-51A3-7D46-9DA2-DC550E5C0555}" destId="{E31D533E-74D5-8E45-9B52-4F9D612A1D7D}" srcOrd="0" destOrd="0" presId="urn:microsoft.com/office/officeart/2005/8/layout/process4"/>
    <dgm:cxn modelId="{C58D882C-1A80-E942-8DB7-0CBBA967D6E0}" type="presParOf" srcId="{D6E12C4D-FB86-4447-9325-1569B95E2BC4}" destId="{092D303A-1217-3A40-904E-0D23F1345043}" srcOrd="1" destOrd="0" presId="urn:microsoft.com/office/officeart/2005/8/layout/process4"/>
    <dgm:cxn modelId="{3DC6851C-371A-3148-8AB3-CB042BAB97FD}" type="presParOf" srcId="{D6E12C4D-FB86-4447-9325-1569B95E2BC4}" destId="{11EED0EF-ACEC-AA4F-97D8-39BF2B078B27}" srcOrd="2" destOrd="0" presId="urn:microsoft.com/office/officeart/2005/8/layout/process4"/>
    <dgm:cxn modelId="{00881695-A384-6B4C-A41B-5D8EA7AA976E}" type="presParOf" srcId="{11EED0EF-ACEC-AA4F-97D8-39BF2B078B27}" destId="{F5EA2978-43D4-2344-A8FD-38B1942A0A1E}" srcOrd="0" destOrd="0" presId="urn:microsoft.com/office/officeart/2005/8/layout/process4"/>
    <dgm:cxn modelId="{C739B0EE-93B9-614F-BE38-0944E68588D1}" type="presParOf" srcId="{D6E12C4D-FB86-4447-9325-1569B95E2BC4}" destId="{64186A4D-4BE7-0740-BB44-BBE721176607}" srcOrd="3" destOrd="0" presId="urn:microsoft.com/office/officeart/2005/8/layout/process4"/>
    <dgm:cxn modelId="{DCBEE83A-7E07-0644-A023-5E57109CED3F}" type="presParOf" srcId="{D6E12C4D-FB86-4447-9325-1569B95E2BC4}" destId="{1E92282E-E30E-B44B-A6AE-820C9CE8A9D0}" srcOrd="4" destOrd="0" presId="urn:microsoft.com/office/officeart/2005/8/layout/process4"/>
    <dgm:cxn modelId="{D3CDF0C3-5202-B74B-9F49-D2DAD52D53DE}" type="presParOf" srcId="{1E92282E-E30E-B44B-A6AE-820C9CE8A9D0}" destId="{E404B8AF-9211-8A46-A6BF-9163536B64A0}" srcOrd="0" destOrd="0" presId="urn:microsoft.com/office/officeart/2005/8/layout/process4"/>
    <dgm:cxn modelId="{0D665F2F-6E5B-A54A-996B-0CE75857E94B}" type="presParOf" srcId="{D6E12C4D-FB86-4447-9325-1569B95E2BC4}" destId="{E26C1FD8-A541-0044-89F5-70E93F0AEA1F}" srcOrd="5" destOrd="0" presId="urn:microsoft.com/office/officeart/2005/8/layout/process4"/>
    <dgm:cxn modelId="{13A8B404-F1E7-6442-A143-D3EC3DFBCBA1}" type="presParOf" srcId="{D6E12C4D-FB86-4447-9325-1569B95E2BC4}" destId="{304110FF-FAFA-9F41-963F-628E7BF9B0B2}" srcOrd="6" destOrd="0" presId="urn:microsoft.com/office/officeart/2005/8/layout/process4"/>
    <dgm:cxn modelId="{EA10DCE4-EBB8-E64C-87DF-D1884EDA040C}" type="presParOf" srcId="{304110FF-FAFA-9F41-963F-628E7BF9B0B2}" destId="{2A73DA62-CAC1-C043-AF07-ECFF7A7DD04F}" srcOrd="0" destOrd="0" presId="urn:microsoft.com/office/officeart/2005/8/layout/process4"/>
    <dgm:cxn modelId="{90E58529-F6F2-C647-B7C6-2BC2400CA4E6}" type="presParOf" srcId="{D6E12C4D-FB86-4447-9325-1569B95E2BC4}" destId="{3390B2A7-7B82-9B4A-AE88-83F114540C9D}" srcOrd="7" destOrd="0" presId="urn:microsoft.com/office/officeart/2005/8/layout/process4"/>
    <dgm:cxn modelId="{951F7717-D318-6B4A-BD29-1B729FE8149C}" type="presParOf" srcId="{D6E12C4D-FB86-4447-9325-1569B95E2BC4}" destId="{BB820406-5C4F-EB4D-8E47-FF656F6D4EC8}" srcOrd="8" destOrd="0" presId="urn:microsoft.com/office/officeart/2005/8/layout/process4"/>
    <dgm:cxn modelId="{A65C158E-B8C5-194D-9CE5-8E0336CB2FA4}" type="presParOf" srcId="{BB820406-5C4F-EB4D-8E47-FF656F6D4EC8}" destId="{4471F8D7-B5DF-E049-820F-A7ADB15FB319}" srcOrd="0" destOrd="0" presId="urn:microsoft.com/office/officeart/2005/8/layout/process4"/>
    <dgm:cxn modelId="{D9D3B854-4FFA-F647-A082-0C8DF85D9313}" type="presParOf" srcId="{D6E12C4D-FB86-4447-9325-1569B95E2BC4}" destId="{618DD604-5D01-664B-9C8F-1FD633442333}" srcOrd="9" destOrd="0" presId="urn:microsoft.com/office/officeart/2005/8/layout/process4"/>
    <dgm:cxn modelId="{74A50F7D-0381-4C40-9C2E-AEB38D390CDA}" type="presParOf" srcId="{D6E12C4D-FB86-4447-9325-1569B95E2BC4}" destId="{13A5BB62-C628-B741-98E8-6E8108235CFF}" srcOrd="10" destOrd="0" presId="urn:microsoft.com/office/officeart/2005/8/layout/process4"/>
    <dgm:cxn modelId="{B8618AAC-9E38-4C4A-BE33-449F78D6C1D8}" type="presParOf" srcId="{13A5BB62-C628-B741-98E8-6E8108235CFF}" destId="{6CEDC011-89BA-5B46-8F4C-374C8FDE459D}" srcOrd="0" destOrd="0" presId="urn:microsoft.com/office/officeart/2005/8/layout/process4"/>
    <dgm:cxn modelId="{9EBCE7E0-32A3-ED45-ADB0-A5D7F604A02E}" type="presParOf" srcId="{D6E12C4D-FB86-4447-9325-1569B95E2BC4}" destId="{5B3D1BC6-F289-F74D-B534-D8658E2D4893}" srcOrd="11" destOrd="0" presId="urn:microsoft.com/office/officeart/2005/8/layout/process4"/>
    <dgm:cxn modelId="{21EACC6B-30F6-564D-AE96-C896DABE0ACB}" type="presParOf" srcId="{D6E12C4D-FB86-4447-9325-1569B95E2BC4}" destId="{2C6736AC-9B4A-874E-98FA-51382EB5E9B4}" srcOrd="12" destOrd="0" presId="urn:microsoft.com/office/officeart/2005/8/layout/process4"/>
    <dgm:cxn modelId="{EE4C9A24-1788-7A4E-A0B3-622F7E08C3D9}" type="presParOf" srcId="{2C6736AC-9B4A-874E-98FA-51382EB5E9B4}" destId="{4559D395-FF7E-BF41-B885-3F4C1C338973}" srcOrd="0" destOrd="0" presId="urn:microsoft.com/office/officeart/2005/8/layout/process4"/>
    <dgm:cxn modelId="{35DB793D-BA44-4A40-9166-B6EDB61F48CD}" type="presParOf" srcId="{D6E12C4D-FB86-4447-9325-1569B95E2BC4}" destId="{1DD216C4-9DDD-2F4A-B69E-0EB0EAC4B4CE}" srcOrd="13" destOrd="0" presId="urn:microsoft.com/office/officeart/2005/8/layout/process4"/>
    <dgm:cxn modelId="{4185D365-4F8F-A044-872C-11AB83BC69A8}" type="presParOf" srcId="{D6E12C4D-FB86-4447-9325-1569B95E2BC4}" destId="{67A10285-1D26-6949-8084-A02A7C0F520C}" srcOrd="14" destOrd="0" presId="urn:microsoft.com/office/officeart/2005/8/layout/process4"/>
    <dgm:cxn modelId="{27054B4C-022B-744D-B623-5A1D40A117EC}" type="presParOf" srcId="{67A10285-1D26-6949-8084-A02A7C0F520C}" destId="{37AAB100-F0D8-4442-A989-971C79BDC058}" srcOrd="0" destOrd="0" presId="urn:microsoft.com/office/officeart/2005/8/layout/process4"/>
    <dgm:cxn modelId="{8850D8E0-B2F2-4348-9D01-D2A2C08C9D35}" type="presParOf" srcId="{D6E12C4D-FB86-4447-9325-1569B95E2BC4}" destId="{C87734CF-E542-6E43-B242-A3C18D377023}" srcOrd="15" destOrd="0" presId="urn:microsoft.com/office/officeart/2005/8/layout/process4"/>
    <dgm:cxn modelId="{1F4E84DB-7B64-AB40-911E-BBDB1F7C386F}" type="presParOf" srcId="{D6E12C4D-FB86-4447-9325-1569B95E2BC4}" destId="{13F2EF58-93E5-0D44-84DC-0C644DDB8678}" srcOrd="16" destOrd="0" presId="urn:microsoft.com/office/officeart/2005/8/layout/process4"/>
    <dgm:cxn modelId="{3801C5C1-C1E6-6249-A71D-5E044D135CA6}" type="presParOf" srcId="{13F2EF58-93E5-0D44-84DC-0C644DDB8678}" destId="{763E8193-80DD-9740-B555-E6D7D4D40B8F}" srcOrd="0" destOrd="0" presId="urn:microsoft.com/office/officeart/2005/8/layout/process4"/>
    <dgm:cxn modelId="{15063220-334C-884D-806D-6F72D2C72B05}" type="presParOf" srcId="{D6E12C4D-FB86-4447-9325-1569B95E2BC4}" destId="{4DCE18FF-ADC8-294A-9A9A-066B55208B28}" srcOrd="17" destOrd="0" presId="urn:microsoft.com/office/officeart/2005/8/layout/process4"/>
    <dgm:cxn modelId="{AEAF9D04-E7E2-8C43-A025-A7B794D8FA01}" type="presParOf" srcId="{D6E12C4D-FB86-4447-9325-1569B95E2BC4}" destId="{DA58A724-EB42-244A-BB5E-6DDB431A5133}" srcOrd="18" destOrd="0" presId="urn:microsoft.com/office/officeart/2005/8/layout/process4"/>
    <dgm:cxn modelId="{926231CB-2F2E-1E46-A79C-478822DC55EC}" type="presParOf" srcId="{DA58A724-EB42-244A-BB5E-6DDB431A5133}" destId="{86843619-F28E-C54B-AAAF-5B0EBC602F79}" srcOrd="0" destOrd="0" presId="urn:microsoft.com/office/officeart/2005/8/layout/process4"/>
    <dgm:cxn modelId="{E03E5E29-B39E-0A44-B22B-63DC762D94B1}" type="presParOf" srcId="{D6E12C4D-FB86-4447-9325-1569B95E2BC4}" destId="{69FA5750-B2BD-8340-A116-49CE50015D50}" srcOrd="19" destOrd="0" presId="urn:microsoft.com/office/officeart/2005/8/layout/process4"/>
    <dgm:cxn modelId="{EEA3C075-FA85-0A40-849E-D543CBF70B73}" type="presParOf" srcId="{D6E12C4D-FB86-4447-9325-1569B95E2BC4}" destId="{BB4A19E1-1840-6341-B25C-AABCF9755A4D}" srcOrd="20" destOrd="0" presId="urn:microsoft.com/office/officeart/2005/8/layout/process4"/>
    <dgm:cxn modelId="{CDD8AB3C-89A8-F041-9E0E-4AC1EFA2C9C5}" type="presParOf" srcId="{BB4A19E1-1840-6341-B25C-AABCF9755A4D}" destId="{1B74346D-74CE-AE41-958E-05ECFF1B133C}" srcOrd="0" destOrd="0" presId="urn:microsoft.com/office/officeart/2005/8/layout/process4"/>
    <dgm:cxn modelId="{F1A9F5A9-4179-1744-A916-AFEFCBF9ABDD}" type="presParOf" srcId="{D6E12C4D-FB86-4447-9325-1569B95E2BC4}" destId="{DB24787E-5414-AA40-8A6E-BD62C79DFADF}" srcOrd="21" destOrd="0" presId="urn:microsoft.com/office/officeart/2005/8/layout/process4"/>
    <dgm:cxn modelId="{E494697A-C8FE-B34B-BA65-E66B5D2B94E3}" type="presParOf" srcId="{D6E12C4D-FB86-4447-9325-1569B95E2BC4}" destId="{A6BAC69B-42C1-9A4A-ABF6-9DD6A41B86F4}" srcOrd="22" destOrd="0" presId="urn:microsoft.com/office/officeart/2005/8/layout/process4"/>
    <dgm:cxn modelId="{895ADE10-0E93-1344-864A-4ECCD4030DBC}" type="presParOf" srcId="{A6BAC69B-42C1-9A4A-ABF6-9DD6A41B86F4}" destId="{7A7E081C-0CCF-C447-8E32-2C3E1880D753}" srcOrd="0" destOrd="0" presId="urn:microsoft.com/office/officeart/2005/8/layout/process4"/>
    <dgm:cxn modelId="{926D7974-9438-2140-B2EF-87CDE7CF4391}" type="presParOf" srcId="{D6E12C4D-FB86-4447-9325-1569B95E2BC4}" destId="{5D262AE7-6E5F-0740-8587-F80C04F55B26}" srcOrd="23" destOrd="0" presId="urn:microsoft.com/office/officeart/2005/8/layout/process4"/>
    <dgm:cxn modelId="{4F7F7839-6D4C-4D43-A151-40DDD8B5285F}" type="presParOf" srcId="{D6E12C4D-FB86-4447-9325-1569B95E2BC4}" destId="{62253B6E-9F12-1045-B0E3-C76F544C4129}" srcOrd="24" destOrd="0" presId="urn:microsoft.com/office/officeart/2005/8/layout/process4"/>
    <dgm:cxn modelId="{F2A0B689-C862-A346-90EA-2AED43B1E942}" type="presParOf" srcId="{62253B6E-9F12-1045-B0E3-C76F544C4129}" destId="{B93A375E-A488-1842-B435-E2657D4A74EC}" srcOrd="0" destOrd="0" presId="urn:microsoft.com/office/officeart/2005/8/layout/process4"/>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7311E271-6C77-514E-B5B7-A427252E6167}" type="doc">
      <dgm:prSet loTypeId="urn:microsoft.com/office/officeart/2005/8/layout/lProcess2" loCatId="" qsTypeId="urn:microsoft.com/office/officeart/2005/8/quickstyle/simple4" qsCatId="simple" csTypeId="urn:microsoft.com/office/officeart/2005/8/colors/accent1_2" csCatId="accent1" phldr="1"/>
      <dgm:spPr/>
      <dgm:t>
        <a:bodyPr/>
        <a:lstStyle/>
        <a:p>
          <a:endParaRPr lang="en-US"/>
        </a:p>
      </dgm:t>
    </dgm:pt>
    <dgm:pt modelId="{E46FA09D-7C69-324E-AFD6-948EE60EBB4D}">
      <dgm:prSet phldrT="[Text]"/>
      <dgm:spPr/>
      <dgm:t>
        <a:bodyPr/>
        <a:lstStyle/>
        <a:p>
          <a:r>
            <a:rPr lang="en-US"/>
            <a:t>Practice under pressure</a:t>
          </a:r>
        </a:p>
      </dgm:t>
    </dgm:pt>
    <dgm:pt modelId="{0ED839CC-3E77-DC44-A52B-3995828D96BE}" type="parTrans" cxnId="{0836F85C-A23C-0044-9BFA-49E2042F2BF9}">
      <dgm:prSet/>
      <dgm:spPr/>
      <dgm:t>
        <a:bodyPr/>
        <a:lstStyle/>
        <a:p>
          <a:endParaRPr lang="en-US"/>
        </a:p>
      </dgm:t>
    </dgm:pt>
    <dgm:pt modelId="{986EDAF3-F3BC-8045-B9B6-B7B4CBE6D3A2}" type="sibTrans" cxnId="{0836F85C-A23C-0044-9BFA-49E2042F2BF9}">
      <dgm:prSet/>
      <dgm:spPr/>
      <dgm:t>
        <a:bodyPr/>
        <a:lstStyle/>
        <a:p>
          <a:endParaRPr lang="en-US"/>
        </a:p>
      </dgm:t>
    </dgm:pt>
    <dgm:pt modelId="{2828FD28-CC14-C944-B4EF-FFD24C36D853}">
      <dgm:prSet phldrT="[Text]"/>
      <dgm:spPr/>
      <dgm:t>
        <a:bodyPr/>
        <a:lstStyle/>
        <a:p>
          <a:r>
            <a:rPr lang="en-US"/>
            <a:t>Expectations</a:t>
          </a:r>
        </a:p>
      </dgm:t>
    </dgm:pt>
    <dgm:pt modelId="{8FF506CE-329D-1E42-B257-C310CD95C027}" type="parTrans" cxnId="{19CF84D9-F2B2-9F4C-9DED-F711D2C0EF49}">
      <dgm:prSet/>
      <dgm:spPr/>
      <dgm:t>
        <a:bodyPr/>
        <a:lstStyle/>
        <a:p>
          <a:endParaRPr lang="en-US"/>
        </a:p>
      </dgm:t>
    </dgm:pt>
    <dgm:pt modelId="{6B34EF40-4BE2-D044-9FE1-B73D1F89FDCF}" type="sibTrans" cxnId="{19CF84D9-F2B2-9F4C-9DED-F711D2C0EF49}">
      <dgm:prSet/>
      <dgm:spPr/>
      <dgm:t>
        <a:bodyPr/>
        <a:lstStyle/>
        <a:p>
          <a:endParaRPr lang="en-US"/>
        </a:p>
      </dgm:t>
    </dgm:pt>
    <dgm:pt modelId="{172FA4C1-292C-524B-8DB1-A6F911600A3F}">
      <dgm:prSet phldrT="[Text]"/>
      <dgm:spPr/>
      <dgm:t>
        <a:bodyPr/>
        <a:lstStyle/>
        <a:p>
          <a:r>
            <a:rPr lang="en-US"/>
            <a:t>Role and responsibility</a:t>
          </a:r>
        </a:p>
      </dgm:t>
    </dgm:pt>
    <dgm:pt modelId="{43030ADE-C157-AF44-847A-F1E8CA60B29D}" type="parTrans" cxnId="{8FD5E721-661F-B744-BD74-FD8C3B9469C7}">
      <dgm:prSet/>
      <dgm:spPr/>
      <dgm:t>
        <a:bodyPr/>
        <a:lstStyle/>
        <a:p>
          <a:endParaRPr lang="en-US"/>
        </a:p>
      </dgm:t>
    </dgm:pt>
    <dgm:pt modelId="{F563BE20-5959-AF40-8460-741E017E556F}" type="sibTrans" cxnId="{8FD5E721-661F-B744-BD74-FD8C3B9469C7}">
      <dgm:prSet/>
      <dgm:spPr/>
      <dgm:t>
        <a:bodyPr/>
        <a:lstStyle/>
        <a:p>
          <a:endParaRPr lang="en-US"/>
        </a:p>
      </dgm:t>
    </dgm:pt>
    <dgm:pt modelId="{4880F96D-E0FD-504E-B73A-2B8FAA1912BD}">
      <dgm:prSet phldrT="[Text]"/>
      <dgm:spPr/>
      <dgm:t>
        <a:bodyPr/>
        <a:lstStyle/>
        <a:p>
          <a:r>
            <a:rPr lang="en-US"/>
            <a:t>Expectations and Escalation</a:t>
          </a:r>
        </a:p>
      </dgm:t>
    </dgm:pt>
    <dgm:pt modelId="{EDFB5500-B621-2549-95E1-68C16CDFB22A}" type="parTrans" cxnId="{BAA5E65E-97BD-5740-8347-3FFC841A61FF}">
      <dgm:prSet/>
      <dgm:spPr/>
      <dgm:t>
        <a:bodyPr/>
        <a:lstStyle/>
        <a:p>
          <a:endParaRPr lang="en-US"/>
        </a:p>
      </dgm:t>
    </dgm:pt>
    <dgm:pt modelId="{6CDED57F-3ABC-BB43-A6E6-98039F63E50A}" type="sibTrans" cxnId="{BAA5E65E-97BD-5740-8347-3FFC841A61FF}">
      <dgm:prSet/>
      <dgm:spPr/>
      <dgm:t>
        <a:bodyPr/>
        <a:lstStyle/>
        <a:p>
          <a:endParaRPr lang="en-US"/>
        </a:p>
      </dgm:t>
    </dgm:pt>
    <dgm:pt modelId="{264A72E8-7DB2-D540-8AE0-A2D36870EE38}">
      <dgm:prSet phldrT="[Text]"/>
      <dgm:spPr/>
      <dgm:t>
        <a:bodyPr/>
        <a:lstStyle/>
        <a:p>
          <a:r>
            <a:rPr lang="en-US"/>
            <a:t>Role and responsibility</a:t>
          </a:r>
        </a:p>
      </dgm:t>
    </dgm:pt>
    <dgm:pt modelId="{4127C2AE-6968-F844-8D86-F0865EAEF0DA}" type="parTrans" cxnId="{5EBBC6DC-B078-1249-874E-5CF247EF3DB7}">
      <dgm:prSet/>
      <dgm:spPr/>
      <dgm:t>
        <a:bodyPr/>
        <a:lstStyle/>
        <a:p>
          <a:endParaRPr lang="en-US"/>
        </a:p>
      </dgm:t>
    </dgm:pt>
    <dgm:pt modelId="{A7D6FE2F-A575-714A-A24F-E6748CE2BAE6}" type="sibTrans" cxnId="{5EBBC6DC-B078-1249-874E-5CF247EF3DB7}">
      <dgm:prSet/>
      <dgm:spPr/>
      <dgm:t>
        <a:bodyPr/>
        <a:lstStyle/>
        <a:p>
          <a:endParaRPr lang="en-US"/>
        </a:p>
      </dgm:t>
    </dgm:pt>
    <dgm:pt modelId="{29821CB3-D127-9C4B-A7F3-21334F661A2D}">
      <dgm:prSet phldrT="[Text]"/>
      <dgm:spPr/>
      <dgm:t>
        <a:bodyPr/>
        <a:lstStyle/>
        <a:p>
          <a:r>
            <a:rPr lang="en-US"/>
            <a:t>Hierarchy</a:t>
          </a:r>
        </a:p>
      </dgm:t>
    </dgm:pt>
    <dgm:pt modelId="{6CA8C4B8-AF43-ED4B-8809-A9627CE3ECBE}" type="parTrans" cxnId="{BEE0D00C-B8FE-D444-9251-21342D0DDC93}">
      <dgm:prSet/>
      <dgm:spPr/>
      <dgm:t>
        <a:bodyPr/>
        <a:lstStyle/>
        <a:p>
          <a:endParaRPr lang="en-US"/>
        </a:p>
      </dgm:t>
    </dgm:pt>
    <dgm:pt modelId="{3C7F4070-0069-E346-B9D3-77E117A0D9EF}" type="sibTrans" cxnId="{BEE0D00C-B8FE-D444-9251-21342D0DDC93}">
      <dgm:prSet/>
      <dgm:spPr/>
      <dgm:t>
        <a:bodyPr/>
        <a:lstStyle/>
        <a:p>
          <a:endParaRPr lang="en-US"/>
        </a:p>
      </dgm:t>
    </dgm:pt>
    <dgm:pt modelId="{92C48BEC-BBD5-744C-A041-1E4334677A5C}">
      <dgm:prSet phldrT="[Text]"/>
      <dgm:spPr/>
      <dgm:t>
        <a:bodyPr/>
        <a:lstStyle/>
        <a:p>
          <a:r>
            <a:rPr lang="en-US"/>
            <a:t>Simulation</a:t>
          </a:r>
        </a:p>
      </dgm:t>
    </dgm:pt>
    <dgm:pt modelId="{2ECFCD5F-35A8-D540-BAAA-A10010ED1EF0}" type="parTrans" cxnId="{2AE27F75-4572-8F42-A6FF-C36B813000E7}">
      <dgm:prSet/>
      <dgm:spPr/>
      <dgm:t>
        <a:bodyPr/>
        <a:lstStyle/>
        <a:p>
          <a:endParaRPr lang="en-US"/>
        </a:p>
      </dgm:t>
    </dgm:pt>
    <dgm:pt modelId="{F46CA30F-ED74-1348-80BC-58BB355013BC}" type="sibTrans" cxnId="{2AE27F75-4572-8F42-A6FF-C36B813000E7}">
      <dgm:prSet/>
      <dgm:spPr/>
      <dgm:t>
        <a:bodyPr/>
        <a:lstStyle/>
        <a:p>
          <a:endParaRPr lang="en-US"/>
        </a:p>
      </dgm:t>
    </dgm:pt>
    <dgm:pt modelId="{B0277894-FB52-CA4E-9CA6-0F93CDF48E58}">
      <dgm:prSet phldrT="[Text]"/>
      <dgm:spPr/>
      <dgm:t>
        <a:bodyPr/>
        <a:lstStyle/>
        <a:p>
          <a:r>
            <a:rPr lang="en-US"/>
            <a:t>Realism</a:t>
          </a:r>
        </a:p>
      </dgm:t>
    </dgm:pt>
    <dgm:pt modelId="{E1694950-F17B-2F42-A7A8-2A1E8BA0FBA9}" type="parTrans" cxnId="{9E934762-6643-044D-892E-55724694B089}">
      <dgm:prSet/>
      <dgm:spPr/>
      <dgm:t>
        <a:bodyPr/>
        <a:lstStyle/>
        <a:p>
          <a:endParaRPr lang="en-US"/>
        </a:p>
      </dgm:t>
    </dgm:pt>
    <dgm:pt modelId="{0E6F8918-A957-EB4B-B85C-A9D08A3DA792}" type="sibTrans" cxnId="{9E934762-6643-044D-892E-55724694B089}">
      <dgm:prSet/>
      <dgm:spPr/>
      <dgm:t>
        <a:bodyPr/>
        <a:lstStyle/>
        <a:p>
          <a:endParaRPr lang="en-US"/>
        </a:p>
      </dgm:t>
    </dgm:pt>
    <dgm:pt modelId="{2A00297F-EFBA-B445-B913-99E6E3E9BCD0}">
      <dgm:prSet phldrT="[Text]"/>
      <dgm:spPr/>
      <dgm:t>
        <a:bodyPr/>
        <a:lstStyle/>
        <a:p>
          <a:r>
            <a:rPr lang="en-US"/>
            <a:t>Best practice</a:t>
          </a:r>
        </a:p>
      </dgm:t>
    </dgm:pt>
    <dgm:pt modelId="{563766FA-659D-8746-BEB9-0D940F9CEE34}" type="parTrans" cxnId="{7313FBEA-CC7B-9F49-AF02-5E329A3A8BE7}">
      <dgm:prSet/>
      <dgm:spPr/>
      <dgm:t>
        <a:bodyPr/>
        <a:lstStyle/>
        <a:p>
          <a:endParaRPr lang="en-US"/>
        </a:p>
      </dgm:t>
    </dgm:pt>
    <dgm:pt modelId="{2FE701ED-2E8D-1746-928E-93F228019CD7}" type="sibTrans" cxnId="{7313FBEA-CC7B-9F49-AF02-5E329A3A8BE7}">
      <dgm:prSet/>
      <dgm:spPr/>
      <dgm:t>
        <a:bodyPr/>
        <a:lstStyle/>
        <a:p>
          <a:endParaRPr lang="en-US"/>
        </a:p>
      </dgm:t>
    </dgm:pt>
    <dgm:pt modelId="{1364C34B-FF88-464B-8D75-6EFD13DF54E8}">
      <dgm:prSet phldrT="[Text]"/>
      <dgm:spPr/>
      <dgm:t>
        <a:bodyPr/>
        <a:lstStyle/>
        <a:p>
          <a:r>
            <a:rPr lang="en-US"/>
            <a:t>Human Factors</a:t>
          </a:r>
        </a:p>
      </dgm:t>
    </dgm:pt>
    <dgm:pt modelId="{336BA461-EC85-FE45-A454-E548D2F4B680}" type="parTrans" cxnId="{C2899C69-F176-2240-A1FF-3AFCEA7E0598}">
      <dgm:prSet/>
      <dgm:spPr/>
      <dgm:t>
        <a:bodyPr/>
        <a:lstStyle/>
        <a:p>
          <a:endParaRPr lang="en-US"/>
        </a:p>
      </dgm:t>
    </dgm:pt>
    <dgm:pt modelId="{2182D0DF-5702-D241-8734-02C2D6C21609}" type="sibTrans" cxnId="{C2899C69-F176-2240-A1FF-3AFCEA7E0598}">
      <dgm:prSet/>
      <dgm:spPr/>
      <dgm:t>
        <a:bodyPr/>
        <a:lstStyle/>
        <a:p>
          <a:endParaRPr lang="en-US"/>
        </a:p>
      </dgm:t>
    </dgm:pt>
    <dgm:pt modelId="{BCBA4F0E-4A40-8A4A-BD5C-BE76299FD9C3}">
      <dgm:prSet phldrT="[Text]"/>
      <dgm:spPr/>
      <dgm:t>
        <a:bodyPr/>
        <a:lstStyle/>
        <a:p>
          <a:r>
            <a:rPr lang="en-US"/>
            <a:t>Behaviour and Self-insight</a:t>
          </a:r>
        </a:p>
      </dgm:t>
    </dgm:pt>
    <dgm:pt modelId="{FDBD447E-7B1C-134B-9EAE-D2444A7E1D6C}" type="parTrans" cxnId="{16C22857-9BB0-024E-840D-19FABC31826E}">
      <dgm:prSet/>
      <dgm:spPr/>
      <dgm:t>
        <a:bodyPr/>
        <a:lstStyle/>
        <a:p>
          <a:endParaRPr lang="en-US"/>
        </a:p>
      </dgm:t>
    </dgm:pt>
    <dgm:pt modelId="{F1BDF5D2-E7C9-0F40-ABCA-08423852A477}" type="sibTrans" cxnId="{16C22857-9BB0-024E-840D-19FABC31826E}">
      <dgm:prSet/>
      <dgm:spPr/>
      <dgm:t>
        <a:bodyPr/>
        <a:lstStyle/>
        <a:p>
          <a:endParaRPr lang="en-US"/>
        </a:p>
      </dgm:t>
    </dgm:pt>
    <dgm:pt modelId="{10240C94-DF37-F945-8852-98F436A0FFC7}">
      <dgm:prSet phldrT="[Text]"/>
      <dgm:spPr/>
      <dgm:t>
        <a:bodyPr/>
        <a:lstStyle/>
        <a:p>
          <a:r>
            <a:rPr lang="en-US"/>
            <a:t>Inter-professional learning</a:t>
          </a:r>
        </a:p>
      </dgm:t>
    </dgm:pt>
    <dgm:pt modelId="{85CFC18B-E8D8-9A49-8F55-F75DC9B90D3A}" type="parTrans" cxnId="{F4698384-1E74-4948-B5AC-F6797269EDC9}">
      <dgm:prSet/>
      <dgm:spPr/>
      <dgm:t>
        <a:bodyPr/>
        <a:lstStyle/>
        <a:p>
          <a:endParaRPr lang="en-US"/>
        </a:p>
      </dgm:t>
    </dgm:pt>
    <dgm:pt modelId="{896C6913-2FC1-8141-90D0-E9E1D378918B}" type="sibTrans" cxnId="{F4698384-1E74-4948-B5AC-F6797269EDC9}">
      <dgm:prSet/>
      <dgm:spPr/>
      <dgm:t>
        <a:bodyPr/>
        <a:lstStyle/>
        <a:p>
          <a:endParaRPr lang="en-US"/>
        </a:p>
      </dgm:t>
    </dgm:pt>
    <dgm:pt modelId="{9719AB2C-B961-E74F-B42B-F38746A470C5}">
      <dgm:prSet phldrT="[Text]"/>
      <dgm:spPr/>
      <dgm:t>
        <a:bodyPr/>
        <a:lstStyle/>
        <a:p>
          <a:r>
            <a:rPr lang="en-US"/>
            <a:t>Performance under pressure</a:t>
          </a:r>
        </a:p>
      </dgm:t>
    </dgm:pt>
    <dgm:pt modelId="{39819CF7-B7E2-BB4B-B616-36509B522422}" type="parTrans" cxnId="{8795D1A8-4536-634B-847A-40D6D4D971F2}">
      <dgm:prSet/>
      <dgm:spPr/>
    </dgm:pt>
    <dgm:pt modelId="{8778F1EC-1903-4145-A520-4780A34C55FF}" type="sibTrans" cxnId="{8795D1A8-4536-634B-847A-40D6D4D971F2}">
      <dgm:prSet/>
      <dgm:spPr/>
    </dgm:pt>
    <dgm:pt modelId="{D48FEDCB-BB4D-0D45-A459-7229CAF19BBC}">
      <dgm:prSet phldrT="[Text]"/>
      <dgm:spPr/>
      <dgm:t>
        <a:bodyPr/>
        <a:lstStyle/>
        <a:p>
          <a:r>
            <a:rPr lang="en-US"/>
            <a:t>Self-regulation</a:t>
          </a:r>
        </a:p>
      </dgm:t>
    </dgm:pt>
    <dgm:pt modelId="{F3D19937-A4C0-654D-822D-4EA01F4CD18B}" type="parTrans" cxnId="{C2764540-AFBB-8B4E-B52A-71CB9A699022}">
      <dgm:prSet/>
      <dgm:spPr/>
    </dgm:pt>
    <dgm:pt modelId="{A85B1EFB-9FDB-E24C-8F0E-675311EF7C88}" type="sibTrans" cxnId="{C2764540-AFBB-8B4E-B52A-71CB9A699022}">
      <dgm:prSet/>
      <dgm:spPr/>
    </dgm:pt>
    <dgm:pt modelId="{07F1608F-94B8-F54A-BF75-4269CE33DDEE}">
      <dgm:prSet phldrT="[Text]"/>
      <dgm:spPr/>
      <dgm:t>
        <a:bodyPr/>
        <a:lstStyle/>
        <a:p>
          <a:r>
            <a:rPr lang="en-US"/>
            <a:t>Self-objective assessment</a:t>
          </a:r>
        </a:p>
      </dgm:t>
    </dgm:pt>
    <dgm:pt modelId="{D4220846-883B-3A49-A337-76BCC3BA5475}" type="parTrans" cxnId="{47E10DFF-F721-194A-B258-6AFCFC6EC5F3}">
      <dgm:prSet/>
      <dgm:spPr/>
    </dgm:pt>
    <dgm:pt modelId="{76F6149C-08FF-D24F-8124-4DD943DE51A7}" type="sibTrans" cxnId="{47E10DFF-F721-194A-B258-6AFCFC6EC5F3}">
      <dgm:prSet/>
      <dgm:spPr/>
    </dgm:pt>
    <dgm:pt modelId="{B0D2CD06-8C05-2440-8C5A-00DC2053CFA6}">
      <dgm:prSet phldrT="[Text]"/>
      <dgm:spPr/>
      <dgm:t>
        <a:bodyPr/>
        <a:lstStyle/>
        <a:p>
          <a:r>
            <a:rPr lang="en-US"/>
            <a:t>Individual reflection</a:t>
          </a:r>
        </a:p>
      </dgm:t>
    </dgm:pt>
    <dgm:pt modelId="{9D0CA6C6-CDCA-194B-8A34-E1AC6C8D48C2}" type="parTrans" cxnId="{4A084FA4-6B69-7A46-A49C-9C61C5EADB19}">
      <dgm:prSet/>
      <dgm:spPr/>
    </dgm:pt>
    <dgm:pt modelId="{36377613-A679-8F43-8A07-FFBE8D352B02}" type="sibTrans" cxnId="{4A084FA4-6B69-7A46-A49C-9C61C5EADB19}">
      <dgm:prSet/>
      <dgm:spPr/>
    </dgm:pt>
    <dgm:pt modelId="{E1A60A35-B990-474D-8821-3A97984FB585}">
      <dgm:prSet phldrT="[Text]"/>
      <dgm:spPr/>
      <dgm:t>
        <a:bodyPr/>
        <a:lstStyle/>
        <a:p>
          <a:r>
            <a:rPr lang="en-US"/>
            <a:t>Respect, team work</a:t>
          </a:r>
        </a:p>
      </dgm:t>
    </dgm:pt>
    <dgm:pt modelId="{398ED420-49D0-0A41-A6C1-5C138C6D7424}" type="parTrans" cxnId="{C67D7968-E9A5-7E4C-B162-840C043F0BCC}">
      <dgm:prSet/>
      <dgm:spPr/>
    </dgm:pt>
    <dgm:pt modelId="{EC4EDF92-6A64-5A48-8E5D-66230127874F}" type="sibTrans" cxnId="{C67D7968-E9A5-7E4C-B162-840C043F0BCC}">
      <dgm:prSet/>
      <dgm:spPr/>
    </dgm:pt>
    <dgm:pt modelId="{5A7BDB0C-29AA-0F4C-B64B-6750D44C4E2E}">
      <dgm:prSet phldrT="[Text]"/>
      <dgm:spPr/>
      <dgm:t>
        <a:bodyPr/>
        <a:lstStyle/>
        <a:p>
          <a:r>
            <a:rPr lang="en-US"/>
            <a:t>Responsibility</a:t>
          </a:r>
        </a:p>
      </dgm:t>
    </dgm:pt>
    <dgm:pt modelId="{DB1D581A-9086-5E45-8284-1C3FF22436F1}" type="parTrans" cxnId="{FBB70AFE-256D-DE47-AB21-B29834949256}">
      <dgm:prSet/>
      <dgm:spPr/>
    </dgm:pt>
    <dgm:pt modelId="{A47D1A70-CFD4-4449-940F-EAD6073AD615}" type="sibTrans" cxnId="{FBB70AFE-256D-DE47-AB21-B29834949256}">
      <dgm:prSet/>
      <dgm:spPr/>
    </dgm:pt>
    <dgm:pt modelId="{0B06D379-A82E-1347-ADD8-A31BF98D39BF}" type="pres">
      <dgm:prSet presAssocID="{7311E271-6C77-514E-B5B7-A427252E6167}" presName="theList" presStyleCnt="0">
        <dgm:presLayoutVars>
          <dgm:dir/>
          <dgm:animLvl val="lvl"/>
          <dgm:resizeHandles val="exact"/>
        </dgm:presLayoutVars>
      </dgm:prSet>
      <dgm:spPr/>
    </dgm:pt>
    <dgm:pt modelId="{316CDFF1-60C0-6A4D-AC57-FFBF162B4DD9}" type="pres">
      <dgm:prSet presAssocID="{E46FA09D-7C69-324E-AFD6-948EE60EBB4D}" presName="compNode" presStyleCnt="0"/>
      <dgm:spPr/>
    </dgm:pt>
    <dgm:pt modelId="{85E45339-35C2-484A-981D-49E1294167AA}" type="pres">
      <dgm:prSet presAssocID="{E46FA09D-7C69-324E-AFD6-948EE60EBB4D}" presName="aNode" presStyleLbl="bgShp" presStyleIdx="0" presStyleCnt="6"/>
      <dgm:spPr/>
    </dgm:pt>
    <dgm:pt modelId="{F98361D4-0650-154E-846C-60D5F530EF84}" type="pres">
      <dgm:prSet presAssocID="{E46FA09D-7C69-324E-AFD6-948EE60EBB4D}" presName="textNode" presStyleLbl="bgShp" presStyleIdx="0" presStyleCnt="6"/>
      <dgm:spPr/>
    </dgm:pt>
    <dgm:pt modelId="{9F76B54B-BE98-3444-8C40-34B164C39829}" type="pres">
      <dgm:prSet presAssocID="{E46FA09D-7C69-324E-AFD6-948EE60EBB4D}" presName="compChildNode" presStyleCnt="0"/>
      <dgm:spPr/>
    </dgm:pt>
    <dgm:pt modelId="{FEBA2114-A0E4-2F40-B91F-EB770EECD0FE}" type="pres">
      <dgm:prSet presAssocID="{E46FA09D-7C69-324E-AFD6-948EE60EBB4D}" presName="theInnerList" presStyleCnt="0"/>
      <dgm:spPr/>
    </dgm:pt>
    <dgm:pt modelId="{A26FFFA0-E7FA-A349-8FBF-725B50EEB33C}" type="pres">
      <dgm:prSet presAssocID="{2828FD28-CC14-C944-B4EF-FFD24C36D853}" presName="childNode" presStyleLbl="node1" presStyleIdx="0" presStyleCnt="12">
        <dgm:presLayoutVars>
          <dgm:bulletEnabled val="1"/>
        </dgm:presLayoutVars>
      </dgm:prSet>
      <dgm:spPr/>
    </dgm:pt>
    <dgm:pt modelId="{1B838BBB-F9D7-3B41-8AF4-92B95904E55F}" type="pres">
      <dgm:prSet presAssocID="{2828FD28-CC14-C944-B4EF-FFD24C36D853}" presName="aSpace2" presStyleCnt="0"/>
      <dgm:spPr/>
    </dgm:pt>
    <dgm:pt modelId="{CE9F06FB-4E8E-B44B-B953-64B57335168A}" type="pres">
      <dgm:prSet presAssocID="{172FA4C1-292C-524B-8DB1-A6F911600A3F}" presName="childNode" presStyleLbl="node1" presStyleIdx="1" presStyleCnt="12">
        <dgm:presLayoutVars>
          <dgm:bulletEnabled val="1"/>
        </dgm:presLayoutVars>
      </dgm:prSet>
      <dgm:spPr/>
    </dgm:pt>
    <dgm:pt modelId="{3E5FDF27-9B21-E74F-B21E-8F8A6C1F52CA}" type="pres">
      <dgm:prSet presAssocID="{E46FA09D-7C69-324E-AFD6-948EE60EBB4D}" presName="aSpace" presStyleCnt="0"/>
      <dgm:spPr/>
    </dgm:pt>
    <dgm:pt modelId="{6CA3E34D-BD21-0548-B930-AAF33FC01E5F}" type="pres">
      <dgm:prSet presAssocID="{4880F96D-E0FD-504E-B73A-2B8FAA1912BD}" presName="compNode" presStyleCnt="0"/>
      <dgm:spPr/>
    </dgm:pt>
    <dgm:pt modelId="{C16D2B30-004A-9649-BECD-4CA74CF0C58A}" type="pres">
      <dgm:prSet presAssocID="{4880F96D-E0FD-504E-B73A-2B8FAA1912BD}" presName="aNode" presStyleLbl="bgShp" presStyleIdx="1" presStyleCnt="6"/>
      <dgm:spPr/>
    </dgm:pt>
    <dgm:pt modelId="{CAC5B0F2-A01F-3341-9476-72148EC7D01A}" type="pres">
      <dgm:prSet presAssocID="{4880F96D-E0FD-504E-B73A-2B8FAA1912BD}" presName="textNode" presStyleLbl="bgShp" presStyleIdx="1" presStyleCnt="6"/>
      <dgm:spPr/>
    </dgm:pt>
    <dgm:pt modelId="{0F5C3ED0-539E-6949-ABE4-294727A041E4}" type="pres">
      <dgm:prSet presAssocID="{4880F96D-E0FD-504E-B73A-2B8FAA1912BD}" presName="compChildNode" presStyleCnt="0"/>
      <dgm:spPr/>
    </dgm:pt>
    <dgm:pt modelId="{7508C3E0-A444-CA4A-9704-599A52807B3F}" type="pres">
      <dgm:prSet presAssocID="{4880F96D-E0FD-504E-B73A-2B8FAA1912BD}" presName="theInnerList" presStyleCnt="0"/>
      <dgm:spPr/>
    </dgm:pt>
    <dgm:pt modelId="{D4670B84-9FE1-7646-9D8F-4CAF26434074}" type="pres">
      <dgm:prSet presAssocID="{264A72E8-7DB2-D540-8AE0-A2D36870EE38}" presName="childNode" presStyleLbl="node1" presStyleIdx="2" presStyleCnt="12">
        <dgm:presLayoutVars>
          <dgm:bulletEnabled val="1"/>
        </dgm:presLayoutVars>
      </dgm:prSet>
      <dgm:spPr/>
    </dgm:pt>
    <dgm:pt modelId="{606CCC9C-15EE-8C43-8871-692FD934FC20}" type="pres">
      <dgm:prSet presAssocID="{264A72E8-7DB2-D540-8AE0-A2D36870EE38}" presName="aSpace2" presStyleCnt="0"/>
      <dgm:spPr/>
    </dgm:pt>
    <dgm:pt modelId="{A533E403-E880-1C4D-A8B7-BCEE93B78C1F}" type="pres">
      <dgm:prSet presAssocID="{29821CB3-D127-9C4B-A7F3-21334F661A2D}" presName="childNode" presStyleLbl="node1" presStyleIdx="3" presStyleCnt="12">
        <dgm:presLayoutVars>
          <dgm:bulletEnabled val="1"/>
        </dgm:presLayoutVars>
      </dgm:prSet>
      <dgm:spPr/>
    </dgm:pt>
    <dgm:pt modelId="{2699B9AA-25DD-EB4F-8B85-32F4FD258B1E}" type="pres">
      <dgm:prSet presAssocID="{4880F96D-E0FD-504E-B73A-2B8FAA1912BD}" presName="aSpace" presStyleCnt="0"/>
      <dgm:spPr/>
    </dgm:pt>
    <dgm:pt modelId="{96CF8ADA-10B2-BA42-8665-29CF0C124ED3}" type="pres">
      <dgm:prSet presAssocID="{92C48BEC-BBD5-744C-A041-1E4334677A5C}" presName="compNode" presStyleCnt="0"/>
      <dgm:spPr/>
    </dgm:pt>
    <dgm:pt modelId="{56574819-0446-8D44-B34E-43D4A225A41A}" type="pres">
      <dgm:prSet presAssocID="{92C48BEC-BBD5-744C-A041-1E4334677A5C}" presName="aNode" presStyleLbl="bgShp" presStyleIdx="2" presStyleCnt="6"/>
      <dgm:spPr/>
    </dgm:pt>
    <dgm:pt modelId="{4A09CA4E-DAC5-E442-B105-7189E75FD31F}" type="pres">
      <dgm:prSet presAssocID="{92C48BEC-BBD5-744C-A041-1E4334677A5C}" presName="textNode" presStyleLbl="bgShp" presStyleIdx="2" presStyleCnt="6"/>
      <dgm:spPr/>
    </dgm:pt>
    <dgm:pt modelId="{EF88008A-7EA5-2044-82DB-A7D43A4060A5}" type="pres">
      <dgm:prSet presAssocID="{92C48BEC-BBD5-744C-A041-1E4334677A5C}" presName="compChildNode" presStyleCnt="0"/>
      <dgm:spPr/>
    </dgm:pt>
    <dgm:pt modelId="{FCACC77A-8675-5E4E-AEE3-138429C80E2A}" type="pres">
      <dgm:prSet presAssocID="{92C48BEC-BBD5-744C-A041-1E4334677A5C}" presName="theInnerList" presStyleCnt="0"/>
      <dgm:spPr/>
    </dgm:pt>
    <dgm:pt modelId="{139F80D9-2A4F-9040-BD28-6C12B0AEBB7E}" type="pres">
      <dgm:prSet presAssocID="{B0277894-FB52-CA4E-9CA6-0F93CDF48E58}" presName="childNode" presStyleLbl="node1" presStyleIdx="4" presStyleCnt="12">
        <dgm:presLayoutVars>
          <dgm:bulletEnabled val="1"/>
        </dgm:presLayoutVars>
      </dgm:prSet>
      <dgm:spPr/>
    </dgm:pt>
    <dgm:pt modelId="{E53B1916-4C8A-4F47-9F06-28594621DE80}" type="pres">
      <dgm:prSet presAssocID="{B0277894-FB52-CA4E-9CA6-0F93CDF48E58}" presName="aSpace2" presStyleCnt="0"/>
      <dgm:spPr/>
    </dgm:pt>
    <dgm:pt modelId="{F5455E78-963D-D34A-AE26-9DEE457804A3}" type="pres">
      <dgm:prSet presAssocID="{2A00297F-EFBA-B445-B913-99E6E3E9BCD0}" presName="childNode" presStyleLbl="node1" presStyleIdx="5" presStyleCnt="12">
        <dgm:presLayoutVars>
          <dgm:bulletEnabled val="1"/>
        </dgm:presLayoutVars>
      </dgm:prSet>
      <dgm:spPr/>
    </dgm:pt>
    <dgm:pt modelId="{8F907F5E-9F7A-0F48-81C2-97C069A9A172}" type="pres">
      <dgm:prSet presAssocID="{92C48BEC-BBD5-744C-A041-1E4334677A5C}" presName="aSpace" presStyleCnt="0"/>
      <dgm:spPr/>
    </dgm:pt>
    <dgm:pt modelId="{CFCD1021-8ADF-A74E-A523-2DC1E3E79E2E}" type="pres">
      <dgm:prSet presAssocID="{1364C34B-FF88-464B-8D75-6EFD13DF54E8}" presName="compNode" presStyleCnt="0"/>
      <dgm:spPr/>
    </dgm:pt>
    <dgm:pt modelId="{D1EDE367-5EA4-AF49-880F-39BA94AAC181}" type="pres">
      <dgm:prSet presAssocID="{1364C34B-FF88-464B-8D75-6EFD13DF54E8}" presName="aNode" presStyleLbl="bgShp" presStyleIdx="3" presStyleCnt="6"/>
      <dgm:spPr/>
    </dgm:pt>
    <dgm:pt modelId="{B3B0E44B-918B-B24E-B7B3-34E4862492C8}" type="pres">
      <dgm:prSet presAssocID="{1364C34B-FF88-464B-8D75-6EFD13DF54E8}" presName="textNode" presStyleLbl="bgShp" presStyleIdx="3" presStyleCnt="6"/>
      <dgm:spPr/>
    </dgm:pt>
    <dgm:pt modelId="{53FB829C-148A-1242-991E-7E77F8B19F80}" type="pres">
      <dgm:prSet presAssocID="{1364C34B-FF88-464B-8D75-6EFD13DF54E8}" presName="compChildNode" presStyleCnt="0"/>
      <dgm:spPr/>
    </dgm:pt>
    <dgm:pt modelId="{76152610-5D0A-9A49-9225-9AE74AFE7CF7}" type="pres">
      <dgm:prSet presAssocID="{1364C34B-FF88-464B-8D75-6EFD13DF54E8}" presName="theInnerList" presStyleCnt="0"/>
      <dgm:spPr/>
    </dgm:pt>
    <dgm:pt modelId="{69B22FA6-8F35-FB40-9EAD-CC18D013C2A3}" type="pres">
      <dgm:prSet presAssocID="{9719AB2C-B961-E74F-B42B-F38746A470C5}" presName="childNode" presStyleLbl="node1" presStyleIdx="6" presStyleCnt="12">
        <dgm:presLayoutVars>
          <dgm:bulletEnabled val="1"/>
        </dgm:presLayoutVars>
      </dgm:prSet>
      <dgm:spPr/>
    </dgm:pt>
    <dgm:pt modelId="{3B08F960-3C62-1748-843A-70352F5FE024}" type="pres">
      <dgm:prSet presAssocID="{9719AB2C-B961-E74F-B42B-F38746A470C5}" presName="aSpace2" presStyleCnt="0"/>
      <dgm:spPr/>
    </dgm:pt>
    <dgm:pt modelId="{D795B33E-86EC-704C-A0EF-ECF907C6E0A4}" type="pres">
      <dgm:prSet presAssocID="{D48FEDCB-BB4D-0D45-A459-7229CAF19BBC}" presName="childNode" presStyleLbl="node1" presStyleIdx="7" presStyleCnt="12">
        <dgm:presLayoutVars>
          <dgm:bulletEnabled val="1"/>
        </dgm:presLayoutVars>
      </dgm:prSet>
      <dgm:spPr/>
    </dgm:pt>
    <dgm:pt modelId="{5AB2129B-A33A-6342-BA0E-92E58220E4F2}" type="pres">
      <dgm:prSet presAssocID="{1364C34B-FF88-464B-8D75-6EFD13DF54E8}" presName="aSpace" presStyleCnt="0"/>
      <dgm:spPr/>
    </dgm:pt>
    <dgm:pt modelId="{A52409E0-3CEB-3D41-9ADB-5371280430C3}" type="pres">
      <dgm:prSet presAssocID="{BCBA4F0E-4A40-8A4A-BD5C-BE76299FD9C3}" presName="compNode" presStyleCnt="0"/>
      <dgm:spPr/>
    </dgm:pt>
    <dgm:pt modelId="{3E3A5839-8964-FB40-ACB6-AA23F0701976}" type="pres">
      <dgm:prSet presAssocID="{BCBA4F0E-4A40-8A4A-BD5C-BE76299FD9C3}" presName="aNode" presStyleLbl="bgShp" presStyleIdx="4" presStyleCnt="6"/>
      <dgm:spPr/>
    </dgm:pt>
    <dgm:pt modelId="{55E658A3-0063-8D45-BCBA-37655FBEC496}" type="pres">
      <dgm:prSet presAssocID="{BCBA4F0E-4A40-8A4A-BD5C-BE76299FD9C3}" presName="textNode" presStyleLbl="bgShp" presStyleIdx="4" presStyleCnt="6"/>
      <dgm:spPr/>
    </dgm:pt>
    <dgm:pt modelId="{23583649-5DDD-8547-BEE7-87B275227A99}" type="pres">
      <dgm:prSet presAssocID="{BCBA4F0E-4A40-8A4A-BD5C-BE76299FD9C3}" presName="compChildNode" presStyleCnt="0"/>
      <dgm:spPr/>
    </dgm:pt>
    <dgm:pt modelId="{9FC68E44-FC8A-AD4D-92B6-937528233BA9}" type="pres">
      <dgm:prSet presAssocID="{BCBA4F0E-4A40-8A4A-BD5C-BE76299FD9C3}" presName="theInnerList" presStyleCnt="0"/>
      <dgm:spPr/>
    </dgm:pt>
    <dgm:pt modelId="{C5B94A55-C512-2145-A085-3C273AD3E018}" type="pres">
      <dgm:prSet presAssocID="{07F1608F-94B8-F54A-BF75-4269CE33DDEE}" presName="childNode" presStyleLbl="node1" presStyleIdx="8" presStyleCnt="12">
        <dgm:presLayoutVars>
          <dgm:bulletEnabled val="1"/>
        </dgm:presLayoutVars>
      </dgm:prSet>
      <dgm:spPr/>
    </dgm:pt>
    <dgm:pt modelId="{66C06D26-2B41-E84C-976D-8878F7FDC6EC}" type="pres">
      <dgm:prSet presAssocID="{07F1608F-94B8-F54A-BF75-4269CE33DDEE}" presName="aSpace2" presStyleCnt="0"/>
      <dgm:spPr/>
    </dgm:pt>
    <dgm:pt modelId="{65902949-F84D-CE48-BFE7-624DEABB5169}" type="pres">
      <dgm:prSet presAssocID="{B0D2CD06-8C05-2440-8C5A-00DC2053CFA6}" presName="childNode" presStyleLbl="node1" presStyleIdx="9" presStyleCnt="12">
        <dgm:presLayoutVars>
          <dgm:bulletEnabled val="1"/>
        </dgm:presLayoutVars>
      </dgm:prSet>
      <dgm:spPr/>
    </dgm:pt>
    <dgm:pt modelId="{FE458C8D-4369-304E-9A1F-2C8F6D77EC59}" type="pres">
      <dgm:prSet presAssocID="{BCBA4F0E-4A40-8A4A-BD5C-BE76299FD9C3}" presName="aSpace" presStyleCnt="0"/>
      <dgm:spPr/>
    </dgm:pt>
    <dgm:pt modelId="{79345327-125F-C84F-AA6F-973311285761}" type="pres">
      <dgm:prSet presAssocID="{10240C94-DF37-F945-8852-98F436A0FFC7}" presName="compNode" presStyleCnt="0"/>
      <dgm:spPr/>
    </dgm:pt>
    <dgm:pt modelId="{B37FB23E-541E-A848-84B3-B8B470B2FFA2}" type="pres">
      <dgm:prSet presAssocID="{10240C94-DF37-F945-8852-98F436A0FFC7}" presName="aNode" presStyleLbl="bgShp" presStyleIdx="5" presStyleCnt="6"/>
      <dgm:spPr/>
    </dgm:pt>
    <dgm:pt modelId="{66EA230D-1A5C-2648-AD59-68FF104F2D22}" type="pres">
      <dgm:prSet presAssocID="{10240C94-DF37-F945-8852-98F436A0FFC7}" presName="textNode" presStyleLbl="bgShp" presStyleIdx="5" presStyleCnt="6"/>
      <dgm:spPr/>
    </dgm:pt>
    <dgm:pt modelId="{B64B95A2-5529-BC41-961E-59826345EBAA}" type="pres">
      <dgm:prSet presAssocID="{10240C94-DF37-F945-8852-98F436A0FFC7}" presName="compChildNode" presStyleCnt="0"/>
      <dgm:spPr/>
    </dgm:pt>
    <dgm:pt modelId="{1873D248-65E5-3945-80A2-246C93D50012}" type="pres">
      <dgm:prSet presAssocID="{10240C94-DF37-F945-8852-98F436A0FFC7}" presName="theInnerList" presStyleCnt="0"/>
      <dgm:spPr/>
    </dgm:pt>
    <dgm:pt modelId="{FDD0277D-9D8B-5E49-8985-C891ED661F04}" type="pres">
      <dgm:prSet presAssocID="{E1A60A35-B990-474D-8821-3A97984FB585}" presName="childNode" presStyleLbl="node1" presStyleIdx="10" presStyleCnt="12">
        <dgm:presLayoutVars>
          <dgm:bulletEnabled val="1"/>
        </dgm:presLayoutVars>
      </dgm:prSet>
      <dgm:spPr/>
    </dgm:pt>
    <dgm:pt modelId="{5D2691DA-2F97-EE40-B43C-89DB0E12EB86}" type="pres">
      <dgm:prSet presAssocID="{E1A60A35-B990-474D-8821-3A97984FB585}" presName="aSpace2" presStyleCnt="0"/>
      <dgm:spPr/>
    </dgm:pt>
    <dgm:pt modelId="{DF4C3516-46D0-F341-8356-F86B85B7EC10}" type="pres">
      <dgm:prSet presAssocID="{5A7BDB0C-29AA-0F4C-B64B-6750D44C4E2E}" presName="childNode" presStyleLbl="node1" presStyleIdx="11" presStyleCnt="12">
        <dgm:presLayoutVars>
          <dgm:bulletEnabled val="1"/>
        </dgm:presLayoutVars>
      </dgm:prSet>
      <dgm:spPr/>
    </dgm:pt>
  </dgm:ptLst>
  <dgm:cxnLst>
    <dgm:cxn modelId="{BEE0D00C-B8FE-D444-9251-21342D0DDC93}" srcId="{4880F96D-E0FD-504E-B73A-2B8FAA1912BD}" destId="{29821CB3-D127-9C4B-A7F3-21334F661A2D}" srcOrd="1" destOrd="0" parTransId="{6CA8C4B8-AF43-ED4B-8809-A9627CE3ECBE}" sibTransId="{3C7F4070-0069-E346-B9D3-77E117A0D9EF}"/>
    <dgm:cxn modelId="{080EE30C-2CC0-0343-A5A3-7F93CF9CD2B7}" type="presOf" srcId="{BCBA4F0E-4A40-8A4A-BD5C-BE76299FD9C3}" destId="{55E658A3-0063-8D45-BCBA-37655FBEC496}" srcOrd="1" destOrd="0" presId="urn:microsoft.com/office/officeart/2005/8/layout/lProcess2"/>
    <dgm:cxn modelId="{B551AD10-AD9D-594E-9B8D-B3CEA323AEBE}" type="presOf" srcId="{92C48BEC-BBD5-744C-A041-1E4334677A5C}" destId="{4A09CA4E-DAC5-E442-B105-7189E75FD31F}" srcOrd="1" destOrd="0" presId="urn:microsoft.com/office/officeart/2005/8/layout/lProcess2"/>
    <dgm:cxn modelId="{B8AC2B16-17EC-1044-9930-DAB5074434CC}" type="presOf" srcId="{B0277894-FB52-CA4E-9CA6-0F93CDF48E58}" destId="{139F80D9-2A4F-9040-BD28-6C12B0AEBB7E}" srcOrd="0" destOrd="0" presId="urn:microsoft.com/office/officeart/2005/8/layout/lProcess2"/>
    <dgm:cxn modelId="{8653FE18-8221-9C43-B962-83C74F5465A3}" type="presOf" srcId="{4880F96D-E0FD-504E-B73A-2B8FAA1912BD}" destId="{CAC5B0F2-A01F-3341-9476-72148EC7D01A}" srcOrd="1" destOrd="0" presId="urn:microsoft.com/office/officeart/2005/8/layout/lProcess2"/>
    <dgm:cxn modelId="{F702071B-EB21-A246-872C-9AA169C3A152}" type="presOf" srcId="{7311E271-6C77-514E-B5B7-A427252E6167}" destId="{0B06D379-A82E-1347-ADD8-A31BF98D39BF}" srcOrd="0" destOrd="0" presId="urn:microsoft.com/office/officeart/2005/8/layout/lProcess2"/>
    <dgm:cxn modelId="{F4950F1D-9880-AE4A-9A1B-55CB7DDE84CF}" type="presOf" srcId="{10240C94-DF37-F945-8852-98F436A0FFC7}" destId="{66EA230D-1A5C-2648-AD59-68FF104F2D22}" srcOrd="1" destOrd="0" presId="urn:microsoft.com/office/officeart/2005/8/layout/lProcess2"/>
    <dgm:cxn modelId="{8FD5E721-661F-B744-BD74-FD8C3B9469C7}" srcId="{E46FA09D-7C69-324E-AFD6-948EE60EBB4D}" destId="{172FA4C1-292C-524B-8DB1-A6F911600A3F}" srcOrd="1" destOrd="0" parTransId="{43030ADE-C157-AF44-847A-F1E8CA60B29D}" sibTransId="{F563BE20-5959-AF40-8460-741E017E556F}"/>
    <dgm:cxn modelId="{24DD9537-EB28-D444-8EBA-953AB1AA497B}" type="presOf" srcId="{D48FEDCB-BB4D-0D45-A459-7229CAF19BBC}" destId="{D795B33E-86EC-704C-A0EF-ECF907C6E0A4}" srcOrd="0" destOrd="0" presId="urn:microsoft.com/office/officeart/2005/8/layout/lProcess2"/>
    <dgm:cxn modelId="{C2764540-AFBB-8B4E-B52A-71CB9A699022}" srcId="{1364C34B-FF88-464B-8D75-6EFD13DF54E8}" destId="{D48FEDCB-BB4D-0D45-A459-7229CAF19BBC}" srcOrd="1" destOrd="0" parTransId="{F3D19937-A4C0-654D-822D-4EA01F4CD18B}" sibTransId="{A85B1EFB-9FDB-E24C-8F0E-675311EF7C88}"/>
    <dgm:cxn modelId="{0836F85C-A23C-0044-9BFA-49E2042F2BF9}" srcId="{7311E271-6C77-514E-B5B7-A427252E6167}" destId="{E46FA09D-7C69-324E-AFD6-948EE60EBB4D}" srcOrd="0" destOrd="0" parTransId="{0ED839CC-3E77-DC44-A52B-3995828D96BE}" sibTransId="{986EDAF3-F3BC-8045-B9B6-B7B4CBE6D3A2}"/>
    <dgm:cxn modelId="{BAA5E65E-97BD-5740-8347-3FFC841A61FF}" srcId="{7311E271-6C77-514E-B5B7-A427252E6167}" destId="{4880F96D-E0FD-504E-B73A-2B8FAA1912BD}" srcOrd="1" destOrd="0" parTransId="{EDFB5500-B621-2549-95E1-68C16CDFB22A}" sibTransId="{6CDED57F-3ABC-BB43-A6E6-98039F63E50A}"/>
    <dgm:cxn modelId="{9E934762-6643-044D-892E-55724694B089}" srcId="{92C48BEC-BBD5-744C-A041-1E4334677A5C}" destId="{B0277894-FB52-CA4E-9CA6-0F93CDF48E58}" srcOrd="0" destOrd="0" parTransId="{E1694950-F17B-2F42-A7A8-2A1E8BA0FBA9}" sibTransId="{0E6F8918-A957-EB4B-B85C-A9D08A3DA792}"/>
    <dgm:cxn modelId="{C67D7968-E9A5-7E4C-B162-840C043F0BCC}" srcId="{10240C94-DF37-F945-8852-98F436A0FFC7}" destId="{E1A60A35-B990-474D-8821-3A97984FB585}" srcOrd="0" destOrd="0" parTransId="{398ED420-49D0-0A41-A6C1-5C138C6D7424}" sibTransId="{EC4EDF92-6A64-5A48-8E5D-66230127874F}"/>
    <dgm:cxn modelId="{C2899C69-F176-2240-A1FF-3AFCEA7E0598}" srcId="{7311E271-6C77-514E-B5B7-A427252E6167}" destId="{1364C34B-FF88-464B-8D75-6EFD13DF54E8}" srcOrd="3" destOrd="0" parTransId="{336BA461-EC85-FE45-A454-E548D2F4B680}" sibTransId="{2182D0DF-5702-D241-8734-02C2D6C21609}"/>
    <dgm:cxn modelId="{E81DE64B-CD37-664E-8C1D-E85AA6A5A862}" type="presOf" srcId="{2A00297F-EFBA-B445-B913-99E6E3E9BCD0}" destId="{F5455E78-963D-D34A-AE26-9DEE457804A3}" srcOrd="0" destOrd="0" presId="urn:microsoft.com/office/officeart/2005/8/layout/lProcess2"/>
    <dgm:cxn modelId="{2AE27F75-4572-8F42-A6FF-C36B813000E7}" srcId="{7311E271-6C77-514E-B5B7-A427252E6167}" destId="{92C48BEC-BBD5-744C-A041-1E4334677A5C}" srcOrd="2" destOrd="0" parTransId="{2ECFCD5F-35A8-D540-BAAA-A10010ED1EF0}" sibTransId="{F46CA30F-ED74-1348-80BC-58BB355013BC}"/>
    <dgm:cxn modelId="{321A5876-17CD-EB4C-9AC6-13430F7D8E7B}" type="presOf" srcId="{1364C34B-FF88-464B-8D75-6EFD13DF54E8}" destId="{B3B0E44B-918B-B24E-B7B3-34E4862492C8}" srcOrd="1" destOrd="0" presId="urn:microsoft.com/office/officeart/2005/8/layout/lProcess2"/>
    <dgm:cxn modelId="{16C22857-9BB0-024E-840D-19FABC31826E}" srcId="{7311E271-6C77-514E-B5B7-A427252E6167}" destId="{BCBA4F0E-4A40-8A4A-BD5C-BE76299FD9C3}" srcOrd="4" destOrd="0" parTransId="{FDBD447E-7B1C-134B-9EAE-D2444A7E1D6C}" sibTransId="{F1BDF5D2-E7C9-0F40-ABCA-08423852A477}"/>
    <dgm:cxn modelId="{6C1B5C7F-1564-A046-8AA6-66EE5672B808}" type="presOf" srcId="{2828FD28-CC14-C944-B4EF-FFD24C36D853}" destId="{A26FFFA0-E7FA-A349-8FBF-725B50EEB33C}" srcOrd="0" destOrd="0" presId="urn:microsoft.com/office/officeart/2005/8/layout/lProcess2"/>
    <dgm:cxn modelId="{F4698384-1E74-4948-B5AC-F6797269EDC9}" srcId="{7311E271-6C77-514E-B5B7-A427252E6167}" destId="{10240C94-DF37-F945-8852-98F436A0FFC7}" srcOrd="5" destOrd="0" parTransId="{85CFC18B-E8D8-9A49-8F55-F75DC9B90D3A}" sibTransId="{896C6913-2FC1-8141-90D0-E9E1D378918B}"/>
    <dgm:cxn modelId="{546B3589-549F-0741-96FC-7A1C2F1D646A}" type="presOf" srcId="{E1A60A35-B990-474D-8821-3A97984FB585}" destId="{FDD0277D-9D8B-5E49-8985-C891ED661F04}" srcOrd="0" destOrd="0" presId="urn:microsoft.com/office/officeart/2005/8/layout/lProcess2"/>
    <dgm:cxn modelId="{34DADB8C-2BF7-0F47-B148-B8D3BECE10E8}" type="presOf" srcId="{E46FA09D-7C69-324E-AFD6-948EE60EBB4D}" destId="{F98361D4-0650-154E-846C-60D5F530EF84}" srcOrd="1" destOrd="0" presId="urn:microsoft.com/office/officeart/2005/8/layout/lProcess2"/>
    <dgm:cxn modelId="{0A476793-3A21-FB4B-B6C6-8AE0A0508A67}" type="presOf" srcId="{29821CB3-D127-9C4B-A7F3-21334F661A2D}" destId="{A533E403-E880-1C4D-A8B7-BCEE93B78C1F}" srcOrd="0" destOrd="0" presId="urn:microsoft.com/office/officeart/2005/8/layout/lProcess2"/>
    <dgm:cxn modelId="{FD809DA3-EEB5-C643-8F5F-8E330DEFB1B9}" type="presOf" srcId="{92C48BEC-BBD5-744C-A041-1E4334677A5C}" destId="{56574819-0446-8D44-B34E-43D4A225A41A}" srcOrd="0" destOrd="0" presId="urn:microsoft.com/office/officeart/2005/8/layout/lProcess2"/>
    <dgm:cxn modelId="{4A084FA4-6B69-7A46-A49C-9C61C5EADB19}" srcId="{BCBA4F0E-4A40-8A4A-BD5C-BE76299FD9C3}" destId="{B0D2CD06-8C05-2440-8C5A-00DC2053CFA6}" srcOrd="1" destOrd="0" parTransId="{9D0CA6C6-CDCA-194B-8A34-E1AC6C8D48C2}" sibTransId="{36377613-A679-8F43-8A07-FFBE8D352B02}"/>
    <dgm:cxn modelId="{8795D1A8-4536-634B-847A-40D6D4D971F2}" srcId="{1364C34B-FF88-464B-8D75-6EFD13DF54E8}" destId="{9719AB2C-B961-E74F-B42B-F38746A470C5}" srcOrd="0" destOrd="0" parTransId="{39819CF7-B7E2-BB4B-B616-36509B522422}" sibTransId="{8778F1EC-1903-4145-A520-4780A34C55FF}"/>
    <dgm:cxn modelId="{C363F5B0-812A-4847-878E-8D944F4A95B3}" type="presOf" srcId="{5A7BDB0C-29AA-0F4C-B64B-6750D44C4E2E}" destId="{DF4C3516-46D0-F341-8356-F86B85B7EC10}" srcOrd="0" destOrd="0" presId="urn:microsoft.com/office/officeart/2005/8/layout/lProcess2"/>
    <dgm:cxn modelId="{80F21FB8-0877-0D43-97D2-9F738FD7434F}" type="presOf" srcId="{E46FA09D-7C69-324E-AFD6-948EE60EBB4D}" destId="{85E45339-35C2-484A-981D-49E1294167AA}" srcOrd="0" destOrd="0" presId="urn:microsoft.com/office/officeart/2005/8/layout/lProcess2"/>
    <dgm:cxn modelId="{75F76AB9-C50A-3040-995F-1391AC8DEAD3}" type="presOf" srcId="{1364C34B-FF88-464B-8D75-6EFD13DF54E8}" destId="{D1EDE367-5EA4-AF49-880F-39BA94AAC181}" srcOrd="0" destOrd="0" presId="urn:microsoft.com/office/officeart/2005/8/layout/lProcess2"/>
    <dgm:cxn modelId="{E2CC9FBD-D951-ED4B-83AD-A3DDE809BEFA}" type="presOf" srcId="{4880F96D-E0FD-504E-B73A-2B8FAA1912BD}" destId="{C16D2B30-004A-9649-BECD-4CA74CF0C58A}" srcOrd="0" destOrd="0" presId="urn:microsoft.com/office/officeart/2005/8/layout/lProcess2"/>
    <dgm:cxn modelId="{EE511DC7-E6A3-0841-BCBC-66214C98EED9}" type="presOf" srcId="{B0D2CD06-8C05-2440-8C5A-00DC2053CFA6}" destId="{65902949-F84D-CE48-BFE7-624DEABB5169}" srcOrd="0" destOrd="0" presId="urn:microsoft.com/office/officeart/2005/8/layout/lProcess2"/>
    <dgm:cxn modelId="{4FD821D0-AAAE-CE48-8A2E-85E08456C04E}" type="presOf" srcId="{172FA4C1-292C-524B-8DB1-A6F911600A3F}" destId="{CE9F06FB-4E8E-B44B-B953-64B57335168A}" srcOrd="0" destOrd="0" presId="urn:microsoft.com/office/officeart/2005/8/layout/lProcess2"/>
    <dgm:cxn modelId="{5CC5D3D1-C7EE-D240-B203-479FB6CDD0CB}" type="presOf" srcId="{BCBA4F0E-4A40-8A4A-BD5C-BE76299FD9C3}" destId="{3E3A5839-8964-FB40-ACB6-AA23F0701976}" srcOrd="0" destOrd="0" presId="urn:microsoft.com/office/officeart/2005/8/layout/lProcess2"/>
    <dgm:cxn modelId="{DAEE6ED3-6F0F-CB4D-B089-A42A1504105C}" type="presOf" srcId="{9719AB2C-B961-E74F-B42B-F38746A470C5}" destId="{69B22FA6-8F35-FB40-9EAD-CC18D013C2A3}" srcOrd="0" destOrd="0" presId="urn:microsoft.com/office/officeart/2005/8/layout/lProcess2"/>
    <dgm:cxn modelId="{19CF84D9-F2B2-9F4C-9DED-F711D2C0EF49}" srcId="{E46FA09D-7C69-324E-AFD6-948EE60EBB4D}" destId="{2828FD28-CC14-C944-B4EF-FFD24C36D853}" srcOrd="0" destOrd="0" parTransId="{8FF506CE-329D-1E42-B257-C310CD95C027}" sibTransId="{6B34EF40-4BE2-D044-9FE1-B73D1F89FDCF}"/>
    <dgm:cxn modelId="{5EBBC6DC-B078-1249-874E-5CF247EF3DB7}" srcId="{4880F96D-E0FD-504E-B73A-2B8FAA1912BD}" destId="{264A72E8-7DB2-D540-8AE0-A2D36870EE38}" srcOrd="0" destOrd="0" parTransId="{4127C2AE-6968-F844-8D86-F0865EAEF0DA}" sibTransId="{A7D6FE2F-A575-714A-A24F-E6748CE2BAE6}"/>
    <dgm:cxn modelId="{884E1FE7-6062-7942-B794-1EFA9EB338A5}" type="presOf" srcId="{07F1608F-94B8-F54A-BF75-4269CE33DDEE}" destId="{C5B94A55-C512-2145-A085-3C273AD3E018}" srcOrd="0" destOrd="0" presId="urn:microsoft.com/office/officeart/2005/8/layout/lProcess2"/>
    <dgm:cxn modelId="{7313FBEA-CC7B-9F49-AF02-5E329A3A8BE7}" srcId="{92C48BEC-BBD5-744C-A041-1E4334677A5C}" destId="{2A00297F-EFBA-B445-B913-99E6E3E9BCD0}" srcOrd="1" destOrd="0" parTransId="{563766FA-659D-8746-BEB9-0D940F9CEE34}" sibTransId="{2FE701ED-2E8D-1746-928E-93F228019CD7}"/>
    <dgm:cxn modelId="{892F35F3-447E-2045-9172-A4D63B0E41D7}" type="presOf" srcId="{264A72E8-7DB2-D540-8AE0-A2D36870EE38}" destId="{D4670B84-9FE1-7646-9D8F-4CAF26434074}" srcOrd="0" destOrd="0" presId="urn:microsoft.com/office/officeart/2005/8/layout/lProcess2"/>
    <dgm:cxn modelId="{BD6C27FA-F6D7-FE4F-90BA-87656AB275FA}" type="presOf" srcId="{10240C94-DF37-F945-8852-98F436A0FFC7}" destId="{B37FB23E-541E-A848-84B3-B8B470B2FFA2}" srcOrd="0" destOrd="0" presId="urn:microsoft.com/office/officeart/2005/8/layout/lProcess2"/>
    <dgm:cxn modelId="{FBB70AFE-256D-DE47-AB21-B29834949256}" srcId="{10240C94-DF37-F945-8852-98F436A0FFC7}" destId="{5A7BDB0C-29AA-0F4C-B64B-6750D44C4E2E}" srcOrd="1" destOrd="0" parTransId="{DB1D581A-9086-5E45-8284-1C3FF22436F1}" sibTransId="{A47D1A70-CFD4-4449-940F-EAD6073AD615}"/>
    <dgm:cxn modelId="{47E10DFF-F721-194A-B258-6AFCFC6EC5F3}" srcId="{BCBA4F0E-4A40-8A4A-BD5C-BE76299FD9C3}" destId="{07F1608F-94B8-F54A-BF75-4269CE33DDEE}" srcOrd="0" destOrd="0" parTransId="{D4220846-883B-3A49-A337-76BCC3BA5475}" sibTransId="{76F6149C-08FF-D24F-8124-4DD943DE51A7}"/>
    <dgm:cxn modelId="{1FF8E08D-6621-6742-87C3-75DEEBB5DDD3}" type="presParOf" srcId="{0B06D379-A82E-1347-ADD8-A31BF98D39BF}" destId="{316CDFF1-60C0-6A4D-AC57-FFBF162B4DD9}" srcOrd="0" destOrd="0" presId="urn:microsoft.com/office/officeart/2005/8/layout/lProcess2"/>
    <dgm:cxn modelId="{87079F30-26B0-E042-BDE1-B3B9E79C0B93}" type="presParOf" srcId="{316CDFF1-60C0-6A4D-AC57-FFBF162B4DD9}" destId="{85E45339-35C2-484A-981D-49E1294167AA}" srcOrd="0" destOrd="0" presId="urn:microsoft.com/office/officeart/2005/8/layout/lProcess2"/>
    <dgm:cxn modelId="{6A076A1D-C03C-8449-8BCC-B4975D3C694C}" type="presParOf" srcId="{316CDFF1-60C0-6A4D-AC57-FFBF162B4DD9}" destId="{F98361D4-0650-154E-846C-60D5F530EF84}" srcOrd="1" destOrd="0" presId="urn:microsoft.com/office/officeart/2005/8/layout/lProcess2"/>
    <dgm:cxn modelId="{3284B6A3-6AC2-7D4C-8D05-9A4EF05D0914}" type="presParOf" srcId="{316CDFF1-60C0-6A4D-AC57-FFBF162B4DD9}" destId="{9F76B54B-BE98-3444-8C40-34B164C39829}" srcOrd="2" destOrd="0" presId="urn:microsoft.com/office/officeart/2005/8/layout/lProcess2"/>
    <dgm:cxn modelId="{4C09ACB8-BBD6-6B40-BD9C-D148897C5A07}" type="presParOf" srcId="{9F76B54B-BE98-3444-8C40-34B164C39829}" destId="{FEBA2114-A0E4-2F40-B91F-EB770EECD0FE}" srcOrd="0" destOrd="0" presId="urn:microsoft.com/office/officeart/2005/8/layout/lProcess2"/>
    <dgm:cxn modelId="{9765CC4B-BF66-2A4D-AB34-530B5A3D6AA1}" type="presParOf" srcId="{FEBA2114-A0E4-2F40-B91F-EB770EECD0FE}" destId="{A26FFFA0-E7FA-A349-8FBF-725B50EEB33C}" srcOrd="0" destOrd="0" presId="urn:microsoft.com/office/officeart/2005/8/layout/lProcess2"/>
    <dgm:cxn modelId="{4FA80E0C-3CBC-8445-99B0-C768F04A7DA0}" type="presParOf" srcId="{FEBA2114-A0E4-2F40-B91F-EB770EECD0FE}" destId="{1B838BBB-F9D7-3B41-8AF4-92B95904E55F}" srcOrd="1" destOrd="0" presId="urn:microsoft.com/office/officeart/2005/8/layout/lProcess2"/>
    <dgm:cxn modelId="{A9BC8D72-1EAE-7C41-8DDE-044E9C03194A}" type="presParOf" srcId="{FEBA2114-A0E4-2F40-B91F-EB770EECD0FE}" destId="{CE9F06FB-4E8E-B44B-B953-64B57335168A}" srcOrd="2" destOrd="0" presId="urn:microsoft.com/office/officeart/2005/8/layout/lProcess2"/>
    <dgm:cxn modelId="{698D93AF-D8AB-3F45-A6B4-ACF468775467}" type="presParOf" srcId="{0B06D379-A82E-1347-ADD8-A31BF98D39BF}" destId="{3E5FDF27-9B21-E74F-B21E-8F8A6C1F52CA}" srcOrd="1" destOrd="0" presId="urn:microsoft.com/office/officeart/2005/8/layout/lProcess2"/>
    <dgm:cxn modelId="{6868D3D8-E371-714E-AC75-CB89221AAE37}" type="presParOf" srcId="{0B06D379-A82E-1347-ADD8-A31BF98D39BF}" destId="{6CA3E34D-BD21-0548-B930-AAF33FC01E5F}" srcOrd="2" destOrd="0" presId="urn:microsoft.com/office/officeart/2005/8/layout/lProcess2"/>
    <dgm:cxn modelId="{D7B580A6-97EF-934D-9171-569AC2E8E35A}" type="presParOf" srcId="{6CA3E34D-BD21-0548-B930-AAF33FC01E5F}" destId="{C16D2B30-004A-9649-BECD-4CA74CF0C58A}" srcOrd="0" destOrd="0" presId="urn:microsoft.com/office/officeart/2005/8/layout/lProcess2"/>
    <dgm:cxn modelId="{1A997024-DED2-DC48-AA11-2C2E108379D9}" type="presParOf" srcId="{6CA3E34D-BD21-0548-B930-AAF33FC01E5F}" destId="{CAC5B0F2-A01F-3341-9476-72148EC7D01A}" srcOrd="1" destOrd="0" presId="urn:microsoft.com/office/officeart/2005/8/layout/lProcess2"/>
    <dgm:cxn modelId="{1338E506-0182-7E45-94AC-8828DCA257FC}" type="presParOf" srcId="{6CA3E34D-BD21-0548-B930-AAF33FC01E5F}" destId="{0F5C3ED0-539E-6949-ABE4-294727A041E4}" srcOrd="2" destOrd="0" presId="urn:microsoft.com/office/officeart/2005/8/layout/lProcess2"/>
    <dgm:cxn modelId="{8C076719-14EB-7149-B68A-8ECB36834C77}" type="presParOf" srcId="{0F5C3ED0-539E-6949-ABE4-294727A041E4}" destId="{7508C3E0-A444-CA4A-9704-599A52807B3F}" srcOrd="0" destOrd="0" presId="urn:microsoft.com/office/officeart/2005/8/layout/lProcess2"/>
    <dgm:cxn modelId="{8D1F94FC-46E4-F443-A23C-B2F342866ADE}" type="presParOf" srcId="{7508C3E0-A444-CA4A-9704-599A52807B3F}" destId="{D4670B84-9FE1-7646-9D8F-4CAF26434074}" srcOrd="0" destOrd="0" presId="urn:microsoft.com/office/officeart/2005/8/layout/lProcess2"/>
    <dgm:cxn modelId="{C08F73F1-6212-394D-95D7-444A5F4E7019}" type="presParOf" srcId="{7508C3E0-A444-CA4A-9704-599A52807B3F}" destId="{606CCC9C-15EE-8C43-8871-692FD934FC20}" srcOrd="1" destOrd="0" presId="urn:microsoft.com/office/officeart/2005/8/layout/lProcess2"/>
    <dgm:cxn modelId="{67DBCBB5-DBF4-2A43-91C7-7940796C4CD0}" type="presParOf" srcId="{7508C3E0-A444-CA4A-9704-599A52807B3F}" destId="{A533E403-E880-1C4D-A8B7-BCEE93B78C1F}" srcOrd="2" destOrd="0" presId="urn:microsoft.com/office/officeart/2005/8/layout/lProcess2"/>
    <dgm:cxn modelId="{2AFEDCDB-BB5E-6944-8308-9FA6E94B1B4E}" type="presParOf" srcId="{0B06D379-A82E-1347-ADD8-A31BF98D39BF}" destId="{2699B9AA-25DD-EB4F-8B85-32F4FD258B1E}" srcOrd="3" destOrd="0" presId="urn:microsoft.com/office/officeart/2005/8/layout/lProcess2"/>
    <dgm:cxn modelId="{6898F6E7-D992-DF40-A441-381DCA59DC89}" type="presParOf" srcId="{0B06D379-A82E-1347-ADD8-A31BF98D39BF}" destId="{96CF8ADA-10B2-BA42-8665-29CF0C124ED3}" srcOrd="4" destOrd="0" presId="urn:microsoft.com/office/officeart/2005/8/layout/lProcess2"/>
    <dgm:cxn modelId="{672107A3-803C-8141-89D0-6332460F5DE5}" type="presParOf" srcId="{96CF8ADA-10B2-BA42-8665-29CF0C124ED3}" destId="{56574819-0446-8D44-B34E-43D4A225A41A}" srcOrd="0" destOrd="0" presId="urn:microsoft.com/office/officeart/2005/8/layout/lProcess2"/>
    <dgm:cxn modelId="{3AB72AEA-CBE3-5444-9240-1DB7872B9C4A}" type="presParOf" srcId="{96CF8ADA-10B2-BA42-8665-29CF0C124ED3}" destId="{4A09CA4E-DAC5-E442-B105-7189E75FD31F}" srcOrd="1" destOrd="0" presId="urn:microsoft.com/office/officeart/2005/8/layout/lProcess2"/>
    <dgm:cxn modelId="{EBC8667D-2894-F94C-BC0E-7DD05C34425B}" type="presParOf" srcId="{96CF8ADA-10B2-BA42-8665-29CF0C124ED3}" destId="{EF88008A-7EA5-2044-82DB-A7D43A4060A5}" srcOrd="2" destOrd="0" presId="urn:microsoft.com/office/officeart/2005/8/layout/lProcess2"/>
    <dgm:cxn modelId="{3168233F-1EA6-3843-B8CE-A340A00BFBCF}" type="presParOf" srcId="{EF88008A-7EA5-2044-82DB-A7D43A4060A5}" destId="{FCACC77A-8675-5E4E-AEE3-138429C80E2A}" srcOrd="0" destOrd="0" presId="urn:microsoft.com/office/officeart/2005/8/layout/lProcess2"/>
    <dgm:cxn modelId="{A32FF348-CBCA-C74B-A7FF-20D71E006A43}" type="presParOf" srcId="{FCACC77A-8675-5E4E-AEE3-138429C80E2A}" destId="{139F80D9-2A4F-9040-BD28-6C12B0AEBB7E}" srcOrd="0" destOrd="0" presId="urn:microsoft.com/office/officeart/2005/8/layout/lProcess2"/>
    <dgm:cxn modelId="{198366C1-8D5C-5E4F-9CC7-F0731644483C}" type="presParOf" srcId="{FCACC77A-8675-5E4E-AEE3-138429C80E2A}" destId="{E53B1916-4C8A-4F47-9F06-28594621DE80}" srcOrd="1" destOrd="0" presId="urn:microsoft.com/office/officeart/2005/8/layout/lProcess2"/>
    <dgm:cxn modelId="{FFB50393-FE2B-BB4F-9697-129FD570C60E}" type="presParOf" srcId="{FCACC77A-8675-5E4E-AEE3-138429C80E2A}" destId="{F5455E78-963D-D34A-AE26-9DEE457804A3}" srcOrd="2" destOrd="0" presId="urn:microsoft.com/office/officeart/2005/8/layout/lProcess2"/>
    <dgm:cxn modelId="{4DA65055-CBAB-8A43-99B6-9F74B9E07EB7}" type="presParOf" srcId="{0B06D379-A82E-1347-ADD8-A31BF98D39BF}" destId="{8F907F5E-9F7A-0F48-81C2-97C069A9A172}" srcOrd="5" destOrd="0" presId="urn:microsoft.com/office/officeart/2005/8/layout/lProcess2"/>
    <dgm:cxn modelId="{4272A0F7-9194-DB4D-BD58-9822A2360881}" type="presParOf" srcId="{0B06D379-A82E-1347-ADD8-A31BF98D39BF}" destId="{CFCD1021-8ADF-A74E-A523-2DC1E3E79E2E}" srcOrd="6" destOrd="0" presId="urn:microsoft.com/office/officeart/2005/8/layout/lProcess2"/>
    <dgm:cxn modelId="{60025958-050E-A649-8A78-EC7D9DE702EB}" type="presParOf" srcId="{CFCD1021-8ADF-A74E-A523-2DC1E3E79E2E}" destId="{D1EDE367-5EA4-AF49-880F-39BA94AAC181}" srcOrd="0" destOrd="0" presId="urn:microsoft.com/office/officeart/2005/8/layout/lProcess2"/>
    <dgm:cxn modelId="{5BD78C68-B527-9C4C-80AE-60DCBE48DE7F}" type="presParOf" srcId="{CFCD1021-8ADF-A74E-A523-2DC1E3E79E2E}" destId="{B3B0E44B-918B-B24E-B7B3-34E4862492C8}" srcOrd="1" destOrd="0" presId="urn:microsoft.com/office/officeart/2005/8/layout/lProcess2"/>
    <dgm:cxn modelId="{80CEA9B3-D9D7-164A-A3B2-9DE7668CC2A0}" type="presParOf" srcId="{CFCD1021-8ADF-A74E-A523-2DC1E3E79E2E}" destId="{53FB829C-148A-1242-991E-7E77F8B19F80}" srcOrd="2" destOrd="0" presId="urn:microsoft.com/office/officeart/2005/8/layout/lProcess2"/>
    <dgm:cxn modelId="{48B4A72F-C481-4149-9838-12C43D26ADE1}" type="presParOf" srcId="{53FB829C-148A-1242-991E-7E77F8B19F80}" destId="{76152610-5D0A-9A49-9225-9AE74AFE7CF7}" srcOrd="0" destOrd="0" presId="urn:microsoft.com/office/officeart/2005/8/layout/lProcess2"/>
    <dgm:cxn modelId="{81AAF618-DBAD-C24C-809B-DC1AE56D8381}" type="presParOf" srcId="{76152610-5D0A-9A49-9225-9AE74AFE7CF7}" destId="{69B22FA6-8F35-FB40-9EAD-CC18D013C2A3}" srcOrd="0" destOrd="0" presId="urn:microsoft.com/office/officeart/2005/8/layout/lProcess2"/>
    <dgm:cxn modelId="{B9119417-938A-684F-A818-4577ECC345C5}" type="presParOf" srcId="{76152610-5D0A-9A49-9225-9AE74AFE7CF7}" destId="{3B08F960-3C62-1748-843A-70352F5FE024}" srcOrd="1" destOrd="0" presId="urn:microsoft.com/office/officeart/2005/8/layout/lProcess2"/>
    <dgm:cxn modelId="{A0FB493E-C5D7-FF48-8FCA-ECD46C0E52C8}" type="presParOf" srcId="{76152610-5D0A-9A49-9225-9AE74AFE7CF7}" destId="{D795B33E-86EC-704C-A0EF-ECF907C6E0A4}" srcOrd="2" destOrd="0" presId="urn:microsoft.com/office/officeart/2005/8/layout/lProcess2"/>
    <dgm:cxn modelId="{7460A2D4-9BAD-3B45-8A1E-83D7A45FC57A}" type="presParOf" srcId="{0B06D379-A82E-1347-ADD8-A31BF98D39BF}" destId="{5AB2129B-A33A-6342-BA0E-92E58220E4F2}" srcOrd="7" destOrd="0" presId="urn:microsoft.com/office/officeart/2005/8/layout/lProcess2"/>
    <dgm:cxn modelId="{BC50C846-B88F-D141-B010-F3AFB305DCA3}" type="presParOf" srcId="{0B06D379-A82E-1347-ADD8-A31BF98D39BF}" destId="{A52409E0-3CEB-3D41-9ADB-5371280430C3}" srcOrd="8" destOrd="0" presId="urn:microsoft.com/office/officeart/2005/8/layout/lProcess2"/>
    <dgm:cxn modelId="{7A9886FF-185B-5646-8DDF-D1CF37777E57}" type="presParOf" srcId="{A52409E0-3CEB-3D41-9ADB-5371280430C3}" destId="{3E3A5839-8964-FB40-ACB6-AA23F0701976}" srcOrd="0" destOrd="0" presId="urn:microsoft.com/office/officeart/2005/8/layout/lProcess2"/>
    <dgm:cxn modelId="{A30AF774-8005-A640-903B-BAD50E461F82}" type="presParOf" srcId="{A52409E0-3CEB-3D41-9ADB-5371280430C3}" destId="{55E658A3-0063-8D45-BCBA-37655FBEC496}" srcOrd="1" destOrd="0" presId="urn:microsoft.com/office/officeart/2005/8/layout/lProcess2"/>
    <dgm:cxn modelId="{40951739-F949-E544-9EB9-7898B0882CD2}" type="presParOf" srcId="{A52409E0-3CEB-3D41-9ADB-5371280430C3}" destId="{23583649-5DDD-8547-BEE7-87B275227A99}" srcOrd="2" destOrd="0" presId="urn:microsoft.com/office/officeart/2005/8/layout/lProcess2"/>
    <dgm:cxn modelId="{EC0023E4-EA4C-2346-A234-660A19F52E49}" type="presParOf" srcId="{23583649-5DDD-8547-BEE7-87B275227A99}" destId="{9FC68E44-FC8A-AD4D-92B6-937528233BA9}" srcOrd="0" destOrd="0" presId="urn:microsoft.com/office/officeart/2005/8/layout/lProcess2"/>
    <dgm:cxn modelId="{68D70CBD-FCEB-E24E-AE48-01C2476A056C}" type="presParOf" srcId="{9FC68E44-FC8A-AD4D-92B6-937528233BA9}" destId="{C5B94A55-C512-2145-A085-3C273AD3E018}" srcOrd="0" destOrd="0" presId="urn:microsoft.com/office/officeart/2005/8/layout/lProcess2"/>
    <dgm:cxn modelId="{5EEF319E-2641-4B4A-BACD-1318A0192398}" type="presParOf" srcId="{9FC68E44-FC8A-AD4D-92B6-937528233BA9}" destId="{66C06D26-2B41-E84C-976D-8878F7FDC6EC}" srcOrd="1" destOrd="0" presId="urn:microsoft.com/office/officeart/2005/8/layout/lProcess2"/>
    <dgm:cxn modelId="{608290DB-4175-D945-9934-F1054F7A08EF}" type="presParOf" srcId="{9FC68E44-FC8A-AD4D-92B6-937528233BA9}" destId="{65902949-F84D-CE48-BFE7-624DEABB5169}" srcOrd="2" destOrd="0" presId="urn:microsoft.com/office/officeart/2005/8/layout/lProcess2"/>
    <dgm:cxn modelId="{570ADF2F-815A-7A4F-9E55-75B31702F33C}" type="presParOf" srcId="{0B06D379-A82E-1347-ADD8-A31BF98D39BF}" destId="{FE458C8D-4369-304E-9A1F-2C8F6D77EC59}" srcOrd="9" destOrd="0" presId="urn:microsoft.com/office/officeart/2005/8/layout/lProcess2"/>
    <dgm:cxn modelId="{69750C41-107C-784A-A74A-A8DE612FFE57}" type="presParOf" srcId="{0B06D379-A82E-1347-ADD8-A31BF98D39BF}" destId="{79345327-125F-C84F-AA6F-973311285761}" srcOrd="10" destOrd="0" presId="urn:microsoft.com/office/officeart/2005/8/layout/lProcess2"/>
    <dgm:cxn modelId="{4749E06E-2173-D64C-B4AF-3B160D93B088}" type="presParOf" srcId="{79345327-125F-C84F-AA6F-973311285761}" destId="{B37FB23E-541E-A848-84B3-B8B470B2FFA2}" srcOrd="0" destOrd="0" presId="urn:microsoft.com/office/officeart/2005/8/layout/lProcess2"/>
    <dgm:cxn modelId="{C01E076A-1A2C-D54F-A1E4-8E8C7A32C13B}" type="presParOf" srcId="{79345327-125F-C84F-AA6F-973311285761}" destId="{66EA230D-1A5C-2648-AD59-68FF104F2D22}" srcOrd="1" destOrd="0" presId="urn:microsoft.com/office/officeart/2005/8/layout/lProcess2"/>
    <dgm:cxn modelId="{2445D540-B1E1-3947-9027-D174A8499458}" type="presParOf" srcId="{79345327-125F-C84F-AA6F-973311285761}" destId="{B64B95A2-5529-BC41-961E-59826345EBAA}" srcOrd="2" destOrd="0" presId="urn:microsoft.com/office/officeart/2005/8/layout/lProcess2"/>
    <dgm:cxn modelId="{158055B7-E337-CF44-A521-923BC2E05DEA}" type="presParOf" srcId="{B64B95A2-5529-BC41-961E-59826345EBAA}" destId="{1873D248-65E5-3945-80A2-246C93D50012}" srcOrd="0" destOrd="0" presId="urn:microsoft.com/office/officeart/2005/8/layout/lProcess2"/>
    <dgm:cxn modelId="{B98D1D89-85CE-E148-8A76-FAE53E35ADB2}" type="presParOf" srcId="{1873D248-65E5-3945-80A2-246C93D50012}" destId="{FDD0277D-9D8B-5E49-8985-C891ED661F04}" srcOrd="0" destOrd="0" presId="urn:microsoft.com/office/officeart/2005/8/layout/lProcess2"/>
    <dgm:cxn modelId="{279B7B6A-09A0-EC48-A2A0-3EBF361491B0}" type="presParOf" srcId="{1873D248-65E5-3945-80A2-246C93D50012}" destId="{5D2691DA-2F97-EE40-B43C-89DB0E12EB86}" srcOrd="1" destOrd="0" presId="urn:microsoft.com/office/officeart/2005/8/layout/lProcess2"/>
    <dgm:cxn modelId="{45A6CA9E-E22A-0149-89DF-F5AB558F1730}" type="presParOf" srcId="{1873D248-65E5-3945-80A2-246C93D50012}" destId="{DF4C3516-46D0-F341-8356-F86B85B7EC10}" srcOrd="2" destOrd="0" presId="urn:microsoft.com/office/officeart/2005/8/layout/lProcess2"/>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6DF0255E-9A03-D74A-9282-B26FCE6B90B2}" type="doc">
      <dgm:prSet loTypeId="urn:microsoft.com/office/officeart/2005/8/layout/lProcess2" loCatId="" qsTypeId="urn:microsoft.com/office/officeart/2005/8/quickstyle/simple4" qsCatId="simple" csTypeId="urn:microsoft.com/office/officeart/2005/8/colors/accent1_2" csCatId="accent1" phldr="1"/>
      <dgm:spPr/>
      <dgm:t>
        <a:bodyPr/>
        <a:lstStyle/>
        <a:p>
          <a:endParaRPr lang="en-US"/>
        </a:p>
      </dgm:t>
    </dgm:pt>
    <dgm:pt modelId="{F2BBAF0A-1D92-204F-86C6-AB7699ECF274}">
      <dgm:prSet phldrT="[Text]" custT="1"/>
      <dgm:spPr/>
      <dgm:t>
        <a:bodyPr/>
        <a:lstStyle/>
        <a:p>
          <a:endParaRPr lang="en-US" sz="800"/>
        </a:p>
        <a:p>
          <a:endParaRPr lang="en-US" sz="800"/>
        </a:p>
        <a:p>
          <a:endParaRPr lang="en-US" sz="800"/>
        </a:p>
        <a:p>
          <a:r>
            <a:rPr lang="en-US" sz="800"/>
            <a:t>Knowledge</a:t>
          </a:r>
        </a:p>
      </dgm:t>
    </dgm:pt>
    <dgm:pt modelId="{B4FF364D-6BD9-0644-A7D9-166BF37222F4}" type="parTrans" cxnId="{9753563D-9493-0443-8277-999F7F15F67C}">
      <dgm:prSet/>
      <dgm:spPr/>
      <dgm:t>
        <a:bodyPr/>
        <a:lstStyle/>
        <a:p>
          <a:endParaRPr lang="en-US"/>
        </a:p>
      </dgm:t>
    </dgm:pt>
    <dgm:pt modelId="{88E2E81E-5E83-B74D-8AA8-2A7AA0581505}" type="sibTrans" cxnId="{9753563D-9493-0443-8277-999F7F15F67C}">
      <dgm:prSet/>
      <dgm:spPr/>
      <dgm:t>
        <a:bodyPr/>
        <a:lstStyle/>
        <a:p>
          <a:endParaRPr lang="en-US"/>
        </a:p>
      </dgm:t>
    </dgm:pt>
    <dgm:pt modelId="{7912F421-3B99-A444-9A83-50CD31FB8A4F}">
      <dgm:prSet phldrT="[Text]" custT="1"/>
      <dgm:spPr/>
      <dgm:t>
        <a:bodyPr/>
        <a:lstStyle/>
        <a:p>
          <a:endParaRPr lang="en-US" sz="800"/>
        </a:p>
        <a:p>
          <a:endParaRPr lang="en-US" sz="800"/>
        </a:p>
        <a:p>
          <a:endParaRPr lang="en-US" sz="800"/>
        </a:p>
        <a:p>
          <a:r>
            <a:rPr lang="en-US" sz="800"/>
            <a:t>Skills</a:t>
          </a:r>
        </a:p>
      </dgm:t>
    </dgm:pt>
    <dgm:pt modelId="{3B171C2F-3187-B246-828F-CCA5B8576B7F}" type="parTrans" cxnId="{A607C2C6-78CA-1649-A8AB-17C2EA66D597}">
      <dgm:prSet/>
      <dgm:spPr/>
      <dgm:t>
        <a:bodyPr/>
        <a:lstStyle/>
        <a:p>
          <a:endParaRPr lang="en-US"/>
        </a:p>
      </dgm:t>
    </dgm:pt>
    <dgm:pt modelId="{060A3276-0B7B-8C4A-B85D-4580707544D5}" type="sibTrans" cxnId="{A607C2C6-78CA-1649-A8AB-17C2EA66D597}">
      <dgm:prSet/>
      <dgm:spPr/>
      <dgm:t>
        <a:bodyPr/>
        <a:lstStyle/>
        <a:p>
          <a:endParaRPr lang="en-US"/>
        </a:p>
      </dgm:t>
    </dgm:pt>
    <dgm:pt modelId="{19151CB9-4AF1-044E-A08B-E3001446D481}">
      <dgm:prSet phldrT="[Text]" custT="1"/>
      <dgm:spPr/>
      <dgm:t>
        <a:bodyPr/>
        <a:lstStyle/>
        <a:p>
          <a:endParaRPr lang="en-US" sz="800"/>
        </a:p>
        <a:p>
          <a:endParaRPr lang="en-US" sz="800"/>
        </a:p>
        <a:p>
          <a:endParaRPr lang="en-US" sz="800"/>
        </a:p>
        <a:p>
          <a:r>
            <a:rPr lang="en-US" sz="800"/>
            <a:t>Transferance</a:t>
          </a:r>
        </a:p>
      </dgm:t>
    </dgm:pt>
    <dgm:pt modelId="{AAD3B5CD-6094-1E41-A7E7-F2F4F018C6F3}" type="parTrans" cxnId="{9F0810C5-4EB6-BB4F-8B3A-40A255A5F88F}">
      <dgm:prSet/>
      <dgm:spPr/>
      <dgm:t>
        <a:bodyPr/>
        <a:lstStyle/>
        <a:p>
          <a:endParaRPr lang="en-US"/>
        </a:p>
      </dgm:t>
    </dgm:pt>
    <dgm:pt modelId="{D5CCAB69-94DF-6949-B2BA-8F1612C0A8C9}" type="sibTrans" cxnId="{9F0810C5-4EB6-BB4F-8B3A-40A255A5F88F}">
      <dgm:prSet/>
      <dgm:spPr/>
      <dgm:t>
        <a:bodyPr/>
        <a:lstStyle/>
        <a:p>
          <a:endParaRPr lang="en-US"/>
        </a:p>
      </dgm:t>
    </dgm:pt>
    <dgm:pt modelId="{D6B569A4-4A08-E44E-A0AF-C1A9581EBB58}">
      <dgm:prSet phldrT="[Text]" custT="1"/>
      <dgm:spPr/>
      <dgm:t>
        <a:bodyPr/>
        <a:lstStyle/>
        <a:p>
          <a:endParaRPr lang="en-US" sz="800"/>
        </a:p>
        <a:p>
          <a:endParaRPr lang="en-US" sz="800"/>
        </a:p>
        <a:p>
          <a:endParaRPr lang="en-US" sz="800"/>
        </a:p>
        <a:p>
          <a:r>
            <a:rPr lang="en-US" sz="800"/>
            <a:t>Professionalism</a:t>
          </a:r>
        </a:p>
      </dgm:t>
    </dgm:pt>
    <dgm:pt modelId="{AA25E590-5495-9549-B791-150ED284258C}" type="parTrans" cxnId="{0567BE99-B62B-6447-B325-63AD92C1C90E}">
      <dgm:prSet/>
      <dgm:spPr/>
      <dgm:t>
        <a:bodyPr/>
        <a:lstStyle/>
        <a:p>
          <a:endParaRPr lang="en-US"/>
        </a:p>
      </dgm:t>
    </dgm:pt>
    <dgm:pt modelId="{02CCAF5E-4768-7A49-83DB-12F927DD0389}" type="sibTrans" cxnId="{0567BE99-B62B-6447-B325-63AD92C1C90E}">
      <dgm:prSet/>
      <dgm:spPr/>
      <dgm:t>
        <a:bodyPr/>
        <a:lstStyle/>
        <a:p>
          <a:endParaRPr lang="en-US"/>
        </a:p>
      </dgm:t>
    </dgm:pt>
    <dgm:pt modelId="{5863B2AC-4311-3D45-AE83-FBF626112386}">
      <dgm:prSet phldrT="[Text]" custT="1"/>
      <dgm:spPr/>
      <dgm:t>
        <a:bodyPr/>
        <a:lstStyle/>
        <a:p>
          <a:endParaRPr lang="en-US" sz="800"/>
        </a:p>
        <a:p>
          <a:endParaRPr lang="en-US" sz="800"/>
        </a:p>
        <a:p>
          <a:endParaRPr lang="en-US" sz="800"/>
        </a:p>
        <a:p>
          <a:r>
            <a:rPr lang="en-US" sz="800"/>
            <a:t>Emotional preparedness</a:t>
          </a:r>
        </a:p>
      </dgm:t>
    </dgm:pt>
    <dgm:pt modelId="{E416582D-DBE6-804D-8ADD-EEB791B87F4B}" type="parTrans" cxnId="{A947D7BA-295B-4246-8954-A03842B9BF03}">
      <dgm:prSet/>
      <dgm:spPr/>
      <dgm:t>
        <a:bodyPr/>
        <a:lstStyle/>
        <a:p>
          <a:endParaRPr lang="en-US"/>
        </a:p>
      </dgm:t>
    </dgm:pt>
    <dgm:pt modelId="{A4486B68-921A-8C42-A15D-730930DD771B}" type="sibTrans" cxnId="{A947D7BA-295B-4246-8954-A03842B9BF03}">
      <dgm:prSet/>
      <dgm:spPr/>
      <dgm:t>
        <a:bodyPr/>
        <a:lstStyle/>
        <a:p>
          <a:endParaRPr lang="en-US"/>
        </a:p>
      </dgm:t>
    </dgm:pt>
    <dgm:pt modelId="{F84B70EA-9490-7B46-8435-D691DC905C12}">
      <dgm:prSet phldrT="[Text]" custT="1"/>
      <dgm:spPr/>
      <dgm:t>
        <a:bodyPr/>
        <a:lstStyle/>
        <a:p>
          <a:endParaRPr lang="en-US" sz="800"/>
        </a:p>
        <a:p>
          <a:endParaRPr lang="en-US" sz="800"/>
        </a:p>
        <a:p>
          <a:endParaRPr lang="en-US" sz="800"/>
        </a:p>
        <a:p>
          <a:r>
            <a:rPr lang="en-US" sz="800"/>
            <a:t>Confidence</a:t>
          </a:r>
        </a:p>
      </dgm:t>
    </dgm:pt>
    <dgm:pt modelId="{B14DA4E1-ABDC-B94E-A766-4137248B3B3B}" type="parTrans" cxnId="{A13FC59A-359F-F740-A5A7-9B558E62DB5F}">
      <dgm:prSet/>
      <dgm:spPr/>
      <dgm:t>
        <a:bodyPr/>
        <a:lstStyle/>
        <a:p>
          <a:endParaRPr lang="en-US"/>
        </a:p>
      </dgm:t>
    </dgm:pt>
    <dgm:pt modelId="{464CDDDE-2A7F-614E-A51A-01ACB0E7CB2B}" type="sibTrans" cxnId="{A13FC59A-359F-F740-A5A7-9B558E62DB5F}">
      <dgm:prSet/>
      <dgm:spPr/>
      <dgm:t>
        <a:bodyPr/>
        <a:lstStyle/>
        <a:p>
          <a:endParaRPr lang="en-US"/>
        </a:p>
      </dgm:t>
    </dgm:pt>
    <dgm:pt modelId="{038C9BF3-F616-954F-A347-F0AE114B3585}">
      <dgm:prSet phldrT="[Text]" custT="1"/>
      <dgm:spPr/>
      <dgm:t>
        <a:bodyPr/>
        <a:lstStyle/>
        <a:p>
          <a:endParaRPr lang="en-US" sz="800"/>
        </a:p>
        <a:p>
          <a:endParaRPr lang="en-US" sz="800"/>
        </a:p>
        <a:p>
          <a:endParaRPr lang="en-US" sz="800"/>
        </a:p>
        <a:p>
          <a:r>
            <a:rPr lang="en-US" sz="800"/>
            <a:t>Capability</a:t>
          </a:r>
        </a:p>
      </dgm:t>
    </dgm:pt>
    <dgm:pt modelId="{C99E73D5-B200-084B-89BD-CD069A641FE5}" type="parTrans" cxnId="{18644FA3-820D-7242-B20A-A577EA692239}">
      <dgm:prSet/>
      <dgm:spPr/>
      <dgm:t>
        <a:bodyPr/>
        <a:lstStyle/>
        <a:p>
          <a:endParaRPr lang="en-US"/>
        </a:p>
      </dgm:t>
    </dgm:pt>
    <dgm:pt modelId="{C0E03E85-442F-4148-AA20-BB23F2E6CBFC}" type="sibTrans" cxnId="{18644FA3-820D-7242-B20A-A577EA692239}">
      <dgm:prSet/>
      <dgm:spPr/>
      <dgm:t>
        <a:bodyPr/>
        <a:lstStyle/>
        <a:p>
          <a:endParaRPr lang="en-US"/>
        </a:p>
      </dgm:t>
    </dgm:pt>
    <dgm:pt modelId="{18F583BC-6D8C-9440-ACB7-DD355B848330}" type="pres">
      <dgm:prSet presAssocID="{6DF0255E-9A03-D74A-9282-B26FCE6B90B2}" presName="theList" presStyleCnt="0">
        <dgm:presLayoutVars>
          <dgm:dir/>
          <dgm:animLvl val="lvl"/>
          <dgm:resizeHandles val="exact"/>
        </dgm:presLayoutVars>
      </dgm:prSet>
      <dgm:spPr/>
    </dgm:pt>
    <dgm:pt modelId="{87C46A5A-DF0F-464E-AE6A-8B148926B3BF}" type="pres">
      <dgm:prSet presAssocID="{F2BBAF0A-1D92-204F-86C6-AB7699ECF274}" presName="compNode" presStyleCnt="0"/>
      <dgm:spPr/>
    </dgm:pt>
    <dgm:pt modelId="{BBD67877-A4BB-B643-A69A-A94E4892E43B}" type="pres">
      <dgm:prSet presAssocID="{F2BBAF0A-1D92-204F-86C6-AB7699ECF274}" presName="aNode" presStyleLbl="bgShp" presStyleIdx="0" presStyleCnt="7"/>
      <dgm:spPr/>
    </dgm:pt>
    <dgm:pt modelId="{6518F698-28A0-6B4B-836C-85CD36D083A0}" type="pres">
      <dgm:prSet presAssocID="{F2BBAF0A-1D92-204F-86C6-AB7699ECF274}" presName="textNode" presStyleLbl="bgShp" presStyleIdx="0" presStyleCnt="7"/>
      <dgm:spPr/>
    </dgm:pt>
    <dgm:pt modelId="{30027A1A-346D-FD42-8E53-CE5408614EF0}" type="pres">
      <dgm:prSet presAssocID="{F2BBAF0A-1D92-204F-86C6-AB7699ECF274}" presName="compChildNode" presStyleCnt="0"/>
      <dgm:spPr/>
    </dgm:pt>
    <dgm:pt modelId="{3E570901-4709-6443-809D-EB484546B744}" type="pres">
      <dgm:prSet presAssocID="{F2BBAF0A-1D92-204F-86C6-AB7699ECF274}" presName="theInnerList" presStyleCnt="0"/>
      <dgm:spPr/>
    </dgm:pt>
    <dgm:pt modelId="{754715A3-910B-5E41-86AA-592A2A14BDBD}" type="pres">
      <dgm:prSet presAssocID="{F2BBAF0A-1D92-204F-86C6-AB7699ECF274}" presName="aSpace" presStyleCnt="0"/>
      <dgm:spPr/>
    </dgm:pt>
    <dgm:pt modelId="{EF6E0363-5511-9443-9A53-13A924201E95}" type="pres">
      <dgm:prSet presAssocID="{7912F421-3B99-A444-9A83-50CD31FB8A4F}" presName="compNode" presStyleCnt="0"/>
      <dgm:spPr/>
    </dgm:pt>
    <dgm:pt modelId="{0C2CE34D-5471-EC4B-BD2D-922469F47568}" type="pres">
      <dgm:prSet presAssocID="{7912F421-3B99-A444-9A83-50CD31FB8A4F}" presName="aNode" presStyleLbl="bgShp" presStyleIdx="1" presStyleCnt="7"/>
      <dgm:spPr/>
    </dgm:pt>
    <dgm:pt modelId="{7541AAA8-88A8-F64F-85EA-82AA2FAB0703}" type="pres">
      <dgm:prSet presAssocID="{7912F421-3B99-A444-9A83-50CD31FB8A4F}" presName="textNode" presStyleLbl="bgShp" presStyleIdx="1" presStyleCnt="7"/>
      <dgm:spPr/>
    </dgm:pt>
    <dgm:pt modelId="{9B724B67-D521-6B4B-89F4-97BAF67CA684}" type="pres">
      <dgm:prSet presAssocID="{7912F421-3B99-A444-9A83-50CD31FB8A4F}" presName="compChildNode" presStyleCnt="0"/>
      <dgm:spPr/>
    </dgm:pt>
    <dgm:pt modelId="{699EEE7D-45B0-7540-A602-C7920B3372E6}" type="pres">
      <dgm:prSet presAssocID="{7912F421-3B99-A444-9A83-50CD31FB8A4F}" presName="theInnerList" presStyleCnt="0"/>
      <dgm:spPr/>
    </dgm:pt>
    <dgm:pt modelId="{34A89BBA-E27A-7146-95F9-57E4B6BD2908}" type="pres">
      <dgm:prSet presAssocID="{7912F421-3B99-A444-9A83-50CD31FB8A4F}" presName="aSpace" presStyleCnt="0"/>
      <dgm:spPr/>
    </dgm:pt>
    <dgm:pt modelId="{8F582F55-8737-284F-B2BD-C3BE43B0146D}" type="pres">
      <dgm:prSet presAssocID="{038C9BF3-F616-954F-A347-F0AE114B3585}" presName="compNode" presStyleCnt="0"/>
      <dgm:spPr/>
    </dgm:pt>
    <dgm:pt modelId="{F6A55F06-7694-7645-BF82-271AF65400CE}" type="pres">
      <dgm:prSet presAssocID="{038C9BF3-F616-954F-A347-F0AE114B3585}" presName="aNode" presStyleLbl="bgShp" presStyleIdx="2" presStyleCnt="7"/>
      <dgm:spPr/>
    </dgm:pt>
    <dgm:pt modelId="{0762E30C-003F-164B-9C1B-7E8A4A02E478}" type="pres">
      <dgm:prSet presAssocID="{038C9BF3-F616-954F-A347-F0AE114B3585}" presName="textNode" presStyleLbl="bgShp" presStyleIdx="2" presStyleCnt="7"/>
      <dgm:spPr/>
    </dgm:pt>
    <dgm:pt modelId="{1242E7A4-DEFE-D34D-B8BC-1CF33F7F8464}" type="pres">
      <dgm:prSet presAssocID="{038C9BF3-F616-954F-A347-F0AE114B3585}" presName="compChildNode" presStyleCnt="0"/>
      <dgm:spPr/>
    </dgm:pt>
    <dgm:pt modelId="{9C688E20-E606-7447-8541-2AF100992518}" type="pres">
      <dgm:prSet presAssocID="{038C9BF3-F616-954F-A347-F0AE114B3585}" presName="theInnerList" presStyleCnt="0"/>
      <dgm:spPr/>
    </dgm:pt>
    <dgm:pt modelId="{79BD7887-486F-DB4B-A068-458A6FCA8CA6}" type="pres">
      <dgm:prSet presAssocID="{038C9BF3-F616-954F-A347-F0AE114B3585}" presName="aSpace" presStyleCnt="0"/>
      <dgm:spPr/>
    </dgm:pt>
    <dgm:pt modelId="{7463241C-9284-5B48-BDE7-769AF39B20E4}" type="pres">
      <dgm:prSet presAssocID="{19151CB9-4AF1-044E-A08B-E3001446D481}" presName="compNode" presStyleCnt="0"/>
      <dgm:spPr/>
    </dgm:pt>
    <dgm:pt modelId="{34AF6574-AE94-A64A-9FDB-7A600E2FAE12}" type="pres">
      <dgm:prSet presAssocID="{19151CB9-4AF1-044E-A08B-E3001446D481}" presName="aNode" presStyleLbl="bgShp" presStyleIdx="3" presStyleCnt="7"/>
      <dgm:spPr/>
    </dgm:pt>
    <dgm:pt modelId="{BD137734-C6A9-EC4B-B451-7F533A5E4F8D}" type="pres">
      <dgm:prSet presAssocID="{19151CB9-4AF1-044E-A08B-E3001446D481}" presName="textNode" presStyleLbl="bgShp" presStyleIdx="3" presStyleCnt="7"/>
      <dgm:spPr/>
    </dgm:pt>
    <dgm:pt modelId="{70B8466A-F614-4C45-9BF8-1F41B66C2ED2}" type="pres">
      <dgm:prSet presAssocID="{19151CB9-4AF1-044E-A08B-E3001446D481}" presName="compChildNode" presStyleCnt="0"/>
      <dgm:spPr/>
    </dgm:pt>
    <dgm:pt modelId="{B15BF994-6B8C-CA4A-9FDD-5B13CC9E06DA}" type="pres">
      <dgm:prSet presAssocID="{19151CB9-4AF1-044E-A08B-E3001446D481}" presName="theInnerList" presStyleCnt="0"/>
      <dgm:spPr/>
    </dgm:pt>
    <dgm:pt modelId="{DCBCBC6A-4A5D-BF44-BFF4-5225BFD6AFF4}" type="pres">
      <dgm:prSet presAssocID="{19151CB9-4AF1-044E-A08B-E3001446D481}" presName="aSpace" presStyleCnt="0"/>
      <dgm:spPr/>
    </dgm:pt>
    <dgm:pt modelId="{180E2E67-34E2-0547-963B-5E0C6238A40F}" type="pres">
      <dgm:prSet presAssocID="{D6B569A4-4A08-E44E-A0AF-C1A9581EBB58}" presName="compNode" presStyleCnt="0"/>
      <dgm:spPr/>
    </dgm:pt>
    <dgm:pt modelId="{0596DD8E-A317-6B4D-845A-294783577357}" type="pres">
      <dgm:prSet presAssocID="{D6B569A4-4A08-E44E-A0AF-C1A9581EBB58}" presName="aNode" presStyleLbl="bgShp" presStyleIdx="4" presStyleCnt="7"/>
      <dgm:spPr/>
    </dgm:pt>
    <dgm:pt modelId="{72FDB26A-8182-9F47-A72D-09E2EB57A689}" type="pres">
      <dgm:prSet presAssocID="{D6B569A4-4A08-E44E-A0AF-C1A9581EBB58}" presName="textNode" presStyleLbl="bgShp" presStyleIdx="4" presStyleCnt="7"/>
      <dgm:spPr/>
    </dgm:pt>
    <dgm:pt modelId="{BAA6CDED-8E11-B545-8597-BB885A92A187}" type="pres">
      <dgm:prSet presAssocID="{D6B569A4-4A08-E44E-A0AF-C1A9581EBB58}" presName="compChildNode" presStyleCnt="0"/>
      <dgm:spPr/>
    </dgm:pt>
    <dgm:pt modelId="{4981BA19-A00B-1C43-9470-678BD4BF8795}" type="pres">
      <dgm:prSet presAssocID="{D6B569A4-4A08-E44E-A0AF-C1A9581EBB58}" presName="theInnerList" presStyleCnt="0"/>
      <dgm:spPr/>
    </dgm:pt>
    <dgm:pt modelId="{89DD2F55-64C1-7F47-B960-5B746A110033}" type="pres">
      <dgm:prSet presAssocID="{D6B569A4-4A08-E44E-A0AF-C1A9581EBB58}" presName="aSpace" presStyleCnt="0"/>
      <dgm:spPr/>
    </dgm:pt>
    <dgm:pt modelId="{A6F71F6C-4074-244C-8B0E-3D3EAE302F8F}" type="pres">
      <dgm:prSet presAssocID="{5863B2AC-4311-3D45-AE83-FBF626112386}" presName="compNode" presStyleCnt="0"/>
      <dgm:spPr/>
    </dgm:pt>
    <dgm:pt modelId="{AEDFCD48-1958-C946-AEC8-D30F100CEA78}" type="pres">
      <dgm:prSet presAssocID="{5863B2AC-4311-3D45-AE83-FBF626112386}" presName="aNode" presStyleLbl="bgShp" presStyleIdx="5" presStyleCnt="7"/>
      <dgm:spPr/>
    </dgm:pt>
    <dgm:pt modelId="{8034FC04-BAEA-6D4D-8D0A-C59BF801BB73}" type="pres">
      <dgm:prSet presAssocID="{5863B2AC-4311-3D45-AE83-FBF626112386}" presName="textNode" presStyleLbl="bgShp" presStyleIdx="5" presStyleCnt="7"/>
      <dgm:spPr/>
    </dgm:pt>
    <dgm:pt modelId="{7C8CD638-008B-754C-A583-B972925E3679}" type="pres">
      <dgm:prSet presAssocID="{5863B2AC-4311-3D45-AE83-FBF626112386}" presName="compChildNode" presStyleCnt="0"/>
      <dgm:spPr/>
    </dgm:pt>
    <dgm:pt modelId="{026B6BB0-0A80-284A-8262-4DAE3BB19949}" type="pres">
      <dgm:prSet presAssocID="{5863B2AC-4311-3D45-AE83-FBF626112386}" presName="theInnerList" presStyleCnt="0"/>
      <dgm:spPr/>
    </dgm:pt>
    <dgm:pt modelId="{CDDB473E-3AA1-C34A-B5B0-B6F4A4041D19}" type="pres">
      <dgm:prSet presAssocID="{5863B2AC-4311-3D45-AE83-FBF626112386}" presName="aSpace" presStyleCnt="0"/>
      <dgm:spPr/>
    </dgm:pt>
    <dgm:pt modelId="{B2A45E1E-C4BF-454B-AAC3-42986B6147CB}" type="pres">
      <dgm:prSet presAssocID="{F84B70EA-9490-7B46-8435-D691DC905C12}" presName="compNode" presStyleCnt="0"/>
      <dgm:spPr/>
    </dgm:pt>
    <dgm:pt modelId="{CA4C8496-8439-D442-B104-011CC35F598C}" type="pres">
      <dgm:prSet presAssocID="{F84B70EA-9490-7B46-8435-D691DC905C12}" presName="aNode" presStyleLbl="bgShp" presStyleIdx="6" presStyleCnt="7"/>
      <dgm:spPr/>
    </dgm:pt>
    <dgm:pt modelId="{5A824A37-CB2F-D743-8C44-531FF2E5A6C8}" type="pres">
      <dgm:prSet presAssocID="{F84B70EA-9490-7B46-8435-D691DC905C12}" presName="textNode" presStyleLbl="bgShp" presStyleIdx="6" presStyleCnt="7"/>
      <dgm:spPr/>
    </dgm:pt>
    <dgm:pt modelId="{60B71B0F-CD34-564B-8832-346637549243}" type="pres">
      <dgm:prSet presAssocID="{F84B70EA-9490-7B46-8435-D691DC905C12}" presName="compChildNode" presStyleCnt="0"/>
      <dgm:spPr/>
    </dgm:pt>
    <dgm:pt modelId="{7007BCBE-E188-1D4A-8396-43817DFD1952}" type="pres">
      <dgm:prSet presAssocID="{F84B70EA-9490-7B46-8435-D691DC905C12}" presName="theInnerList" presStyleCnt="0"/>
      <dgm:spPr/>
    </dgm:pt>
  </dgm:ptLst>
  <dgm:cxnLst>
    <dgm:cxn modelId="{5AFA3F17-4563-FA40-8B35-64B8901DD88B}" type="presOf" srcId="{F2BBAF0A-1D92-204F-86C6-AB7699ECF274}" destId="{BBD67877-A4BB-B643-A69A-A94E4892E43B}" srcOrd="0" destOrd="0" presId="urn:microsoft.com/office/officeart/2005/8/layout/lProcess2"/>
    <dgm:cxn modelId="{E8171F1C-1753-4840-AA2C-38B5F34396FD}" type="presOf" srcId="{7912F421-3B99-A444-9A83-50CD31FB8A4F}" destId="{0C2CE34D-5471-EC4B-BD2D-922469F47568}" srcOrd="0" destOrd="0" presId="urn:microsoft.com/office/officeart/2005/8/layout/lProcess2"/>
    <dgm:cxn modelId="{DF51F322-9A14-BE48-9102-2F542B61161D}" type="presOf" srcId="{6DF0255E-9A03-D74A-9282-B26FCE6B90B2}" destId="{18F583BC-6D8C-9440-ACB7-DD355B848330}" srcOrd="0" destOrd="0" presId="urn:microsoft.com/office/officeart/2005/8/layout/lProcess2"/>
    <dgm:cxn modelId="{D4979535-D606-294D-81B9-76D510E9FB4B}" type="presOf" srcId="{D6B569A4-4A08-E44E-A0AF-C1A9581EBB58}" destId="{0596DD8E-A317-6B4D-845A-294783577357}" srcOrd="0" destOrd="0" presId="urn:microsoft.com/office/officeart/2005/8/layout/lProcess2"/>
    <dgm:cxn modelId="{9753563D-9493-0443-8277-999F7F15F67C}" srcId="{6DF0255E-9A03-D74A-9282-B26FCE6B90B2}" destId="{F2BBAF0A-1D92-204F-86C6-AB7699ECF274}" srcOrd="0" destOrd="0" parTransId="{B4FF364D-6BD9-0644-A7D9-166BF37222F4}" sibTransId="{88E2E81E-5E83-B74D-8AA8-2A7AA0581505}"/>
    <dgm:cxn modelId="{0BC4C75C-FFD4-0E47-BD9C-590E6F61B2C1}" type="presOf" srcId="{5863B2AC-4311-3D45-AE83-FBF626112386}" destId="{AEDFCD48-1958-C946-AEC8-D30F100CEA78}" srcOrd="0" destOrd="0" presId="urn:microsoft.com/office/officeart/2005/8/layout/lProcess2"/>
    <dgm:cxn modelId="{AF9F8E77-F221-394E-BC3E-B86C3002B2E5}" type="presOf" srcId="{038C9BF3-F616-954F-A347-F0AE114B3585}" destId="{F6A55F06-7694-7645-BF82-271AF65400CE}" srcOrd="0" destOrd="0" presId="urn:microsoft.com/office/officeart/2005/8/layout/lProcess2"/>
    <dgm:cxn modelId="{C998D386-7534-4B4F-BD42-491C7376BCF5}" type="presOf" srcId="{F84B70EA-9490-7B46-8435-D691DC905C12}" destId="{CA4C8496-8439-D442-B104-011CC35F598C}" srcOrd="0" destOrd="0" presId="urn:microsoft.com/office/officeart/2005/8/layout/lProcess2"/>
    <dgm:cxn modelId="{A6C9D190-1310-264C-A17F-5DF0A9531733}" type="presOf" srcId="{5863B2AC-4311-3D45-AE83-FBF626112386}" destId="{8034FC04-BAEA-6D4D-8D0A-C59BF801BB73}" srcOrd="1" destOrd="0" presId="urn:microsoft.com/office/officeart/2005/8/layout/lProcess2"/>
    <dgm:cxn modelId="{0567BE99-B62B-6447-B325-63AD92C1C90E}" srcId="{6DF0255E-9A03-D74A-9282-B26FCE6B90B2}" destId="{D6B569A4-4A08-E44E-A0AF-C1A9581EBB58}" srcOrd="4" destOrd="0" parTransId="{AA25E590-5495-9549-B791-150ED284258C}" sibTransId="{02CCAF5E-4768-7A49-83DB-12F927DD0389}"/>
    <dgm:cxn modelId="{A13FC59A-359F-F740-A5A7-9B558E62DB5F}" srcId="{6DF0255E-9A03-D74A-9282-B26FCE6B90B2}" destId="{F84B70EA-9490-7B46-8435-D691DC905C12}" srcOrd="6" destOrd="0" parTransId="{B14DA4E1-ABDC-B94E-A766-4137248B3B3B}" sibTransId="{464CDDDE-2A7F-614E-A51A-01ACB0E7CB2B}"/>
    <dgm:cxn modelId="{9EF1029F-B09E-A147-8886-8B29837704EC}" type="presOf" srcId="{7912F421-3B99-A444-9A83-50CD31FB8A4F}" destId="{7541AAA8-88A8-F64F-85EA-82AA2FAB0703}" srcOrd="1" destOrd="0" presId="urn:microsoft.com/office/officeart/2005/8/layout/lProcess2"/>
    <dgm:cxn modelId="{4084BCA1-0963-6A49-8D09-C9D41D4914D6}" type="presOf" srcId="{D6B569A4-4A08-E44E-A0AF-C1A9581EBB58}" destId="{72FDB26A-8182-9F47-A72D-09E2EB57A689}" srcOrd="1" destOrd="0" presId="urn:microsoft.com/office/officeart/2005/8/layout/lProcess2"/>
    <dgm:cxn modelId="{18644FA3-820D-7242-B20A-A577EA692239}" srcId="{6DF0255E-9A03-D74A-9282-B26FCE6B90B2}" destId="{038C9BF3-F616-954F-A347-F0AE114B3585}" srcOrd="2" destOrd="0" parTransId="{C99E73D5-B200-084B-89BD-CD069A641FE5}" sibTransId="{C0E03E85-442F-4148-AA20-BB23F2E6CBFC}"/>
    <dgm:cxn modelId="{F707C2AB-F763-A649-94F9-122AB74363F9}" type="presOf" srcId="{F2BBAF0A-1D92-204F-86C6-AB7699ECF274}" destId="{6518F698-28A0-6B4B-836C-85CD36D083A0}" srcOrd="1" destOrd="0" presId="urn:microsoft.com/office/officeart/2005/8/layout/lProcess2"/>
    <dgm:cxn modelId="{A947D7BA-295B-4246-8954-A03842B9BF03}" srcId="{6DF0255E-9A03-D74A-9282-B26FCE6B90B2}" destId="{5863B2AC-4311-3D45-AE83-FBF626112386}" srcOrd="5" destOrd="0" parTransId="{E416582D-DBE6-804D-8ADD-EEB791B87F4B}" sibTransId="{A4486B68-921A-8C42-A15D-730930DD771B}"/>
    <dgm:cxn modelId="{9F0810C5-4EB6-BB4F-8B3A-40A255A5F88F}" srcId="{6DF0255E-9A03-D74A-9282-B26FCE6B90B2}" destId="{19151CB9-4AF1-044E-A08B-E3001446D481}" srcOrd="3" destOrd="0" parTransId="{AAD3B5CD-6094-1E41-A7E7-F2F4F018C6F3}" sibTransId="{D5CCAB69-94DF-6949-B2BA-8F1612C0A8C9}"/>
    <dgm:cxn modelId="{A607C2C6-78CA-1649-A8AB-17C2EA66D597}" srcId="{6DF0255E-9A03-D74A-9282-B26FCE6B90B2}" destId="{7912F421-3B99-A444-9A83-50CD31FB8A4F}" srcOrd="1" destOrd="0" parTransId="{3B171C2F-3187-B246-828F-CCA5B8576B7F}" sibTransId="{060A3276-0B7B-8C4A-B85D-4580707544D5}"/>
    <dgm:cxn modelId="{A050EFC6-8E16-374D-9C60-A5D9B653CC05}" type="presOf" srcId="{038C9BF3-F616-954F-A347-F0AE114B3585}" destId="{0762E30C-003F-164B-9C1B-7E8A4A02E478}" srcOrd="1" destOrd="0" presId="urn:microsoft.com/office/officeart/2005/8/layout/lProcess2"/>
    <dgm:cxn modelId="{D067C8D6-8155-0140-9F0D-2EF9D3AF8B98}" type="presOf" srcId="{19151CB9-4AF1-044E-A08B-E3001446D481}" destId="{BD137734-C6A9-EC4B-B451-7F533A5E4F8D}" srcOrd="1" destOrd="0" presId="urn:microsoft.com/office/officeart/2005/8/layout/lProcess2"/>
    <dgm:cxn modelId="{3D997CF1-DA19-E24E-BCC3-7F2BC5FE8C6D}" type="presOf" srcId="{19151CB9-4AF1-044E-A08B-E3001446D481}" destId="{34AF6574-AE94-A64A-9FDB-7A600E2FAE12}" srcOrd="0" destOrd="0" presId="urn:microsoft.com/office/officeart/2005/8/layout/lProcess2"/>
    <dgm:cxn modelId="{3735F4F8-7D8A-0849-9103-CDEB7E0B4DFF}" type="presOf" srcId="{F84B70EA-9490-7B46-8435-D691DC905C12}" destId="{5A824A37-CB2F-D743-8C44-531FF2E5A6C8}" srcOrd="1" destOrd="0" presId="urn:microsoft.com/office/officeart/2005/8/layout/lProcess2"/>
    <dgm:cxn modelId="{C65AB7F9-0EBE-AA40-B280-C35D265D766C}" type="presParOf" srcId="{18F583BC-6D8C-9440-ACB7-DD355B848330}" destId="{87C46A5A-DF0F-464E-AE6A-8B148926B3BF}" srcOrd="0" destOrd="0" presId="urn:microsoft.com/office/officeart/2005/8/layout/lProcess2"/>
    <dgm:cxn modelId="{46F46C51-C082-BF48-A626-6335333E91D2}" type="presParOf" srcId="{87C46A5A-DF0F-464E-AE6A-8B148926B3BF}" destId="{BBD67877-A4BB-B643-A69A-A94E4892E43B}" srcOrd="0" destOrd="0" presId="urn:microsoft.com/office/officeart/2005/8/layout/lProcess2"/>
    <dgm:cxn modelId="{D56BDEE3-2D85-5247-BFB8-DCFF22BDD978}" type="presParOf" srcId="{87C46A5A-DF0F-464E-AE6A-8B148926B3BF}" destId="{6518F698-28A0-6B4B-836C-85CD36D083A0}" srcOrd="1" destOrd="0" presId="urn:microsoft.com/office/officeart/2005/8/layout/lProcess2"/>
    <dgm:cxn modelId="{3B008709-051E-1742-9D0F-092F81E718A3}" type="presParOf" srcId="{87C46A5A-DF0F-464E-AE6A-8B148926B3BF}" destId="{30027A1A-346D-FD42-8E53-CE5408614EF0}" srcOrd="2" destOrd="0" presId="urn:microsoft.com/office/officeart/2005/8/layout/lProcess2"/>
    <dgm:cxn modelId="{81C756F2-8BF9-9048-8DDF-0947FB0CE954}" type="presParOf" srcId="{30027A1A-346D-FD42-8E53-CE5408614EF0}" destId="{3E570901-4709-6443-809D-EB484546B744}" srcOrd="0" destOrd="0" presId="urn:microsoft.com/office/officeart/2005/8/layout/lProcess2"/>
    <dgm:cxn modelId="{0EDB5B79-EA89-EB4A-BE6E-5D907E0D81A6}" type="presParOf" srcId="{18F583BC-6D8C-9440-ACB7-DD355B848330}" destId="{754715A3-910B-5E41-86AA-592A2A14BDBD}" srcOrd="1" destOrd="0" presId="urn:microsoft.com/office/officeart/2005/8/layout/lProcess2"/>
    <dgm:cxn modelId="{A4056998-E7C1-2847-8202-127DA54AEB04}" type="presParOf" srcId="{18F583BC-6D8C-9440-ACB7-DD355B848330}" destId="{EF6E0363-5511-9443-9A53-13A924201E95}" srcOrd="2" destOrd="0" presId="urn:microsoft.com/office/officeart/2005/8/layout/lProcess2"/>
    <dgm:cxn modelId="{9A9E5C46-4428-6348-9A01-312102096E38}" type="presParOf" srcId="{EF6E0363-5511-9443-9A53-13A924201E95}" destId="{0C2CE34D-5471-EC4B-BD2D-922469F47568}" srcOrd="0" destOrd="0" presId="urn:microsoft.com/office/officeart/2005/8/layout/lProcess2"/>
    <dgm:cxn modelId="{1850666E-E05B-1B4F-A9A2-84172E74FAFA}" type="presParOf" srcId="{EF6E0363-5511-9443-9A53-13A924201E95}" destId="{7541AAA8-88A8-F64F-85EA-82AA2FAB0703}" srcOrd="1" destOrd="0" presId="urn:microsoft.com/office/officeart/2005/8/layout/lProcess2"/>
    <dgm:cxn modelId="{EBC9F7BA-1D87-2D4D-8CCC-EF5D1752B4A6}" type="presParOf" srcId="{EF6E0363-5511-9443-9A53-13A924201E95}" destId="{9B724B67-D521-6B4B-89F4-97BAF67CA684}" srcOrd="2" destOrd="0" presId="urn:microsoft.com/office/officeart/2005/8/layout/lProcess2"/>
    <dgm:cxn modelId="{7481563E-B687-0647-9C7D-4AC1A8BC3849}" type="presParOf" srcId="{9B724B67-D521-6B4B-89F4-97BAF67CA684}" destId="{699EEE7D-45B0-7540-A602-C7920B3372E6}" srcOrd="0" destOrd="0" presId="urn:microsoft.com/office/officeart/2005/8/layout/lProcess2"/>
    <dgm:cxn modelId="{AEE7E03D-4BEF-8243-A0A1-D09E6156EF2A}" type="presParOf" srcId="{18F583BC-6D8C-9440-ACB7-DD355B848330}" destId="{34A89BBA-E27A-7146-95F9-57E4B6BD2908}" srcOrd="3" destOrd="0" presId="urn:microsoft.com/office/officeart/2005/8/layout/lProcess2"/>
    <dgm:cxn modelId="{CDBD1FF6-5457-474C-B8EF-BA52B6B85A66}" type="presParOf" srcId="{18F583BC-6D8C-9440-ACB7-DD355B848330}" destId="{8F582F55-8737-284F-B2BD-C3BE43B0146D}" srcOrd="4" destOrd="0" presId="urn:microsoft.com/office/officeart/2005/8/layout/lProcess2"/>
    <dgm:cxn modelId="{66C98D97-FAB8-0C49-9ADE-8B1E5F19414C}" type="presParOf" srcId="{8F582F55-8737-284F-B2BD-C3BE43B0146D}" destId="{F6A55F06-7694-7645-BF82-271AF65400CE}" srcOrd="0" destOrd="0" presId="urn:microsoft.com/office/officeart/2005/8/layout/lProcess2"/>
    <dgm:cxn modelId="{E3569A7F-A9C7-3D40-8B80-E94FA392251F}" type="presParOf" srcId="{8F582F55-8737-284F-B2BD-C3BE43B0146D}" destId="{0762E30C-003F-164B-9C1B-7E8A4A02E478}" srcOrd="1" destOrd="0" presId="urn:microsoft.com/office/officeart/2005/8/layout/lProcess2"/>
    <dgm:cxn modelId="{41331E68-BD63-594F-BF80-7581A45836E7}" type="presParOf" srcId="{8F582F55-8737-284F-B2BD-C3BE43B0146D}" destId="{1242E7A4-DEFE-D34D-B8BC-1CF33F7F8464}" srcOrd="2" destOrd="0" presId="urn:microsoft.com/office/officeart/2005/8/layout/lProcess2"/>
    <dgm:cxn modelId="{1A7ACBCD-5C71-3E4A-AC59-3B3DB799D9E4}" type="presParOf" srcId="{1242E7A4-DEFE-D34D-B8BC-1CF33F7F8464}" destId="{9C688E20-E606-7447-8541-2AF100992518}" srcOrd="0" destOrd="0" presId="urn:microsoft.com/office/officeart/2005/8/layout/lProcess2"/>
    <dgm:cxn modelId="{FDB6A83F-B820-3B45-AB86-06AEE839BE06}" type="presParOf" srcId="{18F583BC-6D8C-9440-ACB7-DD355B848330}" destId="{79BD7887-486F-DB4B-A068-458A6FCA8CA6}" srcOrd="5" destOrd="0" presId="urn:microsoft.com/office/officeart/2005/8/layout/lProcess2"/>
    <dgm:cxn modelId="{AC56D27B-321C-2B4C-AA71-C4FA45EADFB5}" type="presParOf" srcId="{18F583BC-6D8C-9440-ACB7-DD355B848330}" destId="{7463241C-9284-5B48-BDE7-769AF39B20E4}" srcOrd="6" destOrd="0" presId="urn:microsoft.com/office/officeart/2005/8/layout/lProcess2"/>
    <dgm:cxn modelId="{57853659-4304-EB4C-84F4-50E0E435C569}" type="presParOf" srcId="{7463241C-9284-5B48-BDE7-769AF39B20E4}" destId="{34AF6574-AE94-A64A-9FDB-7A600E2FAE12}" srcOrd="0" destOrd="0" presId="urn:microsoft.com/office/officeart/2005/8/layout/lProcess2"/>
    <dgm:cxn modelId="{CBFE3BE3-294F-6B42-8AAA-6527FDCF11DB}" type="presParOf" srcId="{7463241C-9284-5B48-BDE7-769AF39B20E4}" destId="{BD137734-C6A9-EC4B-B451-7F533A5E4F8D}" srcOrd="1" destOrd="0" presId="urn:microsoft.com/office/officeart/2005/8/layout/lProcess2"/>
    <dgm:cxn modelId="{A3C9EDED-4B8F-5E48-941E-05E589FD8CF9}" type="presParOf" srcId="{7463241C-9284-5B48-BDE7-769AF39B20E4}" destId="{70B8466A-F614-4C45-9BF8-1F41B66C2ED2}" srcOrd="2" destOrd="0" presId="urn:microsoft.com/office/officeart/2005/8/layout/lProcess2"/>
    <dgm:cxn modelId="{2FB6CD26-42CE-9B43-8E7F-91A88AE8BC46}" type="presParOf" srcId="{70B8466A-F614-4C45-9BF8-1F41B66C2ED2}" destId="{B15BF994-6B8C-CA4A-9FDD-5B13CC9E06DA}" srcOrd="0" destOrd="0" presId="urn:microsoft.com/office/officeart/2005/8/layout/lProcess2"/>
    <dgm:cxn modelId="{4553F28B-CB74-4049-BBBA-B220B7DB13FF}" type="presParOf" srcId="{18F583BC-6D8C-9440-ACB7-DD355B848330}" destId="{DCBCBC6A-4A5D-BF44-BFF4-5225BFD6AFF4}" srcOrd="7" destOrd="0" presId="urn:microsoft.com/office/officeart/2005/8/layout/lProcess2"/>
    <dgm:cxn modelId="{63158CB8-75D0-8E4D-8EBB-95A50117694D}" type="presParOf" srcId="{18F583BC-6D8C-9440-ACB7-DD355B848330}" destId="{180E2E67-34E2-0547-963B-5E0C6238A40F}" srcOrd="8" destOrd="0" presId="urn:microsoft.com/office/officeart/2005/8/layout/lProcess2"/>
    <dgm:cxn modelId="{E9CF4CF2-501D-E64C-9576-FEF8D8136291}" type="presParOf" srcId="{180E2E67-34E2-0547-963B-5E0C6238A40F}" destId="{0596DD8E-A317-6B4D-845A-294783577357}" srcOrd="0" destOrd="0" presId="urn:microsoft.com/office/officeart/2005/8/layout/lProcess2"/>
    <dgm:cxn modelId="{770B199D-885D-DC4E-828F-C5D4C2421939}" type="presParOf" srcId="{180E2E67-34E2-0547-963B-5E0C6238A40F}" destId="{72FDB26A-8182-9F47-A72D-09E2EB57A689}" srcOrd="1" destOrd="0" presId="urn:microsoft.com/office/officeart/2005/8/layout/lProcess2"/>
    <dgm:cxn modelId="{65516EDB-1280-9C4D-BC2C-546F29761651}" type="presParOf" srcId="{180E2E67-34E2-0547-963B-5E0C6238A40F}" destId="{BAA6CDED-8E11-B545-8597-BB885A92A187}" srcOrd="2" destOrd="0" presId="urn:microsoft.com/office/officeart/2005/8/layout/lProcess2"/>
    <dgm:cxn modelId="{B1FA0813-6806-8E42-A9DC-2A635AD824EA}" type="presParOf" srcId="{BAA6CDED-8E11-B545-8597-BB885A92A187}" destId="{4981BA19-A00B-1C43-9470-678BD4BF8795}" srcOrd="0" destOrd="0" presId="urn:microsoft.com/office/officeart/2005/8/layout/lProcess2"/>
    <dgm:cxn modelId="{C740DF33-0113-0C4A-BD2E-8115D1CF6C81}" type="presParOf" srcId="{18F583BC-6D8C-9440-ACB7-DD355B848330}" destId="{89DD2F55-64C1-7F47-B960-5B746A110033}" srcOrd="9" destOrd="0" presId="urn:microsoft.com/office/officeart/2005/8/layout/lProcess2"/>
    <dgm:cxn modelId="{8BF5506D-DAFE-EC44-8C4B-FF0180E1A356}" type="presParOf" srcId="{18F583BC-6D8C-9440-ACB7-DD355B848330}" destId="{A6F71F6C-4074-244C-8B0E-3D3EAE302F8F}" srcOrd="10" destOrd="0" presId="urn:microsoft.com/office/officeart/2005/8/layout/lProcess2"/>
    <dgm:cxn modelId="{F8FF3C99-5DEB-6948-8A98-F6C97E82731A}" type="presParOf" srcId="{A6F71F6C-4074-244C-8B0E-3D3EAE302F8F}" destId="{AEDFCD48-1958-C946-AEC8-D30F100CEA78}" srcOrd="0" destOrd="0" presId="urn:microsoft.com/office/officeart/2005/8/layout/lProcess2"/>
    <dgm:cxn modelId="{F9843E1D-C364-3A47-B697-93240F8FCE74}" type="presParOf" srcId="{A6F71F6C-4074-244C-8B0E-3D3EAE302F8F}" destId="{8034FC04-BAEA-6D4D-8D0A-C59BF801BB73}" srcOrd="1" destOrd="0" presId="urn:microsoft.com/office/officeart/2005/8/layout/lProcess2"/>
    <dgm:cxn modelId="{08ACAF49-74FD-CE44-9D59-731BA445C172}" type="presParOf" srcId="{A6F71F6C-4074-244C-8B0E-3D3EAE302F8F}" destId="{7C8CD638-008B-754C-A583-B972925E3679}" srcOrd="2" destOrd="0" presId="urn:microsoft.com/office/officeart/2005/8/layout/lProcess2"/>
    <dgm:cxn modelId="{1A148C31-1983-574F-98D5-C370FAD47ACF}" type="presParOf" srcId="{7C8CD638-008B-754C-A583-B972925E3679}" destId="{026B6BB0-0A80-284A-8262-4DAE3BB19949}" srcOrd="0" destOrd="0" presId="urn:microsoft.com/office/officeart/2005/8/layout/lProcess2"/>
    <dgm:cxn modelId="{21CCA966-EC22-4544-9C15-310C6B16541C}" type="presParOf" srcId="{18F583BC-6D8C-9440-ACB7-DD355B848330}" destId="{CDDB473E-3AA1-C34A-B5B0-B6F4A4041D19}" srcOrd="11" destOrd="0" presId="urn:microsoft.com/office/officeart/2005/8/layout/lProcess2"/>
    <dgm:cxn modelId="{79FF0815-FCDB-E34A-9894-AA09BE7D4C53}" type="presParOf" srcId="{18F583BC-6D8C-9440-ACB7-DD355B848330}" destId="{B2A45E1E-C4BF-454B-AAC3-42986B6147CB}" srcOrd="12" destOrd="0" presId="urn:microsoft.com/office/officeart/2005/8/layout/lProcess2"/>
    <dgm:cxn modelId="{88FCB473-C397-334A-A74A-FD6C53FDC2C7}" type="presParOf" srcId="{B2A45E1E-C4BF-454B-AAC3-42986B6147CB}" destId="{CA4C8496-8439-D442-B104-011CC35F598C}" srcOrd="0" destOrd="0" presId="urn:microsoft.com/office/officeart/2005/8/layout/lProcess2"/>
    <dgm:cxn modelId="{3ADED645-0CDB-C448-9ED7-0D9D826041D4}" type="presParOf" srcId="{B2A45E1E-C4BF-454B-AAC3-42986B6147CB}" destId="{5A824A37-CB2F-D743-8C44-531FF2E5A6C8}" srcOrd="1" destOrd="0" presId="urn:microsoft.com/office/officeart/2005/8/layout/lProcess2"/>
    <dgm:cxn modelId="{06648473-E7A1-EF49-948E-0C92E00DAC9F}" type="presParOf" srcId="{B2A45E1E-C4BF-454B-AAC3-42986B6147CB}" destId="{60B71B0F-CD34-564B-8832-346637549243}" srcOrd="2" destOrd="0" presId="urn:microsoft.com/office/officeart/2005/8/layout/lProcess2"/>
    <dgm:cxn modelId="{229BE95C-32ED-6541-82C5-2D81D8F010BB}" type="presParOf" srcId="{60B71B0F-CD34-564B-8832-346637549243}" destId="{7007BCBE-E188-1D4A-8396-43817DFD1952}" srcOrd="0" destOrd="0" presId="urn:microsoft.com/office/officeart/2005/8/layout/lProcess2"/>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CC55F916-5070-A84B-A4C6-2A4176545429}" type="doc">
      <dgm:prSet loTypeId="urn:microsoft.com/office/officeart/2005/8/layout/venn1" loCatId="" qsTypeId="urn:microsoft.com/office/officeart/2005/8/quickstyle/simple4" qsCatId="simple" csTypeId="urn:microsoft.com/office/officeart/2005/8/colors/colorful3" csCatId="colorful" phldr="1"/>
      <dgm:spPr/>
      <dgm:t>
        <a:bodyPr/>
        <a:lstStyle/>
        <a:p>
          <a:endParaRPr lang="en-US"/>
        </a:p>
      </dgm:t>
    </dgm:pt>
    <dgm:pt modelId="{04A3905A-8A7D-6949-8C84-014B7BA9609B}">
      <dgm:prSet phldrT="[Text]"/>
      <dgm:spPr/>
      <dgm:t>
        <a:bodyPr/>
        <a:lstStyle/>
        <a:p>
          <a:r>
            <a:rPr lang="en-US"/>
            <a:t>Capability</a:t>
          </a:r>
        </a:p>
      </dgm:t>
    </dgm:pt>
    <dgm:pt modelId="{EC10E2E5-FD4A-A843-9C8A-3F35EDCDFCC0}" type="parTrans" cxnId="{1886F97F-0348-D645-8D9B-EC1723C8F42C}">
      <dgm:prSet/>
      <dgm:spPr/>
      <dgm:t>
        <a:bodyPr/>
        <a:lstStyle/>
        <a:p>
          <a:endParaRPr lang="en-US"/>
        </a:p>
      </dgm:t>
    </dgm:pt>
    <dgm:pt modelId="{693459E4-B79E-774B-B463-5DEACC1C65B8}" type="sibTrans" cxnId="{1886F97F-0348-D645-8D9B-EC1723C8F42C}">
      <dgm:prSet/>
      <dgm:spPr/>
      <dgm:t>
        <a:bodyPr/>
        <a:lstStyle/>
        <a:p>
          <a:endParaRPr lang="en-US"/>
        </a:p>
      </dgm:t>
    </dgm:pt>
    <dgm:pt modelId="{22237D64-DE3D-184B-836E-FFE1485FFE2A}">
      <dgm:prSet phldrT="[Text]"/>
      <dgm:spPr/>
      <dgm:t>
        <a:bodyPr/>
        <a:lstStyle/>
        <a:p>
          <a:r>
            <a:rPr lang="en-US"/>
            <a:t>Work ready</a:t>
          </a:r>
        </a:p>
      </dgm:t>
    </dgm:pt>
    <dgm:pt modelId="{179D3947-E5E7-DE41-8226-9E72170CBBF1}" type="parTrans" cxnId="{65196DF6-C0AE-FD41-B4F4-2D0F28BF47C6}">
      <dgm:prSet/>
      <dgm:spPr/>
      <dgm:t>
        <a:bodyPr/>
        <a:lstStyle/>
        <a:p>
          <a:endParaRPr lang="en-US"/>
        </a:p>
      </dgm:t>
    </dgm:pt>
    <dgm:pt modelId="{E0822ADF-4D53-4F4F-BBB4-80223CE0FC61}" type="sibTrans" cxnId="{65196DF6-C0AE-FD41-B4F4-2D0F28BF47C6}">
      <dgm:prSet/>
      <dgm:spPr/>
      <dgm:t>
        <a:bodyPr/>
        <a:lstStyle/>
        <a:p>
          <a:endParaRPr lang="en-US"/>
        </a:p>
      </dgm:t>
    </dgm:pt>
    <dgm:pt modelId="{6C33451B-617C-FD48-B62E-05E31492B5AD}">
      <dgm:prSet phldrT="[Text]"/>
      <dgm:spPr/>
      <dgm:t>
        <a:bodyPr/>
        <a:lstStyle/>
        <a:p>
          <a:r>
            <a:rPr lang="en-US"/>
            <a:t>Objective</a:t>
          </a:r>
        </a:p>
      </dgm:t>
    </dgm:pt>
    <dgm:pt modelId="{C6DF0092-4FE2-0742-AC6F-EF57998B9D75}" type="parTrans" cxnId="{8C788989-A8C9-314B-88C5-C051A423F357}">
      <dgm:prSet/>
      <dgm:spPr/>
      <dgm:t>
        <a:bodyPr/>
        <a:lstStyle/>
        <a:p>
          <a:endParaRPr lang="en-US"/>
        </a:p>
      </dgm:t>
    </dgm:pt>
    <dgm:pt modelId="{771B4CED-D2D1-E344-8439-7C247ADA97EB}" type="sibTrans" cxnId="{8C788989-A8C9-314B-88C5-C051A423F357}">
      <dgm:prSet/>
      <dgm:spPr/>
      <dgm:t>
        <a:bodyPr/>
        <a:lstStyle/>
        <a:p>
          <a:endParaRPr lang="en-US"/>
        </a:p>
      </dgm:t>
    </dgm:pt>
    <dgm:pt modelId="{BCF8FFFE-EF7A-0744-93D8-1377305DD328}">
      <dgm:prSet phldrT="[Text]"/>
      <dgm:spPr/>
      <dgm:t>
        <a:bodyPr/>
        <a:lstStyle/>
        <a:p>
          <a:r>
            <a:rPr lang="en-US"/>
            <a:t>Knowledge</a:t>
          </a:r>
        </a:p>
      </dgm:t>
    </dgm:pt>
    <dgm:pt modelId="{F6557274-7DBC-2642-957D-9F5CF25B7FBD}" type="parTrans" cxnId="{3A875D3D-3F7A-EB40-8720-0969E327F7B4}">
      <dgm:prSet/>
      <dgm:spPr/>
      <dgm:t>
        <a:bodyPr/>
        <a:lstStyle/>
        <a:p>
          <a:endParaRPr lang="en-US"/>
        </a:p>
      </dgm:t>
    </dgm:pt>
    <dgm:pt modelId="{FD5DC7EB-37FB-C447-BA8B-A1BCF989C7A5}" type="sibTrans" cxnId="{3A875D3D-3F7A-EB40-8720-0969E327F7B4}">
      <dgm:prSet/>
      <dgm:spPr/>
      <dgm:t>
        <a:bodyPr/>
        <a:lstStyle/>
        <a:p>
          <a:endParaRPr lang="en-US"/>
        </a:p>
      </dgm:t>
    </dgm:pt>
    <dgm:pt modelId="{7F41E2EA-C098-BA49-A5F3-E39A9424A753}">
      <dgm:prSet phldrT="[Text]"/>
      <dgm:spPr/>
      <dgm:t>
        <a:bodyPr/>
        <a:lstStyle/>
        <a:p>
          <a:r>
            <a:rPr lang="en-US"/>
            <a:t>Access of</a:t>
          </a:r>
        </a:p>
      </dgm:t>
    </dgm:pt>
    <dgm:pt modelId="{64263A10-A295-8A4F-911A-E00B7DD45E51}" type="parTrans" cxnId="{7FF49A9C-B94C-D844-B6B4-C257C5D93AA4}">
      <dgm:prSet/>
      <dgm:spPr/>
      <dgm:t>
        <a:bodyPr/>
        <a:lstStyle/>
        <a:p>
          <a:endParaRPr lang="en-US"/>
        </a:p>
      </dgm:t>
    </dgm:pt>
    <dgm:pt modelId="{69680F9C-DF97-4743-90DC-003605195F20}" type="sibTrans" cxnId="{7FF49A9C-B94C-D844-B6B4-C257C5D93AA4}">
      <dgm:prSet/>
      <dgm:spPr/>
      <dgm:t>
        <a:bodyPr/>
        <a:lstStyle/>
        <a:p>
          <a:endParaRPr lang="en-US"/>
        </a:p>
      </dgm:t>
    </dgm:pt>
    <dgm:pt modelId="{D72F65E9-314D-1340-BC9F-9A4201119DC0}">
      <dgm:prSet phldrT="[Text]"/>
      <dgm:spPr/>
      <dgm:t>
        <a:bodyPr/>
        <a:lstStyle/>
        <a:p>
          <a:r>
            <a:rPr lang="en-US"/>
            <a:t>Application of </a:t>
          </a:r>
        </a:p>
      </dgm:t>
    </dgm:pt>
    <dgm:pt modelId="{9879747D-1DA7-6249-AD93-B62336133B1F}" type="parTrans" cxnId="{A56E5A9A-1BAD-124C-B932-E7A128C42CF4}">
      <dgm:prSet/>
      <dgm:spPr/>
      <dgm:t>
        <a:bodyPr/>
        <a:lstStyle/>
        <a:p>
          <a:endParaRPr lang="en-US"/>
        </a:p>
      </dgm:t>
    </dgm:pt>
    <dgm:pt modelId="{740AB42D-9495-9840-9440-39CF47BB5FFB}" type="sibTrans" cxnId="{A56E5A9A-1BAD-124C-B932-E7A128C42CF4}">
      <dgm:prSet/>
      <dgm:spPr/>
      <dgm:t>
        <a:bodyPr/>
        <a:lstStyle/>
        <a:p>
          <a:endParaRPr lang="en-US"/>
        </a:p>
      </dgm:t>
    </dgm:pt>
    <dgm:pt modelId="{E4857541-AF8B-FF40-B2AB-9256F2361B90}">
      <dgm:prSet phldrT="[Text]"/>
      <dgm:spPr/>
      <dgm:t>
        <a:bodyPr/>
        <a:lstStyle/>
        <a:p>
          <a:r>
            <a:rPr lang="en-US"/>
            <a:t>Skills</a:t>
          </a:r>
        </a:p>
      </dgm:t>
    </dgm:pt>
    <dgm:pt modelId="{C1641EFD-B818-BE45-907D-56899F5E247E}" type="parTrans" cxnId="{EC6B193A-F30B-CB40-9920-5322E89748E7}">
      <dgm:prSet/>
      <dgm:spPr/>
      <dgm:t>
        <a:bodyPr/>
        <a:lstStyle/>
        <a:p>
          <a:endParaRPr lang="en-US"/>
        </a:p>
      </dgm:t>
    </dgm:pt>
    <dgm:pt modelId="{F59EBE1E-6CA9-9F4A-9606-4EC0EE9CD6EC}" type="sibTrans" cxnId="{EC6B193A-F30B-CB40-9920-5322E89748E7}">
      <dgm:prSet/>
      <dgm:spPr/>
      <dgm:t>
        <a:bodyPr/>
        <a:lstStyle/>
        <a:p>
          <a:endParaRPr lang="en-US"/>
        </a:p>
      </dgm:t>
    </dgm:pt>
    <dgm:pt modelId="{2B5E4C4C-BF38-564C-826E-0676B4ACB960}">
      <dgm:prSet phldrT="[Text]"/>
      <dgm:spPr/>
      <dgm:t>
        <a:bodyPr/>
        <a:lstStyle/>
        <a:p>
          <a:r>
            <a:rPr lang="en-US"/>
            <a:t>Decision-making</a:t>
          </a:r>
        </a:p>
      </dgm:t>
    </dgm:pt>
    <dgm:pt modelId="{7A6A587F-68E5-4443-9C51-99DE91A1487B}" type="parTrans" cxnId="{DE15DBDB-7C71-7D42-A4F7-FE78B0A643FF}">
      <dgm:prSet/>
      <dgm:spPr/>
      <dgm:t>
        <a:bodyPr/>
        <a:lstStyle/>
        <a:p>
          <a:endParaRPr lang="en-US"/>
        </a:p>
      </dgm:t>
    </dgm:pt>
    <dgm:pt modelId="{8A865436-3E18-5149-AC49-8F5AC1ED5CFD}" type="sibTrans" cxnId="{DE15DBDB-7C71-7D42-A4F7-FE78B0A643FF}">
      <dgm:prSet/>
      <dgm:spPr/>
      <dgm:t>
        <a:bodyPr/>
        <a:lstStyle/>
        <a:p>
          <a:endParaRPr lang="en-US"/>
        </a:p>
      </dgm:t>
    </dgm:pt>
    <dgm:pt modelId="{118B4873-B16A-724C-8837-158BD5D7B50D}">
      <dgm:prSet phldrT="[Text]"/>
      <dgm:spPr/>
      <dgm:t>
        <a:bodyPr/>
        <a:lstStyle/>
        <a:p>
          <a:r>
            <a:rPr lang="en-US"/>
            <a:t>Judgment</a:t>
          </a:r>
        </a:p>
      </dgm:t>
    </dgm:pt>
    <dgm:pt modelId="{354EF111-4C34-A943-A15D-E6F7683DDE7E}" type="parTrans" cxnId="{A91F4332-3E37-2F45-BF81-D408BE4B4DC9}">
      <dgm:prSet/>
      <dgm:spPr/>
      <dgm:t>
        <a:bodyPr/>
        <a:lstStyle/>
        <a:p>
          <a:endParaRPr lang="en-US"/>
        </a:p>
      </dgm:t>
    </dgm:pt>
    <dgm:pt modelId="{F6F81A63-D2CC-F244-A3D1-762527AD7B21}" type="sibTrans" cxnId="{A91F4332-3E37-2F45-BF81-D408BE4B4DC9}">
      <dgm:prSet/>
      <dgm:spPr/>
      <dgm:t>
        <a:bodyPr/>
        <a:lstStyle/>
        <a:p>
          <a:endParaRPr lang="en-US"/>
        </a:p>
      </dgm:t>
    </dgm:pt>
    <dgm:pt modelId="{73718F4F-AA99-ED4A-B4CE-6064D851983C}">
      <dgm:prSet phldrT="[Text]"/>
      <dgm:spPr/>
      <dgm:t>
        <a:bodyPr/>
        <a:lstStyle/>
        <a:p>
          <a:r>
            <a:rPr lang="en-US"/>
            <a:t>Application of...</a:t>
          </a:r>
        </a:p>
      </dgm:t>
    </dgm:pt>
    <dgm:pt modelId="{426DCE9E-4D8F-8742-A024-570D0645881B}" type="parTrans" cxnId="{EB60C976-7DBE-7F48-BFDC-B07155EA2FF2}">
      <dgm:prSet/>
      <dgm:spPr/>
      <dgm:t>
        <a:bodyPr/>
        <a:lstStyle/>
        <a:p>
          <a:endParaRPr lang="en-US"/>
        </a:p>
      </dgm:t>
    </dgm:pt>
    <dgm:pt modelId="{67D5BA5E-1C38-E84F-979B-0F306EBB061F}" type="sibTrans" cxnId="{EB60C976-7DBE-7F48-BFDC-B07155EA2FF2}">
      <dgm:prSet/>
      <dgm:spPr/>
      <dgm:t>
        <a:bodyPr/>
        <a:lstStyle/>
        <a:p>
          <a:endParaRPr lang="en-US"/>
        </a:p>
      </dgm:t>
    </dgm:pt>
    <dgm:pt modelId="{D2638DA6-9EC9-7A4B-920C-9BE246CE58FC}">
      <dgm:prSet phldrT="[Text]"/>
      <dgm:spPr/>
      <dgm:t>
        <a:bodyPr/>
        <a:lstStyle/>
        <a:p>
          <a:r>
            <a:rPr lang="en-US"/>
            <a:t>Under pressure</a:t>
          </a:r>
        </a:p>
      </dgm:t>
    </dgm:pt>
    <dgm:pt modelId="{C75B54A7-9952-6046-BE88-47D71F7EB983}" type="parTrans" cxnId="{9C079F13-5C5D-4042-AFA5-63DAC269E40F}">
      <dgm:prSet/>
      <dgm:spPr/>
      <dgm:t>
        <a:bodyPr/>
        <a:lstStyle/>
        <a:p>
          <a:endParaRPr lang="en-US"/>
        </a:p>
      </dgm:t>
    </dgm:pt>
    <dgm:pt modelId="{DF346A67-38D4-784C-A317-2EA76C5C8AC3}" type="sibTrans" cxnId="{9C079F13-5C5D-4042-AFA5-63DAC269E40F}">
      <dgm:prSet/>
      <dgm:spPr/>
      <dgm:t>
        <a:bodyPr/>
        <a:lstStyle/>
        <a:p>
          <a:endParaRPr lang="en-US"/>
        </a:p>
      </dgm:t>
    </dgm:pt>
    <dgm:pt modelId="{6B9E33A5-3B08-AB44-9757-E512AB0B5C3C}">
      <dgm:prSet phldrT="[Text]"/>
      <dgm:spPr/>
      <dgm:t>
        <a:bodyPr/>
        <a:lstStyle/>
        <a:p>
          <a:r>
            <a:rPr lang="en-US"/>
            <a:t>Insight</a:t>
          </a:r>
        </a:p>
      </dgm:t>
    </dgm:pt>
    <dgm:pt modelId="{0B3AA3FD-1CDF-5541-87BD-D6248C58C563}" type="parTrans" cxnId="{2063722D-FC5D-0443-9828-780C0457F400}">
      <dgm:prSet/>
      <dgm:spPr/>
      <dgm:t>
        <a:bodyPr/>
        <a:lstStyle/>
        <a:p>
          <a:endParaRPr lang="en-US"/>
        </a:p>
      </dgm:t>
    </dgm:pt>
    <dgm:pt modelId="{1E717516-CDB8-834E-A7CF-576E34EA1C9D}" type="sibTrans" cxnId="{2063722D-FC5D-0443-9828-780C0457F400}">
      <dgm:prSet/>
      <dgm:spPr/>
      <dgm:t>
        <a:bodyPr/>
        <a:lstStyle/>
        <a:p>
          <a:endParaRPr lang="en-US"/>
        </a:p>
      </dgm:t>
    </dgm:pt>
    <dgm:pt modelId="{B554B726-6BB9-104F-AAC4-8900ABA93114}">
      <dgm:prSet phldrT="[Text]"/>
      <dgm:spPr/>
      <dgm:t>
        <a:bodyPr/>
        <a:lstStyle/>
        <a:p>
          <a:r>
            <a:rPr lang="en-US"/>
            <a:t>Professionalism</a:t>
          </a:r>
        </a:p>
      </dgm:t>
    </dgm:pt>
    <dgm:pt modelId="{64D96062-3056-8540-B6C1-F032BB398AFE}" type="parTrans" cxnId="{0CDA2C98-D386-F54D-BB70-598FE21AA82B}">
      <dgm:prSet/>
      <dgm:spPr/>
      <dgm:t>
        <a:bodyPr/>
        <a:lstStyle/>
        <a:p>
          <a:endParaRPr lang="en-US"/>
        </a:p>
      </dgm:t>
    </dgm:pt>
    <dgm:pt modelId="{A5A14348-4E6D-4244-8462-05FA8323D609}" type="sibTrans" cxnId="{0CDA2C98-D386-F54D-BB70-598FE21AA82B}">
      <dgm:prSet/>
      <dgm:spPr/>
      <dgm:t>
        <a:bodyPr/>
        <a:lstStyle/>
        <a:p>
          <a:endParaRPr lang="en-US"/>
        </a:p>
      </dgm:t>
    </dgm:pt>
    <dgm:pt modelId="{89979390-4ADA-2245-9157-1512A494548E}">
      <dgm:prSet phldrT="[Text]"/>
      <dgm:spPr/>
      <dgm:t>
        <a:bodyPr/>
        <a:lstStyle/>
        <a:p>
          <a:r>
            <a:rPr lang="en-US"/>
            <a:t>Emotional preparedness</a:t>
          </a:r>
        </a:p>
      </dgm:t>
    </dgm:pt>
    <dgm:pt modelId="{D0FD73B5-3C6F-FC45-909A-3AC3B72E4513}" type="parTrans" cxnId="{98B1C2C2-2B2C-D349-A901-E864CF453EBD}">
      <dgm:prSet/>
      <dgm:spPr/>
      <dgm:t>
        <a:bodyPr/>
        <a:lstStyle/>
        <a:p>
          <a:endParaRPr lang="en-US"/>
        </a:p>
      </dgm:t>
    </dgm:pt>
    <dgm:pt modelId="{00FCCE77-18B0-CD45-B084-AD778969B939}" type="sibTrans" cxnId="{98B1C2C2-2B2C-D349-A901-E864CF453EBD}">
      <dgm:prSet/>
      <dgm:spPr/>
      <dgm:t>
        <a:bodyPr/>
        <a:lstStyle/>
        <a:p>
          <a:endParaRPr lang="en-US"/>
        </a:p>
      </dgm:t>
    </dgm:pt>
    <dgm:pt modelId="{74119DB6-4E84-D342-9BFB-38141B37F0A0}">
      <dgm:prSet phldrT="[Text]"/>
      <dgm:spPr/>
      <dgm:t>
        <a:bodyPr/>
        <a:lstStyle/>
        <a:p>
          <a:r>
            <a:rPr lang="en-US"/>
            <a:t>Competence</a:t>
          </a:r>
        </a:p>
      </dgm:t>
    </dgm:pt>
    <dgm:pt modelId="{DC874223-A0CD-E044-9E63-7F22828E80D0}" type="parTrans" cxnId="{929B0054-833B-FD4B-B942-2FC6679D8660}">
      <dgm:prSet/>
      <dgm:spPr/>
      <dgm:t>
        <a:bodyPr/>
        <a:lstStyle/>
        <a:p>
          <a:endParaRPr lang="en-US"/>
        </a:p>
      </dgm:t>
    </dgm:pt>
    <dgm:pt modelId="{F0A70D25-683E-3D4E-8930-01883491D4A4}" type="sibTrans" cxnId="{929B0054-833B-FD4B-B942-2FC6679D8660}">
      <dgm:prSet/>
      <dgm:spPr/>
      <dgm:t>
        <a:bodyPr/>
        <a:lstStyle/>
        <a:p>
          <a:endParaRPr lang="en-US"/>
        </a:p>
      </dgm:t>
    </dgm:pt>
    <dgm:pt modelId="{D172105D-DB30-3E49-AAEA-884BE3641D10}">
      <dgm:prSet phldrT="[Text]"/>
      <dgm:spPr/>
      <dgm:t>
        <a:bodyPr/>
        <a:lstStyle/>
        <a:p>
          <a:r>
            <a:rPr lang="en-US"/>
            <a:t>Attitudes</a:t>
          </a:r>
        </a:p>
      </dgm:t>
    </dgm:pt>
    <dgm:pt modelId="{A797078C-6EE8-EC40-A7CD-637FC5DBE7F2}" type="parTrans" cxnId="{C80E8F79-8115-D541-8034-9096AE37ACE2}">
      <dgm:prSet/>
      <dgm:spPr/>
      <dgm:t>
        <a:bodyPr/>
        <a:lstStyle/>
        <a:p>
          <a:endParaRPr lang="en-US"/>
        </a:p>
      </dgm:t>
    </dgm:pt>
    <dgm:pt modelId="{4365B9C7-4083-9744-90CF-3B047E412AB6}" type="sibTrans" cxnId="{C80E8F79-8115-D541-8034-9096AE37ACE2}">
      <dgm:prSet/>
      <dgm:spPr/>
      <dgm:t>
        <a:bodyPr/>
        <a:lstStyle/>
        <a:p>
          <a:endParaRPr lang="en-US"/>
        </a:p>
      </dgm:t>
    </dgm:pt>
    <dgm:pt modelId="{B4CCD37E-40E2-874F-8E68-FC8FF21DF6BF}">
      <dgm:prSet phldrT="[Text]"/>
      <dgm:spPr/>
      <dgm:t>
        <a:bodyPr/>
        <a:lstStyle/>
        <a:p>
          <a:r>
            <a:rPr lang="en-US"/>
            <a:t>Confidence</a:t>
          </a:r>
        </a:p>
      </dgm:t>
    </dgm:pt>
    <dgm:pt modelId="{BAC9B705-BEFE-ED41-B8AA-85D512351BCB}" type="parTrans" cxnId="{20F5A6EA-25B5-9140-B95F-D48B99A27428}">
      <dgm:prSet/>
      <dgm:spPr/>
      <dgm:t>
        <a:bodyPr/>
        <a:lstStyle/>
        <a:p>
          <a:endParaRPr lang="en-US"/>
        </a:p>
      </dgm:t>
    </dgm:pt>
    <dgm:pt modelId="{8C6722FF-006F-E043-AF35-B2317A1761B0}" type="sibTrans" cxnId="{20F5A6EA-25B5-9140-B95F-D48B99A27428}">
      <dgm:prSet/>
      <dgm:spPr/>
      <dgm:t>
        <a:bodyPr/>
        <a:lstStyle/>
        <a:p>
          <a:endParaRPr lang="en-US"/>
        </a:p>
      </dgm:t>
    </dgm:pt>
    <dgm:pt modelId="{8E96844C-7255-6247-BB76-E6383BDC5621}">
      <dgm:prSet phldrT="[Text]"/>
      <dgm:spPr/>
      <dgm:t>
        <a:bodyPr/>
        <a:lstStyle/>
        <a:p>
          <a:r>
            <a:rPr lang="en-US"/>
            <a:t>Transferance</a:t>
          </a:r>
        </a:p>
      </dgm:t>
    </dgm:pt>
    <dgm:pt modelId="{1755D434-2AAA-1244-BFDB-D756B045204F}" type="parTrans" cxnId="{C79AB56A-14FF-7D49-B5B7-DD51888B78E7}">
      <dgm:prSet/>
      <dgm:spPr/>
      <dgm:t>
        <a:bodyPr/>
        <a:lstStyle/>
        <a:p>
          <a:endParaRPr lang="en-US"/>
        </a:p>
      </dgm:t>
    </dgm:pt>
    <dgm:pt modelId="{474C2242-DD31-894A-81A5-09B6035F2593}" type="sibTrans" cxnId="{C79AB56A-14FF-7D49-B5B7-DD51888B78E7}">
      <dgm:prSet/>
      <dgm:spPr/>
      <dgm:t>
        <a:bodyPr/>
        <a:lstStyle/>
        <a:p>
          <a:endParaRPr lang="en-US"/>
        </a:p>
      </dgm:t>
    </dgm:pt>
    <dgm:pt modelId="{EAC9C24D-8EE2-5249-A031-B4E48F8381BF}">
      <dgm:prSet phldrT="[Text]"/>
      <dgm:spPr/>
      <dgm:t>
        <a:bodyPr/>
        <a:lstStyle/>
        <a:p>
          <a:r>
            <a:rPr lang="en-US"/>
            <a:t>Skills to clinical environment</a:t>
          </a:r>
        </a:p>
      </dgm:t>
    </dgm:pt>
    <dgm:pt modelId="{3DB7CA57-8BF9-FB44-87E9-DD0FF7839885}" type="parTrans" cxnId="{5510C0F8-4B89-3E4F-BE36-4126DDAC40A3}">
      <dgm:prSet/>
      <dgm:spPr/>
      <dgm:t>
        <a:bodyPr/>
        <a:lstStyle/>
        <a:p>
          <a:endParaRPr lang="en-US"/>
        </a:p>
      </dgm:t>
    </dgm:pt>
    <dgm:pt modelId="{F5CB1261-6CAE-8743-B03C-05074573EAC7}" type="sibTrans" cxnId="{5510C0F8-4B89-3E4F-BE36-4126DDAC40A3}">
      <dgm:prSet/>
      <dgm:spPr/>
      <dgm:t>
        <a:bodyPr/>
        <a:lstStyle/>
        <a:p>
          <a:endParaRPr lang="en-US"/>
        </a:p>
      </dgm:t>
    </dgm:pt>
    <dgm:pt modelId="{D1E5189E-9908-AE4F-905A-D3F78DD58460}">
      <dgm:prSet phldrT="[Text]"/>
      <dgm:spPr/>
      <dgm:t>
        <a:bodyPr/>
        <a:lstStyle/>
        <a:p>
          <a:r>
            <a:rPr lang="en-US"/>
            <a:t>Act safely</a:t>
          </a:r>
        </a:p>
      </dgm:t>
    </dgm:pt>
    <dgm:pt modelId="{5438B9CB-A933-1842-8AE6-796DDF518E99}" type="parTrans" cxnId="{303EB2B9-56B3-144F-BF9D-ADEA332194F6}">
      <dgm:prSet/>
      <dgm:spPr/>
      <dgm:t>
        <a:bodyPr/>
        <a:lstStyle/>
        <a:p>
          <a:endParaRPr lang="en-US"/>
        </a:p>
      </dgm:t>
    </dgm:pt>
    <dgm:pt modelId="{FCD32640-C75D-EC4A-B3BE-331EA2608FF6}" type="sibTrans" cxnId="{303EB2B9-56B3-144F-BF9D-ADEA332194F6}">
      <dgm:prSet/>
      <dgm:spPr/>
      <dgm:t>
        <a:bodyPr/>
        <a:lstStyle/>
        <a:p>
          <a:endParaRPr lang="en-US"/>
        </a:p>
      </dgm:t>
    </dgm:pt>
    <dgm:pt modelId="{12FFFA4D-6E29-1844-96A1-DA6F42732649}" type="pres">
      <dgm:prSet presAssocID="{CC55F916-5070-A84B-A4C6-2A4176545429}" presName="compositeShape" presStyleCnt="0">
        <dgm:presLayoutVars>
          <dgm:chMax val="7"/>
          <dgm:dir/>
          <dgm:resizeHandles val="exact"/>
        </dgm:presLayoutVars>
      </dgm:prSet>
      <dgm:spPr/>
    </dgm:pt>
    <dgm:pt modelId="{EDFD7EE0-20F1-544F-9B3E-721640F84B5B}" type="pres">
      <dgm:prSet presAssocID="{B4CCD37E-40E2-874F-8E68-FC8FF21DF6BF}" presName="circ1" presStyleLbl="vennNode1" presStyleIdx="0" presStyleCnt="7" custLinFactX="8710" custLinFactNeighborX="100000" custLinFactNeighborY="65446"/>
      <dgm:spPr/>
    </dgm:pt>
    <dgm:pt modelId="{3D727D82-49EE-1043-9A4D-CFA4A4D207AB}" type="pres">
      <dgm:prSet presAssocID="{B4CCD37E-40E2-874F-8E68-FC8FF21DF6BF}" presName="circ1Tx" presStyleLbl="revTx" presStyleIdx="0" presStyleCnt="0" custLinFactX="35397" custLinFactY="172341" custLinFactNeighborX="100000" custLinFactNeighborY="200000">
        <dgm:presLayoutVars>
          <dgm:chMax val="0"/>
          <dgm:chPref val="0"/>
          <dgm:bulletEnabled val="1"/>
        </dgm:presLayoutVars>
      </dgm:prSet>
      <dgm:spPr/>
    </dgm:pt>
    <dgm:pt modelId="{D9940C12-E6FC-F04E-8C27-89ED4D45A06E}" type="pres">
      <dgm:prSet presAssocID="{8E96844C-7255-6247-BB76-E6383BDC5621}" presName="circ2" presStyleLbl="vennNode1" presStyleIdx="1" presStyleCnt="7" custScaleX="139139" custScaleY="139136" custLinFactX="-9801" custLinFactNeighborX="-100000" custLinFactNeighborY="-13881"/>
      <dgm:spPr/>
    </dgm:pt>
    <dgm:pt modelId="{637D75B5-4066-2841-81C6-ADBA02C8998A}" type="pres">
      <dgm:prSet presAssocID="{8E96844C-7255-6247-BB76-E6383BDC5621}" presName="circ2Tx" presStyleLbl="revTx" presStyleIdx="0" presStyleCnt="0" custLinFactX="-19000" custLinFactNeighborX="-100000" custLinFactNeighborY="-14146">
        <dgm:presLayoutVars>
          <dgm:chMax val="0"/>
          <dgm:chPref val="0"/>
          <dgm:bulletEnabled val="1"/>
        </dgm:presLayoutVars>
      </dgm:prSet>
      <dgm:spPr/>
    </dgm:pt>
    <dgm:pt modelId="{6AEB23FA-9F6B-5849-987D-52CC8DD8D1FC}" type="pres">
      <dgm:prSet presAssocID="{B554B726-6BB9-104F-AAC4-8900ABA93114}" presName="circ3" presStyleLbl="vennNode1" presStyleIdx="2" presStyleCnt="7" custLinFactX="17832" custLinFactNeighborX="100000" custLinFactNeighborY="78318"/>
      <dgm:spPr>
        <a:gradFill flip="none" rotWithShape="0">
          <a:gsLst>
            <a:gs pos="0">
              <a:schemeClr val="accent3">
                <a:hueOff val="3750089"/>
                <a:satOff val="-5627"/>
                <a:lumOff val="-915"/>
                <a:tint val="100000"/>
                <a:shade val="100000"/>
                <a:satMod val="130000"/>
                <a:alpha val="36000"/>
              </a:schemeClr>
            </a:gs>
            <a:gs pos="100000">
              <a:schemeClr val="accent3">
                <a:hueOff val="3750089"/>
                <a:satOff val="-5627"/>
                <a:lumOff val="-915"/>
                <a:tint val="50000"/>
                <a:shade val="100000"/>
                <a:satMod val="350000"/>
                <a:alpha val="36000"/>
              </a:schemeClr>
            </a:gs>
          </a:gsLst>
          <a:lin ang="16200000" scaled="0"/>
          <a:tileRect/>
        </a:gradFill>
      </dgm:spPr>
    </dgm:pt>
    <dgm:pt modelId="{728F4971-D772-704F-A569-387E01E981E9}" type="pres">
      <dgm:prSet presAssocID="{B554B726-6BB9-104F-AAC4-8900ABA93114}" presName="circ3Tx" presStyleLbl="revTx" presStyleIdx="0" presStyleCnt="0" custLinFactNeighborX="-36448" custLinFactNeighborY="-82300">
        <dgm:presLayoutVars>
          <dgm:chMax val="0"/>
          <dgm:chPref val="0"/>
          <dgm:bulletEnabled val="1"/>
        </dgm:presLayoutVars>
      </dgm:prSet>
      <dgm:spPr/>
    </dgm:pt>
    <dgm:pt modelId="{E7283BFB-F442-7149-9999-D8F35894B571}" type="pres">
      <dgm:prSet presAssocID="{89979390-4ADA-2245-9157-1512A494548E}" presName="circ4" presStyleLbl="vennNode1" presStyleIdx="3" presStyleCnt="7" custScaleX="121795" custScaleY="126091" custLinFactNeighborX="98905" custLinFactNeighborY="-79256"/>
      <dgm:spPr>
        <a:gradFill flip="none" rotWithShape="0">
          <a:gsLst>
            <a:gs pos="0">
              <a:schemeClr val="accent3">
                <a:hueOff val="5625133"/>
                <a:satOff val="-8440"/>
                <a:lumOff val="-1373"/>
                <a:tint val="100000"/>
                <a:shade val="100000"/>
                <a:satMod val="130000"/>
                <a:alpha val="38000"/>
              </a:schemeClr>
            </a:gs>
            <a:gs pos="100000">
              <a:schemeClr val="accent3">
                <a:hueOff val="5625133"/>
                <a:satOff val="-8440"/>
                <a:lumOff val="-1373"/>
                <a:tint val="50000"/>
                <a:shade val="100000"/>
                <a:satMod val="350000"/>
                <a:alpha val="38000"/>
              </a:schemeClr>
            </a:gs>
          </a:gsLst>
          <a:lin ang="16200000" scaled="0"/>
          <a:tileRect/>
        </a:gradFill>
      </dgm:spPr>
    </dgm:pt>
    <dgm:pt modelId="{68894536-8ABD-1E45-B3F1-30A4350FF203}" type="pres">
      <dgm:prSet presAssocID="{89979390-4ADA-2245-9157-1512A494548E}" presName="circ4Tx" presStyleLbl="revTx" presStyleIdx="0" presStyleCnt="0" custLinFactY="-14540" custLinFactNeighborX="-1739" custLinFactNeighborY="-100000">
        <dgm:presLayoutVars>
          <dgm:chMax val="0"/>
          <dgm:chPref val="0"/>
          <dgm:bulletEnabled val="1"/>
        </dgm:presLayoutVars>
      </dgm:prSet>
      <dgm:spPr/>
    </dgm:pt>
    <dgm:pt modelId="{58A6654D-3260-4B4F-B994-1154B86AA204}" type="pres">
      <dgm:prSet presAssocID="{04A3905A-8A7D-6949-8C84-014B7BA9609B}" presName="circ5" presStyleLbl="vennNode1" presStyleIdx="4" presStyleCnt="7" custScaleX="160935" custScaleY="165226" custLinFactNeighborX="18437" custLinFactNeighborY="-5829"/>
      <dgm:spPr/>
    </dgm:pt>
    <dgm:pt modelId="{1086CA27-F60D-8B4A-8CE6-97832F75C0F0}" type="pres">
      <dgm:prSet presAssocID="{04A3905A-8A7D-6949-8C84-014B7BA9609B}" presName="circ5Tx" presStyleLbl="revTx" presStyleIdx="0" presStyleCnt="0" custLinFactX="3546" custLinFactNeighborX="100000" custLinFactNeighborY="-97922">
        <dgm:presLayoutVars>
          <dgm:chMax val="0"/>
          <dgm:chPref val="0"/>
          <dgm:bulletEnabled val="1"/>
        </dgm:presLayoutVars>
      </dgm:prSet>
      <dgm:spPr/>
    </dgm:pt>
    <dgm:pt modelId="{5450963C-9D83-8B4F-8E27-8AB4C5A25987}" type="pres">
      <dgm:prSet presAssocID="{BCF8FFFE-EF7A-0744-93D8-1377305DD328}" presName="circ6" presStyleLbl="vennNode1" presStyleIdx="5" presStyleCnt="7" custScaleX="152186" custScaleY="160903" custLinFactNeighborX="-83066" custLinFactNeighborY="23977"/>
      <dgm:spPr/>
    </dgm:pt>
    <dgm:pt modelId="{0FFDB69D-B99D-CB48-8000-B1EEFD5DE156}" type="pres">
      <dgm:prSet presAssocID="{BCF8FFFE-EF7A-0744-93D8-1377305DD328}" presName="circ6Tx" presStyleLbl="revTx" presStyleIdx="0" presStyleCnt="0" custLinFactNeighborX="27917" custLinFactNeighborY="40797">
        <dgm:presLayoutVars>
          <dgm:chMax val="0"/>
          <dgm:chPref val="0"/>
          <dgm:bulletEnabled val="1"/>
        </dgm:presLayoutVars>
      </dgm:prSet>
      <dgm:spPr/>
    </dgm:pt>
    <dgm:pt modelId="{4AC9CC8E-46FC-8647-B7F0-2EF383A4E254}" type="pres">
      <dgm:prSet presAssocID="{E4857541-AF8B-FF40-B2AB-9256F2361B90}" presName="circ7" presStyleLbl="vennNode1" presStyleIdx="6" presStyleCnt="7" custScaleX="134842" custScaleY="139134" custLinFactNeighborX="51185" custLinFactNeighborY="-57151"/>
      <dgm:spPr>
        <a:gradFill flip="none" rotWithShape="0">
          <a:gsLst>
            <a:gs pos="0">
              <a:schemeClr val="accent3">
                <a:hueOff val="11250266"/>
                <a:satOff val="-16880"/>
                <a:lumOff val="-2745"/>
                <a:tint val="100000"/>
                <a:shade val="100000"/>
                <a:satMod val="130000"/>
                <a:alpha val="33000"/>
              </a:schemeClr>
            </a:gs>
            <a:gs pos="100000">
              <a:schemeClr val="accent3">
                <a:hueOff val="11250266"/>
                <a:satOff val="-16880"/>
                <a:lumOff val="-2745"/>
                <a:tint val="50000"/>
                <a:shade val="100000"/>
                <a:satMod val="350000"/>
                <a:alpha val="33000"/>
              </a:schemeClr>
            </a:gs>
          </a:gsLst>
          <a:lin ang="16200000" scaled="0"/>
          <a:tileRect/>
        </a:gradFill>
      </dgm:spPr>
    </dgm:pt>
    <dgm:pt modelId="{687A9ACA-7E6F-FF4A-924D-D788B264C5CA}" type="pres">
      <dgm:prSet presAssocID="{E4857541-AF8B-FF40-B2AB-9256F2361B90}" presName="circ7Tx" presStyleLbl="revTx" presStyleIdx="0" presStyleCnt="0" custLinFactNeighborX="70206" custLinFactNeighborY="49033">
        <dgm:presLayoutVars>
          <dgm:chMax val="0"/>
          <dgm:chPref val="0"/>
          <dgm:bulletEnabled val="1"/>
        </dgm:presLayoutVars>
      </dgm:prSet>
      <dgm:spPr/>
    </dgm:pt>
  </dgm:ptLst>
  <dgm:cxnLst>
    <dgm:cxn modelId="{89D6780D-9B97-C342-B5E3-2977C46B36B6}" type="presOf" srcId="{118B4873-B16A-724C-8837-158BD5D7B50D}" destId="{687A9ACA-7E6F-FF4A-924D-D788B264C5CA}" srcOrd="0" destOrd="2" presId="urn:microsoft.com/office/officeart/2005/8/layout/venn1"/>
    <dgm:cxn modelId="{9C079F13-5C5D-4042-AFA5-63DAC269E40F}" srcId="{BCF8FFFE-EF7A-0744-93D8-1377305DD328}" destId="{D2638DA6-9EC9-7A4B-920C-9BE246CE58FC}" srcOrd="2" destOrd="0" parTransId="{C75B54A7-9952-6046-BE88-47D71F7EB983}" sibTransId="{DF346A67-38D4-784C-A317-2EA76C5C8AC3}"/>
    <dgm:cxn modelId="{3C90E415-28A2-A340-9FC6-7DC11C7DA141}" type="presOf" srcId="{7F41E2EA-C098-BA49-A5F3-E39A9424A753}" destId="{0FFDB69D-B99D-CB48-8000-B1EEFD5DE156}" srcOrd="0" destOrd="1" presId="urn:microsoft.com/office/officeart/2005/8/layout/venn1"/>
    <dgm:cxn modelId="{AEA85524-FA66-DA41-A01C-6895B6AB09ED}" type="presOf" srcId="{2B5E4C4C-BF38-564C-826E-0676B4ACB960}" destId="{687A9ACA-7E6F-FF4A-924D-D788B264C5CA}" srcOrd="0" destOrd="1" presId="urn:microsoft.com/office/officeart/2005/8/layout/venn1"/>
    <dgm:cxn modelId="{2063722D-FC5D-0443-9828-780C0457F400}" srcId="{E4857541-AF8B-FF40-B2AB-9256F2361B90}" destId="{6B9E33A5-3B08-AB44-9757-E512AB0B5C3C}" srcOrd="2" destOrd="0" parTransId="{0B3AA3FD-1CDF-5541-87BD-D6248C58C563}" sibTransId="{1E717516-CDB8-834E-A7CF-576E34EA1C9D}"/>
    <dgm:cxn modelId="{A91F4332-3E37-2F45-BF81-D408BE4B4DC9}" srcId="{E4857541-AF8B-FF40-B2AB-9256F2361B90}" destId="{118B4873-B16A-724C-8837-158BD5D7B50D}" srcOrd="1" destOrd="0" parTransId="{354EF111-4C34-A943-A15D-E6F7683DDE7E}" sibTransId="{F6F81A63-D2CC-F244-A3D1-762527AD7B21}"/>
    <dgm:cxn modelId="{70DE2B38-91A9-9946-81D7-74F285EC48BE}" type="presOf" srcId="{73718F4F-AA99-ED4A-B4CE-6064D851983C}" destId="{1086CA27-F60D-8B4A-8CE6-97832F75C0F0}" srcOrd="0" destOrd="3" presId="urn:microsoft.com/office/officeart/2005/8/layout/venn1"/>
    <dgm:cxn modelId="{EA3A6938-3E5D-7C4F-A5AF-D32D7C513261}" type="presOf" srcId="{89979390-4ADA-2245-9157-1512A494548E}" destId="{68894536-8ABD-1E45-B3F1-30A4350FF203}" srcOrd="0" destOrd="0" presId="urn:microsoft.com/office/officeart/2005/8/layout/venn1"/>
    <dgm:cxn modelId="{5216BA38-6FA7-364E-A786-6219A6499EB1}" type="presOf" srcId="{74119DB6-4E84-D342-9BFB-38141B37F0A0}" destId="{1086CA27-F60D-8B4A-8CE6-97832F75C0F0}" srcOrd="0" destOrd="4" presId="urn:microsoft.com/office/officeart/2005/8/layout/venn1"/>
    <dgm:cxn modelId="{EC6B193A-F30B-CB40-9920-5322E89748E7}" srcId="{CC55F916-5070-A84B-A4C6-2A4176545429}" destId="{E4857541-AF8B-FF40-B2AB-9256F2361B90}" srcOrd="6" destOrd="0" parTransId="{C1641EFD-B818-BE45-907D-56899F5E247E}" sibTransId="{F59EBE1E-6CA9-9F4A-9606-4EC0EE9CD6EC}"/>
    <dgm:cxn modelId="{3A875D3D-3F7A-EB40-8720-0969E327F7B4}" srcId="{CC55F916-5070-A84B-A4C6-2A4176545429}" destId="{BCF8FFFE-EF7A-0744-93D8-1377305DD328}" srcOrd="5" destOrd="0" parTransId="{F6557274-7DBC-2642-957D-9F5CF25B7FBD}" sibTransId="{FD5DC7EB-37FB-C447-BA8B-A1BCF989C7A5}"/>
    <dgm:cxn modelId="{536B2263-491F-054E-B6C5-B2D7ADB76AEB}" type="presOf" srcId="{D1E5189E-9908-AE4F-905A-D3F78DD58460}" destId="{728F4971-D772-704F-A569-387E01E981E9}" srcOrd="0" destOrd="2" presId="urn:microsoft.com/office/officeart/2005/8/layout/venn1"/>
    <dgm:cxn modelId="{2041D066-2B77-E14E-AC7A-6A41E4536D39}" type="presOf" srcId="{D2638DA6-9EC9-7A4B-920C-9BE246CE58FC}" destId="{0FFDB69D-B99D-CB48-8000-B1EEFD5DE156}" srcOrd="0" destOrd="3" presId="urn:microsoft.com/office/officeart/2005/8/layout/venn1"/>
    <dgm:cxn modelId="{09F7B34A-2C88-1C4F-8CE8-D210F62BA723}" type="presOf" srcId="{EAC9C24D-8EE2-5249-A031-B4E48F8381BF}" destId="{637D75B5-4066-2841-81C6-ADBA02C8998A}" srcOrd="0" destOrd="1" presId="urn:microsoft.com/office/officeart/2005/8/layout/venn1"/>
    <dgm:cxn modelId="{C79AB56A-14FF-7D49-B5B7-DD51888B78E7}" srcId="{CC55F916-5070-A84B-A4C6-2A4176545429}" destId="{8E96844C-7255-6247-BB76-E6383BDC5621}" srcOrd="1" destOrd="0" parTransId="{1755D434-2AAA-1244-BFDB-D756B045204F}" sibTransId="{474C2242-DD31-894A-81A5-09B6035F2593}"/>
    <dgm:cxn modelId="{CFBA396E-0D3F-F14D-95FB-3E83185996B7}" type="presOf" srcId="{22237D64-DE3D-184B-836E-FFE1485FFE2A}" destId="{1086CA27-F60D-8B4A-8CE6-97832F75C0F0}" srcOrd="0" destOrd="1" presId="urn:microsoft.com/office/officeart/2005/8/layout/venn1"/>
    <dgm:cxn modelId="{69D8F770-292A-6E41-A510-5B5288036271}" type="presOf" srcId="{BCF8FFFE-EF7A-0744-93D8-1377305DD328}" destId="{0FFDB69D-B99D-CB48-8000-B1EEFD5DE156}" srcOrd="0" destOrd="0" presId="urn:microsoft.com/office/officeart/2005/8/layout/venn1"/>
    <dgm:cxn modelId="{929B0054-833B-FD4B-B942-2FC6679D8660}" srcId="{04A3905A-8A7D-6949-8C84-014B7BA9609B}" destId="{74119DB6-4E84-D342-9BFB-38141B37F0A0}" srcOrd="3" destOrd="0" parTransId="{DC874223-A0CD-E044-9E63-7F22828E80D0}" sibTransId="{F0A70D25-683E-3D4E-8930-01883491D4A4}"/>
    <dgm:cxn modelId="{EB60C976-7DBE-7F48-BFDC-B07155EA2FF2}" srcId="{04A3905A-8A7D-6949-8C84-014B7BA9609B}" destId="{73718F4F-AA99-ED4A-B4CE-6064D851983C}" srcOrd="2" destOrd="0" parTransId="{426DCE9E-4D8F-8742-A024-570D0645881B}" sibTransId="{67D5BA5E-1C38-E84F-979B-0F306EBB061F}"/>
    <dgm:cxn modelId="{C80E8F79-8115-D541-8034-9096AE37ACE2}" srcId="{B554B726-6BB9-104F-AAC4-8900ABA93114}" destId="{D172105D-DB30-3E49-AAEA-884BE3641D10}" srcOrd="0" destOrd="0" parTransId="{A797078C-6EE8-EC40-A7CD-637FC5DBE7F2}" sibTransId="{4365B9C7-4083-9744-90CF-3B047E412AB6}"/>
    <dgm:cxn modelId="{BD5DD559-0961-634A-A636-454BF7CDDC44}" type="presOf" srcId="{04A3905A-8A7D-6949-8C84-014B7BA9609B}" destId="{1086CA27-F60D-8B4A-8CE6-97832F75C0F0}" srcOrd="0" destOrd="0" presId="urn:microsoft.com/office/officeart/2005/8/layout/venn1"/>
    <dgm:cxn modelId="{537B847E-F07B-6548-B33C-D4A72B8DE625}" type="presOf" srcId="{B554B726-6BB9-104F-AAC4-8900ABA93114}" destId="{728F4971-D772-704F-A569-387E01E981E9}" srcOrd="0" destOrd="0" presId="urn:microsoft.com/office/officeart/2005/8/layout/venn1"/>
    <dgm:cxn modelId="{1886F97F-0348-D645-8D9B-EC1723C8F42C}" srcId="{CC55F916-5070-A84B-A4C6-2A4176545429}" destId="{04A3905A-8A7D-6949-8C84-014B7BA9609B}" srcOrd="4" destOrd="0" parTransId="{EC10E2E5-FD4A-A843-9C8A-3F35EDCDFCC0}" sibTransId="{693459E4-B79E-774B-B463-5DEACC1C65B8}"/>
    <dgm:cxn modelId="{8C788989-A8C9-314B-88C5-C051A423F357}" srcId="{04A3905A-8A7D-6949-8C84-014B7BA9609B}" destId="{6C33451B-617C-FD48-B62E-05E31492B5AD}" srcOrd="1" destOrd="0" parTransId="{C6DF0092-4FE2-0742-AC6F-EF57998B9D75}" sibTransId="{771B4CED-D2D1-E344-8439-7C247ADA97EB}"/>
    <dgm:cxn modelId="{0CDA2C98-D386-F54D-BB70-598FE21AA82B}" srcId="{CC55F916-5070-A84B-A4C6-2A4176545429}" destId="{B554B726-6BB9-104F-AAC4-8900ABA93114}" srcOrd="2" destOrd="0" parTransId="{64D96062-3056-8540-B6C1-F032BB398AFE}" sibTransId="{A5A14348-4E6D-4244-8462-05FA8323D609}"/>
    <dgm:cxn modelId="{A56E5A9A-1BAD-124C-B932-E7A128C42CF4}" srcId="{BCF8FFFE-EF7A-0744-93D8-1377305DD328}" destId="{D72F65E9-314D-1340-BC9F-9A4201119DC0}" srcOrd="1" destOrd="0" parTransId="{9879747D-1DA7-6249-AD93-B62336133B1F}" sibTransId="{740AB42D-9495-9840-9440-39CF47BB5FFB}"/>
    <dgm:cxn modelId="{7FF49A9C-B94C-D844-B6B4-C257C5D93AA4}" srcId="{BCF8FFFE-EF7A-0744-93D8-1377305DD328}" destId="{7F41E2EA-C098-BA49-A5F3-E39A9424A753}" srcOrd="0" destOrd="0" parTransId="{64263A10-A295-8A4F-911A-E00B7DD45E51}" sibTransId="{69680F9C-DF97-4743-90DC-003605195F20}"/>
    <dgm:cxn modelId="{B621069E-39B3-3643-B8E3-175C7FF5817F}" type="presOf" srcId="{8E96844C-7255-6247-BB76-E6383BDC5621}" destId="{637D75B5-4066-2841-81C6-ADBA02C8998A}" srcOrd="0" destOrd="0" presId="urn:microsoft.com/office/officeart/2005/8/layout/venn1"/>
    <dgm:cxn modelId="{303EB2B9-56B3-144F-BF9D-ADEA332194F6}" srcId="{B554B726-6BB9-104F-AAC4-8900ABA93114}" destId="{D1E5189E-9908-AE4F-905A-D3F78DD58460}" srcOrd="1" destOrd="0" parTransId="{5438B9CB-A933-1842-8AE6-796DDF518E99}" sibTransId="{FCD32640-C75D-EC4A-B3BE-331EA2608FF6}"/>
    <dgm:cxn modelId="{98B1C2C2-2B2C-D349-A901-E864CF453EBD}" srcId="{CC55F916-5070-A84B-A4C6-2A4176545429}" destId="{89979390-4ADA-2245-9157-1512A494548E}" srcOrd="3" destOrd="0" parTransId="{D0FD73B5-3C6F-FC45-909A-3AC3B72E4513}" sibTransId="{00FCCE77-18B0-CD45-B084-AD778969B939}"/>
    <dgm:cxn modelId="{7CA4B6CF-2408-AF49-AEAE-AD5E5710BC5A}" type="presOf" srcId="{CC55F916-5070-A84B-A4C6-2A4176545429}" destId="{12FFFA4D-6E29-1844-96A1-DA6F42732649}" srcOrd="0" destOrd="0" presId="urn:microsoft.com/office/officeart/2005/8/layout/venn1"/>
    <dgm:cxn modelId="{EEF715D0-3A2A-984F-8080-E759634DDC91}" type="presOf" srcId="{B4CCD37E-40E2-874F-8E68-FC8FF21DF6BF}" destId="{3D727D82-49EE-1043-9A4D-CFA4A4D207AB}" srcOrd="0" destOrd="0" presId="urn:microsoft.com/office/officeart/2005/8/layout/venn1"/>
    <dgm:cxn modelId="{961FE7D2-4B2E-DA4F-94A8-C807F69C6C89}" type="presOf" srcId="{D72F65E9-314D-1340-BC9F-9A4201119DC0}" destId="{0FFDB69D-B99D-CB48-8000-B1EEFD5DE156}" srcOrd="0" destOrd="2" presId="urn:microsoft.com/office/officeart/2005/8/layout/venn1"/>
    <dgm:cxn modelId="{519548D6-1452-1B4F-A0A9-7A77CE3A976B}" type="presOf" srcId="{E4857541-AF8B-FF40-B2AB-9256F2361B90}" destId="{687A9ACA-7E6F-FF4A-924D-D788B264C5CA}" srcOrd="0" destOrd="0" presId="urn:microsoft.com/office/officeart/2005/8/layout/venn1"/>
    <dgm:cxn modelId="{DE15DBDB-7C71-7D42-A4F7-FE78B0A643FF}" srcId="{E4857541-AF8B-FF40-B2AB-9256F2361B90}" destId="{2B5E4C4C-BF38-564C-826E-0676B4ACB960}" srcOrd="0" destOrd="0" parTransId="{7A6A587F-68E5-4443-9C51-99DE91A1487B}" sibTransId="{8A865436-3E18-5149-AC49-8F5AC1ED5CFD}"/>
    <dgm:cxn modelId="{F84023E7-57B8-D44C-87CC-13F40A473EE8}" type="presOf" srcId="{6B9E33A5-3B08-AB44-9757-E512AB0B5C3C}" destId="{687A9ACA-7E6F-FF4A-924D-D788B264C5CA}" srcOrd="0" destOrd="3" presId="urn:microsoft.com/office/officeart/2005/8/layout/venn1"/>
    <dgm:cxn modelId="{20F5A6EA-25B5-9140-B95F-D48B99A27428}" srcId="{CC55F916-5070-A84B-A4C6-2A4176545429}" destId="{B4CCD37E-40E2-874F-8E68-FC8FF21DF6BF}" srcOrd="0" destOrd="0" parTransId="{BAC9B705-BEFE-ED41-B8AA-85D512351BCB}" sibTransId="{8C6722FF-006F-E043-AF35-B2317A1761B0}"/>
    <dgm:cxn modelId="{AD908DEC-AF74-5C42-A160-DEEF454EF5DC}" type="presOf" srcId="{D172105D-DB30-3E49-AAEA-884BE3641D10}" destId="{728F4971-D772-704F-A569-387E01E981E9}" srcOrd="0" destOrd="1" presId="urn:microsoft.com/office/officeart/2005/8/layout/venn1"/>
    <dgm:cxn modelId="{65196DF6-C0AE-FD41-B4F4-2D0F28BF47C6}" srcId="{04A3905A-8A7D-6949-8C84-014B7BA9609B}" destId="{22237D64-DE3D-184B-836E-FFE1485FFE2A}" srcOrd="0" destOrd="0" parTransId="{179D3947-E5E7-DE41-8226-9E72170CBBF1}" sibTransId="{E0822ADF-4D53-4F4F-BBB4-80223CE0FC61}"/>
    <dgm:cxn modelId="{5510C0F8-4B89-3E4F-BE36-4126DDAC40A3}" srcId="{8E96844C-7255-6247-BB76-E6383BDC5621}" destId="{EAC9C24D-8EE2-5249-A031-B4E48F8381BF}" srcOrd="0" destOrd="0" parTransId="{3DB7CA57-8BF9-FB44-87E9-DD0FF7839885}" sibTransId="{F5CB1261-6CAE-8743-B03C-05074573EAC7}"/>
    <dgm:cxn modelId="{DCE671FB-B20D-B24E-A2B6-263CFAAC8262}" type="presOf" srcId="{6C33451B-617C-FD48-B62E-05E31492B5AD}" destId="{1086CA27-F60D-8B4A-8CE6-97832F75C0F0}" srcOrd="0" destOrd="2" presId="urn:microsoft.com/office/officeart/2005/8/layout/venn1"/>
    <dgm:cxn modelId="{8FEC69B5-CDB9-7D4D-9560-8C979F3B2757}" type="presParOf" srcId="{12FFFA4D-6E29-1844-96A1-DA6F42732649}" destId="{EDFD7EE0-20F1-544F-9B3E-721640F84B5B}" srcOrd="0" destOrd="0" presId="urn:microsoft.com/office/officeart/2005/8/layout/venn1"/>
    <dgm:cxn modelId="{1A5F362C-4125-3942-BD3F-82EFE41027D0}" type="presParOf" srcId="{12FFFA4D-6E29-1844-96A1-DA6F42732649}" destId="{3D727D82-49EE-1043-9A4D-CFA4A4D207AB}" srcOrd="1" destOrd="0" presId="urn:microsoft.com/office/officeart/2005/8/layout/venn1"/>
    <dgm:cxn modelId="{AC3BD610-D9C9-2B47-B5F9-822842797E8B}" type="presParOf" srcId="{12FFFA4D-6E29-1844-96A1-DA6F42732649}" destId="{D9940C12-E6FC-F04E-8C27-89ED4D45A06E}" srcOrd="2" destOrd="0" presId="urn:microsoft.com/office/officeart/2005/8/layout/venn1"/>
    <dgm:cxn modelId="{B533E1C0-FF43-AC40-BADB-9D90F5AC3C44}" type="presParOf" srcId="{12FFFA4D-6E29-1844-96A1-DA6F42732649}" destId="{637D75B5-4066-2841-81C6-ADBA02C8998A}" srcOrd="3" destOrd="0" presId="urn:microsoft.com/office/officeart/2005/8/layout/venn1"/>
    <dgm:cxn modelId="{1D2F11DD-80E5-FB46-BE2E-7B96F0EE640A}" type="presParOf" srcId="{12FFFA4D-6E29-1844-96A1-DA6F42732649}" destId="{6AEB23FA-9F6B-5849-987D-52CC8DD8D1FC}" srcOrd="4" destOrd="0" presId="urn:microsoft.com/office/officeart/2005/8/layout/venn1"/>
    <dgm:cxn modelId="{03BB3BA8-6E5E-6C48-BAB8-0A9D90E589E4}" type="presParOf" srcId="{12FFFA4D-6E29-1844-96A1-DA6F42732649}" destId="{728F4971-D772-704F-A569-387E01E981E9}" srcOrd="5" destOrd="0" presId="urn:microsoft.com/office/officeart/2005/8/layout/venn1"/>
    <dgm:cxn modelId="{4B402ECB-D6FB-6A46-A58E-A808932180D2}" type="presParOf" srcId="{12FFFA4D-6E29-1844-96A1-DA6F42732649}" destId="{E7283BFB-F442-7149-9999-D8F35894B571}" srcOrd="6" destOrd="0" presId="urn:microsoft.com/office/officeart/2005/8/layout/venn1"/>
    <dgm:cxn modelId="{1C9E7EA4-BB2F-F040-B7DF-4946AC6FD874}" type="presParOf" srcId="{12FFFA4D-6E29-1844-96A1-DA6F42732649}" destId="{68894536-8ABD-1E45-B3F1-30A4350FF203}" srcOrd="7" destOrd="0" presId="urn:microsoft.com/office/officeart/2005/8/layout/venn1"/>
    <dgm:cxn modelId="{2E6B77B7-9B4D-E54D-8D1A-E7198758D3DA}" type="presParOf" srcId="{12FFFA4D-6E29-1844-96A1-DA6F42732649}" destId="{58A6654D-3260-4B4F-B994-1154B86AA204}" srcOrd="8" destOrd="0" presId="urn:microsoft.com/office/officeart/2005/8/layout/venn1"/>
    <dgm:cxn modelId="{05A8A0C0-93FE-DD48-BC20-95338E483F30}" type="presParOf" srcId="{12FFFA4D-6E29-1844-96A1-DA6F42732649}" destId="{1086CA27-F60D-8B4A-8CE6-97832F75C0F0}" srcOrd="9" destOrd="0" presId="urn:microsoft.com/office/officeart/2005/8/layout/venn1"/>
    <dgm:cxn modelId="{E75E976F-FD56-4D4F-BF19-1228572927C1}" type="presParOf" srcId="{12FFFA4D-6E29-1844-96A1-DA6F42732649}" destId="{5450963C-9D83-8B4F-8E27-8AB4C5A25987}" srcOrd="10" destOrd="0" presId="urn:microsoft.com/office/officeart/2005/8/layout/venn1"/>
    <dgm:cxn modelId="{5C0AB3FB-5130-7E4C-B7FA-500CEF5055A4}" type="presParOf" srcId="{12FFFA4D-6E29-1844-96A1-DA6F42732649}" destId="{0FFDB69D-B99D-CB48-8000-B1EEFD5DE156}" srcOrd="11" destOrd="0" presId="urn:microsoft.com/office/officeart/2005/8/layout/venn1"/>
    <dgm:cxn modelId="{B12296F6-3658-D94D-A19A-FE2B140E3933}" type="presParOf" srcId="{12FFFA4D-6E29-1844-96A1-DA6F42732649}" destId="{4AC9CC8E-46FC-8647-B7F0-2EF383A4E254}" srcOrd="12" destOrd="0" presId="urn:microsoft.com/office/officeart/2005/8/layout/venn1"/>
    <dgm:cxn modelId="{3215F89C-2191-E143-A4C5-26A8F0B8D40D}" type="presParOf" srcId="{12FFFA4D-6E29-1844-96A1-DA6F42732649}" destId="{687A9ACA-7E6F-FF4A-924D-D788B264C5CA}" srcOrd="13" destOrd="0" presId="urn:microsoft.com/office/officeart/2005/8/layout/venn1"/>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35932F32-78DA-0047-932A-00C9026E9D41}">
      <dgm:prSet phldrT="[Text]"/>
      <dgm:spPr/>
      <dgm:t>
        <a:bodyPr/>
        <a:lstStyle/>
        <a:p>
          <a:r>
            <a:rPr lang="en-US"/>
            <a:t>Responsibility</a:t>
          </a:r>
        </a:p>
      </dgm:t>
    </dgm:pt>
    <dgm:pt modelId="{763288BA-1200-2944-9BB2-83F1992F9206}" type="parTrans" cxnId="{FF86ECB7-1712-6F4A-B8EC-6B7F71640A18}">
      <dgm:prSet/>
      <dgm:spPr/>
      <dgm:t>
        <a:bodyPr/>
        <a:lstStyle/>
        <a:p>
          <a:endParaRPr lang="en-US"/>
        </a:p>
      </dgm:t>
    </dgm:pt>
    <dgm:pt modelId="{3434CA25-A11D-A24E-ACD1-DFB391AD93A3}" type="sibTrans" cxnId="{FF86ECB7-1712-6F4A-B8EC-6B7F71640A18}">
      <dgm:prSet/>
      <dgm:spPr/>
      <dgm:t>
        <a:bodyPr/>
        <a:lstStyle/>
        <a:p>
          <a:endParaRPr lang="en-US"/>
        </a:p>
      </dgm:t>
    </dgm:pt>
    <dgm:pt modelId="{9959F822-773A-CE46-9903-1F716E893C80}">
      <dgm:prSet phldrT="[Text]"/>
      <dgm:spPr/>
      <dgm:t>
        <a:bodyPr/>
        <a:lstStyle/>
        <a:p>
          <a:r>
            <a:rPr lang="en-US"/>
            <a:t>Simulation for assessment</a:t>
          </a:r>
        </a:p>
      </dgm:t>
    </dgm:pt>
    <dgm:pt modelId="{59A4781F-9EEA-4E43-B9B8-55C6B888DCC6}" type="parTrans" cxnId="{85F4AEB1-5875-044A-9377-6D888143535A}">
      <dgm:prSet/>
      <dgm:spPr/>
      <dgm:t>
        <a:bodyPr/>
        <a:lstStyle/>
        <a:p>
          <a:endParaRPr lang="en-US"/>
        </a:p>
      </dgm:t>
    </dgm:pt>
    <dgm:pt modelId="{6A62612D-AC35-0840-9BAF-1D5A26508A38}" type="sibTrans" cxnId="{85F4AEB1-5875-044A-9377-6D888143535A}">
      <dgm:prSet/>
      <dgm:spPr/>
      <dgm:t>
        <a:bodyPr/>
        <a:lstStyle/>
        <a:p>
          <a:endParaRPr lang="en-US"/>
        </a:p>
      </dgm:t>
    </dgm:pt>
    <dgm:pt modelId="{958615CC-6993-EC46-A15F-5E3359608152}">
      <dgm:prSet phldrT="[Text]"/>
      <dgm:spPr/>
      <dgm:t>
        <a:bodyPr/>
        <a:lstStyle/>
        <a:p>
          <a:r>
            <a:rPr lang="en-US"/>
            <a:t>8. Triangulation</a:t>
          </a:r>
        </a:p>
      </dgm:t>
    </dgm:pt>
    <dgm:pt modelId="{9DD92B59-31C1-5F48-B346-E1AA8731DB3B}" type="parTrans" cxnId="{3AFD1568-8C1E-8A4D-B65E-F6C7B50419D5}">
      <dgm:prSet/>
      <dgm:spPr/>
    </dgm:pt>
    <dgm:pt modelId="{357CF565-7366-1140-B155-BD26723A840E}" type="sibTrans" cxnId="{3AFD1568-8C1E-8A4D-B65E-F6C7B50419D5}">
      <dgm:prSet/>
      <dgm:spPr/>
    </dgm:pt>
    <dgm:pt modelId="{DB455354-CB02-C14E-B968-177139E3251F}">
      <dgm:prSet phldrT="[Text]"/>
      <dgm:spPr/>
      <dgm:t>
        <a:bodyPr/>
        <a:lstStyle/>
        <a:p>
          <a:r>
            <a:rPr lang="en-US"/>
            <a:t>Implications for practice</a:t>
          </a:r>
        </a:p>
      </dgm:t>
    </dgm:pt>
    <dgm:pt modelId="{018BC7E7-B098-0D48-80DD-DF2D95D7D2E1}" type="parTrans" cxnId="{C91DDCA3-EF3B-584C-AE2D-31D5EFD00B19}">
      <dgm:prSet/>
      <dgm:spPr/>
    </dgm:pt>
    <dgm:pt modelId="{4637D77A-19DE-4849-9555-4F19CFAF4A13}" type="sibTrans" cxnId="{C91DDCA3-EF3B-584C-AE2D-31D5EFD00B19}">
      <dgm:prSet/>
      <dgm:spPr/>
    </dgm:pt>
    <dgm:pt modelId="{9C46139C-0671-8F40-875A-818F9454EF2D}">
      <dgm:prSet phldrT="[Text]"/>
      <dgm:spPr/>
      <dgm:t>
        <a:bodyPr/>
        <a:lstStyle/>
        <a:p>
          <a:r>
            <a:rPr lang="en-US"/>
            <a:t>Conclusions</a:t>
          </a:r>
        </a:p>
      </dgm:t>
    </dgm:pt>
    <dgm:pt modelId="{3ECB5EC7-F21F-854D-AF0F-4DF39D4D00E7}" type="parTrans" cxnId="{7B717D14-3D77-3B4F-ABDE-C13866E0D3A1}">
      <dgm:prSet/>
      <dgm:spPr/>
    </dgm:pt>
    <dgm:pt modelId="{54AB84D8-6545-EE43-A238-4C2E6DB815B0}" type="sibTrans" cxnId="{7B717D14-3D77-3B4F-ABDE-C13866E0D3A1}">
      <dgm:prSet/>
      <dgm:spPr/>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4DB1C0C4-9D1C-B74E-A61A-CE54EE94C198}" type="pres">
      <dgm:prSet presAssocID="{958615CC-6993-EC46-A15F-5E3359608152}" presName="composite" presStyleCnt="0"/>
      <dgm:spPr/>
    </dgm:pt>
    <dgm:pt modelId="{A9268813-2EA9-544F-ADDB-8D78F261871A}" type="pres">
      <dgm:prSet presAssocID="{958615CC-6993-EC46-A15F-5E3359608152}" presName="parentText" presStyleLbl="alignNode1" presStyleIdx="7" presStyleCnt="13">
        <dgm:presLayoutVars>
          <dgm:chMax val="1"/>
          <dgm:bulletEnabled val="1"/>
        </dgm:presLayoutVars>
      </dgm:prSet>
      <dgm:spPr/>
    </dgm:pt>
    <dgm:pt modelId="{82480B1C-A711-4B40-9FB5-A904F6CB4084}" type="pres">
      <dgm:prSet presAssocID="{958615CC-6993-EC46-A15F-5E3359608152}" presName="descendantText" presStyleLbl="alignAcc1" presStyleIdx="7" presStyleCnt="13">
        <dgm:presLayoutVars>
          <dgm:bulletEnabled val="1"/>
        </dgm:presLayoutVars>
      </dgm:prSet>
      <dgm:spPr/>
    </dgm:pt>
    <dgm:pt modelId="{99312B50-1D9B-1349-9E0D-61D5EB2B08D7}" type="pres">
      <dgm:prSet presAssocID="{357CF565-7366-1140-B155-BD26723A840E}"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AD641F02-B226-EE41-BF01-0B4D6E32B9DC}" type="presOf" srcId="{817AAD11-541C-8040-B8E6-60D63F44FF6E}" destId="{DCD4A931-4F01-F440-965B-DC25AA6FE080}" srcOrd="0" destOrd="1" presId="urn:microsoft.com/office/officeart/2005/8/layout/chevron2"/>
    <dgm:cxn modelId="{CDDEF802-D40B-4844-8E8B-8B333C71F961}" type="presOf" srcId="{C458704A-A6F3-A24F-B50F-7B434CD11794}" destId="{28826DD3-E030-6044-B2F2-D85EF85F6960}" srcOrd="0" destOrd="2" presId="urn:microsoft.com/office/officeart/2005/8/layout/chevron2"/>
    <dgm:cxn modelId="{2CDBD306-B058-E347-A0C7-C6EACCF3932C}" type="presOf" srcId="{387817B1-B48E-804E-9741-307C0F8B2DA9}" destId="{BC4A5DFE-0373-0044-B473-93ADEF2A2324}" srcOrd="0" destOrd="1" presId="urn:microsoft.com/office/officeart/2005/8/layout/chevron2"/>
    <dgm:cxn modelId="{224C290B-FC36-1F41-934D-F788D49E3190}" type="presOf" srcId="{4E401C2C-4000-C040-828A-EB0D5B3F70BC}" destId="{8BDAA81E-2E4E-9C4A-9A67-4855D9BA1510}" srcOrd="0" destOrd="1" presId="urn:microsoft.com/office/officeart/2005/8/layout/chevron2"/>
    <dgm:cxn modelId="{65D6740C-3EFA-184D-BDDC-78FCBB8D6864}" type="presOf" srcId="{E6055D9E-1DDE-A243-A8F6-5CDF160A3724}" destId="{C174B10A-41E6-244B-88CB-0D08E5FFF5F9}" srcOrd="0" destOrd="0" presId="urn:microsoft.com/office/officeart/2005/8/layout/chevron2"/>
    <dgm:cxn modelId="{4771C20D-08E3-8142-A0ED-59D1BD4B84E2}" type="presOf" srcId="{0D347524-7007-BE43-81AE-44B5DE652093}" destId="{28826DD3-E030-6044-B2F2-D85EF85F6960}" srcOrd="0" destOrd="1"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7B717D14-3D77-3B4F-ABDE-C13866E0D3A1}" srcId="{958615CC-6993-EC46-A15F-5E3359608152}" destId="{9C46139C-0671-8F40-875A-818F9454EF2D}" srcOrd="2" destOrd="0" parTransId="{3ECB5EC7-F21F-854D-AF0F-4DF39D4D00E7}" sibTransId="{54AB84D8-6545-EE43-A238-4C2E6DB815B0}"/>
    <dgm:cxn modelId="{9737A014-77AA-2343-9EF8-1AB62E400960}" srcId="{958615CC-6993-EC46-A15F-5E3359608152}" destId="{0B5EEED9-AADF-5646-A4EE-16C7E3C5048F}" srcOrd="0" destOrd="0" parTransId="{5F63AFFB-8796-8145-8196-16BA65A8913E}" sibTransId="{6369732A-4608-D04B-9932-9F2E14769A9F}"/>
    <dgm:cxn modelId="{C69C3917-5945-AB4D-B1ED-1C4C53B941E3}" type="presOf" srcId="{61A2BB49-4883-F544-A634-4207B0324D62}" destId="{06B263AD-CC10-0D49-8145-0C283F585CD5}" srcOrd="0" destOrd="0" presId="urn:microsoft.com/office/officeart/2005/8/layout/chevron2"/>
    <dgm:cxn modelId="{425A741B-9872-3A46-B4DA-D764BFE4CD8B}" srcId="{32BD5717-A9E6-DD44-A13C-12122D41F212}" destId="{182D19B6-9968-F54C-9803-98CF32A9110D}" srcOrd="8" destOrd="0" parTransId="{19120E65-5B26-BC4A-9EFF-5512A25AEB14}" sibTransId="{259ED567-5FE2-2F45-B806-60F8702E00F5}"/>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930A272A-2CFF-0041-B9ED-76D065F6ECCC}" srcId="{332543FB-BB1C-DE43-B140-C2BB789BBCB2}" destId="{2725BEFC-24C3-E145-86F8-460B0C16124D}" srcOrd="0" destOrd="0" parTransId="{C1829F04-6DDA-E649-90FD-A4AAAAE6C05F}" sibTransId="{21F47E9F-9C6A-1041-9062-39753370C0EE}"/>
    <dgm:cxn modelId="{C557FF2A-F118-1B41-A636-6B1511D83CEC}" type="presOf" srcId="{718C1A72-EF39-DD4E-BFDE-F45DD7D520FB}" destId="{B3EE9CE6-0ABB-F14B-8299-D4BFC2EC579D}" srcOrd="0" destOrd="0" presId="urn:microsoft.com/office/officeart/2005/8/layout/chevron2"/>
    <dgm:cxn modelId="{5400EC2E-A7CC-2041-B473-379A14ED7C8B}" type="presOf" srcId="{3F3526C7-6ED1-AA46-BF20-1B9948A084E5}" destId="{06B263AD-CC10-0D49-8145-0C283F585CD5}" srcOrd="0" destOrd="2"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AC9D8B35-3E35-964E-B49F-8C40FB3AF24D}" srcId="{182D19B6-9968-F54C-9803-98CF32A9110D}" destId="{E8835EC0-86EE-3540-9564-983F3D69B9B0}" srcOrd="4" destOrd="0" parTransId="{3507EF78-030C-2546-8CBB-075D7261FCDE}" sibTransId="{7BBE6FC9-195F-5E44-BEAA-03BE4D719D22}"/>
    <dgm:cxn modelId="{C67DC537-D4CA-2944-8330-96C6C74E0394}" srcId="{32BD5717-A9E6-DD44-A13C-12122D41F212}" destId="{34B9CBCA-90AD-D946-B26E-3A6E60BB731E}" srcOrd="6" destOrd="0" parTransId="{9332FC5B-2DEC-D146-AE72-41CD6249A702}" sibTransId="{1031D2A7-8DEF-E945-AA90-68FD6C34AE22}"/>
    <dgm:cxn modelId="{A850C538-29F8-884C-8FEC-E3D1BAD4149B}" type="presOf" srcId="{182D19B6-9968-F54C-9803-98CF32A9110D}" destId="{E86BF6A3-BA90-BB43-908F-24E76E7D1587}" srcOrd="0" destOrd="0"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A8D5FB5D-D1A7-4940-89EA-085A4A795558}" type="presOf" srcId="{18ABC2A5-DCE7-414C-AE08-6EAE4EA2FE6D}" destId="{E2DE84BA-2462-A242-AC94-46E19F99F1BB}" srcOrd="0" destOrd="2" presId="urn:microsoft.com/office/officeart/2005/8/layout/chevron2"/>
    <dgm:cxn modelId="{C57C4A61-DC33-B849-B471-9A113B870662}" type="presOf" srcId="{A177B3ED-63C5-3348-B066-3691D8643EDE}" destId="{F1EE7E3F-25DA-8041-85A7-EBBF11BC4C56}" srcOrd="0" destOrd="0" presId="urn:microsoft.com/office/officeart/2005/8/layout/chevron2"/>
    <dgm:cxn modelId="{5032CE41-C49E-874C-BAF2-EFD28BF69CF5}" type="presOf" srcId="{BE8AC978-0FAD-5E4D-B281-1B7DC61EC809}" destId="{C80BEB0B-E1AB-4443-9F91-9D6894D7833E}" srcOrd="0" destOrd="1" presId="urn:microsoft.com/office/officeart/2005/8/layout/chevron2"/>
    <dgm:cxn modelId="{DD84CF64-E5FB-F14E-8CA7-31ED913247EF}" type="presOf" srcId="{555C02C0-6BC9-D540-8A82-3666CC61D37F}" destId="{DCD4A931-4F01-F440-965B-DC25AA6FE080}" srcOrd="0" destOrd="0" presId="urn:microsoft.com/office/officeart/2005/8/layout/chevron2"/>
    <dgm:cxn modelId="{31D5C345-2282-1846-9F78-2FFBE40535F0}" type="presOf" srcId="{0B5EEED9-AADF-5646-A4EE-16C7E3C5048F}" destId="{82480B1C-A711-4B40-9FB5-A904F6CB4084}" srcOrd="0" destOrd="0" presId="urn:microsoft.com/office/officeart/2005/8/layout/chevron2"/>
    <dgm:cxn modelId="{1C53AA47-E98C-D642-B47C-8831B901F7D3}" type="presOf" srcId="{9C46139C-0671-8F40-875A-818F9454EF2D}" destId="{82480B1C-A711-4B40-9FB5-A904F6CB4084}" srcOrd="0" destOrd="2" presId="urn:microsoft.com/office/officeart/2005/8/layout/chevron2"/>
    <dgm:cxn modelId="{3AFD1568-8C1E-8A4D-B65E-F6C7B50419D5}" srcId="{32BD5717-A9E6-DD44-A13C-12122D41F212}" destId="{958615CC-6993-EC46-A15F-5E3359608152}" srcOrd="7" destOrd="0" parTransId="{9DD92B59-31C1-5F48-B346-E1AA8731DB3B}" sibTransId="{357CF565-7366-1140-B155-BD26723A840E}"/>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2421614B-31D3-B34B-883C-5367D8E40144}" type="presOf" srcId="{A8C6C2DC-42DC-4841-8B38-6F4C4E8905E8}" destId="{B88D95AA-AFFF-224F-9EBE-1226F2119586}" srcOrd="0" destOrd="0" presId="urn:microsoft.com/office/officeart/2005/8/layout/chevron2"/>
    <dgm:cxn modelId="{8E062E4D-AA93-CB44-A0AC-F749EB20F43A}" srcId="{32BD5717-A9E6-DD44-A13C-12122D41F212}" destId="{82A06431-B147-914D-A7EE-B91B75443203}" srcOrd="3" destOrd="0" parTransId="{13C96808-67BD-174F-B855-16ACA3400941}" sibTransId="{2927117D-194C-1341-932F-5623EB513890}"/>
    <dgm:cxn modelId="{78FA584D-EAA1-214A-8894-700077C7628C}" type="presOf" srcId="{35932F32-78DA-0047-932A-00C9026E9D41}" destId="{C174B10A-41E6-244B-88CB-0D08E5FFF5F9}" srcOrd="0" destOrd="1" presId="urn:microsoft.com/office/officeart/2005/8/layout/chevron2"/>
    <dgm:cxn modelId="{0F53E46F-EB9E-1441-AD6B-DBF5478A0419}" type="presOf" srcId="{34B9CBCA-90AD-D946-B26E-3A6E60BB731E}" destId="{B9872B13-1174-E847-A615-29577404DF21}" srcOrd="0" destOrd="0"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AC73C473-9B55-2A4D-965C-5845AE9C59EE}" type="presOf" srcId="{CF8D6B60-3FEF-0048-B019-B0883DEB78C2}" destId="{06B263AD-CC10-0D49-8145-0C283F585CD5}" srcOrd="0" destOrd="1" presId="urn:microsoft.com/office/officeart/2005/8/layout/chevron2"/>
    <dgm:cxn modelId="{EBCA7454-0A4D-574C-AF9E-ACF2192F6A69}" srcId="{34B9CBCA-90AD-D946-B26E-3A6E60BB731E}" destId="{EEF349EC-A16C-6E4F-8464-6BD71940F70C}" srcOrd="2" destOrd="0" parTransId="{4EF4EBD5-8084-7D4A-BB5E-4EF2C5C94F99}" sibTransId="{A325D897-3CF3-2444-BCE0-FB27A2B93D02}"/>
    <dgm:cxn modelId="{2D408975-5018-4D4E-8370-D3D16485958A}" type="presOf" srcId="{14C4AACB-BBED-FD43-880C-31C843F0061A}" destId="{F1EE7E3F-25DA-8041-85A7-EBBF11BC4C56}" srcOrd="0" destOrd="1" presId="urn:microsoft.com/office/officeart/2005/8/layout/chevron2"/>
    <dgm:cxn modelId="{06853556-E41C-5C45-BC9B-C6AE655CDD9A}" type="presOf" srcId="{9959F822-773A-CE46-9903-1F716E893C80}" destId="{C174B10A-41E6-244B-88CB-0D08E5FFF5F9}" srcOrd="0" destOrd="2" presId="urn:microsoft.com/office/officeart/2005/8/layout/chevron2"/>
    <dgm:cxn modelId="{7CCA3577-052A-E54E-8A65-B79C9D3D7282}" srcId="{32BD5717-A9E6-DD44-A13C-12122D41F212}" destId="{5EFAD456-F8B8-C147-9A38-D366892E8D90}" srcOrd="10" destOrd="0" parTransId="{AEC4A29C-080E-714E-8C55-A165817C6F84}" sibTransId="{69AAF0EB-9438-D048-8CCB-3ADC0E6ED07B}"/>
    <dgm:cxn modelId="{1654F378-BB65-B74C-AFDF-12797166A265}" type="presOf" srcId="{65337D44-9B2C-044E-AEF9-F665764413CE}" destId="{9D5418D3-F08D-8545-87B2-2FD7B1D1031E}" srcOrd="0" destOrd="0" presId="urn:microsoft.com/office/officeart/2005/8/layout/chevron2"/>
    <dgm:cxn modelId="{6B80A05A-14C1-E34C-B7AA-877EBE4719D7}" type="presOf" srcId="{EE4687FF-DC98-3D4A-8B1D-75DD628798CF}" destId="{BC4A5DFE-0373-0044-B473-93ADEF2A2324}" srcOrd="0" destOrd="2" presId="urn:microsoft.com/office/officeart/2005/8/layout/chevron2"/>
    <dgm:cxn modelId="{7FFBE25A-9D6B-4E49-B736-F738D0E94090}" type="presOf" srcId="{0D5E0837-38B9-E148-BB11-F780782A29CB}" destId="{9D5418D3-F08D-8545-87B2-2FD7B1D1031E}" srcOrd="0" destOrd="2" presId="urn:microsoft.com/office/officeart/2005/8/layout/chevron2"/>
    <dgm:cxn modelId="{941CFF7A-D638-8A4B-8278-95DAB8637AEE}" srcId="{32BD5717-A9E6-DD44-A13C-12122D41F212}" destId="{8A942072-3D9B-2043-8B2E-11E707170D7E}" srcOrd="2"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C2637380-4378-9541-964A-D6E21D69FAFC}" srcId="{34B9CBCA-90AD-D946-B26E-3A6E60BB731E}" destId="{817AAD11-541C-8040-B8E6-60D63F44FF6E}" srcOrd="1" destOrd="0" parTransId="{820D5C7D-3565-B841-B802-D79FD186F3F0}" sibTransId="{DBDC58F4-53C2-3143-8B2E-16E385E444FB}"/>
    <dgm:cxn modelId="{E9B0488A-E2FF-9742-A44D-7072602181D0}" type="presOf" srcId="{958615CC-6993-EC46-A15F-5E3359608152}" destId="{A9268813-2EA9-544F-ADDB-8D78F261871A}"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D190838E-9640-9D4D-8DBF-18DC124D4610}" type="presOf" srcId="{DB455354-CB02-C14E-B968-177139E3251F}" destId="{82480B1C-A711-4B40-9FB5-A904F6CB4084}" srcOrd="0" destOrd="1" presId="urn:microsoft.com/office/officeart/2005/8/layout/chevron2"/>
    <dgm:cxn modelId="{C917388F-5C0E-FC40-A3C9-62099EA860CB}" type="presOf" srcId="{2D2AF18A-8B4F-6F43-ABC1-76E3735A0A2A}" destId="{BC4A5DFE-0373-0044-B473-93ADEF2A2324}" srcOrd="0" destOrd="0"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06495397-CAFB-8346-B6DD-C62B8755406E}" srcId="{93105CB4-0286-ED4F-915C-092EF42A9691}" destId="{14C4AACB-BBED-FD43-880C-31C843F0061A}" srcOrd="1" destOrd="0" parTransId="{DFED4DE2-2306-C34E-907E-763B913F06DC}" sibTransId="{8C3CD2B7-B9B1-6B48-BD9C-4F4D55283F81}"/>
    <dgm:cxn modelId="{D580AE97-EBD4-D745-A318-B0EDB0B21159}" type="presOf" srcId="{8A942072-3D9B-2043-8B2E-11E707170D7E}" destId="{A0202F08-BEC9-8F43-8711-F30ADE817D18}" srcOrd="0" destOrd="0" presId="urn:microsoft.com/office/officeart/2005/8/layout/chevron2"/>
    <dgm:cxn modelId="{27639198-38BC-8D49-AF4B-E6C418DEA7A2}" type="presOf" srcId="{D4381A80-7F1D-9D4D-8093-B3E6A2F1CFCA}" destId="{9D5418D3-F08D-8545-87B2-2FD7B1D1031E}" srcOrd="0" destOrd="1" presId="urn:microsoft.com/office/officeart/2005/8/layout/chevron2"/>
    <dgm:cxn modelId="{D59CA298-E4C7-4D43-8276-B2C0EBDB45A0}" type="presOf" srcId="{2725BEFC-24C3-E145-86F8-460B0C16124D}" destId="{8BDAA81E-2E4E-9C4A-9A67-4855D9BA1510}" srcOrd="0" destOrd="0" presId="urn:microsoft.com/office/officeart/2005/8/layout/chevron2"/>
    <dgm:cxn modelId="{C2A5ACA1-F1A9-1347-BEAB-34809B48CF85}" srcId="{32BD5717-A9E6-DD44-A13C-12122D41F212}" destId="{46C87E74-5E28-8C46-86B1-98C82A55CBAE}" srcOrd="11" destOrd="0" parTransId="{2A9B7400-96EA-AD40-9D11-2744CE1FE9E5}" sibTransId="{04801474-7BFD-AC4B-9CCF-28521DEC6DB6}"/>
    <dgm:cxn modelId="{6CCBE9A1-3A54-874A-B810-CDADF35303E4}" type="presOf" srcId="{125C0A60-1A53-5F41-A8F9-BD71D1144F62}" destId="{C80BEB0B-E1AB-4443-9F91-9D6894D7833E}" srcOrd="0" destOrd="0" presId="urn:microsoft.com/office/officeart/2005/8/layout/chevron2"/>
    <dgm:cxn modelId="{C91DDCA3-EF3B-584C-AE2D-31D5EFD00B19}" srcId="{958615CC-6993-EC46-A15F-5E3359608152}" destId="{DB455354-CB02-C14E-B968-177139E3251F}" srcOrd="1" destOrd="0" parTransId="{018BC7E7-B098-0D48-80DD-DF2D95D7D2E1}" sibTransId="{4637D77A-19DE-4849-9555-4F19CFAF4A13}"/>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9D58D9AA-8A9F-7344-B079-96A6F3E9EE0D}" srcId="{A8C6C2DC-42DC-4841-8B38-6F4C4E8905E8}" destId="{387817B1-B48E-804E-9741-307C0F8B2DA9}" srcOrd="1" destOrd="0" parTransId="{D94773E4-7F82-0F47-985A-8F598D82ADFE}" sibTransId="{5A610308-D14F-784F-92CA-466500C5E6DC}"/>
    <dgm:cxn modelId="{826214AB-8D9F-1A45-A4CF-535D43ECDCAD}" type="presOf" srcId="{3528BF8B-944A-1B4D-ADBB-12D941C8C388}" destId="{E2DE84BA-2462-A242-AC94-46E19F99F1BB}" srcOrd="0" destOrd="0" presId="urn:microsoft.com/office/officeart/2005/8/layout/chevron2"/>
    <dgm:cxn modelId="{E3864CAB-5CEA-2845-9E1F-FC63029AD41E}" srcId="{32BD5717-A9E6-DD44-A13C-12122D41F212}" destId="{93105CB4-0286-ED4F-915C-092EF42A9691}" srcOrd="4" destOrd="0" parTransId="{A4EA5788-EDE5-E443-B24A-EA951734FC41}" sibTransId="{72453AAB-5C0D-2D49-B812-AF99508E8E00}"/>
    <dgm:cxn modelId="{85F4AEB1-5875-044A-9377-6D888143535A}" srcId="{5EFAD456-F8B8-C147-9A38-D366892E8D90}" destId="{9959F822-773A-CE46-9903-1F716E893C80}" srcOrd="2" destOrd="0" parTransId="{59A4781F-9EEA-4E43-B9B8-55C6B888DCC6}" sibTransId="{6A62612D-AC35-0840-9BAF-1D5A26508A38}"/>
    <dgm:cxn modelId="{FF86ECB7-1712-6F4A-B8EC-6B7F71640A18}" srcId="{5EFAD456-F8B8-C147-9A38-D366892E8D90}" destId="{35932F32-78DA-0047-932A-00C9026E9D41}" srcOrd="1" destOrd="0" parTransId="{763288BA-1200-2944-9BB2-83F1992F9206}" sibTransId="{3434CA25-A11D-A24E-ACD1-DFB391AD93A3}"/>
    <dgm:cxn modelId="{2E78A2BB-8B2F-B242-9194-CD70092EF610}" type="presOf" srcId="{AB849386-BBEF-244B-A2A1-1BE27622D72F}" destId="{844AC346-AEB9-A649-8C9D-DBF2769C8FFC}" srcOrd="0" destOrd="0" presId="urn:microsoft.com/office/officeart/2005/8/layout/chevron2"/>
    <dgm:cxn modelId="{12259DBE-E5A5-C949-A856-F9E163AB4E34}" type="presOf" srcId="{6AEE21D3-4CB1-7443-AC17-5D71D849EEF3}" destId="{28826DD3-E030-6044-B2F2-D85EF85F6960}" srcOrd="0" destOrd="0"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277EC6C6-BB55-C84D-B7BB-08B252EA05B2}" type="presOf" srcId="{332543FB-BB1C-DE43-B140-C2BB789BBCB2}" destId="{B422BFF3-8BFD-2144-8980-375702EA9496}" srcOrd="0" destOrd="0" presId="urn:microsoft.com/office/officeart/2005/8/layout/chevron2"/>
    <dgm:cxn modelId="{5F8B3DC7-4CC2-774D-B2B4-0FAAA2FC594C}" srcId="{82A06431-B147-914D-A7EE-B91B75443203}" destId="{D4381A80-7F1D-9D4D-8093-B3E6A2F1CFCA}" srcOrd="1" destOrd="0" parTransId="{E0E413A4-940F-4949-BC1D-D8C9E61E05C4}" sibTransId="{9A330F0C-3CA6-F948-80B6-E0284FDCABD6}"/>
    <dgm:cxn modelId="{E2F329CF-5D02-3241-B348-50CB30650C25}" srcId="{182D19B6-9968-F54C-9803-98CF32A9110D}" destId="{318E09D1-A59D-2E4B-A3CC-C2FF16965C43}" srcOrd="1" destOrd="0" parTransId="{692F5075-8AA7-1545-9821-5B796547FE98}" sibTransId="{C3BC74F0-F4E6-BD4C-8197-893C2058CDAE}"/>
    <dgm:cxn modelId="{9B6E65D2-EB77-5747-BD0A-6F3FA7771039}" type="presOf" srcId="{1EC7AB78-D724-324B-BD90-FC58EF6E0357}" destId="{48AF7672-2483-B34A-B763-89BD09AEBA58}" srcOrd="0" destOrd="0" presId="urn:microsoft.com/office/officeart/2005/8/layout/chevron2"/>
    <dgm:cxn modelId="{0AC387D2-470A-264D-A002-0B084C418388}" type="presOf" srcId="{7438286E-8350-184E-82B3-3AAEF5F4B429}" destId="{8BDAA81E-2E4E-9C4A-9A67-4855D9BA1510}" srcOrd="0" destOrd="2" presId="urn:microsoft.com/office/officeart/2005/8/layout/chevron2"/>
    <dgm:cxn modelId="{E1DECDD5-9831-7849-9A17-870DF2541D0B}" type="presOf" srcId="{32BD5717-A9E6-DD44-A13C-12122D41F212}" destId="{DDB27B24-50BA-ED48-8BE9-4C29E6B83259}" srcOrd="0" destOrd="0" presId="urn:microsoft.com/office/officeart/2005/8/layout/chevron2"/>
    <dgm:cxn modelId="{D02AD1D6-A78F-3144-A5D9-5408CBF0FA08}" type="presOf" srcId="{EEF349EC-A16C-6E4F-8464-6BD71940F70C}" destId="{DCD4A931-4F01-F440-965B-DC25AA6FE080}" srcOrd="0" destOrd="2" presId="urn:microsoft.com/office/officeart/2005/8/layout/chevron2"/>
    <dgm:cxn modelId="{44836DE1-0FAE-1B42-AB0E-32CF2D650B23}" type="presOf" srcId="{B81682CE-3DAA-7547-977E-5CA5485D7B79}" destId="{E2DE84BA-2462-A242-AC94-46E19F99F1BB}" srcOrd="0" destOrd="3" presId="urn:microsoft.com/office/officeart/2005/8/layout/chevron2"/>
    <dgm:cxn modelId="{7E4510E4-68D3-184D-B612-D94E9D3BD9A0}" type="presOf" srcId="{46C87E74-5E28-8C46-86B1-98C82A55CBAE}" destId="{6DDDE256-1CA3-1140-A939-5530FC1F57D3}" srcOrd="0" destOrd="0" presId="urn:microsoft.com/office/officeart/2005/8/layout/chevron2"/>
    <dgm:cxn modelId="{9E8723E8-C536-5646-BBD6-BCCEBBDD2754}" type="presOf" srcId="{E8835EC0-86EE-3540-9564-983F3D69B9B0}" destId="{E2DE84BA-2462-A242-AC94-46E19F99F1BB}" srcOrd="0" destOrd="4" presId="urn:microsoft.com/office/officeart/2005/8/layout/chevron2"/>
    <dgm:cxn modelId="{E68963EC-F329-164E-BAE1-08F5395E023F}" type="presOf" srcId="{5EFAD456-F8B8-C147-9A38-D366892E8D90}" destId="{ED0EEAAD-1F9F-C445-9ED5-D61D26A0F8D1}" srcOrd="0" destOrd="0"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E360D0ED-F0AF-3C4D-B9A5-FFD4781A4420}" type="presOf" srcId="{93105CB4-0286-ED4F-915C-092EF42A9691}" destId="{CCC28DE8-0568-7547-9A1F-3C6F0F33A2CF}" srcOrd="0" destOrd="0" presId="urn:microsoft.com/office/officeart/2005/8/layout/chevron2"/>
    <dgm:cxn modelId="{BF171EF1-47E7-FD48-AF47-A494C9E84C65}" type="presOf" srcId="{318E09D1-A59D-2E4B-A3CC-C2FF16965C43}" destId="{E2DE84BA-2462-A242-AC94-46E19F99F1BB}" srcOrd="0" destOrd="1"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A3D7ACF7-2BA2-4F49-A0E0-7346B1E54F6B}" srcId="{82A06431-B147-914D-A7EE-B91B75443203}" destId="{0D5E0837-38B9-E148-BB11-F780782A29CB}" srcOrd="2" destOrd="0" parTransId="{22B50FC3-BF2E-BC48-A0D0-DF6C126E5EEE}" sibTransId="{BF3788D2-6547-5A48-A40F-C81D634AEA59}"/>
    <dgm:cxn modelId="{869D2EF8-1D60-654D-8012-80E7EEC6EDCF}" type="presOf" srcId="{82A06431-B147-914D-A7EE-B91B75443203}" destId="{31EA3204-EDC1-4F43-84C9-41DE884256E5}" srcOrd="0" destOrd="0"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27117BD5-FF46-7442-B31D-E06CF84501D7}" type="presParOf" srcId="{DDB27B24-50BA-ED48-8BE9-4C29E6B83259}" destId="{B4D05EFA-2710-E24E-95A8-E5ADA436F1BA}" srcOrd="0" destOrd="0" presId="urn:microsoft.com/office/officeart/2005/8/layout/chevron2"/>
    <dgm:cxn modelId="{85A1B416-D772-B049-A3DF-BA16425C25BC}" type="presParOf" srcId="{B4D05EFA-2710-E24E-95A8-E5ADA436F1BA}" destId="{B3EE9CE6-0ABB-F14B-8299-D4BFC2EC579D}" srcOrd="0" destOrd="0" presId="urn:microsoft.com/office/officeart/2005/8/layout/chevron2"/>
    <dgm:cxn modelId="{E52D7255-ECE9-8C47-BEDD-12BED130AA99}" type="presParOf" srcId="{B4D05EFA-2710-E24E-95A8-E5ADA436F1BA}" destId="{28826DD3-E030-6044-B2F2-D85EF85F6960}" srcOrd="1" destOrd="0" presId="urn:microsoft.com/office/officeart/2005/8/layout/chevron2"/>
    <dgm:cxn modelId="{DE9D10D5-91AA-B148-8728-90682C38A10F}" type="presParOf" srcId="{DDB27B24-50BA-ED48-8BE9-4C29E6B83259}" destId="{585C7840-A253-9640-BBF2-282E7F35583D}" srcOrd="1" destOrd="0" presId="urn:microsoft.com/office/officeart/2005/8/layout/chevron2"/>
    <dgm:cxn modelId="{3E6BB935-04CD-2845-B6FB-7385D4E13906}" type="presParOf" srcId="{DDB27B24-50BA-ED48-8BE9-4C29E6B83259}" destId="{725C6BB0-2454-F04B-AEC7-CF75FCBB3A74}" srcOrd="2" destOrd="0" presId="urn:microsoft.com/office/officeart/2005/8/layout/chevron2"/>
    <dgm:cxn modelId="{686CEF45-FEB2-F44C-8F70-D8569452A3F1}" type="presParOf" srcId="{725C6BB0-2454-F04B-AEC7-CF75FCBB3A74}" destId="{B422BFF3-8BFD-2144-8980-375702EA9496}" srcOrd="0" destOrd="0" presId="urn:microsoft.com/office/officeart/2005/8/layout/chevron2"/>
    <dgm:cxn modelId="{EB11DF18-EEC8-0447-A68A-0BEFFB3B59D2}" type="presParOf" srcId="{725C6BB0-2454-F04B-AEC7-CF75FCBB3A74}" destId="{8BDAA81E-2E4E-9C4A-9A67-4855D9BA1510}" srcOrd="1" destOrd="0" presId="urn:microsoft.com/office/officeart/2005/8/layout/chevron2"/>
    <dgm:cxn modelId="{3BEC65F5-5754-5C42-9187-0139488BFC33}" type="presParOf" srcId="{DDB27B24-50BA-ED48-8BE9-4C29E6B83259}" destId="{D756A8C3-50EB-084A-8277-DD5831B4E8C7}" srcOrd="3" destOrd="0" presId="urn:microsoft.com/office/officeart/2005/8/layout/chevron2"/>
    <dgm:cxn modelId="{A968C47E-804D-2643-89E5-0176B33195CC}" type="presParOf" srcId="{DDB27B24-50BA-ED48-8BE9-4C29E6B83259}" destId="{D669929D-DE6F-0D40-8D4A-1736805AD131}" srcOrd="4" destOrd="0" presId="urn:microsoft.com/office/officeart/2005/8/layout/chevron2"/>
    <dgm:cxn modelId="{4A074F8B-3A8F-A048-8ED7-3D018379575A}" type="presParOf" srcId="{D669929D-DE6F-0D40-8D4A-1736805AD131}" destId="{A0202F08-BEC9-8F43-8711-F30ADE817D18}" srcOrd="0" destOrd="0" presId="urn:microsoft.com/office/officeart/2005/8/layout/chevron2"/>
    <dgm:cxn modelId="{CA373A41-BD73-F845-B534-D7EDBAA95012}" type="presParOf" srcId="{D669929D-DE6F-0D40-8D4A-1736805AD131}" destId="{06B263AD-CC10-0D49-8145-0C283F585CD5}" srcOrd="1" destOrd="0" presId="urn:microsoft.com/office/officeart/2005/8/layout/chevron2"/>
    <dgm:cxn modelId="{1F0FEFFD-6EC1-4345-A116-542BCA4A7A07}" type="presParOf" srcId="{DDB27B24-50BA-ED48-8BE9-4C29E6B83259}" destId="{B5F0F139-C5B5-F942-A092-8BB086CFFEFA}" srcOrd="5" destOrd="0" presId="urn:microsoft.com/office/officeart/2005/8/layout/chevron2"/>
    <dgm:cxn modelId="{1613E854-AD49-DB4F-9963-92E9472A5C89}" type="presParOf" srcId="{DDB27B24-50BA-ED48-8BE9-4C29E6B83259}" destId="{A6A53311-4EDF-944C-B7A8-A929BD874343}" srcOrd="6" destOrd="0" presId="urn:microsoft.com/office/officeart/2005/8/layout/chevron2"/>
    <dgm:cxn modelId="{44388F7C-ABD9-6342-A334-AD16CFC4C382}" type="presParOf" srcId="{A6A53311-4EDF-944C-B7A8-A929BD874343}" destId="{31EA3204-EDC1-4F43-84C9-41DE884256E5}" srcOrd="0" destOrd="0" presId="urn:microsoft.com/office/officeart/2005/8/layout/chevron2"/>
    <dgm:cxn modelId="{4169A8BE-0D52-E942-99EA-AC681FA88117}" type="presParOf" srcId="{A6A53311-4EDF-944C-B7A8-A929BD874343}" destId="{9D5418D3-F08D-8545-87B2-2FD7B1D1031E}" srcOrd="1" destOrd="0" presId="urn:microsoft.com/office/officeart/2005/8/layout/chevron2"/>
    <dgm:cxn modelId="{850F8704-02E0-AF4D-A52E-FBC2127F79FD}" type="presParOf" srcId="{DDB27B24-50BA-ED48-8BE9-4C29E6B83259}" destId="{BD082DD2-36A2-F841-B83C-3B9BAF4B2B5C}" srcOrd="7" destOrd="0" presId="urn:microsoft.com/office/officeart/2005/8/layout/chevron2"/>
    <dgm:cxn modelId="{C4A6D41D-2E94-324A-8887-6515D12AA4DE}" type="presParOf" srcId="{DDB27B24-50BA-ED48-8BE9-4C29E6B83259}" destId="{C371305F-B72D-3C44-BB22-E50B26871DA6}" srcOrd="8" destOrd="0" presId="urn:microsoft.com/office/officeart/2005/8/layout/chevron2"/>
    <dgm:cxn modelId="{A99F2416-04A4-F043-BAD3-BE8260A54592}" type="presParOf" srcId="{C371305F-B72D-3C44-BB22-E50B26871DA6}" destId="{CCC28DE8-0568-7547-9A1F-3C6F0F33A2CF}" srcOrd="0" destOrd="0" presId="urn:microsoft.com/office/officeart/2005/8/layout/chevron2"/>
    <dgm:cxn modelId="{769DA2D2-96C5-5D49-B158-055B1AB75CD1}" type="presParOf" srcId="{C371305F-B72D-3C44-BB22-E50B26871DA6}" destId="{F1EE7E3F-25DA-8041-85A7-EBBF11BC4C56}" srcOrd="1" destOrd="0" presId="urn:microsoft.com/office/officeart/2005/8/layout/chevron2"/>
    <dgm:cxn modelId="{5AD7B3B5-EB81-A746-B106-D07170FFC2F7}" type="presParOf" srcId="{DDB27B24-50BA-ED48-8BE9-4C29E6B83259}" destId="{2C8A0FE6-3CCD-674F-87D7-C945364C8330}" srcOrd="9" destOrd="0" presId="urn:microsoft.com/office/officeart/2005/8/layout/chevron2"/>
    <dgm:cxn modelId="{11527836-4ECB-E945-9A1F-1C30640B3F39}" type="presParOf" srcId="{DDB27B24-50BA-ED48-8BE9-4C29E6B83259}" destId="{C8A774E9-C669-9C42-8FD8-567A31043E1A}" srcOrd="10" destOrd="0" presId="urn:microsoft.com/office/officeart/2005/8/layout/chevron2"/>
    <dgm:cxn modelId="{A7560CF7-C658-E54D-A97B-6DD6B82D21A7}" type="presParOf" srcId="{C8A774E9-C669-9C42-8FD8-567A31043E1A}" destId="{844AC346-AEB9-A649-8C9D-DBF2769C8FFC}" srcOrd="0" destOrd="0" presId="urn:microsoft.com/office/officeart/2005/8/layout/chevron2"/>
    <dgm:cxn modelId="{2D8CBA4B-E62F-D54C-9C32-05148AAFC6DB}" type="presParOf" srcId="{C8A774E9-C669-9C42-8FD8-567A31043E1A}" destId="{C80BEB0B-E1AB-4443-9F91-9D6894D7833E}" srcOrd="1" destOrd="0" presId="urn:microsoft.com/office/officeart/2005/8/layout/chevron2"/>
    <dgm:cxn modelId="{145D0EC0-9AED-5B44-8CE9-0D4FB22E332D}" type="presParOf" srcId="{DDB27B24-50BA-ED48-8BE9-4C29E6B83259}" destId="{59BB4FCD-F10D-9947-BE1C-B71549A60A1E}" srcOrd="11" destOrd="0" presId="urn:microsoft.com/office/officeart/2005/8/layout/chevron2"/>
    <dgm:cxn modelId="{CBEC90C4-4EFC-1E4E-A5C2-C1A2BEC9D5F8}" type="presParOf" srcId="{DDB27B24-50BA-ED48-8BE9-4C29E6B83259}" destId="{9EA93BB1-069D-5E45-B7BF-50881B2F72E6}" srcOrd="12" destOrd="0" presId="urn:microsoft.com/office/officeart/2005/8/layout/chevron2"/>
    <dgm:cxn modelId="{C87052D1-0927-8C48-9CDA-18F99EC37B80}" type="presParOf" srcId="{9EA93BB1-069D-5E45-B7BF-50881B2F72E6}" destId="{B9872B13-1174-E847-A615-29577404DF21}" srcOrd="0" destOrd="0" presId="urn:microsoft.com/office/officeart/2005/8/layout/chevron2"/>
    <dgm:cxn modelId="{A153695D-3D48-6F48-A1FE-BEFD17D0EA3C}" type="presParOf" srcId="{9EA93BB1-069D-5E45-B7BF-50881B2F72E6}" destId="{DCD4A931-4F01-F440-965B-DC25AA6FE080}" srcOrd="1" destOrd="0" presId="urn:microsoft.com/office/officeart/2005/8/layout/chevron2"/>
    <dgm:cxn modelId="{FC6C0836-8BB3-AA44-B90E-82A82C3937C8}" type="presParOf" srcId="{DDB27B24-50BA-ED48-8BE9-4C29E6B83259}" destId="{201CAB8F-4C7F-6E4E-9169-C9E7B5CBE404}" srcOrd="13" destOrd="0" presId="urn:microsoft.com/office/officeart/2005/8/layout/chevron2"/>
    <dgm:cxn modelId="{68DE9767-6D82-9F48-89A4-A1C7DD8601F7}" type="presParOf" srcId="{DDB27B24-50BA-ED48-8BE9-4C29E6B83259}" destId="{4DB1C0C4-9D1C-B74E-A61A-CE54EE94C198}" srcOrd="14" destOrd="0" presId="urn:microsoft.com/office/officeart/2005/8/layout/chevron2"/>
    <dgm:cxn modelId="{C61E61D1-290D-8C40-BE05-D9057ADCF825}" type="presParOf" srcId="{4DB1C0C4-9D1C-B74E-A61A-CE54EE94C198}" destId="{A9268813-2EA9-544F-ADDB-8D78F261871A}" srcOrd="0" destOrd="0" presId="urn:microsoft.com/office/officeart/2005/8/layout/chevron2"/>
    <dgm:cxn modelId="{AC4196A7-F37D-224C-A4C6-7C0A9CAB2457}" type="presParOf" srcId="{4DB1C0C4-9D1C-B74E-A61A-CE54EE94C198}" destId="{82480B1C-A711-4B40-9FB5-A904F6CB4084}" srcOrd="1" destOrd="0" presId="urn:microsoft.com/office/officeart/2005/8/layout/chevron2"/>
    <dgm:cxn modelId="{FCD82B7C-1871-0840-8E30-3AD2C2D6FD94}" type="presParOf" srcId="{DDB27B24-50BA-ED48-8BE9-4C29E6B83259}" destId="{99312B50-1D9B-1349-9E0D-61D5EB2B08D7}" srcOrd="15" destOrd="0" presId="urn:microsoft.com/office/officeart/2005/8/layout/chevron2"/>
    <dgm:cxn modelId="{5E841256-DD62-9146-A080-FF68D85F14C9}" type="presParOf" srcId="{DDB27B24-50BA-ED48-8BE9-4C29E6B83259}" destId="{C588B7A2-4017-6643-93CD-7EB3E7875B06}" srcOrd="16" destOrd="0" presId="urn:microsoft.com/office/officeart/2005/8/layout/chevron2"/>
    <dgm:cxn modelId="{BBF8BF9D-1540-BA4F-A95E-BFC66F324D24}" type="presParOf" srcId="{C588B7A2-4017-6643-93CD-7EB3E7875B06}" destId="{E86BF6A3-BA90-BB43-908F-24E76E7D1587}" srcOrd="0" destOrd="0" presId="urn:microsoft.com/office/officeart/2005/8/layout/chevron2"/>
    <dgm:cxn modelId="{AB53E205-9FF6-C047-B0AD-EA8F4073F526}" type="presParOf" srcId="{C588B7A2-4017-6643-93CD-7EB3E7875B06}" destId="{E2DE84BA-2462-A242-AC94-46E19F99F1BB}" srcOrd="1" destOrd="0" presId="urn:microsoft.com/office/officeart/2005/8/layout/chevron2"/>
    <dgm:cxn modelId="{6F41FEB1-ABFC-C643-944F-715F8817E1A8}" type="presParOf" srcId="{DDB27B24-50BA-ED48-8BE9-4C29E6B83259}" destId="{C2AB1E69-06F4-D043-944B-D85D9601ACA6}" srcOrd="17" destOrd="0" presId="urn:microsoft.com/office/officeart/2005/8/layout/chevron2"/>
    <dgm:cxn modelId="{D85DB744-203C-BF41-9CF9-D82ED4693B00}" type="presParOf" srcId="{DDB27B24-50BA-ED48-8BE9-4C29E6B83259}" destId="{51C6866E-9F56-9A45-ADF2-6F81F533274A}" srcOrd="18" destOrd="0" presId="urn:microsoft.com/office/officeart/2005/8/layout/chevron2"/>
    <dgm:cxn modelId="{26FD424B-40B4-CD47-8A05-AEB8CDAB2E03}" type="presParOf" srcId="{51C6866E-9F56-9A45-ADF2-6F81F533274A}" destId="{B88D95AA-AFFF-224F-9EBE-1226F2119586}" srcOrd="0" destOrd="0" presId="urn:microsoft.com/office/officeart/2005/8/layout/chevron2"/>
    <dgm:cxn modelId="{90AB8D42-938C-7E41-A934-33963BB0B333}" type="presParOf" srcId="{51C6866E-9F56-9A45-ADF2-6F81F533274A}" destId="{BC4A5DFE-0373-0044-B473-93ADEF2A2324}" srcOrd="1" destOrd="0" presId="urn:microsoft.com/office/officeart/2005/8/layout/chevron2"/>
    <dgm:cxn modelId="{820C6F0D-B2E1-1347-BDD3-9380B71BB24A}" type="presParOf" srcId="{DDB27B24-50BA-ED48-8BE9-4C29E6B83259}" destId="{01E3A2D8-2E7D-6941-B2B2-FA006E31EF08}" srcOrd="19" destOrd="0" presId="urn:microsoft.com/office/officeart/2005/8/layout/chevron2"/>
    <dgm:cxn modelId="{74CB7040-5AFE-9648-A2F4-0678E1D75EAF}" type="presParOf" srcId="{DDB27B24-50BA-ED48-8BE9-4C29E6B83259}" destId="{37D2DAC8-74EC-BF4C-831D-920A9C40B9D5}" srcOrd="20" destOrd="0" presId="urn:microsoft.com/office/officeart/2005/8/layout/chevron2"/>
    <dgm:cxn modelId="{64244D7E-76F0-2843-B4E9-DF3766A4E125}" type="presParOf" srcId="{37D2DAC8-74EC-BF4C-831D-920A9C40B9D5}" destId="{ED0EEAAD-1F9F-C445-9ED5-D61D26A0F8D1}" srcOrd="0" destOrd="0" presId="urn:microsoft.com/office/officeart/2005/8/layout/chevron2"/>
    <dgm:cxn modelId="{DDEB2703-745D-1B40-8A74-36F1F6D5B57D}" type="presParOf" srcId="{37D2DAC8-74EC-BF4C-831D-920A9C40B9D5}" destId="{C174B10A-41E6-244B-88CB-0D08E5FFF5F9}" srcOrd="1" destOrd="0" presId="urn:microsoft.com/office/officeart/2005/8/layout/chevron2"/>
    <dgm:cxn modelId="{A83DE005-4CAC-A04A-8AF8-DF4D735E3841}" type="presParOf" srcId="{DDB27B24-50BA-ED48-8BE9-4C29E6B83259}" destId="{43FB22C6-B891-E44F-B0D7-B9F71AB372F1}" srcOrd="21" destOrd="0" presId="urn:microsoft.com/office/officeart/2005/8/layout/chevron2"/>
    <dgm:cxn modelId="{DD3BBACA-A725-3146-BBE9-82335EBAC393}" type="presParOf" srcId="{DDB27B24-50BA-ED48-8BE9-4C29E6B83259}" destId="{73DF1BD6-49ED-134F-A291-CE4DB94547A9}" srcOrd="22" destOrd="0" presId="urn:microsoft.com/office/officeart/2005/8/layout/chevron2"/>
    <dgm:cxn modelId="{FD7D0236-3550-6841-A82B-8334097C6CEA}" type="presParOf" srcId="{73DF1BD6-49ED-134F-A291-CE4DB94547A9}" destId="{6DDDE256-1CA3-1140-A939-5530FC1F57D3}" srcOrd="0" destOrd="0" presId="urn:microsoft.com/office/officeart/2005/8/layout/chevron2"/>
    <dgm:cxn modelId="{54A9FE94-2E1E-9F46-9DB2-E21A31ACC4F3}" type="presParOf" srcId="{73DF1BD6-49ED-134F-A291-CE4DB94547A9}" destId="{999FDDA9-9F6A-1143-BE3C-B1E07CBE9945}" srcOrd="1" destOrd="0" presId="urn:microsoft.com/office/officeart/2005/8/layout/chevron2"/>
    <dgm:cxn modelId="{D67916B8-E80A-CC4E-99DC-435A0467BDFF}" type="presParOf" srcId="{DDB27B24-50BA-ED48-8BE9-4C29E6B83259}" destId="{A73ECDF3-49A4-0948-BD1F-387AF7BD3FC1}" srcOrd="23" destOrd="0" presId="urn:microsoft.com/office/officeart/2005/8/layout/chevron2"/>
    <dgm:cxn modelId="{D853B20A-3854-3540-951A-5B626AD6B562}" type="presParOf" srcId="{DDB27B24-50BA-ED48-8BE9-4C29E6B83259}" destId="{F2D2A481-D011-064A-92C0-32CD4D676904}" srcOrd="24" destOrd="0" presId="urn:microsoft.com/office/officeart/2005/8/layout/chevron2"/>
    <dgm:cxn modelId="{B2A06FA4-88ED-814C-B277-393B8D3871F2}" type="presParOf" srcId="{F2D2A481-D011-064A-92C0-32CD4D676904}" destId="{48AF7672-2483-B34A-B763-89BD09AEBA58}" srcOrd="0" destOrd="0" presId="urn:microsoft.com/office/officeart/2005/8/layout/chevron2"/>
    <dgm:cxn modelId="{02BD08FE-D4B7-E141-AE4A-ACDB989F751E}"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a:solidFill>
          <a:schemeClr val="accent1"/>
        </a:solidFill>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custT="1"/>
      <dgm:spPr>
        <a:noFill/>
      </dgm:spPr>
      <dgm:t>
        <a:bodyPr/>
        <a:lstStyle/>
        <a:p>
          <a:r>
            <a:rPr lang="en-US" sz="500">
              <a:solidFill>
                <a:srgbClr val="000000"/>
              </a:solidFill>
            </a:rPr>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custT="1"/>
      <dgm:spPr>
        <a:noFill/>
      </dgm:spPr>
      <dgm:t>
        <a:bodyPr/>
        <a:lstStyle/>
        <a:p>
          <a:r>
            <a:rPr lang="en-US" sz="500">
              <a:solidFill>
                <a:srgbClr val="000000"/>
              </a:solidFill>
            </a:rPr>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custT="1"/>
      <dgm:spPr>
        <a:noFill/>
      </dgm:spPr>
      <dgm:t>
        <a:bodyPr/>
        <a:lstStyle/>
        <a:p>
          <a:r>
            <a:rPr lang="en-US" sz="500">
              <a:solidFill>
                <a:srgbClr val="000000"/>
              </a:solidFill>
            </a:rPr>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custT="1"/>
      <dgm:spPr>
        <a:solidFill>
          <a:srgbClr val="800000">
            <a:alpha val="90000"/>
          </a:srgbClr>
        </a:solidFill>
      </dgm:spPr>
      <dgm:t>
        <a:bodyPr/>
        <a:lstStyle/>
        <a:p>
          <a:r>
            <a:rPr lang="en-US" sz="800">
              <a:solidFill>
                <a:schemeClr val="bg1"/>
              </a:solidFill>
            </a:rPr>
            <a:t>Conceptual framework,</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2B12944C-CA24-A446-80C3-3828047F6C7C}">
      <dgm:prSet phldrT="[Text]"/>
      <dgm:spPr/>
      <dgm:t>
        <a:bodyPr/>
        <a:lstStyle/>
        <a:p>
          <a:r>
            <a:rPr lang="en-US"/>
            <a:t>Responsibility</a:t>
          </a:r>
        </a:p>
      </dgm:t>
    </dgm:pt>
    <dgm:pt modelId="{2AE66217-8588-D942-B030-1BCCBF36EE71}" type="parTrans" cxnId="{ED90FCCD-6F14-BB4B-AF1F-3174BB5987AA}">
      <dgm:prSet/>
      <dgm:spPr/>
      <dgm:t>
        <a:bodyPr/>
        <a:lstStyle/>
        <a:p>
          <a:endParaRPr lang="en-US"/>
        </a:p>
      </dgm:t>
    </dgm:pt>
    <dgm:pt modelId="{DA610EAA-9F07-FE42-902B-FECF8B37D01E}" type="sibTrans" cxnId="{ED90FCCD-6F14-BB4B-AF1F-3174BB5987AA}">
      <dgm:prSet/>
      <dgm:spPr/>
      <dgm:t>
        <a:bodyPr/>
        <a:lstStyle/>
        <a:p>
          <a:endParaRPr lang="en-US"/>
        </a:p>
      </dgm:t>
    </dgm:pt>
    <dgm:pt modelId="{B13E58BD-E7C7-354C-9CCF-95FB448FBCF1}">
      <dgm:prSet phldrT="[Text]"/>
      <dgm:spPr/>
      <dgm:t>
        <a:bodyPr/>
        <a:lstStyle/>
        <a:p>
          <a:r>
            <a:rPr lang="en-US"/>
            <a:t>Simulation for assessment</a:t>
          </a:r>
        </a:p>
      </dgm:t>
    </dgm:pt>
    <dgm:pt modelId="{9C168733-5A96-2E4B-AF66-2AFF49A04279}" type="parTrans" cxnId="{55580466-4685-034A-BBF2-1CD94CCFFD01}">
      <dgm:prSet/>
      <dgm:spPr/>
      <dgm:t>
        <a:bodyPr/>
        <a:lstStyle/>
        <a:p>
          <a:endParaRPr lang="en-US"/>
        </a:p>
      </dgm:t>
    </dgm:pt>
    <dgm:pt modelId="{81AF8466-5E9B-7D4B-BC0C-DA95D5D7F593}" type="sibTrans" cxnId="{55580466-4685-034A-BBF2-1CD94CCFFD01}">
      <dgm:prSet/>
      <dgm:spPr/>
      <dgm:t>
        <a:bodyPr/>
        <a:lstStyle/>
        <a:p>
          <a:endParaRPr lang="en-US"/>
        </a:p>
      </dgm:t>
    </dgm:pt>
    <dgm:pt modelId="{E2A6065A-6216-3941-A093-8AC6AE3675AA}">
      <dgm:prSet phldrT="[Text]" custT="1"/>
      <dgm:spPr>
        <a:solidFill>
          <a:srgbClr val="800000">
            <a:alpha val="90000"/>
          </a:srgbClr>
        </a:solidFill>
      </dgm:spPr>
      <dgm:t>
        <a:bodyPr/>
        <a:lstStyle/>
        <a:p>
          <a:r>
            <a:rPr lang="en-US" sz="500">
              <a:solidFill>
                <a:srgbClr val="FFFFFF"/>
              </a:solidFill>
            </a:rPr>
            <a:t>8: Triangulation</a:t>
          </a:r>
        </a:p>
      </dgm:t>
    </dgm:pt>
    <dgm:pt modelId="{A795FC8A-C927-454D-A445-E05E2381AE02}" type="parTrans" cxnId="{8C74CF7D-E603-E647-BE3A-20ABD24EA63E}">
      <dgm:prSet/>
      <dgm:spPr/>
      <dgm:t>
        <a:bodyPr/>
        <a:lstStyle/>
        <a:p>
          <a:endParaRPr lang="en-US"/>
        </a:p>
      </dgm:t>
    </dgm:pt>
    <dgm:pt modelId="{3A78F50A-304B-6849-A1F5-0FA549A34A5B}" type="sibTrans" cxnId="{8C74CF7D-E603-E647-BE3A-20ABD24EA63E}">
      <dgm:prSet/>
      <dgm:spPr/>
      <dgm:t>
        <a:bodyPr/>
        <a:lstStyle/>
        <a:p>
          <a:endParaRPr lang="en-US"/>
        </a:p>
      </dgm:t>
    </dgm:pt>
    <dgm:pt modelId="{A2C1D073-323E-BD4F-9E4D-B69A2FDA9A92}">
      <dgm:prSet phldrT="[Text]" custT="1"/>
      <dgm:spPr>
        <a:solidFill>
          <a:srgbClr val="800000">
            <a:alpha val="90000"/>
          </a:srgbClr>
        </a:solidFill>
      </dgm:spPr>
      <dgm:t>
        <a:bodyPr/>
        <a:lstStyle/>
        <a:p>
          <a:r>
            <a:rPr lang="en-US" sz="800">
              <a:solidFill>
                <a:schemeClr val="bg1"/>
              </a:solidFill>
            </a:rPr>
            <a:t>Implications for practice</a:t>
          </a:r>
        </a:p>
      </dgm:t>
    </dgm:pt>
    <dgm:pt modelId="{EB5F9041-740B-DF4C-936D-9C9795523EE8}" type="parTrans" cxnId="{7CCCE20A-3178-CF4B-9245-2E87DAEF66A5}">
      <dgm:prSet/>
      <dgm:spPr/>
    </dgm:pt>
    <dgm:pt modelId="{39C9E77B-B51F-9444-BB5E-5ED1DC999997}" type="sibTrans" cxnId="{7CCCE20A-3178-CF4B-9245-2E87DAEF66A5}">
      <dgm:prSet/>
      <dgm:spPr/>
    </dgm:pt>
    <dgm:pt modelId="{3D17E947-5590-194E-A7BA-4DC7208FB3E0}">
      <dgm:prSet phldrT="[Text]" custT="1"/>
      <dgm:spPr>
        <a:solidFill>
          <a:srgbClr val="800000">
            <a:alpha val="90000"/>
          </a:srgbClr>
        </a:solidFill>
      </dgm:spPr>
      <dgm:t>
        <a:bodyPr/>
        <a:lstStyle/>
        <a:p>
          <a:r>
            <a:rPr lang="en-US" sz="800">
              <a:solidFill>
                <a:schemeClr val="bg1"/>
              </a:solidFill>
            </a:rPr>
            <a:t>Conclusions</a:t>
          </a:r>
        </a:p>
      </dgm:t>
    </dgm:pt>
    <dgm:pt modelId="{5BA375C7-1D34-1942-B412-4DC0F6EA730A}" type="parTrans" cxnId="{53CEAEEA-CB5D-E64D-86CB-312E15EC461E}">
      <dgm:prSet/>
      <dgm:spPr/>
    </dgm:pt>
    <dgm:pt modelId="{4FF9A461-C481-F245-861B-CCB1EF113F9C}" type="sibTrans" cxnId="{53CEAEEA-CB5D-E64D-86CB-312E15EC461E}">
      <dgm:prSet/>
      <dgm:spPr/>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37090651-8A55-014B-A963-1EE8A0BF442E}" type="pres">
      <dgm:prSet presAssocID="{E2A6065A-6216-3941-A093-8AC6AE3675AA}" presName="composite" presStyleCnt="0"/>
      <dgm:spPr/>
    </dgm:pt>
    <dgm:pt modelId="{FBC92F2D-7F37-C24B-BFEF-CC15867C46D4}" type="pres">
      <dgm:prSet presAssocID="{E2A6065A-6216-3941-A093-8AC6AE3675AA}" presName="parentText" presStyleLbl="alignNode1" presStyleIdx="7" presStyleCnt="13">
        <dgm:presLayoutVars>
          <dgm:chMax val="1"/>
          <dgm:bulletEnabled val="1"/>
        </dgm:presLayoutVars>
      </dgm:prSet>
      <dgm:spPr/>
    </dgm:pt>
    <dgm:pt modelId="{E9487058-CF28-FD44-B9C2-31F73470FB7B}" type="pres">
      <dgm:prSet presAssocID="{E2A6065A-6216-3941-A093-8AC6AE3675AA}" presName="descendantText" presStyleLbl="alignAcc1" presStyleIdx="7" presStyleCnt="13">
        <dgm:presLayoutVars>
          <dgm:bulletEnabled val="1"/>
        </dgm:presLayoutVars>
      </dgm:prSet>
      <dgm:spPr/>
    </dgm:pt>
    <dgm:pt modelId="{5CDA2E69-01D1-E24F-BBCD-D61A38EBA365}" type="pres">
      <dgm:prSet presAssocID="{3A78F50A-304B-6849-A1F5-0FA549A34A5B}"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E13DCA00-B676-DB43-B328-A1A392BB3370}" type="presOf" srcId="{555C02C0-6BC9-D540-8A82-3666CC61D37F}" destId="{DCD4A931-4F01-F440-965B-DC25AA6FE080}" srcOrd="0" destOrd="0" presId="urn:microsoft.com/office/officeart/2005/8/layout/chevron2"/>
    <dgm:cxn modelId="{74407804-0CE0-EA46-8E81-B15BB78585AA}" type="presOf" srcId="{93105CB4-0286-ED4F-915C-092EF42A9691}" destId="{CCC28DE8-0568-7547-9A1F-3C6F0F33A2CF}" srcOrd="0" destOrd="0" presId="urn:microsoft.com/office/officeart/2005/8/layout/chevron2"/>
    <dgm:cxn modelId="{0E634E09-3740-3E44-8EB2-FE70B202C7A4}" type="presOf" srcId="{B13E58BD-E7C7-354C-9CCF-95FB448FBCF1}" destId="{C174B10A-41E6-244B-88CB-0D08E5FFF5F9}" srcOrd="0" destOrd="2" presId="urn:microsoft.com/office/officeart/2005/8/layout/chevron2"/>
    <dgm:cxn modelId="{B881A209-23F4-B04F-8378-6031F63807F4}" type="presOf" srcId="{4E401C2C-4000-C040-828A-EB0D5B3F70BC}" destId="{8BDAA81E-2E4E-9C4A-9A67-4855D9BA1510}" srcOrd="0" destOrd="1" presId="urn:microsoft.com/office/officeart/2005/8/layout/chevron2"/>
    <dgm:cxn modelId="{7CCCE20A-3178-CF4B-9245-2E87DAEF66A5}" srcId="{E2A6065A-6216-3941-A093-8AC6AE3675AA}" destId="{A2C1D073-323E-BD4F-9E4D-B69A2FDA9A92}" srcOrd="1" destOrd="0" parTransId="{EB5F9041-740B-DF4C-936D-9C9795523EE8}" sibTransId="{39C9E77B-B51F-9444-BB5E-5ED1DC999997}"/>
    <dgm:cxn modelId="{7A71B50D-4012-F24D-89AF-53997462B6CE}" type="presOf" srcId="{2D2AF18A-8B4F-6F43-ABC1-76E3735A0A2A}" destId="{BC4A5DFE-0373-0044-B473-93ADEF2A2324}" srcOrd="0" destOrd="0" presId="urn:microsoft.com/office/officeart/2005/8/layout/chevron2"/>
    <dgm:cxn modelId="{D81E8B0E-38A4-5F49-801A-01DBE3436C73}" type="presOf" srcId="{2B12944C-CA24-A446-80C3-3828047F6C7C}" destId="{C174B10A-41E6-244B-88CB-0D08E5FFF5F9}" srcOrd="0" destOrd="1"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BCFAD011-9E14-3144-A6F4-691604D20DBD}" type="presOf" srcId="{2725BEFC-24C3-E145-86F8-460B0C16124D}" destId="{8BDAA81E-2E4E-9C4A-9A67-4855D9BA1510}" srcOrd="0" destOrd="0" presId="urn:microsoft.com/office/officeart/2005/8/layout/chevron2"/>
    <dgm:cxn modelId="{9737A014-77AA-2343-9EF8-1AB62E400960}" srcId="{E2A6065A-6216-3941-A093-8AC6AE3675AA}" destId="{0B5EEED9-AADF-5646-A4EE-16C7E3C5048F}" srcOrd="0" destOrd="0" parTransId="{5F63AFFB-8796-8145-8196-16BA65A8913E}" sibTransId="{6369732A-4608-D04B-9932-9F2E14769A9F}"/>
    <dgm:cxn modelId="{1F34D314-D590-6E4D-8339-754FD14FD8A7}" type="presOf" srcId="{3F3526C7-6ED1-AA46-BF20-1B9948A084E5}" destId="{06B263AD-CC10-0D49-8145-0C283F585CD5}" srcOrd="0" destOrd="2" presId="urn:microsoft.com/office/officeart/2005/8/layout/chevron2"/>
    <dgm:cxn modelId="{9ECCE115-98FE-8F47-8BE8-ADD46C882330}" type="presOf" srcId="{A2C1D073-323E-BD4F-9E4D-B69A2FDA9A92}" destId="{E9487058-CF28-FD44-B9C2-31F73470FB7B}" srcOrd="0" destOrd="1" presId="urn:microsoft.com/office/officeart/2005/8/layout/chevron2"/>
    <dgm:cxn modelId="{D7084D16-FCEE-F841-ABFB-C7206853D2AC}" type="presOf" srcId="{32BD5717-A9E6-DD44-A13C-12122D41F212}" destId="{DDB27B24-50BA-ED48-8BE9-4C29E6B83259}" srcOrd="0" destOrd="0" presId="urn:microsoft.com/office/officeart/2005/8/layout/chevron2"/>
    <dgm:cxn modelId="{425A741B-9872-3A46-B4DA-D764BFE4CD8B}" srcId="{32BD5717-A9E6-DD44-A13C-12122D41F212}" destId="{182D19B6-9968-F54C-9803-98CF32A9110D}" srcOrd="8" destOrd="0" parTransId="{19120E65-5B26-BC4A-9EFF-5512A25AEB14}" sibTransId="{259ED567-5FE2-2F45-B806-60F8702E00F5}"/>
    <dgm:cxn modelId="{C83F241C-2A54-5347-AEF1-91C6E024ED5E}" type="presOf" srcId="{5EFAD456-F8B8-C147-9A38-D366892E8D90}" destId="{ED0EEAAD-1F9F-C445-9ED5-D61D26A0F8D1}" srcOrd="0" destOrd="0" presId="urn:microsoft.com/office/officeart/2005/8/layout/chevron2"/>
    <dgm:cxn modelId="{05391024-B3C2-664B-9F21-E943C7769B4A}" type="presOf" srcId="{332543FB-BB1C-DE43-B140-C2BB789BBCB2}" destId="{B422BFF3-8BFD-2144-8980-375702EA9496}" srcOrd="0" destOrd="0"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9E1AE025-ABCB-554C-AEC5-86A85B2B9AE4}" type="presOf" srcId="{E2A6065A-6216-3941-A093-8AC6AE3675AA}" destId="{FBC92F2D-7F37-C24B-BFEF-CC15867C46D4}" srcOrd="0" destOrd="0"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789D3D31-A1BE-5D42-85EC-D8F31B8AF2A3}" srcId="{8A942072-3D9B-2043-8B2E-11E707170D7E}" destId="{CF8D6B60-3FEF-0048-B019-B0883DEB78C2}" srcOrd="1" destOrd="0" parTransId="{3FE0B1FC-3E46-8B4F-9B8A-371FE47D7A6F}" sibTransId="{843A5592-19B0-734C-A097-D96F74C7FECB}"/>
    <dgm:cxn modelId="{28820A32-4891-BE42-B6F3-B0D57855B112}" type="presOf" srcId="{34B9CBCA-90AD-D946-B26E-3A6E60BB731E}" destId="{B9872B13-1174-E847-A615-29577404DF21}" srcOrd="0" destOrd="0" presId="urn:microsoft.com/office/officeart/2005/8/layout/chevron2"/>
    <dgm:cxn modelId="{AC9D8B35-3E35-964E-B49F-8C40FB3AF24D}" srcId="{182D19B6-9968-F54C-9803-98CF32A9110D}" destId="{E8835EC0-86EE-3540-9564-983F3D69B9B0}" srcOrd="4" destOrd="0" parTransId="{3507EF78-030C-2546-8CBB-075D7261FCDE}" sibTransId="{7BBE6FC9-195F-5E44-BEAA-03BE4D719D22}"/>
    <dgm:cxn modelId="{6E195836-7064-7F48-BD94-E9F030F8B208}" type="presOf" srcId="{3D17E947-5590-194E-A7BA-4DC7208FB3E0}" destId="{E9487058-CF28-FD44-B9C2-31F73470FB7B}" srcOrd="0" destOrd="2" presId="urn:microsoft.com/office/officeart/2005/8/layout/chevron2"/>
    <dgm:cxn modelId="{C67DC537-D4CA-2944-8330-96C6C74E0394}" srcId="{32BD5717-A9E6-DD44-A13C-12122D41F212}" destId="{34B9CBCA-90AD-D946-B26E-3A6E60BB731E}" srcOrd="6" destOrd="0" parTransId="{9332FC5B-2DEC-D146-AE72-41CD6249A702}" sibTransId="{1031D2A7-8DEF-E945-AA90-68FD6C34AE2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C640433F-A1D8-BE48-8D79-2179ABAC41CA}" type="presOf" srcId="{0D347524-7007-BE43-81AE-44B5DE652093}" destId="{28826DD3-E030-6044-B2F2-D85EF85F6960}" srcOrd="0" destOrd="1" presId="urn:microsoft.com/office/officeart/2005/8/layout/chevron2"/>
    <dgm:cxn modelId="{4160FA3F-5D40-9541-8B69-AC9DD6BDA728}" type="presOf" srcId="{125C0A60-1A53-5F41-A8F9-BD71D1144F62}" destId="{C80BEB0B-E1AB-4443-9F91-9D6894D7833E}" srcOrd="0" destOrd="0" presId="urn:microsoft.com/office/officeart/2005/8/layout/chevron2"/>
    <dgm:cxn modelId="{245BCA40-025E-3E4E-A497-A0EFCDDC25C1}" srcId="{82A06431-B147-914D-A7EE-B91B75443203}" destId="{65337D44-9B2C-044E-AEF9-F665764413CE}" srcOrd="0" destOrd="0" parTransId="{8263CB8A-2179-EA47-A0B9-C16619EE08D6}" sibTransId="{D95EDDE2-EB68-4C45-BB0E-BC77264A5A49}"/>
    <dgm:cxn modelId="{29F1DC5F-33A1-9749-982D-6744E20F40D4}" type="presOf" srcId="{46C87E74-5E28-8C46-86B1-98C82A55CBAE}" destId="{6DDDE256-1CA3-1140-A939-5530FC1F57D3}" srcOrd="0" destOrd="0" presId="urn:microsoft.com/office/officeart/2005/8/layout/chevron2"/>
    <dgm:cxn modelId="{C6752E61-36AD-184F-A773-1576E228B199}" type="presOf" srcId="{C458704A-A6F3-A24F-B50F-7B434CD11794}" destId="{28826DD3-E030-6044-B2F2-D85EF85F6960}" srcOrd="0" destOrd="2" presId="urn:microsoft.com/office/officeart/2005/8/layout/chevron2"/>
    <dgm:cxn modelId="{CF505165-69D2-6944-A1C8-E63C67B20409}" type="presOf" srcId="{E8835EC0-86EE-3540-9564-983F3D69B9B0}" destId="{E2DE84BA-2462-A242-AC94-46E19F99F1BB}" srcOrd="0" destOrd="4" presId="urn:microsoft.com/office/officeart/2005/8/layout/chevron2"/>
    <dgm:cxn modelId="{55580466-4685-034A-BBF2-1CD94CCFFD01}" srcId="{5EFAD456-F8B8-C147-9A38-D366892E8D90}" destId="{B13E58BD-E7C7-354C-9CCF-95FB448FBCF1}" srcOrd="2" destOrd="0" parTransId="{9C168733-5A96-2E4B-AF66-2AFF49A04279}" sibTransId="{81AF8466-5E9B-7D4B-BC0C-DA95D5D7F593}"/>
    <dgm:cxn modelId="{32010E68-3013-7142-996B-89B8FAE0160A}" type="presOf" srcId="{61A2BB49-4883-F544-A634-4207B0324D62}" destId="{06B263AD-CC10-0D49-8145-0C283F585CD5}" srcOrd="0" destOrd="0"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8B700D69-62C5-F143-996A-00608071DD89}" type="presOf" srcId="{7438286E-8350-184E-82B3-3AAEF5F4B429}" destId="{8BDAA81E-2E4E-9C4A-9A67-4855D9BA1510}" srcOrd="0" destOrd="2" presId="urn:microsoft.com/office/officeart/2005/8/layout/chevron2"/>
    <dgm:cxn modelId="{7BFC9C6A-2437-D24F-B986-39DC3950C009}" srcId="{32BD5717-A9E6-DD44-A13C-12122D41F212}" destId="{332543FB-BB1C-DE43-B140-C2BB789BBCB2}" srcOrd="1" destOrd="0" parTransId="{E83559AB-8184-B94E-AA65-4420DE3012DF}" sibTransId="{9F0DECA5-F8B9-2F49-B9A7-32EB3AD7D8C5}"/>
    <dgm:cxn modelId="{8E062E4D-AA93-CB44-A0AC-F749EB20F43A}" srcId="{32BD5717-A9E6-DD44-A13C-12122D41F212}" destId="{82A06431-B147-914D-A7EE-B91B75443203}" srcOrd="3" destOrd="0" parTransId="{13C96808-67BD-174F-B855-16ACA3400941}" sibTransId="{2927117D-194C-1341-932F-5623EB513890}"/>
    <dgm:cxn modelId="{0786304F-85B9-B647-8589-CD6AE9AC3769}" type="presOf" srcId="{0B5EEED9-AADF-5646-A4EE-16C7E3C5048F}" destId="{E9487058-CF28-FD44-B9C2-31F73470FB7B}" srcOrd="0" destOrd="0"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EBCA7454-0A4D-574C-AF9E-ACF2192F6A69}" srcId="{34B9CBCA-90AD-D946-B26E-3A6E60BB731E}" destId="{EEF349EC-A16C-6E4F-8464-6BD71940F70C}" srcOrd="2" destOrd="0" parTransId="{4EF4EBD5-8084-7D4A-BB5E-4EF2C5C94F99}" sibTransId="{A325D897-3CF3-2444-BCE0-FB27A2B93D02}"/>
    <dgm:cxn modelId="{E3F21856-9011-3743-A314-05B0BED9DC6D}" type="presOf" srcId="{817AAD11-541C-8040-B8E6-60D63F44FF6E}" destId="{DCD4A931-4F01-F440-965B-DC25AA6FE080}" srcOrd="0" destOrd="1" presId="urn:microsoft.com/office/officeart/2005/8/layout/chevron2"/>
    <dgm:cxn modelId="{7CCA3577-052A-E54E-8A65-B79C9D3D7282}" srcId="{32BD5717-A9E6-DD44-A13C-12122D41F212}" destId="{5EFAD456-F8B8-C147-9A38-D366892E8D90}" srcOrd="10" destOrd="0" parTransId="{AEC4A29C-080E-714E-8C55-A165817C6F84}" sibTransId="{69AAF0EB-9438-D048-8CCB-3ADC0E6ED07B}"/>
    <dgm:cxn modelId="{A9F5CC58-27FC-D74B-9138-B44EA062E71B}" type="presOf" srcId="{A8C6C2DC-42DC-4841-8B38-6F4C4E8905E8}" destId="{B88D95AA-AFFF-224F-9EBE-1226F2119586}" srcOrd="0" destOrd="0" presId="urn:microsoft.com/office/officeart/2005/8/layout/chevron2"/>
    <dgm:cxn modelId="{7DD6DF59-2A6F-0640-9686-7E509E8E0459}" type="presOf" srcId="{CF8D6B60-3FEF-0048-B019-B0883DEB78C2}" destId="{06B263AD-CC10-0D49-8145-0C283F585CD5}" srcOrd="0" destOrd="1" presId="urn:microsoft.com/office/officeart/2005/8/layout/chevron2"/>
    <dgm:cxn modelId="{941CFF7A-D638-8A4B-8278-95DAB8637AEE}" srcId="{32BD5717-A9E6-DD44-A13C-12122D41F212}" destId="{8A942072-3D9B-2043-8B2E-11E707170D7E}" srcOrd="2"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8C74CF7D-E603-E647-BE3A-20ABD24EA63E}" srcId="{32BD5717-A9E6-DD44-A13C-12122D41F212}" destId="{E2A6065A-6216-3941-A093-8AC6AE3675AA}" srcOrd="7" destOrd="0" parTransId="{A795FC8A-C927-454D-A445-E05E2381AE02}" sibTransId="{3A78F50A-304B-6849-A1F5-0FA549A34A5B}"/>
    <dgm:cxn modelId="{C2637380-4378-9541-964A-D6E21D69FAFC}" srcId="{34B9CBCA-90AD-D946-B26E-3A6E60BB731E}" destId="{817AAD11-541C-8040-B8E6-60D63F44FF6E}" srcOrd="1" destOrd="0" parTransId="{820D5C7D-3565-B841-B802-D79FD186F3F0}" sibTransId="{DBDC58F4-53C2-3143-8B2E-16E385E444FB}"/>
    <dgm:cxn modelId="{2058F182-8549-FD44-B4C8-0C20EE227019}" type="presOf" srcId="{318E09D1-A59D-2E4B-A3CC-C2FF16965C43}" destId="{E2DE84BA-2462-A242-AC94-46E19F99F1BB}" srcOrd="0" destOrd="1" presId="urn:microsoft.com/office/officeart/2005/8/layout/chevron2"/>
    <dgm:cxn modelId="{154B7084-DCDB-7644-8D74-178D087FFFA4}" type="presOf" srcId="{6AEE21D3-4CB1-7443-AC17-5D71D849EEF3}" destId="{28826DD3-E030-6044-B2F2-D85EF85F6960}" srcOrd="0" destOrd="0" presId="urn:microsoft.com/office/officeart/2005/8/layout/chevron2"/>
    <dgm:cxn modelId="{05391F85-BE77-704A-AAC0-2BF93F8DA4E9}" type="presOf" srcId="{8A942072-3D9B-2043-8B2E-11E707170D7E}" destId="{A0202F08-BEC9-8F43-8711-F30ADE817D18}"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06495397-CAFB-8346-B6DD-C62B8755406E}" srcId="{93105CB4-0286-ED4F-915C-092EF42A9691}" destId="{14C4AACB-BBED-FD43-880C-31C843F0061A}" srcOrd="1" destOrd="0" parTransId="{DFED4DE2-2306-C34E-907E-763B913F06DC}" sibTransId="{8C3CD2B7-B9B1-6B48-BD9C-4F4D55283F81}"/>
    <dgm:cxn modelId="{C2A5ACA1-F1A9-1347-BEAB-34809B48CF85}" srcId="{32BD5717-A9E6-DD44-A13C-12122D41F212}" destId="{46C87E74-5E28-8C46-86B1-98C82A55CBAE}" srcOrd="11" destOrd="0" parTransId="{2A9B7400-96EA-AD40-9D11-2744CE1FE9E5}" sibTransId="{04801474-7BFD-AC4B-9CCF-28521DEC6DB6}"/>
    <dgm:cxn modelId="{DAF703A2-6E54-FD44-B2D7-4305CB552A28}" type="presOf" srcId="{18ABC2A5-DCE7-414C-AE08-6EAE4EA2FE6D}" destId="{E2DE84BA-2462-A242-AC94-46E19F99F1BB}" srcOrd="0" destOrd="2" presId="urn:microsoft.com/office/officeart/2005/8/layout/chevron2"/>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A710ACA8-0C3C-5940-BBB5-B85341F9C5AD}" type="presOf" srcId="{14C4AACB-BBED-FD43-880C-31C843F0061A}" destId="{F1EE7E3F-25DA-8041-85A7-EBBF11BC4C56}" srcOrd="0" destOrd="1" presId="urn:microsoft.com/office/officeart/2005/8/layout/chevron2"/>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4" destOrd="0" parTransId="{A4EA5788-EDE5-E443-B24A-EA951734FC41}" sibTransId="{72453AAB-5C0D-2D49-B812-AF99508E8E00}"/>
    <dgm:cxn modelId="{977117B0-015B-AE45-A3FF-51739A98A460}" type="presOf" srcId="{3528BF8B-944A-1B4D-ADBB-12D941C8C388}" destId="{E2DE84BA-2462-A242-AC94-46E19F99F1BB}" srcOrd="0" destOrd="0" presId="urn:microsoft.com/office/officeart/2005/8/layout/chevron2"/>
    <dgm:cxn modelId="{DD7C6CB0-2C2E-5042-BD4F-D8F2410E4CD8}" type="presOf" srcId="{387817B1-B48E-804E-9741-307C0F8B2DA9}" destId="{BC4A5DFE-0373-0044-B473-93ADEF2A2324}" srcOrd="0" destOrd="1" presId="urn:microsoft.com/office/officeart/2005/8/layout/chevron2"/>
    <dgm:cxn modelId="{B28BE7B6-5AFC-984D-BEA8-C9054AC166AD}" type="presOf" srcId="{D4381A80-7F1D-9D4D-8093-B3E6A2F1CFCA}" destId="{9D5418D3-F08D-8545-87B2-2FD7B1D1031E}" srcOrd="0" destOrd="1" presId="urn:microsoft.com/office/officeart/2005/8/layout/chevron2"/>
    <dgm:cxn modelId="{E88898BE-6D14-DE45-B5C8-1B740D5CBCBB}" type="presOf" srcId="{1EC7AB78-D724-324B-BD90-FC58EF6E0357}" destId="{48AF7672-2483-B34A-B763-89BD09AEBA58}" srcOrd="0" destOrd="0" presId="urn:microsoft.com/office/officeart/2005/8/layout/chevron2"/>
    <dgm:cxn modelId="{D0B5B2BE-D79C-FC47-B1CB-63795AF1D1DD}" type="presOf" srcId="{65337D44-9B2C-044E-AEF9-F665764413CE}" destId="{9D5418D3-F08D-8545-87B2-2FD7B1D1031E}" srcOrd="0" destOrd="0" presId="urn:microsoft.com/office/officeart/2005/8/layout/chevron2"/>
    <dgm:cxn modelId="{5554C3C0-2310-7144-8D7E-3BFCD7AE21C2}" type="presOf" srcId="{718C1A72-EF39-DD4E-BFDE-F45DD7D520FB}" destId="{B3EE9CE6-0ABB-F14B-8299-D4BFC2EC579D}" srcOrd="0" destOrd="0" presId="urn:microsoft.com/office/officeart/2005/8/layout/chevron2"/>
    <dgm:cxn modelId="{7758DFC3-8AF1-9C4E-9E59-BA7068460078}" type="presOf" srcId="{EEF349EC-A16C-6E4F-8464-6BD71940F70C}" destId="{DCD4A931-4F01-F440-965B-DC25AA6FE080}" srcOrd="0" destOrd="2"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D2B11DCA-B529-2F49-A0F7-1C65FFA1B07A}" type="presOf" srcId="{BE8AC978-0FAD-5E4D-B281-1B7DC61EC809}" destId="{C80BEB0B-E1AB-4443-9F91-9D6894D7833E}" srcOrd="0" destOrd="1" presId="urn:microsoft.com/office/officeart/2005/8/layout/chevron2"/>
    <dgm:cxn modelId="{325F10CD-848E-9F44-A3E1-5F27B1483537}" type="presOf" srcId="{AB849386-BBEF-244B-A2A1-1BE27622D72F}" destId="{844AC346-AEB9-A649-8C9D-DBF2769C8FFC}" srcOrd="0" destOrd="0" presId="urn:microsoft.com/office/officeart/2005/8/layout/chevron2"/>
    <dgm:cxn modelId="{EC1A15CD-C6C5-0046-867A-F8EA9FB16F02}" type="presOf" srcId="{B81682CE-3DAA-7547-977E-5CA5485D7B79}" destId="{E2DE84BA-2462-A242-AC94-46E19F99F1BB}" srcOrd="0" destOrd="3" presId="urn:microsoft.com/office/officeart/2005/8/layout/chevron2"/>
    <dgm:cxn modelId="{ED90FCCD-6F14-BB4B-AF1F-3174BB5987AA}" srcId="{5EFAD456-F8B8-C147-9A38-D366892E8D90}" destId="{2B12944C-CA24-A446-80C3-3828047F6C7C}" srcOrd="1" destOrd="0" parTransId="{2AE66217-8588-D942-B030-1BCCBF36EE71}" sibTransId="{DA610EAA-9F07-FE42-902B-FECF8B37D01E}"/>
    <dgm:cxn modelId="{E2F329CF-5D02-3241-B348-50CB30650C25}" srcId="{182D19B6-9968-F54C-9803-98CF32A9110D}" destId="{318E09D1-A59D-2E4B-A3CC-C2FF16965C43}" srcOrd="1" destOrd="0" parTransId="{692F5075-8AA7-1545-9821-5B796547FE98}" sibTransId="{C3BC74F0-F4E6-BD4C-8197-893C2058CDAE}"/>
    <dgm:cxn modelId="{D72E79D9-9224-AC49-A34D-E0FBF8667DE0}" type="presOf" srcId="{A177B3ED-63C5-3348-B066-3691D8643EDE}" destId="{F1EE7E3F-25DA-8041-85A7-EBBF11BC4C56}" srcOrd="0" destOrd="0" presId="urn:microsoft.com/office/officeart/2005/8/layout/chevron2"/>
    <dgm:cxn modelId="{38092EDA-3FDB-DE46-A42C-F173687C2AC7}" type="presOf" srcId="{EE4687FF-DC98-3D4A-8B1D-75DD628798CF}" destId="{BC4A5DFE-0373-0044-B473-93ADEF2A2324}" srcOrd="0" destOrd="2" presId="urn:microsoft.com/office/officeart/2005/8/layout/chevron2"/>
    <dgm:cxn modelId="{D2FDF2E9-F409-1C4C-9BE2-5E00A209EF5D}" type="presOf" srcId="{E6055D9E-1DDE-A243-A8F6-5CDF160A3724}" destId="{C174B10A-41E6-244B-88CB-0D08E5FFF5F9}" srcOrd="0" destOrd="0" presId="urn:microsoft.com/office/officeart/2005/8/layout/chevron2"/>
    <dgm:cxn modelId="{53CEAEEA-CB5D-E64D-86CB-312E15EC461E}" srcId="{E2A6065A-6216-3941-A093-8AC6AE3675AA}" destId="{3D17E947-5590-194E-A7BA-4DC7208FB3E0}" srcOrd="2" destOrd="0" parTransId="{5BA375C7-1D34-1942-B412-4DC0F6EA730A}" sibTransId="{4FF9A461-C481-F245-861B-CCB1EF113F9C}"/>
    <dgm:cxn modelId="{7A5B92EC-2DF6-4646-AFCC-84FF4032C496}" srcId="{32BD5717-A9E6-DD44-A13C-12122D41F212}" destId="{AB849386-BBEF-244B-A2A1-1BE27622D72F}" srcOrd="5" destOrd="0" parTransId="{5EF8B0E9-7943-9A42-86BC-C712E57D9428}" sibTransId="{C3910501-0EE6-C14B-801E-3128A43B34A7}"/>
    <dgm:cxn modelId="{579A2DF0-8396-CE4B-83DF-9BE74BE07260}" type="presOf" srcId="{182D19B6-9968-F54C-9803-98CF32A9110D}" destId="{E86BF6A3-BA90-BB43-908F-24E76E7D1587}" srcOrd="0" destOrd="0" presId="urn:microsoft.com/office/officeart/2005/8/layout/chevron2"/>
    <dgm:cxn modelId="{271D06F2-EB7E-7649-8068-9E22B6210690}" type="presOf" srcId="{0D5E0837-38B9-E148-BB11-F780782A29CB}" destId="{9D5418D3-F08D-8545-87B2-2FD7B1D1031E}" srcOrd="0" destOrd="2"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A3D7ACF7-2BA2-4F49-A0E0-7346B1E54F6B}" srcId="{82A06431-B147-914D-A7EE-B91B75443203}" destId="{0D5E0837-38B9-E148-BB11-F780782A29CB}" srcOrd="2" destOrd="0" parTransId="{22B50FC3-BF2E-BC48-A0D0-DF6C126E5EEE}" sibTransId="{BF3788D2-6547-5A48-A40F-C81D634AEA59}"/>
    <dgm:cxn modelId="{A36475FB-6931-194C-868B-BA3436C8F831}" type="presOf" srcId="{82A06431-B147-914D-A7EE-B91B75443203}" destId="{31EA3204-EDC1-4F43-84C9-41DE884256E5}" srcOrd="0" destOrd="0"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814FD295-B990-D649-9CBF-4297B7806614}" type="presParOf" srcId="{DDB27B24-50BA-ED48-8BE9-4C29E6B83259}" destId="{B4D05EFA-2710-E24E-95A8-E5ADA436F1BA}" srcOrd="0" destOrd="0" presId="urn:microsoft.com/office/officeart/2005/8/layout/chevron2"/>
    <dgm:cxn modelId="{95869DA5-F087-9D45-9B86-7E4A4BAAAADF}" type="presParOf" srcId="{B4D05EFA-2710-E24E-95A8-E5ADA436F1BA}" destId="{B3EE9CE6-0ABB-F14B-8299-D4BFC2EC579D}" srcOrd="0" destOrd="0" presId="urn:microsoft.com/office/officeart/2005/8/layout/chevron2"/>
    <dgm:cxn modelId="{8E59DFF7-19D8-4C4F-B6A1-0CA416512BEA}" type="presParOf" srcId="{B4D05EFA-2710-E24E-95A8-E5ADA436F1BA}" destId="{28826DD3-E030-6044-B2F2-D85EF85F6960}" srcOrd="1" destOrd="0" presId="urn:microsoft.com/office/officeart/2005/8/layout/chevron2"/>
    <dgm:cxn modelId="{B259777A-E3D9-8F4F-A011-FCFD0CA56CAB}" type="presParOf" srcId="{DDB27B24-50BA-ED48-8BE9-4C29E6B83259}" destId="{585C7840-A253-9640-BBF2-282E7F35583D}" srcOrd="1" destOrd="0" presId="urn:microsoft.com/office/officeart/2005/8/layout/chevron2"/>
    <dgm:cxn modelId="{B9E6220C-5E53-784D-97BE-36560F7F61A1}" type="presParOf" srcId="{DDB27B24-50BA-ED48-8BE9-4C29E6B83259}" destId="{725C6BB0-2454-F04B-AEC7-CF75FCBB3A74}" srcOrd="2" destOrd="0" presId="urn:microsoft.com/office/officeart/2005/8/layout/chevron2"/>
    <dgm:cxn modelId="{4F391433-D37B-B240-9E45-5CDAA3022FF5}" type="presParOf" srcId="{725C6BB0-2454-F04B-AEC7-CF75FCBB3A74}" destId="{B422BFF3-8BFD-2144-8980-375702EA9496}" srcOrd="0" destOrd="0" presId="urn:microsoft.com/office/officeart/2005/8/layout/chevron2"/>
    <dgm:cxn modelId="{AA49A28D-7BA5-3F48-8BF3-E20C323B79FC}" type="presParOf" srcId="{725C6BB0-2454-F04B-AEC7-CF75FCBB3A74}" destId="{8BDAA81E-2E4E-9C4A-9A67-4855D9BA1510}" srcOrd="1" destOrd="0" presId="urn:microsoft.com/office/officeart/2005/8/layout/chevron2"/>
    <dgm:cxn modelId="{6AD13BE3-B541-2D4E-8B2D-09752B66EA9D}" type="presParOf" srcId="{DDB27B24-50BA-ED48-8BE9-4C29E6B83259}" destId="{D756A8C3-50EB-084A-8277-DD5831B4E8C7}" srcOrd="3" destOrd="0" presId="urn:microsoft.com/office/officeart/2005/8/layout/chevron2"/>
    <dgm:cxn modelId="{3881DE82-22F0-374C-B4FC-824C8FB93514}" type="presParOf" srcId="{DDB27B24-50BA-ED48-8BE9-4C29E6B83259}" destId="{D669929D-DE6F-0D40-8D4A-1736805AD131}" srcOrd="4" destOrd="0" presId="urn:microsoft.com/office/officeart/2005/8/layout/chevron2"/>
    <dgm:cxn modelId="{1ABF829C-525A-5A4F-93D2-2FCB16FF16F6}" type="presParOf" srcId="{D669929D-DE6F-0D40-8D4A-1736805AD131}" destId="{A0202F08-BEC9-8F43-8711-F30ADE817D18}" srcOrd="0" destOrd="0" presId="urn:microsoft.com/office/officeart/2005/8/layout/chevron2"/>
    <dgm:cxn modelId="{29A3FEF1-D821-8D47-A054-3D88E2C58F1D}" type="presParOf" srcId="{D669929D-DE6F-0D40-8D4A-1736805AD131}" destId="{06B263AD-CC10-0D49-8145-0C283F585CD5}" srcOrd="1" destOrd="0" presId="urn:microsoft.com/office/officeart/2005/8/layout/chevron2"/>
    <dgm:cxn modelId="{01497E47-251E-974A-BBCA-10E6BA0528B5}" type="presParOf" srcId="{DDB27B24-50BA-ED48-8BE9-4C29E6B83259}" destId="{B5F0F139-C5B5-F942-A092-8BB086CFFEFA}" srcOrd="5" destOrd="0" presId="urn:microsoft.com/office/officeart/2005/8/layout/chevron2"/>
    <dgm:cxn modelId="{F26590F8-65FE-1C4C-A652-769974D25840}" type="presParOf" srcId="{DDB27B24-50BA-ED48-8BE9-4C29E6B83259}" destId="{A6A53311-4EDF-944C-B7A8-A929BD874343}" srcOrd="6" destOrd="0" presId="urn:microsoft.com/office/officeart/2005/8/layout/chevron2"/>
    <dgm:cxn modelId="{3B1226BE-A382-E641-A173-149D131E38D2}" type="presParOf" srcId="{A6A53311-4EDF-944C-B7A8-A929BD874343}" destId="{31EA3204-EDC1-4F43-84C9-41DE884256E5}" srcOrd="0" destOrd="0" presId="urn:microsoft.com/office/officeart/2005/8/layout/chevron2"/>
    <dgm:cxn modelId="{8BB9F1C4-BE3E-E848-9E1E-C70903433009}" type="presParOf" srcId="{A6A53311-4EDF-944C-B7A8-A929BD874343}" destId="{9D5418D3-F08D-8545-87B2-2FD7B1D1031E}" srcOrd="1" destOrd="0" presId="urn:microsoft.com/office/officeart/2005/8/layout/chevron2"/>
    <dgm:cxn modelId="{3FFE330C-B596-834F-98FF-93B93DEDA590}" type="presParOf" srcId="{DDB27B24-50BA-ED48-8BE9-4C29E6B83259}" destId="{BD082DD2-36A2-F841-B83C-3B9BAF4B2B5C}" srcOrd="7" destOrd="0" presId="urn:microsoft.com/office/officeart/2005/8/layout/chevron2"/>
    <dgm:cxn modelId="{8C4B282E-AB6A-D041-A70A-441CE6628916}" type="presParOf" srcId="{DDB27B24-50BA-ED48-8BE9-4C29E6B83259}" destId="{C371305F-B72D-3C44-BB22-E50B26871DA6}" srcOrd="8" destOrd="0" presId="urn:microsoft.com/office/officeart/2005/8/layout/chevron2"/>
    <dgm:cxn modelId="{4F118DD2-D800-F54D-85C7-164720AAFF04}" type="presParOf" srcId="{C371305F-B72D-3C44-BB22-E50B26871DA6}" destId="{CCC28DE8-0568-7547-9A1F-3C6F0F33A2CF}" srcOrd="0" destOrd="0" presId="urn:microsoft.com/office/officeart/2005/8/layout/chevron2"/>
    <dgm:cxn modelId="{E47FCA86-25F5-634F-800D-C18E9BF68057}" type="presParOf" srcId="{C371305F-B72D-3C44-BB22-E50B26871DA6}" destId="{F1EE7E3F-25DA-8041-85A7-EBBF11BC4C56}" srcOrd="1" destOrd="0" presId="urn:microsoft.com/office/officeart/2005/8/layout/chevron2"/>
    <dgm:cxn modelId="{271485EA-3B43-C34C-A5F5-4F8B6455B987}" type="presParOf" srcId="{DDB27B24-50BA-ED48-8BE9-4C29E6B83259}" destId="{2C8A0FE6-3CCD-674F-87D7-C945364C8330}" srcOrd="9" destOrd="0" presId="urn:microsoft.com/office/officeart/2005/8/layout/chevron2"/>
    <dgm:cxn modelId="{88C0CDF8-B8B9-874C-BF11-ECD869116DCE}" type="presParOf" srcId="{DDB27B24-50BA-ED48-8BE9-4C29E6B83259}" destId="{C8A774E9-C669-9C42-8FD8-567A31043E1A}" srcOrd="10" destOrd="0" presId="urn:microsoft.com/office/officeart/2005/8/layout/chevron2"/>
    <dgm:cxn modelId="{E2174418-01A2-0148-B977-838BF70DFFDD}" type="presParOf" srcId="{C8A774E9-C669-9C42-8FD8-567A31043E1A}" destId="{844AC346-AEB9-A649-8C9D-DBF2769C8FFC}" srcOrd="0" destOrd="0" presId="urn:microsoft.com/office/officeart/2005/8/layout/chevron2"/>
    <dgm:cxn modelId="{B89DC7D7-1C1E-DB41-BCA1-92D13A4B858E}" type="presParOf" srcId="{C8A774E9-C669-9C42-8FD8-567A31043E1A}" destId="{C80BEB0B-E1AB-4443-9F91-9D6894D7833E}" srcOrd="1" destOrd="0" presId="urn:microsoft.com/office/officeart/2005/8/layout/chevron2"/>
    <dgm:cxn modelId="{BC83CCC2-E613-F24B-8A17-35E57C11B667}" type="presParOf" srcId="{DDB27B24-50BA-ED48-8BE9-4C29E6B83259}" destId="{59BB4FCD-F10D-9947-BE1C-B71549A60A1E}" srcOrd="11" destOrd="0" presId="urn:microsoft.com/office/officeart/2005/8/layout/chevron2"/>
    <dgm:cxn modelId="{53EEBF4F-A76B-C344-BBC7-D024E1B57152}" type="presParOf" srcId="{DDB27B24-50BA-ED48-8BE9-4C29E6B83259}" destId="{9EA93BB1-069D-5E45-B7BF-50881B2F72E6}" srcOrd="12" destOrd="0" presId="urn:microsoft.com/office/officeart/2005/8/layout/chevron2"/>
    <dgm:cxn modelId="{98271E97-9A63-9946-B49C-B803B0CE8FB0}" type="presParOf" srcId="{9EA93BB1-069D-5E45-B7BF-50881B2F72E6}" destId="{B9872B13-1174-E847-A615-29577404DF21}" srcOrd="0" destOrd="0" presId="urn:microsoft.com/office/officeart/2005/8/layout/chevron2"/>
    <dgm:cxn modelId="{8E8F0DED-EA6E-2644-B279-6F6CB77EBEBA}" type="presParOf" srcId="{9EA93BB1-069D-5E45-B7BF-50881B2F72E6}" destId="{DCD4A931-4F01-F440-965B-DC25AA6FE080}" srcOrd="1" destOrd="0" presId="urn:microsoft.com/office/officeart/2005/8/layout/chevron2"/>
    <dgm:cxn modelId="{C710FA01-4F11-994B-918A-84FCA20F30D1}" type="presParOf" srcId="{DDB27B24-50BA-ED48-8BE9-4C29E6B83259}" destId="{201CAB8F-4C7F-6E4E-9169-C9E7B5CBE404}" srcOrd="13" destOrd="0" presId="urn:microsoft.com/office/officeart/2005/8/layout/chevron2"/>
    <dgm:cxn modelId="{298E88EC-D238-DC4B-B8DC-C445DC14BD7E}" type="presParOf" srcId="{DDB27B24-50BA-ED48-8BE9-4C29E6B83259}" destId="{37090651-8A55-014B-A963-1EE8A0BF442E}" srcOrd="14" destOrd="0" presId="urn:microsoft.com/office/officeart/2005/8/layout/chevron2"/>
    <dgm:cxn modelId="{CDE9C2C9-6768-E34B-8A47-D562F19FE6E2}" type="presParOf" srcId="{37090651-8A55-014B-A963-1EE8A0BF442E}" destId="{FBC92F2D-7F37-C24B-BFEF-CC15867C46D4}" srcOrd="0" destOrd="0" presId="urn:microsoft.com/office/officeart/2005/8/layout/chevron2"/>
    <dgm:cxn modelId="{2C959214-85BE-CE4D-8C6F-1E0AFAB08492}" type="presParOf" srcId="{37090651-8A55-014B-A963-1EE8A0BF442E}" destId="{E9487058-CF28-FD44-B9C2-31F73470FB7B}" srcOrd="1" destOrd="0" presId="urn:microsoft.com/office/officeart/2005/8/layout/chevron2"/>
    <dgm:cxn modelId="{BC1E6AA6-DE52-3048-875A-F35A0009BEB2}" type="presParOf" srcId="{DDB27B24-50BA-ED48-8BE9-4C29E6B83259}" destId="{5CDA2E69-01D1-E24F-BBCD-D61A38EBA365}" srcOrd="15" destOrd="0" presId="urn:microsoft.com/office/officeart/2005/8/layout/chevron2"/>
    <dgm:cxn modelId="{721A9A61-FBDD-D844-9AD9-97ABDAF42552}" type="presParOf" srcId="{DDB27B24-50BA-ED48-8BE9-4C29E6B83259}" destId="{C588B7A2-4017-6643-93CD-7EB3E7875B06}" srcOrd="16" destOrd="0" presId="urn:microsoft.com/office/officeart/2005/8/layout/chevron2"/>
    <dgm:cxn modelId="{C06145D9-52A2-6748-AA32-4BC79E8311BE}" type="presParOf" srcId="{C588B7A2-4017-6643-93CD-7EB3E7875B06}" destId="{E86BF6A3-BA90-BB43-908F-24E76E7D1587}" srcOrd="0" destOrd="0" presId="urn:microsoft.com/office/officeart/2005/8/layout/chevron2"/>
    <dgm:cxn modelId="{C2319471-FA87-174C-896D-D9131A415CBE}" type="presParOf" srcId="{C588B7A2-4017-6643-93CD-7EB3E7875B06}" destId="{E2DE84BA-2462-A242-AC94-46E19F99F1BB}" srcOrd="1" destOrd="0" presId="urn:microsoft.com/office/officeart/2005/8/layout/chevron2"/>
    <dgm:cxn modelId="{329C9014-A25F-AB49-A266-0F72A44679AD}" type="presParOf" srcId="{DDB27B24-50BA-ED48-8BE9-4C29E6B83259}" destId="{C2AB1E69-06F4-D043-944B-D85D9601ACA6}" srcOrd="17" destOrd="0" presId="urn:microsoft.com/office/officeart/2005/8/layout/chevron2"/>
    <dgm:cxn modelId="{AC1C917E-27B9-2041-B658-DB2A2DC6BD51}" type="presParOf" srcId="{DDB27B24-50BA-ED48-8BE9-4C29E6B83259}" destId="{51C6866E-9F56-9A45-ADF2-6F81F533274A}" srcOrd="18" destOrd="0" presId="urn:microsoft.com/office/officeart/2005/8/layout/chevron2"/>
    <dgm:cxn modelId="{DAE12C28-C450-C941-9DFD-5C08AE16E93A}" type="presParOf" srcId="{51C6866E-9F56-9A45-ADF2-6F81F533274A}" destId="{B88D95AA-AFFF-224F-9EBE-1226F2119586}" srcOrd="0" destOrd="0" presId="urn:microsoft.com/office/officeart/2005/8/layout/chevron2"/>
    <dgm:cxn modelId="{BE801998-FB9F-014B-A13D-88E3C2378644}" type="presParOf" srcId="{51C6866E-9F56-9A45-ADF2-6F81F533274A}" destId="{BC4A5DFE-0373-0044-B473-93ADEF2A2324}" srcOrd="1" destOrd="0" presId="urn:microsoft.com/office/officeart/2005/8/layout/chevron2"/>
    <dgm:cxn modelId="{2CEAA75C-F094-AC49-A99D-22C8AAEF1612}" type="presParOf" srcId="{DDB27B24-50BA-ED48-8BE9-4C29E6B83259}" destId="{01E3A2D8-2E7D-6941-B2B2-FA006E31EF08}" srcOrd="19" destOrd="0" presId="urn:microsoft.com/office/officeart/2005/8/layout/chevron2"/>
    <dgm:cxn modelId="{FB0F52FE-49E3-8A42-AEE3-0E4398415689}" type="presParOf" srcId="{DDB27B24-50BA-ED48-8BE9-4C29E6B83259}" destId="{37D2DAC8-74EC-BF4C-831D-920A9C40B9D5}" srcOrd="20" destOrd="0" presId="urn:microsoft.com/office/officeart/2005/8/layout/chevron2"/>
    <dgm:cxn modelId="{0AAE1DD7-DF87-8842-945B-4AFE4C7E67BC}" type="presParOf" srcId="{37D2DAC8-74EC-BF4C-831D-920A9C40B9D5}" destId="{ED0EEAAD-1F9F-C445-9ED5-D61D26A0F8D1}" srcOrd="0" destOrd="0" presId="urn:microsoft.com/office/officeart/2005/8/layout/chevron2"/>
    <dgm:cxn modelId="{4BD13D49-B893-0C44-BE96-5BD7E8A7FC01}" type="presParOf" srcId="{37D2DAC8-74EC-BF4C-831D-920A9C40B9D5}" destId="{C174B10A-41E6-244B-88CB-0D08E5FFF5F9}" srcOrd="1" destOrd="0" presId="urn:microsoft.com/office/officeart/2005/8/layout/chevron2"/>
    <dgm:cxn modelId="{CA1DE154-6202-8F41-948B-00DC0401240F}" type="presParOf" srcId="{DDB27B24-50BA-ED48-8BE9-4C29E6B83259}" destId="{43FB22C6-B891-E44F-B0D7-B9F71AB372F1}" srcOrd="21" destOrd="0" presId="urn:microsoft.com/office/officeart/2005/8/layout/chevron2"/>
    <dgm:cxn modelId="{D37BD2E2-860F-4F42-918D-B64A2E5767E2}" type="presParOf" srcId="{DDB27B24-50BA-ED48-8BE9-4C29E6B83259}" destId="{73DF1BD6-49ED-134F-A291-CE4DB94547A9}" srcOrd="22" destOrd="0" presId="urn:microsoft.com/office/officeart/2005/8/layout/chevron2"/>
    <dgm:cxn modelId="{C88BEAED-07D2-3343-B08B-63BAA4CEF86A}" type="presParOf" srcId="{73DF1BD6-49ED-134F-A291-CE4DB94547A9}" destId="{6DDDE256-1CA3-1140-A939-5530FC1F57D3}" srcOrd="0" destOrd="0" presId="urn:microsoft.com/office/officeart/2005/8/layout/chevron2"/>
    <dgm:cxn modelId="{EFC1D280-B99D-9347-8755-24554B64DA2F}" type="presParOf" srcId="{73DF1BD6-49ED-134F-A291-CE4DB94547A9}" destId="{999FDDA9-9F6A-1143-BE3C-B1E07CBE9945}" srcOrd="1" destOrd="0" presId="urn:microsoft.com/office/officeart/2005/8/layout/chevron2"/>
    <dgm:cxn modelId="{82686A47-84A1-DC4F-B684-621453F4E7F9}" type="presParOf" srcId="{DDB27B24-50BA-ED48-8BE9-4C29E6B83259}" destId="{A73ECDF3-49A4-0948-BD1F-387AF7BD3FC1}" srcOrd="23" destOrd="0" presId="urn:microsoft.com/office/officeart/2005/8/layout/chevron2"/>
    <dgm:cxn modelId="{32D6A098-E9FA-C64D-8D5F-63C02D560EA9}" type="presParOf" srcId="{DDB27B24-50BA-ED48-8BE9-4C29E6B83259}" destId="{F2D2A481-D011-064A-92C0-32CD4D676904}" srcOrd="24" destOrd="0" presId="urn:microsoft.com/office/officeart/2005/8/layout/chevron2"/>
    <dgm:cxn modelId="{5888A148-CFDB-CB4A-A1EA-DEEBF8C07B94}" type="presParOf" srcId="{F2D2A481-D011-064A-92C0-32CD4D676904}" destId="{48AF7672-2483-B34A-B763-89BD09AEBA58}" srcOrd="0" destOrd="0" presId="urn:microsoft.com/office/officeart/2005/8/layout/chevron2"/>
    <dgm:cxn modelId="{D81B77D7-4F95-7C49-B2FE-B43A2A042B54}"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133"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8337DEDB-02DE-3D4F-9731-BF9A4F722EB6}" type="doc">
      <dgm:prSet loTypeId="urn:microsoft.com/office/officeart/2005/8/layout/process4" loCatId="" qsTypeId="urn:microsoft.com/office/officeart/2005/8/quickstyle/simple2" qsCatId="simple" csTypeId="urn:microsoft.com/office/officeart/2005/8/colors/accent1_2" csCatId="accent1" phldr="1"/>
      <dgm:spPr/>
      <dgm:t>
        <a:bodyPr/>
        <a:lstStyle/>
        <a:p>
          <a:endParaRPr lang="en-US"/>
        </a:p>
      </dgm:t>
    </dgm:pt>
    <dgm:pt modelId="{89598CE9-C6B6-4B43-9383-677A970802A5}">
      <dgm:prSet phldrT="[Text]"/>
      <dgm:spPr/>
      <dgm:t>
        <a:bodyPr/>
        <a:lstStyle/>
        <a:p>
          <a:r>
            <a:rPr lang="en-US"/>
            <a:t>Theme 1: Understanding preparedness: students and experts views</a:t>
          </a:r>
        </a:p>
      </dgm:t>
    </dgm:pt>
    <dgm:pt modelId="{ED87A32F-F3F9-B848-B0CF-D1A50C9C6E73}" type="parTrans" cxnId="{44CFA5EB-7754-3745-8110-ADC14D846D2F}">
      <dgm:prSet/>
      <dgm:spPr/>
      <dgm:t>
        <a:bodyPr/>
        <a:lstStyle/>
        <a:p>
          <a:endParaRPr lang="en-US"/>
        </a:p>
      </dgm:t>
    </dgm:pt>
    <dgm:pt modelId="{E02A0FE0-E014-FC45-BE34-8AA6EAB0DA74}" type="sibTrans" cxnId="{44CFA5EB-7754-3745-8110-ADC14D846D2F}">
      <dgm:prSet/>
      <dgm:spPr/>
      <dgm:t>
        <a:bodyPr/>
        <a:lstStyle/>
        <a:p>
          <a:endParaRPr lang="en-US"/>
        </a:p>
      </dgm:t>
    </dgm:pt>
    <dgm:pt modelId="{BE3DE8B3-3AB4-674F-A948-FD26D03D72DE}">
      <dgm:prSet phldrT="[Text]"/>
      <dgm:spPr/>
      <dgm:t>
        <a:bodyPr/>
        <a:lstStyle/>
        <a:p>
          <a:r>
            <a:rPr lang="en-US"/>
            <a:t>Theme 2: preparing students for practice: all data sources</a:t>
          </a:r>
        </a:p>
      </dgm:t>
    </dgm:pt>
    <dgm:pt modelId="{FBE85049-EE3F-434D-A0C0-C4F19E075D51}" type="parTrans" cxnId="{9A86C4E1-A179-0242-B472-E1A54F4DC599}">
      <dgm:prSet/>
      <dgm:spPr/>
      <dgm:t>
        <a:bodyPr/>
        <a:lstStyle/>
        <a:p>
          <a:endParaRPr lang="en-US"/>
        </a:p>
      </dgm:t>
    </dgm:pt>
    <dgm:pt modelId="{EBCDCC30-01F4-1C4B-A6F8-7FEAB59CA2DD}" type="sibTrans" cxnId="{9A86C4E1-A179-0242-B472-E1A54F4DC599}">
      <dgm:prSet/>
      <dgm:spPr/>
      <dgm:t>
        <a:bodyPr/>
        <a:lstStyle/>
        <a:p>
          <a:endParaRPr lang="en-US"/>
        </a:p>
      </dgm:t>
    </dgm:pt>
    <dgm:pt modelId="{279AF6F2-FB1B-EB43-9323-439156DF9EC5}">
      <dgm:prSet phldrT="[Text]"/>
      <dgm:spPr/>
      <dgm:t>
        <a:bodyPr/>
        <a:lstStyle/>
        <a:p>
          <a:r>
            <a:rPr lang="en-US"/>
            <a:t>Implications for clinical practice:</a:t>
          </a:r>
        </a:p>
        <a:p>
          <a:r>
            <a:rPr lang="en-US"/>
            <a:t>Educational theoretical framework</a:t>
          </a:r>
        </a:p>
        <a:p>
          <a:r>
            <a:rPr lang="en-US"/>
            <a:t>Model for design and delivery of SBME</a:t>
          </a:r>
        </a:p>
        <a:p>
          <a:r>
            <a:rPr lang="en-US"/>
            <a:t>Model for debreif</a:t>
          </a:r>
        </a:p>
      </dgm:t>
    </dgm:pt>
    <dgm:pt modelId="{FD5BEE7D-F517-3A48-A873-40E92CB76F78}" type="parTrans" cxnId="{80953DC9-F0F1-D14A-A933-4A13FDA3C29F}">
      <dgm:prSet/>
      <dgm:spPr/>
      <dgm:t>
        <a:bodyPr/>
        <a:lstStyle/>
        <a:p>
          <a:endParaRPr lang="en-US"/>
        </a:p>
      </dgm:t>
    </dgm:pt>
    <dgm:pt modelId="{4869C9DD-4526-1D4E-9226-1FACD26F4193}" type="sibTrans" cxnId="{80953DC9-F0F1-D14A-A933-4A13FDA3C29F}">
      <dgm:prSet/>
      <dgm:spPr/>
      <dgm:t>
        <a:bodyPr/>
        <a:lstStyle/>
        <a:p>
          <a:endParaRPr lang="en-US"/>
        </a:p>
      </dgm:t>
    </dgm:pt>
    <dgm:pt modelId="{E1F16523-A7CC-134D-837A-777DEDE97CFD}" type="pres">
      <dgm:prSet presAssocID="{8337DEDB-02DE-3D4F-9731-BF9A4F722EB6}" presName="Name0" presStyleCnt="0">
        <dgm:presLayoutVars>
          <dgm:dir/>
          <dgm:animLvl val="lvl"/>
          <dgm:resizeHandles val="exact"/>
        </dgm:presLayoutVars>
      </dgm:prSet>
      <dgm:spPr/>
    </dgm:pt>
    <dgm:pt modelId="{3EE87F3B-5408-ED46-A101-F9BA07D9F850}" type="pres">
      <dgm:prSet presAssocID="{279AF6F2-FB1B-EB43-9323-439156DF9EC5}" presName="boxAndChildren" presStyleCnt="0"/>
      <dgm:spPr/>
    </dgm:pt>
    <dgm:pt modelId="{CE23C031-8C24-A44B-B3E0-ABD64A5886E9}" type="pres">
      <dgm:prSet presAssocID="{279AF6F2-FB1B-EB43-9323-439156DF9EC5}" presName="parentTextBox" presStyleLbl="node1" presStyleIdx="0" presStyleCnt="3" custScaleY="41719" custLinFactNeighborX="7" custLinFactNeighborY="115"/>
      <dgm:spPr/>
    </dgm:pt>
    <dgm:pt modelId="{E292D4A8-7411-7C4A-9163-D3D0C6D39332}" type="pres">
      <dgm:prSet presAssocID="{EBCDCC30-01F4-1C4B-A6F8-7FEAB59CA2DD}" presName="sp" presStyleCnt="0"/>
      <dgm:spPr/>
    </dgm:pt>
    <dgm:pt modelId="{90BD20B1-51E9-6041-A5E9-DCBEE240DAD4}" type="pres">
      <dgm:prSet presAssocID="{BE3DE8B3-3AB4-674F-A948-FD26D03D72DE}" presName="arrowAndChildren" presStyleCnt="0"/>
      <dgm:spPr/>
    </dgm:pt>
    <dgm:pt modelId="{758BFEAA-D063-964C-831F-9493D7440E4C}" type="pres">
      <dgm:prSet presAssocID="{BE3DE8B3-3AB4-674F-A948-FD26D03D72DE}" presName="parentTextArrow" presStyleLbl="node1" presStyleIdx="1" presStyleCnt="3" custScaleY="22897" custLinFactNeighborY="163"/>
      <dgm:spPr/>
    </dgm:pt>
    <dgm:pt modelId="{A1F42A0B-821E-3B49-84D5-96F8CFA09BA6}" type="pres">
      <dgm:prSet presAssocID="{E02A0FE0-E014-FC45-BE34-8AA6EAB0DA74}" presName="sp" presStyleCnt="0"/>
      <dgm:spPr/>
    </dgm:pt>
    <dgm:pt modelId="{4F10EAC8-B2A1-7F4E-BE45-CE9FA7BFD4A6}" type="pres">
      <dgm:prSet presAssocID="{89598CE9-C6B6-4B43-9383-677A970802A5}" presName="arrowAndChildren" presStyleCnt="0"/>
      <dgm:spPr/>
    </dgm:pt>
    <dgm:pt modelId="{B9FC80EF-A543-A647-8F9B-36A437D0B7B5}" type="pres">
      <dgm:prSet presAssocID="{89598CE9-C6B6-4B43-9383-677A970802A5}" presName="parentTextArrow" presStyleLbl="node1" presStyleIdx="2" presStyleCnt="3" custScaleY="22515" custLinFactNeighborY="-74"/>
      <dgm:spPr/>
    </dgm:pt>
  </dgm:ptLst>
  <dgm:cxnLst>
    <dgm:cxn modelId="{88A2A311-B58A-3343-B84B-7B535EC69487}" type="presOf" srcId="{89598CE9-C6B6-4B43-9383-677A970802A5}" destId="{B9FC80EF-A543-A647-8F9B-36A437D0B7B5}" srcOrd="0" destOrd="0" presId="urn:microsoft.com/office/officeart/2005/8/layout/process4"/>
    <dgm:cxn modelId="{3ECDC121-ACCF-7E47-836E-5BA83902FA9B}" type="presOf" srcId="{8337DEDB-02DE-3D4F-9731-BF9A4F722EB6}" destId="{E1F16523-A7CC-134D-837A-777DEDE97CFD}" srcOrd="0" destOrd="0" presId="urn:microsoft.com/office/officeart/2005/8/layout/process4"/>
    <dgm:cxn modelId="{E54EA291-EB2A-0B47-AF98-0BCBC89B53F5}" type="presOf" srcId="{279AF6F2-FB1B-EB43-9323-439156DF9EC5}" destId="{CE23C031-8C24-A44B-B3E0-ABD64A5886E9}" srcOrd="0" destOrd="0" presId="urn:microsoft.com/office/officeart/2005/8/layout/process4"/>
    <dgm:cxn modelId="{80953DC9-F0F1-D14A-A933-4A13FDA3C29F}" srcId="{8337DEDB-02DE-3D4F-9731-BF9A4F722EB6}" destId="{279AF6F2-FB1B-EB43-9323-439156DF9EC5}" srcOrd="2" destOrd="0" parTransId="{FD5BEE7D-F517-3A48-A873-40E92CB76F78}" sibTransId="{4869C9DD-4526-1D4E-9226-1FACD26F4193}"/>
    <dgm:cxn modelId="{A6D5D3D9-6037-1D4D-81A8-5BE3BBCB80CD}" type="presOf" srcId="{BE3DE8B3-3AB4-674F-A948-FD26D03D72DE}" destId="{758BFEAA-D063-964C-831F-9493D7440E4C}" srcOrd="0" destOrd="0" presId="urn:microsoft.com/office/officeart/2005/8/layout/process4"/>
    <dgm:cxn modelId="{9A86C4E1-A179-0242-B472-E1A54F4DC599}" srcId="{8337DEDB-02DE-3D4F-9731-BF9A4F722EB6}" destId="{BE3DE8B3-3AB4-674F-A948-FD26D03D72DE}" srcOrd="1" destOrd="0" parTransId="{FBE85049-EE3F-434D-A0C0-C4F19E075D51}" sibTransId="{EBCDCC30-01F4-1C4B-A6F8-7FEAB59CA2DD}"/>
    <dgm:cxn modelId="{44CFA5EB-7754-3745-8110-ADC14D846D2F}" srcId="{8337DEDB-02DE-3D4F-9731-BF9A4F722EB6}" destId="{89598CE9-C6B6-4B43-9383-677A970802A5}" srcOrd="0" destOrd="0" parTransId="{ED87A32F-F3F9-B848-B0CF-D1A50C9C6E73}" sibTransId="{E02A0FE0-E014-FC45-BE34-8AA6EAB0DA74}"/>
    <dgm:cxn modelId="{5B3CD9B6-6A54-BE42-944D-C7F2CA6B2D00}" type="presParOf" srcId="{E1F16523-A7CC-134D-837A-777DEDE97CFD}" destId="{3EE87F3B-5408-ED46-A101-F9BA07D9F850}" srcOrd="0" destOrd="0" presId="urn:microsoft.com/office/officeart/2005/8/layout/process4"/>
    <dgm:cxn modelId="{719BBECA-024F-2347-B6F5-297D13992E3A}" type="presParOf" srcId="{3EE87F3B-5408-ED46-A101-F9BA07D9F850}" destId="{CE23C031-8C24-A44B-B3E0-ABD64A5886E9}" srcOrd="0" destOrd="0" presId="urn:microsoft.com/office/officeart/2005/8/layout/process4"/>
    <dgm:cxn modelId="{3E2834D1-3515-1246-88F3-50B52065DDA4}" type="presParOf" srcId="{E1F16523-A7CC-134D-837A-777DEDE97CFD}" destId="{E292D4A8-7411-7C4A-9163-D3D0C6D39332}" srcOrd="1" destOrd="0" presId="urn:microsoft.com/office/officeart/2005/8/layout/process4"/>
    <dgm:cxn modelId="{8CFD0394-2F25-374E-A0C5-905EB91C4092}" type="presParOf" srcId="{E1F16523-A7CC-134D-837A-777DEDE97CFD}" destId="{90BD20B1-51E9-6041-A5E9-DCBEE240DAD4}" srcOrd="2" destOrd="0" presId="urn:microsoft.com/office/officeart/2005/8/layout/process4"/>
    <dgm:cxn modelId="{B0412611-19BD-C74F-8ADD-0DB68BF51728}" type="presParOf" srcId="{90BD20B1-51E9-6041-A5E9-DCBEE240DAD4}" destId="{758BFEAA-D063-964C-831F-9493D7440E4C}" srcOrd="0" destOrd="0" presId="urn:microsoft.com/office/officeart/2005/8/layout/process4"/>
    <dgm:cxn modelId="{AA368C9B-FB4E-804C-BF1E-951A1F775C8F}" type="presParOf" srcId="{E1F16523-A7CC-134D-837A-777DEDE97CFD}" destId="{A1F42A0B-821E-3B49-84D5-96F8CFA09BA6}" srcOrd="3" destOrd="0" presId="urn:microsoft.com/office/officeart/2005/8/layout/process4"/>
    <dgm:cxn modelId="{5BDF1768-DD53-DE4D-9890-7C6B89BDD371}" type="presParOf" srcId="{E1F16523-A7CC-134D-837A-777DEDE97CFD}" destId="{4F10EAC8-B2A1-7F4E-BE45-CE9FA7BFD4A6}" srcOrd="4" destOrd="0" presId="urn:microsoft.com/office/officeart/2005/8/layout/process4"/>
    <dgm:cxn modelId="{6F6878FF-BA72-D343-9B77-7EE97AE547E7}" type="presParOf" srcId="{4F10EAC8-B2A1-7F4E-BE45-CE9FA7BFD4A6}" destId="{B9FC80EF-A543-A647-8F9B-36A437D0B7B5}" srcOrd="0" destOrd="0" presId="urn:microsoft.com/office/officeart/2005/8/layout/process4"/>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746F26F6-5D1A-0944-8DC6-35FE47732042}" type="doc">
      <dgm:prSet loTypeId="urn:microsoft.com/office/officeart/2005/8/layout/lProcess2" loCatId="" qsTypeId="urn:microsoft.com/office/officeart/2005/8/quickstyle/simple4" qsCatId="simple" csTypeId="urn:microsoft.com/office/officeart/2005/8/colors/accent1_2" csCatId="accent1" phldr="1"/>
      <dgm:spPr/>
      <dgm:t>
        <a:bodyPr/>
        <a:lstStyle/>
        <a:p>
          <a:endParaRPr lang="en-US"/>
        </a:p>
      </dgm:t>
    </dgm:pt>
    <dgm:pt modelId="{D4980CE6-F7D0-CE47-A0A7-84F69F6BE94C}">
      <dgm:prSet phldrT="[Text]"/>
      <dgm:spPr/>
      <dgm:t>
        <a:bodyPr/>
        <a:lstStyle/>
        <a:p>
          <a:r>
            <a:rPr lang="en-US"/>
            <a:t>Realisation</a:t>
          </a:r>
        </a:p>
      </dgm:t>
    </dgm:pt>
    <dgm:pt modelId="{67389506-88C4-CF47-B6C9-67471FA4F7C0}" type="parTrans" cxnId="{14471B8E-751D-6D45-BA14-542C7932C08C}">
      <dgm:prSet/>
      <dgm:spPr/>
      <dgm:t>
        <a:bodyPr/>
        <a:lstStyle/>
        <a:p>
          <a:endParaRPr lang="en-US"/>
        </a:p>
      </dgm:t>
    </dgm:pt>
    <dgm:pt modelId="{21472545-521A-4F4C-A8EF-2FF24BF55BA3}" type="sibTrans" cxnId="{14471B8E-751D-6D45-BA14-542C7932C08C}">
      <dgm:prSet/>
      <dgm:spPr/>
      <dgm:t>
        <a:bodyPr/>
        <a:lstStyle/>
        <a:p>
          <a:endParaRPr lang="en-US"/>
        </a:p>
      </dgm:t>
    </dgm:pt>
    <dgm:pt modelId="{7EC21A34-FEA3-E045-AC1A-CDD9AEAF368B}">
      <dgm:prSet phldrT="[Text]"/>
      <dgm:spPr/>
      <dgm:t>
        <a:bodyPr/>
        <a:lstStyle/>
        <a:p>
          <a:r>
            <a:rPr lang="en-US"/>
            <a:t>Responsibility</a:t>
          </a:r>
        </a:p>
      </dgm:t>
    </dgm:pt>
    <dgm:pt modelId="{F39AF749-36EE-284C-955B-D565E3F1CA46}" type="parTrans" cxnId="{1E8082FB-E541-9940-8036-D85AE281FC73}">
      <dgm:prSet/>
      <dgm:spPr/>
      <dgm:t>
        <a:bodyPr/>
        <a:lstStyle/>
        <a:p>
          <a:endParaRPr lang="en-US"/>
        </a:p>
      </dgm:t>
    </dgm:pt>
    <dgm:pt modelId="{635C60D7-D865-1F49-8C9F-EEBDB690D6A0}" type="sibTrans" cxnId="{1E8082FB-E541-9940-8036-D85AE281FC73}">
      <dgm:prSet/>
      <dgm:spPr/>
      <dgm:t>
        <a:bodyPr/>
        <a:lstStyle/>
        <a:p>
          <a:endParaRPr lang="en-US"/>
        </a:p>
      </dgm:t>
    </dgm:pt>
    <dgm:pt modelId="{2AA6246B-3BDD-134E-A3D7-DBF0173D5111}">
      <dgm:prSet phldrT="[Text]"/>
      <dgm:spPr/>
      <dgm:t>
        <a:bodyPr/>
        <a:lstStyle/>
        <a:p>
          <a:r>
            <a:rPr lang="en-US"/>
            <a:t>Recognition</a:t>
          </a:r>
        </a:p>
      </dgm:t>
    </dgm:pt>
    <dgm:pt modelId="{BBAEE73E-5B0C-D140-9758-E05EE6D58878}" type="parTrans" cxnId="{72513BFD-8437-C541-81DD-B83C7583DEA6}">
      <dgm:prSet/>
      <dgm:spPr/>
      <dgm:t>
        <a:bodyPr/>
        <a:lstStyle/>
        <a:p>
          <a:endParaRPr lang="en-US"/>
        </a:p>
      </dgm:t>
    </dgm:pt>
    <dgm:pt modelId="{DD69619C-AF81-0342-91DE-C0AFD3D175CB}" type="sibTrans" cxnId="{72513BFD-8437-C541-81DD-B83C7583DEA6}">
      <dgm:prSet/>
      <dgm:spPr/>
      <dgm:t>
        <a:bodyPr/>
        <a:lstStyle/>
        <a:p>
          <a:endParaRPr lang="en-US"/>
        </a:p>
      </dgm:t>
    </dgm:pt>
    <dgm:pt modelId="{957F5BA8-9C32-4C4D-8452-1DF5863CB182}">
      <dgm:prSet phldrT="[Text]"/>
      <dgm:spPr/>
      <dgm:t>
        <a:bodyPr/>
        <a:lstStyle/>
        <a:p>
          <a:r>
            <a:rPr lang="en-US"/>
            <a:t>Response</a:t>
          </a:r>
        </a:p>
      </dgm:t>
    </dgm:pt>
    <dgm:pt modelId="{8A70A5F9-C878-0247-B8AB-12FC35AE8C3F}" type="parTrans" cxnId="{F5EA9CA7-45C2-734C-BCD6-729A6DB15DCA}">
      <dgm:prSet/>
      <dgm:spPr/>
      <dgm:t>
        <a:bodyPr/>
        <a:lstStyle/>
        <a:p>
          <a:endParaRPr lang="en-US"/>
        </a:p>
      </dgm:t>
    </dgm:pt>
    <dgm:pt modelId="{15CDF3A0-99AA-C74E-81EA-AB846DA55789}" type="sibTrans" cxnId="{F5EA9CA7-45C2-734C-BCD6-729A6DB15DCA}">
      <dgm:prSet/>
      <dgm:spPr/>
      <dgm:t>
        <a:bodyPr/>
        <a:lstStyle/>
        <a:p>
          <a:endParaRPr lang="en-US"/>
        </a:p>
      </dgm:t>
    </dgm:pt>
    <dgm:pt modelId="{31099202-7FEA-4647-9A90-1C74C918A024}">
      <dgm:prSet phldrT="[Text]"/>
      <dgm:spPr/>
      <dgm:t>
        <a:bodyPr/>
        <a:lstStyle/>
        <a:p>
          <a:r>
            <a:rPr lang="en-US"/>
            <a:t>Performance</a:t>
          </a:r>
        </a:p>
      </dgm:t>
    </dgm:pt>
    <dgm:pt modelId="{961728D8-435E-C648-B431-4A180ED943A3}" type="parTrans" cxnId="{9E7A27CA-7658-0346-A4F3-2639C3456D07}">
      <dgm:prSet/>
      <dgm:spPr/>
      <dgm:t>
        <a:bodyPr/>
        <a:lstStyle/>
        <a:p>
          <a:endParaRPr lang="en-US"/>
        </a:p>
      </dgm:t>
    </dgm:pt>
    <dgm:pt modelId="{1C24AF24-B079-854B-84DB-2FB935449C97}" type="sibTrans" cxnId="{9E7A27CA-7658-0346-A4F3-2639C3456D07}">
      <dgm:prSet/>
      <dgm:spPr/>
      <dgm:t>
        <a:bodyPr/>
        <a:lstStyle/>
        <a:p>
          <a:endParaRPr lang="en-US"/>
        </a:p>
      </dgm:t>
    </dgm:pt>
    <dgm:pt modelId="{9D5A7992-4225-7B48-AFFE-668D761CB329}" type="pres">
      <dgm:prSet presAssocID="{746F26F6-5D1A-0944-8DC6-35FE47732042}" presName="theList" presStyleCnt="0">
        <dgm:presLayoutVars>
          <dgm:dir/>
          <dgm:animLvl val="lvl"/>
          <dgm:resizeHandles val="exact"/>
        </dgm:presLayoutVars>
      </dgm:prSet>
      <dgm:spPr/>
    </dgm:pt>
    <dgm:pt modelId="{FB176219-B752-2D49-BC7B-0BA80AFFD480}" type="pres">
      <dgm:prSet presAssocID="{D4980CE6-F7D0-CE47-A0A7-84F69F6BE94C}" presName="compNode" presStyleCnt="0"/>
      <dgm:spPr/>
    </dgm:pt>
    <dgm:pt modelId="{5CD145FA-E146-A54A-8F3F-0F9E0F1DB044}" type="pres">
      <dgm:prSet presAssocID="{D4980CE6-F7D0-CE47-A0A7-84F69F6BE94C}" presName="aNode" presStyleLbl="bgShp" presStyleIdx="0" presStyleCnt="5"/>
      <dgm:spPr/>
    </dgm:pt>
    <dgm:pt modelId="{278DD076-3EE1-2942-9223-E8F36A5F1518}" type="pres">
      <dgm:prSet presAssocID="{D4980CE6-F7D0-CE47-A0A7-84F69F6BE94C}" presName="textNode" presStyleLbl="bgShp" presStyleIdx="0" presStyleCnt="5"/>
      <dgm:spPr/>
    </dgm:pt>
    <dgm:pt modelId="{3538F37F-486D-A840-95C5-071618297BAC}" type="pres">
      <dgm:prSet presAssocID="{D4980CE6-F7D0-CE47-A0A7-84F69F6BE94C}" presName="compChildNode" presStyleCnt="0"/>
      <dgm:spPr/>
    </dgm:pt>
    <dgm:pt modelId="{A085A8E0-B264-7844-A72E-E1935C2820DE}" type="pres">
      <dgm:prSet presAssocID="{D4980CE6-F7D0-CE47-A0A7-84F69F6BE94C}" presName="theInnerList" presStyleCnt="0"/>
      <dgm:spPr/>
    </dgm:pt>
    <dgm:pt modelId="{6BC02753-6C0F-DB47-897D-1197427F06BA}" type="pres">
      <dgm:prSet presAssocID="{D4980CE6-F7D0-CE47-A0A7-84F69F6BE94C}" presName="aSpace" presStyleCnt="0"/>
      <dgm:spPr/>
    </dgm:pt>
    <dgm:pt modelId="{B71E3B6C-8F70-644F-BCA1-DC4B608E4F31}" type="pres">
      <dgm:prSet presAssocID="{7EC21A34-FEA3-E045-AC1A-CDD9AEAF368B}" presName="compNode" presStyleCnt="0"/>
      <dgm:spPr/>
    </dgm:pt>
    <dgm:pt modelId="{7DBF70EA-244E-EA49-BB49-29814E75AD5A}" type="pres">
      <dgm:prSet presAssocID="{7EC21A34-FEA3-E045-AC1A-CDD9AEAF368B}" presName="aNode" presStyleLbl="bgShp" presStyleIdx="1" presStyleCnt="5"/>
      <dgm:spPr/>
    </dgm:pt>
    <dgm:pt modelId="{71DA5FAB-8837-FD4D-8695-B1C8E0DB93EA}" type="pres">
      <dgm:prSet presAssocID="{7EC21A34-FEA3-E045-AC1A-CDD9AEAF368B}" presName="textNode" presStyleLbl="bgShp" presStyleIdx="1" presStyleCnt="5"/>
      <dgm:spPr/>
    </dgm:pt>
    <dgm:pt modelId="{EA764500-6C6F-C94A-85FE-D2E7960C23FB}" type="pres">
      <dgm:prSet presAssocID="{7EC21A34-FEA3-E045-AC1A-CDD9AEAF368B}" presName="compChildNode" presStyleCnt="0"/>
      <dgm:spPr/>
    </dgm:pt>
    <dgm:pt modelId="{DFD37B1E-CAEF-2F43-9D35-4F8060DC8597}" type="pres">
      <dgm:prSet presAssocID="{7EC21A34-FEA3-E045-AC1A-CDD9AEAF368B}" presName="theInnerList" presStyleCnt="0"/>
      <dgm:spPr/>
    </dgm:pt>
    <dgm:pt modelId="{48194566-6DAE-834F-8A84-FAF807BC190E}" type="pres">
      <dgm:prSet presAssocID="{7EC21A34-FEA3-E045-AC1A-CDD9AEAF368B}" presName="aSpace" presStyleCnt="0"/>
      <dgm:spPr/>
    </dgm:pt>
    <dgm:pt modelId="{C935ADC1-C787-A14F-B752-F6C774315839}" type="pres">
      <dgm:prSet presAssocID="{2AA6246B-3BDD-134E-A3D7-DBF0173D5111}" presName="compNode" presStyleCnt="0"/>
      <dgm:spPr/>
    </dgm:pt>
    <dgm:pt modelId="{7C05762B-351F-DE4E-85EF-2591C732D80C}" type="pres">
      <dgm:prSet presAssocID="{2AA6246B-3BDD-134E-A3D7-DBF0173D5111}" presName="aNode" presStyleLbl="bgShp" presStyleIdx="2" presStyleCnt="5"/>
      <dgm:spPr/>
    </dgm:pt>
    <dgm:pt modelId="{6909DB2D-448A-3646-8EED-E3BA3444A4E1}" type="pres">
      <dgm:prSet presAssocID="{2AA6246B-3BDD-134E-A3D7-DBF0173D5111}" presName="textNode" presStyleLbl="bgShp" presStyleIdx="2" presStyleCnt="5"/>
      <dgm:spPr/>
    </dgm:pt>
    <dgm:pt modelId="{E7C30FBF-D2C7-C443-A22C-BB5080DF3519}" type="pres">
      <dgm:prSet presAssocID="{2AA6246B-3BDD-134E-A3D7-DBF0173D5111}" presName="compChildNode" presStyleCnt="0"/>
      <dgm:spPr/>
    </dgm:pt>
    <dgm:pt modelId="{057A3BA9-A0AC-8D4F-9110-BD77AB2EBD40}" type="pres">
      <dgm:prSet presAssocID="{2AA6246B-3BDD-134E-A3D7-DBF0173D5111}" presName="theInnerList" presStyleCnt="0"/>
      <dgm:spPr/>
    </dgm:pt>
    <dgm:pt modelId="{ED54DEA4-9BCA-F443-B124-52BA888BA928}" type="pres">
      <dgm:prSet presAssocID="{2AA6246B-3BDD-134E-A3D7-DBF0173D5111}" presName="aSpace" presStyleCnt="0"/>
      <dgm:spPr/>
    </dgm:pt>
    <dgm:pt modelId="{9C4D010D-6D09-AE43-8205-A2E6FB427F36}" type="pres">
      <dgm:prSet presAssocID="{957F5BA8-9C32-4C4D-8452-1DF5863CB182}" presName="compNode" presStyleCnt="0"/>
      <dgm:spPr/>
    </dgm:pt>
    <dgm:pt modelId="{E55ADE17-E282-F446-8A54-70C1BB5520AC}" type="pres">
      <dgm:prSet presAssocID="{957F5BA8-9C32-4C4D-8452-1DF5863CB182}" presName="aNode" presStyleLbl="bgShp" presStyleIdx="3" presStyleCnt="5"/>
      <dgm:spPr/>
    </dgm:pt>
    <dgm:pt modelId="{05846D77-64C1-6940-9F6B-C3DDB447B020}" type="pres">
      <dgm:prSet presAssocID="{957F5BA8-9C32-4C4D-8452-1DF5863CB182}" presName="textNode" presStyleLbl="bgShp" presStyleIdx="3" presStyleCnt="5"/>
      <dgm:spPr/>
    </dgm:pt>
    <dgm:pt modelId="{517FCCA6-E207-C349-88A8-1347E644C828}" type="pres">
      <dgm:prSet presAssocID="{957F5BA8-9C32-4C4D-8452-1DF5863CB182}" presName="compChildNode" presStyleCnt="0"/>
      <dgm:spPr/>
    </dgm:pt>
    <dgm:pt modelId="{5ABFC67A-9EF2-404B-9BFE-4EEAE2F7C1C1}" type="pres">
      <dgm:prSet presAssocID="{957F5BA8-9C32-4C4D-8452-1DF5863CB182}" presName="theInnerList" presStyleCnt="0"/>
      <dgm:spPr/>
    </dgm:pt>
    <dgm:pt modelId="{49A569F2-CD04-0642-8932-FB762E96641D}" type="pres">
      <dgm:prSet presAssocID="{957F5BA8-9C32-4C4D-8452-1DF5863CB182}" presName="aSpace" presStyleCnt="0"/>
      <dgm:spPr/>
    </dgm:pt>
    <dgm:pt modelId="{ACFA996D-C545-7541-AE13-2D58E3FBD7C7}" type="pres">
      <dgm:prSet presAssocID="{31099202-7FEA-4647-9A90-1C74C918A024}" presName="compNode" presStyleCnt="0"/>
      <dgm:spPr/>
    </dgm:pt>
    <dgm:pt modelId="{7AC70080-E084-7441-8F98-1DE316364408}" type="pres">
      <dgm:prSet presAssocID="{31099202-7FEA-4647-9A90-1C74C918A024}" presName="aNode" presStyleLbl="bgShp" presStyleIdx="4" presStyleCnt="5"/>
      <dgm:spPr/>
    </dgm:pt>
    <dgm:pt modelId="{E8F5F0E3-F7E3-9C49-9BDE-9C9A0829E94B}" type="pres">
      <dgm:prSet presAssocID="{31099202-7FEA-4647-9A90-1C74C918A024}" presName="textNode" presStyleLbl="bgShp" presStyleIdx="4" presStyleCnt="5"/>
      <dgm:spPr/>
    </dgm:pt>
    <dgm:pt modelId="{31A9A04E-7BA5-B84B-88C6-09527E00A997}" type="pres">
      <dgm:prSet presAssocID="{31099202-7FEA-4647-9A90-1C74C918A024}" presName="compChildNode" presStyleCnt="0"/>
      <dgm:spPr/>
    </dgm:pt>
    <dgm:pt modelId="{0BB52498-CED1-3446-B25C-5D5D106176E0}" type="pres">
      <dgm:prSet presAssocID="{31099202-7FEA-4647-9A90-1C74C918A024}" presName="theInnerList" presStyleCnt="0"/>
      <dgm:spPr/>
    </dgm:pt>
  </dgm:ptLst>
  <dgm:cxnLst>
    <dgm:cxn modelId="{67482608-84C7-DC48-A5BE-0E83C9B2240E}" type="presOf" srcId="{957F5BA8-9C32-4C4D-8452-1DF5863CB182}" destId="{E55ADE17-E282-F446-8A54-70C1BB5520AC}" srcOrd="0" destOrd="0" presId="urn:microsoft.com/office/officeart/2005/8/layout/lProcess2"/>
    <dgm:cxn modelId="{7D1E641B-26AE-F44E-85CD-F3BC27511224}" type="presOf" srcId="{31099202-7FEA-4647-9A90-1C74C918A024}" destId="{7AC70080-E084-7441-8F98-1DE316364408}" srcOrd="0" destOrd="0" presId="urn:microsoft.com/office/officeart/2005/8/layout/lProcess2"/>
    <dgm:cxn modelId="{09AEDD35-A1FF-034D-8BDD-42983B7B07EA}" type="presOf" srcId="{2AA6246B-3BDD-134E-A3D7-DBF0173D5111}" destId="{7C05762B-351F-DE4E-85EF-2591C732D80C}" srcOrd="0" destOrd="0" presId="urn:microsoft.com/office/officeart/2005/8/layout/lProcess2"/>
    <dgm:cxn modelId="{73854163-6388-7745-9B06-3EC6FA61C3AF}" type="presOf" srcId="{746F26F6-5D1A-0944-8DC6-35FE47732042}" destId="{9D5A7992-4225-7B48-AFFE-668D761CB329}" srcOrd="0" destOrd="0" presId="urn:microsoft.com/office/officeart/2005/8/layout/lProcess2"/>
    <dgm:cxn modelId="{593C366D-DC5F-1546-B17D-814B140394D8}" type="presOf" srcId="{957F5BA8-9C32-4C4D-8452-1DF5863CB182}" destId="{05846D77-64C1-6940-9F6B-C3DDB447B020}" srcOrd="1" destOrd="0" presId="urn:microsoft.com/office/officeart/2005/8/layout/lProcess2"/>
    <dgm:cxn modelId="{D424F67D-8C1E-984D-A06B-1EAC45F2B9BE}" type="presOf" srcId="{31099202-7FEA-4647-9A90-1C74C918A024}" destId="{E8F5F0E3-F7E3-9C49-9BDE-9C9A0829E94B}" srcOrd="1" destOrd="0" presId="urn:microsoft.com/office/officeart/2005/8/layout/lProcess2"/>
    <dgm:cxn modelId="{4E02C87F-7409-9743-8D4E-355BC898A3D1}" type="presOf" srcId="{7EC21A34-FEA3-E045-AC1A-CDD9AEAF368B}" destId="{7DBF70EA-244E-EA49-BB49-29814E75AD5A}" srcOrd="0" destOrd="0" presId="urn:microsoft.com/office/officeart/2005/8/layout/lProcess2"/>
    <dgm:cxn modelId="{39C1238B-005F-3D44-B460-17F604D1C3E5}" type="presOf" srcId="{7EC21A34-FEA3-E045-AC1A-CDD9AEAF368B}" destId="{71DA5FAB-8837-FD4D-8695-B1C8E0DB93EA}" srcOrd="1" destOrd="0" presId="urn:microsoft.com/office/officeart/2005/8/layout/lProcess2"/>
    <dgm:cxn modelId="{14471B8E-751D-6D45-BA14-542C7932C08C}" srcId="{746F26F6-5D1A-0944-8DC6-35FE47732042}" destId="{D4980CE6-F7D0-CE47-A0A7-84F69F6BE94C}" srcOrd="0" destOrd="0" parTransId="{67389506-88C4-CF47-B6C9-67471FA4F7C0}" sibTransId="{21472545-521A-4F4C-A8EF-2FF24BF55BA3}"/>
    <dgm:cxn modelId="{3CD98B93-30F9-CA42-B7B6-E722C352EFCC}" type="presOf" srcId="{2AA6246B-3BDD-134E-A3D7-DBF0173D5111}" destId="{6909DB2D-448A-3646-8EED-E3BA3444A4E1}" srcOrd="1" destOrd="0" presId="urn:microsoft.com/office/officeart/2005/8/layout/lProcess2"/>
    <dgm:cxn modelId="{F5EA9CA7-45C2-734C-BCD6-729A6DB15DCA}" srcId="{746F26F6-5D1A-0944-8DC6-35FE47732042}" destId="{957F5BA8-9C32-4C4D-8452-1DF5863CB182}" srcOrd="3" destOrd="0" parTransId="{8A70A5F9-C878-0247-B8AB-12FC35AE8C3F}" sibTransId="{15CDF3A0-99AA-C74E-81EA-AB846DA55789}"/>
    <dgm:cxn modelId="{50CC25B8-4437-2444-9EEB-8B3C4674C8ED}" type="presOf" srcId="{D4980CE6-F7D0-CE47-A0A7-84F69F6BE94C}" destId="{278DD076-3EE1-2942-9223-E8F36A5F1518}" srcOrd="1" destOrd="0" presId="urn:microsoft.com/office/officeart/2005/8/layout/lProcess2"/>
    <dgm:cxn modelId="{9E7A27CA-7658-0346-A4F3-2639C3456D07}" srcId="{746F26F6-5D1A-0944-8DC6-35FE47732042}" destId="{31099202-7FEA-4647-9A90-1C74C918A024}" srcOrd="4" destOrd="0" parTransId="{961728D8-435E-C648-B431-4A180ED943A3}" sibTransId="{1C24AF24-B079-854B-84DB-2FB935449C97}"/>
    <dgm:cxn modelId="{8A166CD8-828F-3948-B0B6-6C54FF8770DB}" type="presOf" srcId="{D4980CE6-F7D0-CE47-A0A7-84F69F6BE94C}" destId="{5CD145FA-E146-A54A-8F3F-0F9E0F1DB044}" srcOrd="0" destOrd="0" presId="urn:microsoft.com/office/officeart/2005/8/layout/lProcess2"/>
    <dgm:cxn modelId="{1E8082FB-E541-9940-8036-D85AE281FC73}" srcId="{746F26F6-5D1A-0944-8DC6-35FE47732042}" destId="{7EC21A34-FEA3-E045-AC1A-CDD9AEAF368B}" srcOrd="1" destOrd="0" parTransId="{F39AF749-36EE-284C-955B-D565E3F1CA46}" sibTransId="{635C60D7-D865-1F49-8C9F-EEBDB690D6A0}"/>
    <dgm:cxn modelId="{72513BFD-8437-C541-81DD-B83C7583DEA6}" srcId="{746F26F6-5D1A-0944-8DC6-35FE47732042}" destId="{2AA6246B-3BDD-134E-A3D7-DBF0173D5111}" srcOrd="2" destOrd="0" parTransId="{BBAEE73E-5B0C-D140-9758-E05EE6D58878}" sibTransId="{DD69619C-AF81-0342-91DE-C0AFD3D175CB}"/>
    <dgm:cxn modelId="{00135D0B-585F-2B48-9AEF-F02D86FC4899}" type="presParOf" srcId="{9D5A7992-4225-7B48-AFFE-668D761CB329}" destId="{FB176219-B752-2D49-BC7B-0BA80AFFD480}" srcOrd="0" destOrd="0" presId="urn:microsoft.com/office/officeart/2005/8/layout/lProcess2"/>
    <dgm:cxn modelId="{2F4CFCDC-5ED4-CD4B-BF67-3E9278D33197}" type="presParOf" srcId="{FB176219-B752-2D49-BC7B-0BA80AFFD480}" destId="{5CD145FA-E146-A54A-8F3F-0F9E0F1DB044}" srcOrd="0" destOrd="0" presId="urn:microsoft.com/office/officeart/2005/8/layout/lProcess2"/>
    <dgm:cxn modelId="{7DCC0C21-958D-704A-B9F9-946EA86C4D23}" type="presParOf" srcId="{FB176219-B752-2D49-BC7B-0BA80AFFD480}" destId="{278DD076-3EE1-2942-9223-E8F36A5F1518}" srcOrd="1" destOrd="0" presId="urn:microsoft.com/office/officeart/2005/8/layout/lProcess2"/>
    <dgm:cxn modelId="{EF2E0B11-C33E-C64C-8F51-EE432C2497B2}" type="presParOf" srcId="{FB176219-B752-2D49-BC7B-0BA80AFFD480}" destId="{3538F37F-486D-A840-95C5-071618297BAC}" srcOrd="2" destOrd="0" presId="urn:microsoft.com/office/officeart/2005/8/layout/lProcess2"/>
    <dgm:cxn modelId="{DBE3D3A8-0F94-1A41-AFD8-BF63DEF7E17D}" type="presParOf" srcId="{3538F37F-486D-A840-95C5-071618297BAC}" destId="{A085A8E0-B264-7844-A72E-E1935C2820DE}" srcOrd="0" destOrd="0" presId="urn:microsoft.com/office/officeart/2005/8/layout/lProcess2"/>
    <dgm:cxn modelId="{D402DCD6-6DA0-4841-AD95-35A704B6EEEA}" type="presParOf" srcId="{9D5A7992-4225-7B48-AFFE-668D761CB329}" destId="{6BC02753-6C0F-DB47-897D-1197427F06BA}" srcOrd="1" destOrd="0" presId="urn:microsoft.com/office/officeart/2005/8/layout/lProcess2"/>
    <dgm:cxn modelId="{B7CCDEA5-2B7E-BA46-9D9F-96E77C2DD576}" type="presParOf" srcId="{9D5A7992-4225-7B48-AFFE-668D761CB329}" destId="{B71E3B6C-8F70-644F-BCA1-DC4B608E4F31}" srcOrd="2" destOrd="0" presId="urn:microsoft.com/office/officeart/2005/8/layout/lProcess2"/>
    <dgm:cxn modelId="{9AC6FCEA-E6CF-3C47-A9B0-637970646032}" type="presParOf" srcId="{B71E3B6C-8F70-644F-BCA1-DC4B608E4F31}" destId="{7DBF70EA-244E-EA49-BB49-29814E75AD5A}" srcOrd="0" destOrd="0" presId="urn:microsoft.com/office/officeart/2005/8/layout/lProcess2"/>
    <dgm:cxn modelId="{B6E1C260-0CFD-CD42-BCDB-35790D041ECB}" type="presParOf" srcId="{B71E3B6C-8F70-644F-BCA1-DC4B608E4F31}" destId="{71DA5FAB-8837-FD4D-8695-B1C8E0DB93EA}" srcOrd="1" destOrd="0" presId="urn:microsoft.com/office/officeart/2005/8/layout/lProcess2"/>
    <dgm:cxn modelId="{A634454C-E5CC-0B44-95E4-05099C6BE9CE}" type="presParOf" srcId="{B71E3B6C-8F70-644F-BCA1-DC4B608E4F31}" destId="{EA764500-6C6F-C94A-85FE-D2E7960C23FB}" srcOrd="2" destOrd="0" presId="urn:microsoft.com/office/officeart/2005/8/layout/lProcess2"/>
    <dgm:cxn modelId="{89396BDE-B7F8-704F-A820-43CE95664B05}" type="presParOf" srcId="{EA764500-6C6F-C94A-85FE-D2E7960C23FB}" destId="{DFD37B1E-CAEF-2F43-9D35-4F8060DC8597}" srcOrd="0" destOrd="0" presId="urn:microsoft.com/office/officeart/2005/8/layout/lProcess2"/>
    <dgm:cxn modelId="{8C435206-44EB-C641-84CD-5AE571580C41}" type="presParOf" srcId="{9D5A7992-4225-7B48-AFFE-668D761CB329}" destId="{48194566-6DAE-834F-8A84-FAF807BC190E}" srcOrd="3" destOrd="0" presId="urn:microsoft.com/office/officeart/2005/8/layout/lProcess2"/>
    <dgm:cxn modelId="{1DCEFE82-2E96-1643-A192-4645B0AD3E21}" type="presParOf" srcId="{9D5A7992-4225-7B48-AFFE-668D761CB329}" destId="{C935ADC1-C787-A14F-B752-F6C774315839}" srcOrd="4" destOrd="0" presId="urn:microsoft.com/office/officeart/2005/8/layout/lProcess2"/>
    <dgm:cxn modelId="{78BBABCE-8C72-AB40-B824-B755B19BFA1D}" type="presParOf" srcId="{C935ADC1-C787-A14F-B752-F6C774315839}" destId="{7C05762B-351F-DE4E-85EF-2591C732D80C}" srcOrd="0" destOrd="0" presId="urn:microsoft.com/office/officeart/2005/8/layout/lProcess2"/>
    <dgm:cxn modelId="{ED32E76B-8A3C-5240-AE50-77B7DE79D5AC}" type="presParOf" srcId="{C935ADC1-C787-A14F-B752-F6C774315839}" destId="{6909DB2D-448A-3646-8EED-E3BA3444A4E1}" srcOrd="1" destOrd="0" presId="urn:microsoft.com/office/officeart/2005/8/layout/lProcess2"/>
    <dgm:cxn modelId="{C58042F1-BD4D-DE49-9756-1655868E6FF9}" type="presParOf" srcId="{C935ADC1-C787-A14F-B752-F6C774315839}" destId="{E7C30FBF-D2C7-C443-A22C-BB5080DF3519}" srcOrd="2" destOrd="0" presId="urn:microsoft.com/office/officeart/2005/8/layout/lProcess2"/>
    <dgm:cxn modelId="{0CA14356-B6DB-E040-B4EF-6CF0591EE401}" type="presParOf" srcId="{E7C30FBF-D2C7-C443-A22C-BB5080DF3519}" destId="{057A3BA9-A0AC-8D4F-9110-BD77AB2EBD40}" srcOrd="0" destOrd="0" presId="urn:microsoft.com/office/officeart/2005/8/layout/lProcess2"/>
    <dgm:cxn modelId="{75E630B7-7E59-234D-ACD0-3D42EE50BE89}" type="presParOf" srcId="{9D5A7992-4225-7B48-AFFE-668D761CB329}" destId="{ED54DEA4-9BCA-F443-B124-52BA888BA928}" srcOrd="5" destOrd="0" presId="urn:microsoft.com/office/officeart/2005/8/layout/lProcess2"/>
    <dgm:cxn modelId="{D952F4F6-35F0-3F44-93F6-1C21898CF3A5}" type="presParOf" srcId="{9D5A7992-4225-7B48-AFFE-668D761CB329}" destId="{9C4D010D-6D09-AE43-8205-A2E6FB427F36}" srcOrd="6" destOrd="0" presId="urn:microsoft.com/office/officeart/2005/8/layout/lProcess2"/>
    <dgm:cxn modelId="{D13983AD-C2B8-9A42-85BB-9BDF1FA81C7E}" type="presParOf" srcId="{9C4D010D-6D09-AE43-8205-A2E6FB427F36}" destId="{E55ADE17-E282-F446-8A54-70C1BB5520AC}" srcOrd="0" destOrd="0" presId="urn:microsoft.com/office/officeart/2005/8/layout/lProcess2"/>
    <dgm:cxn modelId="{D396462F-298A-8742-9E0C-C0F7F54C0BC2}" type="presParOf" srcId="{9C4D010D-6D09-AE43-8205-A2E6FB427F36}" destId="{05846D77-64C1-6940-9F6B-C3DDB447B020}" srcOrd="1" destOrd="0" presId="urn:microsoft.com/office/officeart/2005/8/layout/lProcess2"/>
    <dgm:cxn modelId="{16E19109-3AED-0644-B589-92ADD062A809}" type="presParOf" srcId="{9C4D010D-6D09-AE43-8205-A2E6FB427F36}" destId="{517FCCA6-E207-C349-88A8-1347E644C828}" srcOrd="2" destOrd="0" presId="urn:microsoft.com/office/officeart/2005/8/layout/lProcess2"/>
    <dgm:cxn modelId="{16591CFD-EC5E-EC48-8E0D-4A4CDF610140}" type="presParOf" srcId="{517FCCA6-E207-C349-88A8-1347E644C828}" destId="{5ABFC67A-9EF2-404B-9BFE-4EEAE2F7C1C1}" srcOrd="0" destOrd="0" presId="urn:microsoft.com/office/officeart/2005/8/layout/lProcess2"/>
    <dgm:cxn modelId="{45F1E417-49E0-3D43-BC8E-18DC9422776E}" type="presParOf" srcId="{9D5A7992-4225-7B48-AFFE-668D761CB329}" destId="{49A569F2-CD04-0642-8932-FB762E96641D}" srcOrd="7" destOrd="0" presId="urn:microsoft.com/office/officeart/2005/8/layout/lProcess2"/>
    <dgm:cxn modelId="{3F07E686-61D5-D447-8748-7051E30ACBE5}" type="presParOf" srcId="{9D5A7992-4225-7B48-AFFE-668D761CB329}" destId="{ACFA996D-C545-7541-AE13-2D58E3FBD7C7}" srcOrd="8" destOrd="0" presId="urn:microsoft.com/office/officeart/2005/8/layout/lProcess2"/>
    <dgm:cxn modelId="{11143EF7-93F9-5845-993C-ED92EC76F975}" type="presParOf" srcId="{ACFA996D-C545-7541-AE13-2D58E3FBD7C7}" destId="{7AC70080-E084-7441-8F98-1DE316364408}" srcOrd="0" destOrd="0" presId="urn:microsoft.com/office/officeart/2005/8/layout/lProcess2"/>
    <dgm:cxn modelId="{3B60875E-DE9A-6E4F-96D4-59BB008A2DB4}" type="presParOf" srcId="{ACFA996D-C545-7541-AE13-2D58E3FBD7C7}" destId="{E8F5F0E3-F7E3-9C49-9BDE-9C9A0829E94B}" srcOrd="1" destOrd="0" presId="urn:microsoft.com/office/officeart/2005/8/layout/lProcess2"/>
    <dgm:cxn modelId="{9319FAAA-AF35-9F45-A94C-8ED798D29ED6}" type="presParOf" srcId="{ACFA996D-C545-7541-AE13-2D58E3FBD7C7}" destId="{31A9A04E-7BA5-B84B-88C6-09527E00A997}" srcOrd="2" destOrd="0" presId="urn:microsoft.com/office/officeart/2005/8/layout/lProcess2"/>
    <dgm:cxn modelId="{33FD8AB8-046A-EB47-B90C-85FC67273B5F}" type="presParOf" srcId="{31A9A04E-7BA5-B84B-88C6-09527E00A997}" destId="{0BB52498-CED1-3446-B25C-5D5D106176E0}" srcOrd="0" destOrd="0" presId="urn:microsoft.com/office/officeart/2005/8/layout/lProcess2"/>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084ABF22-1B40-BA45-AFF0-B46003585E39}" type="doc">
      <dgm:prSet loTypeId="urn:microsoft.com/office/officeart/2005/8/layout/pyramid2" loCatId="" qsTypeId="urn:microsoft.com/office/officeart/2005/8/quickstyle/simple4" qsCatId="simple" csTypeId="urn:microsoft.com/office/officeart/2005/8/colors/accent1_4" csCatId="accent1" phldr="1"/>
      <dgm:spPr/>
    </dgm:pt>
    <dgm:pt modelId="{FEAB284F-4DD3-BC4D-94C2-1F3ACB0F0C36}">
      <dgm:prSet phldrT="[Text]"/>
      <dgm:spPr/>
      <dgm:t>
        <a:bodyPr/>
        <a:lstStyle/>
        <a:p>
          <a:r>
            <a:rPr lang="en-US"/>
            <a:t>Can perform, discuss risks, consent and perform on patient</a:t>
          </a:r>
        </a:p>
      </dgm:t>
    </dgm:pt>
    <dgm:pt modelId="{17D77781-E8F6-124A-8FA5-F4CF3DAAD626}" type="parTrans" cxnId="{A99CB363-0E36-6D49-9B49-BE18C8C19BC9}">
      <dgm:prSet/>
      <dgm:spPr/>
      <dgm:t>
        <a:bodyPr/>
        <a:lstStyle/>
        <a:p>
          <a:endParaRPr lang="en-US"/>
        </a:p>
      </dgm:t>
    </dgm:pt>
    <dgm:pt modelId="{80F17B67-CC80-194E-A6A9-B53C885FE201}" type="sibTrans" cxnId="{A99CB363-0E36-6D49-9B49-BE18C8C19BC9}">
      <dgm:prSet/>
      <dgm:spPr/>
      <dgm:t>
        <a:bodyPr/>
        <a:lstStyle/>
        <a:p>
          <a:endParaRPr lang="en-US"/>
        </a:p>
      </dgm:t>
    </dgm:pt>
    <dgm:pt modelId="{0A6167D5-E1DA-CF45-B585-039F995DFF16}">
      <dgm:prSet phldrT="[Text]"/>
      <dgm:spPr/>
      <dgm:t>
        <a:bodyPr/>
        <a:lstStyle/>
        <a:p>
          <a:r>
            <a:rPr lang="en-US"/>
            <a:t>Can perform skill and understands indications, risks and benefits</a:t>
          </a:r>
        </a:p>
      </dgm:t>
    </dgm:pt>
    <dgm:pt modelId="{F5E560CF-DAF9-C840-9AD3-34EA05BA0159}" type="parTrans" cxnId="{F34469F7-D9C8-D04B-AF6D-513DA2BB2ABF}">
      <dgm:prSet/>
      <dgm:spPr/>
      <dgm:t>
        <a:bodyPr/>
        <a:lstStyle/>
        <a:p>
          <a:endParaRPr lang="en-US"/>
        </a:p>
      </dgm:t>
    </dgm:pt>
    <dgm:pt modelId="{CD0E2044-E450-5F4D-B5C1-6F5FBD2D9446}" type="sibTrans" cxnId="{F34469F7-D9C8-D04B-AF6D-513DA2BB2ABF}">
      <dgm:prSet/>
      <dgm:spPr/>
      <dgm:t>
        <a:bodyPr/>
        <a:lstStyle/>
        <a:p>
          <a:endParaRPr lang="en-US"/>
        </a:p>
      </dgm:t>
    </dgm:pt>
    <dgm:pt modelId="{7CC58348-7C1B-7F40-B830-1E8819CF6595}">
      <dgm:prSet phldrT="[Text]"/>
      <dgm:spPr/>
      <dgm:t>
        <a:bodyPr/>
        <a:lstStyle/>
        <a:p>
          <a:r>
            <a:rPr lang="en-US"/>
            <a:t>Can perform a technical simulated skill eg cannula</a:t>
          </a:r>
        </a:p>
      </dgm:t>
    </dgm:pt>
    <dgm:pt modelId="{CB5A4FCD-D344-B543-AB56-02EE57817FFC}" type="parTrans" cxnId="{A86BCFF5-4682-DD44-915E-564302ED3DA9}">
      <dgm:prSet/>
      <dgm:spPr/>
      <dgm:t>
        <a:bodyPr/>
        <a:lstStyle/>
        <a:p>
          <a:endParaRPr lang="en-US"/>
        </a:p>
      </dgm:t>
    </dgm:pt>
    <dgm:pt modelId="{74C920B2-3371-D941-A6B4-CB6615635713}" type="sibTrans" cxnId="{A86BCFF5-4682-DD44-915E-564302ED3DA9}">
      <dgm:prSet/>
      <dgm:spPr/>
      <dgm:t>
        <a:bodyPr/>
        <a:lstStyle/>
        <a:p>
          <a:endParaRPr lang="en-US"/>
        </a:p>
      </dgm:t>
    </dgm:pt>
    <dgm:pt modelId="{65A25F49-8019-3746-9FBA-CDFCD2FC3310}">
      <dgm:prSet phldrT="[Text]"/>
      <dgm:spPr/>
      <dgm:t>
        <a:bodyPr/>
        <a:lstStyle/>
        <a:p>
          <a:r>
            <a:rPr lang="en-US"/>
            <a:t>Can perform in clinical environment with minor distractions and trouble shoot if unsuccessful</a:t>
          </a:r>
        </a:p>
      </dgm:t>
    </dgm:pt>
    <dgm:pt modelId="{25BCEF6A-9AD7-574B-8191-534468315845}" type="parTrans" cxnId="{57744F37-5C34-E54C-A238-6E088C311F46}">
      <dgm:prSet/>
      <dgm:spPr/>
      <dgm:t>
        <a:bodyPr/>
        <a:lstStyle/>
        <a:p>
          <a:endParaRPr lang="en-US"/>
        </a:p>
      </dgm:t>
    </dgm:pt>
    <dgm:pt modelId="{37D0F9A9-8B19-B348-9A97-DE8E185DA96D}" type="sibTrans" cxnId="{57744F37-5C34-E54C-A238-6E088C311F46}">
      <dgm:prSet/>
      <dgm:spPr/>
      <dgm:t>
        <a:bodyPr/>
        <a:lstStyle/>
        <a:p>
          <a:endParaRPr lang="en-US"/>
        </a:p>
      </dgm:t>
    </dgm:pt>
    <dgm:pt modelId="{99E93609-8374-B042-B448-1944E09B11CF}">
      <dgm:prSet phldrT="[Text]"/>
      <dgm:spPr/>
      <dgm:t>
        <a:bodyPr/>
        <a:lstStyle/>
        <a:p>
          <a:r>
            <a:rPr lang="en-US"/>
            <a:t>Can perform in clinical environment under time pressure and distractions</a:t>
          </a:r>
        </a:p>
      </dgm:t>
    </dgm:pt>
    <dgm:pt modelId="{07B3D984-C1A7-4445-8780-5CA0D26EA3F2}" type="parTrans" cxnId="{15947A6B-A805-A243-817C-1D757698159E}">
      <dgm:prSet/>
      <dgm:spPr/>
      <dgm:t>
        <a:bodyPr/>
        <a:lstStyle/>
        <a:p>
          <a:endParaRPr lang="en-US"/>
        </a:p>
      </dgm:t>
    </dgm:pt>
    <dgm:pt modelId="{8334DBFA-9AFE-D947-BAB4-5BD9B5E40263}" type="sibTrans" cxnId="{15947A6B-A805-A243-817C-1D757698159E}">
      <dgm:prSet/>
      <dgm:spPr/>
      <dgm:t>
        <a:bodyPr/>
        <a:lstStyle/>
        <a:p>
          <a:endParaRPr lang="en-US"/>
        </a:p>
      </dgm:t>
    </dgm:pt>
    <dgm:pt modelId="{CCBC6DDD-2D09-0444-B663-2D7D40B9BAFF}">
      <dgm:prSet phldrT="[Text]"/>
      <dgm:spPr/>
      <dgm:t>
        <a:bodyPr/>
        <a:lstStyle/>
        <a:p>
          <a:r>
            <a:rPr lang="en-US"/>
            <a:t>Can perform in clinical environment with acutely unwell patient (time pressure) and communicate with patient, team, relative</a:t>
          </a:r>
        </a:p>
      </dgm:t>
    </dgm:pt>
    <dgm:pt modelId="{328F41D7-1019-694B-BF5F-B1AB7358C9B7}" type="parTrans" cxnId="{38F47672-52D3-6E42-BAFE-0EB195004E7B}">
      <dgm:prSet/>
      <dgm:spPr/>
      <dgm:t>
        <a:bodyPr/>
        <a:lstStyle/>
        <a:p>
          <a:endParaRPr lang="en-US"/>
        </a:p>
      </dgm:t>
    </dgm:pt>
    <dgm:pt modelId="{E7DA5E02-537E-5840-9C44-10B6CBB64E95}" type="sibTrans" cxnId="{38F47672-52D3-6E42-BAFE-0EB195004E7B}">
      <dgm:prSet/>
      <dgm:spPr/>
      <dgm:t>
        <a:bodyPr/>
        <a:lstStyle/>
        <a:p>
          <a:endParaRPr lang="en-US"/>
        </a:p>
      </dgm:t>
    </dgm:pt>
    <dgm:pt modelId="{98A6DF9B-F213-884F-B7E9-7D3DA53930FB}" type="pres">
      <dgm:prSet presAssocID="{084ABF22-1B40-BA45-AFF0-B46003585E39}" presName="compositeShape" presStyleCnt="0">
        <dgm:presLayoutVars>
          <dgm:dir/>
          <dgm:resizeHandles/>
        </dgm:presLayoutVars>
      </dgm:prSet>
      <dgm:spPr/>
    </dgm:pt>
    <dgm:pt modelId="{DD6DA78C-C7AB-064F-A943-93AE296E1FB1}" type="pres">
      <dgm:prSet presAssocID="{084ABF22-1B40-BA45-AFF0-B46003585E39}" presName="pyramid" presStyleLbl="node1" presStyleIdx="0" presStyleCnt="1"/>
      <dgm:spPr/>
    </dgm:pt>
    <dgm:pt modelId="{4AA79C63-6D50-1C49-BFAF-ECDBE30C7461}" type="pres">
      <dgm:prSet presAssocID="{084ABF22-1B40-BA45-AFF0-B46003585E39}" presName="theList" presStyleCnt="0"/>
      <dgm:spPr/>
    </dgm:pt>
    <dgm:pt modelId="{1FCF827D-C7B7-CD46-AE07-C0566FC7D74B}" type="pres">
      <dgm:prSet presAssocID="{CCBC6DDD-2D09-0444-B663-2D7D40B9BAFF}" presName="aNode" presStyleLbl="fgAcc1" presStyleIdx="0" presStyleCnt="6" custLinFactNeighborX="1652" custLinFactNeighborY="-69512">
        <dgm:presLayoutVars>
          <dgm:bulletEnabled val="1"/>
        </dgm:presLayoutVars>
      </dgm:prSet>
      <dgm:spPr/>
    </dgm:pt>
    <dgm:pt modelId="{A3E34B54-909D-B74E-A0FF-5E4DF056188F}" type="pres">
      <dgm:prSet presAssocID="{CCBC6DDD-2D09-0444-B663-2D7D40B9BAFF}" presName="aSpace" presStyleCnt="0"/>
      <dgm:spPr/>
    </dgm:pt>
    <dgm:pt modelId="{6F551520-2458-C34A-B483-96C58D36C861}" type="pres">
      <dgm:prSet presAssocID="{99E93609-8374-B042-B448-1944E09B11CF}" presName="aNode" presStyleLbl="fgAcc1" presStyleIdx="1" presStyleCnt="6">
        <dgm:presLayoutVars>
          <dgm:bulletEnabled val="1"/>
        </dgm:presLayoutVars>
      </dgm:prSet>
      <dgm:spPr/>
    </dgm:pt>
    <dgm:pt modelId="{59AA22C2-AEFE-7541-A4AD-2818E0B4816A}" type="pres">
      <dgm:prSet presAssocID="{99E93609-8374-B042-B448-1944E09B11CF}" presName="aSpace" presStyleCnt="0"/>
      <dgm:spPr/>
    </dgm:pt>
    <dgm:pt modelId="{1BA2A990-ABF7-6A47-8CC5-83DCD40EC4B0}" type="pres">
      <dgm:prSet presAssocID="{65A25F49-8019-3746-9FBA-CDFCD2FC3310}" presName="aNode" presStyleLbl="fgAcc1" presStyleIdx="2" presStyleCnt="6">
        <dgm:presLayoutVars>
          <dgm:bulletEnabled val="1"/>
        </dgm:presLayoutVars>
      </dgm:prSet>
      <dgm:spPr/>
    </dgm:pt>
    <dgm:pt modelId="{A26D009D-C813-5C4A-977D-272CEF565300}" type="pres">
      <dgm:prSet presAssocID="{65A25F49-8019-3746-9FBA-CDFCD2FC3310}" presName="aSpace" presStyleCnt="0"/>
      <dgm:spPr/>
    </dgm:pt>
    <dgm:pt modelId="{039CDB08-B176-E541-86EF-38438DD7007C}" type="pres">
      <dgm:prSet presAssocID="{FEAB284F-4DD3-BC4D-94C2-1F3ACB0F0C36}" presName="aNode" presStyleLbl="fgAcc1" presStyleIdx="3" presStyleCnt="6">
        <dgm:presLayoutVars>
          <dgm:bulletEnabled val="1"/>
        </dgm:presLayoutVars>
      </dgm:prSet>
      <dgm:spPr/>
    </dgm:pt>
    <dgm:pt modelId="{0E531418-1F72-C940-A4A6-EF92E8856C20}" type="pres">
      <dgm:prSet presAssocID="{FEAB284F-4DD3-BC4D-94C2-1F3ACB0F0C36}" presName="aSpace" presStyleCnt="0"/>
      <dgm:spPr/>
    </dgm:pt>
    <dgm:pt modelId="{5958F73E-E8E5-6D4D-9504-2F3468E2AB2A}" type="pres">
      <dgm:prSet presAssocID="{0A6167D5-E1DA-CF45-B585-039F995DFF16}" presName="aNode" presStyleLbl="fgAcc1" presStyleIdx="4" presStyleCnt="6">
        <dgm:presLayoutVars>
          <dgm:bulletEnabled val="1"/>
        </dgm:presLayoutVars>
      </dgm:prSet>
      <dgm:spPr/>
    </dgm:pt>
    <dgm:pt modelId="{D9CAC80E-5196-7148-A3B5-9B1C1AF16BAC}" type="pres">
      <dgm:prSet presAssocID="{0A6167D5-E1DA-CF45-B585-039F995DFF16}" presName="aSpace" presStyleCnt="0"/>
      <dgm:spPr/>
    </dgm:pt>
    <dgm:pt modelId="{5A64F271-D9D8-2648-91DD-00360B69CB23}" type="pres">
      <dgm:prSet presAssocID="{7CC58348-7C1B-7F40-B830-1E8819CF6595}" presName="aNode" presStyleLbl="fgAcc1" presStyleIdx="5" presStyleCnt="6">
        <dgm:presLayoutVars>
          <dgm:bulletEnabled val="1"/>
        </dgm:presLayoutVars>
      </dgm:prSet>
      <dgm:spPr/>
    </dgm:pt>
    <dgm:pt modelId="{E6861EA7-2AF3-D04C-AAA9-04351055B6D2}" type="pres">
      <dgm:prSet presAssocID="{7CC58348-7C1B-7F40-B830-1E8819CF6595}" presName="aSpace" presStyleCnt="0"/>
      <dgm:spPr/>
    </dgm:pt>
  </dgm:ptLst>
  <dgm:cxnLst>
    <dgm:cxn modelId="{42732B18-D5E5-AD45-ABDE-5BA7772F9951}" type="presOf" srcId="{0A6167D5-E1DA-CF45-B585-039F995DFF16}" destId="{5958F73E-E8E5-6D4D-9504-2F3468E2AB2A}" srcOrd="0" destOrd="0" presId="urn:microsoft.com/office/officeart/2005/8/layout/pyramid2"/>
    <dgm:cxn modelId="{C7C23232-011D-BA4F-93EE-805FE8196DC0}" type="presOf" srcId="{65A25F49-8019-3746-9FBA-CDFCD2FC3310}" destId="{1BA2A990-ABF7-6A47-8CC5-83DCD40EC4B0}" srcOrd="0" destOrd="0" presId="urn:microsoft.com/office/officeart/2005/8/layout/pyramid2"/>
    <dgm:cxn modelId="{57744F37-5C34-E54C-A238-6E088C311F46}" srcId="{084ABF22-1B40-BA45-AFF0-B46003585E39}" destId="{65A25F49-8019-3746-9FBA-CDFCD2FC3310}" srcOrd="2" destOrd="0" parTransId="{25BCEF6A-9AD7-574B-8191-534468315845}" sibTransId="{37D0F9A9-8B19-B348-9A97-DE8E185DA96D}"/>
    <dgm:cxn modelId="{A99CB363-0E36-6D49-9B49-BE18C8C19BC9}" srcId="{084ABF22-1B40-BA45-AFF0-B46003585E39}" destId="{FEAB284F-4DD3-BC4D-94C2-1F3ACB0F0C36}" srcOrd="3" destOrd="0" parTransId="{17D77781-E8F6-124A-8FA5-F4CF3DAAD626}" sibTransId="{80F17B67-CC80-194E-A6A9-B53C885FE201}"/>
    <dgm:cxn modelId="{15947A6B-A805-A243-817C-1D757698159E}" srcId="{084ABF22-1B40-BA45-AFF0-B46003585E39}" destId="{99E93609-8374-B042-B448-1944E09B11CF}" srcOrd="1" destOrd="0" parTransId="{07B3D984-C1A7-4445-8780-5CA0D26EA3F2}" sibTransId="{8334DBFA-9AFE-D947-BAB4-5BD9B5E40263}"/>
    <dgm:cxn modelId="{C8BDC16B-F6E9-C448-AB96-437B17F76DB7}" type="presOf" srcId="{084ABF22-1B40-BA45-AFF0-B46003585E39}" destId="{98A6DF9B-F213-884F-B7E9-7D3DA53930FB}" srcOrd="0" destOrd="0" presId="urn:microsoft.com/office/officeart/2005/8/layout/pyramid2"/>
    <dgm:cxn modelId="{A0C3E54D-10D2-0148-8C23-DF05B03A6D4F}" type="presOf" srcId="{99E93609-8374-B042-B448-1944E09B11CF}" destId="{6F551520-2458-C34A-B483-96C58D36C861}" srcOrd="0" destOrd="0" presId="urn:microsoft.com/office/officeart/2005/8/layout/pyramid2"/>
    <dgm:cxn modelId="{38F47672-52D3-6E42-BAFE-0EB195004E7B}" srcId="{084ABF22-1B40-BA45-AFF0-B46003585E39}" destId="{CCBC6DDD-2D09-0444-B663-2D7D40B9BAFF}" srcOrd="0" destOrd="0" parTransId="{328F41D7-1019-694B-BF5F-B1AB7358C9B7}" sibTransId="{E7DA5E02-537E-5840-9C44-10B6CBB64E95}"/>
    <dgm:cxn modelId="{259C6C7F-B5C8-CE41-9C10-348C9CAB2750}" type="presOf" srcId="{CCBC6DDD-2D09-0444-B663-2D7D40B9BAFF}" destId="{1FCF827D-C7B7-CD46-AE07-C0566FC7D74B}" srcOrd="0" destOrd="0" presId="urn:microsoft.com/office/officeart/2005/8/layout/pyramid2"/>
    <dgm:cxn modelId="{FA2687A6-BB93-7349-BEF4-8C9B2E1EA220}" type="presOf" srcId="{7CC58348-7C1B-7F40-B830-1E8819CF6595}" destId="{5A64F271-D9D8-2648-91DD-00360B69CB23}" srcOrd="0" destOrd="0" presId="urn:microsoft.com/office/officeart/2005/8/layout/pyramid2"/>
    <dgm:cxn modelId="{9EDD8EE2-193D-7F4F-BD73-49AFDD75D2E5}" type="presOf" srcId="{FEAB284F-4DD3-BC4D-94C2-1F3ACB0F0C36}" destId="{039CDB08-B176-E541-86EF-38438DD7007C}" srcOrd="0" destOrd="0" presId="urn:microsoft.com/office/officeart/2005/8/layout/pyramid2"/>
    <dgm:cxn modelId="{A86BCFF5-4682-DD44-915E-564302ED3DA9}" srcId="{084ABF22-1B40-BA45-AFF0-B46003585E39}" destId="{7CC58348-7C1B-7F40-B830-1E8819CF6595}" srcOrd="5" destOrd="0" parTransId="{CB5A4FCD-D344-B543-AB56-02EE57817FFC}" sibTransId="{74C920B2-3371-D941-A6B4-CB6615635713}"/>
    <dgm:cxn modelId="{F34469F7-D9C8-D04B-AF6D-513DA2BB2ABF}" srcId="{084ABF22-1B40-BA45-AFF0-B46003585E39}" destId="{0A6167D5-E1DA-CF45-B585-039F995DFF16}" srcOrd="4" destOrd="0" parTransId="{F5E560CF-DAF9-C840-9AD3-34EA05BA0159}" sibTransId="{CD0E2044-E450-5F4D-B5C1-6F5FBD2D9446}"/>
    <dgm:cxn modelId="{05E55ED9-9F40-894A-A49F-C9CD20D90012}" type="presParOf" srcId="{98A6DF9B-F213-884F-B7E9-7D3DA53930FB}" destId="{DD6DA78C-C7AB-064F-A943-93AE296E1FB1}" srcOrd="0" destOrd="0" presId="urn:microsoft.com/office/officeart/2005/8/layout/pyramid2"/>
    <dgm:cxn modelId="{BCBFBACA-F5F7-334B-AD62-7E234769EFCD}" type="presParOf" srcId="{98A6DF9B-F213-884F-B7E9-7D3DA53930FB}" destId="{4AA79C63-6D50-1C49-BFAF-ECDBE30C7461}" srcOrd="1" destOrd="0" presId="urn:microsoft.com/office/officeart/2005/8/layout/pyramid2"/>
    <dgm:cxn modelId="{79DAD06C-0774-7C49-951F-8842F038A3E3}" type="presParOf" srcId="{4AA79C63-6D50-1C49-BFAF-ECDBE30C7461}" destId="{1FCF827D-C7B7-CD46-AE07-C0566FC7D74B}" srcOrd="0" destOrd="0" presId="urn:microsoft.com/office/officeart/2005/8/layout/pyramid2"/>
    <dgm:cxn modelId="{0E53609A-A527-0D4F-99AC-CF2CCB6210CE}" type="presParOf" srcId="{4AA79C63-6D50-1C49-BFAF-ECDBE30C7461}" destId="{A3E34B54-909D-B74E-A0FF-5E4DF056188F}" srcOrd="1" destOrd="0" presId="urn:microsoft.com/office/officeart/2005/8/layout/pyramid2"/>
    <dgm:cxn modelId="{ADA2507F-FBDB-C641-8709-77B50B0E1866}" type="presParOf" srcId="{4AA79C63-6D50-1C49-BFAF-ECDBE30C7461}" destId="{6F551520-2458-C34A-B483-96C58D36C861}" srcOrd="2" destOrd="0" presId="urn:microsoft.com/office/officeart/2005/8/layout/pyramid2"/>
    <dgm:cxn modelId="{152404D8-C7D2-4244-B46C-AD4A3A0DD367}" type="presParOf" srcId="{4AA79C63-6D50-1C49-BFAF-ECDBE30C7461}" destId="{59AA22C2-AEFE-7541-A4AD-2818E0B4816A}" srcOrd="3" destOrd="0" presId="urn:microsoft.com/office/officeart/2005/8/layout/pyramid2"/>
    <dgm:cxn modelId="{46B02BE6-C510-F94B-9960-5CB902744019}" type="presParOf" srcId="{4AA79C63-6D50-1C49-BFAF-ECDBE30C7461}" destId="{1BA2A990-ABF7-6A47-8CC5-83DCD40EC4B0}" srcOrd="4" destOrd="0" presId="urn:microsoft.com/office/officeart/2005/8/layout/pyramid2"/>
    <dgm:cxn modelId="{0BF9F208-D787-8543-83D1-EB4CF8A57C35}" type="presParOf" srcId="{4AA79C63-6D50-1C49-BFAF-ECDBE30C7461}" destId="{A26D009D-C813-5C4A-977D-272CEF565300}" srcOrd="5" destOrd="0" presId="urn:microsoft.com/office/officeart/2005/8/layout/pyramid2"/>
    <dgm:cxn modelId="{923141C5-341A-D24B-B177-F1350CB542D1}" type="presParOf" srcId="{4AA79C63-6D50-1C49-BFAF-ECDBE30C7461}" destId="{039CDB08-B176-E541-86EF-38438DD7007C}" srcOrd="6" destOrd="0" presId="urn:microsoft.com/office/officeart/2005/8/layout/pyramid2"/>
    <dgm:cxn modelId="{58BAC9E3-1464-6543-8693-893D9C4089BE}" type="presParOf" srcId="{4AA79C63-6D50-1C49-BFAF-ECDBE30C7461}" destId="{0E531418-1F72-C940-A4A6-EF92E8856C20}" srcOrd="7" destOrd="0" presId="urn:microsoft.com/office/officeart/2005/8/layout/pyramid2"/>
    <dgm:cxn modelId="{EC4B7AB3-EDF0-CB40-BB98-2EC498382D21}" type="presParOf" srcId="{4AA79C63-6D50-1C49-BFAF-ECDBE30C7461}" destId="{5958F73E-E8E5-6D4D-9504-2F3468E2AB2A}" srcOrd="8" destOrd="0" presId="urn:microsoft.com/office/officeart/2005/8/layout/pyramid2"/>
    <dgm:cxn modelId="{9AA598F7-DC91-CF42-B243-BC86871A24F8}" type="presParOf" srcId="{4AA79C63-6D50-1C49-BFAF-ECDBE30C7461}" destId="{D9CAC80E-5196-7148-A3B5-9B1C1AF16BAC}" srcOrd="9" destOrd="0" presId="urn:microsoft.com/office/officeart/2005/8/layout/pyramid2"/>
    <dgm:cxn modelId="{8A510CED-E2F2-7A40-9A6D-35BF57C593EB}" type="presParOf" srcId="{4AA79C63-6D50-1C49-BFAF-ECDBE30C7461}" destId="{5A64F271-D9D8-2648-91DD-00360B69CB23}" srcOrd="10" destOrd="0" presId="urn:microsoft.com/office/officeart/2005/8/layout/pyramid2"/>
    <dgm:cxn modelId="{F8632C14-0B3E-F442-B5C8-70CCE61DED6F}" type="presParOf" srcId="{4AA79C63-6D50-1C49-BFAF-ECDBE30C7461}" destId="{E6861EA7-2AF3-D04C-AAA9-04351055B6D2}" srcOrd="11" destOrd="0" presId="urn:microsoft.com/office/officeart/2005/8/layout/pyramid2"/>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84218796-1B18-AE47-9D30-EC29858E97D6}" type="doc">
      <dgm:prSet loTypeId="urn:microsoft.com/office/officeart/2005/8/layout/lProcess3" loCatId="" qsTypeId="urn:microsoft.com/office/officeart/2005/8/quickstyle/simple2" qsCatId="simple" csTypeId="urn:microsoft.com/office/officeart/2005/8/colors/colorful4" csCatId="colorful" phldr="1"/>
      <dgm:spPr/>
      <dgm:t>
        <a:bodyPr/>
        <a:lstStyle/>
        <a:p>
          <a:endParaRPr lang="en-US"/>
        </a:p>
      </dgm:t>
    </dgm:pt>
    <dgm:pt modelId="{6BBFF303-2788-FF4C-80F2-CE18FC41E265}">
      <dgm:prSet phldrT="[Text]"/>
      <dgm:spPr/>
      <dgm:t>
        <a:bodyPr/>
        <a:lstStyle/>
        <a:p>
          <a:r>
            <a:rPr lang="en-US"/>
            <a:t>Stage 1</a:t>
          </a:r>
        </a:p>
      </dgm:t>
    </dgm:pt>
    <dgm:pt modelId="{DDE53121-E591-0544-AB7C-CBD8E274DB39}" type="parTrans" cxnId="{14474BCC-F18E-E044-9F99-18B7071B40AB}">
      <dgm:prSet/>
      <dgm:spPr/>
      <dgm:t>
        <a:bodyPr/>
        <a:lstStyle/>
        <a:p>
          <a:endParaRPr lang="en-US"/>
        </a:p>
      </dgm:t>
    </dgm:pt>
    <dgm:pt modelId="{CEFCEAD8-D17D-564B-A353-9E1A454C004F}" type="sibTrans" cxnId="{14474BCC-F18E-E044-9F99-18B7071B40AB}">
      <dgm:prSet/>
      <dgm:spPr/>
      <dgm:t>
        <a:bodyPr/>
        <a:lstStyle/>
        <a:p>
          <a:endParaRPr lang="en-US"/>
        </a:p>
      </dgm:t>
    </dgm:pt>
    <dgm:pt modelId="{A8E075B8-443F-BE4B-81E3-1F0968B4B395}">
      <dgm:prSet phldrT="[Text]"/>
      <dgm:spPr/>
      <dgm:t>
        <a:bodyPr/>
        <a:lstStyle/>
        <a:p>
          <a:r>
            <a:rPr lang="en-US"/>
            <a:t>Learning needs analysis</a:t>
          </a:r>
        </a:p>
      </dgm:t>
    </dgm:pt>
    <dgm:pt modelId="{1044C8E8-2490-E445-8E8A-A3C33977DCEE}" type="parTrans" cxnId="{EC2114F6-BA93-0643-A9ED-0B801249B3E0}">
      <dgm:prSet/>
      <dgm:spPr/>
      <dgm:t>
        <a:bodyPr/>
        <a:lstStyle/>
        <a:p>
          <a:endParaRPr lang="en-US"/>
        </a:p>
      </dgm:t>
    </dgm:pt>
    <dgm:pt modelId="{C2D354D7-BC70-C34A-B57B-6734E5A02199}" type="sibTrans" cxnId="{EC2114F6-BA93-0643-A9ED-0B801249B3E0}">
      <dgm:prSet/>
      <dgm:spPr/>
      <dgm:t>
        <a:bodyPr/>
        <a:lstStyle/>
        <a:p>
          <a:endParaRPr lang="en-US"/>
        </a:p>
      </dgm:t>
    </dgm:pt>
    <dgm:pt modelId="{F37C6FE1-D6E7-AC42-B4DA-BFDBF2BFBBA6}">
      <dgm:prSet phldrT="[Text]"/>
      <dgm:spPr/>
      <dgm:t>
        <a:bodyPr/>
        <a:lstStyle/>
        <a:p>
          <a:r>
            <a:rPr lang="en-US"/>
            <a:t>When </a:t>
          </a:r>
        </a:p>
      </dgm:t>
    </dgm:pt>
    <dgm:pt modelId="{B6889484-6EF2-F047-BF33-57F13C59E857}" type="parTrans" cxnId="{91305828-5E7E-F543-AD66-D43E5F780262}">
      <dgm:prSet/>
      <dgm:spPr/>
      <dgm:t>
        <a:bodyPr/>
        <a:lstStyle/>
        <a:p>
          <a:endParaRPr lang="en-US"/>
        </a:p>
      </dgm:t>
    </dgm:pt>
    <dgm:pt modelId="{1A279CBC-7F31-F047-9C18-BACB92F80B7C}" type="sibTrans" cxnId="{91305828-5E7E-F543-AD66-D43E5F780262}">
      <dgm:prSet/>
      <dgm:spPr/>
      <dgm:t>
        <a:bodyPr/>
        <a:lstStyle/>
        <a:p>
          <a:endParaRPr lang="en-US"/>
        </a:p>
      </dgm:t>
    </dgm:pt>
    <dgm:pt modelId="{5EF4FABA-9E62-0E4E-9980-84C96432D357}">
      <dgm:prSet phldrT="[Text]"/>
      <dgm:spPr/>
      <dgm:t>
        <a:bodyPr/>
        <a:lstStyle/>
        <a:p>
          <a:r>
            <a:rPr lang="en-US"/>
            <a:t>Who</a:t>
          </a:r>
        </a:p>
      </dgm:t>
    </dgm:pt>
    <dgm:pt modelId="{39D61DE6-58E0-B84F-B953-ACF66F640AA9}" type="parTrans" cxnId="{77CB593E-E73F-1D4E-8E5F-D7A1E33DCF6A}">
      <dgm:prSet/>
      <dgm:spPr/>
      <dgm:t>
        <a:bodyPr/>
        <a:lstStyle/>
        <a:p>
          <a:endParaRPr lang="en-US"/>
        </a:p>
      </dgm:t>
    </dgm:pt>
    <dgm:pt modelId="{4979B692-305E-F545-9931-09AE92665EE0}" type="sibTrans" cxnId="{77CB593E-E73F-1D4E-8E5F-D7A1E33DCF6A}">
      <dgm:prSet/>
      <dgm:spPr/>
      <dgm:t>
        <a:bodyPr/>
        <a:lstStyle/>
        <a:p>
          <a:endParaRPr lang="en-US"/>
        </a:p>
      </dgm:t>
    </dgm:pt>
    <dgm:pt modelId="{522BF6C0-FDC6-664E-AD1A-9F3FF8E2B521}">
      <dgm:prSet phldrT="[Text]"/>
      <dgm:spPr/>
      <dgm:t>
        <a:bodyPr/>
        <a:lstStyle/>
        <a:p>
          <a:r>
            <a:rPr lang="en-US"/>
            <a:t>Stage 3</a:t>
          </a:r>
        </a:p>
      </dgm:t>
    </dgm:pt>
    <dgm:pt modelId="{E8B8A409-B7EF-5348-8AA5-E2B64BAA25FB}" type="parTrans" cxnId="{CEBFA63F-B55F-ED48-A644-18832208F252}">
      <dgm:prSet/>
      <dgm:spPr/>
      <dgm:t>
        <a:bodyPr/>
        <a:lstStyle/>
        <a:p>
          <a:endParaRPr lang="en-US"/>
        </a:p>
      </dgm:t>
    </dgm:pt>
    <dgm:pt modelId="{594A9E19-37A1-8D44-AF60-1C45B09D98ED}" type="sibTrans" cxnId="{CEBFA63F-B55F-ED48-A644-18832208F252}">
      <dgm:prSet/>
      <dgm:spPr/>
      <dgm:t>
        <a:bodyPr/>
        <a:lstStyle/>
        <a:p>
          <a:endParaRPr lang="en-US"/>
        </a:p>
      </dgm:t>
    </dgm:pt>
    <dgm:pt modelId="{331086C6-2646-7F45-AD6F-9BF4BD4072A1}">
      <dgm:prSet phldrT="[Text]"/>
      <dgm:spPr/>
      <dgm:t>
        <a:bodyPr/>
        <a:lstStyle/>
        <a:p>
          <a:r>
            <a:rPr lang="en-US"/>
            <a:t>Methodology</a:t>
          </a:r>
        </a:p>
      </dgm:t>
    </dgm:pt>
    <dgm:pt modelId="{89DC23D4-0FE8-DB4A-9F36-E2D21681401B}" type="parTrans" cxnId="{18B8FFE1-1FD0-D040-8B63-D29F8D14834D}">
      <dgm:prSet/>
      <dgm:spPr/>
      <dgm:t>
        <a:bodyPr/>
        <a:lstStyle/>
        <a:p>
          <a:endParaRPr lang="en-US"/>
        </a:p>
      </dgm:t>
    </dgm:pt>
    <dgm:pt modelId="{4F4843AA-A379-4840-AA66-33755C4EB31B}" type="sibTrans" cxnId="{18B8FFE1-1FD0-D040-8B63-D29F8D14834D}">
      <dgm:prSet/>
      <dgm:spPr/>
      <dgm:t>
        <a:bodyPr/>
        <a:lstStyle/>
        <a:p>
          <a:endParaRPr lang="en-US"/>
        </a:p>
      </dgm:t>
    </dgm:pt>
    <dgm:pt modelId="{C4400AB0-D96F-EC48-9B5A-FE2F3B16F35D}">
      <dgm:prSet phldrT="[Text]"/>
      <dgm:spPr/>
      <dgm:t>
        <a:bodyPr/>
        <a:lstStyle/>
        <a:p>
          <a:r>
            <a:rPr lang="en-US"/>
            <a:t>Modality of simulation</a:t>
          </a:r>
        </a:p>
      </dgm:t>
    </dgm:pt>
    <dgm:pt modelId="{710D69A6-D5FC-2945-8E19-14F041D9C27B}" type="parTrans" cxnId="{7D7425AE-3F69-2741-A768-2AFA5759365A}">
      <dgm:prSet/>
      <dgm:spPr/>
      <dgm:t>
        <a:bodyPr/>
        <a:lstStyle/>
        <a:p>
          <a:endParaRPr lang="en-US"/>
        </a:p>
      </dgm:t>
    </dgm:pt>
    <dgm:pt modelId="{70BFF642-9ED9-694D-9DD9-DACD527FD6BF}" type="sibTrans" cxnId="{7D7425AE-3F69-2741-A768-2AFA5759365A}">
      <dgm:prSet/>
      <dgm:spPr/>
      <dgm:t>
        <a:bodyPr/>
        <a:lstStyle/>
        <a:p>
          <a:endParaRPr lang="en-US"/>
        </a:p>
      </dgm:t>
    </dgm:pt>
    <dgm:pt modelId="{33DC52AC-8EB9-BA4D-B47A-27C07A926222}">
      <dgm:prSet phldrT="[Text]"/>
      <dgm:spPr/>
      <dgm:t>
        <a:bodyPr/>
        <a:lstStyle/>
        <a:p>
          <a:r>
            <a:rPr lang="en-US"/>
            <a:t>Where - educational centre vs in situ</a:t>
          </a:r>
        </a:p>
      </dgm:t>
    </dgm:pt>
    <dgm:pt modelId="{84E4E3AA-7206-214B-8E1A-953E926EB81A}" type="parTrans" cxnId="{79D426F1-77B3-B245-B7FD-54756B49A940}">
      <dgm:prSet/>
      <dgm:spPr/>
      <dgm:t>
        <a:bodyPr/>
        <a:lstStyle/>
        <a:p>
          <a:endParaRPr lang="en-US"/>
        </a:p>
      </dgm:t>
    </dgm:pt>
    <dgm:pt modelId="{809D0DEB-741E-1A4E-9D30-5F54D3007AB9}" type="sibTrans" cxnId="{79D426F1-77B3-B245-B7FD-54756B49A940}">
      <dgm:prSet/>
      <dgm:spPr/>
      <dgm:t>
        <a:bodyPr/>
        <a:lstStyle/>
        <a:p>
          <a:endParaRPr lang="en-US"/>
        </a:p>
      </dgm:t>
    </dgm:pt>
    <dgm:pt modelId="{4BFBC725-9E6F-634A-9EFB-D93CE39BFA5E}">
      <dgm:prSet phldrT="[Text]"/>
      <dgm:spPr/>
      <dgm:t>
        <a:bodyPr/>
        <a:lstStyle/>
        <a:p>
          <a:r>
            <a:rPr lang="en-US"/>
            <a:t>Stage 2</a:t>
          </a:r>
        </a:p>
      </dgm:t>
    </dgm:pt>
    <dgm:pt modelId="{FED753C3-DD74-1246-AEF8-3802BA09BB92}" type="parTrans" cxnId="{1DC0D0F8-FCD4-554B-A6C6-0744E6D70C92}">
      <dgm:prSet/>
      <dgm:spPr/>
      <dgm:t>
        <a:bodyPr/>
        <a:lstStyle/>
        <a:p>
          <a:endParaRPr lang="en-US"/>
        </a:p>
      </dgm:t>
    </dgm:pt>
    <dgm:pt modelId="{990C061F-3C45-9A4F-86F0-0943AAAE6FF1}" type="sibTrans" cxnId="{1DC0D0F8-FCD4-554B-A6C6-0744E6D70C92}">
      <dgm:prSet/>
      <dgm:spPr/>
      <dgm:t>
        <a:bodyPr/>
        <a:lstStyle/>
        <a:p>
          <a:endParaRPr lang="en-US"/>
        </a:p>
      </dgm:t>
    </dgm:pt>
    <dgm:pt modelId="{9A5416C4-5F52-AE4E-8D72-7D5DC7619A71}">
      <dgm:prSet phldrT="[Text]"/>
      <dgm:spPr/>
      <dgm:t>
        <a:bodyPr/>
        <a:lstStyle/>
        <a:p>
          <a:r>
            <a:rPr lang="en-US"/>
            <a:t>Stage 4</a:t>
          </a:r>
        </a:p>
      </dgm:t>
    </dgm:pt>
    <dgm:pt modelId="{9138E39A-1ADF-3E40-A8D4-5E6435B07AAE}" type="parTrans" cxnId="{13F20F80-5AB3-E147-9CCC-994312B4D677}">
      <dgm:prSet/>
      <dgm:spPr/>
      <dgm:t>
        <a:bodyPr/>
        <a:lstStyle/>
        <a:p>
          <a:endParaRPr lang="en-US"/>
        </a:p>
      </dgm:t>
    </dgm:pt>
    <dgm:pt modelId="{700C3223-C3BF-9C44-94E3-474882C94020}" type="sibTrans" cxnId="{13F20F80-5AB3-E147-9CCC-994312B4D677}">
      <dgm:prSet/>
      <dgm:spPr/>
      <dgm:t>
        <a:bodyPr/>
        <a:lstStyle/>
        <a:p>
          <a:endParaRPr lang="en-US"/>
        </a:p>
      </dgm:t>
    </dgm:pt>
    <dgm:pt modelId="{EA6CDE57-8A2E-0E4E-897C-F4E546A15A34}">
      <dgm:prSet phldrT="[Text]"/>
      <dgm:spPr/>
      <dgm:t>
        <a:bodyPr/>
        <a:lstStyle/>
        <a:p>
          <a:r>
            <a:rPr lang="en-US"/>
            <a:t>Time</a:t>
          </a:r>
        </a:p>
      </dgm:t>
    </dgm:pt>
    <dgm:pt modelId="{C66F21E7-6016-2A47-BB9B-02B469D50FA4}" type="parTrans" cxnId="{D99CC886-5120-A845-85AE-BC6670B9152E}">
      <dgm:prSet/>
      <dgm:spPr/>
      <dgm:t>
        <a:bodyPr/>
        <a:lstStyle/>
        <a:p>
          <a:endParaRPr lang="en-US"/>
        </a:p>
      </dgm:t>
    </dgm:pt>
    <dgm:pt modelId="{EA87330D-82FC-5644-8DB2-1DA04A8D4886}" type="sibTrans" cxnId="{D99CC886-5120-A845-85AE-BC6670B9152E}">
      <dgm:prSet/>
      <dgm:spPr/>
      <dgm:t>
        <a:bodyPr/>
        <a:lstStyle/>
        <a:p>
          <a:endParaRPr lang="en-US"/>
        </a:p>
      </dgm:t>
    </dgm:pt>
    <dgm:pt modelId="{5D2084E8-F520-C541-A6AB-0FCEC2475D3D}">
      <dgm:prSet phldrT="[Text]"/>
      <dgm:spPr/>
      <dgm:t>
        <a:bodyPr/>
        <a:lstStyle/>
        <a:p>
          <a:r>
            <a:rPr lang="en-US"/>
            <a:t>Stage 5</a:t>
          </a:r>
        </a:p>
      </dgm:t>
    </dgm:pt>
    <dgm:pt modelId="{C14C53DB-4405-5B41-A95B-043EA3CD7683}" type="parTrans" cxnId="{CBD9832E-EF28-A349-8229-635CCD363ACF}">
      <dgm:prSet/>
      <dgm:spPr/>
      <dgm:t>
        <a:bodyPr/>
        <a:lstStyle/>
        <a:p>
          <a:endParaRPr lang="en-US"/>
        </a:p>
      </dgm:t>
    </dgm:pt>
    <dgm:pt modelId="{0A62F1A3-550A-9549-8EA8-8C835E0ACF2B}" type="sibTrans" cxnId="{CBD9832E-EF28-A349-8229-635CCD363ACF}">
      <dgm:prSet/>
      <dgm:spPr/>
      <dgm:t>
        <a:bodyPr/>
        <a:lstStyle/>
        <a:p>
          <a:endParaRPr lang="en-US"/>
        </a:p>
      </dgm:t>
    </dgm:pt>
    <dgm:pt modelId="{E3475ECA-3395-414B-9EF7-0D2008044570}">
      <dgm:prSet phldrT="[Text]"/>
      <dgm:spPr/>
      <dgm:t>
        <a:bodyPr/>
        <a:lstStyle/>
        <a:p>
          <a:r>
            <a:rPr lang="en-US"/>
            <a:t>Learning outcomes</a:t>
          </a:r>
        </a:p>
      </dgm:t>
    </dgm:pt>
    <dgm:pt modelId="{8E7CC16B-8154-304B-B15C-7DFE04D812BE}" type="parTrans" cxnId="{7B865F6E-4990-2748-9C25-492614A57765}">
      <dgm:prSet/>
      <dgm:spPr/>
      <dgm:t>
        <a:bodyPr/>
        <a:lstStyle/>
        <a:p>
          <a:endParaRPr lang="en-US"/>
        </a:p>
      </dgm:t>
    </dgm:pt>
    <dgm:pt modelId="{0C58B06D-8ADB-0447-AF30-409BD76A0B75}" type="sibTrans" cxnId="{7B865F6E-4990-2748-9C25-492614A57765}">
      <dgm:prSet/>
      <dgm:spPr/>
      <dgm:t>
        <a:bodyPr/>
        <a:lstStyle/>
        <a:p>
          <a:endParaRPr lang="en-US"/>
        </a:p>
      </dgm:t>
    </dgm:pt>
    <dgm:pt modelId="{8CEE8509-18CA-884C-B21D-B7C347414095}">
      <dgm:prSet phldrT="[Text]"/>
      <dgm:spPr/>
      <dgm:t>
        <a:bodyPr/>
        <a:lstStyle/>
        <a:p>
          <a:r>
            <a:rPr lang="en-US"/>
            <a:t>Stage 6</a:t>
          </a:r>
        </a:p>
      </dgm:t>
    </dgm:pt>
    <dgm:pt modelId="{A237BAA6-82B7-D442-86AE-90679C22FAE9}" type="parTrans" cxnId="{72D6CE7E-D0D7-A04D-A13E-2D39DDA0AF7F}">
      <dgm:prSet/>
      <dgm:spPr/>
      <dgm:t>
        <a:bodyPr/>
        <a:lstStyle/>
        <a:p>
          <a:endParaRPr lang="en-US"/>
        </a:p>
      </dgm:t>
    </dgm:pt>
    <dgm:pt modelId="{8FA3DCC0-AD7F-364E-AF92-C4E86866C222}" type="sibTrans" cxnId="{72D6CE7E-D0D7-A04D-A13E-2D39DDA0AF7F}">
      <dgm:prSet/>
      <dgm:spPr/>
      <dgm:t>
        <a:bodyPr/>
        <a:lstStyle/>
        <a:p>
          <a:endParaRPr lang="en-US"/>
        </a:p>
      </dgm:t>
    </dgm:pt>
    <dgm:pt modelId="{BF573C8B-9DF3-DA4A-89A3-93517A9E0B3C}">
      <dgm:prSet phldrT="[Text]"/>
      <dgm:spPr/>
      <dgm:t>
        <a:bodyPr/>
        <a:lstStyle/>
        <a:p>
          <a:r>
            <a:rPr lang="en-US"/>
            <a:t>Scenario design</a:t>
          </a:r>
        </a:p>
      </dgm:t>
    </dgm:pt>
    <dgm:pt modelId="{8500531F-8B37-D84C-9B0C-21C1C0471BBC}" type="parTrans" cxnId="{6B46B226-D621-5C49-B35B-816D89567AB6}">
      <dgm:prSet/>
      <dgm:spPr/>
      <dgm:t>
        <a:bodyPr/>
        <a:lstStyle/>
        <a:p>
          <a:endParaRPr lang="en-US"/>
        </a:p>
      </dgm:t>
    </dgm:pt>
    <dgm:pt modelId="{21887756-0D7B-4742-914B-8A7BA1EDF3CC}" type="sibTrans" cxnId="{6B46B226-D621-5C49-B35B-816D89567AB6}">
      <dgm:prSet/>
      <dgm:spPr/>
      <dgm:t>
        <a:bodyPr/>
        <a:lstStyle/>
        <a:p>
          <a:endParaRPr lang="en-US"/>
        </a:p>
      </dgm:t>
    </dgm:pt>
    <dgm:pt modelId="{3A3BC354-472F-BD43-9719-D28D9CE6ACA2}">
      <dgm:prSet phldrT="[Text]"/>
      <dgm:spPr/>
      <dgm:t>
        <a:bodyPr/>
        <a:lstStyle/>
        <a:p>
          <a:r>
            <a:rPr lang="en-US"/>
            <a:t>Stage 7</a:t>
          </a:r>
        </a:p>
      </dgm:t>
    </dgm:pt>
    <dgm:pt modelId="{FDE43AA6-24BD-3A46-8941-23392D477B6F}" type="parTrans" cxnId="{D0079678-CDB7-834D-B115-FBB3B9944451}">
      <dgm:prSet/>
      <dgm:spPr/>
      <dgm:t>
        <a:bodyPr/>
        <a:lstStyle/>
        <a:p>
          <a:endParaRPr lang="en-US"/>
        </a:p>
      </dgm:t>
    </dgm:pt>
    <dgm:pt modelId="{7D43B590-CA0C-314E-9051-24F278821083}" type="sibTrans" cxnId="{D0079678-CDB7-834D-B115-FBB3B9944451}">
      <dgm:prSet/>
      <dgm:spPr/>
      <dgm:t>
        <a:bodyPr/>
        <a:lstStyle/>
        <a:p>
          <a:endParaRPr lang="en-US"/>
        </a:p>
      </dgm:t>
    </dgm:pt>
    <dgm:pt modelId="{AB5F28D4-B776-BE41-A0FC-CE0DBF475CC3}">
      <dgm:prSet phldrT="[Text]"/>
      <dgm:spPr/>
      <dgm:t>
        <a:bodyPr/>
        <a:lstStyle/>
        <a:p>
          <a:r>
            <a:rPr lang="en-US"/>
            <a:t>Pilot scenario</a:t>
          </a:r>
        </a:p>
      </dgm:t>
    </dgm:pt>
    <dgm:pt modelId="{EF5AA6BB-803D-3445-BB0A-4AF4552453A5}" type="parTrans" cxnId="{DCC9F284-BBDA-E545-9E41-88F8F778592A}">
      <dgm:prSet/>
      <dgm:spPr/>
      <dgm:t>
        <a:bodyPr/>
        <a:lstStyle/>
        <a:p>
          <a:endParaRPr lang="en-US"/>
        </a:p>
      </dgm:t>
    </dgm:pt>
    <dgm:pt modelId="{5AE510F3-F17A-2A45-863B-0CCEE34C9F17}" type="sibTrans" cxnId="{DCC9F284-BBDA-E545-9E41-88F8F778592A}">
      <dgm:prSet/>
      <dgm:spPr/>
      <dgm:t>
        <a:bodyPr/>
        <a:lstStyle/>
        <a:p>
          <a:endParaRPr lang="en-US"/>
        </a:p>
      </dgm:t>
    </dgm:pt>
    <dgm:pt modelId="{09C4714D-4865-5643-8718-59F14D62D8CA}">
      <dgm:prSet phldrT="[Text]"/>
      <dgm:spPr/>
      <dgm:t>
        <a:bodyPr/>
        <a:lstStyle/>
        <a:p>
          <a:r>
            <a:rPr lang="en-US"/>
            <a:t>Evaluate scenario - candidate and faculty</a:t>
          </a:r>
        </a:p>
      </dgm:t>
    </dgm:pt>
    <dgm:pt modelId="{352DD7FB-34ED-F649-8561-AE93ECC84CE7}" type="parTrans" cxnId="{264D6E9C-E88A-D241-9610-5F4D260F9826}">
      <dgm:prSet/>
      <dgm:spPr/>
      <dgm:t>
        <a:bodyPr/>
        <a:lstStyle/>
        <a:p>
          <a:endParaRPr lang="en-US"/>
        </a:p>
      </dgm:t>
    </dgm:pt>
    <dgm:pt modelId="{99A14CD3-262F-054D-A75A-81F5862134D0}" type="sibTrans" cxnId="{264D6E9C-E88A-D241-9610-5F4D260F9826}">
      <dgm:prSet/>
      <dgm:spPr/>
      <dgm:t>
        <a:bodyPr/>
        <a:lstStyle/>
        <a:p>
          <a:endParaRPr lang="en-US"/>
        </a:p>
      </dgm:t>
    </dgm:pt>
    <dgm:pt modelId="{87D5FF3C-512F-3C40-BEC0-CFFBF2A5B366}">
      <dgm:prSet phldrT="[Text]"/>
      <dgm:spPr/>
      <dgm:t>
        <a:bodyPr/>
        <a:lstStyle/>
        <a:p>
          <a:r>
            <a:rPr lang="en-US"/>
            <a:t>Consider research opportunities</a:t>
          </a:r>
        </a:p>
      </dgm:t>
    </dgm:pt>
    <dgm:pt modelId="{2949EA35-7C9B-A949-8A0D-0745E7A6B5A7}" type="parTrans" cxnId="{B96DA121-48BC-A143-9234-FA3AD64572CD}">
      <dgm:prSet/>
      <dgm:spPr/>
      <dgm:t>
        <a:bodyPr/>
        <a:lstStyle/>
        <a:p>
          <a:endParaRPr lang="en-US"/>
        </a:p>
      </dgm:t>
    </dgm:pt>
    <dgm:pt modelId="{8DB0375D-B7EE-EC46-BD60-7525343A2679}" type="sibTrans" cxnId="{B96DA121-48BC-A143-9234-FA3AD64572CD}">
      <dgm:prSet/>
      <dgm:spPr/>
      <dgm:t>
        <a:bodyPr/>
        <a:lstStyle/>
        <a:p>
          <a:endParaRPr lang="en-US"/>
        </a:p>
      </dgm:t>
    </dgm:pt>
    <dgm:pt modelId="{8A9D38F1-2E4D-3447-A196-381072F2E999}">
      <dgm:prSet phldrT="[Text]"/>
      <dgm:spPr/>
      <dgm:t>
        <a:bodyPr/>
        <a:lstStyle/>
        <a:p>
          <a:r>
            <a:rPr lang="en-US"/>
            <a:t>Stage 8</a:t>
          </a:r>
        </a:p>
      </dgm:t>
    </dgm:pt>
    <dgm:pt modelId="{67CA4E9B-1A24-C140-8718-760483CA1CD5}" type="parTrans" cxnId="{91400549-B229-5140-A743-2A65FE0A7894}">
      <dgm:prSet/>
      <dgm:spPr/>
      <dgm:t>
        <a:bodyPr/>
        <a:lstStyle/>
        <a:p>
          <a:endParaRPr lang="en-US"/>
        </a:p>
      </dgm:t>
    </dgm:pt>
    <dgm:pt modelId="{84ACED7C-022A-B147-881C-D89C2531AC2F}" type="sibTrans" cxnId="{91400549-B229-5140-A743-2A65FE0A7894}">
      <dgm:prSet/>
      <dgm:spPr/>
      <dgm:t>
        <a:bodyPr/>
        <a:lstStyle/>
        <a:p>
          <a:endParaRPr lang="en-US"/>
        </a:p>
      </dgm:t>
    </dgm:pt>
    <dgm:pt modelId="{E5481EE7-2239-A640-A1E5-13BE204D318B}">
      <dgm:prSet phldrT="[Text]"/>
      <dgm:spPr/>
      <dgm:t>
        <a:bodyPr/>
        <a:lstStyle/>
        <a:p>
          <a:r>
            <a:rPr lang="en-US"/>
            <a:t>The final scenario</a:t>
          </a:r>
        </a:p>
      </dgm:t>
    </dgm:pt>
    <dgm:pt modelId="{92A78C16-2476-A848-A259-B8C32CF28DD6}" type="parTrans" cxnId="{9BCD5D20-7FBC-054F-B6BE-CFFFFAFD31FD}">
      <dgm:prSet/>
      <dgm:spPr/>
      <dgm:t>
        <a:bodyPr/>
        <a:lstStyle/>
        <a:p>
          <a:endParaRPr lang="en-US"/>
        </a:p>
      </dgm:t>
    </dgm:pt>
    <dgm:pt modelId="{65AA6BC7-A997-2140-80C2-A5E6DA01508E}" type="sibTrans" cxnId="{9BCD5D20-7FBC-054F-B6BE-CFFFFAFD31FD}">
      <dgm:prSet/>
      <dgm:spPr/>
      <dgm:t>
        <a:bodyPr/>
        <a:lstStyle/>
        <a:p>
          <a:endParaRPr lang="en-US"/>
        </a:p>
      </dgm:t>
    </dgm:pt>
    <dgm:pt modelId="{6AD00196-352E-8841-9A37-665B4D6B2CD4}">
      <dgm:prSet phldrT="[Text]"/>
      <dgm:spPr/>
      <dgm:t>
        <a:bodyPr/>
        <a:lstStyle/>
        <a:p>
          <a:r>
            <a:rPr lang="en-US"/>
            <a:t>Stage 9</a:t>
          </a:r>
        </a:p>
      </dgm:t>
    </dgm:pt>
    <dgm:pt modelId="{261A2050-8D21-554E-876E-33F957F5DAA5}" type="parTrans" cxnId="{C5150BF0-1DE3-5742-8A1D-DAF5405888D2}">
      <dgm:prSet/>
      <dgm:spPr/>
      <dgm:t>
        <a:bodyPr/>
        <a:lstStyle/>
        <a:p>
          <a:endParaRPr lang="en-US"/>
        </a:p>
      </dgm:t>
    </dgm:pt>
    <dgm:pt modelId="{36ECA801-6072-2A42-B100-414E9099699F}" type="sibTrans" cxnId="{C5150BF0-1DE3-5742-8A1D-DAF5405888D2}">
      <dgm:prSet/>
      <dgm:spPr/>
      <dgm:t>
        <a:bodyPr/>
        <a:lstStyle/>
        <a:p>
          <a:endParaRPr lang="en-US"/>
        </a:p>
      </dgm:t>
    </dgm:pt>
    <dgm:pt modelId="{C6503D70-504F-734E-A735-F1D5EAB1521C}">
      <dgm:prSet phldrT="[Text]"/>
      <dgm:spPr/>
      <dgm:t>
        <a:bodyPr/>
        <a:lstStyle/>
        <a:p>
          <a:r>
            <a:rPr lang="en-US"/>
            <a:t>The debrief method</a:t>
          </a:r>
        </a:p>
      </dgm:t>
    </dgm:pt>
    <dgm:pt modelId="{917BC8D2-BB9C-9748-95DA-CBBACC9011C2}" type="parTrans" cxnId="{DF821081-31E5-6741-A0B6-AAE48B134C32}">
      <dgm:prSet/>
      <dgm:spPr/>
      <dgm:t>
        <a:bodyPr/>
        <a:lstStyle/>
        <a:p>
          <a:endParaRPr lang="en-US"/>
        </a:p>
      </dgm:t>
    </dgm:pt>
    <dgm:pt modelId="{C581CC76-9A8E-7B47-A6FB-6B8C43C46D38}" type="sibTrans" cxnId="{DF821081-31E5-6741-A0B6-AAE48B134C32}">
      <dgm:prSet/>
      <dgm:spPr/>
      <dgm:t>
        <a:bodyPr/>
        <a:lstStyle/>
        <a:p>
          <a:endParaRPr lang="en-US"/>
        </a:p>
      </dgm:t>
    </dgm:pt>
    <dgm:pt modelId="{0BDC8C91-59E1-6242-81E3-024E0BF269F1}">
      <dgm:prSet phldrT="[Text]"/>
      <dgm:spPr/>
      <dgm:t>
        <a:bodyPr/>
        <a:lstStyle/>
        <a:p>
          <a:r>
            <a:rPr lang="en-US"/>
            <a:t>Stage 10</a:t>
          </a:r>
        </a:p>
      </dgm:t>
    </dgm:pt>
    <dgm:pt modelId="{E4838438-AF55-A145-8F9D-3600DC417937}" type="parTrans" cxnId="{95B723AD-178B-5945-9154-BF2398BB7893}">
      <dgm:prSet/>
      <dgm:spPr/>
      <dgm:t>
        <a:bodyPr/>
        <a:lstStyle/>
        <a:p>
          <a:endParaRPr lang="en-US"/>
        </a:p>
      </dgm:t>
    </dgm:pt>
    <dgm:pt modelId="{5FEC277F-8751-3A47-9C77-2CD5EE9DF4B7}" type="sibTrans" cxnId="{95B723AD-178B-5945-9154-BF2398BB7893}">
      <dgm:prSet/>
      <dgm:spPr/>
      <dgm:t>
        <a:bodyPr/>
        <a:lstStyle/>
        <a:p>
          <a:endParaRPr lang="en-US"/>
        </a:p>
      </dgm:t>
    </dgm:pt>
    <dgm:pt modelId="{23638B6C-7066-6A43-AE15-0FD842545648}">
      <dgm:prSet phldrT="[Text]"/>
      <dgm:spPr/>
      <dgm:t>
        <a:bodyPr/>
        <a:lstStyle/>
        <a:p>
          <a:r>
            <a:rPr lang="en-US"/>
            <a:t>Use in assessment</a:t>
          </a:r>
        </a:p>
      </dgm:t>
    </dgm:pt>
    <dgm:pt modelId="{F8F08C46-8282-D947-A405-BDF5ACC28056}" type="parTrans" cxnId="{ABBE1F16-8A84-1F41-BE67-3D415772A690}">
      <dgm:prSet/>
      <dgm:spPr/>
      <dgm:t>
        <a:bodyPr/>
        <a:lstStyle/>
        <a:p>
          <a:endParaRPr lang="en-US"/>
        </a:p>
      </dgm:t>
    </dgm:pt>
    <dgm:pt modelId="{4859A2AA-1CC4-9D48-B4DC-8CFB4FCBA5F1}" type="sibTrans" cxnId="{ABBE1F16-8A84-1F41-BE67-3D415772A690}">
      <dgm:prSet/>
      <dgm:spPr/>
      <dgm:t>
        <a:bodyPr/>
        <a:lstStyle/>
        <a:p>
          <a:endParaRPr lang="en-US"/>
        </a:p>
      </dgm:t>
    </dgm:pt>
    <dgm:pt modelId="{32923B2C-5455-C849-8988-3F863BF1ADD4}">
      <dgm:prSet phldrT="[Text]"/>
      <dgm:spPr/>
      <dgm:t>
        <a:bodyPr/>
        <a:lstStyle/>
        <a:p>
          <a:r>
            <a:rPr lang="en-US"/>
            <a:t>Stage 11</a:t>
          </a:r>
        </a:p>
      </dgm:t>
    </dgm:pt>
    <dgm:pt modelId="{2DB1DC9C-66FB-414C-B98D-138F2FBAB59A}" type="parTrans" cxnId="{BBEA8199-28D9-B242-AD2C-E57A124CD7BD}">
      <dgm:prSet/>
      <dgm:spPr/>
      <dgm:t>
        <a:bodyPr/>
        <a:lstStyle/>
        <a:p>
          <a:endParaRPr lang="en-US"/>
        </a:p>
      </dgm:t>
    </dgm:pt>
    <dgm:pt modelId="{B099812F-ECC9-5943-BAB3-A852B4B10226}" type="sibTrans" cxnId="{BBEA8199-28D9-B242-AD2C-E57A124CD7BD}">
      <dgm:prSet/>
      <dgm:spPr/>
      <dgm:t>
        <a:bodyPr/>
        <a:lstStyle/>
        <a:p>
          <a:endParaRPr lang="en-US"/>
        </a:p>
      </dgm:t>
    </dgm:pt>
    <dgm:pt modelId="{511009A1-A8A0-CB4D-AAC7-54A4912EF1BC}">
      <dgm:prSet phldrT="[Text]"/>
      <dgm:spPr/>
      <dgm:t>
        <a:bodyPr/>
        <a:lstStyle/>
        <a:p>
          <a:r>
            <a:rPr lang="en-US"/>
            <a:t>Continuous evaluation of session</a:t>
          </a:r>
        </a:p>
      </dgm:t>
    </dgm:pt>
    <dgm:pt modelId="{1D4D5302-05CB-1D45-92D9-CB207693C910}" type="parTrans" cxnId="{ABD778AA-190D-AD4A-AAE8-F60D42CE02D0}">
      <dgm:prSet/>
      <dgm:spPr/>
      <dgm:t>
        <a:bodyPr/>
        <a:lstStyle/>
        <a:p>
          <a:endParaRPr lang="en-US"/>
        </a:p>
      </dgm:t>
    </dgm:pt>
    <dgm:pt modelId="{D81E8E9C-D89E-F34C-99B2-B9EC8458597D}" type="sibTrans" cxnId="{ABD778AA-190D-AD4A-AAE8-F60D42CE02D0}">
      <dgm:prSet/>
      <dgm:spPr/>
      <dgm:t>
        <a:bodyPr/>
        <a:lstStyle/>
        <a:p>
          <a:endParaRPr lang="en-US"/>
        </a:p>
      </dgm:t>
    </dgm:pt>
    <dgm:pt modelId="{5A48F927-84E9-8940-A21A-42FEC98A55E8}">
      <dgm:prSet phldrT="[Text]"/>
      <dgm:spPr/>
      <dgm:t>
        <a:bodyPr/>
        <a:lstStyle/>
        <a:p>
          <a:r>
            <a:rPr lang="en-US"/>
            <a:t>Faculty</a:t>
          </a:r>
        </a:p>
      </dgm:t>
    </dgm:pt>
    <dgm:pt modelId="{F9BBF2AF-4F99-4B45-93C3-E86A8A69D7BC}" type="parTrans" cxnId="{67EFAC72-6084-0249-AB57-FB710B727D16}">
      <dgm:prSet/>
      <dgm:spPr/>
      <dgm:t>
        <a:bodyPr/>
        <a:lstStyle/>
        <a:p>
          <a:endParaRPr lang="en-US"/>
        </a:p>
      </dgm:t>
    </dgm:pt>
    <dgm:pt modelId="{8D74B71B-4CE4-9D45-9E54-5A8EF5A31AEE}" type="sibTrans" cxnId="{67EFAC72-6084-0249-AB57-FB710B727D16}">
      <dgm:prSet/>
      <dgm:spPr/>
      <dgm:t>
        <a:bodyPr/>
        <a:lstStyle/>
        <a:p>
          <a:endParaRPr lang="en-US"/>
        </a:p>
      </dgm:t>
    </dgm:pt>
    <dgm:pt modelId="{947055BB-E543-0949-BD6E-F78421D4CBAD}">
      <dgm:prSet phldrT="[Text]"/>
      <dgm:spPr/>
      <dgm:t>
        <a:bodyPr/>
        <a:lstStyle/>
        <a:p>
          <a:r>
            <a:rPr lang="en-US"/>
            <a:t>Faculty training/ QA</a:t>
          </a:r>
        </a:p>
      </dgm:t>
    </dgm:pt>
    <dgm:pt modelId="{17FED76E-00FC-334E-BC0C-B7D5B0DACA7B}" type="parTrans" cxnId="{1C3BD39F-196B-C849-AEED-0CDAB78B6F43}">
      <dgm:prSet/>
      <dgm:spPr/>
      <dgm:t>
        <a:bodyPr/>
        <a:lstStyle/>
        <a:p>
          <a:endParaRPr lang="en-US"/>
        </a:p>
      </dgm:t>
    </dgm:pt>
    <dgm:pt modelId="{192289A7-DA40-2945-8079-067DF7A0A568}" type="sibTrans" cxnId="{1C3BD39F-196B-C849-AEED-0CDAB78B6F43}">
      <dgm:prSet/>
      <dgm:spPr/>
      <dgm:t>
        <a:bodyPr/>
        <a:lstStyle/>
        <a:p>
          <a:endParaRPr lang="en-US"/>
        </a:p>
      </dgm:t>
    </dgm:pt>
    <dgm:pt modelId="{E01E6E7A-9F2F-7A4F-8F9B-BA510E8B1DB7}">
      <dgm:prSet phldrT="[Text]"/>
      <dgm:spPr/>
      <dgm:t>
        <a:bodyPr/>
        <a:lstStyle/>
        <a:p>
          <a:r>
            <a:rPr lang="en-US"/>
            <a:t>Commissioner</a:t>
          </a:r>
        </a:p>
      </dgm:t>
    </dgm:pt>
    <dgm:pt modelId="{1C8E7567-1F05-DC42-A7E9-57C779051A01}" type="parTrans" cxnId="{AD635EE0-9FF0-F440-8622-4AB2AE61C813}">
      <dgm:prSet/>
      <dgm:spPr/>
      <dgm:t>
        <a:bodyPr/>
        <a:lstStyle/>
        <a:p>
          <a:endParaRPr lang="en-US"/>
        </a:p>
      </dgm:t>
    </dgm:pt>
    <dgm:pt modelId="{213F6E16-84B0-4A48-8617-3B8DCA4B18C3}" type="sibTrans" cxnId="{AD635EE0-9FF0-F440-8622-4AB2AE61C813}">
      <dgm:prSet/>
      <dgm:spPr/>
      <dgm:t>
        <a:bodyPr/>
        <a:lstStyle/>
        <a:p>
          <a:endParaRPr lang="en-US"/>
        </a:p>
      </dgm:t>
    </dgm:pt>
    <dgm:pt modelId="{42B3A0BA-A172-B445-AA45-21C9E155D003}">
      <dgm:prSet phldrT="[Text]"/>
      <dgm:spPr/>
      <dgm:t>
        <a:bodyPr/>
        <a:lstStyle/>
        <a:p>
          <a:r>
            <a:rPr lang="en-US"/>
            <a:t>GMC and HEE</a:t>
          </a:r>
        </a:p>
      </dgm:t>
    </dgm:pt>
    <dgm:pt modelId="{4BAD827C-BC60-4D42-B049-5A1C76FACBCB}" type="parTrans" cxnId="{D8F214DC-53A7-D04B-A485-D05682D82C86}">
      <dgm:prSet/>
      <dgm:spPr/>
      <dgm:t>
        <a:bodyPr/>
        <a:lstStyle/>
        <a:p>
          <a:endParaRPr lang="en-US"/>
        </a:p>
      </dgm:t>
    </dgm:pt>
    <dgm:pt modelId="{C03E8820-C170-6147-AADD-759E22506B33}" type="sibTrans" cxnId="{D8F214DC-53A7-D04B-A485-D05682D82C86}">
      <dgm:prSet/>
      <dgm:spPr/>
      <dgm:t>
        <a:bodyPr/>
        <a:lstStyle/>
        <a:p>
          <a:endParaRPr lang="en-US"/>
        </a:p>
      </dgm:t>
    </dgm:pt>
    <dgm:pt modelId="{5D3C4E7A-522E-214D-90DC-13DC149E518F}">
      <dgm:prSet phldrT="[Text]"/>
      <dgm:spPr/>
      <dgm:t>
        <a:bodyPr/>
        <a:lstStyle/>
        <a:p>
          <a:r>
            <a:rPr lang="en-US"/>
            <a:t>Human factors embedded</a:t>
          </a:r>
        </a:p>
      </dgm:t>
    </dgm:pt>
    <dgm:pt modelId="{78FBEB6F-DE9A-F547-8D66-9D1A8EFABFF4}" type="parTrans" cxnId="{0B3F499F-BAF4-F642-B5DB-8C89AC623CE3}">
      <dgm:prSet/>
      <dgm:spPr/>
      <dgm:t>
        <a:bodyPr/>
        <a:lstStyle/>
        <a:p>
          <a:endParaRPr lang="en-US"/>
        </a:p>
      </dgm:t>
    </dgm:pt>
    <dgm:pt modelId="{E9325FA7-4DA8-D241-AE98-5306CBE06FDE}" type="sibTrans" cxnId="{0B3F499F-BAF4-F642-B5DB-8C89AC623CE3}">
      <dgm:prSet/>
      <dgm:spPr/>
      <dgm:t>
        <a:bodyPr/>
        <a:lstStyle/>
        <a:p>
          <a:endParaRPr lang="en-US"/>
        </a:p>
      </dgm:t>
    </dgm:pt>
    <dgm:pt modelId="{47CC5C4B-AF0A-3D46-BAB9-60A2DE4FA9E8}">
      <dgm:prSet phldrT="[Text]"/>
      <dgm:spPr/>
      <dgm:t>
        <a:bodyPr/>
        <a:lstStyle/>
        <a:p>
          <a:r>
            <a:rPr lang="en-US"/>
            <a:t>Patient safety embedded</a:t>
          </a:r>
        </a:p>
      </dgm:t>
    </dgm:pt>
    <dgm:pt modelId="{E12D1A2A-B265-F64F-8780-FF1D2579F810}" type="parTrans" cxnId="{13DAA242-435D-BF42-92B3-B88CB4E2DD4A}">
      <dgm:prSet/>
      <dgm:spPr/>
      <dgm:t>
        <a:bodyPr/>
        <a:lstStyle/>
        <a:p>
          <a:endParaRPr lang="en-US"/>
        </a:p>
      </dgm:t>
    </dgm:pt>
    <dgm:pt modelId="{0100E70F-FF4E-EC48-8E18-BAB68E65A4D5}" type="sibTrans" cxnId="{13DAA242-435D-BF42-92B3-B88CB4E2DD4A}">
      <dgm:prSet/>
      <dgm:spPr/>
      <dgm:t>
        <a:bodyPr/>
        <a:lstStyle/>
        <a:p>
          <a:endParaRPr lang="en-US"/>
        </a:p>
      </dgm:t>
    </dgm:pt>
    <dgm:pt modelId="{F05991AD-ED86-2B4A-B054-DFD3DEA5697F}">
      <dgm:prSet phldrT="[Text]"/>
      <dgm:spPr/>
      <dgm:t>
        <a:bodyPr/>
        <a:lstStyle/>
        <a:p>
          <a:r>
            <a:rPr lang="en-US"/>
            <a:t>Fidelity, pressure, context, skills</a:t>
          </a:r>
        </a:p>
      </dgm:t>
    </dgm:pt>
    <dgm:pt modelId="{8D7166FB-6D60-D842-9846-E816378BE829}" type="parTrans" cxnId="{05ECB842-3E50-1B46-9487-3641602E7AF8}">
      <dgm:prSet/>
      <dgm:spPr/>
      <dgm:t>
        <a:bodyPr/>
        <a:lstStyle/>
        <a:p>
          <a:endParaRPr lang="en-US"/>
        </a:p>
      </dgm:t>
    </dgm:pt>
    <dgm:pt modelId="{01F57B55-82E0-A948-8785-3047D8EEDFAC}" type="sibTrans" cxnId="{05ECB842-3E50-1B46-9487-3641602E7AF8}">
      <dgm:prSet/>
      <dgm:spPr/>
      <dgm:t>
        <a:bodyPr/>
        <a:lstStyle/>
        <a:p>
          <a:endParaRPr lang="en-US"/>
        </a:p>
      </dgm:t>
    </dgm:pt>
    <dgm:pt modelId="{DF173DD3-DAFE-614C-BC71-80AC7338AB73}">
      <dgm:prSet phldrT="[Text]"/>
      <dgm:spPr/>
      <dgm:t>
        <a:bodyPr/>
        <a:lstStyle/>
        <a:p>
          <a:r>
            <a:rPr lang="en-US"/>
            <a:t>Team</a:t>
          </a:r>
        </a:p>
      </dgm:t>
    </dgm:pt>
    <dgm:pt modelId="{DD2AACD2-80A1-1249-A847-1BAC2BB8E290}" type="parTrans" cxnId="{8F20F084-2E28-C14A-96C7-C027424FC199}">
      <dgm:prSet/>
      <dgm:spPr/>
      <dgm:t>
        <a:bodyPr/>
        <a:lstStyle/>
        <a:p>
          <a:endParaRPr lang="en-US"/>
        </a:p>
      </dgm:t>
    </dgm:pt>
    <dgm:pt modelId="{6666D19E-5684-AD47-BC0C-9A72382E2DBA}" type="sibTrans" cxnId="{8F20F084-2E28-C14A-96C7-C027424FC199}">
      <dgm:prSet/>
      <dgm:spPr/>
      <dgm:t>
        <a:bodyPr/>
        <a:lstStyle/>
        <a:p>
          <a:endParaRPr lang="en-US"/>
        </a:p>
      </dgm:t>
    </dgm:pt>
    <dgm:pt modelId="{011AEC4A-8526-2549-9E2B-B83F46897C29}">
      <dgm:prSet phldrT="[Text]"/>
      <dgm:spPr/>
      <dgm:t>
        <a:bodyPr/>
        <a:lstStyle/>
        <a:p>
          <a:r>
            <a:rPr lang="en-US"/>
            <a:t>Evaluate - subjective and objective</a:t>
          </a:r>
        </a:p>
      </dgm:t>
    </dgm:pt>
    <dgm:pt modelId="{6B5E4FFA-579A-6140-A952-2D8FCF3C35F8}" type="parTrans" cxnId="{6E8089F3-2688-B149-8A5A-4D409F95FA42}">
      <dgm:prSet/>
      <dgm:spPr/>
      <dgm:t>
        <a:bodyPr/>
        <a:lstStyle/>
        <a:p>
          <a:endParaRPr lang="en-US"/>
        </a:p>
      </dgm:t>
    </dgm:pt>
    <dgm:pt modelId="{26B4382B-12E2-AE40-8003-B457A19578DA}" type="sibTrans" cxnId="{6E8089F3-2688-B149-8A5A-4D409F95FA42}">
      <dgm:prSet/>
      <dgm:spPr/>
      <dgm:t>
        <a:bodyPr/>
        <a:lstStyle/>
        <a:p>
          <a:endParaRPr lang="en-US"/>
        </a:p>
      </dgm:t>
    </dgm:pt>
    <dgm:pt modelId="{893E6952-F53F-5C4C-A569-3977B526B12C}">
      <dgm:prSet phldrT="[Text]"/>
      <dgm:spPr/>
      <dgm:t>
        <a:bodyPr/>
        <a:lstStyle/>
        <a:p>
          <a:r>
            <a:rPr lang="en-US"/>
            <a:t>Evaluate - subjective &amp; objective</a:t>
          </a:r>
        </a:p>
      </dgm:t>
    </dgm:pt>
    <dgm:pt modelId="{7692D3D0-5E2B-9B44-BEA2-44E9CBD3D8FE}" type="parTrans" cxnId="{539945BB-B228-BF40-9C1F-D703E0B7D6DC}">
      <dgm:prSet/>
      <dgm:spPr/>
      <dgm:t>
        <a:bodyPr/>
        <a:lstStyle/>
        <a:p>
          <a:endParaRPr lang="en-US"/>
        </a:p>
      </dgm:t>
    </dgm:pt>
    <dgm:pt modelId="{6924E4CA-ED2A-4743-8173-35D3631EC93E}" type="sibTrans" cxnId="{539945BB-B228-BF40-9C1F-D703E0B7D6DC}">
      <dgm:prSet/>
      <dgm:spPr/>
      <dgm:t>
        <a:bodyPr/>
        <a:lstStyle/>
        <a:p>
          <a:endParaRPr lang="en-US"/>
        </a:p>
      </dgm:t>
    </dgm:pt>
    <dgm:pt modelId="{0B8F448A-FC3C-3140-A130-B70723B77388}">
      <dgm:prSet phldrT="[Text]"/>
      <dgm:spPr/>
      <dgm:t>
        <a:bodyPr/>
        <a:lstStyle/>
        <a:p>
          <a:r>
            <a:rPr lang="en-US"/>
            <a:t>Standardisation &amp; Validation</a:t>
          </a:r>
        </a:p>
      </dgm:t>
    </dgm:pt>
    <dgm:pt modelId="{B16704DE-834F-8F42-A886-751F3A9FF400}" type="parTrans" cxnId="{9A77DD58-4B20-3644-B0AA-F6ACA84F0866}">
      <dgm:prSet/>
      <dgm:spPr/>
      <dgm:t>
        <a:bodyPr/>
        <a:lstStyle/>
        <a:p>
          <a:endParaRPr lang="en-US"/>
        </a:p>
      </dgm:t>
    </dgm:pt>
    <dgm:pt modelId="{D167FBA8-5040-8F48-9B8C-CE5EFC8529A5}" type="sibTrans" cxnId="{9A77DD58-4B20-3644-B0AA-F6ACA84F0866}">
      <dgm:prSet/>
      <dgm:spPr/>
      <dgm:t>
        <a:bodyPr/>
        <a:lstStyle/>
        <a:p>
          <a:endParaRPr lang="en-US"/>
        </a:p>
      </dgm:t>
    </dgm:pt>
    <dgm:pt modelId="{785A829E-EA3C-004C-8ECE-5B86BDA1885A}">
      <dgm:prSet phldrT="[Text]"/>
      <dgm:spPr/>
      <dgm:t>
        <a:bodyPr/>
        <a:lstStyle/>
        <a:p>
          <a:r>
            <a:rPr lang="en-US"/>
            <a:t>Revisit research opportunites</a:t>
          </a:r>
        </a:p>
      </dgm:t>
    </dgm:pt>
    <dgm:pt modelId="{18DFA328-3A38-F940-9C7B-97DF77AF31AF}" type="parTrans" cxnId="{46456665-061D-F649-923A-D94234D87515}">
      <dgm:prSet/>
      <dgm:spPr/>
      <dgm:t>
        <a:bodyPr/>
        <a:lstStyle/>
        <a:p>
          <a:endParaRPr lang="en-US"/>
        </a:p>
      </dgm:t>
    </dgm:pt>
    <dgm:pt modelId="{E10345B0-6CA8-7F49-9045-D1A6CB0C007E}" type="sibTrans" cxnId="{46456665-061D-F649-923A-D94234D87515}">
      <dgm:prSet/>
      <dgm:spPr/>
      <dgm:t>
        <a:bodyPr/>
        <a:lstStyle/>
        <a:p>
          <a:endParaRPr lang="en-US"/>
        </a:p>
      </dgm:t>
    </dgm:pt>
    <dgm:pt modelId="{19262AA3-F183-8F47-A3FD-299C66CE8666}">
      <dgm:prSet phldrT="[Text]"/>
      <dgm:spPr/>
      <dgm:t>
        <a:bodyPr/>
        <a:lstStyle/>
        <a:p>
          <a:r>
            <a:rPr lang="en-US"/>
            <a:t>Formative vs summative</a:t>
          </a:r>
        </a:p>
      </dgm:t>
    </dgm:pt>
    <dgm:pt modelId="{116E6821-1666-6145-B8C8-9020DCEB584D}" type="parTrans" cxnId="{5A473ECE-CA53-394F-BB7F-E8530AA6FE9C}">
      <dgm:prSet/>
      <dgm:spPr/>
      <dgm:t>
        <a:bodyPr/>
        <a:lstStyle/>
        <a:p>
          <a:endParaRPr lang="en-US"/>
        </a:p>
      </dgm:t>
    </dgm:pt>
    <dgm:pt modelId="{0ED7325F-0EB2-2E42-9868-71E3E3BAE0A9}" type="sibTrans" cxnId="{5A473ECE-CA53-394F-BB7F-E8530AA6FE9C}">
      <dgm:prSet/>
      <dgm:spPr/>
      <dgm:t>
        <a:bodyPr/>
        <a:lstStyle/>
        <a:p>
          <a:endParaRPr lang="en-US"/>
        </a:p>
      </dgm:t>
    </dgm:pt>
    <dgm:pt modelId="{E9EBDCCE-9571-A949-A11F-BE69F4055C83}">
      <dgm:prSet phldrT="[Text]"/>
      <dgm:spPr/>
      <dgm:t>
        <a:bodyPr/>
        <a:lstStyle/>
        <a:p>
          <a:r>
            <a:rPr lang="en-US"/>
            <a:t>Interprofessional</a:t>
          </a:r>
        </a:p>
      </dgm:t>
    </dgm:pt>
    <dgm:pt modelId="{005C067A-DEEC-A943-97D3-0A0BA414ED1B}" type="parTrans" cxnId="{5A2AFDAF-3407-EA47-8EC1-9D94ED3B418D}">
      <dgm:prSet/>
      <dgm:spPr/>
      <dgm:t>
        <a:bodyPr/>
        <a:lstStyle/>
        <a:p>
          <a:endParaRPr lang="en-US"/>
        </a:p>
      </dgm:t>
    </dgm:pt>
    <dgm:pt modelId="{8B0DA641-5E55-FA4F-A857-3A2556BA22C0}" type="sibTrans" cxnId="{5A2AFDAF-3407-EA47-8EC1-9D94ED3B418D}">
      <dgm:prSet/>
      <dgm:spPr/>
      <dgm:t>
        <a:bodyPr/>
        <a:lstStyle/>
        <a:p>
          <a:endParaRPr lang="en-US"/>
        </a:p>
      </dgm:t>
    </dgm:pt>
    <dgm:pt modelId="{0AB8387F-181D-A348-959D-2BF6AA83C5BB}">
      <dgm:prSet phldrT="[Text]"/>
      <dgm:spPr/>
      <dgm:t>
        <a:bodyPr/>
        <a:lstStyle/>
        <a:p>
          <a:r>
            <a:rPr lang="en-US"/>
            <a:t>Structure, use of model, use of video</a:t>
          </a:r>
        </a:p>
      </dgm:t>
    </dgm:pt>
    <dgm:pt modelId="{5F4B1A2A-FF86-1A43-A142-FABB329404F1}" type="parTrans" cxnId="{8A434F8C-75E4-8D41-8BAC-3E3937DFBB23}">
      <dgm:prSet/>
      <dgm:spPr/>
      <dgm:t>
        <a:bodyPr/>
        <a:lstStyle/>
        <a:p>
          <a:endParaRPr lang="en-US"/>
        </a:p>
      </dgm:t>
    </dgm:pt>
    <dgm:pt modelId="{2F31AEE3-2465-1C46-85A3-E7BE1009DDC5}" type="sibTrans" cxnId="{8A434F8C-75E4-8D41-8BAC-3E3937DFBB23}">
      <dgm:prSet/>
      <dgm:spPr/>
      <dgm:t>
        <a:bodyPr/>
        <a:lstStyle/>
        <a:p>
          <a:endParaRPr lang="en-US"/>
        </a:p>
      </dgm:t>
    </dgm:pt>
    <dgm:pt modelId="{1EEF6F10-298D-E343-A25B-0904F1276A10}" type="pres">
      <dgm:prSet presAssocID="{84218796-1B18-AE47-9D30-EC29858E97D6}" presName="Name0" presStyleCnt="0">
        <dgm:presLayoutVars>
          <dgm:chPref val="3"/>
          <dgm:dir/>
          <dgm:animLvl val="lvl"/>
          <dgm:resizeHandles/>
        </dgm:presLayoutVars>
      </dgm:prSet>
      <dgm:spPr/>
    </dgm:pt>
    <dgm:pt modelId="{F8217165-02BA-7342-9663-DC82AD8CB8B5}" type="pres">
      <dgm:prSet presAssocID="{6BBFF303-2788-FF4C-80F2-CE18FC41E265}" presName="horFlow" presStyleCnt="0"/>
      <dgm:spPr/>
    </dgm:pt>
    <dgm:pt modelId="{62F5069D-6428-7646-B5B8-E74101603520}" type="pres">
      <dgm:prSet presAssocID="{6BBFF303-2788-FF4C-80F2-CE18FC41E265}" presName="bigChev" presStyleLbl="node1" presStyleIdx="0" presStyleCnt="11"/>
      <dgm:spPr/>
    </dgm:pt>
    <dgm:pt modelId="{BDC1DC08-099B-6643-B6B4-77143BAFECF4}" type="pres">
      <dgm:prSet presAssocID="{1044C8E8-2490-E445-8E8A-A3C33977DCEE}" presName="parTrans" presStyleCnt="0"/>
      <dgm:spPr/>
    </dgm:pt>
    <dgm:pt modelId="{9A9A99D7-10A2-8B4C-90E9-074E0F1F5CB8}" type="pres">
      <dgm:prSet presAssocID="{A8E075B8-443F-BE4B-81E3-1F0968B4B395}" presName="node" presStyleLbl="alignAccFollowNode1" presStyleIdx="0" presStyleCnt="31">
        <dgm:presLayoutVars>
          <dgm:bulletEnabled val="1"/>
        </dgm:presLayoutVars>
      </dgm:prSet>
      <dgm:spPr/>
    </dgm:pt>
    <dgm:pt modelId="{7372BC76-E05F-B746-A2CE-9C56442AED02}" type="pres">
      <dgm:prSet presAssocID="{C2D354D7-BC70-C34A-B57B-6734E5A02199}" presName="sibTrans" presStyleCnt="0"/>
      <dgm:spPr/>
    </dgm:pt>
    <dgm:pt modelId="{FE1B3163-0C52-294A-A57E-E37E9505647B}" type="pres">
      <dgm:prSet presAssocID="{E01E6E7A-9F2F-7A4F-8F9B-BA510E8B1DB7}" presName="node" presStyleLbl="alignAccFollowNode1" presStyleIdx="1" presStyleCnt="31">
        <dgm:presLayoutVars>
          <dgm:bulletEnabled val="1"/>
        </dgm:presLayoutVars>
      </dgm:prSet>
      <dgm:spPr/>
    </dgm:pt>
    <dgm:pt modelId="{26687847-A9C8-134D-A3C5-888B6C82E6A5}" type="pres">
      <dgm:prSet presAssocID="{213F6E16-84B0-4A48-8617-3B8DCA4B18C3}" presName="sibTrans" presStyleCnt="0"/>
      <dgm:spPr/>
    </dgm:pt>
    <dgm:pt modelId="{CD0F0A6B-3783-C04E-890D-2A8A5F035E84}" type="pres">
      <dgm:prSet presAssocID="{42B3A0BA-A172-B445-AA45-21C9E155D003}" presName="node" presStyleLbl="alignAccFollowNode1" presStyleIdx="2" presStyleCnt="31">
        <dgm:presLayoutVars>
          <dgm:bulletEnabled val="1"/>
        </dgm:presLayoutVars>
      </dgm:prSet>
      <dgm:spPr/>
    </dgm:pt>
    <dgm:pt modelId="{5066D4B1-E3F2-254A-A2D3-9E3465548764}" type="pres">
      <dgm:prSet presAssocID="{6BBFF303-2788-FF4C-80F2-CE18FC41E265}" presName="vSp" presStyleCnt="0"/>
      <dgm:spPr/>
    </dgm:pt>
    <dgm:pt modelId="{E8612D19-CE1E-5640-9C90-61867048AEAA}" type="pres">
      <dgm:prSet presAssocID="{4BFBC725-9E6F-634A-9EFB-D93CE39BFA5E}" presName="horFlow" presStyleCnt="0"/>
      <dgm:spPr/>
    </dgm:pt>
    <dgm:pt modelId="{BD411B85-D41C-FD4B-8B60-15736738EE11}" type="pres">
      <dgm:prSet presAssocID="{4BFBC725-9E6F-634A-9EFB-D93CE39BFA5E}" presName="bigChev" presStyleLbl="node1" presStyleIdx="1" presStyleCnt="11"/>
      <dgm:spPr/>
    </dgm:pt>
    <dgm:pt modelId="{970C542B-4817-CA48-8FEC-D7449B26AE6D}" type="pres">
      <dgm:prSet presAssocID="{B6889484-6EF2-F047-BF33-57F13C59E857}" presName="parTrans" presStyleCnt="0"/>
      <dgm:spPr/>
    </dgm:pt>
    <dgm:pt modelId="{111FAD15-C877-5E45-B309-7F94F3FD935C}" type="pres">
      <dgm:prSet presAssocID="{F37C6FE1-D6E7-AC42-B4DA-BFDBF2BFBBA6}" presName="node" presStyleLbl="alignAccFollowNode1" presStyleIdx="3" presStyleCnt="31">
        <dgm:presLayoutVars>
          <dgm:bulletEnabled val="1"/>
        </dgm:presLayoutVars>
      </dgm:prSet>
      <dgm:spPr/>
    </dgm:pt>
    <dgm:pt modelId="{3614DF7B-B159-124C-8954-DCB6C08EC6E3}" type="pres">
      <dgm:prSet presAssocID="{1A279CBC-7F31-F047-9C18-BACB92F80B7C}" presName="sibTrans" presStyleCnt="0"/>
      <dgm:spPr/>
    </dgm:pt>
    <dgm:pt modelId="{81542735-3E09-2749-B7FA-4F0E3ED3C479}" type="pres">
      <dgm:prSet presAssocID="{5EF4FABA-9E62-0E4E-9980-84C96432D357}" presName="node" presStyleLbl="alignAccFollowNode1" presStyleIdx="4" presStyleCnt="31">
        <dgm:presLayoutVars>
          <dgm:bulletEnabled val="1"/>
        </dgm:presLayoutVars>
      </dgm:prSet>
      <dgm:spPr/>
    </dgm:pt>
    <dgm:pt modelId="{2798D302-1C96-3D43-A610-34E261CC78F1}" type="pres">
      <dgm:prSet presAssocID="{4979B692-305E-F545-9931-09AE92665EE0}" presName="sibTrans" presStyleCnt="0"/>
      <dgm:spPr/>
    </dgm:pt>
    <dgm:pt modelId="{9220A6B1-F0F2-D94E-973F-1184D8D41310}" type="pres">
      <dgm:prSet presAssocID="{33DC52AC-8EB9-BA4D-B47A-27C07A926222}" presName="node" presStyleLbl="alignAccFollowNode1" presStyleIdx="5" presStyleCnt="31">
        <dgm:presLayoutVars>
          <dgm:bulletEnabled val="1"/>
        </dgm:presLayoutVars>
      </dgm:prSet>
      <dgm:spPr/>
    </dgm:pt>
    <dgm:pt modelId="{1DC19BEF-51C6-CB4C-B56E-850D785BDA9A}" type="pres">
      <dgm:prSet presAssocID="{4BFBC725-9E6F-634A-9EFB-D93CE39BFA5E}" presName="vSp" presStyleCnt="0"/>
      <dgm:spPr/>
    </dgm:pt>
    <dgm:pt modelId="{3AE2BD27-CCAB-9F4D-ADCB-927824133453}" type="pres">
      <dgm:prSet presAssocID="{522BF6C0-FDC6-664E-AD1A-9F3FF8E2B521}" presName="horFlow" presStyleCnt="0"/>
      <dgm:spPr/>
    </dgm:pt>
    <dgm:pt modelId="{B8F586D8-398E-2340-ACDD-F6A6BE2603DF}" type="pres">
      <dgm:prSet presAssocID="{522BF6C0-FDC6-664E-AD1A-9F3FF8E2B521}" presName="bigChev" presStyleLbl="node1" presStyleIdx="2" presStyleCnt="11"/>
      <dgm:spPr/>
    </dgm:pt>
    <dgm:pt modelId="{45370DE1-6BFA-9A41-B7D5-8EB7B623450F}" type="pres">
      <dgm:prSet presAssocID="{89DC23D4-0FE8-DB4A-9F36-E2D21681401B}" presName="parTrans" presStyleCnt="0"/>
      <dgm:spPr/>
    </dgm:pt>
    <dgm:pt modelId="{577616B3-C523-B840-9299-0E04D26A6C4C}" type="pres">
      <dgm:prSet presAssocID="{331086C6-2646-7F45-AD6F-9BF4BD4072A1}" presName="node" presStyleLbl="alignAccFollowNode1" presStyleIdx="6" presStyleCnt="31">
        <dgm:presLayoutVars>
          <dgm:bulletEnabled val="1"/>
        </dgm:presLayoutVars>
      </dgm:prSet>
      <dgm:spPr/>
    </dgm:pt>
    <dgm:pt modelId="{408B59DC-8F63-8548-B184-22BB4D42BE81}" type="pres">
      <dgm:prSet presAssocID="{4F4843AA-A379-4840-AA66-33755C4EB31B}" presName="sibTrans" presStyleCnt="0"/>
      <dgm:spPr/>
    </dgm:pt>
    <dgm:pt modelId="{0B4F7F20-FBE5-3140-A6AB-20E238360BBB}" type="pres">
      <dgm:prSet presAssocID="{C4400AB0-D96F-EC48-9B5A-FE2F3B16F35D}" presName="node" presStyleLbl="alignAccFollowNode1" presStyleIdx="7" presStyleCnt="31">
        <dgm:presLayoutVars>
          <dgm:bulletEnabled val="1"/>
        </dgm:presLayoutVars>
      </dgm:prSet>
      <dgm:spPr/>
    </dgm:pt>
    <dgm:pt modelId="{EF914364-C5BF-7849-89FB-D2F8FCFEF5FB}" type="pres">
      <dgm:prSet presAssocID="{70BFF642-9ED9-694D-9DD9-DACD527FD6BF}" presName="sibTrans" presStyleCnt="0"/>
      <dgm:spPr/>
    </dgm:pt>
    <dgm:pt modelId="{B5FBCE9A-8FBD-7048-80AA-47185FC6F4E4}" type="pres">
      <dgm:prSet presAssocID="{E9EBDCCE-9571-A949-A11F-BE69F4055C83}" presName="node" presStyleLbl="alignAccFollowNode1" presStyleIdx="8" presStyleCnt="31">
        <dgm:presLayoutVars>
          <dgm:bulletEnabled val="1"/>
        </dgm:presLayoutVars>
      </dgm:prSet>
      <dgm:spPr/>
    </dgm:pt>
    <dgm:pt modelId="{33A95501-9E8F-6B4B-8AE8-E30B4A6A1548}" type="pres">
      <dgm:prSet presAssocID="{522BF6C0-FDC6-664E-AD1A-9F3FF8E2B521}" presName="vSp" presStyleCnt="0"/>
      <dgm:spPr/>
    </dgm:pt>
    <dgm:pt modelId="{B792A2E3-6B7A-D342-9369-75343328750D}" type="pres">
      <dgm:prSet presAssocID="{9A5416C4-5F52-AE4E-8D72-7D5DC7619A71}" presName="horFlow" presStyleCnt="0"/>
      <dgm:spPr/>
    </dgm:pt>
    <dgm:pt modelId="{ADD65E40-B42A-4A45-8497-EE9ED5554301}" type="pres">
      <dgm:prSet presAssocID="{9A5416C4-5F52-AE4E-8D72-7D5DC7619A71}" presName="bigChev" presStyleLbl="node1" presStyleIdx="3" presStyleCnt="11"/>
      <dgm:spPr/>
    </dgm:pt>
    <dgm:pt modelId="{BC33B63F-915A-FD46-8390-BE211A23DCA8}" type="pres">
      <dgm:prSet presAssocID="{C66F21E7-6016-2A47-BB9B-02B469D50FA4}" presName="parTrans" presStyleCnt="0"/>
      <dgm:spPr/>
    </dgm:pt>
    <dgm:pt modelId="{54D52F9F-95A6-F745-9897-9C0D0B84AC1E}" type="pres">
      <dgm:prSet presAssocID="{EA6CDE57-8A2E-0E4E-897C-F4E546A15A34}" presName="node" presStyleLbl="alignAccFollowNode1" presStyleIdx="9" presStyleCnt="31">
        <dgm:presLayoutVars>
          <dgm:bulletEnabled val="1"/>
        </dgm:presLayoutVars>
      </dgm:prSet>
      <dgm:spPr/>
    </dgm:pt>
    <dgm:pt modelId="{81C787BC-73F1-1C44-B920-5E3F9802AC6E}" type="pres">
      <dgm:prSet presAssocID="{EA87330D-82FC-5644-8DB2-1DA04A8D4886}" presName="sibTrans" presStyleCnt="0"/>
      <dgm:spPr/>
    </dgm:pt>
    <dgm:pt modelId="{1A9E2C09-2571-9240-B719-F367DF0E8229}" type="pres">
      <dgm:prSet presAssocID="{5A48F927-84E9-8940-A21A-42FEC98A55E8}" presName="node" presStyleLbl="alignAccFollowNode1" presStyleIdx="10" presStyleCnt="31">
        <dgm:presLayoutVars>
          <dgm:bulletEnabled val="1"/>
        </dgm:presLayoutVars>
      </dgm:prSet>
      <dgm:spPr/>
    </dgm:pt>
    <dgm:pt modelId="{DFB22AA5-2B5E-7F42-9884-204C21A9D084}" type="pres">
      <dgm:prSet presAssocID="{8D74B71B-4CE4-9D45-9E54-5A8EF5A31AEE}" presName="sibTrans" presStyleCnt="0"/>
      <dgm:spPr/>
    </dgm:pt>
    <dgm:pt modelId="{A41947AC-9380-104D-845E-2F9A8DF5BA24}" type="pres">
      <dgm:prSet presAssocID="{947055BB-E543-0949-BD6E-F78421D4CBAD}" presName="node" presStyleLbl="alignAccFollowNode1" presStyleIdx="11" presStyleCnt="31">
        <dgm:presLayoutVars>
          <dgm:bulletEnabled val="1"/>
        </dgm:presLayoutVars>
      </dgm:prSet>
      <dgm:spPr/>
    </dgm:pt>
    <dgm:pt modelId="{B7D93A63-4705-4F48-A8D6-4E9AEFF196C1}" type="pres">
      <dgm:prSet presAssocID="{9A5416C4-5F52-AE4E-8D72-7D5DC7619A71}" presName="vSp" presStyleCnt="0"/>
      <dgm:spPr/>
    </dgm:pt>
    <dgm:pt modelId="{C7EC636D-29F1-C24B-A78E-B00964637F42}" type="pres">
      <dgm:prSet presAssocID="{5D2084E8-F520-C541-A6AB-0FCEC2475D3D}" presName="horFlow" presStyleCnt="0"/>
      <dgm:spPr/>
    </dgm:pt>
    <dgm:pt modelId="{B79FAB10-59AD-1B41-80A6-2A2ACE08AC80}" type="pres">
      <dgm:prSet presAssocID="{5D2084E8-F520-C541-A6AB-0FCEC2475D3D}" presName="bigChev" presStyleLbl="node1" presStyleIdx="4" presStyleCnt="11"/>
      <dgm:spPr/>
    </dgm:pt>
    <dgm:pt modelId="{353A85A8-850D-564D-827C-2512DF11F12E}" type="pres">
      <dgm:prSet presAssocID="{8E7CC16B-8154-304B-B15C-7DFE04D812BE}" presName="parTrans" presStyleCnt="0"/>
      <dgm:spPr/>
    </dgm:pt>
    <dgm:pt modelId="{0D897E1B-4412-A34E-8520-9731014B1056}" type="pres">
      <dgm:prSet presAssocID="{E3475ECA-3395-414B-9EF7-0D2008044570}" presName="node" presStyleLbl="alignAccFollowNode1" presStyleIdx="12" presStyleCnt="31">
        <dgm:presLayoutVars>
          <dgm:bulletEnabled val="1"/>
        </dgm:presLayoutVars>
      </dgm:prSet>
      <dgm:spPr/>
    </dgm:pt>
    <dgm:pt modelId="{39A23E84-BB22-514C-9C24-4D9239DE7A28}" type="pres">
      <dgm:prSet presAssocID="{0C58B06D-8ADB-0447-AF30-409BD76A0B75}" presName="sibTrans" presStyleCnt="0"/>
      <dgm:spPr/>
    </dgm:pt>
    <dgm:pt modelId="{A61D4E2B-28A6-964C-8E4F-6B3664084945}" type="pres">
      <dgm:prSet presAssocID="{5D3C4E7A-522E-214D-90DC-13DC149E518F}" presName="node" presStyleLbl="alignAccFollowNode1" presStyleIdx="13" presStyleCnt="31">
        <dgm:presLayoutVars>
          <dgm:bulletEnabled val="1"/>
        </dgm:presLayoutVars>
      </dgm:prSet>
      <dgm:spPr/>
    </dgm:pt>
    <dgm:pt modelId="{85CA03C1-A57D-0B4B-9E80-CEF07C9DB611}" type="pres">
      <dgm:prSet presAssocID="{E9325FA7-4DA8-D241-AE98-5306CBE06FDE}" presName="sibTrans" presStyleCnt="0"/>
      <dgm:spPr/>
    </dgm:pt>
    <dgm:pt modelId="{8C7EC6D9-417F-DA49-B2AE-263DCAF2DCA1}" type="pres">
      <dgm:prSet presAssocID="{47CC5C4B-AF0A-3D46-BAB9-60A2DE4FA9E8}" presName="node" presStyleLbl="alignAccFollowNode1" presStyleIdx="14" presStyleCnt="31">
        <dgm:presLayoutVars>
          <dgm:bulletEnabled val="1"/>
        </dgm:presLayoutVars>
      </dgm:prSet>
      <dgm:spPr/>
    </dgm:pt>
    <dgm:pt modelId="{A09B93DA-1DCB-9249-8971-5FAB1736FAFB}" type="pres">
      <dgm:prSet presAssocID="{5D2084E8-F520-C541-A6AB-0FCEC2475D3D}" presName="vSp" presStyleCnt="0"/>
      <dgm:spPr/>
    </dgm:pt>
    <dgm:pt modelId="{7F4F38D3-78F5-A848-8A35-950EBB2D6EB3}" type="pres">
      <dgm:prSet presAssocID="{8CEE8509-18CA-884C-B21D-B7C347414095}" presName="horFlow" presStyleCnt="0"/>
      <dgm:spPr/>
    </dgm:pt>
    <dgm:pt modelId="{C84938F2-6E2C-5843-8BF8-551DD9167581}" type="pres">
      <dgm:prSet presAssocID="{8CEE8509-18CA-884C-B21D-B7C347414095}" presName="bigChev" presStyleLbl="node1" presStyleIdx="5" presStyleCnt="11"/>
      <dgm:spPr/>
    </dgm:pt>
    <dgm:pt modelId="{5B5D3101-A043-5A46-B0EF-BB9766E608F7}" type="pres">
      <dgm:prSet presAssocID="{8500531F-8B37-D84C-9B0C-21C1C0471BBC}" presName="parTrans" presStyleCnt="0"/>
      <dgm:spPr/>
    </dgm:pt>
    <dgm:pt modelId="{A1BF5DB3-13AB-8F4F-98A6-FC78A911453C}" type="pres">
      <dgm:prSet presAssocID="{BF573C8B-9DF3-DA4A-89A3-93517A9E0B3C}" presName="node" presStyleLbl="alignAccFollowNode1" presStyleIdx="15" presStyleCnt="31">
        <dgm:presLayoutVars>
          <dgm:bulletEnabled val="1"/>
        </dgm:presLayoutVars>
      </dgm:prSet>
      <dgm:spPr/>
    </dgm:pt>
    <dgm:pt modelId="{6F670832-EDA1-1E48-A08D-D29B282C66DA}" type="pres">
      <dgm:prSet presAssocID="{21887756-0D7B-4742-914B-8A7BA1EDF3CC}" presName="sibTrans" presStyleCnt="0"/>
      <dgm:spPr/>
    </dgm:pt>
    <dgm:pt modelId="{87EDA16B-184D-E54E-8AD5-F9C78C7C6640}" type="pres">
      <dgm:prSet presAssocID="{F05991AD-ED86-2B4A-B054-DFD3DEA5697F}" presName="node" presStyleLbl="alignAccFollowNode1" presStyleIdx="16" presStyleCnt="31">
        <dgm:presLayoutVars>
          <dgm:bulletEnabled val="1"/>
        </dgm:presLayoutVars>
      </dgm:prSet>
      <dgm:spPr/>
    </dgm:pt>
    <dgm:pt modelId="{72D8A55B-3A47-FD49-BEFB-7AE3F312960F}" type="pres">
      <dgm:prSet presAssocID="{01F57B55-82E0-A948-8785-3047D8EEDFAC}" presName="sibTrans" presStyleCnt="0"/>
      <dgm:spPr/>
    </dgm:pt>
    <dgm:pt modelId="{AF60090A-316E-BA40-828C-98E4263548D3}" type="pres">
      <dgm:prSet presAssocID="{DF173DD3-DAFE-614C-BC71-80AC7338AB73}" presName="node" presStyleLbl="alignAccFollowNode1" presStyleIdx="17" presStyleCnt="31">
        <dgm:presLayoutVars>
          <dgm:bulletEnabled val="1"/>
        </dgm:presLayoutVars>
      </dgm:prSet>
      <dgm:spPr/>
    </dgm:pt>
    <dgm:pt modelId="{93B62493-18A0-9347-B604-9237BAEA7889}" type="pres">
      <dgm:prSet presAssocID="{8CEE8509-18CA-884C-B21D-B7C347414095}" presName="vSp" presStyleCnt="0"/>
      <dgm:spPr/>
    </dgm:pt>
    <dgm:pt modelId="{A380A177-D138-6140-9909-9534782A83F7}" type="pres">
      <dgm:prSet presAssocID="{3A3BC354-472F-BD43-9719-D28D9CE6ACA2}" presName="horFlow" presStyleCnt="0"/>
      <dgm:spPr/>
    </dgm:pt>
    <dgm:pt modelId="{AAFC746C-6BBB-444E-9D31-D1DE0E84A738}" type="pres">
      <dgm:prSet presAssocID="{3A3BC354-472F-BD43-9719-D28D9CE6ACA2}" presName="bigChev" presStyleLbl="node1" presStyleIdx="6" presStyleCnt="11"/>
      <dgm:spPr/>
    </dgm:pt>
    <dgm:pt modelId="{3111265E-C3AD-1442-A12A-2E0A36F82766}" type="pres">
      <dgm:prSet presAssocID="{EF5AA6BB-803D-3445-BB0A-4AF4552453A5}" presName="parTrans" presStyleCnt="0"/>
      <dgm:spPr/>
    </dgm:pt>
    <dgm:pt modelId="{E44DD6E1-DEB3-1243-BF27-6CADD03DF2D4}" type="pres">
      <dgm:prSet presAssocID="{AB5F28D4-B776-BE41-A0FC-CE0DBF475CC3}" presName="node" presStyleLbl="alignAccFollowNode1" presStyleIdx="18" presStyleCnt="31">
        <dgm:presLayoutVars>
          <dgm:bulletEnabled val="1"/>
        </dgm:presLayoutVars>
      </dgm:prSet>
      <dgm:spPr/>
    </dgm:pt>
    <dgm:pt modelId="{67486DD0-8097-BF4A-BBA2-F5AE11289BAF}" type="pres">
      <dgm:prSet presAssocID="{5AE510F3-F17A-2A45-863B-0CCEE34C9F17}" presName="sibTrans" presStyleCnt="0"/>
      <dgm:spPr/>
    </dgm:pt>
    <dgm:pt modelId="{7E2C55D3-6908-4241-BE29-86CCCD38ECD2}" type="pres">
      <dgm:prSet presAssocID="{09C4714D-4865-5643-8718-59F14D62D8CA}" presName="node" presStyleLbl="alignAccFollowNode1" presStyleIdx="19" presStyleCnt="31">
        <dgm:presLayoutVars>
          <dgm:bulletEnabled val="1"/>
        </dgm:presLayoutVars>
      </dgm:prSet>
      <dgm:spPr/>
    </dgm:pt>
    <dgm:pt modelId="{2B46CAB0-5ED5-6140-AC9D-189721D48529}" type="pres">
      <dgm:prSet presAssocID="{99A14CD3-262F-054D-A75A-81F5862134D0}" presName="sibTrans" presStyleCnt="0"/>
      <dgm:spPr/>
    </dgm:pt>
    <dgm:pt modelId="{0B41F5C7-FAA5-8D42-A816-F05855A10C95}" type="pres">
      <dgm:prSet presAssocID="{87D5FF3C-512F-3C40-BEC0-CFFBF2A5B366}" presName="node" presStyleLbl="alignAccFollowNode1" presStyleIdx="20" presStyleCnt="31">
        <dgm:presLayoutVars>
          <dgm:bulletEnabled val="1"/>
        </dgm:presLayoutVars>
      </dgm:prSet>
      <dgm:spPr/>
    </dgm:pt>
    <dgm:pt modelId="{6861E7C4-E70B-1C48-A579-451419A0549D}" type="pres">
      <dgm:prSet presAssocID="{3A3BC354-472F-BD43-9719-D28D9CE6ACA2}" presName="vSp" presStyleCnt="0"/>
      <dgm:spPr/>
    </dgm:pt>
    <dgm:pt modelId="{196EF951-2D4A-8B44-9C3D-CF70EAE79A5D}" type="pres">
      <dgm:prSet presAssocID="{8A9D38F1-2E4D-3447-A196-381072F2E999}" presName="horFlow" presStyleCnt="0"/>
      <dgm:spPr/>
    </dgm:pt>
    <dgm:pt modelId="{E7303F09-638B-3243-B942-29B5318BF529}" type="pres">
      <dgm:prSet presAssocID="{8A9D38F1-2E4D-3447-A196-381072F2E999}" presName="bigChev" presStyleLbl="node1" presStyleIdx="7" presStyleCnt="11"/>
      <dgm:spPr/>
    </dgm:pt>
    <dgm:pt modelId="{63ABB99E-911B-AF43-B0E5-E15785CBB473}" type="pres">
      <dgm:prSet presAssocID="{92A78C16-2476-A848-A259-B8C32CF28DD6}" presName="parTrans" presStyleCnt="0"/>
      <dgm:spPr/>
    </dgm:pt>
    <dgm:pt modelId="{E6575037-4227-C64C-9EC8-9B10CBFEE9E9}" type="pres">
      <dgm:prSet presAssocID="{E5481EE7-2239-A640-A1E5-13BE204D318B}" presName="node" presStyleLbl="alignAccFollowNode1" presStyleIdx="21" presStyleCnt="31">
        <dgm:presLayoutVars>
          <dgm:bulletEnabled val="1"/>
        </dgm:presLayoutVars>
      </dgm:prSet>
      <dgm:spPr/>
    </dgm:pt>
    <dgm:pt modelId="{29F77CD1-386A-5747-B6E4-C5314479947C}" type="pres">
      <dgm:prSet presAssocID="{65AA6BC7-A997-2140-80C2-A5E6DA01508E}" presName="sibTrans" presStyleCnt="0"/>
      <dgm:spPr/>
    </dgm:pt>
    <dgm:pt modelId="{3A8DD49A-1A07-9F4B-990B-9780379D93CF}" type="pres">
      <dgm:prSet presAssocID="{011AEC4A-8526-2549-9E2B-B83F46897C29}" presName="node" presStyleLbl="alignAccFollowNode1" presStyleIdx="22" presStyleCnt="31">
        <dgm:presLayoutVars>
          <dgm:bulletEnabled val="1"/>
        </dgm:presLayoutVars>
      </dgm:prSet>
      <dgm:spPr/>
    </dgm:pt>
    <dgm:pt modelId="{DE936338-6847-0440-8B2A-21B5B795EAAD}" type="pres">
      <dgm:prSet presAssocID="{8A9D38F1-2E4D-3447-A196-381072F2E999}" presName="vSp" presStyleCnt="0"/>
      <dgm:spPr/>
    </dgm:pt>
    <dgm:pt modelId="{9CA3BD5A-3C9D-1A4E-8631-D27F2E9CC54D}" type="pres">
      <dgm:prSet presAssocID="{6AD00196-352E-8841-9A37-665B4D6B2CD4}" presName="horFlow" presStyleCnt="0"/>
      <dgm:spPr/>
    </dgm:pt>
    <dgm:pt modelId="{C59D5E90-9B29-1B4A-8F81-669429DBB2B2}" type="pres">
      <dgm:prSet presAssocID="{6AD00196-352E-8841-9A37-665B4D6B2CD4}" presName="bigChev" presStyleLbl="node1" presStyleIdx="8" presStyleCnt="11"/>
      <dgm:spPr/>
    </dgm:pt>
    <dgm:pt modelId="{51285497-4991-5546-B51C-CD2A8A56A78E}" type="pres">
      <dgm:prSet presAssocID="{917BC8D2-BB9C-9748-95DA-CBBACC9011C2}" presName="parTrans" presStyleCnt="0"/>
      <dgm:spPr/>
    </dgm:pt>
    <dgm:pt modelId="{C8047EF9-F98E-9C4D-965C-D2B81F430118}" type="pres">
      <dgm:prSet presAssocID="{C6503D70-504F-734E-A735-F1D5EAB1521C}" presName="node" presStyleLbl="alignAccFollowNode1" presStyleIdx="23" presStyleCnt="31">
        <dgm:presLayoutVars>
          <dgm:bulletEnabled val="1"/>
        </dgm:presLayoutVars>
      </dgm:prSet>
      <dgm:spPr/>
    </dgm:pt>
    <dgm:pt modelId="{D3F1744B-17EE-4B44-A149-2C3BCE38D376}" type="pres">
      <dgm:prSet presAssocID="{C581CC76-9A8E-7B47-A6FB-6B8C43C46D38}" presName="sibTrans" presStyleCnt="0"/>
      <dgm:spPr/>
    </dgm:pt>
    <dgm:pt modelId="{4254FA65-88CA-904F-9F28-07D4BD79DCF3}" type="pres">
      <dgm:prSet presAssocID="{0AB8387F-181D-A348-959D-2BF6AA83C5BB}" presName="node" presStyleLbl="alignAccFollowNode1" presStyleIdx="24" presStyleCnt="31">
        <dgm:presLayoutVars>
          <dgm:bulletEnabled val="1"/>
        </dgm:presLayoutVars>
      </dgm:prSet>
      <dgm:spPr/>
    </dgm:pt>
    <dgm:pt modelId="{B748BD61-DDD0-1843-A9FC-612E46A4B5E9}" type="pres">
      <dgm:prSet presAssocID="{2F31AEE3-2465-1C46-85A3-E7BE1009DDC5}" presName="sibTrans" presStyleCnt="0"/>
      <dgm:spPr/>
    </dgm:pt>
    <dgm:pt modelId="{16E83BA5-2261-D04F-9CF4-5C15B39EBEBE}" type="pres">
      <dgm:prSet presAssocID="{893E6952-F53F-5C4C-A569-3977B526B12C}" presName="node" presStyleLbl="alignAccFollowNode1" presStyleIdx="25" presStyleCnt="31">
        <dgm:presLayoutVars>
          <dgm:bulletEnabled val="1"/>
        </dgm:presLayoutVars>
      </dgm:prSet>
      <dgm:spPr/>
    </dgm:pt>
    <dgm:pt modelId="{64D6B853-C2D7-6849-8861-784E19106FA3}" type="pres">
      <dgm:prSet presAssocID="{6AD00196-352E-8841-9A37-665B4D6B2CD4}" presName="vSp" presStyleCnt="0"/>
      <dgm:spPr/>
    </dgm:pt>
    <dgm:pt modelId="{EFBF11C2-4E47-8143-9175-A93E8730C136}" type="pres">
      <dgm:prSet presAssocID="{0BDC8C91-59E1-6242-81E3-024E0BF269F1}" presName="horFlow" presStyleCnt="0"/>
      <dgm:spPr/>
    </dgm:pt>
    <dgm:pt modelId="{34F40C67-39A7-6D4F-A6A9-B8C677A56906}" type="pres">
      <dgm:prSet presAssocID="{0BDC8C91-59E1-6242-81E3-024E0BF269F1}" presName="bigChev" presStyleLbl="node1" presStyleIdx="9" presStyleCnt="11"/>
      <dgm:spPr/>
    </dgm:pt>
    <dgm:pt modelId="{325B1214-9F47-514D-91E6-B850204E6CB4}" type="pres">
      <dgm:prSet presAssocID="{F8F08C46-8282-D947-A405-BDF5ACC28056}" presName="parTrans" presStyleCnt="0"/>
      <dgm:spPr/>
    </dgm:pt>
    <dgm:pt modelId="{F5B1899E-F2DD-7A4E-81DA-ADED7C510217}" type="pres">
      <dgm:prSet presAssocID="{23638B6C-7066-6A43-AE15-0FD842545648}" presName="node" presStyleLbl="alignAccFollowNode1" presStyleIdx="26" presStyleCnt="31">
        <dgm:presLayoutVars>
          <dgm:bulletEnabled val="1"/>
        </dgm:presLayoutVars>
      </dgm:prSet>
      <dgm:spPr/>
    </dgm:pt>
    <dgm:pt modelId="{F75A5120-CA32-F24B-9EAC-C248444596DD}" type="pres">
      <dgm:prSet presAssocID="{4859A2AA-1CC4-9D48-B4DC-8CFB4FCBA5F1}" presName="sibTrans" presStyleCnt="0"/>
      <dgm:spPr/>
    </dgm:pt>
    <dgm:pt modelId="{3A123D44-2A78-E94C-A8B4-AE7819169CD7}" type="pres">
      <dgm:prSet presAssocID="{19262AA3-F183-8F47-A3FD-299C66CE8666}" presName="node" presStyleLbl="alignAccFollowNode1" presStyleIdx="27" presStyleCnt="31">
        <dgm:presLayoutVars>
          <dgm:bulletEnabled val="1"/>
        </dgm:presLayoutVars>
      </dgm:prSet>
      <dgm:spPr/>
    </dgm:pt>
    <dgm:pt modelId="{CAA1CFCF-33E7-544A-ACD7-AD5AEE12340A}" type="pres">
      <dgm:prSet presAssocID="{0ED7325F-0EB2-2E42-9868-71E3E3BAE0A9}" presName="sibTrans" presStyleCnt="0"/>
      <dgm:spPr/>
    </dgm:pt>
    <dgm:pt modelId="{5A1979BB-E0EC-404A-8555-A7F1EF5F8421}" type="pres">
      <dgm:prSet presAssocID="{0B8F448A-FC3C-3140-A130-B70723B77388}" presName="node" presStyleLbl="alignAccFollowNode1" presStyleIdx="28" presStyleCnt="31">
        <dgm:presLayoutVars>
          <dgm:bulletEnabled val="1"/>
        </dgm:presLayoutVars>
      </dgm:prSet>
      <dgm:spPr/>
    </dgm:pt>
    <dgm:pt modelId="{497C3387-55EC-B24F-A943-34E1FC29A0A0}" type="pres">
      <dgm:prSet presAssocID="{0BDC8C91-59E1-6242-81E3-024E0BF269F1}" presName="vSp" presStyleCnt="0"/>
      <dgm:spPr/>
    </dgm:pt>
    <dgm:pt modelId="{4363571D-A7C7-8E42-BFA4-733E017CD0F8}" type="pres">
      <dgm:prSet presAssocID="{32923B2C-5455-C849-8988-3F863BF1ADD4}" presName="horFlow" presStyleCnt="0"/>
      <dgm:spPr/>
    </dgm:pt>
    <dgm:pt modelId="{9769583A-23DA-0A46-89AA-7084192D4260}" type="pres">
      <dgm:prSet presAssocID="{32923B2C-5455-C849-8988-3F863BF1ADD4}" presName="bigChev" presStyleLbl="node1" presStyleIdx="10" presStyleCnt="11"/>
      <dgm:spPr/>
    </dgm:pt>
    <dgm:pt modelId="{1711D0D7-9FAB-E54B-9420-7941DD918BEE}" type="pres">
      <dgm:prSet presAssocID="{1D4D5302-05CB-1D45-92D9-CB207693C910}" presName="parTrans" presStyleCnt="0"/>
      <dgm:spPr/>
    </dgm:pt>
    <dgm:pt modelId="{989A4FC1-9518-BD4A-8A86-9C9659705662}" type="pres">
      <dgm:prSet presAssocID="{511009A1-A8A0-CB4D-AAC7-54A4912EF1BC}" presName="node" presStyleLbl="alignAccFollowNode1" presStyleIdx="29" presStyleCnt="31">
        <dgm:presLayoutVars>
          <dgm:bulletEnabled val="1"/>
        </dgm:presLayoutVars>
      </dgm:prSet>
      <dgm:spPr/>
    </dgm:pt>
    <dgm:pt modelId="{7D9BFB81-ACC3-3743-BBF2-035014AB6A68}" type="pres">
      <dgm:prSet presAssocID="{D81E8E9C-D89E-F34C-99B2-B9EC8458597D}" presName="sibTrans" presStyleCnt="0"/>
      <dgm:spPr/>
    </dgm:pt>
    <dgm:pt modelId="{5BE22DB9-C356-AA4C-80C7-A2D4AAC69286}" type="pres">
      <dgm:prSet presAssocID="{785A829E-EA3C-004C-8ECE-5B86BDA1885A}" presName="node" presStyleLbl="alignAccFollowNode1" presStyleIdx="30" presStyleCnt="31">
        <dgm:presLayoutVars>
          <dgm:bulletEnabled val="1"/>
        </dgm:presLayoutVars>
      </dgm:prSet>
      <dgm:spPr/>
    </dgm:pt>
  </dgm:ptLst>
  <dgm:cxnLst>
    <dgm:cxn modelId="{67ADCB0B-95ED-4242-AD82-0A6B2DC3EDBE}" type="presOf" srcId="{9A5416C4-5F52-AE4E-8D72-7D5DC7619A71}" destId="{ADD65E40-B42A-4A45-8497-EE9ED5554301}" srcOrd="0" destOrd="0" presId="urn:microsoft.com/office/officeart/2005/8/layout/lProcess3"/>
    <dgm:cxn modelId="{FB93520C-1B08-0E47-9813-4745CADEC16C}" type="presOf" srcId="{E3475ECA-3395-414B-9EF7-0D2008044570}" destId="{0D897E1B-4412-A34E-8520-9731014B1056}" srcOrd="0" destOrd="0" presId="urn:microsoft.com/office/officeart/2005/8/layout/lProcess3"/>
    <dgm:cxn modelId="{ABBE1F16-8A84-1F41-BE67-3D415772A690}" srcId="{0BDC8C91-59E1-6242-81E3-024E0BF269F1}" destId="{23638B6C-7066-6A43-AE15-0FD842545648}" srcOrd="0" destOrd="0" parTransId="{F8F08C46-8282-D947-A405-BDF5ACC28056}" sibTransId="{4859A2AA-1CC4-9D48-B4DC-8CFB4FCBA5F1}"/>
    <dgm:cxn modelId="{9187F516-D675-F440-8DF2-FBACD92C8529}" type="presOf" srcId="{893E6952-F53F-5C4C-A569-3977B526B12C}" destId="{16E83BA5-2261-D04F-9CF4-5C15B39EBEBE}" srcOrd="0" destOrd="0" presId="urn:microsoft.com/office/officeart/2005/8/layout/lProcess3"/>
    <dgm:cxn modelId="{BAB78F17-5D38-684B-BC2B-D280DEDDD22A}" type="presOf" srcId="{E5481EE7-2239-A640-A1E5-13BE204D318B}" destId="{E6575037-4227-C64C-9EC8-9B10CBFEE9E9}" srcOrd="0" destOrd="0" presId="urn:microsoft.com/office/officeart/2005/8/layout/lProcess3"/>
    <dgm:cxn modelId="{9BCD5D20-7FBC-054F-B6BE-CFFFFAFD31FD}" srcId="{8A9D38F1-2E4D-3447-A196-381072F2E999}" destId="{E5481EE7-2239-A640-A1E5-13BE204D318B}" srcOrd="0" destOrd="0" parTransId="{92A78C16-2476-A848-A259-B8C32CF28DD6}" sibTransId="{65AA6BC7-A997-2140-80C2-A5E6DA01508E}"/>
    <dgm:cxn modelId="{B96DA121-48BC-A143-9234-FA3AD64572CD}" srcId="{3A3BC354-472F-BD43-9719-D28D9CE6ACA2}" destId="{87D5FF3C-512F-3C40-BEC0-CFFBF2A5B366}" srcOrd="2" destOrd="0" parTransId="{2949EA35-7C9B-A949-8A0D-0745E7A6B5A7}" sibTransId="{8DB0375D-B7EE-EC46-BD60-7525343A2679}"/>
    <dgm:cxn modelId="{B3856724-C032-6642-8DB0-2C3CEABA97B8}" type="presOf" srcId="{F05991AD-ED86-2B4A-B054-DFD3DEA5697F}" destId="{87EDA16B-184D-E54E-8AD5-F9C78C7C6640}" srcOrd="0" destOrd="0" presId="urn:microsoft.com/office/officeart/2005/8/layout/lProcess3"/>
    <dgm:cxn modelId="{6B46B226-D621-5C49-B35B-816D89567AB6}" srcId="{8CEE8509-18CA-884C-B21D-B7C347414095}" destId="{BF573C8B-9DF3-DA4A-89A3-93517A9E0B3C}" srcOrd="0" destOrd="0" parTransId="{8500531F-8B37-D84C-9B0C-21C1C0471BBC}" sibTransId="{21887756-0D7B-4742-914B-8A7BA1EDF3CC}"/>
    <dgm:cxn modelId="{91305828-5E7E-F543-AD66-D43E5F780262}" srcId="{4BFBC725-9E6F-634A-9EFB-D93CE39BFA5E}" destId="{F37C6FE1-D6E7-AC42-B4DA-BFDBF2BFBBA6}" srcOrd="0" destOrd="0" parTransId="{B6889484-6EF2-F047-BF33-57F13C59E857}" sibTransId="{1A279CBC-7F31-F047-9C18-BACB92F80B7C}"/>
    <dgm:cxn modelId="{5ECD572A-A3D5-6949-B7B8-F3098CA5E8F9}" type="presOf" srcId="{EA6CDE57-8A2E-0E4E-897C-F4E546A15A34}" destId="{54D52F9F-95A6-F745-9897-9C0D0B84AC1E}" srcOrd="0" destOrd="0" presId="urn:microsoft.com/office/officeart/2005/8/layout/lProcess3"/>
    <dgm:cxn modelId="{0804982B-9660-1D41-AF8E-1EA2AD300A66}" type="presOf" srcId="{E01E6E7A-9F2F-7A4F-8F9B-BA510E8B1DB7}" destId="{FE1B3163-0C52-294A-A57E-E37E9505647B}" srcOrd="0" destOrd="0" presId="urn:microsoft.com/office/officeart/2005/8/layout/lProcess3"/>
    <dgm:cxn modelId="{CBD9832E-EF28-A349-8229-635CCD363ACF}" srcId="{84218796-1B18-AE47-9D30-EC29858E97D6}" destId="{5D2084E8-F520-C541-A6AB-0FCEC2475D3D}" srcOrd="4" destOrd="0" parTransId="{C14C53DB-4405-5B41-A95B-043EA3CD7683}" sibTransId="{0A62F1A3-550A-9549-8EA8-8C835E0ACF2B}"/>
    <dgm:cxn modelId="{9D762139-92B8-7E49-AF08-05191656E753}" type="presOf" srcId="{E9EBDCCE-9571-A949-A11F-BE69F4055C83}" destId="{B5FBCE9A-8FBD-7048-80AA-47185FC6F4E4}" srcOrd="0" destOrd="0" presId="urn:microsoft.com/office/officeart/2005/8/layout/lProcess3"/>
    <dgm:cxn modelId="{EBFDA539-8687-A948-B311-086368EEF9B0}" type="presOf" srcId="{F37C6FE1-D6E7-AC42-B4DA-BFDBF2BFBBA6}" destId="{111FAD15-C877-5E45-B309-7F94F3FD935C}" srcOrd="0" destOrd="0" presId="urn:microsoft.com/office/officeart/2005/8/layout/lProcess3"/>
    <dgm:cxn modelId="{63AC4E3D-5EAF-314E-ADB8-878FD52522DD}" type="presOf" srcId="{5D2084E8-F520-C541-A6AB-0FCEC2475D3D}" destId="{B79FAB10-59AD-1B41-80A6-2A2ACE08AC80}" srcOrd="0" destOrd="0" presId="urn:microsoft.com/office/officeart/2005/8/layout/lProcess3"/>
    <dgm:cxn modelId="{77CB593E-E73F-1D4E-8E5F-D7A1E33DCF6A}" srcId="{4BFBC725-9E6F-634A-9EFB-D93CE39BFA5E}" destId="{5EF4FABA-9E62-0E4E-9980-84C96432D357}" srcOrd="1" destOrd="0" parTransId="{39D61DE6-58E0-B84F-B953-ACF66F640AA9}" sibTransId="{4979B692-305E-F545-9931-09AE92665EE0}"/>
    <dgm:cxn modelId="{CEBFA63F-B55F-ED48-A644-18832208F252}" srcId="{84218796-1B18-AE47-9D30-EC29858E97D6}" destId="{522BF6C0-FDC6-664E-AD1A-9F3FF8E2B521}" srcOrd="2" destOrd="0" parTransId="{E8B8A409-B7EF-5348-8AA5-E2B64BAA25FB}" sibTransId="{594A9E19-37A1-8D44-AF60-1C45B09D98ED}"/>
    <dgm:cxn modelId="{545D3B60-6F23-0A4F-BD2A-860A7937370F}" type="presOf" srcId="{C4400AB0-D96F-EC48-9B5A-FE2F3B16F35D}" destId="{0B4F7F20-FBE5-3140-A6AB-20E238360BBB}" srcOrd="0" destOrd="0" presId="urn:microsoft.com/office/officeart/2005/8/layout/lProcess3"/>
    <dgm:cxn modelId="{13DAA242-435D-BF42-92B3-B88CB4E2DD4A}" srcId="{5D2084E8-F520-C541-A6AB-0FCEC2475D3D}" destId="{47CC5C4B-AF0A-3D46-BAB9-60A2DE4FA9E8}" srcOrd="2" destOrd="0" parTransId="{E12D1A2A-B265-F64F-8780-FF1D2579F810}" sibTransId="{0100E70F-FF4E-EC48-8E18-BAB68E65A4D5}"/>
    <dgm:cxn modelId="{05ECB842-3E50-1B46-9487-3641602E7AF8}" srcId="{8CEE8509-18CA-884C-B21D-B7C347414095}" destId="{F05991AD-ED86-2B4A-B054-DFD3DEA5697F}" srcOrd="1" destOrd="0" parTransId="{8D7166FB-6D60-D842-9846-E816378BE829}" sibTransId="{01F57B55-82E0-A948-8785-3047D8EEDFAC}"/>
    <dgm:cxn modelId="{46456665-061D-F649-923A-D94234D87515}" srcId="{32923B2C-5455-C849-8988-3F863BF1ADD4}" destId="{785A829E-EA3C-004C-8ECE-5B86BDA1885A}" srcOrd="1" destOrd="0" parTransId="{18DFA328-3A38-F940-9C7B-97DF77AF31AF}" sibTransId="{E10345B0-6CA8-7F49-9045-D1A6CB0C007E}"/>
    <dgm:cxn modelId="{9F748447-D469-DE4A-AE69-8D343F174C3D}" type="presOf" srcId="{09C4714D-4865-5643-8718-59F14D62D8CA}" destId="{7E2C55D3-6908-4241-BE29-86CCCD38ECD2}" srcOrd="0" destOrd="0" presId="urn:microsoft.com/office/officeart/2005/8/layout/lProcess3"/>
    <dgm:cxn modelId="{FD532748-3F02-2949-B303-1A96D6409B5C}" type="presOf" srcId="{84218796-1B18-AE47-9D30-EC29858E97D6}" destId="{1EEF6F10-298D-E343-A25B-0904F1276A10}" srcOrd="0" destOrd="0" presId="urn:microsoft.com/office/officeart/2005/8/layout/lProcess3"/>
    <dgm:cxn modelId="{91400549-B229-5140-A743-2A65FE0A7894}" srcId="{84218796-1B18-AE47-9D30-EC29858E97D6}" destId="{8A9D38F1-2E4D-3447-A196-381072F2E999}" srcOrd="7" destOrd="0" parTransId="{67CA4E9B-1A24-C140-8718-760483CA1CD5}" sibTransId="{84ACED7C-022A-B147-881C-D89C2531AC2F}"/>
    <dgm:cxn modelId="{7B865F6E-4990-2748-9C25-492614A57765}" srcId="{5D2084E8-F520-C541-A6AB-0FCEC2475D3D}" destId="{E3475ECA-3395-414B-9EF7-0D2008044570}" srcOrd="0" destOrd="0" parTransId="{8E7CC16B-8154-304B-B15C-7DFE04D812BE}" sibTransId="{0C58B06D-8ADB-0447-AF30-409BD76A0B75}"/>
    <dgm:cxn modelId="{D5F9A251-0D78-6F48-8F33-A13348C8CD73}" type="presOf" srcId="{33DC52AC-8EB9-BA4D-B47A-27C07A926222}" destId="{9220A6B1-F0F2-D94E-973F-1184D8D41310}" srcOrd="0" destOrd="0" presId="urn:microsoft.com/office/officeart/2005/8/layout/lProcess3"/>
    <dgm:cxn modelId="{67EFAC72-6084-0249-AB57-FB710B727D16}" srcId="{9A5416C4-5F52-AE4E-8D72-7D5DC7619A71}" destId="{5A48F927-84E9-8940-A21A-42FEC98A55E8}" srcOrd="1" destOrd="0" parTransId="{F9BBF2AF-4F99-4B45-93C3-E86A8A69D7BC}" sibTransId="{8D74B71B-4CE4-9D45-9E54-5A8EF5A31AEE}"/>
    <dgm:cxn modelId="{D0079678-CDB7-834D-B115-FBB3B9944451}" srcId="{84218796-1B18-AE47-9D30-EC29858E97D6}" destId="{3A3BC354-472F-BD43-9719-D28D9CE6ACA2}" srcOrd="6" destOrd="0" parTransId="{FDE43AA6-24BD-3A46-8941-23392D477B6F}" sibTransId="{7D43B590-CA0C-314E-9051-24F278821083}"/>
    <dgm:cxn modelId="{9A77DD58-4B20-3644-B0AA-F6ACA84F0866}" srcId="{0BDC8C91-59E1-6242-81E3-024E0BF269F1}" destId="{0B8F448A-FC3C-3140-A130-B70723B77388}" srcOrd="2" destOrd="0" parTransId="{B16704DE-834F-8F42-A886-751F3A9FF400}" sibTransId="{D167FBA8-5040-8F48-9B8C-CE5EFC8529A5}"/>
    <dgm:cxn modelId="{2E09BC7B-4538-E64A-BC2B-16867597A4BE}" type="presOf" srcId="{47CC5C4B-AF0A-3D46-BAB9-60A2DE4FA9E8}" destId="{8C7EC6D9-417F-DA49-B2AE-263DCAF2DCA1}" srcOrd="0" destOrd="0" presId="urn:microsoft.com/office/officeart/2005/8/layout/lProcess3"/>
    <dgm:cxn modelId="{72D6CE7E-D0D7-A04D-A13E-2D39DDA0AF7F}" srcId="{84218796-1B18-AE47-9D30-EC29858E97D6}" destId="{8CEE8509-18CA-884C-B21D-B7C347414095}" srcOrd="5" destOrd="0" parTransId="{A237BAA6-82B7-D442-86AE-90679C22FAE9}" sibTransId="{8FA3DCC0-AD7F-364E-AF92-C4E86866C222}"/>
    <dgm:cxn modelId="{13F20F80-5AB3-E147-9CCC-994312B4D677}" srcId="{84218796-1B18-AE47-9D30-EC29858E97D6}" destId="{9A5416C4-5F52-AE4E-8D72-7D5DC7619A71}" srcOrd="3" destOrd="0" parTransId="{9138E39A-1ADF-3E40-A8D4-5E6435B07AAE}" sibTransId="{700C3223-C3BF-9C44-94E3-474882C94020}"/>
    <dgm:cxn modelId="{DF821081-31E5-6741-A0B6-AAE48B134C32}" srcId="{6AD00196-352E-8841-9A37-665B4D6B2CD4}" destId="{C6503D70-504F-734E-A735-F1D5EAB1521C}" srcOrd="0" destOrd="0" parTransId="{917BC8D2-BB9C-9748-95DA-CBBACC9011C2}" sibTransId="{C581CC76-9A8E-7B47-A6FB-6B8C43C46D38}"/>
    <dgm:cxn modelId="{1022FC82-7CD3-0542-890A-B401BCAA01F1}" type="presOf" srcId="{A8E075B8-443F-BE4B-81E3-1F0968B4B395}" destId="{9A9A99D7-10A2-8B4C-90E9-074E0F1F5CB8}" srcOrd="0" destOrd="0" presId="urn:microsoft.com/office/officeart/2005/8/layout/lProcess3"/>
    <dgm:cxn modelId="{8F20F084-2E28-C14A-96C7-C027424FC199}" srcId="{8CEE8509-18CA-884C-B21D-B7C347414095}" destId="{DF173DD3-DAFE-614C-BC71-80AC7338AB73}" srcOrd="2" destOrd="0" parTransId="{DD2AACD2-80A1-1249-A847-1BAC2BB8E290}" sibTransId="{6666D19E-5684-AD47-BC0C-9A72382E2DBA}"/>
    <dgm:cxn modelId="{DCC9F284-BBDA-E545-9E41-88F8F778592A}" srcId="{3A3BC354-472F-BD43-9719-D28D9CE6ACA2}" destId="{AB5F28D4-B776-BE41-A0FC-CE0DBF475CC3}" srcOrd="0" destOrd="0" parTransId="{EF5AA6BB-803D-3445-BB0A-4AF4552453A5}" sibTransId="{5AE510F3-F17A-2A45-863B-0CCEE34C9F17}"/>
    <dgm:cxn modelId="{D99CC886-5120-A845-85AE-BC6670B9152E}" srcId="{9A5416C4-5F52-AE4E-8D72-7D5DC7619A71}" destId="{EA6CDE57-8A2E-0E4E-897C-F4E546A15A34}" srcOrd="0" destOrd="0" parTransId="{C66F21E7-6016-2A47-BB9B-02B469D50FA4}" sibTransId="{EA87330D-82FC-5644-8DB2-1DA04A8D4886}"/>
    <dgm:cxn modelId="{37F64E8C-7735-0749-ADD9-4CE36DB74FDF}" type="presOf" srcId="{23638B6C-7066-6A43-AE15-0FD842545648}" destId="{F5B1899E-F2DD-7A4E-81DA-ADED7C510217}" srcOrd="0" destOrd="0" presId="urn:microsoft.com/office/officeart/2005/8/layout/lProcess3"/>
    <dgm:cxn modelId="{8A434F8C-75E4-8D41-8BAC-3E3937DFBB23}" srcId="{6AD00196-352E-8841-9A37-665B4D6B2CD4}" destId="{0AB8387F-181D-A348-959D-2BF6AA83C5BB}" srcOrd="1" destOrd="0" parTransId="{5F4B1A2A-FF86-1A43-A142-FABB329404F1}" sibTransId="{2F31AEE3-2465-1C46-85A3-E7BE1009DDC5}"/>
    <dgm:cxn modelId="{920B7D8F-4C80-5649-8524-0CDF26D4B28E}" type="presOf" srcId="{8CEE8509-18CA-884C-B21D-B7C347414095}" destId="{C84938F2-6E2C-5843-8BF8-551DD9167581}" srcOrd="0" destOrd="0" presId="urn:microsoft.com/office/officeart/2005/8/layout/lProcess3"/>
    <dgm:cxn modelId="{58944090-34B4-B949-B991-76507DD9B8CF}" type="presOf" srcId="{8A9D38F1-2E4D-3447-A196-381072F2E999}" destId="{E7303F09-638B-3243-B942-29B5318BF529}" srcOrd="0" destOrd="0" presId="urn:microsoft.com/office/officeart/2005/8/layout/lProcess3"/>
    <dgm:cxn modelId="{0597AA91-A3F9-414C-80A7-50FC476E0C62}" type="presOf" srcId="{4BFBC725-9E6F-634A-9EFB-D93CE39BFA5E}" destId="{BD411B85-D41C-FD4B-8B60-15736738EE11}" srcOrd="0" destOrd="0" presId="urn:microsoft.com/office/officeart/2005/8/layout/lProcess3"/>
    <dgm:cxn modelId="{E07C8893-27AE-0045-AD4A-29F3884CD562}" type="presOf" srcId="{522BF6C0-FDC6-664E-AD1A-9F3FF8E2B521}" destId="{B8F586D8-398E-2340-ACDD-F6A6BE2603DF}" srcOrd="0" destOrd="0" presId="urn:microsoft.com/office/officeart/2005/8/layout/lProcess3"/>
    <dgm:cxn modelId="{8BEB9F98-A46F-CD43-9C85-77A68E954D59}" type="presOf" srcId="{19262AA3-F183-8F47-A3FD-299C66CE8666}" destId="{3A123D44-2A78-E94C-A8B4-AE7819169CD7}" srcOrd="0" destOrd="0" presId="urn:microsoft.com/office/officeart/2005/8/layout/lProcess3"/>
    <dgm:cxn modelId="{D27BDA98-11DE-DC47-A191-363E84F04035}" type="presOf" srcId="{AB5F28D4-B776-BE41-A0FC-CE0DBF475CC3}" destId="{E44DD6E1-DEB3-1243-BF27-6CADD03DF2D4}" srcOrd="0" destOrd="0" presId="urn:microsoft.com/office/officeart/2005/8/layout/lProcess3"/>
    <dgm:cxn modelId="{BBEA8199-28D9-B242-AD2C-E57A124CD7BD}" srcId="{84218796-1B18-AE47-9D30-EC29858E97D6}" destId="{32923B2C-5455-C849-8988-3F863BF1ADD4}" srcOrd="10" destOrd="0" parTransId="{2DB1DC9C-66FB-414C-B98D-138F2FBAB59A}" sibTransId="{B099812F-ECC9-5943-BAB3-A852B4B10226}"/>
    <dgm:cxn modelId="{264D6E9C-E88A-D241-9610-5F4D260F9826}" srcId="{3A3BC354-472F-BD43-9719-D28D9CE6ACA2}" destId="{09C4714D-4865-5643-8718-59F14D62D8CA}" srcOrd="1" destOrd="0" parTransId="{352DD7FB-34ED-F649-8561-AE93ECC84CE7}" sibTransId="{99A14CD3-262F-054D-A75A-81F5862134D0}"/>
    <dgm:cxn modelId="{0B3F499F-BAF4-F642-B5DB-8C89AC623CE3}" srcId="{5D2084E8-F520-C541-A6AB-0FCEC2475D3D}" destId="{5D3C4E7A-522E-214D-90DC-13DC149E518F}" srcOrd="1" destOrd="0" parTransId="{78FBEB6F-DE9A-F547-8D66-9D1A8EFABFF4}" sibTransId="{E9325FA7-4DA8-D241-AE98-5306CBE06FDE}"/>
    <dgm:cxn modelId="{1C3BD39F-196B-C849-AEED-0CDAB78B6F43}" srcId="{9A5416C4-5F52-AE4E-8D72-7D5DC7619A71}" destId="{947055BB-E543-0949-BD6E-F78421D4CBAD}" srcOrd="2" destOrd="0" parTransId="{17FED76E-00FC-334E-BC0C-B7D5B0DACA7B}" sibTransId="{192289A7-DA40-2945-8079-067DF7A0A568}"/>
    <dgm:cxn modelId="{5482DDA3-DF09-BA40-9CD4-92B503D29FD7}" type="presOf" srcId="{5EF4FABA-9E62-0E4E-9980-84C96432D357}" destId="{81542735-3E09-2749-B7FA-4F0E3ED3C479}" srcOrd="0" destOrd="0" presId="urn:microsoft.com/office/officeart/2005/8/layout/lProcess3"/>
    <dgm:cxn modelId="{2EDA18A4-2B60-7248-9B6F-868C336AE77B}" type="presOf" srcId="{785A829E-EA3C-004C-8ECE-5B86BDA1885A}" destId="{5BE22DB9-C356-AA4C-80C7-A2D4AAC69286}" srcOrd="0" destOrd="0" presId="urn:microsoft.com/office/officeart/2005/8/layout/lProcess3"/>
    <dgm:cxn modelId="{ABD778AA-190D-AD4A-AAE8-F60D42CE02D0}" srcId="{32923B2C-5455-C849-8988-3F863BF1ADD4}" destId="{511009A1-A8A0-CB4D-AAC7-54A4912EF1BC}" srcOrd="0" destOrd="0" parTransId="{1D4D5302-05CB-1D45-92D9-CB207693C910}" sibTransId="{D81E8E9C-D89E-F34C-99B2-B9EC8458597D}"/>
    <dgm:cxn modelId="{95B723AD-178B-5945-9154-BF2398BB7893}" srcId="{84218796-1B18-AE47-9D30-EC29858E97D6}" destId="{0BDC8C91-59E1-6242-81E3-024E0BF269F1}" srcOrd="9" destOrd="0" parTransId="{E4838438-AF55-A145-8F9D-3600DC417937}" sibTransId="{5FEC277F-8751-3A47-9C77-2CD5EE9DF4B7}"/>
    <dgm:cxn modelId="{7D7425AE-3F69-2741-A768-2AFA5759365A}" srcId="{522BF6C0-FDC6-664E-AD1A-9F3FF8E2B521}" destId="{C4400AB0-D96F-EC48-9B5A-FE2F3B16F35D}" srcOrd="1" destOrd="0" parTransId="{710D69A6-D5FC-2945-8E19-14F041D9C27B}" sibTransId="{70BFF642-9ED9-694D-9DD9-DACD527FD6BF}"/>
    <dgm:cxn modelId="{261954AF-077D-C341-BCF9-605F34C95B46}" type="presOf" srcId="{0B8F448A-FC3C-3140-A130-B70723B77388}" destId="{5A1979BB-E0EC-404A-8555-A7F1EF5F8421}" srcOrd="0" destOrd="0" presId="urn:microsoft.com/office/officeart/2005/8/layout/lProcess3"/>
    <dgm:cxn modelId="{5A2AFDAF-3407-EA47-8EC1-9D94ED3B418D}" srcId="{522BF6C0-FDC6-664E-AD1A-9F3FF8E2B521}" destId="{E9EBDCCE-9571-A949-A11F-BE69F4055C83}" srcOrd="2" destOrd="0" parTransId="{005C067A-DEEC-A943-97D3-0A0BA414ED1B}" sibTransId="{8B0DA641-5E55-FA4F-A857-3A2556BA22C0}"/>
    <dgm:cxn modelId="{0AA54EB0-23B7-7345-A508-5DA0C2A57172}" type="presOf" srcId="{3A3BC354-472F-BD43-9719-D28D9CE6ACA2}" destId="{AAFC746C-6BBB-444E-9D31-D1DE0E84A738}" srcOrd="0" destOrd="0" presId="urn:microsoft.com/office/officeart/2005/8/layout/lProcess3"/>
    <dgm:cxn modelId="{539945BB-B228-BF40-9C1F-D703E0B7D6DC}" srcId="{6AD00196-352E-8841-9A37-665B4D6B2CD4}" destId="{893E6952-F53F-5C4C-A569-3977B526B12C}" srcOrd="2" destOrd="0" parTransId="{7692D3D0-5E2B-9B44-BEA2-44E9CBD3D8FE}" sibTransId="{6924E4CA-ED2A-4743-8173-35D3631EC93E}"/>
    <dgm:cxn modelId="{0CD3D3BC-CB9A-AE4C-9EC5-5C6BA6FB965A}" type="presOf" srcId="{0BDC8C91-59E1-6242-81E3-024E0BF269F1}" destId="{34F40C67-39A7-6D4F-A6A9-B8C677A56906}" srcOrd="0" destOrd="0" presId="urn:microsoft.com/office/officeart/2005/8/layout/lProcess3"/>
    <dgm:cxn modelId="{258688BE-CCB1-CD46-BC88-0698EF38900D}" type="presOf" srcId="{5D3C4E7A-522E-214D-90DC-13DC149E518F}" destId="{A61D4E2B-28A6-964C-8E4F-6B3664084945}" srcOrd="0" destOrd="0" presId="urn:microsoft.com/office/officeart/2005/8/layout/lProcess3"/>
    <dgm:cxn modelId="{85A17DC5-CD05-5F4D-9FF2-C73361ADAF4E}" type="presOf" srcId="{947055BB-E543-0949-BD6E-F78421D4CBAD}" destId="{A41947AC-9380-104D-845E-2F9A8DF5BA24}" srcOrd="0" destOrd="0" presId="urn:microsoft.com/office/officeart/2005/8/layout/lProcess3"/>
    <dgm:cxn modelId="{E18CB9C6-B002-8747-B6CE-05CACC612EA6}" type="presOf" srcId="{87D5FF3C-512F-3C40-BEC0-CFFBF2A5B366}" destId="{0B41F5C7-FAA5-8D42-A816-F05855A10C95}" srcOrd="0" destOrd="0" presId="urn:microsoft.com/office/officeart/2005/8/layout/lProcess3"/>
    <dgm:cxn modelId="{14474BCC-F18E-E044-9F99-18B7071B40AB}" srcId="{84218796-1B18-AE47-9D30-EC29858E97D6}" destId="{6BBFF303-2788-FF4C-80F2-CE18FC41E265}" srcOrd="0" destOrd="0" parTransId="{DDE53121-E591-0544-AB7C-CBD8E274DB39}" sibTransId="{CEFCEAD8-D17D-564B-A353-9E1A454C004F}"/>
    <dgm:cxn modelId="{987D15CE-B5FF-8149-B1CF-E78795FF04FE}" type="presOf" srcId="{331086C6-2646-7F45-AD6F-9BF4BD4072A1}" destId="{577616B3-C523-B840-9299-0E04D26A6C4C}" srcOrd="0" destOrd="0" presId="urn:microsoft.com/office/officeart/2005/8/layout/lProcess3"/>
    <dgm:cxn modelId="{5A473ECE-CA53-394F-BB7F-E8530AA6FE9C}" srcId="{0BDC8C91-59E1-6242-81E3-024E0BF269F1}" destId="{19262AA3-F183-8F47-A3FD-299C66CE8666}" srcOrd="1" destOrd="0" parTransId="{116E6821-1666-6145-B8C8-9020DCEB584D}" sibTransId="{0ED7325F-0EB2-2E42-9868-71E3E3BAE0A9}"/>
    <dgm:cxn modelId="{D690B6CE-C91D-164A-8EA3-B45F927D92D3}" type="presOf" srcId="{5A48F927-84E9-8940-A21A-42FEC98A55E8}" destId="{1A9E2C09-2571-9240-B719-F367DF0E8229}" srcOrd="0" destOrd="0" presId="urn:microsoft.com/office/officeart/2005/8/layout/lProcess3"/>
    <dgm:cxn modelId="{48B619D2-28B1-5945-8A63-20E485D2D7A1}" type="presOf" srcId="{511009A1-A8A0-CB4D-AAC7-54A4912EF1BC}" destId="{989A4FC1-9518-BD4A-8A86-9C9659705662}" srcOrd="0" destOrd="0" presId="urn:microsoft.com/office/officeart/2005/8/layout/lProcess3"/>
    <dgm:cxn modelId="{79DCF9D5-5E8F-054C-A218-C0083E6EFAEB}" type="presOf" srcId="{DF173DD3-DAFE-614C-BC71-80AC7338AB73}" destId="{AF60090A-316E-BA40-828C-98E4263548D3}" srcOrd="0" destOrd="0" presId="urn:microsoft.com/office/officeart/2005/8/layout/lProcess3"/>
    <dgm:cxn modelId="{C52E52D6-5CB4-AE47-B1E4-C8B2DACA76AB}" type="presOf" srcId="{BF573C8B-9DF3-DA4A-89A3-93517A9E0B3C}" destId="{A1BF5DB3-13AB-8F4F-98A6-FC78A911453C}" srcOrd="0" destOrd="0" presId="urn:microsoft.com/office/officeart/2005/8/layout/lProcess3"/>
    <dgm:cxn modelId="{63ABC7DB-DE2B-EE45-A7CE-13845344615D}" type="presOf" srcId="{42B3A0BA-A172-B445-AA45-21C9E155D003}" destId="{CD0F0A6B-3783-C04E-890D-2A8A5F035E84}" srcOrd="0" destOrd="0" presId="urn:microsoft.com/office/officeart/2005/8/layout/lProcess3"/>
    <dgm:cxn modelId="{3DF5DEDB-CECE-7D45-8D95-0109BCFED4C9}" type="presOf" srcId="{6AD00196-352E-8841-9A37-665B4D6B2CD4}" destId="{C59D5E90-9B29-1B4A-8F81-669429DBB2B2}" srcOrd="0" destOrd="0" presId="urn:microsoft.com/office/officeart/2005/8/layout/lProcess3"/>
    <dgm:cxn modelId="{D8F214DC-53A7-D04B-A485-D05682D82C86}" srcId="{6BBFF303-2788-FF4C-80F2-CE18FC41E265}" destId="{42B3A0BA-A172-B445-AA45-21C9E155D003}" srcOrd="2" destOrd="0" parTransId="{4BAD827C-BC60-4D42-B049-5A1C76FACBCB}" sibTransId="{C03E8820-C170-6147-AADD-759E22506B33}"/>
    <dgm:cxn modelId="{AD635EE0-9FF0-F440-8622-4AB2AE61C813}" srcId="{6BBFF303-2788-FF4C-80F2-CE18FC41E265}" destId="{E01E6E7A-9F2F-7A4F-8F9B-BA510E8B1DB7}" srcOrd="1" destOrd="0" parTransId="{1C8E7567-1F05-DC42-A7E9-57C779051A01}" sibTransId="{213F6E16-84B0-4A48-8617-3B8DCA4B18C3}"/>
    <dgm:cxn modelId="{18B8FFE1-1FD0-D040-8B63-D29F8D14834D}" srcId="{522BF6C0-FDC6-664E-AD1A-9F3FF8E2B521}" destId="{331086C6-2646-7F45-AD6F-9BF4BD4072A1}" srcOrd="0" destOrd="0" parTransId="{89DC23D4-0FE8-DB4A-9F36-E2D21681401B}" sibTransId="{4F4843AA-A379-4840-AA66-33755C4EB31B}"/>
    <dgm:cxn modelId="{3E1E9BE8-71A7-0E44-AA78-B66499610908}" type="presOf" srcId="{011AEC4A-8526-2549-9E2B-B83F46897C29}" destId="{3A8DD49A-1A07-9F4B-990B-9780379D93CF}" srcOrd="0" destOrd="0" presId="urn:microsoft.com/office/officeart/2005/8/layout/lProcess3"/>
    <dgm:cxn modelId="{64F2A8EA-C0DB-0348-BD8D-488266D80CA4}" type="presOf" srcId="{0AB8387F-181D-A348-959D-2BF6AA83C5BB}" destId="{4254FA65-88CA-904F-9F28-07D4BD79DCF3}" srcOrd="0" destOrd="0" presId="urn:microsoft.com/office/officeart/2005/8/layout/lProcess3"/>
    <dgm:cxn modelId="{9C09DAED-0685-D345-9776-5EEFC6F9AD03}" type="presOf" srcId="{C6503D70-504F-734E-A735-F1D5EAB1521C}" destId="{C8047EF9-F98E-9C4D-965C-D2B81F430118}" srcOrd="0" destOrd="0" presId="urn:microsoft.com/office/officeart/2005/8/layout/lProcess3"/>
    <dgm:cxn modelId="{C5150BF0-1DE3-5742-8A1D-DAF5405888D2}" srcId="{84218796-1B18-AE47-9D30-EC29858E97D6}" destId="{6AD00196-352E-8841-9A37-665B4D6B2CD4}" srcOrd="8" destOrd="0" parTransId="{261A2050-8D21-554E-876E-33F957F5DAA5}" sibTransId="{36ECA801-6072-2A42-B100-414E9099699F}"/>
    <dgm:cxn modelId="{79D426F1-77B3-B245-B7FD-54756B49A940}" srcId="{4BFBC725-9E6F-634A-9EFB-D93CE39BFA5E}" destId="{33DC52AC-8EB9-BA4D-B47A-27C07A926222}" srcOrd="2" destOrd="0" parTransId="{84E4E3AA-7206-214B-8E1A-953E926EB81A}" sibTransId="{809D0DEB-741E-1A4E-9D30-5F54D3007AB9}"/>
    <dgm:cxn modelId="{6E8089F3-2688-B149-8A5A-4D409F95FA42}" srcId="{8A9D38F1-2E4D-3447-A196-381072F2E999}" destId="{011AEC4A-8526-2549-9E2B-B83F46897C29}" srcOrd="1" destOrd="0" parTransId="{6B5E4FFA-579A-6140-A952-2D8FCF3C35F8}" sibTransId="{26B4382B-12E2-AE40-8003-B457A19578DA}"/>
    <dgm:cxn modelId="{EC2114F6-BA93-0643-A9ED-0B801249B3E0}" srcId="{6BBFF303-2788-FF4C-80F2-CE18FC41E265}" destId="{A8E075B8-443F-BE4B-81E3-1F0968B4B395}" srcOrd="0" destOrd="0" parTransId="{1044C8E8-2490-E445-8E8A-A3C33977DCEE}" sibTransId="{C2D354D7-BC70-C34A-B57B-6734E5A02199}"/>
    <dgm:cxn modelId="{1DC0D0F8-FCD4-554B-A6C6-0744E6D70C92}" srcId="{84218796-1B18-AE47-9D30-EC29858E97D6}" destId="{4BFBC725-9E6F-634A-9EFB-D93CE39BFA5E}" srcOrd="1" destOrd="0" parTransId="{FED753C3-DD74-1246-AEF8-3802BA09BB92}" sibTransId="{990C061F-3C45-9A4F-86F0-0943AAAE6FF1}"/>
    <dgm:cxn modelId="{D07B46F9-F27A-1547-9E3F-0E45F946E123}" type="presOf" srcId="{32923B2C-5455-C849-8988-3F863BF1ADD4}" destId="{9769583A-23DA-0A46-89AA-7084192D4260}" srcOrd="0" destOrd="0" presId="urn:microsoft.com/office/officeart/2005/8/layout/lProcess3"/>
    <dgm:cxn modelId="{D77CE4FE-81CF-B64D-B816-92B7771EFF0B}" type="presOf" srcId="{6BBFF303-2788-FF4C-80F2-CE18FC41E265}" destId="{62F5069D-6428-7646-B5B8-E74101603520}" srcOrd="0" destOrd="0" presId="urn:microsoft.com/office/officeart/2005/8/layout/lProcess3"/>
    <dgm:cxn modelId="{1DE70348-4564-0D4E-9C25-7A53FE841288}" type="presParOf" srcId="{1EEF6F10-298D-E343-A25B-0904F1276A10}" destId="{F8217165-02BA-7342-9663-DC82AD8CB8B5}" srcOrd="0" destOrd="0" presId="urn:microsoft.com/office/officeart/2005/8/layout/lProcess3"/>
    <dgm:cxn modelId="{33099DBD-E799-3444-961E-B6FAECB0AA8A}" type="presParOf" srcId="{F8217165-02BA-7342-9663-DC82AD8CB8B5}" destId="{62F5069D-6428-7646-B5B8-E74101603520}" srcOrd="0" destOrd="0" presId="urn:microsoft.com/office/officeart/2005/8/layout/lProcess3"/>
    <dgm:cxn modelId="{EFDEE519-9CD6-7B48-AC7B-6DD17F3B7ED0}" type="presParOf" srcId="{F8217165-02BA-7342-9663-DC82AD8CB8B5}" destId="{BDC1DC08-099B-6643-B6B4-77143BAFECF4}" srcOrd="1" destOrd="0" presId="urn:microsoft.com/office/officeart/2005/8/layout/lProcess3"/>
    <dgm:cxn modelId="{CF64834B-90A1-454E-A1BD-0E13A72F81EF}" type="presParOf" srcId="{F8217165-02BA-7342-9663-DC82AD8CB8B5}" destId="{9A9A99D7-10A2-8B4C-90E9-074E0F1F5CB8}" srcOrd="2" destOrd="0" presId="urn:microsoft.com/office/officeart/2005/8/layout/lProcess3"/>
    <dgm:cxn modelId="{A56D9598-52EA-874E-AB59-0BBEA18473CF}" type="presParOf" srcId="{F8217165-02BA-7342-9663-DC82AD8CB8B5}" destId="{7372BC76-E05F-B746-A2CE-9C56442AED02}" srcOrd="3" destOrd="0" presId="urn:microsoft.com/office/officeart/2005/8/layout/lProcess3"/>
    <dgm:cxn modelId="{5F0E6644-4406-7A40-A654-05ABB355F59B}" type="presParOf" srcId="{F8217165-02BA-7342-9663-DC82AD8CB8B5}" destId="{FE1B3163-0C52-294A-A57E-E37E9505647B}" srcOrd="4" destOrd="0" presId="urn:microsoft.com/office/officeart/2005/8/layout/lProcess3"/>
    <dgm:cxn modelId="{1399992B-634D-AD4B-9F34-EAA0926EEE4C}" type="presParOf" srcId="{F8217165-02BA-7342-9663-DC82AD8CB8B5}" destId="{26687847-A9C8-134D-A3C5-888B6C82E6A5}" srcOrd="5" destOrd="0" presId="urn:microsoft.com/office/officeart/2005/8/layout/lProcess3"/>
    <dgm:cxn modelId="{2C557895-5664-454C-BE44-AE898E5EBC7E}" type="presParOf" srcId="{F8217165-02BA-7342-9663-DC82AD8CB8B5}" destId="{CD0F0A6B-3783-C04E-890D-2A8A5F035E84}" srcOrd="6" destOrd="0" presId="urn:microsoft.com/office/officeart/2005/8/layout/lProcess3"/>
    <dgm:cxn modelId="{7D36F115-EB1C-A342-A8C2-76D054C0F3FA}" type="presParOf" srcId="{1EEF6F10-298D-E343-A25B-0904F1276A10}" destId="{5066D4B1-E3F2-254A-A2D3-9E3465548764}" srcOrd="1" destOrd="0" presId="urn:microsoft.com/office/officeart/2005/8/layout/lProcess3"/>
    <dgm:cxn modelId="{1DA5D9D9-E91B-DC49-8675-3BF7941626C8}" type="presParOf" srcId="{1EEF6F10-298D-E343-A25B-0904F1276A10}" destId="{E8612D19-CE1E-5640-9C90-61867048AEAA}" srcOrd="2" destOrd="0" presId="urn:microsoft.com/office/officeart/2005/8/layout/lProcess3"/>
    <dgm:cxn modelId="{F5D54DF8-6F3D-324C-9EE7-2C1915FF1434}" type="presParOf" srcId="{E8612D19-CE1E-5640-9C90-61867048AEAA}" destId="{BD411B85-D41C-FD4B-8B60-15736738EE11}" srcOrd="0" destOrd="0" presId="urn:microsoft.com/office/officeart/2005/8/layout/lProcess3"/>
    <dgm:cxn modelId="{4306E036-613E-BC4A-9F5C-1A9FDD975F7B}" type="presParOf" srcId="{E8612D19-CE1E-5640-9C90-61867048AEAA}" destId="{970C542B-4817-CA48-8FEC-D7449B26AE6D}" srcOrd="1" destOrd="0" presId="urn:microsoft.com/office/officeart/2005/8/layout/lProcess3"/>
    <dgm:cxn modelId="{6D437A64-A07B-0249-B08C-A6EAC513968C}" type="presParOf" srcId="{E8612D19-CE1E-5640-9C90-61867048AEAA}" destId="{111FAD15-C877-5E45-B309-7F94F3FD935C}" srcOrd="2" destOrd="0" presId="urn:microsoft.com/office/officeart/2005/8/layout/lProcess3"/>
    <dgm:cxn modelId="{6292E5EC-430A-E14F-A650-D28C950CD83F}" type="presParOf" srcId="{E8612D19-CE1E-5640-9C90-61867048AEAA}" destId="{3614DF7B-B159-124C-8954-DCB6C08EC6E3}" srcOrd="3" destOrd="0" presId="urn:microsoft.com/office/officeart/2005/8/layout/lProcess3"/>
    <dgm:cxn modelId="{C1201E21-F1CE-5841-9610-92D5FE7252D5}" type="presParOf" srcId="{E8612D19-CE1E-5640-9C90-61867048AEAA}" destId="{81542735-3E09-2749-B7FA-4F0E3ED3C479}" srcOrd="4" destOrd="0" presId="urn:microsoft.com/office/officeart/2005/8/layout/lProcess3"/>
    <dgm:cxn modelId="{9600F0A1-D8C3-D34D-A907-496625E5CF57}" type="presParOf" srcId="{E8612D19-CE1E-5640-9C90-61867048AEAA}" destId="{2798D302-1C96-3D43-A610-34E261CC78F1}" srcOrd="5" destOrd="0" presId="urn:microsoft.com/office/officeart/2005/8/layout/lProcess3"/>
    <dgm:cxn modelId="{CE7F346B-8053-8742-B9FF-B2656F2DE13B}" type="presParOf" srcId="{E8612D19-CE1E-5640-9C90-61867048AEAA}" destId="{9220A6B1-F0F2-D94E-973F-1184D8D41310}" srcOrd="6" destOrd="0" presId="urn:microsoft.com/office/officeart/2005/8/layout/lProcess3"/>
    <dgm:cxn modelId="{0C8881B4-55E5-3840-9760-B966AEDDBB83}" type="presParOf" srcId="{1EEF6F10-298D-E343-A25B-0904F1276A10}" destId="{1DC19BEF-51C6-CB4C-B56E-850D785BDA9A}" srcOrd="3" destOrd="0" presId="urn:microsoft.com/office/officeart/2005/8/layout/lProcess3"/>
    <dgm:cxn modelId="{FA3E5E96-72D0-A643-A4AA-B82A85F63FE0}" type="presParOf" srcId="{1EEF6F10-298D-E343-A25B-0904F1276A10}" destId="{3AE2BD27-CCAB-9F4D-ADCB-927824133453}" srcOrd="4" destOrd="0" presId="urn:microsoft.com/office/officeart/2005/8/layout/lProcess3"/>
    <dgm:cxn modelId="{A6DAA123-33D3-274F-A9C9-D6A55B86D98F}" type="presParOf" srcId="{3AE2BD27-CCAB-9F4D-ADCB-927824133453}" destId="{B8F586D8-398E-2340-ACDD-F6A6BE2603DF}" srcOrd="0" destOrd="0" presId="urn:microsoft.com/office/officeart/2005/8/layout/lProcess3"/>
    <dgm:cxn modelId="{F6B020A9-6EFB-2046-99FB-07D5D451CBA4}" type="presParOf" srcId="{3AE2BD27-CCAB-9F4D-ADCB-927824133453}" destId="{45370DE1-6BFA-9A41-B7D5-8EB7B623450F}" srcOrd="1" destOrd="0" presId="urn:microsoft.com/office/officeart/2005/8/layout/lProcess3"/>
    <dgm:cxn modelId="{9335CBA8-713C-3642-A67A-34682711EDA2}" type="presParOf" srcId="{3AE2BD27-CCAB-9F4D-ADCB-927824133453}" destId="{577616B3-C523-B840-9299-0E04D26A6C4C}" srcOrd="2" destOrd="0" presId="urn:microsoft.com/office/officeart/2005/8/layout/lProcess3"/>
    <dgm:cxn modelId="{35CACDD2-988C-E341-823A-F463F8BF9ABD}" type="presParOf" srcId="{3AE2BD27-CCAB-9F4D-ADCB-927824133453}" destId="{408B59DC-8F63-8548-B184-22BB4D42BE81}" srcOrd="3" destOrd="0" presId="urn:microsoft.com/office/officeart/2005/8/layout/lProcess3"/>
    <dgm:cxn modelId="{C5B6D8A2-BC55-AD44-BDF1-91D5FD9A932D}" type="presParOf" srcId="{3AE2BD27-CCAB-9F4D-ADCB-927824133453}" destId="{0B4F7F20-FBE5-3140-A6AB-20E238360BBB}" srcOrd="4" destOrd="0" presId="urn:microsoft.com/office/officeart/2005/8/layout/lProcess3"/>
    <dgm:cxn modelId="{1B4DAE11-CBBC-3342-830E-7160819830DB}" type="presParOf" srcId="{3AE2BD27-CCAB-9F4D-ADCB-927824133453}" destId="{EF914364-C5BF-7849-89FB-D2F8FCFEF5FB}" srcOrd="5" destOrd="0" presId="urn:microsoft.com/office/officeart/2005/8/layout/lProcess3"/>
    <dgm:cxn modelId="{1000774A-AD2C-B04C-8F35-631CDB6BA297}" type="presParOf" srcId="{3AE2BD27-CCAB-9F4D-ADCB-927824133453}" destId="{B5FBCE9A-8FBD-7048-80AA-47185FC6F4E4}" srcOrd="6" destOrd="0" presId="urn:microsoft.com/office/officeart/2005/8/layout/lProcess3"/>
    <dgm:cxn modelId="{06285093-59A7-1A48-966D-214847941E70}" type="presParOf" srcId="{1EEF6F10-298D-E343-A25B-0904F1276A10}" destId="{33A95501-9E8F-6B4B-8AE8-E30B4A6A1548}" srcOrd="5" destOrd="0" presId="urn:microsoft.com/office/officeart/2005/8/layout/lProcess3"/>
    <dgm:cxn modelId="{21E51392-D056-FB48-B79A-1BAB41F5C220}" type="presParOf" srcId="{1EEF6F10-298D-E343-A25B-0904F1276A10}" destId="{B792A2E3-6B7A-D342-9369-75343328750D}" srcOrd="6" destOrd="0" presId="urn:microsoft.com/office/officeart/2005/8/layout/lProcess3"/>
    <dgm:cxn modelId="{6083A47B-4FAD-5B4C-9755-9442B6E001D9}" type="presParOf" srcId="{B792A2E3-6B7A-D342-9369-75343328750D}" destId="{ADD65E40-B42A-4A45-8497-EE9ED5554301}" srcOrd="0" destOrd="0" presId="urn:microsoft.com/office/officeart/2005/8/layout/lProcess3"/>
    <dgm:cxn modelId="{6744C3F3-FD97-DD4E-95C0-5904227F4A1C}" type="presParOf" srcId="{B792A2E3-6B7A-D342-9369-75343328750D}" destId="{BC33B63F-915A-FD46-8390-BE211A23DCA8}" srcOrd="1" destOrd="0" presId="urn:microsoft.com/office/officeart/2005/8/layout/lProcess3"/>
    <dgm:cxn modelId="{85885212-2DFA-E949-B5BB-DADC117992AD}" type="presParOf" srcId="{B792A2E3-6B7A-D342-9369-75343328750D}" destId="{54D52F9F-95A6-F745-9897-9C0D0B84AC1E}" srcOrd="2" destOrd="0" presId="urn:microsoft.com/office/officeart/2005/8/layout/lProcess3"/>
    <dgm:cxn modelId="{45571B8C-F3D4-C648-B54C-9760A433373F}" type="presParOf" srcId="{B792A2E3-6B7A-D342-9369-75343328750D}" destId="{81C787BC-73F1-1C44-B920-5E3F9802AC6E}" srcOrd="3" destOrd="0" presId="urn:microsoft.com/office/officeart/2005/8/layout/lProcess3"/>
    <dgm:cxn modelId="{7F8A52B6-9EDA-9445-A051-B562EE25E0C9}" type="presParOf" srcId="{B792A2E3-6B7A-D342-9369-75343328750D}" destId="{1A9E2C09-2571-9240-B719-F367DF0E8229}" srcOrd="4" destOrd="0" presId="urn:microsoft.com/office/officeart/2005/8/layout/lProcess3"/>
    <dgm:cxn modelId="{F1B51797-F398-EA4C-B56D-1047662E61E0}" type="presParOf" srcId="{B792A2E3-6B7A-D342-9369-75343328750D}" destId="{DFB22AA5-2B5E-7F42-9884-204C21A9D084}" srcOrd="5" destOrd="0" presId="urn:microsoft.com/office/officeart/2005/8/layout/lProcess3"/>
    <dgm:cxn modelId="{B2B209E3-3192-9041-B4B2-3BE3586EC567}" type="presParOf" srcId="{B792A2E3-6B7A-D342-9369-75343328750D}" destId="{A41947AC-9380-104D-845E-2F9A8DF5BA24}" srcOrd="6" destOrd="0" presId="urn:microsoft.com/office/officeart/2005/8/layout/lProcess3"/>
    <dgm:cxn modelId="{7B644881-D45E-5E49-9833-7E706D71B297}" type="presParOf" srcId="{1EEF6F10-298D-E343-A25B-0904F1276A10}" destId="{B7D93A63-4705-4F48-A8D6-4E9AEFF196C1}" srcOrd="7" destOrd="0" presId="urn:microsoft.com/office/officeart/2005/8/layout/lProcess3"/>
    <dgm:cxn modelId="{106794EF-6553-9347-B8AB-ECF5D0E3CBE4}" type="presParOf" srcId="{1EEF6F10-298D-E343-A25B-0904F1276A10}" destId="{C7EC636D-29F1-C24B-A78E-B00964637F42}" srcOrd="8" destOrd="0" presId="urn:microsoft.com/office/officeart/2005/8/layout/lProcess3"/>
    <dgm:cxn modelId="{45732547-6E8A-D843-92EA-BF78A35FA5C9}" type="presParOf" srcId="{C7EC636D-29F1-C24B-A78E-B00964637F42}" destId="{B79FAB10-59AD-1B41-80A6-2A2ACE08AC80}" srcOrd="0" destOrd="0" presId="urn:microsoft.com/office/officeart/2005/8/layout/lProcess3"/>
    <dgm:cxn modelId="{7EDE003A-1834-FC43-8187-91CB34716F8D}" type="presParOf" srcId="{C7EC636D-29F1-C24B-A78E-B00964637F42}" destId="{353A85A8-850D-564D-827C-2512DF11F12E}" srcOrd="1" destOrd="0" presId="urn:microsoft.com/office/officeart/2005/8/layout/lProcess3"/>
    <dgm:cxn modelId="{9342CDA1-605E-364D-AB92-6A967AE59A3D}" type="presParOf" srcId="{C7EC636D-29F1-C24B-A78E-B00964637F42}" destId="{0D897E1B-4412-A34E-8520-9731014B1056}" srcOrd="2" destOrd="0" presId="urn:microsoft.com/office/officeart/2005/8/layout/lProcess3"/>
    <dgm:cxn modelId="{192942A4-DAA7-F141-B2B6-23D9BE2E3686}" type="presParOf" srcId="{C7EC636D-29F1-C24B-A78E-B00964637F42}" destId="{39A23E84-BB22-514C-9C24-4D9239DE7A28}" srcOrd="3" destOrd="0" presId="urn:microsoft.com/office/officeart/2005/8/layout/lProcess3"/>
    <dgm:cxn modelId="{D11B2A37-633B-384C-AF8A-FC69A4077355}" type="presParOf" srcId="{C7EC636D-29F1-C24B-A78E-B00964637F42}" destId="{A61D4E2B-28A6-964C-8E4F-6B3664084945}" srcOrd="4" destOrd="0" presId="urn:microsoft.com/office/officeart/2005/8/layout/lProcess3"/>
    <dgm:cxn modelId="{B050BFD6-D6AF-4547-8C69-69D739E3DCAF}" type="presParOf" srcId="{C7EC636D-29F1-C24B-A78E-B00964637F42}" destId="{85CA03C1-A57D-0B4B-9E80-CEF07C9DB611}" srcOrd="5" destOrd="0" presId="urn:microsoft.com/office/officeart/2005/8/layout/lProcess3"/>
    <dgm:cxn modelId="{0C26841F-54F4-084A-8A0A-A1B4433BD4E2}" type="presParOf" srcId="{C7EC636D-29F1-C24B-A78E-B00964637F42}" destId="{8C7EC6D9-417F-DA49-B2AE-263DCAF2DCA1}" srcOrd="6" destOrd="0" presId="urn:microsoft.com/office/officeart/2005/8/layout/lProcess3"/>
    <dgm:cxn modelId="{CA038264-9AD6-ED40-B0F8-023317B21DA3}" type="presParOf" srcId="{1EEF6F10-298D-E343-A25B-0904F1276A10}" destId="{A09B93DA-1DCB-9249-8971-5FAB1736FAFB}" srcOrd="9" destOrd="0" presId="urn:microsoft.com/office/officeart/2005/8/layout/lProcess3"/>
    <dgm:cxn modelId="{92260564-7899-5C4F-B2E1-6898F342FEC3}" type="presParOf" srcId="{1EEF6F10-298D-E343-A25B-0904F1276A10}" destId="{7F4F38D3-78F5-A848-8A35-950EBB2D6EB3}" srcOrd="10" destOrd="0" presId="urn:microsoft.com/office/officeart/2005/8/layout/lProcess3"/>
    <dgm:cxn modelId="{5CB261BF-06C5-0C4B-8646-894CFA9979FE}" type="presParOf" srcId="{7F4F38D3-78F5-A848-8A35-950EBB2D6EB3}" destId="{C84938F2-6E2C-5843-8BF8-551DD9167581}" srcOrd="0" destOrd="0" presId="urn:microsoft.com/office/officeart/2005/8/layout/lProcess3"/>
    <dgm:cxn modelId="{94C4609B-84EB-A04B-8F2B-617165EC1E63}" type="presParOf" srcId="{7F4F38D3-78F5-A848-8A35-950EBB2D6EB3}" destId="{5B5D3101-A043-5A46-B0EF-BB9766E608F7}" srcOrd="1" destOrd="0" presId="urn:microsoft.com/office/officeart/2005/8/layout/lProcess3"/>
    <dgm:cxn modelId="{763AF6C2-DE08-B34A-93E6-14475DB49297}" type="presParOf" srcId="{7F4F38D3-78F5-A848-8A35-950EBB2D6EB3}" destId="{A1BF5DB3-13AB-8F4F-98A6-FC78A911453C}" srcOrd="2" destOrd="0" presId="urn:microsoft.com/office/officeart/2005/8/layout/lProcess3"/>
    <dgm:cxn modelId="{D0E764A8-5822-EF41-8082-3E050258E3BE}" type="presParOf" srcId="{7F4F38D3-78F5-A848-8A35-950EBB2D6EB3}" destId="{6F670832-EDA1-1E48-A08D-D29B282C66DA}" srcOrd="3" destOrd="0" presId="urn:microsoft.com/office/officeart/2005/8/layout/lProcess3"/>
    <dgm:cxn modelId="{E5B9349F-930B-D64D-BAF2-3A1666770849}" type="presParOf" srcId="{7F4F38D3-78F5-A848-8A35-950EBB2D6EB3}" destId="{87EDA16B-184D-E54E-8AD5-F9C78C7C6640}" srcOrd="4" destOrd="0" presId="urn:microsoft.com/office/officeart/2005/8/layout/lProcess3"/>
    <dgm:cxn modelId="{4A76DBF6-9A2A-9D46-8785-ED4EB71E8E0B}" type="presParOf" srcId="{7F4F38D3-78F5-A848-8A35-950EBB2D6EB3}" destId="{72D8A55B-3A47-FD49-BEFB-7AE3F312960F}" srcOrd="5" destOrd="0" presId="urn:microsoft.com/office/officeart/2005/8/layout/lProcess3"/>
    <dgm:cxn modelId="{6010EB8B-1B95-BF48-AFDD-7B2717EFDB15}" type="presParOf" srcId="{7F4F38D3-78F5-A848-8A35-950EBB2D6EB3}" destId="{AF60090A-316E-BA40-828C-98E4263548D3}" srcOrd="6" destOrd="0" presId="urn:microsoft.com/office/officeart/2005/8/layout/lProcess3"/>
    <dgm:cxn modelId="{01B3FD05-611C-F948-A448-0DB992FF0E90}" type="presParOf" srcId="{1EEF6F10-298D-E343-A25B-0904F1276A10}" destId="{93B62493-18A0-9347-B604-9237BAEA7889}" srcOrd="11" destOrd="0" presId="urn:microsoft.com/office/officeart/2005/8/layout/lProcess3"/>
    <dgm:cxn modelId="{F9274FDC-1293-6645-8D04-2349E200B2CD}" type="presParOf" srcId="{1EEF6F10-298D-E343-A25B-0904F1276A10}" destId="{A380A177-D138-6140-9909-9534782A83F7}" srcOrd="12" destOrd="0" presId="urn:microsoft.com/office/officeart/2005/8/layout/lProcess3"/>
    <dgm:cxn modelId="{ECB14DA6-C78A-7F43-A2BC-DCC01EB17624}" type="presParOf" srcId="{A380A177-D138-6140-9909-9534782A83F7}" destId="{AAFC746C-6BBB-444E-9D31-D1DE0E84A738}" srcOrd="0" destOrd="0" presId="urn:microsoft.com/office/officeart/2005/8/layout/lProcess3"/>
    <dgm:cxn modelId="{79368580-B28F-7941-B3EA-92050BD9295D}" type="presParOf" srcId="{A380A177-D138-6140-9909-9534782A83F7}" destId="{3111265E-C3AD-1442-A12A-2E0A36F82766}" srcOrd="1" destOrd="0" presId="urn:microsoft.com/office/officeart/2005/8/layout/lProcess3"/>
    <dgm:cxn modelId="{796422DA-5B43-2543-8E51-8BB6B51823F7}" type="presParOf" srcId="{A380A177-D138-6140-9909-9534782A83F7}" destId="{E44DD6E1-DEB3-1243-BF27-6CADD03DF2D4}" srcOrd="2" destOrd="0" presId="urn:microsoft.com/office/officeart/2005/8/layout/lProcess3"/>
    <dgm:cxn modelId="{7306C8C0-39F0-C547-BDDA-D200CF8F07F9}" type="presParOf" srcId="{A380A177-D138-6140-9909-9534782A83F7}" destId="{67486DD0-8097-BF4A-BBA2-F5AE11289BAF}" srcOrd="3" destOrd="0" presId="urn:microsoft.com/office/officeart/2005/8/layout/lProcess3"/>
    <dgm:cxn modelId="{BC3F16E2-4430-7D4E-87B6-D4D07562D697}" type="presParOf" srcId="{A380A177-D138-6140-9909-9534782A83F7}" destId="{7E2C55D3-6908-4241-BE29-86CCCD38ECD2}" srcOrd="4" destOrd="0" presId="urn:microsoft.com/office/officeart/2005/8/layout/lProcess3"/>
    <dgm:cxn modelId="{D1EBA2D0-4CEC-3E41-B554-776655B25C5F}" type="presParOf" srcId="{A380A177-D138-6140-9909-9534782A83F7}" destId="{2B46CAB0-5ED5-6140-AC9D-189721D48529}" srcOrd="5" destOrd="0" presId="urn:microsoft.com/office/officeart/2005/8/layout/lProcess3"/>
    <dgm:cxn modelId="{FF2E3E3E-8CA1-584D-9FA5-3FC468905EDC}" type="presParOf" srcId="{A380A177-D138-6140-9909-9534782A83F7}" destId="{0B41F5C7-FAA5-8D42-A816-F05855A10C95}" srcOrd="6" destOrd="0" presId="urn:microsoft.com/office/officeart/2005/8/layout/lProcess3"/>
    <dgm:cxn modelId="{31533BD8-A72E-D749-9203-91F94CC1029E}" type="presParOf" srcId="{1EEF6F10-298D-E343-A25B-0904F1276A10}" destId="{6861E7C4-E70B-1C48-A579-451419A0549D}" srcOrd="13" destOrd="0" presId="urn:microsoft.com/office/officeart/2005/8/layout/lProcess3"/>
    <dgm:cxn modelId="{141D1883-8E7F-0F4A-860C-F4C74C4D0793}" type="presParOf" srcId="{1EEF6F10-298D-E343-A25B-0904F1276A10}" destId="{196EF951-2D4A-8B44-9C3D-CF70EAE79A5D}" srcOrd="14" destOrd="0" presId="urn:microsoft.com/office/officeart/2005/8/layout/lProcess3"/>
    <dgm:cxn modelId="{D46627D6-CDFE-A449-9A80-876079CF0B67}" type="presParOf" srcId="{196EF951-2D4A-8B44-9C3D-CF70EAE79A5D}" destId="{E7303F09-638B-3243-B942-29B5318BF529}" srcOrd="0" destOrd="0" presId="urn:microsoft.com/office/officeart/2005/8/layout/lProcess3"/>
    <dgm:cxn modelId="{FDD43B81-A229-9B42-8472-B89FC328F00F}" type="presParOf" srcId="{196EF951-2D4A-8B44-9C3D-CF70EAE79A5D}" destId="{63ABB99E-911B-AF43-B0E5-E15785CBB473}" srcOrd="1" destOrd="0" presId="urn:microsoft.com/office/officeart/2005/8/layout/lProcess3"/>
    <dgm:cxn modelId="{C405AE38-5584-0348-9F1A-AC6F89BA2011}" type="presParOf" srcId="{196EF951-2D4A-8B44-9C3D-CF70EAE79A5D}" destId="{E6575037-4227-C64C-9EC8-9B10CBFEE9E9}" srcOrd="2" destOrd="0" presId="urn:microsoft.com/office/officeart/2005/8/layout/lProcess3"/>
    <dgm:cxn modelId="{A3ED30BA-E776-D449-ACFD-DB19E5BC86E0}" type="presParOf" srcId="{196EF951-2D4A-8B44-9C3D-CF70EAE79A5D}" destId="{29F77CD1-386A-5747-B6E4-C5314479947C}" srcOrd="3" destOrd="0" presId="urn:microsoft.com/office/officeart/2005/8/layout/lProcess3"/>
    <dgm:cxn modelId="{34403C00-2B16-F84A-A84E-E394B2F3A4D6}" type="presParOf" srcId="{196EF951-2D4A-8B44-9C3D-CF70EAE79A5D}" destId="{3A8DD49A-1A07-9F4B-990B-9780379D93CF}" srcOrd="4" destOrd="0" presId="urn:microsoft.com/office/officeart/2005/8/layout/lProcess3"/>
    <dgm:cxn modelId="{847D7818-D3D5-F14A-9A75-1A81F86707D0}" type="presParOf" srcId="{1EEF6F10-298D-E343-A25B-0904F1276A10}" destId="{DE936338-6847-0440-8B2A-21B5B795EAAD}" srcOrd="15" destOrd="0" presId="urn:microsoft.com/office/officeart/2005/8/layout/lProcess3"/>
    <dgm:cxn modelId="{A8F50329-F7E7-CF47-A5C1-A7DB4AB63A2F}" type="presParOf" srcId="{1EEF6F10-298D-E343-A25B-0904F1276A10}" destId="{9CA3BD5A-3C9D-1A4E-8631-D27F2E9CC54D}" srcOrd="16" destOrd="0" presId="urn:microsoft.com/office/officeart/2005/8/layout/lProcess3"/>
    <dgm:cxn modelId="{E43F7C2A-1437-C94B-B55D-6A4E69597583}" type="presParOf" srcId="{9CA3BD5A-3C9D-1A4E-8631-D27F2E9CC54D}" destId="{C59D5E90-9B29-1B4A-8F81-669429DBB2B2}" srcOrd="0" destOrd="0" presId="urn:microsoft.com/office/officeart/2005/8/layout/lProcess3"/>
    <dgm:cxn modelId="{506609BD-975D-804E-BB63-B131A4B98F12}" type="presParOf" srcId="{9CA3BD5A-3C9D-1A4E-8631-D27F2E9CC54D}" destId="{51285497-4991-5546-B51C-CD2A8A56A78E}" srcOrd="1" destOrd="0" presId="urn:microsoft.com/office/officeart/2005/8/layout/lProcess3"/>
    <dgm:cxn modelId="{F9D44153-4825-814F-9EBB-1A8E7C5DF787}" type="presParOf" srcId="{9CA3BD5A-3C9D-1A4E-8631-D27F2E9CC54D}" destId="{C8047EF9-F98E-9C4D-965C-D2B81F430118}" srcOrd="2" destOrd="0" presId="urn:microsoft.com/office/officeart/2005/8/layout/lProcess3"/>
    <dgm:cxn modelId="{D8BDC4F3-CB18-F44F-BC95-68426F9C4A9C}" type="presParOf" srcId="{9CA3BD5A-3C9D-1A4E-8631-D27F2E9CC54D}" destId="{D3F1744B-17EE-4B44-A149-2C3BCE38D376}" srcOrd="3" destOrd="0" presId="urn:microsoft.com/office/officeart/2005/8/layout/lProcess3"/>
    <dgm:cxn modelId="{C17EBAA6-9E64-CC4B-8BC5-18190DFE8F39}" type="presParOf" srcId="{9CA3BD5A-3C9D-1A4E-8631-D27F2E9CC54D}" destId="{4254FA65-88CA-904F-9F28-07D4BD79DCF3}" srcOrd="4" destOrd="0" presId="urn:microsoft.com/office/officeart/2005/8/layout/lProcess3"/>
    <dgm:cxn modelId="{4A7EB9BF-8479-B84F-B4DD-8F3219290130}" type="presParOf" srcId="{9CA3BD5A-3C9D-1A4E-8631-D27F2E9CC54D}" destId="{B748BD61-DDD0-1843-A9FC-612E46A4B5E9}" srcOrd="5" destOrd="0" presId="urn:microsoft.com/office/officeart/2005/8/layout/lProcess3"/>
    <dgm:cxn modelId="{069F70A7-3AE5-8948-9DF8-9C61F4B74652}" type="presParOf" srcId="{9CA3BD5A-3C9D-1A4E-8631-D27F2E9CC54D}" destId="{16E83BA5-2261-D04F-9CF4-5C15B39EBEBE}" srcOrd="6" destOrd="0" presId="urn:microsoft.com/office/officeart/2005/8/layout/lProcess3"/>
    <dgm:cxn modelId="{386B22EC-E371-6945-B4C9-55490A03B018}" type="presParOf" srcId="{1EEF6F10-298D-E343-A25B-0904F1276A10}" destId="{64D6B853-C2D7-6849-8861-784E19106FA3}" srcOrd="17" destOrd="0" presId="urn:microsoft.com/office/officeart/2005/8/layout/lProcess3"/>
    <dgm:cxn modelId="{3D86623F-CE09-5846-80B6-3012A41EFA20}" type="presParOf" srcId="{1EEF6F10-298D-E343-A25B-0904F1276A10}" destId="{EFBF11C2-4E47-8143-9175-A93E8730C136}" srcOrd="18" destOrd="0" presId="urn:microsoft.com/office/officeart/2005/8/layout/lProcess3"/>
    <dgm:cxn modelId="{4575CFEA-B8DF-D448-BA03-EF8291B4009E}" type="presParOf" srcId="{EFBF11C2-4E47-8143-9175-A93E8730C136}" destId="{34F40C67-39A7-6D4F-A6A9-B8C677A56906}" srcOrd="0" destOrd="0" presId="urn:microsoft.com/office/officeart/2005/8/layout/lProcess3"/>
    <dgm:cxn modelId="{7855101C-2BFD-0A4D-98DA-4C72F7531500}" type="presParOf" srcId="{EFBF11C2-4E47-8143-9175-A93E8730C136}" destId="{325B1214-9F47-514D-91E6-B850204E6CB4}" srcOrd="1" destOrd="0" presId="urn:microsoft.com/office/officeart/2005/8/layout/lProcess3"/>
    <dgm:cxn modelId="{65802EA2-F2E7-BF48-9FC3-B91F361776FE}" type="presParOf" srcId="{EFBF11C2-4E47-8143-9175-A93E8730C136}" destId="{F5B1899E-F2DD-7A4E-81DA-ADED7C510217}" srcOrd="2" destOrd="0" presId="urn:microsoft.com/office/officeart/2005/8/layout/lProcess3"/>
    <dgm:cxn modelId="{C1E66A2D-B628-9D48-99C1-61DA7AC7DEA4}" type="presParOf" srcId="{EFBF11C2-4E47-8143-9175-A93E8730C136}" destId="{F75A5120-CA32-F24B-9EAC-C248444596DD}" srcOrd="3" destOrd="0" presId="urn:microsoft.com/office/officeart/2005/8/layout/lProcess3"/>
    <dgm:cxn modelId="{A5757F8B-5535-C045-8000-08A4981335F6}" type="presParOf" srcId="{EFBF11C2-4E47-8143-9175-A93E8730C136}" destId="{3A123D44-2A78-E94C-A8B4-AE7819169CD7}" srcOrd="4" destOrd="0" presId="urn:microsoft.com/office/officeart/2005/8/layout/lProcess3"/>
    <dgm:cxn modelId="{7DA3715C-811F-1E41-A5AD-18C287BD1C87}" type="presParOf" srcId="{EFBF11C2-4E47-8143-9175-A93E8730C136}" destId="{CAA1CFCF-33E7-544A-ACD7-AD5AEE12340A}" srcOrd="5" destOrd="0" presId="urn:microsoft.com/office/officeart/2005/8/layout/lProcess3"/>
    <dgm:cxn modelId="{184CF2BC-3674-654B-9EB1-E93E82FE90FA}" type="presParOf" srcId="{EFBF11C2-4E47-8143-9175-A93E8730C136}" destId="{5A1979BB-E0EC-404A-8555-A7F1EF5F8421}" srcOrd="6" destOrd="0" presId="urn:microsoft.com/office/officeart/2005/8/layout/lProcess3"/>
    <dgm:cxn modelId="{05CBB1AD-F7EF-EA44-B517-F06426F07683}" type="presParOf" srcId="{1EEF6F10-298D-E343-A25B-0904F1276A10}" destId="{497C3387-55EC-B24F-A943-34E1FC29A0A0}" srcOrd="19" destOrd="0" presId="urn:microsoft.com/office/officeart/2005/8/layout/lProcess3"/>
    <dgm:cxn modelId="{BE244D44-E149-374E-B582-ECA94ED79E4E}" type="presParOf" srcId="{1EEF6F10-298D-E343-A25B-0904F1276A10}" destId="{4363571D-A7C7-8E42-BFA4-733E017CD0F8}" srcOrd="20" destOrd="0" presId="urn:microsoft.com/office/officeart/2005/8/layout/lProcess3"/>
    <dgm:cxn modelId="{9DD7EFF6-9617-C549-91A5-133C96634751}" type="presParOf" srcId="{4363571D-A7C7-8E42-BFA4-733E017CD0F8}" destId="{9769583A-23DA-0A46-89AA-7084192D4260}" srcOrd="0" destOrd="0" presId="urn:microsoft.com/office/officeart/2005/8/layout/lProcess3"/>
    <dgm:cxn modelId="{305C6883-B016-654F-B702-7EEEEA82B52B}" type="presParOf" srcId="{4363571D-A7C7-8E42-BFA4-733E017CD0F8}" destId="{1711D0D7-9FAB-E54B-9420-7941DD918BEE}" srcOrd="1" destOrd="0" presId="urn:microsoft.com/office/officeart/2005/8/layout/lProcess3"/>
    <dgm:cxn modelId="{2B467F23-D7AC-D34C-A856-BD0C559BE5F1}" type="presParOf" srcId="{4363571D-A7C7-8E42-BFA4-733E017CD0F8}" destId="{989A4FC1-9518-BD4A-8A86-9C9659705662}" srcOrd="2" destOrd="0" presId="urn:microsoft.com/office/officeart/2005/8/layout/lProcess3"/>
    <dgm:cxn modelId="{012115C6-3A26-3F45-B707-C8A0CB2B00E4}" type="presParOf" srcId="{4363571D-A7C7-8E42-BFA4-733E017CD0F8}" destId="{7D9BFB81-ACC3-3743-BBF2-035014AB6A68}" srcOrd="3" destOrd="0" presId="urn:microsoft.com/office/officeart/2005/8/layout/lProcess3"/>
    <dgm:cxn modelId="{CB3779A4-ABDB-C042-A8FF-3686D4E57E7B}" type="presParOf" srcId="{4363571D-A7C7-8E42-BFA4-733E017CD0F8}" destId="{5BE22DB9-C356-AA4C-80C7-A2D4AAC69286}" srcOrd="4" destOrd="0" presId="urn:microsoft.com/office/officeart/2005/8/layout/lProcess3"/>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4B4F8652-5CF0-0F4B-8383-50602E2B25DF}" type="doc">
      <dgm:prSet loTypeId="urn:microsoft.com/office/officeart/2005/8/layout/chevron2" loCatId="" qsTypeId="urn:microsoft.com/office/officeart/2005/8/quickstyle/simple1" qsCatId="simple" csTypeId="urn:microsoft.com/office/officeart/2005/8/colors/colorful1" csCatId="colorful" phldr="1"/>
      <dgm:spPr/>
      <dgm:t>
        <a:bodyPr/>
        <a:lstStyle/>
        <a:p>
          <a:endParaRPr lang="en-US"/>
        </a:p>
      </dgm:t>
    </dgm:pt>
    <dgm:pt modelId="{986B133C-9132-C34C-B85B-3045C7712F81}">
      <dgm:prSet phldrT="[Text]" custT="1"/>
      <dgm:spPr/>
      <dgm:t>
        <a:bodyPr/>
        <a:lstStyle/>
        <a:p>
          <a:r>
            <a:rPr lang="en-US" sz="600"/>
            <a:t>Learner contract / fiction contract - psychological fidelity</a:t>
          </a:r>
        </a:p>
      </dgm:t>
    </dgm:pt>
    <dgm:pt modelId="{4378BA45-FD85-1646-BDFF-4E0147236F0B}" type="parTrans" cxnId="{0431DB34-200E-A144-BDA7-45545C5FCCD3}">
      <dgm:prSet/>
      <dgm:spPr/>
      <dgm:t>
        <a:bodyPr/>
        <a:lstStyle/>
        <a:p>
          <a:endParaRPr lang="en-US"/>
        </a:p>
      </dgm:t>
    </dgm:pt>
    <dgm:pt modelId="{C99C0BBC-31CD-9247-900C-BB4E27BB6F9A}" type="sibTrans" cxnId="{0431DB34-200E-A144-BDA7-45545C5FCCD3}">
      <dgm:prSet/>
      <dgm:spPr/>
      <dgm:t>
        <a:bodyPr/>
        <a:lstStyle/>
        <a:p>
          <a:endParaRPr lang="en-US"/>
        </a:p>
      </dgm:t>
    </dgm:pt>
    <dgm:pt modelId="{1021A476-B6B8-184E-A8DC-0FE5C6F57871}">
      <dgm:prSet phldrT="[Text]" custT="1"/>
      <dgm:spPr/>
      <dgm:t>
        <a:bodyPr/>
        <a:lstStyle/>
        <a:p>
          <a:r>
            <a:rPr lang="en-US" sz="600"/>
            <a:t>Share expectations - faculty and learners</a:t>
          </a:r>
        </a:p>
      </dgm:t>
    </dgm:pt>
    <dgm:pt modelId="{85608DEA-E21E-604C-A1FA-DDB6E4E1259C}" type="parTrans" cxnId="{50C9C6F5-B1E2-8143-A8B8-BE2E962F4719}">
      <dgm:prSet/>
      <dgm:spPr/>
      <dgm:t>
        <a:bodyPr/>
        <a:lstStyle/>
        <a:p>
          <a:endParaRPr lang="en-US"/>
        </a:p>
      </dgm:t>
    </dgm:pt>
    <dgm:pt modelId="{F7414F6E-F5E7-CB49-9A2B-ACF2C237C929}" type="sibTrans" cxnId="{50C9C6F5-B1E2-8143-A8B8-BE2E962F4719}">
      <dgm:prSet/>
      <dgm:spPr/>
      <dgm:t>
        <a:bodyPr/>
        <a:lstStyle/>
        <a:p>
          <a:endParaRPr lang="en-US"/>
        </a:p>
      </dgm:t>
    </dgm:pt>
    <dgm:pt modelId="{72EAA736-9CC3-2047-B5DA-C7FA607603F1}">
      <dgm:prSet phldrT="[Text]" custT="1"/>
      <dgm:spPr/>
      <dgm:t>
        <a:bodyPr/>
        <a:lstStyle/>
        <a:p>
          <a:r>
            <a:rPr lang="en-US" sz="600"/>
            <a:t>Mannequin familiarisation - limitations, normal findings</a:t>
          </a:r>
        </a:p>
      </dgm:t>
    </dgm:pt>
    <dgm:pt modelId="{4D08917F-5F9E-A748-A895-A093B79862E5}" type="parTrans" cxnId="{3D5FFF1A-B7C0-4940-BD9E-189EE0BD46B9}">
      <dgm:prSet/>
      <dgm:spPr/>
      <dgm:t>
        <a:bodyPr/>
        <a:lstStyle/>
        <a:p>
          <a:endParaRPr lang="en-US"/>
        </a:p>
      </dgm:t>
    </dgm:pt>
    <dgm:pt modelId="{630FB0E8-5D95-8E48-98AA-788CECE252DF}" type="sibTrans" cxnId="{3D5FFF1A-B7C0-4940-BD9E-189EE0BD46B9}">
      <dgm:prSet/>
      <dgm:spPr/>
      <dgm:t>
        <a:bodyPr/>
        <a:lstStyle/>
        <a:p>
          <a:endParaRPr lang="en-US"/>
        </a:p>
      </dgm:t>
    </dgm:pt>
    <dgm:pt modelId="{27AEA9D6-8EC2-2A45-9779-A3579A718CB5}">
      <dgm:prSet phldrT="[Text]"/>
      <dgm:spPr/>
      <dgm:t>
        <a:bodyPr/>
        <a:lstStyle/>
        <a:p>
          <a:r>
            <a:rPr lang="en-US"/>
            <a:t>Introduction of session</a:t>
          </a:r>
        </a:p>
      </dgm:t>
    </dgm:pt>
    <dgm:pt modelId="{6D5A2A7F-527B-004B-9598-2929881C4C27}" type="parTrans" cxnId="{0B4D8F47-D3B1-1342-A6B7-0427ACE88006}">
      <dgm:prSet/>
      <dgm:spPr/>
      <dgm:t>
        <a:bodyPr/>
        <a:lstStyle/>
        <a:p>
          <a:endParaRPr lang="en-US"/>
        </a:p>
      </dgm:t>
    </dgm:pt>
    <dgm:pt modelId="{18E4DE29-5F78-6547-9AB6-76DFC6B49AC5}" type="sibTrans" cxnId="{0B4D8F47-D3B1-1342-A6B7-0427ACE88006}">
      <dgm:prSet/>
      <dgm:spPr/>
      <dgm:t>
        <a:bodyPr/>
        <a:lstStyle/>
        <a:p>
          <a:endParaRPr lang="en-US"/>
        </a:p>
      </dgm:t>
    </dgm:pt>
    <dgm:pt modelId="{D1400F1A-3CFA-DF43-B28A-E55FDEA5412C}">
      <dgm:prSet phldrT="[Text]" custT="1"/>
      <dgm:spPr/>
      <dgm:t>
        <a:bodyPr/>
        <a:lstStyle/>
        <a:p>
          <a:r>
            <a:rPr lang="en-US" sz="600"/>
            <a:t>Environment familiarisation - includes team</a:t>
          </a:r>
        </a:p>
      </dgm:t>
    </dgm:pt>
    <dgm:pt modelId="{F647B26E-29FD-7F44-8527-E13A2A27D1B9}" type="parTrans" cxnId="{5046E244-1BAA-3B4F-B6E1-BFC33CC9D4F1}">
      <dgm:prSet/>
      <dgm:spPr/>
      <dgm:t>
        <a:bodyPr/>
        <a:lstStyle/>
        <a:p>
          <a:endParaRPr lang="en-US"/>
        </a:p>
      </dgm:t>
    </dgm:pt>
    <dgm:pt modelId="{79B3E55F-3B5D-0741-977C-CF8B18914563}" type="sibTrans" cxnId="{5046E244-1BAA-3B4F-B6E1-BFC33CC9D4F1}">
      <dgm:prSet/>
      <dgm:spPr/>
      <dgm:t>
        <a:bodyPr/>
        <a:lstStyle/>
        <a:p>
          <a:endParaRPr lang="en-US"/>
        </a:p>
      </dgm:t>
    </dgm:pt>
    <dgm:pt modelId="{B5E9DF75-224E-3D40-ACAE-18315698B2F3}">
      <dgm:prSet phldrT="[Text]" custT="1"/>
      <dgm:spPr/>
      <dgm:t>
        <a:bodyPr/>
        <a:lstStyle/>
        <a:p>
          <a:r>
            <a:rPr lang="en-US" sz="600"/>
            <a:t>At least 10 minutes</a:t>
          </a:r>
        </a:p>
      </dgm:t>
    </dgm:pt>
    <dgm:pt modelId="{DBC3B251-2E6B-AC48-811F-299488766CD9}" type="parTrans" cxnId="{A892A2FC-382D-3641-894C-AEFD036AF5B6}">
      <dgm:prSet/>
      <dgm:spPr/>
      <dgm:t>
        <a:bodyPr/>
        <a:lstStyle/>
        <a:p>
          <a:endParaRPr lang="en-US"/>
        </a:p>
      </dgm:t>
    </dgm:pt>
    <dgm:pt modelId="{8169C955-CEE9-794B-AE0E-60D7577C63E8}" type="sibTrans" cxnId="{A892A2FC-382D-3641-894C-AEFD036AF5B6}">
      <dgm:prSet/>
      <dgm:spPr/>
      <dgm:t>
        <a:bodyPr/>
        <a:lstStyle/>
        <a:p>
          <a:endParaRPr lang="en-US"/>
        </a:p>
      </dgm:t>
    </dgm:pt>
    <dgm:pt modelId="{184B5616-EB11-5A4F-A6A2-66B229255563}">
      <dgm:prSet phldrT="[Text]" custT="1"/>
      <dgm:spPr/>
      <dgm:t>
        <a:bodyPr/>
        <a:lstStyle/>
        <a:p>
          <a:r>
            <a:rPr lang="en-US" sz="600"/>
            <a:t>Ground rules - duty to report concerning behaviour/ briefing</a:t>
          </a:r>
        </a:p>
      </dgm:t>
    </dgm:pt>
    <dgm:pt modelId="{98AEDA70-9453-0B4E-BCC6-C0B9151741E2}" type="parTrans" cxnId="{75BD6A65-369F-9A47-95CA-C60FEFE25DEF}">
      <dgm:prSet/>
      <dgm:spPr/>
      <dgm:t>
        <a:bodyPr/>
        <a:lstStyle/>
        <a:p>
          <a:endParaRPr lang="en-US"/>
        </a:p>
      </dgm:t>
    </dgm:pt>
    <dgm:pt modelId="{DC4A29D1-D2EB-CE4D-8917-47C1A90566F1}" type="sibTrans" cxnId="{75BD6A65-369F-9A47-95CA-C60FEFE25DEF}">
      <dgm:prSet/>
      <dgm:spPr/>
      <dgm:t>
        <a:bodyPr/>
        <a:lstStyle/>
        <a:p>
          <a:endParaRPr lang="en-US"/>
        </a:p>
      </dgm:t>
    </dgm:pt>
    <dgm:pt modelId="{9CFB3C6C-6540-474F-ADA4-68715DAFE1BC}">
      <dgm:prSet phldrT="[Text]"/>
      <dgm:spPr/>
      <dgm:t>
        <a:bodyPr/>
        <a:lstStyle/>
        <a:p>
          <a:r>
            <a:rPr lang="en-US"/>
            <a:t>Detail learning outcomes </a:t>
          </a:r>
        </a:p>
      </dgm:t>
    </dgm:pt>
    <dgm:pt modelId="{F568F2D0-7A81-C54A-859E-3C5A9A6B9FC5}" type="parTrans" cxnId="{EB22D5E8-069F-5E4D-BFC3-00D386DC024C}">
      <dgm:prSet/>
      <dgm:spPr/>
      <dgm:t>
        <a:bodyPr/>
        <a:lstStyle/>
        <a:p>
          <a:endParaRPr lang="en-US"/>
        </a:p>
      </dgm:t>
    </dgm:pt>
    <dgm:pt modelId="{B9EED02F-FC62-2744-9ACA-A42747C86F51}" type="sibTrans" cxnId="{EB22D5E8-069F-5E4D-BFC3-00D386DC024C}">
      <dgm:prSet/>
      <dgm:spPr/>
      <dgm:t>
        <a:bodyPr/>
        <a:lstStyle/>
        <a:p>
          <a:endParaRPr lang="en-US"/>
        </a:p>
      </dgm:t>
    </dgm:pt>
    <dgm:pt modelId="{794FCF2A-93B4-C448-AF72-1488C63A9732}">
      <dgm:prSet phldrT="[Text]" custT="1"/>
      <dgm:spPr/>
      <dgm:t>
        <a:bodyPr/>
        <a:lstStyle/>
        <a:p>
          <a:r>
            <a:rPr lang="en-US" sz="600"/>
            <a:t>Align with learners</a:t>
          </a:r>
        </a:p>
      </dgm:t>
    </dgm:pt>
    <dgm:pt modelId="{61F7E3D1-C4B0-F34D-B871-8D1F4B5981B8}" type="parTrans" cxnId="{77A16704-2DE6-1845-9852-BFD54F1E6051}">
      <dgm:prSet/>
      <dgm:spPr/>
      <dgm:t>
        <a:bodyPr/>
        <a:lstStyle/>
        <a:p>
          <a:endParaRPr lang="en-US"/>
        </a:p>
      </dgm:t>
    </dgm:pt>
    <dgm:pt modelId="{4509AB28-9389-0D43-A773-346D86E61535}" type="sibTrans" cxnId="{77A16704-2DE6-1845-9852-BFD54F1E6051}">
      <dgm:prSet/>
      <dgm:spPr/>
      <dgm:t>
        <a:bodyPr/>
        <a:lstStyle/>
        <a:p>
          <a:endParaRPr lang="en-US"/>
        </a:p>
      </dgm:t>
    </dgm:pt>
    <dgm:pt modelId="{FDF6A73F-7101-D746-812F-12B2238DEA3C}">
      <dgm:prSet phldrT="[Text]" custT="1"/>
      <dgm:spPr/>
      <dgm:t>
        <a:bodyPr/>
        <a:lstStyle/>
        <a:p>
          <a:r>
            <a:rPr lang="en-US" sz="600"/>
            <a:t>Negotiate with learners</a:t>
          </a:r>
        </a:p>
      </dgm:t>
    </dgm:pt>
    <dgm:pt modelId="{B14294A2-8ED4-9141-8389-317AD0EF61B9}" type="parTrans" cxnId="{82007060-0CEA-4541-9F07-F423FAE88C36}">
      <dgm:prSet/>
      <dgm:spPr/>
      <dgm:t>
        <a:bodyPr/>
        <a:lstStyle/>
        <a:p>
          <a:endParaRPr lang="en-US"/>
        </a:p>
      </dgm:t>
    </dgm:pt>
    <dgm:pt modelId="{80469395-D718-AC4D-977F-0023DC5E7A26}" type="sibTrans" cxnId="{82007060-0CEA-4541-9F07-F423FAE88C36}">
      <dgm:prSet/>
      <dgm:spPr/>
      <dgm:t>
        <a:bodyPr/>
        <a:lstStyle/>
        <a:p>
          <a:endParaRPr lang="en-US"/>
        </a:p>
      </dgm:t>
    </dgm:pt>
    <dgm:pt modelId="{01D0985F-558C-BB4E-A7A5-1EF5353AF0FB}">
      <dgm:prSet phldrT="[Text]" custT="1"/>
      <dgm:spPr/>
      <dgm:t>
        <a:bodyPr/>
        <a:lstStyle/>
        <a:p>
          <a:r>
            <a:rPr lang="en-US" sz="600"/>
            <a:t>Be specific about what is achievable in timeframe</a:t>
          </a:r>
        </a:p>
      </dgm:t>
    </dgm:pt>
    <dgm:pt modelId="{C2794D97-4C9A-264F-A977-E30826AD69B0}" type="parTrans" cxnId="{EE64256E-88F4-4A45-AF0E-FCB20C28B25A}">
      <dgm:prSet/>
      <dgm:spPr/>
      <dgm:t>
        <a:bodyPr/>
        <a:lstStyle/>
        <a:p>
          <a:endParaRPr lang="en-US"/>
        </a:p>
      </dgm:t>
    </dgm:pt>
    <dgm:pt modelId="{E13A99B6-480A-984C-904F-69B831828C1A}" type="sibTrans" cxnId="{EE64256E-88F4-4A45-AF0E-FCB20C28B25A}">
      <dgm:prSet/>
      <dgm:spPr/>
      <dgm:t>
        <a:bodyPr/>
        <a:lstStyle/>
        <a:p>
          <a:endParaRPr lang="en-US"/>
        </a:p>
      </dgm:t>
    </dgm:pt>
    <dgm:pt modelId="{18EB82C1-AA70-DD48-9C48-FF1BDF2845EF}">
      <dgm:prSet phldrT="[Text]"/>
      <dgm:spPr/>
      <dgm:t>
        <a:bodyPr/>
        <a:lstStyle/>
        <a:p>
          <a:r>
            <a:rPr lang="en-US"/>
            <a:t>Create safe and comfortable environment</a:t>
          </a:r>
        </a:p>
      </dgm:t>
    </dgm:pt>
    <dgm:pt modelId="{9D3CBB51-76E6-1C43-9E40-15850438AA2C}" type="parTrans" cxnId="{CE7769FE-8116-CF4B-AC42-6265586AF9C5}">
      <dgm:prSet/>
      <dgm:spPr/>
      <dgm:t>
        <a:bodyPr/>
        <a:lstStyle/>
        <a:p>
          <a:endParaRPr lang="en-US"/>
        </a:p>
      </dgm:t>
    </dgm:pt>
    <dgm:pt modelId="{EE2DA394-5BE7-D04F-B56C-9459FDFA045B}" type="sibTrans" cxnId="{CE7769FE-8116-CF4B-AC42-6265586AF9C5}">
      <dgm:prSet/>
      <dgm:spPr/>
      <dgm:t>
        <a:bodyPr/>
        <a:lstStyle/>
        <a:p>
          <a:endParaRPr lang="en-US"/>
        </a:p>
      </dgm:t>
    </dgm:pt>
    <dgm:pt modelId="{0126DAF3-A27F-F24D-83B1-0FF9D1D16129}">
      <dgm:prSet phldrT="[Text]"/>
      <dgm:spPr/>
      <dgm:t>
        <a:bodyPr/>
        <a:lstStyle/>
        <a:p>
          <a:r>
            <a:rPr lang="en-US"/>
            <a:t>Briefing for faculty and actors</a:t>
          </a:r>
        </a:p>
      </dgm:t>
    </dgm:pt>
    <dgm:pt modelId="{03A1BA8B-0C54-C04D-99C0-55C344378F10}" type="parTrans" cxnId="{5D5E21C3-A91C-2F43-B6C9-F7AC6E97079B}">
      <dgm:prSet/>
      <dgm:spPr/>
      <dgm:t>
        <a:bodyPr/>
        <a:lstStyle/>
        <a:p>
          <a:endParaRPr lang="en-US"/>
        </a:p>
      </dgm:t>
    </dgm:pt>
    <dgm:pt modelId="{7E6813C5-98F2-5A42-8D73-F3C4942A2E63}" type="sibTrans" cxnId="{5D5E21C3-A91C-2F43-B6C9-F7AC6E97079B}">
      <dgm:prSet/>
      <dgm:spPr/>
      <dgm:t>
        <a:bodyPr/>
        <a:lstStyle/>
        <a:p>
          <a:endParaRPr lang="en-US"/>
        </a:p>
      </dgm:t>
    </dgm:pt>
    <dgm:pt modelId="{6B8C552F-15FB-AB4C-9AA4-BB44F11ADF61}">
      <dgm:prSet phldrT="[Text]" custT="1"/>
      <dgm:spPr/>
      <dgm:t>
        <a:bodyPr/>
        <a:lstStyle/>
        <a:p>
          <a:r>
            <a:rPr lang="en-US" sz="600"/>
            <a:t>Expectations - take seriously - fidelity, confidentiality</a:t>
          </a:r>
        </a:p>
      </dgm:t>
    </dgm:pt>
    <dgm:pt modelId="{5B4B07E5-7779-9F4A-B917-C6B505FD7158}" type="parTrans" cxnId="{ADFE8D5A-5301-DD44-B9EB-781FADF87288}">
      <dgm:prSet/>
      <dgm:spPr/>
      <dgm:t>
        <a:bodyPr/>
        <a:lstStyle/>
        <a:p>
          <a:endParaRPr lang="en-US"/>
        </a:p>
      </dgm:t>
    </dgm:pt>
    <dgm:pt modelId="{CE9F4332-D744-C94D-B491-2939A8E067B1}" type="sibTrans" cxnId="{ADFE8D5A-5301-DD44-B9EB-781FADF87288}">
      <dgm:prSet/>
      <dgm:spPr/>
      <dgm:t>
        <a:bodyPr/>
        <a:lstStyle/>
        <a:p>
          <a:endParaRPr lang="en-US"/>
        </a:p>
      </dgm:t>
    </dgm:pt>
    <dgm:pt modelId="{DFFB49EC-FA46-A543-8C3E-39F542505FFE}">
      <dgm:prSet phldrT="[Text]" custT="1"/>
      <dgm:spPr/>
      <dgm:t>
        <a:bodyPr/>
        <a:lstStyle/>
        <a:p>
          <a:r>
            <a:rPr lang="en-US" sz="600"/>
            <a:t>Timings</a:t>
          </a:r>
        </a:p>
      </dgm:t>
    </dgm:pt>
    <dgm:pt modelId="{C307D567-F177-A346-BA96-385E32A30A69}" type="parTrans" cxnId="{3B0E2D1C-A8BE-EC44-9A47-96865625AE48}">
      <dgm:prSet/>
      <dgm:spPr/>
      <dgm:t>
        <a:bodyPr/>
        <a:lstStyle/>
        <a:p>
          <a:endParaRPr lang="en-US"/>
        </a:p>
      </dgm:t>
    </dgm:pt>
    <dgm:pt modelId="{26DD86FB-A105-2B48-8E01-0A2896748A41}" type="sibTrans" cxnId="{3B0E2D1C-A8BE-EC44-9A47-96865625AE48}">
      <dgm:prSet/>
      <dgm:spPr/>
      <dgm:t>
        <a:bodyPr/>
        <a:lstStyle/>
        <a:p>
          <a:endParaRPr lang="en-US"/>
        </a:p>
      </dgm:t>
    </dgm:pt>
    <dgm:pt modelId="{25B5FD0A-AD60-624D-BE3E-2E0098D14DA1}">
      <dgm:prSet phldrT="[Text]" custT="1"/>
      <dgm:spPr/>
      <dgm:t>
        <a:bodyPr/>
        <a:lstStyle/>
        <a:p>
          <a:r>
            <a:rPr lang="en-US" sz="600"/>
            <a:t>Confirm level of pressure</a:t>
          </a:r>
        </a:p>
      </dgm:t>
    </dgm:pt>
    <dgm:pt modelId="{9BA163BC-E999-4F43-B717-2C616ADF8E9E}" type="parTrans" cxnId="{67519A73-15DC-9F4F-B397-3430FA7A3999}">
      <dgm:prSet/>
      <dgm:spPr/>
      <dgm:t>
        <a:bodyPr/>
        <a:lstStyle/>
        <a:p>
          <a:endParaRPr lang="en-US"/>
        </a:p>
      </dgm:t>
    </dgm:pt>
    <dgm:pt modelId="{D54688EF-72DE-3C48-88A3-670436AB1287}" type="sibTrans" cxnId="{67519A73-15DC-9F4F-B397-3430FA7A3999}">
      <dgm:prSet/>
      <dgm:spPr/>
      <dgm:t>
        <a:bodyPr/>
        <a:lstStyle/>
        <a:p>
          <a:endParaRPr lang="en-US"/>
        </a:p>
      </dgm:t>
    </dgm:pt>
    <dgm:pt modelId="{01BE80D7-5246-2E4B-AFFB-763CB1803B9A}">
      <dgm:prSet phldrT="[Text]" custT="1"/>
      <dgm:spPr/>
      <dgm:t>
        <a:bodyPr/>
        <a:lstStyle/>
        <a:p>
          <a:r>
            <a:rPr lang="en-US" sz="600"/>
            <a:t>Confirm interventions in time of poor progression</a:t>
          </a:r>
        </a:p>
      </dgm:t>
    </dgm:pt>
    <dgm:pt modelId="{28963817-568E-DD44-A730-317528FBC3C2}" type="parTrans" cxnId="{851F2F05-4AC6-A246-8CA3-54BC69D76947}">
      <dgm:prSet/>
      <dgm:spPr/>
      <dgm:t>
        <a:bodyPr/>
        <a:lstStyle/>
        <a:p>
          <a:endParaRPr lang="en-US"/>
        </a:p>
      </dgm:t>
    </dgm:pt>
    <dgm:pt modelId="{8119BB72-BD66-504A-B9C3-A25414A84289}" type="sibTrans" cxnId="{851F2F05-4AC6-A246-8CA3-54BC69D76947}">
      <dgm:prSet/>
      <dgm:spPr/>
      <dgm:t>
        <a:bodyPr/>
        <a:lstStyle/>
        <a:p>
          <a:endParaRPr lang="en-US"/>
        </a:p>
      </dgm:t>
    </dgm:pt>
    <dgm:pt modelId="{3B3854C1-B333-F441-889D-A09B9F727FE1}">
      <dgm:prSet phldrT="[Text]" custT="1"/>
      <dgm:spPr/>
      <dgm:t>
        <a:bodyPr/>
        <a:lstStyle/>
        <a:p>
          <a:r>
            <a:rPr lang="en-US" sz="600"/>
            <a:t>Confirm planned close to scenario</a:t>
          </a:r>
        </a:p>
      </dgm:t>
    </dgm:pt>
    <dgm:pt modelId="{C06690B3-57A6-1B44-B5DC-889B09E49FE0}" type="parTrans" cxnId="{826E8B44-2EEC-1043-A88C-2AC2D4BFE759}">
      <dgm:prSet/>
      <dgm:spPr/>
      <dgm:t>
        <a:bodyPr/>
        <a:lstStyle/>
        <a:p>
          <a:endParaRPr lang="en-US"/>
        </a:p>
      </dgm:t>
    </dgm:pt>
    <dgm:pt modelId="{8042C064-471F-F14A-A221-047F57C53D75}" type="sibTrans" cxnId="{826E8B44-2EEC-1043-A88C-2AC2D4BFE759}">
      <dgm:prSet/>
      <dgm:spPr/>
      <dgm:t>
        <a:bodyPr/>
        <a:lstStyle/>
        <a:p>
          <a:endParaRPr lang="en-US"/>
        </a:p>
      </dgm:t>
    </dgm:pt>
    <dgm:pt modelId="{698DC451-894A-9944-9CD4-8934417AEE44}">
      <dgm:prSet phldrT="[Text]" custT="1"/>
      <dgm:spPr/>
      <dgm:t>
        <a:bodyPr/>
        <a:lstStyle/>
        <a:p>
          <a:r>
            <a:rPr lang="en-US" sz="600"/>
            <a:t>Detail how to call for help</a:t>
          </a:r>
        </a:p>
      </dgm:t>
    </dgm:pt>
    <dgm:pt modelId="{B0757589-7D67-2F4D-AC8D-D2F9568229E4}" type="parTrans" cxnId="{3F6231A2-FADA-A24A-891D-B492DC1A7A7A}">
      <dgm:prSet/>
      <dgm:spPr/>
      <dgm:t>
        <a:bodyPr/>
        <a:lstStyle/>
        <a:p>
          <a:endParaRPr lang="en-US"/>
        </a:p>
      </dgm:t>
    </dgm:pt>
    <dgm:pt modelId="{F0B0DBE8-0C2C-644E-BE3D-260E30830D8E}" type="sibTrans" cxnId="{3F6231A2-FADA-A24A-891D-B492DC1A7A7A}">
      <dgm:prSet/>
      <dgm:spPr/>
      <dgm:t>
        <a:bodyPr/>
        <a:lstStyle/>
        <a:p>
          <a:endParaRPr lang="en-US"/>
        </a:p>
      </dgm:t>
    </dgm:pt>
    <dgm:pt modelId="{6400560F-03A7-2D43-83A5-8A85DCDA4B5B}">
      <dgm:prSet phldrT="[Text]" custT="1"/>
      <dgm:spPr/>
      <dgm:t>
        <a:bodyPr/>
        <a:lstStyle/>
        <a:p>
          <a:r>
            <a:rPr lang="en-US" sz="600"/>
            <a:t>Confidentiality with regards to performance</a:t>
          </a:r>
        </a:p>
      </dgm:t>
    </dgm:pt>
    <dgm:pt modelId="{B0232EF1-413A-4F46-A2DF-F004EFB9552B}" type="parTrans" cxnId="{49F99E25-A857-C642-B8CD-C2FD42CDE1CA}">
      <dgm:prSet/>
      <dgm:spPr/>
      <dgm:t>
        <a:bodyPr/>
        <a:lstStyle/>
        <a:p>
          <a:endParaRPr lang="en-US"/>
        </a:p>
      </dgm:t>
    </dgm:pt>
    <dgm:pt modelId="{F24DD0E2-4851-7947-86C4-5065CFAE6A32}" type="sibTrans" cxnId="{49F99E25-A857-C642-B8CD-C2FD42CDE1CA}">
      <dgm:prSet/>
      <dgm:spPr/>
      <dgm:t>
        <a:bodyPr/>
        <a:lstStyle/>
        <a:p>
          <a:endParaRPr lang="en-US"/>
        </a:p>
      </dgm:t>
    </dgm:pt>
    <dgm:pt modelId="{3916687E-84A4-BF42-BEC9-4FD0520DEC15}">
      <dgm:prSet phldrT="[Text]" custT="1"/>
      <dgm:spPr/>
      <dgm:t>
        <a:bodyPr/>
        <a:lstStyle/>
        <a:p>
          <a:r>
            <a:rPr lang="en-US" sz="600"/>
            <a:t>Remind if any concerning behaviour duty to discuss with supervisor</a:t>
          </a:r>
        </a:p>
      </dgm:t>
    </dgm:pt>
    <dgm:pt modelId="{746E0530-0415-4E4C-AD83-410CF4076790}" type="parTrans" cxnId="{8CBAF328-1697-6F4E-989A-77BF8CFDEA51}">
      <dgm:prSet/>
      <dgm:spPr/>
      <dgm:t>
        <a:bodyPr/>
        <a:lstStyle/>
        <a:p>
          <a:endParaRPr lang="en-US"/>
        </a:p>
      </dgm:t>
    </dgm:pt>
    <dgm:pt modelId="{75C514E6-77C5-3C4B-9D93-F43D87C03298}" type="sibTrans" cxnId="{8CBAF328-1697-6F4E-989A-77BF8CFDEA51}">
      <dgm:prSet/>
      <dgm:spPr/>
      <dgm:t>
        <a:bodyPr/>
        <a:lstStyle/>
        <a:p>
          <a:endParaRPr lang="en-US"/>
        </a:p>
      </dgm:t>
    </dgm:pt>
    <dgm:pt modelId="{A7C76286-FC6A-E647-AB0A-806FEE2F1BB4}">
      <dgm:prSet phldrT="[Text]" custT="1"/>
      <dgm:spPr/>
      <dgm:t>
        <a:bodyPr/>
        <a:lstStyle/>
        <a:p>
          <a:r>
            <a:rPr lang="en-US" sz="600"/>
            <a:t>Confirm roles and responsibilities</a:t>
          </a:r>
        </a:p>
      </dgm:t>
    </dgm:pt>
    <dgm:pt modelId="{5CF8495C-8F28-244B-989D-932695010AB9}" type="parTrans" cxnId="{D8E2AD4A-A3B1-5041-8178-30C4B8D8F9A9}">
      <dgm:prSet/>
      <dgm:spPr/>
      <dgm:t>
        <a:bodyPr/>
        <a:lstStyle/>
        <a:p>
          <a:endParaRPr lang="en-US"/>
        </a:p>
      </dgm:t>
    </dgm:pt>
    <dgm:pt modelId="{2DC3D7C0-63C3-6644-81B8-517F85970D61}" type="sibTrans" cxnId="{D8E2AD4A-A3B1-5041-8178-30C4B8D8F9A9}">
      <dgm:prSet/>
      <dgm:spPr/>
      <dgm:t>
        <a:bodyPr/>
        <a:lstStyle/>
        <a:p>
          <a:endParaRPr lang="en-US"/>
        </a:p>
      </dgm:t>
    </dgm:pt>
    <dgm:pt modelId="{EAFE5B76-3F7A-5249-9B83-95272C89565D}">
      <dgm:prSet phldrT="[Text]" custT="1"/>
      <dgm:spPr/>
      <dgm:t>
        <a:bodyPr/>
        <a:lstStyle/>
        <a:p>
          <a:r>
            <a:rPr lang="en-US" sz="600"/>
            <a:t>Check kit and environment</a:t>
          </a:r>
        </a:p>
      </dgm:t>
    </dgm:pt>
    <dgm:pt modelId="{FA323FF4-C24A-C148-932F-42455D8E9003}" type="parTrans" cxnId="{94FD038A-88B9-4948-8491-629154B07CA7}">
      <dgm:prSet/>
      <dgm:spPr/>
      <dgm:t>
        <a:bodyPr/>
        <a:lstStyle/>
        <a:p>
          <a:endParaRPr lang="en-US"/>
        </a:p>
      </dgm:t>
    </dgm:pt>
    <dgm:pt modelId="{09C5BCAA-B8BA-4842-BDC4-E4B0A40421BD}" type="sibTrans" cxnId="{94FD038A-88B9-4948-8491-629154B07CA7}">
      <dgm:prSet/>
      <dgm:spPr/>
      <dgm:t>
        <a:bodyPr/>
        <a:lstStyle/>
        <a:p>
          <a:endParaRPr lang="en-US"/>
        </a:p>
      </dgm:t>
    </dgm:pt>
    <dgm:pt modelId="{0F27CA34-7D56-7D43-BFE3-09B7244F0900}">
      <dgm:prSet phldrT="[Text]" custT="1"/>
      <dgm:spPr/>
      <dgm:t>
        <a:bodyPr/>
        <a:lstStyle/>
        <a:p>
          <a:r>
            <a:rPr lang="en-US" sz="600"/>
            <a:t>Introduce team in roles so aware who are contacting. Genuine interprofessional roles</a:t>
          </a:r>
        </a:p>
      </dgm:t>
    </dgm:pt>
    <dgm:pt modelId="{702B3B0E-B079-E54B-AFA3-24AF2F06D1B5}" type="parTrans" cxnId="{BE0876CF-C63D-F646-872F-9D2710D0DDF8}">
      <dgm:prSet/>
      <dgm:spPr/>
      <dgm:t>
        <a:bodyPr/>
        <a:lstStyle/>
        <a:p>
          <a:endParaRPr lang="en-US"/>
        </a:p>
      </dgm:t>
    </dgm:pt>
    <dgm:pt modelId="{3E2C3A32-8371-294D-BED6-E95FBC01756C}" type="sibTrans" cxnId="{BE0876CF-C63D-F646-872F-9D2710D0DDF8}">
      <dgm:prSet/>
      <dgm:spPr/>
      <dgm:t>
        <a:bodyPr/>
        <a:lstStyle/>
        <a:p>
          <a:endParaRPr lang="en-US"/>
        </a:p>
      </dgm:t>
    </dgm:pt>
    <dgm:pt modelId="{1DB5069B-6D63-B143-B178-9B5E82496159}">
      <dgm:prSet phldrT="[Text]"/>
      <dgm:spPr/>
      <dgm:t>
        <a:bodyPr/>
        <a:lstStyle/>
        <a:p>
          <a:r>
            <a:rPr lang="en-US"/>
            <a:t>Run scenario</a:t>
          </a:r>
        </a:p>
      </dgm:t>
    </dgm:pt>
    <dgm:pt modelId="{6BB94ACA-6200-0246-8A86-C4AC88C9E15A}" type="parTrans" cxnId="{FD9AE29F-1E5F-484E-A3BD-F44099252297}">
      <dgm:prSet/>
      <dgm:spPr/>
      <dgm:t>
        <a:bodyPr/>
        <a:lstStyle/>
        <a:p>
          <a:endParaRPr lang="en-US"/>
        </a:p>
      </dgm:t>
    </dgm:pt>
    <dgm:pt modelId="{617A4C1E-35ED-DA47-B7A8-085859E63940}" type="sibTrans" cxnId="{FD9AE29F-1E5F-484E-A3BD-F44099252297}">
      <dgm:prSet/>
      <dgm:spPr/>
      <dgm:t>
        <a:bodyPr/>
        <a:lstStyle/>
        <a:p>
          <a:endParaRPr lang="en-US"/>
        </a:p>
      </dgm:t>
    </dgm:pt>
    <dgm:pt modelId="{46EC6F1C-5322-9744-950E-DA6A7FEE1F4C}">
      <dgm:prSet phldrT="[Text]" custT="1"/>
      <dgm:spPr/>
      <dgm:t>
        <a:bodyPr/>
        <a:lstStyle/>
        <a:p>
          <a:r>
            <a:rPr lang="en-US" sz="600"/>
            <a:t>Perceptive feedback - on technical skills and human factors</a:t>
          </a:r>
        </a:p>
      </dgm:t>
    </dgm:pt>
    <dgm:pt modelId="{E1B42398-485E-AF43-93F5-BD2F0F3CFD7E}" type="parTrans" cxnId="{0B0A797B-EC19-8A41-A479-0F298509D0FE}">
      <dgm:prSet/>
      <dgm:spPr/>
      <dgm:t>
        <a:bodyPr/>
        <a:lstStyle/>
        <a:p>
          <a:endParaRPr lang="en-US"/>
        </a:p>
      </dgm:t>
    </dgm:pt>
    <dgm:pt modelId="{1EB1DDFB-3058-4945-B095-5FB034DD73D5}" type="sibTrans" cxnId="{0B0A797B-EC19-8A41-A479-0F298509D0FE}">
      <dgm:prSet/>
      <dgm:spPr/>
      <dgm:t>
        <a:bodyPr/>
        <a:lstStyle/>
        <a:p>
          <a:endParaRPr lang="en-US"/>
        </a:p>
      </dgm:t>
    </dgm:pt>
    <dgm:pt modelId="{CCBF2375-5A69-E746-BB1B-A3675B472417}">
      <dgm:prSet phldrT="[Text]" custT="1"/>
      <dgm:spPr/>
      <dgm:t>
        <a:bodyPr/>
        <a:lstStyle/>
        <a:p>
          <a:r>
            <a:rPr lang="en-US" sz="600"/>
            <a:t>+ / - Audiovisual support </a:t>
          </a:r>
        </a:p>
      </dgm:t>
    </dgm:pt>
    <dgm:pt modelId="{97E35834-70B0-4E49-8838-1339DE0897CA}" type="parTrans" cxnId="{AF5B7124-BDFB-9643-B6C5-68960C07AF64}">
      <dgm:prSet/>
      <dgm:spPr/>
      <dgm:t>
        <a:bodyPr/>
        <a:lstStyle/>
        <a:p>
          <a:endParaRPr lang="en-US"/>
        </a:p>
      </dgm:t>
    </dgm:pt>
    <dgm:pt modelId="{2B654F0F-3BB1-2545-80BE-74A161DBB56D}" type="sibTrans" cxnId="{AF5B7124-BDFB-9643-B6C5-68960C07AF64}">
      <dgm:prSet/>
      <dgm:spPr/>
      <dgm:t>
        <a:bodyPr/>
        <a:lstStyle/>
        <a:p>
          <a:endParaRPr lang="en-US"/>
        </a:p>
      </dgm:t>
    </dgm:pt>
    <dgm:pt modelId="{7C735DA7-9FD4-6D4D-9CB5-D606EC2F4331}">
      <dgm:prSet phldrT="[Text]" custT="1"/>
      <dgm:spPr/>
      <dgm:t>
        <a:bodyPr/>
        <a:lstStyle/>
        <a:p>
          <a:r>
            <a:rPr lang="en-US" sz="600"/>
            <a:t>Active focused observation - body language, tone of voice, behaviour</a:t>
          </a:r>
        </a:p>
      </dgm:t>
    </dgm:pt>
    <dgm:pt modelId="{DCB366C2-CE34-2047-BD0B-B5F889BC169F}" type="parTrans" cxnId="{7C23AC7A-781F-B64F-B575-79D993E9C7C9}">
      <dgm:prSet/>
      <dgm:spPr/>
      <dgm:t>
        <a:bodyPr/>
        <a:lstStyle/>
        <a:p>
          <a:endParaRPr lang="en-US"/>
        </a:p>
      </dgm:t>
    </dgm:pt>
    <dgm:pt modelId="{7E888966-0C91-0B45-B9D3-CAD59BBE155C}" type="sibTrans" cxnId="{7C23AC7A-781F-B64F-B575-79D993E9C7C9}">
      <dgm:prSet/>
      <dgm:spPr/>
      <dgm:t>
        <a:bodyPr/>
        <a:lstStyle/>
        <a:p>
          <a:endParaRPr lang="en-US"/>
        </a:p>
      </dgm:t>
    </dgm:pt>
    <dgm:pt modelId="{94280EC4-FE38-9447-B3FC-3EFF644552D0}">
      <dgm:prSet phldrT="[Text]" custT="1"/>
      <dgm:spPr/>
      <dgm:t>
        <a:bodyPr/>
        <a:lstStyle/>
        <a:p>
          <a:r>
            <a:rPr lang="en-US" sz="600"/>
            <a:t>Intervene when appropriate</a:t>
          </a:r>
        </a:p>
      </dgm:t>
    </dgm:pt>
    <dgm:pt modelId="{394A0FBA-889F-674B-9EBB-47B87C49C597}" type="parTrans" cxnId="{75C185A1-7466-1343-9F5D-4154872654E3}">
      <dgm:prSet/>
      <dgm:spPr/>
      <dgm:t>
        <a:bodyPr/>
        <a:lstStyle/>
        <a:p>
          <a:endParaRPr lang="en-US"/>
        </a:p>
      </dgm:t>
    </dgm:pt>
    <dgm:pt modelId="{D3F96560-92BE-B143-AB96-65DB5FC1553E}" type="sibTrans" cxnId="{75C185A1-7466-1343-9F5D-4154872654E3}">
      <dgm:prSet/>
      <dgm:spPr/>
      <dgm:t>
        <a:bodyPr/>
        <a:lstStyle/>
        <a:p>
          <a:endParaRPr lang="en-US"/>
        </a:p>
      </dgm:t>
    </dgm:pt>
    <dgm:pt modelId="{09367ECF-AD38-FE41-9B81-E2604F44D1E1}">
      <dgm:prSet phldrT="[Text]" custT="1"/>
      <dgm:spPr/>
      <dgm:t>
        <a:bodyPr/>
        <a:lstStyle/>
        <a:p>
          <a:r>
            <a:rPr lang="en-US" sz="600"/>
            <a:t>Generate some pressure - be receptive to effect</a:t>
          </a:r>
        </a:p>
      </dgm:t>
    </dgm:pt>
    <dgm:pt modelId="{E592D003-9B5A-494F-94C1-C548466FF488}" type="parTrans" cxnId="{B6A3CCC4-1C12-7F47-B2E7-42C2098AD05E}">
      <dgm:prSet/>
      <dgm:spPr/>
      <dgm:t>
        <a:bodyPr/>
        <a:lstStyle/>
        <a:p>
          <a:endParaRPr lang="en-US"/>
        </a:p>
      </dgm:t>
    </dgm:pt>
    <dgm:pt modelId="{2F39603D-3953-0049-BD88-4503FC3BE722}" type="sibTrans" cxnId="{B6A3CCC4-1C12-7F47-B2E7-42C2098AD05E}">
      <dgm:prSet/>
      <dgm:spPr/>
      <dgm:t>
        <a:bodyPr/>
        <a:lstStyle/>
        <a:p>
          <a:endParaRPr lang="en-US"/>
        </a:p>
      </dgm:t>
    </dgm:pt>
    <dgm:pt modelId="{A12E6E0F-6A08-F445-B6EF-679E2DE929CE}">
      <dgm:prSet phldrT="[Text]" custT="1"/>
      <dgm:spPr/>
      <dgm:t>
        <a:bodyPr/>
        <a:lstStyle/>
        <a:p>
          <a:r>
            <a:rPr lang="en-US" sz="600"/>
            <a:t>Note timings of events if using video or specific examples against learning outcomes. Link in to human factors and patient safety</a:t>
          </a:r>
        </a:p>
      </dgm:t>
    </dgm:pt>
    <dgm:pt modelId="{FD45FAE4-519E-1A47-BD9A-37F17956F2CC}" type="parTrans" cxnId="{3CC885F6-AAC9-374E-B4BC-823E3EF7E976}">
      <dgm:prSet/>
      <dgm:spPr/>
      <dgm:t>
        <a:bodyPr/>
        <a:lstStyle/>
        <a:p>
          <a:endParaRPr lang="en-US"/>
        </a:p>
      </dgm:t>
    </dgm:pt>
    <dgm:pt modelId="{A8F839F0-6778-1347-B05F-C45265173BEF}" type="sibTrans" cxnId="{3CC885F6-AAC9-374E-B4BC-823E3EF7E976}">
      <dgm:prSet/>
      <dgm:spPr/>
      <dgm:t>
        <a:bodyPr/>
        <a:lstStyle/>
        <a:p>
          <a:endParaRPr lang="en-US"/>
        </a:p>
      </dgm:t>
    </dgm:pt>
    <dgm:pt modelId="{0E0F8AB8-1AFA-0342-8EF9-D58B17C6F2EC}">
      <dgm:prSet phldrT="[Text]" custT="1"/>
      <dgm:spPr/>
      <dgm:t>
        <a:bodyPr/>
        <a:lstStyle/>
        <a:p>
          <a:r>
            <a:rPr lang="en-US" sz="600"/>
            <a:t>At least 10 minutes ideally per scenario</a:t>
          </a:r>
        </a:p>
      </dgm:t>
    </dgm:pt>
    <dgm:pt modelId="{6BA7382A-217E-CB4A-9D3B-1F3406B5750C}" type="parTrans" cxnId="{8E53E90C-E3D8-C94C-98A5-7C2E4B2215B2}">
      <dgm:prSet/>
      <dgm:spPr/>
      <dgm:t>
        <a:bodyPr/>
        <a:lstStyle/>
        <a:p>
          <a:endParaRPr lang="en-US"/>
        </a:p>
      </dgm:t>
    </dgm:pt>
    <dgm:pt modelId="{AC2521B1-167C-5E4B-B611-CBB82D2F5640}" type="sibTrans" cxnId="{8E53E90C-E3D8-C94C-98A5-7C2E4B2215B2}">
      <dgm:prSet/>
      <dgm:spPr/>
      <dgm:t>
        <a:bodyPr/>
        <a:lstStyle/>
        <a:p>
          <a:endParaRPr lang="en-US"/>
        </a:p>
      </dgm:t>
    </dgm:pt>
    <dgm:pt modelId="{95C16C35-A397-4041-9547-E05C0F97C619}">
      <dgm:prSet phldrT="[Text]"/>
      <dgm:spPr/>
      <dgm:t>
        <a:bodyPr/>
        <a:lstStyle/>
        <a:p>
          <a:r>
            <a:rPr lang="en-US"/>
            <a:t>Check in with learning outcomes</a:t>
          </a:r>
        </a:p>
      </dgm:t>
    </dgm:pt>
    <dgm:pt modelId="{3E5AD05C-8CEC-E741-8E57-B27D956EE063}" type="parTrans" cxnId="{5FC4B81F-62D5-EC45-80B3-20BABC2797AE}">
      <dgm:prSet/>
      <dgm:spPr/>
      <dgm:t>
        <a:bodyPr/>
        <a:lstStyle/>
        <a:p>
          <a:endParaRPr lang="en-US"/>
        </a:p>
      </dgm:t>
    </dgm:pt>
    <dgm:pt modelId="{902C2AF8-73CA-1A46-A2FF-1CC09E10F34F}" type="sibTrans" cxnId="{5FC4B81F-62D5-EC45-80B3-20BABC2797AE}">
      <dgm:prSet/>
      <dgm:spPr/>
      <dgm:t>
        <a:bodyPr/>
        <a:lstStyle/>
        <a:p>
          <a:endParaRPr lang="en-US"/>
        </a:p>
      </dgm:t>
    </dgm:pt>
    <dgm:pt modelId="{CCB8846B-02D7-D947-BC52-E980F4015246}">
      <dgm:prSet phldrT="[Text]"/>
      <dgm:spPr/>
      <dgm:t>
        <a:bodyPr/>
        <a:lstStyle/>
        <a:p>
          <a:r>
            <a:rPr lang="en-US"/>
            <a:t>Have they been achieved</a:t>
          </a:r>
        </a:p>
      </dgm:t>
    </dgm:pt>
    <dgm:pt modelId="{311BAE08-CE4D-264C-926A-4C1FB7C849B1}" type="parTrans" cxnId="{C28641B4-4F18-D44B-BA05-ACA03067AB5D}">
      <dgm:prSet/>
      <dgm:spPr/>
      <dgm:t>
        <a:bodyPr/>
        <a:lstStyle/>
        <a:p>
          <a:endParaRPr lang="en-US"/>
        </a:p>
      </dgm:t>
    </dgm:pt>
    <dgm:pt modelId="{F771C9AE-28FC-9B4F-A5A2-324B2F60DA5A}" type="sibTrans" cxnId="{C28641B4-4F18-D44B-BA05-ACA03067AB5D}">
      <dgm:prSet/>
      <dgm:spPr/>
      <dgm:t>
        <a:bodyPr/>
        <a:lstStyle/>
        <a:p>
          <a:endParaRPr lang="en-US"/>
        </a:p>
      </dgm:t>
    </dgm:pt>
    <dgm:pt modelId="{7BFB4DA7-01FD-B34D-AE91-9BB335F24B3E}">
      <dgm:prSet phldrT="[Text]"/>
      <dgm:spPr/>
      <dgm:t>
        <a:bodyPr/>
        <a:lstStyle/>
        <a:p>
          <a:r>
            <a:rPr lang="en-US"/>
            <a:t>Highlights to focus on in debrief</a:t>
          </a:r>
        </a:p>
      </dgm:t>
    </dgm:pt>
    <dgm:pt modelId="{06EA7AA3-5481-1E46-82C4-08C04AA3EE6E}" type="parTrans" cxnId="{4990184E-D11F-EB4E-AB7A-D250ED8AFE7D}">
      <dgm:prSet/>
      <dgm:spPr/>
      <dgm:t>
        <a:bodyPr/>
        <a:lstStyle/>
        <a:p>
          <a:endParaRPr lang="en-US"/>
        </a:p>
      </dgm:t>
    </dgm:pt>
    <dgm:pt modelId="{A6CAD3DF-9095-F047-97D6-7E4B93FBA507}" type="sibTrans" cxnId="{4990184E-D11F-EB4E-AB7A-D250ED8AFE7D}">
      <dgm:prSet/>
      <dgm:spPr/>
      <dgm:t>
        <a:bodyPr/>
        <a:lstStyle/>
        <a:p>
          <a:endParaRPr lang="en-US"/>
        </a:p>
      </dgm:t>
    </dgm:pt>
    <dgm:pt modelId="{97D02912-1A0E-B94E-BDF9-BC8EF8D1FB8A}">
      <dgm:prSet phldrT="[Text]"/>
      <dgm:spPr/>
      <dgm:t>
        <a:bodyPr/>
        <a:lstStyle/>
        <a:p>
          <a:r>
            <a:rPr lang="en-US"/>
            <a:t>Reflect on own mistakes and anecdotes to support learning </a:t>
          </a:r>
        </a:p>
      </dgm:t>
    </dgm:pt>
    <dgm:pt modelId="{78D29AED-54DB-DB4E-80E7-9DB87B0E5189}" type="parTrans" cxnId="{CF0DE152-4A70-6D46-85EE-FA37FFF88E35}">
      <dgm:prSet/>
      <dgm:spPr/>
      <dgm:t>
        <a:bodyPr/>
        <a:lstStyle/>
        <a:p>
          <a:endParaRPr lang="en-US"/>
        </a:p>
      </dgm:t>
    </dgm:pt>
    <dgm:pt modelId="{18BF031D-3D89-664C-9D03-8E3F51A506FD}" type="sibTrans" cxnId="{CF0DE152-4A70-6D46-85EE-FA37FFF88E35}">
      <dgm:prSet/>
      <dgm:spPr/>
      <dgm:t>
        <a:bodyPr/>
        <a:lstStyle/>
        <a:p>
          <a:endParaRPr lang="en-US"/>
        </a:p>
      </dgm:t>
    </dgm:pt>
    <dgm:pt modelId="{1A6B9402-F502-C04A-A47D-06255648A34F}">
      <dgm:prSet phldrT="[Text]"/>
      <dgm:spPr/>
      <dgm:t>
        <a:bodyPr/>
        <a:lstStyle/>
        <a:p>
          <a:r>
            <a:rPr lang="en-US"/>
            <a:t>Planned closure of scenario</a:t>
          </a:r>
        </a:p>
      </dgm:t>
    </dgm:pt>
    <dgm:pt modelId="{780CE9A5-F86E-454A-B7EC-9000FEF219A3}" type="parTrans" cxnId="{B714811D-A65A-9A45-BA9C-15493FC0F95A}">
      <dgm:prSet/>
      <dgm:spPr/>
      <dgm:t>
        <a:bodyPr/>
        <a:lstStyle/>
        <a:p>
          <a:endParaRPr lang="en-US"/>
        </a:p>
      </dgm:t>
    </dgm:pt>
    <dgm:pt modelId="{8921E412-5000-FF48-B7FA-B9CDB64E84C1}" type="sibTrans" cxnId="{B714811D-A65A-9A45-BA9C-15493FC0F95A}">
      <dgm:prSet/>
      <dgm:spPr/>
      <dgm:t>
        <a:bodyPr/>
        <a:lstStyle/>
        <a:p>
          <a:endParaRPr lang="en-US"/>
        </a:p>
      </dgm:t>
    </dgm:pt>
    <dgm:pt modelId="{C855A6A1-21AA-CE4E-8078-5B9466EA9FAA}">
      <dgm:prSet phldrT="[Text]"/>
      <dgm:spPr/>
      <dgm:t>
        <a:bodyPr/>
        <a:lstStyle/>
        <a:p>
          <a:r>
            <a:rPr lang="en-US"/>
            <a:t>Time dependent to allow 50% time for scenario and 50% time for debrief</a:t>
          </a:r>
        </a:p>
      </dgm:t>
    </dgm:pt>
    <dgm:pt modelId="{380EF290-C2CB-D04B-AF1E-417D14A0CF4D}" type="parTrans" cxnId="{33ADEE61-E8E1-D742-A956-BABCB26850D0}">
      <dgm:prSet/>
      <dgm:spPr/>
      <dgm:t>
        <a:bodyPr/>
        <a:lstStyle/>
        <a:p>
          <a:endParaRPr lang="en-US"/>
        </a:p>
      </dgm:t>
    </dgm:pt>
    <dgm:pt modelId="{9C0BE885-C3F3-6846-B2EF-B63B29E2B919}" type="sibTrans" cxnId="{33ADEE61-E8E1-D742-A956-BABCB26850D0}">
      <dgm:prSet/>
      <dgm:spPr/>
      <dgm:t>
        <a:bodyPr/>
        <a:lstStyle/>
        <a:p>
          <a:endParaRPr lang="en-US"/>
        </a:p>
      </dgm:t>
    </dgm:pt>
    <dgm:pt modelId="{BFC5555E-DC88-EE4A-981F-505135DDC1B8}">
      <dgm:prSet phldrT="[Text]"/>
      <dgm:spPr/>
      <dgm:t>
        <a:bodyPr/>
        <a:lstStyle/>
        <a:p>
          <a:r>
            <a:rPr lang="en-US"/>
            <a:t>Reflect on and consider intervention with other learners</a:t>
          </a:r>
        </a:p>
      </dgm:t>
    </dgm:pt>
    <dgm:pt modelId="{C39935C4-2914-E344-81F8-168B1E02FFFD}" type="parTrans" cxnId="{DB6CFAC6-3619-D149-B920-5E73E5D6B12E}">
      <dgm:prSet/>
      <dgm:spPr/>
      <dgm:t>
        <a:bodyPr/>
        <a:lstStyle/>
        <a:p>
          <a:endParaRPr lang="en-US"/>
        </a:p>
      </dgm:t>
    </dgm:pt>
    <dgm:pt modelId="{F61EA53E-192D-C34F-AE60-E5821DFDE1C1}" type="sibTrans" cxnId="{DB6CFAC6-3619-D149-B920-5E73E5D6B12E}">
      <dgm:prSet/>
      <dgm:spPr/>
      <dgm:t>
        <a:bodyPr/>
        <a:lstStyle/>
        <a:p>
          <a:endParaRPr lang="en-US"/>
        </a:p>
      </dgm:t>
    </dgm:pt>
    <dgm:pt modelId="{295CAF03-F2B4-C142-AF9E-A2EA2CDBD69E}">
      <dgm:prSet phldrT="[Text]"/>
      <dgm:spPr/>
      <dgm:t>
        <a:bodyPr/>
        <a:lstStyle/>
        <a:p>
          <a:r>
            <a:rPr lang="en-US"/>
            <a:t>Strategy if over running - step in or call for handover</a:t>
          </a:r>
        </a:p>
      </dgm:t>
    </dgm:pt>
    <dgm:pt modelId="{809C2184-7575-C342-B55D-8DBD5CE5598D}" type="parTrans" cxnId="{5EA812BD-4200-8441-9BB4-0285E61BAEDC}">
      <dgm:prSet/>
      <dgm:spPr/>
      <dgm:t>
        <a:bodyPr/>
        <a:lstStyle/>
        <a:p>
          <a:endParaRPr lang="en-US"/>
        </a:p>
      </dgm:t>
    </dgm:pt>
    <dgm:pt modelId="{15CF0107-41F3-9740-BA6C-652A9F952F97}" type="sibTrans" cxnId="{5EA812BD-4200-8441-9BB4-0285E61BAEDC}">
      <dgm:prSet/>
      <dgm:spPr/>
      <dgm:t>
        <a:bodyPr/>
        <a:lstStyle/>
        <a:p>
          <a:endParaRPr lang="en-US"/>
        </a:p>
      </dgm:t>
    </dgm:pt>
    <dgm:pt modelId="{1DA5CE55-70EC-1A47-B93D-045BCE19BFE7}">
      <dgm:prSet phldrT="[Text]"/>
      <dgm:spPr/>
      <dgm:t>
        <a:bodyPr/>
        <a:lstStyle/>
        <a:p>
          <a:r>
            <a:rPr lang="en-US"/>
            <a:t>Debrief</a:t>
          </a:r>
        </a:p>
      </dgm:t>
    </dgm:pt>
    <dgm:pt modelId="{31D5706B-981C-9947-8FC5-24FCC2BB59A0}" type="parTrans" cxnId="{06B11DDE-D776-E34B-97DE-2E03888310BE}">
      <dgm:prSet/>
      <dgm:spPr/>
      <dgm:t>
        <a:bodyPr/>
        <a:lstStyle/>
        <a:p>
          <a:endParaRPr lang="en-US"/>
        </a:p>
      </dgm:t>
    </dgm:pt>
    <dgm:pt modelId="{94D5673A-363B-354B-8DAF-9F10F7705713}" type="sibTrans" cxnId="{06B11DDE-D776-E34B-97DE-2E03888310BE}">
      <dgm:prSet/>
      <dgm:spPr/>
      <dgm:t>
        <a:bodyPr/>
        <a:lstStyle/>
        <a:p>
          <a:endParaRPr lang="en-US"/>
        </a:p>
      </dgm:t>
    </dgm:pt>
    <dgm:pt modelId="{89EA32EC-B9CB-BF4B-BF96-4EB5384A071E}">
      <dgm:prSet phldrT="[Text]"/>
      <dgm:spPr/>
      <dgm:t>
        <a:bodyPr/>
        <a:lstStyle/>
        <a:p>
          <a:r>
            <a:rPr lang="en-US"/>
            <a:t>Evaluate scenario and debrief </a:t>
          </a:r>
        </a:p>
      </dgm:t>
    </dgm:pt>
    <dgm:pt modelId="{4B67D093-8180-5343-B0A7-E0830E00E079}" type="parTrans" cxnId="{458A33F4-8AE5-2F4A-BA10-9D35BA08C2A3}">
      <dgm:prSet/>
      <dgm:spPr/>
      <dgm:t>
        <a:bodyPr/>
        <a:lstStyle/>
        <a:p>
          <a:endParaRPr lang="en-US"/>
        </a:p>
      </dgm:t>
    </dgm:pt>
    <dgm:pt modelId="{5E01A2B1-4400-C742-8E6D-A2C6D8D9489A}" type="sibTrans" cxnId="{458A33F4-8AE5-2F4A-BA10-9D35BA08C2A3}">
      <dgm:prSet/>
      <dgm:spPr/>
      <dgm:t>
        <a:bodyPr/>
        <a:lstStyle/>
        <a:p>
          <a:endParaRPr lang="en-US"/>
        </a:p>
      </dgm:t>
    </dgm:pt>
    <dgm:pt modelId="{689E109C-CC51-FD40-AF55-8FFBE9289983}">
      <dgm:prSet phldrT="[Text]"/>
      <dgm:spPr/>
      <dgm:t>
        <a:bodyPr/>
        <a:lstStyle/>
        <a:p>
          <a:r>
            <a:rPr lang="en-US"/>
            <a:t>Time to unwind, think, reflect</a:t>
          </a:r>
        </a:p>
      </dgm:t>
    </dgm:pt>
    <dgm:pt modelId="{1C8FF510-76B1-2F4E-B2BA-3C0A46C0E85D}" type="parTrans" cxnId="{E61A78A4-6802-C641-B866-7A65410F31DE}">
      <dgm:prSet/>
      <dgm:spPr/>
      <dgm:t>
        <a:bodyPr/>
        <a:lstStyle/>
        <a:p>
          <a:endParaRPr lang="en-US"/>
        </a:p>
      </dgm:t>
    </dgm:pt>
    <dgm:pt modelId="{468E4725-C94A-784F-AB1E-8453BCB1E9C8}" type="sibTrans" cxnId="{E61A78A4-6802-C641-B866-7A65410F31DE}">
      <dgm:prSet/>
      <dgm:spPr/>
      <dgm:t>
        <a:bodyPr/>
        <a:lstStyle/>
        <a:p>
          <a:endParaRPr lang="en-US"/>
        </a:p>
      </dgm:t>
    </dgm:pt>
    <dgm:pt modelId="{801B1AC8-09E2-2144-B1B6-5D57DA62341B}">
      <dgm:prSet phldrT="[Text]"/>
      <dgm:spPr/>
      <dgm:t>
        <a:bodyPr/>
        <a:lstStyle/>
        <a:p>
          <a:r>
            <a:rPr lang="en-US"/>
            <a:t>Learner should be discovering for themselves - facilitative process</a:t>
          </a:r>
        </a:p>
      </dgm:t>
    </dgm:pt>
    <dgm:pt modelId="{364F772B-5B41-BA43-BDDB-A84A0D6F50EC}" type="parTrans" cxnId="{54EB9776-7423-554E-AA2B-5A80FC3F575B}">
      <dgm:prSet/>
      <dgm:spPr/>
      <dgm:t>
        <a:bodyPr/>
        <a:lstStyle/>
        <a:p>
          <a:endParaRPr lang="en-US"/>
        </a:p>
      </dgm:t>
    </dgm:pt>
    <dgm:pt modelId="{5A838475-7AB9-A241-B738-65FD2C610507}" type="sibTrans" cxnId="{54EB9776-7423-554E-AA2B-5A80FC3F575B}">
      <dgm:prSet/>
      <dgm:spPr/>
      <dgm:t>
        <a:bodyPr/>
        <a:lstStyle/>
        <a:p>
          <a:endParaRPr lang="en-US"/>
        </a:p>
      </dgm:t>
    </dgm:pt>
    <dgm:pt modelId="{A1B0A609-53FF-CE49-A665-EB8030C36F40}">
      <dgm:prSet phldrT="[Text]"/>
      <dgm:spPr/>
      <dgm:t>
        <a:bodyPr/>
        <a:lstStyle/>
        <a:p>
          <a:r>
            <a:rPr lang="en-US"/>
            <a:t>Can use a model</a:t>
          </a:r>
        </a:p>
      </dgm:t>
    </dgm:pt>
    <dgm:pt modelId="{BCC0A2A8-E8DE-A34E-869E-4F3A0978DD2F}" type="parTrans" cxnId="{61AA1D42-535A-F444-99A8-B9DA8F94F13A}">
      <dgm:prSet/>
      <dgm:spPr/>
      <dgm:t>
        <a:bodyPr/>
        <a:lstStyle/>
        <a:p>
          <a:endParaRPr lang="en-US"/>
        </a:p>
      </dgm:t>
    </dgm:pt>
    <dgm:pt modelId="{F74CE7F1-E838-B744-AE72-A040654DC5FD}" type="sibTrans" cxnId="{61AA1D42-535A-F444-99A8-B9DA8F94F13A}">
      <dgm:prSet/>
      <dgm:spPr/>
      <dgm:t>
        <a:bodyPr/>
        <a:lstStyle/>
        <a:p>
          <a:endParaRPr lang="en-US"/>
        </a:p>
      </dgm:t>
    </dgm:pt>
    <dgm:pt modelId="{9A4026A3-CEB7-B641-8F4F-2D093C6E474C}">
      <dgm:prSet phldrT="[Text]"/>
      <dgm:spPr/>
      <dgm:t>
        <a:bodyPr/>
        <a:lstStyle/>
        <a:p>
          <a:r>
            <a:rPr lang="en-US"/>
            <a:t>Summarise main learning points - consolidate learning</a:t>
          </a:r>
        </a:p>
      </dgm:t>
    </dgm:pt>
    <dgm:pt modelId="{015C28BB-8651-5C4D-9AE9-415E1014AF87}" type="parTrans" cxnId="{6B111170-D5F4-A64F-B0AB-C4F67F160185}">
      <dgm:prSet/>
      <dgm:spPr/>
      <dgm:t>
        <a:bodyPr/>
        <a:lstStyle/>
        <a:p>
          <a:endParaRPr lang="en-US"/>
        </a:p>
      </dgm:t>
    </dgm:pt>
    <dgm:pt modelId="{BEFDD3F5-6193-4B4F-B2A0-4DA42F727ED3}" type="sibTrans" cxnId="{6B111170-D5F4-A64F-B0AB-C4F67F160185}">
      <dgm:prSet/>
      <dgm:spPr/>
      <dgm:t>
        <a:bodyPr/>
        <a:lstStyle/>
        <a:p>
          <a:endParaRPr lang="en-US"/>
        </a:p>
      </dgm:t>
    </dgm:pt>
    <dgm:pt modelId="{7EA3C5D1-B43F-2F46-8B48-99E8AA081B5D}">
      <dgm:prSet phldrT="[Text]"/>
      <dgm:spPr/>
      <dgm:t>
        <a:bodyPr/>
        <a:lstStyle/>
        <a:p>
          <a:r>
            <a:rPr lang="en-US"/>
            <a:t>Align with learners</a:t>
          </a:r>
        </a:p>
      </dgm:t>
    </dgm:pt>
    <dgm:pt modelId="{7CE98579-0D02-F645-9EC0-33DCB2B28376}" type="parTrans" cxnId="{E1E0FB78-48C4-F34B-9F6D-D2F3D1A7AEAE}">
      <dgm:prSet/>
      <dgm:spPr/>
      <dgm:t>
        <a:bodyPr/>
        <a:lstStyle/>
        <a:p>
          <a:endParaRPr lang="en-US"/>
        </a:p>
      </dgm:t>
    </dgm:pt>
    <dgm:pt modelId="{EF03DAFA-074B-3C46-AE99-501B4F088CFA}" type="sibTrans" cxnId="{E1E0FB78-48C4-F34B-9F6D-D2F3D1A7AEAE}">
      <dgm:prSet/>
      <dgm:spPr/>
      <dgm:t>
        <a:bodyPr/>
        <a:lstStyle/>
        <a:p>
          <a:endParaRPr lang="en-US"/>
        </a:p>
      </dgm:t>
    </dgm:pt>
    <dgm:pt modelId="{5781A848-17E0-BB41-A821-3440168B0897}">
      <dgm:prSet phldrT="[Text]"/>
      <dgm:spPr/>
      <dgm:t>
        <a:bodyPr/>
        <a:lstStyle/>
        <a:p>
          <a:r>
            <a:rPr lang="en-US"/>
            <a:t>Were learning outcomes achieved</a:t>
          </a:r>
        </a:p>
      </dgm:t>
    </dgm:pt>
    <dgm:pt modelId="{CAEA7878-9D61-FB4E-883D-46BB5F964D8E}" type="parTrans" cxnId="{7E4B4B71-A038-F341-85A9-F4F89FD482FA}">
      <dgm:prSet/>
      <dgm:spPr/>
      <dgm:t>
        <a:bodyPr/>
        <a:lstStyle/>
        <a:p>
          <a:endParaRPr lang="en-US"/>
        </a:p>
      </dgm:t>
    </dgm:pt>
    <dgm:pt modelId="{117C2FFC-B6AC-B042-970E-A7E27D0D9B17}" type="sibTrans" cxnId="{7E4B4B71-A038-F341-85A9-F4F89FD482FA}">
      <dgm:prSet/>
      <dgm:spPr/>
      <dgm:t>
        <a:bodyPr/>
        <a:lstStyle/>
        <a:p>
          <a:endParaRPr lang="en-US"/>
        </a:p>
      </dgm:t>
    </dgm:pt>
    <dgm:pt modelId="{A3C1DB92-147B-0746-8746-1E702DE250E3}">
      <dgm:prSet phldrT="[Text]"/>
      <dgm:spPr/>
      <dgm:t>
        <a:bodyPr/>
        <a:lstStyle/>
        <a:p>
          <a:r>
            <a:rPr lang="en-US"/>
            <a:t>Level of pressure correct for optimum learning</a:t>
          </a:r>
        </a:p>
      </dgm:t>
    </dgm:pt>
    <dgm:pt modelId="{7821B42F-34AB-5542-8616-47B41275CDF7}" type="parTrans" cxnId="{C7DFEC52-A873-0E4C-9DF0-879774D198C8}">
      <dgm:prSet/>
      <dgm:spPr/>
      <dgm:t>
        <a:bodyPr/>
        <a:lstStyle/>
        <a:p>
          <a:endParaRPr lang="en-US"/>
        </a:p>
      </dgm:t>
    </dgm:pt>
    <dgm:pt modelId="{AA526057-1B44-0B4E-AB4D-C83952EFE626}" type="sibTrans" cxnId="{C7DFEC52-A873-0E4C-9DF0-879774D198C8}">
      <dgm:prSet/>
      <dgm:spPr/>
      <dgm:t>
        <a:bodyPr/>
        <a:lstStyle/>
        <a:p>
          <a:endParaRPr lang="en-US"/>
        </a:p>
      </dgm:t>
    </dgm:pt>
    <dgm:pt modelId="{FFB242D9-14E1-4C46-8160-428DB01D3BC6}">
      <dgm:prSet phldrT="[Text]"/>
      <dgm:spPr/>
      <dgm:t>
        <a:bodyPr/>
        <a:lstStyle/>
        <a:p>
          <a:r>
            <a:rPr lang="en-US"/>
            <a:t>Faculty feedback - how to improve</a:t>
          </a:r>
        </a:p>
      </dgm:t>
    </dgm:pt>
    <dgm:pt modelId="{EF1E8CD7-2DFA-764F-AA37-CAD3E2766997}" type="parTrans" cxnId="{9580EFC2-0807-2A43-AD25-CC3E6085F04D}">
      <dgm:prSet/>
      <dgm:spPr/>
      <dgm:t>
        <a:bodyPr/>
        <a:lstStyle/>
        <a:p>
          <a:endParaRPr lang="en-US"/>
        </a:p>
      </dgm:t>
    </dgm:pt>
    <dgm:pt modelId="{41A521E1-92F7-0D49-9B3D-B6D58F2529F0}" type="sibTrans" cxnId="{9580EFC2-0807-2A43-AD25-CC3E6085F04D}">
      <dgm:prSet/>
      <dgm:spPr/>
      <dgm:t>
        <a:bodyPr/>
        <a:lstStyle/>
        <a:p>
          <a:endParaRPr lang="en-US"/>
        </a:p>
      </dgm:t>
    </dgm:pt>
    <dgm:pt modelId="{E6B740DE-5048-BC4C-8C6A-CB38947E730D}">
      <dgm:prSet phldrT="[Text]"/>
      <dgm:spPr/>
      <dgm:t>
        <a:bodyPr/>
        <a:lstStyle/>
        <a:p>
          <a:r>
            <a:rPr lang="en-US"/>
            <a:t>Make adjustments ready for re-run</a:t>
          </a:r>
        </a:p>
      </dgm:t>
    </dgm:pt>
    <dgm:pt modelId="{D82E6869-DB85-3F48-B8DA-2A3E2C7FB1DC}" type="parTrans" cxnId="{A708DC1F-D726-044E-B02D-1B8E71CF5209}">
      <dgm:prSet/>
      <dgm:spPr/>
      <dgm:t>
        <a:bodyPr/>
        <a:lstStyle/>
        <a:p>
          <a:endParaRPr lang="en-US"/>
        </a:p>
      </dgm:t>
    </dgm:pt>
    <dgm:pt modelId="{63E3A6EA-4B5D-7945-A03B-F7396FC41100}" type="sibTrans" cxnId="{A708DC1F-D726-044E-B02D-1B8E71CF5209}">
      <dgm:prSet/>
      <dgm:spPr/>
      <dgm:t>
        <a:bodyPr/>
        <a:lstStyle/>
        <a:p>
          <a:endParaRPr lang="en-US"/>
        </a:p>
      </dgm:t>
    </dgm:pt>
    <dgm:pt modelId="{1DD5CF74-5E9B-AD45-A252-B5D334FBBF49}">
      <dgm:prSet phldrT="[Text]"/>
      <dgm:spPr/>
      <dgm:t>
        <a:bodyPr/>
        <a:lstStyle/>
        <a:p>
          <a:r>
            <a:rPr lang="en-US"/>
            <a:t>Tailor to learner - personalised, individual specific</a:t>
          </a:r>
        </a:p>
      </dgm:t>
    </dgm:pt>
    <dgm:pt modelId="{02891F31-08A8-1346-86DF-4DEB37472355}" type="parTrans" cxnId="{4E46DF5A-A029-344A-9C42-EC61D9A30794}">
      <dgm:prSet/>
      <dgm:spPr/>
      <dgm:t>
        <a:bodyPr/>
        <a:lstStyle/>
        <a:p>
          <a:endParaRPr lang="en-US"/>
        </a:p>
      </dgm:t>
    </dgm:pt>
    <dgm:pt modelId="{677B051F-E1E4-1541-8D01-D50BC9CC32E3}" type="sibTrans" cxnId="{4E46DF5A-A029-344A-9C42-EC61D9A30794}">
      <dgm:prSet/>
      <dgm:spPr/>
      <dgm:t>
        <a:bodyPr/>
        <a:lstStyle/>
        <a:p>
          <a:endParaRPr lang="en-US"/>
        </a:p>
      </dgm:t>
    </dgm:pt>
    <dgm:pt modelId="{5324B8C8-3AB3-B947-B27F-8F405EFC1935}" type="pres">
      <dgm:prSet presAssocID="{4B4F8652-5CF0-0F4B-8383-50602E2B25DF}" presName="linearFlow" presStyleCnt="0">
        <dgm:presLayoutVars>
          <dgm:dir/>
          <dgm:animLvl val="lvl"/>
          <dgm:resizeHandles val="exact"/>
        </dgm:presLayoutVars>
      </dgm:prSet>
      <dgm:spPr/>
    </dgm:pt>
    <dgm:pt modelId="{BFAB27E7-02A7-DA44-94A8-314AC87B16AD}" type="pres">
      <dgm:prSet presAssocID="{0126DAF3-A27F-F24D-83B1-0FF9D1D16129}" presName="composite" presStyleCnt="0"/>
      <dgm:spPr/>
    </dgm:pt>
    <dgm:pt modelId="{BB5A0C74-F675-B04E-AF2D-32B2F56D8DF1}" type="pres">
      <dgm:prSet presAssocID="{0126DAF3-A27F-F24D-83B1-0FF9D1D16129}" presName="parentText" presStyleLbl="alignNode1" presStyleIdx="0" presStyleCnt="9">
        <dgm:presLayoutVars>
          <dgm:chMax val="1"/>
          <dgm:bulletEnabled val="1"/>
        </dgm:presLayoutVars>
      </dgm:prSet>
      <dgm:spPr/>
    </dgm:pt>
    <dgm:pt modelId="{56DAABA8-E087-AA49-B12E-9F9403F2D5DE}" type="pres">
      <dgm:prSet presAssocID="{0126DAF3-A27F-F24D-83B1-0FF9D1D16129}" presName="descendantText" presStyleLbl="alignAcc1" presStyleIdx="0" presStyleCnt="9" custScaleY="105996">
        <dgm:presLayoutVars>
          <dgm:bulletEnabled val="1"/>
        </dgm:presLayoutVars>
      </dgm:prSet>
      <dgm:spPr/>
    </dgm:pt>
    <dgm:pt modelId="{C8AB4DD3-8543-DA48-88F4-15DD36B7D901}" type="pres">
      <dgm:prSet presAssocID="{7E6813C5-98F2-5A42-8D73-F3C4942A2E63}" presName="sp" presStyleCnt="0"/>
      <dgm:spPr/>
    </dgm:pt>
    <dgm:pt modelId="{5621078B-AEA0-6745-88B1-1597ED8CD47F}" type="pres">
      <dgm:prSet presAssocID="{27AEA9D6-8EC2-2A45-9779-A3579A718CB5}" presName="composite" presStyleCnt="0"/>
      <dgm:spPr/>
    </dgm:pt>
    <dgm:pt modelId="{5C2ACD6C-3C3C-DC49-8A74-F6E4FEB3063D}" type="pres">
      <dgm:prSet presAssocID="{27AEA9D6-8EC2-2A45-9779-A3579A718CB5}" presName="parentText" presStyleLbl="alignNode1" presStyleIdx="1" presStyleCnt="9">
        <dgm:presLayoutVars>
          <dgm:chMax val="1"/>
          <dgm:bulletEnabled val="1"/>
        </dgm:presLayoutVars>
      </dgm:prSet>
      <dgm:spPr/>
    </dgm:pt>
    <dgm:pt modelId="{AABB57E1-F783-EF48-80B6-6CDEBCA5274C}" type="pres">
      <dgm:prSet presAssocID="{27AEA9D6-8EC2-2A45-9779-A3579A718CB5}" presName="descendantText" presStyleLbl="alignAcc1" presStyleIdx="1" presStyleCnt="9">
        <dgm:presLayoutVars>
          <dgm:bulletEnabled val="1"/>
        </dgm:presLayoutVars>
      </dgm:prSet>
      <dgm:spPr/>
    </dgm:pt>
    <dgm:pt modelId="{70AF4445-C13B-4444-A262-C2BCE4F72C1B}" type="pres">
      <dgm:prSet presAssocID="{18E4DE29-5F78-6547-9AB6-76DFC6B49AC5}" presName="sp" presStyleCnt="0"/>
      <dgm:spPr/>
    </dgm:pt>
    <dgm:pt modelId="{DAE63DB9-FCC2-0A41-B97E-2EA3E5E0A807}" type="pres">
      <dgm:prSet presAssocID="{9CFB3C6C-6540-474F-ADA4-68715DAFE1BC}" presName="composite" presStyleCnt="0"/>
      <dgm:spPr/>
    </dgm:pt>
    <dgm:pt modelId="{246CA9D3-5E69-B14C-B132-B87DE6929089}" type="pres">
      <dgm:prSet presAssocID="{9CFB3C6C-6540-474F-ADA4-68715DAFE1BC}" presName="parentText" presStyleLbl="alignNode1" presStyleIdx="2" presStyleCnt="9">
        <dgm:presLayoutVars>
          <dgm:chMax val="1"/>
          <dgm:bulletEnabled val="1"/>
        </dgm:presLayoutVars>
      </dgm:prSet>
      <dgm:spPr/>
    </dgm:pt>
    <dgm:pt modelId="{B59681DB-E2B4-1742-BED4-3722D9A6E68F}" type="pres">
      <dgm:prSet presAssocID="{9CFB3C6C-6540-474F-ADA4-68715DAFE1BC}" presName="descendantText" presStyleLbl="alignAcc1" presStyleIdx="2" presStyleCnt="9">
        <dgm:presLayoutVars>
          <dgm:bulletEnabled val="1"/>
        </dgm:presLayoutVars>
      </dgm:prSet>
      <dgm:spPr/>
    </dgm:pt>
    <dgm:pt modelId="{A7F95C97-3BCE-D14C-ADBA-9B13D7910816}" type="pres">
      <dgm:prSet presAssocID="{B9EED02F-FC62-2744-9ACA-A42747C86F51}" presName="sp" presStyleCnt="0"/>
      <dgm:spPr/>
    </dgm:pt>
    <dgm:pt modelId="{1345A506-2C96-5343-8C1A-107E1F071795}" type="pres">
      <dgm:prSet presAssocID="{18EB82C1-AA70-DD48-9C48-FF1BDF2845EF}" presName="composite" presStyleCnt="0"/>
      <dgm:spPr/>
    </dgm:pt>
    <dgm:pt modelId="{FA288F36-ACA3-054E-B4AE-86D9565FB3BC}" type="pres">
      <dgm:prSet presAssocID="{18EB82C1-AA70-DD48-9C48-FF1BDF2845EF}" presName="parentText" presStyleLbl="alignNode1" presStyleIdx="3" presStyleCnt="9">
        <dgm:presLayoutVars>
          <dgm:chMax val="1"/>
          <dgm:bulletEnabled val="1"/>
        </dgm:presLayoutVars>
      </dgm:prSet>
      <dgm:spPr/>
    </dgm:pt>
    <dgm:pt modelId="{CEDB51B8-907E-0744-B1ED-6BF9EC995E85}" type="pres">
      <dgm:prSet presAssocID="{18EB82C1-AA70-DD48-9C48-FF1BDF2845EF}" presName="descendantText" presStyleLbl="alignAcc1" presStyleIdx="3" presStyleCnt="9">
        <dgm:presLayoutVars>
          <dgm:bulletEnabled val="1"/>
        </dgm:presLayoutVars>
      </dgm:prSet>
      <dgm:spPr/>
    </dgm:pt>
    <dgm:pt modelId="{D1CED672-9D60-9B40-9BAD-C1359C37087A}" type="pres">
      <dgm:prSet presAssocID="{EE2DA394-5BE7-D04F-B56C-9459FDFA045B}" presName="sp" presStyleCnt="0"/>
      <dgm:spPr/>
    </dgm:pt>
    <dgm:pt modelId="{FD223284-94B6-F742-B28A-C21A0C124182}" type="pres">
      <dgm:prSet presAssocID="{1DB5069B-6D63-B143-B178-9B5E82496159}" presName="composite" presStyleCnt="0"/>
      <dgm:spPr/>
    </dgm:pt>
    <dgm:pt modelId="{EFA2F00B-2090-2843-8AC0-0E1670547E0E}" type="pres">
      <dgm:prSet presAssocID="{1DB5069B-6D63-B143-B178-9B5E82496159}" presName="parentText" presStyleLbl="alignNode1" presStyleIdx="4" presStyleCnt="9">
        <dgm:presLayoutVars>
          <dgm:chMax val="1"/>
          <dgm:bulletEnabled val="1"/>
        </dgm:presLayoutVars>
      </dgm:prSet>
      <dgm:spPr/>
    </dgm:pt>
    <dgm:pt modelId="{EBE3FB98-EDEF-FC44-ACE9-B71AE7397985}" type="pres">
      <dgm:prSet presAssocID="{1DB5069B-6D63-B143-B178-9B5E82496159}" presName="descendantText" presStyleLbl="alignAcc1" presStyleIdx="4" presStyleCnt="9" custScaleY="115896">
        <dgm:presLayoutVars>
          <dgm:bulletEnabled val="1"/>
        </dgm:presLayoutVars>
      </dgm:prSet>
      <dgm:spPr/>
    </dgm:pt>
    <dgm:pt modelId="{13B1FCEB-3157-EB45-AF14-E78AE69E2A1D}" type="pres">
      <dgm:prSet presAssocID="{617A4C1E-35ED-DA47-B7A8-085859E63940}" presName="sp" presStyleCnt="0"/>
      <dgm:spPr/>
    </dgm:pt>
    <dgm:pt modelId="{4FD29430-93D2-4D41-9C5D-886449A5D0C2}" type="pres">
      <dgm:prSet presAssocID="{95C16C35-A397-4041-9547-E05C0F97C619}" presName="composite" presStyleCnt="0"/>
      <dgm:spPr/>
    </dgm:pt>
    <dgm:pt modelId="{C6503216-42C0-1343-B325-85EF14199D8B}" type="pres">
      <dgm:prSet presAssocID="{95C16C35-A397-4041-9547-E05C0F97C619}" presName="parentText" presStyleLbl="alignNode1" presStyleIdx="5" presStyleCnt="9">
        <dgm:presLayoutVars>
          <dgm:chMax val="1"/>
          <dgm:bulletEnabled val="1"/>
        </dgm:presLayoutVars>
      </dgm:prSet>
      <dgm:spPr/>
    </dgm:pt>
    <dgm:pt modelId="{47D730CC-0E50-1F47-8E08-251883FB1ACB}" type="pres">
      <dgm:prSet presAssocID="{95C16C35-A397-4041-9547-E05C0F97C619}" presName="descendantText" presStyleLbl="alignAcc1" presStyleIdx="5" presStyleCnt="9">
        <dgm:presLayoutVars>
          <dgm:bulletEnabled val="1"/>
        </dgm:presLayoutVars>
      </dgm:prSet>
      <dgm:spPr/>
    </dgm:pt>
    <dgm:pt modelId="{5EABB609-006D-6845-AD37-054A5206F70E}" type="pres">
      <dgm:prSet presAssocID="{902C2AF8-73CA-1A46-A2FF-1CC09E10F34F}" presName="sp" presStyleCnt="0"/>
      <dgm:spPr/>
    </dgm:pt>
    <dgm:pt modelId="{3E1A48BD-98C2-D845-94ED-A30BC4F1A897}" type="pres">
      <dgm:prSet presAssocID="{1A6B9402-F502-C04A-A47D-06255648A34F}" presName="composite" presStyleCnt="0"/>
      <dgm:spPr/>
    </dgm:pt>
    <dgm:pt modelId="{FD1B6087-CE79-7A44-8659-6E02FDB63995}" type="pres">
      <dgm:prSet presAssocID="{1A6B9402-F502-C04A-A47D-06255648A34F}" presName="parentText" presStyleLbl="alignNode1" presStyleIdx="6" presStyleCnt="9">
        <dgm:presLayoutVars>
          <dgm:chMax val="1"/>
          <dgm:bulletEnabled val="1"/>
        </dgm:presLayoutVars>
      </dgm:prSet>
      <dgm:spPr/>
    </dgm:pt>
    <dgm:pt modelId="{2BC519CB-78F2-0745-92F4-BAF7A8ACEC88}" type="pres">
      <dgm:prSet presAssocID="{1A6B9402-F502-C04A-A47D-06255648A34F}" presName="descendantText" presStyleLbl="alignAcc1" presStyleIdx="6" presStyleCnt="9">
        <dgm:presLayoutVars>
          <dgm:bulletEnabled val="1"/>
        </dgm:presLayoutVars>
      </dgm:prSet>
      <dgm:spPr/>
    </dgm:pt>
    <dgm:pt modelId="{0279B512-7A5C-D848-8327-118B85F01AE2}" type="pres">
      <dgm:prSet presAssocID="{8921E412-5000-FF48-B7FA-B9CDB64E84C1}" presName="sp" presStyleCnt="0"/>
      <dgm:spPr/>
    </dgm:pt>
    <dgm:pt modelId="{0CC61ECA-FFB4-7A45-A209-FFA978B12B95}" type="pres">
      <dgm:prSet presAssocID="{1DA5CE55-70EC-1A47-B93D-045BCE19BFE7}" presName="composite" presStyleCnt="0"/>
      <dgm:spPr/>
    </dgm:pt>
    <dgm:pt modelId="{AE26AD64-B9B0-854D-A9CF-5E55500C40C5}" type="pres">
      <dgm:prSet presAssocID="{1DA5CE55-70EC-1A47-B93D-045BCE19BFE7}" presName="parentText" presStyleLbl="alignNode1" presStyleIdx="7" presStyleCnt="9">
        <dgm:presLayoutVars>
          <dgm:chMax val="1"/>
          <dgm:bulletEnabled val="1"/>
        </dgm:presLayoutVars>
      </dgm:prSet>
      <dgm:spPr/>
    </dgm:pt>
    <dgm:pt modelId="{CB037466-DB9B-214E-B405-64CF3CBE2693}" type="pres">
      <dgm:prSet presAssocID="{1DA5CE55-70EC-1A47-B93D-045BCE19BFE7}" presName="descendantText" presStyleLbl="alignAcc1" presStyleIdx="7" presStyleCnt="9">
        <dgm:presLayoutVars>
          <dgm:bulletEnabled val="1"/>
        </dgm:presLayoutVars>
      </dgm:prSet>
      <dgm:spPr/>
    </dgm:pt>
    <dgm:pt modelId="{E92FDE5A-7FD2-5B49-A3A6-AD59D4E68589}" type="pres">
      <dgm:prSet presAssocID="{94D5673A-363B-354B-8DAF-9F10F7705713}" presName="sp" presStyleCnt="0"/>
      <dgm:spPr/>
    </dgm:pt>
    <dgm:pt modelId="{0144EF09-4DD2-5B4B-A2DB-1BB8070A186E}" type="pres">
      <dgm:prSet presAssocID="{89EA32EC-B9CB-BF4B-BF96-4EB5384A071E}" presName="composite" presStyleCnt="0"/>
      <dgm:spPr/>
    </dgm:pt>
    <dgm:pt modelId="{E10E36D1-F678-504A-B068-5EE0224872F2}" type="pres">
      <dgm:prSet presAssocID="{89EA32EC-B9CB-BF4B-BF96-4EB5384A071E}" presName="parentText" presStyleLbl="alignNode1" presStyleIdx="8" presStyleCnt="9">
        <dgm:presLayoutVars>
          <dgm:chMax val="1"/>
          <dgm:bulletEnabled val="1"/>
        </dgm:presLayoutVars>
      </dgm:prSet>
      <dgm:spPr/>
    </dgm:pt>
    <dgm:pt modelId="{1DCFD8C5-400E-9647-8A13-D1BCFC1ED085}" type="pres">
      <dgm:prSet presAssocID="{89EA32EC-B9CB-BF4B-BF96-4EB5384A071E}" presName="descendantText" presStyleLbl="alignAcc1" presStyleIdx="8" presStyleCnt="9">
        <dgm:presLayoutVars>
          <dgm:bulletEnabled val="1"/>
        </dgm:presLayoutVars>
      </dgm:prSet>
      <dgm:spPr/>
    </dgm:pt>
  </dgm:ptLst>
  <dgm:cxnLst>
    <dgm:cxn modelId="{9291A403-8402-6145-8094-093C7DF818D0}" type="presOf" srcId="{0E0F8AB8-1AFA-0342-8EF9-D58B17C6F2EC}" destId="{EBE3FB98-EDEF-FC44-ACE9-B71AE7397985}" srcOrd="0" destOrd="6" presId="urn:microsoft.com/office/officeart/2005/8/layout/chevron2"/>
    <dgm:cxn modelId="{77A16704-2DE6-1845-9852-BFD54F1E6051}" srcId="{9CFB3C6C-6540-474F-ADA4-68715DAFE1BC}" destId="{794FCF2A-93B4-C448-AF72-1488C63A9732}" srcOrd="1" destOrd="0" parTransId="{61F7E3D1-C4B0-F34D-B871-8D1F4B5981B8}" sibTransId="{4509AB28-9389-0D43-A773-346D86E61535}"/>
    <dgm:cxn modelId="{851F2F05-4AC6-A246-8CA3-54BC69D76947}" srcId="{0126DAF3-A27F-F24D-83B1-0FF9D1D16129}" destId="{01BE80D7-5246-2E4B-AFFB-763CB1803B9A}" srcOrd="3" destOrd="0" parTransId="{28963817-568E-DD44-A730-317528FBC3C2}" sibTransId="{8119BB72-BD66-504A-B9C3-A25414A84289}"/>
    <dgm:cxn modelId="{94BF9605-F5E8-B643-8D04-107F03311839}" type="presOf" srcId="{1DB5069B-6D63-B143-B178-9B5E82496159}" destId="{EFA2F00B-2090-2843-8AC0-0E1670547E0E}" srcOrd="0" destOrd="0" presId="urn:microsoft.com/office/officeart/2005/8/layout/chevron2"/>
    <dgm:cxn modelId="{8544720A-487B-7C4F-9407-027BA2B3AAA3}" type="presOf" srcId="{A7C76286-FC6A-E647-AB0A-806FEE2F1BB4}" destId="{56DAABA8-E087-AA49-B12E-9F9403F2D5DE}" srcOrd="0" destOrd="5" presId="urn:microsoft.com/office/officeart/2005/8/layout/chevron2"/>
    <dgm:cxn modelId="{8E53E90C-E3D8-C94C-98A5-7C2E4B2215B2}" srcId="{1DB5069B-6D63-B143-B178-9B5E82496159}" destId="{0E0F8AB8-1AFA-0342-8EF9-D58B17C6F2EC}" srcOrd="6" destOrd="0" parTransId="{6BA7382A-217E-CB4A-9D3B-1F3406B5750C}" sibTransId="{AC2521B1-167C-5E4B-B611-CBB82D2F5640}"/>
    <dgm:cxn modelId="{ECAAA20D-913F-7742-91D1-1F1B7DD01186}" type="presOf" srcId="{986B133C-9132-C34C-B85B-3045C7712F81}" destId="{AABB57E1-F783-EF48-80B6-6CDEBCA5274C}" srcOrd="0" destOrd="0" presId="urn:microsoft.com/office/officeart/2005/8/layout/chevron2"/>
    <dgm:cxn modelId="{8CD06811-B03B-B14A-A261-5E32D8BFE7CE}" type="presOf" srcId="{6400560F-03A7-2D43-83A5-8A85DCDA4B5B}" destId="{CEDB51B8-907E-0744-B1ED-6BF9EC995E85}" srcOrd="0" destOrd="1" presId="urn:microsoft.com/office/officeart/2005/8/layout/chevron2"/>
    <dgm:cxn modelId="{21D62817-BE4A-2D49-BA88-971CDE0716B8}" type="presOf" srcId="{1DA5CE55-70EC-1A47-B93D-045BCE19BFE7}" destId="{AE26AD64-B9B0-854D-A9CF-5E55500C40C5}" srcOrd="0" destOrd="0" presId="urn:microsoft.com/office/officeart/2005/8/layout/chevron2"/>
    <dgm:cxn modelId="{49CB6217-00D4-2549-9741-A0C0D5438FB1}" type="presOf" srcId="{295CAF03-F2B4-C142-AF9E-A2EA2CDBD69E}" destId="{2BC519CB-78F2-0745-92F4-BAF7A8ACEC88}" srcOrd="0" destOrd="1" presId="urn:microsoft.com/office/officeart/2005/8/layout/chevron2"/>
    <dgm:cxn modelId="{693C9717-DEFA-264E-8062-3FC785ED9DF2}" type="presOf" srcId="{4B4F8652-5CF0-0F4B-8383-50602E2B25DF}" destId="{5324B8C8-3AB3-B947-B27F-8F405EFC1935}" srcOrd="0" destOrd="0" presId="urn:microsoft.com/office/officeart/2005/8/layout/chevron2"/>
    <dgm:cxn modelId="{11A80818-4D1B-B446-97B3-5F91A5CBFCE9}" type="presOf" srcId="{6B8C552F-15FB-AB4C-9AA4-BB44F11ADF61}" destId="{56DAABA8-E087-AA49-B12E-9F9403F2D5DE}" srcOrd="0" destOrd="0" presId="urn:microsoft.com/office/officeart/2005/8/layout/chevron2"/>
    <dgm:cxn modelId="{3D5FFF1A-B7C0-4940-BD9E-189EE0BD46B9}" srcId="{27AEA9D6-8EC2-2A45-9779-A3579A718CB5}" destId="{72EAA736-9CC3-2047-B5DA-C7FA607603F1}" srcOrd="3" destOrd="0" parTransId="{4D08917F-5F9E-A748-A895-A093B79862E5}" sibTransId="{630FB0E8-5D95-8E48-98AA-788CECE252DF}"/>
    <dgm:cxn modelId="{3B0E2D1C-A8BE-EC44-9A47-96865625AE48}" srcId="{0126DAF3-A27F-F24D-83B1-0FF9D1D16129}" destId="{DFFB49EC-FA46-A543-8C3E-39F542505FFE}" srcOrd="1" destOrd="0" parTransId="{C307D567-F177-A346-BA96-385E32A30A69}" sibTransId="{26DD86FB-A105-2B48-8E01-0A2896748A41}"/>
    <dgm:cxn modelId="{B714811D-A65A-9A45-BA9C-15493FC0F95A}" srcId="{4B4F8652-5CF0-0F4B-8383-50602E2B25DF}" destId="{1A6B9402-F502-C04A-A47D-06255648A34F}" srcOrd="6" destOrd="0" parTransId="{780CE9A5-F86E-454A-B7EC-9000FEF219A3}" sibTransId="{8921E412-5000-FF48-B7FA-B9CDB64E84C1}"/>
    <dgm:cxn modelId="{5FC4B81F-62D5-EC45-80B3-20BABC2797AE}" srcId="{4B4F8652-5CF0-0F4B-8383-50602E2B25DF}" destId="{95C16C35-A397-4041-9547-E05C0F97C619}" srcOrd="5" destOrd="0" parTransId="{3E5AD05C-8CEC-E741-8E57-B27D956EE063}" sibTransId="{902C2AF8-73CA-1A46-A2FF-1CC09E10F34F}"/>
    <dgm:cxn modelId="{A708DC1F-D726-044E-B02D-1B8E71CF5209}" srcId="{89EA32EC-B9CB-BF4B-BF96-4EB5384A071E}" destId="{E6B740DE-5048-BC4C-8C6A-CB38947E730D}" srcOrd="3" destOrd="0" parTransId="{D82E6869-DB85-3F48-B8DA-2A3E2C7FB1DC}" sibTransId="{63E3A6EA-4B5D-7945-A03B-F7396FC41100}"/>
    <dgm:cxn modelId="{AF5B7124-BDFB-9643-B6C5-68960C07AF64}" srcId="{1DB5069B-6D63-B143-B178-9B5E82496159}" destId="{CCBF2375-5A69-E746-BB1B-A3675B472417}" srcOrd="2" destOrd="0" parTransId="{97E35834-70B0-4E49-8838-1339DE0897CA}" sibTransId="{2B654F0F-3BB1-2545-80BE-74A161DBB56D}"/>
    <dgm:cxn modelId="{49F99E25-A857-C642-B8CD-C2FD42CDE1CA}" srcId="{18EB82C1-AA70-DD48-9C48-FF1BDF2845EF}" destId="{6400560F-03A7-2D43-83A5-8A85DCDA4B5B}" srcOrd="1" destOrd="0" parTransId="{B0232EF1-413A-4F46-A2DF-F004EFB9552B}" sibTransId="{F24DD0E2-4851-7947-86C4-5065CFAE6A32}"/>
    <dgm:cxn modelId="{60642526-CB5F-E841-BCC1-E357211DA7CE}" type="presOf" srcId="{184B5616-EB11-5A4F-A6A2-66B229255563}" destId="{AABB57E1-F783-EF48-80B6-6CDEBCA5274C}" srcOrd="0" destOrd="2" presId="urn:microsoft.com/office/officeart/2005/8/layout/chevron2"/>
    <dgm:cxn modelId="{8CBAF328-1697-6F4E-989A-77BF8CFDEA51}" srcId="{18EB82C1-AA70-DD48-9C48-FF1BDF2845EF}" destId="{3916687E-84A4-BF42-BEC9-4FD0520DEC15}" srcOrd="2" destOrd="0" parTransId="{746E0530-0415-4E4C-AD83-410CF4076790}" sibTransId="{75C514E6-77C5-3C4B-9D93-F43D87C03298}"/>
    <dgm:cxn modelId="{3624C92B-E197-8B4E-BCA6-B1D432A0752D}" type="presOf" srcId="{C855A6A1-21AA-CE4E-8078-5B9466EA9FAA}" destId="{2BC519CB-78F2-0745-92F4-BAF7A8ACEC88}" srcOrd="0" destOrd="0" presId="urn:microsoft.com/office/officeart/2005/8/layout/chevron2"/>
    <dgm:cxn modelId="{FC6F092F-4310-2B40-96C9-C53A0A00F5E7}" type="presOf" srcId="{EAFE5B76-3F7A-5249-9B83-95272C89565D}" destId="{56DAABA8-E087-AA49-B12E-9F9403F2D5DE}" srcOrd="0" destOrd="6" presId="urn:microsoft.com/office/officeart/2005/8/layout/chevron2"/>
    <dgm:cxn modelId="{0431DB34-200E-A144-BDA7-45545C5FCCD3}" srcId="{27AEA9D6-8EC2-2A45-9779-A3579A718CB5}" destId="{986B133C-9132-C34C-B85B-3045C7712F81}" srcOrd="0" destOrd="0" parTransId="{4378BA45-FD85-1646-BDFF-4E0147236F0B}" sibTransId="{C99C0BBC-31CD-9247-900C-BB4E27BB6F9A}"/>
    <dgm:cxn modelId="{30D5843B-804D-8047-A14A-F71EE3EC4989}" type="presOf" srcId="{5781A848-17E0-BB41-A821-3440168B0897}" destId="{1DCFD8C5-400E-9647-8A13-D1BCFC1ED085}" srcOrd="0" destOrd="0" presId="urn:microsoft.com/office/officeart/2005/8/layout/chevron2"/>
    <dgm:cxn modelId="{3E98E33D-4D12-2E4F-9749-1167065C041A}" type="presOf" srcId="{B5E9DF75-224E-3D40-ACAE-18315698B2F3}" destId="{AABB57E1-F783-EF48-80B6-6CDEBCA5274C}" srcOrd="0" destOrd="5" presId="urn:microsoft.com/office/officeart/2005/8/layout/chevron2"/>
    <dgm:cxn modelId="{25B18F5B-A6AE-2C46-AD17-13FBFC0C566D}" type="presOf" srcId="{7BFB4DA7-01FD-B34D-AE91-9BB335F24B3E}" destId="{47D730CC-0E50-1F47-8E08-251883FB1ACB}" srcOrd="0" destOrd="1" presId="urn:microsoft.com/office/officeart/2005/8/layout/chevron2"/>
    <dgm:cxn modelId="{8AC36A5C-1432-BC4D-B17E-13B283A556D1}" type="presOf" srcId="{72EAA736-9CC3-2047-B5DA-C7FA607603F1}" destId="{AABB57E1-F783-EF48-80B6-6CDEBCA5274C}" srcOrd="0" destOrd="3" presId="urn:microsoft.com/office/officeart/2005/8/layout/chevron2"/>
    <dgm:cxn modelId="{C0B3E65C-DBCD-8E4D-8D72-46EEC26B82BC}" type="presOf" srcId="{689E109C-CC51-FD40-AF55-8FFBE9289983}" destId="{CB037466-DB9B-214E-B405-64CF3CBE2693}" srcOrd="0" destOrd="0" presId="urn:microsoft.com/office/officeart/2005/8/layout/chevron2"/>
    <dgm:cxn modelId="{82007060-0CEA-4541-9F07-F423FAE88C36}" srcId="{9CFB3C6C-6540-474F-ADA4-68715DAFE1BC}" destId="{FDF6A73F-7101-D746-812F-12B2238DEA3C}" srcOrd="0" destOrd="0" parTransId="{B14294A2-8ED4-9141-8389-317AD0EF61B9}" sibTransId="{80469395-D718-AC4D-977F-0023DC5E7A26}"/>
    <dgm:cxn modelId="{33ADEE61-E8E1-D742-A956-BABCB26850D0}" srcId="{1A6B9402-F502-C04A-A47D-06255648A34F}" destId="{C855A6A1-21AA-CE4E-8078-5B9466EA9FAA}" srcOrd="0" destOrd="0" parTransId="{380EF290-C2CB-D04B-AF1E-417D14A0CF4D}" sibTransId="{9C0BE885-C3F3-6846-B2EF-B63B29E2B919}"/>
    <dgm:cxn modelId="{61AA1D42-535A-F444-99A8-B9DA8F94F13A}" srcId="{1DA5CE55-70EC-1A47-B93D-045BCE19BFE7}" destId="{A1B0A609-53FF-CE49-A665-EB8030C36F40}" srcOrd="3" destOrd="0" parTransId="{BCC0A2A8-E8DE-A34E-869E-4F3A0978DD2F}" sibTransId="{F74CE7F1-E838-B744-AE72-A040654DC5FD}"/>
    <dgm:cxn modelId="{826E8B44-2EEC-1043-A88C-2AC2D4BFE759}" srcId="{0126DAF3-A27F-F24D-83B1-0FF9D1D16129}" destId="{3B3854C1-B333-F441-889D-A09B9F727FE1}" srcOrd="4" destOrd="0" parTransId="{C06690B3-57A6-1B44-B5DC-889B09E49FE0}" sibTransId="{8042C064-471F-F14A-A221-047F57C53D75}"/>
    <dgm:cxn modelId="{5046E244-1BAA-3B4F-B6E1-BFC33CC9D4F1}" srcId="{27AEA9D6-8EC2-2A45-9779-A3579A718CB5}" destId="{D1400F1A-3CFA-DF43-B28A-E55FDEA5412C}" srcOrd="4" destOrd="0" parTransId="{F647B26E-29FD-7F44-8527-E13A2A27D1B9}" sibTransId="{79B3E55F-3B5D-0741-977C-CF8B18914563}"/>
    <dgm:cxn modelId="{656BE864-AE4B-1E40-8177-A564723F5D11}" type="presOf" srcId="{09367ECF-AD38-FE41-9B81-E2604F44D1E1}" destId="{EBE3FB98-EDEF-FC44-ACE9-B71AE7397985}" srcOrd="0" destOrd="4" presId="urn:microsoft.com/office/officeart/2005/8/layout/chevron2"/>
    <dgm:cxn modelId="{75BD6A65-369F-9A47-95CA-C60FEFE25DEF}" srcId="{27AEA9D6-8EC2-2A45-9779-A3579A718CB5}" destId="{184B5616-EB11-5A4F-A6A2-66B229255563}" srcOrd="2" destOrd="0" parTransId="{98AEDA70-9453-0B4E-BCC6-C0B9151741E2}" sibTransId="{DC4A29D1-D2EB-CE4D-8917-47C1A90566F1}"/>
    <dgm:cxn modelId="{2B448745-CC81-6C4B-A6C9-2B217D21F52F}" type="presOf" srcId="{A3C1DB92-147B-0746-8746-1E702DE250E3}" destId="{1DCFD8C5-400E-9647-8A13-D1BCFC1ED085}" srcOrd="0" destOrd="1" presId="urn:microsoft.com/office/officeart/2005/8/layout/chevron2"/>
    <dgm:cxn modelId="{BEFD4746-B142-8C4A-AA16-4BDE879820E6}" type="presOf" srcId="{FDF6A73F-7101-D746-812F-12B2238DEA3C}" destId="{B59681DB-E2B4-1742-BED4-3722D9A6E68F}" srcOrd="0" destOrd="0" presId="urn:microsoft.com/office/officeart/2005/8/layout/chevron2"/>
    <dgm:cxn modelId="{0B4D8F47-D3B1-1342-A6B7-0427ACE88006}" srcId="{4B4F8652-5CF0-0F4B-8383-50602E2B25DF}" destId="{27AEA9D6-8EC2-2A45-9779-A3579A718CB5}" srcOrd="1" destOrd="0" parTransId="{6D5A2A7F-527B-004B-9598-2929881C4C27}" sibTransId="{18E4DE29-5F78-6547-9AB6-76DFC6B49AC5}"/>
    <dgm:cxn modelId="{1EADAE68-0B4F-244B-9C40-F62025BDD7E9}" type="presOf" srcId="{E6B740DE-5048-BC4C-8C6A-CB38947E730D}" destId="{1DCFD8C5-400E-9647-8A13-D1BCFC1ED085}" srcOrd="0" destOrd="3" presId="urn:microsoft.com/office/officeart/2005/8/layout/chevron2"/>
    <dgm:cxn modelId="{D8E2AD4A-A3B1-5041-8178-30C4B8D8F9A9}" srcId="{0126DAF3-A27F-F24D-83B1-0FF9D1D16129}" destId="{A7C76286-FC6A-E647-AB0A-806FEE2F1BB4}" srcOrd="5" destOrd="0" parTransId="{5CF8495C-8F28-244B-989D-932695010AB9}" sibTransId="{2DC3D7C0-63C3-6644-81B8-517F85970D61}"/>
    <dgm:cxn modelId="{398BE44A-671D-7B4C-B38A-394526953DBC}" type="presOf" srcId="{01D0985F-558C-BB4E-A7A5-1EF5353AF0FB}" destId="{B59681DB-E2B4-1742-BED4-3722D9A6E68F}" srcOrd="0" destOrd="2" presId="urn:microsoft.com/office/officeart/2005/8/layout/chevron2"/>
    <dgm:cxn modelId="{6236B06B-6061-AC42-B2ED-1CF7911F2563}" type="presOf" srcId="{CCBF2375-5A69-E746-BB1B-A3675B472417}" destId="{EBE3FB98-EDEF-FC44-ACE9-B71AE7397985}" srcOrd="0" destOrd="2" presId="urn:microsoft.com/office/officeart/2005/8/layout/chevron2"/>
    <dgm:cxn modelId="{0C43094D-1FB7-9243-9185-F134C44BEDE0}" type="presOf" srcId="{CCB8846B-02D7-D947-BC52-E980F4015246}" destId="{47D730CC-0E50-1F47-8E08-251883FB1ACB}" srcOrd="0" destOrd="0" presId="urn:microsoft.com/office/officeart/2005/8/layout/chevron2"/>
    <dgm:cxn modelId="{4990184E-D11F-EB4E-AB7A-D250ED8AFE7D}" srcId="{95C16C35-A397-4041-9547-E05C0F97C619}" destId="{7BFB4DA7-01FD-B34D-AE91-9BB335F24B3E}" srcOrd="1" destOrd="0" parTransId="{06EA7AA3-5481-1E46-82C4-08C04AA3EE6E}" sibTransId="{A6CAD3DF-9095-F047-97D6-7E4B93FBA507}"/>
    <dgm:cxn modelId="{EE64256E-88F4-4A45-AF0E-FCB20C28B25A}" srcId="{9CFB3C6C-6540-474F-ADA4-68715DAFE1BC}" destId="{01D0985F-558C-BB4E-A7A5-1EF5353AF0FB}" srcOrd="2" destOrd="0" parTransId="{C2794D97-4C9A-264F-A977-E30826AD69B0}" sibTransId="{E13A99B6-480A-984C-904F-69B831828C1A}"/>
    <dgm:cxn modelId="{6B111170-D5F4-A64F-B0AB-C4F67F160185}" srcId="{1DA5CE55-70EC-1A47-B93D-045BCE19BFE7}" destId="{9A4026A3-CEB7-B641-8F4F-2D093C6E474C}" srcOrd="4" destOrd="0" parTransId="{015C28BB-8651-5C4D-9AE9-415E1014AF87}" sibTransId="{BEFDD3F5-6193-4B4F-B2A0-4DA42F727ED3}"/>
    <dgm:cxn modelId="{7E4B4B71-A038-F341-85A9-F4F89FD482FA}" srcId="{89EA32EC-B9CB-BF4B-BF96-4EB5384A071E}" destId="{5781A848-17E0-BB41-A821-3440168B0897}" srcOrd="0" destOrd="0" parTransId="{CAEA7878-9D61-FB4E-883D-46BB5F964D8E}" sibTransId="{117C2FFC-B6AC-B042-970E-A7E27D0D9B17}"/>
    <dgm:cxn modelId="{CF0DE152-4A70-6D46-85EE-FA37FFF88E35}" srcId="{95C16C35-A397-4041-9547-E05C0F97C619}" destId="{97D02912-1A0E-B94E-BDF9-BC8EF8D1FB8A}" srcOrd="2" destOrd="0" parTransId="{78D29AED-54DB-DB4E-80E7-9DB87B0E5189}" sibTransId="{18BF031D-3D89-664C-9D03-8E3F51A506FD}"/>
    <dgm:cxn modelId="{C7DFEC52-A873-0E4C-9DF0-879774D198C8}" srcId="{89EA32EC-B9CB-BF4B-BF96-4EB5384A071E}" destId="{A3C1DB92-147B-0746-8746-1E702DE250E3}" srcOrd="1" destOrd="0" parTransId="{7821B42F-34AB-5542-8616-47B41275CDF7}" sibTransId="{AA526057-1B44-0B4E-AB4D-C83952EFE626}"/>
    <dgm:cxn modelId="{67519A73-15DC-9F4F-B397-3430FA7A3999}" srcId="{0126DAF3-A27F-F24D-83B1-0FF9D1D16129}" destId="{25B5FD0A-AD60-624D-BE3E-2E0098D14DA1}" srcOrd="2" destOrd="0" parTransId="{9BA163BC-E999-4F43-B717-2C616ADF8E9E}" sibTransId="{D54688EF-72DE-3C48-88A3-670436AB1287}"/>
    <dgm:cxn modelId="{54EB9776-7423-554E-AA2B-5A80FC3F575B}" srcId="{1DA5CE55-70EC-1A47-B93D-045BCE19BFE7}" destId="{801B1AC8-09E2-2144-B1B6-5D57DA62341B}" srcOrd="2" destOrd="0" parTransId="{364F772B-5B41-BA43-BDDB-A84A0D6F50EC}" sibTransId="{5A838475-7AB9-A241-B738-65FD2C610507}"/>
    <dgm:cxn modelId="{45005257-73CA-104F-B97F-B7D359FCA7EF}" type="presOf" srcId="{3B3854C1-B333-F441-889D-A09B9F727FE1}" destId="{56DAABA8-E087-AA49-B12E-9F9403F2D5DE}" srcOrd="0" destOrd="4" presId="urn:microsoft.com/office/officeart/2005/8/layout/chevron2"/>
    <dgm:cxn modelId="{E1E0FB78-48C4-F34B-9F6D-D2F3D1A7AEAE}" srcId="{1DA5CE55-70EC-1A47-B93D-045BCE19BFE7}" destId="{7EA3C5D1-B43F-2F46-8B48-99E8AA081B5D}" srcOrd="5" destOrd="0" parTransId="{7CE98579-0D02-F645-9EC0-33DCB2B28376}" sibTransId="{EF03DAFA-074B-3C46-AE99-501B4F088CFA}"/>
    <dgm:cxn modelId="{2DF5FE59-F651-4641-AF04-3A1BE4DA7439}" type="presOf" srcId="{1A6B9402-F502-C04A-A47D-06255648A34F}" destId="{FD1B6087-CE79-7A44-8659-6E02FDB63995}" srcOrd="0" destOrd="0" presId="urn:microsoft.com/office/officeart/2005/8/layout/chevron2"/>
    <dgm:cxn modelId="{743E5A7A-DA31-6147-8AC4-F79176B9E7CB}" type="presOf" srcId="{0F27CA34-7D56-7D43-BFE3-09B7244F0900}" destId="{CEDB51B8-907E-0744-B1ED-6BF9EC995E85}" srcOrd="0" destOrd="3" presId="urn:microsoft.com/office/officeart/2005/8/layout/chevron2"/>
    <dgm:cxn modelId="{ADFE8D5A-5301-DD44-B9EB-781FADF87288}" srcId="{0126DAF3-A27F-F24D-83B1-0FF9D1D16129}" destId="{6B8C552F-15FB-AB4C-9AA4-BB44F11ADF61}" srcOrd="0" destOrd="0" parTransId="{5B4B07E5-7779-9F4A-B917-C6B505FD7158}" sibTransId="{CE9F4332-D744-C94D-B491-2939A8E067B1}"/>
    <dgm:cxn modelId="{7C23AC7A-781F-B64F-B575-79D993E9C7C9}" srcId="{1DB5069B-6D63-B143-B178-9B5E82496159}" destId="{7C735DA7-9FD4-6D4D-9CB5-D606EC2F4331}" srcOrd="0" destOrd="0" parTransId="{DCB366C2-CE34-2047-BD0B-B5F889BC169F}" sibTransId="{7E888966-0C91-0B45-B9D3-CAD59BBE155C}"/>
    <dgm:cxn modelId="{C110BA5A-6C19-C749-87C4-0CC18940E9BD}" type="presOf" srcId="{1021A476-B6B8-184E-A8DC-0FE5C6F57871}" destId="{AABB57E1-F783-EF48-80B6-6CDEBCA5274C}" srcOrd="0" destOrd="1" presId="urn:microsoft.com/office/officeart/2005/8/layout/chevron2"/>
    <dgm:cxn modelId="{4E46DF5A-A029-344A-9C42-EC61D9A30794}" srcId="{1DA5CE55-70EC-1A47-B93D-045BCE19BFE7}" destId="{1DD5CF74-5E9B-AD45-A252-B5D334FBBF49}" srcOrd="1" destOrd="0" parTransId="{02891F31-08A8-1346-86DF-4DEB37472355}" sibTransId="{677B051F-E1E4-1541-8D01-D50BC9CC32E3}"/>
    <dgm:cxn modelId="{0B0A797B-EC19-8A41-A479-0F298509D0FE}" srcId="{1DB5069B-6D63-B143-B178-9B5E82496159}" destId="{46EC6F1C-5322-9744-950E-DA6A7FEE1F4C}" srcOrd="1" destOrd="0" parTransId="{E1B42398-485E-AF43-93F5-BD2F0F3CFD7E}" sibTransId="{1EB1DDFB-3058-4945-B095-5FB034DD73D5}"/>
    <dgm:cxn modelId="{FC1E3980-578E-2D46-814E-318E0163D8F0}" type="presOf" srcId="{698DC451-894A-9944-9CD4-8934417AEE44}" destId="{CEDB51B8-907E-0744-B1ED-6BF9EC995E85}" srcOrd="0" destOrd="0" presId="urn:microsoft.com/office/officeart/2005/8/layout/chevron2"/>
    <dgm:cxn modelId="{4CE2B585-E5D1-6D4F-8673-FEFC89D7CD3C}" type="presOf" srcId="{94280EC4-FE38-9447-B3FC-3EFF644552D0}" destId="{EBE3FB98-EDEF-FC44-ACE9-B71AE7397985}" srcOrd="0" destOrd="3" presId="urn:microsoft.com/office/officeart/2005/8/layout/chevron2"/>
    <dgm:cxn modelId="{20750C86-5E19-6345-BF89-85B69A26A74C}" type="presOf" srcId="{9CFB3C6C-6540-474F-ADA4-68715DAFE1BC}" destId="{246CA9D3-5E69-B14C-B132-B87DE6929089}" srcOrd="0" destOrd="0" presId="urn:microsoft.com/office/officeart/2005/8/layout/chevron2"/>
    <dgm:cxn modelId="{94FD038A-88B9-4948-8491-629154B07CA7}" srcId="{0126DAF3-A27F-F24D-83B1-0FF9D1D16129}" destId="{EAFE5B76-3F7A-5249-9B83-95272C89565D}" srcOrd="6" destOrd="0" parTransId="{FA323FF4-C24A-C148-932F-42455D8E9003}" sibTransId="{09C5BCAA-B8BA-4842-BDC4-E4B0A40421BD}"/>
    <dgm:cxn modelId="{854B118E-CB79-4941-BB75-3D628E90B875}" type="presOf" srcId="{89EA32EC-B9CB-BF4B-BF96-4EB5384A071E}" destId="{E10E36D1-F678-504A-B068-5EE0224872F2}" srcOrd="0" destOrd="0" presId="urn:microsoft.com/office/officeart/2005/8/layout/chevron2"/>
    <dgm:cxn modelId="{30723A8F-5562-694D-AF78-C126DE479BEA}" type="presOf" srcId="{D1400F1A-3CFA-DF43-B28A-E55FDEA5412C}" destId="{AABB57E1-F783-EF48-80B6-6CDEBCA5274C}" srcOrd="0" destOrd="4" presId="urn:microsoft.com/office/officeart/2005/8/layout/chevron2"/>
    <dgm:cxn modelId="{DBCCE793-8B4F-014C-ACC1-C1BFD9B0C01F}" type="presOf" srcId="{BFC5555E-DC88-EE4A-981F-505135DDC1B8}" destId="{47D730CC-0E50-1F47-8E08-251883FB1ACB}" srcOrd="0" destOrd="3" presId="urn:microsoft.com/office/officeart/2005/8/layout/chevron2"/>
    <dgm:cxn modelId="{3BE1B296-6F77-C142-A33B-D298533C0390}" type="presOf" srcId="{25B5FD0A-AD60-624D-BE3E-2E0098D14DA1}" destId="{56DAABA8-E087-AA49-B12E-9F9403F2D5DE}" srcOrd="0" destOrd="2" presId="urn:microsoft.com/office/officeart/2005/8/layout/chevron2"/>
    <dgm:cxn modelId="{DF14C798-6217-2243-8175-05B9CBB236E8}" type="presOf" srcId="{46EC6F1C-5322-9744-950E-DA6A7FEE1F4C}" destId="{EBE3FB98-EDEF-FC44-ACE9-B71AE7397985}" srcOrd="0" destOrd="1" presId="urn:microsoft.com/office/officeart/2005/8/layout/chevron2"/>
    <dgm:cxn modelId="{F8258799-9CEC-AE4F-9051-F1D4BF10314A}" type="presOf" srcId="{27AEA9D6-8EC2-2A45-9779-A3579A718CB5}" destId="{5C2ACD6C-3C3C-DC49-8A74-F6E4FEB3063D}" srcOrd="0" destOrd="0" presId="urn:microsoft.com/office/officeart/2005/8/layout/chevron2"/>
    <dgm:cxn modelId="{A471AA9B-11C0-DB4F-BB7B-794080977691}" type="presOf" srcId="{9A4026A3-CEB7-B641-8F4F-2D093C6E474C}" destId="{CB037466-DB9B-214E-B405-64CF3CBE2693}" srcOrd="0" destOrd="4" presId="urn:microsoft.com/office/officeart/2005/8/layout/chevron2"/>
    <dgm:cxn modelId="{FD9AE29F-1E5F-484E-A3BD-F44099252297}" srcId="{4B4F8652-5CF0-0F4B-8383-50602E2B25DF}" destId="{1DB5069B-6D63-B143-B178-9B5E82496159}" srcOrd="4" destOrd="0" parTransId="{6BB94ACA-6200-0246-8A86-C4AC88C9E15A}" sibTransId="{617A4C1E-35ED-DA47-B7A8-085859E63940}"/>
    <dgm:cxn modelId="{75C185A1-7466-1343-9F5D-4154872654E3}" srcId="{1DB5069B-6D63-B143-B178-9B5E82496159}" destId="{94280EC4-FE38-9447-B3FC-3EFF644552D0}" srcOrd="3" destOrd="0" parTransId="{394A0FBA-889F-674B-9EBB-47B87C49C597}" sibTransId="{D3F96560-92BE-B143-AB96-65DB5FC1553E}"/>
    <dgm:cxn modelId="{3F6231A2-FADA-A24A-891D-B492DC1A7A7A}" srcId="{18EB82C1-AA70-DD48-9C48-FF1BDF2845EF}" destId="{698DC451-894A-9944-9CD4-8934417AEE44}" srcOrd="0" destOrd="0" parTransId="{B0757589-7D67-2F4D-AC8D-D2F9568229E4}" sibTransId="{F0B0DBE8-0C2C-644E-BE3D-260E30830D8E}"/>
    <dgm:cxn modelId="{FC6F1DA4-F086-7541-97D1-403145743222}" type="presOf" srcId="{7C735DA7-9FD4-6D4D-9CB5-D606EC2F4331}" destId="{EBE3FB98-EDEF-FC44-ACE9-B71AE7397985}" srcOrd="0" destOrd="0" presId="urn:microsoft.com/office/officeart/2005/8/layout/chevron2"/>
    <dgm:cxn modelId="{E61A78A4-6802-C641-B866-7A65410F31DE}" srcId="{1DA5CE55-70EC-1A47-B93D-045BCE19BFE7}" destId="{689E109C-CC51-FD40-AF55-8FFBE9289983}" srcOrd="0" destOrd="0" parTransId="{1C8FF510-76B1-2F4E-B2BA-3C0A46C0E85D}" sibTransId="{468E4725-C94A-784F-AB1E-8453BCB1E9C8}"/>
    <dgm:cxn modelId="{1033CCA9-A024-C248-9C33-31CFF0E78721}" type="presOf" srcId="{1DD5CF74-5E9B-AD45-A252-B5D334FBBF49}" destId="{CB037466-DB9B-214E-B405-64CF3CBE2693}" srcOrd="0" destOrd="1" presId="urn:microsoft.com/office/officeart/2005/8/layout/chevron2"/>
    <dgm:cxn modelId="{6C38FBAA-AD1F-564F-BE1F-A7E6B01F7248}" type="presOf" srcId="{A12E6E0F-6A08-F445-B6EF-679E2DE929CE}" destId="{EBE3FB98-EDEF-FC44-ACE9-B71AE7397985}" srcOrd="0" destOrd="5" presId="urn:microsoft.com/office/officeart/2005/8/layout/chevron2"/>
    <dgm:cxn modelId="{C28641B4-4F18-D44B-BA05-ACA03067AB5D}" srcId="{95C16C35-A397-4041-9547-E05C0F97C619}" destId="{CCB8846B-02D7-D947-BC52-E980F4015246}" srcOrd="0" destOrd="0" parTransId="{311BAE08-CE4D-264C-926A-4C1FB7C849B1}" sibTransId="{F771C9AE-28FC-9B4F-A5A2-324B2F60DA5A}"/>
    <dgm:cxn modelId="{8A1282BA-1CEE-6C4E-A862-6878D40B483D}" type="presOf" srcId="{7EA3C5D1-B43F-2F46-8B48-99E8AA081B5D}" destId="{CB037466-DB9B-214E-B405-64CF3CBE2693}" srcOrd="0" destOrd="5" presId="urn:microsoft.com/office/officeart/2005/8/layout/chevron2"/>
    <dgm:cxn modelId="{5EA812BD-4200-8441-9BB4-0285E61BAEDC}" srcId="{1A6B9402-F502-C04A-A47D-06255648A34F}" destId="{295CAF03-F2B4-C142-AF9E-A2EA2CDBD69E}" srcOrd="1" destOrd="0" parTransId="{809C2184-7575-C342-B55D-8DBD5CE5598D}" sibTransId="{15CF0107-41F3-9740-BA6C-652A9F952F97}"/>
    <dgm:cxn modelId="{F62A8EBF-804C-A346-8C26-4ADBEC1E6F12}" type="presOf" srcId="{3916687E-84A4-BF42-BEC9-4FD0520DEC15}" destId="{CEDB51B8-907E-0744-B1ED-6BF9EC995E85}" srcOrd="0" destOrd="2" presId="urn:microsoft.com/office/officeart/2005/8/layout/chevron2"/>
    <dgm:cxn modelId="{AA86EDC2-DA47-DC47-8E1B-FE6B8AB56556}" type="presOf" srcId="{97D02912-1A0E-B94E-BDF9-BC8EF8D1FB8A}" destId="{47D730CC-0E50-1F47-8E08-251883FB1ACB}" srcOrd="0" destOrd="2" presId="urn:microsoft.com/office/officeart/2005/8/layout/chevron2"/>
    <dgm:cxn modelId="{9580EFC2-0807-2A43-AD25-CC3E6085F04D}" srcId="{89EA32EC-B9CB-BF4B-BF96-4EB5384A071E}" destId="{FFB242D9-14E1-4C46-8160-428DB01D3BC6}" srcOrd="2" destOrd="0" parTransId="{EF1E8CD7-2DFA-764F-AA37-CAD3E2766997}" sibTransId="{41A521E1-92F7-0D49-9B3D-B6D58F2529F0}"/>
    <dgm:cxn modelId="{5D5E21C3-A91C-2F43-B6C9-F7AC6E97079B}" srcId="{4B4F8652-5CF0-0F4B-8383-50602E2B25DF}" destId="{0126DAF3-A27F-F24D-83B1-0FF9D1D16129}" srcOrd="0" destOrd="0" parTransId="{03A1BA8B-0C54-C04D-99C0-55C344378F10}" sibTransId="{7E6813C5-98F2-5A42-8D73-F3C4942A2E63}"/>
    <dgm:cxn modelId="{2F766DC4-10F3-164E-AA0B-3FEE62A68103}" type="presOf" srcId="{801B1AC8-09E2-2144-B1B6-5D57DA62341B}" destId="{CB037466-DB9B-214E-B405-64CF3CBE2693}" srcOrd="0" destOrd="2" presId="urn:microsoft.com/office/officeart/2005/8/layout/chevron2"/>
    <dgm:cxn modelId="{B6A3CCC4-1C12-7F47-B2E7-42C2098AD05E}" srcId="{1DB5069B-6D63-B143-B178-9B5E82496159}" destId="{09367ECF-AD38-FE41-9B81-E2604F44D1E1}" srcOrd="4" destOrd="0" parTransId="{E592D003-9B5A-494F-94C1-C548466FF488}" sibTransId="{2F39603D-3953-0049-BD88-4503FC3BE722}"/>
    <dgm:cxn modelId="{DB6CFAC6-3619-D149-B920-5E73E5D6B12E}" srcId="{95C16C35-A397-4041-9547-E05C0F97C619}" destId="{BFC5555E-DC88-EE4A-981F-505135DDC1B8}" srcOrd="3" destOrd="0" parTransId="{C39935C4-2914-E344-81F8-168B1E02FFFD}" sibTransId="{F61EA53E-192D-C34F-AE60-E5821DFDE1C1}"/>
    <dgm:cxn modelId="{BE0876CF-C63D-F646-872F-9D2710D0DDF8}" srcId="{18EB82C1-AA70-DD48-9C48-FF1BDF2845EF}" destId="{0F27CA34-7D56-7D43-BFE3-09B7244F0900}" srcOrd="3" destOrd="0" parTransId="{702B3B0E-B079-E54B-AFA3-24AF2F06D1B5}" sibTransId="{3E2C3A32-8371-294D-BED6-E95FBC01756C}"/>
    <dgm:cxn modelId="{8D9091D1-7AB2-2D42-98F1-209F747EF9EA}" type="presOf" srcId="{01BE80D7-5246-2E4B-AFFB-763CB1803B9A}" destId="{56DAABA8-E087-AA49-B12E-9F9403F2D5DE}" srcOrd="0" destOrd="3" presId="urn:microsoft.com/office/officeart/2005/8/layout/chevron2"/>
    <dgm:cxn modelId="{6555F5D8-4DB7-114C-B2FF-0427C8182DBD}" type="presOf" srcId="{794FCF2A-93B4-C448-AF72-1488C63A9732}" destId="{B59681DB-E2B4-1742-BED4-3722D9A6E68F}" srcOrd="0" destOrd="1" presId="urn:microsoft.com/office/officeart/2005/8/layout/chevron2"/>
    <dgm:cxn modelId="{90C95FDA-F224-0445-A1E0-69FBC5417ED4}" type="presOf" srcId="{18EB82C1-AA70-DD48-9C48-FF1BDF2845EF}" destId="{FA288F36-ACA3-054E-B4AE-86D9565FB3BC}" srcOrd="0" destOrd="0" presId="urn:microsoft.com/office/officeart/2005/8/layout/chevron2"/>
    <dgm:cxn modelId="{06B11DDE-D776-E34B-97DE-2E03888310BE}" srcId="{4B4F8652-5CF0-0F4B-8383-50602E2B25DF}" destId="{1DA5CE55-70EC-1A47-B93D-045BCE19BFE7}" srcOrd="7" destOrd="0" parTransId="{31D5706B-981C-9947-8FC5-24FCC2BB59A0}" sibTransId="{94D5673A-363B-354B-8DAF-9F10F7705713}"/>
    <dgm:cxn modelId="{CBCC3EDE-87B2-C047-80C2-9867175A7A00}" type="presOf" srcId="{DFFB49EC-FA46-A543-8C3E-39F542505FFE}" destId="{56DAABA8-E087-AA49-B12E-9F9403F2D5DE}" srcOrd="0" destOrd="1" presId="urn:microsoft.com/office/officeart/2005/8/layout/chevron2"/>
    <dgm:cxn modelId="{EB22D5E8-069F-5E4D-BFC3-00D386DC024C}" srcId="{4B4F8652-5CF0-0F4B-8383-50602E2B25DF}" destId="{9CFB3C6C-6540-474F-ADA4-68715DAFE1BC}" srcOrd="2" destOrd="0" parTransId="{F568F2D0-7A81-C54A-859E-3C5A9A6B9FC5}" sibTransId="{B9EED02F-FC62-2744-9ACA-A42747C86F51}"/>
    <dgm:cxn modelId="{006D9FEA-401D-6E44-A99F-A38F24E802F5}" type="presOf" srcId="{95C16C35-A397-4041-9547-E05C0F97C619}" destId="{C6503216-42C0-1343-B325-85EF14199D8B}" srcOrd="0" destOrd="0" presId="urn:microsoft.com/office/officeart/2005/8/layout/chevron2"/>
    <dgm:cxn modelId="{CD12C4EF-848C-5447-9B64-A9E60A822500}" type="presOf" srcId="{0126DAF3-A27F-F24D-83B1-0FF9D1D16129}" destId="{BB5A0C74-F675-B04E-AF2D-32B2F56D8DF1}" srcOrd="0" destOrd="0" presId="urn:microsoft.com/office/officeart/2005/8/layout/chevron2"/>
    <dgm:cxn modelId="{2913EAF0-DBA7-DA4B-85CE-0640EE1CBBE7}" type="presOf" srcId="{FFB242D9-14E1-4C46-8160-428DB01D3BC6}" destId="{1DCFD8C5-400E-9647-8A13-D1BCFC1ED085}" srcOrd="0" destOrd="2" presId="urn:microsoft.com/office/officeart/2005/8/layout/chevron2"/>
    <dgm:cxn modelId="{458A33F4-8AE5-2F4A-BA10-9D35BA08C2A3}" srcId="{4B4F8652-5CF0-0F4B-8383-50602E2B25DF}" destId="{89EA32EC-B9CB-BF4B-BF96-4EB5384A071E}" srcOrd="8" destOrd="0" parTransId="{4B67D093-8180-5343-B0A7-E0830E00E079}" sibTransId="{5E01A2B1-4400-C742-8E6D-A2C6D8D9489A}"/>
    <dgm:cxn modelId="{50C9C6F5-B1E2-8143-A8B8-BE2E962F4719}" srcId="{27AEA9D6-8EC2-2A45-9779-A3579A718CB5}" destId="{1021A476-B6B8-184E-A8DC-0FE5C6F57871}" srcOrd="1" destOrd="0" parTransId="{85608DEA-E21E-604C-A1FA-DDB6E4E1259C}" sibTransId="{F7414F6E-F5E7-CB49-9A2B-ACF2C237C929}"/>
    <dgm:cxn modelId="{3CC885F6-AAC9-374E-B4BC-823E3EF7E976}" srcId="{1DB5069B-6D63-B143-B178-9B5E82496159}" destId="{A12E6E0F-6A08-F445-B6EF-679E2DE929CE}" srcOrd="5" destOrd="0" parTransId="{FD45FAE4-519E-1A47-BD9A-37F17956F2CC}" sibTransId="{A8F839F0-6778-1347-B05F-C45265173BEF}"/>
    <dgm:cxn modelId="{F62F57FA-B7F5-3344-BCB9-804D8D90E1FF}" type="presOf" srcId="{A1B0A609-53FF-CE49-A665-EB8030C36F40}" destId="{CB037466-DB9B-214E-B405-64CF3CBE2693}" srcOrd="0" destOrd="3" presId="urn:microsoft.com/office/officeart/2005/8/layout/chevron2"/>
    <dgm:cxn modelId="{A892A2FC-382D-3641-894C-AEFD036AF5B6}" srcId="{27AEA9D6-8EC2-2A45-9779-A3579A718CB5}" destId="{B5E9DF75-224E-3D40-ACAE-18315698B2F3}" srcOrd="5" destOrd="0" parTransId="{DBC3B251-2E6B-AC48-811F-299488766CD9}" sibTransId="{8169C955-CEE9-794B-AE0E-60D7577C63E8}"/>
    <dgm:cxn modelId="{CE7769FE-8116-CF4B-AC42-6265586AF9C5}" srcId="{4B4F8652-5CF0-0F4B-8383-50602E2B25DF}" destId="{18EB82C1-AA70-DD48-9C48-FF1BDF2845EF}" srcOrd="3" destOrd="0" parTransId="{9D3CBB51-76E6-1C43-9E40-15850438AA2C}" sibTransId="{EE2DA394-5BE7-D04F-B56C-9459FDFA045B}"/>
    <dgm:cxn modelId="{974106D1-C34B-7643-8D94-D67257B0D3D0}" type="presParOf" srcId="{5324B8C8-3AB3-B947-B27F-8F405EFC1935}" destId="{BFAB27E7-02A7-DA44-94A8-314AC87B16AD}" srcOrd="0" destOrd="0" presId="urn:microsoft.com/office/officeart/2005/8/layout/chevron2"/>
    <dgm:cxn modelId="{FFAE7A7F-C04A-E94C-9F74-81A5BCABFAA2}" type="presParOf" srcId="{BFAB27E7-02A7-DA44-94A8-314AC87B16AD}" destId="{BB5A0C74-F675-B04E-AF2D-32B2F56D8DF1}" srcOrd="0" destOrd="0" presId="urn:microsoft.com/office/officeart/2005/8/layout/chevron2"/>
    <dgm:cxn modelId="{5696FE37-E5E0-B044-AE6F-C73E64515A5B}" type="presParOf" srcId="{BFAB27E7-02A7-DA44-94A8-314AC87B16AD}" destId="{56DAABA8-E087-AA49-B12E-9F9403F2D5DE}" srcOrd="1" destOrd="0" presId="urn:microsoft.com/office/officeart/2005/8/layout/chevron2"/>
    <dgm:cxn modelId="{D1C35613-93AF-054F-BACD-BC3B2AFDB987}" type="presParOf" srcId="{5324B8C8-3AB3-B947-B27F-8F405EFC1935}" destId="{C8AB4DD3-8543-DA48-88F4-15DD36B7D901}" srcOrd="1" destOrd="0" presId="urn:microsoft.com/office/officeart/2005/8/layout/chevron2"/>
    <dgm:cxn modelId="{1F7126CD-B3CE-DB4C-A8EC-8BAEBEC9982B}" type="presParOf" srcId="{5324B8C8-3AB3-B947-B27F-8F405EFC1935}" destId="{5621078B-AEA0-6745-88B1-1597ED8CD47F}" srcOrd="2" destOrd="0" presId="urn:microsoft.com/office/officeart/2005/8/layout/chevron2"/>
    <dgm:cxn modelId="{BA9C1027-824E-F143-B334-E12B821FD2FF}" type="presParOf" srcId="{5621078B-AEA0-6745-88B1-1597ED8CD47F}" destId="{5C2ACD6C-3C3C-DC49-8A74-F6E4FEB3063D}" srcOrd="0" destOrd="0" presId="urn:microsoft.com/office/officeart/2005/8/layout/chevron2"/>
    <dgm:cxn modelId="{5626539A-4820-2647-8EB5-A09C0773F0EE}" type="presParOf" srcId="{5621078B-AEA0-6745-88B1-1597ED8CD47F}" destId="{AABB57E1-F783-EF48-80B6-6CDEBCA5274C}" srcOrd="1" destOrd="0" presId="urn:microsoft.com/office/officeart/2005/8/layout/chevron2"/>
    <dgm:cxn modelId="{C87B564F-6DC2-F340-8931-7DDB70A0CA46}" type="presParOf" srcId="{5324B8C8-3AB3-B947-B27F-8F405EFC1935}" destId="{70AF4445-C13B-4444-A262-C2BCE4F72C1B}" srcOrd="3" destOrd="0" presId="urn:microsoft.com/office/officeart/2005/8/layout/chevron2"/>
    <dgm:cxn modelId="{788E947D-AA1D-2C4D-81AE-784C81A96745}" type="presParOf" srcId="{5324B8C8-3AB3-B947-B27F-8F405EFC1935}" destId="{DAE63DB9-FCC2-0A41-B97E-2EA3E5E0A807}" srcOrd="4" destOrd="0" presId="urn:microsoft.com/office/officeart/2005/8/layout/chevron2"/>
    <dgm:cxn modelId="{BEA28120-C46F-E146-B59B-C114BE589A31}" type="presParOf" srcId="{DAE63DB9-FCC2-0A41-B97E-2EA3E5E0A807}" destId="{246CA9D3-5E69-B14C-B132-B87DE6929089}" srcOrd="0" destOrd="0" presId="urn:microsoft.com/office/officeart/2005/8/layout/chevron2"/>
    <dgm:cxn modelId="{F8EF27F8-9396-A643-9596-B5D4E454FA47}" type="presParOf" srcId="{DAE63DB9-FCC2-0A41-B97E-2EA3E5E0A807}" destId="{B59681DB-E2B4-1742-BED4-3722D9A6E68F}" srcOrd="1" destOrd="0" presId="urn:microsoft.com/office/officeart/2005/8/layout/chevron2"/>
    <dgm:cxn modelId="{FCDDF9F2-2D4C-F04F-8D55-5A814C02C8A5}" type="presParOf" srcId="{5324B8C8-3AB3-B947-B27F-8F405EFC1935}" destId="{A7F95C97-3BCE-D14C-ADBA-9B13D7910816}" srcOrd="5" destOrd="0" presId="urn:microsoft.com/office/officeart/2005/8/layout/chevron2"/>
    <dgm:cxn modelId="{AFE6212B-2D80-A647-902B-69822E5BBFB4}" type="presParOf" srcId="{5324B8C8-3AB3-B947-B27F-8F405EFC1935}" destId="{1345A506-2C96-5343-8C1A-107E1F071795}" srcOrd="6" destOrd="0" presId="urn:microsoft.com/office/officeart/2005/8/layout/chevron2"/>
    <dgm:cxn modelId="{D8821C2C-97E7-D745-B9A6-A1333A171803}" type="presParOf" srcId="{1345A506-2C96-5343-8C1A-107E1F071795}" destId="{FA288F36-ACA3-054E-B4AE-86D9565FB3BC}" srcOrd="0" destOrd="0" presId="urn:microsoft.com/office/officeart/2005/8/layout/chevron2"/>
    <dgm:cxn modelId="{2C0504EF-034F-D348-BDF6-45ED16DDB0F3}" type="presParOf" srcId="{1345A506-2C96-5343-8C1A-107E1F071795}" destId="{CEDB51B8-907E-0744-B1ED-6BF9EC995E85}" srcOrd="1" destOrd="0" presId="urn:microsoft.com/office/officeart/2005/8/layout/chevron2"/>
    <dgm:cxn modelId="{5A7782E2-3ADD-9540-A21D-3F0DB071DE14}" type="presParOf" srcId="{5324B8C8-3AB3-B947-B27F-8F405EFC1935}" destId="{D1CED672-9D60-9B40-9BAD-C1359C37087A}" srcOrd="7" destOrd="0" presId="urn:microsoft.com/office/officeart/2005/8/layout/chevron2"/>
    <dgm:cxn modelId="{DB0F0C31-957A-B541-8360-D3B611DE440C}" type="presParOf" srcId="{5324B8C8-3AB3-B947-B27F-8F405EFC1935}" destId="{FD223284-94B6-F742-B28A-C21A0C124182}" srcOrd="8" destOrd="0" presId="urn:microsoft.com/office/officeart/2005/8/layout/chevron2"/>
    <dgm:cxn modelId="{94F0F8D0-360D-4446-A4F1-CCBC3B1B51FD}" type="presParOf" srcId="{FD223284-94B6-F742-B28A-C21A0C124182}" destId="{EFA2F00B-2090-2843-8AC0-0E1670547E0E}" srcOrd="0" destOrd="0" presId="urn:microsoft.com/office/officeart/2005/8/layout/chevron2"/>
    <dgm:cxn modelId="{D0B6BEAD-D327-2F4E-8CB7-DDBC3CAA75EB}" type="presParOf" srcId="{FD223284-94B6-F742-B28A-C21A0C124182}" destId="{EBE3FB98-EDEF-FC44-ACE9-B71AE7397985}" srcOrd="1" destOrd="0" presId="urn:microsoft.com/office/officeart/2005/8/layout/chevron2"/>
    <dgm:cxn modelId="{838D20B6-2485-B44A-857D-8FAD72E41B80}" type="presParOf" srcId="{5324B8C8-3AB3-B947-B27F-8F405EFC1935}" destId="{13B1FCEB-3157-EB45-AF14-E78AE69E2A1D}" srcOrd="9" destOrd="0" presId="urn:microsoft.com/office/officeart/2005/8/layout/chevron2"/>
    <dgm:cxn modelId="{585D38A0-860F-ED43-A601-2FA589BD9DA8}" type="presParOf" srcId="{5324B8C8-3AB3-B947-B27F-8F405EFC1935}" destId="{4FD29430-93D2-4D41-9C5D-886449A5D0C2}" srcOrd="10" destOrd="0" presId="urn:microsoft.com/office/officeart/2005/8/layout/chevron2"/>
    <dgm:cxn modelId="{8079939A-CD13-9845-81C5-004A160A8F8C}" type="presParOf" srcId="{4FD29430-93D2-4D41-9C5D-886449A5D0C2}" destId="{C6503216-42C0-1343-B325-85EF14199D8B}" srcOrd="0" destOrd="0" presId="urn:microsoft.com/office/officeart/2005/8/layout/chevron2"/>
    <dgm:cxn modelId="{F35FEACD-6110-3E4A-ABC1-5117675CB537}" type="presParOf" srcId="{4FD29430-93D2-4D41-9C5D-886449A5D0C2}" destId="{47D730CC-0E50-1F47-8E08-251883FB1ACB}" srcOrd="1" destOrd="0" presId="urn:microsoft.com/office/officeart/2005/8/layout/chevron2"/>
    <dgm:cxn modelId="{84F8BE0B-B03F-9F4D-A0DE-AE5F7B667428}" type="presParOf" srcId="{5324B8C8-3AB3-B947-B27F-8F405EFC1935}" destId="{5EABB609-006D-6845-AD37-054A5206F70E}" srcOrd="11" destOrd="0" presId="urn:microsoft.com/office/officeart/2005/8/layout/chevron2"/>
    <dgm:cxn modelId="{14256062-B0D4-1E4B-BF03-8D7882156D9E}" type="presParOf" srcId="{5324B8C8-3AB3-B947-B27F-8F405EFC1935}" destId="{3E1A48BD-98C2-D845-94ED-A30BC4F1A897}" srcOrd="12" destOrd="0" presId="urn:microsoft.com/office/officeart/2005/8/layout/chevron2"/>
    <dgm:cxn modelId="{93DA9A2D-479B-3941-B494-5AF86CF47E84}" type="presParOf" srcId="{3E1A48BD-98C2-D845-94ED-A30BC4F1A897}" destId="{FD1B6087-CE79-7A44-8659-6E02FDB63995}" srcOrd="0" destOrd="0" presId="urn:microsoft.com/office/officeart/2005/8/layout/chevron2"/>
    <dgm:cxn modelId="{C6AE4476-4139-654A-B2DA-7E79CA1E750E}" type="presParOf" srcId="{3E1A48BD-98C2-D845-94ED-A30BC4F1A897}" destId="{2BC519CB-78F2-0745-92F4-BAF7A8ACEC88}" srcOrd="1" destOrd="0" presId="urn:microsoft.com/office/officeart/2005/8/layout/chevron2"/>
    <dgm:cxn modelId="{494B4BA6-D457-BB45-8238-3B6E61DD9341}" type="presParOf" srcId="{5324B8C8-3AB3-B947-B27F-8F405EFC1935}" destId="{0279B512-7A5C-D848-8327-118B85F01AE2}" srcOrd="13" destOrd="0" presId="urn:microsoft.com/office/officeart/2005/8/layout/chevron2"/>
    <dgm:cxn modelId="{1ECC0D70-36A9-7E40-B097-D78914EFAF9E}" type="presParOf" srcId="{5324B8C8-3AB3-B947-B27F-8F405EFC1935}" destId="{0CC61ECA-FFB4-7A45-A209-FFA978B12B95}" srcOrd="14" destOrd="0" presId="urn:microsoft.com/office/officeart/2005/8/layout/chevron2"/>
    <dgm:cxn modelId="{01FA3EFF-08AA-0346-9B78-F493BC856638}" type="presParOf" srcId="{0CC61ECA-FFB4-7A45-A209-FFA978B12B95}" destId="{AE26AD64-B9B0-854D-A9CF-5E55500C40C5}" srcOrd="0" destOrd="0" presId="urn:microsoft.com/office/officeart/2005/8/layout/chevron2"/>
    <dgm:cxn modelId="{18922DD0-8FE0-4C4F-970C-C2A0E987928F}" type="presParOf" srcId="{0CC61ECA-FFB4-7A45-A209-FFA978B12B95}" destId="{CB037466-DB9B-214E-B405-64CF3CBE2693}" srcOrd="1" destOrd="0" presId="urn:microsoft.com/office/officeart/2005/8/layout/chevron2"/>
    <dgm:cxn modelId="{73685B6A-43DE-E54C-A4CE-B5603B4EDDB9}" type="presParOf" srcId="{5324B8C8-3AB3-B947-B27F-8F405EFC1935}" destId="{E92FDE5A-7FD2-5B49-A3A6-AD59D4E68589}" srcOrd="15" destOrd="0" presId="urn:microsoft.com/office/officeart/2005/8/layout/chevron2"/>
    <dgm:cxn modelId="{875E83DF-E558-B446-80E6-C8231AE84CE5}" type="presParOf" srcId="{5324B8C8-3AB3-B947-B27F-8F405EFC1935}" destId="{0144EF09-4DD2-5B4B-A2DB-1BB8070A186E}" srcOrd="16" destOrd="0" presId="urn:microsoft.com/office/officeart/2005/8/layout/chevron2"/>
    <dgm:cxn modelId="{9ACC37A6-24C8-8241-B01D-62AB679E8C77}" type="presParOf" srcId="{0144EF09-4DD2-5B4B-A2DB-1BB8070A186E}" destId="{E10E36D1-F678-504A-B068-5EE0224872F2}" srcOrd="0" destOrd="0" presId="urn:microsoft.com/office/officeart/2005/8/layout/chevron2"/>
    <dgm:cxn modelId="{AE73A3C6-C20D-EE43-8A61-8A6D460B08CA}" type="presParOf" srcId="{0144EF09-4DD2-5B4B-A2DB-1BB8070A186E}" destId="{1DCFD8C5-400E-9647-8A13-D1BCFC1ED085}" srcOrd="1" destOrd="0" presId="urn:microsoft.com/office/officeart/2005/8/layout/chevron2"/>
  </dgm:cxnLst>
  <dgm:bg/>
  <dgm:whole/>
  <dgm:extLst>
    <a:ext uri="http://schemas.microsoft.com/office/drawing/2008/diagram">
      <dsp:dataModelExt xmlns:dsp="http://schemas.microsoft.com/office/drawing/2008/diagram" relId="rId159"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6E3B5219-F115-594B-A045-3EB330687AB8}" type="doc">
      <dgm:prSet loTypeId="urn:microsoft.com/office/officeart/2005/8/layout/radial4" loCatId="" qsTypeId="urn:microsoft.com/office/officeart/2005/8/quickstyle/simple2" qsCatId="simple" csTypeId="urn:microsoft.com/office/officeart/2005/8/colors/colorful1" csCatId="colorful" phldr="1"/>
      <dgm:spPr/>
      <dgm:t>
        <a:bodyPr/>
        <a:lstStyle/>
        <a:p>
          <a:endParaRPr lang="en-US"/>
        </a:p>
      </dgm:t>
    </dgm:pt>
    <dgm:pt modelId="{D79CC174-57D1-CF49-BEDD-421EEAA96F26}">
      <dgm:prSet phldrT="[Text]"/>
      <dgm:spPr/>
      <dgm:t>
        <a:bodyPr/>
        <a:lstStyle/>
        <a:p>
          <a:r>
            <a:rPr lang="en-US"/>
            <a:t>The debrief for SBME Stage 9</a:t>
          </a:r>
        </a:p>
      </dgm:t>
    </dgm:pt>
    <dgm:pt modelId="{66CF6C1D-4CA9-8448-A3DB-4289547870AC}" type="parTrans" cxnId="{D86B2CF9-E6B1-D944-A921-A4F01A1B9EC0}">
      <dgm:prSet/>
      <dgm:spPr/>
      <dgm:t>
        <a:bodyPr/>
        <a:lstStyle/>
        <a:p>
          <a:endParaRPr lang="en-US"/>
        </a:p>
      </dgm:t>
    </dgm:pt>
    <dgm:pt modelId="{16FE9F37-D0E8-7D4C-A831-293836BB86EC}" type="sibTrans" cxnId="{D86B2CF9-E6B1-D944-A921-A4F01A1B9EC0}">
      <dgm:prSet/>
      <dgm:spPr/>
      <dgm:t>
        <a:bodyPr/>
        <a:lstStyle/>
        <a:p>
          <a:endParaRPr lang="en-US"/>
        </a:p>
      </dgm:t>
    </dgm:pt>
    <dgm:pt modelId="{FE3E7F46-4D27-1E42-9161-16EF79188939}">
      <dgm:prSet phldrT="[Text]" custT="1"/>
      <dgm:spPr/>
      <dgm:t>
        <a:bodyPr/>
        <a:lstStyle/>
        <a:p>
          <a:pPr algn="ctr"/>
          <a:r>
            <a:rPr lang="en-US" sz="600"/>
            <a:t>Practicalities</a:t>
          </a:r>
        </a:p>
      </dgm:t>
    </dgm:pt>
    <dgm:pt modelId="{D730B432-0B74-9949-928A-1B8407319FAB}" type="parTrans" cxnId="{56C99AA0-22E6-FD44-B748-A8C4E9CFC703}">
      <dgm:prSet/>
      <dgm:spPr/>
      <dgm:t>
        <a:bodyPr/>
        <a:lstStyle/>
        <a:p>
          <a:endParaRPr lang="en-US"/>
        </a:p>
      </dgm:t>
    </dgm:pt>
    <dgm:pt modelId="{C244139A-05F9-5F46-9F35-92EF1A5EE73E}" type="sibTrans" cxnId="{56C99AA0-22E6-FD44-B748-A8C4E9CFC703}">
      <dgm:prSet/>
      <dgm:spPr/>
      <dgm:t>
        <a:bodyPr/>
        <a:lstStyle/>
        <a:p>
          <a:endParaRPr lang="en-US"/>
        </a:p>
      </dgm:t>
    </dgm:pt>
    <dgm:pt modelId="{DACB50FF-BD76-6B47-8654-9639C90A75EA}">
      <dgm:prSet phldrT="[Text]" custT="1"/>
      <dgm:spPr/>
      <dgm:t>
        <a:bodyPr/>
        <a:lstStyle/>
        <a:p>
          <a:pPr algn="ctr"/>
          <a:r>
            <a:rPr lang="en-US" sz="600"/>
            <a:t>Purpose</a:t>
          </a:r>
        </a:p>
      </dgm:t>
    </dgm:pt>
    <dgm:pt modelId="{A82E0FC1-449E-3D4C-9196-CD37DFD2E9C1}" type="parTrans" cxnId="{A92BEDB3-EF99-C14A-88CE-F2D82EE69ECD}">
      <dgm:prSet/>
      <dgm:spPr/>
      <dgm:t>
        <a:bodyPr/>
        <a:lstStyle/>
        <a:p>
          <a:endParaRPr lang="en-US"/>
        </a:p>
      </dgm:t>
    </dgm:pt>
    <dgm:pt modelId="{FFAD7CE8-2D56-0643-B1A2-F796F8E716A5}" type="sibTrans" cxnId="{A92BEDB3-EF99-C14A-88CE-F2D82EE69ECD}">
      <dgm:prSet/>
      <dgm:spPr/>
      <dgm:t>
        <a:bodyPr/>
        <a:lstStyle/>
        <a:p>
          <a:endParaRPr lang="en-US"/>
        </a:p>
      </dgm:t>
    </dgm:pt>
    <dgm:pt modelId="{8691A932-37FC-3B4E-82E3-5A825A1172DD}">
      <dgm:prSet phldrT="[Text]" custT="1"/>
      <dgm:spPr/>
      <dgm:t>
        <a:bodyPr/>
        <a:lstStyle/>
        <a:p>
          <a:pPr algn="ctr"/>
          <a:r>
            <a:rPr lang="en-US" sz="600"/>
            <a:t>Success</a:t>
          </a:r>
        </a:p>
      </dgm:t>
    </dgm:pt>
    <dgm:pt modelId="{D26496A6-7D1A-8D4D-8FEB-A8AC6A037584}" type="parTrans" cxnId="{671A54F4-5AED-6646-8DA1-79B4E3ECB28D}">
      <dgm:prSet/>
      <dgm:spPr/>
      <dgm:t>
        <a:bodyPr/>
        <a:lstStyle/>
        <a:p>
          <a:endParaRPr lang="en-US"/>
        </a:p>
      </dgm:t>
    </dgm:pt>
    <dgm:pt modelId="{ACE8F017-EA99-1F4E-82A4-4F0FCC453689}" type="sibTrans" cxnId="{671A54F4-5AED-6646-8DA1-79B4E3ECB28D}">
      <dgm:prSet/>
      <dgm:spPr/>
      <dgm:t>
        <a:bodyPr/>
        <a:lstStyle/>
        <a:p>
          <a:endParaRPr lang="en-US"/>
        </a:p>
      </dgm:t>
    </dgm:pt>
    <dgm:pt modelId="{6DAA99E2-EDA1-5B4E-9E70-5A8A7B2F0B24}">
      <dgm:prSet custT="1"/>
      <dgm:spPr/>
      <dgm:t>
        <a:bodyPr/>
        <a:lstStyle/>
        <a:p>
          <a:pPr algn="l"/>
          <a:r>
            <a:rPr lang="en-US" sz="500"/>
            <a:t>Time - same length as scenario. Time to unwind out of scenario</a:t>
          </a:r>
        </a:p>
      </dgm:t>
    </dgm:pt>
    <dgm:pt modelId="{808BD7FE-423F-8B44-9C6A-722BA48C30EC}" type="parTrans" cxnId="{2AB10954-E575-E94F-9F28-5916255310E5}">
      <dgm:prSet/>
      <dgm:spPr/>
      <dgm:t>
        <a:bodyPr/>
        <a:lstStyle/>
        <a:p>
          <a:endParaRPr lang="en-US"/>
        </a:p>
      </dgm:t>
    </dgm:pt>
    <dgm:pt modelId="{4FB821A2-7072-C643-8813-7D41A5B5079C}" type="sibTrans" cxnId="{2AB10954-E575-E94F-9F28-5916255310E5}">
      <dgm:prSet/>
      <dgm:spPr/>
      <dgm:t>
        <a:bodyPr/>
        <a:lstStyle/>
        <a:p>
          <a:endParaRPr lang="en-US"/>
        </a:p>
      </dgm:t>
    </dgm:pt>
    <dgm:pt modelId="{80E249A0-0D50-1F4F-8490-34F8F1E109AE}">
      <dgm:prSet custT="1"/>
      <dgm:spPr/>
      <dgm:t>
        <a:bodyPr/>
        <a:lstStyle/>
        <a:p>
          <a:pPr algn="l"/>
          <a:r>
            <a:rPr lang="en-US" sz="500"/>
            <a:t>AV tools - video can help improve situational awareness, objective self assessment</a:t>
          </a:r>
        </a:p>
      </dgm:t>
    </dgm:pt>
    <dgm:pt modelId="{26F15F89-81C0-BF45-8321-E83497EC37EB}" type="parTrans" cxnId="{C8656D39-09A5-B541-9E2F-65FBAB313E5F}">
      <dgm:prSet/>
      <dgm:spPr/>
      <dgm:t>
        <a:bodyPr/>
        <a:lstStyle/>
        <a:p>
          <a:endParaRPr lang="en-US"/>
        </a:p>
      </dgm:t>
    </dgm:pt>
    <dgm:pt modelId="{F416EBA5-46E1-AD40-88BB-550DA9645DC9}" type="sibTrans" cxnId="{C8656D39-09A5-B541-9E2F-65FBAB313E5F}">
      <dgm:prSet/>
      <dgm:spPr/>
      <dgm:t>
        <a:bodyPr/>
        <a:lstStyle/>
        <a:p>
          <a:endParaRPr lang="en-US"/>
        </a:p>
      </dgm:t>
    </dgm:pt>
    <dgm:pt modelId="{0E58EFED-940A-F744-B849-C2502CC750AA}">
      <dgm:prSet custT="1"/>
      <dgm:spPr/>
      <dgm:t>
        <a:bodyPr/>
        <a:lstStyle/>
        <a:p>
          <a:pPr algn="l"/>
          <a:r>
            <a:rPr lang="en-US" sz="500"/>
            <a:t>Space and room layout - circle</a:t>
          </a:r>
        </a:p>
      </dgm:t>
    </dgm:pt>
    <dgm:pt modelId="{38DCC197-8DAA-ED41-A994-6F5BF35EA403}" type="parTrans" cxnId="{A11E397E-39F0-9E4D-9757-0D0E0D41A006}">
      <dgm:prSet/>
      <dgm:spPr/>
      <dgm:t>
        <a:bodyPr/>
        <a:lstStyle/>
        <a:p>
          <a:endParaRPr lang="en-US"/>
        </a:p>
      </dgm:t>
    </dgm:pt>
    <dgm:pt modelId="{EB8E8750-3D36-8C4A-BE6E-B2BE7614F85C}" type="sibTrans" cxnId="{A11E397E-39F0-9E4D-9757-0D0E0D41A006}">
      <dgm:prSet/>
      <dgm:spPr/>
      <dgm:t>
        <a:bodyPr/>
        <a:lstStyle/>
        <a:p>
          <a:endParaRPr lang="en-US"/>
        </a:p>
      </dgm:t>
    </dgm:pt>
    <dgm:pt modelId="{24E22236-D058-674D-990C-AF8224983666}">
      <dgm:prSet custT="1"/>
      <dgm:spPr/>
      <dgm:t>
        <a:bodyPr/>
        <a:lstStyle/>
        <a:p>
          <a:pPr algn="l"/>
          <a:r>
            <a:rPr lang="en-US" sz="500"/>
            <a:t>Process understanding</a:t>
          </a:r>
        </a:p>
      </dgm:t>
    </dgm:pt>
    <dgm:pt modelId="{396FB30D-0ED7-A149-9348-0D465CCCACEB}" type="parTrans" cxnId="{65E25441-F1AC-2443-8933-44F9C45B2E53}">
      <dgm:prSet/>
      <dgm:spPr/>
      <dgm:t>
        <a:bodyPr/>
        <a:lstStyle/>
        <a:p>
          <a:endParaRPr lang="en-US"/>
        </a:p>
      </dgm:t>
    </dgm:pt>
    <dgm:pt modelId="{6DFD436C-0750-F247-8E7A-5902529CB334}" type="sibTrans" cxnId="{65E25441-F1AC-2443-8933-44F9C45B2E53}">
      <dgm:prSet/>
      <dgm:spPr/>
      <dgm:t>
        <a:bodyPr/>
        <a:lstStyle/>
        <a:p>
          <a:endParaRPr lang="en-US"/>
        </a:p>
      </dgm:t>
    </dgm:pt>
    <dgm:pt modelId="{56686C1B-907F-F449-863C-C7DD00699B68}">
      <dgm:prSet phldrT="[Text]" custT="1"/>
      <dgm:spPr/>
      <dgm:t>
        <a:bodyPr/>
        <a:lstStyle/>
        <a:p>
          <a:pPr algn="ctr"/>
          <a:r>
            <a:rPr lang="en-US" sz="600"/>
            <a:t>Faculty challenges</a:t>
          </a:r>
        </a:p>
      </dgm:t>
    </dgm:pt>
    <dgm:pt modelId="{3FD8F06C-5DAB-5649-B20D-C5E799B347C3}" type="parTrans" cxnId="{7207E626-2A89-B447-B714-4539D9BB96E1}">
      <dgm:prSet/>
      <dgm:spPr/>
      <dgm:t>
        <a:bodyPr/>
        <a:lstStyle/>
        <a:p>
          <a:endParaRPr lang="en-US"/>
        </a:p>
      </dgm:t>
    </dgm:pt>
    <dgm:pt modelId="{C6E8B48A-0011-054A-8B98-634B5173452A}" type="sibTrans" cxnId="{7207E626-2A89-B447-B714-4539D9BB96E1}">
      <dgm:prSet/>
      <dgm:spPr/>
      <dgm:t>
        <a:bodyPr/>
        <a:lstStyle/>
        <a:p>
          <a:endParaRPr lang="en-US"/>
        </a:p>
      </dgm:t>
    </dgm:pt>
    <dgm:pt modelId="{05A2C53E-6FBB-5047-9B39-A7D980C7E150}">
      <dgm:prSet phldrT="[Text]" custT="1"/>
      <dgm:spPr/>
      <dgm:t>
        <a:bodyPr/>
        <a:lstStyle/>
        <a:p>
          <a:pPr algn="ctr"/>
          <a:r>
            <a:rPr lang="en-US" sz="600"/>
            <a:t>Models</a:t>
          </a:r>
        </a:p>
      </dgm:t>
    </dgm:pt>
    <dgm:pt modelId="{6E07946E-38DD-3145-A2FC-20C4B1FAF739}" type="parTrans" cxnId="{454C106E-3145-534A-928D-5EE8FC658606}">
      <dgm:prSet/>
      <dgm:spPr/>
      <dgm:t>
        <a:bodyPr/>
        <a:lstStyle/>
        <a:p>
          <a:endParaRPr lang="en-US"/>
        </a:p>
      </dgm:t>
    </dgm:pt>
    <dgm:pt modelId="{F60D950A-098C-6D4D-9340-9733FC6607B5}" type="sibTrans" cxnId="{454C106E-3145-534A-928D-5EE8FC658606}">
      <dgm:prSet/>
      <dgm:spPr/>
      <dgm:t>
        <a:bodyPr/>
        <a:lstStyle/>
        <a:p>
          <a:endParaRPr lang="en-US"/>
        </a:p>
      </dgm:t>
    </dgm:pt>
    <dgm:pt modelId="{599B39F7-664D-8142-97EF-A6ADD04C3506}">
      <dgm:prSet phldrT="[Text]" custT="1"/>
      <dgm:spPr/>
      <dgm:t>
        <a:bodyPr/>
        <a:lstStyle/>
        <a:p>
          <a:pPr algn="ctr"/>
          <a:r>
            <a:rPr lang="en-US" sz="600"/>
            <a:t>Method</a:t>
          </a:r>
        </a:p>
      </dgm:t>
    </dgm:pt>
    <dgm:pt modelId="{225DD98D-5809-D847-B38C-2943A943F20A}" type="parTrans" cxnId="{0D0AAFB5-5AA8-3B4E-A318-1000C158CA4A}">
      <dgm:prSet/>
      <dgm:spPr/>
      <dgm:t>
        <a:bodyPr/>
        <a:lstStyle/>
        <a:p>
          <a:endParaRPr lang="en-US"/>
        </a:p>
      </dgm:t>
    </dgm:pt>
    <dgm:pt modelId="{4BBD80A9-F768-1440-B320-CF9045E2CA5F}" type="sibTrans" cxnId="{0D0AAFB5-5AA8-3B4E-A318-1000C158CA4A}">
      <dgm:prSet/>
      <dgm:spPr/>
      <dgm:t>
        <a:bodyPr/>
        <a:lstStyle/>
        <a:p>
          <a:endParaRPr lang="en-US"/>
        </a:p>
      </dgm:t>
    </dgm:pt>
    <dgm:pt modelId="{AA85DE65-B522-FD47-AABF-517F0105ACB7}">
      <dgm:prSet custT="1"/>
      <dgm:spPr/>
      <dgm:t>
        <a:bodyPr/>
        <a:lstStyle/>
        <a:p>
          <a:pPr algn="l"/>
          <a:r>
            <a:rPr lang="en-US" sz="500"/>
            <a:t>Discovering own strengths and weaknesses</a:t>
          </a:r>
        </a:p>
      </dgm:t>
    </dgm:pt>
    <dgm:pt modelId="{CD56F1F3-6CA5-5F4E-8BBD-1FA3A629E4AD}" type="parTrans" cxnId="{27E084E4-4763-9544-9AE4-ED6EC5BEAFF6}">
      <dgm:prSet/>
      <dgm:spPr/>
      <dgm:t>
        <a:bodyPr/>
        <a:lstStyle/>
        <a:p>
          <a:endParaRPr lang="en-US"/>
        </a:p>
      </dgm:t>
    </dgm:pt>
    <dgm:pt modelId="{E2774F3F-2F6B-FA48-958B-38F866BC56B3}" type="sibTrans" cxnId="{27E084E4-4763-9544-9AE4-ED6EC5BEAFF6}">
      <dgm:prSet/>
      <dgm:spPr/>
      <dgm:t>
        <a:bodyPr/>
        <a:lstStyle/>
        <a:p>
          <a:endParaRPr lang="en-US"/>
        </a:p>
      </dgm:t>
    </dgm:pt>
    <dgm:pt modelId="{BF86AC9A-9907-DD43-9EDB-E21CBF67FACC}">
      <dgm:prSet custT="1"/>
      <dgm:spPr/>
      <dgm:t>
        <a:bodyPr/>
        <a:lstStyle/>
        <a:p>
          <a:pPr algn="l"/>
          <a:r>
            <a:rPr lang="en-US" sz="500"/>
            <a:t>Aim for personal behavioural change - improve patient safety</a:t>
          </a:r>
        </a:p>
      </dgm:t>
    </dgm:pt>
    <dgm:pt modelId="{311B5501-0030-3744-914A-442C1BE428F2}" type="parTrans" cxnId="{0A551DA1-A884-8846-841B-1C16265AB521}">
      <dgm:prSet/>
      <dgm:spPr/>
      <dgm:t>
        <a:bodyPr/>
        <a:lstStyle/>
        <a:p>
          <a:endParaRPr lang="en-US"/>
        </a:p>
      </dgm:t>
    </dgm:pt>
    <dgm:pt modelId="{C563E17F-53CE-F243-82CD-9E188A05B18F}" type="sibTrans" cxnId="{0A551DA1-A884-8846-841B-1C16265AB521}">
      <dgm:prSet/>
      <dgm:spPr/>
      <dgm:t>
        <a:bodyPr/>
        <a:lstStyle/>
        <a:p>
          <a:endParaRPr lang="en-US"/>
        </a:p>
      </dgm:t>
    </dgm:pt>
    <dgm:pt modelId="{41FCD11F-7E98-E049-A674-561ECF3098C4}">
      <dgm:prSet custT="1"/>
      <dgm:spPr/>
      <dgm:t>
        <a:bodyPr/>
        <a:lstStyle/>
        <a:p>
          <a:pPr algn="l"/>
          <a:r>
            <a:rPr lang="en-US" sz="500"/>
            <a:t>Explore and correct misconceptions</a:t>
          </a:r>
        </a:p>
      </dgm:t>
    </dgm:pt>
    <dgm:pt modelId="{EEB006FF-4548-1B41-B661-2ECFE8F95407}" type="parTrans" cxnId="{681516B2-A0A0-F54D-94FE-B0AFA3B22AB6}">
      <dgm:prSet/>
      <dgm:spPr/>
      <dgm:t>
        <a:bodyPr/>
        <a:lstStyle/>
        <a:p>
          <a:endParaRPr lang="en-US"/>
        </a:p>
      </dgm:t>
    </dgm:pt>
    <dgm:pt modelId="{9C7ED2F2-290C-5545-80A1-42F75EAAA95A}" type="sibTrans" cxnId="{681516B2-A0A0-F54D-94FE-B0AFA3B22AB6}">
      <dgm:prSet/>
      <dgm:spPr/>
      <dgm:t>
        <a:bodyPr/>
        <a:lstStyle/>
        <a:p>
          <a:endParaRPr lang="en-US"/>
        </a:p>
      </dgm:t>
    </dgm:pt>
    <dgm:pt modelId="{FAD4F637-7B06-5C4B-968E-F094CAF6A89C}">
      <dgm:prSet custT="1"/>
      <dgm:spPr/>
      <dgm:t>
        <a:bodyPr/>
        <a:lstStyle/>
        <a:p>
          <a:pPr algn="l"/>
          <a:r>
            <a:rPr lang="en-US" sz="500"/>
            <a:t>Reflect on action</a:t>
          </a:r>
        </a:p>
      </dgm:t>
    </dgm:pt>
    <dgm:pt modelId="{05E9C44E-B58A-124D-BE07-4A5E498A28C5}" type="parTrans" cxnId="{2EFD2FB3-EEA2-A844-9B93-89DAFF0D1532}">
      <dgm:prSet/>
      <dgm:spPr/>
      <dgm:t>
        <a:bodyPr/>
        <a:lstStyle/>
        <a:p>
          <a:endParaRPr lang="en-US"/>
        </a:p>
      </dgm:t>
    </dgm:pt>
    <dgm:pt modelId="{738CAE58-D9CB-0545-9870-491E520ABF0F}" type="sibTrans" cxnId="{2EFD2FB3-EEA2-A844-9B93-89DAFF0D1532}">
      <dgm:prSet/>
      <dgm:spPr/>
      <dgm:t>
        <a:bodyPr/>
        <a:lstStyle/>
        <a:p>
          <a:endParaRPr lang="en-US"/>
        </a:p>
      </dgm:t>
    </dgm:pt>
    <dgm:pt modelId="{01B22A16-15C7-1440-880F-4648358E91AF}">
      <dgm:prSet custT="1"/>
      <dgm:spPr/>
      <dgm:t>
        <a:bodyPr/>
        <a:lstStyle/>
        <a:p>
          <a:pPr algn="l"/>
          <a:r>
            <a:rPr lang="en-US" sz="500"/>
            <a:t>Where learning occurs</a:t>
          </a:r>
        </a:p>
      </dgm:t>
    </dgm:pt>
    <dgm:pt modelId="{74AF0B3F-AFF1-344C-BB90-EAEC5522CCAD}" type="parTrans" cxnId="{6E703D01-E331-CB43-974E-5221E48BF922}">
      <dgm:prSet/>
      <dgm:spPr/>
      <dgm:t>
        <a:bodyPr/>
        <a:lstStyle/>
        <a:p>
          <a:endParaRPr lang="en-US"/>
        </a:p>
      </dgm:t>
    </dgm:pt>
    <dgm:pt modelId="{AE4B6B88-419E-724F-9E17-40670ED1F5F0}" type="sibTrans" cxnId="{6E703D01-E331-CB43-974E-5221E48BF922}">
      <dgm:prSet/>
      <dgm:spPr/>
      <dgm:t>
        <a:bodyPr/>
        <a:lstStyle/>
        <a:p>
          <a:endParaRPr lang="en-US"/>
        </a:p>
      </dgm:t>
    </dgm:pt>
    <dgm:pt modelId="{A8368D45-69F9-9748-B56E-B094858DCBD4}">
      <dgm:prSet custT="1"/>
      <dgm:spPr/>
      <dgm:t>
        <a:bodyPr/>
        <a:lstStyle/>
        <a:p>
          <a:pPr algn="l"/>
          <a:r>
            <a:rPr lang="en-US" sz="500"/>
            <a:t>Ethical imperitive - Allows to destress</a:t>
          </a:r>
        </a:p>
      </dgm:t>
    </dgm:pt>
    <dgm:pt modelId="{6DCC3727-5114-8048-B64D-FEA3DBDCFD99}" type="parTrans" cxnId="{BCDB25D1-899A-6349-85E4-5720C71085B4}">
      <dgm:prSet/>
      <dgm:spPr/>
      <dgm:t>
        <a:bodyPr/>
        <a:lstStyle/>
        <a:p>
          <a:endParaRPr lang="en-US"/>
        </a:p>
      </dgm:t>
    </dgm:pt>
    <dgm:pt modelId="{7340E565-4E5B-B548-9FDB-9A47D289E301}" type="sibTrans" cxnId="{BCDB25D1-899A-6349-85E4-5720C71085B4}">
      <dgm:prSet/>
      <dgm:spPr/>
      <dgm:t>
        <a:bodyPr/>
        <a:lstStyle/>
        <a:p>
          <a:endParaRPr lang="en-US"/>
        </a:p>
      </dgm:t>
    </dgm:pt>
    <dgm:pt modelId="{C946629A-8FD3-2840-BF89-EA49F45F4A56}">
      <dgm:prSet custT="1"/>
      <dgm:spPr/>
      <dgm:t>
        <a:bodyPr/>
        <a:lstStyle/>
        <a:p>
          <a:pPr algn="l"/>
          <a:r>
            <a:rPr lang="en-US" sz="500"/>
            <a:t>Consolidation - experienctial learning</a:t>
          </a:r>
        </a:p>
      </dgm:t>
    </dgm:pt>
    <dgm:pt modelId="{E41A110D-BA3A-F945-B89D-A8D05BF4425F}" type="parTrans" cxnId="{DCA827EC-CD57-FA4A-80B7-00D0C9C97FA6}">
      <dgm:prSet/>
      <dgm:spPr/>
      <dgm:t>
        <a:bodyPr/>
        <a:lstStyle/>
        <a:p>
          <a:endParaRPr lang="en-US"/>
        </a:p>
      </dgm:t>
    </dgm:pt>
    <dgm:pt modelId="{9AEB09C9-CD46-094A-A94B-0BA83E1142BA}" type="sibTrans" cxnId="{DCA827EC-CD57-FA4A-80B7-00D0C9C97FA6}">
      <dgm:prSet/>
      <dgm:spPr/>
      <dgm:t>
        <a:bodyPr/>
        <a:lstStyle/>
        <a:p>
          <a:endParaRPr lang="en-US"/>
        </a:p>
      </dgm:t>
    </dgm:pt>
    <dgm:pt modelId="{1B324594-3B8C-C64A-B76C-1AB212813878}">
      <dgm:prSet custT="1"/>
      <dgm:spPr/>
      <dgm:t>
        <a:bodyPr/>
        <a:lstStyle/>
        <a:p>
          <a:pPr algn="l"/>
          <a:r>
            <a:rPr lang="en-US" sz="500"/>
            <a:t>Opportunity for peer feedback and peer learning</a:t>
          </a:r>
        </a:p>
      </dgm:t>
    </dgm:pt>
    <dgm:pt modelId="{5E8B54EC-85BE-6749-978B-BC862E8C23AD}" type="parTrans" cxnId="{D4019018-AC51-DC49-8671-9758393EAE13}">
      <dgm:prSet/>
      <dgm:spPr/>
      <dgm:t>
        <a:bodyPr/>
        <a:lstStyle/>
        <a:p>
          <a:endParaRPr lang="en-US"/>
        </a:p>
      </dgm:t>
    </dgm:pt>
    <dgm:pt modelId="{BC8D9B75-D9F9-F64A-891B-83ED9D9D776D}" type="sibTrans" cxnId="{D4019018-AC51-DC49-8671-9758393EAE13}">
      <dgm:prSet/>
      <dgm:spPr/>
      <dgm:t>
        <a:bodyPr/>
        <a:lstStyle/>
        <a:p>
          <a:endParaRPr lang="en-US"/>
        </a:p>
      </dgm:t>
    </dgm:pt>
    <dgm:pt modelId="{22A47751-2036-2840-BE62-7682C56619EB}">
      <dgm:prSet custT="1"/>
      <dgm:spPr/>
      <dgm:t>
        <a:bodyPr/>
        <a:lstStyle/>
        <a:p>
          <a:pPr algn="l"/>
          <a:r>
            <a:rPr lang="en-US" sz="500"/>
            <a:t>Opportunity for role modelling</a:t>
          </a:r>
        </a:p>
      </dgm:t>
    </dgm:pt>
    <dgm:pt modelId="{DA65B9C6-2FD6-AC49-BB0D-9F31553F44C2}" type="parTrans" cxnId="{11ECF71E-5404-1C47-AD5D-04E578216F30}">
      <dgm:prSet/>
      <dgm:spPr/>
      <dgm:t>
        <a:bodyPr/>
        <a:lstStyle/>
        <a:p>
          <a:endParaRPr lang="en-US"/>
        </a:p>
      </dgm:t>
    </dgm:pt>
    <dgm:pt modelId="{5D7F8E00-C3E3-CF45-B887-0383486D2EAC}" type="sibTrans" cxnId="{11ECF71E-5404-1C47-AD5D-04E578216F30}">
      <dgm:prSet/>
      <dgm:spPr/>
      <dgm:t>
        <a:bodyPr/>
        <a:lstStyle/>
        <a:p>
          <a:endParaRPr lang="en-US"/>
        </a:p>
      </dgm:t>
    </dgm:pt>
    <dgm:pt modelId="{C3133802-ED79-CA44-BD28-DB308A0913A1}">
      <dgm:prSet custT="1"/>
      <dgm:spPr/>
      <dgm:t>
        <a:bodyPr/>
        <a:lstStyle/>
        <a:p>
          <a:pPr algn="l"/>
          <a:r>
            <a:rPr lang="en-US" sz="500"/>
            <a:t>Safe space</a:t>
          </a:r>
        </a:p>
      </dgm:t>
    </dgm:pt>
    <dgm:pt modelId="{3B730F2B-4289-E948-8330-041F672D077A}" type="parTrans" cxnId="{DBA206CD-F3A8-CB47-9374-5D9C148241FD}">
      <dgm:prSet/>
      <dgm:spPr/>
      <dgm:t>
        <a:bodyPr/>
        <a:lstStyle/>
        <a:p>
          <a:endParaRPr lang="en-US"/>
        </a:p>
      </dgm:t>
    </dgm:pt>
    <dgm:pt modelId="{AC091A1A-4354-7D4C-9829-EF10172F5976}" type="sibTrans" cxnId="{DBA206CD-F3A8-CB47-9374-5D9C148241FD}">
      <dgm:prSet/>
      <dgm:spPr/>
      <dgm:t>
        <a:bodyPr/>
        <a:lstStyle/>
        <a:p>
          <a:endParaRPr lang="en-US"/>
        </a:p>
      </dgm:t>
    </dgm:pt>
    <dgm:pt modelId="{66E7D831-4A8C-444F-B59F-4D6A6630BCD9}">
      <dgm:prSet custT="1"/>
      <dgm:spPr/>
      <dgm:t>
        <a:bodyPr/>
        <a:lstStyle/>
        <a:p>
          <a:pPr algn="l"/>
          <a:r>
            <a:rPr lang="en-US" sz="500"/>
            <a:t>Well planned scenario with clear curriculum mapped LO sets stage for effective debrief</a:t>
          </a:r>
        </a:p>
      </dgm:t>
    </dgm:pt>
    <dgm:pt modelId="{3324CEB9-C557-BA4A-A64F-305275F9EE3B}" type="parTrans" cxnId="{B93D81A3-B96B-B04B-B6E9-6FFE734D04DB}">
      <dgm:prSet/>
      <dgm:spPr/>
      <dgm:t>
        <a:bodyPr/>
        <a:lstStyle/>
        <a:p>
          <a:endParaRPr lang="en-US"/>
        </a:p>
      </dgm:t>
    </dgm:pt>
    <dgm:pt modelId="{CD8ECA44-1138-1F4A-AE02-2F9D07814AFB}" type="sibTrans" cxnId="{B93D81A3-B96B-B04B-B6E9-6FFE734D04DB}">
      <dgm:prSet/>
      <dgm:spPr/>
      <dgm:t>
        <a:bodyPr/>
        <a:lstStyle/>
        <a:p>
          <a:endParaRPr lang="en-US"/>
        </a:p>
      </dgm:t>
    </dgm:pt>
    <dgm:pt modelId="{C8594121-4C0F-D74C-BDEF-2C0F9FC1BD43}">
      <dgm:prSet phldrT="[Text]" custT="1"/>
      <dgm:spPr/>
      <dgm:t>
        <a:bodyPr/>
        <a:lstStyle/>
        <a:p>
          <a:pPr algn="l"/>
          <a:r>
            <a:rPr lang="en-US" sz="500"/>
            <a:t>Candidate/ learner doing most of talking</a:t>
          </a:r>
        </a:p>
      </dgm:t>
    </dgm:pt>
    <dgm:pt modelId="{6F9B58B9-B215-7245-9D39-F585E5B09754}" type="parTrans" cxnId="{FB67D6B0-5917-D64A-B8C7-48DA63DBD999}">
      <dgm:prSet/>
      <dgm:spPr/>
      <dgm:t>
        <a:bodyPr/>
        <a:lstStyle/>
        <a:p>
          <a:endParaRPr lang="en-US"/>
        </a:p>
      </dgm:t>
    </dgm:pt>
    <dgm:pt modelId="{5E7FB130-6B02-5342-86E6-4653F989344E}" type="sibTrans" cxnId="{FB67D6B0-5917-D64A-B8C7-48DA63DBD999}">
      <dgm:prSet/>
      <dgm:spPr/>
      <dgm:t>
        <a:bodyPr/>
        <a:lstStyle/>
        <a:p>
          <a:endParaRPr lang="en-US"/>
        </a:p>
      </dgm:t>
    </dgm:pt>
    <dgm:pt modelId="{36717BB0-AF5B-DB49-9FF6-CD5F58829CEA}">
      <dgm:prSet phldrT="[Text]" custT="1"/>
      <dgm:spPr/>
      <dgm:t>
        <a:bodyPr/>
        <a:lstStyle/>
        <a:p>
          <a:pPr algn="l"/>
          <a:r>
            <a:rPr lang="en-US" sz="500"/>
            <a:t>Facilitative faculty</a:t>
          </a:r>
        </a:p>
      </dgm:t>
    </dgm:pt>
    <dgm:pt modelId="{F8EF43F7-41C9-7048-BF36-A5497B3C3824}" type="parTrans" cxnId="{BBE79E38-DBAF-B948-8B39-9874236628F3}">
      <dgm:prSet/>
      <dgm:spPr/>
      <dgm:t>
        <a:bodyPr/>
        <a:lstStyle/>
        <a:p>
          <a:endParaRPr lang="en-US"/>
        </a:p>
      </dgm:t>
    </dgm:pt>
    <dgm:pt modelId="{DA1F516F-58E8-1440-87F1-7A0C02EC8293}" type="sibTrans" cxnId="{BBE79E38-DBAF-B948-8B39-9874236628F3}">
      <dgm:prSet/>
      <dgm:spPr/>
      <dgm:t>
        <a:bodyPr/>
        <a:lstStyle/>
        <a:p>
          <a:endParaRPr lang="en-US"/>
        </a:p>
      </dgm:t>
    </dgm:pt>
    <dgm:pt modelId="{E8159995-A12C-194D-AC4A-1AC9EFA9695F}">
      <dgm:prSet phldrT="[Text]" custT="1"/>
      <dgm:spPr/>
      <dgm:t>
        <a:bodyPr/>
        <a:lstStyle/>
        <a:p>
          <a:pPr algn="l"/>
          <a:r>
            <a:rPr lang="en-US" sz="500"/>
            <a:t>Created open forum</a:t>
          </a:r>
        </a:p>
      </dgm:t>
    </dgm:pt>
    <dgm:pt modelId="{0249C7AE-5082-C44C-8675-6D984027F59D}" type="parTrans" cxnId="{A6905596-0622-3147-B940-42508EE539C0}">
      <dgm:prSet/>
      <dgm:spPr/>
      <dgm:t>
        <a:bodyPr/>
        <a:lstStyle/>
        <a:p>
          <a:endParaRPr lang="en-US"/>
        </a:p>
      </dgm:t>
    </dgm:pt>
    <dgm:pt modelId="{E4B9DC35-9383-454A-BF60-C034483C0FC0}" type="sibTrans" cxnId="{A6905596-0622-3147-B940-42508EE539C0}">
      <dgm:prSet/>
      <dgm:spPr/>
      <dgm:t>
        <a:bodyPr/>
        <a:lstStyle/>
        <a:p>
          <a:endParaRPr lang="en-US"/>
        </a:p>
      </dgm:t>
    </dgm:pt>
    <dgm:pt modelId="{B8A70EC7-3C02-1044-8A63-BA16480792A5}">
      <dgm:prSet phldrT="[Text]" custT="1"/>
      <dgm:spPr/>
      <dgm:t>
        <a:bodyPr/>
        <a:lstStyle/>
        <a:p>
          <a:pPr algn="l"/>
          <a:r>
            <a:rPr lang="en-US" sz="500"/>
            <a:t>Deep level of understanding</a:t>
          </a:r>
        </a:p>
      </dgm:t>
    </dgm:pt>
    <dgm:pt modelId="{F1CFA993-DD66-3C46-96DA-8D2AC31DB7A8}" type="parTrans" cxnId="{82662B7F-06F9-5D4E-AC85-C6B64615C11B}">
      <dgm:prSet/>
      <dgm:spPr/>
      <dgm:t>
        <a:bodyPr/>
        <a:lstStyle/>
        <a:p>
          <a:endParaRPr lang="en-US"/>
        </a:p>
      </dgm:t>
    </dgm:pt>
    <dgm:pt modelId="{704A3BDB-8FA3-0C4E-8A13-2959B418EEB3}" type="sibTrans" cxnId="{82662B7F-06F9-5D4E-AC85-C6B64615C11B}">
      <dgm:prSet/>
      <dgm:spPr/>
      <dgm:t>
        <a:bodyPr/>
        <a:lstStyle/>
        <a:p>
          <a:endParaRPr lang="en-US"/>
        </a:p>
      </dgm:t>
    </dgm:pt>
    <dgm:pt modelId="{075734A0-75E9-6C49-BB6D-E9438C8CCC44}">
      <dgm:prSet phldrT="[Text]" custT="1"/>
      <dgm:spPr/>
      <dgm:t>
        <a:bodyPr/>
        <a:lstStyle/>
        <a:p>
          <a:pPr algn="l"/>
          <a:r>
            <a:rPr lang="en-US" sz="500"/>
            <a:t>Allow learner to reach conclusions</a:t>
          </a:r>
        </a:p>
      </dgm:t>
    </dgm:pt>
    <dgm:pt modelId="{DC99261C-EF3C-524B-9D80-CA37556EFDB8}" type="parTrans" cxnId="{0DEC6312-FA47-2C4E-8145-1685592A8F56}">
      <dgm:prSet/>
      <dgm:spPr/>
      <dgm:t>
        <a:bodyPr/>
        <a:lstStyle/>
        <a:p>
          <a:endParaRPr lang="en-US"/>
        </a:p>
      </dgm:t>
    </dgm:pt>
    <dgm:pt modelId="{EBE26F38-95D8-0F45-8652-5C7F48CCDA0A}" type="sibTrans" cxnId="{0DEC6312-FA47-2C4E-8145-1685592A8F56}">
      <dgm:prSet/>
      <dgm:spPr/>
      <dgm:t>
        <a:bodyPr/>
        <a:lstStyle/>
        <a:p>
          <a:endParaRPr lang="en-US"/>
        </a:p>
      </dgm:t>
    </dgm:pt>
    <dgm:pt modelId="{817BD72F-0D9B-BF42-BE8A-C335411B8DBC}">
      <dgm:prSet phldrT="[Text]" custT="1"/>
      <dgm:spPr/>
      <dgm:t>
        <a:bodyPr/>
        <a:lstStyle/>
        <a:p>
          <a:pPr algn="l"/>
          <a:r>
            <a:rPr lang="en-US" sz="500"/>
            <a:t>Achieved learning outcomes</a:t>
          </a:r>
        </a:p>
      </dgm:t>
    </dgm:pt>
    <dgm:pt modelId="{F09189C3-093C-3A4B-AA5D-908CF694AD6E}" type="parTrans" cxnId="{8D20A00E-96D5-5446-ACDC-515D4CD934B1}">
      <dgm:prSet/>
      <dgm:spPr/>
      <dgm:t>
        <a:bodyPr/>
        <a:lstStyle/>
        <a:p>
          <a:endParaRPr lang="en-US"/>
        </a:p>
      </dgm:t>
    </dgm:pt>
    <dgm:pt modelId="{9A32ADD5-A6FA-7B4D-857B-B4D0BBA881A5}" type="sibTrans" cxnId="{8D20A00E-96D5-5446-ACDC-515D4CD934B1}">
      <dgm:prSet/>
      <dgm:spPr/>
      <dgm:t>
        <a:bodyPr/>
        <a:lstStyle/>
        <a:p>
          <a:endParaRPr lang="en-US"/>
        </a:p>
      </dgm:t>
    </dgm:pt>
    <dgm:pt modelId="{D036CA82-4EE5-A64A-AB60-3D00715C17CF}">
      <dgm:prSet phldrT="[Text]" custT="1"/>
      <dgm:spPr/>
      <dgm:t>
        <a:bodyPr/>
        <a:lstStyle/>
        <a:p>
          <a:pPr algn="l"/>
          <a:r>
            <a:rPr lang="en-US" sz="500"/>
            <a:t>Achieved an individual specific personal behaviour change</a:t>
          </a:r>
        </a:p>
      </dgm:t>
    </dgm:pt>
    <dgm:pt modelId="{1A9C3A47-FCD5-4148-8CEA-8E5D3EA733C3}" type="parTrans" cxnId="{FE013285-6C66-604D-B5D1-D66FA8EFE25A}">
      <dgm:prSet/>
      <dgm:spPr/>
      <dgm:t>
        <a:bodyPr/>
        <a:lstStyle/>
        <a:p>
          <a:endParaRPr lang="en-US"/>
        </a:p>
      </dgm:t>
    </dgm:pt>
    <dgm:pt modelId="{A18AAD6B-F938-FF44-B652-7C729CFAA85C}" type="sibTrans" cxnId="{FE013285-6C66-604D-B5D1-D66FA8EFE25A}">
      <dgm:prSet/>
      <dgm:spPr/>
      <dgm:t>
        <a:bodyPr/>
        <a:lstStyle/>
        <a:p>
          <a:endParaRPr lang="en-US"/>
        </a:p>
      </dgm:t>
    </dgm:pt>
    <dgm:pt modelId="{6FD26B32-9C2F-C246-ADFE-E10E770EB3CD}">
      <dgm:prSet custT="1"/>
      <dgm:spPr/>
      <dgm:t>
        <a:bodyPr/>
        <a:lstStyle/>
        <a:p>
          <a:pPr algn="l"/>
          <a:r>
            <a:rPr lang="en-US" sz="500"/>
            <a:t>Faculty skills - 'good teachers make good debriefers' </a:t>
          </a:r>
        </a:p>
      </dgm:t>
    </dgm:pt>
    <dgm:pt modelId="{E91AC2BF-3A4A-654F-8C48-3522F7F01D9B}" type="parTrans" cxnId="{9486BCDE-0484-EE4C-AA14-0B56A7B15C2E}">
      <dgm:prSet/>
      <dgm:spPr/>
      <dgm:t>
        <a:bodyPr/>
        <a:lstStyle/>
        <a:p>
          <a:endParaRPr lang="en-US"/>
        </a:p>
      </dgm:t>
    </dgm:pt>
    <dgm:pt modelId="{CBB0C9B5-17B9-D240-9791-79E7E4971AD1}" type="sibTrans" cxnId="{9486BCDE-0484-EE4C-AA14-0B56A7B15C2E}">
      <dgm:prSet/>
      <dgm:spPr/>
      <dgm:t>
        <a:bodyPr/>
        <a:lstStyle/>
        <a:p>
          <a:endParaRPr lang="en-US"/>
        </a:p>
      </dgm:t>
    </dgm:pt>
    <dgm:pt modelId="{4F2290D7-987B-4548-AF46-87E4888AAF28}">
      <dgm:prSet custT="1"/>
      <dgm:spPr/>
      <dgm:t>
        <a:bodyPr/>
        <a:lstStyle/>
        <a:p>
          <a:pPr algn="l"/>
          <a:r>
            <a:rPr lang="en-US" sz="500"/>
            <a:t>Debriefer number - one take the lead but 2 present - can invite others to comment, reduces cognitive load if long session. Allows for peer feedback following session</a:t>
          </a:r>
        </a:p>
        <a:p>
          <a:pPr algn="l"/>
          <a:endParaRPr lang="en-US" sz="400"/>
        </a:p>
      </dgm:t>
    </dgm:pt>
    <dgm:pt modelId="{BB73E826-73E5-634C-A831-F5EE0DF72658}" type="parTrans" cxnId="{4985DD37-5D17-5047-8C9E-5CBC627D7032}">
      <dgm:prSet/>
      <dgm:spPr/>
      <dgm:t>
        <a:bodyPr/>
        <a:lstStyle/>
        <a:p>
          <a:endParaRPr lang="en-US"/>
        </a:p>
      </dgm:t>
    </dgm:pt>
    <dgm:pt modelId="{C946F9C6-CA4C-DF44-B556-4BB292879499}" type="sibTrans" cxnId="{4985DD37-5D17-5047-8C9E-5CBC627D7032}">
      <dgm:prSet/>
      <dgm:spPr/>
      <dgm:t>
        <a:bodyPr/>
        <a:lstStyle/>
        <a:p>
          <a:endParaRPr lang="en-US"/>
        </a:p>
      </dgm:t>
    </dgm:pt>
    <dgm:pt modelId="{02B080CE-2662-994B-9EC1-CF9D1A4899B0}">
      <dgm:prSet phldrT="[Text]" custT="1"/>
      <dgm:spPr/>
      <dgm:t>
        <a:bodyPr/>
        <a:lstStyle/>
        <a:p>
          <a:pPr algn="l"/>
          <a:r>
            <a:rPr lang="en-US" sz="500"/>
            <a:t>Debriefing is a high level skill - 'complex but with experience becomes natural'</a:t>
          </a:r>
        </a:p>
      </dgm:t>
    </dgm:pt>
    <dgm:pt modelId="{D8DFFBF1-8ED9-F941-B1B7-ABC9F326810D}" type="parTrans" cxnId="{7E591EA5-D959-2246-9C1A-09BD341B6C3A}">
      <dgm:prSet/>
      <dgm:spPr/>
      <dgm:t>
        <a:bodyPr/>
        <a:lstStyle/>
        <a:p>
          <a:endParaRPr lang="en-US"/>
        </a:p>
      </dgm:t>
    </dgm:pt>
    <dgm:pt modelId="{8C9C4142-ADA7-B549-A69B-B56CBFA50300}" type="sibTrans" cxnId="{7E591EA5-D959-2246-9C1A-09BD341B6C3A}">
      <dgm:prSet/>
      <dgm:spPr/>
      <dgm:t>
        <a:bodyPr/>
        <a:lstStyle/>
        <a:p>
          <a:endParaRPr lang="en-US"/>
        </a:p>
      </dgm:t>
    </dgm:pt>
    <dgm:pt modelId="{ECB2FFB9-2722-3945-80B1-5D0E5677414F}">
      <dgm:prSet phldrT="[Text]" custT="1"/>
      <dgm:spPr/>
      <dgm:t>
        <a:bodyPr/>
        <a:lstStyle/>
        <a:p>
          <a:pPr algn="l"/>
          <a:r>
            <a:rPr lang="en-US" sz="500"/>
            <a:t>Challenge to remain facilitative - avoid being authoratative</a:t>
          </a:r>
        </a:p>
      </dgm:t>
    </dgm:pt>
    <dgm:pt modelId="{743BBAE2-9FF9-044F-AF2A-16B5D882E8B9}" type="parTrans" cxnId="{5B6A89F9-7B99-CA47-9EB9-F79551ABD89E}">
      <dgm:prSet/>
      <dgm:spPr/>
      <dgm:t>
        <a:bodyPr/>
        <a:lstStyle/>
        <a:p>
          <a:endParaRPr lang="en-US"/>
        </a:p>
      </dgm:t>
    </dgm:pt>
    <dgm:pt modelId="{6B97B3DF-9389-8347-B371-BDDE75261168}" type="sibTrans" cxnId="{5B6A89F9-7B99-CA47-9EB9-F79551ABD89E}">
      <dgm:prSet/>
      <dgm:spPr/>
      <dgm:t>
        <a:bodyPr/>
        <a:lstStyle/>
        <a:p>
          <a:endParaRPr lang="en-US"/>
        </a:p>
      </dgm:t>
    </dgm:pt>
    <dgm:pt modelId="{438F8F23-DD63-8247-942F-D643C0040418}">
      <dgm:prSet phldrT="[Text]" custT="1"/>
      <dgm:spPr/>
      <dgm:t>
        <a:bodyPr/>
        <a:lstStyle/>
        <a:p>
          <a:pPr algn="l"/>
          <a:r>
            <a:rPr lang="en-US" sz="500"/>
            <a:t>Cognitive thought processess need managing - is intense and complex</a:t>
          </a:r>
        </a:p>
      </dgm:t>
    </dgm:pt>
    <dgm:pt modelId="{98CA1C26-390F-A44D-89EE-2BB709CBFD20}" type="parTrans" cxnId="{87869DCF-AE49-3C4B-89D0-39E8F60FF4B5}">
      <dgm:prSet/>
      <dgm:spPr/>
      <dgm:t>
        <a:bodyPr/>
        <a:lstStyle/>
        <a:p>
          <a:endParaRPr lang="en-US"/>
        </a:p>
      </dgm:t>
    </dgm:pt>
    <dgm:pt modelId="{B4C92161-8B72-B64E-9C40-4C85CA2F0B0F}" type="sibTrans" cxnId="{87869DCF-AE49-3C4B-89D0-39E8F60FF4B5}">
      <dgm:prSet/>
      <dgm:spPr/>
      <dgm:t>
        <a:bodyPr/>
        <a:lstStyle/>
        <a:p>
          <a:endParaRPr lang="en-US"/>
        </a:p>
      </dgm:t>
    </dgm:pt>
    <dgm:pt modelId="{1B4F9490-F34F-B144-B8B9-6EF54A815D66}">
      <dgm:prSet phldrT="[Text]" custT="1"/>
      <dgm:spPr/>
      <dgm:t>
        <a:bodyPr/>
        <a:lstStyle/>
        <a:p>
          <a:pPr algn="l"/>
          <a:r>
            <a:rPr lang="en-US" sz="500"/>
            <a:t>Need an interest and undestanding of complex cognitive processes to explore others and manage own</a:t>
          </a:r>
        </a:p>
      </dgm:t>
    </dgm:pt>
    <dgm:pt modelId="{01C731AD-1CB7-FA4F-82CE-13CC49B0F064}" type="parTrans" cxnId="{AEF6A76F-F481-1C41-8DE1-4AEDBD40F437}">
      <dgm:prSet/>
      <dgm:spPr/>
      <dgm:t>
        <a:bodyPr/>
        <a:lstStyle/>
        <a:p>
          <a:endParaRPr lang="en-US"/>
        </a:p>
      </dgm:t>
    </dgm:pt>
    <dgm:pt modelId="{387A7926-A9DF-264B-9F73-B11C92AA1466}" type="sibTrans" cxnId="{AEF6A76F-F481-1C41-8DE1-4AEDBD40F437}">
      <dgm:prSet/>
      <dgm:spPr/>
      <dgm:t>
        <a:bodyPr/>
        <a:lstStyle/>
        <a:p>
          <a:endParaRPr lang="en-US"/>
        </a:p>
      </dgm:t>
    </dgm:pt>
    <dgm:pt modelId="{F1710E3E-AC51-0044-B21A-A59C2CF60306}">
      <dgm:prSet phldrT="[Text]" custT="1"/>
      <dgm:spPr/>
      <dgm:t>
        <a:bodyPr/>
        <a:lstStyle/>
        <a:p>
          <a:pPr algn="l"/>
          <a:r>
            <a:rPr lang="en-US" sz="500"/>
            <a:t>Need to be an active listener </a:t>
          </a:r>
        </a:p>
      </dgm:t>
    </dgm:pt>
    <dgm:pt modelId="{38DAEBC1-9066-5549-AFFD-879EA1BE1ABE}" type="parTrans" cxnId="{A5632AFE-D8E3-7A4E-AD79-3416C903DDED}">
      <dgm:prSet/>
      <dgm:spPr/>
      <dgm:t>
        <a:bodyPr/>
        <a:lstStyle/>
        <a:p>
          <a:endParaRPr lang="en-US"/>
        </a:p>
      </dgm:t>
    </dgm:pt>
    <dgm:pt modelId="{E473E557-289B-7F45-B65F-742D50CF1958}" type="sibTrans" cxnId="{A5632AFE-D8E3-7A4E-AD79-3416C903DDED}">
      <dgm:prSet/>
      <dgm:spPr/>
      <dgm:t>
        <a:bodyPr/>
        <a:lstStyle/>
        <a:p>
          <a:endParaRPr lang="en-US"/>
        </a:p>
      </dgm:t>
    </dgm:pt>
    <dgm:pt modelId="{03B62CEB-5F03-8A44-8A84-2C26DC0F0C9D}">
      <dgm:prSet phldrT="[Text]" custT="1"/>
      <dgm:spPr/>
      <dgm:t>
        <a:bodyPr/>
        <a:lstStyle/>
        <a:p>
          <a:pPr algn="l"/>
          <a:r>
            <a:rPr lang="en-US" sz="500"/>
            <a:t>Listen to internal supervisor</a:t>
          </a:r>
        </a:p>
      </dgm:t>
    </dgm:pt>
    <dgm:pt modelId="{91F09489-034E-E84D-B614-347C6A512F7B}" type="parTrans" cxnId="{2DA0BC7D-B9E3-4346-97C9-7D8EB22B0AA1}">
      <dgm:prSet/>
      <dgm:spPr/>
      <dgm:t>
        <a:bodyPr/>
        <a:lstStyle/>
        <a:p>
          <a:endParaRPr lang="en-US"/>
        </a:p>
      </dgm:t>
    </dgm:pt>
    <dgm:pt modelId="{7971CFC5-51D2-EB4C-AE8A-C44F73BCF4BE}" type="sibTrans" cxnId="{2DA0BC7D-B9E3-4346-97C9-7D8EB22B0AA1}">
      <dgm:prSet/>
      <dgm:spPr/>
      <dgm:t>
        <a:bodyPr/>
        <a:lstStyle/>
        <a:p>
          <a:endParaRPr lang="en-US"/>
        </a:p>
      </dgm:t>
    </dgm:pt>
    <dgm:pt modelId="{9156E427-3FE9-3740-BE62-DCA05FDBCBDD}">
      <dgm:prSet phldrT="[Text]" custT="1"/>
      <dgm:spPr/>
      <dgm:t>
        <a:bodyPr/>
        <a:lstStyle/>
        <a:p>
          <a:pPr algn="l"/>
          <a:r>
            <a:rPr lang="en-US" sz="500"/>
            <a:t>Need emotional intelligence</a:t>
          </a:r>
        </a:p>
      </dgm:t>
    </dgm:pt>
    <dgm:pt modelId="{EBD1991B-F178-C64A-B36E-7D6EB2DFA336}" type="parTrans" cxnId="{CA8A7657-C2F7-A241-B2F5-A56FCF85D774}">
      <dgm:prSet/>
      <dgm:spPr/>
      <dgm:t>
        <a:bodyPr/>
        <a:lstStyle/>
        <a:p>
          <a:endParaRPr lang="en-US"/>
        </a:p>
      </dgm:t>
    </dgm:pt>
    <dgm:pt modelId="{39107185-1B1E-FA4E-ACD4-876CA7A9513D}" type="sibTrans" cxnId="{CA8A7657-C2F7-A241-B2F5-A56FCF85D774}">
      <dgm:prSet/>
      <dgm:spPr/>
      <dgm:t>
        <a:bodyPr/>
        <a:lstStyle/>
        <a:p>
          <a:endParaRPr lang="en-US"/>
        </a:p>
      </dgm:t>
    </dgm:pt>
    <dgm:pt modelId="{2630A724-5C3F-6F4A-8BCD-93FC444C7E94}">
      <dgm:prSet phldrT="[Text]" custT="1"/>
      <dgm:spPr/>
      <dgm:t>
        <a:bodyPr/>
        <a:lstStyle/>
        <a:p>
          <a:pPr algn="l"/>
          <a:r>
            <a:rPr lang="en-US" sz="500"/>
            <a:t>Be honest and flexible </a:t>
          </a:r>
        </a:p>
      </dgm:t>
    </dgm:pt>
    <dgm:pt modelId="{1A2DB41A-89C5-FA47-AC1F-EFB77BDEB0A5}" type="parTrans" cxnId="{E321955C-C623-4E4A-B839-3E996D6CAA9C}">
      <dgm:prSet/>
      <dgm:spPr/>
      <dgm:t>
        <a:bodyPr/>
        <a:lstStyle/>
        <a:p>
          <a:endParaRPr lang="en-US"/>
        </a:p>
      </dgm:t>
    </dgm:pt>
    <dgm:pt modelId="{D409047B-F32E-7342-AB59-007E72CC5F65}" type="sibTrans" cxnId="{E321955C-C623-4E4A-B839-3E996D6CAA9C}">
      <dgm:prSet/>
      <dgm:spPr/>
      <dgm:t>
        <a:bodyPr/>
        <a:lstStyle/>
        <a:p>
          <a:endParaRPr lang="en-US"/>
        </a:p>
      </dgm:t>
    </dgm:pt>
    <dgm:pt modelId="{9D6ED67C-86E9-7B48-A2DC-2A91E811B0BE}">
      <dgm:prSet phldrT="[Text]" custT="1"/>
      <dgm:spPr/>
      <dgm:t>
        <a:bodyPr/>
        <a:lstStyle/>
        <a:p>
          <a:pPr algn="l"/>
          <a:r>
            <a:rPr lang="en-US" sz="500"/>
            <a:t>Remain reflective and encourage conceptualisation</a:t>
          </a:r>
        </a:p>
      </dgm:t>
    </dgm:pt>
    <dgm:pt modelId="{C007F0BF-150F-0E48-B2AE-755E4DF1EBBD}" type="parTrans" cxnId="{5E0D52F2-D3CD-1448-A3CF-88DB0E0ED24F}">
      <dgm:prSet/>
      <dgm:spPr/>
      <dgm:t>
        <a:bodyPr/>
        <a:lstStyle/>
        <a:p>
          <a:endParaRPr lang="en-US"/>
        </a:p>
      </dgm:t>
    </dgm:pt>
    <dgm:pt modelId="{A4BD7DEB-A52F-D341-AD21-190E5F92EE89}" type="sibTrans" cxnId="{5E0D52F2-D3CD-1448-A3CF-88DB0E0ED24F}">
      <dgm:prSet/>
      <dgm:spPr/>
      <dgm:t>
        <a:bodyPr/>
        <a:lstStyle/>
        <a:p>
          <a:endParaRPr lang="en-US"/>
        </a:p>
      </dgm:t>
    </dgm:pt>
    <dgm:pt modelId="{3B4E169B-FE28-D14A-8F10-C5C6B63C41D3}">
      <dgm:prSet phldrT="[Text]" custT="1"/>
      <dgm:spPr/>
      <dgm:t>
        <a:bodyPr/>
        <a:lstStyle/>
        <a:p>
          <a:pPr algn="l"/>
          <a:r>
            <a:rPr lang="en-US" sz="500"/>
            <a:t>Be willing to share own mistakes and challenges</a:t>
          </a:r>
        </a:p>
      </dgm:t>
    </dgm:pt>
    <dgm:pt modelId="{6550D14D-33A5-ED42-91AE-67DB9268FBB3}" type="parTrans" cxnId="{65C49BFE-2E9E-8046-A189-92E84DE6D91B}">
      <dgm:prSet/>
      <dgm:spPr/>
      <dgm:t>
        <a:bodyPr/>
        <a:lstStyle/>
        <a:p>
          <a:endParaRPr lang="en-US"/>
        </a:p>
      </dgm:t>
    </dgm:pt>
    <dgm:pt modelId="{056BB59B-5CBA-8346-9D94-E29C09EB2B15}" type="sibTrans" cxnId="{65C49BFE-2E9E-8046-A189-92E84DE6D91B}">
      <dgm:prSet/>
      <dgm:spPr/>
      <dgm:t>
        <a:bodyPr/>
        <a:lstStyle/>
        <a:p>
          <a:endParaRPr lang="en-US"/>
        </a:p>
      </dgm:t>
    </dgm:pt>
    <dgm:pt modelId="{19FB07B3-E719-1D47-9A56-7CAE1734DD6B}">
      <dgm:prSet phldrT="[Text]" custT="1"/>
      <dgm:spPr/>
      <dgm:t>
        <a:bodyPr/>
        <a:lstStyle/>
        <a:p>
          <a:pPr algn="l"/>
          <a:r>
            <a:rPr lang="en-US" sz="500"/>
            <a:t>Most sim training courses teach a primary model - benefits - recognisable structure/ universal language to self, peers and learners. Useful method when learning. Is directive and can 'measure self progress against it'. If 2 debriefers can use same model.</a:t>
          </a:r>
        </a:p>
      </dgm:t>
    </dgm:pt>
    <dgm:pt modelId="{8C03C074-898F-634A-8608-DA6C7D3C7643}" type="parTrans" cxnId="{247B6788-623C-DC41-A970-4718BBB5A3DF}">
      <dgm:prSet/>
      <dgm:spPr/>
      <dgm:t>
        <a:bodyPr/>
        <a:lstStyle/>
        <a:p>
          <a:endParaRPr lang="en-US"/>
        </a:p>
      </dgm:t>
    </dgm:pt>
    <dgm:pt modelId="{4E4CA500-ACC4-5B4A-AB38-DC2FD1D7465A}" type="sibTrans" cxnId="{247B6788-623C-DC41-A970-4718BBB5A3DF}">
      <dgm:prSet/>
      <dgm:spPr/>
      <dgm:t>
        <a:bodyPr/>
        <a:lstStyle/>
        <a:p>
          <a:endParaRPr lang="en-US"/>
        </a:p>
      </dgm:t>
    </dgm:pt>
    <dgm:pt modelId="{FDB3EB92-CCCC-5840-BD80-0EA75FAD0863}">
      <dgm:prSet phldrT="[Text]" custT="1"/>
      <dgm:spPr/>
      <dgm:t>
        <a:bodyPr/>
        <a:lstStyle/>
        <a:p>
          <a:pPr algn="l"/>
          <a:r>
            <a:rPr lang="en-US" sz="500"/>
            <a:t>When had 'experience - becomes natural', can move away from model</a:t>
          </a:r>
        </a:p>
      </dgm:t>
    </dgm:pt>
    <dgm:pt modelId="{FE58540D-3846-4245-8609-804F4653FA5E}" type="parTrans" cxnId="{4458B6A5-0A2A-A44E-BFA0-710C4F33E400}">
      <dgm:prSet/>
      <dgm:spPr/>
      <dgm:t>
        <a:bodyPr/>
        <a:lstStyle/>
        <a:p>
          <a:endParaRPr lang="en-US"/>
        </a:p>
      </dgm:t>
    </dgm:pt>
    <dgm:pt modelId="{0D0C393F-93EB-8048-AE74-4F5D86348E71}" type="sibTrans" cxnId="{4458B6A5-0A2A-A44E-BFA0-710C4F33E400}">
      <dgm:prSet/>
      <dgm:spPr/>
      <dgm:t>
        <a:bodyPr/>
        <a:lstStyle/>
        <a:p>
          <a:endParaRPr lang="en-US"/>
        </a:p>
      </dgm:t>
    </dgm:pt>
    <dgm:pt modelId="{68CAC618-2B5E-734F-A9B8-5B4C40FFA8BF}">
      <dgm:prSet phldrT="[Text]" custT="1"/>
      <dgm:spPr/>
      <dgm:t>
        <a:bodyPr/>
        <a:lstStyle/>
        <a:p>
          <a:pPr algn="l"/>
          <a:r>
            <a:rPr lang="en-US" sz="500"/>
            <a:t>Risks - too rigid. </a:t>
          </a:r>
        </a:p>
      </dgm:t>
    </dgm:pt>
    <dgm:pt modelId="{620528E3-3EC4-BB46-9D6A-D13E29966623}" type="parTrans" cxnId="{ADC5C44B-CFC4-DF42-8E8E-3503E92E77BF}">
      <dgm:prSet/>
      <dgm:spPr/>
      <dgm:t>
        <a:bodyPr/>
        <a:lstStyle/>
        <a:p>
          <a:endParaRPr lang="en-US"/>
        </a:p>
      </dgm:t>
    </dgm:pt>
    <dgm:pt modelId="{2B5252E7-39EA-B94C-BA16-8E4137042562}" type="sibTrans" cxnId="{ADC5C44B-CFC4-DF42-8E8E-3503E92E77BF}">
      <dgm:prSet/>
      <dgm:spPr/>
      <dgm:t>
        <a:bodyPr/>
        <a:lstStyle/>
        <a:p>
          <a:endParaRPr lang="en-US"/>
        </a:p>
      </dgm:t>
    </dgm:pt>
    <dgm:pt modelId="{6C4C3495-40C3-224D-8428-A232E8E1810A}">
      <dgm:prSet phldrT="[Text]" custT="1"/>
      <dgm:spPr/>
      <dgm:t>
        <a:bodyPr/>
        <a:lstStyle/>
        <a:p>
          <a:pPr algn="l"/>
          <a:r>
            <a:rPr lang="en-US" sz="500"/>
            <a:t>Do need a structure</a:t>
          </a:r>
        </a:p>
      </dgm:t>
    </dgm:pt>
    <dgm:pt modelId="{421CE4FD-EA31-BF41-9E6F-193B0431EF85}" type="parTrans" cxnId="{8BEDE846-FB3D-D044-BF6B-B59F9CD0B5E8}">
      <dgm:prSet/>
      <dgm:spPr/>
      <dgm:t>
        <a:bodyPr/>
        <a:lstStyle/>
        <a:p>
          <a:endParaRPr lang="en-US"/>
        </a:p>
      </dgm:t>
    </dgm:pt>
    <dgm:pt modelId="{7DCB00DB-AEBA-4C43-BBE5-8D0556702BB8}" type="sibTrans" cxnId="{8BEDE846-FB3D-D044-BF6B-B59F9CD0B5E8}">
      <dgm:prSet/>
      <dgm:spPr/>
      <dgm:t>
        <a:bodyPr/>
        <a:lstStyle/>
        <a:p>
          <a:endParaRPr lang="en-US"/>
        </a:p>
      </dgm:t>
    </dgm:pt>
    <dgm:pt modelId="{7981C36E-70FF-AB4A-8DDA-F4C07980C593}">
      <dgm:prSet phldrT="[Text]" custT="1"/>
      <dgm:spPr/>
      <dgm:t>
        <a:bodyPr/>
        <a:lstStyle/>
        <a:p>
          <a:pPr algn="l"/>
          <a:r>
            <a:rPr lang="en-US" sz="500"/>
            <a:t>Is a trajectory - learning - start with model - move away with experience</a:t>
          </a:r>
        </a:p>
      </dgm:t>
    </dgm:pt>
    <dgm:pt modelId="{7436EC08-5C41-C04C-A32B-F8E3003E1E50}" type="parTrans" cxnId="{73391080-4E50-9D40-8C95-444E8AC5E176}">
      <dgm:prSet/>
      <dgm:spPr/>
      <dgm:t>
        <a:bodyPr/>
        <a:lstStyle/>
        <a:p>
          <a:endParaRPr lang="en-US"/>
        </a:p>
      </dgm:t>
    </dgm:pt>
    <dgm:pt modelId="{32A64C77-D27C-0A49-AD5F-E030680EB7BF}" type="sibTrans" cxnId="{73391080-4E50-9D40-8C95-444E8AC5E176}">
      <dgm:prSet/>
      <dgm:spPr/>
      <dgm:t>
        <a:bodyPr/>
        <a:lstStyle/>
        <a:p>
          <a:endParaRPr lang="en-US"/>
        </a:p>
      </dgm:t>
    </dgm:pt>
    <dgm:pt modelId="{514AD483-2A85-9142-90AD-A35292B9C8BC}">
      <dgm:prSet phldrT="[Text]" custT="1"/>
      <dgm:spPr/>
      <dgm:t>
        <a:bodyPr/>
        <a:lstStyle/>
        <a:p>
          <a:pPr algn="l"/>
          <a:r>
            <a:rPr lang="en-US" sz="500"/>
            <a:t>Open questions</a:t>
          </a:r>
        </a:p>
      </dgm:t>
    </dgm:pt>
    <dgm:pt modelId="{5DC89B2D-F9F0-0E45-88D5-8FCBBD307CC9}" type="parTrans" cxnId="{74722784-464D-2245-94D3-3B95F328447E}">
      <dgm:prSet/>
      <dgm:spPr/>
      <dgm:t>
        <a:bodyPr/>
        <a:lstStyle/>
        <a:p>
          <a:endParaRPr lang="en-US"/>
        </a:p>
      </dgm:t>
    </dgm:pt>
    <dgm:pt modelId="{F6E8CB87-03AC-1E44-9AA5-F0B175A03722}" type="sibTrans" cxnId="{74722784-464D-2245-94D3-3B95F328447E}">
      <dgm:prSet/>
      <dgm:spPr/>
      <dgm:t>
        <a:bodyPr/>
        <a:lstStyle/>
        <a:p>
          <a:endParaRPr lang="en-US"/>
        </a:p>
      </dgm:t>
    </dgm:pt>
    <dgm:pt modelId="{2720950C-54D4-2B4B-9289-7A0CA552D6CE}">
      <dgm:prSet phldrT="[Text]" custT="1"/>
      <dgm:spPr/>
      <dgm:t>
        <a:bodyPr/>
        <a:lstStyle/>
        <a:p>
          <a:pPr algn="l"/>
          <a:r>
            <a:rPr lang="en-US" sz="500"/>
            <a:t>Repeated quizzing of the group</a:t>
          </a:r>
        </a:p>
      </dgm:t>
    </dgm:pt>
    <dgm:pt modelId="{A14131FC-C72C-3A4F-9F7C-230CEA774BAB}" type="parTrans" cxnId="{A875933D-1433-B748-ACA9-65881DE67E72}">
      <dgm:prSet/>
      <dgm:spPr/>
      <dgm:t>
        <a:bodyPr/>
        <a:lstStyle/>
        <a:p>
          <a:endParaRPr lang="en-US"/>
        </a:p>
      </dgm:t>
    </dgm:pt>
    <dgm:pt modelId="{1699012E-F204-B046-929F-1F96028F5281}" type="sibTrans" cxnId="{A875933D-1433-B748-ACA9-65881DE67E72}">
      <dgm:prSet/>
      <dgm:spPr/>
      <dgm:t>
        <a:bodyPr/>
        <a:lstStyle/>
        <a:p>
          <a:endParaRPr lang="en-US"/>
        </a:p>
      </dgm:t>
    </dgm:pt>
    <dgm:pt modelId="{4BA1104A-27FB-8440-A28E-EECA37AC3B5E}">
      <dgm:prSet phldrT="[Text]" custT="1"/>
      <dgm:spPr/>
      <dgm:t>
        <a:bodyPr/>
        <a:lstStyle/>
        <a:p>
          <a:pPr algn="l"/>
          <a:r>
            <a:rPr lang="en-US" sz="500"/>
            <a:t>Include all in group</a:t>
          </a:r>
        </a:p>
      </dgm:t>
    </dgm:pt>
    <dgm:pt modelId="{5BD798D2-F26D-1148-94DD-0139FD89D912}" type="parTrans" cxnId="{41B55D4B-55E6-E448-9AB9-CF27D6530045}">
      <dgm:prSet/>
      <dgm:spPr/>
      <dgm:t>
        <a:bodyPr/>
        <a:lstStyle/>
        <a:p>
          <a:endParaRPr lang="en-US"/>
        </a:p>
      </dgm:t>
    </dgm:pt>
    <dgm:pt modelId="{B55E579F-4A45-154F-BA0D-D2B8DD6C764A}" type="sibTrans" cxnId="{41B55D4B-55E6-E448-9AB9-CF27D6530045}">
      <dgm:prSet/>
      <dgm:spPr/>
      <dgm:t>
        <a:bodyPr/>
        <a:lstStyle/>
        <a:p>
          <a:endParaRPr lang="en-US"/>
        </a:p>
      </dgm:t>
    </dgm:pt>
    <dgm:pt modelId="{D49067B5-969A-6E4E-ABF5-1A39C6AA399F}">
      <dgm:prSet phldrT="[Text]" custT="1"/>
      <dgm:spPr/>
      <dgm:t>
        <a:bodyPr/>
        <a:lstStyle/>
        <a:p>
          <a:pPr algn="l"/>
          <a:r>
            <a:rPr lang="en-US" sz="500"/>
            <a:t>Language - 'how did it feel?', 'can I explore with you...?' 'take me through', 'can you explain', 'at what point did you notice...' etc - avoid being judgmental</a:t>
          </a:r>
        </a:p>
      </dgm:t>
    </dgm:pt>
    <dgm:pt modelId="{25961BC1-1F3F-E240-B1CE-6C713821B9D2}" type="parTrans" cxnId="{7AC5090E-940F-9348-B2B6-DF56C3AE9DC5}">
      <dgm:prSet/>
      <dgm:spPr/>
      <dgm:t>
        <a:bodyPr/>
        <a:lstStyle/>
        <a:p>
          <a:endParaRPr lang="en-US"/>
        </a:p>
      </dgm:t>
    </dgm:pt>
    <dgm:pt modelId="{75C58AC5-D1E7-9C49-9BCF-8B9A4FD77A32}" type="sibTrans" cxnId="{7AC5090E-940F-9348-B2B6-DF56C3AE9DC5}">
      <dgm:prSet/>
      <dgm:spPr/>
      <dgm:t>
        <a:bodyPr/>
        <a:lstStyle/>
        <a:p>
          <a:endParaRPr lang="en-US"/>
        </a:p>
      </dgm:t>
    </dgm:pt>
    <dgm:pt modelId="{B69B4456-7B5C-004E-9C24-92A0F70357ED}">
      <dgm:prSet phldrT="[Text]" custT="1"/>
      <dgm:spPr/>
      <dgm:t>
        <a:bodyPr/>
        <a:lstStyle/>
        <a:p>
          <a:pPr algn="l"/>
          <a:r>
            <a:rPr lang="en-US" sz="500"/>
            <a:t>Importance of awareness of body language</a:t>
          </a:r>
        </a:p>
      </dgm:t>
    </dgm:pt>
    <dgm:pt modelId="{2EE3E226-B884-3047-83D2-E4D157EECD50}" type="parTrans" cxnId="{3AAD35A5-A648-334A-959D-7DD687068F42}">
      <dgm:prSet/>
      <dgm:spPr/>
      <dgm:t>
        <a:bodyPr/>
        <a:lstStyle/>
        <a:p>
          <a:endParaRPr lang="en-US"/>
        </a:p>
      </dgm:t>
    </dgm:pt>
    <dgm:pt modelId="{C07B80D7-98BD-3442-A826-12DF8F25A7EA}" type="sibTrans" cxnId="{3AAD35A5-A648-334A-959D-7DD687068F42}">
      <dgm:prSet/>
      <dgm:spPr/>
      <dgm:t>
        <a:bodyPr/>
        <a:lstStyle/>
        <a:p>
          <a:endParaRPr lang="en-US"/>
        </a:p>
      </dgm:t>
    </dgm:pt>
    <dgm:pt modelId="{8B46D2E3-1E4C-9542-86E9-C5F16FB188CD}">
      <dgm:prSet phldrT="[Text]" custT="1"/>
      <dgm:spPr/>
      <dgm:t>
        <a:bodyPr/>
        <a:lstStyle/>
        <a:p>
          <a:pPr algn="l"/>
          <a:r>
            <a:rPr lang="en-US" sz="500"/>
            <a:t>Be active listener</a:t>
          </a:r>
        </a:p>
      </dgm:t>
    </dgm:pt>
    <dgm:pt modelId="{86C023BD-116C-744B-89F0-42922A0792EC}" type="parTrans" cxnId="{2F3AF1C0-F1E6-564F-940E-1F2A4E778FC1}">
      <dgm:prSet/>
      <dgm:spPr/>
      <dgm:t>
        <a:bodyPr/>
        <a:lstStyle/>
        <a:p>
          <a:endParaRPr lang="en-US"/>
        </a:p>
      </dgm:t>
    </dgm:pt>
    <dgm:pt modelId="{00FBD6D1-7775-E149-A469-85331FFE8B36}" type="sibTrans" cxnId="{2F3AF1C0-F1E6-564F-940E-1F2A4E778FC1}">
      <dgm:prSet/>
      <dgm:spPr/>
      <dgm:t>
        <a:bodyPr/>
        <a:lstStyle/>
        <a:p>
          <a:endParaRPr lang="en-US"/>
        </a:p>
      </dgm:t>
    </dgm:pt>
    <dgm:pt modelId="{C5E7FFFA-D27F-664C-9533-0129591CE875}">
      <dgm:prSet phldrT="[Text]" custT="1"/>
      <dgm:spPr/>
      <dgm:t>
        <a:bodyPr/>
        <a:lstStyle/>
        <a:p>
          <a:pPr algn="l"/>
          <a:r>
            <a:rPr lang="en-US" sz="500"/>
            <a:t>If using video - noted times or bookmarks</a:t>
          </a:r>
        </a:p>
      </dgm:t>
    </dgm:pt>
    <dgm:pt modelId="{8BC7E3AC-C6FA-F04B-9E1A-D22B2F860B3E}" type="parTrans" cxnId="{39CB3CC9-557F-E842-A130-A1226344CFEF}">
      <dgm:prSet/>
      <dgm:spPr/>
      <dgm:t>
        <a:bodyPr/>
        <a:lstStyle/>
        <a:p>
          <a:endParaRPr lang="en-US"/>
        </a:p>
      </dgm:t>
    </dgm:pt>
    <dgm:pt modelId="{260E58E0-1850-E442-B858-6980A1CE0B2D}" type="sibTrans" cxnId="{39CB3CC9-557F-E842-A130-A1226344CFEF}">
      <dgm:prSet/>
      <dgm:spPr/>
      <dgm:t>
        <a:bodyPr/>
        <a:lstStyle/>
        <a:p>
          <a:endParaRPr lang="en-US"/>
        </a:p>
      </dgm:t>
    </dgm:pt>
    <dgm:pt modelId="{0BA4769B-B296-8F46-BCCB-5AC8276F12D0}">
      <dgm:prSet phldrT="[Text]" custT="1"/>
      <dgm:spPr/>
      <dgm:t>
        <a:bodyPr/>
        <a:lstStyle/>
        <a:p>
          <a:pPr algn="l"/>
          <a:r>
            <a:rPr lang="en-US" sz="500"/>
            <a:t>Inject some humour</a:t>
          </a:r>
        </a:p>
      </dgm:t>
    </dgm:pt>
    <dgm:pt modelId="{FBDA8B84-8ADB-854E-8A9D-435A5165D11E}" type="parTrans" cxnId="{0DC6001C-2372-2440-9B19-0C2F7B528FEE}">
      <dgm:prSet/>
      <dgm:spPr/>
      <dgm:t>
        <a:bodyPr/>
        <a:lstStyle/>
        <a:p>
          <a:endParaRPr lang="en-US"/>
        </a:p>
      </dgm:t>
    </dgm:pt>
    <dgm:pt modelId="{FE527DEC-29F5-5542-BD23-FD05CA05FF38}" type="sibTrans" cxnId="{0DC6001C-2372-2440-9B19-0C2F7B528FEE}">
      <dgm:prSet/>
      <dgm:spPr/>
      <dgm:t>
        <a:bodyPr/>
        <a:lstStyle/>
        <a:p>
          <a:endParaRPr lang="en-US"/>
        </a:p>
      </dgm:t>
    </dgm:pt>
    <dgm:pt modelId="{A980EE9C-7173-F84D-AB84-13FEA798E6F9}">
      <dgm:prSet phldrT="[Text]" custT="1"/>
      <dgm:spPr/>
      <dgm:t>
        <a:bodyPr/>
        <a:lstStyle/>
        <a:p>
          <a:pPr algn="l"/>
          <a:r>
            <a:rPr lang="en-US" sz="500"/>
            <a:t>Share own mistakes and anecdotes</a:t>
          </a:r>
        </a:p>
      </dgm:t>
    </dgm:pt>
    <dgm:pt modelId="{B7091FEE-FA94-7E4A-8C6E-2BE1CA4FBFEA}" type="parTrans" cxnId="{ADC0F167-0B1D-3843-93BA-52708BD6C2ED}">
      <dgm:prSet/>
      <dgm:spPr/>
      <dgm:t>
        <a:bodyPr/>
        <a:lstStyle/>
        <a:p>
          <a:endParaRPr lang="en-US"/>
        </a:p>
      </dgm:t>
    </dgm:pt>
    <dgm:pt modelId="{A532289D-1C44-ED43-8C48-5D83A3BA55D9}" type="sibTrans" cxnId="{ADC0F167-0B1D-3843-93BA-52708BD6C2ED}">
      <dgm:prSet/>
      <dgm:spPr/>
      <dgm:t>
        <a:bodyPr/>
        <a:lstStyle/>
        <a:p>
          <a:endParaRPr lang="en-US"/>
        </a:p>
      </dgm:t>
    </dgm:pt>
    <dgm:pt modelId="{246BCB75-BD5F-D046-BEB2-789CF567D706}">
      <dgm:prSet phldrT="[Text]" custT="1"/>
      <dgm:spPr/>
      <dgm:t>
        <a:bodyPr/>
        <a:lstStyle/>
        <a:p>
          <a:pPr algn="ctr"/>
          <a:r>
            <a:rPr lang="en-US" sz="600"/>
            <a:t>Structure</a:t>
          </a:r>
        </a:p>
      </dgm:t>
    </dgm:pt>
    <dgm:pt modelId="{A1D856CE-F8E1-E042-99B7-F7A591102FEA}" type="parTrans" cxnId="{F746F004-F08E-9C47-9297-BF735F35768B}">
      <dgm:prSet/>
      <dgm:spPr/>
      <dgm:t>
        <a:bodyPr/>
        <a:lstStyle/>
        <a:p>
          <a:endParaRPr lang="en-US"/>
        </a:p>
      </dgm:t>
    </dgm:pt>
    <dgm:pt modelId="{BE6D531C-31C0-EE40-8F3B-186246427AC9}" type="sibTrans" cxnId="{F746F004-F08E-9C47-9297-BF735F35768B}">
      <dgm:prSet/>
      <dgm:spPr/>
      <dgm:t>
        <a:bodyPr/>
        <a:lstStyle/>
        <a:p>
          <a:endParaRPr lang="en-US"/>
        </a:p>
      </dgm:t>
    </dgm:pt>
    <dgm:pt modelId="{E901508D-8F9A-574A-83FB-0F3A1BBE0D87}">
      <dgm:prSet phldrT="[Text]" custT="1"/>
      <dgm:spPr/>
      <dgm:t>
        <a:bodyPr/>
        <a:lstStyle/>
        <a:p>
          <a:pPr algn="l"/>
          <a:r>
            <a:rPr lang="en-US" sz="500"/>
            <a:t>Story - factual story about what hapened - can be candidate or another member walking though - allows items to emerge</a:t>
          </a:r>
        </a:p>
      </dgm:t>
    </dgm:pt>
    <dgm:pt modelId="{F71A0B09-D9DD-6544-BF15-15116BFA2DB1}" type="parTrans" cxnId="{E0F06755-A5AE-9C4D-9B0E-7974B535E361}">
      <dgm:prSet/>
      <dgm:spPr/>
      <dgm:t>
        <a:bodyPr/>
        <a:lstStyle/>
        <a:p>
          <a:endParaRPr lang="en-US"/>
        </a:p>
      </dgm:t>
    </dgm:pt>
    <dgm:pt modelId="{D2844773-8A4F-C145-8570-13D394033CDA}" type="sibTrans" cxnId="{E0F06755-A5AE-9C4D-9B0E-7974B535E361}">
      <dgm:prSet/>
      <dgm:spPr/>
      <dgm:t>
        <a:bodyPr/>
        <a:lstStyle/>
        <a:p>
          <a:endParaRPr lang="en-US"/>
        </a:p>
      </dgm:t>
    </dgm:pt>
    <dgm:pt modelId="{E65013CB-7DFD-9848-BFA6-9D3AE6C4805D}">
      <dgm:prSet phldrT="[Text]" custT="1"/>
      <dgm:spPr/>
      <dgm:t>
        <a:bodyPr/>
        <a:lstStyle/>
        <a:p>
          <a:pPr algn="l"/>
          <a:r>
            <a:rPr lang="en-US" sz="500"/>
            <a:t>Allow time to offload inital thoughts and feelings</a:t>
          </a:r>
        </a:p>
      </dgm:t>
    </dgm:pt>
    <dgm:pt modelId="{56B9C06F-F819-3F42-AA6E-CD84D29CA40B}" type="parTrans" cxnId="{83917958-BAFF-BF45-AFBC-2FA872F91B15}">
      <dgm:prSet/>
      <dgm:spPr/>
      <dgm:t>
        <a:bodyPr/>
        <a:lstStyle/>
        <a:p>
          <a:endParaRPr lang="en-US"/>
        </a:p>
      </dgm:t>
    </dgm:pt>
    <dgm:pt modelId="{85EB14F4-9863-1A4A-A82E-5493135E03DA}" type="sibTrans" cxnId="{83917958-BAFF-BF45-AFBC-2FA872F91B15}">
      <dgm:prSet/>
      <dgm:spPr/>
      <dgm:t>
        <a:bodyPr/>
        <a:lstStyle/>
        <a:p>
          <a:endParaRPr lang="en-US"/>
        </a:p>
      </dgm:t>
    </dgm:pt>
    <dgm:pt modelId="{4041709B-9BDA-714D-9BD1-87C15CDFB29A}">
      <dgm:prSet phldrT="[Text]" custT="1"/>
      <dgm:spPr/>
      <dgm:t>
        <a:bodyPr/>
        <a:lstStyle/>
        <a:p>
          <a:pPr algn="l"/>
          <a:r>
            <a:rPr lang="en-US" sz="500"/>
            <a:t>Exploration - objective and subjective - why and what was thinking</a:t>
          </a:r>
        </a:p>
      </dgm:t>
    </dgm:pt>
    <dgm:pt modelId="{B204966E-09DC-2446-8385-A3EBF30EBFB9}" type="parTrans" cxnId="{D4657FC0-7F37-C04C-8AB6-EC01FF6E0280}">
      <dgm:prSet/>
      <dgm:spPr/>
      <dgm:t>
        <a:bodyPr/>
        <a:lstStyle/>
        <a:p>
          <a:endParaRPr lang="en-US"/>
        </a:p>
      </dgm:t>
    </dgm:pt>
    <dgm:pt modelId="{B8A74F07-D24B-934F-900F-779DA943BE4B}" type="sibTrans" cxnId="{D4657FC0-7F37-C04C-8AB6-EC01FF6E0280}">
      <dgm:prSet/>
      <dgm:spPr/>
      <dgm:t>
        <a:bodyPr/>
        <a:lstStyle/>
        <a:p>
          <a:endParaRPr lang="en-US"/>
        </a:p>
      </dgm:t>
    </dgm:pt>
    <dgm:pt modelId="{35DCC077-0056-0A48-94D0-326400A2FFFF}">
      <dgm:prSet phldrT="[Text]" custT="1"/>
      <dgm:spPr/>
      <dgm:t>
        <a:bodyPr/>
        <a:lstStyle/>
        <a:p>
          <a:pPr algn="l"/>
          <a:r>
            <a:rPr lang="en-US" sz="500"/>
            <a:t>Self reflection- processing and understanding</a:t>
          </a:r>
        </a:p>
      </dgm:t>
    </dgm:pt>
    <dgm:pt modelId="{AB65A857-C959-834B-A199-13351F871E50}" type="parTrans" cxnId="{014258C6-3D36-084D-83A1-5C2055348706}">
      <dgm:prSet/>
      <dgm:spPr/>
      <dgm:t>
        <a:bodyPr/>
        <a:lstStyle/>
        <a:p>
          <a:endParaRPr lang="en-US"/>
        </a:p>
      </dgm:t>
    </dgm:pt>
    <dgm:pt modelId="{9E6C2541-4003-2B43-8F46-94707C3AFD65}" type="sibTrans" cxnId="{014258C6-3D36-084D-83A1-5C2055348706}">
      <dgm:prSet/>
      <dgm:spPr/>
      <dgm:t>
        <a:bodyPr/>
        <a:lstStyle/>
        <a:p>
          <a:endParaRPr lang="en-US"/>
        </a:p>
      </dgm:t>
    </dgm:pt>
    <dgm:pt modelId="{24A7616C-F976-EB47-97E0-DE30ECF64A6B}">
      <dgm:prSet phldrT="[Text]" custT="1"/>
      <dgm:spPr/>
      <dgm:t>
        <a:bodyPr/>
        <a:lstStyle/>
        <a:p>
          <a:pPr algn="l"/>
          <a:r>
            <a:rPr lang="en-US" sz="500"/>
            <a:t>Analysis - impact of behaviour/ decision - alternatives</a:t>
          </a:r>
        </a:p>
      </dgm:t>
    </dgm:pt>
    <dgm:pt modelId="{750023D0-0C98-6F4F-80BC-E1891F268226}" type="parTrans" cxnId="{36D80776-4AF2-D842-929F-85A044B7838B}">
      <dgm:prSet/>
      <dgm:spPr/>
      <dgm:t>
        <a:bodyPr/>
        <a:lstStyle/>
        <a:p>
          <a:endParaRPr lang="en-US"/>
        </a:p>
      </dgm:t>
    </dgm:pt>
    <dgm:pt modelId="{BB88A3FE-4E4C-3F44-9838-C6D352AAC2D1}" type="sibTrans" cxnId="{36D80776-4AF2-D842-929F-85A044B7838B}">
      <dgm:prSet/>
      <dgm:spPr/>
      <dgm:t>
        <a:bodyPr/>
        <a:lstStyle/>
        <a:p>
          <a:endParaRPr lang="en-US"/>
        </a:p>
      </dgm:t>
    </dgm:pt>
    <dgm:pt modelId="{7D5ACCCD-6F77-CD48-8564-336F78BF921D}">
      <dgm:prSet phldrT="[Text]" custT="1"/>
      <dgm:spPr/>
      <dgm:t>
        <a:bodyPr/>
        <a:lstStyle/>
        <a:p>
          <a:pPr algn="l"/>
          <a:r>
            <a:rPr lang="en-US" sz="500"/>
            <a:t>Consequence learning</a:t>
          </a:r>
        </a:p>
      </dgm:t>
    </dgm:pt>
    <dgm:pt modelId="{4714C73F-E4C5-4C4A-A3F3-30F0569295F2}" type="parTrans" cxnId="{6C639374-5A91-D947-9B90-F4C43894ADC8}">
      <dgm:prSet/>
      <dgm:spPr/>
      <dgm:t>
        <a:bodyPr/>
        <a:lstStyle/>
        <a:p>
          <a:endParaRPr lang="en-US"/>
        </a:p>
      </dgm:t>
    </dgm:pt>
    <dgm:pt modelId="{E20D02FF-4D23-0140-8888-0680E2B28DF9}" type="sibTrans" cxnId="{6C639374-5A91-D947-9B90-F4C43894ADC8}">
      <dgm:prSet/>
      <dgm:spPr/>
      <dgm:t>
        <a:bodyPr/>
        <a:lstStyle/>
        <a:p>
          <a:endParaRPr lang="en-US"/>
        </a:p>
      </dgm:t>
    </dgm:pt>
    <dgm:pt modelId="{3A64FC4E-10F5-8B47-BB29-F16439FE22A0}">
      <dgm:prSet phldrT="[Text]" custT="1"/>
      <dgm:spPr/>
      <dgm:t>
        <a:bodyPr/>
        <a:lstStyle/>
        <a:p>
          <a:pPr algn="l"/>
          <a:r>
            <a:rPr lang="en-US" sz="500"/>
            <a:t>Practicalities - how to change behaviour</a:t>
          </a:r>
        </a:p>
        <a:p>
          <a:pPr algn="l"/>
          <a:endParaRPr lang="en-US" sz="400"/>
        </a:p>
      </dgm:t>
    </dgm:pt>
    <dgm:pt modelId="{098908CB-169C-4E48-95C9-85D6CDFC2F0B}" type="parTrans" cxnId="{18E7D484-26E6-F345-B5DB-2F67A7A62B0A}">
      <dgm:prSet/>
      <dgm:spPr/>
      <dgm:t>
        <a:bodyPr/>
        <a:lstStyle/>
        <a:p>
          <a:endParaRPr lang="en-US"/>
        </a:p>
      </dgm:t>
    </dgm:pt>
    <dgm:pt modelId="{3AEA9C3F-2952-534C-85E3-A8788F4A313A}" type="sibTrans" cxnId="{18E7D484-26E6-F345-B5DB-2F67A7A62B0A}">
      <dgm:prSet/>
      <dgm:spPr/>
      <dgm:t>
        <a:bodyPr/>
        <a:lstStyle/>
        <a:p>
          <a:endParaRPr lang="en-US"/>
        </a:p>
      </dgm:t>
    </dgm:pt>
    <dgm:pt modelId="{FF5F1DAB-88B3-F544-8FCA-F3773B8A544A}" type="pres">
      <dgm:prSet presAssocID="{6E3B5219-F115-594B-A045-3EB330687AB8}" presName="cycle" presStyleCnt="0">
        <dgm:presLayoutVars>
          <dgm:chMax val="1"/>
          <dgm:dir/>
          <dgm:animLvl val="ctr"/>
          <dgm:resizeHandles val="exact"/>
        </dgm:presLayoutVars>
      </dgm:prSet>
      <dgm:spPr/>
    </dgm:pt>
    <dgm:pt modelId="{9C23CC0B-E5DC-BA40-8554-9F978735F8A8}" type="pres">
      <dgm:prSet presAssocID="{D79CC174-57D1-CF49-BEDD-421EEAA96F26}" presName="centerShape" presStyleLbl="node0" presStyleIdx="0" presStyleCnt="1" custScaleX="125125" custScaleY="127907" custLinFactNeighborX="-6707"/>
      <dgm:spPr/>
    </dgm:pt>
    <dgm:pt modelId="{D33B1856-6124-084D-ACBC-110A03380858}" type="pres">
      <dgm:prSet presAssocID="{D730B432-0B74-9949-928A-1B8407319FAB}" presName="parTrans" presStyleLbl="bgSibTrans2D1" presStyleIdx="0" presStyleCnt="7"/>
      <dgm:spPr/>
    </dgm:pt>
    <dgm:pt modelId="{0D920B37-74C2-534A-8806-24E4133CA8F1}" type="pres">
      <dgm:prSet presAssocID="{FE3E7F46-4D27-1E42-9161-16EF79188939}" presName="node" presStyleLbl="node1" presStyleIdx="0" presStyleCnt="7" custScaleX="130474" custScaleY="173499" custRadScaleRad="97923" custRadScaleInc="-31042">
        <dgm:presLayoutVars>
          <dgm:bulletEnabled val="1"/>
        </dgm:presLayoutVars>
      </dgm:prSet>
      <dgm:spPr/>
    </dgm:pt>
    <dgm:pt modelId="{F25BC551-2D29-FC43-AC02-5EDCE78002E0}" type="pres">
      <dgm:prSet presAssocID="{A82E0FC1-449E-3D4C-9196-CD37DFD2E9C1}" presName="parTrans" presStyleLbl="bgSibTrans2D1" presStyleIdx="1" presStyleCnt="7"/>
      <dgm:spPr/>
    </dgm:pt>
    <dgm:pt modelId="{EB5A67FD-34A7-984A-94EB-92B11FFF9548}" type="pres">
      <dgm:prSet presAssocID="{DACB50FF-BD76-6B47-8654-9639C90A75EA}" presName="node" presStyleLbl="node1" presStyleIdx="1" presStyleCnt="7" custScaleX="130075" custScaleY="164161" custRadScaleRad="117698" custRadScaleInc="4794">
        <dgm:presLayoutVars>
          <dgm:bulletEnabled val="1"/>
        </dgm:presLayoutVars>
      </dgm:prSet>
      <dgm:spPr/>
    </dgm:pt>
    <dgm:pt modelId="{BEC0CF9A-9C17-764D-8A94-42D738989B99}" type="pres">
      <dgm:prSet presAssocID="{D26496A6-7D1A-8D4D-8FEB-A8AC6A037584}" presName="parTrans" presStyleLbl="bgSibTrans2D1" presStyleIdx="2" presStyleCnt="7"/>
      <dgm:spPr/>
    </dgm:pt>
    <dgm:pt modelId="{DD9808C4-CACC-1A4F-AD87-C748E606044D}" type="pres">
      <dgm:prSet presAssocID="{8691A932-37FC-3B4E-82E3-5A825A1172DD}" presName="node" presStyleLbl="node1" presStyleIdx="2" presStyleCnt="7" custScaleX="121284" custScaleY="117683" custRadScaleRad="142164" custRadScaleInc="-6547">
        <dgm:presLayoutVars>
          <dgm:bulletEnabled val="1"/>
        </dgm:presLayoutVars>
      </dgm:prSet>
      <dgm:spPr/>
    </dgm:pt>
    <dgm:pt modelId="{1376048C-2383-224D-A461-40933F5A1584}" type="pres">
      <dgm:prSet presAssocID="{3FD8F06C-5DAB-5649-B20D-C5E799B347C3}" presName="parTrans" presStyleLbl="bgSibTrans2D1" presStyleIdx="3" presStyleCnt="7"/>
      <dgm:spPr/>
    </dgm:pt>
    <dgm:pt modelId="{0512416A-A208-964C-9EEB-8692968D511C}" type="pres">
      <dgm:prSet presAssocID="{56686C1B-907F-F449-863C-C7DD00699B68}" presName="node" presStyleLbl="node1" presStyleIdx="3" presStyleCnt="7" custScaleX="118640" custScaleY="187141" custRadScaleRad="136768" custRadScaleInc="-21502">
        <dgm:presLayoutVars>
          <dgm:bulletEnabled val="1"/>
        </dgm:presLayoutVars>
      </dgm:prSet>
      <dgm:spPr/>
    </dgm:pt>
    <dgm:pt modelId="{35AB86C5-2F70-0642-A853-67E47F537B2A}" type="pres">
      <dgm:prSet presAssocID="{6E07946E-38DD-3145-A2FC-20C4B1FAF739}" presName="parTrans" presStyleLbl="bgSibTrans2D1" presStyleIdx="4" presStyleCnt="7"/>
      <dgm:spPr/>
    </dgm:pt>
    <dgm:pt modelId="{3DBC4160-32D4-CD4A-A330-0BBE241CED5D}" type="pres">
      <dgm:prSet presAssocID="{05A2C53E-6FBB-5047-9B39-A7D980C7E150}" presName="node" presStyleLbl="node1" presStyleIdx="4" presStyleCnt="7" custScaleX="111849" custScaleY="140912" custRadScaleRad="124900" custRadScaleInc="-37361">
        <dgm:presLayoutVars>
          <dgm:bulletEnabled val="1"/>
        </dgm:presLayoutVars>
      </dgm:prSet>
      <dgm:spPr/>
    </dgm:pt>
    <dgm:pt modelId="{DA3A76B9-75D5-014D-8DDF-D75C3E4012C7}" type="pres">
      <dgm:prSet presAssocID="{225DD98D-5809-D847-B38C-2943A943F20A}" presName="parTrans" presStyleLbl="bgSibTrans2D1" presStyleIdx="5" presStyleCnt="7"/>
      <dgm:spPr/>
    </dgm:pt>
    <dgm:pt modelId="{52493F77-7952-EB4A-8F05-9856E1FA3D4E}" type="pres">
      <dgm:prSet presAssocID="{599B39F7-664D-8142-97EF-A6ADD04C3506}" presName="node" presStyleLbl="node1" presStyleIdx="5" presStyleCnt="7" custScaleX="127417" custScaleY="169746" custRadScaleRad="87797" custRadScaleInc="-31263">
        <dgm:presLayoutVars>
          <dgm:bulletEnabled val="1"/>
        </dgm:presLayoutVars>
      </dgm:prSet>
      <dgm:spPr/>
    </dgm:pt>
    <dgm:pt modelId="{398F50A2-D4F1-704B-8737-C21283DF613E}" type="pres">
      <dgm:prSet presAssocID="{A1D856CE-F8E1-E042-99B7-F7A591102FEA}" presName="parTrans" presStyleLbl="bgSibTrans2D1" presStyleIdx="6" presStyleCnt="7"/>
      <dgm:spPr/>
    </dgm:pt>
    <dgm:pt modelId="{4762673D-1965-A04E-AD5A-454A61A40E92}" type="pres">
      <dgm:prSet presAssocID="{246BCB75-BD5F-D046-BEB2-789CF567D706}" presName="node" presStyleLbl="node1" presStyleIdx="6" presStyleCnt="7" custScaleX="123911" custScaleY="168616" custRadScaleRad="69595" custRadScaleInc="41142">
        <dgm:presLayoutVars>
          <dgm:bulletEnabled val="1"/>
        </dgm:presLayoutVars>
      </dgm:prSet>
      <dgm:spPr/>
    </dgm:pt>
  </dgm:ptLst>
  <dgm:cxnLst>
    <dgm:cxn modelId="{6E703D01-E331-CB43-974E-5221E48BF922}" srcId="{DACB50FF-BD76-6B47-8654-9639C90A75EA}" destId="{01B22A16-15C7-1440-880F-4648358E91AF}" srcOrd="5" destOrd="0" parTransId="{74AF0B3F-AFF1-344C-BB90-EAEC5522CCAD}" sibTransId="{AE4B6B88-419E-724F-9E17-40670ED1F5F0}"/>
    <dgm:cxn modelId="{F746F004-F08E-9C47-9297-BF735F35768B}" srcId="{D79CC174-57D1-CF49-BEDD-421EEAA96F26}" destId="{246BCB75-BD5F-D046-BEB2-789CF567D706}" srcOrd="6" destOrd="0" parTransId="{A1D856CE-F8E1-E042-99B7-F7A591102FEA}" sibTransId="{BE6D531C-31C0-EE40-8F3B-186246427AC9}"/>
    <dgm:cxn modelId="{1C564D05-B170-1E44-A8EE-8797303095BD}" type="presOf" srcId="{D26496A6-7D1A-8D4D-8FEB-A8AC6A037584}" destId="{BEC0CF9A-9C17-764D-8A94-42D738989B99}" srcOrd="0" destOrd="0" presId="urn:microsoft.com/office/officeart/2005/8/layout/radial4"/>
    <dgm:cxn modelId="{2BCB540D-2E69-574E-BC74-DF5855404879}" type="presOf" srcId="{22A47751-2036-2840-BE62-7682C56619EB}" destId="{EB5A67FD-34A7-984A-94EB-92B11FFF9548}" srcOrd="0" destOrd="10" presId="urn:microsoft.com/office/officeart/2005/8/layout/radial4"/>
    <dgm:cxn modelId="{7AC5090E-940F-9348-B2B6-DF56C3AE9DC5}" srcId="{599B39F7-664D-8142-97EF-A6ADD04C3506}" destId="{D49067B5-969A-6E4E-ABF5-1A39C6AA399F}" srcOrd="4" destOrd="0" parTransId="{25961BC1-1F3F-E240-B1CE-6C713821B9D2}" sibTransId="{75C58AC5-D1E7-9C49-9BCF-8B9A4FD77A32}"/>
    <dgm:cxn modelId="{8D20A00E-96D5-5446-ACDC-515D4CD934B1}" srcId="{8691A932-37FC-3B4E-82E3-5A825A1172DD}" destId="{817BD72F-0D9B-BF42-BE8A-C335411B8DBC}" srcOrd="5" destOrd="0" parTransId="{F09189C3-093C-3A4B-AA5D-908CF694AD6E}" sibTransId="{9A32ADD5-A6FA-7B4D-857B-B4D0BBA881A5}"/>
    <dgm:cxn modelId="{0DEC6312-FA47-2C4E-8145-1685592A8F56}" srcId="{8691A932-37FC-3B4E-82E3-5A825A1172DD}" destId="{075734A0-75E9-6C49-BB6D-E9438C8CCC44}" srcOrd="4" destOrd="0" parTransId="{DC99261C-EF3C-524B-9D80-CA37556EFDB8}" sibTransId="{EBE26F38-95D8-0F45-8652-5C7F48CCDA0A}"/>
    <dgm:cxn modelId="{A291E014-3860-FA45-A3FE-130A007F5E0C}" type="presOf" srcId="{68CAC618-2B5E-734F-A9B8-5B4C40FFA8BF}" destId="{3DBC4160-32D4-CD4A-A330-0BBE241CED5D}" srcOrd="0" destOrd="3" presId="urn:microsoft.com/office/officeart/2005/8/layout/radial4"/>
    <dgm:cxn modelId="{D4019018-AC51-DC49-8671-9758393EAE13}" srcId="{DACB50FF-BD76-6B47-8654-9639C90A75EA}" destId="{1B324594-3B8C-C64A-B76C-1AB212813878}" srcOrd="8" destOrd="0" parTransId="{5E8B54EC-85BE-6749-978B-BC862E8C23AD}" sibTransId="{BC8D9B75-D9F9-F64A-891B-83ED9D9D776D}"/>
    <dgm:cxn modelId="{0DC6001C-2372-2440-9B19-0C2F7B528FEE}" srcId="{599B39F7-664D-8142-97EF-A6ADD04C3506}" destId="{0BA4769B-B296-8F46-BCCB-5AC8276F12D0}" srcOrd="8" destOrd="0" parTransId="{FBDA8B84-8ADB-854E-8A9D-435A5165D11E}" sibTransId="{FE527DEC-29F5-5542-BD23-FD05CA05FF38}"/>
    <dgm:cxn modelId="{1D7D041D-C000-F74A-A260-66800C13A520}" type="presOf" srcId="{24E22236-D058-674D-990C-AF8224983666}" destId="{EB5A67FD-34A7-984A-94EB-92B11FFF9548}" srcOrd="0" destOrd="1" presId="urn:microsoft.com/office/officeart/2005/8/layout/radial4"/>
    <dgm:cxn modelId="{11ECF71E-5404-1C47-AD5D-04E578216F30}" srcId="{DACB50FF-BD76-6B47-8654-9639C90A75EA}" destId="{22A47751-2036-2840-BE62-7682C56619EB}" srcOrd="9" destOrd="0" parTransId="{DA65B9C6-2FD6-AC49-BB0D-9F31553F44C2}" sibTransId="{5D7F8E00-C3E3-CF45-B887-0383486D2EAC}"/>
    <dgm:cxn modelId="{25FDC81F-2350-7D4C-84E6-0B67C3795CFC}" type="presOf" srcId="{01B22A16-15C7-1440-880F-4648358E91AF}" destId="{EB5A67FD-34A7-984A-94EB-92B11FFF9548}" srcOrd="0" destOrd="6" presId="urn:microsoft.com/office/officeart/2005/8/layout/radial4"/>
    <dgm:cxn modelId="{472F9A24-8D90-9B48-8416-36A3E2A50507}" type="presOf" srcId="{6E07946E-38DD-3145-A2FC-20C4B1FAF739}" destId="{35AB86C5-2F70-0642-A853-67E47F537B2A}" srcOrd="0" destOrd="0" presId="urn:microsoft.com/office/officeart/2005/8/layout/radial4"/>
    <dgm:cxn modelId="{7207E626-2A89-B447-B714-4539D9BB96E1}" srcId="{D79CC174-57D1-CF49-BEDD-421EEAA96F26}" destId="{56686C1B-907F-F449-863C-C7DD00699B68}" srcOrd="3" destOrd="0" parTransId="{3FD8F06C-5DAB-5649-B20D-C5E799B347C3}" sibTransId="{C6E8B48A-0011-054A-8B98-634B5173452A}"/>
    <dgm:cxn modelId="{300B8727-17F6-6049-8CB0-F45E2CE72257}" type="presOf" srcId="{6FD26B32-9C2F-C246-ADFE-E10E770EB3CD}" destId="{0D920B37-74C2-534A-8806-24E4133CA8F1}" srcOrd="0" destOrd="6" presId="urn:microsoft.com/office/officeart/2005/8/layout/radial4"/>
    <dgm:cxn modelId="{7BB3322B-2EF0-D747-A98D-EFC079E2F03B}" type="presOf" srcId="{24A7616C-F976-EB47-97E0-DE30ECF64A6B}" destId="{4762673D-1965-A04E-AD5A-454A61A40E92}" srcOrd="0" destOrd="5" presId="urn:microsoft.com/office/officeart/2005/8/layout/radial4"/>
    <dgm:cxn modelId="{37DD442C-60C9-3D41-8F0F-34437A00A77B}" type="presOf" srcId="{817BD72F-0D9B-BF42-BE8A-C335411B8DBC}" destId="{DD9808C4-CACC-1A4F-AD87-C748E606044D}" srcOrd="0" destOrd="6" presId="urn:microsoft.com/office/officeart/2005/8/layout/radial4"/>
    <dgm:cxn modelId="{0C387F2F-D1C8-BF49-AD95-42C9F66E8452}" type="presOf" srcId="{36717BB0-AF5B-DB49-9FF6-CD5F58829CEA}" destId="{DD9808C4-CACC-1A4F-AD87-C748E606044D}" srcOrd="0" destOrd="2" presId="urn:microsoft.com/office/officeart/2005/8/layout/radial4"/>
    <dgm:cxn modelId="{4985DD37-5D17-5047-8C9E-5CBC627D7032}" srcId="{FE3E7F46-4D27-1E42-9161-16EF79188939}" destId="{4F2290D7-987B-4548-AF46-87E4888AAF28}" srcOrd="6" destOrd="0" parTransId="{BB73E826-73E5-634C-A831-F5EE0DF72658}" sibTransId="{C946F9C6-CA4C-DF44-B556-4BB292879499}"/>
    <dgm:cxn modelId="{BBE79E38-DBAF-B948-8B39-9874236628F3}" srcId="{8691A932-37FC-3B4E-82E3-5A825A1172DD}" destId="{36717BB0-AF5B-DB49-9FF6-CD5F58829CEA}" srcOrd="1" destOrd="0" parTransId="{F8EF43F7-41C9-7048-BF36-A5497B3C3824}" sibTransId="{DA1F516F-58E8-1440-87F1-7A0C02EC8293}"/>
    <dgm:cxn modelId="{C8656D39-09A5-B541-9E2F-65FBAB313E5F}" srcId="{FE3E7F46-4D27-1E42-9161-16EF79188939}" destId="{80E249A0-0D50-1F4F-8490-34F8F1E109AE}" srcOrd="1" destOrd="0" parTransId="{26F15F89-81C0-BF45-8321-E83497EC37EB}" sibTransId="{F416EBA5-46E1-AD40-88BB-550DA9645DC9}"/>
    <dgm:cxn modelId="{5DB36A3B-ED72-1441-A1E2-C058BFB0A813}" type="presOf" srcId="{E65013CB-7DFD-9848-BFA6-9D3AE6C4805D}" destId="{4762673D-1965-A04E-AD5A-454A61A40E92}" srcOrd="0" destOrd="1" presId="urn:microsoft.com/office/officeart/2005/8/layout/radial4"/>
    <dgm:cxn modelId="{A875933D-1433-B748-ACA9-65881DE67E72}" srcId="{599B39F7-664D-8142-97EF-A6ADD04C3506}" destId="{2720950C-54D4-2B4B-9289-7A0CA552D6CE}" srcOrd="2" destOrd="0" parTransId="{A14131FC-C72C-3A4F-9F7C-230CEA774BAB}" sibTransId="{1699012E-F204-B046-929F-1F96028F5281}"/>
    <dgm:cxn modelId="{3B1C293E-553B-7144-9E78-7A86DA82AE9C}" type="presOf" srcId="{D036CA82-4EE5-A64A-AB60-3D00715C17CF}" destId="{DD9808C4-CACC-1A4F-AD87-C748E606044D}" srcOrd="0" destOrd="7" presId="urn:microsoft.com/office/officeart/2005/8/layout/radial4"/>
    <dgm:cxn modelId="{A3631B3F-2FA3-9349-B26F-4739A164BC20}" type="presOf" srcId="{41FCD11F-7E98-E049-A674-561ECF3098C4}" destId="{EB5A67FD-34A7-984A-94EB-92B11FFF9548}" srcOrd="0" destOrd="4" presId="urn:microsoft.com/office/officeart/2005/8/layout/radial4"/>
    <dgm:cxn modelId="{E321955C-C623-4E4A-B839-3E996D6CAA9C}" srcId="{56686C1B-907F-F449-863C-C7DD00699B68}" destId="{2630A724-5C3F-6F4A-8BCD-93FC444C7E94}" srcOrd="7" destOrd="0" parTransId="{1A2DB41A-89C5-FA47-AC1F-EFB77BDEB0A5}" sibTransId="{D409047B-F32E-7342-AB59-007E72CC5F65}"/>
    <dgm:cxn modelId="{E9080460-5A17-7E4C-AAFB-B6F5C757135F}" type="presOf" srcId="{0E58EFED-940A-F744-B849-C2502CC750AA}" destId="{0D920B37-74C2-534A-8806-24E4133CA8F1}" srcOrd="0" destOrd="3" presId="urn:microsoft.com/office/officeart/2005/8/layout/radial4"/>
    <dgm:cxn modelId="{65E25441-F1AC-2443-8933-44F9C45B2E53}" srcId="{DACB50FF-BD76-6B47-8654-9639C90A75EA}" destId="{24E22236-D058-674D-990C-AF8224983666}" srcOrd="0" destOrd="0" parTransId="{396FB30D-0ED7-A149-9348-0D465CCCACEB}" sibTransId="{6DFD436C-0750-F247-8E7A-5902529CB334}"/>
    <dgm:cxn modelId="{5D01A641-3B88-6F4C-9E80-8D06412AAB23}" type="presOf" srcId="{599B39F7-664D-8142-97EF-A6ADD04C3506}" destId="{52493F77-7952-EB4A-8F05-9856E1FA3D4E}" srcOrd="0" destOrd="0" presId="urn:microsoft.com/office/officeart/2005/8/layout/radial4"/>
    <dgm:cxn modelId="{D0806B44-897A-CB4D-8DA3-FC96FE608131}" type="presOf" srcId="{19FB07B3-E719-1D47-9A56-7CAE1734DD6B}" destId="{3DBC4160-32D4-CD4A-A330-0BBE241CED5D}" srcOrd="0" destOrd="1" presId="urn:microsoft.com/office/officeart/2005/8/layout/radial4"/>
    <dgm:cxn modelId="{732EAC64-4824-A742-BF1A-16967885B1E6}" type="presOf" srcId="{AA85DE65-B522-FD47-AABF-517F0105ACB7}" destId="{EB5A67FD-34A7-984A-94EB-92B11FFF9548}" srcOrd="0" destOrd="2" presId="urn:microsoft.com/office/officeart/2005/8/layout/radial4"/>
    <dgm:cxn modelId="{6797A265-5D08-0E4B-A350-6A711F93D38A}" type="presOf" srcId="{7D5ACCCD-6F77-CD48-8564-336F78BF921D}" destId="{4762673D-1965-A04E-AD5A-454A61A40E92}" srcOrd="0" destOrd="6" presId="urn:microsoft.com/office/officeart/2005/8/layout/radial4"/>
    <dgm:cxn modelId="{C55B8E66-5B15-F84D-936F-3B924B40E382}" type="presOf" srcId="{8691A932-37FC-3B4E-82E3-5A825A1172DD}" destId="{DD9808C4-CACC-1A4F-AD87-C748E606044D}" srcOrd="0" destOrd="0" presId="urn:microsoft.com/office/officeart/2005/8/layout/radial4"/>
    <dgm:cxn modelId="{8BEDE846-FB3D-D044-BF6B-B59F9CD0B5E8}" srcId="{599B39F7-664D-8142-97EF-A6ADD04C3506}" destId="{6C4C3495-40C3-224D-8428-A232E8E1810A}" srcOrd="0" destOrd="0" parTransId="{421CE4FD-EA31-BF41-9E6F-193B0431EF85}" sibTransId="{7DCB00DB-AEBA-4C43-BBE5-8D0556702BB8}"/>
    <dgm:cxn modelId="{FDE63A47-4641-2943-B497-57CAF5F5BF0E}" type="presOf" srcId="{56686C1B-907F-F449-863C-C7DD00699B68}" destId="{0512416A-A208-964C-9EEB-8692968D511C}" srcOrd="0" destOrd="0" presId="urn:microsoft.com/office/officeart/2005/8/layout/radial4"/>
    <dgm:cxn modelId="{ADC0F167-0B1D-3843-93BA-52708BD6C2ED}" srcId="{599B39F7-664D-8142-97EF-A6ADD04C3506}" destId="{A980EE9C-7173-F84D-AB84-13FEA798E6F9}" srcOrd="9" destOrd="0" parTransId="{B7091FEE-FA94-7E4A-8C6E-2BE1CA4FBFEA}" sibTransId="{A532289D-1C44-ED43-8C48-5D83A3BA55D9}"/>
    <dgm:cxn modelId="{1005CB48-C13A-1F49-8F5C-0D22C0B3F5E4}" type="presOf" srcId="{D730B432-0B74-9949-928A-1B8407319FAB}" destId="{D33B1856-6124-084D-ACBC-110A03380858}" srcOrd="0" destOrd="0" presId="urn:microsoft.com/office/officeart/2005/8/layout/radial4"/>
    <dgm:cxn modelId="{0E81264B-DEC6-6C47-9F73-11996BDABB76}" type="presOf" srcId="{B69B4456-7B5C-004E-9C24-92A0F70357ED}" destId="{52493F77-7952-EB4A-8F05-9856E1FA3D4E}" srcOrd="0" destOrd="6" presId="urn:microsoft.com/office/officeart/2005/8/layout/radial4"/>
    <dgm:cxn modelId="{41B55D4B-55E6-E448-9AB9-CF27D6530045}" srcId="{599B39F7-664D-8142-97EF-A6ADD04C3506}" destId="{4BA1104A-27FB-8440-A28E-EECA37AC3B5E}" srcOrd="3" destOrd="0" parTransId="{5BD798D2-F26D-1148-94DD-0139FD89D912}" sibTransId="{B55E579F-4A45-154F-BA0D-D2B8DD6C764A}"/>
    <dgm:cxn modelId="{ADC5C44B-CFC4-DF42-8E8E-3503E92E77BF}" srcId="{05A2C53E-6FBB-5047-9B39-A7D980C7E150}" destId="{68CAC618-2B5E-734F-A9B8-5B4C40FFA8BF}" srcOrd="2" destOrd="0" parTransId="{620528E3-3EC4-BB46-9D6A-D13E29966623}" sibTransId="{2B5252E7-39EA-B94C-BA16-8E4137042562}"/>
    <dgm:cxn modelId="{509B484D-A05F-134C-B95B-065A458F83F7}" type="presOf" srcId="{246BCB75-BD5F-D046-BEB2-789CF567D706}" destId="{4762673D-1965-A04E-AD5A-454A61A40E92}" srcOrd="0" destOrd="0" presId="urn:microsoft.com/office/officeart/2005/8/layout/radial4"/>
    <dgm:cxn modelId="{454C106E-3145-534A-928D-5EE8FC658606}" srcId="{D79CC174-57D1-CF49-BEDD-421EEAA96F26}" destId="{05A2C53E-6FBB-5047-9B39-A7D980C7E150}" srcOrd="4" destOrd="0" parTransId="{6E07946E-38DD-3145-A2FC-20C4B1FAF739}" sibTransId="{F60D950A-098C-6D4D-9340-9733FC6607B5}"/>
    <dgm:cxn modelId="{45AC224F-9C10-8645-AA19-86D9097DB95C}" type="presOf" srcId="{438F8F23-DD63-8247-942F-D643C0040418}" destId="{0512416A-A208-964C-9EEB-8692968D511C}" srcOrd="0" destOrd="3" presId="urn:microsoft.com/office/officeart/2005/8/layout/radial4"/>
    <dgm:cxn modelId="{609E756F-0EA7-2B4A-9B7B-A9AAFF700BD9}" type="presOf" srcId="{8B46D2E3-1E4C-9542-86E9-C5F16FB188CD}" destId="{52493F77-7952-EB4A-8F05-9856E1FA3D4E}" srcOrd="0" destOrd="7" presId="urn:microsoft.com/office/officeart/2005/8/layout/radial4"/>
    <dgm:cxn modelId="{AEF6A76F-F481-1C41-8DE1-4AEDBD40F437}" srcId="{56686C1B-907F-F449-863C-C7DD00699B68}" destId="{1B4F9490-F34F-B144-B8B9-6EF54A815D66}" srcOrd="3" destOrd="0" parTransId="{01C731AD-1CB7-FA4F-82CE-13CC49B0F064}" sibTransId="{387A7926-A9DF-264B-9F73-B11C92AA1466}"/>
    <dgm:cxn modelId="{25A85571-27F3-7E4D-85C2-1E7CD077316C}" type="presOf" srcId="{B8A70EC7-3C02-1044-8A63-BA16480792A5}" destId="{DD9808C4-CACC-1A4F-AD87-C748E606044D}" srcOrd="0" destOrd="4" presId="urn:microsoft.com/office/officeart/2005/8/layout/radial4"/>
    <dgm:cxn modelId="{13179851-6518-6F4B-8A51-8938DC589210}" type="presOf" srcId="{3A64FC4E-10F5-8B47-BB29-F16439FE22A0}" destId="{4762673D-1965-A04E-AD5A-454A61A40E92}" srcOrd="0" destOrd="7" presId="urn:microsoft.com/office/officeart/2005/8/layout/radial4"/>
    <dgm:cxn modelId="{F3EFD271-66F2-7E42-B455-DCE28E106D0F}" type="presOf" srcId="{7981C36E-70FF-AB4A-8DDA-F4C07980C593}" destId="{3DBC4160-32D4-CD4A-A330-0BBE241CED5D}" srcOrd="0" destOrd="4" presId="urn:microsoft.com/office/officeart/2005/8/layout/radial4"/>
    <dgm:cxn modelId="{97411552-6200-F546-AE85-AA9A9121FAE2}" type="presOf" srcId="{6C4C3495-40C3-224D-8428-A232E8E1810A}" destId="{52493F77-7952-EB4A-8F05-9856E1FA3D4E}" srcOrd="0" destOrd="1" presId="urn:microsoft.com/office/officeart/2005/8/layout/radial4"/>
    <dgm:cxn modelId="{4E557C73-FA90-5A47-8223-B5C0ACF47C3F}" type="presOf" srcId="{1B324594-3B8C-C64A-B76C-1AB212813878}" destId="{EB5A67FD-34A7-984A-94EB-92B11FFF9548}" srcOrd="0" destOrd="9" presId="urn:microsoft.com/office/officeart/2005/8/layout/radial4"/>
    <dgm:cxn modelId="{2AB10954-E575-E94F-9F28-5916255310E5}" srcId="{FE3E7F46-4D27-1E42-9161-16EF79188939}" destId="{6DAA99E2-EDA1-5B4E-9E70-5A8A7B2F0B24}" srcOrd="0" destOrd="0" parTransId="{808BD7FE-423F-8B44-9C6A-722BA48C30EC}" sibTransId="{4FB821A2-7072-C643-8813-7D41A5B5079C}"/>
    <dgm:cxn modelId="{6C639374-5A91-D947-9B90-F4C43894ADC8}" srcId="{246BCB75-BD5F-D046-BEB2-789CF567D706}" destId="{7D5ACCCD-6F77-CD48-8564-336F78BF921D}" srcOrd="5" destOrd="0" parTransId="{4714C73F-E4C5-4C4A-A3F3-30F0569295F2}" sibTransId="{E20D02FF-4D23-0140-8888-0680E2B28DF9}"/>
    <dgm:cxn modelId="{E0F06755-A5AE-9C4D-9B0E-7974B535E361}" srcId="{246BCB75-BD5F-D046-BEB2-789CF567D706}" destId="{E901508D-8F9A-574A-83FB-0F3A1BBE0D87}" srcOrd="1" destOrd="0" parTransId="{F71A0B09-D9DD-6544-BF15-15116BFA2DB1}" sibTransId="{D2844773-8A4F-C145-8570-13D394033CDA}"/>
    <dgm:cxn modelId="{36D80776-4AF2-D842-929F-85A044B7838B}" srcId="{246BCB75-BD5F-D046-BEB2-789CF567D706}" destId="{24A7616C-F976-EB47-97E0-DE30ECF64A6B}" srcOrd="4" destOrd="0" parTransId="{750023D0-0C98-6F4F-80BC-E1891F268226}" sibTransId="{BB88A3FE-4E4C-3F44-9838-C6D352AAC2D1}"/>
    <dgm:cxn modelId="{CA8A7657-C2F7-A241-B2F5-A56FCF85D774}" srcId="{56686C1B-907F-F449-863C-C7DD00699B68}" destId="{9156E427-3FE9-3740-BE62-DCA05FDBCBDD}" srcOrd="6" destOrd="0" parTransId="{EBD1991B-F178-C64A-B36E-7D6EB2DFA336}" sibTransId="{39107185-1B1E-FA4E-ACD4-876CA7A9513D}"/>
    <dgm:cxn modelId="{83917958-BAFF-BF45-AFBC-2FA872F91B15}" srcId="{246BCB75-BD5F-D046-BEB2-789CF567D706}" destId="{E65013CB-7DFD-9848-BFA6-9D3AE6C4805D}" srcOrd="0" destOrd="0" parTransId="{56B9C06F-F819-3F42-AA6E-CD84D29CA40B}" sibTransId="{85EB14F4-9863-1A4A-A82E-5493135E03DA}"/>
    <dgm:cxn modelId="{98C9D058-4726-0947-88EE-125C18A600A0}" type="presOf" srcId="{A82E0FC1-449E-3D4C-9196-CD37DFD2E9C1}" destId="{F25BC551-2D29-FC43-AC02-5EDCE78002E0}" srcOrd="0" destOrd="0" presId="urn:microsoft.com/office/officeart/2005/8/layout/radial4"/>
    <dgm:cxn modelId="{13CB5B7B-D0BF-DA4B-A602-7EF6F2E6DA47}" type="presOf" srcId="{C8594121-4C0F-D74C-BDEF-2C0F9FC1BD43}" destId="{DD9808C4-CACC-1A4F-AD87-C748E606044D}" srcOrd="0" destOrd="1" presId="urn:microsoft.com/office/officeart/2005/8/layout/radial4"/>
    <dgm:cxn modelId="{2DA0BC7D-B9E3-4346-97C9-7D8EB22B0AA1}" srcId="{56686C1B-907F-F449-863C-C7DD00699B68}" destId="{03B62CEB-5F03-8A44-8A84-2C26DC0F0C9D}" srcOrd="5" destOrd="0" parTransId="{91F09489-034E-E84D-B614-347C6A512F7B}" sibTransId="{7971CFC5-51D2-EB4C-AE8A-C44F73BCF4BE}"/>
    <dgm:cxn modelId="{A11E397E-39F0-9E4D-9757-0D0E0D41A006}" srcId="{FE3E7F46-4D27-1E42-9161-16EF79188939}" destId="{0E58EFED-940A-F744-B849-C2502CC750AA}" srcOrd="2" destOrd="0" parTransId="{38DCC197-8DAA-ED41-A994-6F5BF35EA403}" sibTransId="{EB8E8750-3D36-8C4A-BE6E-B2BE7614F85C}"/>
    <dgm:cxn modelId="{82662B7F-06F9-5D4E-AC85-C6B64615C11B}" srcId="{8691A932-37FC-3B4E-82E3-5A825A1172DD}" destId="{B8A70EC7-3C02-1044-8A63-BA16480792A5}" srcOrd="3" destOrd="0" parTransId="{F1CFA993-DD66-3C46-96DA-8D2AC31DB7A8}" sibTransId="{704A3BDB-8FA3-0C4E-8A13-2959B418EEB3}"/>
    <dgm:cxn modelId="{73391080-4E50-9D40-8C95-444E8AC5E176}" srcId="{05A2C53E-6FBB-5047-9B39-A7D980C7E150}" destId="{7981C36E-70FF-AB4A-8DDA-F4C07980C593}" srcOrd="3" destOrd="0" parTransId="{7436EC08-5C41-C04C-A32B-F8E3003E1E50}" sibTransId="{32A64C77-D27C-0A49-AD5F-E030680EB7BF}"/>
    <dgm:cxn modelId="{2018C681-B3C7-D341-A127-B949ABB9AF3C}" type="presOf" srcId="{A980EE9C-7173-F84D-AB84-13FEA798E6F9}" destId="{52493F77-7952-EB4A-8F05-9856E1FA3D4E}" srcOrd="0" destOrd="10" presId="urn:microsoft.com/office/officeart/2005/8/layout/radial4"/>
    <dgm:cxn modelId="{60C7EE82-AFD5-FA4C-887B-2CF4171A02F6}" type="presOf" srcId="{D79CC174-57D1-CF49-BEDD-421EEAA96F26}" destId="{9C23CC0B-E5DC-BA40-8554-9F978735F8A8}" srcOrd="0" destOrd="0" presId="urn:microsoft.com/office/officeart/2005/8/layout/radial4"/>
    <dgm:cxn modelId="{49250584-21B1-7549-AFD4-21BCADECE97B}" type="presOf" srcId="{2630A724-5C3F-6F4A-8BCD-93FC444C7E94}" destId="{0512416A-A208-964C-9EEB-8692968D511C}" srcOrd="0" destOrd="8" presId="urn:microsoft.com/office/officeart/2005/8/layout/radial4"/>
    <dgm:cxn modelId="{74722784-464D-2245-94D3-3B95F328447E}" srcId="{599B39F7-664D-8142-97EF-A6ADD04C3506}" destId="{514AD483-2A85-9142-90AD-A35292B9C8BC}" srcOrd="1" destOrd="0" parTransId="{5DC89B2D-F9F0-0E45-88D5-8FCBBD307CC9}" sibTransId="{F6E8CB87-03AC-1E44-9AA5-F0B175A03722}"/>
    <dgm:cxn modelId="{18E7D484-26E6-F345-B5DB-2F67A7A62B0A}" srcId="{246BCB75-BD5F-D046-BEB2-789CF567D706}" destId="{3A64FC4E-10F5-8B47-BB29-F16439FE22A0}" srcOrd="6" destOrd="0" parTransId="{098908CB-169C-4E48-95C9-85D6CDFC2F0B}" sibTransId="{3AEA9C3F-2952-534C-85E3-A8788F4A313A}"/>
    <dgm:cxn modelId="{FBCCEE84-8DCC-A94C-8A3B-CCA1CEFCD45F}" type="presOf" srcId="{F1710E3E-AC51-0044-B21A-A59C2CF60306}" destId="{0512416A-A208-964C-9EEB-8692968D511C}" srcOrd="0" destOrd="5" presId="urn:microsoft.com/office/officeart/2005/8/layout/radial4"/>
    <dgm:cxn modelId="{FE013285-6C66-604D-B5D1-D66FA8EFE25A}" srcId="{8691A932-37FC-3B4E-82E3-5A825A1172DD}" destId="{D036CA82-4EE5-A64A-AB60-3D00715C17CF}" srcOrd="6" destOrd="0" parTransId="{1A9C3A47-FCD5-4148-8CEA-8E5D3EA733C3}" sibTransId="{A18AAD6B-F938-FF44-B652-7C729CFAA85C}"/>
    <dgm:cxn modelId="{C4749385-6E82-4C4A-A411-FC40EF6A1553}" type="presOf" srcId="{35DCC077-0056-0A48-94D0-326400A2FFFF}" destId="{4762673D-1965-A04E-AD5A-454A61A40E92}" srcOrd="0" destOrd="4" presId="urn:microsoft.com/office/officeart/2005/8/layout/radial4"/>
    <dgm:cxn modelId="{530F3988-F8F1-EC44-9401-3B7A729CB419}" type="presOf" srcId="{6DAA99E2-EDA1-5B4E-9E70-5A8A7B2F0B24}" destId="{0D920B37-74C2-534A-8806-24E4133CA8F1}" srcOrd="0" destOrd="1" presId="urn:microsoft.com/office/officeart/2005/8/layout/radial4"/>
    <dgm:cxn modelId="{247B6788-623C-DC41-A970-4718BBB5A3DF}" srcId="{05A2C53E-6FBB-5047-9B39-A7D980C7E150}" destId="{19FB07B3-E719-1D47-9A56-7CAE1734DD6B}" srcOrd="0" destOrd="0" parTransId="{8C03C074-898F-634A-8608-DA6C7D3C7643}" sibTransId="{4E4CA500-ACC4-5B4A-AB38-DC2FD1D7465A}"/>
    <dgm:cxn modelId="{B21D788B-CCC6-F647-B9B4-C0E49F0300A3}" type="presOf" srcId="{C3133802-ED79-CA44-BD28-DB308A0913A1}" destId="{0D920B37-74C2-534A-8806-24E4133CA8F1}" srcOrd="0" destOrd="4" presId="urn:microsoft.com/office/officeart/2005/8/layout/radial4"/>
    <dgm:cxn modelId="{DE6B7092-236F-5E48-82F8-B506057C3332}" type="presOf" srcId="{A1D856CE-F8E1-E042-99B7-F7A591102FEA}" destId="{398F50A2-D4F1-704B-8737-C21283DF613E}" srcOrd="0" destOrd="0" presId="urn:microsoft.com/office/officeart/2005/8/layout/radial4"/>
    <dgm:cxn modelId="{08652094-788A-AB40-A3C8-EC8A15CE8A2A}" type="presOf" srcId="{9156E427-3FE9-3740-BE62-DCA05FDBCBDD}" destId="{0512416A-A208-964C-9EEB-8692968D511C}" srcOrd="0" destOrd="7" presId="urn:microsoft.com/office/officeart/2005/8/layout/radial4"/>
    <dgm:cxn modelId="{F9D10D96-68A7-F340-8F6A-816E70AEB751}" type="presOf" srcId="{225DD98D-5809-D847-B38C-2943A943F20A}" destId="{DA3A76B9-75D5-014D-8DDF-D75C3E4012C7}" srcOrd="0" destOrd="0" presId="urn:microsoft.com/office/officeart/2005/8/layout/radial4"/>
    <dgm:cxn modelId="{A6905596-0622-3147-B940-42508EE539C0}" srcId="{8691A932-37FC-3B4E-82E3-5A825A1172DD}" destId="{E8159995-A12C-194D-AC4A-1AC9EFA9695F}" srcOrd="2" destOrd="0" parTransId="{0249C7AE-5082-C44C-8675-6D984027F59D}" sibTransId="{E4B9DC35-9383-454A-BF60-C034483C0FC0}"/>
    <dgm:cxn modelId="{31EDE596-0EEA-504A-ABD7-D57FDE29ACDF}" type="presOf" srcId="{3FD8F06C-5DAB-5649-B20D-C5E799B347C3}" destId="{1376048C-2383-224D-A461-40933F5A1584}" srcOrd="0" destOrd="0" presId="urn:microsoft.com/office/officeart/2005/8/layout/radial4"/>
    <dgm:cxn modelId="{93DF3299-4312-304C-BEB4-2FA25BDA92F8}" type="presOf" srcId="{DACB50FF-BD76-6B47-8654-9639C90A75EA}" destId="{EB5A67FD-34A7-984A-94EB-92B11FFF9548}" srcOrd="0" destOrd="0" presId="urn:microsoft.com/office/officeart/2005/8/layout/radial4"/>
    <dgm:cxn modelId="{6D3EA69B-F840-214B-BA56-A2CDF218C406}" type="presOf" srcId="{80E249A0-0D50-1F4F-8490-34F8F1E109AE}" destId="{0D920B37-74C2-534A-8806-24E4133CA8F1}" srcOrd="0" destOrd="2" presId="urn:microsoft.com/office/officeart/2005/8/layout/radial4"/>
    <dgm:cxn modelId="{D967399C-5456-8045-A411-E4D2E8EF93A5}" type="presOf" srcId="{FDB3EB92-CCCC-5840-BD80-0EA75FAD0863}" destId="{3DBC4160-32D4-CD4A-A330-0BBE241CED5D}" srcOrd="0" destOrd="2" presId="urn:microsoft.com/office/officeart/2005/8/layout/radial4"/>
    <dgm:cxn modelId="{D664679E-EFED-4A4C-AF8E-4104B1F9A7BB}" type="presOf" srcId="{0BA4769B-B296-8F46-BCCB-5AC8276F12D0}" destId="{52493F77-7952-EB4A-8F05-9856E1FA3D4E}" srcOrd="0" destOrd="9" presId="urn:microsoft.com/office/officeart/2005/8/layout/radial4"/>
    <dgm:cxn modelId="{56C99AA0-22E6-FD44-B748-A8C4E9CFC703}" srcId="{D79CC174-57D1-CF49-BEDD-421EEAA96F26}" destId="{FE3E7F46-4D27-1E42-9161-16EF79188939}" srcOrd="0" destOrd="0" parTransId="{D730B432-0B74-9949-928A-1B8407319FAB}" sibTransId="{C244139A-05F9-5F46-9F35-92EF1A5EE73E}"/>
    <dgm:cxn modelId="{0A551DA1-A884-8846-841B-1C16265AB521}" srcId="{DACB50FF-BD76-6B47-8654-9639C90A75EA}" destId="{BF86AC9A-9907-DD43-9EDB-E21CBF67FACC}" srcOrd="2" destOrd="0" parTransId="{311B5501-0030-3744-914A-442C1BE428F2}" sibTransId="{C563E17F-53CE-F243-82CD-9E188A05B18F}"/>
    <dgm:cxn modelId="{B93D81A3-B96B-B04B-B6E9-6FFE734D04DB}" srcId="{FE3E7F46-4D27-1E42-9161-16EF79188939}" destId="{66E7D831-4A8C-444F-B59F-4D6A6630BCD9}" srcOrd="4" destOrd="0" parTransId="{3324CEB9-C557-BA4A-A64F-305275F9EE3B}" sibTransId="{CD8ECA44-1138-1F4A-AE02-2F9D07814AFB}"/>
    <dgm:cxn modelId="{7E591EA5-D959-2246-9C1A-09BD341B6C3A}" srcId="{56686C1B-907F-F449-863C-C7DD00699B68}" destId="{02B080CE-2662-994B-9EC1-CF9D1A4899B0}" srcOrd="0" destOrd="0" parTransId="{D8DFFBF1-8ED9-F941-B1B7-ABC9F326810D}" sibTransId="{8C9C4142-ADA7-B549-A69B-B56CBFA50300}"/>
    <dgm:cxn modelId="{3AAD35A5-A648-334A-959D-7DD687068F42}" srcId="{599B39F7-664D-8142-97EF-A6ADD04C3506}" destId="{B69B4456-7B5C-004E-9C24-92A0F70357ED}" srcOrd="5" destOrd="0" parTransId="{2EE3E226-B884-3047-83D2-E4D157EECD50}" sibTransId="{C07B80D7-98BD-3442-A826-12DF8F25A7EA}"/>
    <dgm:cxn modelId="{4458B6A5-0A2A-A44E-BFA0-710C4F33E400}" srcId="{05A2C53E-6FBB-5047-9B39-A7D980C7E150}" destId="{FDB3EB92-CCCC-5840-BD80-0EA75FAD0863}" srcOrd="1" destOrd="0" parTransId="{FE58540D-3846-4245-8609-804F4653FA5E}" sibTransId="{0D0C393F-93EB-8048-AE74-4F5D86348E71}"/>
    <dgm:cxn modelId="{C26168AC-9B04-CB46-82FB-A897E3145860}" type="presOf" srcId="{C5E7FFFA-D27F-664C-9533-0129591CE875}" destId="{52493F77-7952-EB4A-8F05-9856E1FA3D4E}" srcOrd="0" destOrd="8" presId="urn:microsoft.com/office/officeart/2005/8/layout/radial4"/>
    <dgm:cxn modelId="{FB67D6B0-5917-D64A-B8C7-48DA63DBD999}" srcId="{8691A932-37FC-3B4E-82E3-5A825A1172DD}" destId="{C8594121-4C0F-D74C-BDEF-2C0F9FC1BD43}" srcOrd="0" destOrd="0" parTransId="{6F9B58B9-B215-7245-9D39-F585E5B09754}" sibTransId="{5E7FB130-6B02-5342-86E6-4653F989344E}"/>
    <dgm:cxn modelId="{257DEAB0-D5F0-5A43-817D-0621457E8528}" type="presOf" srcId="{E8159995-A12C-194D-AC4A-1AC9EFA9695F}" destId="{DD9808C4-CACC-1A4F-AD87-C748E606044D}" srcOrd="0" destOrd="3" presId="urn:microsoft.com/office/officeart/2005/8/layout/radial4"/>
    <dgm:cxn modelId="{DE32E7B1-6C1A-0241-99F5-47F698775F6B}" type="presOf" srcId="{3B4E169B-FE28-D14A-8F10-C5C6B63C41D3}" destId="{0512416A-A208-964C-9EEB-8692968D511C}" srcOrd="0" destOrd="10" presId="urn:microsoft.com/office/officeart/2005/8/layout/radial4"/>
    <dgm:cxn modelId="{681516B2-A0A0-F54D-94FE-B0AFA3B22AB6}" srcId="{DACB50FF-BD76-6B47-8654-9639C90A75EA}" destId="{41FCD11F-7E98-E049-A674-561ECF3098C4}" srcOrd="3" destOrd="0" parTransId="{EEB006FF-4548-1B41-B661-2ECFE8F95407}" sibTransId="{9C7ED2F2-290C-5545-80A1-42F75EAAA95A}"/>
    <dgm:cxn modelId="{2EFD2FB3-EEA2-A844-9B93-89DAFF0D1532}" srcId="{DACB50FF-BD76-6B47-8654-9639C90A75EA}" destId="{FAD4F637-7B06-5C4B-968E-F094CAF6A89C}" srcOrd="4" destOrd="0" parTransId="{05E9C44E-B58A-124D-BE07-4A5E498A28C5}" sibTransId="{738CAE58-D9CB-0545-9870-491E520ABF0F}"/>
    <dgm:cxn modelId="{B15798B3-D255-4F49-A159-C625D874B47E}" type="presOf" srcId="{BF86AC9A-9907-DD43-9EDB-E21CBF67FACC}" destId="{EB5A67FD-34A7-984A-94EB-92B11FFF9548}" srcOrd="0" destOrd="3" presId="urn:microsoft.com/office/officeart/2005/8/layout/radial4"/>
    <dgm:cxn modelId="{A92BEDB3-EF99-C14A-88CE-F2D82EE69ECD}" srcId="{D79CC174-57D1-CF49-BEDD-421EEAA96F26}" destId="{DACB50FF-BD76-6B47-8654-9639C90A75EA}" srcOrd="1" destOrd="0" parTransId="{A82E0FC1-449E-3D4C-9196-CD37DFD2E9C1}" sibTransId="{FFAD7CE8-2D56-0643-B1A2-F796F8E716A5}"/>
    <dgm:cxn modelId="{B11513B4-3856-3C43-9B7E-B26B8E349FEE}" type="presOf" srcId="{075734A0-75E9-6C49-BB6D-E9438C8CCC44}" destId="{DD9808C4-CACC-1A4F-AD87-C748E606044D}" srcOrd="0" destOrd="5" presId="urn:microsoft.com/office/officeart/2005/8/layout/radial4"/>
    <dgm:cxn modelId="{0D0AAFB5-5AA8-3B4E-A318-1000C158CA4A}" srcId="{D79CC174-57D1-CF49-BEDD-421EEAA96F26}" destId="{599B39F7-664D-8142-97EF-A6ADD04C3506}" srcOrd="5" destOrd="0" parTransId="{225DD98D-5809-D847-B38C-2943A943F20A}" sibTransId="{4BBD80A9-F768-1440-B320-CF9045E2CA5F}"/>
    <dgm:cxn modelId="{D4657FC0-7F37-C04C-8AB6-EC01FF6E0280}" srcId="{246BCB75-BD5F-D046-BEB2-789CF567D706}" destId="{4041709B-9BDA-714D-9BD1-87C15CDFB29A}" srcOrd="2" destOrd="0" parTransId="{B204966E-09DC-2446-8385-A3EBF30EBFB9}" sibTransId="{B8A74F07-D24B-934F-900F-779DA943BE4B}"/>
    <dgm:cxn modelId="{2F3AF1C0-F1E6-564F-940E-1F2A4E778FC1}" srcId="{599B39F7-664D-8142-97EF-A6ADD04C3506}" destId="{8B46D2E3-1E4C-9542-86E9-C5F16FB188CD}" srcOrd="6" destOrd="0" parTransId="{86C023BD-116C-744B-89F0-42922A0792EC}" sibTransId="{00FBD6D1-7775-E149-A469-85331FFE8B36}"/>
    <dgm:cxn modelId="{AC39EAC1-B30C-C149-AC76-2CF8B6B2AFC9}" type="presOf" srcId="{E901508D-8F9A-574A-83FB-0F3A1BBE0D87}" destId="{4762673D-1965-A04E-AD5A-454A61A40E92}" srcOrd="0" destOrd="2" presId="urn:microsoft.com/office/officeart/2005/8/layout/radial4"/>
    <dgm:cxn modelId="{CA8C4BC5-3217-5B48-982B-DDD6936159DB}" type="presOf" srcId="{4BA1104A-27FB-8440-A28E-EECA37AC3B5E}" destId="{52493F77-7952-EB4A-8F05-9856E1FA3D4E}" srcOrd="0" destOrd="4" presId="urn:microsoft.com/office/officeart/2005/8/layout/radial4"/>
    <dgm:cxn modelId="{014258C6-3D36-084D-83A1-5C2055348706}" srcId="{246BCB75-BD5F-D046-BEB2-789CF567D706}" destId="{35DCC077-0056-0A48-94D0-326400A2FFFF}" srcOrd="3" destOrd="0" parTransId="{AB65A857-C959-834B-A199-13351F871E50}" sibTransId="{9E6C2541-4003-2B43-8F46-94707C3AFD65}"/>
    <dgm:cxn modelId="{39CB3CC9-557F-E842-A130-A1226344CFEF}" srcId="{599B39F7-664D-8142-97EF-A6ADD04C3506}" destId="{C5E7FFFA-D27F-664C-9533-0129591CE875}" srcOrd="7" destOrd="0" parTransId="{8BC7E3AC-C6FA-F04B-9E1A-D22B2F860B3E}" sibTransId="{260E58E0-1850-E442-B858-6980A1CE0B2D}"/>
    <dgm:cxn modelId="{DBA206CD-F3A8-CB47-9374-5D9C148241FD}" srcId="{FE3E7F46-4D27-1E42-9161-16EF79188939}" destId="{C3133802-ED79-CA44-BD28-DB308A0913A1}" srcOrd="3" destOrd="0" parTransId="{3B730F2B-4289-E948-8330-041F672D077A}" sibTransId="{AC091A1A-4354-7D4C-9829-EF10172F5976}"/>
    <dgm:cxn modelId="{28EA6BCF-F4EF-3646-B3A8-4933E065A9BE}" type="presOf" srcId="{C946629A-8FD3-2840-BF89-EA49F45F4A56}" destId="{EB5A67FD-34A7-984A-94EB-92B11FFF9548}" srcOrd="0" destOrd="8" presId="urn:microsoft.com/office/officeart/2005/8/layout/radial4"/>
    <dgm:cxn modelId="{A8945ACF-9D92-3341-80D1-2EE6E369FF4F}" type="presOf" srcId="{4F2290D7-987B-4548-AF46-87E4888AAF28}" destId="{0D920B37-74C2-534A-8806-24E4133CA8F1}" srcOrd="0" destOrd="7" presId="urn:microsoft.com/office/officeart/2005/8/layout/radial4"/>
    <dgm:cxn modelId="{87869DCF-AE49-3C4B-89D0-39E8F60FF4B5}" srcId="{56686C1B-907F-F449-863C-C7DD00699B68}" destId="{438F8F23-DD63-8247-942F-D643C0040418}" srcOrd="2" destOrd="0" parTransId="{98CA1C26-390F-A44D-89EE-2BB709CBFD20}" sibTransId="{B4C92161-8B72-B64E-9C40-4C85CA2F0B0F}"/>
    <dgm:cxn modelId="{BCDB25D1-899A-6349-85E4-5720C71085B4}" srcId="{DACB50FF-BD76-6B47-8654-9639C90A75EA}" destId="{A8368D45-69F9-9748-B56E-B094858DCBD4}" srcOrd="6" destOrd="0" parTransId="{6DCC3727-5114-8048-B64D-FEA3DBDCFD99}" sibTransId="{7340E565-4E5B-B548-9FDB-9A47D289E301}"/>
    <dgm:cxn modelId="{A1D1E6D1-066D-1D40-85A6-EFC94072E2F7}" type="presOf" srcId="{A8368D45-69F9-9748-B56E-B094858DCBD4}" destId="{EB5A67FD-34A7-984A-94EB-92B11FFF9548}" srcOrd="0" destOrd="7" presId="urn:microsoft.com/office/officeart/2005/8/layout/radial4"/>
    <dgm:cxn modelId="{FD658DD5-4DF9-A448-8289-9CEF856CBEB9}" type="presOf" srcId="{FAD4F637-7B06-5C4B-968E-F094CAF6A89C}" destId="{EB5A67FD-34A7-984A-94EB-92B11FFF9548}" srcOrd="0" destOrd="5" presId="urn:microsoft.com/office/officeart/2005/8/layout/radial4"/>
    <dgm:cxn modelId="{8AF4DBD8-D311-AF42-95EE-DF0EB02BF384}" type="presOf" srcId="{ECB2FFB9-2722-3945-80B1-5D0E5677414F}" destId="{0512416A-A208-964C-9EEB-8692968D511C}" srcOrd="0" destOrd="2" presId="urn:microsoft.com/office/officeart/2005/8/layout/radial4"/>
    <dgm:cxn modelId="{BC4892DA-0FF2-2E41-AFAD-9ACE8F24D406}" type="presOf" srcId="{1B4F9490-F34F-B144-B8B9-6EF54A815D66}" destId="{0512416A-A208-964C-9EEB-8692968D511C}" srcOrd="0" destOrd="4" presId="urn:microsoft.com/office/officeart/2005/8/layout/radial4"/>
    <dgm:cxn modelId="{08D8B2DE-C2CF-774D-B6BA-2044C260594D}" type="presOf" srcId="{514AD483-2A85-9142-90AD-A35292B9C8BC}" destId="{52493F77-7952-EB4A-8F05-9856E1FA3D4E}" srcOrd="0" destOrd="2" presId="urn:microsoft.com/office/officeart/2005/8/layout/radial4"/>
    <dgm:cxn modelId="{9486BCDE-0484-EE4C-AA14-0B56A7B15C2E}" srcId="{FE3E7F46-4D27-1E42-9161-16EF79188939}" destId="{6FD26B32-9C2F-C246-ADFE-E10E770EB3CD}" srcOrd="5" destOrd="0" parTransId="{E91AC2BF-3A4A-654F-8C48-3522F7F01D9B}" sibTransId="{CBB0C9B5-17B9-D240-9791-79E7E4971AD1}"/>
    <dgm:cxn modelId="{3BEAD3DF-E236-AC40-AA34-D49840594E89}" type="presOf" srcId="{4041709B-9BDA-714D-9BD1-87C15CDFB29A}" destId="{4762673D-1965-A04E-AD5A-454A61A40E92}" srcOrd="0" destOrd="3" presId="urn:microsoft.com/office/officeart/2005/8/layout/radial4"/>
    <dgm:cxn modelId="{54EAD4E2-2A8E-5B4A-B09C-02EF62C34B96}" type="presOf" srcId="{02B080CE-2662-994B-9EC1-CF9D1A4899B0}" destId="{0512416A-A208-964C-9EEB-8692968D511C}" srcOrd="0" destOrd="1" presId="urn:microsoft.com/office/officeart/2005/8/layout/radial4"/>
    <dgm:cxn modelId="{27E084E4-4763-9544-9AE4-ED6EC5BEAFF6}" srcId="{DACB50FF-BD76-6B47-8654-9639C90A75EA}" destId="{AA85DE65-B522-FD47-AABF-517F0105ACB7}" srcOrd="1" destOrd="0" parTransId="{CD56F1F3-6CA5-5F4E-8BBD-1FA3A629E4AD}" sibTransId="{E2774F3F-2F6B-FA48-958B-38F866BC56B3}"/>
    <dgm:cxn modelId="{96835EE8-D39F-5248-A4AC-DBDB84EDAA9F}" type="presOf" srcId="{2720950C-54D4-2B4B-9289-7A0CA552D6CE}" destId="{52493F77-7952-EB4A-8F05-9856E1FA3D4E}" srcOrd="0" destOrd="3" presId="urn:microsoft.com/office/officeart/2005/8/layout/radial4"/>
    <dgm:cxn modelId="{DCA827EC-CD57-FA4A-80B7-00D0C9C97FA6}" srcId="{DACB50FF-BD76-6B47-8654-9639C90A75EA}" destId="{C946629A-8FD3-2840-BF89-EA49F45F4A56}" srcOrd="7" destOrd="0" parTransId="{E41A110D-BA3A-F945-B89D-A8D05BF4425F}" sibTransId="{9AEB09C9-CD46-094A-A94B-0BA83E1142BA}"/>
    <dgm:cxn modelId="{A25507EE-4DCC-004B-8924-C461E55A8E52}" type="presOf" srcId="{D49067B5-969A-6E4E-ABF5-1A39C6AA399F}" destId="{52493F77-7952-EB4A-8F05-9856E1FA3D4E}" srcOrd="0" destOrd="5" presId="urn:microsoft.com/office/officeart/2005/8/layout/radial4"/>
    <dgm:cxn modelId="{67A0A8EE-1198-C14B-B036-C19C78E519D4}" type="presOf" srcId="{03B62CEB-5F03-8A44-8A84-2C26DC0F0C9D}" destId="{0512416A-A208-964C-9EEB-8692968D511C}" srcOrd="0" destOrd="6" presId="urn:microsoft.com/office/officeart/2005/8/layout/radial4"/>
    <dgm:cxn modelId="{F26D91F0-A178-D54B-9076-F34B0DAB4C83}" type="presOf" srcId="{05A2C53E-6FBB-5047-9B39-A7D980C7E150}" destId="{3DBC4160-32D4-CD4A-A330-0BBE241CED5D}" srcOrd="0" destOrd="0" presId="urn:microsoft.com/office/officeart/2005/8/layout/radial4"/>
    <dgm:cxn modelId="{52682EF1-2176-1C4E-B69E-26D1090B1E13}" type="presOf" srcId="{FE3E7F46-4D27-1E42-9161-16EF79188939}" destId="{0D920B37-74C2-534A-8806-24E4133CA8F1}" srcOrd="0" destOrd="0" presId="urn:microsoft.com/office/officeart/2005/8/layout/radial4"/>
    <dgm:cxn modelId="{5E0D52F2-D3CD-1448-A3CF-88DB0E0ED24F}" srcId="{56686C1B-907F-F449-863C-C7DD00699B68}" destId="{9D6ED67C-86E9-7B48-A2DC-2A91E811B0BE}" srcOrd="8" destOrd="0" parTransId="{C007F0BF-150F-0E48-B2AE-755E4DF1EBBD}" sibTransId="{A4BD7DEB-A52F-D341-AD21-190E5F92EE89}"/>
    <dgm:cxn modelId="{671A54F4-5AED-6646-8DA1-79B4E3ECB28D}" srcId="{D79CC174-57D1-CF49-BEDD-421EEAA96F26}" destId="{8691A932-37FC-3B4E-82E3-5A825A1172DD}" srcOrd="2" destOrd="0" parTransId="{D26496A6-7D1A-8D4D-8FEB-A8AC6A037584}" sibTransId="{ACE8F017-EA99-1F4E-82A4-4F0FCC453689}"/>
    <dgm:cxn modelId="{9892FFF6-1E9E-EF41-846E-168CFCBE903F}" type="presOf" srcId="{9D6ED67C-86E9-7B48-A2DC-2A91E811B0BE}" destId="{0512416A-A208-964C-9EEB-8692968D511C}" srcOrd="0" destOrd="9" presId="urn:microsoft.com/office/officeart/2005/8/layout/radial4"/>
    <dgm:cxn modelId="{D0744AF7-7C09-7440-A85D-5B1F3F32FD12}" type="presOf" srcId="{66E7D831-4A8C-444F-B59F-4D6A6630BCD9}" destId="{0D920B37-74C2-534A-8806-24E4133CA8F1}" srcOrd="0" destOrd="5" presId="urn:microsoft.com/office/officeart/2005/8/layout/radial4"/>
    <dgm:cxn modelId="{D86B2CF9-E6B1-D944-A921-A4F01A1B9EC0}" srcId="{6E3B5219-F115-594B-A045-3EB330687AB8}" destId="{D79CC174-57D1-CF49-BEDD-421EEAA96F26}" srcOrd="0" destOrd="0" parTransId="{66CF6C1D-4CA9-8448-A3DB-4289547870AC}" sibTransId="{16FE9F37-D0E8-7D4C-A831-293836BB86EC}"/>
    <dgm:cxn modelId="{5B6A89F9-7B99-CA47-9EB9-F79551ABD89E}" srcId="{56686C1B-907F-F449-863C-C7DD00699B68}" destId="{ECB2FFB9-2722-3945-80B1-5D0E5677414F}" srcOrd="1" destOrd="0" parTransId="{743BBAE2-9FF9-044F-AF2A-16B5D882E8B9}" sibTransId="{6B97B3DF-9389-8347-B371-BDDE75261168}"/>
    <dgm:cxn modelId="{E96A8CFA-C5BA-AC4C-8A3D-EB43B41D0E1A}" type="presOf" srcId="{6E3B5219-F115-594B-A045-3EB330687AB8}" destId="{FF5F1DAB-88B3-F544-8FCA-F3773B8A544A}" srcOrd="0" destOrd="0" presId="urn:microsoft.com/office/officeart/2005/8/layout/radial4"/>
    <dgm:cxn modelId="{A5632AFE-D8E3-7A4E-AD79-3416C903DDED}" srcId="{56686C1B-907F-F449-863C-C7DD00699B68}" destId="{F1710E3E-AC51-0044-B21A-A59C2CF60306}" srcOrd="4" destOrd="0" parTransId="{38DAEBC1-9066-5549-AFFD-879EA1BE1ABE}" sibTransId="{E473E557-289B-7F45-B65F-742D50CF1958}"/>
    <dgm:cxn modelId="{65C49BFE-2E9E-8046-A189-92E84DE6D91B}" srcId="{56686C1B-907F-F449-863C-C7DD00699B68}" destId="{3B4E169B-FE28-D14A-8F10-C5C6B63C41D3}" srcOrd="9" destOrd="0" parTransId="{6550D14D-33A5-ED42-91AE-67DB9268FBB3}" sibTransId="{056BB59B-5CBA-8346-9D94-E29C09EB2B15}"/>
    <dgm:cxn modelId="{395F0C68-B35D-2C4B-B3BA-FA39D15265C3}" type="presParOf" srcId="{FF5F1DAB-88B3-F544-8FCA-F3773B8A544A}" destId="{9C23CC0B-E5DC-BA40-8554-9F978735F8A8}" srcOrd="0" destOrd="0" presId="urn:microsoft.com/office/officeart/2005/8/layout/radial4"/>
    <dgm:cxn modelId="{2ACBCCE6-051A-944C-AB0F-B682B9CE7C22}" type="presParOf" srcId="{FF5F1DAB-88B3-F544-8FCA-F3773B8A544A}" destId="{D33B1856-6124-084D-ACBC-110A03380858}" srcOrd="1" destOrd="0" presId="urn:microsoft.com/office/officeart/2005/8/layout/radial4"/>
    <dgm:cxn modelId="{804607F3-E8D1-7C4C-8800-C888BB90B69E}" type="presParOf" srcId="{FF5F1DAB-88B3-F544-8FCA-F3773B8A544A}" destId="{0D920B37-74C2-534A-8806-24E4133CA8F1}" srcOrd="2" destOrd="0" presId="urn:microsoft.com/office/officeart/2005/8/layout/radial4"/>
    <dgm:cxn modelId="{4DA1CFED-DB1E-9C4C-83D9-4B9BD3D3EB7F}" type="presParOf" srcId="{FF5F1DAB-88B3-F544-8FCA-F3773B8A544A}" destId="{F25BC551-2D29-FC43-AC02-5EDCE78002E0}" srcOrd="3" destOrd="0" presId="urn:microsoft.com/office/officeart/2005/8/layout/radial4"/>
    <dgm:cxn modelId="{D5CBD60C-591C-A64E-AE91-678585E08726}" type="presParOf" srcId="{FF5F1DAB-88B3-F544-8FCA-F3773B8A544A}" destId="{EB5A67FD-34A7-984A-94EB-92B11FFF9548}" srcOrd="4" destOrd="0" presId="urn:microsoft.com/office/officeart/2005/8/layout/radial4"/>
    <dgm:cxn modelId="{396E18E4-538B-EE4A-B3D3-9FA0D84B1CBF}" type="presParOf" srcId="{FF5F1DAB-88B3-F544-8FCA-F3773B8A544A}" destId="{BEC0CF9A-9C17-764D-8A94-42D738989B99}" srcOrd="5" destOrd="0" presId="urn:microsoft.com/office/officeart/2005/8/layout/radial4"/>
    <dgm:cxn modelId="{90E31EB6-85A7-C944-9C9B-FE37D538A282}" type="presParOf" srcId="{FF5F1DAB-88B3-F544-8FCA-F3773B8A544A}" destId="{DD9808C4-CACC-1A4F-AD87-C748E606044D}" srcOrd="6" destOrd="0" presId="urn:microsoft.com/office/officeart/2005/8/layout/radial4"/>
    <dgm:cxn modelId="{34178905-46A8-684C-BADB-859DE56CD6CE}" type="presParOf" srcId="{FF5F1DAB-88B3-F544-8FCA-F3773B8A544A}" destId="{1376048C-2383-224D-A461-40933F5A1584}" srcOrd="7" destOrd="0" presId="urn:microsoft.com/office/officeart/2005/8/layout/radial4"/>
    <dgm:cxn modelId="{75C7CB9C-9D1D-E84B-8390-0E96BB90370C}" type="presParOf" srcId="{FF5F1DAB-88B3-F544-8FCA-F3773B8A544A}" destId="{0512416A-A208-964C-9EEB-8692968D511C}" srcOrd="8" destOrd="0" presId="urn:microsoft.com/office/officeart/2005/8/layout/radial4"/>
    <dgm:cxn modelId="{ED8EFDC6-2F0A-3C49-8635-038B7B82378C}" type="presParOf" srcId="{FF5F1DAB-88B3-F544-8FCA-F3773B8A544A}" destId="{35AB86C5-2F70-0642-A853-67E47F537B2A}" srcOrd="9" destOrd="0" presId="urn:microsoft.com/office/officeart/2005/8/layout/radial4"/>
    <dgm:cxn modelId="{B0CE6A0C-A2B8-6E4B-B368-31E241DD3454}" type="presParOf" srcId="{FF5F1DAB-88B3-F544-8FCA-F3773B8A544A}" destId="{3DBC4160-32D4-CD4A-A330-0BBE241CED5D}" srcOrd="10" destOrd="0" presId="urn:microsoft.com/office/officeart/2005/8/layout/radial4"/>
    <dgm:cxn modelId="{64922A68-7F87-AC40-B51A-B6FACA273CB9}" type="presParOf" srcId="{FF5F1DAB-88B3-F544-8FCA-F3773B8A544A}" destId="{DA3A76B9-75D5-014D-8DDF-D75C3E4012C7}" srcOrd="11" destOrd="0" presId="urn:microsoft.com/office/officeart/2005/8/layout/radial4"/>
    <dgm:cxn modelId="{12329BAF-2E91-7046-8D58-8D82D96B9E9F}" type="presParOf" srcId="{FF5F1DAB-88B3-F544-8FCA-F3773B8A544A}" destId="{52493F77-7952-EB4A-8F05-9856E1FA3D4E}" srcOrd="12" destOrd="0" presId="urn:microsoft.com/office/officeart/2005/8/layout/radial4"/>
    <dgm:cxn modelId="{3F1E1B69-5AF2-9944-B49E-41E60A55F7C3}" type="presParOf" srcId="{FF5F1DAB-88B3-F544-8FCA-F3773B8A544A}" destId="{398F50A2-D4F1-704B-8737-C21283DF613E}" srcOrd="13" destOrd="0" presId="urn:microsoft.com/office/officeart/2005/8/layout/radial4"/>
    <dgm:cxn modelId="{077FBBA1-979D-704D-88EE-60D0961220CB}" type="presParOf" srcId="{FF5F1DAB-88B3-F544-8FCA-F3773B8A544A}" destId="{4762673D-1965-A04E-AD5A-454A61A40E92}" srcOrd="14" destOrd="0" presId="urn:microsoft.com/office/officeart/2005/8/layout/radial4"/>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a:solidFill>
          <a:srgbClr val="953735"/>
        </a:solidFill>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custT="1"/>
      <dgm:spPr>
        <a:solidFill>
          <a:srgbClr val="953735">
            <a:alpha val="90000"/>
          </a:srgbClr>
        </a:solidFill>
      </dgm:spPr>
      <dgm:t>
        <a:bodyPr/>
        <a:lstStyle/>
        <a:p>
          <a:r>
            <a:rPr lang="en-US" sz="600">
              <a:solidFill>
                <a:srgbClr val="FFFFFF"/>
              </a:solidFill>
            </a:rPr>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custT="1"/>
      <dgm:spPr>
        <a:solidFill>
          <a:srgbClr val="953735">
            <a:alpha val="90000"/>
          </a:srgbClr>
        </a:solidFill>
      </dgm:spPr>
      <dgm:t>
        <a:bodyPr/>
        <a:lstStyle/>
        <a:p>
          <a:r>
            <a:rPr lang="en-US" sz="600">
              <a:solidFill>
                <a:srgbClr val="FFFFFF"/>
              </a:solidFill>
            </a:rPr>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custT="1"/>
      <dgm:spPr>
        <a:solidFill>
          <a:srgbClr val="953735">
            <a:alpha val="90000"/>
          </a:srgbClr>
        </a:solidFill>
      </dgm:spPr>
      <dgm:t>
        <a:bodyPr/>
        <a:lstStyle/>
        <a:p>
          <a:r>
            <a:rPr lang="en-US" sz="600">
              <a:solidFill>
                <a:srgbClr val="FFFFFF"/>
              </a:solidFill>
            </a:rPr>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custT="1"/>
      <dgm:spPr>
        <a:solidFill>
          <a:srgbClr val="953735">
            <a:alpha val="90000"/>
          </a:srgbClr>
        </a:solidFill>
      </dgm:spPr>
      <dgm:t>
        <a:bodyPr/>
        <a:lstStyle/>
        <a:p>
          <a:r>
            <a:rPr lang="en-US" sz="600">
              <a:solidFill>
                <a:srgbClr val="FFFFFF"/>
              </a:solidFill>
            </a:rPr>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custT="1"/>
      <dgm:spPr>
        <a:solidFill>
          <a:srgbClr val="953735">
            <a:alpha val="90000"/>
          </a:srgbClr>
        </a:solidFill>
      </dgm:spPr>
      <dgm:t>
        <a:bodyPr/>
        <a:lstStyle/>
        <a:p>
          <a:r>
            <a:rPr lang="en-US" sz="600">
              <a:solidFill>
                <a:srgbClr val="FFFFFF"/>
              </a:solidFill>
            </a:rPr>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360779F0-0F27-0942-AC90-82A53AE24641}">
      <dgm:prSet phldrT="[Text]"/>
      <dgm:spPr/>
      <dgm:t>
        <a:bodyPr/>
        <a:lstStyle/>
        <a:p>
          <a:r>
            <a:rPr lang="en-US"/>
            <a:t>Responsibility</a:t>
          </a:r>
        </a:p>
      </dgm:t>
    </dgm:pt>
    <dgm:pt modelId="{06536284-C3B7-C741-91B0-08A5C3314ECC}" type="parTrans" cxnId="{8E0C4363-7740-3348-8F6F-2D218A6BD98E}">
      <dgm:prSet/>
      <dgm:spPr/>
      <dgm:t>
        <a:bodyPr/>
        <a:lstStyle/>
        <a:p>
          <a:endParaRPr lang="en-US"/>
        </a:p>
      </dgm:t>
    </dgm:pt>
    <dgm:pt modelId="{DC80A13A-69BF-0B4A-99C4-088B946C1A65}" type="sibTrans" cxnId="{8E0C4363-7740-3348-8F6F-2D218A6BD98E}">
      <dgm:prSet/>
      <dgm:spPr/>
      <dgm:t>
        <a:bodyPr/>
        <a:lstStyle/>
        <a:p>
          <a:endParaRPr lang="en-US"/>
        </a:p>
      </dgm:t>
    </dgm:pt>
    <dgm:pt modelId="{2973E29E-C012-2243-B103-DE887E141B50}">
      <dgm:prSet phldrT="[Text]"/>
      <dgm:spPr/>
      <dgm:t>
        <a:bodyPr/>
        <a:lstStyle/>
        <a:p>
          <a:r>
            <a:rPr lang="en-US"/>
            <a:t>Simulation for assessment</a:t>
          </a:r>
        </a:p>
      </dgm:t>
    </dgm:pt>
    <dgm:pt modelId="{A7EA7656-A00F-BC4F-887A-D5AA54FC4CD7}" type="parTrans" cxnId="{EF75D34C-FDF0-8849-BF7C-16650DBD55FB}">
      <dgm:prSet/>
      <dgm:spPr/>
      <dgm:t>
        <a:bodyPr/>
        <a:lstStyle/>
        <a:p>
          <a:endParaRPr lang="en-US"/>
        </a:p>
      </dgm:t>
    </dgm:pt>
    <dgm:pt modelId="{3D34AA19-48D2-4042-99D1-9A1DF9CA1912}" type="sibTrans" cxnId="{EF75D34C-FDF0-8849-BF7C-16650DBD55FB}">
      <dgm:prSet/>
      <dgm:spPr/>
      <dgm:t>
        <a:bodyPr/>
        <a:lstStyle/>
        <a:p>
          <a:endParaRPr lang="en-US"/>
        </a:p>
      </dgm:t>
    </dgm:pt>
    <dgm:pt modelId="{D3197CA5-A339-2A4F-853A-914FFE626199}">
      <dgm:prSet phldrT="[Text]"/>
      <dgm:spPr/>
      <dgm:t>
        <a:bodyPr/>
        <a:lstStyle/>
        <a:p>
          <a:r>
            <a:rPr lang="en-US"/>
            <a:t>8: Triangulation</a:t>
          </a:r>
        </a:p>
      </dgm:t>
    </dgm:pt>
    <dgm:pt modelId="{525E4223-A68E-5840-AE39-580C33F1FAF0}" type="parTrans" cxnId="{D5FB51EA-5E49-6545-8104-85F913F8A964}">
      <dgm:prSet/>
      <dgm:spPr/>
      <dgm:t>
        <a:bodyPr/>
        <a:lstStyle/>
        <a:p>
          <a:endParaRPr lang="en-US"/>
        </a:p>
      </dgm:t>
    </dgm:pt>
    <dgm:pt modelId="{0356CC64-7067-0143-B086-6F13EA12CFFF}" type="sibTrans" cxnId="{D5FB51EA-5E49-6545-8104-85F913F8A964}">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B913326D-3E17-5D4B-A271-B9BFF50A7747}" type="pres">
      <dgm:prSet presAssocID="{D3197CA5-A339-2A4F-853A-914FFE626199}" presName="composite" presStyleCnt="0"/>
      <dgm:spPr/>
    </dgm:pt>
    <dgm:pt modelId="{C0E30384-FDC6-6547-8FCE-D108DE5FA3D9}" type="pres">
      <dgm:prSet presAssocID="{D3197CA5-A339-2A4F-853A-914FFE626199}" presName="parentText" presStyleLbl="alignNode1" presStyleIdx="7" presStyleCnt="13">
        <dgm:presLayoutVars>
          <dgm:chMax val="1"/>
          <dgm:bulletEnabled val="1"/>
        </dgm:presLayoutVars>
      </dgm:prSet>
      <dgm:spPr/>
    </dgm:pt>
    <dgm:pt modelId="{B1EC54AB-071B-E645-9777-AA8C431725C8}" type="pres">
      <dgm:prSet presAssocID="{D3197CA5-A339-2A4F-853A-914FFE626199}" presName="descendantText" presStyleLbl="alignAcc1" presStyleIdx="7" presStyleCnt="13">
        <dgm:presLayoutVars>
          <dgm:bulletEnabled val="1"/>
        </dgm:presLayoutVars>
      </dgm:prSet>
      <dgm:spPr/>
    </dgm:pt>
    <dgm:pt modelId="{0EECE3B4-E595-2648-B1CA-36C1031F6B72}" type="pres">
      <dgm:prSet presAssocID="{0356CC64-7067-0143-B086-6F13EA12CFFF}"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0D49D307-761F-F745-811C-FDE25150B8AA}" type="presOf" srcId="{318E09D1-A59D-2E4B-A3CC-C2FF16965C43}" destId="{E2DE84BA-2462-A242-AC94-46E19F99F1BB}" srcOrd="0" destOrd="1" presId="urn:microsoft.com/office/officeart/2005/8/layout/chevron2"/>
    <dgm:cxn modelId="{9E9BD707-7529-B142-8963-B7A2CA5A1E70}" type="presOf" srcId="{0D5E0837-38B9-E148-BB11-F780782A29CB}" destId="{9D5418D3-F08D-8545-87B2-2FD7B1D1031E}" srcOrd="0" destOrd="2"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9737A014-77AA-2343-9EF8-1AB62E400960}" srcId="{D3197CA5-A339-2A4F-853A-914FFE626199}" destId="{0B5EEED9-AADF-5646-A4EE-16C7E3C5048F}" srcOrd="0" destOrd="0" parTransId="{5F63AFFB-8796-8145-8196-16BA65A8913E}" sibTransId="{6369732A-4608-D04B-9932-9F2E14769A9F}"/>
    <dgm:cxn modelId="{425A741B-9872-3A46-B4DA-D764BFE4CD8B}" srcId="{32BD5717-A9E6-DD44-A13C-12122D41F212}" destId="{182D19B6-9968-F54C-9803-98CF32A9110D}" srcOrd="8" destOrd="0" parTransId="{19120E65-5B26-BC4A-9EFF-5512A25AEB14}" sibTransId="{259ED567-5FE2-2F45-B806-60F8702E00F5}"/>
    <dgm:cxn modelId="{B8D5BC20-4CA4-9D45-A383-EBF1C1167A3D}" type="presOf" srcId="{3F3526C7-6ED1-AA46-BF20-1B9948A084E5}" destId="{06B263AD-CC10-0D49-8145-0C283F585CD5}" srcOrd="0" destOrd="2" presId="urn:microsoft.com/office/officeart/2005/8/layout/chevron2"/>
    <dgm:cxn modelId="{F6E2D620-8500-BD4A-AF93-B0B4C34E4A90}" type="presOf" srcId="{387817B1-B48E-804E-9741-307C0F8B2DA9}" destId="{BC4A5DFE-0373-0044-B473-93ADEF2A2324}" srcOrd="0" destOrd="1"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930A272A-2CFF-0041-B9ED-76D065F6ECCC}" srcId="{332543FB-BB1C-DE43-B140-C2BB789BBCB2}" destId="{2725BEFC-24C3-E145-86F8-460B0C16124D}" srcOrd="0" destOrd="0" parTransId="{C1829F04-6DDA-E649-90FD-A4AAAAE6C05F}" sibTransId="{21F47E9F-9C6A-1041-9062-39753370C0EE}"/>
    <dgm:cxn modelId="{13B2D02B-16AA-D345-A106-5E24A671706C}" type="presOf" srcId="{182D19B6-9968-F54C-9803-98CF32A9110D}" destId="{E86BF6A3-BA90-BB43-908F-24E76E7D1587}" srcOrd="0" destOrd="0" presId="urn:microsoft.com/office/officeart/2005/8/layout/chevron2"/>
    <dgm:cxn modelId="{F29BF22B-F780-AE4D-AB47-03157F6F2410}" type="presOf" srcId="{46C87E74-5E28-8C46-86B1-98C82A55CBAE}" destId="{6DDDE256-1CA3-1140-A939-5530FC1F57D3}" srcOrd="0" destOrd="0"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AC9D8B35-3E35-964E-B49F-8C40FB3AF24D}" srcId="{182D19B6-9968-F54C-9803-98CF32A9110D}" destId="{E8835EC0-86EE-3540-9564-983F3D69B9B0}" srcOrd="4" destOrd="0" parTransId="{3507EF78-030C-2546-8CBB-075D7261FCDE}" sibTransId="{7BBE6FC9-195F-5E44-BEAA-03BE4D719D22}"/>
    <dgm:cxn modelId="{C67DC537-D4CA-2944-8330-96C6C74E0394}" srcId="{32BD5717-A9E6-DD44-A13C-12122D41F212}" destId="{34B9CBCA-90AD-D946-B26E-3A6E60BB731E}" srcOrd="6" destOrd="0" parTransId="{9332FC5B-2DEC-D146-AE72-41CD6249A702}" sibTransId="{1031D2A7-8DEF-E945-AA90-68FD6C34AE2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EB0F255E-F02A-4E4C-B3F8-ECB8D426096C}" type="presOf" srcId="{8A942072-3D9B-2043-8B2E-11E707170D7E}" destId="{A0202F08-BEC9-8F43-8711-F30ADE817D18}" srcOrd="0" destOrd="0" presId="urn:microsoft.com/office/officeart/2005/8/layout/chevron2"/>
    <dgm:cxn modelId="{97583061-FD9C-A24E-BCC2-5402C51A24DB}" type="presOf" srcId="{B81682CE-3DAA-7547-977E-5CA5485D7B79}" destId="{E2DE84BA-2462-A242-AC94-46E19F99F1BB}" srcOrd="0" destOrd="3" presId="urn:microsoft.com/office/officeart/2005/8/layout/chevron2"/>
    <dgm:cxn modelId="{D13BDB62-4EB9-A64D-9D1B-E8BF171B84A7}" type="presOf" srcId="{2D2AF18A-8B4F-6F43-ABC1-76E3735A0A2A}" destId="{BC4A5DFE-0373-0044-B473-93ADEF2A2324}" srcOrd="0" destOrd="0" presId="urn:microsoft.com/office/officeart/2005/8/layout/chevron2"/>
    <dgm:cxn modelId="{8E0C4363-7740-3348-8F6F-2D218A6BD98E}" srcId="{5EFAD456-F8B8-C147-9A38-D366892E8D90}" destId="{360779F0-0F27-0942-AC90-82A53AE24641}" srcOrd="1" destOrd="0" parTransId="{06536284-C3B7-C741-91B0-08A5C3314ECC}" sibTransId="{DC80A13A-69BF-0B4A-99C4-088B946C1A65}"/>
    <dgm:cxn modelId="{58C90264-459C-6E44-9588-E753DD65365F}" type="presOf" srcId="{D4381A80-7F1D-9D4D-8093-B3E6A2F1CFCA}" destId="{9D5418D3-F08D-8545-87B2-2FD7B1D1031E}" srcOrd="0" destOrd="1" presId="urn:microsoft.com/office/officeart/2005/8/layout/chevron2"/>
    <dgm:cxn modelId="{24DE8146-25E3-0347-A5C7-71CA50556459}" type="presOf" srcId="{E8835EC0-86EE-3540-9564-983F3D69B9B0}" destId="{E2DE84BA-2462-A242-AC94-46E19F99F1BB}" srcOrd="0" destOrd="4" presId="urn:microsoft.com/office/officeart/2005/8/layout/chevron2"/>
    <dgm:cxn modelId="{0702FC67-37BB-CF49-95C4-CA7EDCF12D6C}" type="presOf" srcId="{34B9CBCA-90AD-D946-B26E-3A6E60BB731E}" destId="{B9872B13-1174-E847-A615-29577404DF21}" srcOrd="0" destOrd="0"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C9CC276B-659E-7647-8E11-9E0F4EB4FE54}" type="presOf" srcId="{2973E29E-C012-2243-B103-DE887E141B50}" destId="{C174B10A-41E6-244B-88CB-0D08E5FFF5F9}" srcOrd="0" destOrd="2" presId="urn:microsoft.com/office/officeart/2005/8/layout/chevron2"/>
    <dgm:cxn modelId="{2A205E4B-E06D-8B43-AAAB-EB307743A682}" type="presOf" srcId="{18ABC2A5-DCE7-414C-AE08-6EAE4EA2FE6D}" destId="{E2DE84BA-2462-A242-AC94-46E19F99F1BB}" srcOrd="0" destOrd="2" presId="urn:microsoft.com/office/officeart/2005/8/layout/chevron2"/>
    <dgm:cxn modelId="{EF75D34C-FDF0-8849-BF7C-16650DBD55FB}" srcId="{5EFAD456-F8B8-C147-9A38-D366892E8D90}" destId="{2973E29E-C012-2243-B103-DE887E141B50}" srcOrd="2" destOrd="0" parTransId="{A7EA7656-A00F-BC4F-887A-D5AA54FC4CD7}" sibTransId="{3D34AA19-48D2-4042-99D1-9A1DF9CA1912}"/>
    <dgm:cxn modelId="{8E062E4D-AA93-CB44-A0AC-F749EB20F43A}" srcId="{32BD5717-A9E6-DD44-A13C-12122D41F212}" destId="{82A06431-B147-914D-A7EE-B91B75443203}" srcOrd="3" destOrd="0" parTransId="{13C96808-67BD-174F-B855-16ACA3400941}" sibTransId="{2927117D-194C-1341-932F-5623EB513890}"/>
    <dgm:cxn modelId="{0BBF5851-B3B2-1B4C-8B30-3EEDF43DEFDC}" srcId="{8A942072-3D9B-2043-8B2E-11E707170D7E}" destId="{61A2BB49-4883-F544-A634-4207B0324D62}" srcOrd="0" destOrd="0" parTransId="{A2A85C49-BD39-F341-9616-1EF9A7342DE1}" sibTransId="{74A9A651-DC98-7544-BB4F-6CA13DCA47CC}"/>
    <dgm:cxn modelId="{5A5CC252-EFCD-E441-A7FE-AD3F2CCE7008}" type="presOf" srcId="{2725BEFC-24C3-E145-86F8-460B0C16124D}" destId="{8BDAA81E-2E4E-9C4A-9A67-4855D9BA1510}" srcOrd="0" destOrd="0" presId="urn:microsoft.com/office/officeart/2005/8/layout/chevron2"/>
    <dgm:cxn modelId="{EBCA7454-0A4D-574C-AF9E-ACF2192F6A69}" srcId="{34B9CBCA-90AD-D946-B26E-3A6E60BB731E}" destId="{EEF349EC-A16C-6E4F-8464-6BD71940F70C}" srcOrd="2" destOrd="0" parTransId="{4EF4EBD5-8084-7D4A-BB5E-4EF2C5C94F99}" sibTransId="{A325D897-3CF3-2444-BCE0-FB27A2B93D02}"/>
    <dgm:cxn modelId="{7CCA3577-052A-E54E-8A65-B79C9D3D7282}" srcId="{32BD5717-A9E6-DD44-A13C-12122D41F212}" destId="{5EFAD456-F8B8-C147-9A38-D366892E8D90}" srcOrd="10" destOrd="0" parTransId="{AEC4A29C-080E-714E-8C55-A165817C6F84}" sibTransId="{69AAF0EB-9438-D048-8CCB-3ADC0E6ED07B}"/>
    <dgm:cxn modelId="{B644F257-F6B4-A143-BB7A-BC4214B39B1E}" type="presOf" srcId="{65337D44-9B2C-044E-AEF9-F665764413CE}" destId="{9D5418D3-F08D-8545-87B2-2FD7B1D1031E}" srcOrd="0" destOrd="0" presId="urn:microsoft.com/office/officeart/2005/8/layout/chevron2"/>
    <dgm:cxn modelId="{5A1DC259-B129-434D-88BE-D2755B66B0A7}" type="presOf" srcId="{BE8AC978-0FAD-5E4D-B281-1B7DC61EC809}" destId="{C80BEB0B-E1AB-4443-9F91-9D6894D7833E}" srcOrd="0" destOrd="1" presId="urn:microsoft.com/office/officeart/2005/8/layout/chevron2"/>
    <dgm:cxn modelId="{941CFF7A-D638-8A4B-8278-95DAB8637AEE}" srcId="{32BD5717-A9E6-DD44-A13C-12122D41F212}" destId="{8A942072-3D9B-2043-8B2E-11E707170D7E}" srcOrd="2"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C2637380-4378-9541-964A-D6E21D69FAFC}" srcId="{34B9CBCA-90AD-D946-B26E-3A6E60BB731E}" destId="{817AAD11-541C-8040-B8E6-60D63F44FF6E}" srcOrd="1" destOrd="0" parTransId="{820D5C7D-3565-B841-B802-D79FD186F3F0}" sibTransId="{DBDC58F4-53C2-3143-8B2E-16E385E444FB}"/>
    <dgm:cxn modelId="{ED983281-D3AC-F242-BA94-46932F01013B}" type="presOf" srcId="{817AAD11-541C-8040-B8E6-60D63F44FF6E}" destId="{DCD4A931-4F01-F440-965B-DC25AA6FE080}" srcOrd="0" destOrd="1" presId="urn:microsoft.com/office/officeart/2005/8/layout/chevron2"/>
    <dgm:cxn modelId="{70EB5288-E5AF-6C40-A933-E4D7DE3F4F91}" type="presOf" srcId="{1EC7AB78-D724-324B-BD90-FC58EF6E0357}" destId="{48AF7672-2483-B34A-B763-89BD09AEBA58}"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72E0798B-3AEA-1040-986F-17BA9FEFDE92}" type="presOf" srcId="{0D347524-7007-BE43-81AE-44B5DE652093}" destId="{28826DD3-E030-6044-B2F2-D85EF85F6960}" srcOrd="0" destOrd="1" presId="urn:microsoft.com/office/officeart/2005/8/layout/chevron2"/>
    <dgm:cxn modelId="{EB6D0E8E-0242-0044-A93E-E9FA6FD7DC29}" type="presOf" srcId="{82A06431-B147-914D-A7EE-B91B75443203}" destId="{31EA3204-EDC1-4F43-84C9-41DE884256E5}" srcOrd="0" destOrd="0"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06495397-CAFB-8346-B6DD-C62B8755406E}" srcId="{93105CB4-0286-ED4F-915C-092EF42A9691}" destId="{14C4AACB-BBED-FD43-880C-31C843F0061A}" srcOrd="1" destOrd="0" parTransId="{DFED4DE2-2306-C34E-907E-763B913F06DC}" sibTransId="{8C3CD2B7-B9B1-6B48-BD9C-4F4D55283F81}"/>
    <dgm:cxn modelId="{F4E8E098-B205-E74B-9553-36C34703D63C}" type="presOf" srcId="{32BD5717-A9E6-DD44-A13C-12122D41F212}" destId="{DDB27B24-50BA-ED48-8BE9-4C29E6B83259}" srcOrd="0" destOrd="0" presId="urn:microsoft.com/office/officeart/2005/8/layout/chevron2"/>
    <dgm:cxn modelId="{02F95199-B0A2-2D49-934A-FA621E8D5AC3}" type="presOf" srcId="{A177B3ED-63C5-3348-B066-3691D8643EDE}" destId="{F1EE7E3F-25DA-8041-85A7-EBBF11BC4C56}" srcOrd="0" destOrd="0" presId="urn:microsoft.com/office/officeart/2005/8/layout/chevron2"/>
    <dgm:cxn modelId="{7C797999-42BB-4E4A-85A3-CDB2A32C0587}" type="presOf" srcId="{EE4687FF-DC98-3D4A-8B1D-75DD628798CF}" destId="{BC4A5DFE-0373-0044-B473-93ADEF2A2324}" srcOrd="0" destOrd="2" presId="urn:microsoft.com/office/officeart/2005/8/layout/chevron2"/>
    <dgm:cxn modelId="{1E13FD99-700C-3C49-9096-4F72FE05C0FD}" type="presOf" srcId="{E6055D9E-1DDE-A243-A8F6-5CDF160A3724}" destId="{C174B10A-41E6-244B-88CB-0D08E5FFF5F9}" srcOrd="0" destOrd="0" presId="urn:microsoft.com/office/officeart/2005/8/layout/chevron2"/>
    <dgm:cxn modelId="{52A4C99C-1069-4945-9E8E-72BD2B376966}" type="presOf" srcId="{5EFAD456-F8B8-C147-9A38-D366892E8D90}" destId="{ED0EEAAD-1F9F-C445-9ED5-D61D26A0F8D1}" srcOrd="0" destOrd="0" presId="urn:microsoft.com/office/officeart/2005/8/layout/chevron2"/>
    <dgm:cxn modelId="{C2A5ACA1-F1A9-1347-BEAB-34809B48CF85}" srcId="{32BD5717-A9E6-DD44-A13C-12122D41F212}" destId="{46C87E74-5E28-8C46-86B1-98C82A55CBAE}" srcOrd="11" destOrd="0" parTransId="{2A9B7400-96EA-AD40-9D11-2744CE1FE9E5}" sibTransId="{04801474-7BFD-AC4B-9CCF-28521DEC6DB6}"/>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4" destOrd="0" parTransId="{A4EA5788-EDE5-E443-B24A-EA951734FC41}" sibTransId="{72453AAB-5C0D-2D49-B812-AF99508E8E00}"/>
    <dgm:cxn modelId="{62FF4CAD-E507-C744-926B-C3FCCF6F2785}" type="presOf" srcId="{6AEE21D3-4CB1-7443-AC17-5D71D849EEF3}" destId="{28826DD3-E030-6044-B2F2-D85EF85F6960}" srcOrd="0" destOrd="0" presId="urn:microsoft.com/office/officeart/2005/8/layout/chevron2"/>
    <dgm:cxn modelId="{1020CAAE-5FA3-C341-A6E0-708683DB65D8}" type="presOf" srcId="{61A2BB49-4883-F544-A634-4207B0324D62}" destId="{06B263AD-CC10-0D49-8145-0C283F585CD5}" srcOrd="0" destOrd="0" presId="urn:microsoft.com/office/officeart/2005/8/layout/chevron2"/>
    <dgm:cxn modelId="{B701EEAE-519F-5949-B140-9F4A413FE587}" type="presOf" srcId="{EEF349EC-A16C-6E4F-8464-6BD71940F70C}" destId="{DCD4A931-4F01-F440-965B-DC25AA6FE080}" srcOrd="0" destOrd="2" presId="urn:microsoft.com/office/officeart/2005/8/layout/chevron2"/>
    <dgm:cxn modelId="{B8F37DB5-63FF-344D-897B-DACB2D28991F}" type="presOf" srcId="{14C4AACB-BBED-FD43-880C-31C843F0061A}" destId="{F1EE7E3F-25DA-8041-85A7-EBBF11BC4C56}" srcOrd="0" destOrd="1" presId="urn:microsoft.com/office/officeart/2005/8/layout/chevron2"/>
    <dgm:cxn modelId="{DD3CADC2-FBD9-7F45-8435-777DA0CF240D}" type="presOf" srcId="{4E401C2C-4000-C040-828A-EB0D5B3F70BC}" destId="{8BDAA81E-2E4E-9C4A-9A67-4855D9BA1510}" srcOrd="0" destOrd="1" presId="urn:microsoft.com/office/officeart/2005/8/layout/chevron2"/>
    <dgm:cxn modelId="{8AD0FEC2-CB34-8C49-876B-C19FD0FDD8A9}" type="presOf" srcId="{A8C6C2DC-42DC-4841-8B38-6F4C4E8905E8}" destId="{B88D95AA-AFFF-224F-9EBE-1226F2119586}" srcOrd="0" destOrd="0" presId="urn:microsoft.com/office/officeart/2005/8/layout/chevron2"/>
    <dgm:cxn modelId="{723A72C3-6210-9047-8CD3-3DB7EE27A562}" type="presOf" srcId="{7438286E-8350-184E-82B3-3AAEF5F4B429}" destId="{8BDAA81E-2E4E-9C4A-9A67-4855D9BA1510}" srcOrd="0" destOrd="2"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F51A42C7-CEAA-0F4E-A90A-DF5EA318E7AC}" type="presOf" srcId="{360779F0-0F27-0942-AC90-82A53AE24641}" destId="{C174B10A-41E6-244B-88CB-0D08E5FFF5F9}" srcOrd="0" destOrd="1" presId="urn:microsoft.com/office/officeart/2005/8/layout/chevron2"/>
    <dgm:cxn modelId="{F2193FCC-AF98-704A-98C3-ECD058C57B10}" type="presOf" srcId="{125C0A60-1A53-5F41-A8F9-BD71D1144F62}" destId="{C80BEB0B-E1AB-4443-9F91-9D6894D7833E}" srcOrd="0" destOrd="0" presId="urn:microsoft.com/office/officeart/2005/8/layout/chevron2"/>
    <dgm:cxn modelId="{BE2892CC-9BDC-7946-9E94-4E6815408733}" type="presOf" srcId="{555C02C0-6BC9-D540-8A82-3666CC61D37F}" destId="{DCD4A931-4F01-F440-965B-DC25AA6FE080}" srcOrd="0" destOrd="0" presId="urn:microsoft.com/office/officeart/2005/8/layout/chevron2"/>
    <dgm:cxn modelId="{DAF4AACD-159D-784E-A897-EE223EFC0F16}" type="presOf" srcId="{3528BF8B-944A-1B4D-ADBB-12D941C8C388}" destId="{E2DE84BA-2462-A242-AC94-46E19F99F1BB}" srcOrd="0" destOrd="0" presId="urn:microsoft.com/office/officeart/2005/8/layout/chevron2"/>
    <dgm:cxn modelId="{E2F329CF-5D02-3241-B348-50CB30650C25}" srcId="{182D19B6-9968-F54C-9803-98CF32A9110D}" destId="{318E09D1-A59D-2E4B-A3CC-C2FF16965C43}" srcOrd="1" destOrd="0" parTransId="{692F5075-8AA7-1545-9821-5B796547FE98}" sibTransId="{C3BC74F0-F4E6-BD4C-8197-893C2058CDAE}"/>
    <dgm:cxn modelId="{71ABA2DD-7A18-3B40-ACB6-34E658E87D99}" type="presOf" srcId="{718C1A72-EF39-DD4E-BFDE-F45DD7D520FB}" destId="{B3EE9CE6-0ABB-F14B-8299-D4BFC2EC579D}" srcOrd="0" destOrd="0" presId="urn:microsoft.com/office/officeart/2005/8/layout/chevron2"/>
    <dgm:cxn modelId="{1C197EE7-D525-AE4A-BD7C-10A17F502B04}" type="presOf" srcId="{93105CB4-0286-ED4F-915C-092EF42A9691}" destId="{CCC28DE8-0568-7547-9A1F-3C6F0F33A2CF}" srcOrd="0" destOrd="0" presId="urn:microsoft.com/office/officeart/2005/8/layout/chevron2"/>
    <dgm:cxn modelId="{59C688E7-E5C8-3D45-B565-F6EDC5DFBD07}" type="presOf" srcId="{332543FB-BB1C-DE43-B140-C2BB789BBCB2}" destId="{B422BFF3-8BFD-2144-8980-375702EA9496}" srcOrd="0" destOrd="0" presId="urn:microsoft.com/office/officeart/2005/8/layout/chevron2"/>
    <dgm:cxn modelId="{D5FB51EA-5E49-6545-8104-85F913F8A964}" srcId="{32BD5717-A9E6-DD44-A13C-12122D41F212}" destId="{D3197CA5-A339-2A4F-853A-914FFE626199}" srcOrd="7" destOrd="0" parTransId="{525E4223-A68E-5840-AE39-580C33F1FAF0}" sibTransId="{0356CC64-7067-0143-B086-6F13EA12CFFF}"/>
    <dgm:cxn modelId="{7A5B92EC-2DF6-4646-AFCC-84FF4032C496}" srcId="{32BD5717-A9E6-DD44-A13C-12122D41F212}" destId="{AB849386-BBEF-244B-A2A1-1BE27622D72F}" srcOrd="5" destOrd="0" parTransId="{5EF8B0E9-7943-9A42-86BC-C712E57D9428}" sibTransId="{C3910501-0EE6-C14B-801E-3128A43B34A7}"/>
    <dgm:cxn modelId="{018FD7F0-60BE-8C4A-BAFE-54A15EB910A6}" type="presOf" srcId="{C458704A-A6F3-A24F-B50F-7B434CD11794}" destId="{28826DD3-E030-6044-B2F2-D85EF85F6960}" srcOrd="0" destOrd="2" presId="urn:microsoft.com/office/officeart/2005/8/layout/chevron2"/>
    <dgm:cxn modelId="{314180F1-CB9D-0447-93CB-DB693488F1FC}" type="presOf" srcId="{AB849386-BBEF-244B-A2A1-1BE27622D72F}" destId="{844AC346-AEB9-A649-8C9D-DBF2769C8FFC}" srcOrd="0" destOrd="0"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EAE3E1F6-91CF-914D-A376-F4B7C6465616}" type="presOf" srcId="{CF8D6B60-3FEF-0048-B019-B0883DEB78C2}" destId="{06B263AD-CC10-0D49-8145-0C283F585CD5}" srcOrd="0" destOrd="1" presId="urn:microsoft.com/office/officeart/2005/8/layout/chevron2"/>
    <dgm:cxn modelId="{A3D7ACF7-2BA2-4F49-A0E0-7346B1E54F6B}" srcId="{82A06431-B147-914D-A7EE-B91B75443203}" destId="{0D5E0837-38B9-E148-BB11-F780782A29CB}" srcOrd="2" destOrd="0" parTransId="{22B50FC3-BF2E-BC48-A0D0-DF6C126E5EEE}" sibTransId="{BF3788D2-6547-5A48-A40F-C81D634AEA59}"/>
    <dgm:cxn modelId="{1A0DE3F9-4AD0-BD4D-9529-31F7C076F67E}" type="presOf" srcId="{0B5EEED9-AADF-5646-A4EE-16C7E3C5048F}" destId="{B1EC54AB-071B-E645-9777-AA8C431725C8}" srcOrd="0" destOrd="0" presId="urn:microsoft.com/office/officeart/2005/8/layout/chevron2"/>
    <dgm:cxn modelId="{84964DFA-4B8A-1B4A-868D-7A209FB8E399}" type="presOf" srcId="{D3197CA5-A339-2A4F-853A-914FFE626199}" destId="{C0E30384-FDC6-6547-8FCE-D108DE5FA3D9}" srcOrd="0" destOrd="0"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D21E429A-36E8-9F46-9E95-9F423B3F693B}" type="presParOf" srcId="{DDB27B24-50BA-ED48-8BE9-4C29E6B83259}" destId="{B4D05EFA-2710-E24E-95A8-E5ADA436F1BA}" srcOrd="0" destOrd="0" presId="urn:microsoft.com/office/officeart/2005/8/layout/chevron2"/>
    <dgm:cxn modelId="{49F0F3CD-CDB6-C344-8B38-3D0A7B1DA56F}" type="presParOf" srcId="{B4D05EFA-2710-E24E-95A8-E5ADA436F1BA}" destId="{B3EE9CE6-0ABB-F14B-8299-D4BFC2EC579D}" srcOrd="0" destOrd="0" presId="urn:microsoft.com/office/officeart/2005/8/layout/chevron2"/>
    <dgm:cxn modelId="{E331E1DC-B739-6545-B9BA-BD5614A769E7}" type="presParOf" srcId="{B4D05EFA-2710-E24E-95A8-E5ADA436F1BA}" destId="{28826DD3-E030-6044-B2F2-D85EF85F6960}" srcOrd="1" destOrd="0" presId="urn:microsoft.com/office/officeart/2005/8/layout/chevron2"/>
    <dgm:cxn modelId="{3AA7CF31-DAA0-104E-AF46-81CC5F9CA05A}" type="presParOf" srcId="{DDB27B24-50BA-ED48-8BE9-4C29E6B83259}" destId="{585C7840-A253-9640-BBF2-282E7F35583D}" srcOrd="1" destOrd="0" presId="urn:microsoft.com/office/officeart/2005/8/layout/chevron2"/>
    <dgm:cxn modelId="{39DB43A1-579F-7142-8723-0142224CE832}" type="presParOf" srcId="{DDB27B24-50BA-ED48-8BE9-4C29E6B83259}" destId="{725C6BB0-2454-F04B-AEC7-CF75FCBB3A74}" srcOrd="2" destOrd="0" presId="urn:microsoft.com/office/officeart/2005/8/layout/chevron2"/>
    <dgm:cxn modelId="{9C00D8A1-202A-5F44-B626-71CC92253E39}" type="presParOf" srcId="{725C6BB0-2454-F04B-AEC7-CF75FCBB3A74}" destId="{B422BFF3-8BFD-2144-8980-375702EA9496}" srcOrd="0" destOrd="0" presId="urn:microsoft.com/office/officeart/2005/8/layout/chevron2"/>
    <dgm:cxn modelId="{ED826ED8-46E9-754F-9BC9-7C9B39EFE7B7}" type="presParOf" srcId="{725C6BB0-2454-F04B-AEC7-CF75FCBB3A74}" destId="{8BDAA81E-2E4E-9C4A-9A67-4855D9BA1510}" srcOrd="1" destOrd="0" presId="urn:microsoft.com/office/officeart/2005/8/layout/chevron2"/>
    <dgm:cxn modelId="{BE6A4EBD-49F5-1743-AA30-9E430C7AF38C}" type="presParOf" srcId="{DDB27B24-50BA-ED48-8BE9-4C29E6B83259}" destId="{D756A8C3-50EB-084A-8277-DD5831B4E8C7}" srcOrd="3" destOrd="0" presId="urn:microsoft.com/office/officeart/2005/8/layout/chevron2"/>
    <dgm:cxn modelId="{8113B91F-6A7E-4345-A9BA-12CE40272052}" type="presParOf" srcId="{DDB27B24-50BA-ED48-8BE9-4C29E6B83259}" destId="{D669929D-DE6F-0D40-8D4A-1736805AD131}" srcOrd="4" destOrd="0" presId="urn:microsoft.com/office/officeart/2005/8/layout/chevron2"/>
    <dgm:cxn modelId="{718239C8-C702-FC40-9FBD-D56DE836360E}" type="presParOf" srcId="{D669929D-DE6F-0D40-8D4A-1736805AD131}" destId="{A0202F08-BEC9-8F43-8711-F30ADE817D18}" srcOrd="0" destOrd="0" presId="urn:microsoft.com/office/officeart/2005/8/layout/chevron2"/>
    <dgm:cxn modelId="{4C169B5F-B331-5944-B192-9BA6A1F861D0}" type="presParOf" srcId="{D669929D-DE6F-0D40-8D4A-1736805AD131}" destId="{06B263AD-CC10-0D49-8145-0C283F585CD5}" srcOrd="1" destOrd="0" presId="urn:microsoft.com/office/officeart/2005/8/layout/chevron2"/>
    <dgm:cxn modelId="{6B08E5A3-AFA1-E741-82C4-8435BDC7E9A7}" type="presParOf" srcId="{DDB27B24-50BA-ED48-8BE9-4C29E6B83259}" destId="{B5F0F139-C5B5-F942-A092-8BB086CFFEFA}" srcOrd="5" destOrd="0" presId="urn:microsoft.com/office/officeart/2005/8/layout/chevron2"/>
    <dgm:cxn modelId="{638AFC36-BC12-9648-B1A4-99F6944AF0C7}" type="presParOf" srcId="{DDB27B24-50BA-ED48-8BE9-4C29E6B83259}" destId="{A6A53311-4EDF-944C-B7A8-A929BD874343}" srcOrd="6" destOrd="0" presId="urn:microsoft.com/office/officeart/2005/8/layout/chevron2"/>
    <dgm:cxn modelId="{485ABDF7-78B5-0446-B620-E04C01765EBF}" type="presParOf" srcId="{A6A53311-4EDF-944C-B7A8-A929BD874343}" destId="{31EA3204-EDC1-4F43-84C9-41DE884256E5}" srcOrd="0" destOrd="0" presId="urn:microsoft.com/office/officeart/2005/8/layout/chevron2"/>
    <dgm:cxn modelId="{7B51DC08-945C-6442-A2CA-B6A48AC8E997}" type="presParOf" srcId="{A6A53311-4EDF-944C-B7A8-A929BD874343}" destId="{9D5418D3-F08D-8545-87B2-2FD7B1D1031E}" srcOrd="1" destOrd="0" presId="urn:microsoft.com/office/officeart/2005/8/layout/chevron2"/>
    <dgm:cxn modelId="{F603F8D7-6A70-A040-86FC-C1D0A22E357D}" type="presParOf" srcId="{DDB27B24-50BA-ED48-8BE9-4C29E6B83259}" destId="{BD082DD2-36A2-F841-B83C-3B9BAF4B2B5C}" srcOrd="7" destOrd="0" presId="urn:microsoft.com/office/officeart/2005/8/layout/chevron2"/>
    <dgm:cxn modelId="{239C5748-D687-244C-89C7-708132AA7F6D}" type="presParOf" srcId="{DDB27B24-50BA-ED48-8BE9-4C29E6B83259}" destId="{C371305F-B72D-3C44-BB22-E50B26871DA6}" srcOrd="8" destOrd="0" presId="urn:microsoft.com/office/officeart/2005/8/layout/chevron2"/>
    <dgm:cxn modelId="{B86B3B4C-6A32-274B-9C2C-B958621EED09}" type="presParOf" srcId="{C371305F-B72D-3C44-BB22-E50B26871DA6}" destId="{CCC28DE8-0568-7547-9A1F-3C6F0F33A2CF}" srcOrd="0" destOrd="0" presId="urn:microsoft.com/office/officeart/2005/8/layout/chevron2"/>
    <dgm:cxn modelId="{16B9973B-6411-1341-BC42-A01CEAE54BE7}" type="presParOf" srcId="{C371305F-B72D-3C44-BB22-E50B26871DA6}" destId="{F1EE7E3F-25DA-8041-85A7-EBBF11BC4C56}" srcOrd="1" destOrd="0" presId="urn:microsoft.com/office/officeart/2005/8/layout/chevron2"/>
    <dgm:cxn modelId="{776D471B-46CA-7C46-9271-B99F229D87F3}" type="presParOf" srcId="{DDB27B24-50BA-ED48-8BE9-4C29E6B83259}" destId="{2C8A0FE6-3CCD-674F-87D7-C945364C8330}" srcOrd="9" destOrd="0" presId="urn:microsoft.com/office/officeart/2005/8/layout/chevron2"/>
    <dgm:cxn modelId="{FDE91B07-FA6D-964E-A8E8-2A8719073C3A}" type="presParOf" srcId="{DDB27B24-50BA-ED48-8BE9-4C29E6B83259}" destId="{C8A774E9-C669-9C42-8FD8-567A31043E1A}" srcOrd="10" destOrd="0" presId="urn:microsoft.com/office/officeart/2005/8/layout/chevron2"/>
    <dgm:cxn modelId="{9239E9A6-64BE-F24A-B6DD-B2AAF4BC3A0C}" type="presParOf" srcId="{C8A774E9-C669-9C42-8FD8-567A31043E1A}" destId="{844AC346-AEB9-A649-8C9D-DBF2769C8FFC}" srcOrd="0" destOrd="0" presId="urn:microsoft.com/office/officeart/2005/8/layout/chevron2"/>
    <dgm:cxn modelId="{FA71A89F-179D-0C40-87C2-FADB44BFD29C}" type="presParOf" srcId="{C8A774E9-C669-9C42-8FD8-567A31043E1A}" destId="{C80BEB0B-E1AB-4443-9F91-9D6894D7833E}" srcOrd="1" destOrd="0" presId="urn:microsoft.com/office/officeart/2005/8/layout/chevron2"/>
    <dgm:cxn modelId="{E710C3F8-3B8E-A449-980A-0F73789DB55F}" type="presParOf" srcId="{DDB27B24-50BA-ED48-8BE9-4C29E6B83259}" destId="{59BB4FCD-F10D-9947-BE1C-B71549A60A1E}" srcOrd="11" destOrd="0" presId="urn:microsoft.com/office/officeart/2005/8/layout/chevron2"/>
    <dgm:cxn modelId="{644EE0CA-E369-6041-B671-07E4F2E83EFE}" type="presParOf" srcId="{DDB27B24-50BA-ED48-8BE9-4C29E6B83259}" destId="{9EA93BB1-069D-5E45-B7BF-50881B2F72E6}" srcOrd="12" destOrd="0" presId="urn:microsoft.com/office/officeart/2005/8/layout/chevron2"/>
    <dgm:cxn modelId="{9DBB120D-C208-7246-B6AB-666F4DF602B8}" type="presParOf" srcId="{9EA93BB1-069D-5E45-B7BF-50881B2F72E6}" destId="{B9872B13-1174-E847-A615-29577404DF21}" srcOrd="0" destOrd="0" presId="urn:microsoft.com/office/officeart/2005/8/layout/chevron2"/>
    <dgm:cxn modelId="{80DBA2B0-AF9E-EA4E-90F8-B71355FE208F}" type="presParOf" srcId="{9EA93BB1-069D-5E45-B7BF-50881B2F72E6}" destId="{DCD4A931-4F01-F440-965B-DC25AA6FE080}" srcOrd="1" destOrd="0" presId="urn:microsoft.com/office/officeart/2005/8/layout/chevron2"/>
    <dgm:cxn modelId="{CFE337E8-41AD-9D49-8F76-0CF2BE7BA0EE}" type="presParOf" srcId="{DDB27B24-50BA-ED48-8BE9-4C29E6B83259}" destId="{201CAB8F-4C7F-6E4E-9169-C9E7B5CBE404}" srcOrd="13" destOrd="0" presId="urn:microsoft.com/office/officeart/2005/8/layout/chevron2"/>
    <dgm:cxn modelId="{22DC1C40-E0B8-8142-B20F-9793B99352E9}" type="presParOf" srcId="{DDB27B24-50BA-ED48-8BE9-4C29E6B83259}" destId="{B913326D-3E17-5D4B-A271-B9BFF50A7747}" srcOrd="14" destOrd="0" presId="urn:microsoft.com/office/officeart/2005/8/layout/chevron2"/>
    <dgm:cxn modelId="{1C91F2B8-049F-DC40-9C13-4C972CD2FEEB}" type="presParOf" srcId="{B913326D-3E17-5D4B-A271-B9BFF50A7747}" destId="{C0E30384-FDC6-6547-8FCE-D108DE5FA3D9}" srcOrd="0" destOrd="0" presId="urn:microsoft.com/office/officeart/2005/8/layout/chevron2"/>
    <dgm:cxn modelId="{E50C569B-0832-4746-B1CD-7C99EA2335C0}" type="presParOf" srcId="{B913326D-3E17-5D4B-A271-B9BFF50A7747}" destId="{B1EC54AB-071B-E645-9777-AA8C431725C8}" srcOrd="1" destOrd="0" presId="urn:microsoft.com/office/officeart/2005/8/layout/chevron2"/>
    <dgm:cxn modelId="{3C55E89D-4317-E645-8633-86DA1506872B}" type="presParOf" srcId="{DDB27B24-50BA-ED48-8BE9-4C29E6B83259}" destId="{0EECE3B4-E595-2648-B1CA-36C1031F6B72}" srcOrd="15" destOrd="0" presId="urn:microsoft.com/office/officeart/2005/8/layout/chevron2"/>
    <dgm:cxn modelId="{3BB717BF-652C-3D47-817A-D686CDFFD4A3}" type="presParOf" srcId="{DDB27B24-50BA-ED48-8BE9-4C29E6B83259}" destId="{C588B7A2-4017-6643-93CD-7EB3E7875B06}" srcOrd="16" destOrd="0" presId="urn:microsoft.com/office/officeart/2005/8/layout/chevron2"/>
    <dgm:cxn modelId="{F900D5D9-6691-1D49-A6F0-977F7917586A}" type="presParOf" srcId="{C588B7A2-4017-6643-93CD-7EB3E7875B06}" destId="{E86BF6A3-BA90-BB43-908F-24E76E7D1587}" srcOrd="0" destOrd="0" presId="urn:microsoft.com/office/officeart/2005/8/layout/chevron2"/>
    <dgm:cxn modelId="{21B414E4-11D0-4042-8829-5FF7B5ABF494}" type="presParOf" srcId="{C588B7A2-4017-6643-93CD-7EB3E7875B06}" destId="{E2DE84BA-2462-A242-AC94-46E19F99F1BB}" srcOrd="1" destOrd="0" presId="urn:microsoft.com/office/officeart/2005/8/layout/chevron2"/>
    <dgm:cxn modelId="{5853ADB9-F141-1346-8173-212F18231CE4}" type="presParOf" srcId="{DDB27B24-50BA-ED48-8BE9-4C29E6B83259}" destId="{C2AB1E69-06F4-D043-944B-D85D9601ACA6}" srcOrd="17" destOrd="0" presId="urn:microsoft.com/office/officeart/2005/8/layout/chevron2"/>
    <dgm:cxn modelId="{A4C79783-0B94-AA49-99F4-9C4A5F014FE3}" type="presParOf" srcId="{DDB27B24-50BA-ED48-8BE9-4C29E6B83259}" destId="{51C6866E-9F56-9A45-ADF2-6F81F533274A}" srcOrd="18" destOrd="0" presId="urn:microsoft.com/office/officeart/2005/8/layout/chevron2"/>
    <dgm:cxn modelId="{7EA4B90F-E597-3C45-886F-AF805BDCB006}" type="presParOf" srcId="{51C6866E-9F56-9A45-ADF2-6F81F533274A}" destId="{B88D95AA-AFFF-224F-9EBE-1226F2119586}" srcOrd="0" destOrd="0" presId="urn:microsoft.com/office/officeart/2005/8/layout/chevron2"/>
    <dgm:cxn modelId="{27620AD8-F048-C945-82E2-B6B30B040E89}" type="presParOf" srcId="{51C6866E-9F56-9A45-ADF2-6F81F533274A}" destId="{BC4A5DFE-0373-0044-B473-93ADEF2A2324}" srcOrd="1" destOrd="0" presId="urn:microsoft.com/office/officeart/2005/8/layout/chevron2"/>
    <dgm:cxn modelId="{25BC4603-0CDA-8E4C-8046-7D5DC99799CC}" type="presParOf" srcId="{DDB27B24-50BA-ED48-8BE9-4C29E6B83259}" destId="{01E3A2D8-2E7D-6941-B2B2-FA006E31EF08}" srcOrd="19" destOrd="0" presId="urn:microsoft.com/office/officeart/2005/8/layout/chevron2"/>
    <dgm:cxn modelId="{60DA1FAD-9577-0F41-89F5-6DF2BC09D2C4}" type="presParOf" srcId="{DDB27B24-50BA-ED48-8BE9-4C29E6B83259}" destId="{37D2DAC8-74EC-BF4C-831D-920A9C40B9D5}" srcOrd="20" destOrd="0" presId="urn:microsoft.com/office/officeart/2005/8/layout/chevron2"/>
    <dgm:cxn modelId="{C2A63E60-DA6D-8E45-8909-189A28ADD6D3}" type="presParOf" srcId="{37D2DAC8-74EC-BF4C-831D-920A9C40B9D5}" destId="{ED0EEAAD-1F9F-C445-9ED5-D61D26A0F8D1}" srcOrd="0" destOrd="0" presId="urn:microsoft.com/office/officeart/2005/8/layout/chevron2"/>
    <dgm:cxn modelId="{CCED17E6-8CE0-BF4D-8D21-C9455291E96F}" type="presParOf" srcId="{37D2DAC8-74EC-BF4C-831D-920A9C40B9D5}" destId="{C174B10A-41E6-244B-88CB-0D08E5FFF5F9}" srcOrd="1" destOrd="0" presId="urn:microsoft.com/office/officeart/2005/8/layout/chevron2"/>
    <dgm:cxn modelId="{13C52638-FD00-3041-8E33-DE656A5B6A2A}" type="presParOf" srcId="{DDB27B24-50BA-ED48-8BE9-4C29E6B83259}" destId="{43FB22C6-B891-E44F-B0D7-B9F71AB372F1}" srcOrd="21" destOrd="0" presId="urn:microsoft.com/office/officeart/2005/8/layout/chevron2"/>
    <dgm:cxn modelId="{612C9EB6-A557-8D40-B8E2-95EC369F3F16}" type="presParOf" srcId="{DDB27B24-50BA-ED48-8BE9-4C29E6B83259}" destId="{73DF1BD6-49ED-134F-A291-CE4DB94547A9}" srcOrd="22" destOrd="0" presId="urn:microsoft.com/office/officeart/2005/8/layout/chevron2"/>
    <dgm:cxn modelId="{818B3570-B26B-5841-8EC8-9D9471417375}" type="presParOf" srcId="{73DF1BD6-49ED-134F-A291-CE4DB94547A9}" destId="{6DDDE256-1CA3-1140-A939-5530FC1F57D3}" srcOrd="0" destOrd="0" presId="urn:microsoft.com/office/officeart/2005/8/layout/chevron2"/>
    <dgm:cxn modelId="{DCEC31A7-E972-1B45-82C4-3FAD330CBB75}" type="presParOf" srcId="{73DF1BD6-49ED-134F-A291-CE4DB94547A9}" destId="{999FDDA9-9F6A-1143-BE3C-B1E07CBE9945}" srcOrd="1" destOrd="0" presId="urn:microsoft.com/office/officeart/2005/8/layout/chevron2"/>
    <dgm:cxn modelId="{BD047EA9-0145-A54F-917E-9D625EDD1383}" type="presParOf" srcId="{DDB27B24-50BA-ED48-8BE9-4C29E6B83259}" destId="{A73ECDF3-49A4-0948-BD1F-387AF7BD3FC1}" srcOrd="23" destOrd="0" presId="urn:microsoft.com/office/officeart/2005/8/layout/chevron2"/>
    <dgm:cxn modelId="{E6FE73F8-32E7-1842-9629-3FD5123F8DF9}" type="presParOf" srcId="{DDB27B24-50BA-ED48-8BE9-4C29E6B83259}" destId="{F2D2A481-D011-064A-92C0-32CD4D676904}" srcOrd="24" destOrd="0" presId="urn:microsoft.com/office/officeart/2005/8/layout/chevron2"/>
    <dgm:cxn modelId="{F1B012F1-6059-F241-802E-49ACBC41F4BD}" type="presParOf" srcId="{F2D2A481-D011-064A-92C0-32CD4D676904}" destId="{48AF7672-2483-B34A-B763-89BD09AEBA58}" srcOrd="0" destOrd="0" presId="urn:microsoft.com/office/officeart/2005/8/layout/chevron2"/>
    <dgm:cxn modelId="{E7D75380-2564-F54E-8526-BB4847D9F727}"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169"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a:solidFill>
          <a:srgbClr val="953735"/>
        </a:solidFill>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custT="1"/>
      <dgm:spPr>
        <a:solidFill>
          <a:srgbClr val="953735">
            <a:alpha val="90000"/>
          </a:srgbClr>
        </a:solidFill>
      </dgm:spPr>
      <dgm:t>
        <a:bodyPr/>
        <a:lstStyle/>
        <a:p>
          <a:r>
            <a:rPr lang="en-US" sz="800">
              <a:solidFill>
                <a:srgbClr val="FFFFFF"/>
              </a:solidFill>
            </a:rPr>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custT="1"/>
      <dgm:spPr>
        <a:solidFill>
          <a:srgbClr val="953735">
            <a:alpha val="90000"/>
          </a:srgbClr>
        </a:solidFill>
      </dgm:spPr>
      <dgm:t>
        <a:bodyPr/>
        <a:lstStyle/>
        <a:p>
          <a:r>
            <a:rPr lang="en-US" sz="800">
              <a:solidFill>
                <a:srgbClr val="FFFFFF"/>
              </a:solidFill>
            </a:rPr>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custT="1"/>
      <dgm:spPr>
        <a:solidFill>
          <a:srgbClr val="953735">
            <a:alpha val="90000"/>
          </a:srgbClr>
        </a:solidFill>
      </dgm:spPr>
      <dgm:t>
        <a:bodyPr/>
        <a:lstStyle/>
        <a:p>
          <a:r>
            <a:rPr lang="en-US" sz="800">
              <a:solidFill>
                <a:srgbClr val="FFFFFF"/>
              </a:solidFill>
            </a:rPr>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A2E50AE0-756F-414B-891C-4A93EE407052}">
      <dgm:prSet phldrT="[Text]"/>
      <dgm:spPr/>
      <dgm:t>
        <a:bodyPr/>
        <a:lstStyle/>
        <a:p>
          <a:r>
            <a:rPr lang="en-US"/>
            <a:t>Responsibility</a:t>
          </a:r>
        </a:p>
      </dgm:t>
    </dgm:pt>
    <dgm:pt modelId="{45AB34CF-45AB-AB4E-BF96-4E7E29512A34}" type="parTrans" cxnId="{911B69F8-9F50-F447-961B-6105EDD0DED5}">
      <dgm:prSet/>
      <dgm:spPr/>
      <dgm:t>
        <a:bodyPr/>
        <a:lstStyle/>
        <a:p>
          <a:endParaRPr lang="en-US"/>
        </a:p>
      </dgm:t>
    </dgm:pt>
    <dgm:pt modelId="{C0F7ED68-E1CB-EB40-8100-10E2001342C2}" type="sibTrans" cxnId="{911B69F8-9F50-F447-961B-6105EDD0DED5}">
      <dgm:prSet/>
      <dgm:spPr/>
      <dgm:t>
        <a:bodyPr/>
        <a:lstStyle/>
        <a:p>
          <a:endParaRPr lang="en-US"/>
        </a:p>
      </dgm:t>
    </dgm:pt>
    <dgm:pt modelId="{B5F9A332-BF02-DC40-A953-4AF3A0A0C19C}">
      <dgm:prSet phldrT="[Text]"/>
      <dgm:spPr/>
      <dgm:t>
        <a:bodyPr/>
        <a:lstStyle/>
        <a:p>
          <a:r>
            <a:rPr lang="en-US"/>
            <a:t>Simulation for assessment</a:t>
          </a:r>
        </a:p>
      </dgm:t>
    </dgm:pt>
    <dgm:pt modelId="{01404303-D787-A647-8274-28D1FFACEB05}" type="parTrans" cxnId="{57616BBA-CF25-7642-BF9E-1FDF49A5A4C7}">
      <dgm:prSet/>
      <dgm:spPr/>
      <dgm:t>
        <a:bodyPr/>
        <a:lstStyle/>
        <a:p>
          <a:endParaRPr lang="en-US"/>
        </a:p>
      </dgm:t>
    </dgm:pt>
    <dgm:pt modelId="{81286277-D236-1841-BE93-34E51BD56CE2}" type="sibTrans" cxnId="{57616BBA-CF25-7642-BF9E-1FDF49A5A4C7}">
      <dgm:prSet/>
      <dgm:spPr/>
      <dgm:t>
        <a:bodyPr/>
        <a:lstStyle/>
        <a:p>
          <a:endParaRPr lang="en-US"/>
        </a:p>
      </dgm:t>
    </dgm:pt>
    <dgm:pt modelId="{223416CD-81F1-BB44-B56B-622806354139}">
      <dgm:prSet phldrT="[Text]"/>
      <dgm:spPr/>
      <dgm:t>
        <a:bodyPr/>
        <a:lstStyle/>
        <a:p>
          <a:r>
            <a:rPr lang="en-US"/>
            <a:t>8: Triangulation</a:t>
          </a:r>
        </a:p>
      </dgm:t>
    </dgm:pt>
    <dgm:pt modelId="{D20C6824-1E87-4043-9E15-431837E9C07B}" type="parTrans" cxnId="{EE489D4D-9EC3-F543-843A-27577DB032DC}">
      <dgm:prSet/>
      <dgm:spPr/>
      <dgm:t>
        <a:bodyPr/>
        <a:lstStyle/>
        <a:p>
          <a:endParaRPr lang="en-US"/>
        </a:p>
      </dgm:t>
    </dgm:pt>
    <dgm:pt modelId="{5E5F63EC-81A8-804B-947F-BD09F091F6AE}" type="sibTrans" cxnId="{EE489D4D-9EC3-F543-843A-27577DB032DC}">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F582FB17-816F-E24C-820F-E8B057C95E1B}" type="pres">
      <dgm:prSet presAssocID="{223416CD-81F1-BB44-B56B-622806354139}" presName="composite" presStyleCnt="0"/>
      <dgm:spPr/>
    </dgm:pt>
    <dgm:pt modelId="{B4333B6F-228B-BB4F-BFBB-3F07EED0E456}" type="pres">
      <dgm:prSet presAssocID="{223416CD-81F1-BB44-B56B-622806354139}" presName="parentText" presStyleLbl="alignNode1" presStyleIdx="7" presStyleCnt="13">
        <dgm:presLayoutVars>
          <dgm:chMax val="1"/>
          <dgm:bulletEnabled val="1"/>
        </dgm:presLayoutVars>
      </dgm:prSet>
      <dgm:spPr/>
    </dgm:pt>
    <dgm:pt modelId="{3D43254E-014E-B84A-A57A-609D39672E72}" type="pres">
      <dgm:prSet presAssocID="{223416CD-81F1-BB44-B56B-622806354139}" presName="descendantText" presStyleLbl="alignAcc1" presStyleIdx="7" presStyleCnt="13">
        <dgm:presLayoutVars>
          <dgm:bulletEnabled val="1"/>
        </dgm:presLayoutVars>
      </dgm:prSet>
      <dgm:spPr/>
    </dgm:pt>
    <dgm:pt modelId="{40A2A829-945C-794B-A1D4-DA7A3576A58E}" type="pres">
      <dgm:prSet presAssocID="{5E5F63EC-81A8-804B-947F-BD09F091F6AE}"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81E1AA00-F1D0-6C4D-AA8C-98CCD6ADE79F}" type="presOf" srcId="{5EFAD456-F8B8-C147-9A38-D366892E8D90}" destId="{ED0EEAAD-1F9F-C445-9ED5-D61D26A0F8D1}" srcOrd="0" destOrd="0"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9737A014-77AA-2343-9EF8-1AB62E400960}" srcId="{223416CD-81F1-BB44-B56B-622806354139}" destId="{0B5EEED9-AADF-5646-A4EE-16C7E3C5048F}" srcOrd="0" destOrd="0" parTransId="{5F63AFFB-8796-8145-8196-16BA65A8913E}" sibTransId="{6369732A-4608-D04B-9932-9F2E14769A9F}"/>
    <dgm:cxn modelId="{07E85818-FC02-BD48-83A6-186CF9911644}" type="presOf" srcId="{1EC7AB78-D724-324B-BD90-FC58EF6E0357}" destId="{48AF7672-2483-B34A-B763-89BD09AEBA58}" srcOrd="0" destOrd="0" presId="urn:microsoft.com/office/officeart/2005/8/layout/chevron2"/>
    <dgm:cxn modelId="{571BE91A-9506-2B4C-8CBF-5F5A82075218}" type="presOf" srcId="{6AEE21D3-4CB1-7443-AC17-5D71D849EEF3}" destId="{28826DD3-E030-6044-B2F2-D85EF85F6960}" srcOrd="0" destOrd="0" presId="urn:microsoft.com/office/officeart/2005/8/layout/chevron2"/>
    <dgm:cxn modelId="{425A741B-9872-3A46-B4DA-D764BFE4CD8B}" srcId="{32BD5717-A9E6-DD44-A13C-12122D41F212}" destId="{182D19B6-9968-F54C-9803-98CF32A9110D}" srcOrd="8" destOrd="0" parTransId="{19120E65-5B26-BC4A-9EFF-5512A25AEB14}" sibTransId="{259ED567-5FE2-2F45-B806-60F8702E00F5}"/>
    <dgm:cxn modelId="{FA39FC1F-FA5E-B543-9A60-51BA4BD455D2}" type="presOf" srcId="{EEF349EC-A16C-6E4F-8464-6BD71940F70C}" destId="{DCD4A931-4F01-F440-965B-DC25AA6FE080}" srcOrd="0" destOrd="2" presId="urn:microsoft.com/office/officeart/2005/8/layout/chevron2"/>
    <dgm:cxn modelId="{39EC8923-4FCF-F745-8601-603B05893B5E}" type="presOf" srcId="{182D19B6-9968-F54C-9803-98CF32A9110D}" destId="{E86BF6A3-BA90-BB43-908F-24E76E7D1587}" srcOrd="0" destOrd="0"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64792028-6D7E-C741-BB86-73FC0094EFAD}" type="presOf" srcId="{61A2BB49-4883-F544-A634-4207B0324D62}" destId="{06B263AD-CC10-0D49-8145-0C283F585CD5}" srcOrd="0" destOrd="0"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D9B1422A-48A2-1449-91BF-4EA6FF357A4E}" type="presOf" srcId="{223416CD-81F1-BB44-B56B-622806354139}" destId="{B4333B6F-228B-BB4F-BFBB-3F07EED0E456}" srcOrd="0" destOrd="0" presId="urn:microsoft.com/office/officeart/2005/8/layout/chevron2"/>
    <dgm:cxn modelId="{B2099F2B-FED7-F24E-9A8E-9ABC9A60EE9C}" type="presOf" srcId="{32BD5717-A9E6-DD44-A13C-12122D41F212}" destId="{DDB27B24-50BA-ED48-8BE9-4C29E6B83259}" srcOrd="0" destOrd="0"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AC9D8B35-3E35-964E-B49F-8C40FB3AF24D}" srcId="{182D19B6-9968-F54C-9803-98CF32A9110D}" destId="{E8835EC0-86EE-3540-9564-983F3D69B9B0}" srcOrd="4" destOrd="0" parTransId="{3507EF78-030C-2546-8CBB-075D7261FCDE}" sibTransId="{7BBE6FC9-195F-5E44-BEAA-03BE4D719D22}"/>
    <dgm:cxn modelId="{C67DC537-D4CA-2944-8330-96C6C74E0394}" srcId="{32BD5717-A9E6-DD44-A13C-12122D41F212}" destId="{34B9CBCA-90AD-D946-B26E-3A6E60BB731E}" srcOrd="6" destOrd="0" parTransId="{9332FC5B-2DEC-D146-AE72-41CD6249A702}" sibTransId="{1031D2A7-8DEF-E945-AA90-68FD6C34AE22}"/>
    <dgm:cxn modelId="{6BA09D38-1943-5841-8854-CD2741BE3473}" type="presOf" srcId="{C458704A-A6F3-A24F-B50F-7B434CD11794}" destId="{28826DD3-E030-6044-B2F2-D85EF85F6960}" srcOrd="0" destOrd="2" presId="urn:microsoft.com/office/officeart/2005/8/layout/chevron2"/>
    <dgm:cxn modelId="{4DDDFF3A-2845-8648-B28A-65D06BEF6C91}" type="presOf" srcId="{8A942072-3D9B-2043-8B2E-11E707170D7E}" destId="{A0202F08-BEC9-8F43-8711-F30ADE817D18}" srcOrd="0" destOrd="0" presId="urn:microsoft.com/office/officeart/2005/8/layout/chevron2"/>
    <dgm:cxn modelId="{2CB96A3C-F213-3747-BA6F-806196960FDE}" type="presOf" srcId="{D4381A80-7F1D-9D4D-8093-B3E6A2F1CFCA}" destId="{9D5418D3-F08D-8545-87B2-2FD7B1D1031E}" srcOrd="0" destOrd="1" presId="urn:microsoft.com/office/officeart/2005/8/layout/chevron2"/>
    <dgm:cxn modelId="{082CAA3C-5C03-094D-B96D-4922FCE89748}" type="presOf" srcId="{46C87E74-5E28-8C46-86B1-98C82A55CBAE}" destId="{6DDDE256-1CA3-1140-A939-5530FC1F57D3}" srcOrd="0" destOrd="0"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A6C73D40-5832-A445-BD7E-B944C6122AA7}" type="presOf" srcId="{B5F9A332-BF02-DC40-A953-4AF3A0A0C19C}" destId="{C174B10A-41E6-244B-88CB-0D08E5FFF5F9}" srcOrd="0" destOrd="2" presId="urn:microsoft.com/office/officeart/2005/8/layout/chevron2"/>
    <dgm:cxn modelId="{245BCA40-025E-3E4E-A497-A0EFCDDC25C1}" srcId="{82A06431-B147-914D-A7EE-B91B75443203}" destId="{65337D44-9B2C-044E-AEF9-F665764413CE}" srcOrd="0" destOrd="0" parTransId="{8263CB8A-2179-EA47-A0B9-C16619EE08D6}" sibTransId="{D95EDDE2-EB68-4C45-BB0E-BC77264A5A49}"/>
    <dgm:cxn modelId="{560C3D45-118B-E94A-A4EF-9538F06CD21E}" type="presOf" srcId="{14C4AACB-BBED-FD43-880C-31C843F0061A}" destId="{F1EE7E3F-25DA-8041-85A7-EBBF11BC4C56}" srcOrd="0" destOrd="1" presId="urn:microsoft.com/office/officeart/2005/8/layout/chevron2"/>
    <dgm:cxn modelId="{AEBA4348-F47F-DC41-9241-F97716965C4F}" type="presOf" srcId="{18ABC2A5-DCE7-414C-AE08-6EAE4EA2FE6D}" destId="{E2DE84BA-2462-A242-AC94-46E19F99F1BB}" srcOrd="0" destOrd="2"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8E062E4D-AA93-CB44-A0AC-F749EB20F43A}" srcId="{32BD5717-A9E6-DD44-A13C-12122D41F212}" destId="{82A06431-B147-914D-A7EE-B91B75443203}" srcOrd="3" destOrd="0" parTransId="{13C96808-67BD-174F-B855-16ACA3400941}" sibTransId="{2927117D-194C-1341-932F-5623EB513890}"/>
    <dgm:cxn modelId="{97CB404D-EFF5-184E-B430-53ECDE96C500}" type="presOf" srcId="{4E401C2C-4000-C040-828A-EB0D5B3F70BC}" destId="{8BDAA81E-2E4E-9C4A-9A67-4855D9BA1510}" srcOrd="0" destOrd="1" presId="urn:microsoft.com/office/officeart/2005/8/layout/chevron2"/>
    <dgm:cxn modelId="{EE489D4D-9EC3-F543-843A-27577DB032DC}" srcId="{32BD5717-A9E6-DD44-A13C-12122D41F212}" destId="{223416CD-81F1-BB44-B56B-622806354139}" srcOrd="7" destOrd="0" parTransId="{D20C6824-1E87-4043-9E15-431837E9C07B}" sibTransId="{5E5F63EC-81A8-804B-947F-BD09F091F6AE}"/>
    <dgm:cxn modelId="{2481F26F-3050-0241-95B8-73611136F22A}" type="presOf" srcId="{A2E50AE0-756F-414B-891C-4A93EE407052}" destId="{C174B10A-41E6-244B-88CB-0D08E5FFF5F9}" srcOrd="0" destOrd="1" presId="urn:microsoft.com/office/officeart/2005/8/layout/chevron2"/>
    <dgm:cxn modelId="{2EAA0571-0FE1-6D4F-BD7D-7D172C65F242}" type="presOf" srcId="{AB849386-BBEF-244B-A2A1-1BE27622D72F}" destId="{844AC346-AEB9-A649-8C9D-DBF2769C8FFC}" srcOrd="0" destOrd="0"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CC2E4573-3F38-C443-B27A-4D6F10F70164}" type="presOf" srcId="{387817B1-B48E-804E-9741-307C0F8B2DA9}" destId="{BC4A5DFE-0373-0044-B473-93ADEF2A2324}" srcOrd="0" destOrd="1" presId="urn:microsoft.com/office/officeart/2005/8/layout/chevron2"/>
    <dgm:cxn modelId="{EBCA7454-0A4D-574C-AF9E-ACF2192F6A69}" srcId="{34B9CBCA-90AD-D946-B26E-3A6E60BB731E}" destId="{EEF349EC-A16C-6E4F-8464-6BD71940F70C}" srcOrd="2" destOrd="0" parTransId="{4EF4EBD5-8084-7D4A-BB5E-4EF2C5C94F99}" sibTransId="{A325D897-3CF3-2444-BCE0-FB27A2B93D02}"/>
    <dgm:cxn modelId="{03C52E75-E421-E048-BB77-85DE69B2C57B}" type="presOf" srcId="{2725BEFC-24C3-E145-86F8-460B0C16124D}" destId="{8BDAA81E-2E4E-9C4A-9A67-4855D9BA1510}" srcOrd="0" destOrd="0" presId="urn:microsoft.com/office/officeart/2005/8/layout/chevron2"/>
    <dgm:cxn modelId="{7CCA3577-052A-E54E-8A65-B79C9D3D7282}" srcId="{32BD5717-A9E6-DD44-A13C-12122D41F212}" destId="{5EFAD456-F8B8-C147-9A38-D366892E8D90}" srcOrd="10" destOrd="0" parTransId="{AEC4A29C-080E-714E-8C55-A165817C6F84}" sibTransId="{69AAF0EB-9438-D048-8CCB-3ADC0E6ED07B}"/>
    <dgm:cxn modelId="{7C354C58-C237-6547-9A79-B6152F06B854}" type="presOf" srcId="{E6055D9E-1DDE-A243-A8F6-5CDF160A3724}" destId="{C174B10A-41E6-244B-88CB-0D08E5FFF5F9}" srcOrd="0" destOrd="0" presId="urn:microsoft.com/office/officeart/2005/8/layout/chevron2"/>
    <dgm:cxn modelId="{95CE8679-D4F3-BA45-BFE7-CDB500B07BAC}" type="presOf" srcId="{E8835EC0-86EE-3540-9564-983F3D69B9B0}" destId="{E2DE84BA-2462-A242-AC94-46E19F99F1BB}" srcOrd="0" destOrd="4" presId="urn:microsoft.com/office/officeart/2005/8/layout/chevron2"/>
    <dgm:cxn modelId="{941CFF7A-D638-8A4B-8278-95DAB8637AEE}" srcId="{32BD5717-A9E6-DD44-A13C-12122D41F212}" destId="{8A942072-3D9B-2043-8B2E-11E707170D7E}" srcOrd="2"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30FC4C7E-1043-E048-8B6D-A596B669104F}" type="presOf" srcId="{EE4687FF-DC98-3D4A-8B1D-75DD628798CF}" destId="{BC4A5DFE-0373-0044-B473-93ADEF2A2324}" srcOrd="0" destOrd="2" presId="urn:microsoft.com/office/officeart/2005/8/layout/chevron2"/>
    <dgm:cxn modelId="{10ADE27F-857D-A14C-9B73-A00214C1329C}" type="presOf" srcId="{CF8D6B60-3FEF-0048-B019-B0883DEB78C2}" destId="{06B263AD-CC10-0D49-8145-0C283F585CD5}" srcOrd="0" destOrd="1" presId="urn:microsoft.com/office/officeart/2005/8/layout/chevron2"/>
    <dgm:cxn modelId="{C2637380-4378-9541-964A-D6E21D69FAFC}" srcId="{34B9CBCA-90AD-D946-B26E-3A6E60BB731E}" destId="{817AAD11-541C-8040-B8E6-60D63F44FF6E}" srcOrd="1" destOrd="0" parTransId="{820D5C7D-3565-B841-B802-D79FD186F3F0}" sibTransId="{DBDC58F4-53C2-3143-8B2E-16E385E444FB}"/>
    <dgm:cxn modelId="{5AFC6189-EDED-5649-A3D9-EE76DD63DB65}" type="presOf" srcId="{125C0A60-1A53-5F41-A8F9-BD71D1144F62}" destId="{C80BEB0B-E1AB-4443-9F91-9D6894D7833E}"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4A7D7B96-27F3-C042-B501-1A12F8A479B7}" type="presOf" srcId="{3F3526C7-6ED1-AA46-BF20-1B9948A084E5}" destId="{06B263AD-CC10-0D49-8145-0C283F585CD5}" srcOrd="0" destOrd="2" presId="urn:microsoft.com/office/officeart/2005/8/layout/chevron2"/>
    <dgm:cxn modelId="{06495397-CAFB-8346-B6DD-C62B8755406E}" srcId="{93105CB4-0286-ED4F-915C-092EF42A9691}" destId="{14C4AACB-BBED-FD43-880C-31C843F0061A}" srcOrd="1" destOrd="0" parTransId="{DFED4DE2-2306-C34E-907E-763B913F06DC}" sibTransId="{8C3CD2B7-B9B1-6B48-BD9C-4F4D55283F81}"/>
    <dgm:cxn modelId="{0762CB9B-DF74-E34C-BB27-8EF8AD7C0C1B}" type="presOf" srcId="{817AAD11-541C-8040-B8E6-60D63F44FF6E}" destId="{DCD4A931-4F01-F440-965B-DC25AA6FE080}" srcOrd="0" destOrd="1" presId="urn:microsoft.com/office/officeart/2005/8/layout/chevron2"/>
    <dgm:cxn modelId="{1F1A479D-4391-F742-AEFB-40BF63CA49E7}" type="presOf" srcId="{A8C6C2DC-42DC-4841-8B38-6F4C4E8905E8}" destId="{B88D95AA-AFFF-224F-9EBE-1226F2119586}" srcOrd="0" destOrd="0" presId="urn:microsoft.com/office/officeart/2005/8/layout/chevron2"/>
    <dgm:cxn modelId="{3679759F-AB1F-D449-A3BE-5F13EB552B7E}" type="presOf" srcId="{3528BF8B-944A-1B4D-ADBB-12D941C8C388}" destId="{E2DE84BA-2462-A242-AC94-46E19F99F1BB}" srcOrd="0" destOrd="0" presId="urn:microsoft.com/office/officeart/2005/8/layout/chevron2"/>
    <dgm:cxn modelId="{C2A5ACA1-F1A9-1347-BEAB-34809B48CF85}" srcId="{32BD5717-A9E6-DD44-A13C-12122D41F212}" destId="{46C87E74-5E28-8C46-86B1-98C82A55CBAE}" srcOrd="11" destOrd="0" parTransId="{2A9B7400-96EA-AD40-9D11-2744CE1FE9E5}" sibTransId="{04801474-7BFD-AC4B-9CCF-28521DEC6DB6}"/>
    <dgm:cxn modelId="{BE1EDFA2-2D2D-844E-9248-4EF89DEC5182}" type="presOf" srcId="{0D347524-7007-BE43-81AE-44B5DE652093}" destId="{28826DD3-E030-6044-B2F2-D85EF85F6960}" srcOrd="0" destOrd="1" presId="urn:microsoft.com/office/officeart/2005/8/layout/chevron2"/>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4" destOrd="0" parTransId="{A4EA5788-EDE5-E443-B24A-EA951734FC41}" sibTransId="{72453AAB-5C0D-2D49-B812-AF99508E8E00}"/>
    <dgm:cxn modelId="{0FEBA5B5-4CB5-2642-9425-914094BCF8C7}" type="presOf" srcId="{0B5EEED9-AADF-5646-A4EE-16C7E3C5048F}" destId="{3D43254E-014E-B84A-A57A-609D39672E72}" srcOrd="0" destOrd="0" presId="urn:microsoft.com/office/officeart/2005/8/layout/chevron2"/>
    <dgm:cxn modelId="{57616BBA-CF25-7642-BF9E-1FDF49A5A4C7}" srcId="{5EFAD456-F8B8-C147-9A38-D366892E8D90}" destId="{B5F9A332-BF02-DC40-A953-4AF3A0A0C19C}" srcOrd="2" destOrd="0" parTransId="{01404303-D787-A647-8274-28D1FFACEB05}" sibTransId="{81286277-D236-1841-BE93-34E51BD56CE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A29DD2C7-D485-C94F-BBB9-1D8D49F05B1E}" type="presOf" srcId="{A177B3ED-63C5-3348-B066-3691D8643EDE}" destId="{F1EE7E3F-25DA-8041-85A7-EBBF11BC4C56}" srcOrd="0" destOrd="0" presId="urn:microsoft.com/office/officeart/2005/8/layout/chevron2"/>
    <dgm:cxn modelId="{E2F329CF-5D02-3241-B348-50CB30650C25}" srcId="{182D19B6-9968-F54C-9803-98CF32A9110D}" destId="{318E09D1-A59D-2E4B-A3CC-C2FF16965C43}" srcOrd="1" destOrd="0" parTransId="{692F5075-8AA7-1545-9821-5B796547FE98}" sibTransId="{C3BC74F0-F4E6-BD4C-8197-893C2058CDAE}"/>
    <dgm:cxn modelId="{7298A2D3-8473-0048-9D2E-1726CA80828E}" type="presOf" srcId="{B81682CE-3DAA-7547-977E-5CA5485D7B79}" destId="{E2DE84BA-2462-A242-AC94-46E19F99F1BB}" srcOrd="0" destOrd="3" presId="urn:microsoft.com/office/officeart/2005/8/layout/chevron2"/>
    <dgm:cxn modelId="{539A51DC-3C15-484F-B115-E3184321FF85}" type="presOf" srcId="{332543FB-BB1C-DE43-B140-C2BB789BBCB2}" destId="{B422BFF3-8BFD-2144-8980-375702EA9496}" srcOrd="0" destOrd="0" presId="urn:microsoft.com/office/officeart/2005/8/layout/chevron2"/>
    <dgm:cxn modelId="{973CA3DF-8E0B-594A-AA16-CBAAACD4128C}" type="presOf" srcId="{82A06431-B147-914D-A7EE-B91B75443203}" destId="{31EA3204-EDC1-4F43-84C9-41DE884256E5}" srcOrd="0" destOrd="0" presId="urn:microsoft.com/office/officeart/2005/8/layout/chevron2"/>
    <dgm:cxn modelId="{8991B1E0-A03C-8542-A7FD-471F8323496E}" type="presOf" srcId="{318E09D1-A59D-2E4B-A3CC-C2FF16965C43}" destId="{E2DE84BA-2462-A242-AC94-46E19F99F1BB}" srcOrd="0" destOrd="1" presId="urn:microsoft.com/office/officeart/2005/8/layout/chevron2"/>
    <dgm:cxn modelId="{B44A82E3-0124-854D-A858-3234E5E7948F}" type="presOf" srcId="{555C02C0-6BC9-D540-8A82-3666CC61D37F}" destId="{DCD4A931-4F01-F440-965B-DC25AA6FE080}" srcOrd="0" destOrd="0" presId="urn:microsoft.com/office/officeart/2005/8/layout/chevron2"/>
    <dgm:cxn modelId="{FAD994E5-4A20-DC4B-BD2D-2517340C8DA1}" type="presOf" srcId="{65337D44-9B2C-044E-AEF9-F665764413CE}" destId="{9D5418D3-F08D-8545-87B2-2FD7B1D1031E}" srcOrd="0" destOrd="0" presId="urn:microsoft.com/office/officeart/2005/8/layout/chevron2"/>
    <dgm:cxn modelId="{89302AE6-1373-8640-84D8-16AD1C0DC2EE}" type="presOf" srcId="{34B9CBCA-90AD-D946-B26E-3A6E60BB731E}" destId="{B9872B13-1174-E847-A615-29577404DF21}" srcOrd="0" destOrd="0" presId="urn:microsoft.com/office/officeart/2005/8/layout/chevron2"/>
    <dgm:cxn modelId="{E7C6C0E6-EEE4-4845-99B7-A091C2D4A9D3}" type="presOf" srcId="{7438286E-8350-184E-82B3-3AAEF5F4B429}" destId="{8BDAA81E-2E4E-9C4A-9A67-4855D9BA1510}" srcOrd="0" destOrd="2"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83517DF1-84E1-2543-A243-C521A722D595}" type="presOf" srcId="{93105CB4-0286-ED4F-915C-092EF42A9691}" destId="{CCC28DE8-0568-7547-9A1F-3C6F0F33A2CF}" srcOrd="0" destOrd="0" presId="urn:microsoft.com/office/officeart/2005/8/layout/chevron2"/>
    <dgm:cxn modelId="{57AE1EF2-6524-764D-BCBE-45FAB688F599}" type="presOf" srcId="{718C1A72-EF39-DD4E-BFDE-F45DD7D520FB}" destId="{B3EE9CE6-0ABB-F14B-8299-D4BFC2EC579D}" srcOrd="0" destOrd="0"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7F039CF2-4F2A-6243-893A-5FFFA3E66923}" type="presOf" srcId="{2D2AF18A-8B4F-6F43-ABC1-76E3735A0A2A}" destId="{BC4A5DFE-0373-0044-B473-93ADEF2A2324}" srcOrd="0" destOrd="0" presId="urn:microsoft.com/office/officeart/2005/8/layout/chevron2"/>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A3D7ACF7-2BA2-4F49-A0E0-7346B1E54F6B}" srcId="{82A06431-B147-914D-A7EE-B91B75443203}" destId="{0D5E0837-38B9-E148-BB11-F780782A29CB}" srcOrd="2" destOrd="0" parTransId="{22B50FC3-BF2E-BC48-A0D0-DF6C126E5EEE}" sibTransId="{BF3788D2-6547-5A48-A40F-C81D634AEA59}"/>
    <dgm:cxn modelId="{911B69F8-9F50-F447-961B-6105EDD0DED5}" srcId="{5EFAD456-F8B8-C147-9A38-D366892E8D90}" destId="{A2E50AE0-756F-414B-891C-4A93EE407052}" srcOrd="1" destOrd="0" parTransId="{45AB34CF-45AB-AB4E-BF96-4E7E29512A34}" sibTransId="{C0F7ED68-E1CB-EB40-8100-10E2001342C2}"/>
    <dgm:cxn modelId="{FC71FEF8-ABF4-2B47-926F-A8834A1E927D}" type="presOf" srcId="{0D5E0837-38B9-E148-BB11-F780782A29CB}" destId="{9D5418D3-F08D-8545-87B2-2FD7B1D1031E}" srcOrd="0" destOrd="2" presId="urn:microsoft.com/office/officeart/2005/8/layout/chevron2"/>
    <dgm:cxn modelId="{A695F4F9-3335-B74B-9872-FF4EF29A2018}" type="presOf" srcId="{BE8AC978-0FAD-5E4D-B281-1B7DC61EC809}" destId="{C80BEB0B-E1AB-4443-9F91-9D6894D7833E}" srcOrd="0" destOrd="1"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D1941A25-D096-C64A-BD59-278E62C835C5}" type="presParOf" srcId="{DDB27B24-50BA-ED48-8BE9-4C29E6B83259}" destId="{B4D05EFA-2710-E24E-95A8-E5ADA436F1BA}" srcOrd="0" destOrd="0" presId="urn:microsoft.com/office/officeart/2005/8/layout/chevron2"/>
    <dgm:cxn modelId="{1F953FEE-CF0E-374D-86AA-751DA7348488}" type="presParOf" srcId="{B4D05EFA-2710-E24E-95A8-E5ADA436F1BA}" destId="{B3EE9CE6-0ABB-F14B-8299-D4BFC2EC579D}" srcOrd="0" destOrd="0" presId="urn:microsoft.com/office/officeart/2005/8/layout/chevron2"/>
    <dgm:cxn modelId="{6779456A-A204-C74F-B5D9-69EB93D4A4BB}" type="presParOf" srcId="{B4D05EFA-2710-E24E-95A8-E5ADA436F1BA}" destId="{28826DD3-E030-6044-B2F2-D85EF85F6960}" srcOrd="1" destOrd="0" presId="urn:microsoft.com/office/officeart/2005/8/layout/chevron2"/>
    <dgm:cxn modelId="{45E478E1-CF56-2847-945C-97F7A85439B7}" type="presParOf" srcId="{DDB27B24-50BA-ED48-8BE9-4C29E6B83259}" destId="{585C7840-A253-9640-BBF2-282E7F35583D}" srcOrd="1" destOrd="0" presId="urn:microsoft.com/office/officeart/2005/8/layout/chevron2"/>
    <dgm:cxn modelId="{455F07D9-025E-1046-8135-86A20988FDB1}" type="presParOf" srcId="{DDB27B24-50BA-ED48-8BE9-4C29E6B83259}" destId="{725C6BB0-2454-F04B-AEC7-CF75FCBB3A74}" srcOrd="2" destOrd="0" presId="urn:microsoft.com/office/officeart/2005/8/layout/chevron2"/>
    <dgm:cxn modelId="{35F5B86A-A999-1D43-B193-8224ABDDE090}" type="presParOf" srcId="{725C6BB0-2454-F04B-AEC7-CF75FCBB3A74}" destId="{B422BFF3-8BFD-2144-8980-375702EA9496}" srcOrd="0" destOrd="0" presId="urn:microsoft.com/office/officeart/2005/8/layout/chevron2"/>
    <dgm:cxn modelId="{4CF7551C-C441-C845-9706-37577D07C8DB}" type="presParOf" srcId="{725C6BB0-2454-F04B-AEC7-CF75FCBB3A74}" destId="{8BDAA81E-2E4E-9C4A-9A67-4855D9BA1510}" srcOrd="1" destOrd="0" presId="urn:microsoft.com/office/officeart/2005/8/layout/chevron2"/>
    <dgm:cxn modelId="{4C24A79F-DB36-B947-BB9E-3FE3F861955D}" type="presParOf" srcId="{DDB27B24-50BA-ED48-8BE9-4C29E6B83259}" destId="{D756A8C3-50EB-084A-8277-DD5831B4E8C7}" srcOrd="3" destOrd="0" presId="urn:microsoft.com/office/officeart/2005/8/layout/chevron2"/>
    <dgm:cxn modelId="{3B2F001F-D9AB-4C4E-A760-D21D0B1C57F8}" type="presParOf" srcId="{DDB27B24-50BA-ED48-8BE9-4C29E6B83259}" destId="{D669929D-DE6F-0D40-8D4A-1736805AD131}" srcOrd="4" destOrd="0" presId="urn:microsoft.com/office/officeart/2005/8/layout/chevron2"/>
    <dgm:cxn modelId="{0B730038-6DC0-5244-81CE-CC4453046460}" type="presParOf" srcId="{D669929D-DE6F-0D40-8D4A-1736805AD131}" destId="{A0202F08-BEC9-8F43-8711-F30ADE817D18}" srcOrd="0" destOrd="0" presId="urn:microsoft.com/office/officeart/2005/8/layout/chevron2"/>
    <dgm:cxn modelId="{09E604E2-96CF-114F-9A55-3C3CC644E82E}" type="presParOf" srcId="{D669929D-DE6F-0D40-8D4A-1736805AD131}" destId="{06B263AD-CC10-0D49-8145-0C283F585CD5}" srcOrd="1" destOrd="0" presId="urn:microsoft.com/office/officeart/2005/8/layout/chevron2"/>
    <dgm:cxn modelId="{DEDFD7A5-34BD-654B-AC89-FA24B952F548}" type="presParOf" srcId="{DDB27B24-50BA-ED48-8BE9-4C29E6B83259}" destId="{B5F0F139-C5B5-F942-A092-8BB086CFFEFA}" srcOrd="5" destOrd="0" presId="urn:microsoft.com/office/officeart/2005/8/layout/chevron2"/>
    <dgm:cxn modelId="{55E56D20-412E-1A4F-8350-E1BAA3F84313}" type="presParOf" srcId="{DDB27B24-50BA-ED48-8BE9-4C29E6B83259}" destId="{A6A53311-4EDF-944C-B7A8-A929BD874343}" srcOrd="6" destOrd="0" presId="urn:microsoft.com/office/officeart/2005/8/layout/chevron2"/>
    <dgm:cxn modelId="{DE23C5D5-1F3E-D242-8C2D-3D6D8AB245FB}" type="presParOf" srcId="{A6A53311-4EDF-944C-B7A8-A929BD874343}" destId="{31EA3204-EDC1-4F43-84C9-41DE884256E5}" srcOrd="0" destOrd="0" presId="urn:microsoft.com/office/officeart/2005/8/layout/chevron2"/>
    <dgm:cxn modelId="{E9A0F1DB-F2F5-6944-BC2F-36A07E16D26F}" type="presParOf" srcId="{A6A53311-4EDF-944C-B7A8-A929BD874343}" destId="{9D5418D3-F08D-8545-87B2-2FD7B1D1031E}" srcOrd="1" destOrd="0" presId="urn:microsoft.com/office/officeart/2005/8/layout/chevron2"/>
    <dgm:cxn modelId="{3C0A1AFB-0EB6-D14A-B491-72AE20B693E3}" type="presParOf" srcId="{DDB27B24-50BA-ED48-8BE9-4C29E6B83259}" destId="{BD082DD2-36A2-F841-B83C-3B9BAF4B2B5C}" srcOrd="7" destOrd="0" presId="urn:microsoft.com/office/officeart/2005/8/layout/chevron2"/>
    <dgm:cxn modelId="{20F4EF41-6518-234D-BC23-5CC1F0F0C85C}" type="presParOf" srcId="{DDB27B24-50BA-ED48-8BE9-4C29E6B83259}" destId="{C371305F-B72D-3C44-BB22-E50B26871DA6}" srcOrd="8" destOrd="0" presId="urn:microsoft.com/office/officeart/2005/8/layout/chevron2"/>
    <dgm:cxn modelId="{4A4B28AB-6F0F-1945-BE57-06E9DE68938B}" type="presParOf" srcId="{C371305F-B72D-3C44-BB22-E50B26871DA6}" destId="{CCC28DE8-0568-7547-9A1F-3C6F0F33A2CF}" srcOrd="0" destOrd="0" presId="urn:microsoft.com/office/officeart/2005/8/layout/chevron2"/>
    <dgm:cxn modelId="{8D6FB9F3-0FAF-C94F-A487-6EA2E21F29A6}" type="presParOf" srcId="{C371305F-B72D-3C44-BB22-E50B26871DA6}" destId="{F1EE7E3F-25DA-8041-85A7-EBBF11BC4C56}" srcOrd="1" destOrd="0" presId="urn:microsoft.com/office/officeart/2005/8/layout/chevron2"/>
    <dgm:cxn modelId="{B35D903D-0B8B-614D-907D-975936FE8ECF}" type="presParOf" srcId="{DDB27B24-50BA-ED48-8BE9-4C29E6B83259}" destId="{2C8A0FE6-3CCD-674F-87D7-C945364C8330}" srcOrd="9" destOrd="0" presId="urn:microsoft.com/office/officeart/2005/8/layout/chevron2"/>
    <dgm:cxn modelId="{DCB28B0B-0F5F-9B4E-847E-986974488E94}" type="presParOf" srcId="{DDB27B24-50BA-ED48-8BE9-4C29E6B83259}" destId="{C8A774E9-C669-9C42-8FD8-567A31043E1A}" srcOrd="10" destOrd="0" presId="urn:microsoft.com/office/officeart/2005/8/layout/chevron2"/>
    <dgm:cxn modelId="{55C66020-F0ED-1045-B61F-71C2A528D731}" type="presParOf" srcId="{C8A774E9-C669-9C42-8FD8-567A31043E1A}" destId="{844AC346-AEB9-A649-8C9D-DBF2769C8FFC}" srcOrd="0" destOrd="0" presId="urn:microsoft.com/office/officeart/2005/8/layout/chevron2"/>
    <dgm:cxn modelId="{D7AA299A-A2C3-5C43-827D-21D5278CC33A}" type="presParOf" srcId="{C8A774E9-C669-9C42-8FD8-567A31043E1A}" destId="{C80BEB0B-E1AB-4443-9F91-9D6894D7833E}" srcOrd="1" destOrd="0" presId="urn:microsoft.com/office/officeart/2005/8/layout/chevron2"/>
    <dgm:cxn modelId="{52977B9C-397A-0042-9B6F-A543FEE49623}" type="presParOf" srcId="{DDB27B24-50BA-ED48-8BE9-4C29E6B83259}" destId="{59BB4FCD-F10D-9947-BE1C-B71549A60A1E}" srcOrd="11" destOrd="0" presId="urn:microsoft.com/office/officeart/2005/8/layout/chevron2"/>
    <dgm:cxn modelId="{A9A3D2AF-A186-6D4B-AECF-8713A6900713}" type="presParOf" srcId="{DDB27B24-50BA-ED48-8BE9-4C29E6B83259}" destId="{9EA93BB1-069D-5E45-B7BF-50881B2F72E6}" srcOrd="12" destOrd="0" presId="urn:microsoft.com/office/officeart/2005/8/layout/chevron2"/>
    <dgm:cxn modelId="{B80049C3-6B4D-9049-9E57-5735177C1599}" type="presParOf" srcId="{9EA93BB1-069D-5E45-B7BF-50881B2F72E6}" destId="{B9872B13-1174-E847-A615-29577404DF21}" srcOrd="0" destOrd="0" presId="urn:microsoft.com/office/officeart/2005/8/layout/chevron2"/>
    <dgm:cxn modelId="{182AED1A-BAB1-9346-BC1B-4A0F2D3C32A6}" type="presParOf" srcId="{9EA93BB1-069D-5E45-B7BF-50881B2F72E6}" destId="{DCD4A931-4F01-F440-965B-DC25AA6FE080}" srcOrd="1" destOrd="0" presId="urn:microsoft.com/office/officeart/2005/8/layout/chevron2"/>
    <dgm:cxn modelId="{1F914A56-3147-F748-AC4A-3B4F73C7F6EB}" type="presParOf" srcId="{DDB27B24-50BA-ED48-8BE9-4C29E6B83259}" destId="{201CAB8F-4C7F-6E4E-9169-C9E7B5CBE404}" srcOrd="13" destOrd="0" presId="urn:microsoft.com/office/officeart/2005/8/layout/chevron2"/>
    <dgm:cxn modelId="{D38A2151-9B3C-D043-A269-E6697AEE6E57}" type="presParOf" srcId="{DDB27B24-50BA-ED48-8BE9-4C29E6B83259}" destId="{F582FB17-816F-E24C-820F-E8B057C95E1B}" srcOrd="14" destOrd="0" presId="urn:microsoft.com/office/officeart/2005/8/layout/chevron2"/>
    <dgm:cxn modelId="{7332A3A9-707B-9A40-913E-3D6A4A7E4D08}" type="presParOf" srcId="{F582FB17-816F-E24C-820F-E8B057C95E1B}" destId="{B4333B6F-228B-BB4F-BFBB-3F07EED0E456}" srcOrd="0" destOrd="0" presId="urn:microsoft.com/office/officeart/2005/8/layout/chevron2"/>
    <dgm:cxn modelId="{8ADB539B-32A5-8C47-8147-E70356218317}" type="presParOf" srcId="{F582FB17-816F-E24C-820F-E8B057C95E1B}" destId="{3D43254E-014E-B84A-A57A-609D39672E72}" srcOrd="1" destOrd="0" presId="urn:microsoft.com/office/officeart/2005/8/layout/chevron2"/>
    <dgm:cxn modelId="{6266F165-90D6-7149-874D-ABB59AD46652}" type="presParOf" srcId="{DDB27B24-50BA-ED48-8BE9-4C29E6B83259}" destId="{40A2A829-945C-794B-A1D4-DA7A3576A58E}" srcOrd="15" destOrd="0" presId="urn:microsoft.com/office/officeart/2005/8/layout/chevron2"/>
    <dgm:cxn modelId="{87E3984F-2CBA-5341-A335-2F0A8C0DEAAA}" type="presParOf" srcId="{DDB27B24-50BA-ED48-8BE9-4C29E6B83259}" destId="{C588B7A2-4017-6643-93CD-7EB3E7875B06}" srcOrd="16" destOrd="0" presId="urn:microsoft.com/office/officeart/2005/8/layout/chevron2"/>
    <dgm:cxn modelId="{B341A9F6-084A-5C4A-B60F-7587906C2DCF}" type="presParOf" srcId="{C588B7A2-4017-6643-93CD-7EB3E7875B06}" destId="{E86BF6A3-BA90-BB43-908F-24E76E7D1587}" srcOrd="0" destOrd="0" presId="urn:microsoft.com/office/officeart/2005/8/layout/chevron2"/>
    <dgm:cxn modelId="{E063199C-C424-E94C-9DC9-21BD1B4F1B56}" type="presParOf" srcId="{C588B7A2-4017-6643-93CD-7EB3E7875B06}" destId="{E2DE84BA-2462-A242-AC94-46E19F99F1BB}" srcOrd="1" destOrd="0" presId="urn:microsoft.com/office/officeart/2005/8/layout/chevron2"/>
    <dgm:cxn modelId="{95FB45A3-EA00-2245-B49F-1B07E7272B30}" type="presParOf" srcId="{DDB27B24-50BA-ED48-8BE9-4C29E6B83259}" destId="{C2AB1E69-06F4-D043-944B-D85D9601ACA6}" srcOrd="17" destOrd="0" presId="urn:microsoft.com/office/officeart/2005/8/layout/chevron2"/>
    <dgm:cxn modelId="{F4E8AB12-FF4F-3D4E-86B3-C3794EFF833B}" type="presParOf" srcId="{DDB27B24-50BA-ED48-8BE9-4C29E6B83259}" destId="{51C6866E-9F56-9A45-ADF2-6F81F533274A}" srcOrd="18" destOrd="0" presId="urn:microsoft.com/office/officeart/2005/8/layout/chevron2"/>
    <dgm:cxn modelId="{FC1911EC-43EF-1A45-BA3B-676C6E0D5551}" type="presParOf" srcId="{51C6866E-9F56-9A45-ADF2-6F81F533274A}" destId="{B88D95AA-AFFF-224F-9EBE-1226F2119586}" srcOrd="0" destOrd="0" presId="urn:microsoft.com/office/officeart/2005/8/layout/chevron2"/>
    <dgm:cxn modelId="{B003A933-07D0-2B46-9FE4-E2A61BD1DE93}" type="presParOf" srcId="{51C6866E-9F56-9A45-ADF2-6F81F533274A}" destId="{BC4A5DFE-0373-0044-B473-93ADEF2A2324}" srcOrd="1" destOrd="0" presId="urn:microsoft.com/office/officeart/2005/8/layout/chevron2"/>
    <dgm:cxn modelId="{9F2C56DB-4461-BB4B-BE1E-084306DEEC12}" type="presParOf" srcId="{DDB27B24-50BA-ED48-8BE9-4C29E6B83259}" destId="{01E3A2D8-2E7D-6941-B2B2-FA006E31EF08}" srcOrd="19" destOrd="0" presId="urn:microsoft.com/office/officeart/2005/8/layout/chevron2"/>
    <dgm:cxn modelId="{0F0A9253-0CE2-144F-9EC4-EF5FC60D072E}" type="presParOf" srcId="{DDB27B24-50BA-ED48-8BE9-4C29E6B83259}" destId="{37D2DAC8-74EC-BF4C-831D-920A9C40B9D5}" srcOrd="20" destOrd="0" presId="urn:microsoft.com/office/officeart/2005/8/layout/chevron2"/>
    <dgm:cxn modelId="{CF93E0A8-831B-E34C-B11C-820EC699DC67}" type="presParOf" srcId="{37D2DAC8-74EC-BF4C-831D-920A9C40B9D5}" destId="{ED0EEAAD-1F9F-C445-9ED5-D61D26A0F8D1}" srcOrd="0" destOrd="0" presId="urn:microsoft.com/office/officeart/2005/8/layout/chevron2"/>
    <dgm:cxn modelId="{236FC351-C3BC-9542-BAA9-1A71EA7EACF4}" type="presParOf" srcId="{37D2DAC8-74EC-BF4C-831D-920A9C40B9D5}" destId="{C174B10A-41E6-244B-88CB-0D08E5FFF5F9}" srcOrd="1" destOrd="0" presId="urn:microsoft.com/office/officeart/2005/8/layout/chevron2"/>
    <dgm:cxn modelId="{B5DB59E2-CF59-7144-845D-80106D9EE02A}" type="presParOf" srcId="{DDB27B24-50BA-ED48-8BE9-4C29E6B83259}" destId="{43FB22C6-B891-E44F-B0D7-B9F71AB372F1}" srcOrd="21" destOrd="0" presId="urn:microsoft.com/office/officeart/2005/8/layout/chevron2"/>
    <dgm:cxn modelId="{58E95072-0A8B-E54A-AB3C-E6AF3D991992}" type="presParOf" srcId="{DDB27B24-50BA-ED48-8BE9-4C29E6B83259}" destId="{73DF1BD6-49ED-134F-A291-CE4DB94547A9}" srcOrd="22" destOrd="0" presId="urn:microsoft.com/office/officeart/2005/8/layout/chevron2"/>
    <dgm:cxn modelId="{12628819-314B-E146-8F3C-44A983851BE1}" type="presParOf" srcId="{73DF1BD6-49ED-134F-A291-CE4DB94547A9}" destId="{6DDDE256-1CA3-1140-A939-5530FC1F57D3}" srcOrd="0" destOrd="0" presId="urn:microsoft.com/office/officeart/2005/8/layout/chevron2"/>
    <dgm:cxn modelId="{E998AC93-131A-814C-A4D4-9189C8684CA6}" type="presParOf" srcId="{73DF1BD6-49ED-134F-A291-CE4DB94547A9}" destId="{999FDDA9-9F6A-1143-BE3C-B1E07CBE9945}" srcOrd="1" destOrd="0" presId="urn:microsoft.com/office/officeart/2005/8/layout/chevron2"/>
    <dgm:cxn modelId="{6C7F4A35-51BD-FD48-8D68-029CEFF51D70}" type="presParOf" srcId="{DDB27B24-50BA-ED48-8BE9-4C29E6B83259}" destId="{A73ECDF3-49A4-0948-BD1F-387AF7BD3FC1}" srcOrd="23" destOrd="0" presId="urn:microsoft.com/office/officeart/2005/8/layout/chevron2"/>
    <dgm:cxn modelId="{7BA9C056-4A61-3543-86A6-D8C57FBA5760}" type="presParOf" srcId="{DDB27B24-50BA-ED48-8BE9-4C29E6B83259}" destId="{F2D2A481-D011-064A-92C0-32CD4D676904}" srcOrd="24" destOrd="0" presId="urn:microsoft.com/office/officeart/2005/8/layout/chevron2"/>
    <dgm:cxn modelId="{517789A6-C0B4-9E48-9941-A89F487DDBDA}" type="presParOf" srcId="{F2D2A481-D011-064A-92C0-32CD4D676904}" destId="{48AF7672-2483-B34A-B763-89BD09AEBA58}" srcOrd="0" destOrd="0" presId="urn:microsoft.com/office/officeart/2005/8/layout/chevron2"/>
    <dgm:cxn modelId="{69C86DE7-D306-2440-990B-27138CFAB50F}"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174"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3: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4: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5: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 triangulation</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8: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9: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a:solidFill>
          <a:srgbClr val="953735"/>
        </a:solidFill>
      </dgm:spPr>
      <dgm:t>
        <a:bodyPr/>
        <a:lstStyle/>
        <a:p>
          <a:r>
            <a:rPr lang="en-US"/>
            <a:t>10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custT="1"/>
      <dgm:spPr>
        <a:solidFill>
          <a:srgbClr val="953735">
            <a:alpha val="90000"/>
          </a:srgbClr>
        </a:solidFill>
      </dgm:spPr>
      <dgm:t>
        <a:bodyPr/>
        <a:lstStyle/>
        <a:p>
          <a:r>
            <a:rPr lang="en-US" sz="900">
              <a:solidFill>
                <a:srgbClr val="FFFFFF"/>
              </a:solidFill>
            </a:rPr>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43189DDA-F2F0-664B-A8EE-6047E202F976}">
      <dgm:prSet phldrT="[Text]" custT="1"/>
      <dgm:spPr>
        <a:solidFill>
          <a:srgbClr val="953735">
            <a:alpha val="90000"/>
          </a:srgbClr>
        </a:solidFill>
      </dgm:spPr>
      <dgm:t>
        <a:bodyPr/>
        <a:lstStyle/>
        <a:p>
          <a:r>
            <a:rPr lang="en-US" sz="900">
              <a:solidFill>
                <a:srgbClr val="FFFFFF"/>
              </a:solidFill>
            </a:rPr>
            <a:t>Simulation for assessment</a:t>
          </a:r>
        </a:p>
      </dgm:t>
    </dgm:pt>
    <dgm:pt modelId="{2BAAC508-3F94-2D4B-8E12-F8CFD3F685B8}" type="parTrans" cxnId="{D82B1A79-83A4-A744-B471-CBD94EB43F55}">
      <dgm:prSet/>
      <dgm:spPr/>
      <dgm:t>
        <a:bodyPr/>
        <a:lstStyle/>
        <a:p>
          <a:endParaRPr lang="en-US"/>
        </a:p>
      </dgm:t>
    </dgm:pt>
    <dgm:pt modelId="{57673210-3D5A-D940-974E-1DB5C603A9F6}" type="sibTrans" cxnId="{D82B1A79-83A4-A744-B471-CBD94EB43F55}">
      <dgm:prSet/>
      <dgm:spPr/>
      <dgm:t>
        <a:bodyPr/>
        <a:lstStyle/>
        <a:p>
          <a:endParaRPr lang="en-US"/>
        </a:p>
      </dgm:t>
    </dgm:pt>
    <dgm:pt modelId="{7D5151A2-C023-3F4B-9A23-F8C11EE59F21}">
      <dgm:prSet phldrT="[Text]" custT="1"/>
      <dgm:spPr>
        <a:solidFill>
          <a:srgbClr val="953735">
            <a:alpha val="90000"/>
          </a:srgbClr>
        </a:solidFill>
      </dgm:spPr>
      <dgm:t>
        <a:bodyPr/>
        <a:lstStyle/>
        <a:p>
          <a:r>
            <a:rPr lang="en-US" sz="900">
              <a:solidFill>
                <a:srgbClr val="FFFFFF"/>
              </a:solidFill>
            </a:rPr>
            <a:t>Responsibility</a:t>
          </a:r>
        </a:p>
      </dgm:t>
    </dgm:pt>
    <dgm:pt modelId="{5C260071-0359-864C-BD52-EFD584E217A5}" type="parTrans" cxnId="{F86F57B1-F7D6-5D4C-BFC9-9B0E4CE52C83}">
      <dgm:prSet/>
      <dgm:spPr/>
      <dgm:t>
        <a:bodyPr/>
        <a:lstStyle/>
        <a:p>
          <a:endParaRPr lang="en-US"/>
        </a:p>
      </dgm:t>
    </dgm:pt>
    <dgm:pt modelId="{28A7157F-AE0D-9749-A7F4-BA2EA54895EC}" type="sibTrans" cxnId="{F86F57B1-F7D6-5D4C-BFC9-9B0E4CE52C83}">
      <dgm:prSet/>
      <dgm:spPr/>
      <dgm:t>
        <a:bodyPr/>
        <a:lstStyle/>
        <a:p>
          <a:endParaRPr lang="en-US"/>
        </a:p>
      </dgm:t>
    </dgm:pt>
    <dgm:pt modelId="{46C87E74-5E28-8C46-86B1-98C82A55CBAE}">
      <dgm:prSet phldrT="[Text]"/>
      <dgm:spPr/>
      <dgm:t>
        <a:bodyPr/>
        <a:lstStyle/>
        <a:p>
          <a:r>
            <a:rPr lang="en-US"/>
            <a:t>Bibliography</a:t>
          </a:r>
        </a:p>
      </dgm:t>
    </dgm:pt>
    <dgm:pt modelId="{04801474-7BFD-AC4B-9CCF-28521DEC6DB6}" type="sibTrans" cxnId="{C2A5ACA1-F1A9-1347-BEAB-34809B48CF85}">
      <dgm:prSet/>
      <dgm:spPr/>
      <dgm:t>
        <a:bodyPr/>
        <a:lstStyle/>
        <a:p>
          <a:endParaRPr lang="en-US"/>
        </a:p>
      </dgm:t>
    </dgm:pt>
    <dgm:pt modelId="{2A9B7400-96EA-AD40-9D11-2744CE1FE9E5}" type="parTrans" cxnId="{C2A5ACA1-F1A9-1347-BEAB-34809B48CF85}">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2">
        <dgm:presLayoutVars>
          <dgm:chMax val="1"/>
          <dgm:bulletEnabled val="1"/>
        </dgm:presLayoutVars>
      </dgm:prSet>
      <dgm:spPr/>
    </dgm:pt>
    <dgm:pt modelId="{28826DD3-E030-6044-B2F2-D85EF85F6960}" type="pres">
      <dgm:prSet presAssocID="{718C1A72-EF39-DD4E-BFDE-F45DD7D520FB}" presName="descendantText" presStyleLbl="alignAcc1" presStyleIdx="0" presStyleCnt="12">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2">
        <dgm:presLayoutVars>
          <dgm:chMax val="1"/>
          <dgm:bulletEnabled val="1"/>
        </dgm:presLayoutVars>
      </dgm:prSet>
      <dgm:spPr/>
    </dgm:pt>
    <dgm:pt modelId="{8BDAA81E-2E4E-9C4A-9A67-4855D9BA1510}" type="pres">
      <dgm:prSet presAssocID="{332543FB-BB1C-DE43-B140-C2BB789BBCB2}" presName="descendantText" presStyleLbl="alignAcc1" presStyleIdx="1" presStyleCnt="12">
        <dgm:presLayoutVars>
          <dgm:bulletEnabled val="1"/>
        </dgm:presLayoutVars>
      </dgm:prSet>
      <dgm:spPr/>
    </dgm:pt>
    <dgm:pt modelId="{D756A8C3-50EB-084A-8277-DD5831B4E8C7}" type="pres">
      <dgm:prSet presAssocID="{9F0DECA5-F8B9-2F49-B9A7-32EB3AD7D8C5}"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2" presStyleCnt="12">
        <dgm:presLayoutVars>
          <dgm:chMax val="1"/>
          <dgm:bulletEnabled val="1"/>
        </dgm:presLayoutVars>
      </dgm:prSet>
      <dgm:spPr/>
    </dgm:pt>
    <dgm:pt modelId="{F1EE7E3F-25DA-8041-85A7-EBBF11BC4C56}" type="pres">
      <dgm:prSet presAssocID="{93105CB4-0286-ED4F-915C-092EF42A9691}" presName="descendantText" presStyleLbl="alignAcc1" presStyleIdx="2" presStyleCnt="12">
        <dgm:presLayoutVars>
          <dgm:bulletEnabled val="1"/>
        </dgm:presLayoutVars>
      </dgm:prSet>
      <dgm:spPr/>
    </dgm:pt>
    <dgm:pt modelId="{2C8A0FE6-3CCD-674F-87D7-C945364C8330}" type="pres">
      <dgm:prSet presAssocID="{72453AAB-5C0D-2D49-B812-AF99508E8E00}"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3" presStyleCnt="12">
        <dgm:presLayoutVars>
          <dgm:chMax val="1"/>
          <dgm:bulletEnabled val="1"/>
        </dgm:presLayoutVars>
      </dgm:prSet>
      <dgm:spPr/>
    </dgm:pt>
    <dgm:pt modelId="{06B263AD-CC10-0D49-8145-0C283F585CD5}" type="pres">
      <dgm:prSet presAssocID="{8A942072-3D9B-2043-8B2E-11E707170D7E}" presName="descendantText" presStyleLbl="alignAcc1" presStyleIdx="3" presStyleCnt="12">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4" presStyleCnt="12">
        <dgm:presLayoutVars>
          <dgm:chMax val="1"/>
          <dgm:bulletEnabled val="1"/>
        </dgm:presLayoutVars>
      </dgm:prSet>
      <dgm:spPr/>
    </dgm:pt>
    <dgm:pt modelId="{9D5418D3-F08D-8545-87B2-2FD7B1D1031E}" type="pres">
      <dgm:prSet presAssocID="{82A06431-B147-914D-A7EE-B91B75443203}" presName="descendantText" presStyleLbl="alignAcc1" presStyleIdx="4" presStyleCnt="12">
        <dgm:presLayoutVars>
          <dgm:bulletEnabled val="1"/>
        </dgm:presLayoutVars>
      </dgm:prSet>
      <dgm:spPr/>
    </dgm:pt>
    <dgm:pt modelId="{BD082DD2-36A2-F841-B83C-3B9BAF4B2B5C}" type="pres">
      <dgm:prSet presAssocID="{2927117D-194C-1341-932F-5623EB51389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2">
        <dgm:presLayoutVars>
          <dgm:chMax val="1"/>
          <dgm:bulletEnabled val="1"/>
        </dgm:presLayoutVars>
      </dgm:prSet>
      <dgm:spPr/>
    </dgm:pt>
    <dgm:pt modelId="{C80BEB0B-E1AB-4443-9F91-9D6894D7833E}" type="pres">
      <dgm:prSet presAssocID="{AB849386-BBEF-244B-A2A1-1BE27622D72F}" presName="descendantText" presStyleLbl="alignAcc1" presStyleIdx="5" presStyleCnt="12">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2">
        <dgm:presLayoutVars>
          <dgm:chMax val="1"/>
          <dgm:bulletEnabled val="1"/>
        </dgm:presLayoutVars>
      </dgm:prSet>
      <dgm:spPr/>
    </dgm:pt>
    <dgm:pt modelId="{DCD4A931-4F01-F440-965B-DC25AA6FE080}" type="pres">
      <dgm:prSet presAssocID="{34B9CBCA-90AD-D946-B26E-3A6E60BB731E}" presName="descendantText" presStyleLbl="alignAcc1" presStyleIdx="6" presStyleCnt="12">
        <dgm:presLayoutVars>
          <dgm:bulletEnabled val="1"/>
        </dgm:presLayoutVars>
      </dgm:prSet>
      <dgm:spPr/>
    </dgm:pt>
    <dgm:pt modelId="{201CAB8F-4C7F-6E4E-9169-C9E7B5CBE404}" type="pres">
      <dgm:prSet presAssocID="{1031D2A7-8DEF-E945-AA90-68FD6C34AE22}"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7" presStyleCnt="12">
        <dgm:presLayoutVars>
          <dgm:chMax val="1"/>
          <dgm:bulletEnabled val="1"/>
        </dgm:presLayoutVars>
      </dgm:prSet>
      <dgm:spPr/>
    </dgm:pt>
    <dgm:pt modelId="{E2DE84BA-2462-A242-AC94-46E19F99F1BB}" type="pres">
      <dgm:prSet presAssocID="{182D19B6-9968-F54C-9803-98CF32A9110D}" presName="descendantText" presStyleLbl="alignAcc1" presStyleIdx="7" presStyleCnt="12">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8" presStyleCnt="12">
        <dgm:presLayoutVars>
          <dgm:chMax val="1"/>
          <dgm:bulletEnabled val="1"/>
        </dgm:presLayoutVars>
      </dgm:prSet>
      <dgm:spPr/>
    </dgm:pt>
    <dgm:pt modelId="{BC4A5DFE-0373-0044-B473-93ADEF2A2324}" type="pres">
      <dgm:prSet presAssocID="{A8C6C2DC-42DC-4841-8B38-6F4C4E8905E8}" presName="descendantText" presStyleLbl="alignAcc1" presStyleIdx="8" presStyleCnt="12">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9" presStyleCnt="12">
        <dgm:presLayoutVars>
          <dgm:chMax val="1"/>
          <dgm:bulletEnabled val="1"/>
        </dgm:presLayoutVars>
      </dgm:prSet>
      <dgm:spPr/>
    </dgm:pt>
    <dgm:pt modelId="{C174B10A-41E6-244B-88CB-0D08E5FFF5F9}" type="pres">
      <dgm:prSet presAssocID="{5EFAD456-F8B8-C147-9A38-D366892E8D90}" presName="descendantText" presStyleLbl="alignAcc1" presStyleIdx="9" presStyleCnt="12">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0" presStyleCnt="12">
        <dgm:presLayoutVars>
          <dgm:chMax val="1"/>
          <dgm:bulletEnabled val="1"/>
        </dgm:presLayoutVars>
      </dgm:prSet>
      <dgm:spPr/>
    </dgm:pt>
    <dgm:pt modelId="{999FDDA9-9F6A-1143-BE3C-B1E07CBE9945}" type="pres">
      <dgm:prSet presAssocID="{46C87E74-5E28-8C46-86B1-98C82A55CBAE}" presName="descendantText" presStyleLbl="alignAcc1" presStyleIdx="10" presStyleCnt="12">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1" presStyleCnt="12">
        <dgm:presLayoutVars>
          <dgm:chMax val="1"/>
          <dgm:bulletEnabled val="1"/>
        </dgm:presLayoutVars>
      </dgm:prSet>
      <dgm:spPr/>
    </dgm:pt>
    <dgm:pt modelId="{53F81CAC-F802-9240-8C94-B3E2B1F8761C}" type="pres">
      <dgm:prSet presAssocID="{1EC7AB78-D724-324B-BD90-FC58EF6E0357}" presName="descendantText" presStyleLbl="alignAcc1" presStyleIdx="11" presStyleCnt="12">
        <dgm:presLayoutVars>
          <dgm:bulletEnabled val="1"/>
        </dgm:presLayoutVars>
      </dgm:prSet>
      <dgm:spPr/>
    </dgm:pt>
  </dgm:ptLst>
  <dgm:cxnLst>
    <dgm:cxn modelId="{3E66D100-B1F8-8440-9664-BB4FB38167A0}" type="presOf" srcId="{555C02C0-6BC9-D540-8A82-3666CC61D37F}" destId="{DCD4A931-4F01-F440-965B-DC25AA6FE080}" srcOrd="0" destOrd="0" presId="urn:microsoft.com/office/officeart/2005/8/layout/chevron2"/>
    <dgm:cxn modelId="{ECBB6A01-C744-5C48-80F0-9E018C0F9B69}" type="presOf" srcId="{46C87E74-5E28-8C46-86B1-98C82A55CBAE}" destId="{6DDDE256-1CA3-1140-A939-5530FC1F57D3}" srcOrd="0" destOrd="0" presId="urn:microsoft.com/office/officeart/2005/8/layout/chevron2"/>
    <dgm:cxn modelId="{82AF6207-BDDD-C84A-B296-F89922BF1003}" type="presOf" srcId="{3F3526C7-6ED1-AA46-BF20-1B9948A084E5}" destId="{06B263AD-CC10-0D49-8145-0C283F585CD5}" srcOrd="0" destOrd="2" presId="urn:microsoft.com/office/officeart/2005/8/layout/chevron2"/>
    <dgm:cxn modelId="{72344D0A-827B-DF4C-9073-80A04D4D679A}" type="presOf" srcId="{6AEE21D3-4CB1-7443-AC17-5D71D849EEF3}" destId="{28826DD3-E030-6044-B2F2-D85EF85F6960}" srcOrd="0" destOrd="0"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AC9D9313-669C-D24C-A27A-5CDE15B28B05}" type="presOf" srcId="{C458704A-A6F3-A24F-B50F-7B434CD11794}" destId="{28826DD3-E030-6044-B2F2-D85EF85F6960}" srcOrd="0" destOrd="2" presId="urn:microsoft.com/office/officeart/2005/8/layout/chevron2"/>
    <dgm:cxn modelId="{9737A014-77AA-2343-9EF8-1AB62E400960}" srcId="{34B9CBCA-90AD-D946-B26E-3A6E60BB731E}" destId="{0B5EEED9-AADF-5646-A4EE-16C7E3C5048F}" srcOrd="3" destOrd="0" parTransId="{5F63AFFB-8796-8145-8196-16BA65A8913E}" sibTransId="{6369732A-4608-D04B-9932-9F2E14769A9F}"/>
    <dgm:cxn modelId="{1AE94A15-06D5-FD4E-8865-D9A065F042B1}" type="presOf" srcId="{32BD5717-A9E6-DD44-A13C-12122D41F212}" destId="{DDB27B24-50BA-ED48-8BE9-4C29E6B83259}" srcOrd="0" destOrd="0" presId="urn:microsoft.com/office/officeart/2005/8/layout/chevron2"/>
    <dgm:cxn modelId="{425A741B-9872-3A46-B4DA-D764BFE4CD8B}" srcId="{32BD5717-A9E6-DD44-A13C-12122D41F212}" destId="{182D19B6-9968-F54C-9803-98CF32A9110D}" srcOrd="7" destOrd="0" parTransId="{19120E65-5B26-BC4A-9EFF-5512A25AEB14}" sibTransId="{259ED567-5FE2-2F45-B806-60F8702E00F5}"/>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81402126-7D54-DF4E-81EA-A17266F3E432}" type="presOf" srcId="{AB849386-BBEF-244B-A2A1-1BE27622D72F}" destId="{844AC346-AEB9-A649-8C9D-DBF2769C8FFC}" srcOrd="0" destOrd="0" presId="urn:microsoft.com/office/officeart/2005/8/layout/chevron2"/>
    <dgm:cxn modelId="{0D478C28-E547-8742-A7E1-3B133335AAE0}" type="presOf" srcId="{65337D44-9B2C-044E-AEF9-F665764413CE}" destId="{9D5418D3-F08D-8545-87B2-2FD7B1D1031E}" srcOrd="0" destOrd="0" presId="urn:microsoft.com/office/officeart/2005/8/layout/chevron2"/>
    <dgm:cxn modelId="{6FB6CB28-3B5F-B745-9101-8B24E35DC65F}" type="presOf" srcId="{318E09D1-A59D-2E4B-A3CC-C2FF16965C43}" destId="{E2DE84BA-2462-A242-AC94-46E19F99F1BB}" srcOrd="0" destOrd="1"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2831812A-2A84-BE47-831D-7DD3259433DF}" type="presOf" srcId="{E8835EC0-86EE-3540-9564-983F3D69B9B0}" destId="{E2DE84BA-2462-A242-AC94-46E19F99F1BB}" srcOrd="0" destOrd="4" presId="urn:microsoft.com/office/officeart/2005/8/layout/chevron2"/>
    <dgm:cxn modelId="{1DA9DD2B-76C2-DE40-91A7-EEEDD1FE82A5}" type="presOf" srcId="{93105CB4-0286-ED4F-915C-092EF42A9691}" destId="{CCC28DE8-0568-7547-9A1F-3C6F0F33A2CF}" srcOrd="0" destOrd="0" presId="urn:microsoft.com/office/officeart/2005/8/layout/chevron2"/>
    <dgm:cxn modelId="{59BC802C-D14E-5442-A582-4090A6BEA505}" type="presOf" srcId="{43189DDA-F2F0-664B-A8EE-6047E202F976}" destId="{C174B10A-41E6-244B-88CB-0D08E5FFF5F9}" srcOrd="0" destOrd="2"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AC9D8B35-3E35-964E-B49F-8C40FB3AF24D}" srcId="{182D19B6-9968-F54C-9803-98CF32A9110D}" destId="{E8835EC0-86EE-3540-9564-983F3D69B9B0}" srcOrd="4" destOrd="0" parTransId="{3507EF78-030C-2546-8CBB-075D7261FCDE}" sibTransId="{7BBE6FC9-195F-5E44-BEAA-03BE4D719D22}"/>
    <dgm:cxn modelId="{E8C53937-8FA7-FA42-8414-606549A23D7D}" type="presOf" srcId="{4E401C2C-4000-C040-828A-EB0D5B3F70BC}" destId="{8BDAA81E-2E4E-9C4A-9A67-4855D9BA1510}" srcOrd="0" destOrd="1" presId="urn:microsoft.com/office/officeart/2005/8/layout/chevron2"/>
    <dgm:cxn modelId="{C67DC537-D4CA-2944-8330-96C6C74E0394}" srcId="{32BD5717-A9E6-DD44-A13C-12122D41F212}" destId="{34B9CBCA-90AD-D946-B26E-3A6E60BB731E}" srcOrd="6" destOrd="0" parTransId="{9332FC5B-2DEC-D146-AE72-41CD6249A702}" sibTransId="{1031D2A7-8DEF-E945-AA90-68FD6C34AE2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6F93DE62-7CC8-BA44-9D2A-D64E81E3CB6E}" type="presOf" srcId="{5EFAD456-F8B8-C147-9A38-D366892E8D90}" destId="{ED0EEAAD-1F9F-C445-9ED5-D61D26A0F8D1}" srcOrd="0" destOrd="0" presId="urn:microsoft.com/office/officeart/2005/8/layout/chevron2"/>
    <dgm:cxn modelId="{AA4E2B43-0C23-BC49-A6F3-4D69868C6C7A}" type="presOf" srcId="{332543FB-BB1C-DE43-B140-C2BB789BBCB2}" destId="{B422BFF3-8BFD-2144-8980-375702EA9496}" srcOrd="0" destOrd="0" presId="urn:microsoft.com/office/officeart/2005/8/layout/chevron2"/>
    <dgm:cxn modelId="{6173A843-1A9C-A545-85AC-D98DB1B8A111}" type="presOf" srcId="{7438286E-8350-184E-82B3-3AAEF5F4B429}" destId="{8BDAA81E-2E4E-9C4A-9A67-4855D9BA1510}" srcOrd="0" destOrd="2"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4A37F54A-7916-D04E-867A-CEC605C78E17}" type="presOf" srcId="{2725BEFC-24C3-E145-86F8-460B0C16124D}" destId="{8BDAA81E-2E4E-9C4A-9A67-4855D9BA1510}" srcOrd="0" destOrd="0" presId="urn:microsoft.com/office/officeart/2005/8/layout/chevron2"/>
    <dgm:cxn modelId="{8E062E4D-AA93-CB44-A0AC-F749EB20F43A}" srcId="{32BD5717-A9E6-DD44-A13C-12122D41F212}" destId="{82A06431-B147-914D-A7EE-B91B75443203}" srcOrd="4" destOrd="0" parTransId="{13C96808-67BD-174F-B855-16ACA3400941}" sibTransId="{2927117D-194C-1341-932F-5623EB513890}"/>
    <dgm:cxn modelId="{8E352F6E-1E1B-EA44-815B-01D19BBEF311}" type="presOf" srcId="{D4381A80-7F1D-9D4D-8093-B3E6A2F1CFCA}" destId="{9D5418D3-F08D-8545-87B2-2FD7B1D1031E}" srcOrd="0" destOrd="1" presId="urn:microsoft.com/office/officeart/2005/8/layout/chevron2"/>
    <dgm:cxn modelId="{847C8C50-3AF2-C747-B6BE-C1FE293F4C6D}" type="presOf" srcId="{7D5151A2-C023-3F4B-9A23-F8C11EE59F21}" destId="{C174B10A-41E6-244B-88CB-0D08E5FFF5F9}" srcOrd="0" destOrd="1"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3EDD2072-4EF5-804B-A413-809F941C7E72}" type="presOf" srcId="{8A942072-3D9B-2043-8B2E-11E707170D7E}" destId="{A0202F08-BEC9-8F43-8711-F30ADE817D18}" srcOrd="0" destOrd="0" presId="urn:microsoft.com/office/officeart/2005/8/layout/chevron2"/>
    <dgm:cxn modelId="{ED2C4B72-FD62-8640-8458-BB11F71C66A1}" type="presOf" srcId="{182D19B6-9968-F54C-9803-98CF32A9110D}" destId="{E86BF6A3-BA90-BB43-908F-24E76E7D1587}" srcOrd="0" destOrd="0" presId="urn:microsoft.com/office/officeart/2005/8/layout/chevron2"/>
    <dgm:cxn modelId="{EBCA7454-0A4D-574C-AF9E-ACF2192F6A69}" srcId="{34B9CBCA-90AD-D946-B26E-3A6E60BB731E}" destId="{EEF349EC-A16C-6E4F-8464-6BD71940F70C}" srcOrd="2" destOrd="0" parTransId="{4EF4EBD5-8084-7D4A-BB5E-4EF2C5C94F99}" sibTransId="{A325D897-3CF3-2444-BCE0-FB27A2B93D02}"/>
    <dgm:cxn modelId="{665FDF75-9020-A946-BB9D-6E5D1F2C1CF6}" type="presOf" srcId="{387817B1-B48E-804E-9741-307C0F8B2DA9}" destId="{BC4A5DFE-0373-0044-B473-93ADEF2A2324}" srcOrd="0" destOrd="1" presId="urn:microsoft.com/office/officeart/2005/8/layout/chevron2"/>
    <dgm:cxn modelId="{7CCA3577-052A-E54E-8A65-B79C9D3D7282}" srcId="{32BD5717-A9E6-DD44-A13C-12122D41F212}" destId="{5EFAD456-F8B8-C147-9A38-D366892E8D90}" srcOrd="9" destOrd="0" parTransId="{AEC4A29C-080E-714E-8C55-A165817C6F84}" sibTransId="{69AAF0EB-9438-D048-8CCB-3ADC0E6ED07B}"/>
    <dgm:cxn modelId="{7A0CD058-BA37-404E-BC87-E9E339067234}" type="presOf" srcId="{E6055D9E-1DDE-A243-A8F6-5CDF160A3724}" destId="{C174B10A-41E6-244B-88CB-0D08E5FFF5F9}" srcOrd="0" destOrd="0" presId="urn:microsoft.com/office/officeart/2005/8/layout/chevron2"/>
    <dgm:cxn modelId="{D82B1A79-83A4-A744-B471-CBD94EB43F55}" srcId="{5EFAD456-F8B8-C147-9A38-D366892E8D90}" destId="{43189DDA-F2F0-664B-A8EE-6047E202F976}" srcOrd="2" destOrd="0" parTransId="{2BAAC508-3F94-2D4B-8E12-F8CFD3F685B8}" sibTransId="{57673210-3D5A-D940-974E-1DB5C603A9F6}"/>
    <dgm:cxn modelId="{941CFF7A-D638-8A4B-8278-95DAB8637AEE}" srcId="{32BD5717-A9E6-DD44-A13C-12122D41F212}" destId="{8A942072-3D9B-2043-8B2E-11E707170D7E}" srcOrd="3"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C2637380-4378-9541-964A-D6E21D69FAFC}" srcId="{34B9CBCA-90AD-D946-B26E-3A6E60BB731E}" destId="{817AAD11-541C-8040-B8E6-60D63F44FF6E}" srcOrd="1" destOrd="0" parTransId="{820D5C7D-3565-B841-B802-D79FD186F3F0}" sibTransId="{DBDC58F4-53C2-3143-8B2E-16E385E444FB}"/>
    <dgm:cxn modelId="{B9D53385-EA6D-6B47-97A8-4C30AB177590}" type="presOf" srcId="{EE4687FF-DC98-3D4A-8B1D-75DD628798CF}" destId="{BC4A5DFE-0373-0044-B473-93ADEF2A2324}" srcOrd="0" destOrd="2" presId="urn:microsoft.com/office/officeart/2005/8/layout/chevron2"/>
    <dgm:cxn modelId="{160A5C8B-BBF3-8D4B-8E6F-BB3F3D04A27D}" srcId="{32BD5717-A9E6-DD44-A13C-12122D41F212}" destId="{1EC7AB78-D724-324B-BD90-FC58EF6E0357}" srcOrd="11" destOrd="0" parTransId="{D362144C-27C6-E04C-85E7-ABD569DB16DE}" sibTransId="{89B2828F-B5A3-B546-A70B-38B01D72B154}"/>
    <dgm:cxn modelId="{04CB618B-BB58-FE4E-893B-1B9902CA647E}" type="presOf" srcId="{3528BF8B-944A-1B4D-ADBB-12D941C8C388}" destId="{E2DE84BA-2462-A242-AC94-46E19F99F1BB}" srcOrd="0" destOrd="0" presId="urn:microsoft.com/office/officeart/2005/8/layout/chevron2"/>
    <dgm:cxn modelId="{B3B25A8F-343F-494D-95FF-E07F556C6762}" type="presOf" srcId="{0D5E0837-38B9-E148-BB11-F780782A29CB}" destId="{9D5418D3-F08D-8545-87B2-2FD7B1D1031E}" srcOrd="0" destOrd="2" presId="urn:microsoft.com/office/officeart/2005/8/layout/chevron2"/>
    <dgm:cxn modelId="{01AB4790-EBBC-5949-87E5-3DA4E704E224}" type="presOf" srcId="{2D2AF18A-8B4F-6F43-ABC1-76E3735A0A2A}" destId="{BC4A5DFE-0373-0044-B473-93ADEF2A2324}" srcOrd="0" destOrd="0"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06495397-CAFB-8346-B6DD-C62B8755406E}" srcId="{93105CB4-0286-ED4F-915C-092EF42A9691}" destId="{14C4AACB-BBED-FD43-880C-31C843F0061A}" srcOrd="1" destOrd="0" parTransId="{DFED4DE2-2306-C34E-907E-763B913F06DC}" sibTransId="{8C3CD2B7-B9B1-6B48-BD9C-4F4D55283F81}"/>
    <dgm:cxn modelId="{B2FBA997-513B-C54C-B1FD-139A0FC7B421}" type="presOf" srcId="{817AAD11-541C-8040-B8E6-60D63F44FF6E}" destId="{DCD4A931-4F01-F440-965B-DC25AA6FE080}" srcOrd="0" destOrd="1" presId="urn:microsoft.com/office/officeart/2005/8/layout/chevron2"/>
    <dgm:cxn modelId="{CEF11298-7B7C-FD4D-951D-3486FF972054}" type="presOf" srcId="{125C0A60-1A53-5F41-A8F9-BD71D1144F62}" destId="{C80BEB0B-E1AB-4443-9F91-9D6894D7833E}" srcOrd="0" destOrd="0" presId="urn:microsoft.com/office/officeart/2005/8/layout/chevron2"/>
    <dgm:cxn modelId="{C2A5ACA1-F1A9-1347-BEAB-34809B48CF85}" srcId="{32BD5717-A9E6-DD44-A13C-12122D41F212}" destId="{46C87E74-5E28-8C46-86B1-98C82A55CBAE}" srcOrd="10" destOrd="0" parTransId="{2A9B7400-96EA-AD40-9D11-2744CE1FE9E5}" sibTransId="{04801474-7BFD-AC4B-9CCF-28521DEC6DB6}"/>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AA9C0EA6-C3C5-1C45-ABF1-5AB52CC264BD}" type="presOf" srcId="{61A2BB49-4883-F544-A634-4207B0324D62}" destId="{06B263AD-CC10-0D49-8145-0C283F585CD5}" srcOrd="0" destOrd="0" presId="urn:microsoft.com/office/officeart/2005/8/layout/chevron2"/>
    <dgm:cxn modelId="{FC3FC4AA-E816-A343-94F8-BF0556D5006F}" type="presOf" srcId="{82A06431-B147-914D-A7EE-B91B75443203}" destId="{31EA3204-EDC1-4F43-84C9-41DE884256E5}" srcOrd="0" destOrd="0" presId="urn:microsoft.com/office/officeart/2005/8/layout/chevron2"/>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2" destOrd="0" parTransId="{A4EA5788-EDE5-E443-B24A-EA951734FC41}" sibTransId="{72453AAB-5C0D-2D49-B812-AF99508E8E00}"/>
    <dgm:cxn modelId="{F86F57B1-F7D6-5D4C-BFC9-9B0E4CE52C83}" srcId="{5EFAD456-F8B8-C147-9A38-D366892E8D90}" destId="{7D5151A2-C023-3F4B-9A23-F8C11EE59F21}" srcOrd="1" destOrd="0" parTransId="{5C260071-0359-864C-BD52-EFD584E217A5}" sibTransId="{28A7157F-AE0D-9749-A7F4-BA2EA54895EC}"/>
    <dgm:cxn modelId="{BDCC76B5-FF3C-BA4F-AC50-2EB2218D09BC}" type="presOf" srcId="{BE8AC978-0FAD-5E4D-B281-1B7DC61EC809}" destId="{C80BEB0B-E1AB-4443-9F91-9D6894D7833E}" srcOrd="0" destOrd="1" presId="urn:microsoft.com/office/officeart/2005/8/layout/chevron2"/>
    <dgm:cxn modelId="{5F342BB7-F57E-A145-9361-DE418E37A002}" type="presOf" srcId="{34B9CBCA-90AD-D946-B26E-3A6E60BB731E}" destId="{B9872B13-1174-E847-A615-29577404DF21}" srcOrd="0" destOrd="0" presId="urn:microsoft.com/office/officeart/2005/8/layout/chevron2"/>
    <dgm:cxn modelId="{59CD76BA-1D93-B040-90D3-BA4FCA7A5C2A}" type="presOf" srcId="{0D347524-7007-BE43-81AE-44B5DE652093}" destId="{28826DD3-E030-6044-B2F2-D85EF85F6960}" srcOrd="0" destOrd="1" presId="urn:microsoft.com/office/officeart/2005/8/layout/chevron2"/>
    <dgm:cxn modelId="{5EB7DABA-423B-464D-9BF0-E4B7071A005A}" type="presOf" srcId="{14C4AACB-BBED-FD43-880C-31C843F0061A}" destId="{F1EE7E3F-25DA-8041-85A7-EBBF11BC4C56}" srcOrd="0" destOrd="1" presId="urn:microsoft.com/office/officeart/2005/8/layout/chevron2"/>
    <dgm:cxn modelId="{84AAEDBC-756E-F245-AC4F-148B0EB40C3E}" type="presOf" srcId="{18ABC2A5-DCE7-414C-AE08-6EAE4EA2FE6D}" destId="{E2DE84BA-2462-A242-AC94-46E19F99F1BB}" srcOrd="0" destOrd="2" presId="urn:microsoft.com/office/officeart/2005/8/layout/chevron2"/>
    <dgm:cxn modelId="{0F0B85C2-D895-F74D-87F8-9B3E301193C7}" type="presOf" srcId="{B81682CE-3DAA-7547-977E-5CA5485D7B79}" destId="{E2DE84BA-2462-A242-AC94-46E19F99F1BB}" srcOrd="0" destOrd="3" presId="urn:microsoft.com/office/officeart/2005/8/layout/chevron2"/>
    <dgm:cxn modelId="{6E3CE3C2-8E83-2C4A-9C35-CB973FAB2548}" type="presOf" srcId="{718C1A72-EF39-DD4E-BFDE-F45DD7D520FB}" destId="{B3EE9CE6-0ABB-F14B-8299-D4BFC2EC579D}" srcOrd="0" destOrd="0"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B0E338C6-3D94-6F4F-A7AE-F5FD66EE3AB5}" type="presOf" srcId="{A8C6C2DC-42DC-4841-8B38-6F4C4E8905E8}" destId="{B88D95AA-AFFF-224F-9EBE-1226F2119586}" srcOrd="0" destOrd="0" presId="urn:microsoft.com/office/officeart/2005/8/layout/chevron2"/>
    <dgm:cxn modelId="{5F8B3DC7-4CC2-774D-B2B4-0FAAA2FC594C}" srcId="{82A06431-B147-914D-A7EE-B91B75443203}" destId="{D4381A80-7F1D-9D4D-8093-B3E6A2F1CFCA}" srcOrd="1" destOrd="0" parTransId="{E0E413A4-940F-4949-BC1D-D8C9E61E05C4}" sibTransId="{9A330F0C-3CA6-F948-80B6-E0284FDCABD6}"/>
    <dgm:cxn modelId="{1F96B8C7-916B-F34B-AE9F-F23D22E67417}" type="presOf" srcId="{EEF349EC-A16C-6E4F-8464-6BD71940F70C}" destId="{DCD4A931-4F01-F440-965B-DC25AA6FE080}" srcOrd="0" destOrd="2" presId="urn:microsoft.com/office/officeart/2005/8/layout/chevron2"/>
    <dgm:cxn modelId="{665B5ACB-738B-A248-8129-6DBD2031A4BC}" type="presOf" srcId="{A177B3ED-63C5-3348-B066-3691D8643EDE}" destId="{F1EE7E3F-25DA-8041-85A7-EBBF11BC4C56}" srcOrd="0" destOrd="0" presId="urn:microsoft.com/office/officeart/2005/8/layout/chevron2"/>
    <dgm:cxn modelId="{E2F329CF-5D02-3241-B348-50CB30650C25}" srcId="{182D19B6-9968-F54C-9803-98CF32A9110D}" destId="{318E09D1-A59D-2E4B-A3CC-C2FF16965C43}" srcOrd="1" destOrd="0" parTransId="{692F5075-8AA7-1545-9821-5B796547FE98}" sibTransId="{C3BC74F0-F4E6-BD4C-8197-893C2058CDAE}"/>
    <dgm:cxn modelId="{8FD2FAD9-08C8-6747-9206-AC6D9BAA52C0}" type="presOf" srcId="{0B5EEED9-AADF-5646-A4EE-16C7E3C5048F}" destId="{DCD4A931-4F01-F440-965B-DC25AA6FE080}" srcOrd="0" destOrd="3" presId="urn:microsoft.com/office/officeart/2005/8/layout/chevron2"/>
    <dgm:cxn modelId="{1C9074E9-7497-2149-A5FB-AEA57BB6E4B9}" type="presOf" srcId="{CF8D6B60-3FEF-0048-B019-B0883DEB78C2}" destId="{06B263AD-CC10-0D49-8145-0C283F585CD5}" srcOrd="0" destOrd="1"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C708DCED-4D50-604E-A7C9-DC800F1A565F}" type="presOf" srcId="{1EC7AB78-D724-324B-BD90-FC58EF6E0357}" destId="{48AF7672-2483-B34A-B763-89BD09AEBA58}" srcOrd="0" destOrd="0"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8" destOrd="0" parTransId="{8A5F89D1-42B4-1148-8907-D7CC48A00BFD}" sibTransId="{9073B681-2853-EB4F-BA4E-A12B1C47BB5F}"/>
    <dgm:cxn modelId="{A3D7ACF7-2BA2-4F49-A0E0-7346B1E54F6B}" srcId="{82A06431-B147-914D-A7EE-B91B75443203}" destId="{0D5E0837-38B9-E148-BB11-F780782A29CB}" srcOrd="2" destOrd="0" parTransId="{22B50FC3-BF2E-BC48-A0D0-DF6C126E5EEE}" sibTransId="{BF3788D2-6547-5A48-A40F-C81D634AEA59}"/>
    <dgm:cxn modelId="{B02852FD-4758-B749-AC5D-FB4340CA7163}" srcId="{A8C6C2DC-42DC-4841-8B38-6F4C4E8905E8}" destId="{EE4687FF-DC98-3D4A-8B1D-75DD628798CF}" srcOrd="2" destOrd="0" parTransId="{EF50026A-DD1B-0E4E-B9CD-D2642DD4CB15}" sibTransId="{D890892B-FF11-CB4A-BA7B-86EF3BCF1799}"/>
    <dgm:cxn modelId="{F3207E70-8A49-4C46-98F4-7B8AC781CD30}" type="presParOf" srcId="{DDB27B24-50BA-ED48-8BE9-4C29E6B83259}" destId="{B4D05EFA-2710-E24E-95A8-E5ADA436F1BA}" srcOrd="0" destOrd="0" presId="urn:microsoft.com/office/officeart/2005/8/layout/chevron2"/>
    <dgm:cxn modelId="{CD6D3654-76E0-9D4D-86BF-73E1760C4204}" type="presParOf" srcId="{B4D05EFA-2710-E24E-95A8-E5ADA436F1BA}" destId="{B3EE9CE6-0ABB-F14B-8299-D4BFC2EC579D}" srcOrd="0" destOrd="0" presId="urn:microsoft.com/office/officeart/2005/8/layout/chevron2"/>
    <dgm:cxn modelId="{76288F12-5EF6-3B4C-8ED9-CC73B1505348}" type="presParOf" srcId="{B4D05EFA-2710-E24E-95A8-E5ADA436F1BA}" destId="{28826DD3-E030-6044-B2F2-D85EF85F6960}" srcOrd="1" destOrd="0" presId="urn:microsoft.com/office/officeart/2005/8/layout/chevron2"/>
    <dgm:cxn modelId="{CB4314B9-E370-F54B-858E-021DFFC9CB04}" type="presParOf" srcId="{DDB27B24-50BA-ED48-8BE9-4C29E6B83259}" destId="{585C7840-A253-9640-BBF2-282E7F35583D}" srcOrd="1" destOrd="0" presId="urn:microsoft.com/office/officeart/2005/8/layout/chevron2"/>
    <dgm:cxn modelId="{4B64CC07-DD92-AA4A-ACBF-D631A9B6EE18}" type="presParOf" srcId="{DDB27B24-50BA-ED48-8BE9-4C29E6B83259}" destId="{725C6BB0-2454-F04B-AEC7-CF75FCBB3A74}" srcOrd="2" destOrd="0" presId="urn:microsoft.com/office/officeart/2005/8/layout/chevron2"/>
    <dgm:cxn modelId="{E287FA66-B27A-5D47-BB80-24FB5770B73B}" type="presParOf" srcId="{725C6BB0-2454-F04B-AEC7-CF75FCBB3A74}" destId="{B422BFF3-8BFD-2144-8980-375702EA9496}" srcOrd="0" destOrd="0" presId="urn:microsoft.com/office/officeart/2005/8/layout/chevron2"/>
    <dgm:cxn modelId="{F203682C-48B4-404C-A248-2DAD28F0DF1C}" type="presParOf" srcId="{725C6BB0-2454-F04B-AEC7-CF75FCBB3A74}" destId="{8BDAA81E-2E4E-9C4A-9A67-4855D9BA1510}" srcOrd="1" destOrd="0" presId="urn:microsoft.com/office/officeart/2005/8/layout/chevron2"/>
    <dgm:cxn modelId="{F02D1D53-F2F4-CA43-918F-CCFD18F8A482}" type="presParOf" srcId="{DDB27B24-50BA-ED48-8BE9-4C29E6B83259}" destId="{D756A8C3-50EB-084A-8277-DD5831B4E8C7}" srcOrd="3" destOrd="0" presId="urn:microsoft.com/office/officeart/2005/8/layout/chevron2"/>
    <dgm:cxn modelId="{9B4A331E-FD66-7541-B18C-1804EDB6EF2D}" type="presParOf" srcId="{DDB27B24-50BA-ED48-8BE9-4C29E6B83259}" destId="{C371305F-B72D-3C44-BB22-E50B26871DA6}" srcOrd="4" destOrd="0" presId="urn:microsoft.com/office/officeart/2005/8/layout/chevron2"/>
    <dgm:cxn modelId="{E4C84316-D0D6-4043-98CE-2648CE0640F8}" type="presParOf" srcId="{C371305F-B72D-3C44-BB22-E50B26871DA6}" destId="{CCC28DE8-0568-7547-9A1F-3C6F0F33A2CF}" srcOrd="0" destOrd="0" presId="urn:microsoft.com/office/officeart/2005/8/layout/chevron2"/>
    <dgm:cxn modelId="{16A5ED17-0EA5-0B4B-BF64-06F77B246211}" type="presParOf" srcId="{C371305F-B72D-3C44-BB22-E50B26871DA6}" destId="{F1EE7E3F-25DA-8041-85A7-EBBF11BC4C56}" srcOrd="1" destOrd="0" presId="urn:microsoft.com/office/officeart/2005/8/layout/chevron2"/>
    <dgm:cxn modelId="{7114096C-7772-0E41-A51C-4202AA287C91}" type="presParOf" srcId="{DDB27B24-50BA-ED48-8BE9-4C29E6B83259}" destId="{2C8A0FE6-3CCD-674F-87D7-C945364C8330}" srcOrd="5" destOrd="0" presId="urn:microsoft.com/office/officeart/2005/8/layout/chevron2"/>
    <dgm:cxn modelId="{9204A8A9-0540-4C44-9609-03EDFC485B8F}" type="presParOf" srcId="{DDB27B24-50BA-ED48-8BE9-4C29E6B83259}" destId="{D669929D-DE6F-0D40-8D4A-1736805AD131}" srcOrd="6" destOrd="0" presId="urn:microsoft.com/office/officeart/2005/8/layout/chevron2"/>
    <dgm:cxn modelId="{6C7FCA94-15A9-8B4E-989F-432218F3B899}" type="presParOf" srcId="{D669929D-DE6F-0D40-8D4A-1736805AD131}" destId="{A0202F08-BEC9-8F43-8711-F30ADE817D18}" srcOrd="0" destOrd="0" presId="urn:microsoft.com/office/officeart/2005/8/layout/chevron2"/>
    <dgm:cxn modelId="{E67E0EEA-B629-6D4F-97B0-32F9E3E46965}" type="presParOf" srcId="{D669929D-DE6F-0D40-8D4A-1736805AD131}" destId="{06B263AD-CC10-0D49-8145-0C283F585CD5}" srcOrd="1" destOrd="0" presId="urn:microsoft.com/office/officeart/2005/8/layout/chevron2"/>
    <dgm:cxn modelId="{087DCC20-99EC-CA42-AF9E-D2D2EDDC63DF}" type="presParOf" srcId="{DDB27B24-50BA-ED48-8BE9-4C29E6B83259}" destId="{B5F0F139-C5B5-F942-A092-8BB086CFFEFA}" srcOrd="7" destOrd="0" presId="urn:microsoft.com/office/officeart/2005/8/layout/chevron2"/>
    <dgm:cxn modelId="{278FB085-DC2C-A242-AB58-5046D8D18016}" type="presParOf" srcId="{DDB27B24-50BA-ED48-8BE9-4C29E6B83259}" destId="{A6A53311-4EDF-944C-B7A8-A929BD874343}" srcOrd="8" destOrd="0" presId="urn:microsoft.com/office/officeart/2005/8/layout/chevron2"/>
    <dgm:cxn modelId="{88CE8177-B4EE-224C-A0F9-65A1F5C24084}" type="presParOf" srcId="{A6A53311-4EDF-944C-B7A8-A929BD874343}" destId="{31EA3204-EDC1-4F43-84C9-41DE884256E5}" srcOrd="0" destOrd="0" presId="urn:microsoft.com/office/officeart/2005/8/layout/chevron2"/>
    <dgm:cxn modelId="{011CE467-192E-AF41-B3A5-78FDE60F80D1}" type="presParOf" srcId="{A6A53311-4EDF-944C-B7A8-A929BD874343}" destId="{9D5418D3-F08D-8545-87B2-2FD7B1D1031E}" srcOrd="1" destOrd="0" presId="urn:microsoft.com/office/officeart/2005/8/layout/chevron2"/>
    <dgm:cxn modelId="{B8C13A24-5238-CF45-8AC5-3B8B5D68A287}" type="presParOf" srcId="{DDB27B24-50BA-ED48-8BE9-4C29E6B83259}" destId="{BD082DD2-36A2-F841-B83C-3B9BAF4B2B5C}" srcOrd="9" destOrd="0" presId="urn:microsoft.com/office/officeart/2005/8/layout/chevron2"/>
    <dgm:cxn modelId="{496E802F-0A9C-9746-A07C-942E43B02CB5}" type="presParOf" srcId="{DDB27B24-50BA-ED48-8BE9-4C29E6B83259}" destId="{C8A774E9-C669-9C42-8FD8-567A31043E1A}" srcOrd="10" destOrd="0" presId="urn:microsoft.com/office/officeart/2005/8/layout/chevron2"/>
    <dgm:cxn modelId="{CFBF49D9-F329-AE4C-A813-511178024872}" type="presParOf" srcId="{C8A774E9-C669-9C42-8FD8-567A31043E1A}" destId="{844AC346-AEB9-A649-8C9D-DBF2769C8FFC}" srcOrd="0" destOrd="0" presId="urn:microsoft.com/office/officeart/2005/8/layout/chevron2"/>
    <dgm:cxn modelId="{BF9A6821-54EB-494A-AB15-3F04A89CE1C1}" type="presParOf" srcId="{C8A774E9-C669-9C42-8FD8-567A31043E1A}" destId="{C80BEB0B-E1AB-4443-9F91-9D6894D7833E}" srcOrd="1" destOrd="0" presId="urn:microsoft.com/office/officeart/2005/8/layout/chevron2"/>
    <dgm:cxn modelId="{7FFB7265-3D86-5446-B9F3-E93C6BBEFD86}" type="presParOf" srcId="{DDB27B24-50BA-ED48-8BE9-4C29E6B83259}" destId="{59BB4FCD-F10D-9947-BE1C-B71549A60A1E}" srcOrd="11" destOrd="0" presId="urn:microsoft.com/office/officeart/2005/8/layout/chevron2"/>
    <dgm:cxn modelId="{B11406B0-E4B8-304D-9A51-DB66C6D14E24}" type="presParOf" srcId="{DDB27B24-50BA-ED48-8BE9-4C29E6B83259}" destId="{9EA93BB1-069D-5E45-B7BF-50881B2F72E6}" srcOrd="12" destOrd="0" presId="urn:microsoft.com/office/officeart/2005/8/layout/chevron2"/>
    <dgm:cxn modelId="{85012CE7-2BDD-104A-8AD0-5E66A381D183}" type="presParOf" srcId="{9EA93BB1-069D-5E45-B7BF-50881B2F72E6}" destId="{B9872B13-1174-E847-A615-29577404DF21}" srcOrd="0" destOrd="0" presId="urn:microsoft.com/office/officeart/2005/8/layout/chevron2"/>
    <dgm:cxn modelId="{0EB90247-7C85-CD46-AAAD-921A42011177}" type="presParOf" srcId="{9EA93BB1-069D-5E45-B7BF-50881B2F72E6}" destId="{DCD4A931-4F01-F440-965B-DC25AA6FE080}" srcOrd="1" destOrd="0" presId="urn:microsoft.com/office/officeart/2005/8/layout/chevron2"/>
    <dgm:cxn modelId="{E757CD5D-E9DF-3944-BDA7-C11DB0811195}" type="presParOf" srcId="{DDB27B24-50BA-ED48-8BE9-4C29E6B83259}" destId="{201CAB8F-4C7F-6E4E-9169-C9E7B5CBE404}" srcOrd="13" destOrd="0" presId="urn:microsoft.com/office/officeart/2005/8/layout/chevron2"/>
    <dgm:cxn modelId="{201A1825-73E4-C04B-82BF-15BD468F7FC2}" type="presParOf" srcId="{DDB27B24-50BA-ED48-8BE9-4C29E6B83259}" destId="{C588B7A2-4017-6643-93CD-7EB3E7875B06}" srcOrd="14" destOrd="0" presId="urn:microsoft.com/office/officeart/2005/8/layout/chevron2"/>
    <dgm:cxn modelId="{75760E58-6EF5-DA40-81A0-D138DE5DB030}" type="presParOf" srcId="{C588B7A2-4017-6643-93CD-7EB3E7875B06}" destId="{E86BF6A3-BA90-BB43-908F-24E76E7D1587}" srcOrd="0" destOrd="0" presId="urn:microsoft.com/office/officeart/2005/8/layout/chevron2"/>
    <dgm:cxn modelId="{6D43FA04-31F2-514C-8C4B-D590D071D438}" type="presParOf" srcId="{C588B7A2-4017-6643-93CD-7EB3E7875B06}" destId="{E2DE84BA-2462-A242-AC94-46E19F99F1BB}" srcOrd="1" destOrd="0" presId="urn:microsoft.com/office/officeart/2005/8/layout/chevron2"/>
    <dgm:cxn modelId="{4B58B8EB-FC62-F14B-A73E-3CBB8711C337}" type="presParOf" srcId="{DDB27B24-50BA-ED48-8BE9-4C29E6B83259}" destId="{C2AB1E69-06F4-D043-944B-D85D9601ACA6}" srcOrd="15" destOrd="0" presId="urn:microsoft.com/office/officeart/2005/8/layout/chevron2"/>
    <dgm:cxn modelId="{9ADF3B65-B2DD-9942-BBCF-ED4D53E122EB}" type="presParOf" srcId="{DDB27B24-50BA-ED48-8BE9-4C29E6B83259}" destId="{51C6866E-9F56-9A45-ADF2-6F81F533274A}" srcOrd="16" destOrd="0" presId="urn:microsoft.com/office/officeart/2005/8/layout/chevron2"/>
    <dgm:cxn modelId="{77C3B418-3660-6644-9DA0-0105B5DD1A4B}" type="presParOf" srcId="{51C6866E-9F56-9A45-ADF2-6F81F533274A}" destId="{B88D95AA-AFFF-224F-9EBE-1226F2119586}" srcOrd="0" destOrd="0" presId="urn:microsoft.com/office/officeart/2005/8/layout/chevron2"/>
    <dgm:cxn modelId="{F04B3060-D1B2-ED43-A8CE-2DA2B0B11287}" type="presParOf" srcId="{51C6866E-9F56-9A45-ADF2-6F81F533274A}" destId="{BC4A5DFE-0373-0044-B473-93ADEF2A2324}" srcOrd="1" destOrd="0" presId="urn:microsoft.com/office/officeart/2005/8/layout/chevron2"/>
    <dgm:cxn modelId="{BF1FA41A-C01C-7F48-94C2-D7CE5BAA1181}" type="presParOf" srcId="{DDB27B24-50BA-ED48-8BE9-4C29E6B83259}" destId="{01E3A2D8-2E7D-6941-B2B2-FA006E31EF08}" srcOrd="17" destOrd="0" presId="urn:microsoft.com/office/officeart/2005/8/layout/chevron2"/>
    <dgm:cxn modelId="{7B90056D-A7C9-E740-ACEA-274524CBA180}" type="presParOf" srcId="{DDB27B24-50BA-ED48-8BE9-4C29E6B83259}" destId="{37D2DAC8-74EC-BF4C-831D-920A9C40B9D5}" srcOrd="18" destOrd="0" presId="urn:microsoft.com/office/officeart/2005/8/layout/chevron2"/>
    <dgm:cxn modelId="{230F755D-925D-A34D-8A14-51EA9BE05FE0}" type="presParOf" srcId="{37D2DAC8-74EC-BF4C-831D-920A9C40B9D5}" destId="{ED0EEAAD-1F9F-C445-9ED5-D61D26A0F8D1}" srcOrd="0" destOrd="0" presId="urn:microsoft.com/office/officeart/2005/8/layout/chevron2"/>
    <dgm:cxn modelId="{23646945-39FC-9A41-8F9E-CF34631EE12D}" type="presParOf" srcId="{37D2DAC8-74EC-BF4C-831D-920A9C40B9D5}" destId="{C174B10A-41E6-244B-88CB-0D08E5FFF5F9}" srcOrd="1" destOrd="0" presId="urn:microsoft.com/office/officeart/2005/8/layout/chevron2"/>
    <dgm:cxn modelId="{7A9F2097-B405-494D-9A1E-CD952F1E1482}" type="presParOf" srcId="{DDB27B24-50BA-ED48-8BE9-4C29E6B83259}" destId="{43FB22C6-B891-E44F-B0D7-B9F71AB372F1}" srcOrd="19" destOrd="0" presId="urn:microsoft.com/office/officeart/2005/8/layout/chevron2"/>
    <dgm:cxn modelId="{529B2F8E-75F0-424F-8C7B-146C70D12D87}" type="presParOf" srcId="{DDB27B24-50BA-ED48-8BE9-4C29E6B83259}" destId="{73DF1BD6-49ED-134F-A291-CE4DB94547A9}" srcOrd="20" destOrd="0" presId="urn:microsoft.com/office/officeart/2005/8/layout/chevron2"/>
    <dgm:cxn modelId="{8FA2C26F-959C-6644-9853-3D03ECBE1D3D}" type="presParOf" srcId="{73DF1BD6-49ED-134F-A291-CE4DB94547A9}" destId="{6DDDE256-1CA3-1140-A939-5530FC1F57D3}" srcOrd="0" destOrd="0" presId="urn:microsoft.com/office/officeart/2005/8/layout/chevron2"/>
    <dgm:cxn modelId="{CD262AC7-64D2-524C-B4D3-CB21B42580A1}" type="presParOf" srcId="{73DF1BD6-49ED-134F-A291-CE4DB94547A9}" destId="{999FDDA9-9F6A-1143-BE3C-B1E07CBE9945}" srcOrd="1" destOrd="0" presId="urn:microsoft.com/office/officeart/2005/8/layout/chevron2"/>
    <dgm:cxn modelId="{10955FAF-DD84-3840-8119-C08D822AB898}" type="presParOf" srcId="{DDB27B24-50BA-ED48-8BE9-4C29E6B83259}" destId="{A73ECDF3-49A4-0948-BD1F-387AF7BD3FC1}" srcOrd="21" destOrd="0" presId="urn:microsoft.com/office/officeart/2005/8/layout/chevron2"/>
    <dgm:cxn modelId="{C7E1F5F3-3CB4-154C-B9C8-27F8BE8C86AB}" type="presParOf" srcId="{DDB27B24-50BA-ED48-8BE9-4C29E6B83259}" destId="{F2D2A481-D011-064A-92C0-32CD4D676904}" srcOrd="22" destOrd="0" presId="urn:microsoft.com/office/officeart/2005/8/layout/chevron2"/>
    <dgm:cxn modelId="{C01E0C9B-1E75-2945-8170-0C1C287FF739}" type="presParOf" srcId="{F2D2A481-D011-064A-92C0-32CD4D676904}" destId="{48AF7672-2483-B34A-B763-89BD09AEBA58}" srcOrd="0" destOrd="0" presId="urn:microsoft.com/office/officeart/2005/8/layout/chevron2"/>
    <dgm:cxn modelId="{6E56A8A8-D90E-A84A-998C-1AFF74A809DB}"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17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a:solidFill>
          <a:srgbClr val="800000"/>
        </a:solidFill>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custT="1"/>
      <dgm:spPr>
        <a:solidFill>
          <a:srgbClr val="800000">
            <a:alpha val="90000"/>
          </a:srgbClr>
        </a:solidFill>
      </dgm:spPr>
      <dgm:t>
        <a:bodyPr/>
        <a:lstStyle/>
        <a:p>
          <a:r>
            <a:rPr lang="en-US" sz="900">
              <a:solidFill>
                <a:srgbClr val="FFFFFF"/>
              </a:solidFill>
            </a:rPr>
            <a:t>The undergraduate medical curriculum and preparedness for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custT="1"/>
      <dgm:spPr>
        <a:solidFill>
          <a:srgbClr val="800000">
            <a:alpha val="90000"/>
          </a:srgbClr>
        </a:solidFill>
      </dgm:spPr>
      <dgm:t>
        <a:bodyPr/>
        <a:lstStyle/>
        <a:p>
          <a:r>
            <a:rPr lang="en-US" sz="900">
              <a:solidFill>
                <a:srgbClr val="FFFFFF"/>
              </a:solidFill>
            </a:rPr>
            <a:t>Simulation-Based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custT="1"/>
      <dgm:spPr>
        <a:solidFill>
          <a:srgbClr val="800000">
            <a:alpha val="90000"/>
          </a:srgbClr>
        </a:solidFill>
      </dgm:spPr>
      <dgm:t>
        <a:bodyPr/>
        <a:lstStyle/>
        <a:p>
          <a:r>
            <a:rPr lang="en-US" sz="900">
              <a:solidFill>
                <a:srgbClr val="FFFFFF"/>
              </a:solidFill>
            </a:rPr>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0BDDECC6-78FB-B646-A08E-2A96894C6DD2}">
      <dgm:prSet phldrT="[Text]"/>
      <dgm:spPr/>
      <dgm:t>
        <a:bodyPr/>
        <a:lstStyle/>
        <a:p>
          <a:r>
            <a:rPr lang="en-US"/>
            <a:t>Responsibility</a:t>
          </a:r>
        </a:p>
      </dgm:t>
    </dgm:pt>
    <dgm:pt modelId="{F21759CF-95D9-2A4F-B297-DBC98D67E359}" type="parTrans" cxnId="{DDA9873E-EF54-A34D-BD7E-1C11FE85475D}">
      <dgm:prSet/>
      <dgm:spPr/>
      <dgm:t>
        <a:bodyPr/>
        <a:lstStyle/>
        <a:p>
          <a:endParaRPr lang="en-US"/>
        </a:p>
      </dgm:t>
    </dgm:pt>
    <dgm:pt modelId="{AA806346-6839-8145-92D3-7E63E0B5C67D}" type="sibTrans" cxnId="{DDA9873E-EF54-A34D-BD7E-1C11FE85475D}">
      <dgm:prSet/>
      <dgm:spPr/>
      <dgm:t>
        <a:bodyPr/>
        <a:lstStyle/>
        <a:p>
          <a:endParaRPr lang="en-US"/>
        </a:p>
      </dgm:t>
    </dgm:pt>
    <dgm:pt modelId="{C5500072-0C04-0648-A652-92DC7757E213}">
      <dgm:prSet phldrT="[Text]"/>
      <dgm:spPr/>
      <dgm:t>
        <a:bodyPr/>
        <a:lstStyle/>
        <a:p>
          <a:r>
            <a:rPr lang="en-US"/>
            <a:t>Simulation for assessment</a:t>
          </a:r>
        </a:p>
      </dgm:t>
    </dgm:pt>
    <dgm:pt modelId="{ADD21902-E74C-3B49-B715-A1C9E6F1F12A}" type="parTrans" cxnId="{F81EF0ED-296B-AA48-BF61-5315E4D0F717}">
      <dgm:prSet/>
      <dgm:spPr/>
      <dgm:t>
        <a:bodyPr/>
        <a:lstStyle/>
        <a:p>
          <a:endParaRPr lang="en-US"/>
        </a:p>
      </dgm:t>
    </dgm:pt>
    <dgm:pt modelId="{FD65ADBA-B746-B147-B495-6BC120471C61}" type="sibTrans" cxnId="{F81EF0ED-296B-AA48-BF61-5315E4D0F717}">
      <dgm:prSet/>
      <dgm:spPr/>
      <dgm:t>
        <a:bodyPr/>
        <a:lstStyle/>
        <a:p>
          <a:endParaRPr lang="en-US"/>
        </a:p>
      </dgm:t>
    </dgm:pt>
    <dgm:pt modelId="{3213E34C-7DC5-F04F-B772-98462B9718A3}">
      <dgm:prSet phldrT="[Text]"/>
      <dgm:spPr/>
      <dgm:t>
        <a:bodyPr/>
        <a:lstStyle/>
        <a:p>
          <a:r>
            <a:rPr lang="en-US"/>
            <a:t>8: Triangulation</a:t>
          </a:r>
        </a:p>
      </dgm:t>
    </dgm:pt>
    <dgm:pt modelId="{A69EA7D7-C5AC-2C4F-B3D6-FA6B92968872}" type="parTrans" cxnId="{68017024-5FC8-AA4C-BC1C-AC41B9F80B82}">
      <dgm:prSet/>
      <dgm:spPr/>
      <dgm:t>
        <a:bodyPr/>
        <a:lstStyle/>
        <a:p>
          <a:endParaRPr lang="en-US"/>
        </a:p>
      </dgm:t>
    </dgm:pt>
    <dgm:pt modelId="{890F09AE-BD28-7D40-B949-6281348CCB99}" type="sibTrans" cxnId="{68017024-5FC8-AA4C-BC1C-AC41B9F80B82}">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7449FBDA-0079-DD49-8C42-2A72CC591D6F}" type="pres">
      <dgm:prSet presAssocID="{3213E34C-7DC5-F04F-B772-98462B9718A3}" presName="composite" presStyleCnt="0"/>
      <dgm:spPr/>
    </dgm:pt>
    <dgm:pt modelId="{A2DDD1C7-4AD5-E248-9F20-9BC78D981D65}" type="pres">
      <dgm:prSet presAssocID="{3213E34C-7DC5-F04F-B772-98462B9718A3}" presName="parentText" presStyleLbl="alignNode1" presStyleIdx="7" presStyleCnt="13">
        <dgm:presLayoutVars>
          <dgm:chMax val="1"/>
          <dgm:bulletEnabled val="1"/>
        </dgm:presLayoutVars>
      </dgm:prSet>
      <dgm:spPr/>
    </dgm:pt>
    <dgm:pt modelId="{98A99111-D6B8-514D-B7AC-2AA6CAAAAB79}" type="pres">
      <dgm:prSet presAssocID="{3213E34C-7DC5-F04F-B772-98462B9718A3}" presName="descendantText" presStyleLbl="alignAcc1" presStyleIdx="7" presStyleCnt="13">
        <dgm:presLayoutVars>
          <dgm:bulletEnabled val="1"/>
        </dgm:presLayoutVars>
      </dgm:prSet>
      <dgm:spPr/>
    </dgm:pt>
    <dgm:pt modelId="{31ADFE73-D80A-5948-9FF2-296A70E05D31}" type="pres">
      <dgm:prSet presAssocID="{890F09AE-BD28-7D40-B949-6281348CCB99}"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CC4C5702-BDE6-B34B-8A74-7C94C92EAE8F}" type="presOf" srcId="{46C87E74-5E28-8C46-86B1-98C82A55CBAE}" destId="{6DDDE256-1CA3-1140-A939-5530FC1F57D3}" srcOrd="0" destOrd="0" presId="urn:microsoft.com/office/officeart/2005/8/layout/chevron2"/>
    <dgm:cxn modelId="{4EF6360A-3CFC-7C4A-A0DF-AFE5F381F301}" type="presOf" srcId="{82A06431-B147-914D-A7EE-B91B75443203}" destId="{31EA3204-EDC1-4F43-84C9-41DE884256E5}" srcOrd="0" destOrd="0" presId="urn:microsoft.com/office/officeart/2005/8/layout/chevron2"/>
    <dgm:cxn modelId="{3754F10D-F337-7543-8432-9BD36839BFF1}" type="presOf" srcId="{A177B3ED-63C5-3348-B066-3691D8643EDE}" destId="{F1EE7E3F-25DA-8041-85A7-EBBF11BC4C56}" srcOrd="0" destOrd="0"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90C00412-C877-E143-835B-25A22B903ADB}" type="presOf" srcId="{125C0A60-1A53-5F41-A8F9-BD71D1144F62}" destId="{C80BEB0B-E1AB-4443-9F91-9D6894D7833E}" srcOrd="0" destOrd="0" presId="urn:microsoft.com/office/officeart/2005/8/layout/chevron2"/>
    <dgm:cxn modelId="{9737A014-77AA-2343-9EF8-1AB62E400960}" srcId="{3213E34C-7DC5-F04F-B772-98462B9718A3}" destId="{0B5EEED9-AADF-5646-A4EE-16C7E3C5048F}" srcOrd="0" destOrd="0" parTransId="{5F63AFFB-8796-8145-8196-16BA65A8913E}" sibTransId="{6369732A-4608-D04B-9932-9F2E14769A9F}"/>
    <dgm:cxn modelId="{BBB86916-5025-A942-8E95-A4D9A2266CC7}" type="presOf" srcId="{65337D44-9B2C-044E-AEF9-F665764413CE}" destId="{9D5418D3-F08D-8545-87B2-2FD7B1D1031E}" srcOrd="0" destOrd="0" presId="urn:microsoft.com/office/officeart/2005/8/layout/chevron2"/>
    <dgm:cxn modelId="{425A741B-9872-3A46-B4DA-D764BFE4CD8B}" srcId="{32BD5717-A9E6-DD44-A13C-12122D41F212}" destId="{182D19B6-9968-F54C-9803-98CF32A9110D}" srcOrd="8" destOrd="0" parTransId="{19120E65-5B26-BC4A-9EFF-5512A25AEB14}" sibTransId="{259ED567-5FE2-2F45-B806-60F8702E00F5}"/>
    <dgm:cxn modelId="{407DC61D-8FC2-CA4E-88A2-99E90ED60D65}" type="presOf" srcId="{7438286E-8350-184E-82B3-3AAEF5F4B429}" destId="{8BDAA81E-2E4E-9C4A-9A67-4855D9BA1510}" srcOrd="0" destOrd="2" presId="urn:microsoft.com/office/officeart/2005/8/layout/chevron2"/>
    <dgm:cxn modelId="{68017024-5FC8-AA4C-BC1C-AC41B9F80B82}" srcId="{32BD5717-A9E6-DD44-A13C-12122D41F212}" destId="{3213E34C-7DC5-F04F-B772-98462B9718A3}" srcOrd="7" destOrd="0" parTransId="{A69EA7D7-C5AC-2C4F-B3D6-FA6B92968872}" sibTransId="{890F09AE-BD28-7D40-B949-6281348CCB99}"/>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510F032A-0CF6-1E4E-A4F5-B4053CBE4239}" type="presOf" srcId="{93105CB4-0286-ED4F-915C-092EF42A9691}" destId="{CCC28DE8-0568-7547-9A1F-3C6F0F33A2CF}" srcOrd="0" destOrd="0"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8D42C32A-0A0A-AE49-AF25-2779E768D560}" type="presOf" srcId="{3528BF8B-944A-1B4D-ADBB-12D941C8C388}" destId="{E2DE84BA-2462-A242-AC94-46E19F99F1BB}" srcOrd="0" destOrd="0" presId="urn:microsoft.com/office/officeart/2005/8/layout/chevron2"/>
    <dgm:cxn modelId="{7AA77D2B-759F-EC4B-8DC8-0C7DF33C8A73}" type="presOf" srcId="{EEF349EC-A16C-6E4F-8464-6BD71940F70C}" destId="{DCD4A931-4F01-F440-965B-DC25AA6FE080}" srcOrd="0" destOrd="2" presId="urn:microsoft.com/office/officeart/2005/8/layout/chevron2"/>
    <dgm:cxn modelId="{106BE52B-C069-4C41-AB1D-E907523A7864}" type="presOf" srcId="{718C1A72-EF39-DD4E-BFDE-F45DD7D520FB}" destId="{B3EE9CE6-0ABB-F14B-8299-D4BFC2EC579D}" srcOrd="0" destOrd="0" presId="urn:microsoft.com/office/officeart/2005/8/layout/chevron2"/>
    <dgm:cxn modelId="{62700D2E-9896-7146-A241-0F90CEA235F3}" type="presOf" srcId="{5EFAD456-F8B8-C147-9A38-D366892E8D90}" destId="{ED0EEAAD-1F9F-C445-9ED5-D61D26A0F8D1}" srcOrd="0" destOrd="0" presId="urn:microsoft.com/office/officeart/2005/8/layout/chevron2"/>
    <dgm:cxn modelId="{F01BB42E-C382-7443-A30E-3C40E6632A45}" type="presOf" srcId="{182D19B6-9968-F54C-9803-98CF32A9110D}" destId="{E86BF6A3-BA90-BB43-908F-24E76E7D1587}" srcOrd="0" destOrd="0"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357D8232-DA4A-3D40-8A82-B677F95D5734}" type="presOf" srcId="{817AAD11-541C-8040-B8E6-60D63F44FF6E}" destId="{DCD4A931-4F01-F440-965B-DC25AA6FE080}" srcOrd="0" destOrd="1" presId="urn:microsoft.com/office/officeart/2005/8/layout/chevron2"/>
    <dgm:cxn modelId="{AC9D8B35-3E35-964E-B49F-8C40FB3AF24D}" srcId="{182D19B6-9968-F54C-9803-98CF32A9110D}" destId="{E8835EC0-86EE-3540-9564-983F3D69B9B0}" srcOrd="4" destOrd="0" parTransId="{3507EF78-030C-2546-8CBB-075D7261FCDE}" sibTransId="{7BBE6FC9-195F-5E44-BEAA-03BE4D719D22}"/>
    <dgm:cxn modelId="{CB324B37-A72E-4745-866F-2E4A87B91328}" type="presOf" srcId="{CF8D6B60-3FEF-0048-B019-B0883DEB78C2}" destId="{06B263AD-CC10-0D49-8145-0C283F585CD5}" srcOrd="0" destOrd="1" presId="urn:microsoft.com/office/officeart/2005/8/layout/chevron2"/>
    <dgm:cxn modelId="{C67DC537-D4CA-2944-8330-96C6C74E0394}" srcId="{32BD5717-A9E6-DD44-A13C-12122D41F212}" destId="{34B9CBCA-90AD-D946-B26E-3A6E60BB731E}" srcOrd="6" destOrd="0" parTransId="{9332FC5B-2DEC-D146-AE72-41CD6249A702}" sibTransId="{1031D2A7-8DEF-E945-AA90-68FD6C34AE22}"/>
    <dgm:cxn modelId="{0A53FD37-27D3-5C45-BFBF-313DE90F2818}" type="presOf" srcId="{2725BEFC-24C3-E145-86F8-460B0C16124D}" destId="{8BDAA81E-2E4E-9C4A-9A67-4855D9BA1510}" srcOrd="0" destOrd="0"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DDA9873E-EF54-A34D-BD7E-1C11FE85475D}" srcId="{5EFAD456-F8B8-C147-9A38-D366892E8D90}" destId="{0BDDECC6-78FB-B646-A08E-2A96894C6DD2}" srcOrd="1" destOrd="0" parTransId="{F21759CF-95D9-2A4F-B297-DBC98D67E359}" sibTransId="{AA806346-6839-8145-92D3-7E63E0B5C67D}"/>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A4F0FA5E-BF70-CF4C-A4C4-21DBB3D655CB}" type="presOf" srcId="{A8C6C2DC-42DC-4841-8B38-6F4C4E8905E8}" destId="{B88D95AA-AFFF-224F-9EBE-1226F2119586}" srcOrd="0" destOrd="0" presId="urn:microsoft.com/office/officeart/2005/8/layout/chevron2"/>
    <dgm:cxn modelId="{6F554B60-60E2-AB48-A67C-0FC439E5B4FD}" type="presOf" srcId="{E8835EC0-86EE-3540-9564-983F3D69B9B0}" destId="{E2DE84BA-2462-A242-AC94-46E19F99F1BB}" srcOrd="0" destOrd="4" presId="urn:microsoft.com/office/officeart/2005/8/layout/chevron2"/>
    <dgm:cxn modelId="{6971AD66-5FD5-924C-9484-7D380F62231F}" type="presOf" srcId="{6AEE21D3-4CB1-7443-AC17-5D71D849EEF3}" destId="{28826DD3-E030-6044-B2F2-D85EF85F6960}" srcOrd="0" destOrd="0"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22DD294C-C7A3-EF47-920E-DEE4360C68B0}" type="presOf" srcId="{34B9CBCA-90AD-D946-B26E-3A6E60BB731E}" destId="{B9872B13-1174-E847-A615-29577404DF21}" srcOrd="0" destOrd="0" presId="urn:microsoft.com/office/officeart/2005/8/layout/chevron2"/>
    <dgm:cxn modelId="{E0A83F4C-B452-ED4D-A3D4-8AAED6187850}" type="presOf" srcId="{EE4687FF-DC98-3D4A-8B1D-75DD628798CF}" destId="{BC4A5DFE-0373-0044-B473-93ADEF2A2324}" srcOrd="0" destOrd="2" presId="urn:microsoft.com/office/officeart/2005/8/layout/chevron2"/>
    <dgm:cxn modelId="{B4495C6C-C562-104B-8803-560E244CA065}" type="presOf" srcId="{8A942072-3D9B-2043-8B2E-11E707170D7E}" destId="{A0202F08-BEC9-8F43-8711-F30ADE817D18}" srcOrd="0" destOrd="0" presId="urn:microsoft.com/office/officeart/2005/8/layout/chevron2"/>
    <dgm:cxn modelId="{8E062E4D-AA93-CB44-A0AC-F749EB20F43A}" srcId="{32BD5717-A9E6-DD44-A13C-12122D41F212}" destId="{82A06431-B147-914D-A7EE-B91B75443203}" srcOrd="3" destOrd="0" parTransId="{13C96808-67BD-174F-B855-16ACA3400941}" sibTransId="{2927117D-194C-1341-932F-5623EB513890}"/>
    <dgm:cxn modelId="{ED2D7D4F-FE48-F941-A58F-32B100803CA3}" type="presOf" srcId="{C458704A-A6F3-A24F-B50F-7B434CD11794}" destId="{28826DD3-E030-6044-B2F2-D85EF85F6960}" srcOrd="0" destOrd="2" presId="urn:microsoft.com/office/officeart/2005/8/layout/chevron2"/>
    <dgm:cxn modelId="{A4F07550-7241-E34C-A558-936C33CB9B6F}" type="presOf" srcId="{18ABC2A5-DCE7-414C-AE08-6EAE4EA2FE6D}" destId="{E2DE84BA-2462-A242-AC94-46E19F99F1BB}" srcOrd="0" destOrd="2" presId="urn:microsoft.com/office/officeart/2005/8/layout/chevron2"/>
    <dgm:cxn modelId="{49C31D71-DFE0-A049-A37C-A1C07DECD1D5}" type="presOf" srcId="{0B5EEED9-AADF-5646-A4EE-16C7E3C5048F}" destId="{98A99111-D6B8-514D-B7AC-2AA6CAAAAB79}" srcOrd="0" destOrd="0"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EBCA7454-0A4D-574C-AF9E-ACF2192F6A69}" srcId="{34B9CBCA-90AD-D946-B26E-3A6E60BB731E}" destId="{EEF349EC-A16C-6E4F-8464-6BD71940F70C}" srcOrd="2" destOrd="0" parTransId="{4EF4EBD5-8084-7D4A-BB5E-4EF2C5C94F99}" sibTransId="{A325D897-3CF3-2444-BCE0-FB27A2B93D02}"/>
    <dgm:cxn modelId="{7CCA3577-052A-E54E-8A65-B79C9D3D7282}" srcId="{32BD5717-A9E6-DD44-A13C-12122D41F212}" destId="{5EFAD456-F8B8-C147-9A38-D366892E8D90}" srcOrd="10" destOrd="0" parTransId="{AEC4A29C-080E-714E-8C55-A165817C6F84}" sibTransId="{69AAF0EB-9438-D048-8CCB-3ADC0E6ED07B}"/>
    <dgm:cxn modelId="{941CFF7A-D638-8A4B-8278-95DAB8637AEE}" srcId="{32BD5717-A9E6-DD44-A13C-12122D41F212}" destId="{8A942072-3D9B-2043-8B2E-11E707170D7E}" srcOrd="2" destOrd="0" parTransId="{F49F7276-856F-E64E-8188-3D686B4D473E}" sibTransId="{393ABEA7-D1FC-994A-9DCC-A33FEBFF19A8}"/>
    <dgm:cxn modelId="{1CBD0E7B-FB54-E64C-8CF1-AAB1CB87F328}" type="presOf" srcId="{318E09D1-A59D-2E4B-A3CC-C2FF16965C43}" destId="{E2DE84BA-2462-A242-AC94-46E19F99F1BB}" srcOrd="0" destOrd="1" presId="urn:microsoft.com/office/officeart/2005/8/layout/chevron2"/>
    <dgm:cxn modelId="{759B727C-F170-CB44-B32F-469BA669930A}" srcId="{332543FB-BB1C-DE43-B140-C2BB789BBCB2}" destId="{7438286E-8350-184E-82B3-3AAEF5F4B429}" srcOrd="2" destOrd="0" parTransId="{E8AA2A5B-C348-8248-9D0D-C0147AC7D7FA}" sibTransId="{DDE64E92-A7DB-1F46-870A-4BB5B715BA64}"/>
    <dgm:cxn modelId="{C2637380-4378-9541-964A-D6E21D69FAFC}" srcId="{34B9CBCA-90AD-D946-B26E-3A6E60BB731E}" destId="{817AAD11-541C-8040-B8E6-60D63F44FF6E}" srcOrd="1" destOrd="0" parTransId="{820D5C7D-3565-B841-B802-D79FD186F3F0}" sibTransId="{DBDC58F4-53C2-3143-8B2E-16E385E444FB}"/>
    <dgm:cxn modelId="{D4643A82-728D-0F4A-8FD0-2C34DEB37362}" type="presOf" srcId="{BE8AC978-0FAD-5E4D-B281-1B7DC61EC809}" destId="{C80BEB0B-E1AB-4443-9F91-9D6894D7833E}" srcOrd="0" destOrd="1" presId="urn:microsoft.com/office/officeart/2005/8/layout/chevron2"/>
    <dgm:cxn modelId="{1361EB86-C084-A742-BF75-F6A5C340F85E}" type="presOf" srcId="{1EC7AB78-D724-324B-BD90-FC58EF6E0357}" destId="{48AF7672-2483-B34A-B763-89BD09AEBA58}" srcOrd="0" destOrd="0" presId="urn:microsoft.com/office/officeart/2005/8/layout/chevron2"/>
    <dgm:cxn modelId="{50D34989-1079-A145-BE16-BF7EE5356861}" type="presOf" srcId="{32BD5717-A9E6-DD44-A13C-12122D41F212}" destId="{DDB27B24-50BA-ED48-8BE9-4C29E6B83259}"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689F6B8F-6509-E34B-A7B1-DF57A43A6B03}" type="presOf" srcId="{C5500072-0C04-0648-A652-92DC7757E213}" destId="{C174B10A-41E6-244B-88CB-0D08E5FFF5F9}" srcOrd="0" destOrd="2"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630F6493-CA30-F34E-8358-88395C95325D}" type="presOf" srcId="{0D347524-7007-BE43-81AE-44B5DE652093}" destId="{28826DD3-E030-6044-B2F2-D85EF85F6960}" srcOrd="0" destOrd="1" presId="urn:microsoft.com/office/officeart/2005/8/layout/chevron2"/>
    <dgm:cxn modelId="{7724FB94-3CBB-FF4F-A88F-DF25BA3B4755}" srcId="{332543FB-BB1C-DE43-B140-C2BB789BBCB2}" destId="{4E401C2C-4000-C040-828A-EB0D5B3F70BC}" srcOrd="1" destOrd="0" parTransId="{3CFB846A-189E-294E-B017-5A9A4DD6CEDE}" sibTransId="{ECEB1A3F-3DD8-E248-9697-8F101B01851A}"/>
    <dgm:cxn modelId="{273E4697-02E0-BB44-AF4F-D1D2E269170F}" type="presOf" srcId="{AB849386-BBEF-244B-A2A1-1BE27622D72F}" destId="{844AC346-AEB9-A649-8C9D-DBF2769C8FFC}" srcOrd="0" destOrd="0" presId="urn:microsoft.com/office/officeart/2005/8/layout/chevron2"/>
    <dgm:cxn modelId="{06495397-CAFB-8346-B6DD-C62B8755406E}" srcId="{93105CB4-0286-ED4F-915C-092EF42A9691}" destId="{14C4AACB-BBED-FD43-880C-31C843F0061A}" srcOrd="1" destOrd="0" parTransId="{DFED4DE2-2306-C34E-907E-763B913F06DC}" sibTransId="{8C3CD2B7-B9B1-6B48-BD9C-4F4D55283F81}"/>
    <dgm:cxn modelId="{47D99F97-67D1-BB4B-B1EA-2C5FF3111CA0}" type="presOf" srcId="{2D2AF18A-8B4F-6F43-ABC1-76E3735A0A2A}" destId="{BC4A5DFE-0373-0044-B473-93ADEF2A2324}" srcOrd="0" destOrd="0" presId="urn:microsoft.com/office/officeart/2005/8/layout/chevron2"/>
    <dgm:cxn modelId="{D5464A99-CC73-0F42-92D2-983EDD5C55C8}" type="presOf" srcId="{D4381A80-7F1D-9D4D-8093-B3E6A2F1CFCA}" destId="{9D5418D3-F08D-8545-87B2-2FD7B1D1031E}" srcOrd="0" destOrd="1" presId="urn:microsoft.com/office/officeart/2005/8/layout/chevron2"/>
    <dgm:cxn modelId="{14AB869A-936A-F94B-9669-20098DFE70E3}" type="presOf" srcId="{B81682CE-3DAA-7547-977E-5CA5485D7B79}" destId="{E2DE84BA-2462-A242-AC94-46E19F99F1BB}" srcOrd="0" destOrd="3" presId="urn:microsoft.com/office/officeart/2005/8/layout/chevron2"/>
    <dgm:cxn modelId="{611F2F9F-EA7E-8449-A796-0176D3EC681D}" type="presOf" srcId="{0D5E0837-38B9-E148-BB11-F780782A29CB}" destId="{9D5418D3-F08D-8545-87B2-2FD7B1D1031E}" srcOrd="0" destOrd="2" presId="urn:microsoft.com/office/officeart/2005/8/layout/chevron2"/>
    <dgm:cxn modelId="{C2A5ACA1-F1A9-1347-BEAB-34809B48CF85}" srcId="{32BD5717-A9E6-DD44-A13C-12122D41F212}" destId="{46C87E74-5E28-8C46-86B1-98C82A55CBAE}" srcOrd="11" destOrd="0" parTransId="{2A9B7400-96EA-AD40-9D11-2744CE1FE9E5}" sibTransId="{04801474-7BFD-AC4B-9CCF-28521DEC6DB6}"/>
    <dgm:cxn modelId="{7B182AA2-A887-B348-89D7-F8786D95C97F}" type="presOf" srcId="{E6055D9E-1DDE-A243-A8F6-5CDF160A3724}" destId="{C174B10A-41E6-244B-88CB-0D08E5FFF5F9}" srcOrd="0" destOrd="0" presId="urn:microsoft.com/office/officeart/2005/8/layout/chevron2"/>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4" destOrd="0" parTransId="{A4EA5788-EDE5-E443-B24A-EA951734FC41}" sibTransId="{72453AAB-5C0D-2D49-B812-AF99508E8E00}"/>
    <dgm:cxn modelId="{6849C4AB-FBF1-2649-882C-F1BCF009A4FA}" type="presOf" srcId="{0BDDECC6-78FB-B646-A08E-2A96894C6DD2}" destId="{C174B10A-41E6-244B-88CB-0D08E5FFF5F9}" srcOrd="0" destOrd="1" presId="urn:microsoft.com/office/officeart/2005/8/layout/chevron2"/>
    <dgm:cxn modelId="{150C0DB0-203D-7840-B4C9-E2F7EBFBC957}" type="presOf" srcId="{14C4AACB-BBED-FD43-880C-31C843F0061A}" destId="{F1EE7E3F-25DA-8041-85A7-EBBF11BC4C56}" srcOrd="0" destOrd="1"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1294C0C5-D32E-6148-BED4-9E4355C5016A}" type="presOf" srcId="{3F3526C7-6ED1-AA46-BF20-1B9948A084E5}" destId="{06B263AD-CC10-0D49-8145-0C283F585CD5}" srcOrd="0" destOrd="2" presId="urn:microsoft.com/office/officeart/2005/8/layout/chevron2"/>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E2F329CF-5D02-3241-B348-50CB30650C25}" srcId="{182D19B6-9968-F54C-9803-98CF32A9110D}" destId="{318E09D1-A59D-2E4B-A3CC-C2FF16965C43}" srcOrd="1" destOrd="0" parTransId="{692F5075-8AA7-1545-9821-5B796547FE98}" sibTransId="{C3BC74F0-F4E6-BD4C-8197-893C2058CDAE}"/>
    <dgm:cxn modelId="{971112DE-A6BE-B246-9DF1-24C88BA19F46}" type="presOf" srcId="{387817B1-B48E-804E-9741-307C0F8B2DA9}" destId="{BC4A5DFE-0373-0044-B473-93ADEF2A2324}" srcOrd="0" destOrd="1" presId="urn:microsoft.com/office/officeart/2005/8/layout/chevron2"/>
    <dgm:cxn modelId="{BD9A68DE-3E5B-CD44-B99F-D1D489C80560}" type="presOf" srcId="{3213E34C-7DC5-F04F-B772-98462B9718A3}" destId="{A2DDD1C7-4AD5-E248-9F20-9BC78D981D65}" srcOrd="0" destOrd="0" presId="urn:microsoft.com/office/officeart/2005/8/layout/chevron2"/>
    <dgm:cxn modelId="{C56480E6-5AD2-584D-A450-F3D6E39DFF42}" type="presOf" srcId="{555C02C0-6BC9-D540-8A82-3666CC61D37F}" destId="{DCD4A931-4F01-F440-965B-DC25AA6FE080}" srcOrd="0" destOrd="0"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F81EF0ED-296B-AA48-BF61-5315E4D0F717}" srcId="{5EFAD456-F8B8-C147-9A38-D366892E8D90}" destId="{C5500072-0C04-0648-A652-92DC7757E213}" srcOrd="2" destOrd="0" parTransId="{ADD21902-E74C-3B49-B715-A1C9E6F1F12A}" sibTransId="{FD65ADBA-B746-B147-B495-6BC120471C61}"/>
    <dgm:cxn modelId="{6577AAEF-4947-5D4D-81C4-56379C9CE484}" type="presOf" srcId="{4E401C2C-4000-C040-828A-EB0D5B3F70BC}" destId="{8BDAA81E-2E4E-9C4A-9A67-4855D9BA1510}" srcOrd="0" destOrd="1"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A2DCE7F2-FA94-E04D-9D9E-CAFC5C3D384D}" type="presOf" srcId="{332543FB-BB1C-DE43-B140-C2BB789BBCB2}" destId="{B422BFF3-8BFD-2144-8980-375702EA9496}" srcOrd="0" destOrd="0" presId="urn:microsoft.com/office/officeart/2005/8/layout/chevron2"/>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D7AE6EF6-A6C7-3E42-9D43-C46E45BFD67F}" type="presOf" srcId="{61A2BB49-4883-F544-A634-4207B0324D62}" destId="{06B263AD-CC10-0D49-8145-0C283F585CD5}" srcOrd="0" destOrd="0" presId="urn:microsoft.com/office/officeart/2005/8/layout/chevron2"/>
    <dgm:cxn modelId="{A3D7ACF7-2BA2-4F49-A0E0-7346B1E54F6B}" srcId="{82A06431-B147-914D-A7EE-B91B75443203}" destId="{0D5E0837-38B9-E148-BB11-F780782A29CB}" srcOrd="2" destOrd="0" parTransId="{22B50FC3-BF2E-BC48-A0D0-DF6C126E5EEE}" sibTransId="{BF3788D2-6547-5A48-A40F-C81D634AEA59}"/>
    <dgm:cxn modelId="{B02852FD-4758-B749-AC5D-FB4340CA7163}" srcId="{A8C6C2DC-42DC-4841-8B38-6F4C4E8905E8}" destId="{EE4687FF-DC98-3D4A-8B1D-75DD628798CF}" srcOrd="2" destOrd="0" parTransId="{EF50026A-DD1B-0E4E-B9CD-D2642DD4CB15}" sibTransId="{D890892B-FF11-CB4A-BA7B-86EF3BCF1799}"/>
    <dgm:cxn modelId="{5C2B2255-B104-3647-A503-9404F304C139}" type="presParOf" srcId="{DDB27B24-50BA-ED48-8BE9-4C29E6B83259}" destId="{B4D05EFA-2710-E24E-95A8-E5ADA436F1BA}" srcOrd="0" destOrd="0" presId="urn:microsoft.com/office/officeart/2005/8/layout/chevron2"/>
    <dgm:cxn modelId="{5DBCECBC-4DCF-A040-A910-57360F812D20}" type="presParOf" srcId="{B4D05EFA-2710-E24E-95A8-E5ADA436F1BA}" destId="{B3EE9CE6-0ABB-F14B-8299-D4BFC2EC579D}" srcOrd="0" destOrd="0" presId="urn:microsoft.com/office/officeart/2005/8/layout/chevron2"/>
    <dgm:cxn modelId="{C028D313-CA84-DB43-9378-3A266487D9BF}" type="presParOf" srcId="{B4D05EFA-2710-E24E-95A8-E5ADA436F1BA}" destId="{28826DD3-E030-6044-B2F2-D85EF85F6960}" srcOrd="1" destOrd="0" presId="urn:microsoft.com/office/officeart/2005/8/layout/chevron2"/>
    <dgm:cxn modelId="{A9C154FA-50EB-D641-B005-18BADED2AF05}" type="presParOf" srcId="{DDB27B24-50BA-ED48-8BE9-4C29E6B83259}" destId="{585C7840-A253-9640-BBF2-282E7F35583D}" srcOrd="1" destOrd="0" presId="urn:microsoft.com/office/officeart/2005/8/layout/chevron2"/>
    <dgm:cxn modelId="{9F171B31-C9A7-3445-A7D2-EB66BFA053DC}" type="presParOf" srcId="{DDB27B24-50BA-ED48-8BE9-4C29E6B83259}" destId="{725C6BB0-2454-F04B-AEC7-CF75FCBB3A74}" srcOrd="2" destOrd="0" presId="urn:microsoft.com/office/officeart/2005/8/layout/chevron2"/>
    <dgm:cxn modelId="{150BDC13-CB7B-384E-A5CB-64BDC8F12E52}" type="presParOf" srcId="{725C6BB0-2454-F04B-AEC7-CF75FCBB3A74}" destId="{B422BFF3-8BFD-2144-8980-375702EA9496}" srcOrd="0" destOrd="0" presId="urn:microsoft.com/office/officeart/2005/8/layout/chevron2"/>
    <dgm:cxn modelId="{0738C5C5-1345-DC40-9DD0-9B08AF367A9C}" type="presParOf" srcId="{725C6BB0-2454-F04B-AEC7-CF75FCBB3A74}" destId="{8BDAA81E-2E4E-9C4A-9A67-4855D9BA1510}" srcOrd="1" destOrd="0" presId="urn:microsoft.com/office/officeart/2005/8/layout/chevron2"/>
    <dgm:cxn modelId="{0E213B36-04D4-1F4F-BFE8-21524DA9FD4B}" type="presParOf" srcId="{DDB27B24-50BA-ED48-8BE9-4C29E6B83259}" destId="{D756A8C3-50EB-084A-8277-DD5831B4E8C7}" srcOrd="3" destOrd="0" presId="urn:microsoft.com/office/officeart/2005/8/layout/chevron2"/>
    <dgm:cxn modelId="{261AB003-9B83-6D47-AB55-E322660391E6}" type="presParOf" srcId="{DDB27B24-50BA-ED48-8BE9-4C29E6B83259}" destId="{D669929D-DE6F-0D40-8D4A-1736805AD131}" srcOrd="4" destOrd="0" presId="urn:microsoft.com/office/officeart/2005/8/layout/chevron2"/>
    <dgm:cxn modelId="{C3E05668-0321-CD48-B6BC-36096C2FB3DA}" type="presParOf" srcId="{D669929D-DE6F-0D40-8D4A-1736805AD131}" destId="{A0202F08-BEC9-8F43-8711-F30ADE817D18}" srcOrd="0" destOrd="0" presId="urn:microsoft.com/office/officeart/2005/8/layout/chevron2"/>
    <dgm:cxn modelId="{38F0A056-A7FA-FF48-B017-12F43BFA5520}" type="presParOf" srcId="{D669929D-DE6F-0D40-8D4A-1736805AD131}" destId="{06B263AD-CC10-0D49-8145-0C283F585CD5}" srcOrd="1" destOrd="0" presId="urn:microsoft.com/office/officeart/2005/8/layout/chevron2"/>
    <dgm:cxn modelId="{E4161BD4-AC70-C448-8B65-02A97B675181}" type="presParOf" srcId="{DDB27B24-50BA-ED48-8BE9-4C29E6B83259}" destId="{B5F0F139-C5B5-F942-A092-8BB086CFFEFA}" srcOrd="5" destOrd="0" presId="urn:microsoft.com/office/officeart/2005/8/layout/chevron2"/>
    <dgm:cxn modelId="{8B708AFD-4835-C24B-B81E-D70C9CDD44E1}" type="presParOf" srcId="{DDB27B24-50BA-ED48-8BE9-4C29E6B83259}" destId="{A6A53311-4EDF-944C-B7A8-A929BD874343}" srcOrd="6" destOrd="0" presId="urn:microsoft.com/office/officeart/2005/8/layout/chevron2"/>
    <dgm:cxn modelId="{88AAF960-B92D-814C-B04B-B83B0079616A}" type="presParOf" srcId="{A6A53311-4EDF-944C-B7A8-A929BD874343}" destId="{31EA3204-EDC1-4F43-84C9-41DE884256E5}" srcOrd="0" destOrd="0" presId="urn:microsoft.com/office/officeart/2005/8/layout/chevron2"/>
    <dgm:cxn modelId="{19EAC4DA-C26B-4447-86AB-389C49B63542}" type="presParOf" srcId="{A6A53311-4EDF-944C-B7A8-A929BD874343}" destId="{9D5418D3-F08D-8545-87B2-2FD7B1D1031E}" srcOrd="1" destOrd="0" presId="urn:microsoft.com/office/officeart/2005/8/layout/chevron2"/>
    <dgm:cxn modelId="{A5711A15-ECA9-4E44-AE2B-68B6BA982DEB}" type="presParOf" srcId="{DDB27B24-50BA-ED48-8BE9-4C29E6B83259}" destId="{BD082DD2-36A2-F841-B83C-3B9BAF4B2B5C}" srcOrd="7" destOrd="0" presId="urn:microsoft.com/office/officeart/2005/8/layout/chevron2"/>
    <dgm:cxn modelId="{1585F96C-7D33-3543-87D6-C3F2002FE729}" type="presParOf" srcId="{DDB27B24-50BA-ED48-8BE9-4C29E6B83259}" destId="{C371305F-B72D-3C44-BB22-E50B26871DA6}" srcOrd="8" destOrd="0" presId="urn:microsoft.com/office/officeart/2005/8/layout/chevron2"/>
    <dgm:cxn modelId="{476A1A5D-0C79-FE4B-B2FF-53D6C8A3FC55}" type="presParOf" srcId="{C371305F-B72D-3C44-BB22-E50B26871DA6}" destId="{CCC28DE8-0568-7547-9A1F-3C6F0F33A2CF}" srcOrd="0" destOrd="0" presId="urn:microsoft.com/office/officeart/2005/8/layout/chevron2"/>
    <dgm:cxn modelId="{4458C48D-4DF9-E94A-8687-C6AA1DE03D0B}" type="presParOf" srcId="{C371305F-B72D-3C44-BB22-E50B26871DA6}" destId="{F1EE7E3F-25DA-8041-85A7-EBBF11BC4C56}" srcOrd="1" destOrd="0" presId="urn:microsoft.com/office/officeart/2005/8/layout/chevron2"/>
    <dgm:cxn modelId="{9A9AA6DA-B266-0043-83F6-31E54FF34006}" type="presParOf" srcId="{DDB27B24-50BA-ED48-8BE9-4C29E6B83259}" destId="{2C8A0FE6-3CCD-674F-87D7-C945364C8330}" srcOrd="9" destOrd="0" presId="urn:microsoft.com/office/officeart/2005/8/layout/chevron2"/>
    <dgm:cxn modelId="{909993D8-A59E-0142-9373-F01F7370D936}" type="presParOf" srcId="{DDB27B24-50BA-ED48-8BE9-4C29E6B83259}" destId="{C8A774E9-C669-9C42-8FD8-567A31043E1A}" srcOrd="10" destOrd="0" presId="urn:microsoft.com/office/officeart/2005/8/layout/chevron2"/>
    <dgm:cxn modelId="{718E40F7-E6BE-9D4B-B49F-2519E957694D}" type="presParOf" srcId="{C8A774E9-C669-9C42-8FD8-567A31043E1A}" destId="{844AC346-AEB9-A649-8C9D-DBF2769C8FFC}" srcOrd="0" destOrd="0" presId="urn:microsoft.com/office/officeart/2005/8/layout/chevron2"/>
    <dgm:cxn modelId="{D7A3631F-59D3-5743-A615-17FD4536DE09}" type="presParOf" srcId="{C8A774E9-C669-9C42-8FD8-567A31043E1A}" destId="{C80BEB0B-E1AB-4443-9F91-9D6894D7833E}" srcOrd="1" destOrd="0" presId="urn:microsoft.com/office/officeart/2005/8/layout/chevron2"/>
    <dgm:cxn modelId="{B1326408-1FB7-B24B-8CBF-9E02FAD543FC}" type="presParOf" srcId="{DDB27B24-50BA-ED48-8BE9-4C29E6B83259}" destId="{59BB4FCD-F10D-9947-BE1C-B71549A60A1E}" srcOrd="11" destOrd="0" presId="urn:microsoft.com/office/officeart/2005/8/layout/chevron2"/>
    <dgm:cxn modelId="{FCD976EC-479B-CB45-BCFA-0102C75FC0BB}" type="presParOf" srcId="{DDB27B24-50BA-ED48-8BE9-4C29E6B83259}" destId="{9EA93BB1-069D-5E45-B7BF-50881B2F72E6}" srcOrd="12" destOrd="0" presId="urn:microsoft.com/office/officeart/2005/8/layout/chevron2"/>
    <dgm:cxn modelId="{E7D1B936-53DA-A04F-AE0F-8F2907E0BAA6}" type="presParOf" srcId="{9EA93BB1-069D-5E45-B7BF-50881B2F72E6}" destId="{B9872B13-1174-E847-A615-29577404DF21}" srcOrd="0" destOrd="0" presId="urn:microsoft.com/office/officeart/2005/8/layout/chevron2"/>
    <dgm:cxn modelId="{CF331803-CC93-5E4E-A93F-CFDFD9F34B86}" type="presParOf" srcId="{9EA93BB1-069D-5E45-B7BF-50881B2F72E6}" destId="{DCD4A931-4F01-F440-965B-DC25AA6FE080}" srcOrd="1" destOrd="0" presId="urn:microsoft.com/office/officeart/2005/8/layout/chevron2"/>
    <dgm:cxn modelId="{04354EF1-4D1A-1240-8649-F326FE433120}" type="presParOf" srcId="{DDB27B24-50BA-ED48-8BE9-4C29E6B83259}" destId="{201CAB8F-4C7F-6E4E-9169-C9E7B5CBE404}" srcOrd="13" destOrd="0" presId="urn:microsoft.com/office/officeart/2005/8/layout/chevron2"/>
    <dgm:cxn modelId="{8EC0E918-1DC2-054C-A8E9-6CF8D3F00D63}" type="presParOf" srcId="{DDB27B24-50BA-ED48-8BE9-4C29E6B83259}" destId="{7449FBDA-0079-DD49-8C42-2A72CC591D6F}" srcOrd="14" destOrd="0" presId="urn:microsoft.com/office/officeart/2005/8/layout/chevron2"/>
    <dgm:cxn modelId="{5FA2404C-5FB1-8A41-892A-78467BCA99D3}" type="presParOf" srcId="{7449FBDA-0079-DD49-8C42-2A72CC591D6F}" destId="{A2DDD1C7-4AD5-E248-9F20-9BC78D981D65}" srcOrd="0" destOrd="0" presId="urn:microsoft.com/office/officeart/2005/8/layout/chevron2"/>
    <dgm:cxn modelId="{9979F611-524F-DF4F-B787-A11F1F753316}" type="presParOf" srcId="{7449FBDA-0079-DD49-8C42-2A72CC591D6F}" destId="{98A99111-D6B8-514D-B7AC-2AA6CAAAAB79}" srcOrd="1" destOrd="0" presId="urn:microsoft.com/office/officeart/2005/8/layout/chevron2"/>
    <dgm:cxn modelId="{C1EA3967-13DB-6945-9850-A3A1E5CD8D9C}" type="presParOf" srcId="{DDB27B24-50BA-ED48-8BE9-4C29E6B83259}" destId="{31ADFE73-D80A-5948-9FF2-296A70E05D31}" srcOrd="15" destOrd="0" presId="urn:microsoft.com/office/officeart/2005/8/layout/chevron2"/>
    <dgm:cxn modelId="{04B48973-303E-1A44-A99B-3CAE0857BB21}" type="presParOf" srcId="{DDB27B24-50BA-ED48-8BE9-4C29E6B83259}" destId="{C588B7A2-4017-6643-93CD-7EB3E7875B06}" srcOrd="16" destOrd="0" presId="urn:microsoft.com/office/officeart/2005/8/layout/chevron2"/>
    <dgm:cxn modelId="{AE32D326-C131-8446-9DB3-FF07AF4005C0}" type="presParOf" srcId="{C588B7A2-4017-6643-93CD-7EB3E7875B06}" destId="{E86BF6A3-BA90-BB43-908F-24E76E7D1587}" srcOrd="0" destOrd="0" presId="urn:microsoft.com/office/officeart/2005/8/layout/chevron2"/>
    <dgm:cxn modelId="{8CF9C2DB-220D-E94F-9B82-E8B7B69D5882}" type="presParOf" srcId="{C588B7A2-4017-6643-93CD-7EB3E7875B06}" destId="{E2DE84BA-2462-A242-AC94-46E19F99F1BB}" srcOrd="1" destOrd="0" presId="urn:microsoft.com/office/officeart/2005/8/layout/chevron2"/>
    <dgm:cxn modelId="{08ACF7B6-21E0-4441-B536-679036958910}" type="presParOf" srcId="{DDB27B24-50BA-ED48-8BE9-4C29E6B83259}" destId="{C2AB1E69-06F4-D043-944B-D85D9601ACA6}" srcOrd="17" destOrd="0" presId="urn:microsoft.com/office/officeart/2005/8/layout/chevron2"/>
    <dgm:cxn modelId="{6079AB92-94E4-B045-9FCF-CF0C1DEC7BA0}" type="presParOf" srcId="{DDB27B24-50BA-ED48-8BE9-4C29E6B83259}" destId="{51C6866E-9F56-9A45-ADF2-6F81F533274A}" srcOrd="18" destOrd="0" presId="urn:microsoft.com/office/officeart/2005/8/layout/chevron2"/>
    <dgm:cxn modelId="{AB564FBB-3D5B-BF40-93C0-444156F5DFC5}" type="presParOf" srcId="{51C6866E-9F56-9A45-ADF2-6F81F533274A}" destId="{B88D95AA-AFFF-224F-9EBE-1226F2119586}" srcOrd="0" destOrd="0" presId="urn:microsoft.com/office/officeart/2005/8/layout/chevron2"/>
    <dgm:cxn modelId="{DF4E5ACE-88EB-7C45-8A9F-204614F8FA97}" type="presParOf" srcId="{51C6866E-9F56-9A45-ADF2-6F81F533274A}" destId="{BC4A5DFE-0373-0044-B473-93ADEF2A2324}" srcOrd="1" destOrd="0" presId="urn:microsoft.com/office/officeart/2005/8/layout/chevron2"/>
    <dgm:cxn modelId="{25252AB9-05F5-A24B-97E0-9031CF727704}" type="presParOf" srcId="{DDB27B24-50BA-ED48-8BE9-4C29E6B83259}" destId="{01E3A2D8-2E7D-6941-B2B2-FA006E31EF08}" srcOrd="19" destOrd="0" presId="urn:microsoft.com/office/officeart/2005/8/layout/chevron2"/>
    <dgm:cxn modelId="{836CB582-B9CB-4A41-A7FC-73E5DD13891C}" type="presParOf" srcId="{DDB27B24-50BA-ED48-8BE9-4C29E6B83259}" destId="{37D2DAC8-74EC-BF4C-831D-920A9C40B9D5}" srcOrd="20" destOrd="0" presId="urn:microsoft.com/office/officeart/2005/8/layout/chevron2"/>
    <dgm:cxn modelId="{9EAE9CAC-1FEC-5946-8BE7-76A631E4E683}" type="presParOf" srcId="{37D2DAC8-74EC-BF4C-831D-920A9C40B9D5}" destId="{ED0EEAAD-1F9F-C445-9ED5-D61D26A0F8D1}" srcOrd="0" destOrd="0" presId="urn:microsoft.com/office/officeart/2005/8/layout/chevron2"/>
    <dgm:cxn modelId="{916724F0-3E30-DD40-8C0E-06642DE4534F}" type="presParOf" srcId="{37D2DAC8-74EC-BF4C-831D-920A9C40B9D5}" destId="{C174B10A-41E6-244B-88CB-0D08E5FFF5F9}" srcOrd="1" destOrd="0" presId="urn:microsoft.com/office/officeart/2005/8/layout/chevron2"/>
    <dgm:cxn modelId="{C5623707-21DB-AE4E-B7C5-4863D7515BE9}" type="presParOf" srcId="{DDB27B24-50BA-ED48-8BE9-4C29E6B83259}" destId="{43FB22C6-B891-E44F-B0D7-B9F71AB372F1}" srcOrd="21" destOrd="0" presId="urn:microsoft.com/office/officeart/2005/8/layout/chevron2"/>
    <dgm:cxn modelId="{7D2DB55A-A788-024A-87AA-A3822E16B272}" type="presParOf" srcId="{DDB27B24-50BA-ED48-8BE9-4C29E6B83259}" destId="{73DF1BD6-49ED-134F-A291-CE4DB94547A9}" srcOrd="22" destOrd="0" presId="urn:microsoft.com/office/officeart/2005/8/layout/chevron2"/>
    <dgm:cxn modelId="{7BE1EA5E-8D13-B04C-8445-01D8D3EC0AD8}" type="presParOf" srcId="{73DF1BD6-49ED-134F-A291-CE4DB94547A9}" destId="{6DDDE256-1CA3-1140-A939-5530FC1F57D3}" srcOrd="0" destOrd="0" presId="urn:microsoft.com/office/officeart/2005/8/layout/chevron2"/>
    <dgm:cxn modelId="{5664F1CB-E858-C943-ADE0-4411950E6837}" type="presParOf" srcId="{73DF1BD6-49ED-134F-A291-CE4DB94547A9}" destId="{999FDDA9-9F6A-1143-BE3C-B1E07CBE9945}" srcOrd="1" destOrd="0" presId="urn:microsoft.com/office/officeart/2005/8/layout/chevron2"/>
    <dgm:cxn modelId="{53F7F8EF-9715-624F-9125-A9F09E7894DD}" type="presParOf" srcId="{DDB27B24-50BA-ED48-8BE9-4C29E6B83259}" destId="{A73ECDF3-49A4-0948-BD1F-387AF7BD3FC1}" srcOrd="23" destOrd="0" presId="urn:microsoft.com/office/officeart/2005/8/layout/chevron2"/>
    <dgm:cxn modelId="{1465C025-0056-C746-8D79-9DEDB2F794F9}" type="presParOf" srcId="{DDB27B24-50BA-ED48-8BE9-4C29E6B83259}" destId="{F2D2A481-D011-064A-92C0-32CD4D676904}" srcOrd="24" destOrd="0" presId="urn:microsoft.com/office/officeart/2005/8/layout/chevron2"/>
    <dgm:cxn modelId="{8553D46E-930D-254C-8022-69BA6098B9B3}" type="presParOf" srcId="{F2D2A481-D011-064A-92C0-32CD4D676904}" destId="{48AF7672-2483-B34A-B763-89BD09AEBA58}" srcOrd="0" destOrd="0" presId="urn:microsoft.com/office/officeart/2005/8/layout/chevron2"/>
    <dgm:cxn modelId="{443B7201-64B1-DC40-95F6-7E16FD4C6F89}"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 triangulation</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8: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9: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10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a:solidFill>
          <a:srgbClr val="953735"/>
        </a:solidFill>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470B27C3-192E-9744-A8B9-22ADC3AC44BD}">
      <dgm:prSet phldrT="[Text]"/>
      <dgm:spPr/>
      <dgm:t>
        <a:bodyPr/>
        <a:lstStyle/>
        <a:p>
          <a:r>
            <a:rPr lang="en-US"/>
            <a:t>Responsibility</a:t>
          </a:r>
        </a:p>
      </dgm:t>
    </dgm:pt>
    <dgm:pt modelId="{7934353A-AD11-A14B-86AA-894F40E392A6}" type="parTrans" cxnId="{B66E5E20-7DBE-9D47-9ED8-B1751F7858FD}">
      <dgm:prSet/>
      <dgm:spPr/>
      <dgm:t>
        <a:bodyPr/>
        <a:lstStyle/>
        <a:p>
          <a:endParaRPr lang="en-US"/>
        </a:p>
      </dgm:t>
    </dgm:pt>
    <dgm:pt modelId="{1535D47C-281A-8E45-9E47-B5D6C9743F50}" type="sibTrans" cxnId="{B66E5E20-7DBE-9D47-9ED8-B1751F7858FD}">
      <dgm:prSet/>
      <dgm:spPr/>
      <dgm:t>
        <a:bodyPr/>
        <a:lstStyle/>
        <a:p>
          <a:endParaRPr lang="en-US"/>
        </a:p>
      </dgm:t>
    </dgm:pt>
    <dgm:pt modelId="{F722D675-2AA2-5D47-8B82-44562640EB4F}">
      <dgm:prSet phldrT="[Text]"/>
      <dgm:spPr/>
      <dgm:t>
        <a:bodyPr/>
        <a:lstStyle/>
        <a:p>
          <a:r>
            <a:rPr lang="en-US"/>
            <a:t>Simulation for assessment</a:t>
          </a:r>
        </a:p>
      </dgm:t>
    </dgm:pt>
    <dgm:pt modelId="{5C5006BA-A55A-954E-8424-50799FBC8C3A}" type="parTrans" cxnId="{9B66C252-7003-CB46-855D-1E67AEDB89D7}">
      <dgm:prSet/>
      <dgm:spPr/>
      <dgm:t>
        <a:bodyPr/>
        <a:lstStyle/>
        <a:p>
          <a:endParaRPr lang="en-US"/>
        </a:p>
      </dgm:t>
    </dgm:pt>
    <dgm:pt modelId="{2EF9E6F4-5899-8842-B1D4-47A9E5111BDD}" type="sibTrans" cxnId="{9B66C252-7003-CB46-855D-1E67AEDB89D7}">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2">
        <dgm:presLayoutVars>
          <dgm:chMax val="1"/>
          <dgm:bulletEnabled val="1"/>
        </dgm:presLayoutVars>
      </dgm:prSet>
      <dgm:spPr/>
    </dgm:pt>
    <dgm:pt modelId="{28826DD3-E030-6044-B2F2-D85EF85F6960}" type="pres">
      <dgm:prSet presAssocID="{718C1A72-EF39-DD4E-BFDE-F45DD7D520FB}" presName="descendantText" presStyleLbl="alignAcc1" presStyleIdx="0" presStyleCnt="12">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2">
        <dgm:presLayoutVars>
          <dgm:chMax val="1"/>
          <dgm:bulletEnabled val="1"/>
        </dgm:presLayoutVars>
      </dgm:prSet>
      <dgm:spPr/>
    </dgm:pt>
    <dgm:pt modelId="{8BDAA81E-2E4E-9C4A-9A67-4855D9BA1510}" type="pres">
      <dgm:prSet presAssocID="{332543FB-BB1C-DE43-B140-C2BB789BBCB2}" presName="descendantText" presStyleLbl="alignAcc1" presStyleIdx="1" presStyleCnt="12">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2">
        <dgm:presLayoutVars>
          <dgm:chMax val="1"/>
          <dgm:bulletEnabled val="1"/>
        </dgm:presLayoutVars>
      </dgm:prSet>
      <dgm:spPr/>
    </dgm:pt>
    <dgm:pt modelId="{06B263AD-CC10-0D49-8145-0C283F585CD5}" type="pres">
      <dgm:prSet presAssocID="{8A942072-3D9B-2043-8B2E-11E707170D7E}" presName="descendantText" presStyleLbl="alignAcc1" presStyleIdx="2" presStyleCnt="12">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2">
        <dgm:presLayoutVars>
          <dgm:chMax val="1"/>
          <dgm:bulletEnabled val="1"/>
        </dgm:presLayoutVars>
      </dgm:prSet>
      <dgm:spPr/>
    </dgm:pt>
    <dgm:pt modelId="{9D5418D3-F08D-8545-87B2-2FD7B1D1031E}" type="pres">
      <dgm:prSet presAssocID="{82A06431-B147-914D-A7EE-B91B75443203}" presName="descendantText" presStyleLbl="alignAcc1" presStyleIdx="3" presStyleCnt="12">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2">
        <dgm:presLayoutVars>
          <dgm:chMax val="1"/>
          <dgm:bulletEnabled val="1"/>
        </dgm:presLayoutVars>
      </dgm:prSet>
      <dgm:spPr/>
    </dgm:pt>
    <dgm:pt modelId="{F1EE7E3F-25DA-8041-85A7-EBBF11BC4C56}" type="pres">
      <dgm:prSet presAssocID="{93105CB4-0286-ED4F-915C-092EF42A9691}" presName="descendantText" presStyleLbl="alignAcc1" presStyleIdx="4" presStyleCnt="12">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2">
        <dgm:presLayoutVars>
          <dgm:chMax val="1"/>
          <dgm:bulletEnabled val="1"/>
        </dgm:presLayoutVars>
      </dgm:prSet>
      <dgm:spPr/>
    </dgm:pt>
    <dgm:pt modelId="{C80BEB0B-E1AB-4443-9F91-9D6894D7833E}" type="pres">
      <dgm:prSet presAssocID="{AB849386-BBEF-244B-A2A1-1BE27622D72F}" presName="descendantText" presStyleLbl="alignAcc1" presStyleIdx="5" presStyleCnt="12">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2">
        <dgm:presLayoutVars>
          <dgm:chMax val="1"/>
          <dgm:bulletEnabled val="1"/>
        </dgm:presLayoutVars>
      </dgm:prSet>
      <dgm:spPr/>
    </dgm:pt>
    <dgm:pt modelId="{DCD4A931-4F01-F440-965B-DC25AA6FE080}" type="pres">
      <dgm:prSet presAssocID="{34B9CBCA-90AD-D946-B26E-3A6E60BB731E}" presName="descendantText" presStyleLbl="alignAcc1" presStyleIdx="6" presStyleCnt="12">
        <dgm:presLayoutVars>
          <dgm:bulletEnabled val="1"/>
        </dgm:presLayoutVars>
      </dgm:prSet>
      <dgm:spPr/>
    </dgm:pt>
    <dgm:pt modelId="{201CAB8F-4C7F-6E4E-9169-C9E7B5CBE404}" type="pres">
      <dgm:prSet presAssocID="{1031D2A7-8DEF-E945-AA90-68FD6C34AE22}"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7" presStyleCnt="12">
        <dgm:presLayoutVars>
          <dgm:chMax val="1"/>
          <dgm:bulletEnabled val="1"/>
        </dgm:presLayoutVars>
      </dgm:prSet>
      <dgm:spPr/>
    </dgm:pt>
    <dgm:pt modelId="{E2DE84BA-2462-A242-AC94-46E19F99F1BB}" type="pres">
      <dgm:prSet presAssocID="{182D19B6-9968-F54C-9803-98CF32A9110D}" presName="descendantText" presStyleLbl="alignAcc1" presStyleIdx="7" presStyleCnt="12">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8" presStyleCnt="12">
        <dgm:presLayoutVars>
          <dgm:chMax val="1"/>
          <dgm:bulletEnabled val="1"/>
        </dgm:presLayoutVars>
      </dgm:prSet>
      <dgm:spPr/>
    </dgm:pt>
    <dgm:pt modelId="{BC4A5DFE-0373-0044-B473-93ADEF2A2324}" type="pres">
      <dgm:prSet presAssocID="{A8C6C2DC-42DC-4841-8B38-6F4C4E8905E8}" presName="descendantText" presStyleLbl="alignAcc1" presStyleIdx="8" presStyleCnt="12">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9" presStyleCnt="12">
        <dgm:presLayoutVars>
          <dgm:chMax val="1"/>
          <dgm:bulletEnabled val="1"/>
        </dgm:presLayoutVars>
      </dgm:prSet>
      <dgm:spPr/>
    </dgm:pt>
    <dgm:pt modelId="{C174B10A-41E6-244B-88CB-0D08E5FFF5F9}" type="pres">
      <dgm:prSet presAssocID="{5EFAD456-F8B8-C147-9A38-D366892E8D90}" presName="descendantText" presStyleLbl="alignAcc1" presStyleIdx="9" presStyleCnt="12">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0" presStyleCnt="12">
        <dgm:presLayoutVars>
          <dgm:chMax val="1"/>
          <dgm:bulletEnabled val="1"/>
        </dgm:presLayoutVars>
      </dgm:prSet>
      <dgm:spPr/>
    </dgm:pt>
    <dgm:pt modelId="{999FDDA9-9F6A-1143-BE3C-B1E07CBE9945}" type="pres">
      <dgm:prSet presAssocID="{46C87E74-5E28-8C46-86B1-98C82A55CBAE}" presName="descendantText" presStyleLbl="alignAcc1" presStyleIdx="10" presStyleCnt="12">
        <dgm:presLayoutVars>
          <dgm:bulletEnabled val="1"/>
        </dgm:presLayoutVars>
      </dgm:prSet>
      <dgm:spPr>
        <a:solidFill>
          <a:srgbClr val="953735">
            <a:alpha val="90000"/>
          </a:srgbClr>
        </a:solidFill>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1" presStyleCnt="12">
        <dgm:presLayoutVars>
          <dgm:chMax val="1"/>
          <dgm:bulletEnabled val="1"/>
        </dgm:presLayoutVars>
      </dgm:prSet>
      <dgm:spPr/>
    </dgm:pt>
    <dgm:pt modelId="{53F81CAC-F802-9240-8C94-B3E2B1F8761C}" type="pres">
      <dgm:prSet presAssocID="{1EC7AB78-D724-324B-BD90-FC58EF6E0357}" presName="descendantText" presStyleLbl="alignAcc1" presStyleIdx="11" presStyleCnt="12">
        <dgm:presLayoutVars>
          <dgm:bulletEnabled val="1"/>
        </dgm:presLayoutVars>
      </dgm:prSet>
      <dgm:spPr/>
    </dgm:pt>
  </dgm:ptLst>
  <dgm:cxnLst>
    <dgm:cxn modelId="{CCEFF300-EE61-C94F-845E-FCF75AA2FDD3}" type="presOf" srcId="{8A942072-3D9B-2043-8B2E-11E707170D7E}" destId="{A0202F08-BEC9-8F43-8711-F30ADE817D18}" srcOrd="0" destOrd="0" presId="urn:microsoft.com/office/officeart/2005/8/layout/chevron2"/>
    <dgm:cxn modelId="{FFA0F401-047D-6840-A6A2-9E75AB577B62}" type="presOf" srcId="{1EC7AB78-D724-324B-BD90-FC58EF6E0357}" destId="{48AF7672-2483-B34A-B763-89BD09AEBA58}" srcOrd="0" destOrd="0" presId="urn:microsoft.com/office/officeart/2005/8/layout/chevron2"/>
    <dgm:cxn modelId="{0BB23C04-9E20-9A4D-A4B7-4BAB7AD0CA8A}" type="presOf" srcId="{65337D44-9B2C-044E-AEF9-F665764413CE}" destId="{9D5418D3-F08D-8545-87B2-2FD7B1D1031E}" srcOrd="0" destOrd="0" presId="urn:microsoft.com/office/officeart/2005/8/layout/chevron2"/>
    <dgm:cxn modelId="{8023CE04-A345-BB42-895A-06B55FE976E3}" type="presOf" srcId="{E8835EC0-86EE-3540-9564-983F3D69B9B0}" destId="{E2DE84BA-2462-A242-AC94-46E19F99F1BB}" srcOrd="0" destOrd="4" presId="urn:microsoft.com/office/officeart/2005/8/layout/chevron2"/>
    <dgm:cxn modelId="{1E45F505-E11A-0844-ACAE-0D23B06F565C}" type="presOf" srcId="{7438286E-8350-184E-82B3-3AAEF5F4B429}" destId="{8BDAA81E-2E4E-9C4A-9A67-4855D9BA1510}" srcOrd="0" destOrd="2" presId="urn:microsoft.com/office/officeart/2005/8/layout/chevron2"/>
    <dgm:cxn modelId="{DFB69807-06BC-CF42-AEA7-64A53D5FFA22}" type="presOf" srcId="{0B5EEED9-AADF-5646-A4EE-16C7E3C5048F}" destId="{DCD4A931-4F01-F440-965B-DC25AA6FE080}" srcOrd="0" destOrd="3" presId="urn:microsoft.com/office/officeart/2005/8/layout/chevron2"/>
    <dgm:cxn modelId="{092F4C0A-C7EF-9E4A-9A82-C0854BBDFA92}" type="presOf" srcId="{0D5E0837-38B9-E148-BB11-F780782A29CB}" destId="{9D5418D3-F08D-8545-87B2-2FD7B1D1031E}" srcOrd="0" destOrd="2"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9737A014-77AA-2343-9EF8-1AB62E400960}" srcId="{34B9CBCA-90AD-D946-B26E-3A6E60BB731E}" destId="{0B5EEED9-AADF-5646-A4EE-16C7E3C5048F}" srcOrd="3" destOrd="0" parTransId="{5F63AFFB-8796-8145-8196-16BA65A8913E}" sibTransId="{6369732A-4608-D04B-9932-9F2E14769A9F}"/>
    <dgm:cxn modelId="{FD800A18-6F55-384F-B64F-E2810FB9BB11}" type="presOf" srcId="{C458704A-A6F3-A24F-B50F-7B434CD11794}" destId="{28826DD3-E030-6044-B2F2-D85EF85F6960}" srcOrd="0" destOrd="2" presId="urn:microsoft.com/office/officeart/2005/8/layout/chevron2"/>
    <dgm:cxn modelId="{425A741B-9872-3A46-B4DA-D764BFE4CD8B}" srcId="{32BD5717-A9E6-DD44-A13C-12122D41F212}" destId="{182D19B6-9968-F54C-9803-98CF32A9110D}" srcOrd="7" destOrd="0" parTransId="{19120E65-5B26-BC4A-9EFF-5512A25AEB14}" sibTransId="{259ED567-5FE2-2F45-B806-60F8702E00F5}"/>
    <dgm:cxn modelId="{F249AF1C-F667-8545-9ADA-B981F8B6FCAB}" type="presOf" srcId="{EE4687FF-DC98-3D4A-8B1D-75DD628798CF}" destId="{BC4A5DFE-0373-0044-B473-93ADEF2A2324}" srcOrd="0" destOrd="2" presId="urn:microsoft.com/office/officeart/2005/8/layout/chevron2"/>
    <dgm:cxn modelId="{B66E5E20-7DBE-9D47-9ED8-B1751F7858FD}" srcId="{5EFAD456-F8B8-C147-9A38-D366892E8D90}" destId="{470B27C3-192E-9744-A8B9-22ADC3AC44BD}" srcOrd="1" destOrd="0" parTransId="{7934353A-AD11-A14B-86AA-894F40E392A6}" sibTransId="{1535D47C-281A-8E45-9E47-B5D6C9743F50}"/>
    <dgm:cxn modelId="{6D338F23-2266-CF45-A620-F0EBEA8A62D0}" type="presOf" srcId="{AB849386-BBEF-244B-A2A1-1BE27622D72F}" destId="{844AC346-AEB9-A649-8C9D-DBF2769C8FFC}" srcOrd="0" destOrd="0"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930A272A-2CFF-0041-B9ED-76D065F6ECCC}" srcId="{332543FB-BB1C-DE43-B140-C2BB789BBCB2}" destId="{2725BEFC-24C3-E145-86F8-460B0C16124D}" srcOrd="0" destOrd="0" parTransId="{C1829F04-6DDA-E649-90FD-A4AAAAE6C05F}" sibTransId="{21F47E9F-9C6A-1041-9062-39753370C0EE}"/>
    <dgm:cxn modelId="{789D3D31-A1BE-5D42-85EC-D8F31B8AF2A3}" srcId="{8A942072-3D9B-2043-8B2E-11E707170D7E}" destId="{CF8D6B60-3FEF-0048-B019-B0883DEB78C2}" srcOrd="1" destOrd="0" parTransId="{3FE0B1FC-3E46-8B4F-9B8A-371FE47D7A6F}" sibTransId="{843A5592-19B0-734C-A097-D96F74C7FECB}"/>
    <dgm:cxn modelId="{163A6432-2DDF-094F-A291-249D3D45F7F8}" type="presOf" srcId="{18ABC2A5-DCE7-414C-AE08-6EAE4EA2FE6D}" destId="{E2DE84BA-2462-A242-AC94-46E19F99F1BB}" srcOrd="0" destOrd="2" presId="urn:microsoft.com/office/officeart/2005/8/layout/chevron2"/>
    <dgm:cxn modelId="{AC9D8B35-3E35-964E-B49F-8C40FB3AF24D}" srcId="{182D19B6-9968-F54C-9803-98CF32A9110D}" destId="{E8835EC0-86EE-3540-9564-983F3D69B9B0}" srcOrd="4" destOrd="0" parTransId="{3507EF78-030C-2546-8CBB-075D7261FCDE}" sibTransId="{7BBE6FC9-195F-5E44-BEAA-03BE4D719D22}"/>
    <dgm:cxn modelId="{C67DC537-D4CA-2944-8330-96C6C74E0394}" srcId="{32BD5717-A9E6-DD44-A13C-12122D41F212}" destId="{34B9CBCA-90AD-D946-B26E-3A6E60BB731E}" srcOrd="6" destOrd="0" parTransId="{9332FC5B-2DEC-D146-AE72-41CD6249A702}" sibTransId="{1031D2A7-8DEF-E945-AA90-68FD6C34AE22}"/>
    <dgm:cxn modelId="{0FD6743D-8B4C-AE4A-9BF4-FBDEB1BB7641}" type="presOf" srcId="{3528BF8B-944A-1B4D-ADBB-12D941C8C388}" destId="{E2DE84BA-2462-A242-AC94-46E19F99F1BB}" srcOrd="0" destOrd="0"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DC3ACA5B-5966-D540-868B-39568F2B644E}" type="presOf" srcId="{F722D675-2AA2-5D47-8B82-44562640EB4F}" destId="{C174B10A-41E6-244B-88CB-0D08E5FFF5F9}" srcOrd="0" destOrd="2" presId="urn:microsoft.com/office/officeart/2005/8/layout/chevron2"/>
    <dgm:cxn modelId="{5BC26D41-D359-1943-A420-57FD0ADA8FE5}" type="presOf" srcId="{387817B1-B48E-804E-9741-307C0F8B2DA9}" destId="{BC4A5DFE-0373-0044-B473-93ADEF2A2324}" srcOrd="0" destOrd="1" presId="urn:microsoft.com/office/officeart/2005/8/layout/chevron2"/>
    <dgm:cxn modelId="{454E5242-D366-2D49-A5BA-2D1EF8F31C3E}" type="presOf" srcId="{A177B3ED-63C5-3348-B066-3691D8643EDE}" destId="{F1EE7E3F-25DA-8041-85A7-EBBF11BC4C56}" srcOrd="0" destOrd="0" presId="urn:microsoft.com/office/officeart/2005/8/layout/chevron2"/>
    <dgm:cxn modelId="{2F9B2364-FE49-1F46-B658-E8E97150756D}" type="presOf" srcId="{4E401C2C-4000-C040-828A-EB0D5B3F70BC}" destId="{8BDAA81E-2E4E-9C4A-9A67-4855D9BA1510}" srcOrd="0" destOrd="1" presId="urn:microsoft.com/office/officeart/2005/8/layout/chevron2"/>
    <dgm:cxn modelId="{A8602468-633D-7243-853D-49300C49538D}" type="presOf" srcId="{34B9CBCA-90AD-D946-B26E-3A6E60BB731E}" destId="{B9872B13-1174-E847-A615-29577404DF21}" srcOrd="0" destOrd="0"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7848BC4C-6BAD-9C4E-9CA4-75ED6E547F35}" type="presOf" srcId="{CF8D6B60-3FEF-0048-B019-B0883DEB78C2}" destId="{06B263AD-CC10-0D49-8145-0C283F585CD5}" srcOrd="0" destOrd="1" presId="urn:microsoft.com/office/officeart/2005/8/layout/chevron2"/>
    <dgm:cxn modelId="{8E062E4D-AA93-CB44-A0AC-F749EB20F43A}" srcId="{32BD5717-A9E6-DD44-A13C-12122D41F212}" destId="{82A06431-B147-914D-A7EE-B91B75443203}" srcOrd="3" destOrd="0" parTransId="{13C96808-67BD-174F-B855-16ACA3400941}" sibTransId="{2927117D-194C-1341-932F-5623EB513890}"/>
    <dgm:cxn modelId="{0BBF5851-B3B2-1B4C-8B30-3EEDF43DEFDC}" srcId="{8A942072-3D9B-2043-8B2E-11E707170D7E}" destId="{61A2BB49-4883-F544-A634-4207B0324D62}" srcOrd="0" destOrd="0" parTransId="{A2A85C49-BD39-F341-9616-1EF9A7342DE1}" sibTransId="{74A9A651-DC98-7544-BB4F-6CA13DCA47CC}"/>
    <dgm:cxn modelId="{9B66C252-7003-CB46-855D-1E67AEDB89D7}" srcId="{5EFAD456-F8B8-C147-9A38-D366892E8D90}" destId="{F722D675-2AA2-5D47-8B82-44562640EB4F}" srcOrd="2" destOrd="0" parTransId="{5C5006BA-A55A-954E-8424-50799FBC8C3A}" sibTransId="{2EF9E6F4-5899-8842-B1D4-47A9E5111BDD}"/>
    <dgm:cxn modelId="{EBCA7454-0A4D-574C-AF9E-ACF2192F6A69}" srcId="{34B9CBCA-90AD-D946-B26E-3A6E60BB731E}" destId="{EEF349EC-A16C-6E4F-8464-6BD71940F70C}" srcOrd="2" destOrd="0" parTransId="{4EF4EBD5-8084-7D4A-BB5E-4EF2C5C94F99}" sibTransId="{A325D897-3CF3-2444-BCE0-FB27A2B93D02}"/>
    <dgm:cxn modelId="{1C4CF176-1A26-1E4D-AACA-8654A55626D2}" type="presOf" srcId="{14C4AACB-BBED-FD43-880C-31C843F0061A}" destId="{F1EE7E3F-25DA-8041-85A7-EBBF11BC4C56}" srcOrd="0" destOrd="1" presId="urn:microsoft.com/office/officeart/2005/8/layout/chevron2"/>
    <dgm:cxn modelId="{7CCA3577-052A-E54E-8A65-B79C9D3D7282}" srcId="{32BD5717-A9E6-DD44-A13C-12122D41F212}" destId="{5EFAD456-F8B8-C147-9A38-D366892E8D90}" srcOrd="9" destOrd="0" parTransId="{AEC4A29C-080E-714E-8C55-A165817C6F84}" sibTransId="{69AAF0EB-9438-D048-8CCB-3ADC0E6ED07B}"/>
    <dgm:cxn modelId="{F746FA79-BF42-9D40-9977-CF2699DFF7D6}" type="presOf" srcId="{817AAD11-541C-8040-B8E6-60D63F44FF6E}" destId="{DCD4A931-4F01-F440-965B-DC25AA6FE080}" srcOrd="0" destOrd="1" presId="urn:microsoft.com/office/officeart/2005/8/layout/chevron2"/>
    <dgm:cxn modelId="{941CFF7A-D638-8A4B-8278-95DAB8637AEE}" srcId="{32BD5717-A9E6-DD44-A13C-12122D41F212}" destId="{8A942072-3D9B-2043-8B2E-11E707170D7E}" srcOrd="2" destOrd="0" parTransId="{F49F7276-856F-E64E-8188-3D686B4D473E}" sibTransId="{393ABEA7-D1FC-994A-9DCC-A33FEBFF19A8}"/>
    <dgm:cxn modelId="{8BDEAA7B-F8D8-6244-90A2-D21482D6CCDF}" type="presOf" srcId="{82A06431-B147-914D-A7EE-B91B75443203}" destId="{31EA3204-EDC1-4F43-84C9-41DE884256E5}" srcOrd="0" destOrd="0" presId="urn:microsoft.com/office/officeart/2005/8/layout/chevron2"/>
    <dgm:cxn modelId="{759B727C-F170-CB44-B32F-469BA669930A}" srcId="{332543FB-BB1C-DE43-B140-C2BB789BBCB2}" destId="{7438286E-8350-184E-82B3-3AAEF5F4B429}" srcOrd="2" destOrd="0" parTransId="{E8AA2A5B-C348-8248-9D0D-C0147AC7D7FA}" sibTransId="{DDE64E92-A7DB-1F46-870A-4BB5B715BA64}"/>
    <dgm:cxn modelId="{1147E97F-96F9-654A-BC1F-61C8ADBF3DA6}" type="presOf" srcId="{332543FB-BB1C-DE43-B140-C2BB789BBCB2}" destId="{B422BFF3-8BFD-2144-8980-375702EA9496}" srcOrd="0" destOrd="0" presId="urn:microsoft.com/office/officeart/2005/8/layout/chevron2"/>
    <dgm:cxn modelId="{C2637380-4378-9541-964A-D6E21D69FAFC}" srcId="{34B9CBCA-90AD-D946-B26E-3A6E60BB731E}" destId="{817AAD11-541C-8040-B8E6-60D63F44FF6E}" srcOrd="1" destOrd="0" parTransId="{820D5C7D-3565-B841-B802-D79FD186F3F0}" sibTransId="{DBDC58F4-53C2-3143-8B2E-16E385E444FB}"/>
    <dgm:cxn modelId="{6031F181-99B7-5042-A0CF-A12746AB1BF5}" type="presOf" srcId="{BE8AC978-0FAD-5E4D-B281-1B7DC61EC809}" destId="{C80BEB0B-E1AB-4443-9F91-9D6894D7833E}" srcOrd="0" destOrd="1" presId="urn:microsoft.com/office/officeart/2005/8/layout/chevron2"/>
    <dgm:cxn modelId="{082E448A-7514-D748-A958-B6930F800A55}" type="presOf" srcId="{555C02C0-6BC9-D540-8A82-3666CC61D37F}" destId="{DCD4A931-4F01-F440-965B-DC25AA6FE080}" srcOrd="0" destOrd="0" presId="urn:microsoft.com/office/officeart/2005/8/layout/chevron2"/>
    <dgm:cxn modelId="{213F4E8A-8689-804D-8936-BF77D5F7D9C4}" type="presOf" srcId="{32BD5717-A9E6-DD44-A13C-12122D41F212}" destId="{DDB27B24-50BA-ED48-8BE9-4C29E6B83259}" srcOrd="0" destOrd="0" presId="urn:microsoft.com/office/officeart/2005/8/layout/chevron2"/>
    <dgm:cxn modelId="{160A5C8B-BBF3-8D4B-8E6F-BB3F3D04A27D}" srcId="{32BD5717-A9E6-DD44-A13C-12122D41F212}" destId="{1EC7AB78-D724-324B-BD90-FC58EF6E0357}" srcOrd="11" destOrd="0" parTransId="{D362144C-27C6-E04C-85E7-ABD569DB16DE}" sibTransId="{89B2828F-B5A3-B546-A70B-38B01D72B154}"/>
    <dgm:cxn modelId="{AF912893-1846-5546-8FA3-A9A0911570CE}" srcId="{718C1A72-EF39-DD4E-BFDE-F45DD7D520FB}" destId="{C458704A-A6F3-A24F-B50F-7B434CD11794}" srcOrd="2" destOrd="0" parTransId="{91B57B00-C8FD-3D4F-AFCB-35DFDDCC78D0}" sibTransId="{E8F59CE6-32CE-F942-9CFA-2E7EFCCD53DE}"/>
    <dgm:cxn modelId="{E6E83994-7043-A749-8EEA-38EBB3A3196E}" type="presOf" srcId="{2D2AF18A-8B4F-6F43-ABC1-76E3735A0A2A}" destId="{BC4A5DFE-0373-0044-B473-93ADEF2A2324}" srcOrd="0" destOrd="0" presId="urn:microsoft.com/office/officeart/2005/8/layout/chevron2"/>
    <dgm:cxn modelId="{7724FB94-3CBB-FF4F-A88F-DF25BA3B4755}" srcId="{332543FB-BB1C-DE43-B140-C2BB789BBCB2}" destId="{4E401C2C-4000-C040-828A-EB0D5B3F70BC}" srcOrd="1" destOrd="0" parTransId="{3CFB846A-189E-294E-B017-5A9A4DD6CEDE}" sibTransId="{ECEB1A3F-3DD8-E248-9697-8F101B01851A}"/>
    <dgm:cxn modelId="{06495397-CAFB-8346-B6DD-C62B8755406E}" srcId="{93105CB4-0286-ED4F-915C-092EF42A9691}" destId="{14C4AACB-BBED-FD43-880C-31C843F0061A}" srcOrd="1" destOrd="0" parTransId="{DFED4DE2-2306-C34E-907E-763B913F06DC}" sibTransId="{8C3CD2B7-B9B1-6B48-BD9C-4F4D55283F81}"/>
    <dgm:cxn modelId="{C2A5ACA1-F1A9-1347-BEAB-34809B48CF85}" srcId="{32BD5717-A9E6-DD44-A13C-12122D41F212}" destId="{46C87E74-5E28-8C46-86B1-98C82A55CBAE}" srcOrd="10" destOrd="0" parTransId="{2A9B7400-96EA-AD40-9D11-2744CE1FE9E5}" sibTransId="{04801474-7BFD-AC4B-9CCF-28521DEC6DB6}"/>
    <dgm:cxn modelId="{32D00FA2-C1EB-914E-A997-4B28DEB266E9}" type="presOf" srcId="{E6055D9E-1DDE-A243-A8F6-5CDF160A3724}" destId="{C174B10A-41E6-244B-88CB-0D08E5FFF5F9}" srcOrd="0" destOrd="0" presId="urn:microsoft.com/office/officeart/2005/8/layout/chevron2"/>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9238FCA6-6F47-2E4E-AC0C-2209FDA92DAA}" type="presOf" srcId="{46C87E74-5E28-8C46-86B1-98C82A55CBAE}" destId="{6DDDE256-1CA3-1140-A939-5530FC1F57D3}" srcOrd="0" destOrd="0" presId="urn:microsoft.com/office/officeart/2005/8/layout/chevron2"/>
    <dgm:cxn modelId="{37EB19AA-A22C-6247-B6F5-EF9511196299}" type="presOf" srcId="{3F3526C7-6ED1-AA46-BF20-1B9948A084E5}" destId="{06B263AD-CC10-0D49-8145-0C283F585CD5}" srcOrd="0" destOrd="2" presId="urn:microsoft.com/office/officeart/2005/8/layout/chevron2"/>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4" destOrd="0" parTransId="{A4EA5788-EDE5-E443-B24A-EA951734FC41}" sibTransId="{72453AAB-5C0D-2D49-B812-AF99508E8E00}"/>
    <dgm:cxn modelId="{5BF077AD-6F46-1947-828A-5BC3A4B374B2}" type="presOf" srcId="{318E09D1-A59D-2E4B-A3CC-C2FF16965C43}" destId="{E2DE84BA-2462-A242-AC94-46E19F99F1BB}" srcOrd="0" destOrd="1" presId="urn:microsoft.com/office/officeart/2005/8/layout/chevron2"/>
    <dgm:cxn modelId="{A21F99BD-99AB-7C46-ADA9-4A0492754E5A}" type="presOf" srcId="{A8C6C2DC-42DC-4841-8B38-6F4C4E8905E8}" destId="{B88D95AA-AFFF-224F-9EBE-1226F2119586}" srcOrd="0" destOrd="0" presId="urn:microsoft.com/office/officeart/2005/8/layout/chevron2"/>
    <dgm:cxn modelId="{603CBFBF-E4C8-5D4C-B7F0-20F478717EAE}" type="presOf" srcId="{182D19B6-9968-F54C-9803-98CF32A9110D}" destId="{E86BF6A3-BA90-BB43-908F-24E76E7D1587}" srcOrd="0" destOrd="0"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2D4667CC-062B-6549-A12D-B6F242E0BED9}" type="presOf" srcId="{470B27C3-192E-9744-A8B9-22ADC3AC44BD}" destId="{C174B10A-41E6-244B-88CB-0D08E5FFF5F9}" srcOrd="0" destOrd="1" presId="urn:microsoft.com/office/officeart/2005/8/layout/chevron2"/>
    <dgm:cxn modelId="{E2F329CF-5D02-3241-B348-50CB30650C25}" srcId="{182D19B6-9968-F54C-9803-98CF32A9110D}" destId="{318E09D1-A59D-2E4B-A3CC-C2FF16965C43}" srcOrd="1" destOrd="0" parTransId="{692F5075-8AA7-1545-9821-5B796547FE98}" sibTransId="{C3BC74F0-F4E6-BD4C-8197-893C2058CDAE}"/>
    <dgm:cxn modelId="{B3DD5BD6-69E8-2B40-BB06-4F2E5BFA8F50}" type="presOf" srcId="{61A2BB49-4883-F544-A634-4207B0324D62}" destId="{06B263AD-CC10-0D49-8145-0C283F585CD5}" srcOrd="0" destOrd="0" presId="urn:microsoft.com/office/officeart/2005/8/layout/chevron2"/>
    <dgm:cxn modelId="{917E57D9-61CA-CC41-AD9A-EFA29AE2F2F3}" type="presOf" srcId="{125C0A60-1A53-5F41-A8F9-BD71D1144F62}" destId="{C80BEB0B-E1AB-4443-9F91-9D6894D7833E}" srcOrd="0" destOrd="0" presId="urn:microsoft.com/office/officeart/2005/8/layout/chevron2"/>
    <dgm:cxn modelId="{900C6AE3-DCBD-874D-9511-AF31CBFEFD7D}" type="presOf" srcId="{B81682CE-3DAA-7547-977E-5CA5485D7B79}" destId="{E2DE84BA-2462-A242-AC94-46E19F99F1BB}" srcOrd="0" destOrd="3" presId="urn:microsoft.com/office/officeart/2005/8/layout/chevron2"/>
    <dgm:cxn modelId="{67FB42EC-4DAD-5940-B96E-CE90DD117816}" type="presOf" srcId="{718C1A72-EF39-DD4E-BFDE-F45DD7D520FB}" destId="{B3EE9CE6-0ABB-F14B-8299-D4BFC2EC579D}" srcOrd="0" destOrd="0"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89C058ED-E559-8041-8DD3-D7C71914F628}" type="presOf" srcId="{5EFAD456-F8B8-C147-9A38-D366892E8D90}" destId="{ED0EEAAD-1F9F-C445-9ED5-D61D26A0F8D1}" srcOrd="0" destOrd="0" presId="urn:microsoft.com/office/officeart/2005/8/layout/chevron2"/>
    <dgm:cxn modelId="{1CC781ED-5AAB-E749-AAB1-2F5311C79522}" type="presOf" srcId="{93105CB4-0286-ED4F-915C-092EF42A9691}" destId="{CCC28DE8-0568-7547-9A1F-3C6F0F33A2CF}" srcOrd="0" destOrd="0" presId="urn:microsoft.com/office/officeart/2005/8/layout/chevron2"/>
    <dgm:cxn modelId="{D14A18EF-4473-6C4E-A27F-DFD9E10BD422}" type="presOf" srcId="{D4381A80-7F1D-9D4D-8093-B3E6A2F1CFCA}" destId="{9D5418D3-F08D-8545-87B2-2FD7B1D1031E}" srcOrd="0" destOrd="1"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1BD80EF3-C961-7E44-BAD2-20F65C3A22ED}" type="presOf" srcId="{6AEE21D3-4CB1-7443-AC17-5D71D849EEF3}" destId="{28826DD3-E030-6044-B2F2-D85EF85F6960}" srcOrd="0" destOrd="0" presId="urn:microsoft.com/office/officeart/2005/8/layout/chevron2"/>
    <dgm:cxn modelId="{9908D6F4-C0F5-4542-868B-44F5EF4B2245}" srcId="{93105CB4-0286-ED4F-915C-092EF42A9691}" destId="{A177B3ED-63C5-3348-B066-3691D8643EDE}" srcOrd="0" destOrd="0" parTransId="{2716D8C5-47EC-914C-A0C1-738796E8B970}" sibTransId="{8A8CA50E-7D69-3145-B4F9-FFF4F50F2CC8}"/>
    <dgm:cxn modelId="{90EB26F5-2A8F-4B4E-BB42-C4D90C771539}" type="presOf" srcId="{2725BEFC-24C3-E145-86F8-460B0C16124D}" destId="{8BDAA81E-2E4E-9C4A-9A67-4855D9BA1510}" srcOrd="0" destOrd="0" presId="urn:microsoft.com/office/officeart/2005/8/layout/chevron2"/>
    <dgm:cxn modelId="{598240F5-F87C-AE44-8986-2C05586D89F8}" srcId="{32BD5717-A9E6-DD44-A13C-12122D41F212}" destId="{A8C6C2DC-42DC-4841-8B38-6F4C4E8905E8}" srcOrd="8" destOrd="0" parTransId="{8A5F89D1-42B4-1148-8907-D7CC48A00BFD}" sibTransId="{9073B681-2853-EB4F-BA4E-A12B1C47BB5F}"/>
    <dgm:cxn modelId="{EB0CA6F5-7D93-7744-B92C-90F1AFEF8BE6}" type="presOf" srcId="{0D347524-7007-BE43-81AE-44B5DE652093}" destId="{28826DD3-E030-6044-B2F2-D85EF85F6960}" srcOrd="0" destOrd="1" presId="urn:microsoft.com/office/officeart/2005/8/layout/chevron2"/>
    <dgm:cxn modelId="{A3D7ACF7-2BA2-4F49-A0E0-7346B1E54F6B}" srcId="{82A06431-B147-914D-A7EE-B91B75443203}" destId="{0D5E0837-38B9-E148-BB11-F780782A29CB}" srcOrd="2" destOrd="0" parTransId="{22B50FC3-BF2E-BC48-A0D0-DF6C126E5EEE}" sibTransId="{BF3788D2-6547-5A48-A40F-C81D634AEA59}"/>
    <dgm:cxn modelId="{DD9449FA-46F1-D947-8F84-D352D0C4D360}" type="presOf" srcId="{EEF349EC-A16C-6E4F-8464-6BD71940F70C}" destId="{DCD4A931-4F01-F440-965B-DC25AA6FE080}" srcOrd="0" destOrd="2"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F960A67E-6522-4F48-8480-3F47F95F51A7}" type="presParOf" srcId="{DDB27B24-50BA-ED48-8BE9-4C29E6B83259}" destId="{B4D05EFA-2710-E24E-95A8-E5ADA436F1BA}" srcOrd="0" destOrd="0" presId="urn:microsoft.com/office/officeart/2005/8/layout/chevron2"/>
    <dgm:cxn modelId="{3E939BE1-3F05-6F4C-BD17-F6EB42D9EB21}" type="presParOf" srcId="{B4D05EFA-2710-E24E-95A8-E5ADA436F1BA}" destId="{B3EE9CE6-0ABB-F14B-8299-D4BFC2EC579D}" srcOrd="0" destOrd="0" presId="urn:microsoft.com/office/officeart/2005/8/layout/chevron2"/>
    <dgm:cxn modelId="{B14531F2-958E-174D-8190-23630F648804}" type="presParOf" srcId="{B4D05EFA-2710-E24E-95A8-E5ADA436F1BA}" destId="{28826DD3-E030-6044-B2F2-D85EF85F6960}" srcOrd="1" destOrd="0" presId="urn:microsoft.com/office/officeart/2005/8/layout/chevron2"/>
    <dgm:cxn modelId="{5521CF6B-2BF7-C44A-B68C-D8C4C866FDBD}" type="presParOf" srcId="{DDB27B24-50BA-ED48-8BE9-4C29E6B83259}" destId="{585C7840-A253-9640-BBF2-282E7F35583D}" srcOrd="1" destOrd="0" presId="urn:microsoft.com/office/officeart/2005/8/layout/chevron2"/>
    <dgm:cxn modelId="{B6359EE2-445D-D741-8214-4BEFD26980F2}" type="presParOf" srcId="{DDB27B24-50BA-ED48-8BE9-4C29E6B83259}" destId="{725C6BB0-2454-F04B-AEC7-CF75FCBB3A74}" srcOrd="2" destOrd="0" presId="urn:microsoft.com/office/officeart/2005/8/layout/chevron2"/>
    <dgm:cxn modelId="{9F8B518F-2C82-7D4D-B117-F88EAF527CE6}" type="presParOf" srcId="{725C6BB0-2454-F04B-AEC7-CF75FCBB3A74}" destId="{B422BFF3-8BFD-2144-8980-375702EA9496}" srcOrd="0" destOrd="0" presId="urn:microsoft.com/office/officeart/2005/8/layout/chevron2"/>
    <dgm:cxn modelId="{FB2456BD-A8F6-9E4C-9382-482866DB6B71}" type="presParOf" srcId="{725C6BB0-2454-F04B-AEC7-CF75FCBB3A74}" destId="{8BDAA81E-2E4E-9C4A-9A67-4855D9BA1510}" srcOrd="1" destOrd="0" presId="urn:microsoft.com/office/officeart/2005/8/layout/chevron2"/>
    <dgm:cxn modelId="{124A641A-9097-094A-B019-57A58CC9AC96}" type="presParOf" srcId="{DDB27B24-50BA-ED48-8BE9-4C29E6B83259}" destId="{D756A8C3-50EB-084A-8277-DD5831B4E8C7}" srcOrd="3" destOrd="0" presId="urn:microsoft.com/office/officeart/2005/8/layout/chevron2"/>
    <dgm:cxn modelId="{58851FA7-7761-6849-BB9A-B4C9ABC090ED}" type="presParOf" srcId="{DDB27B24-50BA-ED48-8BE9-4C29E6B83259}" destId="{D669929D-DE6F-0D40-8D4A-1736805AD131}" srcOrd="4" destOrd="0" presId="urn:microsoft.com/office/officeart/2005/8/layout/chevron2"/>
    <dgm:cxn modelId="{9A8EFB96-0FBA-CC49-99C9-B491D24D7057}" type="presParOf" srcId="{D669929D-DE6F-0D40-8D4A-1736805AD131}" destId="{A0202F08-BEC9-8F43-8711-F30ADE817D18}" srcOrd="0" destOrd="0" presId="urn:microsoft.com/office/officeart/2005/8/layout/chevron2"/>
    <dgm:cxn modelId="{FD897C57-EBB4-D846-8D00-B16FB82F9532}" type="presParOf" srcId="{D669929D-DE6F-0D40-8D4A-1736805AD131}" destId="{06B263AD-CC10-0D49-8145-0C283F585CD5}" srcOrd="1" destOrd="0" presId="urn:microsoft.com/office/officeart/2005/8/layout/chevron2"/>
    <dgm:cxn modelId="{DBEB2CD4-C4DC-924E-B8A1-852EC2A49EA0}" type="presParOf" srcId="{DDB27B24-50BA-ED48-8BE9-4C29E6B83259}" destId="{B5F0F139-C5B5-F942-A092-8BB086CFFEFA}" srcOrd="5" destOrd="0" presId="urn:microsoft.com/office/officeart/2005/8/layout/chevron2"/>
    <dgm:cxn modelId="{1850D6CE-F36D-BA40-8914-9A0ED31DFE8B}" type="presParOf" srcId="{DDB27B24-50BA-ED48-8BE9-4C29E6B83259}" destId="{A6A53311-4EDF-944C-B7A8-A929BD874343}" srcOrd="6" destOrd="0" presId="urn:microsoft.com/office/officeart/2005/8/layout/chevron2"/>
    <dgm:cxn modelId="{FC76C278-7BCE-6444-A1AF-0FD961E59D15}" type="presParOf" srcId="{A6A53311-4EDF-944C-B7A8-A929BD874343}" destId="{31EA3204-EDC1-4F43-84C9-41DE884256E5}" srcOrd="0" destOrd="0" presId="urn:microsoft.com/office/officeart/2005/8/layout/chevron2"/>
    <dgm:cxn modelId="{E36E6615-F142-B842-940A-1BFA301C57EB}" type="presParOf" srcId="{A6A53311-4EDF-944C-B7A8-A929BD874343}" destId="{9D5418D3-F08D-8545-87B2-2FD7B1D1031E}" srcOrd="1" destOrd="0" presId="urn:microsoft.com/office/officeart/2005/8/layout/chevron2"/>
    <dgm:cxn modelId="{F1C61AFA-3A08-A640-9CD3-AB33391BBFF9}" type="presParOf" srcId="{DDB27B24-50BA-ED48-8BE9-4C29E6B83259}" destId="{BD082DD2-36A2-F841-B83C-3B9BAF4B2B5C}" srcOrd="7" destOrd="0" presId="urn:microsoft.com/office/officeart/2005/8/layout/chevron2"/>
    <dgm:cxn modelId="{8DA85AD7-B437-0844-B878-DFF6C13EDB84}" type="presParOf" srcId="{DDB27B24-50BA-ED48-8BE9-4C29E6B83259}" destId="{C371305F-B72D-3C44-BB22-E50B26871DA6}" srcOrd="8" destOrd="0" presId="urn:microsoft.com/office/officeart/2005/8/layout/chevron2"/>
    <dgm:cxn modelId="{F4E6842D-2211-D747-965D-8AC477906BD2}" type="presParOf" srcId="{C371305F-B72D-3C44-BB22-E50B26871DA6}" destId="{CCC28DE8-0568-7547-9A1F-3C6F0F33A2CF}" srcOrd="0" destOrd="0" presId="urn:microsoft.com/office/officeart/2005/8/layout/chevron2"/>
    <dgm:cxn modelId="{ED0417E8-83E7-ED4A-8F78-4477B4862713}" type="presParOf" srcId="{C371305F-B72D-3C44-BB22-E50B26871DA6}" destId="{F1EE7E3F-25DA-8041-85A7-EBBF11BC4C56}" srcOrd="1" destOrd="0" presId="urn:microsoft.com/office/officeart/2005/8/layout/chevron2"/>
    <dgm:cxn modelId="{4CA6547F-7D18-6C48-9E97-C07D144728B8}" type="presParOf" srcId="{DDB27B24-50BA-ED48-8BE9-4C29E6B83259}" destId="{2C8A0FE6-3CCD-674F-87D7-C945364C8330}" srcOrd="9" destOrd="0" presId="urn:microsoft.com/office/officeart/2005/8/layout/chevron2"/>
    <dgm:cxn modelId="{73205B3B-C7BF-8848-9920-21BE44A22371}" type="presParOf" srcId="{DDB27B24-50BA-ED48-8BE9-4C29E6B83259}" destId="{C8A774E9-C669-9C42-8FD8-567A31043E1A}" srcOrd="10" destOrd="0" presId="urn:microsoft.com/office/officeart/2005/8/layout/chevron2"/>
    <dgm:cxn modelId="{787A502A-6EDB-9741-9658-291DD61FA05E}" type="presParOf" srcId="{C8A774E9-C669-9C42-8FD8-567A31043E1A}" destId="{844AC346-AEB9-A649-8C9D-DBF2769C8FFC}" srcOrd="0" destOrd="0" presId="urn:microsoft.com/office/officeart/2005/8/layout/chevron2"/>
    <dgm:cxn modelId="{A0493077-E073-6645-B6C5-541CAAA3A668}" type="presParOf" srcId="{C8A774E9-C669-9C42-8FD8-567A31043E1A}" destId="{C80BEB0B-E1AB-4443-9F91-9D6894D7833E}" srcOrd="1" destOrd="0" presId="urn:microsoft.com/office/officeart/2005/8/layout/chevron2"/>
    <dgm:cxn modelId="{D5C8071D-38A5-A345-AC2D-D7860CAD14CC}" type="presParOf" srcId="{DDB27B24-50BA-ED48-8BE9-4C29E6B83259}" destId="{59BB4FCD-F10D-9947-BE1C-B71549A60A1E}" srcOrd="11" destOrd="0" presId="urn:microsoft.com/office/officeart/2005/8/layout/chevron2"/>
    <dgm:cxn modelId="{0B4C4D14-8F67-2045-AC94-A324674FD5A6}" type="presParOf" srcId="{DDB27B24-50BA-ED48-8BE9-4C29E6B83259}" destId="{9EA93BB1-069D-5E45-B7BF-50881B2F72E6}" srcOrd="12" destOrd="0" presId="urn:microsoft.com/office/officeart/2005/8/layout/chevron2"/>
    <dgm:cxn modelId="{98C3C753-D4BC-304A-9706-AA2F19471624}" type="presParOf" srcId="{9EA93BB1-069D-5E45-B7BF-50881B2F72E6}" destId="{B9872B13-1174-E847-A615-29577404DF21}" srcOrd="0" destOrd="0" presId="urn:microsoft.com/office/officeart/2005/8/layout/chevron2"/>
    <dgm:cxn modelId="{56336630-FBC1-144E-B3A8-E5630A7EF801}" type="presParOf" srcId="{9EA93BB1-069D-5E45-B7BF-50881B2F72E6}" destId="{DCD4A931-4F01-F440-965B-DC25AA6FE080}" srcOrd="1" destOrd="0" presId="urn:microsoft.com/office/officeart/2005/8/layout/chevron2"/>
    <dgm:cxn modelId="{6D8F4B06-BD7F-D54D-A830-01777D1E7C9C}" type="presParOf" srcId="{DDB27B24-50BA-ED48-8BE9-4C29E6B83259}" destId="{201CAB8F-4C7F-6E4E-9169-C9E7B5CBE404}" srcOrd="13" destOrd="0" presId="urn:microsoft.com/office/officeart/2005/8/layout/chevron2"/>
    <dgm:cxn modelId="{156BF958-B318-6A42-A9F1-F5F32DC632F6}" type="presParOf" srcId="{DDB27B24-50BA-ED48-8BE9-4C29E6B83259}" destId="{C588B7A2-4017-6643-93CD-7EB3E7875B06}" srcOrd="14" destOrd="0" presId="urn:microsoft.com/office/officeart/2005/8/layout/chevron2"/>
    <dgm:cxn modelId="{232A0B2E-E019-C441-B470-0622D2529515}" type="presParOf" srcId="{C588B7A2-4017-6643-93CD-7EB3E7875B06}" destId="{E86BF6A3-BA90-BB43-908F-24E76E7D1587}" srcOrd="0" destOrd="0" presId="urn:microsoft.com/office/officeart/2005/8/layout/chevron2"/>
    <dgm:cxn modelId="{FD72D7E5-56CA-4E43-8A0B-915DAF72BE84}" type="presParOf" srcId="{C588B7A2-4017-6643-93CD-7EB3E7875B06}" destId="{E2DE84BA-2462-A242-AC94-46E19F99F1BB}" srcOrd="1" destOrd="0" presId="urn:microsoft.com/office/officeart/2005/8/layout/chevron2"/>
    <dgm:cxn modelId="{23C2832E-8800-D04E-88C1-1EE811DEC6C8}" type="presParOf" srcId="{DDB27B24-50BA-ED48-8BE9-4C29E6B83259}" destId="{C2AB1E69-06F4-D043-944B-D85D9601ACA6}" srcOrd="15" destOrd="0" presId="urn:microsoft.com/office/officeart/2005/8/layout/chevron2"/>
    <dgm:cxn modelId="{0DCEE016-C804-9F4F-85C0-977DF5277D90}" type="presParOf" srcId="{DDB27B24-50BA-ED48-8BE9-4C29E6B83259}" destId="{51C6866E-9F56-9A45-ADF2-6F81F533274A}" srcOrd="16" destOrd="0" presId="urn:microsoft.com/office/officeart/2005/8/layout/chevron2"/>
    <dgm:cxn modelId="{11EFD341-442C-3147-A254-5B2DA3BCD76F}" type="presParOf" srcId="{51C6866E-9F56-9A45-ADF2-6F81F533274A}" destId="{B88D95AA-AFFF-224F-9EBE-1226F2119586}" srcOrd="0" destOrd="0" presId="urn:microsoft.com/office/officeart/2005/8/layout/chevron2"/>
    <dgm:cxn modelId="{3226AE6F-AFE1-084E-81CF-AACE1D156725}" type="presParOf" srcId="{51C6866E-9F56-9A45-ADF2-6F81F533274A}" destId="{BC4A5DFE-0373-0044-B473-93ADEF2A2324}" srcOrd="1" destOrd="0" presId="urn:microsoft.com/office/officeart/2005/8/layout/chevron2"/>
    <dgm:cxn modelId="{EA1A1809-82C9-4543-90DD-0D273706B2CC}" type="presParOf" srcId="{DDB27B24-50BA-ED48-8BE9-4C29E6B83259}" destId="{01E3A2D8-2E7D-6941-B2B2-FA006E31EF08}" srcOrd="17" destOrd="0" presId="urn:microsoft.com/office/officeart/2005/8/layout/chevron2"/>
    <dgm:cxn modelId="{7818991B-F13C-5648-817D-065054741C24}" type="presParOf" srcId="{DDB27B24-50BA-ED48-8BE9-4C29E6B83259}" destId="{37D2DAC8-74EC-BF4C-831D-920A9C40B9D5}" srcOrd="18" destOrd="0" presId="urn:microsoft.com/office/officeart/2005/8/layout/chevron2"/>
    <dgm:cxn modelId="{9F2FDBC3-FFBF-A44D-86D3-98432CAF6839}" type="presParOf" srcId="{37D2DAC8-74EC-BF4C-831D-920A9C40B9D5}" destId="{ED0EEAAD-1F9F-C445-9ED5-D61D26A0F8D1}" srcOrd="0" destOrd="0" presId="urn:microsoft.com/office/officeart/2005/8/layout/chevron2"/>
    <dgm:cxn modelId="{4A66D276-1D2B-5245-9322-B40BBA8CE218}" type="presParOf" srcId="{37D2DAC8-74EC-BF4C-831D-920A9C40B9D5}" destId="{C174B10A-41E6-244B-88CB-0D08E5FFF5F9}" srcOrd="1" destOrd="0" presId="urn:microsoft.com/office/officeart/2005/8/layout/chevron2"/>
    <dgm:cxn modelId="{643ED9D4-9CE6-2F4C-A396-CE50B1E7FB09}" type="presParOf" srcId="{DDB27B24-50BA-ED48-8BE9-4C29E6B83259}" destId="{43FB22C6-B891-E44F-B0D7-B9F71AB372F1}" srcOrd="19" destOrd="0" presId="urn:microsoft.com/office/officeart/2005/8/layout/chevron2"/>
    <dgm:cxn modelId="{EC3E845F-6607-5D42-9330-D9432A3CB13C}" type="presParOf" srcId="{DDB27B24-50BA-ED48-8BE9-4C29E6B83259}" destId="{73DF1BD6-49ED-134F-A291-CE4DB94547A9}" srcOrd="20" destOrd="0" presId="urn:microsoft.com/office/officeart/2005/8/layout/chevron2"/>
    <dgm:cxn modelId="{3B2F6A9A-98CE-F946-AC17-0DA36F52BD32}" type="presParOf" srcId="{73DF1BD6-49ED-134F-A291-CE4DB94547A9}" destId="{6DDDE256-1CA3-1140-A939-5530FC1F57D3}" srcOrd="0" destOrd="0" presId="urn:microsoft.com/office/officeart/2005/8/layout/chevron2"/>
    <dgm:cxn modelId="{34DA2876-F453-7248-93B5-96F533CE5C4E}" type="presParOf" srcId="{73DF1BD6-49ED-134F-A291-CE4DB94547A9}" destId="{999FDDA9-9F6A-1143-BE3C-B1E07CBE9945}" srcOrd="1" destOrd="0" presId="urn:microsoft.com/office/officeart/2005/8/layout/chevron2"/>
    <dgm:cxn modelId="{9656ABAF-531B-3D49-B988-814E572351BB}" type="presParOf" srcId="{DDB27B24-50BA-ED48-8BE9-4C29E6B83259}" destId="{A73ECDF3-49A4-0948-BD1F-387AF7BD3FC1}" srcOrd="21" destOrd="0" presId="urn:microsoft.com/office/officeart/2005/8/layout/chevron2"/>
    <dgm:cxn modelId="{4F1B299A-749F-8241-9DF3-074A8B4FD41C}" type="presParOf" srcId="{DDB27B24-50BA-ED48-8BE9-4C29E6B83259}" destId="{F2D2A481-D011-064A-92C0-32CD4D676904}" srcOrd="22" destOrd="0" presId="urn:microsoft.com/office/officeart/2005/8/layout/chevron2"/>
    <dgm:cxn modelId="{081ACA07-B5CB-CB49-9183-AF7DD1C3F0BA}" type="presParOf" srcId="{F2D2A481-D011-064A-92C0-32CD4D676904}" destId="{48AF7672-2483-B34A-B763-89BD09AEBA58}" srcOrd="0" destOrd="0" presId="urn:microsoft.com/office/officeart/2005/8/layout/chevron2"/>
    <dgm:cxn modelId="{E07E8200-7205-3E44-A7DB-D3DFDDC71134}"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184"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&amp;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3: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4: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5: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a:solidFill>
          <a:srgbClr val="953735"/>
        </a:solidFill>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9C5294FC-3A64-EA4A-B680-50E76DE76779}">
      <dgm:prSet phldrT="[Text]"/>
      <dgm:spPr/>
      <dgm:t>
        <a:bodyPr/>
        <a:lstStyle/>
        <a:p>
          <a:r>
            <a:rPr lang="en-US"/>
            <a:t>Responsibility</a:t>
          </a:r>
        </a:p>
      </dgm:t>
    </dgm:pt>
    <dgm:pt modelId="{5F1A8EE0-6485-2443-99AA-16C0F63C3D40}" type="parTrans" cxnId="{64E1514E-CA71-F44D-B665-B9837340D19C}">
      <dgm:prSet/>
      <dgm:spPr/>
      <dgm:t>
        <a:bodyPr/>
        <a:lstStyle/>
        <a:p>
          <a:endParaRPr lang="en-US"/>
        </a:p>
      </dgm:t>
    </dgm:pt>
    <dgm:pt modelId="{A7977C80-6DBC-3A47-B45A-37A24A399643}" type="sibTrans" cxnId="{64E1514E-CA71-F44D-B665-B9837340D19C}">
      <dgm:prSet/>
      <dgm:spPr/>
      <dgm:t>
        <a:bodyPr/>
        <a:lstStyle/>
        <a:p>
          <a:endParaRPr lang="en-US"/>
        </a:p>
      </dgm:t>
    </dgm:pt>
    <dgm:pt modelId="{A83F0857-8856-AA4C-8DCE-184B522B5DF8}">
      <dgm:prSet phldrT="[Text]"/>
      <dgm:spPr/>
      <dgm:t>
        <a:bodyPr/>
        <a:lstStyle/>
        <a:p>
          <a:r>
            <a:rPr lang="en-US"/>
            <a:t>Simulation for assessment</a:t>
          </a:r>
        </a:p>
      </dgm:t>
    </dgm:pt>
    <dgm:pt modelId="{B9D65183-9631-2E46-8AF3-CF8AFE0C12C5}" type="parTrans" cxnId="{529E4EA2-B1C1-3B42-A545-F318AA29A6C3}">
      <dgm:prSet/>
      <dgm:spPr/>
      <dgm:t>
        <a:bodyPr/>
        <a:lstStyle/>
        <a:p>
          <a:endParaRPr lang="en-US"/>
        </a:p>
      </dgm:t>
    </dgm:pt>
    <dgm:pt modelId="{0CFE4225-0C11-8F4F-A40D-95A5530C2623}" type="sibTrans" cxnId="{529E4EA2-B1C1-3B42-A545-F318AA29A6C3}">
      <dgm:prSet/>
      <dgm:spPr/>
      <dgm:t>
        <a:bodyPr/>
        <a:lstStyle/>
        <a:p>
          <a:endParaRPr lang="en-US"/>
        </a:p>
      </dgm:t>
    </dgm:pt>
    <dgm:pt modelId="{975A99F2-39CD-764B-8ABC-BE6DF62FF642}">
      <dgm:prSet phldrT="[Text]"/>
      <dgm:spPr/>
      <dgm:t>
        <a:bodyPr/>
        <a:lstStyle/>
        <a:p>
          <a:r>
            <a:rPr lang="en-US"/>
            <a:t>8. Triangulation</a:t>
          </a:r>
        </a:p>
      </dgm:t>
    </dgm:pt>
    <dgm:pt modelId="{AC925B31-C590-074C-AED3-66DFC96FD6FE}" type="parTrans" cxnId="{C6A413CD-9603-284D-A793-562A1E393E2A}">
      <dgm:prSet/>
      <dgm:spPr/>
      <dgm:t>
        <a:bodyPr/>
        <a:lstStyle/>
        <a:p>
          <a:endParaRPr lang="en-US"/>
        </a:p>
      </dgm:t>
    </dgm:pt>
    <dgm:pt modelId="{1F169E30-E6E6-614E-9E16-CD31418C175C}" type="sibTrans" cxnId="{C6A413CD-9603-284D-A793-562A1E393E2A}">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2" presStyleCnt="13">
        <dgm:presLayoutVars>
          <dgm:chMax val="1"/>
          <dgm:bulletEnabled val="1"/>
        </dgm:presLayoutVars>
      </dgm:prSet>
      <dgm:spPr/>
    </dgm:pt>
    <dgm:pt modelId="{F1EE7E3F-25DA-8041-85A7-EBBF11BC4C56}" type="pres">
      <dgm:prSet presAssocID="{93105CB4-0286-ED4F-915C-092EF42A9691}" presName="descendantText" presStyleLbl="alignAcc1" presStyleIdx="2" presStyleCnt="13">
        <dgm:presLayoutVars>
          <dgm:bulletEnabled val="1"/>
        </dgm:presLayoutVars>
      </dgm:prSet>
      <dgm:spPr/>
    </dgm:pt>
    <dgm:pt modelId="{2C8A0FE6-3CCD-674F-87D7-C945364C8330}" type="pres">
      <dgm:prSet presAssocID="{72453AAB-5C0D-2D49-B812-AF99508E8E00}"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3" presStyleCnt="13">
        <dgm:presLayoutVars>
          <dgm:chMax val="1"/>
          <dgm:bulletEnabled val="1"/>
        </dgm:presLayoutVars>
      </dgm:prSet>
      <dgm:spPr/>
    </dgm:pt>
    <dgm:pt modelId="{06B263AD-CC10-0D49-8145-0C283F585CD5}" type="pres">
      <dgm:prSet presAssocID="{8A942072-3D9B-2043-8B2E-11E707170D7E}" presName="descendantText" presStyleLbl="alignAcc1" presStyleIdx="3"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4" presStyleCnt="13">
        <dgm:presLayoutVars>
          <dgm:chMax val="1"/>
          <dgm:bulletEnabled val="1"/>
        </dgm:presLayoutVars>
      </dgm:prSet>
      <dgm:spPr/>
    </dgm:pt>
    <dgm:pt modelId="{9D5418D3-F08D-8545-87B2-2FD7B1D1031E}" type="pres">
      <dgm:prSet presAssocID="{82A06431-B147-914D-A7EE-B91B75443203}" presName="descendantText" presStyleLbl="alignAcc1" presStyleIdx="4" presStyleCnt="13">
        <dgm:presLayoutVars>
          <dgm:bulletEnabled val="1"/>
        </dgm:presLayoutVars>
      </dgm:prSet>
      <dgm:spPr/>
    </dgm:pt>
    <dgm:pt modelId="{BD082DD2-36A2-F841-B83C-3B9BAF4B2B5C}" type="pres">
      <dgm:prSet presAssocID="{2927117D-194C-1341-932F-5623EB51389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6D4C5D56-D770-6B40-8468-FE06C51D0C51}" type="pres">
      <dgm:prSet presAssocID="{975A99F2-39CD-764B-8ABC-BE6DF62FF642}" presName="composite" presStyleCnt="0"/>
      <dgm:spPr/>
    </dgm:pt>
    <dgm:pt modelId="{7084F658-3BB1-D447-B8C5-A6837F15B277}" type="pres">
      <dgm:prSet presAssocID="{975A99F2-39CD-764B-8ABC-BE6DF62FF642}" presName="parentText" presStyleLbl="alignNode1" presStyleIdx="7" presStyleCnt="13">
        <dgm:presLayoutVars>
          <dgm:chMax val="1"/>
          <dgm:bulletEnabled val="1"/>
        </dgm:presLayoutVars>
      </dgm:prSet>
      <dgm:spPr/>
    </dgm:pt>
    <dgm:pt modelId="{3D55146F-789B-2249-B6B6-C45CABF1EF76}" type="pres">
      <dgm:prSet presAssocID="{975A99F2-39CD-764B-8ABC-BE6DF62FF642}" presName="descendantText" presStyleLbl="alignAcc1" presStyleIdx="7" presStyleCnt="13">
        <dgm:presLayoutVars>
          <dgm:bulletEnabled val="1"/>
        </dgm:presLayoutVars>
      </dgm:prSet>
      <dgm:spPr/>
    </dgm:pt>
    <dgm:pt modelId="{15B9DFC4-F1C0-294F-B798-3B1477D4801A}" type="pres">
      <dgm:prSet presAssocID="{1F169E30-E6E6-614E-9E16-CD31418C175C}"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a:solidFill>
          <a:srgbClr val="953735">
            <a:alpha val="90000"/>
          </a:srgbClr>
        </a:solidFill>
      </dgm:spPr>
    </dgm:pt>
  </dgm:ptLst>
  <dgm:cxnLst>
    <dgm:cxn modelId="{F220AC08-4883-3F46-BB4C-2E8CE9E5ACD2}" type="presOf" srcId="{61A2BB49-4883-F544-A634-4207B0324D62}" destId="{06B263AD-CC10-0D49-8145-0C283F585CD5}" srcOrd="0" destOrd="0"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EC821C11-E112-C144-8FBE-5E7A26AA24DA}" type="presOf" srcId="{318E09D1-A59D-2E4B-A3CC-C2FF16965C43}" destId="{E2DE84BA-2462-A242-AC94-46E19F99F1BB}" srcOrd="0" destOrd="1" presId="urn:microsoft.com/office/officeart/2005/8/layout/chevron2"/>
    <dgm:cxn modelId="{9737A014-77AA-2343-9EF8-1AB62E400960}" srcId="{975A99F2-39CD-764B-8ABC-BE6DF62FF642}" destId="{0B5EEED9-AADF-5646-A4EE-16C7E3C5048F}" srcOrd="0" destOrd="0" parTransId="{5F63AFFB-8796-8145-8196-16BA65A8913E}" sibTransId="{6369732A-4608-D04B-9932-9F2E14769A9F}"/>
    <dgm:cxn modelId="{425A741B-9872-3A46-B4DA-D764BFE4CD8B}" srcId="{32BD5717-A9E6-DD44-A13C-12122D41F212}" destId="{182D19B6-9968-F54C-9803-98CF32A9110D}" srcOrd="8" destOrd="0" parTransId="{19120E65-5B26-BC4A-9EFF-5512A25AEB14}" sibTransId="{259ED567-5FE2-2F45-B806-60F8702E00F5}"/>
    <dgm:cxn modelId="{9CE2DB20-913E-4542-A3C4-541ABF07EDA8}" type="presOf" srcId="{332543FB-BB1C-DE43-B140-C2BB789BBCB2}" destId="{B422BFF3-8BFD-2144-8980-375702EA9496}" srcOrd="0" destOrd="0" presId="urn:microsoft.com/office/officeart/2005/8/layout/chevron2"/>
    <dgm:cxn modelId="{3AB15121-A7FA-7D43-B219-AECDC1D81208}" type="presOf" srcId="{718C1A72-EF39-DD4E-BFDE-F45DD7D520FB}" destId="{B3EE9CE6-0ABB-F14B-8299-D4BFC2EC579D}" srcOrd="0" destOrd="0"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5A4AFD26-12A8-6645-B72C-2CC2D6CC688A}" type="presOf" srcId="{34B9CBCA-90AD-D946-B26E-3A6E60BB731E}" destId="{B9872B13-1174-E847-A615-29577404DF21}" srcOrd="0" destOrd="0" presId="urn:microsoft.com/office/officeart/2005/8/layout/chevron2"/>
    <dgm:cxn modelId="{7A4E2828-25EB-B743-8EAB-09A42637F2A9}" type="presOf" srcId="{0D5E0837-38B9-E148-BB11-F780782A29CB}" destId="{9D5418D3-F08D-8545-87B2-2FD7B1D1031E}" srcOrd="0" destOrd="2"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0421B430-3ECE-7B46-8BF5-06ADCEC9536F}" type="presOf" srcId="{6AEE21D3-4CB1-7443-AC17-5D71D849EEF3}" destId="{28826DD3-E030-6044-B2F2-D85EF85F6960}" srcOrd="0" destOrd="0"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AC9D8B35-3E35-964E-B49F-8C40FB3AF24D}" srcId="{182D19B6-9968-F54C-9803-98CF32A9110D}" destId="{E8835EC0-86EE-3540-9564-983F3D69B9B0}" srcOrd="4" destOrd="0" parTransId="{3507EF78-030C-2546-8CBB-075D7261FCDE}" sibTransId="{7BBE6FC9-195F-5E44-BEAA-03BE4D719D22}"/>
    <dgm:cxn modelId="{C67DC537-D4CA-2944-8330-96C6C74E0394}" srcId="{32BD5717-A9E6-DD44-A13C-12122D41F212}" destId="{34B9CBCA-90AD-D946-B26E-3A6E60BB731E}" srcOrd="6" destOrd="0" parTransId="{9332FC5B-2DEC-D146-AE72-41CD6249A702}" sibTransId="{1031D2A7-8DEF-E945-AA90-68FD6C34AE22}"/>
    <dgm:cxn modelId="{D0D66A38-66EA-9549-AC41-49770A81D9AC}" type="presOf" srcId="{BE8AC978-0FAD-5E4D-B281-1B7DC61EC809}" destId="{C80BEB0B-E1AB-4443-9F91-9D6894D7833E}" srcOrd="0" destOrd="1" presId="urn:microsoft.com/office/officeart/2005/8/layout/chevron2"/>
    <dgm:cxn modelId="{07FC653C-C72C-6F4F-910D-8E783911DA15}" type="presOf" srcId="{46C87E74-5E28-8C46-86B1-98C82A55CBAE}" destId="{6DDDE256-1CA3-1140-A939-5530FC1F57D3}" srcOrd="0" destOrd="0" presId="urn:microsoft.com/office/officeart/2005/8/layout/chevron2"/>
    <dgm:cxn modelId="{173C723C-C252-984B-90D0-4E97D2AE32FB}" type="presOf" srcId="{555C02C0-6BC9-D540-8A82-3666CC61D37F}" destId="{DCD4A931-4F01-F440-965B-DC25AA6FE080}" srcOrd="0" destOrd="0"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64D8883F-CCF0-B645-84C0-77E62C694E93}" type="presOf" srcId="{387817B1-B48E-804E-9741-307C0F8B2DA9}" destId="{BC4A5DFE-0373-0044-B473-93ADEF2A2324}" srcOrd="0" destOrd="1" presId="urn:microsoft.com/office/officeart/2005/8/layout/chevron2"/>
    <dgm:cxn modelId="{245BCA40-025E-3E4E-A497-A0EFCDDC25C1}" srcId="{82A06431-B147-914D-A7EE-B91B75443203}" destId="{65337D44-9B2C-044E-AEF9-F665764413CE}" srcOrd="0" destOrd="0" parTransId="{8263CB8A-2179-EA47-A0B9-C16619EE08D6}" sibTransId="{D95EDDE2-EB68-4C45-BB0E-BC77264A5A49}"/>
    <dgm:cxn modelId="{65DDB55B-8D66-A94C-9686-CDC335ED5B78}" type="presOf" srcId="{975A99F2-39CD-764B-8ABC-BE6DF62FF642}" destId="{7084F658-3BB1-D447-B8C5-A6837F15B277}" srcOrd="0" destOrd="0" presId="urn:microsoft.com/office/officeart/2005/8/layout/chevron2"/>
    <dgm:cxn modelId="{B14AB041-ECEA-4546-8FC0-5FA93080C98A}" type="presOf" srcId="{A177B3ED-63C5-3348-B066-3691D8643EDE}" destId="{F1EE7E3F-25DA-8041-85A7-EBBF11BC4C56}" srcOrd="0" destOrd="0" presId="urn:microsoft.com/office/officeart/2005/8/layout/chevron2"/>
    <dgm:cxn modelId="{287D6F42-93F4-F543-A6B2-1B34DCB40179}" type="presOf" srcId="{2725BEFC-24C3-E145-86F8-460B0C16124D}" destId="{8BDAA81E-2E4E-9C4A-9A67-4855D9BA1510}" srcOrd="0" destOrd="0" presId="urn:microsoft.com/office/officeart/2005/8/layout/chevron2"/>
    <dgm:cxn modelId="{F776B442-1B5D-754F-8244-5CBC107C764A}" type="presOf" srcId="{182D19B6-9968-F54C-9803-98CF32A9110D}" destId="{E86BF6A3-BA90-BB43-908F-24E76E7D1587}" srcOrd="0" destOrd="0" presId="urn:microsoft.com/office/officeart/2005/8/layout/chevron2"/>
    <dgm:cxn modelId="{4EE1DA67-F5BF-AB49-8FA3-E6C7D652E940}" type="presOf" srcId="{E6055D9E-1DDE-A243-A8F6-5CDF160A3724}" destId="{C174B10A-41E6-244B-88CB-0D08E5FFF5F9}" srcOrd="0" destOrd="0"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8E18484B-5655-D747-AE43-1894843123E2}" type="presOf" srcId="{7438286E-8350-184E-82B3-3AAEF5F4B429}" destId="{8BDAA81E-2E4E-9C4A-9A67-4855D9BA1510}" srcOrd="0" destOrd="2" presId="urn:microsoft.com/office/officeart/2005/8/layout/chevron2"/>
    <dgm:cxn modelId="{F14CA34B-9894-8247-9BC7-8D2E6EC84AD8}" type="presOf" srcId="{D4381A80-7F1D-9D4D-8093-B3E6A2F1CFCA}" destId="{9D5418D3-F08D-8545-87B2-2FD7B1D1031E}" srcOrd="0" destOrd="1" presId="urn:microsoft.com/office/officeart/2005/8/layout/chevron2"/>
    <dgm:cxn modelId="{8E062E4D-AA93-CB44-A0AC-F749EB20F43A}" srcId="{32BD5717-A9E6-DD44-A13C-12122D41F212}" destId="{82A06431-B147-914D-A7EE-B91B75443203}" srcOrd="4" destOrd="0" parTransId="{13C96808-67BD-174F-B855-16ACA3400941}" sibTransId="{2927117D-194C-1341-932F-5623EB513890}"/>
    <dgm:cxn modelId="{64E1514E-CA71-F44D-B665-B9837340D19C}" srcId="{5EFAD456-F8B8-C147-9A38-D366892E8D90}" destId="{9C5294FC-3A64-EA4A-B680-50E76DE76779}" srcOrd="1" destOrd="0" parTransId="{5F1A8EE0-6485-2443-99AA-16C0F63C3D40}" sibTransId="{A7977C80-6DBC-3A47-B45A-37A24A399643}"/>
    <dgm:cxn modelId="{8B7C2170-F9EA-0944-924B-CAAB6B3D123A}" type="presOf" srcId="{4E401C2C-4000-C040-828A-EB0D5B3F70BC}" destId="{8BDAA81E-2E4E-9C4A-9A67-4855D9BA1510}" srcOrd="0" destOrd="1"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25370E52-6F4F-8142-AC78-694F97A61175}" type="presOf" srcId="{32BD5717-A9E6-DD44-A13C-12122D41F212}" destId="{DDB27B24-50BA-ED48-8BE9-4C29E6B83259}" srcOrd="0" destOrd="0" presId="urn:microsoft.com/office/officeart/2005/8/layout/chevron2"/>
    <dgm:cxn modelId="{3D0C5B72-575A-DC49-991E-34DC73023991}" type="presOf" srcId="{0D347524-7007-BE43-81AE-44B5DE652093}" destId="{28826DD3-E030-6044-B2F2-D85EF85F6960}" srcOrd="0" destOrd="1" presId="urn:microsoft.com/office/officeart/2005/8/layout/chevron2"/>
    <dgm:cxn modelId="{EBCA7454-0A4D-574C-AF9E-ACF2192F6A69}" srcId="{34B9CBCA-90AD-D946-B26E-3A6E60BB731E}" destId="{EEF349EC-A16C-6E4F-8464-6BD71940F70C}" srcOrd="2" destOrd="0" parTransId="{4EF4EBD5-8084-7D4A-BB5E-4EF2C5C94F99}" sibTransId="{A325D897-3CF3-2444-BCE0-FB27A2B93D02}"/>
    <dgm:cxn modelId="{7CCA3577-052A-E54E-8A65-B79C9D3D7282}" srcId="{32BD5717-A9E6-DD44-A13C-12122D41F212}" destId="{5EFAD456-F8B8-C147-9A38-D366892E8D90}" srcOrd="10" destOrd="0" parTransId="{AEC4A29C-080E-714E-8C55-A165817C6F84}" sibTransId="{69AAF0EB-9438-D048-8CCB-3ADC0E6ED07B}"/>
    <dgm:cxn modelId="{4E3B7B59-6035-F341-8E0B-847A23A37039}" type="presOf" srcId="{A8C6C2DC-42DC-4841-8B38-6F4C4E8905E8}" destId="{B88D95AA-AFFF-224F-9EBE-1226F2119586}" srcOrd="0" destOrd="0" presId="urn:microsoft.com/office/officeart/2005/8/layout/chevron2"/>
    <dgm:cxn modelId="{FED1177A-E4A3-FD4E-87B3-C43EDCCB9CD1}" type="presOf" srcId="{65337D44-9B2C-044E-AEF9-F665764413CE}" destId="{9D5418D3-F08D-8545-87B2-2FD7B1D1031E}" srcOrd="0" destOrd="0" presId="urn:microsoft.com/office/officeart/2005/8/layout/chevron2"/>
    <dgm:cxn modelId="{941CFF7A-D638-8A4B-8278-95DAB8637AEE}" srcId="{32BD5717-A9E6-DD44-A13C-12122D41F212}" destId="{8A942072-3D9B-2043-8B2E-11E707170D7E}" srcOrd="3" destOrd="0" parTransId="{F49F7276-856F-E64E-8188-3D686B4D473E}" sibTransId="{393ABEA7-D1FC-994A-9DCC-A33FEBFF19A8}"/>
    <dgm:cxn modelId="{9D206A7C-7345-E94C-B7DD-1C8F1D760FD7}" type="presOf" srcId="{CF8D6B60-3FEF-0048-B019-B0883DEB78C2}" destId="{06B263AD-CC10-0D49-8145-0C283F585CD5}" srcOrd="0" destOrd="1" presId="urn:microsoft.com/office/officeart/2005/8/layout/chevron2"/>
    <dgm:cxn modelId="{759B727C-F170-CB44-B32F-469BA669930A}" srcId="{332543FB-BB1C-DE43-B140-C2BB789BBCB2}" destId="{7438286E-8350-184E-82B3-3AAEF5F4B429}" srcOrd="2" destOrd="0" parTransId="{E8AA2A5B-C348-8248-9D0D-C0147AC7D7FA}" sibTransId="{DDE64E92-A7DB-1F46-870A-4BB5B715BA64}"/>
    <dgm:cxn modelId="{ECFBFE7E-F811-3A4B-BD8A-3395500A52BF}" type="presOf" srcId="{AB849386-BBEF-244B-A2A1-1BE27622D72F}" destId="{844AC346-AEB9-A649-8C9D-DBF2769C8FFC}" srcOrd="0" destOrd="0" presId="urn:microsoft.com/office/officeart/2005/8/layout/chevron2"/>
    <dgm:cxn modelId="{ED446C80-9BC8-D84B-AF3A-D7524F3DDD3F}" type="presOf" srcId="{2D2AF18A-8B4F-6F43-ABC1-76E3735A0A2A}" destId="{BC4A5DFE-0373-0044-B473-93ADEF2A2324}" srcOrd="0" destOrd="0" presId="urn:microsoft.com/office/officeart/2005/8/layout/chevron2"/>
    <dgm:cxn modelId="{C2637380-4378-9541-964A-D6E21D69FAFC}" srcId="{34B9CBCA-90AD-D946-B26E-3A6E60BB731E}" destId="{817AAD11-541C-8040-B8E6-60D63F44FF6E}" srcOrd="1" destOrd="0" parTransId="{820D5C7D-3565-B841-B802-D79FD186F3F0}" sibTransId="{DBDC58F4-53C2-3143-8B2E-16E385E444FB}"/>
    <dgm:cxn modelId="{FCBD0E81-3AB0-BA47-9FDF-FC03410D7A40}" type="presOf" srcId="{125C0A60-1A53-5F41-A8F9-BD71D1144F62}" destId="{C80BEB0B-E1AB-4443-9F91-9D6894D7833E}" srcOrd="0" destOrd="0" presId="urn:microsoft.com/office/officeart/2005/8/layout/chevron2"/>
    <dgm:cxn modelId="{5C92068B-198A-5F49-969B-1623C31F7668}" type="presOf" srcId="{EE4687FF-DC98-3D4A-8B1D-75DD628798CF}" destId="{BC4A5DFE-0373-0044-B473-93ADEF2A2324}" srcOrd="0" destOrd="2"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55E9E08D-3612-E046-AB4C-0591425D5C52}" type="presOf" srcId="{82A06431-B147-914D-A7EE-B91B75443203}" destId="{31EA3204-EDC1-4F43-84C9-41DE884256E5}" srcOrd="0" destOrd="0" presId="urn:microsoft.com/office/officeart/2005/8/layout/chevron2"/>
    <dgm:cxn modelId="{46271C92-3040-DE4E-81F9-BA8A716637BE}" type="presOf" srcId="{3528BF8B-944A-1B4D-ADBB-12D941C8C388}" destId="{E2DE84BA-2462-A242-AC94-46E19F99F1BB}" srcOrd="0" destOrd="0"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06495397-CAFB-8346-B6DD-C62B8755406E}" srcId="{93105CB4-0286-ED4F-915C-092EF42A9691}" destId="{14C4AACB-BBED-FD43-880C-31C843F0061A}" srcOrd="1" destOrd="0" parTransId="{DFED4DE2-2306-C34E-907E-763B913F06DC}" sibTransId="{8C3CD2B7-B9B1-6B48-BD9C-4F4D55283F81}"/>
    <dgm:cxn modelId="{7B9A4C9F-40AE-B146-BF96-CB5D6E341964}" type="presOf" srcId="{8A942072-3D9B-2043-8B2E-11E707170D7E}" destId="{A0202F08-BEC9-8F43-8711-F30ADE817D18}" srcOrd="0" destOrd="0" presId="urn:microsoft.com/office/officeart/2005/8/layout/chevron2"/>
    <dgm:cxn modelId="{C2A5ACA1-F1A9-1347-BEAB-34809B48CF85}" srcId="{32BD5717-A9E6-DD44-A13C-12122D41F212}" destId="{46C87E74-5E28-8C46-86B1-98C82A55CBAE}" srcOrd="11" destOrd="0" parTransId="{2A9B7400-96EA-AD40-9D11-2744CE1FE9E5}" sibTransId="{04801474-7BFD-AC4B-9CCF-28521DEC6DB6}"/>
    <dgm:cxn modelId="{529E4EA2-B1C1-3B42-A545-F318AA29A6C3}" srcId="{5EFAD456-F8B8-C147-9A38-D366892E8D90}" destId="{A83F0857-8856-AA4C-8DCE-184B522B5DF8}" srcOrd="2" destOrd="0" parTransId="{B9D65183-9631-2E46-8AF3-CF8AFE0C12C5}" sibTransId="{0CFE4225-0C11-8F4F-A40D-95A5530C2623}"/>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BFF3D2A5-415F-7B48-B2B5-8C9672B4EB90}" type="presOf" srcId="{18ABC2A5-DCE7-414C-AE08-6EAE4EA2FE6D}" destId="{E2DE84BA-2462-A242-AC94-46E19F99F1BB}" srcOrd="0" destOrd="2" presId="urn:microsoft.com/office/officeart/2005/8/layout/chevron2"/>
    <dgm:cxn modelId="{E49A92A9-466D-8E4A-A7D1-69CDC5F0EC9E}" type="presOf" srcId="{0B5EEED9-AADF-5646-A4EE-16C7E3C5048F}" destId="{3D55146F-789B-2249-B6B6-C45CABF1EF76}" srcOrd="0" destOrd="0" presId="urn:microsoft.com/office/officeart/2005/8/layout/chevron2"/>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2" destOrd="0" parTransId="{A4EA5788-EDE5-E443-B24A-EA951734FC41}" sibTransId="{72453AAB-5C0D-2D49-B812-AF99508E8E00}"/>
    <dgm:cxn modelId="{E806E3B1-8A94-A14E-B3D1-68CDC8CA38C4}" type="presOf" srcId="{C458704A-A6F3-A24F-B50F-7B434CD11794}" destId="{28826DD3-E030-6044-B2F2-D85EF85F6960}" srcOrd="0" destOrd="2" presId="urn:microsoft.com/office/officeart/2005/8/layout/chevron2"/>
    <dgm:cxn modelId="{D5BE2AB3-4FCB-714B-BD1F-949508710E6A}" type="presOf" srcId="{93105CB4-0286-ED4F-915C-092EF42A9691}" destId="{CCC28DE8-0568-7547-9A1F-3C6F0F33A2CF}" srcOrd="0" destOrd="0" presId="urn:microsoft.com/office/officeart/2005/8/layout/chevron2"/>
    <dgm:cxn modelId="{3EDE5AB5-6A7F-DE4A-A8CF-777528F4A59F}" type="presOf" srcId="{3F3526C7-6ED1-AA46-BF20-1B9948A084E5}" destId="{06B263AD-CC10-0D49-8145-0C283F585CD5}" srcOrd="0" destOrd="2" presId="urn:microsoft.com/office/officeart/2005/8/layout/chevron2"/>
    <dgm:cxn modelId="{7F7C10BD-EFDE-CE48-BE98-0E89B9A0D2B7}" type="presOf" srcId="{14C4AACB-BBED-FD43-880C-31C843F0061A}" destId="{F1EE7E3F-25DA-8041-85A7-EBBF11BC4C56}" srcOrd="0" destOrd="1" presId="urn:microsoft.com/office/officeart/2005/8/layout/chevron2"/>
    <dgm:cxn modelId="{AA3EA1C2-78CF-3B4B-A54C-1E068DE1BC3E}" type="presOf" srcId="{EEF349EC-A16C-6E4F-8464-6BD71940F70C}" destId="{DCD4A931-4F01-F440-965B-DC25AA6FE080}" srcOrd="0" destOrd="2"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8F7BF6C4-E36D-B740-AC3E-220AC4066FC3}" type="presOf" srcId="{1EC7AB78-D724-324B-BD90-FC58EF6E0357}" destId="{48AF7672-2483-B34A-B763-89BD09AEBA58}" srcOrd="0" destOrd="0" presId="urn:microsoft.com/office/officeart/2005/8/layout/chevron2"/>
    <dgm:cxn modelId="{9B6F1EC6-DFD4-954B-8D24-B930BAEEDB14}" srcId="{182D19B6-9968-F54C-9803-98CF32A9110D}" destId="{3528BF8B-944A-1B4D-ADBB-12D941C8C388}" srcOrd="0" destOrd="0" parTransId="{E619BAB6-C4C5-8E49-9DEF-480C3F5477B3}" sibTransId="{9ADC1877-CA39-8F4C-8B1D-032CCA11697E}"/>
    <dgm:cxn modelId="{AF59B5C6-02CF-FB43-92C8-EBDE8A6A6EE9}" type="presOf" srcId="{E8835EC0-86EE-3540-9564-983F3D69B9B0}" destId="{E2DE84BA-2462-A242-AC94-46E19F99F1BB}" srcOrd="0" destOrd="4" presId="urn:microsoft.com/office/officeart/2005/8/layout/chevron2"/>
    <dgm:cxn modelId="{5F8B3DC7-4CC2-774D-B2B4-0FAAA2FC594C}" srcId="{82A06431-B147-914D-A7EE-B91B75443203}" destId="{D4381A80-7F1D-9D4D-8093-B3E6A2F1CFCA}" srcOrd="1" destOrd="0" parTransId="{E0E413A4-940F-4949-BC1D-D8C9E61E05C4}" sibTransId="{9A330F0C-3CA6-F948-80B6-E0284FDCABD6}"/>
    <dgm:cxn modelId="{C6A413CD-9603-284D-A793-562A1E393E2A}" srcId="{32BD5717-A9E6-DD44-A13C-12122D41F212}" destId="{975A99F2-39CD-764B-8ABC-BE6DF62FF642}" srcOrd="7" destOrd="0" parTransId="{AC925B31-C590-074C-AED3-66DFC96FD6FE}" sibTransId="{1F169E30-E6E6-614E-9E16-CD31418C175C}"/>
    <dgm:cxn modelId="{E2F329CF-5D02-3241-B348-50CB30650C25}" srcId="{182D19B6-9968-F54C-9803-98CF32A9110D}" destId="{318E09D1-A59D-2E4B-A3CC-C2FF16965C43}" srcOrd="1" destOrd="0" parTransId="{692F5075-8AA7-1545-9821-5B796547FE98}" sibTransId="{C3BC74F0-F4E6-BD4C-8197-893C2058CDAE}"/>
    <dgm:cxn modelId="{CC6B5DD2-EE9A-6E49-BA63-3293D610CC45}" type="presOf" srcId="{817AAD11-541C-8040-B8E6-60D63F44FF6E}" destId="{DCD4A931-4F01-F440-965B-DC25AA6FE080}" srcOrd="0" destOrd="1" presId="urn:microsoft.com/office/officeart/2005/8/layout/chevron2"/>
    <dgm:cxn modelId="{08C9A3DE-1704-FA47-8634-E1BAE921DEB8}" type="presOf" srcId="{B81682CE-3DAA-7547-977E-5CA5485D7B79}" destId="{E2DE84BA-2462-A242-AC94-46E19F99F1BB}" srcOrd="0" destOrd="3" presId="urn:microsoft.com/office/officeart/2005/8/layout/chevron2"/>
    <dgm:cxn modelId="{12B1B0E4-9DD8-C94A-8085-886D9BD73882}" type="presOf" srcId="{9C5294FC-3A64-EA4A-B680-50E76DE76779}" destId="{C174B10A-41E6-244B-88CB-0D08E5FFF5F9}" srcOrd="0" destOrd="1" presId="urn:microsoft.com/office/officeart/2005/8/layout/chevron2"/>
    <dgm:cxn modelId="{3AA57CE7-A76C-DF4A-AF60-5E9DC1609ECD}" type="presOf" srcId="{A83F0857-8856-AA4C-8DCE-184B522B5DF8}" destId="{C174B10A-41E6-244B-88CB-0D08E5FFF5F9}" srcOrd="0" destOrd="2" presId="urn:microsoft.com/office/officeart/2005/8/layout/chevron2"/>
    <dgm:cxn modelId="{40B98BEB-6FDF-A246-ADD2-37BAFC702BE3}" type="presOf" srcId="{5EFAD456-F8B8-C147-9A38-D366892E8D90}" destId="{ED0EEAAD-1F9F-C445-9ED5-D61D26A0F8D1}" srcOrd="0" destOrd="0"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4EDB36F2-7415-C240-ACB0-5373C67912E9}" srcId="{5EFAD456-F8B8-C147-9A38-D366892E8D90}" destId="{E6055D9E-1DDE-A243-A8F6-5CDF160A3724}" srcOrd="0" destOrd="0" parTransId="{0B1DC3A5-5264-CD49-8D31-3B1A5E86C1C7}" sibTransId="{6C856E09-93CE-D348-B575-16FE79947A8D}"/>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A3D7ACF7-2BA2-4F49-A0E0-7346B1E54F6B}" srcId="{82A06431-B147-914D-A7EE-B91B75443203}" destId="{0D5E0837-38B9-E148-BB11-F780782A29CB}" srcOrd="2" destOrd="0" parTransId="{22B50FC3-BF2E-BC48-A0D0-DF6C126E5EEE}" sibTransId="{BF3788D2-6547-5A48-A40F-C81D634AEA59}"/>
    <dgm:cxn modelId="{B02852FD-4758-B749-AC5D-FB4340CA7163}" srcId="{A8C6C2DC-42DC-4841-8B38-6F4C4E8905E8}" destId="{EE4687FF-DC98-3D4A-8B1D-75DD628798CF}" srcOrd="2" destOrd="0" parTransId="{EF50026A-DD1B-0E4E-B9CD-D2642DD4CB15}" sibTransId="{D890892B-FF11-CB4A-BA7B-86EF3BCF1799}"/>
    <dgm:cxn modelId="{BC1FC909-41B8-4140-BE1F-55464C87456F}" type="presParOf" srcId="{DDB27B24-50BA-ED48-8BE9-4C29E6B83259}" destId="{B4D05EFA-2710-E24E-95A8-E5ADA436F1BA}" srcOrd="0" destOrd="0" presId="urn:microsoft.com/office/officeart/2005/8/layout/chevron2"/>
    <dgm:cxn modelId="{DEC7ECE0-B252-714D-86E5-61A8621E582E}" type="presParOf" srcId="{B4D05EFA-2710-E24E-95A8-E5ADA436F1BA}" destId="{B3EE9CE6-0ABB-F14B-8299-D4BFC2EC579D}" srcOrd="0" destOrd="0" presId="urn:microsoft.com/office/officeart/2005/8/layout/chevron2"/>
    <dgm:cxn modelId="{D3196DE9-8F30-9D40-8D01-DB673F46705C}" type="presParOf" srcId="{B4D05EFA-2710-E24E-95A8-E5ADA436F1BA}" destId="{28826DD3-E030-6044-B2F2-D85EF85F6960}" srcOrd="1" destOrd="0" presId="urn:microsoft.com/office/officeart/2005/8/layout/chevron2"/>
    <dgm:cxn modelId="{A8313446-EE92-5C43-886E-ADD4D19114DB}" type="presParOf" srcId="{DDB27B24-50BA-ED48-8BE9-4C29E6B83259}" destId="{585C7840-A253-9640-BBF2-282E7F35583D}" srcOrd="1" destOrd="0" presId="urn:microsoft.com/office/officeart/2005/8/layout/chevron2"/>
    <dgm:cxn modelId="{72912955-31A1-4E42-A316-A4880D3449FA}" type="presParOf" srcId="{DDB27B24-50BA-ED48-8BE9-4C29E6B83259}" destId="{725C6BB0-2454-F04B-AEC7-CF75FCBB3A74}" srcOrd="2" destOrd="0" presId="urn:microsoft.com/office/officeart/2005/8/layout/chevron2"/>
    <dgm:cxn modelId="{4FC3AFEA-1EA9-AF41-A8DC-27E37E64CC49}" type="presParOf" srcId="{725C6BB0-2454-F04B-AEC7-CF75FCBB3A74}" destId="{B422BFF3-8BFD-2144-8980-375702EA9496}" srcOrd="0" destOrd="0" presId="urn:microsoft.com/office/officeart/2005/8/layout/chevron2"/>
    <dgm:cxn modelId="{2963482C-F57A-F14D-AE84-1EDE0EE243F2}" type="presParOf" srcId="{725C6BB0-2454-F04B-AEC7-CF75FCBB3A74}" destId="{8BDAA81E-2E4E-9C4A-9A67-4855D9BA1510}" srcOrd="1" destOrd="0" presId="urn:microsoft.com/office/officeart/2005/8/layout/chevron2"/>
    <dgm:cxn modelId="{EC9B7821-30EC-F645-A460-0DF6F074DCEF}" type="presParOf" srcId="{DDB27B24-50BA-ED48-8BE9-4C29E6B83259}" destId="{D756A8C3-50EB-084A-8277-DD5831B4E8C7}" srcOrd="3" destOrd="0" presId="urn:microsoft.com/office/officeart/2005/8/layout/chevron2"/>
    <dgm:cxn modelId="{78C05302-27B6-DF4E-8377-99D86B41D904}" type="presParOf" srcId="{DDB27B24-50BA-ED48-8BE9-4C29E6B83259}" destId="{C371305F-B72D-3C44-BB22-E50B26871DA6}" srcOrd="4" destOrd="0" presId="urn:microsoft.com/office/officeart/2005/8/layout/chevron2"/>
    <dgm:cxn modelId="{B2B95CDE-431C-2940-BBD9-5AE0944FBA93}" type="presParOf" srcId="{C371305F-B72D-3C44-BB22-E50B26871DA6}" destId="{CCC28DE8-0568-7547-9A1F-3C6F0F33A2CF}" srcOrd="0" destOrd="0" presId="urn:microsoft.com/office/officeart/2005/8/layout/chevron2"/>
    <dgm:cxn modelId="{E676786D-588A-1946-85B7-87FCBA2C24F8}" type="presParOf" srcId="{C371305F-B72D-3C44-BB22-E50B26871DA6}" destId="{F1EE7E3F-25DA-8041-85A7-EBBF11BC4C56}" srcOrd="1" destOrd="0" presId="urn:microsoft.com/office/officeart/2005/8/layout/chevron2"/>
    <dgm:cxn modelId="{473AD732-F425-0047-B96E-7C9FB97AE116}" type="presParOf" srcId="{DDB27B24-50BA-ED48-8BE9-4C29E6B83259}" destId="{2C8A0FE6-3CCD-674F-87D7-C945364C8330}" srcOrd="5" destOrd="0" presId="urn:microsoft.com/office/officeart/2005/8/layout/chevron2"/>
    <dgm:cxn modelId="{F0FC7EDD-49CE-474A-9316-6398EC18DAAC}" type="presParOf" srcId="{DDB27B24-50BA-ED48-8BE9-4C29E6B83259}" destId="{D669929D-DE6F-0D40-8D4A-1736805AD131}" srcOrd="6" destOrd="0" presId="urn:microsoft.com/office/officeart/2005/8/layout/chevron2"/>
    <dgm:cxn modelId="{6909CCC0-5117-374D-99BF-0C20EAEA8856}" type="presParOf" srcId="{D669929D-DE6F-0D40-8D4A-1736805AD131}" destId="{A0202F08-BEC9-8F43-8711-F30ADE817D18}" srcOrd="0" destOrd="0" presId="urn:microsoft.com/office/officeart/2005/8/layout/chevron2"/>
    <dgm:cxn modelId="{5A7120F0-DC37-C44C-AADC-A1748D95D150}" type="presParOf" srcId="{D669929D-DE6F-0D40-8D4A-1736805AD131}" destId="{06B263AD-CC10-0D49-8145-0C283F585CD5}" srcOrd="1" destOrd="0" presId="urn:microsoft.com/office/officeart/2005/8/layout/chevron2"/>
    <dgm:cxn modelId="{78F36B4D-2DF4-BB42-8815-260FFCF14114}" type="presParOf" srcId="{DDB27B24-50BA-ED48-8BE9-4C29E6B83259}" destId="{B5F0F139-C5B5-F942-A092-8BB086CFFEFA}" srcOrd="7" destOrd="0" presId="urn:microsoft.com/office/officeart/2005/8/layout/chevron2"/>
    <dgm:cxn modelId="{B6AB7DAF-056B-AB4F-BFC8-9B210AD2667E}" type="presParOf" srcId="{DDB27B24-50BA-ED48-8BE9-4C29E6B83259}" destId="{A6A53311-4EDF-944C-B7A8-A929BD874343}" srcOrd="8" destOrd="0" presId="urn:microsoft.com/office/officeart/2005/8/layout/chevron2"/>
    <dgm:cxn modelId="{A8B8096D-A298-8041-ABC9-9F646B9C4266}" type="presParOf" srcId="{A6A53311-4EDF-944C-B7A8-A929BD874343}" destId="{31EA3204-EDC1-4F43-84C9-41DE884256E5}" srcOrd="0" destOrd="0" presId="urn:microsoft.com/office/officeart/2005/8/layout/chevron2"/>
    <dgm:cxn modelId="{8621AFA4-25B2-5743-BCF6-996FFE1CD368}" type="presParOf" srcId="{A6A53311-4EDF-944C-B7A8-A929BD874343}" destId="{9D5418D3-F08D-8545-87B2-2FD7B1D1031E}" srcOrd="1" destOrd="0" presId="urn:microsoft.com/office/officeart/2005/8/layout/chevron2"/>
    <dgm:cxn modelId="{5DD1CCD0-E89B-1742-AB10-B5EFB2B51B89}" type="presParOf" srcId="{DDB27B24-50BA-ED48-8BE9-4C29E6B83259}" destId="{BD082DD2-36A2-F841-B83C-3B9BAF4B2B5C}" srcOrd="9" destOrd="0" presId="urn:microsoft.com/office/officeart/2005/8/layout/chevron2"/>
    <dgm:cxn modelId="{667AD972-AF6F-7043-AAAA-709399A2A9D8}" type="presParOf" srcId="{DDB27B24-50BA-ED48-8BE9-4C29E6B83259}" destId="{C8A774E9-C669-9C42-8FD8-567A31043E1A}" srcOrd="10" destOrd="0" presId="urn:microsoft.com/office/officeart/2005/8/layout/chevron2"/>
    <dgm:cxn modelId="{4D0F24DF-83DC-D247-A723-63012C681C61}" type="presParOf" srcId="{C8A774E9-C669-9C42-8FD8-567A31043E1A}" destId="{844AC346-AEB9-A649-8C9D-DBF2769C8FFC}" srcOrd="0" destOrd="0" presId="urn:microsoft.com/office/officeart/2005/8/layout/chevron2"/>
    <dgm:cxn modelId="{B3610636-A153-154F-A952-ABB36BF448AB}" type="presParOf" srcId="{C8A774E9-C669-9C42-8FD8-567A31043E1A}" destId="{C80BEB0B-E1AB-4443-9F91-9D6894D7833E}" srcOrd="1" destOrd="0" presId="urn:microsoft.com/office/officeart/2005/8/layout/chevron2"/>
    <dgm:cxn modelId="{2677E941-6369-F943-A7FF-9B5EDF81DF15}" type="presParOf" srcId="{DDB27B24-50BA-ED48-8BE9-4C29E6B83259}" destId="{59BB4FCD-F10D-9947-BE1C-B71549A60A1E}" srcOrd="11" destOrd="0" presId="urn:microsoft.com/office/officeart/2005/8/layout/chevron2"/>
    <dgm:cxn modelId="{85798F7D-EF05-8B44-B212-64CC3CB3E6DD}" type="presParOf" srcId="{DDB27B24-50BA-ED48-8BE9-4C29E6B83259}" destId="{9EA93BB1-069D-5E45-B7BF-50881B2F72E6}" srcOrd="12" destOrd="0" presId="urn:microsoft.com/office/officeart/2005/8/layout/chevron2"/>
    <dgm:cxn modelId="{71A67156-1E7E-D84C-B5D9-5C878FCC1CC9}" type="presParOf" srcId="{9EA93BB1-069D-5E45-B7BF-50881B2F72E6}" destId="{B9872B13-1174-E847-A615-29577404DF21}" srcOrd="0" destOrd="0" presId="urn:microsoft.com/office/officeart/2005/8/layout/chevron2"/>
    <dgm:cxn modelId="{44CB5ED0-9E97-994D-B5D0-1FCBBE270F61}" type="presParOf" srcId="{9EA93BB1-069D-5E45-B7BF-50881B2F72E6}" destId="{DCD4A931-4F01-F440-965B-DC25AA6FE080}" srcOrd="1" destOrd="0" presId="urn:microsoft.com/office/officeart/2005/8/layout/chevron2"/>
    <dgm:cxn modelId="{3E250CB9-7F89-1E4F-AEF4-72A52AA477A4}" type="presParOf" srcId="{DDB27B24-50BA-ED48-8BE9-4C29E6B83259}" destId="{201CAB8F-4C7F-6E4E-9169-C9E7B5CBE404}" srcOrd="13" destOrd="0" presId="urn:microsoft.com/office/officeart/2005/8/layout/chevron2"/>
    <dgm:cxn modelId="{E1CA53AA-12CC-1743-A61E-505FE2E0E80D}" type="presParOf" srcId="{DDB27B24-50BA-ED48-8BE9-4C29E6B83259}" destId="{6D4C5D56-D770-6B40-8468-FE06C51D0C51}" srcOrd="14" destOrd="0" presId="urn:microsoft.com/office/officeart/2005/8/layout/chevron2"/>
    <dgm:cxn modelId="{09682C0C-9306-9143-9CA8-7B32B45906F7}" type="presParOf" srcId="{6D4C5D56-D770-6B40-8468-FE06C51D0C51}" destId="{7084F658-3BB1-D447-B8C5-A6837F15B277}" srcOrd="0" destOrd="0" presId="urn:microsoft.com/office/officeart/2005/8/layout/chevron2"/>
    <dgm:cxn modelId="{6E805792-5629-7C45-A7A9-01889F8CAB42}" type="presParOf" srcId="{6D4C5D56-D770-6B40-8468-FE06C51D0C51}" destId="{3D55146F-789B-2249-B6B6-C45CABF1EF76}" srcOrd="1" destOrd="0" presId="urn:microsoft.com/office/officeart/2005/8/layout/chevron2"/>
    <dgm:cxn modelId="{A4908FDA-28EE-D94A-891F-73BDB5090EE0}" type="presParOf" srcId="{DDB27B24-50BA-ED48-8BE9-4C29E6B83259}" destId="{15B9DFC4-F1C0-294F-B798-3B1477D4801A}" srcOrd="15" destOrd="0" presId="urn:microsoft.com/office/officeart/2005/8/layout/chevron2"/>
    <dgm:cxn modelId="{EA8D5DB2-D5C6-6444-BFAF-E53F61CE541F}" type="presParOf" srcId="{DDB27B24-50BA-ED48-8BE9-4C29E6B83259}" destId="{C588B7A2-4017-6643-93CD-7EB3E7875B06}" srcOrd="16" destOrd="0" presId="urn:microsoft.com/office/officeart/2005/8/layout/chevron2"/>
    <dgm:cxn modelId="{7CE0D1CD-452F-DF46-A022-EFD0BBB8D6C8}" type="presParOf" srcId="{C588B7A2-4017-6643-93CD-7EB3E7875B06}" destId="{E86BF6A3-BA90-BB43-908F-24E76E7D1587}" srcOrd="0" destOrd="0" presId="urn:microsoft.com/office/officeart/2005/8/layout/chevron2"/>
    <dgm:cxn modelId="{5B10BD4E-782C-A944-976D-4D9A4ED0D86B}" type="presParOf" srcId="{C588B7A2-4017-6643-93CD-7EB3E7875B06}" destId="{E2DE84BA-2462-A242-AC94-46E19F99F1BB}" srcOrd="1" destOrd="0" presId="urn:microsoft.com/office/officeart/2005/8/layout/chevron2"/>
    <dgm:cxn modelId="{B581FE18-9A9A-0C45-8B4A-04C5F1582070}" type="presParOf" srcId="{DDB27B24-50BA-ED48-8BE9-4C29E6B83259}" destId="{C2AB1E69-06F4-D043-944B-D85D9601ACA6}" srcOrd="17" destOrd="0" presId="urn:microsoft.com/office/officeart/2005/8/layout/chevron2"/>
    <dgm:cxn modelId="{5B63A45B-DAE4-A249-9689-2E9862078F25}" type="presParOf" srcId="{DDB27B24-50BA-ED48-8BE9-4C29E6B83259}" destId="{51C6866E-9F56-9A45-ADF2-6F81F533274A}" srcOrd="18" destOrd="0" presId="urn:microsoft.com/office/officeart/2005/8/layout/chevron2"/>
    <dgm:cxn modelId="{8479DDA8-4EA5-EE4B-903E-385D9C37E591}" type="presParOf" srcId="{51C6866E-9F56-9A45-ADF2-6F81F533274A}" destId="{B88D95AA-AFFF-224F-9EBE-1226F2119586}" srcOrd="0" destOrd="0" presId="urn:microsoft.com/office/officeart/2005/8/layout/chevron2"/>
    <dgm:cxn modelId="{56350A92-D893-ED4A-BC37-CECACB4418B9}" type="presParOf" srcId="{51C6866E-9F56-9A45-ADF2-6F81F533274A}" destId="{BC4A5DFE-0373-0044-B473-93ADEF2A2324}" srcOrd="1" destOrd="0" presId="urn:microsoft.com/office/officeart/2005/8/layout/chevron2"/>
    <dgm:cxn modelId="{653FE4E1-4815-D748-BDA0-E5607856F37C}" type="presParOf" srcId="{DDB27B24-50BA-ED48-8BE9-4C29E6B83259}" destId="{01E3A2D8-2E7D-6941-B2B2-FA006E31EF08}" srcOrd="19" destOrd="0" presId="urn:microsoft.com/office/officeart/2005/8/layout/chevron2"/>
    <dgm:cxn modelId="{BB8A8091-1465-E34C-9A6F-0FEED20096AF}" type="presParOf" srcId="{DDB27B24-50BA-ED48-8BE9-4C29E6B83259}" destId="{37D2DAC8-74EC-BF4C-831D-920A9C40B9D5}" srcOrd="20" destOrd="0" presId="urn:microsoft.com/office/officeart/2005/8/layout/chevron2"/>
    <dgm:cxn modelId="{C1AB6692-EE0E-D54C-A776-B6E4C5A86C62}" type="presParOf" srcId="{37D2DAC8-74EC-BF4C-831D-920A9C40B9D5}" destId="{ED0EEAAD-1F9F-C445-9ED5-D61D26A0F8D1}" srcOrd="0" destOrd="0" presId="urn:microsoft.com/office/officeart/2005/8/layout/chevron2"/>
    <dgm:cxn modelId="{655AA155-884C-544D-8277-C9768BD95ED1}" type="presParOf" srcId="{37D2DAC8-74EC-BF4C-831D-920A9C40B9D5}" destId="{C174B10A-41E6-244B-88CB-0D08E5FFF5F9}" srcOrd="1" destOrd="0" presId="urn:microsoft.com/office/officeart/2005/8/layout/chevron2"/>
    <dgm:cxn modelId="{1915906A-993D-BA48-9BAC-842A2C8F0399}" type="presParOf" srcId="{DDB27B24-50BA-ED48-8BE9-4C29E6B83259}" destId="{43FB22C6-B891-E44F-B0D7-B9F71AB372F1}" srcOrd="21" destOrd="0" presId="urn:microsoft.com/office/officeart/2005/8/layout/chevron2"/>
    <dgm:cxn modelId="{D1A7CC29-A206-AA47-B182-C43B5BAE2B2F}" type="presParOf" srcId="{DDB27B24-50BA-ED48-8BE9-4C29E6B83259}" destId="{73DF1BD6-49ED-134F-A291-CE4DB94547A9}" srcOrd="22" destOrd="0" presId="urn:microsoft.com/office/officeart/2005/8/layout/chevron2"/>
    <dgm:cxn modelId="{7C5219B2-953F-734A-A6AA-5F86B1294608}" type="presParOf" srcId="{73DF1BD6-49ED-134F-A291-CE4DB94547A9}" destId="{6DDDE256-1CA3-1140-A939-5530FC1F57D3}" srcOrd="0" destOrd="0" presId="urn:microsoft.com/office/officeart/2005/8/layout/chevron2"/>
    <dgm:cxn modelId="{AB47134A-2C8A-1642-9F16-F160B8E85584}" type="presParOf" srcId="{73DF1BD6-49ED-134F-A291-CE4DB94547A9}" destId="{999FDDA9-9F6A-1143-BE3C-B1E07CBE9945}" srcOrd="1" destOrd="0" presId="urn:microsoft.com/office/officeart/2005/8/layout/chevron2"/>
    <dgm:cxn modelId="{6BBEDCF6-CA5C-644E-8E03-9519A732B8AE}" type="presParOf" srcId="{DDB27B24-50BA-ED48-8BE9-4C29E6B83259}" destId="{A73ECDF3-49A4-0948-BD1F-387AF7BD3FC1}" srcOrd="23" destOrd="0" presId="urn:microsoft.com/office/officeart/2005/8/layout/chevron2"/>
    <dgm:cxn modelId="{2F149FC5-322B-284A-8745-7B37EB32EDE1}" type="presParOf" srcId="{DDB27B24-50BA-ED48-8BE9-4C29E6B83259}" destId="{F2D2A481-D011-064A-92C0-32CD4D676904}" srcOrd="24" destOrd="0" presId="urn:microsoft.com/office/officeart/2005/8/layout/chevron2"/>
    <dgm:cxn modelId="{D9450BB4-9632-6941-A950-B97F690191E5}" type="presParOf" srcId="{F2D2A481-D011-064A-92C0-32CD4D676904}" destId="{48AF7672-2483-B34A-B763-89BD09AEBA58}" srcOrd="0" destOrd="0" presId="urn:microsoft.com/office/officeart/2005/8/layout/chevron2"/>
    <dgm:cxn modelId="{AEE10F71-2962-2345-8C9D-42BBC7452CEA}"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194"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2B3DF9C2-E70D-C945-8285-998BA7C6B0BB}" type="doc">
      <dgm:prSet loTypeId="urn:microsoft.com/office/officeart/2005/8/layout/hierarchy2" loCatId="" qsTypeId="urn:microsoft.com/office/officeart/2005/8/quickstyle/simple4" qsCatId="simple" csTypeId="urn:microsoft.com/office/officeart/2005/8/colors/colorful1" csCatId="colorful" phldr="1"/>
      <dgm:spPr/>
      <dgm:t>
        <a:bodyPr/>
        <a:lstStyle/>
        <a:p>
          <a:endParaRPr lang="en-US"/>
        </a:p>
      </dgm:t>
    </dgm:pt>
    <dgm:pt modelId="{23C55B4E-FCE6-D748-BDFD-DD583FC26A7E}">
      <dgm:prSet phldrT="[Text]"/>
      <dgm:spPr/>
      <dgm:t>
        <a:bodyPr/>
        <a:lstStyle/>
        <a:p>
          <a:r>
            <a:rPr lang="en-US"/>
            <a:t>Practice under pressure </a:t>
          </a:r>
        </a:p>
      </dgm:t>
    </dgm:pt>
    <dgm:pt modelId="{436F4737-3923-D34D-AA6D-18FA0E69F8EA}" type="parTrans" cxnId="{857587D1-F6F9-0747-9E07-FCF36AE0AD32}">
      <dgm:prSet/>
      <dgm:spPr/>
      <dgm:t>
        <a:bodyPr/>
        <a:lstStyle/>
        <a:p>
          <a:endParaRPr lang="en-US"/>
        </a:p>
      </dgm:t>
    </dgm:pt>
    <dgm:pt modelId="{C50A26EC-DF58-244A-AA86-61DB91F62B81}" type="sibTrans" cxnId="{857587D1-F6F9-0747-9E07-FCF36AE0AD32}">
      <dgm:prSet/>
      <dgm:spPr/>
      <dgm:t>
        <a:bodyPr/>
        <a:lstStyle/>
        <a:p>
          <a:endParaRPr lang="en-US"/>
        </a:p>
      </dgm:t>
    </dgm:pt>
    <dgm:pt modelId="{B8DCCF3C-F3FA-1D4E-9010-2AAF12365369}">
      <dgm:prSet phldrT="[Text]"/>
      <dgm:spPr/>
      <dgm:t>
        <a:bodyPr/>
        <a:lstStyle/>
        <a:p>
          <a:r>
            <a:rPr lang="en-US"/>
            <a:t>Self </a:t>
          </a:r>
        </a:p>
      </dgm:t>
    </dgm:pt>
    <dgm:pt modelId="{638FD1AB-C16F-454B-ACC9-781CBFF0861A}" type="parTrans" cxnId="{E79040F3-8EF8-AB42-AB4F-BEAC779EFDED}">
      <dgm:prSet/>
      <dgm:spPr/>
      <dgm:t>
        <a:bodyPr/>
        <a:lstStyle/>
        <a:p>
          <a:endParaRPr lang="en-US"/>
        </a:p>
      </dgm:t>
    </dgm:pt>
    <dgm:pt modelId="{68496543-421E-8D49-BAD3-E64B23A3DD61}" type="sibTrans" cxnId="{E79040F3-8EF8-AB42-AB4F-BEAC779EFDED}">
      <dgm:prSet/>
      <dgm:spPr/>
      <dgm:t>
        <a:bodyPr/>
        <a:lstStyle/>
        <a:p>
          <a:endParaRPr lang="en-US"/>
        </a:p>
      </dgm:t>
    </dgm:pt>
    <dgm:pt modelId="{A43C92E8-6AAE-054D-919F-BACCF374C4CD}">
      <dgm:prSet phldrT="[Text]"/>
      <dgm:spPr/>
      <dgm:t>
        <a:bodyPr/>
        <a:lstStyle/>
        <a:p>
          <a:r>
            <a:rPr lang="en-US"/>
            <a:t>Cognitive processes</a:t>
          </a:r>
        </a:p>
      </dgm:t>
    </dgm:pt>
    <dgm:pt modelId="{F2059352-B8BE-5A49-87B3-50E0B9F49A31}" type="parTrans" cxnId="{7D0F4EF7-8071-F249-B68D-40D5EE515448}">
      <dgm:prSet/>
      <dgm:spPr/>
      <dgm:t>
        <a:bodyPr/>
        <a:lstStyle/>
        <a:p>
          <a:endParaRPr lang="en-US"/>
        </a:p>
      </dgm:t>
    </dgm:pt>
    <dgm:pt modelId="{BE6006E3-37DE-F84C-B9D8-E1ED0FBC81E3}" type="sibTrans" cxnId="{7D0F4EF7-8071-F249-B68D-40D5EE515448}">
      <dgm:prSet/>
      <dgm:spPr/>
      <dgm:t>
        <a:bodyPr/>
        <a:lstStyle/>
        <a:p>
          <a:endParaRPr lang="en-US"/>
        </a:p>
      </dgm:t>
    </dgm:pt>
    <dgm:pt modelId="{C1C78E06-3854-9E4B-85B9-D7F8AECB293B}">
      <dgm:prSet phldrT="[Text]"/>
      <dgm:spPr/>
      <dgm:t>
        <a:bodyPr/>
        <a:lstStyle/>
        <a:p>
          <a:r>
            <a:rPr lang="en-US"/>
            <a:t>System</a:t>
          </a:r>
        </a:p>
      </dgm:t>
    </dgm:pt>
    <dgm:pt modelId="{61968C5B-9626-5549-979C-2C027A3E0A0D}" type="parTrans" cxnId="{3FE2007B-D1E0-BE4D-A58E-C47DB4879746}">
      <dgm:prSet/>
      <dgm:spPr/>
      <dgm:t>
        <a:bodyPr/>
        <a:lstStyle/>
        <a:p>
          <a:endParaRPr lang="en-US"/>
        </a:p>
      </dgm:t>
    </dgm:pt>
    <dgm:pt modelId="{0D62D58C-C7DA-5146-853E-020B206F7BE8}" type="sibTrans" cxnId="{3FE2007B-D1E0-BE4D-A58E-C47DB4879746}">
      <dgm:prSet/>
      <dgm:spPr/>
      <dgm:t>
        <a:bodyPr/>
        <a:lstStyle/>
        <a:p>
          <a:endParaRPr lang="en-US"/>
        </a:p>
      </dgm:t>
    </dgm:pt>
    <dgm:pt modelId="{45AFB6BE-BE88-4F4A-A2A6-92A47C4A9E18}">
      <dgm:prSet phldrT="[Text]"/>
      <dgm:spPr/>
      <dgm:t>
        <a:bodyPr/>
        <a:lstStyle/>
        <a:p>
          <a:r>
            <a:rPr lang="en-US"/>
            <a:t>Cognitive process impact</a:t>
          </a:r>
        </a:p>
      </dgm:t>
    </dgm:pt>
    <dgm:pt modelId="{6B81626C-AAF8-E540-86F3-31F05C4B692B}" type="parTrans" cxnId="{6C59DD20-2BD4-0045-A769-6DD865675CEF}">
      <dgm:prSet/>
      <dgm:spPr/>
      <dgm:t>
        <a:bodyPr/>
        <a:lstStyle/>
        <a:p>
          <a:endParaRPr lang="en-US"/>
        </a:p>
      </dgm:t>
    </dgm:pt>
    <dgm:pt modelId="{F9B5D002-6AAF-1449-B6D9-83027484ED24}" type="sibTrans" cxnId="{6C59DD20-2BD4-0045-A769-6DD865675CEF}">
      <dgm:prSet/>
      <dgm:spPr/>
      <dgm:t>
        <a:bodyPr/>
        <a:lstStyle/>
        <a:p>
          <a:endParaRPr lang="en-US"/>
        </a:p>
      </dgm:t>
    </dgm:pt>
    <dgm:pt modelId="{4E2DA14C-4672-7546-826E-5447B21CAAE1}">
      <dgm:prSet phldrT="[Text]"/>
      <dgm:spPr/>
      <dgm:t>
        <a:bodyPr/>
        <a:lstStyle/>
        <a:p>
          <a:r>
            <a:rPr lang="en-US"/>
            <a:t>Judgment and decision making</a:t>
          </a:r>
        </a:p>
      </dgm:t>
    </dgm:pt>
    <dgm:pt modelId="{63829445-A79F-1E4E-81B3-FD468A2048E1}" type="parTrans" cxnId="{E3A5164D-66E0-9945-8F27-315E7ED10817}">
      <dgm:prSet/>
      <dgm:spPr/>
      <dgm:t>
        <a:bodyPr/>
        <a:lstStyle/>
        <a:p>
          <a:endParaRPr lang="en-US"/>
        </a:p>
      </dgm:t>
    </dgm:pt>
    <dgm:pt modelId="{55DF1E9A-769C-F94F-B148-DA12C95B720B}" type="sibTrans" cxnId="{E3A5164D-66E0-9945-8F27-315E7ED10817}">
      <dgm:prSet/>
      <dgm:spPr/>
      <dgm:t>
        <a:bodyPr/>
        <a:lstStyle/>
        <a:p>
          <a:endParaRPr lang="en-US"/>
        </a:p>
      </dgm:t>
    </dgm:pt>
    <dgm:pt modelId="{D5381B5B-393D-9D46-844A-D4BD8FC14058}">
      <dgm:prSet phldrT="[Text]"/>
      <dgm:spPr/>
      <dgm:t>
        <a:bodyPr/>
        <a:lstStyle/>
        <a:p>
          <a:r>
            <a:rPr lang="en-US"/>
            <a:t>Performance/ Actions</a:t>
          </a:r>
        </a:p>
      </dgm:t>
    </dgm:pt>
    <dgm:pt modelId="{4BA24C3B-5DDA-D14E-A8B6-445DFF666071}" type="parTrans" cxnId="{26294450-2708-904F-B8CF-EFE22D7F2C39}">
      <dgm:prSet/>
      <dgm:spPr/>
      <dgm:t>
        <a:bodyPr/>
        <a:lstStyle/>
        <a:p>
          <a:endParaRPr lang="en-US"/>
        </a:p>
      </dgm:t>
    </dgm:pt>
    <dgm:pt modelId="{073F10EF-B10A-8C4A-B2C2-895B166D2813}" type="sibTrans" cxnId="{26294450-2708-904F-B8CF-EFE22D7F2C39}">
      <dgm:prSet/>
      <dgm:spPr/>
      <dgm:t>
        <a:bodyPr/>
        <a:lstStyle/>
        <a:p>
          <a:endParaRPr lang="en-US"/>
        </a:p>
      </dgm:t>
    </dgm:pt>
    <dgm:pt modelId="{ED330B24-B5A7-554F-9FB2-6901AD32C6F4}">
      <dgm:prSet phldrT="[Text]"/>
      <dgm:spPr/>
      <dgm:t>
        <a:bodyPr/>
        <a:lstStyle/>
        <a:p>
          <a:r>
            <a:rPr lang="en-US"/>
            <a:t>Test the system</a:t>
          </a:r>
        </a:p>
      </dgm:t>
    </dgm:pt>
    <dgm:pt modelId="{0C676C43-3CE7-3849-B995-B9E0A2744C54}" type="parTrans" cxnId="{04C40DC0-40E4-9349-A8A2-E43DBA99DEC0}">
      <dgm:prSet/>
      <dgm:spPr/>
      <dgm:t>
        <a:bodyPr/>
        <a:lstStyle/>
        <a:p>
          <a:endParaRPr lang="en-US"/>
        </a:p>
      </dgm:t>
    </dgm:pt>
    <dgm:pt modelId="{5C7E1552-D9CD-0641-9BFB-E2255C716318}" type="sibTrans" cxnId="{04C40DC0-40E4-9349-A8A2-E43DBA99DEC0}">
      <dgm:prSet/>
      <dgm:spPr/>
      <dgm:t>
        <a:bodyPr/>
        <a:lstStyle/>
        <a:p>
          <a:endParaRPr lang="en-US"/>
        </a:p>
      </dgm:t>
    </dgm:pt>
    <dgm:pt modelId="{83A64605-84C0-F346-82CC-E7A523E0D725}">
      <dgm:prSet phldrT="[Text]"/>
      <dgm:spPr/>
      <dgm:t>
        <a:bodyPr/>
        <a:lstStyle/>
        <a:p>
          <a:r>
            <a:rPr lang="en-US"/>
            <a:t>Learn from mistakes</a:t>
          </a:r>
        </a:p>
      </dgm:t>
    </dgm:pt>
    <dgm:pt modelId="{D020DCE5-AEE2-8D40-AD1B-8C30241F1226}" type="parTrans" cxnId="{D2D0259B-F8E3-D843-8150-0A7561A8EEFD}">
      <dgm:prSet/>
      <dgm:spPr/>
      <dgm:t>
        <a:bodyPr/>
        <a:lstStyle/>
        <a:p>
          <a:endParaRPr lang="en-US"/>
        </a:p>
      </dgm:t>
    </dgm:pt>
    <dgm:pt modelId="{E3B5B2FB-E25B-124C-B593-25BC94EEADFF}" type="sibTrans" cxnId="{D2D0259B-F8E3-D843-8150-0A7561A8EEFD}">
      <dgm:prSet/>
      <dgm:spPr/>
      <dgm:t>
        <a:bodyPr/>
        <a:lstStyle/>
        <a:p>
          <a:endParaRPr lang="en-US"/>
        </a:p>
      </dgm:t>
    </dgm:pt>
    <dgm:pt modelId="{72B9EEC2-7AE8-044B-BC5F-92F0F6D5E94F}">
      <dgm:prSet/>
      <dgm:spPr/>
      <dgm:t>
        <a:bodyPr/>
        <a:lstStyle/>
        <a:p>
          <a:r>
            <a:rPr lang="en-US"/>
            <a:t>Know how react/behave under pressure</a:t>
          </a:r>
        </a:p>
      </dgm:t>
    </dgm:pt>
    <dgm:pt modelId="{3AA98029-E1CD-664A-900B-5C894F57A4D6}" type="parTrans" cxnId="{06000141-2163-FF4E-9D00-D9E9AA6A86A8}">
      <dgm:prSet/>
      <dgm:spPr/>
      <dgm:t>
        <a:bodyPr/>
        <a:lstStyle/>
        <a:p>
          <a:endParaRPr lang="en-US"/>
        </a:p>
      </dgm:t>
    </dgm:pt>
    <dgm:pt modelId="{4772C6D6-65AC-6544-A5D1-EF106B58DEDC}" type="sibTrans" cxnId="{06000141-2163-FF4E-9D00-D9E9AA6A86A8}">
      <dgm:prSet/>
      <dgm:spPr/>
      <dgm:t>
        <a:bodyPr/>
        <a:lstStyle/>
        <a:p>
          <a:endParaRPr lang="en-US"/>
        </a:p>
      </dgm:t>
    </dgm:pt>
    <dgm:pt modelId="{79B57BF7-66CA-B54E-BDB4-F9B6FE057776}">
      <dgm:prSet phldrT="[Text]"/>
      <dgm:spPr/>
      <dgm:t>
        <a:bodyPr/>
        <a:lstStyle/>
        <a:p>
          <a:r>
            <a:rPr lang="en-US"/>
            <a:t>How to think</a:t>
          </a:r>
        </a:p>
      </dgm:t>
    </dgm:pt>
    <dgm:pt modelId="{2BAEB5F8-46F9-9D48-B01F-A448672F36B5}" type="parTrans" cxnId="{49A85607-7C1E-9D4D-80FA-1659EC25ED48}">
      <dgm:prSet/>
      <dgm:spPr/>
      <dgm:t>
        <a:bodyPr/>
        <a:lstStyle/>
        <a:p>
          <a:endParaRPr lang="en-US"/>
        </a:p>
      </dgm:t>
    </dgm:pt>
    <dgm:pt modelId="{C7CEE3BF-EFC3-1341-A558-1E36085BF0A2}" type="sibTrans" cxnId="{49A85607-7C1E-9D4D-80FA-1659EC25ED48}">
      <dgm:prSet/>
      <dgm:spPr/>
      <dgm:t>
        <a:bodyPr/>
        <a:lstStyle/>
        <a:p>
          <a:endParaRPr lang="en-US"/>
        </a:p>
      </dgm:t>
    </dgm:pt>
    <dgm:pt modelId="{78EDCD40-5022-4242-A61B-47C89B5C98FB}">
      <dgm:prSet phldrT="[Text]"/>
      <dgm:spPr/>
      <dgm:t>
        <a:bodyPr/>
        <a:lstStyle/>
        <a:p>
          <a:r>
            <a:rPr lang="en-US"/>
            <a:t>How to access knowledge</a:t>
          </a:r>
        </a:p>
      </dgm:t>
    </dgm:pt>
    <dgm:pt modelId="{D72D60B0-EE0F-B345-A3F9-744F2038500A}" type="parTrans" cxnId="{DDED1198-5230-F746-84FB-9BD3B0ED2101}">
      <dgm:prSet/>
      <dgm:spPr/>
      <dgm:t>
        <a:bodyPr/>
        <a:lstStyle/>
        <a:p>
          <a:endParaRPr lang="en-US"/>
        </a:p>
      </dgm:t>
    </dgm:pt>
    <dgm:pt modelId="{690DBB22-C7EB-7441-8DDF-907389D2B6F9}" type="sibTrans" cxnId="{DDED1198-5230-F746-84FB-9BD3B0ED2101}">
      <dgm:prSet/>
      <dgm:spPr/>
      <dgm:t>
        <a:bodyPr/>
        <a:lstStyle/>
        <a:p>
          <a:endParaRPr lang="en-US"/>
        </a:p>
      </dgm:t>
    </dgm:pt>
    <dgm:pt modelId="{5A363708-8A9D-7E46-9E05-D4A58D931FC7}">
      <dgm:prSet phldrT="[Text]"/>
      <dgm:spPr/>
      <dgm:t>
        <a:bodyPr/>
        <a:lstStyle/>
        <a:p>
          <a:r>
            <a:rPr lang="en-US"/>
            <a:t>Experience loss situation awareness</a:t>
          </a:r>
        </a:p>
      </dgm:t>
    </dgm:pt>
    <dgm:pt modelId="{884517B3-2A40-A147-9465-A7083B28748A}" type="parTrans" cxnId="{CA1AE6D4-9305-EF44-ADEC-169132E559A4}">
      <dgm:prSet/>
      <dgm:spPr/>
      <dgm:t>
        <a:bodyPr/>
        <a:lstStyle/>
        <a:p>
          <a:endParaRPr lang="en-US"/>
        </a:p>
      </dgm:t>
    </dgm:pt>
    <dgm:pt modelId="{BCE14A72-AF55-064D-80B2-A660487C315C}" type="sibTrans" cxnId="{CA1AE6D4-9305-EF44-ADEC-169132E559A4}">
      <dgm:prSet/>
      <dgm:spPr/>
      <dgm:t>
        <a:bodyPr/>
        <a:lstStyle/>
        <a:p>
          <a:endParaRPr lang="en-US"/>
        </a:p>
      </dgm:t>
    </dgm:pt>
    <dgm:pt modelId="{2A6477B6-0514-544F-8FB2-CE77F3C43B66}">
      <dgm:prSet phldrT="[Text]"/>
      <dgm:spPr/>
      <dgm:t>
        <a:bodyPr/>
        <a:lstStyle/>
        <a:p>
          <a:r>
            <a:rPr lang="en-US"/>
            <a:t>Experience cognitive overload/biases</a:t>
          </a:r>
        </a:p>
      </dgm:t>
    </dgm:pt>
    <dgm:pt modelId="{6D6A4EFF-039E-E04F-A9DD-C0225DDFFA76}" type="parTrans" cxnId="{DC2ED2D8-019F-3F4F-8C30-AD07624E2DDF}">
      <dgm:prSet/>
      <dgm:spPr/>
      <dgm:t>
        <a:bodyPr/>
        <a:lstStyle/>
        <a:p>
          <a:endParaRPr lang="en-US"/>
        </a:p>
      </dgm:t>
    </dgm:pt>
    <dgm:pt modelId="{E78E9096-AC93-5A4F-B4AC-50601B733ED1}" type="sibTrans" cxnId="{DC2ED2D8-019F-3F4F-8C30-AD07624E2DDF}">
      <dgm:prSet/>
      <dgm:spPr/>
      <dgm:t>
        <a:bodyPr/>
        <a:lstStyle/>
        <a:p>
          <a:endParaRPr lang="en-US"/>
        </a:p>
      </dgm:t>
    </dgm:pt>
    <dgm:pt modelId="{9E7243EA-B6ED-1843-B96C-2BAFFE6A6B65}">
      <dgm:prSet phldrT="[Text]"/>
      <dgm:spPr/>
      <dgm:t>
        <a:bodyPr/>
        <a:lstStyle/>
        <a:p>
          <a:r>
            <a:rPr lang="en-US"/>
            <a:t>Apply knowledge</a:t>
          </a:r>
        </a:p>
      </dgm:t>
    </dgm:pt>
    <dgm:pt modelId="{C03ACD29-BCE4-9248-9233-64F44249D625}" type="parTrans" cxnId="{6119477F-35CE-2E4B-A55E-E695342587A0}">
      <dgm:prSet/>
      <dgm:spPr/>
      <dgm:t>
        <a:bodyPr/>
        <a:lstStyle/>
        <a:p>
          <a:endParaRPr lang="en-US"/>
        </a:p>
      </dgm:t>
    </dgm:pt>
    <dgm:pt modelId="{CF7E8172-C1B0-5146-931F-1B4A6C88231F}" type="sibTrans" cxnId="{6119477F-35CE-2E4B-A55E-E695342587A0}">
      <dgm:prSet/>
      <dgm:spPr/>
      <dgm:t>
        <a:bodyPr/>
        <a:lstStyle/>
        <a:p>
          <a:endParaRPr lang="en-US"/>
        </a:p>
      </dgm:t>
    </dgm:pt>
    <dgm:pt modelId="{465DDD6F-3756-0943-86C9-6A8FE6ED8554}">
      <dgm:prSet phldrT="[Text]"/>
      <dgm:spPr/>
      <dgm:t>
        <a:bodyPr/>
        <a:lstStyle/>
        <a:p>
          <a:r>
            <a:rPr lang="en-US"/>
            <a:t>Objective self-assessment</a:t>
          </a:r>
        </a:p>
      </dgm:t>
    </dgm:pt>
    <dgm:pt modelId="{0C6DAFA2-3D5B-8442-8100-C4CFE720ABC9}" type="parTrans" cxnId="{FDCB5C76-BEB4-464C-A41E-8B17D1D2EF66}">
      <dgm:prSet/>
      <dgm:spPr/>
      <dgm:t>
        <a:bodyPr/>
        <a:lstStyle/>
        <a:p>
          <a:endParaRPr lang="en-US"/>
        </a:p>
      </dgm:t>
    </dgm:pt>
    <dgm:pt modelId="{0FD499E2-CD7E-074F-AD9C-8D588BF1E168}" type="sibTrans" cxnId="{FDCB5C76-BEB4-464C-A41E-8B17D1D2EF66}">
      <dgm:prSet/>
      <dgm:spPr/>
      <dgm:t>
        <a:bodyPr/>
        <a:lstStyle/>
        <a:p>
          <a:endParaRPr lang="en-US"/>
        </a:p>
      </dgm:t>
    </dgm:pt>
    <dgm:pt modelId="{0D4ADB1A-797B-704C-81EA-7311D3B61A40}">
      <dgm:prSet phldrT="[Text]"/>
      <dgm:spPr/>
      <dgm:t>
        <a:bodyPr/>
        <a:lstStyle/>
        <a:p>
          <a:r>
            <a:rPr lang="en-US"/>
            <a:t>Framework/ strategy/structure</a:t>
          </a:r>
        </a:p>
      </dgm:t>
    </dgm:pt>
    <dgm:pt modelId="{EB18CF88-57A5-614E-9AD5-846F42897453}" type="parTrans" cxnId="{E5FE56CE-5F81-9143-89DE-600B8D812757}">
      <dgm:prSet/>
      <dgm:spPr/>
      <dgm:t>
        <a:bodyPr/>
        <a:lstStyle/>
        <a:p>
          <a:endParaRPr lang="en-US"/>
        </a:p>
      </dgm:t>
    </dgm:pt>
    <dgm:pt modelId="{FB2B9DAB-8742-0943-9FF5-3CA483E3D099}" type="sibTrans" cxnId="{E5FE56CE-5F81-9143-89DE-600B8D812757}">
      <dgm:prSet/>
      <dgm:spPr/>
      <dgm:t>
        <a:bodyPr/>
        <a:lstStyle/>
        <a:p>
          <a:endParaRPr lang="en-US"/>
        </a:p>
      </dgm:t>
    </dgm:pt>
    <dgm:pt modelId="{36FBB908-E0F9-3E4C-A55F-BDFFB9AB8703}">
      <dgm:prSet/>
      <dgm:spPr/>
      <dgm:t>
        <a:bodyPr/>
        <a:lstStyle/>
        <a:p>
          <a:r>
            <a:rPr lang="en-US"/>
            <a:t>Fit to think </a:t>
          </a:r>
        </a:p>
      </dgm:t>
    </dgm:pt>
    <dgm:pt modelId="{3B992428-D239-3842-8688-2E91A6D5B8EA}" type="parTrans" cxnId="{8311EC5D-7325-6847-9044-B57779DA6D15}">
      <dgm:prSet/>
      <dgm:spPr/>
      <dgm:t>
        <a:bodyPr/>
        <a:lstStyle/>
        <a:p>
          <a:endParaRPr lang="en-US"/>
        </a:p>
      </dgm:t>
    </dgm:pt>
    <dgm:pt modelId="{F7157BF2-2E11-444D-A33D-1705026F1940}" type="sibTrans" cxnId="{8311EC5D-7325-6847-9044-B57779DA6D15}">
      <dgm:prSet/>
      <dgm:spPr/>
      <dgm:t>
        <a:bodyPr/>
        <a:lstStyle/>
        <a:p>
          <a:endParaRPr lang="en-US"/>
        </a:p>
      </dgm:t>
    </dgm:pt>
    <dgm:pt modelId="{783B7503-8636-C541-8166-6BD240F51A24}">
      <dgm:prSet/>
      <dgm:spPr/>
      <dgm:t>
        <a:bodyPr/>
        <a:lstStyle/>
        <a:p>
          <a:r>
            <a:rPr lang="en-US"/>
            <a:t>How to think under pressure</a:t>
          </a:r>
        </a:p>
      </dgm:t>
    </dgm:pt>
    <dgm:pt modelId="{B204665C-AC31-BD48-AEBC-5AA724BCC1A5}" type="parTrans" cxnId="{82CEB4D2-ECA7-8E45-9035-EE4DAE075B8F}">
      <dgm:prSet/>
      <dgm:spPr/>
      <dgm:t>
        <a:bodyPr/>
        <a:lstStyle/>
        <a:p>
          <a:endParaRPr lang="en-US"/>
        </a:p>
      </dgm:t>
    </dgm:pt>
    <dgm:pt modelId="{0148DA23-13B4-7D44-8C58-C92E91ED64EE}" type="sibTrans" cxnId="{82CEB4D2-ECA7-8E45-9035-EE4DAE075B8F}">
      <dgm:prSet/>
      <dgm:spPr/>
      <dgm:t>
        <a:bodyPr/>
        <a:lstStyle/>
        <a:p>
          <a:endParaRPr lang="en-US"/>
        </a:p>
      </dgm:t>
    </dgm:pt>
    <dgm:pt modelId="{DFD2087A-AA7D-D24D-9E9E-71A5CFCB9BA3}">
      <dgm:prSet/>
      <dgm:spPr/>
      <dgm:t>
        <a:bodyPr/>
        <a:lstStyle/>
        <a:p>
          <a:r>
            <a:rPr lang="en-US"/>
            <a:t>Flexibility in thought</a:t>
          </a:r>
        </a:p>
      </dgm:t>
    </dgm:pt>
    <dgm:pt modelId="{AED09052-5C41-5F40-99E5-83762E29DD0C}" type="parTrans" cxnId="{88F60446-EE97-B74E-8C48-49994D7FA92F}">
      <dgm:prSet/>
      <dgm:spPr/>
      <dgm:t>
        <a:bodyPr/>
        <a:lstStyle/>
        <a:p>
          <a:endParaRPr lang="en-US"/>
        </a:p>
      </dgm:t>
    </dgm:pt>
    <dgm:pt modelId="{2AA00744-0448-C242-9EC0-CAB3B22E7E08}" type="sibTrans" cxnId="{88F60446-EE97-B74E-8C48-49994D7FA92F}">
      <dgm:prSet/>
      <dgm:spPr/>
      <dgm:t>
        <a:bodyPr/>
        <a:lstStyle/>
        <a:p>
          <a:endParaRPr lang="en-US"/>
        </a:p>
      </dgm:t>
    </dgm:pt>
    <dgm:pt modelId="{860765D8-B5B2-AA4C-B27C-BCC941CA571A}">
      <dgm:prSet phldrT="[Text]"/>
      <dgm:spPr/>
      <dgm:t>
        <a:bodyPr/>
        <a:lstStyle/>
        <a:p>
          <a:r>
            <a:rPr lang="en-US"/>
            <a:t>Patient safety</a:t>
          </a:r>
        </a:p>
      </dgm:t>
    </dgm:pt>
    <dgm:pt modelId="{FFF1B4D1-CF30-1C4D-BEC6-08B1F5679CC4}" type="parTrans" cxnId="{0D02B22F-B169-0948-A5A9-14526F38CFDF}">
      <dgm:prSet/>
      <dgm:spPr/>
      <dgm:t>
        <a:bodyPr/>
        <a:lstStyle/>
        <a:p>
          <a:endParaRPr lang="en-US"/>
        </a:p>
      </dgm:t>
    </dgm:pt>
    <dgm:pt modelId="{F5C7A408-EE39-2A41-B63B-944C7DCDCCB5}" type="sibTrans" cxnId="{0D02B22F-B169-0948-A5A9-14526F38CFDF}">
      <dgm:prSet/>
      <dgm:spPr/>
      <dgm:t>
        <a:bodyPr/>
        <a:lstStyle/>
        <a:p>
          <a:endParaRPr lang="en-US"/>
        </a:p>
      </dgm:t>
    </dgm:pt>
    <dgm:pt modelId="{0D6B794E-1DAC-1D48-855A-D9C2ADC24CB6}">
      <dgm:prSet phldrT="[Text]"/>
      <dgm:spPr/>
      <dgm:t>
        <a:bodyPr/>
        <a:lstStyle/>
        <a:p>
          <a:r>
            <a:rPr lang="en-US"/>
            <a:t>Self-protection</a:t>
          </a:r>
        </a:p>
      </dgm:t>
    </dgm:pt>
    <dgm:pt modelId="{378EE33B-EB57-A64D-B526-B3632BD621EC}" type="parTrans" cxnId="{B95849B9-4373-F441-A342-337FB15A36DE}">
      <dgm:prSet/>
      <dgm:spPr/>
      <dgm:t>
        <a:bodyPr/>
        <a:lstStyle/>
        <a:p>
          <a:endParaRPr lang="en-US"/>
        </a:p>
      </dgm:t>
    </dgm:pt>
    <dgm:pt modelId="{D086AFCB-603A-C14C-8113-DFAD0076DFE0}" type="sibTrans" cxnId="{B95849B9-4373-F441-A342-337FB15A36DE}">
      <dgm:prSet/>
      <dgm:spPr/>
      <dgm:t>
        <a:bodyPr/>
        <a:lstStyle/>
        <a:p>
          <a:endParaRPr lang="en-US"/>
        </a:p>
      </dgm:t>
    </dgm:pt>
    <dgm:pt modelId="{882C8D9B-E903-114F-B093-7C7541FF6850}">
      <dgm:prSet phldrT="[Text]"/>
      <dgm:spPr/>
      <dgm:t>
        <a:bodyPr/>
        <a:lstStyle/>
        <a:p>
          <a:r>
            <a:rPr lang="en-US"/>
            <a:t>Learn to self correct</a:t>
          </a:r>
        </a:p>
      </dgm:t>
    </dgm:pt>
    <dgm:pt modelId="{E542EC12-B086-5545-9AEB-48182A273DAD}" type="parTrans" cxnId="{95ABE654-1A86-114A-8E20-812D4BA24614}">
      <dgm:prSet/>
      <dgm:spPr/>
      <dgm:t>
        <a:bodyPr/>
        <a:lstStyle/>
        <a:p>
          <a:endParaRPr lang="en-US"/>
        </a:p>
      </dgm:t>
    </dgm:pt>
    <dgm:pt modelId="{1D41D027-7B5F-FA41-853F-CC4B06746BA5}" type="sibTrans" cxnId="{95ABE654-1A86-114A-8E20-812D4BA24614}">
      <dgm:prSet/>
      <dgm:spPr/>
      <dgm:t>
        <a:bodyPr/>
        <a:lstStyle/>
        <a:p>
          <a:endParaRPr lang="en-US"/>
        </a:p>
      </dgm:t>
    </dgm:pt>
    <dgm:pt modelId="{CEDDA0A7-E006-1642-861A-937CB5AAA820}">
      <dgm:prSet phldrT="[Text]"/>
      <dgm:spPr/>
      <dgm:t>
        <a:bodyPr/>
        <a:lstStyle/>
        <a:p>
          <a:r>
            <a:rPr lang="en-US"/>
            <a:t>Understand and minimise impact</a:t>
          </a:r>
        </a:p>
      </dgm:t>
    </dgm:pt>
    <dgm:pt modelId="{42F401AE-E1A0-4E47-81BB-F9BF7AFBFD62}" type="parTrans" cxnId="{1B37A45F-D5E3-8349-9F8E-1482512EF35F}">
      <dgm:prSet/>
      <dgm:spPr/>
      <dgm:t>
        <a:bodyPr/>
        <a:lstStyle/>
        <a:p>
          <a:endParaRPr lang="en-US"/>
        </a:p>
      </dgm:t>
    </dgm:pt>
    <dgm:pt modelId="{3C80F0E0-C9F9-734A-BD5E-69CED30BDC41}" type="sibTrans" cxnId="{1B37A45F-D5E3-8349-9F8E-1482512EF35F}">
      <dgm:prSet/>
      <dgm:spPr/>
      <dgm:t>
        <a:bodyPr/>
        <a:lstStyle/>
        <a:p>
          <a:endParaRPr lang="en-US"/>
        </a:p>
      </dgm:t>
    </dgm:pt>
    <dgm:pt modelId="{58C642D3-53CE-ED4C-BF06-E47FBF3397C1}">
      <dgm:prSet phldrT="[Text]"/>
      <dgm:spPr/>
      <dgm:t>
        <a:bodyPr/>
        <a:lstStyle/>
        <a:p>
          <a:r>
            <a:rPr lang="en-US"/>
            <a:t>Patient safety</a:t>
          </a:r>
        </a:p>
      </dgm:t>
    </dgm:pt>
    <dgm:pt modelId="{5E467068-52C6-0647-83BB-9640C5CDFE57}" type="parTrans" cxnId="{4406C15E-B701-724E-AC2D-E71CB4D5CB14}">
      <dgm:prSet/>
      <dgm:spPr/>
      <dgm:t>
        <a:bodyPr/>
        <a:lstStyle/>
        <a:p>
          <a:endParaRPr lang="en-US"/>
        </a:p>
      </dgm:t>
    </dgm:pt>
    <dgm:pt modelId="{5E970779-7675-3E44-B6EC-6A0CAF34F3C4}" type="sibTrans" cxnId="{4406C15E-B701-724E-AC2D-E71CB4D5CB14}">
      <dgm:prSet/>
      <dgm:spPr/>
      <dgm:t>
        <a:bodyPr/>
        <a:lstStyle/>
        <a:p>
          <a:endParaRPr lang="en-US"/>
        </a:p>
      </dgm:t>
    </dgm:pt>
    <dgm:pt modelId="{FDDE80DA-B872-2A4D-9627-DCB4BE4A544E}">
      <dgm:prSet phldrT="[Text]"/>
      <dgm:spPr/>
      <dgm:t>
        <a:bodyPr/>
        <a:lstStyle/>
        <a:p>
          <a:r>
            <a:rPr lang="en-US"/>
            <a:t>Patient safety</a:t>
          </a:r>
        </a:p>
      </dgm:t>
    </dgm:pt>
    <dgm:pt modelId="{0F1134B1-E9C0-4F48-8634-7781A9FF21C4}" type="parTrans" cxnId="{D9A0DC46-F6FE-8C4B-8110-8104986F88AE}">
      <dgm:prSet/>
      <dgm:spPr/>
      <dgm:t>
        <a:bodyPr/>
        <a:lstStyle/>
        <a:p>
          <a:endParaRPr lang="en-US"/>
        </a:p>
      </dgm:t>
    </dgm:pt>
    <dgm:pt modelId="{93560408-6481-204B-A390-93E2734A973D}" type="sibTrans" cxnId="{D9A0DC46-F6FE-8C4B-8110-8104986F88AE}">
      <dgm:prSet/>
      <dgm:spPr/>
      <dgm:t>
        <a:bodyPr/>
        <a:lstStyle/>
        <a:p>
          <a:endParaRPr lang="en-US"/>
        </a:p>
      </dgm:t>
    </dgm:pt>
    <dgm:pt modelId="{33CA97C8-F40D-E148-8B77-4AB785C2B08F}">
      <dgm:prSet phldrT="[Text]"/>
      <dgm:spPr/>
      <dgm:t>
        <a:bodyPr/>
        <a:lstStyle/>
        <a:p>
          <a:r>
            <a:rPr lang="en-US"/>
            <a:t>How to minimise </a:t>
          </a:r>
        </a:p>
      </dgm:t>
    </dgm:pt>
    <dgm:pt modelId="{7B5F459C-0DD8-A14A-8579-07AA35F8CB63}" type="parTrans" cxnId="{A5F3979C-DD2B-5945-8714-549B26B8B56C}">
      <dgm:prSet/>
      <dgm:spPr/>
      <dgm:t>
        <a:bodyPr/>
        <a:lstStyle/>
        <a:p>
          <a:endParaRPr lang="en-US"/>
        </a:p>
      </dgm:t>
    </dgm:pt>
    <dgm:pt modelId="{B49F0459-C1AC-804B-90FF-A7FF66FFC71B}" type="sibTrans" cxnId="{A5F3979C-DD2B-5945-8714-549B26B8B56C}">
      <dgm:prSet/>
      <dgm:spPr/>
      <dgm:t>
        <a:bodyPr/>
        <a:lstStyle/>
        <a:p>
          <a:endParaRPr lang="en-US"/>
        </a:p>
      </dgm:t>
    </dgm:pt>
    <dgm:pt modelId="{EC45E36C-3516-3B4F-9CE2-08B57CF32441}">
      <dgm:prSet phldrT="[Text]"/>
      <dgm:spPr/>
      <dgm:t>
        <a:bodyPr/>
        <a:lstStyle/>
        <a:p>
          <a:r>
            <a:rPr lang="en-US"/>
            <a:t>How to remain focused/present</a:t>
          </a:r>
        </a:p>
      </dgm:t>
    </dgm:pt>
    <dgm:pt modelId="{1B464E6E-8103-EB4E-B59E-CB0C4AA8E8EE}" type="parTrans" cxnId="{2885DC1E-B7D3-0049-B6DD-41E6D077EEDA}">
      <dgm:prSet/>
      <dgm:spPr/>
      <dgm:t>
        <a:bodyPr/>
        <a:lstStyle/>
        <a:p>
          <a:endParaRPr lang="en-US"/>
        </a:p>
      </dgm:t>
    </dgm:pt>
    <dgm:pt modelId="{5B19FB72-E532-D242-A68B-B1ED1A80D2B8}" type="sibTrans" cxnId="{2885DC1E-B7D3-0049-B6DD-41E6D077EEDA}">
      <dgm:prSet/>
      <dgm:spPr/>
      <dgm:t>
        <a:bodyPr/>
        <a:lstStyle/>
        <a:p>
          <a:endParaRPr lang="en-US"/>
        </a:p>
      </dgm:t>
    </dgm:pt>
    <dgm:pt modelId="{3A07A013-BFF7-6A4E-823C-587B87356E4F}">
      <dgm:prSet phldrT="[Text]"/>
      <dgm:spPr/>
      <dgm:t>
        <a:bodyPr/>
        <a:lstStyle/>
        <a:p>
          <a:r>
            <a:rPr lang="en-US"/>
            <a:t>Patient safety</a:t>
          </a:r>
        </a:p>
      </dgm:t>
    </dgm:pt>
    <dgm:pt modelId="{81743381-7223-7E49-97E3-0A17979FB929}" type="parTrans" cxnId="{C55DD775-475E-6A45-B598-7C19B048E3D9}">
      <dgm:prSet/>
      <dgm:spPr/>
      <dgm:t>
        <a:bodyPr/>
        <a:lstStyle/>
        <a:p>
          <a:endParaRPr lang="en-US"/>
        </a:p>
      </dgm:t>
    </dgm:pt>
    <dgm:pt modelId="{3D02A8F8-55CD-3749-89B9-16E55D4F006E}" type="sibTrans" cxnId="{C55DD775-475E-6A45-B598-7C19B048E3D9}">
      <dgm:prSet/>
      <dgm:spPr/>
      <dgm:t>
        <a:bodyPr/>
        <a:lstStyle/>
        <a:p>
          <a:endParaRPr lang="en-US"/>
        </a:p>
      </dgm:t>
    </dgm:pt>
    <dgm:pt modelId="{57E7B5ED-B1DA-D149-B207-BA129B5A9D5B}">
      <dgm:prSet phldrT="[Text]"/>
      <dgm:spPr/>
      <dgm:t>
        <a:bodyPr/>
        <a:lstStyle/>
        <a:p>
          <a:r>
            <a:rPr lang="en-US"/>
            <a:t>Patient safety</a:t>
          </a:r>
        </a:p>
      </dgm:t>
    </dgm:pt>
    <dgm:pt modelId="{2AED3907-ECDE-BD48-A5A5-1543623D08A7}" type="parTrans" cxnId="{5362EB11-EF0D-0A46-872C-A969F0F736C4}">
      <dgm:prSet/>
      <dgm:spPr/>
      <dgm:t>
        <a:bodyPr/>
        <a:lstStyle/>
        <a:p>
          <a:endParaRPr lang="en-US"/>
        </a:p>
      </dgm:t>
    </dgm:pt>
    <dgm:pt modelId="{55887D3B-CD07-7745-87A8-F706966C752E}" type="sibTrans" cxnId="{5362EB11-EF0D-0A46-872C-A969F0F736C4}">
      <dgm:prSet/>
      <dgm:spPr/>
      <dgm:t>
        <a:bodyPr/>
        <a:lstStyle/>
        <a:p>
          <a:endParaRPr lang="en-US"/>
        </a:p>
      </dgm:t>
    </dgm:pt>
    <dgm:pt modelId="{8BD4F5D9-E2E9-2045-A1DC-CAF2B114952B}">
      <dgm:prSet phldrT="[Text]"/>
      <dgm:spPr/>
      <dgm:t>
        <a:bodyPr/>
        <a:lstStyle/>
        <a:p>
          <a:r>
            <a:rPr lang="en-US"/>
            <a:t>Manage complexity</a:t>
          </a:r>
        </a:p>
      </dgm:t>
    </dgm:pt>
    <dgm:pt modelId="{C2564780-98E5-8A42-847E-FBB95DC8F935}" type="parTrans" cxnId="{850ABB2D-DD6C-B44F-8D00-7F9E8CD776BA}">
      <dgm:prSet/>
      <dgm:spPr/>
      <dgm:t>
        <a:bodyPr/>
        <a:lstStyle/>
        <a:p>
          <a:endParaRPr lang="en-US"/>
        </a:p>
      </dgm:t>
    </dgm:pt>
    <dgm:pt modelId="{46C31ADA-B78B-DF4E-A885-52B126D0AE66}" type="sibTrans" cxnId="{850ABB2D-DD6C-B44F-8D00-7F9E8CD776BA}">
      <dgm:prSet/>
      <dgm:spPr/>
      <dgm:t>
        <a:bodyPr/>
        <a:lstStyle/>
        <a:p>
          <a:endParaRPr lang="en-US"/>
        </a:p>
      </dgm:t>
    </dgm:pt>
    <dgm:pt modelId="{3788289E-6D6B-7944-9BA7-6EC4E132453D}">
      <dgm:prSet phldrT="[Text]"/>
      <dgm:spPr/>
      <dgm:t>
        <a:bodyPr/>
        <a:lstStyle/>
        <a:p>
          <a:r>
            <a:rPr lang="en-US"/>
            <a:t>Synthesise in holistic manner</a:t>
          </a:r>
        </a:p>
      </dgm:t>
    </dgm:pt>
    <dgm:pt modelId="{6997AF15-5056-E14F-BB3A-745ACA686502}" type="parTrans" cxnId="{4D1354DF-1A5B-3A4E-9006-64E013CF8800}">
      <dgm:prSet/>
      <dgm:spPr/>
      <dgm:t>
        <a:bodyPr/>
        <a:lstStyle/>
        <a:p>
          <a:endParaRPr lang="en-US"/>
        </a:p>
      </dgm:t>
    </dgm:pt>
    <dgm:pt modelId="{535E72BF-85EB-8F40-8C09-5A4CFBBC7924}" type="sibTrans" cxnId="{4D1354DF-1A5B-3A4E-9006-64E013CF8800}">
      <dgm:prSet/>
      <dgm:spPr/>
      <dgm:t>
        <a:bodyPr/>
        <a:lstStyle/>
        <a:p>
          <a:endParaRPr lang="en-US"/>
        </a:p>
      </dgm:t>
    </dgm:pt>
    <dgm:pt modelId="{E6B3F358-CC28-4149-8E81-07B162AFEA50}">
      <dgm:prSet phldrT="[Text]"/>
      <dgm:spPr/>
      <dgm:t>
        <a:bodyPr/>
        <a:lstStyle/>
        <a:p>
          <a:r>
            <a:rPr lang="en-US"/>
            <a:t>Within environment and with equipment</a:t>
          </a:r>
        </a:p>
      </dgm:t>
    </dgm:pt>
    <dgm:pt modelId="{83B534ED-1816-614A-9F03-5287F1F4C3C2}" type="parTrans" cxnId="{36FD4C26-06E5-1843-B8D1-E8DE08DA046D}">
      <dgm:prSet/>
      <dgm:spPr/>
      <dgm:t>
        <a:bodyPr/>
        <a:lstStyle/>
        <a:p>
          <a:endParaRPr lang="en-US"/>
        </a:p>
      </dgm:t>
    </dgm:pt>
    <dgm:pt modelId="{DE4312CB-6C74-2246-B5A0-982C4AFEF9E1}" type="sibTrans" cxnId="{36FD4C26-06E5-1843-B8D1-E8DE08DA046D}">
      <dgm:prSet/>
      <dgm:spPr/>
      <dgm:t>
        <a:bodyPr/>
        <a:lstStyle/>
        <a:p>
          <a:endParaRPr lang="en-US"/>
        </a:p>
      </dgm:t>
    </dgm:pt>
    <dgm:pt modelId="{813C6849-A8C9-0A43-8215-00DD7F82E3DE}">
      <dgm:prSet phldrT="[Text]"/>
      <dgm:spPr/>
      <dgm:t>
        <a:bodyPr/>
        <a:lstStyle/>
        <a:p>
          <a:r>
            <a:rPr lang="en-US"/>
            <a:t>Prioritise</a:t>
          </a:r>
        </a:p>
      </dgm:t>
    </dgm:pt>
    <dgm:pt modelId="{DCE0C63B-0B50-2943-8D37-2ABDD6B58B14}" type="parTrans" cxnId="{6A50173E-B88F-8D48-9F6C-B5FAF0344AFE}">
      <dgm:prSet/>
      <dgm:spPr/>
      <dgm:t>
        <a:bodyPr/>
        <a:lstStyle/>
        <a:p>
          <a:endParaRPr lang="en-US"/>
        </a:p>
      </dgm:t>
    </dgm:pt>
    <dgm:pt modelId="{DC80A17B-6AE0-DF48-A76F-62D6567A2ABE}" type="sibTrans" cxnId="{6A50173E-B88F-8D48-9F6C-B5FAF0344AFE}">
      <dgm:prSet/>
      <dgm:spPr/>
      <dgm:t>
        <a:bodyPr/>
        <a:lstStyle/>
        <a:p>
          <a:endParaRPr lang="en-US"/>
        </a:p>
      </dgm:t>
    </dgm:pt>
    <dgm:pt modelId="{4C2EDF73-B0DC-D840-B224-69F5FD92CC90}">
      <dgm:prSet phldrT="[Text]"/>
      <dgm:spPr/>
      <dgm:t>
        <a:bodyPr/>
        <a:lstStyle/>
        <a:p>
          <a:r>
            <a:rPr lang="en-US"/>
            <a:t>Risk stratification</a:t>
          </a:r>
        </a:p>
      </dgm:t>
    </dgm:pt>
    <dgm:pt modelId="{31F604A1-C9DA-F548-A1ED-18EE8F51AF36}" type="parTrans" cxnId="{C716C517-C76E-D64C-820C-8178E8FDE1EA}">
      <dgm:prSet/>
      <dgm:spPr/>
      <dgm:t>
        <a:bodyPr/>
        <a:lstStyle/>
        <a:p>
          <a:endParaRPr lang="en-US"/>
        </a:p>
      </dgm:t>
    </dgm:pt>
    <dgm:pt modelId="{0BD19257-743F-9D4F-817C-D5A501B97022}" type="sibTrans" cxnId="{C716C517-C76E-D64C-820C-8178E8FDE1EA}">
      <dgm:prSet/>
      <dgm:spPr/>
      <dgm:t>
        <a:bodyPr/>
        <a:lstStyle/>
        <a:p>
          <a:endParaRPr lang="en-US"/>
        </a:p>
      </dgm:t>
    </dgm:pt>
    <dgm:pt modelId="{0C9CD2EC-18FB-2648-A307-220C0F1CEB7A}">
      <dgm:prSet phldrT="[Text]"/>
      <dgm:spPr/>
      <dgm:t>
        <a:bodyPr/>
        <a:lstStyle/>
        <a:p>
          <a:r>
            <a:rPr lang="en-US"/>
            <a:t>Deconstruct scenario </a:t>
          </a:r>
        </a:p>
      </dgm:t>
    </dgm:pt>
    <dgm:pt modelId="{41551931-B083-C547-B2E5-B13556582598}" type="parTrans" cxnId="{E102C431-B664-4444-BDE4-86B19A59D741}">
      <dgm:prSet/>
      <dgm:spPr/>
      <dgm:t>
        <a:bodyPr/>
        <a:lstStyle/>
        <a:p>
          <a:endParaRPr lang="en-US"/>
        </a:p>
      </dgm:t>
    </dgm:pt>
    <dgm:pt modelId="{A16F951E-9AD4-C74C-9ECB-21B6DEA91868}" type="sibTrans" cxnId="{E102C431-B664-4444-BDE4-86B19A59D741}">
      <dgm:prSet/>
      <dgm:spPr/>
      <dgm:t>
        <a:bodyPr/>
        <a:lstStyle/>
        <a:p>
          <a:endParaRPr lang="en-US"/>
        </a:p>
      </dgm:t>
    </dgm:pt>
    <dgm:pt modelId="{F62E0A5F-75F9-2044-A408-1006267DFE71}">
      <dgm:prSet phldrT="[Text]"/>
      <dgm:spPr/>
      <dgm:t>
        <a:bodyPr/>
        <a:lstStyle/>
        <a:p>
          <a:r>
            <a:rPr lang="en-US"/>
            <a:t>Reflect and self-correct</a:t>
          </a:r>
        </a:p>
      </dgm:t>
    </dgm:pt>
    <dgm:pt modelId="{B2BDC843-E22E-C14E-8C54-73146F18D74D}" type="parTrans" cxnId="{DB57E5EF-D2EA-9C47-925F-16B41462E392}">
      <dgm:prSet/>
      <dgm:spPr/>
      <dgm:t>
        <a:bodyPr/>
        <a:lstStyle/>
        <a:p>
          <a:endParaRPr lang="en-US"/>
        </a:p>
      </dgm:t>
    </dgm:pt>
    <dgm:pt modelId="{01ABC9B7-1D26-8844-B4C6-FA00F84E5AAD}" type="sibTrans" cxnId="{DB57E5EF-D2EA-9C47-925F-16B41462E392}">
      <dgm:prSet/>
      <dgm:spPr/>
      <dgm:t>
        <a:bodyPr/>
        <a:lstStyle/>
        <a:p>
          <a:endParaRPr lang="en-US"/>
        </a:p>
      </dgm:t>
    </dgm:pt>
    <dgm:pt modelId="{4B15793C-71FA-1A4A-9E7D-00D0985DA88C}">
      <dgm:prSet phldrT="[Text]"/>
      <dgm:spPr/>
      <dgm:t>
        <a:bodyPr/>
        <a:lstStyle/>
        <a:p>
          <a:r>
            <a:rPr lang="en-US"/>
            <a:t>Behaviour</a:t>
          </a:r>
        </a:p>
      </dgm:t>
    </dgm:pt>
    <dgm:pt modelId="{4FA9863D-FA96-C14E-B70A-04CFBAF76BAC}" type="sibTrans" cxnId="{468DE45D-157C-F149-B184-55D9A14D2F6B}">
      <dgm:prSet/>
      <dgm:spPr/>
      <dgm:t>
        <a:bodyPr/>
        <a:lstStyle/>
        <a:p>
          <a:endParaRPr lang="en-US"/>
        </a:p>
      </dgm:t>
    </dgm:pt>
    <dgm:pt modelId="{8200E950-B436-C240-9EF0-C3EBFDC3BA7E}" type="parTrans" cxnId="{468DE45D-157C-F149-B184-55D9A14D2F6B}">
      <dgm:prSet/>
      <dgm:spPr/>
      <dgm:t>
        <a:bodyPr/>
        <a:lstStyle/>
        <a:p>
          <a:endParaRPr lang="en-US"/>
        </a:p>
      </dgm:t>
    </dgm:pt>
    <dgm:pt modelId="{75634039-15F2-6246-B1EC-15A054EF50BF}">
      <dgm:prSet phldrT="[Text]"/>
      <dgm:spPr/>
      <dgm:t>
        <a:bodyPr/>
        <a:lstStyle/>
        <a:p>
          <a:r>
            <a:rPr lang="en-US"/>
            <a:t>Reconstruct scenario</a:t>
          </a:r>
        </a:p>
      </dgm:t>
    </dgm:pt>
    <dgm:pt modelId="{0D177F67-5279-F046-92F6-777A13035113}" type="parTrans" cxnId="{C9C0AF67-8951-744C-9243-77E9D2D28434}">
      <dgm:prSet/>
      <dgm:spPr/>
      <dgm:t>
        <a:bodyPr/>
        <a:lstStyle/>
        <a:p>
          <a:endParaRPr lang="en-US"/>
        </a:p>
      </dgm:t>
    </dgm:pt>
    <dgm:pt modelId="{98624D9E-7A43-6445-BD2D-71B31D192298}" type="sibTrans" cxnId="{C9C0AF67-8951-744C-9243-77E9D2D28434}">
      <dgm:prSet/>
      <dgm:spPr/>
      <dgm:t>
        <a:bodyPr/>
        <a:lstStyle/>
        <a:p>
          <a:endParaRPr lang="en-US"/>
        </a:p>
      </dgm:t>
    </dgm:pt>
    <dgm:pt modelId="{720B48A7-DA6C-ED4D-B29B-2688FCDBF080}">
      <dgm:prSet phldrT="[Text]"/>
      <dgm:spPr/>
      <dgm:t>
        <a:bodyPr/>
        <a:lstStyle/>
        <a:p>
          <a:r>
            <a:rPr lang="en-US"/>
            <a:t>Consequence learning </a:t>
          </a:r>
        </a:p>
      </dgm:t>
    </dgm:pt>
    <dgm:pt modelId="{335737D1-B9FD-F543-BBB0-866C04970F19}" type="parTrans" cxnId="{E98B3725-D6F7-494D-9E86-785EF7F651D5}">
      <dgm:prSet/>
      <dgm:spPr/>
      <dgm:t>
        <a:bodyPr/>
        <a:lstStyle/>
        <a:p>
          <a:endParaRPr lang="en-US"/>
        </a:p>
      </dgm:t>
    </dgm:pt>
    <dgm:pt modelId="{7BA2BF5E-2289-2C47-B159-A0444C1BB764}" type="sibTrans" cxnId="{E98B3725-D6F7-494D-9E86-785EF7F651D5}">
      <dgm:prSet/>
      <dgm:spPr/>
      <dgm:t>
        <a:bodyPr/>
        <a:lstStyle/>
        <a:p>
          <a:endParaRPr lang="en-US"/>
        </a:p>
      </dgm:t>
    </dgm:pt>
    <dgm:pt modelId="{8A272FD7-137D-3345-A79A-1192C0B7F59C}">
      <dgm:prSet/>
      <dgm:spPr/>
      <dgm:t>
        <a:bodyPr/>
        <a:lstStyle/>
        <a:p>
          <a:r>
            <a:rPr lang="en-US"/>
            <a:t>Explore &amp; modify behaviour</a:t>
          </a:r>
        </a:p>
      </dgm:t>
    </dgm:pt>
    <dgm:pt modelId="{8A9D59F1-9800-C14D-B610-3997B14A2C93}" type="parTrans" cxnId="{67C7967A-2138-3F4B-8FB7-8A684357ABFF}">
      <dgm:prSet/>
      <dgm:spPr/>
      <dgm:t>
        <a:bodyPr/>
        <a:lstStyle/>
        <a:p>
          <a:endParaRPr lang="en-US"/>
        </a:p>
      </dgm:t>
    </dgm:pt>
    <dgm:pt modelId="{DBCE69ED-5236-E148-A80E-A16FCC7BAFFB}" type="sibTrans" cxnId="{67C7967A-2138-3F4B-8FB7-8A684357ABFF}">
      <dgm:prSet/>
      <dgm:spPr/>
      <dgm:t>
        <a:bodyPr/>
        <a:lstStyle/>
        <a:p>
          <a:endParaRPr lang="en-US"/>
        </a:p>
      </dgm:t>
    </dgm:pt>
    <dgm:pt modelId="{7E0D3819-4E8C-4947-81EB-E456E998C684}">
      <dgm:prSet/>
      <dgm:spPr/>
      <dgm:t>
        <a:bodyPr/>
        <a:lstStyle/>
        <a:p>
          <a:r>
            <a:rPr lang="en-US"/>
            <a:t>Meaningful behavioural change</a:t>
          </a:r>
        </a:p>
      </dgm:t>
    </dgm:pt>
    <dgm:pt modelId="{84BF64FF-9818-EA42-A294-D6F3BD66D076}" type="parTrans" cxnId="{E5097226-CAEF-9042-897D-A4AC8C399863}">
      <dgm:prSet/>
      <dgm:spPr/>
      <dgm:t>
        <a:bodyPr/>
        <a:lstStyle/>
        <a:p>
          <a:endParaRPr lang="en-US"/>
        </a:p>
      </dgm:t>
    </dgm:pt>
    <dgm:pt modelId="{A5E2247F-7AC3-2A47-AEC3-738F572E0916}" type="sibTrans" cxnId="{E5097226-CAEF-9042-897D-A4AC8C399863}">
      <dgm:prSet/>
      <dgm:spPr/>
      <dgm:t>
        <a:bodyPr/>
        <a:lstStyle/>
        <a:p>
          <a:endParaRPr lang="en-US"/>
        </a:p>
      </dgm:t>
    </dgm:pt>
    <dgm:pt modelId="{6D76A105-1FF2-1C45-91C5-6FF3BDA0C30C}">
      <dgm:prSet/>
      <dgm:spPr/>
      <dgm:t>
        <a:bodyPr/>
        <a:lstStyle/>
        <a:p>
          <a:r>
            <a:rPr lang="en-US"/>
            <a:t>Patient safety</a:t>
          </a:r>
        </a:p>
      </dgm:t>
    </dgm:pt>
    <dgm:pt modelId="{AA94F12D-6505-1449-945A-85E9AF3FB0C7}" type="parTrans" cxnId="{D259DBA8-05DC-274E-A85E-7541B90A9B18}">
      <dgm:prSet/>
      <dgm:spPr/>
      <dgm:t>
        <a:bodyPr/>
        <a:lstStyle/>
        <a:p>
          <a:endParaRPr lang="en-US"/>
        </a:p>
      </dgm:t>
    </dgm:pt>
    <dgm:pt modelId="{9ED4245C-5BC8-A74F-93AC-812634406411}" type="sibTrans" cxnId="{D259DBA8-05DC-274E-A85E-7541B90A9B18}">
      <dgm:prSet/>
      <dgm:spPr/>
      <dgm:t>
        <a:bodyPr/>
        <a:lstStyle/>
        <a:p>
          <a:endParaRPr lang="en-US"/>
        </a:p>
      </dgm:t>
    </dgm:pt>
    <dgm:pt modelId="{1CF2D16F-F77D-7E40-B43C-CF152DCDBF2E}">
      <dgm:prSet/>
      <dgm:spPr/>
      <dgm:t>
        <a:bodyPr/>
        <a:lstStyle/>
        <a:p>
          <a:r>
            <a:rPr lang="en-US"/>
            <a:t>Experience impact on others behaviour</a:t>
          </a:r>
        </a:p>
      </dgm:t>
    </dgm:pt>
    <dgm:pt modelId="{12E5A8D9-B8D7-374F-A3DD-7B7A1B672D1F}" type="parTrans" cxnId="{461F38EE-5AA6-ED44-BD7D-F934EDCDE68D}">
      <dgm:prSet/>
      <dgm:spPr/>
      <dgm:t>
        <a:bodyPr/>
        <a:lstStyle/>
        <a:p>
          <a:endParaRPr lang="en-US"/>
        </a:p>
      </dgm:t>
    </dgm:pt>
    <dgm:pt modelId="{7D2A691B-A3C3-3743-891C-28EFC92C0098}" type="sibTrans" cxnId="{461F38EE-5AA6-ED44-BD7D-F934EDCDE68D}">
      <dgm:prSet/>
      <dgm:spPr/>
      <dgm:t>
        <a:bodyPr/>
        <a:lstStyle/>
        <a:p>
          <a:endParaRPr lang="en-US"/>
        </a:p>
      </dgm:t>
    </dgm:pt>
    <dgm:pt modelId="{BE7F27C9-5D43-3A4C-A51C-FC4BD163CFC9}">
      <dgm:prSet/>
      <dgm:spPr/>
      <dgm:t>
        <a:bodyPr/>
        <a:lstStyle/>
        <a:p>
          <a:r>
            <a:rPr lang="en-US"/>
            <a:t>Team behavioural biases</a:t>
          </a:r>
        </a:p>
      </dgm:t>
    </dgm:pt>
    <dgm:pt modelId="{9FD09810-7825-BF45-87E5-F5179EFB6B31}" type="parTrans" cxnId="{F9AB81D7-8DFE-FE45-ACE8-A5744220544E}">
      <dgm:prSet/>
      <dgm:spPr/>
      <dgm:t>
        <a:bodyPr/>
        <a:lstStyle/>
        <a:p>
          <a:endParaRPr lang="en-US"/>
        </a:p>
      </dgm:t>
    </dgm:pt>
    <dgm:pt modelId="{EFFBB0F7-38A0-AB46-9405-EF1E5DEF5BFB}" type="sibTrans" cxnId="{F9AB81D7-8DFE-FE45-ACE8-A5744220544E}">
      <dgm:prSet/>
      <dgm:spPr/>
      <dgm:t>
        <a:bodyPr/>
        <a:lstStyle/>
        <a:p>
          <a:endParaRPr lang="en-US"/>
        </a:p>
      </dgm:t>
    </dgm:pt>
    <dgm:pt modelId="{A75EC999-4247-F84C-92DC-2C25D726A745}">
      <dgm:prSet/>
      <dgm:spPr/>
      <dgm:t>
        <a:bodyPr/>
        <a:lstStyle/>
        <a:p>
          <a:r>
            <a:rPr lang="en-US"/>
            <a:t>Emotional intelligence</a:t>
          </a:r>
        </a:p>
      </dgm:t>
    </dgm:pt>
    <dgm:pt modelId="{62CD8A9A-5A3D-0C44-82BB-F2D700407317}" type="parTrans" cxnId="{DE72DF93-1FA3-6346-9D0B-0DBC5364ACAB}">
      <dgm:prSet/>
      <dgm:spPr/>
      <dgm:t>
        <a:bodyPr/>
        <a:lstStyle/>
        <a:p>
          <a:endParaRPr lang="en-US"/>
        </a:p>
      </dgm:t>
    </dgm:pt>
    <dgm:pt modelId="{67A76C69-CDD8-7B4E-A89C-99C5E94760A6}" type="sibTrans" cxnId="{DE72DF93-1FA3-6346-9D0B-0DBC5364ACAB}">
      <dgm:prSet/>
      <dgm:spPr/>
      <dgm:t>
        <a:bodyPr/>
        <a:lstStyle/>
        <a:p>
          <a:endParaRPr lang="en-US"/>
        </a:p>
      </dgm:t>
    </dgm:pt>
    <dgm:pt modelId="{7A3B4591-82B8-4249-B244-1B280D1C2D79}">
      <dgm:prSet/>
      <dgm:spPr/>
      <dgm:t>
        <a:bodyPr/>
        <a:lstStyle/>
        <a:p>
          <a:r>
            <a:rPr lang="en-US"/>
            <a:t>Enhance teamwork </a:t>
          </a:r>
        </a:p>
      </dgm:t>
    </dgm:pt>
    <dgm:pt modelId="{49B62420-6A29-2741-AC14-16907352841B}" type="parTrans" cxnId="{3BF5DC30-4A44-CE4B-8888-1CBAD6D8FD24}">
      <dgm:prSet/>
      <dgm:spPr/>
      <dgm:t>
        <a:bodyPr/>
        <a:lstStyle/>
        <a:p>
          <a:endParaRPr lang="en-US"/>
        </a:p>
      </dgm:t>
    </dgm:pt>
    <dgm:pt modelId="{7DCA3933-E799-964B-AC3B-3671BE981ADE}" type="sibTrans" cxnId="{3BF5DC30-4A44-CE4B-8888-1CBAD6D8FD24}">
      <dgm:prSet/>
      <dgm:spPr/>
      <dgm:t>
        <a:bodyPr/>
        <a:lstStyle/>
        <a:p>
          <a:endParaRPr lang="en-US"/>
        </a:p>
      </dgm:t>
    </dgm:pt>
    <dgm:pt modelId="{D5F80929-995E-D144-AC1A-7F390989C50F}">
      <dgm:prSet/>
      <dgm:spPr/>
      <dgm:t>
        <a:bodyPr/>
        <a:lstStyle/>
        <a:p>
          <a:r>
            <a:rPr lang="en-US"/>
            <a:t>Patient and relatives</a:t>
          </a:r>
        </a:p>
      </dgm:t>
    </dgm:pt>
    <dgm:pt modelId="{BE43D6BE-EE0F-4D45-97E9-37DF1F4C6CFC}" type="parTrans" cxnId="{33B803EA-E755-9A43-8F76-6622C0C6A8DD}">
      <dgm:prSet/>
      <dgm:spPr/>
      <dgm:t>
        <a:bodyPr/>
        <a:lstStyle/>
        <a:p>
          <a:endParaRPr lang="en-US"/>
        </a:p>
      </dgm:t>
    </dgm:pt>
    <dgm:pt modelId="{71497E74-D195-F841-A920-6666252E990E}" type="sibTrans" cxnId="{33B803EA-E755-9A43-8F76-6622C0C6A8DD}">
      <dgm:prSet/>
      <dgm:spPr/>
      <dgm:t>
        <a:bodyPr/>
        <a:lstStyle/>
        <a:p>
          <a:endParaRPr lang="en-US"/>
        </a:p>
      </dgm:t>
    </dgm:pt>
    <dgm:pt modelId="{32C55B03-672F-CF46-9829-8E2A74CF4B2F}">
      <dgm:prSet/>
      <dgm:spPr/>
      <dgm:t>
        <a:bodyPr/>
        <a:lstStyle/>
        <a:p>
          <a:r>
            <a:rPr lang="en-US"/>
            <a:t>Emotional intelligence</a:t>
          </a:r>
        </a:p>
      </dgm:t>
    </dgm:pt>
    <dgm:pt modelId="{839A4CCA-7415-1940-836B-E0289AC767BF}" type="parTrans" cxnId="{011AF06E-1983-D94A-A128-116B52C70BCF}">
      <dgm:prSet/>
      <dgm:spPr/>
      <dgm:t>
        <a:bodyPr/>
        <a:lstStyle/>
        <a:p>
          <a:endParaRPr lang="en-US"/>
        </a:p>
      </dgm:t>
    </dgm:pt>
    <dgm:pt modelId="{E09FD08C-1B0F-EE49-BB08-45DAEBB71A15}" type="sibTrans" cxnId="{011AF06E-1983-D94A-A128-116B52C70BCF}">
      <dgm:prSet/>
      <dgm:spPr/>
      <dgm:t>
        <a:bodyPr/>
        <a:lstStyle/>
        <a:p>
          <a:endParaRPr lang="en-US"/>
        </a:p>
      </dgm:t>
    </dgm:pt>
    <dgm:pt modelId="{C1A8D6DA-92DB-8A4E-9954-0B6634231362}">
      <dgm:prSet/>
      <dgm:spPr/>
      <dgm:t>
        <a:bodyPr/>
        <a:lstStyle/>
        <a:p>
          <a:r>
            <a:rPr lang="en-US"/>
            <a:t> Enhance rapport</a:t>
          </a:r>
        </a:p>
      </dgm:t>
    </dgm:pt>
    <dgm:pt modelId="{D9D97CE4-D6E3-344E-897C-3804EDC1CDA8}" type="parTrans" cxnId="{9C84D477-925D-2945-BB42-46E25A812BED}">
      <dgm:prSet/>
      <dgm:spPr/>
      <dgm:t>
        <a:bodyPr/>
        <a:lstStyle/>
        <a:p>
          <a:endParaRPr lang="en-US"/>
        </a:p>
      </dgm:t>
    </dgm:pt>
    <dgm:pt modelId="{AF397418-EBDF-3142-BD35-60DDB68BFF6D}" type="sibTrans" cxnId="{9C84D477-925D-2945-BB42-46E25A812BED}">
      <dgm:prSet/>
      <dgm:spPr/>
      <dgm:t>
        <a:bodyPr/>
        <a:lstStyle/>
        <a:p>
          <a:endParaRPr lang="en-US"/>
        </a:p>
      </dgm:t>
    </dgm:pt>
    <dgm:pt modelId="{0E27F051-1033-2142-9BB5-D64B25A4791A}">
      <dgm:prSet/>
      <dgm:spPr/>
      <dgm:t>
        <a:bodyPr/>
        <a:lstStyle/>
        <a:p>
          <a:r>
            <a:rPr lang="en-US"/>
            <a:t>Understand own response in crisis</a:t>
          </a:r>
        </a:p>
      </dgm:t>
    </dgm:pt>
    <dgm:pt modelId="{98D17164-CF9F-DA4B-AFA7-A0BA8010EA49}" type="parTrans" cxnId="{E5EB2AF9-CC54-CE4C-BF70-E5C9097241F6}">
      <dgm:prSet/>
      <dgm:spPr/>
      <dgm:t>
        <a:bodyPr/>
        <a:lstStyle/>
        <a:p>
          <a:endParaRPr lang="en-US"/>
        </a:p>
      </dgm:t>
    </dgm:pt>
    <dgm:pt modelId="{6F71AC08-14DF-E541-B657-0BE80B292CA3}" type="sibTrans" cxnId="{E5EB2AF9-CC54-CE4C-BF70-E5C9097241F6}">
      <dgm:prSet/>
      <dgm:spPr/>
      <dgm:t>
        <a:bodyPr/>
        <a:lstStyle/>
        <a:p>
          <a:endParaRPr lang="en-US"/>
        </a:p>
      </dgm:t>
    </dgm:pt>
    <dgm:pt modelId="{F584A177-03C3-6F4B-9B05-60A438A93D74}">
      <dgm:prSet phldrT="[Text]"/>
      <dgm:spPr/>
      <dgm:t>
        <a:bodyPr/>
        <a:lstStyle/>
        <a:p>
          <a:r>
            <a:rPr lang="en-US"/>
            <a:t>Experience influence of culture and hierarchy</a:t>
          </a:r>
        </a:p>
      </dgm:t>
    </dgm:pt>
    <dgm:pt modelId="{AC649F95-A9B4-4C4B-9C39-63A344AEA245}" type="parTrans" cxnId="{FAE7B37D-382C-F643-8981-18B35D938B71}">
      <dgm:prSet/>
      <dgm:spPr/>
      <dgm:t>
        <a:bodyPr/>
        <a:lstStyle/>
        <a:p>
          <a:endParaRPr lang="en-US"/>
        </a:p>
      </dgm:t>
    </dgm:pt>
    <dgm:pt modelId="{8A77FD48-2C25-1D4D-B2EC-349AB6FBB316}" type="sibTrans" cxnId="{FAE7B37D-382C-F643-8981-18B35D938B71}">
      <dgm:prSet/>
      <dgm:spPr/>
      <dgm:t>
        <a:bodyPr/>
        <a:lstStyle/>
        <a:p>
          <a:endParaRPr lang="en-US"/>
        </a:p>
      </dgm:t>
    </dgm:pt>
    <dgm:pt modelId="{252E39C4-D9B4-B44A-B8D8-0274723E5C8C}">
      <dgm:prSet phldrT="[Text]"/>
      <dgm:spPr/>
      <dgm:t>
        <a:bodyPr/>
        <a:lstStyle/>
        <a:p>
          <a:r>
            <a:rPr lang="en-US"/>
            <a:t>Assert self appropriately</a:t>
          </a:r>
        </a:p>
      </dgm:t>
    </dgm:pt>
    <dgm:pt modelId="{3F8C8E64-0D30-1C4A-B09F-C8C6B752AA2C}" type="parTrans" cxnId="{8D75C7F1-3438-7549-B4B4-F78811FD7DE0}">
      <dgm:prSet/>
      <dgm:spPr/>
      <dgm:t>
        <a:bodyPr/>
        <a:lstStyle/>
        <a:p>
          <a:endParaRPr lang="en-US"/>
        </a:p>
      </dgm:t>
    </dgm:pt>
    <dgm:pt modelId="{67CEE332-01B4-3E4E-BCFA-A532A48F2B5F}" type="sibTrans" cxnId="{8D75C7F1-3438-7549-B4B4-F78811FD7DE0}">
      <dgm:prSet/>
      <dgm:spPr/>
      <dgm:t>
        <a:bodyPr/>
        <a:lstStyle/>
        <a:p>
          <a:endParaRPr lang="en-US"/>
        </a:p>
      </dgm:t>
    </dgm:pt>
    <dgm:pt modelId="{7A0AAB08-CE84-B243-A5E5-66DD99C49372}">
      <dgm:prSet phldrT="[Text]"/>
      <dgm:spPr/>
      <dgm:t>
        <a:bodyPr/>
        <a:lstStyle/>
        <a:p>
          <a:r>
            <a:rPr lang="en-US"/>
            <a:t>Access hierarchy/challenge appropriately</a:t>
          </a:r>
        </a:p>
      </dgm:t>
    </dgm:pt>
    <dgm:pt modelId="{B1ACDF18-49A5-A249-A1E1-B48F2906E55D}" type="parTrans" cxnId="{739DA395-3AD0-294D-A4B2-18B7BCB07B59}">
      <dgm:prSet/>
      <dgm:spPr/>
      <dgm:t>
        <a:bodyPr/>
        <a:lstStyle/>
        <a:p>
          <a:endParaRPr lang="en-US"/>
        </a:p>
      </dgm:t>
    </dgm:pt>
    <dgm:pt modelId="{1BB24475-9906-2344-8A1C-AE257206CFDB}" type="sibTrans" cxnId="{739DA395-3AD0-294D-A4B2-18B7BCB07B59}">
      <dgm:prSet/>
      <dgm:spPr/>
      <dgm:t>
        <a:bodyPr/>
        <a:lstStyle/>
        <a:p>
          <a:endParaRPr lang="en-US"/>
        </a:p>
      </dgm:t>
    </dgm:pt>
    <dgm:pt modelId="{27C5132D-0ACD-8645-97A9-26717F4DF6FE}">
      <dgm:prSet phldrT="[Text]"/>
      <dgm:spPr/>
      <dgm:t>
        <a:bodyPr/>
        <a:lstStyle/>
        <a:p>
          <a:r>
            <a:rPr lang="en-US"/>
            <a:t>Patient safety</a:t>
          </a:r>
        </a:p>
      </dgm:t>
    </dgm:pt>
    <dgm:pt modelId="{43244DE2-ED6C-BE41-A011-FB0B5D17F1CE}" type="parTrans" cxnId="{8DA7BA8D-54B3-134C-A517-C1404284CCA8}">
      <dgm:prSet/>
      <dgm:spPr/>
      <dgm:t>
        <a:bodyPr/>
        <a:lstStyle/>
        <a:p>
          <a:endParaRPr lang="en-US"/>
        </a:p>
      </dgm:t>
    </dgm:pt>
    <dgm:pt modelId="{4C97257A-2953-6D43-A109-CB3F5A3A5A58}" type="sibTrans" cxnId="{8DA7BA8D-54B3-134C-A517-C1404284CCA8}">
      <dgm:prSet/>
      <dgm:spPr/>
      <dgm:t>
        <a:bodyPr/>
        <a:lstStyle/>
        <a:p>
          <a:endParaRPr lang="en-US"/>
        </a:p>
      </dgm:t>
    </dgm:pt>
    <dgm:pt modelId="{9E2C1592-68CF-3C4B-83BD-24A509F8E537}">
      <dgm:prSet/>
      <dgm:spPr/>
      <dgm:t>
        <a:bodyPr/>
        <a:lstStyle/>
        <a:p>
          <a:r>
            <a:rPr lang="en-US"/>
            <a:t>Recognise limitations/ when stuck</a:t>
          </a:r>
        </a:p>
      </dgm:t>
    </dgm:pt>
    <dgm:pt modelId="{A4B6F8FF-598D-2447-B562-0D0A72B49782}" type="parTrans" cxnId="{39755B63-2063-F144-9AB2-0AC183E82CC6}">
      <dgm:prSet/>
      <dgm:spPr/>
      <dgm:t>
        <a:bodyPr/>
        <a:lstStyle/>
        <a:p>
          <a:endParaRPr lang="en-US"/>
        </a:p>
      </dgm:t>
    </dgm:pt>
    <dgm:pt modelId="{D199FEF8-88CC-9A47-B839-462A32808259}" type="sibTrans" cxnId="{39755B63-2063-F144-9AB2-0AC183E82CC6}">
      <dgm:prSet/>
      <dgm:spPr/>
      <dgm:t>
        <a:bodyPr/>
        <a:lstStyle/>
        <a:p>
          <a:endParaRPr lang="en-US"/>
        </a:p>
      </dgm:t>
    </dgm:pt>
    <dgm:pt modelId="{39F57C71-6724-EE49-8C9F-062D560C9925}">
      <dgm:prSet/>
      <dgm:spPr/>
      <dgm:t>
        <a:bodyPr/>
        <a:lstStyle/>
        <a:p>
          <a:r>
            <a:rPr lang="en-US"/>
            <a:t>Access help/team</a:t>
          </a:r>
        </a:p>
      </dgm:t>
    </dgm:pt>
    <dgm:pt modelId="{662060BB-54B2-F642-9E2A-5D02AE931534}" type="parTrans" cxnId="{43028203-CFBE-6C4B-A9EE-3DD8BE45BF1C}">
      <dgm:prSet/>
      <dgm:spPr/>
      <dgm:t>
        <a:bodyPr/>
        <a:lstStyle/>
        <a:p>
          <a:endParaRPr lang="en-US"/>
        </a:p>
      </dgm:t>
    </dgm:pt>
    <dgm:pt modelId="{8C83BEE6-8ED7-8C46-A18B-96A4F80FECA9}" type="sibTrans" cxnId="{43028203-CFBE-6C4B-A9EE-3DD8BE45BF1C}">
      <dgm:prSet/>
      <dgm:spPr/>
      <dgm:t>
        <a:bodyPr/>
        <a:lstStyle/>
        <a:p>
          <a:endParaRPr lang="en-US"/>
        </a:p>
      </dgm:t>
    </dgm:pt>
    <dgm:pt modelId="{55703B07-F5B4-204A-AEC2-425C83EF6EFF}">
      <dgm:prSet/>
      <dgm:spPr/>
      <dgm:t>
        <a:bodyPr/>
        <a:lstStyle/>
        <a:p>
          <a:r>
            <a:rPr lang="en-US"/>
            <a:t>Patient safety</a:t>
          </a:r>
        </a:p>
      </dgm:t>
    </dgm:pt>
    <dgm:pt modelId="{1B62C1C4-2BCE-D543-BEC5-AF80EF3BA04B}" type="parTrans" cxnId="{E44FBA9D-8118-DF44-AAFB-35EE27B96554}">
      <dgm:prSet/>
      <dgm:spPr/>
      <dgm:t>
        <a:bodyPr/>
        <a:lstStyle/>
        <a:p>
          <a:endParaRPr lang="en-US"/>
        </a:p>
      </dgm:t>
    </dgm:pt>
    <dgm:pt modelId="{BEBD33C3-76F1-FB40-B598-00CADCA4156E}" type="sibTrans" cxnId="{E44FBA9D-8118-DF44-AAFB-35EE27B96554}">
      <dgm:prSet/>
      <dgm:spPr/>
      <dgm:t>
        <a:bodyPr/>
        <a:lstStyle/>
        <a:p>
          <a:endParaRPr lang="en-US"/>
        </a:p>
      </dgm:t>
    </dgm:pt>
    <dgm:pt modelId="{9911B2E0-1F3C-024F-9F73-E926FE255A4D}">
      <dgm:prSet/>
      <dgm:spPr/>
      <dgm:t>
        <a:bodyPr/>
        <a:lstStyle/>
        <a:p>
          <a:r>
            <a:rPr lang="en-US"/>
            <a:t>Consequence learning</a:t>
          </a:r>
        </a:p>
      </dgm:t>
    </dgm:pt>
    <dgm:pt modelId="{8F654256-E27C-704D-80D3-7F41545613CB}" type="parTrans" cxnId="{E5F1951B-FCAD-D243-8B0B-275348D68198}">
      <dgm:prSet/>
      <dgm:spPr/>
      <dgm:t>
        <a:bodyPr/>
        <a:lstStyle/>
        <a:p>
          <a:endParaRPr lang="en-US"/>
        </a:p>
      </dgm:t>
    </dgm:pt>
    <dgm:pt modelId="{0F066765-4E94-084B-8AA3-B8C0D82337D3}" type="sibTrans" cxnId="{E5F1951B-FCAD-D243-8B0B-275348D68198}">
      <dgm:prSet/>
      <dgm:spPr/>
      <dgm:t>
        <a:bodyPr/>
        <a:lstStyle/>
        <a:p>
          <a:endParaRPr lang="en-US"/>
        </a:p>
      </dgm:t>
    </dgm:pt>
    <dgm:pt modelId="{C674E128-7E49-ED4F-B46C-F569D7625526}">
      <dgm:prSet/>
      <dgm:spPr/>
      <dgm:t>
        <a:bodyPr/>
        <a:lstStyle/>
        <a:p>
          <a:r>
            <a:rPr lang="en-US"/>
            <a:t>Act</a:t>
          </a:r>
        </a:p>
      </dgm:t>
    </dgm:pt>
    <dgm:pt modelId="{9A71CE3C-DEBB-EA44-8279-08E809E3FD5A}" type="parTrans" cxnId="{1CBAEBB8-0D56-6A41-AA28-B1FCD11172C1}">
      <dgm:prSet/>
      <dgm:spPr/>
      <dgm:t>
        <a:bodyPr/>
        <a:lstStyle/>
        <a:p>
          <a:endParaRPr lang="en-US"/>
        </a:p>
      </dgm:t>
    </dgm:pt>
    <dgm:pt modelId="{40A770FA-2D79-004E-8DD4-94F92EFB7964}" type="sibTrans" cxnId="{1CBAEBB8-0D56-6A41-AA28-B1FCD11172C1}">
      <dgm:prSet/>
      <dgm:spPr/>
      <dgm:t>
        <a:bodyPr/>
        <a:lstStyle/>
        <a:p>
          <a:endParaRPr lang="en-US"/>
        </a:p>
      </dgm:t>
    </dgm:pt>
    <dgm:pt modelId="{057E0A13-9939-8E4B-9971-05E12D42F428}">
      <dgm:prSet/>
      <dgm:spPr/>
      <dgm:t>
        <a:bodyPr/>
        <a:lstStyle/>
        <a:p>
          <a:r>
            <a:rPr lang="en-US"/>
            <a:t>Omit</a:t>
          </a:r>
        </a:p>
      </dgm:t>
    </dgm:pt>
    <dgm:pt modelId="{9C5D4721-0A47-7742-94BD-93AA629602EB}" type="parTrans" cxnId="{CFAFF800-991A-4A44-8728-B902F2C866EB}">
      <dgm:prSet/>
      <dgm:spPr/>
      <dgm:t>
        <a:bodyPr/>
        <a:lstStyle/>
        <a:p>
          <a:endParaRPr lang="en-US"/>
        </a:p>
      </dgm:t>
    </dgm:pt>
    <dgm:pt modelId="{FE5FE632-C65D-B14E-82BB-7D0535A43AE9}" type="sibTrans" cxnId="{CFAFF800-991A-4A44-8728-B902F2C866EB}">
      <dgm:prSet/>
      <dgm:spPr/>
      <dgm:t>
        <a:bodyPr/>
        <a:lstStyle/>
        <a:p>
          <a:endParaRPr lang="en-US"/>
        </a:p>
      </dgm:t>
    </dgm:pt>
    <dgm:pt modelId="{B395BB7C-33C3-E942-B3C1-45D4A9CF7EA4}">
      <dgm:prSet/>
      <dgm:spPr/>
      <dgm:t>
        <a:bodyPr/>
        <a:lstStyle/>
        <a:p>
          <a:r>
            <a:rPr lang="en-US"/>
            <a:t>Outcome</a:t>
          </a:r>
        </a:p>
      </dgm:t>
    </dgm:pt>
    <dgm:pt modelId="{56A0FDB9-CD33-CB4A-86F2-F37646361D10}" type="parTrans" cxnId="{6C39224D-6DA0-C649-A4AC-13BDEA765A0E}">
      <dgm:prSet/>
      <dgm:spPr/>
      <dgm:t>
        <a:bodyPr/>
        <a:lstStyle/>
        <a:p>
          <a:endParaRPr lang="en-US"/>
        </a:p>
      </dgm:t>
    </dgm:pt>
    <dgm:pt modelId="{51583216-5E88-154B-9AB0-1699423CD704}" type="sibTrans" cxnId="{6C39224D-6DA0-C649-A4AC-13BDEA765A0E}">
      <dgm:prSet/>
      <dgm:spPr/>
      <dgm:t>
        <a:bodyPr/>
        <a:lstStyle/>
        <a:p>
          <a:endParaRPr lang="en-US"/>
        </a:p>
      </dgm:t>
    </dgm:pt>
    <dgm:pt modelId="{DEAF05CD-88C2-2040-BB22-57BF25E4C322}">
      <dgm:prSet/>
      <dgm:spPr/>
      <dgm:t>
        <a:bodyPr/>
        <a:lstStyle/>
        <a:p>
          <a:r>
            <a:rPr lang="en-US"/>
            <a:t>Feedback</a:t>
          </a:r>
        </a:p>
      </dgm:t>
    </dgm:pt>
    <dgm:pt modelId="{07B070ED-17A6-1544-B553-3A84ABFC9478}" type="parTrans" cxnId="{2E44F508-104C-D444-BE39-5BECF9D9F0A3}">
      <dgm:prSet/>
      <dgm:spPr/>
      <dgm:t>
        <a:bodyPr/>
        <a:lstStyle/>
        <a:p>
          <a:endParaRPr lang="en-US"/>
        </a:p>
      </dgm:t>
    </dgm:pt>
    <dgm:pt modelId="{76FF9FEC-83FB-3544-A3EF-717BEE05046D}" type="sibTrans" cxnId="{2E44F508-104C-D444-BE39-5BECF9D9F0A3}">
      <dgm:prSet/>
      <dgm:spPr/>
      <dgm:t>
        <a:bodyPr/>
        <a:lstStyle/>
        <a:p>
          <a:endParaRPr lang="en-US"/>
        </a:p>
      </dgm:t>
    </dgm:pt>
    <dgm:pt modelId="{CAD48502-1339-464C-B623-DED6A3EB2866}">
      <dgm:prSet/>
      <dgm:spPr/>
      <dgm:t>
        <a:bodyPr/>
        <a:lstStyle/>
        <a:p>
          <a:r>
            <a:rPr lang="en-US"/>
            <a:t>Outcome</a:t>
          </a:r>
        </a:p>
      </dgm:t>
    </dgm:pt>
    <dgm:pt modelId="{D0BE74C5-6255-A64D-8A30-1E25A39B2A06}" type="parTrans" cxnId="{216574DD-631F-B046-9387-950C3C04A930}">
      <dgm:prSet/>
      <dgm:spPr/>
      <dgm:t>
        <a:bodyPr/>
        <a:lstStyle/>
        <a:p>
          <a:endParaRPr lang="en-US"/>
        </a:p>
      </dgm:t>
    </dgm:pt>
    <dgm:pt modelId="{4D37B4E1-FB1C-FF44-8CA5-BB59DEE3A42D}" type="sibTrans" cxnId="{216574DD-631F-B046-9387-950C3C04A930}">
      <dgm:prSet/>
      <dgm:spPr/>
      <dgm:t>
        <a:bodyPr/>
        <a:lstStyle/>
        <a:p>
          <a:endParaRPr lang="en-US"/>
        </a:p>
      </dgm:t>
    </dgm:pt>
    <dgm:pt modelId="{039CE7B2-824F-034A-B238-9CEDA9BFDDD0}">
      <dgm:prSet/>
      <dgm:spPr/>
      <dgm:t>
        <a:bodyPr/>
        <a:lstStyle/>
        <a:p>
          <a:r>
            <a:rPr lang="en-US"/>
            <a:t>Feedback</a:t>
          </a:r>
        </a:p>
      </dgm:t>
    </dgm:pt>
    <dgm:pt modelId="{05753FB2-7758-F048-86E2-2B99D33EFB48}" type="parTrans" cxnId="{AD6FEBE9-8FB4-0443-A9A4-5C581A3096C4}">
      <dgm:prSet/>
      <dgm:spPr/>
      <dgm:t>
        <a:bodyPr/>
        <a:lstStyle/>
        <a:p>
          <a:endParaRPr lang="en-US"/>
        </a:p>
      </dgm:t>
    </dgm:pt>
    <dgm:pt modelId="{A1BAD40A-2A37-CD46-9867-A94D7021D326}" type="sibTrans" cxnId="{AD6FEBE9-8FB4-0443-A9A4-5C581A3096C4}">
      <dgm:prSet/>
      <dgm:spPr/>
      <dgm:t>
        <a:bodyPr/>
        <a:lstStyle/>
        <a:p>
          <a:endParaRPr lang="en-US"/>
        </a:p>
      </dgm:t>
    </dgm:pt>
    <dgm:pt modelId="{9653A3DA-630B-3541-8B42-ADD100B81603}">
      <dgm:prSet/>
      <dgm:spPr/>
      <dgm:t>
        <a:bodyPr/>
        <a:lstStyle/>
        <a:p>
          <a:r>
            <a:rPr lang="en-US"/>
            <a:t>Manage complexity</a:t>
          </a:r>
        </a:p>
      </dgm:t>
    </dgm:pt>
    <dgm:pt modelId="{49FA51BC-13F8-3648-955B-68545A49B7A4}" type="parTrans" cxnId="{58A87C3C-E4F3-8641-91A3-F206B7EF6F88}">
      <dgm:prSet/>
      <dgm:spPr/>
      <dgm:t>
        <a:bodyPr/>
        <a:lstStyle/>
        <a:p>
          <a:endParaRPr lang="en-US"/>
        </a:p>
      </dgm:t>
    </dgm:pt>
    <dgm:pt modelId="{E2151005-DFB0-A441-AE94-863D60094E4F}" type="sibTrans" cxnId="{58A87C3C-E4F3-8641-91A3-F206B7EF6F88}">
      <dgm:prSet/>
      <dgm:spPr/>
      <dgm:t>
        <a:bodyPr/>
        <a:lstStyle/>
        <a:p>
          <a:endParaRPr lang="en-US"/>
        </a:p>
      </dgm:t>
    </dgm:pt>
    <dgm:pt modelId="{A1587CDD-2A23-9A4D-BBC4-9A5BAD32B9EB}">
      <dgm:prSet/>
      <dgm:spPr/>
      <dgm:t>
        <a:bodyPr/>
        <a:lstStyle/>
        <a:p>
          <a:r>
            <a:rPr lang="en-US"/>
            <a:t>Framework</a:t>
          </a:r>
        </a:p>
      </dgm:t>
    </dgm:pt>
    <dgm:pt modelId="{1CAC6327-888D-0F46-877B-745877E4FADE}" type="parTrans" cxnId="{EAEA64ED-0F2C-6F48-9D54-3E640BA8CED9}">
      <dgm:prSet/>
      <dgm:spPr/>
      <dgm:t>
        <a:bodyPr/>
        <a:lstStyle/>
        <a:p>
          <a:endParaRPr lang="en-US"/>
        </a:p>
      </dgm:t>
    </dgm:pt>
    <dgm:pt modelId="{8884D493-CA15-4D41-A33B-7F14337D78BD}" type="sibTrans" cxnId="{EAEA64ED-0F2C-6F48-9D54-3E640BA8CED9}">
      <dgm:prSet/>
      <dgm:spPr/>
      <dgm:t>
        <a:bodyPr/>
        <a:lstStyle/>
        <a:p>
          <a:endParaRPr lang="en-US"/>
        </a:p>
      </dgm:t>
    </dgm:pt>
    <dgm:pt modelId="{881904A5-9B65-E244-99B0-72E8F383A36F}">
      <dgm:prSet/>
      <dgm:spPr/>
      <dgm:t>
        <a:bodyPr/>
        <a:lstStyle/>
        <a:p>
          <a:r>
            <a:rPr lang="en-US"/>
            <a:t>Prioritise</a:t>
          </a:r>
        </a:p>
      </dgm:t>
    </dgm:pt>
    <dgm:pt modelId="{6E23B088-7254-3F46-886E-0ED69F000A67}" type="parTrans" cxnId="{88C6DE05-5261-3445-9116-0E9E5452F26E}">
      <dgm:prSet/>
      <dgm:spPr/>
      <dgm:t>
        <a:bodyPr/>
        <a:lstStyle/>
        <a:p>
          <a:endParaRPr lang="en-US"/>
        </a:p>
      </dgm:t>
    </dgm:pt>
    <dgm:pt modelId="{F4316925-F035-0449-BFF8-EEF2019DFE50}" type="sibTrans" cxnId="{88C6DE05-5261-3445-9116-0E9E5452F26E}">
      <dgm:prSet/>
      <dgm:spPr/>
      <dgm:t>
        <a:bodyPr/>
        <a:lstStyle/>
        <a:p>
          <a:endParaRPr lang="en-US"/>
        </a:p>
      </dgm:t>
    </dgm:pt>
    <dgm:pt modelId="{8B0DAAE7-B401-3248-A48A-0C12B627AAE7}">
      <dgm:prSet/>
      <dgm:spPr/>
      <dgm:t>
        <a:bodyPr/>
        <a:lstStyle/>
        <a:p>
          <a:r>
            <a:rPr lang="en-US"/>
            <a:t>Refine skills and judgment</a:t>
          </a:r>
        </a:p>
      </dgm:t>
    </dgm:pt>
    <dgm:pt modelId="{677DA4EE-A1C5-FD48-8498-8C30E228B0C9}" type="parTrans" cxnId="{D6DB88C3-52A5-3C42-BCE0-C30FDAB5A367}">
      <dgm:prSet/>
      <dgm:spPr/>
      <dgm:t>
        <a:bodyPr/>
        <a:lstStyle/>
        <a:p>
          <a:endParaRPr lang="en-US"/>
        </a:p>
      </dgm:t>
    </dgm:pt>
    <dgm:pt modelId="{2CA1AFF0-1ACC-5243-A475-CC70A93C20CA}" type="sibTrans" cxnId="{D6DB88C3-52A5-3C42-BCE0-C30FDAB5A367}">
      <dgm:prSet/>
      <dgm:spPr/>
      <dgm:t>
        <a:bodyPr/>
        <a:lstStyle/>
        <a:p>
          <a:endParaRPr lang="en-US"/>
        </a:p>
      </dgm:t>
    </dgm:pt>
    <dgm:pt modelId="{F1F679CB-924A-9740-BFE5-4EA39D8F28C6}">
      <dgm:prSet phldrT="[Text]"/>
      <dgm:spPr/>
      <dgm:t>
        <a:bodyPr/>
        <a:lstStyle/>
        <a:p>
          <a:r>
            <a:rPr lang="en-US"/>
            <a:t>Justification/ clinical reasoning</a:t>
          </a:r>
        </a:p>
      </dgm:t>
    </dgm:pt>
    <dgm:pt modelId="{A73DA725-FFFF-9A46-8044-434A1D595106}" type="parTrans" cxnId="{89A698E4-F4AE-BF48-9229-8E19D759F98C}">
      <dgm:prSet/>
      <dgm:spPr/>
      <dgm:t>
        <a:bodyPr/>
        <a:lstStyle/>
        <a:p>
          <a:endParaRPr lang="en-US"/>
        </a:p>
      </dgm:t>
    </dgm:pt>
    <dgm:pt modelId="{C698C39D-2A1C-0C4B-82D1-92AB68B1BD01}" type="sibTrans" cxnId="{89A698E4-F4AE-BF48-9229-8E19D759F98C}">
      <dgm:prSet/>
      <dgm:spPr/>
      <dgm:t>
        <a:bodyPr/>
        <a:lstStyle/>
        <a:p>
          <a:endParaRPr lang="en-US"/>
        </a:p>
      </dgm:t>
    </dgm:pt>
    <dgm:pt modelId="{43875140-1255-FC40-A8FB-CF6B33B64566}">
      <dgm:prSet phldrT="[Text]"/>
      <dgm:spPr/>
      <dgm:t>
        <a:bodyPr/>
        <a:lstStyle/>
        <a:p>
          <a:r>
            <a:rPr lang="en-US"/>
            <a:t>Close loop on action/ follow up</a:t>
          </a:r>
        </a:p>
      </dgm:t>
    </dgm:pt>
    <dgm:pt modelId="{2D971DE0-589F-2A4A-ADA1-B1E673B2E7EF}" type="parTrans" cxnId="{3A9EDBEA-AE86-BA42-B331-70EAD9C35749}">
      <dgm:prSet/>
      <dgm:spPr/>
      <dgm:t>
        <a:bodyPr/>
        <a:lstStyle/>
        <a:p>
          <a:endParaRPr lang="en-US"/>
        </a:p>
      </dgm:t>
    </dgm:pt>
    <dgm:pt modelId="{86DC6268-021A-CA43-B5B7-A2AF9D5334E4}" type="sibTrans" cxnId="{3A9EDBEA-AE86-BA42-B331-70EAD9C35749}">
      <dgm:prSet/>
      <dgm:spPr/>
      <dgm:t>
        <a:bodyPr/>
        <a:lstStyle/>
        <a:p>
          <a:endParaRPr lang="en-US"/>
        </a:p>
      </dgm:t>
    </dgm:pt>
    <dgm:pt modelId="{54F38B82-6435-A649-AEB2-742F57D0E16D}">
      <dgm:prSet phldrT="[Text]"/>
      <dgm:spPr/>
      <dgm:t>
        <a:bodyPr/>
        <a:lstStyle/>
        <a:p>
          <a:r>
            <a:rPr lang="en-US"/>
            <a:t>Patient safety</a:t>
          </a:r>
        </a:p>
      </dgm:t>
    </dgm:pt>
    <dgm:pt modelId="{22AB3447-4AD4-F542-9B74-FCC9EB659DCD}" type="parTrans" cxnId="{C5CB35F3-628D-5A45-9B3A-7846A6A3CD4F}">
      <dgm:prSet/>
      <dgm:spPr/>
      <dgm:t>
        <a:bodyPr/>
        <a:lstStyle/>
        <a:p>
          <a:endParaRPr lang="en-US"/>
        </a:p>
      </dgm:t>
    </dgm:pt>
    <dgm:pt modelId="{6F9047E7-1B32-8A45-8962-385C50D23713}" type="sibTrans" cxnId="{C5CB35F3-628D-5A45-9B3A-7846A6A3CD4F}">
      <dgm:prSet/>
      <dgm:spPr/>
      <dgm:t>
        <a:bodyPr/>
        <a:lstStyle/>
        <a:p>
          <a:endParaRPr lang="en-US"/>
        </a:p>
      </dgm:t>
    </dgm:pt>
    <dgm:pt modelId="{5E66860A-DFA7-1443-BD03-E42ACAF7B46A}">
      <dgm:prSet/>
      <dgm:spPr/>
      <dgm:t>
        <a:bodyPr/>
        <a:lstStyle/>
        <a:p>
          <a:r>
            <a:rPr lang="en-US"/>
            <a:t>Team</a:t>
          </a:r>
        </a:p>
      </dgm:t>
    </dgm:pt>
    <dgm:pt modelId="{245A84A5-455B-A147-88F3-D1522DAAA763}" type="parTrans" cxnId="{1D064B97-0BC7-8B4F-A442-775439B6B152}">
      <dgm:prSet/>
      <dgm:spPr/>
      <dgm:t>
        <a:bodyPr/>
        <a:lstStyle/>
        <a:p>
          <a:endParaRPr lang="en-US"/>
        </a:p>
      </dgm:t>
    </dgm:pt>
    <dgm:pt modelId="{DAC768AA-7740-1E46-8C82-01E31E9645CF}" type="sibTrans" cxnId="{1D064B97-0BC7-8B4F-A442-775439B6B152}">
      <dgm:prSet/>
      <dgm:spPr/>
      <dgm:t>
        <a:bodyPr/>
        <a:lstStyle/>
        <a:p>
          <a:endParaRPr lang="en-US"/>
        </a:p>
      </dgm:t>
    </dgm:pt>
    <dgm:pt modelId="{9D758B81-B5C2-1943-9D4C-0DA33722FC06}">
      <dgm:prSet/>
      <dgm:spPr/>
      <dgm:t>
        <a:bodyPr/>
        <a:lstStyle/>
        <a:p>
          <a:r>
            <a:rPr lang="en-US"/>
            <a:t>Team member</a:t>
          </a:r>
        </a:p>
      </dgm:t>
    </dgm:pt>
    <dgm:pt modelId="{F3252B19-1571-5344-A1A2-AD8919BC1075}" type="parTrans" cxnId="{70BFC79E-87A2-F346-B046-A39AA15EC268}">
      <dgm:prSet/>
      <dgm:spPr/>
      <dgm:t>
        <a:bodyPr/>
        <a:lstStyle/>
        <a:p>
          <a:endParaRPr lang="en-US"/>
        </a:p>
      </dgm:t>
    </dgm:pt>
    <dgm:pt modelId="{2BEEF7C5-D556-4E4B-8BCB-8DD6B65B77B6}" type="sibTrans" cxnId="{70BFC79E-87A2-F346-B046-A39AA15EC268}">
      <dgm:prSet/>
      <dgm:spPr/>
      <dgm:t>
        <a:bodyPr/>
        <a:lstStyle/>
        <a:p>
          <a:endParaRPr lang="en-US"/>
        </a:p>
      </dgm:t>
    </dgm:pt>
    <dgm:pt modelId="{A137832E-3BFD-EB46-89D7-F46FBDC3B142}">
      <dgm:prSet/>
      <dgm:spPr/>
      <dgm:t>
        <a:bodyPr/>
        <a:lstStyle/>
        <a:p>
          <a:r>
            <a:rPr lang="en-US"/>
            <a:t>Team leader</a:t>
          </a:r>
        </a:p>
      </dgm:t>
    </dgm:pt>
    <dgm:pt modelId="{8E184C55-1C78-D042-ADB2-632BFC0D5FC3}" type="parTrans" cxnId="{642AE23A-EBE9-C14F-928D-11AF6B0FE7E5}">
      <dgm:prSet/>
      <dgm:spPr/>
      <dgm:t>
        <a:bodyPr/>
        <a:lstStyle/>
        <a:p>
          <a:endParaRPr lang="en-US"/>
        </a:p>
      </dgm:t>
    </dgm:pt>
    <dgm:pt modelId="{7E8DA7C8-A2F2-E44E-96F1-6AC89ABB6C43}" type="sibTrans" cxnId="{642AE23A-EBE9-C14F-928D-11AF6B0FE7E5}">
      <dgm:prSet/>
      <dgm:spPr/>
      <dgm:t>
        <a:bodyPr/>
        <a:lstStyle/>
        <a:p>
          <a:endParaRPr lang="en-US"/>
        </a:p>
      </dgm:t>
    </dgm:pt>
    <dgm:pt modelId="{3442AE2C-3866-854A-82D6-E5EEF172C613}">
      <dgm:prSet/>
      <dgm:spPr/>
      <dgm:t>
        <a:bodyPr/>
        <a:lstStyle/>
        <a:p>
          <a:r>
            <a:rPr lang="en-US"/>
            <a:t>Communication effectiveness</a:t>
          </a:r>
        </a:p>
      </dgm:t>
    </dgm:pt>
    <dgm:pt modelId="{2A99ABF2-1810-4D46-BB6B-51F0792BDF75}" type="parTrans" cxnId="{5B1CF47B-FE02-154E-8ACF-EF0D0B9AFF99}">
      <dgm:prSet/>
      <dgm:spPr/>
      <dgm:t>
        <a:bodyPr/>
        <a:lstStyle/>
        <a:p>
          <a:endParaRPr lang="en-US"/>
        </a:p>
      </dgm:t>
    </dgm:pt>
    <dgm:pt modelId="{8B8B18B5-1E28-2D48-958F-2D9A8D3D7AC4}" type="sibTrans" cxnId="{5B1CF47B-FE02-154E-8ACF-EF0D0B9AFF99}">
      <dgm:prSet/>
      <dgm:spPr/>
      <dgm:t>
        <a:bodyPr/>
        <a:lstStyle/>
        <a:p>
          <a:endParaRPr lang="en-US"/>
        </a:p>
      </dgm:t>
    </dgm:pt>
    <dgm:pt modelId="{4314B020-F441-A94D-B582-02A2130EA2B5}">
      <dgm:prSet/>
      <dgm:spPr/>
      <dgm:t>
        <a:bodyPr/>
        <a:lstStyle/>
        <a:p>
          <a:r>
            <a:rPr lang="en-US"/>
            <a:t>Leadership skills</a:t>
          </a:r>
        </a:p>
      </dgm:t>
    </dgm:pt>
    <dgm:pt modelId="{DB6651C5-1F20-1A4E-8B51-7DF07EB3E4BE}" type="parTrans" cxnId="{A4CBF431-BA77-B140-99BE-87A3914366F6}">
      <dgm:prSet/>
      <dgm:spPr/>
      <dgm:t>
        <a:bodyPr/>
        <a:lstStyle/>
        <a:p>
          <a:endParaRPr lang="en-US"/>
        </a:p>
      </dgm:t>
    </dgm:pt>
    <dgm:pt modelId="{1071C9BD-27EA-874C-BEA4-3F6619065883}" type="sibTrans" cxnId="{A4CBF431-BA77-B140-99BE-87A3914366F6}">
      <dgm:prSet/>
      <dgm:spPr/>
      <dgm:t>
        <a:bodyPr/>
        <a:lstStyle/>
        <a:p>
          <a:endParaRPr lang="en-US"/>
        </a:p>
      </dgm:t>
    </dgm:pt>
    <dgm:pt modelId="{D9CD62FD-F750-1F48-9B63-88BFBFA74EF3}">
      <dgm:prSet/>
      <dgm:spPr/>
      <dgm:t>
        <a:bodyPr/>
        <a:lstStyle/>
        <a:p>
          <a:r>
            <a:rPr lang="en-US"/>
            <a:t>Consequence learning</a:t>
          </a:r>
        </a:p>
      </dgm:t>
    </dgm:pt>
    <dgm:pt modelId="{FB0BA340-1287-6F40-A882-9CAF97D49B02}" type="parTrans" cxnId="{B01E4D46-EC04-B343-A4D0-1E0C93D6329D}">
      <dgm:prSet/>
      <dgm:spPr/>
      <dgm:t>
        <a:bodyPr/>
        <a:lstStyle/>
        <a:p>
          <a:endParaRPr lang="en-US"/>
        </a:p>
      </dgm:t>
    </dgm:pt>
    <dgm:pt modelId="{BBA11B6B-97FF-5A49-AC2A-E160CD19DA3D}" type="sibTrans" cxnId="{B01E4D46-EC04-B343-A4D0-1E0C93D6329D}">
      <dgm:prSet/>
      <dgm:spPr/>
      <dgm:t>
        <a:bodyPr/>
        <a:lstStyle/>
        <a:p>
          <a:endParaRPr lang="en-US"/>
        </a:p>
      </dgm:t>
    </dgm:pt>
    <dgm:pt modelId="{9D1867B4-11C7-A843-A324-42813C0E17E3}">
      <dgm:prSet/>
      <dgm:spPr/>
      <dgm:t>
        <a:bodyPr/>
        <a:lstStyle/>
        <a:p>
          <a:r>
            <a:rPr lang="en-US"/>
            <a:t>Prioritisation</a:t>
          </a:r>
        </a:p>
      </dgm:t>
    </dgm:pt>
    <dgm:pt modelId="{A982A071-AE54-EE40-B47C-659C2263303C}" type="parTrans" cxnId="{39D8E6AF-1856-E849-B888-EF5D07448BDE}">
      <dgm:prSet/>
      <dgm:spPr/>
      <dgm:t>
        <a:bodyPr/>
        <a:lstStyle/>
        <a:p>
          <a:endParaRPr lang="en-US"/>
        </a:p>
      </dgm:t>
    </dgm:pt>
    <dgm:pt modelId="{9A6AC2CB-F372-164C-A551-6AD85AA7CC19}" type="sibTrans" cxnId="{39D8E6AF-1856-E849-B888-EF5D07448BDE}">
      <dgm:prSet/>
      <dgm:spPr/>
      <dgm:t>
        <a:bodyPr/>
        <a:lstStyle/>
        <a:p>
          <a:endParaRPr lang="en-US"/>
        </a:p>
      </dgm:t>
    </dgm:pt>
    <dgm:pt modelId="{76B27DA6-1ACB-AE42-95BD-19CFDED1A7B3}">
      <dgm:prSet/>
      <dgm:spPr/>
      <dgm:t>
        <a:bodyPr/>
        <a:lstStyle/>
        <a:p>
          <a:r>
            <a:rPr lang="en-US"/>
            <a:t>Responsibility</a:t>
          </a:r>
        </a:p>
      </dgm:t>
    </dgm:pt>
    <dgm:pt modelId="{6989CB89-43B1-E345-81FA-122774F7D212}" type="parTrans" cxnId="{FA500666-5F13-034B-A0B0-2F71F4A0A30A}">
      <dgm:prSet/>
      <dgm:spPr/>
      <dgm:t>
        <a:bodyPr/>
        <a:lstStyle/>
        <a:p>
          <a:endParaRPr lang="en-US"/>
        </a:p>
      </dgm:t>
    </dgm:pt>
    <dgm:pt modelId="{5BE9E76A-D554-F744-B355-5330292DAA63}" type="sibTrans" cxnId="{FA500666-5F13-034B-A0B0-2F71F4A0A30A}">
      <dgm:prSet/>
      <dgm:spPr/>
      <dgm:t>
        <a:bodyPr/>
        <a:lstStyle/>
        <a:p>
          <a:endParaRPr lang="en-US"/>
        </a:p>
      </dgm:t>
    </dgm:pt>
    <dgm:pt modelId="{D45416C0-E8C5-844E-BD32-B3DF69AFC82B}">
      <dgm:prSet/>
      <dgm:spPr/>
      <dgm:t>
        <a:bodyPr/>
        <a:lstStyle/>
        <a:p>
          <a:r>
            <a:rPr lang="en-US"/>
            <a:t>Action vs omission</a:t>
          </a:r>
        </a:p>
      </dgm:t>
    </dgm:pt>
    <dgm:pt modelId="{985BB076-8F1E-2143-BBFD-F1E3E109766A}" type="parTrans" cxnId="{4C6DE608-AE3C-2F4E-A882-6A611F7D546F}">
      <dgm:prSet/>
      <dgm:spPr/>
      <dgm:t>
        <a:bodyPr/>
        <a:lstStyle/>
        <a:p>
          <a:endParaRPr lang="en-US"/>
        </a:p>
      </dgm:t>
    </dgm:pt>
    <dgm:pt modelId="{C484D087-9426-6849-BA40-5DE26C823713}" type="sibTrans" cxnId="{4C6DE608-AE3C-2F4E-A882-6A611F7D546F}">
      <dgm:prSet/>
      <dgm:spPr/>
      <dgm:t>
        <a:bodyPr/>
        <a:lstStyle/>
        <a:p>
          <a:endParaRPr lang="en-US"/>
        </a:p>
      </dgm:t>
    </dgm:pt>
    <dgm:pt modelId="{3E7902D5-EB38-EC46-8F1A-49269BAD7730}">
      <dgm:prSet/>
      <dgm:spPr/>
      <dgm:t>
        <a:bodyPr/>
        <a:lstStyle/>
        <a:p>
          <a:r>
            <a:rPr lang="en-US"/>
            <a:t>Outcome</a:t>
          </a:r>
        </a:p>
      </dgm:t>
    </dgm:pt>
    <dgm:pt modelId="{5C415EF6-6FC6-8346-9A67-DC768A3F5FA2}" type="parTrans" cxnId="{8E89143C-0A8E-664F-B7E9-3BE472BF813F}">
      <dgm:prSet/>
      <dgm:spPr/>
      <dgm:t>
        <a:bodyPr/>
        <a:lstStyle/>
        <a:p>
          <a:endParaRPr lang="en-US"/>
        </a:p>
      </dgm:t>
    </dgm:pt>
    <dgm:pt modelId="{71D50389-DEB3-9940-8C7D-2B2EB9EEC92E}" type="sibTrans" cxnId="{8E89143C-0A8E-664F-B7E9-3BE472BF813F}">
      <dgm:prSet/>
      <dgm:spPr/>
      <dgm:t>
        <a:bodyPr/>
        <a:lstStyle/>
        <a:p>
          <a:endParaRPr lang="en-US"/>
        </a:p>
      </dgm:t>
    </dgm:pt>
    <dgm:pt modelId="{76CC34A3-FE6A-5D41-8F17-B1A2777F672C}">
      <dgm:prSet/>
      <dgm:spPr/>
      <dgm:t>
        <a:bodyPr/>
        <a:lstStyle/>
        <a:p>
          <a:r>
            <a:rPr lang="en-US"/>
            <a:t>Patient safety impact</a:t>
          </a:r>
        </a:p>
      </dgm:t>
    </dgm:pt>
    <dgm:pt modelId="{17A1240D-8C80-5343-AA5A-E9D5BBC693B4}" type="parTrans" cxnId="{B352FAF2-0F1F-4F43-9FBD-D9F87C3EF5BB}">
      <dgm:prSet/>
      <dgm:spPr/>
      <dgm:t>
        <a:bodyPr/>
        <a:lstStyle/>
        <a:p>
          <a:endParaRPr lang="en-US"/>
        </a:p>
      </dgm:t>
    </dgm:pt>
    <dgm:pt modelId="{C01D900B-7B04-BE4D-AA87-582AB35DD0AC}" type="sibTrans" cxnId="{B352FAF2-0F1F-4F43-9FBD-D9F87C3EF5BB}">
      <dgm:prSet/>
      <dgm:spPr/>
      <dgm:t>
        <a:bodyPr/>
        <a:lstStyle/>
        <a:p>
          <a:endParaRPr lang="en-US"/>
        </a:p>
      </dgm:t>
    </dgm:pt>
    <dgm:pt modelId="{0EE11476-9D4D-C642-9798-B64BDCC6E9BD}">
      <dgm:prSet/>
      <dgm:spPr/>
      <dgm:t>
        <a:bodyPr/>
        <a:lstStyle/>
        <a:p>
          <a:r>
            <a:rPr lang="en-US"/>
            <a:t>Clinical judgment</a:t>
          </a:r>
        </a:p>
      </dgm:t>
    </dgm:pt>
    <dgm:pt modelId="{42AF2BC0-63BD-FD42-8A4B-BC16812D7E07}" type="parTrans" cxnId="{3632453C-A6AC-1B40-8EFB-86A914BC5C83}">
      <dgm:prSet/>
      <dgm:spPr/>
      <dgm:t>
        <a:bodyPr/>
        <a:lstStyle/>
        <a:p>
          <a:endParaRPr lang="en-US"/>
        </a:p>
      </dgm:t>
    </dgm:pt>
    <dgm:pt modelId="{11F87C1B-E66D-8B4E-9067-341ACDEBDD27}" type="sibTrans" cxnId="{3632453C-A6AC-1B40-8EFB-86A914BC5C83}">
      <dgm:prSet/>
      <dgm:spPr/>
      <dgm:t>
        <a:bodyPr/>
        <a:lstStyle/>
        <a:p>
          <a:endParaRPr lang="en-US"/>
        </a:p>
      </dgm:t>
    </dgm:pt>
    <dgm:pt modelId="{3A1B7547-4481-6040-9913-39DD9F187734}">
      <dgm:prSet/>
      <dgm:spPr/>
      <dgm:t>
        <a:bodyPr/>
        <a:lstStyle/>
        <a:p>
          <a:r>
            <a:rPr lang="en-US"/>
            <a:t>Hollistic </a:t>
          </a:r>
        </a:p>
      </dgm:t>
    </dgm:pt>
    <dgm:pt modelId="{8D4B400C-F8E5-A44D-93D7-E7EEB3BE7E50}" type="parTrans" cxnId="{5CB9FA85-F831-C64F-995C-18EC2953E76F}">
      <dgm:prSet/>
      <dgm:spPr/>
      <dgm:t>
        <a:bodyPr/>
        <a:lstStyle/>
        <a:p>
          <a:endParaRPr lang="en-US"/>
        </a:p>
      </dgm:t>
    </dgm:pt>
    <dgm:pt modelId="{C4E75061-BB72-CB42-A4D4-08EF3B93473A}" type="sibTrans" cxnId="{5CB9FA85-F831-C64F-995C-18EC2953E76F}">
      <dgm:prSet/>
      <dgm:spPr/>
      <dgm:t>
        <a:bodyPr/>
        <a:lstStyle/>
        <a:p>
          <a:endParaRPr lang="en-US"/>
        </a:p>
      </dgm:t>
    </dgm:pt>
    <dgm:pt modelId="{224257ED-8D37-B04C-950D-AAE5D375194F}">
      <dgm:prSet/>
      <dgm:spPr/>
      <dgm:t>
        <a:bodyPr/>
        <a:lstStyle/>
        <a:p>
          <a:r>
            <a:rPr lang="en-US"/>
            <a:t>Environment, people, equipment</a:t>
          </a:r>
        </a:p>
      </dgm:t>
    </dgm:pt>
    <dgm:pt modelId="{0B98D000-3DC2-0842-A23E-F5E2DCC6CA9D}" type="parTrans" cxnId="{B1898BCB-1F21-E944-8B92-A05AC4A90D6D}">
      <dgm:prSet/>
      <dgm:spPr/>
      <dgm:t>
        <a:bodyPr/>
        <a:lstStyle/>
        <a:p>
          <a:endParaRPr lang="en-US"/>
        </a:p>
      </dgm:t>
    </dgm:pt>
    <dgm:pt modelId="{604EC1CA-607E-324A-A171-6EF59AF9448E}" type="sibTrans" cxnId="{B1898BCB-1F21-E944-8B92-A05AC4A90D6D}">
      <dgm:prSet/>
      <dgm:spPr/>
      <dgm:t>
        <a:bodyPr/>
        <a:lstStyle/>
        <a:p>
          <a:endParaRPr lang="en-US"/>
        </a:p>
      </dgm:t>
    </dgm:pt>
    <dgm:pt modelId="{10B35DCC-8FC0-4A40-9CD0-6BC3B238A8C3}">
      <dgm:prSet/>
      <dgm:spPr/>
      <dgm:t>
        <a:bodyPr/>
        <a:lstStyle/>
        <a:p>
          <a:r>
            <a:rPr lang="en-US"/>
            <a:t>Ownership of decision</a:t>
          </a:r>
        </a:p>
      </dgm:t>
    </dgm:pt>
    <dgm:pt modelId="{A21071B3-E01C-984B-A32A-83F541F562F9}" type="parTrans" cxnId="{53708B86-08B3-9A41-802C-22817BB4FCDF}">
      <dgm:prSet/>
      <dgm:spPr/>
      <dgm:t>
        <a:bodyPr/>
        <a:lstStyle/>
        <a:p>
          <a:endParaRPr lang="en-US"/>
        </a:p>
      </dgm:t>
    </dgm:pt>
    <dgm:pt modelId="{49D452AB-47C5-284D-896B-B89BF2D2C7A3}" type="sibTrans" cxnId="{53708B86-08B3-9A41-802C-22817BB4FCDF}">
      <dgm:prSet/>
      <dgm:spPr/>
      <dgm:t>
        <a:bodyPr/>
        <a:lstStyle/>
        <a:p>
          <a:endParaRPr lang="en-US"/>
        </a:p>
      </dgm:t>
    </dgm:pt>
    <dgm:pt modelId="{49AADD15-CBD0-3C4A-BB25-85AE93AA007E}">
      <dgm:prSet/>
      <dgm:spPr/>
      <dgm:t>
        <a:bodyPr/>
        <a:lstStyle/>
        <a:p>
          <a:r>
            <a:rPr lang="en-US"/>
            <a:t>Fit/capable to make decisions</a:t>
          </a:r>
        </a:p>
      </dgm:t>
    </dgm:pt>
    <dgm:pt modelId="{E934D5C2-84D1-914F-A749-5F2D57C07898}" type="parTrans" cxnId="{1D244A77-9475-6D40-9B03-8B7D8CF5A1BF}">
      <dgm:prSet/>
      <dgm:spPr/>
      <dgm:t>
        <a:bodyPr/>
        <a:lstStyle/>
        <a:p>
          <a:endParaRPr lang="en-US"/>
        </a:p>
      </dgm:t>
    </dgm:pt>
    <dgm:pt modelId="{4FC4CE03-C658-374E-9232-BFC18D4CC7B3}" type="sibTrans" cxnId="{1D244A77-9475-6D40-9B03-8B7D8CF5A1BF}">
      <dgm:prSet/>
      <dgm:spPr/>
      <dgm:t>
        <a:bodyPr/>
        <a:lstStyle/>
        <a:p>
          <a:endParaRPr lang="en-US"/>
        </a:p>
      </dgm:t>
    </dgm:pt>
    <dgm:pt modelId="{D0E64F52-6BBD-154E-A48F-6018128769D1}">
      <dgm:prSet/>
      <dgm:spPr/>
      <dgm:t>
        <a:bodyPr/>
        <a:lstStyle/>
        <a:p>
          <a:r>
            <a:rPr lang="en-US"/>
            <a:t>Graded responsibility</a:t>
          </a:r>
        </a:p>
      </dgm:t>
    </dgm:pt>
    <dgm:pt modelId="{BBE2DC66-5EDD-544C-8A7E-F4CBE1DA6A97}" type="parTrans" cxnId="{FA8E4CE5-B985-EF43-B214-A6FF76074DAD}">
      <dgm:prSet/>
      <dgm:spPr/>
      <dgm:t>
        <a:bodyPr/>
        <a:lstStyle/>
        <a:p>
          <a:endParaRPr lang="en-US"/>
        </a:p>
      </dgm:t>
    </dgm:pt>
    <dgm:pt modelId="{B1A8FAA7-A589-AC4E-8996-8613744C0740}" type="sibTrans" cxnId="{FA8E4CE5-B985-EF43-B214-A6FF76074DAD}">
      <dgm:prSet/>
      <dgm:spPr/>
      <dgm:t>
        <a:bodyPr/>
        <a:lstStyle/>
        <a:p>
          <a:endParaRPr lang="en-US"/>
        </a:p>
      </dgm:t>
    </dgm:pt>
    <dgm:pt modelId="{598B7A7F-F1B3-2246-8C1A-F49F3180A76D}">
      <dgm:prSet/>
      <dgm:spPr/>
      <dgm:t>
        <a:bodyPr/>
        <a:lstStyle/>
        <a:p>
          <a:r>
            <a:rPr lang="en-US"/>
            <a:t>Cognitive biases, human factors</a:t>
          </a:r>
        </a:p>
      </dgm:t>
    </dgm:pt>
    <dgm:pt modelId="{2360F4C8-C77F-EF4F-8B0C-FE0AAEB63729}" type="parTrans" cxnId="{1772495D-7D1D-EF4E-BEB0-1F57D213F62C}">
      <dgm:prSet/>
      <dgm:spPr/>
      <dgm:t>
        <a:bodyPr/>
        <a:lstStyle/>
        <a:p>
          <a:endParaRPr lang="en-US"/>
        </a:p>
      </dgm:t>
    </dgm:pt>
    <dgm:pt modelId="{A1E15B7B-3D6A-6043-8837-77972D8A8C8E}" type="sibTrans" cxnId="{1772495D-7D1D-EF4E-BEB0-1F57D213F62C}">
      <dgm:prSet/>
      <dgm:spPr/>
      <dgm:t>
        <a:bodyPr/>
        <a:lstStyle/>
        <a:p>
          <a:endParaRPr lang="en-US"/>
        </a:p>
      </dgm:t>
    </dgm:pt>
    <dgm:pt modelId="{811FC899-DAB7-C641-8217-A8BB5E68B68F}">
      <dgm:prSet/>
      <dgm:spPr/>
      <dgm:t>
        <a:bodyPr/>
        <a:lstStyle/>
        <a:p>
          <a:r>
            <a:rPr lang="en-US"/>
            <a:t>How and when to use protocols</a:t>
          </a:r>
        </a:p>
      </dgm:t>
    </dgm:pt>
    <dgm:pt modelId="{654A1DA4-129F-1F4B-8FF1-B5EBBF8DC9FB}" type="parTrans" cxnId="{F30EEEE7-BD70-FC4B-A137-936B707CE4AB}">
      <dgm:prSet/>
      <dgm:spPr/>
      <dgm:t>
        <a:bodyPr/>
        <a:lstStyle/>
        <a:p>
          <a:endParaRPr lang="en-US"/>
        </a:p>
      </dgm:t>
    </dgm:pt>
    <dgm:pt modelId="{271E7350-D196-1840-8CA2-87DE7D8539FE}" type="sibTrans" cxnId="{F30EEEE7-BD70-FC4B-A137-936B707CE4AB}">
      <dgm:prSet/>
      <dgm:spPr/>
      <dgm:t>
        <a:bodyPr/>
        <a:lstStyle/>
        <a:p>
          <a:endParaRPr lang="en-US"/>
        </a:p>
      </dgm:t>
    </dgm:pt>
    <dgm:pt modelId="{F4C4F253-F130-3943-A530-582381AE5C9E}">
      <dgm:prSet phldrT="[Text]"/>
      <dgm:spPr/>
      <dgm:t>
        <a:bodyPr/>
        <a:lstStyle/>
        <a:p>
          <a:r>
            <a:rPr lang="en-US"/>
            <a:t>Learn to analyse risk</a:t>
          </a:r>
        </a:p>
      </dgm:t>
    </dgm:pt>
    <dgm:pt modelId="{0FC6573B-131D-CD44-9C3E-24C3E52041FD}" type="parTrans" cxnId="{7BC32FF8-CCE4-E34E-8938-56967D453C85}">
      <dgm:prSet/>
      <dgm:spPr/>
      <dgm:t>
        <a:bodyPr/>
        <a:lstStyle/>
        <a:p>
          <a:endParaRPr lang="en-US"/>
        </a:p>
      </dgm:t>
    </dgm:pt>
    <dgm:pt modelId="{E242523F-A66C-6342-B531-67C98D804CDF}" type="sibTrans" cxnId="{7BC32FF8-CCE4-E34E-8938-56967D453C85}">
      <dgm:prSet/>
      <dgm:spPr/>
      <dgm:t>
        <a:bodyPr/>
        <a:lstStyle/>
        <a:p>
          <a:endParaRPr lang="en-US"/>
        </a:p>
      </dgm:t>
    </dgm:pt>
    <dgm:pt modelId="{503374F7-5695-3A47-9451-20B424911EE9}">
      <dgm:prSet phldrT="[Text]"/>
      <dgm:spPr/>
      <dgm:t>
        <a:bodyPr/>
        <a:lstStyle/>
        <a:p>
          <a:r>
            <a:rPr lang="en-US"/>
            <a:t>Experience risk</a:t>
          </a:r>
        </a:p>
      </dgm:t>
    </dgm:pt>
    <dgm:pt modelId="{D7C401DE-D614-FC42-BFB7-EF6E3913E2A5}" type="parTrans" cxnId="{91E33658-3DD5-9347-B20F-9DEB8E19E599}">
      <dgm:prSet/>
      <dgm:spPr/>
      <dgm:t>
        <a:bodyPr/>
        <a:lstStyle/>
        <a:p>
          <a:endParaRPr lang="en-US"/>
        </a:p>
      </dgm:t>
    </dgm:pt>
    <dgm:pt modelId="{40D02A4D-96E8-0D40-8D52-20DF08366A3A}" type="sibTrans" cxnId="{91E33658-3DD5-9347-B20F-9DEB8E19E599}">
      <dgm:prSet/>
      <dgm:spPr/>
      <dgm:t>
        <a:bodyPr/>
        <a:lstStyle/>
        <a:p>
          <a:endParaRPr lang="en-US"/>
        </a:p>
      </dgm:t>
    </dgm:pt>
    <dgm:pt modelId="{76F60B1B-FBAA-6A4B-8EC9-A34487F96944}">
      <dgm:prSet phldrT="[Text]"/>
      <dgm:spPr/>
      <dgm:t>
        <a:bodyPr/>
        <a:lstStyle/>
        <a:p>
          <a:r>
            <a:rPr lang="en-US"/>
            <a:t>Consequence learning </a:t>
          </a:r>
        </a:p>
      </dgm:t>
    </dgm:pt>
    <dgm:pt modelId="{7CA08A65-C5A5-304C-8FEC-CA451AC1F6A8}" type="parTrans" cxnId="{66EA4DFB-4924-0A4C-B75A-5FE8626BA6B5}">
      <dgm:prSet/>
      <dgm:spPr/>
      <dgm:t>
        <a:bodyPr/>
        <a:lstStyle/>
        <a:p>
          <a:endParaRPr lang="en-US"/>
        </a:p>
      </dgm:t>
    </dgm:pt>
    <dgm:pt modelId="{AFB21E30-4FC2-7444-B47C-B86357455192}" type="sibTrans" cxnId="{66EA4DFB-4924-0A4C-B75A-5FE8626BA6B5}">
      <dgm:prSet/>
      <dgm:spPr/>
      <dgm:t>
        <a:bodyPr/>
        <a:lstStyle/>
        <a:p>
          <a:endParaRPr lang="en-US"/>
        </a:p>
      </dgm:t>
    </dgm:pt>
    <dgm:pt modelId="{1F1E704E-4A18-D947-AAD2-8E29CF870907}">
      <dgm:prSet/>
      <dgm:spPr/>
      <dgm:t>
        <a:bodyPr/>
        <a:lstStyle/>
        <a:p>
          <a:r>
            <a:rPr lang="en-US"/>
            <a:t>Learn to sel- correct</a:t>
          </a:r>
        </a:p>
      </dgm:t>
    </dgm:pt>
    <dgm:pt modelId="{256DD1E6-9C5F-4A47-B075-741002FC2E24}" type="parTrans" cxnId="{F56AF817-15BF-FD4C-84E5-ECA0A3FD6BF1}">
      <dgm:prSet/>
      <dgm:spPr/>
      <dgm:t>
        <a:bodyPr/>
        <a:lstStyle/>
        <a:p>
          <a:endParaRPr lang="en-US"/>
        </a:p>
      </dgm:t>
    </dgm:pt>
    <dgm:pt modelId="{56AE4DF3-9914-E741-AD19-AC10189DB8D7}" type="sibTrans" cxnId="{F56AF817-15BF-FD4C-84E5-ECA0A3FD6BF1}">
      <dgm:prSet/>
      <dgm:spPr/>
      <dgm:t>
        <a:bodyPr/>
        <a:lstStyle/>
        <a:p>
          <a:endParaRPr lang="en-US"/>
        </a:p>
      </dgm:t>
    </dgm:pt>
    <dgm:pt modelId="{F74CF1F8-9351-0142-B46A-8248FF20C870}">
      <dgm:prSet/>
      <dgm:spPr/>
      <dgm:t>
        <a:bodyPr/>
        <a:lstStyle/>
        <a:p>
          <a:r>
            <a:rPr lang="en-US"/>
            <a:t>Be 'fit to think'</a:t>
          </a:r>
        </a:p>
      </dgm:t>
    </dgm:pt>
    <dgm:pt modelId="{CF539ADB-F46F-0545-8DDF-AEA9A0AE2D81}" type="parTrans" cxnId="{89534A17-4632-FD46-995F-3913DB426AD8}">
      <dgm:prSet/>
      <dgm:spPr/>
      <dgm:t>
        <a:bodyPr/>
        <a:lstStyle/>
        <a:p>
          <a:endParaRPr lang="en-US"/>
        </a:p>
      </dgm:t>
    </dgm:pt>
    <dgm:pt modelId="{9458C900-D612-D04B-8831-ED603DD5131F}" type="sibTrans" cxnId="{89534A17-4632-FD46-995F-3913DB426AD8}">
      <dgm:prSet/>
      <dgm:spPr/>
      <dgm:t>
        <a:bodyPr/>
        <a:lstStyle/>
        <a:p>
          <a:endParaRPr lang="en-US"/>
        </a:p>
      </dgm:t>
    </dgm:pt>
    <dgm:pt modelId="{C3B7A7AD-A4AB-4C40-BA12-96056A898322}">
      <dgm:prSet/>
      <dgm:spPr/>
      <dgm:t>
        <a:bodyPr/>
        <a:lstStyle/>
        <a:p>
          <a:r>
            <a:rPr lang="en-US"/>
            <a:t>Patient safety</a:t>
          </a:r>
        </a:p>
      </dgm:t>
    </dgm:pt>
    <dgm:pt modelId="{0CFAD18A-9B59-BD41-A501-78922340EF39}" type="parTrans" cxnId="{ACD0A12F-5544-7849-8077-52C1DFC51132}">
      <dgm:prSet/>
      <dgm:spPr/>
      <dgm:t>
        <a:bodyPr/>
        <a:lstStyle/>
        <a:p>
          <a:endParaRPr lang="en-US"/>
        </a:p>
      </dgm:t>
    </dgm:pt>
    <dgm:pt modelId="{500B880A-D3B3-3446-8295-B0A769E9C580}" type="sibTrans" cxnId="{ACD0A12F-5544-7849-8077-52C1DFC51132}">
      <dgm:prSet/>
      <dgm:spPr/>
      <dgm:t>
        <a:bodyPr/>
        <a:lstStyle/>
        <a:p>
          <a:endParaRPr lang="en-US"/>
        </a:p>
      </dgm:t>
    </dgm:pt>
    <dgm:pt modelId="{609584C0-270B-E344-A51C-D63DFD1CEFB4}">
      <dgm:prSet/>
      <dgm:spPr/>
      <dgm:t>
        <a:bodyPr/>
        <a:lstStyle/>
        <a:p>
          <a:r>
            <a:rPr lang="en-US"/>
            <a:t>Clear decision-making</a:t>
          </a:r>
        </a:p>
      </dgm:t>
    </dgm:pt>
    <dgm:pt modelId="{39B3DFDB-E121-714A-8479-7578895DE18E}" type="parTrans" cxnId="{EEE15F1D-88FD-5342-AC4A-1AC30B06081F}">
      <dgm:prSet/>
      <dgm:spPr/>
      <dgm:t>
        <a:bodyPr/>
        <a:lstStyle/>
        <a:p>
          <a:endParaRPr lang="en-US"/>
        </a:p>
      </dgm:t>
    </dgm:pt>
    <dgm:pt modelId="{CD96B1D1-0C19-9D4D-A57B-BA08715A8BFC}" type="sibTrans" cxnId="{EEE15F1D-88FD-5342-AC4A-1AC30B06081F}">
      <dgm:prSet/>
      <dgm:spPr/>
      <dgm:t>
        <a:bodyPr/>
        <a:lstStyle/>
        <a:p>
          <a:endParaRPr lang="en-US"/>
        </a:p>
      </dgm:t>
    </dgm:pt>
    <dgm:pt modelId="{44677CFA-9D35-524D-8C17-EC333DA1DEE9}">
      <dgm:prSet/>
      <dgm:spPr/>
      <dgm:t>
        <a:bodyPr/>
        <a:lstStyle/>
        <a:p>
          <a:r>
            <a:rPr lang="en-US"/>
            <a:t>Maintain situation awareness</a:t>
          </a:r>
        </a:p>
      </dgm:t>
    </dgm:pt>
    <dgm:pt modelId="{67DDCC6B-F412-9140-B5DD-FC092A6995B2}" type="parTrans" cxnId="{395BA13F-22B4-5C40-8D94-6D3C844F84A6}">
      <dgm:prSet/>
      <dgm:spPr/>
      <dgm:t>
        <a:bodyPr/>
        <a:lstStyle/>
        <a:p>
          <a:endParaRPr lang="en-US"/>
        </a:p>
      </dgm:t>
    </dgm:pt>
    <dgm:pt modelId="{333D558A-E71E-5E46-985C-A39FEDFA8206}" type="sibTrans" cxnId="{395BA13F-22B4-5C40-8D94-6D3C844F84A6}">
      <dgm:prSet/>
      <dgm:spPr/>
      <dgm:t>
        <a:bodyPr/>
        <a:lstStyle/>
        <a:p>
          <a:endParaRPr lang="en-US"/>
        </a:p>
      </dgm:t>
    </dgm:pt>
    <dgm:pt modelId="{D2D77FF5-D454-0447-AFE5-E575F4EBCFA9}">
      <dgm:prSet/>
      <dgm:spPr/>
      <dgm:t>
        <a:bodyPr/>
        <a:lstStyle/>
        <a:p>
          <a:r>
            <a:rPr lang="en-US"/>
            <a:t>Teamworking </a:t>
          </a:r>
        </a:p>
      </dgm:t>
    </dgm:pt>
    <dgm:pt modelId="{130AA04E-7174-3B47-920E-ACF517AE6962}" type="parTrans" cxnId="{FBB00633-7660-3245-8779-ABC044835A29}">
      <dgm:prSet/>
      <dgm:spPr/>
      <dgm:t>
        <a:bodyPr/>
        <a:lstStyle/>
        <a:p>
          <a:endParaRPr lang="en-US"/>
        </a:p>
      </dgm:t>
    </dgm:pt>
    <dgm:pt modelId="{CA87A677-8C03-E443-889B-1F60F87047A0}" type="sibTrans" cxnId="{FBB00633-7660-3245-8779-ABC044835A29}">
      <dgm:prSet/>
      <dgm:spPr/>
      <dgm:t>
        <a:bodyPr/>
        <a:lstStyle/>
        <a:p>
          <a:endParaRPr lang="en-US"/>
        </a:p>
      </dgm:t>
    </dgm:pt>
    <dgm:pt modelId="{39492DDD-F437-954A-B9B6-07884158C094}">
      <dgm:prSet/>
      <dgm:spPr/>
      <dgm:t>
        <a:bodyPr/>
        <a:lstStyle/>
        <a:p>
          <a:r>
            <a:rPr lang="en-US"/>
            <a:t>Patient safety</a:t>
          </a:r>
        </a:p>
      </dgm:t>
    </dgm:pt>
    <dgm:pt modelId="{0B1DD9C5-7D64-F348-A071-17F90474E1DA}" type="parTrans" cxnId="{88B23C59-9334-374B-B1DF-F933DF535604}">
      <dgm:prSet/>
      <dgm:spPr/>
      <dgm:t>
        <a:bodyPr/>
        <a:lstStyle/>
        <a:p>
          <a:endParaRPr lang="en-US"/>
        </a:p>
      </dgm:t>
    </dgm:pt>
    <dgm:pt modelId="{8F289616-FAEB-434D-99ED-8400550CB00E}" type="sibTrans" cxnId="{88B23C59-9334-374B-B1DF-F933DF535604}">
      <dgm:prSet/>
      <dgm:spPr/>
      <dgm:t>
        <a:bodyPr/>
        <a:lstStyle/>
        <a:p>
          <a:endParaRPr lang="en-US"/>
        </a:p>
      </dgm:t>
    </dgm:pt>
    <dgm:pt modelId="{6E1E0D0E-7664-D24E-8D1D-EB43333FDD2F}">
      <dgm:prSet/>
      <dgm:spPr/>
      <dgm:t>
        <a:bodyPr/>
        <a:lstStyle/>
        <a:p>
          <a:r>
            <a:rPr lang="en-US"/>
            <a:t>Patient safety</a:t>
          </a:r>
        </a:p>
      </dgm:t>
    </dgm:pt>
    <dgm:pt modelId="{ADF79796-98C3-9044-B836-E7F813D218C0}" type="parTrans" cxnId="{AE72B665-11E8-4640-B616-2742388739DD}">
      <dgm:prSet/>
      <dgm:spPr/>
      <dgm:t>
        <a:bodyPr/>
        <a:lstStyle/>
        <a:p>
          <a:endParaRPr lang="en-US"/>
        </a:p>
      </dgm:t>
    </dgm:pt>
    <dgm:pt modelId="{B846EB1C-47FF-1C49-B184-CECD016994FE}" type="sibTrans" cxnId="{AE72B665-11E8-4640-B616-2742388739DD}">
      <dgm:prSet/>
      <dgm:spPr/>
      <dgm:t>
        <a:bodyPr/>
        <a:lstStyle/>
        <a:p>
          <a:endParaRPr lang="en-US"/>
        </a:p>
      </dgm:t>
    </dgm:pt>
    <dgm:pt modelId="{2CEE116A-C2B0-FB4F-A22D-9EFB8BF56A6D}">
      <dgm:prSet phldrT="[Text]"/>
      <dgm:spPr/>
      <dgm:t>
        <a:bodyPr/>
        <a:lstStyle/>
        <a:p>
          <a:r>
            <a:rPr lang="en-US"/>
            <a:t>Process</a:t>
          </a:r>
        </a:p>
      </dgm:t>
    </dgm:pt>
    <dgm:pt modelId="{9168A278-8458-2140-A606-0CBD0DCDB97D}" type="parTrans" cxnId="{35AE1473-9CA1-D44A-A9DE-5457A9A7DE25}">
      <dgm:prSet/>
      <dgm:spPr/>
      <dgm:t>
        <a:bodyPr/>
        <a:lstStyle/>
        <a:p>
          <a:endParaRPr lang="en-US"/>
        </a:p>
      </dgm:t>
    </dgm:pt>
    <dgm:pt modelId="{AA964A1D-3AA8-5544-B5D4-772FA12E830D}" type="sibTrans" cxnId="{35AE1473-9CA1-D44A-A9DE-5457A9A7DE25}">
      <dgm:prSet/>
      <dgm:spPr/>
      <dgm:t>
        <a:bodyPr/>
        <a:lstStyle/>
        <a:p>
          <a:endParaRPr lang="en-US"/>
        </a:p>
      </dgm:t>
    </dgm:pt>
    <dgm:pt modelId="{91EA14B2-3C44-AB4D-86A7-EF34D3932576}">
      <dgm:prSet phldrT="[Text]"/>
      <dgm:spPr/>
      <dgm:t>
        <a:bodyPr/>
        <a:lstStyle/>
        <a:p>
          <a:r>
            <a:rPr lang="en-US"/>
            <a:t>Equipment</a:t>
          </a:r>
        </a:p>
      </dgm:t>
    </dgm:pt>
    <dgm:pt modelId="{5240AF7F-7F69-F04E-99DE-E3467E8B449D}" type="parTrans" cxnId="{F9892F21-9B1F-8241-AAB5-1D678DC9076E}">
      <dgm:prSet/>
      <dgm:spPr/>
      <dgm:t>
        <a:bodyPr/>
        <a:lstStyle/>
        <a:p>
          <a:endParaRPr lang="en-US"/>
        </a:p>
      </dgm:t>
    </dgm:pt>
    <dgm:pt modelId="{DF736BE7-5B1A-F242-960B-A9FCE0D4D9B4}" type="sibTrans" cxnId="{F9892F21-9B1F-8241-AAB5-1D678DC9076E}">
      <dgm:prSet/>
      <dgm:spPr/>
      <dgm:t>
        <a:bodyPr/>
        <a:lstStyle/>
        <a:p>
          <a:endParaRPr lang="en-US"/>
        </a:p>
      </dgm:t>
    </dgm:pt>
    <dgm:pt modelId="{554E6D68-BCF1-244D-8331-A818B2ADCEE5}">
      <dgm:prSet phldrT="[Text]"/>
      <dgm:spPr/>
      <dgm:t>
        <a:bodyPr/>
        <a:lstStyle/>
        <a:p>
          <a:r>
            <a:rPr lang="en-US"/>
            <a:t>Environment</a:t>
          </a:r>
        </a:p>
      </dgm:t>
    </dgm:pt>
    <dgm:pt modelId="{FD09F26D-F091-B84B-AE12-3437950B56C1}" type="parTrans" cxnId="{0CC9A633-6E63-2746-BA48-3AFD8E7C9862}">
      <dgm:prSet/>
      <dgm:spPr/>
      <dgm:t>
        <a:bodyPr/>
        <a:lstStyle/>
        <a:p>
          <a:endParaRPr lang="en-US"/>
        </a:p>
      </dgm:t>
    </dgm:pt>
    <dgm:pt modelId="{F6107F7E-5173-9B43-9075-9B9C45AF6684}" type="sibTrans" cxnId="{0CC9A633-6E63-2746-BA48-3AFD8E7C9862}">
      <dgm:prSet/>
      <dgm:spPr/>
      <dgm:t>
        <a:bodyPr/>
        <a:lstStyle/>
        <a:p>
          <a:endParaRPr lang="en-US"/>
        </a:p>
      </dgm:t>
    </dgm:pt>
    <dgm:pt modelId="{9D731453-6A92-6948-914D-60DCD37102AC}">
      <dgm:prSet phldrT="[Text]"/>
      <dgm:spPr/>
      <dgm:t>
        <a:bodyPr/>
        <a:lstStyle/>
        <a:p>
          <a:r>
            <a:rPr lang="en-US"/>
            <a:t>Staff/team</a:t>
          </a:r>
        </a:p>
      </dgm:t>
    </dgm:pt>
    <dgm:pt modelId="{6EA462CB-B5C2-114D-A64C-C78FCD3B2F3A}" type="parTrans" cxnId="{5D2A9323-B2B2-C545-9F7A-B8A365AFD416}">
      <dgm:prSet/>
      <dgm:spPr/>
      <dgm:t>
        <a:bodyPr/>
        <a:lstStyle/>
        <a:p>
          <a:endParaRPr lang="en-US"/>
        </a:p>
      </dgm:t>
    </dgm:pt>
    <dgm:pt modelId="{F87E1DD5-EA85-2D48-B0EC-92EF47BF84E7}" type="sibTrans" cxnId="{5D2A9323-B2B2-C545-9F7A-B8A365AFD416}">
      <dgm:prSet/>
      <dgm:spPr/>
      <dgm:t>
        <a:bodyPr/>
        <a:lstStyle/>
        <a:p>
          <a:endParaRPr lang="en-US"/>
        </a:p>
      </dgm:t>
    </dgm:pt>
    <dgm:pt modelId="{FD6773F0-9BCE-3E48-80DE-EB48125E502C}">
      <dgm:prSet phldrT="[Text]"/>
      <dgm:spPr/>
      <dgm:t>
        <a:bodyPr/>
        <a:lstStyle/>
        <a:p>
          <a:r>
            <a:rPr lang="en-US"/>
            <a:t>Highlight weakness</a:t>
          </a:r>
        </a:p>
      </dgm:t>
    </dgm:pt>
    <dgm:pt modelId="{04451D86-D108-734B-B014-DF5F9FADCDE3}" type="parTrans" cxnId="{5FC91977-8AD8-6541-89FF-DC80AFAB482C}">
      <dgm:prSet/>
      <dgm:spPr/>
      <dgm:t>
        <a:bodyPr/>
        <a:lstStyle/>
        <a:p>
          <a:endParaRPr lang="en-US"/>
        </a:p>
      </dgm:t>
    </dgm:pt>
    <dgm:pt modelId="{AF47EF7B-7DD2-DB4F-8FBC-2504B477EDC6}" type="sibTrans" cxnId="{5FC91977-8AD8-6541-89FF-DC80AFAB482C}">
      <dgm:prSet/>
      <dgm:spPr/>
      <dgm:t>
        <a:bodyPr/>
        <a:lstStyle/>
        <a:p>
          <a:endParaRPr lang="en-US"/>
        </a:p>
      </dgm:t>
    </dgm:pt>
    <dgm:pt modelId="{C7B5D33B-3CB8-0A41-9CDA-AACCFD291ACE}">
      <dgm:prSet phldrT="[Text]"/>
      <dgm:spPr/>
      <dgm:t>
        <a:bodyPr/>
        <a:lstStyle/>
        <a:p>
          <a:r>
            <a:rPr lang="en-US"/>
            <a:t>Target training</a:t>
          </a:r>
        </a:p>
      </dgm:t>
    </dgm:pt>
    <dgm:pt modelId="{AE5E2D3C-297F-3145-A4FC-F6E9C7F6EDF1}" type="parTrans" cxnId="{CA81C5F7-F6C0-3347-A60D-736E53B36C13}">
      <dgm:prSet/>
      <dgm:spPr/>
      <dgm:t>
        <a:bodyPr/>
        <a:lstStyle/>
        <a:p>
          <a:endParaRPr lang="en-US"/>
        </a:p>
      </dgm:t>
    </dgm:pt>
    <dgm:pt modelId="{3210ACAB-18C9-204C-8AFE-7FCB52FAA47E}" type="sibTrans" cxnId="{CA81C5F7-F6C0-3347-A60D-736E53B36C13}">
      <dgm:prSet/>
      <dgm:spPr/>
      <dgm:t>
        <a:bodyPr/>
        <a:lstStyle/>
        <a:p>
          <a:endParaRPr lang="en-US"/>
        </a:p>
      </dgm:t>
    </dgm:pt>
    <dgm:pt modelId="{7FAF9F45-1D3E-A048-9226-66EA585C253A}">
      <dgm:prSet/>
      <dgm:spPr/>
      <dgm:t>
        <a:bodyPr/>
        <a:lstStyle/>
        <a:p>
          <a:r>
            <a:rPr lang="en-US"/>
            <a:t>Enhance teamwork</a:t>
          </a:r>
        </a:p>
      </dgm:t>
    </dgm:pt>
    <dgm:pt modelId="{61CF34B7-C6D7-324B-AEDC-16AC8D42D3B8}" type="parTrans" cxnId="{F3BD40E0-9A33-AC45-9372-B5F2FA236518}">
      <dgm:prSet/>
      <dgm:spPr/>
      <dgm:t>
        <a:bodyPr/>
        <a:lstStyle/>
        <a:p>
          <a:endParaRPr lang="en-US"/>
        </a:p>
      </dgm:t>
    </dgm:pt>
    <dgm:pt modelId="{42E6BEE7-F769-AA4A-BF61-D0E36D2F0685}" type="sibTrans" cxnId="{F3BD40E0-9A33-AC45-9372-B5F2FA236518}">
      <dgm:prSet/>
      <dgm:spPr/>
      <dgm:t>
        <a:bodyPr/>
        <a:lstStyle/>
        <a:p>
          <a:endParaRPr lang="en-US"/>
        </a:p>
      </dgm:t>
    </dgm:pt>
    <dgm:pt modelId="{923A9475-6506-8745-8225-B620DCE862CC}">
      <dgm:prSet/>
      <dgm:spPr/>
      <dgm:t>
        <a:bodyPr/>
        <a:lstStyle/>
        <a:p>
          <a:r>
            <a:rPr lang="en-US"/>
            <a:t>Collective competence</a:t>
          </a:r>
        </a:p>
      </dgm:t>
    </dgm:pt>
    <dgm:pt modelId="{4CA883E9-A589-9C4D-AF6A-1B2B7353DD72}" type="parTrans" cxnId="{00E02458-FD8B-3244-9270-3B3EEB9A2DDE}">
      <dgm:prSet/>
      <dgm:spPr/>
      <dgm:t>
        <a:bodyPr/>
        <a:lstStyle/>
        <a:p>
          <a:endParaRPr lang="en-US"/>
        </a:p>
      </dgm:t>
    </dgm:pt>
    <dgm:pt modelId="{4518C614-BAD0-4C45-A841-E15919BD5C5F}" type="sibTrans" cxnId="{00E02458-FD8B-3244-9270-3B3EEB9A2DDE}">
      <dgm:prSet/>
      <dgm:spPr/>
      <dgm:t>
        <a:bodyPr/>
        <a:lstStyle/>
        <a:p>
          <a:endParaRPr lang="en-US"/>
        </a:p>
      </dgm:t>
    </dgm:pt>
    <dgm:pt modelId="{E585E011-749E-2847-9BA8-02EC21433FA9}">
      <dgm:prSet phldrT="[Text]"/>
      <dgm:spPr/>
      <dgm:t>
        <a:bodyPr/>
        <a:lstStyle/>
        <a:p>
          <a:r>
            <a:rPr lang="en-US"/>
            <a:t>Patient safety</a:t>
          </a:r>
        </a:p>
      </dgm:t>
    </dgm:pt>
    <dgm:pt modelId="{8661CEAC-DDCE-8240-9A52-6E282780256E}" type="parTrans" cxnId="{6E17DB1A-8828-854E-9E1D-A742F07D87B6}">
      <dgm:prSet/>
      <dgm:spPr/>
      <dgm:t>
        <a:bodyPr/>
        <a:lstStyle/>
        <a:p>
          <a:endParaRPr lang="en-US"/>
        </a:p>
      </dgm:t>
    </dgm:pt>
    <dgm:pt modelId="{B3EC98E4-0981-7240-9CA3-54D863C6CD03}" type="sibTrans" cxnId="{6E17DB1A-8828-854E-9E1D-A742F07D87B6}">
      <dgm:prSet/>
      <dgm:spPr/>
      <dgm:t>
        <a:bodyPr/>
        <a:lstStyle/>
        <a:p>
          <a:endParaRPr lang="en-US"/>
        </a:p>
      </dgm:t>
    </dgm:pt>
    <dgm:pt modelId="{C9BD6FF7-5F9D-2E4F-8EED-9BF2F76726B8}">
      <dgm:prSet phldrT="[Text]"/>
      <dgm:spPr/>
      <dgm:t>
        <a:bodyPr/>
        <a:lstStyle/>
        <a:p>
          <a:r>
            <a:rPr lang="en-US"/>
            <a:t>Patient safety</a:t>
          </a:r>
        </a:p>
      </dgm:t>
    </dgm:pt>
    <dgm:pt modelId="{C7CEB2E6-188D-134A-AAA7-ACAB3DD08A50}" type="parTrans" cxnId="{0F12CFF9-B400-CC48-BA3C-FA563D6A662E}">
      <dgm:prSet/>
      <dgm:spPr/>
      <dgm:t>
        <a:bodyPr/>
        <a:lstStyle/>
        <a:p>
          <a:endParaRPr lang="en-US"/>
        </a:p>
      </dgm:t>
    </dgm:pt>
    <dgm:pt modelId="{35B2C481-CDD7-C345-900B-AF943AB581E9}" type="sibTrans" cxnId="{0F12CFF9-B400-CC48-BA3C-FA563D6A662E}">
      <dgm:prSet/>
      <dgm:spPr/>
      <dgm:t>
        <a:bodyPr/>
        <a:lstStyle/>
        <a:p>
          <a:endParaRPr lang="en-US"/>
        </a:p>
      </dgm:t>
    </dgm:pt>
    <dgm:pt modelId="{DBEEDA1E-AE59-3142-8BE1-76DA4A72D349}">
      <dgm:prSet phldrT="[Text]"/>
      <dgm:spPr/>
      <dgm:t>
        <a:bodyPr/>
        <a:lstStyle/>
        <a:p>
          <a:r>
            <a:rPr lang="en-US"/>
            <a:t>Procurement</a:t>
          </a:r>
        </a:p>
      </dgm:t>
    </dgm:pt>
    <dgm:pt modelId="{14C2785F-9376-5A44-9257-401BB89E90DD}" type="parTrans" cxnId="{90A03DCD-353A-E147-8D69-7355B99C8777}">
      <dgm:prSet/>
      <dgm:spPr/>
      <dgm:t>
        <a:bodyPr/>
        <a:lstStyle/>
        <a:p>
          <a:endParaRPr lang="en-US"/>
        </a:p>
      </dgm:t>
    </dgm:pt>
    <dgm:pt modelId="{E5C53667-8091-A34F-976D-1AF0E7A18786}" type="sibTrans" cxnId="{90A03DCD-353A-E147-8D69-7355B99C8777}">
      <dgm:prSet/>
      <dgm:spPr/>
      <dgm:t>
        <a:bodyPr/>
        <a:lstStyle/>
        <a:p>
          <a:endParaRPr lang="en-US"/>
        </a:p>
      </dgm:t>
    </dgm:pt>
    <dgm:pt modelId="{C6A86FE2-3D63-0848-A639-871E1FBF99E4}">
      <dgm:prSet phldrT="[Text]"/>
      <dgm:spPr/>
      <dgm:t>
        <a:bodyPr/>
        <a:lstStyle/>
        <a:p>
          <a:r>
            <a:rPr lang="en-US"/>
            <a:t>Cost effective</a:t>
          </a:r>
        </a:p>
      </dgm:t>
    </dgm:pt>
    <dgm:pt modelId="{E262E2A4-48BD-3245-A200-C4817BB32381}" type="parTrans" cxnId="{80B58E43-94B7-DD4D-8BD2-99C409C7D54E}">
      <dgm:prSet/>
      <dgm:spPr/>
      <dgm:t>
        <a:bodyPr/>
        <a:lstStyle/>
        <a:p>
          <a:endParaRPr lang="en-US"/>
        </a:p>
      </dgm:t>
    </dgm:pt>
    <dgm:pt modelId="{C59BDAD3-2268-9741-8BC9-35C4CFD5C5C2}" type="sibTrans" cxnId="{80B58E43-94B7-DD4D-8BD2-99C409C7D54E}">
      <dgm:prSet/>
      <dgm:spPr/>
      <dgm:t>
        <a:bodyPr/>
        <a:lstStyle/>
        <a:p>
          <a:endParaRPr lang="en-US"/>
        </a:p>
      </dgm:t>
    </dgm:pt>
    <dgm:pt modelId="{CF8E0617-0605-F640-8EB5-8A7D22C45C06}">
      <dgm:prSet phldrT="[Text]"/>
      <dgm:spPr/>
      <dgm:t>
        <a:bodyPr/>
        <a:lstStyle/>
        <a:p>
          <a:r>
            <a:rPr lang="en-US"/>
            <a:t>Patient safety</a:t>
          </a:r>
        </a:p>
      </dgm:t>
    </dgm:pt>
    <dgm:pt modelId="{A93FBB74-0104-1544-AA6B-8BEC8B304071}" type="parTrans" cxnId="{2FC67D10-9BA4-9847-9F5A-6645A5BC04DC}">
      <dgm:prSet/>
      <dgm:spPr/>
      <dgm:t>
        <a:bodyPr/>
        <a:lstStyle/>
        <a:p>
          <a:endParaRPr lang="en-US"/>
        </a:p>
      </dgm:t>
    </dgm:pt>
    <dgm:pt modelId="{31F7517F-E23E-0543-B07B-D976E7D9A515}" type="sibTrans" cxnId="{2FC67D10-9BA4-9847-9F5A-6645A5BC04DC}">
      <dgm:prSet/>
      <dgm:spPr/>
      <dgm:t>
        <a:bodyPr/>
        <a:lstStyle/>
        <a:p>
          <a:endParaRPr lang="en-US"/>
        </a:p>
      </dgm:t>
    </dgm:pt>
    <dgm:pt modelId="{6EA6FEFC-2D52-A64F-B896-B184637D7808}">
      <dgm:prSet phldrT="[Text]"/>
      <dgm:spPr/>
      <dgm:t>
        <a:bodyPr/>
        <a:lstStyle/>
        <a:p>
          <a:r>
            <a:rPr lang="en-US"/>
            <a:t>Efficiency</a:t>
          </a:r>
        </a:p>
      </dgm:t>
    </dgm:pt>
    <dgm:pt modelId="{4E3925ED-35EC-344E-9E73-B02240570459}" type="parTrans" cxnId="{11192B06-0ED4-F04A-AF3F-A82013A7315C}">
      <dgm:prSet/>
      <dgm:spPr/>
      <dgm:t>
        <a:bodyPr/>
        <a:lstStyle/>
        <a:p>
          <a:endParaRPr lang="en-US"/>
        </a:p>
      </dgm:t>
    </dgm:pt>
    <dgm:pt modelId="{1958EC1C-6C45-5A44-B675-B811A4D80641}" type="sibTrans" cxnId="{11192B06-0ED4-F04A-AF3F-A82013A7315C}">
      <dgm:prSet/>
      <dgm:spPr/>
      <dgm:t>
        <a:bodyPr/>
        <a:lstStyle/>
        <a:p>
          <a:endParaRPr lang="en-US"/>
        </a:p>
      </dgm:t>
    </dgm:pt>
    <dgm:pt modelId="{9F0AB3BF-1C99-7940-BE29-C02971259FC9}">
      <dgm:prSet phldrT="[Text]"/>
      <dgm:spPr/>
      <dgm:t>
        <a:bodyPr/>
        <a:lstStyle/>
        <a:p>
          <a:r>
            <a:rPr lang="en-US"/>
            <a:t>Meaningful exploration of SUIs</a:t>
          </a:r>
        </a:p>
      </dgm:t>
    </dgm:pt>
    <dgm:pt modelId="{8E6E2603-C29F-6144-9D2F-ADD2AFF6DA9E}" type="parTrans" cxnId="{E95EEA8B-09D6-9941-9E76-732404450832}">
      <dgm:prSet/>
      <dgm:spPr/>
      <dgm:t>
        <a:bodyPr/>
        <a:lstStyle/>
        <a:p>
          <a:endParaRPr lang="en-US"/>
        </a:p>
      </dgm:t>
    </dgm:pt>
    <dgm:pt modelId="{341614DD-6F58-CB45-A0DE-23C2125F8F89}" type="sibTrans" cxnId="{E95EEA8B-09D6-9941-9E76-732404450832}">
      <dgm:prSet/>
      <dgm:spPr/>
      <dgm:t>
        <a:bodyPr/>
        <a:lstStyle/>
        <a:p>
          <a:endParaRPr lang="en-US"/>
        </a:p>
      </dgm:t>
    </dgm:pt>
    <dgm:pt modelId="{3437A338-FBB4-E841-B048-9CC47C975E56}">
      <dgm:prSet phldrT="[Text]"/>
      <dgm:spPr/>
      <dgm:t>
        <a:bodyPr/>
        <a:lstStyle/>
        <a:p>
          <a:r>
            <a:rPr lang="en-US"/>
            <a:t>Practise never events safe environment</a:t>
          </a:r>
        </a:p>
      </dgm:t>
    </dgm:pt>
    <dgm:pt modelId="{31F14C31-81E3-9D41-B00D-FBC8909D77F8}" type="parTrans" cxnId="{1A8E7068-D34D-9445-BE1C-72B68878A3E6}">
      <dgm:prSet/>
      <dgm:spPr/>
      <dgm:t>
        <a:bodyPr/>
        <a:lstStyle/>
        <a:p>
          <a:endParaRPr lang="en-US"/>
        </a:p>
      </dgm:t>
    </dgm:pt>
    <dgm:pt modelId="{89FBD21A-5899-7543-9EB1-AD40CDF3C694}" type="sibTrans" cxnId="{1A8E7068-D34D-9445-BE1C-72B68878A3E6}">
      <dgm:prSet/>
      <dgm:spPr/>
      <dgm:t>
        <a:bodyPr/>
        <a:lstStyle/>
        <a:p>
          <a:endParaRPr lang="en-US"/>
        </a:p>
      </dgm:t>
    </dgm:pt>
    <dgm:pt modelId="{BE67E905-6809-804A-9B96-F54E3CCC63FD}">
      <dgm:prSet phldrT="[Text]"/>
      <dgm:spPr/>
      <dgm:t>
        <a:bodyPr/>
        <a:lstStyle/>
        <a:p>
          <a:r>
            <a:rPr lang="en-US"/>
            <a:t>Patient safety</a:t>
          </a:r>
        </a:p>
      </dgm:t>
    </dgm:pt>
    <dgm:pt modelId="{1D6FA156-AEBD-BB4A-A989-16DABA880798}" type="parTrans" cxnId="{CD9A7277-93A0-D54F-839A-181EB11293BF}">
      <dgm:prSet/>
      <dgm:spPr/>
      <dgm:t>
        <a:bodyPr/>
        <a:lstStyle/>
        <a:p>
          <a:endParaRPr lang="en-US"/>
        </a:p>
      </dgm:t>
    </dgm:pt>
    <dgm:pt modelId="{D2ACC945-0421-9540-BD4E-894FC7AD8634}" type="sibTrans" cxnId="{CD9A7277-93A0-D54F-839A-181EB11293BF}">
      <dgm:prSet/>
      <dgm:spPr/>
      <dgm:t>
        <a:bodyPr/>
        <a:lstStyle/>
        <a:p>
          <a:endParaRPr lang="en-US"/>
        </a:p>
      </dgm:t>
    </dgm:pt>
    <dgm:pt modelId="{F1433AEB-FDC6-5346-A293-D960B87DDC33}">
      <dgm:prSet/>
      <dgm:spPr/>
      <dgm:t>
        <a:bodyPr/>
        <a:lstStyle/>
        <a:p>
          <a:r>
            <a:rPr lang="en-US"/>
            <a:t>Impact on complaints </a:t>
          </a:r>
        </a:p>
      </dgm:t>
    </dgm:pt>
    <dgm:pt modelId="{542D81B7-98CF-4442-ABB4-3891BFF2BD56}" type="parTrans" cxnId="{31E55030-D9B0-294A-AEB5-B55E2AC01D8C}">
      <dgm:prSet/>
      <dgm:spPr/>
      <dgm:t>
        <a:bodyPr/>
        <a:lstStyle/>
        <a:p>
          <a:endParaRPr lang="en-US"/>
        </a:p>
      </dgm:t>
    </dgm:pt>
    <dgm:pt modelId="{20F9A8F8-8A96-0242-AB9D-D51F5581A724}" type="sibTrans" cxnId="{31E55030-D9B0-294A-AEB5-B55E2AC01D8C}">
      <dgm:prSet/>
      <dgm:spPr/>
      <dgm:t>
        <a:bodyPr/>
        <a:lstStyle/>
        <a:p>
          <a:endParaRPr lang="en-US"/>
        </a:p>
      </dgm:t>
    </dgm:pt>
    <dgm:pt modelId="{A4BCD750-CACD-3544-AC7B-859B5744BBA5}">
      <dgm:prSet/>
      <dgm:spPr/>
      <dgm:t>
        <a:bodyPr/>
        <a:lstStyle/>
        <a:p>
          <a:r>
            <a:rPr lang="en-US"/>
            <a:t>Patient safety</a:t>
          </a:r>
        </a:p>
      </dgm:t>
    </dgm:pt>
    <dgm:pt modelId="{94632BE6-8489-3447-A661-F422DF7077CF}" type="parTrans" cxnId="{ACA300D6-DDAC-7447-B839-AB66AE415F07}">
      <dgm:prSet/>
      <dgm:spPr/>
      <dgm:t>
        <a:bodyPr/>
        <a:lstStyle/>
        <a:p>
          <a:endParaRPr lang="en-US"/>
        </a:p>
      </dgm:t>
    </dgm:pt>
    <dgm:pt modelId="{11E93B0D-984C-FF4C-973D-00C43361EE54}" type="sibTrans" cxnId="{ACA300D6-DDAC-7447-B839-AB66AE415F07}">
      <dgm:prSet/>
      <dgm:spPr/>
      <dgm:t>
        <a:bodyPr/>
        <a:lstStyle/>
        <a:p>
          <a:endParaRPr lang="en-US"/>
        </a:p>
      </dgm:t>
    </dgm:pt>
    <dgm:pt modelId="{5D8C153B-520C-1C44-B166-40015C858768}">
      <dgm:prSet/>
      <dgm:spPr/>
      <dgm:t>
        <a:bodyPr/>
        <a:lstStyle/>
        <a:p>
          <a:r>
            <a:rPr lang="en-US"/>
            <a:t>Patient satisfaction</a:t>
          </a:r>
        </a:p>
      </dgm:t>
    </dgm:pt>
    <dgm:pt modelId="{6F350341-3111-DE42-B0FA-F631FB7E3894}" type="parTrans" cxnId="{89209C47-9B4B-D549-BAB7-2FF08A8946ED}">
      <dgm:prSet/>
      <dgm:spPr/>
      <dgm:t>
        <a:bodyPr/>
        <a:lstStyle/>
        <a:p>
          <a:endParaRPr lang="en-US"/>
        </a:p>
      </dgm:t>
    </dgm:pt>
    <dgm:pt modelId="{BD4700B2-930A-E345-8263-471EF2313BA1}" type="sibTrans" cxnId="{89209C47-9B4B-D549-BAB7-2FF08A8946ED}">
      <dgm:prSet/>
      <dgm:spPr/>
      <dgm:t>
        <a:bodyPr/>
        <a:lstStyle/>
        <a:p>
          <a:endParaRPr lang="en-US"/>
        </a:p>
      </dgm:t>
    </dgm:pt>
    <dgm:pt modelId="{3C0FB09C-1EAF-9F49-8969-DAE6817FC9E5}" type="pres">
      <dgm:prSet presAssocID="{2B3DF9C2-E70D-C945-8285-998BA7C6B0BB}" presName="diagram" presStyleCnt="0">
        <dgm:presLayoutVars>
          <dgm:chPref val="1"/>
          <dgm:dir/>
          <dgm:animOne val="branch"/>
          <dgm:animLvl val="lvl"/>
          <dgm:resizeHandles val="exact"/>
        </dgm:presLayoutVars>
      </dgm:prSet>
      <dgm:spPr/>
    </dgm:pt>
    <dgm:pt modelId="{C1BFD718-6C37-E641-9ED5-4104D97A8DED}" type="pres">
      <dgm:prSet presAssocID="{23C55B4E-FCE6-D748-BDFD-DD583FC26A7E}" presName="root1" presStyleCnt="0"/>
      <dgm:spPr/>
    </dgm:pt>
    <dgm:pt modelId="{81F07AA4-B281-F744-8ACF-7E8D4E1E821B}" type="pres">
      <dgm:prSet presAssocID="{23C55B4E-FCE6-D748-BDFD-DD583FC26A7E}" presName="LevelOneTextNode" presStyleLbl="node0" presStyleIdx="0" presStyleCnt="1" custScaleX="183333" custScaleY="218563">
        <dgm:presLayoutVars>
          <dgm:chPref val="3"/>
        </dgm:presLayoutVars>
      </dgm:prSet>
      <dgm:spPr/>
    </dgm:pt>
    <dgm:pt modelId="{14EA4009-7F75-194F-B5DA-4AB5A246BBE2}" type="pres">
      <dgm:prSet presAssocID="{23C55B4E-FCE6-D748-BDFD-DD583FC26A7E}" presName="level2hierChild" presStyleCnt="0"/>
      <dgm:spPr/>
    </dgm:pt>
    <dgm:pt modelId="{85ECB774-A90C-1B49-97DC-0B8A5841C982}" type="pres">
      <dgm:prSet presAssocID="{638FD1AB-C16F-454B-ACC9-781CBFF0861A}" presName="conn2-1" presStyleLbl="parChTrans1D2" presStyleIdx="0" presStyleCnt="2"/>
      <dgm:spPr/>
    </dgm:pt>
    <dgm:pt modelId="{24F87232-7CF1-E345-B3B2-4CAB2E4B6275}" type="pres">
      <dgm:prSet presAssocID="{638FD1AB-C16F-454B-ACC9-781CBFF0861A}" presName="connTx" presStyleLbl="parChTrans1D2" presStyleIdx="0" presStyleCnt="2"/>
      <dgm:spPr/>
    </dgm:pt>
    <dgm:pt modelId="{728C4D7D-AA57-1D4B-B3D8-1CAFD7BD4F9D}" type="pres">
      <dgm:prSet presAssocID="{B8DCCF3C-F3FA-1D4E-9010-2AAF12365369}" presName="root2" presStyleCnt="0"/>
      <dgm:spPr/>
    </dgm:pt>
    <dgm:pt modelId="{D7BB4BD5-996C-0942-B6E1-8F7A2DA0F87E}" type="pres">
      <dgm:prSet presAssocID="{B8DCCF3C-F3FA-1D4E-9010-2AAF12365369}" presName="LevelTwoTextNode" presStyleLbl="node2" presStyleIdx="0" presStyleCnt="2" custScaleX="139220" custScaleY="193204">
        <dgm:presLayoutVars>
          <dgm:chPref val="3"/>
        </dgm:presLayoutVars>
      </dgm:prSet>
      <dgm:spPr/>
    </dgm:pt>
    <dgm:pt modelId="{86EE93D0-EEB3-6F48-826F-8F59D92C16E1}" type="pres">
      <dgm:prSet presAssocID="{B8DCCF3C-F3FA-1D4E-9010-2AAF12365369}" presName="level3hierChild" presStyleCnt="0"/>
      <dgm:spPr/>
    </dgm:pt>
    <dgm:pt modelId="{75051B60-8BE1-0041-8134-5CBD75C22703}" type="pres">
      <dgm:prSet presAssocID="{F2059352-B8BE-5A49-87B3-50E0B9F49A31}" presName="conn2-1" presStyleLbl="parChTrans1D3" presStyleIdx="0" presStyleCnt="7"/>
      <dgm:spPr/>
    </dgm:pt>
    <dgm:pt modelId="{9A4BA16B-6BB9-9A42-A5A0-8DED5004E5F7}" type="pres">
      <dgm:prSet presAssocID="{F2059352-B8BE-5A49-87B3-50E0B9F49A31}" presName="connTx" presStyleLbl="parChTrans1D3" presStyleIdx="0" presStyleCnt="7"/>
      <dgm:spPr/>
    </dgm:pt>
    <dgm:pt modelId="{1AC31C41-CDCE-1E43-87FA-647E919E055F}" type="pres">
      <dgm:prSet presAssocID="{A43C92E8-6AAE-054D-919F-BACCF374C4CD}" presName="root2" presStyleCnt="0"/>
      <dgm:spPr/>
    </dgm:pt>
    <dgm:pt modelId="{A215F424-E077-0C4E-8F1F-4D1B37CB15DF}" type="pres">
      <dgm:prSet presAssocID="{A43C92E8-6AAE-054D-919F-BACCF374C4CD}" presName="LevelTwoTextNode" presStyleLbl="node3" presStyleIdx="0" presStyleCnt="7" custScaleX="144400" custScaleY="245000" custLinFactY="-47331" custLinFactNeighborY="-100000">
        <dgm:presLayoutVars>
          <dgm:chPref val="3"/>
        </dgm:presLayoutVars>
      </dgm:prSet>
      <dgm:spPr/>
    </dgm:pt>
    <dgm:pt modelId="{7DCF6F3F-7750-4E49-B055-64C0C265E357}" type="pres">
      <dgm:prSet presAssocID="{A43C92E8-6AAE-054D-919F-BACCF374C4CD}" presName="level3hierChild" presStyleCnt="0"/>
      <dgm:spPr/>
    </dgm:pt>
    <dgm:pt modelId="{9F17D2A1-210D-3244-B8C1-29E3B40EBF45}" type="pres">
      <dgm:prSet presAssocID="{2BAEB5F8-46F9-9D48-B01F-A448672F36B5}" presName="conn2-1" presStyleLbl="parChTrans1D4" presStyleIdx="0" presStyleCnt="112"/>
      <dgm:spPr/>
    </dgm:pt>
    <dgm:pt modelId="{67B04B40-C7A5-1F4E-9876-F2B292194FC4}" type="pres">
      <dgm:prSet presAssocID="{2BAEB5F8-46F9-9D48-B01F-A448672F36B5}" presName="connTx" presStyleLbl="parChTrans1D4" presStyleIdx="0" presStyleCnt="112"/>
      <dgm:spPr/>
    </dgm:pt>
    <dgm:pt modelId="{9199DA63-9D1E-3B40-AF97-81AFF11D1A8B}" type="pres">
      <dgm:prSet presAssocID="{79B57BF7-66CA-B54E-BDB4-F9B6FE057776}" presName="root2" presStyleCnt="0"/>
      <dgm:spPr/>
    </dgm:pt>
    <dgm:pt modelId="{BF432A02-994E-5043-B97D-E483D7FA861D}" type="pres">
      <dgm:prSet presAssocID="{79B57BF7-66CA-B54E-BDB4-F9B6FE057776}" presName="LevelTwoTextNode" presStyleLbl="node4" presStyleIdx="0" presStyleCnt="112" custScaleX="172610" custScaleY="147205" custLinFactY="-130197" custLinFactNeighborX="-8614" custLinFactNeighborY="-200000">
        <dgm:presLayoutVars>
          <dgm:chPref val="3"/>
        </dgm:presLayoutVars>
      </dgm:prSet>
      <dgm:spPr/>
    </dgm:pt>
    <dgm:pt modelId="{BC67399B-EFC1-E841-A386-EF5BED890833}" type="pres">
      <dgm:prSet presAssocID="{79B57BF7-66CA-B54E-BDB4-F9B6FE057776}" presName="level3hierChild" presStyleCnt="0"/>
      <dgm:spPr/>
    </dgm:pt>
    <dgm:pt modelId="{E6AD5C6A-63C4-2349-A773-BB6EE77F1552}" type="pres">
      <dgm:prSet presAssocID="{EB18CF88-57A5-614E-9AD5-846F42897453}" presName="conn2-1" presStyleLbl="parChTrans1D4" presStyleIdx="1" presStyleCnt="112"/>
      <dgm:spPr/>
    </dgm:pt>
    <dgm:pt modelId="{893D79CA-F4EB-744C-BE33-291477020436}" type="pres">
      <dgm:prSet presAssocID="{EB18CF88-57A5-614E-9AD5-846F42897453}" presName="connTx" presStyleLbl="parChTrans1D4" presStyleIdx="1" presStyleCnt="112"/>
      <dgm:spPr/>
    </dgm:pt>
    <dgm:pt modelId="{14DC31E8-4461-DF49-9E20-B4F257AB31B2}" type="pres">
      <dgm:prSet presAssocID="{0D4ADB1A-797B-704C-81EA-7311D3B61A40}" presName="root2" presStyleCnt="0"/>
      <dgm:spPr/>
    </dgm:pt>
    <dgm:pt modelId="{E6C2D0A2-5090-6040-B1BB-7B07DC53D28A}" type="pres">
      <dgm:prSet presAssocID="{0D4ADB1A-797B-704C-81EA-7311D3B61A40}" presName="LevelTwoTextNode" presStyleLbl="node4" presStyleIdx="1" presStyleCnt="112" custScaleX="307011" custScaleY="63936" custLinFactY="-200000" custLinFactNeighborY="-297123">
        <dgm:presLayoutVars>
          <dgm:chPref val="3"/>
        </dgm:presLayoutVars>
      </dgm:prSet>
      <dgm:spPr/>
    </dgm:pt>
    <dgm:pt modelId="{2717DAFA-01F7-BF40-9D3D-FAA48C613D4A}" type="pres">
      <dgm:prSet presAssocID="{0D4ADB1A-797B-704C-81EA-7311D3B61A40}" presName="level3hierChild" presStyleCnt="0"/>
      <dgm:spPr/>
    </dgm:pt>
    <dgm:pt modelId="{C3BFBD6E-7BF2-624B-8C9D-728F0CF10CB9}" type="pres">
      <dgm:prSet presAssocID="{3B992428-D239-3842-8688-2E91A6D5B8EA}" presName="conn2-1" presStyleLbl="parChTrans1D4" presStyleIdx="2" presStyleCnt="112"/>
      <dgm:spPr/>
    </dgm:pt>
    <dgm:pt modelId="{5A9C35A1-7032-1941-BF8A-703A7372500D}" type="pres">
      <dgm:prSet presAssocID="{3B992428-D239-3842-8688-2E91A6D5B8EA}" presName="connTx" presStyleLbl="parChTrans1D4" presStyleIdx="2" presStyleCnt="112"/>
      <dgm:spPr/>
    </dgm:pt>
    <dgm:pt modelId="{BE2925A9-2DEC-6041-A4CB-BCDF9326CBD3}" type="pres">
      <dgm:prSet presAssocID="{36FBB908-E0F9-3E4C-A55F-BDFFB9AB8703}" presName="root2" presStyleCnt="0"/>
      <dgm:spPr/>
    </dgm:pt>
    <dgm:pt modelId="{B4224EB3-25EF-4E4B-910B-E4303EA28DFD}" type="pres">
      <dgm:prSet presAssocID="{36FBB908-E0F9-3E4C-A55F-BDFFB9AB8703}" presName="LevelTwoTextNode" presStyleLbl="node4" presStyleIdx="2" presStyleCnt="112" custLinFactY="-200000" custLinFactNeighborY="-292818">
        <dgm:presLayoutVars>
          <dgm:chPref val="3"/>
        </dgm:presLayoutVars>
      </dgm:prSet>
      <dgm:spPr/>
    </dgm:pt>
    <dgm:pt modelId="{3FAFEE77-0646-8542-BA2B-275EA0B6D7E4}" type="pres">
      <dgm:prSet presAssocID="{36FBB908-E0F9-3E4C-A55F-BDFFB9AB8703}" presName="level3hierChild" presStyleCnt="0"/>
      <dgm:spPr/>
    </dgm:pt>
    <dgm:pt modelId="{0B987C81-5569-A14B-BC0A-0F513D6EDBAB}" type="pres">
      <dgm:prSet presAssocID="{B204665C-AC31-BD48-AEBC-5AA724BCC1A5}" presName="conn2-1" presStyleLbl="parChTrans1D4" presStyleIdx="3" presStyleCnt="112"/>
      <dgm:spPr/>
    </dgm:pt>
    <dgm:pt modelId="{4EDE5E54-EA2F-654F-B8EA-74DD6288BF10}" type="pres">
      <dgm:prSet presAssocID="{B204665C-AC31-BD48-AEBC-5AA724BCC1A5}" presName="connTx" presStyleLbl="parChTrans1D4" presStyleIdx="3" presStyleCnt="112"/>
      <dgm:spPr/>
    </dgm:pt>
    <dgm:pt modelId="{67831014-0DD2-1B43-8557-608C2CC7E491}" type="pres">
      <dgm:prSet presAssocID="{783B7503-8636-C541-8166-6BD240F51A24}" presName="root2" presStyleCnt="0"/>
      <dgm:spPr/>
    </dgm:pt>
    <dgm:pt modelId="{3C1401A9-9818-AE48-9FD6-23E3A6A87C1C}" type="pres">
      <dgm:prSet presAssocID="{783B7503-8636-C541-8166-6BD240F51A24}" presName="LevelTwoTextNode" presStyleLbl="node4" presStyleIdx="3" presStyleCnt="112" custScaleX="149878" custScaleY="107261" custLinFactY="-200000" custLinFactNeighborY="-266246">
        <dgm:presLayoutVars>
          <dgm:chPref val="3"/>
        </dgm:presLayoutVars>
      </dgm:prSet>
      <dgm:spPr/>
    </dgm:pt>
    <dgm:pt modelId="{4D7A2FDF-68F3-A642-AB5A-4EEF9F8599CE}" type="pres">
      <dgm:prSet presAssocID="{783B7503-8636-C541-8166-6BD240F51A24}" presName="level3hierChild" presStyleCnt="0"/>
      <dgm:spPr/>
    </dgm:pt>
    <dgm:pt modelId="{1683C243-3834-4042-8AAC-AD4053BE4093}" type="pres">
      <dgm:prSet presAssocID="{2360F4C8-C77F-EF4F-8B0C-FE0AAEB63729}" presName="conn2-1" presStyleLbl="parChTrans1D4" presStyleIdx="4" presStyleCnt="112"/>
      <dgm:spPr/>
    </dgm:pt>
    <dgm:pt modelId="{F526CBA3-F7AF-A841-9031-756648F288EF}" type="pres">
      <dgm:prSet presAssocID="{2360F4C8-C77F-EF4F-8B0C-FE0AAEB63729}" presName="connTx" presStyleLbl="parChTrans1D4" presStyleIdx="4" presStyleCnt="112"/>
      <dgm:spPr/>
    </dgm:pt>
    <dgm:pt modelId="{75BD6F5D-A9C8-EA4A-BA7B-94DC54E1ECF5}" type="pres">
      <dgm:prSet presAssocID="{598B7A7F-F1B3-2246-8C1A-F49F3180A76D}" presName="root2" presStyleCnt="0"/>
      <dgm:spPr/>
    </dgm:pt>
    <dgm:pt modelId="{FC6C8DCE-58A0-3E44-8CF3-EB768D2F99D2}" type="pres">
      <dgm:prSet presAssocID="{598B7A7F-F1B3-2246-8C1A-F49F3180A76D}" presName="LevelTwoTextNode" presStyleLbl="node4" presStyleIdx="4" presStyleCnt="112" custScaleX="421689" custScaleY="59046" custLinFactY="-200000" custLinFactNeighborY="-290354">
        <dgm:presLayoutVars>
          <dgm:chPref val="3"/>
        </dgm:presLayoutVars>
      </dgm:prSet>
      <dgm:spPr/>
    </dgm:pt>
    <dgm:pt modelId="{BE54C6AE-AA51-104B-BDA3-7051BB2A3DE3}" type="pres">
      <dgm:prSet presAssocID="{598B7A7F-F1B3-2246-8C1A-F49F3180A76D}" presName="level3hierChild" presStyleCnt="0"/>
      <dgm:spPr/>
    </dgm:pt>
    <dgm:pt modelId="{E8DFD233-810A-DE48-B57C-6CD438B438F0}" type="pres">
      <dgm:prSet presAssocID="{AED09052-5C41-5F40-99E5-83762E29DD0C}" presName="conn2-1" presStyleLbl="parChTrans1D4" presStyleIdx="5" presStyleCnt="112"/>
      <dgm:spPr/>
    </dgm:pt>
    <dgm:pt modelId="{AD57F318-2AB7-E448-8157-118214EACDF7}" type="pres">
      <dgm:prSet presAssocID="{AED09052-5C41-5F40-99E5-83762E29DD0C}" presName="connTx" presStyleLbl="parChTrans1D4" presStyleIdx="5" presStyleCnt="112"/>
      <dgm:spPr/>
    </dgm:pt>
    <dgm:pt modelId="{B55A07EF-979C-F345-A286-7636AF8B85E7}" type="pres">
      <dgm:prSet presAssocID="{DFD2087A-AA7D-D24D-9E9E-71A5CFCB9BA3}" presName="root2" presStyleCnt="0"/>
      <dgm:spPr/>
    </dgm:pt>
    <dgm:pt modelId="{4CDA315F-2834-C74C-86AB-513CD784BB09}" type="pres">
      <dgm:prSet presAssocID="{DFD2087A-AA7D-D24D-9E9E-71A5CFCB9BA3}" presName="LevelTwoTextNode" presStyleLbl="node4" presStyleIdx="5" presStyleCnt="112" custScaleX="149878" custScaleY="106313" custLinFactY="-200000" custLinFactNeighborY="-203198">
        <dgm:presLayoutVars>
          <dgm:chPref val="3"/>
        </dgm:presLayoutVars>
      </dgm:prSet>
      <dgm:spPr/>
    </dgm:pt>
    <dgm:pt modelId="{9B477239-581A-544D-B38A-77EAD403B9E5}" type="pres">
      <dgm:prSet presAssocID="{DFD2087A-AA7D-D24D-9E9E-71A5CFCB9BA3}" presName="level3hierChild" presStyleCnt="0"/>
      <dgm:spPr/>
    </dgm:pt>
    <dgm:pt modelId="{2AD0E970-12BB-2B4E-9F83-AF1154EE9D7E}" type="pres">
      <dgm:prSet presAssocID="{654A1DA4-129F-1F4B-8FF1-B5EBBF8DC9FB}" presName="conn2-1" presStyleLbl="parChTrans1D4" presStyleIdx="6" presStyleCnt="112"/>
      <dgm:spPr/>
    </dgm:pt>
    <dgm:pt modelId="{C4F91F60-EB01-5840-B0B0-BBCA2522CD35}" type="pres">
      <dgm:prSet presAssocID="{654A1DA4-129F-1F4B-8FF1-B5EBBF8DC9FB}" presName="connTx" presStyleLbl="parChTrans1D4" presStyleIdx="6" presStyleCnt="112"/>
      <dgm:spPr/>
    </dgm:pt>
    <dgm:pt modelId="{1392FF23-512E-5D44-9802-9356DF855DC1}" type="pres">
      <dgm:prSet presAssocID="{811FC899-DAB7-C641-8217-A8BB5E68B68F}" presName="root2" presStyleCnt="0"/>
      <dgm:spPr/>
    </dgm:pt>
    <dgm:pt modelId="{40907F8B-9809-2140-935C-7CA63B83011B}" type="pres">
      <dgm:prSet presAssocID="{811FC899-DAB7-C641-8217-A8BB5E68B68F}" presName="LevelTwoTextNode" presStyleLbl="node4" presStyleIdx="6" presStyleCnt="112" custScaleX="432884" custScaleY="96919" custLinFactY="-200000" custLinFactNeighborY="-207895">
        <dgm:presLayoutVars>
          <dgm:chPref val="3"/>
        </dgm:presLayoutVars>
      </dgm:prSet>
      <dgm:spPr/>
    </dgm:pt>
    <dgm:pt modelId="{3D65B47A-6FBE-1843-BDCE-37F517137F2F}" type="pres">
      <dgm:prSet presAssocID="{811FC899-DAB7-C641-8217-A8BB5E68B68F}" presName="level3hierChild" presStyleCnt="0"/>
      <dgm:spPr/>
    </dgm:pt>
    <dgm:pt modelId="{AF548F20-6D14-C34A-A887-640744F8B9CC}" type="pres">
      <dgm:prSet presAssocID="{D72D60B0-EE0F-B345-A3F9-744F2038500A}" presName="conn2-1" presStyleLbl="parChTrans1D4" presStyleIdx="7" presStyleCnt="112"/>
      <dgm:spPr/>
    </dgm:pt>
    <dgm:pt modelId="{B6E30D49-DE41-5A43-AFAD-11D1C8CABA5B}" type="pres">
      <dgm:prSet presAssocID="{D72D60B0-EE0F-B345-A3F9-744F2038500A}" presName="connTx" presStyleLbl="parChTrans1D4" presStyleIdx="7" presStyleCnt="112"/>
      <dgm:spPr/>
    </dgm:pt>
    <dgm:pt modelId="{2C4111AE-B159-D84B-B96E-4B02E89D2812}" type="pres">
      <dgm:prSet presAssocID="{78EDCD40-5022-4242-A61B-47C89B5C98FB}" presName="root2" presStyleCnt="0"/>
      <dgm:spPr/>
    </dgm:pt>
    <dgm:pt modelId="{37C9041F-9873-1D42-80B1-B341A68E65F3}" type="pres">
      <dgm:prSet presAssocID="{78EDCD40-5022-4242-A61B-47C89B5C98FB}" presName="LevelTwoTextNode" presStyleLbl="node4" presStyleIdx="7" presStyleCnt="112" custScaleX="169370" custScaleY="148863" custLinFactY="-158500" custLinFactNeighborY="-200000">
        <dgm:presLayoutVars>
          <dgm:chPref val="3"/>
        </dgm:presLayoutVars>
      </dgm:prSet>
      <dgm:spPr/>
    </dgm:pt>
    <dgm:pt modelId="{FD8CFE8A-A1AF-894D-A894-4D8ADD681EF9}" type="pres">
      <dgm:prSet presAssocID="{78EDCD40-5022-4242-A61B-47C89B5C98FB}" presName="level3hierChild" presStyleCnt="0"/>
      <dgm:spPr/>
    </dgm:pt>
    <dgm:pt modelId="{47A0F795-59D6-7C47-B544-0CEFEF4A4D8B}" type="pres">
      <dgm:prSet presAssocID="{FFF1B4D1-CF30-1C4D-BEC6-08B1F5679CC4}" presName="conn2-1" presStyleLbl="parChTrans1D4" presStyleIdx="8" presStyleCnt="112"/>
      <dgm:spPr/>
    </dgm:pt>
    <dgm:pt modelId="{6536C36A-C2B9-CA43-93D2-9B4CD8A4E4EF}" type="pres">
      <dgm:prSet presAssocID="{FFF1B4D1-CF30-1C4D-BEC6-08B1F5679CC4}" presName="connTx" presStyleLbl="parChTrans1D4" presStyleIdx="8" presStyleCnt="112"/>
      <dgm:spPr/>
    </dgm:pt>
    <dgm:pt modelId="{87A4615B-1AA5-9046-B7C4-D7D8CD6199E2}" type="pres">
      <dgm:prSet presAssocID="{860765D8-B5B2-AA4C-B27C-BCC941CA571A}" presName="root2" presStyleCnt="0"/>
      <dgm:spPr/>
    </dgm:pt>
    <dgm:pt modelId="{2299191A-3DF3-4240-B3E8-F6A4022648E6}" type="pres">
      <dgm:prSet presAssocID="{860765D8-B5B2-AA4C-B27C-BCC941CA571A}" presName="LevelTwoTextNode" presStyleLbl="node4" presStyleIdx="8" presStyleCnt="112" custAng="10800000" custFlipVert="1" custScaleX="226209" custScaleY="97450" custLinFactY="-139201" custLinFactNeighborY="-200000">
        <dgm:presLayoutVars>
          <dgm:chPref val="3"/>
        </dgm:presLayoutVars>
      </dgm:prSet>
      <dgm:spPr/>
    </dgm:pt>
    <dgm:pt modelId="{6D8E8AB7-D1D9-AA41-996B-057F93D458FB}" type="pres">
      <dgm:prSet presAssocID="{860765D8-B5B2-AA4C-B27C-BCC941CA571A}" presName="level3hierChild" presStyleCnt="0"/>
      <dgm:spPr/>
    </dgm:pt>
    <dgm:pt modelId="{FA098E5E-FB6F-5D48-9B68-BA6B6F679267}" type="pres">
      <dgm:prSet presAssocID="{378EE33B-EB57-A64D-B526-B3632BD621EC}" presName="conn2-1" presStyleLbl="parChTrans1D4" presStyleIdx="9" presStyleCnt="112"/>
      <dgm:spPr/>
    </dgm:pt>
    <dgm:pt modelId="{099A56E0-693D-7B4F-A133-44BA6CFFFA74}" type="pres">
      <dgm:prSet presAssocID="{378EE33B-EB57-A64D-B526-B3632BD621EC}" presName="connTx" presStyleLbl="parChTrans1D4" presStyleIdx="9" presStyleCnt="112"/>
      <dgm:spPr/>
    </dgm:pt>
    <dgm:pt modelId="{A9AB51D9-F252-004E-93DB-CE340900BC4C}" type="pres">
      <dgm:prSet presAssocID="{0D6B794E-1DAC-1D48-855A-D9C2ADC24CB6}" presName="root2" presStyleCnt="0"/>
      <dgm:spPr/>
    </dgm:pt>
    <dgm:pt modelId="{6869DDD0-C186-E24D-9AE1-B21F97F29FCC}" type="pres">
      <dgm:prSet presAssocID="{0D6B794E-1DAC-1D48-855A-D9C2ADC24CB6}" presName="LevelTwoTextNode" presStyleLbl="node4" presStyleIdx="9" presStyleCnt="112" custScaleX="258259" custScaleY="75009" custLinFactY="-128112" custLinFactNeighborY="-200000">
        <dgm:presLayoutVars>
          <dgm:chPref val="3"/>
        </dgm:presLayoutVars>
      </dgm:prSet>
      <dgm:spPr/>
    </dgm:pt>
    <dgm:pt modelId="{E6CC31BD-DC16-4347-AFA4-3B6DB8870871}" type="pres">
      <dgm:prSet presAssocID="{0D6B794E-1DAC-1D48-855A-D9C2ADC24CB6}" presName="level3hierChild" presStyleCnt="0"/>
      <dgm:spPr/>
    </dgm:pt>
    <dgm:pt modelId="{56FA168B-7075-3841-9C08-3036E8573AA4}" type="pres">
      <dgm:prSet presAssocID="{884517B3-2A40-A147-9465-A7083B28748A}" presName="conn2-1" presStyleLbl="parChTrans1D4" presStyleIdx="10" presStyleCnt="112"/>
      <dgm:spPr/>
    </dgm:pt>
    <dgm:pt modelId="{65720F38-ED47-BB4B-A1C4-016CE8003363}" type="pres">
      <dgm:prSet presAssocID="{884517B3-2A40-A147-9465-A7083B28748A}" presName="connTx" presStyleLbl="parChTrans1D4" presStyleIdx="10" presStyleCnt="112"/>
      <dgm:spPr/>
    </dgm:pt>
    <dgm:pt modelId="{EE9DC848-EE40-E94F-AB9C-A565212BF913}" type="pres">
      <dgm:prSet presAssocID="{5A363708-8A9D-7E46-9E05-D4A58D931FC7}" presName="root2" presStyleCnt="0"/>
      <dgm:spPr/>
    </dgm:pt>
    <dgm:pt modelId="{D3707F1C-E763-A949-9D23-57EA01939072}" type="pres">
      <dgm:prSet presAssocID="{5A363708-8A9D-7E46-9E05-D4A58D931FC7}" presName="LevelTwoTextNode" presStyleLbl="node4" presStyleIdx="10" presStyleCnt="112" custScaleX="131098" custScaleY="122905" custLinFactY="-100000" custLinFactNeighborY="-178140">
        <dgm:presLayoutVars>
          <dgm:chPref val="3"/>
        </dgm:presLayoutVars>
      </dgm:prSet>
      <dgm:spPr/>
    </dgm:pt>
    <dgm:pt modelId="{D93E94FB-6545-C244-B334-A093499CFE5C}" type="pres">
      <dgm:prSet presAssocID="{5A363708-8A9D-7E46-9E05-D4A58D931FC7}" presName="level3hierChild" presStyleCnt="0"/>
      <dgm:spPr/>
    </dgm:pt>
    <dgm:pt modelId="{471BDAF2-84A0-884A-9F3F-E72A5D2BCFEB}" type="pres">
      <dgm:prSet presAssocID="{E542EC12-B086-5545-9AEB-48182A273DAD}" presName="conn2-1" presStyleLbl="parChTrans1D4" presStyleIdx="11" presStyleCnt="112"/>
      <dgm:spPr/>
    </dgm:pt>
    <dgm:pt modelId="{669C4B3F-D510-214A-A2D9-02C2895718F8}" type="pres">
      <dgm:prSet presAssocID="{E542EC12-B086-5545-9AEB-48182A273DAD}" presName="connTx" presStyleLbl="parChTrans1D4" presStyleIdx="11" presStyleCnt="112"/>
      <dgm:spPr/>
    </dgm:pt>
    <dgm:pt modelId="{40596067-BA83-5246-86D0-E394139C3320}" type="pres">
      <dgm:prSet presAssocID="{882C8D9B-E903-114F-B093-7C7541FF6850}" presName="root2" presStyleCnt="0"/>
      <dgm:spPr/>
    </dgm:pt>
    <dgm:pt modelId="{C648BCC0-1A10-BB40-A2C6-F4FEBB7D412C}" type="pres">
      <dgm:prSet presAssocID="{882C8D9B-E903-114F-B093-7C7541FF6850}" presName="LevelTwoTextNode" presStyleLbl="node4" presStyleIdx="11" presStyleCnt="112" custAng="10800000" custFlipVert="1" custScaleX="211605" custScaleY="101890" custLinFactY="-100000" custLinFactNeighborY="-196193">
        <dgm:presLayoutVars>
          <dgm:chPref val="3"/>
        </dgm:presLayoutVars>
      </dgm:prSet>
      <dgm:spPr/>
    </dgm:pt>
    <dgm:pt modelId="{F885F238-04E7-2844-9A7E-1067D8F81C37}" type="pres">
      <dgm:prSet presAssocID="{882C8D9B-E903-114F-B093-7C7541FF6850}" presName="level3hierChild" presStyleCnt="0"/>
      <dgm:spPr/>
    </dgm:pt>
    <dgm:pt modelId="{F5A02EC3-2791-A749-A8A1-AF1D4CB4E7BE}" type="pres">
      <dgm:prSet presAssocID="{0F1134B1-E9C0-4F48-8634-7781A9FF21C4}" presName="conn2-1" presStyleLbl="parChTrans1D4" presStyleIdx="12" presStyleCnt="112"/>
      <dgm:spPr/>
    </dgm:pt>
    <dgm:pt modelId="{D6B12CA3-99CD-9342-BCDB-2327EAD36BC4}" type="pres">
      <dgm:prSet presAssocID="{0F1134B1-E9C0-4F48-8634-7781A9FF21C4}" presName="connTx" presStyleLbl="parChTrans1D4" presStyleIdx="12" presStyleCnt="112"/>
      <dgm:spPr/>
    </dgm:pt>
    <dgm:pt modelId="{8FA1A678-4F13-434E-B028-8D0990739EFC}" type="pres">
      <dgm:prSet presAssocID="{FDDE80DA-B872-2A4D-9627-DCB4BE4A544E}" presName="root2" presStyleCnt="0"/>
      <dgm:spPr/>
    </dgm:pt>
    <dgm:pt modelId="{74701B83-02F9-5B4E-96D9-9FB62E0B4608}" type="pres">
      <dgm:prSet presAssocID="{FDDE80DA-B872-2A4D-9627-DCB4BE4A544E}" presName="LevelTwoTextNode" presStyleLbl="node4" presStyleIdx="12" presStyleCnt="112" custScaleX="183607" custScaleY="105113" custLinFactY="-100000" custLinFactNeighborY="-194582">
        <dgm:presLayoutVars>
          <dgm:chPref val="3"/>
        </dgm:presLayoutVars>
      </dgm:prSet>
      <dgm:spPr/>
    </dgm:pt>
    <dgm:pt modelId="{373D1E2F-E70D-934D-A500-4455EB8D4334}" type="pres">
      <dgm:prSet presAssocID="{FDDE80DA-B872-2A4D-9627-DCB4BE4A544E}" presName="level3hierChild" presStyleCnt="0"/>
      <dgm:spPr/>
    </dgm:pt>
    <dgm:pt modelId="{E326F846-A3E8-B745-99B0-8711A33D9654}" type="pres">
      <dgm:prSet presAssocID="{42F401AE-E1A0-4E47-81BB-F9BF7AFBFD62}" presName="conn2-1" presStyleLbl="parChTrans1D4" presStyleIdx="13" presStyleCnt="112"/>
      <dgm:spPr/>
    </dgm:pt>
    <dgm:pt modelId="{C20CBEB5-8C4D-5144-9EBF-12239119A709}" type="pres">
      <dgm:prSet presAssocID="{42F401AE-E1A0-4E47-81BB-F9BF7AFBFD62}" presName="connTx" presStyleLbl="parChTrans1D4" presStyleIdx="13" presStyleCnt="112"/>
      <dgm:spPr/>
    </dgm:pt>
    <dgm:pt modelId="{F4644172-D2F0-6D49-AB82-422EDCC87EC0}" type="pres">
      <dgm:prSet presAssocID="{CEDDA0A7-E006-1642-861A-937CB5AAA820}" presName="root2" presStyleCnt="0"/>
      <dgm:spPr/>
    </dgm:pt>
    <dgm:pt modelId="{A074F1DE-3BE7-F146-89FF-B4B0117FC436}" type="pres">
      <dgm:prSet presAssocID="{CEDDA0A7-E006-1642-861A-937CB5AAA820}" presName="LevelTwoTextNode" presStyleLbl="node4" presStyleIdx="13" presStyleCnt="112" custScaleX="368765" custScaleY="83672" custLinFactY="-100000" custLinFactNeighborY="-199320">
        <dgm:presLayoutVars>
          <dgm:chPref val="3"/>
        </dgm:presLayoutVars>
      </dgm:prSet>
      <dgm:spPr/>
    </dgm:pt>
    <dgm:pt modelId="{9C9BB42B-6242-4647-8536-2833FFB6A49C}" type="pres">
      <dgm:prSet presAssocID="{CEDDA0A7-E006-1642-861A-937CB5AAA820}" presName="level3hierChild" presStyleCnt="0"/>
      <dgm:spPr/>
    </dgm:pt>
    <dgm:pt modelId="{FC204920-CF5E-B644-9646-E3FB8D119F46}" type="pres">
      <dgm:prSet presAssocID="{5E467068-52C6-0647-83BB-9640C5CDFE57}" presName="conn2-1" presStyleLbl="parChTrans1D4" presStyleIdx="14" presStyleCnt="112"/>
      <dgm:spPr/>
    </dgm:pt>
    <dgm:pt modelId="{B6457DC2-1250-164B-B051-D097964FCD49}" type="pres">
      <dgm:prSet presAssocID="{5E467068-52C6-0647-83BB-9640C5CDFE57}" presName="connTx" presStyleLbl="parChTrans1D4" presStyleIdx="14" presStyleCnt="112"/>
      <dgm:spPr/>
    </dgm:pt>
    <dgm:pt modelId="{24F5DE3C-B691-1141-B209-89B1AB30B936}" type="pres">
      <dgm:prSet presAssocID="{58C642D3-53CE-ED4C-BF06-E47FBF3397C1}" presName="root2" presStyleCnt="0"/>
      <dgm:spPr/>
    </dgm:pt>
    <dgm:pt modelId="{0EC1E40B-F5B5-7643-B005-C3307981C92E}" type="pres">
      <dgm:prSet presAssocID="{58C642D3-53CE-ED4C-BF06-E47FBF3397C1}" presName="LevelTwoTextNode" presStyleLbl="node4" presStyleIdx="14" presStyleCnt="112" custLinFactY="-100000" custLinFactNeighborY="-191156">
        <dgm:presLayoutVars>
          <dgm:chPref val="3"/>
        </dgm:presLayoutVars>
      </dgm:prSet>
      <dgm:spPr/>
    </dgm:pt>
    <dgm:pt modelId="{1F80E6C2-3007-F949-87A8-D8E81BAEBEB4}" type="pres">
      <dgm:prSet presAssocID="{58C642D3-53CE-ED4C-BF06-E47FBF3397C1}" presName="level3hierChild" presStyleCnt="0"/>
      <dgm:spPr/>
    </dgm:pt>
    <dgm:pt modelId="{D7CE84B0-2AD4-4C48-A1F8-255F255C124C}" type="pres">
      <dgm:prSet presAssocID="{6D6A4EFF-039E-E04F-A9DD-C0225DDFFA76}" presName="conn2-1" presStyleLbl="parChTrans1D4" presStyleIdx="15" presStyleCnt="112"/>
      <dgm:spPr/>
    </dgm:pt>
    <dgm:pt modelId="{837DD38F-C9F1-0243-A153-F28A82E29E22}" type="pres">
      <dgm:prSet presAssocID="{6D6A4EFF-039E-E04F-A9DD-C0225DDFFA76}" presName="connTx" presStyleLbl="parChTrans1D4" presStyleIdx="15" presStyleCnt="112"/>
      <dgm:spPr/>
    </dgm:pt>
    <dgm:pt modelId="{25649AEA-ECE6-8D4E-AC29-00750D815890}" type="pres">
      <dgm:prSet presAssocID="{2A6477B6-0514-544F-8FB2-CE77F3C43B66}" presName="root2" presStyleCnt="0"/>
      <dgm:spPr/>
    </dgm:pt>
    <dgm:pt modelId="{0166BC58-3065-3140-8F5C-5ECC6B771164}" type="pres">
      <dgm:prSet presAssocID="{2A6477B6-0514-544F-8FB2-CE77F3C43B66}" presName="LevelTwoTextNode" presStyleLbl="node4" presStyleIdx="15" presStyleCnt="112" custScaleX="178175" custScaleY="132971" custLinFactY="-114045" custLinFactNeighborY="-200000">
        <dgm:presLayoutVars>
          <dgm:chPref val="3"/>
        </dgm:presLayoutVars>
      </dgm:prSet>
      <dgm:spPr/>
    </dgm:pt>
    <dgm:pt modelId="{390C2095-DFB4-E049-856F-D5F2181EDAEC}" type="pres">
      <dgm:prSet presAssocID="{2A6477B6-0514-544F-8FB2-CE77F3C43B66}" presName="level3hierChild" presStyleCnt="0"/>
      <dgm:spPr/>
    </dgm:pt>
    <dgm:pt modelId="{4B3AE3C5-1F77-1C4F-ADD9-B65CC61B9832}" type="pres">
      <dgm:prSet presAssocID="{7B5F459C-0DD8-A14A-8579-07AA35F8CB63}" presName="conn2-1" presStyleLbl="parChTrans1D4" presStyleIdx="16" presStyleCnt="112"/>
      <dgm:spPr/>
    </dgm:pt>
    <dgm:pt modelId="{C797FADA-6CD1-A44C-9B03-0CDAB052B3A3}" type="pres">
      <dgm:prSet presAssocID="{7B5F459C-0DD8-A14A-8579-07AA35F8CB63}" presName="connTx" presStyleLbl="parChTrans1D4" presStyleIdx="16" presStyleCnt="112"/>
      <dgm:spPr/>
    </dgm:pt>
    <dgm:pt modelId="{644E8766-74F4-C547-BB24-0E485B794DAE}" type="pres">
      <dgm:prSet presAssocID="{33CA97C8-F40D-E148-8B77-4AB785C2B08F}" presName="root2" presStyleCnt="0"/>
      <dgm:spPr/>
    </dgm:pt>
    <dgm:pt modelId="{E6F6E067-C603-CB40-9D3A-9B9F7C47ED60}" type="pres">
      <dgm:prSet presAssocID="{33CA97C8-F40D-E148-8B77-4AB785C2B08F}" presName="LevelTwoTextNode" presStyleLbl="node4" presStyleIdx="16" presStyleCnt="112" custScaleX="140212" custScaleY="96387" custLinFactY="-100000" custLinFactNeighborY="-176259">
        <dgm:presLayoutVars>
          <dgm:chPref val="3"/>
        </dgm:presLayoutVars>
      </dgm:prSet>
      <dgm:spPr/>
    </dgm:pt>
    <dgm:pt modelId="{AB582029-330B-5242-8CFF-83C7CB2B8AB8}" type="pres">
      <dgm:prSet presAssocID="{33CA97C8-F40D-E148-8B77-4AB785C2B08F}" presName="level3hierChild" presStyleCnt="0"/>
      <dgm:spPr/>
    </dgm:pt>
    <dgm:pt modelId="{46FB4E8C-E578-1140-BDEB-9DF892225D13}" type="pres">
      <dgm:prSet presAssocID="{2AED3907-ECDE-BD48-A5A5-1543623D08A7}" presName="conn2-1" presStyleLbl="parChTrans1D4" presStyleIdx="17" presStyleCnt="112"/>
      <dgm:spPr/>
    </dgm:pt>
    <dgm:pt modelId="{E0994329-13EE-094C-8263-0C0983EFB141}" type="pres">
      <dgm:prSet presAssocID="{2AED3907-ECDE-BD48-A5A5-1543623D08A7}" presName="connTx" presStyleLbl="parChTrans1D4" presStyleIdx="17" presStyleCnt="112"/>
      <dgm:spPr/>
    </dgm:pt>
    <dgm:pt modelId="{459291EB-3ABF-F24F-A009-D96592C2BB74}" type="pres">
      <dgm:prSet presAssocID="{57E7B5ED-B1DA-D149-B207-BA129B5A9D5B}" presName="root2" presStyleCnt="0"/>
      <dgm:spPr/>
    </dgm:pt>
    <dgm:pt modelId="{5BD30594-CCC2-FB40-8946-9B1A1ACC9E9A}" type="pres">
      <dgm:prSet presAssocID="{57E7B5ED-B1DA-D149-B207-BA129B5A9D5B}" presName="LevelTwoTextNode" presStyleLbl="node4" presStyleIdx="17" presStyleCnt="112" custLinFactY="-100000" custLinFactNeighborY="-174451">
        <dgm:presLayoutVars>
          <dgm:chPref val="3"/>
        </dgm:presLayoutVars>
      </dgm:prSet>
      <dgm:spPr/>
    </dgm:pt>
    <dgm:pt modelId="{2E2276BE-7E32-814A-96CB-AE5D3BB8C132}" type="pres">
      <dgm:prSet presAssocID="{57E7B5ED-B1DA-D149-B207-BA129B5A9D5B}" presName="level3hierChild" presStyleCnt="0"/>
      <dgm:spPr/>
    </dgm:pt>
    <dgm:pt modelId="{F3E39D8D-F053-1949-9191-6101AF6EA419}" type="pres">
      <dgm:prSet presAssocID="{1B464E6E-8103-EB4E-B59E-CB0C4AA8E8EE}" presName="conn2-1" presStyleLbl="parChTrans1D4" presStyleIdx="18" presStyleCnt="112"/>
      <dgm:spPr/>
    </dgm:pt>
    <dgm:pt modelId="{535F810D-6049-804B-8D9F-3F7980702433}" type="pres">
      <dgm:prSet presAssocID="{1B464E6E-8103-EB4E-B59E-CB0C4AA8E8EE}" presName="connTx" presStyleLbl="parChTrans1D4" presStyleIdx="18" presStyleCnt="112"/>
      <dgm:spPr/>
    </dgm:pt>
    <dgm:pt modelId="{B4C387A5-A404-7E48-9F31-39C33A919747}" type="pres">
      <dgm:prSet presAssocID="{EC45E36C-3516-3B4F-9CE2-08B57CF32441}" presName="root2" presStyleCnt="0"/>
      <dgm:spPr/>
    </dgm:pt>
    <dgm:pt modelId="{1511E016-75A3-5F4B-85DD-7514CD779C9A}" type="pres">
      <dgm:prSet presAssocID="{EC45E36C-3516-3B4F-9CE2-08B57CF32441}" presName="LevelTwoTextNode" presStyleLbl="node4" presStyleIdx="18" presStyleCnt="112" custScaleX="387973" custScaleY="95357" custLinFactY="-100000" custLinFactNeighborY="-165912">
        <dgm:presLayoutVars>
          <dgm:chPref val="3"/>
        </dgm:presLayoutVars>
      </dgm:prSet>
      <dgm:spPr/>
    </dgm:pt>
    <dgm:pt modelId="{7FBA9F8A-1B00-324B-ADB5-05E32A2E9CB7}" type="pres">
      <dgm:prSet presAssocID="{EC45E36C-3516-3B4F-9CE2-08B57CF32441}" presName="level3hierChild" presStyleCnt="0"/>
      <dgm:spPr/>
    </dgm:pt>
    <dgm:pt modelId="{5192D110-5BA2-094F-AD73-CC0F3B1F0681}" type="pres">
      <dgm:prSet presAssocID="{81743381-7223-7E49-97E3-0A17979FB929}" presName="conn2-1" presStyleLbl="parChTrans1D4" presStyleIdx="19" presStyleCnt="112"/>
      <dgm:spPr/>
    </dgm:pt>
    <dgm:pt modelId="{9EE83BF8-6839-9849-82DF-957E0E3BB23A}" type="pres">
      <dgm:prSet presAssocID="{81743381-7223-7E49-97E3-0A17979FB929}" presName="connTx" presStyleLbl="parChTrans1D4" presStyleIdx="19" presStyleCnt="112"/>
      <dgm:spPr/>
    </dgm:pt>
    <dgm:pt modelId="{69116197-C5D4-9F43-AC55-252E023891F1}" type="pres">
      <dgm:prSet presAssocID="{3A07A013-BFF7-6A4E-823C-587B87356E4F}" presName="root2" presStyleCnt="0"/>
      <dgm:spPr/>
    </dgm:pt>
    <dgm:pt modelId="{FAC72622-7920-9D4B-8882-12C91CA9C5F3}" type="pres">
      <dgm:prSet presAssocID="{3A07A013-BFF7-6A4E-823C-587B87356E4F}" presName="LevelTwoTextNode" presStyleLbl="node4" presStyleIdx="19" presStyleCnt="112" custLinFactY="-100000" custLinFactNeighborY="-163591">
        <dgm:presLayoutVars>
          <dgm:chPref val="3"/>
        </dgm:presLayoutVars>
      </dgm:prSet>
      <dgm:spPr/>
    </dgm:pt>
    <dgm:pt modelId="{F062C7B6-06BF-7043-A50C-52905DE22D96}" type="pres">
      <dgm:prSet presAssocID="{3A07A013-BFF7-6A4E-823C-587B87356E4F}" presName="level3hierChild" presStyleCnt="0"/>
      <dgm:spPr/>
    </dgm:pt>
    <dgm:pt modelId="{89815CA0-A8E4-D34F-8229-DC5554D286CA}" type="pres">
      <dgm:prSet presAssocID="{C03ACD29-BCE4-9248-9233-64F44249D625}" presName="conn2-1" presStyleLbl="parChTrans1D4" presStyleIdx="20" presStyleCnt="112"/>
      <dgm:spPr/>
    </dgm:pt>
    <dgm:pt modelId="{4BED9D2B-3EBE-E248-B4E3-7B9310FB8A11}" type="pres">
      <dgm:prSet presAssocID="{C03ACD29-BCE4-9248-9233-64F44249D625}" presName="connTx" presStyleLbl="parChTrans1D4" presStyleIdx="20" presStyleCnt="112"/>
      <dgm:spPr/>
    </dgm:pt>
    <dgm:pt modelId="{806B81FC-6F80-D84F-A77F-1E09854BB393}" type="pres">
      <dgm:prSet presAssocID="{9E7243EA-B6ED-1843-B96C-2BAFFE6A6B65}" presName="root2" presStyleCnt="0"/>
      <dgm:spPr/>
    </dgm:pt>
    <dgm:pt modelId="{F51FBADE-DB88-A14B-846A-59613E8F6AC6}" type="pres">
      <dgm:prSet presAssocID="{9E7243EA-B6ED-1843-B96C-2BAFFE6A6B65}" presName="LevelTwoTextNode" presStyleLbl="node4" presStyleIdx="20" presStyleCnt="112" custScaleX="131275" custScaleY="195455" custLinFactY="-100000" custLinFactNeighborY="-192894">
        <dgm:presLayoutVars>
          <dgm:chPref val="3"/>
        </dgm:presLayoutVars>
      </dgm:prSet>
      <dgm:spPr/>
    </dgm:pt>
    <dgm:pt modelId="{FAB2A651-BC97-C143-B90B-061795BD2105}" type="pres">
      <dgm:prSet presAssocID="{9E7243EA-B6ED-1843-B96C-2BAFFE6A6B65}" presName="level3hierChild" presStyleCnt="0"/>
      <dgm:spPr/>
    </dgm:pt>
    <dgm:pt modelId="{3652E5CE-904C-C04A-8891-294215E8866C}" type="pres">
      <dgm:prSet presAssocID="{C2564780-98E5-8A42-847E-FBB95DC8F935}" presName="conn2-1" presStyleLbl="parChTrans1D4" presStyleIdx="21" presStyleCnt="112"/>
      <dgm:spPr/>
    </dgm:pt>
    <dgm:pt modelId="{B2BC5308-5A63-0140-BF12-87265CB514CD}" type="pres">
      <dgm:prSet presAssocID="{C2564780-98E5-8A42-847E-FBB95DC8F935}" presName="connTx" presStyleLbl="parChTrans1D4" presStyleIdx="21" presStyleCnt="112"/>
      <dgm:spPr/>
    </dgm:pt>
    <dgm:pt modelId="{4E78132B-0260-B141-8E96-07F0968206D7}" type="pres">
      <dgm:prSet presAssocID="{8BD4F5D9-E2E9-2045-A1DC-CAF2B114952B}" presName="root2" presStyleCnt="0"/>
      <dgm:spPr/>
    </dgm:pt>
    <dgm:pt modelId="{6E73D9F8-4995-CF4E-A1B1-5197C807D56A}" type="pres">
      <dgm:prSet presAssocID="{8BD4F5D9-E2E9-2045-A1DC-CAF2B114952B}" presName="LevelTwoTextNode" presStyleLbl="node4" presStyleIdx="21" presStyleCnt="112" custScaleX="211265" custScaleY="83789" custLinFactY="-100000" custLinFactNeighborY="-152730">
        <dgm:presLayoutVars>
          <dgm:chPref val="3"/>
        </dgm:presLayoutVars>
      </dgm:prSet>
      <dgm:spPr/>
    </dgm:pt>
    <dgm:pt modelId="{DB7F2439-3049-9E42-838C-BD4FB999D3F3}" type="pres">
      <dgm:prSet presAssocID="{8BD4F5D9-E2E9-2045-A1DC-CAF2B114952B}" presName="level3hierChild" presStyleCnt="0"/>
      <dgm:spPr/>
    </dgm:pt>
    <dgm:pt modelId="{8A3494EC-85B9-F345-AC03-AA4AC99D1F3A}" type="pres">
      <dgm:prSet presAssocID="{DCE0C63B-0B50-2943-8D37-2ABDD6B58B14}" presName="conn2-1" presStyleLbl="parChTrans1D4" presStyleIdx="22" presStyleCnt="112"/>
      <dgm:spPr/>
    </dgm:pt>
    <dgm:pt modelId="{45099A8B-41F3-0440-86CE-108AB15F3A60}" type="pres">
      <dgm:prSet presAssocID="{DCE0C63B-0B50-2943-8D37-2ABDD6B58B14}" presName="connTx" presStyleLbl="parChTrans1D4" presStyleIdx="22" presStyleCnt="112"/>
      <dgm:spPr/>
    </dgm:pt>
    <dgm:pt modelId="{D9B48B33-B8B9-4246-B9FE-4D7F4C764C66}" type="pres">
      <dgm:prSet presAssocID="{813C6849-A8C9-0A43-8215-00DD7F82E3DE}" presName="root2" presStyleCnt="0"/>
      <dgm:spPr/>
    </dgm:pt>
    <dgm:pt modelId="{78754AE0-3759-D042-885D-B4BD05ED5F24}" type="pres">
      <dgm:prSet presAssocID="{813C6849-A8C9-0A43-8215-00DD7F82E3DE}" presName="LevelTwoTextNode" presStyleLbl="node4" presStyleIdx="22" presStyleCnt="112" custScaleX="151642" custScaleY="82408" custLinFactY="-100000" custLinFactNeighborY="-153418">
        <dgm:presLayoutVars>
          <dgm:chPref val="3"/>
        </dgm:presLayoutVars>
      </dgm:prSet>
      <dgm:spPr/>
    </dgm:pt>
    <dgm:pt modelId="{ECB08738-92F3-8643-9640-82FDBE0F7F1E}" type="pres">
      <dgm:prSet presAssocID="{813C6849-A8C9-0A43-8215-00DD7F82E3DE}" presName="level3hierChild" presStyleCnt="0"/>
      <dgm:spPr/>
    </dgm:pt>
    <dgm:pt modelId="{DDC303B7-12C7-9B45-9033-44DEF8033C4B}" type="pres">
      <dgm:prSet presAssocID="{6997AF15-5056-E14F-BB3A-745ACA686502}" presName="conn2-1" presStyleLbl="parChTrans1D4" presStyleIdx="23" presStyleCnt="112"/>
      <dgm:spPr/>
    </dgm:pt>
    <dgm:pt modelId="{B3F5AF76-FC23-9F41-B46B-C2F747D47D77}" type="pres">
      <dgm:prSet presAssocID="{6997AF15-5056-E14F-BB3A-745ACA686502}" presName="connTx" presStyleLbl="parChTrans1D4" presStyleIdx="23" presStyleCnt="112"/>
      <dgm:spPr/>
    </dgm:pt>
    <dgm:pt modelId="{60DEAE20-B056-514F-B611-195DFD29C080}" type="pres">
      <dgm:prSet presAssocID="{3788289E-6D6B-7944-9BA7-6EC4E132453D}" presName="root2" presStyleCnt="0"/>
      <dgm:spPr/>
    </dgm:pt>
    <dgm:pt modelId="{C23E3216-9363-7843-A064-7829C6156F68}" type="pres">
      <dgm:prSet presAssocID="{3788289E-6D6B-7944-9BA7-6EC4E132453D}" presName="LevelTwoTextNode" presStyleLbl="node4" presStyleIdx="23" presStyleCnt="112" custFlipVert="0" custScaleX="396781" custScaleY="64378" custLinFactY="-100000" custLinFactNeighborY="-127979">
        <dgm:presLayoutVars>
          <dgm:chPref val="3"/>
        </dgm:presLayoutVars>
      </dgm:prSet>
      <dgm:spPr/>
    </dgm:pt>
    <dgm:pt modelId="{D47F45C1-749E-654A-B73A-A1FE07EC0971}" type="pres">
      <dgm:prSet presAssocID="{3788289E-6D6B-7944-9BA7-6EC4E132453D}" presName="level3hierChild" presStyleCnt="0"/>
      <dgm:spPr/>
    </dgm:pt>
    <dgm:pt modelId="{D3282D8C-6419-8145-9946-60126AAF2D27}" type="pres">
      <dgm:prSet presAssocID="{83B534ED-1816-614A-9F03-5287F1F4C3C2}" presName="conn2-1" presStyleLbl="parChTrans1D4" presStyleIdx="24" presStyleCnt="112"/>
      <dgm:spPr/>
    </dgm:pt>
    <dgm:pt modelId="{A7C3D8CB-DEB3-1C4D-BE6E-B4BE631FE5BB}" type="pres">
      <dgm:prSet presAssocID="{83B534ED-1816-614A-9F03-5287F1F4C3C2}" presName="connTx" presStyleLbl="parChTrans1D4" presStyleIdx="24" presStyleCnt="112"/>
      <dgm:spPr/>
    </dgm:pt>
    <dgm:pt modelId="{73AF0690-D01B-784D-B810-8BF6423D7982}" type="pres">
      <dgm:prSet presAssocID="{E6B3F358-CC28-4149-8E81-07B162AFEA50}" presName="root2" presStyleCnt="0"/>
      <dgm:spPr/>
    </dgm:pt>
    <dgm:pt modelId="{079B7F6F-D7A3-8744-B2AF-0ABFD42168C5}" type="pres">
      <dgm:prSet presAssocID="{E6B3F358-CC28-4149-8E81-07B162AFEA50}" presName="LevelTwoTextNode" presStyleLbl="node4" presStyleIdx="24" presStyleCnt="112" custScaleX="391867" custScaleY="97623" custLinFactY="-100000" custLinFactNeighborY="-119670">
        <dgm:presLayoutVars>
          <dgm:chPref val="3"/>
        </dgm:presLayoutVars>
      </dgm:prSet>
      <dgm:spPr/>
    </dgm:pt>
    <dgm:pt modelId="{C471DBE1-FD2B-8F4C-B123-2F4C8F44F706}" type="pres">
      <dgm:prSet presAssocID="{E6B3F358-CC28-4149-8E81-07B162AFEA50}" presName="level3hierChild" presStyleCnt="0"/>
      <dgm:spPr/>
    </dgm:pt>
    <dgm:pt modelId="{7E1AD678-D7E5-9844-9640-FA9CDE3EE73D}" type="pres">
      <dgm:prSet presAssocID="{31F604A1-C9DA-F548-A1ED-18EE8F51AF36}" presName="conn2-1" presStyleLbl="parChTrans1D4" presStyleIdx="25" presStyleCnt="112"/>
      <dgm:spPr/>
    </dgm:pt>
    <dgm:pt modelId="{4C354592-A09F-6D45-A136-D3B96E8FFA85}" type="pres">
      <dgm:prSet presAssocID="{31F604A1-C9DA-F548-A1ED-18EE8F51AF36}" presName="connTx" presStyleLbl="parChTrans1D4" presStyleIdx="25" presStyleCnt="112"/>
      <dgm:spPr/>
    </dgm:pt>
    <dgm:pt modelId="{6D9AA2F4-12A8-2F45-9425-8551BB3C2D09}" type="pres">
      <dgm:prSet presAssocID="{4C2EDF73-B0DC-D840-B224-69F5FD92CC90}" presName="root2" presStyleCnt="0"/>
      <dgm:spPr/>
    </dgm:pt>
    <dgm:pt modelId="{E670B104-FE1E-0341-81A6-730D9922C976}" type="pres">
      <dgm:prSet presAssocID="{4C2EDF73-B0DC-D840-B224-69F5FD92CC90}" presName="LevelTwoTextNode" presStyleLbl="node4" presStyleIdx="25" presStyleCnt="112" custScaleX="250114" custScaleY="99688" custLinFactY="-100000" custLinFactNeighborY="-144554">
        <dgm:presLayoutVars>
          <dgm:chPref val="3"/>
        </dgm:presLayoutVars>
      </dgm:prSet>
      <dgm:spPr/>
    </dgm:pt>
    <dgm:pt modelId="{334D7C47-14D9-6041-8B52-7958AD0490B8}" type="pres">
      <dgm:prSet presAssocID="{4C2EDF73-B0DC-D840-B224-69F5FD92CC90}" presName="level3hierChild" presStyleCnt="0"/>
      <dgm:spPr/>
    </dgm:pt>
    <dgm:pt modelId="{BB32562C-16A7-1143-AD07-46F6E3088404}" type="pres">
      <dgm:prSet presAssocID="{0C6DAFA2-3D5B-8442-8100-C4CFE720ABC9}" presName="conn2-1" presStyleLbl="parChTrans1D4" presStyleIdx="26" presStyleCnt="112"/>
      <dgm:spPr/>
    </dgm:pt>
    <dgm:pt modelId="{4E77CAD2-A8AB-D843-847C-3A0CDB177DA6}" type="pres">
      <dgm:prSet presAssocID="{0C6DAFA2-3D5B-8442-8100-C4CFE720ABC9}" presName="connTx" presStyleLbl="parChTrans1D4" presStyleIdx="26" presStyleCnt="112"/>
      <dgm:spPr/>
    </dgm:pt>
    <dgm:pt modelId="{05770106-4E98-FC45-B86E-87533D33471D}" type="pres">
      <dgm:prSet presAssocID="{465DDD6F-3756-0943-86C9-6A8FE6ED8554}" presName="root2" presStyleCnt="0"/>
      <dgm:spPr/>
    </dgm:pt>
    <dgm:pt modelId="{13485AB8-35DD-9C47-AB00-46085A381A82}" type="pres">
      <dgm:prSet presAssocID="{465DDD6F-3756-0943-86C9-6A8FE6ED8554}" presName="LevelTwoTextNode" presStyleLbl="node4" presStyleIdx="26" presStyleCnt="112" custScaleX="144360" custScaleY="138005" custLinFactY="-100000" custLinFactNeighborY="-123193">
        <dgm:presLayoutVars>
          <dgm:chPref val="3"/>
        </dgm:presLayoutVars>
      </dgm:prSet>
      <dgm:spPr/>
    </dgm:pt>
    <dgm:pt modelId="{3343AAAF-6D24-0847-A365-E72DF4D8C0A7}" type="pres">
      <dgm:prSet presAssocID="{465DDD6F-3756-0943-86C9-6A8FE6ED8554}" presName="level3hierChild" presStyleCnt="0"/>
      <dgm:spPr/>
    </dgm:pt>
    <dgm:pt modelId="{490F0FD2-7B13-874B-9634-3A738944E5AC}" type="pres">
      <dgm:prSet presAssocID="{335737D1-B9FD-F543-BBB0-866C04970F19}" presName="conn2-1" presStyleLbl="parChTrans1D4" presStyleIdx="27" presStyleCnt="112"/>
      <dgm:spPr/>
    </dgm:pt>
    <dgm:pt modelId="{6F67AB93-3F09-FA4B-AFF1-165D9C5B6D81}" type="pres">
      <dgm:prSet presAssocID="{335737D1-B9FD-F543-BBB0-866C04970F19}" presName="connTx" presStyleLbl="parChTrans1D4" presStyleIdx="27" presStyleCnt="112"/>
      <dgm:spPr/>
    </dgm:pt>
    <dgm:pt modelId="{7F19EC17-22EF-F14E-AC19-090E7BABCE1E}" type="pres">
      <dgm:prSet presAssocID="{720B48A7-DA6C-ED4D-B29B-2688FCDBF080}" presName="root2" presStyleCnt="0"/>
      <dgm:spPr/>
    </dgm:pt>
    <dgm:pt modelId="{3D33D7E6-8570-A54F-A7B6-A13007F1D015}" type="pres">
      <dgm:prSet presAssocID="{720B48A7-DA6C-ED4D-B29B-2688FCDBF080}" presName="LevelTwoTextNode" presStyleLbl="node4" presStyleIdx="27" presStyleCnt="112" custScaleX="383048" custScaleY="98320" custLinFactY="-100000" custLinFactNeighborY="-134670">
        <dgm:presLayoutVars>
          <dgm:chPref val="3"/>
        </dgm:presLayoutVars>
      </dgm:prSet>
      <dgm:spPr/>
    </dgm:pt>
    <dgm:pt modelId="{35F47F54-C939-D648-AF2F-9CC6E9015EBF}" type="pres">
      <dgm:prSet presAssocID="{720B48A7-DA6C-ED4D-B29B-2688FCDBF080}" presName="level3hierChild" presStyleCnt="0"/>
      <dgm:spPr/>
    </dgm:pt>
    <dgm:pt modelId="{80EB617D-6059-224C-9C55-A03E08FA26F5}" type="pres">
      <dgm:prSet presAssocID="{41551931-B083-C547-B2E5-B13556582598}" presName="conn2-1" presStyleLbl="parChTrans1D4" presStyleIdx="28" presStyleCnt="112"/>
      <dgm:spPr/>
    </dgm:pt>
    <dgm:pt modelId="{EA13F84A-0260-6545-B31E-F18A33474D26}" type="pres">
      <dgm:prSet presAssocID="{41551931-B083-C547-B2E5-B13556582598}" presName="connTx" presStyleLbl="parChTrans1D4" presStyleIdx="28" presStyleCnt="112"/>
      <dgm:spPr/>
    </dgm:pt>
    <dgm:pt modelId="{C481BFBE-D744-F449-9DE6-87538EF4A570}" type="pres">
      <dgm:prSet presAssocID="{0C9CD2EC-18FB-2648-A307-220C0F1CEB7A}" presName="root2" presStyleCnt="0"/>
      <dgm:spPr/>
    </dgm:pt>
    <dgm:pt modelId="{98DED41B-E770-D546-80B8-B8F441D60B24}" type="pres">
      <dgm:prSet presAssocID="{0C9CD2EC-18FB-2648-A307-220C0F1CEB7A}" presName="LevelTwoTextNode" presStyleLbl="node4" presStyleIdx="28" presStyleCnt="112" custScaleX="283008" custScaleY="93532" custLinFactY="-100000" custLinFactNeighborY="-127257">
        <dgm:presLayoutVars>
          <dgm:chPref val="3"/>
        </dgm:presLayoutVars>
      </dgm:prSet>
      <dgm:spPr/>
    </dgm:pt>
    <dgm:pt modelId="{EE8FB980-F17F-D846-9A1A-894EA3BF5181}" type="pres">
      <dgm:prSet presAssocID="{0C9CD2EC-18FB-2648-A307-220C0F1CEB7A}" presName="level3hierChild" presStyleCnt="0"/>
      <dgm:spPr/>
    </dgm:pt>
    <dgm:pt modelId="{CFDD132E-3A7F-F04E-ABD5-FF2F5192D67E}" type="pres">
      <dgm:prSet presAssocID="{B2BDC843-E22E-C14E-8C54-73146F18D74D}" presName="conn2-1" presStyleLbl="parChTrans1D4" presStyleIdx="29" presStyleCnt="112"/>
      <dgm:spPr/>
    </dgm:pt>
    <dgm:pt modelId="{1D2378A9-C46A-D04C-9B3A-571B7753D57F}" type="pres">
      <dgm:prSet presAssocID="{B2BDC843-E22E-C14E-8C54-73146F18D74D}" presName="connTx" presStyleLbl="parChTrans1D4" presStyleIdx="29" presStyleCnt="112"/>
      <dgm:spPr/>
    </dgm:pt>
    <dgm:pt modelId="{72CB1564-0D28-6C4A-96A3-3E28FD8B21BA}" type="pres">
      <dgm:prSet presAssocID="{F62E0A5F-75F9-2044-A408-1006267DFE71}" presName="root2" presStyleCnt="0"/>
      <dgm:spPr/>
    </dgm:pt>
    <dgm:pt modelId="{1D766FD2-98A6-2D4B-8CF9-1C85CF679C74}" type="pres">
      <dgm:prSet presAssocID="{F62E0A5F-75F9-2044-A408-1006267DFE71}" presName="LevelTwoTextNode" presStyleLbl="node4" presStyleIdx="29" presStyleCnt="112" custScaleX="248075" custScaleY="88859" custLinFactY="-100000" custLinFactNeighborY="-129593">
        <dgm:presLayoutVars>
          <dgm:chPref val="3"/>
        </dgm:presLayoutVars>
      </dgm:prSet>
      <dgm:spPr/>
    </dgm:pt>
    <dgm:pt modelId="{606FD013-7907-C948-A6AF-DF8E33E4E777}" type="pres">
      <dgm:prSet presAssocID="{F62E0A5F-75F9-2044-A408-1006267DFE71}" presName="level3hierChild" presStyleCnt="0"/>
      <dgm:spPr/>
    </dgm:pt>
    <dgm:pt modelId="{E5C866E2-6596-5E4D-B122-AB699653CA8D}" type="pres">
      <dgm:prSet presAssocID="{0D177F67-5279-F046-92F6-777A13035113}" presName="conn2-1" presStyleLbl="parChTrans1D4" presStyleIdx="30" presStyleCnt="112"/>
      <dgm:spPr/>
    </dgm:pt>
    <dgm:pt modelId="{57D06136-8074-D647-BA64-32EC65793C02}" type="pres">
      <dgm:prSet presAssocID="{0D177F67-5279-F046-92F6-777A13035113}" presName="connTx" presStyleLbl="parChTrans1D4" presStyleIdx="30" presStyleCnt="112"/>
      <dgm:spPr/>
    </dgm:pt>
    <dgm:pt modelId="{724F64B8-45A7-5940-A427-3CB8069CDCEF}" type="pres">
      <dgm:prSet presAssocID="{75634039-15F2-6246-B1EC-15A054EF50BF}" presName="root2" presStyleCnt="0"/>
      <dgm:spPr/>
    </dgm:pt>
    <dgm:pt modelId="{A6E1F013-BBC3-434B-858A-93A82C2D96C9}" type="pres">
      <dgm:prSet presAssocID="{75634039-15F2-6246-B1EC-15A054EF50BF}" presName="LevelTwoTextNode" presStyleLbl="node4" presStyleIdx="30" presStyleCnt="112" custScaleX="169362" custScaleY="99144" custLinFactY="-100000" custLinFactNeighborY="-124451">
        <dgm:presLayoutVars>
          <dgm:chPref val="3"/>
        </dgm:presLayoutVars>
      </dgm:prSet>
      <dgm:spPr/>
    </dgm:pt>
    <dgm:pt modelId="{393F80E3-28D7-3444-B876-7742DC4BCFF8}" type="pres">
      <dgm:prSet presAssocID="{75634039-15F2-6246-B1EC-15A054EF50BF}" presName="level3hierChild" presStyleCnt="0"/>
      <dgm:spPr/>
    </dgm:pt>
    <dgm:pt modelId="{0A3D2683-ACD4-4947-8320-7D2363362DB1}" type="pres">
      <dgm:prSet presAssocID="{8200E950-B436-C240-9EF0-C3EBFDC3BA7E}" presName="conn2-1" presStyleLbl="parChTrans1D3" presStyleIdx="1" presStyleCnt="7"/>
      <dgm:spPr/>
    </dgm:pt>
    <dgm:pt modelId="{72E5C04D-9D5B-FB42-A185-2FEDD753132D}" type="pres">
      <dgm:prSet presAssocID="{8200E950-B436-C240-9EF0-C3EBFDC3BA7E}" presName="connTx" presStyleLbl="parChTrans1D3" presStyleIdx="1" presStyleCnt="7"/>
      <dgm:spPr/>
    </dgm:pt>
    <dgm:pt modelId="{4ADFBFB7-C7A7-CF4D-AAFB-AF6AFE9B1102}" type="pres">
      <dgm:prSet presAssocID="{4B15793C-71FA-1A4A-9E7D-00D0985DA88C}" presName="root2" presStyleCnt="0"/>
      <dgm:spPr/>
    </dgm:pt>
    <dgm:pt modelId="{F8CF0165-7F9F-1E46-B6B5-EDEAB8968E08}" type="pres">
      <dgm:prSet presAssocID="{4B15793C-71FA-1A4A-9E7D-00D0985DA88C}" presName="LevelTwoTextNode" presStyleLbl="node3" presStyleIdx="1" presStyleCnt="7" custScaleX="183058" custScaleY="294198" custLinFactY="-56837" custLinFactNeighborY="-100000">
        <dgm:presLayoutVars>
          <dgm:chPref val="3"/>
        </dgm:presLayoutVars>
      </dgm:prSet>
      <dgm:spPr/>
    </dgm:pt>
    <dgm:pt modelId="{95E853F2-2D48-A644-8DDB-AD749D7C2F1F}" type="pres">
      <dgm:prSet presAssocID="{4B15793C-71FA-1A4A-9E7D-00D0985DA88C}" presName="level3hierChild" presStyleCnt="0"/>
      <dgm:spPr/>
    </dgm:pt>
    <dgm:pt modelId="{3B43E233-AC1B-EF47-96D1-B8386A516FEC}" type="pres">
      <dgm:prSet presAssocID="{3AA98029-E1CD-664A-900B-5C894F57A4D6}" presName="conn2-1" presStyleLbl="parChTrans1D4" presStyleIdx="31" presStyleCnt="112"/>
      <dgm:spPr/>
    </dgm:pt>
    <dgm:pt modelId="{4582AC68-95C3-E241-BD14-F144050A8DDD}" type="pres">
      <dgm:prSet presAssocID="{3AA98029-E1CD-664A-900B-5C894F57A4D6}" presName="connTx" presStyleLbl="parChTrans1D4" presStyleIdx="31" presStyleCnt="112"/>
      <dgm:spPr/>
    </dgm:pt>
    <dgm:pt modelId="{5909AEDB-4D3A-8343-B9FD-FAB16C2FADC3}" type="pres">
      <dgm:prSet presAssocID="{72B9EEC2-7AE8-044B-BC5F-92F0F6D5E94F}" presName="root2" presStyleCnt="0"/>
      <dgm:spPr/>
    </dgm:pt>
    <dgm:pt modelId="{1EC1C0C6-BDBF-8143-8838-4EB7B7233DD3}" type="pres">
      <dgm:prSet presAssocID="{72B9EEC2-7AE8-044B-BC5F-92F0F6D5E94F}" presName="LevelTwoTextNode" presStyleLbl="node4" presStyleIdx="31" presStyleCnt="112" custScaleX="167717" custScaleY="209401" custLinFactY="-100000" custLinFactNeighborY="-112249">
        <dgm:presLayoutVars>
          <dgm:chPref val="3"/>
        </dgm:presLayoutVars>
      </dgm:prSet>
      <dgm:spPr/>
    </dgm:pt>
    <dgm:pt modelId="{912EA272-7AE2-B043-A20F-BA247958129F}" type="pres">
      <dgm:prSet presAssocID="{72B9EEC2-7AE8-044B-BC5F-92F0F6D5E94F}" presName="level3hierChild" presStyleCnt="0"/>
      <dgm:spPr/>
    </dgm:pt>
    <dgm:pt modelId="{FDE54883-4A44-4441-B97E-48C022FEA71A}" type="pres">
      <dgm:prSet presAssocID="{98D17164-CF9F-DA4B-AFA7-A0BA8010EA49}" presName="conn2-1" presStyleLbl="parChTrans1D4" presStyleIdx="32" presStyleCnt="112"/>
      <dgm:spPr/>
    </dgm:pt>
    <dgm:pt modelId="{6BDC1D7B-D6BE-414F-B5FE-09753F5C3498}" type="pres">
      <dgm:prSet presAssocID="{98D17164-CF9F-DA4B-AFA7-A0BA8010EA49}" presName="connTx" presStyleLbl="parChTrans1D4" presStyleIdx="32" presStyleCnt="112"/>
      <dgm:spPr/>
    </dgm:pt>
    <dgm:pt modelId="{58D3F3FA-1A07-FA43-953D-3B83C27653FF}" type="pres">
      <dgm:prSet presAssocID="{0E27F051-1033-2142-9BB5-D64B25A4791A}" presName="root2" presStyleCnt="0"/>
      <dgm:spPr/>
    </dgm:pt>
    <dgm:pt modelId="{8F117446-8241-B84D-A696-580165D30A4F}" type="pres">
      <dgm:prSet presAssocID="{0E27F051-1033-2142-9BB5-D64B25A4791A}" presName="LevelTwoTextNode" presStyleLbl="node4" presStyleIdx="32" presStyleCnt="112" custScaleX="166018" custScaleY="149601" custLinFactY="-100000" custLinFactNeighborY="-142149">
        <dgm:presLayoutVars>
          <dgm:chPref val="3"/>
        </dgm:presLayoutVars>
      </dgm:prSet>
      <dgm:spPr/>
    </dgm:pt>
    <dgm:pt modelId="{69FABA66-A184-1547-A9BD-35A1DE1CC6E5}" type="pres">
      <dgm:prSet presAssocID="{0E27F051-1033-2142-9BB5-D64B25A4791A}" presName="level3hierChild" presStyleCnt="0"/>
      <dgm:spPr/>
    </dgm:pt>
    <dgm:pt modelId="{DC6CCC79-4A2D-B241-84D4-462340E94773}" type="pres">
      <dgm:prSet presAssocID="{8A9D59F1-9800-C14D-B610-3997B14A2C93}" presName="conn2-1" presStyleLbl="parChTrans1D4" presStyleIdx="33" presStyleCnt="112"/>
      <dgm:spPr/>
    </dgm:pt>
    <dgm:pt modelId="{13D28357-FBE5-764C-A1FB-2A6DD28AB6E6}" type="pres">
      <dgm:prSet presAssocID="{8A9D59F1-9800-C14D-B610-3997B14A2C93}" presName="connTx" presStyleLbl="parChTrans1D4" presStyleIdx="33" presStyleCnt="112"/>
      <dgm:spPr/>
    </dgm:pt>
    <dgm:pt modelId="{A305A81D-18A9-CA48-8768-70F9CAD86674}" type="pres">
      <dgm:prSet presAssocID="{8A272FD7-137D-3345-A79A-1192C0B7F59C}" presName="root2" presStyleCnt="0"/>
      <dgm:spPr/>
    </dgm:pt>
    <dgm:pt modelId="{653BBA4B-DA21-E04B-BA94-CFBBE8EB25C0}" type="pres">
      <dgm:prSet presAssocID="{8A272FD7-137D-3345-A79A-1192C0B7F59C}" presName="LevelTwoTextNode" presStyleLbl="node4" presStyleIdx="33" presStyleCnt="112" custAng="10800000" custFlipVert="1" custScaleX="390270" custScaleY="67715" custLinFactY="-100000" custLinFactNeighborY="-117515">
        <dgm:presLayoutVars>
          <dgm:chPref val="3"/>
        </dgm:presLayoutVars>
      </dgm:prSet>
      <dgm:spPr/>
    </dgm:pt>
    <dgm:pt modelId="{772DC414-62AE-5041-9761-A454D4F9A4F3}" type="pres">
      <dgm:prSet presAssocID="{8A272FD7-137D-3345-A79A-1192C0B7F59C}" presName="level3hierChild" presStyleCnt="0"/>
      <dgm:spPr/>
    </dgm:pt>
    <dgm:pt modelId="{0519ABD7-19B2-074D-A8DA-06233230D1E4}" type="pres">
      <dgm:prSet presAssocID="{84BF64FF-9818-EA42-A294-D6F3BD66D076}" presName="conn2-1" presStyleLbl="parChTrans1D4" presStyleIdx="34" presStyleCnt="112"/>
      <dgm:spPr/>
    </dgm:pt>
    <dgm:pt modelId="{43270A6C-8E0D-CF45-998A-9EDA0ACD7A49}" type="pres">
      <dgm:prSet presAssocID="{84BF64FF-9818-EA42-A294-D6F3BD66D076}" presName="connTx" presStyleLbl="parChTrans1D4" presStyleIdx="34" presStyleCnt="112"/>
      <dgm:spPr/>
    </dgm:pt>
    <dgm:pt modelId="{E9A34E32-F53F-204D-B13F-F0ED6F49DCA3}" type="pres">
      <dgm:prSet presAssocID="{7E0D3819-4E8C-4947-81EB-E456E998C684}" presName="root2" presStyleCnt="0"/>
      <dgm:spPr/>
    </dgm:pt>
    <dgm:pt modelId="{79C53478-BCA7-504A-9871-7C063E6B3EE9}" type="pres">
      <dgm:prSet presAssocID="{7E0D3819-4E8C-4947-81EB-E456E998C684}" presName="LevelTwoTextNode" presStyleLbl="node4" presStyleIdx="34" presStyleCnt="112" custScaleX="322158" custScaleY="105625" custLinFactY="-100000" custLinFactNeighborY="-148990">
        <dgm:presLayoutVars>
          <dgm:chPref val="3"/>
        </dgm:presLayoutVars>
      </dgm:prSet>
      <dgm:spPr/>
    </dgm:pt>
    <dgm:pt modelId="{A126B010-AA72-044B-BD6A-23AB1F1825C8}" type="pres">
      <dgm:prSet presAssocID="{7E0D3819-4E8C-4947-81EB-E456E998C684}" presName="level3hierChild" presStyleCnt="0"/>
      <dgm:spPr/>
    </dgm:pt>
    <dgm:pt modelId="{101379F1-4E8A-7C44-8ECC-DDA169F74C88}" type="pres">
      <dgm:prSet presAssocID="{AA94F12D-6505-1449-945A-85E9AF3FB0C7}" presName="conn2-1" presStyleLbl="parChTrans1D4" presStyleIdx="35" presStyleCnt="112"/>
      <dgm:spPr/>
    </dgm:pt>
    <dgm:pt modelId="{D2D904E2-3876-574C-A229-C0C766B22DA3}" type="pres">
      <dgm:prSet presAssocID="{AA94F12D-6505-1449-945A-85E9AF3FB0C7}" presName="connTx" presStyleLbl="parChTrans1D4" presStyleIdx="35" presStyleCnt="112"/>
      <dgm:spPr/>
    </dgm:pt>
    <dgm:pt modelId="{83DAE4FD-02EC-1F49-AE9B-38655BDA3F60}" type="pres">
      <dgm:prSet presAssocID="{6D76A105-1FF2-1C45-91C5-6FF3BDA0C30C}" presName="root2" presStyleCnt="0"/>
      <dgm:spPr/>
    </dgm:pt>
    <dgm:pt modelId="{DB4D1F89-8D3D-0146-98CA-FD15D540418A}" type="pres">
      <dgm:prSet presAssocID="{6D76A105-1FF2-1C45-91C5-6FF3BDA0C30C}" presName="LevelTwoTextNode" presStyleLbl="node4" presStyleIdx="35" presStyleCnt="112" custScaleX="182480" custScaleY="126685" custLinFactY="-100000" custLinFactNeighborX="7842" custLinFactNeighborY="-138460">
        <dgm:presLayoutVars>
          <dgm:chPref val="3"/>
        </dgm:presLayoutVars>
      </dgm:prSet>
      <dgm:spPr/>
    </dgm:pt>
    <dgm:pt modelId="{4D4A2CA9-F419-014A-BF02-90B97FB3795E}" type="pres">
      <dgm:prSet presAssocID="{6D76A105-1FF2-1C45-91C5-6FF3BDA0C30C}" presName="level3hierChild" presStyleCnt="0"/>
      <dgm:spPr/>
    </dgm:pt>
    <dgm:pt modelId="{0F9B0A7A-481B-FA4F-9155-3809D6504C37}" type="pres">
      <dgm:prSet presAssocID="{12E5A8D9-B8D7-374F-A3DD-7B7A1B672D1F}" presName="conn2-1" presStyleLbl="parChTrans1D4" presStyleIdx="36" presStyleCnt="112"/>
      <dgm:spPr/>
    </dgm:pt>
    <dgm:pt modelId="{014534F8-6082-BB4C-BCF9-E3D32548CA49}" type="pres">
      <dgm:prSet presAssocID="{12E5A8D9-B8D7-374F-A3DD-7B7A1B672D1F}" presName="connTx" presStyleLbl="parChTrans1D4" presStyleIdx="36" presStyleCnt="112"/>
      <dgm:spPr/>
    </dgm:pt>
    <dgm:pt modelId="{5017E9E4-CC76-0743-935F-092998C7914F}" type="pres">
      <dgm:prSet presAssocID="{1CF2D16F-F77D-7E40-B43C-CF152DCDBF2E}" presName="root2" presStyleCnt="0"/>
      <dgm:spPr/>
    </dgm:pt>
    <dgm:pt modelId="{BD3BAB78-F407-EE41-A4B9-9CADD1095D8B}" type="pres">
      <dgm:prSet presAssocID="{1CF2D16F-F77D-7E40-B43C-CF152DCDBF2E}" presName="LevelTwoTextNode" presStyleLbl="node4" presStyleIdx="36" presStyleCnt="112" custScaleX="185300" custScaleY="123072" custLinFactY="-100000" custLinFactNeighborY="-172550">
        <dgm:presLayoutVars>
          <dgm:chPref val="3"/>
        </dgm:presLayoutVars>
      </dgm:prSet>
      <dgm:spPr/>
    </dgm:pt>
    <dgm:pt modelId="{F575C4BE-EF10-4544-BC05-91EEF08A87A6}" type="pres">
      <dgm:prSet presAssocID="{1CF2D16F-F77D-7E40-B43C-CF152DCDBF2E}" presName="level3hierChild" presStyleCnt="0"/>
      <dgm:spPr/>
    </dgm:pt>
    <dgm:pt modelId="{77911681-BDD6-3344-9901-628235157980}" type="pres">
      <dgm:prSet presAssocID="{BE43D6BE-EE0F-4D45-97E9-37DF1F4C6CFC}" presName="conn2-1" presStyleLbl="parChTrans1D4" presStyleIdx="37" presStyleCnt="112"/>
      <dgm:spPr/>
    </dgm:pt>
    <dgm:pt modelId="{77DBD7BB-A17D-9547-A1ED-B48E4B3792FE}" type="pres">
      <dgm:prSet presAssocID="{BE43D6BE-EE0F-4D45-97E9-37DF1F4C6CFC}" presName="connTx" presStyleLbl="parChTrans1D4" presStyleIdx="37" presStyleCnt="112"/>
      <dgm:spPr/>
    </dgm:pt>
    <dgm:pt modelId="{65A52F8E-92D7-564C-A4E7-FA6D9ABE2A96}" type="pres">
      <dgm:prSet presAssocID="{D5F80929-995E-D144-AC1A-7F390989C50F}" presName="root2" presStyleCnt="0"/>
      <dgm:spPr/>
    </dgm:pt>
    <dgm:pt modelId="{92B2FF25-44B5-ED41-859B-F2487A0F3F20}" type="pres">
      <dgm:prSet presAssocID="{D5F80929-995E-D144-AC1A-7F390989C50F}" presName="LevelTwoTextNode" presStyleLbl="node4" presStyleIdx="37" presStyleCnt="112" custScaleX="195347" custScaleY="80719" custLinFactY="-100000" custLinFactNeighborY="-112540">
        <dgm:presLayoutVars>
          <dgm:chPref val="3"/>
        </dgm:presLayoutVars>
      </dgm:prSet>
      <dgm:spPr/>
    </dgm:pt>
    <dgm:pt modelId="{D9365366-EE24-024B-BF02-E8FF5B166DC5}" type="pres">
      <dgm:prSet presAssocID="{D5F80929-995E-D144-AC1A-7F390989C50F}" presName="level3hierChild" presStyleCnt="0"/>
      <dgm:spPr/>
    </dgm:pt>
    <dgm:pt modelId="{60E4113E-0F35-0E40-AC7F-6BC8FE6DA1CB}" type="pres">
      <dgm:prSet presAssocID="{839A4CCA-7415-1940-836B-E0289AC767BF}" presName="conn2-1" presStyleLbl="parChTrans1D4" presStyleIdx="38" presStyleCnt="112"/>
      <dgm:spPr/>
    </dgm:pt>
    <dgm:pt modelId="{C5F4A130-C6BF-214B-A3DC-34F2809CCBC1}" type="pres">
      <dgm:prSet presAssocID="{839A4CCA-7415-1940-836B-E0289AC767BF}" presName="connTx" presStyleLbl="parChTrans1D4" presStyleIdx="38" presStyleCnt="112"/>
      <dgm:spPr/>
    </dgm:pt>
    <dgm:pt modelId="{717F565A-73DB-E44C-AAED-189B4ED3E1A9}" type="pres">
      <dgm:prSet presAssocID="{32C55B03-672F-CF46-9829-8E2A74CF4B2F}" presName="root2" presStyleCnt="0"/>
      <dgm:spPr/>
    </dgm:pt>
    <dgm:pt modelId="{F93BC2C3-6A5A-D849-B399-FD618E161629}" type="pres">
      <dgm:prSet presAssocID="{32C55B03-672F-CF46-9829-8E2A74CF4B2F}" presName="LevelTwoTextNode" presStyleLbl="node4" presStyleIdx="38" presStyleCnt="112" custScaleX="159948" custScaleY="137188" custLinFactY="-100000" custLinFactNeighborY="-146075">
        <dgm:presLayoutVars>
          <dgm:chPref val="3"/>
        </dgm:presLayoutVars>
      </dgm:prSet>
      <dgm:spPr/>
    </dgm:pt>
    <dgm:pt modelId="{2795237D-92A4-DF4F-A076-2EC3D126D95D}" type="pres">
      <dgm:prSet presAssocID="{32C55B03-672F-CF46-9829-8E2A74CF4B2F}" presName="level3hierChild" presStyleCnt="0"/>
      <dgm:spPr/>
    </dgm:pt>
    <dgm:pt modelId="{5556694A-3C2A-C54F-B5A8-9EAA3F787CF9}" type="pres">
      <dgm:prSet presAssocID="{D9D97CE4-D6E3-344E-897C-3804EDC1CDA8}" presName="conn2-1" presStyleLbl="parChTrans1D4" presStyleIdx="39" presStyleCnt="112"/>
      <dgm:spPr/>
    </dgm:pt>
    <dgm:pt modelId="{2B931093-29A3-A44A-98C7-EB2B196E7FB8}" type="pres">
      <dgm:prSet presAssocID="{D9D97CE4-D6E3-344E-897C-3804EDC1CDA8}" presName="connTx" presStyleLbl="parChTrans1D4" presStyleIdx="39" presStyleCnt="112"/>
      <dgm:spPr/>
    </dgm:pt>
    <dgm:pt modelId="{5CD9D36F-D002-4143-AAE1-37904E5320B7}" type="pres">
      <dgm:prSet presAssocID="{C1A8D6DA-92DB-8A4E-9954-0B6634231362}" presName="root2" presStyleCnt="0"/>
      <dgm:spPr/>
    </dgm:pt>
    <dgm:pt modelId="{FA54B60B-7805-914B-9665-F383877BACE2}" type="pres">
      <dgm:prSet presAssocID="{C1A8D6DA-92DB-8A4E-9954-0B6634231362}" presName="LevelTwoTextNode" presStyleLbl="node4" presStyleIdx="39" presStyleCnt="112" custLinFactY="-100000" custLinFactNeighborY="-164669">
        <dgm:presLayoutVars>
          <dgm:chPref val="3"/>
        </dgm:presLayoutVars>
      </dgm:prSet>
      <dgm:spPr/>
    </dgm:pt>
    <dgm:pt modelId="{52326F82-3F8A-1F48-9A6B-AE4472FA3B4E}" type="pres">
      <dgm:prSet presAssocID="{C1A8D6DA-92DB-8A4E-9954-0B6634231362}" presName="level3hierChild" presStyleCnt="0"/>
      <dgm:spPr/>
    </dgm:pt>
    <dgm:pt modelId="{D1A4D981-D129-7440-9904-CAC402472169}" type="pres">
      <dgm:prSet presAssocID="{9FD09810-7825-BF45-87E5-F5179EFB6B31}" presName="conn2-1" presStyleLbl="parChTrans1D4" presStyleIdx="40" presStyleCnt="112"/>
      <dgm:spPr/>
    </dgm:pt>
    <dgm:pt modelId="{4EDA21F5-9806-8948-9296-96A9B7B6228D}" type="pres">
      <dgm:prSet presAssocID="{9FD09810-7825-BF45-87E5-F5179EFB6B31}" presName="connTx" presStyleLbl="parChTrans1D4" presStyleIdx="40" presStyleCnt="112"/>
      <dgm:spPr/>
    </dgm:pt>
    <dgm:pt modelId="{8700422A-544D-B74C-A0E7-A4F2C6B6A03E}" type="pres">
      <dgm:prSet presAssocID="{BE7F27C9-5D43-3A4C-A51C-FC4BD163CFC9}" presName="root2" presStyleCnt="0"/>
      <dgm:spPr/>
    </dgm:pt>
    <dgm:pt modelId="{E019B311-BBFD-FB42-804C-3F40D4C04184}" type="pres">
      <dgm:prSet presAssocID="{BE7F27C9-5D43-3A4C-A51C-FC4BD163CFC9}" presName="LevelTwoTextNode" presStyleLbl="node4" presStyleIdx="40" presStyleCnt="112" custScaleX="229179" custScaleY="116836" custLinFactY="-100000" custLinFactNeighborY="-115257">
        <dgm:presLayoutVars>
          <dgm:chPref val="3"/>
        </dgm:presLayoutVars>
      </dgm:prSet>
      <dgm:spPr/>
    </dgm:pt>
    <dgm:pt modelId="{9E84CC81-610A-234B-BE03-2D3D43108A69}" type="pres">
      <dgm:prSet presAssocID="{BE7F27C9-5D43-3A4C-A51C-FC4BD163CFC9}" presName="level3hierChild" presStyleCnt="0"/>
      <dgm:spPr/>
    </dgm:pt>
    <dgm:pt modelId="{93FF0B49-2643-0C40-9F9B-E05F8B7D073B}" type="pres">
      <dgm:prSet presAssocID="{62CD8A9A-5A3D-0C44-82BB-F2D700407317}" presName="conn2-1" presStyleLbl="parChTrans1D4" presStyleIdx="41" presStyleCnt="112"/>
      <dgm:spPr/>
    </dgm:pt>
    <dgm:pt modelId="{FE0BD556-EF7D-7A4D-860F-4E481B35D05E}" type="pres">
      <dgm:prSet presAssocID="{62CD8A9A-5A3D-0C44-82BB-F2D700407317}" presName="connTx" presStyleLbl="parChTrans1D4" presStyleIdx="41" presStyleCnt="112"/>
      <dgm:spPr/>
    </dgm:pt>
    <dgm:pt modelId="{0E543CFD-4D2A-C044-B321-54CBAF09B6BC}" type="pres">
      <dgm:prSet presAssocID="{A75EC999-4247-F84C-92DC-2C25D726A745}" presName="root2" presStyleCnt="0"/>
      <dgm:spPr/>
    </dgm:pt>
    <dgm:pt modelId="{5A854BBD-9100-1D41-A2BA-CF5C903ECE41}" type="pres">
      <dgm:prSet presAssocID="{A75EC999-4247-F84C-92DC-2C25D726A745}" presName="LevelTwoTextNode" presStyleLbl="node4" presStyleIdx="41" presStyleCnt="112" custScaleX="226769" custScaleY="118485" custLinFactY="-100000" custLinFactNeighborY="-114432">
        <dgm:presLayoutVars>
          <dgm:chPref val="3"/>
        </dgm:presLayoutVars>
      </dgm:prSet>
      <dgm:spPr/>
    </dgm:pt>
    <dgm:pt modelId="{1EB84933-5651-8B4E-878B-51E331A047B2}" type="pres">
      <dgm:prSet presAssocID="{A75EC999-4247-F84C-92DC-2C25D726A745}" presName="level3hierChild" presStyleCnt="0"/>
      <dgm:spPr/>
    </dgm:pt>
    <dgm:pt modelId="{F9DC7F52-0736-6F4C-A798-E5006C12174E}" type="pres">
      <dgm:prSet presAssocID="{49B62420-6A29-2741-AC14-16907352841B}" presName="conn2-1" presStyleLbl="parChTrans1D4" presStyleIdx="42" presStyleCnt="112"/>
      <dgm:spPr/>
    </dgm:pt>
    <dgm:pt modelId="{C765EECB-6666-F642-B316-A43C3B5F5DE7}" type="pres">
      <dgm:prSet presAssocID="{49B62420-6A29-2741-AC14-16907352841B}" presName="connTx" presStyleLbl="parChTrans1D4" presStyleIdx="42" presStyleCnt="112"/>
      <dgm:spPr/>
    </dgm:pt>
    <dgm:pt modelId="{7698BBF2-7ABB-9A41-933C-5B7D73AF5D36}" type="pres">
      <dgm:prSet presAssocID="{7A3B4591-82B8-4249-B244-1B280D1C2D79}" presName="root2" presStyleCnt="0"/>
      <dgm:spPr/>
    </dgm:pt>
    <dgm:pt modelId="{884CDB1F-ADC0-0A4A-ACE4-7B310BC18B94}" type="pres">
      <dgm:prSet presAssocID="{7A3B4591-82B8-4249-B244-1B280D1C2D79}" presName="LevelTwoTextNode" presStyleLbl="node4" presStyleIdx="42" presStyleCnt="112" custScaleX="183186" custScaleY="121442" custLinFactY="-100000" custLinFactNeighborY="-112954">
        <dgm:presLayoutVars>
          <dgm:chPref val="3"/>
        </dgm:presLayoutVars>
      </dgm:prSet>
      <dgm:spPr/>
    </dgm:pt>
    <dgm:pt modelId="{09977358-553F-4444-BD15-500EED6ED716}" type="pres">
      <dgm:prSet presAssocID="{7A3B4591-82B8-4249-B244-1B280D1C2D79}" presName="level3hierChild" presStyleCnt="0"/>
      <dgm:spPr/>
    </dgm:pt>
    <dgm:pt modelId="{009D5707-1935-FF44-84C7-395A5D6C763F}" type="pres">
      <dgm:prSet presAssocID="{63829445-A79F-1E4E-81B3-FD468A2048E1}" presName="conn2-1" presStyleLbl="parChTrans1D3" presStyleIdx="2" presStyleCnt="7"/>
      <dgm:spPr/>
    </dgm:pt>
    <dgm:pt modelId="{CAE9F1A2-0EC8-194B-9386-53CD3842A62C}" type="pres">
      <dgm:prSet presAssocID="{63829445-A79F-1E4E-81B3-FD468A2048E1}" presName="connTx" presStyleLbl="parChTrans1D3" presStyleIdx="2" presStyleCnt="7"/>
      <dgm:spPr/>
    </dgm:pt>
    <dgm:pt modelId="{9DB82916-015C-FE47-9D7C-D28817CDC84B}" type="pres">
      <dgm:prSet presAssocID="{4E2DA14C-4672-7546-826E-5447B21CAAE1}" presName="root2" presStyleCnt="0"/>
      <dgm:spPr/>
    </dgm:pt>
    <dgm:pt modelId="{B56E2045-BF2A-554C-BCA2-1CBAF90135FA}" type="pres">
      <dgm:prSet presAssocID="{4E2DA14C-4672-7546-826E-5447B21CAAE1}" presName="LevelTwoTextNode" presStyleLbl="node3" presStyleIdx="2" presStyleCnt="7" custScaleX="187779" custScaleY="300553" custLinFactNeighborY="-80900">
        <dgm:presLayoutVars>
          <dgm:chPref val="3"/>
        </dgm:presLayoutVars>
      </dgm:prSet>
      <dgm:spPr/>
    </dgm:pt>
    <dgm:pt modelId="{DBFDE527-1CD5-1B42-9DE9-3297206451E3}" type="pres">
      <dgm:prSet presAssocID="{4E2DA14C-4672-7546-826E-5447B21CAAE1}" presName="level3hierChild" presStyleCnt="0"/>
      <dgm:spPr/>
    </dgm:pt>
    <dgm:pt modelId="{12123074-8941-C544-8091-25671F2C60B4}" type="pres">
      <dgm:prSet presAssocID="{AC649F95-A9B4-4C4B-9C39-63A344AEA245}" presName="conn2-1" presStyleLbl="parChTrans1D4" presStyleIdx="43" presStyleCnt="112"/>
      <dgm:spPr/>
    </dgm:pt>
    <dgm:pt modelId="{2B321FE4-A0C8-2D4D-AB07-6B672A766E37}" type="pres">
      <dgm:prSet presAssocID="{AC649F95-A9B4-4C4B-9C39-63A344AEA245}" presName="connTx" presStyleLbl="parChTrans1D4" presStyleIdx="43" presStyleCnt="112"/>
      <dgm:spPr/>
    </dgm:pt>
    <dgm:pt modelId="{62EBE612-D3D8-BB4C-8ACB-46C835E130EA}" type="pres">
      <dgm:prSet presAssocID="{F584A177-03C3-6F4B-9B05-60A438A93D74}" presName="root2" presStyleCnt="0"/>
      <dgm:spPr/>
    </dgm:pt>
    <dgm:pt modelId="{5883C28C-CD01-8D47-86D5-FB39A4E49FAF}" type="pres">
      <dgm:prSet presAssocID="{F584A177-03C3-6F4B-9B05-60A438A93D74}" presName="LevelTwoTextNode" presStyleLbl="node4" presStyleIdx="43" presStyleCnt="112" custScaleX="367040" custScaleY="56055" custLinFactY="-43761" custLinFactNeighborY="-100000">
        <dgm:presLayoutVars>
          <dgm:chPref val="3"/>
        </dgm:presLayoutVars>
      </dgm:prSet>
      <dgm:spPr/>
    </dgm:pt>
    <dgm:pt modelId="{99971C50-3E58-B444-B80F-7173DCC69280}" type="pres">
      <dgm:prSet presAssocID="{F584A177-03C3-6F4B-9B05-60A438A93D74}" presName="level3hierChild" presStyleCnt="0"/>
      <dgm:spPr/>
    </dgm:pt>
    <dgm:pt modelId="{3E3E68B1-067D-9144-85D2-952E04CE6AE3}" type="pres">
      <dgm:prSet presAssocID="{3F8C8E64-0D30-1C4A-B09F-C8C6B752AA2C}" presName="conn2-1" presStyleLbl="parChTrans1D4" presStyleIdx="44" presStyleCnt="112"/>
      <dgm:spPr/>
    </dgm:pt>
    <dgm:pt modelId="{B02E35F4-558B-114D-A49B-56BE2027C560}" type="pres">
      <dgm:prSet presAssocID="{3F8C8E64-0D30-1C4A-B09F-C8C6B752AA2C}" presName="connTx" presStyleLbl="parChTrans1D4" presStyleIdx="44" presStyleCnt="112"/>
      <dgm:spPr/>
    </dgm:pt>
    <dgm:pt modelId="{4223199E-DAFA-3A4C-92FC-4425BC17018F}" type="pres">
      <dgm:prSet presAssocID="{252E39C4-D9B4-B44A-B8D8-0274723E5C8C}" presName="root2" presStyleCnt="0"/>
      <dgm:spPr/>
    </dgm:pt>
    <dgm:pt modelId="{A75FE44C-1051-F744-9E8C-B2FCAE3CAF21}" type="pres">
      <dgm:prSet presAssocID="{252E39C4-D9B4-B44A-B8D8-0274723E5C8C}" presName="LevelTwoTextNode" presStyleLbl="node4" presStyleIdx="44" presStyleCnt="112" custScaleX="145257" custScaleY="141901" custLinFactY="-80969" custLinFactNeighborX="-32359" custLinFactNeighborY="-100000">
        <dgm:presLayoutVars>
          <dgm:chPref val="3"/>
        </dgm:presLayoutVars>
      </dgm:prSet>
      <dgm:spPr/>
    </dgm:pt>
    <dgm:pt modelId="{5D3D5A7F-A944-004F-A630-955BF78D2EE2}" type="pres">
      <dgm:prSet presAssocID="{252E39C4-D9B4-B44A-B8D8-0274723E5C8C}" presName="level3hierChild" presStyleCnt="0"/>
      <dgm:spPr/>
    </dgm:pt>
    <dgm:pt modelId="{E96F2663-4723-8545-AEAF-2A2CA86B5B75}" type="pres">
      <dgm:prSet presAssocID="{B1ACDF18-49A5-A249-A1E1-B48F2906E55D}" presName="conn2-1" presStyleLbl="parChTrans1D4" presStyleIdx="45" presStyleCnt="112"/>
      <dgm:spPr/>
    </dgm:pt>
    <dgm:pt modelId="{0276E652-BE51-0249-B611-FA2E8DDD3799}" type="pres">
      <dgm:prSet presAssocID="{B1ACDF18-49A5-A249-A1E1-B48F2906E55D}" presName="connTx" presStyleLbl="parChTrans1D4" presStyleIdx="45" presStyleCnt="112"/>
      <dgm:spPr/>
    </dgm:pt>
    <dgm:pt modelId="{59780F8E-AA64-3B4E-809D-663A90D96200}" type="pres">
      <dgm:prSet presAssocID="{7A0AAB08-CE84-B243-A5E5-66DD99C49372}" presName="root2" presStyleCnt="0"/>
      <dgm:spPr/>
    </dgm:pt>
    <dgm:pt modelId="{AF6A67E1-92CF-BB43-AB25-64926F65A831}" type="pres">
      <dgm:prSet presAssocID="{7A0AAB08-CE84-B243-A5E5-66DD99C49372}" presName="LevelTwoTextNode" presStyleLbl="node4" presStyleIdx="45" presStyleCnt="112" custScaleX="378483" custScaleY="58193" custLinFactY="-100000" custLinFactNeighborX="-63192" custLinFactNeighborY="-104463">
        <dgm:presLayoutVars>
          <dgm:chPref val="3"/>
        </dgm:presLayoutVars>
      </dgm:prSet>
      <dgm:spPr/>
    </dgm:pt>
    <dgm:pt modelId="{0D1FDFFC-035E-2B46-93AD-4428ABC31A69}" type="pres">
      <dgm:prSet presAssocID="{7A0AAB08-CE84-B243-A5E5-66DD99C49372}" presName="level3hierChild" presStyleCnt="0"/>
      <dgm:spPr/>
    </dgm:pt>
    <dgm:pt modelId="{2BFD6921-41BC-3B4D-90F4-8D3671587A04}" type="pres">
      <dgm:prSet presAssocID="{43244DE2-ED6C-BE41-A011-FB0B5D17F1CE}" presName="conn2-1" presStyleLbl="parChTrans1D4" presStyleIdx="46" presStyleCnt="112"/>
      <dgm:spPr/>
    </dgm:pt>
    <dgm:pt modelId="{ABC918D7-764F-4F4D-AF22-2355EC7B65CB}" type="pres">
      <dgm:prSet presAssocID="{43244DE2-ED6C-BE41-A011-FB0B5D17F1CE}" presName="connTx" presStyleLbl="parChTrans1D4" presStyleIdx="46" presStyleCnt="112"/>
      <dgm:spPr/>
    </dgm:pt>
    <dgm:pt modelId="{B1844787-2B4D-7646-B657-2E4B7EA07B3E}" type="pres">
      <dgm:prSet presAssocID="{27C5132D-0ACD-8645-97A9-26717F4DF6FE}" presName="root2" presStyleCnt="0"/>
      <dgm:spPr/>
    </dgm:pt>
    <dgm:pt modelId="{60F47704-38DC-1D4D-99B1-33B46B09331C}" type="pres">
      <dgm:prSet presAssocID="{27C5132D-0ACD-8645-97A9-26717F4DF6FE}" presName="LevelTwoTextNode" presStyleLbl="node4" presStyleIdx="46" presStyleCnt="112" custScaleX="117030" custScaleY="141901" custLinFactX="-100000" custLinFactNeighborX="-103711" custLinFactNeighborY="-57430">
        <dgm:presLayoutVars>
          <dgm:chPref val="3"/>
        </dgm:presLayoutVars>
      </dgm:prSet>
      <dgm:spPr/>
    </dgm:pt>
    <dgm:pt modelId="{75260E39-C7D8-3B4B-8A67-3D5305F15365}" type="pres">
      <dgm:prSet presAssocID="{27C5132D-0ACD-8645-97A9-26717F4DF6FE}" presName="level3hierChild" presStyleCnt="0"/>
      <dgm:spPr/>
    </dgm:pt>
    <dgm:pt modelId="{927A3B46-F3DD-7B42-A1DF-E8090F92739D}" type="pres">
      <dgm:prSet presAssocID="{A4B6F8FF-598D-2447-B562-0D0A72B49782}" presName="conn2-1" presStyleLbl="parChTrans1D4" presStyleIdx="47" presStyleCnt="112"/>
      <dgm:spPr/>
    </dgm:pt>
    <dgm:pt modelId="{5F1B2860-0ACD-494A-B906-C37CCD146E1F}" type="pres">
      <dgm:prSet presAssocID="{A4B6F8FF-598D-2447-B562-0D0A72B49782}" presName="connTx" presStyleLbl="parChTrans1D4" presStyleIdx="47" presStyleCnt="112"/>
      <dgm:spPr/>
    </dgm:pt>
    <dgm:pt modelId="{B8EF29CB-04B1-2F43-B4D1-D8DA5B134F5B}" type="pres">
      <dgm:prSet presAssocID="{9E2C1592-68CF-3C4B-83BD-24A509F8E537}" presName="root2" presStyleCnt="0"/>
      <dgm:spPr/>
    </dgm:pt>
    <dgm:pt modelId="{32FD41EA-D73A-0541-B0EF-31DD1B3945BF}" type="pres">
      <dgm:prSet presAssocID="{9E2C1592-68CF-3C4B-83BD-24A509F8E537}" presName="LevelTwoTextNode" presStyleLbl="node4" presStyleIdx="47" presStyleCnt="112" custScaleX="368280" custScaleY="64427" custLinFactY="-51985" custLinFactNeighborY="-100000">
        <dgm:presLayoutVars>
          <dgm:chPref val="3"/>
        </dgm:presLayoutVars>
      </dgm:prSet>
      <dgm:spPr/>
    </dgm:pt>
    <dgm:pt modelId="{C2641D86-CB57-D942-8110-89593DDEEF66}" type="pres">
      <dgm:prSet presAssocID="{9E2C1592-68CF-3C4B-83BD-24A509F8E537}" presName="level3hierChild" presStyleCnt="0"/>
      <dgm:spPr/>
    </dgm:pt>
    <dgm:pt modelId="{07ADF952-BA6A-B64D-BB8C-DDDBAED6B6B7}" type="pres">
      <dgm:prSet presAssocID="{662060BB-54B2-F642-9E2A-5D02AE931534}" presName="conn2-1" presStyleLbl="parChTrans1D4" presStyleIdx="48" presStyleCnt="112"/>
      <dgm:spPr/>
    </dgm:pt>
    <dgm:pt modelId="{263153CE-1861-7240-AB3A-8A95589AFA3A}" type="pres">
      <dgm:prSet presAssocID="{662060BB-54B2-F642-9E2A-5D02AE931534}" presName="connTx" presStyleLbl="parChTrans1D4" presStyleIdx="48" presStyleCnt="112"/>
      <dgm:spPr/>
    </dgm:pt>
    <dgm:pt modelId="{CB71A2A1-CA69-174E-B57E-489654A3496E}" type="pres">
      <dgm:prSet presAssocID="{39F57C71-6724-EE49-8C9F-062D560C9925}" presName="root2" presStyleCnt="0"/>
      <dgm:spPr/>
    </dgm:pt>
    <dgm:pt modelId="{13D9C383-7054-D444-AE67-CDBE17B188F8}" type="pres">
      <dgm:prSet presAssocID="{39F57C71-6724-EE49-8C9F-062D560C9925}" presName="LevelTwoTextNode" presStyleLbl="node4" presStyleIdx="48" presStyleCnt="112" custScaleX="158746" custScaleY="72539" custLinFactY="-47929" custLinFactNeighborY="-100000">
        <dgm:presLayoutVars>
          <dgm:chPref val="3"/>
        </dgm:presLayoutVars>
      </dgm:prSet>
      <dgm:spPr/>
    </dgm:pt>
    <dgm:pt modelId="{B9A0613F-B7A2-3644-AF42-A6714A2614FA}" type="pres">
      <dgm:prSet presAssocID="{39F57C71-6724-EE49-8C9F-062D560C9925}" presName="level3hierChild" presStyleCnt="0"/>
      <dgm:spPr/>
    </dgm:pt>
    <dgm:pt modelId="{1052ED91-8571-6544-A5EC-3DB803C14C66}" type="pres">
      <dgm:prSet presAssocID="{1B62C1C4-2BCE-D543-BEC5-AF80EF3BA04B}" presName="conn2-1" presStyleLbl="parChTrans1D4" presStyleIdx="49" presStyleCnt="112"/>
      <dgm:spPr/>
    </dgm:pt>
    <dgm:pt modelId="{F15B71B5-EC11-C64D-A7A3-3BF1D0D754C6}" type="pres">
      <dgm:prSet presAssocID="{1B62C1C4-2BCE-D543-BEC5-AF80EF3BA04B}" presName="connTx" presStyleLbl="parChTrans1D4" presStyleIdx="49" presStyleCnt="112"/>
      <dgm:spPr/>
    </dgm:pt>
    <dgm:pt modelId="{4DC3A017-8ACA-8247-A268-7B83CFFF749B}" type="pres">
      <dgm:prSet presAssocID="{55703B07-F5B4-204A-AEC2-425C83EF6EFF}" presName="root2" presStyleCnt="0"/>
      <dgm:spPr/>
    </dgm:pt>
    <dgm:pt modelId="{AB7A3ACA-3C03-0645-8CBF-6452B4690731}" type="pres">
      <dgm:prSet presAssocID="{55703B07-F5B4-204A-AEC2-425C83EF6EFF}" presName="LevelTwoTextNode" presStyleLbl="node4" presStyleIdx="49" presStyleCnt="112" custLinFactY="-95970" custLinFactNeighborY="-100000">
        <dgm:presLayoutVars>
          <dgm:chPref val="3"/>
        </dgm:presLayoutVars>
      </dgm:prSet>
      <dgm:spPr/>
    </dgm:pt>
    <dgm:pt modelId="{E6C83DAE-B812-E848-A65E-3FD7FA2B10B8}" type="pres">
      <dgm:prSet presAssocID="{55703B07-F5B4-204A-AEC2-425C83EF6EFF}" presName="level3hierChild" presStyleCnt="0"/>
      <dgm:spPr/>
    </dgm:pt>
    <dgm:pt modelId="{906A354D-18D5-F44A-80DF-4999084AB120}" type="pres">
      <dgm:prSet presAssocID="{8F654256-E27C-704D-80D3-7F41545613CB}" presName="conn2-1" presStyleLbl="parChTrans1D4" presStyleIdx="50" presStyleCnt="112"/>
      <dgm:spPr/>
    </dgm:pt>
    <dgm:pt modelId="{2804B13C-97B9-214F-B42B-5BAF6C0085AC}" type="pres">
      <dgm:prSet presAssocID="{8F654256-E27C-704D-80D3-7F41545613CB}" presName="connTx" presStyleLbl="parChTrans1D4" presStyleIdx="50" presStyleCnt="112"/>
      <dgm:spPr/>
    </dgm:pt>
    <dgm:pt modelId="{707E3E30-4770-AC46-8DD3-AD31C95D8C70}" type="pres">
      <dgm:prSet presAssocID="{9911B2E0-1F3C-024F-9F73-E926FE255A4D}" presName="root2" presStyleCnt="0"/>
      <dgm:spPr/>
    </dgm:pt>
    <dgm:pt modelId="{18A97919-8627-7346-9DDA-1DE711FEFA23}" type="pres">
      <dgm:prSet presAssocID="{9911B2E0-1F3C-024F-9F73-E926FE255A4D}" presName="LevelTwoTextNode" presStyleLbl="node4" presStyleIdx="50" presStyleCnt="112" custScaleX="175781" custScaleY="119397" custLinFactY="-65342" custLinFactNeighborY="-100000">
        <dgm:presLayoutVars>
          <dgm:chPref val="3"/>
        </dgm:presLayoutVars>
      </dgm:prSet>
      <dgm:spPr/>
    </dgm:pt>
    <dgm:pt modelId="{3DA24762-99AD-784F-85E3-968A79C2796A}" type="pres">
      <dgm:prSet presAssocID="{9911B2E0-1F3C-024F-9F73-E926FE255A4D}" presName="level3hierChild" presStyleCnt="0"/>
      <dgm:spPr/>
    </dgm:pt>
    <dgm:pt modelId="{9AF1E02A-D1F8-F446-9FAF-CCED0823C540}" type="pres">
      <dgm:prSet presAssocID="{9A71CE3C-DEBB-EA44-8279-08E809E3FD5A}" presName="conn2-1" presStyleLbl="parChTrans1D4" presStyleIdx="51" presStyleCnt="112"/>
      <dgm:spPr/>
    </dgm:pt>
    <dgm:pt modelId="{F81F9B89-CB1D-0543-BFF2-D77E104932F5}" type="pres">
      <dgm:prSet presAssocID="{9A71CE3C-DEBB-EA44-8279-08E809E3FD5A}" presName="connTx" presStyleLbl="parChTrans1D4" presStyleIdx="51" presStyleCnt="112"/>
      <dgm:spPr/>
    </dgm:pt>
    <dgm:pt modelId="{ED569242-2B97-1F4E-B231-68EC9B509D0D}" type="pres">
      <dgm:prSet presAssocID="{C674E128-7E49-ED4F-B46C-F569D7625526}" presName="root2" presStyleCnt="0"/>
      <dgm:spPr/>
    </dgm:pt>
    <dgm:pt modelId="{F20FBAE4-C861-BE45-ABD5-1EE826444DFC}" type="pres">
      <dgm:prSet presAssocID="{C674E128-7E49-ED4F-B46C-F569D7625526}" presName="LevelTwoTextNode" presStyleLbl="node4" presStyleIdx="51" presStyleCnt="112" custLinFactY="-16281" custLinFactNeighborY="-100000">
        <dgm:presLayoutVars>
          <dgm:chPref val="3"/>
        </dgm:presLayoutVars>
      </dgm:prSet>
      <dgm:spPr/>
    </dgm:pt>
    <dgm:pt modelId="{CD94C220-A7D9-FF42-8AF8-E7DD29EC10F4}" type="pres">
      <dgm:prSet presAssocID="{C674E128-7E49-ED4F-B46C-F569D7625526}" presName="level3hierChild" presStyleCnt="0"/>
      <dgm:spPr/>
    </dgm:pt>
    <dgm:pt modelId="{85A4FA80-83FE-974F-8392-AD31C1679BCA}" type="pres">
      <dgm:prSet presAssocID="{56A0FDB9-CD33-CB4A-86F2-F37646361D10}" presName="conn2-1" presStyleLbl="parChTrans1D4" presStyleIdx="52" presStyleCnt="112"/>
      <dgm:spPr/>
    </dgm:pt>
    <dgm:pt modelId="{BA9FE902-D5E3-2744-A0F2-D40C1D53589B}" type="pres">
      <dgm:prSet presAssocID="{56A0FDB9-CD33-CB4A-86F2-F37646361D10}" presName="connTx" presStyleLbl="parChTrans1D4" presStyleIdx="52" presStyleCnt="112"/>
      <dgm:spPr/>
    </dgm:pt>
    <dgm:pt modelId="{3E1A9E47-90BF-8B4B-A48F-902BD5C3B628}" type="pres">
      <dgm:prSet presAssocID="{B395BB7C-33C3-E942-B3C1-45D4A9CF7EA4}" presName="root2" presStyleCnt="0"/>
      <dgm:spPr/>
    </dgm:pt>
    <dgm:pt modelId="{F58E4F62-57A3-8A43-A443-27C2D3A7EFDB}" type="pres">
      <dgm:prSet presAssocID="{B395BB7C-33C3-E942-B3C1-45D4A9CF7EA4}" presName="LevelTwoTextNode" presStyleLbl="node4" presStyleIdx="52" presStyleCnt="112" custLinFactY="-16281" custLinFactNeighborY="-100000">
        <dgm:presLayoutVars>
          <dgm:chPref val="3"/>
        </dgm:presLayoutVars>
      </dgm:prSet>
      <dgm:spPr/>
    </dgm:pt>
    <dgm:pt modelId="{6DC1F89B-04C2-E745-BC79-ECB7B3193349}" type="pres">
      <dgm:prSet presAssocID="{B395BB7C-33C3-E942-B3C1-45D4A9CF7EA4}" presName="level3hierChild" presStyleCnt="0"/>
      <dgm:spPr/>
    </dgm:pt>
    <dgm:pt modelId="{58361CD2-9F3C-6F46-92B9-9CC7F4F87DDD}" type="pres">
      <dgm:prSet presAssocID="{07B070ED-17A6-1544-B553-3A84ABFC9478}" presName="conn2-1" presStyleLbl="parChTrans1D4" presStyleIdx="53" presStyleCnt="112"/>
      <dgm:spPr/>
    </dgm:pt>
    <dgm:pt modelId="{9534075B-483C-1041-A7AC-51A770F49F67}" type="pres">
      <dgm:prSet presAssocID="{07B070ED-17A6-1544-B553-3A84ABFC9478}" presName="connTx" presStyleLbl="parChTrans1D4" presStyleIdx="53" presStyleCnt="112"/>
      <dgm:spPr/>
    </dgm:pt>
    <dgm:pt modelId="{A9DA8486-EFE4-E04E-BCE7-E28D3C414824}" type="pres">
      <dgm:prSet presAssocID="{DEAF05CD-88C2-2040-BB22-57BF25E4C322}" presName="root2" presStyleCnt="0"/>
      <dgm:spPr/>
    </dgm:pt>
    <dgm:pt modelId="{C7FF8478-B1D3-BE44-A6F1-1938E914E3D0}" type="pres">
      <dgm:prSet presAssocID="{DEAF05CD-88C2-2040-BB22-57BF25E4C322}" presName="LevelTwoTextNode" presStyleLbl="node4" presStyleIdx="53" presStyleCnt="112" custScaleX="172447" custScaleY="81241" custLinFactY="-45131" custLinFactNeighborY="-100000">
        <dgm:presLayoutVars>
          <dgm:chPref val="3"/>
        </dgm:presLayoutVars>
      </dgm:prSet>
      <dgm:spPr/>
    </dgm:pt>
    <dgm:pt modelId="{B36E715B-5B95-6E4F-B544-DEE8156DBE26}" type="pres">
      <dgm:prSet presAssocID="{DEAF05CD-88C2-2040-BB22-57BF25E4C322}" presName="level3hierChild" presStyleCnt="0"/>
      <dgm:spPr/>
    </dgm:pt>
    <dgm:pt modelId="{857B86D0-A5FC-E941-9763-08CEB8207D25}" type="pres">
      <dgm:prSet presAssocID="{9C5D4721-0A47-7742-94BD-93AA629602EB}" presName="conn2-1" presStyleLbl="parChTrans1D4" presStyleIdx="54" presStyleCnt="112"/>
      <dgm:spPr/>
    </dgm:pt>
    <dgm:pt modelId="{41FD77B8-245A-4D47-AF58-FF3E78FF995A}" type="pres">
      <dgm:prSet presAssocID="{9C5D4721-0A47-7742-94BD-93AA629602EB}" presName="connTx" presStyleLbl="parChTrans1D4" presStyleIdx="54" presStyleCnt="112"/>
      <dgm:spPr/>
    </dgm:pt>
    <dgm:pt modelId="{7AEEA867-5760-FC43-BA72-13DBAF48FAC2}" type="pres">
      <dgm:prSet presAssocID="{057E0A13-9939-8E4B-9971-05E12D42F428}" presName="root2" presStyleCnt="0"/>
      <dgm:spPr/>
    </dgm:pt>
    <dgm:pt modelId="{60170329-D121-4846-A7E7-813FDB031452}" type="pres">
      <dgm:prSet presAssocID="{057E0A13-9939-8E4B-9971-05E12D42F428}" presName="LevelTwoTextNode" presStyleLbl="node4" presStyleIdx="54" presStyleCnt="112" custLinFactY="-10261" custLinFactNeighborY="-100000">
        <dgm:presLayoutVars>
          <dgm:chPref val="3"/>
        </dgm:presLayoutVars>
      </dgm:prSet>
      <dgm:spPr/>
    </dgm:pt>
    <dgm:pt modelId="{18D760C9-004D-2346-AB48-8739A4588DBA}" type="pres">
      <dgm:prSet presAssocID="{057E0A13-9939-8E4B-9971-05E12D42F428}" presName="level3hierChild" presStyleCnt="0"/>
      <dgm:spPr/>
    </dgm:pt>
    <dgm:pt modelId="{D3C2A478-92DB-1B4A-BEA8-81D9E65D7184}" type="pres">
      <dgm:prSet presAssocID="{D0BE74C5-6255-A64D-8A30-1E25A39B2A06}" presName="conn2-1" presStyleLbl="parChTrans1D4" presStyleIdx="55" presStyleCnt="112"/>
      <dgm:spPr/>
    </dgm:pt>
    <dgm:pt modelId="{F81AFA1A-0A21-F44E-9F85-B9190B41F0F7}" type="pres">
      <dgm:prSet presAssocID="{D0BE74C5-6255-A64D-8A30-1E25A39B2A06}" presName="connTx" presStyleLbl="parChTrans1D4" presStyleIdx="55" presStyleCnt="112"/>
      <dgm:spPr/>
    </dgm:pt>
    <dgm:pt modelId="{5503C6B0-4B18-C841-AB61-8D8383843787}" type="pres">
      <dgm:prSet presAssocID="{CAD48502-1339-464C-B623-DED6A3EB2866}" presName="root2" presStyleCnt="0"/>
      <dgm:spPr/>
    </dgm:pt>
    <dgm:pt modelId="{17423E58-5A4F-5344-B4A0-C27EAF3BA360}" type="pres">
      <dgm:prSet presAssocID="{CAD48502-1339-464C-B623-DED6A3EB2866}" presName="LevelTwoTextNode" presStyleLbl="node4" presStyleIdx="55" presStyleCnt="112" custLinFactY="-10261" custLinFactNeighborY="-100000">
        <dgm:presLayoutVars>
          <dgm:chPref val="3"/>
        </dgm:presLayoutVars>
      </dgm:prSet>
      <dgm:spPr/>
    </dgm:pt>
    <dgm:pt modelId="{AB59A330-2EA7-2D4C-9C38-7AB4884C1189}" type="pres">
      <dgm:prSet presAssocID="{CAD48502-1339-464C-B623-DED6A3EB2866}" presName="level3hierChild" presStyleCnt="0"/>
      <dgm:spPr/>
    </dgm:pt>
    <dgm:pt modelId="{A3027BBC-348E-D64A-A11A-9791067384FA}" type="pres">
      <dgm:prSet presAssocID="{05753FB2-7758-F048-86E2-2B99D33EFB48}" presName="conn2-1" presStyleLbl="parChTrans1D4" presStyleIdx="56" presStyleCnt="112"/>
      <dgm:spPr/>
    </dgm:pt>
    <dgm:pt modelId="{ABF7B9C7-B1DB-8648-814A-CDA4E9900997}" type="pres">
      <dgm:prSet presAssocID="{05753FB2-7758-F048-86E2-2B99D33EFB48}" presName="connTx" presStyleLbl="parChTrans1D4" presStyleIdx="56" presStyleCnt="112"/>
      <dgm:spPr/>
    </dgm:pt>
    <dgm:pt modelId="{92A64E3B-AA01-FF43-8D70-FCACDA005175}" type="pres">
      <dgm:prSet presAssocID="{039CE7B2-824F-034A-B238-9CEDA9BFDDD0}" presName="root2" presStyleCnt="0"/>
      <dgm:spPr/>
    </dgm:pt>
    <dgm:pt modelId="{A8A269D2-C0BC-6A40-9165-21A20B2BC087}" type="pres">
      <dgm:prSet presAssocID="{039CE7B2-824F-034A-B238-9CEDA9BFDDD0}" presName="LevelTwoTextNode" presStyleLbl="node4" presStyleIdx="56" presStyleCnt="112" custScaleX="172447" custScaleY="105039" custLinFactY="-7741" custLinFactNeighborY="-100000">
        <dgm:presLayoutVars>
          <dgm:chPref val="3"/>
        </dgm:presLayoutVars>
      </dgm:prSet>
      <dgm:spPr/>
    </dgm:pt>
    <dgm:pt modelId="{E587D39C-3B66-CA45-900E-BA6A64098B33}" type="pres">
      <dgm:prSet presAssocID="{039CE7B2-824F-034A-B238-9CEDA9BFDDD0}" presName="level3hierChild" presStyleCnt="0"/>
      <dgm:spPr/>
    </dgm:pt>
    <dgm:pt modelId="{BB403EE3-65DE-D543-B51E-73AF64374FA3}" type="pres">
      <dgm:prSet presAssocID="{49FA51BC-13F8-3648-955B-68545A49B7A4}" presName="conn2-1" presStyleLbl="parChTrans1D4" presStyleIdx="57" presStyleCnt="112"/>
      <dgm:spPr/>
    </dgm:pt>
    <dgm:pt modelId="{92AACFC1-C667-E845-97C0-324FA33B79C2}" type="pres">
      <dgm:prSet presAssocID="{49FA51BC-13F8-3648-955B-68545A49B7A4}" presName="connTx" presStyleLbl="parChTrans1D4" presStyleIdx="57" presStyleCnt="112"/>
      <dgm:spPr/>
    </dgm:pt>
    <dgm:pt modelId="{3072A55A-1621-0149-91A5-33C4FE836C43}" type="pres">
      <dgm:prSet presAssocID="{9653A3DA-630B-3541-8B42-ADD100B81603}" presName="root2" presStyleCnt="0"/>
      <dgm:spPr/>
    </dgm:pt>
    <dgm:pt modelId="{C5526BCB-99B0-924E-BE28-D40D0D9677F9}" type="pres">
      <dgm:prSet presAssocID="{9653A3DA-630B-3541-8B42-ADD100B81603}" presName="LevelTwoTextNode" presStyleLbl="node4" presStyleIdx="57" presStyleCnt="112" custScaleX="177778" custScaleY="93731" custLinFactY="-1321" custLinFactNeighborY="-100000">
        <dgm:presLayoutVars>
          <dgm:chPref val="3"/>
        </dgm:presLayoutVars>
      </dgm:prSet>
      <dgm:spPr/>
    </dgm:pt>
    <dgm:pt modelId="{46AF4497-AE71-D242-B70D-3F2EF99BCCED}" type="pres">
      <dgm:prSet presAssocID="{9653A3DA-630B-3541-8B42-ADD100B81603}" presName="level3hierChild" presStyleCnt="0"/>
      <dgm:spPr/>
    </dgm:pt>
    <dgm:pt modelId="{0220F22B-2D7A-924A-9A77-8A412561E725}" type="pres">
      <dgm:prSet presAssocID="{1CAC6327-888D-0F46-877B-745877E4FADE}" presName="conn2-1" presStyleLbl="parChTrans1D4" presStyleIdx="58" presStyleCnt="112"/>
      <dgm:spPr/>
    </dgm:pt>
    <dgm:pt modelId="{EBCFD751-4848-2D4B-A7FE-E458C4F0C516}" type="pres">
      <dgm:prSet presAssocID="{1CAC6327-888D-0F46-877B-745877E4FADE}" presName="connTx" presStyleLbl="parChTrans1D4" presStyleIdx="58" presStyleCnt="112"/>
      <dgm:spPr/>
    </dgm:pt>
    <dgm:pt modelId="{C0833646-DCDF-174B-B16D-C7151D986B94}" type="pres">
      <dgm:prSet presAssocID="{A1587CDD-2A23-9A4D-BBC4-9A5BAD32B9EB}" presName="root2" presStyleCnt="0"/>
      <dgm:spPr/>
    </dgm:pt>
    <dgm:pt modelId="{4119C4DF-2C73-404A-992D-F984A9077918}" type="pres">
      <dgm:prSet presAssocID="{A1587CDD-2A23-9A4D-BBC4-9A5BAD32B9EB}" presName="LevelTwoTextNode" presStyleLbl="node4" presStyleIdx="58" presStyleCnt="112" custScaleX="173498" custScaleY="63078" custLinFactY="-16648" custLinFactNeighborX="-28407" custLinFactNeighborY="-100000">
        <dgm:presLayoutVars>
          <dgm:chPref val="3"/>
        </dgm:presLayoutVars>
      </dgm:prSet>
      <dgm:spPr/>
    </dgm:pt>
    <dgm:pt modelId="{CC94228C-B369-6540-9A5C-B08C6E407AFE}" type="pres">
      <dgm:prSet presAssocID="{A1587CDD-2A23-9A4D-BBC4-9A5BAD32B9EB}" presName="level3hierChild" presStyleCnt="0"/>
      <dgm:spPr/>
    </dgm:pt>
    <dgm:pt modelId="{4D3C5AB2-8259-C545-8AF2-6658A3765C67}" type="pres">
      <dgm:prSet presAssocID="{6E23B088-7254-3F46-886E-0ED69F000A67}" presName="conn2-1" presStyleLbl="parChTrans1D4" presStyleIdx="59" presStyleCnt="112"/>
      <dgm:spPr/>
    </dgm:pt>
    <dgm:pt modelId="{8A300D53-4BF9-4B4B-AB72-E4F7AB93F62E}" type="pres">
      <dgm:prSet presAssocID="{6E23B088-7254-3F46-886E-0ED69F000A67}" presName="connTx" presStyleLbl="parChTrans1D4" presStyleIdx="59" presStyleCnt="112"/>
      <dgm:spPr/>
    </dgm:pt>
    <dgm:pt modelId="{B505E6EA-CD15-0547-995D-348A29F7AC71}" type="pres">
      <dgm:prSet presAssocID="{881904A5-9B65-E244-99B0-72E8F383A36F}" presName="root2" presStyleCnt="0"/>
      <dgm:spPr/>
    </dgm:pt>
    <dgm:pt modelId="{FDAA16D7-4952-7642-B9FE-686299F1FB7F}" type="pres">
      <dgm:prSet presAssocID="{881904A5-9B65-E244-99B0-72E8F383A36F}" presName="LevelTwoTextNode" presStyleLbl="node4" presStyleIdx="59" presStyleCnt="112" custScaleX="239204" custScaleY="87892" custLinFactY="-4241" custLinFactNeighborX="-56595" custLinFactNeighborY="-100000">
        <dgm:presLayoutVars>
          <dgm:chPref val="3"/>
        </dgm:presLayoutVars>
      </dgm:prSet>
      <dgm:spPr/>
    </dgm:pt>
    <dgm:pt modelId="{EDEBD727-A772-0E43-8A9D-9557284C8461}" type="pres">
      <dgm:prSet presAssocID="{881904A5-9B65-E244-99B0-72E8F383A36F}" presName="level3hierChild" presStyleCnt="0"/>
      <dgm:spPr/>
    </dgm:pt>
    <dgm:pt modelId="{003C5F08-096E-D740-AEC9-845D6B9D94E7}" type="pres">
      <dgm:prSet presAssocID="{677DA4EE-A1C5-FD48-8498-8C30E228B0C9}" presName="conn2-1" presStyleLbl="parChTrans1D4" presStyleIdx="60" presStyleCnt="112"/>
      <dgm:spPr/>
    </dgm:pt>
    <dgm:pt modelId="{73440C1F-7805-234D-A1FD-94822165B595}" type="pres">
      <dgm:prSet presAssocID="{677DA4EE-A1C5-FD48-8498-8C30E228B0C9}" presName="connTx" presStyleLbl="parChTrans1D4" presStyleIdx="60" presStyleCnt="112"/>
      <dgm:spPr/>
    </dgm:pt>
    <dgm:pt modelId="{25D8CBB7-FE02-AF4B-9322-38141A0164ED}" type="pres">
      <dgm:prSet presAssocID="{8B0DAAE7-B401-3248-A48A-0C12B627AAE7}" presName="root2" presStyleCnt="0"/>
      <dgm:spPr/>
    </dgm:pt>
    <dgm:pt modelId="{E8E89FB2-6592-9949-A9AE-5696011DDA9E}" type="pres">
      <dgm:prSet presAssocID="{8B0DAAE7-B401-3248-A48A-0C12B627AAE7}" presName="LevelTwoTextNode" presStyleLbl="node4" presStyleIdx="60" presStyleCnt="112" custScaleX="343458" custScaleY="88978" custLinFactY="-3698" custLinFactNeighborX="-57835" custLinFactNeighborY="-100000">
        <dgm:presLayoutVars>
          <dgm:chPref val="3"/>
        </dgm:presLayoutVars>
      </dgm:prSet>
      <dgm:spPr/>
    </dgm:pt>
    <dgm:pt modelId="{2F64B315-ECF9-FC4A-B065-1C6CE85DBDDD}" type="pres">
      <dgm:prSet presAssocID="{8B0DAAE7-B401-3248-A48A-0C12B627AAE7}" presName="level3hierChild" presStyleCnt="0"/>
      <dgm:spPr/>
    </dgm:pt>
    <dgm:pt modelId="{D0F6F508-439F-2548-854A-3A34A9644D34}" type="pres">
      <dgm:prSet presAssocID="{4BA24C3B-5DDA-D14E-A8B6-445DFF666071}" presName="conn2-1" presStyleLbl="parChTrans1D3" presStyleIdx="3" presStyleCnt="7"/>
      <dgm:spPr/>
    </dgm:pt>
    <dgm:pt modelId="{1109EA00-262B-834E-8E71-741D7D6C1BE9}" type="pres">
      <dgm:prSet presAssocID="{4BA24C3B-5DDA-D14E-A8B6-445DFF666071}" presName="connTx" presStyleLbl="parChTrans1D3" presStyleIdx="3" presStyleCnt="7"/>
      <dgm:spPr/>
    </dgm:pt>
    <dgm:pt modelId="{54849DE5-706C-BE4F-A64F-6224926AEADF}" type="pres">
      <dgm:prSet presAssocID="{D5381B5B-393D-9D46-844A-D4BD8FC14058}" presName="root2" presStyleCnt="0"/>
      <dgm:spPr/>
    </dgm:pt>
    <dgm:pt modelId="{E527687B-5E64-5543-9278-7D5AA79DA87D}" type="pres">
      <dgm:prSet presAssocID="{D5381B5B-393D-9D46-844A-D4BD8FC14058}" presName="LevelTwoTextNode" presStyleLbl="node3" presStyleIdx="3" presStyleCnt="7" custScaleX="188118" custScaleY="256875" custLinFactY="-12529" custLinFactNeighborY="-100000">
        <dgm:presLayoutVars>
          <dgm:chPref val="3"/>
        </dgm:presLayoutVars>
      </dgm:prSet>
      <dgm:spPr/>
    </dgm:pt>
    <dgm:pt modelId="{C2178FC9-E732-4647-9C38-96A6D69A684F}" type="pres">
      <dgm:prSet presAssocID="{D5381B5B-393D-9D46-844A-D4BD8FC14058}" presName="level3hierChild" presStyleCnt="0"/>
      <dgm:spPr/>
    </dgm:pt>
    <dgm:pt modelId="{37A38C73-911D-A04E-81A0-451CEEB03713}" type="pres">
      <dgm:prSet presAssocID="{A73DA725-FFFF-9A46-8044-434A1D595106}" presName="conn2-1" presStyleLbl="parChTrans1D4" presStyleIdx="61" presStyleCnt="112"/>
      <dgm:spPr/>
    </dgm:pt>
    <dgm:pt modelId="{C50181A9-9023-964A-9B47-802598B2CB21}" type="pres">
      <dgm:prSet presAssocID="{A73DA725-FFFF-9A46-8044-434A1D595106}" presName="connTx" presStyleLbl="parChTrans1D4" presStyleIdx="61" presStyleCnt="112"/>
      <dgm:spPr/>
    </dgm:pt>
    <dgm:pt modelId="{C4509C9C-6F61-704F-A256-A31795ED2B32}" type="pres">
      <dgm:prSet presAssocID="{F1F679CB-924A-9740-BFE5-4EA39D8F28C6}" presName="root2" presStyleCnt="0"/>
      <dgm:spPr/>
    </dgm:pt>
    <dgm:pt modelId="{890C2028-56BF-7C48-BEEF-DD9A118FD721}" type="pres">
      <dgm:prSet presAssocID="{F1F679CB-924A-9740-BFE5-4EA39D8F28C6}" presName="LevelTwoTextNode" presStyleLbl="node4" presStyleIdx="61" presStyleCnt="112" custScaleX="308350" custScaleY="44568" custLinFactNeighborY="-86549">
        <dgm:presLayoutVars>
          <dgm:chPref val="3"/>
        </dgm:presLayoutVars>
      </dgm:prSet>
      <dgm:spPr/>
    </dgm:pt>
    <dgm:pt modelId="{3C4ABC6D-D84C-3E4C-B287-3A8CCB17766F}" type="pres">
      <dgm:prSet presAssocID="{F1F679CB-924A-9740-BFE5-4EA39D8F28C6}" presName="level3hierChild" presStyleCnt="0"/>
      <dgm:spPr/>
    </dgm:pt>
    <dgm:pt modelId="{C9C87CD5-6BFE-7849-8062-8C27F74423E3}" type="pres">
      <dgm:prSet presAssocID="{2D971DE0-589F-2A4A-ADA1-B1E673B2E7EF}" presName="conn2-1" presStyleLbl="parChTrans1D4" presStyleIdx="62" presStyleCnt="112"/>
      <dgm:spPr/>
    </dgm:pt>
    <dgm:pt modelId="{135659E4-2DB9-7047-A391-867264CB2B90}" type="pres">
      <dgm:prSet presAssocID="{2D971DE0-589F-2A4A-ADA1-B1E673B2E7EF}" presName="connTx" presStyleLbl="parChTrans1D4" presStyleIdx="62" presStyleCnt="112"/>
      <dgm:spPr/>
    </dgm:pt>
    <dgm:pt modelId="{B7D50CF1-B86D-424D-A0CD-159CEC59DEC2}" type="pres">
      <dgm:prSet presAssocID="{43875140-1255-FC40-A8FB-CF6B33B64566}" presName="root2" presStyleCnt="0"/>
      <dgm:spPr/>
    </dgm:pt>
    <dgm:pt modelId="{8B45572A-1112-FA43-B58E-7862FE34577C}" type="pres">
      <dgm:prSet presAssocID="{43875140-1255-FC40-A8FB-CF6B33B64566}" presName="LevelTwoTextNode" presStyleLbl="node4" presStyleIdx="62" presStyleCnt="112" custScaleX="338151" custScaleY="44642" custLinFactNeighborY="-86512">
        <dgm:presLayoutVars>
          <dgm:chPref val="3"/>
        </dgm:presLayoutVars>
      </dgm:prSet>
      <dgm:spPr/>
    </dgm:pt>
    <dgm:pt modelId="{B99C40FC-CAE4-B048-A4C8-F0F3D94A0B17}" type="pres">
      <dgm:prSet presAssocID="{43875140-1255-FC40-A8FB-CF6B33B64566}" presName="level3hierChild" presStyleCnt="0"/>
      <dgm:spPr/>
    </dgm:pt>
    <dgm:pt modelId="{DCB459D8-7275-B34C-BBCF-79EB78363042}" type="pres">
      <dgm:prSet presAssocID="{22AB3447-4AD4-F542-9B74-FCC9EB659DCD}" presName="conn2-1" presStyleLbl="parChTrans1D4" presStyleIdx="63" presStyleCnt="112"/>
      <dgm:spPr/>
    </dgm:pt>
    <dgm:pt modelId="{1452FD51-B4ED-6441-8892-1F15B5481691}" type="pres">
      <dgm:prSet presAssocID="{22AB3447-4AD4-F542-9B74-FCC9EB659DCD}" presName="connTx" presStyleLbl="parChTrans1D4" presStyleIdx="63" presStyleCnt="112"/>
      <dgm:spPr/>
    </dgm:pt>
    <dgm:pt modelId="{FEEE25B9-6FAA-B34F-9B9F-EF73F93AA5B7}" type="pres">
      <dgm:prSet presAssocID="{54F38B82-6435-A649-AEB2-742F57D0E16D}" presName="root2" presStyleCnt="0"/>
      <dgm:spPr/>
    </dgm:pt>
    <dgm:pt modelId="{CB348504-45A8-F849-81E6-9EB60002C12D}" type="pres">
      <dgm:prSet presAssocID="{54F38B82-6435-A649-AEB2-742F57D0E16D}" presName="LevelTwoTextNode" presStyleLbl="node4" presStyleIdx="63" presStyleCnt="112" custScaleX="121180" custScaleY="42008" custLinFactNeighborY="-87829">
        <dgm:presLayoutVars>
          <dgm:chPref val="3"/>
        </dgm:presLayoutVars>
      </dgm:prSet>
      <dgm:spPr/>
    </dgm:pt>
    <dgm:pt modelId="{EB0E3B2E-2CBC-4342-9184-5B29365C31E6}" type="pres">
      <dgm:prSet presAssocID="{54F38B82-6435-A649-AEB2-742F57D0E16D}" presName="level3hierChild" presStyleCnt="0"/>
      <dgm:spPr/>
    </dgm:pt>
    <dgm:pt modelId="{05E20533-B868-844D-BE0F-3AC308FB8796}" type="pres">
      <dgm:prSet presAssocID="{245A84A5-455B-A147-88F3-D1522DAAA763}" presName="conn2-1" presStyleLbl="parChTrans1D4" presStyleIdx="64" presStyleCnt="112"/>
      <dgm:spPr/>
    </dgm:pt>
    <dgm:pt modelId="{5DE081D7-D78E-1E47-B426-7A3B31557B57}" type="pres">
      <dgm:prSet presAssocID="{245A84A5-455B-A147-88F3-D1522DAAA763}" presName="connTx" presStyleLbl="parChTrans1D4" presStyleIdx="64" presStyleCnt="112"/>
      <dgm:spPr/>
    </dgm:pt>
    <dgm:pt modelId="{6D5685FB-A8CC-5B4A-8E2B-75F7C4FAEE82}" type="pres">
      <dgm:prSet presAssocID="{5E66860A-DFA7-1443-BD03-E42ACAF7B46A}" presName="root2" presStyleCnt="0"/>
      <dgm:spPr/>
    </dgm:pt>
    <dgm:pt modelId="{076EF232-42FD-0A46-ADBC-4E55504B9D4F}" type="pres">
      <dgm:prSet presAssocID="{5E66860A-DFA7-1443-BD03-E42ACAF7B46A}" presName="LevelTwoTextNode" presStyleLbl="node4" presStyleIdx="64" presStyleCnt="112" custLinFactNeighborY="-80078">
        <dgm:presLayoutVars>
          <dgm:chPref val="3"/>
        </dgm:presLayoutVars>
      </dgm:prSet>
      <dgm:spPr/>
    </dgm:pt>
    <dgm:pt modelId="{36705F05-772B-7746-A4C2-26182365A42A}" type="pres">
      <dgm:prSet presAssocID="{5E66860A-DFA7-1443-BD03-E42ACAF7B46A}" presName="level3hierChild" presStyleCnt="0"/>
      <dgm:spPr/>
    </dgm:pt>
    <dgm:pt modelId="{D536B861-D1D2-BA45-B78D-D06669174668}" type="pres">
      <dgm:prSet presAssocID="{F3252B19-1571-5344-A1A2-AD8919BC1075}" presName="conn2-1" presStyleLbl="parChTrans1D4" presStyleIdx="65" presStyleCnt="112"/>
      <dgm:spPr/>
    </dgm:pt>
    <dgm:pt modelId="{C48139B8-D4E9-D648-AC91-7B6759F89794}" type="pres">
      <dgm:prSet presAssocID="{F3252B19-1571-5344-A1A2-AD8919BC1075}" presName="connTx" presStyleLbl="parChTrans1D4" presStyleIdx="65" presStyleCnt="112"/>
      <dgm:spPr/>
    </dgm:pt>
    <dgm:pt modelId="{FAAE7D09-E718-A74F-BA45-F0A18AE9FBD9}" type="pres">
      <dgm:prSet presAssocID="{9D758B81-B5C2-1943-9D4C-0DA33722FC06}" presName="root2" presStyleCnt="0"/>
      <dgm:spPr/>
    </dgm:pt>
    <dgm:pt modelId="{41978589-6758-E947-AA91-0AEB570690EC}" type="pres">
      <dgm:prSet presAssocID="{9D758B81-B5C2-1943-9D4C-0DA33722FC06}" presName="LevelTwoTextNode" presStyleLbl="node4" presStyleIdx="65" presStyleCnt="112" custLinFactNeighborY="-84348">
        <dgm:presLayoutVars>
          <dgm:chPref val="3"/>
        </dgm:presLayoutVars>
      </dgm:prSet>
      <dgm:spPr/>
    </dgm:pt>
    <dgm:pt modelId="{ED148D9D-4C56-2344-B9B2-D982D13CA8EF}" type="pres">
      <dgm:prSet presAssocID="{9D758B81-B5C2-1943-9D4C-0DA33722FC06}" presName="level3hierChild" presStyleCnt="0"/>
      <dgm:spPr/>
    </dgm:pt>
    <dgm:pt modelId="{DC3AFE56-753E-4D41-96AF-3945973B1E5F}" type="pres">
      <dgm:prSet presAssocID="{2A99ABF2-1810-4D46-BB6B-51F0792BDF75}" presName="conn2-1" presStyleLbl="parChTrans1D4" presStyleIdx="66" presStyleCnt="112"/>
      <dgm:spPr/>
    </dgm:pt>
    <dgm:pt modelId="{364C137E-A37C-D946-BC81-26A8AB0F8A71}" type="pres">
      <dgm:prSet presAssocID="{2A99ABF2-1810-4D46-BB6B-51F0792BDF75}" presName="connTx" presStyleLbl="parChTrans1D4" presStyleIdx="66" presStyleCnt="112"/>
      <dgm:spPr/>
    </dgm:pt>
    <dgm:pt modelId="{07EAF548-ECB5-7F48-BD7B-88F1EA86E736}" type="pres">
      <dgm:prSet presAssocID="{3442AE2C-3866-854A-82D6-E5EEF172C613}" presName="root2" presStyleCnt="0"/>
      <dgm:spPr/>
    </dgm:pt>
    <dgm:pt modelId="{7DE84E1A-8933-D042-8AFA-8530C0148846}" type="pres">
      <dgm:prSet presAssocID="{3442AE2C-3866-854A-82D6-E5EEF172C613}" presName="LevelTwoTextNode" presStyleLbl="node4" presStyleIdx="66" presStyleCnt="112" custScaleX="469419" custScaleY="87473" custLinFactNeighborY="-90611">
        <dgm:presLayoutVars>
          <dgm:chPref val="3"/>
        </dgm:presLayoutVars>
      </dgm:prSet>
      <dgm:spPr/>
    </dgm:pt>
    <dgm:pt modelId="{3830B77D-4B27-114D-8B5E-8FBFBFBF4CF2}" type="pres">
      <dgm:prSet presAssocID="{3442AE2C-3866-854A-82D6-E5EEF172C613}" presName="level3hierChild" presStyleCnt="0"/>
      <dgm:spPr/>
    </dgm:pt>
    <dgm:pt modelId="{85569A46-7435-0C4A-830A-6BE10736E389}" type="pres">
      <dgm:prSet presAssocID="{8E184C55-1C78-D042-ADB2-632BFC0D5FC3}" presName="conn2-1" presStyleLbl="parChTrans1D4" presStyleIdx="67" presStyleCnt="112"/>
      <dgm:spPr/>
    </dgm:pt>
    <dgm:pt modelId="{84B95251-E6CA-3D42-9ADA-0379571D9F2C}" type="pres">
      <dgm:prSet presAssocID="{8E184C55-1C78-D042-ADB2-632BFC0D5FC3}" presName="connTx" presStyleLbl="parChTrans1D4" presStyleIdx="67" presStyleCnt="112"/>
      <dgm:spPr/>
    </dgm:pt>
    <dgm:pt modelId="{FF44D1F4-4A68-0B40-9A15-9C5E762EB7C0}" type="pres">
      <dgm:prSet presAssocID="{A137832E-3BFD-EB46-89D7-F46FBDC3B142}" presName="root2" presStyleCnt="0"/>
      <dgm:spPr/>
    </dgm:pt>
    <dgm:pt modelId="{63AE9A40-A2F7-A045-9127-A3708C8BA3DE}" type="pres">
      <dgm:prSet presAssocID="{A137832E-3BFD-EB46-89D7-F46FBDC3B142}" presName="LevelTwoTextNode" presStyleLbl="node4" presStyleIdx="67" presStyleCnt="112" custLinFactNeighborY="-75808">
        <dgm:presLayoutVars>
          <dgm:chPref val="3"/>
        </dgm:presLayoutVars>
      </dgm:prSet>
      <dgm:spPr/>
    </dgm:pt>
    <dgm:pt modelId="{18E77870-B72F-1B47-88D4-28FBF385C7A7}" type="pres">
      <dgm:prSet presAssocID="{A137832E-3BFD-EB46-89D7-F46FBDC3B142}" presName="level3hierChild" presStyleCnt="0"/>
      <dgm:spPr/>
    </dgm:pt>
    <dgm:pt modelId="{96107609-B005-6F43-8581-AA9D08944D3A}" type="pres">
      <dgm:prSet presAssocID="{DB6651C5-1F20-1A4E-8B51-7DF07EB3E4BE}" presName="conn2-1" presStyleLbl="parChTrans1D4" presStyleIdx="68" presStyleCnt="112"/>
      <dgm:spPr/>
    </dgm:pt>
    <dgm:pt modelId="{E6E44A22-692E-6B44-93C0-348BC54BCADD}" type="pres">
      <dgm:prSet presAssocID="{DB6651C5-1F20-1A4E-8B51-7DF07EB3E4BE}" presName="connTx" presStyleLbl="parChTrans1D4" presStyleIdx="68" presStyleCnt="112"/>
      <dgm:spPr/>
    </dgm:pt>
    <dgm:pt modelId="{B21A8306-6E7E-E34D-8E6A-C30210C5595E}" type="pres">
      <dgm:prSet presAssocID="{4314B020-F441-A94D-B582-02A2130EA2B5}" presName="root2" presStyleCnt="0"/>
      <dgm:spPr/>
    </dgm:pt>
    <dgm:pt modelId="{4D292D26-FEA6-1844-BA59-60E7AEEB730B}" type="pres">
      <dgm:prSet presAssocID="{4314B020-F441-A94D-B582-02A2130EA2B5}" presName="LevelTwoTextNode" presStyleLbl="node4" presStyleIdx="68" presStyleCnt="112" custScaleX="288585" custScaleY="79746" custLinFactNeighborY="-85935">
        <dgm:presLayoutVars>
          <dgm:chPref val="3"/>
        </dgm:presLayoutVars>
      </dgm:prSet>
      <dgm:spPr/>
    </dgm:pt>
    <dgm:pt modelId="{FAD59D70-EA4B-1348-B972-4967D0AE74E4}" type="pres">
      <dgm:prSet presAssocID="{4314B020-F441-A94D-B582-02A2130EA2B5}" presName="level3hierChild" presStyleCnt="0"/>
      <dgm:spPr/>
    </dgm:pt>
    <dgm:pt modelId="{29B011CE-FEB4-5146-AFD2-55FBAF12FF26}" type="pres">
      <dgm:prSet presAssocID="{FB0BA340-1287-6F40-A882-9CAF97D49B02}" presName="conn2-1" presStyleLbl="parChTrans1D4" presStyleIdx="69" presStyleCnt="112"/>
      <dgm:spPr/>
    </dgm:pt>
    <dgm:pt modelId="{5D07BA56-91D9-8047-B0D5-5B26868635A0}" type="pres">
      <dgm:prSet presAssocID="{FB0BA340-1287-6F40-A882-9CAF97D49B02}" presName="connTx" presStyleLbl="parChTrans1D4" presStyleIdx="69" presStyleCnt="112"/>
      <dgm:spPr/>
    </dgm:pt>
    <dgm:pt modelId="{4B91EC5D-22E1-EF4E-BE16-3F5AB65DC28D}" type="pres">
      <dgm:prSet presAssocID="{D9CD62FD-F750-1F48-9B63-88BFBFA74EF3}" presName="root2" presStyleCnt="0"/>
      <dgm:spPr/>
    </dgm:pt>
    <dgm:pt modelId="{0A7942F9-FA61-7044-98CD-185B63F2C777}" type="pres">
      <dgm:prSet presAssocID="{D9CD62FD-F750-1F48-9B63-88BFBFA74EF3}" presName="LevelTwoTextNode" presStyleLbl="node4" presStyleIdx="69" presStyleCnt="112" custScaleX="181600" custScaleY="70130" custLinFactNeighborY="-71500">
        <dgm:presLayoutVars>
          <dgm:chPref val="3"/>
        </dgm:presLayoutVars>
      </dgm:prSet>
      <dgm:spPr/>
    </dgm:pt>
    <dgm:pt modelId="{CECDE70E-83A7-BA40-9355-10079AB3B8C7}" type="pres">
      <dgm:prSet presAssocID="{D9CD62FD-F750-1F48-9B63-88BFBFA74EF3}" presName="level3hierChild" presStyleCnt="0"/>
      <dgm:spPr/>
    </dgm:pt>
    <dgm:pt modelId="{9EB0FA5F-BF74-6045-BC98-FC5C037FE5C9}" type="pres">
      <dgm:prSet presAssocID="{985BB076-8F1E-2143-BBFD-F1E3E109766A}" presName="conn2-1" presStyleLbl="parChTrans1D4" presStyleIdx="70" presStyleCnt="112"/>
      <dgm:spPr/>
    </dgm:pt>
    <dgm:pt modelId="{838362B6-7FDD-7A48-8C09-DCC5700D895C}" type="pres">
      <dgm:prSet presAssocID="{985BB076-8F1E-2143-BBFD-F1E3E109766A}" presName="connTx" presStyleLbl="parChTrans1D4" presStyleIdx="70" presStyleCnt="112"/>
      <dgm:spPr/>
    </dgm:pt>
    <dgm:pt modelId="{E7E5A910-EC4D-DF4C-977F-4C1FD3934CD8}" type="pres">
      <dgm:prSet presAssocID="{D45416C0-E8C5-844E-BD32-B3DF69AFC82B}" presName="root2" presStyleCnt="0"/>
      <dgm:spPr/>
    </dgm:pt>
    <dgm:pt modelId="{346E5F80-6DC5-6543-AAD9-FD7779271A90}" type="pres">
      <dgm:prSet presAssocID="{D45416C0-E8C5-844E-BD32-B3DF69AFC82B}" presName="LevelTwoTextNode" presStyleLbl="node4" presStyleIdx="70" presStyleCnt="112" custScaleX="190549" custScaleY="61393" custLinFactNeighborY="-75869">
        <dgm:presLayoutVars>
          <dgm:chPref val="3"/>
        </dgm:presLayoutVars>
      </dgm:prSet>
      <dgm:spPr/>
    </dgm:pt>
    <dgm:pt modelId="{C45BD177-B81D-4240-9134-7025B910ED4B}" type="pres">
      <dgm:prSet presAssocID="{D45416C0-E8C5-844E-BD32-B3DF69AFC82B}" presName="level3hierChild" presStyleCnt="0"/>
      <dgm:spPr/>
    </dgm:pt>
    <dgm:pt modelId="{1208B9E3-0278-6344-8E92-3481EA93B0A2}" type="pres">
      <dgm:prSet presAssocID="{5C415EF6-6FC6-8346-9A67-DC768A3F5FA2}" presName="conn2-1" presStyleLbl="parChTrans1D4" presStyleIdx="71" presStyleCnt="112"/>
      <dgm:spPr/>
    </dgm:pt>
    <dgm:pt modelId="{DD665F04-205C-E44C-B119-5732509DCD31}" type="pres">
      <dgm:prSet presAssocID="{5C415EF6-6FC6-8346-9A67-DC768A3F5FA2}" presName="connTx" presStyleLbl="parChTrans1D4" presStyleIdx="71" presStyleCnt="112"/>
      <dgm:spPr/>
    </dgm:pt>
    <dgm:pt modelId="{464889C7-071D-2F4D-B941-78F57280098F}" type="pres">
      <dgm:prSet presAssocID="{3E7902D5-EB38-EC46-8F1A-49269BAD7730}" presName="root2" presStyleCnt="0"/>
      <dgm:spPr/>
    </dgm:pt>
    <dgm:pt modelId="{AC69AFBE-547D-0F49-8FBD-7B9C78ED3826}" type="pres">
      <dgm:prSet presAssocID="{3E7902D5-EB38-EC46-8F1A-49269BAD7730}" presName="LevelTwoTextNode" presStyleLbl="node4" presStyleIdx="71" presStyleCnt="112" custScaleX="164603" custScaleY="77783" custLinFactNeighborY="-83687">
        <dgm:presLayoutVars>
          <dgm:chPref val="3"/>
        </dgm:presLayoutVars>
      </dgm:prSet>
      <dgm:spPr/>
    </dgm:pt>
    <dgm:pt modelId="{E44951BE-8317-0546-9BCB-B55D199A4B80}" type="pres">
      <dgm:prSet presAssocID="{3E7902D5-EB38-EC46-8F1A-49269BAD7730}" presName="level3hierChild" presStyleCnt="0"/>
      <dgm:spPr/>
    </dgm:pt>
    <dgm:pt modelId="{E06B8E53-7E61-FE48-B438-142B6DA5154E}" type="pres">
      <dgm:prSet presAssocID="{17A1240D-8C80-5343-AA5A-E9D5BBC693B4}" presName="conn2-1" presStyleLbl="parChTrans1D4" presStyleIdx="72" presStyleCnt="112"/>
      <dgm:spPr/>
    </dgm:pt>
    <dgm:pt modelId="{C67516C0-9764-384F-B21B-FECA8E54F2AA}" type="pres">
      <dgm:prSet presAssocID="{17A1240D-8C80-5343-AA5A-E9D5BBC693B4}" presName="connTx" presStyleLbl="parChTrans1D4" presStyleIdx="72" presStyleCnt="112"/>
      <dgm:spPr/>
    </dgm:pt>
    <dgm:pt modelId="{C122B4B7-7576-CD44-B045-4F9F15E99B33}" type="pres">
      <dgm:prSet presAssocID="{76CC34A3-FE6A-5D41-8F17-B1A2777F672C}" presName="root2" presStyleCnt="0"/>
      <dgm:spPr/>
    </dgm:pt>
    <dgm:pt modelId="{5E1B448D-7475-364F-9237-E274A4B984F6}" type="pres">
      <dgm:prSet presAssocID="{76CC34A3-FE6A-5D41-8F17-B1A2777F672C}" presName="LevelTwoTextNode" presStyleLbl="node4" presStyleIdx="72" presStyleCnt="112" custScaleX="188372" custScaleY="78593" custLinFactY="-29038" custLinFactNeighborY="-100000">
        <dgm:presLayoutVars>
          <dgm:chPref val="3"/>
        </dgm:presLayoutVars>
      </dgm:prSet>
      <dgm:spPr/>
    </dgm:pt>
    <dgm:pt modelId="{99DC1C13-6DED-3D49-BF3C-427A3278BDE9}" type="pres">
      <dgm:prSet presAssocID="{76CC34A3-FE6A-5D41-8F17-B1A2777F672C}" presName="level3hierChild" presStyleCnt="0"/>
      <dgm:spPr/>
    </dgm:pt>
    <dgm:pt modelId="{66D7638F-9853-484A-83EB-C481F6203FD8}" type="pres">
      <dgm:prSet presAssocID="{A982A071-AE54-EE40-B47C-659C2263303C}" presName="conn2-1" presStyleLbl="parChTrans1D4" presStyleIdx="73" presStyleCnt="112"/>
      <dgm:spPr/>
    </dgm:pt>
    <dgm:pt modelId="{182380DA-709D-8540-A047-8820C3AD8608}" type="pres">
      <dgm:prSet presAssocID="{A982A071-AE54-EE40-B47C-659C2263303C}" presName="connTx" presStyleLbl="parChTrans1D4" presStyleIdx="73" presStyleCnt="112"/>
      <dgm:spPr/>
    </dgm:pt>
    <dgm:pt modelId="{D87D66CA-A7D0-4348-8A21-E0438C62D042}" type="pres">
      <dgm:prSet presAssocID="{9D1867B4-11C7-A843-A324-42813C0E17E3}" presName="root2" presStyleCnt="0"/>
      <dgm:spPr/>
    </dgm:pt>
    <dgm:pt modelId="{F49659EF-7E47-2D41-8BC1-B97974D7D2CF}" type="pres">
      <dgm:prSet presAssocID="{9D1867B4-11C7-A843-A324-42813C0E17E3}" presName="LevelTwoTextNode" presStyleLbl="node4" presStyleIdx="73" presStyleCnt="112" custScaleX="179978" custScaleY="96986" custLinFactNeighborY="-79415">
        <dgm:presLayoutVars>
          <dgm:chPref val="3"/>
        </dgm:presLayoutVars>
      </dgm:prSet>
      <dgm:spPr/>
    </dgm:pt>
    <dgm:pt modelId="{F864E9D0-3DEA-4E4D-9E78-EF20DAD8D1CD}" type="pres">
      <dgm:prSet presAssocID="{9D1867B4-11C7-A843-A324-42813C0E17E3}" presName="level3hierChild" presStyleCnt="0"/>
      <dgm:spPr/>
    </dgm:pt>
    <dgm:pt modelId="{C7694E15-689B-B540-AF7D-27873AF50E04}" type="pres">
      <dgm:prSet presAssocID="{42AF2BC0-63BD-FD42-8A4B-BC16812D7E07}" presName="conn2-1" presStyleLbl="parChTrans1D4" presStyleIdx="74" presStyleCnt="112"/>
      <dgm:spPr/>
    </dgm:pt>
    <dgm:pt modelId="{E583F178-B687-5241-8838-3F757CBC371A}" type="pres">
      <dgm:prSet presAssocID="{42AF2BC0-63BD-FD42-8A4B-BC16812D7E07}" presName="connTx" presStyleLbl="parChTrans1D4" presStyleIdx="74" presStyleCnt="112"/>
      <dgm:spPr/>
    </dgm:pt>
    <dgm:pt modelId="{4D17EC19-415D-544C-8712-347EFE077948}" type="pres">
      <dgm:prSet presAssocID="{0EE11476-9D4D-C642-9798-B64BDCC6E9BD}" presName="root2" presStyleCnt="0"/>
      <dgm:spPr/>
    </dgm:pt>
    <dgm:pt modelId="{26604CA2-868C-8F44-A303-1E91E5613A9B}" type="pres">
      <dgm:prSet presAssocID="{0EE11476-9D4D-C642-9798-B64BDCC6E9BD}" presName="LevelTwoTextNode" presStyleLbl="node4" presStyleIdx="74" presStyleCnt="112" custScaleX="369434" custScaleY="66982" custLinFactNeighborY="-98687">
        <dgm:presLayoutVars>
          <dgm:chPref val="3"/>
        </dgm:presLayoutVars>
      </dgm:prSet>
      <dgm:spPr/>
    </dgm:pt>
    <dgm:pt modelId="{1ECFE865-0216-D047-BBC0-724D0F096CED}" type="pres">
      <dgm:prSet presAssocID="{0EE11476-9D4D-C642-9798-B64BDCC6E9BD}" presName="level3hierChild" presStyleCnt="0"/>
      <dgm:spPr/>
    </dgm:pt>
    <dgm:pt modelId="{2F4D2B05-ABE0-C040-B265-D2CED050FB95}" type="pres">
      <dgm:prSet presAssocID="{8D4B400C-F8E5-A44D-93D7-E7EEB3BE7E50}" presName="conn2-1" presStyleLbl="parChTrans1D4" presStyleIdx="75" presStyleCnt="112"/>
      <dgm:spPr/>
    </dgm:pt>
    <dgm:pt modelId="{699F8F4D-D766-F14E-8860-C2799A400D25}" type="pres">
      <dgm:prSet presAssocID="{8D4B400C-F8E5-A44D-93D7-E7EEB3BE7E50}" presName="connTx" presStyleLbl="parChTrans1D4" presStyleIdx="75" presStyleCnt="112"/>
      <dgm:spPr/>
    </dgm:pt>
    <dgm:pt modelId="{2C83424D-AFE9-8249-A208-FD2CA4131178}" type="pres">
      <dgm:prSet presAssocID="{3A1B7547-4481-6040-9913-39DD9F187734}" presName="root2" presStyleCnt="0"/>
      <dgm:spPr/>
    </dgm:pt>
    <dgm:pt modelId="{05BBA82D-3861-9D45-B27B-B23B7D4518F1}" type="pres">
      <dgm:prSet presAssocID="{3A1B7547-4481-6040-9913-39DD9F187734}" presName="LevelTwoTextNode" presStyleLbl="node4" presStyleIdx="75" presStyleCnt="112" custLinFactNeighborY="-57129">
        <dgm:presLayoutVars>
          <dgm:chPref val="3"/>
        </dgm:presLayoutVars>
      </dgm:prSet>
      <dgm:spPr/>
    </dgm:pt>
    <dgm:pt modelId="{BA5EB554-2EB8-014B-922C-219CBAD9412D}" type="pres">
      <dgm:prSet presAssocID="{3A1B7547-4481-6040-9913-39DD9F187734}" presName="level3hierChild" presStyleCnt="0"/>
      <dgm:spPr/>
    </dgm:pt>
    <dgm:pt modelId="{58D175B3-DFEA-604C-917B-BF2A2838C18F}" type="pres">
      <dgm:prSet presAssocID="{0B98D000-3DC2-0842-A23E-F5E2DCC6CA9D}" presName="conn2-1" presStyleLbl="parChTrans1D4" presStyleIdx="76" presStyleCnt="112"/>
      <dgm:spPr/>
    </dgm:pt>
    <dgm:pt modelId="{90ACB537-42BA-CA49-97FA-D0B16352658A}" type="pres">
      <dgm:prSet presAssocID="{0B98D000-3DC2-0842-A23E-F5E2DCC6CA9D}" presName="connTx" presStyleLbl="parChTrans1D4" presStyleIdx="76" presStyleCnt="112"/>
      <dgm:spPr/>
    </dgm:pt>
    <dgm:pt modelId="{6B1E4DCB-C425-8D4F-A252-6475337EC706}" type="pres">
      <dgm:prSet presAssocID="{224257ED-8D37-B04C-950D-AAE5D375194F}" presName="root2" presStyleCnt="0"/>
      <dgm:spPr/>
    </dgm:pt>
    <dgm:pt modelId="{22C4D929-DC84-5648-9CF3-F58A68E4150C}" type="pres">
      <dgm:prSet presAssocID="{224257ED-8D37-B04C-950D-AAE5D375194F}" presName="LevelTwoTextNode" presStyleLbl="node4" presStyleIdx="76" presStyleCnt="112" custScaleX="384222" custScaleY="96095" custLinFactNeighborY="-59082">
        <dgm:presLayoutVars>
          <dgm:chPref val="3"/>
        </dgm:presLayoutVars>
      </dgm:prSet>
      <dgm:spPr/>
    </dgm:pt>
    <dgm:pt modelId="{A4ADA570-E835-5E4D-8C5C-014877ADC16D}" type="pres">
      <dgm:prSet presAssocID="{224257ED-8D37-B04C-950D-AAE5D375194F}" presName="level3hierChild" presStyleCnt="0"/>
      <dgm:spPr/>
    </dgm:pt>
    <dgm:pt modelId="{22BD5535-88B2-9B42-A8B4-1E5752F26F90}" type="pres">
      <dgm:prSet presAssocID="{6989CB89-43B1-E345-81FA-122774F7D212}" presName="conn2-1" presStyleLbl="parChTrans1D4" presStyleIdx="77" presStyleCnt="112"/>
      <dgm:spPr/>
    </dgm:pt>
    <dgm:pt modelId="{5B9DA2AB-D69C-0F42-8055-3B1B6AC114A2}" type="pres">
      <dgm:prSet presAssocID="{6989CB89-43B1-E345-81FA-122774F7D212}" presName="connTx" presStyleLbl="parChTrans1D4" presStyleIdx="77" presStyleCnt="112"/>
      <dgm:spPr/>
    </dgm:pt>
    <dgm:pt modelId="{BB1363B6-EFED-4944-990F-544F8BD835D9}" type="pres">
      <dgm:prSet presAssocID="{76B27DA6-1ACB-AE42-95BD-19CFDED1A7B3}" presName="root2" presStyleCnt="0"/>
      <dgm:spPr/>
    </dgm:pt>
    <dgm:pt modelId="{B9610FCE-B082-EE44-9135-ABA86D825EBE}" type="pres">
      <dgm:prSet presAssocID="{76B27DA6-1ACB-AE42-95BD-19CFDED1A7B3}" presName="LevelTwoTextNode" presStyleLbl="node4" presStyleIdx="77" presStyleCnt="112" custScaleX="269897" custScaleY="88505" custLinFactNeighborY="-59799">
        <dgm:presLayoutVars>
          <dgm:chPref val="3"/>
        </dgm:presLayoutVars>
      </dgm:prSet>
      <dgm:spPr/>
    </dgm:pt>
    <dgm:pt modelId="{DE64708A-1543-EB47-9C9C-307C45C8DF33}" type="pres">
      <dgm:prSet presAssocID="{76B27DA6-1ACB-AE42-95BD-19CFDED1A7B3}" presName="level3hierChild" presStyleCnt="0"/>
      <dgm:spPr/>
    </dgm:pt>
    <dgm:pt modelId="{F27A1C25-E22E-804F-A65A-FEA13FE665C2}" type="pres">
      <dgm:prSet presAssocID="{A21071B3-E01C-984B-A32A-83F541F562F9}" presName="conn2-1" presStyleLbl="parChTrans1D4" presStyleIdx="78" presStyleCnt="112"/>
      <dgm:spPr/>
    </dgm:pt>
    <dgm:pt modelId="{41E852B0-DCE6-0048-8035-7F590A5134D6}" type="pres">
      <dgm:prSet presAssocID="{A21071B3-E01C-984B-A32A-83F541F562F9}" presName="connTx" presStyleLbl="parChTrans1D4" presStyleIdx="78" presStyleCnt="112"/>
      <dgm:spPr/>
    </dgm:pt>
    <dgm:pt modelId="{9FE23876-6F44-7B41-A821-F20D241F62B5}" type="pres">
      <dgm:prSet presAssocID="{10B35DCC-8FC0-4A40-9CD0-6BC3B238A8C3}" presName="root2" presStyleCnt="0"/>
      <dgm:spPr/>
    </dgm:pt>
    <dgm:pt modelId="{6B4C2E1A-DBD3-AA44-B37A-C819A1EFBEC6}" type="pres">
      <dgm:prSet presAssocID="{10B35DCC-8FC0-4A40-9CD0-6BC3B238A8C3}" presName="LevelTwoTextNode" presStyleLbl="node4" presStyleIdx="78" presStyleCnt="112" custScaleX="312877" custScaleY="45137" custLinFactNeighborY="-48590">
        <dgm:presLayoutVars>
          <dgm:chPref val="3"/>
        </dgm:presLayoutVars>
      </dgm:prSet>
      <dgm:spPr/>
    </dgm:pt>
    <dgm:pt modelId="{EE79A43B-4014-0143-A5C1-5CBA363B434F}" type="pres">
      <dgm:prSet presAssocID="{10B35DCC-8FC0-4A40-9CD0-6BC3B238A8C3}" presName="level3hierChild" presStyleCnt="0"/>
      <dgm:spPr/>
    </dgm:pt>
    <dgm:pt modelId="{E499D8AD-D85B-B849-A13E-38E2C85D4646}" type="pres">
      <dgm:prSet presAssocID="{E934D5C2-84D1-914F-A749-5F2D57C07898}" presName="conn2-1" presStyleLbl="parChTrans1D4" presStyleIdx="79" presStyleCnt="112"/>
      <dgm:spPr/>
    </dgm:pt>
    <dgm:pt modelId="{46ECCF4E-40C0-0F45-8093-07B1D0DC2387}" type="pres">
      <dgm:prSet presAssocID="{E934D5C2-84D1-914F-A749-5F2D57C07898}" presName="connTx" presStyleLbl="parChTrans1D4" presStyleIdx="79" presStyleCnt="112"/>
      <dgm:spPr/>
    </dgm:pt>
    <dgm:pt modelId="{6D098576-6489-6E43-8B0C-96161BD6A464}" type="pres">
      <dgm:prSet presAssocID="{49AADD15-CBD0-3C4A-BB25-85AE93AA007E}" presName="root2" presStyleCnt="0"/>
      <dgm:spPr/>
    </dgm:pt>
    <dgm:pt modelId="{8FF38AF2-4B9D-6E46-A689-EFCC7FC13136}" type="pres">
      <dgm:prSet presAssocID="{49AADD15-CBD0-3C4A-BB25-85AE93AA007E}" presName="LevelTwoTextNode" presStyleLbl="node4" presStyleIdx="79" presStyleCnt="112" custScaleX="318813" custScaleY="50788" custLinFactNeighborY="-46957">
        <dgm:presLayoutVars>
          <dgm:chPref val="3"/>
        </dgm:presLayoutVars>
      </dgm:prSet>
      <dgm:spPr/>
    </dgm:pt>
    <dgm:pt modelId="{DE1F1C2D-DA9F-F842-BF14-A73B26C2B457}" type="pres">
      <dgm:prSet presAssocID="{49AADD15-CBD0-3C4A-BB25-85AE93AA007E}" presName="level3hierChild" presStyleCnt="0"/>
      <dgm:spPr/>
    </dgm:pt>
    <dgm:pt modelId="{CAF0A0F3-0539-9846-927B-69BF6A4C9ACA}" type="pres">
      <dgm:prSet presAssocID="{BBE2DC66-5EDD-544C-8A7E-F4CBE1DA6A97}" presName="conn2-1" presStyleLbl="parChTrans1D4" presStyleIdx="80" presStyleCnt="112"/>
      <dgm:spPr/>
    </dgm:pt>
    <dgm:pt modelId="{16E75FAA-7511-364F-B02C-27E8F8627174}" type="pres">
      <dgm:prSet presAssocID="{BBE2DC66-5EDD-544C-8A7E-F4CBE1DA6A97}" presName="connTx" presStyleLbl="parChTrans1D4" presStyleIdx="80" presStyleCnt="112"/>
      <dgm:spPr/>
    </dgm:pt>
    <dgm:pt modelId="{E26115D7-CAC8-F94E-AC94-3FACFFF943B6}" type="pres">
      <dgm:prSet presAssocID="{D0E64F52-6BBD-154E-A48F-6018128769D1}" presName="root2" presStyleCnt="0"/>
      <dgm:spPr/>
    </dgm:pt>
    <dgm:pt modelId="{E22128B9-F134-6F4A-B576-11820965B55D}" type="pres">
      <dgm:prSet presAssocID="{D0E64F52-6BBD-154E-A48F-6018128769D1}" presName="LevelTwoTextNode" presStyleLbl="node4" presStyleIdx="80" presStyleCnt="112" custScaleX="205096" custScaleY="105508" custLinFactNeighborY="-81367">
        <dgm:presLayoutVars>
          <dgm:chPref val="3"/>
        </dgm:presLayoutVars>
      </dgm:prSet>
      <dgm:spPr/>
    </dgm:pt>
    <dgm:pt modelId="{E9E99AD7-4AEE-C645-ACAD-29E09AA33E3D}" type="pres">
      <dgm:prSet presAssocID="{D0E64F52-6BBD-154E-A48F-6018128769D1}" presName="level3hierChild" presStyleCnt="0"/>
      <dgm:spPr/>
    </dgm:pt>
    <dgm:pt modelId="{6D8ABA7C-34CA-564B-91D0-378837BD3C27}" type="pres">
      <dgm:prSet presAssocID="{61968C5B-9626-5549-979C-2C027A3E0A0D}" presName="conn2-1" presStyleLbl="parChTrans1D2" presStyleIdx="1" presStyleCnt="2"/>
      <dgm:spPr/>
    </dgm:pt>
    <dgm:pt modelId="{A2A62C52-6791-3A46-8C80-4090CC3601EE}" type="pres">
      <dgm:prSet presAssocID="{61968C5B-9626-5549-979C-2C027A3E0A0D}" presName="connTx" presStyleLbl="parChTrans1D2" presStyleIdx="1" presStyleCnt="2"/>
      <dgm:spPr/>
    </dgm:pt>
    <dgm:pt modelId="{9260012B-4754-EA44-A563-869783F73CE6}" type="pres">
      <dgm:prSet presAssocID="{C1C78E06-3854-9E4B-85B9-D7F8AECB293B}" presName="root2" presStyleCnt="0"/>
      <dgm:spPr/>
    </dgm:pt>
    <dgm:pt modelId="{9477E5BE-5C6B-DB4C-AE3B-C9B7E4CDBA2C}" type="pres">
      <dgm:prSet presAssocID="{C1C78E06-3854-9E4B-85B9-D7F8AECB293B}" presName="LevelTwoTextNode" presStyleLbl="node2" presStyleIdx="1" presStyleCnt="2" custScaleX="139220" custScaleY="184562">
        <dgm:presLayoutVars>
          <dgm:chPref val="3"/>
        </dgm:presLayoutVars>
      </dgm:prSet>
      <dgm:spPr/>
    </dgm:pt>
    <dgm:pt modelId="{75B1D562-87D5-344E-A386-C731C0166DCC}" type="pres">
      <dgm:prSet presAssocID="{C1C78E06-3854-9E4B-85B9-D7F8AECB293B}" presName="level3hierChild" presStyleCnt="0"/>
      <dgm:spPr/>
    </dgm:pt>
    <dgm:pt modelId="{118CCFA0-49B9-7E4F-BBAA-894B65210A33}" type="pres">
      <dgm:prSet presAssocID="{6B81626C-AAF8-E540-86F3-31F05C4B692B}" presName="conn2-1" presStyleLbl="parChTrans1D3" presStyleIdx="4" presStyleCnt="7"/>
      <dgm:spPr/>
    </dgm:pt>
    <dgm:pt modelId="{B213C8E7-05CA-3A4E-9A99-219F88718C86}" type="pres">
      <dgm:prSet presAssocID="{6B81626C-AAF8-E540-86F3-31F05C4B692B}" presName="connTx" presStyleLbl="parChTrans1D3" presStyleIdx="4" presStyleCnt="7"/>
      <dgm:spPr/>
    </dgm:pt>
    <dgm:pt modelId="{7AD2DEE8-8F4E-ED41-8E7D-107F3E04BBB8}" type="pres">
      <dgm:prSet presAssocID="{45AFB6BE-BE88-4F4A-A2A6-92A47C4A9E18}" presName="root2" presStyleCnt="0"/>
      <dgm:spPr/>
    </dgm:pt>
    <dgm:pt modelId="{96E045CD-A141-3046-BE9D-50FE4C690EB7}" type="pres">
      <dgm:prSet presAssocID="{45AFB6BE-BE88-4F4A-A2A6-92A47C4A9E18}" presName="LevelTwoTextNode" presStyleLbl="node3" presStyleIdx="4" presStyleCnt="7" custScaleX="163137" custScaleY="232671">
        <dgm:presLayoutVars>
          <dgm:chPref val="3"/>
        </dgm:presLayoutVars>
      </dgm:prSet>
      <dgm:spPr/>
    </dgm:pt>
    <dgm:pt modelId="{8A652A6E-7D12-D04A-9970-D049EB5A56C7}" type="pres">
      <dgm:prSet presAssocID="{45AFB6BE-BE88-4F4A-A2A6-92A47C4A9E18}" presName="level3hierChild" presStyleCnt="0"/>
      <dgm:spPr/>
    </dgm:pt>
    <dgm:pt modelId="{4BC010F5-5345-1743-945B-25133BF2B2AA}" type="pres">
      <dgm:prSet presAssocID="{0FC6573B-131D-CD44-9C3E-24C3E52041FD}" presName="conn2-1" presStyleLbl="parChTrans1D4" presStyleIdx="81" presStyleCnt="112"/>
      <dgm:spPr/>
    </dgm:pt>
    <dgm:pt modelId="{2CFB41A3-85B4-8C47-A1DA-E59FDE43E15E}" type="pres">
      <dgm:prSet presAssocID="{0FC6573B-131D-CD44-9C3E-24C3E52041FD}" presName="connTx" presStyleLbl="parChTrans1D4" presStyleIdx="81" presStyleCnt="112"/>
      <dgm:spPr/>
    </dgm:pt>
    <dgm:pt modelId="{1E6B12F1-39C1-2446-8B5B-B7C485EEDF12}" type="pres">
      <dgm:prSet presAssocID="{F4C4F253-F130-3943-A530-582381AE5C9E}" presName="root2" presStyleCnt="0"/>
      <dgm:spPr/>
    </dgm:pt>
    <dgm:pt modelId="{27A15EE9-AB67-114A-93A4-C6321D2FA731}" type="pres">
      <dgm:prSet presAssocID="{F4C4F253-F130-3943-A530-582381AE5C9E}" presName="LevelTwoTextNode" presStyleLbl="node4" presStyleIdx="81" presStyleCnt="112" custScaleX="171682" custScaleY="79888" custLinFactNeighborY="-86284">
        <dgm:presLayoutVars>
          <dgm:chPref val="3"/>
        </dgm:presLayoutVars>
      </dgm:prSet>
      <dgm:spPr/>
    </dgm:pt>
    <dgm:pt modelId="{8AF3835C-AA71-4E41-B31F-D2DFC4FE3206}" type="pres">
      <dgm:prSet presAssocID="{F4C4F253-F130-3943-A530-582381AE5C9E}" presName="level3hierChild" presStyleCnt="0"/>
      <dgm:spPr/>
    </dgm:pt>
    <dgm:pt modelId="{5BACCDA2-ECD6-0745-9EBA-6960D57C6DE7}" type="pres">
      <dgm:prSet presAssocID="{D7C401DE-D614-FC42-BFB7-EF6E3913E2A5}" presName="conn2-1" presStyleLbl="parChTrans1D4" presStyleIdx="82" presStyleCnt="112"/>
      <dgm:spPr/>
    </dgm:pt>
    <dgm:pt modelId="{73F0CE9F-6727-5847-8270-31EB20A9B4D7}" type="pres">
      <dgm:prSet presAssocID="{D7C401DE-D614-FC42-BFB7-EF6E3913E2A5}" presName="connTx" presStyleLbl="parChTrans1D4" presStyleIdx="82" presStyleCnt="112"/>
      <dgm:spPr/>
    </dgm:pt>
    <dgm:pt modelId="{4236D529-1FF2-974E-BFC7-061FFD453664}" type="pres">
      <dgm:prSet presAssocID="{503374F7-5695-3A47-9451-20B424911EE9}" presName="root2" presStyleCnt="0"/>
      <dgm:spPr/>
    </dgm:pt>
    <dgm:pt modelId="{CCD63586-4018-2241-B1D2-F2D3490D8F8D}" type="pres">
      <dgm:prSet presAssocID="{503374F7-5695-3A47-9451-20B424911EE9}" presName="LevelTwoTextNode" presStyleLbl="node4" presStyleIdx="82" presStyleCnt="112" custLinFactNeighborY="-39765">
        <dgm:presLayoutVars>
          <dgm:chPref val="3"/>
        </dgm:presLayoutVars>
      </dgm:prSet>
      <dgm:spPr/>
    </dgm:pt>
    <dgm:pt modelId="{EA4E69C9-3C21-1D49-9776-D2A4E95B9EB0}" type="pres">
      <dgm:prSet presAssocID="{503374F7-5695-3A47-9451-20B424911EE9}" presName="level3hierChild" presStyleCnt="0"/>
      <dgm:spPr/>
    </dgm:pt>
    <dgm:pt modelId="{D95BD48D-F9BF-D047-9985-5EE5A80AE84A}" type="pres">
      <dgm:prSet presAssocID="{7CA08A65-C5A5-304C-8FEC-CA451AC1F6A8}" presName="conn2-1" presStyleLbl="parChTrans1D4" presStyleIdx="83" presStyleCnt="112"/>
      <dgm:spPr/>
    </dgm:pt>
    <dgm:pt modelId="{24F0B331-28D0-AA49-980A-4B2082FA3553}" type="pres">
      <dgm:prSet presAssocID="{7CA08A65-C5A5-304C-8FEC-CA451AC1F6A8}" presName="connTx" presStyleLbl="parChTrans1D4" presStyleIdx="83" presStyleCnt="112"/>
      <dgm:spPr/>
    </dgm:pt>
    <dgm:pt modelId="{4CC621BC-418B-1E4D-BA4B-E3B0DDD698A3}" type="pres">
      <dgm:prSet presAssocID="{76F60B1B-FBAA-6A4B-8EC9-A34487F96944}" presName="root2" presStyleCnt="0"/>
      <dgm:spPr/>
    </dgm:pt>
    <dgm:pt modelId="{DBD12F6F-BA92-4847-B4FB-3A52E420D727}" type="pres">
      <dgm:prSet presAssocID="{76F60B1B-FBAA-6A4B-8EC9-A34487F96944}" presName="LevelTwoTextNode" presStyleLbl="node4" presStyleIdx="83" presStyleCnt="112" custScaleX="247499" custScaleY="57926" custLinFactNeighborY="-31225">
        <dgm:presLayoutVars>
          <dgm:chPref val="3"/>
        </dgm:presLayoutVars>
      </dgm:prSet>
      <dgm:spPr/>
    </dgm:pt>
    <dgm:pt modelId="{9E3F05ED-00EA-714E-812C-25C486C3893E}" type="pres">
      <dgm:prSet presAssocID="{76F60B1B-FBAA-6A4B-8EC9-A34487F96944}" presName="level3hierChild" presStyleCnt="0"/>
      <dgm:spPr/>
    </dgm:pt>
    <dgm:pt modelId="{206A7BBA-80D0-3447-A1D2-04A76361AF49}" type="pres">
      <dgm:prSet presAssocID="{256DD1E6-9C5F-4A47-B075-741002FC2E24}" presName="conn2-1" presStyleLbl="parChTrans1D4" presStyleIdx="84" presStyleCnt="112"/>
      <dgm:spPr/>
    </dgm:pt>
    <dgm:pt modelId="{E4365B71-BCFB-1548-8971-56D3D068268C}" type="pres">
      <dgm:prSet presAssocID="{256DD1E6-9C5F-4A47-B075-741002FC2E24}" presName="connTx" presStyleLbl="parChTrans1D4" presStyleIdx="84" presStyleCnt="112"/>
      <dgm:spPr/>
    </dgm:pt>
    <dgm:pt modelId="{1C3A6B2E-BE42-F046-8BBB-81FA399FF80E}" type="pres">
      <dgm:prSet presAssocID="{1F1E704E-4A18-D947-AAD2-8E29CF870907}" presName="root2" presStyleCnt="0"/>
      <dgm:spPr/>
    </dgm:pt>
    <dgm:pt modelId="{7EC23DDA-FC00-904A-8F3A-240654B49321}" type="pres">
      <dgm:prSet presAssocID="{1F1E704E-4A18-D947-AAD2-8E29CF870907}" presName="LevelTwoTextNode" presStyleLbl="node4" presStyleIdx="84" presStyleCnt="112" custScaleX="254597" custScaleY="33148">
        <dgm:presLayoutVars>
          <dgm:chPref val="3"/>
        </dgm:presLayoutVars>
      </dgm:prSet>
      <dgm:spPr/>
    </dgm:pt>
    <dgm:pt modelId="{D5F69B79-B41F-804F-9028-5E1A7F7EAE9F}" type="pres">
      <dgm:prSet presAssocID="{1F1E704E-4A18-D947-AAD2-8E29CF870907}" presName="level3hierChild" presStyleCnt="0"/>
      <dgm:spPr/>
    </dgm:pt>
    <dgm:pt modelId="{847C0345-E480-784A-8D01-F535DA2844E3}" type="pres">
      <dgm:prSet presAssocID="{0CFAD18A-9B59-BD41-A501-78922340EF39}" presName="conn2-1" presStyleLbl="parChTrans1D4" presStyleIdx="85" presStyleCnt="112"/>
      <dgm:spPr/>
    </dgm:pt>
    <dgm:pt modelId="{E4E6A12E-4F87-DB41-944C-07DB3613ABDA}" type="pres">
      <dgm:prSet presAssocID="{0CFAD18A-9B59-BD41-A501-78922340EF39}" presName="connTx" presStyleLbl="parChTrans1D4" presStyleIdx="85" presStyleCnt="112"/>
      <dgm:spPr/>
    </dgm:pt>
    <dgm:pt modelId="{0383B3C3-D7AE-A84E-9AA4-A099EEAB4778}" type="pres">
      <dgm:prSet presAssocID="{C3B7A7AD-A4AB-4C40-BA12-96056A898322}" presName="root2" presStyleCnt="0"/>
      <dgm:spPr/>
    </dgm:pt>
    <dgm:pt modelId="{0DBB454F-EA32-D841-8B3F-F0405E94E8B3}" type="pres">
      <dgm:prSet presAssocID="{C3B7A7AD-A4AB-4C40-BA12-96056A898322}" presName="LevelTwoTextNode" presStyleLbl="node4" presStyleIdx="85" presStyleCnt="112" custScaleX="223673" custScaleY="47325">
        <dgm:presLayoutVars>
          <dgm:chPref val="3"/>
        </dgm:presLayoutVars>
      </dgm:prSet>
      <dgm:spPr/>
    </dgm:pt>
    <dgm:pt modelId="{7C3595C7-7110-F04F-97E7-FB1AF7D917F7}" type="pres">
      <dgm:prSet presAssocID="{C3B7A7AD-A4AB-4C40-BA12-96056A898322}" presName="level3hierChild" presStyleCnt="0"/>
      <dgm:spPr/>
    </dgm:pt>
    <dgm:pt modelId="{E916A003-B8DA-D943-8EFA-59D49861E2C6}" type="pres">
      <dgm:prSet presAssocID="{CF539ADB-F46F-0545-8DDF-AEA9A0AE2D81}" presName="conn2-1" presStyleLbl="parChTrans1D4" presStyleIdx="86" presStyleCnt="112"/>
      <dgm:spPr/>
    </dgm:pt>
    <dgm:pt modelId="{40577FBC-B833-7E4C-8768-8B6D62BF167B}" type="pres">
      <dgm:prSet presAssocID="{CF539ADB-F46F-0545-8DDF-AEA9A0AE2D81}" presName="connTx" presStyleLbl="parChTrans1D4" presStyleIdx="86" presStyleCnt="112"/>
      <dgm:spPr/>
    </dgm:pt>
    <dgm:pt modelId="{63C8FA95-2BE9-9140-84A7-1C3031FA298A}" type="pres">
      <dgm:prSet presAssocID="{F74CF1F8-9351-0142-B46A-8248FF20C870}" presName="root2" presStyleCnt="0"/>
      <dgm:spPr/>
    </dgm:pt>
    <dgm:pt modelId="{DB6B7C14-FCB2-344D-B9E6-7BD183485379}" type="pres">
      <dgm:prSet presAssocID="{F74CF1F8-9351-0142-B46A-8248FF20C870}" presName="LevelTwoTextNode" presStyleLbl="node4" presStyleIdx="86" presStyleCnt="112" custScaleX="251759" custScaleY="55686">
        <dgm:presLayoutVars>
          <dgm:chPref val="3"/>
        </dgm:presLayoutVars>
      </dgm:prSet>
      <dgm:spPr/>
    </dgm:pt>
    <dgm:pt modelId="{CAE73D74-9F42-9241-B5A1-B6A55900DC84}" type="pres">
      <dgm:prSet presAssocID="{F74CF1F8-9351-0142-B46A-8248FF20C870}" presName="level3hierChild" presStyleCnt="0"/>
      <dgm:spPr/>
    </dgm:pt>
    <dgm:pt modelId="{3691A3F1-876C-C940-8DF8-1F90A81189BD}" type="pres">
      <dgm:prSet presAssocID="{39B3DFDB-E121-714A-8479-7578895DE18E}" presName="conn2-1" presStyleLbl="parChTrans1D4" presStyleIdx="87" presStyleCnt="112"/>
      <dgm:spPr/>
    </dgm:pt>
    <dgm:pt modelId="{76DE1D7B-D1E9-814C-8EDC-E695FD870F82}" type="pres">
      <dgm:prSet presAssocID="{39B3DFDB-E121-714A-8479-7578895DE18E}" presName="connTx" presStyleLbl="parChTrans1D4" presStyleIdx="87" presStyleCnt="112"/>
      <dgm:spPr/>
    </dgm:pt>
    <dgm:pt modelId="{8C566850-C7B1-D345-B3F6-ECFF82DA20D0}" type="pres">
      <dgm:prSet presAssocID="{609584C0-270B-E344-A51C-D63DFD1CEFB4}" presName="root2" presStyleCnt="0"/>
      <dgm:spPr/>
    </dgm:pt>
    <dgm:pt modelId="{26512A1E-D860-8C41-A24B-6073446E2221}" type="pres">
      <dgm:prSet presAssocID="{609584C0-270B-E344-A51C-D63DFD1CEFB4}" presName="LevelTwoTextNode" presStyleLbl="node4" presStyleIdx="87" presStyleCnt="112" custScaleX="184345" custScaleY="90864">
        <dgm:presLayoutVars>
          <dgm:chPref val="3"/>
        </dgm:presLayoutVars>
      </dgm:prSet>
      <dgm:spPr/>
    </dgm:pt>
    <dgm:pt modelId="{C5048726-0DED-7948-813A-A72BFD395E1C}" type="pres">
      <dgm:prSet presAssocID="{609584C0-270B-E344-A51C-D63DFD1CEFB4}" presName="level3hierChild" presStyleCnt="0"/>
      <dgm:spPr/>
    </dgm:pt>
    <dgm:pt modelId="{D2B1DAA6-0034-DA40-8906-9A0E47AD59F3}" type="pres">
      <dgm:prSet presAssocID="{130AA04E-7174-3B47-920E-ACF517AE6962}" presName="conn2-1" presStyleLbl="parChTrans1D4" presStyleIdx="88" presStyleCnt="112"/>
      <dgm:spPr/>
    </dgm:pt>
    <dgm:pt modelId="{A0BE1DB0-D36F-7A4E-9A85-B9C4B0B2798B}" type="pres">
      <dgm:prSet presAssocID="{130AA04E-7174-3B47-920E-ACF517AE6962}" presName="connTx" presStyleLbl="parChTrans1D4" presStyleIdx="88" presStyleCnt="112"/>
      <dgm:spPr/>
    </dgm:pt>
    <dgm:pt modelId="{B02E5805-0ACE-2142-99F4-2A4BADB95CF1}" type="pres">
      <dgm:prSet presAssocID="{D2D77FF5-D454-0447-AFE5-E575F4EBCFA9}" presName="root2" presStyleCnt="0"/>
      <dgm:spPr/>
    </dgm:pt>
    <dgm:pt modelId="{9252F684-13A2-D14C-8E31-0330BB8093B2}" type="pres">
      <dgm:prSet presAssocID="{D2D77FF5-D454-0447-AFE5-E575F4EBCFA9}" presName="LevelTwoTextNode" presStyleLbl="node4" presStyleIdx="88" presStyleCnt="112">
        <dgm:presLayoutVars>
          <dgm:chPref val="3"/>
        </dgm:presLayoutVars>
      </dgm:prSet>
      <dgm:spPr/>
    </dgm:pt>
    <dgm:pt modelId="{3C62CA07-E890-1B41-900C-295EA4FF921A}" type="pres">
      <dgm:prSet presAssocID="{D2D77FF5-D454-0447-AFE5-E575F4EBCFA9}" presName="level3hierChild" presStyleCnt="0"/>
      <dgm:spPr/>
    </dgm:pt>
    <dgm:pt modelId="{04CE80BB-2E45-2C43-B2BA-DBA8FFE5B2E2}" type="pres">
      <dgm:prSet presAssocID="{0B1DD9C5-7D64-F348-A071-17F90474E1DA}" presName="conn2-1" presStyleLbl="parChTrans1D4" presStyleIdx="89" presStyleCnt="112"/>
      <dgm:spPr/>
    </dgm:pt>
    <dgm:pt modelId="{B6A47954-BAA4-0D47-BAC0-494744510805}" type="pres">
      <dgm:prSet presAssocID="{0B1DD9C5-7D64-F348-A071-17F90474E1DA}" presName="connTx" presStyleLbl="parChTrans1D4" presStyleIdx="89" presStyleCnt="112"/>
      <dgm:spPr/>
    </dgm:pt>
    <dgm:pt modelId="{A47C2018-7A31-B24C-BA2F-17DD21554C8F}" type="pres">
      <dgm:prSet presAssocID="{39492DDD-F437-954A-B9B6-07884158C094}" presName="root2" presStyleCnt="0"/>
      <dgm:spPr/>
    </dgm:pt>
    <dgm:pt modelId="{FC4BDBF9-668E-7246-AA1C-75C1FAEC3468}" type="pres">
      <dgm:prSet presAssocID="{39492DDD-F437-954A-B9B6-07884158C094}" presName="LevelTwoTextNode" presStyleLbl="node4" presStyleIdx="89" presStyleCnt="112">
        <dgm:presLayoutVars>
          <dgm:chPref val="3"/>
        </dgm:presLayoutVars>
      </dgm:prSet>
      <dgm:spPr/>
    </dgm:pt>
    <dgm:pt modelId="{2501E258-AFFC-8048-8DA5-ABBF751B24CF}" type="pres">
      <dgm:prSet presAssocID="{39492DDD-F437-954A-B9B6-07884158C094}" presName="level3hierChild" presStyleCnt="0"/>
      <dgm:spPr/>
    </dgm:pt>
    <dgm:pt modelId="{96083FD8-2BD7-1447-A5F7-83348E94070D}" type="pres">
      <dgm:prSet presAssocID="{67DDCC6B-F412-9140-B5DD-FC092A6995B2}" presName="conn2-1" presStyleLbl="parChTrans1D4" presStyleIdx="90" presStyleCnt="112"/>
      <dgm:spPr/>
    </dgm:pt>
    <dgm:pt modelId="{7FD79359-C839-B243-9263-4386387591FB}" type="pres">
      <dgm:prSet presAssocID="{67DDCC6B-F412-9140-B5DD-FC092A6995B2}" presName="connTx" presStyleLbl="parChTrans1D4" presStyleIdx="90" presStyleCnt="112"/>
      <dgm:spPr/>
    </dgm:pt>
    <dgm:pt modelId="{CCAAAE4C-D401-D44C-909C-B74E84E316C3}" type="pres">
      <dgm:prSet presAssocID="{44677CFA-9D35-524D-8C17-EC333DA1DEE9}" presName="root2" presStyleCnt="0"/>
      <dgm:spPr/>
    </dgm:pt>
    <dgm:pt modelId="{898A113D-64E8-2F47-9D63-E12264618225}" type="pres">
      <dgm:prSet presAssocID="{44677CFA-9D35-524D-8C17-EC333DA1DEE9}" presName="LevelTwoTextNode" presStyleLbl="node4" presStyleIdx="90" presStyleCnt="112" custScaleX="265165" custScaleY="78214">
        <dgm:presLayoutVars>
          <dgm:chPref val="3"/>
        </dgm:presLayoutVars>
      </dgm:prSet>
      <dgm:spPr/>
    </dgm:pt>
    <dgm:pt modelId="{A4EBF05A-FC80-494F-91C5-D751A7F6CDC3}" type="pres">
      <dgm:prSet presAssocID="{44677CFA-9D35-524D-8C17-EC333DA1DEE9}" presName="level3hierChild" presStyleCnt="0"/>
      <dgm:spPr/>
    </dgm:pt>
    <dgm:pt modelId="{6F8AB504-61A1-BB4D-BB5A-54996189A86A}" type="pres">
      <dgm:prSet presAssocID="{ADF79796-98C3-9044-B836-E7F813D218C0}" presName="conn2-1" presStyleLbl="parChTrans1D4" presStyleIdx="91" presStyleCnt="112"/>
      <dgm:spPr/>
    </dgm:pt>
    <dgm:pt modelId="{201F682A-2859-2D4D-A0B1-C7E7A60A4AB5}" type="pres">
      <dgm:prSet presAssocID="{ADF79796-98C3-9044-B836-E7F813D218C0}" presName="connTx" presStyleLbl="parChTrans1D4" presStyleIdx="91" presStyleCnt="112"/>
      <dgm:spPr/>
    </dgm:pt>
    <dgm:pt modelId="{41D74C36-A556-4D43-B2A3-8E8B46A905C4}" type="pres">
      <dgm:prSet presAssocID="{6E1E0D0E-7664-D24E-8D1D-EB43333FDD2F}" presName="root2" presStyleCnt="0"/>
      <dgm:spPr/>
    </dgm:pt>
    <dgm:pt modelId="{8163E63B-977A-1C42-ADCF-FC1590064F06}" type="pres">
      <dgm:prSet presAssocID="{6E1E0D0E-7664-D24E-8D1D-EB43333FDD2F}" presName="LevelTwoTextNode" presStyleLbl="node4" presStyleIdx="91" presStyleCnt="112" custScaleX="129291" custScaleY="63748">
        <dgm:presLayoutVars>
          <dgm:chPref val="3"/>
        </dgm:presLayoutVars>
      </dgm:prSet>
      <dgm:spPr/>
    </dgm:pt>
    <dgm:pt modelId="{4E1B544A-B0D1-7C4D-BF4A-25F4567E9DB7}" type="pres">
      <dgm:prSet presAssocID="{6E1E0D0E-7664-D24E-8D1D-EB43333FDD2F}" presName="level3hierChild" presStyleCnt="0"/>
      <dgm:spPr/>
    </dgm:pt>
    <dgm:pt modelId="{5E102A16-85C3-2844-B82E-D80187B1441C}" type="pres">
      <dgm:prSet presAssocID="{0C676C43-3CE7-3849-B995-B9E0A2744C54}" presName="conn2-1" presStyleLbl="parChTrans1D3" presStyleIdx="5" presStyleCnt="7"/>
      <dgm:spPr/>
    </dgm:pt>
    <dgm:pt modelId="{2ABE79AD-AC08-044B-8770-B8A2981428F1}" type="pres">
      <dgm:prSet presAssocID="{0C676C43-3CE7-3849-B995-B9E0A2744C54}" presName="connTx" presStyleLbl="parChTrans1D3" presStyleIdx="5" presStyleCnt="7"/>
      <dgm:spPr/>
    </dgm:pt>
    <dgm:pt modelId="{C085F4AD-F8EA-1645-9C98-7451EA4B4027}" type="pres">
      <dgm:prSet presAssocID="{ED330B24-B5A7-554F-9FB2-6901AD32C6F4}" presName="root2" presStyleCnt="0"/>
      <dgm:spPr/>
    </dgm:pt>
    <dgm:pt modelId="{73B49C13-E2E7-8F46-85DE-D4C0819F2F5D}" type="pres">
      <dgm:prSet presAssocID="{ED330B24-B5A7-554F-9FB2-6901AD32C6F4}" presName="LevelTwoTextNode" presStyleLbl="node3" presStyleIdx="5" presStyleCnt="7" custScaleX="163137" custScaleY="260191">
        <dgm:presLayoutVars>
          <dgm:chPref val="3"/>
        </dgm:presLayoutVars>
      </dgm:prSet>
      <dgm:spPr/>
    </dgm:pt>
    <dgm:pt modelId="{B206F1E2-DFE7-2041-9C46-B3D515C1A274}" type="pres">
      <dgm:prSet presAssocID="{ED330B24-B5A7-554F-9FB2-6901AD32C6F4}" presName="level3hierChild" presStyleCnt="0"/>
      <dgm:spPr/>
    </dgm:pt>
    <dgm:pt modelId="{08A1A81E-7925-ED46-B839-4ADE4F718E06}" type="pres">
      <dgm:prSet presAssocID="{9168A278-8458-2140-A606-0CBD0DCDB97D}" presName="conn2-1" presStyleLbl="parChTrans1D4" presStyleIdx="92" presStyleCnt="112"/>
      <dgm:spPr/>
    </dgm:pt>
    <dgm:pt modelId="{A20FF802-D130-5E4A-A53F-8199468D60AA}" type="pres">
      <dgm:prSet presAssocID="{9168A278-8458-2140-A606-0CBD0DCDB97D}" presName="connTx" presStyleLbl="parChTrans1D4" presStyleIdx="92" presStyleCnt="112"/>
      <dgm:spPr/>
    </dgm:pt>
    <dgm:pt modelId="{C9E0BF5B-E218-E340-B705-CC46ECC42152}" type="pres">
      <dgm:prSet presAssocID="{2CEE116A-C2B0-FB4F-A22D-9EFB8BF56A6D}" presName="root2" presStyleCnt="0"/>
      <dgm:spPr/>
    </dgm:pt>
    <dgm:pt modelId="{C6C92F45-BAA6-E847-9143-7D0625954F22}" type="pres">
      <dgm:prSet presAssocID="{2CEE116A-C2B0-FB4F-A22D-9EFB8BF56A6D}" presName="LevelTwoTextNode" presStyleLbl="node4" presStyleIdx="92" presStyleCnt="112" custScaleY="55318">
        <dgm:presLayoutVars>
          <dgm:chPref val="3"/>
        </dgm:presLayoutVars>
      </dgm:prSet>
      <dgm:spPr/>
    </dgm:pt>
    <dgm:pt modelId="{DFB40977-E591-CB45-9CD5-F33A66765599}" type="pres">
      <dgm:prSet presAssocID="{2CEE116A-C2B0-FB4F-A22D-9EFB8BF56A6D}" presName="level3hierChild" presStyleCnt="0"/>
      <dgm:spPr/>
    </dgm:pt>
    <dgm:pt modelId="{1E9949D8-AAD5-7A4A-84DB-3C91B829980C}" type="pres">
      <dgm:prSet presAssocID="{8661CEAC-DDCE-8240-9A52-6E282780256E}" presName="conn2-1" presStyleLbl="parChTrans1D4" presStyleIdx="93" presStyleCnt="112"/>
      <dgm:spPr/>
    </dgm:pt>
    <dgm:pt modelId="{62803B6D-367E-FD49-BC56-07D3CA6D9828}" type="pres">
      <dgm:prSet presAssocID="{8661CEAC-DDCE-8240-9A52-6E282780256E}" presName="connTx" presStyleLbl="parChTrans1D4" presStyleIdx="93" presStyleCnt="112"/>
      <dgm:spPr/>
    </dgm:pt>
    <dgm:pt modelId="{B493F9B5-DF2B-4A49-8830-6DBD525ADC97}" type="pres">
      <dgm:prSet presAssocID="{E585E011-749E-2847-9BA8-02EC21433FA9}" presName="root2" presStyleCnt="0"/>
      <dgm:spPr/>
    </dgm:pt>
    <dgm:pt modelId="{4913396E-555E-064B-B8A2-6AD647F91C6A}" type="pres">
      <dgm:prSet presAssocID="{E585E011-749E-2847-9BA8-02EC21433FA9}" presName="LevelTwoTextNode" presStyleLbl="node4" presStyleIdx="93" presStyleCnt="112" custScaleX="171567" custScaleY="32690">
        <dgm:presLayoutVars>
          <dgm:chPref val="3"/>
        </dgm:presLayoutVars>
      </dgm:prSet>
      <dgm:spPr/>
    </dgm:pt>
    <dgm:pt modelId="{B3AA3A29-EB1B-2443-A514-D07165343FAB}" type="pres">
      <dgm:prSet presAssocID="{E585E011-749E-2847-9BA8-02EC21433FA9}" presName="level3hierChild" presStyleCnt="0"/>
      <dgm:spPr/>
    </dgm:pt>
    <dgm:pt modelId="{5E9C6BFD-8508-A147-9725-B6850B137120}" type="pres">
      <dgm:prSet presAssocID="{5240AF7F-7F69-F04E-99DE-E3467E8B449D}" presName="conn2-1" presStyleLbl="parChTrans1D4" presStyleIdx="94" presStyleCnt="112"/>
      <dgm:spPr/>
    </dgm:pt>
    <dgm:pt modelId="{BAE33109-B1B8-9348-939C-92A73B30FE78}" type="pres">
      <dgm:prSet presAssocID="{5240AF7F-7F69-F04E-99DE-E3467E8B449D}" presName="connTx" presStyleLbl="parChTrans1D4" presStyleIdx="94" presStyleCnt="112"/>
      <dgm:spPr/>
    </dgm:pt>
    <dgm:pt modelId="{7B657323-D79B-F44F-B734-0A25BE918FE1}" type="pres">
      <dgm:prSet presAssocID="{91EA14B2-3C44-AB4D-86A7-EF34D3932576}" presName="root2" presStyleCnt="0"/>
      <dgm:spPr/>
    </dgm:pt>
    <dgm:pt modelId="{815A5564-4766-2B49-9CEE-95C61A3E344F}" type="pres">
      <dgm:prSet presAssocID="{91EA14B2-3C44-AB4D-86A7-EF34D3932576}" presName="LevelTwoTextNode" presStyleLbl="node4" presStyleIdx="94" presStyleCnt="112" custScaleX="250614" custScaleY="73808">
        <dgm:presLayoutVars>
          <dgm:chPref val="3"/>
        </dgm:presLayoutVars>
      </dgm:prSet>
      <dgm:spPr/>
    </dgm:pt>
    <dgm:pt modelId="{D8BF8F25-50BB-624B-93DE-6B823A0B371E}" type="pres">
      <dgm:prSet presAssocID="{91EA14B2-3C44-AB4D-86A7-EF34D3932576}" presName="level3hierChild" presStyleCnt="0"/>
      <dgm:spPr/>
    </dgm:pt>
    <dgm:pt modelId="{0551646A-D616-2B4C-9DA3-9A73B8BF6D58}" type="pres">
      <dgm:prSet presAssocID="{C7CEB2E6-188D-134A-AAA7-ACAB3DD08A50}" presName="conn2-1" presStyleLbl="parChTrans1D4" presStyleIdx="95" presStyleCnt="112"/>
      <dgm:spPr/>
    </dgm:pt>
    <dgm:pt modelId="{41BF4A0D-BBB9-B34F-82E2-1DD836653DD2}" type="pres">
      <dgm:prSet presAssocID="{C7CEB2E6-188D-134A-AAA7-ACAB3DD08A50}" presName="connTx" presStyleLbl="parChTrans1D4" presStyleIdx="95" presStyleCnt="112"/>
      <dgm:spPr/>
    </dgm:pt>
    <dgm:pt modelId="{2B3CCDA6-6B15-334F-84A7-A846DE7118CF}" type="pres">
      <dgm:prSet presAssocID="{C9BD6FF7-5F9D-2E4F-8EED-9BF2F76726B8}" presName="root2" presStyleCnt="0"/>
      <dgm:spPr/>
    </dgm:pt>
    <dgm:pt modelId="{92A54882-3F68-4549-80DA-DB37FFB6776D}" type="pres">
      <dgm:prSet presAssocID="{C9BD6FF7-5F9D-2E4F-8EED-9BF2F76726B8}" presName="LevelTwoTextNode" presStyleLbl="node4" presStyleIdx="95" presStyleCnt="112" custScaleX="238402" custScaleY="32239">
        <dgm:presLayoutVars>
          <dgm:chPref val="3"/>
        </dgm:presLayoutVars>
      </dgm:prSet>
      <dgm:spPr/>
    </dgm:pt>
    <dgm:pt modelId="{4D574683-5F00-DD40-AF2D-AB4C1DAD2E50}" type="pres">
      <dgm:prSet presAssocID="{C9BD6FF7-5F9D-2E4F-8EED-9BF2F76726B8}" presName="level3hierChild" presStyleCnt="0"/>
      <dgm:spPr/>
    </dgm:pt>
    <dgm:pt modelId="{9EE43694-665C-3544-BFFA-D78EA0C55765}" type="pres">
      <dgm:prSet presAssocID="{14C2785F-9376-5A44-9257-401BB89E90DD}" presName="conn2-1" presStyleLbl="parChTrans1D4" presStyleIdx="96" presStyleCnt="112"/>
      <dgm:spPr/>
    </dgm:pt>
    <dgm:pt modelId="{5B708126-B3AA-EC4D-8BD8-ED68BF79E2F0}" type="pres">
      <dgm:prSet presAssocID="{14C2785F-9376-5A44-9257-401BB89E90DD}" presName="connTx" presStyleLbl="parChTrans1D4" presStyleIdx="96" presStyleCnt="112"/>
      <dgm:spPr/>
    </dgm:pt>
    <dgm:pt modelId="{C207BC16-EE86-8C41-9369-66E1708395E5}" type="pres">
      <dgm:prSet presAssocID="{DBEEDA1E-AE59-3142-8BE1-76DA4A72D349}" presName="root2" presStyleCnt="0"/>
      <dgm:spPr/>
    </dgm:pt>
    <dgm:pt modelId="{B4B2E633-F66B-E345-9112-598CC5E510F3}" type="pres">
      <dgm:prSet presAssocID="{DBEEDA1E-AE59-3142-8BE1-76DA4A72D349}" presName="LevelTwoTextNode" presStyleLbl="node4" presStyleIdx="96" presStyleCnt="112" custScaleX="235342" custScaleY="32099">
        <dgm:presLayoutVars>
          <dgm:chPref val="3"/>
        </dgm:presLayoutVars>
      </dgm:prSet>
      <dgm:spPr/>
    </dgm:pt>
    <dgm:pt modelId="{5F072CEC-1591-2E40-96DD-8A054609A431}" type="pres">
      <dgm:prSet presAssocID="{DBEEDA1E-AE59-3142-8BE1-76DA4A72D349}" presName="level3hierChild" presStyleCnt="0"/>
      <dgm:spPr/>
    </dgm:pt>
    <dgm:pt modelId="{E212E2FD-A1EF-514C-B31D-1D2D24E2EEAC}" type="pres">
      <dgm:prSet presAssocID="{E262E2A4-48BD-3245-A200-C4817BB32381}" presName="conn2-1" presStyleLbl="parChTrans1D4" presStyleIdx="97" presStyleCnt="112"/>
      <dgm:spPr/>
    </dgm:pt>
    <dgm:pt modelId="{E6CDAE7E-1A78-C344-9C41-01F15E01D6CC}" type="pres">
      <dgm:prSet presAssocID="{E262E2A4-48BD-3245-A200-C4817BB32381}" presName="connTx" presStyleLbl="parChTrans1D4" presStyleIdx="97" presStyleCnt="112"/>
      <dgm:spPr/>
    </dgm:pt>
    <dgm:pt modelId="{A6758DD7-C28F-874E-BB16-77C5052F186D}" type="pres">
      <dgm:prSet presAssocID="{C6A86FE2-3D63-0848-A639-871E1FBF99E4}" presName="root2" presStyleCnt="0"/>
      <dgm:spPr/>
    </dgm:pt>
    <dgm:pt modelId="{8C1A1D3C-E83B-E34D-96D8-ED3697561054}" type="pres">
      <dgm:prSet presAssocID="{C6A86FE2-3D63-0848-A639-871E1FBF99E4}" presName="LevelTwoTextNode" presStyleLbl="node4" presStyleIdx="97" presStyleCnt="112">
        <dgm:presLayoutVars>
          <dgm:chPref val="3"/>
        </dgm:presLayoutVars>
      </dgm:prSet>
      <dgm:spPr/>
    </dgm:pt>
    <dgm:pt modelId="{A66C6893-3F96-1346-AB14-4E4D7FFBE09D}" type="pres">
      <dgm:prSet presAssocID="{C6A86FE2-3D63-0848-A639-871E1FBF99E4}" presName="level3hierChild" presStyleCnt="0"/>
      <dgm:spPr/>
    </dgm:pt>
    <dgm:pt modelId="{A8A05613-88F7-154E-B671-11B6BE545A84}" type="pres">
      <dgm:prSet presAssocID="{FD09F26D-F091-B84B-AE12-3437950B56C1}" presName="conn2-1" presStyleLbl="parChTrans1D4" presStyleIdx="98" presStyleCnt="112"/>
      <dgm:spPr/>
    </dgm:pt>
    <dgm:pt modelId="{25D8123B-2A9C-2945-9832-E07AA0EAD92A}" type="pres">
      <dgm:prSet presAssocID="{FD09F26D-F091-B84B-AE12-3437950B56C1}" presName="connTx" presStyleLbl="parChTrans1D4" presStyleIdx="98" presStyleCnt="112"/>
      <dgm:spPr/>
    </dgm:pt>
    <dgm:pt modelId="{F140B2E4-7273-694B-84CB-44E1BC6C7541}" type="pres">
      <dgm:prSet presAssocID="{554E6D68-BCF1-244D-8331-A818B2ADCEE5}" presName="root2" presStyleCnt="0"/>
      <dgm:spPr/>
    </dgm:pt>
    <dgm:pt modelId="{BA17F2D1-5426-B446-8E2C-AF27B8375FB3}" type="pres">
      <dgm:prSet presAssocID="{554E6D68-BCF1-244D-8331-A818B2ADCEE5}" presName="LevelTwoTextNode" presStyleLbl="node4" presStyleIdx="98" presStyleCnt="112" custScaleX="173359" custScaleY="106989">
        <dgm:presLayoutVars>
          <dgm:chPref val="3"/>
        </dgm:presLayoutVars>
      </dgm:prSet>
      <dgm:spPr/>
    </dgm:pt>
    <dgm:pt modelId="{2D0BB24D-D4D3-EE4A-B24F-D1D43C4BD9A9}" type="pres">
      <dgm:prSet presAssocID="{554E6D68-BCF1-244D-8331-A818B2ADCEE5}" presName="level3hierChild" presStyleCnt="0"/>
      <dgm:spPr/>
    </dgm:pt>
    <dgm:pt modelId="{24A92763-5368-0F4B-B5C0-5C76585B13D7}" type="pres">
      <dgm:prSet presAssocID="{A93FBB74-0104-1544-AA6B-8BEC8B304071}" presName="conn2-1" presStyleLbl="parChTrans1D4" presStyleIdx="99" presStyleCnt="112"/>
      <dgm:spPr/>
    </dgm:pt>
    <dgm:pt modelId="{35817B11-A55D-6E45-8D2B-2ADEE8D74C36}" type="pres">
      <dgm:prSet presAssocID="{A93FBB74-0104-1544-AA6B-8BEC8B304071}" presName="connTx" presStyleLbl="parChTrans1D4" presStyleIdx="99" presStyleCnt="112"/>
      <dgm:spPr/>
    </dgm:pt>
    <dgm:pt modelId="{A9FDFED8-5091-7645-A2BA-8DD90BF90ADB}" type="pres">
      <dgm:prSet presAssocID="{CF8E0617-0605-F640-8EB5-8A7D22C45C06}" presName="root2" presStyleCnt="0"/>
      <dgm:spPr/>
    </dgm:pt>
    <dgm:pt modelId="{D623AC6D-EE58-104F-AD58-3D8D264A0217}" type="pres">
      <dgm:prSet presAssocID="{CF8E0617-0605-F640-8EB5-8A7D22C45C06}" presName="LevelTwoTextNode" presStyleLbl="node4" presStyleIdx="99" presStyleCnt="112" custAng="10800000" custFlipVert="1" custScaleX="302941" custScaleY="60330">
        <dgm:presLayoutVars>
          <dgm:chPref val="3"/>
        </dgm:presLayoutVars>
      </dgm:prSet>
      <dgm:spPr/>
    </dgm:pt>
    <dgm:pt modelId="{854B54DF-9E0D-FC43-812E-AEE8E53030A8}" type="pres">
      <dgm:prSet presAssocID="{CF8E0617-0605-F640-8EB5-8A7D22C45C06}" presName="level3hierChild" presStyleCnt="0"/>
      <dgm:spPr/>
    </dgm:pt>
    <dgm:pt modelId="{53EF34BE-061B-9C40-8F85-AFF86EB2D3C2}" type="pres">
      <dgm:prSet presAssocID="{4E3925ED-35EC-344E-9E73-B02240570459}" presName="conn2-1" presStyleLbl="parChTrans1D4" presStyleIdx="100" presStyleCnt="112"/>
      <dgm:spPr/>
    </dgm:pt>
    <dgm:pt modelId="{BEB20919-8988-3E4E-8937-0236021A964B}" type="pres">
      <dgm:prSet presAssocID="{4E3925ED-35EC-344E-9E73-B02240570459}" presName="connTx" presStyleLbl="parChTrans1D4" presStyleIdx="100" presStyleCnt="112"/>
      <dgm:spPr/>
    </dgm:pt>
    <dgm:pt modelId="{D44787FC-E4CA-5A41-8DF0-E22F301954E3}" type="pres">
      <dgm:prSet presAssocID="{6EA6FEFC-2D52-A64F-B896-B184637D7808}" presName="root2" presStyleCnt="0"/>
      <dgm:spPr/>
    </dgm:pt>
    <dgm:pt modelId="{066B16B2-DBCC-9143-BCE5-DD8FCA530BAC}" type="pres">
      <dgm:prSet presAssocID="{6EA6FEFC-2D52-A64F-B896-B184637D7808}" presName="LevelTwoTextNode" presStyleLbl="node4" presStyleIdx="100" presStyleCnt="112" custAng="10800000" custFlipVert="1" custScaleX="226729" custScaleY="31890">
        <dgm:presLayoutVars>
          <dgm:chPref val="3"/>
        </dgm:presLayoutVars>
      </dgm:prSet>
      <dgm:spPr/>
    </dgm:pt>
    <dgm:pt modelId="{C14A6559-68D4-F040-9FAD-A47C6FA790DC}" type="pres">
      <dgm:prSet presAssocID="{6EA6FEFC-2D52-A64F-B896-B184637D7808}" presName="level3hierChild" presStyleCnt="0"/>
      <dgm:spPr/>
    </dgm:pt>
    <dgm:pt modelId="{3550B190-9B5A-7B42-991C-BF73C50113E5}" type="pres">
      <dgm:prSet presAssocID="{6EA462CB-B5C2-114D-A64C-C78FCD3B2F3A}" presName="conn2-1" presStyleLbl="parChTrans1D4" presStyleIdx="101" presStyleCnt="112"/>
      <dgm:spPr/>
    </dgm:pt>
    <dgm:pt modelId="{A4F53A4E-2E30-A34A-B0E6-85FD720F52C4}" type="pres">
      <dgm:prSet presAssocID="{6EA462CB-B5C2-114D-A64C-C78FCD3B2F3A}" presName="connTx" presStyleLbl="parChTrans1D4" presStyleIdx="101" presStyleCnt="112"/>
      <dgm:spPr/>
    </dgm:pt>
    <dgm:pt modelId="{18A58E09-28DC-5842-B96A-E4FFCBEFFC88}" type="pres">
      <dgm:prSet presAssocID="{9D731453-6A92-6948-914D-60DCD37102AC}" presName="root2" presStyleCnt="0"/>
      <dgm:spPr/>
    </dgm:pt>
    <dgm:pt modelId="{2470EF1E-7C4A-7E41-A644-AC6C0F8C9152}" type="pres">
      <dgm:prSet presAssocID="{9D731453-6A92-6948-914D-60DCD37102AC}" presName="LevelTwoTextNode" presStyleLbl="node4" presStyleIdx="101" presStyleCnt="112">
        <dgm:presLayoutVars>
          <dgm:chPref val="3"/>
        </dgm:presLayoutVars>
      </dgm:prSet>
      <dgm:spPr/>
    </dgm:pt>
    <dgm:pt modelId="{3030BF48-3A69-0D47-8597-7D836C43FAE4}" type="pres">
      <dgm:prSet presAssocID="{9D731453-6A92-6948-914D-60DCD37102AC}" presName="level3hierChild" presStyleCnt="0"/>
      <dgm:spPr/>
    </dgm:pt>
    <dgm:pt modelId="{BE32E900-C34C-2042-82AB-ABDA2B534CE6}" type="pres">
      <dgm:prSet presAssocID="{04451D86-D108-734B-B014-DF5F9FADCDE3}" presName="conn2-1" presStyleLbl="parChTrans1D4" presStyleIdx="102" presStyleCnt="112"/>
      <dgm:spPr/>
    </dgm:pt>
    <dgm:pt modelId="{AE37BC39-F713-6444-93BC-219EDF88956F}" type="pres">
      <dgm:prSet presAssocID="{04451D86-D108-734B-B014-DF5F9FADCDE3}" presName="connTx" presStyleLbl="parChTrans1D4" presStyleIdx="102" presStyleCnt="112"/>
      <dgm:spPr/>
    </dgm:pt>
    <dgm:pt modelId="{0D582056-2C3C-5D4F-9056-8BD207BCDDBA}" type="pres">
      <dgm:prSet presAssocID="{FD6773F0-9BCE-3E48-80DE-EB48125E502C}" presName="root2" presStyleCnt="0"/>
      <dgm:spPr/>
    </dgm:pt>
    <dgm:pt modelId="{A5BA44B3-33E0-5146-929B-3A13D6A1CC1B}" type="pres">
      <dgm:prSet presAssocID="{FD6773F0-9BCE-3E48-80DE-EB48125E502C}" presName="LevelTwoTextNode" presStyleLbl="node4" presStyleIdx="102" presStyleCnt="112" custScaleX="171567" custScaleY="80106">
        <dgm:presLayoutVars>
          <dgm:chPref val="3"/>
        </dgm:presLayoutVars>
      </dgm:prSet>
      <dgm:spPr/>
    </dgm:pt>
    <dgm:pt modelId="{7021103C-6E75-014A-9591-5B2598DCD720}" type="pres">
      <dgm:prSet presAssocID="{FD6773F0-9BCE-3E48-80DE-EB48125E502C}" presName="level3hierChild" presStyleCnt="0"/>
      <dgm:spPr/>
    </dgm:pt>
    <dgm:pt modelId="{FA8A6937-E6C5-C448-A4A3-6498A102B45E}" type="pres">
      <dgm:prSet presAssocID="{AE5E2D3C-297F-3145-A4FC-F6E9C7F6EDF1}" presName="conn2-1" presStyleLbl="parChTrans1D4" presStyleIdx="103" presStyleCnt="112"/>
      <dgm:spPr/>
    </dgm:pt>
    <dgm:pt modelId="{2F54A078-12A4-1F44-A8E6-FECCBA4A678E}" type="pres">
      <dgm:prSet presAssocID="{AE5E2D3C-297F-3145-A4FC-F6E9C7F6EDF1}" presName="connTx" presStyleLbl="parChTrans1D4" presStyleIdx="103" presStyleCnt="112"/>
      <dgm:spPr/>
    </dgm:pt>
    <dgm:pt modelId="{B9BFBF63-C600-EE4A-A28F-56C56E5FFC83}" type="pres">
      <dgm:prSet presAssocID="{C7B5D33B-3CB8-0A41-9CDA-AACCFD291ACE}" presName="root2" presStyleCnt="0"/>
      <dgm:spPr/>
    </dgm:pt>
    <dgm:pt modelId="{F63AB57E-E033-3D43-8D3E-33EA47B0715E}" type="pres">
      <dgm:prSet presAssocID="{C7B5D33B-3CB8-0A41-9CDA-AACCFD291ACE}" presName="LevelTwoTextNode" presStyleLbl="node4" presStyleIdx="103" presStyleCnt="112" custScaleX="242592" custScaleY="79991">
        <dgm:presLayoutVars>
          <dgm:chPref val="3"/>
        </dgm:presLayoutVars>
      </dgm:prSet>
      <dgm:spPr/>
    </dgm:pt>
    <dgm:pt modelId="{846BD4C6-5DAA-7046-B7B0-B4D4A4070626}" type="pres">
      <dgm:prSet presAssocID="{C7B5D33B-3CB8-0A41-9CDA-AACCFD291ACE}" presName="level3hierChild" presStyleCnt="0"/>
      <dgm:spPr/>
    </dgm:pt>
    <dgm:pt modelId="{D614AB8D-3529-0648-8ADF-6EE280E19378}" type="pres">
      <dgm:prSet presAssocID="{61CF34B7-C6D7-324B-AEDC-16AC8D42D3B8}" presName="conn2-1" presStyleLbl="parChTrans1D4" presStyleIdx="104" presStyleCnt="112"/>
      <dgm:spPr/>
    </dgm:pt>
    <dgm:pt modelId="{80C47BB5-FCBC-434A-AA3C-F7403E3CA06F}" type="pres">
      <dgm:prSet presAssocID="{61CF34B7-C6D7-324B-AEDC-16AC8D42D3B8}" presName="connTx" presStyleLbl="parChTrans1D4" presStyleIdx="104" presStyleCnt="112"/>
      <dgm:spPr/>
    </dgm:pt>
    <dgm:pt modelId="{D0A4F96B-F82B-6C47-B686-8B2BD2225863}" type="pres">
      <dgm:prSet presAssocID="{7FAF9F45-1D3E-A048-9226-66EA585C253A}" presName="root2" presStyleCnt="0"/>
      <dgm:spPr/>
    </dgm:pt>
    <dgm:pt modelId="{00C50B97-1E7B-5A42-A95E-F84FD0CB4654}" type="pres">
      <dgm:prSet presAssocID="{7FAF9F45-1D3E-A048-9226-66EA585C253A}" presName="LevelTwoTextNode" presStyleLbl="node4" presStyleIdx="104" presStyleCnt="112" custScaleX="295107" custScaleY="46770">
        <dgm:presLayoutVars>
          <dgm:chPref val="3"/>
        </dgm:presLayoutVars>
      </dgm:prSet>
      <dgm:spPr/>
    </dgm:pt>
    <dgm:pt modelId="{508C55F5-2601-4F4D-9D58-D69EF27A58B5}" type="pres">
      <dgm:prSet presAssocID="{7FAF9F45-1D3E-A048-9226-66EA585C253A}" presName="level3hierChild" presStyleCnt="0"/>
      <dgm:spPr/>
    </dgm:pt>
    <dgm:pt modelId="{CDBA331F-CF21-C74B-B979-856B54774B1F}" type="pres">
      <dgm:prSet presAssocID="{4CA883E9-A589-9C4D-AF6A-1B2B7353DD72}" presName="conn2-1" presStyleLbl="parChTrans1D4" presStyleIdx="105" presStyleCnt="112"/>
      <dgm:spPr/>
    </dgm:pt>
    <dgm:pt modelId="{EE058887-40B9-5044-8DFD-FA0F62275D11}" type="pres">
      <dgm:prSet presAssocID="{4CA883E9-A589-9C4D-AF6A-1B2B7353DD72}" presName="connTx" presStyleLbl="parChTrans1D4" presStyleIdx="105" presStyleCnt="112"/>
      <dgm:spPr/>
    </dgm:pt>
    <dgm:pt modelId="{85DDB8F3-FF81-7E4B-8CA9-D842D468B361}" type="pres">
      <dgm:prSet presAssocID="{923A9475-6506-8745-8225-B620DCE862CC}" presName="root2" presStyleCnt="0"/>
      <dgm:spPr/>
    </dgm:pt>
    <dgm:pt modelId="{46E9C41F-A492-7549-A87F-A338D127D06E}" type="pres">
      <dgm:prSet presAssocID="{923A9475-6506-8745-8225-B620DCE862CC}" presName="LevelTwoTextNode" presStyleLbl="node4" presStyleIdx="105" presStyleCnt="112" custScaleX="262187" custScaleY="68716">
        <dgm:presLayoutVars>
          <dgm:chPref val="3"/>
        </dgm:presLayoutVars>
      </dgm:prSet>
      <dgm:spPr/>
    </dgm:pt>
    <dgm:pt modelId="{6CFD66B4-4CEF-C24E-8060-B9BDF0BDB6CC}" type="pres">
      <dgm:prSet presAssocID="{923A9475-6506-8745-8225-B620DCE862CC}" presName="level3hierChild" presStyleCnt="0"/>
      <dgm:spPr/>
    </dgm:pt>
    <dgm:pt modelId="{ACE46D27-510D-C143-96AF-FF7321C560C9}" type="pres">
      <dgm:prSet presAssocID="{D020DCE5-AEE2-8D40-AD1B-8C30241F1226}" presName="conn2-1" presStyleLbl="parChTrans1D3" presStyleIdx="6" presStyleCnt="7"/>
      <dgm:spPr/>
    </dgm:pt>
    <dgm:pt modelId="{135C2B86-9D24-4542-8ED4-4D33790327BA}" type="pres">
      <dgm:prSet presAssocID="{D020DCE5-AEE2-8D40-AD1B-8C30241F1226}" presName="connTx" presStyleLbl="parChTrans1D3" presStyleIdx="6" presStyleCnt="7"/>
      <dgm:spPr/>
    </dgm:pt>
    <dgm:pt modelId="{1A3A3CDA-8E93-3B4E-8022-2554D210F1F0}" type="pres">
      <dgm:prSet presAssocID="{83A64605-84C0-F346-82CC-E7A523E0D725}" presName="root2" presStyleCnt="0"/>
      <dgm:spPr/>
    </dgm:pt>
    <dgm:pt modelId="{A1BAFA46-49BD-6D48-945F-C3168502DFC5}" type="pres">
      <dgm:prSet presAssocID="{83A64605-84C0-F346-82CC-E7A523E0D725}" presName="LevelTwoTextNode" presStyleLbl="node3" presStyleIdx="6" presStyleCnt="7" custScaleX="178374" custScaleY="114082">
        <dgm:presLayoutVars>
          <dgm:chPref val="3"/>
        </dgm:presLayoutVars>
      </dgm:prSet>
      <dgm:spPr/>
    </dgm:pt>
    <dgm:pt modelId="{19FA6FEB-4725-7E4A-9166-887F8B5FE892}" type="pres">
      <dgm:prSet presAssocID="{83A64605-84C0-F346-82CC-E7A523E0D725}" presName="level3hierChild" presStyleCnt="0"/>
      <dgm:spPr/>
    </dgm:pt>
    <dgm:pt modelId="{57A4396C-3FFA-D44E-BDD8-48615AC672A8}" type="pres">
      <dgm:prSet presAssocID="{8E6E2603-C29F-6144-9D2F-ADD2AFF6DA9E}" presName="conn2-1" presStyleLbl="parChTrans1D4" presStyleIdx="106" presStyleCnt="112"/>
      <dgm:spPr/>
    </dgm:pt>
    <dgm:pt modelId="{075A6715-FD53-1846-BD23-053AA0DC3980}" type="pres">
      <dgm:prSet presAssocID="{8E6E2603-C29F-6144-9D2F-ADD2AFF6DA9E}" presName="connTx" presStyleLbl="parChTrans1D4" presStyleIdx="106" presStyleCnt="112"/>
      <dgm:spPr/>
    </dgm:pt>
    <dgm:pt modelId="{523863B0-B196-8744-9227-4AA62FC51AAE}" type="pres">
      <dgm:prSet presAssocID="{9F0AB3BF-1C99-7940-BE29-C02971259FC9}" presName="root2" presStyleCnt="0"/>
      <dgm:spPr/>
    </dgm:pt>
    <dgm:pt modelId="{C1152C6A-BF5E-4A4D-A0BB-F1A1982DB359}" type="pres">
      <dgm:prSet presAssocID="{9F0AB3BF-1C99-7940-BE29-C02971259FC9}" presName="LevelTwoTextNode" presStyleLbl="node4" presStyleIdx="106" presStyleCnt="112" custAng="10800000" custFlipVert="1" custScaleX="421094" custScaleY="69608">
        <dgm:presLayoutVars>
          <dgm:chPref val="3"/>
        </dgm:presLayoutVars>
      </dgm:prSet>
      <dgm:spPr/>
    </dgm:pt>
    <dgm:pt modelId="{4E6A66B9-0987-EE47-974A-009A96A71DCF}" type="pres">
      <dgm:prSet presAssocID="{9F0AB3BF-1C99-7940-BE29-C02971259FC9}" presName="level3hierChild" presStyleCnt="0"/>
      <dgm:spPr/>
    </dgm:pt>
    <dgm:pt modelId="{0C4172C7-9DB4-914D-A276-C13BEB1A600A}" type="pres">
      <dgm:prSet presAssocID="{31F14C31-81E3-9D41-B00D-FBC8909D77F8}" presName="conn2-1" presStyleLbl="parChTrans1D4" presStyleIdx="107" presStyleCnt="112"/>
      <dgm:spPr/>
    </dgm:pt>
    <dgm:pt modelId="{4A27A813-107C-A041-8813-708FF1B22E93}" type="pres">
      <dgm:prSet presAssocID="{31F14C31-81E3-9D41-B00D-FBC8909D77F8}" presName="connTx" presStyleLbl="parChTrans1D4" presStyleIdx="107" presStyleCnt="112"/>
      <dgm:spPr/>
    </dgm:pt>
    <dgm:pt modelId="{0F0BC325-C183-7342-A15D-0C8521FEA9E7}" type="pres">
      <dgm:prSet presAssocID="{3437A338-FBB4-E841-B048-9CC47C975E56}" presName="root2" presStyleCnt="0"/>
      <dgm:spPr/>
    </dgm:pt>
    <dgm:pt modelId="{F320D9D0-7F01-1548-965D-40EF486C7BBC}" type="pres">
      <dgm:prSet presAssocID="{3437A338-FBB4-E841-B048-9CC47C975E56}" presName="LevelTwoTextNode" presStyleLbl="node4" presStyleIdx="107" presStyleCnt="112" custScaleX="359324" custScaleY="89736">
        <dgm:presLayoutVars>
          <dgm:chPref val="3"/>
        </dgm:presLayoutVars>
      </dgm:prSet>
      <dgm:spPr/>
    </dgm:pt>
    <dgm:pt modelId="{279B2093-705D-DE41-AF49-00F7C19912BE}" type="pres">
      <dgm:prSet presAssocID="{3437A338-FBB4-E841-B048-9CC47C975E56}" presName="level3hierChild" presStyleCnt="0"/>
      <dgm:spPr/>
    </dgm:pt>
    <dgm:pt modelId="{4553EEA1-A8A8-7440-88DC-11EE28F2572D}" type="pres">
      <dgm:prSet presAssocID="{1D6FA156-AEBD-BB4A-A989-16DABA880798}" presName="conn2-1" presStyleLbl="parChTrans1D4" presStyleIdx="108" presStyleCnt="112"/>
      <dgm:spPr/>
    </dgm:pt>
    <dgm:pt modelId="{927D58C8-F53E-2D45-8F53-384800B18F4D}" type="pres">
      <dgm:prSet presAssocID="{1D6FA156-AEBD-BB4A-A989-16DABA880798}" presName="connTx" presStyleLbl="parChTrans1D4" presStyleIdx="108" presStyleCnt="112"/>
      <dgm:spPr/>
    </dgm:pt>
    <dgm:pt modelId="{BB5A601B-9F88-6446-BC76-9039D456017C}" type="pres">
      <dgm:prSet presAssocID="{BE67E905-6809-804A-9B96-F54E3CCC63FD}" presName="root2" presStyleCnt="0"/>
      <dgm:spPr/>
    </dgm:pt>
    <dgm:pt modelId="{989B0A97-4446-D448-A9AF-54FECBDCBC30}" type="pres">
      <dgm:prSet presAssocID="{BE67E905-6809-804A-9B96-F54E3CCC63FD}" presName="LevelTwoTextNode" presStyleLbl="node4" presStyleIdx="108" presStyleCnt="112" custScaleX="301913" custScaleY="46384">
        <dgm:presLayoutVars>
          <dgm:chPref val="3"/>
        </dgm:presLayoutVars>
      </dgm:prSet>
      <dgm:spPr/>
    </dgm:pt>
    <dgm:pt modelId="{1527CD4F-6D8F-1349-B497-B33AA440B1C4}" type="pres">
      <dgm:prSet presAssocID="{BE67E905-6809-804A-9B96-F54E3CCC63FD}" presName="level3hierChild" presStyleCnt="0"/>
      <dgm:spPr/>
    </dgm:pt>
    <dgm:pt modelId="{E27105C7-7281-C64A-9831-AAAB61B940CE}" type="pres">
      <dgm:prSet presAssocID="{542D81B7-98CF-4442-ABB4-3891BFF2BD56}" presName="conn2-1" presStyleLbl="parChTrans1D4" presStyleIdx="109" presStyleCnt="112"/>
      <dgm:spPr/>
    </dgm:pt>
    <dgm:pt modelId="{8E197325-27EB-FB4C-8C0D-5F6939C8F4FC}" type="pres">
      <dgm:prSet presAssocID="{542D81B7-98CF-4442-ABB4-3891BFF2BD56}" presName="connTx" presStyleLbl="parChTrans1D4" presStyleIdx="109" presStyleCnt="112"/>
      <dgm:spPr/>
    </dgm:pt>
    <dgm:pt modelId="{494B9EBC-FCAD-7544-A645-10B0E055969D}" type="pres">
      <dgm:prSet presAssocID="{F1433AEB-FDC6-5346-A293-D960B87DDC33}" presName="root2" presStyleCnt="0"/>
      <dgm:spPr/>
    </dgm:pt>
    <dgm:pt modelId="{1ED7ED7A-E93E-564E-9064-123818CF45F4}" type="pres">
      <dgm:prSet presAssocID="{F1433AEB-FDC6-5346-A293-D960B87DDC33}" presName="LevelTwoTextNode" presStyleLbl="node4" presStyleIdx="109" presStyleCnt="112" custScaleX="235784" custScaleY="121462">
        <dgm:presLayoutVars>
          <dgm:chPref val="3"/>
        </dgm:presLayoutVars>
      </dgm:prSet>
      <dgm:spPr/>
    </dgm:pt>
    <dgm:pt modelId="{91E21207-4DAA-9F4A-A55B-79CFEC364B71}" type="pres">
      <dgm:prSet presAssocID="{F1433AEB-FDC6-5346-A293-D960B87DDC33}" presName="level3hierChild" presStyleCnt="0"/>
      <dgm:spPr/>
    </dgm:pt>
    <dgm:pt modelId="{D36CFD56-BD0E-B044-ADCE-6688BBC9DBA5}" type="pres">
      <dgm:prSet presAssocID="{94632BE6-8489-3447-A661-F422DF7077CF}" presName="conn2-1" presStyleLbl="parChTrans1D4" presStyleIdx="110" presStyleCnt="112"/>
      <dgm:spPr/>
    </dgm:pt>
    <dgm:pt modelId="{2E4036A1-DD4D-1F44-9D66-D1F4E5B4A639}" type="pres">
      <dgm:prSet presAssocID="{94632BE6-8489-3447-A661-F422DF7077CF}" presName="connTx" presStyleLbl="parChTrans1D4" presStyleIdx="110" presStyleCnt="112"/>
      <dgm:spPr/>
    </dgm:pt>
    <dgm:pt modelId="{E18E144E-E7F0-0043-80BC-1571E73D50BC}" type="pres">
      <dgm:prSet presAssocID="{A4BCD750-CACD-3544-AC7B-859B5744BBA5}" presName="root2" presStyleCnt="0"/>
      <dgm:spPr/>
    </dgm:pt>
    <dgm:pt modelId="{761A2CF9-A2B8-5340-B453-DC6238448CAE}" type="pres">
      <dgm:prSet presAssocID="{A4BCD750-CACD-3544-AC7B-859B5744BBA5}" presName="LevelTwoTextNode" presStyleLbl="node4" presStyleIdx="110" presStyleCnt="112" custAng="10800000" custFlipVert="1" custScaleX="240145" custScaleY="68060">
        <dgm:presLayoutVars>
          <dgm:chPref val="3"/>
        </dgm:presLayoutVars>
      </dgm:prSet>
      <dgm:spPr/>
    </dgm:pt>
    <dgm:pt modelId="{7DB84D48-EB07-9840-8FCD-D1FB6679D331}" type="pres">
      <dgm:prSet presAssocID="{A4BCD750-CACD-3544-AC7B-859B5744BBA5}" presName="level3hierChild" presStyleCnt="0"/>
      <dgm:spPr/>
    </dgm:pt>
    <dgm:pt modelId="{5B2610B4-338E-5C45-891C-0C97C0F109A7}" type="pres">
      <dgm:prSet presAssocID="{6F350341-3111-DE42-B0FA-F631FB7E3894}" presName="conn2-1" presStyleLbl="parChTrans1D4" presStyleIdx="111" presStyleCnt="112"/>
      <dgm:spPr/>
    </dgm:pt>
    <dgm:pt modelId="{88F5CBB7-7350-3F49-8E20-640E4F431EB4}" type="pres">
      <dgm:prSet presAssocID="{6F350341-3111-DE42-B0FA-F631FB7E3894}" presName="connTx" presStyleLbl="parChTrans1D4" presStyleIdx="111" presStyleCnt="112"/>
      <dgm:spPr/>
    </dgm:pt>
    <dgm:pt modelId="{4F747D2C-6898-8048-A6B2-6A9BE82A1E88}" type="pres">
      <dgm:prSet presAssocID="{5D8C153B-520C-1C44-B166-40015C858768}" presName="root2" presStyleCnt="0"/>
      <dgm:spPr/>
    </dgm:pt>
    <dgm:pt modelId="{4674158E-C081-394D-AF31-F101D99CD1CF}" type="pres">
      <dgm:prSet presAssocID="{5D8C153B-520C-1C44-B166-40015C858768}" presName="LevelTwoTextNode" presStyleLbl="node4" presStyleIdx="111" presStyleCnt="112" custScaleX="363684" custScaleY="85910">
        <dgm:presLayoutVars>
          <dgm:chPref val="3"/>
        </dgm:presLayoutVars>
      </dgm:prSet>
      <dgm:spPr/>
    </dgm:pt>
    <dgm:pt modelId="{10AF9B0B-C1F8-A34E-9879-0B77DDBD3910}" type="pres">
      <dgm:prSet presAssocID="{5D8C153B-520C-1C44-B166-40015C858768}" presName="level3hierChild" presStyleCnt="0"/>
      <dgm:spPr/>
    </dgm:pt>
  </dgm:ptLst>
  <dgm:cxnLst>
    <dgm:cxn modelId="{34441600-9A22-A64B-9324-1004BCD5685F}" type="presOf" srcId="{76F60B1B-FBAA-6A4B-8EC9-A34487F96944}" destId="{DBD12F6F-BA92-4847-B4FB-3A52E420D727}" srcOrd="0" destOrd="0" presId="urn:microsoft.com/office/officeart/2005/8/layout/hierarchy2"/>
    <dgm:cxn modelId="{CFAFF800-991A-4A44-8728-B902F2C866EB}" srcId="{9911B2E0-1F3C-024F-9F73-E926FE255A4D}" destId="{057E0A13-9939-8E4B-9971-05E12D42F428}" srcOrd="1" destOrd="0" parTransId="{9C5D4721-0A47-7742-94BD-93AA629602EB}" sibTransId="{FE5FE632-C65D-B14E-82BB-7D0535A43AE9}"/>
    <dgm:cxn modelId="{E4E03A01-8097-BE4A-ABDA-F66E2DDCB545}" type="presOf" srcId="{7FAF9F45-1D3E-A048-9226-66EA585C253A}" destId="{00C50B97-1E7B-5A42-A95E-F84FD0CB4654}" srcOrd="0" destOrd="0" presId="urn:microsoft.com/office/officeart/2005/8/layout/hierarchy2"/>
    <dgm:cxn modelId="{7F0CC901-7FB1-C544-9B30-E5BB3F7F45D5}" type="presOf" srcId="{43244DE2-ED6C-BE41-A011-FB0B5D17F1CE}" destId="{2BFD6921-41BC-3B4D-90F4-8D3671587A04}" srcOrd="0" destOrd="0" presId="urn:microsoft.com/office/officeart/2005/8/layout/hierarchy2"/>
    <dgm:cxn modelId="{59DF6102-3508-3740-9811-6B34F0D13A11}" type="presOf" srcId="{81743381-7223-7E49-97E3-0A17979FB929}" destId="{9EE83BF8-6839-9849-82DF-957E0E3BB23A}" srcOrd="1" destOrd="0" presId="urn:microsoft.com/office/officeart/2005/8/layout/hierarchy2"/>
    <dgm:cxn modelId="{8F175602-3E42-414A-A05D-16C062561BFB}" type="presOf" srcId="{C2564780-98E5-8A42-847E-FBB95DC8F935}" destId="{B2BC5308-5A63-0140-BF12-87265CB514CD}" srcOrd="1" destOrd="0" presId="urn:microsoft.com/office/officeart/2005/8/layout/hierarchy2"/>
    <dgm:cxn modelId="{9146B402-3050-E149-B808-765B269D5059}" type="presOf" srcId="{2A6477B6-0514-544F-8FB2-CE77F3C43B66}" destId="{0166BC58-3065-3140-8F5C-5ECC6B771164}" srcOrd="0" destOrd="0" presId="urn:microsoft.com/office/officeart/2005/8/layout/hierarchy2"/>
    <dgm:cxn modelId="{43028203-CFBE-6C4B-A9EE-3DD8BE45BF1C}" srcId="{9E2C1592-68CF-3C4B-83BD-24A509F8E537}" destId="{39F57C71-6724-EE49-8C9F-062D560C9925}" srcOrd="0" destOrd="0" parTransId="{662060BB-54B2-F642-9E2A-5D02AE931534}" sibTransId="{8C83BEE6-8ED7-8C46-A18B-96A4F80FECA9}"/>
    <dgm:cxn modelId="{9FEF0304-25BB-2F45-A1B1-5C39748E8E43}" type="presOf" srcId="{23C55B4E-FCE6-D748-BDFD-DD583FC26A7E}" destId="{81F07AA4-B281-F744-8ACF-7E8D4E1E821B}" srcOrd="0" destOrd="0" presId="urn:microsoft.com/office/officeart/2005/8/layout/hierarchy2"/>
    <dgm:cxn modelId="{B0F57005-3B5B-784A-8F67-DE3A6E641E7D}" type="presOf" srcId="{61CF34B7-C6D7-324B-AEDC-16AC8D42D3B8}" destId="{D614AB8D-3529-0648-8ADF-6EE280E19378}" srcOrd="0" destOrd="0" presId="urn:microsoft.com/office/officeart/2005/8/layout/hierarchy2"/>
    <dgm:cxn modelId="{88C6DE05-5261-3445-9116-0E9E5452F26E}" srcId="{A1587CDD-2A23-9A4D-BBC4-9A5BAD32B9EB}" destId="{881904A5-9B65-E244-99B0-72E8F383A36F}" srcOrd="0" destOrd="0" parTransId="{6E23B088-7254-3F46-886E-0ED69F000A67}" sibTransId="{F4316925-F035-0449-BFF8-EEF2019DFE50}"/>
    <dgm:cxn modelId="{11192B06-0ED4-F04A-AF3F-A82013A7315C}" srcId="{554E6D68-BCF1-244D-8331-A818B2ADCEE5}" destId="{6EA6FEFC-2D52-A64F-B896-B184637D7808}" srcOrd="1" destOrd="0" parTransId="{4E3925ED-35EC-344E-9E73-B02240570459}" sibTransId="{1958EC1C-6C45-5A44-B675-B811A4D80641}"/>
    <dgm:cxn modelId="{ECC48206-CEE7-374B-926D-26EE622DF675}" type="presOf" srcId="{94632BE6-8489-3447-A661-F422DF7077CF}" destId="{2E4036A1-DD4D-1F44-9D66-D1F4E5B4A639}" srcOrd="1" destOrd="0" presId="urn:microsoft.com/office/officeart/2005/8/layout/hierarchy2"/>
    <dgm:cxn modelId="{5E119406-E33E-3946-8F2E-2056FB8EB369}" type="presOf" srcId="{9FD09810-7825-BF45-87E5-F5179EFB6B31}" destId="{D1A4D981-D129-7440-9904-CAC402472169}" srcOrd="0" destOrd="0" presId="urn:microsoft.com/office/officeart/2005/8/layout/hierarchy2"/>
    <dgm:cxn modelId="{D855A806-75AE-3C43-8389-ED9DDA4CA012}" type="presOf" srcId="{FB0BA340-1287-6F40-A882-9CAF97D49B02}" destId="{5D07BA56-91D9-8047-B0D5-5B26868635A0}" srcOrd="1" destOrd="0" presId="urn:microsoft.com/office/officeart/2005/8/layout/hierarchy2"/>
    <dgm:cxn modelId="{92EA1407-6712-574B-81D3-F71353EFFDB3}" type="presOf" srcId="{C7CEB2E6-188D-134A-AAA7-ACAB3DD08A50}" destId="{0551646A-D616-2B4C-9DA3-9A73B8BF6D58}" srcOrd="0" destOrd="0" presId="urn:microsoft.com/office/officeart/2005/8/layout/hierarchy2"/>
    <dgm:cxn modelId="{6E076507-7020-9743-A8F3-12B849DB9AA7}" type="presOf" srcId="{2A99ABF2-1810-4D46-BB6B-51F0792BDF75}" destId="{364C137E-A37C-D946-BC81-26A8AB0F8A71}" srcOrd="1" destOrd="0" presId="urn:microsoft.com/office/officeart/2005/8/layout/hierarchy2"/>
    <dgm:cxn modelId="{49A85607-7C1E-9D4D-80FA-1659EC25ED48}" srcId="{A43C92E8-6AAE-054D-919F-BACCF374C4CD}" destId="{79B57BF7-66CA-B54E-BDB4-F9B6FE057776}" srcOrd="0" destOrd="0" parTransId="{2BAEB5F8-46F9-9D48-B01F-A448672F36B5}" sibTransId="{C7CEE3BF-EFC3-1341-A558-1E36085BF0A2}"/>
    <dgm:cxn modelId="{C351A007-3A75-AD4C-B2F6-22FEC4E036EF}" type="presOf" srcId="{0EE11476-9D4D-C642-9798-B64BDCC6E9BD}" destId="{26604CA2-868C-8F44-A303-1E91E5613A9B}" srcOrd="0" destOrd="0" presId="urn:microsoft.com/office/officeart/2005/8/layout/hierarchy2"/>
    <dgm:cxn modelId="{ADCCE207-FA27-E145-B1BA-B8943002DDB4}" type="presOf" srcId="{3A07A013-BFF7-6A4E-823C-587B87356E4F}" destId="{FAC72622-7920-9D4B-8882-12C91CA9C5F3}" srcOrd="0" destOrd="0" presId="urn:microsoft.com/office/officeart/2005/8/layout/hierarchy2"/>
    <dgm:cxn modelId="{1A551808-657A-6642-814A-430833C08765}" type="presOf" srcId="{8661CEAC-DDCE-8240-9A52-6E282780256E}" destId="{1E9949D8-AAD5-7A4A-84DB-3C91B829980C}" srcOrd="0" destOrd="0" presId="urn:microsoft.com/office/officeart/2005/8/layout/hierarchy2"/>
    <dgm:cxn modelId="{4C6DE608-AE3C-2F4E-A882-6A611F7D546F}" srcId="{D9CD62FD-F750-1F48-9B63-88BFBFA74EF3}" destId="{D45416C0-E8C5-844E-BD32-B3DF69AFC82B}" srcOrd="0" destOrd="0" parTransId="{985BB076-8F1E-2143-BBFD-F1E3E109766A}" sibTransId="{C484D087-9426-6849-BA40-5DE26C823713}"/>
    <dgm:cxn modelId="{2E44F508-104C-D444-BE39-5BECF9D9F0A3}" srcId="{B395BB7C-33C3-E942-B3C1-45D4A9CF7EA4}" destId="{DEAF05CD-88C2-2040-BB22-57BF25E4C322}" srcOrd="0" destOrd="0" parTransId="{07B070ED-17A6-1544-B553-3A84ABFC9478}" sibTransId="{76FF9FEC-83FB-3544-A3EF-717BEE05046D}"/>
    <dgm:cxn modelId="{21750809-0329-4242-8B3B-01C9367A908D}" type="presOf" srcId="{5C415EF6-6FC6-8346-9A67-DC768A3F5FA2}" destId="{1208B9E3-0278-6344-8E92-3481EA93B0A2}" srcOrd="0" destOrd="0" presId="urn:microsoft.com/office/officeart/2005/8/layout/hierarchy2"/>
    <dgm:cxn modelId="{86325409-F8E3-F34A-91CD-0583907C1DE5}" type="presOf" srcId="{9E7243EA-B6ED-1843-B96C-2BAFFE6A6B65}" destId="{F51FBADE-DB88-A14B-846A-59613E8F6AC6}" srcOrd="0" destOrd="0" presId="urn:microsoft.com/office/officeart/2005/8/layout/hierarchy2"/>
    <dgm:cxn modelId="{43C09009-EFC4-B845-9C99-8AE5A00374D7}" type="presOf" srcId="{A4B6F8FF-598D-2447-B562-0D0A72B49782}" destId="{927A3B46-F3DD-7B42-A1DF-E8090F92739D}" srcOrd="0" destOrd="0" presId="urn:microsoft.com/office/officeart/2005/8/layout/hierarchy2"/>
    <dgm:cxn modelId="{E5984B0A-DF0F-7D44-B592-B6A18A23D752}" type="presOf" srcId="{9E2C1592-68CF-3C4B-83BD-24A509F8E537}" destId="{32FD41EA-D73A-0541-B0EF-31DD1B3945BF}" srcOrd="0" destOrd="0" presId="urn:microsoft.com/office/officeart/2005/8/layout/hierarchy2"/>
    <dgm:cxn modelId="{EBD3170B-3434-FA41-AD0D-DBD108F5388E}" type="presOf" srcId="{6D76A105-1FF2-1C45-91C5-6FF3BDA0C30C}" destId="{DB4D1F89-8D3D-0146-98CA-FD15D540418A}" srcOrd="0" destOrd="0" presId="urn:microsoft.com/office/officeart/2005/8/layout/hierarchy2"/>
    <dgm:cxn modelId="{D8620C0C-10E7-D848-85B9-126E0E3A1D78}" type="presOf" srcId="{E934D5C2-84D1-914F-A749-5F2D57C07898}" destId="{E499D8AD-D85B-B849-A13E-38E2C85D4646}" srcOrd="0" destOrd="0" presId="urn:microsoft.com/office/officeart/2005/8/layout/hierarchy2"/>
    <dgm:cxn modelId="{3CF75F0D-DBDA-C844-BE53-776775B292D0}" type="presOf" srcId="{84BF64FF-9818-EA42-A294-D6F3BD66D076}" destId="{43270A6C-8E0D-CF45-998A-9EDA0ACD7A49}" srcOrd="1" destOrd="0" presId="urn:microsoft.com/office/officeart/2005/8/layout/hierarchy2"/>
    <dgm:cxn modelId="{EB47640D-8F98-8442-85BA-88F6FFCA0232}" type="presOf" srcId="{4C2EDF73-B0DC-D840-B224-69F5FD92CC90}" destId="{E670B104-FE1E-0341-81A6-730D9922C976}" srcOrd="0" destOrd="0" presId="urn:microsoft.com/office/officeart/2005/8/layout/hierarchy2"/>
    <dgm:cxn modelId="{63C5BD0D-4A7C-CF4C-989B-4C4919627050}" type="presOf" srcId="{8BD4F5D9-E2E9-2045-A1DC-CAF2B114952B}" destId="{6E73D9F8-4995-CF4E-A1B1-5197C807D56A}" srcOrd="0" destOrd="0" presId="urn:microsoft.com/office/officeart/2005/8/layout/hierarchy2"/>
    <dgm:cxn modelId="{8F98E40D-EED4-9F44-894C-F5EDE855899C}" type="presOf" srcId="{FD09F26D-F091-B84B-AE12-3437950B56C1}" destId="{25D8123B-2A9C-2945-9832-E07AA0EAD92A}" srcOrd="1" destOrd="0" presId="urn:microsoft.com/office/officeart/2005/8/layout/hierarchy2"/>
    <dgm:cxn modelId="{EB84310E-CAAD-D843-B0D1-B74688755BD0}" type="presOf" srcId="{811FC899-DAB7-C641-8217-A8BB5E68B68F}" destId="{40907F8B-9809-2140-935C-7CA63B83011B}" srcOrd="0" destOrd="0" presId="urn:microsoft.com/office/officeart/2005/8/layout/hierarchy2"/>
    <dgm:cxn modelId="{49B6180F-7C08-CF4D-A87C-0AD43B83A032}" type="presOf" srcId="{2B3DF9C2-E70D-C945-8285-998BA7C6B0BB}" destId="{3C0FB09C-1EAF-9F49-8969-DAE6817FC9E5}" srcOrd="0" destOrd="0" presId="urn:microsoft.com/office/officeart/2005/8/layout/hierarchy2"/>
    <dgm:cxn modelId="{2FC67D10-9BA4-9847-9F5A-6645A5BC04DC}" srcId="{554E6D68-BCF1-244D-8331-A818B2ADCEE5}" destId="{CF8E0617-0605-F640-8EB5-8A7D22C45C06}" srcOrd="0" destOrd="0" parTransId="{A93FBB74-0104-1544-AA6B-8BEC8B304071}" sibTransId="{31F7517F-E23E-0543-B07B-D976E7D9A515}"/>
    <dgm:cxn modelId="{5362EB11-EF0D-0A46-872C-A969F0F736C4}" srcId="{33CA97C8-F40D-E148-8B77-4AB785C2B08F}" destId="{57E7B5ED-B1DA-D149-B207-BA129B5A9D5B}" srcOrd="0" destOrd="0" parTransId="{2AED3907-ECDE-BD48-A5A5-1543623D08A7}" sibTransId="{55887D3B-CD07-7745-87A8-F706966C752E}"/>
    <dgm:cxn modelId="{B035F412-605F-1640-9ADA-933AE416E08E}" type="presOf" srcId="{8661CEAC-DDCE-8240-9A52-6E282780256E}" destId="{62803B6D-367E-FD49-BC56-07D3CA6D9828}" srcOrd="1" destOrd="0" presId="urn:microsoft.com/office/officeart/2005/8/layout/hierarchy2"/>
    <dgm:cxn modelId="{1C16E713-81E3-0949-B511-3D9EBDF9D926}" type="presOf" srcId="{2D971DE0-589F-2A4A-ADA1-B1E673B2E7EF}" destId="{C9C87CD5-6BFE-7849-8062-8C27F74423E3}" srcOrd="0" destOrd="0" presId="urn:microsoft.com/office/officeart/2005/8/layout/hierarchy2"/>
    <dgm:cxn modelId="{8210FC14-7B5D-E04D-A025-17CAAD9E8DC2}" type="presOf" srcId="{CAD48502-1339-464C-B623-DED6A3EB2866}" destId="{17423E58-5A4F-5344-B4A0-C27EAF3BA360}" srcOrd="0" destOrd="0" presId="urn:microsoft.com/office/officeart/2005/8/layout/hierarchy2"/>
    <dgm:cxn modelId="{B5302615-9D3D-B34E-A58C-D7EE8280BB1C}" type="presOf" srcId="{61968C5B-9626-5549-979C-2C027A3E0A0D}" destId="{A2A62C52-6791-3A46-8C80-4090CC3601EE}" srcOrd="1" destOrd="0" presId="urn:microsoft.com/office/officeart/2005/8/layout/hierarchy2"/>
    <dgm:cxn modelId="{452C9715-FB3F-A243-AE6D-5A1EB5C55A04}" type="presOf" srcId="{F62E0A5F-75F9-2044-A408-1006267DFE71}" destId="{1D766FD2-98A6-2D4B-8CF9-1C85CF679C74}" srcOrd="0" destOrd="0" presId="urn:microsoft.com/office/officeart/2005/8/layout/hierarchy2"/>
    <dgm:cxn modelId="{ED1FAE15-C0B3-B544-A457-A40762C3E8D6}" type="presOf" srcId="{BE7F27C9-5D43-3A4C-A51C-FC4BD163CFC9}" destId="{E019B311-BBFD-FB42-804C-3F40D4C04184}" srcOrd="0" destOrd="0" presId="urn:microsoft.com/office/officeart/2005/8/layout/hierarchy2"/>
    <dgm:cxn modelId="{5D5F8116-99A7-A449-9B14-39927CE71DB4}" type="presOf" srcId="{10B35DCC-8FC0-4A40-9CD0-6BC3B238A8C3}" destId="{6B4C2E1A-DBD3-AA44-B37A-C819A1EFBEC6}" srcOrd="0" destOrd="0" presId="urn:microsoft.com/office/officeart/2005/8/layout/hierarchy2"/>
    <dgm:cxn modelId="{89534A17-4632-FD46-995F-3913DB426AD8}" srcId="{45AFB6BE-BE88-4F4A-A2A6-92A47C4A9E18}" destId="{F74CF1F8-9351-0142-B46A-8248FF20C870}" srcOrd="2" destOrd="0" parTransId="{CF539ADB-F46F-0545-8DDF-AEA9A0AE2D81}" sibTransId="{9458C900-D612-D04B-8831-ED603DD5131F}"/>
    <dgm:cxn modelId="{376B7117-8CD7-EB44-B7E3-996F15BD9109}" type="presOf" srcId="{31F604A1-C9DA-F548-A1ED-18EE8F51AF36}" destId="{7E1AD678-D7E5-9844-9640-FA9CDE3EE73D}" srcOrd="0" destOrd="0" presId="urn:microsoft.com/office/officeart/2005/8/layout/hierarchy2"/>
    <dgm:cxn modelId="{4754AF17-25AF-8F4A-A3C2-705553BA1E09}" type="presOf" srcId="{6E1E0D0E-7664-D24E-8D1D-EB43333FDD2F}" destId="{8163E63B-977A-1C42-ADCF-FC1590064F06}" srcOrd="0" destOrd="0" presId="urn:microsoft.com/office/officeart/2005/8/layout/hierarchy2"/>
    <dgm:cxn modelId="{C716C517-C76E-D64C-820C-8178E8FDE1EA}" srcId="{E6B3F358-CC28-4149-8E81-07B162AFEA50}" destId="{4C2EDF73-B0DC-D840-B224-69F5FD92CC90}" srcOrd="0" destOrd="0" parTransId="{31F604A1-C9DA-F548-A1ED-18EE8F51AF36}" sibTransId="{0BD19257-743F-9D4F-817C-D5A501B97022}"/>
    <dgm:cxn modelId="{0DBFEB17-377A-E74E-AE1B-0D4FEACE45C0}" type="presOf" srcId="{D9D97CE4-D6E3-344E-897C-3804EDC1CDA8}" destId="{2B931093-29A3-A44A-98C7-EB2B196E7FB8}" srcOrd="1" destOrd="0" presId="urn:microsoft.com/office/officeart/2005/8/layout/hierarchy2"/>
    <dgm:cxn modelId="{F56AF817-15BF-FD4C-84E5-ECA0A3FD6BF1}" srcId="{45AFB6BE-BE88-4F4A-A2A6-92A47C4A9E18}" destId="{1F1E704E-4A18-D947-AAD2-8E29CF870907}" srcOrd="1" destOrd="0" parTransId="{256DD1E6-9C5F-4A47-B075-741002FC2E24}" sibTransId="{56AE4DF3-9914-E741-AD19-AC10189DB8D7}"/>
    <dgm:cxn modelId="{17905B18-07AC-9D4D-A5A5-1DEC66D78CA0}" type="presOf" srcId="{D2D77FF5-D454-0447-AFE5-E575F4EBCFA9}" destId="{9252F684-13A2-D14C-8E31-0330BB8093B2}" srcOrd="0" destOrd="0" presId="urn:microsoft.com/office/officeart/2005/8/layout/hierarchy2"/>
    <dgm:cxn modelId="{0B9BE518-5AB5-0B4A-A0C9-4F36D964C909}" type="presOf" srcId="{6989CB89-43B1-E345-81FA-122774F7D212}" destId="{5B9DA2AB-D69C-0F42-8055-3B1B6AC114A2}" srcOrd="1" destOrd="0" presId="urn:microsoft.com/office/officeart/2005/8/layout/hierarchy2"/>
    <dgm:cxn modelId="{E6272019-2BF5-3141-9034-41B3EB547530}" type="presOf" srcId="{8A9D59F1-9800-C14D-B610-3997B14A2C93}" destId="{13D28357-FBE5-764C-A1FB-2A6DD28AB6E6}" srcOrd="1" destOrd="0" presId="urn:microsoft.com/office/officeart/2005/8/layout/hierarchy2"/>
    <dgm:cxn modelId="{6E17DB1A-8828-854E-9E1D-A742F07D87B6}" srcId="{2CEE116A-C2B0-FB4F-A22D-9EFB8BF56A6D}" destId="{E585E011-749E-2847-9BA8-02EC21433FA9}" srcOrd="0" destOrd="0" parTransId="{8661CEAC-DDCE-8240-9A52-6E282780256E}" sibTransId="{B3EC98E4-0981-7240-9CA3-54D863C6CD03}"/>
    <dgm:cxn modelId="{E5F1951B-FCAD-D243-8B0B-275348D68198}" srcId="{4E2DA14C-4672-7546-826E-5447B21CAAE1}" destId="{9911B2E0-1F3C-024F-9F73-E926FE255A4D}" srcOrd="2" destOrd="0" parTransId="{8F654256-E27C-704D-80D3-7F41545613CB}" sibTransId="{0F066765-4E94-084B-8AA3-B8C0D82337D3}"/>
    <dgm:cxn modelId="{56DD091C-82D3-7340-AF93-0CFBC69F1643}" type="presOf" srcId="{91EA14B2-3C44-AB4D-86A7-EF34D3932576}" destId="{815A5564-4766-2B49-9CEE-95C61A3E344F}" srcOrd="0" destOrd="0" presId="urn:microsoft.com/office/officeart/2005/8/layout/hierarchy2"/>
    <dgm:cxn modelId="{9EB0701C-F93B-F14E-9BE7-1A2B91D5FC1C}" type="presOf" srcId="{A73DA725-FFFF-9A46-8044-434A1D595106}" destId="{37A38C73-911D-A04E-81A0-451CEEB03713}" srcOrd="0" destOrd="0" presId="urn:microsoft.com/office/officeart/2005/8/layout/hierarchy2"/>
    <dgm:cxn modelId="{BC76201D-1FA9-5144-8B1C-A04067BC5913}" type="presOf" srcId="{98D17164-CF9F-DA4B-AFA7-A0BA8010EA49}" destId="{FDE54883-4A44-4441-B97E-48C022FEA71A}" srcOrd="0" destOrd="0" presId="urn:microsoft.com/office/officeart/2005/8/layout/hierarchy2"/>
    <dgm:cxn modelId="{FF76351D-0EC3-2441-9225-96B684E4B5DC}" type="presOf" srcId="{DB6651C5-1F20-1A4E-8B51-7DF07EB3E4BE}" destId="{E6E44A22-692E-6B44-93C0-348BC54BCADD}" srcOrd="1" destOrd="0" presId="urn:microsoft.com/office/officeart/2005/8/layout/hierarchy2"/>
    <dgm:cxn modelId="{EEE15F1D-88FD-5342-AC4A-1AC30B06081F}" srcId="{F74CF1F8-9351-0142-B46A-8248FF20C870}" destId="{609584C0-270B-E344-A51C-D63DFD1CEFB4}" srcOrd="0" destOrd="0" parTransId="{39B3DFDB-E121-714A-8479-7578895DE18E}" sibTransId="{CD96B1D1-0C19-9D4D-A57B-BA08715A8BFC}"/>
    <dgm:cxn modelId="{80ED9A1D-0512-FA41-A948-DFE477498587}" type="presOf" srcId="{0D177F67-5279-F046-92F6-777A13035113}" destId="{E5C866E2-6596-5E4D-B122-AB699653CA8D}" srcOrd="0" destOrd="0" presId="urn:microsoft.com/office/officeart/2005/8/layout/hierarchy2"/>
    <dgm:cxn modelId="{2B8D611E-1D1E-7F47-B82E-1A232B11C6FC}" type="presOf" srcId="{14C2785F-9376-5A44-9257-401BB89E90DD}" destId="{5B708126-B3AA-EC4D-8BD8-ED68BF79E2F0}" srcOrd="1" destOrd="0" presId="urn:microsoft.com/office/officeart/2005/8/layout/hierarchy2"/>
    <dgm:cxn modelId="{AC6B9D1E-1E91-7947-B05D-3CE229B26F9E}" type="presOf" srcId="{245A84A5-455B-A147-88F3-D1522DAAA763}" destId="{5DE081D7-D78E-1E47-B426-7A3B31557B57}" srcOrd="1" destOrd="0" presId="urn:microsoft.com/office/officeart/2005/8/layout/hierarchy2"/>
    <dgm:cxn modelId="{2885DC1E-B7D3-0049-B6DD-41E6D077EEDA}" srcId="{2A6477B6-0514-544F-8FB2-CE77F3C43B66}" destId="{EC45E36C-3516-3B4F-9CE2-08B57CF32441}" srcOrd="1" destOrd="0" parTransId="{1B464E6E-8103-EB4E-B59E-CB0C4AA8E8EE}" sibTransId="{5B19FB72-E532-D242-A68B-B1ED1A80D2B8}"/>
    <dgm:cxn modelId="{4F2CF81E-16AD-FA4F-A6FF-0DCFEC2802A7}" type="presOf" srcId="{ADF79796-98C3-9044-B836-E7F813D218C0}" destId="{6F8AB504-61A1-BB4D-BB5A-54996189A86A}" srcOrd="0" destOrd="0" presId="urn:microsoft.com/office/officeart/2005/8/layout/hierarchy2"/>
    <dgm:cxn modelId="{1AF9411F-2001-7444-BD98-819E8BD5158B}" type="presOf" srcId="{83B534ED-1816-614A-9F03-5287F1F4C3C2}" destId="{D3282D8C-6419-8145-9946-60126AAF2D27}" srcOrd="0" destOrd="0" presId="urn:microsoft.com/office/officeart/2005/8/layout/hierarchy2"/>
    <dgm:cxn modelId="{6C59DD20-2BD4-0045-A769-6DD865675CEF}" srcId="{C1C78E06-3854-9E4B-85B9-D7F8AECB293B}" destId="{45AFB6BE-BE88-4F4A-A2A6-92A47C4A9E18}" srcOrd="0" destOrd="0" parTransId="{6B81626C-AAF8-E540-86F3-31F05C4B692B}" sibTransId="{F9B5D002-6AAF-1449-B6D9-83027484ED24}"/>
    <dgm:cxn modelId="{F9892F21-9B1F-8241-AAB5-1D678DC9076E}" srcId="{ED330B24-B5A7-554F-9FB2-6901AD32C6F4}" destId="{91EA14B2-3C44-AB4D-86A7-EF34D3932576}" srcOrd="1" destOrd="0" parTransId="{5240AF7F-7F69-F04E-99DE-E3467E8B449D}" sibTransId="{DF736BE7-5B1A-F242-960B-A9FCE0D4D9B4}"/>
    <dgm:cxn modelId="{AF9C2322-538D-D24B-ACB4-29C88E706B0F}" type="presOf" srcId="{609584C0-270B-E344-A51C-D63DFD1CEFB4}" destId="{26512A1E-D860-8C41-A24B-6073446E2221}" srcOrd="0" destOrd="0" presId="urn:microsoft.com/office/officeart/2005/8/layout/hierarchy2"/>
    <dgm:cxn modelId="{35BDF622-F76A-E549-9F10-AB24D06B294E}" type="presOf" srcId="{923A9475-6506-8745-8225-B620DCE862CC}" destId="{46E9C41F-A492-7549-A87F-A338D127D06E}" srcOrd="0" destOrd="0" presId="urn:microsoft.com/office/officeart/2005/8/layout/hierarchy2"/>
    <dgm:cxn modelId="{5D2A9323-B2B2-C545-9F7A-B8A365AFD416}" srcId="{ED330B24-B5A7-554F-9FB2-6901AD32C6F4}" destId="{9D731453-6A92-6948-914D-60DCD37102AC}" srcOrd="3" destOrd="0" parTransId="{6EA462CB-B5C2-114D-A64C-C78FCD3B2F3A}" sibTransId="{F87E1DD5-EA85-2D48-B0EC-92EF47BF84E7}"/>
    <dgm:cxn modelId="{E98B3725-D6F7-494D-9E86-785EF7F651D5}" srcId="{465DDD6F-3756-0943-86C9-6A8FE6ED8554}" destId="{720B48A7-DA6C-ED4D-B29B-2688FCDBF080}" srcOrd="0" destOrd="0" parTransId="{335737D1-B9FD-F543-BBB0-866C04970F19}" sibTransId="{7BA2BF5E-2289-2C47-B159-A0444C1BB764}"/>
    <dgm:cxn modelId="{36FD4C26-06E5-1843-B8D1-E8DE08DA046D}" srcId="{9E7243EA-B6ED-1843-B96C-2BAFFE6A6B65}" destId="{E6B3F358-CC28-4149-8E81-07B162AFEA50}" srcOrd="2" destOrd="0" parTransId="{83B534ED-1816-614A-9F03-5287F1F4C3C2}" sibTransId="{DE4312CB-6C74-2246-B5A0-982C4AFEF9E1}"/>
    <dgm:cxn modelId="{E5097226-CAEF-9042-897D-A4AC8C399863}" srcId="{0E27F051-1033-2142-9BB5-D64B25A4791A}" destId="{7E0D3819-4E8C-4947-81EB-E456E998C684}" srcOrd="1" destOrd="0" parTransId="{84BF64FF-9818-EA42-A294-D6F3BD66D076}" sibTransId="{A5E2247F-7AC3-2A47-AEC3-738F572E0916}"/>
    <dgm:cxn modelId="{3AF5B426-6051-014C-ACC4-06C71577A161}" type="presOf" srcId="{E6B3F358-CC28-4149-8E81-07B162AFEA50}" destId="{079B7F6F-D7A3-8744-B2AF-0ABFD42168C5}" srcOrd="0" destOrd="0" presId="urn:microsoft.com/office/officeart/2005/8/layout/hierarchy2"/>
    <dgm:cxn modelId="{8715D726-05FC-7749-9517-9FA4740FD326}" type="presOf" srcId="{FFF1B4D1-CF30-1C4D-BEC6-08B1F5679CC4}" destId="{47A0F795-59D6-7C47-B544-0CEFEF4A4D8B}" srcOrd="0" destOrd="0" presId="urn:microsoft.com/office/officeart/2005/8/layout/hierarchy2"/>
    <dgm:cxn modelId="{2D5A0E27-7423-3A41-B460-B8BB934E5653}" type="presOf" srcId="{D45416C0-E8C5-844E-BD32-B3DF69AFC82B}" destId="{346E5F80-6DC5-6543-AAD9-FD7779271A90}" srcOrd="0" destOrd="0" presId="urn:microsoft.com/office/officeart/2005/8/layout/hierarchy2"/>
    <dgm:cxn modelId="{65B76027-C5B9-0540-8698-053368F3A92D}" type="presOf" srcId="{F2059352-B8BE-5A49-87B3-50E0B9F49A31}" destId="{9A4BA16B-6BB9-9A42-A5A0-8DED5004E5F7}" srcOrd="1" destOrd="0" presId="urn:microsoft.com/office/officeart/2005/8/layout/hierarchy2"/>
    <dgm:cxn modelId="{15F84427-73A6-9E4C-8286-F6501611CF27}" type="presOf" srcId="{A982A071-AE54-EE40-B47C-659C2263303C}" destId="{66D7638F-9853-484A-83EB-C481F6203FD8}" srcOrd="0" destOrd="0" presId="urn:microsoft.com/office/officeart/2005/8/layout/hierarchy2"/>
    <dgm:cxn modelId="{F58F4C2A-6040-F347-AD20-692A5EB66B3E}" type="presOf" srcId="{1D6FA156-AEBD-BB4A-A989-16DABA880798}" destId="{927D58C8-F53E-2D45-8F53-384800B18F4D}" srcOrd="1" destOrd="0" presId="urn:microsoft.com/office/officeart/2005/8/layout/hierarchy2"/>
    <dgm:cxn modelId="{29FACA2A-F412-DF4C-9658-CBC7E200BCF7}" type="presOf" srcId="{881904A5-9B65-E244-99B0-72E8F383A36F}" destId="{FDAA16D7-4952-7642-B9FE-686299F1FB7F}" srcOrd="0" destOrd="0" presId="urn:microsoft.com/office/officeart/2005/8/layout/hierarchy2"/>
    <dgm:cxn modelId="{2D46942C-C815-9C4B-92AA-B3F368B98F6A}" type="presOf" srcId="{677DA4EE-A1C5-FD48-8498-8C30E228B0C9}" destId="{003C5F08-096E-D740-AEC9-845D6B9D94E7}" srcOrd="0" destOrd="0" presId="urn:microsoft.com/office/officeart/2005/8/layout/hierarchy2"/>
    <dgm:cxn modelId="{850ABB2D-DD6C-B44F-8D00-7F9E8CD776BA}" srcId="{9E7243EA-B6ED-1843-B96C-2BAFFE6A6B65}" destId="{8BD4F5D9-E2E9-2045-A1DC-CAF2B114952B}" srcOrd="0" destOrd="0" parTransId="{C2564780-98E5-8A42-847E-FBB95DC8F935}" sibTransId="{46C31ADA-B78B-DF4E-A885-52B126D0AE66}"/>
    <dgm:cxn modelId="{10D4D02D-82E3-054D-B3C3-D9C366ECB3D9}" type="presOf" srcId="{45AFB6BE-BE88-4F4A-A2A6-92A47C4A9E18}" destId="{96E045CD-A141-3046-BE9D-50FE4C690EB7}" srcOrd="0" destOrd="0" presId="urn:microsoft.com/office/officeart/2005/8/layout/hierarchy2"/>
    <dgm:cxn modelId="{B9DA4B2E-44A1-7F4D-B6F0-A9EF77DF00B7}" type="presOf" srcId="{43244DE2-ED6C-BE41-A011-FB0B5D17F1CE}" destId="{ABC918D7-764F-4F4D-AF22-2355EC7B65CB}" srcOrd="1" destOrd="0" presId="urn:microsoft.com/office/officeart/2005/8/layout/hierarchy2"/>
    <dgm:cxn modelId="{44DE8C2E-F695-7C4F-ACEC-FBCD16CB4FD4}" type="presOf" srcId="{07B070ED-17A6-1544-B553-3A84ABFC9478}" destId="{9534075B-483C-1041-A7AC-51A770F49F67}" srcOrd="1" destOrd="0" presId="urn:microsoft.com/office/officeart/2005/8/layout/hierarchy2"/>
    <dgm:cxn modelId="{ACD0A12F-5544-7849-8077-52C1DFC51132}" srcId="{1F1E704E-4A18-D947-AAD2-8E29CF870907}" destId="{C3B7A7AD-A4AB-4C40-BA12-96056A898322}" srcOrd="0" destOrd="0" parTransId="{0CFAD18A-9B59-BD41-A501-78922340EF39}" sibTransId="{500B880A-D3B3-3446-8295-B0A769E9C580}"/>
    <dgm:cxn modelId="{0D02B22F-B169-0948-A5A9-14526F38CFDF}" srcId="{78EDCD40-5022-4242-A61B-47C89B5C98FB}" destId="{860765D8-B5B2-AA4C-B27C-BCC941CA571A}" srcOrd="0" destOrd="0" parTransId="{FFF1B4D1-CF30-1C4D-BEC6-08B1F5679CC4}" sibTransId="{F5C7A408-EE39-2A41-B63B-944C7DCDCCB5}"/>
    <dgm:cxn modelId="{E9145C30-1F0D-2D45-A282-88929B4297FC}" type="presOf" srcId="{1CAC6327-888D-0F46-877B-745877E4FADE}" destId="{0220F22B-2D7A-924A-9A77-8A412561E725}" srcOrd="0" destOrd="0" presId="urn:microsoft.com/office/officeart/2005/8/layout/hierarchy2"/>
    <dgm:cxn modelId="{1DEB5F30-9869-8849-A1D3-1BF6723DCC9B}" type="presOf" srcId="{130AA04E-7174-3B47-920E-ACF517AE6962}" destId="{A0BE1DB0-D36F-7A4E-9A85-B9C4B0B2798B}" srcOrd="1" destOrd="0" presId="urn:microsoft.com/office/officeart/2005/8/layout/hierarchy2"/>
    <dgm:cxn modelId="{31E55030-D9B0-294A-AEB5-B55E2AC01D8C}" srcId="{83A64605-84C0-F346-82CC-E7A523E0D725}" destId="{F1433AEB-FDC6-5346-A293-D960B87DDC33}" srcOrd="2" destOrd="0" parTransId="{542D81B7-98CF-4442-ABB4-3891BFF2BD56}" sibTransId="{20F9A8F8-8A96-0242-AB9D-D51F5581A724}"/>
    <dgm:cxn modelId="{3BF5DC30-4A44-CE4B-8888-1CBAD6D8FD24}" srcId="{A75EC999-4247-F84C-92DC-2C25D726A745}" destId="{7A3B4591-82B8-4249-B244-1B280D1C2D79}" srcOrd="0" destOrd="0" parTransId="{49B62420-6A29-2741-AC14-16907352841B}" sibTransId="{7DCA3933-E799-964B-AC3B-3671BE981ADE}"/>
    <dgm:cxn modelId="{E102C431-B664-4444-BDE4-86B19A59D741}" srcId="{465DDD6F-3756-0943-86C9-6A8FE6ED8554}" destId="{0C9CD2EC-18FB-2648-A307-220C0F1CEB7A}" srcOrd="1" destOrd="0" parTransId="{41551931-B083-C547-B2E5-B13556582598}" sibTransId="{A16F951E-9AD4-C74C-9ECB-21B6DEA91868}"/>
    <dgm:cxn modelId="{A4CBF431-BA77-B140-99BE-87A3914366F6}" srcId="{A137832E-3BFD-EB46-89D7-F46FBDC3B142}" destId="{4314B020-F441-A94D-B582-02A2130EA2B5}" srcOrd="0" destOrd="0" parTransId="{DB6651C5-1F20-1A4E-8B51-7DF07EB3E4BE}" sibTransId="{1071C9BD-27EA-874C-BEA4-3F6619065883}"/>
    <dgm:cxn modelId="{55298A32-6448-9544-9442-06EBAC584F5A}" type="presOf" srcId="{B1ACDF18-49A5-A249-A1E1-B48F2906E55D}" destId="{0276E652-BE51-0249-B611-FA2E8DDD3799}" srcOrd="1" destOrd="0" presId="urn:microsoft.com/office/officeart/2005/8/layout/hierarchy2"/>
    <dgm:cxn modelId="{A773D032-51C4-CC4D-9640-A05CC5ADDE74}" type="presOf" srcId="{5A363708-8A9D-7E46-9E05-D4A58D931FC7}" destId="{D3707F1C-E763-A949-9D23-57EA01939072}" srcOrd="0" destOrd="0" presId="urn:microsoft.com/office/officeart/2005/8/layout/hierarchy2"/>
    <dgm:cxn modelId="{FBB00633-7660-3245-8779-ABC044835A29}" srcId="{609584C0-270B-E344-A51C-D63DFD1CEFB4}" destId="{D2D77FF5-D454-0447-AFE5-E575F4EBCFA9}" srcOrd="0" destOrd="0" parTransId="{130AA04E-7174-3B47-920E-ACF517AE6962}" sibTransId="{CA87A677-8C03-E443-889B-1F60F87047A0}"/>
    <dgm:cxn modelId="{DBCE5D33-E363-0745-9B45-EAC90040F006}" type="presOf" srcId="{6B81626C-AAF8-E540-86F3-31F05C4B692B}" destId="{118CCFA0-49B9-7E4F-BBAA-894B65210A33}" srcOrd="0" destOrd="0" presId="urn:microsoft.com/office/officeart/2005/8/layout/hierarchy2"/>
    <dgm:cxn modelId="{64E77A33-F119-414D-A69D-5F81C1F7A03F}" type="presOf" srcId="{9168A278-8458-2140-A606-0CBD0DCDB97D}" destId="{08A1A81E-7925-ED46-B839-4ADE4F718E06}" srcOrd="0" destOrd="0" presId="urn:microsoft.com/office/officeart/2005/8/layout/hierarchy2"/>
    <dgm:cxn modelId="{0CC9A633-6E63-2746-BA48-3AFD8E7C9862}" srcId="{ED330B24-B5A7-554F-9FB2-6901AD32C6F4}" destId="{554E6D68-BCF1-244D-8331-A818B2ADCEE5}" srcOrd="2" destOrd="0" parTransId="{FD09F26D-F091-B84B-AE12-3437950B56C1}" sibTransId="{F6107F7E-5173-9B43-9075-9B9C45AF6684}"/>
    <dgm:cxn modelId="{97ECC033-AD0E-CA47-A57D-4159E19B8924}" type="presOf" srcId="{2BAEB5F8-46F9-9D48-B01F-A448672F36B5}" destId="{9F17D2A1-210D-3244-B8C1-29E3B40EBF45}" srcOrd="0" destOrd="0" presId="urn:microsoft.com/office/officeart/2005/8/layout/hierarchy2"/>
    <dgm:cxn modelId="{CC643A34-00FA-3444-AFA0-0615ED92FC3E}" type="presOf" srcId="{58C642D3-53CE-ED4C-BF06-E47FBF3397C1}" destId="{0EC1E40B-F5B5-7643-B005-C3307981C92E}" srcOrd="0" destOrd="0" presId="urn:microsoft.com/office/officeart/2005/8/layout/hierarchy2"/>
    <dgm:cxn modelId="{2AE35B35-FE05-F24F-AD91-3F3F59BC45D2}" type="presOf" srcId="{D020DCE5-AEE2-8D40-AD1B-8C30241F1226}" destId="{ACE46D27-510D-C143-96AF-FF7321C560C9}" srcOrd="0" destOrd="0" presId="urn:microsoft.com/office/officeart/2005/8/layout/hierarchy2"/>
    <dgm:cxn modelId="{E6808335-DEA0-1B49-8ED5-509BA530C030}" type="presOf" srcId="{39F57C71-6724-EE49-8C9F-062D560C9925}" destId="{13D9C383-7054-D444-AE67-CDBE17B188F8}" srcOrd="0" destOrd="0" presId="urn:microsoft.com/office/officeart/2005/8/layout/hierarchy2"/>
    <dgm:cxn modelId="{6CD21936-D7D5-C64B-A2D2-55AFF55D8F1A}" type="presOf" srcId="{0FC6573B-131D-CD44-9C3E-24C3E52041FD}" destId="{2CFB41A3-85B4-8C47-A1DA-E59FDE43E15E}" srcOrd="1" destOrd="0" presId="urn:microsoft.com/office/officeart/2005/8/layout/hierarchy2"/>
    <dgm:cxn modelId="{1E311837-1E86-4842-B73B-5AFBB7179F99}" type="presOf" srcId="{9FD09810-7825-BF45-87E5-F5179EFB6B31}" destId="{4EDA21F5-9806-8948-9296-96A9B7B6228D}" srcOrd="1" destOrd="0" presId="urn:microsoft.com/office/officeart/2005/8/layout/hierarchy2"/>
    <dgm:cxn modelId="{A350C137-5D43-0549-93B4-9BBFD8468B94}" type="presOf" srcId="{5240AF7F-7F69-F04E-99DE-E3467E8B449D}" destId="{BAE33109-B1B8-9348-939C-92A73B30FE78}" srcOrd="1" destOrd="0" presId="urn:microsoft.com/office/officeart/2005/8/layout/hierarchy2"/>
    <dgm:cxn modelId="{C49D2E38-B92B-B442-91CC-B458B8822DFD}" type="presOf" srcId="{9D731453-6A92-6948-914D-60DCD37102AC}" destId="{2470EF1E-7C4A-7E41-A644-AC6C0F8C9152}" srcOrd="0" destOrd="0" presId="urn:microsoft.com/office/officeart/2005/8/layout/hierarchy2"/>
    <dgm:cxn modelId="{A9CD7138-1021-5647-8A6C-5CE0F28EA5F0}" type="presOf" srcId="{884517B3-2A40-A147-9465-A7083B28748A}" destId="{56FA168B-7075-3841-9C08-3036E8573AA4}" srcOrd="0" destOrd="0" presId="urn:microsoft.com/office/officeart/2005/8/layout/hierarchy2"/>
    <dgm:cxn modelId="{99A7D639-2115-1E42-BC8C-8B121CD3EB13}" type="presOf" srcId="{8A272FD7-137D-3345-A79A-1192C0B7F59C}" destId="{653BBA4B-DA21-E04B-BA94-CFBBE8EB25C0}" srcOrd="0" destOrd="0" presId="urn:microsoft.com/office/officeart/2005/8/layout/hierarchy2"/>
    <dgm:cxn modelId="{34C2063A-1059-9A4A-867C-3F458B6F3B01}" type="presOf" srcId="{62CD8A9A-5A3D-0C44-82BB-F2D700407317}" destId="{93FF0B49-2643-0C40-9F9B-E05F8B7D073B}" srcOrd="0" destOrd="0" presId="urn:microsoft.com/office/officeart/2005/8/layout/hierarchy2"/>
    <dgm:cxn modelId="{642AE23A-EBE9-C14F-928D-11AF6B0FE7E5}" srcId="{5E66860A-DFA7-1443-BD03-E42ACAF7B46A}" destId="{A137832E-3BFD-EB46-89D7-F46FBDC3B142}" srcOrd="1" destOrd="0" parTransId="{8E184C55-1C78-D042-ADB2-632BFC0D5FC3}" sibTransId="{7E8DA7C8-A2F2-E44E-96F1-6AC89ABB6C43}"/>
    <dgm:cxn modelId="{6D682E3B-4CF3-B046-BB98-EE28F297C776}" type="presOf" srcId="{7CA08A65-C5A5-304C-8FEC-CA451AC1F6A8}" destId="{D95BD48D-F9BF-D047-9985-5EE5A80AE84A}" srcOrd="0" destOrd="0" presId="urn:microsoft.com/office/officeart/2005/8/layout/hierarchy2"/>
    <dgm:cxn modelId="{E4DE9D3B-FFF4-0C4D-8C9E-B39F2A007225}" type="presOf" srcId="{67DDCC6B-F412-9140-B5DD-FC092A6995B2}" destId="{96083FD8-2BD7-1447-A5F7-83348E94070D}" srcOrd="0" destOrd="0" presId="urn:microsoft.com/office/officeart/2005/8/layout/hierarchy2"/>
    <dgm:cxn modelId="{8E89143C-0A8E-664F-B7E9-3BE472BF813F}" srcId="{D45416C0-E8C5-844E-BD32-B3DF69AFC82B}" destId="{3E7902D5-EB38-EC46-8F1A-49269BAD7730}" srcOrd="0" destOrd="0" parTransId="{5C415EF6-6FC6-8346-9A67-DC768A3F5FA2}" sibTransId="{71D50389-DEB3-9940-8C7D-2B2EB9EEC92E}"/>
    <dgm:cxn modelId="{487F263C-E070-2546-9939-9833DFFBA48E}" type="presOf" srcId="{8E184C55-1C78-D042-ADB2-632BFC0D5FC3}" destId="{84B95251-E6CA-3D42-9ADA-0379571D9F2C}" srcOrd="1" destOrd="0" presId="urn:microsoft.com/office/officeart/2005/8/layout/hierarchy2"/>
    <dgm:cxn modelId="{3632453C-A6AC-1B40-8EFB-86A914BC5C83}" srcId="{9D1867B4-11C7-A843-A324-42813C0E17E3}" destId="{0EE11476-9D4D-C642-9798-B64BDCC6E9BD}" srcOrd="0" destOrd="0" parTransId="{42AF2BC0-63BD-FD42-8A4B-BC16812D7E07}" sibTransId="{11F87C1B-E66D-8B4E-9067-341ACDEBDD27}"/>
    <dgm:cxn modelId="{58A87C3C-E4F3-8641-91A3-F206B7EF6F88}" srcId="{4E2DA14C-4672-7546-826E-5447B21CAAE1}" destId="{9653A3DA-630B-3541-8B42-ADD100B81603}" srcOrd="3" destOrd="0" parTransId="{49FA51BC-13F8-3648-955B-68545A49B7A4}" sibTransId="{E2151005-DFB0-A441-AE94-863D60094E4F}"/>
    <dgm:cxn modelId="{C4901B3D-F34F-BB4E-A260-BF2CAC3EC241}" type="presOf" srcId="{0CFAD18A-9B59-BD41-A501-78922340EF39}" destId="{847C0345-E480-784A-8D01-F535DA2844E3}" srcOrd="0" destOrd="0" presId="urn:microsoft.com/office/officeart/2005/8/layout/hierarchy2"/>
    <dgm:cxn modelId="{0AA4B53D-6F04-D045-90A9-12C2659850B6}" type="presOf" srcId="{A93FBB74-0104-1544-AA6B-8BEC8B304071}" destId="{24A92763-5368-0F4B-B5C0-5C76585B13D7}" srcOrd="0" destOrd="0" presId="urn:microsoft.com/office/officeart/2005/8/layout/hierarchy2"/>
    <dgm:cxn modelId="{6A50173E-B88F-8D48-9F6C-B5FAF0344AFE}" srcId="{8BD4F5D9-E2E9-2045-A1DC-CAF2B114952B}" destId="{813C6849-A8C9-0A43-8215-00DD7F82E3DE}" srcOrd="0" destOrd="0" parTransId="{DCE0C63B-0B50-2943-8D37-2ABDD6B58B14}" sibTransId="{DC80A17B-6AE0-DF48-A76F-62D6567A2ABE}"/>
    <dgm:cxn modelId="{069CA43E-A7CA-5D4E-8AED-DA821D4BC036}" type="presOf" srcId="{677DA4EE-A1C5-FD48-8498-8C30E228B0C9}" destId="{73440C1F-7805-234D-A1FD-94822165B595}" srcOrd="1" destOrd="0" presId="urn:microsoft.com/office/officeart/2005/8/layout/hierarchy2"/>
    <dgm:cxn modelId="{BD59D53E-A965-244D-8C72-B9F1D5DD2508}" type="presOf" srcId="{9A71CE3C-DEBB-EA44-8279-08E809E3FD5A}" destId="{F81F9B89-CB1D-0543-BFF2-D77E104932F5}" srcOrd="1" destOrd="0" presId="urn:microsoft.com/office/officeart/2005/8/layout/hierarchy2"/>
    <dgm:cxn modelId="{EF9A0A3F-FF85-DF42-88C8-84F11574E9CE}" type="presOf" srcId="{75634039-15F2-6246-B1EC-15A054EF50BF}" destId="{A6E1F013-BBC3-434B-858A-93A82C2D96C9}" srcOrd="0" destOrd="0" presId="urn:microsoft.com/office/officeart/2005/8/layout/hierarchy2"/>
    <dgm:cxn modelId="{395BA13F-22B4-5C40-8D94-6D3C844F84A6}" srcId="{F74CF1F8-9351-0142-B46A-8248FF20C870}" destId="{44677CFA-9D35-524D-8C17-EC333DA1DEE9}" srcOrd="1" destOrd="0" parTransId="{67DDCC6B-F412-9140-B5DD-FC092A6995B2}" sibTransId="{333D558A-E71E-5E46-985C-A39FEDFA8206}"/>
    <dgm:cxn modelId="{80F22740-D181-F54A-8874-F67A93B763FE}" type="presOf" srcId="{985BB076-8F1E-2143-BBFD-F1E3E109766A}" destId="{838362B6-7FDD-7A48-8C09-DCC5700D895C}" srcOrd="1" destOrd="0" presId="urn:microsoft.com/office/officeart/2005/8/layout/hierarchy2"/>
    <dgm:cxn modelId="{8D29175B-C26E-B34D-A271-AFEAC89EBC4D}" type="presOf" srcId="{39B3DFDB-E121-714A-8479-7578895DE18E}" destId="{3691A3F1-876C-C940-8DF8-1F90A81189BD}" srcOrd="0" destOrd="0" presId="urn:microsoft.com/office/officeart/2005/8/layout/hierarchy2"/>
    <dgm:cxn modelId="{2767DC5B-C8E9-6F43-8BE5-DF6478784C64}" type="presOf" srcId="{9653A3DA-630B-3541-8B42-ADD100B81603}" destId="{C5526BCB-99B0-924E-BE28-D40D0D9677F9}" srcOrd="0" destOrd="0" presId="urn:microsoft.com/office/officeart/2005/8/layout/hierarchy2"/>
    <dgm:cxn modelId="{796F225C-160A-D54B-9B90-EB9A1D1AF06A}" type="presOf" srcId="{04451D86-D108-734B-B014-DF5F9FADCDE3}" destId="{BE32E900-C34C-2042-82AB-ABDA2B534CE6}" srcOrd="0" destOrd="0" presId="urn:microsoft.com/office/officeart/2005/8/layout/hierarchy2"/>
    <dgm:cxn modelId="{DA30305C-C460-D24A-ACBD-86F56B691809}" type="presOf" srcId="{6EA462CB-B5C2-114D-A64C-C78FCD3B2F3A}" destId="{A4F53A4E-2E30-A34A-B0E6-85FD720F52C4}" srcOrd="1" destOrd="0" presId="urn:microsoft.com/office/officeart/2005/8/layout/hierarchy2"/>
    <dgm:cxn modelId="{0148125D-818C-E44E-AC14-7AA7F835FD3C}" type="presOf" srcId="{63829445-A79F-1E4E-81B3-FD468A2048E1}" destId="{009D5707-1935-FF44-84C7-395A5D6C763F}" srcOrd="0" destOrd="0" presId="urn:microsoft.com/office/officeart/2005/8/layout/hierarchy2"/>
    <dgm:cxn modelId="{3F81185D-BD80-2B49-A3F2-E1B9790C5D5A}" type="presOf" srcId="{0B98D000-3DC2-0842-A23E-F5E2DCC6CA9D}" destId="{58D175B3-DFEA-604C-917B-BF2A2838C18F}" srcOrd="0" destOrd="0" presId="urn:microsoft.com/office/officeart/2005/8/layout/hierarchy2"/>
    <dgm:cxn modelId="{1772495D-7D1D-EF4E-BEB0-1F57D213F62C}" srcId="{783B7503-8636-C541-8166-6BD240F51A24}" destId="{598B7A7F-F1B3-2246-8C1A-F49F3180A76D}" srcOrd="0" destOrd="0" parTransId="{2360F4C8-C77F-EF4F-8B0C-FE0AAEB63729}" sibTransId="{A1E15B7B-3D6A-6043-8837-77972D8A8C8E}"/>
    <dgm:cxn modelId="{4855B55D-AF45-224B-9F91-16C450CF1827}" type="presOf" srcId="{31F604A1-C9DA-F548-A1ED-18EE8F51AF36}" destId="{4C354592-A09F-6D45-A136-D3B96E8FFA85}" srcOrd="1" destOrd="0" presId="urn:microsoft.com/office/officeart/2005/8/layout/hierarchy2"/>
    <dgm:cxn modelId="{49A5BB5D-50EC-E24F-803E-0D746FC6D6D3}" type="presOf" srcId="{AA94F12D-6505-1449-945A-85E9AF3FB0C7}" destId="{101379F1-4E8A-7C44-8ECC-DDA169F74C88}" srcOrd="0" destOrd="0" presId="urn:microsoft.com/office/officeart/2005/8/layout/hierarchy2"/>
    <dgm:cxn modelId="{468DE45D-157C-F149-B184-55D9A14D2F6B}" srcId="{B8DCCF3C-F3FA-1D4E-9010-2AAF12365369}" destId="{4B15793C-71FA-1A4A-9E7D-00D0985DA88C}" srcOrd="1" destOrd="0" parTransId="{8200E950-B436-C240-9EF0-C3EBFDC3BA7E}" sibTransId="{4FA9863D-FA96-C14E-B70A-04CFBAF76BAC}"/>
    <dgm:cxn modelId="{8311EC5D-7325-6847-9044-B57779DA6D15}" srcId="{0D4ADB1A-797B-704C-81EA-7311D3B61A40}" destId="{36FBB908-E0F9-3E4C-A55F-BDFFB9AB8703}" srcOrd="0" destOrd="0" parTransId="{3B992428-D239-3842-8688-2E91A6D5B8EA}" sibTransId="{F7157BF2-2E11-444D-A33D-1705026F1940}"/>
    <dgm:cxn modelId="{4406C15E-B701-724E-AC2D-E71CB4D5CB14}" srcId="{CEDDA0A7-E006-1642-861A-937CB5AAA820}" destId="{58C642D3-53CE-ED4C-BF06-E47FBF3397C1}" srcOrd="0" destOrd="0" parTransId="{5E467068-52C6-0647-83BB-9640C5CDFE57}" sibTransId="{5E970779-7675-3E44-B6EC-6A0CAF34F3C4}"/>
    <dgm:cxn modelId="{1B37A45F-D5E3-8349-9F8E-1482512EF35F}" srcId="{5A363708-8A9D-7E46-9E05-D4A58D931FC7}" destId="{CEDDA0A7-E006-1642-861A-937CB5AAA820}" srcOrd="1" destOrd="0" parTransId="{42F401AE-E1A0-4E47-81BB-F9BF7AFBFD62}" sibTransId="{3C80F0E0-C9F9-734A-BD5E-69CED30BDC41}"/>
    <dgm:cxn modelId="{73842560-545F-D647-A9A3-DD20A6BCA8BA}" type="presOf" srcId="{05753FB2-7758-F048-86E2-2B99D33EFB48}" destId="{A3027BBC-348E-D64A-A11A-9791067384FA}" srcOrd="0" destOrd="0" presId="urn:microsoft.com/office/officeart/2005/8/layout/hierarchy2"/>
    <dgm:cxn modelId="{06000141-2163-FF4E-9D00-D9E9AA6A86A8}" srcId="{4B15793C-71FA-1A4A-9E7D-00D0985DA88C}" destId="{72B9EEC2-7AE8-044B-BC5F-92F0F6D5E94F}" srcOrd="0" destOrd="0" parTransId="{3AA98029-E1CD-664A-900B-5C894F57A4D6}" sibTransId="{4772C6D6-65AC-6544-A5D1-EF106B58DEDC}"/>
    <dgm:cxn modelId="{36755E41-8CE7-4845-9B49-8C723A88F7D5}" type="presOf" srcId="{EB18CF88-57A5-614E-9AD5-846F42897453}" destId="{893D79CA-F4EB-744C-BE33-291477020436}" srcOrd="1" destOrd="0" presId="urn:microsoft.com/office/officeart/2005/8/layout/hierarchy2"/>
    <dgm:cxn modelId="{B2867761-9C80-B644-988E-C23430FCD068}" type="presOf" srcId="{9168A278-8458-2140-A606-0CBD0DCDB97D}" destId="{A20FF802-D130-5E4A-A53F-8199468D60AA}" srcOrd="1" destOrd="0" presId="urn:microsoft.com/office/officeart/2005/8/layout/hierarchy2"/>
    <dgm:cxn modelId="{BB2EF662-DC67-C44D-B121-17FB8FCE7C43}" type="presOf" srcId="{6EA6FEFC-2D52-A64F-B896-B184637D7808}" destId="{066B16B2-DBCC-9143-BCE5-DD8FCA530BAC}" srcOrd="0" destOrd="0" presId="urn:microsoft.com/office/officeart/2005/8/layout/hierarchy2"/>
    <dgm:cxn modelId="{F3972C63-F2C2-D743-8ADF-CC5DD5BBD126}" type="presOf" srcId="{DCE0C63B-0B50-2943-8D37-2ABDD6B58B14}" destId="{8A3494EC-85B9-F345-AC03-AA4AC99D1F3A}" srcOrd="0" destOrd="0" presId="urn:microsoft.com/office/officeart/2005/8/layout/hierarchy2"/>
    <dgm:cxn modelId="{39755B63-2063-F144-9AB2-0AC183E82CC6}" srcId="{4E2DA14C-4672-7546-826E-5447B21CAAE1}" destId="{9E2C1592-68CF-3C4B-83BD-24A509F8E537}" srcOrd="1" destOrd="0" parTransId="{A4B6F8FF-598D-2447-B562-0D0A72B49782}" sibTransId="{D199FEF8-88CC-9A47-B839-462A32808259}"/>
    <dgm:cxn modelId="{80B58E43-94B7-DD4D-8BD2-99C409C7D54E}" srcId="{DBEEDA1E-AE59-3142-8BE1-76DA4A72D349}" destId="{C6A86FE2-3D63-0848-A639-871E1FBF99E4}" srcOrd="0" destOrd="0" parTransId="{E262E2A4-48BD-3245-A200-C4817BB32381}" sibTransId="{C59BDAD3-2268-9741-8BC9-35C4CFD5C5C2}"/>
    <dgm:cxn modelId="{60DFAB43-3096-2942-82D0-99A43C063EF7}" type="presOf" srcId="{860765D8-B5B2-AA4C-B27C-BCC941CA571A}" destId="{2299191A-3DF3-4240-B3E8-F6A4022648E6}" srcOrd="0" destOrd="0" presId="urn:microsoft.com/office/officeart/2005/8/layout/hierarchy2"/>
    <dgm:cxn modelId="{2646B663-885D-1D45-9DDA-29D50BEEDF19}" type="presOf" srcId="{07B070ED-17A6-1544-B553-3A84ABFC9478}" destId="{58361CD2-9F3C-6F46-92B9-9CC7F4F87DDD}" srcOrd="0" destOrd="0" presId="urn:microsoft.com/office/officeart/2005/8/layout/hierarchy2"/>
    <dgm:cxn modelId="{AE48FA64-D6CD-EC41-88B8-38E6B544EAC5}" type="presOf" srcId="{CEDDA0A7-E006-1642-861A-937CB5AAA820}" destId="{A074F1DE-3BE7-F146-89FF-B4B0117FC436}" srcOrd="0" destOrd="0" presId="urn:microsoft.com/office/officeart/2005/8/layout/hierarchy2"/>
    <dgm:cxn modelId="{4BE56B45-374D-0640-8F19-3D6989FF0308}" type="presOf" srcId="{AC649F95-A9B4-4C4B-9C39-63A344AEA245}" destId="{2B321FE4-A0C8-2D4D-AB07-6B672A766E37}" srcOrd="1" destOrd="0" presId="urn:microsoft.com/office/officeart/2005/8/layout/hierarchy2"/>
    <dgm:cxn modelId="{AE72B665-11E8-4640-B616-2742388739DD}" srcId="{44677CFA-9D35-524D-8C17-EC333DA1DEE9}" destId="{6E1E0D0E-7664-D24E-8D1D-EB43333FDD2F}" srcOrd="0" destOrd="0" parTransId="{ADF79796-98C3-9044-B836-E7F813D218C0}" sibTransId="{B846EB1C-47FF-1C49-B184-CECD016994FE}"/>
    <dgm:cxn modelId="{A43FF465-CF2F-3B4F-86F4-B147086F3B6A}" type="presOf" srcId="{3F8C8E64-0D30-1C4A-B09F-C8C6B752AA2C}" destId="{B02E35F4-558B-114D-A49B-56BE2027C560}" srcOrd="1" destOrd="0" presId="urn:microsoft.com/office/officeart/2005/8/layout/hierarchy2"/>
    <dgm:cxn modelId="{88F60446-EE97-B74E-8C48-49994D7FA92F}" srcId="{79B57BF7-66CA-B54E-BDB4-F9B6FE057776}" destId="{DFD2087A-AA7D-D24D-9E9E-71A5CFCB9BA3}" srcOrd="2" destOrd="0" parTransId="{AED09052-5C41-5F40-99E5-83762E29DD0C}" sibTransId="{2AA00744-0448-C242-9EC0-CAB3B22E7E08}"/>
    <dgm:cxn modelId="{FA500666-5F13-034B-A0B0-2F71F4A0A30A}" srcId="{D5381B5B-393D-9D46-844A-D4BD8FC14058}" destId="{76B27DA6-1ACB-AE42-95BD-19CFDED1A7B3}" srcOrd="4" destOrd="0" parTransId="{6989CB89-43B1-E345-81FA-122774F7D212}" sibTransId="{5BE9E76A-D554-F744-B355-5330292DAA63}"/>
    <dgm:cxn modelId="{6A0A6A66-FA4D-094E-AAEC-58DA674C2561}" type="presOf" srcId="{D9D97CE4-D6E3-344E-897C-3804EDC1CDA8}" destId="{5556694A-3C2A-C54F-B5A8-9EAA3F787CF9}" srcOrd="0" destOrd="0" presId="urn:microsoft.com/office/officeart/2005/8/layout/hierarchy2"/>
    <dgm:cxn modelId="{B01E4D46-EC04-B343-A4D0-1E0C93D6329D}" srcId="{D5381B5B-393D-9D46-844A-D4BD8FC14058}" destId="{D9CD62FD-F750-1F48-9B63-88BFBFA74EF3}" srcOrd="2" destOrd="0" parTransId="{FB0BA340-1287-6F40-A882-9CAF97D49B02}" sibTransId="{BBA11B6B-97FF-5A49-AC2A-E160CD19DA3D}"/>
    <dgm:cxn modelId="{73D17F66-84C6-D344-9346-E61116F61C2A}" type="presOf" srcId="{12E5A8D9-B8D7-374F-A3DD-7B7A1B672D1F}" destId="{014534F8-6082-BB4C-BCF9-E3D32548CA49}" srcOrd="1" destOrd="0" presId="urn:microsoft.com/office/officeart/2005/8/layout/hierarchy2"/>
    <dgm:cxn modelId="{D9A0DC46-F6FE-8C4B-8110-8104986F88AE}" srcId="{882C8D9B-E903-114F-B093-7C7541FF6850}" destId="{FDDE80DA-B872-2A4D-9627-DCB4BE4A544E}" srcOrd="0" destOrd="0" parTransId="{0F1134B1-E9C0-4F48-8634-7781A9FF21C4}" sibTransId="{93560408-6481-204B-A390-93E2734A973D}"/>
    <dgm:cxn modelId="{DEE21247-071C-B747-91C8-4845F3C93641}" type="presOf" srcId="{E262E2A4-48BD-3245-A200-C4817BB32381}" destId="{E212E2FD-A1EF-514C-B31D-1D2D24E2EEAC}" srcOrd="0" destOrd="0" presId="urn:microsoft.com/office/officeart/2005/8/layout/hierarchy2"/>
    <dgm:cxn modelId="{89209C47-9B4B-D549-BAB7-2FF08A8946ED}" srcId="{F1433AEB-FDC6-5346-A293-D960B87DDC33}" destId="{5D8C153B-520C-1C44-B166-40015C858768}" srcOrd="1" destOrd="0" parTransId="{6F350341-3111-DE42-B0FA-F631FB7E3894}" sibTransId="{BD4700B2-930A-E345-8263-471EF2313BA1}"/>
    <dgm:cxn modelId="{C9C0AF67-8951-744C-9243-77E9D2D28434}" srcId="{F62E0A5F-75F9-2044-A408-1006267DFE71}" destId="{75634039-15F2-6246-B1EC-15A054EF50BF}" srcOrd="0" destOrd="0" parTransId="{0D177F67-5279-F046-92F6-777A13035113}" sibTransId="{98624D9E-7A43-6445-BD2D-71B31D192298}"/>
    <dgm:cxn modelId="{4369C067-B7B4-0247-BEC1-06FE40FED8C2}" type="presOf" srcId="{1B62C1C4-2BCE-D543-BEC5-AF80EF3BA04B}" destId="{F15B71B5-EC11-C64D-A7A3-3BF1D0D754C6}" srcOrd="1" destOrd="0" presId="urn:microsoft.com/office/officeart/2005/8/layout/hierarchy2"/>
    <dgm:cxn modelId="{E494CF67-F665-7646-B5F6-60439B75F6EC}" type="presOf" srcId="{C03ACD29-BCE4-9248-9233-64F44249D625}" destId="{89815CA0-A8E4-D34F-8229-DC5554D286CA}" srcOrd="0" destOrd="0" presId="urn:microsoft.com/office/officeart/2005/8/layout/hierarchy2"/>
    <dgm:cxn modelId="{0CFE2748-57FD-0B49-B691-32A121C7885A}" type="presOf" srcId="{41551931-B083-C547-B2E5-B13556582598}" destId="{80EB617D-6059-224C-9C55-A03E08FA26F5}" srcOrd="0" destOrd="0" presId="urn:microsoft.com/office/officeart/2005/8/layout/hierarchy2"/>
    <dgm:cxn modelId="{952B4068-8661-A344-AEC1-0858A21C41D2}" type="presOf" srcId="{503374F7-5695-3A47-9451-20B424911EE9}" destId="{CCD63586-4018-2241-B1D2-F2D3490D8F8D}" srcOrd="0" destOrd="0" presId="urn:microsoft.com/office/officeart/2005/8/layout/hierarchy2"/>
    <dgm:cxn modelId="{1A8E7068-D34D-9445-BE1C-72B68878A3E6}" srcId="{83A64605-84C0-F346-82CC-E7A523E0D725}" destId="{3437A338-FBB4-E841-B048-9CC47C975E56}" srcOrd="1" destOrd="0" parTransId="{31F14C31-81E3-9D41-B00D-FBC8909D77F8}" sibTransId="{89FBD21A-5899-7543-9EB1-AD40CDF3C694}"/>
    <dgm:cxn modelId="{87AD5168-953F-6D43-ADC8-1C55A2B232AA}" type="presOf" srcId="{783B7503-8636-C541-8166-6BD240F51A24}" destId="{3C1401A9-9818-AE48-9FD6-23E3A6A87C1C}" srcOrd="0" destOrd="0" presId="urn:microsoft.com/office/officeart/2005/8/layout/hierarchy2"/>
    <dgm:cxn modelId="{6DDB7168-E35F-7149-8FB8-699597159131}" type="presOf" srcId="{81743381-7223-7E49-97E3-0A17979FB929}" destId="{5192D110-5BA2-094F-AD73-CC0F3B1F0681}" srcOrd="0" destOrd="0" presId="urn:microsoft.com/office/officeart/2005/8/layout/hierarchy2"/>
    <dgm:cxn modelId="{1DD1B148-91A6-2942-BF90-DA3567E7B0AB}" type="presOf" srcId="{2D971DE0-589F-2A4A-ADA1-B1E673B2E7EF}" destId="{135659E4-2DB9-7047-A391-867264CB2B90}" srcOrd="1" destOrd="0" presId="urn:microsoft.com/office/officeart/2005/8/layout/hierarchy2"/>
    <dgm:cxn modelId="{39A2BD48-469A-8E46-B73B-5B021808F691}" type="presOf" srcId="{F74CF1F8-9351-0142-B46A-8248FF20C870}" destId="{DB6B7C14-FCB2-344D-B9E6-7BD183485379}" srcOrd="0" destOrd="0" presId="urn:microsoft.com/office/officeart/2005/8/layout/hierarchy2"/>
    <dgm:cxn modelId="{7D26FB68-6542-9A44-A719-0861362D4803}" type="presOf" srcId="{63829445-A79F-1E4E-81B3-FD468A2048E1}" destId="{CAE9F1A2-0EC8-194B-9386-53CD3842A62C}" srcOrd="1" destOrd="0" presId="urn:microsoft.com/office/officeart/2005/8/layout/hierarchy2"/>
    <dgm:cxn modelId="{CA691749-9680-C142-AFA2-E76B574D3517}" type="presOf" srcId="{542D81B7-98CF-4442-ABB4-3891BFF2BD56}" destId="{E27105C7-7281-C64A-9831-AAAB61B940CE}" srcOrd="0" destOrd="0" presId="urn:microsoft.com/office/officeart/2005/8/layout/hierarchy2"/>
    <dgm:cxn modelId="{E1CC1B69-445F-7B43-BF60-7F250B9D719B}" type="presOf" srcId="{0C676C43-3CE7-3849-B995-B9E0A2744C54}" destId="{2ABE79AD-AC08-044B-8770-B8A2981428F1}" srcOrd="1" destOrd="0" presId="urn:microsoft.com/office/officeart/2005/8/layout/hierarchy2"/>
    <dgm:cxn modelId="{6549D869-A56F-3845-971A-78842AAB3EFC}" type="presOf" srcId="{0CFAD18A-9B59-BD41-A501-78922340EF39}" destId="{E4E6A12E-4F87-DB41-944C-07DB3613ABDA}" srcOrd="1" destOrd="0" presId="urn:microsoft.com/office/officeart/2005/8/layout/hierarchy2"/>
    <dgm:cxn modelId="{76546B4A-4A79-CF4A-A0DA-F2046A433CF9}" type="presOf" srcId="{130AA04E-7174-3B47-920E-ACF517AE6962}" destId="{D2B1DAA6-0034-DA40-8906-9A0E47AD59F3}" srcOrd="0" destOrd="0" presId="urn:microsoft.com/office/officeart/2005/8/layout/hierarchy2"/>
    <dgm:cxn modelId="{D838526A-5457-6F49-8D0E-5DBA594CC236}" type="presOf" srcId="{0C6DAFA2-3D5B-8442-8100-C4CFE720ABC9}" destId="{4E77CAD2-A8AB-D843-847C-3A0CDB177DA6}" srcOrd="1" destOrd="0" presId="urn:microsoft.com/office/officeart/2005/8/layout/hierarchy2"/>
    <dgm:cxn modelId="{3E337A4A-3296-FF4A-AE72-53E9AFF51313}" type="presOf" srcId="{84BF64FF-9818-EA42-A294-D6F3BD66D076}" destId="{0519ABD7-19B2-074D-A8DA-06233230D1E4}" srcOrd="0" destOrd="0" presId="urn:microsoft.com/office/officeart/2005/8/layout/hierarchy2"/>
    <dgm:cxn modelId="{5595B84A-0A57-F64F-BB9F-4D30EDC14F4B}" type="presOf" srcId="{8A9D59F1-9800-C14D-B610-3997B14A2C93}" destId="{DC6CCC79-4A2D-B241-84D4-462340E94773}" srcOrd="0" destOrd="0" presId="urn:microsoft.com/office/officeart/2005/8/layout/hierarchy2"/>
    <dgm:cxn modelId="{8D4EC66A-D6F1-934C-9A4F-F65A3FC040BA}" type="presOf" srcId="{DCE0C63B-0B50-2943-8D37-2ABDD6B58B14}" destId="{45099A8B-41F3-0440-86CE-108AB15F3A60}" srcOrd="1" destOrd="0" presId="urn:microsoft.com/office/officeart/2005/8/layout/hierarchy2"/>
    <dgm:cxn modelId="{69A9D34A-9362-5049-8CB3-4D89D6CF2015}" type="presOf" srcId="{61968C5B-9626-5549-979C-2C027A3E0A0D}" destId="{6D8ABA7C-34CA-564B-91D0-378837BD3C27}" srcOrd="0" destOrd="0" presId="urn:microsoft.com/office/officeart/2005/8/layout/hierarchy2"/>
    <dgm:cxn modelId="{0BF9F34A-C4E4-2C4A-BC10-38662C4596F2}" type="presOf" srcId="{6EA462CB-B5C2-114D-A64C-C78FCD3B2F3A}" destId="{3550B190-9B5A-7B42-991C-BF73C50113E5}" srcOrd="0" destOrd="0" presId="urn:microsoft.com/office/officeart/2005/8/layout/hierarchy2"/>
    <dgm:cxn modelId="{64B4F76A-DD61-2249-B64B-9FBC4CCA4756}" type="presOf" srcId="{D0BE74C5-6255-A64D-8A30-1E25A39B2A06}" destId="{F81AFA1A-0A21-F44E-9F85-B9190B41F0F7}" srcOrd="1" destOrd="0" presId="urn:microsoft.com/office/officeart/2005/8/layout/hierarchy2"/>
    <dgm:cxn modelId="{9460FC6A-80BC-F242-BE99-F42852C73D9E}" type="presOf" srcId="{0B1DD9C5-7D64-F348-A071-17F90474E1DA}" destId="{04CE80BB-2E45-2C43-B2BA-DBA8FFE5B2E2}" srcOrd="0" destOrd="0" presId="urn:microsoft.com/office/officeart/2005/8/layout/hierarchy2"/>
    <dgm:cxn modelId="{B6EF196B-0206-634D-BCBA-9AA300B920D7}" type="presOf" srcId="{E542EC12-B086-5545-9AEB-48182A273DAD}" destId="{471BDAF2-84A0-884A-9F3F-E72A5D2BCFEB}" srcOrd="0" destOrd="0" presId="urn:microsoft.com/office/officeart/2005/8/layout/hierarchy2"/>
    <dgm:cxn modelId="{3D9E496B-2377-C347-A34D-DD1659D3F463}" type="presOf" srcId="{42F401AE-E1A0-4E47-81BB-F9BF7AFBFD62}" destId="{C20CBEB5-8C4D-5144-9EBF-12239119A709}" srcOrd="1" destOrd="0" presId="urn:microsoft.com/office/officeart/2005/8/layout/hierarchy2"/>
    <dgm:cxn modelId="{E34B744B-ACCF-9443-9C39-CB8720D9DD5E}" type="presOf" srcId="{CF8E0617-0605-F640-8EB5-8A7D22C45C06}" destId="{D623AC6D-EE58-104F-AD58-3D8D264A0217}" srcOrd="0" destOrd="0" presId="urn:microsoft.com/office/officeart/2005/8/layout/hierarchy2"/>
    <dgm:cxn modelId="{BF19866B-FDF1-F74D-97F4-4B552C0D7DE3}" type="presOf" srcId="{057E0A13-9939-8E4B-9971-05E12D42F428}" destId="{60170329-D121-4846-A7E7-813FDB031452}" srcOrd="0" destOrd="0" presId="urn:microsoft.com/office/officeart/2005/8/layout/hierarchy2"/>
    <dgm:cxn modelId="{82BFD64B-5DF6-384F-9283-4E5979A83E61}" type="presOf" srcId="{4BA24C3B-5DDA-D14E-A8B6-445DFF666071}" destId="{D0F6F508-439F-2548-854A-3A34A9644D34}" srcOrd="0" destOrd="0" presId="urn:microsoft.com/office/officeart/2005/8/layout/hierarchy2"/>
    <dgm:cxn modelId="{0B79416C-3BB6-4B4B-B5C0-DF696595E874}" type="presOf" srcId="{A73DA725-FFFF-9A46-8044-434A1D595106}" destId="{C50181A9-9023-964A-9B47-802598B2CB21}" srcOrd="1" destOrd="0" presId="urn:microsoft.com/office/officeart/2005/8/layout/hierarchy2"/>
    <dgm:cxn modelId="{7AEC546C-60D7-864F-B508-6BC4105F9660}" type="presOf" srcId="{839A4CCA-7415-1940-836B-E0289AC767BF}" destId="{60E4113E-0F35-0E40-AC7F-6BC8FE6DA1CB}" srcOrd="0" destOrd="0" presId="urn:microsoft.com/office/officeart/2005/8/layout/hierarchy2"/>
    <dgm:cxn modelId="{4A5DA94C-6D8C-3447-B065-6CD7C3E0C5C9}" type="presOf" srcId="{56A0FDB9-CD33-CB4A-86F2-F37646361D10}" destId="{85A4FA80-83FE-974F-8392-AD31C1679BCA}" srcOrd="0" destOrd="0" presId="urn:microsoft.com/office/officeart/2005/8/layout/hierarchy2"/>
    <dgm:cxn modelId="{E3A5164D-66E0-9945-8F27-315E7ED10817}" srcId="{B8DCCF3C-F3FA-1D4E-9010-2AAF12365369}" destId="{4E2DA14C-4672-7546-826E-5447B21CAAE1}" srcOrd="2" destOrd="0" parTransId="{63829445-A79F-1E4E-81B3-FD468A2048E1}" sibTransId="{55DF1E9A-769C-F94F-B148-DA12C95B720B}"/>
    <dgm:cxn modelId="{6C39224D-6DA0-C649-A4AC-13BDEA765A0E}" srcId="{C674E128-7E49-ED4F-B46C-F569D7625526}" destId="{B395BB7C-33C3-E942-B3C1-45D4A9CF7EA4}" srcOrd="0" destOrd="0" parTransId="{56A0FDB9-CD33-CB4A-86F2-F37646361D10}" sibTransId="{51583216-5E88-154B-9AB0-1699423CD704}"/>
    <dgm:cxn modelId="{831A4F6D-7F57-8D49-B56E-35E19C29E97E}" type="presOf" srcId="{9A71CE3C-DEBB-EA44-8279-08E809E3FD5A}" destId="{9AF1E02A-D1F8-F446-9FAF-CCED0823C540}" srcOrd="0" destOrd="0" presId="urn:microsoft.com/office/officeart/2005/8/layout/hierarchy2"/>
    <dgm:cxn modelId="{9D959D4E-94A0-4F47-992C-7C0DCC4D84F3}" type="presOf" srcId="{55703B07-F5B4-204A-AEC2-425C83EF6EFF}" destId="{AB7A3ACA-3C03-0645-8CBF-6452B4690731}" srcOrd="0" destOrd="0" presId="urn:microsoft.com/office/officeart/2005/8/layout/hierarchy2"/>
    <dgm:cxn modelId="{A48DC46E-E1E2-D646-9783-DD95F4F5856E}" type="presOf" srcId="{DB6651C5-1F20-1A4E-8B51-7DF07EB3E4BE}" destId="{96107609-B005-6F43-8581-AA9D08944D3A}" srcOrd="0" destOrd="0" presId="urn:microsoft.com/office/officeart/2005/8/layout/hierarchy2"/>
    <dgm:cxn modelId="{E1C9E06E-5CE9-E748-9A22-0B7CDCE3DBCC}" type="presOf" srcId="{654A1DA4-129F-1F4B-8FF1-B5EBBF8DC9FB}" destId="{C4F91F60-EB01-5840-B0B0-BBCA2522CD35}" srcOrd="1" destOrd="0" presId="urn:microsoft.com/office/officeart/2005/8/layout/hierarchy2"/>
    <dgm:cxn modelId="{011AF06E-1983-D94A-A128-116B52C70BCF}" srcId="{D5F80929-995E-D144-AC1A-7F390989C50F}" destId="{32C55B03-672F-CF46-9829-8E2A74CF4B2F}" srcOrd="0" destOrd="0" parTransId="{839A4CCA-7415-1940-836B-E0289AC767BF}" sibTransId="{E09FD08C-1B0F-EE49-BB08-45DAEBB71A15}"/>
    <dgm:cxn modelId="{CC3B314F-B744-5746-A3FC-25410898A03D}" type="presOf" srcId="{2360F4C8-C77F-EF4F-8B0C-FE0AAEB63729}" destId="{F526CBA3-F7AF-A841-9031-756648F288EF}" srcOrd="1" destOrd="0" presId="urn:microsoft.com/office/officeart/2005/8/layout/hierarchy2"/>
    <dgm:cxn modelId="{4D6C3B6F-4EA7-C246-AA0A-83448149D55E}" type="presOf" srcId="{0F1134B1-E9C0-4F48-8634-7781A9FF21C4}" destId="{D6B12CA3-99CD-9342-BCDB-2327EAD36BC4}" srcOrd="1" destOrd="0" presId="urn:microsoft.com/office/officeart/2005/8/layout/hierarchy2"/>
    <dgm:cxn modelId="{FD90A24F-8B71-3E4D-860C-8BF349D25F88}" type="presOf" srcId="{98D17164-CF9F-DA4B-AFA7-A0BA8010EA49}" destId="{6BDC1D7B-D6BE-414F-B5FE-09753F5C3498}" srcOrd="1" destOrd="0" presId="urn:microsoft.com/office/officeart/2005/8/layout/hierarchy2"/>
    <dgm:cxn modelId="{26294450-2708-904F-B8CF-EFE22D7F2C39}" srcId="{B8DCCF3C-F3FA-1D4E-9010-2AAF12365369}" destId="{D5381B5B-393D-9D46-844A-D4BD8FC14058}" srcOrd="3" destOrd="0" parTransId="{4BA24C3B-5DDA-D14E-A8B6-445DFF666071}" sibTransId="{073F10EF-B10A-8C4A-B2C2-895B166D2813}"/>
    <dgm:cxn modelId="{D1917A70-E537-3148-A232-F7C15A5D65A7}" type="presOf" srcId="{A1587CDD-2A23-9A4D-BBC4-9A5BAD32B9EB}" destId="{4119C4DF-2C73-404A-992D-F984A9077918}" srcOrd="0" destOrd="0" presId="urn:microsoft.com/office/officeart/2005/8/layout/hierarchy2"/>
    <dgm:cxn modelId="{942A7B70-EE44-AC4D-BFAD-52E2AC7CF2DA}" type="presOf" srcId="{A4B6F8FF-598D-2447-B562-0D0A72B49782}" destId="{5F1B2860-0ACD-494A-B906-C37CCD146E1F}" srcOrd="1" destOrd="0" presId="urn:microsoft.com/office/officeart/2005/8/layout/hierarchy2"/>
    <dgm:cxn modelId="{EF668750-AAB5-5E45-929B-B5C538AD16F3}" type="presOf" srcId="{B204665C-AC31-BD48-AEBC-5AA724BCC1A5}" destId="{0B987C81-5569-A14B-BC0A-0F513D6EDBAB}" srcOrd="0" destOrd="0" presId="urn:microsoft.com/office/officeart/2005/8/layout/hierarchy2"/>
    <dgm:cxn modelId="{1C2CDE50-7EDB-2641-ABD9-31EDB474DC15}" type="presOf" srcId="{C1A8D6DA-92DB-8A4E-9954-0B6634231362}" destId="{FA54B60B-7805-914B-9665-F383877BACE2}" srcOrd="0" destOrd="0" presId="urn:microsoft.com/office/officeart/2005/8/layout/hierarchy2"/>
    <dgm:cxn modelId="{3CC2DF50-F089-9047-A3C3-8ABA7103F1DE}" type="presOf" srcId="{8E6E2603-C29F-6144-9D2F-ADD2AFF6DA9E}" destId="{075A6715-FD53-1846-BD23-053AA0DC3980}" srcOrd="1" destOrd="0" presId="urn:microsoft.com/office/officeart/2005/8/layout/hierarchy2"/>
    <dgm:cxn modelId="{C00A3651-DC94-1C41-885C-94D9B21F18B6}" type="presOf" srcId="{8200E950-B436-C240-9EF0-C3EBFDC3BA7E}" destId="{72E5C04D-9D5B-FB42-A185-2FEDD753132D}" srcOrd="1" destOrd="0" presId="urn:microsoft.com/office/officeart/2005/8/layout/hierarchy2"/>
    <dgm:cxn modelId="{70749071-C459-244B-99F3-CD808418957E}" type="presOf" srcId="{A982A071-AE54-EE40-B47C-659C2263303C}" destId="{182380DA-709D-8540-A047-8820C3AD8608}" srcOrd="1" destOrd="0" presId="urn:microsoft.com/office/officeart/2005/8/layout/hierarchy2"/>
    <dgm:cxn modelId="{D6AFFA51-B74A-A14A-8F45-CAB095DD3A75}" type="presOf" srcId="{5E467068-52C6-0647-83BB-9640C5CDFE57}" destId="{FC204920-CF5E-B644-9646-E3FB8D119F46}" srcOrd="0" destOrd="0" presId="urn:microsoft.com/office/officeart/2005/8/layout/hierarchy2"/>
    <dgm:cxn modelId="{35AE1473-9CA1-D44A-A9DE-5457A9A7DE25}" srcId="{ED330B24-B5A7-554F-9FB2-6901AD32C6F4}" destId="{2CEE116A-C2B0-FB4F-A22D-9EFB8BF56A6D}" srcOrd="0" destOrd="0" parTransId="{9168A278-8458-2140-A606-0CBD0DCDB97D}" sibTransId="{AA964A1D-3AA8-5544-B5D4-772FA12E830D}"/>
    <dgm:cxn modelId="{2C166A74-3A43-D041-AE25-C179247FCCA2}" type="presOf" srcId="{31F14C31-81E3-9D41-B00D-FBC8909D77F8}" destId="{0C4172C7-9DB4-914D-A276-C13BEB1A600A}" srcOrd="0" destOrd="0" presId="urn:microsoft.com/office/officeart/2005/8/layout/hierarchy2"/>
    <dgm:cxn modelId="{CFF14A74-D2E9-9147-B26D-FD9224B10008}" type="presOf" srcId="{8B0DAAE7-B401-3248-A48A-0C12B627AAE7}" destId="{E8E89FB2-6592-9949-A9AE-5696011DDA9E}" srcOrd="0" destOrd="0" presId="urn:microsoft.com/office/officeart/2005/8/layout/hierarchy2"/>
    <dgm:cxn modelId="{3995AA54-A9CC-1446-ADD1-26C6AE2BA9EC}" type="presOf" srcId="{9911B2E0-1F3C-024F-9F73-E926FE255A4D}" destId="{18A97919-8627-7346-9DDA-1DE711FEFA23}" srcOrd="0" destOrd="0" presId="urn:microsoft.com/office/officeart/2005/8/layout/hierarchy2"/>
    <dgm:cxn modelId="{6C08BA74-505A-1346-94F3-3A52069AEBA4}" type="presOf" srcId="{AE5E2D3C-297F-3145-A4FC-F6E9C7F6EDF1}" destId="{FA8A6937-E6C5-C448-A4A3-6498A102B45E}" srcOrd="0" destOrd="0" presId="urn:microsoft.com/office/officeart/2005/8/layout/hierarchy2"/>
    <dgm:cxn modelId="{F67EBA74-8331-7449-AB77-F6208D3CCC7B}" type="presOf" srcId="{36FBB908-E0F9-3E4C-A55F-BDFFB9AB8703}" destId="{B4224EB3-25EF-4E4B-910B-E4303EA28DFD}" srcOrd="0" destOrd="0" presId="urn:microsoft.com/office/officeart/2005/8/layout/hierarchy2"/>
    <dgm:cxn modelId="{B95BC054-BD5A-D746-BACD-FA791162395A}" type="presOf" srcId="{985BB076-8F1E-2143-BBFD-F1E3E109766A}" destId="{9EB0FA5F-BF74-6045-BC98-FC5C037FE5C9}" srcOrd="0" destOrd="0" presId="urn:microsoft.com/office/officeart/2005/8/layout/hierarchy2"/>
    <dgm:cxn modelId="{95ABE654-1A86-114A-8E20-812D4BA24614}" srcId="{5A363708-8A9D-7E46-9E05-D4A58D931FC7}" destId="{882C8D9B-E903-114F-B093-7C7541FF6850}" srcOrd="0" destOrd="0" parTransId="{E542EC12-B086-5545-9AEB-48182A273DAD}" sibTransId="{1D41D027-7B5F-FA41-853F-CC4B06746BA5}"/>
    <dgm:cxn modelId="{5C5CEB74-24CD-C540-9BD5-2856D3C2CA58}" type="presOf" srcId="{FFF1B4D1-CF30-1C4D-BEC6-08B1F5679CC4}" destId="{6536C36A-C2B9-CA43-93D2-9B4CD8A4E4EF}" srcOrd="1" destOrd="0" presId="urn:microsoft.com/office/officeart/2005/8/layout/hierarchy2"/>
    <dgm:cxn modelId="{2E4B1E75-9F67-BF4D-93FD-A226B9242A90}" type="presOf" srcId="{A75EC999-4247-F84C-92DC-2C25D726A745}" destId="{5A854BBD-9100-1D41-A2BA-CF5C903ECE41}" srcOrd="0" destOrd="0" presId="urn:microsoft.com/office/officeart/2005/8/layout/hierarchy2"/>
    <dgm:cxn modelId="{25B98E75-D13D-1841-BED1-8890975A2A2E}" type="presOf" srcId="{62CD8A9A-5A3D-0C44-82BB-F2D700407317}" destId="{FE0BD556-EF7D-7A4D-860F-4E481B35D05E}" srcOrd="1" destOrd="0" presId="urn:microsoft.com/office/officeart/2005/8/layout/hierarchy2"/>
    <dgm:cxn modelId="{C55DD775-475E-6A45-B598-7C19B048E3D9}" srcId="{EC45E36C-3516-3B4F-9CE2-08B57CF32441}" destId="{3A07A013-BFF7-6A4E-823C-587B87356E4F}" srcOrd="0" destOrd="0" parTransId="{81743381-7223-7E49-97E3-0A17979FB929}" sibTransId="{3D02A8F8-55CD-3749-89B9-16E55D4F006E}"/>
    <dgm:cxn modelId="{37B4ED55-B333-AC4C-BBA2-A0D7FD40B9CD}" type="presOf" srcId="{1CAC6327-888D-0F46-877B-745877E4FADE}" destId="{EBCFD751-4848-2D4B-A7FE-E458C4F0C516}" srcOrd="1" destOrd="0" presId="urn:microsoft.com/office/officeart/2005/8/layout/hierarchy2"/>
    <dgm:cxn modelId="{E30F2276-E50F-0440-8CFA-F496AB8D4341}" type="presOf" srcId="{BBE2DC66-5EDD-544C-8A7E-F4CBE1DA6A97}" destId="{CAF0A0F3-0539-9846-927B-69BF6A4C9ACA}" srcOrd="0" destOrd="0" presId="urn:microsoft.com/office/officeart/2005/8/layout/hierarchy2"/>
    <dgm:cxn modelId="{FDCB5C76-BEB4-464C-A41E-8B17D1D2EF66}" srcId="{A43C92E8-6AAE-054D-919F-BACCF374C4CD}" destId="{465DDD6F-3756-0943-86C9-6A8FE6ED8554}" srcOrd="5" destOrd="0" parTransId="{0C6DAFA2-3D5B-8442-8100-C4CFE720ABC9}" sibTransId="{0FD499E2-CD7E-074F-AD9C-8D588BF1E168}"/>
    <dgm:cxn modelId="{AD828C56-B48F-4E41-91ED-B1A649B74060}" type="presOf" srcId="{54F38B82-6435-A649-AEB2-742F57D0E16D}" destId="{CB348504-45A8-F849-81E6-9EB60002C12D}" srcOrd="0" destOrd="0" presId="urn:microsoft.com/office/officeart/2005/8/layout/hierarchy2"/>
    <dgm:cxn modelId="{966EDE56-52DC-6248-8B5A-9F3B2A961A26}" type="presOf" srcId="{7E0D3819-4E8C-4947-81EB-E456E998C684}" destId="{79C53478-BCA7-504A-9871-7C063E6B3EE9}" srcOrd="0" destOrd="0" presId="urn:microsoft.com/office/officeart/2005/8/layout/hierarchy2"/>
    <dgm:cxn modelId="{5FC91977-8AD8-6541-89FF-DC80AFAB482C}" srcId="{9D731453-6A92-6948-914D-60DCD37102AC}" destId="{FD6773F0-9BCE-3E48-80DE-EB48125E502C}" srcOrd="0" destOrd="0" parTransId="{04451D86-D108-734B-B014-DF5F9FADCDE3}" sibTransId="{AF47EF7B-7DD2-DB4F-8FBC-2504B477EDC6}"/>
    <dgm:cxn modelId="{651A3E77-98B2-DB40-9204-1081BC8EB991}" type="presOf" srcId="{B2BDC843-E22E-C14E-8C54-73146F18D74D}" destId="{CFDD132E-3A7F-F04E-ABD5-FF2F5192D67E}" srcOrd="0" destOrd="0" presId="urn:microsoft.com/office/officeart/2005/8/layout/hierarchy2"/>
    <dgm:cxn modelId="{1D244A77-9475-6D40-9B03-8B7D8CF5A1BF}" srcId="{76B27DA6-1ACB-AE42-95BD-19CFDED1A7B3}" destId="{49AADD15-CBD0-3C4A-BB25-85AE93AA007E}" srcOrd="1" destOrd="0" parTransId="{E934D5C2-84D1-914F-A749-5F2D57C07898}" sibTransId="{4FC4CE03-C658-374E-9232-BFC18D4CC7B3}"/>
    <dgm:cxn modelId="{CD9A7277-93A0-D54F-839A-181EB11293BF}" srcId="{3437A338-FBB4-E841-B048-9CC47C975E56}" destId="{BE67E905-6809-804A-9B96-F54E3CCC63FD}" srcOrd="0" destOrd="0" parTransId="{1D6FA156-AEBD-BB4A-A989-16DABA880798}" sibTransId="{D2ACC945-0421-9540-BD4E-894FC7AD8634}"/>
    <dgm:cxn modelId="{88EDB957-FF51-9644-870D-E8D77F73C077}" type="presOf" srcId="{AA94F12D-6505-1449-945A-85E9AF3FB0C7}" destId="{D2D904E2-3876-574C-A229-C0C766B22DA3}" srcOrd="1" destOrd="0" presId="urn:microsoft.com/office/officeart/2005/8/layout/hierarchy2"/>
    <dgm:cxn modelId="{C007D477-3C1C-9D4F-AD00-C0DA7A06BC58}" type="presOf" srcId="{0B1DD9C5-7D64-F348-A071-17F90474E1DA}" destId="{B6A47954-BAA4-0D47-BAC0-494744510805}" srcOrd="1" destOrd="0" presId="urn:microsoft.com/office/officeart/2005/8/layout/hierarchy2"/>
    <dgm:cxn modelId="{9C84D477-925D-2945-BB42-46E25A812BED}" srcId="{32C55B03-672F-CF46-9829-8E2A74CF4B2F}" destId="{C1A8D6DA-92DB-8A4E-9954-0B6634231362}" srcOrd="0" destOrd="0" parTransId="{D9D97CE4-D6E3-344E-897C-3804EDC1CDA8}" sibTransId="{AF397418-EBDF-3142-BD35-60DDB68BFF6D}"/>
    <dgm:cxn modelId="{00E02458-FD8B-3244-9270-3B3EEB9A2DDE}" srcId="{7FAF9F45-1D3E-A048-9226-66EA585C253A}" destId="{923A9475-6506-8745-8225-B620DCE862CC}" srcOrd="0" destOrd="0" parTransId="{4CA883E9-A589-9C4D-AF6A-1B2B7353DD72}" sibTransId="{4518C614-BAD0-4C45-A841-E15919BD5C5F}"/>
    <dgm:cxn modelId="{91E33658-3DD5-9347-B20F-9DEB8E19E599}" srcId="{F4C4F253-F130-3943-A530-582381AE5C9E}" destId="{503374F7-5695-3A47-9451-20B424911EE9}" srcOrd="0" destOrd="0" parTransId="{D7C401DE-D614-FC42-BFB7-EF6E3913E2A5}" sibTransId="{40D02A4D-96E8-0D40-8D52-20DF08366A3A}"/>
    <dgm:cxn modelId="{8AFE4B58-61E6-9D49-8DF0-DCB3B70EA6CD}" type="presOf" srcId="{33CA97C8-F40D-E148-8B77-4AB785C2B08F}" destId="{E6F6E067-C603-CB40-9D3A-9B9F7C47ED60}" srcOrd="0" destOrd="0" presId="urn:microsoft.com/office/officeart/2005/8/layout/hierarchy2"/>
    <dgm:cxn modelId="{49A17D58-0F57-654B-8F1D-3864F4A651E6}" type="presOf" srcId="{224257ED-8D37-B04C-950D-AAE5D375194F}" destId="{22C4D929-DC84-5648-9CF3-F58A68E4150C}" srcOrd="0" destOrd="0" presId="urn:microsoft.com/office/officeart/2005/8/layout/hierarchy2"/>
    <dgm:cxn modelId="{55E9CD58-5CB7-2642-BA4D-081438B3B732}" type="presOf" srcId="{12E5A8D9-B8D7-374F-A3DD-7B7A1B672D1F}" destId="{0F9B0A7A-481B-FA4F-9155-3809D6504C37}" srcOrd="0" destOrd="0" presId="urn:microsoft.com/office/officeart/2005/8/layout/hierarchy2"/>
    <dgm:cxn modelId="{C968E958-B206-F341-8F74-3C533BAB8194}" type="presOf" srcId="{9C5D4721-0A47-7742-94BD-93AA629602EB}" destId="{857B86D0-A5FC-E941-9763-08CEB8207D25}" srcOrd="0" destOrd="0" presId="urn:microsoft.com/office/officeart/2005/8/layout/hierarchy2"/>
    <dgm:cxn modelId="{D8EA2959-02B6-EE46-AB66-1F7B27A07457}" type="presOf" srcId="{882C8D9B-E903-114F-B093-7C7541FF6850}" destId="{C648BCC0-1A10-BB40-A2C6-F4FEBB7D412C}" srcOrd="0" destOrd="0" presId="urn:microsoft.com/office/officeart/2005/8/layout/hierarchy2"/>
    <dgm:cxn modelId="{88B23C59-9334-374B-B1DF-F933DF535604}" srcId="{D2D77FF5-D454-0447-AFE5-E575F4EBCFA9}" destId="{39492DDD-F437-954A-B9B6-07884158C094}" srcOrd="0" destOrd="0" parTransId="{0B1DD9C5-7D64-F348-A071-17F90474E1DA}" sibTransId="{8F289616-FAEB-434D-99ED-8400550CB00E}"/>
    <dgm:cxn modelId="{21F26179-3D1D-9344-949A-A1E8B94A6C36}" type="presOf" srcId="{94632BE6-8489-3447-A661-F422DF7077CF}" destId="{D36CFD56-BD0E-B044-ADCE-6688BBC9DBA5}" srcOrd="0" destOrd="0" presId="urn:microsoft.com/office/officeart/2005/8/layout/hierarchy2"/>
    <dgm:cxn modelId="{82064C79-378A-4441-A2D4-44C61FC14571}" type="presOf" srcId="{378EE33B-EB57-A64D-B526-B3632BD621EC}" destId="{099A56E0-693D-7B4F-A133-44BA6CFFFA74}" srcOrd="1" destOrd="0" presId="urn:microsoft.com/office/officeart/2005/8/layout/hierarchy2"/>
    <dgm:cxn modelId="{170B8959-DF00-954F-BE8E-E4C4DACF8C9D}" type="presOf" srcId="{F3252B19-1571-5344-A1A2-AD8919BC1075}" destId="{D536B861-D1D2-BA45-B78D-D06669174668}" srcOrd="0" destOrd="0" presId="urn:microsoft.com/office/officeart/2005/8/layout/hierarchy2"/>
    <dgm:cxn modelId="{E195D259-A143-1245-BE9C-52876C6C5CDF}" type="presOf" srcId="{1B464E6E-8103-EB4E-B59E-CB0C4AA8E8EE}" destId="{F3E39D8D-F053-1949-9191-6101AF6EA419}" srcOrd="0" destOrd="0" presId="urn:microsoft.com/office/officeart/2005/8/layout/hierarchy2"/>
    <dgm:cxn modelId="{B713147A-87B5-B74F-89EE-F32DCBCF2D8E}" type="presOf" srcId="{6F350341-3111-DE42-B0FA-F631FB7E3894}" destId="{5B2610B4-338E-5C45-891C-0C97C0F109A7}" srcOrd="0" destOrd="0" presId="urn:microsoft.com/office/officeart/2005/8/layout/hierarchy2"/>
    <dgm:cxn modelId="{67C7967A-2138-3F4B-8FB7-8A684357ABFF}" srcId="{0E27F051-1033-2142-9BB5-D64B25A4791A}" destId="{8A272FD7-137D-3345-A79A-1192C0B7F59C}" srcOrd="0" destOrd="0" parTransId="{8A9D59F1-9800-C14D-B610-3997B14A2C93}" sibTransId="{DBCE69ED-5236-E148-A80E-A16FCC7BAFFB}"/>
    <dgm:cxn modelId="{DE8CB37A-A511-4B42-9918-22E1D5C99E8D}" type="presOf" srcId="{0C9CD2EC-18FB-2648-A307-220C0F1CEB7A}" destId="{98DED41B-E770-D546-80B8-B8F441D60B24}" srcOrd="0" destOrd="0" presId="urn:microsoft.com/office/officeart/2005/8/layout/hierarchy2"/>
    <dgm:cxn modelId="{6803B75A-175C-F646-8E26-3ADC7AA32A02}" type="presOf" srcId="{42AF2BC0-63BD-FD42-8A4B-BC16812D7E07}" destId="{C7694E15-689B-B540-AF7D-27873AF50E04}" srcOrd="0" destOrd="0" presId="urn:microsoft.com/office/officeart/2005/8/layout/hierarchy2"/>
    <dgm:cxn modelId="{3FE2007B-D1E0-BE4D-A58E-C47DB4879746}" srcId="{23C55B4E-FCE6-D748-BDFD-DD583FC26A7E}" destId="{C1C78E06-3854-9E4B-85B9-D7F8AECB293B}" srcOrd="1" destOrd="0" parTransId="{61968C5B-9626-5549-979C-2C027A3E0A0D}" sibTransId="{0D62D58C-C7DA-5146-853E-020B206F7BE8}"/>
    <dgm:cxn modelId="{42673C7B-8E12-2148-B435-CBB2890DED00}" type="presOf" srcId="{5240AF7F-7F69-F04E-99DE-E3467E8B449D}" destId="{5E9C6BFD-8508-A147-9725-B6850B137120}" srcOrd="0" destOrd="0" presId="urn:microsoft.com/office/officeart/2005/8/layout/hierarchy2"/>
    <dgm:cxn modelId="{7932607B-4768-F84A-8DAA-1C9C6867D69C}" type="presOf" srcId="{E585E011-749E-2847-9BA8-02EC21433FA9}" destId="{4913396E-555E-064B-B8A2-6AD647F91C6A}" srcOrd="0" destOrd="0" presId="urn:microsoft.com/office/officeart/2005/8/layout/hierarchy2"/>
    <dgm:cxn modelId="{E9F6EA7B-BEDE-D14B-A570-CDA3ADD4C309}" type="presOf" srcId="{256DD1E6-9C5F-4A47-B075-741002FC2E24}" destId="{E4365B71-BCFB-1548-8971-56D3D068268C}" srcOrd="1" destOrd="0" presId="urn:microsoft.com/office/officeart/2005/8/layout/hierarchy2"/>
    <dgm:cxn modelId="{5B1CF47B-FE02-154E-8ACF-EF0D0B9AFF99}" srcId="{9D758B81-B5C2-1943-9D4C-0DA33722FC06}" destId="{3442AE2C-3866-854A-82D6-E5EEF172C613}" srcOrd="0" destOrd="0" parTransId="{2A99ABF2-1810-4D46-BB6B-51F0792BDF75}" sibTransId="{8B8B18B5-1E28-2D48-958F-2D9A8D3D7AC4}"/>
    <dgm:cxn modelId="{B64F707C-0515-2E4C-B4F2-EBED24EBE4F0}" type="presOf" srcId="{4E3925ED-35EC-344E-9E73-B02240570459}" destId="{53EF34BE-061B-9C40-8F85-AFF86EB2D3C2}" srcOrd="0" destOrd="0" presId="urn:microsoft.com/office/officeart/2005/8/layout/hierarchy2"/>
    <dgm:cxn modelId="{6BDFCC7C-C5C2-6B46-85C2-0539B684005A}" type="presOf" srcId="{6F350341-3111-DE42-B0FA-F631FB7E3894}" destId="{88F5CBB7-7350-3F49-8E20-640E4F431EB4}" srcOrd="1" destOrd="0" presId="urn:microsoft.com/office/officeart/2005/8/layout/hierarchy2"/>
    <dgm:cxn modelId="{FAE7B37D-382C-F643-8981-18B35D938B71}" srcId="{4E2DA14C-4672-7546-826E-5447B21CAAE1}" destId="{F584A177-03C3-6F4B-9B05-60A438A93D74}" srcOrd="0" destOrd="0" parTransId="{AC649F95-A9B4-4C4B-9C39-63A344AEA245}" sibTransId="{8A77FD48-2C25-1D4D-B2EC-349AB6FBB316}"/>
    <dgm:cxn modelId="{6119477F-35CE-2E4B-A55E-E695342587A0}" srcId="{A43C92E8-6AAE-054D-919F-BACCF374C4CD}" destId="{9E7243EA-B6ED-1843-B96C-2BAFFE6A6B65}" srcOrd="4" destOrd="0" parTransId="{C03ACD29-BCE4-9248-9233-64F44249D625}" sibTransId="{CF7E8172-C1B0-5146-931F-1B4A6C88231F}"/>
    <dgm:cxn modelId="{A4DB9A7F-816D-964F-88EE-C3CE4F04CC35}" type="presOf" srcId="{662060BB-54B2-F642-9E2A-5D02AE931534}" destId="{263153CE-1861-7240-AB3A-8A95589AFA3A}" srcOrd="1" destOrd="0" presId="urn:microsoft.com/office/officeart/2005/8/layout/hierarchy2"/>
    <dgm:cxn modelId="{3F74AC7F-DA97-8349-A2AB-C4BB29CE3880}" type="presOf" srcId="{D9CD62FD-F750-1F48-9B63-88BFBFA74EF3}" destId="{0A7942F9-FA61-7044-98CD-185B63F2C777}" srcOrd="0" destOrd="0" presId="urn:microsoft.com/office/officeart/2005/8/layout/hierarchy2"/>
    <dgm:cxn modelId="{0ACAE37F-211C-1242-85A3-1AF724610F4D}" type="presOf" srcId="{638FD1AB-C16F-454B-ACC9-781CBFF0861A}" destId="{85ECB774-A90C-1B49-97DC-0B8A5841C982}" srcOrd="0" destOrd="0" presId="urn:microsoft.com/office/officeart/2005/8/layout/hierarchy2"/>
    <dgm:cxn modelId="{7DEA7180-71C9-2D45-959C-01801A16A1A4}" type="presOf" srcId="{0D177F67-5279-F046-92F6-777A13035113}" destId="{57D06136-8074-D647-BA64-32EC65793C02}" srcOrd="1" destOrd="0" presId="urn:microsoft.com/office/officeart/2005/8/layout/hierarchy2"/>
    <dgm:cxn modelId="{0F7DB780-F48D-004D-A349-F4A5D70A01B2}" type="presOf" srcId="{22AB3447-4AD4-F542-9B74-FCC9EB659DCD}" destId="{1452FD51-B4ED-6441-8892-1F15B5481691}" srcOrd="1" destOrd="0" presId="urn:microsoft.com/office/officeart/2005/8/layout/hierarchy2"/>
    <dgm:cxn modelId="{5FECF682-0289-AD46-9573-124DB8B45A8F}" type="presOf" srcId="{839A4CCA-7415-1940-836B-E0289AC767BF}" destId="{C5F4A130-C6BF-214B-A3DC-34F2809CCBC1}" srcOrd="1" destOrd="0" presId="urn:microsoft.com/office/officeart/2005/8/layout/hierarchy2"/>
    <dgm:cxn modelId="{4ECC5B83-28C0-1A48-8C51-C56196D3D88B}" type="presOf" srcId="{14C2785F-9376-5A44-9257-401BB89E90DD}" destId="{9EE43694-665C-3544-BFFA-D78EA0C55765}" srcOrd="0" destOrd="0" presId="urn:microsoft.com/office/officeart/2005/8/layout/hierarchy2"/>
    <dgm:cxn modelId="{21267B84-7B7B-7C42-AF3E-A28C13447F9D}" type="presOf" srcId="{6E23B088-7254-3F46-886E-0ED69F000A67}" destId="{4D3C5AB2-8259-C545-8AF2-6658A3765C67}" srcOrd="0" destOrd="0" presId="urn:microsoft.com/office/officeart/2005/8/layout/hierarchy2"/>
    <dgm:cxn modelId="{53A9A984-1F61-E346-A345-CB01054DE158}" type="presOf" srcId="{C7CEB2E6-188D-134A-AAA7-ACAB3DD08A50}" destId="{41BF4A0D-BBB9-B34F-82E2-1DD836653DD2}" srcOrd="1" destOrd="0" presId="urn:microsoft.com/office/officeart/2005/8/layout/hierarchy2"/>
    <dgm:cxn modelId="{134E2485-92C9-D240-BECC-AD9029596FDE}" type="presOf" srcId="{DEAF05CD-88C2-2040-BB22-57BF25E4C322}" destId="{C7FF8478-B1D3-BE44-A6F1-1938E914E3D0}" srcOrd="0" destOrd="0" presId="urn:microsoft.com/office/officeart/2005/8/layout/hierarchy2"/>
    <dgm:cxn modelId="{CA7DA185-B967-5A4D-91C2-A7B065F18DB4}" type="presOf" srcId="{2CEE116A-C2B0-FB4F-A22D-9EFB8BF56A6D}" destId="{C6C92F45-BAA6-E847-9143-7D0625954F22}" srcOrd="0" destOrd="0" presId="urn:microsoft.com/office/officeart/2005/8/layout/hierarchy2"/>
    <dgm:cxn modelId="{5CB9FA85-F831-C64F-995C-18EC2953E76F}" srcId="{9D1867B4-11C7-A843-A324-42813C0E17E3}" destId="{3A1B7547-4481-6040-9913-39DD9F187734}" srcOrd="1" destOrd="0" parTransId="{8D4B400C-F8E5-A44D-93D7-E7EEB3BE7E50}" sibTransId="{C4E75061-BB72-CB42-A4D4-08EF3B93473A}"/>
    <dgm:cxn modelId="{53708B86-08B3-9A41-802C-22817BB4FCDF}" srcId="{76B27DA6-1ACB-AE42-95BD-19CFDED1A7B3}" destId="{10B35DCC-8FC0-4A40-9CD0-6BC3B238A8C3}" srcOrd="0" destOrd="0" parTransId="{A21071B3-E01C-984B-A32A-83F541F562F9}" sibTransId="{49D452AB-47C5-284D-896B-B89BF2D2C7A3}"/>
    <dgm:cxn modelId="{0A603487-DFF1-1D48-84FB-FF3975408979}" type="presOf" srcId="{78EDCD40-5022-4242-A61B-47C89B5C98FB}" destId="{37C9041F-9873-1D42-80B1-B341A68E65F3}" srcOrd="0" destOrd="0" presId="urn:microsoft.com/office/officeart/2005/8/layout/hierarchy2"/>
    <dgm:cxn modelId="{79845587-4A16-A24D-A174-BF1BBA2B0CFD}" type="presOf" srcId="{49FA51BC-13F8-3648-955B-68545A49B7A4}" destId="{BB403EE3-65DE-D543-B51E-73AF64374FA3}" srcOrd="0" destOrd="0" presId="urn:microsoft.com/office/officeart/2005/8/layout/hierarchy2"/>
    <dgm:cxn modelId="{62220188-915B-A745-84E4-DA921B13B9F7}" type="presOf" srcId="{0D6B794E-1DAC-1D48-855A-D9C2ADC24CB6}" destId="{6869DDD0-C186-E24D-9AE1-B21F97F29FCC}" srcOrd="0" destOrd="0" presId="urn:microsoft.com/office/officeart/2005/8/layout/hierarchy2"/>
    <dgm:cxn modelId="{12E2DD88-9875-C147-AEC3-08D610676ADB}" type="presOf" srcId="{A21071B3-E01C-984B-A32A-83F541F562F9}" destId="{41E852B0-DCE6-0048-8035-7F590A5134D6}" srcOrd="1" destOrd="0" presId="urn:microsoft.com/office/officeart/2005/8/layout/hierarchy2"/>
    <dgm:cxn modelId="{3A2E7A8B-3ACB-F343-9F5D-4583E8320C8A}" type="presOf" srcId="{6E23B088-7254-3F46-886E-0ED69F000A67}" destId="{8A300D53-4BF9-4B4B-AB72-E4F7AB93F62E}" srcOrd="1" destOrd="0" presId="urn:microsoft.com/office/officeart/2005/8/layout/hierarchy2"/>
    <dgm:cxn modelId="{1655D98B-7F8D-CE4D-A0C7-A9BF2462070B}" type="presOf" srcId="{8D4B400C-F8E5-A44D-93D7-E7EEB3BE7E50}" destId="{2F4D2B05-ABE0-C040-B265-D2CED050FB95}" srcOrd="0" destOrd="0" presId="urn:microsoft.com/office/officeart/2005/8/layout/hierarchy2"/>
    <dgm:cxn modelId="{E95EEA8B-09D6-9941-9E76-732404450832}" srcId="{83A64605-84C0-F346-82CC-E7A523E0D725}" destId="{9F0AB3BF-1C99-7940-BE29-C02971259FC9}" srcOrd="0" destOrd="0" parTransId="{8E6E2603-C29F-6144-9D2F-ADD2AFF6DA9E}" sibTransId="{341614DD-6F58-CB45-A0DE-23C2125F8F89}"/>
    <dgm:cxn modelId="{2D8B558C-1F1E-8A42-9E68-3D431FDEC543}" type="presOf" srcId="{AC649F95-A9B4-4C4B-9C39-63A344AEA245}" destId="{12123074-8941-C544-8091-25671F2C60B4}" srcOrd="0" destOrd="0" presId="urn:microsoft.com/office/officeart/2005/8/layout/hierarchy2"/>
    <dgm:cxn modelId="{9693838C-371A-A248-8F8A-E70F120CC2E1}" type="presOf" srcId="{42AF2BC0-63BD-FD42-8A4B-BC16812D7E07}" destId="{E583F178-B687-5241-8838-3F757CBC371A}" srcOrd="1" destOrd="0" presId="urn:microsoft.com/office/officeart/2005/8/layout/hierarchy2"/>
    <dgm:cxn modelId="{8000958C-F0CD-5C4C-8C50-903004980252}" type="presOf" srcId="{1CF2D16F-F77D-7E40-B43C-CF152DCDBF2E}" destId="{BD3BAB78-F407-EE41-A4B9-9CADD1095D8B}" srcOrd="0" destOrd="0" presId="urn:microsoft.com/office/officeart/2005/8/layout/hierarchy2"/>
    <dgm:cxn modelId="{8DA7BA8D-54B3-134C-A517-C1404284CCA8}" srcId="{7A0AAB08-CE84-B243-A5E5-66DD99C49372}" destId="{27C5132D-0ACD-8645-97A9-26717F4DF6FE}" srcOrd="0" destOrd="0" parTransId="{43244DE2-ED6C-BE41-A011-FB0B5D17F1CE}" sibTransId="{4C97257A-2953-6D43-A109-CB3F5A3A5A58}"/>
    <dgm:cxn modelId="{D211328F-52FE-C340-9267-613B2CD00F8B}" type="presOf" srcId="{41551931-B083-C547-B2E5-B13556582598}" destId="{EA13F84A-0260-6545-B31E-F18A33474D26}" srcOrd="1" destOrd="0" presId="urn:microsoft.com/office/officeart/2005/8/layout/hierarchy2"/>
    <dgm:cxn modelId="{6D00B58F-1CC2-0D42-A94D-B59D0B91515F}" type="presOf" srcId="{AED09052-5C41-5F40-99E5-83762E29DD0C}" destId="{AD57F318-2AB7-E448-8157-118214EACDF7}" srcOrd="1" destOrd="0" presId="urn:microsoft.com/office/officeart/2005/8/layout/hierarchy2"/>
    <dgm:cxn modelId="{91AA4690-2B9A-034E-A8EE-B01C90C17318}" type="presOf" srcId="{BBE2DC66-5EDD-544C-8A7E-F4CBE1DA6A97}" destId="{16E75FAA-7511-364F-B02C-27E8F8627174}" srcOrd="1" destOrd="0" presId="urn:microsoft.com/office/officeart/2005/8/layout/hierarchy2"/>
    <dgm:cxn modelId="{8C76E190-12C4-AD48-881B-4DF57ECA1124}" type="presOf" srcId="{67DDCC6B-F412-9140-B5DD-FC092A6995B2}" destId="{7FD79359-C839-B243-9263-4386387591FB}" srcOrd="1" destOrd="0" presId="urn:microsoft.com/office/officeart/2005/8/layout/hierarchy2"/>
    <dgm:cxn modelId="{B9D81D91-C40C-554B-AE84-2014500C1F05}" type="presOf" srcId="{2360F4C8-C77F-EF4F-8B0C-FE0AAEB63729}" destId="{1683C243-3834-4042-8AAC-AD4053BE4093}" srcOrd="0" destOrd="0" presId="urn:microsoft.com/office/officeart/2005/8/layout/hierarchy2"/>
    <dgm:cxn modelId="{EC526C92-2F23-674A-A72C-FC33062BC9C9}" type="presOf" srcId="{E262E2A4-48BD-3245-A200-C4817BB32381}" destId="{E6CDAE7E-1A78-C344-9C41-01F15E01D6CC}" srcOrd="1" destOrd="0" presId="urn:microsoft.com/office/officeart/2005/8/layout/hierarchy2"/>
    <dgm:cxn modelId="{8BD76C92-A0AF-E441-B223-15A7B0FFA9E2}" type="presOf" srcId="{3F8C8E64-0D30-1C4A-B09F-C8C6B752AA2C}" destId="{3E3E68B1-067D-9144-85D2-952E04CE6AE3}" srcOrd="0" destOrd="0" presId="urn:microsoft.com/office/officeart/2005/8/layout/hierarchy2"/>
    <dgm:cxn modelId="{8FF4C992-94B5-184F-8EA0-FC35D75BD97B}" type="presOf" srcId="{83A64605-84C0-F346-82CC-E7A523E0D725}" destId="{A1BAFA46-49BD-6D48-945F-C3168502DFC5}" srcOrd="0" destOrd="0" presId="urn:microsoft.com/office/officeart/2005/8/layout/hierarchy2"/>
    <dgm:cxn modelId="{691B5C93-F149-844F-AE44-0BC155850891}" type="presOf" srcId="{EC45E36C-3516-3B4F-9CE2-08B57CF32441}" destId="{1511E016-75A3-5F4B-85DD-7514CD779C9A}" srcOrd="0" destOrd="0" presId="urn:microsoft.com/office/officeart/2005/8/layout/hierarchy2"/>
    <dgm:cxn modelId="{DE72DF93-1FA3-6346-9D0B-0DBC5364ACAB}" srcId="{BE7F27C9-5D43-3A4C-A51C-FC4BD163CFC9}" destId="{A75EC999-4247-F84C-92DC-2C25D726A745}" srcOrd="0" destOrd="0" parTransId="{62CD8A9A-5A3D-0C44-82BB-F2D700407317}" sibTransId="{67A76C69-CDD8-7B4E-A89C-99C5E94760A6}"/>
    <dgm:cxn modelId="{739DA395-3AD0-294D-A4B2-18B7BCB07B59}" srcId="{252E39C4-D9B4-B44A-B8D8-0274723E5C8C}" destId="{7A0AAB08-CE84-B243-A5E5-66DD99C49372}" srcOrd="0" destOrd="0" parTransId="{B1ACDF18-49A5-A249-A1E1-B48F2906E55D}" sibTransId="{1BB24475-9906-2344-8A1C-AE257206CFDB}"/>
    <dgm:cxn modelId="{0E668F96-7C02-4B4C-B315-8781A08C308D}" type="presOf" srcId="{5C415EF6-6FC6-8346-9A67-DC768A3F5FA2}" destId="{DD665F04-205C-E44C-B119-5732509DCD31}" srcOrd="1" destOrd="0" presId="urn:microsoft.com/office/officeart/2005/8/layout/hierarchy2"/>
    <dgm:cxn modelId="{20BCF796-086F-354A-9B83-9C0AB6BF23E1}" type="presOf" srcId="{8F654256-E27C-704D-80D3-7F41545613CB}" destId="{906A354D-18D5-F44A-80DF-4999084AB120}" srcOrd="0" destOrd="0" presId="urn:microsoft.com/office/officeart/2005/8/layout/hierarchy2"/>
    <dgm:cxn modelId="{1D064B97-0BC7-8B4F-A442-775439B6B152}" srcId="{D5381B5B-393D-9D46-844A-D4BD8FC14058}" destId="{5E66860A-DFA7-1443-BD03-E42ACAF7B46A}" srcOrd="1" destOrd="0" parTransId="{245A84A5-455B-A147-88F3-D1522DAAA763}" sibTransId="{DAC768AA-7740-1E46-8C82-01E31E9645CF}"/>
    <dgm:cxn modelId="{267E5297-37C5-6B43-AE0C-B9A0177BF8FE}" type="presOf" srcId="{662060BB-54B2-F642-9E2A-5D02AE931534}" destId="{07ADF952-BA6A-B64D-BB8C-DDDBAED6B6B7}" srcOrd="0" destOrd="0" presId="urn:microsoft.com/office/officeart/2005/8/layout/hierarchy2"/>
    <dgm:cxn modelId="{DDED1198-5230-F746-84FB-9BD3B0ED2101}" srcId="{A43C92E8-6AAE-054D-919F-BACCF374C4CD}" destId="{78EDCD40-5022-4242-A61B-47C89B5C98FB}" srcOrd="1" destOrd="0" parTransId="{D72D60B0-EE0F-B345-A3F9-744F2038500A}" sibTransId="{690DBB22-C7EB-7441-8DDF-907389D2B6F9}"/>
    <dgm:cxn modelId="{56D89F98-F39F-D34F-91AA-EF5B45768589}" type="presOf" srcId="{56A0FDB9-CD33-CB4A-86F2-F37646361D10}" destId="{BA9FE902-D5E3-2744-A0F2-D40C1D53589B}" srcOrd="1" destOrd="0" presId="urn:microsoft.com/office/officeart/2005/8/layout/hierarchy2"/>
    <dgm:cxn modelId="{95D1C398-4DAC-1747-8FC0-72A5E874AF16}" type="presOf" srcId="{D0E64F52-6BBD-154E-A48F-6018128769D1}" destId="{E22128B9-F134-6F4A-B576-11820965B55D}" srcOrd="0" destOrd="0" presId="urn:microsoft.com/office/officeart/2005/8/layout/hierarchy2"/>
    <dgm:cxn modelId="{9FF07499-D7A3-844D-886C-063F8B97D456}" type="presOf" srcId="{6D6A4EFF-039E-E04F-A9DD-C0225DDFFA76}" destId="{837DD38F-C9F1-0243-A153-F28A82E29E22}" srcOrd="1" destOrd="0" presId="urn:microsoft.com/office/officeart/2005/8/layout/hierarchy2"/>
    <dgm:cxn modelId="{4DF9AD99-84AE-A548-9174-714D7BC4A70B}" type="presOf" srcId="{39B3DFDB-E121-714A-8479-7578895DE18E}" destId="{76DE1D7B-D1E9-814C-8EDC-E695FD870F82}" srcOrd="1" destOrd="0" presId="urn:microsoft.com/office/officeart/2005/8/layout/hierarchy2"/>
    <dgm:cxn modelId="{85D53C9A-CE09-BD4F-B407-BCFEEF3D60AA}" type="presOf" srcId="{17A1240D-8C80-5343-AA5A-E9D5BBC693B4}" destId="{E06B8E53-7E61-FE48-B438-142B6DA5154E}" srcOrd="0" destOrd="0" presId="urn:microsoft.com/office/officeart/2005/8/layout/hierarchy2"/>
    <dgm:cxn modelId="{8F3EA19A-FF60-F045-99EE-BBCAC59B618A}" type="presOf" srcId="{A4BCD750-CACD-3544-AC7B-859B5744BBA5}" destId="{761A2CF9-A2B8-5340-B453-DC6238448CAE}" srcOrd="0" destOrd="0" presId="urn:microsoft.com/office/officeart/2005/8/layout/hierarchy2"/>
    <dgm:cxn modelId="{D2D0259B-F8E3-D843-8150-0A7561A8EEFD}" srcId="{C1C78E06-3854-9E4B-85B9-D7F8AECB293B}" destId="{83A64605-84C0-F346-82CC-E7A523E0D725}" srcOrd="2" destOrd="0" parTransId="{D020DCE5-AEE2-8D40-AD1B-8C30241F1226}" sibTransId="{E3B5B2FB-E25B-124C-B593-25BC94EEADFF}"/>
    <dgm:cxn modelId="{E8B0749B-FF76-4041-AD5C-30EB0A82A310}" type="presOf" srcId="{43875140-1255-FC40-A8FB-CF6B33B64566}" destId="{8B45572A-1112-FA43-B58E-7862FE34577C}" srcOrd="0" destOrd="0" presId="urn:microsoft.com/office/officeart/2005/8/layout/hierarchy2"/>
    <dgm:cxn modelId="{273FB09B-116D-D942-BECA-D460C478E494}" type="presOf" srcId="{8E6E2603-C29F-6144-9D2F-ADD2AFF6DA9E}" destId="{57A4396C-3FFA-D44E-BDD8-48615AC672A8}" srcOrd="0" destOrd="0" presId="urn:microsoft.com/office/officeart/2005/8/layout/hierarchy2"/>
    <dgm:cxn modelId="{5348E69B-A5C2-B548-B85D-F29CC050AB70}" type="presOf" srcId="{ED330B24-B5A7-554F-9FB2-6901AD32C6F4}" destId="{73B49C13-E2E7-8F46-85DE-D4C0819F2F5D}" srcOrd="0" destOrd="0" presId="urn:microsoft.com/office/officeart/2005/8/layout/hierarchy2"/>
    <dgm:cxn modelId="{A5F3979C-DD2B-5945-8714-549B26B8B56C}" srcId="{2A6477B6-0514-544F-8FB2-CE77F3C43B66}" destId="{33CA97C8-F40D-E148-8B77-4AB785C2B08F}" srcOrd="0" destOrd="0" parTransId="{7B5F459C-0DD8-A14A-8579-07AA35F8CB63}" sibTransId="{B49F0459-C1AC-804B-90FF-A7FF66FFC71B}"/>
    <dgm:cxn modelId="{AA131E9D-D9EF-5141-A959-40E7329B475A}" type="presOf" srcId="{4CA883E9-A589-9C4D-AF6A-1B2B7353DD72}" destId="{CDBA331F-CF21-C74B-B979-856B54774B1F}" srcOrd="0" destOrd="0" presId="urn:microsoft.com/office/officeart/2005/8/layout/hierarchy2"/>
    <dgm:cxn modelId="{495E7F9D-433F-844C-A4DF-35BE73B2B48B}" type="presOf" srcId="{1B464E6E-8103-EB4E-B59E-CB0C4AA8E8EE}" destId="{535F810D-6049-804B-8D9F-3F7980702433}" srcOrd="1" destOrd="0" presId="urn:microsoft.com/office/officeart/2005/8/layout/hierarchy2"/>
    <dgm:cxn modelId="{E44FBA9D-8118-DF44-AAFB-35EE27B96554}" srcId="{39F57C71-6724-EE49-8C9F-062D560C9925}" destId="{55703B07-F5B4-204A-AEC2-425C83EF6EFF}" srcOrd="0" destOrd="0" parTransId="{1B62C1C4-2BCE-D543-BEC5-AF80EF3BA04B}" sibTransId="{BEBD33C3-76F1-FB40-B598-00CADCA4156E}"/>
    <dgm:cxn modelId="{05EDCF9D-D390-E642-99E7-2088EB7F8960}" type="presOf" srcId="{C6A86FE2-3D63-0848-A639-871E1FBF99E4}" destId="{8C1A1D3C-E83B-E34D-96D8-ED3697561054}" srcOrd="0" destOrd="0" presId="urn:microsoft.com/office/officeart/2005/8/layout/hierarchy2"/>
    <dgm:cxn modelId="{70BFC79E-87A2-F346-B046-A39AA15EC268}" srcId="{5E66860A-DFA7-1443-BD03-E42ACAF7B46A}" destId="{9D758B81-B5C2-1943-9D4C-0DA33722FC06}" srcOrd="0" destOrd="0" parTransId="{F3252B19-1571-5344-A1A2-AD8919BC1075}" sibTransId="{2BEEF7C5-D556-4E4B-8BCB-8DD6B65B77B6}"/>
    <dgm:cxn modelId="{C81BE69E-B648-B54A-A9DE-94528AF19625}" type="presOf" srcId="{B8DCCF3C-F3FA-1D4E-9010-2AAF12365369}" destId="{D7BB4BD5-996C-0942-B6E1-8F7A2DA0F87E}" srcOrd="0" destOrd="0" presId="urn:microsoft.com/office/officeart/2005/8/layout/hierarchy2"/>
    <dgm:cxn modelId="{DF0F109F-ED61-884F-B5FC-EEECBCBB3757}" type="presOf" srcId="{3B992428-D239-3842-8688-2E91A6D5B8EA}" destId="{C3BFBD6E-7BF2-624B-8C9D-728F0CF10CB9}" srcOrd="0" destOrd="0" presId="urn:microsoft.com/office/officeart/2005/8/layout/hierarchy2"/>
    <dgm:cxn modelId="{04C7349F-0171-5D48-80E9-C847E0F099DF}" type="presOf" srcId="{3AA98029-E1CD-664A-900B-5C894F57A4D6}" destId="{4582AC68-95C3-E241-BD14-F144050A8DDD}" srcOrd="1" destOrd="0" presId="urn:microsoft.com/office/officeart/2005/8/layout/hierarchy2"/>
    <dgm:cxn modelId="{93A7469F-4B5D-BF42-A467-B439CB5A163B}" type="presOf" srcId="{256DD1E6-9C5F-4A47-B075-741002FC2E24}" destId="{206A7BBA-80D0-3447-A1D2-04A76361AF49}" srcOrd="0" destOrd="0" presId="urn:microsoft.com/office/officeart/2005/8/layout/hierarchy2"/>
    <dgm:cxn modelId="{F8A412A1-3B34-A34F-883D-CFA112777A7E}" type="presOf" srcId="{7A3B4591-82B8-4249-B244-1B280D1C2D79}" destId="{884CDB1F-ADC0-0A4A-ACE4-7B310BC18B94}" srcOrd="0" destOrd="0" presId="urn:microsoft.com/office/officeart/2005/8/layout/hierarchy2"/>
    <dgm:cxn modelId="{C6F475A1-1A92-CC42-801C-C210E6025A45}" type="presOf" srcId="{49FA51BC-13F8-3648-955B-68545A49B7A4}" destId="{92AACFC1-C667-E845-97C0-324FA33B79C2}" srcOrd="1" destOrd="0" presId="urn:microsoft.com/office/officeart/2005/8/layout/hierarchy2"/>
    <dgm:cxn modelId="{F55BB8A1-03B2-894C-BDA1-6AC74E5F8312}" type="presOf" srcId="{3788289E-6D6B-7944-9BA7-6EC4E132453D}" destId="{C23E3216-9363-7843-A064-7829C6156F68}" srcOrd="0" destOrd="0" presId="urn:microsoft.com/office/officeart/2005/8/layout/hierarchy2"/>
    <dgm:cxn modelId="{296762A2-680F-B64B-B190-A1CB8FE98CE1}" type="presOf" srcId="{4E2DA14C-4672-7546-826E-5447B21CAAE1}" destId="{B56E2045-BF2A-554C-BCA2-1CBAF90135FA}" srcOrd="0" destOrd="0" presId="urn:microsoft.com/office/officeart/2005/8/layout/hierarchy2"/>
    <dgm:cxn modelId="{37E513A3-3AF3-F440-A402-385852BE12FA}" type="presOf" srcId="{32C55B03-672F-CF46-9829-8E2A74CF4B2F}" destId="{F93BC2C3-6A5A-D849-B399-FD618E161629}" srcOrd="0" destOrd="0" presId="urn:microsoft.com/office/officeart/2005/8/layout/hierarchy2"/>
    <dgm:cxn modelId="{EC0519A3-103E-9D43-9750-36C26AB28AE6}" type="presOf" srcId="{245A84A5-455B-A147-88F3-D1522DAAA763}" destId="{05E20533-B868-844D-BE0F-3AC308FB8796}" srcOrd="0" destOrd="0" presId="urn:microsoft.com/office/officeart/2005/8/layout/hierarchy2"/>
    <dgm:cxn modelId="{04CB30A3-A2EA-6443-BFCD-0751CE447A0D}" type="presOf" srcId="{884517B3-2A40-A147-9465-A7083B28748A}" destId="{65720F38-ED47-BB4B-A1C4-016CE8003363}" srcOrd="1" destOrd="0" presId="urn:microsoft.com/office/officeart/2005/8/layout/hierarchy2"/>
    <dgm:cxn modelId="{1095B3A3-8E3B-274C-8C56-1B5528BB66D0}" type="presOf" srcId="{BE43D6BE-EE0F-4D45-97E9-37DF1F4C6CFC}" destId="{77911681-BDD6-3344-9901-628235157980}" srcOrd="0" destOrd="0" presId="urn:microsoft.com/office/officeart/2005/8/layout/hierarchy2"/>
    <dgm:cxn modelId="{1F6558A5-CA4A-8C41-B604-C268C6D49C98}" type="presOf" srcId="{335737D1-B9FD-F543-BBB0-866C04970F19}" destId="{6F67AB93-3F09-FA4B-AFF1-165D9C5B6D81}" srcOrd="1" destOrd="0" presId="urn:microsoft.com/office/officeart/2005/8/layout/hierarchy2"/>
    <dgm:cxn modelId="{1609BBA5-9AD8-864C-B5F9-5633C95BE5A8}" type="presOf" srcId="{A137832E-3BFD-EB46-89D7-F46FBDC3B142}" destId="{63AE9A40-A2F7-A045-9127-A3708C8BA3DE}" srcOrd="0" destOrd="0" presId="urn:microsoft.com/office/officeart/2005/8/layout/hierarchy2"/>
    <dgm:cxn modelId="{F681F7A5-0C15-854F-A533-50B7544BA2B6}" type="presOf" srcId="{4BA24C3B-5DDA-D14E-A8B6-445DFF666071}" destId="{1109EA00-262B-834E-8E71-741D7D6C1BE9}" srcOrd="1" destOrd="0" presId="urn:microsoft.com/office/officeart/2005/8/layout/hierarchy2"/>
    <dgm:cxn modelId="{F9981BA6-D326-A546-9E06-DBCFD4CFC988}" type="presOf" srcId="{83B534ED-1816-614A-9F03-5287F1F4C3C2}" destId="{A7C3D8CB-DEB3-1C4D-BE6E-B4BE631FE5BB}" srcOrd="1" destOrd="0" presId="urn:microsoft.com/office/officeart/2005/8/layout/hierarchy2"/>
    <dgm:cxn modelId="{E69AA2A6-2D18-3940-9567-262C355C345B}" type="presOf" srcId="{0FC6573B-131D-CD44-9C3E-24C3E52041FD}" destId="{4BC010F5-5345-1743-945B-25133BF2B2AA}" srcOrd="0" destOrd="0" presId="urn:microsoft.com/office/officeart/2005/8/layout/hierarchy2"/>
    <dgm:cxn modelId="{FFA67AA8-425B-C444-BA9E-64C99B809386}" type="presOf" srcId="{ADF79796-98C3-9044-B836-E7F813D218C0}" destId="{201F682A-2859-2D4D-A0B1-C7E7A60A4AB5}" srcOrd="1" destOrd="0" presId="urn:microsoft.com/office/officeart/2005/8/layout/hierarchy2"/>
    <dgm:cxn modelId="{5E9CB5A8-1DFA-9241-880A-80CEC7FE2B78}" type="presOf" srcId="{D72D60B0-EE0F-B345-A3F9-744F2038500A}" destId="{B6E30D49-DE41-5A43-AFAD-11D1C8CABA5B}" srcOrd="1" destOrd="0" presId="urn:microsoft.com/office/officeart/2005/8/layout/hierarchy2"/>
    <dgm:cxn modelId="{D259DBA8-05DC-274E-A85E-7541B90A9B18}" srcId="{7E0D3819-4E8C-4947-81EB-E456E998C684}" destId="{6D76A105-1FF2-1C45-91C5-6FF3BDA0C30C}" srcOrd="0" destOrd="0" parTransId="{AA94F12D-6505-1449-945A-85E9AF3FB0C7}" sibTransId="{9ED4245C-5BC8-A74F-93AC-812634406411}"/>
    <dgm:cxn modelId="{724D9AA9-3EA9-C74B-A92C-10F61EDF4993}" type="presOf" srcId="{BE43D6BE-EE0F-4D45-97E9-37DF1F4C6CFC}" destId="{77DBD7BB-A17D-9547-A1ED-B48E4B3792FE}" srcOrd="1" destOrd="0" presId="urn:microsoft.com/office/officeart/2005/8/layout/hierarchy2"/>
    <dgm:cxn modelId="{AAB321AA-3F21-5543-95E7-E91302ABF6B8}" type="presOf" srcId="{EB18CF88-57A5-614E-9AD5-846F42897453}" destId="{E6AD5C6A-63C4-2349-A773-BB6EE77F1552}" srcOrd="0" destOrd="0" presId="urn:microsoft.com/office/officeart/2005/8/layout/hierarchy2"/>
    <dgm:cxn modelId="{0E3534AB-7F32-CA40-B471-B729D19D88B2}" type="presOf" srcId="{9D758B81-B5C2-1943-9D4C-0DA33722FC06}" destId="{41978589-6758-E947-AA91-0AEB570690EC}" srcOrd="0" destOrd="0" presId="urn:microsoft.com/office/officeart/2005/8/layout/hierarchy2"/>
    <dgm:cxn modelId="{FDA0E5AB-C6A2-3C43-9ED9-7AC6BFC3AF27}" type="presOf" srcId="{3442AE2C-3866-854A-82D6-E5EEF172C613}" destId="{7DE84E1A-8933-D042-8AFA-8530C0148846}" srcOrd="0" destOrd="0" presId="urn:microsoft.com/office/officeart/2005/8/layout/hierarchy2"/>
    <dgm:cxn modelId="{D232F8AB-A7A2-A548-BE4C-E81AA6A6726D}" type="presOf" srcId="{542D81B7-98CF-4442-ABB4-3891BFF2BD56}" destId="{8E197325-27EB-FB4C-8C0D-5F6939C8F4FC}" srcOrd="1" destOrd="0" presId="urn:microsoft.com/office/officeart/2005/8/layout/hierarchy2"/>
    <dgm:cxn modelId="{4E0B1DAC-7E49-714F-A627-AB10A4CDD5CC}" type="presOf" srcId="{F4C4F253-F130-3943-A530-582381AE5C9E}" destId="{27A15EE9-AB67-114A-93A4-C6321D2FA731}" srcOrd="0" destOrd="0" presId="urn:microsoft.com/office/officeart/2005/8/layout/hierarchy2"/>
    <dgm:cxn modelId="{7830E9AC-108F-8948-BC50-E5D221D73692}" type="presOf" srcId="{F1433AEB-FDC6-5346-A293-D960B87DDC33}" destId="{1ED7ED7A-E93E-564E-9064-123818CF45F4}" srcOrd="0" destOrd="0" presId="urn:microsoft.com/office/officeart/2005/8/layout/hierarchy2"/>
    <dgm:cxn modelId="{40F26AAD-0A67-9641-A254-51AC38AFD1C0}" type="presOf" srcId="{7A0AAB08-CE84-B243-A5E5-66DD99C49372}" destId="{AF6A67E1-92CF-BB43-AB25-64926F65A831}" srcOrd="0" destOrd="0" presId="urn:microsoft.com/office/officeart/2005/8/layout/hierarchy2"/>
    <dgm:cxn modelId="{A87DD1AD-6D17-9744-95E2-AF364E18B01C}" type="presOf" srcId="{720B48A7-DA6C-ED4D-B29B-2688FCDBF080}" destId="{3D33D7E6-8570-A54F-A7B6-A13007F1D015}" srcOrd="0" destOrd="0" presId="urn:microsoft.com/office/officeart/2005/8/layout/hierarchy2"/>
    <dgm:cxn modelId="{6B18A8AE-2007-9A40-8747-F011409F2597}" type="presOf" srcId="{04451D86-D108-734B-B014-DF5F9FADCDE3}" destId="{AE37BC39-F713-6444-93BC-219EDF88956F}" srcOrd="1" destOrd="0" presId="urn:microsoft.com/office/officeart/2005/8/layout/hierarchy2"/>
    <dgm:cxn modelId="{839303AF-8CF1-0B4E-861D-C89EF8BA1B88}" type="presOf" srcId="{FD09F26D-F091-B84B-AE12-3437950B56C1}" destId="{A8A05613-88F7-154E-B671-11B6BE545A84}" srcOrd="0" destOrd="0" presId="urn:microsoft.com/office/officeart/2005/8/layout/hierarchy2"/>
    <dgm:cxn modelId="{39D8E6AF-1856-E849-B888-EF5D07448BDE}" srcId="{D5381B5B-393D-9D46-844A-D4BD8FC14058}" destId="{9D1867B4-11C7-A843-A324-42813C0E17E3}" srcOrd="3" destOrd="0" parTransId="{A982A071-AE54-EE40-B47C-659C2263303C}" sibTransId="{9A6AC2CB-F372-164C-A551-6AD85AA7CC19}"/>
    <dgm:cxn modelId="{7FE5C5B0-278B-4940-8093-6218631E8C2F}" type="presOf" srcId="{0C6DAFA2-3D5B-8442-8100-C4CFE720ABC9}" destId="{BB32562C-16A7-1143-AD07-46F6E3088404}" srcOrd="0" destOrd="0" presId="urn:microsoft.com/office/officeart/2005/8/layout/hierarchy2"/>
    <dgm:cxn modelId="{455DD8B0-CD8A-1742-9D7F-93E6B1EC7D1E}" type="presOf" srcId="{6B81626C-AAF8-E540-86F3-31F05C4B692B}" destId="{B213C8E7-05CA-3A4E-9A99-219F88718C86}" srcOrd="1" destOrd="0" presId="urn:microsoft.com/office/officeart/2005/8/layout/hierarchy2"/>
    <dgm:cxn modelId="{502165B1-0D38-DD49-912D-94FD18A45F28}" type="presOf" srcId="{C7B5D33B-3CB8-0A41-9CDA-AACCFD291ACE}" destId="{F63AB57E-E033-3D43-8D3E-33EA47B0715E}" srcOrd="0" destOrd="0" presId="urn:microsoft.com/office/officeart/2005/8/layout/hierarchy2"/>
    <dgm:cxn modelId="{06CB04B2-2AF9-1B43-8D05-8ACE215D8334}" type="presOf" srcId="{C03ACD29-BCE4-9248-9233-64F44249D625}" destId="{4BED9D2B-3EBE-E248-B4E3-7B9310FB8A11}" srcOrd="1" destOrd="0" presId="urn:microsoft.com/office/officeart/2005/8/layout/hierarchy2"/>
    <dgm:cxn modelId="{3B5545B2-6E20-0548-B3B1-438750E71CC3}" type="presOf" srcId="{49B62420-6A29-2741-AC14-16907352841B}" destId="{F9DC7F52-0736-6F4C-A798-E5006C12174E}" srcOrd="0" destOrd="0" presId="urn:microsoft.com/office/officeart/2005/8/layout/hierarchy2"/>
    <dgm:cxn modelId="{E56C87B2-84D2-A649-8277-1A0601B7570C}" type="presOf" srcId="{554E6D68-BCF1-244D-8331-A818B2ADCEE5}" destId="{BA17F2D1-5426-B446-8E2C-AF27B8375FB3}" srcOrd="0" destOrd="0" presId="urn:microsoft.com/office/officeart/2005/8/layout/hierarchy2"/>
    <dgm:cxn modelId="{23FC92B2-2742-B94E-86C2-EC0A99388DBF}" type="presOf" srcId="{3E7902D5-EB38-EC46-8F1A-49269BAD7730}" destId="{AC69AFBE-547D-0F49-8FBD-7B9C78ED3826}" srcOrd="0" destOrd="0" presId="urn:microsoft.com/office/officeart/2005/8/layout/hierarchy2"/>
    <dgm:cxn modelId="{1E4D02B3-0287-6A4D-B297-29443CB9013A}" type="presOf" srcId="{39492DDD-F437-954A-B9B6-07884158C094}" destId="{FC4BDBF9-668E-7246-AA1C-75C1FAEC3468}" srcOrd="0" destOrd="0" presId="urn:microsoft.com/office/officeart/2005/8/layout/hierarchy2"/>
    <dgm:cxn modelId="{28A93AB3-5552-E549-B350-83C91D581D74}" type="presOf" srcId="{2AED3907-ECDE-BD48-A5A5-1543623D08A7}" destId="{46FB4E8C-E578-1140-BDEB-9DF892225D13}" srcOrd="0" destOrd="0" presId="urn:microsoft.com/office/officeart/2005/8/layout/hierarchy2"/>
    <dgm:cxn modelId="{FC4EBFB3-77A2-734B-8829-91B5420C701D}" type="presOf" srcId="{4314B020-F441-A94D-B582-02A2130EA2B5}" destId="{4D292D26-FEA6-1844-BA59-60E7AEEB730B}" srcOrd="0" destOrd="0" presId="urn:microsoft.com/office/officeart/2005/8/layout/hierarchy2"/>
    <dgm:cxn modelId="{D6ADCCB4-F9BB-D345-A4E0-5F54F6343A7A}" type="presOf" srcId="{B1ACDF18-49A5-A249-A1E1-B48F2906E55D}" destId="{E96F2663-4723-8545-AEAF-2A2CA86B5B75}" srcOrd="0" destOrd="0" presId="urn:microsoft.com/office/officeart/2005/8/layout/hierarchy2"/>
    <dgm:cxn modelId="{A299E7B4-76E0-6248-800E-C209D101DC4E}" type="presOf" srcId="{4E3925ED-35EC-344E-9E73-B02240570459}" destId="{BEB20919-8988-3E4E-8937-0236021A964B}" srcOrd="1" destOrd="0" presId="urn:microsoft.com/office/officeart/2005/8/layout/hierarchy2"/>
    <dgm:cxn modelId="{710C10B5-85BA-4741-80A1-14DE9680C607}" type="presOf" srcId="{8E184C55-1C78-D042-ADB2-632BFC0D5FC3}" destId="{85569A46-7435-0C4A-830A-6BE10736E389}" srcOrd="0" destOrd="0" presId="urn:microsoft.com/office/officeart/2005/8/layout/hierarchy2"/>
    <dgm:cxn modelId="{5EA702B6-48FC-BC49-8C8B-862790F187FC}" type="presOf" srcId="{465DDD6F-3756-0943-86C9-6A8FE6ED8554}" destId="{13485AB8-35DD-9C47-AB00-46085A381A82}" srcOrd="0" destOrd="0" presId="urn:microsoft.com/office/officeart/2005/8/layout/hierarchy2"/>
    <dgm:cxn modelId="{525A0DB6-65AB-0248-831A-028A77838D68}" type="presOf" srcId="{D7C401DE-D614-FC42-BFB7-EF6E3913E2A5}" destId="{73F0CE9F-6727-5847-8270-31EB20A9B4D7}" srcOrd="1" destOrd="0" presId="urn:microsoft.com/office/officeart/2005/8/layout/hierarchy2"/>
    <dgm:cxn modelId="{75510CB7-9052-1148-9A4F-11985623C98A}" type="presOf" srcId="{3B992428-D239-3842-8688-2E91A6D5B8EA}" destId="{5A9C35A1-7032-1941-BF8A-703A7372500D}" srcOrd="1" destOrd="0" presId="urn:microsoft.com/office/officeart/2005/8/layout/hierarchy2"/>
    <dgm:cxn modelId="{6C173EB8-F97D-094C-9315-AA64347F21E1}" type="presOf" srcId="{F1F679CB-924A-9740-BFE5-4EA39D8F28C6}" destId="{890C2028-56BF-7C48-BEEF-DD9A118FD721}" srcOrd="0" destOrd="0" presId="urn:microsoft.com/office/officeart/2005/8/layout/hierarchy2"/>
    <dgm:cxn modelId="{1CBAEBB8-0D56-6A41-AA28-B1FCD11172C1}" srcId="{9911B2E0-1F3C-024F-9F73-E926FE255A4D}" destId="{C674E128-7E49-ED4F-B46C-F569D7625526}" srcOrd="0" destOrd="0" parTransId="{9A71CE3C-DEBB-EA44-8279-08E809E3FD5A}" sibTransId="{40A770FA-2D79-004E-8DD4-94F92EFB7964}"/>
    <dgm:cxn modelId="{B95849B9-4373-F441-A342-337FB15A36DE}" srcId="{78EDCD40-5022-4242-A61B-47C89B5C98FB}" destId="{0D6B794E-1DAC-1D48-855A-D9C2ADC24CB6}" srcOrd="1" destOrd="0" parTransId="{378EE33B-EB57-A64D-B526-B3632BD621EC}" sibTransId="{D086AFCB-603A-C14C-8113-DFAD0076DFE0}"/>
    <dgm:cxn modelId="{1CA37EB9-C745-5740-A8D8-992F1534375F}" type="presOf" srcId="{E934D5C2-84D1-914F-A749-5F2D57C07898}" destId="{46ECCF4E-40C0-0F45-8093-07B1D0DC2387}" srcOrd="1" destOrd="0" presId="urn:microsoft.com/office/officeart/2005/8/layout/hierarchy2"/>
    <dgm:cxn modelId="{39BE53BA-868F-D841-9768-DD5A24AE1CD9}" type="presOf" srcId="{335737D1-B9FD-F543-BBB0-866C04970F19}" destId="{490F0FD2-7B13-874B-9634-3A738944E5AC}" srcOrd="0" destOrd="0" presId="urn:microsoft.com/office/officeart/2005/8/layout/hierarchy2"/>
    <dgm:cxn modelId="{D5AB74BB-3654-D74D-A064-651A306DD373}" type="presOf" srcId="{2A99ABF2-1810-4D46-BB6B-51F0792BDF75}" destId="{DC3AFE56-753E-4D41-96AF-3945973B1E5F}" srcOrd="0" destOrd="0" presId="urn:microsoft.com/office/officeart/2005/8/layout/hierarchy2"/>
    <dgm:cxn modelId="{078FADBB-EB3E-A541-91F8-522D9B1D8BCD}" type="presOf" srcId="{9F0AB3BF-1C99-7940-BE29-C02971259FC9}" destId="{C1152C6A-BF5E-4A4D-A0BB-F1A1982DB359}" srcOrd="0" destOrd="0" presId="urn:microsoft.com/office/officeart/2005/8/layout/hierarchy2"/>
    <dgm:cxn modelId="{E38CB0BB-60E3-0942-8EF2-94FED67F8169}" type="presOf" srcId="{8F654256-E27C-704D-80D3-7F41545613CB}" destId="{2804B13C-97B9-214F-B42B-5BAF6C0085AC}" srcOrd="1" destOrd="0" presId="urn:microsoft.com/office/officeart/2005/8/layout/hierarchy2"/>
    <dgm:cxn modelId="{9AC1B6BD-67FD-CE4B-9A1C-EF22165EB4AA}" type="presOf" srcId="{AED09052-5C41-5F40-99E5-83762E29DD0C}" destId="{E8DFD233-810A-DE48-B57C-6CD438B438F0}" srcOrd="0" destOrd="0" presId="urn:microsoft.com/office/officeart/2005/8/layout/hierarchy2"/>
    <dgm:cxn modelId="{5FAA13BF-E6C7-634B-B76D-6DB4B6FA7CC0}" type="presOf" srcId="{8200E950-B436-C240-9EF0-C3EBFDC3BA7E}" destId="{0A3D2683-ACD4-4947-8320-7D2363362DB1}" srcOrd="0" destOrd="0" presId="urn:microsoft.com/office/officeart/2005/8/layout/hierarchy2"/>
    <dgm:cxn modelId="{B2AD6ABF-C21D-954E-8964-18E5906EF1B6}" type="presOf" srcId="{6997AF15-5056-E14F-BB3A-745ACA686502}" destId="{B3F5AF76-FC23-9F41-B46B-C2F747D47D77}" srcOrd="1" destOrd="0" presId="urn:microsoft.com/office/officeart/2005/8/layout/hierarchy2"/>
    <dgm:cxn modelId="{04C40DC0-40E4-9349-A8A2-E43DBA99DEC0}" srcId="{C1C78E06-3854-9E4B-85B9-D7F8AECB293B}" destId="{ED330B24-B5A7-554F-9FB2-6901AD32C6F4}" srcOrd="1" destOrd="0" parTransId="{0C676C43-3CE7-3849-B995-B9E0A2744C54}" sibTransId="{5C7E1552-D9CD-0641-9BFB-E2255C716318}"/>
    <dgm:cxn modelId="{6E4B68C0-DC4A-AF43-B6FC-810C34F525A8}" type="presOf" srcId="{D5381B5B-393D-9D46-844A-D4BD8FC14058}" destId="{E527687B-5E64-5543-9278-7D5AA79DA87D}" srcOrd="0" destOrd="0" presId="urn:microsoft.com/office/officeart/2005/8/layout/hierarchy2"/>
    <dgm:cxn modelId="{A83ADAC0-0408-0346-BEB4-8BD98CBA8996}" type="presOf" srcId="{B395BB7C-33C3-E942-B3C1-45D4A9CF7EA4}" destId="{F58E4F62-57A3-8A43-A443-27C2D3A7EFDB}" srcOrd="0" destOrd="0" presId="urn:microsoft.com/office/officeart/2005/8/layout/hierarchy2"/>
    <dgm:cxn modelId="{ED592BC2-C21C-4F42-9D4B-C84F5AFADDA4}" type="presOf" srcId="{49AADD15-CBD0-3C4A-BB25-85AE93AA007E}" destId="{8FF38AF2-4B9D-6E46-A689-EFCC7FC13136}" srcOrd="0" destOrd="0" presId="urn:microsoft.com/office/officeart/2005/8/layout/hierarchy2"/>
    <dgm:cxn modelId="{759569C2-586E-794C-9129-3D4B17079409}" type="presOf" srcId="{654A1DA4-129F-1F4B-8FF1-B5EBBF8DC9FB}" destId="{2AD0E970-12BB-2B4E-9F83-AF1154EE9D7E}" srcOrd="0" destOrd="0" presId="urn:microsoft.com/office/officeart/2005/8/layout/hierarchy2"/>
    <dgm:cxn modelId="{B0FA3BC3-71F2-DB4A-93C4-5B8555D28FFA}" type="presOf" srcId="{813C6849-A8C9-0A43-8215-00DD7F82E3DE}" destId="{78754AE0-3759-D042-885D-B4BD05ED5F24}" srcOrd="0" destOrd="0" presId="urn:microsoft.com/office/officeart/2005/8/layout/hierarchy2"/>
    <dgm:cxn modelId="{D6DB88C3-52A5-3C42-BCE0-C30FDAB5A367}" srcId="{881904A5-9B65-E244-99B0-72E8F383A36F}" destId="{8B0DAAE7-B401-3248-A48A-0C12B627AAE7}" srcOrd="0" destOrd="0" parTransId="{677DA4EE-A1C5-FD48-8498-8C30E228B0C9}" sibTransId="{2CA1AFF0-1ACC-5243-A475-CC70A93C20CA}"/>
    <dgm:cxn modelId="{F05767C4-F5FC-8849-B71F-BF3E41CFCD7E}" type="presOf" srcId="{F2059352-B8BE-5A49-87B3-50E0B9F49A31}" destId="{75051B60-8BE1-0041-8134-5CBD75C22703}" srcOrd="0" destOrd="0" presId="urn:microsoft.com/office/officeart/2005/8/layout/hierarchy2"/>
    <dgm:cxn modelId="{C9728AC4-4182-484A-8CDC-2E7ECD7B4ACA}" type="presOf" srcId="{598B7A7F-F1B3-2246-8C1A-F49F3180A76D}" destId="{FC6C8DCE-58A0-3E44-8CF3-EB768D2F99D2}" srcOrd="0" destOrd="0" presId="urn:microsoft.com/office/officeart/2005/8/layout/hierarchy2"/>
    <dgm:cxn modelId="{867620C5-E35E-8D48-BAEE-AB14F6C096D6}" type="presOf" srcId="{A43C92E8-6AAE-054D-919F-BACCF374C4CD}" destId="{A215F424-E077-0C4E-8F1F-4D1B37CB15DF}" srcOrd="0" destOrd="0" presId="urn:microsoft.com/office/officeart/2005/8/layout/hierarchy2"/>
    <dgm:cxn modelId="{926885C5-62A7-584A-A819-50312870CA21}" type="presOf" srcId="{1D6FA156-AEBD-BB4A-A989-16DABA880798}" destId="{4553EEA1-A8A8-7440-88DC-11EE28F2572D}" srcOrd="0" destOrd="0" presId="urn:microsoft.com/office/officeart/2005/8/layout/hierarchy2"/>
    <dgm:cxn modelId="{8460DCC8-6F46-EB4B-B2D6-0A19BC9C3EE4}" type="presOf" srcId="{42F401AE-E1A0-4E47-81BB-F9BF7AFBFD62}" destId="{E326F846-A3E8-B745-99B0-8711A33D9654}" srcOrd="0" destOrd="0" presId="urn:microsoft.com/office/officeart/2005/8/layout/hierarchy2"/>
    <dgm:cxn modelId="{F22A66C9-0DED-B64D-A42B-3D7CAA263206}" type="presOf" srcId="{F584A177-03C3-6F4B-9B05-60A438A93D74}" destId="{5883C28C-CD01-8D47-86D5-FB39A4E49FAF}" srcOrd="0" destOrd="0" presId="urn:microsoft.com/office/officeart/2005/8/layout/hierarchy2"/>
    <dgm:cxn modelId="{B1898BCB-1F21-E944-8B92-A05AC4A90D6D}" srcId="{3A1B7547-4481-6040-9913-39DD9F187734}" destId="{224257ED-8D37-B04C-950D-AAE5D375194F}" srcOrd="0" destOrd="0" parTransId="{0B98D000-3DC2-0842-A23E-F5E2DCC6CA9D}" sibTransId="{604EC1CA-607E-324A-A171-6EF59AF9448E}"/>
    <dgm:cxn modelId="{F8241ACC-C35E-0E4A-AF77-61A82E662E99}" type="presOf" srcId="{D72D60B0-EE0F-B345-A3F9-744F2038500A}" destId="{AF548F20-6D14-C34A-A887-640744F8B9CC}" srcOrd="0" destOrd="0" presId="urn:microsoft.com/office/officeart/2005/8/layout/hierarchy2"/>
    <dgm:cxn modelId="{90A03DCD-353A-E147-8D69-7355B99C8777}" srcId="{91EA14B2-3C44-AB4D-86A7-EF34D3932576}" destId="{DBEEDA1E-AE59-3142-8BE1-76DA4A72D349}" srcOrd="1" destOrd="0" parTransId="{14C2785F-9376-5A44-9257-401BB89E90DD}" sibTransId="{E5C53667-8091-A34F-976D-1AF0E7A18786}"/>
    <dgm:cxn modelId="{058BC8CD-3364-C443-A140-97CDB82DF9D6}" type="presOf" srcId="{CF539ADB-F46F-0545-8DDF-AEA9A0AE2D81}" destId="{E916A003-B8DA-D943-8EFA-59D49861E2C6}" srcOrd="0" destOrd="0" presId="urn:microsoft.com/office/officeart/2005/8/layout/hierarchy2"/>
    <dgm:cxn modelId="{E5FE56CE-5F81-9143-89DE-600B8D812757}" srcId="{79B57BF7-66CA-B54E-BDB4-F9B6FE057776}" destId="{0D4ADB1A-797B-704C-81EA-7311D3B61A40}" srcOrd="0" destOrd="0" parTransId="{EB18CF88-57A5-614E-9AD5-846F42897453}" sibTransId="{FB2B9DAB-8742-0943-9FF5-3CA483E3D099}"/>
    <dgm:cxn modelId="{4226E8CF-4582-E54F-85E3-D2DBEE551B4A}" type="presOf" srcId="{1B62C1C4-2BCE-D543-BEC5-AF80EF3BA04B}" destId="{1052ED91-8571-6544-A5EC-3DB803C14C66}" srcOrd="0" destOrd="0" presId="urn:microsoft.com/office/officeart/2005/8/layout/hierarchy2"/>
    <dgm:cxn modelId="{E56466D0-9F0B-1D45-A52D-0BDD6C2FBDBA}" type="presOf" srcId="{378EE33B-EB57-A64D-B526-B3632BD621EC}" destId="{FA098E5E-FB6F-5D48-9B68-BA6B6F679267}" srcOrd="0" destOrd="0" presId="urn:microsoft.com/office/officeart/2005/8/layout/hierarchy2"/>
    <dgm:cxn modelId="{4D7694D0-C784-7240-ACAC-39930931329F}" type="presOf" srcId="{22AB3447-4AD4-F542-9B74-FCC9EB659DCD}" destId="{DCB459D8-7275-B34C-BBCF-79EB78363042}" srcOrd="0" destOrd="0" presId="urn:microsoft.com/office/officeart/2005/8/layout/hierarchy2"/>
    <dgm:cxn modelId="{4CA534D1-C564-EB48-8FEA-5D8EEA1BADF3}" type="presOf" srcId="{76B27DA6-1ACB-AE42-95BD-19CFDED1A7B3}" destId="{B9610FCE-B082-EE44-9135-ABA86D825EBE}" srcOrd="0" destOrd="0" presId="urn:microsoft.com/office/officeart/2005/8/layout/hierarchy2"/>
    <dgm:cxn modelId="{18EC6CD1-A32D-0041-BB08-1A190E550CEB}" type="presOf" srcId="{6989CB89-43B1-E345-81FA-122774F7D212}" destId="{22BD5535-88B2-9B42-A8B4-1E5752F26F90}" srcOrd="0" destOrd="0" presId="urn:microsoft.com/office/officeart/2005/8/layout/hierarchy2"/>
    <dgm:cxn modelId="{E10784D1-457A-1946-B485-B5086FCE6BD6}" type="presOf" srcId="{17A1240D-8C80-5343-AA5A-E9D5BBC693B4}" destId="{C67516C0-9764-384F-B21B-FECA8E54F2AA}" srcOrd="1" destOrd="0" presId="urn:microsoft.com/office/officeart/2005/8/layout/hierarchy2"/>
    <dgm:cxn modelId="{857587D1-F6F9-0747-9E07-FCF36AE0AD32}" srcId="{2B3DF9C2-E70D-C945-8285-998BA7C6B0BB}" destId="{23C55B4E-FCE6-D748-BDFD-DD583FC26A7E}" srcOrd="0" destOrd="0" parTransId="{436F4737-3923-D34D-AA6D-18FA0E69F8EA}" sibTransId="{C50A26EC-DF58-244A-AA86-61DB91F62B81}"/>
    <dgm:cxn modelId="{C9D938D2-EAB3-A645-840A-80F61FC8AE5C}" type="presOf" srcId="{7B5F459C-0DD8-A14A-8579-07AA35F8CB63}" destId="{4B3AE3C5-1F77-1C4F-ADD9-B65CC61B9832}" srcOrd="0" destOrd="0" presId="urn:microsoft.com/office/officeart/2005/8/layout/hierarchy2"/>
    <dgm:cxn modelId="{82CEB4D2-ECA7-8E45-9035-EE4DAE075B8F}" srcId="{79B57BF7-66CA-B54E-BDB4-F9B6FE057776}" destId="{783B7503-8636-C541-8166-6BD240F51A24}" srcOrd="1" destOrd="0" parTransId="{B204665C-AC31-BD48-AEBC-5AA724BCC1A5}" sibTransId="{0148DA23-13B4-7D44-8C58-C92E91ED64EE}"/>
    <dgm:cxn modelId="{DC72BAD2-8DA8-AD4B-AD11-0926EDFC2836}" type="presOf" srcId="{A93FBB74-0104-1544-AA6B-8BEC8B304071}" destId="{35817B11-A55D-6E45-8D2B-2ADEE8D74C36}" srcOrd="1" destOrd="0" presId="urn:microsoft.com/office/officeart/2005/8/layout/hierarchy2"/>
    <dgm:cxn modelId="{29A5D8D2-CD25-CC43-B0EA-CEAA3195CA74}" type="presOf" srcId="{F3252B19-1571-5344-A1A2-AD8919BC1075}" destId="{C48139B8-D4E9-D648-AC91-7B6759F89794}" srcOrd="1" destOrd="0" presId="urn:microsoft.com/office/officeart/2005/8/layout/hierarchy2"/>
    <dgm:cxn modelId="{41F787D4-5805-A34E-A1C1-85BE5D4A288B}" type="presOf" srcId="{C2564780-98E5-8A42-847E-FBB95DC8F935}" destId="{3652E5CE-904C-C04A-8891-294215E8866C}" srcOrd="0" destOrd="0" presId="urn:microsoft.com/office/officeart/2005/8/layout/hierarchy2"/>
    <dgm:cxn modelId="{A75689D4-CDC0-834A-8FCF-B220C1F32BAC}" type="presOf" srcId="{27C5132D-0ACD-8645-97A9-26717F4DF6FE}" destId="{60F47704-38DC-1D4D-99B1-33B46B09331C}" srcOrd="0" destOrd="0" presId="urn:microsoft.com/office/officeart/2005/8/layout/hierarchy2"/>
    <dgm:cxn modelId="{CA1AE6D4-9305-EF44-ADEC-169132E559A4}" srcId="{A43C92E8-6AAE-054D-919F-BACCF374C4CD}" destId="{5A363708-8A9D-7E46-9E05-D4A58D931FC7}" srcOrd="2" destOrd="0" parTransId="{884517B3-2A40-A147-9465-A7083B28748A}" sibTransId="{BCE14A72-AF55-064D-80B2-A660487C315C}"/>
    <dgm:cxn modelId="{ACA300D6-DDAC-7447-B839-AB66AE415F07}" srcId="{F1433AEB-FDC6-5346-A293-D960B87DDC33}" destId="{A4BCD750-CACD-3544-AC7B-859B5744BBA5}" srcOrd="0" destOrd="0" parTransId="{94632BE6-8489-3447-A661-F422DF7077CF}" sibTransId="{11E93B0D-984C-FF4C-973D-00C43361EE54}"/>
    <dgm:cxn modelId="{C14913D6-5628-8441-B920-DDC10628DBFD}" type="presOf" srcId="{57E7B5ED-B1DA-D149-B207-BA129B5A9D5B}" destId="{5BD30594-CCC2-FB40-8946-9B1A1ACC9E9A}" srcOrd="0" destOrd="0" presId="urn:microsoft.com/office/officeart/2005/8/layout/hierarchy2"/>
    <dgm:cxn modelId="{10387DD7-6846-5C4E-9E77-F2820BB90083}" type="presOf" srcId="{2BAEB5F8-46F9-9D48-B01F-A448672F36B5}" destId="{67B04B40-C7A5-1F4E-9876-F2B292194FC4}" srcOrd="1" destOrd="0" presId="urn:microsoft.com/office/officeart/2005/8/layout/hierarchy2"/>
    <dgm:cxn modelId="{F9AB81D7-8DFE-FE45-ACE8-A5744220544E}" srcId="{1CF2D16F-F77D-7E40-B43C-CF152DCDBF2E}" destId="{BE7F27C9-5D43-3A4C-A51C-FC4BD163CFC9}" srcOrd="1" destOrd="0" parTransId="{9FD09810-7825-BF45-87E5-F5179EFB6B31}" sibTransId="{EFFBB0F7-38A0-AB46-9405-EF1E5DEF5BFB}"/>
    <dgm:cxn modelId="{EEE2C6D8-2827-3D4B-8116-75FE9EF8FF81}" type="presOf" srcId="{C3B7A7AD-A4AB-4C40-BA12-96056A898322}" destId="{0DBB454F-EA32-D841-8B3F-F0405E94E8B3}" srcOrd="0" destOrd="0" presId="urn:microsoft.com/office/officeart/2005/8/layout/hierarchy2"/>
    <dgm:cxn modelId="{DC2ED2D8-019F-3F4F-8C30-AD07624E2DDF}" srcId="{A43C92E8-6AAE-054D-919F-BACCF374C4CD}" destId="{2A6477B6-0514-544F-8FB2-CE77F3C43B66}" srcOrd="3" destOrd="0" parTransId="{6D6A4EFF-039E-E04F-A9DD-C0225DDFFA76}" sibTransId="{E78E9096-AC93-5A4F-B4AC-50601B733ED1}"/>
    <dgm:cxn modelId="{3C9473DA-88B7-C049-AB4A-2DF6EF4AC867}" type="presOf" srcId="{44677CFA-9D35-524D-8C17-EC333DA1DEE9}" destId="{898A113D-64E8-2F47-9D63-E12264618225}" srcOrd="0" destOrd="0" presId="urn:microsoft.com/office/officeart/2005/8/layout/hierarchy2"/>
    <dgm:cxn modelId="{A386BBDA-CA3F-F847-BF41-90E3D1A61D06}" type="presOf" srcId="{D5F80929-995E-D144-AC1A-7F390989C50F}" destId="{92B2FF25-44B5-ED41-859B-F2487A0F3F20}" srcOrd="0" destOrd="0" presId="urn:microsoft.com/office/officeart/2005/8/layout/hierarchy2"/>
    <dgm:cxn modelId="{6A64FDDA-71A8-D44B-A7D7-752EDAEC253C}" type="presOf" srcId="{79B57BF7-66CA-B54E-BDB4-F9B6FE057776}" destId="{BF432A02-994E-5043-B97D-E483D7FA861D}" srcOrd="0" destOrd="0" presId="urn:microsoft.com/office/officeart/2005/8/layout/hierarchy2"/>
    <dgm:cxn modelId="{CD86ACDB-F28F-204D-930B-D730EDECBC11}" type="presOf" srcId="{DFD2087A-AA7D-D24D-9E9E-71A5CFCB9BA3}" destId="{4CDA315F-2834-C74C-86AB-513CD784BB09}" srcOrd="0" destOrd="0" presId="urn:microsoft.com/office/officeart/2005/8/layout/hierarchy2"/>
    <dgm:cxn modelId="{DABB32DC-0A7C-E340-B3F6-027576B205AE}" type="presOf" srcId="{E542EC12-B086-5545-9AEB-48182A273DAD}" destId="{669C4B3F-D510-214A-A2D9-02C2895718F8}" srcOrd="1" destOrd="0" presId="urn:microsoft.com/office/officeart/2005/8/layout/hierarchy2"/>
    <dgm:cxn modelId="{216574DD-631F-B046-9387-950C3C04A930}" srcId="{057E0A13-9939-8E4B-9971-05E12D42F428}" destId="{CAD48502-1339-464C-B623-DED6A3EB2866}" srcOrd="0" destOrd="0" parTransId="{D0BE74C5-6255-A64D-8A30-1E25A39B2A06}" sibTransId="{4D37B4E1-FB1C-FF44-8CA5-BB59DEE3A42D}"/>
    <dgm:cxn modelId="{A2BC16DE-17E2-204F-8460-7776C3BCB34E}" type="presOf" srcId="{C9BD6FF7-5F9D-2E4F-8EED-9BF2F76726B8}" destId="{92A54882-3F68-4549-80DA-DB37FFB6776D}" srcOrd="0" destOrd="0" presId="urn:microsoft.com/office/officeart/2005/8/layout/hierarchy2"/>
    <dgm:cxn modelId="{4D1354DF-1A5B-3A4E-9006-64E013CF8800}" srcId="{9E7243EA-B6ED-1843-B96C-2BAFFE6A6B65}" destId="{3788289E-6D6B-7944-9BA7-6EC4E132453D}" srcOrd="1" destOrd="0" parTransId="{6997AF15-5056-E14F-BB3A-745ACA686502}" sibTransId="{535E72BF-85EB-8F40-8C09-5A4CFBBC7924}"/>
    <dgm:cxn modelId="{D5ADEADF-AEE1-5B48-8091-F7FC7FBC50D6}" type="presOf" srcId="{0D4ADB1A-797B-704C-81EA-7311D3B61A40}" destId="{E6C2D0A2-5090-6040-B1BB-7B07DC53D28A}" srcOrd="0" destOrd="0" presId="urn:microsoft.com/office/officeart/2005/8/layout/hierarchy2"/>
    <dgm:cxn modelId="{F3BD40E0-9A33-AC45-9372-B5F2FA236518}" srcId="{9D731453-6A92-6948-914D-60DCD37102AC}" destId="{7FAF9F45-1D3E-A048-9226-66EA585C253A}" srcOrd="1" destOrd="0" parTransId="{61CF34B7-C6D7-324B-AEDC-16AC8D42D3B8}" sibTransId="{42E6BEE7-F769-AA4A-BF61-D0E36D2F0685}"/>
    <dgm:cxn modelId="{275214E1-E324-BF49-89F6-7EFD183A8370}" type="presOf" srcId="{2AED3907-ECDE-BD48-A5A5-1543623D08A7}" destId="{E0994329-13EE-094C-8263-0C0983EFB141}" srcOrd="1" destOrd="0" presId="urn:microsoft.com/office/officeart/2005/8/layout/hierarchy2"/>
    <dgm:cxn modelId="{C84D58E1-8033-B64E-834E-264BA73B7224}" type="presOf" srcId="{7CA08A65-C5A5-304C-8FEC-CA451AC1F6A8}" destId="{24F0B331-28D0-AA49-980A-4B2082FA3553}" srcOrd="1" destOrd="0" presId="urn:microsoft.com/office/officeart/2005/8/layout/hierarchy2"/>
    <dgm:cxn modelId="{71F71CE2-CD25-E849-90EB-BC73D84BC626}" type="presOf" srcId="{0C676C43-3CE7-3849-B995-B9E0A2744C54}" destId="{5E102A16-85C3-2844-B82E-D80187B1441C}" srcOrd="0" destOrd="0" presId="urn:microsoft.com/office/officeart/2005/8/layout/hierarchy2"/>
    <dgm:cxn modelId="{4ED748E2-49BD-3A43-A019-8E2E0FE1391B}" type="presOf" srcId="{039CE7B2-824F-034A-B238-9CEDA9BFDDD0}" destId="{A8A269D2-C0BC-6A40-9165-21A20B2BC087}" srcOrd="0" destOrd="0" presId="urn:microsoft.com/office/officeart/2005/8/layout/hierarchy2"/>
    <dgm:cxn modelId="{F3A419E3-B4A0-EC4A-B350-88A445958429}" type="presOf" srcId="{9D1867B4-11C7-A843-A324-42813C0E17E3}" destId="{F49659EF-7E47-2D41-8BC1-B97974D7D2CF}" srcOrd="0" destOrd="0" presId="urn:microsoft.com/office/officeart/2005/8/layout/hierarchy2"/>
    <dgm:cxn modelId="{9E2B22E3-59CA-4346-AD13-63B71305632C}" type="presOf" srcId="{638FD1AB-C16F-454B-ACC9-781CBFF0861A}" destId="{24F87232-7CF1-E345-B3B2-4CAB2E4B6275}" srcOrd="1" destOrd="0" presId="urn:microsoft.com/office/officeart/2005/8/layout/hierarchy2"/>
    <dgm:cxn modelId="{D0214FE4-3097-7D4C-A23A-2AF8681F2920}" type="presOf" srcId="{61CF34B7-C6D7-324B-AEDC-16AC8D42D3B8}" destId="{80C47BB5-FCBC-434A-AA3C-F7403E3CA06F}" srcOrd="1" destOrd="0" presId="urn:microsoft.com/office/officeart/2005/8/layout/hierarchy2"/>
    <dgm:cxn modelId="{89A698E4-F4AE-BF48-9229-8E19D759F98C}" srcId="{D5381B5B-393D-9D46-844A-D4BD8FC14058}" destId="{F1F679CB-924A-9740-BFE5-4EA39D8F28C6}" srcOrd="0" destOrd="0" parTransId="{A73DA725-FFFF-9A46-8044-434A1D595106}" sibTransId="{C698C39D-2A1C-0C4B-82D1-92AB68B1BD01}"/>
    <dgm:cxn modelId="{0E053DE5-9B18-304C-B550-FF797CBC2C0C}" type="presOf" srcId="{A21071B3-E01C-984B-A32A-83F541F562F9}" destId="{F27A1C25-E22E-804F-A65A-FEA13FE665C2}" srcOrd="0" destOrd="0" presId="urn:microsoft.com/office/officeart/2005/8/layout/hierarchy2"/>
    <dgm:cxn modelId="{FA8E4CE5-B985-EF43-B214-A6FF76074DAD}" srcId="{49AADD15-CBD0-3C4A-BB25-85AE93AA007E}" destId="{D0E64F52-6BBD-154E-A48F-6018128769D1}" srcOrd="0" destOrd="0" parTransId="{BBE2DC66-5EDD-544C-8A7E-F4CBE1DA6A97}" sibTransId="{B1A8FAA7-A589-AC4E-8996-8613744C0740}"/>
    <dgm:cxn modelId="{3E164FE5-827B-AB4B-B5E7-7924B67E2768}" type="presOf" srcId="{3437A338-FBB4-E841-B048-9CC47C975E56}" destId="{F320D9D0-7F01-1548-965D-40EF486C7BBC}" srcOrd="0" destOrd="0" presId="urn:microsoft.com/office/officeart/2005/8/layout/hierarchy2"/>
    <dgm:cxn modelId="{D576A2E6-2259-0949-9572-C625FD556E21}" type="presOf" srcId="{72B9EEC2-7AE8-044B-BC5F-92F0F6D5E94F}" destId="{1EC1C0C6-BDBF-8143-8838-4EB7B7233DD3}" srcOrd="0" destOrd="0" presId="urn:microsoft.com/office/officeart/2005/8/layout/hierarchy2"/>
    <dgm:cxn modelId="{D09F8EE7-B6CB-B943-B955-61F1391C283A}" type="presOf" srcId="{9C5D4721-0A47-7742-94BD-93AA629602EB}" destId="{41FD77B8-245A-4D47-AF58-FF3E78FF995A}" srcOrd="1" destOrd="0" presId="urn:microsoft.com/office/officeart/2005/8/layout/hierarchy2"/>
    <dgm:cxn modelId="{A6EAA2E7-7CF3-5A4E-9E5E-4D65F3164C22}" type="presOf" srcId="{3A1B7547-4481-6040-9913-39DD9F187734}" destId="{05BBA82D-3861-9D45-B27B-B23B7D4518F1}" srcOrd="0" destOrd="0" presId="urn:microsoft.com/office/officeart/2005/8/layout/hierarchy2"/>
    <dgm:cxn modelId="{F30EEEE7-BD70-FC4B-A137-936B707CE4AB}" srcId="{DFD2087A-AA7D-D24D-9E9E-71A5CFCB9BA3}" destId="{811FC899-DAB7-C641-8217-A8BB5E68B68F}" srcOrd="0" destOrd="0" parTransId="{654A1DA4-129F-1F4B-8FF1-B5EBBF8DC9FB}" sibTransId="{271E7350-D196-1840-8CA2-87DE7D8539FE}"/>
    <dgm:cxn modelId="{EAB53AE9-EBDD-8E47-B1C2-06FA0616090E}" type="presOf" srcId="{B2BDC843-E22E-C14E-8C54-73146F18D74D}" destId="{1D2378A9-C46A-D04C-9B3A-571B7753D57F}" srcOrd="1" destOrd="0" presId="urn:microsoft.com/office/officeart/2005/8/layout/hierarchy2"/>
    <dgm:cxn modelId="{CF6B83E9-B06C-2941-AB4D-097116742F88}" type="presOf" srcId="{6D6A4EFF-039E-E04F-A9DD-C0225DDFFA76}" destId="{D7CE84B0-2AD4-4C48-A1F8-255F255C124C}" srcOrd="0" destOrd="0" presId="urn:microsoft.com/office/officeart/2005/8/layout/hierarchy2"/>
    <dgm:cxn modelId="{AD6FEBE9-8FB4-0443-A9A4-5C581A3096C4}" srcId="{CAD48502-1339-464C-B623-DED6A3EB2866}" destId="{039CE7B2-824F-034A-B238-9CEDA9BFDDD0}" srcOrd="0" destOrd="0" parTransId="{05753FB2-7758-F048-86E2-2B99D33EFB48}" sibTransId="{A1BAD40A-2A37-CD46-9867-A94D7021D326}"/>
    <dgm:cxn modelId="{CDE8EDE9-0473-7E47-BBD2-4ACE30899F62}" type="presOf" srcId="{FB0BA340-1287-6F40-A882-9CAF97D49B02}" destId="{29B011CE-FEB4-5146-AFD2-55FBAF12FF26}" srcOrd="0" destOrd="0" presId="urn:microsoft.com/office/officeart/2005/8/layout/hierarchy2"/>
    <dgm:cxn modelId="{8353F9E9-D7F0-084B-9DA7-222308C2B713}" type="presOf" srcId="{5E467068-52C6-0647-83BB-9640C5CDFE57}" destId="{B6457DC2-1250-164B-B051-D097964FCD49}" srcOrd="1" destOrd="0" presId="urn:microsoft.com/office/officeart/2005/8/layout/hierarchy2"/>
    <dgm:cxn modelId="{33B803EA-E755-9A43-8F76-6622C0C6A8DD}" srcId="{1CF2D16F-F77D-7E40-B43C-CF152DCDBF2E}" destId="{D5F80929-995E-D144-AC1A-7F390989C50F}" srcOrd="0" destOrd="0" parTransId="{BE43D6BE-EE0F-4D45-97E9-37DF1F4C6CFC}" sibTransId="{71497E74-D195-F841-A920-6666252E990E}"/>
    <dgm:cxn modelId="{3A9EDBEA-AE86-BA42-B331-70EAD9C35749}" srcId="{F1F679CB-924A-9740-BFE5-4EA39D8F28C6}" destId="{43875140-1255-FC40-A8FB-CF6B33B64566}" srcOrd="0" destOrd="0" parTransId="{2D971DE0-589F-2A4A-ADA1-B1E673B2E7EF}" sibTransId="{86DC6268-021A-CA43-B5B7-A2AF9D5334E4}"/>
    <dgm:cxn modelId="{791FFDEA-88BE-824D-AABE-81F56DB578A1}" type="presOf" srcId="{6997AF15-5056-E14F-BB3A-745ACA686502}" destId="{DDC303B7-12C7-9B45-9033-44DEF8033C4B}" srcOrd="0" destOrd="0" presId="urn:microsoft.com/office/officeart/2005/8/layout/hierarchy2"/>
    <dgm:cxn modelId="{82149EEC-E83A-6F48-8E6D-25298638770D}" type="presOf" srcId="{BE67E905-6809-804A-9B96-F54E3CCC63FD}" destId="{989B0A97-4446-D448-A9AF-54FECBDCBC30}" srcOrd="0" destOrd="0" presId="urn:microsoft.com/office/officeart/2005/8/layout/hierarchy2"/>
    <dgm:cxn modelId="{9FADF9EC-8133-834F-9E1B-0FB062EE75BD}" type="presOf" srcId="{49B62420-6A29-2741-AC14-16907352841B}" destId="{C765EECB-6666-F642-B316-A43C3B5F5DE7}" srcOrd="1" destOrd="0" presId="urn:microsoft.com/office/officeart/2005/8/layout/hierarchy2"/>
    <dgm:cxn modelId="{73CB1FED-4FAE-AD4F-8381-4C788C849E3B}" type="presOf" srcId="{7B5F459C-0DD8-A14A-8579-07AA35F8CB63}" destId="{C797FADA-6CD1-A44C-9B03-0CDAB052B3A3}" srcOrd="1" destOrd="0" presId="urn:microsoft.com/office/officeart/2005/8/layout/hierarchy2"/>
    <dgm:cxn modelId="{EAEA64ED-0F2C-6F48-9D54-3E640BA8CED9}" srcId="{9653A3DA-630B-3541-8B42-ADD100B81603}" destId="{A1587CDD-2A23-9A4D-BBC4-9A5BAD32B9EB}" srcOrd="0" destOrd="0" parTransId="{1CAC6327-888D-0F46-877B-745877E4FADE}" sibTransId="{8884D493-CA15-4D41-A33B-7F14337D78BD}"/>
    <dgm:cxn modelId="{F020E5ED-38DC-C440-A3C0-223681352FE2}" type="presOf" srcId="{0E27F051-1033-2142-9BB5-D64B25A4791A}" destId="{8F117446-8241-B84D-A696-580165D30A4F}" srcOrd="0" destOrd="0" presId="urn:microsoft.com/office/officeart/2005/8/layout/hierarchy2"/>
    <dgm:cxn modelId="{461F38EE-5AA6-ED44-BD7D-F934EDCDE68D}" srcId="{4B15793C-71FA-1A4A-9E7D-00D0985DA88C}" destId="{1CF2D16F-F77D-7E40-B43C-CF152DCDBF2E}" srcOrd="1" destOrd="0" parTransId="{12E5A8D9-B8D7-374F-A3DD-7B7A1B672D1F}" sibTransId="{7D2A691B-A3C3-3743-891C-28EFC92C0098}"/>
    <dgm:cxn modelId="{277A48EE-E47F-9D48-B02B-870FCA82A1A3}" type="presOf" srcId="{3AA98029-E1CD-664A-900B-5C894F57A4D6}" destId="{3B43E233-AC1B-EF47-96D1-B8386A516FEC}" srcOrd="0" destOrd="0" presId="urn:microsoft.com/office/officeart/2005/8/layout/hierarchy2"/>
    <dgm:cxn modelId="{C05CA0EE-C4F6-5A4D-8E52-DDE3B11AFB65}" type="presOf" srcId="{8D4B400C-F8E5-A44D-93D7-E7EEB3BE7E50}" destId="{699F8F4D-D766-F14E-8860-C2799A400D25}" srcOrd="1" destOrd="0" presId="urn:microsoft.com/office/officeart/2005/8/layout/hierarchy2"/>
    <dgm:cxn modelId="{DB57E5EF-D2EA-9C47-925F-16B41462E392}" srcId="{0C9CD2EC-18FB-2648-A307-220C0F1CEB7A}" destId="{F62E0A5F-75F9-2044-A408-1006267DFE71}" srcOrd="0" destOrd="0" parTransId="{B2BDC843-E22E-C14E-8C54-73146F18D74D}" sibTransId="{01ABC9B7-1D26-8844-B4C6-FA00F84E5AAD}"/>
    <dgm:cxn modelId="{5F13E9EF-02EA-6142-89D5-CB1CD1A9ECE3}" type="presOf" srcId="{FDDE80DA-B872-2A4D-9627-DCB4BE4A544E}" destId="{74701B83-02F9-5B4E-96D9-9FB62E0B4608}" srcOrd="0" destOrd="0" presId="urn:microsoft.com/office/officeart/2005/8/layout/hierarchy2"/>
    <dgm:cxn modelId="{6B8F93F1-D219-2A49-801F-3AB015B39193}" type="presOf" srcId="{76CC34A3-FE6A-5D41-8F17-B1A2777F672C}" destId="{5E1B448D-7475-364F-9237-E274A4B984F6}" srcOrd="0" destOrd="0" presId="urn:microsoft.com/office/officeart/2005/8/layout/hierarchy2"/>
    <dgm:cxn modelId="{8D75C7F1-3438-7549-B4B4-F78811FD7DE0}" srcId="{F584A177-03C3-6F4B-9B05-60A438A93D74}" destId="{252E39C4-D9B4-B44A-B8D8-0274723E5C8C}" srcOrd="0" destOrd="0" parTransId="{3F8C8E64-0D30-1C4A-B09F-C8C6B752AA2C}" sibTransId="{67CEE332-01B4-3E4E-BCFA-A532A48F2B5F}"/>
    <dgm:cxn modelId="{BCCFD3F1-C33C-BA41-B8D8-6535E113CABE}" type="presOf" srcId="{0B98D000-3DC2-0842-A23E-F5E2DCC6CA9D}" destId="{90ACB537-42BA-CA49-97FA-D0B16352658A}" srcOrd="1" destOrd="0" presId="urn:microsoft.com/office/officeart/2005/8/layout/hierarchy2"/>
    <dgm:cxn modelId="{26DBC2F2-6F94-284E-90C0-44FDD4AD4AD8}" type="presOf" srcId="{D020DCE5-AEE2-8D40-AD1B-8C30241F1226}" destId="{135C2B86-9D24-4542-8ED4-4D33790327BA}" srcOrd="1" destOrd="0" presId="urn:microsoft.com/office/officeart/2005/8/layout/hierarchy2"/>
    <dgm:cxn modelId="{B352FAF2-0F1F-4F43-9FBD-D9F87C3EF5BB}" srcId="{3E7902D5-EB38-EC46-8F1A-49269BAD7730}" destId="{76CC34A3-FE6A-5D41-8F17-B1A2777F672C}" srcOrd="0" destOrd="0" parTransId="{17A1240D-8C80-5343-AA5A-E9D5BBC693B4}" sibTransId="{C01D900B-7B04-BE4D-AA87-582AB35DD0AC}"/>
    <dgm:cxn modelId="{8D360FF3-025E-C24A-AAF3-7FC1CFF2E6F4}" type="presOf" srcId="{AE5E2D3C-297F-3145-A4FC-F6E9C7F6EDF1}" destId="{2F54A078-12A4-1F44-A8E6-FECCBA4A678E}" srcOrd="1" destOrd="0" presId="urn:microsoft.com/office/officeart/2005/8/layout/hierarchy2"/>
    <dgm:cxn modelId="{C5CB35F3-628D-5A45-9B3A-7846A6A3CD4F}" srcId="{43875140-1255-FC40-A8FB-CF6B33B64566}" destId="{54F38B82-6435-A649-AEB2-742F57D0E16D}" srcOrd="0" destOrd="0" parTransId="{22AB3447-4AD4-F542-9B74-FCC9EB659DCD}" sibTransId="{6F9047E7-1B32-8A45-8962-385C50D23713}"/>
    <dgm:cxn modelId="{E79040F3-8EF8-AB42-AB4F-BEAC779EFDED}" srcId="{23C55B4E-FCE6-D748-BDFD-DD583FC26A7E}" destId="{B8DCCF3C-F3FA-1D4E-9010-2AAF12365369}" srcOrd="0" destOrd="0" parTransId="{638FD1AB-C16F-454B-ACC9-781CBFF0861A}" sibTransId="{68496543-421E-8D49-BAD3-E64B23A3DD61}"/>
    <dgm:cxn modelId="{E67D89F3-D8FD-DC43-9D40-C9433C81DD30}" type="presOf" srcId="{31F14C31-81E3-9D41-B00D-FBC8909D77F8}" destId="{4A27A813-107C-A041-8813-708FF1B22E93}" srcOrd="1" destOrd="0" presId="urn:microsoft.com/office/officeart/2005/8/layout/hierarchy2"/>
    <dgm:cxn modelId="{F61F3EF4-3EFB-0244-B489-7D092A0F0D96}" type="presOf" srcId="{C674E128-7E49-ED4F-B46C-F569D7625526}" destId="{F20FBAE4-C861-BE45-ABD5-1EE826444DFC}" srcOrd="0" destOrd="0" presId="urn:microsoft.com/office/officeart/2005/8/layout/hierarchy2"/>
    <dgm:cxn modelId="{203C91F4-06B6-7846-A22C-B63B130C7150}" type="presOf" srcId="{4CA883E9-A589-9C4D-AF6A-1B2B7353DD72}" destId="{EE058887-40B9-5044-8DFD-FA0F62275D11}" srcOrd="1" destOrd="0" presId="urn:microsoft.com/office/officeart/2005/8/layout/hierarchy2"/>
    <dgm:cxn modelId="{DC2C9FF5-1919-044D-B12C-ACC102E051C0}" type="presOf" srcId="{1F1E704E-4A18-D947-AAD2-8E29CF870907}" destId="{7EC23DDA-FC00-904A-8F3A-240654B49321}" srcOrd="0" destOrd="0" presId="urn:microsoft.com/office/officeart/2005/8/layout/hierarchy2"/>
    <dgm:cxn modelId="{7D0F4EF7-8071-F249-B68D-40D5EE515448}" srcId="{B8DCCF3C-F3FA-1D4E-9010-2AAF12365369}" destId="{A43C92E8-6AAE-054D-919F-BACCF374C4CD}" srcOrd="0" destOrd="0" parTransId="{F2059352-B8BE-5A49-87B3-50E0B9F49A31}" sibTransId="{BE6006E3-37DE-F84C-B9D8-E1ED0FBC81E3}"/>
    <dgm:cxn modelId="{CA81C5F7-F6C0-3347-A60D-736E53B36C13}" srcId="{FD6773F0-9BCE-3E48-80DE-EB48125E502C}" destId="{C7B5D33B-3CB8-0A41-9CDA-AACCFD291ACE}" srcOrd="0" destOrd="0" parTransId="{AE5E2D3C-297F-3145-A4FC-F6E9C7F6EDF1}" sibTransId="{3210ACAB-18C9-204C-8AFE-7FCB52FAA47E}"/>
    <dgm:cxn modelId="{7BC32FF8-CCE4-E34E-8938-56967D453C85}" srcId="{45AFB6BE-BE88-4F4A-A2A6-92A47C4A9E18}" destId="{F4C4F253-F130-3943-A530-582381AE5C9E}" srcOrd="0" destOrd="0" parTransId="{0FC6573B-131D-CD44-9C3E-24C3E52041FD}" sibTransId="{E242523F-A66C-6342-B531-67C98D804CDF}"/>
    <dgm:cxn modelId="{86F56DF8-0C9D-4545-9F51-41B2098175C2}" type="presOf" srcId="{D0BE74C5-6255-A64D-8A30-1E25A39B2A06}" destId="{D3C2A478-92DB-1B4A-BEA8-81D9E65D7184}" srcOrd="0" destOrd="0" presId="urn:microsoft.com/office/officeart/2005/8/layout/hierarchy2"/>
    <dgm:cxn modelId="{E5EB2AF9-CC54-CE4C-BF70-E5C9097241F6}" srcId="{72B9EEC2-7AE8-044B-BC5F-92F0F6D5E94F}" destId="{0E27F051-1033-2142-9BB5-D64B25A4791A}" srcOrd="0" destOrd="0" parTransId="{98D17164-CF9F-DA4B-AFA7-A0BA8010EA49}" sibTransId="{6F71AC08-14DF-E541-B657-0BE80B292CA3}"/>
    <dgm:cxn modelId="{0F12CFF9-B400-CC48-BA3C-FA563D6A662E}" srcId="{91EA14B2-3C44-AB4D-86A7-EF34D3932576}" destId="{C9BD6FF7-5F9D-2E4F-8EED-9BF2F76726B8}" srcOrd="0" destOrd="0" parTransId="{C7CEB2E6-188D-134A-AAA7-ACAB3DD08A50}" sibTransId="{35B2C481-CDD7-C345-900B-AF943AB581E9}"/>
    <dgm:cxn modelId="{3D00AFFA-BE90-5C43-9829-4FC4C7EAC97B}" type="presOf" srcId="{CF539ADB-F46F-0545-8DDF-AEA9A0AE2D81}" destId="{40577FBC-B833-7E4C-8768-8B6D62BF167B}" srcOrd="1" destOrd="0" presId="urn:microsoft.com/office/officeart/2005/8/layout/hierarchy2"/>
    <dgm:cxn modelId="{C147B0FA-686E-7C41-8195-52381A945C21}" type="presOf" srcId="{B204665C-AC31-BD48-AEBC-5AA724BCC1A5}" destId="{4EDE5E54-EA2F-654F-B8EA-74DD6288BF10}" srcOrd="1" destOrd="0" presId="urn:microsoft.com/office/officeart/2005/8/layout/hierarchy2"/>
    <dgm:cxn modelId="{1CDDEDFA-93E0-574D-B057-D92246A5F073}" type="presOf" srcId="{FD6773F0-9BCE-3E48-80DE-EB48125E502C}" destId="{A5BA44B3-33E0-5146-929B-3A13D6A1CC1B}" srcOrd="0" destOrd="0" presId="urn:microsoft.com/office/officeart/2005/8/layout/hierarchy2"/>
    <dgm:cxn modelId="{66EA4DFB-4924-0A4C-B75A-5FE8626BA6B5}" srcId="{F4C4F253-F130-3943-A530-582381AE5C9E}" destId="{76F60B1B-FBAA-6A4B-8EC9-A34487F96944}" srcOrd="1" destOrd="0" parTransId="{7CA08A65-C5A5-304C-8FEC-CA451AC1F6A8}" sibTransId="{AFB21E30-4FC2-7444-B47C-B86357455192}"/>
    <dgm:cxn modelId="{4F6C59FB-8AD2-0348-ACBA-CA2AF2684644}" type="presOf" srcId="{5D8C153B-520C-1C44-B166-40015C858768}" destId="{4674158E-C081-394D-AF31-F101D99CD1CF}" srcOrd="0" destOrd="0" presId="urn:microsoft.com/office/officeart/2005/8/layout/hierarchy2"/>
    <dgm:cxn modelId="{ED06CAFB-1F0F-F448-98C8-3D003C2D7543}" type="presOf" srcId="{4B15793C-71FA-1A4A-9E7D-00D0985DA88C}" destId="{F8CF0165-7F9F-1E46-B6B5-EDEAB8968E08}" srcOrd="0" destOrd="0" presId="urn:microsoft.com/office/officeart/2005/8/layout/hierarchy2"/>
    <dgm:cxn modelId="{7F6EE4FB-943D-594B-A42D-85189EEFC45E}" type="presOf" srcId="{D7C401DE-D614-FC42-BFB7-EF6E3913E2A5}" destId="{5BACCDA2-ECD6-0745-9EBA-6960D57C6DE7}" srcOrd="0" destOrd="0" presId="urn:microsoft.com/office/officeart/2005/8/layout/hierarchy2"/>
    <dgm:cxn modelId="{12745DFC-0B0C-9D4C-8779-1D6400F53499}" type="presOf" srcId="{05753FB2-7758-F048-86E2-2B99D33EFB48}" destId="{ABF7B9C7-B1DB-8648-814A-CDA4E9900997}" srcOrd="1" destOrd="0" presId="urn:microsoft.com/office/officeart/2005/8/layout/hierarchy2"/>
    <dgm:cxn modelId="{F51493FC-BF3B-504E-A6BB-79BA2AF8B247}" type="presOf" srcId="{C1C78E06-3854-9E4B-85B9-D7F8AECB293B}" destId="{9477E5BE-5C6B-DB4C-AE3B-C9B7E4CDBA2C}" srcOrd="0" destOrd="0" presId="urn:microsoft.com/office/officeart/2005/8/layout/hierarchy2"/>
    <dgm:cxn modelId="{D6C144FD-F9BB-8444-B76D-461DB42FE579}" type="presOf" srcId="{DBEEDA1E-AE59-3142-8BE1-76DA4A72D349}" destId="{B4B2E633-F66B-E345-9112-598CC5E510F3}" srcOrd="0" destOrd="0" presId="urn:microsoft.com/office/officeart/2005/8/layout/hierarchy2"/>
    <dgm:cxn modelId="{6E79BAFD-20DC-BE45-965E-0AF6EE31E06C}" type="presOf" srcId="{5E66860A-DFA7-1443-BD03-E42ACAF7B46A}" destId="{076EF232-42FD-0A46-ADBC-4E55504B9D4F}" srcOrd="0" destOrd="0" presId="urn:microsoft.com/office/officeart/2005/8/layout/hierarchy2"/>
    <dgm:cxn modelId="{00DDC6FD-22D8-D44E-B2E8-D56870F8EB20}" type="presOf" srcId="{252E39C4-D9B4-B44A-B8D8-0274723E5C8C}" destId="{A75FE44C-1051-F744-9E8C-B2FCAE3CAF21}" srcOrd="0" destOrd="0" presId="urn:microsoft.com/office/officeart/2005/8/layout/hierarchy2"/>
    <dgm:cxn modelId="{A3D7F7FE-D0D7-BB44-B69C-CFAC9D9705DC}" type="presOf" srcId="{0F1134B1-E9C0-4F48-8634-7781A9FF21C4}" destId="{F5A02EC3-2791-A749-A8A1-AF1D4CB4E7BE}" srcOrd="0" destOrd="0" presId="urn:microsoft.com/office/officeart/2005/8/layout/hierarchy2"/>
    <dgm:cxn modelId="{2F040D4B-A02F-2F4F-BE03-2DDCB806137A}" type="presParOf" srcId="{3C0FB09C-1EAF-9F49-8969-DAE6817FC9E5}" destId="{C1BFD718-6C37-E641-9ED5-4104D97A8DED}" srcOrd="0" destOrd="0" presId="urn:microsoft.com/office/officeart/2005/8/layout/hierarchy2"/>
    <dgm:cxn modelId="{384A0A5C-F030-6A46-AD28-97B7EB2FCA2E}" type="presParOf" srcId="{C1BFD718-6C37-E641-9ED5-4104D97A8DED}" destId="{81F07AA4-B281-F744-8ACF-7E8D4E1E821B}" srcOrd="0" destOrd="0" presId="urn:microsoft.com/office/officeart/2005/8/layout/hierarchy2"/>
    <dgm:cxn modelId="{A69287DC-921A-9D4A-921A-8C3C1D2CA99D}" type="presParOf" srcId="{C1BFD718-6C37-E641-9ED5-4104D97A8DED}" destId="{14EA4009-7F75-194F-B5DA-4AB5A246BBE2}" srcOrd="1" destOrd="0" presId="urn:microsoft.com/office/officeart/2005/8/layout/hierarchy2"/>
    <dgm:cxn modelId="{938B27B8-D871-AB49-99FD-69CE76C4D13F}" type="presParOf" srcId="{14EA4009-7F75-194F-B5DA-4AB5A246BBE2}" destId="{85ECB774-A90C-1B49-97DC-0B8A5841C982}" srcOrd="0" destOrd="0" presId="urn:microsoft.com/office/officeart/2005/8/layout/hierarchy2"/>
    <dgm:cxn modelId="{13E472A9-A7DD-FD41-997D-1D4FF782C541}" type="presParOf" srcId="{85ECB774-A90C-1B49-97DC-0B8A5841C982}" destId="{24F87232-7CF1-E345-B3B2-4CAB2E4B6275}" srcOrd="0" destOrd="0" presId="urn:microsoft.com/office/officeart/2005/8/layout/hierarchy2"/>
    <dgm:cxn modelId="{F071DD1C-66DE-4742-B8DE-BF18D029E1B6}" type="presParOf" srcId="{14EA4009-7F75-194F-B5DA-4AB5A246BBE2}" destId="{728C4D7D-AA57-1D4B-B3D8-1CAFD7BD4F9D}" srcOrd="1" destOrd="0" presId="urn:microsoft.com/office/officeart/2005/8/layout/hierarchy2"/>
    <dgm:cxn modelId="{F5B3B147-8493-D243-A5A9-DD165890425A}" type="presParOf" srcId="{728C4D7D-AA57-1D4B-B3D8-1CAFD7BD4F9D}" destId="{D7BB4BD5-996C-0942-B6E1-8F7A2DA0F87E}" srcOrd="0" destOrd="0" presId="urn:microsoft.com/office/officeart/2005/8/layout/hierarchy2"/>
    <dgm:cxn modelId="{7E3D78FF-400E-B246-9683-CD5CED89AC78}" type="presParOf" srcId="{728C4D7D-AA57-1D4B-B3D8-1CAFD7BD4F9D}" destId="{86EE93D0-EEB3-6F48-826F-8F59D92C16E1}" srcOrd="1" destOrd="0" presId="urn:microsoft.com/office/officeart/2005/8/layout/hierarchy2"/>
    <dgm:cxn modelId="{2DB4D05D-320E-AD45-9B56-95F9203EFFEC}" type="presParOf" srcId="{86EE93D0-EEB3-6F48-826F-8F59D92C16E1}" destId="{75051B60-8BE1-0041-8134-5CBD75C22703}" srcOrd="0" destOrd="0" presId="urn:microsoft.com/office/officeart/2005/8/layout/hierarchy2"/>
    <dgm:cxn modelId="{4A3C2E3C-D8D8-A340-AF02-A1E9FBCAB279}" type="presParOf" srcId="{75051B60-8BE1-0041-8134-5CBD75C22703}" destId="{9A4BA16B-6BB9-9A42-A5A0-8DED5004E5F7}" srcOrd="0" destOrd="0" presId="urn:microsoft.com/office/officeart/2005/8/layout/hierarchy2"/>
    <dgm:cxn modelId="{4594A940-2C67-7545-9D9B-5446A98E60F1}" type="presParOf" srcId="{86EE93D0-EEB3-6F48-826F-8F59D92C16E1}" destId="{1AC31C41-CDCE-1E43-87FA-647E919E055F}" srcOrd="1" destOrd="0" presId="urn:microsoft.com/office/officeart/2005/8/layout/hierarchy2"/>
    <dgm:cxn modelId="{965F0F33-65C2-7140-AB1B-E14420F5DAC3}" type="presParOf" srcId="{1AC31C41-CDCE-1E43-87FA-647E919E055F}" destId="{A215F424-E077-0C4E-8F1F-4D1B37CB15DF}" srcOrd="0" destOrd="0" presId="urn:microsoft.com/office/officeart/2005/8/layout/hierarchy2"/>
    <dgm:cxn modelId="{F72CB84E-AF77-E343-B8CF-BD3FFB0A70F3}" type="presParOf" srcId="{1AC31C41-CDCE-1E43-87FA-647E919E055F}" destId="{7DCF6F3F-7750-4E49-B055-64C0C265E357}" srcOrd="1" destOrd="0" presId="urn:microsoft.com/office/officeart/2005/8/layout/hierarchy2"/>
    <dgm:cxn modelId="{6E6EEA7B-95E1-0244-B062-BA04B211C627}" type="presParOf" srcId="{7DCF6F3F-7750-4E49-B055-64C0C265E357}" destId="{9F17D2A1-210D-3244-B8C1-29E3B40EBF45}" srcOrd="0" destOrd="0" presId="urn:microsoft.com/office/officeart/2005/8/layout/hierarchy2"/>
    <dgm:cxn modelId="{B9B95822-5014-FC4D-B0A8-A2596FD4FADC}" type="presParOf" srcId="{9F17D2A1-210D-3244-B8C1-29E3B40EBF45}" destId="{67B04B40-C7A5-1F4E-9876-F2B292194FC4}" srcOrd="0" destOrd="0" presId="urn:microsoft.com/office/officeart/2005/8/layout/hierarchy2"/>
    <dgm:cxn modelId="{C57E4D4D-E9C2-EC4D-8FEB-1F7E0C69456D}" type="presParOf" srcId="{7DCF6F3F-7750-4E49-B055-64C0C265E357}" destId="{9199DA63-9D1E-3B40-AF97-81AFF11D1A8B}" srcOrd="1" destOrd="0" presId="urn:microsoft.com/office/officeart/2005/8/layout/hierarchy2"/>
    <dgm:cxn modelId="{9680715D-74D9-0D4D-ADAA-04F6E2E9DF38}" type="presParOf" srcId="{9199DA63-9D1E-3B40-AF97-81AFF11D1A8B}" destId="{BF432A02-994E-5043-B97D-E483D7FA861D}" srcOrd="0" destOrd="0" presId="urn:microsoft.com/office/officeart/2005/8/layout/hierarchy2"/>
    <dgm:cxn modelId="{23992164-5441-0149-9AF6-A40CADF5C7A4}" type="presParOf" srcId="{9199DA63-9D1E-3B40-AF97-81AFF11D1A8B}" destId="{BC67399B-EFC1-E841-A386-EF5BED890833}" srcOrd="1" destOrd="0" presId="urn:microsoft.com/office/officeart/2005/8/layout/hierarchy2"/>
    <dgm:cxn modelId="{C6ED2C05-84F4-DD4D-BC15-492CC473B0E2}" type="presParOf" srcId="{BC67399B-EFC1-E841-A386-EF5BED890833}" destId="{E6AD5C6A-63C4-2349-A773-BB6EE77F1552}" srcOrd="0" destOrd="0" presId="urn:microsoft.com/office/officeart/2005/8/layout/hierarchy2"/>
    <dgm:cxn modelId="{24678898-2F80-6048-901B-0E59E4572FD4}" type="presParOf" srcId="{E6AD5C6A-63C4-2349-A773-BB6EE77F1552}" destId="{893D79CA-F4EB-744C-BE33-291477020436}" srcOrd="0" destOrd="0" presId="urn:microsoft.com/office/officeart/2005/8/layout/hierarchy2"/>
    <dgm:cxn modelId="{373DFB7D-4A2F-3547-82A7-73D0A270198D}" type="presParOf" srcId="{BC67399B-EFC1-E841-A386-EF5BED890833}" destId="{14DC31E8-4461-DF49-9E20-B4F257AB31B2}" srcOrd="1" destOrd="0" presId="urn:microsoft.com/office/officeart/2005/8/layout/hierarchy2"/>
    <dgm:cxn modelId="{0427B1DE-9E52-AC4F-8B44-FC9A79FA246F}" type="presParOf" srcId="{14DC31E8-4461-DF49-9E20-B4F257AB31B2}" destId="{E6C2D0A2-5090-6040-B1BB-7B07DC53D28A}" srcOrd="0" destOrd="0" presId="urn:microsoft.com/office/officeart/2005/8/layout/hierarchy2"/>
    <dgm:cxn modelId="{048F5BC5-F301-584D-ABE1-23E51078E193}" type="presParOf" srcId="{14DC31E8-4461-DF49-9E20-B4F257AB31B2}" destId="{2717DAFA-01F7-BF40-9D3D-FAA48C613D4A}" srcOrd="1" destOrd="0" presId="urn:microsoft.com/office/officeart/2005/8/layout/hierarchy2"/>
    <dgm:cxn modelId="{74AD9254-271C-FF4F-9060-613529D2869F}" type="presParOf" srcId="{2717DAFA-01F7-BF40-9D3D-FAA48C613D4A}" destId="{C3BFBD6E-7BF2-624B-8C9D-728F0CF10CB9}" srcOrd="0" destOrd="0" presId="urn:microsoft.com/office/officeart/2005/8/layout/hierarchy2"/>
    <dgm:cxn modelId="{9F0CEFBA-7591-C842-8867-38859E9C4035}" type="presParOf" srcId="{C3BFBD6E-7BF2-624B-8C9D-728F0CF10CB9}" destId="{5A9C35A1-7032-1941-BF8A-703A7372500D}" srcOrd="0" destOrd="0" presId="urn:microsoft.com/office/officeart/2005/8/layout/hierarchy2"/>
    <dgm:cxn modelId="{08CE4F7B-907F-9B4A-8BC2-FCC859AF969C}" type="presParOf" srcId="{2717DAFA-01F7-BF40-9D3D-FAA48C613D4A}" destId="{BE2925A9-2DEC-6041-A4CB-BCDF9326CBD3}" srcOrd="1" destOrd="0" presId="urn:microsoft.com/office/officeart/2005/8/layout/hierarchy2"/>
    <dgm:cxn modelId="{1DF98A35-D83A-A347-A1C0-1CE1C6F0D37B}" type="presParOf" srcId="{BE2925A9-2DEC-6041-A4CB-BCDF9326CBD3}" destId="{B4224EB3-25EF-4E4B-910B-E4303EA28DFD}" srcOrd="0" destOrd="0" presId="urn:microsoft.com/office/officeart/2005/8/layout/hierarchy2"/>
    <dgm:cxn modelId="{D5F3A0AF-B3B0-984D-A746-9844595E83AB}" type="presParOf" srcId="{BE2925A9-2DEC-6041-A4CB-BCDF9326CBD3}" destId="{3FAFEE77-0646-8542-BA2B-275EA0B6D7E4}" srcOrd="1" destOrd="0" presId="urn:microsoft.com/office/officeart/2005/8/layout/hierarchy2"/>
    <dgm:cxn modelId="{9035FA54-5718-AC40-A26D-E002623E758B}" type="presParOf" srcId="{BC67399B-EFC1-E841-A386-EF5BED890833}" destId="{0B987C81-5569-A14B-BC0A-0F513D6EDBAB}" srcOrd="2" destOrd="0" presId="urn:microsoft.com/office/officeart/2005/8/layout/hierarchy2"/>
    <dgm:cxn modelId="{55F2645B-A983-4343-BE18-27847A67FF5C}" type="presParOf" srcId="{0B987C81-5569-A14B-BC0A-0F513D6EDBAB}" destId="{4EDE5E54-EA2F-654F-B8EA-74DD6288BF10}" srcOrd="0" destOrd="0" presId="urn:microsoft.com/office/officeart/2005/8/layout/hierarchy2"/>
    <dgm:cxn modelId="{6EE80869-5952-F446-AC25-F70EE17B7082}" type="presParOf" srcId="{BC67399B-EFC1-E841-A386-EF5BED890833}" destId="{67831014-0DD2-1B43-8557-608C2CC7E491}" srcOrd="3" destOrd="0" presId="urn:microsoft.com/office/officeart/2005/8/layout/hierarchy2"/>
    <dgm:cxn modelId="{6499E863-C940-9545-86FB-3832A0172B76}" type="presParOf" srcId="{67831014-0DD2-1B43-8557-608C2CC7E491}" destId="{3C1401A9-9818-AE48-9FD6-23E3A6A87C1C}" srcOrd="0" destOrd="0" presId="urn:microsoft.com/office/officeart/2005/8/layout/hierarchy2"/>
    <dgm:cxn modelId="{47205610-72D6-524A-A0E9-1143E5335E96}" type="presParOf" srcId="{67831014-0DD2-1B43-8557-608C2CC7E491}" destId="{4D7A2FDF-68F3-A642-AB5A-4EEF9F8599CE}" srcOrd="1" destOrd="0" presId="urn:microsoft.com/office/officeart/2005/8/layout/hierarchy2"/>
    <dgm:cxn modelId="{C258F59D-77BA-DF4D-810D-80D04CED0AE8}" type="presParOf" srcId="{4D7A2FDF-68F3-A642-AB5A-4EEF9F8599CE}" destId="{1683C243-3834-4042-8AAC-AD4053BE4093}" srcOrd="0" destOrd="0" presId="urn:microsoft.com/office/officeart/2005/8/layout/hierarchy2"/>
    <dgm:cxn modelId="{B9438A46-466D-524B-910E-04DB1DBC2ADA}" type="presParOf" srcId="{1683C243-3834-4042-8AAC-AD4053BE4093}" destId="{F526CBA3-F7AF-A841-9031-756648F288EF}" srcOrd="0" destOrd="0" presId="urn:microsoft.com/office/officeart/2005/8/layout/hierarchy2"/>
    <dgm:cxn modelId="{24ECA172-75C3-B04D-A4D7-3C8CC7007A62}" type="presParOf" srcId="{4D7A2FDF-68F3-A642-AB5A-4EEF9F8599CE}" destId="{75BD6F5D-A9C8-EA4A-BA7B-94DC54E1ECF5}" srcOrd="1" destOrd="0" presId="urn:microsoft.com/office/officeart/2005/8/layout/hierarchy2"/>
    <dgm:cxn modelId="{DEE4100C-DE61-1C4E-A85D-3382D1BF396D}" type="presParOf" srcId="{75BD6F5D-A9C8-EA4A-BA7B-94DC54E1ECF5}" destId="{FC6C8DCE-58A0-3E44-8CF3-EB768D2F99D2}" srcOrd="0" destOrd="0" presId="urn:microsoft.com/office/officeart/2005/8/layout/hierarchy2"/>
    <dgm:cxn modelId="{FD9D4ABF-9CDD-8B47-A53F-709240F0F763}" type="presParOf" srcId="{75BD6F5D-A9C8-EA4A-BA7B-94DC54E1ECF5}" destId="{BE54C6AE-AA51-104B-BDA3-7051BB2A3DE3}" srcOrd="1" destOrd="0" presId="urn:microsoft.com/office/officeart/2005/8/layout/hierarchy2"/>
    <dgm:cxn modelId="{30856C1B-0499-7944-ADBC-7902940E136C}" type="presParOf" srcId="{BC67399B-EFC1-E841-A386-EF5BED890833}" destId="{E8DFD233-810A-DE48-B57C-6CD438B438F0}" srcOrd="4" destOrd="0" presId="urn:microsoft.com/office/officeart/2005/8/layout/hierarchy2"/>
    <dgm:cxn modelId="{6D087CAE-8BCF-6043-861D-EF6680D3FE5A}" type="presParOf" srcId="{E8DFD233-810A-DE48-B57C-6CD438B438F0}" destId="{AD57F318-2AB7-E448-8157-118214EACDF7}" srcOrd="0" destOrd="0" presId="urn:microsoft.com/office/officeart/2005/8/layout/hierarchy2"/>
    <dgm:cxn modelId="{392BAE7B-44A0-FF4A-8F92-A350ED8153E4}" type="presParOf" srcId="{BC67399B-EFC1-E841-A386-EF5BED890833}" destId="{B55A07EF-979C-F345-A286-7636AF8B85E7}" srcOrd="5" destOrd="0" presId="urn:microsoft.com/office/officeart/2005/8/layout/hierarchy2"/>
    <dgm:cxn modelId="{93E07913-D300-C947-8A1A-094FF293452D}" type="presParOf" srcId="{B55A07EF-979C-F345-A286-7636AF8B85E7}" destId="{4CDA315F-2834-C74C-86AB-513CD784BB09}" srcOrd="0" destOrd="0" presId="urn:microsoft.com/office/officeart/2005/8/layout/hierarchy2"/>
    <dgm:cxn modelId="{5444C08E-2376-804E-AD38-2A5ADBE07B5F}" type="presParOf" srcId="{B55A07EF-979C-F345-A286-7636AF8B85E7}" destId="{9B477239-581A-544D-B38A-77EAD403B9E5}" srcOrd="1" destOrd="0" presId="urn:microsoft.com/office/officeart/2005/8/layout/hierarchy2"/>
    <dgm:cxn modelId="{0F0428B7-81C5-0F46-ABF7-3665FCE88444}" type="presParOf" srcId="{9B477239-581A-544D-B38A-77EAD403B9E5}" destId="{2AD0E970-12BB-2B4E-9F83-AF1154EE9D7E}" srcOrd="0" destOrd="0" presId="urn:microsoft.com/office/officeart/2005/8/layout/hierarchy2"/>
    <dgm:cxn modelId="{6EC2A67D-CA18-6B4E-932E-3F5A2EA884C6}" type="presParOf" srcId="{2AD0E970-12BB-2B4E-9F83-AF1154EE9D7E}" destId="{C4F91F60-EB01-5840-B0B0-BBCA2522CD35}" srcOrd="0" destOrd="0" presId="urn:microsoft.com/office/officeart/2005/8/layout/hierarchy2"/>
    <dgm:cxn modelId="{61780EE8-3C9C-6D4D-B5A7-31650EBE6642}" type="presParOf" srcId="{9B477239-581A-544D-B38A-77EAD403B9E5}" destId="{1392FF23-512E-5D44-9802-9356DF855DC1}" srcOrd="1" destOrd="0" presId="urn:microsoft.com/office/officeart/2005/8/layout/hierarchy2"/>
    <dgm:cxn modelId="{F52B4863-51B4-3143-A26C-4BB0B578BB92}" type="presParOf" srcId="{1392FF23-512E-5D44-9802-9356DF855DC1}" destId="{40907F8B-9809-2140-935C-7CA63B83011B}" srcOrd="0" destOrd="0" presId="urn:microsoft.com/office/officeart/2005/8/layout/hierarchy2"/>
    <dgm:cxn modelId="{63439DBC-8572-5D4A-91CB-879761C208DC}" type="presParOf" srcId="{1392FF23-512E-5D44-9802-9356DF855DC1}" destId="{3D65B47A-6FBE-1843-BDCE-37F517137F2F}" srcOrd="1" destOrd="0" presId="urn:microsoft.com/office/officeart/2005/8/layout/hierarchy2"/>
    <dgm:cxn modelId="{A915309A-1024-E543-8009-A8452CA0D031}" type="presParOf" srcId="{7DCF6F3F-7750-4E49-B055-64C0C265E357}" destId="{AF548F20-6D14-C34A-A887-640744F8B9CC}" srcOrd="2" destOrd="0" presId="urn:microsoft.com/office/officeart/2005/8/layout/hierarchy2"/>
    <dgm:cxn modelId="{752940F2-F047-9144-8040-EF9B8A0CF204}" type="presParOf" srcId="{AF548F20-6D14-C34A-A887-640744F8B9CC}" destId="{B6E30D49-DE41-5A43-AFAD-11D1C8CABA5B}" srcOrd="0" destOrd="0" presId="urn:microsoft.com/office/officeart/2005/8/layout/hierarchy2"/>
    <dgm:cxn modelId="{094CFB7A-F68A-2F42-9464-B029F8222F0A}" type="presParOf" srcId="{7DCF6F3F-7750-4E49-B055-64C0C265E357}" destId="{2C4111AE-B159-D84B-B96E-4B02E89D2812}" srcOrd="3" destOrd="0" presId="urn:microsoft.com/office/officeart/2005/8/layout/hierarchy2"/>
    <dgm:cxn modelId="{359FA894-CBEC-DF47-AE05-AFC521A1F582}" type="presParOf" srcId="{2C4111AE-B159-D84B-B96E-4B02E89D2812}" destId="{37C9041F-9873-1D42-80B1-B341A68E65F3}" srcOrd="0" destOrd="0" presId="urn:microsoft.com/office/officeart/2005/8/layout/hierarchy2"/>
    <dgm:cxn modelId="{5BB00A91-6E1A-3B4F-B8EA-8CE12A6EC2A4}" type="presParOf" srcId="{2C4111AE-B159-D84B-B96E-4B02E89D2812}" destId="{FD8CFE8A-A1AF-894D-A894-4D8ADD681EF9}" srcOrd="1" destOrd="0" presId="urn:microsoft.com/office/officeart/2005/8/layout/hierarchy2"/>
    <dgm:cxn modelId="{44B97C1A-FD0E-6644-9871-4A4591F3C9B1}" type="presParOf" srcId="{FD8CFE8A-A1AF-894D-A894-4D8ADD681EF9}" destId="{47A0F795-59D6-7C47-B544-0CEFEF4A4D8B}" srcOrd="0" destOrd="0" presId="urn:microsoft.com/office/officeart/2005/8/layout/hierarchy2"/>
    <dgm:cxn modelId="{D26E2E63-03D4-494C-A135-EDC1A29E7A4F}" type="presParOf" srcId="{47A0F795-59D6-7C47-B544-0CEFEF4A4D8B}" destId="{6536C36A-C2B9-CA43-93D2-9B4CD8A4E4EF}" srcOrd="0" destOrd="0" presId="urn:microsoft.com/office/officeart/2005/8/layout/hierarchy2"/>
    <dgm:cxn modelId="{40845A35-4754-E54B-8E03-D11569FBDFD0}" type="presParOf" srcId="{FD8CFE8A-A1AF-894D-A894-4D8ADD681EF9}" destId="{87A4615B-1AA5-9046-B7C4-D7D8CD6199E2}" srcOrd="1" destOrd="0" presId="urn:microsoft.com/office/officeart/2005/8/layout/hierarchy2"/>
    <dgm:cxn modelId="{E7438538-16CA-3C40-A138-4D8A0815EE28}" type="presParOf" srcId="{87A4615B-1AA5-9046-B7C4-D7D8CD6199E2}" destId="{2299191A-3DF3-4240-B3E8-F6A4022648E6}" srcOrd="0" destOrd="0" presId="urn:microsoft.com/office/officeart/2005/8/layout/hierarchy2"/>
    <dgm:cxn modelId="{8D4BEC1E-742C-204D-A7C1-F16E216B40B9}" type="presParOf" srcId="{87A4615B-1AA5-9046-B7C4-D7D8CD6199E2}" destId="{6D8E8AB7-D1D9-AA41-996B-057F93D458FB}" srcOrd="1" destOrd="0" presId="urn:microsoft.com/office/officeart/2005/8/layout/hierarchy2"/>
    <dgm:cxn modelId="{593856DB-65A0-6B4B-9AE9-DBC5C8105C52}" type="presParOf" srcId="{FD8CFE8A-A1AF-894D-A894-4D8ADD681EF9}" destId="{FA098E5E-FB6F-5D48-9B68-BA6B6F679267}" srcOrd="2" destOrd="0" presId="urn:microsoft.com/office/officeart/2005/8/layout/hierarchy2"/>
    <dgm:cxn modelId="{5202D0AF-2307-8640-BD5E-969FA4DEDDFB}" type="presParOf" srcId="{FA098E5E-FB6F-5D48-9B68-BA6B6F679267}" destId="{099A56E0-693D-7B4F-A133-44BA6CFFFA74}" srcOrd="0" destOrd="0" presId="urn:microsoft.com/office/officeart/2005/8/layout/hierarchy2"/>
    <dgm:cxn modelId="{057B3C4C-F16E-9742-A890-F1033DD19499}" type="presParOf" srcId="{FD8CFE8A-A1AF-894D-A894-4D8ADD681EF9}" destId="{A9AB51D9-F252-004E-93DB-CE340900BC4C}" srcOrd="3" destOrd="0" presId="urn:microsoft.com/office/officeart/2005/8/layout/hierarchy2"/>
    <dgm:cxn modelId="{4DDDCBBE-AED7-7645-8A42-6C1E9A1DFA0B}" type="presParOf" srcId="{A9AB51D9-F252-004E-93DB-CE340900BC4C}" destId="{6869DDD0-C186-E24D-9AE1-B21F97F29FCC}" srcOrd="0" destOrd="0" presId="urn:microsoft.com/office/officeart/2005/8/layout/hierarchy2"/>
    <dgm:cxn modelId="{53C20E90-58A3-F04D-8BD8-B7B01847D7A9}" type="presParOf" srcId="{A9AB51D9-F252-004E-93DB-CE340900BC4C}" destId="{E6CC31BD-DC16-4347-AFA4-3B6DB8870871}" srcOrd="1" destOrd="0" presId="urn:microsoft.com/office/officeart/2005/8/layout/hierarchy2"/>
    <dgm:cxn modelId="{3270D2E3-FD4C-5B41-A458-0B249921144F}" type="presParOf" srcId="{7DCF6F3F-7750-4E49-B055-64C0C265E357}" destId="{56FA168B-7075-3841-9C08-3036E8573AA4}" srcOrd="4" destOrd="0" presId="urn:microsoft.com/office/officeart/2005/8/layout/hierarchy2"/>
    <dgm:cxn modelId="{129FCDFD-6CC5-0847-9CA5-6221A0C15ED0}" type="presParOf" srcId="{56FA168B-7075-3841-9C08-3036E8573AA4}" destId="{65720F38-ED47-BB4B-A1C4-016CE8003363}" srcOrd="0" destOrd="0" presId="urn:microsoft.com/office/officeart/2005/8/layout/hierarchy2"/>
    <dgm:cxn modelId="{D3096D58-C338-B540-AC0C-C1A6AEE9E115}" type="presParOf" srcId="{7DCF6F3F-7750-4E49-B055-64C0C265E357}" destId="{EE9DC848-EE40-E94F-AB9C-A565212BF913}" srcOrd="5" destOrd="0" presId="urn:microsoft.com/office/officeart/2005/8/layout/hierarchy2"/>
    <dgm:cxn modelId="{3F20478F-0139-FA48-82FF-3B8DA9626465}" type="presParOf" srcId="{EE9DC848-EE40-E94F-AB9C-A565212BF913}" destId="{D3707F1C-E763-A949-9D23-57EA01939072}" srcOrd="0" destOrd="0" presId="urn:microsoft.com/office/officeart/2005/8/layout/hierarchy2"/>
    <dgm:cxn modelId="{3C8F9E41-CF44-1B43-8148-D6BE6EDC82D5}" type="presParOf" srcId="{EE9DC848-EE40-E94F-AB9C-A565212BF913}" destId="{D93E94FB-6545-C244-B334-A093499CFE5C}" srcOrd="1" destOrd="0" presId="urn:microsoft.com/office/officeart/2005/8/layout/hierarchy2"/>
    <dgm:cxn modelId="{152FF83B-F6BC-D14F-A7D6-B92FCC3D9972}" type="presParOf" srcId="{D93E94FB-6545-C244-B334-A093499CFE5C}" destId="{471BDAF2-84A0-884A-9F3F-E72A5D2BCFEB}" srcOrd="0" destOrd="0" presId="urn:microsoft.com/office/officeart/2005/8/layout/hierarchy2"/>
    <dgm:cxn modelId="{C510812B-2497-7D46-AE07-86336BED807F}" type="presParOf" srcId="{471BDAF2-84A0-884A-9F3F-E72A5D2BCFEB}" destId="{669C4B3F-D510-214A-A2D9-02C2895718F8}" srcOrd="0" destOrd="0" presId="urn:microsoft.com/office/officeart/2005/8/layout/hierarchy2"/>
    <dgm:cxn modelId="{B4B7AD8F-E0E1-6249-B609-4C1A01414535}" type="presParOf" srcId="{D93E94FB-6545-C244-B334-A093499CFE5C}" destId="{40596067-BA83-5246-86D0-E394139C3320}" srcOrd="1" destOrd="0" presId="urn:microsoft.com/office/officeart/2005/8/layout/hierarchy2"/>
    <dgm:cxn modelId="{6905359E-9387-8C4F-8BAA-80EA23C37470}" type="presParOf" srcId="{40596067-BA83-5246-86D0-E394139C3320}" destId="{C648BCC0-1A10-BB40-A2C6-F4FEBB7D412C}" srcOrd="0" destOrd="0" presId="urn:microsoft.com/office/officeart/2005/8/layout/hierarchy2"/>
    <dgm:cxn modelId="{6EA411B8-EF61-A143-AF76-5DF669503F33}" type="presParOf" srcId="{40596067-BA83-5246-86D0-E394139C3320}" destId="{F885F238-04E7-2844-9A7E-1067D8F81C37}" srcOrd="1" destOrd="0" presId="urn:microsoft.com/office/officeart/2005/8/layout/hierarchy2"/>
    <dgm:cxn modelId="{A252D8AC-2EF5-6043-9227-7447ABB18149}" type="presParOf" srcId="{F885F238-04E7-2844-9A7E-1067D8F81C37}" destId="{F5A02EC3-2791-A749-A8A1-AF1D4CB4E7BE}" srcOrd="0" destOrd="0" presId="urn:microsoft.com/office/officeart/2005/8/layout/hierarchy2"/>
    <dgm:cxn modelId="{31D618C4-F10C-6E4F-947A-3C1B7F48B4F3}" type="presParOf" srcId="{F5A02EC3-2791-A749-A8A1-AF1D4CB4E7BE}" destId="{D6B12CA3-99CD-9342-BCDB-2327EAD36BC4}" srcOrd="0" destOrd="0" presId="urn:microsoft.com/office/officeart/2005/8/layout/hierarchy2"/>
    <dgm:cxn modelId="{635CC113-08AA-7E45-B436-7CB714130670}" type="presParOf" srcId="{F885F238-04E7-2844-9A7E-1067D8F81C37}" destId="{8FA1A678-4F13-434E-B028-8D0990739EFC}" srcOrd="1" destOrd="0" presId="urn:microsoft.com/office/officeart/2005/8/layout/hierarchy2"/>
    <dgm:cxn modelId="{4F57F9FB-E155-9348-A35D-3EB2E00BB82C}" type="presParOf" srcId="{8FA1A678-4F13-434E-B028-8D0990739EFC}" destId="{74701B83-02F9-5B4E-96D9-9FB62E0B4608}" srcOrd="0" destOrd="0" presId="urn:microsoft.com/office/officeart/2005/8/layout/hierarchy2"/>
    <dgm:cxn modelId="{10C6725F-4533-7D40-9A09-B87DDD866E59}" type="presParOf" srcId="{8FA1A678-4F13-434E-B028-8D0990739EFC}" destId="{373D1E2F-E70D-934D-A500-4455EB8D4334}" srcOrd="1" destOrd="0" presId="urn:microsoft.com/office/officeart/2005/8/layout/hierarchy2"/>
    <dgm:cxn modelId="{BFF483B4-0AF7-4048-B2E6-14EA3A701549}" type="presParOf" srcId="{D93E94FB-6545-C244-B334-A093499CFE5C}" destId="{E326F846-A3E8-B745-99B0-8711A33D9654}" srcOrd="2" destOrd="0" presId="urn:microsoft.com/office/officeart/2005/8/layout/hierarchy2"/>
    <dgm:cxn modelId="{9B52FF8B-DA7D-8A47-B204-ACFF7C642019}" type="presParOf" srcId="{E326F846-A3E8-B745-99B0-8711A33D9654}" destId="{C20CBEB5-8C4D-5144-9EBF-12239119A709}" srcOrd="0" destOrd="0" presId="urn:microsoft.com/office/officeart/2005/8/layout/hierarchy2"/>
    <dgm:cxn modelId="{AEC0E3FB-BE7D-C140-8482-D99576E366B6}" type="presParOf" srcId="{D93E94FB-6545-C244-B334-A093499CFE5C}" destId="{F4644172-D2F0-6D49-AB82-422EDCC87EC0}" srcOrd="3" destOrd="0" presId="urn:microsoft.com/office/officeart/2005/8/layout/hierarchy2"/>
    <dgm:cxn modelId="{CD82670A-D5D0-3B4B-BABB-03420CB57FAE}" type="presParOf" srcId="{F4644172-D2F0-6D49-AB82-422EDCC87EC0}" destId="{A074F1DE-3BE7-F146-89FF-B4B0117FC436}" srcOrd="0" destOrd="0" presId="urn:microsoft.com/office/officeart/2005/8/layout/hierarchy2"/>
    <dgm:cxn modelId="{0EFA5532-5CCC-3643-A2AE-CE037E976E20}" type="presParOf" srcId="{F4644172-D2F0-6D49-AB82-422EDCC87EC0}" destId="{9C9BB42B-6242-4647-8536-2833FFB6A49C}" srcOrd="1" destOrd="0" presId="urn:microsoft.com/office/officeart/2005/8/layout/hierarchy2"/>
    <dgm:cxn modelId="{86587248-4473-1C41-A05F-B79F76AC1612}" type="presParOf" srcId="{9C9BB42B-6242-4647-8536-2833FFB6A49C}" destId="{FC204920-CF5E-B644-9646-E3FB8D119F46}" srcOrd="0" destOrd="0" presId="urn:microsoft.com/office/officeart/2005/8/layout/hierarchy2"/>
    <dgm:cxn modelId="{8643A456-FB2E-3B4E-8F87-D016CD35C124}" type="presParOf" srcId="{FC204920-CF5E-B644-9646-E3FB8D119F46}" destId="{B6457DC2-1250-164B-B051-D097964FCD49}" srcOrd="0" destOrd="0" presId="urn:microsoft.com/office/officeart/2005/8/layout/hierarchy2"/>
    <dgm:cxn modelId="{45A29F56-35DD-ED45-93EE-A0EDF953AE3E}" type="presParOf" srcId="{9C9BB42B-6242-4647-8536-2833FFB6A49C}" destId="{24F5DE3C-B691-1141-B209-89B1AB30B936}" srcOrd="1" destOrd="0" presId="urn:microsoft.com/office/officeart/2005/8/layout/hierarchy2"/>
    <dgm:cxn modelId="{5501F10E-D482-D44D-B057-9E78F1CD3680}" type="presParOf" srcId="{24F5DE3C-B691-1141-B209-89B1AB30B936}" destId="{0EC1E40B-F5B5-7643-B005-C3307981C92E}" srcOrd="0" destOrd="0" presId="urn:microsoft.com/office/officeart/2005/8/layout/hierarchy2"/>
    <dgm:cxn modelId="{1645849A-6A7C-8D40-92C0-282745D80568}" type="presParOf" srcId="{24F5DE3C-B691-1141-B209-89B1AB30B936}" destId="{1F80E6C2-3007-F949-87A8-D8E81BAEBEB4}" srcOrd="1" destOrd="0" presId="urn:microsoft.com/office/officeart/2005/8/layout/hierarchy2"/>
    <dgm:cxn modelId="{78470042-C294-5D49-8AC1-3AE3E057B995}" type="presParOf" srcId="{7DCF6F3F-7750-4E49-B055-64C0C265E357}" destId="{D7CE84B0-2AD4-4C48-A1F8-255F255C124C}" srcOrd="6" destOrd="0" presId="urn:microsoft.com/office/officeart/2005/8/layout/hierarchy2"/>
    <dgm:cxn modelId="{4243A968-2168-634F-BC58-FF9EC72A9603}" type="presParOf" srcId="{D7CE84B0-2AD4-4C48-A1F8-255F255C124C}" destId="{837DD38F-C9F1-0243-A153-F28A82E29E22}" srcOrd="0" destOrd="0" presId="urn:microsoft.com/office/officeart/2005/8/layout/hierarchy2"/>
    <dgm:cxn modelId="{2AA25E87-62FE-9240-B2AB-9D09A449ABF4}" type="presParOf" srcId="{7DCF6F3F-7750-4E49-B055-64C0C265E357}" destId="{25649AEA-ECE6-8D4E-AC29-00750D815890}" srcOrd="7" destOrd="0" presId="urn:microsoft.com/office/officeart/2005/8/layout/hierarchy2"/>
    <dgm:cxn modelId="{546B465A-55EF-2141-B1D1-B754E8B674CA}" type="presParOf" srcId="{25649AEA-ECE6-8D4E-AC29-00750D815890}" destId="{0166BC58-3065-3140-8F5C-5ECC6B771164}" srcOrd="0" destOrd="0" presId="urn:microsoft.com/office/officeart/2005/8/layout/hierarchy2"/>
    <dgm:cxn modelId="{9D677ABF-9F22-0E42-8A43-B1C8E2AB23C2}" type="presParOf" srcId="{25649AEA-ECE6-8D4E-AC29-00750D815890}" destId="{390C2095-DFB4-E049-856F-D5F2181EDAEC}" srcOrd="1" destOrd="0" presId="urn:microsoft.com/office/officeart/2005/8/layout/hierarchy2"/>
    <dgm:cxn modelId="{1DBBD9A7-7DB3-7346-894F-267DAA21DB9A}" type="presParOf" srcId="{390C2095-DFB4-E049-856F-D5F2181EDAEC}" destId="{4B3AE3C5-1F77-1C4F-ADD9-B65CC61B9832}" srcOrd="0" destOrd="0" presId="urn:microsoft.com/office/officeart/2005/8/layout/hierarchy2"/>
    <dgm:cxn modelId="{0CD89ACD-6E30-9242-88F8-181A1A5B6260}" type="presParOf" srcId="{4B3AE3C5-1F77-1C4F-ADD9-B65CC61B9832}" destId="{C797FADA-6CD1-A44C-9B03-0CDAB052B3A3}" srcOrd="0" destOrd="0" presId="urn:microsoft.com/office/officeart/2005/8/layout/hierarchy2"/>
    <dgm:cxn modelId="{A395C57F-77E4-2945-8951-3AD53B137F9F}" type="presParOf" srcId="{390C2095-DFB4-E049-856F-D5F2181EDAEC}" destId="{644E8766-74F4-C547-BB24-0E485B794DAE}" srcOrd="1" destOrd="0" presId="urn:microsoft.com/office/officeart/2005/8/layout/hierarchy2"/>
    <dgm:cxn modelId="{4D9674B9-6828-6A4D-BF87-37A8F1E4D60B}" type="presParOf" srcId="{644E8766-74F4-C547-BB24-0E485B794DAE}" destId="{E6F6E067-C603-CB40-9D3A-9B9F7C47ED60}" srcOrd="0" destOrd="0" presId="urn:microsoft.com/office/officeart/2005/8/layout/hierarchy2"/>
    <dgm:cxn modelId="{70F88B6C-2E0D-E148-8F42-991D9AEA4258}" type="presParOf" srcId="{644E8766-74F4-C547-BB24-0E485B794DAE}" destId="{AB582029-330B-5242-8CFF-83C7CB2B8AB8}" srcOrd="1" destOrd="0" presId="urn:microsoft.com/office/officeart/2005/8/layout/hierarchy2"/>
    <dgm:cxn modelId="{CFEE2A98-C9FA-304C-8B3F-C95E8B8D0676}" type="presParOf" srcId="{AB582029-330B-5242-8CFF-83C7CB2B8AB8}" destId="{46FB4E8C-E578-1140-BDEB-9DF892225D13}" srcOrd="0" destOrd="0" presId="urn:microsoft.com/office/officeart/2005/8/layout/hierarchy2"/>
    <dgm:cxn modelId="{C9C751C0-E4A4-A144-A45D-C9BE06A3F66D}" type="presParOf" srcId="{46FB4E8C-E578-1140-BDEB-9DF892225D13}" destId="{E0994329-13EE-094C-8263-0C0983EFB141}" srcOrd="0" destOrd="0" presId="urn:microsoft.com/office/officeart/2005/8/layout/hierarchy2"/>
    <dgm:cxn modelId="{5075C34C-ECE2-5842-96B5-56B3CC902DF9}" type="presParOf" srcId="{AB582029-330B-5242-8CFF-83C7CB2B8AB8}" destId="{459291EB-3ABF-F24F-A009-D96592C2BB74}" srcOrd="1" destOrd="0" presId="urn:microsoft.com/office/officeart/2005/8/layout/hierarchy2"/>
    <dgm:cxn modelId="{88CCAE96-AFE0-A342-87AD-D9EE88D528CE}" type="presParOf" srcId="{459291EB-3ABF-F24F-A009-D96592C2BB74}" destId="{5BD30594-CCC2-FB40-8946-9B1A1ACC9E9A}" srcOrd="0" destOrd="0" presId="urn:microsoft.com/office/officeart/2005/8/layout/hierarchy2"/>
    <dgm:cxn modelId="{6673E50E-8BF2-974A-BBD6-2035BDB63F2C}" type="presParOf" srcId="{459291EB-3ABF-F24F-A009-D96592C2BB74}" destId="{2E2276BE-7E32-814A-96CB-AE5D3BB8C132}" srcOrd="1" destOrd="0" presId="urn:microsoft.com/office/officeart/2005/8/layout/hierarchy2"/>
    <dgm:cxn modelId="{7FBBB509-575B-0A4D-830B-35A313FE3857}" type="presParOf" srcId="{390C2095-DFB4-E049-856F-D5F2181EDAEC}" destId="{F3E39D8D-F053-1949-9191-6101AF6EA419}" srcOrd="2" destOrd="0" presId="urn:microsoft.com/office/officeart/2005/8/layout/hierarchy2"/>
    <dgm:cxn modelId="{9F536787-9A5A-5448-8B37-67E3720B4DFF}" type="presParOf" srcId="{F3E39D8D-F053-1949-9191-6101AF6EA419}" destId="{535F810D-6049-804B-8D9F-3F7980702433}" srcOrd="0" destOrd="0" presId="urn:microsoft.com/office/officeart/2005/8/layout/hierarchy2"/>
    <dgm:cxn modelId="{EEA57020-F684-F444-8950-AEB95281FA80}" type="presParOf" srcId="{390C2095-DFB4-E049-856F-D5F2181EDAEC}" destId="{B4C387A5-A404-7E48-9F31-39C33A919747}" srcOrd="3" destOrd="0" presId="urn:microsoft.com/office/officeart/2005/8/layout/hierarchy2"/>
    <dgm:cxn modelId="{D91E8284-F966-C147-BACB-1C4B43B31070}" type="presParOf" srcId="{B4C387A5-A404-7E48-9F31-39C33A919747}" destId="{1511E016-75A3-5F4B-85DD-7514CD779C9A}" srcOrd="0" destOrd="0" presId="urn:microsoft.com/office/officeart/2005/8/layout/hierarchy2"/>
    <dgm:cxn modelId="{62E19CFB-A581-6D42-AC51-B63465FC0B44}" type="presParOf" srcId="{B4C387A5-A404-7E48-9F31-39C33A919747}" destId="{7FBA9F8A-1B00-324B-ADB5-05E32A2E9CB7}" srcOrd="1" destOrd="0" presId="urn:microsoft.com/office/officeart/2005/8/layout/hierarchy2"/>
    <dgm:cxn modelId="{A1809C89-ED86-7E41-92A8-50D37B988BA1}" type="presParOf" srcId="{7FBA9F8A-1B00-324B-ADB5-05E32A2E9CB7}" destId="{5192D110-5BA2-094F-AD73-CC0F3B1F0681}" srcOrd="0" destOrd="0" presId="urn:microsoft.com/office/officeart/2005/8/layout/hierarchy2"/>
    <dgm:cxn modelId="{FE7556F4-71FB-3A44-A9E3-63DC655F75DE}" type="presParOf" srcId="{5192D110-5BA2-094F-AD73-CC0F3B1F0681}" destId="{9EE83BF8-6839-9849-82DF-957E0E3BB23A}" srcOrd="0" destOrd="0" presId="urn:microsoft.com/office/officeart/2005/8/layout/hierarchy2"/>
    <dgm:cxn modelId="{6954C068-CEDB-DA43-B79D-9B995530240C}" type="presParOf" srcId="{7FBA9F8A-1B00-324B-ADB5-05E32A2E9CB7}" destId="{69116197-C5D4-9F43-AC55-252E023891F1}" srcOrd="1" destOrd="0" presId="urn:microsoft.com/office/officeart/2005/8/layout/hierarchy2"/>
    <dgm:cxn modelId="{A1129DAA-9307-5042-A845-61763FC9C2BC}" type="presParOf" srcId="{69116197-C5D4-9F43-AC55-252E023891F1}" destId="{FAC72622-7920-9D4B-8882-12C91CA9C5F3}" srcOrd="0" destOrd="0" presId="urn:microsoft.com/office/officeart/2005/8/layout/hierarchy2"/>
    <dgm:cxn modelId="{A61B9EA1-A762-044B-B52F-3F4B967E64DC}" type="presParOf" srcId="{69116197-C5D4-9F43-AC55-252E023891F1}" destId="{F062C7B6-06BF-7043-A50C-52905DE22D96}" srcOrd="1" destOrd="0" presId="urn:microsoft.com/office/officeart/2005/8/layout/hierarchy2"/>
    <dgm:cxn modelId="{783CDC56-FC53-0449-9326-063E47328846}" type="presParOf" srcId="{7DCF6F3F-7750-4E49-B055-64C0C265E357}" destId="{89815CA0-A8E4-D34F-8229-DC5554D286CA}" srcOrd="8" destOrd="0" presId="urn:microsoft.com/office/officeart/2005/8/layout/hierarchy2"/>
    <dgm:cxn modelId="{4DBB7603-34E6-B544-9F4A-EE23E2011959}" type="presParOf" srcId="{89815CA0-A8E4-D34F-8229-DC5554D286CA}" destId="{4BED9D2B-3EBE-E248-B4E3-7B9310FB8A11}" srcOrd="0" destOrd="0" presId="urn:microsoft.com/office/officeart/2005/8/layout/hierarchy2"/>
    <dgm:cxn modelId="{3289F05D-2BD7-2847-854B-7A4D7139E990}" type="presParOf" srcId="{7DCF6F3F-7750-4E49-B055-64C0C265E357}" destId="{806B81FC-6F80-D84F-A77F-1E09854BB393}" srcOrd="9" destOrd="0" presId="urn:microsoft.com/office/officeart/2005/8/layout/hierarchy2"/>
    <dgm:cxn modelId="{CE413A96-F25E-774D-B8B3-2499AF3A91F9}" type="presParOf" srcId="{806B81FC-6F80-D84F-A77F-1E09854BB393}" destId="{F51FBADE-DB88-A14B-846A-59613E8F6AC6}" srcOrd="0" destOrd="0" presId="urn:microsoft.com/office/officeart/2005/8/layout/hierarchy2"/>
    <dgm:cxn modelId="{A6C82CC1-B41F-034A-9D88-E1FE666B89D7}" type="presParOf" srcId="{806B81FC-6F80-D84F-A77F-1E09854BB393}" destId="{FAB2A651-BC97-C143-B90B-061795BD2105}" srcOrd="1" destOrd="0" presId="urn:microsoft.com/office/officeart/2005/8/layout/hierarchy2"/>
    <dgm:cxn modelId="{52C4CDF0-C192-0B4F-9296-2177C4DAA550}" type="presParOf" srcId="{FAB2A651-BC97-C143-B90B-061795BD2105}" destId="{3652E5CE-904C-C04A-8891-294215E8866C}" srcOrd="0" destOrd="0" presId="urn:microsoft.com/office/officeart/2005/8/layout/hierarchy2"/>
    <dgm:cxn modelId="{0BBE6A10-94E1-654E-886B-26333B996C02}" type="presParOf" srcId="{3652E5CE-904C-C04A-8891-294215E8866C}" destId="{B2BC5308-5A63-0140-BF12-87265CB514CD}" srcOrd="0" destOrd="0" presId="urn:microsoft.com/office/officeart/2005/8/layout/hierarchy2"/>
    <dgm:cxn modelId="{6CC20939-C642-A84F-B432-8FBE490A33B1}" type="presParOf" srcId="{FAB2A651-BC97-C143-B90B-061795BD2105}" destId="{4E78132B-0260-B141-8E96-07F0968206D7}" srcOrd="1" destOrd="0" presId="urn:microsoft.com/office/officeart/2005/8/layout/hierarchy2"/>
    <dgm:cxn modelId="{5495237B-4475-1A42-A9ED-35746CDED4A3}" type="presParOf" srcId="{4E78132B-0260-B141-8E96-07F0968206D7}" destId="{6E73D9F8-4995-CF4E-A1B1-5197C807D56A}" srcOrd="0" destOrd="0" presId="urn:microsoft.com/office/officeart/2005/8/layout/hierarchy2"/>
    <dgm:cxn modelId="{CFD1A458-E3CF-E54E-9B3E-316857758771}" type="presParOf" srcId="{4E78132B-0260-B141-8E96-07F0968206D7}" destId="{DB7F2439-3049-9E42-838C-BD4FB999D3F3}" srcOrd="1" destOrd="0" presId="urn:microsoft.com/office/officeart/2005/8/layout/hierarchy2"/>
    <dgm:cxn modelId="{960367AC-D8E9-C845-9075-76D85C67E667}" type="presParOf" srcId="{DB7F2439-3049-9E42-838C-BD4FB999D3F3}" destId="{8A3494EC-85B9-F345-AC03-AA4AC99D1F3A}" srcOrd="0" destOrd="0" presId="urn:microsoft.com/office/officeart/2005/8/layout/hierarchy2"/>
    <dgm:cxn modelId="{793FEB49-7311-0F4A-9E6A-2067B34B1E2A}" type="presParOf" srcId="{8A3494EC-85B9-F345-AC03-AA4AC99D1F3A}" destId="{45099A8B-41F3-0440-86CE-108AB15F3A60}" srcOrd="0" destOrd="0" presId="urn:microsoft.com/office/officeart/2005/8/layout/hierarchy2"/>
    <dgm:cxn modelId="{B643C05F-68A9-AF42-9E41-1E8C9546076E}" type="presParOf" srcId="{DB7F2439-3049-9E42-838C-BD4FB999D3F3}" destId="{D9B48B33-B8B9-4246-B9FE-4D7F4C764C66}" srcOrd="1" destOrd="0" presId="urn:microsoft.com/office/officeart/2005/8/layout/hierarchy2"/>
    <dgm:cxn modelId="{BAB8BBF0-A410-D245-A5BC-DD42AEF26E42}" type="presParOf" srcId="{D9B48B33-B8B9-4246-B9FE-4D7F4C764C66}" destId="{78754AE0-3759-D042-885D-B4BD05ED5F24}" srcOrd="0" destOrd="0" presId="urn:microsoft.com/office/officeart/2005/8/layout/hierarchy2"/>
    <dgm:cxn modelId="{F97045AD-A674-3D42-B87D-F85A30474C1F}" type="presParOf" srcId="{D9B48B33-B8B9-4246-B9FE-4D7F4C764C66}" destId="{ECB08738-92F3-8643-9640-82FDBE0F7F1E}" srcOrd="1" destOrd="0" presId="urn:microsoft.com/office/officeart/2005/8/layout/hierarchy2"/>
    <dgm:cxn modelId="{42381C18-49C9-C54C-AA32-5A5E0B8B768A}" type="presParOf" srcId="{FAB2A651-BC97-C143-B90B-061795BD2105}" destId="{DDC303B7-12C7-9B45-9033-44DEF8033C4B}" srcOrd="2" destOrd="0" presId="urn:microsoft.com/office/officeart/2005/8/layout/hierarchy2"/>
    <dgm:cxn modelId="{2668715E-6180-EA4F-9536-53406B194EC3}" type="presParOf" srcId="{DDC303B7-12C7-9B45-9033-44DEF8033C4B}" destId="{B3F5AF76-FC23-9F41-B46B-C2F747D47D77}" srcOrd="0" destOrd="0" presId="urn:microsoft.com/office/officeart/2005/8/layout/hierarchy2"/>
    <dgm:cxn modelId="{E9EBF249-AEB7-4044-A5C8-87D3E2B81086}" type="presParOf" srcId="{FAB2A651-BC97-C143-B90B-061795BD2105}" destId="{60DEAE20-B056-514F-B611-195DFD29C080}" srcOrd="3" destOrd="0" presId="urn:microsoft.com/office/officeart/2005/8/layout/hierarchy2"/>
    <dgm:cxn modelId="{5FD3F428-FA8B-0543-80F1-F6E83D449E7A}" type="presParOf" srcId="{60DEAE20-B056-514F-B611-195DFD29C080}" destId="{C23E3216-9363-7843-A064-7829C6156F68}" srcOrd="0" destOrd="0" presId="urn:microsoft.com/office/officeart/2005/8/layout/hierarchy2"/>
    <dgm:cxn modelId="{85DA1DE4-181E-2940-89B6-34156201FA82}" type="presParOf" srcId="{60DEAE20-B056-514F-B611-195DFD29C080}" destId="{D47F45C1-749E-654A-B73A-A1FE07EC0971}" srcOrd="1" destOrd="0" presId="urn:microsoft.com/office/officeart/2005/8/layout/hierarchy2"/>
    <dgm:cxn modelId="{F5D03ECD-2F6D-F54D-808D-0A8ADD1DB18D}" type="presParOf" srcId="{FAB2A651-BC97-C143-B90B-061795BD2105}" destId="{D3282D8C-6419-8145-9946-60126AAF2D27}" srcOrd="4" destOrd="0" presId="urn:microsoft.com/office/officeart/2005/8/layout/hierarchy2"/>
    <dgm:cxn modelId="{FACA1E85-401D-8C4B-B540-94DFEE08C763}" type="presParOf" srcId="{D3282D8C-6419-8145-9946-60126AAF2D27}" destId="{A7C3D8CB-DEB3-1C4D-BE6E-B4BE631FE5BB}" srcOrd="0" destOrd="0" presId="urn:microsoft.com/office/officeart/2005/8/layout/hierarchy2"/>
    <dgm:cxn modelId="{FD535905-F6C9-1E46-99BD-D4005AA7D05A}" type="presParOf" srcId="{FAB2A651-BC97-C143-B90B-061795BD2105}" destId="{73AF0690-D01B-784D-B810-8BF6423D7982}" srcOrd="5" destOrd="0" presId="urn:microsoft.com/office/officeart/2005/8/layout/hierarchy2"/>
    <dgm:cxn modelId="{37216C14-5368-C842-A05E-72189BD72C81}" type="presParOf" srcId="{73AF0690-D01B-784D-B810-8BF6423D7982}" destId="{079B7F6F-D7A3-8744-B2AF-0ABFD42168C5}" srcOrd="0" destOrd="0" presId="urn:microsoft.com/office/officeart/2005/8/layout/hierarchy2"/>
    <dgm:cxn modelId="{1195D19B-094D-154C-96E2-0F5417D7034A}" type="presParOf" srcId="{73AF0690-D01B-784D-B810-8BF6423D7982}" destId="{C471DBE1-FD2B-8F4C-B123-2F4C8F44F706}" srcOrd="1" destOrd="0" presId="urn:microsoft.com/office/officeart/2005/8/layout/hierarchy2"/>
    <dgm:cxn modelId="{22F9835E-30D7-754F-BA2C-CC728E414C78}" type="presParOf" srcId="{C471DBE1-FD2B-8F4C-B123-2F4C8F44F706}" destId="{7E1AD678-D7E5-9844-9640-FA9CDE3EE73D}" srcOrd="0" destOrd="0" presId="urn:microsoft.com/office/officeart/2005/8/layout/hierarchy2"/>
    <dgm:cxn modelId="{FEA45B4E-F04E-F94D-A154-A539CF280C5C}" type="presParOf" srcId="{7E1AD678-D7E5-9844-9640-FA9CDE3EE73D}" destId="{4C354592-A09F-6D45-A136-D3B96E8FFA85}" srcOrd="0" destOrd="0" presId="urn:microsoft.com/office/officeart/2005/8/layout/hierarchy2"/>
    <dgm:cxn modelId="{96980FE2-11F2-E64A-B057-507BFBCEBBC3}" type="presParOf" srcId="{C471DBE1-FD2B-8F4C-B123-2F4C8F44F706}" destId="{6D9AA2F4-12A8-2F45-9425-8551BB3C2D09}" srcOrd="1" destOrd="0" presId="urn:microsoft.com/office/officeart/2005/8/layout/hierarchy2"/>
    <dgm:cxn modelId="{07758C6E-154E-7A43-9A78-9FF23EA803C2}" type="presParOf" srcId="{6D9AA2F4-12A8-2F45-9425-8551BB3C2D09}" destId="{E670B104-FE1E-0341-81A6-730D9922C976}" srcOrd="0" destOrd="0" presId="urn:microsoft.com/office/officeart/2005/8/layout/hierarchy2"/>
    <dgm:cxn modelId="{11954864-7784-5049-B602-FCE1AC2E9C18}" type="presParOf" srcId="{6D9AA2F4-12A8-2F45-9425-8551BB3C2D09}" destId="{334D7C47-14D9-6041-8B52-7958AD0490B8}" srcOrd="1" destOrd="0" presId="urn:microsoft.com/office/officeart/2005/8/layout/hierarchy2"/>
    <dgm:cxn modelId="{940D6E39-2957-FE49-9E65-8B92EF859840}" type="presParOf" srcId="{7DCF6F3F-7750-4E49-B055-64C0C265E357}" destId="{BB32562C-16A7-1143-AD07-46F6E3088404}" srcOrd="10" destOrd="0" presId="urn:microsoft.com/office/officeart/2005/8/layout/hierarchy2"/>
    <dgm:cxn modelId="{62979B43-E017-624A-9BC2-760C6E2D022D}" type="presParOf" srcId="{BB32562C-16A7-1143-AD07-46F6E3088404}" destId="{4E77CAD2-A8AB-D843-847C-3A0CDB177DA6}" srcOrd="0" destOrd="0" presId="urn:microsoft.com/office/officeart/2005/8/layout/hierarchy2"/>
    <dgm:cxn modelId="{DCA6ACE7-2849-644B-9F80-26405E0F851F}" type="presParOf" srcId="{7DCF6F3F-7750-4E49-B055-64C0C265E357}" destId="{05770106-4E98-FC45-B86E-87533D33471D}" srcOrd="11" destOrd="0" presId="urn:microsoft.com/office/officeart/2005/8/layout/hierarchy2"/>
    <dgm:cxn modelId="{BA307D33-2D21-6C42-BF0D-B08E4CE731A6}" type="presParOf" srcId="{05770106-4E98-FC45-B86E-87533D33471D}" destId="{13485AB8-35DD-9C47-AB00-46085A381A82}" srcOrd="0" destOrd="0" presId="urn:microsoft.com/office/officeart/2005/8/layout/hierarchy2"/>
    <dgm:cxn modelId="{8B4E5D41-2FA6-B547-8E64-B4ABB50092DB}" type="presParOf" srcId="{05770106-4E98-FC45-B86E-87533D33471D}" destId="{3343AAAF-6D24-0847-A365-E72DF4D8C0A7}" srcOrd="1" destOrd="0" presId="urn:microsoft.com/office/officeart/2005/8/layout/hierarchy2"/>
    <dgm:cxn modelId="{9183808E-2ACE-E942-BE41-271528DE94A8}" type="presParOf" srcId="{3343AAAF-6D24-0847-A365-E72DF4D8C0A7}" destId="{490F0FD2-7B13-874B-9634-3A738944E5AC}" srcOrd="0" destOrd="0" presId="urn:microsoft.com/office/officeart/2005/8/layout/hierarchy2"/>
    <dgm:cxn modelId="{7AF84E19-8138-3D4E-A280-C6689EF1239A}" type="presParOf" srcId="{490F0FD2-7B13-874B-9634-3A738944E5AC}" destId="{6F67AB93-3F09-FA4B-AFF1-165D9C5B6D81}" srcOrd="0" destOrd="0" presId="urn:microsoft.com/office/officeart/2005/8/layout/hierarchy2"/>
    <dgm:cxn modelId="{CF0C8717-AE5D-474C-B7F2-B309EE87835E}" type="presParOf" srcId="{3343AAAF-6D24-0847-A365-E72DF4D8C0A7}" destId="{7F19EC17-22EF-F14E-AC19-090E7BABCE1E}" srcOrd="1" destOrd="0" presId="urn:microsoft.com/office/officeart/2005/8/layout/hierarchy2"/>
    <dgm:cxn modelId="{F4CD80B1-7BDF-B248-8C22-D7A84A66FDB5}" type="presParOf" srcId="{7F19EC17-22EF-F14E-AC19-090E7BABCE1E}" destId="{3D33D7E6-8570-A54F-A7B6-A13007F1D015}" srcOrd="0" destOrd="0" presId="urn:microsoft.com/office/officeart/2005/8/layout/hierarchy2"/>
    <dgm:cxn modelId="{DEEB6344-1544-BC48-8AF1-0D2504ECA077}" type="presParOf" srcId="{7F19EC17-22EF-F14E-AC19-090E7BABCE1E}" destId="{35F47F54-C939-D648-AF2F-9CC6E9015EBF}" srcOrd="1" destOrd="0" presId="urn:microsoft.com/office/officeart/2005/8/layout/hierarchy2"/>
    <dgm:cxn modelId="{6EDD4459-8181-E747-B20C-7953A8173F96}" type="presParOf" srcId="{3343AAAF-6D24-0847-A365-E72DF4D8C0A7}" destId="{80EB617D-6059-224C-9C55-A03E08FA26F5}" srcOrd="2" destOrd="0" presId="urn:microsoft.com/office/officeart/2005/8/layout/hierarchy2"/>
    <dgm:cxn modelId="{4B99B150-E32B-C24C-BFC2-64CF13EDB1C9}" type="presParOf" srcId="{80EB617D-6059-224C-9C55-A03E08FA26F5}" destId="{EA13F84A-0260-6545-B31E-F18A33474D26}" srcOrd="0" destOrd="0" presId="urn:microsoft.com/office/officeart/2005/8/layout/hierarchy2"/>
    <dgm:cxn modelId="{EB3135F7-DD7F-B547-BEE6-D3DEEFD0C6A5}" type="presParOf" srcId="{3343AAAF-6D24-0847-A365-E72DF4D8C0A7}" destId="{C481BFBE-D744-F449-9DE6-87538EF4A570}" srcOrd="3" destOrd="0" presId="urn:microsoft.com/office/officeart/2005/8/layout/hierarchy2"/>
    <dgm:cxn modelId="{791C72DF-B9E3-7548-8B7B-EF03504A0F56}" type="presParOf" srcId="{C481BFBE-D744-F449-9DE6-87538EF4A570}" destId="{98DED41B-E770-D546-80B8-B8F441D60B24}" srcOrd="0" destOrd="0" presId="urn:microsoft.com/office/officeart/2005/8/layout/hierarchy2"/>
    <dgm:cxn modelId="{A801DAC7-9B22-CD4B-8A76-51714B684553}" type="presParOf" srcId="{C481BFBE-D744-F449-9DE6-87538EF4A570}" destId="{EE8FB980-F17F-D846-9A1A-894EA3BF5181}" srcOrd="1" destOrd="0" presId="urn:microsoft.com/office/officeart/2005/8/layout/hierarchy2"/>
    <dgm:cxn modelId="{793413D4-2BAF-D843-B082-58F14FE64737}" type="presParOf" srcId="{EE8FB980-F17F-D846-9A1A-894EA3BF5181}" destId="{CFDD132E-3A7F-F04E-ABD5-FF2F5192D67E}" srcOrd="0" destOrd="0" presId="urn:microsoft.com/office/officeart/2005/8/layout/hierarchy2"/>
    <dgm:cxn modelId="{77E1F558-0C6E-6E41-BF14-F396F2B0DF2E}" type="presParOf" srcId="{CFDD132E-3A7F-F04E-ABD5-FF2F5192D67E}" destId="{1D2378A9-C46A-D04C-9B3A-571B7753D57F}" srcOrd="0" destOrd="0" presId="urn:microsoft.com/office/officeart/2005/8/layout/hierarchy2"/>
    <dgm:cxn modelId="{EA995815-163E-C140-9EF4-E53CF21B14A4}" type="presParOf" srcId="{EE8FB980-F17F-D846-9A1A-894EA3BF5181}" destId="{72CB1564-0D28-6C4A-96A3-3E28FD8B21BA}" srcOrd="1" destOrd="0" presId="urn:microsoft.com/office/officeart/2005/8/layout/hierarchy2"/>
    <dgm:cxn modelId="{3F3AB04E-3BF1-FE40-B562-4C07B4E67237}" type="presParOf" srcId="{72CB1564-0D28-6C4A-96A3-3E28FD8B21BA}" destId="{1D766FD2-98A6-2D4B-8CF9-1C85CF679C74}" srcOrd="0" destOrd="0" presId="urn:microsoft.com/office/officeart/2005/8/layout/hierarchy2"/>
    <dgm:cxn modelId="{74F39C7B-A6A4-FB43-B2D0-4550CC97BF53}" type="presParOf" srcId="{72CB1564-0D28-6C4A-96A3-3E28FD8B21BA}" destId="{606FD013-7907-C948-A6AF-DF8E33E4E777}" srcOrd="1" destOrd="0" presId="urn:microsoft.com/office/officeart/2005/8/layout/hierarchy2"/>
    <dgm:cxn modelId="{BB46129A-91AC-854C-8F26-851EF91B3305}" type="presParOf" srcId="{606FD013-7907-C948-A6AF-DF8E33E4E777}" destId="{E5C866E2-6596-5E4D-B122-AB699653CA8D}" srcOrd="0" destOrd="0" presId="urn:microsoft.com/office/officeart/2005/8/layout/hierarchy2"/>
    <dgm:cxn modelId="{D93F8574-1516-A340-AA49-EA4981020E5B}" type="presParOf" srcId="{E5C866E2-6596-5E4D-B122-AB699653CA8D}" destId="{57D06136-8074-D647-BA64-32EC65793C02}" srcOrd="0" destOrd="0" presId="urn:microsoft.com/office/officeart/2005/8/layout/hierarchy2"/>
    <dgm:cxn modelId="{1D96DB97-9207-C74B-A355-FD95EF6D48A9}" type="presParOf" srcId="{606FD013-7907-C948-A6AF-DF8E33E4E777}" destId="{724F64B8-45A7-5940-A427-3CB8069CDCEF}" srcOrd="1" destOrd="0" presId="urn:microsoft.com/office/officeart/2005/8/layout/hierarchy2"/>
    <dgm:cxn modelId="{BA9EDEE4-700C-BD4A-A97C-4CCA007C6ABD}" type="presParOf" srcId="{724F64B8-45A7-5940-A427-3CB8069CDCEF}" destId="{A6E1F013-BBC3-434B-858A-93A82C2D96C9}" srcOrd="0" destOrd="0" presId="urn:microsoft.com/office/officeart/2005/8/layout/hierarchy2"/>
    <dgm:cxn modelId="{C819AF51-C2B8-D74C-A2DE-31EFCC2ADCEE}" type="presParOf" srcId="{724F64B8-45A7-5940-A427-3CB8069CDCEF}" destId="{393F80E3-28D7-3444-B876-7742DC4BCFF8}" srcOrd="1" destOrd="0" presId="urn:microsoft.com/office/officeart/2005/8/layout/hierarchy2"/>
    <dgm:cxn modelId="{610C6553-4353-E142-A525-E87B33883DE2}" type="presParOf" srcId="{86EE93D0-EEB3-6F48-826F-8F59D92C16E1}" destId="{0A3D2683-ACD4-4947-8320-7D2363362DB1}" srcOrd="2" destOrd="0" presId="urn:microsoft.com/office/officeart/2005/8/layout/hierarchy2"/>
    <dgm:cxn modelId="{597D6736-2699-044F-B23E-00AE8F07A082}" type="presParOf" srcId="{0A3D2683-ACD4-4947-8320-7D2363362DB1}" destId="{72E5C04D-9D5B-FB42-A185-2FEDD753132D}" srcOrd="0" destOrd="0" presId="urn:microsoft.com/office/officeart/2005/8/layout/hierarchy2"/>
    <dgm:cxn modelId="{FE2CAD52-96DB-0346-9EB5-89A12A750C59}" type="presParOf" srcId="{86EE93D0-EEB3-6F48-826F-8F59D92C16E1}" destId="{4ADFBFB7-C7A7-CF4D-AAFB-AF6AFE9B1102}" srcOrd="3" destOrd="0" presId="urn:microsoft.com/office/officeart/2005/8/layout/hierarchy2"/>
    <dgm:cxn modelId="{70CF4F85-2F3C-3E49-9C44-F43420918887}" type="presParOf" srcId="{4ADFBFB7-C7A7-CF4D-AAFB-AF6AFE9B1102}" destId="{F8CF0165-7F9F-1E46-B6B5-EDEAB8968E08}" srcOrd="0" destOrd="0" presId="urn:microsoft.com/office/officeart/2005/8/layout/hierarchy2"/>
    <dgm:cxn modelId="{DD593DA6-51C8-4342-A11C-67CE1D3062C0}" type="presParOf" srcId="{4ADFBFB7-C7A7-CF4D-AAFB-AF6AFE9B1102}" destId="{95E853F2-2D48-A644-8DDB-AD749D7C2F1F}" srcOrd="1" destOrd="0" presId="urn:microsoft.com/office/officeart/2005/8/layout/hierarchy2"/>
    <dgm:cxn modelId="{85AFD148-F6F0-C449-AC71-8902ACDC646F}" type="presParOf" srcId="{95E853F2-2D48-A644-8DDB-AD749D7C2F1F}" destId="{3B43E233-AC1B-EF47-96D1-B8386A516FEC}" srcOrd="0" destOrd="0" presId="urn:microsoft.com/office/officeart/2005/8/layout/hierarchy2"/>
    <dgm:cxn modelId="{25EA9AF7-59D3-5144-BBA9-5522744FB269}" type="presParOf" srcId="{3B43E233-AC1B-EF47-96D1-B8386A516FEC}" destId="{4582AC68-95C3-E241-BD14-F144050A8DDD}" srcOrd="0" destOrd="0" presId="urn:microsoft.com/office/officeart/2005/8/layout/hierarchy2"/>
    <dgm:cxn modelId="{3DCF72B1-7377-904B-9E8E-9EBEEBF0DF81}" type="presParOf" srcId="{95E853F2-2D48-A644-8DDB-AD749D7C2F1F}" destId="{5909AEDB-4D3A-8343-B9FD-FAB16C2FADC3}" srcOrd="1" destOrd="0" presId="urn:microsoft.com/office/officeart/2005/8/layout/hierarchy2"/>
    <dgm:cxn modelId="{60B6775C-3C18-1B4C-B167-253EA184FC7F}" type="presParOf" srcId="{5909AEDB-4D3A-8343-B9FD-FAB16C2FADC3}" destId="{1EC1C0C6-BDBF-8143-8838-4EB7B7233DD3}" srcOrd="0" destOrd="0" presId="urn:microsoft.com/office/officeart/2005/8/layout/hierarchy2"/>
    <dgm:cxn modelId="{C9259A27-DEF8-9043-9B1E-7E79D3E186A5}" type="presParOf" srcId="{5909AEDB-4D3A-8343-B9FD-FAB16C2FADC3}" destId="{912EA272-7AE2-B043-A20F-BA247958129F}" srcOrd="1" destOrd="0" presId="urn:microsoft.com/office/officeart/2005/8/layout/hierarchy2"/>
    <dgm:cxn modelId="{6E4B07BB-6CBC-2043-9B8A-DAD1958D1A19}" type="presParOf" srcId="{912EA272-7AE2-B043-A20F-BA247958129F}" destId="{FDE54883-4A44-4441-B97E-48C022FEA71A}" srcOrd="0" destOrd="0" presId="urn:microsoft.com/office/officeart/2005/8/layout/hierarchy2"/>
    <dgm:cxn modelId="{8CCEFD65-6416-6841-B111-A661522D0B60}" type="presParOf" srcId="{FDE54883-4A44-4441-B97E-48C022FEA71A}" destId="{6BDC1D7B-D6BE-414F-B5FE-09753F5C3498}" srcOrd="0" destOrd="0" presId="urn:microsoft.com/office/officeart/2005/8/layout/hierarchy2"/>
    <dgm:cxn modelId="{5686A11F-1B1C-D943-8214-D60E1AB3C914}" type="presParOf" srcId="{912EA272-7AE2-B043-A20F-BA247958129F}" destId="{58D3F3FA-1A07-FA43-953D-3B83C27653FF}" srcOrd="1" destOrd="0" presId="urn:microsoft.com/office/officeart/2005/8/layout/hierarchy2"/>
    <dgm:cxn modelId="{CFFE4ABD-FE09-8546-A7E2-DB46D187BC57}" type="presParOf" srcId="{58D3F3FA-1A07-FA43-953D-3B83C27653FF}" destId="{8F117446-8241-B84D-A696-580165D30A4F}" srcOrd="0" destOrd="0" presId="urn:microsoft.com/office/officeart/2005/8/layout/hierarchy2"/>
    <dgm:cxn modelId="{25CB1D8C-2413-3047-8387-6DB0B54AC511}" type="presParOf" srcId="{58D3F3FA-1A07-FA43-953D-3B83C27653FF}" destId="{69FABA66-A184-1547-A9BD-35A1DE1CC6E5}" srcOrd="1" destOrd="0" presId="urn:microsoft.com/office/officeart/2005/8/layout/hierarchy2"/>
    <dgm:cxn modelId="{D9A7AB7D-42E6-0F48-9FD1-60271EECE47B}" type="presParOf" srcId="{69FABA66-A184-1547-A9BD-35A1DE1CC6E5}" destId="{DC6CCC79-4A2D-B241-84D4-462340E94773}" srcOrd="0" destOrd="0" presId="urn:microsoft.com/office/officeart/2005/8/layout/hierarchy2"/>
    <dgm:cxn modelId="{C4EC09CC-71A4-204E-AA2D-B48108564C0C}" type="presParOf" srcId="{DC6CCC79-4A2D-B241-84D4-462340E94773}" destId="{13D28357-FBE5-764C-A1FB-2A6DD28AB6E6}" srcOrd="0" destOrd="0" presId="urn:microsoft.com/office/officeart/2005/8/layout/hierarchy2"/>
    <dgm:cxn modelId="{A5233720-D7D7-B444-A986-25E36BD55727}" type="presParOf" srcId="{69FABA66-A184-1547-A9BD-35A1DE1CC6E5}" destId="{A305A81D-18A9-CA48-8768-70F9CAD86674}" srcOrd="1" destOrd="0" presId="urn:microsoft.com/office/officeart/2005/8/layout/hierarchy2"/>
    <dgm:cxn modelId="{70FEB12A-7FDF-6140-B008-6CF9AAF07F9F}" type="presParOf" srcId="{A305A81D-18A9-CA48-8768-70F9CAD86674}" destId="{653BBA4B-DA21-E04B-BA94-CFBBE8EB25C0}" srcOrd="0" destOrd="0" presId="urn:microsoft.com/office/officeart/2005/8/layout/hierarchy2"/>
    <dgm:cxn modelId="{4A6B1C39-815C-E24F-A982-C507C5DE2BE4}" type="presParOf" srcId="{A305A81D-18A9-CA48-8768-70F9CAD86674}" destId="{772DC414-62AE-5041-9761-A454D4F9A4F3}" srcOrd="1" destOrd="0" presId="urn:microsoft.com/office/officeart/2005/8/layout/hierarchy2"/>
    <dgm:cxn modelId="{F6EC6F6B-7DE8-8841-BC90-CCF1FFEE6C22}" type="presParOf" srcId="{69FABA66-A184-1547-A9BD-35A1DE1CC6E5}" destId="{0519ABD7-19B2-074D-A8DA-06233230D1E4}" srcOrd="2" destOrd="0" presId="urn:microsoft.com/office/officeart/2005/8/layout/hierarchy2"/>
    <dgm:cxn modelId="{F70A9B86-1EE4-1647-BCEE-2FAED022B00E}" type="presParOf" srcId="{0519ABD7-19B2-074D-A8DA-06233230D1E4}" destId="{43270A6C-8E0D-CF45-998A-9EDA0ACD7A49}" srcOrd="0" destOrd="0" presId="urn:microsoft.com/office/officeart/2005/8/layout/hierarchy2"/>
    <dgm:cxn modelId="{4DF66DE2-47E1-A34A-AB19-5670939F1F58}" type="presParOf" srcId="{69FABA66-A184-1547-A9BD-35A1DE1CC6E5}" destId="{E9A34E32-F53F-204D-B13F-F0ED6F49DCA3}" srcOrd="3" destOrd="0" presId="urn:microsoft.com/office/officeart/2005/8/layout/hierarchy2"/>
    <dgm:cxn modelId="{8943CBD0-B794-0A4C-9FED-CE3347F553C0}" type="presParOf" srcId="{E9A34E32-F53F-204D-B13F-F0ED6F49DCA3}" destId="{79C53478-BCA7-504A-9871-7C063E6B3EE9}" srcOrd="0" destOrd="0" presId="urn:microsoft.com/office/officeart/2005/8/layout/hierarchy2"/>
    <dgm:cxn modelId="{E2113629-127C-FC43-905E-5A269DF77793}" type="presParOf" srcId="{E9A34E32-F53F-204D-B13F-F0ED6F49DCA3}" destId="{A126B010-AA72-044B-BD6A-23AB1F1825C8}" srcOrd="1" destOrd="0" presId="urn:microsoft.com/office/officeart/2005/8/layout/hierarchy2"/>
    <dgm:cxn modelId="{BDFB73D7-8142-3B42-8011-8C8032AAABDA}" type="presParOf" srcId="{A126B010-AA72-044B-BD6A-23AB1F1825C8}" destId="{101379F1-4E8A-7C44-8ECC-DDA169F74C88}" srcOrd="0" destOrd="0" presId="urn:microsoft.com/office/officeart/2005/8/layout/hierarchy2"/>
    <dgm:cxn modelId="{32EA65E7-C58F-A642-A79E-6F44693136FA}" type="presParOf" srcId="{101379F1-4E8A-7C44-8ECC-DDA169F74C88}" destId="{D2D904E2-3876-574C-A229-C0C766B22DA3}" srcOrd="0" destOrd="0" presId="urn:microsoft.com/office/officeart/2005/8/layout/hierarchy2"/>
    <dgm:cxn modelId="{068FC0B3-F7D1-EE47-ADE5-1389DBF1F217}" type="presParOf" srcId="{A126B010-AA72-044B-BD6A-23AB1F1825C8}" destId="{83DAE4FD-02EC-1F49-AE9B-38655BDA3F60}" srcOrd="1" destOrd="0" presId="urn:microsoft.com/office/officeart/2005/8/layout/hierarchy2"/>
    <dgm:cxn modelId="{3F6EA2B1-988F-4B48-A784-C62E260CF5F7}" type="presParOf" srcId="{83DAE4FD-02EC-1F49-AE9B-38655BDA3F60}" destId="{DB4D1F89-8D3D-0146-98CA-FD15D540418A}" srcOrd="0" destOrd="0" presId="urn:microsoft.com/office/officeart/2005/8/layout/hierarchy2"/>
    <dgm:cxn modelId="{AA979CA6-2E64-8542-801D-84D067F394DF}" type="presParOf" srcId="{83DAE4FD-02EC-1F49-AE9B-38655BDA3F60}" destId="{4D4A2CA9-F419-014A-BF02-90B97FB3795E}" srcOrd="1" destOrd="0" presId="urn:microsoft.com/office/officeart/2005/8/layout/hierarchy2"/>
    <dgm:cxn modelId="{F7ED8CCE-9924-7848-990E-EEF3EF7BF22F}" type="presParOf" srcId="{95E853F2-2D48-A644-8DDB-AD749D7C2F1F}" destId="{0F9B0A7A-481B-FA4F-9155-3809D6504C37}" srcOrd="2" destOrd="0" presId="urn:microsoft.com/office/officeart/2005/8/layout/hierarchy2"/>
    <dgm:cxn modelId="{A3271409-EF81-3243-9784-43952E48F634}" type="presParOf" srcId="{0F9B0A7A-481B-FA4F-9155-3809D6504C37}" destId="{014534F8-6082-BB4C-BCF9-E3D32548CA49}" srcOrd="0" destOrd="0" presId="urn:microsoft.com/office/officeart/2005/8/layout/hierarchy2"/>
    <dgm:cxn modelId="{2A82BA85-3EBC-FE49-A61E-4EB886D7BD88}" type="presParOf" srcId="{95E853F2-2D48-A644-8DDB-AD749D7C2F1F}" destId="{5017E9E4-CC76-0743-935F-092998C7914F}" srcOrd="3" destOrd="0" presId="urn:microsoft.com/office/officeart/2005/8/layout/hierarchy2"/>
    <dgm:cxn modelId="{7EC4F1FA-39A2-4243-8171-419E0BDCD867}" type="presParOf" srcId="{5017E9E4-CC76-0743-935F-092998C7914F}" destId="{BD3BAB78-F407-EE41-A4B9-9CADD1095D8B}" srcOrd="0" destOrd="0" presId="urn:microsoft.com/office/officeart/2005/8/layout/hierarchy2"/>
    <dgm:cxn modelId="{604D3AC9-4DF8-CA4E-9513-DF68F167ED8B}" type="presParOf" srcId="{5017E9E4-CC76-0743-935F-092998C7914F}" destId="{F575C4BE-EF10-4544-BC05-91EEF08A87A6}" srcOrd="1" destOrd="0" presId="urn:microsoft.com/office/officeart/2005/8/layout/hierarchy2"/>
    <dgm:cxn modelId="{75FC8B38-8ED0-6240-BCB4-99E426C0DCB8}" type="presParOf" srcId="{F575C4BE-EF10-4544-BC05-91EEF08A87A6}" destId="{77911681-BDD6-3344-9901-628235157980}" srcOrd="0" destOrd="0" presId="urn:microsoft.com/office/officeart/2005/8/layout/hierarchy2"/>
    <dgm:cxn modelId="{AD5367BB-FFAF-3744-8930-1B7B536EBF8C}" type="presParOf" srcId="{77911681-BDD6-3344-9901-628235157980}" destId="{77DBD7BB-A17D-9547-A1ED-B48E4B3792FE}" srcOrd="0" destOrd="0" presId="urn:microsoft.com/office/officeart/2005/8/layout/hierarchy2"/>
    <dgm:cxn modelId="{65E70319-E302-E340-BD1F-1154DA1856C5}" type="presParOf" srcId="{F575C4BE-EF10-4544-BC05-91EEF08A87A6}" destId="{65A52F8E-92D7-564C-A4E7-FA6D9ABE2A96}" srcOrd="1" destOrd="0" presId="urn:microsoft.com/office/officeart/2005/8/layout/hierarchy2"/>
    <dgm:cxn modelId="{F1089744-75BF-1343-836F-96EB6EC13F2D}" type="presParOf" srcId="{65A52F8E-92D7-564C-A4E7-FA6D9ABE2A96}" destId="{92B2FF25-44B5-ED41-859B-F2487A0F3F20}" srcOrd="0" destOrd="0" presId="urn:microsoft.com/office/officeart/2005/8/layout/hierarchy2"/>
    <dgm:cxn modelId="{738E30F4-F203-F748-8E76-415D67D071E4}" type="presParOf" srcId="{65A52F8E-92D7-564C-A4E7-FA6D9ABE2A96}" destId="{D9365366-EE24-024B-BF02-E8FF5B166DC5}" srcOrd="1" destOrd="0" presId="urn:microsoft.com/office/officeart/2005/8/layout/hierarchy2"/>
    <dgm:cxn modelId="{17166573-2712-DF42-A91B-587128710316}" type="presParOf" srcId="{D9365366-EE24-024B-BF02-E8FF5B166DC5}" destId="{60E4113E-0F35-0E40-AC7F-6BC8FE6DA1CB}" srcOrd="0" destOrd="0" presId="urn:microsoft.com/office/officeart/2005/8/layout/hierarchy2"/>
    <dgm:cxn modelId="{CBA1DDC4-8722-6046-95C9-D2118F8EEE94}" type="presParOf" srcId="{60E4113E-0F35-0E40-AC7F-6BC8FE6DA1CB}" destId="{C5F4A130-C6BF-214B-A3DC-34F2809CCBC1}" srcOrd="0" destOrd="0" presId="urn:microsoft.com/office/officeart/2005/8/layout/hierarchy2"/>
    <dgm:cxn modelId="{8DCD5117-FE78-5A42-B723-283D7D9DDD5C}" type="presParOf" srcId="{D9365366-EE24-024B-BF02-E8FF5B166DC5}" destId="{717F565A-73DB-E44C-AAED-189B4ED3E1A9}" srcOrd="1" destOrd="0" presId="urn:microsoft.com/office/officeart/2005/8/layout/hierarchy2"/>
    <dgm:cxn modelId="{E73AC3E3-289E-3148-B2BE-9334F0B20E90}" type="presParOf" srcId="{717F565A-73DB-E44C-AAED-189B4ED3E1A9}" destId="{F93BC2C3-6A5A-D849-B399-FD618E161629}" srcOrd="0" destOrd="0" presId="urn:microsoft.com/office/officeart/2005/8/layout/hierarchy2"/>
    <dgm:cxn modelId="{2D8D3375-3FFD-D64E-833E-E92382C2E9D3}" type="presParOf" srcId="{717F565A-73DB-E44C-AAED-189B4ED3E1A9}" destId="{2795237D-92A4-DF4F-A076-2EC3D126D95D}" srcOrd="1" destOrd="0" presId="urn:microsoft.com/office/officeart/2005/8/layout/hierarchy2"/>
    <dgm:cxn modelId="{7403D261-0291-7B4D-A012-E3A5DD6EBB51}" type="presParOf" srcId="{2795237D-92A4-DF4F-A076-2EC3D126D95D}" destId="{5556694A-3C2A-C54F-B5A8-9EAA3F787CF9}" srcOrd="0" destOrd="0" presId="urn:microsoft.com/office/officeart/2005/8/layout/hierarchy2"/>
    <dgm:cxn modelId="{0D60B06F-FF53-AD49-9BB8-A003A4471897}" type="presParOf" srcId="{5556694A-3C2A-C54F-B5A8-9EAA3F787CF9}" destId="{2B931093-29A3-A44A-98C7-EB2B196E7FB8}" srcOrd="0" destOrd="0" presId="urn:microsoft.com/office/officeart/2005/8/layout/hierarchy2"/>
    <dgm:cxn modelId="{50127FB5-88C6-774D-B09C-8C5C12D6324E}" type="presParOf" srcId="{2795237D-92A4-DF4F-A076-2EC3D126D95D}" destId="{5CD9D36F-D002-4143-AAE1-37904E5320B7}" srcOrd="1" destOrd="0" presId="urn:microsoft.com/office/officeart/2005/8/layout/hierarchy2"/>
    <dgm:cxn modelId="{A86757E1-006D-3244-B7AC-7FF24D7FED3A}" type="presParOf" srcId="{5CD9D36F-D002-4143-AAE1-37904E5320B7}" destId="{FA54B60B-7805-914B-9665-F383877BACE2}" srcOrd="0" destOrd="0" presId="urn:microsoft.com/office/officeart/2005/8/layout/hierarchy2"/>
    <dgm:cxn modelId="{F3871834-2427-3240-BFB4-80CA1809EA34}" type="presParOf" srcId="{5CD9D36F-D002-4143-AAE1-37904E5320B7}" destId="{52326F82-3F8A-1F48-9A6B-AE4472FA3B4E}" srcOrd="1" destOrd="0" presId="urn:microsoft.com/office/officeart/2005/8/layout/hierarchy2"/>
    <dgm:cxn modelId="{FAC0853C-0C9D-324C-9AA9-4127338D863A}" type="presParOf" srcId="{F575C4BE-EF10-4544-BC05-91EEF08A87A6}" destId="{D1A4D981-D129-7440-9904-CAC402472169}" srcOrd="2" destOrd="0" presId="urn:microsoft.com/office/officeart/2005/8/layout/hierarchy2"/>
    <dgm:cxn modelId="{66C6E86C-59E9-8841-B726-8217560EB886}" type="presParOf" srcId="{D1A4D981-D129-7440-9904-CAC402472169}" destId="{4EDA21F5-9806-8948-9296-96A9B7B6228D}" srcOrd="0" destOrd="0" presId="urn:microsoft.com/office/officeart/2005/8/layout/hierarchy2"/>
    <dgm:cxn modelId="{CA33400A-9AD5-9E40-BB07-2536214BF831}" type="presParOf" srcId="{F575C4BE-EF10-4544-BC05-91EEF08A87A6}" destId="{8700422A-544D-B74C-A0E7-A4F2C6B6A03E}" srcOrd="3" destOrd="0" presId="urn:microsoft.com/office/officeart/2005/8/layout/hierarchy2"/>
    <dgm:cxn modelId="{59EBF9BD-794D-5741-B6CD-40905FEA7B60}" type="presParOf" srcId="{8700422A-544D-B74C-A0E7-A4F2C6B6A03E}" destId="{E019B311-BBFD-FB42-804C-3F40D4C04184}" srcOrd="0" destOrd="0" presId="urn:microsoft.com/office/officeart/2005/8/layout/hierarchy2"/>
    <dgm:cxn modelId="{1BC52CFF-547C-854A-8B42-B421DB8EEDAD}" type="presParOf" srcId="{8700422A-544D-B74C-A0E7-A4F2C6B6A03E}" destId="{9E84CC81-610A-234B-BE03-2D3D43108A69}" srcOrd="1" destOrd="0" presId="urn:microsoft.com/office/officeart/2005/8/layout/hierarchy2"/>
    <dgm:cxn modelId="{7A8DB416-E699-314A-AE12-00225AE25438}" type="presParOf" srcId="{9E84CC81-610A-234B-BE03-2D3D43108A69}" destId="{93FF0B49-2643-0C40-9F9B-E05F8B7D073B}" srcOrd="0" destOrd="0" presId="urn:microsoft.com/office/officeart/2005/8/layout/hierarchy2"/>
    <dgm:cxn modelId="{45A31790-4F50-004B-9F09-AF3B01DC221D}" type="presParOf" srcId="{93FF0B49-2643-0C40-9F9B-E05F8B7D073B}" destId="{FE0BD556-EF7D-7A4D-860F-4E481B35D05E}" srcOrd="0" destOrd="0" presId="urn:microsoft.com/office/officeart/2005/8/layout/hierarchy2"/>
    <dgm:cxn modelId="{29FC300C-80F1-7343-8AD5-9A950199B321}" type="presParOf" srcId="{9E84CC81-610A-234B-BE03-2D3D43108A69}" destId="{0E543CFD-4D2A-C044-B321-54CBAF09B6BC}" srcOrd="1" destOrd="0" presId="urn:microsoft.com/office/officeart/2005/8/layout/hierarchy2"/>
    <dgm:cxn modelId="{80B7519C-3D29-1948-9F8F-257E8C76864B}" type="presParOf" srcId="{0E543CFD-4D2A-C044-B321-54CBAF09B6BC}" destId="{5A854BBD-9100-1D41-A2BA-CF5C903ECE41}" srcOrd="0" destOrd="0" presId="urn:microsoft.com/office/officeart/2005/8/layout/hierarchy2"/>
    <dgm:cxn modelId="{D8E74E95-31E1-4744-9781-416DEF6BAFA1}" type="presParOf" srcId="{0E543CFD-4D2A-C044-B321-54CBAF09B6BC}" destId="{1EB84933-5651-8B4E-878B-51E331A047B2}" srcOrd="1" destOrd="0" presId="urn:microsoft.com/office/officeart/2005/8/layout/hierarchy2"/>
    <dgm:cxn modelId="{C94B36FA-97D4-944B-90D2-BB82FC56D8B3}" type="presParOf" srcId="{1EB84933-5651-8B4E-878B-51E331A047B2}" destId="{F9DC7F52-0736-6F4C-A798-E5006C12174E}" srcOrd="0" destOrd="0" presId="urn:microsoft.com/office/officeart/2005/8/layout/hierarchy2"/>
    <dgm:cxn modelId="{6D118A5A-54C6-694B-9CA1-B4A7C28DDEAE}" type="presParOf" srcId="{F9DC7F52-0736-6F4C-A798-E5006C12174E}" destId="{C765EECB-6666-F642-B316-A43C3B5F5DE7}" srcOrd="0" destOrd="0" presId="urn:microsoft.com/office/officeart/2005/8/layout/hierarchy2"/>
    <dgm:cxn modelId="{2AA57344-A420-DF42-99A3-D4F51A7BCDE9}" type="presParOf" srcId="{1EB84933-5651-8B4E-878B-51E331A047B2}" destId="{7698BBF2-7ABB-9A41-933C-5B7D73AF5D36}" srcOrd="1" destOrd="0" presId="urn:microsoft.com/office/officeart/2005/8/layout/hierarchy2"/>
    <dgm:cxn modelId="{7DBC7E5A-06CE-B54C-82E6-0C7FF0420B57}" type="presParOf" srcId="{7698BBF2-7ABB-9A41-933C-5B7D73AF5D36}" destId="{884CDB1F-ADC0-0A4A-ACE4-7B310BC18B94}" srcOrd="0" destOrd="0" presId="urn:microsoft.com/office/officeart/2005/8/layout/hierarchy2"/>
    <dgm:cxn modelId="{6D442464-9167-1C4B-B340-1C386C2D1E97}" type="presParOf" srcId="{7698BBF2-7ABB-9A41-933C-5B7D73AF5D36}" destId="{09977358-553F-4444-BD15-500EED6ED716}" srcOrd="1" destOrd="0" presId="urn:microsoft.com/office/officeart/2005/8/layout/hierarchy2"/>
    <dgm:cxn modelId="{B50B2D9E-C784-BC41-8476-6BBAFCA0445C}" type="presParOf" srcId="{86EE93D0-EEB3-6F48-826F-8F59D92C16E1}" destId="{009D5707-1935-FF44-84C7-395A5D6C763F}" srcOrd="4" destOrd="0" presId="urn:microsoft.com/office/officeart/2005/8/layout/hierarchy2"/>
    <dgm:cxn modelId="{F4F331AA-BE9C-EE4F-ADB8-515C1338F293}" type="presParOf" srcId="{009D5707-1935-FF44-84C7-395A5D6C763F}" destId="{CAE9F1A2-0EC8-194B-9386-53CD3842A62C}" srcOrd="0" destOrd="0" presId="urn:microsoft.com/office/officeart/2005/8/layout/hierarchy2"/>
    <dgm:cxn modelId="{6000031F-6901-1144-BF5E-F7797D270461}" type="presParOf" srcId="{86EE93D0-EEB3-6F48-826F-8F59D92C16E1}" destId="{9DB82916-015C-FE47-9D7C-D28817CDC84B}" srcOrd="5" destOrd="0" presId="urn:microsoft.com/office/officeart/2005/8/layout/hierarchy2"/>
    <dgm:cxn modelId="{821BDA5F-E47D-E14D-9D85-4140FD509AB7}" type="presParOf" srcId="{9DB82916-015C-FE47-9D7C-D28817CDC84B}" destId="{B56E2045-BF2A-554C-BCA2-1CBAF90135FA}" srcOrd="0" destOrd="0" presId="urn:microsoft.com/office/officeart/2005/8/layout/hierarchy2"/>
    <dgm:cxn modelId="{E8F9AD0D-F5C8-1A49-B79D-62BA3F9E4BC1}" type="presParOf" srcId="{9DB82916-015C-FE47-9D7C-D28817CDC84B}" destId="{DBFDE527-1CD5-1B42-9DE9-3297206451E3}" srcOrd="1" destOrd="0" presId="urn:microsoft.com/office/officeart/2005/8/layout/hierarchy2"/>
    <dgm:cxn modelId="{B97A086E-79B3-7D46-A81E-F2B989129D74}" type="presParOf" srcId="{DBFDE527-1CD5-1B42-9DE9-3297206451E3}" destId="{12123074-8941-C544-8091-25671F2C60B4}" srcOrd="0" destOrd="0" presId="urn:microsoft.com/office/officeart/2005/8/layout/hierarchy2"/>
    <dgm:cxn modelId="{02D04145-8E2F-A04A-BFE6-49977E4A7147}" type="presParOf" srcId="{12123074-8941-C544-8091-25671F2C60B4}" destId="{2B321FE4-A0C8-2D4D-AB07-6B672A766E37}" srcOrd="0" destOrd="0" presId="urn:microsoft.com/office/officeart/2005/8/layout/hierarchy2"/>
    <dgm:cxn modelId="{C6FDEC3B-476F-FB4B-92DC-008BE037B7E5}" type="presParOf" srcId="{DBFDE527-1CD5-1B42-9DE9-3297206451E3}" destId="{62EBE612-D3D8-BB4C-8ACB-46C835E130EA}" srcOrd="1" destOrd="0" presId="urn:microsoft.com/office/officeart/2005/8/layout/hierarchy2"/>
    <dgm:cxn modelId="{88CAE76B-0268-7344-A9ED-61821BCA4259}" type="presParOf" srcId="{62EBE612-D3D8-BB4C-8ACB-46C835E130EA}" destId="{5883C28C-CD01-8D47-86D5-FB39A4E49FAF}" srcOrd="0" destOrd="0" presId="urn:microsoft.com/office/officeart/2005/8/layout/hierarchy2"/>
    <dgm:cxn modelId="{1F1CA17C-E618-BA40-8820-2F02787FC69D}" type="presParOf" srcId="{62EBE612-D3D8-BB4C-8ACB-46C835E130EA}" destId="{99971C50-3E58-B444-B80F-7173DCC69280}" srcOrd="1" destOrd="0" presId="urn:microsoft.com/office/officeart/2005/8/layout/hierarchy2"/>
    <dgm:cxn modelId="{B070A205-4C33-944E-A66A-794D3814048C}" type="presParOf" srcId="{99971C50-3E58-B444-B80F-7173DCC69280}" destId="{3E3E68B1-067D-9144-85D2-952E04CE6AE3}" srcOrd="0" destOrd="0" presId="urn:microsoft.com/office/officeart/2005/8/layout/hierarchy2"/>
    <dgm:cxn modelId="{A7D88361-2071-8243-B5B2-1B65B0446532}" type="presParOf" srcId="{3E3E68B1-067D-9144-85D2-952E04CE6AE3}" destId="{B02E35F4-558B-114D-A49B-56BE2027C560}" srcOrd="0" destOrd="0" presId="urn:microsoft.com/office/officeart/2005/8/layout/hierarchy2"/>
    <dgm:cxn modelId="{3CCA44F0-C706-3845-8667-2D42AEBD545E}" type="presParOf" srcId="{99971C50-3E58-B444-B80F-7173DCC69280}" destId="{4223199E-DAFA-3A4C-92FC-4425BC17018F}" srcOrd="1" destOrd="0" presId="urn:microsoft.com/office/officeart/2005/8/layout/hierarchy2"/>
    <dgm:cxn modelId="{5E4775E6-20FE-B843-971C-C9F436EC6F33}" type="presParOf" srcId="{4223199E-DAFA-3A4C-92FC-4425BC17018F}" destId="{A75FE44C-1051-F744-9E8C-B2FCAE3CAF21}" srcOrd="0" destOrd="0" presId="urn:microsoft.com/office/officeart/2005/8/layout/hierarchy2"/>
    <dgm:cxn modelId="{7CA9E37E-E048-B14E-B124-5E809113647F}" type="presParOf" srcId="{4223199E-DAFA-3A4C-92FC-4425BC17018F}" destId="{5D3D5A7F-A944-004F-A630-955BF78D2EE2}" srcOrd="1" destOrd="0" presId="urn:microsoft.com/office/officeart/2005/8/layout/hierarchy2"/>
    <dgm:cxn modelId="{4C8EC505-E271-4440-A64B-3CF375A98AC8}" type="presParOf" srcId="{5D3D5A7F-A944-004F-A630-955BF78D2EE2}" destId="{E96F2663-4723-8545-AEAF-2A2CA86B5B75}" srcOrd="0" destOrd="0" presId="urn:microsoft.com/office/officeart/2005/8/layout/hierarchy2"/>
    <dgm:cxn modelId="{E675A245-D53C-4E4D-8BD5-1C656E39DEEC}" type="presParOf" srcId="{E96F2663-4723-8545-AEAF-2A2CA86B5B75}" destId="{0276E652-BE51-0249-B611-FA2E8DDD3799}" srcOrd="0" destOrd="0" presId="urn:microsoft.com/office/officeart/2005/8/layout/hierarchy2"/>
    <dgm:cxn modelId="{BA0D04E9-F77F-934D-B38B-6E0826658018}" type="presParOf" srcId="{5D3D5A7F-A944-004F-A630-955BF78D2EE2}" destId="{59780F8E-AA64-3B4E-809D-663A90D96200}" srcOrd="1" destOrd="0" presId="urn:microsoft.com/office/officeart/2005/8/layout/hierarchy2"/>
    <dgm:cxn modelId="{71DAAF65-BD52-EB4E-99D3-718D38B36CA5}" type="presParOf" srcId="{59780F8E-AA64-3B4E-809D-663A90D96200}" destId="{AF6A67E1-92CF-BB43-AB25-64926F65A831}" srcOrd="0" destOrd="0" presId="urn:microsoft.com/office/officeart/2005/8/layout/hierarchy2"/>
    <dgm:cxn modelId="{A5A73693-A4F9-ED42-90A2-B2136FCFD499}" type="presParOf" srcId="{59780F8E-AA64-3B4E-809D-663A90D96200}" destId="{0D1FDFFC-035E-2B46-93AD-4428ABC31A69}" srcOrd="1" destOrd="0" presId="urn:microsoft.com/office/officeart/2005/8/layout/hierarchy2"/>
    <dgm:cxn modelId="{AAF8489E-270F-884F-8D9A-C743B1AE7B10}" type="presParOf" srcId="{0D1FDFFC-035E-2B46-93AD-4428ABC31A69}" destId="{2BFD6921-41BC-3B4D-90F4-8D3671587A04}" srcOrd="0" destOrd="0" presId="urn:microsoft.com/office/officeart/2005/8/layout/hierarchy2"/>
    <dgm:cxn modelId="{32867869-E6F7-8541-907B-32AE461E284C}" type="presParOf" srcId="{2BFD6921-41BC-3B4D-90F4-8D3671587A04}" destId="{ABC918D7-764F-4F4D-AF22-2355EC7B65CB}" srcOrd="0" destOrd="0" presId="urn:microsoft.com/office/officeart/2005/8/layout/hierarchy2"/>
    <dgm:cxn modelId="{25F9B585-E380-7549-83B1-93E5643AADE0}" type="presParOf" srcId="{0D1FDFFC-035E-2B46-93AD-4428ABC31A69}" destId="{B1844787-2B4D-7646-B657-2E4B7EA07B3E}" srcOrd="1" destOrd="0" presId="urn:microsoft.com/office/officeart/2005/8/layout/hierarchy2"/>
    <dgm:cxn modelId="{6890FF28-DC22-0446-9A4E-F0A5B204EC49}" type="presParOf" srcId="{B1844787-2B4D-7646-B657-2E4B7EA07B3E}" destId="{60F47704-38DC-1D4D-99B1-33B46B09331C}" srcOrd="0" destOrd="0" presId="urn:microsoft.com/office/officeart/2005/8/layout/hierarchy2"/>
    <dgm:cxn modelId="{F2FBF07D-B9C8-724F-AFD6-136B66EF336E}" type="presParOf" srcId="{B1844787-2B4D-7646-B657-2E4B7EA07B3E}" destId="{75260E39-C7D8-3B4B-8A67-3D5305F15365}" srcOrd="1" destOrd="0" presId="urn:microsoft.com/office/officeart/2005/8/layout/hierarchy2"/>
    <dgm:cxn modelId="{42C3B26E-4751-0D4A-B4E8-4475C28EE03C}" type="presParOf" srcId="{DBFDE527-1CD5-1B42-9DE9-3297206451E3}" destId="{927A3B46-F3DD-7B42-A1DF-E8090F92739D}" srcOrd="2" destOrd="0" presId="urn:microsoft.com/office/officeart/2005/8/layout/hierarchy2"/>
    <dgm:cxn modelId="{466F7CC6-113F-FC47-A82F-62074B7DDEB8}" type="presParOf" srcId="{927A3B46-F3DD-7B42-A1DF-E8090F92739D}" destId="{5F1B2860-0ACD-494A-B906-C37CCD146E1F}" srcOrd="0" destOrd="0" presId="urn:microsoft.com/office/officeart/2005/8/layout/hierarchy2"/>
    <dgm:cxn modelId="{837738A6-D633-0347-BE82-02289269314C}" type="presParOf" srcId="{DBFDE527-1CD5-1B42-9DE9-3297206451E3}" destId="{B8EF29CB-04B1-2F43-B4D1-D8DA5B134F5B}" srcOrd="3" destOrd="0" presId="urn:microsoft.com/office/officeart/2005/8/layout/hierarchy2"/>
    <dgm:cxn modelId="{5EB51C13-B930-634B-9577-E51A76FFD4F6}" type="presParOf" srcId="{B8EF29CB-04B1-2F43-B4D1-D8DA5B134F5B}" destId="{32FD41EA-D73A-0541-B0EF-31DD1B3945BF}" srcOrd="0" destOrd="0" presId="urn:microsoft.com/office/officeart/2005/8/layout/hierarchy2"/>
    <dgm:cxn modelId="{A5F59B3F-ABB7-8D49-A8F9-FAC15955D555}" type="presParOf" srcId="{B8EF29CB-04B1-2F43-B4D1-D8DA5B134F5B}" destId="{C2641D86-CB57-D942-8110-89593DDEEF66}" srcOrd="1" destOrd="0" presId="urn:microsoft.com/office/officeart/2005/8/layout/hierarchy2"/>
    <dgm:cxn modelId="{EF883C59-D9F9-CF41-BEB5-75793D115142}" type="presParOf" srcId="{C2641D86-CB57-D942-8110-89593DDEEF66}" destId="{07ADF952-BA6A-B64D-BB8C-DDDBAED6B6B7}" srcOrd="0" destOrd="0" presId="urn:microsoft.com/office/officeart/2005/8/layout/hierarchy2"/>
    <dgm:cxn modelId="{ECC08CEC-B4E0-7046-92CD-032DC0DE6F47}" type="presParOf" srcId="{07ADF952-BA6A-B64D-BB8C-DDDBAED6B6B7}" destId="{263153CE-1861-7240-AB3A-8A95589AFA3A}" srcOrd="0" destOrd="0" presId="urn:microsoft.com/office/officeart/2005/8/layout/hierarchy2"/>
    <dgm:cxn modelId="{2D12B666-7517-C945-87DE-D2580205E526}" type="presParOf" srcId="{C2641D86-CB57-D942-8110-89593DDEEF66}" destId="{CB71A2A1-CA69-174E-B57E-489654A3496E}" srcOrd="1" destOrd="0" presId="urn:microsoft.com/office/officeart/2005/8/layout/hierarchy2"/>
    <dgm:cxn modelId="{7A45D8FE-6C6F-854A-B400-1B5B2FB6EE60}" type="presParOf" srcId="{CB71A2A1-CA69-174E-B57E-489654A3496E}" destId="{13D9C383-7054-D444-AE67-CDBE17B188F8}" srcOrd="0" destOrd="0" presId="urn:microsoft.com/office/officeart/2005/8/layout/hierarchy2"/>
    <dgm:cxn modelId="{80190591-A5EF-2646-8361-2ED808F0AE0B}" type="presParOf" srcId="{CB71A2A1-CA69-174E-B57E-489654A3496E}" destId="{B9A0613F-B7A2-3644-AF42-A6714A2614FA}" srcOrd="1" destOrd="0" presId="urn:microsoft.com/office/officeart/2005/8/layout/hierarchy2"/>
    <dgm:cxn modelId="{4C832926-A61E-9748-8750-DE1FE89B4022}" type="presParOf" srcId="{B9A0613F-B7A2-3644-AF42-A6714A2614FA}" destId="{1052ED91-8571-6544-A5EC-3DB803C14C66}" srcOrd="0" destOrd="0" presId="urn:microsoft.com/office/officeart/2005/8/layout/hierarchy2"/>
    <dgm:cxn modelId="{B980E233-20EB-4E44-B815-4CA4AEC10DFF}" type="presParOf" srcId="{1052ED91-8571-6544-A5EC-3DB803C14C66}" destId="{F15B71B5-EC11-C64D-A7A3-3BF1D0D754C6}" srcOrd="0" destOrd="0" presId="urn:microsoft.com/office/officeart/2005/8/layout/hierarchy2"/>
    <dgm:cxn modelId="{5877915E-ADE4-B74B-A8EA-246A77FD1EE1}" type="presParOf" srcId="{B9A0613F-B7A2-3644-AF42-A6714A2614FA}" destId="{4DC3A017-8ACA-8247-A268-7B83CFFF749B}" srcOrd="1" destOrd="0" presId="urn:microsoft.com/office/officeart/2005/8/layout/hierarchy2"/>
    <dgm:cxn modelId="{EA08AF25-C117-6345-9050-FFF329539F85}" type="presParOf" srcId="{4DC3A017-8ACA-8247-A268-7B83CFFF749B}" destId="{AB7A3ACA-3C03-0645-8CBF-6452B4690731}" srcOrd="0" destOrd="0" presId="urn:microsoft.com/office/officeart/2005/8/layout/hierarchy2"/>
    <dgm:cxn modelId="{35C19C9F-E3DE-FE4E-AA5F-6617B6F209A1}" type="presParOf" srcId="{4DC3A017-8ACA-8247-A268-7B83CFFF749B}" destId="{E6C83DAE-B812-E848-A65E-3FD7FA2B10B8}" srcOrd="1" destOrd="0" presId="urn:microsoft.com/office/officeart/2005/8/layout/hierarchy2"/>
    <dgm:cxn modelId="{C211B19D-4EC5-4440-9B3E-7F32F53BC117}" type="presParOf" srcId="{DBFDE527-1CD5-1B42-9DE9-3297206451E3}" destId="{906A354D-18D5-F44A-80DF-4999084AB120}" srcOrd="4" destOrd="0" presId="urn:microsoft.com/office/officeart/2005/8/layout/hierarchy2"/>
    <dgm:cxn modelId="{AD331E00-FD88-294A-9546-AE3D33BF7B76}" type="presParOf" srcId="{906A354D-18D5-F44A-80DF-4999084AB120}" destId="{2804B13C-97B9-214F-B42B-5BAF6C0085AC}" srcOrd="0" destOrd="0" presId="urn:microsoft.com/office/officeart/2005/8/layout/hierarchy2"/>
    <dgm:cxn modelId="{0A523BE8-EBEE-4646-81FD-30D3365E9ECD}" type="presParOf" srcId="{DBFDE527-1CD5-1B42-9DE9-3297206451E3}" destId="{707E3E30-4770-AC46-8DD3-AD31C95D8C70}" srcOrd="5" destOrd="0" presId="urn:microsoft.com/office/officeart/2005/8/layout/hierarchy2"/>
    <dgm:cxn modelId="{4E83CF45-2748-6845-873F-D1EF561FCFB8}" type="presParOf" srcId="{707E3E30-4770-AC46-8DD3-AD31C95D8C70}" destId="{18A97919-8627-7346-9DDA-1DE711FEFA23}" srcOrd="0" destOrd="0" presId="urn:microsoft.com/office/officeart/2005/8/layout/hierarchy2"/>
    <dgm:cxn modelId="{01A6AA6F-267B-C94F-8327-7C45F70B0661}" type="presParOf" srcId="{707E3E30-4770-AC46-8DD3-AD31C95D8C70}" destId="{3DA24762-99AD-784F-85E3-968A79C2796A}" srcOrd="1" destOrd="0" presId="urn:microsoft.com/office/officeart/2005/8/layout/hierarchy2"/>
    <dgm:cxn modelId="{1949634E-1E3C-1B45-8F65-57C371213427}" type="presParOf" srcId="{3DA24762-99AD-784F-85E3-968A79C2796A}" destId="{9AF1E02A-D1F8-F446-9FAF-CCED0823C540}" srcOrd="0" destOrd="0" presId="urn:microsoft.com/office/officeart/2005/8/layout/hierarchy2"/>
    <dgm:cxn modelId="{23DF98F1-0F82-AB48-9418-275486E06C07}" type="presParOf" srcId="{9AF1E02A-D1F8-F446-9FAF-CCED0823C540}" destId="{F81F9B89-CB1D-0543-BFF2-D77E104932F5}" srcOrd="0" destOrd="0" presId="urn:microsoft.com/office/officeart/2005/8/layout/hierarchy2"/>
    <dgm:cxn modelId="{7377E44F-4882-F94A-9935-374E7E6BC603}" type="presParOf" srcId="{3DA24762-99AD-784F-85E3-968A79C2796A}" destId="{ED569242-2B97-1F4E-B231-68EC9B509D0D}" srcOrd="1" destOrd="0" presId="urn:microsoft.com/office/officeart/2005/8/layout/hierarchy2"/>
    <dgm:cxn modelId="{14B2D56A-ABA1-7748-BC47-A0BB1D86D65E}" type="presParOf" srcId="{ED569242-2B97-1F4E-B231-68EC9B509D0D}" destId="{F20FBAE4-C861-BE45-ABD5-1EE826444DFC}" srcOrd="0" destOrd="0" presId="urn:microsoft.com/office/officeart/2005/8/layout/hierarchy2"/>
    <dgm:cxn modelId="{2E46D8BD-A2CA-D147-9BA5-BC64E7673C44}" type="presParOf" srcId="{ED569242-2B97-1F4E-B231-68EC9B509D0D}" destId="{CD94C220-A7D9-FF42-8AF8-E7DD29EC10F4}" srcOrd="1" destOrd="0" presId="urn:microsoft.com/office/officeart/2005/8/layout/hierarchy2"/>
    <dgm:cxn modelId="{D40F0EDB-6309-224A-B5E2-4718A85EE596}" type="presParOf" srcId="{CD94C220-A7D9-FF42-8AF8-E7DD29EC10F4}" destId="{85A4FA80-83FE-974F-8392-AD31C1679BCA}" srcOrd="0" destOrd="0" presId="urn:microsoft.com/office/officeart/2005/8/layout/hierarchy2"/>
    <dgm:cxn modelId="{176D236C-AF41-7F46-AB52-371E9CD90CD2}" type="presParOf" srcId="{85A4FA80-83FE-974F-8392-AD31C1679BCA}" destId="{BA9FE902-D5E3-2744-A0F2-D40C1D53589B}" srcOrd="0" destOrd="0" presId="urn:microsoft.com/office/officeart/2005/8/layout/hierarchy2"/>
    <dgm:cxn modelId="{898F90DE-9B6D-F448-B6BA-5AF44DB3E932}" type="presParOf" srcId="{CD94C220-A7D9-FF42-8AF8-E7DD29EC10F4}" destId="{3E1A9E47-90BF-8B4B-A48F-902BD5C3B628}" srcOrd="1" destOrd="0" presId="urn:microsoft.com/office/officeart/2005/8/layout/hierarchy2"/>
    <dgm:cxn modelId="{A66AAB03-C0F3-E34F-A9A2-E12009B5AA88}" type="presParOf" srcId="{3E1A9E47-90BF-8B4B-A48F-902BD5C3B628}" destId="{F58E4F62-57A3-8A43-A443-27C2D3A7EFDB}" srcOrd="0" destOrd="0" presId="urn:microsoft.com/office/officeart/2005/8/layout/hierarchy2"/>
    <dgm:cxn modelId="{325F9A52-5EDE-FB42-9B90-644479589D80}" type="presParOf" srcId="{3E1A9E47-90BF-8B4B-A48F-902BD5C3B628}" destId="{6DC1F89B-04C2-E745-BC79-ECB7B3193349}" srcOrd="1" destOrd="0" presId="urn:microsoft.com/office/officeart/2005/8/layout/hierarchy2"/>
    <dgm:cxn modelId="{67006633-E5B7-0046-B3A7-3D527F91486C}" type="presParOf" srcId="{6DC1F89B-04C2-E745-BC79-ECB7B3193349}" destId="{58361CD2-9F3C-6F46-92B9-9CC7F4F87DDD}" srcOrd="0" destOrd="0" presId="urn:microsoft.com/office/officeart/2005/8/layout/hierarchy2"/>
    <dgm:cxn modelId="{4FA2FE85-9F9F-3C49-83D3-8CBC48D871C2}" type="presParOf" srcId="{58361CD2-9F3C-6F46-92B9-9CC7F4F87DDD}" destId="{9534075B-483C-1041-A7AC-51A770F49F67}" srcOrd="0" destOrd="0" presId="urn:microsoft.com/office/officeart/2005/8/layout/hierarchy2"/>
    <dgm:cxn modelId="{507669A7-BD26-1A48-AAC7-18688D32D810}" type="presParOf" srcId="{6DC1F89B-04C2-E745-BC79-ECB7B3193349}" destId="{A9DA8486-EFE4-E04E-BCE7-E28D3C414824}" srcOrd="1" destOrd="0" presId="urn:microsoft.com/office/officeart/2005/8/layout/hierarchy2"/>
    <dgm:cxn modelId="{B256402A-7F41-AB40-ADD8-2786E12BC374}" type="presParOf" srcId="{A9DA8486-EFE4-E04E-BCE7-E28D3C414824}" destId="{C7FF8478-B1D3-BE44-A6F1-1938E914E3D0}" srcOrd="0" destOrd="0" presId="urn:microsoft.com/office/officeart/2005/8/layout/hierarchy2"/>
    <dgm:cxn modelId="{D6A8B92A-990E-DC47-8EDC-FC790917F23E}" type="presParOf" srcId="{A9DA8486-EFE4-E04E-BCE7-E28D3C414824}" destId="{B36E715B-5B95-6E4F-B544-DEE8156DBE26}" srcOrd="1" destOrd="0" presId="urn:microsoft.com/office/officeart/2005/8/layout/hierarchy2"/>
    <dgm:cxn modelId="{FC9EDEFC-4DBB-3747-B821-048141FB7C31}" type="presParOf" srcId="{3DA24762-99AD-784F-85E3-968A79C2796A}" destId="{857B86D0-A5FC-E941-9763-08CEB8207D25}" srcOrd="2" destOrd="0" presId="urn:microsoft.com/office/officeart/2005/8/layout/hierarchy2"/>
    <dgm:cxn modelId="{CE6CB939-F9B5-ED47-A68C-0EE96C612B61}" type="presParOf" srcId="{857B86D0-A5FC-E941-9763-08CEB8207D25}" destId="{41FD77B8-245A-4D47-AF58-FF3E78FF995A}" srcOrd="0" destOrd="0" presId="urn:microsoft.com/office/officeart/2005/8/layout/hierarchy2"/>
    <dgm:cxn modelId="{18D4DBE0-9FB8-8646-AD97-5B70B3286D49}" type="presParOf" srcId="{3DA24762-99AD-784F-85E3-968A79C2796A}" destId="{7AEEA867-5760-FC43-BA72-13DBAF48FAC2}" srcOrd="3" destOrd="0" presId="urn:microsoft.com/office/officeart/2005/8/layout/hierarchy2"/>
    <dgm:cxn modelId="{F6743F8B-FBC2-D240-A22A-8F15C1510B02}" type="presParOf" srcId="{7AEEA867-5760-FC43-BA72-13DBAF48FAC2}" destId="{60170329-D121-4846-A7E7-813FDB031452}" srcOrd="0" destOrd="0" presId="urn:microsoft.com/office/officeart/2005/8/layout/hierarchy2"/>
    <dgm:cxn modelId="{1538ACDD-05B7-CA49-BAE4-100DC5987AB7}" type="presParOf" srcId="{7AEEA867-5760-FC43-BA72-13DBAF48FAC2}" destId="{18D760C9-004D-2346-AB48-8739A4588DBA}" srcOrd="1" destOrd="0" presId="urn:microsoft.com/office/officeart/2005/8/layout/hierarchy2"/>
    <dgm:cxn modelId="{1D42DF35-81B8-EF48-8BC4-3EC715503B7C}" type="presParOf" srcId="{18D760C9-004D-2346-AB48-8739A4588DBA}" destId="{D3C2A478-92DB-1B4A-BEA8-81D9E65D7184}" srcOrd="0" destOrd="0" presId="urn:microsoft.com/office/officeart/2005/8/layout/hierarchy2"/>
    <dgm:cxn modelId="{F0142113-D2DE-7648-8884-A15B83CB5021}" type="presParOf" srcId="{D3C2A478-92DB-1B4A-BEA8-81D9E65D7184}" destId="{F81AFA1A-0A21-F44E-9F85-B9190B41F0F7}" srcOrd="0" destOrd="0" presId="urn:microsoft.com/office/officeart/2005/8/layout/hierarchy2"/>
    <dgm:cxn modelId="{0510498C-1D35-774C-98C0-C30AE41D0043}" type="presParOf" srcId="{18D760C9-004D-2346-AB48-8739A4588DBA}" destId="{5503C6B0-4B18-C841-AB61-8D8383843787}" srcOrd="1" destOrd="0" presId="urn:microsoft.com/office/officeart/2005/8/layout/hierarchy2"/>
    <dgm:cxn modelId="{6F97F920-BD4E-2647-8146-5A9AA7E71AD5}" type="presParOf" srcId="{5503C6B0-4B18-C841-AB61-8D8383843787}" destId="{17423E58-5A4F-5344-B4A0-C27EAF3BA360}" srcOrd="0" destOrd="0" presId="urn:microsoft.com/office/officeart/2005/8/layout/hierarchy2"/>
    <dgm:cxn modelId="{4B12E388-6A6B-6A48-8C3D-B3A995516545}" type="presParOf" srcId="{5503C6B0-4B18-C841-AB61-8D8383843787}" destId="{AB59A330-2EA7-2D4C-9C38-7AB4884C1189}" srcOrd="1" destOrd="0" presId="urn:microsoft.com/office/officeart/2005/8/layout/hierarchy2"/>
    <dgm:cxn modelId="{2191738E-584D-7D44-B9C1-873FE04014A3}" type="presParOf" srcId="{AB59A330-2EA7-2D4C-9C38-7AB4884C1189}" destId="{A3027BBC-348E-D64A-A11A-9791067384FA}" srcOrd="0" destOrd="0" presId="urn:microsoft.com/office/officeart/2005/8/layout/hierarchy2"/>
    <dgm:cxn modelId="{518FA90E-45AF-424E-B68D-D49F69836BCF}" type="presParOf" srcId="{A3027BBC-348E-D64A-A11A-9791067384FA}" destId="{ABF7B9C7-B1DB-8648-814A-CDA4E9900997}" srcOrd="0" destOrd="0" presId="urn:microsoft.com/office/officeart/2005/8/layout/hierarchy2"/>
    <dgm:cxn modelId="{E60BD120-E2E5-404F-8AF0-A675E497AAC4}" type="presParOf" srcId="{AB59A330-2EA7-2D4C-9C38-7AB4884C1189}" destId="{92A64E3B-AA01-FF43-8D70-FCACDA005175}" srcOrd="1" destOrd="0" presId="urn:microsoft.com/office/officeart/2005/8/layout/hierarchy2"/>
    <dgm:cxn modelId="{B15C9776-36E7-4145-A07D-C8334DAA2DBD}" type="presParOf" srcId="{92A64E3B-AA01-FF43-8D70-FCACDA005175}" destId="{A8A269D2-C0BC-6A40-9165-21A20B2BC087}" srcOrd="0" destOrd="0" presId="urn:microsoft.com/office/officeart/2005/8/layout/hierarchy2"/>
    <dgm:cxn modelId="{54D52DBC-1F33-C446-B35E-39A5AE4D3806}" type="presParOf" srcId="{92A64E3B-AA01-FF43-8D70-FCACDA005175}" destId="{E587D39C-3B66-CA45-900E-BA6A64098B33}" srcOrd="1" destOrd="0" presId="urn:microsoft.com/office/officeart/2005/8/layout/hierarchy2"/>
    <dgm:cxn modelId="{44073B73-18DF-2C4B-A71B-ED31543F2CA5}" type="presParOf" srcId="{DBFDE527-1CD5-1B42-9DE9-3297206451E3}" destId="{BB403EE3-65DE-D543-B51E-73AF64374FA3}" srcOrd="6" destOrd="0" presId="urn:microsoft.com/office/officeart/2005/8/layout/hierarchy2"/>
    <dgm:cxn modelId="{277097A9-2F12-5F45-84D2-4D3A2A282FFA}" type="presParOf" srcId="{BB403EE3-65DE-D543-B51E-73AF64374FA3}" destId="{92AACFC1-C667-E845-97C0-324FA33B79C2}" srcOrd="0" destOrd="0" presId="urn:microsoft.com/office/officeart/2005/8/layout/hierarchy2"/>
    <dgm:cxn modelId="{C89A3746-4C4A-4542-8124-4DAE958877BD}" type="presParOf" srcId="{DBFDE527-1CD5-1B42-9DE9-3297206451E3}" destId="{3072A55A-1621-0149-91A5-33C4FE836C43}" srcOrd="7" destOrd="0" presId="urn:microsoft.com/office/officeart/2005/8/layout/hierarchy2"/>
    <dgm:cxn modelId="{AE656682-3EE8-5840-B1D1-90DFBB1D979E}" type="presParOf" srcId="{3072A55A-1621-0149-91A5-33C4FE836C43}" destId="{C5526BCB-99B0-924E-BE28-D40D0D9677F9}" srcOrd="0" destOrd="0" presId="urn:microsoft.com/office/officeart/2005/8/layout/hierarchy2"/>
    <dgm:cxn modelId="{BC0B538C-E698-2642-A87D-C0372A9C0931}" type="presParOf" srcId="{3072A55A-1621-0149-91A5-33C4FE836C43}" destId="{46AF4497-AE71-D242-B70D-3F2EF99BCCED}" srcOrd="1" destOrd="0" presId="urn:microsoft.com/office/officeart/2005/8/layout/hierarchy2"/>
    <dgm:cxn modelId="{A16056C9-AA68-A548-A4A9-E348E7C25A5E}" type="presParOf" srcId="{46AF4497-AE71-D242-B70D-3F2EF99BCCED}" destId="{0220F22B-2D7A-924A-9A77-8A412561E725}" srcOrd="0" destOrd="0" presId="urn:microsoft.com/office/officeart/2005/8/layout/hierarchy2"/>
    <dgm:cxn modelId="{E1D61BF3-86AE-2449-BD6F-678EED924940}" type="presParOf" srcId="{0220F22B-2D7A-924A-9A77-8A412561E725}" destId="{EBCFD751-4848-2D4B-A7FE-E458C4F0C516}" srcOrd="0" destOrd="0" presId="urn:microsoft.com/office/officeart/2005/8/layout/hierarchy2"/>
    <dgm:cxn modelId="{DF1B29BF-0135-A544-883E-8C6E90A203BA}" type="presParOf" srcId="{46AF4497-AE71-D242-B70D-3F2EF99BCCED}" destId="{C0833646-DCDF-174B-B16D-C7151D986B94}" srcOrd="1" destOrd="0" presId="urn:microsoft.com/office/officeart/2005/8/layout/hierarchy2"/>
    <dgm:cxn modelId="{7353FC3A-7B4C-DA45-BAFF-C7F1B54F955B}" type="presParOf" srcId="{C0833646-DCDF-174B-B16D-C7151D986B94}" destId="{4119C4DF-2C73-404A-992D-F984A9077918}" srcOrd="0" destOrd="0" presId="urn:microsoft.com/office/officeart/2005/8/layout/hierarchy2"/>
    <dgm:cxn modelId="{99C4E224-02FA-CE49-81C3-5108BE434897}" type="presParOf" srcId="{C0833646-DCDF-174B-B16D-C7151D986B94}" destId="{CC94228C-B369-6540-9A5C-B08C6E407AFE}" srcOrd="1" destOrd="0" presId="urn:microsoft.com/office/officeart/2005/8/layout/hierarchy2"/>
    <dgm:cxn modelId="{F8AEBAF1-3ACA-E84C-9269-A4064F337FCF}" type="presParOf" srcId="{CC94228C-B369-6540-9A5C-B08C6E407AFE}" destId="{4D3C5AB2-8259-C545-8AF2-6658A3765C67}" srcOrd="0" destOrd="0" presId="urn:microsoft.com/office/officeart/2005/8/layout/hierarchy2"/>
    <dgm:cxn modelId="{5D9D0C4E-D914-014F-B9EA-B31F691EE184}" type="presParOf" srcId="{4D3C5AB2-8259-C545-8AF2-6658A3765C67}" destId="{8A300D53-4BF9-4B4B-AB72-E4F7AB93F62E}" srcOrd="0" destOrd="0" presId="urn:microsoft.com/office/officeart/2005/8/layout/hierarchy2"/>
    <dgm:cxn modelId="{6846A7CB-6309-734B-9032-279B58A8A8DB}" type="presParOf" srcId="{CC94228C-B369-6540-9A5C-B08C6E407AFE}" destId="{B505E6EA-CD15-0547-995D-348A29F7AC71}" srcOrd="1" destOrd="0" presId="urn:microsoft.com/office/officeart/2005/8/layout/hierarchy2"/>
    <dgm:cxn modelId="{020D24F3-F7CB-A24E-95F6-C4A22983900C}" type="presParOf" srcId="{B505E6EA-CD15-0547-995D-348A29F7AC71}" destId="{FDAA16D7-4952-7642-B9FE-686299F1FB7F}" srcOrd="0" destOrd="0" presId="urn:microsoft.com/office/officeart/2005/8/layout/hierarchy2"/>
    <dgm:cxn modelId="{2436FB64-CD1C-A543-BE31-AAD3107E2D2B}" type="presParOf" srcId="{B505E6EA-CD15-0547-995D-348A29F7AC71}" destId="{EDEBD727-A772-0E43-8A9D-9557284C8461}" srcOrd="1" destOrd="0" presId="urn:microsoft.com/office/officeart/2005/8/layout/hierarchy2"/>
    <dgm:cxn modelId="{22B0DE6C-F926-BB4C-B073-D0EBD71E33CB}" type="presParOf" srcId="{EDEBD727-A772-0E43-8A9D-9557284C8461}" destId="{003C5F08-096E-D740-AEC9-845D6B9D94E7}" srcOrd="0" destOrd="0" presId="urn:microsoft.com/office/officeart/2005/8/layout/hierarchy2"/>
    <dgm:cxn modelId="{D3F0DC9E-8645-5442-9B23-5E6384260D90}" type="presParOf" srcId="{003C5F08-096E-D740-AEC9-845D6B9D94E7}" destId="{73440C1F-7805-234D-A1FD-94822165B595}" srcOrd="0" destOrd="0" presId="urn:microsoft.com/office/officeart/2005/8/layout/hierarchy2"/>
    <dgm:cxn modelId="{95F00664-49D2-7040-BA4E-65937C58EAA6}" type="presParOf" srcId="{EDEBD727-A772-0E43-8A9D-9557284C8461}" destId="{25D8CBB7-FE02-AF4B-9322-38141A0164ED}" srcOrd="1" destOrd="0" presId="urn:microsoft.com/office/officeart/2005/8/layout/hierarchy2"/>
    <dgm:cxn modelId="{AB3817F0-8BDD-BA49-AA71-5554EBC952A1}" type="presParOf" srcId="{25D8CBB7-FE02-AF4B-9322-38141A0164ED}" destId="{E8E89FB2-6592-9949-A9AE-5696011DDA9E}" srcOrd="0" destOrd="0" presId="urn:microsoft.com/office/officeart/2005/8/layout/hierarchy2"/>
    <dgm:cxn modelId="{BC9FA1A3-81F4-FE4F-93CA-BE3E9696D260}" type="presParOf" srcId="{25D8CBB7-FE02-AF4B-9322-38141A0164ED}" destId="{2F64B315-ECF9-FC4A-B065-1C6CE85DBDDD}" srcOrd="1" destOrd="0" presId="urn:microsoft.com/office/officeart/2005/8/layout/hierarchy2"/>
    <dgm:cxn modelId="{C51FD327-EBE0-D64B-B075-8DCA391A2D30}" type="presParOf" srcId="{86EE93D0-EEB3-6F48-826F-8F59D92C16E1}" destId="{D0F6F508-439F-2548-854A-3A34A9644D34}" srcOrd="6" destOrd="0" presId="urn:microsoft.com/office/officeart/2005/8/layout/hierarchy2"/>
    <dgm:cxn modelId="{1C0DBFEF-B983-C54C-8A41-2B4F48C98935}" type="presParOf" srcId="{D0F6F508-439F-2548-854A-3A34A9644D34}" destId="{1109EA00-262B-834E-8E71-741D7D6C1BE9}" srcOrd="0" destOrd="0" presId="urn:microsoft.com/office/officeart/2005/8/layout/hierarchy2"/>
    <dgm:cxn modelId="{DC1B98CE-7507-3A42-A4C3-38250208DF38}" type="presParOf" srcId="{86EE93D0-EEB3-6F48-826F-8F59D92C16E1}" destId="{54849DE5-706C-BE4F-A64F-6224926AEADF}" srcOrd="7" destOrd="0" presId="urn:microsoft.com/office/officeart/2005/8/layout/hierarchy2"/>
    <dgm:cxn modelId="{4BB2D3A6-FAFC-4A41-8DB0-90243E8862C1}" type="presParOf" srcId="{54849DE5-706C-BE4F-A64F-6224926AEADF}" destId="{E527687B-5E64-5543-9278-7D5AA79DA87D}" srcOrd="0" destOrd="0" presId="urn:microsoft.com/office/officeart/2005/8/layout/hierarchy2"/>
    <dgm:cxn modelId="{4B625A12-508B-F04A-B492-D967FC69E946}" type="presParOf" srcId="{54849DE5-706C-BE4F-A64F-6224926AEADF}" destId="{C2178FC9-E732-4647-9C38-96A6D69A684F}" srcOrd="1" destOrd="0" presId="urn:microsoft.com/office/officeart/2005/8/layout/hierarchy2"/>
    <dgm:cxn modelId="{1238DA68-9F8B-7E4B-A60A-132DE176DCFF}" type="presParOf" srcId="{C2178FC9-E732-4647-9C38-96A6D69A684F}" destId="{37A38C73-911D-A04E-81A0-451CEEB03713}" srcOrd="0" destOrd="0" presId="urn:microsoft.com/office/officeart/2005/8/layout/hierarchy2"/>
    <dgm:cxn modelId="{6C2FA3AD-E456-214E-9450-51071316FAA5}" type="presParOf" srcId="{37A38C73-911D-A04E-81A0-451CEEB03713}" destId="{C50181A9-9023-964A-9B47-802598B2CB21}" srcOrd="0" destOrd="0" presId="urn:microsoft.com/office/officeart/2005/8/layout/hierarchy2"/>
    <dgm:cxn modelId="{A3EDC2E6-FE49-F248-BD07-1968D07AFEEF}" type="presParOf" srcId="{C2178FC9-E732-4647-9C38-96A6D69A684F}" destId="{C4509C9C-6F61-704F-A256-A31795ED2B32}" srcOrd="1" destOrd="0" presId="urn:microsoft.com/office/officeart/2005/8/layout/hierarchy2"/>
    <dgm:cxn modelId="{40A71B71-96D9-BF4C-B193-8E3384F3E872}" type="presParOf" srcId="{C4509C9C-6F61-704F-A256-A31795ED2B32}" destId="{890C2028-56BF-7C48-BEEF-DD9A118FD721}" srcOrd="0" destOrd="0" presId="urn:microsoft.com/office/officeart/2005/8/layout/hierarchy2"/>
    <dgm:cxn modelId="{7976587F-82D3-E04E-BE27-58AA938FED71}" type="presParOf" srcId="{C4509C9C-6F61-704F-A256-A31795ED2B32}" destId="{3C4ABC6D-D84C-3E4C-B287-3A8CCB17766F}" srcOrd="1" destOrd="0" presId="urn:microsoft.com/office/officeart/2005/8/layout/hierarchy2"/>
    <dgm:cxn modelId="{B4401A1F-3A51-E54A-A561-27BBD1EEA397}" type="presParOf" srcId="{3C4ABC6D-D84C-3E4C-B287-3A8CCB17766F}" destId="{C9C87CD5-6BFE-7849-8062-8C27F74423E3}" srcOrd="0" destOrd="0" presId="urn:microsoft.com/office/officeart/2005/8/layout/hierarchy2"/>
    <dgm:cxn modelId="{B826AB8A-355F-6C46-9228-1098E00784A0}" type="presParOf" srcId="{C9C87CD5-6BFE-7849-8062-8C27F74423E3}" destId="{135659E4-2DB9-7047-A391-867264CB2B90}" srcOrd="0" destOrd="0" presId="urn:microsoft.com/office/officeart/2005/8/layout/hierarchy2"/>
    <dgm:cxn modelId="{E5470ACF-F810-EA40-9B9D-D20F5AA72717}" type="presParOf" srcId="{3C4ABC6D-D84C-3E4C-B287-3A8CCB17766F}" destId="{B7D50CF1-B86D-424D-A0CD-159CEC59DEC2}" srcOrd="1" destOrd="0" presId="urn:microsoft.com/office/officeart/2005/8/layout/hierarchy2"/>
    <dgm:cxn modelId="{C6E523B0-9B82-7346-AAFE-B4ADF514633C}" type="presParOf" srcId="{B7D50CF1-B86D-424D-A0CD-159CEC59DEC2}" destId="{8B45572A-1112-FA43-B58E-7862FE34577C}" srcOrd="0" destOrd="0" presId="urn:microsoft.com/office/officeart/2005/8/layout/hierarchy2"/>
    <dgm:cxn modelId="{D09A2BD3-91D5-BC48-A21D-0BD87087173B}" type="presParOf" srcId="{B7D50CF1-B86D-424D-A0CD-159CEC59DEC2}" destId="{B99C40FC-CAE4-B048-A4C8-F0F3D94A0B17}" srcOrd="1" destOrd="0" presId="urn:microsoft.com/office/officeart/2005/8/layout/hierarchy2"/>
    <dgm:cxn modelId="{8D14DBB4-4E23-C94E-B314-7CC4936DD9BB}" type="presParOf" srcId="{B99C40FC-CAE4-B048-A4C8-F0F3D94A0B17}" destId="{DCB459D8-7275-B34C-BBCF-79EB78363042}" srcOrd="0" destOrd="0" presId="urn:microsoft.com/office/officeart/2005/8/layout/hierarchy2"/>
    <dgm:cxn modelId="{8E8023FB-6FBB-D647-9B54-E1A3D63B5D66}" type="presParOf" srcId="{DCB459D8-7275-B34C-BBCF-79EB78363042}" destId="{1452FD51-B4ED-6441-8892-1F15B5481691}" srcOrd="0" destOrd="0" presId="urn:microsoft.com/office/officeart/2005/8/layout/hierarchy2"/>
    <dgm:cxn modelId="{5CE8CC08-31E2-8F41-93C9-70B8EF915143}" type="presParOf" srcId="{B99C40FC-CAE4-B048-A4C8-F0F3D94A0B17}" destId="{FEEE25B9-6FAA-B34F-9B9F-EF73F93AA5B7}" srcOrd="1" destOrd="0" presId="urn:microsoft.com/office/officeart/2005/8/layout/hierarchy2"/>
    <dgm:cxn modelId="{6A1ACD46-7551-0F40-BC7B-59F8882742D7}" type="presParOf" srcId="{FEEE25B9-6FAA-B34F-9B9F-EF73F93AA5B7}" destId="{CB348504-45A8-F849-81E6-9EB60002C12D}" srcOrd="0" destOrd="0" presId="urn:microsoft.com/office/officeart/2005/8/layout/hierarchy2"/>
    <dgm:cxn modelId="{631AD4A0-E87D-B746-BE73-495F2705B8A3}" type="presParOf" srcId="{FEEE25B9-6FAA-B34F-9B9F-EF73F93AA5B7}" destId="{EB0E3B2E-2CBC-4342-9184-5B29365C31E6}" srcOrd="1" destOrd="0" presId="urn:microsoft.com/office/officeart/2005/8/layout/hierarchy2"/>
    <dgm:cxn modelId="{A88980AF-A167-6843-807B-43477442F6BD}" type="presParOf" srcId="{C2178FC9-E732-4647-9C38-96A6D69A684F}" destId="{05E20533-B868-844D-BE0F-3AC308FB8796}" srcOrd="2" destOrd="0" presId="urn:microsoft.com/office/officeart/2005/8/layout/hierarchy2"/>
    <dgm:cxn modelId="{C82B4E6D-F682-0542-BD50-CB0B1D6CA126}" type="presParOf" srcId="{05E20533-B868-844D-BE0F-3AC308FB8796}" destId="{5DE081D7-D78E-1E47-B426-7A3B31557B57}" srcOrd="0" destOrd="0" presId="urn:microsoft.com/office/officeart/2005/8/layout/hierarchy2"/>
    <dgm:cxn modelId="{BE406105-9B15-1C43-9726-2DABA80B0E8D}" type="presParOf" srcId="{C2178FC9-E732-4647-9C38-96A6D69A684F}" destId="{6D5685FB-A8CC-5B4A-8E2B-75F7C4FAEE82}" srcOrd="3" destOrd="0" presId="urn:microsoft.com/office/officeart/2005/8/layout/hierarchy2"/>
    <dgm:cxn modelId="{09091140-A9CB-0D47-953C-FF770F790912}" type="presParOf" srcId="{6D5685FB-A8CC-5B4A-8E2B-75F7C4FAEE82}" destId="{076EF232-42FD-0A46-ADBC-4E55504B9D4F}" srcOrd="0" destOrd="0" presId="urn:microsoft.com/office/officeart/2005/8/layout/hierarchy2"/>
    <dgm:cxn modelId="{AE31E938-CCD6-014A-A5D1-CBAA1CDADF63}" type="presParOf" srcId="{6D5685FB-A8CC-5B4A-8E2B-75F7C4FAEE82}" destId="{36705F05-772B-7746-A4C2-26182365A42A}" srcOrd="1" destOrd="0" presId="urn:microsoft.com/office/officeart/2005/8/layout/hierarchy2"/>
    <dgm:cxn modelId="{11D33065-B175-9748-96D5-AD39675A8BF1}" type="presParOf" srcId="{36705F05-772B-7746-A4C2-26182365A42A}" destId="{D536B861-D1D2-BA45-B78D-D06669174668}" srcOrd="0" destOrd="0" presId="urn:microsoft.com/office/officeart/2005/8/layout/hierarchy2"/>
    <dgm:cxn modelId="{6BF600EE-7488-F84D-AEF4-8B00E5A9B312}" type="presParOf" srcId="{D536B861-D1D2-BA45-B78D-D06669174668}" destId="{C48139B8-D4E9-D648-AC91-7B6759F89794}" srcOrd="0" destOrd="0" presId="urn:microsoft.com/office/officeart/2005/8/layout/hierarchy2"/>
    <dgm:cxn modelId="{39B147B4-5437-8441-8D6D-1B1295D9E2FA}" type="presParOf" srcId="{36705F05-772B-7746-A4C2-26182365A42A}" destId="{FAAE7D09-E718-A74F-BA45-F0A18AE9FBD9}" srcOrd="1" destOrd="0" presId="urn:microsoft.com/office/officeart/2005/8/layout/hierarchy2"/>
    <dgm:cxn modelId="{2D5BFABD-FBD8-1A4B-9CD0-D0426CE0137C}" type="presParOf" srcId="{FAAE7D09-E718-A74F-BA45-F0A18AE9FBD9}" destId="{41978589-6758-E947-AA91-0AEB570690EC}" srcOrd="0" destOrd="0" presId="urn:microsoft.com/office/officeart/2005/8/layout/hierarchy2"/>
    <dgm:cxn modelId="{9675B7DB-4599-4943-ABD8-7A608FF89A64}" type="presParOf" srcId="{FAAE7D09-E718-A74F-BA45-F0A18AE9FBD9}" destId="{ED148D9D-4C56-2344-B9B2-D982D13CA8EF}" srcOrd="1" destOrd="0" presId="urn:microsoft.com/office/officeart/2005/8/layout/hierarchy2"/>
    <dgm:cxn modelId="{8E8279F6-2F77-1744-8598-EBFB9D5DA7C0}" type="presParOf" srcId="{ED148D9D-4C56-2344-B9B2-D982D13CA8EF}" destId="{DC3AFE56-753E-4D41-96AF-3945973B1E5F}" srcOrd="0" destOrd="0" presId="urn:microsoft.com/office/officeart/2005/8/layout/hierarchy2"/>
    <dgm:cxn modelId="{316AB81C-3855-F54C-8F46-C61627110508}" type="presParOf" srcId="{DC3AFE56-753E-4D41-96AF-3945973B1E5F}" destId="{364C137E-A37C-D946-BC81-26A8AB0F8A71}" srcOrd="0" destOrd="0" presId="urn:microsoft.com/office/officeart/2005/8/layout/hierarchy2"/>
    <dgm:cxn modelId="{305F0C93-F171-1444-B1F9-22907D20D0DA}" type="presParOf" srcId="{ED148D9D-4C56-2344-B9B2-D982D13CA8EF}" destId="{07EAF548-ECB5-7F48-BD7B-88F1EA86E736}" srcOrd="1" destOrd="0" presId="urn:microsoft.com/office/officeart/2005/8/layout/hierarchy2"/>
    <dgm:cxn modelId="{2E37C82B-1513-C743-97CA-4F95C226AFBB}" type="presParOf" srcId="{07EAF548-ECB5-7F48-BD7B-88F1EA86E736}" destId="{7DE84E1A-8933-D042-8AFA-8530C0148846}" srcOrd="0" destOrd="0" presId="urn:microsoft.com/office/officeart/2005/8/layout/hierarchy2"/>
    <dgm:cxn modelId="{2C2D7448-CF27-C04F-891D-4FC38922AC4A}" type="presParOf" srcId="{07EAF548-ECB5-7F48-BD7B-88F1EA86E736}" destId="{3830B77D-4B27-114D-8B5E-8FBFBFBF4CF2}" srcOrd="1" destOrd="0" presId="urn:microsoft.com/office/officeart/2005/8/layout/hierarchy2"/>
    <dgm:cxn modelId="{0D98D7F1-08B4-E941-8F99-599AC80392F8}" type="presParOf" srcId="{36705F05-772B-7746-A4C2-26182365A42A}" destId="{85569A46-7435-0C4A-830A-6BE10736E389}" srcOrd="2" destOrd="0" presId="urn:microsoft.com/office/officeart/2005/8/layout/hierarchy2"/>
    <dgm:cxn modelId="{FC97C303-D9CA-C742-A7F8-F3ADC36F6013}" type="presParOf" srcId="{85569A46-7435-0C4A-830A-6BE10736E389}" destId="{84B95251-E6CA-3D42-9ADA-0379571D9F2C}" srcOrd="0" destOrd="0" presId="urn:microsoft.com/office/officeart/2005/8/layout/hierarchy2"/>
    <dgm:cxn modelId="{35AC14E2-9CC1-934E-82E1-FB7783612014}" type="presParOf" srcId="{36705F05-772B-7746-A4C2-26182365A42A}" destId="{FF44D1F4-4A68-0B40-9A15-9C5E762EB7C0}" srcOrd="3" destOrd="0" presId="urn:microsoft.com/office/officeart/2005/8/layout/hierarchy2"/>
    <dgm:cxn modelId="{EAD4DB0D-6494-D44A-BA66-549B52CCEC7D}" type="presParOf" srcId="{FF44D1F4-4A68-0B40-9A15-9C5E762EB7C0}" destId="{63AE9A40-A2F7-A045-9127-A3708C8BA3DE}" srcOrd="0" destOrd="0" presId="urn:microsoft.com/office/officeart/2005/8/layout/hierarchy2"/>
    <dgm:cxn modelId="{4DEBC9ED-4F8A-5B43-9010-217AE79C7658}" type="presParOf" srcId="{FF44D1F4-4A68-0B40-9A15-9C5E762EB7C0}" destId="{18E77870-B72F-1B47-88D4-28FBF385C7A7}" srcOrd="1" destOrd="0" presId="urn:microsoft.com/office/officeart/2005/8/layout/hierarchy2"/>
    <dgm:cxn modelId="{78FF296C-C837-D74C-AC73-A4E8C203D24B}" type="presParOf" srcId="{18E77870-B72F-1B47-88D4-28FBF385C7A7}" destId="{96107609-B005-6F43-8581-AA9D08944D3A}" srcOrd="0" destOrd="0" presId="urn:microsoft.com/office/officeart/2005/8/layout/hierarchy2"/>
    <dgm:cxn modelId="{091B8853-58C3-8C48-B234-FF8B74E2C0CA}" type="presParOf" srcId="{96107609-B005-6F43-8581-AA9D08944D3A}" destId="{E6E44A22-692E-6B44-93C0-348BC54BCADD}" srcOrd="0" destOrd="0" presId="urn:microsoft.com/office/officeart/2005/8/layout/hierarchy2"/>
    <dgm:cxn modelId="{7F30A7A5-E6DB-AC4A-8E3A-20E03BEE8DEA}" type="presParOf" srcId="{18E77870-B72F-1B47-88D4-28FBF385C7A7}" destId="{B21A8306-6E7E-E34D-8E6A-C30210C5595E}" srcOrd="1" destOrd="0" presId="urn:microsoft.com/office/officeart/2005/8/layout/hierarchy2"/>
    <dgm:cxn modelId="{3483578E-A118-8241-8A59-DD5AAC14BB5D}" type="presParOf" srcId="{B21A8306-6E7E-E34D-8E6A-C30210C5595E}" destId="{4D292D26-FEA6-1844-BA59-60E7AEEB730B}" srcOrd="0" destOrd="0" presId="urn:microsoft.com/office/officeart/2005/8/layout/hierarchy2"/>
    <dgm:cxn modelId="{11BBA32D-BFAD-8145-9ABE-7021D1667171}" type="presParOf" srcId="{B21A8306-6E7E-E34D-8E6A-C30210C5595E}" destId="{FAD59D70-EA4B-1348-B972-4967D0AE74E4}" srcOrd="1" destOrd="0" presId="urn:microsoft.com/office/officeart/2005/8/layout/hierarchy2"/>
    <dgm:cxn modelId="{A349CC3B-3C4B-6745-AB1F-684A175B4EA1}" type="presParOf" srcId="{C2178FC9-E732-4647-9C38-96A6D69A684F}" destId="{29B011CE-FEB4-5146-AFD2-55FBAF12FF26}" srcOrd="4" destOrd="0" presId="urn:microsoft.com/office/officeart/2005/8/layout/hierarchy2"/>
    <dgm:cxn modelId="{1B51A6A4-DFC4-0E4A-8B30-CD56C174612E}" type="presParOf" srcId="{29B011CE-FEB4-5146-AFD2-55FBAF12FF26}" destId="{5D07BA56-91D9-8047-B0D5-5B26868635A0}" srcOrd="0" destOrd="0" presId="urn:microsoft.com/office/officeart/2005/8/layout/hierarchy2"/>
    <dgm:cxn modelId="{4078A732-604E-434B-B6B7-F87D5770D7DD}" type="presParOf" srcId="{C2178FC9-E732-4647-9C38-96A6D69A684F}" destId="{4B91EC5D-22E1-EF4E-BE16-3F5AB65DC28D}" srcOrd="5" destOrd="0" presId="urn:microsoft.com/office/officeart/2005/8/layout/hierarchy2"/>
    <dgm:cxn modelId="{95CB56F1-4A01-DA44-9269-3D00D5495869}" type="presParOf" srcId="{4B91EC5D-22E1-EF4E-BE16-3F5AB65DC28D}" destId="{0A7942F9-FA61-7044-98CD-185B63F2C777}" srcOrd="0" destOrd="0" presId="urn:microsoft.com/office/officeart/2005/8/layout/hierarchy2"/>
    <dgm:cxn modelId="{C62EF304-12A3-0542-82F5-E9EBC58D521D}" type="presParOf" srcId="{4B91EC5D-22E1-EF4E-BE16-3F5AB65DC28D}" destId="{CECDE70E-83A7-BA40-9355-10079AB3B8C7}" srcOrd="1" destOrd="0" presId="urn:microsoft.com/office/officeart/2005/8/layout/hierarchy2"/>
    <dgm:cxn modelId="{B3B14160-54AB-4A46-89BD-E8C99E526AF7}" type="presParOf" srcId="{CECDE70E-83A7-BA40-9355-10079AB3B8C7}" destId="{9EB0FA5F-BF74-6045-BC98-FC5C037FE5C9}" srcOrd="0" destOrd="0" presId="urn:microsoft.com/office/officeart/2005/8/layout/hierarchy2"/>
    <dgm:cxn modelId="{4CEDEC93-C65A-DB43-908D-20B9103A8C42}" type="presParOf" srcId="{9EB0FA5F-BF74-6045-BC98-FC5C037FE5C9}" destId="{838362B6-7FDD-7A48-8C09-DCC5700D895C}" srcOrd="0" destOrd="0" presId="urn:microsoft.com/office/officeart/2005/8/layout/hierarchy2"/>
    <dgm:cxn modelId="{471FB376-8D6C-D647-9666-B358AEF068C1}" type="presParOf" srcId="{CECDE70E-83A7-BA40-9355-10079AB3B8C7}" destId="{E7E5A910-EC4D-DF4C-977F-4C1FD3934CD8}" srcOrd="1" destOrd="0" presId="urn:microsoft.com/office/officeart/2005/8/layout/hierarchy2"/>
    <dgm:cxn modelId="{A4A45199-3F83-2B46-91E3-44FD478AC37D}" type="presParOf" srcId="{E7E5A910-EC4D-DF4C-977F-4C1FD3934CD8}" destId="{346E5F80-6DC5-6543-AAD9-FD7779271A90}" srcOrd="0" destOrd="0" presId="urn:microsoft.com/office/officeart/2005/8/layout/hierarchy2"/>
    <dgm:cxn modelId="{B83D253D-F7F6-D540-A93F-F34EF20AB5A6}" type="presParOf" srcId="{E7E5A910-EC4D-DF4C-977F-4C1FD3934CD8}" destId="{C45BD177-B81D-4240-9134-7025B910ED4B}" srcOrd="1" destOrd="0" presId="urn:microsoft.com/office/officeart/2005/8/layout/hierarchy2"/>
    <dgm:cxn modelId="{0300603B-152C-FE47-9674-155B81680A4C}" type="presParOf" srcId="{C45BD177-B81D-4240-9134-7025B910ED4B}" destId="{1208B9E3-0278-6344-8E92-3481EA93B0A2}" srcOrd="0" destOrd="0" presId="urn:microsoft.com/office/officeart/2005/8/layout/hierarchy2"/>
    <dgm:cxn modelId="{744B5529-8975-7743-AA54-FBF3991D5BC6}" type="presParOf" srcId="{1208B9E3-0278-6344-8E92-3481EA93B0A2}" destId="{DD665F04-205C-E44C-B119-5732509DCD31}" srcOrd="0" destOrd="0" presId="urn:microsoft.com/office/officeart/2005/8/layout/hierarchy2"/>
    <dgm:cxn modelId="{9151C12B-33FF-1045-894B-5DC0EB185F50}" type="presParOf" srcId="{C45BD177-B81D-4240-9134-7025B910ED4B}" destId="{464889C7-071D-2F4D-B941-78F57280098F}" srcOrd="1" destOrd="0" presId="urn:microsoft.com/office/officeart/2005/8/layout/hierarchy2"/>
    <dgm:cxn modelId="{6A50D69B-CC8D-1148-968E-5ACE48B6E740}" type="presParOf" srcId="{464889C7-071D-2F4D-B941-78F57280098F}" destId="{AC69AFBE-547D-0F49-8FBD-7B9C78ED3826}" srcOrd="0" destOrd="0" presId="urn:microsoft.com/office/officeart/2005/8/layout/hierarchy2"/>
    <dgm:cxn modelId="{7D2202DB-0214-F741-B8BB-BD6C4C5C31B8}" type="presParOf" srcId="{464889C7-071D-2F4D-B941-78F57280098F}" destId="{E44951BE-8317-0546-9BCB-B55D199A4B80}" srcOrd="1" destOrd="0" presId="urn:microsoft.com/office/officeart/2005/8/layout/hierarchy2"/>
    <dgm:cxn modelId="{B3E2BAB9-6F3A-854A-8339-094560B35C1C}" type="presParOf" srcId="{E44951BE-8317-0546-9BCB-B55D199A4B80}" destId="{E06B8E53-7E61-FE48-B438-142B6DA5154E}" srcOrd="0" destOrd="0" presId="urn:microsoft.com/office/officeart/2005/8/layout/hierarchy2"/>
    <dgm:cxn modelId="{A12D5441-AF80-6E46-AB80-8500A96B4256}" type="presParOf" srcId="{E06B8E53-7E61-FE48-B438-142B6DA5154E}" destId="{C67516C0-9764-384F-B21B-FECA8E54F2AA}" srcOrd="0" destOrd="0" presId="urn:microsoft.com/office/officeart/2005/8/layout/hierarchy2"/>
    <dgm:cxn modelId="{1775BEBA-AA7F-9147-9548-C1C7F6614C83}" type="presParOf" srcId="{E44951BE-8317-0546-9BCB-B55D199A4B80}" destId="{C122B4B7-7576-CD44-B045-4F9F15E99B33}" srcOrd="1" destOrd="0" presId="urn:microsoft.com/office/officeart/2005/8/layout/hierarchy2"/>
    <dgm:cxn modelId="{97D19F31-8EC7-BA48-A097-943906ED1841}" type="presParOf" srcId="{C122B4B7-7576-CD44-B045-4F9F15E99B33}" destId="{5E1B448D-7475-364F-9237-E274A4B984F6}" srcOrd="0" destOrd="0" presId="urn:microsoft.com/office/officeart/2005/8/layout/hierarchy2"/>
    <dgm:cxn modelId="{946AE136-D364-4440-88C8-88D136A40B75}" type="presParOf" srcId="{C122B4B7-7576-CD44-B045-4F9F15E99B33}" destId="{99DC1C13-6DED-3D49-BF3C-427A3278BDE9}" srcOrd="1" destOrd="0" presId="urn:microsoft.com/office/officeart/2005/8/layout/hierarchy2"/>
    <dgm:cxn modelId="{997DEFFB-8BA4-5E4E-AC50-2E2097D1A9BD}" type="presParOf" srcId="{C2178FC9-E732-4647-9C38-96A6D69A684F}" destId="{66D7638F-9853-484A-83EB-C481F6203FD8}" srcOrd="6" destOrd="0" presId="urn:microsoft.com/office/officeart/2005/8/layout/hierarchy2"/>
    <dgm:cxn modelId="{6D18E82C-B564-D944-A4A7-05933FD99490}" type="presParOf" srcId="{66D7638F-9853-484A-83EB-C481F6203FD8}" destId="{182380DA-709D-8540-A047-8820C3AD8608}" srcOrd="0" destOrd="0" presId="urn:microsoft.com/office/officeart/2005/8/layout/hierarchy2"/>
    <dgm:cxn modelId="{462D9313-6EE0-4A41-BE78-F60E11537875}" type="presParOf" srcId="{C2178FC9-E732-4647-9C38-96A6D69A684F}" destId="{D87D66CA-A7D0-4348-8A21-E0438C62D042}" srcOrd="7" destOrd="0" presId="urn:microsoft.com/office/officeart/2005/8/layout/hierarchy2"/>
    <dgm:cxn modelId="{C5BA0D52-1DAF-7742-A3B8-D5A8F69DC9E7}" type="presParOf" srcId="{D87D66CA-A7D0-4348-8A21-E0438C62D042}" destId="{F49659EF-7E47-2D41-8BC1-B97974D7D2CF}" srcOrd="0" destOrd="0" presId="urn:microsoft.com/office/officeart/2005/8/layout/hierarchy2"/>
    <dgm:cxn modelId="{6A1DF6E9-7555-C743-8A6C-3833D074B166}" type="presParOf" srcId="{D87D66CA-A7D0-4348-8A21-E0438C62D042}" destId="{F864E9D0-3DEA-4E4D-9E78-EF20DAD8D1CD}" srcOrd="1" destOrd="0" presId="urn:microsoft.com/office/officeart/2005/8/layout/hierarchy2"/>
    <dgm:cxn modelId="{F16D339C-AE59-994C-B969-F0ED34EA8466}" type="presParOf" srcId="{F864E9D0-3DEA-4E4D-9E78-EF20DAD8D1CD}" destId="{C7694E15-689B-B540-AF7D-27873AF50E04}" srcOrd="0" destOrd="0" presId="urn:microsoft.com/office/officeart/2005/8/layout/hierarchy2"/>
    <dgm:cxn modelId="{5709B380-2D6F-D24D-8B85-2BF07A264112}" type="presParOf" srcId="{C7694E15-689B-B540-AF7D-27873AF50E04}" destId="{E583F178-B687-5241-8838-3F757CBC371A}" srcOrd="0" destOrd="0" presId="urn:microsoft.com/office/officeart/2005/8/layout/hierarchy2"/>
    <dgm:cxn modelId="{0839FC46-8407-7241-949B-88390242D36E}" type="presParOf" srcId="{F864E9D0-3DEA-4E4D-9E78-EF20DAD8D1CD}" destId="{4D17EC19-415D-544C-8712-347EFE077948}" srcOrd="1" destOrd="0" presId="urn:microsoft.com/office/officeart/2005/8/layout/hierarchy2"/>
    <dgm:cxn modelId="{D5910AA4-F732-F440-97DD-2AA799B97423}" type="presParOf" srcId="{4D17EC19-415D-544C-8712-347EFE077948}" destId="{26604CA2-868C-8F44-A303-1E91E5613A9B}" srcOrd="0" destOrd="0" presId="urn:microsoft.com/office/officeart/2005/8/layout/hierarchy2"/>
    <dgm:cxn modelId="{733DFC1D-DD57-7C45-80F3-F7B347370B11}" type="presParOf" srcId="{4D17EC19-415D-544C-8712-347EFE077948}" destId="{1ECFE865-0216-D047-BBC0-724D0F096CED}" srcOrd="1" destOrd="0" presId="urn:microsoft.com/office/officeart/2005/8/layout/hierarchy2"/>
    <dgm:cxn modelId="{23F909CD-3DB5-3446-AA73-5711C547A383}" type="presParOf" srcId="{F864E9D0-3DEA-4E4D-9E78-EF20DAD8D1CD}" destId="{2F4D2B05-ABE0-C040-B265-D2CED050FB95}" srcOrd="2" destOrd="0" presId="urn:microsoft.com/office/officeart/2005/8/layout/hierarchy2"/>
    <dgm:cxn modelId="{7A6A0CDA-C7ED-584E-838D-83EAEF5C5F9B}" type="presParOf" srcId="{2F4D2B05-ABE0-C040-B265-D2CED050FB95}" destId="{699F8F4D-D766-F14E-8860-C2799A400D25}" srcOrd="0" destOrd="0" presId="urn:microsoft.com/office/officeart/2005/8/layout/hierarchy2"/>
    <dgm:cxn modelId="{5164619A-7FC3-5440-95B0-F4C5F70C6BEF}" type="presParOf" srcId="{F864E9D0-3DEA-4E4D-9E78-EF20DAD8D1CD}" destId="{2C83424D-AFE9-8249-A208-FD2CA4131178}" srcOrd="3" destOrd="0" presId="urn:microsoft.com/office/officeart/2005/8/layout/hierarchy2"/>
    <dgm:cxn modelId="{727D5458-5C73-FB40-9E7C-0D29EF9615B9}" type="presParOf" srcId="{2C83424D-AFE9-8249-A208-FD2CA4131178}" destId="{05BBA82D-3861-9D45-B27B-B23B7D4518F1}" srcOrd="0" destOrd="0" presId="urn:microsoft.com/office/officeart/2005/8/layout/hierarchy2"/>
    <dgm:cxn modelId="{600C9CC2-0BAF-7D4F-BF3D-FCC598980905}" type="presParOf" srcId="{2C83424D-AFE9-8249-A208-FD2CA4131178}" destId="{BA5EB554-2EB8-014B-922C-219CBAD9412D}" srcOrd="1" destOrd="0" presId="urn:microsoft.com/office/officeart/2005/8/layout/hierarchy2"/>
    <dgm:cxn modelId="{DCC846F5-8C32-674F-BF1A-B1B36537B3D6}" type="presParOf" srcId="{BA5EB554-2EB8-014B-922C-219CBAD9412D}" destId="{58D175B3-DFEA-604C-917B-BF2A2838C18F}" srcOrd="0" destOrd="0" presId="urn:microsoft.com/office/officeart/2005/8/layout/hierarchy2"/>
    <dgm:cxn modelId="{A92C21C7-5A6F-3D48-9DAE-469686580B45}" type="presParOf" srcId="{58D175B3-DFEA-604C-917B-BF2A2838C18F}" destId="{90ACB537-42BA-CA49-97FA-D0B16352658A}" srcOrd="0" destOrd="0" presId="urn:microsoft.com/office/officeart/2005/8/layout/hierarchy2"/>
    <dgm:cxn modelId="{965BCC02-8A61-8E4E-8704-4E6D3DCBC07F}" type="presParOf" srcId="{BA5EB554-2EB8-014B-922C-219CBAD9412D}" destId="{6B1E4DCB-C425-8D4F-A252-6475337EC706}" srcOrd="1" destOrd="0" presId="urn:microsoft.com/office/officeart/2005/8/layout/hierarchy2"/>
    <dgm:cxn modelId="{EE51BCAB-1E34-5148-80B3-9D64107B44A5}" type="presParOf" srcId="{6B1E4DCB-C425-8D4F-A252-6475337EC706}" destId="{22C4D929-DC84-5648-9CF3-F58A68E4150C}" srcOrd="0" destOrd="0" presId="urn:microsoft.com/office/officeart/2005/8/layout/hierarchy2"/>
    <dgm:cxn modelId="{C7467BE4-37EC-9844-9F5D-F2B29D9F00B1}" type="presParOf" srcId="{6B1E4DCB-C425-8D4F-A252-6475337EC706}" destId="{A4ADA570-E835-5E4D-8C5C-014877ADC16D}" srcOrd="1" destOrd="0" presId="urn:microsoft.com/office/officeart/2005/8/layout/hierarchy2"/>
    <dgm:cxn modelId="{BDBBF414-F34B-344B-9C42-5466E3AE6069}" type="presParOf" srcId="{C2178FC9-E732-4647-9C38-96A6D69A684F}" destId="{22BD5535-88B2-9B42-A8B4-1E5752F26F90}" srcOrd="8" destOrd="0" presId="urn:microsoft.com/office/officeart/2005/8/layout/hierarchy2"/>
    <dgm:cxn modelId="{D7BACBA9-7F3C-D042-A194-BA03DDE330AA}" type="presParOf" srcId="{22BD5535-88B2-9B42-A8B4-1E5752F26F90}" destId="{5B9DA2AB-D69C-0F42-8055-3B1B6AC114A2}" srcOrd="0" destOrd="0" presId="urn:microsoft.com/office/officeart/2005/8/layout/hierarchy2"/>
    <dgm:cxn modelId="{A1D093F5-AE6E-BD49-A22A-BACD366DE778}" type="presParOf" srcId="{C2178FC9-E732-4647-9C38-96A6D69A684F}" destId="{BB1363B6-EFED-4944-990F-544F8BD835D9}" srcOrd="9" destOrd="0" presId="urn:microsoft.com/office/officeart/2005/8/layout/hierarchy2"/>
    <dgm:cxn modelId="{B1D9D326-7FC8-D948-9C3D-CE197627D878}" type="presParOf" srcId="{BB1363B6-EFED-4944-990F-544F8BD835D9}" destId="{B9610FCE-B082-EE44-9135-ABA86D825EBE}" srcOrd="0" destOrd="0" presId="urn:microsoft.com/office/officeart/2005/8/layout/hierarchy2"/>
    <dgm:cxn modelId="{6BC30315-1F80-CE44-8319-1490EEC7D690}" type="presParOf" srcId="{BB1363B6-EFED-4944-990F-544F8BD835D9}" destId="{DE64708A-1543-EB47-9C9C-307C45C8DF33}" srcOrd="1" destOrd="0" presId="urn:microsoft.com/office/officeart/2005/8/layout/hierarchy2"/>
    <dgm:cxn modelId="{671FAAF0-5760-0D41-8AEA-84EB8A2A816F}" type="presParOf" srcId="{DE64708A-1543-EB47-9C9C-307C45C8DF33}" destId="{F27A1C25-E22E-804F-A65A-FEA13FE665C2}" srcOrd="0" destOrd="0" presId="urn:microsoft.com/office/officeart/2005/8/layout/hierarchy2"/>
    <dgm:cxn modelId="{6E96CD38-C0C0-9742-B43A-E280CE4CA4BF}" type="presParOf" srcId="{F27A1C25-E22E-804F-A65A-FEA13FE665C2}" destId="{41E852B0-DCE6-0048-8035-7F590A5134D6}" srcOrd="0" destOrd="0" presId="urn:microsoft.com/office/officeart/2005/8/layout/hierarchy2"/>
    <dgm:cxn modelId="{F716101C-D5F0-8F47-B556-00D4F9FBDCC4}" type="presParOf" srcId="{DE64708A-1543-EB47-9C9C-307C45C8DF33}" destId="{9FE23876-6F44-7B41-A821-F20D241F62B5}" srcOrd="1" destOrd="0" presId="urn:microsoft.com/office/officeart/2005/8/layout/hierarchy2"/>
    <dgm:cxn modelId="{3D512F93-B2BC-6046-AD08-316999F54FCE}" type="presParOf" srcId="{9FE23876-6F44-7B41-A821-F20D241F62B5}" destId="{6B4C2E1A-DBD3-AA44-B37A-C819A1EFBEC6}" srcOrd="0" destOrd="0" presId="urn:microsoft.com/office/officeart/2005/8/layout/hierarchy2"/>
    <dgm:cxn modelId="{B121D2B0-8409-F842-AFD0-051E0EEE5546}" type="presParOf" srcId="{9FE23876-6F44-7B41-A821-F20D241F62B5}" destId="{EE79A43B-4014-0143-A5C1-5CBA363B434F}" srcOrd="1" destOrd="0" presId="urn:microsoft.com/office/officeart/2005/8/layout/hierarchy2"/>
    <dgm:cxn modelId="{497C88F4-5E32-D140-91F9-6DB0748DD74F}" type="presParOf" srcId="{DE64708A-1543-EB47-9C9C-307C45C8DF33}" destId="{E499D8AD-D85B-B849-A13E-38E2C85D4646}" srcOrd="2" destOrd="0" presId="urn:microsoft.com/office/officeart/2005/8/layout/hierarchy2"/>
    <dgm:cxn modelId="{513E4A76-ABDF-2D49-B58B-A33BE9D1CE12}" type="presParOf" srcId="{E499D8AD-D85B-B849-A13E-38E2C85D4646}" destId="{46ECCF4E-40C0-0F45-8093-07B1D0DC2387}" srcOrd="0" destOrd="0" presId="urn:microsoft.com/office/officeart/2005/8/layout/hierarchy2"/>
    <dgm:cxn modelId="{56029DEE-DA4D-9144-B382-5712E9B86692}" type="presParOf" srcId="{DE64708A-1543-EB47-9C9C-307C45C8DF33}" destId="{6D098576-6489-6E43-8B0C-96161BD6A464}" srcOrd="3" destOrd="0" presId="urn:microsoft.com/office/officeart/2005/8/layout/hierarchy2"/>
    <dgm:cxn modelId="{4D2977D5-751B-BC45-9EED-F474F6165D1B}" type="presParOf" srcId="{6D098576-6489-6E43-8B0C-96161BD6A464}" destId="{8FF38AF2-4B9D-6E46-A689-EFCC7FC13136}" srcOrd="0" destOrd="0" presId="urn:microsoft.com/office/officeart/2005/8/layout/hierarchy2"/>
    <dgm:cxn modelId="{FE2517F5-825B-594D-9264-95744DCD0FEF}" type="presParOf" srcId="{6D098576-6489-6E43-8B0C-96161BD6A464}" destId="{DE1F1C2D-DA9F-F842-BF14-A73B26C2B457}" srcOrd="1" destOrd="0" presId="urn:microsoft.com/office/officeart/2005/8/layout/hierarchy2"/>
    <dgm:cxn modelId="{FDB99D78-7FF8-6749-9381-D8B09A2FB6AE}" type="presParOf" srcId="{DE1F1C2D-DA9F-F842-BF14-A73B26C2B457}" destId="{CAF0A0F3-0539-9846-927B-69BF6A4C9ACA}" srcOrd="0" destOrd="0" presId="urn:microsoft.com/office/officeart/2005/8/layout/hierarchy2"/>
    <dgm:cxn modelId="{E54D2B1E-9AE1-8D42-8E0A-D3B43460061A}" type="presParOf" srcId="{CAF0A0F3-0539-9846-927B-69BF6A4C9ACA}" destId="{16E75FAA-7511-364F-B02C-27E8F8627174}" srcOrd="0" destOrd="0" presId="urn:microsoft.com/office/officeart/2005/8/layout/hierarchy2"/>
    <dgm:cxn modelId="{E9C61BCD-E2D7-7D4E-8C73-B928A377AF26}" type="presParOf" srcId="{DE1F1C2D-DA9F-F842-BF14-A73B26C2B457}" destId="{E26115D7-CAC8-F94E-AC94-3FACFFF943B6}" srcOrd="1" destOrd="0" presId="urn:microsoft.com/office/officeart/2005/8/layout/hierarchy2"/>
    <dgm:cxn modelId="{26EEA809-9C9E-6947-9879-F17DDD20FB32}" type="presParOf" srcId="{E26115D7-CAC8-F94E-AC94-3FACFFF943B6}" destId="{E22128B9-F134-6F4A-B576-11820965B55D}" srcOrd="0" destOrd="0" presId="urn:microsoft.com/office/officeart/2005/8/layout/hierarchy2"/>
    <dgm:cxn modelId="{044657C7-D33D-4941-9F1D-56CFBF7BAB73}" type="presParOf" srcId="{E26115D7-CAC8-F94E-AC94-3FACFFF943B6}" destId="{E9E99AD7-4AEE-C645-ACAD-29E09AA33E3D}" srcOrd="1" destOrd="0" presId="urn:microsoft.com/office/officeart/2005/8/layout/hierarchy2"/>
    <dgm:cxn modelId="{3965F825-A003-8744-9A99-EAF19BD6670A}" type="presParOf" srcId="{14EA4009-7F75-194F-B5DA-4AB5A246BBE2}" destId="{6D8ABA7C-34CA-564B-91D0-378837BD3C27}" srcOrd="2" destOrd="0" presId="urn:microsoft.com/office/officeart/2005/8/layout/hierarchy2"/>
    <dgm:cxn modelId="{C6BC75DB-CDE2-AF43-9324-F70074C1AE22}" type="presParOf" srcId="{6D8ABA7C-34CA-564B-91D0-378837BD3C27}" destId="{A2A62C52-6791-3A46-8C80-4090CC3601EE}" srcOrd="0" destOrd="0" presId="urn:microsoft.com/office/officeart/2005/8/layout/hierarchy2"/>
    <dgm:cxn modelId="{5B9E84E1-7859-A14E-B0C3-C30127E047F9}" type="presParOf" srcId="{14EA4009-7F75-194F-B5DA-4AB5A246BBE2}" destId="{9260012B-4754-EA44-A563-869783F73CE6}" srcOrd="3" destOrd="0" presId="urn:microsoft.com/office/officeart/2005/8/layout/hierarchy2"/>
    <dgm:cxn modelId="{9A598110-C710-A04D-9A8D-2D4852565A4E}" type="presParOf" srcId="{9260012B-4754-EA44-A563-869783F73CE6}" destId="{9477E5BE-5C6B-DB4C-AE3B-C9B7E4CDBA2C}" srcOrd="0" destOrd="0" presId="urn:microsoft.com/office/officeart/2005/8/layout/hierarchy2"/>
    <dgm:cxn modelId="{8A11B3CB-D4BB-B241-BF85-5707BFEE700D}" type="presParOf" srcId="{9260012B-4754-EA44-A563-869783F73CE6}" destId="{75B1D562-87D5-344E-A386-C731C0166DCC}" srcOrd="1" destOrd="0" presId="urn:microsoft.com/office/officeart/2005/8/layout/hierarchy2"/>
    <dgm:cxn modelId="{2460B012-76DD-B947-854E-844D3E2C6347}" type="presParOf" srcId="{75B1D562-87D5-344E-A386-C731C0166DCC}" destId="{118CCFA0-49B9-7E4F-BBAA-894B65210A33}" srcOrd="0" destOrd="0" presId="urn:microsoft.com/office/officeart/2005/8/layout/hierarchy2"/>
    <dgm:cxn modelId="{3AA916D3-1C4E-AD49-B047-C30BE9D31D9F}" type="presParOf" srcId="{118CCFA0-49B9-7E4F-BBAA-894B65210A33}" destId="{B213C8E7-05CA-3A4E-9A99-219F88718C86}" srcOrd="0" destOrd="0" presId="urn:microsoft.com/office/officeart/2005/8/layout/hierarchy2"/>
    <dgm:cxn modelId="{1E1F79A4-B82C-4244-9ACC-0BF60FFEDDC8}" type="presParOf" srcId="{75B1D562-87D5-344E-A386-C731C0166DCC}" destId="{7AD2DEE8-8F4E-ED41-8E7D-107F3E04BBB8}" srcOrd="1" destOrd="0" presId="urn:microsoft.com/office/officeart/2005/8/layout/hierarchy2"/>
    <dgm:cxn modelId="{7375C758-C3D4-C24B-812E-8305618A80F2}" type="presParOf" srcId="{7AD2DEE8-8F4E-ED41-8E7D-107F3E04BBB8}" destId="{96E045CD-A141-3046-BE9D-50FE4C690EB7}" srcOrd="0" destOrd="0" presId="urn:microsoft.com/office/officeart/2005/8/layout/hierarchy2"/>
    <dgm:cxn modelId="{79660646-56DC-9B45-8694-47A20991FDF3}" type="presParOf" srcId="{7AD2DEE8-8F4E-ED41-8E7D-107F3E04BBB8}" destId="{8A652A6E-7D12-D04A-9970-D049EB5A56C7}" srcOrd="1" destOrd="0" presId="urn:microsoft.com/office/officeart/2005/8/layout/hierarchy2"/>
    <dgm:cxn modelId="{D0D80B32-4E07-F14B-A54B-EBEF09FEF204}" type="presParOf" srcId="{8A652A6E-7D12-D04A-9970-D049EB5A56C7}" destId="{4BC010F5-5345-1743-945B-25133BF2B2AA}" srcOrd="0" destOrd="0" presId="urn:microsoft.com/office/officeart/2005/8/layout/hierarchy2"/>
    <dgm:cxn modelId="{06752542-CB17-1C4F-86B9-8CA06F132CD8}" type="presParOf" srcId="{4BC010F5-5345-1743-945B-25133BF2B2AA}" destId="{2CFB41A3-85B4-8C47-A1DA-E59FDE43E15E}" srcOrd="0" destOrd="0" presId="urn:microsoft.com/office/officeart/2005/8/layout/hierarchy2"/>
    <dgm:cxn modelId="{DCFC3149-A68E-F041-94AA-D6B5D2CC72FA}" type="presParOf" srcId="{8A652A6E-7D12-D04A-9970-D049EB5A56C7}" destId="{1E6B12F1-39C1-2446-8B5B-B7C485EEDF12}" srcOrd="1" destOrd="0" presId="urn:microsoft.com/office/officeart/2005/8/layout/hierarchy2"/>
    <dgm:cxn modelId="{521CB1B1-195E-E24E-A319-D408B87A0A5A}" type="presParOf" srcId="{1E6B12F1-39C1-2446-8B5B-B7C485EEDF12}" destId="{27A15EE9-AB67-114A-93A4-C6321D2FA731}" srcOrd="0" destOrd="0" presId="urn:microsoft.com/office/officeart/2005/8/layout/hierarchy2"/>
    <dgm:cxn modelId="{77383CB6-330E-D94F-8A3A-9CA5FC047E7F}" type="presParOf" srcId="{1E6B12F1-39C1-2446-8B5B-B7C485EEDF12}" destId="{8AF3835C-AA71-4E41-B31F-D2DFC4FE3206}" srcOrd="1" destOrd="0" presId="urn:microsoft.com/office/officeart/2005/8/layout/hierarchy2"/>
    <dgm:cxn modelId="{87D615E9-4272-4B40-AFF9-21C6E1D8ED2C}" type="presParOf" srcId="{8AF3835C-AA71-4E41-B31F-D2DFC4FE3206}" destId="{5BACCDA2-ECD6-0745-9EBA-6960D57C6DE7}" srcOrd="0" destOrd="0" presId="urn:microsoft.com/office/officeart/2005/8/layout/hierarchy2"/>
    <dgm:cxn modelId="{E27CAE45-2BD9-5A43-A4B1-675C8C27F65F}" type="presParOf" srcId="{5BACCDA2-ECD6-0745-9EBA-6960D57C6DE7}" destId="{73F0CE9F-6727-5847-8270-31EB20A9B4D7}" srcOrd="0" destOrd="0" presId="urn:microsoft.com/office/officeart/2005/8/layout/hierarchy2"/>
    <dgm:cxn modelId="{63F361EB-6FF2-CF4E-B456-482897C34FB8}" type="presParOf" srcId="{8AF3835C-AA71-4E41-B31F-D2DFC4FE3206}" destId="{4236D529-1FF2-974E-BFC7-061FFD453664}" srcOrd="1" destOrd="0" presId="urn:microsoft.com/office/officeart/2005/8/layout/hierarchy2"/>
    <dgm:cxn modelId="{45BFD5D4-D90F-984E-B964-2BEFAAC688AF}" type="presParOf" srcId="{4236D529-1FF2-974E-BFC7-061FFD453664}" destId="{CCD63586-4018-2241-B1D2-F2D3490D8F8D}" srcOrd="0" destOrd="0" presId="urn:microsoft.com/office/officeart/2005/8/layout/hierarchy2"/>
    <dgm:cxn modelId="{4BBAB366-5403-FB40-A7A1-235E7EF4976A}" type="presParOf" srcId="{4236D529-1FF2-974E-BFC7-061FFD453664}" destId="{EA4E69C9-3C21-1D49-9776-D2A4E95B9EB0}" srcOrd="1" destOrd="0" presId="urn:microsoft.com/office/officeart/2005/8/layout/hierarchy2"/>
    <dgm:cxn modelId="{935D3526-9497-8F47-B6E9-6A0366C9717A}" type="presParOf" srcId="{8AF3835C-AA71-4E41-B31F-D2DFC4FE3206}" destId="{D95BD48D-F9BF-D047-9985-5EE5A80AE84A}" srcOrd="2" destOrd="0" presId="urn:microsoft.com/office/officeart/2005/8/layout/hierarchy2"/>
    <dgm:cxn modelId="{1756F111-202A-FC47-ADB9-7B080A8D2D4E}" type="presParOf" srcId="{D95BD48D-F9BF-D047-9985-5EE5A80AE84A}" destId="{24F0B331-28D0-AA49-980A-4B2082FA3553}" srcOrd="0" destOrd="0" presId="urn:microsoft.com/office/officeart/2005/8/layout/hierarchy2"/>
    <dgm:cxn modelId="{18B35A0C-BBD5-6741-B1A0-064787C752E5}" type="presParOf" srcId="{8AF3835C-AA71-4E41-B31F-D2DFC4FE3206}" destId="{4CC621BC-418B-1E4D-BA4B-E3B0DDD698A3}" srcOrd="3" destOrd="0" presId="urn:microsoft.com/office/officeart/2005/8/layout/hierarchy2"/>
    <dgm:cxn modelId="{E2A77E0A-D421-ED49-BE97-25934AEACB68}" type="presParOf" srcId="{4CC621BC-418B-1E4D-BA4B-E3B0DDD698A3}" destId="{DBD12F6F-BA92-4847-B4FB-3A52E420D727}" srcOrd="0" destOrd="0" presId="urn:microsoft.com/office/officeart/2005/8/layout/hierarchy2"/>
    <dgm:cxn modelId="{C5934DAB-7C97-7747-BF50-73643D037DA5}" type="presParOf" srcId="{4CC621BC-418B-1E4D-BA4B-E3B0DDD698A3}" destId="{9E3F05ED-00EA-714E-812C-25C486C3893E}" srcOrd="1" destOrd="0" presId="urn:microsoft.com/office/officeart/2005/8/layout/hierarchy2"/>
    <dgm:cxn modelId="{D70BC0E0-56ED-B941-878C-6B564A3320E6}" type="presParOf" srcId="{8A652A6E-7D12-D04A-9970-D049EB5A56C7}" destId="{206A7BBA-80D0-3447-A1D2-04A76361AF49}" srcOrd="2" destOrd="0" presId="urn:microsoft.com/office/officeart/2005/8/layout/hierarchy2"/>
    <dgm:cxn modelId="{AC39980C-27F0-2549-A2C8-DD421DBE27B9}" type="presParOf" srcId="{206A7BBA-80D0-3447-A1D2-04A76361AF49}" destId="{E4365B71-BCFB-1548-8971-56D3D068268C}" srcOrd="0" destOrd="0" presId="urn:microsoft.com/office/officeart/2005/8/layout/hierarchy2"/>
    <dgm:cxn modelId="{96C03E63-2AE7-4B4A-9799-C8CF01C4E367}" type="presParOf" srcId="{8A652A6E-7D12-D04A-9970-D049EB5A56C7}" destId="{1C3A6B2E-BE42-F046-8BBB-81FA399FF80E}" srcOrd="3" destOrd="0" presId="urn:microsoft.com/office/officeart/2005/8/layout/hierarchy2"/>
    <dgm:cxn modelId="{44BB43AA-3B69-C640-B5F5-AB076AB322A3}" type="presParOf" srcId="{1C3A6B2E-BE42-F046-8BBB-81FA399FF80E}" destId="{7EC23DDA-FC00-904A-8F3A-240654B49321}" srcOrd="0" destOrd="0" presId="urn:microsoft.com/office/officeart/2005/8/layout/hierarchy2"/>
    <dgm:cxn modelId="{DDD4113E-EBDE-D545-95B9-99AA2F1E0AC7}" type="presParOf" srcId="{1C3A6B2E-BE42-F046-8BBB-81FA399FF80E}" destId="{D5F69B79-B41F-804F-9028-5E1A7F7EAE9F}" srcOrd="1" destOrd="0" presId="urn:microsoft.com/office/officeart/2005/8/layout/hierarchy2"/>
    <dgm:cxn modelId="{E1935D1C-55A5-5F49-BECC-31B050FDEC72}" type="presParOf" srcId="{D5F69B79-B41F-804F-9028-5E1A7F7EAE9F}" destId="{847C0345-E480-784A-8D01-F535DA2844E3}" srcOrd="0" destOrd="0" presId="urn:microsoft.com/office/officeart/2005/8/layout/hierarchy2"/>
    <dgm:cxn modelId="{F7B88846-CC8E-1F4D-B99C-BBC3091502FB}" type="presParOf" srcId="{847C0345-E480-784A-8D01-F535DA2844E3}" destId="{E4E6A12E-4F87-DB41-944C-07DB3613ABDA}" srcOrd="0" destOrd="0" presId="urn:microsoft.com/office/officeart/2005/8/layout/hierarchy2"/>
    <dgm:cxn modelId="{2F1F4A1C-585F-974A-A14C-55DFC4587ED6}" type="presParOf" srcId="{D5F69B79-B41F-804F-9028-5E1A7F7EAE9F}" destId="{0383B3C3-D7AE-A84E-9AA4-A099EEAB4778}" srcOrd="1" destOrd="0" presId="urn:microsoft.com/office/officeart/2005/8/layout/hierarchy2"/>
    <dgm:cxn modelId="{1DF7FCE2-1521-824F-AAE0-BDD6F77856E3}" type="presParOf" srcId="{0383B3C3-D7AE-A84E-9AA4-A099EEAB4778}" destId="{0DBB454F-EA32-D841-8B3F-F0405E94E8B3}" srcOrd="0" destOrd="0" presId="urn:microsoft.com/office/officeart/2005/8/layout/hierarchy2"/>
    <dgm:cxn modelId="{8970EA9D-595E-CA40-8BAA-D2760C1A2F8B}" type="presParOf" srcId="{0383B3C3-D7AE-A84E-9AA4-A099EEAB4778}" destId="{7C3595C7-7110-F04F-97E7-FB1AF7D917F7}" srcOrd="1" destOrd="0" presId="urn:microsoft.com/office/officeart/2005/8/layout/hierarchy2"/>
    <dgm:cxn modelId="{E818E5D7-396F-EC44-8231-51EDD23482EC}" type="presParOf" srcId="{8A652A6E-7D12-D04A-9970-D049EB5A56C7}" destId="{E916A003-B8DA-D943-8EFA-59D49861E2C6}" srcOrd="4" destOrd="0" presId="urn:microsoft.com/office/officeart/2005/8/layout/hierarchy2"/>
    <dgm:cxn modelId="{C0310859-7BEE-7D46-8B20-C8AC700A83FF}" type="presParOf" srcId="{E916A003-B8DA-D943-8EFA-59D49861E2C6}" destId="{40577FBC-B833-7E4C-8768-8B6D62BF167B}" srcOrd="0" destOrd="0" presId="urn:microsoft.com/office/officeart/2005/8/layout/hierarchy2"/>
    <dgm:cxn modelId="{F8812F00-C5E9-E041-90D0-15AD0A9217D9}" type="presParOf" srcId="{8A652A6E-7D12-D04A-9970-D049EB5A56C7}" destId="{63C8FA95-2BE9-9140-84A7-1C3031FA298A}" srcOrd="5" destOrd="0" presId="urn:microsoft.com/office/officeart/2005/8/layout/hierarchy2"/>
    <dgm:cxn modelId="{5E74DF0A-ECC1-914B-947B-80C5118B0FD2}" type="presParOf" srcId="{63C8FA95-2BE9-9140-84A7-1C3031FA298A}" destId="{DB6B7C14-FCB2-344D-B9E6-7BD183485379}" srcOrd="0" destOrd="0" presId="urn:microsoft.com/office/officeart/2005/8/layout/hierarchy2"/>
    <dgm:cxn modelId="{2C9692CE-1BFB-7C42-B42C-C7CDF76790D4}" type="presParOf" srcId="{63C8FA95-2BE9-9140-84A7-1C3031FA298A}" destId="{CAE73D74-9F42-9241-B5A1-B6A55900DC84}" srcOrd="1" destOrd="0" presId="urn:microsoft.com/office/officeart/2005/8/layout/hierarchy2"/>
    <dgm:cxn modelId="{AD2E3AC2-A3E0-4040-BF67-215306A68F24}" type="presParOf" srcId="{CAE73D74-9F42-9241-B5A1-B6A55900DC84}" destId="{3691A3F1-876C-C940-8DF8-1F90A81189BD}" srcOrd="0" destOrd="0" presId="urn:microsoft.com/office/officeart/2005/8/layout/hierarchy2"/>
    <dgm:cxn modelId="{CBA66C77-F7B3-704B-A4F4-726B77D770B6}" type="presParOf" srcId="{3691A3F1-876C-C940-8DF8-1F90A81189BD}" destId="{76DE1D7B-D1E9-814C-8EDC-E695FD870F82}" srcOrd="0" destOrd="0" presId="urn:microsoft.com/office/officeart/2005/8/layout/hierarchy2"/>
    <dgm:cxn modelId="{909F045D-13F8-9048-ABCE-0DC70F0AA822}" type="presParOf" srcId="{CAE73D74-9F42-9241-B5A1-B6A55900DC84}" destId="{8C566850-C7B1-D345-B3F6-ECFF82DA20D0}" srcOrd="1" destOrd="0" presId="urn:microsoft.com/office/officeart/2005/8/layout/hierarchy2"/>
    <dgm:cxn modelId="{359EE6AE-AE9C-7D44-A4AD-0A9E3DC86CA8}" type="presParOf" srcId="{8C566850-C7B1-D345-B3F6-ECFF82DA20D0}" destId="{26512A1E-D860-8C41-A24B-6073446E2221}" srcOrd="0" destOrd="0" presId="urn:microsoft.com/office/officeart/2005/8/layout/hierarchy2"/>
    <dgm:cxn modelId="{D4BBB408-C2AD-8947-84CC-2B5FDFBE2DF3}" type="presParOf" srcId="{8C566850-C7B1-D345-B3F6-ECFF82DA20D0}" destId="{C5048726-0DED-7948-813A-A72BFD395E1C}" srcOrd="1" destOrd="0" presId="urn:microsoft.com/office/officeart/2005/8/layout/hierarchy2"/>
    <dgm:cxn modelId="{4A3E4DDA-25A5-424B-8299-C572C568C58A}" type="presParOf" srcId="{C5048726-0DED-7948-813A-A72BFD395E1C}" destId="{D2B1DAA6-0034-DA40-8906-9A0E47AD59F3}" srcOrd="0" destOrd="0" presId="urn:microsoft.com/office/officeart/2005/8/layout/hierarchy2"/>
    <dgm:cxn modelId="{54FA5998-6A2F-BC4C-9583-988359780A72}" type="presParOf" srcId="{D2B1DAA6-0034-DA40-8906-9A0E47AD59F3}" destId="{A0BE1DB0-D36F-7A4E-9A85-B9C4B0B2798B}" srcOrd="0" destOrd="0" presId="urn:microsoft.com/office/officeart/2005/8/layout/hierarchy2"/>
    <dgm:cxn modelId="{8F99E780-299A-D847-85D5-4698F82E0645}" type="presParOf" srcId="{C5048726-0DED-7948-813A-A72BFD395E1C}" destId="{B02E5805-0ACE-2142-99F4-2A4BADB95CF1}" srcOrd="1" destOrd="0" presId="urn:microsoft.com/office/officeart/2005/8/layout/hierarchy2"/>
    <dgm:cxn modelId="{F259E67E-0979-0745-BF05-B898CB4FF6F5}" type="presParOf" srcId="{B02E5805-0ACE-2142-99F4-2A4BADB95CF1}" destId="{9252F684-13A2-D14C-8E31-0330BB8093B2}" srcOrd="0" destOrd="0" presId="urn:microsoft.com/office/officeart/2005/8/layout/hierarchy2"/>
    <dgm:cxn modelId="{D52A5E26-4056-0649-8371-6423E38CBB1E}" type="presParOf" srcId="{B02E5805-0ACE-2142-99F4-2A4BADB95CF1}" destId="{3C62CA07-E890-1B41-900C-295EA4FF921A}" srcOrd="1" destOrd="0" presId="urn:microsoft.com/office/officeart/2005/8/layout/hierarchy2"/>
    <dgm:cxn modelId="{E81B9BF4-5878-CA4B-9F0C-23B6FEBCC7D0}" type="presParOf" srcId="{3C62CA07-E890-1B41-900C-295EA4FF921A}" destId="{04CE80BB-2E45-2C43-B2BA-DBA8FFE5B2E2}" srcOrd="0" destOrd="0" presId="urn:microsoft.com/office/officeart/2005/8/layout/hierarchy2"/>
    <dgm:cxn modelId="{381739E4-400C-9345-BACF-D5E6037B57BE}" type="presParOf" srcId="{04CE80BB-2E45-2C43-B2BA-DBA8FFE5B2E2}" destId="{B6A47954-BAA4-0D47-BAC0-494744510805}" srcOrd="0" destOrd="0" presId="urn:microsoft.com/office/officeart/2005/8/layout/hierarchy2"/>
    <dgm:cxn modelId="{9F9FDC3B-007C-FF4A-9C69-54D475A1BC22}" type="presParOf" srcId="{3C62CA07-E890-1B41-900C-295EA4FF921A}" destId="{A47C2018-7A31-B24C-BA2F-17DD21554C8F}" srcOrd="1" destOrd="0" presId="urn:microsoft.com/office/officeart/2005/8/layout/hierarchy2"/>
    <dgm:cxn modelId="{414DF842-E619-C94C-9542-05F07F4D7A82}" type="presParOf" srcId="{A47C2018-7A31-B24C-BA2F-17DD21554C8F}" destId="{FC4BDBF9-668E-7246-AA1C-75C1FAEC3468}" srcOrd="0" destOrd="0" presId="urn:microsoft.com/office/officeart/2005/8/layout/hierarchy2"/>
    <dgm:cxn modelId="{B829F054-EA5F-8542-B756-5005FF7CAF9A}" type="presParOf" srcId="{A47C2018-7A31-B24C-BA2F-17DD21554C8F}" destId="{2501E258-AFFC-8048-8DA5-ABBF751B24CF}" srcOrd="1" destOrd="0" presId="urn:microsoft.com/office/officeart/2005/8/layout/hierarchy2"/>
    <dgm:cxn modelId="{6A86DF0E-745E-EA49-9366-3B7480C32784}" type="presParOf" srcId="{CAE73D74-9F42-9241-B5A1-B6A55900DC84}" destId="{96083FD8-2BD7-1447-A5F7-83348E94070D}" srcOrd="2" destOrd="0" presId="urn:microsoft.com/office/officeart/2005/8/layout/hierarchy2"/>
    <dgm:cxn modelId="{795B92E8-CFEE-E747-8324-E03E130161CC}" type="presParOf" srcId="{96083FD8-2BD7-1447-A5F7-83348E94070D}" destId="{7FD79359-C839-B243-9263-4386387591FB}" srcOrd="0" destOrd="0" presId="urn:microsoft.com/office/officeart/2005/8/layout/hierarchy2"/>
    <dgm:cxn modelId="{F84FD594-4FC1-7E47-B723-1064820E1F29}" type="presParOf" srcId="{CAE73D74-9F42-9241-B5A1-B6A55900DC84}" destId="{CCAAAE4C-D401-D44C-909C-B74E84E316C3}" srcOrd="3" destOrd="0" presId="urn:microsoft.com/office/officeart/2005/8/layout/hierarchy2"/>
    <dgm:cxn modelId="{4C287040-8C55-294E-818A-CB2DB0BBD2D4}" type="presParOf" srcId="{CCAAAE4C-D401-D44C-909C-B74E84E316C3}" destId="{898A113D-64E8-2F47-9D63-E12264618225}" srcOrd="0" destOrd="0" presId="urn:microsoft.com/office/officeart/2005/8/layout/hierarchy2"/>
    <dgm:cxn modelId="{7FDAB224-853F-ED48-8813-5DA9297FCACE}" type="presParOf" srcId="{CCAAAE4C-D401-D44C-909C-B74E84E316C3}" destId="{A4EBF05A-FC80-494F-91C5-D751A7F6CDC3}" srcOrd="1" destOrd="0" presId="urn:microsoft.com/office/officeart/2005/8/layout/hierarchy2"/>
    <dgm:cxn modelId="{E71B015E-DB34-1A4E-9DB7-FC23B7193715}" type="presParOf" srcId="{A4EBF05A-FC80-494F-91C5-D751A7F6CDC3}" destId="{6F8AB504-61A1-BB4D-BB5A-54996189A86A}" srcOrd="0" destOrd="0" presId="urn:microsoft.com/office/officeart/2005/8/layout/hierarchy2"/>
    <dgm:cxn modelId="{D627CCB7-5C4D-2D4A-8F1C-3429E0FD0713}" type="presParOf" srcId="{6F8AB504-61A1-BB4D-BB5A-54996189A86A}" destId="{201F682A-2859-2D4D-A0B1-C7E7A60A4AB5}" srcOrd="0" destOrd="0" presId="urn:microsoft.com/office/officeart/2005/8/layout/hierarchy2"/>
    <dgm:cxn modelId="{1F377243-462F-E64B-9B86-52D827EDB2B5}" type="presParOf" srcId="{A4EBF05A-FC80-494F-91C5-D751A7F6CDC3}" destId="{41D74C36-A556-4D43-B2A3-8E8B46A905C4}" srcOrd="1" destOrd="0" presId="urn:microsoft.com/office/officeart/2005/8/layout/hierarchy2"/>
    <dgm:cxn modelId="{EE5498DA-698D-524C-AB91-5B2141B1A097}" type="presParOf" srcId="{41D74C36-A556-4D43-B2A3-8E8B46A905C4}" destId="{8163E63B-977A-1C42-ADCF-FC1590064F06}" srcOrd="0" destOrd="0" presId="urn:microsoft.com/office/officeart/2005/8/layout/hierarchy2"/>
    <dgm:cxn modelId="{1EE083F3-483C-504B-A0E2-D12F8D8D0433}" type="presParOf" srcId="{41D74C36-A556-4D43-B2A3-8E8B46A905C4}" destId="{4E1B544A-B0D1-7C4D-BF4A-25F4567E9DB7}" srcOrd="1" destOrd="0" presId="urn:microsoft.com/office/officeart/2005/8/layout/hierarchy2"/>
    <dgm:cxn modelId="{EAEBE470-08FB-BE43-B7E2-70623474CB1C}" type="presParOf" srcId="{75B1D562-87D5-344E-A386-C731C0166DCC}" destId="{5E102A16-85C3-2844-B82E-D80187B1441C}" srcOrd="2" destOrd="0" presId="urn:microsoft.com/office/officeart/2005/8/layout/hierarchy2"/>
    <dgm:cxn modelId="{4F654064-5EB3-B341-8693-E75BE3F93083}" type="presParOf" srcId="{5E102A16-85C3-2844-B82E-D80187B1441C}" destId="{2ABE79AD-AC08-044B-8770-B8A2981428F1}" srcOrd="0" destOrd="0" presId="urn:microsoft.com/office/officeart/2005/8/layout/hierarchy2"/>
    <dgm:cxn modelId="{253D4CEA-AAAF-D94C-ADBE-4F5BAFBE9345}" type="presParOf" srcId="{75B1D562-87D5-344E-A386-C731C0166DCC}" destId="{C085F4AD-F8EA-1645-9C98-7451EA4B4027}" srcOrd="3" destOrd="0" presId="urn:microsoft.com/office/officeart/2005/8/layout/hierarchy2"/>
    <dgm:cxn modelId="{D052B32B-7BB2-BA45-8A5A-EC202875BF05}" type="presParOf" srcId="{C085F4AD-F8EA-1645-9C98-7451EA4B4027}" destId="{73B49C13-E2E7-8F46-85DE-D4C0819F2F5D}" srcOrd="0" destOrd="0" presId="urn:microsoft.com/office/officeart/2005/8/layout/hierarchy2"/>
    <dgm:cxn modelId="{2AAB8B7F-C1F3-8C47-8393-71B116A3D115}" type="presParOf" srcId="{C085F4AD-F8EA-1645-9C98-7451EA4B4027}" destId="{B206F1E2-DFE7-2041-9C46-B3D515C1A274}" srcOrd="1" destOrd="0" presId="urn:microsoft.com/office/officeart/2005/8/layout/hierarchy2"/>
    <dgm:cxn modelId="{40B85912-08E9-5342-B260-45717F2638CA}" type="presParOf" srcId="{B206F1E2-DFE7-2041-9C46-B3D515C1A274}" destId="{08A1A81E-7925-ED46-B839-4ADE4F718E06}" srcOrd="0" destOrd="0" presId="urn:microsoft.com/office/officeart/2005/8/layout/hierarchy2"/>
    <dgm:cxn modelId="{BF0F108B-3DEA-1A47-87D9-2E13D398D9F0}" type="presParOf" srcId="{08A1A81E-7925-ED46-B839-4ADE4F718E06}" destId="{A20FF802-D130-5E4A-A53F-8199468D60AA}" srcOrd="0" destOrd="0" presId="urn:microsoft.com/office/officeart/2005/8/layout/hierarchy2"/>
    <dgm:cxn modelId="{B03205C7-8EFC-4E48-88FD-2708321671E3}" type="presParOf" srcId="{B206F1E2-DFE7-2041-9C46-B3D515C1A274}" destId="{C9E0BF5B-E218-E340-B705-CC46ECC42152}" srcOrd="1" destOrd="0" presId="urn:microsoft.com/office/officeart/2005/8/layout/hierarchy2"/>
    <dgm:cxn modelId="{068D968F-0E7F-7349-AE80-76691D135FDC}" type="presParOf" srcId="{C9E0BF5B-E218-E340-B705-CC46ECC42152}" destId="{C6C92F45-BAA6-E847-9143-7D0625954F22}" srcOrd="0" destOrd="0" presId="urn:microsoft.com/office/officeart/2005/8/layout/hierarchy2"/>
    <dgm:cxn modelId="{606C8A85-3E83-164A-922D-7189B68DE30C}" type="presParOf" srcId="{C9E0BF5B-E218-E340-B705-CC46ECC42152}" destId="{DFB40977-E591-CB45-9CD5-F33A66765599}" srcOrd="1" destOrd="0" presId="urn:microsoft.com/office/officeart/2005/8/layout/hierarchy2"/>
    <dgm:cxn modelId="{C842841E-1F29-B349-8F7F-823277A73974}" type="presParOf" srcId="{DFB40977-E591-CB45-9CD5-F33A66765599}" destId="{1E9949D8-AAD5-7A4A-84DB-3C91B829980C}" srcOrd="0" destOrd="0" presId="urn:microsoft.com/office/officeart/2005/8/layout/hierarchy2"/>
    <dgm:cxn modelId="{B421EE81-723E-244C-B36C-5CC9A09FF7CD}" type="presParOf" srcId="{1E9949D8-AAD5-7A4A-84DB-3C91B829980C}" destId="{62803B6D-367E-FD49-BC56-07D3CA6D9828}" srcOrd="0" destOrd="0" presId="urn:microsoft.com/office/officeart/2005/8/layout/hierarchy2"/>
    <dgm:cxn modelId="{99C2EECD-68D2-5047-B8F0-F609FB53E354}" type="presParOf" srcId="{DFB40977-E591-CB45-9CD5-F33A66765599}" destId="{B493F9B5-DF2B-4A49-8830-6DBD525ADC97}" srcOrd="1" destOrd="0" presId="urn:microsoft.com/office/officeart/2005/8/layout/hierarchy2"/>
    <dgm:cxn modelId="{A07C0B27-3C26-414B-8A76-E3150755B463}" type="presParOf" srcId="{B493F9B5-DF2B-4A49-8830-6DBD525ADC97}" destId="{4913396E-555E-064B-B8A2-6AD647F91C6A}" srcOrd="0" destOrd="0" presId="urn:microsoft.com/office/officeart/2005/8/layout/hierarchy2"/>
    <dgm:cxn modelId="{A91F9015-A0B9-E743-8F15-91316651A012}" type="presParOf" srcId="{B493F9B5-DF2B-4A49-8830-6DBD525ADC97}" destId="{B3AA3A29-EB1B-2443-A514-D07165343FAB}" srcOrd="1" destOrd="0" presId="urn:microsoft.com/office/officeart/2005/8/layout/hierarchy2"/>
    <dgm:cxn modelId="{E8005385-518C-0443-9072-0E3700E1BADA}" type="presParOf" srcId="{B206F1E2-DFE7-2041-9C46-B3D515C1A274}" destId="{5E9C6BFD-8508-A147-9725-B6850B137120}" srcOrd="2" destOrd="0" presId="urn:microsoft.com/office/officeart/2005/8/layout/hierarchy2"/>
    <dgm:cxn modelId="{EA2691CD-F140-CD43-8D6F-431644915C85}" type="presParOf" srcId="{5E9C6BFD-8508-A147-9725-B6850B137120}" destId="{BAE33109-B1B8-9348-939C-92A73B30FE78}" srcOrd="0" destOrd="0" presId="urn:microsoft.com/office/officeart/2005/8/layout/hierarchy2"/>
    <dgm:cxn modelId="{C1A11ED6-D16C-DE4F-A1CA-599603C0F147}" type="presParOf" srcId="{B206F1E2-DFE7-2041-9C46-B3D515C1A274}" destId="{7B657323-D79B-F44F-B734-0A25BE918FE1}" srcOrd="3" destOrd="0" presId="urn:microsoft.com/office/officeart/2005/8/layout/hierarchy2"/>
    <dgm:cxn modelId="{E9B2C576-3CFA-ED49-B67C-6846E5ED09E2}" type="presParOf" srcId="{7B657323-D79B-F44F-B734-0A25BE918FE1}" destId="{815A5564-4766-2B49-9CEE-95C61A3E344F}" srcOrd="0" destOrd="0" presId="urn:microsoft.com/office/officeart/2005/8/layout/hierarchy2"/>
    <dgm:cxn modelId="{AB59D9BE-2B15-444E-9F87-F78FCCF54637}" type="presParOf" srcId="{7B657323-D79B-F44F-B734-0A25BE918FE1}" destId="{D8BF8F25-50BB-624B-93DE-6B823A0B371E}" srcOrd="1" destOrd="0" presId="urn:microsoft.com/office/officeart/2005/8/layout/hierarchy2"/>
    <dgm:cxn modelId="{B7993EDC-C3A8-1B4A-9AAE-33D35BC88590}" type="presParOf" srcId="{D8BF8F25-50BB-624B-93DE-6B823A0B371E}" destId="{0551646A-D616-2B4C-9DA3-9A73B8BF6D58}" srcOrd="0" destOrd="0" presId="urn:microsoft.com/office/officeart/2005/8/layout/hierarchy2"/>
    <dgm:cxn modelId="{1A54519A-4D8E-E848-A7F0-DEEDE1F9AB25}" type="presParOf" srcId="{0551646A-D616-2B4C-9DA3-9A73B8BF6D58}" destId="{41BF4A0D-BBB9-B34F-82E2-1DD836653DD2}" srcOrd="0" destOrd="0" presId="urn:microsoft.com/office/officeart/2005/8/layout/hierarchy2"/>
    <dgm:cxn modelId="{1A8A7F96-4AF3-894C-BB0A-E8C4E770BDC2}" type="presParOf" srcId="{D8BF8F25-50BB-624B-93DE-6B823A0B371E}" destId="{2B3CCDA6-6B15-334F-84A7-A846DE7118CF}" srcOrd="1" destOrd="0" presId="urn:microsoft.com/office/officeart/2005/8/layout/hierarchy2"/>
    <dgm:cxn modelId="{C2D3BC0E-2CA1-C245-ADE3-FC914E5CE8CC}" type="presParOf" srcId="{2B3CCDA6-6B15-334F-84A7-A846DE7118CF}" destId="{92A54882-3F68-4549-80DA-DB37FFB6776D}" srcOrd="0" destOrd="0" presId="urn:microsoft.com/office/officeart/2005/8/layout/hierarchy2"/>
    <dgm:cxn modelId="{4386CAA4-E136-2D4B-90D7-F7A078478A35}" type="presParOf" srcId="{2B3CCDA6-6B15-334F-84A7-A846DE7118CF}" destId="{4D574683-5F00-DD40-AF2D-AB4C1DAD2E50}" srcOrd="1" destOrd="0" presId="urn:microsoft.com/office/officeart/2005/8/layout/hierarchy2"/>
    <dgm:cxn modelId="{227A3990-42C1-4945-9537-4E0E536758DC}" type="presParOf" srcId="{D8BF8F25-50BB-624B-93DE-6B823A0B371E}" destId="{9EE43694-665C-3544-BFFA-D78EA0C55765}" srcOrd="2" destOrd="0" presId="urn:microsoft.com/office/officeart/2005/8/layout/hierarchy2"/>
    <dgm:cxn modelId="{850CE2BF-6160-1D48-A28E-32E6F7D8D9D6}" type="presParOf" srcId="{9EE43694-665C-3544-BFFA-D78EA0C55765}" destId="{5B708126-B3AA-EC4D-8BD8-ED68BF79E2F0}" srcOrd="0" destOrd="0" presId="urn:microsoft.com/office/officeart/2005/8/layout/hierarchy2"/>
    <dgm:cxn modelId="{D4F44E34-7580-6241-AD7E-DF24842197BD}" type="presParOf" srcId="{D8BF8F25-50BB-624B-93DE-6B823A0B371E}" destId="{C207BC16-EE86-8C41-9369-66E1708395E5}" srcOrd="3" destOrd="0" presId="urn:microsoft.com/office/officeart/2005/8/layout/hierarchy2"/>
    <dgm:cxn modelId="{4D77FB7E-6A79-1C44-88DD-75EA5DB14ACB}" type="presParOf" srcId="{C207BC16-EE86-8C41-9369-66E1708395E5}" destId="{B4B2E633-F66B-E345-9112-598CC5E510F3}" srcOrd="0" destOrd="0" presId="urn:microsoft.com/office/officeart/2005/8/layout/hierarchy2"/>
    <dgm:cxn modelId="{E18C25A8-8505-0242-BB00-49670FFE382A}" type="presParOf" srcId="{C207BC16-EE86-8C41-9369-66E1708395E5}" destId="{5F072CEC-1591-2E40-96DD-8A054609A431}" srcOrd="1" destOrd="0" presId="urn:microsoft.com/office/officeart/2005/8/layout/hierarchy2"/>
    <dgm:cxn modelId="{91A532A8-21F2-E847-9E38-1DA17CC06837}" type="presParOf" srcId="{5F072CEC-1591-2E40-96DD-8A054609A431}" destId="{E212E2FD-A1EF-514C-B31D-1D2D24E2EEAC}" srcOrd="0" destOrd="0" presId="urn:microsoft.com/office/officeart/2005/8/layout/hierarchy2"/>
    <dgm:cxn modelId="{0512ECD5-18AB-4849-BA2A-0EF8940734E0}" type="presParOf" srcId="{E212E2FD-A1EF-514C-B31D-1D2D24E2EEAC}" destId="{E6CDAE7E-1A78-C344-9C41-01F15E01D6CC}" srcOrd="0" destOrd="0" presId="urn:microsoft.com/office/officeart/2005/8/layout/hierarchy2"/>
    <dgm:cxn modelId="{BF9E7272-D122-8C4F-ADED-B696D45B9B62}" type="presParOf" srcId="{5F072CEC-1591-2E40-96DD-8A054609A431}" destId="{A6758DD7-C28F-874E-BB16-77C5052F186D}" srcOrd="1" destOrd="0" presId="urn:microsoft.com/office/officeart/2005/8/layout/hierarchy2"/>
    <dgm:cxn modelId="{6A411F7D-0DCC-7C44-80F5-DF6A5D82B28F}" type="presParOf" srcId="{A6758DD7-C28F-874E-BB16-77C5052F186D}" destId="{8C1A1D3C-E83B-E34D-96D8-ED3697561054}" srcOrd="0" destOrd="0" presId="urn:microsoft.com/office/officeart/2005/8/layout/hierarchy2"/>
    <dgm:cxn modelId="{2445A2F8-177A-5A4C-9C32-12CA304D0122}" type="presParOf" srcId="{A6758DD7-C28F-874E-BB16-77C5052F186D}" destId="{A66C6893-3F96-1346-AB14-4E4D7FFBE09D}" srcOrd="1" destOrd="0" presId="urn:microsoft.com/office/officeart/2005/8/layout/hierarchy2"/>
    <dgm:cxn modelId="{8BFA9FC1-1689-2948-B106-CE60200CBF7A}" type="presParOf" srcId="{B206F1E2-DFE7-2041-9C46-B3D515C1A274}" destId="{A8A05613-88F7-154E-B671-11B6BE545A84}" srcOrd="4" destOrd="0" presId="urn:microsoft.com/office/officeart/2005/8/layout/hierarchy2"/>
    <dgm:cxn modelId="{49C36794-96F8-2C4B-9737-54F3A71DD882}" type="presParOf" srcId="{A8A05613-88F7-154E-B671-11B6BE545A84}" destId="{25D8123B-2A9C-2945-9832-E07AA0EAD92A}" srcOrd="0" destOrd="0" presId="urn:microsoft.com/office/officeart/2005/8/layout/hierarchy2"/>
    <dgm:cxn modelId="{30A17999-A375-4448-AA08-E46984AB7101}" type="presParOf" srcId="{B206F1E2-DFE7-2041-9C46-B3D515C1A274}" destId="{F140B2E4-7273-694B-84CB-44E1BC6C7541}" srcOrd="5" destOrd="0" presId="urn:microsoft.com/office/officeart/2005/8/layout/hierarchy2"/>
    <dgm:cxn modelId="{F6D24188-D653-6144-963D-33778201FC8F}" type="presParOf" srcId="{F140B2E4-7273-694B-84CB-44E1BC6C7541}" destId="{BA17F2D1-5426-B446-8E2C-AF27B8375FB3}" srcOrd="0" destOrd="0" presId="urn:microsoft.com/office/officeart/2005/8/layout/hierarchy2"/>
    <dgm:cxn modelId="{82094FFC-5889-AD4C-9B63-F0CC2C6C02E3}" type="presParOf" srcId="{F140B2E4-7273-694B-84CB-44E1BC6C7541}" destId="{2D0BB24D-D4D3-EE4A-B24F-D1D43C4BD9A9}" srcOrd="1" destOrd="0" presId="urn:microsoft.com/office/officeart/2005/8/layout/hierarchy2"/>
    <dgm:cxn modelId="{0F02E1B3-2199-5A4C-903A-3E1243A66EDD}" type="presParOf" srcId="{2D0BB24D-D4D3-EE4A-B24F-D1D43C4BD9A9}" destId="{24A92763-5368-0F4B-B5C0-5C76585B13D7}" srcOrd="0" destOrd="0" presId="urn:microsoft.com/office/officeart/2005/8/layout/hierarchy2"/>
    <dgm:cxn modelId="{53C812BF-7BC9-2440-81BB-746E4888AB0C}" type="presParOf" srcId="{24A92763-5368-0F4B-B5C0-5C76585B13D7}" destId="{35817B11-A55D-6E45-8D2B-2ADEE8D74C36}" srcOrd="0" destOrd="0" presId="urn:microsoft.com/office/officeart/2005/8/layout/hierarchy2"/>
    <dgm:cxn modelId="{212AFE9F-2941-7743-B0CA-E3FC6F64FA3F}" type="presParOf" srcId="{2D0BB24D-D4D3-EE4A-B24F-D1D43C4BD9A9}" destId="{A9FDFED8-5091-7645-A2BA-8DD90BF90ADB}" srcOrd="1" destOrd="0" presId="urn:microsoft.com/office/officeart/2005/8/layout/hierarchy2"/>
    <dgm:cxn modelId="{030DC046-E739-6B4A-AF62-00BB03C79C4C}" type="presParOf" srcId="{A9FDFED8-5091-7645-A2BA-8DD90BF90ADB}" destId="{D623AC6D-EE58-104F-AD58-3D8D264A0217}" srcOrd="0" destOrd="0" presId="urn:microsoft.com/office/officeart/2005/8/layout/hierarchy2"/>
    <dgm:cxn modelId="{3A820E86-1E4D-074A-8E35-09DB6EE4BEF5}" type="presParOf" srcId="{A9FDFED8-5091-7645-A2BA-8DD90BF90ADB}" destId="{854B54DF-9E0D-FC43-812E-AEE8E53030A8}" srcOrd="1" destOrd="0" presId="urn:microsoft.com/office/officeart/2005/8/layout/hierarchy2"/>
    <dgm:cxn modelId="{78AB10B7-3660-864F-AA08-1835045F13AD}" type="presParOf" srcId="{2D0BB24D-D4D3-EE4A-B24F-D1D43C4BD9A9}" destId="{53EF34BE-061B-9C40-8F85-AFF86EB2D3C2}" srcOrd="2" destOrd="0" presId="urn:microsoft.com/office/officeart/2005/8/layout/hierarchy2"/>
    <dgm:cxn modelId="{FC7ED334-60BE-BA4D-BB73-F45BBD4D242E}" type="presParOf" srcId="{53EF34BE-061B-9C40-8F85-AFF86EB2D3C2}" destId="{BEB20919-8988-3E4E-8937-0236021A964B}" srcOrd="0" destOrd="0" presId="urn:microsoft.com/office/officeart/2005/8/layout/hierarchy2"/>
    <dgm:cxn modelId="{CE628D4C-491D-7A46-8147-1D70A5DE1EF1}" type="presParOf" srcId="{2D0BB24D-D4D3-EE4A-B24F-D1D43C4BD9A9}" destId="{D44787FC-E4CA-5A41-8DF0-E22F301954E3}" srcOrd="3" destOrd="0" presId="urn:microsoft.com/office/officeart/2005/8/layout/hierarchy2"/>
    <dgm:cxn modelId="{AA7171C2-5B13-4D4B-8081-010B5427B46B}" type="presParOf" srcId="{D44787FC-E4CA-5A41-8DF0-E22F301954E3}" destId="{066B16B2-DBCC-9143-BCE5-DD8FCA530BAC}" srcOrd="0" destOrd="0" presId="urn:microsoft.com/office/officeart/2005/8/layout/hierarchy2"/>
    <dgm:cxn modelId="{15E6F600-74C3-EC4B-8118-F435B88FB4DD}" type="presParOf" srcId="{D44787FC-E4CA-5A41-8DF0-E22F301954E3}" destId="{C14A6559-68D4-F040-9FAD-A47C6FA790DC}" srcOrd="1" destOrd="0" presId="urn:microsoft.com/office/officeart/2005/8/layout/hierarchy2"/>
    <dgm:cxn modelId="{0E4817C4-E0F1-5C4D-A57C-A33DC683CF17}" type="presParOf" srcId="{B206F1E2-DFE7-2041-9C46-B3D515C1A274}" destId="{3550B190-9B5A-7B42-991C-BF73C50113E5}" srcOrd="6" destOrd="0" presId="urn:microsoft.com/office/officeart/2005/8/layout/hierarchy2"/>
    <dgm:cxn modelId="{C15EBE12-A59D-2B47-A288-62EAE39F57CB}" type="presParOf" srcId="{3550B190-9B5A-7B42-991C-BF73C50113E5}" destId="{A4F53A4E-2E30-A34A-B0E6-85FD720F52C4}" srcOrd="0" destOrd="0" presId="urn:microsoft.com/office/officeart/2005/8/layout/hierarchy2"/>
    <dgm:cxn modelId="{A57446DB-F262-8640-906F-FDE70C8AB3B9}" type="presParOf" srcId="{B206F1E2-DFE7-2041-9C46-B3D515C1A274}" destId="{18A58E09-28DC-5842-B96A-E4FFCBEFFC88}" srcOrd="7" destOrd="0" presId="urn:microsoft.com/office/officeart/2005/8/layout/hierarchy2"/>
    <dgm:cxn modelId="{CA373BC0-D502-6A49-A14D-70F45C2E8D4B}" type="presParOf" srcId="{18A58E09-28DC-5842-B96A-E4FFCBEFFC88}" destId="{2470EF1E-7C4A-7E41-A644-AC6C0F8C9152}" srcOrd="0" destOrd="0" presId="urn:microsoft.com/office/officeart/2005/8/layout/hierarchy2"/>
    <dgm:cxn modelId="{4EB9788A-8FD3-A34E-B03E-C9B826391465}" type="presParOf" srcId="{18A58E09-28DC-5842-B96A-E4FFCBEFFC88}" destId="{3030BF48-3A69-0D47-8597-7D836C43FAE4}" srcOrd="1" destOrd="0" presId="urn:microsoft.com/office/officeart/2005/8/layout/hierarchy2"/>
    <dgm:cxn modelId="{94903057-5423-BC48-9302-244988242DE8}" type="presParOf" srcId="{3030BF48-3A69-0D47-8597-7D836C43FAE4}" destId="{BE32E900-C34C-2042-82AB-ABDA2B534CE6}" srcOrd="0" destOrd="0" presId="urn:microsoft.com/office/officeart/2005/8/layout/hierarchy2"/>
    <dgm:cxn modelId="{D5263F8B-AD2D-C144-82E3-1A9D3233CE4D}" type="presParOf" srcId="{BE32E900-C34C-2042-82AB-ABDA2B534CE6}" destId="{AE37BC39-F713-6444-93BC-219EDF88956F}" srcOrd="0" destOrd="0" presId="urn:microsoft.com/office/officeart/2005/8/layout/hierarchy2"/>
    <dgm:cxn modelId="{0C868E49-9C22-EE47-9AF8-F20F9EBD728D}" type="presParOf" srcId="{3030BF48-3A69-0D47-8597-7D836C43FAE4}" destId="{0D582056-2C3C-5D4F-9056-8BD207BCDDBA}" srcOrd="1" destOrd="0" presId="urn:microsoft.com/office/officeart/2005/8/layout/hierarchy2"/>
    <dgm:cxn modelId="{832D584B-08D1-3749-BCFC-E39FFE73BE10}" type="presParOf" srcId="{0D582056-2C3C-5D4F-9056-8BD207BCDDBA}" destId="{A5BA44B3-33E0-5146-929B-3A13D6A1CC1B}" srcOrd="0" destOrd="0" presId="urn:microsoft.com/office/officeart/2005/8/layout/hierarchy2"/>
    <dgm:cxn modelId="{7A99F7E9-625C-9A49-832A-74A1C9054546}" type="presParOf" srcId="{0D582056-2C3C-5D4F-9056-8BD207BCDDBA}" destId="{7021103C-6E75-014A-9591-5B2598DCD720}" srcOrd="1" destOrd="0" presId="urn:microsoft.com/office/officeart/2005/8/layout/hierarchy2"/>
    <dgm:cxn modelId="{28FCF366-A54A-CA42-B43B-B4309B30D0E4}" type="presParOf" srcId="{7021103C-6E75-014A-9591-5B2598DCD720}" destId="{FA8A6937-E6C5-C448-A4A3-6498A102B45E}" srcOrd="0" destOrd="0" presId="urn:microsoft.com/office/officeart/2005/8/layout/hierarchy2"/>
    <dgm:cxn modelId="{3B3B894C-444A-8549-9FDE-3595677602B1}" type="presParOf" srcId="{FA8A6937-E6C5-C448-A4A3-6498A102B45E}" destId="{2F54A078-12A4-1F44-A8E6-FECCBA4A678E}" srcOrd="0" destOrd="0" presId="urn:microsoft.com/office/officeart/2005/8/layout/hierarchy2"/>
    <dgm:cxn modelId="{7BE9CC68-9F55-694D-BE5E-BAC170D3E521}" type="presParOf" srcId="{7021103C-6E75-014A-9591-5B2598DCD720}" destId="{B9BFBF63-C600-EE4A-A28F-56C56E5FFC83}" srcOrd="1" destOrd="0" presId="urn:microsoft.com/office/officeart/2005/8/layout/hierarchy2"/>
    <dgm:cxn modelId="{17D50C4F-005B-5C43-830C-3BA100F01DED}" type="presParOf" srcId="{B9BFBF63-C600-EE4A-A28F-56C56E5FFC83}" destId="{F63AB57E-E033-3D43-8D3E-33EA47B0715E}" srcOrd="0" destOrd="0" presId="urn:microsoft.com/office/officeart/2005/8/layout/hierarchy2"/>
    <dgm:cxn modelId="{CE77A78B-9EA4-3545-9695-9C86516E1122}" type="presParOf" srcId="{B9BFBF63-C600-EE4A-A28F-56C56E5FFC83}" destId="{846BD4C6-5DAA-7046-B7B0-B4D4A4070626}" srcOrd="1" destOrd="0" presId="urn:microsoft.com/office/officeart/2005/8/layout/hierarchy2"/>
    <dgm:cxn modelId="{11C56968-1E50-1E4B-8D91-1B1B754BC2F8}" type="presParOf" srcId="{3030BF48-3A69-0D47-8597-7D836C43FAE4}" destId="{D614AB8D-3529-0648-8ADF-6EE280E19378}" srcOrd="2" destOrd="0" presId="urn:microsoft.com/office/officeart/2005/8/layout/hierarchy2"/>
    <dgm:cxn modelId="{E450C116-9AF4-2C4A-BAAB-E74B5F22D282}" type="presParOf" srcId="{D614AB8D-3529-0648-8ADF-6EE280E19378}" destId="{80C47BB5-FCBC-434A-AA3C-F7403E3CA06F}" srcOrd="0" destOrd="0" presId="urn:microsoft.com/office/officeart/2005/8/layout/hierarchy2"/>
    <dgm:cxn modelId="{76276DC6-155A-D244-83FF-0349DEA0227A}" type="presParOf" srcId="{3030BF48-3A69-0D47-8597-7D836C43FAE4}" destId="{D0A4F96B-F82B-6C47-B686-8B2BD2225863}" srcOrd="3" destOrd="0" presId="urn:microsoft.com/office/officeart/2005/8/layout/hierarchy2"/>
    <dgm:cxn modelId="{FE2218F4-6061-014D-935B-9D93BDF27ECC}" type="presParOf" srcId="{D0A4F96B-F82B-6C47-B686-8B2BD2225863}" destId="{00C50B97-1E7B-5A42-A95E-F84FD0CB4654}" srcOrd="0" destOrd="0" presId="urn:microsoft.com/office/officeart/2005/8/layout/hierarchy2"/>
    <dgm:cxn modelId="{465D0C1A-C4A3-9A48-930E-DC43DFB1D39C}" type="presParOf" srcId="{D0A4F96B-F82B-6C47-B686-8B2BD2225863}" destId="{508C55F5-2601-4F4D-9D58-D69EF27A58B5}" srcOrd="1" destOrd="0" presId="urn:microsoft.com/office/officeart/2005/8/layout/hierarchy2"/>
    <dgm:cxn modelId="{859E3901-B635-4743-B9DC-AE0CEFDEDC39}" type="presParOf" srcId="{508C55F5-2601-4F4D-9D58-D69EF27A58B5}" destId="{CDBA331F-CF21-C74B-B979-856B54774B1F}" srcOrd="0" destOrd="0" presId="urn:microsoft.com/office/officeart/2005/8/layout/hierarchy2"/>
    <dgm:cxn modelId="{8BE27B3D-7853-7043-B9E2-915BB2759F27}" type="presParOf" srcId="{CDBA331F-CF21-C74B-B979-856B54774B1F}" destId="{EE058887-40B9-5044-8DFD-FA0F62275D11}" srcOrd="0" destOrd="0" presId="urn:microsoft.com/office/officeart/2005/8/layout/hierarchy2"/>
    <dgm:cxn modelId="{6EC9F813-F7E8-E34B-BE56-232C621FFCB7}" type="presParOf" srcId="{508C55F5-2601-4F4D-9D58-D69EF27A58B5}" destId="{85DDB8F3-FF81-7E4B-8CA9-D842D468B361}" srcOrd="1" destOrd="0" presId="urn:microsoft.com/office/officeart/2005/8/layout/hierarchy2"/>
    <dgm:cxn modelId="{2ED4C944-A43A-FF42-A4E0-79EA1D72965E}" type="presParOf" srcId="{85DDB8F3-FF81-7E4B-8CA9-D842D468B361}" destId="{46E9C41F-A492-7549-A87F-A338D127D06E}" srcOrd="0" destOrd="0" presId="urn:microsoft.com/office/officeart/2005/8/layout/hierarchy2"/>
    <dgm:cxn modelId="{6C65FD60-7F51-0C4E-86C8-2E5A5C885C82}" type="presParOf" srcId="{85DDB8F3-FF81-7E4B-8CA9-D842D468B361}" destId="{6CFD66B4-4CEF-C24E-8060-B9BDF0BDB6CC}" srcOrd="1" destOrd="0" presId="urn:microsoft.com/office/officeart/2005/8/layout/hierarchy2"/>
    <dgm:cxn modelId="{D88A90CD-7805-9346-B633-BDFAB5C2B95C}" type="presParOf" srcId="{75B1D562-87D5-344E-A386-C731C0166DCC}" destId="{ACE46D27-510D-C143-96AF-FF7321C560C9}" srcOrd="4" destOrd="0" presId="urn:microsoft.com/office/officeart/2005/8/layout/hierarchy2"/>
    <dgm:cxn modelId="{674E6373-4CBA-4841-89EE-D9A49F5E9EAB}" type="presParOf" srcId="{ACE46D27-510D-C143-96AF-FF7321C560C9}" destId="{135C2B86-9D24-4542-8ED4-4D33790327BA}" srcOrd="0" destOrd="0" presId="urn:microsoft.com/office/officeart/2005/8/layout/hierarchy2"/>
    <dgm:cxn modelId="{9C89DF61-3A00-3B43-94F8-C46EFCD2D61C}" type="presParOf" srcId="{75B1D562-87D5-344E-A386-C731C0166DCC}" destId="{1A3A3CDA-8E93-3B4E-8022-2554D210F1F0}" srcOrd="5" destOrd="0" presId="urn:microsoft.com/office/officeart/2005/8/layout/hierarchy2"/>
    <dgm:cxn modelId="{65397D21-9195-834D-92BA-7D47D55040A8}" type="presParOf" srcId="{1A3A3CDA-8E93-3B4E-8022-2554D210F1F0}" destId="{A1BAFA46-49BD-6D48-945F-C3168502DFC5}" srcOrd="0" destOrd="0" presId="urn:microsoft.com/office/officeart/2005/8/layout/hierarchy2"/>
    <dgm:cxn modelId="{2713EB24-0A6F-D546-AB53-C2D66C15024D}" type="presParOf" srcId="{1A3A3CDA-8E93-3B4E-8022-2554D210F1F0}" destId="{19FA6FEB-4725-7E4A-9166-887F8B5FE892}" srcOrd="1" destOrd="0" presId="urn:microsoft.com/office/officeart/2005/8/layout/hierarchy2"/>
    <dgm:cxn modelId="{ABD4280A-2CB3-DA42-881F-899E76C8911B}" type="presParOf" srcId="{19FA6FEB-4725-7E4A-9166-887F8B5FE892}" destId="{57A4396C-3FFA-D44E-BDD8-48615AC672A8}" srcOrd="0" destOrd="0" presId="urn:microsoft.com/office/officeart/2005/8/layout/hierarchy2"/>
    <dgm:cxn modelId="{92B20FD2-AFC7-604D-937F-7D78955A2876}" type="presParOf" srcId="{57A4396C-3FFA-D44E-BDD8-48615AC672A8}" destId="{075A6715-FD53-1846-BD23-053AA0DC3980}" srcOrd="0" destOrd="0" presId="urn:microsoft.com/office/officeart/2005/8/layout/hierarchy2"/>
    <dgm:cxn modelId="{84ABB22C-6156-3A4B-8165-6BCF364A58E6}" type="presParOf" srcId="{19FA6FEB-4725-7E4A-9166-887F8B5FE892}" destId="{523863B0-B196-8744-9227-4AA62FC51AAE}" srcOrd="1" destOrd="0" presId="urn:microsoft.com/office/officeart/2005/8/layout/hierarchy2"/>
    <dgm:cxn modelId="{11D25FBC-E314-C04B-8892-C4428ABC3C1A}" type="presParOf" srcId="{523863B0-B196-8744-9227-4AA62FC51AAE}" destId="{C1152C6A-BF5E-4A4D-A0BB-F1A1982DB359}" srcOrd="0" destOrd="0" presId="urn:microsoft.com/office/officeart/2005/8/layout/hierarchy2"/>
    <dgm:cxn modelId="{C40AE06B-EF5E-9142-B55D-593140ABD5D5}" type="presParOf" srcId="{523863B0-B196-8744-9227-4AA62FC51AAE}" destId="{4E6A66B9-0987-EE47-974A-009A96A71DCF}" srcOrd="1" destOrd="0" presId="urn:microsoft.com/office/officeart/2005/8/layout/hierarchy2"/>
    <dgm:cxn modelId="{92672D86-2D87-384D-898E-332461A1697F}" type="presParOf" srcId="{19FA6FEB-4725-7E4A-9166-887F8B5FE892}" destId="{0C4172C7-9DB4-914D-A276-C13BEB1A600A}" srcOrd="2" destOrd="0" presId="urn:microsoft.com/office/officeart/2005/8/layout/hierarchy2"/>
    <dgm:cxn modelId="{B89D0E6D-C440-8C43-9D34-39BE0F786130}" type="presParOf" srcId="{0C4172C7-9DB4-914D-A276-C13BEB1A600A}" destId="{4A27A813-107C-A041-8813-708FF1B22E93}" srcOrd="0" destOrd="0" presId="urn:microsoft.com/office/officeart/2005/8/layout/hierarchy2"/>
    <dgm:cxn modelId="{EC76898E-6E74-6049-ADED-96561C4AFD24}" type="presParOf" srcId="{19FA6FEB-4725-7E4A-9166-887F8B5FE892}" destId="{0F0BC325-C183-7342-A15D-0C8521FEA9E7}" srcOrd="3" destOrd="0" presId="urn:microsoft.com/office/officeart/2005/8/layout/hierarchy2"/>
    <dgm:cxn modelId="{B33EC659-A966-334D-BD68-9A3E9F3223CC}" type="presParOf" srcId="{0F0BC325-C183-7342-A15D-0C8521FEA9E7}" destId="{F320D9D0-7F01-1548-965D-40EF486C7BBC}" srcOrd="0" destOrd="0" presId="urn:microsoft.com/office/officeart/2005/8/layout/hierarchy2"/>
    <dgm:cxn modelId="{40C93204-47D0-F947-9193-443AA0CEC187}" type="presParOf" srcId="{0F0BC325-C183-7342-A15D-0C8521FEA9E7}" destId="{279B2093-705D-DE41-AF49-00F7C19912BE}" srcOrd="1" destOrd="0" presId="urn:microsoft.com/office/officeart/2005/8/layout/hierarchy2"/>
    <dgm:cxn modelId="{A2CACCB7-2FF0-B94F-AC2C-FA2E6FADED77}" type="presParOf" srcId="{279B2093-705D-DE41-AF49-00F7C19912BE}" destId="{4553EEA1-A8A8-7440-88DC-11EE28F2572D}" srcOrd="0" destOrd="0" presId="urn:microsoft.com/office/officeart/2005/8/layout/hierarchy2"/>
    <dgm:cxn modelId="{AB6CE14C-9616-6147-8CD5-9C1B96700EF3}" type="presParOf" srcId="{4553EEA1-A8A8-7440-88DC-11EE28F2572D}" destId="{927D58C8-F53E-2D45-8F53-384800B18F4D}" srcOrd="0" destOrd="0" presId="urn:microsoft.com/office/officeart/2005/8/layout/hierarchy2"/>
    <dgm:cxn modelId="{7FFFF381-8D6F-4549-8344-4B0A7C88676B}" type="presParOf" srcId="{279B2093-705D-DE41-AF49-00F7C19912BE}" destId="{BB5A601B-9F88-6446-BC76-9039D456017C}" srcOrd="1" destOrd="0" presId="urn:microsoft.com/office/officeart/2005/8/layout/hierarchy2"/>
    <dgm:cxn modelId="{26573151-8E17-5C4F-92D4-CCB2E52464EE}" type="presParOf" srcId="{BB5A601B-9F88-6446-BC76-9039D456017C}" destId="{989B0A97-4446-D448-A9AF-54FECBDCBC30}" srcOrd="0" destOrd="0" presId="urn:microsoft.com/office/officeart/2005/8/layout/hierarchy2"/>
    <dgm:cxn modelId="{4EB42A46-6D61-0B44-A5DC-F43EE8255EC6}" type="presParOf" srcId="{BB5A601B-9F88-6446-BC76-9039D456017C}" destId="{1527CD4F-6D8F-1349-B497-B33AA440B1C4}" srcOrd="1" destOrd="0" presId="urn:microsoft.com/office/officeart/2005/8/layout/hierarchy2"/>
    <dgm:cxn modelId="{9C6168CC-F4ED-924A-A084-E256034FF6EA}" type="presParOf" srcId="{19FA6FEB-4725-7E4A-9166-887F8B5FE892}" destId="{E27105C7-7281-C64A-9831-AAAB61B940CE}" srcOrd="4" destOrd="0" presId="urn:microsoft.com/office/officeart/2005/8/layout/hierarchy2"/>
    <dgm:cxn modelId="{84C6451D-F993-654A-8C3C-6F12DF534BDB}" type="presParOf" srcId="{E27105C7-7281-C64A-9831-AAAB61B940CE}" destId="{8E197325-27EB-FB4C-8C0D-5F6939C8F4FC}" srcOrd="0" destOrd="0" presId="urn:microsoft.com/office/officeart/2005/8/layout/hierarchy2"/>
    <dgm:cxn modelId="{B568BDA3-0067-274A-A4AB-6300416BD4EA}" type="presParOf" srcId="{19FA6FEB-4725-7E4A-9166-887F8B5FE892}" destId="{494B9EBC-FCAD-7544-A645-10B0E055969D}" srcOrd="5" destOrd="0" presId="urn:microsoft.com/office/officeart/2005/8/layout/hierarchy2"/>
    <dgm:cxn modelId="{DF1DCCF3-950C-1F42-A56A-C64DFF888385}" type="presParOf" srcId="{494B9EBC-FCAD-7544-A645-10B0E055969D}" destId="{1ED7ED7A-E93E-564E-9064-123818CF45F4}" srcOrd="0" destOrd="0" presId="urn:microsoft.com/office/officeart/2005/8/layout/hierarchy2"/>
    <dgm:cxn modelId="{DE4084E2-9C5A-7E46-AAC8-533833EB75A4}" type="presParOf" srcId="{494B9EBC-FCAD-7544-A645-10B0E055969D}" destId="{91E21207-4DAA-9F4A-A55B-79CFEC364B71}" srcOrd="1" destOrd="0" presId="urn:microsoft.com/office/officeart/2005/8/layout/hierarchy2"/>
    <dgm:cxn modelId="{A0C5DC03-8400-5443-8D1E-77094A1840CA}" type="presParOf" srcId="{91E21207-4DAA-9F4A-A55B-79CFEC364B71}" destId="{D36CFD56-BD0E-B044-ADCE-6688BBC9DBA5}" srcOrd="0" destOrd="0" presId="urn:microsoft.com/office/officeart/2005/8/layout/hierarchy2"/>
    <dgm:cxn modelId="{E169D84D-C9BD-324E-8812-42CD36A48A8F}" type="presParOf" srcId="{D36CFD56-BD0E-B044-ADCE-6688BBC9DBA5}" destId="{2E4036A1-DD4D-1F44-9D66-D1F4E5B4A639}" srcOrd="0" destOrd="0" presId="urn:microsoft.com/office/officeart/2005/8/layout/hierarchy2"/>
    <dgm:cxn modelId="{789A8EA9-91F8-7D4B-9B4B-B36AEDA31EBB}" type="presParOf" srcId="{91E21207-4DAA-9F4A-A55B-79CFEC364B71}" destId="{E18E144E-E7F0-0043-80BC-1571E73D50BC}" srcOrd="1" destOrd="0" presId="urn:microsoft.com/office/officeart/2005/8/layout/hierarchy2"/>
    <dgm:cxn modelId="{F741729D-523B-9746-B698-5876015DD128}" type="presParOf" srcId="{E18E144E-E7F0-0043-80BC-1571E73D50BC}" destId="{761A2CF9-A2B8-5340-B453-DC6238448CAE}" srcOrd="0" destOrd="0" presId="urn:microsoft.com/office/officeart/2005/8/layout/hierarchy2"/>
    <dgm:cxn modelId="{55A32549-2207-E742-8217-7B660A377E50}" type="presParOf" srcId="{E18E144E-E7F0-0043-80BC-1571E73D50BC}" destId="{7DB84D48-EB07-9840-8FCD-D1FB6679D331}" srcOrd="1" destOrd="0" presId="urn:microsoft.com/office/officeart/2005/8/layout/hierarchy2"/>
    <dgm:cxn modelId="{76F86E0E-7920-564B-8D7A-53185309ACD6}" type="presParOf" srcId="{91E21207-4DAA-9F4A-A55B-79CFEC364B71}" destId="{5B2610B4-338E-5C45-891C-0C97C0F109A7}" srcOrd="2" destOrd="0" presId="urn:microsoft.com/office/officeart/2005/8/layout/hierarchy2"/>
    <dgm:cxn modelId="{D3266E2F-DA4A-B34A-A0D8-572798AE7D4E}" type="presParOf" srcId="{5B2610B4-338E-5C45-891C-0C97C0F109A7}" destId="{88F5CBB7-7350-3F49-8E20-640E4F431EB4}" srcOrd="0" destOrd="0" presId="urn:microsoft.com/office/officeart/2005/8/layout/hierarchy2"/>
    <dgm:cxn modelId="{1625DB86-88F5-8947-B468-58B87CEE0C0F}" type="presParOf" srcId="{91E21207-4DAA-9F4A-A55B-79CFEC364B71}" destId="{4F747D2C-6898-8048-A6B2-6A9BE82A1E88}" srcOrd="3" destOrd="0" presId="urn:microsoft.com/office/officeart/2005/8/layout/hierarchy2"/>
    <dgm:cxn modelId="{02FE767D-207C-5E4A-9274-74726055D7AA}" type="presParOf" srcId="{4F747D2C-6898-8048-A6B2-6A9BE82A1E88}" destId="{4674158E-C081-394D-AF31-F101D99CD1CF}" srcOrd="0" destOrd="0" presId="urn:microsoft.com/office/officeart/2005/8/layout/hierarchy2"/>
    <dgm:cxn modelId="{3F97C882-278E-1743-A089-43A6B9D95630}" type="presParOf" srcId="{4F747D2C-6898-8048-A6B2-6A9BE82A1E88}" destId="{10AF9B0B-C1F8-A34E-9879-0B77DDBD3910}" srcOrd="1" destOrd="0" presId="urn:microsoft.com/office/officeart/2005/8/layout/hierarchy2"/>
  </dgm:cxnLst>
  <dgm:bg/>
  <dgm:whole/>
  <dgm:extLst>
    <a:ext uri="http://schemas.microsoft.com/office/drawing/2008/diagram">
      <dsp:dataModelExt xmlns:dsp="http://schemas.microsoft.com/office/drawing/2008/diagram" relId="rId240" minVer="http://schemas.openxmlformats.org/drawingml/2006/diagram"/>
    </a:ext>
    <a:ext uri="{C62137D5-CB1D-491B-B009-E17868A290BF}">
      <dgm14:recolorImg xmlns:dgm14="http://schemas.microsoft.com/office/drawing/2010/diagram" val="1"/>
    </a:ext>
  </dgm:extLst>
</dgm:dataModel>
</file>

<file path=word/diagrams/data33.xml><?xml version="1.0" encoding="utf-8"?>
<dgm:dataModel xmlns:dgm="http://schemas.openxmlformats.org/drawingml/2006/diagram" xmlns:a="http://schemas.openxmlformats.org/drawingml/2006/main">
  <dgm:ptLst>
    <dgm:pt modelId="{9BB87662-E99E-1340-874A-DCD57EA99839}" type="doc">
      <dgm:prSet loTypeId="urn:microsoft.com/office/officeart/2005/8/layout/radial1" loCatId="" qsTypeId="urn:microsoft.com/office/officeart/2005/8/quickstyle/simple4" qsCatId="simple" csTypeId="urn:microsoft.com/office/officeart/2005/8/colors/colorful3" csCatId="colorful" phldr="1"/>
      <dgm:spPr/>
      <dgm:t>
        <a:bodyPr/>
        <a:lstStyle/>
        <a:p>
          <a:endParaRPr lang="en-US"/>
        </a:p>
      </dgm:t>
    </dgm:pt>
    <dgm:pt modelId="{D97FCEFB-27E8-0B41-865A-2DD3B71A0F11}">
      <dgm:prSet phldrT="[Text]"/>
      <dgm:spPr/>
      <dgm:t>
        <a:bodyPr/>
        <a:lstStyle/>
        <a:p>
          <a:r>
            <a:rPr lang="en-US"/>
            <a:t>Culture &amp; hidden curriculum</a:t>
          </a:r>
        </a:p>
      </dgm:t>
    </dgm:pt>
    <dgm:pt modelId="{E52AECA4-551C-A842-A7DD-8A6FCDBD5BC6}" type="parTrans" cxnId="{7ACE54B2-53A4-C24F-AC33-8C110D785F23}">
      <dgm:prSet/>
      <dgm:spPr/>
      <dgm:t>
        <a:bodyPr/>
        <a:lstStyle/>
        <a:p>
          <a:endParaRPr lang="en-US"/>
        </a:p>
      </dgm:t>
    </dgm:pt>
    <dgm:pt modelId="{F3C073C5-3A27-CE47-9577-9F42435871B3}" type="sibTrans" cxnId="{7ACE54B2-53A4-C24F-AC33-8C110D785F23}">
      <dgm:prSet/>
      <dgm:spPr/>
      <dgm:t>
        <a:bodyPr/>
        <a:lstStyle/>
        <a:p>
          <a:endParaRPr lang="en-US"/>
        </a:p>
      </dgm:t>
    </dgm:pt>
    <dgm:pt modelId="{8D3F060D-E007-9549-B8B7-C31A73F82463}">
      <dgm:prSet phldrT="[Text]"/>
      <dgm:spPr/>
      <dgm:t>
        <a:bodyPr/>
        <a:lstStyle/>
        <a:p>
          <a:r>
            <a:rPr lang="en-US"/>
            <a:t>Blame culture</a:t>
          </a:r>
        </a:p>
      </dgm:t>
    </dgm:pt>
    <dgm:pt modelId="{30A47BBE-1B0F-CB42-963D-094D6C27D62B}" type="parTrans" cxnId="{2C5D6C49-8725-1B47-A8EA-A3A35ED6DDC5}">
      <dgm:prSet/>
      <dgm:spPr/>
      <dgm:t>
        <a:bodyPr/>
        <a:lstStyle/>
        <a:p>
          <a:endParaRPr lang="en-US"/>
        </a:p>
      </dgm:t>
    </dgm:pt>
    <dgm:pt modelId="{79F9593E-2814-9D40-BC76-BAA04DE75F3D}" type="sibTrans" cxnId="{2C5D6C49-8725-1B47-A8EA-A3A35ED6DDC5}">
      <dgm:prSet/>
      <dgm:spPr/>
      <dgm:t>
        <a:bodyPr/>
        <a:lstStyle/>
        <a:p>
          <a:endParaRPr lang="en-US"/>
        </a:p>
      </dgm:t>
    </dgm:pt>
    <dgm:pt modelId="{0732CC1E-96E3-7745-B758-B152013BE99D}">
      <dgm:prSet phldrT="[Text]"/>
      <dgm:spPr/>
      <dgm:t>
        <a:bodyPr/>
        <a:lstStyle/>
        <a:p>
          <a:r>
            <a:rPr lang="en-US"/>
            <a:t>Failure to learn from mistakes</a:t>
          </a:r>
        </a:p>
      </dgm:t>
    </dgm:pt>
    <dgm:pt modelId="{C0054C26-2481-664B-88F7-AFB68AE879D8}" type="parTrans" cxnId="{F29918D6-DE57-824E-BF54-27E044410408}">
      <dgm:prSet/>
      <dgm:spPr/>
      <dgm:t>
        <a:bodyPr/>
        <a:lstStyle/>
        <a:p>
          <a:endParaRPr lang="en-US"/>
        </a:p>
      </dgm:t>
    </dgm:pt>
    <dgm:pt modelId="{3C158031-8108-A241-8F6E-B5F3056627AF}" type="sibTrans" cxnId="{F29918D6-DE57-824E-BF54-27E044410408}">
      <dgm:prSet/>
      <dgm:spPr/>
      <dgm:t>
        <a:bodyPr/>
        <a:lstStyle/>
        <a:p>
          <a:endParaRPr lang="en-US"/>
        </a:p>
      </dgm:t>
    </dgm:pt>
    <dgm:pt modelId="{FD14C59B-77CD-1448-85BB-42C324668460}">
      <dgm:prSet phldrT="[Text]"/>
      <dgm:spPr/>
      <dgm:t>
        <a:bodyPr/>
        <a:lstStyle/>
        <a:p>
          <a:r>
            <a:rPr lang="en-US"/>
            <a:t>Sanitisation of the NHS</a:t>
          </a:r>
        </a:p>
      </dgm:t>
    </dgm:pt>
    <dgm:pt modelId="{C5951D80-6B8B-2F45-BFC7-AE2B0EEC8990}" type="parTrans" cxnId="{25DD44CF-3E19-8345-B41D-428B9807802E}">
      <dgm:prSet/>
      <dgm:spPr/>
      <dgm:t>
        <a:bodyPr/>
        <a:lstStyle/>
        <a:p>
          <a:endParaRPr lang="en-US"/>
        </a:p>
      </dgm:t>
    </dgm:pt>
    <dgm:pt modelId="{EBBE52BD-6703-DC40-9E85-8A02D0B94E95}" type="sibTrans" cxnId="{25DD44CF-3E19-8345-B41D-428B9807802E}">
      <dgm:prSet/>
      <dgm:spPr/>
      <dgm:t>
        <a:bodyPr/>
        <a:lstStyle/>
        <a:p>
          <a:endParaRPr lang="en-US"/>
        </a:p>
      </dgm:t>
    </dgm:pt>
    <dgm:pt modelId="{899AF13C-EE38-984B-9789-2D06FBA298C2}">
      <dgm:prSet phldrT="[Text]"/>
      <dgm:spPr/>
      <dgm:t>
        <a:bodyPr/>
        <a:lstStyle/>
        <a:p>
          <a:r>
            <a:rPr lang="en-US"/>
            <a:t>Knowledge as currency</a:t>
          </a:r>
        </a:p>
      </dgm:t>
    </dgm:pt>
    <dgm:pt modelId="{728D7C0E-6164-8340-BEEF-902A5E929433}" type="parTrans" cxnId="{EA9E735E-DA9D-E54A-8EE5-DD4A93520611}">
      <dgm:prSet/>
      <dgm:spPr/>
      <dgm:t>
        <a:bodyPr/>
        <a:lstStyle/>
        <a:p>
          <a:endParaRPr lang="en-US"/>
        </a:p>
      </dgm:t>
    </dgm:pt>
    <dgm:pt modelId="{243339EC-F342-6740-9D2F-9CC9D2E79B4F}" type="sibTrans" cxnId="{EA9E735E-DA9D-E54A-8EE5-DD4A93520611}">
      <dgm:prSet/>
      <dgm:spPr/>
      <dgm:t>
        <a:bodyPr/>
        <a:lstStyle/>
        <a:p>
          <a:endParaRPr lang="en-US"/>
        </a:p>
      </dgm:t>
    </dgm:pt>
    <dgm:pt modelId="{74E3FBD7-6040-A442-8695-14759B165DB9}">
      <dgm:prSet phldrT="[Text]"/>
      <dgm:spPr/>
      <dgm:t>
        <a:bodyPr/>
        <a:lstStyle/>
        <a:p>
          <a:r>
            <a:rPr lang="en-US"/>
            <a:t>Hierarchy</a:t>
          </a:r>
        </a:p>
      </dgm:t>
    </dgm:pt>
    <dgm:pt modelId="{AA2FAC8B-0067-FD48-BA83-55DF072B7B84}" type="parTrans" cxnId="{1ED5164D-CA34-F04F-AE2F-6487F33A2402}">
      <dgm:prSet/>
      <dgm:spPr/>
      <dgm:t>
        <a:bodyPr/>
        <a:lstStyle/>
        <a:p>
          <a:endParaRPr lang="en-US"/>
        </a:p>
      </dgm:t>
    </dgm:pt>
    <dgm:pt modelId="{6C37CC98-7340-2248-9D09-1284F2953A5C}" type="sibTrans" cxnId="{1ED5164D-CA34-F04F-AE2F-6487F33A2402}">
      <dgm:prSet/>
      <dgm:spPr/>
      <dgm:t>
        <a:bodyPr/>
        <a:lstStyle/>
        <a:p>
          <a:endParaRPr lang="en-US"/>
        </a:p>
      </dgm:t>
    </dgm:pt>
    <dgm:pt modelId="{4BED0CAB-9EE6-624E-827F-E2DC7F992CCA}">
      <dgm:prSet phldrT="[Text]"/>
      <dgm:spPr/>
      <dgm:t>
        <a:bodyPr/>
        <a:lstStyle/>
        <a:p>
          <a:r>
            <a:rPr lang="en-US"/>
            <a:t>Failure to recognise human falibility</a:t>
          </a:r>
        </a:p>
      </dgm:t>
    </dgm:pt>
    <dgm:pt modelId="{CDB51218-DB8E-C142-88C9-C1E55045338D}" type="parTrans" cxnId="{F16F1411-BD1C-F047-95A2-EB32D2A3C777}">
      <dgm:prSet/>
      <dgm:spPr/>
      <dgm:t>
        <a:bodyPr/>
        <a:lstStyle/>
        <a:p>
          <a:endParaRPr lang="en-US"/>
        </a:p>
      </dgm:t>
    </dgm:pt>
    <dgm:pt modelId="{36025213-72CE-8946-A4B7-2317220ED935}" type="sibTrans" cxnId="{F16F1411-BD1C-F047-95A2-EB32D2A3C777}">
      <dgm:prSet/>
      <dgm:spPr/>
      <dgm:t>
        <a:bodyPr/>
        <a:lstStyle/>
        <a:p>
          <a:endParaRPr lang="en-US"/>
        </a:p>
      </dgm:t>
    </dgm:pt>
    <dgm:pt modelId="{6644304C-57C3-1E48-AC41-7D97B5407730}">
      <dgm:prSet phldrT="[Text]"/>
      <dgm:spPr/>
      <dgm:t>
        <a:bodyPr/>
        <a:lstStyle/>
        <a:p>
          <a:r>
            <a:rPr lang="en-US"/>
            <a:t>Superficial investigation &amp; incident reporting</a:t>
          </a:r>
        </a:p>
      </dgm:t>
    </dgm:pt>
    <dgm:pt modelId="{D8326E87-897D-894A-A148-40A9008DE9E4}" type="parTrans" cxnId="{2FA586FB-66F9-184E-B377-DC64AC4A516C}">
      <dgm:prSet/>
      <dgm:spPr/>
      <dgm:t>
        <a:bodyPr/>
        <a:lstStyle/>
        <a:p>
          <a:endParaRPr lang="en-US"/>
        </a:p>
      </dgm:t>
    </dgm:pt>
    <dgm:pt modelId="{FAFE22E0-E83C-6F4A-876D-A9001EDC27F6}" type="sibTrans" cxnId="{2FA586FB-66F9-184E-B377-DC64AC4A516C}">
      <dgm:prSet/>
      <dgm:spPr/>
      <dgm:t>
        <a:bodyPr/>
        <a:lstStyle/>
        <a:p>
          <a:endParaRPr lang="en-US"/>
        </a:p>
      </dgm:t>
    </dgm:pt>
    <dgm:pt modelId="{BE36D3A8-E111-BF4D-A442-120511534055}">
      <dgm:prSet phldrT="[Text]"/>
      <dgm:spPr/>
      <dgm:t>
        <a:bodyPr/>
        <a:lstStyle/>
        <a:p>
          <a:r>
            <a:rPr lang="en-US"/>
            <a:t>Compartmentalised learning</a:t>
          </a:r>
        </a:p>
      </dgm:t>
    </dgm:pt>
    <dgm:pt modelId="{246E8E51-F5A5-A64B-BDF5-9CF80FA2A9F9}" type="parTrans" cxnId="{0B64C850-D4B1-3A4C-969E-0BD30D788884}">
      <dgm:prSet/>
      <dgm:spPr/>
      <dgm:t>
        <a:bodyPr/>
        <a:lstStyle/>
        <a:p>
          <a:endParaRPr lang="en-US"/>
        </a:p>
      </dgm:t>
    </dgm:pt>
    <dgm:pt modelId="{D17A6D01-F45B-1D48-B85B-FF45E2A714E9}" type="sibTrans" cxnId="{0B64C850-D4B1-3A4C-969E-0BD30D788884}">
      <dgm:prSet/>
      <dgm:spPr/>
      <dgm:t>
        <a:bodyPr/>
        <a:lstStyle/>
        <a:p>
          <a:endParaRPr lang="en-US"/>
        </a:p>
      </dgm:t>
    </dgm:pt>
    <dgm:pt modelId="{73065FDE-BF66-5B45-8154-50A7C82FC27D}">
      <dgm:prSet phldrT="[Text]"/>
      <dgm:spPr/>
      <dgm:t>
        <a:bodyPr/>
        <a:lstStyle/>
        <a:p>
          <a:r>
            <a:rPr lang="en-US"/>
            <a:t>Professions learn in silos</a:t>
          </a:r>
        </a:p>
      </dgm:t>
    </dgm:pt>
    <dgm:pt modelId="{99D03FB9-BB44-0944-B8B2-2BC91B1095D0}" type="parTrans" cxnId="{248D3B16-B15E-344B-AC62-17EFD400B9B2}">
      <dgm:prSet/>
      <dgm:spPr/>
      <dgm:t>
        <a:bodyPr/>
        <a:lstStyle/>
        <a:p>
          <a:endParaRPr lang="en-US"/>
        </a:p>
      </dgm:t>
    </dgm:pt>
    <dgm:pt modelId="{F82A4839-CD89-AD41-B023-190D0C6503C6}" type="sibTrans" cxnId="{248D3B16-B15E-344B-AC62-17EFD400B9B2}">
      <dgm:prSet/>
      <dgm:spPr/>
      <dgm:t>
        <a:bodyPr/>
        <a:lstStyle/>
        <a:p>
          <a:endParaRPr lang="en-US"/>
        </a:p>
      </dgm:t>
    </dgm:pt>
    <dgm:pt modelId="{5D263B81-61A8-F947-A7B8-624EF3676E2F}">
      <dgm:prSet phldrT="[Text]"/>
      <dgm:spPr/>
      <dgm:t>
        <a:bodyPr/>
        <a:lstStyle/>
        <a:p>
          <a:r>
            <a:rPr lang="en-US"/>
            <a:t>Public perceptions &amp; expectations</a:t>
          </a:r>
        </a:p>
      </dgm:t>
    </dgm:pt>
    <dgm:pt modelId="{8F712B30-5741-D243-9356-2EC7A14F4FD2}" type="parTrans" cxnId="{E6A07A9C-7BD1-9549-8E41-8F7E88A7B74D}">
      <dgm:prSet/>
      <dgm:spPr/>
      <dgm:t>
        <a:bodyPr/>
        <a:lstStyle/>
        <a:p>
          <a:endParaRPr lang="en-US"/>
        </a:p>
      </dgm:t>
    </dgm:pt>
    <dgm:pt modelId="{1DACB9C2-ACC2-364E-AC69-9300C12B1BCB}" type="sibTrans" cxnId="{E6A07A9C-7BD1-9549-8E41-8F7E88A7B74D}">
      <dgm:prSet/>
      <dgm:spPr/>
      <dgm:t>
        <a:bodyPr/>
        <a:lstStyle/>
        <a:p>
          <a:endParaRPr lang="en-US"/>
        </a:p>
      </dgm:t>
    </dgm:pt>
    <dgm:pt modelId="{18F5DC1D-E01D-3F42-A246-0B1D72496613}">
      <dgm:prSet phldrT="[Text]"/>
      <dgm:spPr/>
      <dgm:t>
        <a:bodyPr/>
        <a:lstStyle/>
        <a:p>
          <a:r>
            <a:rPr lang="en-US"/>
            <a:t>Sterotypes</a:t>
          </a:r>
        </a:p>
      </dgm:t>
    </dgm:pt>
    <dgm:pt modelId="{B4A2670D-E98E-154D-9623-F882875D2143}" type="parTrans" cxnId="{C353AA7B-8BEA-7F44-93B9-D25D88037BA7}">
      <dgm:prSet/>
      <dgm:spPr/>
      <dgm:t>
        <a:bodyPr/>
        <a:lstStyle/>
        <a:p>
          <a:endParaRPr lang="en-US"/>
        </a:p>
      </dgm:t>
    </dgm:pt>
    <dgm:pt modelId="{BC77ABB1-CA41-934F-B840-8746F403B5F1}" type="sibTrans" cxnId="{C353AA7B-8BEA-7F44-93B9-D25D88037BA7}">
      <dgm:prSet/>
      <dgm:spPr/>
      <dgm:t>
        <a:bodyPr/>
        <a:lstStyle/>
        <a:p>
          <a:endParaRPr lang="en-US"/>
        </a:p>
      </dgm:t>
    </dgm:pt>
    <dgm:pt modelId="{232B26D0-0B3C-574E-8C6B-0A95F1869C3C}">
      <dgm:prSet phldrT="[Text]"/>
      <dgm:spPr/>
      <dgm:t>
        <a:bodyPr/>
        <a:lstStyle/>
        <a:p>
          <a:r>
            <a:rPr lang="en-US"/>
            <a:t>Lact of respect, understanding of roles &amp; responsibility</a:t>
          </a:r>
        </a:p>
      </dgm:t>
    </dgm:pt>
    <dgm:pt modelId="{E4C84942-DCB1-BD44-863C-AA9FDE2E5836}" type="parTrans" cxnId="{E02F0E35-98BA-2E44-989B-349C36721400}">
      <dgm:prSet/>
      <dgm:spPr/>
      <dgm:t>
        <a:bodyPr/>
        <a:lstStyle/>
        <a:p>
          <a:endParaRPr lang="en-US"/>
        </a:p>
      </dgm:t>
    </dgm:pt>
    <dgm:pt modelId="{C3A74762-9730-F44B-8C23-D54D085B8C81}" type="sibTrans" cxnId="{E02F0E35-98BA-2E44-989B-349C36721400}">
      <dgm:prSet/>
      <dgm:spPr/>
      <dgm:t>
        <a:bodyPr/>
        <a:lstStyle/>
        <a:p>
          <a:endParaRPr lang="en-US"/>
        </a:p>
      </dgm:t>
    </dgm:pt>
    <dgm:pt modelId="{8A4D4BB9-5B30-934E-AA09-7DF95BFFE5CB}">
      <dgm:prSet phldrT="[Text]"/>
      <dgm:spPr/>
      <dgm:t>
        <a:bodyPr/>
        <a:lstStyle/>
        <a:p>
          <a:r>
            <a:rPr lang="en-US"/>
            <a:t>Separation of technical vs non technical skills</a:t>
          </a:r>
        </a:p>
      </dgm:t>
    </dgm:pt>
    <dgm:pt modelId="{2415095D-63DA-FF41-8873-4530CDCCDB3F}" type="parTrans" cxnId="{7CFFD4B2-11E7-2C4A-A356-17F32D5E35E1}">
      <dgm:prSet/>
      <dgm:spPr/>
      <dgm:t>
        <a:bodyPr/>
        <a:lstStyle/>
        <a:p>
          <a:endParaRPr lang="en-US"/>
        </a:p>
      </dgm:t>
    </dgm:pt>
    <dgm:pt modelId="{9B98EFE6-EF35-F14A-83B4-8F5D27AFF1EB}" type="sibTrans" cxnId="{7CFFD4B2-11E7-2C4A-A356-17F32D5E35E1}">
      <dgm:prSet/>
      <dgm:spPr/>
      <dgm:t>
        <a:bodyPr/>
        <a:lstStyle/>
        <a:p>
          <a:endParaRPr lang="en-US"/>
        </a:p>
      </dgm:t>
    </dgm:pt>
    <dgm:pt modelId="{DA47427F-35C7-4B42-A542-CE74C0BB3F07}">
      <dgm:prSet/>
      <dgm:spPr/>
      <dgm:t>
        <a:bodyPr/>
        <a:lstStyle/>
        <a:p>
          <a:r>
            <a:rPr lang="en-US"/>
            <a:t>Excellence with reducing resources</a:t>
          </a:r>
        </a:p>
      </dgm:t>
    </dgm:pt>
    <dgm:pt modelId="{8D1DD0CF-4888-4545-99CA-464B980C6268}" type="parTrans" cxnId="{1A6EFBD6-99B1-FD4E-BD7C-CEB8F6A147A5}">
      <dgm:prSet/>
      <dgm:spPr/>
      <dgm:t>
        <a:bodyPr/>
        <a:lstStyle/>
        <a:p>
          <a:endParaRPr lang="en-US"/>
        </a:p>
      </dgm:t>
    </dgm:pt>
    <dgm:pt modelId="{78D9A177-CEFE-7C40-B2D9-C88D7FE12DB2}" type="sibTrans" cxnId="{1A6EFBD6-99B1-FD4E-BD7C-CEB8F6A147A5}">
      <dgm:prSet/>
      <dgm:spPr/>
      <dgm:t>
        <a:bodyPr/>
        <a:lstStyle/>
        <a:p>
          <a:endParaRPr lang="en-US"/>
        </a:p>
      </dgm:t>
    </dgm:pt>
    <dgm:pt modelId="{D6B0FF3F-EBDF-1B4C-A70C-70A3D21569AE}">
      <dgm:prSet/>
      <dgm:spPr/>
      <dgm:t>
        <a:bodyPr/>
        <a:lstStyle/>
        <a:p>
          <a:r>
            <a:rPr lang="en-US"/>
            <a:t>Less tolerance of error</a:t>
          </a:r>
        </a:p>
      </dgm:t>
    </dgm:pt>
    <dgm:pt modelId="{CFF0BDEC-0F2C-0A48-A127-3A3271E46929}" type="parTrans" cxnId="{9BA5A2B2-1AB7-C04F-BE7B-97FB58098BA2}">
      <dgm:prSet/>
      <dgm:spPr/>
      <dgm:t>
        <a:bodyPr/>
        <a:lstStyle/>
        <a:p>
          <a:endParaRPr lang="en-US"/>
        </a:p>
      </dgm:t>
    </dgm:pt>
    <dgm:pt modelId="{6944AF1F-0C94-594C-A8DC-51B763A78661}" type="sibTrans" cxnId="{9BA5A2B2-1AB7-C04F-BE7B-97FB58098BA2}">
      <dgm:prSet/>
      <dgm:spPr/>
      <dgm:t>
        <a:bodyPr/>
        <a:lstStyle/>
        <a:p>
          <a:endParaRPr lang="en-US"/>
        </a:p>
      </dgm:t>
    </dgm:pt>
    <dgm:pt modelId="{4CFB7D1B-2DC0-814A-9D68-166CFE1C326C}">
      <dgm:prSet/>
      <dgm:spPr/>
      <dgm:t>
        <a:bodyPr/>
        <a:lstStyle/>
        <a:p>
          <a:r>
            <a:rPr lang="en-US"/>
            <a:t>Assumption safety measures are in place</a:t>
          </a:r>
        </a:p>
      </dgm:t>
    </dgm:pt>
    <dgm:pt modelId="{76163554-C4EE-AE42-AD72-EEAE74C98347}" type="parTrans" cxnId="{0E36CD9D-6945-2449-A348-CE0C3770540B}">
      <dgm:prSet/>
      <dgm:spPr/>
      <dgm:t>
        <a:bodyPr/>
        <a:lstStyle/>
        <a:p>
          <a:endParaRPr lang="en-US"/>
        </a:p>
      </dgm:t>
    </dgm:pt>
    <dgm:pt modelId="{140EA099-F910-6846-9665-24CCB1B0E8A8}" type="sibTrans" cxnId="{0E36CD9D-6945-2449-A348-CE0C3770540B}">
      <dgm:prSet/>
      <dgm:spPr/>
      <dgm:t>
        <a:bodyPr/>
        <a:lstStyle/>
        <a:p>
          <a:endParaRPr lang="en-US"/>
        </a:p>
      </dgm:t>
    </dgm:pt>
    <dgm:pt modelId="{7606930B-4457-3B46-BE98-0F056F41FC06}">
      <dgm:prSet phldrT="[Text]"/>
      <dgm:spPr/>
      <dgm:t>
        <a:bodyPr/>
        <a:lstStyle/>
        <a:p>
          <a:r>
            <a:rPr lang="en-US"/>
            <a:t>Learned helplessness</a:t>
          </a:r>
        </a:p>
      </dgm:t>
    </dgm:pt>
    <dgm:pt modelId="{9EEF52A6-6068-5F4C-9C24-3F8740ABC344}" type="parTrans" cxnId="{AC9FE363-CBE5-7E49-980E-E1BC920604B7}">
      <dgm:prSet/>
      <dgm:spPr/>
      <dgm:t>
        <a:bodyPr/>
        <a:lstStyle/>
        <a:p>
          <a:endParaRPr lang="en-US"/>
        </a:p>
      </dgm:t>
    </dgm:pt>
    <dgm:pt modelId="{5FF2D90E-3866-8D44-9CC8-801AECAB24D7}" type="sibTrans" cxnId="{AC9FE363-CBE5-7E49-980E-E1BC920604B7}">
      <dgm:prSet/>
      <dgm:spPr/>
      <dgm:t>
        <a:bodyPr/>
        <a:lstStyle/>
        <a:p>
          <a:endParaRPr lang="en-US"/>
        </a:p>
      </dgm:t>
    </dgm:pt>
    <dgm:pt modelId="{76C996E6-1879-1D49-B58C-1186D4164525}">
      <dgm:prSet phldrT="[Text]"/>
      <dgm:spPr/>
      <dgm:t>
        <a:bodyPr/>
        <a:lstStyle/>
        <a:p>
          <a:r>
            <a:rPr lang="en-US"/>
            <a:t>'People die in hospitals'</a:t>
          </a:r>
        </a:p>
      </dgm:t>
    </dgm:pt>
    <dgm:pt modelId="{3602767E-4AB6-5C4B-8D2C-391C9CC48DE0}" type="parTrans" cxnId="{744FDA69-3CCB-6647-AB50-90D8B67D0763}">
      <dgm:prSet/>
      <dgm:spPr/>
      <dgm:t>
        <a:bodyPr/>
        <a:lstStyle/>
        <a:p>
          <a:endParaRPr lang="en-US"/>
        </a:p>
      </dgm:t>
    </dgm:pt>
    <dgm:pt modelId="{C712E2DB-6D86-1F46-859F-0203A3F3283E}" type="sibTrans" cxnId="{744FDA69-3CCB-6647-AB50-90D8B67D0763}">
      <dgm:prSet/>
      <dgm:spPr/>
      <dgm:t>
        <a:bodyPr/>
        <a:lstStyle/>
        <a:p>
          <a:endParaRPr lang="en-US"/>
        </a:p>
      </dgm:t>
    </dgm:pt>
    <dgm:pt modelId="{8B060FDC-6A3A-0847-A121-092F17A43A09}">
      <dgm:prSet phldrT="[Text]"/>
      <dgm:spPr/>
      <dgm:t>
        <a:bodyPr/>
        <a:lstStyle/>
        <a:p>
          <a:r>
            <a:rPr lang="en-US"/>
            <a:t>Huge organisation - 'can't make a difference'</a:t>
          </a:r>
        </a:p>
      </dgm:t>
    </dgm:pt>
    <dgm:pt modelId="{5A67BEB8-EACC-1141-A8AE-EEA1B757C522}" type="parTrans" cxnId="{32FB26BE-FC73-C54D-8E3F-9980F41BAD8F}">
      <dgm:prSet/>
      <dgm:spPr/>
      <dgm:t>
        <a:bodyPr/>
        <a:lstStyle/>
        <a:p>
          <a:endParaRPr lang="en-US"/>
        </a:p>
      </dgm:t>
    </dgm:pt>
    <dgm:pt modelId="{4BC1F20B-ADED-1944-BCF3-F3027BBD935E}" type="sibTrans" cxnId="{32FB26BE-FC73-C54D-8E3F-9980F41BAD8F}">
      <dgm:prSet/>
      <dgm:spPr/>
      <dgm:t>
        <a:bodyPr/>
        <a:lstStyle/>
        <a:p>
          <a:endParaRPr lang="en-US"/>
        </a:p>
      </dgm:t>
    </dgm:pt>
    <dgm:pt modelId="{25112D0F-D86E-9B45-82B5-7FDF65A98A01}">
      <dgm:prSet phldrT="[Text]"/>
      <dgm:spPr/>
      <dgm:t>
        <a:bodyPr/>
        <a:lstStyle/>
        <a:p>
          <a:r>
            <a:rPr lang="en-US"/>
            <a:t>'Can't fix everthing'</a:t>
          </a:r>
        </a:p>
      </dgm:t>
    </dgm:pt>
    <dgm:pt modelId="{37CC53F3-2490-E445-A043-0700935902C0}" type="parTrans" cxnId="{97F39AC5-B298-BA44-AC18-E54D9791C0AB}">
      <dgm:prSet/>
      <dgm:spPr/>
      <dgm:t>
        <a:bodyPr/>
        <a:lstStyle/>
        <a:p>
          <a:endParaRPr lang="en-US"/>
        </a:p>
      </dgm:t>
    </dgm:pt>
    <dgm:pt modelId="{222CDABE-43DC-2D43-B492-6C384D02C85A}" type="sibTrans" cxnId="{97F39AC5-B298-BA44-AC18-E54D9791C0AB}">
      <dgm:prSet/>
      <dgm:spPr/>
      <dgm:t>
        <a:bodyPr/>
        <a:lstStyle/>
        <a:p>
          <a:endParaRPr lang="en-US"/>
        </a:p>
      </dgm:t>
    </dgm:pt>
    <dgm:pt modelId="{FCE5947D-1064-C242-8EAE-25A63F569253}">
      <dgm:prSet phldrT="[Text]"/>
      <dgm:spPr/>
      <dgm:t>
        <a:bodyPr/>
        <a:lstStyle/>
        <a:p>
          <a:r>
            <a:rPr lang="en-US"/>
            <a:t>Would omit &gt; acting if unsure</a:t>
          </a:r>
        </a:p>
      </dgm:t>
    </dgm:pt>
    <dgm:pt modelId="{B3C34C55-4211-AA47-933C-2AB1DDCF2C71}" type="parTrans" cxnId="{E5360C02-E6D7-1546-8212-8980470FB83A}">
      <dgm:prSet/>
      <dgm:spPr/>
      <dgm:t>
        <a:bodyPr/>
        <a:lstStyle/>
        <a:p>
          <a:endParaRPr lang="en-US"/>
        </a:p>
      </dgm:t>
    </dgm:pt>
    <dgm:pt modelId="{52DBBFA3-D2D8-6E41-9683-ABE4D3BBF7E0}" type="sibTrans" cxnId="{E5360C02-E6D7-1546-8212-8980470FB83A}">
      <dgm:prSet/>
      <dgm:spPr/>
      <dgm:t>
        <a:bodyPr/>
        <a:lstStyle/>
        <a:p>
          <a:endParaRPr lang="en-US"/>
        </a:p>
      </dgm:t>
    </dgm:pt>
    <dgm:pt modelId="{A1D2869D-6425-3B4E-B1CB-50D3F8434F83}">
      <dgm:prSet phldrT="[Text]"/>
      <dgm:spPr/>
      <dgm:t>
        <a:bodyPr/>
        <a:lstStyle/>
        <a:p>
          <a:r>
            <a:rPr lang="en-US"/>
            <a:t>'Lurch crisis to crisis' 'decision to decision' no learning</a:t>
          </a:r>
        </a:p>
      </dgm:t>
    </dgm:pt>
    <dgm:pt modelId="{0D4E236C-3487-3C4A-AAAA-78E395F2757E}" type="parTrans" cxnId="{20CF1FF5-1E21-F945-88E2-D4F1F41C63D9}">
      <dgm:prSet/>
      <dgm:spPr/>
      <dgm:t>
        <a:bodyPr/>
        <a:lstStyle/>
        <a:p>
          <a:endParaRPr lang="en-US"/>
        </a:p>
      </dgm:t>
    </dgm:pt>
    <dgm:pt modelId="{11EE3944-4125-F94E-890B-0F5813B79106}" type="sibTrans" cxnId="{20CF1FF5-1E21-F945-88E2-D4F1F41C63D9}">
      <dgm:prSet/>
      <dgm:spPr/>
      <dgm:t>
        <a:bodyPr/>
        <a:lstStyle/>
        <a:p>
          <a:endParaRPr lang="en-US"/>
        </a:p>
      </dgm:t>
    </dgm:pt>
    <dgm:pt modelId="{D366DCA5-6C54-784A-B13A-16EA8F6F4BD5}">
      <dgm:prSet phldrT="[Text]"/>
      <dgm:spPr/>
      <dgm:t>
        <a:bodyPr/>
        <a:lstStyle/>
        <a:p>
          <a:r>
            <a:rPr lang="en-US"/>
            <a:t>Ashamed to share mistakes</a:t>
          </a:r>
        </a:p>
      </dgm:t>
    </dgm:pt>
    <dgm:pt modelId="{342DEB78-5FB7-874F-B427-2198F410B67A}" type="parTrans" cxnId="{EFDB8835-188D-154B-944A-383453680070}">
      <dgm:prSet/>
      <dgm:spPr/>
      <dgm:t>
        <a:bodyPr/>
        <a:lstStyle/>
        <a:p>
          <a:endParaRPr lang="en-US"/>
        </a:p>
      </dgm:t>
    </dgm:pt>
    <dgm:pt modelId="{19CD756F-4A8F-D041-91D8-EC915136EE9E}" type="sibTrans" cxnId="{EFDB8835-188D-154B-944A-383453680070}">
      <dgm:prSet/>
      <dgm:spPr/>
      <dgm:t>
        <a:bodyPr/>
        <a:lstStyle/>
        <a:p>
          <a:endParaRPr lang="en-US"/>
        </a:p>
      </dgm:t>
    </dgm:pt>
    <dgm:pt modelId="{7865A4F1-1938-4D44-AADA-66859FDDF45D}">
      <dgm:prSet phldrT="[Text]"/>
      <dgm:spPr/>
      <dgm:t>
        <a:bodyPr/>
        <a:lstStyle/>
        <a:p>
          <a:r>
            <a:rPr lang="en-US"/>
            <a:t>Feel judged, defensive, exposed</a:t>
          </a:r>
        </a:p>
      </dgm:t>
    </dgm:pt>
    <dgm:pt modelId="{277DFB47-6A52-1F45-B1BF-028997745319}" type="parTrans" cxnId="{3D0F86EB-EC08-4548-8C28-7C2CA1931EFB}">
      <dgm:prSet/>
      <dgm:spPr/>
      <dgm:t>
        <a:bodyPr/>
        <a:lstStyle/>
        <a:p>
          <a:endParaRPr lang="en-US"/>
        </a:p>
      </dgm:t>
    </dgm:pt>
    <dgm:pt modelId="{4347CB03-D673-AC45-8CA6-05FDD0C91F22}" type="sibTrans" cxnId="{3D0F86EB-EC08-4548-8C28-7C2CA1931EFB}">
      <dgm:prSet/>
      <dgm:spPr/>
      <dgm:t>
        <a:bodyPr/>
        <a:lstStyle/>
        <a:p>
          <a:endParaRPr lang="en-US"/>
        </a:p>
      </dgm:t>
    </dgm:pt>
    <dgm:pt modelId="{0E44242C-FD68-4142-8BC7-ED42306EC1B6}">
      <dgm:prSet phldrT="[Text]"/>
      <dgm:spPr/>
      <dgm:t>
        <a:bodyPr/>
        <a:lstStyle/>
        <a:p>
          <a:r>
            <a:rPr lang="en-US"/>
            <a:t>Knowledge rewarded over other skills</a:t>
          </a:r>
        </a:p>
      </dgm:t>
    </dgm:pt>
    <dgm:pt modelId="{E73CE01E-FB26-C845-AFAE-42D05208B74E}" type="parTrans" cxnId="{7D0473DD-7502-D940-A5EB-F304BFB34691}">
      <dgm:prSet/>
      <dgm:spPr/>
      <dgm:t>
        <a:bodyPr/>
        <a:lstStyle/>
        <a:p>
          <a:endParaRPr lang="en-US"/>
        </a:p>
      </dgm:t>
    </dgm:pt>
    <dgm:pt modelId="{E25B9151-ECE3-194D-A6A5-4C1B36E6AEC6}" type="sibTrans" cxnId="{7D0473DD-7502-D940-A5EB-F304BFB34691}">
      <dgm:prSet/>
      <dgm:spPr/>
      <dgm:t>
        <a:bodyPr/>
        <a:lstStyle/>
        <a:p>
          <a:endParaRPr lang="en-US"/>
        </a:p>
      </dgm:t>
    </dgm:pt>
    <dgm:pt modelId="{8F706474-57FB-2C4D-934B-E6E38A059A2E}">
      <dgm:prSet phldrT="[Text]"/>
      <dgm:spPr/>
      <dgm:t>
        <a:bodyPr/>
        <a:lstStyle/>
        <a:p>
          <a:r>
            <a:rPr lang="en-US"/>
            <a:t>Juniors feel enough knowledge will not make mistake</a:t>
          </a:r>
        </a:p>
      </dgm:t>
    </dgm:pt>
    <dgm:pt modelId="{F964A3B7-00B4-5545-AED6-FD5AA069E919}" type="parTrans" cxnId="{776A74E2-8090-C246-BF55-0EA16764F64C}">
      <dgm:prSet/>
      <dgm:spPr/>
      <dgm:t>
        <a:bodyPr/>
        <a:lstStyle/>
        <a:p>
          <a:endParaRPr lang="en-US"/>
        </a:p>
      </dgm:t>
    </dgm:pt>
    <dgm:pt modelId="{6A46158B-1EC5-9043-97CD-EACBE2FAA713}" type="sibTrans" cxnId="{776A74E2-8090-C246-BF55-0EA16764F64C}">
      <dgm:prSet/>
      <dgm:spPr/>
      <dgm:t>
        <a:bodyPr/>
        <a:lstStyle/>
        <a:p>
          <a:endParaRPr lang="en-US"/>
        </a:p>
      </dgm:t>
    </dgm:pt>
    <dgm:pt modelId="{ECB229BC-B630-8A4D-813D-4F794DCEBE61}">
      <dgm:prSet phldrT="[Text]"/>
      <dgm:spPr/>
      <dgm:t>
        <a:bodyPr/>
        <a:lstStyle/>
        <a:p>
          <a:r>
            <a:rPr lang="en-US"/>
            <a:t>Uncomfortable with uncertainty</a:t>
          </a:r>
        </a:p>
      </dgm:t>
    </dgm:pt>
    <dgm:pt modelId="{AB4508EB-D466-1F4C-B1A6-7A7FEB845673}" type="parTrans" cxnId="{4A552199-7DE1-2A4F-A7F2-ACA4844EF0FD}">
      <dgm:prSet/>
      <dgm:spPr/>
      <dgm:t>
        <a:bodyPr/>
        <a:lstStyle/>
        <a:p>
          <a:endParaRPr lang="en-US"/>
        </a:p>
      </dgm:t>
    </dgm:pt>
    <dgm:pt modelId="{FAE57E3F-CCD2-3044-AD70-CAFA93A29953}" type="sibTrans" cxnId="{4A552199-7DE1-2A4F-A7F2-ACA4844EF0FD}">
      <dgm:prSet/>
      <dgm:spPr/>
      <dgm:t>
        <a:bodyPr/>
        <a:lstStyle/>
        <a:p>
          <a:endParaRPr lang="en-US"/>
        </a:p>
      </dgm:t>
    </dgm:pt>
    <dgm:pt modelId="{B9E591F8-51D7-A14F-A9F9-1BF39A2D8D45}">
      <dgm:prSet phldrT="[Text]"/>
      <dgm:spPr/>
      <dgm:t>
        <a:bodyPr/>
        <a:lstStyle/>
        <a:p>
          <a:r>
            <a:rPr lang="en-US"/>
            <a:t>Work harder, know more will not make mistake</a:t>
          </a:r>
        </a:p>
      </dgm:t>
    </dgm:pt>
    <dgm:pt modelId="{6945950E-CE11-234C-9D45-F429575CB47B}" type="parTrans" cxnId="{1DBE3FDA-DC1F-BF45-AEB3-781605C74E76}">
      <dgm:prSet/>
      <dgm:spPr/>
      <dgm:t>
        <a:bodyPr/>
        <a:lstStyle/>
        <a:p>
          <a:endParaRPr lang="en-US"/>
        </a:p>
      </dgm:t>
    </dgm:pt>
    <dgm:pt modelId="{D4516AE5-3807-8F45-857A-84542F72B034}" type="sibTrans" cxnId="{1DBE3FDA-DC1F-BF45-AEB3-781605C74E76}">
      <dgm:prSet/>
      <dgm:spPr/>
      <dgm:t>
        <a:bodyPr/>
        <a:lstStyle/>
        <a:p>
          <a:endParaRPr lang="en-US"/>
        </a:p>
      </dgm:t>
    </dgm:pt>
    <dgm:pt modelId="{829B6EF6-A1F2-DB4A-A3DA-CA236CFD6711}">
      <dgm:prSet phldrT="[Text]"/>
      <dgm:spPr/>
      <dgm:t>
        <a:bodyPr/>
        <a:lstStyle/>
        <a:p>
          <a:r>
            <a:rPr lang="en-US"/>
            <a:t>Ethical erosion</a:t>
          </a:r>
        </a:p>
      </dgm:t>
    </dgm:pt>
    <dgm:pt modelId="{BC836029-537B-324C-A7F8-9B7EFD051E84}" type="parTrans" cxnId="{32EECF90-F5C2-DF43-983B-3055E3261AEE}">
      <dgm:prSet/>
      <dgm:spPr/>
      <dgm:t>
        <a:bodyPr/>
        <a:lstStyle/>
        <a:p>
          <a:endParaRPr lang="en-US"/>
        </a:p>
      </dgm:t>
    </dgm:pt>
    <dgm:pt modelId="{E6F0ECD7-B5B4-AA49-8F45-BC9FF1D7DA00}" type="sibTrans" cxnId="{32EECF90-F5C2-DF43-983B-3055E3261AEE}">
      <dgm:prSet/>
      <dgm:spPr/>
      <dgm:t>
        <a:bodyPr/>
        <a:lstStyle/>
        <a:p>
          <a:endParaRPr lang="en-US"/>
        </a:p>
      </dgm:t>
    </dgm:pt>
    <dgm:pt modelId="{E60821EE-D251-B043-A0EA-BFFFED73B1BD}">
      <dgm:prSet phldrT="[Text]"/>
      <dgm:spPr/>
      <dgm:t>
        <a:bodyPr/>
        <a:lstStyle/>
        <a:p>
          <a:r>
            <a:rPr lang="en-US"/>
            <a:t>Juniors lack of belonging/ team/ support/mentorship</a:t>
          </a:r>
        </a:p>
      </dgm:t>
    </dgm:pt>
    <dgm:pt modelId="{F637CD61-BAB4-F040-96B2-71D6804B4EED}" type="parTrans" cxnId="{2D8FA798-B4F0-4D4A-A053-28888E58A373}">
      <dgm:prSet/>
      <dgm:spPr/>
      <dgm:t>
        <a:bodyPr/>
        <a:lstStyle/>
        <a:p>
          <a:endParaRPr lang="en-US"/>
        </a:p>
      </dgm:t>
    </dgm:pt>
    <dgm:pt modelId="{FE6E19C2-33CE-D74D-BF49-EEACAAC542A5}" type="sibTrans" cxnId="{2D8FA798-B4F0-4D4A-A053-28888E58A373}">
      <dgm:prSet/>
      <dgm:spPr/>
      <dgm:t>
        <a:bodyPr/>
        <a:lstStyle/>
        <a:p>
          <a:endParaRPr lang="en-US"/>
        </a:p>
      </dgm:t>
    </dgm:pt>
    <dgm:pt modelId="{9E80545E-C0B2-944F-9829-3BE0B306CD7B}">
      <dgm:prSet phldrT="[Text]"/>
      <dgm:spPr/>
      <dgm:t>
        <a:bodyPr/>
        <a:lstStyle/>
        <a:p>
          <a:r>
            <a:rPr lang="en-US"/>
            <a:t>Unclear line of responsibility - shift system</a:t>
          </a:r>
        </a:p>
      </dgm:t>
    </dgm:pt>
    <dgm:pt modelId="{9B09C016-439E-324D-96D0-19D7569ED0A6}" type="parTrans" cxnId="{DFED774F-C12D-DB47-9EFD-9E0CF25DFE8D}">
      <dgm:prSet/>
      <dgm:spPr/>
      <dgm:t>
        <a:bodyPr/>
        <a:lstStyle/>
        <a:p>
          <a:endParaRPr lang="en-US"/>
        </a:p>
      </dgm:t>
    </dgm:pt>
    <dgm:pt modelId="{951B5CF7-5ED9-E648-806D-9D1B7E32CAB5}" type="sibTrans" cxnId="{DFED774F-C12D-DB47-9EFD-9E0CF25DFE8D}">
      <dgm:prSet/>
      <dgm:spPr/>
      <dgm:t>
        <a:bodyPr/>
        <a:lstStyle/>
        <a:p>
          <a:endParaRPr lang="en-US"/>
        </a:p>
      </dgm:t>
    </dgm:pt>
    <dgm:pt modelId="{6B756077-4D36-8D46-8830-CE8617DB5C2A}">
      <dgm:prSet phldrT="[Text]"/>
      <dgm:spPr/>
      <dgm:t>
        <a:bodyPr/>
        <a:lstStyle/>
        <a:p>
          <a:r>
            <a:rPr lang="en-US"/>
            <a:t>Lack of responsibility</a:t>
          </a:r>
        </a:p>
      </dgm:t>
    </dgm:pt>
    <dgm:pt modelId="{E63EC6B0-B53E-0C4D-B7BA-04F5633921D1}" type="parTrans" cxnId="{EEC02C95-E25B-6C44-8ECE-C3E76DCFF2AF}">
      <dgm:prSet/>
      <dgm:spPr/>
      <dgm:t>
        <a:bodyPr/>
        <a:lstStyle/>
        <a:p>
          <a:endParaRPr lang="en-US"/>
        </a:p>
      </dgm:t>
    </dgm:pt>
    <dgm:pt modelId="{F202FF64-8FB4-6348-A90E-2210E26FB053}" type="sibTrans" cxnId="{EEC02C95-E25B-6C44-8ECE-C3E76DCFF2AF}">
      <dgm:prSet/>
      <dgm:spPr/>
      <dgm:t>
        <a:bodyPr/>
        <a:lstStyle/>
        <a:p>
          <a:endParaRPr lang="en-US"/>
        </a:p>
      </dgm:t>
    </dgm:pt>
    <dgm:pt modelId="{A4DF97F8-395F-0D4E-914F-B13623EAAA05}">
      <dgm:prSet phldrT="[Text]"/>
      <dgm:spPr/>
      <dgm:t>
        <a:bodyPr/>
        <a:lstStyle/>
        <a:p>
          <a:r>
            <a:rPr lang="en-US"/>
            <a:t>Disconnect with patients</a:t>
          </a:r>
        </a:p>
      </dgm:t>
    </dgm:pt>
    <dgm:pt modelId="{CDFB7694-6AF2-DC45-9E90-94E83BE859D5}" type="parTrans" cxnId="{5C6E2FE8-F88B-1C45-81D2-168734FCD800}">
      <dgm:prSet/>
      <dgm:spPr/>
      <dgm:t>
        <a:bodyPr/>
        <a:lstStyle/>
        <a:p>
          <a:endParaRPr lang="en-US"/>
        </a:p>
      </dgm:t>
    </dgm:pt>
    <dgm:pt modelId="{A9B283DF-7F95-D743-8DD1-19EEF86658EF}" type="sibTrans" cxnId="{5C6E2FE8-F88B-1C45-81D2-168734FCD800}">
      <dgm:prSet/>
      <dgm:spPr/>
      <dgm:t>
        <a:bodyPr/>
        <a:lstStyle/>
        <a:p>
          <a:endParaRPr lang="en-US"/>
        </a:p>
      </dgm:t>
    </dgm:pt>
    <dgm:pt modelId="{3E81AFFA-BEF7-2C4B-A895-F9A3B3D015D7}">
      <dgm:prSet phldrT="[Text]"/>
      <dgm:spPr/>
      <dgm:t>
        <a:bodyPr/>
        <a:lstStyle/>
        <a:p>
          <a:r>
            <a:rPr lang="en-US"/>
            <a:t>Less empathy</a:t>
          </a:r>
        </a:p>
      </dgm:t>
    </dgm:pt>
    <dgm:pt modelId="{C3C42E49-983E-9E40-9291-FA19240A3D02}" type="parTrans" cxnId="{31B9D4FF-FF98-C349-8FCE-A72789597598}">
      <dgm:prSet/>
      <dgm:spPr/>
      <dgm:t>
        <a:bodyPr/>
        <a:lstStyle/>
        <a:p>
          <a:endParaRPr lang="en-US"/>
        </a:p>
      </dgm:t>
    </dgm:pt>
    <dgm:pt modelId="{76E78745-9DD4-C047-A202-3F3FD35725D5}" type="sibTrans" cxnId="{31B9D4FF-FF98-C349-8FCE-A72789597598}">
      <dgm:prSet/>
      <dgm:spPr/>
      <dgm:t>
        <a:bodyPr/>
        <a:lstStyle/>
        <a:p>
          <a:endParaRPr lang="en-US"/>
        </a:p>
      </dgm:t>
    </dgm:pt>
    <dgm:pt modelId="{B2760517-105D-FF49-A82A-5BFA3D6BA43D}">
      <dgm:prSet phldrT="[Text]"/>
      <dgm:spPr/>
      <dgm:t>
        <a:bodyPr/>
        <a:lstStyle/>
        <a:p>
          <a:r>
            <a:rPr lang="en-US"/>
            <a:t>Low morale</a:t>
          </a:r>
        </a:p>
      </dgm:t>
    </dgm:pt>
    <dgm:pt modelId="{F6673D13-BE84-904F-8CFB-7641CD650AB5}" type="parTrans" cxnId="{1C1F40D4-F75C-4E46-B216-C993B26013EB}">
      <dgm:prSet/>
      <dgm:spPr/>
      <dgm:t>
        <a:bodyPr/>
        <a:lstStyle/>
        <a:p>
          <a:endParaRPr lang="en-US"/>
        </a:p>
      </dgm:t>
    </dgm:pt>
    <dgm:pt modelId="{9F8645E3-FF85-CA48-A049-21C3EEE05209}" type="sibTrans" cxnId="{1C1F40D4-F75C-4E46-B216-C993B26013EB}">
      <dgm:prSet/>
      <dgm:spPr/>
      <dgm:t>
        <a:bodyPr/>
        <a:lstStyle/>
        <a:p>
          <a:endParaRPr lang="en-US"/>
        </a:p>
      </dgm:t>
    </dgm:pt>
    <dgm:pt modelId="{97F20A1A-080F-604D-AB63-D906D14635B2}">
      <dgm:prSet phldrT="[Text]"/>
      <dgm:spPr/>
      <dgm:t>
        <a:bodyPr/>
        <a:lstStyle/>
        <a:p>
          <a:r>
            <a:rPr lang="en-US"/>
            <a:t>Concern over 'bothering seniors'</a:t>
          </a:r>
        </a:p>
      </dgm:t>
    </dgm:pt>
    <dgm:pt modelId="{AB16BBEA-B4A2-4C46-9124-47DAD7132C12}" type="parTrans" cxnId="{BAB5DC2A-AE98-8247-B642-BA42B149677A}">
      <dgm:prSet/>
      <dgm:spPr/>
      <dgm:t>
        <a:bodyPr/>
        <a:lstStyle/>
        <a:p>
          <a:endParaRPr lang="en-US"/>
        </a:p>
      </dgm:t>
    </dgm:pt>
    <dgm:pt modelId="{B39E39A8-F8A8-9E46-9EF5-4231F4A478C5}" type="sibTrans" cxnId="{BAB5DC2A-AE98-8247-B642-BA42B149677A}">
      <dgm:prSet/>
      <dgm:spPr/>
      <dgm:t>
        <a:bodyPr/>
        <a:lstStyle/>
        <a:p>
          <a:endParaRPr lang="en-US"/>
        </a:p>
      </dgm:t>
    </dgm:pt>
    <dgm:pt modelId="{544B58DF-24D5-F749-9CEB-9E05FC30DC00}">
      <dgm:prSet phldrT="[Text]"/>
      <dgm:spPr/>
      <dgm:t>
        <a:bodyPr/>
        <a:lstStyle/>
        <a:p>
          <a:r>
            <a:rPr lang="en-US"/>
            <a:t>Anxiety about how busy senior team is</a:t>
          </a:r>
        </a:p>
      </dgm:t>
    </dgm:pt>
    <dgm:pt modelId="{FE1947E8-365F-F44D-96F1-D1EA02418BAE}" type="parTrans" cxnId="{FCB2F8AE-15C0-C849-8703-636D4AFC245F}">
      <dgm:prSet/>
      <dgm:spPr/>
      <dgm:t>
        <a:bodyPr/>
        <a:lstStyle/>
        <a:p>
          <a:endParaRPr lang="en-US"/>
        </a:p>
      </dgm:t>
    </dgm:pt>
    <dgm:pt modelId="{6B246FE5-327D-AF48-A49C-C9F2EF9C3D0B}" type="sibTrans" cxnId="{FCB2F8AE-15C0-C849-8703-636D4AFC245F}">
      <dgm:prSet/>
      <dgm:spPr/>
      <dgm:t>
        <a:bodyPr/>
        <a:lstStyle/>
        <a:p>
          <a:endParaRPr lang="en-US"/>
        </a:p>
      </dgm:t>
    </dgm:pt>
    <dgm:pt modelId="{66E2C343-A4CB-C04A-A674-13A69AFDC20C}">
      <dgm:prSet phldrT="[Text]"/>
      <dgm:spPr/>
      <dgm:t>
        <a:bodyPr/>
        <a:lstStyle/>
        <a:p>
          <a:r>
            <a:rPr lang="en-US"/>
            <a:t>Concern over loss of pride &amp; respect from team</a:t>
          </a:r>
        </a:p>
      </dgm:t>
    </dgm:pt>
    <dgm:pt modelId="{5D759FAE-F48D-DC49-8F99-08F4510D886A}" type="parTrans" cxnId="{66DF6495-FD74-B94C-943C-641FE588F302}">
      <dgm:prSet/>
      <dgm:spPr/>
      <dgm:t>
        <a:bodyPr/>
        <a:lstStyle/>
        <a:p>
          <a:endParaRPr lang="en-US"/>
        </a:p>
      </dgm:t>
    </dgm:pt>
    <dgm:pt modelId="{372F0D0A-6778-E24F-801A-F8B4E295AD40}" type="sibTrans" cxnId="{66DF6495-FD74-B94C-943C-641FE588F302}">
      <dgm:prSet/>
      <dgm:spPr/>
      <dgm:t>
        <a:bodyPr/>
        <a:lstStyle/>
        <a:p>
          <a:endParaRPr lang="en-US"/>
        </a:p>
      </dgm:t>
    </dgm:pt>
    <dgm:pt modelId="{0028A479-45DC-2E45-B592-7CEF811AA6CE}">
      <dgm:prSet phldrT="[Text]"/>
      <dgm:spPr/>
      <dgm:t>
        <a:bodyPr/>
        <a:lstStyle/>
        <a:p>
          <a:r>
            <a:rPr lang="en-US"/>
            <a:t>Threatened by perceived judgemental behaviour - errors &amp; mistakes</a:t>
          </a:r>
        </a:p>
      </dgm:t>
    </dgm:pt>
    <dgm:pt modelId="{F2CC0C14-0DA8-0847-92D8-89AA51FEB7B8}" type="parTrans" cxnId="{EF5BD232-7191-6D4F-98BC-69E5837E95FE}">
      <dgm:prSet/>
      <dgm:spPr/>
      <dgm:t>
        <a:bodyPr/>
        <a:lstStyle/>
        <a:p>
          <a:endParaRPr lang="en-US"/>
        </a:p>
      </dgm:t>
    </dgm:pt>
    <dgm:pt modelId="{2FF8A00A-DD30-8C46-A8A8-F7FBF9699CE1}" type="sibTrans" cxnId="{EF5BD232-7191-6D4F-98BC-69E5837E95FE}">
      <dgm:prSet/>
      <dgm:spPr/>
      <dgm:t>
        <a:bodyPr/>
        <a:lstStyle/>
        <a:p>
          <a:endParaRPr lang="en-US"/>
        </a:p>
      </dgm:t>
    </dgm:pt>
    <dgm:pt modelId="{1B25E007-1276-5646-94AE-C3681856B32A}">
      <dgm:prSet phldrT="[Text]"/>
      <dgm:spPr/>
      <dgm:t>
        <a:bodyPr/>
        <a:lstStyle/>
        <a:p>
          <a:r>
            <a:rPr lang="en-US"/>
            <a:t>Unclear expectations</a:t>
          </a:r>
        </a:p>
      </dgm:t>
    </dgm:pt>
    <dgm:pt modelId="{F67C6476-42A0-CB48-8884-4C218FEE401C}" type="parTrans" cxnId="{2C32B786-CCB5-624E-A1F6-0DC6659EE853}">
      <dgm:prSet/>
      <dgm:spPr/>
      <dgm:t>
        <a:bodyPr/>
        <a:lstStyle/>
        <a:p>
          <a:endParaRPr lang="en-US"/>
        </a:p>
      </dgm:t>
    </dgm:pt>
    <dgm:pt modelId="{85D0F0D2-1000-734C-A7B1-9667DE7C7466}" type="sibTrans" cxnId="{2C32B786-CCB5-624E-A1F6-0DC6659EE853}">
      <dgm:prSet/>
      <dgm:spPr/>
      <dgm:t>
        <a:bodyPr/>
        <a:lstStyle/>
        <a:p>
          <a:endParaRPr lang="en-US"/>
        </a:p>
      </dgm:t>
    </dgm:pt>
    <dgm:pt modelId="{A06CD6F0-F2EA-214D-95A4-454D281FD13A}">
      <dgm:prSet phldrT="[Text]"/>
      <dgm:spPr/>
      <dgm:t>
        <a:bodyPr/>
        <a:lstStyle/>
        <a:p>
          <a:r>
            <a:rPr lang="en-US"/>
            <a:t>Unable to access hierarchy</a:t>
          </a:r>
        </a:p>
      </dgm:t>
    </dgm:pt>
    <dgm:pt modelId="{D1E63434-B81D-5240-8B41-588A37A6562F}" type="parTrans" cxnId="{1FEB6032-3FF7-F541-9334-9F98D2FF0DD6}">
      <dgm:prSet/>
      <dgm:spPr/>
      <dgm:t>
        <a:bodyPr/>
        <a:lstStyle/>
        <a:p>
          <a:endParaRPr lang="en-US"/>
        </a:p>
      </dgm:t>
    </dgm:pt>
    <dgm:pt modelId="{6377C905-CEE5-C747-A01E-283E30105EDD}" type="sibTrans" cxnId="{1FEB6032-3FF7-F541-9334-9F98D2FF0DD6}">
      <dgm:prSet/>
      <dgm:spPr/>
      <dgm:t>
        <a:bodyPr/>
        <a:lstStyle/>
        <a:p>
          <a:endParaRPr lang="en-US"/>
        </a:p>
      </dgm:t>
    </dgm:pt>
    <dgm:pt modelId="{5D49782B-9ECB-C94B-9311-D6F8A607F066}">
      <dgm:prSet phldrT="[Text]"/>
      <dgm:spPr/>
      <dgm:t>
        <a:bodyPr/>
        <a:lstStyle/>
        <a:p>
          <a:r>
            <a:rPr lang="en-US"/>
            <a:t>Intolerance of error</a:t>
          </a:r>
        </a:p>
      </dgm:t>
    </dgm:pt>
    <dgm:pt modelId="{9CE2B0EC-1086-904A-9083-68783832BAA6}" type="parTrans" cxnId="{0B8C2FC0-3A26-F94D-9DC4-DB7A09656E19}">
      <dgm:prSet/>
      <dgm:spPr/>
      <dgm:t>
        <a:bodyPr/>
        <a:lstStyle/>
        <a:p>
          <a:endParaRPr lang="en-US"/>
        </a:p>
      </dgm:t>
    </dgm:pt>
    <dgm:pt modelId="{9D6E4B78-09C4-9F49-854B-60345A4E35E4}" type="sibTrans" cxnId="{0B8C2FC0-3A26-F94D-9DC4-DB7A09656E19}">
      <dgm:prSet/>
      <dgm:spPr/>
      <dgm:t>
        <a:bodyPr/>
        <a:lstStyle/>
        <a:p>
          <a:endParaRPr lang="en-US"/>
        </a:p>
      </dgm:t>
    </dgm:pt>
    <dgm:pt modelId="{AFAD0971-90E3-AD4E-A00F-6E08E6CE3AAF}">
      <dgm:prSet phldrT="[Text]"/>
      <dgm:spPr/>
      <dgm:t>
        <a:bodyPr/>
        <a:lstStyle/>
        <a:p>
          <a:r>
            <a:rPr lang="en-US"/>
            <a:t>Not empowered to speak out/ when stuck</a:t>
          </a:r>
        </a:p>
      </dgm:t>
    </dgm:pt>
    <dgm:pt modelId="{CCF3C30E-0A81-614D-B25F-B552EB27AD25}" type="parTrans" cxnId="{4ACD65C0-AA4C-7D43-A3DD-7C0CE4222C36}">
      <dgm:prSet/>
      <dgm:spPr/>
      <dgm:t>
        <a:bodyPr/>
        <a:lstStyle/>
        <a:p>
          <a:endParaRPr lang="en-US"/>
        </a:p>
      </dgm:t>
    </dgm:pt>
    <dgm:pt modelId="{1338D7A5-78F6-5842-BB3C-9DD4320C1D04}" type="sibTrans" cxnId="{4ACD65C0-AA4C-7D43-A3DD-7C0CE4222C36}">
      <dgm:prSet/>
      <dgm:spPr/>
      <dgm:t>
        <a:bodyPr/>
        <a:lstStyle/>
        <a:p>
          <a:endParaRPr lang="en-US"/>
        </a:p>
      </dgm:t>
    </dgm:pt>
    <dgm:pt modelId="{66989573-B8C8-734C-BCF2-EE056C3606B1}">
      <dgm:prSet phldrT="[Text]"/>
      <dgm:spPr/>
      <dgm:t>
        <a:bodyPr/>
        <a:lstStyle/>
        <a:p>
          <a:r>
            <a:rPr lang="en-US"/>
            <a:t>Human resilience - 'catch and compensate' without learning</a:t>
          </a:r>
        </a:p>
      </dgm:t>
    </dgm:pt>
    <dgm:pt modelId="{8FB382A7-B71D-DE4B-B125-506521B93DC0}" type="parTrans" cxnId="{7BE149F4-8390-9C47-AC58-142FED96F311}">
      <dgm:prSet/>
      <dgm:spPr/>
      <dgm:t>
        <a:bodyPr/>
        <a:lstStyle/>
        <a:p>
          <a:endParaRPr lang="en-US"/>
        </a:p>
      </dgm:t>
    </dgm:pt>
    <dgm:pt modelId="{9544BF51-AB51-9D47-B506-8CF0EDD33082}" type="sibTrans" cxnId="{7BE149F4-8390-9C47-AC58-142FED96F311}">
      <dgm:prSet/>
      <dgm:spPr/>
      <dgm:t>
        <a:bodyPr/>
        <a:lstStyle/>
        <a:p>
          <a:endParaRPr lang="en-US"/>
        </a:p>
      </dgm:t>
    </dgm:pt>
    <dgm:pt modelId="{9A3171FB-EE37-114B-8E71-04E26BE6681A}">
      <dgm:prSet phldrT="[Text]"/>
      <dgm:spPr/>
      <dgm:t>
        <a:bodyPr/>
        <a:lstStyle/>
        <a:p>
          <a:r>
            <a:rPr lang="en-US"/>
            <a:t>'Know rules/ enough knowledge will get it right'</a:t>
          </a:r>
        </a:p>
      </dgm:t>
    </dgm:pt>
    <dgm:pt modelId="{AF8EC947-30E5-A343-AE2D-E0AE18FBF770}" type="parTrans" cxnId="{4156A53B-BF3F-4E42-9437-3445C9F04960}">
      <dgm:prSet/>
      <dgm:spPr/>
      <dgm:t>
        <a:bodyPr/>
        <a:lstStyle/>
        <a:p>
          <a:endParaRPr lang="en-US"/>
        </a:p>
      </dgm:t>
    </dgm:pt>
    <dgm:pt modelId="{C8DEAB47-463B-3147-830B-D2A2E4D0BF5B}" type="sibTrans" cxnId="{4156A53B-BF3F-4E42-9437-3445C9F04960}">
      <dgm:prSet/>
      <dgm:spPr/>
      <dgm:t>
        <a:bodyPr/>
        <a:lstStyle/>
        <a:p>
          <a:endParaRPr lang="en-US"/>
        </a:p>
      </dgm:t>
    </dgm:pt>
    <dgm:pt modelId="{44BA61E4-E0CE-AC49-B89E-5FC730CD6D0C}">
      <dgm:prSet phldrT="[Text]"/>
      <dgm:spPr/>
      <dgm:t>
        <a:bodyPr/>
        <a:lstStyle/>
        <a:p>
          <a:r>
            <a:rPr lang="en-US"/>
            <a:t>Had to wait for mid staffs to highlight safety</a:t>
          </a:r>
        </a:p>
      </dgm:t>
    </dgm:pt>
    <dgm:pt modelId="{ADBE0B48-607E-D24C-9C9F-A85F3DFEB40F}" type="parTrans" cxnId="{36B0750C-65BC-C649-A4BD-4A6A32909FD1}">
      <dgm:prSet/>
      <dgm:spPr/>
      <dgm:t>
        <a:bodyPr/>
        <a:lstStyle/>
        <a:p>
          <a:endParaRPr lang="en-US"/>
        </a:p>
      </dgm:t>
    </dgm:pt>
    <dgm:pt modelId="{1B4EAF16-1864-604E-A5FB-F95A0693F94B}" type="sibTrans" cxnId="{36B0750C-65BC-C649-A4BD-4A6A32909FD1}">
      <dgm:prSet/>
      <dgm:spPr/>
      <dgm:t>
        <a:bodyPr/>
        <a:lstStyle/>
        <a:p>
          <a:endParaRPr lang="en-US"/>
        </a:p>
      </dgm:t>
    </dgm:pt>
    <dgm:pt modelId="{CCA23AE0-2E46-6348-B71A-233A10E61545}">
      <dgm:prSet phldrT="[Text]"/>
      <dgm:spPr/>
      <dgm:t>
        <a:bodyPr/>
        <a:lstStyle/>
        <a:p>
          <a:r>
            <a:rPr lang="en-US"/>
            <a:t>Reductionalist investigation of error</a:t>
          </a:r>
        </a:p>
      </dgm:t>
    </dgm:pt>
    <dgm:pt modelId="{ECD5842D-29CB-1849-895A-37D3B649BBC3}" type="parTrans" cxnId="{65E7C97C-3F67-D94A-9F7F-2C60D57CD95D}">
      <dgm:prSet/>
      <dgm:spPr/>
      <dgm:t>
        <a:bodyPr/>
        <a:lstStyle/>
        <a:p>
          <a:endParaRPr lang="en-US"/>
        </a:p>
      </dgm:t>
    </dgm:pt>
    <dgm:pt modelId="{36B45C5D-369B-E347-BA02-C1829981E42C}" type="sibTrans" cxnId="{65E7C97C-3F67-D94A-9F7F-2C60D57CD95D}">
      <dgm:prSet/>
      <dgm:spPr/>
      <dgm:t>
        <a:bodyPr/>
        <a:lstStyle/>
        <a:p>
          <a:endParaRPr lang="en-US"/>
        </a:p>
      </dgm:t>
    </dgm:pt>
    <dgm:pt modelId="{806FD26C-3603-0F4F-982C-9FFFB2986069}">
      <dgm:prSet phldrT="[Text]"/>
      <dgm:spPr/>
      <dgm:t>
        <a:bodyPr/>
        <a:lstStyle/>
        <a:p>
          <a:r>
            <a:rPr lang="en-US"/>
            <a:t>Superficial learning 'tick box'</a:t>
          </a:r>
        </a:p>
      </dgm:t>
    </dgm:pt>
    <dgm:pt modelId="{4BA6244F-CF24-CD46-9C31-9DDF3FDF800D}" type="parTrans" cxnId="{88EC8BCF-2038-7247-ACDC-AC62AE10BBE6}">
      <dgm:prSet/>
      <dgm:spPr/>
      <dgm:t>
        <a:bodyPr/>
        <a:lstStyle/>
        <a:p>
          <a:endParaRPr lang="en-US"/>
        </a:p>
      </dgm:t>
    </dgm:pt>
    <dgm:pt modelId="{C6812EFF-415A-3649-BFA9-22015A2B53E3}" type="sibTrans" cxnId="{88EC8BCF-2038-7247-ACDC-AC62AE10BBE6}">
      <dgm:prSet/>
      <dgm:spPr/>
      <dgm:t>
        <a:bodyPr/>
        <a:lstStyle/>
        <a:p>
          <a:endParaRPr lang="en-US"/>
        </a:p>
      </dgm:t>
    </dgm:pt>
    <dgm:pt modelId="{BBFD2BFE-67D1-F54A-8584-D90E8771DD18}">
      <dgm:prSet phldrT="[Text]"/>
      <dgm:spPr/>
      <dgm:t>
        <a:bodyPr/>
        <a:lstStyle/>
        <a:p>
          <a:r>
            <a:rPr lang="en-US"/>
            <a:t>Do not share and learn from mistakes</a:t>
          </a:r>
        </a:p>
      </dgm:t>
    </dgm:pt>
    <dgm:pt modelId="{92E41C14-D5DE-094A-A505-2E90B55B2CBE}" type="parTrans" cxnId="{FA30DEF3-E6E5-0041-B240-3F4BA000AF42}">
      <dgm:prSet/>
      <dgm:spPr/>
      <dgm:t>
        <a:bodyPr/>
        <a:lstStyle/>
        <a:p>
          <a:endParaRPr lang="en-US"/>
        </a:p>
      </dgm:t>
    </dgm:pt>
    <dgm:pt modelId="{0886C12A-1EF5-F14B-A9D5-48F310A78888}" type="sibTrans" cxnId="{FA30DEF3-E6E5-0041-B240-3F4BA000AF42}">
      <dgm:prSet/>
      <dgm:spPr/>
      <dgm:t>
        <a:bodyPr/>
        <a:lstStyle/>
        <a:p>
          <a:endParaRPr lang="en-US"/>
        </a:p>
      </dgm:t>
    </dgm:pt>
    <dgm:pt modelId="{C0545EEF-57D6-5948-BAFF-4BA1BB4984E4}">
      <dgm:prSet phldrT="[Text]"/>
      <dgm:spPr/>
      <dgm:t>
        <a:bodyPr/>
        <a:lstStyle/>
        <a:p>
          <a:r>
            <a:rPr lang="en-US"/>
            <a:t>Line of responsibility clearer when act &gt; inaction</a:t>
          </a:r>
        </a:p>
      </dgm:t>
    </dgm:pt>
    <dgm:pt modelId="{8160E120-278E-7044-9D64-E1C49CAFA1DF}" type="parTrans" cxnId="{6130BA6E-F739-B641-A575-15618E68D380}">
      <dgm:prSet/>
      <dgm:spPr/>
      <dgm:t>
        <a:bodyPr/>
        <a:lstStyle/>
        <a:p>
          <a:endParaRPr lang="en-US"/>
        </a:p>
      </dgm:t>
    </dgm:pt>
    <dgm:pt modelId="{7509EA6F-F995-894E-94E4-5D8EFF331967}" type="sibTrans" cxnId="{6130BA6E-F739-B641-A575-15618E68D380}">
      <dgm:prSet/>
      <dgm:spPr/>
      <dgm:t>
        <a:bodyPr/>
        <a:lstStyle/>
        <a:p>
          <a:endParaRPr lang="en-US"/>
        </a:p>
      </dgm:t>
    </dgm:pt>
    <dgm:pt modelId="{A91EDFFB-EF5E-B44C-96EE-2C5D8E4729ED}">
      <dgm:prSet phldrT="[Text]"/>
      <dgm:spPr/>
      <dgm:t>
        <a:bodyPr/>
        <a:lstStyle/>
        <a:p>
          <a:r>
            <a:rPr lang="en-US"/>
            <a:t>Perceived sharing amongst peers of mistakes</a:t>
          </a:r>
        </a:p>
      </dgm:t>
    </dgm:pt>
    <dgm:pt modelId="{64B8628E-5287-4343-A700-35F572E9518B}" type="parTrans" cxnId="{CDFF115D-B856-2548-9D47-C65E52D2A6FA}">
      <dgm:prSet/>
      <dgm:spPr/>
      <dgm:t>
        <a:bodyPr/>
        <a:lstStyle/>
        <a:p>
          <a:endParaRPr lang="en-US"/>
        </a:p>
      </dgm:t>
    </dgm:pt>
    <dgm:pt modelId="{69AD3CF0-41A5-3B47-A1B1-822A97587729}" type="sibTrans" cxnId="{CDFF115D-B856-2548-9D47-C65E52D2A6FA}">
      <dgm:prSet/>
      <dgm:spPr/>
      <dgm:t>
        <a:bodyPr/>
        <a:lstStyle/>
        <a:p>
          <a:endParaRPr lang="en-US"/>
        </a:p>
      </dgm:t>
    </dgm:pt>
    <dgm:pt modelId="{5D78CB02-CF3D-0F47-AAC2-596D82D90FFD}">
      <dgm:prSet phldrT="[Text]"/>
      <dgm:spPr/>
      <dgm:t>
        <a:bodyPr/>
        <a:lstStyle/>
        <a:p>
          <a:r>
            <a:rPr lang="en-US"/>
            <a:t>Do not speak openly and honestly about mistakes</a:t>
          </a:r>
        </a:p>
      </dgm:t>
    </dgm:pt>
    <dgm:pt modelId="{52E2FA42-A5DB-6A48-A688-D955C0FFFA4F}" type="parTrans" cxnId="{ACFCA2FC-CC3C-5543-8B81-C1DFEF96259C}">
      <dgm:prSet/>
      <dgm:spPr/>
      <dgm:t>
        <a:bodyPr/>
        <a:lstStyle/>
        <a:p>
          <a:endParaRPr lang="en-US"/>
        </a:p>
      </dgm:t>
    </dgm:pt>
    <dgm:pt modelId="{0880C606-AFFF-994B-B682-654B6675DB03}" type="sibTrans" cxnId="{ACFCA2FC-CC3C-5543-8B81-C1DFEF96259C}">
      <dgm:prSet/>
      <dgm:spPr/>
      <dgm:t>
        <a:bodyPr/>
        <a:lstStyle/>
        <a:p>
          <a:endParaRPr lang="en-US"/>
        </a:p>
      </dgm:t>
    </dgm:pt>
    <dgm:pt modelId="{353C39BF-BBB5-E64A-B7B0-AA9253DB4149}">
      <dgm:prSet phldrT="[Text]"/>
      <dgm:spPr/>
      <dgm:t>
        <a:bodyPr/>
        <a:lstStyle/>
        <a:p>
          <a:r>
            <a:rPr lang="en-US"/>
            <a:t>Use of professional terms (mortality) and statistics</a:t>
          </a:r>
        </a:p>
      </dgm:t>
    </dgm:pt>
    <dgm:pt modelId="{3F5E558A-9D5B-A54E-8BF6-4760DCF798A1}" type="parTrans" cxnId="{7FA33A28-072A-2F48-A4DE-9D030BC871B3}">
      <dgm:prSet/>
      <dgm:spPr/>
      <dgm:t>
        <a:bodyPr/>
        <a:lstStyle/>
        <a:p>
          <a:endParaRPr lang="en-US"/>
        </a:p>
      </dgm:t>
    </dgm:pt>
    <dgm:pt modelId="{0C672535-6A94-0044-A6E0-4E3FF9A7EA9F}" type="sibTrans" cxnId="{7FA33A28-072A-2F48-A4DE-9D030BC871B3}">
      <dgm:prSet/>
      <dgm:spPr/>
      <dgm:t>
        <a:bodyPr/>
        <a:lstStyle/>
        <a:p>
          <a:endParaRPr lang="en-US"/>
        </a:p>
      </dgm:t>
    </dgm:pt>
    <dgm:pt modelId="{D75A2EC4-EC1A-614F-BF4C-0890A9D23BAA}">
      <dgm:prSet phldrT="[Text]"/>
      <dgm:spPr/>
      <dgm:t>
        <a:bodyPr/>
        <a:lstStyle/>
        <a:p>
          <a:r>
            <a:rPr lang="en-US"/>
            <a:t>Detatchment from patients</a:t>
          </a:r>
        </a:p>
      </dgm:t>
    </dgm:pt>
    <dgm:pt modelId="{5D379E2A-FC26-C541-8D81-F06D470710A6}" type="parTrans" cxnId="{4B04504C-273D-2941-B263-FFDB774DFE4D}">
      <dgm:prSet/>
      <dgm:spPr/>
      <dgm:t>
        <a:bodyPr/>
        <a:lstStyle/>
        <a:p>
          <a:endParaRPr lang="en-US"/>
        </a:p>
      </dgm:t>
    </dgm:pt>
    <dgm:pt modelId="{12DC1CD7-7647-9C4D-A42F-36A07F409FAC}" type="sibTrans" cxnId="{4B04504C-273D-2941-B263-FFDB774DFE4D}">
      <dgm:prSet/>
      <dgm:spPr/>
      <dgm:t>
        <a:bodyPr/>
        <a:lstStyle/>
        <a:p>
          <a:endParaRPr lang="en-US"/>
        </a:p>
      </dgm:t>
    </dgm:pt>
    <dgm:pt modelId="{5FD6A914-50B7-EF49-AE42-DA70184A12EB}">
      <dgm:prSet phldrT="[Text]"/>
      <dgm:spPr/>
      <dgm:t>
        <a:bodyPr/>
        <a:lstStyle/>
        <a:p>
          <a:r>
            <a:rPr lang="en-US"/>
            <a:t>Dehumanise patients </a:t>
          </a:r>
        </a:p>
      </dgm:t>
    </dgm:pt>
    <dgm:pt modelId="{4B73B691-EA48-8E46-9974-C77BA10B94AB}" type="parTrans" cxnId="{E6F12544-5517-2B4A-BAD8-C46C1BC72E38}">
      <dgm:prSet/>
      <dgm:spPr/>
      <dgm:t>
        <a:bodyPr/>
        <a:lstStyle/>
        <a:p>
          <a:endParaRPr lang="en-US"/>
        </a:p>
      </dgm:t>
    </dgm:pt>
    <dgm:pt modelId="{7D003CD0-2C86-7E47-A21E-8B014E77E8A7}" type="sibTrans" cxnId="{E6F12544-5517-2B4A-BAD8-C46C1BC72E38}">
      <dgm:prSet/>
      <dgm:spPr/>
      <dgm:t>
        <a:bodyPr/>
        <a:lstStyle/>
        <a:p>
          <a:endParaRPr lang="en-US"/>
        </a:p>
      </dgm:t>
    </dgm:pt>
    <dgm:pt modelId="{08E3CC3F-A5CC-5846-8DAE-5A3210F7E95D}">
      <dgm:prSet phldrT="[Text]"/>
      <dgm:spPr/>
      <dgm:t>
        <a:bodyPr/>
        <a:lstStyle/>
        <a:p>
          <a:r>
            <a:rPr lang="en-US"/>
            <a:t>Morale low - effect on empathy</a:t>
          </a:r>
        </a:p>
      </dgm:t>
    </dgm:pt>
    <dgm:pt modelId="{3D6E8FD5-5FAA-8546-98C5-87B5576B32D1}" type="parTrans" cxnId="{CF307C02-55A6-9C49-90B9-61D9D25E3361}">
      <dgm:prSet/>
      <dgm:spPr/>
      <dgm:t>
        <a:bodyPr/>
        <a:lstStyle/>
        <a:p>
          <a:endParaRPr lang="en-US"/>
        </a:p>
      </dgm:t>
    </dgm:pt>
    <dgm:pt modelId="{1438A2FC-E7D0-D649-AE89-4477139E6143}" type="sibTrans" cxnId="{CF307C02-55A6-9C49-90B9-61D9D25E3361}">
      <dgm:prSet/>
      <dgm:spPr/>
      <dgm:t>
        <a:bodyPr/>
        <a:lstStyle/>
        <a:p>
          <a:endParaRPr lang="en-US"/>
        </a:p>
      </dgm:t>
    </dgm:pt>
    <dgm:pt modelId="{9341A211-968E-3643-9FE2-5C021EA40264}">
      <dgm:prSet phldrT="[Text]"/>
      <dgm:spPr/>
      <dgm:t>
        <a:bodyPr/>
        <a:lstStyle/>
        <a:p>
          <a:r>
            <a:rPr lang="en-US"/>
            <a:t>Traditional educational models</a:t>
          </a:r>
        </a:p>
      </dgm:t>
    </dgm:pt>
    <dgm:pt modelId="{204E3972-85EF-9944-8444-EA68763102DF}" type="parTrans" cxnId="{7994C277-F646-1248-9D95-442A24F7AC30}">
      <dgm:prSet/>
      <dgm:spPr/>
      <dgm:t>
        <a:bodyPr/>
        <a:lstStyle/>
        <a:p>
          <a:endParaRPr lang="en-US"/>
        </a:p>
      </dgm:t>
    </dgm:pt>
    <dgm:pt modelId="{2E769A83-1CEA-FD43-85F4-E274C8BE331C}" type="sibTrans" cxnId="{7994C277-F646-1248-9D95-442A24F7AC30}">
      <dgm:prSet/>
      <dgm:spPr/>
      <dgm:t>
        <a:bodyPr/>
        <a:lstStyle/>
        <a:p>
          <a:endParaRPr lang="en-US"/>
        </a:p>
      </dgm:t>
    </dgm:pt>
    <dgm:pt modelId="{38D0370A-BBD8-A640-8733-8C966F3DAF1A}">
      <dgm:prSet phldrT="[Text]"/>
      <dgm:spPr/>
      <dgm:t>
        <a:bodyPr/>
        <a:lstStyle/>
        <a:p>
          <a:r>
            <a:rPr lang="en-US"/>
            <a:t>Do not encourage reflection &amp; self correction</a:t>
          </a:r>
        </a:p>
      </dgm:t>
    </dgm:pt>
    <dgm:pt modelId="{F0F80D73-7B63-A246-B2B5-E16710F7BCE1}" type="parTrans" cxnId="{F257EF0E-D596-3D46-9B24-8118C1E9DE7E}">
      <dgm:prSet/>
      <dgm:spPr/>
      <dgm:t>
        <a:bodyPr/>
        <a:lstStyle/>
        <a:p>
          <a:endParaRPr lang="en-US"/>
        </a:p>
      </dgm:t>
    </dgm:pt>
    <dgm:pt modelId="{5999B4A9-9ED7-5F45-8A7D-63F032E69A7F}" type="sibTrans" cxnId="{F257EF0E-D596-3D46-9B24-8118C1E9DE7E}">
      <dgm:prSet/>
      <dgm:spPr/>
      <dgm:t>
        <a:bodyPr/>
        <a:lstStyle/>
        <a:p>
          <a:endParaRPr lang="en-US"/>
        </a:p>
      </dgm:t>
    </dgm:pt>
    <dgm:pt modelId="{AB907385-0593-E849-9699-638650D96AA0}">
      <dgm:prSet phldrT="[Text]"/>
      <dgm:spPr/>
      <dgm:t>
        <a:bodyPr/>
        <a:lstStyle/>
        <a:p>
          <a:r>
            <a:rPr lang="en-US"/>
            <a:t>Not empowered to challenge seniors</a:t>
          </a:r>
        </a:p>
      </dgm:t>
    </dgm:pt>
    <dgm:pt modelId="{82BE03CF-9A7A-3449-8AFC-F11EC9366FE2}" type="parTrans" cxnId="{219CA560-4E4E-CF4D-AB59-C3279BF9FBB3}">
      <dgm:prSet/>
      <dgm:spPr/>
      <dgm:t>
        <a:bodyPr/>
        <a:lstStyle/>
        <a:p>
          <a:endParaRPr lang="en-US"/>
        </a:p>
      </dgm:t>
    </dgm:pt>
    <dgm:pt modelId="{D52083E7-DC69-D049-968E-F9E80F760DCE}" type="sibTrans" cxnId="{219CA560-4E4E-CF4D-AB59-C3279BF9FBB3}">
      <dgm:prSet/>
      <dgm:spPr/>
      <dgm:t>
        <a:bodyPr/>
        <a:lstStyle/>
        <a:p>
          <a:endParaRPr lang="en-US"/>
        </a:p>
      </dgm:t>
    </dgm:pt>
    <dgm:pt modelId="{CBDCD49F-0B98-8E46-BD0E-FBF07FAFDAA7}">
      <dgm:prSet phldrT="[Text]"/>
      <dgm:spPr/>
      <dgm:t>
        <a:bodyPr/>
        <a:lstStyle/>
        <a:p>
          <a:r>
            <a:rPr lang="en-US"/>
            <a:t>Blame culture, intolerance of error</a:t>
          </a:r>
        </a:p>
      </dgm:t>
    </dgm:pt>
    <dgm:pt modelId="{C4C2FFA1-14BD-CB4D-A876-DE757799188F}" type="parTrans" cxnId="{7C9FC408-276E-9540-8A65-BBB2C0380952}">
      <dgm:prSet/>
      <dgm:spPr/>
      <dgm:t>
        <a:bodyPr/>
        <a:lstStyle/>
        <a:p>
          <a:endParaRPr lang="en-US"/>
        </a:p>
      </dgm:t>
    </dgm:pt>
    <dgm:pt modelId="{E0DBD957-584E-C645-B74C-933DFEC9B3F1}" type="sibTrans" cxnId="{7C9FC408-276E-9540-8A65-BBB2C0380952}">
      <dgm:prSet/>
      <dgm:spPr/>
      <dgm:t>
        <a:bodyPr/>
        <a:lstStyle/>
        <a:p>
          <a:endParaRPr lang="en-US"/>
        </a:p>
      </dgm:t>
    </dgm:pt>
    <dgm:pt modelId="{F4888F20-0CA4-9743-885F-4655EABAEDDD}">
      <dgm:prSet phldrT="[Text]"/>
      <dgm:spPr/>
      <dgm:t>
        <a:bodyPr/>
        <a:lstStyle/>
        <a:p>
          <a:r>
            <a:rPr lang="en-US"/>
            <a:t>Knowledge rewarded</a:t>
          </a:r>
        </a:p>
      </dgm:t>
    </dgm:pt>
    <dgm:pt modelId="{23448BA1-051E-5441-8EC2-60AE7D17949D}" type="parTrans" cxnId="{52552758-F471-3140-A31F-1364A71780B2}">
      <dgm:prSet/>
      <dgm:spPr/>
      <dgm:t>
        <a:bodyPr/>
        <a:lstStyle/>
        <a:p>
          <a:endParaRPr lang="en-US"/>
        </a:p>
      </dgm:t>
    </dgm:pt>
    <dgm:pt modelId="{51C5C6B9-7CD5-6841-823E-F9423078AB9A}" type="sibTrans" cxnId="{52552758-F471-3140-A31F-1364A71780B2}">
      <dgm:prSet/>
      <dgm:spPr/>
      <dgm:t>
        <a:bodyPr/>
        <a:lstStyle/>
        <a:p>
          <a:endParaRPr lang="en-US"/>
        </a:p>
      </dgm:t>
    </dgm:pt>
    <dgm:pt modelId="{5C93FF06-CF0E-8E43-8DAE-20F6E0C0F1B0}">
      <dgm:prSet phldrT="[Text]"/>
      <dgm:spPr/>
      <dgm:t>
        <a:bodyPr/>
        <a:lstStyle/>
        <a:p>
          <a:endParaRPr lang="en-US"/>
        </a:p>
      </dgm:t>
    </dgm:pt>
    <dgm:pt modelId="{94EC35E3-03A4-6441-8C50-C66C39563E92}" type="sibTrans" cxnId="{EBC09506-C77B-5946-A70F-7A36198A86F2}">
      <dgm:prSet/>
      <dgm:spPr/>
      <dgm:t>
        <a:bodyPr/>
        <a:lstStyle/>
        <a:p>
          <a:endParaRPr lang="en-US"/>
        </a:p>
      </dgm:t>
    </dgm:pt>
    <dgm:pt modelId="{E9261CE6-297D-2B43-84FB-A4F5EFF367CC}" type="parTrans" cxnId="{EBC09506-C77B-5946-A70F-7A36198A86F2}">
      <dgm:prSet/>
      <dgm:spPr/>
      <dgm:t>
        <a:bodyPr/>
        <a:lstStyle/>
        <a:p>
          <a:endParaRPr lang="en-US"/>
        </a:p>
      </dgm:t>
    </dgm:pt>
    <dgm:pt modelId="{F98ACC81-6A31-2645-8529-6C128859E545}" type="pres">
      <dgm:prSet presAssocID="{9BB87662-E99E-1340-874A-DCD57EA99839}" presName="cycle" presStyleCnt="0">
        <dgm:presLayoutVars>
          <dgm:chMax val="1"/>
          <dgm:dir/>
          <dgm:animLvl val="ctr"/>
          <dgm:resizeHandles val="exact"/>
        </dgm:presLayoutVars>
      </dgm:prSet>
      <dgm:spPr/>
    </dgm:pt>
    <dgm:pt modelId="{3AF501C9-B0A6-6348-85BC-4473419961CA}" type="pres">
      <dgm:prSet presAssocID="{D97FCEFB-27E8-0B41-865A-2DD3B71A0F11}" presName="centerShape" presStyleLbl="node0" presStyleIdx="0" presStyleCnt="1"/>
      <dgm:spPr/>
    </dgm:pt>
    <dgm:pt modelId="{2D13EBF4-D3D6-A840-B635-9D94FFFA2FB2}" type="pres">
      <dgm:prSet presAssocID="{30A47BBE-1B0F-CB42-963D-094D6C27D62B}" presName="Name9" presStyleLbl="parChTrans1D2" presStyleIdx="0" presStyleCnt="12"/>
      <dgm:spPr/>
    </dgm:pt>
    <dgm:pt modelId="{3D9E01C9-E9D0-E64D-9779-E59D63F8E8F2}" type="pres">
      <dgm:prSet presAssocID="{30A47BBE-1B0F-CB42-963D-094D6C27D62B}" presName="connTx" presStyleLbl="parChTrans1D2" presStyleIdx="0" presStyleCnt="12"/>
      <dgm:spPr/>
    </dgm:pt>
    <dgm:pt modelId="{7DBB0311-E1DC-9C4C-864F-34E49214022F}" type="pres">
      <dgm:prSet presAssocID="{8D3F060D-E007-9549-B8B7-C31A73F82463}" presName="node" presStyleLbl="node1" presStyleIdx="0" presStyleCnt="12" custRadScaleRad="97699">
        <dgm:presLayoutVars>
          <dgm:bulletEnabled val="1"/>
        </dgm:presLayoutVars>
      </dgm:prSet>
      <dgm:spPr/>
    </dgm:pt>
    <dgm:pt modelId="{6393443C-79F6-2542-879B-640FFAE2929E}" type="pres">
      <dgm:prSet presAssocID="{C0054C26-2481-664B-88F7-AFB68AE879D8}" presName="Name9" presStyleLbl="parChTrans1D2" presStyleIdx="1" presStyleCnt="12"/>
      <dgm:spPr/>
    </dgm:pt>
    <dgm:pt modelId="{E4CA766D-E866-0143-B71E-EB3756EE26A7}" type="pres">
      <dgm:prSet presAssocID="{C0054C26-2481-664B-88F7-AFB68AE879D8}" presName="connTx" presStyleLbl="parChTrans1D2" presStyleIdx="1" presStyleCnt="12"/>
      <dgm:spPr/>
    </dgm:pt>
    <dgm:pt modelId="{F7A3F555-6697-9C46-99E3-AA53CD442625}" type="pres">
      <dgm:prSet presAssocID="{0732CC1E-96E3-7745-B758-B152013BE99D}" presName="node" presStyleLbl="node1" presStyleIdx="1" presStyleCnt="12" custScaleX="126329" custScaleY="120567">
        <dgm:presLayoutVars>
          <dgm:bulletEnabled val="1"/>
        </dgm:presLayoutVars>
      </dgm:prSet>
      <dgm:spPr/>
    </dgm:pt>
    <dgm:pt modelId="{B69E3161-F1A2-F343-B5FE-D4064CFA1163}" type="pres">
      <dgm:prSet presAssocID="{C5951D80-6B8B-2F45-BFC7-AE2B0EEC8990}" presName="Name9" presStyleLbl="parChTrans1D2" presStyleIdx="2" presStyleCnt="12"/>
      <dgm:spPr/>
    </dgm:pt>
    <dgm:pt modelId="{58EC6018-EBAA-1C46-A331-08B8B13583E5}" type="pres">
      <dgm:prSet presAssocID="{C5951D80-6B8B-2F45-BFC7-AE2B0EEC8990}" presName="connTx" presStyleLbl="parChTrans1D2" presStyleIdx="2" presStyleCnt="12"/>
      <dgm:spPr/>
    </dgm:pt>
    <dgm:pt modelId="{8BADE06C-9081-D440-AB63-7639135668F8}" type="pres">
      <dgm:prSet presAssocID="{FD14C59B-77CD-1448-85BB-42C324668460}" presName="node" presStyleLbl="node1" presStyleIdx="2" presStyleCnt="12" custScaleX="147756" custScaleY="134336" custRadScaleRad="108508" custRadScaleInc="-6141">
        <dgm:presLayoutVars>
          <dgm:bulletEnabled val="1"/>
        </dgm:presLayoutVars>
      </dgm:prSet>
      <dgm:spPr/>
    </dgm:pt>
    <dgm:pt modelId="{5E736A4E-488C-C04A-A302-48BA71AED351}" type="pres">
      <dgm:prSet presAssocID="{728D7C0E-6164-8340-BEEF-902A5E929433}" presName="Name9" presStyleLbl="parChTrans1D2" presStyleIdx="3" presStyleCnt="12"/>
      <dgm:spPr/>
    </dgm:pt>
    <dgm:pt modelId="{6DE863F3-86E8-8540-8B69-DA0913134570}" type="pres">
      <dgm:prSet presAssocID="{728D7C0E-6164-8340-BEEF-902A5E929433}" presName="connTx" presStyleLbl="parChTrans1D2" presStyleIdx="3" presStyleCnt="12"/>
      <dgm:spPr/>
    </dgm:pt>
    <dgm:pt modelId="{8B17FC50-09AE-4240-A810-011D77C45A75}" type="pres">
      <dgm:prSet presAssocID="{899AF13C-EE38-984B-9789-2D06FBA298C2}" presName="node" presStyleLbl="node1" presStyleIdx="3" presStyleCnt="12" custScaleX="131311" custScaleY="133270" custRadScaleRad="100018" custRadScaleInc="-7311">
        <dgm:presLayoutVars>
          <dgm:bulletEnabled val="1"/>
        </dgm:presLayoutVars>
      </dgm:prSet>
      <dgm:spPr/>
    </dgm:pt>
    <dgm:pt modelId="{CB833A1B-2060-074E-816B-CA09A0FA9C18}" type="pres">
      <dgm:prSet presAssocID="{AA2FAC8B-0067-FD48-BA83-55DF072B7B84}" presName="Name9" presStyleLbl="parChTrans1D2" presStyleIdx="4" presStyleCnt="12"/>
      <dgm:spPr/>
    </dgm:pt>
    <dgm:pt modelId="{0AA924B9-8915-FA47-B21D-99B5CB4AB927}" type="pres">
      <dgm:prSet presAssocID="{AA2FAC8B-0067-FD48-BA83-55DF072B7B84}" presName="connTx" presStyleLbl="parChTrans1D2" presStyleIdx="4" presStyleCnt="12"/>
      <dgm:spPr/>
    </dgm:pt>
    <dgm:pt modelId="{B2A651FF-993C-C04C-9E32-C4668F95C831}" type="pres">
      <dgm:prSet presAssocID="{74E3FBD7-6040-A442-8695-14759B165DB9}" presName="node" presStyleLbl="node1" presStyleIdx="4" presStyleCnt="12" custScaleX="145832" custScaleY="143765" custRadScaleRad="114448" custRadScaleInc="-7545">
        <dgm:presLayoutVars>
          <dgm:bulletEnabled val="1"/>
        </dgm:presLayoutVars>
      </dgm:prSet>
      <dgm:spPr/>
    </dgm:pt>
    <dgm:pt modelId="{C238ED0B-0168-844C-B13A-99302979067E}" type="pres">
      <dgm:prSet presAssocID="{BC836029-537B-324C-A7F8-9B7EFD051E84}" presName="Name9" presStyleLbl="parChTrans1D2" presStyleIdx="5" presStyleCnt="12"/>
      <dgm:spPr/>
    </dgm:pt>
    <dgm:pt modelId="{EDFA6550-93C2-5140-A33A-C3A7289D460B}" type="pres">
      <dgm:prSet presAssocID="{BC836029-537B-324C-A7F8-9B7EFD051E84}" presName="connTx" presStyleLbl="parChTrans1D2" presStyleIdx="5" presStyleCnt="12"/>
      <dgm:spPr/>
    </dgm:pt>
    <dgm:pt modelId="{4AE4858A-387E-7241-9DC4-466766DD1C28}" type="pres">
      <dgm:prSet presAssocID="{829B6EF6-A1F2-DB4A-A3DA-CA236CFD6711}" presName="node" presStyleLbl="node1" presStyleIdx="5" presStyleCnt="12" custScaleX="118501" custScaleY="118252">
        <dgm:presLayoutVars>
          <dgm:bulletEnabled val="1"/>
        </dgm:presLayoutVars>
      </dgm:prSet>
      <dgm:spPr/>
    </dgm:pt>
    <dgm:pt modelId="{F361269E-BD3B-7145-91D5-DF1BC505D2E6}" type="pres">
      <dgm:prSet presAssocID="{CDB51218-DB8E-C142-88C9-C1E55045338D}" presName="Name9" presStyleLbl="parChTrans1D2" presStyleIdx="6" presStyleCnt="12"/>
      <dgm:spPr/>
    </dgm:pt>
    <dgm:pt modelId="{5AD33901-225B-E840-A3FF-05B0BD711177}" type="pres">
      <dgm:prSet presAssocID="{CDB51218-DB8E-C142-88C9-C1E55045338D}" presName="connTx" presStyleLbl="parChTrans1D2" presStyleIdx="6" presStyleCnt="12"/>
      <dgm:spPr/>
    </dgm:pt>
    <dgm:pt modelId="{B0459488-DEB1-184D-8522-6DC8A7816320}" type="pres">
      <dgm:prSet presAssocID="{4BED0CAB-9EE6-624E-827F-E2DC7F992CCA}" presName="node" presStyleLbl="node1" presStyleIdx="6" presStyleCnt="12" custScaleX="132112" custScaleY="132914" custRadScaleRad="96850">
        <dgm:presLayoutVars>
          <dgm:bulletEnabled val="1"/>
        </dgm:presLayoutVars>
      </dgm:prSet>
      <dgm:spPr/>
    </dgm:pt>
    <dgm:pt modelId="{B6087749-6ED5-9745-9A19-07C8932A066D}" type="pres">
      <dgm:prSet presAssocID="{D8326E87-897D-894A-A148-40A9008DE9E4}" presName="Name9" presStyleLbl="parChTrans1D2" presStyleIdx="7" presStyleCnt="12"/>
      <dgm:spPr/>
    </dgm:pt>
    <dgm:pt modelId="{166949F3-6E50-804D-AFAB-2D707303A521}" type="pres">
      <dgm:prSet presAssocID="{D8326E87-897D-894A-A148-40A9008DE9E4}" presName="connTx" presStyleLbl="parChTrans1D2" presStyleIdx="7" presStyleCnt="12"/>
      <dgm:spPr/>
    </dgm:pt>
    <dgm:pt modelId="{8BC324E2-F298-7E49-92FD-F861EF77AF82}" type="pres">
      <dgm:prSet presAssocID="{6644304C-57C3-1E48-AC41-7D97B5407730}" presName="node" presStyleLbl="node1" presStyleIdx="7" presStyleCnt="12" custScaleX="118500" custScaleY="119551">
        <dgm:presLayoutVars>
          <dgm:bulletEnabled val="1"/>
        </dgm:presLayoutVars>
      </dgm:prSet>
      <dgm:spPr/>
    </dgm:pt>
    <dgm:pt modelId="{14463A35-61D3-7841-AD34-F0638B839C3C}" type="pres">
      <dgm:prSet presAssocID="{9EEF52A6-6068-5F4C-9C24-3F8740ABC344}" presName="Name9" presStyleLbl="parChTrans1D2" presStyleIdx="8" presStyleCnt="12"/>
      <dgm:spPr/>
    </dgm:pt>
    <dgm:pt modelId="{76374E95-09A9-B543-A6E2-0E4FA98A1256}" type="pres">
      <dgm:prSet presAssocID="{9EEF52A6-6068-5F4C-9C24-3F8740ABC344}" presName="connTx" presStyleLbl="parChTrans1D2" presStyleIdx="8" presStyleCnt="12"/>
      <dgm:spPr/>
    </dgm:pt>
    <dgm:pt modelId="{5D6D4E01-69BB-AA4E-9884-65DDB12B8F8B}" type="pres">
      <dgm:prSet presAssocID="{7606930B-4457-3B46-BE98-0F056F41FC06}" presName="node" presStyleLbl="node1" presStyleIdx="8" presStyleCnt="12" custScaleX="119409" custScaleY="120460">
        <dgm:presLayoutVars>
          <dgm:bulletEnabled val="1"/>
        </dgm:presLayoutVars>
      </dgm:prSet>
      <dgm:spPr/>
    </dgm:pt>
    <dgm:pt modelId="{093AE56E-1345-8B4C-938F-D0C0EAE0D740}" type="pres">
      <dgm:prSet presAssocID="{8F712B30-5741-D243-9356-2EC7A14F4FD2}" presName="Name9" presStyleLbl="parChTrans1D2" presStyleIdx="9" presStyleCnt="12"/>
      <dgm:spPr/>
    </dgm:pt>
    <dgm:pt modelId="{E5020945-A848-B246-937B-653BC63C540C}" type="pres">
      <dgm:prSet presAssocID="{8F712B30-5741-D243-9356-2EC7A14F4FD2}" presName="connTx" presStyleLbl="parChTrans1D2" presStyleIdx="9" presStyleCnt="12"/>
      <dgm:spPr/>
    </dgm:pt>
    <dgm:pt modelId="{30E85F3D-F9EC-4E4A-A132-E784731F865B}" type="pres">
      <dgm:prSet presAssocID="{5D263B81-61A8-F947-A7B8-624EF3676E2F}" presName="node" presStyleLbl="node1" presStyleIdx="9" presStyleCnt="12" custScaleX="115655" custScaleY="133270" custRadScaleRad="121285">
        <dgm:presLayoutVars>
          <dgm:bulletEnabled val="1"/>
        </dgm:presLayoutVars>
      </dgm:prSet>
      <dgm:spPr>
        <a:prstGeom prst="ellipse">
          <a:avLst/>
        </a:prstGeom>
      </dgm:spPr>
    </dgm:pt>
    <dgm:pt modelId="{2EF03633-4738-EF47-A092-294F67CB7DC2}" type="pres">
      <dgm:prSet presAssocID="{246E8E51-F5A5-A64B-BDF5-9CF80FA2A9F9}" presName="Name9" presStyleLbl="parChTrans1D2" presStyleIdx="10" presStyleCnt="12"/>
      <dgm:spPr/>
    </dgm:pt>
    <dgm:pt modelId="{8653D20C-8392-7849-9146-47C7CC9B668F}" type="pres">
      <dgm:prSet presAssocID="{246E8E51-F5A5-A64B-BDF5-9CF80FA2A9F9}" presName="connTx" presStyleLbl="parChTrans1D2" presStyleIdx="10" presStyleCnt="12"/>
      <dgm:spPr/>
    </dgm:pt>
    <dgm:pt modelId="{0E49DBF4-6916-DA47-A736-F9B6D0197BAC}" type="pres">
      <dgm:prSet presAssocID="{BE36D3A8-E111-BF4D-A442-120511534055}" presName="node" presStyleLbl="node1" presStyleIdx="10" presStyleCnt="12" custScaleX="130176" custScaleY="146081" custRadScaleRad="113087" custRadScaleInc="-5007">
        <dgm:presLayoutVars>
          <dgm:bulletEnabled val="1"/>
        </dgm:presLayoutVars>
      </dgm:prSet>
      <dgm:spPr/>
    </dgm:pt>
    <dgm:pt modelId="{46EEF8F5-07C1-2A43-B91D-15B017767D2F}" type="pres">
      <dgm:prSet presAssocID="{204E3972-85EF-9944-8444-EA68763102DF}" presName="Name9" presStyleLbl="parChTrans1D2" presStyleIdx="11" presStyleCnt="12"/>
      <dgm:spPr/>
    </dgm:pt>
    <dgm:pt modelId="{DC84F53C-256A-A54A-91B2-D01EFB4CDC7C}" type="pres">
      <dgm:prSet presAssocID="{204E3972-85EF-9944-8444-EA68763102DF}" presName="connTx" presStyleLbl="parChTrans1D2" presStyleIdx="11" presStyleCnt="12"/>
      <dgm:spPr/>
    </dgm:pt>
    <dgm:pt modelId="{44F4F655-744B-F544-A65A-76994DB31FC9}" type="pres">
      <dgm:prSet presAssocID="{9341A211-968E-3643-9FE2-5C021EA40264}" presName="node" presStyleLbl="node1" presStyleIdx="11" presStyleCnt="12" custScaleX="129267" custScaleY="120567">
        <dgm:presLayoutVars>
          <dgm:bulletEnabled val="1"/>
        </dgm:presLayoutVars>
      </dgm:prSet>
      <dgm:spPr/>
    </dgm:pt>
  </dgm:ptLst>
  <dgm:cxnLst>
    <dgm:cxn modelId="{E5360C02-E6D7-1546-8212-8980470FB83A}" srcId="{7606930B-4457-3B46-BE98-0F056F41FC06}" destId="{FCE5947D-1064-C242-8EAE-25A63F569253}" srcOrd="3" destOrd="0" parTransId="{B3C34C55-4211-AA47-933C-2AB1DDCF2C71}" sibTransId="{52DBBFA3-D2D8-6E41-9683-ABE4D3BBF7E0}"/>
    <dgm:cxn modelId="{CF307C02-55A6-9C49-90B9-61D9D25E3361}" srcId="{FD14C59B-77CD-1448-85BB-42C324668460}" destId="{08E3CC3F-A5CC-5846-8DAE-5A3210F7E95D}" srcOrd="3" destOrd="0" parTransId="{3D6E8FD5-5FAA-8546-98C5-87B5576B32D1}" sibTransId="{1438A2FC-E7D0-D649-AE89-4477139E6143}"/>
    <dgm:cxn modelId="{6C090E04-2F92-FE48-B978-6F2EAADA9539}" type="presOf" srcId="{97F20A1A-080F-604D-AB63-D906D14635B2}" destId="{B2A651FF-993C-C04C-9E32-C4668F95C831}" srcOrd="0" destOrd="1" presId="urn:microsoft.com/office/officeart/2005/8/layout/radial1"/>
    <dgm:cxn modelId="{73127A06-7B7E-E14E-A16E-8F87B7ECE508}" type="presOf" srcId="{353C39BF-BBB5-E64A-B7B0-AA9253DB4149}" destId="{8BADE06C-9081-D440-AB63-7639135668F8}" srcOrd="0" destOrd="1" presId="urn:microsoft.com/office/officeart/2005/8/layout/radial1"/>
    <dgm:cxn modelId="{EBC09506-C77B-5946-A70F-7A36198A86F2}" srcId="{5D263B81-61A8-F947-A7B8-624EF3676E2F}" destId="{5C93FF06-CF0E-8E43-8DAE-20F6E0C0F1B0}" srcOrd="3" destOrd="0" parTransId="{E9261CE6-297D-2B43-84FB-A4F5EFF367CC}" sibTransId="{94EC35E3-03A4-6441-8C50-C66C39563E92}"/>
    <dgm:cxn modelId="{AB5AC806-34C1-264F-A1CD-CF98C03EA08D}" type="presOf" srcId="{30A47BBE-1B0F-CB42-963D-094D6C27D62B}" destId="{3D9E01C9-E9D0-E64D-9779-E59D63F8E8F2}" srcOrd="1" destOrd="0" presId="urn:microsoft.com/office/officeart/2005/8/layout/radial1"/>
    <dgm:cxn modelId="{7C9FC408-276E-9540-8A65-BBB2C0380952}" srcId="{9341A211-968E-3643-9FE2-5C021EA40264}" destId="{CBDCD49F-0B98-8E46-BD0E-FBF07FAFDAA7}" srcOrd="2" destOrd="0" parTransId="{C4C2FFA1-14BD-CB4D-A876-DE757799188F}" sibTransId="{E0DBD957-584E-C645-B74C-933DFEC9B3F1}"/>
    <dgm:cxn modelId="{B069480A-CA32-D54B-A4B2-137A93EF952A}" type="presOf" srcId="{CCA23AE0-2E46-6348-B71A-233A10E61545}" destId="{8BC324E2-F298-7E49-92FD-F861EF77AF82}" srcOrd="0" destOrd="2" presId="urn:microsoft.com/office/officeart/2005/8/layout/radial1"/>
    <dgm:cxn modelId="{29E34F0C-9B62-404C-A82E-89C2BCF16694}" type="presOf" srcId="{BC836029-537B-324C-A7F8-9B7EFD051E84}" destId="{C238ED0B-0168-844C-B13A-99302979067E}" srcOrd="0" destOrd="0" presId="urn:microsoft.com/office/officeart/2005/8/layout/radial1"/>
    <dgm:cxn modelId="{36B0750C-65BC-C649-A4BD-4A6A32909FD1}" srcId="{6644304C-57C3-1E48-AC41-7D97B5407730}" destId="{44BA61E4-E0CE-AC49-B89E-5FC730CD6D0C}" srcOrd="0" destOrd="0" parTransId="{ADBE0B48-607E-D24C-9C9F-A85F3DFEB40F}" sibTransId="{1B4EAF16-1864-604E-A5FB-F95A0693F94B}"/>
    <dgm:cxn modelId="{F257EF0E-D596-3D46-9B24-8118C1E9DE7E}" srcId="{9341A211-968E-3643-9FE2-5C021EA40264}" destId="{38D0370A-BBD8-A640-8733-8C966F3DAF1A}" srcOrd="0" destOrd="0" parTransId="{F0F80D73-7B63-A246-B2B5-E16710F7BCE1}" sibTransId="{5999B4A9-9ED7-5F45-8A7D-63F032E69A7F}"/>
    <dgm:cxn modelId="{F16F1411-BD1C-F047-95A2-EB32D2A3C777}" srcId="{D97FCEFB-27E8-0B41-865A-2DD3B71A0F11}" destId="{4BED0CAB-9EE6-624E-827F-E2DC7F992CCA}" srcOrd="6" destOrd="0" parTransId="{CDB51218-DB8E-C142-88C9-C1E55045338D}" sibTransId="{36025213-72CE-8946-A4B7-2317220ED935}"/>
    <dgm:cxn modelId="{9D542112-9425-8944-8E42-816D8CE15C3E}" type="presOf" srcId="{DA47427F-35C7-4B42-A542-CE74C0BB3F07}" destId="{30E85F3D-F9EC-4E4A-A132-E784731F865B}" srcOrd="0" destOrd="1" presId="urn:microsoft.com/office/officeart/2005/8/layout/radial1"/>
    <dgm:cxn modelId="{248D3B16-B15E-344B-AC62-17EFD400B9B2}" srcId="{BE36D3A8-E111-BF4D-A442-120511534055}" destId="{73065FDE-BF66-5B45-8154-50A7C82FC27D}" srcOrd="0" destOrd="0" parTransId="{99D03FB9-BB44-0944-B8B2-2BC91B1095D0}" sibTransId="{F82A4839-CD89-AD41-B023-190D0C6503C6}"/>
    <dgm:cxn modelId="{7A027819-B2F3-C049-A8A8-EA1C10950182}" type="presOf" srcId="{9EEF52A6-6068-5F4C-9C24-3F8740ABC344}" destId="{76374E95-09A9-B543-A6E2-0E4FA98A1256}" srcOrd="1" destOrd="0" presId="urn:microsoft.com/office/officeart/2005/8/layout/radial1"/>
    <dgm:cxn modelId="{E1F72E1A-6D41-3847-BC0A-59DF98936567}" type="presOf" srcId="{76C996E6-1879-1D49-B58C-1186D4164525}" destId="{5D6D4E01-69BB-AA4E-9884-65DDB12B8F8B}" srcOrd="0" destOrd="1" presId="urn:microsoft.com/office/officeart/2005/8/layout/radial1"/>
    <dgm:cxn modelId="{0FB9491A-C4E4-444B-A822-5DA2114FE567}" type="presOf" srcId="{C0054C26-2481-664B-88F7-AFB68AE879D8}" destId="{E4CA766D-E866-0143-B71E-EB3756EE26A7}" srcOrd="1" destOrd="0" presId="urn:microsoft.com/office/officeart/2005/8/layout/radial1"/>
    <dgm:cxn modelId="{8E6AF41B-DD68-8448-870E-5049846EBCCF}" type="presOf" srcId="{806FD26C-3603-0F4F-982C-9FFFB2986069}" destId="{8BC324E2-F298-7E49-92FD-F861EF77AF82}" srcOrd="0" destOrd="3" presId="urn:microsoft.com/office/officeart/2005/8/layout/radial1"/>
    <dgm:cxn modelId="{92096C1D-6013-184F-B9F4-0BD8AC5409ED}" type="presOf" srcId="{CDB51218-DB8E-C142-88C9-C1E55045338D}" destId="{5AD33901-225B-E840-A3FF-05B0BD711177}" srcOrd="1" destOrd="0" presId="urn:microsoft.com/office/officeart/2005/8/layout/radial1"/>
    <dgm:cxn modelId="{6DFE8520-8C39-A144-A314-54B3A8299E2B}" type="presOf" srcId="{204E3972-85EF-9944-8444-EA68763102DF}" destId="{46EEF8F5-07C1-2A43-B91D-15B017767D2F}" srcOrd="0" destOrd="0" presId="urn:microsoft.com/office/officeart/2005/8/layout/radial1"/>
    <dgm:cxn modelId="{FA818622-EA4B-294E-AD45-BE56963E3035}" type="presOf" srcId="{ECB229BC-B630-8A4D-813D-4F794DCEBE61}" destId="{8B17FC50-09AE-4240-A810-011D77C45A75}" srcOrd="0" destOrd="3" presId="urn:microsoft.com/office/officeart/2005/8/layout/radial1"/>
    <dgm:cxn modelId="{1504FE22-1E19-4A45-A79D-9DBD78517EC8}" type="presOf" srcId="{8A4D4BB9-5B30-934E-AA09-7DF95BFFE5CB}" destId="{0E49DBF4-6916-DA47-A736-F9B6D0197BAC}" srcOrd="0" destOrd="4" presId="urn:microsoft.com/office/officeart/2005/8/layout/radial1"/>
    <dgm:cxn modelId="{016BB325-F095-0C42-8402-AC6BF4D9421F}" type="presOf" srcId="{25112D0F-D86E-9B45-82B5-7FDF65A98A01}" destId="{5D6D4E01-69BB-AA4E-9884-65DDB12B8F8B}" srcOrd="0" destOrd="3" presId="urn:microsoft.com/office/officeart/2005/8/layout/radial1"/>
    <dgm:cxn modelId="{515C2A28-E4A9-8F45-A46B-E38997FF83DB}" type="presOf" srcId="{D8326E87-897D-894A-A148-40A9008DE9E4}" destId="{166949F3-6E50-804D-AFAB-2D707303A521}" srcOrd="1" destOrd="0" presId="urn:microsoft.com/office/officeart/2005/8/layout/radial1"/>
    <dgm:cxn modelId="{7FA33A28-072A-2F48-A4DE-9D030BC871B3}" srcId="{FD14C59B-77CD-1448-85BB-42C324668460}" destId="{353C39BF-BBB5-E64A-B7B0-AA9253DB4149}" srcOrd="0" destOrd="0" parTransId="{3F5E558A-9D5B-A54E-8BF6-4760DCF798A1}" sibTransId="{0C672535-6A94-0044-A6E0-4E3FF9A7EA9F}"/>
    <dgm:cxn modelId="{BAB5DC2A-AE98-8247-B642-BA42B149677A}" srcId="{74E3FBD7-6040-A442-8695-14759B165DB9}" destId="{97F20A1A-080F-604D-AB63-D906D14635B2}" srcOrd="0" destOrd="0" parTransId="{AB16BBEA-B4A2-4C46-9124-47DAD7132C12}" sibTransId="{B39E39A8-F8A8-9E46-9EF5-4231F4A478C5}"/>
    <dgm:cxn modelId="{A3F33F30-D7D5-C94B-9266-95199BFF1D38}" type="presOf" srcId="{44BA61E4-E0CE-AC49-B89E-5FC730CD6D0C}" destId="{8BC324E2-F298-7E49-92FD-F861EF77AF82}" srcOrd="0" destOrd="1" presId="urn:microsoft.com/office/officeart/2005/8/layout/radial1"/>
    <dgm:cxn modelId="{1FEB6032-3FF7-F541-9334-9F98D2FF0DD6}" srcId="{74E3FBD7-6040-A442-8695-14759B165DB9}" destId="{A06CD6F0-F2EA-214D-95A4-454D281FD13A}" srcOrd="5" destOrd="0" parTransId="{D1E63434-B81D-5240-8B41-588A37A6562F}" sibTransId="{6377C905-CEE5-C747-A01E-283E30105EDD}"/>
    <dgm:cxn modelId="{EF5BD232-7191-6D4F-98BC-69E5837E95FE}" srcId="{74E3FBD7-6040-A442-8695-14759B165DB9}" destId="{0028A479-45DC-2E45-B592-7CEF811AA6CE}" srcOrd="3" destOrd="0" parTransId="{F2CC0C14-0DA8-0847-92D8-89AA51FEB7B8}" sibTransId="{2FF8A00A-DD30-8C46-A8A8-F7FBF9699CE1}"/>
    <dgm:cxn modelId="{E02F0E35-98BA-2E44-989B-349C36721400}" srcId="{BE36D3A8-E111-BF4D-A442-120511534055}" destId="{232B26D0-0B3C-574E-8C6B-0A95F1869C3C}" srcOrd="2" destOrd="0" parTransId="{E4C84942-DCB1-BD44-863C-AA9FDE2E5836}" sibTransId="{C3A74762-9730-F44B-8C23-D54D085B8C81}"/>
    <dgm:cxn modelId="{EFDB8835-188D-154B-944A-383453680070}" srcId="{0732CC1E-96E3-7745-B758-B152013BE99D}" destId="{D366DCA5-6C54-784A-B13A-16EA8F6F4BD5}" srcOrd="1" destOrd="0" parTransId="{342DEB78-5FB7-874F-B427-2198F410B67A}" sibTransId="{19CD756F-4A8F-D041-91D8-EC915136EE9E}"/>
    <dgm:cxn modelId="{77A53837-5BD9-DC41-A5CF-FD2AF780DD81}" type="presOf" srcId="{CDB51218-DB8E-C142-88C9-C1E55045338D}" destId="{F361269E-BD3B-7145-91D5-DF1BC505D2E6}" srcOrd="0" destOrd="0" presId="urn:microsoft.com/office/officeart/2005/8/layout/radial1"/>
    <dgm:cxn modelId="{4156A53B-BF3F-4E42-9437-3445C9F04960}" srcId="{4BED0CAB-9EE6-624E-827F-E2DC7F992CCA}" destId="{9A3171FB-EE37-114B-8E71-04E26BE6681A}" srcOrd="3" destOrd="0" parTransId="{AF8EC947-30E5-A343-AE2D-E0AE18FBF770}" sibTransId="{C8DEAB47-463B-3147-830B-D2A2E4D0BF5B}"/>
    <dgm:cxn modelId="{F569B03B-A468-B24F-BC58-9331911DADA6}" type="presOf" srcId="{4CFB7D1B-2DC0-814A-9D68-166CFE1C326C}" destId="{30E85F3D-F9EC-4E4A-A132-E784731F865B}" srcOrd="0" destOrd="3" presId="urn:microsoft.com/office/officeart/2005/8/layout/radial1"/>
    <dgm:cxn modelId="{72E1453E-57C3-6C4A-A420-93CE60E0455C}" type="presOf" srcId="{B2760517-105D-FF49-A82A-5BFA3D6BA43D}" destId="{4AE4858A-387E-7241-9DC4-466766DD1C28}" srcOrd="0" destOrd="6" presId="urn:microsoft.com/office/officeart/2005/8/layout/radial1"/>
    <dgm:cxn modelId="{DFA0355C-8909-E84B-B965-8CA11C281254}" type="presOf" srcId="{BC836029-537B-324C-A7F8-9B7EFD051E84}" destId="{EDFA6550-93C2-5140-A33A-C3A7289D460B}" srcOrd="1" destOrd="0" presId="urn:microsoft.com/office/officeart/2005/8/layout/radial1"/>
    <dgm:cxn modelId="{CDFF115D-B856-2548-9D47-C65E52D2A6FA}" srcId="{8D3F060D-E007-9549-B8B7-C31A73F82463}" destId="{A91EDFFB-EF5E-B44C-96EE-2C5D8E4729ED}" srcOrd="1" destOrd="0" parTransId="{64B8628E-5287-4343-A700-35F572E9518B}" sibTransId="{69AD3CF0-41A5-3B47-A1B1-822A97587729}"/>
    <dgm:cxn modelId="{EA9E735E-DA9D-E54A-8EE5-DD4A93520611}" srcId="{D97FCEFB-27E8-0B41-865A-2DD3B71A0F11}" destId="{899AF13C-EE38-984B-9789-2D06FBA298C2}" srcOrd="3" destOrd="0" parTransId="{728D7C0E-6164-8340-BEEF-902A5E929433}" sibTransId="{243339EC-F342-6740-9D2F-9CC9D2E79B4F}"/>
    <dgm:cxn modelId="{219CA560-4E4E-CF4D-AB59-C3279BF9FBB3}" srcId="{9341A211-968E-3643-9FE2-5C021EA40264}" destId="{AB907385-0593-E849-9699-638650D96AA0}" srcOrd="1" destOrd="0" parTransId="{82BE03CF-9A7A-3449-8AFC-F11EC9366FE2}" sibTransId="{D52083E7-DC69-D049-968E-F9E80F760DCE}"/>
    <dgm:cxn modelId="{AC9FE363-CBE5-7E49-980E-E1BC920604B7}" srcId="{D97FCEFB-27E8-0B41-865A-2DD3B71A0F11}" destId="{7606930B-4457-3B46-BE98-0F056F41FC06}" srcOrd="8" destOrd="0" parTransId="{9EEF52A6-6068-5F4C-9C24-3F8740ABC344}" sibTransId="{5FF2D90E-3866-8D44-9CC8-801AECAB24D7}"/>
    <dgm:cxn modelId="{E14B1E64-5231-FF4E-9553-6E33390968F6}" type="presOf" srcId="{30A47BBE-1B0F-CB42-963D-094D6C27D62B}" destId="{2D13EBF4-D3D6-A840-B635-9D94FFFA2FB2}" srcOrd="0" destOrd="0" presId="urn:microsoft.com/office/officeart/2005/8/layout/radial1"/>
    <dgm:cxn modelId="{E6F12544-5517-2B4A-BAD8-C46C1BC72E38}" srcId="{FD14C59B-77CD-1448-85BB-42C324668460}" destId="{5FD6A914-50B7-EF49-AE42-DA70184A12EB}" srcOrd="2" destOrd="0" parTransId="{4B73B691-EA48-8E46-9974-C77BA10B94AB}" sibTransId="{7D003CD0-2C86-7E47-A21E-8B014E77E8A7}"/>
    <dgm:cxn modelId="{030B6245-5075-844F-BC8E-FB9EBED4B6CD}" type="presOf" srcId="{6644304C-57C3-1E48-AC41-7D97B5407730}" destId="{8BC324E2-F298-7E49-92FD-F861EF77AF82}" srcOrd="0" destOrd="0" presId="urn:microsoft.com/office/officeart/2005/8/layout/radial1"/>
    <dgm:cxn modelId="{FC0C5645-27BF-AC4C-82AE-4B013C65F6A5}" type="presOf" srcId="{0732CC1E-96E3-7745-B758-B152013BE99D}" destId="{F7A3F555-6697-9C46-99E3-AA53CD442625}" srcOrd="0" destOrd="0" presId="urn:microsoft.com/office/officeart/2005/8/layout/radial1"/>
    <dgm:cxn modelId="{28F10146-A38B-144D-A2BA-C279267A1477}" type="presOf" srcId="{5D78CB02-CF3D-0F47-AAC2-596D82D90FFD}" destId="{7DBB0311-E1DC-9C4C-864F-34E49214022F}" srcOrd="0" destOrd="3" presId="urn:microsoft.com/office/officeart/2005/8/layout/radial1"/>
    <dgm:cxn modelId="{F8B98346-506D-FA4C-B071-8F0C7346FEAC}" type="presOf" srcId="{E60821EE-D251-B043-A0EA-BFFFED73B1BD}" destId="{4AE4858A-387E-7241-9DC4-466766DD1C28}" srcOrd="0" destOrd="1" presId="urn:microsoft.com/office/officeart/2005/8/layout/radial1"/>
    <dgm:cxn modelId="{0782BA48-1011-C949-98EA-9AF396C53461}" type="presOf" srcId="{8F712B30-5741-D243-9356-2EC7A14F4FD2}" destId="{093AE56E-1345-8B4C-938F-D0C0EAE0D740}" srcOrd="0" destOrd="0" presId="urn:microsoft.com/office/officeart/2005/8/layout/radial1"/>
    <dgm:cxn modelId="{2C5D6C49-8725-1B47-A8EA-A3A35ED6DDC5}" srcId="{D97FCEFB-27E8-0B41-865A-2DD3B71A0F11}" destId="{8D3F060D-E007-9549-B8B7-C31A73F82463}" srcOrd="0" destOrd="0" parTransId="{30A47BBE-1B0F-CB42-963D-094D6C27D62B}" sibTransId="{79F9593E-2814-9D40-BC76-BAA04DE75F3D}"/>
    <dgm:cxn modelId="{81C5B569-9F89-5242-8A5B-D0E570E317B2}" type="presOf" srcId="{899AF13C-EE38-984B-9789-2D06FBA298C2}" destId="{8B17FC50-09AE-4240-A810-011D77C45A75}" srcOrd="0" destOrd="0" presId="urn:microsoft.com/office/officeart/2005/8/layout/radial1"/>
    <dgm:cxn modelId="{744FDA69-3CCB-6647-AB50-90D8B67D0763}" srcId="{7606930B-4457-3B46-BE98-0F056F41FC06}" destId="{76C996E6-1879-1D49-B58C-1186D4164525}" srcOrd="0" destOrd="0" parTransId="{3602767E-4AB6-5C4B-8D2C-391C9CC48DE0}" sibTransId="{C712E2DB-6D86-1F46-859F-0203A3F3283E}"/>
    <dgm:cxn modelId="{54CF0A4A-1748-1F4D-9988-C2AF8E420864}" type="presOf" srcId="{73065FDE-BF66-5B45-8154-50A7C82FC27D}" destId="{0E49DBF4-6916-DA47-A736-F9B6D0197BAC}" srcOrd="0" destOrd="1" presId="urn:microsoft.com/office/officeart/2005/8/layout/radial1"/>
    <dgm:cxn modelId="{AFAF936A-EEB2-144F-8FB8-A4D271D8B366}" type="presOf" srcId="{6B756077-4D36-8D46-8830-CE8617DB5C2A}" destId="{4AE4858A-387E-7241-9DC4-466766DD1C28}" srcOrd="0" destOrd="3" presId="urn:microsoft.com/office/officeart/2005/8/layout/radial1"/>
    <dgm:cxn modelId="{7E2D994A-F30D-A94C-8803-58A737C9E414}" type="presOf" srcId="{204E3972-85EF-9944-8444-EA68763102DF}" destId="{DC84F53C-256A-A54A-91B2-D01EFB4CDC7C}" srcOrd="1" destOrd="0" presId="urn:microsoft.com/office/officeart/2005/8/layout/radial1"/>
    <dgm:cxn modelId="{B2DE5F6B-1157-854A-A4C2-383307800A2F}" type="presOf" srcId="{BBFD2BFE-67D1-F54A-8584-D90E8771DD18}" destId="{8BC324E2-F298-7E49-92FD-F861EF77AF82}" srcOrd="0" destOrd="4" presId="urn:microsoft.com/office/officeart/2005/8/layout/radial1"/>
    <dgm:cxn modelId="{4B04504C-273D-2941-B263-FFDB774DFE4D}" srcId="{FD14C59B-77CD-1448-85BB-42C324668460}" destId="{D75A2EC4-EC1A-614F-BF4C-0890A9D23BAA}" srcOrd="1" destOrd="0" parTransId="{5D379E2A-FC26-C541-8D81-F06D470710A6}" sibTransId="{12DC1CD7-7647-9C4D-A42F-36A07F409FAC}"/>
    <dgm:cxn modelId="{1ED5164D-CA34-F04F-AE2F-6487F33A2402}" srcId="{D97FCEFB-27E8-0B41-865A-2DD3B71A0F11}" destId="{74E3FBD7-6040-A442-8695-14759B165DB9}" srcOrd="4" destOrd="0" parTransId="{AA2FAC8B-0067-FD48-BA83-55DF072B7B84}" sibTransId="{6C37CC98-7340-2248-9D09-1284F2953A5C}"/>
    <dgm:cxn modelId="{6130BA6E-F739-B641-A575-15618E68D380}" srcId="{8D3F060D-E007-9549-B8B7-C31A73F82463}" destId="{C0545EEF-57D6-5948-BAFF-4BA1BB4984E4}" srcOrd="0" destOrd="0" parTransId="{8160E120-278E-7044-9D64-E1C49CAFA1DF}" sibTransId="{7509EA6F-F995-894E-94E4-5D8EFF331967}"/>
    <dgm:cxn modelId="{DFED774F-C12D-DB47-9EFD-9E0CF25DFE8D}" srcId="{829B6EF6-A1F2-DB4A-A3DA-CA236CFD6711}" destId="{9E80545E-C0B2-944F-9829-3BE0B306CD7B}" srcOrd="1" destOrd="0" parTransId="{9B09C016-439E-324D-96D0-19D7569ED0A6}" sibTransId="{951B5CF7-5ED9-E648-806D-9D1B7E32CAB5}"/>
    <dgm:cxn modelId="{0B64C850-D4B1-3A4C-969E-0BD30D788884}" srcId="{D97FCEFB-27E8-0B41-865A-2DD3B71A0F11}" destId="{BE36D3A8-E111-BF4D-A442-120511534055}" srcOrd="10" destOrd="0" parTransId="{246E8E51-F5A5-A64B-BDF5-9CF80FA2A9F9}" sibTransId="{D17A6D01-F45B-1D48-B85B-FF45E2A714E9}"/>
    <dgm:cxn modelId="{D41DBB71-BF00-C64D-A46E-7BF600DA9258}" type="presOf" srcId="{728D7C0E-6164-8340-BEEF-902A5E929433}" destId="{5E736A4E-488C-C04A-A302-48BA71AED351}" srcOrd="0" destOrd="0" presId="urn:microsoft.com/office/officeart/2005/8/layout/radial1"/>
    <dgm:cxn modelId="{94B9C171-4367-A240-80CB-CD51FCCB05CD}" type="presOf" srcId="{C0545EEF-57D6-5948-BAFF-4BA1BB4984E4}" destId="{7DBB0311-E1DC-9C4C-864F-34E49214022F}" srcOrd="0" destOrd="1" presId="urn:microsoft.com/office/officeart/2005/8/layout/radial1"/>
    <dgm:cxn modelId="{8911E871-4A4E-0B45-80B8-536D28B9BC6C}" type="presOf" srcId="{9A3171FB-EE37-114B-8E71-04E26BE6681A}" destId="{B0459488-DEB1-184D-8522-6DC8A7816320}" srcOrd="0" destOrd="4" presId="urn:microsoft.com/office/officeart/2005/8/layout/radial1"/>
    <dgm:cxn modelId="{9E8CEB51-1D40-2C4F-AE95-D198628F743E}" type="presOf" srcId="{728D7C0E-6164-8340-BEEF-902A5E929433}" destId="{6DE863F3-86E8-8540-8B69-DA0913134570}" srcOrd="1" destOrd="0" presId="urn:microsoft.com/office/officeart/2005/8/layout/radial1"/>
    <dgm:cxn modelId="{07460C73-0FA7-CA46-8107-450A99D6E347}" type="presOf" srcId="{D97FCEFB-27E8-0B41-865A-2DD3B71A0F11}" destId="{3AF501C9-B0A6-6348-85BC-4473419961CA}" srcOrd="0" destOrd="0" presId="urn:microsoft.com/office/officeart/2005/8/layout/radial1"/>
    <dgm:cxn modelId="{FEAEFC54-BB7E-5846-B1FB-936B4E203ED7}" type="presOf" srcId="{5FD6A914-50B7-EF49-AE42-DA70184A12EB}" destId="{8BADE06C-9081-D440-AB63-7639135668F8}" srcOrd="0" destOrd="3" presId="urn:microsoft.com/office/officeart/2005/8/layout/radial1"/>
    <dgm:cxn modelId="{072C0477-92DC-9044-81DE-ED99870AFF5C}" type="presOf" srcId="{8D3F060D-E007-9549-B8B7-C31A73F82463}" destId="{7DBB0311-E1DC-9C4C-864F-34E49214022F}" srcOrd="0" destOrd="0" presId="urn:microsoft.com/office/officeart/2005/8/layout/radial1"/>
    <dgm:cxn modelId="{7994C277-F646-1248-9D95-442A24F7AC30}" srcId="{D97FCEFB-27E8-0B41-865A-2DD3B71A0F11}" destId="{9341A211-968E-3643-9FE2-5C021EA40264}" srcOrd="11" destOrd="0" parTransId="{204E3972-85EF-9944-8444-EA68763102DF}" sibTransId="{2E769A83-1CEA-FD43-85F4-E274C8BE331C}"/>
    <dgm:cxn modelId="{3ADBCD77-62E7-4F4C-A530-BFD87B4ECCCB}" type="presOf" srcId="{A4DF97F8-395F-0D4E-914F-B13623EAAA05}" destId="{4AE4858A-387E-7241-9DC4-466766DD1C28}" srcOrd="0" destOrd="4" presId="urn:microsoft.com/office/officeart/2005/8/layout/radial1"/>
    <dgm:cxn modelId="{52552758-F471-3140-A31F-1364A71780B2}" srcId="{9341A211-968E-3643-9FE2-5C021EA40264}" destId="{F4888F20-0CA4-9743-885F-4655EABAEDDD}" srcOrd="3" destOrd="0" parTransId="{23448BA1-051E-5441-8EC2-60AE7D17949D}" sibTransId="{51C5C6B9-7CD5-6841-823E-F9423078AB9A}"/>
    <dgm:cxn modelId="{C353AA7B-8BEA-7F44-93B9-D25D88037BA7}" srcId="{BE36D3A8-E111-BF4D-A442-120511534055}" destId="{18F5DC1D-E01D-3F42-A246-0B1D72496613}" srcOrd="1" destOrd="0" parTransId="{B4A2670D-E98E-154D-9623-F882875D2143}" sibTransId="{BC77ABB1-CA41-934F-B840-8746F403B5F1}"/>
    <dgm:cxn modelId="{2D78E37B-CBDA-3646-8D90-63321E9174C3}" type="presOf" srcId="{8B060FDC-6A3A-0847-A121-092F17A43A09}" destId="{5D6D4E01-69BB-AA4E-9884-65DDB12B8F8B}" srcOrd="0" destOrd="2" presId="urn:microsoft.com/office/officeart/2005/8/layout/radial1"/>
    <dgm:cxn modelId="{CDD6357C-0BBF-1242-BC3D-53868B1967F4}" type="presOf" srcId="{D8326E87-897D-894A-A148-40A9008DE9E4}" destId="{B6087749-6ED5-9745-9A19-07C8932A066D}" srcOrd="0" destOrd="0" presId="urn:microsoft.com/office/officeart/2005/8/layout/radial1"/>
    <dgm:cxn modelId="{65E7C97C-3F67-D94A-9F7F-2C60D57CD95D}" srcId="{6644304C-57C3-1E48-AC41-7D97B5407730}" destId="{CCA23AE0-2E46-6348-B71A-233A10E61545}" srcOrd="1" destOrd="0" parTransId="{ECD5842D-29CB-1849-895A-37D3B649BBC3}" sibTransId="{36B45C5D-369B-E347-BA02-C1829981E42C}"/>
    <dgm:cxn modelId="{D760E17C-3C27-E141-9D61-EE626014B129}" type="presOf" srcId="{232B26D0-0B3C-574E-8C6B-0A95F1869C3C}" destId="{0E49DBF4-6916-DA47-A736-F9B6D0197BAC}" srcOrd="0" destOrd="3" presId="urn:microsoft.com/office/officeart/2005/8/layout/radial1"/>
    <dgm:cxn modelId="{6D86107F-84F3-5942-85AB-DD0BC489C0BC}" type="presOf" srcId="{CBDCD49F-0B98-8E46-BD0E-FBF07FAFDAA7}" destId="{44F4F655-744B-F544-A65A-76994DB31FC9}" srcOrd="0" destOrd="3" presId="urn:microsoft.com/office/officeart/2005/8/layout/radial1"/>
    <dgm:cxn modelId="{4BE5677F-D123-0542-9A24-E4913183A71F}" type="presOf" srcId="{8F712B30-5741-D243-9356-2EC7A14F4FD2}" destId="{E5020945-A848-B246-937B-653BC63C540C}" srcOrd="1" destOrd="0" presId="urn:microsoft.com/office/officeart/2005/8/layout/radial1"/>
    <dgm:cxn modelId="{2C32B786-CCB5-624E-A1F6-0DC6659EE853}" srcId="{74E3FBD7-6040-A442-8695-14759B165DB9}" destId="{1B25E007-1276-5646-94AE-C3681856B32A}" srcOrd="4" destOrd="0" parTransId="{F67C6476-42A0-CB48-8884-4C218FEE401C}" sibTransId="{85D0F0D2-1000-734C-A7B1-9667DE7C7466}"/>
    <dgm:cxn modelId="{0981738B-4514-3C4A-875D-ED083222E7BE}" type="presOf" srcId="{4BED0CAB-9EE6-624E-827F-E2DC7F992CCA}" destId="{B0459488-DEB1-184D-8522-6DC8A7816320}" srcOrd="0" destOrd="0" presId="urn:microsoft.com/office/officeart/2005/8/layout/radial1"/>
    <dgm:cxn modelId="{C3C49B8C-4518-D545-936B-A5AD29CEAE14}" type="presOf" srcId="{7865A4F1-1938-4D44-AADA-66859FDDF45D}" destId="{F7A3F555-6697-9C46-99E3-AA53CD442625}" srcOrd="0" destOrd="3" presId="urn:microsoft.com/office/officeart/2005/8/layout/radial1"/>
    <dgm:cxn modelId="{32EECF90-F5C2-DF43-983B-3055E3261AEE}" srcId="{D97FCEFB-27E8-0B41-865A-2DD3B71A0F11}" destId="{829B6EF6-A1F2-DB4A-A3DA-CA236CFD6711}" srcOrd="5" destOrd="0" parTransId="{BC836029-537B-324C-A7F8-9B7EFD051E84}" sibTransId="{E6F0ECD7-B5B4-AA49-8F45-BC9FF1D7DA00}"/>
    <dgm:cxn modelId="{EEC02C95-E25B-6C44-8ECE-C3E76DCFF2AF}" srcId="{829B6EF6-A1F2-DB4A-A3DA-CA236CFD6711}" destId="{6B756077-4D36-8D46-8830-CE8617DB5C2A}" srcOrd="2" destOrd="0" parTransId="{E63EC6B0-B53E-0C4D-B7BA-04F5633921D1}" sibTransId="{F202FF64-8FB4-6348-A90E-2210E26FB053}"/>
    <dgm:cxn modelId="{66DF6495-FD74-B94C-943C-641FE588F302}" srcId="{74E3FBD7-6040-A442-8695-14759B165DB9}" destId="{66E2C343-A4CB-C04A-A674-13A69AFDC20C}" srcOrd="2" destOrd="0" parTransId="{5D759FAE-F48D-DC49-8F99-08F4510D886A}" sibTransId="{372F0D0A-6778-E24F-801A-F8B4E295AD40}"/>
    <dgm:cxn modelId="{EFE5C597-C49E-6C40-86E7-4EDF08961A35}" type="presOf" srcId="{C0054C26-2481-664B-88F7-AFB68AE879D8}" destId="{6393443C-79F6-2542-879B-640FFAE2929E}" srcOrd="0" destOrd="0" presId="urn:microsoft.com/office/officeart/2005/8/layout/radial1"/>
    <dgm:cxn modelId="{EDDF6098-5722-A34A-92EF-639D398C0D1E}" type="presOf" srcId="{66E2C343-A4CB-C04A-A674-13A69AFDC20C}" destId="{B2A651FF-993C-C04C-9E32-C4668F95C831}" srcOrd="0" destOrd="3" presId="urn:microsoft.com/office/officeart/2005/8/layout/radial1"/>
    <dgm:cxn modelId="{2D8FA798-B4F0-4D4A-A053-28888E58A373}" srcId="{829B6EF6-A1F2-DB4A-A3DA-CA236CFD6711}" destId="{E60821EE-D251-B043-A0EA-BFFFED73B1BD}" srcOrd="0" destOrd="0" parTransId="{F637CD61-BAB4-F040-96B2-71D6804B4EED}" sibTransId="{FE6E19C2-33CE-D74D-BF49-EEACAAC542A5}"/>
    <dgm:cxn modelId="{4A552199-7DE1-2A4F-A7F2-ACA4844EF0FD}" srcId="{899AF13C-EE38-984B-9789-2D06FBA298C2}" destId="{ECB229BC-B630-8A4D-813D-4F794DCEBE61}" srcOrd="2" destOrd="0" parTransId="{AB4508EB-D466-1F4C-B1A6-7A7FEB845673}" sibTransId="{FAE57E3F-CCD2-3044-AD70-CAFA93A29953}"/>
    <dgm:cxn modelId="{B600109A-78C0-4443-832A-E42F83089ADC}" type="presOf" srcId="{0028A479-45DC-2E45-B592-7CEF811AA6CE}" destId="{B2A651FF-993C-C04C-9E32-C4668F95C831}" srcOrd="0" destOrd="4" presId="urn:microsoft.com/office/officeart/2005/8/layout/radial1"/>
    <dgm:cxn modelId="{F5AD269A-5B13-7542-8BB2-24700038E768}" type="presOf" srcId="{1B25E007-1276-5646-94AE-C3681856B32A}" destId="{B2A651FF-993C-C04C-9E32-C4668F95C831}" srcOrd="0" destOrd="5" presId="urn:microsoft.com/office/officeart/2005/8/layout/radial1"/>
    <dgm:cxn modelId="{01CAA89A-BB3B-3243-81C8-CA1360F94F87}" type="presOf" srcId="{B9E591F8-51D7-A14F-A9F9-1BF39A2D8D45}" destId="{8B17FC50-09AE-4240-A810-011D77C45A75}" srcOrd="0" destOrd="4" presId="urn:microsoft.com/office/officeart/2005/8/layout/radial1"/>
    <dgm:cxn modelId="{57608D9B-92CA-A244-BA84-05B6B17D71F6}" type="presOf" srcId="{C5951D80-6B8B-2F45-BFC7-AE2B0EEC8990}" destId="{58EC6018-EBAA-1C46-A331-08B8B13583E5}" srcOrd="1" destOrd="0" presId="urn:microsoft.com/office/officeart/2005/8/layout/radial1"/>
    <dgm:cxn modelId="{E6A07A9C-7BD1-9549-8E41-8F7E88A7B74D}" srcId="{D97FCEFB-27E8-0B41-865A-2DD3B71A0F11}" destId="{5D263B81-61A8-F947-A7B8-624EF3676E2F}" srcOrd="9" destOrd="0" parTransId="{8F712B30-5741-D243-9356-2EC7A14F4FD2}" sibTransId="{1DACB9C2-ACC2-364E-AC69-9300C12B1BCB}"/>
    <dgm:cxn modelId="{7B8C0F9D-0E1D-764B-84F6-483701C705F0}" type="presOf" srcId="{D6B0FF3F-EBDF-1B4C-A70C-70A3D21569AE}" destId="{30E85F3D-F9EC-4E4A-A132-E784731F865B}" srcOrd="0" destOrd="2" presId="urn:microsoft.com/office/officeart/2005/8/layout/radial1"/>
    <dgm:cxn modelId="{0E36CD9D-6945-2449-A348-CE0C3770540B}" srcId="{5D263B81-61A8-F947-A7B8-624EF3676E2F}" destId="{4CFB7D1B-2DC0-814A-9D68-166CFE1C326C}" srcOrd="2" destOrd="0" parTransId="{76163554-C4EE-AE42-AD72-EEAE74C98347}" sibTransId="{140EA099-F910-6846-9665-24CCB1B0E8A8}"/>
    <dgm:cxn modelId="{DB91CE9D-F1EA-6845-9354-9A42D6DA6727}" type="presOf" srcId="{AA2FAC8B-0067-FD48-BA83-55DF072B7B84}" destId="{0AA924B9-8915-FA47-B21D-99B5CB4AB927}" srcOrd="1" destOrd="0" presId="urn:microsoft.com/office/officeart/2005/8/layout/radial1"/>
    <dgm:cxn modelId="{FB1E049F-0B15-4A4D-AA09-3EEB52A2D9D3}" type="presOf" srcId="{5D49782B-9ECB-C94B-9311-D6F8A607F066}" destId="{B0459488-DEB1-184D-8522-6DC8A7816320}" srcOrd="0" destOrd="1" presId="urn:microsoft.com/office/officeart/2005/8/layout/radial1"/>
    <dgm:cxn modelId="{8B8FE59F-8046-FF44-B039-68604A819F7A}" type="presOf" srcId="{246E8E51-F5A5-A64B-BDF5-9CF80FA2A9F9}" destId="{8653D20C-8392-7849-9146-47C7CC9B668F}" srcOrd="1" destOrd="0" presId="urn:microsoft.com/office/officeart/2005/8/layout/radial1"/>
    <dgm:cxn modelId="{3278F4A0-3376-C740-9586-017A8807D82A}" type="presOf" srcId="{C5951D80-6B8B-2F45-BFC7-AE2B0EEC8990}" destId="{B69E3161-F1A2-F343-B5FE-D4064CFA1163}" srcOrd="0" destOrd="0" presId="urn:microsoft.com/office/officeart/2005/8/layout/radial1"/>
    <dgm:cxn modelId="{B122DBA4-A2A7-F644-AAF5-BD57B673EF86}" type="presOf" srcId="{38D0370A-BBD8-A640-8733-8C966F3DAF1A}" destId="{44F4F655-744B-F544-A65A-76994DB31FC9}" srcOrd="0" destOrd="1" presId="urn:microsoft.com/office/officeart/2005/8/layout/radial1"/>
    <dgm:cxn modelId="{70C4DAA5-FE8B-F146-8D4F-772F39AE3154}" type="presOf" srcId="{F4888F20-0CA4-9743-885F-4655EABAEDDD}" destId="{44F4F655-744B-F544-A65A-76994DB31FC9}" srcOrd="0" destOrd="4" presId="urn:microsoft.com/office/officeart/2005/8/layout/radial1"/>
    <dgm:cxn modelId="{738D4BAA-63E0-FB44-9C23-01644F1EEBC3}" type="presOf" srcId="{08E3CC3F-A5CC-5846-8DAE-5A3210F7E95D}" destId="{8BADE06C-9081-D440-AB63-7639135668F8}" srcOrd="0" destOrd="4" presId="urn:microsoft.com/office/officeart/2005/8/layout/radial1"/>
    <dgm:cxn modelId="{A6C8D9AC-402C-F54C-9622-7F387A8740C4}" type="presOf" srcId="{8F706474-57FB-2C4D-934B-E6E38A059A2E}" destId="{8B17FC50-09AE-4240-A810-011D77C45A75}" srcOrd="0" destOrd="2" presId="urn:microsoft.com/office/officeart/2005/8/layout/radial1"/>
    <dgm:cxn modelId="{FCB2F8AE-15C0-C849-8703-636D4AFC245F}" srcId="{74E3FBD7-6040-A442-8695-14759B165DB9}" destId="{544B58DF-24D5-F749-9CEB-9E05FC30DC00}" srcOrd="1" destOrd="0" parTransId="{FE1947E8-365F-F44D-96F1-D1EA02418BAE}" sibTransId="{6B246FE5-327D-AF48-A49C-C9F2EF9C3D0B}"/>
    <dgm:cxn modelId="{7ACE54B2-53A4-C24F-AC33-8C110D785F23}" srcId="{9BB87662-E99E-1340-874A-DCD57EA99839}" destId="{D97FCEFB-27E8-0B41-865A-2DD3B71A0F11}" srcOrd="0" destOrd="0" parTransId="{E52AECA4-551C-A842-A7DD-8A6FCDBD5BC6}" sibTransId="{F3C073C5-3A27-CE47-9577-9F42435871B3}"/>
    <dgm:cxn modelId="{9BA5A2B2-1AB7-C04F-BE7B-97FB58098BA2}" srcId="{5D263B81-61A8-F947-A7B8-624EF3676E2F}" destId="{D6B0FF3F-EBDF-1B4C-A70C-70A3D21569AE}" srcOrd="1" destOrd="0" parTransId="{CFF0BDEC-0F2C-0A48-A127-3A3271E46929}" sibTransId="{6944AF1F-0C94-594C-A8DC-51B763A78661}"/>
    <dgm:cxn modelId="{E333C7B2-75C0-4740-881D-0A2CC76E71C3}" type="presOf" srcId="{A91EDFFB-EF5E-B44C-96EE-2C5D8E4729ED}" destId="{7DBB0311-E1DC-9C4C-864F-34E49214022F}" srcOrd="0" destOrd="2" presId="urn:microsoft.com/office/officeart/2005/8/layout/radial1"/>
    <dgm:cxn modelId="{7CFFD4B2-11E7-2C4A-A356-17F32D5E35E1}" srcId="{BE36D3A8-E111-BF4D-A442-120511534055}" destId="{8A4D4BB9-5B30-934E-AA09-7DF95BFFE5CB}" srcOrd="3" destOrd="0" parTransId="{2415095D-63DA-FF41-8873-4530CDCCDB3F}" sibTransId="{9B98EFE6-EF35-F14A-83B4-8F5D27AFF1EB}"/>
    <dgm:cxn modelId="{729B2DB5-B30C-FB41-A202-7EA07E65A97D}" type="presOf" srcId="{A06CD6F0-F2EA-214D-95A4-454D281FD13A}" destId="{B2A651FF-993C-C04C-9E32-C4668F95C831}" srcOrd="0" destOrd="6" presId="urn:microsoft.com/office/officeart/2005/8/layout/radial1"/>
    <dgm:cxn modelId="{C98F8DB8-9FD1-784A-8EC1-A8E24893FCD2}" type="presOf" srcId="{5C93FF06-CF0E-8E43-8DAE-20F6E0C0F1B0}" destId="{30E85F3D-F9EC-4E4A-A132-E784731F865B}" srcOrd="0" destOrd="4" presId="urn:microsoft.com/office/officeart/2005/8/layout/radial1"/>
    <dgm:cxn modelId="{222DCFBA-65DE-2247-9742-BFCE2D8B49D8}" type="presOf" srcId="{9EEF52A6-6068-5F4C-9C24-3F8740ABC344}" destId="{14463A35-61D3-7841-AD34-F0638B839C3C}" srcOrd="0" destOrd="0" presId="urn:microsoft.com/office/officeart/2005/8/layout/radial1"/>
    <dgm:cxn modelId="{9329FFBD-4046-154B-BB19-EE7EBB3002A9}" type="presOf" srcId="{74E3FBD7-6040-A442-8695-14759B165DB9}" destId="{B2A651FF-993C-C04C-9E32-C4668F95C831}" srcOrd="0" destOrd="0" presId="urn:microsoft.com/office/officeart/2005/8/layout/radial1"/>
    <dgm:cxn modelId="{32FB26BE-FC73-C54D-8E3F-9980F41BAD8F}" srcId="{7606930B-4457-3B46-BE98-0F056F41FC06}" destId="{8B060FDC-6A3A-0847-A121-092F17A43A09}" srcOrd="1" destOrd="0" parTransId="{5A67BEB8-EACC-1141-A8AE-EEA1B757C522}" sibTransId="{4BC1F20B-ADED-1944-BCF3-F3027BBD935E}"/>
    <dgm:cxn modelId="{0B8C2FC0-3A26-F94D-9DC4-DB7A09656E19}" srcId="{4BED0CAB-9EE6-624E-827F-E2DC7F992CCA}" destId="{5D49782B-9ECB-C94B-9311-D6F8A607F066}" srcOrd="0" destOrd="0" parTransId="{9CE2B0EC-1086-904A-9083-68783832BAA6}" sibTransId="{9D6E4B78-09C4-9F49-854B-60345A4E35E4}"/>
    <dgm:cxn modelId="{4ACD65C0-AA4C-7D43-A3DD-7C0CE4222C36}" srcId="{4BED0CAB-9EE6-624E-827F-E2DC7F992CCA}" destId="{AFAD0971-90E3-AD4E-A00F-6E08E6CE3AAF}" srcOrd="1" destOrd="0" parTransId="{CCF3C30E-0A81-614D-B25F-B552EB27AD25}" sibTransId="{1338D7A5-78F6-5842-BB3C-9DD4320C1D04}"/>
    <dgm:cxn modelId="{519D9EC1-450C-B749-AADF-E3DA087D2FE6}" type="presOf" srcId="{AFAD0971-90E3-AD4E-A00F-6E08E6CE3AAF}" destId="{B0459488-DEB1-184D-8522-6DC8A7816320}" srcOrd="0" destOrd="2" presId="urn:microsoft.com/office/officeart/2005/8/layout/radial1"/>
    <dgm:cxn modelId="{FC6686C5-F12D-9341-B67A-25067B2B6FE7}" type="presOf" srcId="{FCE5947D-1064-C242-8EAE-25A63F569253}" destId="{5D6D4E01-69BB-AA4E-9884-65DDB12B8F8B}" srcOrd="0" destOrd="4" presId="urn:microsoft.com/office/officeart/2005/8/layout/radial1"/>
    <dgm:cxn modelId="{97F39AC5-B298-BA44-AC18-E54D9791C0AB}" srcId="{7606930B-4457-3B46-BE98-0F056F41FC06}" destId="{25112D0F-D86E-9B45-82B5-7FDF65A98A01}" srcOrd="2" destOrd="0" parTransId="{37CC53F3-2490-E445-A043-0700935902C0}" sibTransId="{222CDABE-43DC-2D43-B492-6C384D02C85A}"/>
    <dgm:cxn modelId="{61DE08C7-A079-D044-ABE5-3B4D524916B9}" type="presOf" srcId="{9E80545E-C0B2-944F-9829-3BE0B306CD7B}" destId="{4AE4858A-387E-7241-9DC4-466766DD1C28}" srcOrd="0" destOrd="2" presId="urn:microsoft.com/office/officeart/2005/8/layout/radial1"/>
    <dgm:cxn modelId="{6F4B0AC8-44D7-DE4D-ACD4-1254429DB9C2}" type="presOf" srcId="{D366DCA5-6C54-784A-B13A-16EA8F6F4BD5}" destId="{F7A3F555-6697-9C46-99E3-AA53CD442625}" srcOrd="0" destOrd="2" presId="urn:microsoft.com/office/officeart/2005/8/layout/radial1"/>
    <dgm:cxn modelId="{2D53F9C9-2417-DA4E-826F-03DA1B9509AE}" type="presOf" srcId="{9341A211-968E-3643-9FE2-5C021EA40264}" destId="{44F4F655-744B-F544-A65A-76994DB31FC9}" srcOrd="0" destOrd="0" presId="urn:microsoft.com/office/officeart/2005/8/layout/radial1"/>
    <dgm:cxn modelId="{D98326CB-CDF8-4041-B063-ABB408F33006}" type="presOf" srcId="{A1D2869D-6425-3B4E-B1CB-50D3F8434F83}" destId="{F7A3F555-6697-9C46-99E3-AA53CD442625}" srcOrd="0" destOrd="1" presId="urn:microsoft.com/office/officeart/2005/8/layout/radial1"/>
    <dgm:cxn modelId="{87676BCE-982E-914E-92CA-5BF5D625CF17}" type="presOf" srcId="{0E44242C-FD68-4142-8BC7-ED42306EC1B6}" destId="{8B17FC50-09AE-4240-A810-011D77C45A75}" srcOrd="0" destOrd="1" presId="urn:microsoft.com/office/officeart/2005/8/layout/radial1"/>
    <dgm:cxn modelId="{25DD44CF-3E19-8345-B41D-428B9807802E}" srcId="{D97FCEFB-27E8-0B41-865A-2DD3B71A0F11}" destId="{FD14C59B-77CD-1448-85BB-42C324668460}" srcOrd="2" destOrd="0" parTransId="{C5951D80-6B8B-2F45-BFC7-AE2B0EEC8990}" sibTransId="{EBBE52BD-6703-DC40-9E85-8A02D0B94E95}"/>
    <dgm:cxn modelId="{88EC8BCF-2038-7247-ACDC-AC62AE10BBE6}" srcId="{6644304C-57C3-1E48-AC41-7D97B5407730}" destId="{806FD26C-3603-0F4F-982C-9FFFB2986069}" srcOrd="2" destOrd="0" parTransId="{4BA6244F-CF24-CD46-9C31-9DDF3FDF800D}" sibTransId="{C6812EFF-415A-3649-BFA9-22015A2B53E3}"/>
    <dgm:cxn modelId="{2A1E4AD1-13F4-8548-B4C5-E09C03B01D59}" type="presOf" srcId="{5D263B81-61A8-F947-A7B8-624EF3676E2F}" destId="{30E85F3D-F9EC-4E4A-A132-E784731F865B}" srcOrd="0" destOrd="0" presId="urn:microsoft.com/office/officeart/2005/8/layout/radial1"/>
    <dgm:cxn modelId="{1C1F40D4-F75C-4E46-B216-C993B26013EB}" srcId="{829B6EF6-A1F2-DB4A-A3DA-CA236CFD6711}" destId="{B2760517-105D-FF49-A82A-5BFA3D6BA43D}" srcOrd="5" destOrd="0" parTransId="{F6673D13-BE84-904F-8CFB-7641CD650AB5}" sibTransId="{9F8645E3-FF85-CA48-A049-21C3EEE05209}"/>
    <dgm:cxn modelId="{00992ED5-0350-744F-913C-FE213062A452}" type="presOf" srcId="{FD14C59B-77CD-1448-85BB-42C324668460}" destId="{8BADE06C-9081-D440-AB63-7639135668F8}" srcOrd="0" destOrd="0" presId="urn:microsoft.com/office/officeart/2005/8/layout/radial1"/>
    <dgm:cxn modelId="{F29918D6-DE57-824E-BF54-27E044410408}" srcId="{D97FCEFB-27E8-0B41-865A-2DD3B71A0F11}" destId="{0732CC1E-96E3-7745-B758-B152013BE99D}" srcOrd="1" destOrd="0" parTransId="{C0054C26-2481-664B-88F7-AFB68AE879D8}" sibTransId="{3C158031-8108-A241-8F6E-B5F3056627AF}"/>
    <dgm:cxn modelId="{1A6EFBD6-99B1-FD4E-BD7C-CEB8F6A147A5}" srcId="{5D263B81-61A8-F947-A7B8-624EF3676E2F}" destId="{DA47427F-35C7-4B42-A542-CE74C0BB3F07}" srcOrd="0" destOrd="0" parTransId="{8D1DD0CF-4888-4545-99CA-464B980C6268}" sibTransId="{78D9A177-CEFE-7C40-B2D9-C88D7FE12DB2}"/>
    <dgm:cxn modelId="{96070DD7-8B67-584F-85BB-0EC680845C9B}" type="presOf" srcId="{AA2FAC8B-0067-FD48-BA83-55DF072B7B84}" destId="{CB833A1B-2060-074E-816B-CA09A0FA9C18}" srcOrd="0" destOrd="0" presId="urn:microsoft.com/office/officeart/2005/8/layout/radial1"/>
    <dgm:cxn modelId="{DF4CD7D7-D2B7-3E42-BDD0-0A372C0F33CC}" type="presOf" srcId="{7606930B-4457-3B46-BE98-0F056F41FC06}" destId="{5D6D4E01-69BB-AA4E-9884-65DDB12B8F8B}" srcOrd="0" destOrd="0" presId="urn:microsoft.com/office/officeart/2005/8/layout/radial1"/>
    <dgm:cxn modelId="{1DBE3FDA-DC1F-BF45-AEB3-781605C74E76}" srcId="{899AF13C-EE38-984B-9789-2D06FBA298C2}" destId="{B9E591F8-51D7-A14F-A9F9-1BF39A2D8D45}" srcOrd="3" destOrd="0" parTransId="{6945950E-CE11-234C-9D45-F429575CB47B}" sibTransId="{D4516AE5-3807-8F45-857A-84542F72B034}"/>
    <dgm:cxn modelId="{B4C28EDB-FC43-D245-AB6A-727CAD251A41}" type="presOf" srcId="{544B58DF-24D5-F749-9CEB-9E05FC30DC00}" destId="{B2A651FF-993C-C04C-9E32-C4668F95C831}" srcOrd="0" destOrd="2" presId="urn:microsoft.com/office/officeart/2005/8/layout/radial1"/>
    <dgm:cxn modelId="{60A9AADC-5155-C148-AACF-6F8A97393371}" type="presOf" srcId="{3E81AFFA-BEF7-2C4B-A895-F9A3B3D015D7}" destId="{4AE4858A-387E-7241-9DC4-466766DD1C28}" srcOrd="0" destOrd="5" presId="urn:microsoft.com/office/officeart/2005/8/layout/radial1"/>
    <dgm:cxn modelId="{7D0473DD-7502-D940-A5EB-F304BFB34691}" srcId="{899AF13C-EE38-984B-9789-2D06FBA298C2}" destId="{0E44242C-FD68-4142-8BC7-ED42306EC1B6}" srcOrd="0" destOrd="0" parTransId="{E73CE01E-FB26-C845-AFAE-42D05208B74E}" sibTransId="{E25B9151-ECE3-194D-A6A5-4C1B36E6AEC6}"/>
    <dgm:cxn modelId="{145A74DD-28EB-A742-85B2-A53417643839}" type="presOf" srcId="{246E8E51-F5A5-A64B-BDF5-9CF80FA2A9F9}" destId="{2EF03633-4738-EF47-A092-294F67CB7DC2}" srcOrd="0" destOrd="0" presId="urn:microsoft.com/office/officeart/2005/8/layout/radial1"/>
    <dgm:cxn modelId="{DA3FC4DD-1AC7-054A-A651-2DDE7143ABA4}" type="presOf" srcId="{66989573-B8C8-734C-BCF2-EE056C3606B1}" destId="{B0459488-DEB1-184D-8522-6DC8A7816320}" srcOrd="0" destOrd="3" presId="urn:microsoft.com/office/officeart/2005/8/layout/radial1"/>
    <dgm:cxn modelId="{C372ABE0-3375-234C-A37D-17778AAD8842}" type="presOf" srcId="{BE36D3A8-E111-BF4D-A442-120511534055}" destId="{0E49DBF4-6916-DA47-A736-F9B6D0197BAC}" srcOrd="0" destOrd="0" presId="urn:microsoft.com/office/officeart/2005/8/layout/radial1"/>
    <dgm:cxn modelId="{776A74E2-8090-C246-BF55-0EA16764F64C}" srcId="{899AF13C-EE38-984B-9789-2D06FBA298C2}" destId="{8F706474-57FB-2C4D-934B-E6E38A059A2E}" srcOrd="1" destOrd="0" parTransId="{F964A3B7-00B4-5545-AED6-FD5AA069E919}" sibTransId="{6A46158B-1EC5-9043-97CD-EACBE2FAA713}"/>
    <dgm:cxn modelId="{5C6E2FE8-F88B-1C45-81D2-168734FCD800}" srcId="{829B6EF6-A1F2-DB4A-A3DA-CA236CFD6711}" destId="{A4DF97F8-395F-0D4E-914F-B13623EAAA05}" srcOrd="3" destOrd="0" parTransId="{CDFB7694-6AF2-DC45-9E90-94E83BE859D5}" sibTransId="{A9B283DF-7F95-D743-8DD1-19EEF86658EF}"/>
    <dgm:cxn modelId="{3D0F86EB-EC08-4548-8C28-7C2CA1931EFB}" srcId="{0732CC1E-96E3-7745-B758-B152013BE99D}" destId="{7865A4F1-1938-4D44-AADA-66859FDDF45D}" srcOrd="2" destOrd="0" parTransId="{277DFB47-6A52-1F45-B1BF-028997745319}" sibTransId="{4347CB03-D673-AC45-8CA6-05FDD0C91F22}"/>
    <dgm:cxn modelId="{7EA5AFEF-829B-AB44-AA20-283771829A22}" type="presOf" srcId="{829B6EF6-A1F2-DB4A-A3DA-CA236CFD6711}" destId="{4AE4858A-387E-7241-9DC4-466766DD1C28}" srcOrd="0" destOrd="0" presId="urn:microsoft.com/office/officeart/2005/8/layout/radial1"/>
    <dgm:cxn modelId="{FC80E2EF-4AC8-724C-91A8-E388F569805D}" type="presOf" srcId="{18F5DC1D-E01D-3F42-A246-0B1D72496613}" destId="{0E49DBF4-6916-DA47-A736-F9B6D0197BAC}" srcOrd="0" destOrd="2" presId="urn:microsoft.com/office/officeart/2005/8/layout/radial1"/>
    <dgm:cxn modelId="{0BBA7AF0-A953-7041-B9C1-DFD545897BD4}" type="presOf" srcId="{D75A2EC4-EC1A-614F-BF4C-0890A9D23BAA}" destId="{8BADE06C-9081-D440-AB63-7639135668F8}" srcOrd="0" destOrd="2" presId="urn:microsoft.com/office/officeart/2005/8/layout/radial1"/>
    <dgm:cxn modelId="{FA30DEF3-E6E5-0041-B240-3F4BA000AF42}" srcId="{6644304C-57C3-1E48-AC41-7D97B5407730}" destId="{BBFD2BFE-67D1-F54A-8584-D90E8771DD18}" srcOrd="3" destOrd="0" parTransId="{92E41C14-D5DE-094A-A505-2E90B55B2CBE}" sibTransId="{0886C12A-1EF5-F14B-A9D5-48F310A78888}"/>
    <dgm:cxn modelId="{7BE149F4-8390-9C47-AC58-142FED96F311}" srcId="{4BED0CAB-9EE6-624E-827F-E2DC7F992CCA}" destId="{66989573-B8C8-734C-BCF2-EE056C3606B1}" srcOrd="2" destOrd="0" parTransId="{8FB382A7-B71D-DE4B-B125-506521B93DC0}" sibTransId="{9544BF51-AB51-9D47-B506-8CF0EDD33082}"/>
    <dgm:cxn modelId="{FE771DF5-DA54-AA40-BA0A-A7196B334A17}" type="presOf" srcId="{AB907385-0593-E849-9699-638650D96AA0}" destId="{44F4F655-744B-F544-A65A-76994DB31FC9}" srcOrd="0" destOrd="2" presId="urn:microsoft.com/office/officeart/2005/8/layout/radial1"/>
    <dgm:cxn modelId="{20CF1FF5-1E21-F945-88E2-D4F1F41C63D9}" srcId="{0732CC1E-96E3-7745-B758-B152013BE99D}" destId="{A1D2869D-6425-3B4E-B1CB-50D3F8434F83}" srcOrd="0" destOrd="0" parTransId="{0D4E236C-3487-3C4A-AAAA-78E395F2757E}" sibTransId="{11EE3944-4125-F94E-890B-0F5813B79106}"/>
    <dgm:cxn modelId="{2FA586FB-66F9-184E-B377-DC64AC4A516C}" srcId="{D97FCEFB-27E8-0B41-865A-2DD3B71A0F11}" destId="{6644304C-57C3-1E48-AC41-7D97B5407730}" srcOrd="7" destOrd="0" parTransId="{D8326E87-897D-894A-A148-40A9008DE9E4}" sibTransId="{FAFE22E0-E83C-6F4A-876D-A9001EDC27F6}"/>
    <dgm:cxn modelId="{962550FC-6AD2-5E40-8C33-241461CB01C8}" type="presOf" srcId="{9BB87662-E99E-1340-874A-DCD57EA99839}" destId="{F98ACC81-6A31-2645-8529-6C128859E545}" srcOrd="0" destOrd="0" presId="urn:microsoft.com/office/officeart/2005/8/layout/radial1"/>
    <dgm:cxn modelId="{ACFCA2FC-CC3C-5543-8B81-C1DFEF96259C}" srcId="{8D3F060D-E007-9549-B8B7-C31A73F82463}" destId="{5D78CB02-CF3D-0F47-AAC2-596D82D90FFD}" srcOrd="2" destOrd="0" parTransId="{52E2FA42-A5DB-6A48-A688-D955C0FFFA4F}" sibTransId="{0880C606-AFFF-994B-B682-654B6675DB03}"/>
    <dgm:cxn modelId="{31B9D4FF-FF98-C349-8FCE-A72789597598}" srcId="{829B6EF6-A1F2-DB4A-A3DA-CA236CFD6711}" destId="{3E81AFFA-BEF7-2C4B-A895-F9A3B3D015D7}" srcOrd="4" destOrd="0" parTransId="{C3C42E49-983E-9E40-9291-FA19240A3D02}" sibTransId="{76E78745-9DD4-C047-A202-3F3FD35725D5}"/>
    <dgm:cxn modelId="{81279E9E-C9BA-5A4E-82FC-1A09359DB5DC}" type="presParOf" srcId="{F98ACC81-6A31-2645-8529-6C128859E545}" destId="{3AF501C9-B0A6-6348-85BC-4473419961CA}" srcOrd="0" destOrd="0" presId="urn:microsoft.com/office/officeart/2005/8/layout/radial1"/>
    <dgm:cxn modelId="{C499B19B-9475-6742-B32F-E4C764C6C72A}" type="presParOf" srcId="{F98ACC81-6A31-2645-8529-6C128859E545}" destId="{2D13EBF4-D3D6-A840-B635-9D94FFFA2FB2}" srcOrd="1" destOrd="0" presId="urn:microsoft.com/office/officeart/2005/8/layout/radial1"/>
    <dgm:cxn modelId="{764522A8-D15C-DA45-82A4-DEF133CFFDBF}" type="presParOf" srcId="{2D13EBF4-D3D6-A840-B635-9D94FFFA2FB2}" destId="{3D9E01C9-E9D0-E64D-9779-E59D63F8E8F2}" srcOrd="0" destOrd="0" presId="urn:microsoft.com/office/officeart/2005/8/layout/radial1"/>
    <dgm:cxn modelId="{56FD252E-01F9-6444-B218-4A5251F0835B}" type="presParOf" srcId="{F98ACC81-6A31-2645-8529-6C128859E545}" destId="{7DBB0311-E1DC-9C4C-864F-34E49214022F}" srcOrd="2" destOrd="0" presId="urn:microsoft.com/office/officeart/2005/8/layout/radial1"/>
    <dgm:cxn modelId="{0B148F37-C56C-CA44-A7FA-8C8492D2D72C}" type="presParOf" srcId="{F98ACC81-6A31-2645-8529-6C128859E545}" destId="{6393443C-79F6-2542-879B-640FFAE2929E}" srcOrd="3" destOrd="0" presId="urn:microsoft.com/office/officeart/2005/8/layout/radial1"/>
    <dgm:cxn modelId="{43233B16-755E-8446-B58D-25533A8BA50A}" type="presParOf" srcId="{6393443C-79F6-2542-879B-640FFAE2929E}" destId="{E4CA766D-E866-0143-B71E-EB3756EE26A7}" srcOrd="0" destOrd="0" presId="urn:microsoft.com/office/officeart/2005/8/layout/radial1"/>
    <dgm:cxn modelId="{46D46A07-9977-6040-BDE8-2D5011B1FD29}" type="presParOf" srcId="{F98ACC81-6A31-2645-8529-6C128859E545}" destId="{F7A3F555-6697-9C46-99E3-AA53CD442625}" srcOrd="4" destOrd="0" presId="urn:microsoft.com/office/officeart/2005/8/layout/radial1"/>
    <dgm:cxn modelId="{08BCE8FC-D77B-434B-B61C-9F135E811750}" type="presParOf" srcId="{F98ACC81-6A31-2645-8529-6C128859E545}" destId="{B69E3161-F1A2-F343-B5FE-D4064CFA1163}" srcOrd="5" destOrd="0" presId="urn:microsoft.com/office/officeart/2005/8/layout/radial1"/>
    <dgm:cxn modelId="{6E22E8B8-C54B-7C45-AD93-C41F1EA6CD1B}" type="presParOf" srcId="{B69E3161-F1A2-F343-B5FE-D4064CFA1163}" destId="{58EC6018-EBAA-1C46-A331-08B8B13583E5}" srcOrd="0" destOrd="0" presId="urn:microsoft.com/office/officeart/2005/8/layout/radial1"/>
    <dgm:cxn modelId="{50AE2A42-EB9A-A847-9F73-0793D5048442}" type="presParOf" srcId="{F98ACC81-6A31-2645-8529-6C128859E545}" destId="{8BADE06C-9081-D440-AB63-7639135668F8}" srcOrd="6" destOrd="0" presId="urn:microsoft.com/office/officeart/2005/8/layout/radial1"/>
    <dgm:cxn modelId="{E928CD6D-A9C2-DA4E-96EA-91D25AFD9861}" type="presParOf" srcId="{F98ACC81-6A31-2645-8529-6C128859E545}" destId="{5E736A4E-488C-C04A-A302-48BA71AED351}" srcOrd="7" destOrd="0" presId="urn:microsoft.com/office/officeart/2005/8/layout/radial1"/>
    <dgm:cxn modelId="{E6A25C16-FC97-D74C-9A02-A16EE296BFA1}" type="presParOf" srcId="{5E736A4E-488C-C04A-A302-48BA71AED351}" destId="{6DE863F3-86E8-8540-8B69-DA0913134570}" srcOrd="0" destOrd="0" presId="urn:microsoft.com/office/officeart/2005/8/layout/radial1"/>
    <dgm:cxn modelId="{C91777E8-5C68-4644-9E50-759D0494E26A}" type="presParOf" srcId="{F98ACC81-6A31-2645-8529-6C128859E545}" destId="{8B17FC50-09AE-4240-A810-011D77C45A75}" srcOrd="8" destOrd="0" presId="urn:microsoft.com/office/officeart/2005/8/layout/radial1"/>
    <dgm:cxn modelId="{5E2C3258-D4DA-2B48-A57D-89FF77017220}" type="presParOf" srcId="{F98ACC81-6A31-2645-8529-6C128859E545}" destId="{CB833A1B-2060-074E-816B-CA09A0FA9C18}" srcOrd="9" destOrd="0" presId="urn:microsoft.com/office/officeart/2005/8/layout/radial1"/>
    <dgm:cxn modelId="{D5C69C0A-5420-664B-949B-6C89714CF0C0}" type="presParOf" srcId="{CB833A1B-2060-074E-816B-CA09A0FA9C18}" destId="{0AA924B9-8915-FA47-B21D-99B5CB4AB927}" srcOrd="0" destOrd="0" presId="urn:microsoft.com/office/officeart/2005/8/layout/radial1"/>
    <dgm:cxn modelId="{AEA1FC01-FC4B-4640-841A-B5394BA2815D}" type="presParOf" srcId="{F98ACC81-6A31-2645-8529-6C128859E545}" destId="{B2A651FF-993C-C04C-9E32-C4668F95C831}" srcOrd="10" destOrd="0" presId="urn:microsoft.com/office/officeart/2005/8/layout/radial1"/>
    <dgm:cxn modelId="{77957B75-DF53-8949-AD02-9FFEF665CB38}" type="presParOf" srcId="{F98ACC81-6A31-2645-8529-6C128859E545}" destId="{C238ED0B-0168-844C-B13A-99302979067E}" srcOrd="11" destOrd="0" presId="urn:microsoft.com/office/officeart/2005/8/layout/radial1"/>
    <dgm:cxn modelId="{0F12E505-1E89-D34A-BC16-95E5D2349279}" type="presParOf" srcId="{C238ED0B-0168-844C-B13A-99302979067E}" destId="{EDFA6550-93C2-5140-A33A-C3A7289D460B}" srcOrd="0" destOrd="0" presId="urn:microsoft.com/office/officeart/2005/8/layout/radial1"/>
    <dgm:cxn modelId="{9FDEBF8E-5E9B-924F-A110-4A9D4E4219B6}" type="presParOf" srcId="{F98ACC81-6A31-2645-8529-6C128859E545}" destId="{4AE4858A-387E-7241-9DC4-466766DD1C28}" srcOrd="12" destOrd="0" presId="urn:microsoft.com/office/officeart/2005/8/layout/radial1"/>
    <dgm:cxn modelId="{B42F7E48-8838-6749-8F89-F9F114F91F8A}" type="presParOf" srcId="{F98ACC81-6A31-2645-8529-6C128859E545}" destId="{F361269E-BD3B-7145-91D5-DF1BC505D2E6}" srcOrd="13" destOrd="0" presId="urn:microsoft.com/office/officeart/2005/8/layout/radial1"/>
    <dgm:cxn modelId="{BCF99B36-7B39-844D-B4F0-4F61B0831968}" type="presParOf" srcId="{F361269E-BD3B-7145-91D5-DF1BC505D2E6}" destId="{5AD33901-225B-E840-A3FF-05B0BD711177}" srcOrd="0" destOrd="0" presId="urn:microsoft.com/office/officeart/2005/8/layout/radial1"/>
    <dgm:cxn modelId="{22C4FC1A-6370-4443-9AE6-0F6EC8BE2667}" type="presParOf" srcId="{F98ACC81-6A31-2645-8529-6C128859E545}" destId="{B0459488-DEB1-184D-8522-6DC8A7816320}" srcOrd="14" destOrd="0" presId="urn:microsoft.com/office/officeart/2005/8/layout/radial1"/>
    <dgm:cxn modelId="{27F5F482-BCEC-A64B-B0C8-389DA3C77DF8}" type="presParOf" srcId="{F98ACC81-6A31-2645-8529-6C128859E545}" destId="{B6087749-6ED5-9745-9A19-07C8932A066D}" srcOrd="15" destOrd="0" presId="urn:microsoft.com/office/officeart/2005/8/layout/radial1"/>
    <dgm:cxn modelId="{25BDC6FD-E851-EC4C-96F1-B87D5EB57A74}" type="presParOf" srcId="{B6087749-6ED5-9745-9A19-07C8932A066D}" destId="{166949F3-6E50-804D-AFAB-2D707303A521}" srcOrd="0" destOrd="0" presId="urn:microsoft.com/office/officeart/2005/8/layout/radial1"/>
    <dgm:cxn modelId="{36CF76BA-BA65-564F-8338-B0E3F87A02BE}" type="presParOf" srcId="{F98ACC81-6A31-2645-8529-6C128859E545}" destId="{8BC324E2-F298-7E49-92FD-F861EF77AF82}" srcOrd="16" destOrd="0" presId="urn:microsoft.com/office/officeart/2005/8/layout/radial1"/>
    <dgm:cxn modelId="{42A023A0-D717-4942-8515-96BB9D8D0594}" type="presParOf" srcId="{F98ACC81-6A31-2645-8529-6C128859E545}" destId="{14463A35-61D3-7841-AD34-F0638B839C3C}" srcOrd="17" destOrd="0" presId="urn:microsoft.com/office/officeart/2005/8/layout/radial1"/>
    <dgm:cxn modelId="{FD01D67F-7991-5946-9674-45045DE4B73F}" type="presParOf" srcId="{14463A35-61D3-7841-AD34-F0638B839C3C}" destId="{76374E95-09A9-B543-A6E2-0E4FA98A1256}" srcOrd="0" destOrd="0" presId="urn:microsoft.com/office/officeart/2005/8/layout/radial1"/>
    <dgm:cxn modelId="{4E40D923-B445-0B48-9E11-0636BF3515C3}" type="presParOf" srcId="{F98ACC81-6A31-2645-8529-6C128859E545}" destId="{5D6D4E01-69BB-AA4E-9884-65DDB12B8F8B}" srcOrd="18" destOrd="0" presId="urn:microsoft.com/office/officeart/2005/8/layout/radial1"/>
    <dgm:cxn modelId="{0A951044-C2C5-B844-AA82-B2AA3E9C8DAC}" type="presParOf" srcId="{F98ACC81-6A31-2645-8529-6C128859E545}" destId="{093AE56E-1345-8B4C-938F-D0C0EAE0D740}" srcOrd="19" destOrd="0" presId="urn:microsoft.com/office/officeart/2005/8/layout/radial1"/>
    <dgm:cxn modelId="{D0F1D0EB-77D6-7246-BF8A-65713F27B8C3}" type="presParOf" srcId="{093AE56E-1345-8B4C-938F-D0C0EAE0D740}" destId="{E5020945-A848-B246-937B-653BC63C540C}" srcOrd="0" destOrd="0" presId="urn:microsoft.com/office/officeart/2005/8/layout/radial1"/>
    <dgm:cxn modelId="{C5604425-EE23-2941-8FBB-2D96112B5872}" type="presParOf" srcId="{F98ACC81-6A31-2645-8529-6C128859E545}" destId="{30E85F3D-F9EC-4E4A-A132-E784731F865B}" srcOrd="20" destOrd="0" presId="urn:microsoft.com/office/officeart/2005/8/layout/radial1"/>
    <dgm:cxn modelId="{4324E2F1-D966-8049-8333-F71737837F6C}" type="presParOf" srcId="{F98ACC81-6A31-2645-8529-6C128859E545}" destId="{2EF03633-4738-EF47-A092-294F67CB7DC2}" srcOrd="21" destOrd="0" presId="urn:microsoft.com/office/officeart/2005/8/layout/radial1"/>
    <dgm:cxn modelId="{820E82A3-9B99-E34A-853E-9C274191161E}" type="presParOf" srcId="{2EF03633-4738-EF47-A092-294F67CB7DC2}" destId="{8653D20C-8392-7849-9146-47C7CC9B668F}" srcOrd="0" destOrd="0" presId="urn:microsoft.com/office/officeart/2005/8/layout/radial1"/>
    <dgm:cxn modelId="{F70C2FC3-689F-A846-9653-52CF4438312C}" type="presParOf" srcId="{F98ACC81-6A31-2645-8529-6C128859E545}" destId="{0E49DBF4-6916-DA47-A736-F9B6D0197BAC}" srcOrd="22" destOrd="0" presId="urn:microsoft.com/office/officeart/2005/8/layout/radial1"/>
    <dgm:cxn modelId="{5DB68EC6-D75B-7445-937E-F2D6F5E1C97C}" type="presParOf" srcId="{F98ACC81-6A31-2645-8529-6C128859E545}" destId="{46EEF8F5-07C1-2A43-B91D-15B017767D2F}" srcOrd="23" destOrd="0" presId="urn:microsoft.com/office/officeart/2005/8/layout/radial1"/>
    <dgm:cxn modelId="{075D233D-E9AA-C44E-9C51-9BE0FE95CBED}" type="presParOf" srcId="{46EEF8F5-07C1-2A43-B91D-15B017767D2F}" destId="{DC84F53C-256A-A54A-91B2-D01EFB4CDC7C}" srcOrd="0" destOrd="0" presId="urn:microsoft.com/office/officeart/2005/8/layout/radial1"/>
    <dgm:cxn modelId="{23028C91-CC92-F547-A267-18FFF3AD9734}" type="presParOf" srcId="{F98ACC81-6A31-2645-8529-6C128859E545}" destId="{44F4F655-744B-F544-A65A-76994DB31FC9}" srcOrd="24" destOrd="0" presId="urn:microsoft.com/office/officeart/2005/8/layout/radial1"/>
  </dgm:cxnLst>
  <dgm:bg/>
  <dgm:whole/>
  <dgm:extLst>
    <a:ext uri="http://schemas.microsoft.com/office/drawing/2008/diagram">
      <dsp:dataModelExt xmlns:dsp="http://schemas.microsoft.com/office/drawing/2008/diagram" relId="rId245"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4A01431F-E792-4849-9CE6-63F06FFD2733}" type="doc">
      <dgm:prSet loTypeId="urn:microsoft.com/office/officeart/2005/8/layout/radial1" loCatId="" qsTypeId="urn:microsoft.com/office/officeart/2005/8/quickstyle/simple4" qsCatId="simple" csTypeId="urn:microsoft.com/office/officeart/2005/8/colors/colorful1" csCatId="colorful" phldr="1"/>
      <dgm:spPr/>
      <dgm:t>
        <a:bodyPr/>
        <a:lstStyle/>
        <a:p>
          <a:endParaRPr lang="en-US"/>
        </a:p>
      </dgm:t>
    </dgm:pt>
    <dgm:pt modelId="{93D6DC15-F9A0-B643-B9AA-A42E215D0B6F}">
      <dgm:prSet phldrT="[Text]"/>
      <dgm:spPr/>
      <dgm:t>
        <a:bodyPr/>
        <a:lstStyle/>
        <a:p>
          <a:r>
            <a:rPr lang="en-US"/>
            <a:t>Methods to address culture &amp; the hidden curriculum in health care</a:t>
          </a:r>
        </a:p>
      </dgm:t>
    </dgm:pt>
    <dgm:pt modelId="{D79EE519-77C4-1546-A66A-E6A3E2E96EBB}" type="parTrans" cxnId="{A7CAEC5F-59FA-784E-8293-FE914808898E}">
      <dgm:prSet/>
      <dgm:spPr/>
      <dgm:t>
        <a:bodyPr/>
        <a:lstStyle/>
        <a:p>
          <a:endParaRPr lang="en-US"/>
        </a:p>
      </dgm:t>
    </dgm:pt>
    <dgm:pt modelId="{CFCC05CB-809F-5542-87A7-FF3F5041CF5E}" type="sibTrans" cxnId="{A7CAEC5F-59FA-784E-8293-FE914808898E}">
      <dgm:prSet/>
      <dgm:spPr/>
      <dgm:t>
        <a:bodyPr/>
        <a:lstStyle/>
        <a:p>
          <a:endParaRPr lang="en-US"/>
        </a:p>
      </dgm:t>
    </dgm:pt>
    <dgm:pt modelId="{04F15938-62FD-F149-8480-CC2531D985AA}">
      <dgm:prSet phldrT="[Text]"/>
      <dgm:spPr/>
      <dgm:t>
        <a:bodyPr/>
        <a:lstStyle/>
        <a:p>
          <a:r>
            <a:rPr lang="en-US"/>
            <a:t>Allow access to hierarchy</a:t>
          </a:r>
        </a:p>
      </dgm:t>
    </dgm:pt>
    <dgm:pt modelId="{B0AE053B-69FF-9F48-8033-F11AFA5E25DF}" type="parTrans" cxnId="{46B2A6C3-11D2-7141-8C61-6DAB61B715D2}">
      <dgm:prSet/>
      <dgm:spPr/>
      <dgm:t>
        <a:bodyPr/>
        <a:lstStyle/>
        <a:p>
          <a:endParaRPr lang="en-US"/>
        </a:p>
      </dgm:t>
    </dgm:pt>
    <dgm:pt modelId="{754C9469-09BA-604A-BBEA-34D0858F0678}" type="sibTrans" cxnId="{46B2A6C3-11D2-7141-8C61-6DAB61B715D2}">
      <dgm:prSet/>
      <dgm:spPr/>
      <dgm:t>
        <a:bodyPr/>
        <a:lstStyle/>
        <a:p>
          <a:endParaRPr lang="en-US"/>
        </a:p>
      </dgm:t>
    </dgm:pt>
    <dgm:pt modelId="{595320CC-0CDF-7A47-AF5B-B949948963CB}">
      <dgm:prSet phldrT="[Text]"/>
      <dgm:spPr/>
      <dgm:t>
        <a:bodyPr/>
        <a:lstStyle/>
        <a:p>
          <a:r>
            <a:rPr lang="en-US"/>
            <a:t>Clarity over expectations</a:t>
          </a:r>
        </a:p>
      </dgm:t>
    </dgm:pt>
    <dgm:pt modelId="{253AB0D9-9065-8D4C-BB5E-6CEAA48B804B}" type="parTrans" cxnId="{55F762CF-3CD6-9341-AE0E-4FC38153E92C}">
      <dgm:prSet/>
      <dgm:spPr/>
      <dgm:t>
        <a:bodyPr/>
        <a:lstStyle/>
        <a:p>
          <a:endParaRPr lang="en-US"/>
        </a:p>
      </dgm:t>
    </dgm:pt>
    <dgm:pt modelId="{E91A035E-1E38-A84B-AB5E-2A695DEEC1FF}" type="sibTrans" cxnId="{55F762CF-3CD6-9341-AE0E-4FC38153E92C}">
      <dgm:prSet/>
      <dgm:spPr/>
      <dgm:t>
        <a:bodyPr/>
        <a:lstStyle/>
        <a:p>
          <a:endParaRPr lang="en-US"/>
        </a:p>
      </dgm:t>
    </dgm:pt>
    <dgm:pt modelId="{7AFD732A-F671-C24E-9AEB-5790C19FED69}">
      <dgm:prSet phldrT="[Text]"/>
      <dgm:spPr/>
      <dgm:t>
        <a:bodyPr/>
        <a:lstStyle/>
        <a:p>
          <a:r>
            <a:rPr lang="en-US"/>
            <a:t>Address blame culture</a:t>
          </a:r>
        </a:p>
      </dgm:t>
    </dgm:pt>
    <dgm:pt modelId="{FC69B046-DE1C-BE43-AC2A-CA5A84151677}" type="parTrans" cxnId="{4FB6E4F3-3C49-A946-B034-65BC49F3A88F}">
      <dgm:prSet/>
      <dgm:spPr/>
      <dgm:t>
        <a:bodyPr/>
        <a:lstStyle/>
        <a:p>
          <a:endParaRPr lang="en-US"/>
        </a:p>
      </dgm:t>
    </dgm:pt>
    <dgm:pt modelId="{2C0DF45E-FD27-D949-8113-2A1E5226EDA8}" type="sibTrans" cxnId="{4FB6E4F3-3C49-A946-B034-65BC49F3A88F}">
      <dgm:prSet/>
      <dgm:spPr/>
      <dgm:t>
        <a:bodyPr/>
        <a:lstStyle/>
        <a:p>
          <a:endParaRPr lang="en-US"/>
        </a:p>
      </dgm:t>
    </dgm:pt>
    <dgm:pt modelId="{163A3BED-2092-AD44-A667-A34AAEB7107E}">
      <dgm:prSet phldrT="[Text]"/>
      <dgm:spPr/>
      <dgm:t>
        <a:bodyPr/>
        <a:lstStyle/>
        <a:p>
          <a:r>
            <a:rPr lang="en-US"/>
            <a:t>Bring back team structure</a:t>
          </a:r>
        </a:p>
      </dgm:t>
    </dgm:pt>
    <dgm:pt modelId="{1B029311-FB3D-074D-8ADB-7E228F3001FA}" type="parTrans" cxnId="{1DAA94E2-65B2-BF43-8F74-D51BD9F2E5CF}">
      <dgm:prSet/>
      <dgm:spPr/>
      <dgm:t>
        <a:bodyPr/>
        <a:lstStyle/>
        <a:p>
          <a:endParaRPr lang="en-US"/>
        </a:p>
      </dgm:t>
    </dgm:pt>
    <dgm:pt modelId="{F42C4E37-F0FC-8742-BB1D-7350809ACE8C}" type="sibTrans" cxnId="{1DAA94E2-65B2-BF43-8F74-D51BD9F2E5CF}">
      <dgm:prSet/>
      <dgm:spPr/>
      <dgm:t>
        <a:bodyPr/>
        <a:lstStyle/>
        <a:p>
          <a:endParaRPr lang="en-US"/>
        </a:p>
      </dgm:t>
    </dgm:pt>
    <dgm:pt modelId="{F70EDFA3-5747-804E-87A9-4E722179B968}">
      <dgm:prSet phldrT="[Text]"/>
      <dgm:spPr/>
      <dgm:t>
        <a:bodyPr/>
        <a:lstStyle/>
        <a:p>
          <a:r>
            <a:rPr lang="en-US"/>
            <a:t>Senior expectations</a:t>
          </a:r>
        </a:p>
      </dgm:t>
    </dgm:pt>
    <dgm:pt modelId="{D76F299D-4C97-A247-82D0-91B4BAF29048}" type="parTrans" cxnId="{16AE3748-2298-464A-847F-6A5F87B81C63}">
      <dgm:prSet/>
      <dgm:spPr/>
      <dgm:t>
        <a:bodyPr/>
        <a:lstStyle/>
        <a:p>
          <a:endParaRPr lang="en-US"/>
        </a:p>
      </dgm:t>
    </dgm:pt>
    <dgm:pt modelId="{7D22E92C-F7CA-B04E-BCD6-B1E312A3511C}" type="sibTrans" cxnId="{16AE3748-2298-464A-847F-6A5F87B81C63}">
      <dgm:prSet/>
      <dgm:spPr/>
      <dgm:t>
        <a:bodyPr/>
        <a:lstStyle/>
        <a:p>
          <a:endParaRPr lang="en-US"/>
        </a:p>
      </dgm:t>
    </dgm:pt>
    <dgm:pt modelId="{D0960D12-0EFE-4745-8BE7-E314ABE529B9}">
      <dgm:prSet phldrT="[Text]"/>
      <dgm:spPr/>
      <dgm:t>
        <a:bodyPr/>
        <a:lstStyle/>
        <a:p>
          <a:r>
            <a:rPr lang="en-US"/>
            <a:t>Senior openness and sharing of own mistakes</a:t>
          </a:r>
        </a:p>
      </dgm:t>
    </dgm:pt>
    <dgm:pt modelId="{87AF30FD-8EA7-EB41-8705-928FA5189899}" type="parTrans" cxnId="{935C19AC-6267-9041-B941-D6FA8D9CB654}">
      <dgm:prSet/>
      <dgm:spPr/>
      <dgm:t>
        <a:bodyPr/>
        <a:lstStyle/>
        <a:p>
          <a:endParaRPr lang="en-US"/>
        </a:p>
      </dgm:t>
    </dgm:pt>
    <dgm:pt modelId="{DFC2ADA3-074A-A446-ADBA-5CA352649898}" type="sibTrans" cxnId="{935C19AC-6267-9041-B941-D6FA8D9CB654}">
      <dgm:prSet/>
      <dgm:spPr/>
      <dgm:t>
        <a:bodyPr/>
        <a:lstStyle/>
        <a:p>
          <a:endParaRPr lang="en-US"/>
        </a:p>
      </dgm:t>
    </dgm:pt>
    <dgm:pt modelId="{E44F4E29-D62F-364D-B98B-9D21C3F3A41B}">
      <dgm:prSet phldrT="[Text]"/>
      <dgm:spPr/>
      <dgm:t>
        <a:bodyPr/>
        <a:lstStyle/>
        <a:p>
          <a:r>
            <a:rPr lang="en-US"/>
            <a:t>Verbalising of decision making</a:t>
          </a:r>
        </a:p>
      </dgm:t>
    </dgm:pt>
    <dgm:pt modelId="{189899C1-CFEC-3B41-AD66-8022EFC9A750}" type="parTrans" cxnId="{75A6E326-049F-224A-A88D-600BE1157173}">
      <dgm:prSet/>
      <dgm:spPr/>
      <dgm:t>
        <a:bodyPr/>
        <a:lstStyle/>
        <a:p>
          <a:endParaRPr lang="en-US"/>
        </a:p>
      </dgm:t>
    </dgm:pt>
    <dgm:pt modelId="{ECCA8322-B3DE-3B48-8718-C2EC37E786CF}" type="sibTrans" cxnId="{75A6E326-049F-224A-A88D-600BE1157173}">
      <dgm:prSet/>
      <dgm:spPr/>
      <dgm:t>
        <a:bodyPr/>
        <a:lstStyle/>
        <a:p>
          <a:endParaRPr lang="en-US"/>
        </a:p>
      </dgm:t>
    </dgm:pt>
    <dgm:pt modelId="{897434AA-804A-404C-A2C7-6A1FDD2DC06D}">
      <dgm:prSet phldrT="[Text]"/>
      <dgm:spPr/>
      <dgm:t>
        <a:bodyPr/>
        <a:lstStyle/>
        <a:p>
          <a:r>
            <a:rPr lang="en-US"/>
            <a:t>Build trust</a:t>
          </a:r>
        </a:p>
      </dgm:t>
    </dgm:pt>
    <dgm:pt modelId="{CE2BF76D-6ED7-AC40-BB50-B73136BE404B}" type="parTrans" cxnId="{41053160-3707-3448-9060-D867C2A515A7}">
      <dgm:prSet/>
      <dgm:spPr/>
      <dgm:t>
        <a:bodyPr/>
        <a:lstStyle/>
        <a:p>
          <a:endParaRPr lang="en-US"/>
        </a:p>
      </dgm:t>
    </dgm:pt>
    <dgm:pt modelId="{5D694724-1A59-2144-B212-599D8B89C60B}" type="sibTrans" cxnId="{41053160-3707-3448-9060-D867C2A515A7}">
      <dgm:prSet/>
      <dgm:spPr/>
      <dgm:t>
        <a:bodyPr/>
        <a:lstStyle/>
        <a:p>
          <a:endParaRPr lang="en-US"/>
        </a:p>
      </dgm:t>
    </dgm:pt>
    <dgm:pt modelId="{DCC5766D-633B-3041-93E3-DE3BC7CB9B92}">
      <dgm:prSet phldrT="[Text]"/>
      <dgm:spPr/>
      <dgm:t>
        <a:bodyPr/>
        <a:lstStyle/>
        <a:p>
          <a:r>
            <a:rPr lang="en-US"/>
            <a:t>Of all roles</a:t>
          </a:r>
        </a:p>
      </dgm:t>
    </dgm:pt>
    <dgm:pt modelId="{F1574B4D-B74A-3844-8A4A-10F97BEB66AA}" type="parTrans" cxnId="{8CBFA2F1-838E-EB44-A5E1-55BE9F315719}">
      <dgm:prSet/>
      <dgm:spPr/>
      <dgm:t>
        <a:bodyPr/>
        <a:lstStyle/>
        <a:p>
          <a:endParaRPr lang="en-US"/>
        </a:p>
      </dgm:t>
    </dgm:pt>
    <dgm:pt modelId="{26AFC62F-FC45-8147-9EE8-DF2AF3D14BA2}" type="sibTrans" cxnId="{8CBFA2F1-838E-EB44-A5E1-55BE9F315719}">
      <dgm:prSet/>
      <dgm:spPr/>
      <dgm:t>
        <a:bodyPr/>
        <a:lstStyle/>
        <a:p>
          <a:endParaRPr lang="en-US"/>
        </a:p>
      </dgm:t>
    </dgm:pt>
    <dgm:pt modelId="{526B0C6E-A278-CE43-8E71-45EAD7B0F54C}">
      <dgm:prSet phldrT="[Text]"/>
      <dgm:spPr/>
      <dgm:t>
        <a:bodyPr/>
        <a:lstStyle/>
        <a:p>
          <a:r>
            <a:rPr lang="en-US"/>
            <a:t>Acceptance that humans are falible and will make errors</a:t>
          </a:r>
        </a:p>
      </dgm:t>
    </dgm:pt>
    <dgm:pt modelId="{C90CF3E9-D8F2-4441-96B3-2F55AA0C8C33}" type="parTrans" cxnId="{055ABD32-B72C-9749-A836-A83E89D4DFB8}">
      <dgm:prSet/>
      <dgm:spPr/>
      <dgm:t>
        <a:bodyPr/>
        <a:lstStyle/>
        <a:p>
          <a:endParaRPr lang="en-US"/>
        </a:p>
      </dgm:t>
    </dgm:pt>
    <dgm:pt modelId="{08B4F240-531B-9B41-8010-E237A8E8B7CF}" type="sibTrans" cxnId="{055ABD32-B72C-9749-A836-A83E89D4DFB8}">
      <dgm:prSet/>
      <dgm:spPr/>
      <dgm:t>
        <a:bodyPr/>
        <a:lstStyle/>
        <a:p>
          <a:endParaRPr lang="en-US"/>
        </a:p>
      </dgm:t>
    </dgm:pt>
    <dgm:pt modelId="{333A458F-8349-974B-BDD5-34024A0DFEC4}">
      <dgm:prSet phldrT="[Text]"/>
      <dgm:spPr/>
      <dgm:t>
        <a:bodyPr/>
        <a:lstStyle/>
        <a:p>
          <a:r>
            <a:rPr lang="en-US"/>
            <a:t>Open method for sharing and learning from mistakes</a:t>
          </a:r>
        </a:p>
      </dgm:t>
    </dgm:pt>
    <dgm:pt modelId="{149B5BD7-1AC5-4A4E-9EB3-E903C1574D4D}" type="parTrans" cxnId="{BF2EE715-BD2C-5441-B10B-69A354EB1A57}">
      <dgm:prSet/>
      <dgm:spPr/>
      <dgm:t>
        <a:bodyPr/>
        <a:lstStyle/>
        <a:p>
          <a:endParaRPr lang="en-US"/>
        </a:p>
      </dgm:t>
    </dgm:pt>
    <dgm:pt modelId="{751406FA-70EB-0145-9844-B99C4718D0B1}" type="sibTrans" cxnId="{BF2EE715-BD2C-5441-B10B-69A354EB1A57}">
      <dgm:prSet/>
      <dgm:spPr/>
      <dgm:t>
        <a:bodyPr/>
        <a:lstStyle/>
        <a:p>
          <a:endParaRPr lang="en-US"/>
        </a:p>
      </dgm:t>
    </dgm:pt>
    <dgm:pt modelId="{D5E93263-F8D5-B846-8D90-2B330898B00D}">
      <dgm:prSet phldrT="[Text]"/>
      <dgm:spPr/>
      <dgm:t>
        <a:bodyPr/>
        <a:lstStyle/>
        <a:p>
          <a:r>
            <a:rPr lang="en-US"/>
            <a:t>Belonging</a:t>
          </a:r>
        </a:p>
      </dgm:t>
    </dgm:pt>
    <dgm:pt modelId="{15E3F9A4-A8A6-A04D-8750-3A06C3674620}" type="parTrans" cxnId="{562DB658-4D90-5B48-9ABE-4244D256CA76}">
      <dgm:prSet/>
      <dgm:spPr/>
      <dgm:t>
        <a:bodyPr/>
        <a:lstStyle/>
        <a:p>
          <a:endParaRPr lang="en-US"/>
        </a:p>
      </dgm:t>
    </dgm:pt>
    <dgm:pt modelId="{E77B7E70-669A-7C49-96F8-0836E44865F4}" type="sibTrans" cxnId="{562DB658-4D90-5B48-9ABE-4244D256CA76}">
      <dgm:prSet/>
      <dgm:spPr/>
      <dgm:t>
        <a:bodyPr/>
        <a:lstStyle/>
        <a:p>
          <a:endParaRPr lang="en-US"/>
        </a:p>
      </dgm:t>
    </dgm:pt>
    <dgm:pt modelId="{4EF80955-2C74-E548-B2BE-2F4B3C671B62}">
      <dgm:prSet phldrT="[Text]"/>
      <dgm:spPr/>
      <dgm:t>
        <a:bodyPr/>
        <a:lstStyle/>
        <a:p>
          <a:r>
            <a:rPr lang="en-US"/>
            <a:t>Line of responsibility</a:t>
          </a:r>
        </a:p>
      </dgm:t>
    </dgm:pt>
    <dgm:pt modelId="{C485B535-8962-8F4B-87E2-64FEA66D3632}" type="parTrans" cxnId="{C7E85D63-7E12-6D48-B401-0B0388C5B6A3}">
      <dgm:prSet/>
      <dgm:spPr/>
      <dgm:t>
        <a:bodyPr/>
        <a:lstStyle/>
        <a:p>
          <a:endParaRPr lang="en-US"/>
        </a:p>
      </dgm:t>
    </dgm:pt>
    <dgm:pt modelId="{B4434B18-72A4-F946-9B99-DDAF8020B5BB}" type="sibTrans" cxnId="{C7E85D63-7E12-6D48-B401-0B0388C5B6A3}">
      <dgm:prSet/>
      <dgm:spPr/>
      <dgm:t>
        <a:bodyPr/>
        <a:lstStyle/>
        <a:p>
          <a:endParaRPr lang="en-US"/>
        </a:p>
      </dgm:t>
    </dgm:pt>
    <dgm:pt modelId="{AC27E914-9E6B-7D4F-AD04-D20232102FC8}">
      <dgm:prSet phldrT="[Text]"/>
      <dgm:spPr/>
      <dgm:t>
        <a:bodyPr/>
        <a:lstStyle/>
        <a:p>
          <a:r>
            <a:rPr lang="en-US"/>
            <a:t>Improve ethical erosion</a:t>
          </a:r>
        </a:p>
      </dgm:t>
    </dgm:pt>
    <dgm:pt modelId="{561A3779-259D-1047-B2BF-7DA30AB249CE}" type="parTrans" cxnId="{C3BAA10C-F2FA-2D44-B044-185C56CB2FAD}">
      <dgm:prSet/>
      <dgm:spPr/>
      <dgm:t>
        <a:bodyPr/>
        <a:lstStyle/>
        <a:p>
          <a:endParaRPr lang="en-US"/>
        </a:p>
      </dgm:t>
    </dgm:pt>
    <dgm:pt modelId="{5A1144C3-8749-8C49-9285-7342C26607BC}" type="sibTrans" cxnId="{C3BAA10C-F2FA-2D44-B044-185C56CB2FAD}">
      <dgm:prSet/>
      <dgm:spPr/>
      <dgm:t>
        <a:bodyPr/>
        <a:lstStyle/>
        <a:p>
          <a:endParaRPr lang="en-US"/>
        </a:p>
      </dgm:t>
    </dgm:pt>
    <dgm:pt modelId="{77AC5EB2-406A-914D-85CC-D4E8368B2E2D}">
      <dgm:prSet phldrT="[Text]"/>
      <dgm:spPr/>
      <dgm:t>
        <a:bodyPr/>
        <a:lstStyle/>
        <a:p>
          <a:r>
            <a:rPr lang="en-US"/>
            <a:t>Improve morale</a:t>
          </a:r>
        </a:p>
      </dgm:t>
    </dgm:pt>
    <dgm:pt modelId="{D3E88675-8A53-B04C-B641-222195D8CF35}" type="parTrans" cxnId="{B63BC8C2-4903-B740-A516-91880E9F7158}">
      <dgm:prSet/>
      <dgm:spPr/>
      <dgm:t>
        <a:bodyPr/>
        <a:lstStyle/>
        <a:p>
          <a:endParaRPr lang="en-US"/>
        </a:p>
      </dgm:t>
    </dgm:pt>
    <dgm:pt modelId="{8D2B2F3A-B331-A14E-BCE0-1FAC04827218}" type="sibTrans" cxnId="{B63BC8C2-4903-B740-A516-91880E9F7158}">
      <dgm:prSet/>
      <dgm:spPr/>
      <dgm:t>
        <a:bodyPr/>
        <a:lstStyle/>
        <a:p>
          <a:endParaRPr lang="en-US"/>
        </a:p>
      </dgm:t>
    </dgm:pt>
    <dgm:pt modelId="{4F6046EE-0F92-6047-9718-0FE5DA18E469}">
      <dgm:prSet phldrT="[Text]"/>
      <dgm:spPr/>
      <dgm:t>
        <a:bodyPr/>
        <a:lstStyle/>
        <a:p>
          <a:r>
            <a:rPr lang="en-US"/>
            <a:t>Learn from mistakes and error</a:t>
          </a:r>
        </a:p>
      </dgm:t>
    </dgm:pt>
    <dgm:pt modelId="{A8FFD197-DE44-944C-BEA3-E0E7794F16F2}" type="parTrans" cxnId="{E160A8EC-5C1F-3A48-8F80-F1EF8E69D7CD}">
      <dgm:prSet/>
      <dgm:spPr/>
      <dgm:t>
        <a:bodyPr/>
        <a:lstStyle/>
        <a:p>
          <a:endParaRPr lang="en-US"/>
        </a:p>
      </dgm:t>
    </dgm:pt>
    <dgm:pt modelId="{9B71B142-5EE1-DF46-BBFB-85572E6F3609}" type="sibTrans" cxnId="{E160A8EC-5C1F-3A48-8F80-F1EF8E69D7CD}">
      <dgm:prSet/>
      <dgm:spPr/>
      <dgm:t>
        <a:bodyPr/>
        <a:lstStyle/>
        <a:p>
          <a:endParaRPr lang="en-US"/>
        </a:p>
      </dgm:t>
    </dgm:pt>
    <dgm:pt modelId="{0804020B-F512-C447-AD3C-640E82507161}">
      <dgm:prSet phldrT="[Text]"/>
      <dgm:spPr/>
      <dgm:t>
        <a:bodyPr/>
        <a:lstStyle/>
        <a:p>
          <a:r>
            <a:rPr lang="en-US"/>
            <a:t>Meaningful investigation of error and powerful learning to prevent recurrence</a:t>
          </a:r>
        </a:p>
      </dgm:t>
    </dgm:pt>
    <dgm:pt modelId="{4184CA29-4B49-DB4B-92FA-BE5235A3C757}" type="parTrans" cxnId="{7C0E6671-7E66-B646-A665-B337FDCCF573}">
      <dgm:prSet/>
      <dgm:spPr/>
      <dgm:t>
        <a:bodyPr/>
        <a:lstStyle/>
        <a:p>
          <a:endParaRPr lang="en-US"/>
        </a:p>
      </dgm:t>
    </dgm:pt>
    <dgm:pt modelId="{C215E57C-27F7-9E44-A0E2-182DDFDACD87}" type="sibTrans" cxnId="{7C0E6671-7E66-B646-A665-B337FDCCF573}">
      <dgm:prSet/>
      <dgm:spPr/>
      <dgm:t>
        <a:bodyPr/>
        <a:lstStyle/>
        <a:p>
          <a:endParaRPr lang="en-US"/>
        </a:p>
      </dgm:t>
    </dgm:pt>
    <dgm:pt modelId="{4044DF98-A647-9C44-A05B-D9FABAA25642}">
      <dgm:prSet phldrT="[Text]"/>
      <dgm:spPr/>
      <dgm:t>
        <a:bodyPr/>
        <a:lstStyle/>
        <a:p>
          <a:r>
            <a:rPr lang="en-US"/>
            <a:t>At commissioning and procurement level</a:t>
          </a:r>
        </a:p>
      </dgm:t>
    </dgm:pt>
    <dgm:pt modelId="{E0960F80-561C-4D49-A857-5EF725347717}" type="parTrans" cxnId="{A5B346DB-BC7C-D649-A77E-90C5BE873687}">
      <dgm:prSet/>
      <dgm:spPr/>
      <dgm:t>
        <a:bodyPr/>
        <a:lstStyle/>
        <a:p>
          <a:endParaRPr lang="en-US"/>
        </a:p>
      </dgm:t>
    </dgm:pt>
    <dgm:pt modelId="{4801D018-F8B5-5C4B-8288-50DA20FC99DD}" type="sibTrans" cxnId="{A5B346DB-BC7C-D649-A77E-90C5BE873687}">
      <dgm:prSet/>
      <dgm:spPr/>
      <dgm:t>
        <a:bodyPr/>
        <a:lstStyle/>
        <a:p>
          <a:endParaRPr lang="en-US"/>
        </a:p>
      </dgm:t>
    </dgm:pt>
    <dgm:pt modelId="{796912B1-D609-2540-B644-9882A258798B}">
      <dgm:prSet phldrT="[Text]"/>
      <dgm:spPr/>
      <dgm:t>
        <a:bodyPr/>
        <a:lstStyle/>
        <a:p>
          <a:r>
            <a:rPr lang="en-US"/>
            <a:t>Driven by system leaders &amp; hierarchial committees</a:t>
          </a:r>
        </a:p>
      </dgm:t>
    </dgm:pt>
    <dgm:pt modelId="{8C98DA4F-F1B9-3E47-9D9E-8C1373DA9BB8}" type="parTrans" cxnId="{2D0715DB-9585-4945-86F5-CCCF29A8B23C}">
      <dgm:prSet/>
      <dgm:spPr/>
      <dgm:t>
        <a:bodyPr/>
        <a:lstStyle/>
        <a:p>
          <a:endParaRPr lang="en-US"/>
        </a:p>
      </dgm:t>
    </dgm:pt>
    <dgm:pt modelId="{26F2CA12-9BD2-294C-B9A8-52A9F8C3E0C4}" type="sibTrans" cxnId="{2D0715DB-9585-4945-86F5-CCCF29A8B23C}">
      <dgm:prSet/>
      <dgm:spPr/>
      <dgm:t>
        <a:bodyPr/>
        <a:lstStyle/>
        <a:p>
          <a:endParaRPr lang="en-US"/>
        </a:p>
      </dgm:t>
    </dgm:pt>
    <dgm:pt modelId="{DBCD6503-8348-AB43-BAE8-087A22FADDE7}">
      <dgm:prSet phldrT="[Text]"/>
      <dgm:spPr/>
      <dgm:t>
        <a:bodyPr/>
        <a:lstStyle/>
        <a:p>
          <a:r>
            <a:rPr lang="en-US"/>
            <a:t>Meaningful interprofessional learning</a:t>
          </a:r>
        </a:p>
      </dgm:t>
    </dgm:pt>
    <dgm:pt modelId="{DF0577A4-6136-9142-83CD-0A0B11CB4416}" type="parTrans" cxnId="{59AB8FA6-8EAE-E547-9D54-39BC119B6ED0}">
      <dgm:prSet/>
      <dgm:spPr/>
      <dgm:t>
        <a:bodyPr/>
        <a:lstStyle/>
        <a:p>
          <a:endParaRPr lang="en-US"/>
        </a:p>
      </dgm:t>
    </dgm:pt>
    <dgm:pt modelId="{C5EC24CB-AF6F-0248-A621-957657AD5112}" type="sibTrans" cxnId="{59AB8FA6-8EAE-E547-9D54-39BC119B6ED0}">
      <dgm:prSet/>
      <dgm:spPr/>
      <dgm:t>
        <a:bodyPr/>
        <a:lstStyle/>
        <a:p>
          <a:endParaRPr lang="en-US"/>
        </a:p>
      </dgm:t>
    </dgm:pt>
    <dgm:pt modelId="{6A7C7B8B-75DB-064A-A6D8-1E2A3DBB461E}">
      <dgm:prSet phldrT="[Text]"/>
      <dgm:spPr/>
      <dgm:t>
        <a:bodyPr/>
        <a:lstStyle/>
        <a:p>
          <a:r>
            <a:rPr lang="en-US"/>
            <a:t>Mentorship/ apprenticeship</a:t>
          </a:r>
        </a:p>
      </dgm:t>
    </dgm:pt>
    <dgm:pt modelId="{A15E8A07-1AB1-0241-9605-201181DEF052}" type="parTrans" cxnId="{0F2A52A4-59CF-0A43-ACF2-940CC86637A5}">
      <dgm:prSet/>
      <dgm:spPr/>
      <dgm:t>
        <a:bodyPr/>
        <a:lstStyle/>
        <a:p>
          <a:endParaRPr lang="en-US"/>
        </a:p>
      </dgm:t>
    </dgm:pt>
    <dgm:pt modelId="{902B0003-6FB5-0248-A38C-509B18A42C29}" type="sibTrans" cxnId="{0F2A52A4-59CF-0A43-ACF2-940CC86637A5}">
      <dgm:prSet/>
      <dgm:spPr/>
      <dgm:t>
        <a:bodyPr/>
        <a:lstStyle/>
        <a:p>
          <a:endParaRPr lang="en-US"/>
        </a:p>
      </dgm:t>
    </dgm:pt>
    <dgm:pt modelId="{7B604DEC-C3E9-1640-BBE7-6E6F4CFF215C}">
      <dgm:prSet phldrT="[Text]"/>
      <dgm:spPr/>
      <dgm:t>
        <a:bodyPr/>
        <a:lstStyle/>
        <a:p>
          <a:r>
            <a:rPr lang="en-US"/>
            <a:t>Early in training</a:t>
          </a:r>
        </a:p>
      </dgm:t>
    </dgm:pt>
    <dgm:pt modelId="{C007F48C-B70F-5944-A7DC-61A84D95DFEC}" type="parTrans" cxnId="{0C836F78-E6CA-0348-A2F9-ED6C06B04B94}">
      <dgm:prSet/>
      <dgm:spPr/>
      <dgm:t>
        <a:bodyPr/>
        <a:lstStyle/>
        <a:p>
          <a:endParaRPr lang="en-US"/>
        </a:p>
      </dgm:t>
    </dgm:pt>
    <dgm:pt modelId="{5E1E9DD5-9687-454D-AF6F-414202B7C02B}" type="sibTrans" cxnId="{0C836F78-E6CA-0348-A2F9-ED6C06B04B94}">
      <dgm:prSet/>
      <dgm:spPr/>
      <dgm:t>
        <a:bodyPr/>
        <a:lstStyle/>
        <a:p>
          <a:endParaRPr lang="en-US"/>
        </a:p>
      </dgm:t>
    </dgm:pt>
    <dgm:pt modelId="{BB5F4E2A-CA63-0343-B203-48C1B218FD90}">
      <dgm:prSet phldrT="[Text]"/>
      <dgm:spPr/>
      <dgm:t>
        <a:bodyPr/>
        <a:lstStyle/>
        <a:p>
          <a:r>
            <a:rPr lang="en-US"/>
            <a:t>Embedded with human factors education</a:t>
          </a:r>
        </a:p>
      </dgm:t>
    </dgm:pt>
    <dgm:pt modelId="{77C9C8D7-0B92-CE46-B7EB-A1C4F3285FE8}" type="parTrans" cxnId="{DA24E8B0-2938-B543-AA30-AF6FAC63748F}">
      <dgm:prSet/>
      <dgm:spPr/>
      <dgm:t>
        <a:bodyPr/>
        <a:lstStyle/>
        <a:p>
          <a:endParaRPr lang="en-US"/>
        </a:p>
      </dgm:t>
    </dgm:pt>
    <dgm:pt modelId="{2DAE0F24-8CEA-AE41-BEC7-297232B06EE6}" type="sibTrans" cxnId="{DA24E8B0-2938-B543-AA30-AF6FAC63748F}">
      <dgm:prSet/>
      <dgm:spPr/>
      <dgm:t>
        <a:bodyPr/>
        <a:lstStyle/>
        <a:p>
          <a:endParaRPr lang="en-US"/>
        </a:p>
      </dgm:t>
    </dgm:pt>
    <dgm:pt modelId="{C7BAF1C7-BE5D-7E4E-B43C-9670CC73AD10}">
      <dgm:prSet phldrT="[Text]"/>
      <dgm:spPr/>
      <dgm:t>
        <a:bodyPr/>
        <a:lstStyle/>
        <a:p>
          <a:r>
            <a:rPr lang="en-US"/>
            <a:t>Build trust, understanding, respect, rapport</a:t>
          </a:r>
        </a:p>
      </dgm:t>
    </dgm:pt>
    <dgm:pt modelId="{7BF71F64-38A1-A646-9B61-8858233DFA9E}" type="parTrans" cxnId="{CE4BCB32-9A6A-DA41-A363-804A8C5E315A}">
      <dgm:prSet/>
      <dgm:spPr/>
      <dgm:t>
        <a:bodyPr/>
        <a:lstStyle/>
        <a:p>
          <a:endParaRPr lang="en-US"/>
        </a:p>
      </dgm:t>
    </dgm:pt>
    <dgm:pt modelId="{E8213F45-E4CC-D041-8A6B-194D78FFF298}" type="sibTrans" cxnId="{CE4BCB32-9A6A-DA41-A363-804A8C5E315A}">
      <dgm:prSet/>
      <dgm:spPr/>
      <dgm:t>
        <a:bodyPr/>
        <a:lstStyle/>
        <a:p>
          <a:endParaRPr lang="en-US"/>
        </a:p>
      </dgm:t>
    </dgm:pt>
    <dgm:pt modelId="{D9A46310-068B-E946-9887-CD3B9B314228}">
      <dgm:prSet phldrT="[Text]"/>
      <dgm:spPr/>
      <dgm:t>
        <a:bodyPr/>
        <a:lstStyle/>
        <a:p>
          <a:r>
            <a:rPr lang="en-US"/>
            <a:t>Role modelling at all levels</a:t>
          </a:r>
        </a:p>
      </dgm:t>
    </dgm:pt>
    <dgm:pt modelId="{D15B0393-DF57-1C48-9A2A-45B61DE6DE67}" type="parTrans" cxnId="{B59EA2D3-6866-D142-922F-84A2E9C5D317}">
      <dgm:prSet/>
      <dgm:spPr/>
      <dgm:t>
        <a:bodyPr/>
        <a:lstStyle/>
        <a:p>
          <a:endParaRPr lang="en-US"/>
        </a:p>
      </dgm:t>
    </dgm:pt>
    <dgm:pt modelId="{4278E8F9-BA7E-E44D-B7B7-E4CAE16C32A5}" type="sibTrans" cxnId="{B59EA2D3-6866-D142-922F-84A2E9C5D317}">
      <dgm:prSet/>
      <dgm:spPr/>
      <dgm:t>
        <a:bodyPr/>
        <a:lstStyle/>
        <a:p>
          <a:endParaRPr lang="en-US"/>
        </a:p>
      </dgm:t>
    </dgm:pt>
    <dgm:pt modelId="{5FDE8660-C833-3A45-B3F8-A8265962477E}">
      <dgm:prSet phldrT="[Text]"/>
      <dgm:spPr/>
      <dgm:t>
        <a:bodyPr/>
        <a:lstStyle/>
        <a:p>
          <a:r>
            <a:rPr lang="en-US"/>
            <a:t>Personal anecdotes and stories</a:t>
          </a:r>
        </a:p>
      </dgm:t>
    </dgm:pt>
    <dgm:pt modelId="{EF9FEE94-B655-DD4D-AE9E-ACD64225D144}" type="parTrans" cxnId="{5DE7DD8B-0624-5642-8355-1136E59D9163}">
      <dgm:prSet/>
      <dgm:spPr/>
      <dgm:t>
        <a:bodyPr/>
        <a:lstStyle/>
        <a:p>
          <a:endParaRPr lang="en-US"/>
        </a:p>
      </dgm:t>
    </dgm:pt>
    <dgm:pt modelId="{280B2095-88EE-5648-BE10-27BF23361893}" type="sibTrans" cxnId="{5DE7DD8B-0624-5642-8355-1136E59D9163}">
      <dgm:prSet/>
      <dgm:spPr/>
      <dgm:t>
        <a:bodyPr/>
        <a:lstStyle/>
        <a:p>
          <a:endParaRPr lang="en-US"/>
        </a:p>
      </dgm:t>
    </dgm:pt>
    <dgm:pt modelId="{F86A1FC8-F8F1-1447-8935-2F798C717E68}">
      <dgm:prSet phldrT="[Text]"/>
      <dgm:spPr/>
      <dgm:t>
        <a:bodyPr/>
        <a:lstStyle/>
        <a:p>
          <a:r>
            <a:rPr lang="en-US"/>
            <a:t>Reward non-technical skills as highly as knowledge</a:t>
          </a:r>
        </a:p>
      </dgm:t>
    </dgm:pt>
    <dgm:pt modelId="{251E702F-C7C4-5443-B0EF-DDDD4C8A8956}" type="parTrans" cxnId="{94586643-F6D9-F046-9784-A3ED6E448D1C}">
      <dgm:prSet/>
      <dgm:spPr/>
      <dgm:t>
        <a:bodyPr/>
        <a:lstStyle/>
        <a:p>
          <a:endParaRPr lang="en-US"/>
        </a:p>
      </dgm:t>
    </dgm:pt>
    <dgm:pt modelId="{355194ED-CE97-2541-A387-DBC8936143B5}" type="sibTrans" cxnId="{94586643-F6D9-F046-9784-A3ED6E448D1C}">
      <dgm:prSet/>
      <dgm:spPr/>
      <dgm:t>
        <a:bodyPr/>
        <a:lstStyle/>
        <a:p>
          <a:endParaRPr lang="en-US"/>
        </a:p>
      </dgm:t>
    </dgm:pt>
    <dgm:pt modelId="{D25F92A0-F426-3747-A2DC-DED83BE22A43}">
      <dgm:prSet phldrT="[Text]"/>
      <dgm:spPr/>
      <dgm:t>
        <a:bodyPr/>
        <a:lstStyle/>
        <a:p>
          <a:r>
            <a:rPr lang="en-US"/>
            <a:t>Share vulnerability, anxiety and mistakes</a:t>
          </a:r>
        </a:p>
      </dgm:t>
    </dgm:pt>
    <dgm:pt modelId="{A8EDA5E5-09B9-C440-A830-FEA9A41B506F}" type="parTrans" cxnId="{1CAF0598-74F4-1141-B42B-8EC04B7770F3}">
      <dgm:prSet/>
      <dgm:spPr/>
      <dgm:t>
        <a:bodyPr/>
        <a:lstStyle/>
        <a:p>
          <a:endParaRPr lang="en-US"/>
        </a:p>
      </dgm:t>
    </dgm:pt>
    <dgm:pt modelId="{FF5EBF47-1005-0943-A76E-C089EA19EFEF}" type="sibTrans" cxnId="{1CAF0598-74F4-1141-B42B-8EC04B7770F3}">
      <dgm:prSet/>
      <dgm:spPr/>
      <dgm:t>
        <a:bodyPr/>
        <a:lstStyle/>
        <a:p>
          <a:endParaRPr lang="en-US"/>
        </a:p>
      </dgm:t>
    </dgm:pt>
    <dgm:pt modelId="{1559D2D2-46D7-084B-87F6-AA7C557EEA12}">
      <dgm:prSet phldrT="[Text]"/>
      <dgm:spPr/>
      <dgm:t>
        <a:bodyPr/>
        <a:lstStyle/>
        <a:p>
          <a:r>
            <a:rPr lang="en-US"/>
            <a:t>Learn how to support each other &amp; enhance team work</a:t>
          </a:r>
        </a:p>
      </dgm:t>
    </dgm:pt>
    <dgm:pt modelId="{4079F377-CFDC-244A-8D7A-A96BD6DACE60}" type="parTrans" cxnId="{C9B9AB0D-3235-3143-84EC-7AACC1032E52}">
      <dgm:prSet/>
      <dgm:spPr/>
      <dgm:t>
        <a:bodyPr/>
        <a:lstStyle/>
        <a:p>
          <a:endParaRPr lang="en-US"/>
        </a:p>
      </dgm:t>
    </dgm:pt>
    <dgm:pt modelId="{921B0275-C66F-8A4E-9600-1799E5D8ECB6}" type="sibTrans" cxnId="{C9B9AB0D-3235-3143-84EC-7AACC1032E52}">
      <dgm:prSet/>
      <dgm:spPr/>
      <dgm:t>
        <a:bodyPr/>
        <a:lstStyle/>
        <a:p>
          <a:endParaRPr lang="en-US"/>
        </a:p>
      </dgm:t>
    </dgm:pt>
    <dgm:pt modelId="{3E075F27-C18A-E140-B8F2-23CB6B50BDB5}">
      <dgm:prSet phldrT="[Text]"/>
      <dgm:spPr/>
      <dgm:t>
        <a:bodyPr/>
        <a:lstStyle/>
        <a:p>
          <a:r>
            <a:rPr lang="en-US"/>
            <a:t>Explore human factors informed commissioning &amp; procurement</a:t>
          </a:r>
        </a:p>
      </dgm:t>
    </dgm:pt>
    <dgm:pt modelId="{2BB3F713-26AA-DF4B-B219-FF9065F637EF}" type="parTrans" cxnId="{DC938D2F-8C0C-8D49-A7FE-BD5A43FF06D8}">
      <dgm:prSet/>
      <dgm:spPr/>
      <dgm:t>
        <a:bodyPr/>
        <a:lstStyle/>
        <a:p>
          <a:endParaRPr lang="en-US"/>
        </a:p>
      </dgm:t>
    </dgm:pt>
    <dgm:pt modelId="{2D8DDE12-4B6C-C844-A9E1-5A02076E2B24}" type="sibTrans" cxnId="{DC938D2F-8C0C-8D49-A7FE-BD5A43FF06D8}">
      <dgm:prSet/>
      <dgm:spPr/>
      <dgm:t>
        <a:bodyPr/>
        <a:lstStyle/>
        <a:p>
          <a:endParaRPr lang="en-US"/>
        </a:p>
      </dgm:t>
    </dgm:pt>
    <dgm:pt modelId="{891CF868-9922-524B-887B-09ABB060202C}">
      <dgm:prSet phldrT="[Text]"/>
      <dgm:spPr/>
      <dgm:t>
        <a:bodyPr/>
        <a:lstStyle/>
        <a:p>
          <a:r>
            <a:rPr lang="en-US"/>
            <a:t>Informing principle</a:t>
          </a:r>
        </a:p>
      </dgm:t>
    </dgm:pt>
    <dgm:pt modelId="{A6B57A84-D036-7A46-B712-925794FCDAC3}" type="parTrans" cxnId="{B0A8EB13-3102-2749-807F-568FFA2D6643}">
      <dgm:prSet/>
      <dgm:spPr/>
      <dgm:t>
        <a:bodyPr/>
        <a:lstStyle/>
        <a:p>
          <a:endParaRPr lang="en-US"/>
        </a:p>
      </dgm:t>
    </dgm:pt>
    <dgm:pt modelId="{B650BF4F-84D9-B946-960C-7B4F8DA0D7F5}" type="sibTrans" cxnId="{B0A8EB13-3102-2749-807F-568FFA2D6643}">
      <dgm:prSet/>
      <dgm:spPr/>
      <dgm:t>
        <a:bodyPr/>
        <a:lstStyle/>
        <a:p>
          <a:endParaRPr lang="en-US"/>
        </a:p>
      </dgm:t>
    </dgm:pt>
    <dgm:pt modelId="{AB6650D8-EF03-DF4E-BD8A-F98AD7658627}">
      <dgm:prSet phldrT="[Text]"/>
      <dgm:spPr/>
      <dgm:t>
        <a:bodyPr/>
        <a:lstStyle/>
        <a:p>
          <a:r>
            <a:rPr lang="en-US"/>
            <a:t>Efficiency, effectiveness &amp; safety will be a by product</a:t>
          </a:r>
        </a:p>
      </dgm:t>
    </dgm:pt>
    <dgm:pt modelId="{6AB9FD65-2E54-184F-9F82-168BC3CA166D}" type="parTrans" cxnId="{CE61147B-4339-D842-8B19-047DE780E781}">
      <dgm:prSet/>
      <dgm:spPr/>
      <dgm:t>
        <a:bodyPr/>
        <a:lstStyle/>
        <a:p>
          <a:endParaRPr lang="en-US"/>
        </a:p>
      </dgm:t>
    </dgm:pt>
    <dgm:pt modelId="{6F2B254C-73D8-1246-B16F-804FDE17E904}" type="sibTrans" cxnId="{CE61147B-4339-D842-8B19-047DE780E781}">
      <dgm:prSet/>
      <dgm:spPr/>
      <dgm:t>
        <a:bodyPr/>
        <a:lstStyle/>
        <a:p>
          <a:endParaRPr lang="en-US"/>
        </a:p>
      </dgm:t>
    </dgm:pt>
    <dgm:pt modelId="{62879411-35D7-1A4A-9C3D-AFEBAFF4DF03}">
      <dgm:prSet phldrT="[Text]"/>
      <dgm:spPr/>
      <dgm:t>
        <a:bodyPr/>
        <a:lstStyle/>
        <a:p>
          <a:r>
            <a:rPr lang="en-US"/>
            <a:t>Recognise action vs inaction as equal in terms of safety threats</a:t>
          </a:r>
        </a:p>
      </dgm:t>
    </dgm:pt>
    <dgm:pt modelId="{F529F5A8-77FB-A546-AE36-97C766E5C59E}" type="parTrans" cxnId="{60384C52-8F62-2044-A22A-79045B217B49}">
      <dgm:prSet/>
      <dgm:spPr/>
      <dgm:t>
        <a:bodyPr/>
        <a:lstStyle/>
        <a:p>
          <a:endParaRPr lang="en-US"/>
        </a:p>
      </dgm:t>
    </dgm:pt>
    <dgm:pt modelId="{B07BB940-E8F6-DA41-9C33-1353195BAA36}" type="sibTrans" cxnId="{60384C52-8F62-2044-A22A-79045B217B49}">
      <dgm:prSet/>
      <dgm:spPr/>
      <dgm:t>
        <a:bodyPr/>
        <a:lstStyle/>
        <a:p>
          <a:endParaRPr lang="en-US"/>
        </a:p>
      </dgm:t>
    </dgm:pt>
    <dgm:pt modelId="{FB4486FA-3262-EC41-98A7-217616158E3D}">
      <dgm:prSet phldrT="[Text]"/>
      <dgm:spPr/>
      <dgm:t>
        <a:bodyPr/>
        <a:lstStyle/>
        <a:p>
          <a:r>
            <a:rPr lang="en-US"/>
            <a:t>Encourage reflective practice - in action and on action</a:t>
          </a:r>
        </a:p>
      </dgm:t>
    </dgm:pt>
    <dgm:pt modelId="{8C892A1D-BDAB-234F-BE4A-D328AB687072}" type="parTrans" cxnId="{28719ADA-0E46-FD47-BF83-7B83E1E281AB}">
      <dgm:prSet/>
      <dgm:spPr/>
      <dgm:t>
        <a:bodyPr/>
        <a:lstStyle/>
        <a:p>
          <a:endParaRPr lang="en-US"/>
        </a:p>
      </dgm:t>
    </dgm:pt>
    <dgm:pt modelId="{E2B34CA5-6B63-6E45-98A3-06398297006B}" type="sibTrans" cxnId="{28719ADA-0E46-FD47-BF83-7B83E1E281AB}">
      <dgm:prSet/>
      <dgm:spPr/>
      <dgm:t>
        <a:bodyPr/>
        <a:lstStyle/>
        <a:p>
          <a:endParaRPr lang="en-US"/>
        </a:p>
      </dgm:t>
    </dgm:pt>
    <dgm:pt modelId="{7E3B093B-280D-BD49-A7A1-C0EC89221C6D}">
      <dgm:prSet phldrT="[Text]"/>
      <dgm:spPr/>
      <dgm:t>
        <a:bodyPr/>
        <a:lstStyle/>
        <a:p>
          <a:r>
            <a:rPr lang="en-US"/>
            <a:t>Manage public expectation</a:t>
          </a:r>
        </a:p>
      </dgm:t>
    </dgm:pt>
    <dgm:pt modelId="{CADF6A5A-8C69-F242-9D6E-348A72009204}" type="parTrans" cxnId="{0AFF09C2-0696-4342-B653-4D01B87053F9}">
      <dgm:prSet/>
      <dgm:spPr/>
      <dgm:t>
        <a:bodyPr/>
        <a:lstStyle/>
        <a:p>
          <a:endParaRPr lang="en-US"/>
        </a:p>
      </dgm:t>
    </dgm:pt>
    <dgm:pt modelId="{764C4577-8840-3448-8BE9-E958F444EFAD}" type="sibTrans" cxnId="{0AFF09C2-0696-4342-B653-4D01B87053F9}">
      <dgm:prSet/>
      <dgm:spPr/>
      <dgm:t>
        <a:bodyPr/>
        <a:lstStyle/>
        <a:p>
          <a:endParaRPr lang="en-US"/>
        </a:p>
      </dgm:t>
    </dgm:pt>
    <dgm:pt modelId="{60F46D44-5CAB-5F41-85EB-9B35C25C5423}">
      <dgm:prSet phldrT="[Text]"/>
      <dgm:spPr/>
      <dgm:t>
        <a:bodyPr/>
        <a:lstStyle/>
        <a:p>
          <a:r>
            <a:rPr lang="en-US"/>
            <a:t>Awareness of high risk environment</a:t>
          </a:r>
        </a:p>
      </dgm:t>
    </dgm:pt>
    <dgm:pt modelId="{F3B07D33-E462-4B4F-9DB9-F2BFFB9C0F53}" type="parTrans" cxnId="{E4ACC26F-BFE3-D34A-94DC-16BE30949349}">
      <dgm:prSet/>
      <dgm:spPr/>
      <dgm:t>
        <a:bodyPr/>
        <a:lstStyle/>
        <a:p>
          <a:endParaRPr lang="en-US"/>
        </a:p>
      </dgm:t>
    </dgm:pt>
    <dgm:pt modelId="{51308CD4-CB2B-864F-9453-DA31CF6D1A95}" type="sibTrans" cxnId="{E4ACC26F-BFE3-D34A-94DC-16BE30949349}">
      <dgm:prSet/>
      <dgm:spPr/>
      <dgm:t>
        <a:bodyPr/>
        <a:lstStyle/>
        <a:p>
          <a:endParaRPr lang="en-US"/>
        </a:p>
      </dgm:t>
    </dgm:pt>
    <dgm:pt modelId="{755840EC-EE74-8342-A287-B66BE3779C59}">
      <dgm:prSet phldrT="[Text]"/>
      <dgm:spPr/>
      <dgm:t>
        <a:bodyPr/>
        <a:lstStyle/>
        <a:p>
          <a:r>
            <a:rPr lang="en-US"/>
            <a:t>Human fallibility</a:t>
          </a:r>
        </a:p>
      </dgm:t>
    </dgm:pt>
    <dgm:pt modelId="{0B62FE1A-7A85-964A-94BD-FBB602B712E1}" type="parTrans" cxnId="{D1DDE4F9-34C5-6E46-BDC6-8EB3DCE70FCC}">
      <dgm:prSet/>
      <dgm:spPr/>
      <dgm:t>
        <a:bodyPr/>
        <a:lstStyle/>
        <a:p>
          <a:endParaRPr lang="en-US"/>
        </a:p>
      </dgm:t>
    </dgm:pt>
    <dgm:pt modelId="{CEA79C22-9DA4-2F4C-92EF-9698FDDACB37}" type="sibTrans" cxnId="{D1DDE4F9-34C5-6E46-BDC6-8EB3DCE70FCC}">
      <dgm:prSet/>
      <dgm:spPr/>
      <dgm:t>
        <a:bodyPr/>
        <a:lstStyle/>
        <a:p>
          <a:endParaRPr lang="en-US"/>
        </a:p>
      </dgm:t>
    </dgm:pt>
    <dgm:pt modelId="{50528054-9726-3648-983B-55C687A233D5}">
      <dgm:prSet phldrT="[Text]"/>
      <dgm:spPr/>
      <dgm:t>
        <a:bodyPr/>
        <a:lstStyle/>
        <a:p>
          <a:r>
            <a:rPr lang="en-US"/>
            <a:t>Transparency about the current level of safety procedures in place</a:t>
          </a:r>
        </a:p>
      </dgm:t>
    </dgm:pt>
    <dgm:pt modelId="{2E05449C-41E8-B940-8181-43326202C7A4}" type="parTrans" cxnId="{DDF6DD9A-9E81-2849-A747-97A5AD13D545}">
      <dgm:prSet/>
      <dgm:spPr/>
      <dgm:t>
        <a:bodyPr/>
        <a:lstStyle/>
        <a:p>
          <a:endParaRPr lang="en-US"/>
        </a:p>
      </dgm:t>
    </dgm:pt>
    <dgm:pt modelId="{B41A16F3-CD8E-B549-AF3D-7A50119637E2}" type="sibTrans" cxnId="{DDF6DD9A-9E81-2849-A747-97A5AD13D545}">
      <dgm:prSet/>
      <dgm:spPr/>
      <dgm:t>
        <a:bodyPr/>
        <a:lstStyle/>
        <a:p>
          <a:endParaRPr lang="en-US"/>
        </a:p>
      </dgm:t>
    </dgm:pt>
    <dgm:pt modelId="{82E00D4E-0240-D544-96E2-F838CA86308A}" type="pres">
      <dgm:prSet presAssocID="{4A01431F-E792-4849-9CE6-63F06FFD2733}" presName="cycle" presStyleCnt="0">
        <dgm:presLayoutVars>
          <dgm:chMax val="1"/>
          <dgm:dir/>
          <dgm:animLvl val="ctr"/>
          <dgm:resizeHandles val="exact"/>
        </dgm:presLayoutVars>
      </dgm:prSet>
      <dgm:spPr/>
    </dgm:pt>
    <dgm:pt modelId="{91F4EEFB-D89D-7C47-9519-63E367F6B6D2}" type="pres">
      <dgm:prSet presAssocID="{93D6DC15-F9A0-B643-B9AA-A42E215D0B6F}" presName="centerShape" presStyleLbl="node0" presStyleIdx="0" presStyleCnt="1"/>
      <dgm:spPr/>
    </dgm:pt>
    <dgm:pt modelId="{38DCFB04-1AAC-4543-862E-F54355F72563}" type="pres">
      <dgm:prSet presAssocID="{B0AE053B-69FF-9F48-8033-F11AFA5E25DF}" presName="Name9" presStyleLbl="parChTrans1D2" presStyleIdx="0" presStyleCnt="9"/>
      <dgm:spPr/>
    </dgm:pt>
    <dgm:pt modelId="{32D0562D-5BF8-CB4A-97B3-6A05626366AB}" type="pres">
      <dgm:prSet presAssocID="{B0AE053B-69FF-9F48-8033-F11AFA5E25DF}" presName="connTx" presStyleLbl="parChTrans1D2" presStyleIdx="0" presStyleCnt="9"/>
      <dgm:spPr/>
    </dgm:pt>
    <dgm:pt modelId="{1DF2FD00-5915-1E4A-B637-D5F655758E7C}" type="pres">
      <dgm:prSet presAssocID="{04F15938-62FD-F149-8480-CC2531D985AA}" presName="node" presStyleLbl="node1" presStyleIdx="0" presStyleCnt="9">
        <dgm:presLayoutVars>
          <dgm:bulletEnabled val="1"/>
        </dgm:presLayoutVars>
      </dgm:prSet>
      <dgm:spPr/>
    </dgm:pt>
    <dgm:pt modelId="{AA71F054-1025-3348-99F1-9AC8E54C627D}" type="pres">
      <dgm:prSet presAssocID="{253AB0D9-9065-8D4C-BB5E-6CEAA48B804B}" presName="Name9" presStyleLbl="parChTrans1D2" presStyleIdx="1" presStyleCnt="9"/>
      <dgm:spPr/>
    </dgm:pt>
    <dgm:pt modelId="{57D25131-61A9-7843-8BBF-19F5206AFECD}" type="pres">
      <dgm:prSet presAssocID="{253AB0D9-9065-8D4C-BB5E-6CEAA48B804B}" presName="connTx" presStyleLbl="parChTrans1D2" presStyleIdx="1" presStyleCnt="9"/>
      <dgm:spPr/>
    </dgm:pt>
    <dgm:pt modelId="{F8EB206B-333D-174A-B6B9-BECA4553A662}" type="pres">
      <dgm:prSet presAssocID="{595320CC-0CDF-7A47-AF5B-B949948963CB}" presName="node" presStyleLbl="node1" presStyleIdx="1" presStyleCnt="9">
        <dgm:presLayoutVars>
          <dgm:bulletEnabled val="1"/>
        </dgm:presLayoutVars>
      </dgm:prSet>
      <dgm:spPr/>
    </dgm:pt>
    <dgm:pt modelId="{27A4EEBE-93D2-7646-9AC1-2017278EE04B}" type="pres">
      <dgm:prSet presAssocID="{FC69B046-DE1C-BE43-AC2A-CA5A84151677}" presName="Name9" presStyleLbl="parChTrans1D2" presStyleIdx="2" presStyleCnt="9"/>
      <dgm:spPr/>
    </dgm:pt>
    <dgm:pt modelId="{8EB4A249-17AD-AB47-8262-9B3E006347F4}" type="pres">
      <dgm:prSet presAssocID="{FC69B046-DE1C-BE43-AC2A-CA5A84151677}" presName="connTx" presStyleLbl="parChTrans1D2" presStyleIdx="2" presStyleCnt="9"/>
      <dgm:spPr/>
    </dgm:pt>
    <dgm:pt modelId="{C1892ADA-DB23-504E-82F0-3BCB5C6B5A31}" type="pres">
      <dgm:prSet presAssocID="{7AFD732A-F671-C24E-9AEB-5790C19FED69}" presName="node" presStyleLbl="node1" presStyleIdx="2" presStyleCnt="9">
        <dgm:presLayoutVars>
          <dgm:bulletEnabled val="1"/>
        </dgm:presLayoutVars>
      </dgm:prSet>
      <dgm:spPr/>
    </dgm:pt>
    <dgm:pt modelId="{4BCCC7E7-9553-4849-8486-87D573F0AC5D}" type="pres">
      <dgm:prSet presAssocID="{1B029311-FB3D-074D-8ADB-7E228F3001FA}" presName="Name9" presStyleLbl="parChTrans1D2" presStyleIdx="3" presStyleCnt="9"/>
      <dgm:spPr/>
    </dgm:pt>
    <dgm:pt modelId="{08FB31B0-446C-EE45-AA03-56F27FC361AF}" type="pres">
      <dgm:prSet presAssocID="{1B029311-FB3D-074D-8ADB-7E228F3001FA}" presName="connTx" presStyleLbl="parChTrans1D2" presStyleIdx="3" presStyleCnt="9"/>
      <dgm:spPr/>
    </dgm:pt>
    <dgm:pt modelId="{4860B668-7105-544B-8D3D-34361F6F5035}" type="pres">
      <dgm:prSet presAssocID="{163A3BED-2092-AD44-A667-A34AAEB7107E}" presName="node" presStyleLbl="node1" presStyleIdx="3" presStyleCnt="9">
        <dgm:presLayoutVars>
          <dgm:bulletEnabled val="1"/>
        </dgm:presLayoutVars>
      </dgm:prSet>
      <dgm:spPr/>
    </dgm:pt>
    <dgm:pt modelId="{E16B5A36-CD6A-804F-8343-70C2530AB40A}" type="pres">
      <dgm:prSet presAssocID="{A8FFD197-DE44-944C-BEA3-E0E7794F16F2}" presName="Name9" presStyleLbl="parChTrans1D2" presStyleIdx="4" presStyleCnt="9"/>
      <dgm:spPr/>
    </dgm:pt>
    <dgm:pt modelId="{E6AAA4E9-70CA-C242-853E-CC1B0D335D16}" type="pres">
      <dgm:prSet presAssocID="{A8FFD197-DE44-944C-BEA3-E0E7794F16F2}" presName="connTx" presStyleLbl="parChTrans1D2" presStyleIdx="4" presStyleCnt="9"/>
      <dgm:spPr/>
    </dgm:pt>
    <dgm:pt modelId="{FC182286-D4CE-AD48-9BC8-03E3458A175B}" type="pres">
      <dgm:prSet presAssocID="{4F6046EE-0F92-6047-9718-0FE5DA18E469}" presName="node" presStyleLbl="node1" presStyleIdx="4" presStyleCnt="9">
        <dgm:presLayoutVars>
          <dgm:bulletEnabled val="1"/>
        </dgm:presLayoutVars>
      </dgm:prSet>
      <dgm:spPr/>
    </dgm:pt>
    <dgm:pt modelId="{3567F691-312A-4D44-9BF0-7526705761AE}" type="pres">
      <dgm:prSet presAssocID="{DF0577A4-6136-9142-83CD-0A0B11CB4416}" presName="Name9" presStyleLbl="parChTrans1D2" presStyleIdx="5" presStyleCnt="9"/>
      <dgm:spPr/>
    </dgm:pt>
    <dgm:pt modelId="{09E279EC-1CA8-DE45-A84A-59E4A3B9CBB3}" type="pres">
      <dgm:prSet presAssocID="{DF0577A4-6136-9142-83CD-0A0B11CB4416}" presName="connTx" presStyleLbl="parChTrans1D2" presStyleIdx="5" presStyleCnt="9"/>
      <dgm:spPr/>
    </dgm:pt>
    <dgm:pt modelId="{22D7C560-AD22-014F-9A66-8DEFB7F6F532}" type="pres">
      <dgm:prSet presAssocID="{DBCD6503-8348-AB43-BAE8-087A22FADDE7}" presName="node" presStyleLbl="node1" presStyleIdx="5" presStyleCnt="9">
        <dgm:presLayoutVars>
          <dgm:bulletEnabled val="1"/>
        </dgm:presLayoutVars>
      </dgm:prSet>
      <dgm:spPr/>
    </dgm:pt>
    <dgm:pt modelId="{59645AA6-FCBB-744D-A9A5-E73002595746}" type="pres">
      <dgm:prSet presAssocID="{D15B0393-DF57-1C48-9A2A-45B61DE6DE67}" presName="Name9" presStyleLbl="parChTrans1D2" presStyleIdx="6" presStyleCnt="9"/>
      <dgm:spPr/>
    </dgm:pt>
    <dgm:pt modelId="{AE4E6EF6-B2FE-8745-9DFF-505C059007B5}" type="pres">
      <dgm:prSet presAssocID="{D15B0393-DF57-1C48-9A2A-45B61DE6DE67}" presName="connTx" presStyleLbl="parChTrans1D2" presStyleIdx="6" presStyleCnt="9"/>
      <dgm:spPr/>
    </dgm:pt>
    <dgm:pt modelId="{7A4DA51F-743E-C64E-8294-C9EA427C04C1}" type="pres">
      <dgm:prSet presAssocID="{D9A46310-068B-E946-9887-CD3B9B314228}" presName="node" presStyleLbl="node1" presStyleIdx="6" presStyleCnt="9">
        <dgm:presLayoutVars>
          <dgm:bulletEnabled val="1"/>
        </dgm:presLayoutVars>
      </dgm:prSet>
      <dgm:spPr/>
    </dgm:pt>
    <dgm:pt modelId="{20B5F6FC-6839-8B46-9746-2FD298C93427}" type="pres">
      <dgm:prSet presAssocID="{CADF6A5A-8C69-F242-9D6E-348A72009204}" presName="Name9" presStyleLbl="parChTrans1D2" presStyleIdx="7" presStyleCnt="9"/>
      <dgm:spPr/>
    </dgm:pt>
    <dgm:pt modelId="{676E86DC-627A-7E4A-BABB-D3870A2D5538}" type="pres">
      <dgm:prSet presAssocID="{CADF6A5A-8C69-F242-9D6E-348A72009204}" presName="connTx" presStyleLbl="parChTrans1D2" presStyleIdx="7" presStyleCnt="9"/>
      <dgm:spPr/>
    </dgm:pt>
    <dgm:pt modelId="{BBA156CF-9F72-FF46-A73A-CCD85AA740E5}" type="pres">
      <dgm:prSet presAssocID="{7E3B093B-280D-BD49-A7A1-C0EC89221C6D}" presName="node" presStyleLbl="node1" presStyleIdx="7" presStyleCnt="9">
        <dgm:presLayoutVars>
          <dgm:bulletEnabled val="1"/>
        </dgm:presLayoutVars>
      </dgm:prSet>
      <dgm:spPr/>
    </dgm:pt>
    <dgm:pt modelId="{F2E3E202-9FC3-7849-9536-4CDF4AD5522D}" type="pres">
      <dgm:prSet presAssocID="{2BB3F713-26AA-DF4B-B219-FF9065F637EF}" presName="Name9" presStyleLbl="parChTrans1D2" presStyleIdx="8" presStyleCnt="9"/>
      <dgm:spPr/>
    </dgm:pt>
    <dgm:pt modelId="{FA3B2DA1-941A-5743-BA17-DB8CEA055A9F}" type="pres">
      <dgm:prSet presAssocID="{2BB3F713-26AA-DF4B-B219-FF9065F637EF}" presName="connTx" presStyleLbl="parChTrans1D2" presStyleIdx="8" presStyleCnt="9"/>
      <dgm:spPr/>
    </dgm:pt>
    <dgm:pt modelId="{BE60E1BF-BBC1-E54F-BB2D-515135D9453B}" type="pres">
      <dgm:prSet presAssocID="{3E075F27-C18A-E140-B8F2-23CB6B50BDB5}" presName="node" presStyleLbl="node1" presStyleIdx="8" presStyleCnt="9">
        <dgm:presLayoutVars>
          <dgm:bulletEnabled val="1"/>
        </dgm:presLayoutVars>
      </dgm:prSet>
      <dgm:spPr/>
    </dgm:pt>
  </dgm:ptLst>
  <dgm:cxnLst>
    <dgm:cxn modelId="{B81D1103-2A24-B549-8985-453BD484E0C8}" type="presOf" srcId="{4EF80955-2C74-E548-B2BE-2F4B3C671B62}" destId="{4860B668-7105-544B-8D3D-34361F6F5035}" srcOrd="0" destOrd="2" presId="urn:microsoft.com/office/officeart/2005/8/layout/radial1"/>
    <dgm:cxn modelId="{31928D03-BF96-6F48-8E36-3F87F4ECC29C}" type="presOf" srcId="{D9A46310-068B-E946-9887-CD3B9B314228}" destId="{7A4DA51F-743E-C64E-8294-C9EA427C04C1}" srcOrd="0" destOrd="0" presId="urn:microsoft.com/office/officeart/2005/8/layout/radial1"/>
    <dgm:cxn modelId="{49004104-AD85-3B49-8A55-C968A1F99350}" type="presOf" srcId="{7E3B093B-280D-BD49-A7A1-C0EC89221C6D}" destId="{BBA156CF-9F72-FF46-A73A-CCD85AA740E5}" srcOrd="0" destOrd="0" presId="urn:microsoft.com/office/officeart/2005/8/layout/radial1"/>
    <dgm:cxn modelId="{9571A005-CBA7-964D-A2D6-6BFB211FBA00}" type="presOf" srcId="{D15B0393-DF57-1C48-9A2A-45B61DE6DE67}" destId="{AE4E6EF6-B2FE-8745-9DFF-505C059007B5}" srcOrd="1" destOrd="0" presId="urn:microsoft.com/office/officeart/2005/8/layout/radial1"/>
    <dgm:cxn modelId="{FA99F406-76D6-8342-AC9A-A3998C24585A}" type="presOf" srcId="{595320CC-0CDF-7A47-AF5B-B949948963CB}" destId="{F8EB206B-333D-174A-B6B9-BECA4553A662}" srcOrd="0" destOrd="0" presId="urn:microsoft.com/office/officeart/2005/8/layout/radial1"/>
    <dgm:cxn modelId="{033BD207-4E30-AD4C-BB58-88F776F3E890}" type="presOf" srcId="{CADF6A5A-8C69-F242-9D6E-348A72009204}" destId="{20B5F6FC-6839-8B46-9746-2FD298C93427}" srcOrd="0" destOrd="0" presId="urn:microsoft.com/office/officeart/2005/8/layout/radial1"/>
    <dgm:cxn modelId="{C3BAA10C-F2FA-2D44-B044-185C56CB2FAD}" srcId="{163A3BED-2092-AD44-A667-A34AAEB7107E}" destId="{AC27E914-9E6B-7D4F-AD04-D20232102FC8}" srcOrd="2" destOrd="0" parTransId="{561A3779-259D-1047-B2BF-7DA30AB249CE}" sibTransId="{5A1144C3-8749-8C49-9285-7342C26607BC}"/>
    <dgm:cxn modelId="{C9B9AB0D-3235-3143-84EC-7AACC1032E52}" srcId="{DBCD6503-8348-AB43-BAE8-087A22FADDE7}" destId="{1559D2D2-46D7-084B-87F6-AA7C557EEA12}" srcOrd="3" destOrd="0" parTransId="{4079F377-CFDC-244A-8D7A-A96BD6DACE60}" sibTransId="{921B0275-C66F-8A4E-9600-1799E5D8ECB6}"/>
    <dgm:cxn modelId="{B0A8EB13-3102-2749-807F-568FFA2D6643}" srcId="{3E075F27-C18A-E140-B8F2-23CB6B50BDB5}" destId="{891CF868-9922-524B-887B-09ABB060202C}" srcOrd="0" destOrd="0" parTransId="{A6B57A84-D036-7A46-B712-925794FCDAC3}" sibTransId="{B650BF4F-84D9-B946-960C-7B4F8DA0D7F5}"/>
    <dgm:cxn modelId="{BF2EE715-BD2C-5441-B10B-69A354EB1A57}" srcId="{7AFD732A-F671-C24E-9AEB-5790C19FED69}" destId="{333A458F-8349-974B-BDD5-34024A0DFEC4}" srcOrd="1" destOrd="0" parTransId="{149B5BD7-1AC5-4A4E-9EB3-E903C1574D4D}" sibTransId="{751406FA-70EB-0145-9844-B99C4718D0B1}"/>
    <dgm:cxn modelId="{101B0F17-A1C1-C84E-AB04-AA9914FEF106}" type="presOf" srcId="{BB5F4E2A-CA63-0343-B203-48C1B218FD90}" destId="{22D7C560-AD22-014F-9A66-8DEFB7F6F532}" srcOrd="0" destOrd="2" presId="urn:microsoft.com/office/officeart/2005/8/layout/radial1"/>
    <dgm:cxn modelId="{168E951A-114B-5A44-AB7D-454A628708C1}" type="presOf" srcId="{755840EC-EE74-8342-A287-B66BE3779C59}" destId="{BBA156CF-9F72-FF46-A73A-CCD85AA740E5}" srcOrd="0" destOrd="2" presId="urn:microsoft.com/office/officeart/2005/8/layout/radial1"/>
    <dgm:cxn modelId="{C9579A1F-FDEE-DB4D-A7D0-C7AB83D6632E}" type="presOf" srcId="{891CF868-9922-524B-887B-09ABB060202C}" destId="{BE60E1BF-BBC1-E54F-BB2D-515135D9453B}" srcOrd="0" destOrd="1" presId="urn:microsoft.com/office/officeart/2005/8/layout/radial1"/>
    <dgm:cxn modelId="{45104522-2BCB-5448-AA80-CAA0FEF910E9}" type="presOf" srcId="{897434AA-804A-404C-A2C7-6A1FDD2DC06D}" destId="{1DF2FD00-5915-1E4A-B637-D5F655758E7C}" srcOrd="0" destOrd="4" presId="urn:microsoft.com/office/officeart/2005/8/layout/radial1"/>
    <dgm:cxn modelId="{EC9A2824-3B95-614B-A6EA-C084C7E48492}" type="presOf" srcId="{A8FFD197-DE44-944C-BEA3-E0E7794F16F2}" destId="{E6AAA4E9-70CA-C242-853E-CC1B0D335D16}" srcOrd="1" destOrd="0" presId="urn:microsoft.com/office/officeart/2005/8/layout/radial1"/>
    <dgm:cxn modelId="{6008D526-EF6E-0742-87F9-D839182D9522}" type="presOf" srcId="{DBCD6503-8348-AB43-BAE8-087A22FADDE7}" destId="{22D7C560-AD22-014F-9A66-8DEFB7F6F532}" srcOrd="0" destOrd="0" presId="urn:microsoft.com/office/officeart/2005/8/layout/radial1"/>
    <dgm:cxn modelId="{75A6E326-049F-224A-A88D-600BE1157173}" srcId="{04F15938-62FD-F149-8480-CC2531D985AA}" destId="{E44F4E29-D62F-364D-B98B-9D21C3F3A41B}" srcOrd="2" destOrd="0" parTransId="{189899C1-CFEC-3B41-AD66-8022EFC9A750}" sibTransId="{ECCA8322-B3DE-3B48-8718-C2EC37E786CF}"/>
    <dgm:cxn modelId="{88E6E82B-D78A-0849-BBFA-2B7F3B7B5E03}" type="presOf" srcId="{D25F92A0-F426-3747-A2DC-DED83BE22A43}" destId="{7A4DA51F-743E-C64E-8294-C9EA427C04C1}" srcOrd="0" destOrd="3" presId="urn:microsoft.com/office/officeart/2005/8/layout/radial1"/>
    <dgm:cxn modelId="{DC938D2F-8C0C-8D49-A7FE-BD5A43FF06D8}" srcId="{93D6DC15-F9A0-B643-B9AA-A42E215D0B6F}" destId="{3E075F27-C18A-E140-B8F2-23CB6B50BDB5}" srcOrd="8" destOrd="0" parTransId="{2BB3F713-26AA-DF4B-B219-FF9065F637EF}" sibTransId="{2D8DDE12-4B6C-C844-A9E1-5A02076E2B24}"/>
    <dgm:cxn modelId="{055ABD32-B72C-9749-A836-A83E89D4DFB8}" srcId="{7AFD732A-F671-C24E-9AEB-5790C19FED69}" destId="{526B0C6E-A278-CE43-8E71-45EAD7B0F54C}" srcOrd="0" destOrd="0" parTransId="{C90CF3E9-D8F2-4441-96B3-2F55AA0C8C33}" sibTransId="{08B4F240-531B-9B41-8010-E237A8E8B7CF}"/>
    <dgm:cxn modelId="{CE4BCB32-9A6A-DA41-A363-804A8C5E315A}" srcId="{DBCD6503-8348-AB43-BAE8-087A22FADDE7}" destId="{C7BAF1C7-BE5D-7E4E-B43C-9670CC73AD10}" srcOrd="2" destOrd="0" parTransId="{7BF71F64-38A1-A646-9B61-8858233DFA9E}" sibTransId="{E8213F45-E4CC-D041-8A6B-194D78FFF298}"/>
    <dgm:cxn modelId="{401DA433-57A8-A24E-ADC5-34FFF88D4B96}" type="presOf" srcId="{CADF6A5A-8C69-F242-9D6E-348A72009204}" destId="{676E86DC-627A-7E4A-BABB-D3870A2D5538}" srcOrd="1" destOrd="0" presId="urn:microsoft.com/office/officeart/2005/8/layout/radial1"/>
    <dgm:cxn modelId="{AE12D134-2329-7A4E-A183-0E42FC7E71E5}" type="presOf" srcId="{4F6046EE-0F92-6047-9718-0FE5DA18E469}" destId="{FC182286-D4CE-AD48-9BC8-03E3458A175B}" srcOrd="0" destOrd="0" presId="urn:microsoft.com/office/officeart/2005/8/layout/radial1"/>
    <dgm:cxn modelId="{7CD7C937-D7CE-FA4E-88DE-76AF52777378}" type="presOf" srcId="{253AB0D9-9065-8D4C-BB5E-6CEAA48B804B}" destId="{57D25131-61A9-7843-8BBF-19F5206AFECD}" srcOrd="1" destOrd="0" presId="urn:microsoft.com/office/officeart/2005/8/layout/radial1"/>
    <dgm:cxn modelId="{F19CFD3B-2333-794C-BFF3-A8DB229C60BE}" type="presOf" srcId="{3E075F27-C18A-E140-B8F2-23CB6B50BDB5}" destId="{BE60E1BF-BBC1-E54F-BB2D-515135D9453B}" srcOrd="0" destOrd="0" presId="urn:microsoft.com/office/officeart/2005/8/layout/radial1"/>
    <dgm:cxn modelId="{36A9B65D-85AE-2044-925E-D07C30911B9F}" type="presOf" srcId="{4044DF98-A647-9C44-A05B-D9FABAA25642}" destId="{FC182286-D4CE-AD48-9BC8-03E3458A175B}" srcOrd="0" destOrd="2" presId="urn:microsoft.com/office/officeart/2005/8/layout/radial1"/>
    <dgm:cxn modelId="{A7CAEC5F-59FA-784E-8293-FE914808898E}" srcId="{4A01431F-E792-4849-9CE6-63F06FFD2733}" destId="{93D6DC15-F9A0-B643-B9AA-A42E215D0B6F}" srcOrd="0" destOrd="0" parTransId="{D79EE519-77C4-1546-A66A-E6A3E2E96EBB}" sibTransId="{CFCC05CB-809F-5542-87A7-FF3F5041CF5E}"/>
    <dgm:cxn modelId="{41053160-3707-3448-9060-D867C2A515A7}" srcId="{04F15938-62FD-F149-8480-CC2531D985AA}" destId="{897434AA-804A-404C-A2C7-6A1FDD2DC06D}" srcOrd="3" destOrd="0" parTransId="{CE2BF76D-6ED7-AC40-BB50-B73136BE404B}" sibTransId="{5D694724-1A59-2144-B212-599D8B89C60B}"/>
    <dgm:cxn modelId="{C7E85D63-7E12-6D48-B401-0B0388C5B6A3}" srcId="{163A3BED-2092-AD44-A667-A34AAEB7107E}" destId="{4EF80955-2C74-E548-B2BE-2F4B3C671B62}" srcOrd="1" destOrd="0" parTransId="{C485B535-8962-8F4B-87E2-64FEA66D3632}" sibTransId="{B4434B18-72A4-F946-9B99-DDAF8020B5BB}"/>
    <dgm:cxn modelId="{94586643-F6D9-F046-9784-A3ED6E448D1C}" srcId="{D9A46310-068B-E946-9887-CD3B9B314228}" destId="{F86A1FC8-F8F1-1447-8935-2F798C717E68}" srcOrd="1" destOrd="0" parTransId="{251E702F-C7C4-5443-B0EF-DDDD4C8A8956}" sibTransId="{355194ED-CE97-2541-A387-DBC8936143B5}"/>
    <dgm:cxn modelId="{10A74266-63F5-F44A-8E4A-1558DD9B52AA}" type="presOf" srcId="{62879411-35D7-1A4A-9C3D-AFEBAFF4DF03}" destId="{F8EB206B-333D-174A-B6B9-BECA4553A662}" srcOrd="0" destOrd="2" presId="urn:microsoft.com/office/officeart/2005/8/layout/radial1"/>
    <dgm:cxn modelId="{16AE3748-2298-464A-847F-6A5F87B81C63}" srcId="{04F15938-62FD-F149-8480-CC2531D985AA}" destId="{F70EDFA3-5747-804E-87A9-4E722179B968}" srcOrd="0" destOrd="0" parTransId="{D76F299D-4C97-A247-82D0-91B4BAF29048}" sibTransId="{7D22E92C-F7CA-B04E-BCD6-B1E312A3511C}"/>
    <dgm:cxn modelId="{A4BA806A-7D84-8645-8F3D-0DE0CD795FDD}" type="presOf" srcId="{FC69B046-DE1C-BE43-AC2A-CA5A84151677}" destId="{8EB4A249-17AD-AB47-8262-9B3E006347F4}" srcOrd="1" destOrd="0" presId="urn:microsoft.com/office/officeart/2005/8/layout/radial1"/>
    <dgm:cxn modelId="{E4ACC26F-BFE3-D34A-94DC-16BE30949349}" srcId="{7E3B093B-280D-BD49-A7A1-C0EC89221C6D}" destId="{60F46D44-5CAB-5F41-85EB-9B35C25C5423}" srcOrd="0" destOrd="0" parTransId="{F3B07D33-E462-4B4F-9DB9-F2BFFB9C0F53}" sibTransId="{51308CD4-CB2B-864F-9453-DA31CF6D1A95}"/>
    <dgm:cxn modelId="{1293C56F-B096-F14D-B0BA-AB7FD3E293F5}" type="presOf" srcId="{DF0577A4-6136-9142-83CD-0A0B11CB4416}" destId="{3567F691-312A-4D44-9BF0-7526705761AE}" srcOrd="0" destOrd="0" presId="urn:microsoft.com/office/officeart/2005/8/layout/radial1"/>
    <dgm:cxn modelId="{8A85B170-A060-A44A-8524-FDCC86F7CF53}" type="presOf" srcId="{50528054-9726-3648-983B-55C687A233D5}" destId="{BBA156CF-9F72-FF46-A73A-CCD85AA740E5}" srcOrd="0" destOrd="3" presId="urn:microsoft.com/office/officeart/2005/8/layout/radial1"/>
    <dgm:cxn modelId="{7C0E6671-7E66-B646-A665-B337FDCCF573}" srcId="{4F6046EE-0F92-6047-9718-0FE5DA18E469}" destId="{0804020B-F512-C447-AD3C-640E82507161}" srcOrd="0" destOrd="0" parTransId="{4184CA29-4B49-DB4B-92FA-BE5235A3C757}" sibTransId="{C215E57C-27F7-9E44-A0E2-182DDFDACD87}"/>
    <dgm:cxn modelId="{60384C52-8F62-2044-A22A-79045B217B49}" srcId="{595320CC-0CDF-7A47-AF5B-B949948963CB}" destId="{62879411-35D7-1A4A-9C3D-AFEBAFF4DF03}" srcOrd="1" destOrd="0" parTransId="{F529F5A8-77FB-A546-AE36-97C766E5C59E}" sibTransId="{B07BB940-E8F6-DA41-9C33-1353195BAA36}"/>
    <dgm:cxn modelId="{7183FD72-42A1-184F-8E9D-096214C2175E}" type="presOf" srcId="{2BB3F713-26AA-DF4B-B219-FF9065F637EF}" destId="{FA3B2DA1-941A-5743-BA17-DB8CEA055A9F}" srcOrd="1" destOrd="0" presId="urn:microsoft.com/office/officeart/2005/8/layout/radial1"/>
    <dgm:cxn modelId="{A19B8074-ACD6-2141-AA19-D8776CFB0ED4}" type="presOf" srcId="{AC27E914-9E6B-7D4F-AD04-D20232102FC8}" destId="{4860B668-7105-544B-8D3D-34361F6F5035}" srcOrd="0" destOrd="3" presId="urn:microsoft.com/office/officeart/2005/8/layout/radial1"/>
    <dgm:cxn modelId="{DBDC6678-D788-C942-A67D-B0AE429EF14A}" type="presOf" srcId="{4A01431F-E792-4849-9CE6-63F06FFD2733}" destId="{82E00D4E-0240-D544-96E2-F838CA86308A}" srcOrd="0" destOrd="0" presId="urn:microsoft.com/office/officeart/2005/8/layout/radial1"/>
    <dgm:cxn modelId="{0C836F78-E6CA-0348-A2F9-ED6C06B04B94}" srcId="{DBCD6503-8348-AB43-BAE8-087A22FADDE7}" destId="{7B604DEC-C3E9-1640-BBE7-6E6F4CFF215C}" srcOrd="0" destOrd="0" parTransId="{C007F48C-B70F-5944-A7DC-61A84D95DFEC}" sibTransId="{5E1E9DD5-9687-454D-AF6F-414202B7C02B}"/>
    <dgm:cxn modelId="{562DB658-4D90-5B48-9ABE-4244D256CA76}" srcId="{163A3BED-2092-AD44-A667-A34AAEB7107E}" destId="{D5E93263-F8D5-B846-8D90-2B330898B00D}" srcOrd="0" destOrd="0" parTransId="{15E3F9A4-A8A6-A04D-8750-3A06C3674620}" sibTransId="{E77B7E70-669A-7C49-96F8-0836E44865F4}"/>
    <dgm:cxn modelId="{298DC45A-C58A-B641-9CDF-9E891CF52E69}" type="presOf" srcId="{93D6DC15-F9A0-B643-B9AA-A42E215D0B6F}" destId="{91F4EEFB-D89D-7C47-9519-63E367F6B6D2}" srcOrd="0" destOrd="0" presId="urn:microsoft.com/office/officeart/2005/8/layout/radial1"/>
    <dgm:cxn modelId="{CE61147B-4339-D842-8B19-047DE780E781}" srcId="{3E075F27-C18A-E140-B8F2-23CB6B50BDB5}" destId="{AB6650D8-EF03-DF4E-BD8A-F98AD7658627}" srcOrd="1" destOrd="0" parTransId="{6AB9FD65-2E54-184F-9F82-168BC3CA166D}" sibTransId="{6F2B254C-73D8-1246-B16F-804FDE17E904}"/>
    <dgm:cxn modelId="{162F957C-39A5-FF49-80F9-1F2C83129DE0}" type="presOf" srcId="{B0AE053B-69FF-9F48-8033-F11AFA5E25DF}" destId="{38DCFB04-1AAC-4543-862E-F54355F72563}" srcOrd="0" destOrd="0" presId="urn:microsoft.com/office/officeart/2005/8/layout/radial1"/>
    <dgm:cxn modelId="{BE9EBE80-04C1-BE4C-8DD6-ECBDDB7D5228}" type="presOf" srcId="{163A3BED-2092-AD44-A667-A34AAEB7107E}" destId="{4860B668-7105-544B-8D3D-34361F6F5035}" srcOrd="0" destOrd="0" presId="urn:microsoft.com/office/officeart/2005/8/layout/radial1"/>
    <dgm:cxn modelId="{FDD71684-1F61-1640-B03E-65A4BB69DB01}" type="presOf" srcId="{AB6650D8-EF03-DF4E-BD8A-F98AD7658627}" destId="{BE60E1BF-BBC1-E54F-BB2D-515135D9453B}" srcOrd="0" destOrd="2" presId="urn:microsoft.com/office/officeart/2005/8/layout/radial1"/>
    <dgm:cxn modelId="{BF465284-526A-9542-BC00-4AF2701B0CDE}" type="presOf" srcId="{D5E93263-F8D5-B846-8D90-2B330898B00D}" destId="{4860B668-7105-544B-8D3D-34361F6F5035}" srcOrd="0" destOrd="1" presId="urn:microsoft.com/office/officeart/2005/8/layout/radial1"/>
    <dgm:cxn modelId="{8F073988-00CD-3248-8A39-F6678B8C900C}" type="presOf" srcId="{04F15938-62FD-F149-8480-CC2531D985AA}" destId="{1DF2FD00-5915-1E4A-B637-D5F655758E7C}" srcOrd="0" destOrd="0" presId="urn:microsoft.com/office/officeart/2005/8/layout/radial1"/>
    <dgm:cxn modelId="{6EDA948B-91E4-8649-9C6F-18BB244CD734}" type="presOf" srcId="{1559D2D2-46D7-084B-87F6-AA7C557EEA12}" destId="{22D7C560-AD22-014F-9A66-8DEFB7F6F532}" srcOrd="0" destOrd="4" presId="urn:microsoft.com/office/officeart/2005/8/layout/radial1"/>
    <dgm:cxn modelId="{5DE7DD8B-0624-5642-8355-1136E59D9163}" srcId="{D9A46310-068B-E946-9887-CD3B9B314228}" destId="{5FDE8660-C833-3A45-B3F8-A8265962477E}" srcOrd="0" destOrd="0" parTransId="{EF9FEE94-B655-DD4D-AE9E-ACD64225D144}" sibTransId="{280B2095-88EE-5648-BE10-27BF23361893}"/>
    <dgm:cxn modelId="{5095418F-D53C-4348-BFB7-8EFE46E3D11B}" type="presOf" srcId="{D0960D12-0EFE-4745-8BE7-E314ABE529B9}" destId="{1DF2FD00-5915-1E4A-B637-D5F655758E7C}" srcOrd="0" destOrd="2" presId="urn:microsoft.com/office/officeart/2005/8/layout/radial1"/>
    <dgm:cxn modelId="{D86AAA90-2E57-2D49-94B8-7DCF4F7FEA88}" type="presOf" srcId="{526B0C6E-A278-CE43-8E71-45EAD7B0F54C}" destId="{C1892ADA-DB23-504E-82F0-3BCB5C6B5A31}" srcOrd="0" destOrd="1" presId="urn:microsoft.com/office/officeart/2005/8/layout/radial1"/>
    <dgm:cxn modelId="{34633795-90F7-CC46-B617-32537B2F915C}" type="presOf" srcId="{60F46D44-5CAB-5F41-85EB-9B35C25C5423}" destId="{BBA156CF-9F72-FF46-A73A-CCD85AA740E5}" srcOrd="0" destOrd="1" presId="urn:microsoft.com/office/officeart/2005/8/layout/radial1"/>
    <dgm:cxn modelId="{C546D397-6AB3-0D4E-80BF-A78E9592B8DA}" type="presOf" srcId="{E44F4E29-D62F-364D-B98B-9D21C3F3A41B}" destId="{1DF2FD00-5915-1E4A-B637-D5F655758E7C}" srcOrd="0" destOrd="3" presId="urn:microsoft.com/office/officeart/2005/8/layout/radial1"/>
    <dgm:cxn modelId="{1CAF0598-74F4-1141-B42B-8EC04B7770F3}" srcId="{D9A46310-068B-E946-9887-CD3B9B314228}" destId="{D25F92A0-F426-3747-A2DC-DED83BE22A43}" srcOrd="2" destOrd="0" parTransId="{A8EDA5E5-09B9-C440-A830-FEA9A41B506F}" sibTransId="{FF5EBF47-1005-0943-A76E-C089EA19EFEF}"/>
    <dgm:cxn modelId="{DDF6DD9A-9E81-2849-A747-97A5AD13D545}" srcId="{7E3B093B-280D-BD49-A7A1-C0EC89221C6D}" destId="{50528054-9726-3648-983B-55C687A233D5}" srcOrd="2" destOrd="0" parTransId="{2E05449C-41E8-B940-8181-43326202C7A4}" sibTransId="{B41A16F3-CD8E-B549-AF3D-7A50119637E2}"/>
    <dgm:cxn modelId="{4176DA9E-1DDE-1B43-AAB8-8E257FC49E99}" type="presOf" srcId="{B0AE053B-69FF-9F48-8033-F11AFA5E25DF}" destId="{32D0562D-5BF8-CB4A-97B3-6A05626366AB}" srcOrd="1" destOrd="0" presId="urn:microsoft.com/office/officeart/2005/8/layout/radial1"/>
    <dgm:cxn modelId="{B552C39F-E3A9-5645-AA18-41CB327DB8B7}" type="presOf" srcId="{796912B1-D609-2540-B644-9882A258798B}" destId="{FC182286-D4CE-AD48-9BC8-03E3458A175B}" srcOrd="0" destOrd="3" presId="urn:microsoft.com/office/officeart/2005/8/layout/radial1"/>
    <dgm:cxn modelId="{0F2A52A4-59CF-0A43-ACF2-940CC86637A5}" srcId="{163A3BED-2092-AD44-A667-A34AAEB7107E}" destId="{6A7C7B8B-75DB-064A-A6D8-1E2A3DBB461E}" srcOrd="4" destOrd="0" parTransId="{A15E8A07-1AB1-0241-9605-201181DEF052}" sibTransId="{902B0003-6FB5-0248-A38C-509B18A42C29}"/>
    <dgm:cxn modelId="{F90D00A6-BACD-3247-A911-351CAE0C24CF}" type="presOf" srcId="{DCC5766D-633B-3041-93E3-DE3BC7CB9B92}" destId="{F8EB206B-333D-174A-B6B9-BECA4553A662}" srcOrd="0" destOrd="1" presId="urn:microsoft.com/office/officeart/2005/8/layout/radial1"/>
    <dgm:cxn modelId="{59AB8FA6-8EAE-E547-9D54-39BC119B6ED0}" srcId="{93D6DC15-F9A0-B643-B9AA-A42E215D0B6F}" destId="{DBCD6503-8348-AB43-BAE8-087A22FADDE7}" srcOrd="5" destOrd="0" parTransId="{DF0577A4-6136-9142-83CD-0A0B11CB4416}" sibTransId="{C5EC24CB-AF6F-0248-A621-957657AD5112}"/>
    <dgm:cxn modelId="{333655AA-122D-754B-AB4E-479E2A3E321B}" type="presOf" srcId="{0804020B-F512-C447-AD3C-640E82507161}" destId="{FC182286-D4CE-AD48-9BC8-03E3458A175B}" srcOrd="0" destOrd="1" presId="urn:microsoft.com/office/officeart/2005/8/layout/radial1"/>
    <dgm:cxn modelId="{935C19AC-6267-9041-B941-D6FA8D9CB654}" srcId="{04F15938-62FD-F149-8480-CC2531D985AA}" destId="{D0960D12-0EFE-4745-8BE7-E314ABE529B9}" srcOrd="1" destOrd="0" parTransId="{87AF30FD-8EA7-EB41-8705-928FA5189899}" sibTransId="{DFC2ADA3-074A-A446-ADBA-5CA352649898}"/>
    <dgm:cxn modelId="{DA24E8B0-2938-B543-AA30-AF6FAC63748F}" srcId="{DBCD6503-8348-AB43-BAE8-087A22FADDE7}" destId="{BB5F4E2A-CA63-0343-B203-48C1B218FD90}" srcOrd="1" destOrd="0" parTransId="{77C9C8D7-0B92-CE46-B7EB-A1C4F3285FE8}" sibTransId="{2DAE0F24-8CEA-AE41-BEC7-297232B06EE6}"/>
    <dgm:cxn modelId="{CC3DA0B9-6043-1C4C-B02E-BFA07F9747CD}" type="presOf" srcId="{253AB0D9-9065-8D4C-BB5E-6CEAA48B804B}" destId="{AA71F054-1025-3348-99F1-9AC8E54C627D}" srcOrd="0" destOrd="0" presId="urn:microsoft.com/office/officeart/2005/8/layout/radial1"/>
    <dgm:cxn modelId="{CDAFB6BF-300B-0E4E-9FCB-504A184C55E6}" type="presOf" srcId="{77AC5EB2-406A-914D-85CC-D4E8368B2E2D}" destId="{4860B668-7105-544B-8D3D-34361F6F5035}" srcOrd="0" destOrd="4" presId="urn:microsoft.com/office/officeart/2005/8/layout/radial1"/>
    <dgm:cxn modelId="{B9641BC0-4AC4-2C46-9592-CFED0AF30B9D}" type="presOf" srcId="{1B029311-FB3D-074D-8ADB-7E228F3001FA}" destId="{08FB31B0-446C-EE45-AA03-56F27FC361AF}" srcOrd="1" destOrd="0" presId="urn:microsoft.com/office/officeart/2005/8/layout/radial1"/>
    <dgm:cxn modelId="{0AFF09C2-0696-4342-B653-4D01B87053F9}" srcId="{93D6DC15-F9A0-B643-B9AA-A42E215D0B6F}" destId="{7E3B093B-280D-BD49-A7A1-C0EC89221C6D}" srcOrd="7" destOrd="0" parTransId="{CADF6A5A-8C69-F242-9D6E-348A72009204}" sibTransId="{764C4577-8840-3448-8BE9-E958F444EFAD}"/>
    <dgm:cxn modelId="{B63BC8C2-4903-B740-A516-91880E9F7158}" srcId="{163A3BED-2092-AD44-A667-A34AAEB7107E}" destId="{77AC5EB2-406A-914D-85CC-D4E8368B2E2D}" srcOrd="3" destOrd="0" parTransId="{D3E88675-8A53-B04C-B641-222195D8CF35}" sibTransId="{8D2B2F3A-B331-A14E-BCE0-1FAC04827218}"/>
    <dgm:cxn modelId="{46B2A6C3-11D2-7141-8C61-6DAB61B715D2}" srcId="{93D6DC15-F9A0-B643-B9AA-A42E215D0B6F}" destId="{04F15938-62FD-F149-8480-CC2531D985AA}" srcOrd="0" destOrd="0" parTransId="{B0AE053B-69FF-9F48-8033-F11AFA5E25DF}" sibTransId="{754C9469-09BA-604A-BBEA-34D0858F0678}"/>
    <dgm:cxn modelId="{9D185EC4-483B-E84E-A02C-92DC30EFA151}" type="presOf" srcId="{F86A1FC8-F8F1-1447-8935-2F798C717E68}" destId="{7A4DA51F-743E-C64E-8294-C9EA427C04C1}" srcOrd="0" destOrd="2" presId="urn:microsoft.com/office/officeart/2005/8/layout/radial1"/>
    <dgm:cxn modelId="{5169A7C5-A3C5-FD4A-A828-F4A28DE0F4E1}" type="presOf" srcId="{7B604DEC-C3E9-1640-BBE7-6E6F4CFF215C}" destId="{22D7C560-AD22-014F-9A66-8DEFB7F6F532}" srcOrd="0" destOrd="1" presId="urn:microsoft.com/office/officeart/2005/8/layout/radial1"/>
    <dgm:cxn modelId="{FD7AE5C7-C0DB-644E-B234-54601D47D939}" type="presOf" srcId="{FC69B046-DE1C-BE43-AC2A-CA5A84151677}" destId="{27A4EEBE-93D2-7646-9AC1-2017278EE04B}" srcOrd="0" destOrd="0" presId="urn:microsoft.com/office/officeart/2005/8/layout/radial1"/>
    <dgm:cxn modelId="{577FE7C9-A8C3-0B4C-B5E2-B35025B89864}" type="presOf" srcId="{5FDE8660-C833-3A45-B3F8-A8265962477E}" destId="{7A4DA51F-743E-C64E-8294-C9EA427C04C1}" srcOrd="0" destOrd="1" presId="urn:microsoft.com/office/officeart/2005/8/layout/radial1"/>
    <dgm:cxn modelId="{357BC2CA-BCD9-9E43-BD86-F6AE86C9B559}" type="presOf" srcId="{DF0577A4-6136-9142-83CD-0A0B11CB4416}" destId="{09E279EC-1CA8-DE45-A84A-59E4A3B9CBB3}" srcOrd="1" destOrd="0" presId="urn:microsoft.com/office/officeart/2005/8/layout/radial1"/>
    <dgm:cxn modelId="{55F762CF-3CD6-9341-AE0E-4FC38153E92C}" srcId="{93D6DC15-F9A0-B643-B9AA-A42E215D0B6F}" destId="{595320CC-0CDF-7A47-AF5B-B949948963CB}" srcOrd="1" destOrd="0" parTransId="{253AB0D9-9065-8D4C-BB5E-6CEAA48B804B}" sibTransId="{E91A035E-1E38-A84B-AB5E-2A695DEEC1FF}"/>
    <dgm:cxn modelId="{C9A266D0-9AF3-0F41-A349-629427FDE959}" type="presOf" srcId="{7AFD732A-F671-C24E-9AEB-5790C19FED69}" destId="{C1892ADA-DB23-504E-82F0-3BCB5C6B5A31}" srcOrd="0" destOrd="0" presId="urn:microsoft.com/office/officeart/2005/8/layout/radial1"/>
    <dgm:cxn modelId="{B59EA2D3-6866-D142-922F-84A2E9C5D317}" srcId="{93D6DC15-F9A0-B643-B9AA-A42E215D0B6F}" destId="{D9A46310-068B-E946-9887-CD3B9B314228}" srcOrd="6" destOrd="0" parTransId="{D15B0393-DF57-1C48-9A2A-45B61DE6DE67}" sibTransId="{4278E8F9-BA7E-E44D-B7B7-E4CAE16C32A5}"/>
    <dgm:cxn modelId="{3B3447D5-9ABD-8B4E-805E-81850BB0A1FF}" type="presOf" srcId="{C7BAF1C7-BE5D-7E4E-B43C-9670CC73AD10}" destId="{22D7C560-AD22-014F-9A66-8DEFB7F6F532}" srcOrd="0" destOrd="3" presId="urn:microsoft.com/office/officeart/2005/8/layout/radial1"/>
    <dgm:cxn modelId="{63A4C1D6-414C-8F4D-8C91-6F3904B34274}" type="presOf" srcId="{2BB3F713-26AA-DF4B-B219-FF9065F637EF}" destId="{F2E3E202-9FC3-7849-9536-4CDF4AD5522D}" srcOrd="0" destOrd="0" presId="urn:microsoft.com/office/officeart/2005/8/layout/radial1"/>
    <dgm:cxn modelId="{F90F94D7-794A-6A43-8599-C3C13942F463}" type="presOf" srcId="{1B029311-FB3D-074D-8ADB-7E228F3001FA}" destId="{4BCCC7E7-9553-4849-8486-87D573F0AC5D}" srcOrd="0" destOrd="0" presId="urn:microsoft.com/office/officeart/2005/8/layout/radial1"/>
    <dgm:cxn modelId="{6F8231DA-CEFB-3A43-B6E2-309F4FD49477}" type="presOf" srcId="{333A458F-8349-974B-BDD5-34024A0DFEC4}" destId="{C1892ADA-DB23-504E-82F0-3BCB5C6B5A31}" srcOrd="0" destOrd="2" presId="urn:microsoft.com/office/officeart/2005/8/layout/radial1"/>
    <dgm:cxn modelId="{28719ADA-0E46-FD47-BF83-7B83E1E281AB}" srcId="{D9A46310-068B-E946-9887-CD3B9B314228}" destId="{FB4486FA-3262-EC41-98A7-217616158E3D}" srcOrd="3" destOrd="0" parTransId="{8C892A1D-BDAB-234F-BE4A-D328AB687072}" sibTransId="{E2B34CA5-6B63-6E45-98A3-06398297006B}"/>
    <dgm:cxn modelId="{53330CDB-68D1-FE47-A78E-C6509A1331A9}" type="presOf" srcId="{D15B0393-DF57-1C48-9A2A-45B61DE6DE67}" destId="{59645AA6-FCBB-744D-A9A5-E73002595746}" srcOrd="0" destOrd="0" presId="urn:microsoft.com/office/officeart/2005/8/layout/radial1"/>
    <dgm:cxn modelId="{2D0715DB-9585-4945-86F5-CCCF29A8B23C}" srcId="{4F6046EE-0F92-6047-9718-0FE5DA18E469}" destId="{796912B1-D609-2540-B644-9882A258798B}" srcOrd="2" destOrd="0" parTransId="{8C98DA4F-F1B9-3E47-9D9E-8C1373DA9BB8}" sibTransId="{26F2CA12-9BD2-294C-B9A8-52A9F8C3E0C4}"/>
    <dgm:cxn modelId="{A5B346DB-BC7C-D649-A77E-90C5BE873687}" srcId="{4F6046EE-0F92-6047-9718-0FE5DA18E469}" destId="{4044DF98-A647-9C44-A05B-D9FABAA25642}" srcOrd="1" destOrd="0" parTransId="{E0960F80-561C-4D49-A857-5EF725347717}" sibTransId="{4801D018-F8B5-5C4B-8288-50DA20FC99DD}"/>
    <dgm:cxn modelId="{2665A6E1-70DD-8F42-BFEB-F637B6A14974}" type="presOf" srcId="{A8FFD197-DE44-944C-BEA3-E0E7794F16F2}" destId="{E16B5A36-CD6A-804F-8343-70C2530AB40A}" srcOrd="0" destOrd="0" presId="urn:microsoft.com/office/officeart/2005/8/layout/radial1"/>
    <dgm:cxn modelId="{1DAA94E2-65B2-BF43-8F74-D51BD9F2E5CF}" srcId="{93D6DC15-F9A0-B643-B9AA-A42E215D0B6F}" destId="{163A3BED-2092-AD44-A667-A34AAEB7107E}" srcOrd="3" destOrd="0" parTransId="{1B029311-FB3D-074D-8ADB-7E228F3001FA}" sibTransId="{F42C4E37-F0FC-8742-BB1D-7350809ACE8C}"/>
    <dgm:cxn modelId="{E160A8EC-5C1F-3A48-8F80-F1EF8E69D7CD}" srcId="{93D6DC15-F9A0-B643-B9AA-A42E215D0B6F}" destId="{4F6046EE-0F92-6047-9718-0FE5DA18E469}" srcOrd="4" destOrd="0" parTransId="{A8FFD197-DE44-944C-BEA3-E0E7794F16F2}" sibTransId="{9B71B142-5EE1-DF46-BBFB-85572E6F3609}"/>
    <dgm:cxn modelId="{C370D4EE-2FCC-2F42-9AE1-A598EA4B8222}" type="presOf" srcId="{6A7C7B8B-75DB-064A-A6D8-1E2A3DBB461E}" destId="{4860B668-7105-544B-8D3D-34361F6F5035}" srcOrd="0" destOrd="5" presId="urn:microsoft.com/office/officeart/2005/8/layout/radial1"/>
    <dgm:cxn modelId="{8CBFA2F1-838E-EB44-A5E1-55BE9F315719}" srcId="{595320CC-0CDF-7A47-AF5B-B949948963CB}" destId="{DCC5766D-633B-3041-93E3-DE3BC7CB9B92}" srcOrd="0" destOrd="0" parTransId="{F1574B4D-B74A-3844-8A4A-10F97BEB66AA}" sibTransId="{26AFC62F-FC45-8147-9EE8-DF2AF3D14BA2}"/>
    <dgm:cxn modelId="{4FB6E4F3-3C49-A946-B034-65BC49F3A88F}" srcId="{93D6DC15-F9A0-B643-B9AA-A42E215D0B6F}" destId="{7AFD732A-F671-C24E-9AEB-5790C19FED69}" srcOrd="2" destOrd="0" parTransId="{FC69B046-DE1C-BE43-AC2A-CA5A84151677}" sibTransId="{2C0DF45E-FD27-D949-8113-2A1E5226EDA8}"/>
    <dgm:cxn modelId="{D1DDE4F9-34C5-6E46-BDC6-8EB3DCE70FCC}" srcId="{7E3B093B-280D-BD49-A7A1-C0EC89221C6D}" destId="{755840EC-EE74-8342-A287-B66BE3779C59}" srcOrd="1" destOrd="0" parTransId="{0B62FE1A-7A85-964A-94BD-FBB602B712E1}" sibTransId="{CEA79C22-9DA4-2F4C-92EF-9698FDDACB37}"/>
    <dgm:cxn modelId="{E45851FC-416E-9648-8E64-3BDC7E32EF37}" type="presOf" srcId="{F70EDFA3-5747-804E-87A9-4E722179B968}" destId="{1DF2FD00-5915-1E4A-B637-D5F655758E7C}" srcOrd="0" destOrd="1" presId="urn:microsoft.com/office/officeart/2005/8/layout/radial1"/>
    <dgm:cxn modelId="{65649FFF-9A7C-7F43-AB4C-E56E4C665336}" type="presOf" srcId="{FB4486FA-3262-EC41-98A7-217616158E3D}" destId="{7A4DA51F-743E-C64E-8294-C9EA427C04C1}" srcOrd="0" destOrd="4" presId="urn:microsoft.com/office/officeart/2005/8/layout/radial1"/>
    <dgm:cxn modelId="{978F3962-14ED-CF47-AF63-1FB60859DCBC}" type="presParOf" srcId="{82E00D4E-0240-D544-96E2-F838CA86308A}" destId="{91F4EEFB-D89D-7C47-9519-63E367F6B6D2}" srcOrd="0" destOrd="0" presId="urn:microsoft.com/office/officeart/2005/8/layout/radial1"/>
    <dgm:cxn modelId="{623823A3-26F9-8D47-8155-22B65BA4EB0B}" type="presParOf" srcId="{82E00D4E-0240-D544-96E2-F838CA86308A}" destId="{38DCFB04-1AAC-4543-862E-F54355F72563}" srcOrd="1" destOrd="0" presId="urn:microsoft.com/office/officeart/2005/8/layout/radial1"/>
    <dgm:cxn modelId="{3E1F20FD-B083-4141-BBB6-AFD4926B5BF2}" type="presParOf" srcId="{38DCFB04-1AAC-4543-862E-F54355F72563}" destId="{32D0562D-5BF8-CB4A-97B3-6A05626366AB}" srcOrd="0" destOrd="0" presId="urn:microsoft.com/office/officeart/2005/8/layout/radial1"/>
    <dgm:cxn modelId="{2F1A15BF-F995-D74B-B680-AADCF3997DEE}" type="presParOf" srcId="{82E00D4E-0240-D544-96E2-F838CA86308A}" destId="{1DF2FD00-5915-1E4A-B637-D5F655758E7C}" srcOrd="2" destOrd="0" presId="urn:microsoft.com/office/officeart/2005/8/layout/radial1"/>
    <dgm:cxn modelId="{DD542A54-6A6A-0B4D-82BE-680F4F49488F}" type="presParOf" srcId="{82E00D4E-0240-D544-96E2-F838CA86308A}" destId="{AA71F054-1025-3348-99F1-9AC8E54C627D}" srcOrd="3" destOrd="0" presId="urn:microsoft.com/office/officeart/2005/8/layout/radial1"/>
    <dgm:cxn modelId="{97304B49-1CC9-A947-ACCD-274E8671171B}" type="presParOf" srcId="{AA71F054-1025-3348-99F1-9AC8E54C627D}" destId="{57D25131-61A9-7843-8BBF-19F5206AFECD}" srcOrd="0" destOrd="0" presId="urn:microsoft.com/office/officeart/2005/8/layout/radial1"/>
    <dgm:cxn modelId="{1261F3DE-BECE-4546-8FE5-E6A32B90D4CD}" type="presParOf" srcId="{82E00D4E-0240-D544-96E2-F838CA86308A}" destId="{F8EB206B-333D-174A-B6B9-BECA4553A662}" srcOrd="4" destOrd="0" presId="urn:microsoft.com/office/officeart/2005/8/layout/radial1"/>
    <dgm:cxn modelId="{32D23342-7153-D441-AD0F-C77C82B9D963}" type="presParOf" srcId="{82E00D4E-0240-D544-96E2-F838CA86308A}" destId="{27A4EEBE-93D2-7646-9AC1-2017278EE04B}" srcOrd="5" destOrd="0" presId="urn:microsoft.com/office/officeart/2005/8/layout/radial1"/>
    <dgm:cxn modelId="{A2330501-C3E4-144B-B9D7-C9541F9737F5}" type="presParOf" srcId="{27A4EEBE-93D2-7646-9AC1-2017278EE04B}" destId="{8EB4A249-17AD-AB47-8262-9B3E006347F4}" srcOrd="0" destOrd="0" presId="urn:microsoft.com/office/officeart/2005/8/layout/radial1"/>
    <dgm:cxn modelId="{B9A2A3D1-93F2-454D-8F07-1A49946B477B}" type="presParOf" srcId="{82E00D4E-0240-D544-96E2-F838CA86308A}" destId="{C1892ADA-DB23-504E-82F0-3BCB5C6B5A31}" srcOrd="6" destOrd="0" presId="urn:microsoft.com/office/officeart/2005/8/layout/radial1"/>
    <dgm:cxn modelId="{513F3EAA-29C8-0546-BD0B-0EABD441AD3F}" type="presParOf" srcId="{82E00D4E-0240-D544-96E2-F838CA86308A}" destId="{4BCCC7E7-9553-4849-8486-87D573F0AC5D}" srcOrd="7" destOrd="0" presId="urn:microsoft.com/office/officeart/2005/8/layout/radial1"/>
    <dgm:cxn modelId="{EEA5A201-9CD9-6040-9BFD-BB082F398329}" type="presParOf" srcId="{4BCCC7E7-9553-4849-8486-87D573F0AC5D}" destId="{08FB31B0-446C-EE45-AA03-56F27FC361AF}" srcOrd="0" destOrd="0" presId="urn:microsoft.com/office/officeart/2005/8/layout/radial1"/>
    <dgm:cxn modelId="{E6607678-2A46-3441-B56E-2B1364E0664C}" type="presParOf" srcId="{82E00D4E-0240-D544-96E2-F838CA86308A}" destId="{4860B668-7105-544B-8D3D-34361F6F5035}" srcOrd="8" destOrd="0" presId="urn:microsoft.com/office/officeart/2005/8/layout/radial1"/>
    <dgm:cxn modelId="{CE2AAA30-E090-284D-8AC3-941A0C1BC064}" type="presParOf" srcId="{82E00D4E-0240-D544-96E2-F838CA86308A}" destId="{E16B5A36-CD6A-804F-8343-70C2530AB40A}" srcOrd="9" destOrd="0" presId="urn:microsoft.com/office/officeart/2005/8/layout/radial1"/>
    <dgm:cxn modelId="{13B2FE08-4505-674F-9BC9-9F06E4929A65}" type="presParOf" srcId="{E16B5A36-CD6A-804F-8343-70C2530AB40A}" destId="{E6AAA4E9-70CA-C242-853E-CC1B0D335D16}" srcOrd="0" destOrd="0" presId="urn:microsoft.com/office/officeart/2005/8/layout/radial1"/>
    <dgm:cxn modelId="{696A8509-1CCC-D746-B2C5-04100AF801AD}" type="presParOf" srcId="{82E00D4E-0240-D544-96E2-F838CA86308A}" destId="{FC182286-D4CE-AD48-9BC8-03E3458A175B}" srcOrd="10" destOrd="0" presId="urn:microsoft.com/office/officeart/2005/8/layout/radial1"/>
    <dgm:cxn modelId="{1CA5444C-6756-854D-9625-AD64D78EE37B}" type="presParOf" srcId="{82E00D4E-0240-D544-96E2-F838CA86308A}" destId="{3567F691-312A-4D44-9BF0-7526705761AE}" srcOrd="11" destOrd="0" presId="urn:microsoft.com/office/officeart/2005/8/layout/radial1"/>
    <dgm:cxn modelId="{A05C3298-8642-9941-9FCF-64F026CAE4DD}" type="presParOf" srcId="{3567F691-312A-4D44-9BF0-7526705761AE}" destId="{09E279EC-1CA8-DE45-A84A-59E4A3B9CBB3}" srcOrd="0" destOrd="0" presId="urn:microsoft.com/office/officeart/2005/8/layout/radial1"/>
    <dgm:cxn modelId="{027D06BE-B03B-434D-807D-A6328615D204}" type="presParOf" srcId="{82E00D4E-0240-D544-96E2-F838CA86308A}" destId="{22D7C560-AD22-014F-9A66-8DEFB7F6F532}" srcOrd="12" destOrd="0" presId="urn:microsoft.com/office/officeart/2005/8/layout/radial1"/>
    <dgm:cxn modelId="{0BD0A04E-ACA2-724F-AC7B-8F41DBFD32E3}" type="presParOf" srcId="{82E00D4E-0240-D544-96E2-F838CA86308A}" destId="{59645AA6-FCBB-744D-A9A5-E73002595746}" srcOrd="13" destOrd="0" presId="urn:microsoft.com/office/officeart/2005/8/layout/radial1"/>
    <dgm:cxn modelId="{A4041D64-0079-974C-B44F-DDEF7EE81EED}" type="presParOf" srcId="{59645AA6-FCBB-744D-A9A5-E73002595746}" destId="{AE4E6EF6-B2FE-8745-9DFF-505C059007B5}" srcOrd="0" destOrd="0" presId="urn:microsoft.com/office/officeart/2005/8/layout/radial1"/>
    <dgm:cxn modelId="{D0D2C423-19CD-0B48-80B2-1E53FDA07C3A}" type="presParOf" srcId="{82E00D4E-0240-D544-96E2-F838CA86308A}" destId="{7A4DA51F-743E-C64E-8294-C9EA427C04C1}" srcOrd="14" destOrd="0" presId="urn:microsoft.com/office/officeart/2005/8/layout/radial1"/>
    <dgm:cxn modelId="{D8AB5F28-0D14-EB48-BE4D-BCFC370F26BA}" type="presParOf" srcId="{82E00D4E-0240-D544-96E2-F838CA86308A}" destId="{20B5F6FC-6839-8B46-9746-2FD298C93427}" srcOrd="15" destOrd="0" presId="urn:microsoft.com/office/officeart/2005/8/layout/radial1"/>
    <dgm:cxn modelId="{6E2A853F-E22F-C443-A385-D3AECDD3E8A4}" type="presParOf" srcId="{20B5F6FC-6839-8B46-9746-2FD298C93427}" destId="{676E86DC-627A-7E4A-BABB-D3870A2D5538}" srcOrd="0" destOrd="0" presId="urn:microsoft.com/office/officeart/2005/8/layout/radial1"/>
    <dgm:cxn modelId="{212B9226-734A-A24A-BFA9-046703E00519}" type="presParOf" srcId="{82E00D4E-0240-D544-96E2-F838CA86308A}" destId="{BBA156CF-9F72-FF46-A73A-CCD85AA740E5}" srcOrd="16" destOrd="0" presId="urn:microsoft.com/office/officeart/2005/8/layout/radial1"/>
    <dgm:cxn modelId="{728C5E9F-0D84-EE42-9CC8-E47077D79DB5}" type="presParOf" srcId="{82E00D4E-0240-D544-96E2-F838CA86308A}" destId="{F2E3E202-9FC3-7849-9536-4CDF4AD5522D}" srcOrd="17" destOrd="0" presId="urn:microsoft.com/office/officeart/2005/8/layout/radial1"/>
    <dgm:cxn modelId="{3A6A895F-A76A-2340-92CF-1097C461A2C5}" type="presParOf" srcId="{F2E3E202-9FC3-7849-9536-4CDF4AD5522D}" destId="{FA3B2DA1-941A-5743-BA17-DB8CEA055A9F}" srcOrd="0" destOrd="0" presId="urn:microsoft.com/office/officeart/2005/8/layout/radial1"/>
    <dgm:cxn modelId="{02B78795-B10D-6F49-9D95-C07B34CE650A}" type="presParOf" srcId="{82E00D4E-0240-D544-96E2-F838CA86308A}" destId="{BE60E1BF-BBC1-E54F-BB2D-515135D9453B}" srcOrd="18" destOrd="0" presId="urn:microsoft.com/office/officeart/2005/8/layout/radial1"/>
  </dgm:cxnLst>
  <dgm:bg/>
  <dgm:whole/>
  <dgm:extLst>
    <a:ext uri="http://schemas.microsoft.com/office/drawing/2008/diagram">
      <dsp:dataModelExt xmlns:dsp="http://schemas.microsoft.com/office/drawing/2008/diagram" relId="rId250" minVer="http://schemas.openxmlformats.org/drawingml/2006/diagram"/>
    </a:ext>
  </dgm:extLst>
</dgm:dataModel>
</file>

<file path=word/diagrams/data35.xml><?xml version="1.0" encoding="utf-8"?>
<dgm:dataModel xmlns:dgm="http://schemas.openxmlformats.org/drawingml/2006/diagram" xmlns:a="http://schemas.openxmlformats.org/drawingml/2006/main">
  <dgm:ptLst>
    <dgm:pt modelId="{58F723EA-6448-F34C-B0E6-E1621BBD8668}" type="doc">
      <dgm:prSet loTypeId="urn:microsoft.com/office/officeart/2005/8/layout/radial4" loCatId="" qsTypeId="urn:microsoft.com/office/officeart/2005/8/quickstyle/simple2" qsCatId="simple" csTypeId="urn:microsoft.com/office/officeart/2005/8/colors/colorful1" csCatId="colorful" phldr="1"/>
      <dgm:spPr/>
      <dgm:t>
        <a:bodyPr/>
        <a:lstStyle/>
        <a:p>
          <a:endParaRPr lang="en-US"/>
        </a:p>
      </dgm:t>
    </dgm:pt>
    <dgm:pt modelId="{25DD2F02-5850-244C-93E3-E75D68155EAD}">
      <dgm:prSet phldrT="[Text]"/>
      <dgm:spPr/>
      <dgm:t>
        <a:bodyPr/>
        <a:lstStyle/>
        <a:p>
          <a:r>
            <a:rPr lang="en-US"/>
            <a:t>Human factors </a:t>
          </a:r>
        </a:p>
      </dgm:t>
    </dgm:pt>
    <dgm:pt modelId="{CB600DCE-3DAF-CF46-9B59-52E8A9A887DF}" type="parTrans" cxnId="{83A7560F-E93C-4E4D-BA14-474A13EBE29C}">
      <dgm:prSet/>
      <dgm:spPr/>
      <dgm:t>
        <a:bodyPr/>
        <a:lstStyle/>
        <a:p>
          <a:endParaRPr lang="en-US"/>
        </a:p>
      </dgm:t>
    </dgm:pt>
    <dgm:pt modelId="{FAA07B07-CA91-8949-ABF7-2687A34779DD}" type="sibTrans" cxnId="{83A7560F-E93C-4E4D-BA14-474A13EBE29C}">
      <dgm:prSet/>
      <dgm:spPr/>
      <dgm:t>
        <a:bodyPr/>
        <a:lstStyle/>
        <a:p>
          <a:endParaRPr lang="en-US"/>
        </a:p>
      </dgm:t>
    </dgm:pt>
    <dgm:pt modelId="{F834761B-C152-514D-BB4E-D7D6BC9096CA}">
      <dgm:prSet phldrT="[Text]"/>
      <dgm:spPr/>
      <dgm:t>
        <a:bodyPr/>
        <a:lstStyle/>
        <a:p>
          <a:r>
            <a:rPr lang="en-US"/>
            <a:t>Behaviour under pressure</a:t>
          </a:r>
        </a:p>
      </dgm:t>
    </dgm:pt>
    <dgm:pt modelId="{9DDBE497-8A4E-314A-899E-A0A240583F87}" type="parTrans" cxnId="{67010247-B388-1C49-A546-6BD66D36150D}">
      <dgm:prSet/>
      <dgm:spPr/>
      <dgm:t>
        <a:bodyPr/>
        <a:lstStyle/>
        <a:p>
          <a:endParaRPr lang="en-US"/>
        </a:p>
      </dgm:t>
    </dgm:pt>
    <dgm:pt modelId="{84F6B496-6B49-5D4A-AE4D-E8BBE6719A3B}" type="sibTrans" cxnId="{67010247-B388-1C49-A546-6BD66D36150D}">
      <dgm:prSet/>
      <dgm:spPr/>
      <dgm:t>
        <a:bodyPr/>
        <a:lstStyle/>
        <a:p>
          <a:endParaRPr lang="en-US"/>
        </a:p>
      </dgm:t>
    </dgm:pt>
    <dgm:pt modelId="{6CC62523-0568-1744-A636-5CF0B4A7E767}">
      <dgm:prSet phldrT="[Text]"/>
      <dgm:spPr/>
      <dgm:t>
        <a:bodyPr/>
        <a:lstStyle/>
        <a:p>
          <a:r>
            <a:rPr lang="en-US"/>
            <a:t>Cognitive skills</a:t>
          </a:r>
        </a:p>
      </dgm:t>
    </dgm:pt>
    <dgm:pt modelId="{17EFF7A4-956B-D949-9AFC-4D37169AB6B4}" type="parTrans" cxnId="{6DA1941E-30E8-C546-91D6-8D4E1BDE5E5E}">
      <dgm:prSet/>
      <dgm:spPr/>
      <dgm:t>
        <a:bodyPr/>
        <a:lstStyle/>
        <a:p>
          <a:endParaRPr lang="en-US"/>
        </a:p>
      </dgm:t>
    </dgm:pt>
    <dgm:pt modelId="{7DAF9B08-84A2-AE42-9349-426A126BBC17}" type="sibTrans" cxnId="{6DA1941E-30E8-C546-91D6-8D4E1BDE5E5E}">
      <dgm:prSet/>
      <dgm:spPr/>
      <dgm:t>
        <a:bodyPr/>
        <a:lstStyle/>
        <a:p>
          <a:endParaRPr lang="en-US"/>
        </a:p>
      </dgm:t>
    </dgm:pt>
    <dgm:pt modelId="{46895218-A7B7-844B-8A76-691386B8E616}">
      <dgm:prSet phldrT="[Text]"/>
      <dgm:spPr/>
      <dgm:t>
        <a:bodyPr/>
        <a:lstStyle/>
        <a:p>
          <a:r>
            <a:rPr lang="en-US"/>
            <a:t>Human interactions and potential</a:t>
          </a:r>
        </a:p>
      </dgm:t>
    </dgm:pt>
    <dgm:pt modelId="{DC6CED11-6395-7D4F-A8C7-6A3114375DCA}" type="parTrans" cxnId="{63BE2D8B-A6DA-6943-80B2-B6F37B428BBB}">
      <dgm:prSet/>
      <dgm:spPr/>
      <dgm:t>
        <a:bodyPr/>
        <a:lstStyle/>
        <a:p>
          <a:endParaRPr lang="en-US"/>
        </a:p>
      </dgm:t>
    </dgm:pt>
    <dgm:pt modelId="{388F167C-CF64-5446-9059-720B81A3570E}" type="sibTrans" cxnId="{63BE2D8B-A6DA-6943-80B2-B6F37B428BBB}">
      <dgm:prSet/>
      <dgm:spPr/>
      <dgm:t>
        <a:bodyPr/>
        <a:lstStyle/>
        <a:p>
          <a:endParaRPr lang="en-US"/>
        </a:p>
      </dgm:t>
    </dgm:pt>
    <dgm:pt modelId="{4497852B-28ED-AA4A-96A0-D9C7BE61E517}">
      <dgm:prSet phldrT="[Text]"/>
      <dgm:spPr/>
      <dgm:t>
        <a:bodyPr/>
        <a:lstStyle/>
        <a:p>
          <a:r>
            <a:rPr lang="en-US"/>
            <a:t>Social </a:t>
          </a:r>
        </a:p>
      </dgm:t>
    </dgm:pt>
    <dgm:pt modelId="{A7737099-6108-4648-9E6E-AF26C97DA520}" type="parTrans" cxnId="{FFD59D87-573E-FB42-9510-01AD03D9EF25}">
      <dgm:prSet/>
      <dgm:spPr/>
      <dgm:t>
        <a:bodyPr/>
        <a:lstStyle/>
        <a:p>
          <a:endParaRPr lang="en-US"/>
        </a:p>
      </dgm:t>
    </dgm:pt>
    <dgm:pt modelId="{FEA3891B-9AE4-0447-BA02-FA78BB3A2F1A}" type="sibTrans" cxnId="{FFD59D87-573E-FB42-9510-01AD03D9EF25}">
      <dgm:prSet/>
      <dgm:spPr/>
      <dgm:t>
        <a:bodyPr/>
        <a:lstStyle/>
        <a:p>
          <a:endParaRPr lang="en-US"/>
        </a:p>
      </dgm:t>
    </dgm:pt>
    <dgm:pt modelId="{92280939-FD14-4C42-9A18-CB6746D6DB9F}">
      <dgm:prSet phldrT="[Text]"/>
      <dgm:spPr/>
      <dgm:t>
        <a:bodyPr/>
        <a:lstStyle/>
        <a:p>
          <a:r>
            <a:rPr lang="en-US"/>
            <a:t>Cultural</a:t>
          </a:r>
        </a:p>
      </dgm:t>
    </dgm:pt>
    <dgm:pt modelId="{8E1125CD-8F73-DF42-89F4-CDE1281BFA7D}" type="parTrans" cxnId="{EE96CF93-1E51-1D40-A269-3B39311228E5}">
      <dgm:prSet/>
      <dgm:spPr/>
      <dgm:t>
        <a:bodyPr/>
        <a:lstStyle/>
        <a:p>
          <a:endParaRPr lang="en-US"/>
        </a:p>
      </dgm:t>
    </dgm:pt>
    <dgm:pt modelId="{E584E665-4A1B-6040-BC0F-5F9C114C0BB7}" type="sibTrans" cxnId="{EE96CF93-1E51-1D40-A269-3B39311228E5}">
      <dgm:prSet/>
      <dgm:spPr/>
      <dgm:t>
        <a:bodyPr/>
        <a:lstStyle/>
        <a:p>
          <a:endParaRPr lang="en-US"/>
        </a:p>
      </dgm:t>
    </dgm:pt>
    <dgm:pt modelId="{E5BE8C69-06AF-1940-B463-B015B10C4722}">
      <dgm:prSet phldrT="[Text]"/>
      <dgm:spPr/>
      <dgm:t>
        <a:bodyPr/>
        <a:lstStyle/>
        <a:p>
          <a:r>
            <a:rPr lang="en-US"/>
            <a:t>Social skills</a:t>
          </a:r>
        </a:p>
      </dgm:t>
    </dgm:pt>
    <dgm:pt modelId="{0231BD07-D8D1-6B4E-A3A9-8970870D6687}" type="parTrans" cxnId="{24ADE1CD-E2ED-0544-B4E0-A6164487F2F7}">
      <dgm:prSet/>
      <dgm:spPr/>
      <dgm:t>
        <a:bodyPr/>
        <a:lstStyle/>
        <a:p>
          <a:endParaRPr lang="en-US"/>
        </a:p>
      </dgm:t>
    </dgm:pt>
    <dgm:pt modelId="{990DA274-25CE-3D48-A99E-435F89A8B074}" type="sibTrans" cxnId="{24ADE1CD-E2ED-0544-B4E0-A6164487F2F7}">
      <dgm:prSet/>
      <dgm:spPr/>
      <dgm:t>
        <a:bodyPr/>
        <a:lstStyle/>
        <a:p>
          <a:endParaRPr lang="en-US"/>
        </a:p>
      </dgm:t>
    </dgm:pt>
    <dgm:pt modelId="{972963EC-7577-2A49-B771-4C1E8EB6C336}">
      <dgm:prSet phldrT="[Text]"/>
      <dgm:spPr/>
      <dgm:t>
        <a:bodyPr/>
        <a:lstStyle/>
        <a:p>
          <a:r>
            <a:rPr lang="en-US"/>
            <a:t>Decision-making</a:t>
          </a:r>
        </a:p>
      </dgm:t>
    </dgm:pt>
    <dgm:pt modelId="{9DB090F6-A6C3-E84E-A983-88A91F411EAB}" type="parTrans" cxnId="{56D4362C-4019-9549-BFB9-C8C4292B0844}">
      <dgm:prSet/>
      <dgm:spPr/>
      <dgm:t>
        <a:bodyPr/>
        <a:lstStyle/>
        <a:p>
          <a:endParaRPr lang="en-US"/>
        </a:p>
      </dgm:t>
    </dgm:pt>
    <dgm:pt modelId="{50E9B3F1-8FD5-D541-9624-496FEF11CD20}" type="sibTrans" cxnId="{56D4362C-4019-9549-BFB9-C8C4292B0844}">
      <dgm:prSet/>
      <dgm:spPr/>
      <dgm:t>
        <a:bodyPr/>
        <a:lstStyle/>
        <a:p>
          <a:endParaRPr lang="en-US"/>
        </a:p>
      </dgm:t>
    </dgm:pt>
    <dgm:pt modelId="{7CD7615E-C474-CB43-A9BE-2697C413F15D}">
      <dgm:prSet phldrT="[Text]"/>
      <dgm:spPr/>
      <dgm:t>
        <a:bodyPr/>
        <a:lstStyle/>
        <a:p>
          <a:r>
            <a:rPr lang="en-US"/>
            <a:t>How to perform</a:t>
          </a:r>
        </a:p>
      </dgm:t>
    </dgm:pt>
    <dgm:pt modelId="{3DBFED0E-3C24-C74E-AC4E-49A819AE3CB0}" type="parTrans" cxnId="{11A1FF51-3462-9942-9C57-7F854A7539A0}">
      <dgm:prSet/>
      <dgm:spPr/>
      <dgm:t>
        <a:bodyPr/>
        <a:lstStyle/>
        <a:p>
          <a:endParaRPr lang="en-US"/>
        </a:p>
      </dgm:t>
    </dgm:pt>
    <dgm:pt modelId="{919E8C74-7604-0F40-9F29-B73B3E72475D}" type="sibTrans" cxnId="{11A1FF51-3462-9942-9C57-7F854A7539A0}">
      <dgm:prSet/>
      <dgm:spPr/>
      <dgm:t>
        <a:bodyPr/>
        <a:lstStyle/>
        <a:p>
          <a:endParaRPr lang="en-US"/>
        </a:p>
      </dgm:t>
    </dgm:pt>
    <dgm:pt modelId="{38DC5A0E-8C73-9E4A-9983-CBE8C861C384}">
      <dgm:prSet phldrT="[Text]"/>
      <dgm:spPr/>
      <dgm:t>
        <a:bodyPr/>
        <a:lstStyle/>
        <a:p>
          <a:r>
            <a:rPr lang="en-US"/>
            <a:t>Situation awareness</a:t>
          </a:r>
        </a:p>
      </dgm:t>
    </dgm:pt>
    <dgm:pt modelId="{C460EE06-10DC-8E4D-95FC-0B9302C0484B}" type="parTrans" cxnId="{1CCB73B3-4321-6248-9395-87930D4A1589}">
      <dgm:prSet/>
      <dgm:spPr/>
      <dgm:t>
        <a:bodyPr/>
        <a:lstStyle/>
        <a:p>
          <a:endParaRPr lang="en-US"/>
        </a:p>
      </dgm:t>
    </dgm:pt>
    <dgm:pt modelId="{F3243618-73E1-4843-8B80-EF9C29646880}" type="sibTrans" cxnId="{1CCB73B3-4321-6248-9395-87930D4A1589}">
      <dgm:prSet/>
      <dgm:spPr/>
      <dgm:t>
        <a:bodyPr/>
        <a:lstStyle/>
        <a:p>
          <a:endParaRPr lang="en-US"/>
        </a:p>
      </dgm:t>
    </dgm:pt>
    <dgm:pt modelId="{A3E357C1-B2CE-D24D-8365-468D7201B9F2}">
      <dgm:prSet phldrT="[Text]"/>
      <dgm:spPr/>
      <dgm:t>
        <a:bodyPr/>
        <a:lstStyle/>
        <a:p>
          <a:r>
            <a:rPr lang="en-US"/>
            <a:t>Prioritisation</a:t>
          </a:r>
        </a:p>
      </dgm:t>
    </dgm:pt>
    <dgm:pt modelId="{C055C7CE-7D71-1B41-B9A2-AF29A418F045}" type="parTrans" cxnId="{2750D2DB-57DB-AC42-9FD4-AF8E8E7D6463}">
      <dgm:prSet/>
      <dgm:spPr/>
      <dgm:t>
        <a:bodyPr/>
        <a:lstStyle/>
        <a:p>
          <a:endParaRPr lang="en-US"/>
        </a:p>
      </dgm:t>
    </dgm:pt>
    <dgm:pt modelId="{612D4A8C-4B00-C74B-AC15-D49E48F5132B}" type="sibTrans" cxnId="{2750D2DB-57DB-AC42-9FD4-AF8E8E7D6463}">
      <dgm:prSet/>
      <dgm:spPr/>
      <dgm:t>
        <a:bodyPr/>
        <a:lstStyle/>
        <a:p>
          <a:endParaRPr lang="en-US"/>
        </a:p>
      </dgm:t>
    </dgm:pt>
    <dgm:pt modelId="{99205318-C3A5-D44D-A1F4-09363711E695}">
      <dgm:prSet phldrT="[Text]"/>
      <dgm:spPr/>
      <dgm:t>
        <a:bodyPr/>
        <a:lstStyle/>
        <a:p>
          <a:r>
            <a:rPr lang="en-US"/>
            <a:t>Judgment</a:t>
          </a:r>
        </a:p>
      </dgm:t>
    </dgm:pt>
    <dgm:pt modelId="{B4ED1F97-57FB-7445-B782-C07C2C5777D4}" type="parTrans" cxnId="{97E7F80C-5CDE-7A49-86E2-DD203361AE0A}">
      <dgm:prSet/>
      <dgm:spPr/>
      <dgm:t>
        <a:bodyPr/>
        <a:lstStyle/>
        <a:p>
          <a:endParaRPr lang="en-US"/>
        </a:p>
      </dgm:t>
    </dgm:pt>
    <dgm:pt modelId="{6F863639-994E-C242-9A90-BCC45C3C6D29}" type="sibTrans" cxnId="{97E7F80C-5CDE-7A49-86E2-DD203361AE0A}">
      <dgm:prSet/>
      <dgm:spPr/>
      <dgm:t>
        <a:bodyPr/>
        <a:lstStyle/>
        <a:p>
          <a:endParaRPr lang="en-US"/>
        </a:p>
      </dgm:t>
    </dgm:pt>
    <dgm:pt modelId="{44D27346-1467-6642-A4B2-776BAF8B34F3}">
      <dgm:prSet phldrT="[Text]"/>
      <dgm:spPr/>
      <dgm:t>
        <a:bodyPr/>
        <a:lstStyle/>
        <a:p>
          <a:r>
            <a:rPr lang="en-US"/>
            <a:t>Resource management</a:t>
          </a:r>
        </a:p>
      </dgm:t>
    </dgm:pt>
    <dgm:pt modelId="{172A1951-123E-A44E-A598-DA1128913920}" type="parTrans" cxnId="{B768FE7D-0648-3941-8833-3B9ADDA82B80}">
      <dgm:prSet/>
      <dgm:spPr/>
      <dgm:t>
        <a:bodyPr/>
        <a:lstStyle/>
        <a:p>
          <a:endParaRPr lang="en-US"/>
        </a:p>
      </dgm:t>
    </dgm:pt>
    <dgm:pt modelId="{0D49DA31-702B-CE4E-9C14-706EA4338E72}" type="sibTrans" cxnId="{B768FE7D-0648-3941-8833-3B9ADDA82B80}">
      <dgm:prSet/>
      <dgm:spPr/>
      <dgm:t>
        <a:bodyPr/>
        <a:lstStyle/>
        <a:p>
          <a:endParaRPr lang="en-US"/>
        </a:p>
      </dgm:t>
    </dgm:pt>
    <dgm:pt modelId="{EC118AA6-1C63-FC45-8DF6-5A3C62FC5030}">
      <dgm:prSet phldrT="[Text]"/>
      <dgm:spPr/>
      <dgm:t>
        <a:bodyPr/>
        <a:lstStyle/>
        <a:p>
          <a:r>
            <a:rPr lang="en-US"/>
            <a:t>How to think</a:t>
          </a:r>
        </a:p>
      </dgm:t>
    </dgm:pt>
    <dgm:pt modelId="{B1927636-F218-054C-87EA-4D7B1BB76477}" type="parTrans" cxnId="{91F6DD45-DE7D-DA42-B177-F83FD01937BE}">
      <dgm:prSet/>
      <dgm:spPr/>
      <dgm:t>
        <a:bodyPr/>
        <a:lstStyle/>
        <a:p>
          <a:endParaRPr lang="en-US"/>
        </a:p>
      </dgm:t>
    </dgm:pt>
    <dgm:pt modelId="{CB8E81BA-C5DB-FE46-97BE-33EA3C87712A}" type="sibTrans" cxnId="{91F6DD45-DE7D-DA42-B177-F83FD01937BE}">
      <dgm:prSet/>
      <dgm:spPr/>
      <dgm:t>
        <a:bodyPr/>
        <a:lstStyle/>
        <a:p>
          <a:endParaRPr lang="en-US"/>
        </a:p>
      </dgm:t>
    </dgm:pt>
    <dgm:pt modelId="{619C7723-1E1D-2540-82C6-38C4FC046461}">
      <dgm:prSet phldrT="[Text]"/>
      <dgm:spPr/>
      <dgm:t>
        <a:bodyPr/>
        <a:lstStyle/>
        <a:p>
          <a:r>
            <a:rPr lang="en-US"/>
            <a:t>Task management</a:t>
          </a:r>
        </a:p>
      </dgm:t>
    </dgm:pt>
    <dgm:pt modelId="{AB47B431-5E13-AD44-BAC0-774C53158988}" type="parTrans" cxnId="{B8ACE2D9-7E31-F248-99AE-039E0F29B443}">
      <dgm:prSet/>
      <dgm:spPr/>
      <dgm:t>
        <a:bodyPr/>
        <a:lstStyle/>
        <a:p>
          <a:endParaRPr lang="en-US"/>
        </a:p>
      </dgm:t>
    </dgm:pt>
    <dgm:pt modelId="{B961FAA0-5E22-4347-99C8-DCCCA190CED9}" type="sibTrans" cxnId="{B8ACE2D9-7E31-F248-99AE-039E0F29B443}">
      <dgm:prSet/>
      <dgm:spPr/>
      <dgm:t>
        <a:bodyPr/>
        <a:lstStyle/>
        <a:p>
          <a:endParaRPr lang="en-US"/>
        </a:p>
      </dgm:t>
    </dgm:pt>
    <dgm:pt modelId="{FE5315E4-B5DD-0F4D-93B0-3F26264564CC}">
      <dgm:prSet phldrT="[Text]"/>
      <dgm:spPr/>
      <dgm:t>
        <a:bodyPr/>
        <a:lstStyle/>
        <a:p>
          <a:r>
            <a:rPr lang="en-US"/>
            <a:t>Dealing with uncertainty</a:t>
          </a:r>
        </a:p>
      </dgm:t>
    </dgm:pt>
    <dgm:pt modelId="{D8D6BB58-F485-1C48-A013-8AFAB91F3DC8}" type="parTrans" cxnId="{3516B853-7DA4-7645-845E-8303E08A0179}">
      <dgm:prSet/>
      <dgm:spPr/>
      <dgm:t>
        <a:bodyPr/>
        <a:lstStyle/>
        <a:p>
          <a:endParaRPr lang="en-US"/>
        </a:p>
      </dgm:t>
    </dgm:pt>
    <dgm:pt modelId="{ACCC71EE-5F7D-C54C-9F89-C0AC91445C63}" type="sibTrans" cxnId="{3516B853-7DA4-7645-845E-8303E08A0179}">
      <dgm:prSet/>
      <dgm:spPr/>
      <dgm:t>
        <a:bodyPr/>
        <a:lstStyle/>
        <a:p>
          <a:endParaRPr lang="en-US"/>
        </a:p>
      </dgm:t>
    </dgm:pt>
    <dgm:pt modelId="{61CD4F83-1826-5A43-A8FB-22D5DC8F7037}">
      <dgm:prSet phldrT="[Text]"/>
      <dgm:spPr/>
      <dgm:t>
        <a:bodyPr/>
        <a:lstStyle/>
        <a:p>
          <a:r>
            <a:rPr lang="en-US"/>
            <a:t>Leadership</a:t>
          </a:r>
        </a:p>
      </dgm:t>
    </dgm:pt>
    <dgm:pt modelId="{CBD89845-24A2-574B-88E8-5DAB97AFEE75}" type="parTrans" cxnId="{988F319C-BA5B-3345-93AA-BF502286A349}">
      <dgm:prSet/>
      <dgm:spPr/>
      <dgm:t>
        <a:bodyPr/>
        <a:lstStyle/>
        <a:p>
          <a:endParaRPr lang="en-US"/>
        </a:p>
      </dgm:t>
    </dgm:pt>
    <dgm:pt modelId="{DE194421-F9F7-DF44-9052-90D362B8A4B8}" type="sibTrans" cxnId="{988F319C-BA5B-3345-93AA-BF502286A349}">
      <dgm:prSet/>
      <dgm:spPr/>
      <dgm:t>
        <a:bodyPr/>
        <a:lstStyle/>
        <a:p>
          <a:endParaRPr lang="en-US"/>
        </a:p>
      </dgm:t>
    </dgm:pt>
    <dgm:pt modelId="{F8B8259D-BF5D-844E-B6C4-B7816D1740CB}">
      <dgm:prSet phldrT="[Text]"/>
      <dgm:spPr/>
      <dgm:t>
        <a:bodyPr/>
        <a:lstStyle/>
        <a:p>
          <a:r>
            <a:rPr lang="en-US"/>
            <a:t>Communication</a:t>
          </a:r>
        </a:p>
      </dgm:t>
    </dgm:pt>
    <dgm:pt modelId="{895AC052-8B12-D248-9C1B-AD5D34E306FC}" type="parTrans" cxnId="{3C9E6988-1F01-A144-A974-DC70A56D265E}">
      <dgm:prSet/>
      <dgm:spPr/>
      <dgm:t>
        <a:bodyPr/>
        <a:lstStyle/>
        <a:p>
          <a:endParaRPr lang="en-US"/>
        </a:p>
      </dgm:t>
    </dgm:pt>
    <dgm:pt modelId="{2FF3316E-7E9E-0646-8D87-CFB920151E6E}" type="sibTrans" cxnId="{3C9E6988-1F01-A144-A974-DC70A56D265E}">
      <dgm:prSet/>
      <dgm:spPr/>
      <dgm:t>
        <a:bodyPr/>
        <a:lstStyle/>
        <a:p>
          <a:endParaRPr lang="en-US"/>
        </a:p>
      </dgm:t>
    </dgm:pt>
    <dgm:pt modelId="{3F8C0FE3-0ACC-5646-B7EA-8729F9C6DA9E}">
      <dgm:prSet phldrT="[Text]"/>
      <dgm:spPr/>
      <dgm:t>
        <a:bodyPr/>
        <a:lstStyle/>
        <a:p>
          <a:r>
            <a:rPr lang="en-US"/>
            <a:t>Team working/ interaction</a:t>
          </a:r>
        </a:p>
      </dgm:t>
    </dgm:pt>
    <dgm:pt modelId="{A2474EEE-E660-9D44-A8F2-54B87F9388D9}" type="parTrans" cxnId="{54CCDE6D-D736-C24A-BBB4-B626B812266C}">
      <dgm:prSet/>
      <dgm:spPr/>
      <dgm:t>
        <a:bodyPr/>
        <a:lstStyle/>
        <a:p>
          <a:endParaRPr lang="en-US"/>
        </a:p>
      </dgm:t>
    </dgm:pt>
    <dgm:pt modelId="{796EBC98-2E89-FC4B-8A48-EBF68DFCA26B}" type="sibTrans" cxnId="{54CCDE6D-D736-C24A-BBB4-B626B812266C}">
      <dgm:prSet/>
      <dgm:spPr/>
      <dgm:t>
        <a:bodyPr/>
        <a:lstStyle/>
        <a:p>
          <a:endParaRPr lang="en-US"/>
        </a:p>
      </dgm:t>
    </dgm:pt>
    <dgm:pt modelId="{49F3ECEB-8174-7641-B990-677D285B380F}">
      <dgm:prSet phldrT="[Text]"/>
      <dgm:spPr/>
      <dgm:t>
        <a:bodyPr/>
        <a:lstStyle/>
        <a:p>
          <a:r>
            <a:rPr lang="en-US"/>
            <a:t>Facilitation patient care</a:t>
          </a:r>
        </a:p>
      </dgm:t>
    </dgm:pt>
    <dgm:pt modelId="{A77D5E76-D242-1848-8653-27FB4670D84B}" type="parTrans" cxnId="{42052B8E-1AB3-6D48-9ABF-E80A5F85803B}">
      <dgm:prSet/>
      <dgm:spPr/>
      <dgm:t>
        <a:bodyPr/>
        <a:lstStyle/>
        <a:p>
          <a:endParaRPr lang="en-US"/>
        </a:p>
      </dgm:t>
    </dgm:pt>
    <dgm:pt modelId="{5C932B26-BDD7-FC4B-B1D4-6315EBDB07B3}" type="sibTrans" cxnId="{42052B8E-1AB3-6D48-9ABF-E80A5F85803B}">
      <dgm:prSet/>
      <dgm:spPr/>
      <dgm:t>
        <a:bodyPr/>
        <a:lstStyle/>
        <a:p>
          <a:endParaRPr lang="en-US"/>
        </a:p>
      </dgm:t>
    </dgm:pt>
    <dgm:pt modelId="{37DE6FFC-DD98-AC46-92F0-F9CECCB54E58}">
      <dgm:prSet phldrT="[Text]"/>
      <dgm:spPr/>
      <dgm:t>
        <a:bodyPr/>
        <a:lstStyle/>
        <a:p>
          <a:r>
            <a:rPr lang="en-US"/>
            <a:t>Human - human interface</a:t>
          </a:r>
        </a:p>
      </dgm:t>
    </dgm:pt>
    <dgm:pt modelId="{FE0C67E9-719C-C641-96C9-17FCC8D66DAF}" type="parTrans" cxnId="{E7E96140-4B46-8147-BD3C-311403564FC8}">
      <dgm:prSet/>
      <dgm:spPr/>
      <dgm:t>
        <a:bodyPr/>
        <a:lstStyle/>
        <a:p>
          <a:endParaRPr lang="en-US"/>
        </a:p>
      </dgm:t>
    </dgm:pt>
    <dgm:pt modelId="{AD9062E3-05F0-D743-9E8A-D3185E411626}" type="sibTrans" cxnId="{E7E96140-4B46-8147-BD3C-311403564FC8}">
      <dgm:prSet/>
      <dgm:spPr/>
      <dgm:t>
        <a:bodyPr/>
        <a:lstStyle/>
        <a:p>
          <a:endParaRPr lang="en-US"/>
        </a:p>
      </dgm:t>
    </dgm:pt>
    <dgm:pt modelId="{6BC704A8-0465-A640-B1FA-7B7F260C4B5E}">
      <dgm:prSet phldrT="[Text]"/>
      <dgm:spPr/>
      <dgm:t>
        <a:bodyPr/>
        <a:lstStyle/>
        <a:p>
          <a:r>
            <a:rPr lang="en-US"/>
            <a:t>Human - equipment interface</a:t>
          </a:r>
        </a:p>
      </dgm:t>
    </dgm:pt>
    <dgm:pt modelId="{2271D231-ABD0-8044-9B1A-1343C3A0BD53}" type="parTrans" cxnId="{CF4C6E38-2E2B-0E4F-BC29-4EA9CC9DF3AA}">
      <dgm:prSet/>
      <dgm:spPr/>
      <dgm:t>
        <a:bodyPr/>
        <a:lstStyle/>
        <a:p>
          <a:endParaRPr lang="en-US"/>
        </a:p>
      </dgm:t>
    </dgm:pt>
    <dgm:pt modelId="{5ADFF0F6-10BB-A64D-9D2C-D52E16C52659}" type="sibTrans" cxnId="{CF4C6E38-2E2B-0E4F-BC29-4EA9CC9DF3AA}">
      <dgm:prSet/>
      <dgm:spPr/>
      <dgm:t>
        <a:bodyPr/>
        <a:lstStyle/>
        <a:p>
          <a:endParaRPr lang="en-US"/>
        </a:p>
      </dgm:t>
    </dgm:pt>
    <dgm:pt modelId="{E5249558-A6D1-FB43-B7D7-84C9E32E80EC}">
      <dgm:prSet phldrT="[Text]"/>
      <dgm:spPr/>
      <dgm:t>
        <a:bodyPr/>
        <a:lstStyle/>
        <a:p>
          <a:r>
            <a:rPr lang="en-US"/>
            <a:t>Human-environment interface</a:t>
          </a:r>
        </a:p>
      </dgm:t>
    </dgm:pt>
    <dgm:pt modelId="{AD2FAAA8-818B-154C-8622-2B5C86109316}" type="parTrans" cxnId="{AF5B30D2-A407-A542-969D-2B22835B4B59}">
      <dgm:prSet/>
      <dgm:spPr/>
      <dgm:t>
        <a:bodyPr/>
        <a:lstStyle/>
        <a:p>
          <a:endParaRPr lang="en-US"/>
        </a:p>
      </dgm:t>
    </dgm:pt>
    <dgm:pt modelId="{320E0484-EE81-BD45-860F-6F7E8FF1E60C}" type="sibTrans" cxnId="{AF5B30D2-A407-A542-969D-2B22835B4B59}">
      <dgm:prSet/>
      <dgm:spPr/>
      <dgm:t>
        <a:bodyPr/>
        <a:lstStyle/>
        <a:p>
          <a:endParaRPr lang="en-US"/>
        </a:p>
      </dgm:t>
    </dgm:pt>
    <dgm:pt modelId="{6A82D089-6783-BC4F-A192-C91FEB473DC1}">
      <dgm:prSet phldrT="[Text]"/>
      <dgm:spPr/>
      <dgm:t>
        <a:bodyPr/>
        <a:lstStyle/>
        <a:p>
          <a:r>
            <a:rPr lang="en-US"/>
            <a:t>How all work together</a:t>
          </a:r>
        </a:p>
      </dgm:t>
    </dgm:pt>
    <dgm:pt modelId="{798072E5-3186-114D-AF34-6E050D0D8488}" type="parTrans" cxnId="{7DF1010E-D48C-3743-9CF4-16BD1508855D}">
      <dgm:prSet/>
      <dgm:spPr/>
      <dgm:t>
        <a:bodyPr/>
        <a:lstStyle/>
        <a:p>
          <a:endParaRPr lang="en-US"/>
        </a:p>
      </dgm:t>
    </dgm:pt>
    <dgm:pt modelId="{4B0517E5-EF01-7E41-B0FA-12E6B846FB8E}" type="sibTrans" cxnId="{7DF1010E-D48C-3743-9CF4-16BD1508855D}">
      <dgm:prSet/>
      <dgm:spPr/>
      <dgm:t>
        <a:bodyPr/>
        <a:lstStyle/>
        <a:p>
          <a:endParaRPr lang="en-US"/>
        </a:p>
      </dgm:t>
    </dgm:pt>
    <dgm:pt modelId="{A9C0AA96-2A90-F44D-B498-398790870EA7}">
      <dgm:prSet phldrT="[Text]"/>
      <dgm:spPr/>
      <dgm:t>
        <a:bodyPr/>
        <a:lstStyle/>
        <a:p>
          <a:r>
            <a:rPr lang="en-US"/>
            <a:t>Holistic / Everything</a:t>
          </a:r>
        </a:p>
      </dgm:t>
    </dgm:pt>
    <dgm:pt modelId="{E6992775-CE7E-2647-BD84-1C9CFCBF579D}" type="parTrans" cxnId="{F0B68D99-194A-9C48-9E6C-00CC58FD1A4A}">
      <dgm:prSet/>
      <dgm:spPr/>
      <dgm:t>
        <a:bodyPr/>
        <a:lstStyle/>
        <a:p>
          <a:endParaRPr lang="en-US"/>
        </a:p>
      </dgm:t>
    </dgm:pt>
    <dgm:pt modelId="{03208817-E92A-1C40-84B4-77E724286845}" type="sibTrans" cxnId="{F0B68D99-194A-9C48-9E6C-00CC58FD1A4A}">
      <dgm:prSet/>
      <dgm:spPr/>
      <dgm:t>
        <a:bodyPr/>
        <a:lstStyle/>
        <a:p>
          <a:endParaRPr lang="en-US"/>
        </a:p>
      </dgm:t>
    </dgm:pt>
    <dgm:pt modelId="{6F81A8B1-8DCB-ED47-89E8-B78C257CDEEC}">
      <dgm:prSet phldrT="[Text]"/>
      <dgm:spPr/>
      <dgm:t>
        <a:bodyPr/>
        <a:lstStyle/>
        <a:p>
          <a:r>
            <a:rPr lang="en-US"/>
            <a:t>Shell model liveware-hardware interaction</a:t>
          </a:r>
        </a:p>
      </dgm:t>
    </dgm:pt>
    <dgm:pt modelId="{292D839E-1D9D-B84D-AD15-79D07DFC1AB4}" type="parTrans" cxnId="{EDBD1B50-740F-8745-B169-904718103D0F}">
      <dgm:prSet/>
      <dgm:spPr/>
      <dgm:t>
        <a:bodyPr/>
        <a:lstStyle/>
        <a:p>
          <a:endParaRPr lang="en-US"/>
        </a:p>
      </dgm:t>
    </dgm:pt>
    <dgm:pt modelId="{735AEE0F-2E51-AD47-A75A-116A01E14E49}" type="sibTrans" cxnId="{EDBD1B50-740F-8745-B169-904718103D0F}">
      <dgm:prSet/>
      <dgm:spPr/>
      <dgm:t>
        <a:bodyPr/>
        <a:lstStyle/>
        <a:p>
          <a:endParaRPr lang="en-US"/>
        </a:p>
      </dgm:t>
    </dgm:pt>
    <dgm:pt modelId="{15C2156A-3934-F740-9521-4E5D7B86EFE5}">
      <dgm:prSet phldrT="[Text]"/>
      <dgm:spPr/>
      <dgm:t>
        <a:bodyPr/>
        <a:lstStyle/>
        <a:p>
          <a:r>
            <a:rPr lang="en-US"/>
            <a:t>Human potential for effective safe delivery</a:t>
          </a:r>
        </a:p>
      </dgm:t>
    </dgm:pt>
    <dgm:pt modelId="{62956F3A-8DBB-1B44-AF2D-E3753444BAAB}" type="parTrans" cxnId="{2D011B05-2CC2-1A40-975F-D871DF40CCBA}">
      <dgm:prSet/>
      <dgm:spPr/>
      <dgm:t>
        <a:bodyPr/>
        <a:lstStyle/>
        <a:p>
          <a:endParaRPr lang="en-US"/>
        </a:p>
      </dgm:t>
    </dgm:pt>
    <dgm:pt modelId="{8B145FE5-23FF-434E-8135-01DD7F5F20EF}" type="sibTrans" cxnId="{2D011B05-2CC2-1A40-975F-D871DF40CCBA}">
      <dgm:prSet/>
      <dgm:spPr/>
      <dgm:t>
        <a:bodyPr/>
        <a:lstStyle/>
        <a:p>
          <a:endParaRPr lang="en-US"/>
        </a:p>
      </dgm:t>
    </dgm:pt>
    <dgm:pt modelId="{2C06E434-F0B4-4943-BD9B-20F2A7842E34}">
      <dgm:prSet phldrT="[Text]"/>
      <dgm:spPr/>
      <dgm:t>
        <a:bodyPr/>
        <a:lstStyle/>
        <a:p>
          <a:r>
            <a:rPr lang="en-US"/>
            <a:t>Non task focussed</a:t>
          </a:r>
        </a:p>
      </dgm:t>
    </dgm:pt>
    <dgm:pt modelId="{D6014C1C-12D8-E64A-875E-F0D53D066EF5}" type="parTrans" cxnId="{30C72A4A-8251-CD4A-A839-28414F83A8EC}">
      <dgm:prSet/>
      <dgm:spPr/>
      <dgm:t>
        <a:bodyPr/>
        <a:lstStyle/>
        <a:p>
          <a:endParaRPr lang="en-US"/>
        </a:p>
      </dgm:t>
    </dgm:pt>
    <dgm:pt modelId="{0B1785F5-70D7-BE4B-99C6-A5566AEC72DD}" type="sibTrans" cxnId="{30C72A4A-8251-CD4A-A839-28414F83A8EC}">
      <dgm:prSet/>
      <dgm:spPr/>
      <dgm:t>
        <a:bodyPr/>
        <a:lstStyle/>
        <a:p>
          <a:endParaRPr lang="en-US"/>
        </a:p>
      </dgm:t>
    </dgm:pt>
    <dgm:pt modelId="{5D8E2018-78C3-B140-B5E2-A62FB8D3950E}">
      <dgm:prSet phldrT="[Text]"/>
      <dgm:spPr/>
      <dgm:t>
        <a:bodyPr/>
        <a:lstStyle/>
        <a:p>
          <a:r>
            <a:rPr lang="en-US"/>
            <a:t>Complex/hard to define</a:t>
          </a:r>
        </a:p>
      </dgm:t>
    </dgm:pt>
    <dgm:pt modelId="{849415FD-CB0C-9F4D-A508-D5E2427F889D}" type="parTrans" cxnId="{EF90A1A8-6F7F-CE47-94B5-3277537BCEB3}">
      <dgm:prSet/>
      <dgm:spPr/>
      <dgm:t>
        <a:bodyPr/>
        <a:lstStyle/>
        <a:p>
          <a:endParaRPr lang="en-US"/>
        </a:p>
      </dgm:t>
    </dgm:pt>
    <dgm:pt modelId="{D4D0B904-28DA-F94E-93E8-7F800ED8928D}" type="sibTrans" cxnId="{EF90A1A8-6F7F-CE47-94B5-3277537BCEB3}">
      <dgm:prSet/>
      <dgm:spPr/>
      <dgm:t>
        <a:bodyPr/>
        <a:lstStyle/>
        <a:p>
          <a:endParaRPr lang="en-US"/>
        </a:p>
      </dgm:t>
    </dgm:pt>
    <dgm:pt modelId="{42671984-20BC-584D-8E31-18654A5B5C1F}">
      <dgm:prSet phldrT="[Text]"/>
      <dgm:spPr/>
      <dgm:t>
        <a:bodyPr/>
        <a:lstStyle/>
        <a:p>
          <a:r>
            <a:rPr lang="en-US"/>
            <a:t>Many interpretations</a:t>
          </a:r>
        </a:p>
      </dgm:t>
    </dgm:pt>
    <dgm:pt modelId="{50F7F2D6-D3E0-4E48-B404-95EE85003DB5}" type="parTrans" cxnId="{04DDD86A-03DC-5E49-A4FB-FA1D6E569D71}">
      <dgm:prSet/>
      <dgm:spPr/>
      <dgm:t>
        <a:bodyPr/>
        <a:lstStyle/>
        <a:p>
          <a:endParaRPr lang="en-US"/>
        </a:p>
      </dgm:t>
    </dgm:pt>
    <dgm:pt modelId="{367F97EE-CB84-7040-B6A4-B1FA4D7091B6}" type="sibTrans" cxnId="{04DDD86A-03DC-5E49-A4FB-FA1D6E569D71}">
      <dgm:prSet/>
      <dgm:spPr/>
      <dgm:t>
        <a:bodyPr/>
        <a:lstStyle/>
        <a:p>
          <a:endParaRPr lang="en-US"/>
        </a:p>
      </dgm:t>
    </dgm:pt>
    <dgm:pt modelId="{D887CD3B-83F0-EE47-8D2C-E91E1AF60929}">
      <dgm:prSet phldrT="[Text]"/>
      <dgm:spPr/>
      <dgm:t>
        <a:bodyPr/>
        <a:lstStyle/>
        <a:p>
          <a:r>
            <a:rPr lang="en-US"/>
            <a:t>Can expose to criticism</a:t>
          </a:r>
        </a:p>
      </dgm:t>
    </dgm:pt>
    <dgm:pt modelId="{D0174032-B699-3445-ACBC-22FDCAD612EF}" type="parTrans" cxnId="{41854C62-C79F-F244-B692-A1227FBE1B74}">
      <dgm:prSet/>
      <dgm:spPr/>
      <dgm:t>
        <a:bodyPr/>
        <a:lstStyle/>
        <a:p>
          <a:endParaRPr lang="en-US"/>
        </a:p>
      </dgm:t>
    </dgm:pt>
    <dgm:pt modelId="{10190702-B170-0D4A-AB63-0B40FF4C6EF6}" type="sibTrans" cxnId="{41854C62-C79F-F244-B692-A1227FBE1B74}">
      <dgm:prSet/>
      <dgm:spPr/>
      <dgm:t>
        <a:bodyPr/>
        <a:lstStyle/>
        <a:p>
          <a:endParaRPr lang="en-US"/>
        </a:p>
      </dgm:t>
    </dgm:pt>
    <dgm:pt modelId="{DC3D4BAF-7594-4D48-A817-93D87EC30744}">
      <dgm:prSet phldrT="[Text]"/>
      <dgm:spPr/>
      <dgm:t>
        <a:bodyPr/>
        <a:lstStyle/>
        <a:p>
          <a:r>
            <a:rPr lang="en-US"/>
            <a:t>System and design</a:t>
          </a:r>
        </a:p>
      </dgm:t>
    </dgm:pt>
    <dgm:pt modelId="{F9424383-BDA9-454A-930D-08F2D9250A7B}" type="parTrans" cxnId="{E27FF712-FCC5-8049-935D-4582A461762C}">
      <dgm:prSet/>
      <dgm:spPr/>
      <dgm:t>
        <a:bodyPr/>
        <a:lstStyle/>
        <a:p>
          <a:endParaRPr lang="en-US"/>
        </a:p>
      </dgm:t>
    </dgm:pt>
    <dgm:pt modelId="{6EA273BD-6F01-F94D-BB51-4B5A01083DD1}" type="sibTrans" cxnId="{E27FF712-FCC5-8049-935D-4582A461762C}">
      <dgm:prSet/>
      <dgm:spPr/>
      <dgm:t>
        <a:bodyPr/>
        <a:lstStyle/>
        <a:p>
          <a:endParaRPr lang="en-US"/>
        </a:p>
      </dgm:t>
    </dgm:pt>
    <dgm:pt modelId="{3537148D-0795-EB4D-B163-6D2E7DD9D2C0}">
      <dgm:prSet phldrT="[Text]"/>
      <dgm:spPr/>
      <dgm:t>
        <a:bodyPr/>
        <a:lstStyle/>
        <a:p>
          <a:r>
            <a:rPr lang="en-US"/>
            <a:t>Understand how may fail</a:t>
          </a:r>
        </a:p>
      </dgm:t>
    </dgm:pt>
    <dgm:pt modelId="{0F0CBA9C-9A43-F84F-B37A-20E35A3F8404}" type="parTrans" cxnId="{54271A3D-C894-644C-99AF-D76C465ED6A2}">
      <dgm:prSet/>
      <dgm:spPr/>
      <dgm:t>
        <a:bodyPr/>
        <a:lstStyle/>
        <a:p>
          <a:endParaRPr lang="en-US"/>
        </a:p>
      </dgm:t>
    </dgm:pt>
    <dgm:pt modelId="{FFB7AD59-F55A-DB46-92EA-3BF4CCE0A0DC}" type="sibTrans" cxnId="{54271A3D-C894-644C-99AF-D76C465ED6A2}">
      <dgm:prSet/>
      <dgm:spPr/>
      <dgm:t>
        <a:bodyPr/>
        <a:lstStyle/>
        <a:p>
          <a:endParaRPr lang="en-US"/>
        </a:p>
      </dgm:t>
    </dgm:pt>
    <dgm:pt modelId="{78DE2D84-AADE-8147-81D9-4075800747B5}">
      <dgm:prSet phldrT="[Text]"/>
      <dgm:spPr/>
      <dgm:t>
        <a:bodyPr/>
        <a:lstStyle/>
        <a:p>
          <a:r>
            <a:rPr lang="en-US"/>
            <a:t>About poor equipment design</a:t>
          </a:r>
        </a:p>
      </dgm:t>
    </dgm:pt>
    <dgm:pt modelId="{15B13591-B474-7340-B268-4D4F3011F3E7}" type="parTrans" cxnId="{63E878C4-A1D2-C543-8701-CF05135A0C62}">
      <dgm:prSet/>
      <dgm:spPr/>
      <dgm:t>
        <a:bodyPr/>
        <a:lstStyle/>
        <a:p>
          <a:endParaRPr lang="en-US"/>
        </a:p>
      </dgm:t>
    </dgm:pt>
    <dgm:pt modelId="{63D5A800-1F67-3143-A0F1-19EB19E468BB}" type="sibTrans" cxnId="{63E878C4-A1D2-C543-8701-CF05135A0C62}">
      <dgm:prSet/>
      <dgm:spPr/>
      <dgm:t>
        <a:bodyPr/>
        <a:lstStyle/>
        <a:p>
          <a:endParaRPr lang="en-US"/>
        </a:p>
      </dgm:t>
    </dgm:pt>
    <dgm:pt modelId="{E503A601-DD17-F643-80DA-727984200303}">
      <dgm:prSet phldrT="[Text]"/>
      <dgm:spPr/>
      <dgm:t>
        <a:bodyPr/>
        <a:lstStyle/>
        <a:p>
          <a:r>
            <a:rPr lang="en-US"/>
            <a:t>Learn about risk and error</a:t>
          </a:r>
        </a:p>
      </dgm:t>
    </dgm:pt>
    <dgm:pt modelId="{0AE03DF1-5D7A-3F4E-8F12-32DC55BB1F04}" type="parTrans" cxnId="{0DE312E0-622D-F44E-891C-2E9815CD3D83}">
      <dgm:prSet/>
      <dgm:spPr/>
      <dgm:t>
        <a:bodyPr/>
        <a:lstStyle/>
        <a:p>
          <a:endParaRPr lang="en-US"/>
        </a:p>
      </dgm:t>
    </dgm:pt>
    <dgm:pt modelId="{94A7E7B1-C402-5B41-8D63-E749213C809E}" type="sibTrans" cxnId="{0DE312E0-622D-F44E-891C-2E9815CD3D83}">
      <dgm:prSet/>
      <dgm:spPr/>
      <dgm:t>
        <a:bodyPr/>
        <a:lstStyle/>
        <a:p>
          <a:endParaRPr lang="en-US"/>
        </a:p>
      </dgm:t>
    </dgm:pt>
    <dgm:pt modelId="{FA8A0F36-C7BE-6D43-B50C-92C04B627061}">
      <dgm:prSet phldrT="[Text]"/>
      <dgm:spPr/>
      <dgm:t>
        <a:bodyPr/>
        <a:lstStyle/>
        <a:p>
          <a:r>
            <a:rPr lang="en-US"/>
            <a:t>Related to humans, system, equipment, environment</a:t>
          </a:r>
        </a:p>
      </dgm:t>
    </dgm:pt>
    <dgm:pt modelId="{A022586D-58C1-4943-BCA8-6AE92A0B3E6E}" type="parTrans" cxnId="{BA45A7B5-8D3C-464F-8F7D-0D3D083CFA66}">
      <dgm:prSet/>
      <dgm:spPr/>
      <dgm:t>
        <a:bodyPr/>
        <a:lstStyle/>
        <a:p>
          <a:endParaRPr lang="en-US"/>
        </a:p>
      </dgm:t>
    </dgm:pt>
    <dgm:pt modelId="{4B129F30-4DE3-3F4E-ADD1-643E0DD76EB3}" type="sibTrans" cxnId="{BA45A7B5-8D3C-464F-8F7D-0D3D083CFA66}">
      <dgm:prSet/>
      <dgm:spPr/>
      <dgm:t>
        <a:bodyPr/>
        <a:lstStyle/>
        <a:p>
          <a:endParaRPr lang="en-US"/>
        </a:p>
      </dgm:t>
    </dgm:pt>
    <dgm:pt modelId="{0BA99C87-8B56-CB40-A9E9-816DAAD8DF83}">
      <dgm:prSet phldrT="[Text]"/>
      <dgm:spPr/>
      <dgm:t>
        <a:bodyPr/>
        <a:lstStyle/>
        <a:p>
          <a:r>
            <a:rPr lang="en-US"/>
            <a:t>Patient safety - make performance safe and effective</a:t>
          </a:r>
        </a:p>
      </dgm:t>
    </dgm:pt>
    <dgm:pt modelId="{6DC04365-5DED-8940-9BDF-369583CB10F2}" type="parTrans" cxnId="{445F96A8-62E3-E243-94CE-25B1C24F8FEC}">
      <dgm:prSet/>
      <dgm:spPr/>
      <dgm:t>
        <a:bodyPr/>
        <a:lstStyle/>
        <a:p>
          <a:endParaRPr lang="en-US"/>
        </a:p>
      </dgm:t>
    </dgm:pt>
    <dgm:pt modelId="{1D2141BF-7031-5F4F-B012-44DBB53D1D99}" type="sibTrans" cxnId="{445F96A8-62E3-E243-94CE-25B1C24F8FEC}">
      <dgm:prSet/>
      <dgm:spPr/>
      <dgm:t>
        <a:bodyPr/>
        <a:lstStyle/>
        <a:p>
          <a:endParaRPr lang="en-US"/>
        </a:p>
      </dgm:t>
    </dgm:pt>
    <dgm:pt modelId="{42F382AA-9915-1C47-BE05-6B7B20E961CE}">
      <dgm:prSet phldrT="[Text]"/>
      <dgm:spPr/>
      <dgm:t>
        <a:bodyPr/>
        <a:lstStyle/>
        <a:p>
          <a:r>
            <a:rPr lang="en-US"/>
            <a:t>Non - technical skills</a:t>
          </a:r>
        </a:p>
      </dgm:t>
    </dgm:pt>
    <dgm:pt modelId="{F2611247-8BF1-D54F-ACF4-E61101A6260D}" type="parTrans" cxnId="{B8281548-6AE0-634E-8D88-56B22F188050}">
      <dgm:prSet/>
      <dgm:spPr/>
      <dgm:t>
        <a:bodyPr/>
        <a:lstStyle/>
        <a:p>
          <a:endParaRPr lang="en-US"/>
        </a:p>
      </dgm:t>
    </dgm:pt>
    <dgm:pt modelId="{8E4DB8F0-3646-4A4A-9F38-A857A5B30BD8}" type="sibTrans" cxnId="{B8281548-6AE0-634E-8D88-56B22F188050}">
      <dgm:prSet/>
      <dgm:spPr/>
      <dgm:t>
        <a:bodyPr/>
        <a:lstStyle/>
        <a:p>
          <a:endParaRPr lang="en-US"/>
        </a:p>
      </dgm:t>
    </dgm:pt>
    <dgm:pt modelId="{C004DB15-94A4-BB46-932B-4F085759E5A8}">
      <dgm:prSet phldrT="[Text]"/>
      <dgm:spPr/>
      <dgm:t>
        <a:bodyPr/>
        <a:lstStyle/>
        <a:p>
          <a:endParaRPr lang="en-US"/>
        </a:p>
      </dgm:t>
    </dgm:pt>
    <dgm:pt modelId="{BC2C0C01-ACC9-2E47-A9F9-40C45810F374}" type="parTrans" cxnId="{13A15227-0BB3-0748-B1E4-62D8183D38A7}">
      <dgm:prSet/>
      <dgm:spPr/>
      <dgm:t>
        <a:bodyPr/>
        <a:lstStyle/>
        <a:p>
          <a:endParaRPr lang="en-US"/>
        </a:p>
      </dgm:t>
    </dgm:pt>
    <dgm:pt modelId="{CB01796A-D529-3147-9BC4-BA8776B31052}" type="sibTrans" cxnId="{13A15227-0BB3-0748-B1E4-62D8183D38A7}">
      <dgm:prSet/>
      <dgm:spPr/>
      <dgm:t>
        <a:bodyPr/>
        <a:lstStyle/>
        <a:p>
          <a:endParaRPr lang="en-US"/>
        </a:p>
      </dgm:t>
    </dgm:pt>
    <dgm:pt modelId="{0E0CF753-B899-9249-AAD0-51F15796ACF8}" type="pres">
      <dgm:prSet presAssocID="{58F723EA-6448-F34C-B0E6-E1621BBD8668}" presName="cycle" presStyleCnt="0">
        <dgm:presLayoutVars>
          <dgm:chMax val="1"/>
          <dgm:dir/>
          <dgm:animLvl val="ctr"/>
          <dgm:resizeHandles val="exact"/>
        </dgm:presLayoutVars>
      </dgm:prSet>
      <dgm:spPr/>
    </dgm:pt>
    <dgm:pt modelId="{F218B70B-58E4-7A4B-9434-010DC22D42DA}" type="pres">
      <dgm:prSet presAssocID="{25DD2F02-5850-244C-93E3-E75D68155EAD}" presName="centerShape" presStyleLbl="node0" presStyleIdx="0" presStyleCnt="1"/>
      <dgm:spPr/>
    </dgm:pt>
    <dgm:pt modelId="{02887160-6A9D-8440-8EDB-2467BF19D630}" type="pres">
      <dgm:prSet presAssocID="{9DDBE497-8A4E-314A-899E-A0A240583F87}" presName="parTrans" presStyleLbl="bgSibTrans2D1" presStyleIdx="0" presStyleCnt="7"/>
      <dgm:spPr/>
    </dgm:pt>
    <dgm:pt modelId="{355E2639-BC4F-A141-85BE-61107F959FEE}" type="pres">
      <dgm:prSet presAssocID="{F834761B-C152-514D-BB4E-D7D6BC9096CA}" presName="node" presStyleLbl="node1" presStyleIdx="0" presStyleCnt="7">
        <dgm:presLayoutVars>
          <dgm:bulletEnabled val="1"/>
        </dgm:presLayoutVars>
      </dgm:prSet>
      <dgm:spPr/>
    </dgm:pt>
    <dgm:pt modelId="{B6373137-E4B4-C94F-B49D-D36078AC13B6}" type="pres">
      <dgm:prSet presAssocID="{17EFF7A4-956B-D949-9AFC-4D37169AB6B4}" presName="parTrans" presStyleLbl="bgSibTrans2D1" presStyleIdx="1" presStyleCnt="7"/>
      <dgm:spPr/>
    </dgm:pt>
    <dgm:pt modelId="{AFB123B4-5684-9F43-A2A0-A60E9C7C31B6}" type="pres">
      <dgm:prSet presAssocID="{6CC62523-0568-1744-A636-5CF0B4A7E767}" presName="node" presStyleLbl="node1" presStyleIdx="1" presStyleCnt="7">
        <dgm:presLayoutVars>
          <dgm:bulletEnabled val="1"/>
        </dgm:presLayoutVars>
      </dgm:prSet>
      <dgm:spPr/>
    </dgm:pt>
    <dgm:pt modelId="{58E30700-58CE-C742-85A9-5E784D252F1C}" type="pres">
      <dgm:prSet presAssocID="{0231BD07-D8D1-6B4E-A3A9-8970870D6687}" presName="parTrans" presStyleLbl="bgSibTrans2D1" presStyleIdx="2" presStyleCnt="7"/>
      <dgm:spPr/>
    </dgm:pt>
    <dgm:pt modelId="{A3E5D982-CEE6-8949-A304-80C733B4B58D}" type="pres">
      <dgm:prSet presAssocID="{E5BE8C69-06AF-1940-B463-B015B10C4722}" presName="node" presStyleLbl="node1" presStyleIdx="2" presStyleCnt="7">
        <dgm:presLayoutVars>
          <dgm:bulletEnabled val="1"/>
        </dgm:presLayoutVars>
      </dgm:prSet>
      <dgm:spPr/>
    </dgm:pt>
    <dgm:pt modelId="{4429B2F4-74E1-8F45-9500-1BE6A82F83EE}" type="pres">
      <dgm:prSet presAssocID="{DC6CED11-6395-7D4F-A8C7-6A3114375DCA}" presName="parTrans" presStyleLbl="bgSibTrans2D1" presStyleIdx="3" presStyleCnt="7"/>
      <dgm:spPr/>
    </dgm:pt>
    <dgm:pt modelId="{4DBFCD63-5E34-E24C-B79C-4B2517B87D56}" type="pres">
      <dgm:prSet presAssocID="{46895218-A7B7-844B-8A76-691386B8E616}" presName="node" presStyleLbl="node1" presStyleIdx="3" presStyleCnt="7">
        <dgm:presLayoutVars>
          <dgm:bulletEnabled val="1"/>
        </dgm:presLayoutVars>
      </dgm:prSet>
      <dgm:spPr/>
    </dgm:pt>
    <dgm:pt modelId="{9DBB921E-E998-A040-B654-5D9F8CC86C2D}" type="pres">
      <dgm:prSet presAssocID="{E6992775-CE7E-2647-BD84-1C9CFCBF579D}" presName="parTrans" presStyleLbl="bgSibTrans2D1" presStyleIdx="4" presStyleCnt="7"/>
      <dgm:spPr/>
    </dgm:pt>
    <dgm:pt modelId="{BFE57C19-5804-EE46-A81B-DCDA77336B79}" type="pres">
      <dgm:prSet presAssocID="{A9C0AA96-2A90-F44D-B498-398790870EA7}" presName="node" presStyleLbl="node1" presStyleIdx="4" presStyleCnt="7">
        <dgm:presLayoutVars>
          <dgm:bulletEnabled val="1"/>
        </dgm:presLayoutVars>
      </dgm:prSet>
      <dgm:spPr/>
    </dgm:pt>
    <dgm:pt modelId="{ED6908D7-05BF-A345-9F4C-6C766D41C83E}" type="pres">
      <dgm:prSet presAssocID="{F9424383-BDA9-454A-930D-08F2D9250A7B}" presName="parTrans" presStyleLbl="bgSibTrans2D1" presStyleIdx="5" presStyleCnt="7"/>
      <dgm:spPr/>
    </dgm:pt>
    <dgm:pt modelId="{D9C51441-81BD-3D44-BA08-772942F775D7}" type="pres">
      <dgm:prSet presAssocID="{DC3D4BAF-7594-4D48-A817-93D87EC30744}" presName="node" presStyleLbl="node1" presStyleIdx="5" presStyleCnt="7">
        <dgm:presLayoutVars>
          <dgm:bulletEnabled val="1"/>
        </dgm:presLayoutVars>
      </dgm:prSet>
      <dgm:spPr/>
    </dgm:pt>
    <dgm:pt modelId="{6FABC881-A3FE-584C-9B51-1893753A6DEA}" type="pres">
      <dgm:prSet presAssocID="{F2611247-8BF1-D54F-ACF4-E61101A6260D}" presName="parTrans" presStyleLbl="bgSibTrans2D1" presStyleIdx="6" presStyleCnt="7"/>
      <dgm:spPr/>
    </dgm:pt>
    <dgm:pt modelId="{99DD0758-0043-4042-89E2-4369147552B0}" type="pres">
      <dgm:prSet presAssocID="{42F382AA-9915-1C47-BE05-6B7B20E961CE}" presName="node" presStyleLbl="node1" presStyleIdx="6" presStyleCnt="7">
        <dgm:presLayoutVars>
          <dgm:bulletEnabled val="1"/>
        </dgm:presLayoutVars>
      </dgm:prSet>
      <dgm:spPr/>
    </dgm:pt>
  </dgm:ptLst>
  <dgm:cxnLst>
    <dgm:cxn modelId="{0DF7D100-8FB0-CD4F-9DBF-3D74A9D78D61}" type="presOf" srcId="{619C7723-1E1D-2540-82C6-38C4FC046461}" destId="{AFB123B4-5684-9F43-A2A0-A60E9C7C31B6}" srcOrd="0" destOrd="7" presId="urn:microsoft.com/office/officeart/2005/8/layout/radial4"/>
    <dgm:cxn modelId="{2D011B05-2CC2-1A40-975F-D871DF40CCBA}" srcId="{46895218-A7B7-844B-8A76-691386B8E616}" destId="{15C2156A-3934-F740-9521-4E5D7B86EFE5}" srcOrd="5" destOrd="0" parTransId="{62956F3A-8DBB-1B44-AF2D-E3753444BAAB}" sibTransId="{8B145FE5-23FF-434E-8135-01DD7F5F20EF}"/>
    <dgm:cxn modelId="{C4A9E705-6EBD-6442-B467-860C39852675}" type="presOf" srcId="{15C2156A-3934-F740-9521-4E5D7B86EFE5}" destId="{4DBFCD63-5E34-E24C-B79C-4B2517B87D56}" srcOrd="0" destOrd="6" presId="urn:microsoft.com/office/officeart/2005/8/layout/radial4"/>
    <dgm:cxn modelId="{F5DCA90B-F6FD-944C-B015-C977E68B00A9}" type="presOf" srcId="{44D27346-1467-6642-A4B2-776BAF8B34F3}" destId="{AFB123B4-5684-9F43-A2A0-A60E9C7C31B6}" srcOrd="0" destOrd="5" presId="urn:microsoft.com/office/officeart/2005/8/layout/radial4"/>
    <dgm:cxn modelId="{97E7F80C-5CDE-7A49-86E2-DD203361AE0A}" srcId="{6CC62523-0568-1744-A636-5CF0B4A7E767}" destId="{99205318-C3A5-D44D-A1F4-09363711E695}" srcOrd="3" destOrd="0" parTransId="{B4ED1F97-57FB-7445-B782-C07C2C5777D4}" sibTransId="{6F863639-994E-C242-9A90-BCC45C3C6D29}"/>
    <dgm:cxn modelId="{7DF1010E-D48C-3743-9CF4-16BD1508855D}" srcId="{46895218-A7B7-844B-8A76-691386B8E616}" destId="{6A82D089-6783-BC4F-A192-C91FEB473DC1}" srcOrd="3" destOrd="0" parTransId="{798072E5-3186-114D-AF34-6E050D0D8488}" sibTransId="{4B0517E5-EF01-7E41-B0FA-12E6B846FB8E}"/>
    <dgm:cxn modelId="{83A7560F-E93C-4E4D-BA14-474A13EBE29C}" srcId="{58F723EA-6448-F34C-B0E6-E1621BBD8668}" destId="{25DD2F02-5850-244C-93E3-E75D68155EAD}" srcOrd="0" destOrd="0" parTransId="{CB600DCE-3DAF-CF46-9B59-52E8A9A887DF}" sibTransId="{FAA07B07-CA91-8949-ABF7-2687A34779DD}"/>
    <dgm:cxn modelId="{360B1C11-2C54-D74C-B96E-898BE5196B69}" type="presOf" srcId="{E6992775-CE7E-2647-BD84-1C9CFCBF579D}" destId="{9DBB921E-E998-A040-B654-5D9F8CC86C2D}" srcOrd="0" destOrd="0" presId="urn:microsoft.com/office/officeart/2005/8/layout/radial4"/>
    <dgm:cxn modelId="{E27FF712-FCC5-8049-935D-4582A461762C}" srcId="{25DD2F02-5850-244C-93E3-E75D68155EAD}" destId="{DC3D4BAF-7594-4D48-A817-93D87EC30744}" srcOrd="5" destOrd="0" parTransId="{F9424383-BDA9-454A-930D-08F2D9250A7B}" sibTransId="{6EA273BD-6F01-F94D-BB51-4B5A01083DD1}"/>
    <dgm:cxn modelId="{208FFF13-8249-4B4D-AAA6-31E2AE435DD3}" type="presOf" srcId="{EC118AA6-1C63-FC45-8DF6-5A3C62FC5030}" destId="{AFB123B4-5684-9F43-A2A0-A60E9C7C31B6}" srcOrd="0" destOrd="6" presId="urn:microsoft.com/office/officeart/2005/8/layout/radial4"/>
    <dgm:cxn modelId="{1919711D-4BAD-4147-8213-67776B0B5FA6}" type="presOf" srcId="{0BA99C87-8B56-CB40-A9E9-816DAAD8DF83}" destId="{D9C51441-81BD-3D44-BA08-772942F775D7}" srcOrd="0" destOrd="5" presId="urn:microsoft.com/office/officeart/2005/8/layout/radial4"/>
    <dgm:cxn modelId="{2293581E-6489-514C-B401-8E3DF2E30806}" type="presOf" srcId="{58F723EA-6448-F34C-B0E6-E1621BBD8668}" destId="{0E0CF753-B899-9249-AAD0-51F15796ACF8}" srcOrd="0" destOrd="0" presId="urn:microsoft.com/office/officeart/2005/8/layout/radial4"/>
    <dgm:cxn modelId="{6DA1941E-30E8-C546-91D6-8D4E1BDE5E5E}" srcId="{25DD2F02-5850-244C-93E3-E75D68155EAD}" destId="{6CC62523-0568-1744-A636-5CF0B4A7E767}" srcOrd="1" destOrd="0" parTransId="{17EFF7A4-956B-D949-9AFC-4D37169AB6B4}" sibTransId="{7DAF9B08-84A2-AE42-9349-426A126BBC17}"/>
    <dgm:cxn modelId="{C3A27623-BE70-AB40-B7CB-A9A0C3C41ED6}" type="presOf" srcId="{E5BE8C69-06AF-1940-B463-B015B10C4722}" destId="{A3E5D982-CEE6-8949-A304-80C733B4B58D}" srcOrd="0" destOrd="0" presId="urn:microsoft.com/office/officeart/2005/8/layout/radial4"/>
    <dgm:cxn modelId="{13A15227-0BB3-0748-B1E4-62D8183D38A7}" srcId="{42F382AA-9915-1C47-BE05-6B7B20E961CE}" destId="{C004DB15-94A4-BB46-932B-4F085759E5A8}" srcOrd="0" destOrd="0" parTransId="{BC2C0C01-ACC9-2E47-A9F9-40C45810F374}" sibTransId="{CB01796A-D529-3147-9BC4-BA8776B31052}"/>
    <dgm:cxn modelId="{56D4362C-4019-9549-BFB9-C8C4292B0844}" srcId="{6CC62523-0568-1744-A636-5CF0B4A7E767}" destId="{972963EC-7577-2A49-B771-4C1E8EB6C336}" srcOrd="0" destOrd="0" parTransId="{9DB090F6-A6C3-E84E-A983-88A91F411EAB}" sibTransId="{50E9B3F1-8FD5-D541-9624-496FEF11CD20}"/>
    <dgm:cxn modelId="{9C5AA52E-568E-B44F-A66E-CF779D1BEFF6}" type="presOf" srcId="{37DE6FFC-DD98-AC46-92F0-F9CECCB54E58}" destId="{4DBFCD63-5E34-E24C-B79C-4B2517B87D56}" srcOrd="0" destOrd="1" presId="urn:microsoft.com/office/officeart/2005/8/layout/radial4"/>
    <dgm:cxn modelId="{9976D12E-D27F-5D47-933F-1E1142B3EDC9}" type="presOf" srcId="{6F81A8B1-8DCB-ED47-89E8-B78C257CDEEC}" destId="{4DBFCD63-5E34-E24C-B79C-4B2517B87D56}" srcOrd="0" destOrd="5" presId="urn:microsoft.com/office/officeart/2005/8/layout/radial4"/>
    <dgm:cxn modelId="{CF4C6E38-2E2B-0E4F-BC29-4EA9CC9DF3AA}" srcId="{46895218-A7B7-844B-8A76-691386B8E616}" destId="{6BC704A8-0465-A640-B1FA-7B7F260C4B5E}" srcOrd="1" destOrd="0" parTransId="{2271D231-ABD0-8044-9B1A-1343C3A0BD53}" sibTransId="{5ADFF0F6-10BB-A64D-9D2C-D52E16C52659}"/>
    <dgm:cxn modelId="{6D01AB3B-4059-6043-A9D3-50E788212B39}" type="presOf" srcId="{F2611247-8BF1-D54F-ACF4-E61101A6260D}" destId="{6FABC881-A3FE-584C-9B51-1893753A6DEA}" srcOrd="0" destOrd="0" presId="urn:microsoft.com/office/officeart/2005/8/layout/radial4"/>
    <dgm:cxn modelId="{98C5C63B-1310-8F45-B623-70898A409262}" type="presOf" srcId="{6A82D089-6783-BC4F-A192-C91FEB473DC1}" destId="{4DBFCD63-5E34-E24C-B79C-4B2517B87D56}" srcOrd="0" destOrd="4" presId="urn:microsoft.com/office/officeart/2005/8/layout/radial4"/>
    <dgm:cxn modelId="{54271A3D-C894-644C-99AF-D76C465ED6A2}" srcId="{DC3D4BAF-7594-4D48-A817-93D87EC30744}" destId="{3537148D-0795-EB4D-B163-6D2E7DD9D2C0}" srcOrd="0" destOrd="0" parTransId="{0F0CBA9C-9A43-F84F-B37A-20E35A3F8404}" sibTransId="{FFB7AD59-F55A-DB46-92EA-3BF4CCE0A0DC}"/>
    <dgm:cxn modelId="{9B05F23D-C6C0-8C46-9596-D568944147F2}" type="presOf" srcId="{42671984-20BC-584D-8E31-18654A5B5C1F}" destId="{BFE57C19-5804-EE46-A81B-DCDA77336B79}" srcOrd="0" destOrd="2" presId="urn:microsoft.com/office/officeart/2005/8/layout/radial4"/>
    <dgm:cxn modelId="{5B0C0040-50A8-0545-BECF-3E7AC732AF10}" type="presOf" srcId="{E5249558-A6D1-FB43-B7D7-84C9E32E80EC}" destId="{4DBFCD63-5E34-E24C-B79C-4B2517B87D56}" srcOrd="0" destOrd="3" presId="urn:microsoft.com/office/officeart/2005/8/layout/radial4"/>
    <dgm:cxn modelId="{E7E96140-4B46-8147-BD3C-311403564FC8}" srcId="{46895218-A7B7-844B-8A76-691386B8E616}" destId="{37DE6FFC-DD98-AC46-92F0-F9CECCB54E58}" srcOrd="0" destOrd="0" parTransId="{FE0C67E9-719C-C641-96C9-17FCC8D66DAF}" sibTransId="{AD9062E3-05F0-D743-9E8A-D3185E411626}"/>
    <dgm:cxn modelId="{495FC45B-68B4-CF4D-9CCA-63F91214C1EF}" type="presOf" srcId="{A9C0AA96-2A90-F44D-B498-398790870EA7}" destId="{BFE57C19-5804-EE46-A81B-DCDA77336B79}" srcOrd="0" destOrd="0" presId="urn:microsoft.com/office/officeart/2005/8/layout/radial4"/>
    <dgm:cxn modelId="{53AC225D-1C2F-9E45-A25D-F483A5D48424}" type="presOf" srcId="{A3E357C1-B2CE-D24D-8365-468D7201B9F2}" destId="{AFB123B4-5684-9F43-A2A0-A60E9C7C31B6}" srcOrd="0" destOrd="3" presId="urn:microsoft.com/office/officeart/2005/8/layout/radial4"/>
    <dgm:cxn modelId="{C84AF441-F5CB-C048-AE9B-9C85A90D371C}" type="presOf" srcId="{DC6CED11-6395-7D4F-A8C7-6A3114375DCA}" destId="{4429B2F4-74E1-8F45-9500-1BE6A82F83EE}" srcOrd="0" destOrd="0" presId="urn:microsoft.com/office/officeart/2005/8/layout/radial4"/>
    <dgm:cxn modelId="{F2641262-2BE6-6A45-95A6-251A1E81C4D6}" type="presOf" srcId="{3F8C0FE3-0ACC-5646-B7EA-8729F9C6DA9E}" destId="{A3E5D982-CEE6-8949-A304-80C733B4B58D}" srcOrd="0" destOrd="3" presId="urn:microsoft.com/office/officeart/2005/8/layout/radial4"/>
    <dgm:cxn modelId="{41854C62-C79F-F244-B692-A1227FBE1B74}" srcId="{A9C0AA96-2A90-F44D-B498-398790870EA7}" destId="{D887CD3B-83F0-EE47-8D2C-E91E1AF60929}" srcOrd="2" destOrd="0" parTransId="{D0174032-B699-3445-ACBC-22FDCAD612EF}" sibTransId="{10190702-B170-0D4A-AB63-0B40FF4C6EF6}"/>
    <dgm:cxn modelId="{C1847343-399B-9841-B32D-A2020528B06A}" type="presOf" srcId="{F8B8259D-BF5D-844E-B6C4-B7816D1740CB}" destId="{A3E5D982-CEE6-8949-A304-80C733B4B58D}" srcOrd="0" destOrd="2" presId="urn:microsoft.com/office/officeart/2005/8/layout/radial4"/>
    <dgm:cxn modelId="{91F6DD45-DE7D-DA42-B177-F83FD01937BE}" srcId="{6CC62523-0568-1744-A636-5CF0B4A7E767}" destId="{EC118AA6-1C63-FC45-8DF6-5A3C62FC5030}" srcOrd="5" destOrd="0" parTransId="{B1927636-F218-054C-87EA-4D7B1BB76477}" sibTransId="{CB8E81BA-C5DB-FE46-97BE-33EA3C87712A}"/>
    <dgm:cxn modelId="{267E8B46-3F8B-D64B-984E-61141F1A815A}" type="presOf" srcId="{FE5315E4-B5DD-0F4D-93B0-3F26264564CC}" destId="{AFB123B4-5684-9F43-A2A0-A60E9C7C31B6}" srcOrd="0" destOrd="8" presId="urn:microsoft.com/office/officeart/2005/8/layout/radial4"/>
    <dgm:cxn modelId="{67010247-B388-1C49-A546-6BD66D36150D}" srcId="{25DD2F02-5850-244C-93E3-E75D68155EAD}" destId="{F834761B-C152-514D-BB4E-D7D6BC9096CA}" srcOrd="0" destOrd="0" parTransId="{9DDBE497-8A4E-314A-899E-A0A240583F87}" sibTransId="{84F6B496-6B49-5D4A-AE4D-E8BBE6719A3B}"/>
    <dgm:cxn modelId="{B8281548-6AE0-634E-8D88-56B22F188050}" srcId="{25DD2F02-5850-244C-93E3-E75D68155EAD}" destId="{42F382AA-9915-1C47-BE05-6B7B20E961CE}" srcOrd="6" destOrd="0" parTransId="{F2611247-8BF1-D54F-ACF4-E61101A6260D}" sibTransId="{8E4DB8F0-3646-4A4A-9F38-A857A5B30BD8}"/>
    <dgm:cxn modelId="{30C72A4A-8251-CD4A-A839-28414F83A8EC}" srcId="{E5BE8C69-06AF-1940-B463-B015B10C4722}" destId="{2C06E434-F0B4-4943-BD9B-20F2A7842E34}" srcOrd="4" destOrd="0" parTransId="{D6014C1C-12D8-E64A-875E-F0D53D066EF5}" sibTransId="{0B1785F5-70D7-BE4B-99C6-A5566AEC72DD}"/>
    <dgm:cxn modelId="{04DDD86A-03DC-5E49-A4FB-FA1D6E569D71}" srcId="{A9C0AA96-2A90-F44D-B498-398790870EA7}" destId="{42671984-20BC-584D-8E31-18654A5B5C1F}" srcOrd="1" destOrd="0" parTransId="{50F7F2D6-D3E0-4E48-B404-95EE85003DB5}" sibTransId="{367F97EE-CB84-7040-B6A4-B1FA4D7091B6}"/>
    <dgm:cxn modelId="{123BCD4B-1B35-074D-B7D7-1CBE7AC2ACC7}" type="presOf" srcId="{5D8E2018-78C3-B140-B5E2-A62FB8D3950E}" destId="{BFE57C19-5804-EE46-A81B-DCDA77336B79}" srcOrd="0" destOrd="1" presId="urn:microsoft.com/office/officeart/2005/8/layout/radial4"/>
    <dgm:cxn modelId="{2AD4C84C-FAF9-4948-96B4-5B4D8078DC7D}" type="presOf" srcId="{972963EC-7577-2A49-B771-4C1E8EB6C336}" destId="{AFB123B4-5684-9F43-A2A0-A60E9C7C31B6}" srcOrd="0" destOrd="1" presId="urn:microsoft.com/office/officeart/2005/8/layout/radial4"/>
    <dgm:cxn modelId="{54CCDE6D-D736-C24A-BBB4-B626B812266C}" srcId="{E5BE8C69-06AF-1940-B463-B015B10C4722}" destId="{3F8C0FE3-0ACC-5646-B7EA-8729F9C6DA9E}" srcOrd="2" destOrd="0" parTransId="{A2474EEE-E660-9D44-A8F2-54B87F9388D9}" sibTransId="{796EBC98-2E89-FC4B-8A48-EBF68DFCA26B}"/>
    <dgm:cxn modelId="{EDBD1B50-740F-8745-B169-904718103D0F}" srcId="{46895218-A7B7-844B-8A76-691386B8E616}" destId="{6F81A8B1-8DCB-ED47-89E8-B78C257CDEEC}" srcOrd="4" destOrd="0" parTransId="{292D839E-1D9D-B84D-AD15-79D07DFC1AB4}" sibTransId="{735AEE0F-2E51-AD47-A75A-116A01E14E49}"/>
    <dgm:cxn modelId="{5355CA71-F408-C342-B01F-837845FC6FC5}" type="presOf" srcId="{E503A601-DD17-F643-80DA-727984200303}" destId="{D9C51441-81BD-3D44-BA08-772942F775D7}" srcOrd="0" destOrd="3" presId="urn:microsoft.com/office/officeart/2005/8/layout/radial4"/>
    <dgm:cxn modelId="{11A1FF51-3462-9942-9C57-7F854A7539A0}" srcId="{F834761B-C152-514D-BB4E-D7D6BC9096CA}" destId="{7CD7615E-C474-CB43-A9BE-2697C413F15D}" srcOrd="2" destOrd="0" parTransId="{3DBFED0E-3C24-C74E-AC4E-49A819AE3CB0}" sibTransId="{919E8C74-7604-0F40-9F29-B73B3E72475D}"/>
    <dgm:cxn modelId="{CA517272-EB9C-5E4C-8EBE-2F8E3A9A5602}" type="presOf" srcId="{2C06E434-F0B4-4943-BD9B-20F2A7842E34}" destId="{A3E5D982-CEE6-8949-A304-80C733B4B58D}" srcOrd="0" destOrd="5" presId="urn:microsoft.com/office/officeart/2005/8/layout/radial4"/>
    <dgm:cxn modelId="{3045AF53-1C2C-CE41-A37B-A68453D064F5}" type="presOf" srcId="{92280939-FD14-4C42-9A18-CB6746D6DB9F}" destId="{355E2639-BC4F-A141-85BE-61107F959FEE}" srcOrd="0" destOrd="2" presId="urn:microsoft.com/office/officeart/2005/8/layout/radial4"/>
    <dgm:cxn modelId="{3516B853-7DA4-7645-845E-8303E08A0179}" srcId="{6CC62523-0568-1744-A636-5CF0B4A7E767}" destId="{FE5315E4-B5DD-0F4D-93B0-3F26264564CC}" srcOrd="7" destOrd="0" parTransId="{D8D6BB58-F485-1C48-A013-8AFAB91F3DC8}" sibTransId="{ACCC71EE-5F7D-C54C-9F89-C0AC91445C63}"/>
    <dgm:cxn modelId="{B768FE7D-0648-3941-8833-3B9ADDA82B80}" srcId="{6CC62523-0568-1744-A636-5CF0B4A7E767}" destId="{44D27346-1467-6642-A4B2-776BAF8B34F3}" srcOrd="4" destOrd="0" parTransId="{172A1951-123E-A44E-A598-DA1128913920}" sibTransId="{0D49DA31-702B-CE4E-9C14-706EA4338E72}"/>
    <dgm:cxn modelId="{45C42681-2D75-3149-B84C-25A14F2C3724}" type="presOf" srcId="{38DC5A0E-8C73-9E4A-9983-CBE8C861C384}" destId="{AFB123B4-5684-9F43-A2A0-A60E9C7C31B6}" srcOrd="0" destOrd="2" presId="urn:microsoft.com/office/officeart/2005/8/layout/radial4"/>
    <dgm:cxn modelId="{63794082-1700-BD46-AB9C-53B245F1A96C}" type="presOf" srcId="{C004DB15-94A4-BB46-932B-4F085759E5A8}" destId="{99DD0758-0043-4042-89E2-4369147552B0}" srcOrd="0" destOrd="1" presId="urn:microsoft.com/office/officeart/2005/8/layout/radial4"/>
    <dgm:cxn modelId="{A25F3F86-D20A-5144-A45A-4BACF2CF8586}" type="presOf" srcId="{7CD7615E-C474-CB43-A9BE-2697C413F15D}" destId="{355E2639-BC4F-A141-85BE-61107F959FEE}" srcOrd="0" destOrd="3" presId="urn:microsoft.com/office/officeart/2005/8/layout/radial4"/>
    <dgm:cxn modelId="{FFD59D87-573E-FB42-9510-01AD03D9EF25}" srcId="{F834761B-C152-514D-BB4E-D7D6BC9096CA}" destId="{4497852B-28ED-AA4A-96A0-D9C7BE61E517}" srcOrd="0" destOrd="0" parTransId="{A7737099-6108-4648-9E6E-AF26C97DA520}" sibTransId="{FEA3891B-9AE4-0447-BA02-FA78BB3A2F1A}"/>
    <dgm:cxn modelId="{3C9E6988-1F01-A144-A974-DC70A56D265E}" srcId="{E5BE8C69-06AF-1940-B463-B015B10C4722}" destId="{F8B8259D-BF5D-844E-B6C4-B7816D1740CB}" srcOrd="1" destOrd="0" parTransId="{895AC052-8B12-D248-9C1B-AD5D34E306FC}" sibTransId="{2FF3316E-7E9E-0646-8D87-CFB920151E6E}"/>
    <dgm:cxn modelId="{33AEB889-C3B0-CB4E-88A9-26C04B00A9DD}" type="presOf" srcId="{99205318-C3A5-D44D-A1F4-09363711E695}" destId="{AFB123B4-5684-9F43-A2A0-A60E9C7C31B6}" srcOrd="0" destOrd="4" presId="urn:microsoft.com/office/officeart/2005/8/layout/radial4"/>
    <dgm:cxn modelId="{57AA9B8A-B5EB-1944-9F1D-94EF5CBD848E}" type="presOf" srcId="{25DD2F02-5850-244C-93E3-E75D68155EAD}" destId="{F218B70B-58E4-7A4B-9434-010DC22D42DA}" srcOrd="0" destOrd="0" presId="urn:microsoft.com/office/officeart/2005/8/layout/radial4"/>
    <dgm:cxn modelId="{63BE2D8B-A6DA-6943-80B2-B6F37B428BBB}" srcId="{25DD2F02-5850-244C-93E3-E75D68155EAD}" destId="{46895218-A7B7-844B-8A76-691386B8E616}" srcOrd="3" destOrd="0" parTransId="{DC6CED11-6395-7D4F-A8C7-6A3114375DCA}" sibTransId="{388F167C-CF64-5446-9059-720B81A3570E}"/>
    <dgm:cxn modelId="{42052B8E-1AB3-6D48-9ABF-E80A5F85803B}" srcId="{E5BE8C69-06AF-1940-B463-B015B10C4722}" destId="{49F3ECEB-8174-7641-B990-677D285B380F}" srcOrd="3" destOrd="0" parTransId="{A77D5E76-D242-1848-8653-27FB4670D84B}" sibTransId="{5C932B26-BDD7-FC4B-B1D4-6315EBDB07B3}"/>
    <dgm:cxn modelId="{EE96CF93-1E51-1D40-A269-3B39311228E5}" srcId="{F834761B-C152-514D-BB4E-D7D6BC9096CA}" destId="{92280939-FD14-4C42-9A18-CB6746D6DB9F}" srcOrd="1" destOrd="0" parTransId="{8E1125CD-8F73-DF42-89F4-CDE1281BFA7D}" sibTransId="{E584E665-4A1B-6040-BC0F-5F9C114C0BB7}"/>
    <dgm:cxn modelId="{E7A69B94-1017-F645-B543-D1076CEF35CA}" type="presOf" srcId="{9DDBE497-8A4E-314A-899E-A0A240583F87}" destId="{02887160-6A9D-8440-8EDB-2467BF19D630}" srcOrd="0" destOrd="0" presId="urn:microsoft.com/office/officeart/2005/8/layout/radial4"/>
    <dgm:cxn modelId="{5E086399-D560-E349-B947-951CFA3780F3}" type="presOf" srcId="{17EFF7A4-956B-D949-9AFC-4D37169AB6B4}" destId="{B6373137-E4B4-C94F-B49D-D36078AC13B6}" srcOrd="0" destOrd="0" presId="urn:microsoft.com/office/officeart/2005/8/layout/radial4"/>
    <dgm:cxn modelId="{F0B68D99-194A-9C48-9E6C-00CC58FD1A4A}" srcId="{25DD2F02-5850-244C-93E3-E75D68155EAD}" destId="{A9C0AA96-2A90-F44D-B498-398790870EA7}" srcOrd="4" destOrd="0" parTransId="{E6992775-CE7E-2647-BD84-1C9CFCBF579D}" sibTransId="{03208817-E92A-1C40-84B4-77E724286845}"/>
    <dgm:cxn modelId="{988F319C-BA5B-3345-93AA-BF502286A349}" srcId="{E5BE8C69-06AF-1940-B463-B015B10C4722}" destId="{61CD4F83-1826-5A43-A8FB-22D5DC8F7037}" srcOrd="0" destOrd="0" parTransId="{CBD89845-24A2-574B-88E8-5DAB97AFEE75}" sibTransId="{DE194421-F9F7-DF44-9052-90D362B8A4B8}"/>
    <dgm:cxn modelId="{3D8143A3-1E99-F643-826F-E6C2BB96D8B7}" type="presOf" srcId="{42F382AA-9915-1C47-BE05-6B7B20E961CE}" destId="{99DD0758-0043-4042-89E2-4369147552B0}" srcOrd="0" destOrd="0" presId="urn:microsoft.com/office/officeart/2005/8/layout/radial4"/>
    <dgm:cxn modelId="{8B5991A8-CD2F-E149-8E76-18905F4DD090}" type="presOf" srcId="{49F3ECEB-8174-7641-B990-677D285B380F}" destId="{A3E5D982-CEE6-8949-A304-80C733B4B58D}" srcOrd="0" destOrd="4" presId="urn:microsoft.com/office/officeart/2005/8/layout/radial4"/>
    <dgm:cxn modelId="{445F96A8-62E3-E243-94CE-25B1C24F8FEC}" srcId="{DC3D4BAF-7594-4D48-A817-93D87EC30744}" destId="{0BA99C87-8B56-CB40-A9E9-816DAAD8DF83}" srcOrd="4" destOrd="0" parTransId="{6DC04365-5DED-8940-9BDF-369583CB10F2}" sibTransId="{1D2141BF-7031-5F4F-B012-44DBB53D1D99}"/>
    <dgm:cxn modelId="{EF90A1A8-6F7F-CE47-94B5-3277537BCEB3}" srcId="{A9C0AA96-2A90-F44D-B498-398790870EA7}" destId="{5D8E2018-78C3-B140-B5E2-A62FB8D3950E}" srcOrd="0" destOrd="0" parTransId="{849415FD-CB0C-9F4D-A508-D5E2427F889D}" sibTransId="{D4D0B904-28DA-F94E-93E8-7F800ED8928D}"/>
    <dgm:cxn modelId="{8EC6A7AD-1392-F74D-A029-5BB6EB80C7AA}" type="presOf" srcId="{4497852B-28ED-AA4A-96A0-D9C7BE61E517}" destId="{355E2639-BC4F-A141-85BE-61107F959FEE}" srcOrd="0" destOrd="1" presId="urn:microsoft.com/office/officeart/2005/8/layout/radial4"/>
    <dgm:cxn modelId="{604ED1AF-3603-C049-8CA6-0CBD63F812E6}" type="presOf" srcId="{DC3D4BAF-7594-4D48-A817-93D87EC30744}" destId="{D9C51441-81BD-3D44-BA08-772942F775D7}" srcOrd="0" destOrd="0" presId="urn:microsoft.com/office/officeart/2005/8/layout/radial4"/>
    <dgm:cxn modelId="{43A914B2-DEA1-7840-8C0D-52679AC500A6}" type="presOf" srcId="{F834761B-C152-514D-BB4E-D7D6BC9096CA}" destId="{355E2639-BC4F-A141-85BE-61107F959FEE}" srcOrd="0" destOrd="0" presId="urn:microsoft.com/office/officeart/2005/8/layout/radial4"/>
    <dgm:cxn modelId="{1CCB73B3-4321-6248-9395-87930D4A1589}" srcId="{6CC62523-0568-1744-A636-5CF0B4A7E767}" destId="{38DC5A0E-8C73-9E4A-9983-CBE8C861C384}" srcOrd="1" destOrd="0" parTransId="{C460EE06-10DC-8E4D-95FC-0B9302C0484B}" sibTransId="{F3243618-73E1-4843-8B80-EF9C29646880}"/>
    <dgm:cxn modelId="{BA45A7B5-8D3C-464F-8F7D-0D3D083CFA66}" srcId="{DC3D4BAF-7594-4D48-A817-93D87EC30744}" destId="{FA8A0F36-C7BE-6D43-B50C-92C04B627061}" srcOrd="3" destOrd="0" parTransId="{A022586D-58C1-4943-BCA8-6AE92A0B3E6E}" sibTransId="{4B129F30-4DE3-3F4E-ADD1-643E0DD76EB3}"/>
    <dgm:cxn modelId="{46F44ABA-F459-7A4D-9E38-C2057864F4F7}" type="presOf" srcId="{6BC704A8-0465-A640-B1FA-7B7F260C4B5E}" destId="{4DBFCD63-5E34-E24C-B79C-4B2517B87D56}" srcOrd="0" destOrd="2" presId="urn:microsoft.com/office/officeart/2005/8/layout/radial4"/>
    <dgm:cxn modelId="{3627D8BC-168D-B441-9678-DA29CFC02ED9}" type="presOf" srcId="{FA8A0F36-C7BE-6D43-B50C-92C04B627061}" destId="{D9C51441-81BD-3D44-BA08-772942F775D7}" srcOrd="0" destOrd="4" presId="urn:microsoft.com/office/officeart/2005/8/layout/radial4"/>
    <dgm:cxn modelId="{63E878C4-A1D2-C543-8701-CF05135A0C62}" srcId="{DC3D4BAF-7594-4D48-A817-93D87EC30744}" destId="{78DE2D84-AADE-8147-81D9-4075800747B5}" srcOrd="1" destOrd="0" parTransId="{15B13591-B474-7340-B268-4D4F3011F3E7}" sibTransId="{63D5A800-1F67-3143-A0F1-19EB19E468BB}"/>
    <dgm:cxn modelId="{24ADE1CD-E2ED-0544-B4E0-A6164487F2F7}" srcId="{25DD2F02-5850-244C-93E3-E75D68155EAD}" destId="{E5BE8C69-06AF-1940-B463-B015B10C4722}" srcOrd="2" destOrd="0" parTransId="{0231BD07-D8D1-6B4E-A3A9-8970870D6687}" sibTransId="{990DA274-25CE-3D48-A99E-435F89A8B074}"/>
    <dgm:cxn modelId="{F8292FD1-9EAE-9B4A-B10F-32E946C30927}" type="presOf" srcId="{0231BD07-D8D1-6B4E-A3A9-8970870D6687}" destId="{58E30700-58CE-C742-85A9-5E784D252F1C}" srcOrd="0" destOrd="0" presId="urn:microsoft.com/office/officeart/2005/8/layout/radial4"/>
    <dgm:cxn modelId="{AF5B30D2-A407-A542-969D-2B22835B4B59}" srcId="{46895218-A7B7-844B-8A76-691386B8E616}" destId="{E5249558-A6D1-FB43-B7D7-84C9E32E80EC}" srcOrd="2" destOrd="0" parTransId="{AD2FAAA8-818B-154C-8622-2B5C86109316}" sibTransId="{320E0484-EE81-BD45-860F-6F7E8FF1E60C}"/>
    <dgm:cxn modelId="{E71692D8-393C-6348-951B-8E588CB03229}" type="presOf" srcId="{78DE2D84-AADE-8147-81D9-4075800747B5}" destId="{D9C51441-81BD-3D44-BA08-772942F775D7}" srcOrd="0" destOrd="2" presId="urn:microsoft.com/office/officeart/2005/8/layout/radial4"/>
    <dgm:cxn modelId="{B8ACE2D9-7E31-F248-99AE-039E0F29B443}" srcId="{6CC62523-0568-1744-A636-5CF0B4A7E767}" destId="{619C7723-1E1D-2540-82C6-38C4FC046461}" srcOrd="6" destOrd="0" parTransId="{AB47B431-5E13-AD44-BAC0-774C53158988}" sibTransId="{B961FAA0-5E22-4347-99C8-DCCCA190CED9}"/>
    <dgm:cxn modelId="{DE0F4CDA-5EEB-8F4D-BBA4-A0339B4846D8}" type="presOf" srcId="{46895218-A7B7-844B-8A76-691386B8E616}" destId="{4DBFCD63-5E34-E24C-B79C-4B2517B87D56}" srcOrd="0" destOrd="0" presId="urn:microsoft.com/office/officeart/2005/8/layout/radial4"/>
    <dgm:cxn modelId="{2750D2DB-57DB-AC42-9FD4-AF8E8E7D6463}" srcId="{6CC62523-0568-1744-A636-5CF0B4A7E767}" destId="{A3E357C1-B2CE-D24D-8365-468D7201B9F2}" srcOrd="2" destOrd="0" parTransId="{C055C7CE-7D71-1B41-B9A2-AF29A418F045}" sibTransId="{612D4A8C-4B00-C74B-AC15-D49E48F5132B}"/>
    <dgm:cxn modelId="{55EDFDDE-C2CF-344F-AA02-FA1A3210F5D1}" type="presOf" srcId="{6CC62523-0568-1744-A636-5CF0B4A7E767}" destId="{AFB123B4-5684-9F43-A2A0-A60E9C7C31B6}" srcOrd="0" destOrd="0" presId="urn:microsoft.com/office/officeart/2005/8/layout/radial4"/>
    <dgm:cxn modelId="{0DE312E0-622D-F44E-891C-2E9815CD3D83}" srcId="{DC3D4BAF-7594-4D48-A817-93D87EC30744}" destId="{E503A601-DD17-F643-80DA-727984200303}" srcOrd="2" destOrd="0" parTransId="{0AE03DF1-5D7A-3F4E-8F12-32DC55BB1F04}" sibTransId="{94A7E7B1-C402-5B41-8D63-E749213C809E}"/>
    <dgm:cxn modelId="{59144FEF-5AAE-9D4B-B8D9-ECE0F49402EF}" type="presOf" srcId="{F9424383-BDA9-454A-930D-08F2D9250A7B}" destId="{ED6908D7-05BF-A345-9F4C-6C766D41C83E}" srcOrd="0" destOrd="0" presId="urn:microsoft.com/office/officeart/2005/8/layout/radial4"/>
    <dgm:cxn modelId="{325E9AEF-FF4C-4347-9276-6C9702D33E99}" type="presOf" srcId="{61CD4F83-1826-5A43-A8FB-22D5DC8F7037}" destId="{A3E5D982-CEE6-8949-A304-80C733B4B58D}" srcOrd="0" destOrd="1" presId="urn:microsoft.com/office/officeart/2005/8/layout/radial4"/>
    <dgm:cxn modelId="{EC7B65FD-35B5-974D-96EC-BE295CEEA744}" type="presOf" srcId="{3537148D-0795-EB4D-B163-6D2E7DD9D2C0}" destId="{D9C51441-81BD-3D44-BA08-772942F775D7}" srcOrd="0" destOrd="1" presId="urn:microsoft.com/office/officeart/2005/8/layout/radial4"/>
    <dgm:cxn modelId="{45DB6DFF-2316-5C48-B7C6-EE4F0DDCBBED}" type="presOf" srcId="{D887CD3B-83F0-EE47-8D2C-E91E1AF60929}" destId="{BFE57C19-5804-EE46-A81B-DCDA77336B79}" srcOrd="0" destOrd="3" presId="urn:microsoft.com/office/officeart/2005/8/layout/radial4"/>
    <dgm:cxn modelId="{7A4599AC-91F3-C040-902D-838AEDA10EAB}" type="presParOf" srcId="{0E0CF753-B899-9249-AAD0-51F15796ACF8}" destId="{F218B70B-58E4-7A4B-9434-010DC22D42DA}" srcOrd="0" destOrd="0" presId="urn:microsoft.com/office/officeart/2005/8/layout/radial4"/>
    <dgm:cxn modelId="{85C4AACB-ED93-124A-93B9-199586798484}" type="presParOf" srcId="{0E0CF753-B899-9249-AAD0-51F15796ACF8}" destId="{02887160-6A9D-8440-8EDB-2467BF19D630}" srcOrd="1" destOrd="0" presId="urn:microsoft.com/office/officeart/2005/8/layout/radial4"/>
    <dgm:cxn modelId="{78C8E751-22AA-1F48-828F-9BF9281730F9}" type="presParOf" srcId="{0E0CF753-B899-9249-AAD0-51F15796ACF8}" destId="{355E2639-BC4F-A141-85BE-61107F959FEE}" srcOrd="2" destOrd="0" presId="urn:microsoft.com/office/officeart/2005/8/layout/radial4"/>
    <dgm:cxn modelId="{FEB40683-FFC4-D242-98B2-0E889733B54B}" type="presParOf" srcId="{0E0CF753-B899-9249-AAD0-51F15796ACF8}" destId="{B6373137-E4B4-C94F-B49D-D36078AC13B6}" srcOrd="3" destOrd="0" presId="urn:microsoft.com/office/officeart/2005/8/layout/radial4"/>
    <dgm:cxn modelId="{8E078C8B-B79E-234B-952E-96BD956D7E8E}" type="presParOf" srcId="{0E0CF753-B899-9249-AAD0-51F15796ACF8}" destId="{AFB123B4-5684-9F43-A2A0-A60E9C7C31B6}" srcOrd="4" destOrd="0" presId="urn:microsoft.com/office/officeart/2005/8/layout/radial4"/>
    <dgm:cxn modelId="{6435AF91-1815-C244-9C38-BA75FFCAB1E1}" type="presParOf" srcId="{0E0CF753-B899-9249-AAD0-51F15796ACF8}" destId="{58E30700-58CE-C742-85A9-5E784D252F1C}" srcOrd="5" destOrd="0" presId="urn:microsoft.com/office/officeart/2005/8/layout/radial4"/>
    <dgm:cxn modelId="{D7085EF0-0E40-E247-A90B-80E0E2F680CB}" type="presParOf" srcId="{0E0CF753-B899-9249-AAD0-51F15796ACF8}" destId="{A3E5D982-CEE6-8949-A304-80C733B4B58D}" srcOrd="6" destOrd="0" presId="urn:microsoft.com/office/officeart/2005/8/layout/radial4"/>
    <dgm:cxn modelId="{5C64DE58-749C-D148-8300-39C8B453CBA2}" type="presParOf" srcId="{0E0CF753-B899-9249-AAD0-51F15796ACF8}" destId="{4429B2F4-74E1-8F45-9500-1BE6A82F83EE}" srcOrd="7" destOrd="0" presId="urn:microsoft.com/office/officeart/2005/8/layout/radial4"/>
    <dgm:cxn modelId="{4D8D8391-A559-5542-9BCA-CB6DB7587E19}" type="presParOf" srcId="{0E0CF753-B899-9249-AAD0-51F15796ACF8}" destId="{4DBFCD63-5E34-E24C-B79C-4B2517B87D56}" srcOrd="8" destOrd="0" presId="urn:microsoft.com/office/officeart/2005/8/layout/radial4"/>
    <dgm:cxn modelId="{D8309872-67A0-1C46-816F-F72E3DE0A016}" type="presParOf" srcId="{0E0CF753-B899-9249-AAD0-51F15796ACF8}" destId="{9DBB921E-E998-A040-B654-5D9F8CC86C2D}" srcOrd="9" destOrd="0" presId="urn:microsoft.com/office/officeart/2005/8/layout/radial4"/>
    <dgm:cxn modelId="{51462A5E-9209-EE49-9A09-20C971851544}" type="presParOf" srcId="{0E0CF753-B899-9249-AAD0-51F15796ACF8}" destId="{BFE57C19-5804-EE46-A81B-DCDA77336B79}" srcOrd="10" destOrd="0" presId="urn:microsoft.com/office/officeart/2005/8/layout/radial4"/>
    <dgm:cxn modelId="{3C50D638-7912-7741-8851-730DBAAC6FB8}" type="presParOf" srcId="{0E0CF753-B899-9249-AAD0-51F15796ACF8}" destId="{ED6908D7-05BF-A345-9F4C-6C766D41C83E}" srcOrd="11" destOrd="0" presId="urn:microsoft.com/office/officeart/2005/8/layout/radial4"/>
    <dgm:cxn modelId="{B85EBE01-F166-6348-9F68-472F15E385BD}" type="presParOf" srcId="{0E0CF753-B899-9249-AAD0-51F15796ACF8}" destId="{D9C51441-81BD-3D44-BA08-772942F775D7}" srcOrd="12" destOrd="0" presId="urn:microsoft.com/office/officeart/2005/8/layout/radial4"/>
    <dgm:cxn modelId="{8B4425F7-62CA-D846-A293-F2C5E4E4B59C}" type="presParOf" srcId="{0E0CF753-B899-9249-AAD0-51F15796ACF8}" destId="{6FABC881-A3FE-584C-9B51-1893753A6DEA}" srcOrd="13" destOrd="0" presId="urn:microsoft.com/office/officeart/2005/8/layout/radial4"/>
    <dgm:cxn modelId="{8C72ECB5-CFF0-374E-9226-A2B5FF493AA8}" type="presParOf" srcId="{0E0CF753-B899-9249-AAD0-51F15796ACF8}" destId="{99DD0758-0043-4042-89E2-4369147552B0}" srcOrd="14" destOrd="0" presId="urn:microsoft.com/office/officeart/2005/8/layout/radial4"/>
  </dgm:cxnLst>
  <dgm:bg/>
  <dgm:whole/>
  <dgm:extLst>
    <a:ext uri="http://schemas.microsoft.com/office/drawing/2008/diagram">
      <dsp:dataModelExt xmlns:dsp="http://schemas.microsoft.com/office/drawing/2008/diagram" relId="rId255" minVer="http://schemas.openxmlformats.org/drawingml/2006/diagram"/>
    </a:ext>
  </dgm:extLst>
</dgm:dataModel>
</file>

<file path=word/diagrams/data36.xml><?xml version="1.0" encoding="utf-8"?>
<dgm:dataModel xmlns:dgm="http://schemas.openxmlformats.org/drawingml/2006/diagram" xmlns:a="http://schemas.openxmlformats.org/drawingml/2006/main">
  <dgm:ptLst>
    <dgm:pt modelId="{FE1751E1-3F1E-D94B-A0C3-76D79C4B0773}" type="doc">
      <dgm:prSet loTypeId="urn:microsoft.com/office/officeart/2005/8/layout/radial4" loCatId="" qsTypeId="urn:microsoft.com/office/officeart/2005/8/quickstyle/simple2" qsCatId="simple" csTypeId="urn:microsoft.com/office/officeart/2005/8/colors/colorful1" csCatId="colorful" phldr="1"/>
      <dgm:spPr/>
      <dgm:t>
        <a:bodyPr/>
        <a:lstStyle/>
        <a:p>
          <a:endParaRPr lang="en-US"/>
        </a:p>
      </dgm:t>
    </dgm:pt>
    <dgm:pt modelId="{0B67CD58-EDD1-C04D-84A1-BB5BF2C04157}">
      <dgm:prSet phldrT="[Text]"/>
      <dgm:spPr/>
      <dgm:t>
        <a:bodyPr/>
        <a:lstStyle/>
        <a:p>
          <a:r>
            <a:rPr lang="en-US"/>
            <a:t>Non-technical skills</a:t>
          </a:r>
        </a:p>
      </dgm:t>
    </dgm:pt>
    <dgm:pt modelId="{4F9C6B24-0E35-F24B-8F86-0C5DAD6621E5}" type="parTrans" cxnId="{150C3B4C-F289-8144-BED8-44D589BDC2AD}">
      <dgm:prSet/>
      <dgm:spPr/>
      <dgm:t>
        <a:bodyPr/>
        <a:lstStyle/>
        <a:p>
          <a:endParaRPr lang="en-US"/>
        </a:p>
      </dgm:t>
    </dgm:pt>
    <dgm:pt modelId="{27D5F63E-2756-394E-AB4C-5207FEE431A7}" type="sibTrans" cxnId="{150C3B4C-F289-8144-BED8-44D589BDC2AD}">
      <dgm:prSet/>
      <dgm:spPr/>
      <dgm:t>
        <a:bodyPr/>
        <a:lstStyle/>
        <a:p>
          <a:endParaRPr lang="en-US"/>
        </a:p>
      </dgm:t>
    </dgm:pt>
    <dgm:pt modelId="{F60F79AB-2DE0-2D40-9AA3-5AAE502E6629}">
      <dgm:prSet phldrT="[Text]"/>
      <dgm:spPr/>
      <dgm:t>
        <a:bodyPr/>
        <a:lstStyle/>
        <a:p>
          <a:r>
            <a:rPr lang="en-US"/>
            <a:t>Situation awareness</a:t>
          </a:r>
        </a:p>
      </dgm:t>
    </dgm:pt>
    <dgm:pt modelId="{5816A658-5C81-4641-8D32-0AF00BC36D01}" type="parTrans" cxnId="{D0C3258D-006F-324B-A2A0-5ECB377595E9}">
      <dgm:prSet/>
      <dgm:spPr/>
      <dgm:t>
        <a:bodyPr/>
        <a:lstStyle/>
        <a:p>
          <a:endParaRPr lang="en-US"/>
        </a:p>
      </dgm:t>
    </dgm:pt>
    <dgm:pt modelId="{F725802F-9095-7B4B-B58E-F3B2656AF74A}" type="sibTrans" cxnId="{D0C3258D-006F-324B-A2A0-5ECB377595E9}">
      <dgm:prSet/>
      <dgm:spPr/>
      <dgm:t>
        <a:bodyPr/>
        <a:lstStyle/>
        <a:p>
          <a:endParaRPr lang="en-US"/>
        </a:p>
      </dgm:t>
    </dgm:pt>
    <dgm:pt modelId="{ACD894AA-DB35-E94D-9588-7CDFDECD6033}">
      <dgm:prSet phldrT="[Text]"/>
      <dgm:spPr/>
      <dgm:t>
        <a:bodyPr/>
        <a:lstStyle/>
        <a:p>
          <a:r>
            <a:rPr lang="en-US"/>
            <a:t>Decision-making</a:t>
          </a:r>
        </a:p>
      </dgm:t>
    </dgm:pt>
    <dgm:pt modelId="{3C6962A8-0167-4F46-A556-974F387728A0}" type="parTrans" cxnId="{A5B29DF4-1DF6-394A-A373-60181E98E64F}">
      <dgm:prSet/>
      <dgm:spPr/>
      <dgm:t>
        <a:bodyPr/>
        <a:lstStyle/>
        <a:p>
          <a:endParaRPr lang="en-US"/>
        </a:p>
      </dgm:t>
    </dgm:pt>
    <dgm:pt modelId="{A5D15D4F-84EC-9F4A-9251-CF247D0055EA}" type="sibTrans" cxnId="{A5B29DF4-1DF6-394A-A373-60181E98E64F}">
      <dgm:prSet/>
      <dgm:spPr/>
      <dgm:t>
        <a:bodyPr/>
        <a:lstStyle/>
        <a:p>
          <a:endParaRPr lang="en-US"/>
        </a:p>
      </dgm:t>
    </dgm:pt>
    <dgm:pt modelId="{79945C96-09D6-5040-913C-3775522CE47E}">
      <dgm:prSet phldrT="[Text]"/>
      <dgm:spPr/>
      <dgm:t>
        <a:bodyPr/>
        <a:lstStyle/>
        <a:p>
          <a:r>
            <a:rPr lang="en-US"/>
            <a:t>Communication</a:t>
          </a:r>
        </a:p>
      </dgm:t>
    </dgm:pt>
    <dgm:pt modelId="{2BA91286-EC08-DB4F-97C7-4ECACEA93B48}" type="parTrans" cxnId="{CDCD92B6-DEEB-8C4D-A5E5-A8E7EF9C8CD6}">
      <dgm:prSet/>
      <dgm:spPr/>
      <dgm:t>
        <a:bodyPr/>
        <a:lstStyle/>
        <a:p>
          <a:endParaRPr lang="en-US"/>
        </a:p>
      </dgm:t>
    </dgm:pt>
    <dgm:pt modelId="{561F1F5C-31F2-AD46-972B-75CD8B274C7C}" type="sibTrans" cxnId="{CDCD92B6-DEEB-8C4D-A5E5-A8E7EF9C8CD6}">
      <dgm:prSet/>
      <dgm:spPr/>
      <dgm:t>
        <a:bodyPr/>
        <a:lstStyle/>
        <a:p>
          <a:endParaRPr lang="en-US"/>
        </a:p>
      </dgm:t>
    </dgm:pt>
    <dgm:pt modelId="{BFDEC97A-A41B-6A4E-BF22-C521612CDD68}">
      <dgm:prSet phldrT="[Text]"/>
      <dgm:spPr/>
      <dgm:t>
        <a:bodyPr/>
        <a:lstStyle/>
        <a:p>
          <a:r>
            <a:rPr lang="en-US"/>
            <a:t>Effective teamworking</a:t>
          </a:r>
        </a:p>
      </dgm:t>
    </dgm:pt>
    <dgm:pt modelId="{B7291225-F4CE-5947-8F72-810B1D0C81AD}" type="parTrans" cxnId="{370A9B8E-E5EE-8E47-B4DB-2FE2CACCA7B6}">
      <dgm:prSet/>
      <dgm:spPr/>
      <dgm:t>
        <a:bodyPr/>
        <a:lstStyle/>
        <a:p>
          <a:endParaRPr lang="en-US"/>
        </a:p>
      </dgm:t>
    </dgm:pt>
    <dgm:pt modelId="{2D338880-CE8D-4348-B954-408FEFAF1847}" type="sibTrans" cxnId="{370A9B8E-E5EE-8E47-B4DB-2FE2CACCA7B6}">
      <dgm:prSet/>
      <dgm:spPr/>
      <dgm:t>
        <a:bodyPr/>
        <a:lstStyle/>
        <a:p>
          <a:endParaRPr lang="en-US"/>
        </a:p>
      </dgm:t>
    </dgm:pt>
    <dgm:pt modelId="{D16CECB1-CCD0-1148-B846-24AC2B49B2C2}">
      <dgm:prSet phldrT="[Text]"/>
      <dgm:spPr/>
      <dgm:t>
        <a:bodyPr/>
        <a:lstStyle/>
        <a:p>
          <a:r>
            <a:rPr lang="en-US"/>
            <a:t>build relationships</a:t>
          </a:r>
        </a:p>
      </dgm:t>
    </dgm:pt>
    <dgm:pt modelId="{9A60AFD4-62B8-684E-AB46-3F43F2D1E47C}" type="parTrans" cxnId="{1EF0FC3C-4C90-2C44-A100-F52C8966C731}">
      <dgm:prSet/>
      <dgm:spPr/>
      <dgm:t>
        <a:bodyPr/>
        <a:lstStyle/>
        <a:p>
          <a:endParaRPr lang="en-US"/>
        </a:p>
      </dgm:t>
    </dgm:pt>
    <dgm:pt modelId="{6B026264-CF21-3F46-99E4-6F56FC936F32}" type="sibTrans" cxnId="{1EF0FC3C-4C90-2C44-A100-F52C8966C731}">
      <dgm:prSet/>
      <dgm:spPr/>
      <dgm:t>
        <a:bodyPr/>
        <a:lstStyle/>
        <a:p>
          <a:endParaRPr lang="en-US"/>
        </a:p>
      </dgm:t>
    </dgm:pt>
    <dgm:pt modelId="{449F5D03-D94F-5542-B774-5B108C570100}">
      <dgm:prSet phldrT="[Text]"/>
      <dgm:spPr/>
      <dgm:t>
        <a:bodyPr/>
        <a:lstStyle/>
        <a:p>
          <a:r>
            <a:rPr lang="en-US"/>
            <a:t>Value team members</a:t>
          </a:r>
        </a:p>
      </dgm:t>
    </dgm:pt>
    <dgm:pt modelId="{DF41AF58-A6F0-1742-8D8A-A0D91EBE29D9}" type="parTrans" cxnId="{6805716F-8724-054A-9E5B-75047BBDABE3}">
      <dgm:prSet/>
      <dgm:spPr/>
      <dgm:t>
        <a:bodyPr/>
        <a:lstStyle/>
        <a:p>
          <a:endParaRPr lang="en-US"/>
        </a:p>
      </dgm:t>
    </dgm:pt>
    <dgm:pt modelId="{1CAB3DF8-FDF1-0648-BB98-057AD2CC909A}" type="sibTrans" cxnId="{6805716F-8724-054A-9E5B-75047BBDABE3}">
      <dgm:prSet/>
      <dgm:spPr/>
      <dgm:t>
        <a:bodyPr/>
        <a:lstStyle/>
        <a:p>
          <a:endParaRPr lang="en-US"/>
        </a:p>
      </dgm:t>
    </dgm:pt>
    <dgm:pt modelId="{CDDD0D40-21A2-6449-A2F2-D453A821497D}">
      <dgm:prSet phldrT="[Text]"/>
      <dgm:spPr/>
      <dgm:t>
        <a:bodyPr/>
        <a:lstStyle/>
        <a:p>
          <a:r>
            <a:rPr lang="en-US"/>
            <a:t>Understand roles</a:t>
          </a:r>
        </a:p>
      </dgm:t>
    </dgm:pt>
    <dgm:pt modelId="{0B958589-BAF8-C645-AD96-FADD7BE7CB69}" type="parTrans" cxnId="{70328931-39CD-B249-A1C6-0CE703105B0E}">
      <dgm:prSet/>
      <dgm:spPr/>
      <dgm:t>
        <a:bodyPr/>
        <a:lstStyle/>
        <a:p>
          <a:endParaRPr lang="en-US"/>
        </a:p>
      </dgm:t>
    </dgm:pt>
    <dgm:pt modelId="{CF401972-71C2-424F-A1E2-BADE502CC43B}" type="sibTrans" cxnId="{70328931-39CD-B249-A1C6-0CE703105B0E}">
      <dgm:prSet/>
      <dgm:spPr/>
      <dgm:t>
        <a:bodyPr/>
        <a:lstStyle/>
        <a:p>
          <a:endParaRPr lang="en-US"/>
        </a:p>
      </dgm:t>
    </dgm:pt>
    <dgm:pt modelId="{4D5BF561-B43B-2F46-AA8F-CBB7193EE12D}">
      <dgm:prSet phldrT="[Text]"/>
      <dgm:spPr/>
      <dgm:t>
        <a:bodyPr/>
        <a:lstStyle/>
        <a:p>
          <a:r>
            <a:rPr lang="en-US"/>
            <a:t>Prioritisation</a:t>
          </a:r>
        </a:p>
      </dgm:t>
    </dgm:pt>
    <dgm:pt modelId="{492EDCAA-358F-6C47-9E1E-D1E8451021B6}" type="parTrans" cxnId="{C88F007D-AE46-EA45-B64B-3B1900E86074}">
      <dgm:prSet/>
      <dgm:spPr/>
      <dgm:t>
        <a:bodyPr/>
        <a:lstStyle/>
        <a:p>
          <a:endParaRPr lang="en-US"/>
        </a:p>
      </dgm:t>
    </dgm:pt>
    <dgm:pt modelId="{525CDDF9-56EE-744D-ADB2-F95FA014594C}" type="sibTrans" cxnId="{C88F007D-AE46-EA45-B64B-3B1900E86074}">
      <dgm:prSet/>
      <dgm:spPr/>
      <dgm:t>
        <a:bodyPr/>
        <a:lstStyle/>
        <a:p>
          <a:endParaRPr lang="en-US"/>
        </a:p>
      </dgm:t>
    </dgm:pt>
    <dgm:pt modelId="{75C5604D-C05D-9F47-A59A-8159F4A4A980}">
      <dgm:prSet phldrT="[Text]"/>
      <dgm:spPr/>
      <dgm:t>
        <a:bodyPr/>
        <a:lstStyle/>
        <a:p>
          <a:r>
            <a:rPr lang="en-US"/>
            <a:t>Time management skills</a:t>
          </a:r>
        </a:p>
      </dgm:t>
    </dgm:pt>
    <dgm:pt modelId="{50AD767D-E389-AA4A-874C-614E5C012A48}" type="parTrans" cxnId="{F9347E01-FB92-A041-9CB9-692ED868A963}">
      <dgm:prSet/>
      <dgm:spPr/>
      <dgm:t>
        <a:bodyPr/>
        <a:lstStyle/>
        <a:p>
          <a:endParaRPr lang="en-US"/>
        </a:p>
      </dgm:t>
    </dgm:pt>
    <dgm:pt modelId="{FD03075A-B51A-4C4B-B890-185A8FF36E4B}" type="sibTrans" cxnId="{F9347E01-FB92-A041-9CB9-692ED868A963}">
      <dgm:prSet/>
      <dgm:spPr/>
      <dgm:t>
        <a:bodyPr/>
        <a:lstStyle/>
        <a:p>
          <a:endParaRPr lang="en-US"/>
        </a:p>
      </dgm:t>
    </dgm:pt>
    <dgm:pt modelId="{90056894-5C25-6F4B-BF8F-BEAE1377D4FD}">
      <dgm:prSet phldrT="[Text]"/>
      <dgm:spPr/>
      <dgm:t>
        <a:bodyPr/>
        <a:lstStyle/>
        <a:p>
          <a:r>
            <a:rPr lang="en-US"/>
            <a:t>Leadership </a:t>
          </a:r>
        </a:p>
      </dgm:t>
    </dgm:pt>
    <dgm:pt modelId="{6FB57C5C-B791-2240-B97B-CC77FC4D6ABC}" type="parTrans" cxnId="{199C24F4-F74F-8F4B-9FD1-764D4B38199E}">
      <dgm:prSet/>
      <dgm:spPr/>
      <dgm:t>
        <a:bodyPr/>
        <a:lstStyle/>
        <a:p>
          <a:endParaRPr lang="en-US"/>
        </a:p>
      </dgm:t>
    </dgm:pt>
    <dgm:pt modelId="{0B92BE70-1CA2-D14A-B18B-3B402425AB18}" type="sibTrans" cxnId="{199C24F4-F74F-8F4B-9FD1-764D4B38199E}">
      <dgm:prSet/>
      <dgm:spPr/>
      <dgm:t>
        <a:bodyPr/>
        <a:lstStyle/>
        <a:p>
          <a:endParaRPr lang="en-US"/>
        </a:p>
      </dgm:t>
    </dgm:pt>
    <dgm:pt modelId="{CA09C7CF-2215-5548-82B2-9C39836268EB}">
      <dgm:prSet phldrT="[Text]"/>
      <dgm:spPr/>
      <dgm:t>
        <a:bodyPr/>
        <a:lstStyle/>
        <a:p>
          <a:r>
            <a:rPr lang="en-US"/>
            <a:t>Delegation</a:t>
          </a:r>
        </a:p>
      </dgm:t>
    </dgm:pt>
    <dgm:pt modelId="{BF5E18E4-0CB3-3F46-8FF8-21700394F48A}" type="parTrans" cxnId="{623DA75C-C75C-9146-B9B2-0080CFEF155D}">
      <dgm:prSet/>
      <dgm:spPr/>
      <dgm:t>
        <a:bodyPr/>
        <a:lstStyle/>
        <a:p>
          <a:endParaRPr lang="en-US"/>
        </a:p>
      </dgm:t>
    </dgm:pt>
    <dgm:pt modelId="{407587F2-8CF9-A94A-9E41-52917D1C20E5}" type="sibTrans" cxnId="{623DA75C-C75C-9146-B9B2-0080CFEF155D}">
      <dgm:prSet/>
      <dgm:spPr/>
      <dgm:t>
        <a:bodyPr/>
        <a:lstStyle/>
        <a:p>
          <a:endParaRPr lang="en-US"/>
        </a:p>
      </dgm:t>
    </dgm:pt>
    <dgm:pt modelId="{DB1C8366-0F72-3341-A30D-FDC0A8C4B024}">
      <dgm:prSet phldrT="[Text]"/>
      <dgm:spPr/>
      <dgm:t>
        <a:bodyPr/>
        <a:lstStyle/>
        <a:p>
          <a:r>
            <a:rPr lang="en-US"/>
            <a:t>Followership</a:t>
          </a:r>
        </a:p>
      </dgm:t>
    </dgm:pt>
    <dgm:pt modelId="{A6792258-91C0-804D-B95F-E50381EB625C}" type="parTrans" cxnId="{EF98D8C6-D3A7-7B48-8F48-3F25E79B33C8}">
      <dgm:prSet/>
      <dgm:spPr/>
      <dgm:t>
        <a:bodyPr/>
        <a:lstStyle/>
        <a:p>
          <a:endParaRPr lang="en-US"/>
        </a:p>
      </dgm:t>
    </dgm:pt>
    <dgm:pt modelId="{E20E3BF5-99C8-8245-99B7-165E4BE246DD}" type="sibTrans" cxnId="{EF98D8C6-D3A7-7B48-8F48-3F25E79B33C8}">
      <dgm:prSet/>
      <dgm:spPr/>
      <dgm:t>
        <a:bodyPr/>
        <a:lstStyle/>
        <a:p>
          <a:endParaRPr lang="en-US"/>
        </a:p>
      </dgm:t>
    </dgm:pt>
    <dgm:pt modelId="{956D9002-6061-B942-B0DA-CE16BFF75732}">
      <dgm:prSet phldrT="[Text]"/>
      <dgm:spPr/>
      <dgm:t>
        <a:bodyPr/>
        <a:lstStyle/>
        <a:p>
          <a:r>
            <a:rPr lang="en-US"/>
            <a:t>Need to be developed/taught</a:t>
          </a:r>
        </a:p>
      </dgm:t>
    </dgm:pt>
    <dgm:pt modelId="{F4EEDEF6-4117-F44F-8B41-44FDB9216FFC}" type="parTrans" cxnId="{B2EBC828-9969-6C4C-8632-979E3B33036F}">
      <dgm:prSet/>
      <dgm:spPr/>
      <dgm:t>
        <a:bodyPr/>
        <a:lstStyle/>
        <a:p>
          <a:endParaRPr lang="en-US"/>
        </a:p>
      </dgm:t>
    </dgm:pt>
    <dgm:pt modelId="{C4D39C69-9CB0-1C40-86AA-B79875E8BA64}" type="sibTrans" cxnId="{B2EBC828-9969-6C4C-8632-979E3B33036F}">
      <dgm:prSet/>
      <dgm:spPr/>
      <dgm:t>
        <a:bodyPr/>
        <a:lstStyle/>
        <a:p>
          <a:endParaRPr lang="en-US"/>
        </a:p>
      </dgm:t>
    </dgm:pt>
    <dgm:pt modelId="{856EA787-CE2C-9446-8127-ED7D7CD679C9}">
      <dgm:prSet phldrT="[Text]"/>
      <dgm:spPr/>
      <dgm:t>
        <a:bodyPr/>
        <a:lstStyle/>
        <a:p>
          <a:r>
            <a:rPr lang="en-US"/>
            <a:t>Judgment</a:t>
          </a:r>
        </a:p>
      </dgm:t>
    </dgm:pt>
    <dgm:pt modelId="{300938F6-30F0-4B40-B461-1B42D02A6BA6}" type="parTrans" cxnId="{430D8CC9-C74E-7F49-8771-6866D6E4699F}">
      <dgm:prSet/>
      <dgm:spPr/>
      <dgm:t>
        <a:bodyPr/>
        <a:lstStyle/>
        <a:p>
          <a:endParaRPr lang="en-US"/>
        </a:p>
      </dgm:t>
    </dgm:pt>
    <dgm:pt modelId="{F279EDE8-2DE5-5041-8364-31DA285C1FDD}" type="sibTrans" cxnId="{430D8CC9-C74E-7F49-8771-6866D6E4699F}">
      <dgm:prSet/>
      <dgm:spPr/>
      <dgm:t>
        <a:bodyPr/>
        <a:lstStyle/>
        <a:p>
          <a:endParaRPr lang="en-US"/>
        </a:p>
      </dgm:t>
    </dgm:pt>
    <dgm:pt modelId="{AC168014-FA6C-7841-9BC4-F17ECB7761CB}">
      <dgm:prSet phldrT="[Text]"/>
      <dgm:spPr/>
      <dgm:t>
        <a:bodyPr/>
        <a:lstStyle/>
        <a:p>
          <a:r>
            <a:rPr lang="en-US"/>
            <a:t>Self awareness - out of depth/limitations</a:t>
          </a:r>
        </a:p>
      </dgm:t>
    </dgm:pt>
    <dgm:pt modelId="{A2FF19F0-3221-8F4E-92A1-AEAC61288A70}" type="parTrans" cxnId="{E5CCED84-095C-7C41-BC33-1EA666DBF9AC}">
      <dgm:prSet/>
      <dgm:spPr/>
      <dgm:t>
        <a:bodyPr/>
        <a:lstStyle/>
        <a:p>
          <a:endParaRPr lang="en-US"/>
        </a:p>
      </dgm:t>
    </dgm:pt>
    <dgm:pt modelId="{191BC5BA-9CA1-F942-B732-008AECAA31B6}" type="sibTrans" cxnId="{E5CCED84-095C-7C41-BC33-1EA666DBF9AC}">
      <dgm:prSet/>
      <dgm:spPr/>
      <dgm:t>
        <a:bodyPr/>
        <a:lstStyle/>
        <a:p>
          <a:endParaRPr lang="en-US"/>
        </a:p>
      </dgm:t>
    </dgm:pt>
    <dgm:pt modelId="{B93C0988-DCBF-B148-9132-6F2FEE9E0401}">
      <dgm:prSet phldrT="[Text]"/>
      <dgm:spPr/>
      <dgm:t>
        <a:bodyPr/>
        <a:lstStyle/>
        <a:p>
          <a:r>
            <a:rPr lang="en-US"/>
            <a:t>Cognitive biases</a:t>
          </a:r>
        </a:p>
      </dgm:t>
    </dgm:pt>
    <dgm:pt modelId="{E3F4B3FD-A6FC-F440-9E19-E8FBF2228EE8}" type="parTrans" cxnId="{7FD81795-B5BF-1645-AA24-58F63AF6AE96}">
      <dgm:prSet/>
      <dgm:spPr/>
      <dgm:t>
        <a:bodyPr/>
        <a:lstStyle/>
        <a:p>
          <a:endParaRPr lang="en-US"/>
        </a:p>
      </dgm:t>
    </dgm:pt>
    <dgm:pt modelId="{EF284E42-67D2-0B49-A53E-8212C0BF76FB}" type="sibTrans" cxnId="{7FD81795-B5BF-1645-AA24-58F63AF6AE96}">
      <dgm:prSet/>
      <dgm:spPr/>
      <dgm:t>
        <a:bodyPr/>
        <a:lstStyle/>
        <a:p>
          <a:endParaRPr lang="en-US"/>
        </a:p>
      </dgm:t>
    </dgm:pt>
    <dgm:pt modelId="{D4EB47AB-B841-6841-BF1F-4618B1896E57}">
      <dgm:prSet phldrT="[Text]"/>
      <dgm:spPr/>
      <dgm:t>
        <a:bodyPr/>
        <a:lstStyle/>
        <a:p>
          <a:r>
            <a:rPr lang="en-US"/>
            <a:t>Cognitive biases</a:t>
          </a:r>
        </a:p>
      </dgm:t>
    </dgm:pt>
    <dgm:pt modelId="{A64EF9A3-69DE-F24E-8654-D2F054D773B6}" type="parTrans" cxnId="{B0478A78-D803-394E-AFEC-37760BBC896E}">
      <dgm:prSet/>
      <dgm:spPr/>
      <dgm:t>
        <a:bodyPr/>
        <a:lstStyle/>
        <a:p>
          <a:endParaRPr lang="en-US"/>
        </a:p>
      </dgm:t>
    </dgm:pt>
    <dgm:pt modelId="{BA9F418F-FC86-BC40-A76A-3842293AA614}" type="sibTrans" cxnId="{B0478A78-D803-394E-AFEC-37760BBC896E}">
      <dgm:prSet/>
      <dgm:spPr/>
      <dgm:t>
        <a:bodyPr/>
        <a:lstStyle/>
        <a:p>
          <a:endParaRPr lang="en-US"/>
        </a:p>
      </dgm:t>
    </dgm:pt>
    <dgm:pt modelId="{A7773666-78C5-1F4B-9A5B-42A1A5DD4ACB}">
      <dgm:prSet phldrT="[Text]"/>
      <dgm:spPr/>
      <dgm:t>
        <a:bodyPr/>
        <a:lstStyle/>
        <a:p>
          <a:r>
            <a:rPr lang="en-US"/>
            <a:t>Making safe decisions</a:t>
          </a:r>
        </a:p>
      </dgm:t>
    </dgm:pt>
    <dgm:pt modelId="{2D4981E3-E3D4-8345-B14C-81B6D63EBE77}" type="parTrans" cxnId="{45579EEE-ECDA-0343-840A-867E211480DA}">
      <dgm:prSet/>
      <dgm:spPr/>
      <dgm:t>
        <a:bodyPr/>
        <a:lstStyle/>
        <a:p>
          <a:endParaRPr lang="en-US"/>
        </a:p>
      </dgm:t>
    </dgm:pt>
    <dgm:pt modelId="{1FA6E879-F877-EA47-88FA-90667E3D0B92}" type="sibTrans" cxnId="{45579EEE-ECDA-0343-840A-867E211480DA}">
      <dgm:prSet/>
      <dgm:spPr/>
      <dgm:t>
        <a:bodyPr/>
        <a:lstStyle/>
        <a:p>
          <a:endParaRPr lang="en-US"/>
        </a:p>
      </dgm:t>
    </dgm:pt>
    <dgm:pt modelId="{F243EE4F-76FC-CA41-A5FF-2B3129A8F620}">
      <dgm:prSet phldrT="[Text]"/>
      <dgm:spPr/>
      <dgm:t>
        <a:bodyPr/>
        <a:lstStyle/>
        <a:p>
          <a:r>
            <a:rPr lang="en-US"/>
            <a:t>Interpersonal skills</a:t>
          </a:r>
        </a:p>
      </dgm:t>
    </dgm:pt>
    <dgm:pt modelId="{800E2FB5-C05F-6B4A-9D13-E50A011724F7}" type="parTrans" cxnId="{A374BF4C-09C3-654A-BDE2-78F8A60A9221}">
      <dgm:prSet/>
      <dgm:spPr/>
      <dgm:t>
        <a:bodyPr/>
        <a:lstStyle/>
        <a:p>
          <a:endParaRPr lang="en-US"/>
        </a:p>
      </dgm:t>
    </dgm:pt>
    <dgm:pt modelId="{DAD02AC2-EC5C-3249-A419-CA3AD573E2E9}" type="sibTrans" cxnId="{A374BF4C-09C3-654A-BDE2-78F8A60A9221}">
      <dgm:prSet/>
      <dgm:spPr/>
      <dgm:t>
        <a:bodyPr/>
        <a:lstStyle/>
        <a:p>
          <a:endParaRPr lang="en-US"/>
        </a:p>
      </dgm:t>
    </dgm:pt>
    <dgm:pt modelId="{D9721033-0FE4-8842-83C3-67DB6E8BA8E4}">
      <dgm:prSet phldrT="[Text]"/>
      <dgm:spPr/>
      <dgm:t>
        <a:bodyPr/>
        <a:lstStyle/>
        <a:p>
          <a:r>
            <a:rPr lang="en-US"/>
            <a:t>Clear effective communication - patient, team</a:t>
          </a:r>
        </a:p>
      </dgm:t>
    </dgm:pt>
    <dgm:pt modelId="{30800E3C-0620-9C44-B012-DA26127451AA}" type="parTrans" cxnId="{BE94288D-A1F8-F84C-BFED-F738483D078E}">
      <dgm:prSet/>
      <dgm:spPr/>
      <dgm:t>
        <a:bodyPr/>
        <a:lstStyle/>
        <a:p>
          <a:endParaRPr lang="en-US"/>
        </a:p>
      </dgm:t>
    </dgm:pt>
    <dgm:pt modelId="{D53D2074-1BE0-F940-8458-5D3D6297DD04}" type="sibTrans" cxnId="{BE94288D-A1F8-F84C-BFED-F738483D078E}">
      <dgm:prSet/>
      <dgm:spPr/>
      <dgm:t>
        <a:bodyPr/>
        <a:lstStyle/>
        <a:p>
          <a:endParaRPr lang="en-US"/>
        </a:p>
      </dgm:t>
    </dgm:pt>
    <dgm:pt modelId="{86AE39AF-DFE0-8242-A305-8F68A647E908}">
      <dgm:prSet phldrT="[Text]"/>
      <dgm:spPr/>
      <dgm:t>
        <a:bodyPr/>
        <a:lstStyle/>
        <a:p>
          <a:r>
            <a:rPr lang="en-US"/>
            <a:t>Managing stress and cognitive overload</a:t>
          </a:r>
        </a:p>
      </dgm:t>
    </dgm:pt>
    <dgm:pt modelId="{C7404958-5475-6F41-A60B-95F849CB8FC6}" type="parTrans" cxnId="{901668BC-CC6E-A947-97C4-15050CA599E8}">
      <dgm:prSet/>
      <dgm:spPr/>
      <dgm:t>
        <a:bodyPr/>
        <a:lstStyle/>
        <a:p>
          <a:endParaRPr lang="en-US"/>
        </a:p>
      </dgm:t>
    </dgm:pt>
    <dgm:pt modelId="{2CB280FF-04CC-4A47-B0EC-6C4B89FE8713}" type="sibTrans" cxnId="{901668BC-CC6E-A947-97C4-15050CA599E8}">
      <dgm:prSet/>
      <dgm:spPr/>
      <dgm:t>
        <a:bodyPr/>
        <a:lstStyle/>
        <a:p>
          <a:endParaRPr lang="en-US"/>
        </a:p>
      </dgm:t>
    </dgm:pt>
    <dgm:pt modelId="{9C8C34D5-834A-874F-B811-9F40BE927F2B}">
      <dgm:prSet phldrT="[Text]"/>
      <dgm:spPr/>
      <dgm:t>
        <a:bodyPr/>
        <a:lstStyle/>
        <a:p>
          <a:r>
            <a:rPr lang="en-US"/>
            <a:t>Clinical judgment</a:t>
          </a:r>
        </a:p>
      </dgm:t>
    </dgm:pt>
    <dgm:pt modelId="{F3EECDD6-4A32-F246-8F42-A976919D0BED}" type="parTrans" cxnId="{419682C4-EB49-E241-BFBB-5082BB4E9BAD}">
      <dgm:prSet/>
      <dgm:spPr/>
      <dgm:t>
        <a:bodyPr/>
        <a:lstStyle/>
        <a:p>
          <a:endParaRPr lang="en-US"/>
        </a:p>
      </dgm:t>
    </dgm:pt>
    <dgm:pt modelId="{B7092AB5-DEB7-CE4E-88E8-55F7E6AA9306}" type="sibTrans" cxnId="{419682C4-EB49-E241-BFBB-5082BB4E9BAD}">
      <dgm:prSet/>
      <dgm:spPr/>
      <dgm:t>
        <a:bodyPr/>
        <a:lstStyle/>
        <a:p>
          <a:endParaRPr lang="en-US"/>
        </a:p>
      </dgm:t>
    </dgm:pt>
    <dgm:pt modelId="{A49C2ADB-193B-524F-AF65-EAB58A1DB952}">
      <dgm:prSet phldrT="[Text]"/>
      <dgm:spPr/>
      <dgm:t>
        <a:bodyPr/>
        <a:lstStyle/>
        <a:p>
          <a:r>
            <a:rPr lang="en-US"/>
            <a:t>Emotional transferance - self and others</a:t>
          </a:r>
        </a:p>
      </dgm:t>
    </dgm:pt>
    <dgm:pt modelId="{FE5B3406-16AE-1943-85A3-D5032C507A49}" type="parTrans" cxnId="{0504E026-71E3-A74C-B380-3FA690691C9A}">
      <dgm:prSet/>
      <dgm:spPr/>
      <dgm:t>
        <a:bodyPr/>
        <a:lstStyle/>
        <a:p>
          <a:endParaRPr lang="en-US"/>
        </a:p>
      </dgm:t>
    </dgm:pt>
    <dgm:pt modelId="{28E85582-5516-794D-B0A6-AB99424FF805}" type="sibTrans" cxnId="{0504E026-71E3-A74C-B380-3FA690691C9A}">
      <dgm:prSet/>
      <dgm:spPr/>
      <dgm:t>
        <a:bodyPr/>
        <a:lstStyle/>
        <a:p>
          <a:endParaRPr lang="en-US"/>
        </a:p>
      </dgm:t>
    </dgm:pt>
    <dgm:pt modelId="{F6F0D6CB-BD2E-114D-A8CD-F7F04C42BF4C}">
      <dgm:prSet phldrT="[Text]"/>
      <dgm:spPr/>
      <dgm:t>
        <a:bodyPr/>
        <a:lstStyle/>
        <a:p>
          <a:r>
            <a:rPr lang="en-US"/>
            <a:t>Share anxieties and concerns</a:t>
          </a:r>
        </a:p>
      </dgm:t>
    </dgm:pt>
    <dgm:pt modelId="{50769273-CDDF-C14F-96C7-522349B93A3D}" type="parTrans" cxnId="{0D3FA636-6773-8744-A7D5-16F4FA3B80C3}">
      <dgm:prSet/>
      <dgm:spPr/>
      <dgm:t>
        <a:bodyPr/>
        <a:lstStyle/>
        <a:p>
          <a:endParaRPr lang="en-US"/>
        </a:p>
      </dgm:t>
    </dgm:pt>
    <dgm:pt modelId="{96E8F0F6-9753-C64C-A169-6E8750DC7159}" type="sibTrans" cxnId="{0D3FA636-6773-8744-A7D5-16F4FA3B80C3}">
      <dgm:prSet/>
      <dgm:spPr/>
      <dgm:t>
        <a:bodyPr/>
        <a:lstStyle/>
        <a:p>
          <a:endParaRPr lang="en-US"/>
        </a:p>
      </dgm:t>
    </dgm:pt>
    <dgm:pt modelId="{85EFC424-82F7-ED41-969B-F9D7E8EE0A03}">
      <dgm:prSet phldrT="[Text]"/>
      <dgm:spPr/>
      <dgm:t>
        <a:bodyPr/>
        <a:lstStyle/>
        <a:p>
          <a:r>
            <a:rPr lang="en-US"/>
            <a:t>Share concerns, anxieties</a:t>
          </a:r>
        </a:p>
      </dgm:t>
    </dgm:pt>
    <dgm:pt modelId="{81026411-69DE-6A44-AED1-A01CD96C2BEF}" type="parTrans" cxnId="{F8839CCF-2EB8-3C4B-9F2F-63C8DD8DDBD8}">
      <dgm:prSet/>
      <dgm:spPr/>
      <dgm:t>
        <a:bodyPr/>
        <a:lstStyle/>
        <a:p>
          <a:endParaRPr lang="en-US"/>
        </a:p>
      </dgm:t>
    </dgm:pt>
    <dgm:pt modelId="{C850EE4A-F575-4546-9129-E784C596FCF0}" type="sibTrans" cxnId="{F8839CCF-2EB8-3C4B-9F2F-63C8DD8DDBD8}">
      <dgm:prSet/>
      <dgm:spPr/>
      <dgm:t>
        <a:bodyPr/>
        <a:lstStyle/>
        <a:p>
          <a:endParaRPr lang="en-US"/>
        </a:p>
      </dgm:t>
    </dgm:pt>
    <dgm:pt modelId="{95B235FE-9454-384D-931B-107F48D8CAE6}">
      <dgm:prSet phldrT="[Text]"/>
      <dgm:spPr/>
      <dgm:t>
        <a:bodyPr/>
        <a:lstStyle/>
        <a:p>
          <a:r>
            <a:rPr lang="en-US"/>
            <a:t>Not always natural or inherent</a:t>
          </a:r>
        </a:p>
      </dgm:t>
    </dgm:pt>
    <dgm:pt modelId="{839BD5A3-6F8C-B84A-B4C6-A048C6E11A65}" type="parTrans" cxnId="{B9871004-C58F-954B-A89C-B584D2531141}">
      <dgm:prSet/>
      <dgm:spPr/>
      <dgm:t>
        <a:bodyPr/>
        <a:lstStyle/>
        <a:p>
          <a:endParaRPr lang="en-US"/>
        </a:p>
      </dgm:t>
    </dgm:pt>
    <dgm:pt modelId="{ADB1819E-FB61-214F-A46D-3691C01D9A62}" type="sibTrans" cxnId="{B9871004-C58F-954B-A89C-B584D2531141}">
      <dgm:prSet/>
      <dgm:spPr/>
      <dgm:t>
        <a:bodyPr/>
        <a:lstStyle/>
        <a:p>
          <a:endParaRPr lang="en-US"/>
        </a:p>
      </dgm:t>
    </dgm:pt>
    <dgm:pt modelId="{E4EF7ED9-07E3-944C-8275-C33166473E21}" type="pres">
      <dgm:prSet presAssocID="{FE1751E1-3F1E-D94B-A0C3-76D79C4B0773}" presName="cycle" presStyleCnt="0">
        <dgm:presLayoutVars>
          <dgm:chMax val="1"/>
          <dgm:dir/>
          <dgm:animLvl val="ctr"/>
          <dgm:resizeHandles val="exact"/>
        </dgm:presLayoutVars>
      </dgm:prSet>
      <dgm:spPr/>
    </dgm:pt>
    <dgm:pt modelId="{3DB2AB6D-2C3D-1E4E-B93A-F03DD3E4499F}" type="pres">
      <dgm:prSet presAssocID="{0B67CD58-EDD1-C04D-84A1-BB5BF2C04157}" presName="centerShape" presStyleLbl="node0" presStyleIdx="0" presStyleCnt="1"/>
      <dgm:spPr/>
    </dgm:pt>
    <dgm:pt modelId="{A497D1FC-DDDB-2C4A-9EA5-826561DFEBEE}" type="pres">
      <dgm:prSet presAssocID="{5816A658-5C81-4641-8D32-0AF00BC36D01}" presName="parTrans" presStyleLbl="bgSibTrans2D1" presStyleIdx="0" presStyleCnt="7"/>
      <dgm:spPr/>
    </dgm:pt>
    <dgm:pt modelId="{6BFCB608-E1C8-A44C-B4DC-7CF993D08046}" type="pres">
      <dgm:prSet presAssocID="{F60F79AB-2DE0-2D40-9AA3-5AAE502E6629}" presName="node" presStyleLbl="node1" presStyleIdx="0" presStyleCnt="7">
        <dgm:presLayoutVars>
          <dgm:bulletEnabled val="1"/>
        </dgm:presLayoutVars>
      </dgm:prSet>
      <dgm:spPr/>
    </dgm:pt>
    <dgm:pt modelId="{E104A347-F2D7-954A-BFAC-2CBA82040849}" type="pres">
      <dgm:prSet presAssocID="{3C6962A8-0167-4F46-A556-974F387728A0}" presName="parTrans" presStyleLbl="bgSibTrans2D1" presStyleIdx="1" presStyleCnt="7"/>
      <dgm:spPr/>
    </dgm:pt>
    <dgm:pt modelId="{4D10A843-E004-C846-BF56-5CD75CC371BB}" type="pres">
      <dgm:prSet presAssocID="{ACD894AA-DB35-E94D-9588-7CDFDECD6033}" presName="node" presStyleLbl="node1" presStyleIdx="1" presStyleCnt="7">
        <dgm:presLayoutVars>
          <dgm:bulletEnabled val="1"/>
        </dgm:presLayoutVars>
      </dgm:prSet>
      <dgm:spPr/>
    </dgm:pt>
    <dgm:pt modelId="{E25373DC-8DB4-8D48-8414-D1647F84B51E}" type="pres">
      <dgm:prSet presAssocID="{2BA91286-EC08-DB4F-97C7-4ECACEA93B48}" presName="parTrans" presStyleLbl="bgSibTrans2D1" presStyleIdx="2" presStyleCnt="7"/>
      <dgm:spPr/>
    </dgm:pt>
    <dgm:pt modelId="{5225A863-55AB-6B4B-B01D-8C07FAA060DD}" type="pres">
      <dgm:prSet presAssocID="{79945C96-09D6-5040-913C-3775522CE47E}" presName="node" presStyleLbl="node1" presStyleIdx="2" presStyleCnt="7">
        <dgm:presLayoutVars>
          <dgm:bulletEnabled val="1"/>
        </dgm:presLayoutVars>
      </dgm:prSet>
      <dgm:spPr/>
    </dgm:pt>
    <dgm:pt modelId="{C24CAF39-4A84-F24A-A25B-BE04CF216A52}" type="pres">
      <dgm:prSet presAssocID="{B7291225-F4CE-5947-8F72-810B1D0C81AD}" presName="parTrans" presStyleLbl="bgSibTrans2D1" presStyleIdx="3" presStyleCnt="7"/>
      <dgm:spPr/>
    </dgm:pt>
    <dgm:pt modelId="{7D0803B9-B602-774A-ADCB-9C2D3A3D8A17}" type="pres">
      <dgm:prSet presAssocID="{BFDEC97A-A41B-6A4E-BF22-C521612CDD68}" presName="node" presStyleLbl="node1" presStyleIdx="3" presStyleCnt="7">
        <dgm:presLayoutVars>
          <dgm:bulletEnabled val="1"/>
        </dgm:presLayoutVars>
      </dgm:prSet>
      <dgm:spPr/>
    </dgm:pt>
    <dgm:pt modelId="{99BCC8A2-7C6F-2943-9BFC-B0FD382529CA}" type="pres">
      <dgm:prSet presAssocID="{492EDCAA-358F-6C47-9E1E-D1E8451021B6}" presName="parTrans" presStyleLbl="bgSibTrans2D1" presStyleIdx="4" presStyleCnt="7"/>
      <dgm:spPr/>
    </dgm:pt>
    <dgm:pt modelId="{867A7739-CD9E-1343-9DFC-83AC99A30E2D}" type="pres">
      <dgm:prSet presAssocID="{4D5BF561-B43B-2F46-AA8F-CBB7193EE12D}" presName="node" presStyleLbl="node1" presStyleIdx="4" presStyleCnt="7">
        <dgm:presLayoutVars>
          <dgm:bulletEnabled val="1"/>
        </dgm:presLayoutVars>
      </dgm:prSet>
      <dgm:spPr/>
    </dgm:pt>
    <dgm:pt modelId="{04434B59-1878-3641-A499-0E30CC29B520}" type="pres">
      <dgm:prSet presAssocID="{6FB57C5C-B791-2240-B97B-CC77FC4D6ABC}" presName="parTrans" presStyleLbl="bgSibTrans2D1" presStyleIdx="5" presStyleCnt="7"/>
      <dgm:spPr/>
    </dgm:pt>
    <dgm:pt modelId="{F63FF624-AA9B-4A40-8042-4E9134D6A794}" type="pres">
      <dgm:prSet presAssocID="{90056894-5C25-6F4B-BF8F-BEAE1377D4FD}" presName="node" presStyleLbl="node1" presStyleIdx="5" presStyleCnt="7">
        <dgm:presLayoutVars>
          <dgm:bulletEnabled val="1"/>
        </dgm:presLayoutVars>
      </dgm:prSet>
      <dgm:spPr/>
    </dgm:pt>
    <dgm:pt modelId="{182E8D4C-E321-D54F-BE1A-473C414C50FC}" type="pres">
      <dgm:prSet presAssocID="{F4EEDEF6-4117-F44F-8B41-44FDB9216FFC}" presName="parTrans" presStyleLbl="bgSibTrans2D1" presStyleIdx="6" presStyleCnt="7"/>
      <dgm:spPr/>
    </dgm:pt>
    <dgm:pt modelId="{59E22410-5392-A44D-9CF6-CD005513657D}" type="pres">
      <dgm:prSet presAssocID="{956D9002-6061-B942-B0DA-CE16BFF75732}" presName="node" presStyleLbl="node1" presStyleIdx="6" presStyleCnt="7">
        <dgm:presLayoutVars>
          <dgm:bulletEnabled val="1"/>
        </dgm:presLayoutVars>
      </dgm:prSet>
      <dgm:spPr/>
    </dgm:pt>
  </dgm:ptLst>
  <dgm:cxnLst>
    <dgm:cxn modelId="{F9347E01-FB92-A041-9CB9-692ED868A963}" srcId="{4D5BF561-B43B-2F46-AA8F-CBB7193EE12D}" destId="{75C5604D-C05D-9F47-A59A-8159F4A4A980}" srcOrd="0" destOrd="0" parTransId="{50AD767D-E389-AA4A-874C-614E5C012A48}" sibTransId="{FD03075A-B51A-4C4B-B890-185A8FF36E4B}"/>
    <dgm:cxn modelId="{B9871004-C58F-954B-A89C-B584D2531141}" srcId="{956D9002-6061-B942-B0DA-CE16BFF75732}" destId="{95B235FE-9454-384D-931B-107F48D8CAE6}" srcOrd="0" destOrd="0" parTransId="{839BD5A3-6F8C-B84A-B4C6-A048C6E11A65}" sibTransId="{ADB1819E-FB61-214F-A46D-3691C01D9A62}"/>
    <dgm:cxn modelId="{38A04F0A-D5AA-624C-A573-9DF966C413A0}" type="presOf" srcId="{F60F79AB-2DE0-2D40-9AA3-5AAE502E6629}" destId="{6BFCB608-E1C8-A44C-B4DC-7CF993D08046}" srcOrd="0" destOrd="0" presId="urn:microsoft.com/office/officeart/2005/8/layout/radial4"/>
    <dgm:cxn modelId="{03453920-31EE-7D46-A6DF-2AFDFE936522}" type="presOf" srcId="{85EFC424-82F7-ED41-969B-F9D7E8EE0A03}" destId="{7D0803B9-B602-774A-ADCB-9C2D3A3D8A17}" srcOrd="0" destOrd="4" presId="urn:microsoft.com/office/officeart/2005/8/layout/radial4"/>
    <dgm:cxn modelId="{8C14A626-1B35-5842-88D0-6112EDB233AC}" type="presOf" srcId="{AC168014-FA6C-7841-9BC4-F17ECB7761CB}" destId="{6BFCB608-E1C8-A44C-B4DC-7CF993D08046}" srcOrd="0" destOrd="2" presId="urn:microsoft.com/office/officeart/2005/8/layout/radial4"/>
    <dgm:cxn modelId="{0504E026-71E3-A74C-B380-3FA690691C9A}" srcId="{79945C96-09D6-5040-913C-3775522CE47E}" destId="{A49C2ADB-193B-524F-AF65-EAB58A1DB952}" srcOrd="2" destOrd="0" parTransId="{FE5B3406-16AE-1943-85A3-D5032C507A49}" sibTransId="{28E85582-5516-794D-B0A6-AB99424FF805}"/>
    <dgm:cxn modelId="{B2EBC828-9969-6C4C-8632-979E3B33036F}" srcId="{0B67CD58-EDD1-C04D-84A1-BB5BF2C04157}" destId="{956D9002-6061-B942-B0DA-CE16BFF75732}" srcOrd="6" destOrd="0" parTransId="{F4EEDEF6-4117-F44F-8B41-44FDB9216FFC}" sibTransId="{C4D39C69-9CB0-1C40-86AA-B79875E8BA64}"/>
    <dgm:cxn modelId="{9B63382A-7ED0-B44F-9653-A821406F7B0B}" type="presOf" srcId="{2BA91286-EC08-DB4F-97C7-4ECACEA93B48}" destId="{E25373DC-8DB4-8D48-8414-D1647F84B51E}" srcOrd="0" destOrd="0" presId="urn:microsoft.com/office/officeart/2005/8/layout/radial4"/>
    <dgm:cxn modelId="{BD1FF62B-E4CC-7E48-A736-20F6A44E443F}" type="presOf" srcId="{6FB57C5C-B791-2240-B97B-CC77FC4D6ABC}" destId="{04434B59-1878-3641-A499-0E30CC29B520}" srcOrd="0" destOrd="0" presId="urn:microsoft.com/office/officeart/2005/8/layout/radial4"/>
    <dgm:cxn modelId="{70328931-39CD-B249-A1C6-0CE703105B0E}" srcId="{BFDEC97A-A41B-6A4E-BF22-C521612CDD68}" destId="{CDDD0D40-21A2-6449-A2F2-D453A821497D}" srcOrd="2" destOrd="0" parTransId="{0B958589-BAF8-C645-AD96-FADD7BE7CB69}" sibTransId="{CF401972-71C2-424F-A1E2-BADE502CC43B}"/>
    <dgm:cxn modelId="{9F193632-A25F-DB4F-8F9A-9AAB11CC40C4}" type="presOf" srcId="{B7291225-F4CE-5947-8F72-810B1D0C81AD}" destId="{C24CAF39-4A84-F24A-A25B-BE04CF216A52}" srcOrd="0" destOrd="0" presId="urn:microsoft.com/office/officeart/2005/8/layout/radial4"/>
    <dgm:cxn modelId="{4C563D32-8C56-9E43-A398-61FD061E16D5}" type="presOf" srcId="{CDDD0D40-21A2-6449-A2F2-D453A821497D}" destId="{7D0803B9-B602-774A-ADCB-9C2D3A3D8A17}" srcOrd="0" destOrd="3" presId="urn:microsoft.com/office/officeart/2005/8/layout/radial4"/>
    <dgm:cxn modelId="{81B93636-3B24-FF42-AB13-4A1FD2CBD20F}" type="presOf" srcId="{956D9002-6061-B942-B0DA-CE16BFF75732}" destId="{59E22410-5392-A44D-9CF6-CD005513657D}" srcOrd="0" destOrd="0" presId="urn:microsoft.com/office/officeart/2005/8/layout/radial4"/>
    <dgm:cxn modelId="{0D3FA636-6773-8744-A7D5-16F4FA3B80C3}" srcId="{79945C96-09D6-5040-913C-3775522CE47E}" destId="{F6F0D6CB-BD2E-114D-A8CD-F7F04C42BF4C}" srcOrd="3" destOrd="0" parTransId="{50769273-CDDF-C14F-96C7-522349B93A3D}" sibTransId="{96E8F0F6-9753-C64C-A169-6E8750DC7159}"/>
    <dgm:cxn modelId="{4386BF36-FE5F-1247-866A-D2FC915C844D}" type="presOf" srcId="{90056894-5C25-6F4B-BF8F-BEAE1377D4FD}" destId="{F63FF624-AA9B-4A40-8042-4E9134D6A794}" srcOrd="0" destOrd="0" presId="urn:microsoft.com/office/officeart/2005/8/layout/radial4"/>
    <dgm:cxn modelId="{CFB0B338-B003-574C-81B5-797B7F8D9792}" type="presOf" srcId="{856EA787-CE2C-9446-8127-ED7D7CD679C9}" destId="{6BFCB608-E1C8-A44C-B4DC-7CF993D08046}" srcOrd="0" destOrd="1" presId="urn:microsoft.com/office/officeart/2005/8/layout/radial4"/>
    <dgm:cxn modelId="{1EF0FC3C-4C90-2C44-A100-F52C8966C731}" srcId="{BFDEC97A-A41B-6A4E-BF22-C521612CDD68}" destId="{D16CECB1-CCD0-1148-B846-24AC2B49B2C2}" srcOrd="0" destOrd="0" parTransId="{9A60AFD4-62B8-684E-AB46-3F43F2D1E47C}" sibTransId="{6B026264-CF21-3F46-99E4-6F56FC936F32}"/>
    <dgm:cxn modelId="{623DA75C-C75C-9146-B9B2-0080CFEF155D}" srcId="{90056894-5C25-6F4B-BF8F-BEAE1377D4FD}" destId="{CA09C7CF-2215-5548-82B2-9C39836268EB}" srcOrd="0" destOrd="0" parTransId="{BF5E18E4-0CB3-3F46-8FF8-21700394F48A}" sibTransId="{407587F2-8CF9-A94A-9E41-52917D1C20E5}"/>
    <dgm:cxn modelId="{2F3E665D-DBBB-1F4C-BC05-1FACAF25F865}" type="presOf" srcId="{D4EB47AB-B841-6841-BF1F-4618B1896E57}" destId="{4D10A843-E004-C846-BF56-5CD75CC371BB}" srcOrd="0" destOrd="1" presId="urn:microsoft.com/office/officeart/2005/8/layout/radial4"/>
    <dgm:cxn modelId="{D1DFB463-11B4-D740-AA93-A967819109FA}" type="presOf" srcId="{A7773666-78C5-1F4B-9A5B-42A1A5DD4ACB}" destId="{4D10A843-E004-C846-BF56-5CD75CC371BB}" srcOrd="0" destOrd="2" presId="urn:microsoft.com/office/officeart/2005/8/layout/radial4"/>
    <dgm:cxn modelId="{95ECBE63-487D-0241-8711-587687F97D02}" type="presOf" srcId="{D9721033-0FE4-8842-83C3-67DB6E8BA8E4}" destId="{5225A863-55AB-6B4B-B01D-8C07FAA060DD}" srcOrd="0" destOrd="2" presId="urn:microsoft.com/office/officeart/2005/8/layout/radial4"/>
    <dgm:cxn modelId="{6ECD0964-669F-A34A-A55B-FE090D120F5A}" type="presOf" srcId="{492EDCAA-358F-6C47-9E1E-D1E8451021B6}" destId="{99BCC8A2-7C6F-2943-9BFC-B0FD382529CA}" srcOrd="0" destOrd="0" presId="urn:microsoft.com/office/officeart/2005/8/layout/radial4"/>
    <dgm:cxn modelId="{9C5F3F46-775F-224F-ACE9-048AD8B0618C}" type="presOf" srcId="{0B67CD58-EDD1-C04D-84A1-BB5BF2C04157}" destId="{3DB2AB6D-2C3D-1E4E-B93A-F03DD3E4499F}" srcOrd="0" destOrd="0" presId="urn:microsoft.com/office/officeart/2005/8/layout/radial4"/>
    <dgm:cxn modelId="{A7DDF266-2090-8A45-A185-E03179B3FDA1}" type="presOf" srcId="{CA09C7CF-2215-5548-82B2-9C39836268EB}" destId="{F63FF624-AA9B-4A40-8042-4E9134D6A794}" srcOrd="0" destOrd="1" presId="urn:microsoft.com/office/officeart/2005/8/layout/radial4"/>
    <dgm:cxn modelId="{A5D8AA4B-7D8E-A143-8296-3B128127AE8E}" type="presOf" srcId="{FE1751E1-3F1E-D94B-A0C3-76D79C4B0773}" destId="{E4EF7ED9-07E3-944C-8275-C33166473E21}" srcOrd="0" destOrd="0" presId="urn:microsoft.com/office/officeart/2005/8/layout/radial4"/>
    <dgm:cxn modelId="{150C3B4C-F289-8144-BED8-44D589BDC2AD}" srcId="{FE1751E1-3F1E-D94B-A0C3-76D79C4B0773}" destId="{0B67CD58-EDD1-C04D-84A1-BB5BF2C04157}" srcOrd="0" destOrd="0" parTransId="{4F9C6B24-0E35-F24B-8F86-0C5DAD6621E5}" sibTransId="{27D5F63E-2756-394E-AB4C-5207FEE431A7}"/>
    <dgm:cxn modelId="{A374BF4C-09C3-654A-BDE2-78F8A60A9221}" srcId="{79945C96-09D6-5040-913C-3775522CE47E}" destId="{F243EE4F-76FC-CA41-A5FF-2B3129A8F620}" srcOrd="0" destOrd="0" parTransId="{800E2FB5-C05F-6B4A-9D13-E50A011724F7}" sibTransId="{DAD02AC2-EC5C-3249-A419-CA3AD573E2E9}"/>
    <dgm:cxn modelId="{6805716F-8724-054A-9E5B-75047BBDABE3}" srcId="{BFDEC97A-A41B-6A4E-BF22-C521612CDD68}" destId="{449F5D03-D94F-5542-B774-5B108C570100}" srcOrd="1" destOrd="0" parTransId="{DF41AF58-A6F0-1742-8D8A-A0D91EBE29D9}" sibTransId="{1CAB3DF8-FDF1-0648-BB98-057AD2CC909A}"/>
    <dgm:cxn modelId="{8D418E76-C4C2-3C4F-9BC9-3F98997CE2D6}" type="presOf" srcId="{75C5604D-C05D-9F47-A59A-8159F4A4A980}" destId="{867A7739-CD9E-1343-9DFC-83AC99A30E2D}" srcOrd="0" destOrd="1" presId="urn:microsoft.com/office/officeart/2005/8/layout/radial4"/>
    <dgm:cxn modelId="{3BED5078-7C83-2B4F-88F5-D28DAD3FCCEC}" type="presOf" srcId="{BFDEC97A-A41B-6A4E-BF22-C521612CDD68}" destId="{7D0803B9-B602-774A-ADCB-9C2D3A3D8A17}" srcOrd="0" destOrd="0" presId="urn:microsoft.com/office/officeart/2005/8/layout/radial4"/>
    <dgm:cxn modelId="{B0478A78-D803-394E-AFEC-37760BBC896E}" srcId="{ACD894AA-DB35-E94D-9588-7CDFDECD6033}" destId="{D4EB47AB-B841-6841-BF1F-4618B1896E57}" srcOrd="0" destOrd="0" parTransId="{A64EF9A3-69DE-F24E-8654-D2F054D773B6}" sibTransId="{BA9F418F-FC86-BC40-A76A-3842293AA614}"/>
    <dgm:cxn modelId="{D50BBC5A-1197-AD45-AF0E-5ED827AF6344}" type="presOf" srcId="{A49C2ADB-193B-524F-AF65-EAB58A1DB952}" destId="{5225A863-55AB-6B4B-B01D-8C07FAA060DD}" srcOrd="0" destOrd="3" presId="urn:microsoft.com/office/officeart/2005/8/layout/radial4"/>
    <dgm:cxn modelId="{C88F007D-AE46-EA45-B64B-3B1900E86074}" srcId="{0B67CD58-EDD1-C04D-84A1-BB5BF2C04157}" destId="{4D5BF561-B43B-2F46-AA8F-CBB7193EE12D}" srcOrd="4" destOrd="0" parTransId="{492EDCAA-358F-6C47-9E1E-D1E8451021B6}" sibTransId="{525CDDF9-56EE-744D-ADB2-F95FA014594C}"/>
    <dgm:cxn modelId="{E5CCED84-095C-7C41-BC33-1EA666DBF9AC}" srcId="{F60F79AB-2DE0-2D40-9AA3-5AAE502E6629}" destId="{AC168014-FA6C-7841-9BC4-F17ECB7761CB}" srcOrd="1" destOrd="0" parTransId="{A2FF19F0-3221-8F4E-92A1-AEAC61288A70}" sibTransId="{191BC5BA-9CA1-F942-B732-008AECAA31B6}"/>
    <dgm:cxn modelId="{AB32DA87-3D75-4940-B6E6-E43A70724B6C}" type="presOf" srcId="{ACD894AA-DB35-E94D-9588-7CDFDECD6033}" destId="{4D10A843-E004-C846-BF56-5CD75CC371BB}" srcOrd="0" destOrd="0" presId="urn:microsoft.com/office/officeart/2005/8/layout/radial4"/>
    <dgm:cxn modelId="{D0C3258D-006F-324B-A2A0-5ECB377595E9}" srcId="{0B67CD58-EDD1-C04D-84A1-BB5BF2C04157}" destId="{F60F79AB-2DE0-2D40-9AA3-5AAE502E6629}" srcOrd="0" destOrd="0" parTransId="{5816A658-5C81-4641-8D32-0AF00BC36D01}" sibTransId="{F725802F-9095-7B4B-B58E-F3B2656AF74A}"/>
    <dgm:cxn modelId="{BE94288D-A1F8-F84C-BFED-F738483D078E}" srcId="{79945C96-09D6-5040-913C-3775522CE47E}" destId="{D9721033-0FE4-8842-83C3-67DB6E8BA8E4}" srcOrd="1" destOrd="0" parTransId="{30800E3C-0620-9C44-B012-DA26127451AA}" sibTransId="{D53D2074-1BE0-F940-8458-5D3D6297DD04}"/>
    <dgm:cxn modelId="{370A9B8E-E5EE-8E47-B4DB-2FE2CACCA7B6}" srcId="{0B67CD58-EDD1-C04D-84A1-BB5BF2C04157}" destId="{BFDEC97A-A41B-6A4E-BF22-C521612CDD68}" srcOrd="3" destOrd="0" parTransId="{B7291225-F4CE-5947-8F72-810B1D0C81AD}" sibTransId="{2D338880-CE8D-4348-B954-408FEFAF1847}"/>
    <dgm:cxn modelId="{7FD81795-B5BF-1645-AA24-58F63AF6AE96}" srcId="{F60F79AB-2DE0-2D40-9AA3-5AAE502E6629}" destId="{B93C0988-DCBF-B148-9132-6F2FEE9E0401}" srcOrd="2" destOrd="0" parTransId="{E3F4B3FD-A6FC-F440-9E19-E8FBF2228EE8}" sibTransId="{EF284E42-67D2-0B49-A53E-8212C0BF76FB}"/>
    <dgm:cxn modelId="{1FA87B9D-1AE3-9C40-916C-38C956485F8F}" type="presOf" srcId="{9C8C34D5-834A-874F-B811-9F40BE927F2B}" destId="{867A7739-CD9E-1343-9DFC-83AC99A30E2D}" srcOrd="0" destOrd="2" presId="urn:microsoft.com/office/officeart/2005/8/layout/radial4"/>
    <dgm:cxn modelId="{152B7CAD-FC6A-F54C-A050-6041230624FB}" type="presOf" srcId="{5816A658-5C81-4641-8D32-0AF00BC36D01}" destId="{A497D1FC-DDDB-2C4A-9EA5-826561DFEBEE}" srcOrd="0" destOrd="0" presId="urn:microsoft.com/office/officeart/2005/8/layout/radial4"/>
    <dgm:cxn modelId="{CDCD92B6-DEEB-8C4D-A5E5-A8E7EF9C8CD6}" srcId="{0B67CD58-EDD1-C04D-84A1-BB5BF2C04157}" destId="{79945C96-09D6-5040-913C-3775522CE47E}" srcOrd="2" destOrd="0" parTransId="{2BA91286-EC08-DB4F-97C7-4ECACEA93B48}" sibTransId="{561F1F5C-31F2-AD46-972B-75CD8B274C7C}"/>
    <dgm:cxn modelId="{901668BC-CC6E-A947-97C4-15050CA599E8}" srcId="{F60F79AB-2DE0-2D40-9AA3-5AAE502E6629}" destId="{86AE39AF-DFE0-8242-A305-8F68A647E908}" srcOrd="3" destOrd="0" parTransId="{C7404958-5475-6F41-A60B-95F849CB8FC6}" sibTransId="{2CB280FF-04CC-4A47-B0EC-6C4B89FE8713}"/>
    <dgm:cxn modelId="{419682C4-EB49-E241-BFBB-5082BB4E9BAD}" srcId="{4D5BF561-B43B-2F46-AA8F-CBB7193EE12D}" destId="{9C8C34D5-834A-874F-B811-9F40BE927F2B}" srcOrd="1" destOrd="0" parTransId="{F3EECDD6-4A32-F246-8F42-A976919D0BED}" sibTransId="{B7092AB5-DEB7-CE4E-88E8-55F7E6AA9306}"/>
    <dgm:cxn modelId="{EF98D8C6-D3A7-7B48-8F48-3F25E79B33C8}" srcId="{90056894-5C25-6F4B-BF8F-BEAE1377D4FD}" destId="{DB1C8366-0F72-3341-A30D-FDC0A8C4B024}" srcOrd="1" destOrd="0" parTransId="{A6792258-91C0-804D-B95F-E50381EB625C}" sibTransId="{E20E3BF5-99C8-8245-99B7-165E4BE246DD}"/>
    <dgm:cxn modelId="{430D8CC9-C74E-7F49-8771-6866D6E4699F}" srcId="{F60F79AB-2DE0-2D40-9AA3-5AAE502E6629}" destId="{856EA787-CE2C-9446-8127-ED7D7CD679C9}" srcOrd="0" destOrd="0" parTransId="{300938F6-30F0-4B40-B461-1B42D02A6BA6}" sibTransId="{F279EDE8-2DE5-5041-8364-31DA285C1FDD}"/>
    <dgm:cxn modelId="{12A5AACA-85CE-1E48-9000-B4681E66B268}" type="presOf" srcId="{F243EE4F-76FC-CA41-A5FF-2B3129A8F620}" destId="{5225A863-55AB-6B4B-B01D-8C07FAA060DD}" srcOrd="0" destOrd="1" presId="urn:microsoft.com/office/officeart/2005/8/layout/radial4"/>
    <dgm:cxn modelId="{F8839CCF-2EB8-3C4B-9F2F-63C8DD8DDBD8}" srcId="{BFDEC97A-A41B-6A4E-BF22-C521612CDD68}" destId="{85EFC424-82F7-ED41-969B-F9D7E8EE0A03}" srcOrd="3" destOrd="0" parTransId="{81026411-69DE-6A44-AED1-A01CD96C2BEF}" sibTransId="{C850EE4A-F575-4546-9129-E784C596FCF0}"/>
    <dgm:cxn modelId="{860810D4-6FC4-8C4E-943E-C2C45679B401}" type="presOf" srcId="{F4EEDEF6-4117-F44F-8B41-44FDB9216FFC}" destId="{182E8D4C-E321-D54F-BE1A-473C414C50FC}" srcOrd="0" destOrd="0" presId="urn:microsoft.com/office/officeart/2005/8/layout/radial4"/>
    <dgm:cxn modelId="{ECD9C2D7-812A-C94B-840B-4C1D5F6FE791}" type="presOf" srcId="{86AE39AF-DFE0-8242-A305-8F68A647E908}" destId="{6BFCB608-E1C8-A44C-B4DC-7CF993D08046}" srcOrd="0" destOrd="4" presId="urn:microsoft.com/office/officeart/2005/8/layout/radial4"/>
    <dgm:cxn modelId="{89D7CDD7-88FF-3F43-95B3-D87B9BF19068}" type="presOf" srcId="{79945C96-09D6-5040-913C-3775522CE47E}" destId="{5225A863-55AB-6B4B-B01D-8C07FAA060DD}" srcOrd="0" destOrd="0" presId="urn:microsoft.com/office/officeart/2005/8/layout/radial4"/>
    <dgm:cxn modelId="{E5E860D8-4704-184E-A98A-5A007380190B}" type="presOf" srcId="{DB1C8366-0F72-3341-A30D-FDC0A8C4B024}" destId="{F63FF624-AA9B-4A40-8042-4E9134D6A794}" srcOrd="0" destOrd="2" presId="urn:microsoft.com/office/officeart/2005/8/layout/radial4"/>
    <dgm:cxn modelId="{4CA103E0-1D59-A240-B29A-EACCBB50FF3A}" type="presOf" srcId="{95B235FE-9454-384D-931B-107F48D8CAE6}" destId="{59E22410-5392-A44D-9CF6-CD005513657D}" srcOrd="0" destOrd="1" presId="urn:microsoft.com/office/officeart/2005/8/layout/radial4"/>
    <dgm:cxn modelId="{F19BDFED-1DE2-8D45-9B85-49A07856FBA8}" type="presOf" srcId="{B93C0988-DCBF-B148-9132-6F2FEE9E0401}" destId="{6BFCB608-E1C8-A44C-B4DC-7CF993D08046}" srcOrd="0" destOrd="3" presId="urn:microsoft.com/office/officeart/2005/8/layout/radial4"/>
    <dgm:cxn modelId="{45579EEE-ECDA-0343-840A-867E211480DA}" srcId="{ACD894AA-DB35-E94D-9588-7CDFDECD6033}" destId="{A7773666-78C5-1F4B-9A5B-42A1A5DD4ACB}" srcOrd="1" destOrd="0" parTransId="{2D4981E3-E3D4-8345-B14C-81B6D63EBE77}" sibTransId="{1FA6E879-F877-EA47-88FA-90667E3D0B92}"/>
    <dgm:cxn modelId="{9846ACEF-5F45-DE4F-B6FC-BE20B0910D17}" type="presOf" srcId="{449F5D03-D94F-5542-B774-5B108C570100}" destId="{7D0803B9-B602-774A-ADCB-9C2D3A3D8A17}" srcOrd="0" destOrd="2" presId="urn:microsoft.com/office/officeart/2005/8/layout/radial4"/>
    <dgm:cxn modelId="{898594F2-B58B-7F49-B600-1FEF491053AE}" type="presOf" srcId="{4D5BF561-B43B-2F46-AA8F-CBB7193EE12D}" destId="{867A7739-CD9E-1343-9DFC-83AC99A30E2D}" srcOrd="0" destOrd="0" presId="urn:microsoft.com/office/officeart/2005/8/layout/radial4"/>
    <dgm:cxn modelId="{3D80E2F3-2D5E-984F-B657-1473F3443115}" type="presOf" srcId="{F6F0D6CB-BD2E-114D-A8CD-F7F04C42BF4C}" destId="{5225A863-55AB-6B4B-B01D-8C07FAA060DD}" srcOrd="0" destOrd="4" presId="urn:microsoft.com/office/officeart/2005/8/layout/radial4"/>
    <dgm:cxn modelId="{199C24F4-F74F-8F4B-9FD1-764D4B38199E}" srcId="{0B67CD58-EDD1-C04D-84A1-BB5BF2C04157}" destId="{90056894-5C25-6F4B-BF8F-BEAE1377D4FD}" srcOrd="5" destOrd="0" parTransId="{6FB57C5C-B791-2240-B97B-CC77FC4D6ABC}" sibTransId="{0B92BE70-1CA2-D14A-B18B-3B402425AB18}"/>
    <dgm:cxn modelId="{C3592FF4-9BFA-694A-B831-EA2BBC4D38B0}" type="presOf" srcId="{D16CECB1-CCD0-1148-B846-24AC2B49B2C2}" destId="{7D0803B9-B602-774A-ADCB-9C2D3A3D8A17}" srcOrd="0" destOrd="1" presId="urn:microsoft.com/office/officeart/2005/8/layout/radial4"/>
    <dgm:cxn modelId="{A5B29DF4-1DF6-394A-A373-60181E98E64F}" srcId="{0B67CD58-EDD1-C04D-84A1-BB5BF2C04157}" destId="{ACD894AA-DB35-E94D-9588-7CDFDECD6033}" srcOrd="1" destOrd="0" parTransId="{3C6962A8-0167-4F46-A556-974F387728A0}" sibTransId="{A5D15D4F-84EC-9F4A-9251-CF247D0055EA}"/>
    <dgm:cxn modelId="{BCBD7DFC-3F99-604E-9E91-FD186DB885B3}" type="presOf" srcId="{3C6962A8-0167-4F46-A556-974F387728A0}" destId="{E104A347-F2D7-954A-BFAC-2CBA82040849}" srcOrd="0" destOrd="0" presId="urn:microsoft.com/office/officeart/2005/8/layout/radial4"/>
    <dgm:cxn modelId="{5879CD73-7E2E-854A-A121-43E69B1832C6}" type="presParOf" srcId="{E4EF7ED9-07E3-944C-8275-C33166473E21}" destId="{3DB2AB6D-2C3D-1E4E-B93A-F03DD3E4499F}" srcOrd="0" destOrd="0" presId="urn:microsoft.com/office/officeart/2005/8/layout/radial4"/>
    <dgm:cxn modelId="{4F004FDF-D1B2-AD4C-9333-5A3F5B060101}" type="presParOf" srcId="{E4EF7ED9-07E3-944C-8275-C33166473E21}" destId="{A497D1FC-DDDB-2C4A-9EA5-826561DFEBEE}" srcOrd="1" destOrd="0" presId="urn:microsoft.com/office/officeart/2005/8/layout/radial4"/>
    <dgm:cxn modelId="{6894DDA0-ABD8-0346-9801-0ACEEEF3B691}" type="presParOf" srcId="{E4EF7ED9-07E3-944C-8275-C33166473E21}" destId="{6BFCB608-E1C8-A44C-B4DC-7CF993D08046}" srcOrd="2" destOrd="0" presId="urn:microsoft.com/office/officeart/2005/8/layout/radial4"/>
    <dgm:cxn modelId="{63097A09-6957-9D45-B7E3-731540C9A045}" type="presParOf" srcId="{E4EF7ED9-07E3-944C-8275-C33166473E21}" destId="{E104A347-F2D7-954A-BFAC-2CBA82040849}" srcOrd="3" destOrd="0" presId="urn:microsoft.com/office/officeart/2005/8/layout/radial4"/>
    <dgm:cxn modelId="{712E9E24-F130-7348-800F-BB800C870C82}" type="presParOf" srcId="{E4EF7ED9-07E3-944C-8275-C33166473E21}" destId="{4D10A843-E004-C846-BF56-5CD75CC371BB}" srcOrd="4" destOrd="0" presId="urn:microsoft.com/office/officeart/2005/8/layout/radial4"/>
    <dgm:cxn modelId="{8A3CFC2D-0FEA-F443-BDC2-D61B9D94CD37}" type="presParOf" srcId="{E4EF7ED9-07E3-944C-8275-C33166473E21}" destId="{E25373DC-8DB4-8D48-8414-D1647F84B51E}" srcOrd="5" destOrd="0" presId="urn:microsoft.com/office/officeart/2005/8/layout/radial4"/>
    <dgm:cxn modelId="{E576FE08-C085-654A-8B4D-FD12D1D45FE3}" type="presParOf" srcId="{E4EF7ED9-07E3-944C-8275-C33166473E21}" destId="{5225A863-55AB-6B4B-B01D-8C07FAA060DD}" srcOrd="6" destOrd="0" presId="urn:microsoft.com/office/officeart/2005/8/layout/radial4"/>
    <dgm:cxn modelId="{24EE2DFE-4064-104F-887D-7BB5794732A2}" type="presParOf" srcId="{E4EF7ED9-07E3-944C-8275-C33166473E21}" destId="{C24CAF39-4A84-F24A-A25B-BE04CF216A52}" srcOrd="7" destOrd="0" presId="urn:microsoft.com/office/officeart/2005/8/layout/radial4"/>
    <dgm:cxn modelId="{30D6F086-16B4-1D47-A616-190D1231C254}" type="presParOf" srcId="{E4EF7ED9-07E3-944C-8275-C33166473E21}" destId="{7D0803B9-B602-774A-ADCB-9C2D3A3D8A17}" srcOrd="8" destOrd="0" presId="urn:microsoft.com/office/officeart/2005/8/layout/radial4"/>
    <dgm:cxn modelId="{8737DD7B-BBE2-3940-BDFF-5791838868D1}" type="presParOf" srcId="{E4EF7ED9-07E3-944C-8275-C33166473E21}" destId="{99BCC8A2-7C6F-2943-9BFC-B0FD382529CA}" srcOrd="9" destOrd="0" presId="urn:microsoft.com/office/officeart/2005/8/layout/radial4"/>
    <dgm:cxn modelId="{A4E936DD-7122-0648-8B6B-FBF2778B402A}" type="presParOf" srcId="{E4EF7ED9-07E3-944C-8275-C33166473E21}" destId="{867A7739-CD9E-1343-9DFC-83AC99A30E2D}" srcOrd="10" destOrd="0" presId="urn:microsoft.com/office/officeart/2005/8/layout/radial4"/>
    <dgm:cxn modelId="{D220C6D6-EA5B-244B-8CC3-3649A54AE345}" type="presParOf" srcId="{E4EF7ED9-07E3-944C-8275-C33166473E21}" destId="{04434B59-1878-3641-A499-0E30CC29B520}" srcOrd="11" destOrd="0" presId="urn:microsoft.com/office/officeart/2005/8/layout/radial4"/>
    <dgm:cxn modelId="{36701EEF-2185-E941-94B1-5D3DF3868CD5}" type="presParOf" srcId="{E4EF7ED9-07E3-944C-8275-C33166473E21}" destId="{F63FF624-AA9B-4A40-8042-4E9134D6A794}" srcOrd="12" destOrd="0" presId="urn:microsoft.com/office/officeart/2005/8/layout/radial4"/>
    <dgm:cxn modelId="{E3E6A630-05A8-574E-949C-BA6F84BB3FD0}" type="presParOf" srcId="{E4EF7ED9-07E3-944C-8275-C33166473E21}" destId="{182E8D4C-E321-D54F-BE1A-473C414C50FC}" srcOrd="13" destOrd="0" presId="urn:microsoft.com/office/officeart/2005/8/layout/radial4"/>
    <dgm:cxn modelId="{747E231B-7ABB-7E49-9DB5-CA02050CB91D}" type="presParOf" srcId="{E4EF7ED9-07E3-944C-8275-C33166473E21}" destId="{59E22410-5392-A44D-9CF6-CD005513657D}" srcOrd="14" destOrd="0" presId="urn:microsoft.com/office/officeart/2005/8/layout/radial4"/>
  </dgm:cxnLst>
  <dgm:bg/>
  <dgm:whole/>
  <dgm:extLst>
    <a:ext uri="http://schemas.microsoft.com/office/drawing/2008/diagram">
      <dsp:dataModelExt xmlns:dsp="http://schemas.microsoft.com/office/drawing/2008/diagram" relId="rId260" minVer="http://schemas.openxmlformats.org/drawingml/2006/diagram"/>
    </a:ext>
  </dgm:extLst>
</dgm:dataModel>
</file>

<file path=word/diagrams/data37.xml><?xml version="1.0" encoding="utf-8"?>
<dgm:dataModel xmlns:dgm="http://schemas.openxmlformats.org/drawingml/2006/diagram" xmlns:a="http://schemas.openxmlformats.org/drawingml/2006/main">
  <dgm:ptLst>
    <dgm:pt modelId="{76E867FA-980E-744D-BD5E-A86FEE11C303}" type="doc">
      <dgm:prSet loTypeId="urn:microsoft.com/office/officeart/2005/8/layout/radial1" loCatId="" qsTypeId="urn:microsoft.com/office/officeart/2005/8/quickstyle/simple2" qsCatId="simple" csTypeId="urn:microsoft.com/office/officeart/2005/8/colors/colorful1" csCatId="colorful" phldr="1"/>
      <dgm:spPr/>
      <dgm:t>
        <a:bodyPr/>
        <a:lstStyle/>
        <a:p>
          <a:endParaRPr lang="en-US"/>
        </a:p>
      </dgm:t>
    </dgm:pt>
    <dgm:pt modelId="{21F33802-6378-F846-8548-980F8447FF2E}">
      <dgm:prSet phldrT="[Text]"/>
      <dgm:spPr/>
      <dgm:t>
        <a:bodyPr/>
        <a:lstStyle/>
        <a:p>
          <a:r>
            <a:rPr lang="en-US"/>
            <a:t>Human factors: When and how to teach</a:t>
          </a:r>
        </a:p>
      </dgm:t>
    </dgm:pt>
    <dgm:pt modelId="{95B5316F-3CEA-3E44-B162-F9772FA3E27B}" type="parTrans" cxnId="{D959D44C-FE9A-AD4E-8128-D0247DCB858C}">
      <dgm:prSet/>
      <dgm:spPr/>
      <dgm:t>
        <a:bodyPr/>
        <a:lstStyle/>
        <a:p>
          <a:endParaRPr lang="en-US"/>
        </a:p>
      </dgm:t>
    </dgm:pt>
    <dgm:pt modelId="{B8FC719C-9336-6C4F-B457-FC25F354AFC8}" type="sibTrans" cxnId="{D959D44C-FE9A-AD4E-8128-D0247DCB858C}">
      <dgm:prSet/>
      <dgm:spPr/>
      <dgm:t>
        <a:bodyPr/>
        <a:lstStyle/>
        <a:p>
          <a:endParaRPr lang="en-US"/>
        </a:p>
      </dgm:t>
    </dgm:pt>
    <dgm:pt modelId="{24ABD1CD-7D2A-1E45-B363-85003891A2CD}">
      <dgm:prSet phldrT="[Text]"/>
      <dgm:spPr/>
      <dgm:t>
        <a:bodyPr/>
        <a:lstStyle/>
        <a:p>
          <a:r>
            <a:rPr lang="en-US"/>
            <a:t>Throughout undergraduate curriculum</a:t>
          </a:r>
        </a:p>
      </dgm:t>
    </dgm:pt>
    <dgm:pt modelId="{F4556D74-EA82-F04B-A165-336527F73D89}" type="parTrans" cxnId="{6BF4DEAC-DFA6-984D-B0FE-53A5D3DFA9AC}">
      <dgm:prSet/>
      <dgm:spPr/>
      <dgm:t>
        <a:bodyPr/>
        <a:lstStyle/>
        <a:p>
          <a:endParaRPr lang="en-US"/>
        </a:p>
      </dgm:t>
    </dgm:pt>
    <dgm:pt modelId="{C5C07DA1-162E-7849-8FF5-2919F96263FF}" type="sibTrans" cxnId="{6BF4DEAC-DFA6-984D-B0FE-53A5D3DFA9AC}">
      <dgm:prSet/>
      <dgm:spPr/>
      <dgm:t>
        <a:bodyPr/>
        <a:lstStyle/>
        <a:p>
          <a:endParaRPr lang="en-US"/>
        </a:p>
      </dgm:t>
    </dgm:pt>
    <dgm:pt modelId="{24AD5F82-0449-E048-ABE8-868C83A45B4B}">
      <dgm:prSet phldrT="[Text]"/>
      <dgm:spPr/>
      <dgm:t>
        <a:bodyPr/>
        <a:lstStyle/>
        <a:p>
          <a:r>
            <a:rPr lang="en-US"/>
            <a:t>Embed in curriculum </a:t>
          </a:r>
        </a:p>
      </dgm:t>
    </dgm:pt>
    <dgm:pt modelId="{550B4787-DAD8-FE49-B731-2DC2977D8E55}" type="parTrans" cxnId="{3B2D8A24-45EF-F34D-A45E-D2FEA3181073}">
      <dgm:prSet/>
      <dgm:spPr/>
      <dgm:t>
        <a:bodyPr/>
        <a:lstStyle/>
        <a:p>
          <a:endParaRPr lang="en-US"/>
        </a:p>
      </dgm:t>
    </dgm:pt>
    <dgm:pt modelId="{46E7DBF3-03DA-C449-B26B-046AA61AC805}" type="sibTrans" cxnId="{3B2D8A24-45EF-F34D-A45E-D2FEA3181073}">
      <dgm:prSet/>
      <dgm:spPr/>
      <dgm:t>
        <a:bodyPr/>
        <a:lstStyle/>
        <a:p>
          <a:endParaRPr lang="en-US"/>
        </a:p>
      </dgm:t>
    </dgm:pt>
    <dgm:pt modelId="{1593A994-E2F8-3F44-87D9-D63C095B96C5}">
      <dgm:prSet phldrT="[Text]"/>
      <dgm:spPr/>
      <dgm:t>
        <a:bodyPr/>
        <a:lstStyle/>
        <a:p>
          <a:r>
            <a:rPr lang="en-US"/>
            <a:t>Layered skill development</a:t>
          </a:r>
        </a:p>
      </dgm:t>
    </dgm:pt>
    <dgm:pt modelId="{1E6BE541-FCCF-BF4C-A84E-0B84636515EF}" type="parTrans" cxnId="{FCB11A4D-090D-1549-861B-CBBEA9308012}">
      <dgm:prSet/>
      <dgm:spPr/>
      <dgm:t>
        <a:bodyPr/>
        <a:lstStyle/>
        <a:p>
          <a:endParaRPr lang="en-US"/>
        </a:p>
      </dgm:t>
    </dgm:pt>
    <dgm:pt modelId="{52589508-AA57-A24E-A6E6-09F630BD85F9}" type="sibTrans" cxnId="{FCB11A4D-090D-1549-861B-CBBEA9308012}">
      <dgm:prSet/>
      <dgm:spPr/>
      <dgm:t>
        <a:bodyPr/>
        <a:lstStyle/>
        <a:p>
          <a:endParaRPr lang="en-US"/>
        </a:p>
      </dgm:t>
    </dgm:pt>
    <dgm:pt modelId="{92BA7E28-0351-FF41-AC07-932FF9279110}">
      <dgm:prSet phldrT="[Text]"/>
      <dgm:spPr/>
      <dgm:t>
        <a:bodyPr/>
        <a:lstStyle/>
        <a:p>
          <a:r>
            <a:rPr lang="en-US"/>
            <a:t>Interprofessionally </a:t>
          </a:r>
        </a:p>
      </dgm:t>
    </dgm:pt>
    <dgm:pt modelId="{7D9338B7-11BC-5240-8F6A-2E3574D09932}" type="parTrans" cxnId="{9F8B6DDE-AED8-A448-826B-1620ED977C68}">
      <dgm:prSet/>
      <dgm:spPr/>
      <dgm:t>
        <a:bodyPr/>
        <a:lstStyle/>
        <a:p>
          <a:endParaRPr lang="en-US"/>
        </a:p>
      </dgm:t>
    </dgm:pt>
    <dgm:pt modelId="{DEDB2752-7023-5D44-A504-8279123A5269}" type="sibTrans" cxnId="{9F8B6DDE-AED8-A448-826B-1620ED977C68}">
      <dgm:prSet/>
      <dgm:spPr/>
      <dgm:t>
        <a:bodyPr/>
        <a:lstStyle/>
        <a:p>
          <a:endParaRPr lang="en-US"/>
        </a:p>
      </dgm:t>
    </dgm:pt>
    <dgm:pt modelId="{1ECF3592-191D-0D4F-80C2-3A790553005E}">
      <dgm:prSet phldrT="[Text]"/>
      <dgm:spPr/>
      <dgm:t>
        <a:bodyPr/>
        <a:lstStyle/>
        <a:p>
          <a:r>
            <a:rPr lang="en-US"/>
            <a:t>Start in schools 'life lessons'</a:t>
          </a:r>
        </a:p>
      </dgm:t>
    </dgm:pt>
    <dgm:pt modelId="{794358D2-1D09-0F41-858F-8BB9FC32CA80}" type="parTrans" cxnId="{1C67743A-B147-994B-AAC0-77BE2394CB14}">
      <dgm:prSet/>
      <dgm:spPr/>
      <dgm:t>
        <a:bodyPr/>
        <a:lstStyle/>
        <a:p>
          <a:endParaRPr lang="en-US"/>
        </a:p>
      </dgm:t>
    </dgm:pt>
    <dgm:pt modelId="{10351BB7-C296-7E40-A747-E71DDC7F3C59}" type="sibTrans" cxnId="{1C67743A-B147-994B-AAC0-77BE2394CB14}">
      <dgm:prSet/>
      <dgm:spPr/>
      <dgm:t>
        <a:bodyPr/>
        <a:lstStyle/>
        <a:p>
          <a:endParaRPr lang="en-US"/>
        </a:p>
      </dgm:t>
    </dgm:pt>
    <dgm:pt modelId="{244A2D66-4C52-EB43-AEAB-ECE59E973742}">
      <dgm:prSet phldrT="[Text]"/>
      <dgm:spPr/>
      <dgm:t>
        <a:bodyPr/>
        <a:lstStyle/>
        <a:p>
          <a:r>
            <a:rPr lang="en-US"/>
            <a:t>When to start:</a:t>
          </a:r>
        </a:p>
      </dgm:t>
    </dgm:pt>
    <dgm:pt modelId="{83706349-F809-6F48-81A3-0735145CAD80}" type="parTrans" cxnId="{F93F992F-880D-1547-8F04-E36A840A091A}">
      <dgm:prSet/>
      <dgm:spPr/>
      <dgm:t>
        <a:bodyPr/>
        <a:lstStyle/>
        <a:p>
          <a:endParaRPr lang="en-US"/>
        </a:p>
      </dgm:t>
    </dgm:pt>
    <dgm:pt modelId="{EB017A63-4952-2C47-AFEE-04294F2D546E}" type="sibTrans" cxnId="{F93F992F-880D-1547-8F04-E36A840A091A}">
      <dgm:prSet/>
      <dgm:spPr/>
      <dgm:t>
        <a:bodyPr/>
        <a:lstStyle/>
        <a:p>
          <a:endParaRPr lang="en-US"/>
        </a:p>
      </dgm:t>
    </dgm:pt>
    <dgm:pt modelId="{D693EB57-396B-944C-BBF7-91EF754AC987}">
      <dgm:prSet phldrT="[Text]"/>
      <dgm:spPr/>
      <dgm:t>
        <a:bodyPr/>
        <a:lstStyle/>
        <a:p>
          <a:r>
            <a:rPr lang="en-US"/>
            <a:t>If resource limited - focus year 4-5</a:t>
          </a:r>
        </a:p>
      </dgm:t>
    </dgm:pt>
    <dgm:pt modelId="{72462DA3-FFD8-F44E-90AB-876E1892B77E}" type="parTrans" cxnId="{FB03A832-0F1D-B949-BFC8-95D667F5EAD8}">
      <dgm:prSet/>
      <dgm:spPr/>
      <dgm:t>
        <a:bodyPr/>
        <a:lstStyle/>
        <a:p>
          <a:endParaRPr lang="en-US"/>
        </a:p>
      </dgm:t>
    </dgm:pt>
    <dgm:pt modelId="{FA7AE142-C1E4-9547-9554-C7827C72541C}" type="sibTrans" cxnId="{FB03A832-0F1D-B949-BFC8-95D667F5EAD8}">
      <dgm:prSet/>
      <dgm:spPr/>
      <dgm:t>
        <a:bodyPr/>
        <a:lstStyle/>
        <a:p>
          <a:endParaRPr lang="en-US"/>
        </a:p>
      </dgm:t>
    </dgm:pt>
    <dgm:pt modelId="{C9D54897-1277-F344-B88C-3BF1C77B788D}">
      <dgm:prSet phldrT="[Text]"/>
      <dgm:spPr/>
      <dgm:t>
        <a:bodyPr/>
        <a:lstStyle/>
        <a:p>
          <a:r>
            <a:rPr lang="en-US"/>
            <a:t>Communication skills</a:t>
          </a:r>
        </a:p>
      </dgm:t>
    </dgm:pt>
    <dgm:pt modelId="{B2B62B41-1B2D-7F45-B371-C205F27627C2}" type="parTrans" cxnId="{5A52E8F1-C407-D64D-9B64-AD846D4DBE09}">
      <dgm:prSet/>
      <dgm:spPr/>
      <dgm:t>
        <a:bodyPr/>
        <a:lstStyle/>
        <a:p>
          <a:endParaRPr lang="en-US"/>
        </a:p>
      </dgm:t>
    </dgm:pt>
    <dgm:pt modelId="{BFFB08BF-5D42-4049-8520-D3DF7FBBA33B}" type="sibTrans" cxnId="{5A52E8F1-C407-D64D-9B64-AD846D4DBE09}">
      <dgm:prSet/>
      <dgm:spPr/>
      <dgm:t>
        <a:bodyPr/>
        <a:lstStyle/>
        <a:p>
          <a:endParaRPr lang="en-US"/>
        </a:p>
      </dgm:t>
    </dgm:pt>
    <dgm:pt modelId="{B227CB43-9A57-774D-845A-1D85B60BD75D}">
      <dgm:prSet phldrT="[Text]"/>
      <dgm:spPr/>
      <dgm:t>
        <a:bodyPr/>
        <a:lstStyle/>
        <a:p>
          <a:r>
            <a:rPr lang="en-US"/>
            <a:t>Simulation</a:t>
          </a:r>
        </a:p>
      </dgm:t>
    </dgm:pt>
    <dgm:pt modelId="{50B4E5E3-2DB8-C94B-854A-15BB33554055}" type="parTrans" cxnId="{DCFB1EF1-190C-E846-AC0F-7C9AF642CF9B}">
      <dgm:prSet/>
      <dgm:spPr/>
      <dgm:t>
        <a:bodyPr/>
        <a:lstStyle/>
        <a:p>
          <a:endParaRPr lang="en-US"/>
        </a:p>
      </dgm:t>
    </dgm:pt>
    <dgm:pt modelId="{401CEAD7-65AD-4441-B4BB-93ABCD6CEB4A}" type="sibTrans" cxnId="{DCFB1EF1-190C-E846-AC0F-7C9AF642CF9B}">
      <dgm:prSet/>
      <dgm:spPr/>
      <dgm:t>
        <a:bodyPr/>
        <a:lstStyle/>
        <a:p>
          <a:endParaRPr lang="en-US"/>
        </a:p>
      </dgm:t>
    </dgm:pt>
    <dgm:pt modelId="{A333477D-10FA-6444-88E2-40FD47F6D2CB}">
      <dgm:prSet phldrT="[Text]"/>
      <dgm:spPr/>
      <dgm:t>
        <a:bodyPr/>
        <a:lstStyle/>
        <a:p>
          <a:r>
            <a:rPr lang="en-US"/>
            <a:t>Holistic approach</a:t>
          </a:r>
        </a:p>
      </dgm:t>
    </dgm:pt>
    <dgm:pt modelId="{47E76032-D2FE-8949-BC14-4627E2C050D4}" type="parTrans" cxnId="{1D9E308A-6FCC-AB43-A821-6535DBB07B67}">
      <dgm:prSet/>
      <dgm:spPr/>
      <dgm:t>
        <a:bodyPr/>
        <a:lstStyle/>
        <a:p>
          <a:endParaRPr lang="en-US"/>
        </a:p>
      </dgm:t>
    </dgm:pt>
    <dgm:pt modelId="{CD8C6314-897C-444D-973F-BEF2F513E9A9}" type="sibTrans" cxnId="{1D9E308A-6FCC-AB43-A821-6535DBB07B67}">
      <dgm:prSet/>
      <dgm:spPr/>
      <dgm:t>
        <a:bodyPr/>
        <a:lstStyle/>
        <a:p>
          <a:endParaRPr lang="en-US"/>
        </a:p>
      </dgm:t>
    </dgm:pt>
    <dgm:pt modelId="{B7C093DC-CBD0-4F49-9E6A-0E4C56727A37}">
      <dgm:prSet/>
      <dgm:spPr/>
      <dgm:t>
        <a:bodyPr/>
        <a:lstStyle/>
        <a:p>
          <a:r>
            <a:rPr lang="en-US"/>
            <a:t>Science of human factors - principles safe clinical system and design</a:t>
          </a:r>
        </a:p>
      </dgm:t>
    </dgm:pt>
    <dgm:pt modelId="{839C9444-871D-0349-BDFD-27C876CAEC40}" type="parTrans" cxnId="{5127940C-9BA3-6E46-A96B-542E82FA8CD4}">
      <dgm:prSet/>
      <dgm:spPr/>
      <dgm:t>
        <a:bodyPr/>
        <a:lstStyle/>
        <a:p>
          <a:endParaRPr lang="en-US"/>
        </a:p>
      </dgm:t>
    </dgm:pt>
    <dgm:pt modelId="{7422708A-7216-744A-AABA-EE71940E5ADF}" type="sibTrans" cxnId="{5127940C-9BA3-6E46-A96B-542E82FA8CD4}">
      <dgm:prSet/>
      <dgm:spPr/>
      <dgm:t>
        <a:bodyPr/>
        <a:lstStyle/>
        <a:p>
          <a:endParaRPr lang="en-US"/>
        </a:p>
      </dgm:t>
    </dgm:pt>
    <dgm:pt modelId="{D18BB3A3-4240-1443-9813-A4CFC644EBA4}">
      <dgm:prSet/>
      <dgm:spPr/>
      <dgm:t>
        <a:bodyPr/>
        <a:lstStyle/>
        <a:p>
          <a:r>
            <a:rPr lang="en-US"/>
            <a:t>Workshops, video, airline resources</a:t>
          </a:r>
        </a:p>
      </dgm:t>
    </dgm:pt>
    <dgm:pt modelId="{8180156F-9C99-0341-A5C1-164784D09E96}" type="parTrans" cxnId="{0BB7765E-B25C-E44E-B568-127D4C6C3C2A}">
      <dgm:prSet/>
      <dgm:spPr/>
      <dgm:t>
        <a:bodyPr/>
        <a:lstStyle/>
        <a:p>
          <a:endParaRPr lang="en-US"/>
        </a:p>
      </dgm:t>
    </dgm:pt>
    <dgm:pt modelId="{556C0521-723D-2A41-9926-C0C7A576133E}" type="sibTrans" cxnId="{0BB7765E-B25C-E44E-B568-127D4C6C3C2A}">
      <dgm:prSet/>
      <dgm:spPr/>
      <dgm:t>
        <a:bodyPr/>
        <a:lstStyle/>
        <a:p>
          <a:endParaRPr lang="en-US"/>
        </a:p>
      </dgm:t>
    </dgm:pt>
    <dgm:pt modelId="{DC386658-0C37-E14B-97FB-97AE2DE7F71E}">
      <dgm:prSet/>
      <dgm:spPr/>
      <dgm:t>
        <a:bodyPr/>
        <a:lstStyle/>
        <a:p>
          <a:r>
            <a:rPr lang="en-US"/>
            <a:t>Technical skill (basic) then layer on non-technical (complex)</a:t>
          </a:r>
        </a:p>
      </dgm:t>
    </dgm:pt>
    <dgm:pt modelId="{1C20FF30-2D55-3540-AF5C-65CECC1EB065}" type="parTrans" cxnId="{EEFDF055-91C9-3648-95DB-A684D36B609E}">
      <dgm:prSet/>
      <dgm:spPr/>
      <dgm:t>
        <a:bodyPr/>
        <a:lstStyle/>
        <a:p>
          <a:endParaRPr lang="en-US"/>
        </a:p>
      </dgm:t>
    </dgm:pt>
    <dgm:pt modelId="{0FD00716-30C3-3045-9094-2C8B83339446}" type="sibTrans" cxnId="{EEFDF055-91C9-3648-95DB-A684D36B609E}">
      <dgm:prSet/>
      <dgm:spPr/>
      <dgm:t>
        <a:bodyPr/>
        <a:lstStyle/>
        <a:p>
          <a:endParaRPr lang="en-US"/>
        </a:p>
      </dgm:t>
    </dgm:pt>
    <dgm:pt modelId="{66DB390C-14E3-8D4A-AA93-63C4C7376E3C}">
      <dgm:prSet phldrT="[Text]"/>
      <dgm:spPr/>
      <dgm:t>
        <a:bodyPr/>
        <a:lstStyle/>
        <a:p>
          <a:r>
            <a:rPr lang="en-US"/>
            <a:t>Start basic and build</a:t>
          </a:r>
        </a:p>
      </dgm:t>
    </dgm:pt>
    <dgm:pt modelId="{9CEC4D0D-E0CC-6041-AD54-908578E653B6}" type="parTrans" cxnId="{F8E0A9B7-392D-4248-9C03-8286766448CD}">
      <dgm:prSet/>
      <dgm:spPr/>
      <dgm:t>
        <a:bodyPr/>
        <a:lstStyle/>
        <a:p>
          <a:endParaRPr lang="en-US"/>
        </a:p>
      </dgm:t>
    </dgm:pt>
    <dgm:pt modelId="{9781AF1A-743A-C447-9568-10D2EBBA1987}" type="sibTrans" cxnId="{F8E0A9B7-392D-4248-9C03-8286766448CD}">
      <dgm:prSet/>
      <dgm:spPr/>
      <dgm:t>
        <a:bodyPr/>
        <a:lstStyle/>
        <a:p>
          <a:endParaRPr lang="en-US"/>
        </a:p>
      </dgm:t>
    </dgm:pt>
    <dgm:pt modelId="{32EA6060-C056-5E49-B869-D695CC20C290}">
      <dgm:prSet phldrT="[Text]"/>
      <dgm:spPr/>
      <dgm:t>
        <a:bodyPr/>
        <a:lstStyle/>
        <a:p>
          <a:r>
            <a:rPr lang="en-US"/>
            <a:t>Fully integrate with technical skills</a:t>
          </a:r>
        </a:p>
      </dgm:t>
    </dgm:pt>
    <dgm:pt modelId="{06F82AB9-99A8-BF4F-88CF-54E94AE7D87D}" type="parTrans" cxnId="{3B8B4056-0FA3-0145-9EDA-265085E69D81}">
      <dgm:prSet/>
      <dgm:spPr/>
      <dgm:t>
        <a:bodyPr/>
        <a:lstStyle/>
        <a:p>
          <a:endParaRPr lang="en-US"/>
        </a:p>
      </dgm:t>
    </dgm:pt>
    <dgm:pt modelId="{17CA661D-0EBF-C34C-AEA2-76BC859F484A}" type="sibTrans" cxnId="{3B8B4056-0FA3-0145-9EDA-265085E69D81}">
      <dgm:prSet/>
      <dgm:spPr/>
      <dgm:t>
        <a:bodyPr/>
        <a:lstStyle/>
        <a:p>
          <a:endParaRPr lang="en-US"/>
        </a:p>
      </dgm:t>
    </dgm:pt>
    <dgm:pt modelId="{FB31E591-2AD7-4146-B581-5325558BDEF6}">
      <dgm:prSet phldrT="[Text]"/>
      <dgm:spPr/>
      <dgm:t>
        <a:bodyPr/>
        <a:lstStyle/>
        <a:p>
          <a:r>
            <a:rPr lang="en-US"/>
            <a:t>Titrate skills</a:t>
          </a:r>
        </a:p>
      </dgm:t>
    </dgm:pt>
    <dgm:pt modelId="{5AFAD565-0DF6-F34D-B36F-CFB19E9F4F9F}" type="parTrans" cxnId="{8C420D19-C6E9-EB4F-95DF-69FE5DC68F24}">
      <dgm:prSet/>
      <dgm:spPr/>
      <dgm:t>
        <a:bodyPr/>
        <a:lstStyle/>
        <a:p>
          <a:endParaRPr lang="en-US"/>
        </a:p>
      </dgm:t>
    </dgm:pt>
    <dgm:pt modelId="{5E1D1F62-9CCC-DB4C-BFF1-FCB77418ED0B}" type="sibTrans" cxnId="{8C420D19-C6E9-EB4F-95DF-69FE5DC68F24}">
      <dgm:prSet/>
      <dgm:spPr/>
      <dgm:t>
        <a:bodyPr/>
        <a:lstStyle/>
        <a:p>
          <a:endParaRPr lang="en-US"/>
        </a:p>
      </dgm:t>
    </dgm:pt>
    <dgm:pt modelId="{768E7E44-584E-684E-90AF-A96B2E7A2188}">
      <dgm:prSet/>
      <dgm:spPr/>
      <dgm:t>
        <a:bodyPr/>
        <a:lstStyle/>
        <a:p>
          <a:r>
            <a:rPr lang="en-US"/>
            <a:t>Teach mental models - remain present</a:t>
          </a:r>
        </a:p>
      </dgm:t>
    </dgm:pt>
    <dgm:pt modelId="{94B78A03-85F9-4244-B106-60C2F33D35C5}" type="parTrans" cxnId="{CBA72766-5A19-6446-854C-AB684BF332D7}">
      <dgm:prSet/>
      <dgm:spPr/>
      <dgm:t>
        <a:bodyPr/>
        <a:lstStyle/>
        <a:p>
          <a:endParaRPr lang="en-US"/>
        </a:p>
      </dgm:t>
    </dgm:pt>
    <dgm:pt modelId="{7521E0CA-A062-6249-B5D6-4F9636F51C61}" type="sibTrans" cxnId="{CBA72766-5A19-6446-854C-AB684BF332D7}">
      <dgm:prSet/>
      <dgm:spPr/>
      <dgm:t>
        <a:bodyPr/>
        <a:lstStyle/>
        <a:p>
          <a:endParaRPr lang="en-US"/>
        </a:p>
      </dgm:t>
    </dgm:pt>
    <dgm:pt modelId="{EBE2ABC1-EB16-2340-A9DA-956FDD65A3B4}">
      <dgm:prSet phldrT="[Text]"/>
      <dgm:spPr/>
      <dgm:t>
        <a:bodyPr/>
        <a:lstStyle/>
        <a:p>
          <a:r>
            <a:rPr lang="en-US"/>
            <a:t>From start of training/ introduction</a:t>
          </a:r>
        </a:p>
      </dgm:t>
    </dgm:pt>
    <dgm:pt modelId="{6E68BCB5-5C1F-144E-A32B-0FE6B923D7A4}" type="parTrans" cxnId="{B3417048-A03A-0F4B-A930-189AE178DF0E}">
      <dgm:prSet/>
      <dgm:spPr/>
      <dgm:t>
        <a:bodyPr/>
        <a:lstStyle/>
        <a:p>
          <a:endParaRPr lang="en-US"/>
        </a:p>
      </dgm:t>
    </dgm:pt>
    <dgm:pt modelId="{AB68D833-5840-D24C-B6FC-51E797166D48}" type="sibTrans" cxnId="{B3417048-A03A-0F4B-A930-189AE178DF0E}">
      <dgm:prSet/>
      <dgm:spPr/>
      <dgm:t>
        <a:bodyPr/>
        <a:lstStyle/>
        <a:p>
          <a:endParaRPr lang="en-US"/>
        </a:p>
      </dgm:t>
    </dgm:pt>
    <dgm:pt modelId="{83944164-F069-BA40-9288-C75B4B642F6A}">
      <dgm:prSet phldrT="[Text]"/>
      <dgm:spPr/>
      <dgm:t>
        <a:bodyPr/>
        <a:lstStyle/>
        <a:p>
          <a:r>
            <a:rPr lang="en-US"/>
            <a:t>Feedback from team and surrogate patients </a:t>
          </a:r>
        </a:p>
      </dgm:t>
    </dgm:pt>
    <dgm:pt modelId="{7374121F-AAA5-6840-8DB9-2BA97F596B56}" type="parTrans" cxnId="{11ED5CCD-B01F-434A-9EA5-DF45AE328799}">
      <dgm:prSet/>
      <dgm:spPr/>
      <dgm:t>
        <a:bodyPr/>
        <a:lstStyle/>
        <a:p>
          <a:endParaRPr lang="en-US"/>
        </a:p>
      </dgm:t>
    </dgm:pt>
    <dgm:pt modelId="{75980248-D3B3-B94C-9AA6-82DCD1C96793}" type="sibTrans" cxnId="{11ED5CCD-B01F-434A-9EA5-DF45AE328799}">
      <dgm:prSet/>
      <dgm:spPr/>
      <dgm:t>
        <a:bodyPr/>
        <a:lstStyle/>
        <a:p>
          <a:endParaRPr lang="en-US"/>
        </a:p>
      </dgm:t>
    </dgm:pt>
    <dgm:pt modelId="{BDFF3D6A-1EB9-7C46-A4EC-E3F159311767}">
      <dgm:prSet/>
      <dgm:spPr/>
      <dgm:t>
        <a:bodyPr/>
        <a:lstStyle/>
        <a:p>
          <a:r>
            <a:rPr lang="en-US"/>
            <a:t>Recreate responsibility - pretest pilot for level of pressure</a:t>
          </a:r>
        </a:p>
      </dgm:t>
    </dgm:pt>
    <dgm:pt modelId="{9A7873A7-F27A-374A-AD12-6318B1345248}" type="parTrans" cxnId="{1F39EFF9-A514-C94A-B40A-30F049DEA4F1}">
      <dgm:prSet/>
      <dgm:spPr/>
      <dgm:t>
        <a:bodyPr/>
        <a:lstStyle/>
        <a:p>
          <a:endParaRPr lang="en-US"/>
        </a:p>
      </dgm:t>
    </dgm:pt>
    <dgm:pt modelId="{E29B073C-0D57-F54C-8412-35DD4E1F95AF}" type="sibTrans" cxnId="{1F39EFF9-A514-C94A-B40A-30F049DEA4F1}">
      <dgm:prSet/>
      <dgm:spPr/>
      <dgm:t>
        <a:bodyPr/>
        <a:lstStyle/>
        <a:p>
          <a:endParaRPr lang="en-US"/>
        </a:p>
      </dgm:t>
    </dgm:pt>
    <dgm:pt modelId="{00701414-1E38-E24A-9E2F-F38CDEB84810}">
      <dgm:prSet phldrT="[Text]"/>
      <dgm:spPr/>
      <dgm:t>
        <a:bodyPr/>
        <a:lstStyle/>
        <a:p>
          <a:r>
            <a:rPr lang="en-US"/>
            <a:t>Role modelling and personal learning</a:t>
          </a:r>
        </a:p>
      </dgm:t>
    </dgm:pt>
    <dgm:pt modelId="{115C8EF8-ECD3-1B45-A33F-2F5F58C907E5}" type="parTrans" cxnId="{3B9C1C80-CA1F-5D47-8636-ECEE9DA7A063}">
      <dgm:prSet/>
      <dgm:spPr/>
      <dgm:t>
        <a:bodyPr/>
        <a:lstStyle/>
        <a:p>
          <a:endParaRPr lang="en-US"/>
        </a:p>
      </dgm:t>
    </dgm:pt>
    <dgm:pt modelId="{FBC2559E-78DE-3241-AB5C-F882FEE88E4E}" type="sibTrans" cxnId="{3B9C1C80-CA1F-5D47-8636-ECEE9DA7A063}">
      <dgm:prSet/>
      <dgm:spPr/>
      <dgm:t>
        <a:bodyPr/>
        <a:lstStyle/>
        <a:p>
          <a:endParaRPr lang="en-US"/>
        </a:p>
      </dgm:t>
    </dgm:pt>
    <dgm:pt modelId="{C3E46233-CF28-A949-A850-69F911CE47DF}">
      <dgm:prSet phldrT="[Text]"/>
      <dgm:spPr/>
      <dgm:t>
        <a:bodyPr/>
        <a:lstStyle/>
        <a:p>
          <a:r>
            <a:rPr lang="en-US"/>
            <a:t>Share own personal experiences and stories</a:t>
          </a:r>
        </a:p>
      </dgm:t>
    </dgm:pt>
    <dgm:pt modelId="{12C2DDE5-E0DE-F842-98BF-FCCC28D7B334}" type="parTrans" cxnId="{78BDE5AE-92A7-5E48-9872-D67FBB6F3C04}">
      <dgm:prSet/>
      <dgm:spPr/>
      <dgm:t>
        <a:bodyPr/>
        <a:lstStyle/>
        <a:p>
          <a:endParaRPr lang="en-US"/>
        </a:p>
      </dgm:t>
    </dgm:pt>
    <dgm:pt modelId="{4408957A-80F0-4F44-8D2E-4C75A42BCAC3}" type="sibTrans" cxnId="{78BDE5AE-92A7-5E48-9872-D67FBB6F3C04}">
      <dgm:prSet/>
      <dgm:spPr/>
      <dgm:t>
        <a:bodyPr/>
        <a:lstStyle/>
        <a:p>
          <a:endParaRPr lang="en-US"/>
        </a:p>
      </dgm:t>
    </dgm:pt>
    <dgm:pt modelId="{AC99E567-9100-F744-B97B-13BD1E16F8C5}">
      <dgm:prSet phldrT="[Text]"/>
      <dgm:spPr/>
      <dgm:t>
        <a:bodyPr/>
        <a:lstStyle/>
        <a:p>
          <a:r>
            <a:rPr lang="en-US"/>
            <a:t>Create flexible and open space</a:t>
          </a:r>
        </a:p>
      </dgm:t>
    </dgm:pt>
    <dgm:pt modelId="{163EC60B-7B75-4042-A743-87ED9A07A285}" type="parTrans" cxnId="{B20BAE21-3727-DB4A-B3D3-27B64F4D816E}">
      <dgm:prSet/>
      <dgm:spPr/>
      <dgm:t>
        <a:bodyPr/>
        <a:lstStyle/>
        <a:p>
          <a:endParaRPr lang="en-US"/>
        </a:p>
      </dgm:t>
    </dgm:pt>
    <dgm:pt modelId="{20F4314B-D54A-1046-AEF5-7578E8A6999E}" type="sibTrans" cxnId="{B20BAE21-3727-DB4A-B3D3-27B64F4D816E}">
      <dgm:prSet/>
      <dgm:spPr/>
      <dgm:t>
        <a:bodyPr/>
        <a:lstStyle/>
        <a:p>
          <a:endParaRPr lang="en-US"/>
        </a:p>
      </dgm:t>
    </dgm:pt>
    <dgm:pt modelId="{DE431E02-AAB1-964C-8E49-4B6A62BC3C00}">
      <dgm:prSet phldrT="[Text]"/>
      <dgm:spPr/>
      <dgm:t>
        <a:bodyPr/>
        <a:lstStyle/>
        <a:p>
          <a:r>
            <a:rPr lang="en-US"/>
            <a:t>Empathetic to learners</a:t>
          </a:r>
        </a:p>
      </dgm:t>
    </dgm:pt>
    <dgm:pt modelId="{4AE73506-8B9D-F24B-BAF7-B7F17141BE63}" type="parTrans" cxnId="{87FBDBE7-41E1-D44D-B298-FE0AA264F91E}">
      <dgm:prSet/>
      <dgm:spPr/>
      <dgm:t>
        <a:bodyPr/>
        <a:lstStyle/>
        <a:p>
          <a:endParaRPr lang="en-US"/>
        </a:p>
      </dgm:t>
    </dgm:pt>
    <dgm:pt modelId="{FFBA94CD-7FEC-9347-8BFE-5A42AF594932}" type="sibTrans" cxnId="{87FBDBE7-41E1-D44D-B298-FE0AA264F91E}">
      <dgm:prSet/>
      <dgm:spPr/>
      <dgm:t>
        <a:bodyPr/>
        <a:lstStyle/>
        <a:p>
          <a:endParaRPr lang="en-US"/>
        </a:p>
      </dgm:t>
    </dgm:pt>
    <dgm:pt modelId="{745D0A05-455D-7E41-9A8F-A2FC1074C60C}">
      <dgm:prSet phldrT="[Text]"/>
      <dgm:spPr/>
      <dgm:t>
        <a:bodyPr/>
        <a:lstStyle/>
        <a:p>
          <a:r>
            <a:rPr lang="en-US"/>
            <a:t>Holistic approach to education</a:t>
          </a:r>
        </a:p>
      </dgm:t>
    </dgm:pt>
    <dgm:pt modelId="{BEF8D98F-CB45-5249-A34F-D9A8028BC369}" type="parTrans" cxnId="{03472CBA-763F-FE4B-BF62-6AF01830F73C}">
      <dgm:prSet/>
      <dgm:spPr/>
      <dgm:t>
        <a:bodyPr/>
        <a:lstStyle/>
        <a:p>
          <a:endParaRPr lang="en-US"/>
        </a:p>
      </dgm:t>
    </dgm:pt>
    <dgm:pt modelId="{EA78FDFD-EFCA-7A42-B190-828A323A8475}" type="sibTrans" cxnId="{03472CBA-763F-FE4B-BF62-6AF01830F73C}">
      <dgm:prSet/>
      <dgm:spPr/>
      <dgm:t>
        <a:bodyPr/>
        <a:lstStyle/>
        <a:p>
          <a:endParaRPr lang="en-US"/>
        </a:p>
      </dgm:t>
    </dgm:pt>
    <dgm:pt modelId="{B124066F-28D2-4F4D-A053-9E06D64DC997}">
      <dgm:prSet phldrT="[Text]"/>
      <dgm:spPr/>
      <dgm:t>
        <a:bodyPr/>
        <a:lstStyle/>
        <a:p>
          <a:r>
            <a:rPr lang="en-US"/>
            <a:t>Know how candidates learn, engage with them, make effective</a:t>
          </a:r>
        </a:p>
      </dgm:t>
    </dgm:pt>
    <dgm:pt modelId="{8C7D2CE6-64B6-4C47-9213-5B0EC8A33AF0}" type="parTrans" cxnId="{F2C93289-771E-7E4C-AEC6-B1F40CB40330}">
      <dgm:prSet/>
      <dgm:spPr/>
      <dgm:t>
        <a:bodyPr/>
        <a:lstStyle/>
        <a:p>
          <a:endParaRPr lang="en-US"/>
        </a:p>
      </dgm:t>
    </dgm:pt>
    <dgm:pt modelId="{69F30453-1045-844C-8E61-2944D210F523}" type="sibTrans" cxnId="{F2C93289-771E-7E4C-AEC6-B1F40CB40330}">
      <dgm:prSet/>
      <dgm:spPr/>
      <dgm:t>
        <a:bodyPr/>
        <a:lstStyle/>
        <a:p>
          <a:endParaRPr lang="en-US"/>
        </a:p>
      </dgm:t>
    </dgm:pt>
    <dgm:pt modelId="{C8BA5620-4B0E-7A4E-9132-F0866C90A32B}">
      <dgm:prSet phldrT="[Text]"/>
      <dgm:spPr/>
      <dgm:t>
        <a:bodyPr/>
        <a:lstStyle/>
        <a:p>
          <a:r>
            <a:rPr lang="en-US"/>
            <a:t>Coherent &amp; coordinated</a:t>
          </a:r>
        </a:p>
      </dgm:t>
    </dgm:pt>
    <dgm:pt modelId="{F051EB75-3767-9F4F-9944-7330A66CCF89}" type="parTrans" cxnId="{C84F7938-7D96-D74C-AD0E-6D07F76ED240}">
      <dgm:prSet/>
      <dgm:spPr/>
      <dgm:t>
        <a:bodyPr/>
        <a:lstStyle/>
        <a:p>
          <a:endParaRPr lang="en-US"/>
        </a:p>
      </dgm:t>
    </dgm:pt>
    <dgm:pt modelId="{C56F32A3-CCF2-B149-9CB1-704E73787AD5}" type="sibTrans" cxnId="{C84F7938-7D96-D74C-AD0E-6D07F76ED240}">
      <dgm:prSet/>
      <dgm:spPr/>
      <dgm:t>
        <a:bodyPr/>
        <a:lstStyle/>
        <a:p>
          <a:endParaRPr lang="en-US"/>
        </a:p>
      </dgm:t>
    </dgm:pt>
    <dgm:pt modelId="{D07273B3-7CE7-D144-8752-5F3AB1C4364D}">
      <dgm:prSet phldrT="[Text]"/>
      <dgm:spPr/>
      <dgm:t>
        <a:bodyPr/>
        <a:lstStyle/>
        <a:p>
          <a:r>
            <a:rPr lang="en-US"/>
            <a:t>Small frequent exercises</a:t>
          </a:r>
        </a:p>
      </dgm:t>
    </dgm:pt>
    <dgm:pt modelId="{9E634843-89E0-5844-833A-7A208101AB21}" type="parTrans" cxnId="{DD14126E-0F0D-6B49-8326-A8AE1E688186}">
      <dgm:prSet/>
      <dgm:spPr/>
      <dgm:t>
        <a:bodyPr/>
        <a:lstStyle/>
        <a:p>
          <a:endParaRPr lang="en-US"/>
        </a:p>
      </dgm:t>
    </dgm:pt>
    <dgm:pt modelId="{E9AA035A-B024-3E4F-975B-2D723ECFEEA1}" type="sibTrans" cxnId="{DD14126E-0F0D-6B49-8326-A8AE1E688186}">
      <dgm:prSet/>
      <dgm:spPr/>
      <dgm:t>
        <a:bodyPr/>
        <a:lstStyle/>
        <a:p>
          <a:endParaRPr lang="en-US"/>
        </a:p>
      </dgm:t>
    </dgm:pt>
    <dgm:pt modelId="{0468884F-D907-2646-889E-EA824275C551}">
      <dgm:prSet phldrT="[Text]"/>
      <dgm:spPr/>
      <dgm:t>
        <a:bodyPr/>
        <a:lstStyle/>
        <a:p>
          <a:r>
            <a:rPr lang="en-US"/>
            <a:t>Authentic, repectful, valued</a:t>
          </a:r>
        </a:p>
      </dgm:t>
    </dgm:pt>
    <dgm:pt modelId="{47D6EC99-1404-7F42-B1D5-982E301CDBCF}" type="parTrans" cxnId="{1FBF8C9B-4431-3A49-A034-B25291B85CA7}">
      <dgm:prSet/>
      <dgm:spPr/>
      <dgm:t>
        <a:bodyPr/>
        <a:lstStyle/>
        <a:p>
          <a:endParaRPr lang="en-US"/>
        </a:p>
      </dgm:t>
    </dgm:pt>
    <dgm:pt modelId="{88A778F9-5318-5842-AEB2-6E8389475748}" type="sibTrans" cxnId="{1FBF8C9B-4431-3A49-A034-B25291B85CA7}">
      <dgm:prSet/>
      <dgm:spPr/>
      <dgm:t>
        <a:bodyPr/>
        <a:lstStyle/>
        <a:p>
          <a:endParaRPr lang="en-US"/>
        </a:p>
      </dgm:t>
    </dgm:pt>
    <dgm:pt modelId="{82EF9F00-65AC-1648-B640-3BE06BF18042}">
      <dgm:prSet phldrT="[Text]"/>
      <dgm:spPr/>
      <dgm:t>
        <a:bodyPr/>
        <a:lstStyle/>
        <a:p>
          <a:r>
            <a:rPr lang="en-US"/>
            <a:t>Patient safety</a:t>
          </a:r>
        </a:p>
      </dgm:t>
    </dgm:pt>
    <dgm:pt modelId="{B10F1332-0937-AC4E-8C6C-9EE70B9E50B1}" type="parTrans" cxnId="{90BA1A6F-FD61-A443-9540-669F82ED4246}">
      <dgm:prSet/>
      <dgm:spPr/>
      <dgm:t>
        <a:bodyPr/>
        <a:lstStyle/>
        <a:p>
          <a:endParaRPr lang="en-US"/>
        </a:p>
      </dgm:t>
    </dgm:pt>
    <dgm:pt modelId="{BAEF1550-940C-0E44-BBF9-44822FD97D1A}" type="sibTrans" cxnId="{90BA1A6F-FD61-A443-9540-669F82ED4246}">
      <dgm:prSet/>
      <dgm:spPr/>
      <dgm:t>
        <a:bodyPr/>
        <a:lstStyle/>
        <a:p>
          <a:endParaRPr lang="en-US"/>
        </a:p>
      </dgm:t>
    </dgm:pt>
    <dgm:pt modelId="{3CFD2238-8E74-194F-BBAC-348B21AEA6AC}">
      <dgm:prSet phldrT="[Text]"/>
      <dgm:spPr/>
      <dgm:t>
        <a:bodyPr/>
        <a:lstStyle/>
        <a:p>
          <a:r>
            <a:rPr lang="en-US"/>
            <a:t>Assessment of risk</a:t>
          </a:r>
        </a:p>
      </dgm:t>
    </dgm:pt>
    <dgm:pt modelId="{BD4AEEC2-15E2-B643-A4D4-DEA91841C4CC}" type="parTrans" cxnId="{65119DD4-DC6C-304B-AC11-A6FF6CDC70E6}">
      <dgm:prSet/>
      <dgm:spPr/>
      <dgm:t>
        <a:bodyPr/>
        <a:lstStyle/>
        <a:p>
          <a:endParaRPr lang="en-US"/>
        </a:p>
      </dgm:t>
    </dgm:pt>
    <dgm:pt modelId="{03DF3C82-A74C-9C4C-973A-0B69474633AD}" type="sibTrans" cxnId="{65119DD4-DC6C-304B-AC11-A6FF6CDC70E6}">
      <dgm:prSet/>
      <dgm:spPr/>
      <dgm:t>
        <a:bodyPr/>
        <a:lstStyle/>
        <a:p>
          <a:endParaRPr lang="en-US"/>
        </a:p>
      </dgm:t>
    </dgm:pt>
    <dgm:pt modelId="{66BE36B0-5BB3-B040-92A0-505092142407}">
      <dgm:prSet phldrT="[Text]"/>
      <dgm:spPr/>
      <dgm:t>
        <a:bodyPr/>
        <a:lstStyle/>
        <a:p>
          <a:r>
            <a:rPr lang="en-US"/>
            <a:t>Managing risk</a:t>
          </a:r>
        </a:p>
      </dgm:t>
    </dgm:pt>
    <dgm:pt modelId="{9C3B188A-9897-6A41-9509-1934B6646348}" type="parTrans" cxnId="{3385AB98-2EB5-CC43-B14A-59D3D6313FE2}">
      <dgm:prSet/>
      <dgm:spPr/>
      <dgm:t>
        <a:bodyPr/>
        <a:lstStyle/>
        <a:p>
          <a:endParaRPr lang="en-US"/>
        </a:p>
      </dgm:t>
    </dgm:pt>
    <dgm:pt modelId="{EA0482CA-3041-6C40-A441-81578BA76413}" type="sibTrans" cxnId="{3385AB98-2EB5-CC43-B14A-59D3D6313FE2}">
      <dgm:prSet/>
      <dgm:spPr/>
      <dgm:t>
        <a:bodyPr/>
        <a:lstStyle/>
        <a:p>
          <a:endParaRPr lang="en-US"/>
        </a:p>
      </dgm:t>
    </dgm:pt>
    <dgm:pt modelId="{515AC45A-7E4D-6442-BD2A-79ED4E2FEC14}">
      <dgm:prSet phldrT="[Text]"/>
      <dgm:spPr/>
      <dgm:t>
        <a:bodyPr/>
        <a:lstStyle/>
        <a:p>
          <a:r>
            <a:rPr lang="en-US"/>
            <a:t>Learning from serious untoward incidents</a:t>
          </a:r>
        </a:p>
      </dgm:t>
    </dgm:pt>
    <dgm:pt modelId="{A0A83D4B-4539-034A-9EEC-791192731C39}" type="parTrans" cxnId="{82CCE576-4535-8A4B-8CA9-79B6B24A35F4}">
      <dgm:prSet/>
      <dgm:spPr/>
      <dgm:t>
        <a:bodyPr/>
        <a:lstStyle/>
        <a:p>
          <a:endParaRPr lang="en-US"/>
        </a:p>
      </dgm:t>
    </dgm:pt>
    <dgm:pt modelId="{F76AAC03-8B1B-7D4D-9E6B-D0A103368A83}" type="sibTrans" cxnId="{82CCE576-4535-8A4B-8CA9-79B6B24A35F4}">
      <dgm:prSet/>
      <dgm:spPr/>
      <dgm:t>
        <a:bodyPr/>
        <a:lstStyle/>
        <a:p>
          <a:endParaRPr lang="en-US"/>
        </a:p>
      </dgm:t>
    </dgm:pt>
    <dgm:pt modelId="{38D1545D-A152-AD4A-AA82-D687D58DA44B}">
      <dgm:prSet phldrT="[Text]"/>
      <dgm:spPr/>
      <dgm:t>
        <a:bodyPr/>
        <a:lstStyle/>
        <a:p>
          <a:r>
            <a:rPr lang="en-US"/>
            <a:t>Skill development around process and system</a:t>
          </a:r>
        </a:p>
      </dgm:t>
    </dgm:pt>
    <dgm:pt modelId="{506E27E4-A16F-5D4A-A976-565655A3C3F7}" type="parTrans" cxnId="{1DF3D8A6-B9A4-2E47-A0DA-8093F9028A07}">
      <dgm:prSet/>
      <dgm:spPr/>
      <dgm:t>
        <a:bodyPr/>
        <a:lstStyle/>
        <a:p>
          <a:endParaRPr lang="en-US"/>
        </a:p>
      </dgm:t>
    </dgm:pt>
    <dgm:pt modelId="{26767115-9408-6C40-A43E-E13DC6CC2FD0}" type="sibTrans" cxnId="{1DF3D8A6-B9A4-2E47-A0DA-8093F9028A07}">
      <dgm:prSet/>
      <dgm:spPr/>
      <dgm:t>
        <a:bodyPr/>
        <a:lstStyle/>
        <a:p>
          <a:endParaRPr lang="en-US"/>
        </a:p>
      </dgm:t>
    </dgm:pt>
    <dgm:pt modelId="{7EA1607D-D87C-F842-9109-DC488766A708}">
      <dgm:prSet phldrT="[Text]"/>
      <dgm:spPr/>
      <dgm:t>
        <a:bodyPr/>
        <a:lstStyle/>
        <a:p>
          <a:r>
            <a:rPr lang="en-US"/>
            <a:t>Contextualise, learn along side applicaiton</a:t>
          </a:r>
        </a:p>
      </dgm:t>
    </dgm:pt>
    <dgm:pt modelId="{4A5BAB01-ECDD-034F-8983-4577E559CD3D}" type="parTrans" cxnId="{88C29293-CB10-444E-9865-ADC2053EE190}">
      <dgm:prSet/>
      <dgm:spPr/>
      <dgm:t>
        <a:bodyPr/>
        <a:lstStyle/>
        <a:p>
          <a:endParaRPr lang="en-US"/>
        </a:p>
      </dgm:t>
    </dgm:pt>
    <dgm:pt modelId="{3CDA4827-26E7-7347-924C-C195840CBE01}" type="sibTrans" cxnId="{88C29293-CB10-444E-9865-ADC2053EE190}">
      <dgm:prSet/>
      <dgm:spPr/>
      <dgm:t>
        <a:bodyPr/>
        <a:lstStyle/>
        <a:p>
          <a:endParaRPr lang="en-US"/>
        </a:p>
      </dgm:t>
    </dgm:pt>
    <dgm:pt modelId="{B9F0242D-8080-FD4F-8F4C-74B8245FFB09}" type="pres">
      <dgm:prSet presAssocID="{76E867FA-980E-744D-BD5E-A86FEE11C303}" presName="cycle" presStyleCnt="0">
        <dgm:presLayoutVars>
          <dgm:chMax val="1"/>
          <dgm:dir/>
          <dgm:animLvl val="ctr"/>
          <dgm:resizeHandles val="exact"/>
        </dgm:presLayoutVars>
      </dgm:prSet>
      <dgm:spPr/>
    </dgm:pt>
    <dgm:pt modelId="{CFFD5E09-2AD5-664C-9B89-5F0B8AB09EFB}" type="pres">
      <dgm:prSet presAssocID="{21F33802-6378-F846-8548-980F8447FF2E}" presName="centerShape" presStyleLbl="node0" presStyleIdx="0" presStyleCnt="1"/>
      <dgm:spPr/>
    </dgm:pt>
    <dgm:pt modelId="{F25CDF65-601D-8A47-94AD-CD44909E051B}" type="pres">
      <dgm:prSet presAssocID="{83706349-F809-6F48-81A3-0735145CAD80}" presName="Name9" presStyleLbl="parChTrans1D2" presStyleIdx="0" presStyleCnt="6"/>
      <dgm:spPr/>
    </dgm:pt>
    <dgm:pt modelId="{7AB356A3-E526-4C42-8932-8BE7B26AB212}" type="pres">
      <dgm:prSet presAssocID="{83706349-F809-6F48-81A3-0735145CAD80}" presName="connTx" presStyleLbl="parChTrans1D2" presStyleIdx="0" presStyleCnt="6"/>
      <dgm:spPr/>
    </dgm:pt>
    <dgm:pt modelId="{2D59D095-96C6-B54D-AD19-182504424826}" type="pres">
      <dgm:prSet presAssocID="{244A2D66-4C52-EB43-AEAB-ECE59E973742}" presName="node" presStyleLbl="node1" presStyleIdx="0" presStyleCnt="6">
        <dgm:presLayoutVars>
          <dgm:bulletEnabled val="1"/>
        </dgm:presLayoutVars>
      </dgm:prSet>
      <dgm:spPr/>
    </dgm:pt>
    <dgm:pt modelId="{FBF829EF-8F36-754B-BCBB-F9710E403672}" type="pres">
      <dgm:prSet presAssocID="{550B4787-DAD8-FE49-B731-2DC2977D8E55}" presName="Name9" presStyleLbl="parChTrans1D2" presStyleIdx="1" presStyleCnt="6"/>
      <dgm:spPr/>
    </dgm:pt>
    <dgm:pt modelId="{FDBC8606-8C47-5248-A386-BE4DD4B35950}" type="pres">
      <dgm:prSet presAssocID="{550B4787-DAD8-FE49-B731-2DC2977D8E55}" presName="connTx" presStyleLbl="parChTrans1D2" presStyleIdx="1" presStyleCnt="6"/>
      <dgm:spPr/>
    </dgm:pt>
    <dgm:pt modelId="{4013632F-4239-894A-9F42-FB48D317C1C7}" type="pres">
      <dgm:prSet presAssocID="{24AD5F82-0449-E048-ABE8-868C83A45B4B}" presName="node" presStyleLbl="node1" presStyleIdx="1" presStyleCnt="6">
        <dgm:presLayoutVars>
          <dgm:bulletEnabled val="1"/>
        </dgm:presLayoutVars>
      </dgm:prSet>
      <dgm:spPr/>
    </dgm:pt>
    <dgm:pt modelId="{B6915EAC-DEC2-6A48-A6E1-51990005CDEC}" type="pres">
      <dgm:prSet presAssocID="{1E6BE541-FCCF-BF4C-A84E-0B84636515EF}" presName="Name9" presStyleLbl="parChTrans1D2" presStyleIdx="2" presStyleCnt="6"/>
      <dgm:spPr/>
    </dgm:pt>
    <dgm:pt modelId="{2CC3645B-2795-D541-85C6-04EEEEED387B}" type="pres">
      <dgm:prSet presAssocID="{1E6BE541-FCCF-BF4C-A84E-0B84636515EF}" presName="connTx" presStyleLbl="parChTrans1D2" presStyleIdx="2" presStyleCnt="6"/>
      <dgm:spPr/>
    </dgm:pt>
    <dgm:pt modelId="{01282124-BE69-6940-B920-2379146C2766}" type="pres">
      <dgm:prSet presAssocID="{1593A994-E2F8-3F44-87D9-D63C095B96C5}" presName="node" presStyleLbl="node1" presStyleIdx="2" presStyleCnt="6">
        <dgm:presLayoutVars>
          <dgm:bulletEnabled val="1"/>
        </dgm:presLayoutVars>
      </dgm:prSet>
      <dgm:spPr/>
    </dgm:pt>
    <dgm:pt modelId="{F5519E52-D47D-D645-8106-AD7AA0B4E71F}" type="pres">
      <dgm:prSet presAssocID="{7D9338B7-11BC-5240-8F6A-2E3574D09932}" presName="Name9" presStyleLbl="parChTrans1D2" presStyleIdx="3" presStyleCnt="6"/>
      <dgm:spPr/>
    </dgm:pt>
    <dgm:pt modelId="{512B6C91-D860-1241-B10B-F6C1D2142E14}" type="pres">
      <dgm:prSet presAssocID="{7D9338B7-11BC-5240-8F6A-2E3574D09932}" presName="connTx" presStyleLbl="parChTrans1D2" presStyleIdx="3" presStyleCnt="6"/>
      <dgm:spPr/>
    </dgm:pt>
    <dgm:pt modelId="{37088883-32C5-1B46-90F2-D55FB43414B0}" type="pres">
      <dgm:prSet presAssocID="{92BA7E28-0351-FF41-AC07-932FF9279110}" presName="node" presStyleLbl="node1" presStyleIdx="3" presStyleCnt="6">
        <dgm:presLayoutVars>
          <dgm:bulletEnabled val="1"/>
        </dgm:presLayoutVars>
      </dgm:prSet>
      <dgm:spPr/>
    </dgm:pt>
    <dgm:pt modelId="{B53659CF-B4EA-994C-9B7A-ED67F976DB16}" type="pres">
      <dgm:prSet presAssocID="{115C8EF8-ECD3-1B45-A33F-2F5F58C907E5}" presName="Name9" presStyleLbl="parChTrans1D2" presStyleIdx="4" presStyleCnt="6"/>
      <dgm:spPr/>
    </dgm:pt>
    <dgm:pt modelId="{28482162-D5E4-BC40-A196-338889698927}" type="pres">
      <dgm:prSet presAssocID="{115C8EF8-ECD3-1B45-A33F-2F5F58C907E5}" presName="connTx" presStyleLbl="parChTrans1D2" presStyleIdx="4" presStyleCnt="6"/>
      <dgm:spPr/>
    </dgm:pt>
    <dgm:pt modelId="{C29ED962-FACF-E640-84F0-7AC700765306}" type="pres">
      <dgm:prSet presAssocID="{00701414-1E38-E24A-9E2F-F38CDEB84810}" presName="node" presStyleLbl="node1" presStyleIdx="4" presStyleCnt="6">
        <dgm:presLayoutVars>
          <dgm:bulletEnabled val="1"/>
        </dgm:presLayoutVars>
      </dgm:prSet>
      <dgm:spPr/>
    </dgm:pt>
    <dgm:pt modelId="{8D6395AA-D3C8-C444-9DE4-61A8F3BDB7AE}" type="pres">
      <dgm:prSet presAssocID="{B10F1332-0937-AC4E-8C6C-9EE70B9E50B1}" presName="Name9" presStyleLbl="parChTrans1D2" presStyleIdx="5" presStyleCnt="6"/>
      <dgm:spPr/>
    </dgm:pt>
    <dgm:pt modelId="{09D7C5FE-F503-774D-85FD-0400EB125A26}" type="pres">
      <dgm:prSet presAssocID="{B10F1332-0937-AC4E-8C6C-9EE70B9E50B1}" presName="connTx" presStyleLbl="parChTrans1D2" presStyleIdx="5" presStyleCnt="6"/>
      <dgm:spPr/>
    </dgm:pt>
    <dgm:pt modelId="{166E822E-BD45-B547-91CF-E043E4236F7C}" type="pres">
      <dgm:prSet presAssocID="{82EF9F00-65AC-1648-B640-3BE06BF18042}" presName="node" presStyleLbl="node1" presStyleIdx="5" presStyleCnt="6">
        <dgm:presLayoutVars>
          <dgm:bulletEnabled val="1"/>
        </dgm:presLayoutVars>
      </dgm:prSet>
      <dgm:spPr/>
    </dgm:pt>
  </dgm:ptLst>
  <dgm:cxnLst>
    <dgm:cxn modelId="{BDA75907-396A-F548-9BE7-3939F26F1B81}" type="presOf" srcId="{745D0A05-455D-7E41-9A8F-A2FC1074C60C}" destId="{C29ED962-FACF-E640-84F0-7AC700765306}" srcOrd="0" destOrd="4" presId="urn:microsoft.com/office/officeart/2005/8/layout/radial1"/>
    <dgm:cxn modelId="{06128308-F5D4-824D-9A14-88BF7D329F77}" type="presOf" srcId="{3CFD2238-8E74-194F-BBAC-348B21AEA6AC}" destId="{166E822E-BD45-B547-91CF-E043E4236F7C}" srcOrd="0" destOrd="1" presId="urn:microsoft.com/office/officeart/2005/8/layout/radial1"/>
    <dgm:cxn modelId="{5127940C-9BA3-6E46-A96B-542E82FA8CD4}" srcId="{1593A994-E2F8-3F44-87D9-D63C095B96C5}" destId="{B7C093DC-CBD0-4F49-9E6A-0E4C56727A37}" srcOrd="0" destOrd="0" parTransId="{839C9444-871D-0349-BDFD-27C876CAEC40}" sibTransId="{7422708A-7216-744A-AABA-EE71940E5ADF}"/>
    <dgm:cxn modelId="{B5F31C0D-4F23-1040-8B4E-42909FAF6BBB}" type="presOf" srcId="{D07273B3-7CE7-D144-8752-5F3AB1C4364D}" destId="{4013632F-4239-894A-9F42-FB48D317C1C7}" srcOrd="0" destOrd="2" presId="urn:microsoft.com/office/officeart/2005/8/layout/radial1"/>
    <dgm:cxn modelId="{ED0C840E-55E9-6345-83C1-4477FFFD14D3}" type="presOf" srcId="{C3E46233-CF28-A949-A850-69F911CE47DF}" destId="{C29ED962-FACF-E640-84F0-7AC700765306}" srcOrd="0" destOrd="1" presId="urn:microsoft.com/office/officeart/2005/8/layout/radial1"/>
    <dgm:cxn modelId="{6E28FD0E-6814-5144-930D-AE57939E1E72}" type="presOf" srcId="{92BA7E28-0351-FF41-AC07-932FF9279110}" destId="{37088883-32C5-1B46-90F2-D55FB43414B0}" srcOrd="0" destOrd="0" presId="urn:microsoft.com/office/officeart/2005/8/layout/radial1"/>
    <dgm:cxn modelId="{A54F8314-AF97-6B47-84BC-6FF4307001B0}" type="presOf" srcId="{7D9338B7-11BC-5240-8F6A-2E3574D09932}" destId="{512B6C91-D860-1241-B10B-F6C1D2142E14}" srcOrd="1" destOrd="0" presId="urn:microsoft.com/office/officeart/2005/8/layout/radial1"/>
    <dgm:cxn modelId="{68A0D716-3325-AA4C-B6E1-BE661B7110DC}" type="presOf" srcId="{115C8EF8-ECD3-1B45-A33F-2F5F58C907E5}" destId="{28482162-D5E4-BC40-A196-338889698927}" srcOrd="1" destOrd="0" presId="urn:microsoft.com/office/officeart/2005/8/layout/radial1"/>
    <dgm:cxn modelId="{8C420D19-C6E9-EB4F-95DF-69FE5DC68F24}" srcId="{24AD5F82-0449-E048-ABE8-868C83A45B4B}" destId="{FB31E591-2AD7-4146-B581-5325558BDEF6}" srcOrd="7" destOrd="0" parTransId="{5AFAD565-0DF6-F34D-B36F-CFB19E9F4F9F}" sibTransId="{5E1D1F62-9CCC-DB4C-BFF1-FCB77418ED0B}"/>
    <dgm:cxn modelId="{B20BAE21-3727-DB4A-B3D3-27B64F4D816E}" srcId="{00701414-1E38-E24A-9E2F-F38CDEB84810}" destId="{AC99E567-9100-F744-B97B-13BD1E16F8C5}" srcOrd="1" destOrd="0" parTransId="{163EC60B-7B75-4042-A743-87ED9A07A285}" sibTransId="{20F4314B-D54A-1046-AEF5-7578E8A6999E}"/>
    <dgm:cxn modelId="{3B2D8A24-45EF-F34D-A45E-D2FEA3181073}" srcId="{21F33802-6378-F846-8548-980F8447FF2E}" destId="{24AD5F82-0449-E048-ABE8-868C83A45B4B}" srcOrd="1" destOrd="0" parTransId="{550B4787-DAD8-FE49-B731-2DC2977D8E55}" sibTransId="{46E7DBF3-03DA-C449-B26B-046AA61AC805}"/>
    <dgm:cxn modelId="{15EC9A2E-BEC7-0848-988D-6C7E5BD4A984}" type="presOf" srcId="{21F33802-6378-F846-8548-980F8447FF2E}" destId="{CFFD5E09-2AD5-664C-9B89-5F0B8AB09EFB}" srcOrd="0" destOrd="0" presId="urn:microsoft.com/office/officeart/2005/8/layout/radial1"/>
    <dgm:cxn modelId="{F93F992F-880D-1547-8F04-E36A840A091A}" srcId="{21F33802-6378-F846-8548-980F8447FF2E}" destId="{244A2D66-4C52-EB43-AEAB-ECE59E973742}" srcOrd="0" destOrd="0" parTransId="{83706349-F809-6F48-81A3-0735145CAD80}" sibTransId="{EB017A63-4952-2C47-AFEE-04294F2D546E}"/>
    <dgm:cxn modelId="{FB03A832-0F1D-B949-BFC8-95D667F5EAD8}" srcId="{244A2D66-4C52-EB43-AEAB-ECE59E973742}" destId="{D693EB57-396B-944C-BBF7-91EF754AC987}" srcOrd="2" destOrd="0" parTransId="{72462DA3-FFD8-F44E-90AB-876E1892B77E}" sibTransId="{FA7AE142-C1E4-9547-9554-C7827C72541C}"/>
    <dgm:cxn modelId="{427D0234-0810-C545-BD8A-0E483ED9369A}" type="presOf" srcId="{B227CB43-9A57-774D-845A-1D85B60BD75D}" destId="{4013632F-4239-894A-9F42-FB48D317C1C7}" srcOrd="0" destOrd="4" presId="urn:microsoft.com/office/officeart/2005/8/layout/radial1"/>
    <dgm:cxn modelId="{3FA89234-2E02-E04A-8494-A95B712B6CB7}" type="presOf" srcId="{82EF9F00-65AC-1648-B640-3BE06BF18042}" destId="{166E822E-BD45-B547-91CF-E043E4236F7C}" srcOrd="0" destOrd="0" presId="urn:microsoft.com/office/officeart/2005/8/layout/radial1"/>
    <dgm:cxn modelId="{A51D5538-64C7-F04A-8F95-AE59A3E9A696}" type="presOf" srcId="{7D9338B7-11BC-5240-8F6A-2E3574D09932}" destId="{F5519E52-D47D-D645-8106-AD7AA0B4E71F}" srcOrd="0" destOrd="0" presId="urn:microsoft.com/office/officeart/2005/8/layout/radial1"/>
    <dgm:cxn modelId="{C84F7938-7D96-D74C-AD0E-6D07F76ED240}" srcId="{24AD5F82-0449-E048-ABE8-868C83A45B4B}" destId="{C8BA5620-4B0E-7A4E-9132-F0866C90A32B}" srcOrd="0" destOrd="0" parTransId="{F051EB75-3767-9F4F-9944-7330A66CCF89}" sibTransId="{C56F32A3-CCF2-B149-9CB1-704E73787AD5}"/>
    <dgm:cxn modelId="{75663539-6267-5842-BC43-73DC105E6A42}" type="presOf" srcId="{515AC45A-7E4D-6442-BD2A-79ED4E2FEC14}" destId="{166E822E-BD45-B547-91CF-E043E4236F7C}" srcOrd="0" destOrd="3" presId="urn:microsoft.com/office/officeart/2005/8/layout/radial1"/>
    <dgm:cxn modelId="{1C67743A-B147-994B-AAC0-77BE2394CB14}" srcId="{244A2D66-4C52-EB43-AEAB-ECE59E973742}" destId="{1ECF3592-191D-0D4F-80C2-3A790553005E}" srcOrd="1" destOrd="0" parTransId="{794358D2-1D09-0F41-858F-8BB9FC32CA80}" sibTransId="{10351BB7-C296-7E40-A747-E71DDC7F3C59}"/>
    <dgm:cxn modelId="{255EFC3C-1BC3-4445-8841-BFD3F688299A}" type="presOf" srcId="{B10F1332-0937-AC4E-8C6C-9EE70B9E50B1}" destId="{09D7C5FE-F503-774D-85FD-0400EB125A26}" srcOrd="1" destOrd="0" presId="urn:microsoft.com/office/officeart/2005/8/layout/radial1"/>
    <dgm:cxn modelId="{0BB7765E-B25C-E44E-B568-127D4C6C3C2A}" srcId="{1593A994-E2F8-3F44-87D9-D63C095B96C5}" destId="{D18BB3A3-4240-1443-9813-A4CFC644EBA4}" srcOrd="1" destOrd="0" parTransId="{8180156F-9C99-0341-A5C1-164784D09E96}" sibTransId="{556C0521-723D-2A41-9926-C0C7A576133E}"/>
    <dgm:cxn modelId="{90A80741-818C-0B40-B2E2-ADC3D024BC4E}" type="presOf" srcId="{00701414-1E38-E24A-9E2F-F38CDEB84810}" destId="{C29ED962-FACF-E640-84F0-7AC700765306}" srcOrd="0" destOrd="0" presId="urn:microsoft.com/office/officeart/2005/8/layout/radial1"/>
    <dgm:cxn modelId="{80DA3944-4B8C-014B-94E9-47A5DC017F14}" type="presOf" srcId="{BDFF3D6A-1EB9-7C46-A4EC-E3F159311767}" destId="{01282124-BE69-6940-B920-2379146C2766}" srcOrd="0" destOrd="5" presId="urn:microsoft.com/office/officeart/2005/8/layout/radial1"/>
    <dgm:cxn modelId="{A827FC64-9CD2-6544-88CE-250422E4A283}" type="presOf" srcId="{B7C093DC-CBD0-4F49-9E6A-0E4C56727A37}" destId="{01282124-BE69-6940-B920-2379146C2766}" srcOrd="0" destOrd="1" presId="urn:microsoft.com/office/officeart/2005/8/layout/radial1"/>
    <dgm:cxn modelId="{CBA72766-5A19-6446-854C-AB684BF332D7}" srcId="{1593A994-E2F8-3F44-87D9-D63C095B96C5}" destId="{768E7E44-584E-684E-90AF-A96B2E7A2188}" srcOrd="2" destOrd="0" parTransId="{94B78A03-85F9-4244-B106-60C2F33D35C5}" sibTransId="{7521E0CA-A062-6249-B5D6-4F9636F51C61}"/>
    <dgm:cxn modelId="{B3417048-A03A-0F4B-A930-189AE178DF0E}" srcId="{92BA7E28-0351-FF41-AC07-932FF9279110}" destId="{EBE2ABC1-EB16-2340-A9DA-956FDD65A3B4}" srcOrd="0" destOrd="0" parTransId="{6E68BCB5-5C1F-144E-A32B-0FE6B923D7A4}" sibTransId="{AB68D833-5840-D24C-B6FC-51E797166D48}"/>
    <dgm:cxn modelId="{2AE7656A-AA5C-FC40-AB97-09D66A6133F2}" type="presOf" srcId="{83706349-F809-6F48-81A3-0735145CAD80}" destId="{7AB356A3-E526-4C42-8932-8BE7B26AB212}" srcOrd="1" destOrd="0" presId="urn:microsoft.com/office/officeart/2005/8/layout/radial1"/>
    <dgm:cxn modelId="{ABC1A24A-288F-6D4B-9C91-4ED8EC7B54B8}" type="presOf" srcId="{83944164-F069-BA40-9288-C75B4B642F6A}" destId="{37088883-32C5-1B46-90F2-D55FB43414B0}" srcOrd="0" destOrd="2" presId="urn:microsoft.com/office/officeart/2005/8/layout/radial1"/>
    <dgm:cxn modelId="{D959D44C-FE9A-AD4E-8128-D0247DCB858C}" srcId="{76E867FA-980E-744D-BD5E-A86FEE11C303}" destId="{21F33802-6378-F846-8548-980F8447FF2E}" srcOrd="0" destOrd="0" parTransId="{95B5316F-3CEA-3E44-B162-F9772FA3E27B}" sibTransId="{B8FC719C-9336-6C4F-B457-FC25F354AFC8}"/>
    <dgm:cxn modelId="{FCB11A4D-090D-1549-861B-CBBEA9308012}" srcId="{21F33802-6378-F846-8548-980F8447FF2E}" destId="{1593A994-E2F8-3F44-87D9-D63C095B96C5}" srcOrd="2" destOrd="0" parTransId="{1E6BE541-FCCF-BF4C-A84E-0B84636515EF}" sibTransId="{52589508-AA57-A24E-A6E6-09F630BD85F9}"/>
    <dgm:cxn modelId="{DD14126E-0F0D-6B49-8326-A8AE1E688186}" srcId="{24AD5F82-0449-E048-ABE8-868C83A45B4B}" destId="{D07273B3-7CE7-D144-8752-5F3AB1C4364D}" srcOrd="1" destOrd="0" parTransId="{9E634843-89E0-5844-833A-7A208101AB21}" sibTransId="{E9AA035A-B024-3E4F-975B-2D723ECFEEA1}"/>
    <dgm:cxn modelId="{84CFDA6E-C23D-6C46-B05B-4D57B33CE68E}" type="presOf" srcId="{FB31E591-2AD7-4146-B581-5325558BDEF6}" destId="{4013632F-4239-894A-9F42-FB48D317C1C7}" srcOrd="0" destOrd="8" presId="urn:microsoft.com/office/officeart/2005/8/layout/radial1"/>
    <dgm:cxn modelId="{90BA1A6F-FD61-A443-9540-669F82ED4246}" srcId="{21F33802-6378-F846-8548-980F8447FF2E}" destId="{82EF9F00-65AC-1648-B640-3BE06BF18042}" srcOrd="5" destOrd="0" parTransId="{B10F1332-0937-AC4E-8C6C-9EE70B9E50B1}" sibTransId="{BAEF1550-940C-0E44-BBF9-44822FD97D1A}"/>
    <dgm:cxn modelId="{F0FD0D54-563E-694B-AB21-ED4495BCF2A2}" type="presOf" srcId="{550B4787-DAD8-FE49-B731-2DC2977D8E55}" destId="{FBF829EF-8F36-754B-BCBB-F9710E403672}" srcOrd="0" destOrd="0" presId="urn:microsoft.com/office/officeart/2005/8/layout/radial1"/>
    <dgm:cxn modelId="{EEFDF055-91C9-3648-95DB-A684D36B609E}" srcId="{1593A994-E2F8-3F44-87D9-D63C095B96C5}" destId="{DC386658-0C37-E14B-97FB-97AE2DE7F71E}" srcOrd="3" destOrd="0" parTransId="{1C20FF30-2D55-3540-AF5C-65CECC1EB065}" sibTransId="{0FD00716-30C3-3045-9094-2C8B83339446}"/>
    <dgm:cxn modelId="{3B8B4056-0FA3-0145-9EDA-265085E69D81}" srcId="{24AD5F82-0449-E048-ABE8-868C83A45B4B}" destId="{32EA6060-C056-5E49-B869-D695CC20C290}" srcOrd="6" destOrd="0" parTransId="{06F82AB9-99A8-BF4F-88CF-54E94AE7D87D}" sibTransId="{17CA661D-0EBF-C34C-AEA2-76BC859F484A}"/>
    <dgm:cxn modelId="{35FF7256-6267-E847-B8D9-6FB7A03BE031}" type="presOf" srcId="{D693EB57-396B-944C-BBF7-91EF754AC987}" destId="{2D59D095-96C6-B54D-AD19-182504424826}" srcOrd="0" destOrd="3" presId="urn:microsoft.com/office/officeart/2005/8/layout/radial1"/>
    <dgm:cxn modelId="{82CCE576-4535-8A4B-8CA9-79B6B24A35F4}" srcId="{82EF9F00-65AC-1648-B640-3BE06BF18042}" destId="{515AC45A-7E4D-6442-BD2A-79ED4E2FEC14}" srcOrd="2" destOrd="0" parTransId="{A0A83D4B-4539-034A-9EEC-791192731C39}" sibTransId="{F76AAC03-8B1B-7D4D-9E6B-D0A103368A83}"/>
    <dgm:cxn modelId="{06FE4A58-0D05-1B4C-956D-30806C80B531}" type="presOf" srcId="{AC99E567-9100-F744-B97B-13BD1E16F8C5}" destId="{C29ED962-FACF-E640-84F0-7AC700765306}" srcOrd="0" destOrd="2" presId="urn:microsoft.com/office/officeart/2005/8/layout/radial1"/>
    <dgm:cxn modelId="{CC959A7C-9440-814B-BC99-D5C407DD0EF1}" type="presOf" srcId="{1593A994-E2F8-3F44-87D9-D63C095B96C5}" destId="{01282124-BE69-6940-B920-2379146C2766}" srcOrd="0" destOrd="0" presId="urn:microsoft.com/office/officeart/2005/8/layout/radial1"/>
    <dgm:cxn modelId="{3B9C1C80-CA1F-5D47-8636-ECEE9DA7A063}" srcId="{21F33802-6378-F846-8548-980F8447FF2E}" destId="{00701414-1E38-E24A-9E2F-F38CDEB84810}" srcOrd="4" destOrd="0" parTransId="{115C8EF8-ECD3-1B45-A33F-2F5F58C907E5}" sibTransId="{FBC2559E-78DE-3241-AB5C-F882FEE88E4E}"/>
    <dgm:cxn modelId="{93255D82-1587-284B-9DBF-D34168DB7429}" type="presOf" srcId="{C9D54897-1277-F344-B88C-3BF1C77B788D}" destId="{4013632F-4239-894A-9F42-FB48D317C1C7}" srcOrd="0" destOrd="3" presId="urn:microsoft.com/office/officeart/2005/8/layout/radial1"/>
    <dgm:cxn modelId="{9CF5D685-253A-1C43-950C-601C8B497B3D}" type="presOf" srcId="{24ABD1CD-7D2A-1E45-B363-85003891A2CD}" destId="{2D59D095-96C6-B54D-AD19-182504424826}" srcOrd="0" destOrd="1" presId="urn:microsoft.com/office/officeart/2005/8/layout/radial1"/>
    <dgm:cxn modelId="{F2C93289-771E-7E4C-AEC6-B1F40CB40330}" srcId="{00701414-1E38-E24A-9E2F-F38CDEB84810}" destId="{B124066F-28D2-4F4D-A053-9E06D64DC997}" srcOrd="4" destOrd="0" parTransId="{8C7D2CE6-64B6-4C47-9213-5B0EC8A33AF0}" sibTransId="{69F30453-1045-844C-8E61-2944D210F523}"/>
    <dgm:cxn modelId="{1D9E308A-6FCC-AB43-A821-6535DBB07B67}" srcId="{24AD5F82-0449-E048-ABE8-868C83A45B4B}" destId="{A333477D-10FA-6444-88E2-40FD47F6D2CB}" srcOrd="4" destOrd="0" parTransId="{47E76032-D2FE-8949-BC14-4627E2C050D4}" sibTransId="{CD8C6314-897C-444D-973F-BEF2F513E9A9}"/>
    <dgm:cxn modelId="{4686E38B-50AD-5540-A262-8EF61718AFFD}" type="presOf" srcId="{A333477D-10FA-6444-88E2-40FD47F6D2CB}" destId="{4013632F-4239-894A-9F42-FB48D317C1C7}" srcOrd="0" destOrd="5" presId="urn:microsoft.com/office/officeart/2005/8/layout/radial1"/>
    <dgm:cxn modelId="{25CB498C-1E2F-5042-8739-77E54FBB4155}" type="presOf" srcId="{24AD5F82-0449-E048-ABE8-868C83A45B4B}" destId="{4013632F-4239-894A-9F42-FB48D317C1C7}" srcOrd="0" destOrd="0" presId="urn:microsoft.com/office/officeart/2005/8/layout/radial1"/>
    <dgm:cxn modelId="{88C29293-CB10-444E-9865-ADC2053EE190}" srcId="{92BA7E28-0351-FF41-AC07-932FF9279110}" destId="{7EA1607D-D87C-F842-9109-DC488766A708}" srcOrd="3" destOrd="0" parTransId="{4A5BAB01-ECDD-034F-8983-4577E559CD3D}" sibTransId="{3CDA4827-26E7-7347-924C-C195840CBE01}"/>
    <dgm:cxn modelId="{C1DDA896-DE65-7042-8B8F-95399E3CF790}" type="presOf" srcId="{B10F1332-0937-AC4E-8C6C-9EE70B9E50B1}" destId="{8D6395AA-D3C8-C444-9DE4-61A8F3BDB7AE}" srcOrd="0" destOrd="0" presId="urn:microsoft.com/office/officeart/2005/8/layout/radial1"/>
    <dgm:cxn modelId="{3385AB98-2EB5-CC43-B14A-59D3D6313FE2}" srcId="{82EF9F00-65AC-1648-B640-3BE06BF18042}" destId="{66BE36B0-5BB3-B040-92A0-505092142407}" srcOrd="1" destOrd="0" parTransId="{9C3B188A-9897-6A41-9509-1934B6646348}" sibTransId="{EA0482CA-3041-6C40-A441-81578BA76413}"/>
    <dgm:cxn modelId="{1FBF8C9B-4431-3A49-A034-B25291B85CA7}" srcId="{92BA7E28-0351-FF41-AC07-932FF9279110}" destId="{0468884F-D907-2646-889E-EA824275C551}" srcOrd="2" destOrd="0" parTransId="{47D6EC99-1404-7F42-B1D5-982E301CDBCF}" sibTransId="{88A778F9-5318-5842-AEB2-6E8389475748}"/>
    <dgm:cxn modelId="{3106E19B-0CEA-8144-8C3A-CC58BD7C5404}" type="presOf" srcId="{C8BA5620-4B0E-7A4E-9132-F0866C90A32B}" destId="{4013632F-4239-894A-9F42-FB48D317C1C7}" srcOrd="0" destOrd="1" presId="urn:microsoft.com/office/officeart/2005/8/layout/radial1"/>
    <dgm:cxn modelId="{6874049D-1F19-DD42-97C3-938331A93D99}" type="presOf" srcId="{66DB390C-14E3-8D4A-AA93-63C4C7376E3C}" destId="{4013632F-4239-894A-9F42-FB48D317C1C7}" srcOrd="0" destOrd="6" presId="urn:microsoft.com/office/officeart/2005/8/layout/radial1"/>
    <dgm:cxn modelId="{2067539D-85CA-1D43-A949-8B4541E522BB}" type="presOf" srcId="{DE431E02-AAB1-964C-8E49-4B6A62BC3C00}" destId="{C29ED962-FACF-E640-84F0-7AC700765306}" srcOrd="0" destOrd="3" presId="urn:microsoft.com/office/officeart/2005/8/layout/radial1"/>
    <dgm:cxn modelId="{2BFE639E-03FB-E04E-9E52-A55697457C3F}" type="presOf" srcId="{32EA6060-C056-5E49-B869-D695CC20C290}" destId="{4013632F-4239-894A-9F42-FB48D317C1C7}" srcOrd="0" destOrd="7" presId="urn:microsoft.com/office/officeart/2005/8/layout/radial1"/>
    <dgm:cxn modelId="{6F83DB9F-5282-4F4D-BAA6-2458D7D88A1F}" type="presOf" srcId="{66BE36B0-5BB3-B040-92A0-505092142407}" destId="{166E822E-BD45-B547-91CF-E043E4236F7C}" srcOrd="0" destOrd="2" presId="urn:microsoft.com/office/officeart/2005/8/layout/radial1"/>
    <dgm:cxn modelId="{4B3281A0-2887-6645-938C-DEF92106EFBC}" type="presOf" srcId="{83706349-F809-6F48-81A3-0735145CAD80}" destId="{F25CDF65-601D-8A47-94AD-CD44909E051B}" srcOrd="0" destOrd="0" presId="urn:microsoft.com/office/officeart/2005/8/layout/radial1"/>
    <dgm:cxn modelId="{AD05C5A0-4281-634E-ACDB-4C004295C93B}" type="presOf" srcId="{7EA1607D-D87C-F842-9109-DC488766A708}" destId="{37088883-32C5-1B46-90F2-D55FB43414B0}" srcOrd="0" destOrd="4" presId="urn:microsoft.com/office/officeart/2005/8/layout/radial1"/>
    <dgm:cxn modelId="{E72FDCA2-B344-C645-8F8C-90A2FA595DD1}" type="presOf" srcId="{244A2D66-4C52-EB43-AEAB-ECE59E973742}" destId="{2D59D095-96C6-B54D-AD19-182504424826}" srcOrd="0" destOrd="0" presId="urn:microsoft.com/office/officeart/2005/8/layout/radial1"/>
    <dgm:cxn modelId="{1DF3D8A6-B9A4-2E47-A0DA-8093F9028A07}" srcId="{82EF9F00-65AC-1648-B640-3BE06BF18042}" destId="{38D1545D-A152-AD4A-AA82-D687D58DA44B}" srcOrd="3" destOrd="0" parTransId="{506E27E4-A16F-5D4A-A976-565655A3C3F7}" sibTransId="{26767115-9408-6C40-A43E-E13DC6CC2FD0}"/>
    <dgm:cxn modelId="{6BF4DEAC-DFA6-984D-B0FE-53A5D3DFA9AC}" srcId="{244A2D66-4C52-EB43-AEAB-ECE59E973742}" destId="{24ABD1CD-7D2A-1E45-B363-85003891A2CD}" srcOrd="0" destOrd="0" parTransId="{F4556D74-EA82-F04B-A165-336527F73D89}" sibTransId="{C5C07DA1-162E-7849-8FF5-2919F96263FF}"/>
    <dgm:cxn modelId="{78BDE5AE-92A7-5E48-9872-D67FBB6F3C04}" srcId="{00701414-1E38-E24A-9E2F-F38CDEB84810}" destId="{C3E46233-CF28-A949-A850-69F911CE47DF}" srcOrd="0" destOrd="0" parTransId="{12C2DDE5-E0DE-F842-98BF-FCCC28D7B334}" sibTransId="{4408957A-80F0-4F44-8D2E-4C75A42BCAC3}"/>
    <dgm:cxn modelId="{7C6B1CB0-FCEF-0F47-9CA4-C3B2A113FD25}" type="presOf" srcId="{1E6BE541-FCCF-BF4C-A84E-0B84636515EF}" destId="{2CC3645B-2795-D541-85C6-04EEEEED387B}" srcOrd="1" destOrd="0" presId="urn:microsoft.com/office/officeart/2005/8/layout/radial1"/>
    <dgm:cxn modelId="{F8E0A9B7-392D-4248-9C03-8286766448CD}" srcId="{24AD5F82-0449-E048-ABE8-868C83A45B4B}" destId="{66DB390C-14E3-8D4A-AA93-63C4C7376E3C}" srcOrd="5" destOrd="0" parTransId="{9CEC4D0D-E0CC-6041-AD54-908578E653B6}" sibTransId="{9781AF1A-743A-C447-9568-10D2EBBA1987}"/>
    <dgm:cxn modelId="{03472CBA-763F-FE4B-BF62-6AF01830F73C}" srcId="{00701414-1E38-E24A-9E2F-F38CDEB84810}" destId="{745D0A05-455D-7E41-9A8F-A2FC1074C60C}" srcOrd="3" destOrd="0" parTransId="{BEF8D98F-CB45-5249-A34F-D9A8028BC369}" sibTransId="{EA78FDFD-EFCA-7A42-B190-828A323A8475}"/>
    <dgm:cxn modelId="{38D3A1C1-549D-FA49-A3EA-8D064347D99D}" type="presOf" srcId="{0468884F-D907-2646-889E-EA824275C551}" destId="{37088883-32C5-1B46-90F2-D55FB43414B0}" srcOrd="0" destOrd="3" presId="urn:microsoft.com/office/officeart/2005/8/layout/radial1"/>
    <dgm:cxn modelId="{F2EAB3C6-8F68-0F48-ACD4-18903EC964A6}" type="presOf" srcId="{768E7E44-584E-684E-90AF-A96B2E7A2188}" destId="{01282124-BE69-6940-B920-2379146C2766}" srcOrd="0" destOrd="3" presId="urn:microsoft.com/office/officeart/2005/8/layout/radial1"/>
    <dgm:cxn modelId="{A64981C9-7BE2-7D4A-AADC-59D19F4D9383}" type="presOf" srcId="{1ECF3592-191D-0D4F-80C2-3A790553005E}" destId="{2D59D095-96C6-B54D-AD19-182504424826}" srcOrd="0" destOrd="2" presId="urn:microsoft.com/office/officeart/2005/8/layout/radial1"/>
    <dgm:cxn modelId="{A75CE2C9-A942-DB48-9836-347FAAF36FF6}" type="presOf" srcId="{1E6BE541-FCCF-BF4C-A84E-0B84636515EF}" destId="{B6915EAC-DEC2-6A48-A6E1-51990005CDEC}" srcOrd="0" destOrd="0" presId="urn:microsoft.com/office/officeart/2005/8/layout/radial1"/>
    <dgm:cxn modelId="{11ED5CCD-B01F-434A-9EA5-DF45AE328799}" srcId="{92BA7E28-0351-FF41-AC07-932FF9279110}" destId="{83944164-F069-BA40-9288-C75B4B642F6A}" srcOrd="1" destOrd="0" parTransId="{7374121F-AAA5-6840-8DB9-2BA97F596B56}" sibTransId="{75980248-D3B3-B94C-9AA6-82DCD1C96793}"/>
    <dgm:cxn modelId="{3D8D12D2-8079-CD47-B33C-A26CA9F54A9A}" type="presOf" srcId="{DC386658-0C37-E14B-97FB-97AE2DE7F71E}" destId="{01282124-BE69-6940-B920-2379146C2766}" srcOrd="0" destOrd="4" presId="urn:microsoft.com/office/officeart/2005/8/layout/radial1"/>
    <dgm:cxn modelId="{32498BD3-7A2B-F341-B308-7CDE3D6065B9}" type="presOf" srcId="{38D1545D-A152-AD4A-AA82-D687D58DA44B}" destId="{166E822E-BD45-B547-91CF-E043E4236F7C}" srcOrd="0" destOrd="4" presId="urn:microsoft.com/office/officeart/2005/8/layout/radial1"/>
    <dgm:cxn modelId="{65119DD4-DC6C-304B-AC11-A6FF6CDC70E6}" srcId="{82EF9F00-65AC-1648-B640-3BE06BF18042}" destId="{3CFD2238-8E74-194F-BBAC-348B21AEA6AC}" srcOrd="0" destOrd="0" parTransId="{BD4AEEC2-15E2-B643-A4D4-DEA91841C4CC}" sibTransId="{03DF3C82-A74C-9C4C-973A-0B69474633AD}"/>
    <dgm:cxn modelId="{EC3AD5D9-BEB3-F048-A67A-99B478F20D3E}" type="presOf" srcId="{76E867FA-980E-744D-BD5E-A86FEE11C303}" destId="{B9F0242D-8080-FD4F-8F4C-74B8245FFB09}" srcOrd="0" destOrd="0" presId="urn:microsoft.com/office/officeart/2005/8/layout/radial1"/>
    <dgm:cxn modelId="{3CB9E1DB-86A4-EE4D-8B3D-9A7F69779C5B}" type="presOf" srcId="{B124066F-28D2-4F4D-A053-9E06D64DC997}" destId="{C29ED962-FACF-E640-84F0-7AC700765306}" srcOrd="0" destOrd="5" presId="urn:microsoft.com/office/officeart/2005/8/layout/radial1"/>
    <dgm:cxn modelId="{9F8B6DDE-AED8-A448-826B-1620ED977C68}" srcId="{21F33802-6378-F846-8548-980F8447FF2E}" destId="{92BA7E28-0351-FF41-AC07-932FF9279110}" srcOrd="3" destOrd="0" parTransId="{7D9338B7-11BC-5240-8F6A-2E3574D09932}" sibTransId="{DEDB2752-7023-5D44-A504-8279123A5269}"/>
    <dgm:cxn modelId="{7EB580E2-F8CA-CE43-B1AC-04C0256100DE}" type="presOf" srcId="{EBE2ABC1-EB16-2340-A9DA-956FDD65A3B4}" destId="{37088883-32C5-1B46-90F2-D55FB43414B0}" srcOrd="0" destOrd="1" presId="urn:microsoft.com/office/officeart/2005/8/layout/radial1"/>
    <dgm:cxn modelId="{87FBDBE7-41E1-D44D-B298-FE0AA264F91E}" srcId="{00701414-1E38-E24A-9E2F-F38CDEB84810}" destId="{DE431E02-AAB1-964C-8E49-4B6A62BC3C00}" srcOrd="2" destOrd="0" parTransId="{4AE73506-8B9D-F24B-BAF7-B7F17141BE63}" sibTransId="{FFBA94CD-7FEC-9347-8BFE-5A42AF594932}"/>
    <dgm:cxn modelId="{DCFB1EF1-190C-E846-AC0F-7C9AF642CF9B}" srcId="{24AD5F82-0449-E048-ABE8-868C83A45B4B}" destId="{B227CB43-9A57-774D-845A-1D85B60BD75D}" srcOrd="3" destOrd="0" parTransId="{50B4E5E3-2DB8-C94B-854A-15BB33554055}" sibTransId="{401CEAD7-65AD-4441-B4BB-93ABCD6CEB4A}"/>
    <dgm:cxn modelId="{5A52E8F1-C407-D64D-9B64-AD846D4DBE09}" srcId="{24AD5F82-0449-E048-ABE8-868C83A45B4B}" destId="{C9D54897-1277-F344-B88C-3BF1C77B788D}" srcOrd="2" destOrd="0" parTransId="{B2B62B41-1B2D-7F45-B371-C205F27627C2}" sibTransId="{BFFB08BF-5D42-4049-8520-D3DF7FBBA33B}"/>
    <dgm:cxn modelId="{2F6A25F4-D958-7643-BA46-A069EE7E0491}" type="presOf" srcId="{115C8EF8-ECD3-1B45-A33F-2F5F58C907E5}" destId="{B53659CF-B4EA-994C-9B7A-ED67F976DB16}" srcOrd="0" destOrd="0" presId="urn:microsoft.com/office/officeart/2005/8/layout/radial1"/>
    <dgm:cxn modelId="{1F39EFF9-A514-C94A-B40A-30F049DEA4F1}" srcId="{1593A994-E2F8-3F44-87D9-D63C095B96C5}" destId="{BDFF3D6A-1EB9-7C46-A4EC-E3F159311767}" srcOrd="4" destOrd="0" parTransId="{9A7873A7-F27A-374A-AD12-6318B1345248}" sibTransId="{E29B073C-0D57-F54C-8412-35DD4E1F95AF}"/>
    <dgm:cxn modelId="{68D05BFD-51FF-EF49-AE62-98AD31726E0E}" type="presOf" srcId="{D18BB3A3-4240-1443-9813-A4CFC644EBA4}" destId="{01282124-BE69-6940-B920-2379146C2766}" srcOrd="0" destOrd="2" presId="urn:microsoft.com/office/officeart/2005/8/layout/radial1"/>
    <dgm:cxn modelId="{A2E7F2FF-2585-E947-A5B1-1356B74B80C4}" type="presOf" srcId="{550B4787-DAD8-FE49-B731-2DC2977D8E55}" destId="{FDBC8606-8C47-5248-A386-BE4DD4B35950}" srcOrd="1" destOrd="0" presId="urn:microsoft.com/office/officeart/2005/8/layout/radial1"/>
    <dgm:cxn modelId="{70A08A3E-F693-124C-93A2-2E63042C80F1}" type="presParOf" srcId="{B9F0242D-8080-FD4F-8F4C-74B8245FFB09}" destId="{CFFD5E09-2AD5-664C-9B89-5F0B8AB09EFB}" srcOrd="0" destOrd="0" presId="urn:microsoft.com/office/officeart/2005/8/layout/radial1"/>
    <dgm:cxn modelId="{D0939652-DB13-0948-9117-F116D7AC6730}" type="presParOf" srcId="{B9F0242D-8080-FD4F-8F4C-74B8245FFB09}" destId="{F25CDF65-601D-8A47-94AD-CD44909E051B}" srcOrd="1" destOrd="0" presId="urn:microsoft.com/office/officeart/2005/8/layout/radial1"/>
    <dgm:cxn modelId="{71B0C965-6418-3D46-8C01-387B52EB8B6C}" type="presParOf" srcId="{F25CDF65-601D-8A47-94AD-CD44909E051B}" destId="{7AB356A3-E526-4C42-8932-8BE7B26AB212}" srcOrd="0" destOrd="0" presId="urn:microsoft.com/office/officeart/2005/8/layout/radial1"/>
    <dgm:cxn modelId="{CA5A1334-7055-BF47-896B-3B4B27CB8292}" type="presParOf" srcId="{B9F0242D-8080-FD4F-8F4C-74B8245FFB09}" destId="{2D59D095-96C6-B54D-AD19-182504424826}" srcOrd="2" destOrd="0" presId="urn:microsoft.com/office/officeart/2005/8/layout/radial1"/>
    <dgm:cxn modelId="{6E6BD512-6A52-8F45-9C0A-191F542C0E6B}" type="presParOf" srcId="{B9F0242D-8080-FD4F-8F4C-74B8245FFB09}" destId="{FBF829EF-8F36-754B-BCBB-F9710E403672}" srcOrd="3" destOrd="0" presId="urn:microsoft.com/office/officeart/2005/8/layout/radial1"/>
    <dgm:cxn modelId="{4155B4DC-73DB-AF48-96DC-A35E7320DCAC}" type="presParOf" srcId="{FBF829EF-8F36-754B-BCBB-F9710E403672}" destId="{FDBC8606-8C47-5248-A386-BE4DD4B35950}" srcOrd="0" destOrd="0" presId="urn:microsoft.com/office/officeart/2005/8/layout/radial1"/>
    <dgm:cxn modelId="{E02310CE-1421-4249-9503-11CB882C9890}" type="presParOf" srcId="{B9F0242D-8080-FD4F-8F4C-74B8245FFB09}" destId="{4013632F-4239-894A-9F42-FB48D317C1C7}" srcOrd="4" destOrd="0" presId="urn:microsoft.com/office/officeart/2005/8/layout/radial1"/>
    <dgm:cxn modelId="{51C38705-4531-E14E-ADB6-9BAB60F7C6EB}" type="presParOf" srcId="{B9F0242D-8080-FD4F-8F4C-74B8245FFB09}" destId="{B6915EAC-DEC2-6A48-A6E1-51990005CDEC}" srcOrd="5" destOrd="0" presId="urn:microsoft.com/office/officeart/2005/8/layout/radial1"/>
    <dgm:cxn modelId="{6353ABEE-68C8-5D43-9386-3E323FD58289}" type="presParOf" srcId="{B6915EAC-DEC2-6A48-A6E1-51990005CDEC}" destId="{2CC3645B-2795-D541-85C6-04EEEEED387B}" srcOrd="0" destOrd="0" presId="urn:microsoft.com/office/officeart/2005/8/layout/radial1"/>
    <dgm:cxn modelId="{C7263025-3B79-4D42-9D2F-6CAD11530EB1}" type="presParOf" srcId="{B9F0242D-8080-FD4F-8F4C-74B8245FFB09}" destId="{01282124-BE69-6940-B920-2379146C2766}" srcOrd="6" destOrd="0" presId="urn:microsoft.com/office/officeart/2005/8/layout/radial1"/>
    <dgm:cxn modelId="{70427621-6B2F-3343-BD4D-AF4B5D17CD27}" type="presParOf" srcId="{B9F0242D-8080-FD4F-8F4C-74B8245FFB09}" destId="{F5519E52-D47D-D645-8106-AD7AA0B4E71F}" srcOrd="7" destOrd="0" presId="urn:microsoft.com/office/officeart/2005/8/layout/radial1"/>
    <dgm:cxn modelId="{A42DD859-4DD4-2C48-B05F-727CB437E605}" type="presParOf" srcId="{F5519E52-D47D-D645-8106-AD7AA0B4E71F}" destId="{512B6C91-D860-1241-B10B-F6C1D2142E14}" srcOrd="0" destOrd="0" presId="urn:microsoft.com/office/officeart/2005/8/layout/radial1"/>
    <dgm:cxn modelId="{33898427-A317-3E4D-BC9C-4EF4842C04D0}" type="presParOf" srcId="{B9F0242D-8080-FD4F-8F4C-74B8245FFB09}" destId="{37088883-32C5-1B46-90F2-D55FB43414B0}" srcOrd="8" destOrd="0" presId="urn:microsoft.com/office/officeart/2005/8/layout/radial1"/>
    <dgm:cxn modelId="{5934D87D-3F53-7C4E-ABBF-EB809272887F}" type="presParOf" srcId="{B9F0242D-8080-FD4F-8F4C-74B8245FFB09}" destId="{B53659CF-B4EA-994C-9B7A-ED67F976DB16}" srcOrd="9" destOrd="0" presId="urn:microsoft.com/office/officeart/2005/8/layout/radial1"/>
    <dgm:cxn modelId="{AA120A7C-230B-4042-A319-1A622AD00E6C}" type="presParOf" srcId="{B53659CF-B4EA-994C-9B7A-ED67F976DB16}" destId="{28482162-D5E4-BC40-A196-338889698927}" srcOrd="0" destOrd="0" presId="urn:microsoft.com/office/officeart/2005/8/layout/radial1"/>
    <dgm:cxn modelId="{B7E54D2B-3C2F-B44A-8E9B-6478A96116CA}" type="presParOf" srcId="{B9F0242D-8080-FD4F-8F4C-74B8245FFB09}" destId="{C29ED962-FACF-E640-84F0-7AC700765306}" srcOrd="10" destOrd="0" presId="urn:microsoft.com/office/officeart/2005/8/layout/radial1"/>
    <dgm:cxn modelId="{34FD2537-F2DF-D943-9A84-442DA97A12FE}" type="presParOf" srcId="{B9F0242D-8080-FD4F-8F4C-74B8245FFB09}" destId="{8D6395AA-D3C8-C444-9DE4-61A8F3BDB7AE}" srcOrd="11" destOrd="0" presId="urn:microsoft.com/office/officeart/2005/8/layout/radial1"/>
    <dgm:cxn modelId="{FF6DB8FD-69E8-5C44-98A6-B25065627B11}" type="presParOf" srcId="{8D6395AA-D3C8-C444-9DE4-61A8F3BDB7AE}" destId="{09D7C5FE-F503-774D-85FD-0400EB125A26}" srcOrd="0" destOrd="0" presId="urn:microsoft.com/office/officeart/2005/8/layout/radial1"/>
    <dgm:cxn modelId="{1E6C3A8D-9C35-964F-B8FC-30AFE31F4139}" type="presParOf" srcId="{B9F0242D-8080-FD4F-8F4C-74B8245FFB09}" destId="{166E822E-BD45-B547-91CF-E043E4236F7C}" srcOrd="12" destOrd="0" presId="urn:microsoft.com/office/officeart/2005/8/layout/radial1"/>
  </dgm:cxnLst>
  <dgm:bg/>
  <dgm:whole/>
  <dgm:extLst>
    <a:ext uri="http://schemas.microsoft.com/office/drawing/2008/diagram">
      <dsp:dataModelExt xmlns:dsp="http://schemas.microsoft.com/office/drawing/2008/diagram" relId="rId265" minVer="http://schemas.openxmlformats.org/drawingml/2006/diagram"/>
    </a:ext>
  </dgm:extLst>
</dgm:dataModel>
</file>

<file path=word/diagrams/data38.xml><?xml version="1.0" encoding="utf-8"?>
<dgm:dataModel xmlns:dgm="http://schemas.openxmlformats.org/drawingml/2006/diagram" xmlns:a="http://schemas.openxmlformats.org/drawingml/2006/main">
  <dgm:ptLst>
    <dgm:pt modelId="{6A3C9F1F-B506-9A49-8971-B58224139D99}" type="doc">
      <dgm:prSet loTypeId="urn:microsoft.com/office/officeart/2005/8/layout/hierarchy1" loCatId="" qsTypeId="urn:microsoft.com/office/officeart/2005/8/quickstyle/simple4" qsCatId="simple" csTypeId="urn:microsoft.com/office/officeart/2005/8/colors/colorful1" csCatId="colorful" phldr="1"/>
      <dgm:spPr/>
      <dgm:t>
        <a:bodyPr/>
        <a:lstStyle/>
        <a:p>
          <a:endParaRPr lang="en-US"/>
        </a:p>
      </dgm:t>
    </dgm:pt>
    <dgm:pt modelId="{161006FB-81E7-5A41-AA36-2D9414830A7E}">
      <dgm:prSet phldrT="[Text]"/>
      <dgm:spPr/>
      <dgm:t>
        <a:bodyPr/>
        <a:lstStyle/>
        <a:p>
          <a:r>
            <a:rPr lang="en-US"/>
            <a:t>Challenges and barriers of simulation based medical education</a:t>
          </a:r>
        </a:p>
      </dgm:t>
    </dgm:pt>
    <dgm:pt modelId="{DB61E512-6A50-9149-BEA9-2464D4D234BF}" type="parTrans" cxnId="{098A5500-6995-7F4F-A549-A5BBE9BC834B}">
      <dgm:prSet/>
      <dgm:spPr/>
      <dgm:t>
        <a:bodyPr/>
        <a:lstStyle/>
        <a:p>
          <a:endParaRPr lang="en-US"/>
        </a:p>
      </dgm:t>
    </dgm:pt>
    <dgm:pt modelId="{70F5B489-5888-054B-BAE1-FFF4B7E2DE7C}" type="sibTrans" cxnId="{098A5500-6995-7F4F-A549-A5BBE9BC834B}">
      <dgm:prSet/>
      <dgm:spPr/>
      <dgm:t>
        <a:bodyPr/>
        <a:lstStyle/>
        <a:p>
          <a:endParaRPr lang="en-US"/>
        </a:p>
      </dgm:t>
    </dgm:pt>
    <dgm:pt modelId="{A017E348-AE97-9542-B15F-B59D94923B63}">
      <dgm:prSet phldrT="[Text]"/>
      <dgm:spPr/>
      <dgm:t>
        <a:bodyPr/>
        <a:lstStyle/>
        <a:p>
          <a:r>
            <a:rPr lang="en-US"/>
            <a:t>Engagement</a:t>
          </a:r>
        </a:p>
      </dgm:t>
    </dgm:pt>
    <dgm:pt modelId="{A2CD0C2C-A023-0C41-9BC6-51BD741955DB}" type="parTrans" cxnId="{52638B36-8402-CB4B-9D6C-A7C48A44A5ED}">
      <dgm:prSet/>
      <dgm:spPr/>
      <dgm:t>
        <a:bodyPr/>
        <a:lstStyle/>
        <a:p>
          <a:endParaRPr lang="en-US"/>
        </a:p>
      </dgm:t>
    </dgm:pt>
    <dgm:pt modelId="{938EFEFB-9189-1342-AC5E-7186E28F2EB8}" type="sibTrans" cxnId="{52638B36-8402-CB4B-9D6C-A7C48A44A5ED}">
      <dgm:prSet/>
      <dgm:spPr/>
      <dgm:t>
        <a:bodyPr/>
        <a:lstStyle/>
        <a:p>
          <a:endParaRPr lang="en-US"/>
        </a:p>
      </dgm:t>
    </dgm:pt>
    <dgm:pt modelId="{87B6CE54-BA01-6849-A818-E220E61EA013}">
      <dgm:prSet phldrT="[Text]"/>
      <dgm:spPr/>
      <dgm:t>
        <a:bodyPr/>
        <a:lstStyle/>
        <a:p>
          <a:r>
            <a:rPr lang="en-US"/>
            <a:t>Cost of equipment &amp; maintenance</a:t>
          </a:r>
        </a:p>
      </dgm:t>
    </dgm:pt>
    <dgm:pt modelId="{95695F74-9380-1B4E-AECC-12C5D8579792}" type="parTrans" cxnId="{F5F4BC22-DB93-6847-B8AA-2D3CED05B2D2}">
      <dgm:prSet/>
      <dgm:spPr/>
      <dgm:t>
        <a:bodyPr/>
        <a:lstStyle/>
        <a:p>
          <a:endParaRPr lang="en-US"/>
        </a:p>
      </dgm:t>
    </dgm:pt>
    <dgm:pt modelId="{E5409A36-B82B-454C-8EDF-4B6F11680D68}" type="sibTrans" cxnId="{F5F4BC22-DB93-6847-B8AA-2D3CED05B2D2}">
      <dgm:prSet/>
      <dgm:spPr/>
      <dgm:t>
        <a:bodyPr/>
        <a:lstStyle/>
        <a:p>
          <a:endParaRPr lang="en-US"/>
        </a:p>
      </dgm:t>
    </dgm:pt>
    <dgm:pt modelId="{45FEAA42-DE3D-1946-AA09-CE02E9FB8115}">
      <dgm:prSet phldrT="[Text]"/>
      <dgm:spPr/>
      <dgm:t>
        <a:bodyPr/>
        <a:lstStyle/>
        <a:p>
          <a:r>
            <a:rPr lang="en-US"/>
            <a:t>Physical</a:t>
          </a:r>
        </a:p>
      </dgm:t>
    </dgm:pt>
    <dgm:pt modelId="{F0F3A073-7529-DD4F-9680-D01D34DF2FB0}" type="parTrans" cxnId="{9F4418AC-A666-7640-8CCF-3AAC30ECA9E0}">
      <dgm:prSet/>
      <dgm:spPr/>
      <dgm:t>
        <a:bodyPr/>
        <a:lstStyle/>
        <a:p>
          <a:endParaRPr lang="en-US"/>
        </a:p>
      </dgm:t>
    </dgm:pt>
    <dgm:pt modelId="{799EFFB0-95EA-1A4B-A8F7-D46FF7F7D1BB}" type="sibTrans" cxnId="{9F4418AC-A666-7640-8CCF-3AAC30ECA9E0}">
      <dgm:prSet/>
      <dgm:spPr/>
      <dgm:t>
        <a:bodyPr/>
        <a:lstStyle/>
        <a:p>
          <a:endParaRPr lang="en-US"/>
        </a:p>
      </dgm:t>
    </dgm:pt>
    <dgm:pt modelId="{07C66EA3-D799-1A45-979E-C5C135E1BFAA}">
      <dgm:prSet phldrT="[Text]"/>
      <dgm:spPr/>
      <dgm:t>
        <a:bodyPr/>
        <a:lstStyle/>
        <a:p>
          <a:r>
            <a:rPr lang="en-US"/>
            <a:t>Quality</a:t>
          </a:r>
        </a:p>
      </dgm:t>
    </dgm:pt>
    <dgm:pt modelId="{36458D7B-1A6D-484D-A54D-2C74AE252720}" type="parTrans" cxnId="{D3CA2E82-0905-1B41-A9BD-0B94C41FB0FD}">
      <dgm:prSet/>
      <dgm:spPr/>
      <dgm:t>
        <a:bodyPr/>
        <a:lstStyle/>
        <a:p>
          <a:endParaRPr lang="en-US"/>
        </a:p>
      </dgm:t>
    </dgm:pt>
    <dgm:pt modelId="{A2C09F6E-91AE-5944-8756-964FB4670101}" type="sibTrans" cxnId="{D3CA2E82-0905-1B41-A9BD-0B94C41FB0FD}">
      <dgm:prSet/>
      <dgm:spPr/>
      <dgm:t>
        <a:bodyPr/>
        <a:lstStyle/>
        <a:p>
          <a:endParaRPr lang="en-US"/>
        </a:p>
      </dgm:t>
    </dgm:pt>
    <dgm:pt modelId="{84F37D3F-833E-D34B-980F-337C0D9AD506}">
      <dgm:prSet phldrT="[Text]"/>
      <dgm:spPr/>
      <dgm:t>
        <a:bodyPr/>
        <a:lstStyle/>
        <a:p>
          <a:r>
            <a:rPr lang="en-US"/>
            <a:t>Monetary</a:t>
          </a:r>
        </a:p>
      </dgm:t>
    </dgm:pt>
    <dgm:pt modelId="{C357F3F8-7507-834F-9253-D9FD041D7B28}" type="parTrans" cxnId="{4582EC56-384D-1143-91D0-9CC8BEF76D05}">
      <dgm:prSet/>
      <dgm:spPr/>
      <dgm:t>
        <a:bodyPr/>
        <a:lstStyle/>
        <a:p>
          <a:endParaRPr lang="en-US"/>
        </a:p>
      </dgm:t>
    </dgm:pt>
    <dgm:pt modelId="{94E0F03B-0F9E-B841-8056-ACA180A9DDBD}" type="sibTrans" cxnId="{4582EC56-384D-1143-91D0-9CC8BEF76D05}">
      <dgm:prSet/>
      <dgm:spPr/>
      <dgm:t>
        <a:bodyPr/>
        <a:lstStyle/>
        <a:p>
          <a:endParaRPr lang="en-US"/>
        </a:p>
      </dgm:t>
    </dgm:pt>
    <dgm:pt modelId="{68D61964-C619-4440-AED4-C278C8410A5B}">
      <dgm:prSet phldrT="[Text]"/>
      <dgm:spPr/>
      <dgm:t>
        <a:bodyPr/>
        <a:lstStyle/>
        <a:p>
          <a:r>
            <a:rPr lang="en-US"/>
            <a:t>Cost of space</a:t>
          </a:r>
        </a:p>
      </dgm:t>
    </dgm:pt>
    <dgm:pt modelId="{ECB34E32-2F4C-8045-9D87-5F166BD85CC5}" type="parTrans" cxnId="{116B121D-89D1-CF43-89D2-6FA8C4F10A13}">
      <dgm:prSet/>
      <dgm:spPr/>
      <dgm:t>
        <a:bodyPr/>
        <a:lstStyle/>
        <a:p>
          <a:endParaRPr lang="en-US"/>
        </a:p>
      </dgm:t>
    </dgm:pt>
    <dgm:pt modelId="{D99DFC5B-FAF7-684A-A924-744E097854B2}" type="sibTrans" cxnId="{116B121D-89D1-CF43-89D2-6FA8C4F10A13}">
      <dgm:prSet/>
      <dgm:spPr/>
      <dgm:t>
        <a:bodyPr/>
        <a:lstStyle/>
        <a:p>
          <a:endParaRPr lang="en-US"/>
        </a:p>
      </dgm:t>
    </dgm:pt>
    <dgm:pt modelId="{6235C4CD-DAA6-7A4B-A079-F878AA1A2B6C}">
      <dgm:prSet phldrT="[Text]"/>
      <dgm:spPr/>
      <dgm:t>
        <a:bodyPr/>
        <a:lstStyle/>
        <a:p>
          <a:r>
            <a:rPr lang="en-US"/>
            <a:t>Cost of faculty</a:t>
          </a:r>
        </a:p>
      </dgm:t>
    </dgm:pt>
    <dgm:pt modelId="{DEB6C031-E575-C940-8B62-1259CADC2770}" type="parTrans" cxnId="{22B40358-39CC-F248-B21A-7679BD53D370}">
      <dgm:prSet/>
      <dgm:spPr/>
      <dgm:t>
        <a:bodyPr/>
        <a:lstStyle/>
        <a:p>
          <a:endParaRPr lang="en-US"/>
        </a:p>
      </dgm:t>
    </dgm:pt>
    <dgm:pt modelId="{06441718-A32D-1844-A5A5-9F9032B08C0B}" type="sibTrans" cxnId="{22B40358-39CC-F248-B21A-7679BD53D370}">
      <dgm:prSet/>
      <dgm:spPr/>
      <dgm:t>
        <a:bodyPr/>
        <a:lstStyle/>
        <a:p>
          <a:endParaRPr lang="en-US"/>
        </a:p>
      </dgm:t>
    </dgm:pt>
    <dgm:pt modelId="{5F22F784-0561-D448-9561-D20F347BBC7E}">
      <dgm:prSet phldrT="[Text]"/>
      <dgm:spPr/>
      <dgm:t>
        <a:bodyPr/>
        <a:lstStyle/>
        <a:p>
          <a:r>
            <a:rPr lang="en-US"/>
            <a:t>Cost effectiveness</a:t>
          </a:r>
        </a:p>
      </dgm:t>
    </dgm:pt>
    <dgm:pt modelId="{66D0E2F6-E055-EE47-A174-B38D9977180F}" type="parTrans" cxnId="{A5A946F6-4ACE-5F4D-A5DA-433DC3183B21}">
      <dgm:prSet/>
      <dgm:spPr/>
      <dgm:t>
        <a:bodyPr/>
        <a:lstStyle/>
        <a:p>
          <a:endParaRPr lang="en-US"/>
        </a:p>
      </dgm:t>
    </dgm:pt>
    <dgm:pt modelId="{79ACF363-D030-B743-940E-0DC6DAEC41A1}" type="sibTrans" cxnId="{A5A946F6-4ACE-5F4D-A5DA-433DC3183B21}">
      <dgm:prSet/>
      <dgm:spPr/>
      <dgm:t>
        <a:bodyPr/>
        <a:lstStyle/>
        <a:p>
          <a:endParaRPr lang="en-US"/>
        </a:p>
      </dgm:t>
    </dgm:pt>
    <dgm:pt modelId="{25A14356-394E-214C-BE33-1379F94A4FBA}">
      <dgm:prSet phldrT="[Text]"/>
      <dgm:spPr/>
      <dgm:t>
        <a:bodyPr/>
        <a:lstStyle/>
        <a:p>
          <a:r>
            <a:rPr lang="en-US"/>
            <a:t>Study budgets</a:t>
          </a:r>
        </a:p>
      </dgm:t>
    </dgm:pt>
    <dgm:pt modelId="{49CD283F-7D27-6049-A87F-E89329C45256}" type="parTrans" cxnId="{F2CF6849-465C-F24C-A3AB-DD7B6ADDB89F}">
      <dgm:prSet/>
      <dgm:spPr/>
      <dgm:t>
        <a:bodyPr/>
        <a:lstStyle/>
        <a:p>
          <a:endParaRPr lang="en-US"/>
        </a:p>
      </dgm:t>
    </dgm:pt>
    <dgm:pt modelId="{48D048EC-572E-B943-BEC2-55F7C89B0F11}" type="sibTrans" cxnId="{F2CF6849-465C-F24C-A3AB-DD7B6ADDB89F}">
      <dgm:prSet/>
      <dgm:spPr/>
      <dgm:t>
        <a:bodyPr/>
        <a:lstStyle/>
        <a:p>
          <a:endParaRPr lang="en-US"/>
        </a:p>
      </dgm:t>
    </dgm:pt>
    <dgm:pt modelId="{3FA2BA4C-EE31-724F-BA59-17B261ED6BE4}">
      <dgm:prSet phldrT="[Text]"/>
      <dgm:spPr/>
      <dgm:t>
        <a:bodyPr/>
        <a:lstStyle/>
        <a:p>
          <a:r>
            <a:rPr lang="en-US"/>
            <a:t>Cost of accreditation/ faculty training</a:t>
          </a:r>
        </a:p>
      </dgm:t>
    </dgm:pt>
    <dgm:pt modelId="{E256200F-A171-4E48-BF71-D11203E6BCB9}" type="parTrans" cxnId="{49B36E41-9C86-4E43-AA28-2A29C6D83462}">
      <dgm:prSet/>
      <dgm:spPr/>
      <dgm:t>
        <a:bodyPr/>
        <a:lstStyle/>
        <a:p>
          <a:endParaRPr lang="en-US"/>
        </a:p>
      </dgm:t>
    </dgm:pt>
    <dgm:pt modelId="{234713C9-E17A-1042-93B3-C703509AC318}" type="sibTrans" cxnId="{49B36E41-9C86-4E43-AA28-2A29C6D83462}">
      <dgm:prSet/>
      <dgm:spPr/>
      <dgm:t>
        <a:bodyPr/>
        <a:lstStyle/>
        <a:p>
          <a:endParaRPr lang="en-US"/>
        </a:p>
      </dgm:t>
    </dgm:pt>
    <dgm:pt modelId="{BED0DBAA-0548-0649-B49D-492EDE97E34D}">
      <dgm:prSet phldrT="[Text]"/>
      <dgm:spPr/>
      <dgm:t>
        <a:bodyPr/>
        <a:lstStyle/>
        <a:p>
          <a:r>
            <a:rPr lang="en-US"/>
            <a:t>Cost of support - eg technical/IT</a:t>
          </a:r>
        </a:p>
      </dgm:t>
    </dgm:pt>
    <dgm:pt modelId="{312ED665-1978-124D-AD6D-EB69855CF8A1}" type="parTrans" cxnId="{1D7438FF-6BD7-3949-A0A8-2D531CA8124E}">
      <dgm:prSet/>
      <dgm:spPr/>
      <dgm:t>
        <a:bodyPr/>
        <a:lstStyle/>
        <a:p>
          <a:endParaRPr lang="en-US"/>
        </a:p>
      </dgm:t>
    </dgm:pt>
    <dgm:pt modelId="{FD3C97FA-8ABC-034C-89B6-94406296199C}" type="sibTrans" cxnId="{1D7438FF-6BD7-3949-A0A8-2D531CA8124E}">
      <dgm:prSet/>
      <dgm:spPr/>
      <dgm:t>
        <a:bodyPr/>
        <a:lstStyle/>
        <a:p>
          <a:endParaRPr lang="en-US"/>
        </a:p>
      </dgm:t>
    </dgm:pt>
    <dgm:pt modelId="{AA8CC7CE-7165-6B4B-9068-1862F3A86C5E}">
      <dgm:prSet phldrT="[Text]"/>
      <dgm:spPr/>
      <dgm:t>
        <a:bodyPr/>
        <a:lstStyle/>
        <a:p>
          <a:r>
            <a:rPr lang="en-US"/>
            <a:t>In situ</a:t>
          </a:r>
        </a:p>
      </dgm:t>
    </dgm:pt>
    <dgm:pt modelId="{41990F92-E05F-F346-95EF-9951C8F14CC9}" type="parTrans" cxnId="{FE6A33FB-1284-8C48-BAB5-A012E4E5D6D0}">
      <dgm:prSet/>
      <dgm:spPr/>
      <dgm:t>
        <a:bodyPr/>
        <a:lstStyle/>
        <a:p>
          <a:endParaRPr lang="en-US"/>
        </a:p>
      </dgm:t>
    </dgm:pt>
    <dgm:pt modelId="{11FBBE5A-7E72-D743-8B6E-F7EB502EEC0D}" type="sibTrans" cxnId="{FE6A33FB-1284-8C48-BAB5-A012E4E5D6D0}">
      <dgm:prSet/>
      <dgm:spPr/>
      <dgm:t>
        <a:bodyPr/>
        <a:lstStyle/>
        <a:p>
          <a:endParaRPr lang="en-US"/>
        </a:p>
      </dgm:t>
    </dgm:pt>
    <dgm:pt modelId="{BD618DA1-0DD6-5041-8C90-B32A814C83B7}">
      <dgm:prSet phldrT="[Text]"/>
      <dgm:spPr/>
      <dgm:t>
        <a:bodyPr/>
        <a:lstStyle/>
        <a:p>
          <a:r>
            <a:rPr lang="en-US"/>
            <a:t>Education / simulation centre</a:t>
          </a:r>
        </a:p>
      </dgm:t>
    </dgm:pt>
    <dgm:pt modelId="{759A4B7E-AD99-6643-8DC2-619A18394F7B}" type="parTrans" cxnId="{0732DB77-D285-8B49-91E1-6977ECED6A2C}">
      <dgm:prSet/>
      <dgm:spPr/>
      <dgm:t>
        <a:bodyPr/>
        <a:lstStyle/>
        <a:p>
          <a:endParaRPr lang="en-US"/>
        </a:p>
      </dgm:t>
    </dgm:pt>
    <dgm:pt modelId="{7748E7FC-FAF0-124D-ACAC-D108AC0945E1}" type="sibTrans" cxnId="{0732DB77-D285-8B49-91E1-6977ECED6A2C}">
      <dgm:prSet/>
      <dgm:spPr/>
      <dgm:t>
        <a:bodyPr/>
        <a:lstStyle/>
        <a:p>
          <a:endParaRPr lang="en-US"/>
        </a:p>
      </dgm:t>
    </dgm:pt>
    <dgm:pt modelId="{7790D21C-5872-354C-A838-5DA627729E18}">
      <dgm:prSet phldrT="[Text]"/>
      <dgm:spPr/>
      <dgm:t>
        <a:bodyPr/>
        <a:lstStyle/>
        <a:p>
          <a:r>
            <a:rPr lang="en-US"/>
            <a:t>Number of students to train</a:t>
          </a:r>
        </a:p>
      </dgm:t>
    </dgm:pt>
    <dgm:pt modelId="{A2277C6E-3B3B-9F42-954D-6D59E1352024}" type="parTrans" cxnId="{7DE60B22-EFB6-0943-B1BA-6EE5E0F13FEA}">
      <dgm:prSet/>
      <dgm:spPr/>
      <dgm:t>
        <a:bodyPr/>
        <a:lstStyle/>
        <a:p>
          <a:endParaRPr lang="en-US"/>
        </a:p>
      </dgm:t>
    </dgm:pt>
    <dgm:pt modelId="{3D31245E-404B-CD42-9810-7DFDCE878E86}" type="sibTrans" cxnId="{7DE60B22-EFB6-0943-B1BA-6EE5E0F13FEA}">
      <dgm:prSet/>
      <dgm:spPr/>
      <dgm:t>
        <a:bodyPr/>
        <a:lstStyle/>
        <a:p>
          <a:endParaRPr lang="en-US"/>
        </a:p>
      </dgm:t>
    </dgm:pt>
    <dgm:pt modelId="{AC0B6098-5231-2B46-B8D8-A588BED8E6D9}">
      <dgm:prSet phldrT="[Text]"/>
      <dgm:spPr/>
      <dgm:t>
        <a:bodyPr/>
        <a:lstStyle/>
        <a:p>
          <a:r>
            <a:rPr lang="en-US"/>
            <a:t>Added value over traditional methods</a:t>
          </a:r>
        </a:p>
      </dgm:t>
    </dgm:pt>
    <dgm:pt modelId="{F23420C8-5CAD-9E4D-BD80-97FA251E18D8}" type="parTrans" cxnId="{21D5992B-E6E1-0742-B4D8-BE7259365215}">
      <dgm:prSet/>
      <dgm:spPr/>
      <dgm:t>
        <a:bodyPr/>
        <a:lstStyle/>
        <a:p>
          <a:endParaRPr lang="en-US"/>
        </a:p>
      </dgm:t>
    </dgm:pt>
    <dgm:pt modelId="{504A7F2B-70D2-3342-A64D-D20D04EE05DA}" type="sibTrans" cxnId="{21D5992B-E6E1-0742-B4D8-BE7259365215}">
      <dgm:prSet/>
      <dgm:spPr/>
      <dgm:t>
        <a:bodyPr/>
        <a:lstStyle/>
        <a:p>
          <a:endParaRPr lang="en-US"/>
        </a:p>
      </dgm:t>
    </dgm:pt>
    <dgm:pt modelId="{7F6354DE-DF9C-D244-AD71-5DAAED2DD2E1}">
      <dgm:prSet phldrT="[Text]"/>
      <dgm:spPr/>
      <dgm:t>
        <a:bodyPr/>
        <a:lstStyle/>
        <a:p>
          <a:r>
            <a:rPr lang="en-US"/>
            <a:t>Availability</a:t>
          </a:r>
        </a:p>
      </dgm:t>
    </dgm:pt>
    <dgm:pt modelId="{80D0644D-89B0-9B48-BD07-AE7A3C963103}" type="parTrans" cxnId="{D6B76EDE-820F-594E-A7CA-0D6E43F8831E}">
      <dgm:prSet/>
      <dgm:spPr/>
      <dgm:t>
        <a:bodyPr/>
        <a:lstStyle/>
        <a:p>
          <a:endParaRPr lang="en-US"/>
        </a:p>
      </dgm:t>
    </dgm:pt>
    <dgm:pt modelId="{396136A5-26F6-A545-A5F7-8058353513D0}" type="sibTrans" cxnId="{D6B76EDE-820F-594E-A7CA-0D6E43F8831E}">
      <dgm:prSet/>
      <dgm:spPr/>
      <dgm:t>
        <a:bodyPr/>
        <a:lstStyle/>
        <a:p>
          <a:endParaRPr lang="en-US"/>
        </a:p>
      </dgm:t>
    </dgm:pt>
    <dgm:pt modelId="{9333CBAA-DED6-B141-8EBD-4362BDE92D07}">
      <dgm:prSet phldrT="[Text]"/>
      <dgm:spPr/>
      <dgm:t>
        <a:bodyPr/>
        <a:lstStyle/>
        <a:p>
          <a:r>
            <a:rPr lang="en-US"/>
            <a:t>Inter-professional team</a:t>
          </a:r>
        </a:p>
      </dgm:t>
    </dgm:pt>
    <dgm:pt modelId="{3FDCBF94-0B04-004A-A165-A8F3A5916019}" type="parTrans" cxnId="{EEE66FA9-397E-A649-AADB-AEA66B2D04FF}">
      <dgm:prSet/>
      <dgm:spPr/>
      <dgm:t>
        <a:bodyPr/>
        <a:lstStyle/>
        <a:p>
          <a:endParaRPr lang="en-US"/>
        </a:p>
      </dgm:t>
    </dgm:pt>
    <dgm:pt modelId="{B4A0B672-5214-5643-857C-1F85D3A7FEAD}" type="sibTrans" cxnId="{EEE66FA9-397E-A649-AADB-AEA66B2D04FF}">
      <dgm:prSet/>
      <dgm:spPr/>
      <dgm:t>
        <a:bodyPr/>
        <a:lstStyle/>
        <a:p>
          <a:endParaRPr lang="en-US"/>
        </a:p>
      </dgm:t>
    </dgm:pt>
    <dgm:pt modelId="{8BA998B2-B202-0143-BBF5-0776134195BF}">
      <dgm:prSet phldrT="[Text]"/>
      <dgm:spPr/>
      <dgm:t>
        <a:bodyPr/>
        <a:lstStyle/>
        <a:p>
          <a:r>
            <a:rPr lang="en-US"/>
            <a:t>Time</a:t>
          </a:r>
        </a:p>
      </dgm:t>
    </dgm:pt>
    <dgm:pt modelId="{20C238FD-02EE-F645-A3BF-603D1F4D534C}" type="parTrans" cxnId="{C95B02A8-33C1-974A-A0FE-26B5A6EB8E35}">
      <dgm:prSet/>
      <dgm:spPr/>
      <dgm:t>
        <a:bodyPr/>
        <a:lstStyle/>
        <a:p>
          <a:endParaRPr lang="en-US"/>
        </a:p>
      </dgm:t>
    </dgm:pt>
    <dgm:pt modelId="{46780FE6-67DB-7B46-823D-7F92F5C070B6}" type="sibTrans" cxnId="{C95B02A8-33C1-974A-A0FE-26B5A6EB8E35}">
      <dgm:prSet/>
      <dgm:spPr/>
      <dgm:t>
        <a:bodyPr/>
        <a:lstStyle/>
        <a:p>
          <a:endParaRPr lang="en-US"/>
        </a:p>
      </dgm:t>
    </dgm:pt>
    <dgm:pt modelId="{BD3FBC0B-487F-1A4D-9ED7-54533C9B6421}">
      <dgm:prSet phldrT="[Text]"/>
      <dgm:spPr/>
      <dgm:t>
        <a:bodyPr/>
        <a:lstStyle/>
        <a:p>
          <a:r>
            <a:rPr lang="en-US"/>
            <a:t>Direct cost, revalidation</a:t>
          </a:r>
        </a:p>
      </dgm:t>
    </dgm:pt>
    <dgm:pt modelId="{98041D44-581B-8844-B021-69D47E2AD154}" type="parTrans" cxnId="{C7D0A8D1-7D6E-F74C-9AEC-C614D49057A2}">
      <dgm:prSet/>
      <dgm:spPr/>
      <dgm:t>
        <a:bodyPr/>
        <a:lstStyle/>
        <a:p>
          <a:endParaRPr lang="en-US"/>
        </a:p>
      </dgm:t>
    </dgm:pt>
    <dgm:pt modelId="{61B406C6-8653-3144-B8CD-B5DEDB13F598}" type="sibTrans" cxnId="{C7D0A8D1-7D6E-F74C-9AEC-C614D49057A2}">
      <dgm:prSet/>
      <dgm:spPr/>
      <dgm:t>
        <a:bodyPr/>
        <a:lstStyle/>
        <a:p>
          <a:endParaRPr lang="en-US"/>
        </a:p>
      </dgm:t>
    </dgm:pt>
    <dgm:pt modelId="{E01DD8E6-E9DF-6141-9FF2-F0CC8255D8E0}">
      <dgm:prSet phldrT="[Text]"/>
      <dgm:spPr/>
      <dgm:t>
        <a:bodyPr/>
        <a:lstStyle/>
        <a:p>
          <a:r>
            <a:rPr lang="en-US"/>
            <a:t>Specialist skill/ generalisable skill</a:t>
          </a:r>
        </a:p>
      </dgm:t>
    </dgm:pt>
    <dgm:pt modelId="{C4978F20-8575-BF4D-9C71-BDF46A675757}" type="parTrans" cxnId="{2D0FA8E7-B126-ED4A-B84E-5707F7206100}">
      <dgm:prSet/>
      <dgm:spPr/>
      <dgm:t>
        <a:bodyPr/>
        <a:lstStyle/>
        <a:p>
          <a:endParaRPr lang="en-US"/>
        </a:p>
      </dgm:t>
    </dgm:pt>
    <dgm:pt modelId="{4DB906A4-4A2D-484C-A583-B8D78D7C52C2}" type="sibTrans" cxnId="{2D0FA8E7-B126-ED4A-B84E-5707F7206100}">
      <dgm:prSet/>
      <dgm:spPr/>
      <dgm:t>
        <a:bodyPr/>
        <a:lstStyle/>
        <a:p>
          <a:endParaRPr lang="en-US"/>
        </a:p>
      </dgm:t>
    </dgm:pt>
    <dgm:pt modelId="{D5A3B75F-2AF8-C542-95CA-5626D13A98D0}" type="pres">
      <dgm:prSet presAssocID="{6A3C9F1F-B506-9A49-8971-B58224139D99}" presName="hierChild1" presStyleCnt="0">
        <dgm:presLayoutVars>
          <dgm:chPref val="1"/>
          <dgm:dir/>
          <dgm:animOne val="branch"/>
          <dgm:animLvl val="lvl"/>
          <dgm:resizeHandles/>
        </dgm:presLayoutVars>
      </dgm:prSet>
      <dgm:spPr/>
    </dgm:pt>
    <dgm:pt modelId="{78A4B191-B6C6-B740-8A8C-F4FA5A2B1FF6}" type="pres">
      <dgm:prSet presAssocID="{161006FB-81E7-5A41-AA36-2D9414830A7E}" presName="hierRoot1" presStyleCnt="0"/>
      <dgm:spPr/>
    </dgm:pt>
    <dgm:pt modelId="{5854F2B9-AC84-3247-8C38-8C1AFD916F46}" type="pres">
      <dgm:prSet presAssocID="{161006FB-81E7-5A41-AA36-2D9414830A7E}" presName="composite" presStyleCnt="0"/>
      <dgm:spPr/>
    </dgm:pt>
    <dgm:pt modelId="{91775200-0E22-2841-B4C4-8B2D50749DDF}" type="pres">
      <dgm:prSet presAssocID="{161006FB-81E7-5A41-AA36-2D9414830A7E}" presName="background" presStyleLbl="node0" presStyleIdx="0" presStyleCnt="1"/>
      <dgm:spPr/>
    </dgm:pt>
    <dgm:pt modelId="{7291523F-B16D-D140-B5E9-D3EDB3B5896F}" type="pres">
      <dgm:prSet presAssocID="{161006FB-81E7-5A41-AA36-2D9414830A7E}" presName="text" presStyleLbl="fgAcc0" presStyleIdx="0" presStyleCnt="1" custScaleX="153801" custScaleY="110450" custLinFactNeighborY="-94747">
        <dgm:presLayoutVars>
          <dgm:chPref val="3"/>
        </dgm:presLayoutVars>
      </dgm:prSet>
      <dgm:spPr/>
    </dgm:pt>
    <dgm:pt modelId="{7BE893C9-62F6-9C4C-A810-4348B6A842FD}" type="pres">
      <dgm:prSet presAssocID="{161006FB-81E7-5A41-AA36-2D9414830A7E}" presName="hierChild2" presStyleCnt="0"/>
      <dgm:spPr/>
    </dgm:pt>
    <dgm:pt modelId="{572B763B-7A02-7E4F-AE00-CEF802B751EE}" type="pres">
      <dgm:prSet presAssocID="{A2CD0C2C-A023-0C41-9BC6-51BD741955DB}" presName="Name10" presStyleLbl="parChTrans1D2" presStyleIdx="0" presStyleCnt="4"/>
      <dgm:spPr/>
    </dgm:pt>
    <dgm:pt modelId="{4D9CB01B-BAB2-EE44-999A-28A0A106E4B7}" type="pres">
      <dgm:prSet presAssocID="{A017E348-AE97-9542-B15F-B59D94923B63}" presName="hierRoot2" presStyleCnt="0"/>
      <dgm:spPr/>
    </dgm:pt>
    <dgm:pt modelId="{DC6433A8-3147-AC41-BE27-1BAE2F063499}" type="pres">
      <dgm:prSet presAssocID="{A017E348-AE97-9542-B15F-B59D94923B63}" presName="composite2" presStyleCnt="0"/>
      <dgm:spPr/>
    </dgm:pt>
    <dgm:pt modelId="{0A4AE3C7-EA99-D443-A232-A668508B34AF}" type="pres">
      <dgm:prSet presAssocID="{A017E348-AE97-9542-B15F-B59D94923B63}" presName="background2" presStyleLbl="node2" presStyleIdx="0" presStyleCnt="4"/>
      <dgm:spPr/>
    </dgm:pt>
    <dgm:pt modelId="{E8B87D59-DFDC-D540-8C0F-CA07F431A641}" type="pres">
      <dgm:prSet presAssocID="{A017E348-AE97-9542-B15F-B59D94923B63}" presName="text2" presStyleLbl="fgAcc2" presStyleIdx="0" presStyleCnt="4" custLinFactNeighborY="-61628">
        <dgm:presLayoutVars>
          <dgm:chPref val="3"/>
        </dgm:presLayoutVars>
      </dgm:prSet>
      <dgm:spPr/>
    </dgm:pt>
    <dgm:pt modelId="{7075070C-4CB7-0E41-B66C-19E36B895BAB}" type="pres">
      <dgm:prSet presAssocID="{A017E348-AE97-9542-B15F-B59D94923B63}" presName="hierChild3" presStyleCnt="0"/>
      <dgm:spPr/>
    </dgm:pt>
    <dgm:pt modelId="{13181633-AD02-F146-899F-1216AFB4C8E0}" type="pres">
      <dgm:prSet presAssocID="{36458D7B-1A6D-484D-A54D-2C74AE252720}" presName="Name10" presStyleLbl="parChTrans1D2" presStyleIdx="1" presStyleCnt="4"/>
      <dgm:spPr/>
    </dgm:pt>
    <dgm:pt modelId="{1AE70B65-69B9-2D45-8ACC-53AD5D55E9E8}" type="pres">
      <dgm:prSet presAssocID="{07C66EA3-D799-1A45-979E-C5C135E1BFAA}" presName="hierRoot2" presStyleCnt="0"/>
      <dgm:spPr/>
    </dgm:pt>
    <dgm:pt modelId="{AC4D90B9-8D1A-2F4E-ACBB-C54CB1827050}" type="pres">
      <dgm:prSet presAssocID="{07C66EA3-D799-1A45-979E-C5C135E1BFAA}" presName="composite2" presStyleCnt="0"/>
      <dgm:spPr/>
    </dgm:pt>
    <dgm:pt modelId="{26A8C7CE-6513-8745-AFDF-FF878C494319}" type="pres">
      <dgm:prSet presAssocID="{07C66EA3-D799-1A45-979E-C5C135E1BFAA}" presName="background2" presStyleLbl="node2" presStyleIdx="1" presStyleCnt="4"/>
      <dgm:spPr/>
    </dgm:pt>
    <dgm:pt modelId="{C33C1C26-2920-5A44-9BF4-D3C40A40E1EE}" type="pres">
      <dgm:prSet presAssocID="{07C66EA3-D799-1A45-979E-C5C135E1BFAA}" presName="text2" presStyleLbl="fgAcc2" presStyleIdx="1" presStyleCnt="4" custLinFactNeighborY="-61629">
        <dgm:presLayoutVars>
          <dgm:chPref val="3"/>
        </dgm:presLayoutVars>
      </dgm:prSet>
      <dgm:spPr/>
    </dgm:pt>
    <dgm:pt modelId="{127CCB56-9F35-874B-8EFC-8FC1A67D0D1E}" type="pres">
      <dgm:prSet presAssocID="{07C66EA3-D799-1A45-979E-C5C135E1BFAA}" presName="hierChild3" presStyleCnt="0"/>
      <dgm:spPr/>
    </dgm:pt>
    <dgm:pt modelId="{DC90ADC5-4880-3B4E-845A-B8704AAAB633}" type="pres">
      <dgm:prSet presAssocID="{C357F3F8-7507-834F-9253-D9FD041D7B28}" presName="Name10" presStyleLbl="parChTrans1D2" presStyleIdx="2" presStyleCnt="4"/>
      <dgm:spPr/>
    </dgm:pt>
    <dgm:pt modelId="{D00F8150-5A71-8E4F-88B6-74F5E15C1A89}" type="pres">
      <dgm:prSet presAssocID="{84F37D3F-833E-D34B-980F-337C0D9AD506}" presName="hierRoot2" presStyleCnt="0"/>
      <dgm:spPr/>
    </dgm:pt>
    <dgm:pt modelId="{D7EE569D-E593-9C4A-98F0-1C08BF0536DE}" type="pres">
      <dgm:prSet presAssocID="{84F37D3F-833E-D34B-980F-337C0D9AD506}" presName="composite2" presStyleCnt="0"/>
      <dgm:spPr/>
    </dgm:pt>
    <dgm:pt modelId="{2AD3E44A-DE29-AC46-BCCC-483FBEE65D49}" type="pres">
      <dgm:prSet presAssocID="{84F37D3F-833E-D34B-980F-337C0D9AD506}" presName="background2" presStyleLbl="node2" presStyleIdx="2" presStyleCnt="4"/>
      <dgm:spPr/>
    </dgm:pt>
    <dgm:pt modelId="{FF58CF80-265B-2442-BE29-EF0804AD6AF5}" type="pres">
      <dgm:prSet presAssocID="{84F37D3F-833E-D34B-980F-337C0D9AD506}" presName="text2" presStyleLbl="fgAcc2" presStyleIdx="2" presStyleCnt="4" custLinFactNeighborY="-61629">
        <dgm:presLayoutVars>
          <dgm:chPref val="3"/>
        </dgm:presLayoutVars>
      </dgm:prSet>
      <dgm:spPr/>
    </dgm:pt>
    <dgm:pt modelId="{9E3253B9-0A06-3141-ACE2-E7030CE2F83D}" type="pres">
      <dgm:prSet presAssocID="{84F37D3F-833E-D34B-980F-337C0D9AD506}" presName="hierChild3" presStyleCnt="0"/>
      <dgm:spPr/>
    </dgm:pt>
    <dgm:pt modelId="{D94CF632-9D1E-C348-BB89-38788FE9BB8F}" type="pres">
      <dgm:prSet presAssocID="{95695F74-9380-1B4E-AECC-12C5D8579792}" presName="Name17" presStyleLbl="parChTrans1D3" presStyleIdx="0" presStyleCnt="7"/>
      <dgm:spPr/>
    </dgm:pt>
    <dgm:pt modelId="{E45BCC86-ACCB-A44B-9312-9305762AE2A8}" type="pres">
      <dgm:prSet presAssocID="{87B6CE54-BA01-6849-A818-E220E61EA013}" presName="hierRoot3" presStyleCnt="0"/>
      <dgm:spPr/>
    </dgm:pt>
    <dgm:pt modelId="{3C5B0C13-4AC1-664F-A891-62AF35CA92A1}" type="pres">
      <dgm:prSet presAssocID="{87B6CE54-BA01-6849-A818-E220E61EA013}" presName="composite3" presStyleCnt="0"/>
      <dgm:spPr/>
    </dgm:pt>
    <dgm:pt modelId="{5DB05DB9-0B53-EF49-8E83-26E5E212E2DB}" type="pres">
      <dgm:prSet presAssocID="{87B6CE54-BA01-6849-A818-E220E61EA013}" presName="background3" presStyleLbl="node3" presStyleIdx="0" presStyleCnt="7"/>
      <dgm:spPr/>
    </dgm:pt>
    <dgm:pt modelId="{A5BA79BD-126D-E74D-AFBA-E63DB25E6C06}" type="pres">
      <dgm:prSet presAssocID="{87B6CE54-BA01-6849-A818-E220E61EA013}" presName="text3" presStyleLbl="fgAcc3" presStyleIdx="0" presStyleCnt="7">
        <dgm:presLayoutVars>
          <dgm:chPref val="3"/>
        </dgm:presLayoutVars>
      </dgm:prSet>
      <dgm:spPr/>
    </dgm:pt>
    <dgm:pt modelId="{F9243756-4681-7845-9421-4A41F3AF3CC2}" type="pres">
      <dgm:prSet presAssocID="{87B6CE54-BA01-6849-A818-E220E61EA013}" presName="hierChild4" presStyleCnt="0"/>
      <dgm:spPr/>
    </dgm:pt>
    <dgm:pt modelId="{2EA6332F-D85C-4045-9F1B-2CF021E41876}" type="pres">
      <dgm:prSet presAssocID="{ECB34E32-2F4C-8045-9D87-5F166BD85CC5}" presName="Name17" presStyleLbl="parChTrans1D3" presStyleIdx="1" presStyleCnt="7"/>
      <dgm:spPr/>
    </dgm:pt>
    <dgm:pt modelId="{645718C1-8CB5-BC4C-B8D0-13E2DD1C3C6E}" type="pres">
      <dgm:prSet presAssocID="{68D61964-C619-4440-AED4-C278C8410A5B}" presName="hierRoot3" presStyleCnt="0"/>
      <dgm:spPr/>
    </dgm:pt>
    <dgm:pt modelId="{AD5EDFD8-E1EC-B14D-8733-7B966ABC1B4F}" type="pres">
      <dgm:prSet presAssocID="{68D61964-C619-4440-AED4-C278C8410A5B}" presName="composite3" presStyleCnt="0"/>
      <dgm:spPr/>
    </dgm:pt>
    <dgm:pt modelId="{20143C43-3EAA-4146-8D09-66D5A862D928}" type="pres">
      <dgm:prSet presAssocID="{68D61964-C619-4440-AED4-C278C8410A5B}" presName="background3" presStyleLbl="node3" presStyleIdx="1" presStyleCnt="7"/>
      <dgm:spPr/>
    </dgm:pt>
    <dgm:pt modelId="{8D9A3C8B-B04B-6449-BD3C-11625D70AD0E}" type="pres">
      <dgm:prSet presAssocID="{68D61964-C619-4440-AED4-C278C8410A5B}" presName="text3" presStyleLbl="fgAcc3" presStyleIdx="1" presStyleCnt="7">
        <dgm:presLayoutVars>
          <dgm:chPref val="3"/>
        </dgm:presLayoutVars>
      </dgm:prSet>
      <dgm:spPr/>
    </dgm:pt>
    <dgm:pt modelId="{65E88F42-08C8-7049-B83F-0241D3F384A5}" type="pres">
      <dgm:prSet presAssocID="{68D61964-C619-4440-AED4-C278C8410A5B}" presName="hierChild4" presStyleCnt="0"/>
      <dgm:spPr/>
    </dgm:pt>
    <dgm:pt modelId="{7B33F945-E0A5-3349-B163-88A9AD49B167}" type="pres">
      <dgm:prSet presAssocID="{41990F92-E05F-F346-95EF-9951C8F14CC9}" presName="Name23" presStyleLbl="parChTrans1D4" presStyleIdx="0" presStyleCnt="9"/>
      <dgm:spPr/>
    </dgm:pt>
    <dgm:pt modelId="{1BA24121-2253-494C-92E4-D66EDFAD7093}" type="pres">
      <dgm:prSet presAssocID="{AA8CC7CE-7165-6B4B-9068-1862F3A86C5E}" presName="hierRoot4" presStyleCnt="0"/>
      <dgm:spPr/>
    </dgm:pt>
    <dgm:pt modelId="{839F8487-0C60-DD4B-BB52-FB148737B69C}" type="pres">
      <dgm:prSet presAssocID="{AA8CC7CE-7165-6B4B-9068-1862F3A86C5E}" presName="composite4" presStyleCnt="0"/>
      <dgm:spPr/>
    </dgm:pt>
    <dgm:pt modelId="{96CD34F6-CCD1-A343-930A-93878805753E}" type="pres">
      <dgm:prSet presAssocID="{AA8CC7CE-7165-6B4B-9068-1862F3A86C5E}" presName="background4" presStyleLbl="node4" presStyleIdx="0" presStyleCnt="9"/>
      <dgm:spPr/>
    </dgm:pt>
    <dgm:pt modelId="{11920A8A-7B47-C04A-8E5A-BD5D04714B97}" type="pres">
      <dgm:prSet presAssocID="{AA8CC7CE-7165-6B4B-9068-1862F3A86C5E}" presName="text4" presStyleLbl="fgAcc4" presStyleIdx="0" presStyleCnt="9">
        <dgm:presLayoutVars>
          <dgm:chPref val="3"/>
        </dgm:presLayoutVars>
      </dgm:prSet>
      <dgm:spPr/>
    </dgm:pt>
    <dgm:pt modelId="{C5556012-C053-D74F-9DE5-5351232EB3C3}" type="pres">
      <dgm:prSet presAssocID="{AA8CC7CE-7165-6B4B-9068-1862F3A86C5E}" presName="hierChild5" presStyleCnt="0"/>
      <dgm:spPr/>
    </dgm:pt>
    <dgm:pt modelId="{EC336296-D0C3-0A4A-9E7A-F27D5A57595C}" type="pres">
      <dgm:prSet presAssocID="{759A4B7E-AD99-6643-8DC2-619A18394F7B}" presName="Name23" presStyleLbl="parChTrans1D4" presStyleIdx="1" presStyleCnt="9"/>
      <dgm:spPr/>
    </dgm:pt>
    <dgm:pt modelId="{62D9F093-66F3-254F-8E0B-12558C9C2101}" type="pres">
      <dgm:prSet presAssocID="{BD618DA1-0DD6-5041-8C90-B32A814C83B7}" presName="hierRoot4" presStyleCnt="0"/>
      <dgm:spPr/>
    </dgm:pt>
    <dgm:pt modelId="{73C59DFC-71C9-F640-A881-3677F50A44D8}" type="pres">
      <dgm:prSet presAssocID="{BD618DA1-0DD6-5041-8C90-B32A814C83B7}" presName="composite4" presStyleCnt="0"/>
      <dgm:spPr/>
    </dgm:pt>
    <dgm:pt modelId="{38E6826B-E1A4-E94C-8202-D676D274E5B9}" type="pres">
      <dgm:prSet presAssocID="{BD618DA1-0DD6-5041-8C90-B32A814C83B7}" presName="background4" presStyleLbl="node4" presStyleIdx="1" presStyleCnt="9"/>
      <dgm:spPr/>
    </dgm:pt>
    <dgm:pt modelId="{ACBCC980-F7A5-FE49-B7D5-B3A372601C1D}" type="pres">
      <dgm:prSet presAssocID="{BD618DA1-0DD6-5041-8C90-B32A814C83B7}" presName="text4" presStyleLbl="fgAcc4" presStyleIdx="1" presStyleCnt="9">
        <dgm:presLayoutVars>
          <dgm:chPref val="3"/>
        </dgm:presLayoutVars>
      </dgm:prSet>
      <dgm:spPr/>
    </dgm:pt>
    <dgm:pt modelId="{299871D7-E569-C64F-A9E9-EE84F275FF00}" type="pres">
      <dgm:prSet presAssocID="{BD618DA1-0DD6-5041-8C90-B32A814C83B7}" presName="hierChild5" presStyleCnt="0"/>
      <dgm:spPr/>
    </dgm:pt>
    <dgm:pt modelId="{59F317D8-BA33-A94C-96D4-565E1B03C140}" type="pres">
      <dgm:prSet presAssocID="{DEB6C031-E575-C940-8B62-1259CADC2770}" presName="Name17" presStyleLbl="parChTrans1D3" presStyleIdx="2" presStyleCnt="7"/>
      <dgm:spPr/>
    </dgm:pt>
    <dgm:pt modelId="{32463BD4-0A86-2544-921A-7C3268CA829E}" type="pres">
      <dgm:prSet presAssocID="{6235C4CD-DAA6-7A4B-A079-F878AA1A2B6C}" presName="hierRoot3" presStyleCnt="0"/>
      <dgm:spPr/>
    </dgm:pt>
    <dgm:pt modelId="{3147B0FE-CC66-A84A-B543-A08830578991}" type="pres">
      <dgm:prSet presAssocID="{6235C4CD-DAA6-7A4B-A079-F878AA1A2B6C}" presName="composite3" presStyleCnt="0"/>
      <dgm:spPr/>
    </dgm:pt>
    <dgm:pt modelId="{9D6FA621-F56B-3848-BAA2-A22D4B55129F}" type="pres">
      <dgm:prSet presAssocID="{6235C4CD-DAA6-7A4B-A079-F878AA1A2B6C}" presName="background3" presStyleLbl="node3" presStyleIdx="2" presStyleCnt="7"/>
      <dgm:spPr/>
    </dgm:pt>
    <dgm:pt modelId="{200C15A5-29AC-8942-93B4-665612D67DA4}" type="pres">
      <dgm:prSet presAssocID="{6235C4CD-DAA6-7A4B-A079-F878AA1A2B6C}" presName="text3" presStyleLbl="fgAcc3" presStyleIdx="2" presStyleCnt="7">
        <dgm:presLayoutVars>
          <dgm:chPref val="3"/>
        </dgm:presLayoutVars>
      </dgm:prSet>
      <dgm:spPr/>
    </dgm:pt>
    <dgm:pt modelId="{7A59A9E5-50CB-074C-A80E-53CE3D29F360}" type="pres">
      <dgm:prSet presAssocID="{6235C4CD-DAA6-7A4B-A079-F878AA1A2B6C}" presName="hierChild4" presStyleCnt="0"/>
      <dgm:spPr/>
    </dgm:pt>
    <dgm:pt modelId="{49695432-560F-AD4B-8995-58B39197D096}" type="pres">
      <dgm:prSet presAssocID="{C4978F20-8575-BF4D-9C71-BDF46A675757}" presName="Name23" presStyleLbl="parChTrans1D4" presStyleIdx="2" presStyleCnt="9"/>
      <dgm:spPr/>
    </dgm:pt>
    <dgm:pt modelId="{59049216-1643-C747-8E76-8693A76D4418}" type="pres">
      <dgm:prSet presAssocID="{E01DD8E6-E9DF-6141-9FF2-F0CC8255D8E0}" presName="hierRoot4" presStyleCnt="0"/>
      <dgm:spPr/>
    </dgm:pt>
    <dgm:pt modelId="{D15ED0DB-EF36-9144-93F9-FCEC4EA6E7AA}" type="pres">
      <dgm:prSet presAssocID="{E01DD8E6-E9DF-6141-9FF2-F0CC8255D8E0}" presName="composite4" presStyleCnt="0"/>
      <dgm:spPr/>
    </dgm:pt>
    <dgm:pt modelId="{310A3550-ECFF-4349-96F7-E40754BEFB58}" type="pres">
      <dgm:prSet presAssocID="{E01DD8E6-E9DF-6141-9FF2-F0CC8255D8E0}" presName="background4" presStyleLbl="node4" presStyleIdx="2" presStyleCnt="9"/>
      <dgm:spPr/>
    </dgm:pt>
    <dgm:pt modelId="{7D32EBEE-6D9B-3B49-A7E6-EC59ECECD9D8}" type="pres">
      <dgm:prSet presAssocID="{E01DD8E6-E9DF-6141-9FF2-F0CC8255D8E0}" presName="text4" presStyleLbl="fgAcc4" presStyleIdx="2" presStyleCnt="9">
        <dgm:presLayoutVars>
          <dgm:chPref val="3"/>
        </dgm:presLayoutVars>
      </dgm:prSet>
      <dgm:spPr/>
    </dgm:pt>
    <dgm:pt modelId="{BF11311E-89A3-EC43-AA5F-02EF82D39512}" type="pres">
      <dgm:prSet presAssocID="{E01DD8E6-E9DF-6141-9FF2-F0CC8255D8E0}" presName="hierChild5" presStyleCnt="0"/>
      <dgm:spPr/>
    </dgm:pt>
    <dgm:pt modelId="{B324B314-BA2F-9640-98F1-666207EA8978}" type="pres">
      <dgm:prSet presAssocID="{66D0E2F6-E055-EE47-A174-B38D9977180F}" presName="Name17" presStyleLbl="parChTrans1D3" presStyleIdx="3" presStyleCnt="7"/>
      <dgm:spPr/>
    </dgm:pt>
    <dgm:pt modelId="{6DBF9601-EF71-5842-8CA1-307DDD207822}" type="pres">
      <dgm:prSet presAssocID="{5F22F784-0561-D448-9561-D20F347BBC7E}" presName="hierRoot3" presStyleCnt="0"/>
      <dgm:spPr/>
    </dgm:pt>
    <dgm:pt modelId="{90BE1D64-BCC3-AF4D-8638-B8394829151B}" type="pres">
      <dgm:prSet presAssocID="{5F22F784-0561-D448-9561-D20F347BBC7E}" presName="composite3" presStyleCnt="0"/>
      <dgm:spPr/>
    </dgm:pt>
    <dgm:pt modelId="{DCA4985A-3EFF-D14D-BF86-3F855F2CBBB1}" type="pres">
      <dgm:prSet presAssocID="{5F22F784-0561-D448-9561-D20F347BBC7E}" presName="background3" presStyleLbl="node3" presStyleIdx="3" presStyleCnt="7"/>
      <dgm:spPr/>
    </dgm:pt>
    <dgm:pt modelId="{060E4BE4-F341-E243-B01F-DE5DD8663460}" type="pres">
      <dgm:prSet presAssocID="{5F22F784-0561-D448-9561-D20F347BBC7E}" presName="text3" presStyleLbl="fgAcc3" presStyleIdx="3" presStyleCnt="7">
        <dgm:presLayoutVars>
          <dgm:chPref val="3"/>
        </dgm:presLayoutVars>
      </dgm:prSet>
      <dgm:spPr/>
    </dgm:pt>
    <dgm:pt modelId="{7E83AEE2-DA71-994B-8716-4EFD09BF4F95}" type="pres">
      <dgm:prSet presAssocID="{5F22F784-0561-D448-9561-D20F347BBC7E}" presName="hierChild4" presStyleCnt="0"/>
      <dgm:spPr/>
    </dgm:pt>
    <dgm:pt modelId="{E6C2DFC1-9A06-E942-90B8-6D910B07EE2C}" type="pres">
      <dgm:prSet presAssocID="{A2277C6E-3B3B-9F42-954D-6D59E1352024}" presName="Name23" presStyleLbl="parChTrans1D4" presStyleIdx="3" presStyleCnt="9"/>
      <dgm:spPr/>
    </dgm:pt>
    <dgm:pt modelId="{20F43369-3574-6242-BFF0-BBF36557BE5C}" type="pres">
      <dgm:prSet presAssocID="{7790D21C-5872-354C-A838-5DA627729E18}" presName="hierRoot4" presStyleCnt="0"/>
      <dgm:spPr/>
    </dgm:pt>
    <dgm:pt modelId="{ABFAD60D-FE53-5E46-A2D1-D213F345F4C9}" type="pres">
      <dgm:prSet presAssocID="{7790D21C-5872-354C-A838-5DA627729E18}" presName="composite4" presStyleCnt="0"/>
      <dgm:spPr/>
    </dgm:pt>
    <dgm:pt modelId="{A95E07F7-49DE-B943-9395-BC682436B8B6}" type="pres">
      <dgm:prSet presAssocID="{7790D21C-5872-354C-A838-5DA627729E18}" presName="background4" presStyleLbl="node4" presStyleIdx="3" presStyleCnt="9"/>
      <dgm:spPr/>
    </dgm:pt>
    <dgm:pt modelId="{10CBDCBA-4A12-AA42-A8CB-0ABEE1DD7A39}" type="pres">
      <dgm:prSet presAssocID="{7790D21C-5872-354C-A838-5DA627729E18}" presName="text4" presStyleLbl="fgAcc4" presStyleIdx="3" presStyleCnt="9">
        <dgm:presLayoutVars>
          <dgm:chPref val="3"/>
        </dgm:presLayoutVars>
      </dgm:prSet>
      <dgm:spPr/>
    </dgm:pt>
    <dgm:pt modelId="{C71352B3-AE9A-9B48-BE56-68582D6D2137}" type="pres">
      <dgm:prSet presAssocID="{7790D21C-5872-354C-A838-5DA627729E18}" presName="hierChild5" presStyleCnt="0"/>
      <dgm:spPr/>
    </dgm:pt>
    <dgm:pt modelId="{43B54F19-692F-6247-ACC3-BF6EF696FB90}" type="pres">
      <dgm:prSet presAssocID="{F23420C8-5CAD-9E4D-BD80-97FA251E18D8}" presName="Name23" presStyleLbl="parChTrans1D4" presStyleIdx="4" presStyleCnt="9"/>
      <dgm:spPr/>
    </dgm:pt>
    <dgm:pt modelId="{F0E48B75-4987-C241-B37B-C4853C1C6ED0}" type="pres">
      <dgm:prSet presAssocID="{AC0B6098-5231-2B46-B8D8-A588BED8E6D9}" presName="hierRoot4" presStyleCnt="0"/>
      <dgm:spPr/>
    </dgm:pt>
    <dgm:pt modelId="{E1958149-455F-BE4E-ADC0-2B4CDC6A48A8}" type="pres">
      <dgm:prSet presAssocID="{AC0B6098-5231-2B46-B8D8-A588BED8E6D9}" presName="composite4" presStyleCnt="0"/>
      <dgm:spPr/>
    </dgm:pt>
    <dgm:pt modelId="{121F00C1-76D1-C646-8369-979EF90C9EDB}" type="pres">
      <dgm:prSet presAssocID="{AC0B6098-5231-2B46-B8D8-A588BED8E6D9}" presName="background4" presStyleLbl="node4" presStyleIdx="4" presStyleCnt="9"/>
      <dgm:spPr/>
    </dgm:pt>
    <dgm:pt modelId="{6A84C5BC-168A-8844-8D43-4387D7331EF0}" type="pres">
      <dgm:prSet presAssocID="{AC0B6098-5231-2B46-B8D8-A588BED8E6D9}" presName="text4" presStyleLbl="fgAcc4" presStyleIdx="4" presStyleCnt="9">
        <dgm:presLayoutVars>
          <dgm:chPref val="3"/>
        </dgm:presLayoutVars>
      </dgm:prSet>
      <dgm:spPr/>
    </dgm:pt>
    <dgm:pt modelId="{B40FD3D5-3187-2242-A133-9B86BB564BC3}" type="pres">
      <dgm:prSet presAssocID="{AC0B6098-5231-2B46-B8D8-A588BED8E6D9}" presName="hierChild5" presStyleCnt="0"/>
      <dgm:spPr/>
    </dgm:pt>
    <dgm:pt modelId="{D6798D22-85A8-7240-B2B3-2029161075ED}" type="pres">
      <dgm:prSet presAssocID="{49CD283F-7D27-6049-A87F-E89329C45256}" presName="Name17" presStyleLbl="parChTrans1D3" presStyleIdx="4" presStyleCnt="7"/>
      <dgm:spPr/>
    </dgm:pt>
    <dgm:pt modelId="{278900E3-3234-324D-9038-040442A0633F}" type="pres">
      <dgm:prSet presAssocID="{25A14356-394E-214C-BE33-1379F94A4FBA}" presName="hierRoot3" presStyleCnt="0"/>
      <dgm:spPr/>
    </dgm:pt>
    <dgm:pt modelId="{A257E0A9-6FAD-BB4F-BD5F-E4EA57B952BB}" type="pres">
      <dgm:prSet presAssocID="{25A14356-394E-214C-BE33-1379F94A4FBA}" presName="composite3" presStyleCnt="0"/>
      <dgm:spPr/>
    </dgm:pt>
    <dgm:pt modelId="{6C2E1C25-FAA3-F948-BF8E-97E0C1D1CF91}" type="pres">
      <dgm:prSet presAssocID="{25A14356-394E-214C-BE33-1379F94A4FBA}" presName="background3" presStyleLbl="node3" presStyleIdx="4" presStyleCnt="7"/>
      <dgm:spPr/>
    </dgm:pt>
    <dgm:pt modelId="{A53A5D40-D6B5-0944-912E-DB94BF95C722}" type="pres">
      <dgm:prSet presAssocID="{25A14356-394E-214C-BE33-1379F94A4FBA}" presName="text3" presStyleLbl="fgAcc3" presStyleIdx="4" presStyleCnt="7">
        <dgm:presLayoutVars>
          <dgm:chPref val="3"/>
        </dgm:presLayoutVars>
      </dgm:prSet>
      <dgm:spPr/>
    </dgm:pt>
    <dgm:pt modelId="{2B8C096B-ECFD-9747-9B73-5897DBFFEB1D}" type="pres">
      <dgm:prSet presAssocID="{25A14356-394E-214C-BE33-1379F94A4FBA}" presName="hierChild4" presStyleCnt="0"/>
      <dgm:spPr/>
    </dgm:pt>
    <dgm:pt modelId="{6DA678B4-C0C5-FA49-BD74-239555D43798}" type="pres">
      <dgm:prSet presAssocID="{80D0644D-89B0-9B48-BD07-AE7A3C963103}" presName="Name23" presStyleLbl="parChTrans1D4" presStyleIdx="5" presStyleCnt="9"/>
      <dgm:spPr/>
    </dgm:pt>
    <dgm:pt modelId="{D8010498-319E-F54E-897D-B765900AF1C1}" type="pres">
      <dgm:prSet presAssocID="{7F6354DE-DF9C-D244-AD71-5DAAED2DD2E1}" presName="hierRoot4" presStyleCnt="0"/>
      <dgm:spPr/>
    </dgm:pt>
    <dgm:pt modelId="{FB6B390F-312E-8E4C-BDB4-FDA677C1CB97}" type="pres">
      <dgm:prSet presAssocID="{7F6354DE-DF9C-D244-AD71-5DAAED2DD2E1}" presName="composite4" presStyleCnt="0"/>
      <dgm:spPr/>
    </dgm:pt>
    <dgm:pt modelId="{F3A60510-7811-E048-82E9-6281EED14621}" type="pres">
      <dgm:prSet presAssocID="{7F6354DE-DF9C-D244-AD71-5DAAED2DD2E1}" presName="background4" presStyleLbl="node4" presStyleIdx="5" presStyleCnt="9"/>
      <dgm:spPr/>
    </dgm:pt>
    <dgm:pt modelId="{D13A58BF-30BE-3345-967B-86E29ECA49DA}" type="pres">
      <dgm:prSet presAssocID="{7F6354DE-DF9C-D244-AD71-5DAAED2DD2E1}" presName="text4" presStyleLbl="fgAcc4" presStyleIdx="5" presStyleCnt="9">
        <dgm:presLayoutVars>
          <dgm:chPref val="3"/>
        </dgm:presLayoutVars>
      </dgm:prSet>
      <dgm:spPr/>
    </dgm:pt>
    <dgm:pt modelId="{DF3725B5-FC5B-8149-87E3-F92D33E2C1DE}" type="pres">
      <dgm:prSet presAssocID="{7F6354DE-DF9C-D244-AD71-5DAAED2DD2E1}" presName="hierChild5" presStyleCnt="0"/>
      <dgm:spPr/>
    </dgm:pt>
    <dgm:pt modelId="{687474A5-3A47-C747-A2C8-1751DBD8D820}" type="pres">
      <dgm:prSet presAssocID="{3FDCBF94-0B04-004A-A165-A8F3A5916019}" presName="Name23" presStyleLbl="parChTrans1D4" presStyleIdx="6" presStyleCnt="9"/>
      <dgm:spPr/>
    </dgm:pt>
    <dgm:pt modelId="{82792798-A27A-5E40-A4BF-617F5D0624B5}" type="pres">
      <dgm:prSet presAssocID="{9333CBAA-DED6-B141-8EBD-4362BDE92D07}" presName="hierRoot4" presStyleCnt="0"/>
      <dgm:spPr/>
    </dgm:pt>
    <dgm:pt modelId="{F6CB6175-5E7A-A24E-A59A-77EC44553727}" type="pres">
      <dgm:prSet presAssocID="{9333CBAA-DED6-B141-8EBD-4362BDE92D07}" presName="composite4" presStyleCnt="0"/>
      <dgm:spPr/>
    </dgm:pt>
    <dgm:pt modelId="{EF553876-0EC1-0844-A9BD-3465A64A89B8}" type="pres">
      <dgm:prSet presAssocID="{9333CBAA-DED6-B141-8EBD-4362BDE92D07}" presName="background4" presStyleLbl="node4" presStyleIdx="6" presStyleCnt="9"/>
      <dgm:spPr/>
    </dgm:pt>
    <dgm:pt modelId="{9686988B-171D-8C4F-8FA6-983F853694C1}" type="pres">
      <dgm:prSet presAssocID="{9333CBAA-DED6-B141-8EBD-4362BDE92D07}" presName="text4" presStyleLbl="fgAcc4" presStyleIdx="6" presStyleCnt="9">
        <dgm:presLayoutVars>
          <dgm:chPref val="3"/>
        </dgm:presLayoutVars>
      </dgm:prSet>
      <dgm:spPr/>
    </dgm:pt>
    <dgm:pt modelId="{731FA5B2-3B4D-7B4C-96CA-02FCDE3DB1AB}" type="pres">
      <dgm:prSet presAssocID="{9333CBAA-DED6-B141-8EBD-4362BDE92D07}" presName="hierChild5" presStyleCnt="0"/>
      <dgm:spPr/>
    </dgm:pt>
    <dgm:pt modelId="{71A96AEB-A191-9247-9FD9-E978DBF25C15}" type="pres">
      <dgm:prSet presAssocID="{E256200F-A171-4E48-BF71-D11203E6BCB9}" presName="Name17" presStyleLbl="parChTrans1D3" presStyleIdx="5" presStyleCnt="7"/>
      <dgm:spPr/>
    </dgm:pt>
    <dgm:pt modelId="{EE467B00-A7BD-2B42-97FB-C994C2B115DD}" type="pres">
      <dgm:prSet presAssocID="{3FA2BA4C-EE31-724F-BA59-17B261ED6BE4}" presName="hierRoot3" presStyleCnt="0"/>
      <dgm:spPr/>
    </dgm:pt>
    <dgm:pt modelId="{3ED0899B-B67B-1348-B76A-C678EC93B694}" type="pres">
      <dgm:prSet presAssocID="{3FA2BA4C-EE31-724F-BA59-17B261ED6BE4}" presName="composite3" presStyleCnt="0"/>
      <dgm:spPr/>
    </dgm:pt>
    <dgm:pt modelId="{05B58AB3-D370-B544-A663-2909AE554BC0}" type="pres">
      <dgm:prSet presAssocID="{3FA2BA4C-EE31-724F-BA59-17B261ED6BE4}" presName="background3" presStyleLbl="node3" presStyleIdx="5" presStyleCnt="7"/>
      <dgm:spPr/>
    </dgm:pt>
    <dgm:pt modelId="{DD103A7A-A91C-2149-B813-B47B84222110}" type="pres">
      <dgm:prSet presAssocID="{3FA2BA4C-EE31-724F-BA59-17B261ED6BE4}" presName="text3" presStyleLbl="fgAcc3" presStyleIdx="5" presStyleCnt="7">
        <dgm:presLayoutVars>
          <dgm:chPref val="3"/>
        </dgm:presLayoutVars>
      </dgm:prSet>
      <dgm:spPr/>
    </dgm:pt>
    <dgm:pt modelId="{F72574D1-167A-D44C-A1F7-1402BE4BBDA3}" type="pres">
      <dgm:prSet presAssocID="{3FA2BA4C-EE31-724F-BA59-17B261ED6BE4}" presName="hierChild4" presStyleCnt="0"/>
      <dgm:spPr/>
    </dgm:pt>
    <dgm:pt modelId="{ED381AD6-AA19-8249-AD6A-96ADA332A8DE}" type="pres">
      <dgm:prSet presAssocID="{20C238FD-02EE-F645-A3BF-603D1F4D534C}" presName="Name23" presStyleLbl="parChTrans1D4" presStyleIdx="7" presStyleCnt="9"/>
      <dgm:spPr/>
    </dgm:pt>
    <dgm:pt modelId="{E51A9732-E063-1041-9225-CC5CA5BCEA41}" type="pres">
      <dgm:prSet presAssocID="{8BA998B2-B202-0143-BBF5-0776134195BF}" presName="hierRoot4" presStyleCnt="0"/>
      <dgm:spPr/>
    </dgm:pt>
    <dgm:pt modelId="{DBF8433B-D319-554C-B990-5B9685A8C461}" type="pres">
      <dgm:prSet presAssocID="{8BA998B2-B202-0143-BBF5-0776134195BF}" presName="composite4" presStyleCnt="0"/>
      <dgm:spPr/>
    </dgm:pt>
    <dgm:pt modelId="{F5A8FAB2-8BEF-2642-BC53-E47160434C91}" type="pres">
      <dgm:prSet presAssocID="{8BA998B2-B202-0143-BBF5-0776134195BF}" presName="background4" presStyleLbl="node4" presStyleIdx="7" presStyleCnt="9"/>
      <dgm:spPr/>
    </dgm:pt>
    <dgm:pt modelId="{9BA3C403-6ACD-BB44-B92B-7FD02168D117}" type="pres">
      <dgm:prSet presAssocID="{8BA998B2-B202-0143-BBF5-0776134195BF}" presName="text4" presStyleLbl="fgAcc4" presStyleIdx="7" presStyleCnt="9">
        <dgm:presLayoutVars>
          <dgm:chPref val="3"/>
        </dgm:presLayoutVars>
      </dgm:prSet>
      <dgm:spPr/>
    </dgm:pt>
    <dgm:pt modelId="{018363B0-FE71-4044-8C32-62ED79411A74}" type="pres">
      <dgm:prSet presAssocID="{8BA998B2-B202-0143-BBF5-0776134195BF}" presName="hierChild5" presStyleCnt="0"/>
      <dgm:spPr/>
    </dgm:pt>
    <dgm:pt modelId="{6B4824D4-F39E-AB4F-AA1C-E6E1E956720C}" type="pres">
      <dgm:prSet presAssocID="{98041D44-581B-8844-B021-69D47E2AD154}" presName="Name23" presStyleLbl="parChTrans1D4" presStyleIdx="8" presStyleCnt="9"/>
      <dgm:spPr/>
    </dgm:pt>
    <dgm:pt modelId="{E62D72C7-09DE-2244-AE60-7212D111CB72}" type="pres">
      <dgm:prSet presAssocID="{BD3FBC0B-487F-1A4D-9ED7-54533C9B6421}" presName="hierRoot4" presStyleCnt="0"/>
      <dgm:spPr/>
    </dgm:pt>
    <dgm:pt modelId="{ABF74904-48CA-A949-AD46-A6C507A5BC78}" type="pres">
      <dgm:prSet presAssocID="{BD3FBC0B-487F-1A4D-9ED7-54533C9B6421}" presName="composite4" presStyleCnt="0"/>
      <dgm:spPr/>
    </dgm:pt>
    <dgm:pt modelId="{3A5FBD14-B25F-7640-91C6-0319C31D5E85}" type="pres">
      <dgm:prSet presAssocID="{BD3FBC0B-487F-1A4D-9ED7-54533C9B6421}" presName="background4" presStyleLbl="node4" presStyleIdx="8" presStyleCnt="9"/>
      <dgm:spPr/>
    </dgm:pt>
    <dgm:pt modelId="{AA2BE8A0-0A13-444B-BF30-B7801A77BD1B}" type="pres">
      <dgm:prSet presAssocID="{BD3FBC0B-487F-1A4D-9ED7-54533C9B6421}" presName="text4" presStyleLbl="fgAcc4" presStyleIdx="8" presStyleCnt="9">
        <dgm:presLayoutVars>
          <dgm:chPref val="3"/>
        </dgm:presLayoutVars>
      </dgm:prSet>
      <dgm:spPr/>
    </dgm:pt>
    <dgm:pt modelId="{9B3423D0-164C-C941-853A-740CDA9CFD1F}" type="pres">
      <dgm:prSet presAssocID="{BD3FBC0B-487F-1A4D-9ED7-54533C9B6421}" presName="hierChild5" presStyleCnt="0"/>
      <dgm:spPr/>
    </dgm:pt>
    <dgm:pt modelId="{CF4C8F96-184C-7C48-88AF-56458540D516}" type="pres">
      <dgm:prSet presAssocID="{312ED665-1978-124D-AD6D-EB69855CF8A1}" presName="Name17" presStyleLbl="parChTrans1D3" presStyleIdx="6" presStyleCnt="7"/>
      <dgm:spPr/>
    </dgm:pt>
    <dgm:pt modelId="{A59E5B78-734D-7540-A3ED-E6236DED22E5}" type="pres">
      <dgm:prSet presAssocID="{BED0DBAA-0548-0649-B49D-492EDE97E34D}" presName="hierRoot3" presStyleCnt="0"/>
      <dgm:spPr/>
    </dgm:pt>
    <dgm:pt modelId="{BD39E6EB-FE7D-B945-9349-024453BE723C}" type="pres">
      <dgm:prSet presAssocID="{BED0DBAA-0548-0649-B49D-492EDE97E34D}" presName="composite3" presStyleCnt="0"/>
      <dgm:spPr/>
    </dgm:pt>
    <dgm:pt modelId="{F2350155-EE81-1441-ABBB-F94C2B000805}" type="pres">
      <dgm:prSet presAssocID="{BED0DBAA-0548-0649-B49D-492EDE97E34D}" presName="background3" presStyleLbl="node3" presStyleIdx="6" presStyleCnt="7"/>
      <dgm:spPr/>
    </dgm:pt>
    <dgm:pt modelId="{3FB204C6-6C05-5547-968F-878C98E0AE7F}" type="pres">
      <dgm:prSet presAssocID="{BED0DBAA-0548-0649-B49D-492EDE97E34D}" presName="text3" presStyleLbl="fgAcc3" presStyleIdx="6" presStyleCnt="7">
        <dgm:presLayoutVars>
          <dgm:chPref val="3"/>
        </dgm:presLayoutVars>
      </dgm:prSet>
      <dgm:spPr/>
    </dgm:pt>
    <dgm:pt modelId="{D01DBADD-907B-A343-8DBA-381397208766}" type="pres">
      <dgm:prSet presAssocID="{BED0DBAA-0548-0649-B49D-492EDE97E34D}" presName="hierChild4" presStyleCnt="0"/>
      <dgm:spPr/>
    </dgm:pt>
    <dgm:pt modelId="{878C3EFE-9ACF-2C4F-9083-F2C3CC4B39EC}" type="pres">
      <dgm:prSet presAssocID="{F0F3A073-7529-DD4F-9680-D01D34DF2FB0}" presName="Name10" presStyleLbl="parChTrans1D2" presStyleIdx="3" presStyleCnt="4"/>
      <dgm:spPr/>
    </dgm:pt>
    <dgm:pt modelId="{3DED979A-2B39-7D4A-B253-34DFC170012E}" type="pres">
      <dgm:prSet presAssocID="{45FEAA42-DE3D-1946-AA09-CE02E9FB8115}" presName="hierRoot2" presStyleCnt="0"/>
      <dgm:spPr/>
    </dgm:pt>
    <dgm:pt modelId="{51855223-CEB6-3A43-80B7-DF0243C55321}" type="pres">
      <dgm:prSet presAssocID="{45FEAA42-DE3D-1946-AA09-CE02E9FB8115}" presName="composite2" presStyleCnt="0"/>
      <dgm:spPr/>
    </dgm:pt>
    <dgm:pt modelId="{2B95C6B6-15A8-4E44-AF55-2786C6007AC8}" type="pres">
      <dgm:prSet presAssocID="{45FEAA42-DE3D-1946-AA09-CE02E9FB8115}" presName="background2" presStyleLbl="node2" presStyleIdx="3" presStyleCnt="4"/>
      <dgm:spPr/>
    </dgm:pt>
    <dgm:pt modelId="{F365D0CE-1E29-B84C-8C16-E2B09860CADE}" type="pres">
      <dgm:prSet presAssocID="{45FEAA42-DE3D-1946-AA09-CE02E9FB8115}" presName="text2" presStyleLbl="fgAcc2" presStyleIdx="3" presStyleCnt="4" custLinFactNeighborY="-61629">
        <dgm:presLayoutVars>
          <dgm:chPref val="3"/>
        </dgm:presLayoutVars>
      </dgm:prSet>
      <dgm:spPr/>
    </dgm:pt>
    <dgm:pt modelId="{1BEAD4B3-4973-5248-85B2-4656F90C7725}" type="pres">
      <dgm:prSet presAssocID="{45FEAA42-DE3D-1946-AA09-CE02E9FB8115}" presName="hierChild3" presStyleCnt="0"/>
      <dgm:spPr/>
    </dgm:pt>
  </dgm:ptLst>
  <dgm:cxnLst>
    <dgm:cxn modelId="{562B6900-D75D-3D4D-82D5-8A8F22511130}" type="presOf" srcId="{BD618DA1-0DD6-5041-8C90-B32A814C83B7}" destId="{ACBCC980-F7A5-FE49-B7D5-B3A372601C1D}" srcOrd="0" destOrd="0" presId="urn:microsoft.com/office/officeart/2005/8/layout/hierarchy1"/>
    <dgm:cxn modelId="{098A5500-6995-7F4F-A549-A5BBE9BC834B}" srcId="{6A3C9F1F-B506-9A49-8971-B58224139D99}" destId="{161006FB-81E7-5A41-AA36-2D9414830A7E}" srcOrd="0" destOrd="0" parTransId="{DB61E512-6A50-9149-BEA9-2464D4D234BF}" sibTransId="{70F5B489-5888-054B-BAE1-FFF4B7E2DE7C}"/>
    <dgm:cxn modelId="{BDD71003-E799-BD40-B568-D2852563AC56}" type="presOf" srcId="{9333CBAA-DED6-B141-8EBD-4362BDE92D07}" destId="{9686988B-171D-8C4F-8FA6-983F853694C1}" srcOrd="0" destOrd="0" presId="urn:microsoft.com/office/officeart/2005/8/layout/hierarchy1"/>
    <dgm:cxn modelId="{67B23004-DACB-B14C-A37A-7E6FB86157A5}" type="presOf" srcId="{F0F3A073-7529-DD4F-9680-D01D34DF2FB0}" destId="{878C3EFE-9ACF-2C4F-9083-F2C3CC4B39EC}" srcOrd="0" destOrd="0" presId="urn:microsoft.com/office/officeart/2005/8/layout/hierarchy1"/>
    <dgm:cxn modelId="{1300530F-F77A-EF4E-B713-B71C4D12518C}" type="presOf" srcId="{84F37D3F-833E-D34B-980F-337C0D9AD506}" destId="{FF58CF80-265B-2442-BE29-EF0804AD6AF5}" srcOrd="0" destOrd="0" presId="urn:microsoft.com/office/officeart/2005/8/layout/hierarchy1"/>
    <dgm:cxn modelId="{02F7C60F-7C43-2741-9062-CF627FF5515F}" type="presOf" srcId="{07C66EA3-D799-1A45-979E-C5C135E1BFAA}" destId="{C33C1C26-2920-5A44-9BF4-D3C40A40E1EE}" srcOrd="0" destOrd="0" presId="urn:microsoft.com/office/officeart/2005/8/layout/hierarchy1"/>
    <dgm:cxn modelId="{2FDD7910-8AEA-1449-97E9-D7CA8576B6A0}" type="presOf" srcId="{66D0E2F6-E055-EE47-A174-B38D9977180F}" destId="{B324B314-BA2F-9640-98F1-666207EA8978}" srcOrd="0" destOrd="0" presId="urn:microsoft.com/office/officeart/2005/8/layout/hierarchy1"/>
    <dgm:cxn modelId="{D7F05B15-793E-0745-94FD-2BD4A84FD227}" type="presOf" srcId="{AA8CC7CE-7165-6B4B-9068-1862F3A86C5E}" destId="{11920A8A-7B47-C04A-8E5A-BD5D04714B97}" srcOrd="0" destOrd="0" presId="urn:microsoft.com/office/officeart/2005/8/layout/hierarchy1"/>
    <dgm:cxn modelId="{116B121D-89D1-CF43-89D2-6FA8C4F10A13}" srcId="{84F37D3F-833E-D34B-980F-337C0D9AD506}" destId="{68D61964-C619-4440-AED4-C278C8410A5B}" srcOrd="1" destOrd="0" parTransId="{ECB34E32-2F4C-8045-9D87-5F166BD85CC5}" sibTransId="{D99DFC5B-FAF7-684A-A924-744E097854B2}"/>
    <dgm:cxn modelId="{B078CA1D-0983-9049-9D3F-483DB711632A}" type="presOf" srcId="{E01DD8E6-E9DF-6141-9FF2-F0CC8255D8E0}" destId="{7D32EBEE-6D9B-3B49-A7E6-EC59ECECD9D8}" srcOrd="0" destOrd="0" presId="urn:microsoft.com/office/officeart/2005/8/layout/hierarchy1"/>
    <dgm:cxn modelId="{7DE60B22-EFB6-0943-B1BA-6EE5E0F13FEA}" srcId="{5F22F784-0561-D448-9561-D20F347BBC7E}" destId="{7790D21C-5872-354C-A838-5DA627729E18}" srcOrd="0" destOrd="0" parTransId="{A2277C6E-3B3B-9F42-954D-6D59E1352024}" sibTransId="{3D31245E-404B-CD42-9810-7DFDCE878E86}"/>
    <dgm:cxn modelId="{F5F4BC22-DB93-6847-B8AA-2D3CED05B2D2}" srcId="{84F37D3F-833E-D34B-980F-337C0D9AD506}" destId="{87B6CE54-BA01-6849-A818-E220E61EA013}" srcOrd="0" destOrd="0" parTransId="{95695F74-9380-1B4E-AECC-12C5D8579792}" sibTransId="{E5409A36-B82B-454C-8EDF-4B6F11680D68}"/>
    <dgm:cxn modelId="{21D5992B-E6E1-0742-B4D8-BE7259365215}" srcId="{5F22F784-0561-D448-9561-D20F347BBC7E}" destId="{AC0B6098-5231-2B46-B8D8-A588BED8E6D9}" srcOrd="1" destOrd="0" parTransId="{F23420C8-5CAD-9E4D-BD80-97FA251E18D8}" sibTransId="{504A7F2B-70D2-3342-A64D-D20D04EE05DA}"/>
    <dgm:cxn modelId="{89E43A2F-D617-7845-AC82-5A649443E83F}" type="presOf" srcId="{6A3C9F1F-B506-9A49-8971-B58224139D99}" destId="{D5A3B75F-2AF8-C542-95CA-5626D13A98D0}" srcOrd="0" destOrd="0" presId="urn:microsoft.com/office/officeart/2005/8/layout/hierarchy1"/>
    <dgm:cxn modelId="{12035F33-46B8-4D44-87FC-1BC0D73E8F0C}" type="presOf" srcId="{312ED665-1978-124D-AD6D-EB69855CF8A1}" destId="{CF4C8F96-184C-7C48-88AF-56458540D516}" srcOrd="0" destOrd="0" presId="urn:microsoft.com/office/officeart/2005/8/layout/hierarchy1"/>
    <dgm:cxn modelId="{52638B36-8402-CB4B-9D6C-A7C48A44A5ED}" srcId="{161006FB-81E7-5A41-AA36-2D9414830A7E}" destId="{A017E348-AE97-9542-B15F-B59D94923B63}" srcOrd="0" destOrd="0" parTransId="{A2CD0C2C-A023-0C41-9BC6-51BD741955DB}" sibTransId="{938EFEFB-9189-1342-AC5E-7186E28F2EB8}"/>
    <dgm:cxn modelId="{64ADF138-6B0A-9D49-A458-8A5F28E86EB5}" type="presOf" srcId="{A017E348-AE97-9542-B15F-B59D94923B63}" destId="{E8B87D59-DFDC-D540-8C0F-CA07F431A641}" srcOrd="0" destOrd="0" presId="urn:microsoft.com/office/officeart/2005/8/layout/hierarchy1"/>
    <dgm:cxn modelId="{1F34815F-44FF-B84E-9378-90A44687EB50}" type="presOf" srcId="{98041D44-581B-8844-B021-69D47E2AD154}" destId="{6B4824D4-F39E-AB4F-AA1C-E6E1E956720C}" srcOrd="0" destOrd="0" presId="urn:microsoft.com/office/officeart/2005/8/layout/hierarchy1"/>
    <dgm:cxn modelId="{49B36E41-9C86-4E43-AA28-2A29C6D83462}" srcId="{84F37D3F-833E-D34B-980F-337C0D9AD506}" destId="{3FA2BA4C-EE31-724F-BA59-17B261ED6BE4}" srcOrd="5" destOrd="0" parTransId="{E256200F-A171-4E48-BF71-D11203E6BCB9}" sibTransId="{234713C9-E17A-1042-93B3-C703509AC318}"/>
    <dgm:cxn modelId="{C0450C68-FBCD-5C43-9E0D-4EA1ABE84AB8}" type="presOf" srcId="{25A14356-394E-214C-BE33-1379F94A4FBA}" destId="{A53A5D40-D6B5-0944-912E-DB94BF95C722}" srcOrd="0" destOrd="0" presId="urn:microsoft.com/office/officeart/2005/8/layout/hierarchy1"/>
    <dgm:cxn modelId="{F2CF6849-465C-F24C-A3AB-DD7B6ADDB89F}" srcId="{84F37D3F-833E-D34B-980F-337C0D9AD506}" destId="{25A14356-394E-214C-BE33-1379F94A4FBA}" srcOrd="4" destOrd="0" parTransId="{49CD283F-7D27-6049-A87F-E89329C45256}" sibTransId="{48D048EC-572E-B943-BEC2-55F7C89B0F11}"/>
    <dgm:cxn modelId="{64E10071-6CEB-9244-B014-CF5995207F37}" type="presOf" srcId="{20C238FD-02EE-F645-A3BF-603D1F4D534C}" destId="{ED381AD6-AA19-8249-AD6A-96ADA332A8DE}" srcOrd="0" destOrd="0" presId="urn:microsoft.com/office/officeart/2005/8/layout/hierarchy1"/>
    <dgm:cxn modelId="{C88D8F71-C89E-9541-8512-3453F8F49257}" type="presOf" srcId="{7790D21C-5872-354C-A838-5DA627729E18}" destId="{10CBDCBA-4A12-AA42-A8CB-0ABEE1DD7A39}" srcOrd="0" destOrd="0" presId="urn:microsoft.com/office/officeart/2005/8/layout/hierarchy1"/>
    <dgm:cxn modelId="{BD0B5D52-8F3E-194B-80B0-FB31CCD5EA9E}" type="presOf" srcId="{3FA2BA4C-EE31-724F-BA59-17B261ED6BE4}" destId="{DD103A7A-A91C-2149-B813-B47B84222110}" srcOrd="0" destOrd="0" presId="urn:microsoft.com/office/officeart/2005/8/layout/hierarchy1"/>
    <dgm:cxn modelId="{F4F5E876-A24B-DF44-8DEC-B14F1DC6AEBA}" type="presOf" srcId="{A2CD0C2C-A023-0C41-9BC6-51BD741955DB}" destId="{572B763B-7A02-7E4F-AE00-CEF802B751EE}" srcOrd="0" destOrd="0" presId="urn:microsoft.com/office/officeart/2005/8/layout/hierarchy1"/>
    <dgm:cxn modelId="{4582EC56-384D-1143-91D0-9CC8BEF76D05}" srcId="{161006FB-81E7-5A41-AA36-2D9414830A7E}" destId="{84F37D3F-833E-D34B-980F-337C0D9AD506}" srcOrd="2" destOrd="0" parTransId="{C357F3F8-7507-834F-9253-D9FD041D7B28}" sibTransId="{94E0F03B-0F9E-B841-8056-ACA180A9DDBD}"/>
    <dgm:cxn modelId="{0732DB77-D285-8B49-91E1-6977ECED6A2C}" srcId="{68D61964-C619-4440-AED4-C278C8410A5B}" destId="{BD618DA1-0DD6-5041-8C90-B32A814C83B7}" srcOrd="1" destOrd="0" parTransId="{759A4B7E-AD99-6643-8DC2-619A18394F7B}" sibTransId="{7748E7FC-FAF0-124D-ACAC-D108AC0945E1}"/>
    <dgm:cxn modelId="{22B40358-39CC-F248-B21A-7679BD53D370}" srcId="{84F37D3F-833E-D34B-980F-337C0D9AD506}" destId="{6235C4CD-DAA6-7A4B-A079-F878AA1A2B6C}" srcOrd="2" destOrd="0" parTransId="{DEB6C031-E575-C940-8B62-1259CADC2770}" sibTransId="{06441718-A32D-1844-A5A5-9F9032B08C0B}"/>
    <dgm:cxn modelId="{D3CA2E82-0905-1B41-A9BD-0B94C41FB0FD}" srcId="{161006FB-81E7-5A41-AA36-2D9414830A7E}" destId="{07C66EA3-D799-1A45-979E-C5C135E1BFAA}" srcOrd="1" destOrd="0" parTransId="{36458D7B-1A6D-484D-A54D-2C74AE252720}" sibTransId="{A2C09F6E-91AE-5944-8756-964FB4670101}"/>
    <dgm:cxn modelId="{50CB6294-F86A-AB49-A66C-955E1312E6C0}" type="presOf" srcId="{DEB6C031-E575-C940-8B62-1259CADC2770}" destId="{59F317D8-BA33-A94C-96D4-565E1B03C140}" srcOrd="0" destOrd="0" presId="urn:microsoft.com/office/officeart/2005/8/layout/hierarchy1"/>
    <dgm:cxn modelId="{6E9180A2-BE9A-DD4F-80D9-2FF3790EC268}" type="presOf" srcId="{BED0DBAA-0548-0649-B49D-492EDE97E34D}" destId="{3FB204C6-6C05-5547-968F-878C98E0AE7F}" srcOrd="0" destOrd="0" presId="urn:microsoft.com/office/officeart/2005/8/layout/hierarchy1"/>
    <dgm:cxn modelId="{EC612AA6-B32E-384F-992D-C0AB1B0305CA}" type="presOf" srcId="{161006FB-81E7-5A41-AA36-2D9414830A7E}" destId="{7291523F-B16D-D140-B5E9-D3EDB3B5896F}" srcOrd="0" destOrd="0" presId="urn:microsoft.com/office/officeart/2005/8/layout/hierarchy1"/>
    <dgm:cxn modelId="{204D94A6-AFF6-4F4A-B317-A60E29C480D4}" type="presOf" srcId="{36458D7B-1A6D-484D-A54D-2C74AE252720}" destId="{13181633-AD02-F146-899F-1216AFB4C8E0}" srcOrd="0" destOrd="0" presId="urn:microsoft.com/office/officeart/2005/8/layout/hierarchy1"/>
    <dgm:cxn modelId="{F5EC98A7-05B5-9248-8CE4-62EFC40C4A70}" type="presOf" srcId="{E256200F-A171-4E48-BF71-D11203E6BCB9}" destId="{71A96AEB-A191-9247-9FD9-E978DBF25C15}" srcOrd="0" destOrd="0" presId="urn:microsoft.com/office/officeart/2005/8/layout/hierarchy1"/>
    <dgm:cxn modelId="{C95B02A8-33C1-974A-A0FE-26B5A6EB8E35}" srcId="{3FA2BA4C-EE31-724F-BA59-17B261ED6BE4}" destId="{8BA998B2-B202-0143-BBF5-0776134195BF}" srcOrd="0" destOrd="0" parTransId="{20C238FD-02EE-F645-A3BF-603D1F4D534C}" sibTransId="{46780FE6-67DB-7B46-823D-7F92F5C070B6}"/>
    <dgm:cxn modelId="{EEE66FA9-397E-A649-AADB-AEA66B2D04FF}" srcId="{25A14356-394E-214C-BE33-1379F94A4FBA}" destId="{9333CBAA-DED6-B141-8EBD-4362BDE92D07}" srcOrd="1" destOrd="0" parTransId="{3FDCBF94-0B04-004A-A165-A8F3A5916019}" sibTransId="{B4A0B672-5214-5643-857C-1F85D3A7FEAD}"/>
    <dgm:cxn modelId="{9F4418AC-A666-7640-8CCF-3AAC30ECA9E0}" srcId="{161006FB-81E7-5A41-AA36-2D9414830A7E}" destId="{45FEAA42-DE3D-1946-AA09-CE02E9FB8115}" srcOrd="3" destOrd="0" parTransId="{F0F3A073-7529-DD4F-9680-D01D34DF2FB0}" sibTransId="{799EFFB0-95EA-1A4B-A8F7-D46FF7F7D1BB}"/>
    <dgm:cxn modelId="{3FCC69AE-7F85-FF40-8CB4-C45AE5E9A737}" type="presOf" srcId="{49CD283F-7D27-6049-A87F-E89329C45256}" destId="{D6798D22-85A8-7240-B2B3-2029161075ED}" srcOrd="0" destOrd="0" presId="urn:microsoft.com/office/officeart/2005/8/layout/hierarchy1"/>
    <dgm:cxn modelId="{4464B4AF-2E2A-084B-B57C-331758785E47}" type="presOf" srcId="{87B6CE54-BA01-6849-A818-E220E61EA013}" destId="{A5BA79BD-126D-E74D-AFBA-E63DB25E6C06}" srcOrd="0" destOrd="0" presId="urn:microsoft.com/office/officeart/2005/8/layout/hierarchy1"/>
    <dgm:cxn modelId="{990EBBB4-A7FF-DD49-9E64-F15F81B27133}" type="presOf" srcId="{95695F74-9380-1B4E-AECC-12C5D8579792}" destId="{D94CF632-9D1E-C348-BB89-38788FE9BB8F}" srcOrd="0" destOrd="0" presId="urn:microsoft.com/office/officeart/2005/8/layout/hierarchy1"/>
    <dgm:cxn modelId="{6367C7BC-0493-6945-A6E9-DCB93A3E48ED}" type="presOf" srcId="{ECB34E32-2F4C-8045-9D87-5F166BD85CC5}" destId="{2EA6332F-D85C-4045-9F1B-2CF021E41876}" srcOrd="0" destOrd="0" presId="urn:microsoft.com/office/officeart/2005/8/layout/hierarchy1"/>
    <dgm:cxn modelId="{E3D41ABE-6E1A-9F4D-B76E-3BB339B13EDB}" type="presOf" srcId="{AC0B6098-5231-2B46-B8D8-A588BED8E6D9}" destId="{6A84C5BC-168A-8844-8D43-4387D7331EF0}" srcOrd="0" destOrd="0" presId="urn:microsoft.com/office/officeart/2005/8/layout/hierarchy1"/>
    <dgm:cxn modelId="{B94476C0-8B6C-AD46-8BBE-2DD450694936}" type="presOf" srcId="{8BA998B2-B202-0143-BBF5-0776134195BF}" destId="{9BA3C403-6ACD-BB44-B92B-7FD02168D117}" srcOrd="0" destOrd="0" presId="urn:microsoft.com/office/officeart/2005/8/layout/hierarchy1"/>
    <dgm:cxn modelId="{4B201DC1-FB58-D94C-8D06-C1999DCA16F3}" type="presOf" srcId="{80D0644D-89B0-9B48-BD07-AE7A3C963103}" destId="{6DA678B4-C0C5-FA49-BD74-239555D43798}" srcOrd="0" destOrd="0" presId="urn:microsoft.com/office/officeart/2005/8/layout/hierarchy1"/>
    <dgm:cxn modelId="{6728EBC6-6C1A-5445-B610-17DFB1EC5DCD}" type="presOf" srcId="{7F6354DE-DF9C-D244-AD71-5DAAED2DD2E1}" destId="{D13A58BF-30BE-3345-967B-86E29ECA49DA}" srcOrd="0" destOrd="0" presId="urn:microsoft.com/office/officeart/2005/8/layout/hierarchy1"/>
    <dgm:cxn modelId="{79246FC7-577F-7A4E-8ABE-AF60BEFF4B98}" type="presOf" srcId="{5F22F784-0561-D448-9561-D20F347BBC7E}" destId="{060E4BE4-F341-E243-B01F-DE5DD8663460}" srcOrd="0" destOrd="0" presId="urn:microsoft.com/office/officeart/2005/8/layout/hierarchy1"/>
    <dgm:cxn modelId="{131509CA-2380-2843-BEE0-5BA6688E539A}" type="presOf" srcId="{C357F3F8-7507-834F-9253-D9FD041D7B28}" destId="{DC90ADC5-4880-3B4E-845A-B8704AAAB633}" srcOrd="0" destOrd="0" presId="urn:microsoft.com/office/officeart/2005/8/layout/hierarchy1"/>
    <dgm:cxn modelId="{0108C4CE-5B3E-2E47-86BA-625F1D4556D7}" type="presOf" srcId="{3FDCBF94-0B04-004A-A165-A8F3A5916019}" destId="{687474A5-3A47-C747-A2C8-1751DBD8D820}" srcOrd="0" destOrd="0" presId="urn:microsoft.com/office/officeart/2005/8/layout/hierarchy1"/>
    <dgm:cxn modelId="{30B19ED0-7181-7B48-A35C-5CC7614125FD}" type="presOf" srcId="{6235C4CD-DAA6-7A4B-A079-F878AA1A2B6C}" destId="{200C15A5-29AC-8942-93B4-665612D67DA4}" srcOrd="0" destOrd="0" presId="urn:microsoft.com/office/officeart/2005/8/layout/hierarchy1"/>
    <dgm:cxn modelId="{C7D0A8D1-7D6E-F74C-9AEC-C614D49057A2}" srcId="{3FA2BA4C-EE31-724F-BA59-17B261ED6BE4}" destId="{BD3FBC0B-487F-1A4D-9ED7-54533C9B6421}" srcOrd="1" destOrd="0" parTransId="{98041D44-581B-8844-B021-69D47E2AD154}" sibTransId="{61B406C6-8653-3144-B8CD-B5DEDB13F598}"/>
    <dgm:cxn modelId="{AF41C6D1-3A9B-1C45-A2A0-58A1955A3E45}" type="presOf" srcId="{A2277C6E-3B3B-9F42-954D-6D59E1352024}" destId="{E6C2DFC1-9A06-E942-90B8-6D910B07EE2C}" srcOrd="0" destOrd="0" presId="urn:microsoft.com/office/officeart/2005/8/layout/hierarchy1"/>
    <dgm:cxn modelId="{A7D1E4D7-739C-B245-9B50-AA906CAD5E9D}" type="presOf" srcId="{41990F92-E05F-F346-95EF-9951C8F14CC9}" destId="{7B33F945-E0A5-3349-B163-88A9AD49B167}" srcOrd="0" destOrd="0" presId="urn:microsoft.com/office/officeart/2005/8/layout/hierarchy1"/>
    <dgm:cxn modelId="{167D5FD9-EA63-0D46-9EEA-A81C62BCA43B}" type="presOf" srcId="{F23420C8-5CAD-9E4D-BD80-97FA251E18D8}" destId="{43B54F19-692F-6247-ACC3-BF6EF696FB90}" srcOrd="0" destOrd="0" presId="urn:microsoft.com/office/officeart/2005/8/layout/hierarchy1"/>
    <dgm:cxn modelId="{E406A2DB-9CCA-544B-8083-3AE044F25837}" type="presOf" srcId="{BD3FBC0B-487F-1A4D-9ED7-54533C9B6421}" destId="{AA2BE8A0-0A13-444B-BF30-B7801A77BD1B}" srcOrd="0" destOrd="0" presId="urn:microsoft.com/office/officeart/2005/8/layout/hierarchy1"/>
    <dgm:cxn modelId="{BE409ADC-711E-DD42-AB94-8C931F02DF5C}" type="presOf" srcId="{68D61964-C619-4440-AED4-C278C8410A5B}" destId="{8D9A3C8B-B04B-6449-BD3C-11625D70AD0E}" srcOrd="0" destOrd="0" presId="urn:microsoft.com/office/officeart/2005/8/layout/hierarchy1"/>
    <dgm:cxn modelId="{D6B76EDE-820F-594E-A7CA-0D6E43F8831E}" srcId="{25A14356-394E-214C-BE33-1379F94A4FBA}" destId="{7F6354DE-DF9C-D244-AD71-5DAAED2DD2E1}" srcOrd="0" destOrd="0" parTransId="{80D0644D-89B0-9B48-BD07-AE7A3C963103}" sibTransId="{396136A5-26F6-A545-A5F7-8058353513D0}"/>
    <dgm:cxn modelId="{E9B8D7E1-D1A1-E847-B4FA-3D11C75ED5AD}" type="presOf" srcId="{45FEAA42-DE3D-1946-AA09-CE02E9FB8115}" destId="{F365D0CE-1E29-B84C-8C16-E2B09860CADE}" srcOrd="0" destOrd="0" presId="urn:microsoft.com/office/officeart/2005/8/layout/hierarchy1"/>
    <dgm:cxn modelId="{2D0FA8E7-B126-ED4A-B84E-5707F7206100}" srcId="{6235C4CD-DAA6-7A4B-A079-F878AA1A2B6C}" destId="{E01DD8E6-E9DF-6141-9FF2-F0CC8255D8E0}" srcOrd="0" destOrd="0" parTransId="{C4978F20-8575-BF4D-9C71-BDF46A675757}" sibTransId="{4DB906A4-4A2D-484C-A583-B8D78D7C52C2}"/>
    <dgm:cxn modelId="{B7B35FF6-97E7-D24D-9789-EA469E970B49}" type="presOf" srcId="{759A4B7E-AD99-6643-8DC2-619A18394F7B}" destId="{EC336296-D0C3-0A4A-9E7A-F27D5A57595C}" srcOrd="0" destOrd="0" presId="urn:microsoft.com/office/officeart/2005/8/layout/hierarchy1"/>
    <dgm:cxn modelId="{A5A946F6-4ACE-5F4D-A5DA-433DC3183B21}" srcId="{84F37D3F-833E-D34B-980F-337C0D9AD506}" destId="{5F22F784-0561-D448-9561-D20F347BBC7E}" srcOrd="3" destOrd="0" parTransId="{66D0E2F6-E055-EE47-A174-B38D9977180F}" sibTransId="{79ACF363-D030-B743-940E-0DC6DAEC41A1}"/>
    <dgm:cxn modelId="{20BE97F8-4D4B-1B4E-9D86-096461A19138}" type="presOf" srcId="{C4978F20-8575-BF4D-9C71-BDF46A675757}" destId="{49695432-560F-AD4B-8995-58B39197D096}" srcOrd="0" destOrd="0" presId="urn:microsoft.com/office/officeart/2005/8/layout/hierarchy1"/>
    <dgm:cxn modelId="{FE6A33FB-1284-8C48-BAB5-A012E4E5D6D0}" srcId="{68D61964-C619-4440-AED4-C278C8410A5B}" destId="{AA8CC7CE-7165-6B4B-9068-1862F3A86C5E}" srcOrd="0" destOrd="0" parTransId="{41990F92-E05F-F346-95EF-9951C8F14CC9}" sibTransId="{11FBBE5A-7E72-D743-8B6E-F7EB502EEC0D}"/>
    <dgm:cxn modelId="{1D7438FF-6BD7-3949-A0A8-2D531CA8124E}" srcId="{84F37D3F-833E-D34B-980F-337C0D9AD506}" destId="{BED0DBAA-0548-0649-B49D-492EDE97E34D}" srcOrd="6" destOrd="0" parTransId="{312ED665-1978-124D-AD6D-EB69855CF8A1}" sibTransId="{FD3C97FA-8ABC-034C-89B6-94406296199C}"/>
    <dgm:cxn modelId="{348E6B9A-7F85-6B47-A057-E2C181D51A3A}" type="presParOf" srcId="{D5A3B75F-2AF8-C542-95CA-5626D13A98D0}" destId="{78A4B191-B6C6-B740-8A8C-F4FA5A2B1FF6}" srcOrd="0" destOrd="0" presId="urn:microsoft.com/office/officeart/2005/8/layout/hierarchy1"/>
    <dgm:cxn modelId="{2C4042DF-81D5-0D4F-BC7F-BAF666374EA6}" type="presParOf" srcId="{78A4B191-B6C6-B740-8A8C-F4FA5A2B1FF6}" destId="{5854F2B9-AC84-3247-8C38-8C1AFD916F46}" srcOrd="0" destOrd="0" presId="urn:microsoft.com/office/officeart/2005/8/layout/hierarchy1"/>
    <dgm:cxn modelId="{67D53F09-8F47-F946-9A8A-9BCF325DB5CB}" type="presParOf" srcId="{5854F2B9-AC84-3247-8C38-8C1AFD916F46}" destId="{91775200-0E22-2841-B4C4-8B2D50749DDF}" srcOrd="0" destOrd="0" presId="urn:microsoft.com/office/officeart/2005/8/layout/hierarchy1"/>
    <dgm:cxn modelId="{917C8CF7-3056-4947-8E2A-092D7EEBEA4D}" type="presParOf" srcId="{5854F2B9-AC84-3247-8C38-8C1AFD916F46}" destId="{7291523F-B16D-D140-B5E9-D3EDB3B5896F}" srcOrd="1" destOrd="0" presId="urn:microsoft.com/office/officeart/2005/8/layout/hierarchy1"/>
    <dgm:cxn modelId="{34A2C691-F0C4-8443-85B7-A1827F0B4794}" type="presParOf" srcId="{78A4B191-B6C6-B740-8A8C-F4FA5A2B1FF6}" destId="{7BE893C9-62F6-9C4C-A810-4348B6A842FD}" srcOrd="1" destOrd="0" presId="urn:microsoft.com/office/officeart/2005/8/layout/hierarchy1"/>
    <dgm:cxn modelId="{6AAD0AD4-A2CD-B645-AB1E-71815BB2F5F5}" type="presParOf" srcId="{7BE893C9-62F6-9C4C-A810-4348B6A842FD}" destId="{572B763B-7A02-7E4F-AE00-CEF802B751EE}" srcOrd="0" destOrd="0" presId="urn:microsoft.com/office/officeart/2005/8/layout/hierarchy1"/>
    <dgm:cxn modelId="{0FA4A80A-61A7-8A42-B676-5059AE8162FA}" type="presParOf" srcId="{7BE893C9-62F6-9C4C-A810-4348B6A842FD}" destId="{4D9CB01B-BAB2-EE44-999A-28A0A106E4B7}" srcOrd="1" destOrd="0" presId="urn:microsoft.com/office/officeart/2005/8/layout/hierarchy1"/>
    <dgm:cxn modelId="{1F8F92FC-992D-554E-BDC1-08E9CDC92027}" type="presParOf" srcId="{4D9CB01B-BAB2-EE44-999A-28A0A106E4B7}" destId="{DC6433A8-3147-AC41-BE27-1BAE2F063499}" srcOrd="0" destOrd="0" presId="urn:microsoft.com/office/officeart/2005/8/layout/hierarchy1"/>
    <dgm:cxn modelId="{0F980644-2728-9F40-A084-8979144088E3}" type="presParOf" srcId="{DC6433A8-3147-AC41-BE27-1BAE2F063499}" destId="{0A4AE3C7-EA99-D443-A232-A668508B34AF}" srcOrd="0" destOrd="0" presId="urn:microsoft.com/office/officeart/2005/8/layout/hierarchy1"/>
    <dgm:cxn modelId="{3D85B6A8-D940-AB4C-A8AE-A7395E3CBD88}" type="presParOf" srcId="{DC6433A8-3147-AC41-BE27-1BAE2F063499}" destId="{E8B87D59-DFDC-D540-8C0F-CA07F431A641}" srcOrd="1" destOrd="0" presId="urn:microsoft.com/office/officeart/2005/8/layout/hierarchy1"/>
    <dgm:cxn modelId="{7CFF9BB1-AED0-6943-B8D1-F3C5DF0AE784}" type="presParOf" srcId="{4D9CB01B-BAB2-EE44-999A-28A0A106E4B7}" destId="{7075070C-4CB7-0E41-B66C-19E36B895BAB}" srcOrd="1" destOrd="0" presId="urn:microsoft.com/office/officeart/2005/8/layout/hierarchy1"/>
    <dgm:cxn modelId="{896A0A3E-AD65-A045-85B4-5F473BEA6CBA}" type="presParOf" srcId="{7BE893C9-62F6-9C4C-A810-4348B6A842FD}" destId="{13181633-AD02-F146-899F-1216AFB4C8E0}" srcOrd="2" destOrd="0" presId="urn:microsoft.com/office/officeart/2005/8/layout/hierarchy1"/>
    <dgm:cxn modelId="{B8B3DB53-ECFA-0841-8B8E-B9B75E89B7D2}" type="presParOf" srcId="{7BE893C9-62F6-9C4C-A810-4348B6A842FD}" destId="{1AE70B65-69B9-2D45-8ACC-53AD5D55E9E8}" srcOrd="3" destOrd="0" presId="urn:microsoft.com/office/officeart/2005/8/layout/hierarchy1"/>
    <dgm:cxn modelId="{4EFAC8B1-0DFC-2B41-9A53-CD9088B3806B}" type="presParOf" srcId="{1AE70B65-69B9-2D45-8ACC-53AD5D55E9E8}" destId="{AC4D90B9-8D1A-2F4E-ACBB-C54CB1827050}" srcOrd="0" destOrd="0" presId="urn:microsoft.com/office/officeart/2005/8/layout/hierarchy1"/>
    <dgm:cxn modelId="{CDE9DD01-9904-E14E-A75E-0AAEBCE1EE2A}" type="presParOf" srcId="{AC4D90B9-8D1A-2F4E-ACBB-C54CB1827050}" destId="{26A8C7CE-6513-8745-AFDF-FF878C494319}" srcOrd="0" destOrd="0" presId="urn:microsoft.com/office/officeart/2005/8/layout/hierarchy1"/>
    <dgm:cxn modelId="{91206712-5C6F-8B4E-A31C-714BC5B7A596}" type="presParOf" srcId="{AC4D90B9-8D1A-2F4E-ACBB-C54CB1827050}" destId="{C33C1C26-2920-5A44-9BF4-D3C40A40E1EE}" srcOrd="1" destOrd="0" presId="urn:microsoft.com/office/officeart/2005/8/layout/hierarchy1"/>
    <dgm:cxn modelId="{4E8550C0-2798-5249-B2E5-26C74D794D24}" type="presParOf" srcId="{1AE70B65-69B9-2D45-8ACC-53AD5D55E9E8}" destId="{127CCB56-9F35-874B-8EFC-8FC1A67D0D1E}" srcOrd="1" destOrd="0" presId="urn:microsoft.com/office/officeart/2005/8/layout/hierarchy1"/>
    <dgm:cxn modelId="{0A557282-A806-D54F-8146-E003FA4E8FAB}" type="presParOf" srcId="{7BE893C9-62F6-9C4C-A810-4348B6A842FD}" destId="{DC90ADC5-4880-3B4E-845A-B8704AAAB633}" srcOrd="4" destOrd="0" presId="urn:microsoft.com/office/officeart/2005/8/layout/hierarchy1"/>
    <dgm:cxn modelId="{3B76B87E-9772-FB40-BF86-4FFF6BF6EE85}" type="presParOf" srcId="{7BE893C9-62F6-9C4C-A810-4348B6A842FD}" destId="{D00F8150-5A71-8E4F-88B6-74F5E15C1A89}" srcOrd="5" destOrd="0" presId="urn:microsoft.com/office/officeart/2005/8/layout/hierarchy1"/>
    <dgm:cxn modelId="{9C074403-5D50-8C46-896F-65E003E3077B}" type="presParOf" srcId="{D00F8150-5A71-8E4F-88B6-74F5E15C1A89}" destId="{D7EE569D-E593-9C4A-98F0-1C08BF0536DE}" srcOrd="0" destOrd="0" presId="urn:microsoft.com/office/officeart/2005/8/layout/hierarchy1"/>
    <dgm:cxn modelId="{4A83518E-AE83-AF41-862E-DB8C08C08F8E}" type="presParOf" srcId="{D7EE569D-E593-9C4A-98F0-1C08BF0536DE}" destId="{2AD3E44A-DE29-AC46-BCCC-483FBEE65D49}" srcOrd="0" destOrd="0" presId="urn:microsoft.com/office/officeart/2005/8/layout/hierarchy1"/>
    <dgm:cxn modelId="{59C8138C-FD7F-0E40-A574-F22DEF9C2506}" type="presParOf" srcId="{D7EE569D-E593-9C4A-98F0-1C08BF0536DE}" destId="{FF58CF80-265B-2442-BE29-EF0804AD6AF5}" srcOrd="1" destOrd="0" presId="urn:microsoft.com/office/officeart/2005/8/layout/hierarchy1"/>
    <dgm:cxn modelId="{6E113033-26C6-3545-826B-C5A6C53200BC}" type="presParOf" srcId="{D00F8150-5A71-8E4F-88B6-74F5E15C1A89}" destId="{9E3253B9-0A06-3141-ACE2-E7030CE2F83D}" srcOrd="1" destOrd="0" presId="urn:microsoft.com/office/officeart/2005/8/layout/hierarchy1"/>
    <dgm:cxn modelId="{1C5792A3-761E-4A46-AF57-56E2B49F269B}" type="presParOf" srcId="{9E3253B9-0A06-3141-ACE2-E7030CE2F83D}" destId="{D94CF632-9D1E-C348-BB89-38788FE9BB8F}" srcOrd="0" destOrd="0" presId="urn:microsoft.com/office/officeart/2005/8/layout/hierarchy1"/>
    <dgm:cxn modelId="{CDD4829C-2439-1245-A83A-B3CF52F40CFB}" type="presParOf" srcId="{9E3253B9-0A06-3141-ACE2-E7030CE2F83D}" destId="{E45BCC86-ACCB-A44B-9312-9305762AE2A8}" srcOrd="1" destOrd="0" presId="urn:microsoft.com/office/officeart/2005/8/layout/hierarchy1"/>
    <dgm:cxn modelId="{7FB39EB0-1C73-4A40-AFC0-646DD7ACE851}" type="presParOf" srcId="{E45BCC86-ACCB-A44B-9312-9305762AE2A8}" destId="{3C5B0C13-4AC1-664F-A891-62AF35CA92A1}" srcOrd="0" destOrd="0" presId="urn:microsoft.com/office/officeart/2005/8/layout/hierarchy1"/>
    <dgm:cxn modelId="{D1678DDC-F281-D240-8456-37AD16323999}" type="presParOf" srcId="{3C5B0C13-4AC1-664F-A891-62AF35CA92A1}" destId="{5DB05DB9-0B53-EF49-8E83-26E5E212E2DB}" srcOrd="0" destOrd="0" presId="urn:microsoft.com/office/officeart/2005/8/layout/hierarchy1"/>
    <dgm:cxn modelId="{11C9CF12-F13F-B44E-980F-010722F9E93E}" type="presParOf" srcId="{3C5B0C13-4AC1-664F-A891-62AF35CA92A1}" destId="{A5BA79BD-126D-E74D-AFBA-E63DB25E6C06}" srcOrd="1" destOrd="0" presId="urn:microsoft.com/office/officeart/2005/8/layout/hierarchy1"/>
    <dgm:cxn modelId="{9B81F492-ED29-154A-9763-B7398AFC4293}" type="presParOf" srcId="{E45BCC86-ACCB-A44B-9312-9305762AE2A8}" destId="{F9243756-4681-7845-9421-4A41F3AF3CC2}" srcOrd="1" destOrd="0" presId="urn:microsoft.com/office/officeart/2005/8/layout/hierarchy1"/>
    <dgm:cxn modelId="{1C1A98C5-21C1-104B-B291-44DC5D114547}" type="presParOf" srcId="{9E3253B9-0A06-3141-ACE2-E7030CE2F83D}" destId="{2EA6332F-D85C-4045-9F1B-2CF021E41876}" srcOrd="2" destOrd="0" presId="urn:microsoft.com/office/officeart/2005/8/layout/hierarchy1"/>
    <dgm:cxn modelId="{316927F5-696C-1C45-A372-9482CD30F4F1}" type="presParOf" srcId="{9E3253B9-0A06-3141-ACE2-E7030CE2F83D}" destId="{645718C1-8CB5-BC4C-B8D0-13E2DD1C3C6E}" srcOrd="3" destOrd="0" presId="urn:microsoft.com/office/officeart/2005/8/layout/hierarchy1"/>
    <dgm:cxn modelId="{42EEEF5E-7894-A340-B12E-2DAFD610C6D5}" type="presParOf" srcId="{645718C1-8CB5-BC4C-B8D0-13E2DD1C3C6E}" destId="{AD5EDFD8-E1EC-B14D-8733-7B966ABC1B4F}" srcOrd="0" destOrd="0" presId="urn:microsoft.com/office/officeart/2005/8/layout/hierarchy1"/>
    <dgm:cxn modelId="{3A3D9138-A248-5248-8C34-8F10F370F762}" type="presParOf" srcId="{AD5EDFD8-E1EC-B14D-8733-7B966ABC1B4F}" destId="{20143C43-3EAA-4146-8D09-66D5A862D928}" srcOrd="0" destOrd="0" presId="urn:microsoft.com/office/officeart/2005/8/layout/hierarchy1"/>
    <dgm:cxn modelId="{36825796-0F06-2E40-8A68-025F1C438A4D}" type="presParOf" srcId="{AD5EDFD8-E1EC-B14D-8733-7B966ABC1B4F}" destId="{8D9A3C8B-B04B-6449-BD3C-11625D70AD0E}" srcOrd="1" destOrd="0" presId="urn:microsoft.com/office/officeart/2005/8/layout/hierarchy1"/>
    <dgm:cxn modelId="{0C5C1C50-9B25-D74D-834B-99626030A888}" type="presParOf" srcId="{645718C1-8CB5-BC4C-B8D0-13E2DD1C3C6E}" destId="{65E88F42-08C8-7049-B83F-0241D3F384A5}" srcOrd="1" destOrd="0" presId="urn:microsoft.com/office/officeart/2005/8/layout/hierarchy1"/>
    <dgm:cxn modelId="{3F3C2B5A-4E39-1746-BCC3-90B05A2089AB}" type="presParOf" srcId="{65E88F42-08C8-7049-B83F-0241D3F384A5}" destId="{7B33F945-E0A5-3349-B163-88A9AD49B167}" srcOrd="0" destOrd="0" presId="urn:microsoft.com/office/officeart/2005/8/layout/hierarchy1"/>
    <dgm:cxn modelId="{97057372-1662-9541-901D-21E47899374F}" type="presParOf" srcId="{65E88F42-08C8-7049-B83F-0241D3F384A5}" destId="{1BA24121-2253-494C-92E4-D66EDFAD7093}" srcOrd="1" destOrd="0" presId="urn:microsoft.com/office/officeart/2005/8/layout/hierarchy1"/>
    <dgm:cxn modelId="{452E2E09-D7CC-AE40-92AF-B1B86F1BD517}" type="presParOf" srcId="{1BA24121-2253-494C-92E4-D66EDFAD7093}" destId="{839F8487-0C60-DD4B-BB52-FB148737B69C}" srcOrd="0" destOrd="0" presId="urn:microsoft.com/office/officeart/2005/8/layout/hierarchy1"/>
    <dgm:cxn modelId="{5AAD6E3F-6085-FA4B-BDB7-D9B77087F7D3}" type="presParOf" srcId="{839F8487-0C60-DD4B-BB52-FB148737B69C}" destId="{96CD34F6-CCD1-A343-930A-93878805753E}" srcOrd="0" destOrd="0" presId="urn:microsoft.com/office/officeart/2005/8/layout/hierarchy1"/>
    <dgm:cxn modelId="{F507FF62-2788-C943-9641-686F3990024B}" type="presParOf" srcId="{839F8487-0C60-DD4B-BB52-FB148737B69C}" destId="{11920A8A-7B47-C04A-8E5A-BD5D04714B97}" srcOrd="1" destOrd="0" presId="urn:microsoft.com/office/officeart/2005/8/layout/hierarchy1"/>
    <dgm:cxn modelId="{CE490C69-581A-6146-B483-D730FB04D6D5}" type="presParOf" srcId="{1BA24121-2253-494C-92E4-D66EDFAD7093}" destId="{C5556012-C053-D74F-9DE5-5351232EB3C3}" srcOrd="1" destOrd="0" presId="urn:microsoft.com/office/officeart/2005/8/layout/hierarchy1"/>
    <dgm:cxn modelId="{50743AB5-2F7D-2B47-8B20-18B2F0D44392}" type="presParOf" srcId="{65E88F42-08C8-7049-B83F-0241D3F384A5}" destId="{EC336296-D0C3-0A4A-9E7A-F27D5A57595C}" srcOrd="2" destOrd="0" presId="urn:microsoft.com/office/officeart/2005/8/layout/hierarchy1"/>
    <dgm:cxn modelId="{8B7B9F25-C3EE-7A4F-A2E1-9152E3183410}" type="presParOf" srcId="{65E88F42-08C8-7049-B83F-0241D3F384A5}" destId="{62D9F093-66F3-254F-8E0B-12558C9C2101}" srcOrd="3" destOrd="0" presId="urn:microsoft.com/office/officeart/2005/8/layout/hierarchy1"/>
    <dgm:cxn modelId="{5EED97A7-4E78-DD40-ACD3-661CEADD1253}" type="presParOf" srcId="{62D9F093-66F3-254F-8E0B-12558C9C2101}" destId="{73C59DFC-71C9-F640-A881-3677F50A44D8}" srcOrd="0" destOrd="0" presId="urn:microsoft.com/office/officeart/2005/8/layout/hierarchy1"/>
    <dgm:cxn modelId="{84562B1B-7642-6744-9183-9A23E384032C}" type="presParOf" srcId="{73C59DFC-71C9-F640-A881-3677F50A44D8}" destId="{38E6826B-E1A4-E94C-8202-D676D274E5B9}" srcOrd="0" destOrd="0" presId="urn:microsoft.com/office/officeart/2005/8/layout/hierarchy1"/>
    <dgm:cxn modelId="{B09E48E8-8FA9-C14B-B345-E503220CA09B}" type="presParOf" srcId="{73C59DFC-71C9-F640-A881-3677F50A44D8}" destId="{ACBCC980-F7A5-FE49-B7D5-B3A372601C1D}" srcOrd="1" destOrd="0" presId="urn:microsoft.com/office/officeart/2005/8/layout/hierarchy1"/>
    <dgm:cxn modelId="{38D0DD10-9B34-FA41-8A62-D35D4AB09AF5}" type="presParOf" srcId="{62D9F093-66F3-254F-8E0B-12558C9C2101}" destId="{299871D7-E569-C64F-A9E9-EE84F275FF00}" srcOrd="1" destOrd="0" presId="urn:microsoft.com/office/officeart/2005/8/layout/hierarchy1"/>
    <dgm:cxn modelId="{05B95210-D892-5A4A-9EEA-B2D6F575940D}" type="presParOf" srcId="{9E3253B9-0A06-3141-ACE2-E7030CE2F83D}" destId="{59F317D8-BA33-A94C-96D4-565E1B03C140}" srcOrd="4" destOrd="0" presId="urn:microsoft.com/office/officeart/2005/8/layout/hierarchy1"/>
    <dgm:cxn modelId="{DC817E05-8C0C-BD45-9B70-EB45C7621F00}" type="presParOf" srcId="{9E3253B9-0A06-3141-ACE2-E7030CE2F83D}" destId="{32463BD4-0A86-2544-921A-7C3268CA829E}" srcOrd="5" destOrd="0" presId="urn:microsoft.com/office/officeart/2005/8/layout/hierarchy1"/>
    <dgm:cxn modelId="{8E35CAB7-8861-B341-8018-5EDD3CBFC49E}" type="presParOf" srcId="{32463BD4-0A86-2544-921A-7C3268CA829E}" destId="{3147B0FE-CC66-A84A-B543-A08830578991}" srcOrd="0" destOrd="0" presId="urn:microsoft.com/office/officeart/2005/8/layout/hierarchy1"/>
    <dgm:cxn modelId="{601B205A-85AD-C94C-836F-AAAEC608855E}" type="presParOf" srcId="{3147B0FE-CC66-A84A-B543-A08830578991}" destId="{9D6FA621-F56B-3848-BAA2-A22D4B55129F}" srcOrd="0" destOrd="0" presId="urn:microsoft.com/office/officeart/2005/8/layout/hierarchy1"/>
    <dgm:cxn modelId="{1C0E43E4-DDFA-4643-B9FB-5FA151D4E420}" type="presParOf" srcId="{3147B0FE-CC66-A84A-B543-A08830578991}" destId="{200C15A5-29AC-8942-93B4-665612D67DA4}" srcOrd="1" destOrd="0" presId="urn:microsoft.com/office/officeart/2005/8/layout/hierarchy1"/>
    <dgm:cxn modelId="{6567061C-23DF-0746-A0D4-CB8F4A894273}" type="presParOf" srcId="{32463BD4-0A86-2544-921A-7C3268CA829E}" destId="{7A59A9E5-50CB-074C-A80E-53CE3D29F360}" srcOrd="1" destOrd="0" presId="urn:microsoft.com/office/officeart/2005/8/layout/hierarchy1"/>
    <dgm:cxn modelId="{BD946DF3-1D67-644C-8CA8-1DFEC3406D08}" type="presParOf" srcId="{7A59A9E5-50CB-074C-A80E-53CE3D29F360}" destId="{49695432-560F-AD4B-8995-58B39197D096}" srcOrd="0" destOrd="0" presId="urn:microsoft.com/office/officeart/2005/8/layout/hierarchy1"/>
    <dgm:cxn modelId="{CF6F19C0-A6A1-9C4E-B5EC-8898E55D325D}" type="presParOf" srcId="{7A59A9E5-50CB-074C-A80E-53CE3D29F360}" destId="{59049216-1643-C747-8E76-8693A76D4418}" srcOrd="1" destOrd="0" presId="urn:microsoft.com/office/officeart/2005/8/layout/hierarchy1"/>
    <dgm:cxn modelId="{3854FEFC-A9F1-7040-98D0-B54D31AC0DD4}" type="presParOf" srcId="{59049216-1643-C747-8E76-8693A76D4418}" destId="{D15ED0DB-EF36-9144-93F9-FCEC4EA6E7AA}" srcOrd="0" destOrd="0" presId="urn:microsoft.com/office/officeart/2005/8/layout/hierarchy1"/>
    <dgm:cxn modelId="{D97FA3C9-3BD6-6146-9637-4E69125C8052}" type="presParOf" srcId="{D15ED0DB-EF36-9144-93F9-FCEC4EA6E7AA}" destId="{310A3550-ECFF-4349-96F7-E40754BEFB58}" srcOrd="0" destOrd="0" presId="urn:microsoft.com/office/officeart/2005/8/layout/hierarchy1"/>
    <dgm:cxn modelId="{39150D9F-48A4-9D41-A51B-1EDA284F2A66}" type="presParOf" srcId="{D15ED0DB-EF36-9144-93F9-FCEC4EA6E7AA}" destId="{7D32EBEE-6D9B-3B49-A7E6-EC59ECECD9D8}" srcOrd="1" destOrd="0" presId="urn:microsoft.com/office/officeart/2005/8/layout/hierarchy1"/>
    <dgm:cxn modelId="{CB81130B-9E78-2444-A46E-5CA1CDDB0865}" type="presParOf" srcId="{59049216-1643-C747-8E76-8693A76D4418}" destId="{BF11311E-89A3-EC43-AA5F-02EF82D39512}" srcOrd="1" destOrd="0" presId="urn:microsoft.com/office/officeart/2005/8/layout/hierarchy1"/>
    <dgm:cxn modelId="{F1FB0408-6F6A-C74D-8DAC-FA6D8215A60B}" type="presParOf" srcId="{9E3253B9-0A06-3141-ACE2-E7030CE2F83D}" destId="{B324B314-BA2F-9640-98F1-666207EA8978}" srcOrd="6" destOrd="0" presId="urn:microsoft.com/office/officeart/2005/8/layout/hierarchy1"/>
    <dgm:cxn modelId="{E0AB9FB1-5CD4-2841-A393-E9D72FB2D2E7}" type="presParOf" srcId="{9E3253B9-0A06-3141-ACE2-E7030CE2F83D}" destId="{6DBF9601-EF71-5842-8CA1-307DDD207822}" srcOrd="7" destOrd="0" presId="urn:microsoft.com/office/officeart/2005/8/layout/hierarchy1"/>
    <dgm:cxn modelId="{BEF201A3-FBBF-074A-83B3-16A3289CE641}" type="presParOf" srcId="{6DBF9601-EF71-5842-8CA1-307DDD207822}" destId="{90BE1D64-BCC3-AF4D-8638-B8394829151B}" srcOrd="0" destOrd="0" presId="urn:microsoft.com/office/officeart/2005/8/layout/hierarchy1"/>
    <dgm:cxn modelId="{32C66A62-1CE6-4841-962F-51620C7ED0AA}" type="presParOf" srcId="{90BE1D64-BCC3-AF4D-8638-B8394829151B}" destId="{DCA4985A-3EFF-D14D-BF86-3F855F2CBBB1}" srcOrd="0" destOrd="0" presId="urn:microsoft.com/office/officeart/2005/8/layout/hierarchy1"/>
    <dgm:cxn modelId="{5A77A99E-F79F-A849-90ED-6D7BEE2B23A8}" type="presParOf" srcId="{90BE1D64-BCC3-AF4D-8638-B8394829151B}" destId="{060E4BE4-F341-E243-B01F-DE5DD8663460}" srcOrd="1" destOrd="0" presId="urn:microsoft.com/office/officeart/2005/8/layout/hierarchy1"/>
    <dgm:cxn modelId="{5DAB34AB-5619-A44B-9177-34F4DC42E562}" type="presParOf" srcId="{6DBF9601-EF71-5842-8CA1-307DDD207822}" destId="{7E83AEE2-DA71-994B-8716-4EFD09BF4F95}" srcOrd="1" destOrd="0" presId="urn:microsoft.com/office/officeart/2005/8/layout/hierarchy1"/>
    <dgm:cxn modelId="{272E02BA-EAFC-954E-89B4-63A028CA9B2E}" type="presParOf" srcId="{7E83AEE2-DA71-994B-8716-4EFD09BF4F95}" destId="{E6C2DFC1-9A06-E942-90B8-6D910B07EE2C}" srcOrd="0" destOrd="0" presId="urn:microsoft.com/office/officeart/2005/8/layout/hierarchy1"/>
    <dgm:cxn modelId="{BCE949BB-46A3-F946-AFBC-F38EE634AFE4}" type="presParOf" srcId="{7E83AEE2-DA71-994B-8716-4EFD09BF4F95}" destId="{20F43369-3574-6242-BFF0-BBF36557BE5C}" srcOrd="1" destOrd="0" presId="urn:microsoft.com/office/officeart/2005/8/layout/hierarchy1"/>
    <dgm:cxn modelId="{0E3AAA28-CF31-E941-B0AE-1AF5D5119F7E}" type="presParOf" srcId="{20F43369-3574-6242-BFF0-BBF36557BE5C}" destId="{ABFAD60D-FE53-5E46-A2D1-D213F345F4C9}" srcOrd="0" destOrd="0" presId="urn:microsoft.com/office/officeart/2005/8/layout/hierarchy1"/>
    <dgm:cxn modelId="{0049D4EF-7299-D94C-91B0-874919DC692F}" type="presParOf" srcId="{ABFAD60D-FE53-5E46-A2D1-D213F345F4C9}" destId="{A95E07F7-49DE-B943-9395-BC682436B8B6}" srcOrd="0" destOrd="0" presId="urn:microsoft.com/office/officeart/2005/8/layout/hierarchy1"/>
    <dgm:cxn modelId="{D9DAA8BD-7A32-5143-A85A-0C9CDBF8F1A1}" type="presParOf" srcId="{ABFAD60D-FE53-5E46-A2D1-D213F345F4C9}" destId="{10CBDCBA-4A12-AA42-A8CB-0ABEE1DD7A39}" srcOrd="1" destOrd="0" presId="urn:microsoft.com/office/officeart/2005/8/layout/hierarchy1"/>
    <dgm:cxn modelId="{3D74D696-20FF-664F-9FCE-24853B18D596}" type="presParOf" srcId="{20F43369-3574-6242-BFF0-BBF36557BE5C}" destId="{C71352B3-AE9A-9B48-BE56-68582D6D2137}" srcOrd="1" destOrd="0" presId="urn:microsoft.com/office/officeart/2005/8/layout/hierarchy1"/>
    <dgm:cxn modelId="{355EB190-8C00-6A42-A753-DEA434FAF3C6}" type="presParOf" srcId="{7E83AEE2-DA71-994B-8716-4EFD09BF4F95}" destId="{43B54F19-692F-6247-ACC3-BF6EF696FB90}" srcOrd="2" destOrd="0" presId="urn:microsoft.com/office/officeart/2005/8/layout/hierarchy1"/>
    <dgm:cxn modelId="{3507E0AD-FC43-1D47-B410-333098AC996E}" type="presParOf" srcId="{7E83AEE2-DA71-994B-8716-4EFD09BF4F95}" destId="{F0E48B75-4987-C241-B37B-C4853C1C6ED0}" srcOrd="3" destOrd="0" presId="urn:microsoft.com/office/officeart/2005/8/layout/hierarchy1"/>
    <dgm:cxn modelId="{6C5C290E-AEE1-6741-9371-672822EADED6}" type="presParOf" srcId="{F0E48B75-4987-C241-B37B-C4853C1C6ED0}" destId="{E1958149-455F-BE4E-ADC0-2B4CDC6A48A8}" srcOrd="0" destOrd="0" presId="urn:microsoft.com/office/officeart/2005/8/layout/hierarchy1"/>
    <dgm:cxn modelId="{928E4B08-6E16-C54A-898D-39D7392E7811}" type="presParOf" srcId="{E1958149-455F-BE4E-ADC0-2B4CDC6A48A8}" destId="{121F00C1-76D1-C646-8369-979EF90C9EDB}" srcOrd="0" destOrd="0" presId="urn:microsoft.com/office/officeart/2005/8/layout/hierarchy1"/>
    <dgm:cxn modelId="{B2390783-3140-7A40-B1C8-F338888208B2}" type="presParOf" srcId="{E1958149-455F-BE4E-ADC0-2B4CDC6A48A8}" destId="{6A84C5BC-168A-8844-8D43-4387D7331EF0}" srcOrd="1" destOrd="0" presId="urn:microsoft.com/office/officeart/2005/8/layout/hierarchy1"/>
    <dgm:cxn modelId="{57E66DB0-076D-804C-B087-71B0B160415E}" type="presParOf" srcId="{F0E48B75-4987-C241-B37B-C4853C1C6ED0}" destId="{B40FD3D5-3187-2242-A133-9B86BB564BC3}" srcOrd="1" destOrd="0" presId="urn:microsoft.com/office/officeart/2005/8/layout/hierarchy1"/>
    <dgm:cxn modelId="{6B2E5B07-98FF-5E44-A51A-803CB83FC588}" type="presParOf" srcId="{9E3253B9-0A06-3141-ACE2-E7030CE2F83D}" destId="{D6798D22-85A8-7240-B2B3-2029161075ED}" srcOrd="8" destOrd="0" presId="urn:microsoft.com/office/officeart/2005/8/layout/hierarchy1"/>
    <dgm:cxn modelId="{C8A14EC5-851B-6549-AA19-5005B728A852}" type="presParOf" srcId="{9E3253B9-0A06-3141-ACE2-E7030CE2F83D}" destId="{278900E3-3234-324D-9038-040442A0633F}" srcOrd="9" destOrd="0" presId="urn:microsoft.com/office/officeart/2005/8/layout/hierarchy1"/>
    <dgm:cxn modelId="{75C45158-1590-E84A-A7CD-272BCFAFCEF3}" type="presParOf" srcId="{278900E3-3234-324D-9038-040442A0633F}" destId="{A257E0A9-6FAD-BB4F-BD5F-E4EA57B952BB}" srcOrd="0" destOrd="0" presId="urn:microsoft.com/office/officeart/2005/8/layout/hierarchy1"/>
    <dgm:cxn modelId="{5B4CD336-ADBD-7545-8869-93BF04B69E28}" type="presParOf" srcId="{A257E0A9-6FAD-BB4F-BD5F-E4EA57B952BB}" destId="{6C2E1C25-FAA3-F948-BF8E-97E0C1D1CF91}" srcOrd="0" destOrd="0" presId="urn:microsoft.com/office/officeart/2005/8/layout/hierarchy1"/>
    <dgm:cxn modelId="{84CC84FD-96CB-B644-B6B4-0E6752944587}" type="presParOf" srcId="{A257E0A9-6FAD-BB4F-BD5F-E4EA57B952BB}" destId="{A53A5D40-D6B5-0944-912E-DB94BF95C722}" srcOrd="1" destOrd="0" presId="urn:microsoft.com/office/officeart/2005/8/layout/hierarchy1"/>
    <dgm:cxn modelId="{F6EE0E98-CB93-2342-93B6-FE05D7EB1F3D}" type="presParOf" srcId="{278900E3-3234-324D-9038-040442A0633F}" destId="{2B8C096B-ECFD-9747-9B73-5897DBFFEB1D}" srcOrd="1" destOrd="0" presId="urn:microsoft.com/office/officeart/2005/8/layout/hierarchy1"/>
    <dgm:cxn modelId="{B434258F-6F7C-D34D-9921-FBB21F4C442C}" type="presParOf" srcId="{2B8C096B-ECFD-9747-9B73-5897DBFFEB1D}" destId="{6DA678B4-C0C5-FA49-BD74-239555D43798}" srcOrd="0" destOrd="0" presId="urn:microsoft.com/office/officeart/2005/8/layout/hierarchy1"/>
    <dgm:cxn modelId="{ECB0C47E-A9DA-B946-9F00-5861A121BDBD}" type="presParOf" srcId="{2B8C096B-ECFD-9747-9B73-5897DBFFEB1D}" destId="{D8010498-319E-F54E-897D-B765900AF1C1}" srcOrd="1" destOrd="0" presId="urn:microsoft.com/office/officeart/2005/8/layout/hierarchy1"/>
    <dgm:cxn modelId="{7EB7E938-BE54-6640-A7E1-48675869EBF7}" type="presParOf" srcId="{D8010498-319E-F54E-897D-B765900AF1C1}" destId="{FB6B390F-312E-8E4C-BDB4-FDA677C1CB97}" srcOrd="0" destOrd="0" presId="urn:microsoft.com/office/officeart/2005/8/layout/hierarchy1"/>
    <dgm:cxn modelId="{C3D749B0-E601-AF45-8B1F-D3DB1574D09B}" type="presParOf" srcId="{FB6B390F-312E-8E4C-BDB4-FDA677C1CB97}" destId="{F3A60510-7811-E048-82E9-6281EED14621}" srcOrd="0" destOrd="0" presId="urn:microsoft.com/office/officeart/2005/8/layout/hierarchy1"/>
    <dgm:cxn modelId="{6BABE4B3-33D4-464E-83F5-EDBCF2BC34B0}" type="presParOf" srcId="{FB6B390F-312E-8E4C-BDB4-FDA677C1CB97}" destId="{D13A58BF-30BE-3345-967B-86E29ECA49DA}" srcOrd="1" destOrd="0" presId="urn:microsoft.com/office/officeart/2005/8/layout/hierarchy1"/>
    <dgm:cxn modelId="{8873DBBE-1C90-6640-9A53-C075F4E13E5F}" type="presParOf" srcId="{D8010498-319E-F54E-897D-B765900AF1C1}" destId="{DF3725B5-FC5B-8149-87E3-F92D33E2C1DE}" srcOrd="1" destOrd="0" presId="urn:microsoft.com/office/officeart/2005/8/layout/hierarchy1"/>
    <dgm:cxn modelId="{784847CF-BD04-8C4C-B78B-303E905894B4}" type="presParOf" srcId="{2B8C096B-ECFD-9747-9B73-5897DBFFEB1D}" destId="{687474A5-3A47-C747-A2C8-1751DBD8D820}" srcOrd="2" destOrd="0" presId="urn:microsoft.com/office/officeart/2005/8/layout/hierarchy1"/>
    <dgm:cxn modelId="{DBECA8F9-1348-104B-872F-D65CCEF8ED7A}" type="presParOf" srcId="{2B8C096B-ECFD-9747-9B73-5897DBFFEB1D}" destId="{82792798-A27A-5E40-A4BF-617F5D0624B5}" srcOrd="3" destOrd="0" presId="urn:microsoft.com/office/officeart/2005/8/layout/hierarchy1"/>
    <dgm:cxn modelId="{420DE024-CC34-1D4F-AA28-6FECD9513160}" type="presParOf" srcId="{82792798-A27A-5E40-A4BF-617F5D0624B5}" destId="{F6CB6175-5E7A-A24E-A59A-77EC44553727}" srcOrd="0" destOrd="0" presId="urn:microsoft.com/office/officeart/2005/8/layout/hierarchy1"/>
    <dgm:cxn modelId="{CFAEA5DB-7C72-2149-8834-8A3B89C32EB1}" type="presParOf" srcId="{F6CB6175-5E7A-A24E-A59A-77EC44553727}" destId="{EF553876-0EC1-0844-A9BD-3465A64A89B8}" srcOrd="0" destOrd="0" presId="urn:microsoft.com/office/officeart/2005/8/layout/hierarchy1"/>
    <dgm:cxn modelId="{600DCE54-6F52-5146-A8C4-5CED3D412C0A}" type="presParOf" srcId="{F6CB6175-5E7A-A24E-A59A-77EC44553727}" destId="{9686988B-171D-8C4F-8FA6-983F853694C1}" srcOrd="1" destOrd="0" presId="urn:microsoft.com/office/officeart/2005/8/layout/hierarchy1"/>
    <dgm:cxn modelId="{8FEE2DC2-CB5B-DC47-B3B9-BFF422C1D047}" type="presParOf" srcId="{82792798-A27A-5E40-A4BF-617F5D0624B5}" destId="{731FA5B2-3B4D-7B4C-96CA-02FCDE3DB1AB}" srcOrd="1" destOrd="0" presId="urn:microsoft.com/office/officeart/2005/8/layout/hierarchy1"/>
    <dgm:cxn modelId="{7CECD570-F034-A14E-BDFF-006CE822AB96}" type="presParOf" srcId="{9E3253B9-0A06-3141-ACE2-E7030CE2F83D}" destId="{71A96AEB-A191-9247-9FD9-E978DBF25C15}" srcOrd="10" destOrd="0" presId="urn:microsoft.com/office/officeart/2005/8/layout/hierarchy1"/>
    <dgm:cxn modelId="{A0FBE453-29CE-3342-9008-1E877D60AB3E}" type="presParOf" srcId="{9E3253B9-0A06-3141-ACE2-E7030CE2F83D}" destId="{EE467B00-A7BD-2B42-97FB-C994C2B115DD}" srcOrd="11" destOrd="0" presId="urn:microsoft.com/office/officeart/2005/8/layout/hierarchy1"/>
    <dgm:cxn modelId="{36F6ABF4-AB47-EE44-A0A5-72C3860DB8ED}" type="presParOf" srcId="{EE467B00-A7BD-2B42-97FB-C994C2B115DD}" destId="{3ED0899B-B67B-1348-B76A-C678EC93B694}" srcOrd="0" destOrd="0" presId="urn:microsoft.com/office/officeart/2005/8/layout/hierarchy1"/>
    <dgm:cxn modelId="{59EFB85B-4399-6443-AAFA-41764DAF2992}" type="presParOf" srcId="{3ED0899B-B67B-1348-B76A-C678EC93B694}" destId="{05B58AB3-D370-B544-A663-2909AE554BC0}" srcOrd="0" destOrd="0" presId="urn:microsoft.com/office/officeart/2005/8/layout/hierarchy1"/>
    <dgm:cxn modelId="{178E45EF-A948-1C44-B09A-F3A76D8D53B3}" type="presParOf" srcId="{3ED0899B-B67B-1348-B76A-C678EC93B694}" destId="{DD103A7A-A91C-2149-B813-B47B84222110}" srcOrd="1" destOrd="0" presId="urn:microsoft.com/office/officeart/2005/8/layout/hierarchy1"/>
    <dgm:cxn modelId="{4E6F0C6A-70B2-7140-99C1-18DD5E3DDB9A}" type="presParOf" srcId="{EE467B00-A7BD-2B42-97FB-C994C2B115DD}" destId="{F72574D1-167A-D44C-A1F7-1402BE4BBDA3}" srcOrd="1" destOrd="0" presId="urn:microsoft.com/office/officeart/2005/8/layout/hierarchy1"/>
    <dgm:cxn modelId="{8D1BFFA8-E316-A64C-B967-1E2AE443F10C}" type="presParOf" srcId="{F72574D1-167A-D44C-A1F7-1402BE4BBDA3}" destId="{ED381AD6-AA19-8249-AD6A-96ADA332A8DE}" srcOrd="0" destOrd="0" presId="urn:microsoft.com/office/officeart/2005/8/layout/hierarchy1"/>
    <dgm:cxn modelId="{989A260C-A0C6-6946-A28F-F22680CD5B88}" type="presParOf" srcId="{F72574D1-167A-D44C-A1F7-1402BE4BBDA3}" destId="{E51A9732-E063-1041-9225-CC5CA5BCEA41}" srcOrd="1" destOrd="0" presId="urn:microsoft.com/office/officeart/2005/8/layout/hierarchy1"/>
    <dgm:cxn modelId="{244132C8-DEC2-1D45-9A18-7475818B3E0D}" type="presParOf" srcId="{E51A9732-E063-1041-9225-CC5CA5BCEA41}" destId="{DBF8433B-D319-554C-B990-5B9685A8C461}" srcOrd="0" destOrd="0" presId="urn:microsoft.com/office/officeart/2005/8/layout/hierarchy1"/>
    <dgm:cxn modelId="{29E1B94A-9884-FD49-922B-085AEEF3350E}" type="presParOf" srcId="{DBF8433B-D319-554C-B990-5B9685A8C461}" destId="{F5A8FAB2-8BEF-2642-BC53-E47160434C91}" srcOrd="0" destOrd="0" presId="urn:microsoft.com/office/officeart/2005/8/layout/hierarchy1"/>
    <dgm:cxn modelId="{C641D714-D66F-794D-9B74-161F08B7B71B}" type="presParOf" srcId="{DBF8433B-D319-554C-B990-5B9685A8C461}" destId="{9BA3C403-6ACD-BB44-B92B-7FD02168D117}" srcOrd="1" destOrd="0" presId="urn:microsoft.com/office/officeart/2005/8/layout/hierarchy1"/>
    <dgm:cxn modelId="{37F6C001-5D5E-9D41-ABE4-46A26CFB405B}" type="presParOf" srcId="{E51A9732-E063-1041-9225-CC5CA5BCEA41}" destId="{018363B0-FE71-4044-8C32-62ED79411A74}" srcOrd="1" destOrd="0" presId="urn:microsoft.com/office/officeart/2005/8/layout/hierarchy1"/>
    <dgm:cxn modelId="{62BD825A-4DEE-1640-A5D8-9D798DECEE72}" type="presParOf" srcId="{F72574D1-167A-D44C-A1F7-1402BE4BBDA3}" destId="{6B4824D4-F39E-AB4F-AA1C-E6E1E956720C}" srcOrd="2" destOrd="0" presId="urn:microsoft.com/office/officeart/2005/8/layout/hierarchy1"/>
    <dgm:cxn modelId="{0A26E85A-7280-3540-B386-924389F38D5C}" type="presParOf" srcId="{F72574D1-167A-D44C-A1F7-1402BE4BBDA3}" destId="{E62D72C7-09DE-2244-AE60-7212D111CB72}" srcOrd="3" destOrd="0" presId="urn:microsoft.com/office/officeart/2005/8/layout/hierarchy1"/>
    <dgm:cxn modelId="{FCA978BB-E3CE-4E4A-B0A6-B69CE1C3E3BD}" type="presParOf" srcId="{E62D72C7-09DE-2244-AE60-7212D111CB72}" destId="{ABF74904-48CA-A949-AD46-A6C507A5BC78}" srcOrd="0" destOrd="0" presId="urn:microsoft.com/office/officeart/2005/8/layout/hierarchy1"/>
    <dgm:cxn modelId="{F850C461-C0A4-DE45-A8B8-E4D66F43B40C}" type="presParOf" srcId="{ABF74904-48CA-A949-AD46-A6C507A5BC78}" destId="{3A5FBD14-B25F-7640-91C6-0319C31D5E85}" srcOrd="0" destOrd="0" presId="urn:microsoft.com/office/officeart/2005/8/layout/hierarchy1"/>
    <dgm:cxn modelId="{D74AAFF9-BEAC-BA40-A535-C2BFF9927F39}" type="presParOf" srcId="{ABF74904-48CA-A949-AD46-A6C507A5BC78}" destId="{AA2BE8A0-0A13-444B-BF30-B7801A77BD1B}" srcOrd="1" destOrd="0" presId="urn:microsoft.com/office/officeart/2005/8/layout/hierarchy1"/>
    <dgm:cxn modelId="{58763A8D-20D8-A04F-9665-EC22206E5A4C}" type="presParOf" srcId="{E62D72C7-09DE-2244-AE60-7212D111CB72}" destId="{9B3423D0-164C-C941-853A-740CDA9CFD1F}" srcOrd="1" destOrd="0" presId="urn:microsoft.com/office/officeart/2005/8/layout/hierarchy1"/>
    <dgm:cxn modelId="{527A8F5C-DFD2-3746-A9B5-E2D9CA725C8B}" type="presParOf" srcId="{9E3253B9-0A06-3141-ACE2-E7030CE2F83D}" destId="{CF4C8F96-184C-7C48-88AF-56458540D516}" srcOrd="12" destOrd="0" presId="urn:microsoft.com/office/officeart/2005/8/layout/hierarchy1"/>
    <dgm:cxn modelId="{E14A3DFF-F84D-2645-AD2A-EB41EBC59279}" type="presParOf" srcId="{9E3253B9-0A06-3141-ACE2-E7030CE2F83D}" destId="{A59E5B78-734D-7540-A3ED-E6236DED22E5}" srcOrd="13" destOrd="0" presId="urn:microsoft.com/office/officeart/2005/8/layout/hierarchy1"/>
    <dgm:cxn modelId="{D1367668-D422-7142-A511-DA4F2DC5B1A7}" type="presParOf" srcId="{A59E5B78-734D-7540-A3ED-E6236DED22E5}" destId="{BD39E6EB-FE7D-B945-9349-024453BE723C}" srcOrd="0" destOrd="0" presId="urn:microsoft.com/office/officeart/2005/8/layout/hierarchy1"/>
    <dgm:cxn modelId="{3F8C3A3C-7ECE-5943-8ED3-F966A77A5F44}" type="presParOf" srcId="{BD39E6EB-FE7D-B945-9349-024453BE723C}" destId="{F2350155-EE81-1441-ABBB-F94C2B000805}" srcOrd="0" destOrd="0" presId="urn:microsoft.com/office/officeart/2005/8/layout/hierarchy1"/>
    <dgm:cxn modelId="{C8B4230C-CEF4-B346-A91E-C32C9A64AC3D}" type="presParOf" srcId="{BD39E6EB-FE7D-B945-9349-024453BE723C}" destId="{3FB204C6-6C05-5547-968F-878C98E0AE7F}" srcOrd="1" destOrd="0" presId="urn:microsoft.com/office/officeart/2005/8/layout/hierarchy1"/>
    <dgm:cxn modelId="{CD40C045-481F-E845-B7BC-1E2D294A4B5D}" type="presParOf" srcId="{A59E5B78-734D-7540-A3ED-E6236DED22E5}" destId="{D01DBADD-907B-A343-8DBA-381397208766}" srcOrd="1" destOrd="0" presId="urn:microsoft.com/office/officeart/2005/8/layout/hierarchy1"/>
    <dgm:cxn modelId="{AA483067-C77F-C746-8DE9-891A45493579}" type="presParOf" srcId="{7BE893C9-62F6-9C4C-A810-4348B6A842FD}" destId="{878C3EFE-9ACF-2C4F-9083-F2C3CC4B39EC}" srcOrd="6" destOrd="0" presId="urn:microsoft.com/office/officeart/2005/8/layout/hierarchy1"/>
    <dgm:cxn modelId="{31F29D9D-2635-0046-B9BD-259F8BE02AB6}" type="presParOf" srcId="{7BE893C9-62F6-9C4C-A810-4348B6A842FD}" destId="{3DED979A-2B39-7D4A-B253-34DFC170012E}" srcOrd="7" destOrd="0" presId="urn:microsoft.com/office/officeart/2005/8/layout/hierarchy1"/>
    <dgm:cxn modelId="{606D0F1B-4AD9-B94D-8C3F-EC9DC4989A92}" type="presParOf" srcId="{3DED979A-2B39-7D4A-B253-34DFC170012E}" destId="{51855223-CEB6-3A43-80B7-DF0243C55321}" srcOrd="0" destOrd="0" presId="urn:microsoft.com/office/officeart/2005/8/layout/hierarchy1"/>
    <dgm:cxn modelId="{D31DF5EE-AB2A-E04E-93EB-2AE9488ACE39}" type="presParOf" srcId="{51855223-CEB6-3A43-80B7-DF0243C55321}" destId="{2B95C6B6-15A8-4E44-AF55-2786C6007AC8}" srcOrd="0" destOrd="0" presId="urn:microsoft.com/office/officeart/2005/8/layout/hierarchy1"/>
    <dgm:cxn modelId="{0E71A991-867C-274C-9521-583924E81B55}" type="presParOf" srcId="{51855223-CEB6-3A43-80B7-DF0243C55321}" destId="{F365D0CE-1E29-B84C-8C16-E2B09860CADE}" srcOrd="1" destOrd="0" presId="urn:microsoft.com/office/officeart/2005/8/layout/hierarchy1"/>
    <dgm:cxn modelId="{12332E38-5C44-854B-AB63-AE4BB214B94E}" type="presParOf" srcId="{3DED979A-2B39-7D4A-B253-34DFC170012E}" destId="{1BEAD4B3-4973-5248-85B2-4656F90C7725}" srcOrd="1" destOrd="0" presId="urn:microsoft.com/office/officeart/2005/8/layout/hierarchy1"/>
  </dgm:cxnLst>
  <dgm:bg/>
  <dgm:whole/>
  <dgm:extLst>
    <a:ext uri="http://schemas.microsoft.com/office/drawing/2008/diagram">
      <dsp:dataModelExt xmlns:dsp="http://schemas.microsoft.com/office/drawing/2008/diagram" relId="rId271" minVer="http://schemas.openxmlformats.org/drawingml/2006/diagram"/>
    </a:ext>
  </dgm:extLst>
</dgm:dataModel>
</file>

<file path=word/diagrams/data39.xml><?xml version="1.0" encoding="utf-8"?>
<dgm:dataModel xmlns:dgm="http://schemas.openxmlformats.org/drawingml/2006/diagram" xmlns:a="http://schemas.openxmlformats.org/drawingml/2006/main">
  <dgm:ptLst>
    <dgm:pt modelId="{236CF3A9-87C1-734F-B8B8-CAA90A8F0899}" type="doc">
      <dgm:prSet loTypeId="urn:microsoft.com/office/officeart/2005/8/layout/hierarchy1" loCatId="" qsTypeId="urn:microsoft.com/office/officeart/2005/8/quickstyle/simple4" qsCatId="simple" csTypeId="urn:microsoft.com/office/officeart/2005/8/colors/colorful1" csCatId="colorful" phldr="1"/>
      <dgm:spPr/>
      <dgm:t>
        <a:bodyPr/>
        <a:lstStyle/>
        <a:p>
          <a:endParaRPr lang="en-US"/>
        </a:p>
      </dgm:t>
    </dgm:pt>
    <dgm:pt modelId="{A6C08A88-A883-6D45-B3F6-CF09B2752C12}">
      <dgm:prSet phldrT="[Text]"/>
      <dgm:spPr/>
      <dgm:t>
        <a:bodyPr/>
        <a:lstStyle/>
        <a:p>
          <a:r>
            <a:rPr lang="en-US"/>
            <a:t>Challenges and barriers of simulation based medical education</a:t>
          </a:r>
        </a:p>
      </dgm:t>
    </dgm:pt>
    <dgm:pt modelId="{BBDED4B9-9CA5-CB47-8F06-EF90FFECCF53}" type="parTrans" cxnId="{E16F3369-4F76-0541-B2DC-578FF1FEB9A4}">
      <dgm:prSet/>
      <dgm:spPr/>
      <dgm:t>
        <a:bodyPr/>
        <a:lstStyle/>
        <a:p>
          <a:endParaRPr lang="en-US"/>
        </a:p>
      </dgm:t>
    </dgm:pt>
    <dgm:pt modelId="{F8DA2609-4D2F-F147-89E7-B3EAF82C1EB4}" type="sibTrans" cxnId="{E16F3369-4F76-0541-B2DC-578FF1FEB9A4}">
      <dgm:prSet/>
      <dgm:spPr/>
      <dgm:t>
        <a:bodyPr/>
        <a:lstStyle/>
        <a:p>
          <a:endParaRPr lang="en-US"/>
        </a:p>
      </dgm:t>
    </dgm:pt>
    <dgm:pt modelId="{AA748E67-5F0F-664B-863E-65C3C64BDD5C}">
      <dgm:prSet phldrT="[Text]"/>
      <dgm:spPr/>
      <dgm:t>
        <a:bodyPr/>
        <a:lstStyle/>
        <a:p>
          <a:r>
            <a:rPr lang="en-US"/>
            <a:t>Physical</a:t>
          </a:r>
        </a:p>
      </dgm:t>
    </dgm:pt>
    <dgm:pt modelId="{B1CBDDCA-C539-9549-8ACB-794FD570A012}" type="parTrans" cxnId="{F45B40CF-4823-1B48-9C2C-CFEA89651DED}">
      <dgm:prSet/>
      <dgm:spPr/>
      <dgm:t>
        <a:bodyPr/>
        <a:lstStyle/>
        <a:p>
          <a:endParaRPr lang="en-US"/>
        </a:p>
      </dgm:t>
    </dgm:pt>
    <dgm:pt modelId="{CE0EBB15-826F-FB43-BCAA-347AB465C235}" type="sibTrans" cxnId="{F45B40CF-4823-1B48-9C2C-CFEA89651DED}">
      <dgm:prSet/>
      <dgm:spPr/>
      <dgm:t>
        <a:bodyPr/>
        <a:lstStyle/>
        <a:p>
          <a:endParaRPr lang="en-US"/>
        </a:p>
      </dgm:t>
    </dgm:pt>
    <dgm:pt modelId="{8C7C4C0F-E750-6846-87A9-E68FBCDB1435}">
      <dgm:prSet phldrT="[Text]"/>
      <dgm:spPr/>
      <dgm:t>
        <a:bodyPr/>
        <a:lstStyle/>
        <a:p>
          <a:r>
            <a:rPr lang="en-US"/>
            <a:t>Space</a:t>
          </a:r>
        </a:p>
      </dgm:t>
    </dgm:pt>
    <dgm:pt modelId="{25F4778D-0701-264F-8585-179BAB3D04A4}" type="parTrans" cxnId="{FC362228-042F-4243-8CD8-AA702B9A8116}">
      <dgm:prSet/>
      <dgm:spPr/>
      <dgm:t>
        <a:bodyPr/>
        <a:lstStyle/>
        <a:p>
          <a:endParaRPr lang="en-US"/>
        </a:p>
      </dgm:t>
    </dgm:pt>
    <dgm:pt modelId="{36ED99EA-2CCE-724E-8355-AAAE13A4D997}" type="sibTrans" cxnId="{FC362228-042F-4243-8CD8-AA702B9A8116}">
      <dgm:prSet/>
      <dgm:spPr/>
      <dgm:t>
        <a:bodyPr/>
        <a:lstStyle/>
        <a:p>
          <a:endParaRPr lang="en-US"/>
        </a:p>
      </dgm:t>
    </dgm:pt>
    <dgm:pt modelId="{2DCFC89C-592D-DB45-A08B-24C3B00EFECA}">
      <dgm:prSet phldrT="[Text]"/>
      <dgm:spPr/>
      <dgm:t>
        <a:bodyPr/>
        <a:lstStyle/>
        <a:p>
          <a:r>
            <a:rPr lang="en-US"/>
            <a:t>Time</a:t>
          </a:r>
        </a:p>
      </dgm:t>
    </dgm:pt>
    <dgm:pt modelId="{78CCD0FC-3EC4-BB41-8355-24F76A14AA98}" type="parTrans" cxnId="{D9A78DC7-FD77-C847-8E74-2085336DEEB4}">
      <dgm:prSet/>
      <dgm:spPr/>
      <dgm:t>
        <a:bodyPr/>
        <a:lstStyle/>
        <a:p>
          <a:endParaRPr lang="en-US"/>
        </a:p>
      </dgm:t>
    </dgm:pt>
    <dgm:pt modelId="{75ABA706-07F0-9D40-9C2D-EB02659D4009}" type="sibTrans" cxnId="{D9A78DC7-FD77-C847-8E74-2085336DEEB4}">
      <dgm:prSet/>
      <dgm:spPr/>
      <dgm:t>
        <a:bodyPr/>
        <a:lstStyle/>
        <a:p>
          <a:endParaRPr lang="en-US"/>
        </a:p>
      </dgm:t>
    </dgm:pt>
    <dgm:pt modelId="{29386D07-B364-CE46-81BB-BF1719A7906C}">
      <dgm:prSet phldrT="[Text]"/>
      <dgm:spPr/>
      <dgm:t>
        <a:bodyPr/>
        <a:lstStyle/>
        <a:p>
          <a:r>
            <a:rPr lang="en-US"/>
            <a:t>Engagement</a:t>
          </a:r>
        </a:p>
      </dgm:t>
    </dgm:pt>
    <dgm:pt modelId="{D6BDF180-384A-7F44-8E04-6564090E764D}" type="parTrans" cxnId="{42985BC7-29DA-C542-B4FB-75CE392C158E}">
      <dgm:prSet/>
      <dgm:spPr/>
      <dgm:t>
        <a:bodyPr/>
        <a:lstStyle/>
        <a:p>
          <a:endParaRPr lang="en-US"/>
        </a:p>
      </dgm:t>
    </dgm:pt>
    <dgm:pt modelId="{C412A6F9-1D3B-C644-BC3D-87E6EB2AD7C6}" type="sibTrans" cxnId="{42985BC7-29DA-C542-B4FB-75CE392C158E}">
      <dgm:prSet/>
      <dgm:spPr/>
      <dgm:t>
        <a:bodyPr/>
        <a:lstStyle/>
        <a:p>
          <a:endParaRPr lang="en-US"/>
        </a:p>
      </dgm:t>
    </dgm:pt>
    <dgm:pt modelId="{E68B0516-1D74-1D43-92D4-FC1225B74916}">
      <dgm:prSet phldrT="[Text]"/>
      <dgm:spPr/>
      <dgm:t>
        <a:bodyPr/>
        <a:lstStyle/>
        <a:p>
          <a:r>
            <a:rPr lang="en-US"/>
            <a:t>Quality</a:t>
          </a:r>
        </a:p>
      </dgm:t>
    </dgm:pt>
    <dgm:pt modelId="{0D4AECB0-52D6-5E44-B8CE-8448DCD43A22}" type="parTrans" cxnId="{0DF924FA-3C5E-204D-812D-75EDA7AE5A6F}">
      <dgm:prSet/>
      <dgm:spPr/>
      <dgm:t>
        <a:bodyPr/>
        <a:lstStyle/>
        <a:p>
          <a:endParaRPr lang="en-US"/>
        </a:p>
      </dgm:t>
    </dgm:pt>
    <dgm:pt modelId="{D7857FE4-5D23-E24F-A6BA-91F73382C5C4}" type="sibTrans" cxnId="{0DF924FA-3C5E-204D-812D-75EDA7AE5A6F}">
      <dgm:prSet/>
      <dgm:spPr/>
      <dgm:t>
        <a:bodyPr/>
        <a:lstStyle/>
        <a:p>
          <a:endParaRPr lang="en-US"/>
        </a:p>
      </dgm:t>
    </dgm:pt>
    <dgm:pt modelId="{E6424CDB-769A-C643-8395-ABA1D8C4A64D}">
      <dgm:prSet phldrT="[Text]"/>
      <dgm:spPr/>
      <dgm:t>
        <a:bodyPr/>
        <a:lstStyle/>
        <a:p>
          <a:r>
            <a:rPr lang="en-US"/>
            <a:t>Monetary</a:t>
          </a:r>
        </a:p>
      </dgm:t>
    </dgm:pt>
    <dgm:pt modelId="{FD11CC0F-DBAF-8A44-8F0C-33C487444478}" type="parTrans" cxnId="{2F44C379-4308-1647-B5E6-5F2CC3D4922C}">
      <dgm:prSet/>
      <dgm:spPr/>
      <dgm:t>
        <a:bodyPr/>
        <a:lstStyle/>
        <a:p>
          <a:endParaRPr lang="en-US"/>
        </a:p>
      </dgm:t>
    </dgm:pt>
    <dgm:pt modelId="{83293DD6-6059-404C-BA9C-6CBEC8D30B2C}" type="sibTrans" cxnId="{2F44C379-4308-1647-B5E6-5F2CC3D4922C}">
      <dgm:prSet/>
      <dgm:spPr/>
      <dgm:t>
        <a:bodyPr/>
        <a:lstStyle/>
        <a:p>
          <a:endParaRPr lang="en-US"/>
        </a:p>
      </dgm:t>
    </dgm:pt>
    <dgm:pt modelId="{1F2B1A0A-A5BF-334C-8D71-3C539D489282}">
      <dgm:prSet phldrT="[Text]"/>
      <dgm:spPr/>
      <dgm:t>
        <a:bodyPr/>
        <a:lstStyle/>
        <a:p>
          <a:r>
            <a:rPr lang="en-US"/>
            <a:t>Educational centre</a:t>
          </a:r>
        </a:p>
      </dgm:t>
    </dgm:pt>
    <dgm:pt modelId="{F056AEE6-2C25-104C-B2C6-61CA2976D8EC}" type="parTrans" cxnId="{168211EE-2386-C146-ACB8-7EFF42050026}">
      <dgm:prSet/>
      <dgm:spPr/>
      <dgm:t>
        <a:bodyPr/>
        <a:lstStyle/>
        <a:p>
          <a:endParaRPr lang="en-US"/>
        </a:p>
      </dgm:t>
    </dgm:pt>
    <dgm:pt modelId="{97F8D6FB-C8AE-A544-943F-84448C9DB174}" type="sibTrans" cxnId="{168211EE-2386-C146-ACB8-7EFF42050026}">
      <dgm:prSet/>
      <dgm:spPr/>
      <dgm:t>
        <a:bodyPr/>
        <a:lstStyle/>
        <a:p>
          <a:endParaRPr lang="en-US"/>
        </a:p>
      </dgm:t>
    </dgm:pt>
    <dgm:pt modelId="{377214CF-1F4D-6E4B-B22A-48B2AE33C3C6}">
      <dgm:prSet phldrT="[Text]"/>
      <dgm:spPr/>
      <dgm:t>
        <a:bodyPr/>
        <a:lstStyle/>
        <a:p>
          <a:r>
            <a:rPr lang="en-US"/>
            <a:t>Mobile unit</a:t>
          </a:r>
        </a:p>
      </dgm:t>
    </dgm:pt>
    <dgm:pt modelId="{BAF1B431-471A-5D43-8762-4F13484BD4CD}" type="parTrans" cxnId="{8758C445-C9AC-DD4A-8C5D-A806512676C4}">
      <dgm:prSet/>
      <dgm:spPr/>
      <dgm:t>
        <a:bodyPr/>
        <a:lstStyle/>
        <a:p>
          <a:endParaRPr lang="en-US"/>
        </a:p>
      </dgm:t>
    </dgm:pt>
    <dgm:pt modelId="{68E0BAE1-B6CA-AF46-B162-4AFD4A8896DB}" type="sibTrans" cxnId="{8758C445-C9AC-DD4A-8C5D-A806512676C4}">
      <dgm:prSet/>
      <dgm:spPr/>
      <dgm:t>
        <a:bodyPr/>
        <a:lstStyle/>
        <a:p>
          <a:endParaRPr lang="en-US"/>
        </a:p>
      </dgm:t>
    </dgm:pt>
    <dgm:pt modelId="{393AB9E2-01D5-C34B-93B7-38500C0B6B14}">
      <dgm:prSet phldrT="[Text]"/>
      <dgm:spPr/>
      <dgm:t>
        <a:bodyPr/>
        <a:lstStyle/>
        <a:p>
          <a:r>
            <a:rPr lang="en-US"/>
            <a:t>In situ simulation - clinical space</a:t>
          </a:r>
        </a:p>
      </dgm:t>
    </dgm:pt>
    <dgm:pt modelId="{09283FE2-7FED-0E49-B39E-F62EFBB255C0}" type="parTrans" cxnId="{F2A98202-DEB4-804A-B3CD-78C6B9DB7613}">
      <dgm:prSet/>
      <dgm:spPr/>
      <dgm:t>
        <a:bodyPr/>
        <a:lstStyle/>
        <a:p>
          <a:endParaRPr lang="en-US"/>
        </a:p>
      </dgm:t>
    </dgm:pt>
    <dgm:pt modelId="{B6FCD4F6-8ADD-864B-BFCF-FBE388490B8F}" type="sibTrans" cxnId="{F2A98202-DEB4-804A-B3CD-78C6B9DB7613}">
      <dgm:prSet/>
      <dgm:spPr/>
      <dgm:t>
        <a:bodyPr/>
        <a:lstStyle/>
        <a:p>
          <a:endParaRPr lang="en-US"/>
        </a:p>
      </dgm:t>
    </dgm:pt>
    <dgm:pt modelId="{8369DE55-13C0-8041-9CE0-626BEC91281E}">
      <dgm:prSet phldrT="[Text]"/>
      <dgm:spPr/>
      <dgm:t>
        <a:bodyPr/>
        <a:lstStyle/>
        <a:p>
          <a:r>
            <a:rPr lang="en-US"/>
            <a:t>Simulation centre</a:t>
          </a:r>
        </a:p>
      </dgm:t>
    </dgm:pt>
    <dgm:pt modelId="{1A9DCF06-2D1D-BF40-BE75-EC0486056D9C}" type="parTrans" cxnId="{6BDE93D5-C689-6B4C-BE1A-9BE24D39D424}">
      <dgm:prSet/>
      <dgm:spPr/>
      <dgm:t>
        <a:bodyPr/>
        <a:lstStyle/>
        <a:p>
          <a:endParaRPr lang="en-US"/>
        </a:p>
      </dgm:t>
    </dgm:pt>
    <dgm:pt modelId="{C38C8773-15AE-E247-A76B-01FC451C2F43}" type="sibTrans" cxnId="{6BDE93D5-C689-6B4C-BE1A-9BE24D39D424}">
      <dgm:prSet/>
      <dgm:spPr/>
      <dgm:t>
        <a:bodyPr/>
        <a:lstStyle/>
        <a:p>
          <a:endParaRPr lang="en-US"/>
        </a:p>
      </dgm:t>
    </dgm:pt>
    <dgm:pt modelId="{163449A1-FAF0-274E-A022-D1FCD404F5C4}">
      <dgm:prSet phldrT="[Text]"/>
      <dgm:spPr/>
      <dgm:t>
        <a:bodyPr/>
        <a:lstStyle/>
        <a:p>
          <a:r>
            <a:rPr lang="en-US"/>
            <a:t>Group sizes 4-5</a:t>
          </a:r>
        </a:p>
      </dgm:t>
    </dgm:pt>
    <dgm:pt modelId="{08C8CDE7-5A77-E249-91BE-73BF67509CA4}" type="parTrans" cxnId="{E044753C-F00F-A342-B431-F554C23909BE}">
      <dgm:prSet/>
      <dgm:spPr/>
      <dgm:t>
        <a:bodyPr/>
        <a:lstStyle/>
        <a:p>
          <a:endParaRPr lang="en-US"/>
        </a:p>
      </dgm:t>
    </dgm:pt>
    <dgm:pt modelId="{EDC0BE18-593E-5345-80CA-BB4843052EB7}" type="sibTrans" cxnId="{E044753C-F00F-A342-B431-F554C23909BE}">
      <dgm:prSet/>
      <dgm:spPr/>
      <dgm:t>
        <a:bodyPr/>
        <a:lstStyle/>
        <a:p>
          <a:endParaRPr lang="en-US"/>
        </a:p>
      </dgm:t>
    </dgm:pt>
    <dgm:pt modelId="{33411687-78A4-BC42-B739-43B2871D1368}">
      <dgm:prSet phldrT="[Text]"/>
      <dgm:spPr/>
      <dgm:t>
        <a:bodyPr/>
        <a:lstStyle/>
        <a:p>
          <a:r>
            <a:rPr lang="en-US"/>
            <a:t>1:1 student : scenario </a:t>
          </a:r>
        </a:p>
      </dgm:t>
    </dgm:pt>
    <dgm:pt modelId="{0E37AD4E-20F4-524F-990C-87BA9524D294}" type="parTrans" cxnId="{B5099AAA-AAA3-F841-BF0A-569A8ECDF0F0}">
      <dgm:prSet/>
      <dgm:spPr/>
      <dgm:t>
        <a:bodyPr/>
        <a:lstStyle/>
        <a:p>
          <a:endParaRPr lang="en-US"/>
        </a:p>
      </dgm:t>
    </dgm:pt>
    <dgm:pt modelId="{3200E773-E7B9-434D-9F92-C6A1679E49A5}" type="sibTrans" cxnId="{B5099AAA-AAA3-F841-BF0A-569A8ECDF0F0}">
      <dgm:prSet/>
      <dgm:spPr/>
      <dgm:t>
        <a:bodyPr/>
        <a:lstStyle/>
        <a:p>
          <a:endParaRPr lang="en-US"/>
        </a:p>
      </dgm:t>
    </dgm:pt>
    <dgm:pt modelId="{ACB8277B-8273-D24C-BD5F-95C816675508}">
      <dgm:prSet phldrT="[Text]"/>
      <dgm:spPr/>
      <dgm:t>
        <a:bodyPr/>
        <a:lstStyle/>
        <a:p>
          <a:r>
            <a:rPr lang="en-US"/>
            <a:t>For all trainees</a:t>
          </a:r>
        </a:p>
      </dgm:t>
    </dgm:pt>
    <dgm:pt modelId="{3B183194-28A4-764F-9AE0-B0EADE6A4610}" type="parTrans" cxnId="{BAC47F69-CDB3-A044-A71E-933DCE5AD4D8}">
      <dgm:prSet/>
      <dgm:spPr/>
      <dgm:t>
        <a:bodyPr/>
        <a:lstStyle/>
        <a:p>
          <a:endParaRPr lang="en-US"/>
        </a:p>
      </dgm:t>
    </dgm:pt>
    <dgm:pt modelId="{202F9B7C-8A00-7B40-964F-877E660649B0}" type="sibTrans" cxnId="{BAC47F69-CDB3-A044-A71E-933DCE5AD4D8}">
      <dgm:prSet/>
      <dgm:spPr/>
      <dgm:t>
        <a:bodyPr/>
        <a:lstStyle/>
        <a:p>
          <a:endParaRPr lang="en-US"/>
        </a:p>
      </dgm:t>
    </dgm:pt>
    <dgm:pt modelId="{7C13EB6E-CBA6-5649-8A61-33C82DAD54D7}">
      <dgm:prSet phldrT="[Text]"/>
      <dgm:spPr/>
      <dgm:t>
        <a:bodyPr/>
        <a:lstStyle/>
        <a:p>
          <a:r>
            <a:rPr lang="en-US"/>
            <a:t>European Working Time Directive impact</a:t>
          </a:r>
        </a:p>
      </dgm:t>
    </dgm:pt>
    <dgm:pt modelId="{8C798D8E-DB95-D94E-B7E6-BDFD3E487826}" type="parTrans" cxnId="{9195AB7E-77A6-B742-A94A-50DD407C8343}">
      <dgm:prSet/>
      <dgm:spPr/>
      <dgm:t>
        <a:bodyPr/>
        <a:lstStyle/>
        <a:p>
          <a:endParaRPr lang="en-US"/>
        </a:p>
      </dgm:t>
    </dgm:pt>
    <dgm:pt modelId="{A36AEDE4-C227-664C-9F5C-E8332E8BB7B5}" type="sibTrans" cxnId="{9195AB7E-77A6-B742-A94A-50DD407C8343}">
      <dgm:prSet/>
      <dgm:spPr/>
      <dgm:t>
        <a:bodyPr/>
        <a:lstStyle/>
        <a:p>
          <a:endParaRPr lang="en-US"/>
        </a:p>
      </dgm:t>
    </dgm:pt>
    <dgm:pt modelId="{A609CEA0-F5E8-2C41-B155-B4C4E73D9F4C}">
      <dgm:prSet phldrT="[Text]"/>
      <dgm:spPr/>
      <dgm:t>
        <a:bodyPr/>
        <a:lstStyle/>
        <a:p>
          <a:r>
            <a:rPr lang="en-US"/>
            <a:t>Length of session</a:t>
          </a:r>
        </a:p>
      </dgm:t>
    </dgm:pt>
    <dgm:pt modelId="{57685BE1-F224-0C46-9BB9-A54BAC03847D}" type="parTrans" cxnId="{3AC2780A-D35F-1141-9FE3-6091DF66740D}">
      <dgm:prSet/>
      <dgm:spPr/>
      <dgm:t>
        <a:bodyPr/>
        <a:lstStyle/>
        <a:p>
          <a:endParaRPr lang="en-US"/>
        </a:p>
      </dgm:t>
    </dgm:pt>
    <dgm:pt modelId="{829B993F-5F9B-FD44-AEA8-81337BFBAD17}" type="sibTrans" cxnId="{3AC2780A-D35F-1141-9FE3-6091DF66740D}">
      <dgm:prSet/>
      <dgm:spPr/>
      <dgm:t>
        <a:bodyPr/>
        <a:lstStyle/>
        <a:p>
          <a:endParaRPr lang="en-US"/>
        </a:p>
      </dgm:t>
    </dgm:pt>
    <dgm:pt modelId="{A6250743-4385-F64D-B9B5-2637FECC2EFE}">
      <dgm:prSet phldrT="[Text]"/>
      <dgm:spPr/>
      <dgm:t>
        <a:bodyPr/>
        <a:lstStyle/>
        <a:p>
          <a:r>
            <a:rPr lang="en-US"/>
            <a:t>Session orientation: sceanrio: debrief time</a:t>
          </a:r>
        </a:p>
      </dgm:t>
    </dgm:pt>
    <dgm:pt modelId="{4C7621F4-0ED2-3044-BB6A-36CC669B8265}" type="parTrans" cxnId="{F0BB1025-82D2-2C42-A9CB-3803DE918382}">
      <dgm:prSet/>
      <dgm:spPr/>
      <dgm:t>
        <a:bodyPr/>
        <a:lstStyle/>
        <a:p>
          <a:endParaRPr lang="en-US"/>
        </a:p>
      </dgm:t>
    </dgm:pt>
    <dgm:pt modelId="{45A6F38B-7327-5A47-ADB9-84FA6DCE286B}" type="sibTrans" cxnId="{F0BB1025-82D2-2C42-A9CB-3803DE918382}">
      <dgm:prSet/>
      <dgm:spPr/>
      <dgm:t>
        <a:bodyPr/>
        <a:lstStyle/>
        <a:p>
          <a:endParaRPr lang="en-US"/>
        </a:p>
      </dgm:t>
    </dgm:pt>
    <dgm:pt modelId="{679817FC-FAA9-3B4B-B1F7-7909CC200FF6}">
      <dgm:prSet phldrT="[Text]"/>
      <dgm:spPr/>
      <dgm:t>
        <a:bodyPr/>
        <a:lstStyle/>
        <a:p>
          <a:r>
            <a:rPr lang="en-US"/>
            <a:t>? Protected teaching</a:t>
          </a:r>
        </a:p>
      </dgm:t>
    </dgm:pt>
    <dgm:pt modelId="{84F54D38-E23B-B24F-A42C-A6E5DFB3EEB5}" type="parTrans" cxnId="{83ED33F6-3E62-6E41-AF2A-816FC96AD155}">
      <dgm:prSet/>
      <dgm:spPr/>
      <dgm:t>
        <a:bodyPr/>
        <a:lstStyle/>
        <a:p>
          <a:endParaRPr lang="en-US"/>
        </a:p>
      </dgm:t>
    </dgm:pt>
    <dgm:pt modelId="{44649017-4F43-2845-947A-71BFF9446F8A}" type="sibTrans" cxnId="{83ED33F6-3E62-6E41-AF2A-816FC96AD155}">
      <dgm:prSet/>
      <dgm:spPr/>
      <dgm:t>
        <a:bodyPr/>
        <a:lstStyle/>
        <a:p>
          <a:endParaRPr lang="en-US"/>
        </a:p>
      </dgm:t>
    </dgm:pt>
    <dgm:pt modelId="{6CBAF72A-87F0-BD41-A9AC-303EF3F773EE}">
      <dgm:prSet phldrT="[Text]"/>
      <dgm:spPr/>
      <dgm:t>
        <a:bodyPr/>
        <a:lstStyle/>
        <a:p>
          <a:r>
            <a:rPr lang="en-US"/>
            <a:t>Scope/ Diversity</a:t>
          </a:r>
        </a:p>
      </dgm:t>
    </dgm:pt>
    <dgm:pt modelId="{F995272C-1704-F548-AC60-CEE0623AAAC6}" type="parTrans" cxnId="{D6B9B76F-A3E3-6240-A9BE-F1A02230AD8F}">
      <dgm:prSet/>
      <dgm:spPr/>
      <dgm:t>
        <a:bodyPr/>
        <a:lstStyle/>
        <a:p>
          <a:endParaRPr lang="en-US"/>
        </a:p>
      </dgm:t>
    </dgm:pt>
    <dgm:pt modelId="{544B2E6C-8B87-2344-969F-347F71922D54}" type="sibTrans" cxnId="{D6B9B76F-A3E3-6240-A9BE-F1A02230AD8F}">
      <dgm:prSet/>
      <dgm:spPr/>
      <dgm:t>
        <a:bodyPr/>
        <a:lstStyle/>
        <a:p>
          <a:endParaRPr lang="en-US"/>
        </a:p>
      </dgm:t>
    </dgm:pt>
    <dgm:pt modelId="{3C4925B7-560D-E244-A6BF-7662F128DFEA}">
      <dgm:prSet phldrT="[Text]"/>
      <dgm:spPr/>
      <dgm:t>
        <a:bodyPr/>
        <a:lstStyle/>
        <a:p>
          <a:r>
            <a:rPr lang="en-US"/>
            <a:t>Collaboration - shared resources</a:t>
          </a:r>
        </a:p>
      </dgm:t>
    </dgm:pt>
    <dgm:pt modelId="{5C3D80B8-6B12-3647-94E3-93EAE92D2F3D}" type="parTrans" cxnId="{BE5B95BA-C31A-F846-8173-42EBFDE52C7B}">
      <dgm:prSet/>
      <dgm:spPr/>
      <dgm:t>
        <a:bodyPr/>
        <a:lstStyle/>
        <a:p>
          <a:endParaRPr lang="en-US"/>
        </a:p>
      </dgm:t>
    </dgm:pt>
    <dgm:pt modelId="{EF694FF5-19F2-2043-8B5E-F2C584E23D98}" type="sibTrans" cxnId="{BE5B95BA-C31A-F846-8173-42EBFDE52C7B}">
      <dgm:prSet/>
      <dgm:spPr/>
      <dgm:t>
        <a:bodyPr/>
        <a:lstStyle/>
        <a:p>
          <a:endParaRPr lang="en-US"/>
        </a:p>
      </dgm:t>
    </dgm:pt>
    <dgm:pt modelId="{44D39568-D2E8-824A-9A6E-A3FF2B1C428A}">
      <dgm:prSet phldrT="[Text]"/>
      <dgm:spPr/>
      <dgm:t>
        <a:bodyPr/>
        <a:lstStyle/>
        <a:p>
          <a:r>
            <a:rPr lang="en-US"/>
            <a:t>Undergrad/postgrad</a:t>
          </a:r>
        </a:p>
      </dgm:t>
    </dgm:pt>
    <dgm:pt modelId="{B494D9BC-991B-D245-BC94-449FA9D3C188}" type="parTrans" cxnId="{2D971731-F6A4-E647-8121-68D6E6C6CC4A}">
      <dgm:prSet/>
      <dgm:spPr/>
      <dgm:t>
        <a:bodyPr/>
        <a:lstStyle/>
        <a:p>
          <a:endParaRPr lang="en-US"/>
        </a:p>
      </dgm:t>
    </dgm:pt>
    <dgm:pt modelId="{A3478EF0-1C05-B54E-B52F-72B578E4AFDB}" type="sibTrans" cxnId="{2D971731-F6A4-E647-8121-68D6E6C6CC4A}">
      <dgm:prSet/>
      <dgm:spPr/>
      <dgm:t>
        <a:bodyPr/>
        <a:lstStyle/>
        <a:p>
          <a:endParaRPr lang="en-US"/>
        </a:p>
      </dgm:t>
    </dgm:pt>
    <dgm:pt modelId="{1B5367BD-9A53-CD43-96A0-EE9FDB2F41D9}">
      <dgm:prSet phldrT="[Text]"/>
      <dgm:spPr/>
      <dgm:t>
        <a:bodyPr/>
        <a:lstStyle/>
        <a:p>
          <a:r>
            <a:rPr lang="en-US"/>
            <a:t>Trusts</a:t>
          </a:r>
        </a:p>
      </dgm:t>
    </dgm:pt>
    <dgm:pt modelId="{E935EEF9-17EA-1E43-A3D8-8702489634B7}" type="parTrans" cxnId="{4E1DD0B2-88F1-DE40-8C6B-397C128BCF95}">
      <dgm:prSet/>
      <dgm:spPr/>
      <dgm:t>
        <a:bodyPr/>
        <a:lstStyle/>
        <a:p>
          <a:endParaRPr lang="en-US"/>
        </a:p>
      </dgm:t>
    </dgm:pt>
    <dgm:pt modelId="{F07C7855-B06B-8D4A-8053-7823CB5B7C45}" type="sibTrans" cxnId="{4E1DD0B2-88F1-DE40-8C6B-397C128BCF95}">
      <dgm:prSet/>
      <dgm:spPr/>
      <dgm:t>
        <a:bodyPr/>
        <a:lstStyle/>
        <a:p>
          <a:endParaRPr lang="en-US"/>
        </a:p>
      </dgm:t>
    </dgm:pt>
    <dgm:pt modelId="{09828B7B-FC5C-3E43-8911-B92D8BD484A1}">
      <dgm:prSet phldrT="[Text]"/>
      <dgm:spPr/>
      <dgm:t>
        <a:bodyPr/>
        <a:lstStyle/>
        <a:p>
          <a:r>
            <a:rPr lang="en-US"/>
            <a:t>Simulation/ education network</a:t>
          </a:r>
        </a:p>
      </dgm:t>
    </dgm:pt>
    <dgm:pt modelId="{DD7C1CE7-368E-D74E-B8B8-73FF656DB094}" type="parTrans" cxnId="{3AD316E2-45D2-A843-8C19-F5BF28164222}">
      <dgm:prSet/>
      <dgm:spPr/>
      <dgm:t>
        <a:bodyPr/>
        <a:lstStyle/>
        <a:p>
          <a:endParaRPr lang="en-US"/>
        </a:p>
      </dgm:t>
    </dgm:pt>
    <dgm:pt modelId="{1F39E644-10E9-274C-8BF2-645DE2A1F1D4}" type="sibTrans" cxnId="{3AD316E2-45D2-A843-8C19-F5BF28164222}">
      <dgm:prSet/>
      <dgm:spPr/>
      <dgm:t>
        <a:bodyPr/>
        <a:lstStyle/>
        <a:p>
          <a:endParaRPr lang="en-US"/>
        </a:p>
      </dgm:t>
    </dgm:pt>
    <dgm:pt modelId="{1D0AF25B-D9BE-7240-BBC5-0833D57CEEE5}">
      <dgm:prSet phldrT="[Text]"/>
      <dgm:spPr/>
      <dgm:t>
        <a:bodyPr/>
        <a:lstStyle/>
        <a:p>
          <a:r>
            <a:rPr lang="en-US"/>
            <a:t>Skills</a:t>
          </a:r>
        </a:p>
      </dgm:t>
    </dgm:pt>
    <dgm:pt modelId="{E6FF1513-1B2C-9049-A3B3-770E44141A2D}" type="parTrans" cxnId="{F1E7820F-82B9-FC4A-8200-A306790F826A}">
      <dgm:prSet/>
      <dgm:spPr/>
      <dgm:t>
        <a:bodyPr/>
        <a:lstStyle/>
        <a:p>
          <a:endParaRPr lang="en-US"/>
        </a:p>
      </dgm:t>
    </dgm:pt>
    <dgm:pt modelId="{25613655-61F4-8049-B6B7-916BEE5249E4}" type="sibTrans" cxnId="{F1E7820F-82B9-FC4A-8200-A306790F826A}">
      <dgm:prSet/>
      <dgm:spPr/>
      <dgm:t>
        <a:bodyPr/>
        <a:lstStyle/>
        <a:p>
          <a:endParaRPr lang="en-US"/>
        </a:p>
      </dgm:t>
    </dgm:pt>
    <dgm:pt modelId="{B4CED325-8168-4748-AE8E-FE7AC7C0D60A}">
      <dgm:prSet phldrT="[Text]"/>
      <dgm:spPr/>
      <dgm:t>
        <a:bodyPr/>
        <a:lstStyle/>
        <a:p>
          <a:r>
            <a:rPr lang="en-US"/>
            <a:t>Technical</a:t>
          </a:r>
        </a:p>
      </dgm:t>
    </dgm:pt>
    <dgm:pt modelId="{09E82BE4-012E-CC43-94DE-CD6575D5F8DA}" type="parTrans" cxnId="{42FF8018-E832-D149-98A1-0AAFBA495290}">
      <dgm:prSet/>
      <dgm:spPr/>
      <dgm:t>
        <a:bodyPr/>
        <a:lstStyle/>
        <a:p>
          <a:endParaRPr lang="en-US"/>
        </a:p>
      </dgm:t>
    </dgm:pt>
    <dgm:pt modelId="{50BD6FCA-B353-704A-94DE-CCEAB561399B}" type="sibTrans" cxnId="{42FF8018-E832-D149-98A1-0AAFBA495290}">
      <dgm:prSet/>
      <dgm:spPr/>
      <dgm:t>
        <a:bodyPr/>
        <a:lstStyle/>
        <a:p>
          <a:endParaRPr lang="en-US"/>
        </a:p>
      </dgm:t>
    </dgm:pt>
    <dgm:pt modelId="{C161CAA7-A2DC-594E-AE2E-715329B4F4AE}">
      <dgm:prSet phldrT="[Text]"/>
      <dgm:spPr/>
      <dgm:t>
        <a:bodyPr/>
        <a:lstStyle/>
        <a:p>
          <a:r>
            <a:rPr lang="en-US"/>
            <a:t>Non- technical</a:t>
          </a:r>
        </a:p>
      </dgm:t>
    </dgm:pt>
    <dgm:pt modelId="{F889455B-7E83-4F48-8638-5863B85EAB15}" type="parTrans" cxnId="{367D6E16-E40C-4246-9FF4-6BF25DBE54FD}">
      <dgm:prSet/>
      <dgm:spPr/>
      <dgm:t>
        <a:bodyPr/>
        <a:lstStyle/>
        <a:p>
          <a:endParaRPr lang="en-US"/>
        </a:p>
      </dgm:t>
    </dgm:pt>
    <dgm:pt modelId="{569A064D-1801-7346-8C34-1B1511ECD847}" type="sibTrans" cxnId="{367D6E16-E40C-4246-9FF4-6BF25DBE54FD}">
      <dgm:prSet/>
      <dgm:spPr/>
      <dgm:t>
        <a:bodyPr/>
        <a:lstStyle/>
        <a:p>
          <a:endParaRPr lang="en-US"/>
        </a:p>
      </dgm:t>
    </dgm:pt>
    <dgm:pt modelId="{AEEA611F-025C-B14D-B9E0-A368DAE35336}">
      <dgm:prSet phldrT="[Text]"/>
      <dgm:spPr/>
      <dgm:t>
        <a:bodyPr/>
        <a:lstStyle/>
        <a:p>
          <a:r>
            <a:rPr lang="en-US"/>
            <a:t>Human factors inc teamwork</a:t>
          </a:r>
        </a:p>
      </dgm:t>
    </dgm:pt>
    <dgm:pt modelId="{800CDA2D-2107-FC47-9E6F-1A337AD2A60A}" type="parTrans" cxnId="{B6A55CF1-A583-824E-AE90-B5EE9A09D3F8}">
      <dgm:prSet/>
      <dgm:spPr/>
      <dgm:t>
        <a:bodyPr/>
        <a:lstStyle/>
        <a:p>
          <a:endParaRPr lang="en-US"/>
        </a:p>
      </dgm:t>
    </dgm:pt>
    <dgm:pt modelId="{E15976EF-1926-8748-A5FF-D3558000F7CB}" type="sibTrans" cxnId="{B6A55CF1-A583-824E-AE90-B5EE9A09D3F8}">
      <dgm:prSet/>
      <dgm:spPr/>
      <dgm:t>
        <a:bodyPr/>
        <a:lstStyle/>
        <a:p>
          <a:endParaRPr lang="en-US"/>
        </a:p>
      </dgm:t>
    </dgm:pt>
    <dgm:pt modelId="{CA88C85D-97A5-BE4D-9FFE-C97073F68412}">
      <dgm:prSet phldrT="[Text]"/>
      <dgm:spPr/>
      <dgm:t>
        <a:bodyPr/>
        <a:lstStyle/>
        <a:p>
          <a:r>
            <a:rPr lang="en-US"/>
            <a:t>Ownership/responsibility</a:t>
          </a:r>
        </a:p>
      </dgm:t>
    </dgm:pt>
    <dgm:pt modelId="{3863A201-CA80-A541-95BA-826AD2B1F647}" type="parTrans" cxnId="{20BE5D20-AF7D-B443-B981-D1E4A2D63F16}">
      <dgm:prSet/>
      <dgm:spPr/>
      <dgm:t>
        <a:bodyPr/>
        <a:lstStyle/>
        <a:p>
          <a:endParaRPr lang="en-US"/>
        </a:p>
      </dgm:t>
    </dgm:pt>
    <dgm:pt modelId="{E943E952-7D1A-C946-8063-9FBC9B70D69D}" type="sibTrans" cxnId="{20BE5D20-AF7D-B443-B981-D1E4A2D63F16}">
      <dgm:prSet/>
      <dgm:spPr/>
      <dgm:t>
        <a:bodyPr/>
        <a:lstStyle/>
        <a:p>
          <a:endParaRPr lang="en-US"/>
        </a:p>
      </dgm:t>
    </dgm:pt>
    <dgm:pt modelId="{0D15EC5C-648D-2747-A685-2B76703D4306}">
      <dgm:prSet phldrT="[Text]"/>
      <dgm:spPr/>
      <dgm:t>
        <a:bodyPr/>
        <a:lstStyle/>
        <a:p>
          <a:r>
            <a:rPr lang="en-US"/>
            <a:t>Decisions</a:t>
          </a:r>
        </a:p>
      </dgm:t>
    </dgm:pt>
    <dgm:pt modelId="{59D00188-9741-8C4A-9ED0-1DA6B8646B33}" type="parTrans" cxnId="{F132EDAA-3D03-0D4D-B434-9EDDBBCDC95E}">
      <dgm:prSet/>
      <dgm:spPr/>
      <dgm:t>
        <a:bodyPr/>
        <a:lstStyle/>
        <a:p>
          <a:endParaRPr lang="en-US"/>
        </a:p>
      </dgm:t>
    </dgm:pt>
    <dgm:pt modelId="{A8DB6A13-0887-0A4A-8160-0EDCED8FA091}" type="sibTrans" cxnId="{F132EDAA-3D03-0D4D-B434-9EDDBBCDC95E}">
      <dgm:prSet/>
      <dgm:spPr/>
      <dgm:t>
        <a:bodyPr/>
        <a:lstStyle/>
        <a:p>
          <a:endParaRPr lang="en-US"/>
        </a:p>
      </dgm:t>
    </dgm:pt>
    <dgm:pt modelId="{9DD044B7-BB1B-8C4B-83A7-DA2087BD1637}">
      <dgm:prSet phldrT="[Text]"/>
      <dgm:spPr/>
      <dgm:t>
        <a:bodyPr/>
        <a:lstStyle/>
        <a:p>
          <a:r>
            <a:rPr lang="en-US"/>
            <a:t>Patient safety</a:t>
          </a:r>
        </a:p>
      </dgm:t>
    </dgm:pt>
    <dgm:pt modelId="{B5BE0E0E-CCA1-EB48-8173-0609472C904F}" type="parTrans" cxnId="{E2A66026-9B1D-764A-9FEB-A30F99D26203}">
      <dgm:prSet/>
      <dgm:spPr/>
      <dgm:t>
        <a:bodyPr/>
        <a:lstStyle/>
        <a:p>
          <a:endParaRPr lang="en-US"/>
        </a:p>
      </dgm:t>
    </dgm:pt>
    <dgm:pt modelId="{522A2B47-423E-E04B-AA28-A8B3D14E8836}" type="sibTrans" cxnId="{E2A66026-9B1D-764A-9FEB-A30F99D26203}">
      <dgm:prSet/>
      <dgm:spPr/>
      <dgm:t>
        <a:bodyPr/>
        <a:lstStyle/>
        <a:p>
          <a:endParaRPr lang="en-US"/>
        </a:p>
      </dgm:t>
    </dgm:pt>
    <dgm:pt modelId="{533A607A-CE00-E145-B663-E601077179A0}">
      <dgm:prSet phldrT="[Text]"/>
      <dgm:spPr/>
      <dgm:t>
        <a:bodyPr/>
        <a:lstStyle/>
        <a:p>
          <a:r>
            <a:rPr lang="en-US"/>
            <a:t>Preparedness</a:t>
          </a:r>
        </a:p>
      </dgm:t>
    </dgm:pt>
    <dgm:pt modelId="{39DA1F30-8451-6E40-817A-933594DC1AE3}" type="parTrans" cxnId="{7D1D0C55-C45F-0544-A961-D5FF3770057A}">
      <dgm:prSet/>
      <dgm:spPr/>
      <dgm:t>
        <a:bodyPr/>
        <a:lstStyle/>
        <a:p>
          <a:endParaRPr lang="en-US"/>
        </a:p>
      </dgm:t>
    </dgm:pt>
    <dgm:pt modelId="{AC7FB389-5D82-D344-8FD5-C00023BACADE}" type="sibTrans" cxnId="{7D1D0C55-C45F-0544-A961-D5FF3770057A}">
      <dgm:prSet/>
      <dgm:spPr/>
      <dgm:t>
        <a:bodyPr/>
        <a:lstStyle/>
        <a:p>
          <a:endParaRPr lang="en-US"/>
        </a:p>
      </dgm:t>
    </dgm:pt>
    <dgm:pt modelId="{B17BA0DF-C4AF-1D40-AC07-77EE174CDB7D}">
      <dgm:prSet phldrT="[Text]"/>
      <dgm:spPr/>
      <dgm:t>
        <a:bodyPr/>
        <a:lstStyle/>
        <a:p>
          <a:r>
            <a:rPr lang="en-US"/>
            <a:t>Interprofessional learning</a:t>
          </a:r>
        </a:p>
      </dgm:t>
    </dgm:pt>
    <dgm:pt modelId="{30F83820-69BD-7543-9997-31C41E284A3B}" type="parTrans" cxnId="{CE144E5B-79E7-DE4A-8F82-A51225DF657A}">
      <dgm:prSet/>
      <dgm:spPr/>
      <dgm:t>
        <a:bodyPr/>
        <a:lstStyle/>
        <a:p>
          <a:endParaRPr lang="en-US"/>
        </a:p>
      </dgm:t>
    </dgm:pt>
    <dgm:pt modelId="{40F9E7C8-6F50-D84B-B805-E3DC4F8A8B75}" type="sibTrans" cxnId="{CE144E5B-79E7-DE4A-8F82-A51225DF657A}">
      <dgm:prSet/>
      <dgm:spPr/>
      <dgm:t>
        <a:bodyPr/>
        <a:lstStyle/>
        <a:p>
          <a:endParaRPr lang="en-US"/>
        </a:p>
      </dgm:t>
    </dgm:pt>
    <dgm:pt modelId="{401B063C-9410-8B47-A63B-4B18B287113C}">
      <dgm:prSet phldrT="[Text]"/>
      <dgm:spPr/>
      <dgm:t>
        <a:bodyPr/>
        <a:lstStyle/>
        <a:p>
          <a:r>
            <a:rPr lang="en-US"/>
            <a:t>Difficult to simulate hierarchy &amp; social pressures</a:t>
          </a:r>
        </a:p>
      </dgm:t>
    </dgm:pt>
    <dgm:pt modelId="{86D0A3B9-78AB-6643-8C90-9E52E2700B19}" type="parTrans" cxnId="{61C95B88-94F9-7F40-A139-5390A947EFC8}">
      <dgm:prSet/>
      <dgm:spPr/>
      <dgm:t>
        <a:bodyPr/>
        <a:lstStyle/>
        <a:p>
          <a:endParaRPr lang="en-US"/>
        </a:p>
      </dgm:t>
    </dgm:pt>
    <dgm:pt modelId="{B301724B-339D-0041-822C-58119960F003}" type="sibTrans" cxnId="{61C95B88-94F9-7F40-A139-5390A947EFC8}">
      <dgm:prSet/>
      <dgm:spPr/>
      <dgm:t>
        <a:bodyPr/>
        <a:lstStyle/>
        <a:p>
          <a:endParaRPr lang="en-US"/>
        </a:p>
      </dgm:t>
    </dgm:pt>
    <dgm:pt modelId="{F41BD78A-AA39-264D-9AA8-BDC467339E97}">
      <dgm:prSet phldrT="[Text]"/>
      <dgm:spPr/>
      <dgm:t>
        <a:bodyPr/>
        <a:lstStyle/>
        <a:p>
          <a:r>
            <a:rPr lang="en-US"/>
            <a:t>Behavioural effect</a:t>
          </a:r>
        </a:p>
      </dgm:t>
    </dgm:pt>
    <dgm:pt modelId="{3FAF60AD-D860-134F-A802-4585774E97CC}" type="parTrans" cxnId="{CCCBFE07-6D57-5543-A930-1B4C0BD2E23A}">
      <dgm:prSet/>
      <dgm:spPr/>
      <dgm:t>
        <a:bodyPr/>
        <a:lstStyle/>
        <a:p>
          <a:endParaRPr lang="en-US"/>
        </a:p>
      </dgm:t>
    </dgm:pt>
    <dgm:pt modelId="{B65AE52A-5BE3-AB45-83EF-CCC3A29EFEB4}" type="sibTrans" cxnId="{CCCBFE07-6D57-5543-A930-1B4C0BD2E23A}">
      <dgm:prSet/>
      <dgm:spPr/>
      <dgm:t>
        <a:bodyPr/>
        <a:lstStyle/>
        <a:p>
          <a:endParaRPr lang="en-US"/>
        </a:p>
      </dgm:t>
    </dgm:pt>
    <dgm:pt modelId="{467ECC50-8528-7740-80EC-3740C88A0DB5}">
      <dgm:prSet phldrT="[Text]"/>
      <dgm:spPr/>
      <dgm:t>
        <a:bodyPr/>
        <a:lstStyle/>
        <a:p>
          <a:r>
            <a:rPr lang="en-US"/>
            <a:t>Managing hidden curriculum</a:t>
          </a:r>
        </a:p>
      </dgm:t>
    </dgm:pt>
    <dgm:pt modelId="{A840D6EC-8FE8-604B-BFED-A3B60D362693}" type="parTrans" cxnId="{4BCBF6AE-B0D0-3C49-94AD-AB899FC2BB89}">
      <dgm:prSet/>
      <dgm:spPr/>
      <dgm:t>
        <a:bodyPr/>
        <a:lstStyle/>
        <a:p>
          <a:endParaRPr lang="en-US"/>
        </a:p>
      </dgm:t>
    </dgm:pt>
    <dgm:pt modelId="{0447C4D7-8BDB-C746-8BB9-174EBBE3ADC9}" type="sibTrans" cxnId="{4BCBF6AE-B0D0-3C49-94AD-AB899FC2BB89}">
      <dgm:prSet/>
      <dgm:spPr/>
      <dgm:t>
        <a:bodyPr/>
        <a:lstStyle/>
        <a:p>
          <a:endParaRPr lang="en-US"/>
        </a:p>
      </dgm:t>
    </dgm:pt>
    <dgm:pt modelId="{5F9FD34B-3FC4-AB45-8AF2-2A1653419F70}">
      <dgm:prSet phldrT="[Text]"/>
      <dgm:spPr/>
      <dgm:t>
        <a:bodyPr/>
        <a:lstStyle/>
        <a:p>
          <a:r>
            <a:rPr lang="en-US"/>
            <a:t>Developing professional behaviour</a:t>
          </a:r>
        </a:p>
      </dgm:t>
    </dgm:pt>
    <dgm:pt modelId="{1E6ECF42-ED94-4045-8861-0A8D6CDEF0C3}" type="parTrans" cxnId="{9B867ED4-EF0F-CD4F-8A0B-781D6E7B55B2}">
      <dgm:prSet/>
      <dgm:spPr/>
      <dgm:t>
        <a:bodyPr/>
        <a:lstStyle/>
        <a:p>
          <a:endParaRPr lang="en-US"/>
        </a:p>
      </dgm:t>
    </dgm:pt>
    <dgm:pt modelId="{4C6D52E7-4C66-9C49-B910-FA497895AD0E}" type="sibTrans" cxnId="{9B867ED4-EF0F-CD4F-8A0B-781D6E7B55B2}">
      <dgm:prSet/>
      <dgm:spPr/>
      <dgm:t>
        <a:bodyPr/>
        <a:lstStyle/>
        <a:p>
          <a:endParaRPr lang="en-US"/>
        </a:p>
      </dgm:t>
    </dgm:pt>
    <dgm:pt modelId="{9A7B7B74-D431-FD4C-88D5-50C1CD367C16}">
      <dgm:prSet phldrT="[Text]"/>
      <dgm:spPr/>
      <dgm:t>
        <a:bodyPr/>
        <a:lstStyle/>
        <a:p>
          <a:r>
            <a:rPr lang="en-US"/>
            <a:t>Across curricula</a:t>
          </a:r>
        </a:p>
      </dgm:t>
    </dgm:pt>
    <dgm:pt modelId="{41CFB15A-0426-D844-ADAD-0532F2CABC53}" type="parTrans" cxnId="{89A47A83-8D6B-4A48-A7C9-C902E4F0AEFD}">
      <dgm:prSet/>
      <dgm:spPr/>
      <dgm:t>
        <a:bodyPr/>
        <a:lstStyle/>
        <a:p>
          <a:endParaRPr lang="en-US"/>
        </a:p>
      </dgm:t>
    </dgm:pt>
    <dgm:pt modelId="{E659F4E2-FA4B-ED48-9FDF-C5417300730C}" type="sibTrans" cxnId="{89A47A83-8D6B-4A48-A7C9-C902E4F0AEFD}">
      <dgm:prSet/>
      <dgm:spPr/>
      <dgm:t>
        <a:bodyPr/>
        <a:lstStyle/>
        <a:p>
          <a:endParaRPr lang="en-US"/>
        </a:p>
      </dgm:t>
    </dgm:pt>
    <dgm:pt modelId="{1E5E8FAF-2BF1-5440-8A31-E97A3F69191E}">
      <dgm:prSet phldrT="[Text]"/>
      <dgm:spPr/>
      <dgm:t>
        <a:bodyPr/>
        <a:lstStyle/>
        <a:p>
          <a:r>
            <a:rPr lang="en-US"/>
            <a:t>Holistic (Not just mannequin fully immersive)</a:t>
          </a:r>
        </a:p>
      </dgm:t>
    </dgm:pt>
    <dgm:pt modelId="{05E25329-29E1-3542-A421-A54273182A71}" type="parTrans" cxnId="{757FAFDD-4014-F642-BB21-99D13F40A28A}">
      <dgm:prSet/>
      <dgm:spPr/>
      <dgm:t>
        <a:bodyPr/>
        <a:lstStyle/>
        <a:p>
          <a:endParaRPr lang="en-US"/>
        </a:p>
      </dgm:t>
    </dgm:pt>
    <dgm:pt modelId="{30DFAEC3-973F-874A-BA8F-73BCA987E937}" type="sibTrans" cxnId="{757FAFDD-4014-F642-BB21-99D13F40A28A}">
      <dgm:prSet/>
      <dgm:spPr/>
      <dgm:t>
        <a:bodyPr/>
        <a:lstStyle/>
        <a:p>
          <a:endParaRPr lang="en-US"/>
        </a:p>
      </dgm:t>
    </dgm:pt>
    <dgm:pt modelId="{7ABF219A-9248-E94D-9EBF-EE1BC62C6B90}" type="pres">
      <dgm:prSet presAssocID="{236CF3A9-87C1-734F-B8B8-CAA90A8F0899}" presName="hierChild1" presStyleCnt="0">
        <dgm:presLayoutVars>
          <dgm:chPref val="1"/>
          <dgm:dir/>
          <dgm:animOne val="branch"/>
          <dgm:animLvl val="lvl"/>
          <dgm:resizeHandles/>
        </dgm:presLayoutVars>
      </dgm:prSet>
      <dgm:spPr/>
    </dgm:pt>
    <dgm:pt modelId="{DC3CDFE1-CAA7-B24E-964B-F6248681EA1F}" type="pres">
      <dgm:prSet presAssocID="{A6C08A88-A883-6D45-B3F6-CF09B2752C12}" presName="hierRoot1" presStyleCnt="0"/>
      <dgm:spPr/>
    </dgm:pt>
    <dgm:pt modelId="{1E5746C7-72CD-2047-945B-5E9224FFD7A3}" type="pres">
      <dgm:prSet presAssocID="{A6C08A88-A883-6D45-B3F6-CF09B2752C12}" presName="composite" presStyleCnt="0"/>
      <dgm:spPr/>
    </dgm:pt>
    <dgm:pt modelId="{33B571D5-2D92-3A4F-A404-668EA488AF60}" type="pres">
      <dgm:prSet presAssocID="{A6C08A88-A883-6D45-B3F6-CF09B2752C12}" presName="background" presStyleLbl="node0" presStyleIdx="0" presStyleCnt="1"/>
      <dgm:spPr/>
    </dgm:pt>
    <dgm:pt modelId="{A0ADDB52-D2B0-384E-82C0-994E64740E1D}" type="pres">
      <dgm:prSet presAssocID="{A6C08A88-A883-6D45-B3F6-CF09B2752C12}" presName="text" presStyleLbl="fgAcc0" presStyleIdx="0" presStyleCnt="1" custScaleX="153801" custScaleY="143981" custLinFactY="-100000" custLinFactNeighborY="-186713">
        <dgm:presLayoutVars>
          <dgm:chPref val="3"/>
        </dgm:presLayoutVars>
      </dgm:prSet>
      <dgm:spPr/>
    </dgm:pt>
    <dgm:pt modelId="{134F1387-C7D4-DD45-AC91-59BACB6E9475}" type="pres">
      <dgm:prSet presAssocID="{A6C08A88-A883-6D45-B3F6-CF09B2752C12}" presName="hierChild2" presStyleCnt="0"/>
      <dgm:spPr/>
    </dgm:pt>
    <dgm:pt modelId="{F3178C38-D06E-5847-9421-080EFA395369}" type="pres">
      <dgm:prSet presAssocID="{D6BDF180-384A-7F44-8E04-6564090E764D}" presName="Name10" presStyleLbl="parChTrans1D2" presStyleIdx="0" presStyleCnt="4"/>
      <dgm:spPr/>
    </dgm:pt>
    <dgm:pt modelId="{F9684E92-271F-3C48-AD5F-BC3987C924E2}" type="pres">
      <dgm:prSet presAssocID="{29386D07-B364-CE46-81BB-BF1719A7906C}" presName="hierRoot2" presStyleCnt="0"/>
      <dgm:spPr/>
    </dgm:pt>
    <dgm:pt modelId="{9404F49B-42D8-864B-B98A-1EFE5051F5B2}" type="pres">
      <dgm:prSet presAssocID="{29386D07-B364-CE46-81BB-BF1719A7906C}" presName="composite2" presStyleCnt="0"/>
      <dgm:spPr/>
    </dgm:pt>
    <dgm:pt modelId="{CB7F5685-82A4-0848-9841-721596122225}" type="pres">
      <dgm:prSet presAssocID="{29386D07-B364-CE46-81BB-BF1719A7906C}" presName="background2" presStyleLbl="node2" presStyleIdx="0" presStyleCnt="4"/>
      <dgm:spPr/>
    </dgm:pt>
    <dgm:pt modelId="{43CBF0A2-FCE8-CC4D-B269-8396BF0828F2}" type="pres">
      <dgm:prSet presAssocID="{29386D07-B364-CE46-81BB-BF1719A7906C}" presName="text2" presStyleLbl="fgAcc2" presStyleIdx="0" presStyleCnt="4" custLinFactY="-100000" custLinFactNeighborX="-53994" custLinFactNeighborY="-109024">
        <dgm:presLayoutVars>
          <dgm:chPref val="3"/>
        </dgm:presLayoutVars>
      </dgm:prSet>
      <dgm:spPr/>
    </dgm:pt>
    <dgm:pt modelId="{88DA26CD-BCBC-DF45-8080-3A94301EE851}" type="pres">
      <dgm:prSet presAssocID="{29386D07-B364-CE46-81BB-BF1719A7906C}" presName="hierChild3" presStyleCnt="0"/>
      <dgm:spPr/>
    </dgm:pt>
    <dgm:pt modelId="{10C869F0-FA52-D34F-9BAD-0166FA9FDC14}" type="pres">
      <dgm:prSet presAssocID="{0D4AECB0-52D6-5E44-B8CE-8448DCD43A22}" presName="Name10" presStyleLbl="parChTrans1D2" presStyleIdx="1" presStyleCnt="4"/>
      <dgm:spPr/>
    </dgm:pt>
    <dgm:pt modelId="{C5B59BDB-FA97-E549-B82A-43C694152EAD}" type="pres">
      <dgm:prSet presAssocID="{E68B0516-1D74-1D43-92D4-FC1225B74916}" presName="hierRoot2" presStyleCnt="0"/>
      <dgm:spPr/>
    </dgm:pt>
    <dgm:pt modelId="{15793B0F-BBD4-6A42-A364-030D3281AFDF}" type="pres">
      <dgm:prSet presAssocID="{E68B0516-1D74-1D43-92D4-FC1225B74916}" presName="composite2" presStyleCnt="0"/>
      <dgm:spPr/>
    </dgm:pt>
    <dgm:pt modelId="{A781263A-1457-C449-99CE-9C00A896A485}" type="pres">
      <dgm:prSet presAssocID="{E68B0516-1D74-1D43-92D4-FC1225B74916}" presName="background2" presStyleLbl="node2" presStyleIdx="1" presStyleCnt="4"/>
      <dgm:spPr/>
    </dgm:pt>
    <dgm:pt modelId="{47F5A5B2-AE8F-CB45-B128-23BB8667F393}" type="pres">
      <dgm:prSet presAssocID="{E68B0516-1D74-1D43-92D4-FC1225B74916}" presName="text2" presStyleLbl="fgAcc2" presStyleIdx="1" presStyleCnt="4" custLinFactY="-100000" custLinFactNeighborY="-109024">
        <dgm:presLayoutVars>
          <dgm:chPref val="3"/>
        </dgm:presLayoutVars>
      </dgm:prSet>
      <dgm:spPr/>
    </dgm:pt>
    <dgm:pt modelId="{4498FD3C-EF4E-DA44-BCF9-BF3F6D420F7E}" type="pres">
      <dgm:prSet presAssocID="{E68B0516-1D74-1D43-92D4-FC1225B74916}" presName="hierChild3" presStyleCnt="0"/>
      <dgm:spPr/>
    </dgm:pt>
    <dgm:pt modelId="{4A1434B0-1121-D847-BA1C-FA663E050A04}" type="pres">
      <dgm:prSet presAssocID="{FD11CC0F-DBAF-8A44-8F0C-33C487444478}" presName="Name10" presStyleLbl="parChTrans1D2" presStyleIdx="2" presStyleCnt="4"/>
      <dgm:spPr/>
    </dgm:pt>
    <dgm:pt modelId="{FA89512B-96B9-694F-925A-DBF425A3F2AE}" type="pres">
      <dgm:prSet presAssocID="{E6424CDB-769A-C643-8395-ABA1D8C4A64D}" presName="hierRoot2" presStyleCnt="0"/>
      <dgm:spPr/>
    </dgm:pt>
    <dgm:pt modelId="{5E7231D7-750B-C043-A763-C16198927E23}" type="pres">
      <dgm:prSet presAssocID="{E6424CDB-769A-C643-8395-ABA1D8C4A64D}" presName="composite2" presStyleCnt="0"/>
      <dgm:spPr/>
    </dgm:pt>
    <dgm:pt modelId="{EDCFE199-596D-8B4A-B39E-1E79B9DA2F3E}" type="pres">
      <dgm:prSet presAssocID="{E6424CDB-769A-C643-8395-ABA1D8C4A64D}" presName="background2" presStyleLbl="node2" presStyleIdx="2" presStyleCnt="4"/>
      <dgm:spPr/>
    </dgm:pt>
    <dgm:pt modelId="{A723995F-A0F4-FC47-8634-B8B0083E8E3C}" type="pres">
      <dgm:prSet presAssocID="{E6424CDB-769A-C643-8395-ABA1D8C4A64D}" presName="text2" presStyleLbl="fgAcc2" presStyleIdx="2" presStyleCnt="4" custLinFactY="-100000" custLinFactNeighborX="47215" custLinFactNeighborY="-109024">
        <dgm:presLayoutVars>
          <dgm:chPref val="3"/>
        </dgm:presLayoutVars>
      </dgm:prSet>
      <dgm:spPr/>
    </dgm:pt>
    <dgm:pt modelId="{A9A07F53-2241-1243-AE30-87FA96C6E359}" type="pres">
      <dgm:prSet presAssocID="{E6424CDB-769A-C643-8395-ABA1D8C4A64D}" presName="hierChild3" presStyleCnt="0"/>
      <dgm:spPr/>
    </dgm:pt>
    <dgm:pt modelId="{6E1A4C70-B2B4-1D48-B71E-5C1E545487BB}" type="pres">
      <dgm:prSet presAssocID="{B1CBDDCA-C539-9549-8ACB-794FD570A012}" presName="Name10" presStyleLbl="parChTrans1D2" presStyleIdx="3" presStyleCnt="4"/>
      <dgm:spPr/>
    </dgm:pt>
    <dgm:pt modelId="{3C6DB9DB-E65D-F547-945D-B5AFC79A898B}" type="pres">
      <dgm:prSet presAssocID="{AA748E67-5F0F-664B-863E-65C3C64BDD5C}" presName="hierRoot2" presStyleCnt="0"/>
      <dgm:spPr/>
    </dgm:pt>
    <dgm:pt modelId="{3B170C92-3B63-CB41-8E82-FBF4A630D4EB}" type="pres">
      <dgm:prSet presAssocID="{AA748E67-5F0F-664B-863E-65C3C64BDD5C}" presName="composite2" presStyleCnt="0"/>
      <dgm:spPr/>
    </dgm:pt>
    <dgm:pt modelId="{0A745CD2-3087-2341-B5E8-D23539E631F3}" type="pres">
      <dgm:prSet presAssocID="{AA748E67-5F0F-664B-863E-65C3C64BDD5C}" presName="background2" presStyleLbl="node2" presStyleIdx="3" presStyleCnt="4"/>
      <dgm:spPr/>
    </dgm:pt>
    <dgm:pt modelId="{D9F14714-8FAE-5444-9ABA-D84DEB831012}" type="pres">
      <dgm:prSet presAssocID="{AA748E67-5F0F-664B-863E-65C3C64BDD5C}" presName="text2" presStyleLbl="fgAcc2" presStyleIdx="3" presStyleCnt="4" custLinFactY="-100000" custLinFactNeighborX="98303" custLinFactNeighborY="-109024">
        <dgm:presLayoutVars>
          <dgm:chPref val="3"/>
        </dgm:presLayoutVars>
      </dgm:prSet>
      <dgm:spPr/>
    </dgm:pt>
    <dgm:pt modelId="{9108746D-60CA-7840-868C-FC7714763FB3}" type="pres">
      <dgm:prSet presAssocID="{AA748E67-5F0F-664B-863E-65C3C64BDD5C}" presName="hierChild3" presStyleCnt="0"/>
      <dgm:spPr/>
    </dgm:pt>
    <dgm:pt modelId="{E7F8CA02-B61F-4245-8311-5680EA767999}" type="pres">
      <dgm:prSet presAssocID="{25F4778D-0701-264F-8585-179BAB3D04A4}" presName="Name17" presStyleLbl="parChTrans1D3" presStyleIdx="0" presStyleCnt="3"/>
      <dgm:spPr/>
    </dgm:pt>
    <dgm:pt modelId="{26D11205-8187-2A48-96B7-817D03490577}" type="pres">
      <dgm:prSet presAssocID="{8C7C4C0F-E750-6846-87A9-E68FBCDB1435}" presName="hierRoot3" presStyleCnt="0"/>
      <dgm:spPr/>
    </dgm:pt>
    <dgm:pt modelId="{3D7DAAEA-74DE-454A-91AE-972D3DA6BF65}" type="pres">
      <dgm:prSet presAssocID="{8C7C4C0F-E750-6846-87A9-E68FBCDB1435}" presName="composite3" presStyleCnt="0"/>
      <dgm:spPr/>
    </dgm:pt>
    <dgm:pt modelId="{2DD52476-EDE3-B34E-940F-5362B9A0AFAB}" type="pres">
      <dgm:prSet presAssocID="{8C7C4C0F-E750-6846-87A9-E68FBCDB1435}" presName="background3" presStyleLbl="node3" presStyleIdx="0" presStyleCnt="3"/>
      <dgm:spPr/>
    </dgm:pt>
    <dgm:pt modelId="{DE5A4D00-BC72-994C-9772-ABDBE7617AED}" type="pres">
      <dgm:prSet presAssocID="{8C7C4C0F-E750-6846-87A9-E68FBCDB1435}" presName="text3" presStyleLbl="fgAcc3" presStyleIdx="0" presStyleCnt="3">
        <dgm:presLayoutVars>
          <dgm:chPref val="3"/>
        </dgm:presLayoutVars>
      </dgm:prSet>
      <dgm:spPr/>
    </dgm:pt>
    <dgm:pt modelId="{EA33E0F8-6D83-4342-BA0C-6F6A25427906}" type="pres">
      <dgm:prSet presAssocID="{8C7C4C0F-E750-6846-87A9-E68FBCDB1435}" presName="hierChild4" presStyleCnt="0"/>
      <dgm:spPr/>
    </dgm:pt>
    <dgm:pt modelId="{277B5141-6FC8-D043-BF7F-88B9DC2666F3}" type="pres">
      <dgm:prSet presAssocID="{F056AEE6-2C25-104C-B2C6-61CA2976D8EC}" presName="Name23" presStyleLbl="parChTrans1D4" presStyleIdx="0" presStyleCnt="30"/>
      <dgm:spPr/>
    </dgm:pt>
    <dgm:pt modelId="{4D979A39-A6B5-7E45-8F1E-1E44828C11B9}" type="pres">
      <dgm:prSet presAssocID="{1F2B1A0A-A5BF-334C-8D71-3C539D489282}" presName="hierRoot4" presStyleCnt="0"/>
      <dgm:spPr/>
    </dgm:pt>
    <dgm:pt modelId="{D93EF816-701E-544D-8CC4-ED35ACF6FDF8}" type="pres">
      <dgm:prSet presAssocID="{1F2B1A0A-A5BF-334C-8D71-3C539D489282}" presName="composite4" presStyleCnt="0"/>
      <dgm:spPr/>
    </dgm:pt>
    <dgm:pt modelId="{A87AE81A-22E3-5748-91F7-8B4C38F7670C}" type="pres">
      <dgm:prSet presAssocID="{1F2B1A0A-A5BF-334C-8D71-3C539D489282}" presName="background4" presStyleLbl="node4" presStyleIdx="0" presStyleCnt="30"/>
      <dgm:spPr/>
    </dgm:pt>
    <dgm:pt modelId="{D247BFE0-EDB5-5041-A103-8CBD2FE1778F}" type="pres">
      <dgm:prSet presAssocID="{1F2B1A0A-A5BF-334C-8D71-3C539D489282}" presName="text4" presStyleLbl="fgAcc4" presStyleIdx="0" presStyleCnt="30">
        <dgm:presLayoutVars>
          <dgm:chPref val="3"/>
        </dgm:presLayoutVars>
      </dgm:prSet>
      <dgm:spPr/>
    </dgm:pt>
    <dgm:pt modelId="{B55EE975-9E7B-7646-BF9E-8C955A81D53C}" type="pres">
      <dgm:prSet presAssocID="{1F2B1A0A-A5BF-334C-8D71-3C539D489282}" presName="hierChild5" presStyleCnt="0"/>
      <dgm:spPr/>
    </dgm:pt>
    <dgm:pt modelId="{622F9E63-EA4E-C145-9772-3544808057FB}" type="pres">
      <dgm:prSet presAssocID="{BAF1B431-471A-5D43-8762-4F13484BD4CD}" presName="Name23" presStyleLbl="parChTrans1D4" presStyleIdx="1" presStyleCnt="30"/>
      <dgm:spPr/>
    </dgm:pt>
    <dgm:pt modelId="{A20AAF40-4E89-0E44-9577-95AB1D161591}" type="pres">
      <dgm:prSet presAssocID="{377214CF-1F4D-6E4B-B22A-48B2AE33C3C6}" presName="hierRoot4" presStyleCnt="0"/>
      <dgm:spPr/>
    </dgm:pt>
    <dgm:pt modelId="{0566DC9C-8551-4A42-BE7B-F0C18FA1BE44}" type="pres">
      <dgm:prSet presAssocID="{377214CF-1F4D-6E4B-B22A-48B2AE33C3C6}" presName="composite4" presStyleCnt="0"/>
      <dgm:spPr/>
    </dgm:pt>
    <dgm:pt modelId="{7BB51D3C-4141-4E4B-8B4F-DBAF2D54AD18}" type="pres">
      <dgm:prSet presAssocID="{377214CF-1F4D-6E4B-B22A-48B2AE33C3C6}" presName="background4" presStyleLbl="node4" presStyleIdx="1" presStyleCnt="30"/>
      <dgm:spPr/>
    </dgm:pt>
    <dgm:pt modelId="{250460E6-71C5-0747-9350-06724D88639C}" type="pres">
      <dgm:prSet presAssocID="{377214CF-1F4D-6E4B-B22A-48B2AE33C3C6}" presName="text4" presStyleLbl="fgAcc4" presStyleIdx="1" presStyleCnt="30">
        <dgm:presLayoutVars>
          <dgm:chPref val="3"/>
        </dgm:presLayoutVars>
      </dgm:prSet>
      <dgm:spPr/>
    </dgm:pt>
    <dgm:pt modelId="{DCA1BFA9-C560-5D48-BCD2-53D94EA41416}" type="pres">
      <dgm:prSet presAssocID="{377214CF-1F4D-6E4B-B22A-48B2AE33C3C6}" presName="hierChild5" presStyleCnt="0"/>
      <dgm:spPr/>
    </dgm:pt>
    <dgm:pt modelId="{E5B11808-0A27-7A47-8993-DEB702565B3A}" type="pres">
      <dgm:prSet presAssocID="{09283FE2-7FED-0E49-B39E-F62EFBB255C0}" presName="Name23" presStyleLbl="parChTrans1D4" presStyleIdx="2" presStyleCnt="30"/>
      <dgm:spPr/>
    </dgm:pt>
    <dgm:pt modelId="{3A4B944E-0709-B24A-81F0-BF85EB5EA198}" type="pres">
      <dgm:prSet presAssocID="{393AB9E2-01D5-C34B-93B7-38500C0B6B14}" presName="hierRoot4" presStyleCnt="0"/>
      <dgm:spPr/>
    </dgm:pt>
    <dgm:pt modelId="{E4091B62-BCC6-B443-AC77-A8D17B6A0250}" type="pres">
      <dgm:prSet presAssocID="{393AB9E2-01D5-C34B-93B7-38500C0B6B14}" presName="composite4" presStyleCnt="0"/>
      <dgm:spPr/>
    </dgm:pt>
    <dgm:pt modelId="{6B941642-6217-4446-A9C8-8D30A486D75D}" type="pres">
      <dgm:prSet presAssocID="{393AB9E2-01D5-C34B-93B7-38500C0B6B14}" presName="background4" presStyleLbl="node4" presStyleIdx="2" presStyleCnt="30"/>
      <dgm:spPr/>
    </dgm:pt>
    <dgm:pt modelId="{93814C58-A31F-314C-BF29-334781E199D6}" type="pres">
      <dgm:prSet presAssocID="{393AB9E2-01D5-C34B-93B7-38500C0B6B14}" presName="text4" presStyleLbl="fgAcc4" presStyleIdx="2" presStyleCnt="30" custScaleY="293024">
        <dgm:presLayoutVars>
          <dgm:chPref val="3"/>
        </dgm:presLayoutVars>
      </dgm:prSet>
      <dgm:spPr/>
    </dgm:pt>
    <dgm:pt modelId="{AA09993D-52D7-0B4E-8F42-96E0504043B2}" type="pres">
      <dgm:prSet presAssocID="{393AB9E2-01D5-C34B-93B7-38500C0B6B14}" presName="hierChild5" presStyleCnt="0"/>
      <dgm:spPr/>
    </dgm:pt>
    <dgm:pt modelId="{FD57A6D8-FB23-914B-AA19-BE321CC6CAC4}" type="pres">
      <dgm:prSet presAssocID="{1A9DCF06-2D1D-BF40-BE75-EC0486056D9C}" presName="Name23" presStyleLbl="parChTrans1D4" presStyleIdx="3" presStyleCnt="30"/>
      <dgm:spPr/>
    </dgm:pt>
    <dgm:pt modelId="{9180221F-D1BE-044A-971B-EB5BE2D55433}" type="pres">
      <dgm:prSet presAssocID="{8369DE55-13C0-8041-9CE0-626BEC91281E}" presName="hierRoot4" presStyleCnt="0"/>
      <dgm:spPr/>
    </dgm:pt>
    <dgm:pt modelId="{93EDF83A-E012-E144-8C83-DF30ECF53877}" type="pres">
      <dgm:prSet presAssocID="{8369DE55-13C0-8041-9CE0-626BEC91281E}" presName="composite4" presStyleCnt="0"/>
      <dgm:spPr/>
    </dgm:pt>
    <dgm:pt modelId="{0F2C38CA-31AD-9444-91B9-5B4E44C6D13E}" type="pres">
      <dgm:prSet presAssocID="{8369DE55-13C0-8041-9CE0-626BEC91281E}" presName="background4" presStyleLbl="node4" presStyleIdx="3" presStyleCnt="30"/>
      <dgm:spPr/>
    </dgm:pt>
    <dgm:pt modelId="{A8180F07-1629-2840-AB3E-ACDE12A2D907}" type="pres">
      <dgm:prSet presAssocID="{8369DE55-13C0-8041-9CE0-626BEC91281E}" presName="text4" presStyleLbl="fgAcc4" presStyleIdx="3" presStyleCnt="30">
        <dgm:presLayoutVars>
          <dgm:chPref val="3"/>
        </dgm:presLayoutVars>
      </dgm:prSet>
      <dgm:spPr/>
    </dgm:pt>
    <dgm:pt modelId="{4733BCD1-41E0-6C4C-BBBB-C40FA4191CDE}" type="pres">
      <dgm:prSet presAssocID="{8369DE55-13C0-8041-9CE0-626BEC91281E}" presName="hierChild5" presStyleCnt="0"/>
      <dgm:spPr/>
    </dgm:pt>
    <dgm:pt modelId="{84527758-E3C5-9A47-A57F-17E78C635B92}" type="pres">
      <dgm:prSet presAssocID="{78CCD0FC-3EC4-BB41-8355-24F76A14AA98}" presName="Name17" presStyleLbl="parChTrans1D3" presStyleIdx="1" presStyleCnt="3"/>
      <dgm:spPr/>
    </dgm:pt>
    <dgm:pt modelId="{E21B4ED3-A85A-FF4A-8A3C-771C0A469B4B}" type="pres">
      <dgm:prSet presAssocID="{2DCFC89C-592D-DB45-A08B-24C3B00EFECA}" presName="hierRoot3" presStyleCnt="0"/>
      <dgm:spPr/>
    </dgm:pt>
    <dgm:pt modelId="{A30291B8-154E-9F4B-9A26-7916229DADF1}" type="pres">
      <dgm:prSet presAssocID="{2DCFC89C-592D-DB45-A08B-24C3B00EFECA}" presName="composite3" presStyleCnt="0"/>
      <dgm:spPr/>
    </dgm:pt>
    <dgm:pt modelId="{13807187-D93F-F34F-8016-B82071B02F65}" type="pres">
      <dgm:prSet presAssocID="{2DCFC89C-592D-DB45-A08B-24C3B00EFECA}" presName="background3" presStyleLbl="node3" presStyleIdx="1" presStyleCnt="3"/>
      <dgm:spPr/>
    </dgm:pt>
    <dgm:pt modelId="{050A7080-8123-3D40-A3B5-4D98F5683191}" type="pres">
      <dgm:prSet presAssocID="{2DCFC89C-592D-DB45-A08B-24C3B00EFECA}" presName="text3" presStyleLbl="fgAcc3" presStyleIdx="1" presStyleCnt="3">
        <dgm:presLayoutVars>
          <dgm:chPref val="3"/>
        </dgm:presLayoutVars>
      </dgm:prSet>
      <dgm:spPr/>
    </dgm:pt>
    <dgm:pt modelId="{BA4041C3-A99E-384D-9E3C-B96092A3DC12}" type="pres">
      <dgm:prSet presAssocID="{2DCFC89C-592D-DB45-A08B-24C3B00EFECA}" presName="hierChild4" presStyleCnt="0"/>
      <dgm:spPr/>
    </dgm:pt>
    <dgm:pt modelId="{6DF75C5B-53FB-4D40-9B02-80CDA1A7DB97}" type="pres">
      <dgm:prSet presAssocID="{3B183194-28A4-764F-9AE0-B0EADE6A4610}" presName="Name23" presStyleLbl="parChTrans1D4" presStyleIdx="4" presStyleCnt="30"/>
      <dgm:spPr/>
    </dgm:pt>
    <dgm:pt modelId="{D3F8CD97-A5E9-0F48-8681-6E45F3E8F900}" type="pres">
      <dgm:prSet presAssocID="{ACB8277B-8273-D24C-BD5F-95C816675508}" presName="hierRoot4" presStyleCnt="0"/>
      <dgm:spPr/>
    </dgm:pt>
    <dgm:pt modelId="{9BFF9D3B-1724-BF4D-9210-5DB5A42D1B40}" type="pres">
      <dgm:prSet presAssocID="{ACB8277B-8273-D24C-BD5F-95C816675508}" presName="composite4" presStyleCnt="0"/>
      <dgm:spPr/>
    </dgm:pt>
    <dgm:pt modelId="{7454AFF7-395F-ED4B-841F-C517E6997970}" type="pres">
      <dgm:prSet presAssocID="{ACB8277B-8273-D24C-BD5F-95C816675508}" presName="background4" presStyleLbl="node4" presStyleIdx="4" presStyleCnt="30"/>
      <dgm:spPr/>
    </dgm:pt>
    <dgm:pt modelId="{C4CD8C67-A7E0-254E-A87A-B8EAC1766537}" type="pres">
      <dgm:prSet presAssocID="{ACB8277B-8273-D24C-BD5F-95C816675508}" presName="text4" presStyleLbl="fgAcc4" presStyleIdx="4" presStyleCnt="30">
        <dgm:presLayoutVars>
          <dgm:chPref val="3"/>
        </dgm:presLayoutVars>
      </dgm:prSet>
      <dgm:spPr/>
    </dgm:pt>
    <dgm:pt modelId="{25AB4A46-0D96-3C42-B274-15E2A053A2ED}" type="pres">
      <dgm:prSet presAssocID="{ACB8277B-8273-D24C-BD5F-95C816675508}" presName="hierChild5" presStyleCnt="0"/>
      <dgm:spPr/>
    </dgm:pt>
    <dgm:pt modelId="{2B5FB1E7-ED4A-8447-8463-10B37E8A9D00}" type="pres">
      <dgm:prSet presAssocID="{08C8CDE7-5A77-E249-91BE-73BF67509CA4}" presName="Name23" presStyleLbl="parChTrans1D4" presStyleIdx="5" presStyleCnt="30"/>
      <dgm:spPr/>
    </dgm:pt>
    <dgm:pt modelId="{3C161EAB-DC77-C94F-9D32-EEC06AD305FA}" type="pres">
      <dgm:prSet presAssocID="{163449A1-FAF0-274E-A022-D1FCD404F5C4}" presName="hierRoot4" presStyleCnt="0"/>
      <dgm:spPr/>
    </dgm:pt>
    <dgm:pt modelId="{717B9426-C000-4244-AB8F-A57D56F3F5FA}" type="pres">
      <dgm:prSet presAssocID="{163449A1-FAF0-274E-A022-D1FCD404F5C4}" presName="composite4" presStyleCnt="0"/>
      <dgm:spPr/>
    </dgm:pt>
    <dgm:pt modelId="{D312F135-465A-6244-A368-7BC7D05FB63D}" type="pres">
      <dgm:prSet presAssocID="{163449A1-FAF0-274E-A022-D1FCD404F5C4}" presName="background4" presStyleLbl="node4" presStyleIdx="5" presStyleCnt="30"/>
      <dgm:spPr/>
    </dgm:pt>
    <dgm:pt modelId="{73E1E7A1-A84F-594F-B068-9350AFA0DABE}" type="pres">
      <dgm:prSet presAssocID="{163449A1-FAF0-274E-A022-D1FCD404F5C4}" presName="text4" presStyleLbl="fgAcc4" presStyleIdx="5" presStyleCnt="30">
        <dgm:presLayoutVars>
          <dgm:chPref val="3"/>
        </dgm:presLayoutVars>
      </dgm:prSet>
      <dgm:spPr/>
    </dgm:pt>
    <dgm:pt modelId="{806428E7-B7D6-3944-B801-B42D234B5FDC}" type="pres">
      <dgm:prSet presAssocID="{163449A1-FAF0-274E-A022-D1FCD404F5C4}" presName="hierChild5" presStyleCnt="0"/>
      <dgm:spPr/>
    </dgm:pt>
    <dgm:pt modelId="{85E6BDB5-4875-4E4C-B024-61B00C2D4C00}" type="pres">
      <dgm:prSet presAssocID="{0E37AD4E-20F4-524F-990C-87BA9524D294}" presName="Name23" presStyleLbl="parChTrans1D4" presStyleIdx="6" presStyleCnt="30"/>
      <dgm:spPr/>
    </dgm:pt>
    <dgm:pt modelId="{75F063C5-8E8D-8345-859D-46FC377F5602}" type="pres">
      <dgm:prSet presAssocID="{33411687-78A4-BC42-B739-43B2871D1368}" presName="hierRoot4" presStyleCnt="0"/>
      <dgm:spPr/>
    </dgm:pt>
    <dgm:pt modelId="{91F55BAF-C3A1-7643-AF68-726343F1A684}" type="pres">
      <dgm:prSet presAssocID="{33411687-78A4-BC42-B739-43B2871D1368}" presName="composite4" presStyleCnt="0"/>
      <dgm:spPr/>
    </dgm:pt>
    <dgm:pt modelId="{B8525475-7ECF-0F4B-A606-8939C5057BF4}" type="pres">
      <dgm:prSet presAssocID="{33411687-78A4-BC42-B739-43B2871D1368}" presName="background4" presStyleLbl="node4" presStyleIdx="6" presStyleCnt="30"/>
      <dgm:spPr/>
    </dgm:pt>
    <dgm:pt modelId="{1E1DF760-9176-5047-81B2-9546D1E097F3}" type="pres">
      <dgm:prSet presAssocID="{33411687-78A4-BC42-B739-43B2871D1368}" presName="text4" presStyleLbl="fgAcc4" presStyleIdx="6" presStyleCnt="30">
        <dgm:presLayoutVars>
          <dgm:chPref val="3"/>
        </dgm:presLayoutVars>
      </dgm:prSet>
      <dgm:spPr/>
    </dgm:pt>
    <dgm:pt modelId="{EC4492AD-2914-7846-9B87-32EB6E86B305}" type="pres">
      <dgm:prSet presAssocID="{33411687-78A4-BC42-B739-43B2871D1368}" presName="hierChild5" presStyleCnt="0"/>
      <dgm:spPr/>
    </dgm:pt>
    <dgm:pt modelId="{9A78526E-DBBB-8746-9A2E-858EB5300ED7}" type="pres">
      <dgm:prSet presAssocID="{84F54D38-E23B-B24F-A42C-A6E5DFB3EEB5}" presName="Name23" presStyleLbl="parChTrans1D4" presStyleIdx="7" presStyleCnt="30"/>
      <dgm:spPr/>
    </dgm:pt>
    <dgm:pt modelId="{25646E9E-3296-C144-B328-6CB0180B7537}" type="pres">
      <dgm:prSet presAssocID="{679817FC-FAA9-3B4B-B1F7-7909CC200FF6}" presName="hierRoot4" presStyleCnt="0"/>
      <dgm:spPr/>
    </dgm:pt>
    <dgm:pt modelId="{DC6AAFBD-4892-7C4C-B305-D74742A78D5B}" type="pres">
      <dgm:prSet presAssocID="{679817FC-FAA9-3B4B-B1F7-7909CC200FF6}" presName="composite4" presStyleCnt="0"/>
      <dgm:spPr/>
    </dgm:pt>
    <dgm:pt modelId="{EFB16132-CA2C-1B4E-9F87-125725F4B1E9}" type="pres">
      <dgm:prSet presAssocID="{679817FC-FAA9-3B4B-B1F7-7909CC200FF6}" presName="background4" presStyleLbl="node4" presStyleIdx="7" presStyleCnt="30"/>
      <dgm:spPr/>
    </dgm:pt>
    <dgm:pt modelId="{0BFACD97-1378-F34C-A714-58D68F7803BD}" type="pres">
      <dgm:prSet presAssocID="{679817FC-FAA9-3B4B-B1F7-7909CC200FF6}" presName="text4" presStyleLbl="fgAcc4" presStyleIdx="7" presStyleCnt="30" custScaleX="110336" custScaleY="192601">
        <dgm:presLayoutVars>
          <dgm:chPref val="3"/>
        </dgm:presLayoutVars>
      </dgm:prSet>
      <dgm:spPr/>
    </dgm:pt>
    <dgm:pt modelId="{5A4823B4-7CA6-AB4E-8472-3A4C1ABCBD50}" type="pres">
      <dgm:prSet presAssocID="{679817FC-FAA9-3B4B-B1F7-7909CC200FF6}" presName="hierChild5" presStyleCnt="0"/>
      <dgm:spPr/>
    </dgm:pt>
    <dgm:pt modelId="{84D357AB-38A4-D248-AF7B-5F119D5796C3}" type="pres">
      <dgm:prSet presAssocID="{8C798D8E-DB95-D94E-B7E6-BDFD3E487826}" presName="Name23" presStyleLbl="parChTrans1D4" presStyleIdx="8" presStyleCnt="30"/>
      <dgm:spPr/>
    </dgm:pt>
    <dgm:pt modelId="{F6B21709-AC96-F240-9ED1-3B6AB3592EEA}" type="pres">
      <dgm:prSet presAssocID="{7C13EB6E-CBA6-5649-8A61-33C82DAD54D7}" presName="hierRoot4" presStyleCnt="0"/>
      <dgm:spPr/>
    </dgm:pt>
    <dgm:pt modelId="{51ADC658-419B-C742-926B-124F94391490}" type="pres">
      <dgm:prSet presAssocID="{7C13EB6E-CBA6-5649-8A61-33C82DAD54D7}" presName="composite4" presStyleCnt="0"/>
      <dgm:spPr/>
    </dgm:pt>
    <dgm:pt modelId="{E88DD3E2-D4CB-524D-87DF-8A84A6B48423}" type="pres">
      <dgm:prSet presAssocID="{7C13EB6E-CBA6-5649-8A61-33C82DAD54D7}" presName="background4" presStyleLbl="node4" presStyleIdx="8" presStyleCnt="30"/>
      <dgm:spPr/>
    </dgm:pt>
    <dgm:pt modelId="{8AA58B5C-C611-DC44-BF3C-B644BB159F81}" type="pres">
      <dgm:prSet presAssocID="{7C13EB6E-CBA6-5649-8A61-33C82DAD54D7}" presName="text4" presStyleLbl="fgAcc4" presStyleIdx="8" presStyleCnt="30" custScaleX="100654" custScaleY="335055">
        <dgm:presLayoutVars>
          <dgm:chPref val="3"/>
        </dgm:presLayoutVars>
      </dgm:prSet>
      <dgm:spPr/>
    </dgm:pt>
    <dgm:pt modelId="{BE4728A3-B10C-264D-8183-9BE9F5450CA3}" type="pres">
      <dgm:prSet presAssocID="{7C13EB6E-CBA6-5649-8A61-33C82DAD54D7}" presName="hierChild5" presStyleCnt="0"/>
      <dgm:spPr/>
    </dgm:pt>
    <dgm:pt modelId="{5801774F-EF50-F14F-8540-BF7E004DB9F1}" type="pres">
      <dgm:prSet presAssocID="{4C7621F4-0ED2-3044-BB6A-36CC669B8265}" presName="Name23" presStyleLbl="parChTrans1D4" presStyleIdx="9" presStyleCnt="30"/>
      <dgm:spPr/>
    </dgm:pt>
    <dgm:pt modelId="{69D1CCC1-CCFD-344C-894C-705D68B65475}" type="pres">
      <dgm:prSet presAssocID="{A6250743-4385-F64D-B9B5-2637FECC2EFE}" presName="hierRoot4" presStyleCnt="0"/>
      <dgm:spPr/>
    </dgm:pt>
    <dgm:pt modelId="{772DB792-6B98-FE43-9AF2-693A2104A5AD}" type="pres">
      <dgm:prSet presAssocID="{A6250743-4385-F64D-B9B5-2637FECC2EFE}" presName="composite4" presStyleCnt="0"/>
      <dgm:spPr/>
    </dgm:pt>
    <dgm:pt modelId="{12380390-2CB4-1A4A-A85B-2DF9BDF2FB79}" type="pres">
      <dgm:prSet presAssocID="{A6250743-4385-F64D-B9B5-2637FECC2EFE}" presName="background4" presStyleLbl="node4" presStyleIdx="9" presStyleCnt="30"/>
      <dgm:spPr/>
    </dgm:pt>
    <dgm:pt modelId="{6D332CB0-A360-4248-B457-1D8C7990A53C}" type="pres">
      <dgm:prSet presAssocID="{A6250743-4385-F64D-B9B5-2637FECC2EFE}" presName="text4" presStyleLbl="fgAcc4" presStyleIdx="9" presStyleCnt="30" custScaleY="197606">
        <dgm:presLayoutVars>
          <dgm:chPref val="3"/>
        </dgm:presLayoutVars>
      </dgm:prSet>
      <dgm:spPr/>
    </dgm:pt>
    <dgm:pt modelId="{C00FE43F-53F1-3649-BEB3-8D093C2FEDBC}" type="pres">
      <dgm:prSet presAssocID="{A6250743-4385-F64D-B9B5-2637FECC2EFE}" presName="hierChild5" presStyleCnt="0"/>
      <dgm:spPr/>
    </dgm:pt>
    <dgm:pt modelId="{8029C407-319D-C84C-B276-8E27BD1545EB}" type="pres">
      <dgm:prSet presAssocID="{57685BE1-F224-0C46-9BB9-A54BAC03847D}" presName="Name23" presStyleLbl="parChTrans1D4" presStyleIdx="10" presStyleCnt="30"/>
      <dgm:spPr/>
    </dgm:pt>
    <dgm:pt modelId="{9FE68C32-5E15-9344-B77D-1C6123F63E3C}" type="pres">
      <dgm:prSet presAssocID="{A609CEA0-F5E8-2C41-B155-B4C4E73D9F4C}" presName="hierRoot4" presStyleCnt="0"/>
      <dgm:spPr/>
    </dgm:pt>
    <dgm:pt modelId="{D0936BB2-511A-A940-BF91-D5BE2774B8DF}" type="pres">
      <dgm:prSet presAssocID="{A609CEA0-F5E8-2C41-B155-B4C4E73D9F4C}" presName="composite4" presStyleCnt="0"/>
      <dgm:spPr/>
    </dgm:pt>
    <dgm:pt modelId="{16912D25-513D-8246-AA9D-6CB8F07A39C2}" type="pres">
      <dgm:prSet presAssocID="{A609CEA0-F5E8-2C41-B155-B4C4E73D9F4C}" presName="background4" presStyleLbl="node4" presStyleIdx="10" presStyleCnt="30"/>
      <dgm:spPr/>
    </dgm:pt>
    <dgm:pt modelId="{5E4FACD5-77A2-AE48-85C3-B6F78B3DFE2A}" type="pres">
      <dgm:prSet presAssocID="{A609CEA0-F5E8-2C41-B155-B4C4E73D9F4C}" presName="text4" presStyleLbl="fgAcc4" presStyleIdx="10" presStyleCnt="30">
        <dgm:presLayoutVars>
          <dgm:chPref val="3"/>
        </dgm:presLayoutVars>
      </dgm:prSet>
      <dgm:spPr/>
    </dgm:pt>
    <dgm:pt modelId="{18B29F79-A764-FD46-83A2-A9EF83DBEADC}" type="pres">
      <dgm:prSet presAssocID="{A609CEA0-F5E8-2C41-B155-B4C4E73D9F4C}" presName="hierChild5" presStyleCnt="0"/>
      <dgm:spPr/>
    </dgm:pt>
    <dgm:pt modelId="{B6BA164E-7269-5945-8D1A-FF79A6176A11}" type="pres">
      <dgm:prSet presAssocID="{F995272C-1704-F548-AC60-CEE0623AAAC6}" presName="Name17" presStyleLbl="parChTrans1D3" presStyleIdx="2" presStyleCnt="3"/>
      <dgm:spPr/>
    </dgm:pt>
    <dgm:pt modelId="{D21F3A14-839D-E64D-A529-5E72C92F247D}" type="pres">
      <dgm:prSet presAssocID="{6CBAF72A-87F0-BD41-A9AC-303EF3F773EE}" presName="hierRoot3" presStyleCnt="0"/>
      <dgm:spPr/>
    </dgm:pt>
    <dgm:pt modelId="{BCF73FCE-E7F2-714C-97FA-626F4E4D4738}" type="pres">
      <dgm:prSet presAssocID="{6CBAF72A-87F0-BD41-A9AC-303EF3F773EE}" presName="composite3" presStyleCnt="0"/>
      <dgm:spPr/>
    </dgm:pt>
    <dgm:pt modelId="{9D31C614-E234-6544-B878-12108BE49F96}" type="pres">
      <dgm:prSet presAssocID="{6CBAF72A-87F0-BD41-A9AC-303EF3F773EE}" presName="background3" presStyleLbl="node3" presStyleIdx="2" presStyleCnt="3"/>
      <dgm:spPr/>
    </dgm:pt>
    <dgm:pt modelId="{966CD39C-BB71-A34C-8016-2ED295FE9B84}" type="pres">
      <dgm:prSet presAssocID="{6CBAF72A-87F0-BD41-A9AC-303EF3F773EE}" presName="text3" presStyleLbl="fgAcc3" presStyleIdx="2" presStyleCnt="3">
        <dgm:presLayoutVars>
          <dgm:chPref val="3"/>
        </dgm:presLayoutVars>
      </dgm:prSet>
      <dgm:spPr/>
    </dgm:pt>
    <dgm:pt modelId="{36E24DCD-9EAE-384A-AB8F-2E6338CC9142}" type="pres">
      <dgm:prSet presAssocID="{6CBAF72A-87F0-BD41-A9AC-303EF3F773EE}" presName="hierChild4" presStyleCnt="0"/>
      <dgm:spPr/>
    </dgm:pt>
    <dgm:pt modelId="{F047285E-6150-2348-928D-63F0AB5938FF}" type="pres">
      <dgm:prSet presAssocID="{5C3D80B8-6B12-3647-94E3-93EAE92D2F3D}" presName="Name23" presStyleLbl="parChTrans1D4" presStyleIdx="11" presStyleCnt="30"/>
      <dgm:spPr/>
    </dgm:pt>
    <dgm:pt modelId="{B8A8217C-5F60-3942-A8E7-299BD1819FD1}" type="pres">
      <dgm:prSet presAssocID="{3C4925B7-560D-E244-A6BF-7662F128DFEA}" presName="hierRoot4" presStyleCnt="0"/>
      <dgm:spPr/>
    </dgm:pt>
    <dgm:pt modelId="{4C5982F2-0F3E-C14C-8F1D-EC3255EE092A}" type="pres">
      <dgm:prSet presAssocID="{3C4925B7-560D-E244-A6BF-7662F128DFEA}" presName="composite4" presStyleCnt="0"/>
      <dgm:spPr/>
    </dgm:pt>
    <dgm:pt modelId="{16DFE2CB-A3D5-F249-89EE-E1D001C8E6F7}" type="pres">
      <dgm:prSet presAssocID="{3C4925B7-560D-E244-A6BF-7662F128DFEA}" presName="background4" presStyleLbl="node4" presStyleIdx="11" presStyleCnt="30"/>
      <dgm:spPr/>
    </dgm:pt>
    <dgm:pt modelId="{D5DBD914-AC00-084B-B400-BBCE24AFCCCB}" type="pres">
      <dgm:prSet presAssocID="{3C4925B7-560D-E244-A6BF-7662F128DFEA}" presName="text4" presStyleLbl="fgAcc4" presStyleIdx="11" presStyleCnt="30" custScaleX="113583" custScaleY="219770">
        <dgm:presLayoutVars>
          <dgm:chPref val="3"/>
        </dgm:presLayoutVars>
      </dgm:prSet>
      <dgm:spPr/>
    </dgm:pt>
    <dgm:pt modelId="{1398C9BF-FEC3-1644-A4EA-AAD5BDE07737}" type="pres">
      <dgm:prSet presAssocID="{3C4925B7-560D-E244-A6BF-7662F128DFEA}" presName="hierChild5" presStyleCnt="0"/>
      <dgm:spPr/>
    </dgm:pt>
    <dgm:pt modelId="{43DFADEA-0F28-8E4F-A301-A4F5AFF0073C}" type="pres">
      <dgm:prSet presAssocID="{B494D9BC-991B-D245-BC94-449FA9D3C188}" presName="Name23" presStyleLbl="parChTrans1D4" presStyleIdx="12" presStyleCnt="30"/>
      <dgm:spPr/>
    </dgm:pt>
    <dgm:pt modelId="{B59E8B55-EFBA-044D-B543-30D1DDAD1924}" type="pres">
      <dgm:prSet presAssocID="{44D39568-D2E8-824A-9A6E-A3FF2B1C428A}" presName="hierRoot4" presStyleCnt="0"/>
      <dgm:spPr/>
    </dgm:pt>
    <dgm:pt modelId="{983F3B6D-EB51-F24E-A306-4D72A158C6CC}" type="pres">
      <dgm:prSet presAssocID="{44D39568-D2E8-824A-9A6E-A3FF2B1C428A}" presName="composite4" presStyleCnt="0"/>
      <dgm:spPr/>
    </dgm:pt>
    <dgm:pt modelId="{8CCCD5BB-22D5-E543-8CB6-2C6F3C72B423}" type="pres">
      <dgm:prSet presAssocID="{44D39568-D2E8-824A-9A6E-A3FF2B1C428A}" presName="background4" presStyleLbl="node4" presStyleIdx="12" presStyleCnt="30"/>
      <dgm:spPr/>
    </dgm:pt>
    <dgm:pt modelId="{BCA02C50-0075-CF4F-A12A-38B61472B563}" type="pres">
      <dgm:prSet presAssocID="{44D39568-D2E8-824A-9A6E-A3FF2B1C428A}" presName="text4" presStyleLbl="fgAcc4" presStyleIdx="12" presStyleCnt="30">
        <dgm:presLayoutVars>
          <dgm:chPref val="3"/>
        </dgm:presLayoutVars>
      </dgm:prSet>
      <dgm:spPr/>
    </dgm:pt>
    <dgm:pt modelId="{EB0EA2DD-835A-5947-8A65-0DD7494A1D6A}" type="pres">
      <dgm:prSet presAssocID="{44D39568-D2E8-824A-9A6E-A3FF2B1C428A}" presName="hierChild5" presStyleCnt="0"/>
      <dgm:spPr/>
    </dgm:pt>
    <dgm:pt modelId="{1C988994-65AC-D140-866E-7CF6DEE24473}" type="pres">
      <dgm:prSet presAssocID="{41CFB15A-0426-D844-ADAD-0532F2CABC53}" presName="Name23" presStyleLbl="parChTrans1D4" presStyleIdx="13" presStyleCnt="30"/>
      <dgm:spPr/>
    </dgm:pt>
    <dgm:pt modelId="{5D727A3D-007C-9E44-AE69-3EB9341770F8}" type="pres">
      <dgm:prSet presAssocID="{9A7B7B74-D431-FD4C-88D5-50C1CD367C16}" presName="hierRoot4" presStyleCnt="0"/>
      <dgm:spPr/>
    </dgm:pt>
    <dgm:pt modelId="{CC289B96-B4E3-BA41-B27A-B08944031E92}" type="pres">
      <dgm:prSet presAssocID="{9A7B7B74-D431-FD4C-88D5-50C1CD367C16}" presName="composite4" presStyleCnt="0"/>
      <dgm:spPr/>
    </dgm:pt>
    <dgm:pt modelId="{E3F17EE0-E082-9948-B84B-7B7E0E8ED710}" type="pres">
      <dgm:prSet presAssocID="{9A7B7B74-D431-FD4C-88D5-50C1CD367C16}" presName="background4" presStyleLbl="node4" presStyleIdx="13" presStyleCnt="30"/>
      <dgm:spPr/>
    </dgm:pt>
    <dgm:pt modelId="{85B08C9B-B12C-3149-A3D0-E7C1A55FE0A5}" type="pres">
      <dgm:prSet presAssocID="{9A7B7B74-D431-FD4C-88D5-50C1CD367C16}" presName="text4" presStyleLbl="fgAcc4" presStyleIdx="13" presStyleCnt="30">
        <dgm:presLayoutVars>
          <dgm:chPref val="3"/>
        </dgm:presLayoutVars>
      </dgm:prSet>
      <dgm:spPr/>
    </dgm:pt>
    <dgm:pt modelId="{0756429E-2BEA-3142-A999-D4BB35C7861A}" type="pres">
      <dgm:prSet presAssocID="{9A7B7B74-D431-FD4C-88D5-50C1CD367C16}" presName="hierChild5" presStyleCnt="0"/>
      <dgm:spPr/>
    </dgm:pt>
    <dgm:pt modelId="{F2C37300-DFA2-DC41-9E86-F30232D5B4FF}" type="pres">
      <dgm:prSet presAssocID="{E935EEF9-17EA-1E43-A3D8-8702489634B7}" presName="Name23" presStyleLbl="parChTrans1D4" presStyleIdx="14" presStyleCnt="30"/>
      <dgm:spPr/>
    </dgm:pt>
    <dgm:pt modelId="{6586D1C1-A8AF-0B46-AFFD-262725B4D8EC}" type="pres">
      <dgm:prSet presAssocID="{1B5367BD-9A53-CD43-96A0-EE9FDB2F41D9}" presName="hierRoot4" presStyleCnt="0"/>
      <dgm:spPr/>
    </dgm:pt>
    <dgm:pt modelId="{CB323605-C19E-8E4F-9EC6-0C021234CFA9}" type="pres">
      <dgm:prSet presAssocID="{1B5367BD-9A53-CD43-96A0-EE9FDB2F41D9}" presName="composite4" presStyleCnt="0"/>
      <dgm:spPr/>
    </dgm:pt>
    <dgm:pt modelId="{51B4DF0D-E940-3343-9D0A-376AA2A58137}" type="pres">
      <dgm:prSet presAssocID="{1B5367BD-9A53-CD43-96A0-EE9FDB2F41D9}" presName="background4" presStyleLbl="node4" presStyleIdx="14" presStyleCnt="30"/>
      <dgm:spPr/>
    </dgm:pt>
    <dgm:pt modelId="{5BDE1FBA-18E0-7B42-B16F-754ECB5AB90B}" type="pres">
      <dgm:prSet presAssocID="{1B5367BD-9A53-CD43-96A0-EE9FDB2F41D9}" presName="text4" presStyleLbl="fgAcc4" presStyleIdx="14" presStyleCnt="30">
        <dgm:presLayoutVars>
          <dgm:chPref val="3"/>
        </dgm:presLayoutVars>
      </dgm:prSet>
      <dgm:spPr/>
    </dgm:pt>
    <dgm:pt modelId="{09468127-0334-8641-B827-35796F896417}" type="pres">
      <dgm:prSet presAssocID="{1B5367BD-9A53-CD43-96A0-EE9FDB2F41D9}" presName="hierChild5" presStyleCnt="0"/>
      <dgm:spPr/>
    </dgm:pt>
    <dgm:pt modelId="{EBC817EB-010D-6643-953A-4EB4F9F30FAD}" type="pres">
      <dgm:prSet presAssocID="{DD7C1CE7-368E-D74E-B8B8-73FF656DB094}" presName="Name23" presStyleLbl="parChTrans1D4" presStyleIdx="15" presStyleCnt="30"/>
      <dgm:spPr/>
    </dgm:pt>
    <dgm:pt modelId="{1F7C150D-4511-B74B-AE57-AF184E28958E}" type="pres">
      <dgm:prSet presAssocID="{09828B7B-FC5C-3E43-8911-B92D8BD484A1}" presName="hierRoot4" presStyleCnt="0"/>
      <dgm:spPr/>
    </dgm:pt>
    <dgm:pt modelId="{50CEFF95-5828-654A-A558-D99AFB20AE18}" type="pres">
      <dgm:prSet presAssocID="{09828B7B-FC5C-3E43-8911-B92D8BD484A1}" presName="composite4" presStyleCnt="0"/>
      <dgm:spPr/>
    </dgm:pt>
    <dgm:pt modelId="{5C3DC31C-6AF8-6D45-BCF9-8E3C31986CD2}" type="pres">
      <dgm:prSet presAssocID="{09828B7B-FC5C-3E43-8911-B92D8BD484A1}" presName="background4" presStyleLbl="node4" presStyleIdx="15" presStyleCnt="30"/>
      <dgm:spPr/>
    </dgm:pt>
    <dgm:pt modelId="{3F640504-491E-874F-94AB-12F14FC918E8}" type="pres">
      <dgm:prSet presAssocID="{09828B7B-FC5C-3E43-8911-B92D8BD484A1}" presName="text4" presStyleLbl="fgAcc4" presStyleIdx="15" presStyleCnt="30" custScaleY="207855">
        <dgm:presLayoutVars>
          <dgm:chPref val="3"/>
        </dgm:presLayoutVars>
      </dgm:prSet>
      <dgm:spPr/>
    </dgm:pt>
    <dgm:pt modelId="{382F28BC-6EBD-0A4E-BBDB-02AF4D4BD3F2}" type="pres">
      <dgm:prSet presAssocID="{09828B7B-FC5C-3E43-8911-B92D8BD484A1}" presName="hierChild5" presStyleCnt="0"/>
      <dgm:spPr/>
    </dgm:pt>
    <dgm:pt modelId="{1EA7AE1D-3A42-434C-B45A-0B9D6712B865}" type="pres">
      <dgm:prSet presAssocID="{05E25329-29E1-3542-A421-A54273182A71}" presName="Name23" presStyleLbl="parChTrans1D4" presStyleIdx="16" presStyleCnt="30"/>
      <dgm:spPr/>
    </dgm:pt>
    <dgm:pt modelId="{F02F4F02-B927-C944-BF5D-B0EDD99E39F9}" type="pres">
      <dgm:prSet presAssocID="{1E5E8FAF-2BF1-5440-8A31-E97A3F69191E}" presName="hierRoot4" presStyleCnt="0"/>
      <dgm:spPr/>
    </dgm:pt>
    <dgm:pt modelId="{EA5CD022-7E45-EF4F-90B4-5250B1516AD8}" type="pres">
      <dgm:prSet presAssocID="{1E5E8FAF-2BF1-5440-8A31-E97A3F69191E}" presName="composite4" presStyleCnt="0"/>
      <dgm:spPr/>
    </dgm:pt>
    <dgm:pt modelId="{C17364CF-1DF7-3140-BC2E-C1E5B7924437}" type="pres">
      <dgm:prSet presAssocID="{1E5E8FAF-2BF1-5440-8A31-E97A3F69191E}" presName="background4" presStyleLbl="node4" presStyleIdx="16" presStyleCnt="30"/>
      <dgm:spPr/>
    </dgm:pt>
    <dgm:pt modelId="{22BDD2E1-FFCF-144C-8401-1A29EC911271}" type="pres">
      <dgm:prSet presAssocID="{1E5E8FAF-2BF1-5440-8A31-E97A3F69191E}" presName="text4" presStyleLbl="fgAcc4" presStyleIdx="16" presStyleCnt="30" custScaleX="131148" custScaleY="194547">
        <dgm:presLayoutVars>
          <dgm:chPref val="3"/>
        </dgm:presLayoutVars>
      </dgm:prSet>
      <dgm:spPr/>
    </dgm:pt>
    <dgm:pt modelId="{810C593B-155E-6949-B777-652702FD97BC}" type="pres">
      <dgm:prSet presAssocID="{1E5E8FAF-2BF1-5440-8A31-E97A3F69191E}" presName="hierChild5" presStyleCnt="0"/>
      <dgm:spPr/>
    </dgm:pt>
    <dgm:pt modelId="{B724D365-6FAA-FC45-A079-DAE373EFDA56}" type="pres">
      <dgm:prSet presAssocID="{E6FF1513-1B2C-9049-A3B3-770E44141A2D}" presName="Name23" presStyleLbl="parChTrans1D4" presStyleIdx="17" presStyleCnt="30"/>
      <dgm:spPr/>
    </dgm:pt>
    <dgm:pt modelId="{FADC75FD-9D2F-E040-B77D-4A64FA351ABC}" type="pres">
      <dgm:prSet presAssocID="{1D0AF25B-D9BE-7240-BBC5-0833D57CEEE5}" presName="hierRoot4" presStyleCnt="0"/>
      <dgm:spPr/>
    </dgm:pt>
    <dgm:pt modelId="{62F0A413-2366-594F-90A6-EDD76ACF6CFE}" type="pres">
      <dgm:prSet presAssocID="{1D0AF25B-D9BE-7240-BBC5-0833D57CEEE5}" presName="composite4" presStyleCnt="0"/>
      <dgm:spPr/>
    </dgm:pt>
    <dgm:pt modelId="{8C0889DA-26DE-C34A-8C43-F92848DCB0BD}" type="pres">
      <dgm:prSet presAssocID="{1D0AF25B-D9BE-7240-BBC5-0833D57CEEE5}" presName="background4" presStyleLbl="node4" presStyleIdx="17" presStyleCnt="30"/>
      <dgm:spPr/>
    </dgm:pt>
    <dgm:pt modelId="{86DC9ACB-E1F9-1D43-98A6-D0E0037916F6}" type="pres">
      <dgm:prSet presAssocID="{1D0AF25B-D9BE-7240-BBC5-0833D57CEEE5}" presName="text4" presStyleLbl="fgAcc4" presStyleIdx="17" presStyleCnt="30">
        <dgm:presLayoutVars>
          <dgm:chPref val="3"/>
        </dgm:presLayoutVars>
      </dgm:prSet>
      <dgm:spPr/>
    </dgm:pt>
    <dgm:pt modelId="{514346CC-5347-C94E-9627-9B9122BAC56F}" type="pres">
      <dgm:prSet presAssocID="{1D0AF25B-D9BE-7240-BBC5-0833D57CEEE5}" presName="hierChild5" presStyleCnt="0"/>
      <dgm:spPr/>
    </dgm:pt>
    <dgm:pt modelId="{0893E211-A2B6-794F-AD87-7026268AA5EF}" type="pres">
      <dgm:prSet presAssocID="{09E82BE4-012E-CC43-94DE-CD6575D5F8DA}" presName="Name23" presStyleLbl="parChTrans1D4" presStyleIdx="18" presStyleCnt="30"/>
      <dgm:spPr/>
    </dgm:pt>
    <dgm:pt modelId="{77C13294-461B-8D4B-A524-E5C48065B642}" type="pres">
      <dgm:prSet presAssocID="{B4CED325-8168-4748-AE8E-FE7AC7C0D60A}" presName="hierRoot4" presStyleCnt="0"/>
      <dgm:spPr/>
    </dgm:pt>
    <dgm:pt modelId="{5B6706C4-B59A-1448-B4D1-B1B61518B603}" type="pres">
      <dgm:prSet presAssocID="{B4CED325-8168-4748-AE8E-FE7AC7C0D60A}" presName="composite4" presStyleCnt="0"/>
      <dgm:spPr/>
    </dgm:pt>
    <dgm:pt modelId="{4A5575DB-D3CC-794A-B236-081ECCF515CB}" type="pres">
      <dgm:prSet presAssocID="{B4CED325-8168-4748-AE8E-FE7AC7C0D60A}" presName="background4" presStyleLbl="node4" presStyleIdx="18" presStyleCnt="30"/>
      <dgm:spPr/>
    </dgm:pt>
    <dgm:pt modelId="{7BE4D196-BD1F-F444-A8DF-762030DFD900}" type="pres">
      <dgm:prSet presAssocID="{B4CED325-8168-4748-AE8E-FE7AC7C0D60A}" presName="text4" presStyleLbl="fgAcc4" presStyleIdx="18" presStyleCnt="30">
        <dgm:presLayoutVars>
          <dgm:chPref val="3"/>
        </dgm:presLayoutVars>
      </dgm:prSet>
      <dgm:spPr/>
    </dgm:pt>
    <dgm:pt modelId="{CE9CE7F7-249A-2D43-8651-CDD54108E109}" type="pres">
      <dgm:prSet presAssocID="{B4CED325-8168-4748-AE8E-FE7AC7C0D60A}" presName="hierChild5" presStyleCnt="0"/>
      <dgm:spPr/>
    </dgm:pt>
    <dgm:pt modelId="{CE6102C4-4E0F-5A4D-A7EB-99C433F21565}" type="pres">
      <dgm:prSet presAssocID="{F889455B-7E83-4F48-8638-5863B85EAB15}" presName="Name23" presStyleLbl="parChTrans1D4" presStyleIdx="19" presStyleCnt="30"/>
      <dgm:spPr/>
    </dgm:pt>
    <dgm:pt modelId="{10C1F8AB-A47C-CD4F-A1B6-BBEE6388CA6B}" type="pres">
      <dgm:prSet presAssocID="{C161CAA7-A2DC-594E-AE2E-715329B4F4AE}" presName="hierRoot4" presStyleCnt="0"/>
      <dgm:spPr/>
    </dgm:pt>
    <dgm:pt modelId="{3D5FB389-56F1-094D-AC87-6EB128A0C460}" type="pres">
      <dgm:prSet presAssocID="{C161CAA7-A2DC-594E-AE2E-715329B4F4AE}" presName="composite4" presStyleCnt="0"/>
      <dgm:spPr/>
    </dgm:pt>
    <dgm:pt modelId="{BE60E1CA-5A16-664C-98C3-FC438B03D051}" type="pres">
      <dgm:prSet presAssocID="{C161CAA7-A2DC-594E-AE2E-715329B4F4AE}" presName="background4" presStyleLbl="node4" presStyleIdx="19" presStyleCnt="30"/>
      <dgm:spPr/>
    </dgm:pt>
    <dgm:pt modelId="{B9197E60-EC73-944A-8E82-D10E7B21EBA3}" type="pres">
      <dgm:prSet presAssocID="{C161CAA7-A2DC-594E-AE2E-715329B4F4AE}" presName="text4" presStyleLbl="fgAcc4" presStyleIdx="19" presStyleCnt="30">
        <dgm:presLayoutVars>
          <dgm:chPref val="3"/>
        </dgm:presLayoutVars>
      </dgm:prSet>
      <dgm:spPr/>
    </dgm:pt>
    <dgm:pt modelId="{89F4C355-CC0F-3549-A62F-E58CFEF53E4D}" type="pres">
      <dgm:prSet presAssocID="{C161CAA7-A2DC-594E-AE2E-715329B4F4AE}" presName="hierChild5" presStyleCnt="0"/>
      <dgm:spPr/>
    </dgm:pt>
    <dgm:pt modelId="{F5BA360C-7EF9-C54D-A441-F558C3AA88EB}" type="pres">
      <dgm:prSet presAssocID="{800CDA2D-2107-FC47-9E6F-1A337AD2A60A}" presName="Name23" presStyleLbl="parChTrans1D4" presStyleIdx="20" presStyleCnt="30"/>
      <dgm:spPr/>
    </dgm:pt>
    <dgm:pt modelId="{53CE5299-9144-F140-9A0E-D18E652FBDAE}" type="pres">
      <dgm:prSet presAssocID="{AEEA611F-025C-B14D-B9E0-A368DAE35336}" presName="hierRoot4" presStyleCnt="0"/>
      <dgm:spPr/>
    </dgm:pt>
    <dgm:pt modelId="{D9D79AFC-E18A-5F4A-BFE7-2AFECD6623AE}" type="pres">
      <dgm:prSet presAssocID="{AEEA611F-025C-B14D-B9E0-A368DAE35336}" presName="composite4" presStyleCnt="0"/>
      <dgm:spPr/>
    </dgm:pt>
    <dgm:pt modelId="{3AC2CA81-4BD4-434C-9172-5202C4B0651C}" type="pres">
      <dgm:prSet presAssocID="{AEEA611F-025C-B14D-B9E0-A368DAE35336}" presName="background4" presStyleLbl="node4" presStyleIdx="20" presStyleCnt="30"/>
      <dgm:spPr/>
    </dgm:pt>
    <dgm:pt modelId="{1CD5A50C-BDB4-144A-921D-4B449552E152}" type="pres">
      <dgm:prSet presAssocID="{AEEA611F-025C-B14D-B9E0-A368DAE35336}" presName="text4" presStyleLbl="fgAcc4" presStyleIdx="20" presStyleCnt="30" custScaleY="205003">
        <dgm:presLayoutVars>
          <dgm:chPref val="3"/>
        </dgm:presLayoutVars>
      </dgm:prSet>
      <dgm:spPr/>
    </dgm:pt>
    <dgm:pt modelId="{D8345BD1-1711-E647-9929-E49D88605EC6}" type="pres">
      <dgm:prSet presAssocID="{AEEA611F-025C-B14D-B9E0-A368DAE35336}" presName="hierChild5" presStyleCnt="0"/>
      <dgm:spPr/>
    </dgm:pt>
    <dgm:pt modelId="{59E2380A-F2A8-F445-809C-5703A9AB3EE9}" type="pres">
      <dgm:prSet presAssocID="{86D0A3B9-78AB-6643-8C90-9E52E2700B19}" presName="Name23" presStyleLbl="parChTrans1D4" presStyleIdx="21" presStyleCnt="30"/>
      <dgm:spPr/>
    </dgm:pt>
    <dgm:pt modelId="{EAAD233F-5043-B941-98E9-C80FF3C2EE2E}" type="pres">
      <dgm:prSet presAssocID="{401B063C-9410-8B47-A63B-4B18B287113C}" presName="hierRoot4" presStyleCnt="0"/>
      <dgm:spPr/>
    </dgm:pt>
    <dgm:pt modelId="{0C05188D-E6AB-8646-A006-76002A2A452C}" type="pres">
      <dgm:prSet presAssocID="{401B063C-9410-8B47-A63B-4B18B287113C}" presName="composite4" presStyleCnt="0"/>
      <dgm:spPr/>
    </dgm:pt>
    <dgm:pt modelId="{2499975F-7FFA-364F-A42F-95DA0A927F16}" type="pres">
      <dgm:prSet presAssocID="{401B063C-9410-8B47-A63B-4B18B287113C}" presName="background4" presStyleLbl="node4" presStyleIdx="21" presStyleCnt="30"/>
      <dgm:spPr/>
    </dgm:pt>
    <dgm:pt modelId="{1621E89A-2ABE-9D4C-A099-8FAA770CAD40}" type="pres">
      <dgm:prSet presAssocID="{401B063C-9410-8B47-A63B-4B18B287113C}" presName="text4" presStyleLbl="fgAcc4" presStyleIdx="21" presStyleCnt="30" custScaleX="202026" custScaleY="97165">
        <dgm:presLayoutVars>
          <dgm:chPref val="3"/>
        </dgm:presLayoutVars>
      </dgm:prSet>
      <dgm:spPr/>
    </dgm:pt>
    <dgm:pt modelId="{7ECFF17A-AD96-1148-B67F-9C7EA96ABD00}" type="pres">
      <dgm:prSet presAssocID="{401B063C-9410-8B47-A63B-4B18B287113C}" presName="hierChild5" presStyleCnt="0"/>
      <dgm:spPr/>
    </dgm:pt>
    <dgm:pt modelId="{08109481-FCAB-E340-893E-DB5DF0293404}" type="pres">
      <dgm:prSet presAssocID="{3FAF60AD-D860-134F-A802-4585774E97CC}" presName="Name23" presStyleLbl="parChTrans1D4" presStyleIdx="22" presStyleCnt="30"/>
      <dgm:spPr/>
    </dgm:pt>
    <dgm:pt modelId="{836D733F-4778-4441-8CCF-11505F84F664}" type="pres">
      <dgm:prSet presAssocID="{F41BD78A-AA39-264D-9AA8-BDC467339E97}" presName="hierRoot4" presStyleCnt="0"/>
      <dgm:spPr/>
    </dgm:pt>
    <dgm:pt modelId="{AEAAF726-E4CE-4643-8988-6F5CE4D5D016}" type="pres">
      <dgm:prSet presAssocID="{F41BD78A-AA39-264D-9AA8-BDC467339E97}" presName="composite4" presStyleCnt="0"/>
      <dgm:spPr/>
    </dgm:pt>
    <dgm:pt modelId="{1C2924E0-CC6F-4F44-879C-3827D95A7DED}" type="pres">
      <dgm:prSet presAssocID="{F41BD78A-AA39-264D-9AA8-BDC467339E97}" presName="background4" presStyleLbl="node4" presStyleIdx="22" presStyleCnt="30"/>
      <dgm:spPr/>
    </dgm:pt>
    <dgm:pt modelId="{CB45AEC9-1796-4E41-8B51-B2EA88A352BF}" type="pres">
      <dgm:prSet presAssocID="{F41BD78A-AA39-264D-9AA8-BDC467339E97}" presName="text4" presStyleLbl="fgAcc4" presStyleIdx="22" presStyleCnt="30">
        <dgm:presLayoutVars>
          <dgm:chPref val="3"/>
        </dgm:presLayoutVars>
      </dgm:prSet>
      <dgm:spPr/>
    </dgm:pt>
    <dgm:pt modelId="{18517459-69F3-B14D-BA78-C9CEB226C68A}" type="pres">
      <dgm:prSet presAssocID="{F41BD78A-AA39-264D-9AA8-BDC467339E97}" presName="hierChild5" presStyleCnt="0"/>
      <dgm:spPr/>
    </dgm:pt>
    <dgm:pt modelId="{FE14176B-B6B6-A144-A2AA-074E0A70C005}" type="pres">
      <dgm:prSet presAssocID="{A840D6EC-8FE8-604B-BFED-A3B60D362693}" presName="Name23" presStyleLbl="parChTrans1D4" presStyleIdx="23" presStyleCnt="30"/>
      <dgm:spPr/>
    </dgm:pt>
    <dgm:pt modelId="{7F9F0C57-9FFE-7548-8350-481C3A5DE064}" type="pres">
      <dgm:prSet presAssocID="{467ECC50-8528-7740-80EC-3740C88A0DB5}" presName="hierRoot4" presStyleCnt="0"/>
      <dgm:spPr/>
    </dgm:pt>
    <dgm:pt modelId="{33F9F567-A6E2-E34B-93D5-89CF0DED1E9C}" type="pres">
      <dgm:prSet presAssocID="{467ECC50-8528-7740-80EC-3740C88A0DB5}" presName="composite4" presStyleCnt="0"/>
      <dgm:spPr/>
    </dgm:pt>
    <dgm:pt modelId="{BB96FE67-7C08-284A-BD30-AA54715A0A34}" type="pres">
      <dgm:prSet presAssocID="{467ECC50-8528-7740-80EC-3740C88A0DB5}" presName="background4" presStyleLbl="node4" presStyleIdx="23" presStyleCnt="30"/>
      <dgm:spPr/>
    </dgm:pt>
    <dgm:pt modelId="{4EA26F61-0117-D94D-9C33-754E2ECC6B1F}" type="pres">
      <dgm:prSet presAssocID="{467ECC50-8528-7740-80EC-3740C88A0DB5}" presName="text4" presStyleLbl="fgAcc4" presStyleIdx="23" presStyleCnt="30" custScaleX="118139" custScaleY="316630">
        <dgm:presLayoutVars>
          <dgm:chPref val="3"/>
        </dgm:presLayoutVars>
      </dgm:prSet>
      <dgm:spPr/>
    </dgm:pt>
    <dgm:pt modelId="{B4674670-6E4A-E240-8C32-33974A1FADDF}" type="pres">
      <dgm:prSet presAssocID="{467ECC50-8528-7740-80EC-3740C88A0DB5}" presName="hierChild5" presStyleCnt="0"/>
      <dgm:spPr/>
    </dgm:pt>
    <dgm:pt modelId="{810B30FF-27F8-7343-AE4D-9F6C5B0403C3}" type="pres">
      <dgm:prSet presAssocID="{1E6ECF42-ED94-4045-8861-0A8D6CDEF0C3}" presName="Name23" presStyleLbl="parChTrans1D4" presStyleIdx="24" presStyleCnt="30"/>
      <dgm:spPr/>
    </dgm:pt>
    <dgm:pt modelId="{B2A4B2E2-6CCF-6E48-A91F-EFF0A21B5167}" type="pres">
      <dgm:prSet presAssocID="{5F9FD34B-3FC4-AB45-8AF2-2A1653419F70}" presName="hierRoot4" presStyleCnt="0"/>
      <dgm:spPr/>
    </dgm:pt>
    <dgm:pt modelId="{E7FF6488-7BD8-AF44-947D-502B34B8684F}" type="pres">
      <dgm:prSet presAssocID="{5F9FD34B-3FC4-AB45-8AF2-2A1653419F70}" presName="composite4" presStyleCnt="0"/>
      <dgm:spPr/>
    </dgm:pt>
    <dgm:pt modelId="{98BE5A05-FD43-3347-AFFD-CD7B120C6183}" type="pres">
      <dgm:prSet presAssocID="{5F9FD34B-3FC4-AB45-8AF2-2A1653419F70}" presName="background4" presStyleLbl="node4" presStyleIdx="24" presStyleCnt="30"/>
      <dgm:spPr/>
    </dgm:pt>
    <dgm:pt modelId="{14267CE6-9ABA-BE46-8266-414BE118BFD9}" type="pres">
      <dgm:prSet presAssocID="{5F9FD34B-3FC4-AB45-8AF2-2A1653419F70}" presName="text4" presStyleLbl="fgAcc4" presStyleIdx="24" presStyleCnt="30" custScaleX="192307" custScaleY="133402">
        <dgm:presLayoutVars>
          <dgm:chPref val="3"/>
        </dgm:presLayoutVars>
      </dgm:prSet>
      <dgm:spPr/>
    </dgm:pt>
    <dgm:pt modelId="{CA4434F5-26D6-CF47-B29A-1C11D3D8D081}" type="pres">
      <dgm:prSet presAssocID="{5F9FD34B-3FC4-AB45-8AF2-2A1653419F70}" presName="hierChild5" presStyleCnt="0"/>
      <dgm:spPr/>
    </dgm:pt>
    <dgm:pt modelId="{8B2F26B7-6F3B-3B43-8A93-BFE21E5213F8}" type="pres">
      <dgm:prSet presAssocID="{3863A201-CA80-A541-95BA-826AD2B1F647}" presName="Name23" presStyleLbl="parChTrans1D4" presStyleIdx="25" presStyleCnt="30"/>
      <dgm:spPr/>
    </dgm:pt>
    <dgm:pt modelId="{43C7FB86-4A44-C14C-99B5-3A07D1E5C860}" type="pres">
      <dgm:prSet presAssocID="{CA88C85D-97A5-BE4D-9FFE-C97073F68412}" presName="hierRoot4" presStyleCnt="0"/>
      <dgm:spPr/>
    </dgm:pt>
    <dgm:pt modelId="{4D71ED7A-604D-4247-837B-4399A89C21DD}" type="pres">
      <dgm:prSet presAssocID="{CA88C85D-97A5-BE4D-9FFE-C97073F68412}" presName="composite4" presStyleCnt="0"/>
      <dgm:spPr/>
    </dgm:pt>
    <dgm:pt modelId="{DAAEB58F-2CE7-FC4B-A634-BC975535C3FA}" type="pres">
      <dgm:prSet presAssocID="{CA88C85D-97A5-BE4D-9FFE-C97073F68412}" presName="background4" presStyleLbl="node4" presStyleIdx="25" presStyleCnt="30"/>
      <dgm:spPr/>
    </dgm:pt>
    <dgm:pt modelId="{2B196FA4-0317-A649-9D6C-66BD98543C24}" type="pres">
      <dgm:prSet presAssocID="{CA88C85D-97A5-BE4D-9FFE-C97073F68412}" presName="text4" presStyleLbl="fgAcc4" presStyleIdx="25" presStyleCnt="30" custScaleX="148933" custScaleY="95591">
        <dgm:presLayoutVars>
          <dgm:chPref val="3"/>
        </dgm:presLayoutVars>
      </dgm:prSet>
      <dgm:spPr/>
    </dgm:pt>
    <dgm:pt modelId="{1BEA56C7-EA17-A14A-95F4-BD740BC7B67A}" type="pres">
      <dgm:prSet presAssocID="{CA88C85D-97A5-BE4D-9FFE-C97073F68412}" presName="hierChild5" presStyleCnt="0"/>
      <dgm:spPr/>
    </dgm:pt>
    <dgm:pt modelId="{96769727-E6E8-D148-AB1B-C6F7FC7297C3}" type="pres">
      <dgm:prSet presAssocID="{59D00188-9741-8C4A-9ED0-1DA6B8646B33}" presName="Name23" presStyleLbl="parChTrans1D4" presStyleIdx="26" presStyleCnt="30"/>
      <dgm:spPr/>
    </dgm:pt>
    <dgm:pt modelId="{EC78C2C2-944F-A446-9BA3-D394D9AEC933}" type="pres">
      <dgm:prSet presAssocID="{0D15EC5C-648D-2747-A685-2B76703D4306}" presName="hierRoot4" presStyleCnt="0"/>
      <dgm:spPr/>
    </dgm:pt>
    <dgm:pt modelId="{DA93BE9C-A351-B949-9120-5856681DDA74}" type="pres">
      <dgm:prSet presAssocID="{0D15EC5C-648D-2747-A685-2B76703D4306}" presName="composite4" presStyleCnt="0"/>
      <dgm:spPr/>
    </dgm:pt>
    <dgm:pt modelId="{04B40D9B-81F4-754C-95F6-BF4686178B6B}" type="pres">
      <dgm:prSet presAssocID="{0D15EC5C-648D-2747-A685-2B76703D4306}" presName="background4" presStyleLbl="node4" presStyleIdx="26" presStyleCnt="30"/>
      <dgm:spPr/>
    </dgm:pt>
    <dgm:pt modelId="{6771CBC9-C5C0-2D43-BA5F-B0628A05637B}" type="pres">
      <dgm:prSet presAssocID="{0D15EC5C-648D-2747-A685-2B76703D4306}" presName="text4" presStyleLbl="fgAcc4" presStyleIdx="26" presStyleCnt="30">
        <dgm:presLayoutVars>
          <dgm:chPref val="3"/>
        </dgm:presLayoutVars>
      </dgm:prSet>
      <dgm:spPr/>
    </dgm:pt>
    <dgm:pt modelId="{44E3CDB8-CD1E-E446-8149-184A42A49D37}" type="pres">
      <dgm:prSet presAssocID="{0D15EC5C-648D-2747-A685-2B76703D4306}" presName="hierChild5" presStyleCnt="0"/>
      <dgm:spPr/>
    </dgm:pt>
    <dgm:pt modelId="{272C510D-CA51-1244-BC60-686730BFA024}" type="pres">
      <dgm:prSet presAssocID="{B5BE0E0E-CCA1-EB48-8173-0609472C904F}" presName="Name23" presStyleLbl="parChTrans1D4" presStyleIdx="27" presStyleCnt="30"/>
      <dgm:spPr/>
    </dgm:pt>
    <dgm:pt modelId="{07FE489A-50B7-EC47-856F-99C1C760F122}" type="pres">
      <dgm:prSet presAssocID="{9DD044B7-BB1B-8C4B-83A7-DA2087BD1637}" presName="hierRoot4" presStyleCnt="0"/>
      <dgm:spPr/>
    </dgm:pt>
    <dgm:pt modelId="{898303C7-BDF1-204D-9BA9-9649D1A7FBD7}" type="pres">
      <dgm:prSet presAssocID="{9DD044B7-BB1B-8C4B-83A7-DA2087BD1637}" presName="composite4" presStyleCnt="0"/>
      <dgm:spPr/>
    </dgm:pt>
    <dgm:pt modelId="{D8C23B9A-0E74-AF4F-89F0-F8E686456C9C}" type="pres">
      <dgm:prSet presAssocID="{9DD044B7-BB1B-8C4B-83A7-DA2087BD1637}" presName="background4" presStyleLbl="node4" presStyleIdx="27" presStyleCnt="30"/>
      <dgm:spPr/>
    </dgm:pt>
    <dgm:pt modelId="{A8A03A70-4DA2-E94C-A480-55A7E720E74C}" type="pres">
      <dgm:prSet presAssocID="{9DD044B7-BB1B-8C4B-83A7-DA2087BD1637}" presName="text4" presStyleLbl="fgAcc4" presStyleIdx="27" presStyleCnt="30">
        <dgm:presLayoutVars>
          <dgm:chPref val="3"/>
        </dgm:presLayoutVars>
      </dgm:prSet>
      <dgm:spPr/>
    </dgm:pt>
    <dgm:pt modelId="{5D70E8D1-BD52-FD45-BB6C-7A4443DDE61E}" type="pres">
      <dgm:prSet presAssocID="{9DD044B7-BB1B-8C4B-83A7-DA2087BD1637}" presName="hierChild5" presStyleCnt="0"/>
      <dgm:spPr/>
    </dgm:pt>
    <dgm:pt modelId="{58864210-6C60-CA4F-86C8-652B8103BC27}" type="pres">
      <dgm:prSet presAssocID="{39DA1F30-8451-6E40-817A-933594DC1AE3}" presName="Name23" presStyleLbl="parChTrans1D4" presStyleIdx="28" presStyleCnt="30"/>
      <dgm:spPr/>
    </dgm:pt>
    <dgm:pt modelId="{FB04A546-79D0-BD49-B5B7-E40A753122A8}" type="pres">
      <dgm:prSet presAssocID="{533A607A-CE00-E145-B663-E601077179A0}" presName="hierRoot4" presStyleCnt="0"/>
      <dgm:spPr/>
    </dgm:pt>
    <dgm:pt modelId="{8D15ADEC-8EC1-ED44-98AF-2A590883F862}" type="pres">
      <dgm:prSet presAssocID="{533A607A-CE00-E145-B663-E601077179A0}" presName="composite4" presStyleCnt="0"/>
      <dgm:spPr/>
    </dgm:pt>
    <dgm:pt modelId="{6F998E1C-DCF3-294F-8899-0D6EBB101DB3}" type="pres">
      <dgm:prSet presAssocID="{533A607A-CE00-E145-B663-E601077179A0}" presName="background4" presStyleLbl="node4" presStyleIdx="28" presStyleCnt="30"/>
      <dgm:spPr/>
    </dgm:pt>
    <dgm:pt modelId="{BF5AE55C-470D-1946-A9B3-73278FA650F5}" type="pres">
      <dgm:prSet presAssocID="{533A607A-CE00-E145-B663-E601077179A0}" presName="text4" presStyleLbl="fgAcc4" presStyleIdx="28" presStyleCnt="30">
        <dgm:presLayoutVars>
          <dgm:chPref val="3"/>
        </dgm:presLayoutVars>
      </dgm:prSet>
      <dgm:spPr/>
    </dgm:pt>
    <dgm:pt modelId="{78F23373-248A-5043-B06E-C2C25D85623C}" type="pres">
      <dgm:prSet presAssocID="{533A607A-CE00-E145-B663-E601077179A0}" presName="hierChild5" presStyleCnt="0"/>
      <dgm:spPr/>
    </dgm:pt>
    <dgm:pt modelId="{BA50AFFB-297B-4F46-BF2C-AC3B671C51A4}" type="pres">
      <dgm:prSet presAssocID="{30F83820-69BD-7543-9997-31C41E284A3B}" presName="Name23" presStyleLbl="parChTrans1D4" presStyleIdx="29" presStyleCnt="30"/>
      <dgm:spPr/>
    </dgm:pt>
    <dgm:pt modelId="{054B1918-0473-AB44-B507-4D3CE7CEAE26}" type="pres">
      <dgm:prSet presAssocID="{B17BA0DF-C4AF-1D40-AC07-77EE174CDB7D}" presName="hierRoot4" presStyleCnt="0"/>
      <dgm:spPr/>
    </dgm:pt>
    <dgm:pt modelId="{132077E3-EFCB-B649-8887-6A137BFF899D}" type="pres">
      <dgm:prSet presAssocID="{B17BA0DF-C4AF-1D40-AC07-77EE174CDB7D}" presName="composite4" presStyleCnt="0"/>
      <dgm:spPr/>
    </dgm:pt>
    <dgm:pt modelId="{99459218-FBE9-C346-9097-E498F6DA6CAC}" type="pres">
      <dgm:prSet presAssocID="{B17BA0DF-C4AF-1D40-AC07-77EE174CDB7D}" presName="background4" presStyleLbl="node4" presStyleIdx="29" presStyleCnt="30"/>
      <dgm:spPr/>
    </dgm:pt>
    <dgm:pt modelId="{64F8A6E4-0BE4-E248-8A1D-070F9CD048BF}" type="pres">
      <dgm:prSet presAssocID="{B17BA0DF-C4AF-1D40-AC07-77EE174CDB7D}" presName="text4" presStyleLbl="fgAcc4" presStyleIdx="29" presStyleCnt="30">
        <dgm:presLayoutVars>
          <dgm:chPref val="3"/>
        </dgm:presLayoutVars>
      </dgm:prSet>
      <dgm:spPr/>
    </dgm:pt>
    <dgm:pt modelId="{6B9912CA-2F9A-C241-A6EA-6B056E87F4BA}" type="pres">
      <dgm:prSet presAssocID="{B17BA0DF-C4AF-1D40-AC07-77EE174CDB7D}" presName="hierChild5" presStyleCnt="0"/>
      <dgm:spPr/>
    </dgm:pt>
  </dgm:ptLst>
  <dgm:cxnLst>
    <dgm:cxn modelId="{F2A98202-DEB4-804A-B3CD-78C6B9DB7613}" srcId="{8C7C4C0F-E750-6846-87A9-E68FBCDB1435}" destId="{393AB9E2-01D5-C34B-93B7-38500C0B6B14}" srcOrd="2" destOrd="0" parTransId="{09283FE2-7FED-0E49-B39E-F62EFBB255C0}" sibTransId="{B6FCD4F6-8ADD-864B-BFCF-FBE388490B8F}"/>
    <dgm:cxn modelId="{1FF46603-29C4-6D48-A7BC-88FD4BD6EDBB}" type="presOf" srcId="{CA88C85D-97A5-BE4D-9FFE-C97073F68412}" destId="{2B196FA4-0317-A649-9D6C-66BD98543C24}" srcOrd="0" destOrd="0" presId="urn:microsoft.com/office/officeart/2005/8/layout/hierarchy1"/>
    <dgm:cxn modelId="{CCCBFE07-6D57-5543-A930-1B4C0BD2E23A}" srcId="{401B063C-9410-8B47-A63B-4B18B287113C}" destId="{F41BD78A-AA39-264D-9AA8-BDC467339E97}" srcOrd="0" destOrd="0" parTransId="{3FAF60AD-D860-134F-A802-4585774E97CC}" sibTransId="{B65AE52A-5BE3-AB45-83EF-CCC3A29EFEB4}"/>
    <dgm:cxn modelId="{3AC2780A-D35F-1141-9FE3-6091DF66740D}" srcId="{A6250743-4385-F64D-B9B5-2637FECC2EFE}" destId="{A609CEA0-F5E8-2C41-B155-B4C4E73D9F4C}" srcOrd="0" destOrd="0" parTransId="{57685BE1-F224-0C46-9BB9-A54BAC03847D}" sibTransId="{829B993F-5F9B-FD44-AEA8-81337BFBAD17}"/>
    <dgm:cxn modelId="{2ACE4E0C-E81E-6847-92BB-61F41BF47CEF}" type="presOf" srcId="{0D15EC5C-648D-2747-A685-2B76703D4306}" destId="{6771CBC9-C5C0-2D43-BA5F-B0628A05637B}" srcOrd="0" destOrd="0" presId="urn:microsoft.com/office/officeart/2005/8/layout/hierarchy1"/>
    <dgm:cxn modelId="{EEA0BD0C-CE31-5849-B316-24EF213C255F}" type="presOf" srcId="{BAF1B431-471A-5D43-8762-4F13484BD4CD}" destId="{622F9E63-EA4E-C145-9772-3544808057FB}" srcOrd="0" destOrd="0" presId="urn:microsoft.com/office/officeart/2005/8/layout/hierarchy1"/>
    <dgm:cxn modelId="{AC4B380F-5943-6A43-87D5-94F2D88AE9F0}" type="presOf" srcId="{E6FF1513-1B2C-9049-A3B3-770E44141A2D}" destId="{B724D365-6FAA-FC45-A079-DAE373EFDA56}" srcOrd="0" destOrd="0" presId="urn:microsoft.com/office/officeart/2005/8/layout/hierarchy1"/>
    <dgm:cxn modelId="{F1E7820F-82B9-FC4A-8200-A306790F826A}" srcId="{6CBAF72A-87F0-BD41-A9AC-303EF3F773EE}" destId="{1D0AF25B-D9BE-7240-BBC5-0833D57CEEE5}" srcOrd="1" destOrd="0" parTransId="{E6FF1513-1B2C-9049-A3B3-770E44141A2D}" sibTransId="{25613655-61F4-8049-B6B7-916BEE5249E4}"/>
    <dgm:cxn modelId="{05F0B310-2102-1744-A358-6A171FCE5ECE}" type="presOf" srcId="{B1CBDDCA-C539-9549-8ACB-794FD570A012}" destId="{6E1A4C70-B2B4-1D48-B71E-5C1E545487BB}" srcOrd="0" destOrd="0" presId="urn:microsoft.com/office/officeart/2005/8/layout/hierarchy1"/>
    <dgm:cxn modelId="{D533D310-FDE5-1E4B-9E5B-5645853449F9}" type="presOf" srcId="{78CCD0FC-3EC4-BB41-8355-24F76A14AA98}" destId="{84527758-E3C5-9A47-A57F-17E78C635B92}" srcOrd="0" destOrd="0" presId="urn:microsoft.com/office/officeart/2005/8/layout/hierarchy1"/>
    <dgm:cxn modelId="{B13F0E12-08BC-B545-B5C4-39D615AF26D1}" type="presOf" srcId="{401B063C-9410-8B47-A63B-4B18B287113C}" destId="{1621E89A-2ABE-9D4C-A099-8FAA770CAD40}" srcOrd="0" destOrd="0" presId="urn:microsoft.com/office/officeart/2005/8/layout/hierarchy1"/>
    <dgm:cxn modelId="{367D6E16-E40C-4246-9FF4-6BF25DBE54FD}" srcId="{1D0AF25B-D9BE-7240-BBC5-0833D57CEEE5}" destId="{C161CAA7-A2DC-594E-AE2E-715329B4F4AE}" srcOrd="1" destOrd="0" parTransId="{F889455B-7E83-4F48-8638-5863B85EAB15}" sibTransId="{569A064D-1801-7346-8C34-1B1511ECD847}"/>
    <dgm:cxn modelId="{D5319E17-EF41-B540-AFF5-3FD0C2D92BE9}" type="presOf" srcId="{59D00188-9741-8C4A-9ED0-1DA6B8646B33}" destId="{96769727-E6E8-D148-AB1B-C6F7FC7297C3}" srcOrd="0" destOrd="0" presId="urn:microsoft.com/office/officeart/2005/8/layout/hierarchy1"/>
    <dgm:cxn modelId="{42FF8018-E832-D149-98A1-0AAFBA495290}" srcId="{1D0AF25B-D9BE-7240-BBC5-0833D57CEEE5}" destId="{B4CED325-8168-4748-AE8E-FE7AC7C0D60A}" srcOrd="0" destOrd="0" parTransId="{09E82BE4-012E-CC43-94DE-CD6575D5F8DA}" sibTransId="{50BD6FCA-B353-704A-94DE-CCEAB561399B}"/>
    <dgm:cxn modelId="{DF049319-B575-B64C-91A1-B9B696F5A066}" type="presOf" srcId="{AEEA611F-025C-B14D-B9E0-A368DAE35336}" destId="{1CD5A50C-BDB4-144A-921D-4B449552E152}" srcOrd="0" destOrd="0" presId="urn:microsoft.com/office/officeart/2005/8/layout/hierarchy1"/>
    <dgm:cxn modelId="{EA751C1B-592E-BF4D-AC57-644A323F00E5}" type="presOf" srcId="{E6424CDB-769A-C643-8395-ABA1D8C4A64D}" destId="{A723995F-A0F4-FC47-8634-B8B0083E8E3C}" srcOrd="0" destOrd="0" presId="urn:microsoft.com/office/officeart/2005/8/layout/hierarchy1"/>
    <dgm:cxn modelId="{7F534C1B-22A3-8344-828A-024828603B11}" type="presOf" srcId="{B5BE0E0E-CCA1-EB48-8173-0609472C904F}" destId="{272C510D-CA51-1244-BC60-686730BFA024}" srcOrd="0" destOrd="0" presId="urn:microsoft.com/office/officeart/2005/8/layout/hierarchy1"/>
    <dgm:cxn modelId="{15ED9A1C-0CD1-D74D-80FF-A28832C72F10}" type="presOf" srcId="{D6BDF180-384A-7F44-8E04-6564090E764D}" destId="{F3178C38-D06E-5847-9421-080EFA395369}" srcOrd="0" destOrd="0" presId="urn:microsoft.com/office/officeart/2005/8/layout/hierarchy1"/>
    <dgm:cxn modelId="{C98B471D-3A56-A147-9A8D-9CC761DE4925}" type="presOf" srcId="{2DCFC89C-592D-DB45-A08B-24C3B00EFECA}" destId="{050A7080-8123-3D40-A3B5-4D98F5683191}" srcOrd="0" destOrd="0" presId="urn:microsoft.com/office/officeart/2005/8/layout/hierarchy1"/>
    <dgm:cxn modelId="{20BE5D20-AF7D-B443-B981-D1E4A2D63F16}" srcId="{6CBAF72A-87F0-BD41-A9AC-303EF3F773EE}" destId="{CA88C85D-97A5-BE4D-9FFE-C97073F68412}" srcOrd="2" destOrd="0" parTransId="{3863A201-CA80-A541-95BA-826AD2B1F647}" sibTransId="{E943E952-7D1A-C946-8063-9FBC9B70D69D}"/>
    <dgm:cxn modelId="{E92FD120-6D7C-D14F-8559-CFBEEBC404F7}" type="presOf" srcId="{4C7621F4-0ED2-3044-BB6A-36CC669B8265}" destId="{5801774F-EF50-F14F-8540-BF7E004DB9F1}" srcOrd="0" destOrd="0" presId="urn:microsoft.com/office/officeart/2005/8/layout/hierarchy1"/>
    <dgm:cxn modelId="{C5C76621-7585-D04F-98E1-6DAB4523ABC4}" type="presOf" srcId="{3B183194-28A4-764F-9AE0-B0EADE6A4610}" destId="{6DF75C5B-53FB-4D40-9B02-80CDA1A7DB97}" srcOrd="0" destOrd="0" presId="urn:microsoft.com/office/officeart/2005/8/layout/hierarchy1"/>
    <dgm:cxn modelId="{C234FA21-C8FF-7A4D-A978-3E7CBB8B82AE}" type="presOf" srcId="{B494D9BC-991B-D245-BC94-449FA9D3C188}" destId="{43DFADEA-0F28-8E4F-A301-A4F5AFF0073C}" srcOrd="0" destOrd="0" presId="urn:microsoft.com/office/officeart/2005/8/layout/hierarchy1"/>
    <dgm:cxn modelId="{C6D12823-5EBF-CE41-9A6E-B26F66B6F29D}" type="presOf" srcId="{FD11CC0F-DBAF-8A44-8F0C-33C487444478}" destId="{4A1434B0-1121-D847-BA1C-FA663E050A04}" srcOrd="0" destOrd="0" presId="urn:microsoft.com/office/officeart/2005/8/layout/hierarchy1"/>
    <dgm:cxn modelId="{7D31E724-F291-3448-B146-0CC93340795D}" type="presOf" srcId="{A6250743-4385-F64D-B9B5-2637FECC2EFE}" destId="{6D332CB0-A360-4248-B457-1D8C7990A53C}" srcOrd="0" destOrd="0" presId="urn:microsoft.com/office/officeart/2005/8/layout/hierarchy1"/>
    <dgm:cxn modelId="{F0BB1025-82D2-2C42-A9CB-3803DE918382}" srcId="{2DCFC89C-592D-DB45-A08B-24C3B00EFECA}" destId="{A6250743-4385-F64D-B9B5-2637FECC2EFE}" srcOrd="2" destOrd="0" parTransId="{4C7621F4-0ED2-3044-BB6A-36CC669B8265}" sibTransId="{45A6F38B-7327-5A47-ADB9-84FA6DCE286B}"/>
    <dgm:cxn modelId="{E2A66026-9B1D-764A-9FEB-A30F99D26203}" srcId="{CA88C85D-97A5-BE4D-9FFE-C97073F68412}" destId="{9DD044B7-BB1B-8C4B-83A7-DA2087BD1637}" srcOrd="1" destOrd="0" parTransId="{B5BE0E0E-CCA1-EB48-8173-0609472C904F}" sibTransId="{522A2B47-423E-E04B-AA28-A8B3D14E8836}"/>
    <dgm:cxn modelId="{84BC0D27-DEBF-5B4B-9E98-9D618DC1AF02}" type="presOf" srcId="{0E37AD4E-20F4-524F-990C-87BA9524D294}" destId="{85E6BDB5-4875-4E4C-B024-61B00C2D4C00}" srcOrd="0" destOrd="0" presId="urn:microsoft.com/office/officeart/2005/8/layout/hierarchy1"/>
    <dgm:cxn modelId="{FC362228-042F-4243-8CD8-AA702B9A8116}" srcId="{AA748E67-5F0F-664B-863E-65C3C64BDD5C}" destId="{8C7C4C0F-E750-6846-87A9-E68FBCDB1435}" srcOrd="0" destOrd="0" parTransId="{25F4778D-0701-264F-8585-179BAB3D04A4}" sibTransId="{36ED99EA-2CCE-724E-8355-AAAE13A4D997}"/>
    <dgm:cxn modelId="{C9A6EA28-2834-D14C-955A-5A9BB2BEE4B9}" type="presOf" srcId="{41CFB15A-0426-D844-ADAD-0532F2CABC53}" destId="{1C988994-65AC-D140-866E-7CF6DEE24473}" srcOrd="0" destOrd="0" presId="urn:microsoft.com/office/officeart/2005/8/layout/hierarchy1"/>
    <dgm:cxn modelId="{6455282A-2491-EE4A-8428-DB878158A032}" type="presOf" srcId="{30F83820-69BD-7543-9997-31C41E284A3B}" destId="{BA50AFFB-297B-4F46-BF2C-AC3B671C51A4}" srcOrd="0" destOrd="0" presId="urn:microsoft.com/office/officeart/2005/8/layout/hierarchy1"/>
    <dgm:cxn modelId="{5D334D2A-EC85-EE4A-BA9F-A7C401B70634}" type="presOf" srcId="{84F54D38-E23B-B24F-A42C-A6E5DFB3EEB5}" destId="{9A78526E-DBBB-8746-9A2E-858EB5300ED7}" srcOrd="0" destOrd="0" presId="urn:microsoft.com/office/officeart/2005/8/layout/hierarchy1"/>
    <dgm:cxn modelId="{9848672D-9397-CC45-B640-813167385933}" type="presOf" srcId="{236CF3A9-87C1-734F-B8B8-CAA90A8F0899}" destId="{7ABF219A-9248-E94D-9EBF-EE1BC62C6B90}" srcOrd="0" destOrd="0" presId="urn:microsoft.com/office/officeart/2005/8/layout/hierarchy1"/>
    <dgm:cxn modelId="{2D971731-F6A4-E647-8121-68D6E6C6CC4A}" srcId="{3C4925B7-560D-E244-A6BF-7662F128DFEA}" destId="{44D39568-D2E8-824A-9A6E-A3FF2B1C428A}" srcOrd="0" destOrd="0" parTransId="{B494D9BC-991B-D245-BC94-449FA9D3C188}" sibTransId="{A3478EF0-1C05-B54E-B52F-72B578E4AFDB}"/>
    <dgm:cxn modelId="{2D1ED532-BAE8-B542-B0BC-5B8F87E250A5}" type="presOf" srcId="{57685BE1-F224-0C46-9BB9-A54BAC03847D}" destId="{8029C407-319D-C84C-B276-8E27BD1545EB}" srcOrd="0" destOrd="0" presId="urn:microsoft.com/office/officeart/2005/8/layout/hierarchy1"/>
    <dgm:cxn modelId="{097C8933-ABB8-6745-A5E5-A47BD6F35266}" type="presOf" srcId="{08C8CDE7-5A77-E249-91BE-73BF67509CA4}" destId="{2B5FB1E7-ED4A-8447-8463-10B37E8A9D00}" srcOrd="0" destOrd="0" presId="urn:microsoft.com/office/officeart/2005/8/layout/hierarchy1"/>
    <dgm:cxn modelId="{BF257A34-A58B-AC48-ABCB-8540B00C66E6}" type="presOf" srcId="{B17BA0DF-C4AF-1D40-AC07-77EE174CDB7D}" destId="{64F8A6E4-0BE4-E248-8A1D-070F9CD048BF}" srcOrd="0" destOrd="0" presId="urn:microsoft.com/office/officeart/2005/8/layout/hierarchy1"/>
    <dgm:cxn modelId="{EE789D37-2C8D-A848-AD56-FB55F93E0382}" type="presOf" srcId="{E68B0516-1D74-1D43-92D4-FC1225B74916}" destId="{47F5A5B2-AE8F-CB45-B128-23BB8667F393}" srcOrd="0" destOrd="0" presId="urn:microsoft.com/office/officeart/2005/8/layout/hierarchy1"/>
    <dgm:cxn modelId="{7BA7DA3A-9FD5-C04E-980D-87CEA3C3DBE3}" type="presOf" srcId="{A840D6EC-8FE8-604B-BFED-A3B60D362693}" destId="{FE14176B-B6B6-A144-A2AA-074E0A70C005}" srcOrd="0" destOrd="0" presId="urn:microsoft.com/office/officeart/2005/8/layout/hierarchy1"/>
    <dgm:cxn modelId="{E044753C-F00F-A342-B431-F554C23909BE}" srcId="{ACB8277B-8273-D24C-BD5F-95C816675508}" destId="{163449A1-FAF0-274E-A022-D1FCD404F5C4}" srcOrd="0" destOrd="0" parTransId="{08C8CDE7-5A77-E249-91BE-73BF67509CA4}" sibTransId="{EDC0BE18-593E-5345-80CA-BB4843052EB7}"/>
    <dgm:cxn modelId="{56B2D83E-F4C9-8C43-9D60-4AAFFAE134BB}" type="presOf" srcId="{C161CAA7-A2DC-594E-AE2E-715329B4F4AE}" destId="{B9197E60-EC73-944A-8E82-D10E7B21EBA3}" srcOrd="0" destOrd="0" presId="urn:microsoft.com/office/officeart/2005/8/layout/hierarchy1"/>
    <dgm:cxn modelId="{CE144E5B-79E7-DE4A-8F82-A51225DF657A}" srcId="{6CBAF72A-87F0-BD41-A9AC-303EF3F773EE}" destId="{B17BA0DF-C4AF-1D40-AC07-77EE174CDB7D}" srcOrd="3" destOrd="0" parTransId="{30F83820-69BD-7543-9997-31C41E284A3B}" sibTransId="{40F9E7C8-6F50-D84B-B805-E3DC4F8A8B75}"/>
    <dgm:cxn modelId="{80680B5C-349A-BB44-823E-DE09DD105CCF}" type="presOf" srcId="{679817FC-FAA9-3B4B-B1F7-7909CC200FF6}" destId="{0BFACD97-1378-F34C-A714-58D68F7803BD}" srcOrd="0" destOrd="0" presId="urn:microsoft.com/office/officeart/2005/8/layout/hierarchy1"/>
    <dgm:cxn modelId="{25FABF5C-C9D5-0D43-9BF8-85EF8C2670D3}" type="presOf" srcId="{9A7B7B74-D431-FD4C-88D5-50C1CD367C16}" destId="{85B08C9B-B12C-3149-A3D0-E7C1A55FE0A5}" srcOrd="0" destOrd="0" presId="urn:microsoft.com/office/officeart/2005/8/layout/hierarchy1"/>
    <dgm:cxn modelId="{3806F45C-4959-674D-A21D-6118E22BCD16}" type="presOf" srcId="{1E6ECF42-ED94-4045-8861-0A8D6CDEF0C3}" destId="{810B30FF-27F8-7343-AE4D-9F6C5B0403C3}" srcOrd="0" destOrd="0" presId="urn:microsoft.com/office/officeart/2005/8/layout/hierarchy1"/>
    <dgm:cxn modelId="{283E1A5F-1015-894B-9F75-B3A819105098}" type="presOf" srcId="{1E5E8FAF-2BF1-5440-8A31-E97A3F69191E}" destId="{22BDD2E1-FFCF-144C-8401-1A29EC911271}" srcOrd="0" destOrd="0" presId="urn:microsoft.com/office/officeart/2005/8/layout/hierarchy1"/>
    <dgm:cxn modelId="{A8FEE762-67B9-FA40-AF84-0BBDE2BC0A33}" type="presOf" srcId="{A609CEA0-F5E8-2C41-B155-B4C4E73D9F4C}" destId="{5E4FACD5-77A2-AE48-85C3-B6F78B3DFE2A}" srcOrd="0" destOrd="0" presId="urn:microsoft.com/office/officeart/2005/8/layout/hierarchy1"/>
    <dgm:cxn modelId="{8758C445-C9AC-DD4A-8C5D-A806512676C4}" srcId="{8C7C4C0F-E750-6846-87A9-E68FBCDB1435}" destId="{377214CF-1F4D-6E4B-B22A-48B2AE33C3C6}" srcOrd="1" destOrd="0" parTransId="{BAF1B431-471A-5D43-8762-4F13484BD4CD}" sibTransId="{68E0BAE1-B6CA-AF46-B162-4AFD4A8896DB}"/>
    <dgm:cxn modelId="{5AE6CF65-2CA6-354D-A341-0666D20FAF4F}" type="presOf" srcId="{09283FE2-7FED-0E49-B39E-F62EFBB255C0}" destId="{E5B11808-0A27-7A47-8993-DEB702565B3A}" srcOrd="0" destOrd="0" presId="urn:microsoft.com/office/officeart/2005/8/layout/hierarchy1"/>
    <dgm:cxn modelId="{E16F3369-4F76-0541-B2DC-578FF1FEB9A4}" srcId="{236CF3A9-87C1-734F-B8B8-CAA90A8F0899}" destId="{A6C08A88-A883-6D45-B3F6-CF09B2752C12}" srcOrd="0" destOrd="0" parTransId="{BBDED4B9-9CA5-CB47-8F06-EF90FFECCF53}" sibTransId="{F8DA2609-4D2F-F147-89E7-B3EAF82C1EB4}"/>
    <dgm:cxn modelId="{BAC47F69-CDB3-A044-A71E-933DCE5AD4D8}" srcId="{2DCFC89C-592D-DB45-A08B-24C3B00EFECA}" destId="{ACB8277B-8273-D24C-BD5F-95C816675508}" srcOrd="0" destOrd="0" parTransId="{3B183194-28A4-764F-9AE0-B0EADE6A4610}" sibTransId="{202F9B7C-8A00-7B40-964F-877E660649B0}"/>
    <dgm:cxn modelId="{0542A44B-6C93-0F4E-BB48-362FBFA8A1DF}" type="presOf" srcId="{09828B7B-FC5C-3E43-8911-B92D8BD484A1}" destId="{3F640504-491E-874F-94AB-12F14FC918E8}" srcOrd="0" destOrd="0" presId="urn:microsoft.com/office/officeart/2005/8/layout/hierarchy1"/>
    <dgm:cxn modelId="{D6B9B76F-A3E3-6240-A9BE-F1A02230AD8F}" srcId="{AA748E67-5F0F-664B-863E-65C3C64BDD5C}" destId="{6CBAF72A-87F0-BD41-A9AC-303EF3F773EE}" srcOrd="2" destOrd="0" parTransId="{F995272C-1704-F548-AC60-CEE0623AAAC6}" sibTransId="{544B2E6C-8B87-2344-969F-347F71922D54}"/>
    <dgm:cxn modelId="{43809553-D3A0-774D-AF71-310620B7DACD}" type="presOf" srcId="{F889455B-7E83-4F48-8638-5863B85EAB15}" destId="{CE6102C4-4E0F-5A4D-A7EB-99C433F21565}" srcOrd="0" destOrd="0" presId="urn:microsoft.com/office/officeart/2005/8/layout/hierarchy1"/>
    <dgm:cxn modelId="{7D1D0C55-C45F-0544-A961-D5FF3770057A}" srcId="{CA88C85D-97A5-BE4D-9FFE-C97073F68412}" destId="{533A607A-CE00-E145-B663-E601077179A0}" srcOrd="2" destOrd="0" parTransId="{39DA1F30-8451-6E40-817A-933594DC1AE3}" sibTransId="{AC7FB389-5D82-D344-8FD5-C00023BACADE}"/>
    <dgm:cxn modelId="{354FC175-0111-7141-9410-4FAA51FCE4A6}" type="presOf" srcId="{A6C08A88-A883-6D45-B3F6-CF09B2752C12}" destId="{A0ADDB52-D2B0-384E-82C0-994E64740E1D}" srcOrd="0" destOrd="0" presId="urn:microsoft.com/office/officeart/2005/8/layout/hierarchy1"/>
    <dgm:cxn modelId="{8A1C2357-84D2-BE40-9422-3067826F8F07}" type="presOf" srcId="{0D4AECB0-52D6-5E44-B8CE-8448DCD43A22}" destId="{10C869F0-FA52-D34F-9BAD-0166FA9FDC14}" srcOrd="0" destOrd="0" presId="urn:microsoft.com/office/officeart/2005/8/layout/hierarchy1"/>
    <dgm:cxn modelId="{C8D40878-4E1D-984A-AEB6-47BC9A62C026}" type="presOf" srcId="{39DA1F30-8451-6E40-817A-933594DC1AE3}" destId="{58864210-6C60-CA4F-86C8-652B8103BC27}" srcOrd="0" destOrd="0" presId="urn:microsoft.com/office/officeart/2005/8/layout/hierarchy1"/>
    <dgm:cxn modelId="{EAF22758-F071-5F4B-9D6A-CF36FEC10993}" type="presOf" srcId="{1B5367BD-9A53-CD43-96A0-EE9FDB2F41D9}" destId="{5BDE1FBA-18E0-7B42-B16F-754ECB5AB90B}" srcOrd="0" destOrd="0" presId="urn:microsoft.com/office/officeart/2005/8/layout/hierarchy1"/>
    <dgm:cxn modelId="{2F44C379-4308-1647-B5E6-5F2CC3D4922C}" srcId="{A6C08A88-A883-6D45-B3F6-CF09B2752C12}" destId="{E6424CDB-769A-C643-8395-ABA1D8C4A64D}" srcOrd="2" destOrd="0" parTransId="{FD11CC0F-DBAF-8A44-8F0C-33C487444478}" sibTransId="{83293DD6-6059-404C-BA9C-6CBEC8D30B2C}"/>
    <dgm:cxn modelId="{621BFB7C-7970-3842-AE39-9DF053EBF317}" type="presOf" srcId="{377214CF-1F4D-6E4B-B22A-48B2AE33C3C6}" destId="{250460E6-71C5-0747-9350-06724D88639C}" srcOrd="0" destOrd="0" presId="urn:microsoft.com/office/officeart/2005/8/layout/hierarchy1"/>
    <dgm:cxn modelId="{9195AB7E-77A6-B742-A94A-50DD407C8343}" srcId="{2DCFC89C-592D-DB45-A08B-24C3B00EFECA}" destId="{7C13EB6E-CBA6-5649-8A61-33C82DAD54D7}" srcOrd="1" destOrd="0" parTransId="{8C798D8E-DB95-D94E-B7E6-BDFD3E487826}" sibTransId="{A36AEDE4-C227-664C-9F5C-E8332E8BB7B5}"/>
    <dgm:cxn modelId="{5A6F2982-C728-A74F-BAE7-7F8002866665}" type="presOf" srcId="{533A607A-CE00-E145-B663-E601077179A0}" destId="{BF5AE55C-470D-1946-A9B3-73278FA650F5}" srcOrd="0" destOrd="0" presId="urn:microsoft.com/office/officeart/2005/8/layout/hierarchy1"/>
    <dgm:cxn modelId="{89A47A83-8D6B-4A48-A7C9-C902E4F0AEFD}" srcId="{44D39568-D2E8-824A-9A6E-A3FF2B1C428A}" destId="{9A7B7B74-D431-FD4C-88D5-50C1CD367C16}" srcOrd="0" destOrd="0" parTransId="{41CFB15A-0426-D844-ADAD-0532F2CABC53}" sibTransId="{E659F4E2-FA4B-ED48-9FDF-C5417300730C}"/>
    <dgm:cxn modelId="{79C9B183-E176-BA4E-89AE-46E9846FA494}" type="presOf" srcId="{E935EEF9-17EA-1E43-A3D8-8702489634B7}" destId="{F2C37300-DFA2-DC41-9E86-F30232D5B4FF}" srcOrd="0" destOrd="0" presId="urn:microsoft.com/office/officeart/2005/8/layout/hierarchy1"/>
    <dgm:cxn modelId="{61C95B88-94F9-7F40-A139-5390A947EFC8}" srcId="{AEEA611F-025C-B14D-B9E0-A368DAE35336}" destId="{401B063C-9410-8B47-A63B-4B18B287113C}" srcOrd="0" destOrd="0" parTransId="{86D0A3B9-78AB-6643-8C90-9E52E2700B19}" sibTransId="{B301724B-339D-0041-822C-58119960F003}"/>
    <dgm:cxn modelId="{73BBCE8A-0136-CB46-84D1-6BB83091C8FA}" type="presOf" srcId="{8369DE55-13C0-8041-9CE0-626BEC91281E}" destId="{A8180F07-1629-2840-AB3E-ACDE12A2D907}" srcOrd="0" destOrd="0" presId="urn:microsoft.com/office/officeart/2005/8/layout/hierarchy1"/>
    <dgm:cxn modelId="{CC64078F-707C-534A-B0EA-23AE6FA50F42}" type="presOf" srcId="{8C7C4C0F-E750-6846-87A9-E68FBCDB1435}" destId="{DE5A4D00-BC72-994C-9772-ABDBE7617AED}" srcOrd="0" destOrd="0" presId="urn:microsoft.com/office/officeart/2005/8/layout/hierarchy1"/>
    <dgm:cxn modelId="{938BF892-8053-5144-92BF-B478B2C7FC11}" type="presOf" srcId="{F995272C-1704-F548-AC60-CEE0623AAAC6}" destId="{B6BA164E-7269-5945-8D1A-FF79A6176A11}" srcOrd="0" destOrd="0" presId="urn:microsoft.com/office/officeart/2005/8/layout/hierarchy1"/>
    <dgm:cxn modelId="{C2CF1C94-CB22-364B-A87E-3690D8EFEBE8}" type="presOf" srcId="{33411687-78A4-BC42-B739-43B2871D1368}" destId="{1E1DF760-9176-5047-81B2-9546D1E097F3}" srcOrd="0" destOrd="0" presId="urn:microsoft.com/office/officeart/2005/8/layout/hierarchy1"/>
    <dgm:cxn modelId="{9705CC95-53F5-6843-8F02-0CF4E8A8924C}" type="presOf" srcId="{8C798D8E-DB95-D94E-B7E6-BDFD3E487826}" destId="{84D357AB-38A4-D248-AF7B-5F119D5796C3}" srcOrd="0" destOrd="0" presId="urn:microsoft.com/office/officeart/2005/8/layout/hierarchy1"/>
    <dgm:cxn modelId="{4F9EB397-969D-2442-9B80-3D1722B4E1C7}" type="presOf" srcId="{05E25329-29E1-3542-A421-A54273182A71}" destId="{1EA7AE1D-3A42-434C-B45A-0B9D6712B865}" srcOrd="0" destOrd="0" presId="urn:microsoft.com/office/officeart/2005/8/layout/hierarchy1"/>
    <dgm:cxn modelId="{E5E36D9F-7BBD-A545-8F7F-7B43F531AFDD}" type="presOf" srcId="{3C4925B7-560D-E244-A6BF-7662F128DFEA}" destId="{D5DBD914-AC00-084B-B400-BBCE24AFCCCB}" srcOrd="0" destOrd="0" presId="urn:microsoft.com/office/officeart/2005/8/layout/hierarchy1"/>
    <dgm:cxn modelId="{4054B9A6-5518-F84A-ADF7-A4858152CDB1}" type="presOf" srcId="{F41BD78A-AA39-264D-9AA8-BDC467339E97}" destId="{CB45AEC9-1796-4E41-8B51-B2EA88A352BF}" srcOrd="0" destOrd="0" presId="urn:microsoft.com/office/officeart/2005/8/layout/hierarchy1"/>
    <dgm:cxn modelId="{B5099AAA-AAA3-F841-BF0A-569A8ECDF0F0}" srcId="{163449A1-FAF0-274E-A022-D1FCD404F5C4}" destId="{33411687-78A4-BC42-B739-43B2871D1368}" srcOrd="0" destOrd="0" parTransId="{0E37AD4E-20F4-524F-990C-87BA9524D294}" sibTransId="{3200E773-E7B9-434D-9F92-C6A1679E49A5}"/>
    <dgm:cxn modelId="{F132EDAA-3D03-0D4D-B434-9EDDBBCDC95E}" srcId="{CA88C85D-97A5-BE4D-9FFE-C97073F68412}" destId="{0D15EC5C-648D-2747-A685-2B76703D4306}" srcOrd="0" destOrd="0" parTransId="{59D00188-9741-8C4A-9ED0-1DA6B8646B33}" sibTransId="{A8DB6A13-0887-0A4A-8160-0EDCED8FA091}"/>
    <dgm:cxn modelId="{4BCBF6AE-B0D0-3C49-94AD-AB899FC2BB89}" srcId="{401B063C-9410-8B47-A63B-4B18B287113C}" destId="{467ECC50-8528-7740-80EC-3740C88A0DB5}" srcOrd="1" destOrd="0" parTransId="{A840D6EC-8FE8-604B-BFED-A3B60D362693}" sibTransId="{0447C4D7-8BDB-C746-8BB9-174EBBE3ADC9}"/>
    <dgm:cxn modelId="{B52355B2-19B7-C940-BC79-EBFE1A5BFF2B}" type="presOf" srcId="{163449A1-FAF0-274E-A022-D1FCD404F5C4}" destId="{73E1E7A1-A84F-594F-B068-9350AFA0DABE}" srcOrd="0" destOrd="0" presId="urn:microsoft.com/office/officeart/2005/8/layout/hierarchy1"/>
    <dgm:cxn modelId="{4E1DD0B2-88F1-DE40-8C6B-397C128BCF95}" srcId="{3C4925B7-560D-E244-A6BF-7662F128DFEA}" destId="{1B5367BD-9A53-CD43-96A0-EE9FDB2F41D9}" srcOrd="1" destOrd="0" parTransId="{E935EEF9-17EA-1E43-A3D8-8702489634B7}" sibTransId="{F07C7855-B06B-8D4A-8053-7823CB5B7C45}"/>
    <dgm:cxn modelId="{BE5B95BA-C31A-F846-8173-42EBFDE52C7B}" srcId="{6CBAF72A-87F0-BD41-A9AC-303EF3F773EE}" destId="{3C4925B7-560D-E244-A6BF-7662F128DFEA}" srcOrd="0" destOrd="0" parTransId="{5C3D80B8-6B12-3647-94E3-93EAE92D2F3D}" sibTransId="{EF694FF5-19F2-2043-8B5E-F2C584E23D98}"/>
    <dgm:cxn modelId="{BB95DBBB-EBE8-3241-844E-4EDF43CC0006}" type="presOf" srcId="{800CDA2D-2107-FC47-9E6F-1A337AD2A60A}" destId="{F5BA360C-7EF9-C54D-A441-F558C3AA88EB}" srcOrd="0" destOrd="0" presId="urn:microsoft.com/office/officeart/2005/8/layout/hierarchy1"/>
    <dgm:cxn modelId="{D9CBEFBC-7FB5-4B4C-8F2E-4494E49C0C51}" type="presOf" srcId="{467ECC50-8528-7740-80EC-3740C88A0DB5}" destId="{4EA26F61-0117-D94D-9C33-754E2ECC6B1F}" srcOrd="0" destOrd="0" presId="urn:microsoft.com/office/officeart/2005/8/layout/hierarchy1"/>
    <dgm:cxn modelId="{E93C87C1-6A2E-3D42-A7BC-D6A9BAECC44F}" type="presOf" srcId="{5C3D80B8-6B12-3647-94E3-93EAE92D2F3D}" destId="{F047285E-6150-2348-928D-63F0AB5938FF}" srcOrd="0" destOrd="0" presId="urn:microsoft.com/office/officeart/2005/8/layout/hierarchy1"/>
    <dgm:cxn modelId="{42985BC7-29DA-C542-B4FB-75CE392C158E}" srcId="{A6C08A88-A883-6D45-B3F6-CF09B2752C12}" destId="{29386D07-B364-CE46-81BB-BF1719A7906C}" srcOrd="0" destOrd="0" parTransId="{D6BDF180-384A-7F44-8E04-6564090E764D}" sibTransId="{C412A6F9-1D3B-C644-BC3D-87E6EB2AD7C6}"/>
    <dgm:cxn modelId="{6DC743C7-5C96-0241-A90E-666670E8F128}" type="presOf" srcId="{7C13EB6E-CBA6-5649-8A61-33C82DAD54D7}" destId="{8AA58B5C-C611-DC44-BF3C-B644BB159F81}" srcOrd="0" destOrd="0" presId="urn:microsoft.com/office/officeart/2005/8/layout/hierarchy1"/>
    <dgm:cxn modelId="{070877C7-8171-134E-B2E7-5C7482DCBB9A}" type="presOf" srcId="{3863A201-CA80-A541-95BA-826AD2B1F647}" destId="{8B2F26B7-6F3B-3B43-8A93-BFE21E5213F8}" srcOrd="0" destOrd="0" presId="urn:microsoft.com/office/officeart/2005/8/layout/hierarchy1"/>
    <dgm:cxn modelId="{D9A78DC7-FD77-C847-8E74-2085336DEEB4}" srcId="{AA748E67-5F0F-664B-863E-65C3C64BDD5C}" destId="{2DCFC89C-592D-DB45-A08B-24C3B00EFECA}" srcOrd="1" destOrd="0" parTransId="{78CCD0FC-3EC4-BB41-8355-24F76A14AA98}" sibTransId="{75ABA706-07F0-9D40-9C2D-EB02659D4009}"/>
    <dgm:cxn modelId="{BBFCF1C7-9C66-B04F-937C-DCB8026D9B3A}" type="presOf" srcId="{44D39568-D2E8-824A-9A6E-A3FF2B1C428A}" destId="{BCA02C50-0075-CF4F-A12A-38B61472B563}" srcOrd="0" destOrd="0" presId="urn:microsoft.com/office/officeart/2005/8/layout/hierarchy1"/>
    <dgm:cxn modelId="{36AA57C9-D84A-6E4D-AD8D-958107008938}" type="presOf" srcId="{393AB9E2-01D5-C34B-93B7-38500C0B6B14}" destId="{93814C58-A31F-314C-BF29-334781E199D6}" srcOrd="0" destOrd="0" presId="urn:microsoft.com/office/officeart/2005/8/layout/hierarchy1"/>
    <dgm:cxn modelId="{F2E34FCA-F94F-C04D-8D95-079EC4FC3D7B}" type="presOf" srcId="{9DD044B7-BB1B-8C4B-83A7-DA2087BD1637}" destId="{A8A03A70-4DA2-E94C-A480-55A7E720E74C}" srcOrd="0" destOrd="0" presId="urn:microsoft.com/office/officeart/2005/8/layout/hierarchy1"/>
    <dgm:cxn modelId="{F45B40CF-4823-1B48-9C2C-CFEA89651DED}" srcId="{A6C08A88-A883-6D45-B3F6-CF09B2752C12}" destId="{AA748E67-5F0F-664B-863E-65C3C64BDD5C}" srcOrd="3" destOrd="0" parTransId="{B1CBDDCA-C539-9549-8ACB-794FD570A012}" sibTransId="{CE0EBB15-826F-FB43-BCAA-347AB465C235}"/>
    <dgm:cxn modelId="{C63957D2-9847-C949-A9FA-37A1D522F35A}" type="presOf" srcId="{F056AEE6-2C25-104C-B2C6-61CA2976D8EC}" destId="{277B5141-6FC8-D043-BF7F-88B9DC2666F3}" srcOrd="0" destOrd="0" presId="urn:microsoft.com/office/officeart/2005/8/layout/hierarchy1"/>
    <dgm:cxn modelId="{9B867ED4-EF0F-CD4F-8A0B-781D6E7B55B2}" srcId="{401B063C-9410-8B47-A63B-4B18B287113C}" destId="{5F9FD34B-3FC4-AB45-8AF2-2A1653419F70}" srcOrd="2" destOrd="0" parTransId="{1E6ECF42-ED94-4045-8861-0A8D6CDEF0C3}" sibTransId="{4C6D52E7-4C66-9C49-B910-FA497895AD0E}"/>
    <dgm:cxn modelId="{6BDE93D5-C689-6B4C-BE1A-9BE24D39D424}" srcId="{8C7C4C0F-E750-6846-87A9-E68FBCDB1435}" destId="{8369DE55-13C0-8041-9CE0-626BEC91281E}" srcOrd="3" destOrd="0" parTransId="{1A9DCF06-2D1D-BF40-BE75-EC0486056D9C}" sibTransId="{C38C8773-15AE-E247-A76B-01FC451C2F43}"/>
    <dgm:cxn modelId="{6FC8A5D9-889C-BD45-AA22-30204AACD63C}" type="presOf" srcId="{DD7C1CE7-368E-D74E-B8B8-73FF656DB094}" destId="{EBC817EB-010D-6643-953A-4EB4F9F30FAD}" srcOrd="0" destOrd="0" presId="urn:microsoft.com/office/officeart/2005/8/layout/hierarchy1"/>
    <dgm:cxn modelId="{2E269BDB-0EEA-D54E-B722-B4C0D582204D}" type="presOf" srcId="{29386D07-B364-CE46-81BB-BF1719A7906C}" destId="{43CBF0A2-FCE8-CC4D-B269-8396BF0828F2}" srcOrd="0" destOrd="0" presId="urn:microsoft.com/office/officeart/2005/8/layout/hierarchy1"/>
    <dgm:cxn modelId="{757FAFDD-4014-F642-BB21-99D13F40A28A}" srcId="{09828B7B-FC5C-3E43-8911-B92D8BD484A1}" destId="{1E5E8FAF-2BF1-5440-8A31-E97A3F69191E}" srcOrd="0" destOrd="0" parTransId="{05E25329-29E1-3542-A421-A54273182A71}" sibTransId="{30DFAEC3-973F-874A-BA8F-73BCA987E937}"/>
    <dgm:cxn modelId="{4C4D78DF-1D6F-214D-BFA7-41CCFC302937}" type="presOf" srcId="{25F4778D-0701-264F-8585-179BAB3D04A4}" destId="{E7F8CA02-B61F-4245-8311-5680EA767999}" srcOrd="0" destOrd="0" presId="urn:microsoft.com/office/officeart/2005/8/layout/hierarchy1"/>
    <dgm:cxn modelId="{0577EFE0-0757-4D43-9F4D-E833226F40BD}" type="presOf" srcId="{5F9FD34B-3FC4-AB45-8AF2-2A1653419F70}" destId="{14267CE6-9ABA-BE46-8266-414BE118BFD9}" srcOrd="0" destOrd="0" presId="urn:microsoft.com/office/officeart/2005/8/layout/hierarchy1"/>
    <dgm:cxn modelId="{3AD316E2-45D2-A843-8C19-F5BF28164222}" srcId="{3C4925B7-560D-E244-A6BF-7662F128DFEA}" destId="{09828B7B-FC5C-3E43-8911-B92D8BD484A1}" srcOrd="2" destOrd="0" parTransId="{DD7C1CE7-368E-D74E-B8B8-73FF656DB094}" sibTransId="{1F39E644-10E9-274C-8BF2-645DE2A1F1D4}"/>
    <dgm:cxn modelId="{8F6670E4-160D-0B45-9020-8A91194DFE32}" type="presOf" srcId="{6CBAF72A-87F0-BD41-A9AC-303EF3F773EE}" destId="{966CD39C-BB71-A34C-8016-2ED295FE9B84}" srcOrd="0" destOrd="0" presId="urn:microsoft.com/office/officeart/2005/8/layout/hierarchy1"/>
    <dgm:cxn modelId="{53C9ECE5-2F35-BC49-8962-5D2EEF71A8EB}" type="presOf" srcId="{AA748E67-5F0F-664B-863E-65C3C64BDD5C}" destId="{D9F14714-8FAE-5444-9ABA-D84DEB831012}" srcOrd="0" destOrd="0" presId="urn:microsoft.com/office/officeart/2005/8/layout/hierarchy1"/>
    <dgm:cxn modelId="{7B25F7E9-45BA-454D-B7AA-0495D15CA675}" type="presOf" srcId="{3FAF60AD-D860-134F-A802-4585774E97CC}" destId="{08109481-FCAB-E340-893E-DB5DF0293404}" srcOrd="0" destOrd="0" presId="urn:microsoft.com/office/officeart/2005/8/layout/hierarchy1"/>
    <dgm:cxn modelId="{168211EE-2386-C146-ACB8-7EFF42050026}" srcId="{8C7C4C0F-E750-6846-87A9-E68FBCDB1435}" destId="{1F2B1A0A-A5BF-334C-8D71-3C539D489282}" srcOrd="0" destOrd="0" parTransId="{F056AEE6-2C25-104C-B2C6-61CA2976D8EC}" sibTransId="{97F8D6FB-C8AE-A544-943F-84448C9DB174}"/>
    <dgm:cxn modelId="{B6A55CF1-A583-824E-AE90-B5EE9A09D3F8}" srcId="{1D0AF25B-D9BE-7240-BBC5-0833D57CEEE5}" destId="{AEEA611F-025C-B14D-B9E0-A368DAE35336}" srcOrd="2" destOrd="0" parTransId="{800CDA2D-2107-FC47-9E6F-1A337AD2A60A}" sibTransId="{E15976EF-1926-8748-A5FF-D3558000F7CB}"/>
    <dgm:cxn modelId="{FB04D1F1-E9FB-6B47-A276-CF373C50BBB9}" type="presOf" srcId="{86D0A3B9-78AB-6643-8C90-9E52E2700B19}" destId="{59E2380A-F2A8-F445-809C-5703A9AB3EE9}" srcOrd="0" destOrd="0" presId="urn:microsoft.com/office/officeart/2005/8/layout/hierarchy1"/>
    <dgm:cxn modelId="{0EC717F2-E64F-0B4C-B129-BEC455146C3D}" type="presOf" srcId="{1A9DCF06-2D1D-BF40-BE75-EC0486056D9C}" destId="{FD57A6D8-FB23-914B-AA19-BE321CC6CAC4}" srcOrd="0" destOrd="0" presId="urn:microsoft.com/office/officeart/2005/8/layout/hierarchy1"/>
    <dgm:cxn modelId="{83ED33F6-3E62-6E41-AF2A-816FC96AD155}" srcId="{ACB8277B-8273-D24C-BD5F-95C816675508}" destId="{679817FC-FAA9-3B4B-B1F7-7909CC200FF6}" srcOrd="1" destOrd="0" parTransId="{84F54D38-E23B-B24F-A42C-A6E5DFB3EEB5}" sibTransId="{44649017-4F43-2845-947A-71BFF9446F8A}"/>
    <dgm:cxn modelId="{85E574F8-015D-D447-B523-9FCF68AA26B8}" type="presOf" srcId="{B4CED325-8168-4748-AE8E-FE7AC7C0D60A}" destId="{7BE4D196-BD1F-F444-A8DF-762030DFD900}" srcOrd="0" destOrd="0" presId="urn:microsoft.com/office/officeart/2005/8/layout/hierarchy1"/>
    <dgm:cxn modelId="{0DF924FA-3C5E-204D-812D-75EDA7AE5A6F}" srcId="{A6C08A88-A883-6D45-B3F6-CF09B2752C12}" destId="{E68B0516-1D74-1D43-92D4-FC1225B74916}" srcOrd="1" destOrd="0" parTransId="{0D4AECB0-52D6-5E44-B8CE-8448DCD43A22}" sibTransId="{D7857FE4-5D23-E24F-A6BA-91F73382C5C4}"/>
    <dgm:cxn modelId="{9495A1FA-3268-5647-B602-E2ECFC6B84C3}" type="presOf" srcId="{1D0AF25B-D9BE-7240-BBC5-0833D57CEEE5}" destId="{86DC9ACB-E1F9-1D43-98A6-D0E0037916F6}" srcOrd="0" destOrd="0" presId="urn:microsoft.com/office/officeart/2005/8/layout/hierarchy1"/>
    <dgm:cxn modelId="{C15B9FFC-E10C-284A-9226-454F59FA969E}" type="presOf" srcId="{1F2B1A0A-A5BF-334C-8D71-3C539D489282}" destId="{D247BFE0-EDB5-5041-A103-8CBD2FE1778F}" srcOrd="0" destOrd="0" presId="urn:microsoft.com/office/officeart/2005/8/layout/hierarchy1"/>
    <dgm:cxn modelId="{3F6368FD-A22D-A741-8C3F-1D43ED06E1A7}" type="presOf" srcId="{09E82BE4-012E-CC43-94DE-CD6575D5F8DA}" destId="{0893E211-A2B6-794F-AD87-7026268AA5EF}" srcOrd="0" destOrd="0" presId="urn:microsoft.com/office/officeart/2005/8/layout/hierarchy1"/>
    <dgm:cxn modelId="{5CC5C0FD-46E4-494A-8BB2-53475F2294D9}" type="presOf" srcId="{ACB8277B-8273-D24C-BD5F-95C816675508}" destId="{C4CD8C67-A7E0-254E-A87A-B8EAC1766537}" srcOrd="0" destOrd="0" presId="urn:microsoft.com/office/officeart/2005/8/layout/hierarchy1"/>
    <dgm:cxn modelId="{1C31FCF3-F908-9849-9AFF-ECBEA08E43C5}" type="presParOf" srcId="{7ABF219A-9248-E94D-9EBF-EE1BC62C6B90}" destId="{DC3CDFE1-CAA7-B24E-964B-F6248681EA1F}" srcOrd="0" destOrd="0" presId="urn:microsoft.com/office/officeart/2005/8/layout/hierarchy1"/>
    <dgm:cxn modelId="{DF095B6A-86B1-9046-8935-3BD8905C2C9F}" type="presParOf" srcId="{DC3CDFE1-CAA7-B24E-964B-F6248681EA1F}" destId="{1E5746C7-72CD-2047-945B-5E9224FFD7A3}" srcOrd="0" destOrd="0" presId="urn:microsoft.com/office/officeart/2005/8/layout/hierarchy1"/>
    <dgm:cxn modelId="{3AF0E501-AAC0-B84E-9D7A-37697C1E8661}" type="presParOf" srcId="{1E5746C7-72CD-2047-945B-5E9224FFD7A3}" destId="{33B571D5-2D92-3A4F-A404-668EA488AF60}" srcOrd="0" destOrd="0" presId="urn:microsoft.com/office/officeart/2005/8/layout/hierarchy1"/>
    <dgm:cxn modelId="{1439384F-F9DB-854B-B83E-BA0C19F5F83D}" type="presParOf" srcId="{1E5746C7-72CD-2047-945B-5E9224FFD7A3}" destId="{A0ADDB52-D2B0-384E-82C0-994E64740E1D}" srcOrd="1" destOrd="0" presId="urn:microsoft.com/office/officeart/2005/8/layout/hierarchy1"/>
    <dgm:cxn modelId="{45692323-E57D-4C43-9665-F7304A0CEE03}" type="presParOf" srcId="{DC3CDFE1-CAA7-B24E-964B-F6248681EA1F}" destId="{134F1387-C7D4-DD45-AC91-59BACB6E9475}" srcOrd="1" destOrd="0" presId="urn:microsoft.com/office/officeart/2005/8/layout/hierarchy1"/>
    <dgm:cxn modelId="{F65F9DFB-4687-124A-97BD-B9CDD1696545}" type="presParOf" srcId="{134F1387-C7D4-DD45-AC91-59BACB6E9475}" destId="{F3178C38-D06E-5847-9421-080EFA395369}" srcOrd="0" destOrd="0" presId="urn:microsoft.com/office/officeart/2005/8/layout/hierarchy1"/>
    <dgm:cxn modelId="{32B60618-01B7-934E-B9BD-2B0E5C13AB2D}" type="presParOf" srcId="{134F1387-C7D4-DD45-AC91-59BACB6E9475}" destId="{F9684E92-271F-3C48-AD5F-BC3987C924E2}" srcOrd="1" destOrd="0" presId="urn:microsoft.com/office/officeart/2005/8/layout/hierarchy1"/>
    <dgm:cxn modelId="{F9FAFB20-3EF0-D149-AABC-2D2FB2641B27}" type="presParOf" srcId="{F9684E92-271F-3C48-AD5F-BC3987C924E2}" destId="{9404F49B-42D8-864B-B98A-1EFE5051F5B2}" srcOrd="0" destOrd="0" presId="urn:microsoft.com/office/officeart/2005/8/layout/hierarchy1"/>
    <dgm:cxn modelId="{5A84A374-38D2-F943-B2D5-A3EA2ABED5AC}" type="presParOf" srcId="{9404F49B-42D8-864B-B98A-1EFE5051F5B2}" destId="{CB7F5685-82A4-0848-9841-721596122225}" srcOrd="0" destOrd="0" presId="urn:microsoft.com/office/officeart/2005/8/layout/hierarchy1"/>
    <dgm:cxn modelId="{8ECF039E-9149-874D-B8C7-98B7F2E20CC7}" type="presParOf" srcId="{9404F49B-42D8-864B-B98A-1EFE5051F5B2}" destId="{43CBF0A2-FCE8-CC4D-B269-8396BF0828F2}" srcOrd="1" destOrd="0" presId="urn:microsoft.com/office/officeart/2005/8/layout/hierarchy1"/>
    <dgm:cxn modelId="{1952C420-23CD-284F-BED8-D20D821CC896}" type="presParOf" srcId="{F9684E92-271F-3C48-AD5F-BC3987C924E2}" destId="{88DA26CD-BCBC-DF45-8080-3A94301EE851}" srcOrd="1" destOrd="0" presId="urn:microsoft.com/office/officeart/2005/8/layout/hierarchy1"/>
    <dgm:cxn modelId="{52867C52-421E-F348-B804-755F432257AD}" type="presParOf" srcId="{134F1387-C7D4-DD45-AC91-59BACB6E9475}" destId="{10C869F0-FA52-D34F-9BAD-0166FA9FDC14}" srcOrd="2" destOrd="0" presId="urn:microsoft.com/office/officeart/2005/8/layout/hierarchy1"/>
    <dgm:cxn modelId="{624ABBFD-1218-874A-AE25-5E53C3403C06}" type="presParOf" srcId="{134F1387-C7D4-DD45-AC91-59BACB6E9475}" destId="{C5B59BDB-FA97-E549-B82A-43C694152EAD}" srcOrd="3" destOrd="0" presId="urn:microsoft.com/office/officeart/2005/8/layout/hierarchy1"/>
    <dgm:cxn modelId="{B18A2421-8971-E443-B378-000FD715A63A}" type="presParOf" srcId="{C5B59BDB-FA97-E549-B82A-43C694152EAD}" destId="{15793B0F-BBD4-6A42-A364-030D3281AFDF}" srcOrd="0" destOrd="0" presId="urn:microsoft.com/office/officeart/2005/8/layout/hierarchy1"/>
    <dgm:cxn modelId="{1A5DC8AB-F34A-3F47-B2D4-A6D1EA72C9A8}" type="presParOf" srcId="{15793B0F-BBD4-6A42-A364-030D3281AFDF}" destId="{A781263A-1457-C449-99CE-9C00A896A485}" srcOrd="0" destOrd="0" presId="urn:microsoft.com/office/officeart/2005/8/layout/hierarchy1"/>
    <dgm:cxn modelId="{5D2403FA-5FEE-FB41-A47B-163F8A44A709}" type="presParOf" srcId="{15793B0F-BBD4-6A42-A364-030D3281AFDF}" destId="{47F5A5B2-AE8F-CB45-B128-23BB8667F393}" srcOrd="1" destOrd="0" presId="urn:microsoft.com/office/officeart/2005/8/layout/hierarchy1"/>
    <dgm:cxn modelId="{4FF6CE4C-4709-0B43-B190-755E288F384C}" type="presParOf" srcId="{C5B59BDB-FA97-E549-B82A-43C694152EAD}" destId="{4498FD3C-EF4E-DA44-BCF9-BF3F6D420F7E}" srcOrd="1" destOrd="0" presId="urn:microsoft.com/office/officeart/2005/8/layout/hierarchy1"/>
    <dgm:cxn modelId="{95BBA9BA-866B-0A4B-9E55-656F2F5BEE85}" type="presParOf" srcId="{134F1387-C7D4-DD45-AC91-59BACB6E9475}" destId="{4A1434B0-1121-D847-BA1C-FA663E050A04}" srcOrd="4" destOrd="0" presId="urn:microsoft.com/office/officeart/2005/8/layout/hierarchy1"/>
    <dgm:cxn modelId="{326157BD-F81F-3949-8C28-863E9CBB8CBA}" type="presParOf" srcId="{134F1387-C7D4-DD45-AC91-59BACB6E9475}" destId="{FA89512B-96B9-694F-925A-DBF425A3F2AE}" srcOrd="5" destOrd="0" presId="urn:microsoft.com/office/officeart/2005/8/layout/hierarchy1"/>
    <dgm:cxn modelId="{10215132-17A2-2644-888C-1EC6130F4ED2}" type="presParOf" srcId="{FA89512B-96B9-694F-925A-DBF425A3F2AE}" destId="{5E7231D7-750B-C043-A763-C16198927E23}" srcOrd="0" destOrd="0" presId="urn:microsoft.com/office/officeart/2005/8/layout/hierarchy1"/>
    <dgm:cxn modelId="{D2EC85A4-AC33-9A43-A8CF-C94943DA21B8}" type="presParOf" srcId="{5E7231D7-750B-C043-A763-C16198927E23}" destId="{EDCFE199-596D-8B4A-B39E-1E79B9DA2F3E}" srcOrd="0" destOrd="0" presId="urn:microsoft.com/office/officeart/2005/8/layout/hierarchy1"/>
    <dgm:cxn modelId="{D049E778-C951-7A48-93BC-A4F8F963E0D7}" type="presParOf" srcId="{5E7231D7-750B-C043-A763-C16198927E23}" destId="{A723995F-A0F4-FC47-8634-B8B0083E8E3C}" srcOrd="1" destOrd="0" presId="urn:microsoft.com/office/officeart/2005/8/layout/hierarchy1"/>
    <dgm:cxn modelId="{EC9FB98F-D5E3-B746-86BD-899FB672142C}" type="presParOf" srcId="{FA89512B-96B9-694F-925A-DBF425A3F2AE}" destId="{A9A07F53-2241-1243-AE30-87FA96C6E359}" srcOrd="1" destOrd="0" presId="urn:microsoft.com/office/officeart/2005/8/layout/hierarchy1"/>
    <dgm:cxn modelId="{1B5D7393-D4D9-5A49-93B6-98356F692550}" type="presParOf" srcId="{134F1387-C7D4-DD45-AC91-59BACB6E9475}" destId="{6E1A4C70-B2B4-1D48-B71E-5C1E545487BB}" srcOrd="6" destOrd="0" presId="urn:microsoft.com/office/officeart/2005/8/layout/hierarchy1"/>
    <dgm:cxn modelId="{085D6CED-134D-4540-A633-2E1B02EEF431}" type="presParOf" srcId="{134F1387-C7D4-DD45-AC91-59BACB6E9475}" destId="{3C6DB9DB-E65D-F547-945D-B5AFC79A898B}" srcOrd="7" destOrd="0" presId="urn:microsoft.com/office/officeart/2005/8/layout/hierarchy1"/>
    <dgm:cxn modelId="{F7985659-B561-434D-B665-2E8AFF605492}" type="presParOf" srcId="{3C6DB9DB-E65D-F547-945D-B5AFC79A898B}" destId="{3B170C92-3B63-CB41-8E82-FBF4A630D4EB}" srcOrd="0" destOrd="0" presId="urn:microsoft.com/office/officeart/2005/8/layout/hierarchy1"/>
    <dgm:cxn modelId="{19E8473F-7381-024E-8BF5-CB7661086A5B}" type="presParOf" srcId="{3B170C92-3B63-CB41-8E82-FBF4A630D4EB}" destId="{0A745CD2-3087-2341-B5E8-D23539E631F3}" srcOrd="0" destOrd="0" presId="urn:microsoft.com/office/officeart/2005/8/layout/hierarchy1"/>
    <dgm:cxn modelId="{DDF41BA0-4641-8C46-8A13-B760EA4CC871}" type="presParOf" srcId="{3B170C92-3B63-CB41-8E82-FBF4A630D4EB}" destId="{D9F14714-8FAE-5444-9ABA-D84DEB831012}" srcOrd="1" destOrd="0" presId="urn:microsoft.com/office/officeart/2005/8/layout/hierarchy1"/>
    <dgm:cxn modelId="{EB6ACA60-03A5-6247-8862-8A2E606522F3}" type="presParOf" srcId="{3C6DB9DB-E65D-F547-945D-B5AFC79A898B}" destId="{9108746D-60CA-7840-868C-FC7714763FB3}" srcOrd="1" destOrd="0" presId="urn:microsoft.com/office/officeart/2005/8/layout/hierarchy1"/>
    <dgm:cxn modelId="{64D45A5B-EDFA-B145-852E-5DBD5C95EB13}" type="presParOf" srcId="{9108746D-60CA-7840-868C-FC7714763FB3}" destId="{E7F8CA02-B61F-4245-8311-5680EA767999}" srcOrd="0" destOrd="0" presId="urn:microsoft.com/office/officeart/2005/8/layout/hierarchy1"/>
    <dgm:cxn modelId="{82AADFC7-2920-8149-BAD8-AAEFECA48167}" type="presParOf" srcId="{9108746D-60CA-7840-868C-FC7714763FB3}" destId="{26D11205-8187-2A48-96B7-817D03490577}" srcOrd="1" destOrd="0" presId="urn:microsoft.com/office/officeart/2005/8/layout/hierarchy1"/>
    <dgm:cxn modelId="{CC6F54BB-979E-2942-BA78-1A19C822AF7D}" type="presParOf" srcId="{26D11205-8187-2A48-96B7-817D03490577}" destId="{3D7DAAEA-74DE-454A-91AE-972D3DA6BF65}" srcOrd="0" destOrd="0" presId="urn:microsoft.com/office/officeart/2005/8/layout/hierarchy1"/>
    <dgm:cxn modelId="{EDB06F45-1128-C042-ACB6-83F1D5328F7A}" type="presParOf" srcId="{3D7DAAEA-74DE-454A-91AE-972D3DA6BF65}" destId="{2DD52476-EDE3-B34E-940F-5362B9A0AFAB}" srcOrd="0" destOrd="0" presId="urn:microsoft.com/office/officeart/2005/8/layout/hierarchy1"/>
    <dgm:cxn modelId="{D621F335-E8C0-D446-A945-DC073685561B}" type="presParOf" srcId="{3D7DAAEA-74DE-454A-91AE-972D3DA6BF65}" destId="{DE5A4D00-BC72-994C-9772-ABDBE7617AED}" srcOrd="1" destOrd="0" presId="urn:microsoft.com/office/officeart/2005/8/layout/hierarchy1"/>
    <dgm:cxn modelId="{548A9D84-36FE-C149-9F31-7371FD546F10}" type="presParOf" srcId="{26D11205-8187-2A48-96B7-817D03490577}" destId="{EA33E0F8-6D83-4342-BA0C-6F6A25427906}" srcOrd="1" destOrd="0" presId="urn:microsoft.com/office/officeart/2005/8/layout/hierarchy1"/>
    <dgm:cxn modelId="{C0F626EE-12A4-BC47-8CE6-27C81A404637}" type="presParOf" srcId="{EA33E0F8-6D83-4342-BA0C-6F6A25427906}" destId="{277B5141-6FC8-D043-BF7F-88B9DC2666F3}" srcOrd="0" destOrd="0" presId="urn:microsoft.com/office/officeart/2005/8/layout/hierarchy1"/>
    <dgm:cxn modelId="{72286970-6CAD-DD44-B252-07EA6CF7213C}" type="presParOf" srcId="{EA33E0F8-6D83-4342-BA0C-6F6A25427906}" destId="{4D979A39-A6B5-7E45-8F1E-1E44828C11B9}" srcOrd="1" destOrd="0" presId="urn:microsoft.com/office/officeart/2005/8/layout/hierarchy1"/>
    <dgm:cxn modelId="{33D79345-B585-1449-85AF-F1B6E46B1C20}" type="presParOf" srcId="{4D979A39-A6B5-7E45-8F1E-1E44828C11B9}" destId="{D93EF816-701E-544D-8CC4-ED35ACF6FDF8}" srcOrd="0" destOrd="0" presId="urn:microsoft.com/office/officeart/2005/8/layout/hierarchy1"/>
    <dgm:cxn modelId="{BB903AB3-6FD1-A040-9E2B-091332EA254C}" type="presParOf" srcId="{D93EF816-701E-544D-8CC4-ED35ACF6FDF8}" destId="{A87AE81A-22E3-5748-91F7-8B4C38F7670C}" srcOrd="0" destOrd="0" presId="urn:microsoft.com/office/officeart/2005/8/layout/hierarchy1"/>
    <dgm:cxn modelId="{2E3F7950-86E6-E345-B9C6-E1856C937A2C}" type="presParOf" srcId="{D93EF816-701E-544D-8CC4-ED35ACF6FDF8}" destId="{D247BFE0-EDB5-5041-A103-8CBD2FE1778F}" srcOrd="1" destOrd="0" presId="urn:microsoft.com/office/officeart/2005/8/layout/hierarchy1"/>
    <dgm:cxn modelId="{2F180AE3-9C26-A542-A433-8688A30EADBF}" type="presParOf" srcId="{4D979A39-A6B5-7E45-8F1E-1E44828C11B9}" destId="{B55EE975-9E7B-7646-BF9E-8C955A81D53C}" srcOrd="1" destOrd="0" presId="urn:microsoft.com/office/officeart/2005/8/layout/hierarchy1"/>
    <dgm:cxn modelId="{406B85CB-7FE2-1D44-93B6-7594CD0B6B2F}" type="presParOf" srcId="{EA33E0F8-6D83-4342-BA0C-6F6A25427906}" destId="{622F9E63-EA4E-C145-9772-3544808057FB}" srcOrd="2" destOrd="0" presId="urn:microsoft.com/office/officeart/2005/8/layout/hierarchy1"/>
    <dgm:cxn modelId="{F9837DCC-F13B-704A-BF04-9FAB1A3DE26B}" type="presParOf" srcId="{EA33E0F8-6D83-4342-BA0C-6F6A25427906}" destId="{A20AAF40-4E89-0E44-9577-95AB1D161591}" srcOrd="3" destOrd="0" presId="urn:microsoft.com/office/officeart/2005/8/layout/hierarchy1"/>
    <dgm:cxn modelId="{A0281401-56D0-1E4E-A9CA-14DA0A8A8D4E}" type="presParOf" srcId="{A20AAF40-4E89-0E44-9577-95AB1D161591}" destId="{0566DC9C-8551-4A42-BE7B-F0C18FA1BE44}" srcOrd="0" destOrd="0" presId="urn:microsoft.com/office/officeart/2005/8/layout/hierarchy1"/>
    <dgm:cxn modelId="{4940A92B-5E89-8E46-8CD2-81F187044D7C}" type="presParOf" srcId="{0566DC9C-8551-4A42-BE7B-F0C18FA1BE44}" destId="{7BB51D3C-4141-4E4B-8B4F-DBAF2D54AD18}" srcOrd="0" destOrd="0" presId="urn:microsoft.com/office/officeart/2005/8/layout/hierarchy1"/>
    <dgm:cxn modelId="{A7794AA1-96B7-B64D-BE9E-3A02E90C7E61}" type="presParOf" srcId="{0566DC9C-8551-4A42-BE7B-F0C18FA1BE44}" destId="{250460E6-71C5-0747-9350-06724D88639C}" srcOrd="1" destOrd="0" presId="urn:microsoft.com/office/officeart/2005/8/layout/hierarchy1"/>
    <dgm:cxn modelId="{F59C6F73-59AB-2741-9D4B-C34D01099A82}" type="presParOf" srcId="{A20AAF40-4E89-0E44-9577-95AB1D161591}" destId="{DCA1BFA9-C560-5D48-BCD2-53D94EA41416}" srcOrd="1" destOrd="0" presId="urn:microsoft.com/office/officeart/2005/8/layout/hierarchy1"/>
    <dgm:cxn modelId="{685C8676-6636-8843-B308-DB391C81E3DD}" type="presParOf" srcId="{EA33E0F8-6D83-4342-BA0C-6F6A25427906}" destId="{E5B11808-0A27-7A47-8993-DEB702565B3A}" srcOrd="4" destOrd="0" presId="urn:microsoft.com/office/officeart/2005/8/layout/hierarchy1"/>
    <dgm:cxn modelId="{5B0BB3CB-E29F-2446-A699-F73B0BEF3F7E}" type="presParOf" srcId="{EA33E0F8-6D83-4342-BA0C-6F6A25427906}" destId="{3A4B944E-0709-B24A-81F0-BF85EB5EA198}" srcOrd="5" destOrd="0" presId="urn:microsoft.com/office/officeart/2005/8/layout/hierarchy1"/>
    <dgm:cxn modelId="{CFA10A1B-ED4D-CC4E-9BEC-4EBC0EAF100D}" type="presParOf" srcId="{3A4B944E-0709-B24A-81F0-BF85EB5EA198}" destId="{E4091B62-BCC6-B443-AC77-A8D17B6A0250}" srcOrd="0" destOrd="0" presId="urn:microsoft.com/office/officeart/2005/8/layout/hierarchy1"/>
    <dgm:cxn modelId="{84A2D352-1AFB-194A-973D-F36789EA58DA}" type="presParOf" srcId="{E4091B62-BCC6-B443-AC77-A8D17B6A0250}" destId="{6B941642-6217-4446-A9C8-8D30A486D75D}" srcOrd="0" destOrd="0" presId="urn:microsoft.com/office/officeart/2005/8/layout/hierarchy1"/>
    <dgm:cxn modelId="{2A572296-D71A-0044-BA4D-5303716F70B8}" type="presParOf" srcId="{E4091B62-BCC6-B443-AC77-A8D17B6A0250}" destId="{93814C58-A31F-314C-BF29-334781E199D6}" srcOrd="1" destOrd="0" presId="urn:microsoft.com/office/officeart/2005/8/layout/hierarchy1"/>
    <dgm:cxn modelId="{812B3E88-7B80-314E-9CFF-46A83B99FD6F}" type="presParOf" srcId="{3A4B944E-0709-B24A-81F0-BF85EB5EA198}" destId="{AA09993D-52D7-0B4E-8F42-96E0504043B2}" srcOrd="1" destOrd="0" presId="urn:microsoft.com/office/officeart/2005/8/layout/hierarchy1"/>
    <dgm:cxn modelId="{4F3A1FB0-E25D-4D40-982A-091C9EAD3F24}" type="presParOf" srcId="{EA33E0F8-6D83-4342-BA0C-6F6A25427906}" destId="{FD57A6D8-FB23-914B-AA19-BE321CC6CAC4}" srcOrd="6" destOrd="0" presId="urn:microsoft.com/office/officeart/2005/8/layout/hierarchy1"/>
    <dgm:cxn modelId="{382F0788-B859-514A-8FB1-3BFF1763ABF9}" type="presParOf" srcId="{EA33E0F8-6D83-4342-BA0C-6F6A25427906}" destId="{9180221F-D1BE-044A-971B-EB5BE2D55433}" srcOrd="7" destOrd="0" presId="urn:microsoft.com/office/officeart/2005/8/layout/hierarchy1"/>
    <dgm:cxn modelId="{9FBFCDF9-7A0F-2D49-983F-E1A148C37DD0}" type="presParOf" srcId="{9180221F-D1BE-044A-971B-EB5BE2D55433}" destId="{93EDF83A-E012-E144-8C83-DF30ECF53877}" srcOrd="0" destOrd="0" presId="urn:microsoft.com/office/officeart/2005/8/layout/hierarchy1"/>
    <dgm:cxn modelId="{8F95A63F-406A-B64D-8CEB-7DFF9F522F6F}" type="presParOf" srcId="{93EDF83A-E012-E144-8C83-DF30ECF53877}" destId="{0F2C38CA-31AD-9444-91B9-5B4E44C6D13E}" srcOrd="0" destOrd="0" presId="urn:microsoft.com/office/officeart/2005/8/layout/hierarchy1"/>
    <dgm:cxn modelId="{0CEEC78F-1ABF-9F4F-BA09-537DC2B7DA55}" type="presParOf" srcId="{93EDF83A-E012-E144-8C83-DF30ECF53877}" destId="{A8180F07-1629-2840-AB3E-ACDE12A2D907}" srcOrd="1" destOrd="0" presId="urn:microsoft.com/office/officeart/2005/8/layout/hierarchy1"/>
    <dgm:cxn modelId="{4551148B-79CC-814E-A420-9A9ECFE073D7}" type="presParOf" srcId="{9180221F-D1BE-044A-971B-EB5BE2D55433}" destId="{4733BCD1-41E0-6C4C-BBBB-C40FA4191CDE}" srcOrd="1" destOrd="0" presId="urn:microsoft.com/office/officeart/2005/8/layout/hierarchy1"/>
    <dgm:cxn modelId="{EC79D449-E884-9B49-9D90-0901148E0E8E}" type="presParOf" srcId="{9108746D-60CA-7840-868C-FC7714763FB3}" destId="{84527758-E3C5-9A47-A57F-17E78C635B92}" srcOrd="2" destOrd="0" presId="urn:microsoft.com/office/officeart/2005/8/layout/hierarchy1"/>
    <dgm:cxn modelId="{11F4AB93-7B5D-D049-9CF7-AC4468B770E5}" type="presParOf" srcId="{9108746D-60CA-7840-868C-FC7714763FB3}" destId="{E21B4ED3-A85A-FF4A-8A3C-771C0A469B4B}" srcOrd="3" destOrd="0" presId="urn:microsoft.com/office/officeart/2005/8/layout/hierarchy1"/>
    <dgm:cxn modelId="{1A25003F-C754-C549-894D-E652EBFF85CE}" type="presParOf" srcId="{E21B4ED3-A85A-FF4A-8A3C-771C0A469B4B}" destId="{A30291B8-154E-9F4B-9A26-7916229DADF1}" srcOrd="0" destOrd="0" presId="urn:microsoft.com/office/officeart/2005/8/layout/hierarchy1"/>
    <dgm:cxn modelId="{38BE73A7-D270-E44D-B49D-0309A932EDD8}" type="presParOf" srcId="{A30291B8-154E-9F4B-9A26-7916229DADF1}" destId="{13807187-D93F-F34F-8016-B82071B02F65}" srcOrd="0" destOrd="0" presId="urn:microsoft.com/office/officeart/2005/8/layout/hierarchy1"/>
    <dgm:cxn modelId="{5F3222A3-2D42-814C-B5BF-CD8F7AA89F03}" type="presParOf" srcId="{A30291B8-154E-9F4B-9A26-7916229DADF1}" destId="{050A7080-8123-3D40-A3B5-4D98F5683191}" srcOrd="1" destOrd="0" presId="urn:microsoft.com/office/officeart/2005/8/layout/hierarchy1"/>
    <dgm:cxn modelId="{B6ABE8AE-049D-BD40-8FEF-100B4271B0D6}" type="presParOf" srcId="{E21B4ED3-A85A-FF4A-8A3C-771C0A469B4B}" destId="{BA4041C3-A99E-384D-9E3C-B96092A3DC12}" srcOrd="1" destOrd="0" presId="urn:microsoft.com/office/officeart/2005/8/layout/hierarchy1"/>
    <dgm:cxn modelId="{DF9B3C24-4D91-0344-B43C-089D9060EE71}" type="presParOf" srcId="{BA4041C3-A99E-384D-9E3C-B96092A3DC12}" destId="{6DF75C5B-53FB-4D40-9B02-80CDA1A7DB97}" srcOrd="0" destOrd="0" presId="urn:microsoft.com/office/officeart/2005/8/layout/hierarchy1"/>
    <dgm:cxn modelId="{56BAB4A0-790D-EC4B-B110-BC6720CAFF93}" type="presParOf" srcId="{BA4041C3-A99E-384D-9E3C-B96092A3DC12}" destId="{D3F8CD97-A5E9-0F48-8681-6E45F3E8F900}" srcOrd="1" destOrd="0" presId="urn:microsoft.com/office/officeart/2005/8/layout/hierarchy1"/>
    <dgm:cxn modelId="{B481216E-84BF-0F41-B76C-A60316B4446A}" type="presParOf" srcId="{D3F8CD97-A5E9-0F48-8681-6E45F3E8F900}" destId="{9BFF9D3B-1724-BF4D-9210-5DB5A42D1B40}" srcOrd="0" destOrd="0" presId="urn:microsoft.com/office/officeart/2005/8/layout/hierarchy1"/>
    <dgm:cxn modelId="{B1D08BD3-45D3-8147-9D8B-46357DFB8128}" type="presParOf" srcId="{9BFF9D3B-1724-BF4D-9210-5DB5A42D1B40}" destId="{7454AFF7-395F-ED4B-841F-C517E6997970}" srcOrd="0" destOrd="0" presId="urn:microsoft.com/office/officeart/2005/8/layout/hierarchy1"/>
    <dgm:cxn modelId="{2F3E2012-7A3B-2140-9297-F3CCDECB4B70}" type="presParOf" srcId="{9BFF9D3B-1724-BF4D-9210-5DB5A42D1B40}" destId="{C4CD8C67-A7E0-254E-A87A-B8EAC1766537}" srcOrd="1" destOrd="0" presId="urn:microsoft.com/office/officeart/2005/8/layout/hierarchy1"/>
    <dgm:cxn modelId="{7B131FB2-1B2F-4E4D-8838-93D4029B0659}" type="presParOf" srcId="{D3F8CD97-A5E9-0F48-8681-6E45F3E8F900}" destId="{25AB4A46-0D96-3C42-B274-15E2A053A2ED}" srcOrd="1" destOrd="0" presId="urn:microsoft.com/office/officeart/2005/8/layout/hierarchy1"/>
    <dgm:cxn modelId="{0277715F-46A4-F542-AC3F-F46CCA3E7338}" type="presParOf" srcId="{25AB4A46-0D96-3C42-B274-15E2A053A2ED}" destId="{2B5FB1E7-ED4A-8447-8463-10B37E8A9D00}" srcOrd="0" destOrd="0" presId="urn:microsoft.com/office/officeart/2005/8/layout/hierarchy1"/>
    <dgm:cxn modelId="{6F9B67FB-4F17-A140-A456-4AF26C2BCC2D}" type="presParOf" srcId="{25AB4A46-0D96-3C42-B274-15E2A053A2ED}" destId="{3C161EAB-DC77-C94F-9D32-EEC06AD305FA}" srcOrd="1" destOrd="0" presId="urn:microsoft.com/office/officeart/2005/8/layout/hierarchy1"/>
    <dgm:cxn modelId="{F5EB4400-E69F-EC40-A550-A7BA071D5E69}" type="presParOf" srcId="{3C161EAB-DC77-C94F-9D32-EEC06AD305FA}" destId="{717B9426-C000-4244-AB8F-A57D56F3F5FA}" srcOrd="0" destOrd="0" presId="urn:microsoft.com/office/officeart/2005/8/layout/hierarchy1"/>
    <dgm:cxn modelId="{030AA8CD-0C5B-C247-8820-E3D4CE72D42F}" type="presParOf" srcId="{717B9426-C000-4244-AB8F-A57D56F3F5FA}" destId="{D312F135-465A-6244-A368-7BC7D05FB63D}" srcOrd="0" destOrd="0" presId="urn:microsoft.com/office/officeart/2005/8/layout/hierarchy1"/>
    <dgm:cxn modelId="{DD363357-E848-714C-8DBD-A3C1AF6482FA}" type="presParOf" srcId="{717B9426-C000-4244-AB8F-A57D56F3F5FA}" destId="{73E1E7A1-A84F-594F-B068-9350AFA0DABE}" srcOrd="1" destOrd="0" presId="urn:microsoft.com/office/officeart/2005/8/layout/hierarchy1"/>
    <dgm:cxn modelId="{D86C10E4-3FAE-7047-B145-186D4922E71F}" type="presParOf" srcId="{3C161EAB-DC77-C94F-9D32-EEC06AD305FA}" destId="{806428E7-B7D6-3944-B801-B42D234B5FDC}" srcOrd="1" destOrd="0" presId="urn:microsoft.com/office/officeart/2005/8/layout/hierarchy1"/>
    <dgm:cxn modelId="{7F282B3A-65CF-7642-AC78-61C79C192185}" type="presParOf" srcId="{806428E7-B7D6-3944-B801-B42D234B5FDC}" destId="{85E6BDB5-4875-4E4C-B024-61B00C2D4C00}" srcOrd="0" destOrd="0" presId="urn:microsoft.com/office/officeart/2005/8/layout/hierarchy1"/>
    <dgm:cxn modelId="{452AE410-37EE-6245-94A9-344EB9AC7DFF}" type="presParOf" srcId="{806428E7-B7D6-3944-B801-B42D234B5FDC}" destId="{75F063C5-8E8D-8345-859D-46FC377F5602}" srcOrd="1" destOrd="0" presId="urn:microsoft.com/office/officeart/2005/8/layout/hierarchy1"/>
    <dgm:cxn modelId="{58C2333B-D7DE-404A-ABAE-CD267D90F549}" type="presParOf" srcId="{75F063C5-8E8D-8345-859D-46FC377F5602}" destId="{91F55BAF-C3A1-7643-AF68-726343F1A684}" srcOrd="0" destOrd="0" presId="urn:microsoft.com/office/officeart/2005/8/layout/hierarchy1"/>
    <dgm:cxn modelId="{E8C46D7D-9C87-274F-A211-0E72BDD543AE}" type="presParOf" srcId="{91F55BAF-C3A1-7643-AF68-726343F1A684}" destId="{B8525475-7ECF-0F4B-A606-8939C5057BF4}" srcOrd="0" destOrd="0" presId="urn:microsoft.com/office/officeart/2005/8/layout/hierarchy1"/>
    <dgm:cxn modelId="{9F158B79-0A98-2544-9EF5-3DCDF119A241}" type="presParOf" srcId="{91F55BAF-C3A1-7643-AF68-726343F1A684}" destId="{1E1DF760-9176-5047-81B2-9546D1E097F3}" srcOrd="1" destOrd="0" presId="urn:microsoft.com/office/officeart/2005/8/layout/hierarchy1"/>
    <dgm:cxn modelId="{52FA0469-4711-B841-80A6-5293ED41F0AB}" type="presParOf" srcId="{75F063C5-8E8D-8345-859D-46FC377F5602}" destId="{EC4492AD-2914-7846-9B87-32EB6E86B305}" srcOrd="1" destOrd="0" presId="urn:microsoft.com/office/officeart/2005/8/layout/hierarchy1"/>
    <dgm:cxn modelId="{2A11410B-DABD-F147-95C5-D9A52BEBD962}" type="presParOf" srcId="{25AB4A46-0D96-3C42-B274-15E2A053A2ED}" destId="{9A78526E-DBBB-8746-9A2E-858EB5300ED7}" srcOrd="2" destOrd="0" presId="urn:microsoft.com/office/officeart/2005/8/layout/hierarchy1"/>
    <dgm:cxn modelId="{BDADB294-FAE2-FB45-9D9A-F52C8C99B1A7}" type="presParOf" srcId="{25AB4A46-0D96-3C42-B274-15E2A053A2ED}" destId="{25646E9E-3296-C144-B328-6CB0180B7537}" srcOrd="3" destOrd="0" presId="urn:microsoft.com/office/officeart/2005/8/layout/hierarchy1"/>
    <dgm:cxn modelId="{4B3C8D0A-C288-124C-9529-9C6F260BF39D}" type="presParOf" srcId="{25646E9E-3296-C144-B328-6CB0180B7537}" destId="{DC6AAFBD-4892-7C4C-B305-D74742A78D5B}" srcOrd="0" destOrd="0" presId="urn:microsoft.com/office/officeart/2005/8/layout/hierarchy1"/>
    <dgm:cxn modelId="{B9046E6F-0FC5-E745-B60B-007C5393FC44}" type="presParOf" srcId="{DC6AAFBD-4892-7C4C-B305-D74742A78D5B}" destId="{EFB16132-CA2C-1B4E-9F87-125725F4B1E9}" srcOrd="0" destOrd="0" presId="urn:microsoft.com/office/officeart/2005/8/layout/hierarchy1"/>
    <dgm:cxn modelId="{080800C2-0EAE-0C4E-AEF5-5B0DE64C7A36}" type="presParOf" srcId="{DC6AAFBD-4892-7C4C-B305-D74742A78D5B}" destId="{0BFACD97-1378-F34C-A714-58D68F7803BD}" srcOrd="1" destOrd="0" presId="urn:microsoft.com/office/officeart/2005/8/layout/hierarchy1"/>
    <dgm:cxn modelId="{21162416-0825-EB46-BC73-32794BE1BE95}" type="presParOf" srcId="{25646E9E-3296-C144-B328-6CB0180B7537}" destId="{5A4823B4-7CA6-AB4E-8472-3A4C1ABCBD50}" srcOrd="1" destOrd="0" presId="urn:microsoft.com/office/officeart/2005/8/layout/hierarchy1"/>
    <dgm:cxn modelId="{0FD27EDC-CDF0-A940-B3D7-40C9D23F86ED}" type="presParOf" srcId="{BA4041C3-A99E-384D-9E3C-B96092A3DC12}" destId="{84D357AB-38A4-D248-AF7B-5F119D5796C3}" srcOrd="2" destOrd="0" presId="urn:microsoft.com/office/officeart/2005/8/layout/hierarchy1"/>
    <dgm:cxn modelId="{DC2E87FB-4BDA-1343-8341-D5D73B89D361}" type="presParOf" srcId="{BA4041C3-A99E-384D-9E3C-B96092A3DC12}" destId="{F6B21709-AC96-F240-9ED1-3B6AB3592EEA}" srcOrd="3" destOrd="0" presId="urn:microsoft.com/office/officeart/2005/8/layout/hierarchy1"/>
    <dgm:cxn modelId="{0AC00706-01CD-D440-99A3-097E2B14600F}" type="presParOf" srcId="{F6B21709-AC96-F240-9ED1-3B6AB3592EEA}" destId="{51ADC658-419B-C742-926B-124F94391490}" srcOrd="0" destOrd="0" presId="urn:microsoft.com/office/officeart/2005/8/layout/hierarchy1"/>
    <dgm:cxn modelId="{EEF87709-D943-9147-AD62-EFA6E4A90EE9}" type="presParOf" srcId="{51ADC658-419B-C742-926B-124F94391490}" destId="{E88DD3E2-D4CB-524D-87DF-8A84A6B48423}" srcOrd="0" destOrd="0" presId="urn:microsoft.com/office/officeart/2005/8/layout/hierarchy1"/>
    <dgm:cxn modelId="{36AA141F-896A-AF49-BD6C-D706873D10B6}" type="presParOf" srcId="{51ADC658-419B-C742-926B-124F94391490}" destId="{8AA58B5C-C611-DC44-BF3C-B644BB159F81}" srcOrd="1" destOrd="0" presId="urn:microsoft.com/office/officeart/2005/8/layout/hierarchy1"/>
    <dgm:cxn modelId="{BE30ADB9-FD4E-144B-AB55-FCDB6E298A42}" type="presParOf" srcId="{F6B21709-AC96-F240-9ED1-3B6AB3592EEA}" destId="{BE4728A3-B10C-264D-8183-9BE9F5450CA3}" srcOrd="1" destOrd="0" presId="urn:microsoft.com/office/officeart/2005/8/layout/hierarchy1"/>
    <dgm:cxn modelId="{D3A74530-2CF6-5B4B-88E3-DE655995B8D3}" type="presParOf" srcId="{BA4041C3-A99E-384D-9E3C-B96092A3DC12}" destId="{5801774F-EF50-F14F-8540-BF7E004DB9F1}" srcOrd="4" destOrd="0" presId="urn:microsoft.com/office/officeart/2005/8/layout/hierarchy1"/>
    <dgm:cxn modelId="{0A2BDEC1-B49A-0B45-875B-1F7BA2C27B87}" type="presParOf" srcId="{BA4041C3-A99E-384D-9E3C-B96092A3DC12}" destId="{69D1CCC1-CCFD-344C-894C-705D68B65475}" srcOrd="5" destOrd="0" presId="urn:microsoft.com/office/officeart/2005/8/layout/hierarchy1"/>
    <dgm:cxn modelId="{CCACEA7C-67B2-5D46-A262-D430B07290D8}" type="presParOf" srcId="{69D1CCC1-CCFD-344C-894C-705D68B65475}" destId="{772DB792-6B98-FE43-9AF2-693A2104A5AD}" srcOrd="0" destOrd="0" presId="urn:microsoft.com/office/officeart/2005/8/layout/hierarchy1"/>
    <dgm:cxn modelId="{B7925AAF-0AF1-D040-94C9-439D5EBCDB6F}" type="presParOf" srcId="{772DB792-6B98-FE43-9AF2-693A2104A5AD}" destId="{12380390-2CB4-1A4A-A85B-2DF9BDF2FB79}" srcOrd="0" destOrd="0" presId="urn:microsoft.com/office/officeart/2005/8/layout/hierarchy1"/>
    <dgm:cxn modelId="{8AC630B8-9A68-AC46-941F-7735568ED57F}" type="presParOf" srcId="{772DB792-6B98-FE43-9AF2-693A2104A5AD}" destId="{6D332CB0-A360-4248-B457-1D8C7990A53C}" srcOrd="1" destOrd="0" presId="urn:microsoft.com/office/officeart/2005/8/layout/hierarchy1"/>
    <dgm:cxn modelId="{848BE75F-1A45-724B-ADF8-C7918ACD0D15}" type="presParOf" srcId="{69D1CCC1-CCFD-344C-894C-705D68B65475}" destId="{C00FE43F-53F1-3649-BEB3-8D093C2FEDBC}" srcOrd="1" destOrd="0" presId="urn:microsoft.com/office/officeart/2005/8/layout/hierarchy1"/>
    <dgm:cxn modelId="{BD45B3C4-6F5A-8B4C-9C41-8CBD3E700690}" type="presParOf" srcId="{C00FE43F-53F1-3649-BEB3-8D093C2FEDBC}" destId="{8029C407-319D-C84C-B276-8E27BD1545EB}" srcOrd="0" destOrd="0" presId="urn:microsoft.com/office/officeart/2005/8/layout/hierarchy1"/>
    <dgm:cxn modelId="{88B5D0D5-247D-5342-AB5B-24AF4923227A}" type="presParOf" srcId="{C00FE43F-53F1-3649-BEB3-8D093C2FEDBC}" destId="{9FE68C32-5E15-9344-B77D-1C6123F63E3C}" srcOrd="1" destOrd="0" presId="urn:microsoft.com/office/officeart/2005/8/layout/hierarchy1"/>
    <dgm:cxn modelId="{AD48390A-D942-8B4E-8266-2DBD3AB8CB42}" type="presParOf" srcId="{9FE68C32-5E15-9344-B77D-1C6123F63E3C}" destId="{D0936BB2-511A-A940-BF91-D5BE2774B8DF}" srcOrd="0" destOrd="0" presId="urn:microsoft.com/office/officeart/2005/8/layout/hierarchy1"/>
    <dgm:cxn modelId="{853FFFDB-7458-F249-8951-9F672D11A09E}" type="presParOf" srcId="{D0936BB2-511A-A940-BF91-D5BE2774B8DF}" destId="{16912D25-513D-8246-AA9D-6CB8F07A39C2}" srcOrd="0" destOrd="0" presId="urn:microsoft.com/office/officeart/2005/8/layout/hierarchy1"/>
    <dgm:cxn modelId="{4BC9E31E-7423-3143-9899-789A2E60453A}" type="presParOf" srcId="{D0936BB2-511A-A940-BF91-D5BE2774B8DF}" destId="{5E4FACD5-77A2-AE48-85C3-B6F78B3DFE2A}" srcOrd="1" destOrd="0" presId="urn:microsoft.com/office/officeart/2005/8/layout/hierarchy1"/>
    <dgm:cxn modelId="{03C8E740-338A-B641-8196-1B28367F1200}" type="presParOf" srcId="{9FE68C32-5E15-9344-B77D-1C6123F63E3C}" destId="{18B29F79-A764-FD46-83A2-A9EF83DBEADC}" srcOrd="1" destOrd="0" presId="urn:microsoft.com/office/officeart/2005/8/layout/hierarchy1"/>
    <dgm:cxn modelId="{090D69E6-4408-8B4E-89D2-50EEF95620FE}" type="presParOf" srcId="{9108746D-60CA-7840-868C-FC7714763FB3}" destId="{B6BA164E-7269-5945-8D1A-FF79A6176A11}" srcOrd="4" destOrd="0" presId="urn:microsoft.com/office/officeart/2005/8/layout/hierarchy1"/>
    <dgm:cxn modelId="{93A18268-9429-A84B-B511-3F9E6E9F693A}" type="presParOf" srcId="{9108746D-60CA-7840-868C-FC7714763FB3}" destId="{D21F3A14-839D-E64D-A529-5E72C92F247D}" srcOrd="5" destOrd="0" presId="urn:microsoft.com/office/officeart/2005/8/layout/hierarchy1"/>
    <dgm:cxn modelId="{D67A887A-3512-EF4C-A298-6B070664662D}" type="presParOf" srcId="{D21F3A14-839D-E64D-A529-5E72C92F247D}" destId="{BCF73FCE-E7F2-714C-97FA-626F4E4D4738}" srcOrd="0" destOrd="0" presId="urn:microsoft.com/office/officeart/2005/8/layout/hierarchy1"/>
    <dgm:cxn modelId="{4E8F3EA0-2285-974B-B468-664C8C0E7D01}" type="presParOf" srcId="{BCF73FCE-E7F2-714C-97FA-626F4E4D4738}" destId="{9D31C614-E234-6544-B878-12108BE49F96}" srcOrd="0" destOrd="0" presId="urn:microsoft.com/office/officeart/2005/8/layout/hierarchy1"/>
    <dgm:cxn modelId="{C440755F-19F0-8948-A9D0-001F43A201BF}" type="presParOf" srcId="{BCF73FCE-E7F2-714C-97FA-626F4E4D4738}" destId="{966CD39C-BB71-A34C-8016-2ED295FE9B84}" srcOrd="1" destOrd="0" presId="urn:microsoft.com/office/officeart/2005/8/layout/hierarchy1"/>
    <dgm:cxn modelId="{CBC535D5-E4EE-B747-91FF-F4794A87E752}" type="presParOf" srcId="{D21F3A14-839D-E64D-A529-5E72C92F247D}" destId="{36E24DCD-9EAE-384A-AB8F-2E6338CC9142}" srcOrd="1" destOrd="0" presId="urn:microsoft.com/office/officeart/2005/8/layout/hierarchy1"/>
    <dgm:cxn modelId="{E0F5ED65-58EB-E146-B1B3-F08FB67C423B}" type="presParOf" srcId="{36E24DCD-9EAE-384A-AB8F-2E6338CC9142}" destId="{F047285E-6150-2348-928D-63F0AB5938FF}" srcOrd="0" destOrd="0" presId="urn:microsoft.com/office/officeart/2005/8/layout/hierarchy1"/>
    <dgm:cxn modelId="{15ED6561-5B14-1842-9920-CD2E9B264FBB}" type="presParOf" srcId="{36E24DCD-9EAE-384A-AB8F-2E6338CC9142}" destId="{B8A8217C-5F60-3942-A8E7-299BD1819FD1}" srcOrd="1" destOrd="0" presId="urn:microsoft.com/office/officeart/2005/8/layout/hierarchy1"/>
    <dgm:cxn modelId="{46CD0871-959B-104A-8323-A73CCAC89339}" type="presParOf" srcId="{B8A8217C-5F60-3942-A8E7-299BD1819FD1}" destId="{4C5982F2-0F3E-C14C-8F1D-EC3255EE092A}" srcOrd="0" destOrd="0" presId="urn:microsoft.com/office/officeart/2005/8/layout/hierarchy1"/>
    <dgm:cxn modelId="{741A4F37-3B34-6D48-B460-16AFDB2F44A8}" type="presParOf" srcId="{4C5982F2-0F3E-C14C-8F1D-EC3255EE092A}" destId="{16DFE2CB-A3D5-F249-89EE-E1D001C8E6F7}" srcOrd="0" destOrd="0" presId="urn:microsoft.com/office/officeart/2005/8/layout/hierarchy1"/>
    <dgm:cxn modelId="{B5E56967-F957-5C4A-BAD5-E2649FC5DA30}" type="presParOf" srcId="{4C5982F2-0F3E-C14C-8F1D-EC3255EE092A}" destId="{D5DBD914-AC00-084B-B400-BBCE24AFCCCB}" srcOrd="1" destOrd="0" presId="urn:microsoft.com/office/officeart/2005/8/layout/hierarchy1"/>
    <dgm:cxn modelId="{1F8EF21A-42E9-8A43-9819-14120ACCA5FD}" type="presParOf" srcId="{B8A8217C-5F60-3942-A8E7-299BD1819FD1}" destId="{1398C9BF-FEC3-1644-A4EA-AAD5BDE07737}" srcOrd="1" destOrd="0" presId="urn:microsoft.com/office/officeart/2005/8/layout/hierarchy1"/>
    <dgm:cxn modelId="{E039691D-AF3A-F34B-86DC-A3CE24AB2421}" type="presParOf" srcId="{1398C9BF-FEC3-1644-A4EA-AAD5BDE07737}" destId="{43DFADEA-0F28-8E4F-A301-A4F5AFF0073C}" srcOrd="0" destOrd="0" presId="urn:microsoft.com/office/officeart/2005/8/layout/hierarchy1"/>
    <dgm:cxn modelId="{0E3B89C3-4AF2-D444-A3D3-2EC1F8345E50}" type="presParOf" srcId="{1398C9BF-FEC3-1644-A4EA-AAD5BDE07737}" destId="{B59E8B55-EFBA-044D-B543-30D1DDAD1924}" srcOrd="1" destOrd="0" presId="urn:microsoft.com/office/officeart/2005/8/layout/hierarchy1"/>
    <dgm:cxn modelId="{AB6B73FF-D43B-4442-ACED-25A75A199692}" type="presParOf" srcId="{B59E8B55-EFBA-044D-B543-30D1DDAD1924}" destId="{983F3B6D-EB51-F24E-A306-4D72A158C6CC}" srcOrd="0" destOrd="0" presId="urn:microsoft.com/office/officeart/2005/8/layout/hierarchy1"/>
    <dgm:cxn modelId="{7A0C4C8B-7052-5645-8CF4-C136620051E1}" type="presParOf" srcId="{983F3B6D-EB51-F24E-A306-4D72A158C6CC}" destId="{8CCCD5BB-22D5-E543-8CB6-2C6F3C72B423}" srcOrd="0" destOrd="0" presId="urn:microsoft.com/office/officeart/2005/8/layout/hierarchy1"/>
    <dgm:cxn modelId="{546C3E09-F2E5-6C4E-9B72-3BEA88A7654D}" type="presParOf" srcId="{983F3B6D-EB51-F24E-A306-4D72A158C6CC}" destId="{BCA02C50-0075-CF4F-A12A-38B61472B563}" srcOrd="1" destOrd="0" presId="urn:microsoft.com/office/officeart/2005/8/layout/hierarchy1"/>
    <dgm:cxn modelId="{2714ADBC-79AA-0641-81F1-10045A0C4B29}" type="presParOf" srcId="{B59E8B55-EFBA-044D-B543-30D1DDAD1924}" destId="{EB0EA2DD-835A-5947-8A65-0DD7494A1D6A}" srcOrd="1" destOrd="0" presId="urn:microsoft.com/office/officeart/2005/8/layout/hierarchy1"/>
    <dgm:cxn modelId="{6BAB54F6-6439-3945-ABD1-E8C0E576FADC}" type="presParOf" srcId="{EB0EA2DD-835A-5947-8A65-0DD7494A1D6A}" destId="{1C988994-65AC-D140-866E-7CF6DEE24473}" srcOrd="0" destOrd="0" presId="urn:microsoft.com/office/officeart/2005/8/layout/hierarchy1"/>
    <dgm:cxn modelId="{32E690B5-8F35-DC43-BD92-FF061876EB29}" type="presParOf" srcId="{EB0EA2DD-835A-5947-8A65-0DD7494A1D6A}" destId="{5D727A3D-007C-9E44-AE69-3EB9341770F8}" srcOrd="1" destOrd="0" presId="urn:microsoft.com/office/officeart/2005/8/layout/hierarchy1"/>
    <dgm:cxn modelId="{A550E69B-D75C-744F-B410-976291B99E9D}" type="presParOf" srcId="{5D727A3D-007C-9E44-AE69-3EB9341770F8}" destId="{CC289B96-B4E3-BA41-B27A-B08944031E92}" srcOrd="0" destOrd="0" presId="urn:microsoft.com/office/officeart/2005/8/layout/hierarchy1"/>
    <dgm:cxn modelId="{62462CF2-131A-5345-A803-B242C1C92C51}" type="presParOf" srcId="{CC289B96-B4E3-BA41-B27A-B08944031E92}" destId="{E3F17EE0-E082-9948-B84B-7B7E0E8ED710}" srcOrd="0" destOrd="0" presId="urn:microsoft.com/office/officeart/2005/8/layout/hierarchy1"/>
    <dgm:cxn modelId="{CC8ADAD7-06ED-A843-8854-5717A9046787}" type="presParOf" srcId="{CC289B96-B4E3-BA41-B27A-B08944031E92}" destId="{85B08C9B-B12C-3149-A3D0-E7C1A55FE0A5}" srcOrd="1" destOrd="0" presId="urn:microsoft.com/office/officeart/2005/8/layout/hierarchy1"/>
    <dgm:cxn modelId="{92A4504A-54C5-DA4C-8518-490EB133AC44}" type="presParOf" srcId="{5D727A3D-007C-9E44-AE69-3EB9341770F8}" destId="{0756429E-2BEA-3142-A999-D4BB35C7861A}" srcOrd="1" destOrd="0" presId="urn:microsoft.com/office/officeart/2005/8/layout/hierarchy1"/>
    <dgm:cxn modelId="{966AF830-AC16-F049-B7A7-8AED38530034}" type="presParOf" srcId="{1398C9BF-FEC3-1644-A4EA-AAD5BDE07737}" destId="{F2C37300-DFA2-DC41-9E86-F30232D5B4FF}" srcOrd="2" destOrd="0" presId="urn:microsoft.com/office/officeart/2005/8/layout/hierarchy1"/>
    <dgm:cxn modelId="{CB8137A6-53E0-EA40-908D-EB9525DEE7DF}" type="presParOf" srcId="{1398C9BF-FEC3-1644-A4EA-AAD5BDE07737}" destId="{6586D1C1-A8AF-0B46-AFFD-262725B4D8EC}" srcOrd="3" destOrd="0" presId="urn:microsoft.com/office/officeart/2005/8/layout/hierarchy1"/>
    <dgm:cxn modelId="{17D2DFBA-9DA8-3548-911D-8C585C441B5C}" type="presParOf" srcId="{6586D1C1-A8AF-0B46-AFFD-262725B4D8EC}" destId="{CB323605-C19E-8E4F-9EC6-0C021234CFA9}" srcOrd="0" destOrd="0" presId="urn:microsoft.com/office/officeart/2005/8/layout/hierarchy1"/>
    <dgm:cxn modelId="{4E6D0EB4-B3D9-0640-8196-84BFBD953BDB}" type="presParOf" srcId="{CB323605-C19E-8E4F-9EC6-0C021234CFA9}" destId="{51B4DF0D-E940-3343-9D0A-376AA2A58137}" srcOrd="0" destOrd="0" presId="urn:microsoft.com/office/officeart/2005/8/layout/hierarchy1"/>
    <dgm:cxn modelId="{D3EC89E1-E90F-904B-825E-F4F6BE464D66}" type="presParOf" srcId="{CB323605-C19E-8E4F-9EC6-0C021234CFA9}" destId="{5BDE1FBA-18E0-7B42-B16F-754ECB5AB90B}" srcOrd="1" destOrd="0" presId="urn:microsoft.com/office/officeart/2005/8/layout/hierarchy1"/>
    <dgm:cxn modelId="{65BD0FB3-9110-6F45-B136-7FF14247B8D1}" type="presParOf" srcId="{6586D1C1-A8AF-0B46-AFFD-262725B4D8EC}" destId="{09468127-0334-8641-B827-35796F896417}" srcOrd="1" destOrd="0" presId="urn:microsoft.com/office/officeart/2005/8/layout/hierarchy1"/>
    <dgm:cxn modelId="{7F293C1C-C9E8-274B-97DD-3056FFF4663F}" type="presParOf" srcId="{1398C9BF-FEC3-1644-A4EA-AAD5BDE07737}" destId="{EBC817EB-010D-6643-953A-4EB4F9F30FAD}" srcOrd="4" destOrd="0" presId="urn:microsoft.com/office/officeart/2005/8/layout/hierarchy1"/>
    <dgm:cxn modelId="{AF4894D4-F083-3046-8965-A3306DEAB3C9}" type="presParOf" srcId="{1398C9BF-FEC3-1644-A4EA-AAD5BDE07737}" destId="{1F7C150D-4511-B74B-AE57-AF184E28958E}" srcOrd="5" destOrd="0" presId="urn:microsoft.com/office/officeart/2005/8/layout/hierarchy1"/>
    <dgm:cxn modelId="{B956670C-D91E-0543-8750-9072158BB01E}" type="presParOf" srcId="{1F7C150D-4511-B74B-AE57-AF184E28958E}" destId="{50CEFF95-5828-654A-A558-D99AFB20AE18}" srcOrd="0" destOrd="0" presId="urn:microsoft.com/office/officeart/2005/8/layout/hierarchy1"/>
    <dgm:cxn modelId="{9E0091E4-EFFA-D247-B0DE-C2E47AA9E09F}" type="presParOf" srcId="{50CEFF95-5828-654A-A558-D99AFB20AE18}" destId="{5C3DC31C-6AF8-6D45-BCF9-8E3C31986CD2}" srcOrd="0" destOrd="0" presId="urn:microsoft.com/office/officeart/2005/8/layout/hierarchy1"/>
    <dgm:cxn modelId="{0129DF5F-ED5F-634C-9D8F-5606093AD320}" type="presParOf" srcId="{50CEFF95-5828-654A-A558-D99AFB20AE18}" destId="{3F640504-491E-874F-94AB-12F14FC918E8}" srcOrd="1" destOrd="0" presId="urn:microsoft.com/office/officeart/2005/8/layout/hierarchy1"/>
    <dgm:cxn modelId="{F7BD52EC-8409-294B-B0D6-AEA78EA3C459}" type="presParOf" srcId="{1F7C150D-4511-B74B-AE57-AF184E28958E}" destId="{382F28BC-6EBD-0A4E-BBDB-02AF4D4BD3F2}" srcOrd="1" destOrd="0" presId="urn:microsoft.com/office/officeart/2005/8/layout/hierarchy1"/>
    <dgm:cxn modelId="{4A27B3E0-F55C-E248-973B-529FC4574E94}" type="presParOf" srcId="{382F28BC-6EBD-0A4E-BBDB-02AF4D4BD3F2}" destId="{1EA7AE1D-3A42-434C-B45A-0B9D6712B865}" srcOrd="0" destOrd="0" presId="urn:microsoft.com/office/officeart/2005/8/layout/hierarchy1"/>
    <dgm:cxn modelId="{9FD5C890-28F9-C346-ACE3-7EF7407ED5FD}" type="presParOf" srcId="{382F28BC-6EBD-0A4E-BBDB-02AF4D4BD3F2}" destId="{F02F4F02-B927-C944-BF5D-B0EDD99E39F9}" srcOrd="1" destOrd="0" presId="urn:microsoft.com/office/officeart/2005/8/layout/hierarchy1"/>
    <dgm:cxn modelId="{8B2D0026-5DE1-B645-B198-E838EA971C58}" type="presParOf" srcId="{F02F4F02-B927-C944-BF5D-B0EDD99E39F9}" destId="{EA5CD022-7E45-EF4F-90B4-5250B1516AD8}" srcOrd="0" destOrd="0" presId="urn:microsoft.com/office/officeart/2005/8/layout/hierarchy1"/>
    <dgm:cxn modelId="{65DE0DE8-E69A-244A-9152-3A32E9EBD462}" type="presParOf" srcId="{EA5CD022-7E45-EF4F-90B4-5250B1516AD8}" destId="{C17364CF-1DF7-3140-BC2E-C1E5B7924437}" srcOrd="0" destOrd="0" presId="urn:microsoft.com/office/officeart/2005/8/layout/hierarchy1"/>
    <dgm:cxn modelId="{D53E08C5-5BC6-684A-880C-ED1FC7F90E3D}" type="presParOf" srcId="{EA5CD022-7E45-EF4F-90B4-5250B1516AD8}" destId="{22BDD2E1-FFCF-144C-8401-1A29EC911271}" srcOrd="1" destOrd="0" presId="urn:microsoft.com/office/officeart/2005/8/layout/hierarchy1"/>
    <dgm:cxn modelId="{364730B6-28BE-174E-B13D-D7B8857C287F}" type="presParOf" srcId="{F02F4F02-B927-C944-BF5D-B0EDD99E39F9}" destId="{810C593B-155E-6949-B777-652702FD97BC}" srcOrd="1" destOrd="0" presId="urn:microsoft.com/office/officeart/2005/8/layout/hierarchy1"/>
    <dgm:cxn modelId="{2CC297D3-3D99-C64B-9123-1C096103E2E9}" type="presParOf" srcId="{36E24DCD-9EAE-384A-AB8F-2E6338CC9142}" destId="{B724D365-6FAA-FC45-A079-DAE373EFDA56}" srcOrd="2" destOrd="0" presId="urn:microsoft.com/office/officeart/2005/8/layout/hierarchy1"/>
    <dgm:cxn modelId="{D45EEE7D-2B53-C644-951D-04BE9F730865}" type="presParOf" srcId="{36E24DCD-9EAE-384A-AB8F-2E6338CC9142}" destId="{FADC75FD-9D2F-E040-B77D-4A64FA351ABC}" srcOrd="3" destOrd="0" presId="urn:microsoft.com/office/officeart/2005/8/layout/hierarchy1"/>
    <dgm:cxn modelId="{EE5781CF-F670-204D-84AC-2769DDED7DE4}" type="presParOf" srcId="{FADC75FD-9D2F-E040-B77D-4A64FA351ABC}" destId="{62F0A413-2366-594F-90A6-EDD76ACF6CFE}" srcOrd="0" destOrd="0" presId="urn:microsoft.com/office/officeart/2005/8/layout/hierarchy1"/>
    <dgm:cxn modelId="{AB3BFFDA-9AAA-EF45-B246-5F71319CF2A1}" type="presParOf" srcId="{62F0A413-2366-594F-90A6-EDD76ACF6CFE}" destId="{8C0889DA-26DE-C34A-8C43-F92848DCB0BD}" srcOrd="0" destOrd="0" presId="urn:microsoft.com/office/officeart/2005/8/layout/hierarchy1"/>
    <dgm:cxn modelId="{54786CCA-FF34-194F-BE13-B735C4BF1911}" type="presParOf" srcId="{62F0A413-2366-594F-90A6-EDD76ACF6CFE}" destId="{86DC9ACB-E1F9-1D43-98A6-D0E0037916F6}" srcOrd="1" destOrd="0" presId="urn:microsoft.com/office/officeart/2005/8/layout/hierarchy1"/>
    <dgm:cxn modelId="{36A75BF6-8C58-654C-AE9D-474824912025}" type="presParOf" srcId="{FADC75FD-9D2F-E040-B77D-4A64FA351ABC}" destId="{514346CC-5347-C94E-9627-9B9122BAC56F}" srcOrd="1" destOrd="0" presId="urn:microsoft.com/office/officeart/2005/8/layout/hierarchy1"/>
    <dgm:cxn modelId="{E51CB062-0397-5449-AE08-7683EE2C711C}" type="presParOf" srcId="{514346CC-5347-C94E-9627-9B9122BAC56F}" destId="{0893E211-A2B6-794F-AD87-7026268AA5EF}" srcOrd="0" destOrd="0" presId="urn:microsoft.com/office/officeart/2005/8/layout/hierarchy1"/>
    <dgm:cxn modelId="{36951460-9D28-944D-8748-BBC295748E8D}" type="presParOf" srcId="{514346CC-5347-C94E-9627-9B9122BAC56F}" destId="{77C13294-461B-8D4B-A524-E5C48065B642}" srcOrd="1" destOrd="0" presId="urn:microsoft.com/office/officeart/2005/8/layout/hierarchy1"/>
    <dgm:cxn modelId="{42DF6996-4BEC-B74D-A811-31CB45DFBC29}" type="presParOf" srcId="{77C13294-461B-8D4B-A524-E5C48065B642}" destId="{5B6706C4-B59A-1448-B4D1-B1B61518B603}" srcOrd="0" destOrd="0" presId="urn:microsoft.com/office/officeart/2005/8/layout/hierarchy1"/>
    <dgm:cxn modelId="{6603BDFE-5C19-3E4A-8099-8259CD8819AE}" type="presParOf" srcId="{5B6706C4-B59A-1448-B4D1-B1B61518B603}" destId="{4A5575DB-D3CC-794A-B236-081ECCF515CB}" srcOrd="0" destOrd="0" presId="urn:microsoft.com/office/officeart/2005/8/layout/hierarchy1"/>
    <dgm:cxn modelId="{F096BBF1-5B22-774A-9180-35073017EC5D}" type="presParOf" srcId="{5B6706C4-B59A-1448-B4D1-B1B61518B603}" destId="{7BE4D196-BD1F-F444-A8DF-762030DFD900}" srcOrd="1" destOrd="0" presId="urn:microsoft.com/office/officeart/2005/8/layout/hierarchy1"/>
    <dgm:cxn modelId="{7D733167-BFDF-4E49-AF16-B07C5DE7EE72}" type="presParOf" srcId="{77C13294-461B-8D4B-A524-E5C48065B642}" destId="{CE9CE7F7-249A-2D43-8651-CDD54108E109}" srcOrd="1" destOrd="0" presId="urn:microsoft.com/office/officeart/2005/8/layout/hierarchy1"/>
    <dgm:cxn modelId="{BB84B213-AC5F-4B49-9AB8-1AFDDF1D5D1A}" type="presParOf" srcId="{514346CC-5347-C94E-9627-9B9122BAC56F}" destId="{CE6102C4-4E0F-5A4D-A7EB-99C433F21565}" srcOrd="2" destOrd="0" presId="urn:microsoft.com/office/officeart/2005/8/layout/hierarchy1"/>
    <dgm:cxn modelId="{B618656E-D2F9-E446-BF9E-B386C4F8C1A6}" type="presParOf" srcId="{514346CC-5347-C94E-9627-9B9122BAC56F}" destId="{10C1F8AB-A47C-CD4F-A1B6-BBEE6388CA6B}" srcOrd="3" destOrd="0" presId="urn:microsoft.com/office/officeart/2005/8/layout/hierarchy1"/>
    <dgm:cxn modelId="{71C7B96E-4964-5A44-8C69-EAFC5A87F2EF}" type="presParOf" srcId="{10C1F8AB-A47C-CD4F-A1B6-BBEE6388CA6B}" destId="{3D5FB389-56F1-094D-AC87-6EB128A0C460}" srcOrd="0" destOrd="0" presId="urn:microsoft.com/office/officeart/2005/8/layout/hierarchy1"/>
    <dgm:cxn modelId="{5F054893-7754-D145-A016-CA31A1489067}" type="presParOf" srcId="{3D5FB389-56F1-094D-AC87-6EB128A0C460}" destId="{BE60E1CA-5A16-664C-98C3-FC438B03D051}" srcOrd="0" destOrd="0" presId="urn:microsoft.com/office/officeart/2005/8/layout/hierarchy1"/>
    <dgm:cxn modelId="{5EA21796-A1E5-1748-BC10-854DBF747E60}" type="presParOf" srcId="{3D5FB389-56F1-094D-AC87-6EB128A0C460}" destId="{B9197E60-EC73-944A-8E82-D10E7B21EBA3}" srcOrd="1" destOrd="0" presId="urn:microsoft.com/office/officeart/2005/8/layout/hierarchy1"/>
    <dgm:cxn modelId="{34D4FD32-D522-BE4A-8300-D13A94DCAE66}" type="presParOf" srcId="{10C1F8AB-A47C-CD4F-A1B6-BBEE6388CA6B}" destId="{89F4C355-CC0F-3549-A62F-E58CFEF53E4D}" srcOrd="1" destOrd="0" presId="urn:microsoft.com/office/officeart/2005/8/layout/hierarchy1"/>
    <dgm:cxn modelId="{BDC3F0EC-5CF2-F94D-AE3C-7875EFAB4432}" type="presParOf" srcId="{514346CC-5347-C94E-9627-9B9122BAC56F}" destId="{F5BA360C-7EF9-C54D-A441-F558C3AA88EB}" srcOrd="4" destOrd="0" presId="urn:microsoft.com/office/officeart/2005/8/layout/hierarchy1"/>
    <dgm:cxn modelId="{6B4FA432-FF73-8F4A-B86D-8D1521055C0A}" type="presParOf" srcId="{514346CC-5347-C94E-9627-9B9122BAC56F}" destId="{53CE5299-9144-F140-9A0E-D18E652FBDAE}" srcOrd="5" destOrd="0" presId="urn:microsoft.com/office/officeart/2005/8/layout/hierarchy1"/>
    <dgm:cxn modelId="{2BAFEA6B-E23B-7445-B6BF-BAFBD7DF8EDF}" type="presParOf" srcId="{53CE5299-9144-F140-9A0E-D18E652FBDAE}" destId="{D9D79AFC-E18A-5F4A-BFE7-2AFECD6623AE}" srcOrd="0" destOrd="0" presId="urn:microsoft.com/office/officeart/2005/8/layout/hierarchy1"/>
    <dgm:cxn modelId="{99BAF80A-57B3-6A48-BA5B-93D305EDF523}" type="presParOf" srcId="{D9D79AFC-E18A-5F4A-BFE7-2AFECD6623AE}" destId="{3AC2CA81-4BD4-434C-9172-5202C4B0651C}" srcOrd="0" destOrd="0" presId="urn:microsoft.com/office/officeart/2005/8/layout/hierarchy1"/>
    <dgm:cxn modelId="{7EE6183E-4A09-8148-ABD1-280CF67A2A38}" type="presParOf" srcId="{D9D79AFC-E18A-5F4A-BFE7-2AFECD6623AE}" destId="{1CD5A50C-BDB4-144A-921D-4B449552E152}" srcOrd="1" destOrd="0" presId="urn:microsoft.com/office/officeart/2005/8/layout/hierarchy1"/>
    <dgm:cxn modelId="{9F496D3A-2F84-ED40-9574-41522A075D54}" type="presParOf" srcId="{53CE5299-9144-F140-9A0E-D18E652FBDAE}" destId="{D8345BD1-1711-E647-9929-E49D88605EC6}" srcOrd="1" destOrd="0" presId="urn:microsoft.com/office/officeart/2005/8/layout/hierarchy1"/>
    <dgm:cxn modelId="{929C058E-81F4-0E43-A7D8-655DD3F41C9F}" type="presParOf" srcId="{D8345BD1-1711-E647-9929-E49D88605EC6}" destId="{59E2380A-F2A8-F445-809C-5703A9AB3EE9}" srcOrd="0" destOrd="0" presId="urn:microsoft.com/office/officeart/2005/8/layout/hierarchy1"/>
    <dgm:cxn modelId="{BC0C2481-153B-9C43-AAA9-3556587D3941}" type="presParOf" srcId="{D8345BD1-1711-E647-9929-E49D88605EC6}" destId="{EAAD233F-5043-B941-98E9-C80FF3C2EE2E}" srcOrd="1" destOrd="0" presId="urn:microsoft.com/office/officeart/2005/8/layout/hierarchy1"/>
    <dgm:cxn modelId="{82068913-13AB-BE40-B55E-5EC88D4B18F4}" type="presParOf" srcId="{EAAD233F-5043-B941-98E9-C80FF3C2EE2E}" destId="{0C05188D-E6AB-8646-A006-76002A2A452C}" srcOrd="0" destOrd="0" presId="urn:microsoft.com/office/officeart/2005/8/layout/hierarchy1"/>
    <dgm:cxn modelId="{1F533FCF-1E22-1E45-95FA-95ED4FB5DD8C}" type="presParOf" srcId="{0C05188D-E6AB-8646-A006-76002A2A452C}" destId="{2499975F-7FFA-364F-A42F-95DA0A927F16}" srcOrd="0" destOrd="0" presId="urn:microsoft.com/office/officeart/2005/8/layout/hierarchy1"/>
    <dgm:cxn modelId="{C2803774-5802-BB49-8C10-CC8E441ABD3F}" type="presParOf" srcId="{0C05188D-E6AB-8646-A006-76002A2A452C}" destId="{1621E89A-2ABE-9D4C-A099-8FAA770CAD40}" srcOrd="1" destOrd="0" presId="urn:microsoft.com/office/officeart/2005/8/layout/hierarchy1"/>
    <dgm:cxn modelId="{134067B4-C0F4-7A43-BB4E-DF4BDCB9765C}" type="presParOf" srcId="{EAAD233F-5043-B941-98E9-C80FF3C2EE2E}" destId="{7ECFF17A-AD96-1148-B67F-9C7EA96ABD00}" srcOrd="1" destOrd="0" presId="urn:microsoft.com/office/officeart/2005/8/layout/hierarchy1"/>
    <dgm:cxn modelId="{C924EF27-287B-1446-9889-B3D1E917B584}" type="presParOf" srcId="{7ECFF17A-AD96-1148-B67F-9C7EA96ABD00}" destId="{08109481-FCAB-E340-893E-DB5DF0293404}" srcOrd="0" destOrd="0" presId="urn:microsoft.com/office/officeart/2005/8/layout/hierarchy1"/>
    <dgm:cxn modelId="{6D1B04A8-E859-C14A-8D14-FC232C85ABAE}" type="presParOf" srcId="{7ECFF17A-AD96-1148-B67F-9C7EA96ABD00}" destId="{836D733F-4778-4441-8CCF-11505F84F664}" srcOrd="1" destOrd="0" presId="urn:microsoft.com/office/officeart/2005/8/layout/hierarchy1"/>
    <dgm:cxn modelId="{2532FF02-56EC-824A-B57B-C332EBFE7BB8}" type="presParOf" srcId="{836D733F-4778-4441-8CCF-11505F84F664}" destId="{AEAAF726-E4CE-4643-8988-6F5CE4D5D016}" srcOrd="0" destOrd="0" presId="urn:microsoft.com/office/officeart/2005/8/layout/hierarchy1"/>
    <dgm:cxn modelId="{40765E51-A1D3-9943-8993-4E367D02125E}" type="presParOf" srcId="{AEAAF726-E4CE-4643-8988-6F5CE4D5D016}" destId="{1C2924E0-CC6F-4F44-879C-3827D95A7DED}" srcOrd="0" destOrd="0" presId="urn:microsoft.com/office/officeart/2005/8/layout/hierarchy1"/>
    <dgm:cxn modelId="{8CF84356-7CC2-D74E-B6F8-383793F7A529}" type="presParOf" srcId="{AEAAF726-E4CE-4643-8988-6F5CE4D5D016}" destId="{CB45AEC9-1796-4E41-8B51-B2EA88A352BF}" srcOrd="1" destOrd="0" presId="urn:microsoft.com/office/officeart/2005/8/layout/hierarchy1"/>
    <dgm:cxn modelId="{890D2F66-9E70-FF47-B3A2-B0D3180A0F64}" type="presParOf" srcId="{836D733F-4778-4441-8CCF-11505F84F664}" destId="{18517459-69F3-B14D-BA78-C9CEB226C68A}" srcOrd="1" destOrd="0" presId="urn:microsoft.com/office/officeart/2005/8/layout/hierarchy1"/>
    <dgm:cxn modelId="{0887F652-D0BC-E141-A5D2-CE95A72DEA39}" type="presParOf" srcId="{7ECFF17A-AD96-1148-B67F-9C7EA96ABD00}" destId="{FE14176B-B6B6-A144-A2AA-074E0A70C005}" srcOrd="2" destOrd="0" presId="urn:microsoft.com/office/officeart/2005/8/layout/hierarchy1"/>
    <dgm:cxn modelId="{4D9974A0-0B7A-5B44-8E63-960E576E7709}" type="presParOf" srcId="{7ECFF17A-AD96-1148-B67F-9C7EA96ABD00}" destId="{7F9F0C57-9FFE-7548-8350-481C3A5DE064}" srcOrd="3" destOrd="0" presId="urn:microsoft.com/office/officeart/2005/8/layout/hierarchy1"/>
    <dgm:cxn modelId="{3CEC19B2-71A1-4746-8CD1-7BEADD6FB21B}" type="presParOf" srcId="{7F9F0C57-9FFE-7548-8350-481C3A5DE064}" destId="{33F9F567-A6E2-E34B-93D5-89CF0DED1E9C}" srcOrd="0" destOrd="0" presId="urn:microsoft.com/office/officeart/2005/8/layout/hierarchy1"/>
    <dgm:cxn modelId="{6CA984AF-FA13-1D4F-9876-5490AE624F7C}" type="presParOf" srcId="{33F9F567-A6E2-E34B-93D5-89CF0DED1E9C}" destId="{BB96FE67-7C08-284A-BD30-AA54715A0A34}" srcOrd="0" destOrd="0" presId="urn:microsoft.com/office/officeart/2005/8/layout/hierarchy1"/>
    <dgm:cxn modelId="{AC4D6A44-D8AB-1C4C-90A1-350C92478C3F}" type="presParOf" srcId="{33F9F567-A6E2-E34B-93D5-89CF0DED1E9C}" destId="{4EA26F61-0117-D94D-9C33-754E2ECC6B1F}" srcOrd="1" destOrd="0" presId="urn:microsoft.com/office/officeart/2005/8/layout/hierarchy1"/>
    <dgm:cxn modelId="{BC0292B4-5D1D-AF4D-B8CE-7E9832C9EA15}" type="presParOf" srcId="{7F9F0C57-9FFE-7548-8350-481C3A5DE064}" destId="{B4674670-6E4A-E240-8C32-33974A1FADDF}" srcOrd="1" destOrd="0" presId="urn:microsoft.com/office/officeart/2005/8/layout/hierarchy1"/>
    <dgm:cxn modelId="{7665C2E3-C686-8A4E-A8B6-C23B3BF85CF0}" type="presParOf" srcId="{7ECFF17A-AD96-1148-B67F-9C7EA96ABD00}" destId="{810B30FF-27F8-7343-AE4D-9F6C5B0403C3}" srcOrd="4" destOrd="0" presId="urn:microsoft.com/office/officeart/2005/8/layout/hierarchy1"/>
    <dgm:cxn modelId="{5CF3A16B-DD8E-034A-A163-D929B7A33D1D}" type="presParOf" srcId="{7ECFF17A-AD96-1148-B67F-9C7EA96ABD00}" destId="{B2A4B2E2-6CCF-6E48-A91F-EFF0A21B5167}" srcOrd="5" destOrd="0" presId="urn:microsoft.com/office/officeart/2005/8/layout/hierarchy1"/>
    <dgm:cxn modelId="{6514D7B9-EC6B-024F-AC0E-1E97E7BFC99B}" type="presParOf" srcId="{B2A4B2E2-6CCF-6E48-A91F-EFF0A21B5167}" destId="{E7FF6488-7BD8-AF44-947D-502B34B8684F}" srcOrd="0" destOrd="0" presId="urn:microsoft.com/office/officeart/2005/8/layout/hierarchy1"/>
    <dgm:cxn modelId="{7B71B28E-3A2A-474D-B601-432C6E1E96F5}" type="presParOf" srcId="{E7FF6488-7BD8-AF44-947D-502B34B8684F}" destId="{98BE5A05-FD43-3347-AFFD-CD7B120C6183}" srcOrd="0" destOrd="0" presId="urn:microsoft.com/office/officeart/2005/8/layout/hierarchy1"/>
    <dgm:cxn modelId="{2E4EFD1E-ACBB-2B48-9480-E5AA5568B39B}" type="presParOf" srcId="{E7FF6488-7BD8-AF44-947D-502B34B8684F}" destId="{14267CE6-9ABA-BE46-8266-414BE118BFD9}" srcOrd="1" destOrd="0" presId="urn:microsoft.com/office/officeart/2005/8/layout/hierarchy1"/>
    <dgm:cxn modelId="{AFE7023C-77F5-9C40-A267-AF8F8ED87B41}" type="presParOf" srcId="{B2A4B2E2-6CCF-6E48-A91F-EFF0A21B5167}" destId="{CA4434F5-26D6-CF47-B29A-1C11D3D8D081}" srcOrd="1" destOrd="0" presId="urn:microsoft.com/office/officeart/2005/8/layout/hierarchy1"/>
    <dgm:cxn modelId="{D8F72CD6-2BBF-F245-AEBB-846DE09EDA03}" type="presParOf" srcId="{36E24DCD-9EAE-384A-AB8F-2E6338CC9142}" destId="{8B2F26B7-6F3B-3B43-8A93-BFE21E5213F8}" srcOrd="4" destOrd="0" presId="urn:microsoft.com/office/officeart/2005/8/layout/hierarchy1"/>
    <dgm:cxn modelId="{2947B1F8-3F20-8C4D-B8B5-C1266EB6FB0B}" type="presParOf" srcId="{36E24DCD-9EAE-384A-AB8F-2E6338CC9142}" destId="{43C7FB86-4A44-C14C-99B5-3A07D1E5C860}" srcOrd="5" destOrd="0" presId="urn:microsoft.com/office/officeart/2005/8/layout/hierarchy1"/>
    <dgm:cxn modelId="{E7A9E505-5A5C-2B4A-9E2A-D3ED3FA07603}" type="presParOf" srcId="{43C7FB86-4A44-C14C-99B5-3A07D1E5C860}" destId="{4D71ED7A-604D-4247-837B-4399A89C21DD}" srcOrd="0" destOrd="0" presId="urn:microsoft.com/office/officeart/2005/8/layout/hierarchy1"/>
    <dgm:cxn modelId="{DE93C8CA-7207-8E48-94AF-4A4122E30112}" type="presParOf" srcId="{4D71ED7A-604D-4247-837B-4399A89C21DD}" destId="{DAAEB58F-2CE7-FC4B-A634-BC975535C3FA}" srcOrd="0" destOrd="0" presId="urn:microsoft.com/office/officeart/2005/8/layout/hierarchy1"/>
    <dgm:cxn modelId="{E5806939-AA36-384B-A16A-A7ED81506BE0}" type="presParOf" srcId="{4D71ED7A-604D-4247-837B-4399A89C21DD}" destId="{2B196FA4-0317-A649-9D6C-66BD98543C24}" srcOrd="1" destOrd="0" presId="urn:microsoft.com/office/officeart/2005/8/layout/hierarchy1"/>
    <dgm:cxn modelId="{AF27473E-F9BF-B145-9E35-568102D04E6C}" type="presParOf" srcId="{43C7FB86-4A44-C14C-99B5-3A07D1E5C860}" destId="{1BEA56C7-EA17-A14A-95F4-BD740BC7B67A}" srcOrd="1" destOrd="0" presId="urn:microsoft.com/office/officeart/2005/8/layout/hierarchy1"/>
    <dgm:cxn modelId="{9A3E2BBC-BF73-9A4D-8D9F-64757ED9F0CA}" type="presParOf" srcId="{1BEA56C7-EA17-A14A-95F4-BD740BC7B67A}" destId="{96769727-E6E8-D148-AB1B-C6F7FC7297C3}" srcOrd="0" destOrd="0" presId="urn:microsoft.com/office/officeart/2005/8/layout/hierarchy1"/>
    <dgm:cxn modelId="{80FB7F63-E147-9D4D-8A18-A9C0026FA899}" type="presParOf" srcId="{1BEA56C7-EA17-A14A-95F4-BD740BC7B67A}" destId="{EC78C2C2-944F-A446-9BA3-D394D9AEC933}" srcOrd="1" destOrd="0" presId="urn:microsoft.com/office/officeart/2005/8/layout/hierarchy1"/>
    <dgm:cxn modelId="{296E8F38-12FD-8D4C-A698-2CD0334AA264}" type="presParOf" srcId="{EC78C2C2-944F-A446-9BA3-D394D9AEC933}" destId="{DA93BE9C-A351-B949-9120-5856681DDA74}" srcOrd="0" destOrd="0" presId="urn:microsoft.com/office/officeart/2005/8/layout/hierarchy1"/>
    <dgm:cxn modelId="{8CF29545-8D66-7146-A288-C8141688703F}" type="presParOf" srcId="{DA93BE9C-A351-B949-9120-5856681DDA74}" destId="{04B40D9B-81F4-754C-95F6-BF4686178B6B}" srcOrd="0" destOrd="0" presId="urn:microsoft.com/office/officeart/2005/8/layout/hierarchy1"/>
    <dgm:cxn modelId="{9915ED86-C35C-334B-A145-EF212B4778C7}" type="presParOf" srcId="{DA93BE9C-A351-B949-9120-5856681DDA74}" destId="{6771CBC9-C5C0-2D43-BA5F-B0628A05637B}" srcOrd="1" destOrd="0" presId="urn:microsoft.com/office/officeart/2005/8/layout/hierarchy1"/>
    <dgm:cxn modelId="{6343BC8F-F3F2-B94A-84A9-B084FEBBCA0B}" type="presParOf" srcId="{EC78C2C2-944F-A446-9BA3-D394D9AEC933}" destId="{44E3CDB8-CD1E-E446-8149-184A42A49D37}" srcOrd="1" destOrd="0" presId="urn:microsoft.com/office/officeart/2005/8/layout/hierarchy1"/>
    <dgm:cxn modelId="{AEED00E0-501B-5F4B-A876-FCA249BCC67A}" type="presParOf" srcId="{1BEA56C7-EA17-A14A-95F4-BD740BC7B67A}" destId="{272C510D-CA51-1244-BC60-686730BFA024}" srcOrd="2" destOrd="0" presId="urn:microsoft.com/office/officeart/2005/8/layout/hierarchy1"/>
    <dgm:cxn modelId="{7082594E-A76E-DF4F-B4F8-A9C1B90AACDB}" type="presParOf" srcId="{1BEA56C7-EA17-A14A-95F4-BD740BC7B67A}" destId="{07FE489A-50B7-EC47-856F-99C1C760F122}" srcOrd="3" destOrd="0" presId="urn:microsoft.com/office/officeart/2005/8/layout/hierarchy1"/>
    <dgm:cxn modelId="{FEA600C8-AE74-5947-97DF-45A4B0DCF13E}" type="presParOf" srcId="{07FE489A-50B7-EC47-856F-99C1C760F122}" destId="{898303C7-BDF1-204D-9BA9-9649D1A7FBD7}" srcOrd="0" destOrd="0" presId="urn:microsoft.com/office/officeart/2005/8/layout/hierarchy1"/>
    <dgm:cxn modelId="{21A0715A-FA54-624E-92A4-3ABCBA5DB204}" type="presParOf" srcId="{898303C7-BDF1-204D-9BA9-9649D1A7FBD7}" destId="{D8C23B9A-0E74-AF4F-89F0-F8E686456C9C}" srcOrd="0" destOrd="0" presId="urn:microsoft.com/office/officeart/2005/8/layout/hierarchy1"/>
    <dgm:cxn modelId="{0E6C6C13-C4AE-1F44-9D2A-545AC321A95F}" type="presParOf" srcId="{898303C7-BDF1-204D-9BA9-9649D1A7FBD7}" destId="{A8A03A70-4DA2-E94C-A480-55A7E720E74C}" srcOrd="1" destOrd="0" presId="urn:microsoft.com/office/officeart/2005/8/layout/hierarchy1"/>
    <dgm:cxn modelId="{EC7DFBB6-FE4F-5B44-B811-BAC57A4C64A6}" type="presParOf" srcId="{07FE489A-50B7-EC47-856F-99C1C760F122}" destId="{5D70E8D1-BD52-FD45-BB6C-7A4443DDE61E}" srcOrd="1" destOrd="0" presId="urn:microsoft.com/office/officeart/2005/8/layout/hierarchy1"/>
    <dgm:cxn modelId="{41ACF591-28B2-8A48-A273-FD469AD70EB2}" type="presParOf" srcId="{1BEA56C7-EA17-A14A-95F4-BD740BC7B67A}" destId="{58864210-6C60-CA4F-86C8-652B8103BC27}" srcOrd="4" destOrd="0" presId="urn:microsoft.com/office/officeart/2005/8/layout/hierarchy1"/>
    <dgm:cxn modelId="{2019ADCA-1A39-3940-8D9F-7C7BBA76114E}" type="presParOf" srcId="{1BEA56C7-EA17-A14A-95F4-BD740BC7B67A}" destId="{FB04A546-79D0-BD49-B5B7-E40A753122A8}" srcOrd="5" destOrd="0" presId="urn:microsoft.com/office/officeart/2005/8/layout/hierarchy1"/>
    <dgm:cxn modelId="{A96FE49B-7D18-3D44-82FC-335739B9F0B3}" type="presParOf" srcId="{FB04A546-79D0-BD49-B5B7-E40A753122A8}" destId="{8D15ADEC-8EC1-ED44-98AF-2A590883F862}" srcOrd="0" destOrd="0" presId="urn:microsoft.com/office/officeart/2005/8/layout/hierarchy1"/>
    <dgm:cxn modelId="{DEE14AAB-2689-7544-8E21-AEE411CC26CA}" type="presParOf" srcId="{8D15ADEC-8EC1-ED44-98AF-2A590883F862}" destId="{6F998E1C-DCF3-294F-8899-0D6EBB101DB3}" srcOrd="0" destOrd="0" presId="urn:microsoft.com/office/officeart/2005/8/layout/hierarchy1"/>
    <dgm:cxn modelId="{4CEDE749-D96B-B147-BD41-991E9C31941F}" type="presParOf" srcId="{8D15ADEC-8EC1-ED44-98AF-2A590883F862}" destId="{BF5AE55C-470D-1946-A9B3-73278FA650F5}" srcOrd="1" destOrd="0" presId="urn:microsoft.com/office/officeart/2005/8/layout/hierarchy1"/>
    <dgm:cxn modelId="{644C8CB5-7D5B-7D45-B547-945B1C14AF8F}" type="presParOf" srcId="{FB04A546-79D0-BD49-B5B7-E40A753122A8}" destId="{78F23373-248A-5043-B06E-C2C25D85623C}" srcOrd="1" destOrd="0" presId="urn:microsoft.com/office/officeart/2005/8/layout/hierarchy1"/>
    <dgm:cxn modelId="{08D7EA32-727C-9944-B2BC-FB63FFFC0B5D}" type="presParOf" srcId="{36E24DCD-9EAE-384A-AB8F-2E6338CC9142}" destId="{BA50AFFB-297B-4F46-BF2C-AC3B671C51A4}" srcOrd="6" destOrd="0" presId="urn:microsoft.com/office/officeart/2005/8/layout/hierarchy1"/>
    <dgm:cxn modelId="{407EF63E-6372-4543-98D7-04433A3E2C5A}" type="presParOf" srcId="{36E24DCD-9EAE-384A-AB8F-2E6338CC9142}" destId="{054B1918-0473-AB44-B507-4D3CE7CEAE26}" srcOrd="7" destOrd="0" presId="urn:microsoft.com/office/officeart/2005/8/layout/hierarchy1"/>
    <dgm:cxn modelId="{A3CFFFB0-D769-4946-8DFC-B78DE7EA764C}" type="presParOf" srcId="{054B1918-0473-AB44-B507-4D3CE7CEAE26}" destId="{132077E3-EFCB-B649-8887-6A137BFF899D}" srcOrd="0" destOrd="0" presId="urn:microsoft.com/office/officeart/2005/8/layout/hierarchy1"/>
    <dgm:cxn modelId="{F5BF6765-34C6-7A4A-82C7-EBA1E28F23B4}" type="presParOf" srcId="{132077E3-EFCB-B649-8887-6A137BFF899D}" destId="{99459218-FBE9-C346-9097-E498F6DA6CAC}" srcOrd="0" destOrd="0" presId="urn:microsoft.com/office/officeart/2005/8/layout/hierarchy1"/>
    <dgm:cxn modelId="{5604978F-0434-E441-8C39-3118731A77D7}" type="presParOf" srcId="{132077E3-EFCB-B649-8887-6A137BFF899D}" destId="{64F8A6E4-0BE4-E248-8A1D-070F9CD048BF}" srcOrd="1" destOrd="0" presId="urn:microsoft.com/office/officeart/2005/8/layout/hierarchy1"/>
    <dgm:cxn modelId="{29A1BD21-5BAA-EB40-B91D-DDFE3146BE8A}" type="presParOf" srcId="{054B1918-0473-AB44-B507-4D3CE7CEAE26}" destId="{6B9912CA-2F9A-C241-A6EA-6B056E87F4BA}" srcOrd="1" destOrd="0" presId="urn:microsoft.com/office/officeart/2005/8/layout/hierarchy1"/>
  </dgm:cxnLst>
  <dgm:bg/>
  <dgm:whole/>
  <dgm:extLst>
    <a:ext uri="http://schemas.microsoft.com/office/drawing/2008/diagram">
      <dsp:dataModelExt xmlns:dsp="http://schemas.microsoft.com/office/drawing/2008/diagram" relId="rId27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4668915-F139-004A-91C8-C0DFC7F968F0}" type="doc">
      <dgm:prSet loTypeId="urn:microsoft.com/office/officeart/2008/layout/SquareAccentList" loCatId="" qsTypeId="urn:microsoft.com/office/officeart/2005/8/quickstyle/simple4" qsCatId="simple" csTypeId="urn:microsoft.com/office/officeart/2005/8/colors/accent1_2" csCatId="accent1" phldr="1"/>
      <dgm:spPr/>
      <dgm:t>
        <a:bodyPr/>
        <a:lstStyle/>
        <a:p>
          <a:endParaRPr lang="en-US"/>
        </a:p>
      </dgm:t>
    </dgm:pt>
    <dgm:pt modelId="{E00F8EEB-4FC2-E14E-BFA0-44D561D42B16}">
      <dgm:prSet phldrT="[Text]" custT="1"/>
      <dgm:spPr/>
      <dgm:t>
        <a:bodyPr/>
        <a:lstStyle/>
        <a:p>
          <a:r>
            <a:rPr lang="en-US" sz="2800">
              <a:latin typeface="Arial"/>
              <a:cs typeface="Arial"/>
            </a:rPr>
            <a:t>   </a:t>
          </a:r>
          <a:r>
            <a:rPr lang="en-US" sz="2400">
              <a:latin typeface="Arial"/>
              <a:cs typeface="Arial"/>
            </a:rPr>
            <a:t>Preparedness</a:t>
          </a:r>
        </a:p>
      </dgm:t>
    </dgm:pt>
    <dgm:pt modelId="{9799BA47-D558-C341-A8EC-D64F672EDBB8}" type="parTrans" cxnId="{A8F6A837-3359-5040-8337-7FFAC8A7714B}">
      <dgm:prSet/>
      <dgm:spPr/>
      <dgm:t>
        <a:bodyPr/>
        <a:lstStyle/>
        <a:p>
          <a:endParaRPr lang="en-US"/>
        </a:p>
      </dgm:t>
    </dgm:pt>
    <dgm:pt modelId="{60B7CB0A-1E03-A24E-BF0E-4F7AE5464C78}" type="sibTrans" cxnId="{A8F6A837-3359-5040-8337-7FFAC8A7714B}">
      <dgm:prSet/>
      <dgm:spPr/>
      <dgm:t>
        <a:bodyPr/>
        <a:lstStyle/>
        <a:p>
          <a:endParaRPr lang="en-US"/>
        </a:p>
      </dgm:t>
    </dgm:pt>
    <dgm:pt modelId="{770E026F-8DAD-464F-A0A7-A9BC297297DE}">
      <dgm:prSet phldrT="[Text]" custT="1"/>
      <dgm:spPr/>
      <dgm:t>
        <a:bodyPr/>
        <a:lstStyle/>
        <a:p>
          <a:r>
            <a:rPr lang="en-US" sz="1000">
              <a:latin typeface="Arial"/>
              <a:cs typeface="Arial"/>
            </a:rPr>
            <a:t>1. Foundation Year 1 OR FY1 OR House Officer OR Newly Qualified Doctor AND</a:t>
          </a:r>
        </a:p>
      </dgm:t>
    </dgm:pt>
    <dgm:pt modelId="{80B9CA17-ED7F-6C4D-AB66-4C377BCDB63C}" type="parTrans" cxnId="{37CABFE5-DFEF-7C42-93C1-FCED6BA978CA}">
      <dgm:prSet/>
      <dgm:spPr/>
      <dgm:t>
        <a:bodyPr/>
        <a:lstStyle/>
        <a:p>
          <a:endParaRPr lang="en-US"/>
        </a:p>
      </dgm:t>
    </dgm:pt>
    <dgm:pt modelId="{6B46C2E2-F834-8F4A-B3EF-5BA55BA2ADE6}" type="sibTrans" cxnId="{37CABFE5-DFEF-7C42-93C1-FCED6BA978CA}">
      <dgm:prSet/>
      <dgm:spPr/>
      <dgm:t>
        <a:bodyPr/>
        <a:lstStyle/>
        <a:p>
          <a:endParaRPr lang="en-US"/>
        </a:p>
      </dgm:t>
    </dgm:pt>
    <dgm:pt modelId="{89DE9475-443C-5148-B12A-2BB02AAB7E36}">
      <dgm:prSet phldrT="[Text]" custT="1"/>
      <dgm:spPr/>
      <dgm:t>
        <a:bodyPr/>
        <a:lstStyle/>
        <a:p>
          <a:r>
            <a:rPr lang="en-US" sz="1000">
              <a:latin typeface="Arial"/>
              <a:cs typeface="Arial"/>
            </a:rPr>
            <a:t>2. Preparedness for practice OR Preparedness for FY1 OR Preparedness for transition AND</a:t>
          </a:r>
        </a:p>
      </dgm:t>
    </dgm:pt>
    <dgm:pt modelId="{78560987-46A4-CB44-9BB7-E7CF9F16C9C4}" type="parTrans" cxnId="{03AC3624-3CAB-9E45-BF8E-62906054BE7F}">
      <dgm:prSet/>
      <dgm:spPr/>
      <dgm:t>
        <a:bodyPr/>
        <a:lstStyle/>
        <a:p>
          <a:endParaRPr lang="en-US"/>
        </a:p>
      </dgm:t>
    </dgm:pt>
    <dgm:pt modelId="{0C69289F-3D7A-9544-8059-93B86E587550}" type="sibTrans" cxnId="{03AC3624-3CAB-9E45-BF8E-62906054BE7F}">
      <dgm:prSet/>
      <dgm:spPr/>
      <dgm:t>
        <a:bodyPr/>
        <a:lstStyle/>
        <a:p>
          <a:endParaRPr lang="en-US"/>
        </a:p>
      </dgm:t>
    </dgm:pt>
    <dgm:pt modelId="{6DBD7B5D-8FC9-E946-B3B4-2617B7701448}">
      <dgm:prSet phldrT="[Text]" custT="1"/>
      <dgm:spPr/>
      <dgm:t>
        <a:bodyPr/>
        <a:lstStyle/>
        <a:p>
          <a:r>
            <a:rPr lang="en-US" sz="1000">
              <a:latin typeface="Arial"/>
              <a:cs typeface="Arial"/>
            </a:rPr>
            <a:t>3. Great Britain OR Europe OR US </a:t>
          </a:r>
        </a:p>
      </dgm:t>
    </dgm:pt>
    <dgm:pt modelId="{69B70F90-22DC-0843-B34D-263FDB16D30D}" type="parTrans" cxnId="{0776EDA0-D3DD-CF4B-85F1-22C0E0B05842}">
      <dgm:prSet/>
      <dgm:spPr/>
      <dgm:t>
        <a:bodyPr/>
        <a:lstStyle/>
        <a:p>
          <a:endParaRPr lang="en-US"/>
        </a:p>
      </dgm:t>
    </dgm:pt>
    <dgm:pt modelId="{09FAF67C-A3FB-8546-958E-03E9DD816498}" type="sibTrans" cxnId="{0776EDA0-D3DD-CF4B-85F1-22C0E0B05842}">
      <dgm:prSet/>
      <dgm:spPr/>
      <dgm:t>
        <a:bodyPr/>
        <a:lstStyle/>
        <a:p>
          <a:endParaRPr lang="en-US"/>
        </a:p>
      </dgm:t>
    </dgm:pt>
    <dgm:pt modelId="{4911BFBE-6819-0346-8BDD-8FD551E34997}">
      <dgm:prSet phldrT="[Text]" custT="1"/>
      <dgm:spPr/>
      <dgm:t>
        <a:bodyPr/>
        <a:lstStyle/>
        <a:p>
          <a:r>
            <a:rPr lang="en-US" sz="2900">
              <a:latin typeface="Arial"/>
              <a:cs typeface="Arial"/>
            </a:rPr>
            <a:t>  </a:t>
          </a:r>
          <a:r>
            <a:rPr lang="en-US" sz="2400">
              <a:latin typeface="Arial"/>
              <a:cs typeface="Arial"/>
            </a:rPr>
            <a:t>Simulation</a:t>
          </a:r>
        </a:p>
      </dgm:t>
    </dgm:pt>
    <dgm:pt modelId="{41FC76C5-276A-E540-80D7-A63DEECB4371}" type="parTrans" cxnId="{0A2E2738-CA4C-FE40-AC78-1BD75B3B1669}">
      <dgm:prSet/>
      <dgm:spPr/>
      <dgm:t>
        <a:bodyPr/>
        <a:lstStyle/>
        <a:p>
          <a:endParaRPr lang="en-US"/>
        </a:p>
      </dgm:t>
    </dgm:pt>
    <dgm:pt modelId="{D8E0EAE9-4E15-244F-8ED2-F13657DE7F4F}" type="sibTrans" cxnId="{0A2E2738-CA4C-FE40-AC78-1BD75B3B1669}">
      <dgm:prSet/>
      <dgm:spPr/>
      <dgm:t>
        <a:bodyPr/>
        <a:lstStyle/>
        <a:p>
          <a:endParaRPr lang="en-US"/>
        </a:p>
      </dgm:t>
    </dgm:pt>
    <dgm:pt modelId="{D83F6A76-DB1F-1542-B684-08A1B236B503}">
      <dgm:prSet phldrT="[Text]" custT="1"/>
      <dgm:spPr/>
      <dgm:t>
        <a:bodyPr/>
        <a:lstStyle/>
        <a:p>
          <a:r>
            <a:rPr lang="en-US" sz="1000">
              <a:latin typeface="Arial"/>
              <a:cs typeface="Arial"/>
            </a:rPr>
            <a:t>1. Simulation OR Simulation based Medical education</a:t>
          </a:r>
        </a:p>
      </dgm:t>
    </dgm:pt>
    <dgm:pt modelId="{6A6FBC48-3D83-7343-AC3C-0E43E67266AA}" type="parTrans" cxnId="{D841BC69-EFF1-EC40-B738-6C97DF406261}">
      <dgm:prSet/>
      <dgm:spPr/>
      <dgm:t>
        <a:bodyPr/>
        <a:lstStyle/>
        <a:p>
          <a:endParaRPr lang="en-US"/>
        </a:p>
      </dgm:t>
    </dgm:pt>
    <dgm:pt modelId="{711D65A9-BFED-E34E-8494-7E696CED8539}" type="sibTrans" cxnId="{D841BC69-EFF1-EC40-B738-6C97DF406261}">
      <dgm:prSet/>
      <dgm:spPr/>
      <dgm:t>
        <a:bodyPr/>
        <a:lstStyle/>
        <a:p>
          <a:endParaRPr lang="en-US"/>
        </a:p>
      </dgm:t>
    </dgm:pt>
    <dgm:pt modelId="{6F589003-2889-C64E-8AB3-B35DD09287E6}">
      <dgm:prSet phldrT="[Text]" custT="1"/>
      <dgm:spPr/>
      <dgm:t>
        <a:bodyPr/>
        <a:lstStyle/>
        <a:p>
          <a:r>
            <a:rPr lang="en-US" sz="1000">
              <a:latin typeface="Arial"/>
              <a:cs typeface="Arial"/>
            </a:rPr>
            <a:t>2. Preparedness for practice OR preparedness for transition OR Undergraduate medical education</a:t>
          </a:r>
        </a:p>
      </dgm:t>
    </dgm:pt>
    <dgm:pt modelId="{FFC681A1-2C44-304B-AAE1-7EC62FA782B0}" type="parTrans" cxnId="{91DFCE73-094C-AF44-B29D-FD54B3227D20}">
      <dgm:prSet/>
      <dgm:spPr/>
      <dgm:t>
        <a:bodyPr/>
        <a:lstStyle/>
        <a:p>
          <a:endParaRPr lang="en-US"/>
        </a:p>
      </dgm:t>
    </dgm:pt>
    <dgm:pt modelId="{A597BB05-64D8-F645-838A-C59E8E4FE269}" type="sibTrans" cxnId="{91DFCE73-094C-AF44-B29D-FD54B3227D20}">
      <dgm:prSet/>
      <dgm:spPr/>
      <dgm:t>
        <a:bodyPr/>
        <a:lstStyle/>
        <a:p>
          <a:endParaRPr lang="en-US"/>
        </a:p>
      </dgm:t>
    </dgm:pt>
    <dgm:pt modelId="{51583765-15A8-BC44-B123-869E359D702D}">
      <dgm:prSet phldrT="[Text]" custT="1"/>
      <dgm:spPr/>
      <dgm:t>
        <a:bodyPr/>
        <a:lstStyle/>
        <a:p>
          <a:r>
            <a:rPr lang="en-US" sz="1000">
              <a:latin typeface="Arial"/>
              <a:cs typeface="Arial"/>
            </a:rPr>
            <a:t>3. Great Britain OR Europe OR US</a:t>
          </a:r>
        </a:p>
      </dgm:t>
    </dgm:pt>
    <dgm:pt modelId="{AB24BED4-121F-F743-B314-3343F5AAA4CB}" type="parTrans" cxnId="{65B8F2E9-ABBC-4E45-B791-6F3BF208D463}">
      <dgm:prSet/>
      <dgm:spPr/>
      <dgm:t>
        <a:bodyPr/>
        <a:lstStyle/>
        <a:p>
          <a:endParaRPr lang="en-US"/>
        </a:p>
      </dgm:t>
    </dgm:pt>
    <dgm:pt modelId="{F450028A-806C-F849-A9B7-C427B72BB6A0}" type="sibTrans" cxnId="{65B8F2E9-ABBC-4E45-B791-6F3BF208D463}">
      <dgm:prSet/>
      <dgm:spPr/>
      <dgm:t>
        <a:bodyPr/>
        <a:lstStyle/>
        <a:p>
          <a:endParaRPr lang="en-US"/>
        </a:p>
      </dgm:t>
    </dgm:pt>
    <dgm:pt modelId="{E1688F7E-88E3-6642-ABF5-6B3C551E61FE}">
      <dgm:prSet phldrT="[Text]" custT="1"/>
      <dgm:spPr/>
      <dgm:t>
        <a:bodyPr/>
        <a:lstStyle/>
        <a:p>
          <a:r>
            <a:rPr lang="en-US" sz="1000">
              <a:latin typeface="Arial"/>
              <a:cs typeface="Arial"/>
            </a:rPr>
            <a:t>1 AND 2 AND 3</a:t>
          </a:r>
        </a:p>
      </dgm:t>
    </dgm:pt>
    <dgm:pt modelId="{673190A9-94AD-5646-AE8F-1F7AD83AAF95}" type="parTrans" cxnId="{B48C58F6-DB13-4F43-9366-DDCC75127584}">
      <dgm:prSet/>
      <dgm:spPr/>
      <dgm:t>
        <a:bodyPr/>
        <a:lstStyle/>
        <a:p>
          <a:endParaRPr lang="en-US"/>
        </a:p>
      </dgm:t>
    </dgm:pt>
    <dgm:pt modelId="{232E54A9-B81C-414C-9889-4120B79B642D}" type="sibTrans" cxnId="{B48C58F6-DB13-4F43-9366-DDCC75127584}">
      <dgm:prSet/>
      <dgm:spPr/>
      <dgm:t>
        <a:bodyPr/>
        <a:lstStyle/>
        <a:p>
          <a:endParaRPr lang="en-US"/>
        </a:p>
      </dgm:t>
    </dgm:pt>
    <dgm:pt modelId="{120702DA-2D8E-E045-BF29-6C226512CCEE}">
      <dgm:prSet phldrT="[Text]" custT="1"/>
      <dgm:spPr/>
      <dgm:t>
        <a:bodyPr/>
        <a:lstStyle/>
        <a:p>
          <a:r>
            <a:rPr lang="en-US" sz="1000">
              <a:latin typeface="Arial"/>
              <a:cs typeface="Arial"/>
            </a:rPr>
            <a:t>Limited 1980 to 2013 </a:t>
          </a:r>
        </a:p>
      </dgm:t>
    </dgm:pt>
    <dgm:pt modelId="{DC87F040-DA2A-0C44-8395-18E847AF55B9}" type="parTrans" cxnId="{10679548-2040-F54F-AB70-FE8CC3FE5B57}">
      <dgm:prSet/>
      <dgm:spPr/>
      <dgm:t>
        <a:bodyPr/>
        <a:lstStyle/>
        <a:p>
          <a:endParaRPr lang="en-US"/>
        </a:p>
      </dgm:t>
    </dgm:pt>
    <dgm:pt modelId="{9FAD13EA-D4FF-E44F-B0F8-3276BC6F7FF6}" type="sibTrans" cxnId="{10679548-2040-F54F-AB70-FE8CC3FE5B57}">
      <dgm:prSet/>
      <dgm:spPr/>
      <dgm:t>
        <a:bodyPr/>
        <a:lstStyle/>
        <a:p>
          <a:endParaRPr lang="en-US"/>
        </a:p>
      </dgm:t>
    </dgm:pt>
    <dgm:pt modelId="{245BCDC4-2A8D-AB4C-B51B-9EAE863D1B9C}">
      <dgm:prSet phldrT="[Text]" custT="1"/>
      <dgm:spPr/>
      <dgm:t>
        <a:bodyPr/>
        <a:lstStyle/>
        <a:p>
          <a:r>
            <a:rPr lang="en-US" sz="1000">
              <a:latin typeface="Arial"/>
              <a:cs typeface="Arial"/>
            </a:rPr>
            <a:t>1 AND 2 AND 3</a:t>
          </a:r>
        </a:p>
      </dgm:t>
    </dgm:pt>
    <dgm:pt modelId="{4D73A856-981E-0F47-9B8B-39A80BC34110}" type="parTrans" cxnId="{DEB7AAE2-3DB0-0F44-A5A1-15529DCDD553}">
      <dgm:prSet/>
      <dgm:spPr/>
      <dgm:t>
        <a:bodyPr/>
        <a:lstStyle/>
        <a:p>
          <a:endParaRPr lang="en-US"/>
        </a:p>
      </dgm:t>
    </dgm:pt>
    <dgm:pt modelId="{DE5F416C-977D-E44B-8D89-2CD993318163}" type="sibTrans" cxnId="{DEB7AAE2-3DB0-0F44-A5A1-15529DCDD553}">
      <dgm:prSet/>
      <dgm:spPr/>
      <dgm:t>
        <a:bodyPr/>
        <a:lstStyle/>
        <a:p>
          <a:endParaRPr lang="en-US"/>
        </a:p>
      </dgm:t>
    </dgm:pt>
    <dgm:pt modelId="{8334AC35-C36F-BD4D-9B65-F8C5CFAEAB14}">
      <dgm:prSet phldrT="[Text]" custT="1"/>
      <dgm:spPr/>
      <dgm:t>
        <a:bodyPr/>
        <a:lstStyle/>
        <a:p>
          <a:r>
            <a:rPr lang="en-US" sz="1000">
              <a:latin typeface="Arial"/>
              <a:cs typeface="Arial"/>
            </a:rPr>
            <a:t>Limit 1980 to 2013 </a:t>
          </a:r>
        </a:p>
      </dgm:t>
    </dgm:pt>
    <dgm:pt modelId="{6EE9E3EB-C3A7-E84A-B9A6-8458E4CD019F}" type="parTrans" cxnId="{2E91F13E-E6A4-8F47-8850-91229C2A29C5}">
      <dgm:prSet/>
      <dgm:spPr/>
      <dgm:t>
        <a:bodyPr/>
        <a:lstStyle/>
        <a:p>
          <a:endParaRPr lang="en-US"/>
        </a:p>
      </dgm:t>
    </dgm:pt>
    <dgm:pt modelId="{DC561350-F642-0A4F-BCE5-8C7AC0AACA5D}" type="sibTrans" cxnId="{2E91F13E-E6A4-8F47-8850-91229C2A29C5}">
      <dgm:prSet/>
      <dgm:spPr/>
      <dgm:t>
        <a:bodyPr/>
        <a:lstStyle/>
        <a:p>
          <a:endParaRPr lang="en-US"/>
        </a:p>
      </dgm:t>
    </dgm:pt>
    <dgm:pt modelId="{169EDA54-FF64-6244-85F7-A66ADB8415D2}" type="pres">
      <dgm:prSet presAssocID="{C4668915-F139-004A-91C8-C0DFC7F968F0}" presName="layout" presStyleCnt="0">
        <dgm:presLayoutVars>
          <dgm:chMax/>
          <dgm:chPref/>
          <dgm:dir/>
          <dgm:resizeHandles/>
        </dgm:presLayoutVars>
      </dgm:prSet>
      <dgm:spPr/>
    </dgm:pt>
    <dgm:pt modelId="{8EB14A80-793C-4542-9220-BBE2C6BF7856}" type="pres">
      <dgm:prSet presAssocID="{E00F8EEB-4FC2-E14E-BFA0-44D561D42B16}" presName="root" presStyleCnt="0">
        <dgm:presLayoutVars>
          <dgm:chMax/>
          <dgm:chPref/>
        </dgm:presLayoutVars>
      </dgm:prSet>
      <dgm:spPr/>
    </dgm:pt>
    <dgm:pt modelId="{8E3FFB2A-30BD-394C-80B8-25F517D2D3D7}" type="pres">
      <dgm:prSet presAssocID="{E00F8EEB-4FC2-E14E-BFA0-44D561D42B16}" presName="rootComposite" presStyleCnt="0">
        <dgm:presLayoutVars/>
      </dgm:prSet>
      <dgm:spPr/>
    </dgm:pt>
    <dgm:pt modelId="{3B43E437-01F8-C34C-AAED-E1FE0118CBDB}" type="pres">
      <dgm:prSet presAssocID="{E00F8EEB-4FC2-E14E-BFA0-44D561D42B16}" presName="ParentAccent" presStyleLbl="alignNode1" presStyleIdx="0" presStyleCnt="2"/>
      <dgm:spPr/>
    </dgm:pt>
    <dgm:pt modelId="{62753E30-14B5-7048-B669-D6B562FBCADB}" type="pres">
      <dgm:prSet presAssocID="{E00F8EEB-4FC2-E14E-BFA0-44D561D42B16}" presName="ParentSmallAccent" presStyleLbl="fgAcc1" presStyleIdx="0" presStyleCnt="2" custLinFactY="-100000" custLinFactNeighborX="16583" custLinFactNeighborY="-134439"/>
      <dgm:spPr/>
    </dgm:pt>
    <dgm:pt modelId="{F8C40A3D-3480-DB41-B397-CABC1AF8630D}" type="pres">
      <dgm:prSet presAssocID="{E00F8EEB-4FC2-E14E-BFA0-44D561D42B16}" presName="Parent" presStyleLbl="revTx" presStyleIdx="0" presStyleCnt="12" custLinFactNeighborX="1218" custLinFactNeighborY="-3068">
        <dgm:presLayoutVars>
          <dgm:chMax/>
          <dgm:chPref val="4"/>
          <dgm:bulletEnabled val="1"/>
        </dgm:presLayoutVars>
      </dgm:prSet>
      <dgm:spPr/>
    </dgm:pt>
    <dgm:pt modelId="{65C53645-BD37-CB4E-95A9-D94D823E5FFD}" type="pres">
      <dgm:prSet presAssocID="{E00F8EEB-4FC2-E14E-BFA0-44D561D42B16}" presName="childShape" presStyleCnt="0">
        <dgm:presLayoutVars>
          <dgm:chMax val="0"/>
          <dgm:chPref val="0"/>
        </dgm:presLayoutVars>
      </dgm:prSet>
      <dgm:spPr/>
    </dgm:pt>
    <dgm:pt modelId="{60374B65-6417-ED43-8C08-9CFBE537225B}" type="pres">
      <dgm:prSet presAssocID="{770E026F-8DAD-464F-A0A7-A9BC297297DE}" presName="childComposite" presStyleCnt="0">
        <dgm:presLayoutVars>
          <dgm:chMax val="0"/>
          <dgm:chPref val="0"/>
        </dgm:presLayoutVars>
      </dgm:prSet>
      <dgm:spPr/>
    </dgm:pt>
    <dgm:pt modelId="{16E8B896-3AF1-A045-A986-6723A275B1A7}" type="pres">
      <dgm:prSet presAssocID="{770E026F-8DAD-464F-A0A7-A9BC297297DE}" presName="ChildAccent" presStyleLbl="solidFgAcc1" presStyleIdx="0" presStyleCnt="10"/>
      <dgm:spPr/>
    </dgm:pt>
    <dgm:pt modelId="{CF3F29E4-152C-7047-B409-BC2F336A0D59}" type="pres">
      <dgm:prSet presAssocID="{770E026F-8DAD-464F-A0A7-A9BC297297DE}" presName="Child" presStyleLbl="revTx" presStyleIdx="1" presStyleCnt="12">
        <dgm:presLayoutVars>
          <dgm:chMax val="0"/>
          <dgm:chPref val="0"/>
          <dgm:bulletEnabled val="1"/>
        </dgm:presLayoutVars>
      </dgm:prSet>
      <dgm:spPr/>
    </dgm:pt>
    <dgm:pt modelId="{366919FE-9BEC-4342-BA69-7DBDC14921BA}" type="pres">
      <dgm:prSet presAssocID="{89DE9475-443C-5148-B12A-2BB02AAB7E36}" presName="childComposite" presStyleCnt="0">
        <dgm:presLayoutVars>
          <dgm:chMax val="0"/>
          <dgm:chPref val="0"/>
        </dgm:presLayoutVars>
      </dgm:prSet>
      <dgm:spPr/>
    </dgm:pt>
    <dgm:pt modelId="{74E3DAE5-68B8-0643-A74E-58DC900A994D}" type="pres">
      <dgm:prSet presAssocID="{89DE9475-443C-5148-B12A-2BB02AAB7E36}" presName="ChildAccent" presStyleLbl="solidFgAcc1" presStyleIdx="1" presStyleCnt="10"/>
      <dgm:spPr/>
    </dgm:pt>
    <dgm:pt modelId="{C479455B-CD4B-254D-8D3D-4264034064E7}" type="pres">
      <dgm:prSet presAssocID="{89DE9475-443C-5148-B12A-2BB02AAB7E36}" presName="Child" presStyleLbl="revTx" presStyleIdx="2" presStyleCnt="12">
        <dgm:presLayoutVars>
          <dgm:chMax val="0"/>
          <dgm:chPref val="0"/>
          <dgm:bulletEnabled val="1"/>
        </dgm:presLayoutVars>
      </dgm:prSet>
      <dgm:spPr/>
    </dgm:pt>
    <dgm:pt modelId="{33E9F763-ABEC-3640-8C0F-3239945BFEBD}" type="pres">
      <dgm:prSet presAssocID="{6DBD7B5D-8FC9-E946-B3B4-2617B7701448}" presName="childComposite" presStyleCnt="0">
        <dgm:presLayoutVars>
          <dgm:chMax val="0"/>
          <dgm:chPref val="0"/>
        </dgm:presLayoutVars>
      </dgm:prSet>
      <dgm:spPr/>
    </dgm:pt>
    <dgm:pt modelId="{D44B5D16-30F5-854C-B87A-69D2FDB64DC5}" type="pres">
      <dgm:prSet presAssocID="{6DBD7B5D-8FC9-E946-B3B4-2617B7701448}" presName="ChildAccent" presStyleLbl="solidFgAcc1" presStyleIdx="2" presStyleCnt="10"/>
      <dgm:spPr/>
    </dgm:pt>
    <dgm:pt modelId="{BD48C4CE-0849-D54D-BDC5-0C9D7DAFD105}" type="pres">
      <dgm:prSet presAssocID="{6DBD7B5D-8FC9-E946-B3B4-2617B7701448}" presName="Child" presStyleLbl="revTx" presStyleIdx="3" presStyleCnt="12">
        <dgm:presLayoutVars>
          <dgm:chMax val="0"/>
          <dgm:chPref val="0"/>
          <dgm:bulletEnabled val="1"/>
        </dgm:presLayoutVars>
      </dgm:prSet>
      <dgm:spPr/>
    </dgm:pt>
    <dgm:pt modelId="{6A6B072D-EB26-CF4A-B29E-9A9D5D36C71C}" type="pres">
      <dgm:prSet presAssocID="{E1688F7E-88E3-6642-ABF5-6B3C551E61FE}" presName="childComposite" presStyleCnt="0">
        <dgm:presLayoutVars>
          <dgm:chMax val="0"/>
          <dgm:chPref val="0"/>
        </dgm:presLayoutVars>
      </dgm:prSet>
      <dgm:spPr/>
    </dgm:pt>
    <dgm:pt modelId="{2FE506FA-ED39-F448-B77F-181C2E769751}" type="pres">
      <dgm:prSet presAssocID="{E1688F7E-88E3-6642-ABF5-6B3C551E61FE}" presName="ChildAccent" presStyleLbl="solidFgAcc1" presStyleIdx="3" presStyleCnt="10"/>
      <dgm:spPr/>
    </dgm:pt>
    <dgm:pt modelId="{659B5A4D-6E69-ED4F-B4FA-D9F2F1DD5F8A}" type="pres">
      <dgm:prSet presAssocID="{E1688F7E-88E3-6642-ABF5-6B3C551E61FE}" presName="Child" presStyleLbl="revTx" presStyleIdx="4" presStyleCnt="12">
        <dgm:presLayoutVars>
          <dgm:chMax val="0"/>
          <dgm:chPref val="0"/>
          <dgm:bulletEnabled val="1"/>
        </dgm:presLayoutVars>
      </dgm:prSet>
      <dgm:spPr/>
    </dgm:pt>
    <dgm:pt modelId="{8F5525BA-0057-1240-B281-39567A18392F}" type="pres">
      <dgm:prSet presAssocID="{120702DA-2D8E-E045-BF29-6C226512CCEE}" presName="childComposite" presStyleCnt="0">
        <dgm:presLayoutVars>
          <dgm:chMax val="0"/>
          <dgm:chPref val="0"/>
        </dgm:presLayoutVars>
      </dgm:prSet>
      <dgm:spPr/>
    </dgm:pt>
    <dgm:pt modelId="{ED98D8FC-1E66-804C-8267-8289E652D165}" type="pres">
      <dgm:prSet presAssocID="{120702DA-2D8E-E045-BF29-6C226512CCEE}" presName="ChildAccent" presStyleLbl="solidFgAcc1" presStyleIdx="4" presStyleCnt="10"/>
      <dgm:spPr/>
    </dgm:pt>
    <dgm:pt modelId="{9A1D8009-E640-6847-BA55-96E7C462888D}" type="pres">
      <dgm:prSet presAssocID="{120702DA-2D8E-E045-BF29-6C226512CCEE}" presName="Child" presStyleLbl="revTx" presStyleIdx="5" presStyleCnt="12">
        <dgm:presLayoutVars>
          <dgm:chMax val="0"/>
          <dgm:chPref val="0"/>
          <dgm:bulletEnabled val="1"/>
        </dgm:presLayoutVars>
      </dgm:prSet>
      <dgm:spPr/>
    </dgm:pt>
    <dgm:pt modelId="{EEA649A7-C5F3-1B44-B054-219089DEE174}" type="pres">
      <dgm:prSet presAssocID="{4911BFBE-6819-0346-8BDD-8FD551E34997}" presName="root" presStyleCnt="0">
        <dgm:presLayoutVars>
          <dgm:chMax/>
          <dgm:chPref/>
        </dgm:presLayoutVars>
      </dgm:prSet>
      <dgm:spPr/>
    </dgm:pt>
    <dgm:pt modelId="{F7AACC2D-9640-AC45-86F4-3E4072C9EEB1}" type="pres">
      <dgm:prSet presAssocID="{4911BFBE-6819-0346-8BDD-8FD551E34997}" presName="rootComposite" presStyleCnt="0">
        <dgm:presLayoutVars/>
      </dgm:prSet>
      <dgm:spPr/>
    </dgm:pt>
    <dgm:pt modelId="{AD395A95-AB9F-D646-A823-1689FAB832D2}" type="pres">
      <dgm:prSet presAssocID="{4911BFBE-6819-0346-8BDD-8FD551E34997}" presName="ParentAccent" presStyleLbl="alignNode1" presStyleIdx="1" presStyleCnt="2"/>
      <dgm:spPr/>
    </dgm:pt>
    <dgm:pt modelId="{F41C1DA8-E91D-C840-901D-80A795FDBA03}" type="pres">
      <dgm:prSet presAssocID="{4911BFBE-6819-0346-8BDD-8FD551E34997}" presName="ParentSmallAccent" presStyleLbl="fgAcc1" presStyleIdx="1" presStyleCnt="2" custLinFactY="-100000" custLinFactNeighborX="-7210" custLinFactNeighborY="-134439"/>
      <dgm:spPr/>
    </dgm:pt>
    <dgm:pt modelId="{E1C18C0F-7611-234B-943D-ABBC4A30021D}" type="pres">
      <dgm:prSet presAssocID="{4911BFBE-6819-0346-8BDD-8FD551E34997}" presName="Parent" presStyleLbl="revTx" presStyleIdx="6" presStyleCnt="12" custScaleX="82043" custLinFactNeighborX="-5019" custLinFactNeighborY="-3068">
        <dgm:presLayoutVars>
          <dgm:chMax/>
          <dgm:chPref val="4"/>
          <dgm:bulletEnabled val="1"/>
        </dgm:presLayoutVars>
      </dgm:prSet>
      <dgm:spPr/>
    </dgm:pt>
    <dgm:pt modelId="{E24F8AF0-8209-A044-A1BA-832AF3EA95EF}" type="pres">
      <dgm:prSet presAssocID="{4911BFBE-6819-0346-8BDD-8FD551E34997}" presName="childShape" presStyleCnt="0">
        <dgm:presLayoutVars>
          <dgm:chMax val="0"/>
          <dgm:chPref val="0"/>
        </dgm:presLayoutVars>
      </dgm:prSet>
      <dgm:spPr/>
    </dgm:pt>
    <dgm:pt modelId="{42DD83FF-5EEF-E24A-B48B-B5555367B8D9}" type="pres">
      <dgm:prSet presAssocID="{D83F6A76-DB1F-1542-B684-08A1B236B503}" presName="childComposite" presStyleCnt="0">
        <dgm:presLayoutVars>
          <dgm:chMax val="0"/>
          <dgm:chPref val="0"/>
        </dgm:presLayoutVars>
      </dgm:prSet>
      <dgm:spPr/>
    </dgm:pt>
    <dgm:pt modelId="{629F1BBC-023D-114C-ACDC-2BDBFAD6CBEA}" type="pres">
      <dgm:prSet presAssocID="{D83F6A76-DB1F-1542-B684-08A1B236B503}" presName="ChildAccent" presStyleLbl="solidFgAcc1" presStyleIdx="5" presStyleCnt="10"/>
      <dgm:spPr/>
    </dgm:pt>
    <dgm:pt modelId="{F3DE46B0-67A0-A648-A5DA-99CE61F1282A}" type="pres">
      <dgm:prSet presAssocID="{D83F6A76-DB1F-1542-B684-08A1B236B503}" presName="Child" presStyleLbl="revTx" presStyleIdx="7" presStyleCnt="12">
        <dgm:presLayoutVars>
          <dgm:chMax val="0"/>
          <dgm:chPref val="0"/>
          <dgm:bulletEnabled val="1"/>
        </dgm:presLayoutVars>
      </dgm:prSet>
      <dgm:spPr/>
    </dgm:pt>
    <dgm:pt modelId="{02E53094-7C0E-EF41-B506-C6D091922A83}" type="pres">
      <dgm:prSet presAssocID="{6F589003-2889-C64E-8AB3-B35DD09287E6}" presName="childComposite" presStyleCnt="0">
        <dgm:presLayoutVars>
          <dgm:chMax val="0"/>
          <dgm:chPref val="0"/>
        </dgm:presLayoutVars>
      </dgm:prSet>
      <dgm:spPr/>
    </dgm:pt>
    <dgm:pt modelId="{4F56CBCE-1D84-654F-B873-9C169295CBD0}" type="pres">
      <dgm:prSet presAssocID="{6F589003-2889-C64E-8AB3-B35DD09287E6}" presName="ChildAccent" presStyleLbl="solidFgAcc1" presStyleIdx="6" presStyleCnt="10"/>
      <dgm:spPr/>
    </dgm:pt>
    <dgm:pt modelId="{86A5AC08-4713-EA45-97E9-7203E156FED6}" type="pres">
      <dgm:prSet presAssocID="{6F589003-2889-C64E-8AB3-B35DD09287E6}" presName="Child" presStyleLbl="revTx" presStyleIdx="8" presStyleCnt="12">
        <dgm:presLayoutVars>
          <dgm:chMax val="0"/>
          <dgm:chPref val="0"/>
          <dgm:bulletEnabled val="1"/>
        </dgm:presLayoutVars>
      </dgm:prSet>
      <dgm:spPr/>
    </dgm:pt>
    <dgm:pt modelId="{1B0186EA-BE8B-0E46-B303-AF5B0876BBD2}" type="pres">
      <dgm:prSet presAssocID="{51583765-15A8-BC44-B123-869E359D702D}" presName="childComposite" presStyleCnt="0">
        <dgm:presLayoutVars>
          <dgm:chMax val="0"/>
          <dgm:chPref val="0"/>
        </dgm:presLayoutVars>
      </dgm:prSet>
      <dgm:spPr/>
    </dgm:pt>
    <dgm:pt modelId="{E74D4FBC-5AB2-0A45-95D7-3E9DA33E05D5}" type="pres">
      <dgm:prSet presAssocID="{51583765-15A8-BC44-B123-869E359D702D}" presName="ChildAccent" presStyleLbl="solidFgAcc1" presStyleIdx="7" presStyleCnt="10"/>
      <dgm:spPr/>
    </dgm:pt>
    <dgm:pt modelId="{A3A7C588-79CB-A749-AD3A-82457F59315B}" type="pres">
      <dgm:prSet presAssocID="{51583765-15A8-BC44-B123-869E359D702D}" presName="Child" presStyleLbl="revTx" presStyleIdx="9" presStyleCnt="12">
        <dgm:presLayoutVars>
          <dgm:chMax val="0"/>
          <dgm:chPref val="0"/>
          <dgm:bulletEnabled val="1"/>
        </dgm:presLayoutVars>
      </dgm:prSet>
      <dgm:spPr/>
    </dgm:pt>
    <dgm:pt modelId="{B9B3920E-619A-154B-AF7D-BBBF8D3CE7E2}" type="pres">
      <dgm:prSet presAssocID="{245BCDC4-2A8D-AB4C-B51B-9EAE863D1B9C}" presName="childComposite" presStyleCnt="0">
        <dgm:presLayoutVars>
          <dgm:chMax val="0"/>
          <dgm:chPref val="0"/>
        </dgm:presLayoutVars>
      </dgm:prSet>
      <dgm:spPr/>
    </dgm:pt>
    <dgm:pt modelId="{735C6614-7B5A-AD4A-9782-5A7177DDB5ED}" type="pres">
      <dgm:prSet presAssocID="{245BCDC4-2A8D-AB4C-B51B-9EAE863D1B9C}" presName="ChildAccent" presStyleLbl="solidFgAcc1" presStyleIdx="8" presStyleCnt="10"/>
      <dgm:spPr/>
    </dgm:pt>
    <dgm:pt modelId="{18667907-64A3-214A-A1C7-F37C53048BE3}" type="pres">
      <dgm:prSet presAssocID="{245BCDC4-2A8D-AB4C-B51B-9EAE863D1B9C}" presName="Child" presStyleLbl="revTx" presStyleIdx="10" presStyleCnt="12">
        <dgm:presLayoutVars>
          <dgm:chMax val="0"/>
          <dgm:chPref val="0"/>
          <dgm:bulletEnabled val="1"/>
        </dgm:presLayoutVars>
      </dgm:prSet>
      <dgm:spPr/>
    </dgm:pt>
    <dgm:pt modelId="{2EF09CE3-0F4C-4A4E-A1B8-48E156F4A523}" type="pres">
      <dgm:prSet presAssocID="{8334AC35-C36F-BD4D-9B65-F8C5CFAEAB14}" presName="childComposite" presStyleCnt="0">
        <dgm:presLayoutVars>
          <dgm:chMax val="0"/>
          <dgm:chPref val="0"/>
        </dgm:presLayoutVars>
      </dgm:prSet>
      <dgm:spPr/>
    </dgm:pt>
    <dgm:pt modelId="{535314AD-74A8-6646-8FB5-3F3059EB8D57}" type="pres">
      <dgm:prSet presAssocID="{8334AC35-C36F-BD4D-9B65-F8C5CFAEAB14}" presName="ChildAccent" presStyleLbl="solidFgAcc1" presStyleIdx="9" presStyleCnt="10"/>
      <dgm:spPr/>
    </dgm:pt>
    <dgm:pt modelId="{43278577-4ED0-1B42-9EA4-C7CE01892CFD}" type="pres">
      <dgm:prSet presAssocID="{8334AC35-C36F-BD4D-9B65-F8C5CFAEAB14}" presName="Child" presStyleLbl="revTx" presStyleIdx="11" presStyleCnt="12">
        <dgm:presLayoutVars>
          <dgm:chMax val="0"/>
          <dgm:chPref val="0"/>
          <dgm:bulletEnabled val="1"/>
        </dgm:presLayoutVars>
      </dgm:prSet>
      <dgm:spPr/>
    </dgm:pt>
  </dgm:ptLst>
  <dgm:cxnLst>
    <dgm:cxn modelId="{EEEAF719-8DD7-BF49-B02D-6F4EA73B843B}" type="presOf" srcId="{770E026F-8DAD-464F-A0A7-A9BC297297DE}" destId="{CF3F29E4-152C-7047-B409-BC2F336A0D59}" srcOrd="0" destOrd="0" presId="urn:microsoft.com/office/officeart/2008/layout/SquareAccentList"/>
    <dgm:cxn modelId="{03AC3624-3CAB-9E45-BF8E-62906054BE7F}" srcId="{E00F8EEB-4FC2-E14E-BFA0-44D561D42B16}" destId="{89DE9475-443C-5148-B12A-2BB02AAB7E36}" srcOrd="1" destOrd="0" parTransId="{78560987-46A4-CB44-9BB7-E7CF9F16C9C4}" sibTransId="{0C69289F-3D7A-9544-8059-93B86E587550}"/>
    <dgm:cxn modelId="{A8F6A837-3359-5040-8337-7FFAC8A7714B}" srcId="{C4668915-F139-004A-91C8-C0DFC7F968F0}" destId="{E00F8EEB-4FC2-E14E-BFA0-44D561D42B16}" srcOrd="0" destOrd="0" parTransId="{9799BA47-D558-C341-A8EC-D64F672EDBB8}" sibTransId="{60B7CB0A-1E03-A24E-BF0E-4F7AE5464C78}"/>
    <dgm:cxn modelId="{0A2E2738-CA4C-FE40-AC78-1BD75B3B1669}" srcId="{C4668915-F139-004A-91C8-C0DFC7F968F0}" destId="{4911BFBE-6819-0346-8BDD-8FD551E34997}" srcOrd="1" destOrd="0" parTransId="{41FC76C5-276A-E540-80D7-A63DEECB4371}" sibTransId="{D8E0EAE9-4E15-244F-8ED2-F13657DE7F4F}"/>
    <dgm:cxn modelId="{42E30E3E-25DE-B14D-9FDA-2B40E7028609}" type="presOf" srcId="{51583765-15A8-BC44-B123-869E359D702D}" destId="{A3A7C588-79CB-A749-AD3A-82457F59315B}" srcOrd="0" destOrd="0" presId="urn:microsoft.com/office/officeart/2008/layout/SquareAccentList"/>
    <dgm:cxn modelId="{2E91F13E-E6A4-8F47-8850-91229C2A29C5}" srcId="{4911BFBE-6819-0346-8BDD-8FD551E34997}" destId="{8334AC35-C36F-BD4D-9B65-F8C5CFAEAB14}" srcOrd="4" destOrd="0" parTransId="{6EE9E3EB-C3A7-E84A-B9A6-8458E4CD019F}" sibTransId="{DC561350-F642-0A4F-BCE5-8C7AC0AACA5D}"/>
    <dgm:cxn modelId="{EF59B65C-FB92-6644-A80C-36BA2D73F010}" type="presOf" srcId="{D83F6A76-DB1F-1542-B684-08A1B236B503}" destId="{F3DE46B0-67A0-A648-A5DA-99CE61F1282A}" srcOrd="0" destOrd="0" presId="urn:microsoft.com/office/officeart/2008/layout/SquareAccentList"/>
    <dgm:cxn modelId="{863AE961-DE93-8D4B-A99B-F6D2554F26E1}" type="presOf" srcId="{89DE9475-443C-5148-B12A-2BB02AAB7E36}" destId="{C479455B-CD4B-254D-8D3D-4264034064E7}" srcOrd="0" destOrd="0" presId="urn:microsoft.com/office/officeart/2008/layout/SquareAccentList"/>
    <dgm:cxn modelId="{10679548-2040-F54F-AB70-FE8CC3FE5B57}" srcId="{E00F8EEB-4FC2-E14E-BFA0-44D561D42B16}" destId="{120702DA-2D8E-E045-BF29-6C226512CCEE}" srcOrd="4" destOrd="0" parTransId="{DC87F040-DA2A-0C44-8395-18E847AF55B9}" sibTransId="{9FAD13EA-D4FF-E44F-B0F8-3276BC6F7FF6}"/>
    <dgm:cxn modelId="{D841BC69-EFF1-EC40-B738-6C97DF406261}" srcId="{4911BFBE-6819-0346-8BDD-8FD551E34997}" destId="{D83F6A76-DB1F-1542-B684-08A1B236B503}" srcOrd="0" destOrd="0" parTransId="{6A6FBC48-3D83-7343-AC3C-0E43E67266AA}" sibTransId="{711D65A9-BFED-E34E-8494-7E696CED8539}"/>
    <dgm:cxn modelId="{C3232D6E-3809-9A4C-9478-E1C412AFF406}" type="presOf" srcId="{6DBD7B5D-8FC9-E946-B3B4-2617B7701448}" destId="{BD48C4CE-0849-D54D-BDC5-0C9D7DAFD105}" srcOrd="0" destOrd="0" presId="urn:microsoft.com/office/officeart/2008/layout/SquareAccentList"/>
    <dgm:cxn modelId="{FA242D4F-EE88-3549-A96B-6C3F1C9F8FF3}" type="presOf" srcId="{6F589003-2889-C64E-8AB3-B35DD09287E6}" destId="{86A5AC08-4713-EA45-97E9-7203E156FED6}" srcOrd="0" destOrd="0" presId="urn:microsoft.com/office/officeart/2008/layout/SquareAccentList"/>
    <dgm:cxn modelId="{91DFCE73-094C-AF44-B29D-FD54B3227D20}" srcId="{4911BFBE-6819-0346-8BDD-8FD551E34997}" destId="{6F589003-2889-C64E-8AB3-B35DD09287E6}" srcOrd="1" destOrd="0" parTransId="{FFC681A1-2C44-304B-AAE1-7EC62FA782B0}" sibTransId="{A597BB05-64D8-F645-838A-C59E8E4FE269}"/>
    <dgm:cxn modelId="{7CE07659-867E-F74E-AF9D-C0136FF32E97}" type="presOf" srcId="{C4668915-F139-004A-91C8-C0DFC7F968F0}" destId="{169EDA54-FF64-6244-85F7-A66ADB8415D2}" srcOrd="0" destOrd="0" presId="urn:microsoft.com/office/officeart/2008/layout/SquareAccentList"/>
    <dgm:cxn modelId="{DA43877C-6DE5-6240-B5C6-EEFF0B4EB16F}" type="presOf" srcId="{8334AC35-C36F-BD4D-9B65-F8C5CFAEAB14}" destId="{43278577-4ED0-1B42-9EA4-C7CE01892CFD}" srcOrd="0" destOrd="0" presId="urn:microsoft.com/office/officeart/2008/layout/SquareAccentList"/>
    <dgm:cxn modelId="{0776EDA0-D3DD-CF4B-85F1-22C0E0B05842}" srcId="{E00F8EEB-4FC2-E14E-BFA0-44D561D42B16}" destId="{6DBD7B5D-8FC9-E946-B3B4-2617B7701448}" srcOrd="2" destOrd="0" parTransId="{69B70F90-22DC-0843-B34D-263FDB16D30D}" sibTransId="{09FAF67C-A3FB-8546-958E-03E9DD816498}"/>
    <dgm:cxn modelId="{1C002CB8-A27B-0943-8C49-F37F6AE1623A}" type="presOf" srcId="{4911BFBE-6819-0346-8BDD-8FD551E34997}" destId="{E1C18C0F-7611-234B-943D-ABBC4A30021D}" srcOrd="0" destOrd="0" presId="urn:microsoft.com/office/officeart/2008/layout/SquareAccentList"/>
    <dgm:cxn modelId="{173339C6-DCE6-3C45-830B-170E00187ECA}" type="presOf" srcId="{120702DA-2D8E-E045-BF29-6C226512CCEE}" destId="{9A1D8009-E640-6847-BA55-96E7C462888D}" srcOrd="0" destOrd="0" presId="urn:microsoft.com/office/officeart/2008/layout/SquareAccentList"/>
    <dgm:cxn modelId="{C74A91CC-B028-2849-9773-45671BE83DAD}" type="presOf" srcId="{E00F8EEB-4FC2-E14E-BFA0-44D561D42B16}" destId="{F8C40A3D-3480-DB41-B397-CABC1AF8630D}" srcOrd="0" destOrd="0" presId="urn:microsoft.com/office/officeart/2008/layout/SquareAccentList"/>
    <dgm:cxn modelId="{964A1DE0-2A00-FD48-AC3F-7B865164D392}" type="presOf" srcId="{E1688F7E-88E3-6642-ABF5-6B3C551E61FE}" destId="{659B5A4D-6E69-ED4F-B4FA-D9F2F1DD5F8A}" srcOrd="0" destOrd="0" presId="urn:microsoft.com/office/officeart/2008/layout/SquareAccentList"/>
    <dgm:cxn modelId="{DEB7AAE2-3DB0-0F44-A5A1-15529DCDD553}" srcId="{4911BFBE-6819-0346-8BDD-8FD551E34997}" destId="{245BCDC4-2A8D-AB4C-B51B-9EAE863D1B9C}" srcOrd="3" destOrd="0" parTransId="{4D73A856-981E-0F47-9B8B-39A80BC34110}" sibTransId="{DE5F416C-977D-E44B-8D89-2CD993318163}"/>
    <dgm:cxn modelId="{37CABFE5-DFEF-7C42-93C1-FCED6BA978CA}" srcId="{E00F8EEB-4FC2-E14E-BFA0-44D561D42B16}" destId="{770E026F-8DAD-464F-A0A7-A9BC297297DE}" srcOrd="0" destOrd="0" parTransId="{80B9CA17-ED7F-6C4D-AB66-4C377BCDB63C}" sibTransId="{6B46C2E2-F834-8F4A-B3EF-5BA55BA2ADE6}"/>
    <dgm:cxn modelId="{65B8F2E9-ABBC-4E45-B791-6F3BF208D463}" srcId="{4911BFBE-6819-0346-8BDD-8FD551E34997}" destId="{51583765-15A8-BC44-B123-869E359D702D}" srcOrd="2" destOrd="0" parTransId="{AB24BED4-121F-F743-B314-3343F5AAA4CB}" sibTransId="{F450028A-806C-F849-A9B7-C427B72BB6A0}"/>
    <dgm:cxn modelId="{04C5A3F5-D47F-FB49-8A35-80B3D033053A}" type="presOf" srcId="{245BCDC4-2A8D-AB4C-B51B-9EAE863D1B9C}" destId="{18667907-64A3-214A-A1C7-F37C53048BE3}" srcOrd="0" destOrd="0" presId="urn:microsoft.com/office/officeart/2008/layout/SquareAccentList"/>
    <dgm:cxn modelId="{B48C58F6-DB13-4F43-9366-DDCC75127584}" srcId="{E00F8EEB-4FC2-E14E-BFA0-44D561D42B16}" destId="{E1688F7E-88E3-6642-ABF5-6B3C551E61FE}" srcOrd="3" destOrd="0" parTransId="{673190A9-94AD-5646-AE8F-1F7AD83AAF95}" sibTransId="{232E54A9-B81C-414C-9889-4120B79B642D}"/>
    <dgm:cxn modelId="{3C67842F-1271-464A-A1C5-5EE448D38512}" type="presParOf" srcId="{169EDA54-FF64-6244-85F7-A66ADB8415D2}" destId="{8EB14A80-793C-4542-9220-BBE2C6BF7856}" srcOrd="0" destOrd="0" presId="urn:microsoft.com/office/officeart/2008/layout/SquareAccentList"/>
    <dgm:cxn modelId="{DE12C786-9622-354A-9866-B37A178B0306}" type="presParOf" srcId="{8EB14A80-793C-4542-9220-BBE2C6BF7856}" destId="{8E3FFB2A-30BD-394C-80B8-25F517D2D3D7}" srcOrd="0" destOrd="0" presId="urn:microsoft.com/office/officeart/2008/layout/SquareAccentList"/>
    <dgm:cxn modelId="{6A9B85E6-6624-ED40-9A42-16EE2CDC7C99}" type="presParOf" srcId="{8E3FFB2A-30BD-394C-80B8-25F517D2D3D7}" destId="{3B43E437-01F8-C34C-AAED-E1FE0118CBDB}" srcOrd="0" destOrd="0" presId="urn:microsoft.com/office/officeart/2008/layout/SquareAccentList"/>
    <dgm:cxn modelId="{47E0A31C-07E3-524C-82CC-B8A6B650412D}" type="presParOf" srcId="{8E3FFB2A-30BD-394C-80B8-25F517D2D3D7}" destId="{62753E30-14B5-7048-B669-D6B562FBCADB}" srcOrd="1" destOrd="0" presId="urn:microsoft.com/office/officeart/2008/layout/SquareAccentList"/>
    <dgm:cxn modelId="{B80A94E9-3FED-1D4D-917E-610A7FF91AD2}" type="presParOf" srcId="{8E3FFB2A-30BD-394C-80B8-25F517D2D3D7}" destId="{F8C40A3D-3480-DB41-B397-CABC1AF8630D}" srcOrd="2" destOrd="0" presId="urn:microsoft.com/office/officeart/2008/layout/SquareAccentList"/>
    <dgm:cxn modelId="{15DB38E9-59E7-9945-BBC1-1EC724790C6E}" type="presParOf" srcId="{8EB14A80-793C-4542-9220-BBE2C6BF7856}" destId="{65C53645-BD37-CB4E-95A9-D94D823E5FFD}" srcOrd="1" destOrd="0" presId="urn:microsoft.com/office/officeart/2008/layout/SquareAccentList"/>
    <dgm:cxn modelId="{359F3FF2-13D3-4042-9CD8-028C481A0793}" type="presParOf" srcId="{65C53645-BD37-CB4E-95A9-D94D823E5FFD}" destId="{60374B65-6417-ED43-8C08-9CFBE537225B}" srcOrd="0" destOrd="0" presId="urn:microsoft.com/office/officeart/2008/layout/SquareAccentList"/>
    <dgm:cxn modelId="{DCED2101-3C54-E647-90A5-08329DFAB18E}" type="presParOf" srcId="{60374B65-6417-ED43-8C08-9CFBE537225B}" destId="{16E8B896-3AF1-A045-A986-6723A275B1A7}" srcOrd="0" destOrd="0" presId="urn:microsoft.com/office/officeart/2008/layout/SquareAccentList"/>
    <dgm:cxn modelId="{34C5A2C0-6007-4049-904E-999BFA6D51BC}" type="presParOf" srcId="{60374B65-6417-ED43-8C08-9CFBE537225B}" destId="{CF3F29E4-152C-7047-B409-BC2F336A0D59}" srcOrd="1" destOrd="0" presId="urn:microsoft.com/office/officeart/2008/layout/SquareAccentList"/>
    <dgm:cxn modelId="{05B9378A-9A56-414D-B992-B691F18375E2}" type="presParOf" srcId="{65C53645-BD37-CB4E-95A9-D94D823E5FFD}" destId="{366919FE-9BEC-4342-BA69-7DBDC14921BA}" srcOrd="1" destOrd="0" presId="urn:microsoft.com/office/officeart/2008/layout/SquareAccentList"/>
    <dgm:cxn modelId="{EFCAA09B-3372-5A4C-9AA2-B1E2CF84C527}" type="presParOf" srcId="{366919FE-9BEC-4342-BA69-7DBDC14921BA}" destId="{74E3DAE5-68B8-0643-A74E-58DC900A994D}" srcOrd="0" destOrd="0" presId="urn:microsoft.com/office/officeart/2008/layout/SquareAccentList"/>
    <dgm:cxn modelId="{E376DFC1-3A44-B549-8D48-ED8ECF7E3D40}" type="presParOf" srcId="{366919FE-9BEC-4342-BA69-7DBDC14921BA}" destId="{C479455B-CD4B-254D-8D3D-4264034064E7}" srcOrd="1" destOrd="0" presId="urn:microsoft.com/office/officeart/2008/layout/SquareAccentList"/>
    <dgm:cxn modelId="{F77F1912-0772-8D48-B77C-38898F029432}" type="presParOf" srcId="{65C53645-BD37-CB4E-95A9-D94D823E5FFD}" destId="{33E9F763-ABEC-3640-8C0F-3239945BFEBD}" srcOrd="2" destOrd="0" presId="urn:microsoft.com/office/officeart/2008/layout/SquareAccentList"/>
    <dgm:cxn modelId="{BB768643-229C-9344-AA3C-44166D4DBD5C}" type="presParOf" srcId="{33E9F763-ABEC-3640-8C0F-3239945BFEBD}" destId="{D44B5D16-30F5-854C-B87A-69D2FDB64DC5}" srcOrd="0" destOrd="0" presId="urn:microsoft.com/office/officeart/2008/layout/SquareAccentList"/>
    <dgm:cxn modelId="{AB5F36E0-99E9-FE47-8BC8-D735D593BDED}" type="presParOf" srcId="{33E9F763-ABEC-3640-8C0F-3239945BFEBD}" destId="{BD48C4CE-0849-D54D-BDC5-0C9D7DAFD105}" srcOrd="1" destOrd="0" presId="urn:microsoft.com/office/officeart/2008/layout/SquareAccentList"/>
    <dgm:cxn modelId="{1B415CE6-61AA-614D-AE57-979CA0459D06}" type="presParOf" srcId="{65C53645-BD37-CB4E-95A9-D94D823E5FFD}" destId="{6A6B072D-EB26-CF4A-B29E-9A9D5D36C71C}" srcOrd="3" destOrd="0" presId="urn:microsoft.com/office/officeart/2008/layout/SquareAccentList"/>
    <dgm:cxn modelId="{FA8EBBD1-E9BB-7D46-9502-708D528D6D8C}" type="presParOf" srcId="{6A6B072D-EB26-CF4A-B29E-9A9D5D36C71C}" destId="{2FE506FA-ED39-F448-B77F-181C2E769751}" srcOrd="0" destOrd="0" presId="urn:microsoft.com/office/officeart/2008/layout/SquareAccentList"/>
    <dgm:cxn modelId="{67923130-D6BC-CC46-B1CC-01998AB2EE86}" type="presParOf" srcId="{6A6B072D-EB26-CF4A-B29E-9A9D5D36C71C}" destId="{659B5A4D-6E69-ED4F-B4FA-D9F2F1DD5F8A}" srcOrd="1" destOrd="0" presId="urn:microsoft.com/office/officeart/2008/layout/SquareAccentList"/>
    <dgm:cxn modelId="{841949E2-6F1A-9B4C-8D5D-7911A74D1508}" type="presParOf" srcId="{65C53645-BD37-CB4E-95A9-D94D823E5FFD}" destId="{8F5525BA-0057-1240-B281-39567A18392F}" srcOrd="4" destOrd="0" presId="urn:microsoft.com/office/officeart/2008/layout/SquareAccentList"/>
    <dgm:cxn modelId="{E099C90B-3DD9-D64D-B77D-83B7310ABAFC}" type="presParOf" srcId="{8F5525BA-0057-1240-B281-39567A18392F}" destId="{ED98D8FC-1E66-804C-8267-8289E652D165}" srcOrd="0" destOrd="0" presId="urn:microsoft.com/office/officeart/2008/layout/SquareAccentList"/>
    <dgm:cxn modelId="{E6594460-DFD8-0948-BF46-40BB45B094FB}" type="presParOf" srcId="{8F5525BA-0057-1240-B281-39567A18392F}" destId="{9A1D8009-E640-6847-BA55-96E7C462888D}" srcOrd="1" destOrd="0" presId="urn:microsoft.com/office/officeart/2008/layout/SquareAccentList"/>
    <dgm:cxn modelId="{C7FDB3D9-28C9-6D48-B131-F919BC56C9EE}" type="presParOf" srcId="{169EDA54-FF64-6244-85F7-A66ADB8415D2}" destId="{EEA649A7-C5F3-1B44-B054-219089DEE174}" srcOrd="1" destOrd="0" presId="urn:microsoft.com/office/officeart/2008/layout/SquareAccentList"/>
    <dgm:cxn modelId="{399F1DA1-464F-544B-B199-5B605F16B0EB}" type="presParOf" srcId="{EEA649A7-C5F3-1B44-B054-219089DEE174}" destId="{F7AACC2D-9640-AC45-86F4-3E4072C9EEB1}" srcOrd="0" destOrd="0" presId="urn:microsoft.com/office/officeart/2008/layout/SquareAccentList"/>
    <dgm:cxn modelId="{05D1C858-17A5-7E48-BE30-49EC1C92A99F}" type="presParOf" srcId="{F7AACC2D-9640-AC45-86F4-3E4072C9EEB1}" destId="{AD395A95-AB9F-D646-A823-1689FAB832D2}" srcOrd="0" destOrd="0" presId="urn:microsoft.com/office/officeart/2008/layout/SquareAccentList"/>
    <dgm:cxn modelId="{1545E5CC-57AF-F348-B4B8-0E7DCFB10AAF}" type="presParOf" srcId="{F7AACC2D-9640-AC45-86F4-3E4072C9EEB1}" destId="{F41C1DA8-E91D-C840-901D-80A795FDBA03}" srcOrd="1" destOrd="0" presId="urn:microsoft.com/office/officeart/2008/layout/SquareAccentList"/>
    <dgm:cxn modelId="{7B66EEA4-DA62-664E-8021-812E1D2CB3D2}" type="presParOf" srcId="{F7AACC2D-9640-AC45-86F4-3E4072C9EEB1}" destId="{E1C18C0F-7611-234B-943D-ABBC4A30021D}" srcOrd="2" destOrd="0" presId="urn:microsoft.com/office/officeart/2008/layout/SquareAccentList"/>
    <dgm:cxn modelId="{D4B0060B-3615-5D42-AD18-A25FB732A8C9}" type="presParOf" srcId="{EEA649A7-C5F3-1B44-B054-219089DEE174}" destId="{E24F8AF0-8209-A044-A1BA-832AF3EA95EF}" srcOrd="1" destOrd="0" presId="urn:microsoft.com/office/officeart/2008/layout/SquareAccentList"/>
    <dgm:cxn modelId="{574F5AA1-9F76-EC41-A84C-A866841F468A}" type="presParOf" srcId="{E24F8AF0-8209-A044-A1BA-832AF3EA95EF}" destId="{42DD83FF-5EEF-E24A-B48B-B5555367B8D9}" srcOrd="0" destOrd="0" presId="urn:microsoft.com/office/officeart/2008/layout/SquareAccentList"/>
    <dgm:cxn modelId="{96CB6F4F-7E18-DB44-8899-5FF90D3186DA}" type="presParOf" srcId="{42DD83FF-5EEF-E24A-B48B-B5555367B8D9}" destId="{629F1BBC-023D-114C-ACDC-2BDBFAD6CBEA}" srcOrd="0" destOrd="0" presId="urn:microsoft.com/office/officeart/2008/layout/SquareAccentList"/>
    <dgm:cxn modelId="{C886E67D-8CBD-5C40-9FBF-D6DD7249E425}" type="presParOf" srcId="{42DD83FF-5EEF-E24A-B48B-B5555367B8D9}" destId="{F3DE46B0-67A0-A648-A5DA-99CE61F1282A}" srcOrd="1" destOrd="0" presId="urn:microsoft.com/office/officeart/2008/layout/SquareAccentList"/>
    <dgm:cxn modelId="{29F7E7CE-08E1-D04D-8A6B-6E1A4288A613}" type="presParOf" srcId="{E24F8AF0-8209-A044-A1BA-832AF3EA95EF}" destId="{02E53094-7C0E-EF41-B506-C6D091922A83}" srcOrd="1" destOrd="0" presId="urn:microsoft.com/office/officeart/2008/layout/SquareAccentList"/>
    <dgm:cxn modelId="{81BC0DE3-6425-C449-BBA1-0998389E048E}" type="presParOf" srcId="{02E53094-7C0E-EF41-B506-C6D091922A83}" destId="{4F56CBCE-1D84-654F-B873-9C169295CBD0}" srcOrd="0" destOrd="0" presId="urn:microsoft.com/office/officeart/2008/layout/SquareAccentList"/>
    <dgm:cxn modelId="{56C5660C-3CA9-B540-B399-231705BD229F}" type="presParOf" srcId="{02E53094-7C0E-EF41-B506-C6D091922A83}" destId="{86A5AC08-4713-EA45-97E9-7203E156FED6}" srcOrd="1" destOrd="0" presId="urn:microsoft.com/office/officeart/2008/layout/SquareAccentList"/>
    <dgm:cxn modelId="{91EB5F82-1678-0E4A-A5CC-57304415CA76}" type="presParOf" srcId="{E24F8AF0-8209-A044-A1BA-832AF3EA95EF}" destId="{1B0186EA-BE8B-0E46-B303-AF5B0876BBD2}" srcOrd="2" destOrd="0" presId="urn:microsoft.com/office/officeart/2008/layout/SquareAccentList"/>
    <dgm:cxn modelId="{AC358431-7EAE-4448-9B64-E1477086917F}" type="presParOf" srcId="{1B0186EA-BE8B-0E46-B303-AF5B0876BBD2}" destId="{E74D4FBC-5AB2-0A45-95D7-3E9DA33E05D5}" srcOrd="0" destOrd="0" presId="urn:microsoft.com/office/officeart/2008/layout/SquareAccentList"/>
    <dgm:cxn modelId="{94D75A26-BB61-794F-BAC2-A0CB72054F57}" type="presParOf" srcId="{1B0186EA-BE8B-0E46-B303-AF5B0876BBD2}" destId="{A3A7C588-79CB-A749-AD3A-82457F59315B}" srcOrd="1" destOrd="0" presId="urn:microsoft.com/office/officeart/2008/layout/SquareAccentList"/>
    <dgm:cxn modelId="{873AF1B8-1131-274B-B896-6B669CFD530F}" type="presParOf" srcId="{E24F8AF0-8209-A044-A1BA-832AF3EA95EF}" destId="{B9B3920E-619A-154B-AF7D-BBBF8D3CE7E2}" srcOrd="3" destOrd="0" presId="urn:microsoft.com/office/officeart/2008/layout/SquareAccentList"/>
    <dgm:cxn modelId="{33C92DF5-A35F-1847-B0EA-CF75C3BB96C9}" type="presParOf" srcId="{B9B3920E-619A-154B-AF7D-BBBF8D3CE7E2}" destId="{735C6614-7B5A-AD4A-9782-5A7177DDB5ED}" srcOrd="0" destOrd="0" presId="urn:microsoft.com/office/officeart/2008/layout/SquareAccentList"/>
    <dgm:cxn modelId="{A154D83C-216B-094A-B0FD-4F0158AC0E6E}" type="presParOf" srcId="{B9B3920E-619A-154B-AF7D-BBBF8D3CE7E2}" destId="{18667907-64A3-214A-A1C7-F37C53048BE3}" srcOrd="1" destOrd="0" presId="urn:microsoft.com/office/officeart/2008/layout/SquareAccentList"/>
    <dgm:cxn modelId="{F9A47D77-7CC2-0B46-B2E0-751B44B9C82E}" type="presParOf" srcId="{E24F8AF0-8209-A044-A1BA-832AF3EA95EF}" destId="{2EF09CE3-0F4C-4A4E-A1B8-48E156F4A523}" srcOrd="4" destOrd="0" presId="urn:microsoft.com/office/officeart/2008/layout/SquareAccentList"/>
    <dgm:cxn modelId="{8FB1814B-C289-454D-A1A0-2AB750982E94}" type="presParOf" srcId="{2EF09CE3-0F4C-4A4E-A1B8-48E156F4A523}" destId="{535314AD-74A8-6646-8FB5-3F3059EB8D57}" srcOrd="0" destOrd="0" presId="urn:microsoft.com/office/officeart/2008/layout/SquareAccentList"/>
    <dgm:cxn modelId="{AB44D125-E333-4544-B3E8-09004459A88F}" type="presParOf" srcId="{2EF09CE3-0F4C-4A4E-A1B8-48E156F4A523}" destId="{43278577-4ED0-1B42-9EA4-C7CE01892CFD}" srcOrd="1" destOrd="0" presId="urn:microsoft.com/office/officeart/2008/layout/SquareAccentList"/>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40.xml><?xml version="1.0" encoding="utf-8"?>
<dgm:dataModel xmlns:dgm="http://schemas.openxmlformats.org/drawingml/2006/diagram" xmlns:a="http://schemas.openxmlformats.org/drawingml/2006/main">
  <dgm:ptLst>
    <dgm:pt modelId="{FFF0481D-33C4-8541-9623-D59DC6DEB6DB}" type="doc">
      <dgm:prSet loTypeId="urn:microsoft.com/office/officeart/2008/layout/RadialCluster" loCatId="" qsTypeId="urn:microsoft.com/office/officeart/2005/8/quickstyle/simple2" qsCatId="simple" csTypeId="urn:microsoft.com/office/officeart/2005/8/colors/colorful3" csCatId="colorful" phldr="1"/>
      <dgm:spPr/>
      <dgm:t>
        <a:bodyPr/>
        <a:lstStyle/>
        <a:p>
          <a:endParaRPr lang="en-US"/>
        </a:p>
      </dgm:t>
    </dgm:pt>
    <dgm:pt modelId="{98EAF8E2-6EFF-944B-83FA-E764FAA2E5D8}">
      <dgm:prSet phldrT="[Text]"/>
      <dgm:spPr/>
      <dgm:t>
        <a:bodyPr/>
        <a:lstStyle/>
        <a:p>
          <a:r>
            <a:rPr lang="en-US"/>
            <a:t>Fidelity</a:t>
          </a:r>
        </a:p>
      </dgm:t>
    </dgm:pt>
    <dgm:pt modelId="{8A4F6F89-B581-4B44-86A5-377070F922C5}" type="parTrans" cxnId="{6576BAD5-A6FD-074E-9DEA-CEE0AE646C05}">
      <dgm:prSet/>
      <dgm:spPr/>
      <dgm:t>
        <a:bodyPr/>
        <a:lstStyle/>
        <a:p>
          <a:endParaRPr lang="en-US"/>
        </a:p>
      </dgm:t>
    </dgm:pt>
    <dgm:pt modelId="{A8B3A6CD-6E7F-BE48-B002-05E0AF11C9B1}" type="sibTrans" cxnId="{6576BAD5-A6FD-074E-9DEA-CEE0AE646C05}">
      <dgm:prSet/>
      <dgm:spPr/>
      <dgm:t>
        <a:bodyPr/>
        <a:lstStyle/>
        <a:p>
          <a:endParaRPr lang="en-US"/>
        </a:p>
      </dgm:t>
    </dgm:pt>
    <dgm:pt modelId="{C0E4B1E9-9838-7242-9BF7-6BA9EA1A3DD5}">
      <dgm:prSet phldrT="[Text]"/>
      <dgm:spPr/>
      <dgm:t>
        <a:bodyPr/>
        <a:lstStyle/>
        <a:p>
          <a:r>
            <a:rPr lang="en-US"/>
            <a:t>Needs to feel real/ near authentic/ realsitic scenarios/ 'real ife pressures/ distractions'</a:t>
          </a:r>
        </a:p>
      </dgm:t>
    </dgm:pt>
    <dgm:pt modelId="{49442527-0DCD-2343-BAAF-B8FB1C1D4419}" type="parTrans" cxnId="{B84C355E-A550-3847-94AE-032230587016}">
      <dgm:prSet/>
      <dgm:spPr/>
      <dgm:t>
        <a:bodyPr/>
        <a:lstStyle/>
        <a:p>
          <a:endParaRPr lang="en-US"/>
        </a:p>
      </dgm:t>
    </dgm:pt>
    <dgm:pt modelId="{CB2E8885-FCA3-6B44-A284-1CBF0FA4272F}" type="sibTrans" cxnId="{B84C355E-A550-3847-94AE-032230587016}">
      <dgm:prSet/>
      <dgm:spPr/>
      <dgm:t>
        <a:bodyPr/>
        <a:lstStyle/>
        <a:p>
          <a:endParaRPr lang="en-US"/>
        </a:p>
      </dgm:t>
    </dgm:pt>
    <dgm:pt modelId="{4DBC99F9-3F33-B44F-8BF6-D148CFB7F630}">
      <dgm:prSet phldrT="[Text]"/>
      <dgm:spPr/>
      <dgm:t>
        <a:bodyPr/>
        <a:lstStyle/>
        <a:p>
          <a:r>
            <a:rPr lang="en-US"/>
            <a:t>Term from literature refers to complexity and capability of the equipment rather than how real to life</a:t>
          </a:r>
        </a:p>
      </dgm:t>
    </dgm:pt>
    <dgm:pt modelId="{52A71293-FBE3-9D45-AB1F-F0BD31C0237C}" type="parTrans" cxnId="{C3A5E036-3104-2348-8324-6A09266A0EFE}">
      <dgm:prSet/>
      <dgm:spPr/>
      <dgm:t>
        <a:bodyPr/>
        <a:lstStyle/>
        <a:p>
          <a:endParaRPr lang="en-US"/>
        </a:p>
      </dgm:t>
    </dgm:pt>
    <dgm:pt modelId="{67D3C05D-A012-F94A-8B3A-159770F3197A}" type="sibTrans" cxnId="{C3A5E036-3104-2348-8324-6A09266A0EFE}">
      <dgm:prSet/>
      <dgm:spPr/>
      <dgm:t>
        <a:bodyPr/>
        <a:lstStyle/>
        <a:p>
          <a:endParaRPr lang="en-US"/>
        </a:p>
      </dgm:t>
    </dgm:pt>
    <dgm:pt modelId="{2961A752-0F6D-EA49-8A5C-977424DE047D}">
      <dgm:prSet phldrT="[Text]"/>
      <dgm:spPr/>
      <dgm:t>
        <a:bodyPr/>
        <a:lstStyle/>
        <a:p>
          <a:r>
            <a:rPr lang="en-US"/>
            <a:t>Important to aim to change behaviour </a:t>
          </a:r>
        </a:p>
      </dgm:t>
    </dgm:pt>
    <dgm:pt modelId="{7CD85555-18A0-D340-976D-01B2786DBD0E}" type="parTrans" cxnId="{38C9B126-6ADC-BC4B-98BB-D640A358FEEB}">
      <dgm:prSet/>
      <dgm:spPr/>
      <dgm:t>
        <a:bodyPr/>
        <a:lstStyle/>
        <a:p>
          <a:endParaRPr lang="en-US"/>
        </a:p>
      </dgm:t>
    </dgm:pt>
    <dgm:pt modelId="{2246C802-8B04-034F-8671-DF537680974A}" type="sibTrans" cxnId="{38C9B126-6ADC-BC4B-98BB-D640A358FEEB}">
      <dgm:prSet/>
      <dgm:spPr/>
      <dgm:t>
        <a:bodyPr/>
        <a:lstStyle/>
        <a:p>
          <a:endParaRPr lang="en-US"/>
        </a:p>
      </dgm:t>
    </dgm:pt>
    <dgm:pt modelId="{7E24BE48-66A7-9C48-A6FA-ECA9E68FE5E8}">
      <dgm:prSet phldrT="[Text]"/>
      <dgm:spPr/>
      <dgm:t>
        <a:bodyPr/>
        <a:lstStyle/>
        <a:p>
          <a:r>
            <a:rPr lang="en-US"/>
            <a:t>Appropriate level</a:t>
          </a:r>
        </a:p>
      </dgm:t>
    </dgm:pt>
    <dgm:pt modelId="{67FD1FE5-0FC9-DF4F-900A-3A04D443956F}" type="parTrans" cxnId="{88B88669-D733-CE46-AFB2-E8A7C9F8745C}">
      <dgm:prSet/>
      <dgm:spPr/>
      <dgm:t>
        <a:bodyPr/>
        <a:lstStyle/>
        <a:p>
          <a:endParaRPr lang="en-US"/>
        </a:p>
      </dgm:t>
    </dgm:pt>
    <dgm:pt modelId="{DCF29BB9-31AD-9746-B71D-EA3D57DDE13B}" type="sibTrans" cxnId="{88B88669-D733-CE46-AFB2-E8A7C9F8745C}">
      <dgm:prSet/>
      <dgm:spPr/>
      <dgm:t>
        <a:bodyPr/>
        <a:lstStyle/>
        <a:p>
          <a:endParaRPr lang="en-US"/>
        </a:p>
      </dgm:t>
    </dgm:pt>
    <dgm:pt modelId="{45D1722E-70BF-D049-AE10-8F882E60D512}">
      <dgm:prSet phldrT="[Text]"/>
      <dgm:spPr/>
      <dgm:t>
        <a:bodyPr/>
        <a:lstStyle/>
        <a:p>
          <a:r>
            <a:rPr lang="en-US"/>
            <a:t>To person</a:t>
          </a:r>
        </a:p>
      </dgm:t>
    </dgm:pt>
    <dgm:pt modelId="{D0B1A8DB-BCBB-DC43-B12A-5BF7F694B8B6}" type="parTrans" cxnId="{D5AE7471-588E-4946-B956-D152C70BBB03}">
      <dgm:prSet/>
      <dgm:spPr/>
      <dgm:t>
        <a:bodyPr/>
        <a:lstStyle/>
        <a:p>
          <a:endParaRPr lang="en-US"/>
        </a:p>
      </dgm:t>
    </dgm:pt>
    <dgm:pt modelId="{7D4D038D-7D52-1E44-98AA-7F3718EC7BB0}" type="sibTrans" cxnId="{D5AE7471-588E-4946-B956-D152C70BBB03}">
      <dgm:prSet/>
      <dgm:spPr/>
      <dgm:t>
        <a:bodyPr/>
        <a:lstStyle/>
        <a:p>
          <a:endParaRPr lang="en-US"/>
        </a:p>
      </dgm:t>
    </dgm:pt>
    <dgm:pt modelId="{C8F91BB3-A0E8-FD49-B8BA-C5BB8E89A46B}">
      <dgm:prSet phldrT="[Text]"/>
      <dgm:spPr/>
      <dgm:t>
        <a:bodyPr/>
        <a:lstStyle/>
        <a:p>
          <a:r>
            <a:rPr lang="en-US"/>
            <a:t>For learning</a:t>
          </a:r>
        </a:p>
      </dgm:t>
    </dgm:pt>
    <dgm:pt modelId="{7A32FCD7-C133-4C42-BAFD-D8867C5514DB}" type="parTrans" cxnId="{95D701D8-211B-DA4F-A411-2CF9E33BA5B1}">
      <dgm:prSet/>
      <dgm:spPr/>
      <dgm:t>
        <a:bodyPr/>
        <a:lstStyle/>
        <a:p>
          <a:endParaRPr lang="en-US"/>
        </a:p>
      </dgm:t>
    </dgm:pt>
    <dgm:pt modelId="{6EDEBCC2-D1B7-AD4A-B2C9-CE6C9EAC271C}" type="sibTrans" cxnId="{95D701D8-211B-DA4F-A411-2CF9E33BA5B1}">
      <dgm:prSet/>
      <dgm:spPr/>
      <dgm:t>
        <a:bodyPr/>
        <a:lstStyle/>
        <a:p>
          <a:endParaRPr lang="en-US"/>
        </a:p>
      </dgm:t>
    </dgm:pt>
    <dgm:pt modelId="{9AD81A0D-68DD-5D4A-B913-8D8100E10BAB}">
      <dgm:prSet phldrT="[Text]"/>
      <dgm:spPr/>
      <dgm:t>
        <a:bodyPr/>
        <a:lstStyle/>
        <a:p>
          <a:r>
            <a:rPr lang="en-US"/>
            <a:t>The spectrum for immersion</a:t>
          </a:r>
        </a:p>
      </dgm:t>
    </dgm:pt>
    <dgm:pt modelId="{8ED0FC1A-D6C6-214A-AEB9-37EEFF5D0996}" type="parTrans" cxnId="{2A6B939F-D5FF-4F42-9AE0-6B12EC1EA135}">
      <dgm:prSet/>
      <dgm:spPr/>
      <dgm:t>
        <a:bodyPr/>
        <a:lstStyle/>
        <a:p>
          <a:endParaRPr lang="en-US"/>
        </a:p>
      </dgm:t>
    </dgm:pt>
    <dgm:pt modelId="{4B653A59-FDD6-DF4E-A158-1192F69B1D12}" type="sibTrans" cxnId="{2A6B939F-D5FF-4F42-9AE0-6B12EC1EA135}">
      <dgm:prSet/>
      <dgm:spPr/>
      <dgm:t>
        <a:bodyPr/>
        <a:lstStyle/>
        <a:p>
          <a:endParaRPr lang="en-US"/>
        </a:p>
      </dgm:t>
    </dgm:pt>
    <dgm:pt modelId="{1AA791B8-F35B-794C-A6C2-C05E5A14977E}">
      <dgm:prSet phldrT="[Text]"/>
      <dgm:spPr/>
      <dgm:t>
        <a:bodyPr/>
        <a:lstStyle/>
        <a:p>
          <a:r>
            <a:rPr lang="en-US"/>
            <a:t>Psychological fidelity - buy in from participants</a:t>
          </a:r>
        </a:p>
      </dgm:t>
    </dgm:pt>
    <dgm:pt modelId="{532EAD97-78ED-7045-BD50-DA46DDA33151}" type="parTrans" cxnId="{2F1F799D-D6E5-8A4A-8DDD-22B181745671}">
      <dgm:prSet/>
      <dgm:spPr/>
      <dgm:t>
        <a:bodyPr/>
        <a:lstStyle/>
        <a:p>
          <a:endParaRPr lang="en-US"/>
        </a:p>
      </dgm:t>
    </dgm:pt>
    <dgm:pt modelId="{A0A5767E-AC31-5345-9AD3-B038137DA667}" type="sibTrans" cxnId="{2F1F799D-D6E5-8A4A-8DDD-22B181745671}">
      <dgm:prSet/>
      <dgm:spPr/>
      <dgm:t>
        <a:bodyPr/>
        <a:lstStyle/>
        <a:p>
          <a:endParaRPr lang="en-US"/>
        </a:p>
      </dgm:t>
    </dgm:pt>
    <dgm:pt modelId="{66C89013-E84D-754E-9D36-953C7E3D14DA}">
      <dgm:prSet phldrT="[Text]"/>
      <dgm:spPr/>
      <dgm:t>
        <a:bodyPr/>
        <a:lstStyle/>
        <a:p>
          <a:r>
            <a:rPr lang="en-US"/>
            <a:t>Patient voice - dynamic and interactive</a:t>
          </a:r>
        </a:p>
      </dgm:t>
    </dgm:pt>
    <dgm:pt modelId="{31A86B69-E93A-F543-B5A7-A55C411D8107}" type="parTrans" cxnId="{E96F1DF0-0081-584D-9C4D-01E374D20E75}">
      <dgm:prSet/>
      <dgm:spPr/>
      <dgm:t>
        <a:bodyPr/>
        <a:lstStyle/>
        <a:p>
          <a:endParaRPr lang="en-US"/>
        </a:p>
      </dgm:t>
    </dgm:pt>
    <dgm:pt modelId="{A9AC618F-F4AE-4D42-81B0-53BBB191B9CD}" type="sibTrans" cxnId="{E96F1DF0-0081-584D-9C4D-01E374D20E75}">
      <dgm:prSet/>
      <dgm:spPr/>
      <dgm:t>
        <a:bodyPr/>
        <a:lstStyle/>
        <a:p>
          <a:endParaRPr lang="en-US"/>
        </a:p>
      </dgm:t>
    </dgm:pt>
    <dgm:pt modelId="{508D2DDD-79CB-BC43-AD1D-4E708E86CB78}">
      <dgm:prSet phldrT="[Text]"/>
      <dgm:spPr/>
      <dgm:t>
        <a:bodyPr/>
        <a:lstStyle/>
        <a:p>
          <a:r>
            <a:rPr lang="en-US"/>
            <a:t>Determined by learning outcomes</a:t>
          </a:r>
        </a:p>
      </dgm:t>
    </dgm:pt>
    <dgm:pt modelId="{F0563562-CD82-A244-A08E-F1F229E41BE0}" type="parTrans" cxnId="{59D7B8CF-88B1-4C4F-B0B6-592082FDFCFB}">
      <dgm:prSet/>
      <dgm:spPr/>
      <dgm:t>
        <a:bodyPr/>
        <a:lstStyle/>
        <a:p>
          <a:endParaRPr lang="en-US"/>
        </a:p>
      </dgm:t>
    </dgm:pt>
    <dgm:pt modelId="{F962547D-8DAE-1545-BC0F-262DC8B7987A}" type="sibTrans" cxnId="{59D7B8CF-88B1-4C4F-B0B6-592082FDFCFB}">
      <dgm:prSet/>
      <dgm:spPr/>
      <dgm:t>
        <a:bodyPr/>
        <a:lstStyle/>
        <a:p>
          <a:endParaRPr lang="en-US"/>
        </a:p>
      </dgm:t>
    </dgm:pt>
    <dgm:pt modelId="{11D9F894-C9F1-BE43-8C50-9FB41C488275}">
      <dgm:prSet phldrT="[Text]"/>
      <dgm:spPr/>
      <dgm:t>
        <a:bodyPr/>
        <a:lstStyle/>
        <a:p>
          <a:r>
            <a:rPr lang="en-US"/>
            <a:t>Staff buy in - own authentic roles - take seriously</a:t>
          </a:r>
        </a:p>
      </dgm:t>
    </dgm:pt>
    <dgm:pt modelId="{2A8C84AE-D0A5-8544-9BCD-8F567273B31E}" type="parTrans" cxnId="{674396DF-A76D-B945-8AA9-B667325F3685}">
      <dgm:prSet/>
      <dgm:spPr/>
      <dgm:t>
        <a:bodyPr/>
        <a:lstStyle/>
        <a:p>
          <a:endParaRPr lang="en-US"/>
        </a:p>
      </dgm:t>
    </dgm:pt>
    <dgm:pt modelId="{EEF8C184-5EAA-AC45-B3D8-3C931B618B6C}" type="sibTrans" cxnId="{674396DF-A76D-B945-8AA9-B667325F3685}">
      <dgm:prSet/>
      <dgm:spPr/>
      <dgm:t>
        <a:bodyPr/>
        <a:lstStyle/>
        <a:p>
          <a:endParaRPr lang="en-US"/>
        </a:p>
      </dgm:t>
    </dgm:pt>
    <dgm:pt modelId="{9ABEC3A4-6DB1-2B47-A31F-04B115ACD1C6}">
      <dgm:prSet phldrT="[Text]"/>
      <dgm:spPr/>
      <dgm:t>
        <a:bodyPr/>
        <a:lstStyle/>
        <a:p>
          <a:r>
            <a:rPr lang="en-US"/>
            <a:t>Scenario could be expected to manage</a:t>
          </a:r>
        </a:p>
      </dgm:t>
    </dgm:pt>
    <dgm:pt modelId="{AEE995B3-79D9-D246-B2EE-A21D890785B9}" type="parTrans" cxnId="{742EDC91-0EC1-CC44-AD9F-07B8BF8AD869}">
      <dgm:prSet/>
      <dgm:spPr/>
      <dgm:t>
        <a:bodyPr/>
        <a:lstStyle/>
        <a:p>
          <a:endParaRPr lang="en-US"/>
        </a:p>
      </dgm:t>
    </dgm:pt>
    <dgm:pt modelId="{D20E6EBD-61B0-5848-8EB6-8319762EB260}" type="sibTrans" cxnId="{742EDC91-0EC1-CC44-AD9F-07B8BF8AD869}">
      <dgm:prSet/>
      <dgm:spPr/>
      <dgm:t>
        <a:bodyPr/>
        <a:lstStyle/>
        <a:p>
          <a:endParaRPr lang="en-US"/>
        </a:p>
      </dgm:t>
    </dgm:pt>
    <dgm:pt modelId="{F32E8484-A1BC-0042-8051-B4702D6C9810}">
      <dgm:prSet phldrT="[Text]"/>
      <dgm:spPr/>
      <dgm:t>
        <a:bodyPr/>
        <a:lstStyle/>
        <a:p>
          <a:r>
            <a:rPr lang="en-US"/>
            <a:t>Physical/equipment fidelity</a:t>
          </a:r>
        </a:p>
      </dgm:t>
    </dgm:pt>
    <dgm:pt modelId="{C9BC84C7-9A92-224E-A3B4-22626EEE0FCC}" type="parTrans" cxnId="{06CA4B81-6BCA-A443-96B7-515B89562DFC}">
      <dgm:prSet/>
      <dgm:spPr/>
      <dgm:t>
        <a:bodyPr/>
        <a:lstStyle/>
        <a:p>
          <a:endParaRPr lang="en-US"/>
        </a:p>
      </dgm:t>
    </dgm:pt>
    <dgm:pt modelId="{036B1858-53B9-4341-BA1F-00A9C0300FE5}" type="sibTrans" cxnId="{06CA4B81-6BCA-A443-96B7-515B89562DFC}">
      <dgm:prSet/>
      <dgm:spPr/>
      <dgm:t>
        <a:bodyPr/>
        <a:lstStyle/>
        <a:p>
          <a:endParaRPr lang="en-US"/>
        </a:p>
      </dgm:t>
    </dgm:pt>
    <dgm:pt modelId="{C2D4690B-E551-6E43-A86D-7F4D46D3C910}">
      <dgm:prSet phldrT="[Text]"/>
      <dgm:spPr/>
      <dgm:t>
        <a:bodyPr/>
        <a:lstStyle/>
        <a:p>
          <a:r>
            <a:rPr lang="en-US"/>
            <a:t>Working phone</a:t>
          </a:r>
        </a:p>
      </dgm:t>
    </dgm:pt>
    <dgm:pt modelId="{A38C489C-FFCA-1A46-95BC-23E7950E4AD7}" type="parTrans" cxnId="{19A30712-6B29-194C-A825-957E9934CA02}">
      <dgm:prSet/>
      <dgm:spPr/>
      <dgm:t>
        <a:bodyPr/>
        <a:lstStyle/>
        <a:p>
          <a:endParaRPr lang="en-US"/>
        </a:p>
      </dgm:t>
    </dgm:pt>
    <dgm:pt modelId="{5CB9A87C-23C6-464F-A0B7-5EF78944677A}" type="sibTrans" cxnId="{19A30712-6B29-194C-A825-957E9934CA02}">
      <dgm:prSet/>
      <dgm:spPr/>
      <dgm:t>
        <a:bodyPr/>
        <a:lstStyle/>
        <a:p>
          <a:endParaRPr lang="en-US"/>
        </a:p>
      </dgm:t>
    </dgm:pt>
    <dgm:pt modelId="{C7B97AAB-77ED-2D4C-81F4-D79A410ED68E}">
      <dgm:prSet phldrT="[Text]"/>
      <dgm:spPr/>
      <dgm:t>
        <a:bodyPr/>
        <a:lstStyle/>
        <a:p>
          <a:r>
            <a:rPr lang="en-US"/>
            <a:t>Procedures in real time with authentic kit eg IV lines</a:t>
          </a:r>
        </a:p>
      </dgm:t>
    </dgm:pt>
    <dgm:pt modelId="{360C471B-6809-A949-9A17-FD7CC1A1808C}" type="parTrans" cxnId="{583936D8-1C68-9F4B-83DC-9D10348960E6}">
      <dgm:prSet/>
      <dgm:spPr/>
      <dgm:t>
        <a:bodyPr/>
        <a:lstStyle/>
        <a:p>
          <a:endParaRPr lang="en-US"/>
        </a:p>
      </dgm:t>
    </dgm:pt>
    <dgm:pt modelId="{7E71034A-560D-D64B-958B-247FCD86DD84}" type="sibTrans" cxnId="{583936D8-1C68-9F4B-83DC-9D10348960E6}">
      <dgm:prSet/>
      <dgm:spPr/>
      <dgm:t>
        <a:bodyPr/>
        <a:lstStyle/>
        <a:p>
          <a:endParaRPr lang="en-US"/>
        </a:p>
      </dgm:t>
    </dgm:pt>
    <dgm:pt modelId="{FD77437E-153F-5642-B33F-90330A8172A4}">
      <dgm:prSet phldrT="[Text]"/>
      <dgm:spPr/>
      <dgm:t>
        <a:bodyPr/>
        <a:lstStyle/>
        <a:p>
          <a:r>
            <a:rPr lang="en-US"/>
            <a:t>Mannequin only as real as faculty make him</a:t>
          </a:r>
        </a:p>
      </dgm:t>
    </dgm:pt>
    <dgm:pt modelId="{EEBFBBFF-374D-594B-B5C7-DED17678AC9F}" type="parTrans" cxnId="{F9B70B04-549D-A146-B40D-4D7FF74AF683}">
      <dgm:prSet/>
      <dgm:spPr/>
      <dgm:t>
        <a:bodyPr/>
        <a:lstStyle/>
        <a:p>
          <a:endParaRPr lang="en-US"/>
        </a:p>
      </dgm:t>
    </dgm:pt>
    <dgm:pt modelId="{72E69E0F-5D79-CE48-9A2F-D297FA97A5BA}" type="sibTrans" cxnId="{F9B70B04-549D-A146-B40D-4D7FF74AF683}">
      <dgm:prSet/>
      <dgm:spPr/>
      <dgm:t>
        <a:bodyPr/>
        <a:lstStyle/>
        <a:p>
          <a:endParaRPr lang="en-US"/>
        </a:p>
      </dgm:t>
    </dgm:pt>
    <dgm:pt modelId="{C65E019E-E629-0948-85D9-BC2BBB0A6DCC}">
      <dgm:prSet phldrT="[Text]"/>
      <dgm:spPr/>
      <dgm:t>
        <a:bodyPr/>
        <a:lstStyle/>
        <a:p>
          <a:r>
            <a:rPr lang="en-US"/>
            <a:t>Compassion towards sim man</a:t>
          </a:r>
        </a:p>
      </dgm:t>
    </dgm:pt>
    <dgm:pt modelId="{C55610AF-D455-3848-8233-6035CE6F0195}" type="parTrans" cxnId="{3B803660-AD85-054F-B2F3-CF745568F510}">
      <dgm:prSet/>
      <dgm:spPr/>
      <dgm:t>
        <a:bodyPr/>
        <a:lstStyle/>
        <a:p>
          <a:endParaRPr lang="en-US"/>
        </a:p>
      </dgm:t>
    </dgm:pt>
    <dgm:pt modelId="{9CD2A5E9-08C9-1E4F-AC37-51565826D8B6}" type="sibTrans" cxnId="{3B803660-AD85-054F-B2F3-CF745568F510}">
      <dgm:prSet/>
      <dgm:spPr/>
      <dgm:t>
        <a:bodyPr/>
        <a:lstStyle/>
        <a:p>
          <a:endParaRPr lang="en-US"/>
        </a:p>
      </dgm:t>
    </dgm:pt>
    <dgm:pt modelId="{8B3AFCB6-507A-1344-9604-0C72973FD298}">
      <dgm:prSet phldrT="[Text]"/>
      <dgm:spPr/>
      <dgm:t>
        <a:bodyPr/>
        <a:lstStyle/>
        <a:p>
          <a:r>
            <a:rPr lang="en-US"/>
            <a:t>Avoid undermining fidelity</a:t>
          </a:r>
        </a:p>
      </dgm:t>
    </dgm:pt>
    <dgm:pt modelId="{1BA61989-5121-704B-8F52-5548F624BCC8}" type="parTrans" cxnId="{B9161D3C-143E-FE4E-9A60-F33489F1C0A0}">
      <dgm:prSet/>
      <dgm:spPr/>
      <dgm:t>
        <a:bodyPr/>
        <a:lstStyle/>
        <a:p>
          <a:endParaRPr lang="en-US"/>
        </a:p>
      </dgm:t>
    </dgm:pt>
    <dgm:pt modelId="{EDC0E953-8346-3940-863E-50EFCEAF6CE1}" type="sibTrans" cxnId="{B9161D3C-143E-FE4E-9A60-F33489F1C0A0}">
      <dgm:prSet/>
      <dgm:spPr/>
      <dgm:t>
        <a:bodyPr/>
        <a:lstStyle/>
        <a:p>
          <a:endParaRPr lang="en-US"/>
        </a:p>
      </dgm:t>
    </dgm:pt>
    <dgm:pt modelId="{00348DCB-CC1A-1645-9597-CC1CDA83748A}">
      <dgm:prSet phldrT="[Text]"/>
      <dgm:spPr/>
      <dgm:t>
        <a:bodyPr/>
        <a:lstStyle/>
        <a:p>
          <a:r>
            <a:rPr lang="en-US"/>
            <a:t>Ensure introduction to environment and kit</a:t>
          </a:r>
        </a:p>
      </dgm:t>
    </dgm:pt>
    <dgm:pt modelId="{B71751A7-FB6E-574A-BFD1-213E01677A41}" type="parTrans" cxnId="{B53B4915-F1FE-8541-878D-5F96D70DE6B4}">
      <dgm:prSet/>
      <dgm:spPr/>
      <dgm:t>
        <a:bodyPr/>
        <a:lstStyle/>
        <a:p>
          <a:endParaRPr lang="en-US"/>
        </a:p>
      </dgm:t>
    </dgm:pt>
    <dgm:pt modelId="{1D02B996-8DDC-914E-8594-CA6D9BC83686}" type="sibTrans" cxnId="{B53B4915-F1FE-8541-878D-5F96D70DE6B4}">
      <dgm:prSet/>
      <dgm:spPr/>
      <dgm:t>
        <a:bodyPr/>
        <a:lstStyle/>
        <a:p>
          <a:endParaRPr lang="en-US"/>
        </a:p>
      </dgm:t>
    </dgm:pt>
    <dgm:pt modelId="{782A4E06-123F-0349-BDEA-1D8F7B59BE18}">
      <dgm:prSet phldrT="[Text]"/>
      <dgm:spPr/>
      <dgm:t>
        <a:bodyPr/>
        <a:lstStyle/>
        <a:p>
          <a:r>
            <a:rPr lang="en-US"/>
            <a:t>Expecations transparent</a:t>
          </a:r>
        </a:p>
      </dgm:t>
    </dgm:pt>
    <dgm:pt modelId="{FE16358B-EC2A-BA40-AE0D-0E22E6144A4B}" type="parTrans" cxnId="{83332FC1-F489-9C4E-8C52-43E6DCED8ABF}">
      <dgm:prSet/>
      <dgm:spPr/>
      <dgm:t>
        <a:bodyPr/>
        <a:lstStyle/>
        <a:p>
          <a:endParaRPr lang="en-US"/>
        </a:p>
      </dgm:t>
    </dgm:pt>
    <dgm:pt modelId="{A2EA62B1-278D-6C4D-A66A-8A19BD6565F2}" type="sibTrans" cxnId="{83332FC1-F489-9C4E-8C52-43E6DCED8ABF}">
      <dgm:prSet/>
      <dgm:spPr/>
      <dgm:t>
        <a:bodyPr/>
        <a:lstStyle/>
        <a:p>
          <a:endParaRPr lang="en-US"/>
        </a:p>
      </dgm:t>
    </dgm:pt>
    <dgm:pt modelId="{A7106E98-2D26-3741-ADB3-09C0A9372FE6}">
      <dgm:prSet phldrT="[Text]"/>
      <dgm:spPr/>
      <dgm:t>
        <a:bodyPr/>
        <a:lstStyle/>
        <a:p>
          <a:r>
            <a:rPr lang="en-US"/>
            <a:t>Stick to own roles</a:t>
          </a:r>
        </a:p>
      </dgm:t>
    </dgm:pt>
    <dgm:pt modelId="{47D1438B-7D2B-3E47-8A2D-A839AADEC9C7}" type="parTrans" cxnId="{A84CD506-62C4-324E-A493-14A220BC00E2}">
      <dgm:prSet/>
      <dgm:spPr/>
      <dgm:t>
        <a:bodyPr/>
        <a:lstStyle/>
        <a:p>
          <a:endParaRPr lang="en-US"/>
        </a:p>
      </dgm:t>
    </dgm:pt>
    <dgm:pt modelId="{E6209B2E-B83A-754D-BFEB-745255B9010D}" type="sibTrans" cxnId="{A84CD506-62C4-324E-A493-14A220BC00E2}">
      <dgm:prSet/>
      <dgm:spPr/>
      <dgm:t>
        <a:bodyPr/>
        <a:lstStyle/>
        <a:p>
          <a:endParaRPr lang="en-US"/>
        </a:p>
      </dgm:t>
    </dgm:pt>
    <dgm:pt modelId="{1ED0663C-583D-FC4F-B585-9387124226EC}">
      <dgm:prSet phldrT="[Text]"/>
      <dgm:spPr/>
      <dgm:t>
        <a:bodyPr/>
        <a:lstStyle/>
        <a:p>
          <a:r>
            <a:rPr lang="en-US"/>
            <a:t>Accurate physiological responses</a:t>
          </a:r>
        </a:p>
      </dgm:t>
    </dgm:pt>
    <dgm:pt modelId="{3AADDD17-7A9A-0D4C-9501-9A330D372F04}" type="parTrans" cxnId="{A5D87FF3-8BF8-E740-A058-52688EE2D516}">
      <dgm:prSet/>
      <dgm:spPr/>
      <dgm:t>
        <a:bodyPr/>
        <a:lstStyle/>
        <a:p>
          <a:endParaRPr lang="en-US"/>
        </a:p>
      </dgm:t>
    </dgm:pt>
    <dgm:pt modelId="{18CC398B-3291-B941-8F43-3D2B7E9F907B}" type="sibTrans" cxnId="{A5D87FF3-8BF8-E740-A058-52688EE2D516}">
      <dgm:prSet/>
      <dgm:spPr/>
      <dgm:t>
        <a:bodyPr/>
        <a:lstStyle/>
        <a:p>
          <a:endParaRPr lang="en-US"/>
        </a:p>
      </dgm:t>
    </dgm:pt>
    <dgm:pt modelId="{1C8AB3DE-6D91-6D49-8CBF-6178475E4BD0}">
      <dgm:prSet phldrT="[Text]"/>
      <dgm:spPr/>
      <dgm:t>
        <a:bodyPr/>
        <a:lstStyle/>
        <a:p>
          <a:r>
            <a:rPr lang="en-US"/>
            <a:t>Interruptions</a:t>
          </a:r>
        </a:p>
      </dgm:t>
    </dgm:pt>
    <dgm:pt modelId="{653670E1-DE2D-F949-92F9-DCD6C2B1BDF0}" type="parTrans" cxnId="{ED9DC7F9-94AA-5148-8597-19DA2928D379}">
      <dgm:prSet/>
      <dgm:spPr/>
      <dgm:t>
        <a:bodyPr/>
        <a:lstStyle/>
        <a:p>
          <a:endParaRPr lang="en-US"/>
        </a:p>
      </dgm:t>
    </dgm:pt>
    <dgm:pt modelId="{58E19F34-3B7D-3442-93C8-38E1EF2C2160}" type="sibTrans" cxnId="{ED9DC7F9-94AA-5148-8597-19DA2928D379}">
      <dgm:prSet/>
      <dgm:spPr/>
      <dgm:t>
        <a:bodyPr/>
        <a:lstStyle/>
        <a:p>
          <a:endParaRPr lang="en-US"/>
        </a:p>
      </dgm:t>
    </dgm:pt>
    <dgm:pt modelId="{641341E6-31CB-2843-853C-EE75AAE98F23}" type="pres">
      <dgm:prSet presAssocID="{FFF0481D-33C4-8541-9623-D59DC6DEB6DB}" presName="Name0" presStyleCnt="0">
        <dgm:presLayoutVars>
          <dgm:chMax val="1"/>
          <dgm:chPref val="1"/>
          <dgm:dir/>
          <dgm:animOne val="branch"/>
          <dgm:animLvl val="lvl"/>
        </dgm:presLayoutVars>
      </dgm:prSet>
      <dgm:spPr/>
    </dgm:pt>
    <dgm:pt modelId="{838CCAD3-5709-2441-A9AB-E19836F34E6C}" type="pres">
      <dgm:prSet presAssocID="{98EAF8E2-6EFF-944B-83FA-E764FAA2E5D8}" presName="textCenter" presStyleLbl="node1" presStyleIdx="0" presStyleCnt="24"/>
      <dgm:spPr/>
    </dgm:pt>
    <dgm:pt modelId="{E616FDE1-E661-564D-AB29-6A8B3D95F3A9}" type="pres">
      <dgm:prSet presAssocID="{98EAF8E2-6EFF-944B-83FA-E764FAA2E5D8}" presName="cycle_1" presStyleCnt="0"/>
      <dgm:spPr/>
    </dgm:pt>
    <dgm:pt modelId="{78569760-98FD-CF4B-A647-1FC93E2628CB}" type="pres">
      <dgm:prSet presAssocID="{C0E4B1E9-9838-7242-9BF7-6BA9EA1A3DD5}" presName="childCenter1" presStyleLbl="node1" presStyleIdx="1" presStyleCnt="24"/>
      <dgm:spPr/>
    </dgm:pt>
    <dgm:pt modelId="{19909283-91A9-124A-916E-DE235A28C5FA}" type="pres">
      <dgm:prSet presAssocID="{49442527-0DCD-2343-BAAF-B8FB1C1D4419}" presName="Name144" presStyleLbl="parChTrans1D2" presStyleIdx="0" presStyleCnt="7"/>
      <dgm:spPr/>
    </dgm:pt>
    <dgm:pt modelId="{CCE47A80-1395-4941-BB98-8D252B2DF139}" type="pres">
      <dgm:prSet presAssocID="{98EAF8E2-6EFF-944B-83FA-E764FAA2E5D8}" presName="cycle_2" presStyleCnt="0"/>
      <dgm:spPr/>
    </dgm:pt>
    <dgm:pt modelId="{CC2E4491-D596-DC48-B320-707F3E3F1D46}" type="pres">
      <dgm:prSet presAssocID="{7E24BE48-66A7-9C48-A6FA-ECA9E68FE5E8}" presName="childCenter2" presStyleLbl="node1" presStyleIdx="2" presStyleCnt="24"/>
      <dgm:spPr/>
    </dgm:pt>
    <dgm:pt modelId="{DF488875-E43D-C049-A7B7-E63046FC33B3}" type="pres">
      <dgm:prSet presAssocID="{D0B1A8DB-BCBB-DC43-B12A-5BF7F694B8B6}" presName="Name218" presStyleLbl="parChTrans1D3" presStyleIdx="0" presStyleCnt="16"/>
      <dgm:spPr/>
    </dgm:pt>
    <dgm:pt modelId="{0F8EB8AD-89FA-074E-BB7F-B585FE1590F8}" type="pres">
      <dgm:prSet presAssocID="{45D1722E-70BF-D049-AE10-8F882E60D512}" presName="text2" presStyleLbl="node1" presStyleIdx="3" presStyleCnt="24">
        <dgm:presLayoutVars>
          <dgm:bulletEnabled val="1"/>
        </dgm:presLayoutVars>
      </dgm:prSet>
      <dgm:spPr/>
    </dgm:pt>
    <dgm:pt modelId="{09097D29-D0DB-314C-A11F-8345AD6D0585}" type="pres">
      <dgm:prSet presAssocID="{7A32FCD7-C133-4C42-BAFD-D8867C5514DB}" presName="Name218" presStyleLbl="parChTrans1D3" presStyleIdx="1" presStyleCnt="16"/>
      <dgm:spPr/>
    </dgm:pt>
    <dgm:pt modelId="{517BC4E4-B9C0-E149-9D0B-6B6C149A4B22}" type="pres">
      <dgm:prSet presAssocID="{C8F91BB3-A0E8-FD49-B8BA-C5BB8E89A46B}" presName="text2" presStyleLbl="node1" presStyleIdx="4" presStyleCnt="24">
        <dgm:presLayoutVars>
          <dgm:bulletEnabled val="1"/>
        </dgm:presLayoutVars>
      </dgm:prSet>
      <dgm:spPr/>
    </dgm:pt>
    <dgm:pt modelId="{472F3D74-AE9B-B442-B307-527B69FF60C3}" type="pres">
      <dgm:prSet presAssocID="{8ED0FC1A-D6C6-214A-AEB9-37EEFF5D0996}" presName="Name218" presStyleLbl="parChTrans1D3" presStyleIdx="2" presStyleCnt="16"/>
      <dgm:spPr/>
    </dgm:pt>
    <dgm:pt modelId="{743F41B1-9F5F-E840-BC09-399520674304}" type="pres">
      <dgm:prSet presAssocID="{9AD81A0D-68DD-5D4A-B913-8D8100E10BAB}" presName="text2" presStyleLbl="node1" presStyleIdx="5" presStyleCnt="24">
        <dgm:presLayoutVars>
          <dgm:bulletEnabled val="1"/>
        </dgm:presLayoutVars>
      </dgm:prSet>
      <dgm:spPr/>
    </dgm:pt>
    <dgm:pt modelId="{C61EBB02-F6E2-394A-8661-B9AD3AEA1124}" type="pres">
      <dgm:prSet presAssocID="{F0563562-CD82-A244-A08E-F1F229E41BE0}" presName="Name218" presStyleLbl="parChTrans1D3" presStyleIdx="3" presStyleCnt="16"/>
      <dgm:spPr/>
    </dgm:pt>
    <dgm:pt modelId="{6579B75E-A91C-AB43-89EF-0FC2D4B4A7E7}" type="pres">
      <dgm:prSet presAssocID="{508D2DDD-79CB-BC43-AD1D-4E708E86CB78}" presName="text2" presStyleLbl="node1" presStyleIdx="6" presStyleCnt="24">
        <dgm:presLayoutVars>
          <dgm:bulletEnabled val="1"/>
        </dgm:presLayoutVars>
      </dgm:prSet>
      <dgm:spPr/>
    </dgm:pt>
    <dgm:pt modelId="{4481F866-5780-C04C-B389-4027248735B0}" type="pres">
      <dgm:prSet presAssocID="{67FD1FE5-0FC9-DF4F-900A-3A04D443956F}" presName="Name221" presStyleLbl="parChTrans1D2" presStyleIdx="1" presStyleCnt="7"/>
      <dgm:spPr/>
    </dgm:pt>
    <dgm:pt modelId="{87AFCCEF-9149-B144-A939-F85DDE81B7B0}" type="pres">
      <dgm:prSet presAssocID="{98EAF8E2-6EFF-944B-83FA-E764FAA2E5D8}" presName="cycle_3" presStyleCnt="0"/>
      <dgm:spPr/>
    </dgm:pt>
    <dgm:pt modelId="{430F1394-E700-554F-9501-5CF9DD7D0043}" type="pres">
      <dgm:prSet presAssocID="{1AA791B8-F35B-794C-A6C2-C05E5A14977E}" presName="childCenter3" presStyleLbl="node1" presStyleIdx="7" presStyleCnt="24" custScaleX="134151" custScaleY="133386"/>
      <dgm:spPr/>
    </dgm:pt>
    <dgm:pt modelId="{11C81CFF-1FA2-554B-B622-024F59854A23}" type="pres">
      <dgm:prSet presAssocID="{31A86B69-E93A-F543-B5A7-A55C411D8107}" presName="Name285" presStyleLbl="parChTrans1D3" presStyleIdx="4" presStyleCnt="16"/>
      <dgm:spPr/>
    </dgm:pt>
    <dgm:pt modelId="{AC579157-5D1C-B048-B117-DA5B308D1939}" type="pres">
      <dgm:prSet presAssocID="{66C89013-E84D-754E-9D36-953C7E3D14DA}" presName="text3" presStyleLbl="node1" presStyleIdx="8" presStyleCnt="24" custScaleX="134152" custScaleY="140805" custRadScaleRad="141082">
        <dgm:presLayoutVars>
          <dgm:bulletEnabled val="1"/>
        </dgm:presLayoutVars>
      </dgm:prSet>
      <dgm:spPr/>
    </dgm:pt>
    <dgm:pt modelId="{15204013-8F17-D64F-A709-43E6842F29ED}" type="pres">
      <dgm:prSet presAssocID="{2A8C84AE-D0A5-8544-9BCD-8F567273B31E}" presName="Name285" presStyleLbl="parChTrans1D3" presStyleIdx="5" presStyleCnt="16"/>
      <dgm:spPr/>
    </dgm:pt>
    <dgm:pt modelId="{BAD97467-7872-FC4B-957E-3990424D2B96}" type="pres">
      <dgm:prSet presAssocID="{11D9F894-C9F1-BE43-8C50-9FB41C488275}" presName="text3" presStyleLbl="node1" presStyleIdx="9" presStyleCnt="24" custScaleX="161804" custScaleY="144526" custRadScaleRad="161156" custRadScaleInc="-2083">
        <dgm:presLayoutVars>
          <dgm:bulletEnabled val="1"/>
        </dgm:presLayoutVars>
      </dgm:prSet>
      <dgm:spPr/>
    </dgm:pt>
    <dgm:pt modelId="{21DEB39E-F5E1-AB44-8969-F6583A8B2645}" type="pres">
      <dgm:prSet presAssocID="{AEE995B3-79D9-D246-B2EE-A21D890785B9}" presName="Name285" presStyleLbl="parChTrans1D3" presStyleIdx="6" presStyleCnt="16"/>
      <dgm:spPr/>
    </dgm:pt>
    <dgm:pt modelId="{EE14C79B-91D9-4040-AEF4-5675DB949734}" type="pres">
      <dgm:prSet presAssocID="{9ABEC3A4-6DB1-2B47-A31F-04B115ACD1C6}" presName="text3" presStyleLbl="node1" presStyleIdx="10" presStyleCnt="24" custScaleX="145694" custScaleY="141327" custRadScaleRad="179203" custRadScaleInc="-46136">
        <dgm:presLayoutVars>
          <dgm:bulletEnabled val="1"/>
        </dgm:presLayoutVars>
      </dgm:prSet>
      <dgm:spPr/>
    </dgm:pt>
    <dgm:pt modelId="{996997E7-8767-A141-BC5D-466CD1DC1139}" type="pres">
      <dgm:prSet presAssocID="{C55610AF-D455-3848-8233-6035CE6F0195}" presName="Name285" presStyleLbl="parChTrans1D3" presStyleIdx="7" presStyleCnt="16"/>
      <dgm:spPr/>
    </dgm:pt>
    <dgm:pt modelId="{11D0F4A9-E024-E04A-A3B3-3692A8541E24}" type="pres">
      <dgm:prSet presAssocID="{C65E019E-E629-0948-85D9-BC2BBB0A6DCC}" presName="text3" presStyleLbl="node1" presStyleIdx="11" presStyleCnt="24" custRadScaleRad="150925" custRadScaleInc="-1371">
        <dgm:presLayoutVars>
          <dgm:bulletEnabled val="1"/>
        </dgm:presLayoutVars>
      </dgm:prSet>
      <dgm:spPr/>
    </dgm:pt>
    <dgm:pt modelId="{D30E54E9-C69E-CF43-8438-02B22B5DB57A}" type="pres">
      <dgm:prSet presAssocID="{3AADDD17-7A9A-0D4C-9501-9A330D372F04}" presName="Name285" presStyleLbl="parChTrans1D3" presStyleIdx="8" presStyleCnt="16"/>
      <dgm:spPr/>
    </dgm:pt>
    <dgm:pt modelId="{157EBADB-F929-BB47-BDA1-1B29516DCA16}" type="pres">
      <dgm:prSet presAssocID="{1ED0663C-583D-FC4F-B585-9387124226EC}" presName="text3" presStyleLbl="node1" presStyleIdx="12" presStyleCnt="24" custRadScaleRad="115382" custRadScaleInc="5019">
        <dgm:presLayoutVars>
          <dgm:bulletEnabled val="1"/>
        </dgm:presLayoutVars>
      </dgm:prSet>
      <dgm:spPr/>
    </dgm:pt>
    <dgm:pt modelId="{25500320-4A43-6A43-8AE8-0068DE4BA60C}" type="pres">
      <dgm:prSet presAssocID="{532EAD97-78ED-7045-BD50-DA46DDA33151}" presName="Name288" presStyleLbl="parChTrans1D2" presStyleIdx="2" presStyleCnt="7"/>
      <dgm:spPr/>
    </dgm:pt>
    <dgm:pt modelId="{83A6EC64-D8C2-804F-A529-4A4BFC1FD50F}" type="pres">
      <dgm:prSet presAssocID="{98EAF8E2-6EFF-944B-83FA-E764FAA2E5D8}" presName="cycle_4" presStyleCnt="0"/>
      <dgm:spPr/>
    </dgm:pt>
    <dgm:pt modelId="{20A179B6-A41A-5944-91FA-418B358A52B5}" type="pres">
      <dgm:prSet presAssocID="{4DBC99F9-3F33-B44F-8BF6-D148CFB7F630}" presName="childCenter4" presStyleLbl="node1" presStyleIdx="13" presStyleCnt="24"/>
      <dgm:spPr/>
    </dgm:pt>
    <dgm:pt modelId="{FA51C435-AAD3-3341-801A-08E82C3ACA8D}" type="pres">
      <dgm:prSet presAssocID="{52A71293-FBE3-9D45-AB1F-F0BD31C0237C}" presName="Name345" presStyleLbl="parChTrans1D2" presStyleIdx="3" presStyleCnt="7"/>
      <dgm:spPr/>
    </dgm:pt>
    <dgm:pt modelId="{0F580EC1-E389-944F-9A04-8CAA1BAF92C7}" type="pres">
      <dgm:prSet presAssocID="{98EAF8E2-6EFF-944B-83FA-E764FAA2E5D8}" presName="cycle_5" presStyleCnt="0"/>
      <dgm:spPr/>
    </dgm:pt>
    <dgm:pt modelId="{5873AA71-7CA0-894D-8FE8-83142AAFD0E5}" type="pres">
      <dgm:prSet presAssocID="{2961A752-0F6D-EA49-8A5C-977424DE047D}" presName="childCenter5" presStyleLbl="node1" presStyleIdx="14" presStyleCnt="24"/>
      <dgm:spPr/>
    </dgm:pt>
    <dgm:pt modelId="{0CDE2A67-3F8A-0D4E-BE84-E36F26F0AEF7}" type="pres">
      <dgm:prSet presAssocID="{7CD85555-18A0-D340-976D-01B2786DBD0E}" presName="Name392" presStyleLbl="parChTrans1D2" presStyleIdx="4" presStyleCnt="7"/>
      <dgm:spPr/>
    </dgm:pt>
    <dgm:pt modelId="{D8771DCB-EA4A-BA4D-BBF9-66E3D6A0024A}" type="pres">
      <dgm:prSet presAssocID="{98EAF8E2-6EFF-944B-83FA-E764FAA2E5D8}" presName="cycle_6" presStyleCnt="0"/>
      <dgm:spPr/>
    </dgm:pt>
    <dgm:pt modelId="{1BA41BA0-8D5C-6C42-83E2-8E31975CE9BD}" type="pres">
      <dgm:prSet presAssocID="{8B3AFCB6-507A-1344-9604-0C72973FD298}" presName="childCenter6" presStyleLbl="node1" presStyleIdx="15" presStyleCnt="24"/>
      <dgm:spPr/>
    </dgm:pt>
    <dgm:pt modelId="{46726150-FD9D-5944-B23D-6AAC35515942}" type="pres">
      <dgm:prSet presAssocID="{B71751A7-FB6E-574A-BFD1-213E01677A41}" presName="Name426" presStyleLbl="parChTrans1D3" presStyleIdx="9" presStyleCnt="16"/>
      <dgm:spPr/>
    </dgm:pt>
    <dgm:pt modelId="{B2F151CD-A010-3F42-BFB9-770B76E0EFF1}" type="pres">
      <dgm:prSet presAssocID="{00348DCB-CC1A-1645-9597-CC1CDA83748A}" presName="text6" presStyleLbl="node1" presStyleIdx="16" presStyleCnt="24" custScaleX="161713" custScaleY="143111" custRadScaleRad="107752">
        <dgm:presLayoutVars>
          <dgm:bulletEnabled val="1"/>
        </dgm:presLayoutVars>
      </dgm:prSet>
      <dgm:spPr/>
    </dgm:pt>
    <dgm:pt modelId="{08366CA2-F3DA-5A44-A964-B130D1E2ADF7}" type="pres">
      <dgm:prSet presAssocID="{FE16358B-EC2A-BA40-AE0D-0E22E6144A4B}" presName="Name426" presStyleLbl="parChTrans1D3" presStyleIdx="10" presStyleCnt="16"/>
      <dgm:spPr/>
    </dgm:pt>
    <dgm:pt modelId="{1FE0D913-E9AD-AF45-9D1E-31B3BC0E5743}" type="pres">
      <dgm:prSet presAssocID="{782A4E06-123F-0349-BDEA-1D8F7B59BE18}" presName="text6" presStyleLbl="node1" presStyleIdx="17" presStyleCnt="24">
        <dgm:presLayoutVars>
          <dgm:bulletEnabled val="1"/>
        </dgm:presLayoutVars>
      </dgm:prSet>
      <dgm:spPr/>
    </dgm:pt>
    <dgm:pt modelId="{DB07D422-3C10-9A42-BDDC-29DF1F15A61A}" type="pres">
      <dgm:prSet presAssocID="{47D1438B-7D2B-3E47-8A2D-A839AADEC9C7}" presName="Name426" presStyleLbl="parChTrans1D3" presStyleIdx="11" presStyleCnt="16"/>
      <dgm:spPr/>
    </dgm:pt>
    <dgm:pt modelId="{E942A741-CA2B-B345-8A6E-F3FE851B3BFE}" type="pres">
      <dgm:prSet presAssocID="{A7106E98-2D26-3741-ADB3-09C0A9372FE6}" presName="text6" presStyleLbl="node1" presStyleIdx="18" presStyleCnt="24">
        <dgm:presLayoutVars>
          <dgm:bulletEnabled val="1"/>
        </dgm:presLayoutVars>
      </dgm:prSet>
      <dgm:spPr/>
    </dgm:pt>
    <dgm:pt modelId="{6A84AC8F-5D88-494E-BF5E-946F108D1153}" type="pres">
      <dgm:prSet presAssocID="{1BA61989-5121-704B-8F52-5548F624BCC8}" presName="Name429" presStyleLbl="parChTrans1D2" presStyleIdx="5" presStyleCnt="7"/>
      <dgm:spPr/>
    </dgm:pt>
    <dgm:pt modelId="{7CBDDB0F-D62F-B94E-8A33-7B5F53BF74BB}" type="pres">
      <dgm:prSet presAssocID="{98EAF8E2-6EFF-944B-83FA-E764FAA2E5D8}" presName="cycle_7" presStyleCnt="0"/>
      <dgm:spPr/>
    </dgm:pt>
    <dgm:pt modelId="{81928B3B-CD54-EA4B-BF8F-4F9948DDE89F}" type="pres">
      <dgm:prSet presAssocID="{F32E8484-A1BC-0042-8051-B4702D6C9810}" presName="childCenter7" presStyleLbl="node1" presStyleIdx="19" presStyleCnt="24"/>
      <dgm:spPr/>
    </dgm:pt>
    <dgm:pt modelId="{F85401C1-5A91-F94F-AAB2-A9C42109EB68}" type="pres">
      <dgm:prSet presAssocID="{A38C489C-FFCA-1A46-95BC-23E7950E4AD7}" presName="Name453" presStyleLbl="parChTrans1D3" presStyleIdx="12" presStyleCnt="16"/>
      <dgm:spPr/>
    </dgm:pt>
    <dgm:pt modelId="{F2DBDFA0-ACCB-E841-A4A9-DE92DC91FB1C}" type="pres">
      <dgm:prSet presAssocID="{C2D4690B-E551-6E43-A86D-7F4D46D3C910}" presName="text7" presStyleLbl="node1" presStyleIdx="20" presStyleCnt="24" custRadScaleRad="121976">
        <dgm:presLayoutVars>
          <dgm:bulletEnabled val="1"/>
        </dgm:presLayoutVars>
      </dgm:prSet>
      <dgm:spPr/>
    </dgm:pt>
    <dgm:pt modelId="{1A2C5717-69C1-5D44-8237-B99C596AEA60}" type="pres">
      <dgm:prSet presAssocID="{360C471B-6809-A949-9A17-FD7CC1A1808C}" presName="Name453" presStyleLbl="parChTrans1D3" presStyleIdx="13" presStyleCnt="16"/>
      <dgm:spPr/>
    </dgm:pt>
    <dgm:pt modelId="{3070526A-964B-324A-913D-1F4EA49A0621}" type="pres">
      <dgm:prSet presAssocID="{C7B97AAB-77ED-2D4C-81F4-D79A410ED68E}" presName="text7" presStyleLbl="node1" presStyleIdx="21" presStyleCnt="24" custRadScaleRad="114640">
        <dgm:presLayoutVars>
          <dgm:bulletEnabled val="1"/>
        </dgm:presLayoutVars>
      </dgm:prSet>
      <dgm:spPr/>
    </dgm:pt>
    <dgm:pt modelId="{1ECF9EBB-EA79-D944-9845-62EC79C5ED39}" type="pres">
      <dgm:prSet presAssocID="{EEBFBBFF-374D-594B-B5C7-DED17678AC9F}" presName="Name453" presStyleLbl="parChTrans1D3" presStyleIdx="14" presStyleCnt="16"/>
      <dgm:spPr/>
    </dgm:pt>
    <dgm:pt modelId="{F45DD359-9ECB-8F4F-A384-0E4AFACD0B69}" type="pres">
      <dgm:prSet presAssocID="{FD77437E-153F-5642-B33F-90330A8172A4}" presName="text7" presStyleLbl="node1" presStyleIdx="22" presStyleCnt="24" custRadScaleRad="128230">
        <dgm:presLayoutVars>
          <dgm:bulletEnabled val="1"/>
        </dgm:presLayoutVars>
      </dgm:prSet>
      <dgm:spPr/>
    </dgm:pt>
    <dgm:pt modelId="{3254232C-52F0-C743-845A-E908664EBBAE}" type="pres">
      <dgm:prSet presAssocID="{653670E1-DE2D-F949-92F9-DCD6C2B1BDF0}" presName="Name453" presStyleLbl="parChTrans1D3" presStyleIdx="15" presStyleCnt="16"/>
      <dgm:spPr/>
    </dgm:pt>
    <dgm:pt modelId="{951456C2-3108-F34A-92AD-158CB60268DB}" type="pres">
      <dgm:prSet presAssocID="{1C8AB3DE-6D91-6D49-8CBF-6178475E4BD0}" presName="text7" presStyleLbl="node1" presStyleIdx="23" presStyleCnt="24" custScaleX="137638" custScaleY="145157" custRadScaleRad="153109">
        <dgm:presLayoutVars>
          <dgm:bulletEnabled val="1"/>
        </dgm:presLayoutVars>
      </dgm:prSet>
      <dgm:spPr/>
    </dgm:pt>
    <dgm:pt modelId="{CDEA0C80-1B6B-764F-9B60-4D4DB926E785}" type="pres">
      <dgm:prSet presAssocID="{C9BC84C7-9A92-224E-A3B4-22626EEE0FCC}" presName="Name456" presStyleLbl="parChTrans1D2" presStyleIdx="6" presStyleCnt="7"/>
      <dgm:spPr/>
    </dgm:pt>
  </dgm:ptLst>
  <dgm:cxnLst>
    <dgm:cxn modelId="{F9B70B04-549D-A146-B40D-4D7FF74AF683}" srcId="{F32E8484-A1BC-0042-8051-B4702D6C9810}" destId="{FD77437E-153F-5642-B33F-90330A8172A4}" srcOrd="2" destOrd="0" parTransId="{EEBFBBFF-374D-594B-B5C7-DED17678AC9F}" sibTransId="{72E69E0F-5D79-CE48-9A2F-D297FA97A5BA}"/>
    <dgm:cxn modelId="{83EB2B04-E9BD-4743-B687-1BDD5309FC2F}" type="presOf" srcId="{1ED0663C-583D-FC4F-B585-9387124226EC}" destId="{157EBADB-F929-BB47-BDA1-1B29516DCA16}" srcOrd="0" destOrd="0" presId="urn:microsoft.com/office/officeart/2008/layout/RadialCluster"/>
    <dgm:cxn modelId="{B6C2F904-6647-2F48-9B65-AA2C90FDCF77}" type="presOf" srcId="{D0B1A8DB-BCBB-DC43-B12A-5BF7F694B8B6}" destId="{DF488875-E43D-C049-A7B7-E63046FC33B3}" srcOrd="0" destOrd="0" presId="urn:microsoft.com/office/officeart/2008/layout/RadialCluster"/>
    <dgm:cxn modelId="{D2256106-E64E-EB4C-9358-DC9652194301}" type="presOf" srcId="{98EAF8E2-6EFF-944B-83FA-E764FAA2E5D8}" destId="{838CCAD3-5709-2441-A9AB-E19836F34E6C}" srcOrd="0" destOrd="0" presId="urn:microsoft.com/office/officeart/2008/layout/RadialCluster"/>
    <dgm:cxn modelId="{A84CD506-62C4-324E-A493-14A220BC00E2}" srcId="{8B3AFCB6-507A-1344-9604-0C72973FD298}" destId="{A7106E98-2D26-3741-ADB3-09C0A9372FE6}" srcOrd="2" destOrd="0" parTransId="{47D1438B-7D2B-3E47-8A2D-A839AADEC9C7}" sibTransId="{E6209B2E-B83A-754D-BFEB-745255B9010D}"/>
    <dgm:cxn modelId="{6B1EB409-21A9-6F4F-B7AB-1B795FC63107}" type="presOf" srcId="{FD77437E-153F-5642-B33F-90330A8172A4}" destId="{F45DD359-9ECB-8F4F-A384-0E4AFACD0B69}" srcOrd="0" destOrd="0" presId="urn:microsoft.com/office/officeart/2008/layout/RadialCluster"/>
    <dgm:cxn modelId="{0E562C0E-BC36-EF46-822F-F8526504F1CD}" type="presOf" srcId="{9AD81A0D-68DD-5D4A-B913-8D8100E10BAB}" destId="{743F41B1-9F5F-E840-BC09-399520674304}" srcOrd="0" destOrd="0" presId="urn:microsoft.com/office/officeart/2008/layout/RadialCluster"/>
    <dgm:cxn modelId="{C3ABE810-0879-B34E-9FBC-43526BCF9D10}" type="presOf" srcId="{49442527-0DCD-2343-BAAF-B8FB1C1D4419}" destId="{19909283-91A9-124A-916E-DE235A28C5FA}" srcOrd="0" destOrd="0" presId="urn:microsoft.com/office/officeart/2008/layout/RadialCluster"/>
    <dgm:cxn modelId="{19A30712-6B29-194C-A825-957E9934CA02}" srcId="{F32E8484-A1BC-0042-8051-B4702D6C9810}" destId="{C2D4690B-E551-6E43-A86D-7F4D46D3C910}" srcOrd="0" destOrd="0" parTransId="{A38C489C-FFCA-1A46-95BC-23E7950E4AD7}" sibTransId="{5CB9A87C-23C6-464F-A0B7-5EF78944677A}"/>
    <dgm:cxn modelId="{B53B4915-F1FE-8541-878D-5F96D70DE6B4}" srcId="{8B3AFCB6-507A-1344-9604-0C72973FD298}" destId="{00348DCB-CC1A-1645-9597-CC1CDA83748A}" srcOrd="0" destOrd="0" parTransId="{B71751A7-FB6E-574A-BFD1-213E01677A41}" sibTransId="{1D02B996-8DDC-914E-8594-CA6D9BC83686}"/>
    <dgm:cxn modelId="{F7C9B31A-2287-924F-932B-4345BDC5B263}" type="presOf" srcId="{FE16358B-EC2A-BA40-AE0D-0E22E6144A4B}" destId="{08366CA2-F3DA-5A44-A964-B130D1E2ADF7}" srcOrd="0" destOrd="0" presId="urn:microsoft.com/office/officeart/2008/layout/RadialCluster"/>
    <dgm:cxn modelId="{B2AEC01D-653A-E641-842D-E27D44E5DE85}" type="presOf" srcId="{3AADDD17-7A9A-0D4C-9501-9A330D372F04}" destId="{D30E54E9-C69E-CF43-8438-02B22B5DB57A}" srcOrd="0" destOrd="0" presId="urn:microsoft.com/office/officeart/2008/layout/RadialCluster"/>
    <dgm:cxn modelId="{38C9B126-6ADC-BC4B-98BB-D640A358FEEB}" srcId="{98EAF8E2-6EFF-944B-83FA-E764FAA2E5D8}" destId="{2961A752-0F6D-EA49-8A5C-977424DE047D}" srcOrd="4" destOrd="0" parTransId="{7CD85555-18A0-D340-976D-01B2786DBD0E}" sibTransId="{2246C802-8B04-034F-8671-DF537680974A}"/>
    <dgm:cxn modelId="{F4944B28-DDC6-C84C-AF8B-66A046F56BC2}" type="presOf" srcId="{C0E4B1E9-9838-7242-9BF7-6BA9EA1A3DD5}" destId="{78569760-98FD-CF4B-A647-1FC93E2628CB}" srcOrd="0" destOrd="0" presId="urn:microsoft.com/office/officeart/2008/layout/RadialCluster"/>
    <dgm:cxn modelId="{7F2EEA2A-87CF-AD4E-9A0A-4E8C3D9C3DE3}" type="presOf" srcId="{A7106E98-2D26-3741-ADB3-09C0A9372FE6}" destId="{E942A741-CA2B-B345-8A6E-F3FE851B3BFE}" srcOrd="0" destOrd="0" presId="urn:microsoft.com/office/officeart/2008/layout/RadialCluster"/>
    <dgm:cxn modelId="{0C83AC2C-0B2F-7F4F-A017-6D935F678E4C}" type="presOf" srcId="{45D1722E-70BF-D049-AE10-8F882E60D512}" destId="{0F8EB8AD-89FA-074E-BB7F-B585FE1590F8}" srcOrd="0" destOrd="0" presId="urn:microsoft.com/office/officeart/2008/layout/RadialCluster"/>
    <dgm:cxn modelId="{82BF9D35-DA93-1C49-AFC5-8F3713A28565}" type="presOf" srcId="{EEBFBBFF-374D-594B-B5C7-DED17678AC9F}" destId="{1ECF9EBB-EA79-D944-9845-62EC79C5ED39}" srcOrd="0" destOrd="0" presId="urn:microsoft.com/office/officeart/2008/layout/RadialCluster"/>
    <dgm:cxn modelId="{C3A5E036-3104-2348-8324-6A09266A0EFE}" srcId="{98EAF8E2-6EFF-944B-83FA-E764FAA2E5D8}" destId="{4DBC99F9-3F33-B44F-8BF6-D148CFB7F630}" srcOrd="3" destOrd="0" parTransId="{52A71293-FBE3-9D45-AB1F-F0BD31C0237C}" sibTransId="{67D3C05D-A012-F94A-8B3A-159770F3197A}"/>
    <dgm:cxn modelId="{B9161D3C-143E-FE4E-9A60-F33489F1C0A0}" srcId="{98EAF8E2-6EFF-944B-83FA-E764FAA2E5D8}" destId="{8B3AFCB6-507A-1344-9604-0C72973FD298}" srcOrd="5" destOrd="0" parTransId="{1BA61989-5121-704B-8F52-5548F624BCC8}" sibTransId="{EDC0E953-8346-3940-863E-50EFCEAF6CE1}"/>
    <dgm:cxn modelId="{E951953D-EC44-8C4E-A991-E1201255BB3D}" type="presOf" srcId="{8B3AFCB6-507A-1344-9604-0C72973FD298}" destId="{1BA41BA0-8D5C-6C42-83E2-8E31975CE9BD}" srcOrd="0" destOrd="0" presId="urn:microsoft.com/office/officeart/2008/layout/RadialCluster"/>
    <dgm:cxn modelId="{6309EB3F-D041-DF43-9497-457590E66D4F}" type="presOf" srcId="{00348DCB-CC1A-1645-9597-CC1CDA83748A}" destId="{B2F151CD-A010-3F42-BFB9-770B76E0EFF1}" srcOrd="0" destOrd="0" presId="urn:microsoft.com/office/officeart/2008/layout/RadialCluster"/>
    <dgm:cxn modelId="{D9B0E640-41DB-E740-ABDB-1470F82DD246}" type="presOf" srcId="{782A4E06-123F-0349-BDEA-1D8F7B59BE18}" destId="{1FE0D913-E9AD-AF45-9D1E-31B3BC0E5743}" srcOrd="0" destOrd="0" presId="urn:microsoft.com/office/officeart/2008/layout/RadialCluster"/>
    <dgm:cxn modelId="{2574855C-6C6C-0D47-AA47-B153D3F25BFA}" type="presOf" srcId="{66C89013-E84D-754E-9D36-953C7E3D14DA}" destId="{AC579157-5D1C-B048-B117-DA5B308D1939}" srcOrd="0" destOrd="0" presId="urn:microsoft.com/office/officeart/2008/layout/RadialCluster"/>
    <dgm:cxn modelId="{80D5F95C-ECC2-AA42-AB6E-A47BBBA4C8B1}" type="presOf" srcId="{9ABEC3A4-6DB1-2B47-A31F-04B115ACD1C6}" destId="{EE14C79B-91D9-4040-AEF4-5675DB949734}" srcOrd="0" destOrd="0" presId="urn:microsoft.com/office/officeart/2008/layout/RadialCluster"/>
    <dgm:cxn modelId="{CD018E5D-9A80-D342-8285-3297AB4AB4D6}" type="presOf" srcId="{C65E019E-E629-0948-85D9-BC2BBB0A6DCC}" destId="{11D0F4A9-E024-E04A-A3B3-3692A8541E24}" srcOrd="0" destOrd="0" presId="urn:microsoft.com/office/officeart/2008/layout/RadialCluster"/>
    <dgm:cxn modelId="{B84C355E-A550-3847-94AE-032230587016}" srcId="{98EAF8E2-6EFF-944B-83FA-E764FAA2E5D8}" destId="{C0E4B1E9-9838-7242-9BF7-6BA9EA1A3DD5}" srcOrd="0" destOrd="0" parTransId="{49442527-0DCD-2343-BAAF-B8FB1C1D4419}" sibTransId="{CB2E8885-FCA3-6B44-A284-1CBF0FA4272F}"/>
    <dgm:cxn modelId="{3B803660-AD85-054F-B2F3-CF745568F510}" srcId="{1AA791B8-F35B-794C-A6C2-C05E5A14977E}" destId="{C65E019E-E629-0948-85D9-BC2BBB0A6DCC}" srcOrd="3" destOrd="0" parTransId="{C55610AF-D455-3848-8233-6035CE6F0195}" sibTransId="{9CD2A5E9-08C9-1E4F-AC37-51565826D8B6}"/>
    <dgm:cxn modelId="{33E64541-21DD-EA40-A8D9-94BAD75CCE30}" type="presOf" srcId="{C8F91BB3-A0E8-FD49-B8BA-C5BB8E89A46B}" destId="{517BC4E4-B9C0-E149-9D0B-6B6C149A4B22}" srcOrd="0" destOrd="0" presId="urn:microsoft.com/office/officeart/2008/layout/RadialCluster"/>
    <dgm:cxn modelId="{B108D464-8076-104F-B524-A3196F00BED6}" type="presOf" srcId="{1AA791B8-F35B-794C-A6C2-C05E5A14977E}" destId="{430F1394-E700-554F-9501-5CF9DD7D0043}" srcOrd="0" destOrd="0" presId="urn:microsoft.com/office/officeart/2008/layout/RadialCluster"/>
    <dgm:cxn modelId="{39203165-5C15-B54F-B882-CC1E635C6678}" type="presOf" srcId="{7CD85555-18A0-D340-976D-01B2786DBD0E}" destId="{0CDE2A67-3F8A-0D4E-BE84-E36F26F0AEF7}" srcOrd="0" destOrd="0" presId="urn:microsoft.com/office/officeart/2008/layout/RadialCluster"/>
    <dgm:cxn modelId="{DB6A8E47-6836-194D-B5B2-7DA18C5B561F}" type="presOf" srcId="{A38C489C-FFCA-1A46-95BC-23E7950E4AD7}" destId="{F85401C1-5A91-F94F-AAB2-A9C42109EB68}" srcOrd="0" destOrd="0" presId="urn:microsoft.com/office/officeart/2008/layout/RadialCluster"/>
    <dgm:cxn modelId="{88B88669-D733-CE46-AFB2-E8A7C9F8745C}" srcId="{98EAF8E2-6EFF-944B-83FA-E764FAA2E5D8}" destId="{7E24BE48-66A7-9C48-A6FA-ECA9E68FE5E8}" srcOrd="1" destOrd="0" parTransId="{67FD1FE5-0FC9-DF4F-900A-3A04D443956F}" sibTransId="{DCF29BB9-31AD-9746-B71D-EA3D57DDE13B}"/>
    <dgm:cxn modelId="{D5AE7471-588E-4946-B956-D152C70BBB03}" srcId="{7E24BE48-66A7-9C48-A6FA-ECA9E68FE5E8}" destId="{45D1722E-70BF-D049-AE10-8F882E60D512}" srcOrd="0" destOrd="0" parTransId="{D0B1A8DB-BCBB-DC43-B12A-5BF7F694B8B6}" sibTransId="{7D4D038D-7D52-1E44-98AA-7F3718EC7BB0}"/>
    <dgm:cxn modelId="{2A4FBC57-7062-C84E-9703-2549862422F9}" type="presOf" srcId="{F0563562-CD82-A244-A08E-F1F229E41BE0}" destId="{C61EBB02-F6E2-394A-8661-B9AD3AEA1124}" srcOrd="0" destOrd="0" presId="urn:microsoft.com/office/officeart/2008/layout/RadialCluster"/>
    <dgm:cxn modelId="{06CA4B81-6BCA-A443-96B7-515B89562DFC}" srcId="{98EAF8E2-6EFF-944B-83FA-E764FAA2E5D8}" destId="{F32E8484-A1BC-0042-8051-B4702D6C9810}" srcOrd="6" destOrd="0" parTransId="{C9BC84C7-9A92-224E-A3B4-22626EEE0FCC}" sibTransId="{036B1858-53B9-4341-BA1F-00A9C0300FE5}"/>
    <dgm:cxn modelId="{F45B8D81-6B05-AA42-BE6E-E9D9464301AA}" type="presOf" srcId="{47D1438B-7D2B-3E47-8A2D-A839AADEC9C7}" destId="{DB07D422-3C10-9A42-BDDC-29DF1F15A61A}" srcOrd="0" destOrd="0" presId="urn:microsoft.com/office/officeart/2008/layout/RadialCluster"/>
    <dgm:cxn modelId="{18E98086-F276-9644-90C6-337532541986}" type="presOf" srcId="{532EAD97-78ED-7045-BD50-DA46DDA33151}" destId="{25500320-4A43-6A43-8AE8-0068DE4BA60C}" srcOrd="0" destOrd="0" presId="urn:microsoft.com/office/officeart/2008/layout/RadialCluster"/>
    <dgm:cxn modelId="{CD3C268A-790E-3640-BACD-BA30F3C6A785}" type="presOf" srcId="{C2D4690B-E551-6E43-A86D-7F4D46D3C910}" destId="{F2DBDFA0-ACCB-E841-A4A9-DE92DC91FB1C}" srcOrd="0" destOrd="0" presId="urn:microsoft.com/office/officeart/2008/layout/RadialCluster"/>
    <dgm:cxn modelId="{456FFC8C-52DF-704A-B24A-7AAA9DCD54C4}" type="presOf" srcId="{653670E1-DE2D-F949-92F9-DCD6C2B1BDF0}" destId="{3254232C-52F0-C743-845A-E908664EBBAE}" srcOrd="0" destOrd="0" presId="urn:microsoft.com/office/officeart/2008/layout/RadialCluster"/>
    <dgm:cxn modelId="{BD01DD8F-E4E5-B144-8693-49A7497D3ED9}" type="presOf" srcId="{2961A752-0F6D-EA49-8A5C-977424DE047D}" destId="{5873AA71-7CA0-894D-8FE8-83142AAFD0E5}" srcOrd="0" destOrd="0" presId="urn:microsoft.com/office/officeart/2008/layout/RadialCluster"/>
    <dgm:cxn modelId="{742EDC91-0EC1-CC44-AD9F-07B8BF8AD869}" srcId="{1AA791B8-F35B-794C-A6C2-C05E5A14977E}" destId="{9ABEC3A4-6DB1-2B47-A31F-04B115ACD1C6}" srcOrd="2" destOrd="0" parTransId="{AEE995B3-79D9-D246-B2EE-A21D890785B9}" sibTransId="{D20E6EBD-61B0-5848-8EB6-8319762EB260}"/>
    <dgm:cxn modelId="{D8D7399C-D2BD-F04F-9C51-FC6A024C45B5}" type="presOf" srcId="{FFF0481D-33C4-8541-9623-D59DC6DEB6DB}" destId="{641341E6-31CB-2843-853C-EE75AAE98F23}" srcOrd="0" destOrd="0" presId="urn:microsoft.com/office/officeart/2008/layout/RadialCluster"/>
    <dgm:cxn modelId="{2F1F799D-D6E5-8A4A-8DDD-22B181745671}" srcId="{98EAF8E2-6EFF-944B-83FA-E764FAA2E5D8}" destId="{1AA791B8-F35B-794C-A6C2-C05E5A14977E}" srcOrd="2" destOrd="0" parTransId="{532EAD97-78ED-7045-BD50-DA46DDA33151}" sibTransId="{A0A5767E-AC31-5345-9AD3-B038137DA667}"/>
    <dgm:cxn modelId="{0D741D9E-A835-534A-AFDF-7BF77E187D4D}" type="presOf" srcId="{11D9F894-C9F1-BE43-8C50-9FB41C488275}" destId="{BAD97467-7872-FC4B-957E-3990424D2B96}" srcOrd="0" destOrd="0" presId="urn:microsoft.com/office/officeart/2008/layout/RadialCluster"/>
    <dgm:cxn modelId="{2A6B939F-D5FF-4F42-9AE0-6B12EC1EA135}" srcId="{7E24BE48-66A7-9C48-A6FA-ECA9E68FE5E8}" destId="{9AD81A0D-68DD-5D4A-B913-8D8100E10BAB}" srcOrd="2" destOrd="0" parTransId="{8ED0FC1A-D6C6-214A-AEB9-37EEFF5D0996}" sibTransId="{4B653A59-FDD6-DF4E-A158-1192F69B1D12}"/>
    <dgm:cxn modelId="{79976EA4-4EBC-B746-A9A3-A380AEA68FB2}" type="presOf" srcId="{360C471B-6809-A949-9A17-FD7CC1A1808C}" destId="{1A2C5717-69C1-5D44-8237-B99C596AEA60}" srcOrd="0" destOrd="0" presId="urn:microsoft.com/office/officeart/2008/layout/RadialCluster"/>
    <dgm:cxn modelId="{7A77D8A6-C7EF-B240-852E-BDB9205BC27D}" type="presOf" srcId="{1C8AB3DE-6D91-6D49-8CBF-6178475E4BD0}" destId="{951456C2-3108-F34A-92AD-158CB60268DB}" srcOrd="0" destOrd="0" presId="urn:microsoft.com/office/officeart/2008/layout/RadialCluster"/>
    <dgm:cxn modelId="{C0D94EA8-415D-1449-8D86-2F22841D0A77}" type="presOf" srcId="{7E24BE48-66A7-9C48-A6FA-ECA9E68FE5E8}" destId="{CC2E4491-D596-DC48-B320-707F3E3F1D46}" srcOrd="0" destOrd="0" presId="urn:microsoft.com/office/officeart/2008/layout/RadialCluster"/>
    <dgm:cxn modelId="{02070DAA-29F0-C541-9F72-4C60E26B5281}" type="presOf" srcId="{C7B97AAB-77ED-2D4C-81F4-D79A410ED68E}" destId="{3070526A-964B-324A-913D-1F4EA49A0621}" srcOrd="0" destOrd="0" presId="urn:microsoft.com/office/officeart/2008/layout/RadialCluster"/>
    <dgm:cxn modelId="{517138B0-F67C-924C-8E93-F860AEE0B912}" type="presOf" srcId="{AEE995B3-79D9-D246-B2EE-A21D890785B9}" destId="{21DEB39E-F5E1-AB44-8969-F6583A8B2645}" srcOrd="0" destOrd="0" presId="urn:microsoft.com/office/officeart/2008/layout/RadialCluster"/>
    <dgm:cxn modelId="{038788BB-C7C8-6D4A-BDEA-E17AE0FBD1D8}" type="presOf" srcId="{C55610AF-D455-3848-8233-6035CE6F0195}" destId="{996997E7-8767-A141-BC5D-466CD1DC1139}" srcOrd="0" destOrd="0" presId="urn:microsoft.com/office/officeart/2008/layout/RadialCluster"/>
    <dgm:cxn modelId="{F04208BC-D964-3348-B969-45AA7B198653}" type="presOf" srcId="{52A71293-FBE3-9D45-AB1F-F0BD31C0237C}" destId="{FA51C435-AAD3-3341-801A-08E82C3ACA8D}" srcOrd="0" destOrd="0" presId="urn:microsoft.com/office/officeart/2008/layout/RadialCluster"/>
    <dgm:cxn modelId="{F34C9DC0-4578-DF44-BD5E-3D48CE2A9D8D}" type="presOf" srcId="{2A8C84AE-D0A5-8544-9BCD-8F567273B31E}" destId="{15204013-8F17-D64F-A709-43E6842F29ED}" srcOrd="0" destOrd="0" presId="urn:microsoft.com/office/officeart/2008/layout/RadialCluster"/>
    <dgm:cxn modelId="{83332FC1-F489-9C4E-8C52-43E6DCED8ABF}" srcId="{8B3AFCB6-507A-1344-9604-0C72973FD298}" destId="{782A4E06-123F-0349-BDEA-1D8F7B59BE18}" srcOrd="1" destOrd="0" parTransId="{FE16358B-EC2A-BA40-AE0D-0E22E6144A4B}" sibTransId="{A2EA62B1-278D-6C4D-A66A-8A19BD6565F2}"/>
    <dgm:cxn modelId="{9101F4CE-1FFC-EB47-AE1E-DB61ADE3367E}" type="presOf" srcId="{1BA61989-5121-704B-8F52-5548F624BCC8}" destId="{6A84AC8F-5D88-494E-BF5E-946F108D1153}" srcOrd="0" destOrd="0" presId="urn:microsoft.com/office/officeart/2008/layout/RadialCluster"/>
    <dgm:cxn modelId="{59D7B8CF-88B1-4C4F-B0B6-592082FDFCFB}" srcId="{7E24BE48-66A7-9C48-A6FA-ECA9E68FE5E8}" destId="{508D2DDD-79CB-BC43-AD1D-4E708E86CB78}" srcOrd="3" destOrd="0" parTransId="{F0563562-CD82-A244-A08E-F1F229E41BE0}" sibTransId="{F962547D-8DAE-1545-BC0F-262DC8B7987A}"/>
    <dgm:cxn modelId="{6576BAD5-A6FD-074E-9DEA-CEE0AE646C05}" srcId="{FFF0481D-33C4-8541-9623-D59DC6DEB6DB}" destId="{98EAF8E2-6EFF-944B-83FA-E764FAA2E5D8}" srcOrd="0" destOrd="0" parTransId="{8A4F6F89-B581-4B44-86A5-377070F922C5}" sibTransId="{A8B3A6CD-6E7F-BE48-B002-05E0AF11C9B1}"/>
    <dgm:cxn modelId="{0DBC61D6-EFDD-5B42-93C9-8123ABEFB260}" type="presOf" srcId="{B71751A7-FB6E-574A-BFD1-213E01677A41}" destId="{46726150-FD9D-5944-B23D-6AAC35515942}" srcOrd="0" destOrd="0" presId="urn:microsoft.com/office/officeart/2008/layout/RadialCluster"/>
    <dgm:cxn modelId="{95D701D8-211B-DA4F-A411-2CF9E33BA5B1}" srcId="{7E24BE48-66A7-9C48-A6FA-ECA9E68FE5E8}" destId="{C8F91BB3-A0E8-FD49-B8BA-C5BB8E89A46B}" srcOrd="1" destOrd="0" parTransId="{7A32FCD7-C133-4C42-BAFD-D8867C5514DB}" sibTransId="{6EDEBCC2-D1B7-AD4A-B2C9-CE6C9EAC271C}"/>
    <dgm:cxn modelId="{583936D8-1C68-9F4B-83DC-9D10348960E6}" srcId="{F32E8484-A1BC-0042-8051-B4702D6C9810}" destId="{C7B97AAB-77ED-2D4C-81F4-D79A410ED68E}" srcOrd="1" destOrd="0" parTransId="{360C471B-6809-A949-9A17-FD7CC1A1808C}" sibTransId="{7E71034A-560D-D64B-958B-247FCD86DD84}"/>
    <dgm:cxn modelId="{1527C5DB-2E8F-B442-AD2B-1231253299D3}" type="presOf" srcId="{F32E8484-A1BC-0042-8051-B4702D6C9810}" destId="{81928B3B-CD54-EA4B-BF8F-4F9948DDE89F}" srcOrd="0" destOrd="0" presId="urn:microsoft.com/office/officeart/2008/layout/RadialCluster"/>
    <dgm:cxn modelId="{674396DF-A76D-B945-8AA9-B667325F3685}" srcId="{1AA791B8-F35B-794C-A6C2-C05E5A14977E}" destId="{11D9F894-C9F1-BE43-8C50-9FB41C488275}" srcOrd="1" destOrd="0" parTransId="{2A8C84AE-D0A5-8544-9BCD-8F567273B31E}" sibTransId="{EEF8C184-5EAA-AC45-B3D8-3C931B618B6C}"/>
    <dgm:cxn modelId="{B00A1AE2-A007-4F49-9A9E-284FBE7B02F2}" type="presOf" srcId="{C9BC84C7-9A92-224E-A3B4-22626EEE0FCC}" destId="{CDEA0C80-1B6B-764F-9B60-4D4DB926E785}" srcOrd="0" destOrd="0" presId="urn:microsoft.com/office/officeart/2008/layout/RadialCluster"/>
    <dgm:cxn modelId="{1459FAE7-FD6E-6C4C-B1DD-FC7C61929EB1}" type="presOf" srcId="{4DBC99F9-3F33-B44F-8BF6-D148CFB7F630}" destId="{20A179B6-A41A-5944-91FA-418B358A52B5}" srcOrd="0" destOrd="0" presId="urn:microsoft.com/office/officeart/2008/layout/RadialCluster"/>
    <dgm:cxn modelId="{72F22CE9-9BD3-434E-81EF-F346DD2D35E4}" type="presOf" srcId="{31A86B69-E93A-F543-B5A7-A55C411D8107}" destId="{11C81CFF-1FA2-554B-B622-024F59854A23}" srcOrd="0" destOrd="0" presId="urn:microsoft.com/office/officeart/2008/layout/RadialCluster"/>
    <dgm:cxn modelId="{4F0DF9EA-14F2-7145-B973-B5B213B23CD7}" type="presOf" srcId="{67FD1FE5-0FC9-DF4F-900A-3A04D443956F}" destId="{4481F866-5780-C04C-B389-4027248735B0}" srcOrd="0" destOrd="0" presId="urn:microsoft.com/office/officeart/2008/layout/RadialCluster"/>
    <dgm:cxn modelId="{E96F1DF0-0081-584D-9C4D-01E374D20E75}" srcId="{1AA791B8-F35B-794C-A6C2-C05E5A14977E}" destId="{66C89013-E84D-754E-9D36-953C7E3D14DA}" srcOrd="0" destOrd="0" parTransId="{31A86B69-E93A-F543-B5A7-A55C411D8107}" sibTransId="{A9AC618F-F4AE-4D42-81B0-53BBB191B9CD}"/>
    <dgm:cxn modelId="{169667F1-0660-4444-BA5C-6B3FDF14F46F}" type="presOf" srcId="{7A32FCD7-C133-4C42-BAFD-D8867C5514DB}" destId="{09097D29-D0DB-314C-A11F-8345AD6D0585}" srcOrd="0" destOrd="0" presId="urn:microsoft.com/office/officeart/2008/layout/RadialCluster"/>
    <dgm:cxn modelId="{A5D87FF3-8BF8-E740-A058-52688EE2D516}" srcId="{1AA791B8-F35B-794C-A6C2-C05E5A14977E}" destId="{1ED0663C-583D-FC4F-B585-9387124226EC}" srcOrd="4" destOrd="0" parTransId="{3AADDD17-7A9A-0D4C-9501-9A330D372F04}" sibTransId="{18CC398B-3291-B941-8F43-3D2B7E9F907B}"/>
    <dgm:cxn modelId="{E85492F7-6005-B144-B7F7-361E30B3ED0A}" type="presOf" srcId="{8ED0FC1A-D6C6-214A-AEB9-37EEFF5D0996}" destId="{472F3D74-AE9B-B442-B307-527B69FF60C3}" srcOrd="0" destOrd="0" presId="urn:microsoft.com/office/officeart/2008/layout/RadialCluster"/>
    <dgm:cxn modelId="{ED9DC7F9-94AA-5148-8597-19DA2928D379}" srcId="{F32E8484-A1BC-0042-8051-B4702D6C9810}" destId="{1C8AB3DE-6D91-6D49-8CBF-6178475E4BD0}" srcOrd="3" destOrd="0" parTransId="{653670E1-DE2D-F949-92F9-DCD6C2B1BDF0}" sibTransId="{58E19F34-3B7D-3442-93C8-38E1EF2C2160}"/>
    <dgm:cxn modelId="{DF221FFB-62CB-DC4B-AA53-B1754F381BCE}" type="presOf" srcId="{508D2DDD-79CB-BC43-AD1D-4E708E86CB78}" destId="{6579B75E-A91C-AB43-89EF-0FC2D4B4A7E7}" srcOrd="0" destOrd="0" presId="urn:microsoft.com/office/officeart/2008/layout/RadialCluster"/>
    <dgm:cxn modelId="{46F0FFAC-778E-9140-97FD-A726AE8B7836}" type="presParOf" srcId="{641341E6-31CB-2843-853C-EE75AAE98F23}" destId="{838CCAD3-5709-2441-A9AB-E19836F34E6C}" srcOrd="0" destOrd="0" presId="urn:microsoft.com/office/officeart/2008/layout/RadialCluster"/>
    <dgm:cxn modelId="{88C0D5E2-4FB1-4E4F-BF68-5A993E91F5AA}" type="presParOf" srcId="{641341E6-31CB-2843-853C-EE75AAE98F23}" destId="{E616FDE1-E661-564D-AB29-6A8B3D95F3A9}" srcOrd="1" destOrd="0" presId="urn:microsoft.com/office/officeart/2008/layout/RadialCluster"/>
    <dgm:cxn modelId="{2A3688A1-B807-7C4E-B123-E53F7377A876}" type="presParOf" srcId="{E616FDE1-E661-564D-AB29-6A8B3D95F3A9}" destId="{78569760-98FD-CF4B-A647-1FC93E2628CB}" srcOrd="0" destOrd="0" presId="urn:microsoft.com/office/officeart/2008/layout/RadialCluster"/>
    <dgm:cxn modelId="{03C8ADA5-BA56-7242-B13B-44FD2693B91E}" type="presParOf" srcId="{641341E6-31CB-2843-853C-EE75AAE98F23}" destId="{19909283-91A9-124A-916E-DE235A28C5FA}" srcOrd="2" destOrd="0" presId="urn:microsoft.com/office/officeart/2008/layout/RadialCluster"/>
    <dgm:cxn modelId="{9122EEA2-774A-0145-B7AB-6FAAA98E9147}" type="presParOf" srcId="{641341E6-31CB-2843-853C-EE75AAE98F23}" destId="{CCE47A80-1395-4941-BB98-8D252B2DF139}" srcOrd="3" destOrd="0" presId="urn:microsoft.com/office/officeart/2008/layout/RadialCluster"/>
    <dgm:cxn modelId="{D63FE77D-20A4-654F-A79D-3543764D46A6}" type="presParOf" srcId="{CCE47A80-1395-4941-BB98-8D252B2DF139}" destId="{CC2E4491-D596-DC48-B320-707F3E3F1D46}" srcOrd="0" destOrd="0" presId="urn:microsoft.com/office/officeart/2008/layout/RadialCluster"/>
    <dgm:cxn modelId="{2E1CBD68-A93B-2944-A148-035D0D876683}" type="presParOf" srcId="{CCE47A80-1395-4941-BB98-8D252B2DF139}" destId="{DF488875-E43D-C049-A7B7-E63046FC33B3}" srcOrd="1" destOrd="0" presId="urn:microsoft.com/office/officeart/2008/layout/RadialCluster"/>
    <dgm:cxn modelId="{1DF566FE-256C-B44C-B6FF-488056598CCB}" type="presParOf" srcId="{CCE47A80-1395-4941-BB98-8D252B2DF139}" destId="{0F8EB8AD-89FA-074E-BB7F-B585FE1590F8}" srcOrd="2" destOrd="0" presId="urn:microsoft.com/office/officeart/2008/layout/RadialCluster"/>
    <dgm:cxn modelId="{E4C8C7FE-4D92-CC4A-8088-FBF77A1F4BC5}" type="presParOf" srcId="{CCE47A80-1395-4941-BB98-8D252B2DF139}" destId="{09097D29-D0DB-314C-A11F-8345AD6D0585}" srcOrd="3" destOrd="0" presId="urn:microsoft.com/office/officeart/2008/layout/RadialCluster"/>
    <dgm:cxn modelId="{75B2E591-CD08-D645-8F94-6F48BC25C3D2}" type="presParOf" srcId="{CCE47A80-1395-4941-BB98-8D252B2DF139}" destId="{517BC4E4-B9C0-E149-9D0B-6B6C149A4B22}" srcOrd="4" destOrd="0" presId="urn:microsoft.com/office/officeart/2008/layout/RadialCluster"/>
    <dgm:cxn modelId="{DFD02269-1731-D142-8684-5EDF8CAA4C1F}" type="presParOf" srcId="{CCE47A80-1395-4941-BB98-8D252B2DF139}" destId="{472F3D74-AE9B-B442-B307-527B69FF60C3}" srcOrd="5" destOrd="0" presId="urn:microsoft.com/office/officeart/2008/layout/RadialCluster"/>
    <dgm:cxn modelId="{004EE382-33BF-F54B-BB64-C023FB20C2EB}" type="presParOf" srcId="{CCE47A80-1395-4941-BB98-8D252B2DF139}" destId="{743F41B1-9F5F-E840-BC09-399520674304}" srcOrd="6" destOrd="0" presId="urn:microsoft.com/office/officeart/2008/layout/RadialCluster"/>
    <dgm:cxn modelId="{E1AC99D3-F615-9E48-9B40-98B7ECE882E3}" type="presParOf" srcId="{CCE47A80-1395-4941-BB98-8D252B2DF139}" destId="{C61EBB02-F6E2-394A-8661-B9AD3AEA1124}" srcOrd="7" destOrd="0" presId="urn:microsoft.com/office/officeart/2008/layout/RadialCluster"/>
    <dgm:cxn modelId="{57D0B829-B6C3-434A-85CF-ABD05661E098}" type="presParOf" srcId="{CCE47A80-1395-4941-BB98-8D252B2DF139}" destId="{6579B75E-A91C-AB43-89EF-0FC2D4B4A7E7}" srcOrd="8" destOrd="0" presId="urn:microsoft.com/office/officeart/2008/layout/RadialCluster"/>
    <dgm:cxn modelId="{7CBF427C-FD51-754F-9F2D-6F0159BAC1AB}" type="presParOf" srcId="{641341E6-31CB-2843-853C-EE75AAE98F23}" destId="{4481F866-5780-C04C-B389-4027248735B0}" srcOrd="4" destOrd="0" presId="urn:microsoft.com/office/officeart/2008/layout/RadialCluster"/>
    <dgm:cxn modelId="{679AA775-5739-B14F-ADD3-E3AAF5AC571F}" type="presParOf" srcId="{641341E6-31CB-2843-853C-EE75AAE98F23}" destId="{87AFCCEF-9149-B144-A939-F85DDE81B7B0}" srcOrd="5" destOrd="0" presId="urn:microsoft.com/office/officeart/2008/layout/RadialCluster"/>
    <dgm:cxn modelId="{02F55020-EF77-D64A-8221-7E0ED57685B0}" type="presParOf" srcId="{87AFCCEF-9149-B144-A939-F85DDE81B7B0}" destId="{430F1394-E700-554F-9501-5CF9DD7D0043}" srcOrd="0" destOrd="0" presId="urn:microsoft.com/office/officeart/2008/layout/RadialCluster"/>
    <dgm:cxn modelId="{CDBA3831-1B95-1846-BA83-1D52E5EB6C67}" type="presParOf" srcId="{87AFCCEF-9149-B144-A939-F85DDE81B7B0}" destId="{11C81CFF-1FA2-554B-B622-024F59854A23}" srcOrd="1" destOrd="0" presId="urn:microsoft.com/office/officeart/2008/layout/RadialCluster"/>
    <dgm:cxn modelId="{90B72808-E6E9-3F4F-B370-1B54082A204E}" type="presParOf" srcId="{87AFCCEF-9149-B144-A939-F85DDE81B7B0}" destId="{AC579157-5D1C-B048-B117-DA5B308D1939}" srcOrd="2" destOrd="0" presId="urn:microsoft.com/office/officeart/2008/layout/RadialCluster"/>
    <dgm:cxn modelId="{43AD0733-DA2A-7942-ADF0-C039C2C733DA}" type="presParOf" srcId="{87AFCCEF-9149-B144-A939-F85DDE81B7B0}" destId="{15204013-8F17-D64F-A709-43E6842F29ED}" srcOrd="3" destOrd="0" presId="urn:microsoft.com/office/officeart/2008/layout/RadialCluster"/>
    <dgm:cxn modelId="{66B5AC31-796F-BF41-85E7-5FA7C2BD1CB0}" type="presParOf" srcId="{87AFCCEF-9149-B144-A939-F85DDE81B7B0}" destId="{BAD97467-7872-FC4B-957E-3990424D2B96}" srcOrd="4" destOrd="0" presId="urn:microsoft.com/office/officeart/2008/layout/RadialCluster"/>
    <dgm:cxn modelId="{4C533BEE-094B-D14D-815A-36C109668238}" type="presParOf" srcId="{87AFCCEF-9149-B144-A939-F85DDE81B7B0}" destId="{21DEB39E-F5E1-AB44-8969-F6583A8B2645}" srcOrd="5" destOrd="0" presId="urn:microsoft.com/office/officeart/2008/layout/RadialCluster"/>
    <dgm:cxn modelId="{7672F926-ADBD-5C47-94FE-4796471D8A74}" type="presParOf" srcId="{87AFCCEF-9149-B144-A939-F85DDE81B7B0}" destId="{EE14C79B-91D9-4040-AEF4-5675DB949734}" srcOrd="6" destOrd="0" presId="urn:microsoft.com/office/officeart/2008/layout/RadialCluster"/>
    <dgm:cxn modelId="{BADB9A1C-7735-2446-9AB3-1BB76F1EAEE7}" type="presParOf" srcId="{87AFCCEF-9149-B144-A939-F85DDE81B7B0}" destId="{996997E7-8767-A141-BC5D-466CD1DC1139}" srcOrd="7" destOrd="0" presId="urn:microsoft.com/office/officeart/2008/layout/RadialCluster"/>
    <dgm:cxn modelId="{0AEE8D38-DEE2-584C-92C3-202A01C6A646}" type="presParOf" srcId="{87AFCCEF-9149-B144-A939-F85DDE81B7B0}" destId="{11D0F4A9-E024-E04A-A3B3-3692A8541E24}" srcOrd="8" destOrd="0" presId="urn:microsoft.com/office/officeart/2008/layout/RadialCluster"/>
    <dgm:cxn modelId="{E43C6C31-D90E-AD48-89E6-4D6B7797EB2F}" type="presParOf" srcId="{87AFCCEF-9149-B144-A939-F85DDE81B7B0}" destId="{D30E54E9-C69E-CF43-8438-02B22B5DB57A}" srcOrd="9" destOrd="0" presId="urn:microsoft.com/office/officeart/2008/layout/RadialCluster"/>
    <dgm:cxn modelId="{6202E684-EBFB-3843-B386-04E55EC0B5FA}" type="presParOf" srcId="{87AFCCEF-9149-B144-A939-F85DDE81B7B0}" destId="{157EBADB-F929-BB47-BDA1-1B29516DCA16}" srcOrd="10" destOrd="0" presId="urn:microsoft.com/office/officeart/2008/layout/RadialCluster"/>
    <dgm:cxn modelId="{BB5EC0B0-BF24-424C-92C9-4E6C66651C13}" type="presParOf" srcId="{641341E6-31CB-2843-853C-EE75AAE98F23}" destId="{25500320-4A43-6A43-8AE8-0068DE4BA60C}" srcOrd="6" destOrd="0" presId="urn:microsoft.com/office/officeart/2008/layout/RadialCluster"/>
    <dgm:cxn modelId="{9A54CC16-FD01-394F-B2EC-4B3EDB99852E}" type="presParOf" srcId="{641341E6-31CB-2843-853C-EE75AAE98F23}" destId="{83A6EC64-D8C2-804F-A529-4A4BFC1FD50F}" srcOrd="7" destOrd="0" presId="urn:microsoft.com/office/officeart/2008/layout/RadialCluster"/>
    <dgm:cxn modelId="{73AD9B19-BA96-8F4F-82BF-89D41BF7CB18}" type="presParOf" srcId="{83A6EC64-D8C2-804F-A529-4A4BFC1FD50F}" destId="{20A179B6-A41A-5944-91FA-418B358A52B5}" srcOrd="0" destOrd="0" presId="urn:microsoft.com/office/officeart/2008/layout/RadialCluster"/>
    <dgm:cxn modelId="{11A95A85-A267-AC4D-B9A6-158FE81EBD1D}" type="presParOf" srcId="{641341E6-31CB-2843-853C-EE75AAE98F23}" destId="{FA51C435-AAD3-3341-801A-08E82C3ACA8D}" srcOrd="8" destOrd="0" presId="urn:microsoft.com/office/officeart/2008/layout/RadialCluster"/>
    <dgm:cxn modelId="{183CC358-1BF0-294C-A63B-4558A5CEEBCC}" type="presParOf" srcId="{641341E6-31CB-2843-853C-EE75AAE98F23}" destId="{0F580EC1-E389-944F-9A04-8CAA1BAF92C7}" srcOrd="9" destOrd="0" presId="urn:microsoft.com/office/officeart/2008/layout/RadialCluster"/>
    <dgm:cxn modelId="{61591487-4D2F-B749-93C9-CCE756661B43}" type="presParOf" srcId="{0F580EC1-E389-944F-9A04-8CAA1BAF92C7}" destId="{5873AA71-7CA0-894D-8FE8-83142AAFD0E5}" srcOrd="0" destOrd="0" presId="urn:microsoft.com/office/officeart/2008/layout/RadialCluster"/>
    <dgm:cxn modelId="{44701FE4-872C-1F4C-8FF6-4076AD38AEC5}" type="presParOf" srcId="{641341E6-31CB-2843-853C-EE75AAE98F23}" destId="{0CDE2A67-3F8A-0D4E-BE84-E36F26F0AEF7}" srcOrd="10" destOrd="0" presId="urn:microsoft.com/office/officeart/2008/layout/RadialCluster"/>
    <dgm:cxn modelId="{048B8902-4896-7E40-B327-9A2E83EB1256}" type="presParOf" srcId="{641341E6-31CB-2843-853C-EE75AAE98F23}" destId="{D8771DCB-EA4A-BA4D-BBF9-66E3D6A0024A}" srcOrd="11" destOrd="0" presId="urn:microsoft.com/office/officeart/2008/layout/RadialCluster"/>
    <dgm:cxn modelId="{E6D20D4A-0344-5A46-96FA-37313BEF9E7B}" type="presParOf" srcId="{D8771DCB-EA4A-BA4D-BBF9-66E3D6A0024A}" destId="{1BA41BA0-8D5C-6C42-83E2-8E31975CE9BD}" srcOrd="0" destOrd="0" presId="urn:microsoft.com/office/officeart/2008/layout/RadialCluster"/>
    <dgm:cxn modelId="{3C1DEA8F-7E0F-8741-85B5-BC887B010E1B}" type="presParOf" srcId="{D8771DCB-EA4A-BA4D-BBF9-66E3D6A0024A}" destId="{46726150-FD9D-5944-B23D-6AAC35515942}" srcOrd="1" destOrd="0" presId="urn:microsoft.com/office/officeart/2008/layout/RadialCluster"/>
    <dgm:cxn modelId="{D120DB57-B17D-FA4A-9BDF-AA68E99C3D36}" type="presParOf" srcId="{D8771DCB-EA4A-BA4D-BBF9-66E3D6A0024A}" destId="{B2F151CD-A010-3F42-BFB9-770B76E0EFF1}" srcOrd="2" destOrd="0" presId="urn:microsoft.com/office/officeart/2008/layout/RadialCluster"/>
    <dgm:cxn modelId="{BE366EB7-512B-3742-9055-E8DAAF3B6DFF}" type="presParOf" srcId="{D8771DCB-EA4A-BA4D-BBF9-66E3D6A0024A}" destId="{08366CA2-F3DA-5A44-A964-B130D1E2ADF7}" srcOrd="3" destOrd="0" presId="urn:microsoft.com/office/officeart/2008/layout/RadialCluster"/>
    <dgm:cxn modelId="{AAD6FA8D-BD00-9D41-B2C9-C70D00056574}" type="presParOf" srcId="{D8771DCB-EA4A-BA4D-BBF9-66E3D6A0024A}" destId="{1FE0D913-E9AD-AF45-9D1E-31B3BC0E5743}" srcOrd="4" destOrd="0" presId="urn:microsoft.com/office/officeart/2008/layout/RadialCluster"/>
    <dgm:cxn modelId="{4C0EB7E0-EE39-8641-9E42-6C48FBEF6206}" type="presParOf" srcId="{D8771DCB-EA4A-BA4D-BBF9-66E3D6A0024A}" destId="{DB07D422-3C10-9A42-BDDC-29DF1F15A61A}" srcOrd="5" destOrd="0" presId="urn:microsoft.com/office/officeart/2008/layout/RadialCluster"/>
    <dgm:cxn modelId="{3C6CF5CA-8876-C64E-A408-45EE5CD36329}" type="presParOf" srcId="{D8771DCB-EA4A-BA4D-BBF9-66E3D6A0024A}" destId="{E942A741-CA2B-B345-8A6E-F3FE851B3BFE}" srcOrd="6" destOrd="0" presId="urn:microsoft.com/office/officeart/2008/layout/RadialCluster"/>
    <dgm:cxn modelId="{7C5659A4-40B5-5145-84E1-212EB1487F0D}" type="presParOf" srcId="{641341E6-31CB-2843-853C-EE75AAE98F23}" destId="{6A84AC8F-5D88-494E-BF5E-946F108D1153}" srcOrd="12" destOrd="0" presId="urn:microsoft.com/office/officeart/2008/layout/RadialCluster"/>
    <dgm:cxn modelId="{2B710980-7EBF-A847-8EC0-7D7F2953B2D7}" type="presParOf" srcId="{641341E6-31CB-2843-853C-EE75AAE98F23}" destId="{7CBDDB0F-D62F-B94E-8A33-7B5F53BF74BB}" srcOrd="13" destOrd="0" presId="urn:microsoft.com/office/officeart/2008/layout/RadialCluster"/>
    <dgm:cxn modelId="{47FA870D-518F-D440-80C6-A22500EF8E06}" type="presParOf" srcId="{7CBDDB0F-D62F-B94E-8A33-7B5F53BF74BB}" destId="{81928B3B-CD54-EA4B-BF8F-4F9948DDE89F}" srcOrd="0" destOrd="0" presId="urn:microsoft.com/office/officeart/2008/layout/RadialCluster"/>
    <dgm:cxn modelId="{7A6F8024-430E-6045-9956-4FC6147BC47C}" type="presParOf" srcId="{7CBDDB0F-D62F-B94E-8A33-7B5F53BF74BB}" destId="{F85401C1-5A91-F94F-AAB2-A9C42109EB68}" srcOrd="1" destOrd="0" presId="urn:microsoft.com/office/officeart/2008/layout/RadialCluster"/>
    <dgm:cxn modelId="{3887E822-4DD5-9F4E-9887-C1C4F69F4F94}" type="presParOf" srcId="{7CBDDB0F-D62F-B94E-8A33-7B5F53BF74BB}" destId="{F2DBDFA0-ACCB-E841-A4A9-DE92DC91FB1C}" srcOrd="2" destOrd="0" presId="urn:microsoft.com/office/officeart/2008/layout/RadialCluster"/>
    <dgm:cxn modelId="{EFA3ED16-003B-4740-B538-CBFA58382C12}" type="presParOf" srcId="{7CBDDB0F-D62F-B94E-8A33-7B5F53BF74BB}" destId="{1A2C5717-69C1-5D44-8237-B99C596AEA60}" srcOrd="3" destOrd="0" presId="urn:microsoft.com/office/officeart/2008/layout/RadialCluster"/>
    <dgm:cxn modelId="{9F22A54E-2855-8E49-A8A8-BBB74D1B7DEC}" type="presParOf" srcId="{7CBDDB0F-D62F-B94E-8A33-7B5F53BF74BB}" destId="{3070526A-964B-324A-913D-1F4EA49A0621}" srcOrd="4" destOrd="0" presId="urn:microsoft.com/office/officeart/2008/layout/RadialCluster"/>
    <dgm:cxn modelId="{355588CB-81D4-E346-AD02-9DFB51788F2F}" type="presParOf" srcId="{7CBDDB0F-D62F-B94E-8A33-7B5F53BF74BB}" destId="{1ECF9EBB-EA79-D944-9845-62EC79C5ED39}" srcOrd="5" destOrd="0" presId="urn:microsoft.com/office/officeart/2008/layout/RadialCluster"/>
    <dgm:cxn modelId="{576B56A1-A33C-DD45-A5BE-BEC7EDAB89FB}" type="presParOf" srcId="{7CBDDB0F-D62F-B94E-8A33-7B5F53BF74BB}" destId="{F45DD359-9ECB-8F4F-A384-0E4AFACD0B69}" srcOrd="6" destOrd="0" presId="urn:microsoft.com/office/officeart/2008/layout/RadialCluster"/>
    <dgm:cxn modelId="{58DEB6D9-08F7-FE4D-A080-12B6F107CAC8}" type="presParOf" srcId="{7CBDDB0F-D62F-B94E-8A33-7B5F53BF74BB}" destId="{3254232C-52F0-C743-845A-E908664EBBAE}" srcOrd="7" destOrd="0" presId="urn:microsoft.com/office/officeart/2008/layout/RadialCluster"/>
    <dgm:cxn modelId="{4CF5C465-ECF4-8F40-B781-E350571B2996}" type="presParOf" srcId="{7CBDDB0F-D62F-B94E-8A33-7B5F53BF74BB}" destId="{951456C2-3108-F34A-92AD-158CB60268DB}" srcOrd="8" destOrd="0" presId="urn:microsoft.com/office/officeart/2008/layout/RadialCluster"/>
    <dgm:cxn modelId="{6E975F39-A7EF-0944-AD50-6FC024CA5B82}" type="presParOf" srcId="{641341E6-31CB-2843-853C-EE75AAE98F23}" destId="{CDEA0C80-1B6B-764F-9B60-4D4DB926E785}" srcOrd="14" destOrd="0" presId="urn:microsoft.com/office/officeart/2008/layout/RadialCluster"/>
  </dgm:cxnLst>
  <dgm:bg/>
  <dgm:whole/>
  <dgm:extLst>
    <a:ext uri="http://schemas.microsoft.com/office/drawing/2008/diagram">
      <dsp:dataModelExt xmlns:dsp="http://schemas.microsoft.com/office/drawing/2008/diagram" relId="rId281" minVer="http://schemas.openxmlformats.org/drawingml/2006/diagram"/>
    </a:ext>
  </dgm:extLst>
</dgm:dataModel>
</file>

<file path=word/diagrams/data41.xml><?xml version="1.0" encoding="utf-8"?>
<dgm:dataModel xmlns:dgm="http://schemas.openxmlformats.org/drawingml/2006/diagram" xmlns:a="http://schemas.openxmlformats.org/drawingml/2006/main">
  <dgm:ptLst>
    <dgm:pt modelId="{67AB01C4-B960-3848-952B-A330EF23FEE1}" type="doc">
      <dgm:prSet loTypeId="urn:microsoft.com/office/officeart/2005/8/layout/matrix1" loCatId="" qsTypeId="urn:microsoft.com/office/officeart/2005/8/quickstyle/simple1" qsCatId="simple" csTypeId="urn:microsoft.com/office/officeart/2005/8/colors/colorful1" csCatId="colorful" phldr="1"/>
      <dgm:spPr/>
      <dgm:t>
        <a:bodyPr/>
        <a:lstStyle/>
        <a:p>
          <a:endParaRPr lang="en-US"/>
        </a:p>
      </dgm:t>
    </dgm:pt>
    <dgm:pt modelId="{338B4FC4-64F6-AC4D-B5C1-560D4458C31F}">
      <dgm:prSet phldrT="[Text]"/>
      <dgm:spPr/>
      <dgm:t>
        <a:bodyPr/>
        <a:lstStyle/>
        <a:p>
          <a:r>
            <a:rPr lang="en-US">
              <a:latin typeface="Arial"/>
              <a:cs typeface="Arial"/>
            </a:rPr>
            <a:t>Faculty for simulation based medical education</a:t>
          </a:r>
        </a:p>
      </dgm:t>
    </dgm:pt>
    <dgm:pt modelId="{320A6D00-FC2D-024E-A616-19528A2674EA}" type="parTrans" cxnId="{12DC424E-604E-F54E-B5ED-9E0AD004C662}">
      <dgm:prSet/>
      <dgm:spPr/>
      <dgm:t>
        <a:bodyPr/>
        <a:lstStyle/>
        <a:p>
          <a:endParaRPr lang="en-US"/>
        </a:p>
      </dgm:t>
    </dgm:pt>
    <dgm:pt modelId="{90D9B36D-6D36-7840-99B3-02E54FDABA0F}" type="sibTrans" cxnId="{12DC424E-604E-F54E-B5ED-9E0AD004C662}">
      <dgm:prSet/>
      <dgm:spPr/>
      <dgm:t>
        <a:bodyPr/>
        <a:lstStyle/>
        <a:p>
          <a:endParaRPr lang="en-US"/>
        </a:p>
      </dgm:t>
    </dgm:pt>
    <dgm:pt modelId="{B8C38EEC-9CCA-A24E-A4D1-05D5531C23E9}">
      <dgm:prSet phldrT="[Text]" custT="1"/>
      <dgm:spPr/>
      <dgm:t>
        <a:bodyPr/>
        <a:lstStyle/>
        <a:p>
          <a:endParaRPr lang="en-US" sz="1200">
            <a:latin typeface="Arial"/>
            <a:cs typeface="Arial"/>
          </a:endParaRPr>
        </a:p>
        <a:p>
          <a:endParaRPr lang="en-US" sz="1200">
            <a:latin typeface="Arial"/>
            <a:cs typeface="Arial"/>
          </a:endParaRPr>
        </a:p>
        <a:p>
          <a:r>
            <a:rPr lang="en-US" sz="1400">
              <a:latin typeface="Arial"/>
              <a:cs typeface="Arial"/>
            </a:rPr>
            <a:t>Knowledge</a:t>
          </a:r>
        </a:p>
      </dgm:t>
    </dgm:pt>
    <dgm:pt modelId="{980D0491-F61E-9E49-BC5F-45E2A2296D61}" type="parTrans" cxnId="{7A4BBDFC-BB07-904E-A9D9-AEDB1DA1B054}">
      <dgm:prSet/>
      <dgm:spPr/>
      <dgm:t>
        <a:bodyPr/>
        <a:lstStyle/>
        <a:p>
          <a:endParaRPr lang="en-US"/>
        </a:p>
      </dgm:t>
    </dgm:pt>
    <dgm:pt modelId="{0B010626-95E9-954B-B958-5A9A52A19051}" type="sibTrans" cxnId="{7A4BBDFC-BB07-904E-A9D9-AEDB1DA1B054}">
      <dgm:prSet/>
      <dgm:spPr/>
      <dgm:t>
        <a:bodyPr/>
        <a:lstStyle/>
        <a:p>
          <a:endParaRPr lang="en-US"/>
        </a:p>
      </dgm:t>
    </dgm:pt>
    <dgm:pt modelId="{C0AD8E9C-91B4-4948-8468-C5018316AB8A}">
      <dgm:prSet phldrT="[Text]" custT="1"/>
      <dgm:spPr/>
      <dgm:t>
        <a:bodyPr/>
        <a:lstStyle/>
        <a:p>
          <a:r>
            <a:rPr lang="en-US" sz="1400">
              <a:latin typeface="Arial"/>
              <a:cs typeface="Arial"/>
            </a:rPr>
            <a:t>Personality characteristics</a:t>
          </a:r>
        </a:p>
      </dgm:t>
    </dgm:pt>
    <dgm:pt modelId="{8F618F7E-77A7-234B-A60A-FAA93473C9AA}" type="parTrans" cxnId="{DB24E76E-705D-DB4A-AEDE-A935C31EAE7E}">
      <dgm:prSet/>
      <dgm:spPr/>
      <dgm:t>
        <a:bodyPr/>
        <a:lstStyle/>
        <a:p>
          <a:endParaRPr lang="en-US"/>
        </a:p>
      </dgm:t>
    </dgm:pt>
    <dgm:pt modelId="{DB20AC33-F7E2-D94C-8CC5-E6577F3E7B2D}" type="sibTrans" cxnId="{DB24E76E-705D-DB4A-AEDE-A935C31EAE7E}">
      <dgm:prSet/>
      <dgm:spPr/>
      <dgm:t>
        <a:bodyPr/>
        <a:lstStyle/>
        <a:p>
          <a:endParaRPr lang="en-US"/>
        </a:p>
      </dgm:t>
    </dgm:pt>
    <dgm:pt modelId="{51FAA802-9292-9F47-A83E-0EF2189AC34C}">
      <dgm:prSet phldrT="[Text]" custT="1"/>
      <dgm:spPr/>
      <dgm:t>
        <a:bodyPr/>
        <a:lstStyle/>
        <a:p>
          <a:r>
            <a:rPr lang="en-US" sz="1400">
              <a:latin typeface="Arial"/>
              <a:cs typeface="Arial"/>
            </a:rPr>
            <a:t>Clinical experience</a:t>
          </a:r>
        </a:p>
      </dgm:t>
    </dgm:pt>
    <dgm:pt modelId="{E115CD09-46CD-8340-B793-A0A36E95D21D}" type="parTrans" cxnId="{6A7E9321-998D-DE4B-B539-761D279A35B2}">
      <dgm:prSet/>
      <dgm:spPr/>
      <dgm:t>
        <a:bodyPr/>
        <a:lstStyle/>
        <a:p>
          <a:endParaRPr lang="en-US"/>
        </a:p>
      </dgm:t>
    </dgm:pt>
    <dgm:pt modelId="{90B183DB-2CB4-0F4E-BF17-ED5EC157620F}" type="sibTrans" cxnId="{6A7E9321-998D-DE4B-B539-761D279A35B2}">
      <dgm:prSet/>
      <dgm:spPr/>
      <dgm:t>
        <a:bodyPr/>
        <a:lstStyle/>
        <a:p>
          <a:endParaRPr lang="en-US"/>
        </a:p>
      </dgm:t>
    </dgm:pt>
    <dgm:pt modelId="{114DC25F-3F0E-B34D-967F-FC980D84D2C3}">
      <dgm:prSet phldrT="[Text]" custT="1"/>
      <dgm:spPr/>
      <dgm:t>
        <a:bodyPr/>
        <a:lstStyle/>
        <a:p>
          <a:r>
            <a:rPr lang="en-US" sz="1400">
              <a:latin typeface="Arial"/>
              <a:cs typeface="Arial"/>
            </a:rPr>
            <a:t>Educational skills</a:t>
          </a:r>
        </a:p>
      </dgm:t>
    </dgm:pt>
    <dgm:pt modelId="{DB366796-8376-7843-88F9-4DAE054E1519}" type="parTrans" cxnId="{6DA72413-214C-EA44-A099-A4534A43BC8B}">
      <dgm:prSet/>
      <dgm:spPr/>
      <dgm:t>
        <a:bodyPr/>
        <a:lstStyle/>
        <a:p>
          <a:endParaRPr lang="en-US"/>
        </a:p>
      </dgm:t>
    </dgm:pt>
    <dgm:pt modelId="{D44C50B8-40E0-8C4A-9C8C-B747CB851860}" type="sibTrans" cxnId="{6DA72413-214C-EA44-A099-A4534A43BC8B}">
      <dgm:prSet/>
      <dgm:spPr/>
      <dgm:t>
        <a:bodyPr/>
        <a:lstStyle/>
        <a:p>
          <a:endParaRPr lang="en-US"/>
        </a:p>
      </dgm:t>
    </dgm:pt>
    <dgm:pt modelId="{B8F0C7A3-D0B0-264F-B81B-4EFFFAD65C2C}">
      <dgm:prSet custT="1"/>
      <dgm:spPr/>
      <dgm:t>
        <a:bodyPr/>
        <a:lstStyle/>
        <a:p>
          <a:r>
            <a:rPr lang="en-US" sz="900">
              <a:latin typeface="Arial"/>
              <a:cs typeface="Arial"/>
            </a:rPr>
            <a:t>Of specific curriculum</a:t>
          </a:r>
        </a:p>
      </dgm:t>
    </dgm:pt>
    <dgm:pt modelId="{4D56C28B-47DE-C643-B6B1-EEC525C48AE1}" type="parTrans" cxnId="{6CA566C7-8CD6-5E42-9FDD-3C45D0116E20}">
      <dgm:prSet/>
      <dgm:spPr/>
      <dgm:t>
        <a:bodyPr/>
        <a:lstStyle/>
        <a:p>
          <a:endParaRPr lang="en-US"/>
        </a:p>
      </dgm:t>
    </dgm:pt>
    <dgm:pt modelId="{D473366E-B415-CF48-9BA5-212E9C0828F3}" type="sibTrans" cxnId="{6CA566C7-8CD6-5E42-9FDD-3C45D0116E20}">
      <dgm:prSet/>
      <dgm:spPr/>
      <dgm:t>
        <a:bodyPr/>
        <a:lstStyle/>
        <a:p>
          <a:endParaRPr lang="en-US"/>
        </a:p>
      </dgm:t>
    </dgm:pt>
    <dgm:pt modelId="{8BED1568-E094-8949-B8B6-ADEE2C82B0A9}">
      <dgm:prSet custT="1"/>
      <dgm:spPr/>
      <dgm:t>
        <a:bodyPr/>
        <a:lstStyle/>
        <a:p>
          <a:r>
            <a:rPr lang="en-US" sz="900">
              <a:latin typeface="Arial"/>
              <a:cs typeface="Arial"/>
            </a:rPr>
            <a:t>Of expectations for role/post e.g. FY1</a:t>
          </a:r>
        </a:p>
      </dgm:t>
    </dgm:pt>
    <dgm:pt modelId="{1B748005-5C19-E745-BDFF-4AE31599F6E7}" type="parTrans" cxnId="{BB8640EC-E373-5D45-9148-A6F8B6638F99}">
      <dgm:prSet/>
      <dgm:spPr/>
      <dgm:t>
        <a:bodyPr/>
        <a:lstStyle/>
        <a:p>
          <a:endParaRPr lang="en-US"/>
        </a:p>
      </dgm:t>
    </dgm:pt>
    <dgm:pt modelId="{8B378880-E80B-E744-BE59-AFB098B829EC}" type="sibTrans" cxnId="{BB8640EC-E373-5D45-9148-A6F8B6638F99}">
      <dgm:prSet/>
      <dgm:spPr/>
      <dgm:t>
        <a:bodyPr/>
        <a:lstStyle/>
        <a:p>
          <a:endParaRPr lang="en-US"/>
        </a:p>
      </dgm:t>
    </dgm:pt>
    <dgm:pt modelId="{0B92D3C9-3F5B-AB4C-8EE6-BF2B61B7FCAB}">
      <dgm:prSet custT="1"/>
      <dgm:spPr/>
      <dgm:t>
        <a:bodyPr/>
        <a:lstStyle/>
        <a:p>
          <a:r>
            <a:rPr lang="en-US" sz="900">
              <a:latin typeface="Arial"/>
              <a:cs typeface="Arial"/>
            </a:rPr>
            <a:t>Of current stage/ level of learners</a:t>
          </a:r>
        </a:p>
      </dgm:t>
    </dgm:pt>
    <dgm:pt modelId="{E78AA768-3696-BF4D-BA91-43AB336161BD}" type="parTrans" cxnId="{5F75F42E-E7CE-164A-855E-9629DF218E5E}">
      <dgm:prSet/>
      <dgm:spPr/>
      <dgm:t>
        <a:bodyPr/>
        <a:lstStyle/>
        <a:p>
          <a:endParaRPr lang="en-US"/>
        </a:p>
      </dgm:t>
    </dgm:pt>
    <dgm:pt modelId="{A9BE0007-1182-C54C-A867-FE82311FF59F}" type="sibTrans" cxnId="{5F75F42E-E7CE-164A-855E-9629DF218E5E}">
      <dgm:prSet/>
      <dgm:spPr/>
      <dgm:t>
        <a:bodyPr/>
        <a:lstStyle/>
        <a:p>
          <a:endParaRPr lang="en-US"/>
        </a:p>
      </dgm:t>
    </dgm:pt>
    <dgm:pt modelId="{0B7EB672-5686-4943-AFD5-4E914B76D1AD}">
      <dgm:prSet custT="1"/>
      <dgm:spPr/>
      <dgm:t>
        <a:bodyPr/>
        <a:lstStyle/>
        <a:p>
          <a:r>
            <a:rPr lang="en-US" sz="900">
              <a:latin typeface="Arial"/>
              <a:cs typeface="Arial"/>
            </a:rPr>
            <a:t>Of non-technical skills and Human Factors</a:t>
          </a:r>
        </a:p>
      </dgm:t>
    </dgm:pt>
    <dgm:pt modelId="{A3836B5C-8E96-D147-BF97-B5E736E00BFF}" type="parTrans" cxnId="{E115B1CA-137E-6D45-ABB8-AD0B9A3254C7}">
      <dgm:prSet/>
      <dgm:spPr/>
      <dgm:t>
        <a:bodyPr/>
        <a:lstStyle/>
        <a:p>
          <a:endParaRPr lang="en-US"/>
        </a:p>
      </dgm:t>
    </dgm:pt>
    <dgm:pt modelId="{DC0DD774-4C72-2646-83E2-D58BB76955A3}" type="sibTrans" cxnId="{E115B1CA-137E-6D45-ABB8-AD0B9A3254C7}">
      <dgm:prSet/>
      <dgm:spPr/>
      <dgm:t>
        <a:bodyPr/>
        <a:lstStyle/>
        <a:p>
          <a:endParaRPr lang="en-US"/>
        </a:p>
      </dgm:t>
    </dgm:pt>
    <dgm:pt modelId="{3FDD1103-AFB8-D54C-9293-68A39C7E73F2}">
      <dgm:prSet custT="1"/>
      <dgm:spPr/>
      <dgm:t>
        <a:bodyPr/>
        <a:lstStyle/>
        <a:p>
          <a:r>
            <a:rPr lang="en-US" sz="900">
              <a:latin typeface="Arial"/>
              <a:cs typeface="Arial"/>
            </a:rPr>
            <a:t>Of educational theory</a:t>
          </a:r>
        </a:p>
      </dgm:t>
    </dgm:pt>
    <dgm:pt modelId="{CDBD2B2F-0A73-1744-81DA-7261A8BE0FE3}" type="parTrans" cxnId="{6590888F-1923-5D4D-AF76-AD0D2CCDD973}">
      <dgm:prSet/>
      <dgm:spPr/>
      <dgm:t>
        <a:bodyPr/>
        <a:lstStyle/>
        <a:p>
          <a:endParaRPr lang="en-US"/>
        </a:p>
      </dgm:t>
    </dgm:pt>
    <dgm:pt modelId="{F3DEF6B6-7438-2F49-8A86-606092BFE9BE}" type="sibTrans" cxnId="{6590888F-1923-5D4D-AF76-AD0D2CCDD973}">
      <dgm:prSet/>
      <dgm:spPr/>
      <dgm:t>
        <a:bodyPr/>
        <a:lstStyle/>
        <a:p>
          <a:endParaRPr lang="en-US"/>
        </a:p>
      </dgm:t>
    </dgm:pt>
    <dgm:pt modelId="{0AD0B882-7B68-EB4C-AD76-DB71D414B0BA}">
      <dgm:prSet custT="1"/>
      <dgm:spPr/>
      <dgm:t>
        <a:bodyPr/>
        <a:lstStyle/>
        <a:p>
          <a:r>
            <a:rPr lang="en-US" sz="900">
              <a:latin typeface="Arial"/>
              <a:cs typeface="Arial"/>
            </a:rPr>
            <a:t>Flexible, Dynamic, Embrace complexity</a:t>
          </a:r>
        </a:p>
      </dgm:t>
    </dgm:pt>
    <dgm:pt modelId="{0EFAFC42-524E-0C45-A436-9F2FDE9B2728}" type="parTrans" cxnId="{17419F07-B7C1-764D-BB0C-8C985141BED7}">
      <dgm:prSet/>
      <dgm:spPr/>
      <dgm:t>
        <a:bodyPr/>
        <a:lstStyle/>
        <a:p>
          <a:endParaRPr lang="en-US"/>
        </a:p>
      </dgm:t>
    </dgm:pt>
    <dgm:pt modelId="{DDA58B27-D64D-9743-A6EE-1FE604B3A7DF}" type="sibTrans" cxnId="{17419F07-B7C1-764D-BB0C-8C985141BED7}">
      <dgm:prSet/>
      <dgm:spPr/>
      <dgm:t>
        <a:bodyPr/>
        <a:lstStyle/>
        <a:p>
          <a:endParaRPr lang="en-US"/>
        </a:p>
      </dgm:t>
    </dgm:pt>
    <dgm:pt modelId="{2D8DDC1B-0827-1348-B98B-36B7D7FFEBEF}">
      <dgm:prSet custT="1"/>
      <dgm:spPr/>
      <dgm:t>
        <a:bodyPr/>
        <a:lstStyle/>
        <a:p>
          <a:r>
            <a:rPr lang="en-US" sz="900">
              <a:latin typeface="Arial"/>
              <a:cs typeface="Arial"/>
            </a:rPr>
            <a:t>Reflective, aware of own strengths and weaknesses</a:t>
          </a:r>
        </a:p>
      </dgm:t>
    </dgm:pt>
    <dgm:pt modelId="{012187B1-FA9D-A14D-ABA2-DBB481F76D8C}" type="parTrans" cxnId="{27CD9739-FE02-4447-AC0D-F4A2A7F6697B}">
      <dgm:prSet/>
      <dgm:spPr/>
      <dgm:t>
        <a:bodyPr/>
        <a:lstStyle/>
        <a:p>
          <a:endParaRPr lang="en-US"/>
        </a:p>
      </dgm:t>
    </dgm:pt>
    <dgm:pt modelId="{677E788C-3141-C042-8124-CF214539D920}" type="sibTrans" cxnId="{27CD9739-FE02-4447-AC0D-F4A2A7F6697B}">
      <dgm:prSet/>
      <dgm:spPr/>
      <dgm:t>
        <a:bodyPr/>
        <a:lstStyle/>
        <a:p>
          <a:endParaRPr lang="en-US"/>
        </a:p>
      </dgm:t>
    </dgm:pt>
    <dgm:pt modelId="{3913EB2F-CD48-DD4D-B512-232A4CDDE44F}">
      <dgm:prSet custT="1"/>
      <dgm:spPr/>
      <dgm:t>
        <a:bodyPr/>
        <a:lstStyle/>
        <a:p>
          <a:r>
            <a:rPr lang="en-US" sz="900">
              <a:latin typeface="Arial"/>
              <a:cs typeface="Arial"/>
            </a:rPr>
            <a:t>Empathic to learners 'in their shoes', shares own mistakes</a:t>
          </a:r>
        </a:p>
      </dgm:t>
    </dgm:pt>
    <dgm:pt modelId="{C4046595-934F-264B-BB21-FBB173B09AEF}" type="parTrans" cxnId="{2D44F252-2301-DF41-9B45-0B4BA5478786}">
      <dgm:prSet/>
      <dgm:spPr/>
      <dgm:t>
        <a:bodyPr/>
        <a:lstStyle/>
        <a:p>
          <a:endParaRPr lang="en-US"/>
        </a:p>
      </dgm:t>
    </dgm:pt>
    <dgm:pt modelId="{BF3B86DA-65F7-0447-B76F-49EDB0E1AA21}" type="sibTrans" cxnId="{2D44F252-2301-DF41-9B45-0B4BA5478786}">
      <dgm:prSet/>
      <dgm:spPr/>
      <dgm:t>
        <a:bodyPr/>
        <a:lstStyle/>
        <a:p>
          <a:endParaRPr lang="en-US"/>
        </a:p>
      </dgm:t>
    </dgm:pt>
    <dgm:pt modelId="{DBDDF5F9-1086-6849-9B99-2F7F53BDDDC2}">
      <dgm:prSet custT="1"/>
      <dgm:spPr/>
      <dgm:t>
        <a:bodyPr/>
        <a:lstStyle/>
        <a:p>
          <a:r>
            <a:rPr lang="en-US" sz="900">
              <a:latin typeface="Arial"/>
              <a:cs typeface="Arial"/>
            </a:rPr>
            <a:t>Open and honest</a:t>
          </a:r>
        </a:p>
      </dgm:t>
    </dgm:pt>
    <dgm:pt modelId="{7A1BEB90-C64E-D140-A201-9A5EECD51FF0}" type="parTrans" cxnId="{1BBF0F68-C247-0541-9DF3-09B8D7EC38B2}">
      <dgm:prSet/>
      <dgm:spPr/>
      <dgm:t>
        <a:bodyPr/>
        <a:lstStyle/>
        <a:p>
          <a:endParaRPr lang="en-US"/>
        </a:p>
      </dgm:t>
    </dgm:pt>
    <dgm:pt modelId="{E76F522B-15C7-1E4C-87FF-10241AD25189}" type="sibTrans" cxnId="{1BBF0F68-C247-0541-9DF3-09B8D7EC38B2}">
      <dgm:prSet/>
      <dgm:spPr/>
      <dgm:t>
        <a:bodyPr/>
        <a:lstStyle/>
        <a:p>
          <a:endParaRPr lang="en-US"/>
        </a:p>
      </dgm:t>
    </dgm:pt>
    <dgm:pt modelId="{8C35E76D-2301-4E49-B69F-D61AA473723B}">
      <dgm:prSet custT="1"/>
      <dgm:spPr/>
      <dgm:t>
        <a:bodyPr/>
        <a:lstStyle/>
        <a:p>
          <a:r>
            <a:rPr lang="en-US" sz="900">
              <a:latin typeface="Arial"/>
              <a:cs typeface="Arial"/>
            </a:rPr>
            <a:t>Unintimidating</a:t>
          </a:r>
        </a:p>
      </dgm:t>
    </dgm:pt>
    <dgm:pt modelId="{E8784855-D632-1D46-B63B-87131BADD38E}" type="parTrans" cxnId="{B653EDFF-351A-E442-8C00-68C6F8C93F74}">
      <dgm:prSet/>
      <dgm:spPr/>
      <dgm:t>
        <a:bodyPr/>
        <a:lstStyle/>
        <a:p>
          <a:endParaRPr lang="en-US"/>
        </a:p>
      </dgm:t>
    </dgm:pt>
    <dgm:pt modelId="{FB94B2D0-FE32-F34C-B0AE-60F6040413A3}" type="sibTrans" cxnId="{B653EDFF-351A-E442-8C00-68C6F8C93F74}">
      <dgm:prSet/>
      <dgm:spPr/>
      <dgm:t>
        <a:bodyPr/>
        <a:lstStyle/>
        <a:p>
          <a:endParaRPr lang="en-US"/>
        </a:p>
      </dgm:t>
    </dgm:pt>
    <dgm:pt modelId="{43775053-321D-C047-9B0E-A70976F2FB75}">
      <dgm:prSet custT="1"/>
      <dgm:spPr/>
      <dgm:t>
        <a:bodyPr/>
        <a:lstStyle/>
        <a:p>
          <a:r>
            <a:rPr lang="en-US" sz="900">
              <a:latin typeface="Arial"/>
              <a:cs typeface="Arial"/>
            </a:rPr>
            <a:t>Enjoy being challenged</a:t>
          </a:r>
        </a:p>
      </dgm:t>
    </dgm:pt>
    <dgm:pt modelId="{1BA14F87-13FD-F249-AD54-3F20C33C6FA0}" type="parTrans" cxnId="{0CF4451F-65F6-AE42-BD86-2B789D8649BA}">
      <dgm:prSet/>
      <dgm:spPr/>
      <dgm:t>
        <a:bodyPr/>
        <a:lstStyle/>
        <a:p>
          <a:endParaRPr lang="en-US"/>
        </a:p>
      </dgm:t>
    </dgm:pt>
    <dgm:pt modelId="{728645A5-641C-B24E-AECB-B0C1B21D38C5}" type="sibTrans" cxnId="{0CF4451F-65F6-AE42-BD86-2B789D8649BA}">
      <dgm:prSet/>
      <dgm:spPr/>
      <dgm:t>
        <a:bodyPr/>
        <a:lstStyle/>
        <a:p>
          <a:endParaRPr lang="en-US"/>
        </a:p>
      </dgm:t>
    </dgm:pt>
    <dgm:pt modelId="{42CC43CD-8E67-E445-98AE-F7044CCA4E8F}">
      <dgm:prSet custT="1"/>
      <dgm:spPr/>
      <dgm:t>
        <a:bodyPr/>
        <a:lstStyle/>
        <a:p>
          <a:r>
            <a:rPr lang="en-US" sz="900">
              <a:latin typeface="Arial"/>
              <a:cs typeface="Arial"/>
            </a:rPr>
            <a:t>Facilitative. Good role model</a:t>
          </a:r>
        </a:p>
      </dgm:t>
    </dgm:pt>
    <dgm:pt modelId="{C95740BD-9F85-234C-B8BC-711D45EA5F40}" type="parTrans" cxnId="{8AE9FB6D-F8F1-F64B-88A4-1EECE4F70D04}">
      <dgm:prSet/>
      <dgm:spPr/>
      <dgm:t>
        <a:bodyPr/>
        <a:lstStyle/>
        <a:p>
          <a:endParaRPr lang="en-US"/>
        </a:p>
      </dgm:t>
    </dgm:pt>
    <dgm:pt modelId="{91DC5F1F-1339-EE48-BF1D-7FD1D8D0A930}" type="sibTrans" cxnId="{8AE9FB6D-F8F1-F64B-88A4-1EECE4F70D04}">
      <dgm:prSet/>
      <dgm:spPr/>
      <dgm:t>
        <a:bodyPr/>
        <a:lstStyle/>
        <a:p>
          <a:endParaRPr lang="en-US"/>
        </a:p>
      </dgm:t>
    </dgm:pt>
    <dgm:pt modelId="{C60D8548-0A4D-8A4B-A0F7-AF5BDA3903F9}">
      <dgm:prSet custT="1"/>
      <dgm:spPr/>
      <dgm:t>
        <a:bodyPr/>
        <a:lstStyle/>
        <a:p>
          <a:r>
            <a:rPr lang="en-US" sz="900">
              <a:latin typeface="Arial"/>
              <a:cs typeface="Arial"/>
            </a:rPr>
            <a:t>Respectful, good at team working</a:t>
          </a:r>
        </a:p>
      </dgm:t>
    </dgm:pt>
    <dgm:pt modelId="{4B6AE299-AC60-4140-BD16-C7CF4B5AB829}" type="parTrans" cxnId="{05673C87-1B2C-D740-B53A-E2DB69A92FC8}">
      <dgm:prSet/>
      <dgm:spPr/>
      <dgm:t>
        <a:bodyPr/>
        <a:lstStyle/>
        <a:p>
          <a:endParaRPr lang="en-US"/>
        </a:p>
      </dgm:t>
    </dgm:pt>
    <dgm:pt modelId="{09924D04-BFE3-1A40-9FF2-EF3FFBC4B3E4}" type="sibTrans" cxnId="{05673C87-1B2C-D740-B53A-E2DB69A92FC8}">
      <dgm:prSet/>
      <dgm:spPr/>
      <dgm:t>
        <a:bodyPr/>
        <a:lstStyle/>
        <a:p>
          <a:endParaRPr lang="en-US"/>
        </a:p>
      </dgm:t>
    </dgm:pt>
    <dgm:pt modelId="{86FD9D38-9091-8D46-B2CD-E54393C80547}">
      <dgm:prSet custT="1"/>
      <dgm:spPr/>
      <dgm:t>
        <a:bodyPr/>
        <a:lstStyle/>
        <a:p>
          <a:r>
            <a:rPr lang="en-US" sz="900">
              <a:latin typeface="Arial"/>
              <a:cs typeface="Arial"/>
            </a:rPr>
            <a:t>Detailed planner</a:t>
          </a:r>
        </a:p>
      </dgm:t>
    </dgm:pt>
    <dgm:pt modelId="{6BB30E61-5C5A-2949-BF25-CAC4036F1890}" type="parTrans" cxnId="{14A41F88-79AE-CE44-A254-DF65E33F592B}">
      <dgm:prSet/>
      <dgm:spPr/>
      <dgm:t>
        <a:bodyPr/>
        <a:lstStyle/>
        <a:p>
          <a:endParaRPr lang="en-US"/>
        </a:p>
      </dgm:t>
    </dgm:pt>
    <dgm:pt modelId="{05F4CA70-992A-F34E-B8F9-BA4E6F39D5CE}" type="sibTrans" cxnId="{14A41F88-79AE-CE44-A254-DF65E33F592B}">
      <dgm:prSet/>
      <dgm:spPr/>
      <dgm:t>
        <a:bodyPr/>
        <a:lstStyle/>
        <a:p>
          <a:endParaRPr lang="en-US"/>
        </a:p>
      </dgm:t>
    </dgm:pt>
    <dgm:pt modelId="{8DF333C5-6AF2-4147-898A-03E28DD14FA3}">
      <dgm:prSet custT="1"/>
      <dgm:spPr/>
      <dgm:t>
        <a:bodyPr/>
        <a:lstStyle/>
        <a:p>
          <a:r>
            <a:rPr lang="en-US" sz="900">
              <a:latin typeface="Arial"/>
              <a:cs typeface="Arial"/>
            </a:rPr>
            <a:t>Seeks feedback - student and peer, takes responsibility for and responds to it</a:t>
          </a:r>
        </a:p>
      </dgm:t>
    </dgm:pt>
    <dgm:pt modelId="{A27C8CDA-360E-5B42-9F44-54D62AB5F025}" type="parTrans" cxnId="{AB0AACA7-1166-7A4F-9EB3-7F18F3CDD6D6}">
      <dgm:prSet/>
      <dgm:spPr/>
      <dgm:t>
        <a:bodyPr/>
        <a:lstStyle/>
        <a:p>
          <a:endParaRPr lang="en-US"/>
        </a:p>
      </dgm:t>
    </dgm:pt>
    <dgm:pt modelId="{E1CFD05E-CA65-0D4C-AD8E-B6B96F4D38FA}" type="sibTrans" cxnId="{AB0AACA7-1166-7A4F-9EB3-7F18F3CDD6D6}">
      <dgm:prSet/>
      <dgm:spPr/>
      <dgm:t>
        <a:bodyPr/>
        <a:lstStyle/>
        <a:p>
          <a:endParaRPr lang="en-US"/>
        </a:p>
      </dgm:t>
    </dgm:pt>
    <dgm:pt modelId="{4E33783E-83DE-AE4A-8C5D-5DCBE2C37405}">
      <dgm:prSet custT="1"/>
      <dgm:spPr/>
      <dgm:t>
        <a:bodyPr/>
        <a:lstStyle/>
        <a:p>
          <a:r>
            <a:rPr lang="en-US" sz="900">
              <a:latin typeface="Arial"/>
              <a:cs typeface="Arial"/>
            </a:rPr>
            <a:t>Interest in behaviour</a:t>
          </a:r>
        </a:p>
      </dgm:t>
    </dgm:pt>
    <dgm:pt modelId="{A88C5C78-B7D8-9244-8CE7-CF654357B686}" type="parTrans" cxnId="{DA5C9FB4-378B-0640-9480-572AB7F676C4}">
      <dgm:prSet/>
      <dgm:spPr/>
      <dgm:t>
        <a:bodyPr/>
        <a:lstStyle/>
        <a:p>
          <a:endParaRPr lang="en-US"/>
        </a:p>
      </dgm:t>
    </dgm:pt>
    <dgm:pt modelId="{05D59034-E22B-754F-830E-DFDDC3657A43}" type="sibTrans" cxnId="{DA5C9FB4-378B-0640-9480-572AB7F676C4}">
      <dgm:prSet/>
      <dgm:spPr/>
      <dgm:t>
        <a:bodyPr/>
        <a:lstStyle/>
        <a:p>
          <a:endParaRPr lang="en-US"/>
        </a:p>
      </dgm:t>
    </dgm:pt>
    <dgm:pt modelId="{DC65EC11-D9CA-ED47-8E21-568B88D2F055}">
      <dgm:prSet custT="1"/>
      <dgm:spPr/>
      <dgm:t>
        <a:bodyPr/>
        <a:lstStyle/>
        <a:p>
          <a:r>
            <a:rPr lang="en-US" sz="900">
              <a:latin typeface="Arial"/>
              <a:cs typeface="Arial"/>
            </a:rPr>
            <a:t>Interest in complex cognitive processes</a:t>
          </a:r>
        </a:p>
      </dgm:t>
    </dgm:pt>
    <dgm:pt modelId="{84D30E60-D0BB-7549-BEDB-E03F451FA1FE}" type="parTrans" cxnId="{4E56451E-A261-3940-8925-979E8F713AFD}">
      <dgm:prSet/>
      <dgm:spPr/>
      <dgm:t>
        <a:bodyPr/>
        <a:lstStyle/>
        <a:p>
          <a:endParaRPr lang="en-US"/>
        </a:p>
      </dgm:t>
    </dgm:pt>
    <dgm:pt modelId="{5D776035-02E6-8044-B7AB-447C3EF04E89}" type="sibTrans" cxnId="{4E56451E-A261-3940-8925-979E8F713AFD}">
      <dgm:prSet/>
      <dgm:spPr/>
      <dgm:t>
        <a:bodyPr/>
        <a:lstStyle/>
        <a:p>
          <a:endParaRPr lang="en-US"/>
        </a:p>
      </dgm:t>
    </dgm:pt>
    <dgm:pt modelId="{64DE0A4A-6D3E-6E43-8F70-8B04CD6BBFD3}">
      <dgm:prSet custT="1"/>
      <dgm:spPr/>
      <dgm:t>
        <a:bodyPr/>
        <a:lstStyle/>
        <a:p>
          <a:r>
            <a:rPr lang="en-US" sz="900">
              <a:latin typeface="Arial"/>
              <a:cs typeface="Arial"/>
            </a:rPr>
            <a:t>Buy in to simulation as an educational tool - can immerse self and take seriously</a:t>
          </a:r>
        </a:p>
      </dgm:t>
    </dgm:pt>
    <dgm:pt modelId="{635A8DC7-58A9-9148-BFF9-950C8C33EF31}" type="parTrans" cxnId="{2EAFF970-AC72-AE48-A672-E37008123975}">
      <dgm:prSet/>
      <dgm:spPr/>
      <dgm:t>
        <a:bodyPr/>
        <a:lstStyle/>
        <a:p>
          <a:endParaRPr lang="en-US"/>
        </a:p>
      </dgm:t>
    </dgm:pt>
    <dgm:pt modelId="{BCA007DA-7054-1149-A6AA-31076AB8D802}" type="sibTrans" cxnId="{2EAFF970-AC72-AE48-A672-E37008123975}">
      <dgm:prSet/>
      <dgm:spPr/>
      <dgm:t>
        <a:bodyPr/>
        <a:lstStyle/>
        <a:p>
          <a:endParaRPr lang="en-US"/>
        </a:p>
      </dgm:t>
    </dgm:pt>
    <dgm:pt modelId="{D316615D-49B5-9447-B48C-BCA0C6C85623}">
      <dgm:prSet custT="1"/>
      <dgm:spPr/>
      <dgm:t>
        <a:bodyPr/>
        <a:lstStyle/>
        <a:p>
          <a:r>
            <a:rPr lang="en-US" sz="900">
              <a:latin typeface="Arial"/>
              <a:cs typeface="Arial"/>
            </a:rPr>
            <a:t>Detailed planned/ organisational skills</a:t>
          </a:r>
        </a:p>
      </dgm:t>
    </dgm:pt>
    <dgm:pt modelId="{494BFA7B-E8F4-7447-AD7F-B8C7D6700F77}" type="parTrans" cxnId="{B0164F51-9AE0-844B-A0B2-4BFD5A52FD33}">
      <dgm:prSet/>
      <dgm:spPr/>
      <dgm:t>
        <a:bodyPr/>
        <a:lstStyle/>
        <a:p>
          <a:endParaRPr lang="en-US"/>
        </a:p>
      </dgm:t>
    </dgm:pt>
    <dgm:pt modelId="{51717538-B926-B642-8A21-FB6D2F643A2D}" type="sibTrans" cxnId="{B0164F51-9AE0-844B-A0B2-4BFD5A52FD33}">
      <dgm:prSet/>
      <dgm:spPr/>
      <dgm:t>
        <a:bodyPr/>
        <a:lstStyle/>
        <a:p>
          <a:endParaRPr lang="en-US"/>
        </a:p>
      </dgm:t>
    </dgm:pt>
    <dgm:pt modelId="{BB37F59D-46A7-D843-B946-A44CBC86C0E2}">
      <dgm:prSet custT="1"/>
      <dgm:spPr/>
      <dgm:t>
        <a:bodyPr/>
        <a:lstStyle/>
        <a:p>
          <a:r>
            <a:rPr lang="en-US" sz="900">
              <a:latin typeface="Arial"/>
              <a:cs typeface="Arial"/>
            </a:rPr>
            <a:t>Understand and apply educational theory</a:t>
          </a:r>
        </a:p>
      </dgm:t>
    </dgm:pt>
    <dgm:pt modelId="{BA11BC19-9353-9748-879A-D28FADCE3FAE}" type="parTrans" cxnId="{DCC10571-9364-DB46-9C79-960E74F8081B}">
      <dgm:prSet/>
      <dgm:spPr/>
      <dgm:t>
        <a:bodyPr/>
        <a:lstStyle/>
        <a:p>
          <a:endParaRPr lang="en-US"/>
        </a:p>
      </dgm:t>
    </dgm:pt>
    <dgm:pt modelId="{6B5CE08D-B727-6A46-9DE5-ACC95AE769C0}" type="sibTrans" cxnId="{DCC10571-9364-DB46-9C79-960E74F8081B}">
      <dgm:prSet/>
      <dgm:spPr/>
      <dgm:t>
        <a:bodyPr/>
        <a:lstStyle/>
        <a:p>
          <a:endParaRPr lang="en-US"/>
        </a:p>
      </dgm:t>
    </dgm:pt>
    <dgm:pt modelId="{15CC7BBC-F953-D94C-802E-1A8965B44DD9}">
      <dgm:prSet custT="1"/>
      <dgm:spPr/>
      <dgm:t>
        <a:bodyPr/>
        <a:lstStyle/>
        <a:p>
          <a:r>
            <a:rPr lang="en-US" sz="900">
              <a:latin typeface="Arial"/>
              <a:cs typeface="Arial"/>
            </a:rPr>
            <a:t>Debriefing skills</a:t>
          </a:r>
        </a:p>
      </dgm:t>
    </dgm:pt>
    <dgm:pt modelId="{E172DCEB-5841-F648-A324-B4880D72EC11}" type="parTrans" cxnId="{228E7958-A955-F347-9E73-96841990B41B}">
      <dgm:prSet/>
      <dgm:spPr/>
      <dgm:t>
        <a:bodyPr/>
        <a:lstStyle/>
        <a:p>
          <a:endParaRPr lang="en-US"/>
        </a:p>
      </dgm:t>
    </dgm:pt>
    <dgm:pt modelId="{7FF4EB11-3A71-9449-8734-D12C0D715770}" type="sibTrans" cxnId="{228E7958-A955-F347-9E73-96841990B41B}">
      <dgm:prSet/>
      <dgm:spPr/>
      <dgm:t>
        <a:bodyPr/>
        <a:lstStyle/>
        <a:p>
          <a:endParaRPr lang="en-US"/>
        </a:p>
      </dgm:t>
    </dgm:pt>
    <dgm:pt modelId="{4D483224-14C1-2841-924A-7E21E9E25DD6}">
      <dgm:prSet custT="1"/>
      <dgm:spPr/>
      <dgm:t>
        <a:bodyPr/>
        <a:lstStyle/>
        <a:p>
          <a:r>
            <a:rPr lang="en-US" sz="900">
              <a:latin typeface="Arial"/>
              <a:cs typeface="Arial"/>
            </a:rPr>
            <a:t>Credible educator</a:t>
          </a:r>
        </a:p>
      </dgm:t>
    </dgm:pt>
    <dgm:pt modelId="{A10A3C38-9A01-414A-A622-C5D38E182003}" type="parTrans" cxnId="{93E86ECC-EE23-274D-A257-BD3487B40C64}">
      <dgm:prSet/>
      <dgm:spPr/>
      <dgm:t>
        <a:bodyPr/>
        <a:lstStyle/>
        <a:p>
          <a:endParaRPr lang="en-US"/>
        </a:p>
      </dgm:t>
    </dgm:pt>
    <dgm:pt modelId="{BD10D6A5-9278-404F-86D4-74D5F0B9CB39}" type="sibTrans" cxnId="{93E86ECC-EE23-274D-A257-BD3487B40C64}">
      <dgm:prSet/>
      <dgm:spPr/>
      <dgm:t>
        <a:bodyPr/>
        <a:lstStyle/>
        <a:p>
          <a:endParaRPr lang="en-US"/>
        </a:p>
      </dgm:t>
    </dgm:pt>
    <dgm:pt modelId="{F3FC46C8-B638-E444-8B1D-3ACC627E4255}">
      <dgm:prSet custT="1"/>
      <dgm:spPr/>
      <dgm:t>
        <a:bodyPr/>
        <a:lstStyle/>
        <a:p>
          <a:r>
            <a:rPr lang="en-US" sz="900">
              <a:latin typeface="Arial"/>
              <a:cs typeface="Arial"/>
            </a:rPr>
            <a:t>Classroom management skills</a:t>
          </a:r>
        </a:p>
      </dgm:t>
    </dgm:pt>
    <dgm:pt modelId="{7E00A3A1-AFF9-8B49-A22D-A0339C2A07B8}" type="parTrans" cxnId="{9CC273A2-ADB1-6B42-8DDD-A9ACE47FE23D}">
      <dgm:prSet/>
      <dgm:spPr/>
      <dgm:t>
        <a:bodyPr/>
        <a:lstStyle/>
        <a:p>
          <a:endParaRPr lang="en-US"/>
        </a:p>
      </dgm:t>
    </dgm:pt>
    <dgm:pt modelId="{B5421C51-D858-A841-94AD-2AAB109D67ED}" type="sibTrans" cxnId="{9CC273A2-ADB1-6B42-8DDD-A9ACE47FE23D}">
      <dgm:prSet/>
      <dgm:spPr/>
      <dgm:t>
        <a:bodyPr/>
        <a:lstStyle/>
        <a:p>
          <a:endParaRPr lang="en-US"/>
        </a:p>
      </dgm:t>
    </dgm:pt>
    <dgm:pt modelId="{B94CCC65-E0FB-7948-9D4E-3AF6A8A5BC36}">
      <dgm:prSet custT="1"/>
      <dgm:spPr/>
      <dgm:t>
        <a:bodyPr/>
        <a:lstStyle/>
        <a:p>
          <a:r>
            <a:rPr lang="en-US" sz="900">
              <a:latin typeface="Arial"/>
              <a:cs typeface="Arial"/>
            </a:rPr>
            <a:t>Embrace environement </a:t>
          </a:r>
        </a:p>
      </dgm:t>
    </dgm:pt>
    <dgm:pt modelId="{94812CB1-DDD5-CE4A-A55C-519D24512A62}" type="parTrans" cxnId="{B14699CE-3B0D-EB48-9075-DD388EC41B0F}">
      <dgm:prSet/>
      <dgm:spPr/>
      <dgm:t>
        <a:bodyPr/>
        <a:lstStyle/>
        <a:p>
          <a:endParaRPr lang="en-US"/>
        </a:p>
      </dgm:t>
    </dgm:pt>
    <dgm:pt modelId="{47EFAA8A-2416-B649-A558-090FC87F9B38}" type="sibTrans" cxnId="{B14699CE-3B0D-EB48-9075-DD388EC41B0F}">
      <dgm:prSet/>
      <dgm:spPr/>
      <dgm:t>
        <a:bodyPr/>
        <a:lstStyle/>
        <a:p>
          <a:endParaRPr lang="en-US"/>
        </a:p>
      </dgm:t>
    </dgm:pt>
    <dgm:pt modelId="{D45E6474-5A79-C741-B127-FC7C1CB4111E}">
      <dgm:prSet custT="1"/>
      <dgm:spPr/>
      <dgm:t>
        <a:bodyPr/>
        <a:lstStyle/>
        <a:p>
          <a:r>
            <a:rPr lang="en-US" sz="900">
              <a:latin typeface="Arial"/>
              <a:cs typeface="Arial"/>
            </a:rPr>
            <a:t>Ability to multitask effectively and bring in Human factors education</a:t>
          </a:r>
        </a:p>
      </dgm:t>
    </dgm:pt>
    <dgm:pt modelId="{939A423F-1880-DC4B-8808-A7C1F85D63DF}" type="parTrans" cxnId="{48FC3D4C-7A13-8743-B3AD-2DE0BC8A4E59}">
      <dgm:prSet/>
      <dgm:spPr/>
      <dgm:t>
        <a:bodyPr/>
        <a:lstStyle/>
        <a:p>
          <a:endParaRPr lang="en-US"/>
        </a:p>
      </dgm:t>
    </dgm:pt>
    <dgm:pt modelId="{FF833C53-C5BD-C040-A55F-394C5BFE15B1}" type="sibTrans" cxnId="{48FC3D4C-7A13-8743-B3AD-2DE0BC8A4E59}">
      <dgm:prSet/>
      <dgm:spPr/>
      <dgm:t>
        <a:bodyPr/>
        <a:lstStyle/>
        <a:p>
          <a:endParaRPr lang="en-US"/>
        </a:p>
      </dgm:t>
    </dgm:pt>
    <dgm:pt modelId="{DED5F1EA-2049-D34E-98F4-ABBF4893E6A5}">
      <dgm:prSet custT="1"/>
      <dgm:spPr/>
      <dgm:t>
        <a:bodyPr/>
        <a:lstStyle/>
        <a:p>
          <a:r>
            <a:rPr lang="en-US" sz="900">
              <a:latin typeface="Arial"/>
              <a:cs typeface="Arial"/>
            </a:rPr>
            <a:t>Technology skills and team working skills to work with technicans effectively</a:t>
          </a:r>
        </a:p>
      </dgm:t>
    </dgm:pt>
    <dgm:pt modelId="{ADB1392B-64AE-2543-BFEF-C5FD18B568FE}" type="parTrans" cxnId="{E8B000FF-ABFE-5147-AAA9-348752F0FAA9}">
      <dgm:prSet/>
      <dgm:spPr/>
      <dgm:t>
        <a:bodyPr/>
        <a:lstStyle/>
        <a:p>
          <a:endParaRPr lang="en-US"/>
        </a:p>
      </dgm:t>
    </dgm:pt>
    <dgm:pt modelId="{520A89D1-C317-DD42-BFF7-809F3E5AA368}" type="sibTrans" cxnId="{E8B000FF-ABFE-5147-AAA9-348752F0FAA9}">
      <dgm:prSet/>
      <dgm:spPr/>
      <dgm:t>
        <a:bodyPr/>
        <a:lstStyle/>
        <a:p>
          <a:endParaRPr lang="en-US"/>
        </a:p>
      </dgm:t>
    </dgm:pt>
    <dgm:pt modelId="{6F5DEF30-7968-AD4C-9A5F-267D57E25D4C}">
      <dgm:prSet custT="1"/>
      <dgm:spPr/>
      <dgm:t>
        <a:bodyPr/>
        <a:lstStyle/>
        <a:p>
          <a:r>
            <a:rPr lang="en-US" sz="900">
              <a:latin typeface="Arial"/>
              <a:cs typeface="Arial"/>
            </a:rPr>
            <a:t>Of technology appropriate to kit - functionality and limitations</a:t>
          </a:r>
        </a:p>
      </dgm:t>
    </dgm:pt>
    <dgm:pt modelId="{52A23505-7645-EB41-BD59-AF1FEFFFCAF3}" type="parTrans" cxnId="{BB8A1534-3F0E-6948-B6CA-B2BF21595A72}">
      <dgm:prSet/>
      <dgm:spPr/>
      <dgm:t>
        <a:bodyPr/>
        <a:lstStyle/>
        <a:p>
          <a:endParaRPr lang="en-US"/>
        </a:p>
      </dgm:t>
    </dgm:pt>
    <dgm:pt modelId="{0A69BA96-7BFD-F145-A2C7-504CBD339F12}" type="sibTrans" cxnId="{BB8A1534-3F0E-6948-B6CA-B2BF21595A72}">
      <dgm:prSet/>
      <dgm:spPr/>
      <dgm:t>
        <a:bodyPr/>
        <a:lstStyle/>
        <a:p>
          <a:endParaRPr lang="en-US"/>
        </a:p>
      </dgm:t>
    </dgm:pt>
    <dgm:pt modelId="{0C086CE0-DEBB-4D4E-A67F-6CBE98FA449E}">
      <dgm:prSet custT="1"/>
      <dgm:spPr/>
      <dgm:t>
        <a:bodyPr/>
        <a:lstStyle/>
        <a:p>
          <a:r>
            <a:rPr lang="en-US" sz="900">
              <a:latin typeface="Arial"/>
              <a:cs typeface="Arial"/>
            </a:rPr>
            <a:t>Methods to plan, and facilitate educational sessions</a:t>
          </a:r>
        </a:p>
      </dgm:t>
    </dgm:pt>
    <dgm:pt modelId="{F64763A2-673F-484B-A7DE-94454963838A}" type="parTrans" cxnId="{3392D17D-5E99-0247-9660-E2C9C5748AB1}">
      <dgm:prSet/>
      <dgm:spPr/>
      <dgm:t>
        <a:bodyPr/>
        <a:lstStyle/>
        <a:p>
          <a:endParaRPr lang="en-US"/>
        </a:p>
      </dgm:t>
    </dgm:pt>
    <dgm:pt modelId="{1BCA113B-D5EF-FC46-8C8E-06ECFAC49BF1}" type="sibTrans" cxnId="{3392D17D-5E99-0247-9660-E2C9C5748AB1}">
      <dgm:prSet/>
      <dgm:spPr/>
      <dgm:t>
        <a:bodyPr/>
        <a:lstStyle/>
        <a:p>
          <a:endParaRPr lang="en-US"/>
        </a:p>
      </dgm:t>
    </dgm:pt>
    <dgm:pt modelId="{371AA0E0-14A2-3241-8BE8-1873404B5A89}">
      <dgm:prSet custT="1"/>
      <dgm:spPr/>
      <dgm:t>
        <a:bodyPr/>
        <a:lstStyle/>
        <a:p>
          <a:r>
            <a:rPr lang="en-US" sz="900">
              <a:latin typeface="Arial"/>
              <a:cs typeface="Arial"/>
            </a:rPr>
            <a:t>Can have fun/ enjoy sessions</a:t>
          </a:r>
        </a:p>
      </dgm:t>
    </dgm:pt>
    <dgm:pt modelId="{4440AEF1-2E7C-7540-BDA6-7892EFEE454D}" type="parTrans" cxnId="{354D0094-B872-5D49-AC6D-D7880668D087}">
      <dgm:prSet/>
      <dgm:spPr/>
      <dgm:t>
        <a:bodyPr/>
        <a:lstStyle/>
        <a:p>
          <a:endParaRPr lang="en-US"/>
        </a:p>
      </dgm:t>
    </dgm:pt>
    <dgm:pt modelId="{4125F7A4-E381-F34E-9C17-65AE429A6B90}" type="sibTrans" cxnId="{354D0094-B872-5D49-AC6D-D7880668D087}">
      <dgm:prSet/>
      <dgm:spPr/>
      <dgm:t>
        <a:bodyPr/>
        <a:lstStyle/>
        <a:p>
          <a:endParaRPr lang="en-US"/>
        </a:p>
      </dgm:t>
    </dgm:pt>
    <dgm:pt modelId="{2C2D1181-8327-F940-A6F0-4CA0A6B35DA8}">
      <dgm:prSet custT="1"/>
      <dgm:spPr/>
      <dgm:t>
        <a:bodyPr/>
        <a:lstStyle/>
        <a:p>
          <a:r>
            <a:rPr lang="en-US" sz="900">
              <a:latin typeface="Arial"/>
              <a:cs typeface="Arial"/>
            </a:rPr>
            <a:t>Credible clinically</a:t>
          </a:r>
        </a:p>
      </dgm:t>
    </dgm:pt>
    <dgm:pt modelId="{417B9DB5-98C3-9B4B-8532-F7AAB1D186CA}" type="sibTrans" cxnId="{35E2EDA8-E1A2-8F46-ADF4-1A2607FA4F4C}">
      <dgm:prSet/>
      <dgm:spPr/>
      <dgm:t>
        <a:bodyPr/>
        <a:lstStyle/>
        <a:p>
          <a:endParaRPr lang="en-US"/>
        </a:p>
      </dgm:t>
    </dgm:pt>
    <dgm:pt modelId="{C5C16243-5E0C-DE48-87E5-BBF83157C7F9}" type="parTrans" cxnId="{35E2EDA8-E1A2-8F46-ADF4-1A2607FA4F4C}">
      <dgm:prSet/>
      <dgm:spPr/>
      <dgm:t>
        <a:bodyPr/>
        <a:lstStyle/>
        <a:p>
          <a:endParaRPr lang="en-US"/>
        </a:p>
      </dgm:t>
    </dgm:pt>
    <dgm:pt modelId="{4560B383-702D-7842-85FE-2BE643AEB8FF}">
      <dgm:prSet custT="1"/>
      <dgm:spPr/>
      <dgm:t>
        <a:bodyPr/>
        <a:lstStyle/>
        <a:p>
          <a:r>
            <a:rPr lang="en-US" sz="900">
              <a:latin typeface="Arial"/>
              <a:cs typeface="Arial"/>
            </a:rPr>
            <a:t>Understands how to appropriately challenge medical hierarchy for patient safety</a:t>
          </a:r>
        </a:p>
      </dgm:t>
    </dgm:pt>
    <dgm:pt modelId="{C68B6689-2A2E-634F-9362-E6211588E280}" type="sibTrans" cxnId="{DCE21403-7B98-604B-9C9A-F0F152004CE2}">
      <dgm:prSet/>
      <dgm:spPr/>
      <dgm:t>
        <a:bodyPr/>
        <a:lstStyle/>
        <a:p>
          <a:endParaRPr lang="en-US"/>
        </a:p>
      </dgm:t>
    </dgm:pt>
    <dgm:pt modelId="{71861B02-1688-8640-A841-BF45C03A38A1}" type="parTrans" cxnId="{DCE21403-7B98-604B-9C9A-F0F152004CE2}">
      <dgm:prSet/>
      <dgm:spPr/>
      <dgm:t>
        <a:bodyPr/>
        <a:lstStyle/>
        <a:p>
          <a:endParaRPr lang="en-US"/>
        </a:p>
      </dgm:t>
    </dgm:pt>
    <dgm:pt modelId="{5E107223-7A90-D54D-BADC-90B3BC44E1AF}">
      <dgm:prSet custT="1"/>
      <dgm:spPr/>
      <dgm:t>
        <a:bodyPr/>
        <a:lstStyle/>
        <a:p>
          <a:r>
            <a:rPr lang="en-US" sz="900">
              <a:latin typeface="Arial"/>
              <a:cs typeface="Arial"/>
            </a:rPr>
            <a:t>Understands influence of medical hierarchy on behaviour</a:t>
          </a:r>
        </a:p>
      </dgm:t>
    </dgm:pt>
    <dgm:pt modelId="{C4AE5E28-DDDD-E547-A8F7-7F9FAFCAD33D}" type="sibTrans" cxnId="{DBD58EA1-EC85-634B-82D7-982D38846D6F}">
      <dgm:prSet/>
      <dgm:spPr/>
      <dgm:t>
        <a:bodyPr/>
        <a:lstStyle/>
        <a:p>
          <a:endParaRPr lang="en-US"/>
        </a:p>
      </dgm:t>
    </dgm:pt>
    <dgm:pt modelId="{E7BFEBA8-125B-9242-9256-ADD75BCF50D0}" type="parTrans" cxnId="{DBD58EA1-EC85-634B-82D7-982D38846D6F}">
      <dgm:prSet/>
      <dgm:spPr/>
      <dgm:t>
        <a:bodyPr/>
        <a:lstStyle/>
        <a:p>
          <a:endParaRPr lang="en-US"/>
        </a:p>
      </dgm:t>
    </dgm:pt>
    <dgm:pt modelId="{D7F972D8-0DA7-C247-9540-8D4A6A2E92E4}">
      <dgm:prSet custT="1"/>
      <dgm:spPr/>
      <dgm:t>
        <a:bodyPr/>
        <a:lstStyle/>
        <a:p>
          <a:r>
            <a:rPr lang="en-US" sz="900">
              <a:latin typeface="Arial"/>
              <a:cs typeface="Arial"/>
            </a:rPr>
            <a:t>Understands and has experience of clinical environment and pressures</a:t>
          </a:r>
        </a:p>
      </dgm:t>
    </dgm:pt>
    <dgm:pt modelId="{97208609-A352-D64B-8AF5-9369A5D7F445}" type="sibTrans" cxnId="{71606DF3-3E6E-B446-8B33-E51562667EB1}">
      <dgm:prSet/>
      <dgm:spPr/>
      <dgm:t>
        <a:bodyPr/>
        <a:lstStyle/>
        <a:p>
          <a:endParaRPr lang="en-US"/>
        </a:p>
      </dgm:t>
    </dgm:pt>
    <dgm:pt modelId="{410C7952-ECDD-8B4E-AE66-33F254C047C9}" type="parTrans" cxnId="{71606DF3-3E6E-B446-8B33-E51562667EB1}">
      <dgm:prSet/>
      <dgm:spPr/>
      <dgm:t>
        <a:bodyPr/>
        <a:lstStyle/>
        <a:p>
          <a:endParaRPr lang="en-US"/>
        </a:p>
      </dgm:t>
    </dgm:pt>
    <dgm:pt modelId="{89B43CCE-8C44-7B41-853E-E23CFE81509D}">
      <dgm:prSet custT="1"/>
      <dgm:spPr/>
      <dgm:t>
        <a:bodyPr/>
        <a:lstStyle/>
        <a:p>
          <a:r>
            <a:rPr lang="en-US" sz="900">
              <a:latin typeface="Arial"/>
              <a:cs typeface="Arial"/>
            </a:rPr>
            <a:t>Can share own mistakes </a:t>
          </a:r>
        </a:p>
      </dgm:t>
    </dgm:pt>
    <dgm:pt modelId="{3E6BB805-ABC0-2A4C-8D0B-2545B58E3372}" type="sibTrans" cxnId="{DFA737A8-4128-084D-A5A9-FC2A5DA4C1BC}">
      <dgm:prSet/>
      <dgm:spPr/>
      <dgm:t>
        <a:bodyPr/>
        <a:lstStyle/>
        <a:p>
          <a:endParaRPr lang="en-US"/>
        </a:p>
      </dgm:t>
    </dgm:pt>
    <dgm:pt modelId="{EAFFB4F4-1B87-304D-AA97-EC832BB8E4EE}" type="parTrans" cxnId="{DFA737A8-4128-084D-A5A9-FC2A5DA4C1BC}">
      <dgm:prSet/>
      <dgm:spPr/>
      <dgm:t>
        <a:bodyPr/>
        <a:lstStyle/>
        <a:p>
          <a:endParaRPr lang="en-US"/>
        </a:p>
      </dgm:t>
    </dgm:pt>
    <dgm:pt modelId="{EDEA63C8-3202-034D-94A8-542347B34DD4}">
      <dgm:prSet custT="1"/>
      <dgm:spPr/>
      <dgm:t>
        <a:bodyPr/>
        <a:lstStyle/>
        <a:p>
          <a:r>
            <a:rPr lang="en-US" sz="900">
              <a:latin typeface="Arial"/>
              <a:cs typeface="Arial"/>
            </a:rPr>
            <a:t>Can share aneccdotes </a:t>
          </a:r>
        </a:p>
      </dgm:t>
    </dgm:pt>
    <dgm:pt modelId="{F96871F0-602B-AE40-BF66-1DA02886ED96}" type="sibTrans" cxnId="{234BADC3-C787-FB48-BC27-E3261D6E04CF}">
      <dgm:prSet/>
      <dgm:spPr/>
      <dgm:t>
        <a:bodyPr/>
        <a:lstStyle/>
        <a:p>
          <a:endParaRPr lang="en-US"/>
        </a:p>
      </dgm:t>
    </dgm:pt>
    <dgm:pt modelId="{F04259B3-63E0-8244-BC69-D0E609C31CE8}" type="parTrans" cxnId="{234BADC3-C787-FB48-BC27-E3261D6E04CF}">
      <dgm:prSet/>
      <dgm:spPr/>
      <dgm:t>
        <a:bodyPr/>
        <a:lstStyle/>
        <a:p>
          <a:endParaRPr lang="en-US"/>
        </a:p>
      </dgm:t>
    </dgm:pt>
    <dgm:pt modelId="{D8087FCA-FE72-5C4B-BB4C-9BF58A3D029F}" type="pres">
      <dgm:prSet presAssocID="{67AB01C4-B960-3848-952B-A330EF23FEE1}" presName="diagram" presStyleCnt="0">
        <dgm:presLayoutVars>
          <dgm:chMax val="1"/>
          <dgm:dir/>
          <dgm:animLvl val="ctr"/>
          <dgm:resizeHandles val="exact"/>
        </dgm:presLayoutVars>
      </dgm:prSet>
      <dgm:spPr/>
    </dgm:pt>
    <dgm:pt modelId="{0F2A4B6A-CA73-844C-BB05-A692A970883F}" type="pres">
      <dgm:prSet presAssocID="{67AB01C4-B960-3848-952B-A330EF23FEE1}" presName="matrix" presStyleCnt="0"/>
      <dgm:spPr/>
    </dgm:pt>
    <dgm:pt modelId="{709B1105-81AC-7B4F-9E01-591F92D94AC6}" type="pres">
      <dgm:prSet presAssocID="{67AB01C4-B960-3848-952B-A330EF23FEE1}" presName="tile1" presStyleLbl="node1" presStyleIdx="0" presStyleCnt="4"/>
      <dgm:spPr/>
    </dgm:pt>
    <dgm:pt modelId="{A3044B6B-E295-274F-8BAC-12A6F370E72E}" type="pres">
      <dgm:prSet presAssocID="{67AB01C4-B960-3848-952B-A330EF23FEE1}" presName="tile1text" presStyleLbl="node1" presStyleIdx="0" presStyleCnt="4">
        <dgm:presLayoutVars>
          <dgm:chMax val="0"/>
          <dgm:chPref val="0"/>
          <dgm:bulletEnabled val="1"/>
        </dgm:presLayoutVars>
      </dgm:prSet>
      <dgm:spPr/>
    </dgm:pt>
    <dgm:pt modelId="{02C43817-0DE6-814B-8F61-4FDD3FB78E26}" type="pres">
      <dgm:prSet presAssocID="{67AB01C4-B960-3848-952B-A330EF23FEE1}" presName="tile2" presStyleLbl="node1" presStyleIdx="1" presStyleCnt="4"/>
      <dgm:spPr/>
    </dgm:pt>
    <dgm:pt modelId="{D615CB31-C2A0-554D-8B3D-6CE88C8E641B}" type="pres">
      <dgm:prSet presAssocID="{67AB01C4-B960-3848-952B-A330EF23FEE1}" presName="tile2text" presStyleLbl="node1" presStyleIdx="1" presStyleCnt="4">
        <dgm:presLayoutVars>
          <dgm:chMax val="0"/>
          <dgm:chPref val="0"/>
          <dgm:bulletEnabled val="1"/>
        </dgm:presLayoutVars>
      </dgm:prSet>
      <dgm:spPr/>
    </dgm:pt>
    <dgm:pt modelId="{076895CF-09DD-3046-95F9-A342E8B17689}" type="pres">
      <dgm:prSet presAssocID="{67AB01C4-B960-3848-952B-A330EF23FEE1}" presName="tile3" presStyleLbl="node1" presStyleIdx="2" presStyleCnt="4"/>
      <dgm:spPr/>
    </dgm:pt>
    <dgm:pt modelId="{BD553E30-F3CC-2B4E-88E0-A2687AE41342}" type="pres">
      <dgm:prSet presAssocID="{67AB01C4-B960-3848-952B-A330EF23FEE1}" presName="tile3text" presStyleLbl="node1" presStyleIdx="2" presStyleCnt="4">
        <dgm:presLayoutVars>
          <dgm:chMax val="0"/>
          <dgm:chPref val="0"/>
          <dgm:bulletEnabled val="1"/>
        </dgm:presLayoutVars>
      </dgm:prSet>
      <dgm:spPr/>
    </dgm:pt>
    <dgm:pt modelId="{F06F934E-0424-244F-824E-33FB505305BF}" type="pres">
      <dgm:prSet presAssocID="{67AB01C4-B960-3848-952B-A330EF23FEE1}" presName="tile4" presStyleLbl="node1" presStyleIdx="3" presStyleCnt="4"/>
      <dgm:spPr/>
    </dgm:pt>
    <dgm:pt modelId="{FA37796B-4ADB-C347-B903-8B9FE9C3BB0A}" type="pres">
      <dgm:prSet presAssocID="{67AB01C4-B960-3848-952B-A330EF23FEE1}" presName="tile4text" presStyleLbl="node1" presStyleIdx="3" presStyleCnt="4">
        <dgm:presLayoutVars>
          <dgm:chMax val="0"/>
          <dgm:chPref val="0"/>
          <dgm:bulletEnabled val="1"/>
        </dgm:presLayoutVars>
      </dgm:prSet>
      <dgm:spPr/>
    </dgm:pt>
    <dgm:pt modelId="{22B933E5-9801-834F-9F31-D667939739E5}" type="pres">
      <dgm:prSet presAssocID="{67AB01C4-B960-3848-952B-A330EF23FEE1}" presName="centerTile" presStyleLbl="fgShp" presStyleIdx="0" presStyleCnt="1">
        <dgm:presLayoutVars>
          <dgm:chMax val="0"/>
          <dgm:chPref val="0"/>
        </dgm:presLayoutVars>
      </dgm:prSet>
      <dgm:spPr/>
    </dgm:pt>
  </dgm:ptLst>
  <dgm:cxnLst>
    <dgm:cxn modelId="{DCE21403-7B98-604B-9C9A-F0F152004CE2}" srcId="{51FAA802-9292-9F47-A83E-0EF2189AC34C}" destId="{4560B383-702D-7842-85FE-2BE643AEB8FF}" srcOrd="4" destOrd="0" parTransId="{71861B02-1688-8640-A841-BF45C03A38A1}" sibTransId="{C68B6689-2A2E-634F-9362-E6211588E280}"/>
    <dgm:cxn modelId="{17419F07-B7C1-764D-BB0C-8C985141BED7}" srcId="{C0AD8E9C-91B4-4948-8468-C5018316AB8A}" destId="{0AD0B882-7B68-EB4C-AD76-DB71D414B0BA}" srcOrd="0" destOrd="0" parTransId="{0EFAFC42-524E-0C45-A436-9F2FDE9B2728}" sibTransId="{DDA58B27-D64D-9743-A6EE-1FE604B3A7DF}"/>
    <dgm:cxn modelId="{7BC78612-1604-0E49-B331-3EBF36F00500}" type="presOf" srcId="{3FDD1103-AFB8-D54C-9293-68A39C7E73F2}" destId="{709B1105-81AC-7B4F-9E01-591F92D94AC6}" srcOrd="0" destOrd="5" presId="urn:microsoft.com/office/officeart/2005/8/layout/matrix1"/>
    <dgm:cxn modelId="{6DA72413-214C-EA44-A099-A4534A43BC8B}" srcId="{338B4FC4-64F6-AC4D-B5C1-560D4458C31F}" destId="{114DC25F-3F0E-B34D-967F-FC980D84D2C3}" srcOrd="3" destOrd="0" parTransId="{DB366796-8376-7843-88F9-4DAE054E1519}" sibTransId="{D44C50B8-40E0-8C4A-9C8C-B747CB851860}"/>
    <dgm:cxn modelId="{2F773514-CA8F-6A42-AC08-0118AF191684}" type="presOf" srcId="{4D483224-14C1-2841-924A-7E21E9E25DD6}" destId="{F06F934E-0424-244F-824E-33FB505305BF}" srcOrd="0" destOrd="7" presId="urn:microsoft.com/office/officeart/2005/8/layout/matrix1"/>
    <dgm:cxn modelId="{68DEC114-5139-4340-8F1B-CA0DED5EE728}" type="presOf" srcId="{89B43CCE-8C44-7B41-853E-E23CFE81509D}" destId="{076895CF-09DD-3046-95F9-A342E8B17689}" srcOrd="0" destOrd="2" presId="urn:microsoft.com/office/officeart/2005/8/layout/matrix1"/>
    <dgm:cxn modelId="{93320616-68E5-3046-A64D-742493BC6537}" type="presOf" srcId="{D7F972D8-0DA7-C247-9540-8D4A6A2E92E4}" destId="{BD553E30-F3CC-2B4E-88E0-A2687AE41342}" srcOrd="1" destOrd="3" presId="urn:microsoft.com/office/officeart/2005/8/layout/matrix1"/>
    <dgm:cxn modelId="{F0691B1A-7878-4E4B-8CA6-70170D55707A}" type="presOf" srcId="{8DF333C5-6AF2-4147-898A-03E28DD14FA3}" destId="{02C43817-0DE6-814B-8F61-4FDD3FB78E26}" srcOrd="0" destOrd="10" presId="urn:microsoft.com/office/officeart/2005/8/layout/matrix1"/>
    <dgm:cxn modelId="{5F09511C-B33C-5546-82BB-445D287350A1}" type="presOf" srcId="{67AB01C4-B960-3848-952B-A330EF23FEE1}" destId="{D8087FCA-FE72-5C4B-BB4C-9BF58A3D029F}" srcOrd="0" destOrd="0" presId="urn:microsoft.com/office/officeart/2005/8/layout/matrix1"/>
    <dgm:cxn modelId="{1082C11D-6A98-9343-A4EE-EC87B5F45F39}" type="presOf" srcId="{15CC7BBC-F953-D94C-802E-1A8965B44DD9}" destId="{FA37796B-4ADB-C347-B903-8B9FE9C3BB0A}" srcOrd="1" destOrd="6" presId="urn:microsoft.com/office/officeart/2005/8/layout/matrix1"/>
    <dgm:cxn modelId="{4E56451E-A261-3940-8925-979E8F713AFD}" srcId="{114DC25F-3F0E-B34D-967F-FC980D84D2C3}" destId="{DC65EC11-D9CA-ED47-8E21-568B88D2F055}" srcOrd="1" destOrd="0" parTransId="{84D30E60-D0BB-7549-BEDB-E03F451FA1FE}" sibTransId="{5D776035-02E6-8044-B7AB-447C3EF04E89}"/>
    <dgm:cxn modelId="{0CF4451F-65F6-AE42-BD86-2B789D8649BA}" srcId="{C0AD8E9C-91B4-4948-8468-C5018316AB8A}" destId="{43775053-321D-C047-9B0E-A70976F2FB75}" srcOrd="5" destOrd="0" parTransId="{1BA14F87-13FD-F249-AD54-3F20C33C6FA0}" sibTransId="{728645A5-641C-B24E-AECB-B0C1B21D38C5}"/>
    <dgm:cxn modelId="{FA8EAF1F-A8AF-6941-9D91-0716D3E9273F}" type="presOf" srcId="{4E33783E-83DE-AE4A-8C5D-5DCBE2C37405}" destId="{F06F934E-0424-244F-824E-33FB505305BF}" srcOrd="0" destOrd="1" presId="urn:microsoft.com/office/officeart/2005/8/layout/matrix1"/>
    <dgm:cxn modelId="{78BAE920-25DC-F544-9792-3732D5DF83DA}" type="presOf" srcId="{0AD0B882-7B68-EB4C-AD76-DB71D414B0BA}" destId="{D615CB31-C2A0-554D-8B3D-6CE88C8E641B}" srcOrd="1" destOrd="1" presId="urn:microsoft.com/office/officeart/2005/8/layout/matrix1"/>
    <dgm:cxn modelId="{6A7E9321-998D-DE4B-B539-761D279A35B2}" srcId="{338B4FC4-64F6-AC4D-B5C1-560D4458C31F}" destId="{51FAA802-9292-9F47-A83E-0EF2189AC34C}" srcOrd="2" destOrd="0" parTransId="{E115CD09-46CD-8340-B793-A0A36E95D21D}" sibTransId="{90B183DB-2CB4-0F4E-BF17-ED5EC157620F}"/>
    <dgm:cxn modelId="{62ACC723-93FB-0C4E-B3CC-BE2B38F31AF4}" type="presOf" srcId="{C60D8548-0A4D-8A4B-A0F7-AF5BDA3903F9}" destId="{D615CB31-C2A0-554D-8B3D-6CE88C8E641B}" srcOrd="1" destOrd="8" presId="urn:microsoft.com/office/officeart/2005/8/layout/matrix1"/>
    <dgm:cxn modelId="{88AC9E26-7079-7047-9812-C1A3648E5BAB}" type="presOf" srcId="{B94CCC65-E0FB-7948-9D4E-3AF6A8A5BC36}" destId="{FA37796B-4ADB-C347-B903-8B9FE9C3BB0A}" srcOrd="1" destOrd="9" presId="urn:microsoft.com/office/officeart/2005/8/layout/matrix1"/>
    <dgm:cxn modelId="{5F75F42E-E7CE-164A-855E-9629DF218E5E}" srcId="{B8C38EEC-9CCA-A24E-A4D1-05D5531C23E9}" destId="{0B92D3C9-3F5B-AB4C-8EE6-BF2B61B7FCAB}" srcOrd="2" destOrd="0" parTransId="{E78AA768-3696-BF4D-BA91-43AB336161BD}" sibTransId="{A9BE0007-1182-C54C-A867-FE82311FF59F}"/>
    <dgm:cxn modelId="{C408B230-D687-E345-8E67-373DABAA1329}" type="presOf" srcId="{0C086CE0-DEBB-4D4E-A67F-6CBE98FA449E}" destId="{A3044B6B-E295-274F-8BAC-12A6F370E72E}" srcOrd="1" destOrd="7" presId="urn:microsoft.com/office/officeart/2005/8/layout/matrix1"/>
    <dgm:cxn modelId="{04FC7F32-899E-7E40-8275-E23407BFBAD7}" type="presOf" srcId="{B8C38EEC-9CCA-A24E-A4D1-05D5531C23E9}" destId="{709B1105-81AC-7B4F-9E01-591F92D94AC6}" srcOrd="0" destOrd="0" presId="urn:microsoft.com/office/officeart/2005/8/layout/matrix1"/>
    <dgm:cxn modelId="{BB8A1534-3F0E-6948-B6CA-B2BF21595A72}" srcId="{B8C38EEC-9CCA-A24E-A4D1-05D5531C23E9}" destId="{6F5DEF30-7968-AD4C-9A5F-267D57E25D4C}" srcOrd="5" destOrd="0" parTransId="{52A23505-7645-EB41-BD59-AF1FEFFFCAF3}" sibTransId="{0A69BA96-7BFD-F145-A2C7-504CBD339F12}"/>
    <dgm:cxn modelId="{49C47136-2C16-3E49-80E9-4E01968D5C7E}" type="presOf" srcId="{43775053-321D-C047-9B0E-A70976F2FB75}" destId="{D615CB31-C2A0-554D-8B3D-6CE88C8E641B}" srcOrd="1" destOrd="6" presId="urn:microsoft.com/office/officeart/2005/8/layout/matrix1"/>
    <dgm:cxn modelId="{6CDB9A36-2EFB-9A4A-8D22-E2B4D2CB046A}" type="presOf" srcId="{4E33783E-83DE-AE4A-8C5D-5DCBE2C37405}" destId="{FA37796B-4ADB-C347-B903-8B9FE9C3BB0A}" srcOrd="1" destOrd="1" presId="urn:microsoft.com/office/officeart/2005/8/layout/matrix1"/>
    <dgm:cxn modelId="{27CD9739-FE02-4447-AC0D-F4A2A7F6697B}" srcId="{C0AD8E9C-91B4-4948-8468-C5018316AB8A}" destId="{2D8DDC1B-0827-1348-B98B-36B7D7FFEBEF}" srcOrd="1" destOrd="0" parTransId="{012187B1-FA9D-A14D-ABA2-DBB481F76D8C}" sibTransId="{677E788C-3141-C042-8124-CF214539D920}"/>
    <dgm:cxn modelId="{075F4D3C-B38F-2542-9B59-A39DDA08DE71}" type="presOf" srcId="{D316615D-49B5-9447-B48C-BCA0C6C85623}" destId="{FA37796B-4ADB-C347-B903-8B9FE9C3BB0A}" srcOrd="1" destOrd="4" presId="urn:microsoft.com/office/officeart/2005/8/layout/matrix1"/>
    <dgm:cxn modelId="{BA14BE3C-0D02-FC49-940A-5552E42AD0E8}" type="presOf" srcId="{2D8DDC1B-0827-1348-B98B-36B7D7FFEBEF}" destId="{02C43817-0DE6-814B-8F61-4FDD3FB78E26}" srcOrd="0" destOrd="2" presId="urn:microsoft.com/office/officeart/2005/8/layout/matrix1"/>
    <dgm:cxn modelId="{9912495E-EB5F-B345-B352-2069EE800E83}" type="presOf" srcId="{371AA0E0-14A2-3241-8BE8-1873404B5A89}" destId="{D615CB31-C2A0-554D-8B3D-6CE88C8E641B}" srcOrd="1" destOrd="11" presId="urn:microsoft.com/office/officeart/2005/8/layout/matrix1"/>
    <dgm:cxn modelId="{31B20E62-DE68-294D-8727-A6BA55C7AD26}" type="presOf" srcId="{B8F0C7A3-D0B0-264F-B81B-4EFFFAD65C2C}" destId="{A3044B6B-E295-274F-8BAC-12A6F370E72E}" srcOrd="1" destOrd="1" presId="urn:microsoft.com/office/officeart/2005/8/layout/matrix1"/>
    <dgm:cxn modelId="{78175962-A996-7C4C-897C-DF85B598A0CD}" type="presOf" srcId="{42CC43CD-8E67-E445-98AE-F7044CCA4E8F}" destId="{02C43817-0DE6-814B-8F61-4FDD3FB78E26}" srcOrd="0" destOrd="7" presId="urn:microsoft.com/office/officeart/2005/8/layout/matrix1"/>
    <dgm:cxn modelId="{AA0C3263-8BA0-6B4B-A3CC-36E5F71D499A}" type="presOf" srcId="{8C35E76D-2301-4E49-B69F-D61AA473723B}" destId="{02C43817-0DE6-814B-8F61-4FDD3FB78E26}" srcOrd="0" destOrd="5" presId="urn:microsoft.com/office/officeart/2005/8/layout/matrix1"/>
    <dgm:cxn modelId="{69A31F45-5C4C-A643-9C52-CF4B2B234326}" type="presOf" srcId="{8BED1568-E094-8949-B8B6-ADEE2C82B0A9}" destId="{A3044B6B-E295-274F-8BAC-12A6F370E72E}" srcOrd="1" destOrd="2" presId="urn:microsoft.com/office/officeart/2005/8/layout/matrix1"/>
    <dgm:cxn modelId="{EA280147-0A26-CA4C-9C29-9D0BFFF6CA9A}" type="presOf" srcId="{8C35E76D-2301-4E49-B69F-D61AA473723B}" destId="{D615CB31-C2A0-554D-8B3D-6CE88C8E641B}" srcOrd="1" destOrd="5" presId="urn:microsoft.com/office/officeart/2005/8/layout/matrix1"/>
    <dgm:cxn modelId="{1BBF0F68-C247-0541-9DF3-09B8D7EC38B2}" srcId="{C0AD8E9C-91B4-4948-8468-C5018316AB8A}" destId="{DBDDF5F9-1086-6849-9B99-2F7F53BDDDC2}" srcOrd="3" destOrd="0" parTransId="{7A1BEB90-C64E-D140-A201-9A5EECD51FF0}" sibTransId="{E76F522B-15C7-1E4C-87FF-10241AD25189}"/>
    <dgm:cxn modelId="{B2E8AA49-E5D2-A74D-93F9-E1276844288F}" type="presOf" srcId="{0C086CE0-DEBB-4D4E-A67F-6CBE98FA449E}" destId="{709B1105-81AC-7B4F-9E01-591F92D94AC6}" srcOrd="0" destOrd="7" presId="urn:microsoft.com/office/officeart/2005/8/layout/matrix1"/>
    <dgm:cxn modelId="{E1772C6B-65C6-664D-81F1-A2EEBFC1DC03}" type="presOf" srcId="{0B92D3C9-3F5B-AB4C-8EE6-BF2B61B7FCAB}" destId="{709B1105-81AC-7B4F-9E01-591F92D94AC6}" srcOrd="0" destOrd="3" presId="urn:microsoft.com/office/officeart/2005/8/layout/matrix1"/>
    <dgm:cxn modelId="{48FC3D4C-7A13-8743-B3AD-2DE0BC8A4E59}" srcId="{114DC25F-3F0E-B34D-967F-FC980D84D2C3}" destId="{D45E6474-5A79-C741-B127-FC7C1CB4111E}" srcOrd="9" destOrd="0" parTransId="{939A423F-1880-DC4B-8808-A7C1F85D63DF}" sibTransId="{FF833C53-C5BD-C040-A55F-394C5BFE15B1}"/>
    <dgm:cxn modelId="{8AE9FB6D-F8F1-F64B-88A4-1EECE4F70D04}" srcId="{C0AD8E9C-91B4-4948-8468-C5018316AB8A}" destId="{42CC43CD-8E67-E445-98AE-F7044CCA4E8F}" srcOrd="6" destOrd="0" parTransId="{C95740BD-9F85-234C-B8BC-711D45EA5F40}" sibTransId="{91DC5F1F-1339-EE48-BF1D-7FD1D8D0A930}"/>
    <dgm:cxn modelId="{12DC424E-604E-F54E-B5ED-9E0AD004C662}" srcId="{67AB01C4-B960-3848-952B-A330EF23FEE1}" destId="{338B4FC4-64F6-AC4D-B5C1-560D4458C31F}" srcOrd="0" destOrd="0" parTransId="{320A6D00-FC2D-024E-A616-19528A2674EA}" sibTransId="{90D9B36D-6D36-7840-99B3-02E54FDABA0F}"/>
    <dgm:cxn modelId="{DB24E76E-705D-DB4A-AEDE-A935C31EAE7E}" srcId="{338B4FC4-64F6-AC4D-B5C1-560D4458C31F}" destId="{C0AD8E9C-91B4-4948-8468-C5018316AB8A}" srcOrd="1" destOrd="0" parTransId="{8F618F7E-77A7-234B-A60A-FAA93473C9AA}" sibTransId="{DB20AC33-F7E2-D94C-8CC5-E6577F3E7B2D}"/>
    <dgm:cxn modelId="{2EAFF970-AC72-AE48-A672-E37008123975}" srcId="{114DC25F-3F0E-B34D-967F-FC980D84D2C3}" destId="{64DE0A4A-6D3E-6E43-8F70-8B04CD6BBFD3}" srcOrd="2" destOrd="0" parTransId="{635A8DC7-58A9-9148-BFF9-950C8C33EF31}" sibTransId="{BCA007DA-7054-1149-A6AA-31076AB8D802}"/>
    <dgm:cxn modelId="{DCC10571-9364-DB46-9C79-960E74F8081B}" srcId="{114DC25F-3F0E-B34D-967F-FC980D84D2C3}" destId="{BB37F59D-46A7-D843-B946-A44CBC86C0E2}" srcOrd="4" destOrd="0" parTransId="{BA11BC19-9353-9748-879A-D28FADCE3FAE}" sibTransId="{6B5CE08D-B727-6A46-9DE5-ACC95AE769C0}"/>
    <dgm:cxn modelId="{B0164F51-9AE0-844B-A0B2-4BFD5A52FD33}" srcId="{114DC25F-3F0E-B34D-967F-FC980D84D2C3}" destId="{D316615D-49B5-9447-B48C-BCA0C6C85623}" srcOrd="3" destOrd="0" parTransId="{494BFA7B-E8F4-7447-AD7F-B8C7D6700F77}" sibTransId="{51717538-B926-B642-8A21-FB6D2F643A2D}"/>
    <dgm:cxn modelId="{63D29872-9107-9B49-9A3C-D13A7825AAC1}" type="presOf" srcId="{114DC25F-3F0E-B34D-967F-FC980D84D2C3}" destId="{F06F934E-0424-244F-824E-33FB505305BF}" srcOrd="0" destOrd="0" presId="urn:microsoft.com/office/officeart/2005/8/layout/matrix1"/>
    <dgm:cxn modelId="{2D44F252-2301-DF41-9B45-0B4BA5478786}" srcId="{C0AD8E9C-91B4-4948-8468-C5018316AB8A}" destId="{3913EB2F-CD48-DD4D-B512-232A4CDDE44F}" srcOrd="2" destOrd="0" parTransId="{C4046595-934F-264B-BB21-FBB173B09AEF}" sibTransId="{BF3B86DA-65F7-0447-B76F-49EDB0E1AA21}"/>
    <dgm:cxn modelId="{0BB97053-B657-874E-899A-7799D090C055}" type="presOf" srcId="{D7F972D8-0DA7-C247-9540-8D4A6A2E92E4}" destId="{076895CF-09DD-3046-95F9-A342E8B17689}" srcOrd="0" destOrd="3" presId="urn:microsoft.com/office/officeart/2005/8/layout/matrix1"/>
    <dgm:cxn modelId="{03080854-3398-E842-BFF0-8E060961B003}" type="presOf" srcId="{51FAA802-9292-9F47-A83E-0EF2189AC34C}" destId="{076895CF-09DD-3046-95F9-A342E8B17689}" srcOrd="0" destOrd="0" presId="urn:microsoft.com/office/officeart/2005/8/layout/matrix1"/>
    <dgm:cxn modelId="{7CDF8D74-993B-BE4B-9DC6-5D60B765FC71}" type="presOf" srcId="{89B43CCE-8C44-7B41-853E-E23CFE81509D}" destId="{BD553E30-F3CC-2B4E-88E0-A2687AE41342}" srcOrd="1" destOrd="2" presId="urn:microsoft.com/office/officeart/2005/8/layout/matrix1"/>
    <dgm:cxn modelId="{7C3DF474-B382-8648-9792-2B972A796062}" type="presOf" srcId="{3FDD1103-AFB8-D54C-9293-68A39C7E73F2}" destId="{A3044B6B-E295-274F-8BAC-12A6F370E72E}" srcOrd="1" destOrd="5" presId="urn:microsoft.com/office/officeart/2005/8/layout/matrix1"/>
    <dgm:cxn modelId="{C2985E55-3637-CB46-A299-E2A5B3D33F0B}" type="presOf" srcId="{0B7EB672-5686-4943-AFD5-4E914B76D1AD}" destId="{A3044B6B-E295-274F-8BAC-12A6F370E72E}" srcOrd="1" destOrd="4" presId="urn:microsoft.com/office/officeart/2005/8/layout/matrix1"/>
    <dgm:cxn modelId="{DFCB9B55-45AD-A448-8059-AF3E7806E865}" type="presOf" srcId="{DED5F1EA-2049-D34E-98F4-ABBF4893E6A5}" destId="{FA37796B-4ADB-C347-B903-8B9FE9C3BB0A}" srcOrd="1" destOrd="11" presId="urn:microsoft.com/office/officeart/2005/8/layout/matrix1"/>
    <dgm:cxn modelId="{34F03F56-D547-7640-B818-3C327A4F858F}" type="presOf" srcId="{8DF333C5-6AF2-4147-898A-03E28DD14FA3}" destId="{D615CB31-C2A0-554D-8B3D-6CE88C8E641B}" srcOrd="1" destOrd="10" presId="urn:microsoft.com/office/officeart/2005/8/layout/matrix1"/>
    <dgm:cxn modelId="{815E1B57-EC72-C646-8062-13D8A2F080DB}" type="presOf" srcId="{51FAA802-9292-9F47-A83E-0EF2189AC34C}" destId="{BD553E30-F3CC-2B4E-88E0-A2687AE41342}" srcOrd="1" destOrd="0" presId="urn:microsoft.com/office/officeart/2005/8/layout/matrix1"/>
    <dgm:cxn modelId="{0A969C57-2603-FB49-95D8-49B31DF25699}" type="presOf" srcId="{4560B383-702D-7842-85FE-2BE643AEB8FF}" destId="{076895CF-09DD-3046-95F9-A342E8B17689}" srcOrd="0" destOrd="5" presId="urn:microsoft.com/office/officeart/2005/8/layout/matrix1"/>
    <dgm:cxn modelId="{A3642758-1EA1-E442-BDC3-6663B8F65194}" type="presOf" srcId="{338B4FC4-64F6-AC4D-B5C1-560D4458C31F}" destId="{22B933E5-9801-834F-9F31-D667939739E5}" srcOrd="0" destOrd="0" presId="urn:microsoft.com/office/officeart/2005/8/layout/matrix1"/>
    <dgm:cxn modelId="{228E7958-A955-F347-9E73-96841990B41B}" srcId="{114DC25F-3F0E-B34D-967F-FC980D84D2C3}" destId="{15CC7BBC-F953-D94C-802E-1A8965B44DD9}" srcOrd="5" destOrd="0" parTransId="{E172DCEB-5841-F648-A324-B4880D72EC11}" sibTransId="{7FF4EB11-3A71-9449-8734-D12C0D715770}"/>
    <dgm:cxn modelId="{9AE95A58-0496-544E-A7D3-5901AFEBD874}" type="presOf" srcId="{4D483224-14C1-2841-924A-7E21E9E25DD6}" destId="{FA37796B-4ADB-C347-B903-8B9FE9C3BB0A}" srcOrd="1" destOrd="7" presId="urn:microsoft.com/office/officeart/2005/8/layout/matrix1"/>
    <dgm:cxn modelId="{52BAE558-0C4C-C04A-9630-83715A9A8F5E}" type="presOf" srcId="{8BED1568-E094-8949-B8B6-ADEE2C82B0A9}" destId="{709B1105-81AC-7B4F-9E01-591F92D94AC6}" srcOrd="0" destOrd="2" presId="urn:microsoft.com/office/officeart/2005/8/layout/matrix1"/>
    <dgm:cxn modelId="{0683747B-5CCA-CF43-B119-3FF5D2419EC4}" type="presOf" srcId="{2C2D1181-8327-F940-A6F0-4CA0A6B35DA8}" destId="{BD553E30-F3CC-2B4E-88E0-A2687AE41342}" srcOrd="1" destOrd="6" presId="urn:microsoft.com/office/officeart/2005/8/layout/matrix1"/>
    <dgm:cxn modelId="{E7489A7C-7081-1F46-AA1C-1BF654194336}" type="presOf" srcId="{114DC25F-3F0E-B34D-967F-FC980D84D2C3}" destId="{FA37796B-4ADB-C347-B903-8B9FE9C3BB0A}" srcOrd="1" destOrd="0" presId="urn:microsoft.com/office/officeart/2005/8/layout/matrix1"/>
    <dgm:cxn modelId="{3392D17D-5E99-0247-9660-E2C9C5748AB1}" srcId="{B8C38EEC-9CCA-A24E-A4D1-05D5531C23E9}" destId="{0C086CE0-DEBB-4D4E-A67F-6CBE98FA449E}" srcOrd="6" destOrd="0" parTransId="{F64763A2-673F-484B-A7DE-94454963838A}" sibTransId="{1BCA113B-D5EF-FC46-8C8E-06ECFAC49BF1}"/>
    <dgm:cxn modelId="{55E83387-0D02-4644-B360-D3EE8B006442}" type="presOf" srcId="{6F5DEF30-7968-AD4C-9A5F-267D57E25D4C}" destId="{709B1105-81AC-7B4F-9E01-591F92D94AC6}" srcOrd="0" destOrd="6" presId="urn:microsoft.com/office/officeart/2005/8/layout/matrix1"/>
    <dgm:cxn modelId="{05673C87-1B2C-D740-B53A-E2DB69A92FC8}" srcId="{C0AD8E9C-91B4-4948-8468-C5018316AB8A}" destId="{C60D8548-0A4D-8A4B-A0F7-AF5BDA3903F9}" srcOrd="7" destOrd="0" parTransId="{4B6AE299-AC60-4140-BD16-C7CF4B5AB829}" sibTransId="{09924D04-BFE3-1A40-9FF2-EF3FFBC4B3E4}"/>
    <dgm:cxn modelId="{14A41F88-79AE-CE44-A254-DF65E33F592B}" srcId="{C0AD8E9C-91B4-4948-8468-C5018316AB8A}" destId="{86FD9D38-9091-8D46-B2CD-E54393C80547}" srcOrd="8" destOrd="0" parTransId="{6BB30E61-5C5A-2949-BF25-CAC4036F1890}" sibTransId="{05F4CA70-992A-F34E-B8F9-BA4E6F39D5CE}"/>
    <dgm:cxn modelId="{6590888F-1923-5D4D-AF76-AD0D2CCDD973}" srcId="{B8C38EEC-9CCA-A24E-A4D1-05D5531C23E9}" destId="{3FDD1103-AFB8-D54C-9293-68A39C7E73F2}" srcOrd="4" destOrd="0" parTransId="{CDBD2B2F-0A73-1744-81DA-7261A8BE0FE3}" sibTransId="{F3DEF6B6-7438-2F49-8A86-606092BFE9BE}"/>
    <dgm:cxn modelId="{AD50BC8F-C9A9-0342-BC38-BD77806B8970}" type="presOf" srcId="{D45E6474-5A79-C741-B127-FC7C1CB4111E}" destId="{F06F934E-0424-244F-824E-33FB505305BF}" srcOrd="0" destOrd="10" presId="urn:microsoft.com/office/officeart/2005/8/layout/matrix1"/>
    <dgm:cxn modelId="{C1739992-ECB4-474C-9E67-A3C8464F7035}" type="presOf" srcId="{15CC7BBC-F953-D94C-802E-1A8965B44DD9}" destId="{F06F934E-0424-244F-824E-33FB505305BF}" srcOrd="0" destOrd="6" presId="urn:microsoft.com/office/officeart/2005/8/layout/matrix1"/>
    <dgm:cxn modelId="{354D0094-B872-5D49-AC6D-D7880668D087}" srcId="{C0AD8E9C-91B4-4948-8468-C5018316AB8A}" destId="{371AA0E0-14A2-3241-8BE8-1873404B5A89}" srcOrd="10" destOrd="0" parTransId="{4440AEF1-2E7C-7540-BDA6-7892EFEE454D}" sibTransId="{4125F7A4-E381-F34E-9C17-65AE429A6B90}"/>
    <dgm:cxn modelId="{4D3B9F94-6AA4-934E-AC9A-91281DBE2EF5}" type="presOf" srcId="{3913EB2F-CD48-DD4D-B512-232A4CDDE44F}" destId="{D615CB31-C2A0-554D-8B3D-6CE88C8E641B}" srcOrd="1" destOrd="3" presId="urn:microsoft.com/office/officeart/2005/8/layout/matrix1"/>
    <dgm:cxn modelId="{F60A3E97-92B1-5344-AC15-CD010350AB4B}" type="presOf" srcId="{5E107223-7A90-D54D-BADC-90B3BC44E1AF}" destId="{076895CF-09DD-3046-95F9-A342E8B17689}" srcOrd="0" destOrd="4" presId="urn:microsoft.com/office/officeart/2005/8/layout/matrix1"/>
    <dgm:cxn modelId="{A436A197-560D-5D44-A92C-D5B3B134591A}" type="presOf" srcId="{0AD0B882-7B68-EB4C-AD76-DB71D414B0BA}" destId="{02C43817-0DE6-814B-8F61-4FDD3FB78E26}" srcOrd="0" destOrd="1" presId="urn:microsoft.com/office/officeart/2005/8/layout/matrix1"/>
    <dgm:cxn modelId="{C085149A-4F5B-504D-B9F6-235FF7BD1719}" type="presOf" srcId="{F3FC46C8-B638-E444-8B1D-3ACC627E4255}" destId="{F06F934E-0424-244F-824E-33FB505305BF}" srcOrd="0" destOrd="8" presId="urn:microsoft.com/office/officeart/2005/8/layout/matrix1"/>
    <dgm:cxn modelId="{B89241A1-148B-B54B-B388-8AB2EA6E13B7}" type="presOf" srcId="{2D8DDC1B-0827-1348-B98B-36B7D7FFEBEF}" destId="{D615CB31-C2A0-554D-8B3D-6CE88C8E641B}" srcOrd="1" destOrd="2" presId="urn:microsoft.com/office/officeart/2005/8/layout/matrix1"/>
    <dgm:cxn modelId="{DBD58EA1-EC85-634B-82D7-982D38846D6F}" srcId="{51FAA802-9292-9F47-A83E-0EF2189AC34C}" destId="{5E107223-7A90-D54D-BADC-90B3BC44E1AF}" srcOrd="3" destOrd="0" parTransId="{E7BFEBA8-125B-9242-9256-ADD75BCF50D0}" sibTransId="{C4AE5E28-DDDD-E547-A8F7-7F9FAFCAD33D}"/>
    <dgm:cxn modelId="{B8E820A2-4784-3341-8AF9-E6D596247381}" type="presOf" srcId="{EDEA63C8-3202-034D-94A8-542347B34DD4}" destId="{BD553E30-F3CC-2B4E-88E0-A2687AE41342}" srcOrd="1" destOrd="1" presId="urn:microsoft.com/office/officeart/2005/8/layout/matrix1"/>
    <dgm:cxn modelId="{9CC273A2-ADB1-6B42-8DDD-A9ACE47FE23D}" srcId="{114DC25F-3F0E-B34D-967F-FC980D84D2C3}" destId="{F3FC46C8-B638-E444-8B1D-3ACC627E4255}" srcOrd="7" destOrd="0" parTransId="{7E00A3A1-AFF9-8B49-A22D-A0339C2A07B8}" sibTransId="{B5421C51-D858-A841-94AD-2AAB109D67ED}"/>
    <dgm:cxn modelId="{58E508A3-2CE2-334E-AEB0-FBF202069D8F}" type="presOf" srcId="{DBDDF5F9-1086-6849-9B99-2F7F53BDDDC2}" destId="{D615CB31-C2A0-554D-8B3D-6CE88C8E641B}" srcOrd="1" destOrd="4" presId="urn:microsoft.com/office/officeart/2005/8/layout/matrix1"/>
    <dgm:cxn modelId="{6C9EA3A3-1AD4-E94B-B2EA-2D53714379D0}" type="presOf" srcId="{DED5F1EA-2049-D34E-98F4-ABBF4893E6A5}" destId="{F06F934E-0424-244F-824E-33FB505305BF}" srcOrd="0" destOrd="11" presId="urn:microsoft.com/office/officeart/2005/8/layout/matrix1"/>
    <dgm:cxn modelId="{2949FBA4-04B8-3B47-A487-BCC47CC0BCB8}" type="presOf" srcId="{0B7EB672-5686-4943-AFD5-4E914B76D1AD}" destId="{709B1105-81AC-7B4F-9E01-591F92D94AC6}" srcOrd="0" destOrd="4" presId="urn:microsoft.com/office/officeart/2005/8/layout/matrix1"/>
    <dgm:cxn modelId="{AC7029A5-739A-B248-AB10-A19394C355D4}" type="presOf" srcId="{BB37F59D-46A7-D843-B946-A44CBC86C0E2}" destId="{FA37796B-4ADB-C347-B903-8B9FE9C3BB0A}" srcOrd="1" destOrd="5" presId="urn:microsoft.com/office/officeart/2005/8/layout/matrix1"/>
    <dgm:cxn modelId="{AB0AACA7-1166-7A4F-9EB3-7F18F3CDD6D6}" srcId="{C0AD8E9C-91B4-4948-8468-C5018316AB8A}" destId="{8DF333C5-6AF2-4147-898A-03E28DD14FA3}" srcOrd="9" destOrd="0" parTransId="{A27C8CDA-360E-5B42-9F44-54D62AB5F025}" sibTransId="{E1CFD05E-CA65-0D4C-AD8E-B6B96F4D38FA}"/>
    <dgm:cxn modelId="{DFA737A8-4128-084D-A5A9-FC2A5DA4C1BC}" srcId="{51FAA802-9292-9F47-A83E-0EF2189AC34C}" destId="{89B43CCE-8C44-7B41-853E-E23CFE81509D}" srcOrd="1" destOrd="0" parTransId="{EAFFB4F4-1B87-304D-AA97-EC832BB8E4EE}" sibTransId="{3E6BB805-ABC0-2A4C-8D0B-2545B58E3372}"/>
    <dgm:cxn modelId="{35E2EDA8-E1A2-8F46-ADF4-1A2607FA4F4C}" srcId="{51FAA802-9292-9F47-A83E-0EF2189AC34C}" destId="{2C2D1181-8327-F940-A6F0-4CA0A6B35DA8}" srcOrd="5" destOrd="0" parTransId="{C5C16243-5E0C-DE48-87E5-BBF83157C7F9}" sibTransId="{417B9DB5-98C3-9B4B-8532-F7AAB1D186CA}"/>
    <dgm:cxn modelId="{020645A9-E4A5-1345-8413-CFE0CBD47FA6}" type="presOf" srcId="{DBDDF5F9-1086-6849-9B99-2F7F53BDDDC2}" destId="{02C43817-0DE6-814B-8F61-4FDD3FB78E26}" srcOrd="0" destOrd="4" presId="urn:microsoft.com/office/officeart/2005/8/layout/matrix1"/>
    <dgm:cxn modelId="{0569EAAA-FECF-9341-8739-951D5084BCF7}" type="presOf" srcId="{DC65EC11-D9CA-ED47-8E21-568B88D2F055}" destId="{F06F934E-0424-244F-824E-33FB505305BF}" srcOrd="0" destOrd="2" presId="urn:microsoft.com/office/officeart/2005/8/layout/matrix1"/>
    <dgm:cxn modelId="{6AD041AE-CFED-5B49-BEA2-5F890BE2F730}" type="presOf" srcId="{BB37F59D-46A7-D843-B946-A44CBC86C0E2}" destId="{F06F934E-0424-244F-824E-33FB505305BF}" srcOrd="0" destOrd="5" presId="urn:microsoft.com/office/officeart/2005/8/layout/matrix1"/>
    <dgm:cxn modelId="{13831DB2-35C2-0449-A141-53C551F4E194}" type="presOf" srcId="{B8C38EEC-9CCA-A24E-A4D1-05D5531C23E9}" destId="{A3044B6B-E295-274F-8BAC-12A6F370E72E}" srcOrd="1" destOrd="0" presId="urn:microsoft.com/office/officeart/2005/8/layout/matrix1"/>
    <dgm:cxn modelId="{5827FCB3-3586-2D4B-85C3-74B68CAA4307}" type="presOf" srcId="{43775053-321D-C047-9B0E-A70976F2FB75}" destId="{02C43817-0DE6-814B-8F61-4FDD3FB78E26}" srcOrd="0" destOrd="6" presId="urn:microsoft.com/office/officeart/2005/8/layout/matrix1"/>
    <dgm:cxn modelId="{DA5C9FB4-378B-0640-9480-572AB7F676C4}" srcId="{114DC25F-3F0E-B34D-967F-FC980D84D2C3}" destId="{4E33783E-83DE-AE4A-8C5D-5DCBE2C37405}" srcOrd="0" destOrd="0" parTransId="{A88C5C78-B7D8-9244-8CE7-CF654357B686}" sibTransId="{05D59034-E22B-754F-830E-DFDDC3657A43}"/>
    <dgm:cxn modelId="{C57910BE-DCDB-3243-BA5C-DC695C691AC5}" type="presOf" srcId="{0B92D3C9-3F5B-AB4C-8EE6-BF2B61B7FCAB}" destId="{A3044B6B-E295-274F-8BAC-12A6F370E72E}" srcOrd="1" destOrd="3" presId="urn:microsoft.com/office/officeart/2005/8/layout/matrix1"/>
    <dgm:cxn modelId="{24CF9BBF-94C6-074C-9BBE-2740595F38B3}" type="presOf" srcId="{F3FC46C8-B638-E444-8B1D-3ACC627E4255}" destId="{FA37796B-4ADB-C347-B903-8B9FE9C3BB0A}" srcOrd="1" destOrd="8" presId="urn:microsoft.com/office/officeart/2005/8/layout/matrix1"/>
    <dgm:cxn modelId="{7132BABF-4266-9548-BB52-5574CBA2F7A4}" type="presOf" srcId="{C0AD8E9C-91B4-4948-8468-C5018316AB8A}" destId="{D615CB31-C2A0-554D-8B3D-6CE88C8E641B}" srcOrd="1" destOrd="0" presId="urn:microsoft.com/office/officeart/2005/8/layout/matrix1"/>
    <dgm:cxn modelId="{234BADC3-C787-FB48-BC27-E3261D6E04CF}" srcId="{51FAA802-9292-9F47-A83E-0EF2189AC34C}" destId="{EDEA63C8-3202-034D-94A8-542347B34DD4}" srcOrd="0" destOrd="0" parTransId="{F04259B3-63E0-8244-BC69-D0E609C31CE8}" sibTransId="{F96871F0-602B-AE40-BF66-1DA02886ED96}"/>
    <dgm:cxn modelId="{6CA566C7-8CD6-5E42-9FDD-3C45D0116E20}" srcId="{B8C38EEC-9CCA-A24E-A4D1-05D5531C23E9}" destId="{B8F0C7A3-D0B0-264F-B81B-4EFFFAD65C2C}" srcOrd="0" destOrd="0" parTransId="{4D56C28B-47DE-C643-B6B1-EEC525C48AE1}" sibTransId="{D473366E-B415-CF48-9BA5-212E9C0828F3}"/>
    <dgm:cxn modelId="{E115B1CA-137E-6D45-ABB8-AD0B9A3254C7}" srcId="{B8C38EEC-9CCA-A24E-A4D1-05D5531C23E9}" destId="{0B7EB672-5686-4943-AFD5-4E914B76D1AD}" srcOrd="3" destOrd="0" parTransId="{A3836B5C-8E96-D147-BF97-B5E736E00BFF}" sibTransId="{DC0DD774-4C72-2646-83E2-D58BB76955A3}"/>
    <dgm:cxn modelId="{1193D0CA-9C71-574D-9DAF-F185DB399CA9}" type="presOf" srcId="{6F5DEF30-7968-AD4C-9A5F-267D57E25D4C}" destId="{A3044B6B-E295-274F-8BAC-12A6F370E72E}" srcOrd="1" destOrd="6" presId="urn:microsoft.com/office/officeart/2005/8/layout/matrix1"/>
    <dgm:cxn modelId="{4C183ACC-3393-7142-9D21-DE55B87CC0CF}" type="presOf" srcId="{D45E6474-5A79-C741-B127-FC7C1CB4111E}" destId="{FA37796B-4ADB-C347-B903-8B9FE9C3BB0A}" srcOrd="1" destOrd="10" presId="urn:microsoft.com/office/officeart/2005/8/layout/matrix1"/>
    <dgm:cxn modelId="{93E86ECC-EE23-274D-A257-BD3487B40C64}" srcId="{114DC25F-3F0E-B34D-967F-FC980D84D2C3}" destId="{4D483224-14C1-2841-924A-7E21E9E25DD6}" srcOrd="6" destOrd="0" parTransId="{A10A3C38-9A01-414A-A622-C5D38E182003}" sibTransId="{BD10D6A5-9278-404F-86D4-74D5F0B9CB39}"/>
    <dgm:cxn modelId="{38AFC7CD-131A-9441-9F89-6786FA7334AD}" type="presOf" srcId="{86FD9D38-9091-8D46-B2CD-E54393C80547}" destId="{D615CB31-C2A0-554D-8B3D-6CE88C8E641B}" srcOrd="1" destOrd="9" presId="urn:microsoft.com/office/officeart/2005/8/layout/matrix1"/>
    <dgm:cxn modelId="{B14699CE-3B0D-EB48-9075-DD388EC41B0F}" srcId="{114DC25F-3F0E-B34D-967F-FC980D84D2C3}" destId="{B94CCC65-E0FB-7948-9D4E-3AF6A8A5BC36}" srcOrd="8" destOrd="0" parTransId="{94812CB1-DDD5-CE4A-A55C-519D24512A62}" sibTransId="{47EFAA8A-2416-B649-A558-090FC87F9B38}"/>
    <dgm:cxn modelId="{1A1AE0CE-A494-1340-895D-4164DC9EBD85}" type="presOf" srcId="{C60D8548-0A4D-8A4B-A0F7-AF5BDA3903F9}" destId="{02C43817-0DE6-814B-8F61-4FDD3FB78E26}" srcOrd="0" destOrd="8" presId="urn:microsoft.com/office/officeart/2005/8/layout/matrix1"/>
    <dgm:cxn modelId="{29C2CBD0-3515-F94D-B7B8-7CCF979245A0}" type="presOf" srcId="{4560B383-702D-7842-85FE-2BE643AEB8FF}" destId="{BD553E30-F3CC-2B4E-88E0-A2687AE41342}" srcOrd="1" destOrd="5" presId="urn:microsoft.com/office/officeart/2005/8/layout/matrix1"/>
    <dgm:cxn modelId="{CA99CDD0-25DC-7E4C-94BB-0D06A344F4A0}" type="presOf" srcId="{64DE0A4A-6D3E-6E43-8F70-8B04CD6BBFD3}" destId="{FA37796B-4ADB-C347-B903-8B9FE9C3BB0A}" srcOrd="1" destOrd="3" presId="urn:microsoft.com/office/officeart/2005/8/layout/matrix1"/>
    <dgm:cxn modelId="{9F01E9D0-BDED-7C4D-A68E-DFE17FDEB4D5}" type="presOf" srcId="{D316615D-49B5-9447-B48C-BCA0C6C85623}" destId="{F06F934E-0424-244F-824E-33FB505305BF}" srcOrd="0" destOrd="4" presId="urn:microsoft.com/office/officeart/2005/8/layout/matrix1"/>
    <dgm:cxn modelId="{FF6450D2-74EF-CD4C-A610-E4D8545F5262}" type="presOf" srcId="{371AA0E0-14A2-3241-8BE8-1873404B5A89}" destId="{02C43817-0DE6-814B-8F61-4FDD3FB78E26}" srcOrd="0" destOrd="11" presId="urn:microsoft.com/office/officeart/2005/8/layout/matrix1"/>
    <dgm:cxn modelId="{98B47DD3-C1CB-C14A-A145-ECA82E58637C}" type="presOf" srcId="{42CC43CD-8E67-E445-98AE-F7044CCA4E8F}" destId="{D615CB31-C2A0-554D-8B3D-6CE88C8E641B}" srcOrd="1" destOrd="7" presId="urn:microsoft.com/office/officeart/2005/8/layout/matrix1"/>
    <dgm:cxn modelId="{F3BB15DB-8934-8B45-A8F2-4D13F7388EFE}" type="presOf" srcId="{C0AD8E9C-91B4-4948-8468-C5018316AB8A}" destId="{02C43817-0DE6-814B-8F61-4FDD3FB78E26}" srcOrd="0" destOrd="0" presId="urn:microsoft.com/office/officeart/2005/8/layout/matrix1"/>
    <dgm:cxn modelId="{0AF8B0DB-13F3-DC45-A5BA-474EE68FDE26}" type="presOf" srcId="{64DE0A4A-6D3E-6E43-8F70-8B04CD6BBFD3}" destId="{F06F934E-0424-244F-824E-33FB505305BF}" srcOrd="0" destOrd="3" presId="urn:microsoft.com/office/officeart/2005/8/layout/matrix1"/>
    <dgm:cxn modelId="{950240DC-0B0C-8346-B6F7-571FD8806F7D}" type="presOf" srcId="{DC65EC11-D9CA-ED47-8E21-568B88D2F055}" destId="{FA37796B-4ADB-C347-B903-8B9FE9C3BB0A}" srcOrd="1" destOrd="2" presId="urn:microsoft.com/office/officeart/2005/8/layout/matrix1"/>
    <dgm:cxn modelId="{F2EA2AE7-B9A2-0C45-93E3-52F491B2FC16}" type="presOf" srcId="{3913EB2F-CD48-DD4D-B512-232A4CDDE44F}" destId="{02C43817-0DE6-814B-8F61-4FDD3FB78E26}" srcOrd="0" destOrd="3" presId="urn:microsoft.com/office/officeart/2005/8/layout/matrix1"/>
    <dgm:cxn modelId="{CAE5A1E8-EF62-6E49-BE75-4E37F8DCB335}" type="presOf" srcId="{86FD9D38-9091-8D46-B2CD-E54393C80547}" destId="{02C43817-0DE6-814B-8F61-4FDD3FB78E26}" srcOrd="0" destOrd="9" presId="urn:microsoft.com/office/officeart/2005/8/layout/matrix1"/>
    <dgm:cxn modelId="{5AD584EB-117E-6043-854A-10ECC57A7F14}" type="presOf" srcId="{B8F0C7A3-D0B0-264F-B81B-4EFFFAD65C2C}" destId="{709B1105-81AC-7B4F-9E01-591F92D94AC6}" srcOrd="0" destOrd="1" presId="urn:microsoft.com/office/officeart/2005/8/layout/matrix1"/>
    <dgm:cxn modelId="{BB8640EC-E373-5D45-9148-A6F8B6638F99}" srcId="{B8C38EEC-9CCA-A24E-A4D1-05D5531C23E9}" destId="{8BED1568-E094-8949-B8B6-ADEE2C82B0A9}" srcOrd="1" destOrd="0" parTransId="{1B748005-5C19-E745-BDFF-4AE31599F6E7}" sibTransId="{8B378880-E80B-E744-BE59-AFB098B829EC}"/>
    <dgm:cxn modelId="{71606DF3-3E6E-B446-8B33-E51562667EB1}" srcId="{51FAA802-9292-9F47-A83E-0EF2189AC34C}" destId="{D7F972D8-0DA7-C247-9540-8D4A6A2E92E4}" srcOrd="2" destOrd="0" parTransId="{410C7952-ECDD-8B4E-AE66-33F254C047C9}" sibTransId="{97208609-A352-D64B-8AF5-9369A5D7F445}"/>
    <dgm:cxn modelId="{9556D1F4-AD29-2647-A857-3B3B0EF08198}" type="presOf" srcId="{B94CCC65-E0FB-7948-9D4E-3AF6A8A5BC36}" destId="{F06F934E-0424-244F-824E-33FB505305BF}" srcOrd="0" destOrd="9" presId="urn:microsoft.com/office/officeart/2005/8/layout/matrix1"/>
    <dgm:cxn modelId="{B09630F5-084A-AB42-AC3D-3A010114BB2C}" type="presOf" srcId="{EDEA63C8-3202-034D-94A8-542347B34DD4}" destId="{076895CF-09DD-3046-95F9-A342E8B17689}" srcOrd="0" destOrd="1" presId="urn:microsoft.com/office/officeart/2005/8/layout/matrix1"/>
    <dgm:cxn modelId="{F4C972F5-BD33-DE4E-B11F-92ED3A6D809F}" type="presOf" srcId="{2C2D1181-8327-F940-A6F0-4CA0A6B35DA8}" destId="{076895CF-09DD-3046-95F9-A342E8B17689}" srcOrd="0" destOrd="6" presId="urn:microsoft.com/office/officeart/2005/8/layout/matrix1"/>
    <dgm:cxn modelId="{7A4BBDFC-BB07-904E-A9D9-AEDB1DA1B054}" srcId="{338B4FC4-64F6-AC4D-B5C1-560D4458C31F}" destId="{B8C38EEC-9CCA-A24E-A4D1-05D5531C23E9}" srcOrd="0" destOrd="0" parTransId="{980D0491-F61E-9E49-BC5F-45E2A2296D61}" sibTransId="{0B010626-95E9-954B-B958-5A9A52A19051}"/>
    <dgm:cxn modelId="{8B0824FE-FDBA-634F-A4B9-D5B9E287ECD4}" type="presOf" srcId="{5E107223-7A90-D54D-BADC-90B3BC44E1AF}" destId="{BD553E30-F3CC-2B4E-88E0-A2687AE41342}" srcOrd="1" destOrd="4" presId="urn:microsoft.com/office/officeart/2005/8/layout/matrix1"/>
    <dgm:cxn modelId="{E8B000FF-ABFE-5147-AAA9-348752F0FAA9}" srcId="{114DC25F-3F0E-B34D-967F-FC980D84D2C3}" destId="{DED5F1EA-2049-D34E-98F4-ABBF4893E6A5}" srcOrd="10" destOrd="0" parTransId="{ADB1392B-64AE-2543-BFEF-C5FD18B568FE}" sibTransId="{520A89D1-C317-DD42-BFF7-809F3E5AA368}"/>
    <dgm:cxn modelId="{B653EDFF-351A-E442-8C00-68C6F8C93F74}" srcId="{C0AD8E9C-91B4-4948-8468-C5018316AB8A}" destId="{8C35E76D-2301-4E49-B69F-D61AA473723B}" srcOrd="4" destOrd="0" parTransId="{E8784855-D632-1D46-B63B-87131BADD38E}" sibTransId="{FB94B2D0-FE32-F34C-B0AE-60F6040413A3}"/>
    <dgm:cxn modelId="{C1DAA231-5FCE-C847-91E7-52C7C9A4B8D3}" type="presParOf" srcId="{D8087FCA-FE72-5C4B-BB4C-9BF58A3D029F}" destId="{0F2A4B6A-CA73-844C-BB05-A692A970883F}" srcOrd="0" destOrd="0" presId="urn:microsoft.com/office/officeart/2005/8/layout/matrix1"/>
    <dgm:cxn modelId="{DA6E3AAD-E982-5C4C-A4EB-ED7CD3EBF58E}" type="presParOf" srcId="{0F2A4B6A-CA73-844C-BB05-A692A970883F}" destId="{709B1105-81AC-7B4F-9E01-591F92D94AC6}" srcOrd="0" destOrd="0" presId="urn:microsoft.com/office/officeart/2005/8/layout/matrix1"/>
    <dgm:cxn modelId="{47756486-E75D-8945-903A-63C3C7FDDB0A}" type="presParOf" srcId="{0F2A4B6A-CA73-844C-BB05-A692A970883F}" destId="{A3044B6B-E295-274F-8BAC-12A6F370E72E}" srcOrd="1" destOrd="0" presId="urn:microsoft.com/office/officeart/2005/8/layout/matrix1"/>
    <dgm:cxn modelId="{590E6D96-A5EC-E74C-9020-A9C7E04ADEB3}" type="presParOf" srcId="{0F2A4B6A-CA73-844C-BB05-A692A970883F}" destId="{02C43817-0DE6-814B-8F61-4FDD3FB78E26}" srcOrd="2" destOrd="0" presId="urn:microsoft.com/office/officeart/2005/8/layout/matrix1"/>
    <dgm:cxn modelId="{4FCF5FEE-AD87-924A-A7DC-EBA1F67EF2DA}" type="presParOf" srcId="{0F2A4B6A-CA73-844C-BB05-A692A970883F}" destId="{D615CB31-C2A0-554D-8B3D-6CE88C8E641B}" srcOrd="3" destOrd="0" presId="urn:microsoft.com/office/officeart/2005/8/layout/matrix1"/>
    <dgm:cxn modelId="{5F8D1E8A-7F14-0A44-84B0-AE1EC1F0706D}" type="presParOf" srcId="{0F2A4B6A-CA73-844C-BB05-A692A970883F}" destId="{076895CF-09DD-3046-95F9-A342E8B17689}" srcOrd="4" destOrd="0" presId="urn:microsoft.com/office/officeart/2005/8/layout/matrix1"/>
    <dgm:cxn modelId="{21FA0F28-D3DE-DF4A-BCA6-E95BC84DAFEE}" type="presParOf" srcId="{0F2A4B6A-CA73-844C-BB05-A692A970883F}" destId="{BD553E30-F3CC-2B4E-88E0-A2687AE41342}" srcOrd="5" destOrd="0" presId="urn:microsoft.com/office/officeart/2005/8/layout/matrix1"/>
    <dgm:cxn modelId="{E8125960-9919-0B47-9224-DFC8C4638205}" type="presParOf" srcId="{0F2A4B6A-CA73-844C-BB05-A692A970883F}" destId="{F06F934E-0424-244F-824E-33FB505305BF}" srcOrd="6" destOrd="0" presId="urn:microsoft.com/office/officeart/2005/8/layout/matrix1"/>
    <dgm:cxn modelId="{AFCA3A91-111A-1D44-9B07-FEBCA6273F3E}" type="presParOf" srcId="{0F2A4B6A-CA73-844C-BB05-A692A970883F}" destId="{FA37796B-4ADB-C347-B903-8B9FE9C3BB0A}" srcOrd="7" destOrd="0" presId="urn:microsoft.com/office/officeart/2005/8/layout/matrix1"/>
    <dgm:cxn modelId="{DC34D935-C386-F140-8ED5-B8A7382CF9A7}" type="presParOf" srcId="{D8087FCA-FE72-5C4B-BB4C-9BF58A3D029F}" destId="{22B933E5-9801-834F-9F31-D667939739E5}" srcOrd="1" destOrd="0" presId="urn:microsoft.com/office/officeart/2005/8/layout/matrix1"/>
  </dgm:cxnLst>
  <dgm:bg/>
  <dgm:whole/>
  <dgm:extLst>
    <a:ext uri="http://schemas.microsoft.com/office/drawing/2008/diagram">
      <dsp:dataModelExt xmlns:dsp="http://schemas.microsoft.com/office/drawing/2008/diagram" relId="rId286" minVer="http://schemas.openxmlformats.org/drawingml/2006/diagram"/>
    </a:ext>
  </dgm:extLst>
</dgm:dataModel>
</file>

<file path=word/diagrams/data42.xml><?xml version="1.0" encoding="utf-8"?>
<dgm:dataModel xmlns:dgm="http://schemas.openxmlformats.org/drawingml/2006/diagram" xmlns:a="http://schemas.openxmlformats.org/drawingml/2006/main">
  <dgm:ptLst>
    <dgm:pt modelId="{2531D690-ECB8-804C-8449-58EECCC98C9A}" type="doc">
      <dgm:prSet loTypeId="urn:microsoft.com/office/officeart/2008/layout/RadialCluster" loCatId="" qsTypeId="urn:microsoft.com/office/officeart/2005/8/quickstyle/simple2" qsCatId="simple" csTypeId="urn:microsoft.com/office/officeart/2005/8/colors/colorful3" csCatId="colorful" phldr="1"/>
      <dgm:spPr/>
      <dgm:t>
        <a:bodyPr/>
        <a:lstStyle/>
        <a:p>
          <a:endParaRPr lang="en-US"/>
        </a:p>
      </dgm:t>
    </dgm:pt>
    <dgm:pt modelId="{1BD4820B-DCAE-9844-9D3D-3A0E0314A938}">
      <dgm:prSet phldrT="[Text]"/>
      <dgm:spPr/>
      <dgm:t>
        <a:bodyPr/>
        <a:lstStyle/>
        <a:p>
          <a:r>
            <a:rPr lang="en-US"/>
            <a:t>Patient safety and SMBE</a:t>
          </a:r>
        </a:p>
      </dgm:t>
    </dgm:pt>
    <dgm:pt modelId="{479AA50E-A235-E141-942C-09EA4432552E}" type="parTrans" cxnId="{0A6C7EE6-36AF-DE40-A325-4A8835B498DE}">
      <dgm:prSet/>
      <dgm:spPr/>
      <dgm:t>
        <a:bodyPr/>
        <a:lstStyle/>
        <a:p>
          <a:endParaRPr lang="en-US"/>
        </a:p>
      </dgm:t>
    </dgm:pt>
    <dgm:pt modelId="{965ED1F1-83D4-644E-8D00-8D03AF7FB71C}" type="sibTrans" cxnId="{0A6C7EE6-36AF-DE40-A325-4A8835B498DE}">
      <dgm:prSet/>
      <dgm:spPr/>
      <dgm:t>
        <a:bodyPr/>
        <a:lstStyle/>
        <a:p>
          <a:endParaRPr lang="en-US"/>
        </a:p>
      </dgm:t>
    </dgm:pt>
    <dgm:pt modelId="{A586BA9F-9E52-8E4C-A848-2B55C56B43EC}">
      <dgm:prSet phldrT="[Text]"/>
      <dgm:spPr/>
      <dgm:t>
        <a:bodyPr/>
        <a:lstStyle/>
        <a:p>
          <a:r>
            <a:rPr lang="en-US"/>
            <a:t>Self regulation &amp; personal learning</a:t>
          </a:r>
        </a:p>
      </dgm:t>
    </dgm:pt>
    <dgm:pt modelId="{C616FB26-82F5-7A4A-A509-F1C3A1343EC4}" type="parTrans" cxnId="{EB666506-D7E0-4B4D-BFA5-4CFEE7E8A609}">
      <dgm:prSet/>
      <dgm:spPr/>
      <dgm:t>
        <a:bodyPr/>
        <a:lstStyle/>
        <a:p>
          <a:endParaRPr lang="en-US"/>
        </a:p>
      </dgm:t>
    </dgm:pt>
    <dgm:pt modelId="{ED36C929-D098-9743-AFAD-A84737B2F3E1}" type="sibTrans" cxnId="{EB666506-D7E0-4B4D-BFA5-4CFEE7E8A609}">
      <dgm:prSet/>
      <dgm:spPr/>
      <dgm:t>
        <a:bodyPr/>
        <a:lstStyle/>
        <a:p>
          <a:endParaRPr lang="en-US"/>
        </a:p>
      </dgm:t>
    </dgm:pt>
    <dgm:pt modelId="{CB5A89F2-FEB1-F049-95AA-2FF624EE2AB9}">
      <dgm:prSet phldrT="[Text]"/>
      <dgm:spPr/>
      <dgm:t>
        <a:bodyPr/>
        <a:lstStyle/>
        <a:p>
          <a:r>
            <a:rPr lang="en-US"/>
            <a:t>Practice under pressure</a:t>
          </a:r>
        </a:p>
      </dgm:t>
    </dgm:pt>
    <dgm:pt modelId="{B654D074-F391-B342-B9C2-AC0D1FCEDB55}" type="parTrans" cxnId="{2D0991A0-417F-4748-B584-454D3C41C32C}">
      <dgm:prSet/>
      <dgm:spPr/>
      <dgm:t>
        <a:bodyPr/>
        <a:lstStyle/>
        <a:p>
          <a:endParaRPr lang="en-US"/>
        </a:p>
      </dgm:t>
    </dgm:pt>
    <dgm:pt modelId="{E70060A0-8861-044A-82A6-6CDE7F382A86}" type="sibTrans" cxnId="{2D0991A0-417F-4748-B584-454D3C41C32C}">
      <dgm:prSet/>
      <dgm:spPr/>
      <dgm:t>
        <a:bodyPr/>
        <a:lstStyle/>
        <a:p>
          <a:endParaRPr lang="en-US"/>
        </a:p>
      </dgm:t>
    </dgm:pt>
    <dgm:pt modelId="{1BE7F9A9-39BA-CF40-809F-55DFC1FA18A8}">
      <dgm:prSet phldrT="[Text]"/>
      <dgm:spPr/>
      <dgm:t>
        <a:bodyPr/>
        <a:lstStyle/>
        <a:p>
          <a:r>
            <a:rPr lang="en-US"/>
            <a:t>Prospective hazard / safety analysis</a:t>
          </a:r>
        </a:p>
      </dgm:t>
    </dgm:pt>
    <dgm:pt modelId="{A5494BE4-14EB-194F-87C9-B5958984641F}" type="parTrans" cxnId="{00A035A1-B789-5C41-B548-2BDC60106157}">
      <dgm:prSet/>
      <dgm:spPr/>
      <dgm:t>
        <a:bodyPr/>
        <a:lstStyle/>
        <a:p>
          <a:endParaRPr lang="en-US"/>
        </a:p>
      </dgm:t>
    </dgm:pt>
    <dgm:pt modelId="{23AD29C6-C780-7945-B599-FF0A0BD6C992}" type="sibTrans" cxnId="{00A035A1-B789-5C41-B548-2BDC60106157}">
      <dgm:prSet/>
      <dgm:spPr/>
      <dgm:t>
        <a:bodyPr/>
        <a:lstStyle/>
        <a:p>
          <a:endParaRPr lang="en-US"/>
        </a:p>
      </dgm:t>
    </dgm:pt>
    <dgm:pt modelId="{BA159CB8-B9AC-B94D-A7EA-43915F50CCA8}">
      <dgm:prSet phldrT="[Text]"/>
      <dgm:spPr/>
      <dgm:t>
        <a:bodyPr/>
        <a:lstStyle/>
        <a:p>
          <a:r>
            <a:rPr lang="en-US"/>
            <a:t>Consequence learning</a:t>
          </a:r>
        </a:p>
      </dgm:t>
    </dgm:pt>
    <dgm:pt modelId="{2608A10C-6138-764D-AD8F-2312A85F6D12}" type="parTrans" cxnId="{C5F69447-CFA0-644D-920E-207826BA8CED}">
      <dgm:prSet/>
      <dgm:spPr/>
      <dgm:t>
        <a:bodyPr/>
        <a:lstStyle/>
        <a:p>
          <a:endParaRPr lang="en-US"/>
        </a:p>
      </dgm:t>
    </dgm:pt>
    <dgm:pt modelId="{867BE78F-4725-AF49-AB2F-979BFDA00B30}" type="sibTrans" cxnId="{C5F69447-CFA0-644D-920E-207826BA8CED}">
      <dgm:prSet/>
      <dgm:spPr/>
      <dgm:t>
        <a:bodyPr/>
        <a:lstStyle/>
        <a:p>
          <a:endParaRPr lang="en-US"/>
        </a:p>
      </dgm:t>
    </dgm:pt>
    <dgm:pt modelId="{433FE9D3-159B-7F4E-ADBF-BED0D16A146F}">
      <dgm:prSet/>
      <dgm:spPr/>
      <dgm:t>
        <a:bodyPr/>
        <a:lstStyle/>
        <a:p>
          <a:r>
            <a:rPr lang="en-US"/>
            <a:t>Explore core beliefs</a:t>
          </a:r>
        </a:p>
      </dgm:t>
    </dgm:pt>
    <dgm:pt modelId="{F0EF0B0E-8EC2-D646-AF36-20D867F04DC9}" type="sibTrans" cxnId="{98615E0E-436B-EB4A-B297-366871A6F045}">
      <dgm:prSet/>
      <dgm:spPr/>
      <dgm:t>
        <a:bodyPr/>
        <a:lstStyle/>
        <a:p>
          <a:endParaRPr lang="en-US"/>
        </a:p>
      </dgm:t>
    </dgm:pt>
    <dgm:pt modelId="{8D0FF7B0-4303-2741-AC55-E9D3365A85A1}" type="parTrans" cxnId="{98615E0E-436B-EB4A-B297-366871A6F045}">
      <dgm:prSet/>
      <dgm:spPr/>
      <dgm:t>
        <a:bodyPr/>
        <a:lstStyle/>
        <a:p>
          <a:endParaRPr lang="en-US"/>
        </a:p>
      </dgm:t>
    </dgm:pt>
    <dgm:pt modelId="{7221C19C-5112-EC43-97E6-B4D04E4532C9}">
      <dgm:prSet/>
      <dgm:spPr/>
      <dgm:t>
        <a:bodyPr/>
        <a:lstStyle/>
        <a:p>
          <a:r>
            <a:rPr lang="en-US"/>
            <a:t>Explore emotional response</a:t>
          </a:r>
        </a:p>
      </dgm:t>
    </dgm:pt>
    <dgm:pt modelId="{735C8DEB-D70D-1743-8E85-EBED8E02F94E}" type="parTrans" cxnId="{AD5BF45A-4E9F-5B4C-9222-03D0E83CDECA}">
      <dgm:prSet/>
      <dgm:spPr/>
      <dgm:t>
        <a:bodyPr/>
        <a:lstStyle/>
        <a:p>
          <a:endParaRPr lang="en-US"/>
        </a:p>
      </dgm:t>
    </dgm:pt>
    <dgm:pt modelId="{C7EC0DD8-129D-054B-9498-E5C0A8ADADE7}" type="sibTrans" cxnId="{AD5BF45A-4E9F-5B4C-9222-03D0E83CDECA}">
      <dgm:prSet/>
      <dgm:spPr/>
      <dgm:t>
        <a:bodyPr/>
        <a:lstStyle/>
        <a:p>
          <a:endParaRPr lang="en-US"/>
        </a:p>
      </dgm:t>
    </dgm:pt>
    <dgm:pt modelId="{56CACCFF-3EB1-7846-9DA3-AE93E9E5C1F2}">
      <dgm:prSet/>
      <dgm:spPr/>
      <dgm:t>
        <a:bodyPr/>
        <a:lstStyle/>
        <a:p>
          <a:r>
            <a:rPr lang="en-US"/>
            <a:t>Experience cognitive biases &amp; overload &amp; effect on behaviour</a:t>
          </a:r>
        </a:p>
      </dgm:t>
    </dgm:pt>
    <dgm:pt modelId="{56E517D9-79FC-1545-8360-F23418F78D0A}" type="parTrans" cxnId="{9C3BD375-8AF2-3749-888E-4781493DDBD9}">
      <dgm:prSet/>
      <dgm:spPr/>
      <dgm:t>
        <a:bodyPr/>
        <a:lstStyle/>
        <a:p>
          <a:endParaRPr lang="en-US"/>
        </a:p>
      </dgm:t>
    </dgm:pt>
    <dgm:pt modelId="{D69E681A-F410-B147-8812-68F2537E8A10}" type="sibTrans" cxnId="{9C3BD375-8AF2-3749-888E-4781493DDBD9}">
      <dgm:prSet/>
      <dgm:spPr/>
      <dgm:t>
        <a:bodyPr/>
        <a:lstStyle/>
        <a:p>
          <a:endParaRPr lang="en-US"/>
        </a:p>
      </dgm:t>
    </dgm:pt>
    <dgm:pt modelId="{48D3CEBD-E67F-C848-BD29-00D6425ADB2F}">
      <dgm:prSet/>
      <dgm:spPr/>
      <dgm:t>
        <a:bodyPr/>
        <a:lstStyle/>
        <a:p>
          <a:r>
            <a:rPr lang="en-US"/>
            <a:t>Develop strategies &amp; cues for when stuck/ access help</a:t>
          </a:r>
        </a:p>
      </dgm:t>
    </dgm:pt>
    <dgm:pt modelId="{88AD215D-46D9-EA4B-88D4-721B5D7BECFA}" type="parTrans" cxnId="{B74E8F85-3B2A-E04F-9071-E5BFC64C1A7A}">
      <dgm:prSet/>
      <dgm:spPr/>
      <dgm:t>
        <a:bodyPr/>
        <a:lstStyle/>
        <a:p>
          <a:endParaRPr lang="en-US"/>
        </a:p>
      </dgm:t>
    </dgm:pt>
    <dgm:pt modelId="{00B58C1A-4E8B-7946-B84D-37D981346855}" type="sibTrans" cxnId="{B74E8F85-3B2A-E04F-9071-E5BFC64C1A7A}">
      <dgm:prSet/>
      <dgm:spPr/>
      <dgm:t>
        <a:bodyPr/>
        <a:lstStyle/>
        <a:p>
          <a:endParaRPr lang="en-US"/>
        </a:p>
      </dgm:t>
    </dgm:pt>
    <dgm:pt modelId="{077B163A-EF6F-2B4A-8829-D652EB29940D}">
      <dgm:prSet/>
      <dgm:spPr/>
      <dgm:t>
        <a:bodyPr/>
        <a:lstStyle/>
        <a:p>
          <a:r>
            <a:rPr lang="en-US"/>
            <a:t>Remain present &amp; engaged</a:t>
          </a:r>
        </a:p>
      </dgm:t>
    </dgm:pt>
    <dgm:pt modelId="{7EB27137-51BC-C44E-B13D-E317DB60F267}" type="parTrans" cxnId="{3130C93B-6E46-4A47-8948-9C727D8119A0}">
      <dgm:prSet/>
      <dgm:spPr/>
      <dgm:t>
        <a:bodyPr/>
        <a:lstStyle/>
        <a:p>
          <a:endParaRPr lang="en-US"/>
        </a:p>
      </dgm:t>
    </dgm:pt>
    <dgm:pt modelId="{CF6A9BBE-C4BB-B54D-B55A-71E8279CD526}" type="sibTrans" cxnId="{3130C93B-6E46-4A47-8948-9C727D8119A0}">
      <dgm:prSet/>
      <dgm:spPr/>
      <dgm:t>
        <a:bodyPr/>
        <a:lstStyle/>
        <a:p>
          <a:endParaRPr lang="en-US"/>
        </a:p>
      </dgm:t>
    </dgm:pt>
    <dgm:pt modelId="{E2695349-1AAD-5140-8D24-65EB5F899636}">
      <dgm:prSet/>
      <dgm:spPr/>
      <dgm:t>
        <a:bodyPr/>
        <a:lstStyle/>
        <a:p>
          <a:r>
            <a:rPr lang="en-US"/>
            <a:t>Small personal behavioural change</a:t>
          </a:r>
        </a:p>
      </dgm:t>
    </dgm:pt>
    <dgm:pt modelId="{35A59759-4929-7043-91F7-733C4CEB8BDD}" type="parTrans" cxnId="{1F82E8C8-490F-1B48-9376-780F0517DDE6}">
      <dgm:prSet/>
      <dgm:spPr/>
      <dgm:t>
        <a:bodyPr/>
        <a:lstStyle/>
        <a:p>
          <a:endParaRPr lang="en-US"/>
        </a:p>
      </dgm:t>
    </dgm:pt>
    <dgm:pt modelId="{09B3B7F4-5000-9F43-97C4-F8DDA56A53A2}" type="sibTrans" cxnId="{1F82E8C8-490F-1B48-9376-780F0517DDE6}">
      <dgm:prSet/>
      <dgm:spPr/>
      <dgm:t>
        <a:bodyPr/>
        <a:lstStyle/>
        <a:p>
          <a:endParaRPr lang="en-US"/>
        </a:p>
      </dgm:t>
    </dgm:pt>
    <dgm:pt modelId="{62B883E2-D561-A644-9880-C78645065F79}">
      <dgm:prSet/>
      <dgm:spPr/>
      <dgm:t>
        <a:bodyPr/>
        <a:lstStyle/>
        <a:p>
          <a:r>
            <a:rPr lang="en-US"/>
            <a:t>Learn to piece together picture</a:t>
          </a:r>
        </a:p>
      </dgm:t>
    </dgm:pt>
    <dgm:pt modelId="{291F57FB-404C-314A-AA6F-94AFE6E31B2B}" type="parTrans" cxnId="{48928D51-5530-CD45-B1ED-44E43E7D6C58}">
      <dgm:prSet/>
      <dgm:spPr/>
      <dgm:t>
        <a:bodyPr/>
        <a:lstStyle/>
        <a:p>
          <a:endParaRPr lang="en-US"/>
        </a:p>
      </dgm:t>
    </dgm:pt>
    <dgm:pt modelId="{83FEF318-82CF-374C-BBE4-3AA6C68D17D0}" type="sibTrans" cxnId="{48928D51-5530-CD45-B1ED-44E43E7D6C58}">
      <dgm:prSet/>
      <dgm:spPr/>
      <dgm:t>
        <a:bodyPr/>
        <a:lstStyle/>
        <a:p>
          <a:endParaRPr lang="en-US"/>
        </a:p>
      </dgm:t>
    </dgm:pt>
    <dgm:pt modelId="{26437832-65DC-F94E-90BB-B8F7061769E0}">
      <dgm:prSet/>
      <dgm:spPr/>
      <dgm:t>
        <a:bodyPr/>
        <a:lstStyle/>
        <a:p>
          <a:r>
            <a:rPr lang="en-US"/>
            <a:t>Learn to manage self when lose situation awareness</a:t>
          </a:r>
        </a:p>
      </dgm:t>
    </dgm:pt>
    <dgm:pt modelId="{23BB8C43-A2A0-244B-A977-6B1CF0E8A7D9}" type="parTrans" cxnId="{EF696AE4-B650-784B-9A6B-A04044E944BE}">
      <dgm:prSet/>
      <dgm:spPr/>
      <dgm:t>
        <a:bodyPr/>
        <a:lstStyle/>
        <a:p>
          <a:endParaRPr lang="en-US"/>
        </a:p>
      </dgm:t>
    </dgm:pt>
    <dgm:pt modelId="{23C46F25-337A-0449-9084-D81D15CB3E21}" type="sibTrans" cxnId="{EF696AE4-B650-784B-9A6B-A04044E944BE}">
      <dgm:prSet/>
      <dgm:spPr/>
      <dgm:t>
        <a:bodyPr/>
        <a:lstStyle/>
        <a:p>
          <a:endParaRPr lang="en-US"/>
        </a:p>
      </dgm:t>
    </dgm:pt>
    <dgm:pt modelId="{912809A3-69B4-0649-B1FA-90C7A57BE949}">
      <dgm:prSet phldrT="[Text]"/>
      <dgm:spPr/>
      <dgm:t>
        <a:bodyPr/>
        <a:lstStyle/>
        <a:p>
          <a:r>
            <a:rPr lang="en-US"/>
            <a:t>Meaningful learning oppoertunities</a:t>
          </a:r>
        </a:p>
      </dgm:t>
    </dgm:pt>
    <dgm:pt modelId="{82E22D1B-24CD-6C4D-8A19-4F3C2F249524}" type="parTrans" cxnId="{E1C49476-D95F-CE46-B08C-AA9239661728}">
      <dgm:prSet/>
      <dgm:spPr/>
      <dgm:t>
        <a:bodyPr/>
        <a:lstStyle/>
        <a:p>
          <a:endParaRPr lang="en-US"/>
        </a:p>
      </dgm:t>
    </dgm:pt>
    <dgm:pt modelId="{70946C60-D1A1-3A46-8927-A34DB15B744F}" type="sibTrans" cxnId="{E1C49476-D95F-CE46-B08C-AA9239661728}">
      <dgm:prSet/>
      <dgm:spPr/>
      <dgm:t>
        <a:bodyPr/>
        <a:lstStyle/>
        <a:p>
          <a:endParaRPr lang="en-US"/>
        </a:p>
      </dgm:t>
    </dgm:pt>
    <dgm:pt modelId="{70C62ECE-D9F3-2546-B334-2F86321733C7}">
      <dgm:prSet phldrT="[Text]"/>
      <dgm:spPr/>
      <dgm:t>
        <a:bodyPr/>
        <a:lstStyle/>
        <a:p>
          <a:r>
            <a:rPr lang="en-US"/>
            <a:t>Clarify expectations for safe practice</a:t>
          </a:r>
        </a:p>
      </dgm:t>
    </dgm:pt>
    <dgm:pt modelId="{68E34B84-187B-4349-8F78-FBFD73DEECD6}" type="parTrans" cxnId="{A0AD89EA-0FD7-C14F-80EF-4E8E376E2D2F}">
      <dgm:prSet/>
      <dgm:spPr/>
      <dgm:t>
        <a:bodyPr/>
        <a:lstStyle/>
        <a:p>
          <a:endParaRPr lang="en-US"/>
        </a:p>
      </dgm:t>
    </dgm:pt>
    <dgm:pt modelId="{8803E020-7C8B-C542-9050-0BA370F4D835}" type="sibTrans" cxnId="{A0AD89EA-0FD7-C14F-80EF-4E8E376E2D2F}">
      <dgm:prSet/>
      <dgm:spPr/>
      <dgm:t>
        <a:bodyPr/>
        <a:lstStyle/>
        <a:p>
          <a:endParaRPr lang="en-US"/>
        </a:p>
      </dgm:t>
    </dgm:pt>
    <dgm:pt modelId="{7758A3E4-AEC3-1A46-9376-67B1C670A9BC}">
      <dgm:prSet phldrT="[Text]"/>
      <dgm:spPr/>
      <dgm:t>
        <a:bodyPr/>
        <a:lstStyle/>
        <a:p>
          <a:r>
            <a:rPr lang="en-US"/>
            <a:t>Interprofessional learning</a:t>
          </a:r>
        </a:p>
      </dgm:t>
    </dgm:pt>
    <dgm:pt modelId="{DBF67BAB-995C-8F48-A597-F390D611A47F}" type="parTrans" cxnId="{56802A5C-DB21-634E-877D-97B1610DD8BD}">
      <dgm:prSet/>
      <dgm:spPr/>
      <dgm:t>
        <a:bodyPr/>
        <a:lstStyle/>
        <a:p>
          <a:endParaRPr lang="en-US"/>
        </a:p>
      </dgm:t>
    </dgm:pt>
    <dgm:pt modelId="{8E4B1D06-93F3-764A-A800-5839871020F8}" type="sibTrans" cxnId="{56802A5C-DB21-634E-877D-97B1610DD8BD}">
      <dgm:prSet/>
      <dgm:spPr/>
      <dgm:t>
        <a:bodyPr/>
        <a:lstStyle/>
        <a:p>
          <a:endParaRPr lang="en-US"/>
        </a:p>
      </dgm:t>
    </dgm:pt>
    <dgm:pt modelId="{F3335984-E679-F848-8749-BA0DB5200F82}">
      <dgm:prSet phldrT="[Text]"/>
      <dgm:spPr/>
      <dgm:t>
        <a:bodyPr/>
        <a:lstStyle/>
        <a:p>
          <a:r>
            <a:rPr lang="en-US"/>
            <a:t>Responsibility - learn quicker &amp; more effectively</a:t>
          </a:r>
        </a:p>
      </dgm:t>
    </dgm:pt>
    <dgm:pt modelId="{79AA1DA6-A3CC-6142-9F59-B7CE5E060BC1}" type="parTrans" cxnId="{764FA1CF-A41E-644D-80E6-F86FD10121E9}">
      <dgm:prSet/>
      <dgm:spPr/>
      <dgm:t>
        <a:bodyPr/>
        <a:lstStyle/>
        <a:p>
          <a:endParaRPr lang="en-US"/>
        </a:p>
      </dgm:t>
    </dgm:pt>
    <dgm:pt modelId="{922D4C21-3DD1-504E-A56B-6603D17C36A2}" type="sibTrans" cxnId="{764FA1CF-A41E-644D-80E6-F86FD10121E9}">
      <dgm:prSet/>
      <dgm:spPr/>
      <dgm:t>
        <a:bodyPr/>
        <a:lstStyle/>
        <a:p>
          <a:endParaRPr lang="en-US"/>
        </a:p>
      </dgm:t>
    </dgm:pt>
    <dgm:pt modelId="{AD74AD42-1281-AB46-B56C-229185218D25}">
      <dgm:prSet phldrT="[Text]"/>
      <dgm:spPr/>
      <dgm:t>
        <a:bodyPr/>
        <a:lstStyle/>
        <a:p>
          <a:r>
            <a:rPr lang="en-US"/>
            <a:t>Ability to perform &amp; access knowledge</a:t>
          </a:r>
        </a:p>
      </dgm:t>
    </dgm:pt>
    <dgm:pt modelId="{3F1CF657-5885-EE4C-B665-DE90CE5AEE86}" type="parTrans" cxnId="{6A944080-2734-BE4C-A85C-23B542A58BF7}">
      <dgm:prSet/>
      <dgm:spPr/>
      <dgm:t>
        <a:bodyPr/>
        <a:lstStyle/>
        <a:p>
          <a:endParaRPr lang="en-US"/>
        </a:p>
      </dgm:t>
    </dgm:pt>
    <dgm:pt modelId="{17E7E09A-221E-0B48-B868-2DE52554F0CE}" type="sibTrans" cxnId="{6A944080-2734-BE4C-A85C-23B542A58BF7}">
      <dgm:prSet/>
      <dgm:spPr/>
      <dgm:t>
        <a:bodyPr/>
        <a:lstStyle/>
        <a:p>
          <a:endParaRPr lang="en-US"/>
        </a:p>
      </dgm:t>
    </dgm:pt>
    <dgm:pt modelId="{2B7EE0D5-A5AC-B44A-9191-4877D2C0629F}">
      <dgm:prSet phldrT="[Text]"/>
      <dgm:spPr/>
      <dgm:t>
        <a:bodyPr/>
        <a:lstStyle/>
        <a:p>
          <a:r>
            <a:rPr lang="en-US"/>
            <a:t>Fit to think &amp; work &amp; practice</a:t>
          </a:r>
        </a:p>
      </dgm:t>
    </dgm:pt>
    <dgm:pt modelId="{719876CF-6834-D44D-8C20-DB0B7D15EA95}" type="parTrans" cxnId="{776C9F6D-F7F4-824B-860B-C1EE5FFED004}">
      <dgm:prSet/>
      <dgm:spPr/>
      <dgm:t>
        <a:bodyPr/>
        <a:lstStyle/>
        <a:p>
          <a:endParaRPr lang="en-US"/>
        </a:p>
      </dgm:t>
    </dgm:pt>
    <dgm:pt modelId="{272536AE-6F22-4746-8E58-89A23A8C86AF}" type="sibTrans" cxnId="{776C9F6D-F7F4-824B-860B-C1EE5FFED004}">
      <dgm:prSet/>
      <dgm:spPr/>
      <dgm:t>
        <a:bodyPr/>
        <a:lstStyle/>
        <a:p>
          <a:endParaRPr lang="en-US"/>
        </a:p>
      </dgm:t>
    </dgm:pt>
    <dgm:pt modelId="{3BED211E-33C1-EE48-8E6F-DCEF57B324DC}">
      <dgm:prSet phldrT="[Text]"/>
      <dgm:spPr/>
      <dgm:t>
        <a:bodyPr/>
        <a:lstStyle/>
        <a:p>
          <a:r>
            <a:rPr lang="en-US"/>
            <a:t>Allow time to think/ head space - strategic - seconds for safety - clarify kit etc</a:t>
          </a:r>
        </a:p>
      </dgm:t>
    </dgm:pt>
    <dgm:pt modelId="{5339F62C-3CDF-9247-BE0A-957BCF43F3D6}" type="parTrans" cxnId="{BB77D99F-9836-0E40-B396-FAE7AC93D94E}">
      <dgm:prSet/>
      <dgm:spPr/>
      <dgm:t>
        <a:bodyPr/>
        <a:lstStyle/>
        <a:p>
          <a:endParaRPr lang="en-US"/>
        </a:p>
      </dgm:t>
    </dgm:pt>
    <dgm:pt modelId="{967ADBD1-71CA-E647-879D-EF366100496D}" type="sibTrans" cxnId="{BB77D99F-9836-0E40-B396-FAE7AC93D94E}">
      <dgm:prSet/>
      <dgm:spPr/>
      <dgm:t>
        <a:bodyPr/>
        <a:lstStyle/>
        <a:p>
          <a:endParaRPr lang="en-US"/>
        </a:p>
      </dgm:t>
    </dgm:pt>
    <dgm:pt modelId="{92A3FF2F-2C3A-4247-BB0B-3A10A129836B}">
      <dgm:prSet phldrT="[Text]"/>
      <dgm:spPr/>
      <dgm:t>
        <a:bodyPr/>
        <a:lstStyle/>
        <a:p>
          <a:r>
            <a:rPr lang="en-US"/>
            <a:t>High stakes events - practise - never events</a:t>
          </a:r>
        </a:p>
      </dgm:t>
    </dgm:pt>
    <dgm:pt modelId="{75B9C9F5-D41F-4A44-832C-5FA13026F59A}" type="parTrans" cxnId="{420EF753-EE20-F14F-BDB4-ECA262CEFFDE}">
      <dgm:prSet/>
      <dgm:spPr/>
      <dgm:t>
        <a:bodyPr/>
        <a:lstStyle/>
        <a:p>
          <a:endParaRPr lang="en-US"/>
        </a:p>
      </dgm:t>
    </dgm:pt>
    <dgm:pt modelId="{50B110C9-3E57-BD41-B684-A2E89EC9AF25}" type="sibTrans" cxnId="{420EF753-EE20-F14F-BDB4-ECA262CEFFDE}">
      <dgm:prSet/>
      <dgm:spPr/>
      <dgm:t>
        <a:bodyPr/>
        <a:lstStyle/>
        <a:p>
          <a:endParaRPr lang="en-US"/>
        </a:p>
      </dgm:t>
    </dgm:pt>
    <dgm:pt modelId="{83006B2C-A63D-6B4C-AB0F-B2F8D9FBB377}">
      <dgm:prSet phldrT="[Text]"/>
      <dgm:spPr/>
      <dgm:t>
        <a:bodyPr/>
        <a:lstStyle/>
        <a:p>
          <a:r>
            <a:rPr lang="en-US"/>
            <a:t>From Serious untoward incidents</a:t>
          </a:r>
        </a:p>
      </dgm:t>
    </dgm:pt>
    <dgm:pt modelId="{0960DE99-C75E-FB48-AA9E-CD8CB4EDA0BB}" type="parTrans" cxnId="{5A9BD547-B732-964B-AA64-72A5C594FC88}">
      <dgm:prSet/>
      <dgm:spPr/>
      <dgm:t>
        <a:bodyPr/>
        <a:lstStyle/>
        <a:p>
          <a:endParaRPr lang="en-US"/>
        </a:p>
      </dgm:t>
    </dgm:pt>
    <dgm:pt modelId="{0A87ABBE-0706-AD4D-A17E-F35F7907909A}" type="sibTrans" cxnId="{5A9BD547-B732-964B-AA64-72A5C594FC88}">
      <dgm:prSet/>
      <dgm:spPr/>
      <dgm:t>
        <a:bodyPr/>
        <a:lstStyle/>
        <a:p>
          <a:endParaRPr lang="en-US"/>
        </a:p>
      </dgm:t>
    </dgm:pt>
    <dgm:pt modelId="{1B2C3151-5306-3348-B9A8-14C4BEB2712B}">
      <dgm:prSet phldrT="[Text]"/>
      <dgm:spPr/>
      <dgm:t>
        <a:bodyPr/>
        <a:lstStyle/>
        <a:p>
          <a:r>
            <a:rPr lang="en-US"/>
            <a:t>Role modelling from faculty</a:t>
          </a:r>
        </a:p>
      </dgm:t>
    </dgm:pt>
    <dgm:pt modelId="{2ADA8678-8610-2447-B68A-D15C4216BE9D}" type="parTrans" cxnId="{9EC5AA3E-D204-D54E-8CEE-698026B07DCB}">
      <dgm:prSet/>
      <dgm:spPr/>
      <dgm:t>
        <a:bodyPr/>
        <a:lstStyle/>
        <a:p>
          <a:endParaRPr lang="en-US"/>
        </a:p>
      </dgm:t>
    </dgm:pt>
    <dgm:pt modelId="{8716BE95-D55B-8846-AC6B-E5E93D4CE0FF}" type="sibTrans" cxnId="{9EC5AA3E-D204-D54E-8CEE-698026B07DCB}">
      <dgm:prSet/>
      <dgm:spPr/>
      <dgm:t>
        <a:bodyPr/>
        <a:lstStyle/>
        <a:p>
          <a:endParaRPr lang="en-US"/>
        </a:p>
      </dgm:t>
    </dgm:pt>
    <dgm:pt modelId="{F1F41A46-BF6C-3642-ADCC-3A087792A571}">
      <dgm:prSet phldrT="[Text]"/>
      <dgm:spPr/>
      <dgm:t>
        <a:bodyPr/>
        <a:lstStyle/>
        <a:p>
          <a:r>
            <a:rPr lang="en-US"/>
            <a:t>Value incident investigation &amp; reporting</a:t>
          </a:r>
        </a:p>
      </dgm:t>
    </dgm:pt>
    <dgm:pt modelId="{D6630F1A-D8FB-9343-8462-3B5A14420EAE}" type="parTrans" cxnId="{08AD1066-8884-B040-B736-137FCCCF80EB}">
      <dgm:prSet/>
      <dgm:spPr/>
      <dgm:t>
        <a:bodyPr/>
        <a:lstStyle/>
        <a:p>
          <a:endParaRPr lang="en-US"/>
        </a:p>
      </dgm:t>
    </dgm:pt>
    <dgm:pt modelId="{C2359157-8E52-1F45-B103-EE0A377B20C8}" type="sibTrans" cxnId="{08AD1066-8884-B040-B736-137FCCCF80EB}">
      <dgm:prSet/>
      <dgm:spPr/>
      <dgm:t>
        <a:bodyPr/>
        <a:lstStyle/>
        <a:p>
          <a:endParaRPr lang="en-US"/>
        </a:p>
      </dgm:t>
    </dgm:pt>
    <dgm:pt modelId="{67B71EC3-20DD-C343-BD2D-5A4686728F84}">
      <dgm:prSet phldrT="[Text]"/>
      <dgm:spPr/>
      <dgm:t>
        <a:bodyPr/>
        <a:lstStyle/>
        <a:p>
          <a:r>
            <a:rPr lang="en-US"/>
            <a:t>From mistakes and near misses</a:t>
          </a:r>
        </a:p>
      </dgm:t>
    </dgm:pt>
    <dgm:pt modelId="{82A0A7AA-25B6-9145-8824-A6FEA47152C6}" type="parTrans" cxnId="{E439052E-B558-3D42-9767-CA99EC58D801}">
      <dgm:prSet/>
      <dgm:spPr/>
      <dgm:t>
        <a:bodyPr/>
        <a:lstStyle/>
        <a:p>
          <a:endParaRPr lang="en-US"/>
        </a:p>
      </dgm:t>
    </dgm:pt>
    <dgm:pt modelId="{FAD028A1-BDB0-A342-8943-E48B456D1C39}" type="sibTrans" cxnId="{E439052E-B558-3D42-9767-CA99EC58D801}">
      <dgm:prSet/>
      <dgm:spPr/>
      <dgm:t>
        <a:bodyPr/>
        <a:lstStyle/>
        <a:p>
          <a:endParaRPr lang="en-US"/>
        </a:p>
      </dgm:t>
    </dgm:pt>
    <dgm:pt modelId="{90861C9A-70E5-FD48-97F6-20A522E9495E}">
      <dgm:prSet phldrT="[Text]"/>
      <dgm:spPr/>
      <dgm:t>
        <a:bodyPr/>
        <a:lstStyle/>
        <a:p>
          <a:r>
            <a:rPr lang="en-US"/>
            <a:t>Human factors and non technical skills education</a:t>
          </a:r>
        </a:p>
      </dgm:t>
    </dgm:pt>
    <dgm:pt modelId="{6BAC1380-D6EC-0045-9776-95A514AAB776}" type="parTrans" cxnId="{1A3DF925-5EDB-FF4B-A42E-D99C15CDB866}">
      <dgm:prSet/>
      <dgm:spPr/>
      <dgm:t>
        <a:bodyPr/>
        <a:lstStyle/>
        <a:p>
          <a:endParaRPr lang="en-US"/>
        </a:p>
      </dgm:t>
    </dgm:pt>
    <dgm:pt modelId="{0E2A4EFC-4BD2-8D41-A108-4AB6286F41C5}" type="sibTrans" cxnId="{1A3DF925-5EDB-FF4B-A42E-D99C15CDB866}">
      <dgm:prSet/>
      <dgm:spPr/>
      <dgm:t>
        <a:bodyPr/>
        <a:lstStyle/>
        <a:p>
          <a:endParaRPr lang="en-US"/>
        </a:p>
      </dgm:t>
    </dgm:pt>
    <dgm:pt modelId="{98D31983-2B19-9E44-BC5D-FE39D17CDBDB}">
      <dgm:prSet phldrT="[Text]"/>
      <dgm:spPr/>
      <dgm:t>
        <a:bodyPr/>
        <a:lstStyle/>
        <a:p>
          <a:r>
            <a:rPr lang="en-US"/>
            <a:t>From Francis report</a:t>
          </a:r>
        </a:p>
      </dgm:t>
    </dgm:pt>
    <dgm:pt modelId="{1096716C-922B-6C41-BAEB-15AAF9B3458D}" type="parTrans" cxnId="{25C3A8F2-5C9C-0942-909F-EBDFD421A57A}">
      <dgm:prSet/>
      <dgm:spPr/>
      <dgm:t>
        <a:bodyPr/>
        <a:lstStyle/>
        <a:p>
          <a:endParaRPr lang="en-US"/>
        </a:p>
      </dgm:t>
    </dgm:pt>
    <dgm:pt modelId="{7C98AD74-F1FA-BA46-B599-1599FD9C6F6A}" type="sibTrans" cxnId="{25C3A8F2-5C9C-0942-909F-EBDFD421A57A}">
      <dgm:prSet/>
      <dgm:spPr/>
      <dgm:t>
        <a:bodyPr/>
        <a:lstStyle/>
        <a:p>
          <a:endParaRPr lang="en-US"/>
        </a:p>
      </dgm:t>
    </dgm:pt>
    <dgm:pt modelId="{89B9231C-8C5A-D94A-90E4-25D750EF1987}">
      <dgm:prSet phldrT="[Text]"/>
      <dgm:spPr/>
      <dgm:t>
        <a:bodyPr/>
        <a:lstStyle/>
        <a:p>
          <a:r>
            <a:rPr lang="en-US"/>
            <a:t>Get feedback from patients, team, relative</a:t>
          </a:r>
        </a:p>
      </dgm:t>
    </dgm:pt>
    <dgm:pt modelId="{8915702B-1C4C-D04F-96D0-284444C32E75}" type="parTrans" cxnId="{DD066031-7298-AA49-A9ED-2B71539FD6D6}">
      <dgm:prSet/>
      <dgm:spPr/>
      <dgm:t>
        <a:bodyPr/>
        <a:lstStyle/>
        <a:p>
          <a:endParaRPr lang="en-US"/>
        </a:p>
      </dgm:t>
    </dgm:pt>
    <dgm:pt modelId="{26BD28E1-819A-474D-85D1-A5C3469BA4D1}" type="sibTrans" cxnId="{DD066031-7298-AA49-A9ED-2B71539FD6D6}">
      <dgm:prSet/>
      <dgm:spPr/>
      <dgm:t>
        <a:bodyPr/>
        <a:lstStyle/>
        <a:p>
          <a:endParaRPr lang="en-US"/>
        </a:p>
      </dgm:t>
    </dgm:pt>
    <dgm:pt modelId="{6385344F-9E98-9B4E-AB73-EE9070A71177}">
      <dgm:prSet phldrT="[Text]"/>
      <dgm:spPr/>
      <dgm:t>
        <a:bodyPr/>
        <a:lstStyle/>
        <a:p>
          <a:r>
            <a:rPr lang="en-US"/>
            <a:t>When to call for help</a:t>
          </a:r>
        </a:p>
      </dgm:t>
    </dgm:pt>
    <dgm:pt modelId="{BF923F3D-BB2A-B04D-92CB-AAFBA4B5A4B8}" type="parTrans" cxnId="{F7065948-857C-6F4E-9CFD-65B44BC08F4F}">
      <dgm:prSet/>
      <dgm:spPr/>
      <dgm:t>
        <a:bodyPr/>
        <a:lstStyle/>
        <a:p>
          <a:endParaRPr lang="en-US"/>
        </a:p>
      </dgm:t>
    </dgm:pt>
    <dgm:pt modelId="{67B4F49F-42CB-E146-AA85-CDCCB5635DF2}" type="sibTrans" cxnId="{F7065948-857C-6F4E-9CFD-65B44BC08F4F}">
      <dgm:prSet/>
      <dgm:spPr/>
      <dgm:t>
        <a:bodyPr/>
        <a:lstStyle/>
        <a:p>
          <a:endParaRPr lang="en-US"/>
        </a:p>
      </dgm:t>
    </dgm:pt>
    <dgm:pt modelId="{508D93BB-6C55-E048-AF27-FB3ABB6B9800}">
      <dgm:prSet phldrT="[Text]"/>
      <dgm:spPr/>
      <dgm:t>
        <a:bodyPr/>
        <a:lstStyle/>
        <a:p>
          <a:r>
            <a:rPr lang="en-US"/>
            <a:t>For intended role ie FY1 </a:t>
          </a:r>
        </a:p>
      </dgm:t>
    </dgm:pt>
    <dgm:pt modelId="{7A3D893C-B6D1-2643-8227-7B5CCCBF7917}" type="parTrans" cxnId="{3EA94424-B0C5-0F4E-9D8F-E09244CA8651}">
      <dgm:prSet/>
      <dgm:spPr/>
      <dgm:t>
        <a:bodyPr/>
        <a:lstStyle/>
        <a:p>
          <a:endParaRPr lang="en-US"/>
        </a:p>
      </dgm:t>
    </dgm:pt>
    <dgm:pt modelId="{F060C00C-FEB5-7949-BEF7-8184502FDDAC}" type="sibTrans" cxnId="{3EA94424-B0C5-0F4E-9D8F-E09244CA8651}">
      <dgm:prSet/>
      <dgm:spPr/>
      <dgm:t>
        <a:bodyPr/>
        <a:lstStyle/>
        <a:p>
          <a:endParaRPr lang="en-US"/>
        </a:p>
      </dgm:t>
    </dgm:pt>
    <dgm:pt modelId="{D357C12C-764C-8946-84E7-001FFE5F6CC8}">
      <dgm:prSet phldrT="[Text]"/>
      <dgm:spPr/>
      <dgm:t>
        <a:bodyPr/>
        <a:lstStyle/>
        <a:p>
          <a:r>
            <a:rPr lang="en-US"/>
            <a:t>Of other team members</a:t>
          </a:r>
        </a:p>
      </dgm:t>
    </dgm:pt>
    <dgm:pt modelId="{90DAE63E-99AD-DC47-A86F-DE6B0A0D0CC2}" type="parTrans" cxnId="{AF8F4757-46D3-C548-9760-64A32EFDC98F}">
      <dgm:prSet/>
      <dgm:spPr/>
      <dgm:t>
        <a:bodyPr/>
        <a:lstStyle/>
        <a:p>
          <a:endParaRPr lang="en-US"/>
        </a:p>
      </dgm:t>
    </dgm:pt>
    <dgm:pt modelId="{AA0AE065-BE21-044E-8E87-18B3212C1EAC}" type="sibTrans" cxnId="{AF8F4757-46D3-C548-9760-64A32EFDC98F}">
      <dgm:prSet/>
      <dgm:spPr/>
      <dgm:t>
        <a:bodyPr/>
        <a:lstStyle/>
        <a:p>
          <a:endParaRPr lang="en-US"/>
        </a:p>
      </dgm:t>
    </dgm:pt>
    <dgm:pt modelId="{9F99C0C6-AD5B-1A41-A6E9-71CB5C2F1A79}">
      <dgm:prSet phldrT="[Text]"/>
      <dgm:spPr/>
      <dgm:t>
        <a:bodyPr/>
        <a:lstStyle/>
        <a:p>
          <a:r>
            <a:rPr lang="en-US"/>
            <a:t>When &amp; how to escalate care</a:t>
          </a:r>
        </a:p>
      </dgm:t>
    </dgm:pt>
    <dgm:pt modelId="{6B072E6D-9B0A-A34C-99C3-D9684DA4BDC7}" type="parTrans" cxnId="{FFD209E2-CA79-304A-A5D4-2B5B24398720}">
      <dgm:prSet/>
      <dgm:spPr/>
      <dgm:t>
        <a:bodyPr/>
        <a:lstStyle/>
        <a:p>
          <a:endParaRPr lang="en-US"/>
        </a:p>
      </dgm:t>
    </dgm:pt>
    <dgm:pt modelId="{C1FCA0C0-3C26-4B44-BC1B-CC09DDAA22D2}" type="sibTrans" cxnId="{FFD209E2-CA79-304A-A5D4-2B5B24398720}">
      <dgm:prSet/>
      <dgm:spPr/>
      <dgm:t>
        <a:bodyPr/>
        <a:lstStyle/>
        <a:p>
          <a:endParaRPr lang="en-US"/>
        </a:p>
      </dgm:t>
    </dgm:pt>
    <dgm:pt modelId="{4C5D31BB-242D-8743-9AF1-9A42029B62A1}">
      <dgm:prSet phldrT="[Text]"/>
      <dgm:spPr/>
      <dgm:t>
        <a:bodyPr/>
        <a:lstStyle/>
        <a:p>
          <a:r>
            <a:rPr lang="en-US"/>
            <a:t>Acceptance will not always know what to do</a:t>
          </a:r>
        </a:p>
      </dgm:t>
    </dgm:pt>
    <dgm:pt modelId="{52308A38-F35A-224E-95B2-6A93459D3A3D}" type="parTrans" cxnId="{2352C9F9-4F5B-2A4F-96E9-6A1EAAF3C3BC}">
      <dgm:prSet/>
      <dgm:spPr/>
      <dgm:t>
        <a:bodyPr/>
        <a:lstStyle/>
        <a:p>
          <a:endParaRPr lang="en-US"/>
        </a:p>
      </dgm:t>
    </dgm:pt>
    <dgm:pt modelId="{66769CA0-AEBD-184D-A6EB-3C912E5DB84B}" type="sibTrans" cxnId="{2352C9F9-4F5B-2A4F-96E9-6A1EAAF3C3BC}">
      <dgm:prSet/>
      <dgm:spPr/>
      <dgm:t>
        <a:bodyPr/>
        <a:lstStyle/>
        <a:p>
          <a:endParaRPr lang="en-US"/>
        </a:p>
      </dgm:t>
    </dgm:pt>
    <dgm:pt modelId="{14CA4C45-A881-874A-9532-CE2E1DF7F7BF}">
      <dgm:prSet phldrT="[Text]"/>
      <dgm:spPr/>
      <dgm:t>
        <a:bodyPr/>
        <a:lstStyle/>
        <a:p>
          <a:r>
            <a:rPr lang="en-US"/>
            <a:t>Seconds for safety - time out - clarify kit, dose, decision</a:t>
          </a:r>
        </a:p>
      </dgm:t>
    </dgm:pt>
    <dgm:pt modelId="{49B9C450-8093-E742-AA11-2F618F8350A2}" type="parTrans" cxnId="{6EB072F3-FBB0-2A4B-B7DF-DD8AF2097808}">
      <dgm:prSet/>
      <dgm:spPr/>
      <dgm:t>
        <a:bodyPr/>
        <a:lstStyle/>
        <a:p>
          <a:endParaRPr lang="en-US"/>
        </a:p>
      </dgm:t>
    </dgm:pt>
    <dgm:pt modelId="{515941A1-458B-E949-889E-F8A0C7AFB312}" type="sibTrans" cxnId="{6EB072F3-FBB0-2A4B-B7DF-DD8AF2097808}">
      <dgm:prSet/>
      <dgm:spPr/>
      <dgm:t>
        <a:bodyPr/>
        <a:lstStyle/>
        <a:p>
          <a:endParaRPr lang="en-US"/>
        </a:p>
      </dgm:t>
    </dgm:pt>
    <dgm:pt modelId="{2004BE47-F37C-764C-8340-DD7DC6AF4CDE}">
      <dgm:prSet phldrT="[Text]"/>
      <dgm:spPr/>
      <dgm:t>
        <a:bodyPr/>
        <a:lstStyle/>
        <a:p>
          <a:r>
            <a:rPr lang="en-US"/>
            <a:t>Raise awareness - situation, diagnosis, different equipment</a:t>
          </a:r>
        </a:p>
      </dgm:t>
    </dgm:pt>
    <dgm:pt modelId="{B783AB4B-D85E-C144-AF8F-125B688FA33F}" type="parTrans" cxnId="{A147B992-95E2-8540-8AB2-6135BB4D77E3}">
      <dgm:prSet/>
      <dgm:spPr/>
      <dgm:t>
        <a:bodyPr/>
        <a:lstStyle/>
        <a:p>
          <a:endParaRPr lang="en-US"/>
        </a:p>
      </dgm:t>
    </dgm:pt>
    <dgm:pt modelId="{CAD4C346-D47A-874F-8230-3585067F6A9A}" type="sibTrans" cxnId="{A147B992-95E2-8540-8AB2-6135BB4D77E3}">
      <dgm:prSet/>
      <dgm:spPr/>
      <dgm:t>
        <a:bodyPr/>
        <a:lstStyle/>
        <a:p>
          <a:endParaRPr lang="en-US"/>
        </a:p>
      </dgm:t>
    </dgm:pt>
    <dgm:pt modelId="{019FC0B2-B732-F141-80C9-AC12C2E0FDA4}">
      <dgm:prSet phldrT="[Text]"/>
      <dgm:spPr/>
      <dgm:t>
        <a:bodyPr/>
        <a:lstStyle/>
        <a:p>
          <a:r>
            <a:rPr lang="en-US"/>
            <a:t>Test systems &amp; processes eg new trauma unit</a:t>
          </a:r>
        </a:p>
      </dgm:t>
    </dgm:pt>
    <dgm:pt modelId="{FD750C0F-E64C-8C45-A6BC-52940285612A}" type="parTrans" cxnId="{E407A9A7-28F2-CE4D-86BA-5554BC82066B}">
      <dgm:prSet/>
      <dgm:spPr/>
      <dgm:t>
        <a:bodyPr/>
        <a:lstStyle/>
        <a:p>
          <a:endParaRPr lang="en-US"/>
        </a:p>
      </dgm:t>
    </dgm:pt>
    <dgm:pt modelId="{0C8ADC1E-663B-A44C-BC3E-97F6A451842C}" type="sibTrans" cxnId="{E407A9A7-28F2-CE4D-86BA-5554BC82066B}">
      <dgm:prSet/>
      <dgm:spPr/>
      <dgm:t>
        <a:bodyPr/>
        <a:lstStyle/>
        <a:p>
          <a:endParaRPr lang="en-US"/>
        </a:p>
      </dgm:t>
    </dgm:pt>
    <dgm:pt modelId="{37728FA2-5D35-3A4C-9A36-91C9C55CA50D}">
      <dgm:prSet phldrT="[Text]"/>
      <dgm:spPr/>
      <dgm:t>
        <a:bodyPr/>
        <a:lstStyle/>
        <a:p>
          <a:r>
            <a:rPr lang="en-US"/>
            <a:t>Set agenda &amp; practice dangerous scenarios</a:t>
          </a:r>
        </a:p>
      </dgm:t>
    </dgm:pt>
    <dgm:pt modelId="{C59A9133-3D20-C24D-B671-2FEF551D73AA}" type="parTrans" cxnId="{80F8D158-1E97-2846-BF3E-35A2C73122DA}">
      <dgm:prSet/>
      <dgm:spPr/>
      <dgm:t>
        <a:bodyPr/>
        <a:lstStyle/>
        <a:p>
          <a:endParaRPr lang="en-US"/>
        </a:p>
      </dgm:t>
    </dgm:pt>
    <dgm:pt modelId="{48BEFEF5-CE90-7644-AFE0-534B6AE0FCBF}" type="sibTrans" cxnId="{80F8D158-1E97-2846-BF3E-35A2C73122DA}">
      <dgm:prSet/>
      <dgm:spPr/>
      <dgm:t>
        <a:bodyPr/>
        <a:lstStyle/>
        <a:p>
          <a:endParaRPr lang="en-US"/>
        </a:p>
      </dgm:t>
    </dgm:pt>
    <dgm:pt modelId="{93EA99D2-021E-4445-B828-C809021D3384}">
      <dgm:prSet phldrT="[Text]"/>
      <dgm:spPr/>
      <dgm:t>
        <a:bodyPr/>
        <a:lstStyle/>
        <a:p>
          <a:r>
            <a:rPr lang="en-US"/>
            <a:t>Task fixation - when &amp; how to employ and avoid</a:t>
          </a:r>
        </a:p>
      </dgm:t>
    </dgm:pt>
    <dgm:pt modelId="{DD0BDF3F-8F12-DE4E-A595-0649B732BECF}" type="parTrans" cxnId="{0A09642B-7CAB-A044-9106-D26FFD1E328E}">
      <dgm:prSet/>
      <dgm:spPr/>
      <dgm:t>
        <a:bodyPr/>
        <a:lstStyle/>
        <a:p>
          <a:endParaRPr lang="en-US"/>
        </a:p>
      </dgm:t>
    </dgm:pt>
    <dgm:pt modelId="{FE2D1C29-99EE-D84D-A3DB-56E4DCDA74BF}" type="sibTrans" cxnId="{0A09642B-7CAB-A044-9106-D26FFD1E328E}">
      <dgm:prSet/>
      <dgm:spPr/>
      <dgm:t>
        <a:bodyPr/>
        <a:lstStyle/>
        <a:p>
          <a:endParaRPr lang="en-US"/>
        </a:p>
      </dgm:t>
    </dgm:pt>
    <dgm:pt modelId="{3AD40A82-DF9C-5845-98AC-443AEDF0848B}">
      <dgm:prSet phldrT="[Text]"/>
      <dgm:spPr/>
      <dgm:t>
        <a:bodyPr/>
        <a:lstStyle/>
        <a:p>
          <a:r>
            <a:rPr lang="en-US"/>
            <a:t>Safe to learn from consequence in simulation</a:t>
          </a:r>
        </a:p>
      </dgm:t>
    </dgm:pt>
    <dgm:pt modelId="{4027A686-6420-4E46-9880-FBE91FFB695D}" type="parTrans" cxnId="{A40CB893-9A80-8B40-B893-E1D16D78EBD3}">
      <dgm:prSet/>
      <dgm:spPr/>
      <dgm:t>
        <a:bodyPr/>
        <a:lstStyle/>
        <a:p>
          <a:endParaRPr lang="en-US"/>
        </a:p>
      </dgm:t>
    </dgm:pt>
    <dgm:pt modelId="{1EB82381-02C1-2B4B-A4B1-C7732210882A}" type="sibTrans" cxnId="{A40CB893-9A80-8B40-B893-E1D16D78EBD3}">
      <dgm:prSet/>
      <dgm:spPr/>
      <dgm:t>
        <a:bodyPr/>
        <a:lstStyle/>
        <a:p>
          <a:endParaRPr lang="en-US"/>
        </a:p>
      </dgm:t>
    </dgm:pt>
    <dgm:pt modelId="{8300AB65-8754-C247-AD03-331BFC8ECCDE}">
      <dgm:prSet phldrT="[Text]"/>
      <dgm:spPr/>
      <dgm:t>
        <a:bodyPr/>
        <a:lstStyle/>
        <a:p>
          <a:r>
            <a:rPr lang="en-US"/>
            <a:t>Impact of action vs omission - case study 1 and 2 </a:t>
          </a:r>
        </a:p>
      </dgm:t>
    </dgm:pt>
    <dgm:pt modelId="{CCA4B713-7FD1-AB47-B45D-9B2C9131CD1D}" type="parTrans" cxnId="{2CF4B283-ABE2-C040-829D-BC16A46B5983}">
      <dgm:prSet/>
      <dgm:spPr/>
      <dgm:t>
        <a:bodyPr/>
        <a:lstStyle/>
        <a:p>
          <a:endParaRPr lang="en-US"/>
        </a:p>
      </dgm:t>
    </dgm:pt>
    <dgm:pt modelId="{39FEB408-A472-C742-B1E6-C5F2A788BC6E}" type="sibTrans" cxnId="{2CF4B283-ABE2-C040-829D-BC16A46B5983}">
      <dgm:prSet/>
      <dgm:spPr/>
      <dgm:t>
        <a:bodyPr/>
        <a:lstStyle/>
        <a:p>
          <a:endParaRPr lang="en-US"/>
        </a:p>
      </dgm:t>
    </dgm:pt>
    <dgm:pt modelId="{5D149D62-519A-7749-8C56-C98A7DDF338E}">
      <dgm:prSet phldrT="[Text]"/>
      <dgm:spPr/>
      <dgm:t>
        <a:bodyPr/>
        <a:lstStyle/>
        <a:p>
          <a:r>
            <a:rPr lang="en-US"/>
            <a:t>Impact of labelling patient due to pressure for early diagnosis - wrong management route</a:t>
          </a:r>
        </a:p>
      </dgm:t>
    </dgm:pt>
    <dgm:pt modelId="{4F0E4AF0-ADFC-6C48-A1C0-5C9F893EFC0D}" type="parTrans" cxnId="{32326CD4-A0C5-5247-A37C-A6A29F62C5FB}">
      <dgm:prSet/>
      <dgm:spPr/>
      <dgm:t>
        <a:bodyPr/>
        <a:lstStyle/>
        <a:p>
          <a:endParaRPr lang="en-US"/>
        </a:p>
      </dgm:t>
    </dgm:pt>
    <dgm:pt modelId="{BA3839E6-7A79-8D4E-A5FF-6CA7ACFFC54D}" type="sibTrans" cxnId="{32326CD4-A0C5-5247-A37C-A6A29F62C5FB}">
      <dgm:prSet/>
      <dgm:spPr/>
      <dgm:t>
        <a:bodyPr/>
        <a:lstStyle/>
        <a:p>
          <a:endParaRPr lang="en-US"/>
        </a:p>
      </dgm:t>
    </dgm:pt>
    <dgm:pt modelId="{429E800B-9166-254F-BC8F-47F706E4624E}">
      <dgm:prSet phldrT="[Text]"/>
      <dgm:spPr/>
      <dgm:t>
        <a:bodyPr/>
        <a:lstStyle/>
        <a:p>
          <a:r>
            <a:rPr lang="en-US"/>
            <a:t>Learn from mistakes very powerful</a:t>
          </a:r>
        </a:p>
      </dgm:t>
    </dgm:pt>
    <dgm:pt modelId="{C0AAAF64-F056-5D4A-8AC9-E726F02F68E7}" type="parTrans" cxnId="{0CC960F4-4649-314C-8434-D3420032618D}">
      <dgm:prSet/>
      <dgm:spPr/>
      <dgm:t>
        <a:bodyPr/>
        <a:lstStyle/>
        <a:p>
          <a:endParaRPr lang="en-US"/>
        </a:p>
      </dgm:t>
    </dgm:pt>
    <dgm:pt modelId="{9DB61AF7-CF80-164A-9938-AEC645D5799D}" type="sibTrans" cxnId="{0CC960F4-4649-314C-8434-D3420032618D}">
      <dgm:prSet/>
      <dgm:spPr/>
      <dgm:t>
        <a:bodyPr/>
        <a:lstStyle/>
        <a:p>
          <a:endParaRPr lang="en-US"/>
        </a:p>
      </dgm:t>
    </dgm:pt>
    <dgm:pt modelId="{50DEDD69-07F4-7642-9BB1-4022295E2302}">
      <dgm:prSet phldrT="[Text]"/>
      <dgm:spPr/>
      <dgm:t>
        <a:bodyPr/>
        <a:lstStyle/>
        <a:p>
          <a:r>
            <a:rPr lang="en-US"/>
            <a:t>Understand different roles &amp; interplay</a:t>
          </a:r>
        </a:p>
        <a:p>
          <a:r>
            <a:rPr lang="en-US"/>
            <a:t>Develop clear effective teamwork skills</a:t>
          </a:r>
        </a:p>
        <a:p>
          <a:r>
            <a:rPr lang="en-US"/>
            <a:t>Build trust, respect, rapport &amp; understanding</a:t>
          </a:r>
        </a:p>
      </dgm:t>
    </dgm:pt>
    <dgm:pt modelId="{CC816572-D1B6-814F-ADD1-EDC6DF3602D6}" type="parTrans" cxnId="{69C0710A-34A4-FD4B-8B37-3E6824EC83EB}">
      <dgm:prSet/>
      <dgm:spPr/>
      <dgm:t>
        <a:bodyPr/>
        <a:lstStyle/>
        <a:p>
          <a:endParaRPr lang="en-US"/>
        </a:p>
      </dgm:t>
    </dgm:pt>
    <dgm:pt modelId="{A27F427B-804B-744B-836F-E1D229F806ED}" type="sibTrans" cxnId="{69C0710A-34A4-FD4B-8B37-3E6824EC83EB}">
      <dgm:prSet/>
      <dgm:spPr/>
      <dgm:t>
        <a:bodyPr/>
        <a:lstStyle/>
        <a:p>
          <a:endParaRPr lang="en-US"/>
        </a:p>
      </dgm:t>
    </dgm:pt>
    <dgm:pt modelId="{2BFCB23D-D884-774F-B5A4-D51EA1F3D97F}">
      <dgm:prSet phldrT="[Text]"/>
      <dgm:spPr/>
      <dgm:t>
        <a:bodyPr/>
        <a:lstStyle/>
        <a:p>
          <a:r>
            <a:rPr lang="en-US"/>
            <a:t>Work together to deliver quality compassionate care</a:t>
          </a:r>
        </a:p>
      </dgm:t>
    </dgm:pt>
    <dgm:pt modelId="{B707FA99-1034-2E44-BA21-64D821728D11}" type="parTrans" cxnId="{5E933CD4-C141-F54E-BB1E-C29E69A6FCD9}">
      <dgm:prSet/>
      <dgm:spPr/>
      <dgm:t>
        <a:bodyPr/>
        <a:lstStyle/>
        <a:p>
          <a:endParaRPr lang="en-US"/>
        </a:p>
      </dgm:t>
    </dgm:pt>
    <dgm:pt modelId="{AE8EC237-F4D2-7A4D-AE9A-02ABADFEA65B}" type="sibTrans" cxnId="{5E933CD4-C141-F54E-BB1E-C29E69A6FCD9}">
      <dgm:prSet/>
      <dgm:spPr/>
      <dgm:t>
        <a:bodyPr/>
        <a:lstStyle/>
        <a:p>
          <a:endParaRPr lang="en-US"/>
        </a:p>
      </dgm:t>
    </dgm:pt>
    <dgm:pt modelId="{E6DABF2D-5F64-4C48-87B0-87B4F60989C4}">
      <dgm:prSet phldrT="[Text]"/>
      <dgm:spPr/>
      <dgm:t>
        <a:bodyPr/>
        <a:lstStyle/>
        <a:p>
          <a:r>
            <a:rPr lang="en-US"/>
            <a:t>Access hierarchy</a:t>
          </a:r>
        </a:p>
      </dgm:t>
    </dgm:pt>
    <dgm:pt modelId="{A8E5ABEA-210F-2446-9D09-E3C4E69595C7}" type="parTrans" cxnId="{F4AD66C3-706C-4D4E-99B5-FB1FFDFB4AB0}">
      <dgm:prSet/>
      <dgm:spPr/>
      <dgm:t>
        <a:bodyPr/>
        <a:lstStyle/>
        <a:p>
          <a:endParaRPr lang="en-US"/>
        </a:p>
      </dgm:t>
    </dgm:pt>
    <dgm:pt modelId="{B55D3538-63C1-E24E-A212-D19DD15213EF}" type="sibTrans" cxnId="{F4AD66C3-706C-4D4E-99B5-FB1FFDFB4AB0}">
      <dgm:prSet/>
      <dgm:spPr/>
      <dgm:t>
        <a:bodyPr/>
        <a:lstStyle/>
        <a:p>
          <a:endParaRPr lang="en-US"/>
        </a:p>
      </dgm:t>
    </dgm:pt>
    <dgm:pt modelId="{88FB692C-6162-7C46-B72C-5F0BA103A1FE}">
      <dgm:prSet phldrT="[Text]"/>
      <dgm:spPr/>
      <dgm:t>
        <a:bodyPr/>
        <a:lstStyle/>
        <a:p>
          <a:r>
            <a:rPr lang="en-US"/>
            <a:t>Clarify plans for patients</a:t>
          </a:r>
        </a:p>
      </dgm:t>
    </dgm:pt>
    <dgm:pt modelId="{72A5B143-69F5-6B49-9A87-F365EA97B6F4}" type="parTrans" cxnId="{6D745596-77D6-4F45-A25C-4F1E020FA10D}">
      <dgm:prSet/>
      <dgm:spPr/>
      <dgm:t>
        <a:bodyPr/>
        <a:lstStyle/>
        <a:p>
          <a:endParaRPr lang="en-US"/>
        </a:p>
      </dgm:t>
    </dgm:pt>
    <dgm:pt modelId="{9EB0FFA8-D06B-994D-ADEC-F29318D5D1CF}" type="sibTrans" cxnId="{6D745596-77D6-4F45-A25C-4F1E020FA10D}">
      <dgm:prSet/>
      <dgm:spPr/>
      <dgm:t>
        <a:bodyPr/>
        <a:lstStyle/>
        <a:p>
          <a:endParaRPr lang="en-US"/>
        </a:p>
      </dgm:t>
    </dgm:pt>
    <dgm:pt modelId="{B30CA1AE-993F-A343-B30E-AF12FC65EFFA}">
      <dgm:prSet phldrT="[Text]"/>
      <dgm:spPr/>
      <dgm:t>
        <a:bodyPr/>
        <a:lstStyle/>
        <a:p>
          <a:r>
            <a:rPr lang="en-US"/>
            <a:t>Understand decisions</a:t>
          </a:r>
        </a:p>
      </dgm:t>
    </dgm:pt>
    <dgm:pt modelId="{5A2C915F-0410-3240-B267-59A5609848CC}" type="parTrans" cxnId="{7AEBDA93-8780-274C-82AE-5771AD47EA47}">
      <dgm:prSet/>
      <dgm:spPr/>
      <dgm:t>
        <a:bodyPr/>
        <a:lstStyle/>
        <a:p>
          <a:endParaRPr lang="en-US"/>
        </a:p>
      </dgm:t>
    </dgm:pt>
    <dgm:pt modelId="{F3B7D30E-E11D-AF49-8E43-0BF7ED5EFD46}" type="sibTrans" cxnId="{7AEBDA93-8780-274C-82AE-5771AD47EA47}">
      <dgm:prSet/>
      <dgm:spPr/>
      <dgm:t>
        <a:bodyPr/>
        <a:lstStyle/>
        <a:p>
          <a:endParaRPr lang="en-US"/>
        </a:p>
      </dgm:t>
    </dgm:pt>
    <dgm:pt modelId="{0AD45255-0100-AC42-9383-ED11CDE82639}">
      <dgm:prSet phldrT="[Text]"/>
      <dgm:spPr/>
      <dgm:t>
        <a:bodyPr/>
        <a:lstStyle/>
        <a:p>
          <a:r>
            <a:rPr lang="en-US"/>
            <a:t>Speak up - patient advocate</a:t>
          </a:r>
        </a:p>
      </dgm:t>
    </dgm:pt>
    <dgm:pt modelId="{AC923572-ED32-2342-B486-F71ED62F1C7C}" type="parTrans" cxnId="{07BEB490-7702-0E46-A322-0C0AA0729055}">
      <dgm:prSet/>
      <dgm:spPr/>
      <dgm:t>
        <a:bodyPr/>
        <a:lstStyle/>
        <a:p>
          <a:endParaRPr lang="en-US"/>
        </a:p>
      </dgm:t>
    </dgm:pt>
    <dgm:pt modelId="{8B52FBE4-E7FB-7842-A61B-6F516F2B1A31}" type="sibTrans" cxnId="{07BEB490-7702-0E46-A322-0C0AA0729055}">
      <dgm:prSet/>
      <dgm:spPr/>
      <dgm:t>
        <a:bodyPr/>
        <a:lstStyle/>
        <a:p>
          <a:endParaRPr lang="en-US"/>
        </a:p>
      </dgm:t>
    </dgm:pt>
    <dgm:pt modelId="{0776BCA4-99F0-3E4E-BE0D-3017A2566AB9}">
      <dgm:prSet phldrT="[Text]"/>
      <dgm:spPr/>
      <dgm:t>
        <a:bodyPr/>
        <a:lstStyle/>
        <a:p>
          <a:r>
            <a:rPr lang="en-US"/>
            <a:t>Practice challenging hierarchy</a:t>
          </a:r>
        </a:p>
      </dgm:t>
    </dgm:pt>
    <dgm:pt modelId="{32AE96DF-62A2-044F-84AA-DEE7075005B7}" type="parTrans" cxnId="{861EE946-C9FA-5D40-A8A1-B433168E5158}">
      <dgm:prSet/>
      <dgm:spPr/>
      <dgm:t>
        <a:bodyPr/>
        <a:lstStyle/>
        <a:p>
          <a:endParaRPr lang="en-US"/>
        </a:p>
      </dgm:t>
    </dgm:pt>
    <dgm:pt modelId="{3A2331B1-C099-7E40-86CB-0CCFBC1124B7}" type="sibTrans" cxnId="{861EE946-C9FA-5D40-A8A1-B433168E5158}">
      <dgm:prSet/>
      <dgm:spPr/>
      <dgm:t>
        <a:bodyPr/>
        <a:lstStyle/>
        <a:p>
          <a:endParaRPr lang="en-US"/>
        </a:p>
      </dgm:t>
    </dgm:pt>
    <dgm:pt modelId="{F2B81902-BA3C-FB4E-A72A-12A58688FA0B}">
      <dgm:prSet phldrT="[Text]"/>
      <dgm:spPr/>
      <dgm:t>
        <a:bodyPr/>
        <a:lstStyle/>
        <a:p>
          <a:r>
            <a:rPr lang="en-US"/>
            <a:t>Value teamwork as much as knowledge</a:t>
          </a:r>
        </a:p>
      </dgm:t>
    </dgm:pt>
    <dgm:pt modelId="{8B0685DF-3971-054C-9772-8EAC823E2FC9}" type="parTrans" cxnId="{CEB3E246-8BAD-5C4B-8353-528248E3C649}">
      <dgm:prSet/>
      <dgm:spPr/>
      <dgm:t>
        <a:bodyPr/>
        <a:lstStyle/>
        <a:p>
          <a:endParaRPr lang="en-US"/>
        </a:p>
      </dgm:t>
    </dgm:pt>
    <dgm:pt modelId="{1F336B1E-FC01-7C41-BC55-E877BEEA0523}" type="sibTrans" cxnId="{CEB3E246-8BAD-5C4B-8353-528248E3C649}">
      <dgm:prSet/>
      <dgm:spPr/>
      <dgm:t>
        <a:bodyPr/>
        <a:lstStyle/>
        <a:p>
          <a:endParaRPr lang="en-US"/>
        </a:p>
      </dgm:t>
    </dgm:pt>
    <dgm:pt modelId="{4008D209-3951-9042-A7CF-61B50CD1D4F9}" type="pres">
      <dgm:prSet presAssocID="{2531D690-ECB8-804C-8449-58EECCC98C9A}" presName="Name0" presStyleCnt="0">
        <dgm:presLayoutVars>
          <dgm:chMax val="1"/>
          <dgm:chPref val="1"/>
          <dgm:dir/>
          <dgm:animOne val="branch"/>
          <dgm:animLvl val="lvl"/>
        </dgm:presLayoutVars>
      </dgm:prSet>
      <dgm:spPr/>
    </dgm:pt>
    <dgm:pt modelId="{D20993A0-6A63-454B-9300-3FC8C623C3C2}" type="pres">
      <dgm:prSet presAssocID="{1BD4820B-DCAE-9844-9D3D-3A0E0314A938}" presName="textCenter" presStyleLbl="node1" presStyleIdx="0" presStyleCnt="46"/>
      <dgm:spPr/>
    </dgm:pt>
    <dgm:pt modelId="{052F0319-F39D-FC47-AC63-6DE0DC06C44B}" type="pres">
      <dgm:prSet presAssocID="{1BD4820B-DCAE-9844-9D3D-3A0E0314A938}" presName="cycle_1" presStyleCnt="0"/>
      <dgm:spPr/>
    </dgm:pt>
    <dgm:pt modelId="{37ACD91D-816B-1C45-8C67-48A2A43BC9BD}" type="pres">
      <dgm:prSet presAssocID="{A586BA9F-9E52-8E4C-A848-2B55C56B43EC}" presName="childCenter1" presStyleLbl="node1" presStyleIdx="1" presStyleCnt="46" custScaleX="175965" custScaleY="134037"/>
      <dgm:spPr/>
    </dgm:pt>
    <dgm:pt modelId="{919E4A44-0527-CB49-BA4D-41EAF909F131}" type="pres">
      <dgm:prSet presAssocID="{8D0FF7B0-4303-2741-AC55-E9D3365A85A1}" presName="Name141" presStyleLbl="parChTrans1D3" presStyleIdx="0" presStyleCnt="38"/>
      <dgm:spPr/>
    </dgm:pt>
    <dgm:pt modelId="{F5E0F908-13EC-5B46-B908-3AA6F155E271}" type="pres">
      <dgm:prSet presAssocID="{433FE9D3-159B-7F4E-ADBF-BED0D16A146F}" presName="text1" presStyleLbl="node1" presStyleIdx="2" presStyleCnt="46">
        <dgm:presLayoutVars>
          <dgm:bulletEnabled val="1"/>
        </dgm:presLayoutVars>
      </dgm:prSet>
      <dgm:spPr/>
    </dgm:pt>
    <dgm:pt modelId="{44E484C2-DE86-3F4F-9931-87EAB1D295D9}" type="pres">
      <dgm:prSet presAssocID="{735C8DEB-D70D-1743-8E85-EBED8E02F94E}" presName="Name141" presStyleLbl="parChTrans1D3" presStyleIdx="1" presStyleCnt="38"/>
      <dgm:spPr/>
    </dgm:pt>
    <dgm:pt modelId="{1E154690-E688-E94F-81C4-8E269EF1F909}" type="pres">
      <dgm:prSet presAssocID="{7221C19C-5112-EC43-97E6-B4D04E4532C9}" presName="text1" presStyleLbl="node1" presStyleIdx="3" presStyleCnt="46" custScaleX="175159" custRadScaleRad="174062" custRadScaleInc="72938">
        <dgm:presLayoutVars>
          <dgm:bulletEnabled val="1"/>
        </dgm:presLayoutVars>
      </dgm:prSet>
      <dgm:spPr/>
    </dgm:pt>
    <dgm:pt modelId="{7354300F-823C-9B42-A027-A73BAE562F15}" type="pres">
      <dgm:prSet presAssocID="{56E517D9-79FC-1545-8360-F23418F78D0A}" presName="Name141" presStyleLbl="parChTrans1D3" presStyleIdx="2" presStyleCnt="38"/>
      <dgm:spPr/>
    </dgm:pt>
    <dgm:pt modelId="{270943C1-6CAB-0A46-8608-B6D1C773EA80}" type="pres">
      <dgm:prSet presAssocID="{56CACCFF-3EB1-7846-9DA3-AE93E9E5C1F2}" presName="text1" presStyleLbl="node1" presStyleIdx="4" presStyleCnt="46" custScaleX="207007" custRadScaleRad="180922">
        <dgm:presLayoutVars>
          <dgm:bulletEnabled val="1"/>
        </dgm:presLayoutVars>
      </dgm:prSet>
      <dgm:spPr/>
    </dgm:pt>
    <dgm:pt modelId="{65970B6D-F2FA-7B4D-B9EE-E87D39EAED5B}" type="pres">
      <dgm:prSet presAssocID="{88AD215D-46D9-EA4B-88D4-721B5D7BECFA}" presName="Name141" presStyleLbl="parChTrans1D3" presStyleIdx="3" presStyleCnt="38"/>
      <dgm:spPr/>
    </dgm:pt>
    <dgm:pt modelId="{6158E2B1-E3C7-8641-8F3D-27DD8C2EFA3C}" type="pres">
      <dgm:prSet presAssocID="{48D3CEBD-E67F-C848-BD29-00D6425ADB2F}" presName="text1" presStyleLbl="node1" presStyleIdx="5" presStyleCnt="46" custScaleX="214303" custRadScaleRad="184592" custRadScaleInc="-58984">
        <dgm:presLayoutVars>
          <dgm:bulletEnabled val="1"/>
        </dgm:presLayoutVars>
      </dgm:prSet>
      <dgm:spPr/>
    </dgm:pt>
    <dgm:pt modelId="{38F0BBDC-5DE9-0E4A-979D-8921426C9FB1}" type="pres">
      <dgm:prSet presAssocID="{7EB27137-51BC-C44E-B13D-E317DB60F267}" presName="Name141" presStyleLbl="parChTrans1D3" presStyleIdx="4" presStyleCnt="38"/>
      <dgm:spPr/>
    </dgm:pt>
    <dgm:pt modelId="{A5D3E6E2-122C-834F-8C5D-CB4419C7C7C5}" type="pres">
      <dgm:prSet presAssocID="{077B163A-EF6F-2B4A-8829-D652EB29940D}" presName="text1" presStyleLbl="node1" presStyleIdx="6" presStyleCnt="46" custScaleX="154312" custRadScaleRad="102349" custRadScaleInc="-54659">
        <dgm:presLayoutVars>
          <dgm:bulletEnabled val="1"/>
        </dgm:presLayoutVars>
      </dgm:prSet>
      <dgm:spPr/>
    </dgm:pt>
    <dgm:pt modelId="{EC9FC018-2061-8543-93BC-C94DA39BEE3E}" type="pres">
      <dgm:prSet presAssocID="{35A59759-4929-7043-91F7-733C4CEB8BDD}" presName="Name141" presStyleLbl="parChTrans1D3" presStyleIdx="5" presStyleCnt="38"/>
      <dgm:spPr/>
    </dgm:pt>
    <dgm:pt modelId="{511FAC9C-0280-6845-83A9-E12C03E98AAC}" type="pres">
      <dgm:prSet presAssocID="{E2695349-1AAD-5140-8D24-65EB5F899636}" presName="text1" presStyleLbl="node1" presStyleIdx="7" presStyleCnt="46" custScaleX="125470" custRadScaleRad="125676" custRadScaleInc="36462">
        <dgm:presLayoutVars>
          <dgm:bulletEnabled val="1"/>
        </dgm:presLayoutVars>
      </dgm:prSet>
      <dgm:spPr/>
    </dgm:pt>
    <dgm:pt modelId="{A191316E-7C5A-CF4B-9EA7-2ADC3980AC63}" type="pres">
      <dgm:prSet presAssocID="{291F57FB-404C-314A-AA6F-94AFE6E31B2B}" presName="Name141" presStyleLbl="parChTrans1D3" presStyleIdx="6" presStyleCnt="38"/>
      <dgm:spPr/>
    </dgm:pt>
    <dgm:pt modelId="{1FF9A392-FC9A-E344-92F5-BAA8F676EAB7}" type="pres">
      <dgm:prSet presAssocID="{62B883E2-D561-A644-9880-C78645065F79}" presName="text1" presStyleLbl="node1" presStyleIdx="8" presStyleCnt="46" custRadScaleRad="144239">
        <dgm:presLayoutVars>
          <dgm:bulletEnabled val="1"/>
        </dgm:presLayoutVars>
      </dgm:prSet>
      <dgm:spPr/>
    </dgm:pt>
    <dgm:pt modelId="{B4356CAA-9B53-F445-8ECB-60778B53938E}" type="pres">
      <dgm:prSet presAssocID="{23BB8C43-A2A0-244B-A977-6B1CF0E8A7D9}" presName="Name141" presStyleLbl="parChTrans1D3" presStyleIdx="7" presStyleCnt="38"/>
      <dgm:spPr/>
    </dgm:pt>
    <dgm:pt modelId="{E1D23DAA-073D-1447-97FB-2E3BECE1DB8A}" type="pres">
      <dgm:prSet presAssocID="{26437832-65DC-F94E-90BB-B8F7061769E0}" presName="text1" presStyleLbl="node1" presStyleIdx="9" presStyleCnt="46" custScaleX="200628" custRadScaleRad="180832" custRadScaleInc="-75839">
        <dgm:presLayoutVars>
          <dgm:bulletEnabled val="1"/>
        </dgm:presLayoutVars>
      </dgm:prSet>
      <dgm:spPr/>
    </dgm:pt>
    <dgm:pt modelId="{32ABA99F-61FA-D74E-93D7-64FFA6AACCBC}" type="pres">
      <dgm:prSet presAssocID="{C616FB26-82F5-7A4A-A509-F1C3A1343EC4}" presName="Name144" presStyleLbl="parChTrans1D2" presStyleIdx="0" presStyleCnt="7"/>
      <dgm:spPr/>
    </dgm:pt>
    <dgm:pt modelId="{47FFD105-BB48-2B46-B377-6A36CB96FB10}" type="pres">
      <dgm:prSet presAssocID="{1BD4820B-DCAE-9844-9D3D-3A0E0314A938}" presName="cycle_2" presStyleCnt="0"/>
      <dgm:spPr/>
    </dgm:pt>
    <dgm:pt modelId="{2CFC2138-8348-F54F-BA1F-2BDB63B31E74}" type="pres">
      <dgm:prSet presAssocID="{CB5A89F2-FEB1-F049-95AA-2FF624EE2AB9}" presName="childCenter2" presStyleLbl="node1" presStyleIdx="10" presStyleCnt="46" custLinFactNeighborX="51080" custLinFactNeighborY="-15762"/>
      <dgm:spPr/>
    </dgm:pt>
    <dgm:pt modelId="{F042E740-2AA2-0A49-B2D2-BD8F4B43A22A}" type="pres">
      <dgm:prSet presAssocID="{79AA1DA6-A3CC-6142-9F59-B7CE5E060BC1}" presName="Name218" presStyleLbl="parChTrans1D3" presStyleIdx="8" presStyleCnt="38"/>
      <dgm:spPr/>
    </dgm:pt>
    <dgm:pt modelId="{E1F2BAA6-29DB-1840-8CBD-2AAC58C95489}" type="pres">
      <dgm:prSet presAssocID="{F3335984-E679-F848-8749-BA0DB5200F82}" presName="text2" presStyleLbl="node1" presStyleIdx="11" presStyleCnt="46" custScaleX="143797" custScaleY="91129" custRadScaleRad="196938" custRadScaleInc="93449">
        <dgm:presLayoutVars>
          <dgm:bulletEnabled val="1"/>
        </dgm:presLayoutVars>
      </dgm:prSet>
      <dgm:spPr/>
    </dgm:pt>
    <dgm:pt modelId="{6BD0BA65-769A-8B4D-8B0F-AFB8B38C02CD}" type="pres">
      <dgm:prSet presAssocID="{3F1CF657-5885-EE4C-B665-DE90CE5AEE86}" presName="Name218" presStyleLbl="parChTrans1D3" presStyleIdx="9" presStyleCnt="38"/>
      <dgm:spPr/>
    </dgm:pt>
    <dgm:pt modelId="{D786D130-47BF-E54D-A477-05236B1290DE}" type="pres">
      <dgm:prSet presAssocID="{AD74AD42-1281-AB46-B56C-229185218D25}" presName="text2" presStyleLbl="node1" presStyleIdx="12" presStyleCnt="46" custRadScaleRad="200180" custRadScaleInc="-11263">
        <dgm:presLayoutVars>
          <dgm:bulletEnabled val="1"/>
        </dgm:presLayoutVars>
      </dgm:prSet>
      <dgm:spPr/>
    </dgm:pt>
    <dgm:pt modelId="{CC2E1410-D9EC-6242-8C15-C464E980A56D}" type="pres">
      <dgm:prSet presAssocID="{719876CF-6834-D44D-8C20-DB0B7D15EA95}" presName="Name218" presStyleLbl="parChTrans1D3" presStyleIdx="10" presStyleCnt="38"/>
      <dgm:spPr/>
    </dgm:pt>
    <dgm:pt modelId="{8B80DE73-DFD5-4145-8DC8-3CC866493571}" type="pres">
      <dgm:prSet presAssocID="{2B7EE0D5-A5AC-B44A-9191-4877D2C0629F}" presName="text2" presStyleLbl="node1" presStyleIdx="13" presStyleCnt="46" custRadScaleRad="186125" custRadScaleInc="-78434">
        <dgm:presLayoutVars>
          <dgm:bulletEnabled val="1"/>
        </dgm:presLayoutVars>
      </dgm:prSet>
      <dgm:spPr/>
    </dgm:pt>
    <dgm:pt modelId="{515FC1B6-1BD9-7741-A219-FF39D741588E}" type="pres">
      <dgm:prSet presAssocID="{5339F62C-3CDF-9247-BE0A-957BCF43F3D6}" presName="Name218" presStyleLbl="parChTrans1D3" presStyleIdx="11" presStyleCnt="38"/>
      <dgm:spPr/>
    </dgm:pt>
    <dgm:pt modelId="{BD1AEE91-40AA-F349-8F16-B5CF0C43112F}" type="pres">
      <dgm:prSet presAssocID="{3BED211E-33C1-EE48-8E6F-DCEF57B324DC}" presName="text2" presStyleLbl="node1" presStyleIdx="14" presStyleCnt="46" custScaleX="220474" custRadScaleRad="76897" custRadScaleInc="-113850">
        <dgm:presLayoutVars>
          <dgm:bulletEnabled val="1"/>
        </dgm:presLayoutVars>
      </dgm:prSet>
      <dgm:spPr/>
    </dgm:pt>
    <dgm:pt modelId="{D6CAD381-38F6-C840-8D45-4E4802A085EF}" type="pres">
      <dgm:prSet presAssocID="{75B9C9F5-D41F-4A44-832C-5FA13026F59A}" presName="Name218" presStyleLbl="parChTrans1D3" presStyleIdx="12" presStyleCnt="38"/>
      <dgm:spPr/>
    </dgm:pt>
    <dgm:pt modelId="{52B331ED-5153-2548-99C1-CD68153ADD4E}" type="pres">
      <dgm:prSet presAssocID="{92A3FF2F-2C3A-4247-BB0B-3A10A129836B}" presName="text2" presStyleLbl="node1" presStyleIdx="15" presStyleCnt="46" custScaleX="164234" custRadScaleRad="95732" custRadScaleInc="188448">
        <dgm:presLayoutVars>
          <dgm:bulletEnabled val="1"/>
        </dgm:presLayoutVars>
      </dgm:prSet>
      <dgm:spPr/>
    </dgm:pt>
    <dgm:pt modelId="{75ACDCAC-C1E8-4447-846A-88F88F6D9F52}" type="pres">
      <dgm:prSet presAssocID="{B654D074-F391-B342-B9C2-AC0D1FCEDB55}" presName="Name221" presStyleLbl="parChTrans1D2" presStyleIdx="1" presStyleCnt="7"/>
      <dgm:spPr/>
    </dgm:pt>
    <dgm:pt modelId="{2ED86812-FCBD-1740-AEB9-07DF8CC7668F}" type="pres">
      <dgm:prSet presAssocID="{1BD4820B-DCAE-9844-9D3D-3A0E0314A938}" presName="cycle_3" presStyleCnt="0"/>
      <dgm:spPr/>
    </dgm:pt>
    <dgm:pt modelId="{EF954303-AACC-E04F-A004-4499BE6B22D8}" type="pres">
      <dgm:prSet presAssocID="{912809A3-69B4-0649-B1FA-90C7A57BE949}" presName="childCenter3" presStyleLbl="node1" presStyleIdx="16" presStyleCnt="46" custScaleX="179598" custScaleY="143112" custLinFactNeighborX="13120"/>
      <dgm:spPr/>
    </dgm:pt>
    <dgm:pt modelId="{FBE986C5-EE91-5D4C-BFD3-D9A022E6B0C2}" type="pres">
      <dgm:prSet presAssocID="{0960DE99-C75E-FB48-AA9E-CD8CB4EDA0BB}" presName="Name285" presStyleLbl="parChTrans1D3" presStyleIdx="13" presStyleCnt="38"/>
      <dgm:spPr/>
    </dgm:pt>
    <dgm:pt modelId="{31FD441B-7749-F04C-8C5D-8BEBC379FDA7}" type="pres">
      <dgm:prSet presAssocID="{83006B2C-A63D-6B4C-AB0F-B2F8D9FBB377}" presName="text3" presStyleLbl="node1" presStyleIdx="17" presStyleCnt="46" custScaleX="174470" custScaleY="123405" custRadScaleRad="121475" custRadScaleInc="45759">
        <dgm:presLayoutVars>
          <dgm:bulletEnabled val="1"/>
        </dgm:presLayoutVars>
      </dgm:prSet>
      <dgm:spPr/>
    </dgm:pt>
    <dgm:pt modelId="{9986D04E-776D-B448-8FA5-25D516AA4E88}" type="pres">
      <dgm:prSet presAssocID="{2ADA8678-8610-2447-B68A-D15C4216BE9D}" presName="Name285" presStyleLbl="parChTrans1D3" presStyleIdx="14" presStyleCnt="38"/>
      <dgm:spPr/>
    </dgm:pt>
    <dgm:pt modelId="{89A3EC70-2E80-9A4E-B474-4A033190CDC4}" type="pres">
      <dgm:prSet presAssocID="{1B2C3151-5306-3348-B9A8-14C4BEB2712B}" presName="text3" presStyleLbl="node1" presStyleIdx="18" presStyleCnt="46" custScaleX="174469" custScaleY="111702" custRadScaleRad="161980" custRadScaleInc="40728">
        <dgm:presLayoutVars>
          <dgm:bulletEnabled val="1"/>
        </dgm:presLayoutVars>
      </dgm:prSet>
      <dgm:spPr/>
    </dgm:pt>
    <dgm:pt modelId="{05479D97-B938-A34E-87D6-88D501FC01C0}" type="pres">
      <dgm:prSet presAssocID="{D6630F1A-D8FB-9343-8462-3B5A14420EAE}" presName="Name285" presStyleLbl="parChTrans1D3" presStyleIdx="15" presStyleCnt="38"/>
      <dgm:spPr/>
    </dgm:pt>
    <dgm:pt modelId="{09F6254C-C5C4-CF4A-8E0C-7BCA40D2A8CE}" type="pres">
      <dgm:prSet presAssocID="{F1F41A46-BF6C-3642-ADCC-3A087792A571}" presName="text3" presStyleLbl="node1" presStyleIdx="19" presStyleCnt="46" custScaleX="197874" custScaleY="123404" custRadScaleRad="156589" custRadScaleInc="91673">
        <dgm:presLayoutVars>
          <dgm:bulletEnabled val="1"/>
        </dgm:presLayoutVars>
      </dgm:prSet>
      <dgm:spPr/>
    </dgm:pt>
    <dgm:pt modelId="{F5F58CCB-8107-6B4A-BDE4-264430FE008B}" type="pres">
      <dgm:prSet presAssocID="{82A0A7AA-25B6-9145-8824-A6FEA47152C6}" presName="Name285" presStyleLbl="parChTrans1D3" presStyleIdx="16" presStyleCnt="38"/>
      <dgm:spPr/>
    </dgm:pt>
    <dgm:pt modelId="{796CC327-4D20-EC45-A926-CDC018E856EC}" type="pres">
      <dgm:prSet presAssocID="{67B71EC3-20DD-C343-BD2D-5A4686728F84}" presName="text3" presStyleLbl="node1" presStyleIdx="20" presStyleCnt="46" custScaleX="174470" custRadScaleRad="183889" custRadScaleInc="45591">
        <dgm:presLayoutVars>
          <dgm:bulletEnabled val="1"/>
        </dgm:presLayoutVars>
      </dgm:prSet>
      <dgm:spPr/>
    </dgm:pt>
    <dgm:pt modelId="{799EEDA3-4449-6647-B2CE-A4FF7BD17415}" type="pres">
      <dgm:prSet presAssocID="{6BAC1380-D6EC-0045-9776-95A514AAB776}" presName="Name285" presStyleLbl="parChTrans1D3" presStyleIdx="17" presStyleCnt="38"/>
      <dgm:spPr/>
    </dgm:pt>
    <dgm:pt modelId="{C5AF3D4F-E7CC-9548-BDCE-B1CCF4EB4381}" type="pres">
      <dgm:prSet presAssocID="{90861C9A-70E5-FD48-97F6-20A522E9495E}" presName="text3" presStyleLbl="node1" presStyleIdx="21" presStyleCnt="46" custScaleX="197874" custScaleY="111704" custRadScaleRad="130155" custRadScaleInc="51450">
        <dgm:presLayoutVars>
          <dgm:bulletEnabled val="1"/>
        </dgm:presLayoutVars>
      </dgm:prSet>
      <dgm:spPr/>
    </dgm:pt>
    <dgm:pt modelId="{3EF590F0-5F21-2047-B3B5-47E59CC74B27}" type="pres">
      <dgm:prSet presAssocID="{1096716C-922B-6C41-BAEB-15AAF9B3458D}" presName="Name285" presStyleLbl="parChTrans1D3" presStyleIdx="18" presStyleCnt="38"/>
      <dgm:spPr/>
    </dgm:pt>
    <dgm:pt modelId="{267C52A9-79AC-4B4B-AA66-22D1305BBEB9}" type="pres">
      <dgm:prSet presAssocID="{98D31983-2B19-9E44-BC5D-FE39D17CDBDB}" presName="text3" presStyleLbl="node1" presStyleIdx="22" presStyleCnt="46" custScaleX="104168" custScaleY="94151" custRadScaleRad="95395" custRadScaleInc="8987">
        <dgm:presLayoutVars>
          <dgm:bulletEnabled val="1"/>
        </dgm:presLayoutVars>
      </dgm:prSet>
      <dgm:spPr/>
    </dgm:pt>
    <dgm:pt modelId="{F169E1E7-86BD-8349-9F37-FDB61FA0B0C1}" type="pres">
      <dgm:prSet presAssocID="{8915702B-1C4C-D04F-96D0-284444C32E75}" presName="Name285" presStyleLbl="parChTrans1D3" presStyleIdx="19" presStyleCnt="38"/>
      <dgm:spPr/>
    </dgm:pt>
    <dgm:pt modelId="{A7755C4C-5B2D-F444-B1EB-AE9C334FFAE5}" type="pres">
      <dgm:prSet presAssocID="{89B9231C-8C5A-D94A-90E4-25D750EF1987}" presName="text3" presStyleLbl="node1" presStyleIdx="23" presStyleCnt="46" custScaleX="143019" custScaleY="149170" custRadScaleRad="117519" custRadScaleInc="26166">
        <dgm:presLayoutVars>
          <dgm:bulletEnabled val="1"/>
        </dgm:presLayoutVars>
      </dgm:prSet>
      <dgm:spPr/>
    </dgm:pt>
    <dgm:pt modelId="{D325D49D-A32D-EE48-9F44-756AF73246CD}" type="pres">
      <dgm:prSet presAssocID="{82E22D1B-24CD-6C4D-8A19-4F3C2F249524}" presName="Name288" presStyleLbl="parChTrans1D2" presStyleIdx="2" presStyleCnt="7"/>
      <dgm:spPr/>
    </dgm:pt>
    <dgm:pt modelId="{3DDAC01E-9874-F94F-9FD2-60BB064C7D55}" type="pres">
      <dgm:prSet presAssocID="{1BD4820B-DCAE-9844-9D3D-3A0E0314A938}" presName="cycle_4" presStyleCnt="0"/>
      <dgm:spPr/>
    </dgm:pt>
    <dgm:pt modelId="{E538692A-61C1-874A-94AC-27277D091F06}" type="pres">
      <dgm:prSet presAssocID="{70C62ECE-D9F3-2546-B334-2F86321733C7}" presName="childCenter4" presStyleLbl="node1" presStyleIdx="24" presStyleCnt="46"/>
      <dgm:spPr/>
    </dgm:pt>
    <dgm:pt modelId="{4C8616FA-7E6A-D641-8BE7-AB9C9A4C7A79}" type="pres">
      <dgm:prSet presAssocID="{BF923F3D-BB2A-B04D-92CB-AAFBA4B5A4B8}" presName="Name342" presStyleLbl="parChTrans1D3" presStyleIdx="20" presStyleCnt="38"/>
      <dgm:spPr/>
    </dgm:pt>
    <dgm:pt modelId="{862238AA-97E0-A94B-99BD-8C1C980802DB}" type="pres">
      <dgm:prSet presAssocID="{6385344F-9E98-9B4E-AB73-EE9070A71177}" presName="text4" presStyleLbl="node1" presStyleIdx="25" presStyleCnt="46">
        <dgm:presLayoutVars>
          <dgm:bulletEnabled val="1"/>
        </dgm:presLayoutVars>
      </dgm:prSet>
      <dgm:spPr/>
    </dgm:pt>
    <dgm:pt modelId="{3D10006A-6652-644D-8024-82569911068F}" type="pres">
      <dgm:prSet presAssocID="{7A3D893C-B6D1-2643-8227-7B5CCCBF7917}" presName="Name342" presStyleLbl="parChTrans1D3" presStyleIdx="21" presStyleCnt="38"/>
      <dgm:spPr/>
    </dgm:pt>
    <dgm:pt modelId="{6C51A908-50D6-6A40-A9B6-7450E1A025BB}" type="pres">
      <dgm:prSet presAssocID="{508D93BB-6C55-E048-AF27-FB3ABB6B9800}" presName="text4" presStyleLbl="node1" presStyleIdx="26" presStyleCnt="46">
        <dgm:presLayoutVars>
          <dgm:bulletEnabled val="1"/>
        </dgm:presLayoutVars>
      </dgm:prSet>
      <dgm:spPr/>
    </dgm:pt>
    <dgm:pt modelId="{B44E45F1-F8D9-E646-9D72-E1DBF0011FDB}" type="pres">
      <dgm:prSet presAssocID="{90DAE63E-99AD-DC47-A86F-DE6B0A0D0CC2}" presName="Name342" presStyleLbl="parChTrans1D3" presStyleIdx="22" presStyleCnt="38"/>
      <dgm:spPr/>
    </dgm:pt>
    <dgm:pt modelId="{4B531F4B-2FCC-634B-A6AE-282E8D8DA9C8}" type="pres">
      <dgm:prSet presAssocID="{D357C12C-764C-8946-84E7-001FFE5F6CC8}" presName="text4" presStyleLbl="node1" presStyleIdx="27" presStyleCnt="46">
        <dgm:presLayoutVars>
          <dgm:bulletEnabled val="1"/>
        </dgm:presLayoutVars>
      </dgm:prSet>
      <dgm:spPr/>
    </dgm:pt>
    <dgm:pt modelId="{88829AF9-A850-6E4D-8858-A04E41EC33BA}" type="pres">
      <dgm:prSet presAssocID="{6B072E6D-9B0A-A34C-99C3-D9684DA4BDC7}" presName="Name342" presStyleLbl="parChTrans1D3" presStyleIdx="23" presStyleCnt="38"/>
      <dgm:spPr/>
    </dgm:pt>
    <dgm:pt modelId="{A0E410EF-A157-E84B-9795-64784B0B825D}" type="pres">
      <dgm:prSet presAssocID="{9F99C0C6-AD5B-1A41-A6E9-71CB5C2F1A79}" presName="text4" presStyleLbl="node1" presStyleIdx="28" presStyleCnt="46">
        <dgm:presLayoutVars>
          <dgm:bulletEnabled val="1"/>
        </dgm:presLayoutVars>
      </dgm:prSet>
      <dgm:spPr/>
    </dgm:pt>
    <dgm:pt modelId="{5E1516D0-C07C-8746-9D8D-9CCD6EB97033}" type="pres">
      <dgm:prSet presAssocID="{52308A38-F35A-224E-95B2-6A93459D3A3D}" presName="Name342" presStyleLbl="parChTrans1D3" presStyleIdx="24" presStyleCnt="38"/>
      <dgm:spPr/>
    </dgm:pt>
    <dgm:pt modelId="{EA712302-D819-7644-96D4-4F4AB369B4D9}" type="pres">
      <dgm:prSet presAssocID="{4C5D31BB-242D-8743-9AF1-9A42029B62A1}" presName="text4" presStyleLbl="node1" presStyleIdx="29" presStyleCnt="46">
        <dgm:presLayoutVars>
          <dgm:bulletEnabled val="1"/>
        </dgm:presLayoutVars>
      </dgm:prSet>
      <dgm:spPr/>
    </dgm:pt>
    <dgm:pt modelId="{89BDBE51-6091-434D-B2AB-0A0CD1FE25C1}" type="pres">
      <dgm:prSet presAssocID="{68E34B84-187B-4349-8F78-FBFD73DEECD6}" presName="Name345" presStyleLbl="parChTrans1D2" presStyleIdx="3" presStyleCnt="7"/>
      <dgm:spPr/>
    </dgm:pt>
    <dgm:pt modelId="{029876DB-C45C-3C4B-9E18-489C7ED94BF7}" type="pres">
      <dgm:prSet presAssocID="{1BD4820B-DCAE-9844-9D3D-3A0E0314A938}" presName="cycle_5" presStyleCnt="0"/>
      <dgm:spPr/>
    </dgm:pt>
    <dgm:pt modelId="{66C466D4-1828-CE4E-B757-989383CA1F6C}" type="pres">
      <dgm:prSet presAssocID="{1BE7F9A9-39BA-CF40-809F-55DFC1FA18A8}" presName="childCenter5" presStyleLbl="node1" presStyleIdx="30" presStyleCnt="46" custScaleX="121654" custScaleY="107744"/>
      <dgm:spPr/>
    </dgm:pt>
    <dgm:pt modelId="{9C50B29B-E69C-0242-B0F5-E19768FD7401}" type="pres">
      <dgm:prSet presAssocID="{49B9C450-8093-E742-AA11-2F618F8350A2}" presName="Name389" presStyleLbl="parChTrans1D3" presStyleIdx="25" presStyleCnt="38"/>
      <dgm:spPr/>
    </dgm:pt>
    <dgm:pt modelId="{2E794E50-54A0-6949-8036-098F1C2A9E58}" type="pres">
      <dgm:prSet presAssocID="{14CA4C45-A881-874A-9532-CE2E1DF7F7BF}" presName="text5" presStyleLbl="node1" presStyleIdx="31" presStyleCnt="46" custScaleX="164934" custScaleY="80205" custRadScaleRad="104103" custRadScaleInc="-44833">
        <dgm:presLayoutVars>
          <dgm:bulletEnabled val="1"/>
        </dgm:presLayoutVars>
      </dgm:prSet>
      <dgm:spPr/>
    </dgm:pt>
    <dgm:pt modelId="{E5EE0051-F15B-0041-B50E-A768306474D4}" type="pres">
      <dgm:prSet presAssocID="{B783AB4B-D85E-C144-AF8F-125B688FA33F}" presName="Name389" presStyleLbl="parChTrans1D3" presStyleIdx="26" presStyleCnt="38"/>
      <dgm:spPr/>
    </dgm:pt>
    <dgm:pt modelId="{BFEB6BC1-CD54-9B48-A906-61D991630C26}" type="pres">
      <dgm:prSet presAssocID="{2004BE47-F37C-764C-8340-DD7DC6AF4CDE}" presName="text5" presStyleLbl="node1" presStyleIdx="32" presStyleCnt="46" custScaleX="164959" custScaleY="90909" custRadScaleRad="130534" custRadScaleInc="-11718">
        <dgm:presLayoutVars>
          <dgm:bulletEnabled val="1"/>
        </dgm:presLayoutVars>
      </dgm:prSet>
      <dgm:spPr/>
    </dgm:pt>
    <dgm:pt modelId="{3CC55AA7-084B-2F4F-A2DC-C3B6EB963FF2}" type="pres">
      <dgm:prSet presAssocID="{FD750C0F-E64C-8C45-A6BC-52940285612A}" presName="Name389" presStyleLbl="parChTrans1D3" presStyleIdx="27" presStyleCnt="38"/>
      <dgm:spPr/>
    </dgm:pt>
    <dgm:pt modelId="{6CE3FBA3-52BE-1C44-AD9F-D8253A8A7BBF}" type="pres">
      <dgm:prSet presAssocID="{019FC0B2-B732-F141-80C9-AC12C2E0FDA4}" presName="text5" presStyleLbl="node1" presStyleIdx="33" presStyleCnt="46" custScaleX="156934" custRadScaleRad="128059" custRadScaleInc="-41168">
        <dgm:presLayoutVars>
          <dgm:bulletEnabled val="1"/>
        </dgm:presLayoutVars>
      </dgm:prSet>
      <dgm:spPr/>
    </dgm:pt>
    <dgm:pt modelId="{34A8029D-AC90-6E45-BF46-B46F3381875F}" type="pres">
      <dgm:prSet presAssocID="{C59A9133-3D20-C24D-B671-2FEF551D73AA}" presName="Name389" presStyleLbl="parChTrans1D3" presStyleIdx="28" presStyleCnt="38"/>
      <dgm:spPr/>
    </dgm:pt>
    <dgm:pt modelId="{25F4FC25-F050-DE4A-9C77-AE6425A15CC1}" type="pres">
      <dgm:prSet presAssocID="{37728FA2-5D35-3A4C-9A36-91C9C55CA50D}" presName="text5" presStyleLbl="node1" presStyleIdx="34" presStyleCnt="46" custScaleX="141328" custRadScaleRad="155655" custRadScaleInc="63012">
        <dgm:presLayoutVars>
          <dgm:bulletEnabled val="1"/>
        </dgm:presLayoutVars>
      </dgm:prSet>
      <dgm:spPr/>
    </dgm:pt>
    <dgm:pt modelId="{8F84E76A-2970-4F47-993B-9FF55A2C1C10}" type="pres">
      <dgm:prSet presAssocID="{DD0BDF3F-8F12-DE4E-A595-0649B732BECF}" presName="Name389" presStyleLbl="parChTrans1D3" presStyleIdx="29" presStyleCnt="38"/>
      <dgm:spPr/>
    </dgm:pt>
    <dgm:pt modelId="{F50DD947-D71D-F949-987A-EAAA59E2D17D}" type="pres">
      <dgm:prSet presAssocID="{93EA99D2-021E-4445-B828-C809021D3384}" presName="text5" presStyleLbl="node1" presStyleIdx="35" presStyleCnt="46" custScaleX="141906" custScaleY="81012" custRadScaleRad="170509" custRadScaleInc="-20996">
        <dgm:presLayoutVars>
          <dgm:bulletEnabled val="1"/>
        </dgm:presLayoutVars>
      </dgm:prSet>
      <dgm:spPr/>
    </dgm:pt>
    <dgm:pt modelId="{C9D2AE91-4C95-3143-918D-994D909618A3}" type="pres">
      <dgm:prSet presAssocID="{A5494BE4-14EB-194F-87C9-B5958984641F}" presName="Name392" presStyleLbl="parChTrans1D2" presStyleIdx="4" presStyleCnt="7"/>
      <dgm:spPr/>
    </dgm:pt>
    <dgm:pt modelId="{21F7FEA9-F222-F44F-A680-C6C3FE56B4B2}" type="pres">
      <dgm:prSet presAssocID="{1BD4820B-DCAE-9844-9D3D-3A0E0314A938}" presName="cycle_6" presStyleCnt="0"/>
      <dgm:spPr/>
    </dgm:pt>
    <dgm:pt modelId="{E134C0B1-92FB-E946-980E-4C20B1CE3448}" type="pres">
      <dgm:prSet presAssocID="{BA159CB8-B9AC-B94D-A7EA-43915F50CCA8}" presName="childCenter6" presStyleLbl="node1" presStyleIdx="36" presStyleCnt="46" custScaleX="180127"/>
      <dgm:spPr/>
    </dgm:pt>
    <dgm:pt modelId="{3C23EC73-71E2-0247-989E-BF7D3BF1262D}" type="pres">
      <dgm:prSet presAssocID="{4027A686-6420-4E46-9880-FBE91FFB695D}" presName="Name426" presStyleLbl="parChTrans1D3" presStyleIdx="30" presStyleCnt="38"/>
      <dgm:spPr/>
    </dgm:pt>
    <dgm:pt modelId="{EBD7BC21-6925-4448-879D-B495107726CB}" type="pres">
      <dgm:prSet presAssocID="{3AD40A82-DF9C-5845-98AC-443AEDF0848B}" presName="text6" presStyleLbl="node1" presStyleIdx="37" presStyleCnt="46" custScaleX="121455" custScaleY="86755">
        <dgm:presLayoutVars>
          <dgm:bulletEnabled val="1"/>
        </dgm:presLayoutVars>
      </dgm:prSet>
      <dgm:spPr/>
    </dgm:pt>
    <dgm:pt modelId="{6E647C1C-BF20-144B-AD7C-3437755A395E}" type="pres">
      <dgm:prSet presAssocID="{CCA4B713-7FD1-AB47-B45D-9B2C9131CD1D}" presName="Name426" presStyleLbl="parChTrans1D3" presStyleIdx="31" presStyleCnt="38"/>
      <dgm:spPr/>
    </dgm:pt>
    <dgm:pt modelId="{F35F3857-4797-1440-AFB6-56E1081E8283}" type="pres">
      <dgm:prSet presAssocID="{8300AB65-8754-C247-AD03-331BFC8ECCDE}" presName="text6" presStyleLbl="node1" presStyleIdx="38" presStyleCnt="46" custRadScaleRad="172196" custRadScaleInc="10655">
        <dgm:presLayoutVars>
          <dgm:bulletEnabled val="1"/>
        </dgm:presLayoutVars>
      </dgm:prSet>
      <dgm:spPr/>
    </dgm:pt>
    <dgm:pt modelId="{5FB694D4-B832-E047-A88F-4C43222DE4C9}" type="pres">
      <dgm:prSet presAssocID="{4F0E4AF0-ADFC-6C48-A1C0-5C9F893EFC0D}" presName="Name426" presStyleLbl="parChTrans1D3" presStyleIdx="32" presStyleCnt="38"/>
      <dgm:spPr/>
    </dgm:pt>
    <dgm:pt modelId="{EBD0AF22-1179-3145-B554-B6DF26CF862F}" type="pres">
      <dgm:prSet presAssocID="{5D149D62-519A-7749-8C56-C98A7DDF338E}" presName="text6" presStyleLbl="node1" presStyleIdx="39" presStyleCnt="46" custScaleX="158672" custRadScaleRad="137027" custRadScaleInc="30424">
        <dgm:presLayoutVars>
          <dgm:bulletEnabled val="1"/>
        </dgm:presLayoutVars>
      </dgm:prSet>
      <dgm:spPr/>
    </dgm:pt>
    <dgm:pt modelId="{8E234813-ACA1-104E-AB59-BF73306C3704}" type="pres">
      <dgm:prSet presAssocID="{C0AAAF64-F056-5D4A-8AC9-E726F02F68E7}" presName="Name426" presStyleLbl="parChTrans1D3" presStyleIdx="33" presStyleCnt="38"/>
      <dgm:spPr/>
    </dgm:pt>
    <dgm:pt modelId="{3F2D7E9B-8158-6942-96BF-4B93F5C232C0}" type="pres">
      <dgm:prSet presAssocID="{429E800B-9166-254F-BC8F-47F706E4624E}" presName="text6" presStyleLbl="node1" presStyleIdx="40" presStyleCnt="46" custRadScaleRad="198668">
        <dgm:presLayoutVars>
          <dgm:bulletEnabled val="1"/>
        </dgm:presLayoutVars>
      </dgm:prSet>
      <dgm:spPr/>
    </dgm:pt>
    <dgm:pt modelId="{D746CC8E-0FF1-744A-BDD8-07535CBFF907}" type="pres">
      <dgm:prSet presAssocID="{2608A10C-6138-764D-AD8F-2312A85F6D12}" presName="Name429" presStyleLbl="parChTrans1D2" presStyleIdx="5" presStyleCnt="7"/>
      <dgm:spPr/>
    </dgm:pt>
    <dgm:pt modelId="{054B4192-B876-7B43-916E-131627408B27}" type="pres">
      <dgm:prSet presAssocID="{1BD4820B-DCAE-9844-9D3D-3A0E0314A938}" presName="cycle_7" presStyleCnt="0"/>
      <dgm:spPr/>
    </dgm:pt>
    <dgm:pt modelId="{7B4D9341-F0C3-CA4B-B84F-4B550AA44EE5}" type="pres">
      <dgm:prSet presAssocID="{7758A3E4-AEC3-1A46-9376-67B1C670A9BC}" presName="childCenter7" presStyleLbl="node1" presStyleIdx="41" presStyleCnt="46" custScaleX="138530"/>
      <dgm:spPr/>
    </dgm:pt>
    <dgm:pt modelId="{BBD6AD10-A50C-DC45-ACAF-2E312F8EFB0F}" type="pres">
      <dgm:prSet presAssocID="{CC816572-D1B6-814F-ADD1-EDC6DF3602D6}" presName="Name453" presStyleLbl="parChTrans1D3" presStyleIdx="34" presStyleCnt="38"/>
      <dgm:spPr/>
    </dgm:pt>
    <dgm:pt modelId="{B4526286-356F-104B-9D34-C986CC9EDF6B}" type="pres">
      <dgm:prSet presAssocID="{50DEDD69-07F4-7642-9BB1-4022295E2302}" presName="text7" presStyleLbl="node1" presStyleIdx="42" presStyleCnt="46" custScaleX="276019" custScaleY="158673" custRadScaleRad="190475" custRadScaleInc="-69366">
        <dgm:presLayoutVars>
          <dgm:bulletEnabled val="1"/>
        </dgm:presLayoutVars>
      </dgm:prSet>
      <dgm:spPr/>
    </dgm:pt>
    <dgm:pt modelId="{C4757226-2FF3-BF4B-A5CE-D982CA6491D0}" type="pres">
      <dgm:prSet presAssocID="{B707FA99-1034-2E44-BA21-64D821728D11}" presName="Name453" presStyleLbl="parChTrans1D3" presStyleIdx="35" presStyleCnt="38"/>
      <dgm:spPr/>
    </dgm:pt>
    <dgm:pt modelId="{7833F867-3240-FE4C-92DB-BE9FBCB646B9}" type="pres">
      <dgm:prSet presAssocID="{2BFCB23D-D884-774F-B5A4-D51EA1F3D97F}" presName="text7" presStyleLbl="node1" presStyleIdx="43" presStyleCnt="46" custScaleX="158672" custRadScaleRad="155582" custRadScaleInc="24081">
        <dgm:presLayoutVars>
          <dgm:bulletEnabled val="1"/>
        </dgm:presLayoutVars>
      </dgm:prSet>
      <dgm:spPr/>
    </dgm:pt>
    <dgm:pt modelId="{26BC3630-55C2-A149-BDCF-A03F01162041}" type="pres">
      <dgm:prSet presAssocID="{8B0685DF-3971-054C-9772-8EAC823E2FC9}" presName="Name453" presStyleLbl="parChTrans1D3" presStyleIdx="36" presStyleCnt="38"/>
      <dgm:spPr/>
    </dgm:pt>
    <dgm:pt modelId="{0A646996-67FD-674D-88ED-79CC29413C1A}" type="pres">
      <dgm:prSet presAssocID="{F2B81902-BA3C-FB4E-A72A-12A58688FA0B}" presName="text7" presStyleLbl="node1" presStyleIdx="44" presStyleCnt="46" custScaleX="167867">
        <dgm:presLayoutVars>
          <dgm:bulletEnabled val="1"/>
        </dgm:presLayoutVars>
      </dgm:prSet>
      <dgm:spPr/>
    </dgm:pt>
    <dgm:pt modelId="{6631F5A2-418E-3D4E-957F-3399A65472AB}" type="pres">
      <dgm:prSet presAssocID="{A8E5ABEA-210F-2446-9D09-E3C4E69595C7}" presName="Name453" presStyleLbl="parChTrans1D3" presStyleIdx="37" presStyleCnt="38"/>
      <dgm:spPr/>
    </dgm:pt>
    <dgm:pt modelId="{C122D6C2-DE93-E943-87C1-37928F13E8A6}" type="pres">
      <dgm:prSet presAssocID="{E6DABF2D-5F64-4C48-87B0-87B4F60989C4}" presName="text7" presStyleLbl="node1" presStyleIdx="45" presStyleCnt="46" custScaleX="217345" custScaleY="142931" custRadScaleRad="241202">
        <dgm:presLayoutVars>
          <dgm:bulletEnabled val="1"/>
        </dgm:presLayoutVars>
      </dgm:prSet>
      <dgm:spPr/>
    </dgm:pt>
    <dgm:pt modelId="{44F2BB17-6602-5D42-8FDA-4F1665B9DC02}" type="pres">
      <dgm:prSet presAssocID="{DBF67BAB-995C-8F48-A597-F390D611A47F}" presName="Name456" presStyleLbl="parChTrans1D2" presStyleIdx="6" presStyleCnt="7"/>
      <dgm:spPr/>
    </dgm:pt>
  </dgm:ptLst>
  <dgm:cxnLst>
    <dgm:cxn modelId="{457F4102-DC24-144E-B50F-4D4669F5A1AB}" type="presOf" srcId="{0960DE99-C75E-FB48-AA9E-CD8CB4EDA0BB}" destId="{FBE986C5-EE91-5D4C-BFD3-D9A022E6B0C2}" srcOrd="0" destOrd="0" presId="urn:microsoft.com/office/officeart/2008/layout/RadialCluster"/>
    <dgm:cxn modelId="{FD890B03-6A00-314B-BBC4-ABE3C3FFD552}" type="presOf" srcId="{75B9C9F5-D41F-4A44-832C-5FA13026F59A}" destId="{D6CAD381-38F6-C840-8D45-4E4802A085EF}" srcOrd="0" destOrd="0" presId="urn:microsoft.com/office/officeart/2008/layout/RadialCluster"/>
    <dgm:cxn modelId="{C5577D03-E9B5-CA42-B4E1-C891B6981FE5}" type="presOf" srcId="{735C8DEB-D70D-1743-8E85-EBED8E02F94E}" destId="{44E484C2-DE86-3F4F-9931-87EAB1D295D9}" srcOrd="0" destOrd="0" presId="urn:microsoft.com/office/officeart/2008/layout/RadialCluster"/>
    <dgm:cxn modelId="{EB666506-D7E0-4B4D-BFA5-4CFEE7E8A609}" srcId="{1BD4820B-DCAE-9844-9D3D-3A0E0314A938}" destId="{A586BA9F-9E52-8E4C-A848-2B55C56B43EC}" srcOrd="0" destOrd="0" parTransId="{C616FB26-82F5-7A4A-A509-F1C3A1343EC4}" sibTransId="{ED36C929-D098-9743-AFAD-A84737B2F3E1}"/>
    <dgm:cxn modelId="{45B47B07-FF79-9647-997F-3FBF1EB0A7DD}" type="presOf" srcId="{DD0BDF3F-8F12-DE4E-A595-0649B732BECF}" destId="{8F84E76A-2970-4F47-993B-9FF55A2C1C10}" srcOrd="0" destOrd="0" presId="urn:microsoft.com/office/officeart/2008/layout/RadialCluster"/>
    <dgm:cxn modelId="{69C0710A-34A4-FD4B-8B37-3E6824EC83EB}" srcId="{7758A3E4-AEC3-1A46-9376-67B1C670A9BC}" destId="{50DEDD69-07F4-7642-9BB1-4022295E2302}" srcOrd="0" destOrd="0" parTransId="{CC816572-D1B6-814F-ADD1-EDC6DF3602D6}" sibTransId="{A27F427B-804B-744B-836F-E1D229F806ED}"/>
    <dgm:cxn modelId="{F6B6990D-9E18-4143-8124-324821BBD546}" type="presOf" srcId="{CB5A89F2-FEB1-F049-95AA-2FF624EE2AB9}" destId="{2CFC2138-8348-F54F-BA1F-2BDB63B31E74}" srcOrd="0" destOrd="0" presId="urn:microsoft.com/office/officeart/2008/layout/RadialCluster"/>
    <dgm:cxn modelId="{6176DF0D-ACAA-2B4C-8115-66F900E807C0}" type="presOf" srcId="{2ADA8678-8610-2447-B68A-D15C4216BE9D}" destId="{9986D04E-776D-B448-8FA5-25D516AA4E88}" srcOrd="0" destOrd="0" presId="urn:microsoft.com/office/officeart/2008/layout/RadialCluster"/>
    <dgm:cxn modelId="{98615E0E-436B-EB4A-B297-366871A6F045}" srcId="{A586BA9F-9E52-8E4C-A848-2B55C56B43EC}" destId="{433FE9D3-159B-7F4E-ADBF-BED0D16A146F}" srcOrd="0" destOrd="0" parTransId="{8D0FF7B0-4303-2741-AC55-E9D3365A85A1}" sibTransId="{F0EF0B0E-8EC2-D646-AF36-20D867F04DC9}"/>
    <dgm:cxn modelId="{9169DB0E-9000-7148-9BFE-E6D4042FF617}" type="presOf" srcId="{F3335984-E679-F848-8749-BA0DB5200F82}" destId="{E1F2BAA6-29DB-1840-8CBD-2AAC58C95489}" srcOrd="0" destOrd="0" presId="urn:microsoft.com/office/officeart/2008/layout/RadialCluster"/>
    <dgm:cxn modelId="{AD6E4810-216B-6547-A7B6-BAE7D61F1DA0}" type="presOf" srcId="{0AD45255-0100-AC42-9383-ED11CDE82639}" destId="{C122D6C2-DE93-E943-87C1-37928F13E8A6}" srcOrd="0" destOrd="3" presId="urn:microsoft.com/office/officeart/2008/layout/RadialCluster"/>
    <dgm:cxn modelId="{22531012-50E5-2744-A3C0-7AA612DB6CF1}" type="presOf" srcId="{019FC0B2-B732-F141-80C9-AC12C2E0FDA4}" destId="{6CE3FBA3-52BE-1C44-AD9F-D8253A8A7BBF}" srcOrd="0" destOrd="0" presId="urn:microsoft.com/office/officeart/2008/layout/RadialCluster"/>
    <dgm:cxn modelId="{068F7314-3A4F-1847-BE65-64735E03D40B}" type="presOf" srcId="{C59A9133-3D20-C24D-B671-2FEF551D73AA}" destId="{34A8029D-AC90-6E45-BF46-B46F3381875F}" srcOrd="0" destOrd="0" presId="urn:microsoft.com/office/officeart/2008/layout/RadialCluster"/>
    <dgm:cxn modelId="{FB431D18-42B2-C84E-97B5-0F911A6483F2}" type="presOf" srcId="{1BE7F9A9-39BA-CF40-809F-55DFC1FA18A8}" destId="{66C466D4-1828-CE4E-B757-989383CA1F6C}" srcOrd="0" destOrd="0" presId="urn:microsoft.com/office/officeart/2008/layout/RadialCluster"/>
    <dgm:cxn modelId="{0458321A-BA33-C840-BE37-04EC4CC38E7C}" type="presOf" srcId="{A5494BE4-14EB-194F-87C9-B5958984641F}" destId="{C9D2AE91-4C95-3143-918D-994D909618A3}" srcOrd="0" destOrd="0" presId="urn:microsoft.com/office/officeart/2008/layout/RadialCluster"/>
    <dgm:cxn modelId="{C514D71B-19F8-DC4D-B421-01B9BF91A7FD}" type="presOf" srcId="{7A3D893C-B6D1-2643-8227-7B5CCCBF7917}" destId="{3D10006A-6652-644D-8024-82569911068F}" srcOrd="0" destOrd="0" presId="urn:microsoft.com/office/officeart/2008/layout/RadialCluster"/>
    <dgm:cxn modelId="{8494161E-8A3A-6A4E-A3DD-9F7321310713}" type="presOf" srcId="{70C62ECE-D9F3-2546-B334-2F86321733C7}" destId="{E538692A-61C1-874A-94AC-27277D091F06}" srcOrd="0" destOrd="0" presId="urn:microsoft.com/office/officeart/2008/layout/RadialCluster"/>
    <dgm:cxn modelId="{3EA94424-B0C5-0F4E-9D8F-E09244CA8651}" srcId="{70C62ECE-D9F3-2546-B334-2F86321733C7}" destId="{508D93BB-6C55-E048-AF27-FB3ABB6B9800}" srcOrd="1" destOrd="0" parTransId="{7A3D893C-B6D1-2643-8227-7B5CCCBF7917}" sibTransId="{F060C00C-FEB5-7949-BEF7-8184502FDDAC}"/>
    <dgm:cxn modelId="{A8A96724-2BA8-1040-9A71-B28D16AF6279}" type="presOf" srcId="{E2695349-1AAD-5140-8D24-65EB5F899636}" destId="{511FAC9C-0280-6845-83A9-E12C03E98AAC}" srcOrd="0" destOrd="0" presId="urn:microsoft.com/office/officeart/2008/layout/RadialCluster"/>
    <dgm:cxn modelId="{E2A94B24-1A21-A04B-B276-9A8AE7610AD1}" type="presOf" srcId="{C616FB26-82F5-7A4A-A509-F1C3A1343EC4}" destId="{32ABA99F-61FA-D74E-93D7-64FFA6AACCBC}" srcOrd="0" destOrd="0" presId="urn:microsoft.com/office/officeart/2008/layout/RadialCluster"/>
    <dgm:cxn modelId="{09678425-D569-074D-895F-501774FD84B9}" type="presOf" srcId="{912809A3-69B4-0649-B1FA-90C7A57BE949}" destId="{EF954303-AACC-E04F-A004-4499BE6B22D8}" srcOrd="0" destOrd="0" presId="urn:microsoft.com/office/officeart/2008/layout/RadialCluster"/>
    <dgm:cxn modelId="{1A3DF925-5EDB-FF4B-A42E-D99C15CDB866}" srcId="{912809A3-69B4-0649-B1FA-90C7A57BE949}" destId="{90861C9A-70E5-FD48-97F6-20A522E9495E}" srcOrd="4" destOrd="0" parTransId="{6BAC1380-D6EC-0045-9776-95A514AAB776}" sibTransId="{0E2A4EFC-4BD2-8D41-A108-4AB6286F41C5}"/>
    <dgm:cxn modelId="{D45B3326-B1B6-B54D-8B29-1858EC80A87F}" type="presOf" srcId="{37728FA2-5D35-3A4C-9A36-91C9C55CA50D}" destId="{25F4FC25-F050-DE4A-9C77-AE6425A15CC1}" srcOrd="0" destOrd="0" presId="urn:microsoft.com/office/officeart/2008/layout/RadialCluster"/>
    <dgm:cxn modelId="{2A691129-F4FC-5743-AA7A-9DA83691632F}" type="presOf" srcId="{291F57FB-404C-314A-AA6F-94AFE6E31B2B}" destId="{A191316E-7C5A-CF4B-9EA7-2ADC3980AC63}" srcOrd="0" destOrd="0" presId="urn:microsoft.com/office/officeart/2008/layout/RadialCluster"/>
    <dgm:cxn modelId="{E15DC429-2ABF-1A4C-BCEB-5EAD1A58DED1}" type="presOf" srcId="{56E517D9-79FC-1545-8360-F23418F78D0A}" destId="{7354300F-823C-9B42-A027-A73BAE562F15}" srcOrd="0" destOrd="0" presId="urn:microsoft.com/office/officeart/2008/layout/RadialCluster"/>
    <dgm:cxn modelId="{0A09642B-7CAB-A044-9106-D26FFD1E328E}" srcId="{1BE7F9A9-39BA-CF40-809F-55DFC1FA18A8}" destId="{93EA99D2-021E-4445-B828-C809021D3384}" srcOrd="4" destOrd="0" parTransId="{DD0BDF3F-8F12-DE4E-A595-0649B732BECF}" sibTransId="{FE2D1C29-99EE-D84D-A3DB-56E4DCDA74BF}"/>
    <dgm:cxn modelId="{E439052E-B558-3D42-9767-CA99EC58D801}" srcId="{912809A3-69B4-0649-B1FA-90C7A57BE949}" destId="{67B71EC3-20DD-C343-BD2D-5A4686728F84}" srcOrd="3" destOrd="0" parTransId="{82A0A7AA-25B6-9145-8824-A6FEA47152C6}" sibTransId="{FAD028A1-BDB0-A342-8943-E48B456D1C39}"/>
    <dgm:cxn modelId="{2C6E9530-04F6-DC48-93D6-5851C2A21621}" type="presOf" srcId="{35A59759-4929-7043-91F7-733C4CEB8BDD}" destId="{EC9FC018-2061-8543-93BC-C94DA39BEE3E}" srcOrd="0" destOrd="0" presId="urn:microsoft.com/office/officeart/2008/layout/RadialCluster"/>
    <dgm:cxn modelId="{DD066031-7298-AA49-A9ED-2B71539FD6D6}" srcId="{912809A3-69B4-0649-B1FA-90C7A57BE949}" destId="{89B9231C-8C5A-D94A-90E4-25D750EF1987}" srcOrd="6" destOrd="0" parTransId="{8915702B-1C4C-D04F-96D0-284444C32E75}" sibTransId="{26BD28E1-819A-474D-85D1-A5C3469BA4D1}"/>
    <dgm:cxn modelId="{22712D35-D0A7-AA4B-B5E3-9ED5F5787E6F}" type="presOf" srcId="{50DEDD69-07F4-7642-9BB1-4022295E2302}" destId="{B4526286-356F-104B-9D34-C986CC9EDF6B}" srcOrd="0" destOrd="0" presId="urn:microsoft.com/office/officeart/2008/layout/RadialCluster"/>
    <dgm:cxn modelId="{B4556E37-FCD3-BC43-A57F-D7F695A676F3}" type="presOf" srcId="{BA159CB8-B9AC-B94D-A7EA-43915F50CCA8}" destId="{E134C0B1-92FB-E946-980E-4C20B1CE3448}" srcOrd="0" destOrd="0" presId="urn:microsoft.com/office/officeart/2008/layout/RadialCluster"/>
    <dgm:cxn modelId="{D24D2B38-B543-5649-ACE0-5B405CE5ED8C}" type="presOf" srcId="{4C5D31BB-242D-8743-9AF1-9A42029B62A1}" destId="{EA712302-D819-7644-96D4-4F4AB369B4D9}" srcOrd="0" destOrd="0" presId="urn:microsoft.com/office/officeart/2008/layout/RadialCluster"/>
    <dgm:cxn modelId="{DE66CD3A-42DA-4A44-BA60-E6464F65B3E9}" type="presOf" srcId="{7758A3E4-AEC3-1A46-9376-67B1C670A9BC}" destId="{7B4D9341-F0C3-CA4B-B84F-4B550AA44EE5}" srcOrd="0" destOrd="0" presId="urn:microsoft.com/office/officeart/2008/layout/RadialCluster"/>
    <dgm:cxn modelId="{DA68CF3A-4A61-7747-940E-D19F082A26DC}" type="presOf" srcId="{FD750C0F-E64C-8C45-A6BC-52940285612A}" destId="{3CC55AA7-084B-2F4F-A2DC-C3B6EB963FF2}" srcOrd="0" destOrd="0" presId="urn:microsoft.com/office/officeart/2008/layout/RadialCluster"/>
    <dgm:cxn modelId="{3130C93B-6E46-4A47-8948-9C727D8119A0}" srcId="{A586BA9F-9E52-8E4C-A848-2B55C56B43EC}" destId="{077B163A-EF6F-2B4A-8829-D652EB29940D}" srcOrd="4" destOrd="0" parTransId="{7EB27137-51BC-C44E-B13D-E317DB60F267}" sibTransId="{CF6A9BBE-C4BB-B54D-B55A-71E8279CD526}"/>
    <dgm:cxn modelId="{E02C853E-2C04-E041-891E-6390D2C68C6F}" type="presOf" srcId="{B30CA1AE-993F-A343-B30E-AF12FC65EFFA}" destId="{C122D6C2-DE93-E943-87C1-37928F13E8A6}" srcOrd="0" destOrd="2" presId="urn:microsoft.com/office/officeart/2008/layout/RadialCluster"/>
    <dgm:cxn modelId="{9EC5AA3E-D204-D54E-8CEE-698026B07DCB}" srcId="{912809A3-69B4-0649-B1FA-90C7A57BE949}" destId="{1B2C3151-5306-3348-B9A8-14C4BEB2712B}" srcOrd="1" destOrd="0" parTransId="{2ADA8678-8610-2447-B68A-D15C4216BE9D}" sibTransId="{8716BE95-D55B-8846-AC6B-E5E93D4CE0FF}"/>
    <dgm:cxn modelId="{0D55FD40-CDB2-5E4E-9A45-BEE3D8600391}" type="presOf" srcId="{5D149D62-519A-7749-8C56-C98A7DDF338E}" destId="{EBD0AF22-1179-3145-B554-B6DF26CF862F}" srcOrd="0" destOrd="0" presId="urn:microsoft.com/office/officeart/2008/layout/RadialCluster"/>
    <dgm:cxn modelId="{BA29005B-67D2-D94E-B92F-BD2EA26A7E36}" type="presOf" srcId="{56CACCFF-3EB1-7846-9DA3-AE93E9E5C1F2}" destId="{270943C1-6CAB-0A46-8608-B6D1C773EA80}" srcOrd="0" destOrd="0" presId="urn:microsoft.com/office/officeart/2008/layout/RadialCluster"/>
    <dgm:cxn modelId="{56802A5C-DB21-634E-877D-97B1610DD8BD}" srcId="{1BD4820B-DCAE-9844-9D3D-3A0E0314A938}" destId="{7758A3E4-AEC3-1A46-9376-67B1C670A9BC}" srcOrd="6" destOrd="0" parTransId="{DBF67BAB-995C-8F48-A597-F390D611A47F}" sibTransId="{8E4B1D06-93F3-764A-A800-5839871020F8}"/>
    <dgm:cxn modelId="{882E6D5C-49AD-BE4E-8FA7-C1A499547906}" type="presOf" srcId="{2BFCB23D-D884-774F-B5A4-D51EA1F3D97F}" destId="{7833F867-3240-FE4C-92DB-BE9FBCB646B9}" srcOrd="0" destOrd="0" presId="urn:microsoft.com/office/officeart/2008/layout/RadialCluster"/>
    <dgm:cxn modelId="{9E19095E-C76B-874D-8E75-8CA76E1355D3}" type="presOf" srcId="{8B0685DF-3971-054C-9772-8EAC823E2FC9}" destId="{26BC3630-55C2-A149-BDCF-A03F01162041}" srcOrd="0" destOrd="0" presId="urn:microsoft.com/office/officeart/2008/layout/RadialCluster"/>
    <dgm:cxn modelId="{3D98B263-27EF-9D46-876B-03970A58DEE2}" type="presOf" srcId="{A586BA9F-9E52-8E4C-A848-2B55C56B43EC}" destId="{37ACD91D-816B-1C45-8C67-48A2A43BC9BD}" srcOrd="0" destOrd="0" presId="urn:microsoft.com/office/officeart/2008/layout/RadialCluster"/>
    <dgm:cxn modelId="{23BED443-89AD-C640-A1B0-64D0809592B9}" type="presOf" srcId="{68E34B84-187B-4349-8F78-FBFD73DEECD6}" destId="{89BDBE51-6091-434D-B2AB-0A0CD1FE25C1}" srcOrd="0" destOrd="0" presId="urn:microsoft.com/office/officeart/2008/layout/RadialCluster"/>
    <dgm:cxn modelId="{BA7C0966-A7F8-3A40-AED2-F7409211B148}" type="presOf" srcId="{719876CF-6834-D44D-8C20-DB0B7D15EA95}" destId="{CC2E1410-D9EC-6242-8C15-C464E980A56D}" srcOrd="0" destOrd="0" presId="urn:microsoft.com/office/officeart/2008/layout/RadialCluster"/>
    <dgm:cxn modelId="{08AD1066-8884-B040-B736-137FCCCF80EB}" srcId="{912809A3-69B4-0649-B1FA-90C7A57BE949}" destId="{F1F41A46-BF6C-3642-ADCC-3A087792A571}" srcOrd="2" destOrd="0" parTransId="{D6630F1A-D8FB-9343-8462-3B5A14420EAE}" sibTransId="{C2359157-8E52-1F45-B103-EE0A377B20C8}"/>
    <dgm:cxn modelId="{CEB3E246-8BAD-5C4B-8353-528248E3C649}" srcId="{7758A3E4-AEC3-1A46-9376-67B1C670A9BC}" destId="{F2B81902-BA3C-FB4E-A72A-12A58688FA0B}" srcOrd="2" destOrd="0" parTransId="{8B0685DF-3971-054C-9772-8EAC823E2FC9}" sibTransId="{1F336B1E-FC01-7C41-BC55-E877BEEA0523}"/>
    <dgm:cxn modelId="{861EE946-C9FA-5D40-A8A1-B433168E5158}" srcId="{E6DABF2D-5F64-4C48-87B0-87B4F60989C4}" destId="{0776BCA4-99F0-3E4E-BE0D-3017A2566AB9}" srcOrd="3" destOrd="0" parTransId="{32AE96DF-62A2-044F-84AA-DEE7075005B7}" sibTransId="{3A2331B1-C099-7E40-86CB-0CCFBC1124B7}"/>
    <dgm:cxn modelId="{4C5B5D67-0AFF-534E-87C9-14A50ABBD178}" type="presOf" srcId="{E6DABF2D-5F64-4C48-87B0-87B4F60989C4}" destId="{C122D6C2-DE93-E943-87C1-37928F13E8A6}" srcOrd="0" destOrd="0" presId="urn:microsoft.com/office/officeart/2008/layout/RadialCluster"/>
    <dgm:cxn modelId="{C5F69447-CFA0-644D-920E-207826BA8CED}" srcId="{1BD4820B-DCAE-9844-9D3D-3A0E0314A938}" destId="{BA159CB8-B9AC-B94D-A7EA-43915F50CCA8}" srcOrd="5" destOrd="0" parTransId="{2608A10C-6138-764D-AD8F-2312A85F6D12}" sibTransId="{867BE78F-4725-AF49-AB2F-979BFDA00B30}"/>
    <dgm:cxn modelId="{5A9BD547-B732-964B-AA64-72A5C594FC88}" srcId="{912809A3-69B4-0649-B1FA-90C7A57BE949}" destId="{83006B2C-A63D-6B4C-AB0F-B2F8D9FBB377}" srcOrd="0" destOrd="0" parTransId="{0960DE99-C75E-FB48-AA9E-CD8CB4EDA0BB}" sibTransId="{0A87ABBE-0706-AD4D-A17E-F35F7907909A}"/>
    <dgm:cxn modelId="{54BF5C48-3060-6F44-A243-BEDB2E29CE5C}" type="presOf" srcId="{83006B2C-A63D-6B4C-AB0F-B2F8D9FBB377}" destId="{31FD441B-7749-F04C-8C5D-8BEBC379FDA7}" srcOrd="0" destOrd="0" presId="urn:microsoft.com/office/officeart/2008/layout/RadialCluster"/>
    <dgm:cxn modelId="{F7065948-857C-6F4E-9CFD-65B44BC08F4F}" srcId="{70C62ECE-D9F3-2546-B334-2F86321733C7}" destId="{6385344F-9E98-9B4E-AB73-EE9070A71177}" srcOrd="0" destOrd="0" parTransId="{BF923F3D-BB2A-B04D-92CB-AAFBA4B5A4B8}" sibTransId="{67B4F49F-42CB-E146-AA85-CDCCB5635DF2}"/>
    <dgm:cxn modelId="{D24E484B-A022-9B49-B8E0-EB918C3FB6BE}" type="presOf" srcId="{D6630F1A-D8FB-9343-8462-3B5A14420EAE}" destId="{05479D97-B938-A34E-87D6-88D501FC01C0}" srcOrd="0" destOrd="0" presId="urn:microsoft.com/office/officeart/2008/layout/RadialCluster"/>
    <dgm:cxn modelId="{287B216C-CF57-F646-8A6F-FACFC727D85E}" type="presOf" srcId="{23BB8C43-A2A0-244B-A977-6B1CF0E8A7D9}" destId="{B4356CAA-9B53-F445-8ECB-60778B53938E}" srcOrd="0" destOrd="0" presId="urn:microsoft.com/office/officeart/2008/layout/RadialCluster"/>
    <dgm:cxn modelId="{924DE94C-716A-574F-AC5A-71DB7BEC6706}" type="presOf" srcId="{AD74AD42-1281-AB46-B56C-229185218D25}" destId="{D786D130-47BF-E54D-A477-05236B1290DE}" srcOrd="0" destOrd="0" presId="urn:microsoft.com/office/officeart/2008/layout/RadialCluster"/>
    <dgm:cxn modelId="{776C9F6D-F7F4-824B-860B-C1EE5FFED004}" srcId="{CB5A89F2-FEB1-F049-95AA-2FF624EE2AB9}" destId="{2B7EE0D5-A5AC-B44A-9191-4877D2C0629F}" srcOrd="2" destOrd="0" parTransId="{719876CF-6834-D44D-8C20-DB0B7D15EA95}" sibTransId="{272536AE-6F22-4746-8E58-89A23A8C86AF}"/>
    <dgm:cxn modelId="{79CE834F-4789-314E-9726-28077D931DDC}" type="presOf" srcId="{508D93BB-6C55-E048-AF27-FB3ABB6B9800}" destId="{6C51A908-50D6-6A40-A9B6-7450E1A025BB}" srcOrd="0" destOrd="0" presId="urn:microsoft.com/office/officeart/2008/layout/RadialCluster"/>
    <dgm:cxn modelId="{48928D51-5530-CD45-B1ED-44E43E7D6C58}" srcId="{A586BA9F-9E52-8E4C-A848-2B55C56B43EC}" destId="{62B883E2-D561-A644-9880-C78645065F79}" srcOrd="6" destOrd="0" parTransId="{291F57FB-404C-314A-AA6F-94AFE6E31B2B}" sibTransId="{83FEF318-82CF-374C-BBE4-3AA6C68D17D0}"/>
    <dgm:cxn modelId="{420EF753-EE20-F14F-BDB4-ECA262CEFFDE}" srcId="{CB5A89F2-FEB1-F049-95AA-2FF624EE2AB9}" destId="{92A3FF2F-2C3A-4247-BB0B-3A10A129836B}" srcOrd="4" destOrd="0" parTransId="{75B9C9F5-D41F-4A44-832C-5FA13026F59A}" sibTransId="{50B110C9-3E57-BD41-B684-A2E89EC9AF25}"/>
    <dgm:cxn modelId="{98207854-8096-714C-B010-60B4B55ED245}" type="presOf" srcId="{52308A38-F35A-224E-95B2-6A93459D3A3D}" destId="{5E1516D0-C07C-8746-9D8D-9CCD6EB97033}" srcOrd="0" destOrd="0" presId="urn:microsoft.com/office/officeart/2008/layout/RadialCluster"/>
    <dgm:cxn modelId="{9C3BD375-8AF2-3749-888E-4781493DDBD9}" srcId="{A586BA9F-9E52-8E4C-A848-2B55C56B43EC}" destId="{56CACCFF-3EB1-7846-9DA3-AE93E9E5C1F2}" srcOrd="2" destOrd="0" parTransId="{56E517D9-79FC-1545-8360-F23418F78D0A}" sibTransId="{D69E681A-F410-B147-8812-68F2537E8A10}"/>
    <dgm:cxn modelId="{E1C49476-D95F-CE46-B08C-AA9239661728}" srcId="{1BD4820B-DCAE-9844-9D3D-3A0E0314A938}" destId="{912809A3-69B4-0649-B1FA-90C7A57BE949}" srcOrd="2" destOrd="0" parTransId="{82E22D1B-24CD-6C4D-8A19-4F3C2F249524}" sibTransId="{70946C60-D1A1-3A46-8927-A34DB15B744F}"/>
    <dgm:cxn modelId="{AF8F4757-46D3-C548-9760-64A32EFDC98F}" srcId="{70C62ECE-D9F3-2546-B334-2F86321733C7}" destId="{D357C12C-764C-8946-84E7-001FFE5F6CC8}" srcOrd="2" destOrd="0" parTransId="{90DAE63E-99AD-DC47-A86F-DE6B0A0D0CC2}" sibTransId="{AA0AE065-BE21-044E-8E87-18B3212C1EAC}"/>
    <dgm:cxn modelId="{9EF39177-9E8E-784D-AA99-9DF6E14D5BBB}" type="presOf" srcId="{F1F41A46-BF6C-3642-ADCC-3A087792A571}" destId="{09F6254C-C5C4-CF4A-8E0C-7BCA40D2A8CE}" srcOrd="0" destOrd="0" presId="urn:microsoft.com/office/officeart/2008/layout/RadialCluster"/>
    <dgm:cxn modelId="{F5C2A257-B9A6-A04D-8E69-9A00C16FC982}" type="presOf" srcId="{BF923F3D-BB2A-B04D-92CB-AAFBA4B5A4B8}" destId="{4C8616FA-7E6A-D641-8BE7-AB9C9A4C7A79}" srcOrd="0" destOrd="0" presId="urn:microsoft.com/office/officeart/2008/layout/RadialCluster"/>
    <dgm:cxn modelId="{EF30D377-A447-E645-B05E-3C9E901B331B}" type="presOf" srcId="{B707FA99-1034-2E44-BA21-64D821728D11}" destId="{C4757226-2FF3-BF4B-A5CE-D982CA6491D0}" srcOrd="0" destOrd="0" presId="urn:microsoft.com/office/officeart/2008/layout/RadialCluster"/>
    <dgm:cxn modelId="{80F8D158-1E97-2846-BF3E-35A2C73122DA}" srcId="{1BE7F9A9-39BA-CF40-809F-55DFC1FA18A8}" destId="{37728FA2-5D35-3A4C-9A36-91C9C55CA50D}" srcOrd="3" destOrd="0" parTransId="{C59A9133-3D20-C24D-B671-2FEF551D73AA}" sibTransId="{48BEFEF5-CE90-7644-AFE0-534B6AE0FCBF}"/>
    <dgm:cxn modelId="{38960D5A-4B5A-CD49-A0F6-DE1376E04B6F}" type="presOf" srcId="{F2B81902-BA3C-FB4E-A72A-12A58688FA0B}" destId="{0A646996-67FD-674D-88ED-79CC29413C1A}" srcOrd="0" destOrd="0" presId="urn:microsoft.com/office/officeart/2008/layout/RadialCluster"/>
    <dgm:cxn modelId="{AD5BF45A-4E9F-5B4C-9222-03D0E83CDECA}" srcId="{A586BA9F-9E52-8E4C-A848-2B55C56B43EC}" destId="{7221C19C-5112-EC43-97E6-B4D04E4532C9}" srcOrd="1" destOrd="0" parTransId="{735C8DEB-D70D-1743-8E85-EBED8E02F94E}" sibTransId="{C7EC0DD8-129D-054B-9498-E5C0A8ADADE7}"/>
    <dgm:cxn modelId="{52C98C7D-E743-1C4D-95BD-E611CBF180BF}" type="presOf" srcId="{D357C12C-764C-8946-84E7-001FFE5F6CC8}" destId="{4B531F4B-2FCC-634B-A6AE-282E8D8DA9C8}" srcOrd="0" destOrd="0" presId="urn:microsoft.com/office/officeart/2008/layout/RadialCluster"/>
    <dgm:cxn modelId="{572C6B7E-F9EA-3448-AA9A-B67747FC92DE}" type="presOf" srcId="{93EA99D2-021E-4445-B828-C809021D3384}" destId="{F50DD947-D71D-F949-987A-EAAA59E2D17D}" srcOrd="0" destOrd="0" presId="urn:microsoft.com/office/officeart/2008/layout/RadialCluster"/>
    <dgm:cxn modelId="{0ECC0C7F-BBBF-B148-B470-8C32CAE0D5D5}" type="presOf" srcId="{4027A686-6420-4E46-9880-FBE91FFB695D}" destId="{3C23EC73-71E2-0247-989E-BF7D3BF1262D}" srcOrd="0" destOrd="0" presId="urn:microsoft.com/office/officeart/2008/layout/RadialCluster"/>
    <dgm:cxn modelId="{04D8377F-6811-3449-A154-697FBD2A7B03}" type="presOf" srcId="{DBF67BAB-995C-8F48-A597-F390D611A47F}" destId="{44F2BB17-6602-5D42-8FDA-4F1665B9DC02}" srcOrd="0" destOrd="0" presId="urn:microsoft.com/office/officeart/2008/layout/RadialCluster"/>
    <dgm:cxn modelId="{C89E6F7F-6D06-D149-B989-9620FDD47D88}" type="presOf" srcId="{CCA4B713-7FD1-AB47-B45D-9B2C9131CD1D}" destId="{6E647C1C-BF20-144B-AD7C-3437755A395E}" srcOrd="0" destOrd="0" presId="urn:microsoft.com/office/officeart/2008/layout/RadialCluster"/>
    <dgm:cxn modelId="{6D75887F-B976-044E-BDA5-3E6059E4EB1B}" type="presOf" srcId="{1BD4820B-DCAE-9844-9D3D-3A0E0314A938}" destId="{D20993A0-6A63-454B-9300-3FC8C623C3C2}" srcOrd="0" destOrd="0" presId="urn:microsoft.com/office/officeart/2008/layout/RadialCluster"/>
    <dgm:cxn modelId="{6A944080-2734-BE4C-A85C-23B542A58BF7}" srcId="{CB5A89F2-FEB1-F049-95AA-2FF624EE2AB9}" destId="{AD74AD42-1281-AB46-B56C-229185218D25}" srcOrd="1" destOrd="0" parTransId="{3F1CF657-5885-EE4C-B665-DE90CE5AEE86}" sibTransId="{17E7E09A-221E-0B48-B868-2DE52554F0CE}"/>
    <dgm:cxn modelId="{CD49BA80-0AB9-644B-8691-73E3780E04BF}" type="presOf" srcId="{2531D690-ECB8-804C-8449-58EECCC98C9A}" destId="{4008D209-3951-9042-A7CF-61B50CD1D4F9}" srcOrd="0" destOrd="0" presId="urn:microsoft.com/office/officeart/2008/layout/RadialCluster"/>
    <dgm:cxn modelId="{2CF4B283-ABE2-C040-829D-BC16A46B5983}" srcId="{BA159CB8-B9AC-B94D-A7EA-43915F50CCA8}" destId="{8300AB65-8754-C247-AD03-331BFC8ECCDE}" srcOrd="1" destOrd="0" parTransId="{CCA4B713-7FD1-AB47-B45D-9B2C9131CD1D}" sibTransId="{39FEB408-A472-C742-B1E6-C5F2A788BC6E}"/>
    <dgm:cxn modelId="{C2906D84-0DDF-9643-BFCD-5CC9969675E9}" type="presOf" srcId="{8D0FF7B0-4303-2741-AC55-E9D3365A85A1}" destId="{919E4A44-0527-CB49-BA4D-41EAF909F131}" srcOrd="0" destOrd="0" presId="urn:microsoft.com/office/officeart/2008/layout/RadialCluster"/>
    <dgm:cxn modelId="{B74E8F85-3B2A-E04F-9071-E5BFC64C1A7A}" srcId="{A586BA9F-9E52-8E4C-A848-2B55C56B43EC}" destId="{48D3CEBD-E67F-C848-BD29-00D6425ADB2F}" srcOrd="3" destOrd="0" parTransId="{88AD215D-46D9-EA4B-88D4-721B5D7BECFA}" sibTransId="{00B58C1A-4E8B-7946-B84D-37D981346855}"/>
    <dgm:cxn modelId="{05B8AB8B-F849-0D4F-820A-4FAC4772BE04}" type="presOf" srcId="{B654D074-F391-B342-B9C2-AC0D1FCEDB55}" destId="{75ACDCAC-C1E8-4447-846A-88F88F6D9F52}" srcOrd="0" destOrd="0" presId="urn:microsoft.com/office/officeart/2008/layout/RadialCluster"/>
    <dgm:cxn modelId="{DB95318D-D8CF-0E4B-BB93-79D98DCBF0FC}" type="presOf" srcId="{62B883E2-D561-A644-9880-C78645065F79}" destId="{1FF9A392-FC9A-E344-92F5-BAA8F676EAB7}" srcOrd="0" destOrd="0" presId="urn:microsoft.com/office/officeart/2008/layout/RadialCluster"/>
    <dgm:cxn modelId="{C69B518F-1565-2A44-9FF5-7B3DA27C20FE}" type="presOf" srcId="{88AD215D-46D9-EA4B-88D4-721B5D7BECFA}" destId="{65970B6D-F2FA-7B4D-B9EE-E87D39EAED5B}" srcOrd="0" destOrd="0" presId="urn:microsoft.com/office/officeart/2008/layout/RadialCluster"/>
    <dgm:cxn modelId="{07BEB490-7702-0E46-A322-0C0AA0729055}" srcId="{E6DABF2D-5F64-4C48-87B0-87B4F60989C4}" destId="{0AD45255-0100-AC42-9383-ED11CDE82639}" srcOrd="2" destOrd="0" parTransId="{AC923572-ED32-2342-B486-F71ED62F1C7C}" sibTransId="{8B52FBE4-E7FB-7842-A61B-6F516F2B1A31}"/>
    <dgm:cxn modelId="{6ED69D91-723F-8E45-9897-1C12BB9F9B77}" type="presOf" srcId="{82E22D1B-24CD-6C4D-8A19-4F3C2F249524}" destId="{D325D49D-A32D-EE48-9F44-756AF73246CD}" srcOrd="0" destOrd="0" presId="urn:microsoft.com/office/officeart/2008/layout/RadialCluster"/>
    <dgm:cxn modelId="{EA804C92-9255-FF4C-835D-75BBC5EAF5F2}" type="presOf" srcId="{0776BCA4-99F0-3E4E-BE0D-3017A2566AB9}" destId="{C122D6C2-DE93-E943-87C1-37928F13E8A6}" srcOrd="0" destOrd="4" presId="urn:microsoft.com/office/officeart/2008/layout/RadialCluster"/>
    <dgm:cxn modelId="{A147B992-95E2-8540-8AB2-6135BB4D77E3}" srcId="{1BE7F9A9-39BA-CF40-809F-55DFC1FA18A8}" destId="{2004BE47-F37C-764C-8340-DD7DC6AF4CDE}" srcOrd="1" destOrd="0" parTransId="{B783AB4B-D85E-C144-AF8F-125B688FA33F}" sibTransId="{CAD4C346-D47A-874F-8230-3585067F6A9A}"/>
    <dgm:cxn modelId="{A40CB893-9A80-8B40-B893-E1D16D78EBD3}" srcId="{BA159CB8-B9AC-B94D-A7EA-43915F50CCA8}" destId="{3AD40A82-DF9C-5845-98AC-443AEDF0848B}" srcOrd="0" destOrd="0" parTransId="{4027A686-6420-4E46-9880-FBE91FFB695D}" sibTransId="{1EB82381-02C1-2B4B-A4B1-C7732210882A}"/>
    <dgm:cxn modelId="{7AEBDA93-8780-274C-82AE-5771AD47EA47}" srcId="{E6DABF2D-5F64-4C48-87B0-87B4F60989C4}" destId="{B30CA1AE-993F-A343-B30E-AF12FC65EFFA}" srcOrd="1" destOrd="0" parTransId="{5A2C915F-0410-3240-B267-59A5609848CC}" sibTransId="{F3B7D30E-E11D-AF49-8E43-0BF7ED5EFD46}"/>
    <dgm:cxn modelId="{6D745596-77D6-4F45-A25C-4F1E020FA10D}" srcId="{E6DABF2D-5F64-4C48-87B0-87B4F60989C4}" destId="{88FB692C-6162-7C46-B72C-5F0BA103A1FE}" srcOrd="0" destOrd="0" parTransId="{72A5B143-69F5-6B49-9A87-F365EA97B6F4}" sibTransId="{9EB0FFA8-D06B-994D-ADEC-F29318D5D1CF}"/>
    <dgm:cxn modelId="{E410A998-79CE-2648-93A5-5DD6045A2DD9}" type="presOf" srcId="{6B072E6D-9B0A-A34C-99C3-D9684DA4BDC7}" destId="{88829AF9-A850-6E4D-8858-A04E41EC33BA}" srcOrd="0" destOrd="0" presId="urn:microsoft.com/office/officeart/2008/layout/RadialCluster"/>
    <dgm:cxn modelId="{970A849B-1521-994A-861F-C067F1E34EA0}" type="presOf" srcId="{5339F62C-3CDF-9247-BE0A-957BCF43F3D6}" destId="{515FC1B6-1BD9-7741-A219-FF39D741588E}" srcOrd="0" destOrd="0" presId="urn:microsoft.com/office/officeart/2008/layout/RadialCluster"/>
    <dgm:cxn modelId="{BB77D99F-9836-0E40-B396-FAE7AC93D94E}" srcId="{CB5A89F2-FEB1-F049-95AA-2FF624EE2AB9}" destId="{3BED211E-33C1-EE48-8E6F-DCEF57B324DC}" srcOrd="3" destOrd="0" parTransId="{5339F62C-3CDF-9247-BE0A-957BCF43F3D6}" sibTransId="{967ADBD1-71CA-E647-879D-EF366100496D}"/>
    <dgm:cxn modelId="{E2F2DC9F-E746-4545-A93C-115D47943BA8}" type="presOf" srcId="{90861C9A-70E5-FD48-97F6-20A522E9495E}" destId="{C5AF3D4F-E7CC-9548-BDCE-B1CCF4EB4381}" srcOrd="0" destOrd="0" presId="urn:microsoft.com/office/officeart/2008/layout/RadialCluster"/>
    <dgm:cxn modelId="{2D0991A0-417F-4748-B584-454D3C41C32C}" srcId="{1BD4820B-DCAE-9844-9D3D-3A0E0314A938}" destId="{CB5A89F2-FEB1-F049-95AA-2FF624EE2AB9}" srcOrd="1" destOrd="0" parTransId="{B654D074-F391-B342-B9C2-AC0D1FCEDB55}" sibTransId="{E70060A0-8861-044A-82A6-6CDE7F382A86}"/>
    <dgm:cxn modelId="{00A035A1-B789-5C41-B548-2BDC60106157}" srcId="{1BD4820B-DCAE-9844-9D3D-3A0E0314A938}" destId="{1BE7F9A9-39BA-CF40-809F-55DFC1FA18A8}" srcOrd="4" destOrd="0" parTransId="{A5494BE4-14EB-194F-87C9-B5958984641F}" sibTransId="{23AD29C6-C780-7945-B599-FF0A0BD6C992}"/>
    <dgm:cxn modelId="{C85DCBA1-BA7F-EC43-BB6E-3053A6D99BBB}" type="presOf" srcId="{14CA4C45-A881-874A-9532-CE2E1DF7F7BF}" destId="{2E794E50-54A0-6949-8036-098F1C2A9E58}" srcOrd="0" destOrd="0" presId="urn:microsoft.com/office/officeart/2008/layout/RadialCluster"/>
    <dgm:cxn modelId="{E407A9A7-28F2-CE4D-86BA-5554BC82066B}" srcId="{1BE7F9A9-39BA-CF40-809F-55DFC1FA18A8}" destId="{019FC0B2-B732-F141-80C9-AC12C2E0FDA4}" srcOrd="2" destOrd="0" parTransId="{FD750C0F-E64C-8C45-A6BC-52940285612A}" sibTransId="{0C8ADC1E-663B-A44C-BC3E-97F6A451842C}"/>
    <dgm:cxn modelId="{CF35C6AE-7E1F-DA45-9694-61F883519444}" type="presOf" srcId="{4F0E4AF0-ADFC-6C48-A1C0-5C9F893EFC0D}" destId="{5FB694D4-B832-E047-A88F-4C43222DE4C9}" srcOrd="0" destOrd="0" presId="urn:microsoft.com/office/officeart/2008/layout/RadialCluster"/>
    <dgm:cxn modelId="{2D541CB3-518A-F745-BC49-605466EE4E38}" type="presOf" srcId="{A8E5ABEA-210F-2446-9D09-E3C4E69595C7}" destId="{6631F5A2-418E-3D4E-957F-3399A65472AB}" srcOrd="0" destOrd="0" presId="urn:microsoft.com/office/officeart/2008/layout/RadialCluster"/>
    <dgm:cxn modelId="{5862EEBA-1903-F64B-8DAE-634EBED958AD}" type="presOf" srcId="{077B163A-EF6F-2B4A-8829-D652EB29940D}" destId="{A5D3E6E2-122C-834F-8C5D-CB4419C7C7C5}" srcOrd="0" destOrd="0" presId="urn:microsoft.com/office/officeart/2008/layout/RadialCluster"/>
    <dgm:cxn modelId="{9EFC3EBB-888C-8E49-82DB-8AB9E37818B9}" type="presOf" srcId="{98D31983-2B19-9E44-BC5D-FE39D17CDBDB}" destId="{267C52A9-79AC-4B4B-AA66-22D1305BBEB9}" srcOrd="0" destOrd="0" presId="urn:microsoft.com/office/officeart/2008/layout/RadialCluster"/>
    <dgm:cxn modelId="{E4C4D5BE-0D04-FB40-84FF-93B81A2876DA}" type="presOf" srcId="{3BED211E-33C1-EE48-8E6F-DCEF57B324DC}" destId="{BD1AEE91-40AA-F349-8F16-B5CF0C43112F}" srcOrd="0" destOrd="0" presId="urn:microsoft.com/office/officeart/2008/layout/RadialCluster"/>
    <dgm:cxn modelId="{849E88C0-5B0F-3E4E-9018-056A27028A72}" type="presOf" srcId="{CC816572-D1B6-814F-ADD1-EDC6DF3602D6}" destId="{BBD6AD10-A50C-DC45-ACAF-2E312F8EFB0F}" srcOrd="0" destOrd="0" presId="urn:microsoft.com/office/officeart/2008/layout/RadialCluster"/>
    <dgm:cxn modelId="{F4AD66C3-706C-4D4E-99B5-FB1FFDFB4AB0}" srcId="{7758A3E4-AEC3-1A46-9376-67B1C670A9BC}" destId="{E6DABF2D-5F64-4C48-87B0-87B4F60989C4}" srcOrd="3" destOrd="0" parTransId="{A8E5ABEA-210F-2446-9D09-E3C4E69595C7}" sibTransId="{B55D3538-63C1-E24E-A212-D19DD15213EF}"/>
    <dgm:cxn modelId="{38F92EC6-5873-EE4A-9070-EDE636799BE9}" type="presOf" srcId="{9F99C0C6-AD5B-1A41-A6E9-71CB5C2F1A79}" destId="{A0E410EF-A157-E84B-9795-64784B0B825D}" srcOrd="0" destOrd="0" presId="urn:microsoft.com/office/officeart/2008/layout/RadialCluster"/>
    <dgm:cxn modelId="{1F82E8C8-490F-1B48-9376-780F0517DDE6}" srcId="{A586BA9F-9E52-8E4C-A848-2B55C56B43EC}" destId="{E2695349-1AAD-5140-8D24-65EB5F899636}" srcOrd="5" destOrd="0" parTransId="{35A59759-4929-7043-91F7-733C4CEB8BDD}" sibTransId="{09B3B7F4-5000-9F43-97C4-F8DDA56A53A2}"/>
    <dgm:cxn modelId="{DBD26EC9-FC87-1F4D-8C41-C65B944EB060}" type="presOf" srcId="{8915702B-1C4C-D04F-96D0-284444C32E75}" destId="{F169E1E7-86BD-8349-9F37-FDB61FA0B0C1}" srcOrd="0" destOrd="0" presId="urn:microsoft.com/office/officeart/2008/layout/RadialCluster"/>
    <dgm:cxn modelId="{CE397FCA-CFB5-4F4E-8EB7-5D9E52E1133E}" type="presOf" srcId="{1B2C3151-5306-3348-B9A8-14C4BEB2712B}" destId="{89A3EC70-2E80-9A4E-B474-4A033190CDC4}" srcOrd="0" destOrd="0" presId="urn:microsoft.com/office/officeart/2008/layout/RadialCluster"/>
    <dgm:cxn modelId="{A1DBBBCC-6563-BF4B-9C81-7E6047930394}" type="presOf" srcId="{8300AB65-8754-C247-AD03-331BFC8ECCDE}" destId="{F35F3857-4797-1440-AFB6-56E1081E8283}" srcOrd="0" destOrd="0" presId="urn:microsoft.com/office/officeart/2008/layout/RadialCluster"/>
    <dgm:cxn modelId="{A55F25CD-FC5D-6944-A9BC-AD8C44234539}" type="presOf" srcId="{82A0A7AA-25B6-9145-8824-A6FEA47152C6}" destId="{F5F58CCB-8107-6B4A-BDE4-264430FE008B}" srcOrd="0" destOrd="0" presId="urn:microsoft.com/office/officeart/2008/layout/RadialCluster"/>
    <dgm:cxn modelId="{65A52BCE-B658-2D4B-99CB-3D3232C56B65}" type="presOf" srcId="{6385344F-9E98-9B4E-AB73-EE9070A71177}" destId="{862238AA-97E0-A94B-99BD-8C1C980802DB}" srcOrd="0" destOrd="0" presId="urn:microsoft.com/office/officeart/2008/layout/RadialCluster"/>
    <dgm:cxn modelId="{764FA1CF-A41E-644D-80E6-F86FD10121E9}" srcId="{CB5A89F2-FEB1-F049-95AA-2FF624EE2AB9}" destId="{F3335984-E679-F848-8749-BA0DB5200F82}" srcOrd="0" destOrd="0" parTransId="{79AA1DA6-A3CC-6142-9F59-B7CE5E060BC1}" sibTransId="{922D4C21-3DD1-504E-A56B-6603D17C36A2}"/>
    <dgm:cxn modelId="{CD83A9D0-819B-B840-8F25-6D596E97C80D}" type="presOf" srcId="{1096716C-922B-6C41-BAEB-15AAF9B3458D}" destId="{3EF590F0-5F21-2047-B3B5-47E59CC74B27}" srcOrd="0" destOrd="0" presId="urn:microsoft.com/office/officeart/2008/layout/RadialCluster"/>
    <dgm:cxn modelId="{5148D2D0-BF31-B84E-AE6D-E43900E4E109}" type="presOf" srcId="{433FE9D3-159B-7F4E-ADBF-BED0D16A146F}" destId="{F5E0F908-13EC-5B46-B908-3AA6F155E271}" srcOrd="0" destOrd="0" presId="urn:microsoft.com/office/officeart/2008/layout/RadialCluster"/>
    <dgm:cxn modelId="{C968B3D1-6251-BD4A-BCB2-A0972DB5F77E}" type="presOf" srcId="{67B71EC3-20DD-C343-BD2D-5A4686728F84}" destId="{796CC327-4D20-EC45-A926-CDC018E856EC}" srcOrd="0" destOrd="0" presId="urn:microsoft.com/office/officeart/2008/layout/RadialCluster"/>
    <dgm:cxn modelId="{4CB950D2-A970-FD40-B59D-6D66A485226F}" type="presOf" srcId="{7221C19C-5112-EC43-97E6-B4D04E4532C9}" destId="{1E154690-E688-E94F-81C4-8E269EF1F909}" srcOrd="0" destOrd="0" presId="urn:microsoft.com/office/officeart/2008/layout/RadialCluster"/>
    <dgm:cxn modelId="{4205B1D2-ED7D-C540-9B40-49799CD8C352}" type="presOf" srcId="{C0AAAF64-F056-5D4A-8AC9-E726F02F68E7}" destId="{8E234813-ACA1-104E-AB59-BF73306C3704}" srcOrd="0" destOrd="0" presId="urn:microsoft.com/office/officeart/2008/layout/RadialCluster"/>
    <dgm:cxn modelId="{4770C2D2-5DE3-B44B-86A5-F9EB11CF9C80}" type="presOf" srcId="{429E800B-9166-254F-BC8F-47F706E4624E}" destId="{3F2D7E9B-8158-6942-96BF-4B93F5C232C0}" srcOrd="0" destOrd="0" presId="urn:microsoft.com/office/officeart/2008/layout/RadialCluster"/>
    <dgm:cxn modelId="{5E933CD4-C141-F54E-BB1E-C29E69A6FCD9}" srcId="{7758A3E4-AEC3-1A46-9376-67B1C670A9BC}" destId="{2BFCB23D-D884-774F-B5A4-D51EA1F3D97F}" srcOrd="1" destOrd="0" parTransId="{B707FA99-1034-2E44-BA21-64D821728D11}" sibTransId="{AE8EC237-F4D2-7A4D-AE9A-02ABADFEA65B}"/>
    <dgm:cxn modelId="{32326CD4-A0C5-5247-A37C-A6A29F62C5FB}" srcId="{BA159CB8-B9AC-B94D-A7EA-43915F50CCA8}" destId="{5D149D62-519A-7749-8C56-C98A7DDF338E}" srcOrd="2" destOrd="0" parTransId="{4F0E4AF0-ADFC-6C48-A1C0-5C9F893EFC0D}" sibTransId="{BA3839E6-7A79-8D4E-A5FF-6CA7ACFFC54D}"/>
    <dgm:cxn modelId="{396331D8-4194-6B46-A66E-05C64DB2B7A1}" type="presOf" srcId="{48D3CEBD-E67F-C848-BD29-00D6425ADB2F}" destId="{6158E2B1-E3C7-8641-8F3D-27DD8C2EFA3C}" srcOrd="0" destOrd="0" presId="urn:microsoft.com/office/officeart/2008/layout/RadialCluster"/>
    <dgm:cxn modelId="{2743F4D8-1F47-2349-8A2E-358FEEE35A61}" type="presOf" srcId="{3AD40A82-DF9C-5845-98AC-443AEDF0848B}" destId="{EBD7BC21-6925-4448-879D-B495107726CB}" srcOrd="0" destOrd="0" presId="urn:microsoft.com/office/officeart/2008/layout/RadialCluster"/>
    <dgm:cxn modelId="{2406DBDB-003E-C142-89E2-E5E899B8041D}" type="presOf" srcId="{26437832-65DC-F94E-90BB-B8F7061769E0}" destId="{E1D23DAA-073D-1447-97FB-2E3BECE1DB8A}" srcOrd="0" destOrd="0" presId="urn:microsoft.com/office/officeart/2008/layout/RadialCluster"/>
    <dgm:cxn modelId="{FFD209E2-CA79-304A-A5D4-2B5B24398720}" srcId="{70C62ECE-D9F3-2546-B334-2F86321733C7}" destId="{9F99C0C6-AD5B-1A41-A6E9-71CB5C2F1A79}" srcOrd="3" destOrd="0" parTransId="{6B072E6D-9B0A-A34C-99C3-D9684DA4BDC7}" sibTransId="{C1FCA0C0-3C26-4B44-BC1B-CC09DDAA22D2}"/>
    <dgm:cxn modelId="{36CE3BE4-2AC9-1245-B8F5-C777565A40F5}" type="presOf" srcId="{7EB27137-51BC-C44E-B13D-E317DB60F267}" destId="{38F0BBDC-5DE9-0E4A-979D-8921426C9FB1}" srcOrd="0" destOrd="0" presId="urn:microsoft.com/office/officeart/2008/layout/RadialCluster"/>
    <dgm:cxn modelId="{EF696AE4-B650-784B-9A6B-A04044E944BE}" srcId="{A586BA9F-9E52-8E4C-A848-2B55C56B43EC}" destId="{26437832-65DC-F94E-90BB-B8F7061769E0}" srcOrd="7" destOrd="0" parTransId="{23BB8C43-A2A0-244B-A977-6B1CF0E8A7D9}" sibTransId="{23C46F25-337A-0449-9084-D81D15CB3E21}"/>
    <dgm:cxn modelId="{0A6C7EE6-36AF-DE40-A325-4A8835B498DE}" srcId="{2531D690-ECB8-804C-8449-58EECCC98C9A}" destId="{1BD4820B-DCAE-9844-9D3D-3A0E0314A938}" srcOrd="0" destOrd="0" parTransId="{479AA50E-A235-E141-942C-09EA4432552E}" sibTransId="{965ED1F1-83D4-644E-8D00-8D03AF7FB71C}"/>
    <dgm:cxn modelId="{2822A7E6-2DB9-7B4D-9CA0-58C607DE9980}" type="presOf" srcId="{3F1CF657-5885-EE4C-B665-DE90CE5AEE86}" destId="{6BD0BA65-769A-8B4D-8B0F-AFB8B38C02CD}" srcOrd="0" destOrd="0" presId="urn:microsoft.com/office/officeart/2008/layout/RadialCluster"/>
    <dgm:cxn modelId="{001BD1E7-D46C-C648-A9A0-995CE68F5580}" type="presOf" srcId="{90DAE63E-99AD-DC47-A86F-DE6B0A0D0CC2}" destId="{B44E45F1-F8D9-E646-9D72-E1DBF0011FDB}" srcOrd="0" destOrd="0" presId="urn:microsoft.com/office/officeart/2008/layout/RadialCluster"/>
    <dgm:cxn modelId="{A4D83CE9-8357-5143-8DF3-928965596D59}" type="presOf" srcId="{49B9C450-8093-E742-AA11-2F618F8350A2}" destId="{9C50B29B-E69C-0242-B0F5-E19768FD7401}" srcOrd="0" destOrd="0" presId="urn:microsoft.com/office/officeart/2008/layout/RadialCluster"/>
    <dgm:cxn modelId="{A0AD89EA-0FD7-C14F-80EF-4E8E376E2D2F}" srcId="{1BD4820B-DCAE-9844-9D3D-3A0E0314A938}" destId="{70C62ECE-D9F3-2546-B334-2F86321733C7}" srcOrd="3" destOrd="0" parTransId="{68E34B84-187B-4349-8F78-FBFD73DEECD6}" sibTransId="{8803E020-7C8B-C542-9050-0BA370F4D835}"/>
    <dgm:cxn modelId="{27C5F8EA-B718-B54D-A965-2CDC9F8852F9}" type="presOf" srcId="{2B7EE0D5-A5AC-B44A-9191-4877D2C0629F}" destId="{8B80DE73-DFD5-4145-8DC8-3CC866493571}" srcOrd="0" destOrd="0" presId="urn:microsoft.com/office/officeart/2008/layout/RadialCluster"/>
    <dgm:cxn modelId="{3DCC2AEB-70FB-364F-A923-34F1CC428231}" type="presOf" srcId="{79AA1DA6-A3CC-6142-9F59-B7CE5E060BC1}" destId="{F042E740-2AA2-0A49-B2D2-BD8F4B43A22A}" srcOrd="0" destOrd="0" presId="urn:microsoft.com/office/officeart/2008/layout/RadialCluster"/>
    <dgm:cxn modelId="{898544EE-E74E-2D41-AA78-8D366F186D76}" type="presOf" srcId="{B783AB4B-D85E-C144-AF8F-125B688FA33F}" destId="{E5EE0051-F15B-0041-B50E-A768306474D4}" srcOrd="0" destOrd="0" presId="urn:microsoft.com/office/officeart/2008/layout/RadialCluster"/>
    <dgm:cxn modelId="{A27F0FF1-CF08-0F4F-99EE-B7BD8B8E0614}" type="presOf" srcId="{6BAC1380-D6EC-0045-9776-95A514AAB776}" destId="{799EEDA3-4449-6647-B2CE-A4FF7BD17415}" srcOrd="0" destOrd="0" presId="urn:microsoft.com/office/officeart/2008/layout/RadialCluster"/>
    <dgm:cxn modelId="{C6DEE2F1-8FC7-514A-BB01-89703469CCC5}" type="presOf" srcId="{89B9231C-8C5A-D94A-90E4-25D750EF1987}" destId="{A7755C4C-5B2D-F444-B1EB-AE9C334FFAE5}" srcOrd="0" destOrd="0" presId="urn:microsoft.com/office/officeart/2008/layout/RadialCluster"/>
    <dgm:cxn modelId="{25C3A8F2-5C9C-0942-909F-EBDFD421A57A}" srcId="{912809A3-69B4-0649-B1FA-90C7A57BE949}" destId="{98D31983-2B19-9E44-BC5D-FE39D17CDBDB}" srcOrd="5" destOrd="0" parTransId="{1096716C-922B-6C41-BAEB-15AAF9B3458D}" sibTransId="{7C98AD74-F1FA-BA46-B599-1599FD9C6F6A}"/>
    <dgm:cxn modelId="{6EB072F3-FBB0-2A4B-B7DF-DD8AF2097808}" srcId="{1BE7F9A9-39BA-CF40-809F-55DFC1FA18A8}" destId="{14CA4C45-A881-874A-9532-CE2E1DF7F7BF}" srcOrd="0" destOrd="0" parTransId="{49B9C450-8093-E742-AA11-2F618F8350A2}" sibTransId="{515941A1-458B-E949-889E-F8A0C7AFB312}"/>
    <dgm:cxn modelId="{0CC960F4-4649-314C-8434-D3420032618D}" srcId="{BA159CB8-B9AC-B94D-A7EA-43915F50CCA8}" destId="{429E800B-9166-254F-BC8F-47F706E4624E}" srcOrd="3" destOrd="0" parTransId="{C0AAAF64-F056-5D4A-8AC9-E726F02F68E7}" sibTransId="{9DB61AF7-CF80-164A-9938-AEC645D5799D}"/>
    <dgm:cxn modelId="{4F3651F7-928C-5840-8347-50A7399829CF}" type="presOf" srcId="{88FB692C-6162-7C46-B72C-5F0BA103A1FE}" destId="{C122D6C2-DE93-E943-87C1-37928F13E8A6}" srcOrd="0" destOrd="1" presId="urn:microsoft.com/office/officeart/2008/layout/RadialCluster"/>
    <dgm:cxn modelId="{2352C9F9-4F5B-2A4F-96E9-6A1EAAF3C3BC}" srcId="{70C62ECE-D9F3-2546-B334-2F86321733C7}" destId="{4C5D31BB-242D-8743-9AF1-9A42029B62A1}" srcOrd="4" destOrd="0" parTransId="{52308A38-F35A-224E-95B2-6A93459D3A3D}" sibTransId="{66769CA0-AEBD-184D-A6EB-3C912E5DB84B}"/>
    <dgm:cxn modelId="{768AD1F9-05B3-5F4D-B5EC-09433C23AC9F}" type="presOf" srcId="{2608A10C-6138-764D-AD8F-2312A85F6D12}" destId="{D746CC8E-0FF1-744A-BDD8-07535CBFF907}" srcOrd="0" destOrd="0" presId="urn:microsoft.com/office/officeart/2008/layout/RadialCluster"/>
    <dgm:cxn modelId="{43578AFE-F350-F540-BB33-612A4DAB7FED}" type="presOf" srcId="{92A3FF2F-2C3A-4247-BB0B-3A10A129836B}" destId="{52B331ED-5153-2548-99C1-CD68153ADD4E}" srcOrd="0" destOrd="0" presId="urn:microsoft.com/office/officeart/2008/layout/RadialCluster"/>
    <dgm:cxn modelId="{CF289FFF-F008-B94C-8E47-7BD1E4CDE5E1}" type="presOf" srcId="{2004BE47-F37C-764C-8340-DD7DC6AF4CDE}" destId="{BFEB6BC1-CD54-9B48-A906-61D991630C26}" srcOrd="0" destOrd="0" presId="urn:microsoft.com/office/officeart/2008/layout/RadialCluster"/>
    <dgm:cxn modelId="{DB367CC4-6141-8648-B1AA-3347B7702A04}" type="presParOf" srcId="{4008D209-3951-9042-A7CF-61B50CD1D4F9}" destId="{D20993A0-6A63-454B-9300-3FC8C623C3C2}" srcOrd="0" destOrd="0" presId="urn:microsoft.com/office/officeart/2008/layout/RadialCluster"/>
    <dgm:cxn modelId="{EC490419-4D6A-914C-9E13-DE5F2616778C}" type="presParOf" srcId="{4008D209-3951-9042-A7CF-61B50CD1D4F9}" destId="{052F0319-F39D-FC47-AC63-6DE0DC06C44B}" srcOrd="1" destOrd="0" presId="urn:microsoft.com/office/officeart/2008/layout/RadialCluster"/>
    <dgm:cxn modelId="{2244C087-69C2-B04F-8952-C64A4D7925D6}" type="presParOf" srcId="{052F0319-F39D-FC47-AC63-6DE0DC06C44B}" destId="{37ACD91D-816B-1C45-8C67-48A2A43BC9BD}" srcOrd="0" destOrd="0" presId="urn:microsoft.com/office/officeart/2008/layout/RadialCluster"/>
    <dgm:cxn modelId="{C832B6AB-F1CD-384B-832C-C96AA3632E5F}" type="presParOf" srcId="{052F0319-F39D-FC47-AC63-6DE0DC06C44B}" destId="{919E4A44-0527-CB49-BA4D-41EAF909F131}" srcOrd="1" destOrd="0" presId="urn:microsoft.com/office/officeart/2008/layout/RadialCluster"/>
    <dgm:cxn modelId="{FB686742-9C23-3941-947E-7B786A7AFB37}" type="presParOf" srcId="{052F0319-F39D-FC47-AC63-6DE0DC06C44B}" destId="{F5E0F908-13EC-5B46-B908-3AA6F155E271}" srcOrd="2" destOrd="0" presId="urn:microsoft.com/office/officeart/2008/layout/RadialCluster"/>
    <dgm:cxn modelId="{71578A21-D699-284F-B98F-646DB062F512}" type="presParOf" srcId="{052F0319-F39D-FC47-AC63-6DE0DC06C44B}" destId="{44E484C2-DE86-3F4F-9931-87EAB1D295D9}" srcOrd="3" destOrd="0" presId="urn:microsoft.com/office/officeart/2008/layout/RadialCluster"/>
    <dgm:cxn modelId="{6C491C99-D8A8-5641-9490-43D3E3C0980B}" type="presParOf" srcId="{052F0319-F39D-FC47-AC63-6DE0DC06C44B}" destId="{1E154690-E688-E94F-81C4-8E269EF1F909}" srcOrd="4" destOrd="0" presId="urn:microsoft.com/office/officeart/2008/layout/RadialCluster"/>
    <dgm:cxn modelId="{D966F26B-DF1F-E44F-B05E-3A7D2AA4A742}" type="presParOf" srcId="{052F0319-F39D-FC47-AC63-6DE0DC06C44B}" destId="{7354300F-823C-9B42-A027-A73BAE562F15}" srcOrd="5" destOrd="0" presId="urn:microsoft.com/office/officeart/2008/layout/RadialCluster"/>
    <dgm:cxn modelId="{1AFC161F-FD7E-FF41-91EB-591636491441}" type="presParOf" srcId="{052F0319-F39D-FC47-AC63-6DE0DC06C44B}" destId="{270943C1-6CAB-0A46-8608-B6D1C773EA80}" srcOrd="6" destOrd="0" presId="urn:microsoft.com/office/officeart/2008/layout/RadialCluster"/>
    <dgm:cxn modelId="{086871AC-17DB-5141-80FC-0C5BD00CC6D3}" type="presParOf" srcId="{052F0319-F39D-FC47-AC63-6DE0DC06C44B}" destId="{65970B6D-F2FA-7B4D-B9EE-E87D39EAED5B}" srcOrd="7" destOrd="0" presId="urn:microsoft.com/office/officeart/2008/layout/RadialCluster"/>
    <dgm:cxn modelId="{9400DF3F-0568-D44D-A0DB-3F080D8A056D}" type="presParOf" srcId="{052F0319-F39D-FC47-AC63-6DE0DC06C44B}" destId="{6158E2B1-E3C7-8641-8F3D-27DD8C2EFA3C}" srcOrd="8" destOrd="0" presId="urn:microsoft.com/office/officeart/2008/layout/RadialCluster"/>
    <dgm:cxn modelId="{381F929C-E5EA-AA4D-B479-9DE5174E2CCA}" type="presParOf" srcId="{052F0319-F39D-FC47-AC63-6DE0DC06C44B}" destId="{38F0BBDC-5DE9-0E4A-979D-8921426C9FB1}" srcOrd="9" destOrd="0" presId="urn:microsoft.com/office/officeart/2008/layout/RadialCluster"/>
    <dgm:cxn modelId="{25B21DA0-F977-494E-BB21-8DE59A653B1F}" type="presParOf" srcId="{052F0319-F39D-FC47-AC63-6DE0DC06C44B}" destId="{A5D3E6E2-122C-834F-8C5D-CB4419C7C7C5}" srcOrd="10" destOrd="0" presId="urn:microsoft.com/office/officeart/2008/layout/RadialCluster"/>
    <dgm:cxn modelId="{53D14F9D-7E28-A847-840B-ABDA1DB92480}" type="presParOf" srcId="{052F0319-F39D-FC47-AC63-6DE0DC06C44B}" destId="{EC9FC018-2061-8543-93BC-C94DA39BEE3E}" srcOrd="11" destOrd="0" presId="urn:microsoft.com/office/officeart/2008/layout/RadialCluster"/>
    <dgm:cxn modelId="{386C3B2F-032E-7D47-B490-18A7A9163353}" type="presParOf" srcId="{052F0319-F39D-FC47-AC63-6DE0DC06C44B}" destId="{511FAC9C-0280-6845-83A9-E12C03E98AAC}" srcOrd="12" destOrd="0" presId="urn:microsoft.com/office/officeart/2008/layout/RadialCluster"/>
    <dgm:cxn modelId="{9EC91F77-BF6A-704C-A7F0-B98F574FEA1E}" type="presParOf" srcId="{052F0319-F39D-FC47-AC63-6DE0DC06C44B}" destId="{A191316E-7C5A-CF4B-9EA7-2ADC3980AC63}" srcOrd="13" destOrd="0" presId="urn:microsoft.com/office/officeart/2008/layout/RadialCluster"/>
    <dgm:cxn modelId="{4C85DB54-5586-BC49-BE8C-1ACD94D06B1E}" type="presParOf" srcId="{052F0319-F39D-FC47-AC63-6DE0DC06C44B}" destId="{1FF9A392-FC9A-E344-92F5-BAA8F676EAB7}" srcOrd="14" destOrd="0" presId="urn:microsoft.com/office/officeart/2008/layout/RadialCluster"/>
    <dgm:cxn modelId="{8E26035B-6411-D74A-9076-3FF6BC255EC7}" type="presParOf" srcId="{052F0319-F39D-FC47-AC63-6DE0DC06C44B}" destId="{B4356CAA-9B53-F445-8ECB-60778B53938E}" srcOrd="15" destOrd="0" presId="urn:microsoft.com/office/officeart/2008/layout/RadialCluster"/>
    <dgm:cxn modelId="{00AB95F3-E06A-5A4B-B8E4-6E2146E59771}" type="presParOf" srcId="{052F0319-F39D-FC47-AC63-6DE0DC06C44B}" destId="{E1D23DAA-073D-1447-97FB-2E3BECE1DB8A}" srcOrd="16" destOrd="0" presId="urn:microsoft.com/office/officeart/2008/layout/RadialCluster"/>
    <dgm:cxn modelId="{7C0A58D3-8952-2148-85FA-86F6C03FD07D}" type="presParOf" srcId="{4008D209-3951-9042-A7CF-61B50CD1D4F9}" destId="{32ABA99F-61FA-D74E-93D7-64FFA6AACCBC}" srcOrd="2" destOrd="0" presId="urn:microsoft.com/office/officeart/2008/layout/RadialCluster"/>
    <dgm:cxn modelId="{C0C7126F-E71E-654A-BBCC-4F5CB7E42748}" type="presParOf" srcId="{4008D209-3951-9042-A7CF-61B50CD1D4F9}" destId="{47FFD105-BB48-2B46-B377-6A36CB96FB10}" srcOrd="3" destOrd="0" presId="urn:microsoft.com/office/officeart/2008/layout/RadialCluster"/>
    <dgm:cxn modelId="{2237BCEA-39E3-8743-A825-A88816E90A41}" type="presParOf" srcId="{47FFD105-BB48-2B46-B377-6A36CB96FB10}" destId="{2CFC2138-8348-F54F-BA1F-2BDB63B31E74}" srcOrd="0" destOrd="0" presId="urn:microsoft.com/office/officeart/2008/layout/RadialCluster"/>
    <dgm:cxn modelId="{DEAA5A71-6034-AC4F-88BC-7208833018BD}" type="presParOf" srcId="{47FFD105-BB48-2B46-B377-6A36CB96FB10}" destId="{F042E740-2AA2-0A49-B2D2-BD8F4B43A22A}" srcOrd="1" destOrd="0" presId="urn:microsoft.com/office/officeart/2008/layout/RadialCluster"/>
    <dgm:cxn modelId="{AB66A357-17A1-0642-A54C-6192A179E4AE}" type="presParOf" srcId="{47FFD105-BB48-2B46-B377-6A36CB96FB10}" destId="{E1F2BAA6-29DB-1840-8CBD-2AAC58C95489}" srcOrd="2" destOrd="0" presId="urn:microsoft.com/office/officeart/2008/layout/RadialCluster"/>
    <dgm:cxn modelId="{44D9087C-A56D-8B4C-A73D-ECB3D50E8B5A}" type="presParOf" srcId="{47FFD105-BB48-2B46-B377-6A36CB96FB10}" destId="{6BD0BA65-769A-8B4D-8B0F-AFB8B38C02CD}" srcOrd="3" destOrd="0" presId="urn:microsoft.com/office/officeart/2008/layout/RadialCluster"/>
    <dgm:cxn modelId="{0FCAA251-1E4E-7447-96F5-106C48C9CA9C}" type="presParOf" srcId="{47FFD105-BB48-2B46-B377-6A36CB96FB10}" destId="{D786D130-47BF-E54D-A477-05236B1290DE}" srcOrd="4" destOrd="0" presId="urn:microsoft.com/office/officeart/2008/layout/RadialCluster"/>
    <dgm:cxn modelId="{68F9733D-D882-E248-B911-DF455A971A2B}" type="presParOf" srcId="{47FFD105-BB48-2B46-B377-6A36CB96FB10}" destId="{CC2E1410-D9EC-6242-8C15-C464E980A56D}" srcOrd="5" destOrd="0" presId="urn:microsoft.com/office/officeart/2008/layout/RadialCluster"/>
    <dgm:cxn modelId="{9D7B6BC5-FE9E-274A-BE80-A89F7C61F202}" type="presParOf" srcId="{47FFD105-BB48-2B46-B377-6A36CB96FB10}" destId="{8B80DE73-DFD5-4145-8DC8-3CC866493571}" srcOrd="6" destOrd="0" presId="urn:microsoft.com/office/officeart/2008/layout/RadialCluster"/>
    <dgm:cxn modelId="{38D45F0D-D9B5-3D40-BE3E-555CC6DB06A9}" type="presParOf" srcId="{47FFD105-BB48-2B46-B377-6A36CB96FB10}" destId="{515FC1B6-1BD9-7741-A219-FF39D741588E}" srcOrd="7" destOrd="0" presId="urn:microsoft.com/office/officeart/2008/layout/RadialCluster"/>
    <dgm:cxn modelId="{B731DB73-A406-104B-82C8-3A6F0E0FA185}" type="presParOf" srcId="{47FFD105-BB48-2B46-B377-6A36CB96FB10}" destId="{BD1AEE91-40AA-F349-8F16-B5CF0C43112F}" srcOrd="8" destOrd="0" presId="urn:microsoft.com/office/officeart/2008/layout/RadialCluster"/>
    <dgm:cxn modelId="{53E5E14B-1F4A-4144-9B65-9F601A68A226}" type="presParOf" srcId="{47FFD105-BB48-2B46-B377-6A36CB96FB10}" destId="{D6CAD381-38F6-C840-8D45-4E4802A085EF}" srcOrd="9" destOrd="0" presId="urn:microsoft.com/office/officeart/2008/layout/RadialCluster"/>
    <dgm:cxn modelId="{E536E627-3F88-BF44-9E9F-0DBE0CC094C8}" type="presParOf" srcId="{47FFD105-BB48-2B46-B377-6A36CB96FB10}" destId="{52B331ED-5153-2548-99C1-CD68153ADD4E}" srcOrd="10" destOrd="0" presId="urn:microsoft.com/office/officeart/2008/layout/RadialCluster"/>
    <dgm:cxn modelId="{5B33DF42-CB08-7644-B570-3D3EA0468F41}" type="presParOf" srcId="{4008D209-3951-9042-A7CF-61B50CD1D4F9}" destId="{75ACDCAC-C1E8-4447-846A-88F88F6D9F52}" srcOrd="4" destOrd="0" presId="urn:microsoft.com/office/officeart/2008/layout/RadialCluster"/>
    <dgm:cxn modelId="{AEC657DD-8EEB-8943-89D8-21F77F12B693}" type="presParOf" srcId="{4008D209-3951-9042-A7CF-61B50CD1D4F9}" destId="{2ED86812-FCBD-1740-AEB9-07DF8CC7668F}" srcOrd="5" destOrd="0" presId="urn:microsoft.com/office/officeart/2008/layout/RadialCluster"/>
    <dgm:cxn modelId="{A2F15A44-331A-8543-B304-4F678909E0D5}" type="presParOf" srcId="{2ED86812-FCBD-1740-AEB9-07DF8CC7668F}" destId="{EF954303-AACC-E04F-A004-4499BE6B22D8}" srcOrd="0" destOrd="0" presId="urn:microsoft.com/office/officeart/2008/layout/RadialCluster"/>
    <dgm:cxn modelId="{FB84381B-B1BE-B74C-9AB5-A1476DD4FEB8}" type="presParOf" srcId="{2ED86812-FCBD-1740-AEB9-07DF8CC7668F}" destId="{FBE986C5-EE91-5D4C-BFD3-D9A022E6B0C2}" srcOrd="1" destOrd="0" presId="urn:microsoft.com/office/officeart/2008/layout/RadialCluster"/>
    <dgm:cxn modelId="{ADC86E21-DF15-F745-970F-8349A5603F1F}" type="presParOf" srcId="{2ED86812-FCBD-1740-AEB9-07DF8CC7668F}" destId="{31FD441B-7749-F04C-8C5D-8BEBC379FDA7}" srcOrd="2" destOrd="0" presId="urn:microsoft.com/office/officeart/2008/layout/RadialCluster"/>
    <dgm:cxn modelId="{568D7745-0FC7-6646-AB56-275D0DF79190}" type="presParOf" srcId="{2ED86812-FCBD-1740-AEB9-07DF8CC7668F}" destId="{9986D04E-776D-B448-8FA5-25D516AA4E88}" srcOrd="3" destOrd="0" presId="urn:microsoft.com/office/officeart/2008/layout/RadialCluster"/>
    <dgm:cxn modelId="{98AB826A-5135-144F-BFE5-9D80ADAD3D97}" type="presParOf" srcId="{2ED86812-FCBD-1740-AEB9-07DF8CC7668F}" destId="{89A3EC70-2E80-9A4E-B474-4A033190CDC4}" srcOrd="4" destOrd="0" presId="urn:microsoft.com/office/officeart/2008/layout/RadialCluster"/>
    <dgm:cxn modelId="{9987CBCE-E0B3-3848-9C3B-6B9ED7CBE87B}" type="presParOf" srcId="{2ED86812-FCBD-1740-AEB9-07DF8CC7668F}" destId="{05479D97-B938-A34E-87D6-88D501FC01C0}" srcOrd="5" destOrd="0" presId="urn:microsoft.com/office/officeart/2008/layout/RadialCluster"/>
    <dgm:cxn modelId="{50F8E88D-AEA3-A14E-9F8D-BDA72B872E39}" type="presParOf" srcId="{2ED86812-FCBD-1740-AEB9-07DF8CC7668F}" destId="{09F6254C-C5C4-CF4A-8E0C-7BCA40D2A8CE}" srcOrd="6" destOrd="0" presId="urn:microsoft.com/office/officeart/2008/layout/RadialCluster"/>
    <dgm:cxn modelId="{2C8F1E6C-C935-C043-A93B-086320D6BB52}" type="presParOf" srcId="{2ED86812-FCBD-1740-AEB9-07DF8CC7668F}" destId="{F5F58CCB-8107-6B4A-BDE4-264430FE008B}" srcOrd="7" destOrd="0" presId="urn:microsoft.com/office/officeart/2008/layout/RadialCluster"/>
    <dgm:cxn modelId="{8BE49559-D55F-AA4C-96F2-C2118EF3F619}" type="presParOf" srcId="{2ED86812-FCBD-1740-AEB9-07DF8CC7668F}" destId="{796CC327-4D20-EC45-A926-CDC018E856EC}" srcOrd="8" destOrd="0" presId="urn:microsoft.com/office/officeart/2008/layout/RadialCluster"/>
    <dgm:cxn modelId="{13BD74B7-3AAB-614E-98A4-B5275BF9DB6C}" type="presParOf" srcId="{2ED86812-FCBD-1740-AEB9-07DF8CC7668F}" destId="{799EEDA3-4449-6647-B2CE-A4FF7BD17415}" srcOrd="9" destOrd="0" presId="urn:microsoft.com/office/officeart/2008/layout/RadialCluster"/>
    <dgm:cxn modelId="{62A0DCC2-2D4E-554A-9B59-615F0BD5A07E}" type="presParOf" srcId="{2ED86812-FCBD-1740-AEB9-07DF8CC7668F}" destId="{C5AF3D4F-E7CC-9548-BDCE-B1CCF4EB4381}" srcOrd="10" destOrd="0" presId="urn:microsoft.com/office/officeart/2008/layout/RadialCluster"/>
    <dgm:cxn modelId="{D0CDC84D-867A-C841-935D-821E7274855D}" type="presParOf" srcId="{2ED86812-FCBD-1740-AEB9-07DF8CC7668F}" destId="{3EF590F0-5F21-2047-B3B5-47E59CC74B27}" srcOrd="11" destOrd="0" presId="urn:microsoft.com/office/officeart/2008/layout/RadialCluster"/>
    <dgm:cxn modelId="{06DCD5DB-FC2F-EE40-9713-56008C20115A}" type="presParOf" srcId="{2ED86812-FCBD-1740-AEB9-07DF8CC7668F}" destId="{267C52A9-79AC-4B4B-AA66-22D1305BBEB9}" srcOrd="12" destOrd="0" presId="urn:microsoft.com/office/officeart/2008/layout/RadialCluster"/>
    <dgm:cxn modelId="{B5BA0D28-F88F-7F40-995A-8E2F1CC85D6C}" type="presParOf" srcId="{2ED86812-FCBD-1740-AEB9-07DF8CC7668F}" destId="{F169E1E7-86BD-8349-9F37-FDB61FA0B0C1}" srcOrd="13" destOrd="0" presId="urn:microsoft.com/office/officeart/2008/layout/RadialCluster"/>
    <dgm:cxn modelId="{A06DB460-6F2A-0041-9C7E-121BD3C8A34C}" type="presParOf" srcId="{2ED86812-FCBD-1740-AEB9-07DF8CC7668F}" destId="{A7755C4C-5B2D-F444-B1EB-AE9C334FFAE5}" srcOrd="14" destOrd="0" presId="urn:microsoft.com/office/officeart/2008/layout/RadialCluster"/>
    <dgm:cxn modelId="{B2A100F8-AE98-2049-AC79-9E93EB8E8D50}" type="presParOf" srcId="{4008D209-3951-9042-A7CF-61B50CD1D4F9}" destId="{D325D49D-A32D-EE48-9F44-756AF73246CD}" srcOrd="6" destOrd="0" presId="urn:microsoft.com/office/officeart/2008/layout/RadialCluster"/>
    <dgm:cxn modelId="{6A355562-67B0-514E-9639-385238265491}" type="presParOf" srcId="{4008D209-3951-9042-A7CF-61B50CD1D4F9}" destId="{3DDAC01E-9874-F94F-9FD2-60BB064C7D55}" srcOrd="7" destOrd="0" presId="urn:microsoft.com/office/officeart/2008/layout/RadialCluster"/>
    <dgm:cxn modelId="{E5B9D572-A51A-A849-A87D-6550B75180F7}" type="presParOf" srcId="{3DDAC01E-9874-F94F-9FD2-60BB064C7D55}" destId="{E538692A-61C1-874A-94AC-27277D091F06}" srcOrd="0" destOrd="0" presId="urn:microsoft.com/office/officeart/2008/layout/RadialCluster"/>
    <dgm:cxn modelId="{3B5D1F31-926C-3847-9E80-D231D7DA23BA}" type="presParOf" srcId="{3DDAC01E-9874-F94F-9FD2-60BB064C7D55}" destId="{4C8616FA-7E6A-D641-8BE7-AB9C9A4C7A79}" srcOrd="1" destOrd="0" presId="urn:microsoft.com/office/officeart/2008/layout/RadialCluster"/>
    <dgm:cxn modelId="{E5AC3B11-0A55-E749-85BE-BE125D269B5B}" type="presParOf" srcId="{3DDAC01E-9874-F94F-9FD2-60BB064C7D55}" destId="{862238AA-97E0-A94B-99BD-8C1C980802DB}" srcOrd="2" destOrd="0" presId="urn:microsoft.com/office/officeart/2008/layout/RadialCluster"/>
    <dgm:cxn modelId="{1F20F299-1491-EF47-ACB2-7766EB14E9A9}" type="presParOf" srcId="{3DDAC01E-9874-F94F-9FD2-60BB064C7D55}" destId="{3D10006A-6652-644D-8024-82569911068F}" srcOrd="3" destOrd="0" presId="urn:microsoft.com/office/officeart/2008/layout/RadialCluster"/>
    <dgm:cxn modelId="{2400ACFC-62EA-3943-BCDB-B957DF75AF04}" type="presParOf" srcId="{3DDAC01E-9874-F94F-9FD2-60BB064C7D55}" destId="{6C51A908-50D6-6A40-A9B6-7450E1A025BB}" srcOrd="4" destOrd="0" presId="urn:microsoft.com/office/officeart/2008/layout/RadialCluster"/>
    <dgm:cxn modelId="{5CCA5162-47AD-AF41-A53D-DE067DB71E02}" type="presParOf" srcId="{3DDAC01E-9874-F94F-9FD2-60BB064C7D55}" destId="{B44E45F1-F8D9-E646-9D72-E1DBF0011FDB}" srcOrd="5" destOrd="0" presId="urn:microsoft.com/office/officeart/2008/layout/RadialCluster"/>
    <dgm:cxn modelId="{374DABB2-8397-4B4A-8363-DEC91A49B0BE}" type="presParOf" srcId="{3DDAC01E-9874-F94F-9FD2-60BB064C7D55}" destId="{4B531F4B-2FCC-634B-A6AE-282E8D8DA9C8}" srcOrd="6" destOrd="0" presId="urn:microsoft.com/office/officeart/2008/layout/RadialCluster"/>
    <dgm:cxn modelId="{A7C884DD-5720-D540-9727-A72B9AC8CD9C}" type="presParOf" srcId="{3DDAC01E-9874-F94F-9FD2-60BB064C7D55}" destId="{88829AF9-A850-6E4D-8858-A04E41EC33BA}" srcOrd="7" destOrd="0" presId="urn:microsoft.com/office/officeart/2008/layout/RadialCluster"/>
    <dgm:cxn modelId="{FFB0085B-79F2-7243-AE0D-DC806BFA4BBF}" type="presParOf" srcId="{3DDAC01E-9874-F94F-9FD2-60BB064C7D55}" destId="{A0E410EF-A157-E84B-9795-64784B0B825D}" srcOrd="8" destOrd="0" presId="urn:microsoft.com/office/officeart/2008/layout/RadialCluster"/>
    <dgm:cxn modelId="{39EBF893-2706-BB48-8B62-E00AF4572AE8}" type="presParOf" srcId="{3DDAC01E-9874-F94F-9FD2-60BB064C7D55}" destId="{5E1516D0-C07C-8746-9D8D-9CCD6EB97033}" srcOrd="9" destOrd="0" presId="urn:microsoft.com/office/officeart/2008/layout/RadialCluster"/>
    <dgm:cxn modelId="{07A0E465-15A7-0545-A18C-ED7BEF19CF88}" type="presParOf" srcId="{3DDAC01E-9874-F94F-9FD2-60BB064C7D55}" destId="{EA712302-D819-7644-96D4-4F4AB369B4D9}" srcOrd="10" destOrd="0" presId="urn:microsoft.com/office/officeart/2008/layout/RadialCluster"/>
    <dgm:cxn modelId="{9746AED7-3CBF-4640-9998-00B88EB3B7CB}" type="presParOf" srcId="{4008D209-3951-9042-A7CF-61B50CD1D4F9}" destId="{89BDBE51-6091-434D-B2AB-0A0CD1FE25C1}" srcOrd="8" destOrd="0" presId="urn:microsoft.com/office/officeart/2008/layout/RadialCluster"/>
    <dgm:cxn modelId="{6BFE2846-1B07-184A-887E-A93726FFDBF7}" type="presParOf" srcId="{4008D209-3951-9042-A7CF-61B50CD1D4F9}" destId="{029876DB-C45C-3C4B-9E18-489C7ED94BF7}" srcOrd="9" destOrd="0" presId="urn:microsoft.com/office/officeart/2008/layout/RadialCluster"/>
    <dgm:cxn modelId="{07D20181-B203-734F-B081-B7EE8A5EF05C}" type="presParOf" srcId="{029876DB-C45C-3C4B-9E18-489C7ED94BF7}" destId="{66C466D4-1828-CE4E-B757-989383CA1F6C}" srcOrd="0" destOrd="0" presId="urn:microsoft.com/office/officeart/2008/layout/RadialCluster"/>
    <dgm:cxn modelId="{A7905A9C-533D-4A48-B861-70D2C6791681}" type="presParOf" srcId="{029876DB-C45C-3C4B-9E18-489C7ED94BF7}" destId="{9C50B29B-E69C-0242-B0F5-E19768FD7401}" srcOrd="1" destOrd="0" presId="urn:microsoft.com/office/officeart/2008/layout/RadialCluster"/>
    <dgm:cxn modelId="{02D37124-E3D4-BC4B-89ED-62ED96C58F41}" type="presParOf" srcId="{029876DB-C45C-3C4B-9E18-489C7ED94BF7}" destId="{2E794E50-54A0-6949-8036-098F1C2A9E58}" srcOrd="2" destOrd="0" presId="urn:microsoft.com/office/officeart/2008/layout/RadialCluster"/>
    <dgm:cxn modelId="{B9BCC311-9149-AC44-98AB-F32A088EA12B}" type="presParOf" srcId="{029876DB-C45C-3C4B-9E18-489C7ED94BF7}" destId="{E5EE0051-F15B-0041-B50E-A768306474D4}" srcOrd="3" destOrd="0" presId="urn:microsoft.com/office/officeart/2008/layout/RadialCluster"/>
    <dgm:cxn modelId="{B8842CFA-2CC5-FD4E-9BA6-E867CB25174D}" type="presParOf" srcId="{029876DB-C45C-3C4B-9E18-489C7ED94BF7}" destId="{BFEB6BC1-CD54-9B48-A906-61D991630C26}" srcOrd="4" destOrd="0" presId="urn:microsoft.com/office/officeart/2008/layout/RadialCluster"/>
    <dgm:cxn modelId="{84B43446-EF69-D848-8334-579E0432B432}" type="presParOf" srcId="{029876DB-C45C-3C4B-9E18-489C7ED94BF7}" destId="{3CC55AA7-084B-2F4F-A2DC-C3B6EB963FF2}" srcOrd="5" destOrd="0" presId="urn:microsoft.com/office/officeart/2008/layout/RadialCluster"/>
    <dgm:cxn modelId="{C55FE679-492C-9F4D-9508-41A7483C12B3}" type="presParOf" srcId="{029876DB-C45C-3C4B-9E18-489C7ED94BF7}" destId="{6CE3FBA3-52BE-1C44-AD9F-D8253A8A7BBF}" srcOrd="6" destOrd="0" presId="urn:microsoft.com/office/officeart/2008/layout/RadialCluster"/>
    <dgm:cxn modelId="{3E79AF33-5A2E-5E46-9795-810B6CF12031}" type="presParOf" srcId="{029876DB-C45C-3C4B-9E18-489C7ED94BF7}" destId="{34A8029D-AC90-6E45-BF46-B46F3381875F}" srcOrd="7" destOrd="0" presId="urn:microsoft.com/office/officeart/2008/layout/RadialCluster"/>
    <dgm:cxn modelId="{62BE526C-AD7A-F241-B083-8FC62F24DD80}" type="presParOf" srcId="{029876DB-C45C-3C4B-9E18-489C7ED94BF7}" destId="{25F4FC25-F050-DE4A-9C77-AE6425A15CC1}" srcOrd="8" destOrd="0" presId="urn:microsoft.com/office/officeart/2008/layout/RadialCluster"/>
    <dgm:cxn modelId="{8BBD5DC9-3601-E94F-8C2E-11207CF60FE5}" type="presParOf" srcId="{029876DB-C45C-3C4B-9E18-489C7ED94BF7}" destId="{8F84E76A-2970-4F47-993B-9FF55A2C1C10}" srcOrd="9" destOrd="0" presId="urn:microsoft.com/office/officeart/2008/layout/RadialCluster"/>
    <dgm:cxn modelId="{417AAE6B-8D5F-154B-9212-77D359B9CF13}" type="presParOf" srcId="{029876DB-C45C-3C4B-9E18-489C7ED94BF7}" destId="{F50DD947-D71D-F949-987A-EAAA59E2D17D}" srcOrd="10" destOrd="0" presId="urn:microsoft.com/office/officeart/2008/layout/RadialCluster"/>
    <dgm:cxn modelId="{E49C22D3-6F77-AE40-9B91-26C1FC86220D}" type="presParOf" srcId="{4008D209-3951-9042-A7CF-61B50CD1D4F9}" destId="{C9D2AE91-4C95-3143-918D-994D909618A3}" srcOrd="10" destOrd="0" presId="urn:microsoft.com/office/officeart/2008/layout/RadialCluster"/>
    <dgm:cxn modelId="{F9660199-50B4-A743-8BFD-FF17FDF6266E}" type="presParOf" srcId="{4008D209-3951-9042-A7CF-61B50CD1D4F9}" destId="{21F7FEA9-F222-F44F-A680-C6C3FE56B4B2}" srcOrd="11" destOrd="0" presId="urn:microsoft.com/office/officeart/2008/layout/RadialCluster"/>
    <dgm:cxn modelId="{E72920DF-0D32-DA4B-B0AD-690B4340D9E2}" type="presParOf" srcId="{21F7FEA9-F222-F44F-A680-C6C3FE56B4B2}" destId="{E134C0B1-92FB-E946-980E-4C20B1CE3448}" srcOrd="0" destOrd="0" presId="urn:microsoft.com/office/officeart/2008/layout/RadialCluster"/>
    <dgm:cxn modelId="{E1FEA96A-7175-3B4A-88B6-3334BE181333}" type="presParOf" srcId="{21F7FEA9-F222-F44F-A680-C6C3FE56B4B2}" destId="{3C23EC73-71E2-0247-989E-BF7D3BF1262D}" srcOrd="1" destOrd="0" presId="urn:microsoft.com/office/officeart/2008/layout/RadialCluster"/>
    <dgm:cxn modelId="{6FB8CB4D-DC87-BF4C-A3D5-B21241850D30}" type="presParOf" srcId="{21F7FEA9-F222-F44F-A680-C6C3FE56B4B2}" destId="{EBD7BC21-6925-4448-879D-B495107726CB}" srcOrd="2" destOrd="0" presId="urn:microsoft.com/office/officeart/2008/layout/RadialCluster"/>
    <dgm:cxn modelId="{703B1A17-6740-3842-8366-0D9A5AB20E5E}" type="presParOf" srcId="{21F7FEA9-F222-F44F-A680-C6C3FE56B4B2}" destId="{6E647C1C-BF20-144B-AD7C-3437755A395E}" srcOrd="3" destOrd="0" presId="urn:microsoft.com/office/officeart/2008/layout/RadialCluster"/>
    <dgm:cxn modelId="{BF0336B1-1DF8-634B-BBBC-2BAF68242C2B}" type="presParOf" srcId="{21F7FEA9-F222-F44F-A680-C6C3FE56B4B2}" destId="{F35F3857-4797-1440-AFB6-56E1081E8283}" srcOrd="4" destOrd="0" presId="urn:microsoft.com/office/officeart/2008/layout/RadialCluster"/>
    <dgm:cxn modelId="{AED3F1F1-6A74-B241-9EAF-B3FAC5AA5FED}" type="presParOf" srcId="{21F7FEA9-F222-F44F-A680-C6C3FE56B4B2}" destId="{5FB694D4-B832-E047-A88F-4C43222DE4C9}" srcOrd="5" destOrd="0" presId="urn:microsoft.com/office/officeart/2008/layout/RadialCluster"/>
    <dgm:cxn modelId="{34996AC4-F784-2E45-B5CA-E2671146832F}" type="presParOf" srcId="{21F7FEA9-F222-F44F-A680-C6C3FE56B4B2}" destId="{EBD0AF22-1179-3145-B554-B6DF26CF862F}" srcOrd="6" destOrd="0" presId="urn:microsoft.com/office/officeart/2008/layout/RadialCluster"/>
    <dgm:cxn modelId="{EC0CA280-7C3F-B944-8A63-3EAC76F8552D}" type="presParOf" srcId="{21F7FEA9-F222-F44F-A680-C6C3FE56B4B2}" destId="{8E234813-ACA1-104E-AB59-BF73306C3704}" srcOrd="7" destOrd="0" presId="urn:microsoft.com/office/officeart/2008/layout/RadialCluster"/>
    <dgm:cxn modelId="{0B63A20D-A5B8-504A-81F7-2125C535881F}" type="presParOf" srcId="{21F7FEA9-F222-F44F-A680-C6C3FE56B4B2}" destId="{3F2D7E9B-8158-6942-96BF-4B93F5C232C0}" srcOrd="8" destOrd="0" presId="urn:microsoft.com/office/officeart/2008/layout/RadialCluster"/>
    <dgm:cxn modelId="{579D4301-08D6-424C-BBA4-7EC18FFAEF7A}" type="presParOf" srcId="{4008D209-3951-9042-A7CF-61B50CD1D4F9}" destId="{D746CC8E-0FF1-744A-BDD8-07535CBFF907}" srcOrd="12" destOrd="0" presId="urn:microsoft.com/office/officeart/2008/layout/RadialCluster"/>
    <dgm:cxn modelId="{8C45F878-882D-604F-9F9D-08F27A8E7C76}" type="presParOf" srcId="{4008D209-3951-9042-A7CF-61B50CD1D4F9}" destId="{054B4192-B876-7B43-916E-131627408B27}" srcOrd="13" destOrd="0" presId="urn:microsoft.com/office/officeart/2008/layout/RadialCluster"/>
    <dgm:cxn modelId="{8E732CB9-0DAD-0142-845D-9826DEC708E7}" type="presParOf" srcId="{054B4192-B876-7B43-916E-131627408B27}" destId="{7B4D9341-F0C3-CA4B-B84F-4B550AA44EE5}" srcOrd="0" destOrd="0" presId="urn:microsoft.com/office/officeart/2008/layout/RadialCluster"/>
    <dgm:cxn modelId="{B65105F7-CC3A-A94D-AF38-845F852A9450}" type="presParOf" srcId="{054B4192-B876-7B43-916E-131627408B27}" destId="{BBD6AD10-A50C-DC45-ACAF-2E312F8EFB0F}" srcOrd="1" destOrd="0" presId="urn:microsoft.com/office/officeart/2008/layout/RadialCluster"/>
    <dgm:cxn modelId="{417B87E1-F88A-5940-9DA0-DF33A53469E0}" type="presParOf" srcId="{054B4192-B876-7B43-916E-131627408B27}" destId="{B4526286-356F-104B-9D34-C986CC9EDF6B}" srcOrd="2" destOrd="0" presId="urn:microsoft.com/office/officeart/2008/layout/RadialCluster"/>
    <dgm:cxn modelId="{6803DBEA-D280-CA47-AEC0-749CF4A65EC9}" type="presParOf" srcId="{054B4192-B876-7B43-916E-131627408B27}" destId="{C4757226-2FF3-BF4B-A5CE-D982CA6491D0}" srcOrd="3" destOrd="0" presId="urn:microsoft.com/office/officeart/2008/layout/RadialCluster"/>
    <dgm:cxn modelId="{213540C3-A468-824C-BE56-4D5B9BA95F4F}" type="presParOf" srcId="{054B4192-B876-7B43-916E-131627408B27}" destId="{7833F867-3240-FE4C-92DB-BE9FBCB646B9}" srcOrd="4" destOrd="0" presId="urn:microsoft.com/office/officeart/2008/layout/RadialCluster"/>
    <dgm:cxn modelId="{2988B3DB-E405-F64A-9945-A906F7BE8AB2}" type="presParOf" srcId="{054B4192-B876-7B43-916E-131627408B27}" destId="{26BC3630-55C2-A149-BDCF-A03F01162041}" srcOrd="5" destOrd="0" presId="urn:microsoft.com/office/officeart/2008/layout/RadialCluster"/>
    <dgm:cxn modelId="{0E3265A9-D8F5-A445-B5A2-CFDEC0165984}" type="presParOf" srcId="{054B4192-B876-7B43-916E-131627408B27}" destId="{0A646996-67FD-674D-88ED-79CC29413C1A}" srcOrd="6" destOrd="0" presId="urn:microsoft.com/office/officeart/2008/layout/RadialCluster"/>
    <dgm:cxn modelId="{96443B53-B1ED-E848-8307-2C7A2D240450}" type="presParOf" srcId="{054B4192-B876-7B43-916E-131627408B27}" destId="{6631F5A2-418E-3D4E-957F-3399A65472AB}" srcOrd="7" destOrd="0" presId="urn:microsoft.com/office/officeart/2008/layout/RadialCluster"/>
    <dgm:cxn modelId="{40A56007-24B2-E142-8311-402C61BC6F0C}" type="presParOf" srcId="{054B4192-B876-7B43-916E-131627408B27}" destId="{C122D6C2-DE93-E943-87C1-37928F13E8A6}" srcOrd="8" destOrd="0" presId="urn:microsoft.com/office/officeart/2008/layout/RadialCluster"/>
    <dgm:cxn modelId="{F10452F7-682D-404A-B24E-4ACF397E21A7}" type="presParOf" srcId="{4008D209-3951-9042-A7CF-61B50CD1D4F9}" destId="{44F2BB17-6602-5D42-8FDA-4F1665B9DC02}" srcOrd="14" destOrd="0" presId="urn:microsoft.com/office/officeart/2008/layout/RadialCluster"/>
  </dgm:cxnLst>
  <dgm:bg/>
  <dgm:whole/>
  <dgm:extLst>
    <a:ext uri="http://schemas.microsoft.com/office/drawing/2008/diagram">
      <dsp:dataModelExt xmlns:dsp="http://schemas.microsoft.com/office/drawing/2008/diagram" relId="rId291" minVer="http://schemas.openxmlformats.org/drawingml/2006/diagram"/>
    </a:ext>
  </dgm:extLst>
</dgm:dataModel>
</file>

<file path=word/diagrams/data43.xml><?xml version="1.0" encoding="utf-8"?>
<dgm:dataModel xmlns:dgm="http://schemas.openxmlformats.org/drawingml/2006/diagram" xmlns:a="http://schemas.openxmlformats.org/drawingml/2006/main">
  <dgm:ptLst>
    <dgm:pt modelId="{8303B6C8-06EB-D24A-BA2D-84D25E366CE2}" type="doc">
      <dgm:prSet loTypeId="urn:microsoft.com/office/officeart/2005/8/layout/radial4" loCatId="" qsTypeId="urn:microsoft.com/office/officeart/2005/8/quickstyle/simple2" qsCatId="simple" csTypeId="urn:microsoft.com/office/officeart/2005/8/colors/colorful1" csCatId="colorful" phldr="1"/>
      <dgm:spPr/>
      <dgm:t>
        <a:bodyPr/>
        <a:lstStyle/>
        <a:p>
          <a:endParaRPr lang="en-US"/>
        </a:p>
      </dgm:t>
    </dgm:pt>
    <dgm:pt modelId="{7C66BF6D-A85E-EE44-BF66-46DF24EA5BAC}">
      <dgm:prSet phldrT="[Text]"/>
      <dgm:spPr/>
      <dgm:t>
        <a:bodyPr/>
        <a:lstStyle/>
        <a:p>
          <a:r>
            <a:rPr lang="en-US"/>
            <a:t>Planning undergraduate SBME: Stage 1-4</a:t>
          </a:r>
        </a:p>
      </dgm:t>
    </dgm:pt>
    <dgm:pt modelId="{5487A7D0-7AE3-8B41-B9FC-4F4644D59167}" type="parTrans" cxnId="{E52FEB01-EF05-7944-9604-53AA8B4481BB}">
      <dgm:prSet/>
      <dgm:spPr/>
      <dgm:t>
        <a:bodyPr/>
        <a:lstStyle/>
        <a:p>
          <a:endParaRPr lang="en-US"/>
        </a:p>
      </dgm:t>
    </dgm:pt>
    <dgm:pt modelId="{203D5901-A936-BF46-B898-058CB54577DE}" type="sibTrans" cxnId="{E52FEB01-EF05-7944-9604-53AA8B4481BB}">
      <dgm:prSet/>
      <dgm:spPr/>
      <dgm:t>
        <a:bodyPr/>
        <a:lstStyle/>
        <a:p>
          <a:endParaRPr lang="en-US"/>
        </a:p>
      </dgm:t>
    </dgm:pt>
    <dgm:pt modelId="{2FCB1E6B-1C8F-9747-84F4-09784646E06D}">
      <dgm:prSet phldrT="[Text]"/>
      <dgm:spPr/>
      <dgm:t>
        <a:bodyPr/>
        <a:lstStyle/>
        <a:p>
          <a:pPr algn="ctr"/>
          <a:r>
            <a:rPr lang="en-US"/>
            <a:t>When</a:t>
          </a:r>
        </a:p>
      </dgm:t>
    </dgm:pt>
    <dgm:pt modelId="{31A5C1EE-2E33-7D4F-B572-C9ED084CB8E3}" type="parTrans" cxnId="{48F9A7D1-5F7C-A240-B8E7-BBBF70DD9567}">
      <dgm:prSet/>
      <dgm:spPr/>
      <dgm:t>
        <a:bodyPr/>
        <a:lstStyle/>
        <a:p>
          <a:endParaRPr lang="en-US"/>
        </a:p>
      </dgm:t>
    </dgm:pt>
    <dgm:pt modelId="{72E95C63-DD84-7844-BE34-6913559135A8}" type="sibTrans" cxnId="{48F9A7D1-5F7C-A240-B8E7-BBBF70DD9567}">
      <dgm:prSet/>
      <dgm:spPr/>
      <dgm:t>
        <a:bodyPr/>
        <a:lstStyle/>
        <a:p>
          <a:endParaRPr lang="en-US"/>
        </a:p>
      </dgm:t>
    </dgm:pt>
    <dgm:pt modelId="{45388458-FD8D-224E-ABE1-6794879BBA54}">
      <dgm:prSet phldrT="[Text]"/>
      <dgm:spPr/>
      <dgm:t>
        <a:bodyPr/>
        <a:lstStyle/>
        <a:p>
          <a:pPr algn="ctr"/>
          <a:r>
            <a:rPr lang="en-US"/>
            <a:t>Where</a:t>
          </a:r>
        </a:p>
      </dgm:t>
    </dgm:pt>
    <dgm:pt modelId="{0A3BB12B-23DC-854E-9191-47217FAFED85}" type="parTrans" cxnId="{BDA9D2B5-118B-D84F-A959-1A50E89FE178}">
      <dgm:prSet/>
      <dgm:spPr/>
      <dgm:t>
        <a:bodyPr/>
        <a:lstStyle/>
        <a:p>
          <a:endParaRPr lang="en-US"/>
        </a:p>
      </dgm:t>
    </dgm:pt>
    <dgm:pt modelId="{F49AF9CD-7C97-C746-9CDD-E1380085F634}" type="sibTrans" cxnId="{BDA9D2B5-118B-D84F-A959-1A50E89FE178}">
      <dgm:prSet/>
      <dgm:spPr/>
      <dgm:t>
        <a:bodyPr/>
        <a:lstStyle/>
        <a:p>
          <a:endParaRPr lang="en-US"/>
        </a:p>
      </dgm:t>
    </dgm:pt>
    <dgm:pt modelId="{76135B23-D7F2-294E-9267-32A4E9C546F3}">
      <dgm:prSet phldrT="[Text]"/>
      <dgm:spPr/>
      <dgm:t>
        <a:bodyPr/>
        <a:lstStyle/>
        <a:p>
          <a:pPr algn="ctr"/>
          <a:r>
            <a:rPr lang="en-US"/>
            <a:t>Time</a:t>
          </a:r>
        </a:p>
      </dgm:t>
    </dgm:pt>
    <dgm:pt modelId="{E15CF692-1765-C547-9DC2-B9456F31D767}" type="parTrans" cxnId="{F8B5C344-F942-D14B-9FCE-2349FCE27018}">
      <dgm:prSet/>
      <dgm:spPr/>
      <dgm:t>
        <a:bodyPr/>
        <a:lstStyle/>
        <a:p>
          <a:endParaRPr lang="en-US"/>
        </a:p>
      </dgm:t>
    </dgm:pt>
    <dgm:pt modelId="{8F2582B7-6534-9042-8D65-763EA55D2DDE}" type="sibTrans" cxnId="{F8B5C344-F942-D14B-9FCE-2349FCE27018}">
      <dgm:prSet/>
      <dgm:spPr/>
      <dgm:t>
        <a:bodyPr/>
        <a:lstStyle/>
        <a:p>
          <a:endParaRPr lang="en-US"/>
        </a:p>
      </dgm:t>
    </dgm:pt>
    <dgm:pt modelId="{A4FCA2B0-1C0A-724B-BA58-79A2DF9FACF8}">
      <dgm:prSet phldrT="[Text]"/>
      <dgm:spPr/>
      <dgm:t>
        <a:bodyPr/>
        <a:lstStyle/>
        <a:p>
          <a:pPr algn="ctr"/>
          <a:r>
            <a:rPr lang="en-US"/>
            <a:t>Who</a:t>
          </a:r>
        </a:p>
      </dgm:t>
    </dgm:pt>
    <dgm:pt modelId="{7987A6DB-BC74-AB4A-A737-065EC95228B8}" type="parTrans" cxnId="{91459AB0-A722-B94A-961F-201589255103}">
      <dgm:prSet/>
      <dgm:spPr/>
      <dgm:t>
        <a:bodyPr/>
        <a:lstStyle/>
        <a:p>
          <a:endParaRPr lang="en-US"/>
        </a:p>
      </dgm:t>
    </dgm:pt>
    <dgm:pt modelId="{2B86D488-851C-B748-85B0-CEF8185F26F4}" type="sibTrans" cxnId="{91459AB0-A722-B94A-961F-201589255103}">
      <dgm:prSet/>
      <dgm:spPr/>
      <dgm:t>
        <a:bodyPr/>
        <a:lstStyle/>
        <a:p>
          <a:endParaRPr lang="en-US"/>
        </a:p>
      </dgm:t>
    </dgm:pt>
    <dgm:pt modelId="{EA433CE1-B313-574C-A92E-3FF9030C6395}">
      <dgm:prSet phldrT="[Text]"/>
      <dgm:spPr/>
      <dgm:t>
        <a:bodyPr/>
        <a:lstStyle/>
        <a:p>
          <a:pPr algn="ctr"/>
          <a:r>
            <a:rPr lang="en-US"/>
            <a:t>Methodology and Modality</a:t>
          </a:r>
        </a:p>
      </dgm:t>
    </dgm:pt>
    <dgm:pt modelId="{676F7605-694D-8849-BE43-09F1AB9D0DA5}" type="parTrans" cxnId="{9A07A36A-0E14-C54A-85E8-F0BDDC6C6C1D}">
      <dgm:prSet/>
      <dgm:spPr/>
      <dgm:t>
        <a:bodyPr/>
        <a:lstStyle/>
        <a:p>
          <a:endParaRPr lang="en-US"/>
        </a:p>
      </dgm:t>
    </dgm:pt>
    <dgm:pt modelId="{E6E87996-CF05-3746-B8AB-652EF99EFD1B}" type="sibTrans" cxnId="{9A07A36A-0E14-C54A-85E8-F0BDDC6C6C1D}">
      <dgm:prSet/>
      <dgm:spPr/>
      <dgm:t>
        <a:bodyPr/>
        <a:lstStyle/>
        <a:p>
          <a:endParaRPr lang="en-US"/>
        </a:p>
      </dgm:t>
    </dgm:pt>
    <dgm:pt modelId="{4E486D1F-785D-BF4D-B4D0-57F60400E2AD}">
      <dgm:prSet/>
      <dgm:spPr/>
      <dgm:t>
        <a:bodyPr/>
        <a:lstStyle/>
        <a:p>
          <a:pPr algn="l"/>
          <a:r>
            <a:rPr lang="en-US"/>
            <a:t>Early as possible Year 1 introduction</a:t>
          </a:r>
        </a:p>
      </dgm:t>
    </dgm:pt>
    <dgm:pt modelId="{33551A35-76EC-CF46-B8FA-D37EE7CE82F2}" type="parTrans" cxnId="{702BBE16-D1CC-3148-8B11-8A1C70DE0C6D}">
      <dgm:prSet/>
      <dgm:spPr/>
      <dgm:t>
        <a:bodyPr/>
        <a:lstStyle/>
        <a:p>
          <a:endParaRPr lang="en-US"/>
        </a:p>
      </dgm:t>
    </dgm:pt>
    <dgm:pt modelId="{B5F2EEB8-5A38-8248-9240-46DDDCACACB5}" type="sibTrans" cxnId="{702BBE16-D1CC-3148-8B11-8A1C70DE0C6D}">
      <dgm:prSet/>
      <dgm:spPr/>
      <dgm:t>
        <a:bodyPr/>
        <a:lstStyle/>
        <a:p>
          <a:endParaRPr lang="en-US"/>
        </a:p>
      </dgm:t>
    </dgm:pt>
    <dgm:pt modelId="{3AA55BF6-DBC2-AC42-B1BF-C010CE9BDE72}">
      <dgm:prSet/>
      <dgm:spPr/>
      <dgm:t>
        <a:bodyPr/>
        <a:lstStyle/>
        <a:p>
          <a:pPr algn="l"/>
          <a:r>
            <a:rPr lang="en-US"/>
            <a:t>Repeated - embed in curriculum</a:t>
          </a:r>
        </a:p>
      </dgm:t>
    </dgm:pt>
    <dgm:pt modelId="{84C046DD-A19D-4347-AD1E-5AB87644657E}" type="parTrans" cxnId="{919A1A25-9CA6-ED47-9E7D-B4F295F7687C}">
      <dgm:prSet/>
      <dgm:spPr/>
      <dgm:t>
        <a:bodyPr/>
        <a:lstStyle/>
        <a:p>
          <a:endParaRPr lang="en-US"/>
        </a:p>
      </dgm:t>
    </dgm:pt>
    <dgm:pt modelId="{A18B9EEC-004E-BB42-AEBD-62F42FF7C60C}" type="sibTrans" cxnId="{919A1A25-9CA6-ED47-9E7D-B4F295F7687C}">
      <dgm:prSet/>
      <dgm:spPr/>
      <dgm:t>
        <a:bodyPr/>
        <a:lstStyle/>
        <a:p>
          <a:endParaRPr lang="en-US"/>
        </a:p>
      </dgm:t>
    </dgm:pt>
    <dgm:pt modelId="{720487F2-911B-574F-B80A-134CEB1A077C}">
      <dgm:prSet/>
      <dgm:spPr/>
      <dgm:t>
        <a:bodyPr/>
        <a:lstStyle/>
        <a:p>
          <a:pPr algn="l"/>
          <a:r>
            <a:rPr lang="en-US"/>
            <a:t>Curriculum mapped</a:t>
          </a:r>
        </a:p>
      </dgm:t>
    </dgm:pt>
    <dgm:pt modelId="{7FEA63C1-41FB-0E42-862A-604E33442E68}" type="parTrans" cxnId="{077FB0EE-D393-0C41-BFA7-54D993B28CDD}">
      <dgm:prSet/>
      <dgm:spPr/>
      <dgm:t>
        <a:bodyPr/>
        <a:lstStyle/>
        <a:p>
          <a:endParaRPr lang="en-US"/>
        </a:p>
      </dgm:t>
    </dgm:pt>
    <dgm:pt modelId="{1C40D7EB-E9ED-7C41-9C39-EDE7FFA634B5}" type="sibTrans" cxnId="{077FB0EE-D393-0C41-BFA7-54D993B28CDD}">
      <dgm:prSet/>
      <dgm:spPr/>
      <dgm:t>
        <a:bodyPr/>
        <a:lstStyle/>
        <a:p>
          <a:endParaRPr lang="en-US"/>
        </a:p>
      </dgm:t>
    </dgm:pt>
    <dgm:pt modelId="{C331B42C-6BC4-2A46-8DBB-047F38353E69}">
      <dgm:prSet/>
      <dgm:spPr/>
      <dgm:t>
        <a:bodyPr/>
        <a:lstStyle/>
        <a:p>
          <a:pPr algn="l"/>
          <a:r>
            <a:rPr lang="en-US"/>
            <a:t>Consider learning preferences</a:t>
          </a:r>
        </a:p>
      </dgm:t>
    </dgm:pt>
    <dgm:pt modelId="{676DE8AA-7DAD-AF4B-AA28-809C5F46AF8C}" type="parTrans" cxnId="{8A5E5C9E-882B-EA49-A1D4-7A5D1C4404C7}">
      <dgm:prSet/>
      <dgm:spPr/>
      <dgm:t>
        <a:bodyPr/>
        <a:lstStyle/>
        <a:p>
          <a:endParaRPr lang="en-US"/>
        </a:p>
      </dgm:t>
    </dgm:pt>
    <dgm:pt modelId="{DD529C98-6523-4240-BCAC-A07C4060BB3A}" type="sibTrans" cxnId="{8A5E5C9E-882B-EA49-A1D4-7A5D1C4404C7}">
      <dgm:prSet/>
      <dgm:spPr/>
      <dgm:t>
        <a:bodyPr/>
        <a:lstStyle/>
        <a:p>
          <a:endParaRPr lang="en-US"/>
        </a:p>
      </dgm:t>
    </dgm:pt>
    <dgm:pt modelId="{96566896-4514-B445-9008-63E63BFE9401}">
      <dgm:prSet/>
      <dgm:spPr/>
      <dgm:t>
        <a:bodyPr/>
        <a:lstStyle/>
        <a:p>
          <a:pPr algn="l"/>
          <a:r>
            <a:rPr lang="en-US"/>
            <a:t>All undergraduates</a:t>
          </a:r>
        </a:p>
      </dgm:t>
    </dgm:pt>
    <dgm:pt modelId="{BA522601-470F-FD4D-89AE-906BB0BA77DC}" type="parTrans" cxnId="{1F517CF0-6A07-1545-9142-C09C49D0C0AD}">
      <dgm:prSet/>
      <dgm:spPr/>
      <dgm:t>
        <a:bodyPr/>
        <a:lstStyle/>
        <a:p>
          <a:endParaRPr lang="en-US"/>
        </a:p>
      </dgm:t>
    </dgm:pt>
    <dgm:pt modelId="{041A76B0-7ECB-7D4D-96E4-08AF74FC1141}" type="sibTrans" cxnId="{1F517CF0-6A07-1545-9142-C09C49D0C0AD}">
      <dgm:prSet/>
      <dgm:spPr/>
      <dgm:t>
        <a:bodyPr/>
        <a:lstStyle/>
        <a:p>
          <a:endParaRPr lang="en-US"/>
        </a:p>
      </dgm:t>
    </dgm:pt>
    <dgm:pt modelId="{EC309086-C21D-7F41-920E-6AE058C1A80E}">
      <dgm:prSet/>
      <dgm:spPr/>
      <dgm:t>
        <a:bodyPr/>
        <a:lstStyle/>
        <a:p>
          <a:pPr algn="l"/>
          <a:r>
            <a:rPr lang="en-US"/>
            <a:t>Inter professionally</a:t>
          </a:r>
        </a:p>
      </dgm:t>
    </dgm:pt>
    <dgm:pt modelId="{D85235F6-6D8F-4048-8B73-FA4D31FA0348}" type="parTrans" cxnId="{9E6ED3D2-6BC9-9241-8041-BDE79F042D83}">
      <dgm:prSet/>
      <dgm:spPr/>
      <dgm:t>
        <a:bodyPr/>
        <a:lstStyle/>
        <a:p>
          <a:endParaRPr lang="en-US"/>
        </a:p>
      </dgm:t>
    </dgm:pt>
    <dgm:pt modelId="{5C51420F-3FE6-7B4B-A9EB-D3C5D17212AE}" type="sibTrans" cxnId="{9E6ED3D2-6BC9-9241-8041-BDE79F042D83}">
      <dgm:prSet/>
      <dgm:spPr/>
      <dgm:t>
        <a:bodyPr/>
        <a:lstStyle/>
        <a:p>
          <a:endParaRPr lang="en-US"/>
        </a:p>
      </dgm:t>
    </dgm:pt>
    <dgm:pt modelId="{7ECBA301-4194-2241-AEF8-5BFEF2AA963E}">
      <dgm:prSet/>
      <dgm:spPr/>
      <dgm:t>
        <a:bodyPr/>
        <a:lstStyle/>
        <a:p>
          <a:pPr algn="l"/>
          <a:r>
            <a:rPr lang="en-US"/>
            <a:t>Translational into practice</a:t>
          </a:r>
        </a:p>
      </dgm:t>
    </dgm:pt>
    <dgm:pt modelId="{FEA87180-A9C6-3D4A-97B4-E077558F3840}" type="parTrans" cxnId="{F0C7FAA3-CC42-5841-B6BF-73183C3E6175}">
      <dgm:prSet/>
      <dgm:spPr/>
      <dgm:t>
        <a:bodyPr/>
        <a:lstStyle/>
        <a:p>
          <a:endParaRPr lang="en-US"/>
        </a:p>
      </dgm:t>
    </dgm:pt>
    <dgm:pt modelId="{D0B718AA-F272-8545-B274-C21284E031D7}" type="sibTrans" cxnId="{F0C7FAA3-CC42-5841-B6BF-73183C3E6175}">
      <dgm:prSet/>
      <dgm:spPr/>
      <dgm:t>
        <a:bodyPr/>
        <a:lstStyle/>
        <a:p>
          <a:endParaRPr lang="en-US"/>
        </a:p>
      </dgm:t>
    </dgm:pt>
    <dgm:pt modelId="{40CA8276-D0C3-FE43-AB9C-FD38B69D5DCD}">
      <dgm:prSet/>
      <dgm:spPr/>
      <dgm:t>
        <a:bodyPr/>
        <a:lstStyle/>
        <a:p>
          <a:pPr algn="l"/>
          <a:r>
            <a:rPr lang="en-US"/>
            <a:t>Experiential</a:t>
          </a:r>
        </a:p>
      </dgm:t>
    </dgm:pt>
    <dgm:pt modelId="{DFE88E87-1CBD-3F48-8595-BB0047DAB883}" type="parTrans" cxnId="{4CC078AB-30A1-E249-B6EE-12EB4826FEB2}">
      <dgm:prSet/>
      <dgm:spPr/>
      <dgm:t>
        <a:bodyPr/>
        <a:lstStyle/>
        <a:p>
          <a:endParaRPr lang="en-US"/>
        </a:p>
      </dgm:t>
    </dgm:pt>
    <dgm:pt modelId="{F9E4DE1B-BA77-2C41-944F-1AEC69DAD188}" type="sibTrans" cxnId="{4CC078AB-30A1-E249-B6EE-12EB4826FEB2}">
      <dgm:prSet/>
      <dgm:spPr/>
      <dgm:t>
        <a:bodyPr/>
        <a:lstStyle/>
        <a:p>
          <a:endParaRPr lang="en-US"/>
        </a:p>
      </dgm:t>
    </dgm:pt>
    <dgm:pt modelId="{C9056839-82BD-CC49-AC41-4295D6281E6B}">
      <dgm:prSet/>
      <dgm:spPr/>
      <dgm:t>
        <a:bodyPr/>
        <a:lstStyle/>
        <a:p>
          <a:pPr algn="l"/>
          <a:r>
            <a:rPr lang="en-US"/>
            <a:t>Equipment &amp; fidelity</a:t>
          </a:r>
        </a:p>
      </dgm:t>
    </dgm:pt>
    <dgm:pt modelId="{349AF5D7-2745-8D47-9FDF-CC34EBBFB50F}" type="parTrans" cxnId="{E1E1613B-D4B4-604F-9B2D-8481500E2111}">
      <dgm:prSet/>
      <dgm:spPr/>
      <dgm:t>
        <a:bodyPr/>
        <a:lstStyle/>
        <a:p>
          <a:endParaRPr lang="en-US"/>
        </a:p>
      </dgm:t>
    </dgm:pt>
    <dgm:pt modelId="{FCC1D831-2DE8-0B4E-A17D-C23C469C6DAC}" type="sibTrans" cxnId="{E1E1613B-D4B4-604F-9B2D-8481500E2111}">
      <dgm:prSet/>
      <dgm:spPr/>
      <dgm:t>
        <a:bodyPr/>
        <a:lstStyle/>
        <a:p>
          <a:endParaRPr lang="en-US"/>
        </a:p>
      </dgm:t>
    </dgm:pt>
    <dgm:pt modelId="{9EF5F309-43B0-3A42-A053-691EF2B67E84}">
      <dgm:prSet/>
      <dgm:spPr/>
      <dgm:t>
        <a:bodyPr/>
        <a:lstStyle/>
        <a:p>
          <a:pPr algn="l"/>
          <a:r>
            <a:rPr lang="en-US"/>
            <a:t>Year 1/2 can be in pairs</a:t>
          </a:r>
        </a:p>
      </dgm:t>
    </dgm:pt>
    <dgm:pt modelId="{04E560A3-AF54-4E42-ACA8-9FCACD67E2AA}" type="parTrans" cxnId="{DFCDFD57-E484-454D-BDCD-0978CD94BD8A}">
      <dgm:prSet/>
      <dgm:spPr/>
      <dgm:t>
        <a:bodyPr/>
        <a:lstStyle/>
        <a:p>
          <a:endParaRPr lang="en-US"/>
        </a:p>
      </dgm:t>
    </dgm:pt>
    <dgm:pt modelId="{5ECDD60F-0BC1-014A-BBAE-9C91670A3362}" type="sibTrans" cxnId="{DFCDFD57-E484-454D-BDCD-0978CD94BD8A}">
      <dgm:prSet/>
      <dgm:spPr/>
      <dgm:t>
        <a:bodyPr/>
        <a:lstStyle/>
        <a:p>
          <a:endParaRPr lang="en-US"/>
        </a:p>
      </dgm:t>
    </dgm:pt>
    <dgm:pt modelId="{6E473322-5D47-3E47-A3AD-9AACA21EEDCC}">
      <dgm:prSet/>
      <dgm:spPr/>
      <dgm:t>
        <a:bodyPr/>
        <a:lstStyle/>
        <a:p>
          <a:pPr algn="l"/>
          <a:r>
            <a:rPr lang="en-US"/>
            <a:t>Year 3-5 1:1 with sim patient and team</a:t>
          </a:r>
        </a:p>
      </dgm:t>
    </dgm:pt>
    <dgm:pt modelId="{15BEB48F-3C45-504E-9811-C757856C60AE}" type="parTrans" cxnId="{D27930C5-ED24-CB45-8F0B-0C99927D2C5B}">
      <dgm:prSet/>
      <dgm:spPr/>
      <dgm:t>
        <a:bodyPr/>
        <a:lstStyle/>
        <a:p>
          <a:endParaRPr lang="en-US"/>
        </a:p>
      </dgm:t>
    </dgm:pt>
    <dgm:pt modelId="{94328920-6715-C043-9A6D-ABBC3690566C}" type="sibTrans" cxnId="{D27930C5-ED24-CB45-8F0B-0C99927D2C5B}">
      <dgm:prSet/>
      <dgm:spPr/>
      <dgm:t>
        <a:bodyPr/>
        <a:lstStyle/>
        <a:p>
          <a:endParaRPr lang="en-US"/>
        </a:p>
      </dgm:t>
    </dgm:pt>
    <dgm:pt modelId="{2A402E3F-E910-3D47-A581-1274C9503E3C}">
      <dgm:prSet/>
      <dgm:spPr/>
      <dgm:t>
        <a:bodyPr/>
        <a:lstStyle/>
        <a:p>
          <a:pPr algn="l"/>
          <a:r>
            <a:rPr lang="en-US"/>
            <a:t>Low dose, high frequency</a:t>
          </a:r>
        </a:p>
      </dgm:t>
    </dgm:pt>
    <dgm:pt modelId="{8847A8CB-F2E5-9042-B21E-53161649C927}" type="parTrans" cxnId="{ECBF6FCF-A05E-0C43-B338-E03369C4FD5F}">
      <dgm:prSet/>
      <dgm:spPr/>
      <dgm:t>
        <a:bodyPr/>
        <a:lstStyle/>
        <a:p>
          <a:endParaRPr lang="en-US"/>
        </a:p>
      </dgm:t>
    </dgm:pt>
    <dgm:pt modelId="{159A5E51-1119-1449-B9AD-DFD98DF3E6BF}" type="sibTrans" cxnId="{ECBF6FCF-A05E-0C43-B338-E03369C4FD5F}">
      <dgm:prSet/>
      <dgm:spPr/>
      <dgm:t>
        <a:bodyPr/>
        <a:lstStyle/>
        <a:p>
          <a:endParaRPr lang="en-US"/>
        </a:p>
      </dgm:t>
    </dgm:pt>
    <dgm:pt modelId="{226F8FB2-EA2B-C746-99F0-8E61CE6417CB}">
      <dgm:prSet/>
      <dgm:spPr/>
      <dgm:t>
        <a:bodyPr/>
        <a:lstStyle/>
        <a:p>
          <a:pPr algn="l"/>
          <a:r>
            <a:rPr lang="en-US"/>
            <a:t>Day 1 medical school - post grad - consultant/completion of training - revalidation?</a:t>
          </a:r>
        </a:p>
      </dgm:t>
    </dgm:pt>
    <dgm:pt modelId="{075965FF-8C04-A640-AC81-1F0B729CF400}" type="parTrans" cxnId="{B25B25D7-2AD9-5942-9918-29F6550596C0}">
      <dgm:prSet/>
      <dgm:spPr/>
      <dgm:t>
        <a:bodyPr/>
        <a:lstStyle/>
        <a:p>
          <a:endParaRPr lang="en-US"/>
        </a:p>
      </dgm:t>
    </dgm:pt>
    <dgm:pt modelId="{BABAF2D7-2757-2348-8980-BF8A6918CA61}" type="sibTrans" cxnId="{B25B25D7-2AD9-5942-9918-29F6550596C0}">
      <dgm:prSet/>
      <dgm:spPr/>
      <dgm:t>
        <a:bodyPr/>
        <a:lstStyle/>
        <a:p>
          <a:endParaRPr lang="en-US"/>
        </a:p>
      </dgm:t>
    </dgm:pt>
    <dgm:pt modelId="{282DE9D1-E3D2-EE4E-A642-AD0D29436146}">
      <dgm:prSet/>
      <dgm:spPr/>
      <dgm:t>
        <a:bodyPr/>
        <a:lstStyle/>
        <a:p>
          <a:pPr algn="l"/>
          <a:r>
            <a:rPr lang="en-US"/>
            <a:t>In education centre - complexity of getting staff from wards</a:t>
          </a:r>
        </a:p>
      </dgm:t>
    </dgm:pt>
    <dgm:pt modelId="{BE2BF52C-C317-0840-BC8A-A4C5CAC6CA4D}" type="parTrans" cxnId="{2B82A114-7462-1B43-A28D-B6B6068912B2}">
      <dgm:prSet/>
      <dgm:spPr/>
      <dgm:t>
        <a:bodyPr/>
        <a:lstStyle/>
        <a:p>
          <a:endParaRPr lang="en-US"/>
        </a:p>
      </dgm:t>
    </dgm:pt>
    <dgm:pt modelId="{5254AC60-A38E-3740-9068-31E560D57ABE}" type="sibTrans" cxnId="{2B82A114-7462-1B43-A28D-B6B6068912B2}">
      <dgm:prSet/>
      <dgm:spPr/>
      <dgm:t>
        <a:bodyPr/>
        <a:lstStyle/>
        <a:p>
          <a:endParaRPr lang="en-US"/>
        </a:p>
      </dgm:t>
    </dgm:pt>
    <dgm:pt modelId="{5505EC9A-B911-AA4A-AE61-1EB39161B16E}">
      <dgm:prSet/>
      <dgm:spPr/>
      <dgm:t>
        <a:bodyPr/>
        <a:lstStyle/>
        <a:p>
          <a:pPr algn="l"/>
          <a:r>
            <a:rPr lang="en-US"/>
            <a:t>In situ - complexiity of busy ward space</a:t>
          </a:r>
        </a:p>
      </dgm:t>
    </dgm:pt>
    <dgm:pt modelId="{984349D0-46A8-E842-A4F7-2336EBD00793}" type="parTrans" cxnId="{6C738CE7-5325-104C-ABA3-31DAB8F9FB62}">
      <dgm:prSet/>
      <dgm:spPr/>
      <dgm:t>
        <a:bodyPr/>
        <a:lstStyle/>
        <a:p>
          <a:endParaRPr lang="en-US"/>
        </a:p>
      </dgm:t>
    </dgm:pt>
    <dgm:pt modelId="{E7732A38-C5B3-EA46-9BB0-0B75004F3DDD}" type="sibTrans" cxnId="{6C738CE7-5325-104C-ABA3-31DAB8F9FB62}">
      <dgm:prSet/>
      <dgm:spPr/>
      <dgm:t>
        <a:bodyPr/>
        <a:lstStyle/>
        <a:p>
          <a:endParaRPr lang="en-US"/>
        </a:p>
      </dgm:t>
    </dgm:pt>
    <dgm:pt modelId="{D37EE21A-4F48-2442-BF07-0FE0DD68483D}">
      <dgm:prSet/>
      <dgm:spPr/>
      <dgm:t>
        <a:bodyPr/>
        <a:lstStyle/>
        <a:p>
          <a:pPr algn="l"/>
          <a:r>
            <a:rPr lang="en-US"/>
            <a:t>In simulation centre</a:t>
          </a:r>
        </a:p>
      </dgm:t>
    </dgm:pt>
    <dgm:pt modelId="{FEE52696-2693-2148-880A-57FC5FAC6382}" type="parTrans" cxnId="{63C94377-C878-C741-BC91-F2EA196174AA}">
      <dgm:prSet/>
      <dgm:spPr/>
      <dgm:t>
        <a:bodyPr/>
        <a:lstStyle/>
        <a:p>
          <a:endParaRPr lang="en-US"/>
        </a:p>
      </dgm:t>
    </dgm:pt>
    <dgm:pt modelId="{F4DC3AA0-2F75-1847-9E7B-784410B56D78}" type="sibTrans" cxnId="{63C94377-C878-C741-BC91-F2EA196174AA}">
      <dgm:prSet/>
      <dgm:spPr/>
      <dgm:t>
        <a:bodyPr/>
        <a:lstStyle/>
        <a:p>
          <a:endParaRPr lang="en-US"/>
        </a:p>
      </dgm:t>
    </dgm:pt>
    <dgm:pt modelId="{43D9F512-219B-224F-AEB9-F779409F52C7}">
      <dgm:prSet/>
      <dgm:spPr/>
      <dgm:t>
        <a:bodyPr/>
        <a:lstStyle/>
        <a:p>
          <a:pPr algn="l"/>
          <a:r>
            <a:rPr lang="en-US"/>
            <a:t>Fidelity - psychological, equipment, staff, environment</a:t>
          </a:r>
        </a:p>
      </dgm:t>
    </dgm:pt>
    <dgm:pt modelId="{D4BEA5E0-A69D-F34C-8B44-F82275D4D346}" type="parTrans" cxnId="{94A584E8-DD62-E84A-8194-9D9C091E2E93}">
      <dgm:prSet/>
      <dgm:spPr/>
      <dgm:t>
        <a:bodyPr/>
        <a:lstStyle/>
        <a:p>
          <a:endParaRPr lang="en-US"/>
        </a:p>
      </dgm:t>
    </dgm:pt>
    <dgm:pt modelId="{9B4089B7-ACF6-4043-BACE-5CA035E1BDC0}" type="sibTrans" cxnId="{94A584E8-DD62-E84A-8194-9D9C091E2E93}">
      <dgm:prSet/>
      <dgm:spPr/>
      <dgm:t>
        <a:bodyPr/>
        <a:lstStyle/>
        <a:p>
          <a:endParaRPr lang="en-US"/>
        </a:p>
      </dgm:t>
    </dgm:pt>
    <dgm:pt modelId="{180ADCEE-52AB-2A4C-A2E2-50BFE5E8B250}">
      <dgm:prSet/>
      <dgm:spPr/>
      <dgm:t>
        <a:bodyPr/>
        <a:lstStyle/>
        <a:p>
          <a:pPr algn="l"/>
          <a:r>
            <a:rPr lang="en-US"/>
            <a:t>Learning needs analysis</a:t>
          </a:r>
        </a:p>
      </dgm:t>
    </dgm:pt>
    <dgm:pt modelId="{E8438E7C-716E-6F43-8DBF-2CC34B12E502}" type="parTrans" cxnId="{0401744F-6012-E442-A8A8-0A2736D88D37}">
      <dgm:prSet/>
      <dgm:spPr/>
      <dgm:t>
        <a:bodyPr/>
        <a:lstStyle/>
        <a:p>
          <a:endParaRPr lang="en-US"/>
        </a:p>
      </dgm:t>
    </dgm:pt>
    <dgm:pt modelId="{8B586177-3DFD-9F4E-AB93-9695448B00C1}" type="sibTrans" cxnId="{0401744F-6012-E442-A8A8-0A2736D88D37}">
      <dgm:prSet/>
      <dgm:spPr/>
      <dgm:t>
        <a:bodyPr/>
        <a:lstStyle/>
        <a:p>
          <a:endParaRPr lang="en-US"/>
        </a:p>
      </dgm:t>
    </dgm:pt>
    <dgm:pt modelId="{24C3B4ED-EA25-7049-B0DC-FF20907BC1DB}">
      <dgm:prSet/>
      <dgm:spPr/>
      <dgm:t>
        <a:bodyPr/>
        <a:lstStyle/>
        <a:p>
          <a:pPr algn="l"/>
          <a:r>
            <a:rPr lang="en-US"/>
            <a:t>Meaningful interprofessional learning with authentic roles</a:t>
          </a:r>
        </a:p>
      </dgm:t>
    </dgm:pt>
    <dgm:pt modelId="{FAB57FF4-E40D-0945-92A0-EFB3F6C2A568}" type="parTrans" cxnId="{4D1B5E80-2673-AC43-9B21-1F8CE66C4D51}">
      <dgm:prSet/>
      <dgm:spPr/>
      <dgm:t>
        <a:bodyPr/>
        <a:lstStyle/>
        <a:p>
          <a:endParaRPr lang="en-US"/>
        </a:p>
      </dgm:t>
    </dgm:pt>
    <dgm:pt modelId="{BBDF8D3F-1157-694C-9F44-F85C293EA005}" type="sibTrans" cxnId="{4D1B5E80-2673-AC43-9B21-1F8CE66C4D51}">
      <dgm:prSet/>
      <dgm:spPr/>
      <dgm:t>
        <a:bodyPr/>
        <a:lstStyle/>
        <a:p>
          <a:endParaRPr lang="en-US"/>
        </a:p>
      </dgm:t>
    </dgm:pt>
    <dgm:pt modelId="{55D0F278-0A4D-694C-A360-17D10E527111}">
      <dgm:prSet/>
      <dgm:spPr/>
      <dgm:t>
        <a:bodyPr/>
        <a:lstStyle/>
        <a:p>
          <a:pPr algn="l"/>
          <a:r>
            <a:rPr lang="en-US"/>
            <a:t>Maximum half day session</a:t>
          </a:r>
        </a:p>
      </dgm:t>
    </dgm:pt>
    <dgm:pt modelId="{802E48B6-516B-5E4A-BCB7-CB25736A3D65}" type="parTrans" cxnId="{03B0B820-AEBB-424C-908D-0AB4EE56D9E1}">
      <dgm:prSet/>
      <dgm:spPr/>
      <dgm:t>
        <a:bodyPr/>
        <a:lstStyle/>
        <a:p>
          <a:endParaRPr lang="en-US"/>
        </a:p>
      </dgm:t>
    </dgm:pt>
    <dgm:pt modelId="{F36ED7D5-165E-AD4E-863F-B3E00819C16A}" type="sibTrans" cxnId="{03B0B820-AEBB-424C-908D-0AB4EE56D9E1}">
      <dgm:prSet/>
      <dgm:spPr/>
      <dgm:t>
        <a:bodyPr/>
        <a:lstStyle/>
        <a:p>
          <a:endParaRPr lang="en-US"/>
        </a:p>
      </dgm:t>
    </dgm:pt>
    <dgm:pt modelId="{21AB8A08-5A3C-B04C-A513-A138D9E0902A}">
      <dgm:prSet/>
      <dgm:spPr/>
      <dgm:t>
        <a:bodyPr/>
        <a:lstStyle/>
        <a:p>
          <a:pPr algn="l"/>
          <a:r>
            <a:rPr lang="en-US"/>
            <a:t>Peer learning</a:t>
          </a:r>
        </a:p>
      </dgm:t>
    </dgm:pt>
    <dgm:pt modelId="{742A1C16-5B1F-4A4A-B253-46E737A3C387}" type="parTrans" cxnId="{2A6A9359-CA0E-A645-A6CE-6BC5485E2E51}">
      <dgm:prSet/>
      <dgm:spPr/>
      <dgm:t>
        <a:bodyPr/>
        <a:lstStyle/>
        <a:p>
          <a:endParaRPr lang="en-US"/>
        </a:p>
      </dgm:t>
    </dgm:pt>
    <dgm:pt modelId="{C52C1B6A-59C9-B848-AB3B-FBFE2E0C3C8D}" type="sibTrans" cxnId="{2A6A9359-CA0E-A645-A6CE-6BC5485E2E51}">
      <dgm:prSet/>
      <dgm:spPr/>
      <dgm:t>
        <a:bodyPr/>
        <a:lstStyle/>
        <a:p>
          <a:endParaRPr lang="en-US"/>
        </a:p>
      </dgm:t>
    </dgm:pt>
    <dgm:pt modelId="{80311161-DCAA-F346-880D-F28E24EABE51}">
      <dgm:prSet/>
      <dgm:spPr/>
      <dgm:t>
        <a:bodyPr/>
        <a:lstStyle/>
        <a:p>
          <a:pPr algn="l"/>
          <a:r>
            <a:rPr lang="en-US"/>
            <a:t>Half day maximum for single session</a:t>
          </a:r>
        </a:p>
      </dgm:t>
    </dgm:pt>
    <dgm:pt modelId="{E8C5FFE8-0527-BA45-A36C-4D25D9A169AD}" type="parTrans" cxnId="{43E026FA-9204-974B-9444-09D57683DC96}">
      <dgm:prSet/>
      <dgm:spPr/>
      <dgm:t>
        <a:bodyPr/>
        <a:lstStyle/>
        <a:p>
          <a:endParaRPr lang="en-US"/>
        </a:p>
      </dgm:t>
    </dgm:pt>
    <dgm:pt modelId="{7C2FE0A8-148F-8F4B-9AAD-F450C183ADFF}" type="sibTrans" cxnId="{43E026FA-9204-974B-9444-09D57683DC96}">
      <dgm:prSet/>
      <dgm:spPr/>
      <dgm:t>
        <a:bodyPr/>
        <a:lstStyle/>
        <a:p>
          <a:endParaRPr lang="en-US"/>
        </a:p>
      </dgm:t>
    </dgm:pt>
    <dgm:pt modelId="{81AC4A53-C8D1-1D41-AE16-DDAA6DDB9BF1}">
      <dgm:prSet/>
      <dgm:spPr/>
      <dgm:t>
        <a:bodyPr/>
        <a:lstStyle/>
        <a:p>
          <a:pPr algn="l"/>
          <a:r>
            <a:rPr lang="en-US"/>
            <a:t>Total time allowed for whole session</a:t>
          </a:r>
        </a:p>
      </dgm:t>
    </dgm:pt>
    <dgm:pt modelId="{ED663C9E-B215-0C41-8E28-4FD0ECF1C3A5}" type="parTrans" cxnId="{EDE0FF28-158B-3D44-AC4C-62BADA7437F4}">
      <dgm:prSet/>
      <dgm:spPr/>
      <dgm:t>
        <a:bodyPr/>
        <a:lstStyle/>
        <a:p>
          <a:endParaRPr lang="en-US"/>
        </a:p>
      </dgm:t>
    </dgm:pt>
    <dgm:pt modelId="{46359B8C-E905-B849-AD5E-AC37BBE99DBE}" type="sibTrans" cxnId="{EDE0FF28-158B-3D44-AC4C-62BADA7437F4}">
      <dgm:prSet/>
      <dgm:spPr/>
      <dgm:t>
        <a:bodyPr/>
        <a:lstStyle/>
        <a:p>
          <a:endParaRPr lang="en-US"/>
        </a:p>
      </dgm:t>
    </dgm:pt>
    <dgm:pt modelId="{D29D1101-6EEB-DD4D-B8A5-0459F7305858}">
      <dgm:prSet/>
      <dgm:spPr/>
      <dgm:t>
        <a:bodyPr/>
        <a:lstStyle/>
        <a:p>
          <a:pPr algn="l"/>
          <a:r>
            <a:rPr lang="en-US"/>
            <a:t>Time for environment and simulated patient familiairisation - at least 10 minutes</a:t>
          </a:r>
        </a:p>
      </dgm:t>
    </dgm:pt>
    <dgm:pt modelId="{C29A667D-7D6C-0442-B789-C882DC90CC95}" type="parTrans" cxnId="{30D43421-B94A-164F-B3B0-EBA79AB2CB1A}">
      <dgm:prSet/>
      <dgm:spPr/>
      <dgm:t>
        <a:bodyPr/>
        <a:lstStyle/>
        <a:p>
          <a:endParaRPr lang="en-US"/>
        </a:p>
      </dgm:t>
    </dgm:pt>
    <dgm:pt modelId="{AFDA339F-D426-7246-9C19-2762AD9CD40F}" type="sibTrans" cxnId="{30D43421-B94A-164F-B3B0-EBA79AB2CB1A}">
      <dgm:prSet/>
      <dgm:spPr/>
      <dgm:t>
        <a:bodyPr/>
        <a:lstStyle/>
        <a:p>
          <a:endParaRPr lang="en-US"/>
        </a:p>
      </dgm:t>
    </dgm:pt>
    <dgm:pt modelId="{E756EF64-9ADC-9B4B-A0A8-5E6A1E446504}">
      <dgm:prSet/>
      <dgm:spPr/>
      <dgm:t>
        <a:bodyPr/>
        <a:lstStyle/>
        <a:p>
          <a:pPr algn="l"/>
          <a:r>
            <a:rPr lang="en-US"/>
            <a:t>Time for scenario equal to debrief time</a:t>
          </a:r>
        </a:p>
      </dgm:t>
    </dgm:pt>
    <dgm:pt modelId="{FD910A3D-4D0E-7044-94AD-773C4CC55766}" type="parTrans" cxnId="{AF33B6C5-E6ED-9349-9D06-5A458499AB34}">
      <dgm:prSet/>
      <dgm:spPr/>
      <dgm:t>
        <a:bodyPr/>
        <a:lstStyle/>
        <a:p>
          <a:endParaRPr lang="en-US"/>
        </a:p>
      </dgm:t>
    </dgm:pt>
    <dgm:pt modelId="{30C969CF-5B1F-AA47-BDC5-3BB23D097255}" type="sibTrans" cxnId="{AF33B6C5-E6ED-9349-9D06-5A458499AB34}">
      <dgm:prSet/>
      <dgm:spPr/>
      <dgm:t>
        <a:bodyPr/>
        <a:lstStyle/>
        <a:p>
          <a:endParaRPr lang="en-US"/>
        </a:p>
      </dgm:t>
    </dgm:pt>
    <dgm:pt modelId="{C176BE33-AE0C-744A-B7DC-0D051904B3D1}">
      <dgm:prSet/>
      <dgm:spPr/>
      <dgm:t>
        <a:bodyPr/>
        <a:lstStyle/>
        <a:p>
          <a:pPr algn="l"/>
          <a:r>
            <a:rPr lang="en-US"/>
            <a:t>Time for debrief - equal to scenario time</a:t>
          </a:r>
        </a:p>
      </dgm:t>
    </dgm:pt>
    <dgm:pt modelId="{B9CC266A-E56F-FB4E-857A-FC72832CA297}" type="parTrans" cxnId="{209884B0-0F3B-E44A-99E6-F161DD5D0B50}">
      <dgm:prSet/>
      <dgm:spPr/>
      <dgm:t>
        <a:bodyPr/>
        <a:lstStyle/>
        <a:p>
          <a:endParaRPr lang="en-US"/>
        </a:p>
      </dgm:t>
    </dgm:pt>
    <dgm:pt modelId="{816C09FF-20DF-CA48-BF88-F0D7E264ADB1}" type="sibTrans" cxnId="{209884B0-0F3B-E44A-99E6-F161DD5D0B50}">
      <dgm:prSet/>
      <dgm:spPr/>
      <dgm:t>
        <a:bodyPr/>
        <a:lstStyle/>
        <a:p>
          <a:endParaRPr lang="en-US"/>
        </a:p>
      </dgm:t>
    </dgm:pt>
    <dgm:pt modelId="{3053E92A-B881-674B-A676-580E473AB675}">
      <dgm:prSet/>
      <dgm:spPr/>
      <dgm:t>
        <a:bodyPr/>
        <a:lstStyle/>
        <a:p>
          <a:pPr algn="l"/>
          <a:r>
            <a:rPr lang="en-US"/>
            <a:t>Time to think / reflect- build in to debrief</a:t>
          </a:r>
        </a:p>
      </dgm:t>
    </dgm:pt>
    <dgm:pt modelId="{F5B9C916-3B48-7747-8613-94F77AEA381A}" type="parTrans" cxnId="{182E64B4-0C68-3C4F-8550-2249D45C5585}">
      <dgm:prSet/>
      <dgm:spPr/>
      <dgm:t>
        <a:bodyPr/>
        <a:lstStyle/>
        <a:p>
          <a:endParaRPr lang="en-US"/>
        </a:p>
      </dgm:t>
    </dgm:pt>
    <dgm:pt modelId="{25F7EA0A-8A77-8946-A964-192642619235}" type="sibTrans" cxnId="{182E64B4-0C68-3C4F-8550-2249D45C5585}">
      <dgm:prSet/>
      <dgm:spPr/>
      <dgm:t>
        <a:bodyPr/>
        <a:lstStyle/>
        <a:p>
          <a:endParaRPr lang="en-US"/>
        </a:p>
      </dgm:t>
    </dgm:pt>
    <dgm:pt modelId="{CC624DF8-111D-5147-8134-34667EBBB180}">
      <dgm:prSet/>
      <dgm:spPr/>
      <dgm:t>
        <a:bodyPr/>
        <a:lstStyle/>
        <a:p>
          <a:pPr algn="l"/>
          <a:r>
            <a:rPr lang="en-US"/>
            <a:t>Time to consolidate learning points</a:t>
          </a:r>
        </a:p>
      </dgm:t>
    </dgm:pt>
    <dgm:pt modelId="{7AC207B9-C58F-9247-A8D3-B5B2CACD6A54}" type="parTrans" cxnId="{82AFC222-29DC-9B4B-B88A-D76F717CDE80}">
      <dgm:prSet/>
      <dgm:spPr/>
      <dgm:t>
        <a:bodyPr/>
        <a:lstStyle/>
        <a:p>
          <a:endParaRPr lang="en-US"/>
        </a:p>
      </dgm:t>
    </dgm:pt>
    <dgm:pt modelId="{DE2BEAED-BF25-6243-869B-34D8738B4C6F}" type="sibTrans" cxnId="{82AFC222-29DC-9B4B-B88A-D76F717CDE80}">
      <dgm:prSet/>
      <dgm:spPr/>
      <dgm:t>
        <a:bodyPr/>
        <a:lstStyle/>
        <a:p>
          <a:endParaRPr lang="en-US"/>
        </a:p>
      </dgm:t>
    </dgm:pt>
    <dgm:pt modelId="{68F91347-9736-F34B-9105-B877D25DF8A3}">
      <dgm:prSet/>
      <dgm:spPr/>
      <dgm:t>
        <a:bodyPr/>
        <a:lstStyle/>
        <a:p>
          <a:pPr algn="l"/>
          <a:r>
            <a:rPr lang="en-US"/>
            <a:t>Build in practise under pressure</a:t>
          </a:r>
        </a:p>
      </dgm:t>
    </dgm:pt>
    <dgm:pt modelId="{DD290887-0F1B-2A47-BF61-79DEAE69D126}" type="parTrans" cxnId="{62D63892-4FE3-B44F-9855-6DE135B9F9F6}">
      <dgm:prSet/>
      <dgm:spPr/>
      <dgm:t>
        <a:bodyPr/>
        <a:lstStyle/>
        <a:p>
          <a:endParaRPr lang="en-US"/>
        </a:p>
      </dgm:t>
    </dgm:pt>
    <dgm:pt modelId="{A485B5F4-8DA3-2746-A351-68CECC86428D}" type="sibTrans" cxnId="{62D63892-4FE3-B44F-9855-6DE135B9F9F6}">
      <dgm:prSet/>
      <dgm:spPr/>
      <dgm:t>
        <a:bodyPr/>
        <a:lstStyle/>
        <a:p>
          <a:endParaRPr lang="en-US"/>
        </a:p>
      </dgm:t>
    </dgm:pt>
    <dgm:pt modelId="{C2B1799A-FAB4-2E4C-9D4A-B97D9E188FB7}">
      <dgm:prSet/>
      <dgm:spPr/>
      <dgm:t>
        <a:bodyPr/>
        <a:lstStyle/>
        <a:p>
          <a:pPr algn="l"/>
          <a:r>
            <a:rPr lang="en-US"/>
            <a:t>Fidelity &amp; authenticity</a:t>
          </a:r>
        </a:p>
      </dgm:t>
    </dgm:pt>
    <dgm:pt modelId="{DD38DDE8-09C3-A84E-9989-72339E06D497}" type="parTrans" cxnId="{461372A7-948C-C24A-9F63-CE1FE9B4980D}">
      <dgm:prSet/>
      <dgm:spPr/>
      <dgm:t>
        <a:bodyPr/>
        <a:lstStyle/>
        <a:p>
          <a:endParaRPr lang="en-US"/>
        </a:p>
      </dgm:t>
    </dgm:pt>
    <dgm:pt modelId="{59D3647B-5EE2-344A-903E-FA2E84C6782E}" type="sibTrans" cxnId="{461372A7-948C-C24A-9F63-CE1FE9B4980D}">
      <dgm:prSet/>
      <dgm:spPr/>
      <dgm:t>
        <a:bodyPr/>
        <a:lstStyle/>
        <a:p>
          <a:endParaRPr lang="en-US"/>
        </a:p>
      </dgm:t>
    </dgm:pt>
    <dgm:pt modelId="{CFA9590E-11DF-7943-9555-BC2F9484B504}">
      <dgm:prSet/>
      <dgm:spPr/>
      <dgm:t>
        <a:bodyPr/>
        <a:lstStyle/>
        <a:p>
          <a:pPr algn="l"/>
          <a:r>
            <a:rPr lang="en-US"/>
            <a:t>Allow interfaces between people, equipment &amp; environment</a:t>
          </a:r>
        </a:p>
      </dgm:t>
    </dgm:pt>
    <dgm:pt modelId="{907A2C3E-D676-C646-9909-36B617DBDB91}" type="parTrans" cxnId="{100F2024-2519-184C-AEE0-7C558D9DC0AC}">
      <dgm:prSet/>
      <dgm:spPr/>
      <dgm:t>
        <a:bodyPr/>
        <a:lstStyle/>
        <a:p>
          <a:endParaRPr lang="en-US"/>
        </a:p>
      </dgm:t>
    </dgm:pt>
    <dgm:pt modelId="{B024974B-6365-1B44-AFB6-FC592A56B1C5}" type="sibTrans" cxnId="{100F2024-2519-184C-AEE0-7C558D9DC0AC}">
      <dgm:prSet/>
      <dgm:spPr/>
      <dgm:t>
        <a:bodyPr/>
        <a:lstStyle/>
        <a:p>
          <a:endParaRPr lang="en-US"/>
        </a:p>
      </dgm:t>
    </dgm:pt>
    <dgm:pt modelId="{6E3CB336-0EBD-484B-9468-1B8D45D7BEEA}" type="pres">
      <dgm:prSet presAssocID="{8303B6C8-06EB-D24A-BA2D-84D25E366CE2}" presName="cycle" presStyleCnt="0">
        <dgm:presLayoutVars>
          <dgm:chMax val="1"/>
          <dgm:dir/>
          <dgm:animLvl val="ctr"/>
          <dgm:resizeHandles val="exact"/>
        </dgm:presLayoutVars>
      </dgm:prSet>
      <dgm:spPr/>
    </dgm:pt>
    <dgm:pt modelId="{953F746D-E16A-714F-9CF9-CD6C370912B9}" type="pres">
      <dgm:prSet presAssocID="{7C66BF6D-A85E-EE44-BF66-46DF24EA5BAC}" presName="centerShape" presStyleLbl="node0" presStyleIdx="0" presStyleCnt="1"/>
      <dgm:spPr/>
    </dgm:pt>
    <dgm:pt modelId="{9942F508-F480-564A-BF5F-ED74287A24A9}" type="pres">
      <dgm:prSet presAssocID="{31A5C1EE-2E33-7D4F-B572-C9ED084CB8E3}" presName="parTrans" presStyleLbl="bgSibTrans2D1" presStyleIdx="0" presStyleCnt="5"/>
      <dgm:spPr/>
    </dgm:pt>
    <dgm:pt modelId="{20DEF94C-6877-E340-A43E-1338382740CB}" type="pres">
      <dgm:prSet presAssocID="{2FCB1E6B-1C8F-9747-84F4-09784646E06D}" presName="node" presStyleLbl="node1" presStyleIdx="0" presStyleCnt="5">
        <dgm:presLayoutVars>
          <dgm:bulletEnabled val="1"/>
        </dgm:presLayoutVars>
      </dgm:prSet>
      <dgm:spPr/>
    </dgm:pt>
    <dgm:pt modelId="{DCBAB663-09AC-5E4F-AC1A-21BFB3889FA0}" type="pres">
      <dgm:prSet presAssocID="{0A3BB12B-23DC-854E-9191-47217FAFED85}" presName="parTrans" presStyleLbl="bgSibTrans2D1" presStyleIdx="1" presStyleCnt="5"/>
      <dgm:spPr/>
    </dgm:pt>
    <dgm:pt modelId="{0E701454-6461-AF47-9CB5-D7018913FF19}" type="pres">
      <dgm:prSet presAssocID="{45388458-FD8D-224E-ABE1-6794879BBA54}" presName="node" presStyleLbl="node1" presStyleIdx="1" presStyleCnt="5">
        <dgm:presLayoutVars>
          <dgm:bulletEnabled val="1"/>
        </dgm:presLayoutVars>
      </dgm:prSet>
      <dgm:spPr/>
    </dgm:pt>
    <dgm:pt modelId="{99B9245F-2A74-E24C-89CC-7FDEC636B91A}" type="pres">
      <dgm:prSet presAssocID="{7987A6DB-BC74-AB4A-A737-065EC95228B8}" presName="parTrans" presStyleLbl="bgSibTrans2D1" presStyleIdx="2" presStyleCnt="5"/>
      <dgm:spPr/>
    </dgm:pt>
    <dgm:pt modelId="{4A13EA04-608E-934F-9712-A9610578CB58}" type="pres">
      <dgm:prSet presAssocID="{A4FCA2B0-1C0A-724B-BA58-79A2DF9FACF8}" presName="node" presStyleLbl="node1" presStyleIdx="2" presStyleCnt="5">
        <dgm:presLayoutVars>
          <dgm:bulletEnabled val="1"/>
        </dgm:presLayoutVars>
      </dgm:prSet>
      <dgm:spPr/>
    </dgm:pt>
    <dgm:pt modelId="{7D347258-1EE8-774F-BE28-09A4221CFF80}" type="pres">
      <dgm:prSet presAssocID="{676F7605-694D-8849-BE43-09F1AB9D0DA5}" presName="parTrans" presStyleLbl="bgSibTrans2D1" presStyleIdx="3" presStyleCnt="5"/>
      <dgm:spPr/>
    </dgm:pt>
    <dgm:pt modelId="{09233FBB-DA27-8044-8C0A-979ADC2BB943}" type="pres">
      <dgm:prSet presAssocID="{EA433CE1-B313-574C-A92E-3FF9030C6395}" presName="node" presStyleLbl="node1" presStyleIdx="3" presStyleCnt="5">
        <dgm:presLayoutVars>
          <dgm:bulletEnabled val="1"/>
        </dgm:presLayoutVars>
      </dgm:prSet>
      <dgm:spPr/>
    </dgm:pt>
    <dgm:pt modelId="{87D04FC3-8E06-7A43-8E3C-250E701140ED}" type="pres">
      <dgm:prSet presAssocID="{E15CF692-1765-C547-9DC2-B9456F31D767}" presName="parTrans" presStyleLbl="bgSibTrans2D1" presStyleIdx="4" presStyleCnt="5"/>
      <dgm:spPr/>
    </dgm:pt>
    <dgm:pt modelId="{820C9974-0E30-534E-A073-4729EA494146}" type="pres">
      <dgm:prSet presAssocID="{76135B23-D7F2-294E-9267-32A4E9C546F3}" presName="node" presStyleLbl="node1" presStyleIdx="4" presStyleCnt="5">
        <dgm:presLayoutVars>
          <dgm:bulletEnabled val="1"/>
        </dgm:presLayoutVars>
      </dgm:prSet>
      <dgm:spPr/>
    </dgm:pt>
  </dgm:ptLst>
  <dgm:cxnLst>
    <dgm:cxn modelId="{F405C600-C013-744A-8BA8-A380BE168C56}" type="presOf" srcId="{24C3B4ED-EA25-7049-B0DC-FF20907BC1DB}" destId="{4A13EA04-608E-934F-9712-A9610578CB58}" srcOrd="0" destOrd="6" presId="urn:microsoft.com/office/officeart/2005/8/layout/radial4"/>
    <dgm:cxn modelId="{E52FEB01-EF05-7944-9604-53AA8B4481BB}" srcId="{8303B6C8-06EB-D24A-BA2D-84D25E366CE2}" destId="{7C66BF6D-A85E-EE44-BF66-46DF24EA5BAC}" srcOrd="0" destOrd="0" parTransId="{5487A7D0-7AE3-8B41-B9FC-4F4644D59167}" sibTransId="{203D5901-A936-BF46-B898-058CB54577DE}"/>
    <dgm:cxn modelId="{51203C0B-6332-E744-99F6-00C46BF8FFE7}" type="presOf" srcId="{4E486D1F-785D-BF4D-B4D0-57F60400E2AD}" destId="{20DEF94C-6877-E340-A43E-1338382740CB}" srcOrd="0" destOrd="1" presId="urn:microsoft.com/office/officeart/2005/8/layout/radial4"/>
    <dgm:cxn modelId="{2B82A114-7462-1B43-A28D-B6B6068912B2}" srcId="{45388458-FD8D-224E-ABE1-6794879BBA54}" destId="{282DE9D1-E3D2-EE4E-A642-AD0D29436146}" srcOrd="0" destOrd="0" parTransId="{BE2BF52C-C317-0840-BC8A-A4C5CAC6CA4D}" sibTransId="{5254AC60-A38E-3740-9068-31E560D57ABE}"/>
    <dgm:cxn modelId="{702BBE16-D1CC-3148-8B11-8A1C70DE0C6D}" srcId="{2FCB1E6B-1C8F-9747-84F4-09784646E06D}" destId="{4E486D1F-785D-BF4D-B4D0-57F60400E2AD}" srcOrd="0" destOrd="0" parTransId="{33551A35-76EC-CF46-B8FA-D37EE7CE82F2}" sibTransId="{B5F2EEB8-5A38-8248-9240-46DDDCACACB5}"/>
    <dgm:cxn modelId="{03B0B820-AEBB-424C-908D-0AB4EE56D9E1}" srcId="{2FCB1E6B-1C8F-9747-84F4-09784646E06D}" destId="{55D0F278-0A4D-694C-A360-17D10E527111}" srcOrd="4" destOrd="0" parTransId="{802E48B6-516B-5E4A-BCB7-CB25736A3D65}" sibTransId="{F36ED7D5-165E-AD4E-863F-B3E00819C16A}"/>
    <dgm:cxn modelId="{22151B21-9914-684E-A600-E1689EFF92CA}" type="presOf" srcId="{7987A6DB-BC74-AB4A-A737-065EC95228B8}" destId="{99B9245F-2A74-E24C-89CC-7FDEC636B91A}" srcOrd="0" destOrd="0" presId="urn:microsoft.com/office/officeart/2005/8/layout/radial4"/>
    <dgm:cxn modelId="{30D43421-B94A-164F-B3B0-EBA79AB2CB1A}" srcId="{76135B23-D7F2-294E-9267-32A4E9C546F3}" destId="{D29D1101-6EEB-DD4D-B8A5-0459F7305858}" srcOrd="2" destOrd="0" parTransId="{C29A667D-7D6C-0442-B789-C882DC90CC95}" sibTransId="{AFDA339F-D426-7246-9C19-2762AD9CD40F}"/>
    <dgm:cxn modelId="{6D89A522-DB57-004E-B5F9-427BEF629A4F}" type="presOf" srcId="{0A3BB12B-23DC-854E-9191-47217FAFED85}" destId="{DCBAB663-09AC-5E4F-AC1A-21BFB3889FA0}" srcOrd="0" destOrd="0" presId="urn:microsoft.com/office/officeart/2005/8/layout/radial4"/>
    <dgm:cxn modelId="{82AFC222-29DC-9B4B-B88A-D76F717CDE80}" srcId="{76135B23-D7F2-294E-9267-32A4E9C546F3}" destId="{CC624DF8-111D-5147-8134-34667EBBB180}" srcOrd="6" destOrd="0" parTransId="{7AC207B9-C58F-9247-A8D3-B5B2CACD6A54}" sibTransId="{DE2BEAED-BF25-6243-869B-34D8738B4C6F}"/>
    <dgm:cxn modelId="{100F2024-2519-184C-AEE0-7C558D9DC0AC}" srcId="{EA433CE1-B313-574C-A92E-3FF9030C6395}" destId="{CFA9590E-11DF-7943-9555-BC2F9484B504}" srcOrd="7" destOrd="0" parTransId="{907A2C3E-D676-C646-9909-36B617DBDB91}" sibTransId="{B024974B-6365-1B44-AFB6-FC592A56B1C5}"/>
    <dgm:cxn modelId="{C32F5224-8746-4044-B877-C59719F3072D}" type="presOf" srcId="{E756EF64-9ADC-9B4B-A0A8-5E6A1E446504}" destId="{820C9974-0E30-534E-A073-4729EA494146}" srcOrd="0" destOrd="4" presId="urn:microsoft.com/office/officeart/2005/8/layout/radial4"/>
    <dgm:cxn modelId="{919A1A25-9CA6-ED47-9E7D-B4F295F7687C}" srcId="{2FCB1E6B-1C8F-9747-84F4-09784646E06D}" destId="{3AA55BF6-DBC2-AC42-B1BF-C010CE9BDE72}" srcOrd="1" destOrd="0" parTransId="{84C046DD-A19D-4347-AD1E-5AB87644657E}" sibTransId="{A18B9EEC-004E-BB42-AEBD-62F42FF7C60C}"/>
    <dgm:cxn modelId="{D66B0D28-4DDE-6846-BC9D-FAADA0AF60BD}" type="presOf" srcId="{282DE9D1-E3D2-EE4E-A642-AD0D29436146}" destId="{0E701454-6461-AF47-9CB5-D7018913FF19}" srcOrd="0" destOrd="1" presId="urn:microsoft.com/office/officeart/2005/8/layout/radial4"/>
    <dgm:cxn modelId="{EDE0FF28-158B-3D44-AC4C-62BADA7437F4}" srcId="{76135B23-D7F2-294E-9267-32A4E9C546F3}" destId="{81AC4A53-C8D1-1D41-AE16-DDAA6DDB9BF1}" srcOrd="1" destOrd="0" parTransId="{ED663C9E-B215-0C41-8E28-4FD0ECF1C3A5}" sibTransId="{46359B8C-E905-B849-AD5E-AC37BBE99DBE}"/>
    <dgm:cxn modelId="{F7CADC2B-078B-594D-906D-E34257531D63}" type="presOf" srcId="{A4FCA2B0-1C0A-724B-BA58-79A2DF9FACF8}" destId="{4A13EA04-608E-934F-9712-A9610578CB58}" srcOrd="0" destOrd="0" presId="urn:microsoft.com/office/officeart/2005/8/layout/radial4"/>
    <dgm:cxn modelId="{F6157F2C-4660-AA4C-9387-FCAAFC5EEF99}" type="presOf" srcId="{68F91347-9736-F34B-9105-B877D25DF8A3}" destId="{09233FBB-DA27-8044-8C0A-979ADC2BB943}" srcOrd="0" destOrd="6" presId="urn:microsoft.com/office/officeart/2005/8/layout/radial4"/>
    <dgm:cxn modelId="{E1E1613B-D4B4-604F-9B2D-8481500E2111}" srcId="{EA433CE1-B313-574C-A92E-3FF9030C6395}" destId="{C9056839-82BD-CC49-AC41-4295D6281E6B}" srcOrd="4" destOrd="0" parTransId="{349AF5D7-2745-8D47-9FDF-CC34EBBFB50F}" sibTransId="{FCC1D831-2DE8-0B4E-A17D-C23C469C6DAC}"/>
    <dgm:cxn modelId="{2E9A363C-9F80-E146-B02D-3C14376B512D}" type="presOf" srcId="{8303B6C8-06EB-D24A-BA2D-84D25E366CE2}" destId="{6E3CB336-0EBD-484B-9468-1B8D45D7BEEA}" srcOrd="0" destOrd="0" presId="urn:microsoft.com/office/officeart/2005/8/layout/radial4"/>
    <dgm:cxn modelId="{9E6F583D-1FBC-AE4F-B277-351924864D44}" type="presOf" srcId="{7C66BF6D-A85E-EE44-BF66-46DF24EA5BAC}" destId="{953F746D-E16A-714F-9CF9-CD6C370912B9}" srcOrd="0" destOrd="0" presId="urn:microsoft.com/office/officeart/2005/8/layout/radial4"/>
    <dgm:cxn modelId="{CD2D1C5B-ABAD-D04E-9D27-7025230A0F48}" type="presOf" srcId="{E15CF692-1765-C547-9DC2-B9456F31D767}" destId="{87D04FC3-8E06-7A43-8E3C-250E701140ED}" srcOrd="0" destOrd="0" presId="urn:microsoft.com/office/officeart/2005/8/layout/radial4"/>
    <dgm:cxn modelId="{95E09463-767B-4C44-BFF4-CB68D94043E2}" type="presOf" srcId="{80311161-DCAA-F346-880D-F28E24EABE51}" destId="{820C9974-0E30-534E-A073-4729EA494146}" srcOrd="0" destOrd="1" presId="urn:microsoft.com/office/officeart/2005/8/layout/radial4"/>
    <dgm:cxn modelId="{9A421144-6478-0F47-8F0B-6C18803D5587}" type="presOf" srcId="{676F7605-694D-8849-BE43-09F1AB9D0DA5}" destId="{7D347258-1EE8-774F-BE28-09A4221CFF80}" srcOrd="0" destOrd="0" presId="urn:microsoft.com/office/officeart/2005/8/layout/radial4"/>
    <dgm:cxn modelId="{F8B5C344-F942-D14B-9FCE-2349FCE27018}" srcId="{7C66BF6D-A85E-EE44-BF66-46DF24EA5BAC}" destId="{76135B23-D7F2-294E-9267-32A4E9C546F3}" srcOrd="4" destOrd="0" parTransId="{E15CF692-1765-C547-9DC2-B9456F31D767}" sibTransId="{8F2582B7-6534-9042-8D65-763EA55D2DDE}"/>
    <dgm:cxn modelId="{6755ED65-B128-1E4B-A1F1-64D6249C1102}" type="presOf" srcId="{C176BE33-AE0C-744A-B7DC-0D051904B3D1}" destId="{820C9974-0E30-534E-A073-4729EA494146}" srcOrd="0" destOrd="5" presId="urn:microsoft.com/office/officeart/2005/8/layout/radial4"/>
    <dgm:cxn modelId="{2AAD1F49-30D1-0F4B-B4C4-9A09089006FC}" type="presOf" srcId="{EC309086-C21D-7F41-920E-6AE058C1A80E}" destId="{4A13EA04-608E-934F-9712-A9610578CB58}" srcOrd="0" destOrd="3" presId="urn:microsoft.com/office/officeart/2005/8/layout/radial4"/>
    <dgm:cxn modelId="{2D3D7B69-9E79-6F4D-93D7-D88F075C9977}" type="presOf" srcId="{226F8FB2-EA2B-C746-99F0-8E61CE6417CB}" destId="{20DEF94C-6877-E340-A43E-1338382740CB}" srcOrd="0" destOrd="4" presId="urn:microsoft.com/office/officeart/2005/8/layout/radial4"/>
    <dgm:cxn modelId="{9A07A36A-0E14-C54A-85E8-F0BDDC6C6C1D}" srcId="{7C66BF6D-A85E-EE44-BF66-46DF24EA5BAC}" destId="{EA433CE1-B313-574C-A92E-3FF9030C6395}" srcOrd="3" destOrd="0" parTransId="{676F7605-694D-8849-BE43-09F1AB9D0DA5}" sibTransId="{E6E87996-CF05-3746-B8AB-652EF99EFD1B}"/>
    <dgm:cxn modelId="{E308476C-273E-B845-A52C-899F03014485}" type="presOf" srcId="{55D0F278-0A4D-694C-A360-17D10E527111}" destId="{20DEF94C-6877-E340-A43E-1338382740CB}" srcOrd="0" destOrd="5" presId="urn:microsoft.com/office/officeart/2005/8/layout/radial4"/>
    <dgm:cxn modelId="{C7B3B26C-9CB8-6C40-8FA5-C018BC45180A}" type="presOf" srcId="{2FCB1E6B-1C8F-9747-84F4-09784646E06D}" destId="{20DEF94C-6877-E340-A43E-1338382740CB}" srcOrd="0" destOrd="0" presId="urn:microsoft.com/office/officeart/2005/8/layout/radial4"/>
    <dgm:cxn modelId="{0401744F-6012-E442-A8A8-0A2736D88D37}" srcId="{EA433CE1-B313-574C-A92E-3FF9030C6395}" destId="{180ADCEE-52AB-2A4C-A2E2-50BFE5E8B250}" srcOrd="0" destOrd="0" parTransId="{E8438E7C-716E-6F43-8DBF-2CC34B12E502}" sibTransId="{8B586177-3DFD-9F4E-AB93-9695448B00C1}"/>
    <dgm:cxn modelId="{1307D670-26A3-4D47-8630-75D7CD95F4B7}" type="presOf" srcId="{9EF5F309-43B0-3A42-A053-691EF2B67E84}" destId="{4A13EA04-608E-934F-9712-A9610578CB58}" srcOrd="0" destOrd="4" presId="urn:microsoft.com/office/officeart/2005/8/layout/radial4"/>
    <dgm:cxn modelId="{6F1BEE70-2943-8D4C-8EF1-2D08C3CC48C7}" type="presOf" srcId="{2A402E3F-E910-3D47-A581-1274C9503E3C}" destId="{20DEF94C-6877-E340-A43E-1338382740CB}" srcOrd="0" destOrd="3" presId="urn:microsoft.com/office/officeart/2005/8/layout/radial4"/>
    <dgm:cxn modelId="{61E46656-79E2-A444-B8C4-C31D2552D174}" type="presOf" srcId="{5505EC9A-B911-AA4A-AE61-1EB39161B16E}" destId="{0E701454-6461-AF47-9CB5-D7018913FF19}" srcOrd="0" destOrd="2" presId="urn:microsoft.com/office/officeart/2005/8/layout/radial4"/>
    <dgm:cxn modelId="{63C94377-C878-C741-BC91-F2EA196174AA}" srcId="{45388458-FD8D-224E-ABE1-6794879BBA54}" destId="{D37EE21A-4F48-2442-BF07-0FE0DD68483D}" srcOrd="2" destOrd="0" parTransId="{FEE52696-2693-2148-880A-57FC5FAC6382}" sibTransId="{F4DC3AA0-2F75-1847-9E7B-784410B56D78}"/>
    <dgm:cxn modelId="{DFCDFD57-E484-454D-BDCD-0978CD94BD8A}" srcId="{A4FCA2B0-1C0A-724B-BA58-79A2DF9FACF8}" destId="{9EF5F309-43B0-3A42-A053-691EF2B67E84}" srcOrd="3" destOrd="0" parTransId="{04E560A3-AF54-4E42-ACA8-9FCACD67E2AA}" sibTransId="{5ECDD60F-0BC1-014A-BBAE-9C91670A3362}"/>
    <dgm:cxn modelId="{2A6A9359-CA0E-A645-A6CE-6BC5485E2E51}" srcId="{A4FCA2B0-1C0A-724B-BA58-79A2DF9FACF8}" destId="{21AB8A08-5A3C-B04C-A513-A138D9E0902A}" srcOrd="6" destOrd="0" parTransId="{742A1C16-5B1F-4A4A-B253-46E737A3C387}" sibTransId="{C52C1B6A-59C9-B848-AB3B-FBFE2E0C3C8D}"/>
    <dgm:cxn modelId="{C25F5E7D-3EAC-0542-9523-0E0C3F511DDB}" type="presOf" srcId="{7ECBA301-4194-2241-AEF8-5BFEF2AA963E}" destId="{09233FBB-DA27-8044-8C0A-979ADC2BB943}" srcOrd="0" destOrd="3" presId="urn:microsoft.com/office/officeart/2005/8/layout/radial4"/>
    <dgm:cxn modelId="{4D1B5E80-2673-AC43-9B21-1F8CE66C4D51}" srcId="{A4FCA2B0-1C0A-724B-BA58-79A2DF9FACF8}" destId="{24C3B4ED-EA25-7049-B0DC-FF20907BC1DB}" srcOrd="5" destOrd="0" parTransId="{FAB57FF4-E40D-0945-92A0-EFB3F6C2A568}" sibTransId="{BBDF8D3F-1157-694C-9F44-F85C293EA005}"/>
    <dgm:cxn modelId="{439AFE86-CEFF-634F-9F61-492A980849CA}" type="presOf" srcId="{21AB8A08-5A3C-B04C-A513-A138D9E0902A}" destId="{4A13EA04-608E-934F-9712-A9610578CB58}" srcOrd="0" destOrd="7" presId="urn:microsoft.com/office/officeart/2005/8/layout/radial4"/>
    <dgm:cxn modelId="{62D63892-4FE3-B44F-9855-6DE135B9F9F6}" srcId="{EA433CE1-B313-574C-A92E-3FF9030C6395}" destId="{68F91347-9736-F34B-9105-B877D25DF8A3}" srcOrd="5" destOrd="0" parTransId="{DD290887-0F1B-2A47-BF61-79DEAE69D126}" sibTransId="{A485B5F4-8DA3-2746-A351-68CECC86428D}"/>
    <dgm:cxn modelId="{09385895-39D4-A845-B68E-0523BA951AD9}" type="presOf" srcId="{C331B42C-6BC4-2A46-8DBB-047F38353E69}" destId="{4A13EA04-608E-934F-9712-A9610578CB58}" srcOrd="0" destOrd="1" presId="urn:microsoft.com/office/officeart/2005/8/layout/radial4"/>
    <dgm:cxn modelId="{26C1299A-3864-0C4F-A4B6-86EBE2607FC8}" type="presOf" srcId="{40CA8276-D0C3-FE43-AB9C-FD38B69D5DCD}" destId="{09233FBB-DA27-8044-8C0A-979ADC2BB943}" srcOrd="0" destOrd="4" presId="urn:microsoft.com/office/officeart/2005/8/layout/radial4"/>
    <dgm:cxn modelId="{98D6D59A-A568-AA4F-A6C6-7A8A9EBA1194}" type="presOf" srcId="{31A5C1EE-2E33-7D4F-B572-C9ED084CB8E3}" destId="{9942F508-F480-564A-BF5F-ED74287A24A9}" srcOrd="0" destOrd="0" presId="urn:microsoft.com/office/officeart/2005/8/layout/radial4"/>
    <dgm:cxn modelId="{8A5E5C9E-882B-EA49-A1D4-7A5D1C4404C7}" srcId="{A4FCA2B0-1C0A-724B-BA58-79A2DF9FACF8}" destId="{C331B42C-6BC4-2A46-8DBB-047F38353E69}" srcOrd="0" destOrd="0" parTransId="{676DE8AA-7DAD-AF4B-AA28-809C5F46AF8C}" sibTransId="{DD529C98-6523-4240-BCAC-A07C4060BB3A}"/>
    <dgm:cxn modelId="{F0C7FAA3-CC42-5841-B6BF-73183C3E6175}" srcId="{EA433CE1-B313-574C-A92E-3FF9030C6395}" destId="{7ECBA301-4194-2241-AEF8-5BFEF2AA963E}" srcOrd="2" destOrd="0" parTransId="{FEA87180-A9C6-3D4A-97B4-E077558F3840}" sibTransId="{D0B718AA-F272-8545-B274-C21284E031D7}"/>
    <dgm:cxn modelId="{198DD5A5-3643-5043-B7D7-C492607371A5}" type="presOf" srcId="{43D9F512-219B-224F-AEB9-F779409F52C7}" destId="{0E701454-6461-AF47-9CB5-D7018913FF19}" srcOrd="0" destOrd="4" presId="urn:microsoft.com/office/officeart/2005/8/layout/radial4"/>
    <dgm:cxn modelId="{E602EDA5-0627-EF48-B831-1DBD3189AEB3}" type="presOf" srcId="{3AA55BF6-DBC2-AC42-B1BF-C010CE9BDE72}" destId="{20DEF94C-6877-E340-A43E-1338382740CB}" srcOrd="0" destOrd="2" presId="urn:microsoft.com/office/officeart/2005/8/layout/radial4"/>
    <dgm:cxn modelId="{461372A7-948C-C24A-9F63-CE1FE9B4980D}" srcId="{EA433CE1-B313-574C-A92E-3FF9030C6395}" destId="{C2B1799A-FAB4-2E4C-9D4A-B97D9E188FB7}" srcOrd="6" destOrd="0" parTransId="{DD38DDE8-09C3-A84E-9989-72339E06D497}" sibTransId="{59D3647B-5EE2-344A-903E-FA2E84C6782E}"/>
    <dgm:cxn modelId="{4CC078AB-30A1-E249-B6EE-12EB4826FEB2}" srcId="{EA433CE1-B313-574C-A92E-3FF9030C6395}" destId="{40CA8276-D0C3-FE43-AB9C-FD38B69D5DCD}" srcOrd="3" destOrd="0" parTransId="{DFE88E87-1CBD-3F48-8595-BB0047DAB883}" sibTransId="{F9E4DE1B-BA77-2C41-944F-1AEC69DAD188}"/>
    <dgm:cxn modelId="{568FC3AB-B3C2-7240-8B60-2C27A2078F83}" type="presOf" srcId="{D37EE21A-4F48-2442-BF07-0FE0DD68483D}" destId="{0E701454-6461-AF47-9CB5-D7018913FF19}" srcOrd="0" destOrd="3" presId="urn:microsoft.com/office/officeart/2005/8/layout/radial4"/>
    <dgm:cxn modelId="{146C73AC-2B7D-334D-992E-481148BC97EA}" type="presOf" srcId="{96566896-4514-B445-9008-63E63BFE9401}" destId="{4A13EA04-608E-934F-9712-A9610578CB58}" srcOrd="0" destOrd="2" presId="urn:microsoft.com/office/officeart/2005/8/layout/radial4"/>
    <dgm:cxn modelId="{218BE6AD-ECE6-B74A-B1D5-1EB8EEE0DBCA}" type="presOf" srcId="{EA433CE1-B313-574C-A92E-3FF9030C6395}" destId="{09233FBB-DA27-8044-8C0A-979ADC2BB943}" srcOrd="0" destOrd="0" presId="urn:microsoft.com/office/officeart/2005/8/layout/radial4"/>
    <dgm:cxn modelId="{745911AE-7744-9740-895A-9F80BDCC448F}" type="presOf" srcId="{CC624DF8-111D-5147-8134-34667EBBB180}" destId="{820C9974-0E30-534E-A073-4729EA494146}" srcOrd="0" destOrd="7" presId="urn:microsoft.com/office/officeart/2005/8/layout/radial4"/>
    <dgm:cxn modelId="{209884B0-0F3B-E44A-99E6-F161DD5D0B50}" srcId="{76135B23-D7F2-294E-9267-32A4E9C546F3}" destId="{C176BE33-AE0C-744A-B7DC-0D051904B3D1}" srcOrd="4" destOrd="0" parTransId="{B9CC266A-E56F-FB4E-857A-FC72832CA297}" sibTransId="{816C09FF-20DF-CA48-BF88-F0D7E264ADB1}"/>
    <dgm:cxn modelId="{91459AB0-A722-B94A-961F-201589255103}" srcId="{7C66BF6D-A85E-EE44-BF66-46DF24EA5BAC}" destId="{A4FCA2B0-1C0A-724B-BA58-79A2DF9FACF8}" srcOrd="2" destOrd="0" parTransId="{7987A6DB-BC74-AB4A-A737-065EC95228B8}" sibTransId="{2B86D488-851C-B748-85B0-CEF8185F26F4}"/>
    <dgm:cxn modelId="{182E64B4-0C68-3C4F-8550-2249D45C5585}" srcId="{76135B23-D7F2-294E-9267-32A4E9C546F3}" destId="{3053E92A-B881-674B-A676-580E473AB675}" srcOrd="5" destOrd="0" parTransId="{F5B9C916-3B48-7747-8613-94F77AEA381A}" sibTransId="{25F7EA0A-8A77-8946-A964-192642619235}"/>
    <dgm:cxn modelId="{BDA9D2B5-118B-D84F-A959-1A50E89FE178}" srcId="{7C66BF6D-A85E-EE44-BF66-46DF24EA5BAC}" destId="{45388458-FD8D-224E-ABE1-6794879BBA54}" srcOrd="1" destOrd="0" parTransId="{0A3BB12B-23DC-854E-9191-47217FAFED85}" sibTransId="{F49AF9CD-7C97-C746-9CDD-E1380085F634}"/>
    <dgm:cxn modelId="{A2BD14B6-DD35-8143-A2DA-72F280EC828A}" type="presOf" srcId="{720487F2-911B-574F-B80A-134CEB1A077C}" destId="{09233FBB-DA27-8044-8C0A-979ADC2BB943}" srcOrd="0" destOrd="2" presId="urn:microsoft.com/office/officeart/2005/8/layout/radial4"/>
    <dgm:cxn modelId="{FE9581B7-95DA-2D48-85B3-E3399FAE8461}" type="presOf" srcId="{D29D1101-6EEB-DD4D-B8A5-0459F7305858}" destId="{820C9974-0E30-534E-A073-4729EA494146}" srcOrd="0" destOrd="3" presId="urn:microsoft.com/office/officeart/2005/8/layout/radial4"/>
    <dgm:cxn modelId="{514DC8BB-6B3A-D945-9CB5-822B1BE37365}" type="presOf" srcId="{6E473322-5D47-3E47-A3AD-9AACA21EEDCC}" destId="{4A13EA04-608E-934F-9712-A9610578CB58}" srcOrd="0" destOrd="5" presId="urn:microsoft.com/office/officeart/2005/8/layout/radial4"/>
    <dgm:cxn modelId="{E02085BD-CEAE-BF46-87D8-7E053B1D471C}" type="presOf" srcId="{45388458-FD8D-224E-ABE1-6794879BBA54}" destId="{0E701454-6461-AF47-9CB5-D7018913FF19}" srcOrd="0" destOrd="0" presId="urn:microsoft.com/office/officeart/2005/8/layout/radial4"/>
    <dgm:cxn modelId="{D27930C5-ED24-CB45-8F0B-0C99927D2C5B}" srcId="{A4FCA2B0-1C0A-724B-BA58-79A2DF9FACF8}" destId="{6E473322-5D47-3E47-A3AD-9AACA21EEDCC}" srcOrd="4" destOrd="0" parTransId="{15BEB48F-3C45-504E-9811-C757856C60AE}" sibTransId="{94328920-6715-C043-9A6D-ABBC3690566C}"/>
    <dgm:cxn modelId="{AF33B6C5-E6ED-9349-9D06-5A458499AB34}" srcId="{76135B23-D7F2-294E-9267-32A4E9C546F3}" destId="{E756EF64-9ADC-9B4B-A0A8-5E6A1E446504}" srcOrd="3" destOrd="0" parTransId="{FD910A3D-4D0E-7044-94AD-773C4CC55766}" sibTransId="{30C969CF-5B1F-AA47-BDC5-3BB23D097255}"/>
    <dgm:cxn modelId="{5BA551CD-6F6F-FD4E-85C0-8E9E92E1229B}" type="presOf" srcId="{81AC4A53-C8D1-1D41-AE16-DDAA6DDB9BF1}" destId="{820C9974-0E30-534E-A073-4729EA494146}" srcOrd="0" destOrd="2" presId="urn:microsoft.com/office/officeart/2005/8/layout/radial4"/>
    <dgm:cxn modelId="{ECBF6FCF-A05E-0C43-B338-E03369C4FD5F}" srcId="{2FCB1E6B-1C8F-9747-84F4-09784646E06D}" destId="{2A402E3F-E910-3D47-A581-1274C9503E3C}" srcOrd="2" destOrd="0" parTransId="{8847A8CB-F2E5-9042-B21E-53161649C927}" sibTransId="{159A5E51-1119-1449-B9AD-DFD98DF3E6BF}"/>
    <dgm:cxn modelId="{48F9A7D1-5F7C-A240-B8E7-BBBF70DD9567}" srcId="{7C66BF6D-A85E-EE44-BF66-46DF24EA5BAC}" destId="{2FCB1E6B-1C8F-9747-84F4-09784646E06D}" srcOrd="0" destOrd="0" parTransId="{31A5C1EE-2E33-7D4F-B572-C9ED084CB8E3}" sibTransId="{72E95C63-DD84-7844-BE34-6913559135A8}"/>
    <dgm:cxn modelId="{FE4325D2-D26C-3341-BC93-AC7D7D8EC609}" type="presOf" srcId="{C9056839-82BD-CC49-AC41-4295D6281E6B}" destId="{09233FBB-DA27-8044-8C0A-979ADC2BB943}" srcOrd="0" destOrd="5" presId="urn:microsoft.com/office/officeart/2005/8/layout/radial4"/>
    <dgm:cxn modelId="{9E6ED3D2-6BC9-9241-8041-BDE79F042D83}" srcId="{A4FCA2B0-1C0A-724B-BA58-79A2DF9FACF8}" destId="{EC309086-C21D-7F41-920E-6AE058C1A80E}" srcOrd="2" destOrd="0" parTransId="{D85235F6-6D8F-4048-8B73-FA4D31FA0348}" sibTransId="{5C51420F-3FE6-7B4B-A9EB-D3C5D17212AE}"/>
    <dgm:cxn modelId="{94ECF2D2-F00D-DF49-8641-835FF227A391}" type="presOf" srcId="{76135B23-D7F2-294E-9267-32A4E9C546F3}" destId="{820C9974-0E30-534E-A073-4729EA494146}" srcOrd="0" destOrd="0" presId="urn:microsoft.com/office/officeart/2005/8/layout/radial4"/>
    <dgm:cxn modelId="{B25B25D7-2AD9-5942-9918-29F6550596C0}" srcId="{2FCB1E6B-1C8F-9747-84F4-09784646E06D}" destId="{226F8FB2-EA2B-C746-99F0-8E61CE6417CB}" srcOrd="3" destOrd="0" parTransId="{075965FF-8C04-A640-AC81-1F0B729CF400}" sibTransId="{BABAF2D7-2757-2348-8980-BF8A6918CA61}"/>
    <dgm:cxn modelId="{FBDC71E5-31E3-C743-96F6-525C88F842CF}" type="presOf" srcId="{180ADCEE-52AB-2A4C-A2E2-50BFE5E8B250}" destId="{09233FBB-DA27-8044-8C0A-979ADC2BB943}" srcOrd="0" destOrd="1" presId="urn:microsoft.com/office/officeart/2005/8/layout/radial4"/>
    <dgm:cxn modelId="{6C738CE7-5325-104C-ABA3-31DAB8F9FB62}" srcId="{45388458-FD8D-224E-ABE1-6794879BBA54}" destId="{5505EC9A-B911-AA4A-AE61-1EB39161B16E}" srcOrd="1" destOrd="0" parTransId="{984349D0-46A8-E842-A4F7-2336EBD00793}" sibTransId="{E7732A38-C5B3-EA46-9BB0-0B75004F3DDD}"/>
    <dgm:cxn modelId="{94A584E8-DD62-E84A-8194-9D9C091E2E93}" srcId="{45388458-FD8D-224E-ABE1-6794879BBA54}" destId="{43D9F512-219B-224F-AEB9-F779409F52C7}" srcOrd="3" destOrd="0" parTransId="{D4BEA5E0-A69D-F34C-8B44-F82275D4D346}" sibTransId="{9B4089B7-ACF6-4043-BACE-5CA035E1BDC0}"/>
    <dgm:cxn modelId="{65396CEC-D577-5B40-B573-4E7C4FB31E0E}" type="presOf" srcId="{3053E92A-B881-674B-A676-580E473AB675}" destId="{820C9974-0E30-534E-A073-4729EA494146}" srcOrd="0" destOrd="6" presId="urn:microsoft.com/office/officeart/2005/8/layout/radial4"/>
    <dgm:cxn modelId="{BBE8A7EC-1137-754C-AC5A-C8D184FC704F}" type="presOf" srcId="{CFA9590E-11DF-7943-9555-BC2F9484B504}" destId="{09233FBB-DA27-8044-8C0A-979ADC2BB943}" srcOrd="0" destOrd="8" presId="urn:microsoft.com/office/officeart/2005/8/layout/radial4"/>
    <dgm:cxn modelId="{077FB0EE-D393-0C41-BFA7-54D993B28CDD}" srcId="{EA433CE1-B313-574C-A92E-3FF9030C6395}" destId="{720487F2-911B-574F-B80A-134CEB1A077C}" srcOrd="1" destOrd="0" parTransId="{7FEA63C1-41FB-0E42-862A-604E33442E68}" sibTransId="{1C40D7EB-E9ED-7C41-9C39-EDE7FFA634B5}"/>
    <dgm:cxn modelId="{1F517CF0-6A07-1545-9142-C09C49D0C0AD}" srcId="{A4FCA2B0-1C0A-724B-BA58-79A2DF9FACF8}" destId="{96566896-4514-B445-9008-63E63BFE9401}" srcOrd="1" destOrd="0" parTransId="{BA522601-470F-FD4D-89AE-906BB0BA77DC}" sibTransId="{041A76B0-7ECB-7D4D-96E4-08AF74FC1141}"/>
    <dgm:cxn modelId="{43E026FA-9204-974B-9444-09D57683DC96}" srcId="{76135B23-D7F2-294E-9267-32A4E9C546F3}" destId="{80311161-DCAA-F346-880D-F28E24EABE51}" srcOrd="0" destOrd="0" parTransId="{E8C5FFE8-0527-BA45-A36C-4D25D9A169AD}" sibTransId="{7C2FE0A8-148F-8F4B-9AAD-F450C183ADFF}"/>
    <dgm:cxn modelId="{DFC5D5FA-F8AB-204F-8F6B-9D4FBF052354}" type="presOf" srcId="{C2B1799A-FAB4-2E4C-9D4A-B97D9E188FB7}" destId="{09233FBB-DA27-8044-8C0A-979ADC2BB943}" srcOrd="0" destOrd="7" presId="urn:microsoft.com/office/officeart/2005/8/layout/radial4"/>
    <dgm:cxn modelId="{702B1413-8E7A-5148-BB12-6CDD5B815EEB}" type="presParOf" srcId="{6E3CB336-0EBD-484B-9468-1B8D45D7BEEA}" destId="{953F746D-E16A-714F-9CF9-CD6C370912B9}" srcOrd="0" destOrd="0" presId="urn:microsoft.com/office/officeart/2005/8/layout/radial4"/>
    <dgm:cxn modelId="{655B79DB-9E46-7241-8A97-7ED794F749B0}" type="presParOf" srcId="{6E3CB336-0EBD-484B-9468-1B8D45D7BEEA}" destId="{9942F508-F480-564A-BF5F-ED74287A24A9}" srcOrd="1" destOrd="0" presId="urn:microsoft.com/office/officeart/2005/8/layout/radial4"/>
    <dgm:cxn modelId="{3632EAC6-F8D0-A242-88FF-F65FFF5C02B9}" type="presParOf" srcId="{6E3CB336-0EBD-484B-9468-1B8D45D7BEEA}" destId="{20DEF94C-6877-E340-A43E-1338382740CB}" srcOrd="2" destOrd="0" presId="urn:microsoft.com/office/officeart/2005/8/layout/radial4"/>
    <dgm:cxn modelId="{CE514F46-E6C2-5C4E-B505-82B28B4AAA43}" type="presParOf" srcId="{6E3CB336-0EBD-484B-9468-1B8D45D7BEEA}" destId="{DCBAB663-09AC-5E4F-AC1A-21BFB3889FA0}" srcOrd="3" destOrd="0" presId="urn:microsoft.com/office/officeart/2005/8/layout/radial4"/>
    <dgm:cxn modelId="{671573BE-F482-7647-AC8A-262375238831}" type="presParOf" srcId="{6E3CB336-0EBD-484B-9468-1B8D45D7BEEA}" destId="{0E701454-6461-AF47-9CB5-D7018913FF19}" srcOrd="4" destOrd="0" presId="urn:microsoft.com/office/officeart/2005/8/layout/radial4"/>
    <dgm:cxn modelId="{7DD37F8B-B415-2B48-9B85-B595BAD7F420}" type="presParOf" srcId="{6E3CB336-0EBD-484B-9468-1B8D45D7BEEA}" destId="{99B9245F-2A74-E24C-89CC-7FDEC636B91A}" srcOrd="5" destOrd="0" presId="urn:microsoft.com/office/officeart/2005/8/layout/radial4"/>
    <dgm:cxn modelId="{B49409D1-3D41-B14F-87C3-F36E76F903EE}" type="presParOf" srcId="{6E3CB336-0EBD-484B-9468-1B8D45D7BEEA}" destId="{4A13EA04-608E-934F-9712-A9610578CB58}" srcOrd="6" destOrd="0" presId="urn:microsoft.com/office/officeart/2005/8/layout/radial4"/>
    <dgm:cxn modelId="{83C3041C-5858-0F4C-9888-91F20E1DF660}" type="presParOf" srcId="{6E3CB336-0EBD-484B-9468-1B8D45D7BEEA}" destId="{7D347258-1EE8-774F-BE28-09A4221CFF80}" srcOrd="7" destOrd="0" presId="urn:microsoft.com/office/officeart/2005/8/layout/radial4"/>
    <dgm:cxn modelId="{66345B4A-8B90-694E-BD6A-DA6A21609190}" type="presParOf" srcId="{6E3CB336-0EBD-484B-9468-1B8D45D7BEEA}" destId="{09233FBB-DA27-8044-8C0A-979ADC2BB943}" srcOrd="8" destOrd="0" presId="urn:microsoft.com/office/officeart/2005/8/layout/radial4"/>
    <dgm:cxn modelId="{560D6DCF-6ABA-3940-8032-D0D259023D8A}" type="presParOf" srcId="{6E3CB336-0EBD-484B-9468-1B8D45D7BEEA}" destId="{87D04FC3-8E06-7A43-8E3C-250E701140ED}" srcOrd="9" destOrd="0" presId="urn:microsoft.com/office/officeart/2005/8/layout/radial4"/>
    <dgm:cxn modelId="{28F9D9A5-83FF-0B42-A19B-F7B0F591A99D}" type="presParOf" srcId="{6E3CB336-0EBD-484B-9468-1B8D45D7BEEA}" destId="{820C9974-0E30-534E-A073-4729EA494146}" srcOrd="10" destOrd="0" presId="urn:microsoft.com/office/officeart/2005/8/layout/radial4"/>
  </dgm:cxnLst>
  <dgm:bg/>
  <dgm:whole/>
  <dgm:extLst>
    <a:ext uri="http://schemas.microsoft.com/office/drawing/2008/diagram">
      <dsp:dataModelExt xmlns:dsp="http://schemas.microsoft.com/office/drawing/2008/diagram" relId="rId296" minVer="http://schemas.openxmlformats.org/drawingml/2006/diagram"/>
    </a:ext>
  </dgm:extLst>
</dgm:dataModel>
</file>

<file path=word/diagrams/data44.xml><?xml version="1.0" encoding="utf-8"?>
<dgm:dataModel xmlns:dgm="http://schemas.openxmlformats.org/drawingml/2006/diagram" xmlns:a="http://schemas.openxmlformats.org/drawingml/2006/main">
  <dgm:ptLst>
    <dgm:pt modelId="{09DCDE6D-391F-474D-8639-1BFDCEDB973F}" type="doc">
      <dgm:prSet loTypeId="urn:microsoft.com/office/officeart/2005/8/layout/radial4" loCatId="" qsTypeId="urn:microsoft.com/office/officeart/2005/8/quickstyle/simple2" qsCatId="simple" csTypeId="urn:microsoft.com/office/officeart/2005/8/colors/colorful1" csCatId="colorful" phldr="1"/>
      <dgm:spPr/>
      <dgm:t>
        <a:bodyPr/>
        <a:lstStyle/>
        <a:p>
          <a:endParaRPr lang="en-US"/>
        </a:p>
      </dgm:t>
    </dgm:pt>
    <dgm:pt modelId="{C6D3F48B-AA90-7B4F-97F9-B04BE4029450}">
      <dgm:prSet phldrT="[Text]"/>
      <dgm:spPr/>
      <dgm:t>
        <a:bodyPr/>
        <a:lstStyle/>
        <a:p>
          <a:r>
            <a:rPr lang="en-US"/>
            <a:t>Learning outcomes: Stage 5 SBME planning</a:t>
          </a:r>
        </a:p>
      </dgm:t>
    </dgm:pt>
    <dgm:pt modelId="{D29A0B12-EDC8-8D4F-96C9-06EDDB9AE763}" type="parTrans" cxnId="{3856DF11-E315-7C4B-952A-DED4CFCF3322}">
      <dgm:prSet/>
      <dgm:spPr/>
      <dgm:t>
        <a:bodyPr/>
        <a:lstStyle/>
        <a:p>
          <a:endParaRPr lang="en-US"/>
        </a:p>
      </dgm:t>
    </dgm:pt>
    <dgm:pt modelId="{3808EA09-A347-234D-9753-A5DD394BCEFB}" type="sibTrans" cxnId="{3856DF11-E315-7C4B-952A-DED4CFCF3322}">
      <dgm:prSet/>
      <dgm:spPr/>
      <dgm:t>
        <a:bodyPr/>
        <a:lstStyle/>
        <a:p>
          <a:endParaRPr lang="en-US"/>
        </a:p>
      </dgm:t>
    </dgm:pt>
    <dgm:pt modelId="{5C94A298-C045-F749-9564-AF0A4F717788}">
      <dgm:prSet phldrT="[Text]"/>
      <dgm:spPr/>
      <dgm:t>
        <a:bodyPr/>
        <a:lstStyle/>
        <a:p>
          <a:r>
            <a:rPr lang="en-US"/>
            <a:t>Curriculum mapped, contextualised, specific</a:t>
          </a:r>
        </a:p>
      </dgm:t>
    </dgm:pt>
    <dgm:pt modelId="{FE1C36F0-460D-E940-A5EE-06E5EE948F4D}" type="parTrans" cxnId="{BA8BE8B4-4B96-3C41-BCBB-F81F34E00CAA}">
      <dgm:prSet/>
      <dgm:spPr/>
      <dgm:t>
        <a:bodyPr/>
        <a:lstStyle/>
        <a:p>
          <a:endParaRPr lang="en-US"/>
        </a:p>
      </dgm:t>
    </dgm:pt>
    <dgm:pt modelId="{85F75DCD-CF5D-E640-B839-6C6074B3CAA4}" type="sibTrans" cxnId="{BA8BE8B4-4B96-3C41-BCBB-F81F34E00CAA}">
      <dgm:prSet/>
      <dgm:spPr/>
      <dgm:t>
        <a:bodyPr/>
        <a:lstStyle/>
        <a:p>
          <a:endParaRPr lang="en-US"/>
        </a:p>
      </dgm:t>
    </dgm:pt>
    <dgm:pt modelId="{92151201-E16E-8645-A54B-6E4844D0649B}">
      <dgm:prSet phldrT="[Text]"/>
      <dgm:spPr/>
      <dgm:t>
        <a:bodyPr/>
        <a:lstStyle/>
        <a:p>
          <a:r>
            <a:rPr lang="en-US"/>
            <a:t>GMC HEE drivers </a:t>
          </a:r>
        </a:p>
      </dgm:t>
    </dgm:pt>
    <dgm:pt modelId="{420715FC-3C9A-6646-B5AF-6AA4D6ADE6C1}" type="parTrans" cxnId="{F44D1CDF-3AA0-0849-8D4E-90DC8C0B6FD1}">
      <dgm:prSet/>
      <dgm:spPr/>
      <dgm:t>
        <a:bodyPr/>
        <a:lstStyle/>
        <a:p>
          <a:endParaRPr lang="en-US"/>
        </a:p>
      </dgm:t>
    </dgm:pt>
    <dgm:pt modelId="{4635404C-FBD6-7343-B2DA-64C111DF6912}" type="sibTrans" cxnId="{F44D1CDF-3AA0-0849-8D4E-90DC8C0B6FD1}">
      <dgm:prSet/>
      <dgm:spPr/>
      <dgm:t>
        <a:bodyPr/>
        <a:lstStyle/>
        <a:p>
          <a:endParaRPr lang="en-US"/>
        </a:p>
      </dgm:t>
    </dgm:pt>
    <dgm:pt modelId="{1EFA8F8F-9FBA-9345-9B39-79629546C021}">
      <dgm:prSet phldrT="[Text]"/>
      <dgm:spPr/>
      <dgm:t>
        <a:bodyPr/>
        <a:lstStyle/>
        <a:p>
          <a:r>
            <a:rPr lang="en-US"/>
            <a:t>Linked to learning needs analysis</a:t>
          </a:r>
        </a:p>
      </dgm:t>
    </dgm:pt>
    <dgm:pt modelId="{691DE783-263D-5444-BB69-7BDAAF4F6EBF}" type="parTrans" cxnId="{F9D2A1FA-48F6-0740-B676-69E1957E35DD}">
      <dgm:prSet/>
      <dgm:spPr/>
      <dgm:t>
        <a:bodyPr/>
        <a:lstStyle/>
        <a:p>
          <a:endParaRPr lang="en-US"/>
        </a:p>
      </dgm:t>
    </dgm:pt>
    <dgm:pt modelId="{001D47F8-1290-6342-B707-94BC9C857D6D}" type="sibTrans" cxnId="{F9D2A1FA-48F6-0740-B676-69E1957E35DD}">
      <dgm:prSet/>
      <dgm:spPr/>
      <dgm:t>
        <a:bodyPr/>
        <a:lstStyle/>
        <a:p>
          <a:endParaRPr lang="en-US"/>
        </a:p>
      </dgm:t>
    </dgm:pt>
    <dgm:pt modelId="{F779AEE6-8F59-C345-BA7E-74B9B9937D26}">
      <dgm:prSet phldrT="[Text]"/>
      <dgm:spPr/>
      <dgm:t>
        <a:bodyPr/>
        <a:lstStyle/>
        <a:p>
          <a:r>
            <a:rPr lang="en-US"/>
            <a:t>Aim for 2-3 per sceanrio with maximum of 5</a:t>
          </a:r>
        </a:p>
      </dgm:t>
    </dgm:pt>
    <dgm:pt modelId="{37693922-3943-DE43-BEE7-FD395E625D31}" type="parTrans" cxnId="{11EA67F5-1E28-CF42-97C3-2E82A7625565}">
      <dgm:prSet/>
      <dgm:spPr/>
      <dgm:t>
        <a:bodyPr/>
        <a:lstStyle/>
        <a:p>
          <a:endParaRPr lang="en-US"/>
        </a:p>
      </dgm:t>
    </dgm:pt>
    <dgm:pt modelId="{CA12A451-36F6-954C-BA6E-317164E076E5}" type="sibTrans" cxnId="{11EA67F5-1E28-CF42-97C3-2E82A7625565}">
      <dgm:prSet/>
      <dgm:spPr/>
      <dgm:t>
        <a:bodyPr/>
        <a:lstStyle/>
        <a:p>
          <a:endParaRPr lang="en-US"/>
        </a:p>
      </dgm:t>
    </dgm:pt>
    <dgm:pt modelId="{6272EA1F-6238-1947-8DBB-0A21E1365B81}">
      <dgm:prSet phldrT="[Text]"/>
      <dgm:spPr/>
      <dgm:t>
        <a:bodyPr/>
        <a:lstStyle/>
        <a:p>
          <a:r>
            <a:rPr lang="en-US"/>
            <a:t>Use to guide/ structure debrief</a:t>
          </a:r>
        </a:p>
      </dgm:t>
    </dgm:pt>
    <dgm:pt modelId="{0CA10887-DCDE-E140-AB4C-C3403F15A982}" type="parTrans" cxnId="{5BBFE4F1-7F3E-B646-9C39-ADFFF0CF9124}">
      <dgm:prSet/>
      <dgm:spPr/>
      <dgm:t>
        <a:bodyPr/>
        <a:lstStyle/>
        <a:p>
          <a:endParaRPr lang="en-US"/>
        </a:p>
      </dgm:t>
    </dgm:pt>
    <dgm:pt modelId="{370B394F-B7C0-024C-A0C5-EA421A7805C6}" type="sibTrans" cxnId="{5BBFE4F1-7F3E-B646-9C39-ADFFF0CF9124}">
      <dgm:prSet/>
      <dgm:spPr/>
      <dgm:t>
        <a:bodyPr/>
        <a:lstStyle/>
        <a:p>
          <a:endParaRPr lang="en-US"/>
        </a:p>
      </dgm:t>
    </dgm:pt>
    <dgm:pt modelId="{590796C6-34D7-0440-8DBB-2CAC97767393}">
      <dgm:prSet phldrT="[Text]"/>
      <dgm:spPr/>
      <dgm:t>
        <a:bodyPr/>
        <a:lstStyle/>
        <a:p>
          <a:r>
            <a:rPr lang="en-US"/>
            <a:t>Include technical and nontechnical skills</a:t>
          </a:r>
        </a:p>
      </dgm:t>
    </dgm:pt>
    <dgm:pt modelId="{5239CB5E-5EE4-4346-B0BD-273B9E1D5280}" type="parTrans" cxnId="{211C3DC8-3E2A-AA49-8181-7934D2F53440}">
      <dgm:prSet/>
      <dgm:spPr/>
      <dgm:t>
        <a:bodyPr/>
        <a:lstStyle/>
        <a:p>
          <a:endParaRPr lang="en-US"/>
        </a:p>
      </dgm:t>
    </dgm:pt>
    <dgm:pt modelId="{ACA1DC6C-0386-8143-86FB-630F3DA51CED}" type="sibTrans" cxnId="{211C3DC8-3E2A-AA49-8181-7934D2F53440}">
      <dgm:prSet/>
      <dgm:spPr/>
      <dgm:t>
        <a:bodyPr/>
        <a:lstStyle/>
        <a:p>
          <a:endParaRPr lang="en-US"/>
        </a:p>
      </dgm:t>
    </dgm:pt>
    <dgm:pt modelId="{4E6778A4-B814-0844-973A-D51CB114E0D1}">
      <dgm:prSet phldrT="[Text]"/>
      <dgm:spPr/>
      <dgm:t>
        <a:bodyPr/>
        <a:lstStyle/>
        <a:p>
          <a:r>
            <a:rPr lang="en-US"/>
            <a:t>Embed patient safety and human factors</a:t>
          </a:r>
        </a:p>
      </dgm:t>
    </dgm:pt>
    <dgm:pt modelId="{B50EAF3B-A8CD-E245-90FC-CCE572491129}" type="parTrans" cxnId="{0670A176-C637-A146-BA5D-DC1A6972D835}">
      <dgm:prSet/>
      <dgm:spPr/>
      <dgm:t>
        <a:bodyPr/>
        <a:lstStyle/>
        <a:p>
          <a:endParaRPr lang="en-US"/>
        </a:p>
      </dgm:t>
    </dgm:pt>
    <dgm:pt modelId="{25A11DE4-53D7-C44F-B2D6-283003956D54}" type="sibTrans" cxnId="{0670A176-C637-A146-BA5D-DC1A6972D835}">
      <dgm:prSet/>
      <dgm:spPr/>
      <dgm:t>
        <a:bodyPr/>
        <a:lstStyle/>
        <a:p>
          <a:endParaRPr lang="en-US"/>
        </a:p>
      </dgm:t>
    </dgm:pt>
    <dgm:pt modelId="{2848E2D6-265C-1440-ACD0-3749AE466969}">
      <dgm:prSet phldrT="[Text]"/>
      <dgm:spPr/>
      <dgm:t>
        <a:bodyPr/>
        <a:lstStyle/>
        <a:p>
          <a:r>
            <a:rPr lang="en-US"/>
            <a:t>Share Learning outcomes with students - negiotiate, align, agree</a:t>
          </a:r>
        </a:p>
      </dgm:t>
    </dgm:pt>
    <dgm:pt modelId="{C7C21B9F-A85F-914D-9332-B1D58E5B7E34}" type="parTrans" cxnId="{85739910-486E-DD45-9A42-A986CB8923BF}">
      <dgm:prSet/>
      <dgm:spPr/>
      <dgm:t>
        <a:bodyPr/>
        <a:lstStyle/>
        <a:p>
          <a:endParaRPr lang="en-US"/>
        </a:p>
      </dgm:t>
    </dgm:pt>
    <dgm:pt modelId="{DC50ECC1-2949-1A43-A80C-9D7570231EDF}" type="sibTrans" cxnId="{85739910-486E-DD45-9A42-A986CB8923BF}">
      <dgm:prSet/>
      <dgm:spPr/>
      <dgm:t>
        <a:bodyPr/>
        <a:lstStyle/>
        <a:p>
          <a:endParaRPr lang="en-US"/>
        </a:p>
      </dgm:t>
    </dgm:pt>
    <dgm:pt modelId="{38D185A8-3B50-CD48-9D32-4C95C57912BC}">
      <dgm:prSet phldrT="[Text]"/>
      <dgm:spPr/>
      <dgm:t>
        <a:bodyPr/>
        <a:lstStyle/>
        <a:p>
          <a:r>
            <a:rPr lang="en-US"/>
            <a:t>Transparent and clear</a:t>
          </a:r>
        </a:p>
      </dgm:t>
    </dgm:pt>
    <dgm:pt modelId="{DDC64FD5-D5C5-8E40-85D1-0B5313083F95}" type="parTrans" cxnId="{BB51A95B-E562-A24A-BFB0-00320612DC75}">
      <dgm:prSet/>
      <dgm:spPr/>
      <dgm:t>
        <a:bodyPr/>
        <a:lstStyle/>
        <a:p>
          <a:endParaRPr lang="en-US"/>
        </a:p>
      </dgm:t>
    </dgm:pt>
    <dgm:pt modelId="{7E0DE2AC-C746-9643-8E68-2659E59EDAEC}" type="sibTrans" cxnId="{BB51A95B-E562-A24A-BFB0-00320612DC75}">
      <dgm:prSet/>
      <dgm:spPr/>
      <dgm:t>
        <a:bodyPr/>
        <a:lstStyle/>
        <a:p>
          <a:endParaRPr lang="en-US"/>
        </a:p>
      </dgm:t>
    </dgm:pt>
    <dgm:pt modelId="{AC1F123E-C098-B643-B0BA-CDAF276F8CF8}">
      <dgm:prSet phldrT="[Text]"/>
      <dgm:spPr/>
      <dgm:t>
        <a:bodyPr/>
        <a:lstStyle/>
        <a:p>
          <a:r>
            <a:rPr lang="en-US"/>
            <a:t>Honest and realistic about what can and can't achieve</a:t>
          </a:r>
        </a:p>
      </dgm:t>
    </dgm:pt>
    <dgm:pt modelId="{485537DC-389C-AA4D-9074-38E529B5C133}" type="parTrans" cxnId="{689C9247-9E13-6C4F-BEC0-A6D887F26D70}">
      <dgm:prSet/>
      <dgm:spPr/>
      <dgm:t>
        <a:bodyPr/>
        <a:lstStyle/>
        <a:p>
          <a:endParaRPr lang="en-US"/>
        </a:p>
      </dgm:t>
    </dgm:pt>
    <dgm:pt modelId="{9B736DCD-ACB4-0843-9DCC-43E50FEA6CBB}" type="sibTrans" cxnId="{689C9247-9E13-6C4F-BEC0-A6D887F26D70}">
      <dgm:prSet/>
      <dgm:spPr/>
      <dgm:t>
        <a:bodyPr/>
        <a:lstStyle/>
        <a:p>
          <a:endParaRPr lang="en-US"/>
        </a:p>
      </dgm:t>
    </dgm:pt>
    <dgm:pt modelId="{4B886E55-F060-134F-974C-B95DF17142FE}" type="pres">
      <dgm:prSet presAssocID="{09DCDE6D-391F-474D-8639-1BFDCEDB973F}" presName="cycle" presStyleCnt="0">
        <dgm:presLayoutVars>
          <dgm:chMax val="1"/>
          <dgm:dir/>
          <dgm:animLvl val="ctr"/>
          <dgm:resizeHandles val="exact"/>
        </dgm:presLayoutVars>
      </dgm:prSet>
      <dgm:spPr/>
    </dgm:pt>
    <dgm:pt modelId="{B1BCEBB7-4F41-774E-A212-5AF6AFA65389}" type="pres">
      <dgm:prSet presAssocID="{C6D3F48B-AA90-7B4F-97F9-B04BE4029450}" presName="centerShape" presStyleLbl="node0" presStyleIdx="0" presStyleCnt="1"/>
      <dgm:spPr/>
    </dgm:pt>
    <dgm:pt modelId="{B587B813-1C34-0F44-9E9F-4296EF6A5C1B}" type="pres">
      <dgm:prSet presAssocID="{FE1C36F0-460D-E940-A5EE-06E5EE948F4D}" presName="parTrans" presStyleLbl="bgSibTrans2D1" presStyleIdx="0" presStyleCnt="10"/>
      <dgm:spPr/>
    </dgm:pt>
    <dgm:pt modelId="{A65A9632-90DA-6549-BF74-DE6FDECAC79B}" type="pres">
      <dgm:prSet presAssocID="{5C94A298-C045-F749-9564-AF0A4F717788}" presName="node" presStyleLbl="node1" presStyleIdx="0" presStyleCnt="10">
        <dgm:presLayoutVars>
          <dgm:bulletEnabled val="1"/>
        </dgm:presLayoutVars>
      </dgm:prSet>
      <dgm:spPr/>
    </dgm:pt>
    <dgm:pt modelId="{91DEDA54-2B0F-5747-955B-8C2DDCAF0A0D}" type="pres">
      <dgm:prSet presAssocID="{420715FC-3C9A-6646-B5AF-6AA4D6ADE6C1}" presName="parTrans" presStyleLbl="bgSibTrans2D1" presStyleIdx="1" presStyleCnt="10"/>
      <dgm:spPr/>
    </dgm:pt>
    <dgm:pt modelId="{8BA8AC30-9E85-7E41-A79C-2CAE85E3BFD5}" type="pres">
      <dgm:prSet presAssocID="{92151201-E16E-8645-A54B-6E4844D0649B}" presName="node" presStyleLbl="node1" presStyleIdx="1" presStyleCnt="10">
        <dgm:presLayoutVars>
          <dgm:bulletEnabled val="1"/>
        </dgm:presLayoutVars>
      </dgm:prSet>
      <dgm:spPr/>
    </dgm:pt>
    <dgm:pt modelId="{5ED8E46A-6ADF-6443-9933-A3FF83673314}" type="pres">
      <dgm:prSet presAssocID="{691DE783-263D-5444-BB69-7BDAAF4F6EBF}" presName="parTrans" presStyleLbl="bgSibTrans2D1" presStyleIdx="2" presStyleCnt="10"/>
      <dgm:spPr/>
    </dgm:pt>
    <dgm:pt modelId="{26132BDF-DBAE-F340-95C7-52CF8B2AD30C}" type="pres">
      <dgm:prSet presAssocID="{1EFA8F8F-9FBA-9345-9B39-79629546C021}" presName="node" presStyleLbl="node1" presStyleIdx="2" presStyleCnt="10">
        <dgm:presLayoutVars>
          <dgm:bulletEnabled val="1"/>
        </dgm:presLayoutVars>
      </dgm:prSet>
      <dgm:spPr/>
    </dgm:pt>
    <dgm:pt modelId="{3198B610-59B9-1C47-B855-72FDC6C8C6BA}" type="pres">
      <dgm:prSet presAssocID="{37693922-3943-DE43-BEE7-FD395E625D31}" presName="parTrans" presStyleLbl="bgSibTrans2D1" presStyleIdx="3" presStyleCnt="10"/>
      <dgm:spPr/>
    </dgm:pt>
    <dgm:pt modelId="{CC606959-1C6D-C646-89DC-2EAEBC6750C4}" type="pres">
      <dgm:prSet presAssocID="{F779AEE6-8F59-C345-BA7E-74B9B9937D26}" presName="node" presStyleLbl="node1" presStyleIdx="3" presStyleCnt="10">
        <dgm:presLayoutVars>
          <dgm:bulletEnabled val="1"/>
        </dgm:presLayoutVars>
      </dgm:prSet>
      <dgm:spPr/>
    </dgm:pt>
    <dgm:pt modelId="{9E0B421B-357C-2548-9977-43281CF3AA64}" type="pres">
      <dgm:prSet presAssocID="{0CA10887-DCDE-E140-AB4C-C3403F15A982}" presName="parTrans" presStyleLbl="bgSibTrans2D1" presStyleIdx="4" presStyleCnt="10"/>
      <dgm:spPr/>
    </dgm:pt>
    <dgm:pt modelId="{DC991003-A78B-BC46-BBC9-BBB37973659B}" type="pres">
      <dgm:prSet presAssocID="{6272EA1F-6238-1947-8DBB-0A21E1365B81}" presName="node" presStyleLbl="node1" presStyleIdx="4" presStyleCnt="10">
        <dgm:presLayoutVars>
          <dgm:bulletEnabled val="1"/>
        </dgm:presLayoutVars>
      </dgm:prSet>
      <dgm:spPr/>
    </dgm:pt>
    <dgm:pt modelId="{077BF506-46B8-134C-B854-821A48CC1A32}" type="pres">
      <dgm:prSet presAssocID="{5239CB5E-5EE4-4346-B0BD-273B9E1D5280}" presName="parTrans" presStyleLbl="bgSibTrans2D1" presStyleIdx="5" presStyleCnt="10"/>
      <dgm:spPr/>
    </dgm:pt>
    <dgm:pt modelId="{09218315-5CCD-C045-9662-F688B9095BA3}" type="pres">
      <dgm:prSet presAssocID="{590796C6-34D7-0440-8DBB-2CAC97767393}" presName="node" presStyleLbl="node1" presStyleIdx="5" presStyleCnt="10">
        <dgm:presLayoutVars>
          <dgm:bulletEnabled val="1"/>
        </dgm:presLayoutVars>
      </dgm:prSet>
      <dgm:spPr/>
    </dgm:pt>
    <dgm:pt modelId="{C9544712-4CCE-5D4C-A380-1A23D3193F9A}" type="pres">
      <dgm:prSet presAssocID="{B50EAF3B-A8CD-E245-90FC-CCE572491129}" presName="parTrans" presStyleLbl="bgSibTrans2D1" presStyleIdx="6" presStyleCnt="10"/>
      <dgm:spPr/>
    </dgm:pt>
    <dgm:pt modelId="{2962FCD3-2EF4-F946-A21D-F8E388578BE3}" type="pres">
      <dgm:prSet presAssocID="{4E6778A4-B814-0844-973A-D51CB114E0D1}" presName="node" presStyleLbl="node1" presStyleIdx="6" presStyleCnt="10">
        <dgm:presLayoutVars>
          <dgm:bulletEnabled val="1"/>
        </dgm:presLayoutVars>
      </dgm:prSet>
      <dgm:spPr/>
    </dgm:pt>
    <dgm:pt modelId="{C673BD83-A0FD-B14B-97AA-2113F904BCAD}" type="pres">
      <dgm:prSet presAssocID="{C7C21B9F-A85F-914D-9332-B1D58E5B7E34}" presName="parTrans" presStyleLbl="bgSibTrans2D1" presStyleIdx="7" presStyleCnt="10"/>
      <dgm:spPr/>
    </dgm:pt>
    <dgm:pt modelId="{09F1321B-4607-164B-ADBE-182575AB66A0}" type="pres">
      <dgm:prSet presAssocID="{2848E2D6-265C-1440-ACD0-3749AE466969}" presName="node" presStyleLbl="node1" presStyleIdx="7" presStyleCnt="10">
        <dgm:presLayoutVars>
          <dgm:bulletEnabled val="1"/>
        </dgm:presLayoutVars>
      </dgm:prSet>
      <dgm:spPr/>
    </dgm:pt>
    <dgm:pt modelId="{755C17A3-90DA-DE4F-9DBE-EFC26EFA1ADE}" type="pres">
      <dgm:prSet presAssocID="{DDC64FD5-D5C5-8E40-85D1-0B5313083F95}" presName="parTrans" presStyleLbl="bgSibTrans2D1" presStyleIdx="8" presStyleCnt="10"/>
      <dgm:spPr/>
    </dgm:pt>
    <dgm:pt modelId="{829DCD47-7E73-A34F-B810-A89992712D69}" type="pres">
      <dgm:prSet presAssocID="{38D185A8-3B50-CD48-9D32-4C95C57912BC}" presName="node" presStyleLbl="node1" presStyleIdx="8" presStyleCnt="10">
        <dgm:presLayoutVars>
          <dgm:bulletEnabled val="1"/>
        </dgm:presLayoutVars>
      </dgm:prSet>
      <dgm:spPr/>
    </dgm:pt>
    <dgm:pt modelId="{B14F6BEF-6CEF-584D-A7D4-1CFAE3232430}" type="pres">
      <dgm:prSet presAssocID="{485537DC-389C-AA4D-9074-38E529B5C133}" presName="parTrans" presStyleLbl="bgSibTrans2D1" presStyleIdx="9" presStyleCnt="10"/>
      <dgm:spPr/>
    </dgm:pt>
    <dgm:pt modelId="{395AC59D-0F97-AD48-B1D9-C432EE89CF03}" type="pres">
      <dgm:prSet presAssocID="{AC1F123E-C098-B643-B0BA-CDAF276F8CF8}" presName="node" presStyleLbl="node1" presStyleIdx="9" presStyleCnt="10">
        <dgm:presLayoutVars>
          <dgm:bulletEnabled val="1"/>
        </dgm:presLayoutVars>
      </dgm:prSet>
      <dgm:spPr/>
    </dgm:pt>
  </dgm:ptLst>
  <dgm:cxnLst>
    <dgm:cxn modelId="{3553CC06-333D-9C4C-9017-6B53FF7B5656}" type="presOf" srcId="{B50EAF3B-A8CD-E245-90FC-CCE572491129}" destId="{C9544712-4CCE-5D4C-A380-1A23D3193F9A}" srcOrd="0" destOrd="0" presId="urn:microsoft.com/office/officeart/2005/8/layout/radial4"/>
    <dgm:cxn modelId="{A1159C0E-26B6-0B4F-AB2E-03E0ACF428E2}" type="presOf" srcId="{F779AEE6-8F59-C345-BA7E-74B9B9937D26}" destId="{CC606959-1C6D-C646-89DC-2EAEBC6750C4}" srcOrd="0" destOrd="0" presId="urn:microsoft.com/office/officeart/2005/8/layout/radial4"/>
    <dgm:cxn modelId="{85739910-486E-DD45-9A42-A986CB8923BF}" srcId="{C6D3F48B-AA90-7B4F-97F9-B04BE4029450}" destId="{2848E2D6-265C-1440-ACD0-3749AE466969}" srcOrd="7" destOrd="0" parTransId="{C7C21B9F-A85F-914D-9332-B1D58E5B7E34}" sibTransId="{DC50ECC1-2949-1A43-A80C-9D7570231EDF}"/>
    <dgm:cxn modelId="{3856DF11-E315-7C4B-952A-DED4CFCF3322}" srcId="{09DCDE6D-391F-474D-8639-1BFDCEDB973F}" destId="{C6D3F48B-AA90-7B4F-97F9-B04BE4029450}" srcOrd="0" destOrd="0" parTransId="{D29A0B12-EDC8-8D4F-96C9-06EDDB9AE763}" sibTransId="{3808EA09-A347-234D-9753-A5DD394BCEFB}"/>
    <dgm:cxn modelId="{C5ED9E12-C395-0F4D-83A2-B1A8F31ECF2D}" type="presOf" srcId="{590796C6-34D7-0440-8DBB-2CAC97767393}" destId="{09218315-5CCD-C045-9662-F688B9095BA3}" srcOrd="0" destOrd="0" presId="urn:microsoft.com/office/officeart/2005/8/layout/radial4"/>
    <dgm:cxn modelId="{F0F2391F-7C89-4B4B-9B7B-691C8852BB54}" type="presOf" srcId="{92151201-E16E-8645-A54B-6E4844D0649B}" destId="{8BA8AC30-9E85-7E41-A79C-2CAE85E3BFD5}" srcOrd="0" destOrd="0" presId="urn:microsoft.com/office/officeart/2005/8/layout/radial4"/>
    <dgm:cxn modelId="{D4E11926-4AF8-D443-B800-5E318183F35C}" type="presOf" srcId="{DDC64FD5-D5C5-8E40-85D1-0B5313083F95}" destId="{755C17A3-90DA-DE4F-9DBE-EFC26EFA1ADE}" srcOrd="0" destOrd="0" presId="urn:microsoft.com/office/officeart/2005/8/layout/radial4"/>
    <dgm:cxn modelId="{BF7AB12F-D9B4-F948-8E31-3D29D9F8E35A}" type="presOf" srcId="{C6D3F48B-AA90-7B4F-97F9-B04BE4029450}" destId="{B1BCEBB7-4F41-774E-A212-5AF6AFA65389}" srcOrd="0" destOrd="0" presId="urn:microsoft.com/office/officeart/2005/8/layout/radial4"/>
    <dgm:cxn modelId="{392A1635-4573-A241-BD31-B3DCAADC4702}" type="presOf" srcId="{5239CB5E-5EE4-4346-B0BD-273B9E1D5280}" destId="{077BF506-46B8-134C-B854-821A48CC1A32}" srcOrd="0" destOrd="0" presId="urn:microsoft.com/office/officeart/2005/8/layout/radial4"/>
    <dgm:cxn modelId="{D197173F-BB0E-D941-9E03-586A4D958B27}" type="presOf" srcId="{1EFA8F8F-9FBA-9345-9B39-79629546C021}" destId="{26132BDF-DBAE-F340-95C7-52CF8B2AD30C}" srcOrd="0" destOrd="0" presId="urn:microsoft.com/office/officeart/2005/8/layout/radial4"/>
    <dgm:cxn modelId="{BB51A95B-E562-A24A-BFB0-00320612DC75}" srcId="{C6D3F48B-AA90-7B4F-97F9-B04BE4029450}" destId="{38D185A8-3B50-CD48-9D32-4C95C57912BC}" srcOrd="8" destOrd="0" parTransId="{DDC64FD5-D5C5-8E40-85D1-0B5313083F95}" sibTransId="{7E0DE2AC-C746-9643-8E68-2659E59EDAEC}"/>
    <dgm:cxn modelId="{5297E644-6243-6645-9BE6-D584483037B5}" type="presOf" srcId="{691DE783-263D-5444-BB69-7BDAAF4F6EBF}" destId="{5ED8E46A-6ADF-6443-9933-A3FF83673314}" srcOrd="0" destOrd="0" presId="urn:microsoft.com/office/officeart/2005/8/layout/radial4"/>
    <dgm:cxn modelId="{689C9247-9E13-6C4F-BEC0-A6D887F26D70}" srcId="{C6D3F48B-AA90-7B4F-97F9-B04BE4029450}" destId="{AC1F123E-C098-B643-B0BA-CDAF276F8CF8}" srcOrd="9" destOrd="0" parTransId="{485537DC-389C-AA4D-9074-38E529B5C133}" sibTransId="{9B736DCD-ACB4-0843-9DCC-43E50FEA6CBB}"/>
    <dgm:cxn modelId="{EB115D4F-5BD1-CC4A-B2AB-AAF4FF41F512}" type="presOf" srcId="{FE1C36F0-460D-E940-A5EE-06E5EE948F4D}" destId="{B587B813-1C34-0F44-9E9F-4296EF6A5C1B}" srcOrd="0" destOrd="0" presId="urn:microsoft.com/office/officeart/2005/8/layout/radial4"/>
    <dgm:cxn modelId="{0670A176-C637-A146-BA5D-DC1A6972D835}" srcId="{C6D3F48B-AA90-7B4F-97F9-B04BE4029450}" destId="{4E6778A4-B814-0844-973A-D51CB114E0D1}" srcOrd="6" destOrd="0" parTransId="{B50EAF3B-A8CD-E245-90FC-CCE572491129}" sibTransId="{25A11DE4-53D7-C44F-B2D6-283003956D54}"/>
    <dgm:cxn modelId="{578F667D-DE43-774D-A9C4-2073A00DC33C}" type="presOf" srcId="{420715FC-3C9A-6646-B5AF-6AA4D6ADE6C1}" destId="{91DEDA54-2B0F-5747-955B-8C2DDCAF0A0D}" srcOrd="0" destOrd="0" presId="urn:microsoft.com/office/officeart/2005/8/layout/radial4"/>
    <dgm:cxn modelId="{C5216681-AE55-074E-A28A-816892AE54AA}" type="presOf" srcId="{AC1F123E-C098-B643-B0BA-CDAF276F8CF8}" destId="{395AC59D-0F97-AD48-B1D9-C432EE89CF03}" srcOrd="0" destOrd="0" presId="urn:microsoft.com/office/officeart/2005/8/layout/radial4"/>
    <dgm:cxn modelId="{77ED52A5-A4C9-6D48-98A4-BF3A0C20B387}" type="presOf" srcId="{09DCDE6D-391F-474D-8639-1BFDCEDB973F}" destId="{4B886E55-F060-134F-974C-B95DF17142FE}" srcOrd="0" destOrd="0" presId="urn:microsoft.com/office/officeart/2005/8/layout/radial4"/>
    <dgm:cxn modelId="{02A8B8AF-B182-AD4A-A580-FB4CD676C373}" type="presOf" srcId="{6272EA1F-6238-1947-8DBB-0A21E1365B81}" destId="{DC991003-A78B-BC46-BBC9-BBB37973659B}" srcOrd="0" destOrd="0" presId="urn:microsoft.com/office/officeart/2005/8/layout/radial4"/>
    <dgm:cxn modelId="{BA8BE8B4-4B96-3C41-BCBB-F81F34E00CAA}" srcId="{C6D3F48B-AA90-7B4F-97F9-B04BE4029450}" destId="{5C94A298-C045-F749-9564-AF0A4F717788}" srcOrd="0" destOrd="0" parTransId="{FE1C36F0-460D-E940-A5EE-06E5EE948F4D}" sibTransId="{85F75DCD-CF5D-E640-B839-6C6074B3CAA4}"/>
    <dgm:cxn modelId="{3063A9B9-4F26-074D-96DE-94DA1766250B}" type="presOf" srcId="{4E6778A4-B814-0844-973A-D51CB114E0D1}" destId="{2962FCD3-2EF4-F946-A21D-F8E388578BE3}" srcOrd="0" destOrd="0" presId="urn:microsoft.com/office/officeart/2005/8/layout/radial4"/>
    <dgm:cxn modelId="{49CA39C3-90FC-EE44-9467-484F99C537BB}" type="presOf" srcId="{485537DC-389C-AA4D-9074-38E529B5C133}" destId="{B14F6BEF-6CEF-584D-A7D4-1CFAE3232430}" srcOrd="0" destOrd="0" presId="urn:microsoft.com/office/officeart/2005/8/layout/radial4"/>
    <dgm:cxn modelId="{F2D760C6-A56F-4A43-8BE1-CFF2F8A88433}" type="presOf" srcId="{0CA10887-DCDE-E140-AB4C-C3403F15A982}" destId="{9E0B421B-357C-2548-9977-43281CF3AA64}" srcOrd="0" destOrd="0" presId="urn:microsoft.com/office/officeart/2005/8/layout/radial4"/>
    <dgm:cxn modelId="{211C3DC8-3E2A-AA49-8181-7934D2F53440}" srcId="{C6D3F48B-AA90-7B4F-97F9-B04BE4029450}" destId="{590796C6-34D7-0440-8DBB-2CAC97767393}" srcOrd="5" destOrd="0" parTransId="{5239CB5E-5EE4-4346-B0BD-273B9E1D5280}" sibTransId="{ACA1DC6C-0386-8143-86FB-630F3DA51CED}"/>
    <dgm:cxn modelId="{6CFB0ECF-CD1C-5F40-B9B3-E55B41D305A6}" type="presOf" srcId="{38D185A8-3B50-CD48-9D32-4C95C57912BC}" destId="{829DCD47-7E73-A34F-B810-A89992712D69}" srcOrd="0" destOrd="0" presId="urn:microsoft.com/office/officeart/2005/8/layout/radial4"/>
    <dgm:cxn modelId="{96C8C5D4-DC07-6C4F-8F80-8CD38C39E7E6}" type="presOf" srcId="{37693922-3943-DE43-BEE7-FD395E625D31}" destId="{3198B610-59B9-1C47-B855-72FDC6C8C6BA}" srcOrd="0" destOrd="0" presId="urn:microsoft.com/office/officeart/2005/8/layout/radial4"/>
    <dgm:cxn modelId="{870981DA-D619-B942-9ECB-C529ABE15E16}" type="presOf" srcId="{2848E2D6-265C-1440-ACD0-3749AE466969}" destId="{09F1321B-4607-164B-ADBE-182575AB66A0}" srcOrd="0" destOrd="0" presId="urn:microsoft.com/office/officeart/2005/8/layout/radial4"/>
    <dgm:cxn modelId="{F44D1CDF-3AA0-0849-8D4E-90DC8C0B6FD1}" srcId="{C6D3F48B-AA90-7B4F-97F9-B04BE4029450}" destId="{92151201-E16E-8645-A54B-6E4844D0649B}" srcOrd="1" destOrd="0" parTransId="{420715FC-3C9A-6646-B5AF-6AA4D6ADE6C1}" sibTransId="{4635404C-FBD6-7343-B2DA-64C111DF6912}"/>
    <dgm:cxn modelId="{5FDBF6E9-9C6E-8E4B-AD50-F57863A75E66}" type="presOf" srcId="{C7C21B9F-A85F-914D-9332-B1D58E5B7E34}" destId="{C673BD83-A0FD-B14B-97AA-2113F904BCAD}" srcOrd="0" destOrd="0" presId="urn:microsoft.com/office/officeart/2005/8/layout/radial4"/>
    <dgm:cxn modelId="{C3A8D5ED-0621-A94A-A285-B90C3BFA6FB5}" type="presOf" srcId="{5C94A298-C045-F749-9564-AF0A4F717788}" destId="{A65A9632-90DA-6549-BF74-DE6FDECAC79B}" srcOrd="0" destOrd="0" presId="urn:microsoft.com/office/officeart/2005/8/layout/radial4"/>
    <dgm:cxn modelId="{5BBFE4F1-7F3E-B646-9C39-ADFFF0CF9124}" srcId="{C6D3F48B-AA90-7B4F-97F9-B04BE4029450}" destId="{6272EA1F-6238-1947-8DBB-0A21E1365B81}" srcOrd="4" destOrd="0" parTransId="{0CA10887-DCDE-E140-AB4C-C3403F15A982}" sibTransId="{370B394F-B7C0-024C-A0C5-EA421A7805C6}"/>
    <dgm:cxn modelId="{11EA67F5-1E28-CF42-97C3-2E82A7625565}" srcId="{C6D3F48B-AA90-7B4F-97F9-B04BE4029450}" destId="{F779AEE6-8F59-C345-BA7E-74B9B9937D26}" srcOrd="3" destOrd="0" parTransId="{37693922-3943-DE43-BEE7-FD395E625D31}" sibTransId="{CA12A451-36F6-954C-BA6E-317164E076E5}"/>
    <dgm:cxn modelId="{F9D2A1FA-48F6-0740-B676-69E1957E35DD}" srcId="{C6D3F48B-AA90-7B4F-97F9-B04BE4029450}" destId="{1EFA8F8F-9FBA-9345-9B39-79629546C021}" srcOrd="2" destOrd="0" parTransId="{691DE783-263D-5444-BB69-7BDAAF4F6EBF}" sibTransId="{001D47F8-1290-6342-B707-94BC9C857D6D}"/>
    <dgm:cxn modelId="{3B639314-FF8E-CC40-914B-7A97FD643F43}" type="presParOf" srcId="{4B886E55-F060-134F-974C-B95DF17142FE}" destId="{B1BCEBB7-4F41-774E-A212-5AF6AFA65389}" srcOrd="0" destOrd="0" presId="urn:microsoft.com/office/officeart/2005/8/layout/radial4"/>
    <dgm:cxn modelId="{254A911B-55A4-854A-A1BE-A29AAC928F41}" type="presParOf" srcId="{4B886E55-F060-134F-974C-B95DF17142FE}" destId="{B587B813-1C34-0F44-9E9F-4296EF6A5C1B}" srcOrd="1" destOrd="0" presId="urn:microsoft.com/office/officeart/2005/8/layout/radial4"/>
    <dgm:cxn modelId="{A18766E3-4AEE-D34E-98ED-1EF9880DA669}" type="presParOf" srcId="{4B886E55-F060-134F-974C-B95DF17142FE}" destId="{A65A9632-90DA-6549-BF74-DE6FDECAC79B}" srcOrd="2" destOrd="0" presId="urn:microsoft.com/office/officeart/2005/8/layout/radial4"/>
    <dgm:cxn modelId="{7ACA0C3E-30A5-A34B-B53C-E26C6BB27AB5}" type="presParOf" srcId="{4B886E55-F060-134F-974C-B95DF17142FE}" destId="{91DEDA54-2B0F-5747-955B-8C2DDCAF0A0D}" srcOrd="3" destOrd="0" presId="urn:microsoft.com/office/officeart/2005/8/layout/radial4"/>
    <dgm:cxn modelId="{B5ABB49B-10FA-BE4E-9022-DDA71B3C4B48}" type="presParOf" srcId="{4B886E55-F060-134F-974C-B95DF17142FE}" destId="{8BA8AC30-9E85-7E41-A79C-2CAE85E3BFD5}" srcOrd="4" destOrd="0" presId="urn:microsoft.com/office/officeart/2005/8/layout/radial4"/>
    <dgm:cxn modelId="{40432DA1-8A06-0E42-B7AC-764B21D5ACB6}" type="presParOf" srcId="{4B886E55-F060-134F-974C-B95DF17142FE}" destId="{5ED8E46A-6ADF-6443-9933-A3FF83673314}" srcOrd="5" destOrd="0" presId="urn:microsoft.com/office/officeart/2005/8/layout/radial4"/>
    <dgm:cxn modelId="{E285AF02-5DFE-624A-8298-C92EF3D1B765}" type="presParOf" srcId="{4B886E55-F060-134F-974C-B95DF17142FE}" destId="{26132BDF-DBAE-F340-95C7-52CF8B2AD30C}" srcOrd="6" destOrd="0" presId="urn:microsoft.com/office/officeart/2005/8/layout/radial4"/>
    <dgm:cxn modelId="{339910BE-8E5E-8649-942F-66AEB05C0000}" type="presParOf" srcId="{4B886E55-F060-134F-974C-B95DF17142FE}" destId="{3198B610-59B9-1C47-B855-72FDC6C8C6BA}" srcOrd="7" destOrd="0" presId="urn:microsoft.com/office/officeart/2005/8/layout/radial4"/>
    <dgm:cxn modelId="{C8A3632F-E1A2-D34F-A929-B539514F4D4D}" type="presParOf" srcId="{4B886E55-F060-134F-974C-B95DF17142FE}" destId="{CC606959-1C6D-C646-89DC-2EAEBC6750C4}" srcOrd="8" destOrd="0" presId="urn:microsoft.com/office/officeart/2005/8/layout/radial4"/>
    <dgm:cxn modelId="{66C1F46D-5481-A143-B73E-73A274C361C1}" type="presParOf" srcId="{4B886E55-F060-134F-974C-B95DF17142FE}" destId="{9E0B421B-357C-2548-9977-43281CF3AA64}" srcOrd="9" destOrd="0" presId="urn:microsoft.com/office/officeart/2005/8/layout/radial4"/>
    <dgm:cxn modelId="{D9243B7F-7724-7B4A-8FCE-6CF089509ECF}" type="presParOf" srcId="{4B886E55-F060-134F-974C-B95DF17142FE}" destId="{DC991003-A78B-BC46-BBC9-BBB37973659B}" srcOrd="10" destOrd="0" presId="urn:microsoft.com/office/officeart/2005/8/layout/radial4"/>
    <dgm:cxn modelId="{2F2D8547-E178-2843-B03C-9CF4A994422E}" type="presParOf" srcId="{4B886E55-F060-134F-974C-B95DF17142FE}" destId="{077BF506-46B8-134C-B854-821A48CC1A32}" srcOrd="11" destOrd="0" presId="urn:microsoft.com/office/officeart/2005/8/layout/radial4"/>
    <dgm:cxn modelId="{E005F7C6-8C18-A043-8E96-C46E826E88EC}" type="presParOf" srcId="{4B886E55-F060-134F-974C-B95DF17142FE}" destId="{09218315-5CCD-C045-9662-F688B9095BA3}" srcOrd="12" destOrd="0" presId="urn:microsoft.com/office/officeart/2005/8/layout/radial4"/>
    <dgm:cxn modelId="{8AD5A2A3-53FF-D34D-90BE-695501BB14CF}" type="presParOf" srcId="{4B886E55-F060-134F-974C-B95DF17142FE}" destId="{C9544712-4CCE-5D4C-A380-1A23D3193F9A}" srcOrd="13" destOrd="0" presId="urn:microsoft.com/office/officeart/2005/8/layout/radial4"/>
    <dgm:cxn modelId="{9F5F343B-A16B-7E4C-8547-340260CAE74E}" type="presParOf" srcId="{4B886E55-F060-134F-974C-B95DF17142FE}" destId="{2962FCD3-2EF4-F946-A21D-F8E388578BE3}" srcOrd="14" destOrd="0" presId="urn:microsoft.com/office/officeart/2005/8/layout/radial4"/>
    <dgm:cxn modelId="{AAB5E370-0D7F-B745-80AC-7407702BE3CE}" type="presParOf" srcId="{4B886E55-F060-134F-974C-B95DF17142FE}" destId="{C673BD83-A0FD-B14B-97AA-2113F904BCAD}" srcOrd="15" destOrd="0" presId="urn:microsoft.com/office/officeart/2005/8/layout/radial4"/>
    <dgm:cxn modelId="{49182F79-529F-7A41-B7E2-BF3B44AD263A}" type="presParOf" srcId="{4B886E55-F060-134F-974C-B95DF17142FE}" destId="{09F1321B-4607-164B-ADBE-182575AB66A0}" srcOrd="16" destOrd="0" presId="urn:microsoft.com/office/officeart/2005/8/layout/radial4"/>
    <dgm:cxn modelId="{E12B9657-A687-224F-8F31-5594E4B15069}" type="presParOf" srcId="{4B886E55-F060-134F-974C-B95DF17142FE}" destId="{755C17A3-90DA-DE4F-9DBE-EFC26EFA1ADE}" srcOrd="17" destOrd="0" presId="urn:microsoft.com/office/officeart/2005/8/layout/radial4"/>
    <dgm:cxn modelId="{453FE366-0E9B-CC45-BBC4-4E803AC34C70}" type="presParOf" srcId="{4B886E55-F060-134F-974C-B95DF17142FE}" destId="{829DCD47-7E73-A34F-B810-A89992712D69}" srcOrd="18" destOrd="0" presId="urn:microsoft.com/office/officeart/2005/8/layout/radial4"/>
    <dgm:cxn modelId="{B38BEF46-D70C-5A43-92F2-9FD758380A01}" type="presParOf" srcId="{4B886E55-F060-134F-974C-B95DF17142FE}" destId="{B14F6BEF-6CEF-584D-A7D4-1CFAE3232430}" srcOrd="19" destOrd="0" presId="urn:microsoft.com/office/officeart/2005/8/layout/radial4"/>
    <dgm:cxn modelId="{81D74BC7-0F92-F547-B5B5-0DC29D735347}" type="presParOf" srcId="{4B886E55-F060-134F-974C-B95DF17142FE}" destId="{395AC59D-0F97-AD48-B1D9-C432EE89CF03}" srcOrd="20" destOrd="0" presId="urn:microsoft.com/office/officeart/2005/8/layout/radial4"/>
  </dgm:cxnLst>
  <dgm:bg/>
  <dgm:whole/>
  <dgm:extLst>
    <a:ext uri="http://schemas.microsoft.com/office/drawing/2008/diagram">
      <dsp:dataModelExt xmlns:dsp="http://schemas.microsoft.com/office/drawing/2008/diagram" relId="rId301" minVer="http://schemas.openxmlformats.org/drawingml/2006/diagram"/>
    </a:ext>
  </dgm:extLst>
</dgm:dataModel>
</file>

<file path=word/diagrams/data45.xml><?xml version="1.0" encoding="utf-8"?>
<dgm:dataModel xmlns:dgm="http://schemas.openxmlformats.org/drawingml/2006/diagram" xmlns:a="http://schemas.openxmlformats.org/drawingml/2006/main">
  <dgm:ptLst>
    <dgm:pt modelId="{FBAB6A83-7E18-7943-B41A-8EF930406B4D}" type="doc">
      <dgm:prSet loTypeId="urn:microsoft.com/office/officeart/2005/8/layout/radial4" loCatId="" qsTypeId="urn:microsoft.com/office/officeart/2005/8/quickstyle/simple1" qsCatId="simple" csTypeId="urn:microsoft.com/office/officeart/2005/8/colors/colorful1" csCatId="colorful" phldr="1"/>
      <dgm:spPr/>
      <dgm:t>
        <a:bodyPr/>
        <a:lstStyle/>
        <a:p>
          <a:endParaRPr lang="en-US"/>
        </a:p>
      </dgm:t>
    </dgm:pt>
    <dgm:pt modelId="{6CB4170B-B663-1B42-BE74-3161CAD91BAB}">
      <dgm:prSet phldrT="[Text]"/>
      <dgm:spPr/>
      <dgm:t>
        <a:bodyPr/>
        <a:lstStyle/>
        <a:p>
          <a:r>
            <a:rPr lang="en-US"/>
            <a:t>Scenario design for undergraduate SBME: Stage 6-8</a:t>
          </a:r>
        </a:p>
      </dgm:t>
    </dgm:pt>
    <dgm:pt modelId="{A94ED7C9-6037-824E-8EB5-D45487151328}" type="parTrans" cxnId="{B03573D3-B051-8E4B-8377-FDCDC9CFA8CB}">
      <dgm:prSet/>
      <dgm:spPr/>
      <dgm:t>
        <a:bodyPr/>
        <a:lstStyle/>
        <a:p>
          <a:endParaRPr lang="en-US"/>
        </a:p>
      </dgm:t>
    </dgm:pt>
    <dgm:pt modelId="{49097D21-834E-D44A-A58B-2586DCF6A58E}" type="sibTrans" cxnId="{B03573D3-B051-8E4B-8377-FDCDC9CFA8CB}">
      <dgm:prSet/>
      <dgm:spPr/>
      <dgm:t>
        <a:bodyPr/>
        <a:lstStyle/>
        <a:p>
          <a:endParaRPr lang="en-US"/>
        </a:p>
      </dgm:t>
    </dgm:pt>
    <dgm:pt modelId="{AA985686-FF17-EC44-B8CE-285F157EB7DF}">
      <dgm:prSet phldrT="[Text]"/>
      <dgm:spPr/>
      <dgm:t>
        <a:bodyPr/>
        <a:lstStyle/>
        <a:p>
          <a:r>
            <a:rPr lang="en-US"/>
            <a:t>Start with learning outcomes - see stage 5 diagram</a:t>
          </a:r>
        </a:p>
        <a:p>
          <a:r>
            <a:rPr lang="en-US"/>
            <a:t>Keep simple &amp; clear</a:t>
          </a:r>
        </a:p>
      </dgm:t>
    </dgm:pt>
    <dgm:pt modelId="{2815DE17-8F23-F54C-9259-83EBF7E34898}" type="parTrans" cxnId="{9FE9E176-21F4-4440-8274-BE2EC2522331}">
      <dgm:prSet/>
      <dgm:spPr/>
      <dgm:t>
        <a:bodyPr/>
        <a:lstStyle/>
        <a:p>
          <a:endParaRPr lang="en-US"/>
        </a:p>
      </dgm:t>
    </dgm:pt>
    <dgm:pt modelId="{CCEC5731-5240-FF4B-A227-C96FC6BE8012}" type="sibTrans" cxnId="{9FE9E176-21F4-4440-8274-BE2EC2522331}">
      <dgm:prSet/>
      <dgm:spPr/>
      <dgm:t>
        <a:bodyPr/>
        <a:lstStyle/>
        <a:p>
          <a:endParaRPr lang="en-US"/>
        </a:p>
      </dgm:t>
    </dgm:pt>
    <dgm:pt modelId="{5C6E02CA-7FDE-CB46-A62D-14F347AAB3F8}">
      <dgm:prSet phldrT="[Text]"/>
      <dgm:spPr/>
      <dgm:t>
        <a:bodyPr/>
        <a:lstStyle/>
        <a:p>
          <a:r>
            <a:rPr lang="en-US"/>
            <a:t>Decide on level of simulation - kit required. For voice of patient some clinical teaching experience and good script</a:t>
          </a:r>
        </a:p>
      </dgm:t>
    </dgm:pt>
    <dgm:pt modelId="{9271B28C-9170-A343-986E-710C36B7DA23}" type="parTrans" cxnId="{ABC661C0-CBF3-C44B-B6D9-0CF65BA5F9B7}">
      <dgm:prSet/>
      <dgm:spPr/>
      <dgm:t>
        <a:bodyPr/>
        <a:lstStyle/>
        <a:p>
          <a:endParaRPr lang="en-US"/>
        </a:p>
      </dgm:t>
    </dgm:pt>
    <dgm:pt modelId="{B90EEAE0-D037-3B43-BCBD-DD4D486AC358}" type="sibTrans" cxnId="{ABC661C0-CBF3-C44B-B6D9-0CF65BA5F9B7}">
      <dgm:prSet/>
      <dgm:spPr/>
      <dgm:t>
        <a:bodyPr/>
        <a:lstStyle/>
        <a:p>
          <a:endParaRPr lang="en-US"/>
        </a:p>
      </dgm:t>
    </dgm:pt>
    <dgm:pt modelId="{C3F6C4F5-6596-504B-9589-39EEA83FDB8A}">
      <dgm:prSet phldrT="[Text]"/>
      <dgm:spPr/>
      <dgm:t>
        <a:bodyPr/>
        <a:lstStyle/>
        <a:p>
          <a:r>
            <a:rPr lang="en-US"/>
            <a:t>Decide on level of pressure appropriate to stage of learner. Grade pressure over time. Bring in emotional pressures</a:t>
          </a:r>
        </a:p>
        <a:p>
          <a:r>
            <a:rPr lang="en-US"/>
            <a:t>Consider how and where to prompt to support learning</a:t>
          </a:r>
        </a:p>
      </dgm:t>
    </dgm:pt>
    <dgm:pt modelId="{00724669-DCEB-AE40-8A0B-D9FFEB8AEA8F}" type="parTrans" cxnId="{01799B18-A7C2-954F-A12A-4742FEA804CD}">
      <dgm:prSet/>
      <dgm:spPr/>
      <dgm:t>
        <a:bodyPr/>
        <a:lstStyle/>
        <a:p>
          <a:endParaRPr lang="en-US"/>
        </a:p>
      </dgm:t>
    </dgm:pt>
    <dgm:pt modelId="{D8919FA7-9F22-4A4C-BBD1-01FEC45CD06A}" type="sibTrans" cxnId="{01799B18-A7C2-954F-A12A-4742FEA804CD}">
      <dgm:prSet/>
      <dgm:spPr/>
      <dgm:t>
        <a:bodyPr/>
        <a:lstStyle/>
        <a:p>
          <a:endParaRPr lang="en-US"/>
        </a:p>
      </dgm:t>
    </dgm:pt>
    <dgm:pt modelId="{73B4730C-7318-CF40-958E-3C0E999A8168}">
      <dgm:prSet phldrT="[Text]"/>
      <dgm:spPr/>
      <dgm:t>
        <a:bodyPr/>
        <a:lstStyle/>
        <a:p>
          <a:r>
            <a:rPr lang="en-US"/>
            <a:t>Plan faculty - clinically credible, trained - simulaiton and debrief. Consider minimum number</a:t>
          </a:r>
        </a:p>
      </dgm:t>
    </dgm:pt>
    <dgm:pt modelId="{9003AED8-FD35-444F-B4C7-5AF787E391B4}" type="parTrans" cxnId="{1E6A5EAC-2B4E-CE4F-A623-6AE231DD6E2D}">
      <dgm:prSet/>
      <dgm:spPr/>
      <dgm:t>
        <a:bodyPr/>
        <a:lstStyle/>
        <a:p>
          <a:endParaRPr lang="en-US"/>
        </a:p>
      </dgm:t>
    </dgm:pt>
    <dgm:pt modelId="{CEC8A24B-C1D1-2244-ABC9-D9B9E38E17A6}" type="sibTrans" cxnId="{1E6A5EAC-2B4E-CE4F-A623-6AE231DD6E2D}">
      <dgm:prSet/>
      <dgm:spPr/>
      <dgm:t>
        <a:bodyPr/>
        <a:lstStyle/>
        <a:p>
          <a:endParaRPr lang="en-US"/>
        </a:p>
      </dgm:t>
    </dgm:pt>
    <dgm:pt modelId="{F71B48E4-AE4E-5947-9A3E-73FF71807060}">
      <dgm:prSet phldrT="[Text]"/>
      <dgm:spPr/>
      <dgm:t>
        <a:bodyPr/>
        <a:lstStyle/>
        <a:p>
          <a:r>
            <a:rPr lang="en-US"/>
            <a:t>Authentic scenario - realistic - could be exposed to</a:t>
          </a:r>
        </a:p>
        <a:p>
          <a:r>
            <a:rPr lang="en-US"/>
            <a:t>Needs depth &amp; uncertainty</a:t>
          </a:r>
        </a:p>
        <a:p>
          <a:r>
            <a:rPr lang="en-US"/>
            <a:t>Needs authentic complexity</a:t>
          </a:r>
        </a:p>
      </dgm:t>
    </dgm:pt>
    <dgm:pt modelId="{0595380F-C935-7E4A-ACD0-9E1F08094DB6}" type="parTrans" cxnId="{CEA6DA45-957D-904B-8564-07D75B1BBC14}">
      <dgm:prSet/>
      <dgm:spPr/>
      <dgm:t>
        <a:bodyPr/>
        <a:lstStyle/>
        <a:p>
          <a:endParaRPr lang="en-US"/>
        </a:p>
      </dgm:t>
    </dgm:pt>
    <dgm:pt modelId="{E98DDC16-2EB6-0E40-8DED-0A5F21F47876}" type="sibTrans" cxnId="{CEA6DA45-957D-904B-8564-07D75B1BBC14}">
      <dgm:prSet/>
      <dgm:spPr/>
      <dgm:t>
        <a:bodyPr/>
        <a:lstStyle/>
        <a:p>
          <a:endParaRPr lang="en-US"/>
        </a:p>
      </dgm:t>
    </dgm:pt>
    <dgm:pt modelId="{572C2C30-E587-CF4F-9191-938A1F7762F5}">
      <dgm:prSet phldrT="[Text]"/>
      <dgm:spPr/>
      <dgm:t>
        <a:bodyPr/>
        <a:lstStyle/>
        <a:p>
          <a:r>
            <a:rPr lang="en-US"/>
            <a:t>Consider how to involve and engage all learners during scenario &amp; encourage critical thinking, decision making, problem solving, prioritisation</a:t>
          </a:r>
        </a:p>
      </dgm:t>
    </dgm:pt>
    <dgm:pt modelId="{9CBA1108-844D-F447-B0B2-A4D36D022E60}" type="parTrans" cxnId="{382F7D78-3C62-D64E-BFCC-339A4C05F283}">
      <dgm:prSet/>
      <dgm:spPr/>
      <dgm:t>
        <a:bodyPr/>
        <a:lstStyle/>
        <a:p>
          <a:endParaRPr lang="en-US"/>
        </a:p>
      </dgm:t>
    </dgm:pt>
    <dgm:pt modelId="{A15E6596-9D37-3C4D-BD6C-516C85F02D33}" type="sibTrans" cxnId="{382F7D78-3C62-D64E-BFCC-339A4C05F283}">
      <dgm:prSet/>
      <dgm:spPr/>
      <dgm:t>
        <a:bodyPr/>
        <a:lstStyle/>
        <a:p>
          <a:endParaRPr lang="en-US"/>
        </a:p>
      </dgm:t>
    </dgm:pt>
    <dgm:pt modelId="{061757E7-B1C6-E549-A1B0-0960457EC3D6}">
      <dgm:prSet phldrT="[Text]"/>
      <dgm:spPr/>
      <dgm:t>
        <a:bodyPr/>
        <a:lstStyle/>
        <a:p>
          <a:r>
            <a:rPr lang="en-US"/>
            <a:t>Consider resources required for technical skills and to support human factors education (cannulation arm, blood results)</a:t>
          </a:r>
        </a:p>
      </dgm:t>
    </dgm:pt>
    <dgm:pt modelId="{3CBE4D97-DB76-5547-BBE9-ECEFFD8F3A4B}" type="parTrans" cxnId="{02AF9A12-D0A4-7145-92E7-746997CBCC44}">
      <dgm:prSet/>
      <dgm:spPr/>
      <dgm:t>
        <a:bodyPr/>
        <a:lstStyle/>
        <a:p>
          <a:endParaRPr lang="en-US"/>
        </a:p>
      </dgm:t>
    </dgm:pt>
    <dgm:pt modelId="{E1E034C1-2271-3345-957B-B82DFFF2ECE9}" type="sibTrans" cxnId="{02AF9A12-D0A4-7145-92E7-746997CBCC44}">
      <dgm:prSet/>
      <dgm:spPr/>
      <dgm:t>
        <a:bodyPr/>
        <a:lstStyle/>
        <a:p>
          <a:endParaRPr lang="en-US"/>
        </a:p>
      </dgm:t>
    </dgm:pt>
    <dgm:pt modelId="{7F5602F6-46BE-9442-B1F6-797BACA0B35D}">
      <dgm:prSet phldrT="[Text]"/>
      <dgm:spPr/>
      <dgm:t>
        <a:bodyPr/>
        <a:lstStyle/>
        <a:p>
          <a:r>
            <a:rPr lang="en-US"/>
            <a:t>Consider actors - credible, have experience of patietn sceanrio, well briefed</a:t>
          </a:r>
        </a:p>
      </dgm:t>
    </dgm:pt>
    <dgm:pt modelId="{453D3B57-9BD1-A049-A3E4-56704437085E}" type="parTrans" cxnId="{0ED4B82A-10D1-0A46-B312-13EE200FD858}">
      <dgm:prSet/>
      <dgm:spPr/>
      <dgm:t>
        <a:bodyPr/>
        <a:lstStyle/>
        <a:p>
          <a:endParaRPr lang="en-US"/>
        </a:p>
      </dgm:t>
    </dgm:pt>
    <dgm:pt modelId="{8BACF1CB-6886-AD41-B785-901643EDA320}" type="sibTrans" cxnId="{0ED4B82A-10D1-0A46-B312-13EE200FD858}">
      <dgm:prSet/>
      <dgm:spPr/>
      <dgm:t>
        <a:bodyPr/>
        <a:lstStyle/>
        <a:p>
          <a:endParaRPr lang="en-US"/>
        </a:p>
      </dgm:t>
    </dgm:pt>
    <dgm:pt modelId="{0F4A5A29-9189-D146-976F-FF4073C6DEB6}">
      <dgm:prSet phldrT="[Text]"/>
      <dgm:spPr/>
      <dgm:t>
        <a:bodyPr/>
        <a:lstStyle/>
        <a:p>
          <a:r>
            <a:rPr lang="en-US"/>
            <a:t>Consider level of fidelity and how to achieve psychological fidelity - environment etc</a:t>
          </a:r>
        </a:p>
      </dgm:t>
    </dgm:pt>
    <dgm:pt modelId="{9F8CD511-31C6-ED45-98F9-018B18247BEA}" type="parTrans" cxnId="{0DA7A122-A207-E440-9157-BB59DBADC541}">
      <dgm:prSet/>
      <dgm:spPr/>
      <dgm:t>
        <a:bodyPr/>
        <a:lstStyle/>
        <a:p>
          <a:endParaRPr lang="en-US"/>
        </a:p>
      </dgm:t>
    </dgm:pt>
    <dgm:pt modelId="{B05C7155-469A-444B-AE3C-2559E8CA78BD}" type="sibTrans" cxnId="{0DA7A122-A207-E440-9157-BB59DBADC541}">
      <dgm:prSet/>
      <dgm:spPr/>
      <dgm:t>
        <a:bodyPr/>
        <a:lstStyle/>
        <a:p>
          <a:endParaRPr lang="en-US"/>
        </a:p>
      </dgm:t>
    </dgm:pt>
    <dgm:pt modelId="{D80448C9-0AB6-CE4F-A42E-BE304B0134E7}">
      <dgm:prSet phldrT="[Text]"/>
      <dgm:spPr/>
      <dgm:t>
        <a:bodyPr/>
        <a:lstStyle/>
        <a:p>
          <a:r>
            <a:rPr lang="en-US"/>
            <a:t>Well written sceanrio but be dynamic and flexible, customise to individuals to bring out learning outcomes</a:t>
          </a:r>
        </a:p>
      </dgm:t>
    </dgm:pt>
    <dgm:pt modelId="{316318D4-687D-1D47-8C89-5D38A671B396}" type="parTrans" cxnId="{AEBACE80-CB62-304B-BB21-714F951E56B1}">
      <dgm:prSet/>
      <dgm:spPr/>
      <dgm:t>
        <a:bodyPr/>
        <a:lstStyle/>
        <a:p>
          <a:endParaRPr lang="en-US"/>
        </a:p>
      </dgm:t>
    </dgm:pt>
    <dgm:pt modelId="{AF5FDA76-D880-7D4B-AB83-F3F8D3B6C979}" type="sibTrans" cxnId="{AEBACE80-CB62-304B-BB21-714F951E56B1}">
      <dgm:prSet/>
      <dgm:spPr/>
      <dgm:t>
        <a:bodyPr/>
        <a:lstStyle/>
        <a:p>
          <a:endParaRPr lang="en-US"/>
        </a:p>
      </dgm:t>
    </dgm:pt>
    <dgm:pt modelId="{78D1F4C0-93ED-9A45-B963-D9AF81A40E75}">
      <dgm:prSet phldrT="[Text]"/>
      <dgm:spPr/>
      <dgm:t>
        <a:bodyPr/>
        <a:lstStyle/>
        <a:p>
          <a:r>
            <a:rPr lang="en-US"/>
            <a:t>Pilot scenario - reflect in action and on action</a:t>
          </a:r>
        </a:p>
        <a:p>
          <a:r>
            <a:rPr lang="en-US"/>
            <a:t>Iterative process, explore how it feels, if real, make adjustments, ensure achieved LO and plan closure of sceanrio</a:t>
          </a:r>
        </a:p>
      </dgm:t>
    </dgm:pt>
    <dgm:pt modelId="{2883F66C-A5E8-C649-8B80-E8F8F59E712B}" type="parTrans" cxnId="{B5303B2E-0536-EE40-A475-160C3E9CC619}">
      <dgm:prSet/>
      <dgm:spPr/>
      <dgm:t>
        <a:bodyPr/>
        <a:lstStyle/>
        <a:p>
          <a:endParaRPr lang="en-US"/>
        </a:p>
      </dgm:t>
    </dgm:pt>
    <dgm:pt modelId="{DEA0A391-4A0F-C342-92A3-C29D3D9546D4}" type="sibTrans" cxnId="{B5303B2E-0536-EE40-A475-160C3E9CC619}">
      <dgm:prSet/>
      <dgm:spPr/>
      <dgm:t>
        <a:bodyPr/>
        <a:lstStyle/>
        <a:p>
          <a:endParaRPr lang="en-US"/>
        </a:p>
      </dgm:t>
    </dgm:pt>
    <dgm:pt modelId="{A3C85F6A-E828-1949-9D70-E90DEB3E323A}">
      <dgm:prSet phldrT="[Text]"/>
      <dgm:spPr/>
      <dgm:t>
        <a:bodyPr/>
        <a:lstStyle/>
        <a:p>
          <a:r>
            <a:rPr lang="en-US"/>
            <a:t>Consider research opportunities</a:t>
          </a:r>
        </a:p>
      </dgm:t>
    </dgm:pt>
    <dgm:pt modelId="{195DEB5B-AE04-2040-BAAE-DFEE6C40B136}" type="parTrans" cxnId="{BA0DB7F2-49C9-9A42-9147-B991533BC590}">
      <dgm:prSet/>
      <dgm:spPr/>
      <dgm:t>
        <a:bodyPr/>
        <a:lstStyle/>
        <a:p>
          <a:endParaRPr lang="en-US"/>
        </a:p>
      </dgm:t>
    </dgm:pt>
    <dgm:pt modelId="{23E97C6D-3D08-6E45-978A-60872AFA17B5}" type="sibTrans" cxnId="{BA0DB7F2-49C9-9A42-9147-B991533BC590}">
      <dgm:prSet/>
      <dgm:spPr/>
      <dgm:t>
        <a:bodyPr/>
        <a:lstStyle/>
        <a:p>
          <a:endParaRPr lang="en-US"/>
        </a:p>
      </dgm:t>
    </dgm:pt>
    <dgm:pt modelId="{6CEE1266-297A-3A4A-8D87-7457F79007FF}" type="pres">
      <dgm:prSet presAssocID="{FBAB6A83-7E18-7943-B41A-8EF930406B4D}" presName="cycle" presStyleCnt="0">
        <dgm:presLayoutVars>
          <dgm:chMax val="1"/>
          <dgm:dir/>
          <dgm:animLvl val="ctr"/>
          <dgm:resizeHandles val="exact"/>
        </dgm:presLayoutVars>
      </dgm:prSet>
      <dgm:spPr/>
    </dgm:pt>
    <dgm:pt modelId="{377F7B63-1F59-5F44-8A47-A59B0DBDEB78}" type="pres">
      <dgm:prSet presAssocID="{6CB4170B-B663-1B42-BE74-3161CAD91BAB}" presName="centerShape" presStyleLbl="node0" presStyleIdx="0" presStyleCnt="1"/>
      <dgm:spPr/>
    </dgm:pt>
    <dgm:pt modelId="{6010C358-9F07-3344-9035-4F3B114F0E8D}" type="pres">
      <dgm:prSet presAssocID="{2815DE17-8F23-F54C-9259-83EBF7E34898}" presName="parTrans" presStyleLbl="bgSibTrans2D1" presStyleIdx="0" presStyleCnt="12"/>
      <dgm:spPr/>
    </dgm:pt>
    <dgm:pt modelId="{6B1AE890-B97C-DD43-8F11-977E50E91273}" type="pres">
      <dgm:prSet presAssocID="{AA985686-FF17-EC44-B8CE-285F157EB7DF}" presName="node" presStyleLbl="node1" presStyleIdx="0" presStyleCnt="12" custScaleX="145385" custScaleY="83488" custRadScaleRad="78460">
        <dgm:presLayoutVars>
          <dgm:bulletEnabled val="1"/>
        </dgm:presLayoutVars>
      </dgm:prSet>
      <dgm:spPr/>
    </dgm:pt>
    <dgm:pt modelId="{CDB8CF11-B6DB-A047-BDD5-29201F359594}" type="pres">
      <dgm:prSet presAssocID="{9271B28C-9170-A343-986E-710C36B7DA23}" presName="parTrans" presStyleLbl="bgSibTrans2D1" presStyleIdx="1" presStyleCnt="12"/>
      <dgm:spPr/>
    </dgm:pt>
    <dgm:pt modelId="{4D7BDDA6-3F4E-9B4C-BD9E-7E42709F32A3}" type="pres">
      <dgm:prSet presAssocID="{5C6E02CA-7FDE-CB46-A62D-14F347AAB3F8}" presName="node" presStyleLbl="node1" presStyleIdx="1" presStyleCnt="12" custScaleX="141185" custScaleY="136986" custRadScaleRad="87668" custRadScaleInc="15879">
        <dgm:presLayoutVars>
          <dgm:bulletEnabled val="1"/>
        </dgm:presLayoutVars>
      </dgm:prSet>
      <dgm:spPr/>
    </dgm:pt>
    <dgm:pt modelId="{CEE751FF-2B95-B743-86CA-56CCB83F8426}" type="pres">
      <dgm:prSet presAssocID="{00724669-DCEB-AE40-8A0B-D9FFEB8AEA8F}" presName="parTrans" presStyleLbl="bgSibTrans2D1" presStyleIdx="2" presStyleCnt="12"/>
      <dgm:spPr/>
    </dgm:pt>
    <dgm:pt modelId="{CAD2CAC1-24BD-A64C-9050-4A7998F2AA41}" type="pres">
      <dgm:prSet presAssocID="{C3F6C4F5-6596-504B-9589-39EEA83FDB8A}" presName="node" presStyleLbl="node1" presStyleIdx="2" presStyleCnt="12" custScaleX="141464" custScaleY="123173" custRadScaleRad="95829" custRadScaleInc="10785">
        <dgm:presLayoutVars>
          <dgm:bulletEnabled val="1"/>
        </dgm:presLayoutVars>
      </dgm:prSet>
      <dgm:spPr/>
    </dgm:pt>
    <dgm:pt modelId="{3A5B0D69-9A50-A64B-ADBD-C3458AE67358}" type="pres">
      <dgm:prSet presAssocID="{9003AED8-FD35-444F-B4C7-5AF787E391B4}" presName="parTrans" presStyleLbl="bgSibTrans2D1" presStyleIdx="3" presStyleCnt="12"/>
      <dgm:spPr/>
    </dgm:pt>
    <dgm:pt modelId="{40211ED8-9EDC-A940-A3DB-573636E29187}" type="pres">
      <dgm:prSet presAssocID="{73B4730C-7318-CF40-958E-3C0E999A8168}" presName="node" presStyleLbl="node1" presStyleIdx="3" presStyleCnt="12">
        <dgm:presLayoutVars>
          <dgm:bulletEnabled val="1"/>
        </dgm:presLayoutVars>
      </dgm:prSet>
      <dgm:spPr/>
    </dgm:pt>
    <dgm:pt modelId="{4812AB75-98ED-3F4F-BA28-D2C4C717204B}" type="pres">
      <dgm:prSet presAssocID="{0595380F-C935-7E4A-ACD0-9E1F08094DB6}" presName="parTrans" presStyleLbl="bgSibTrans2D1" presStyleIdx="4" presStyleCnt="12"/>
      <dgm:spPr/>
    </dgm:pt>
    <dgm:pt modelId="{4EFA95F2-E7E6-9C4E-930D-E4991AF8DAFB}" type="pres">
      <dgm:prSet presAssocID="{F71B48E4-AE4E-5947-9A3E-73FF71807060}" presName="node" presStyleLbl="node1" presStyleIdx="4" presStyleCnt="12" custScaleX="107150" custScaleY="124404">
        <dgm:presLayoutVars>
          <dgm:bulletEnabled val="1"/>
        </dgm:presLayoutVars>
      </dgm:prSet>
      <dgm:spPr/>
    </dgm:pt>
    <dgm:pt modelId="{72D8E7B1-15DC-2F4E-97F8-D35BF3E1AFA8}" type="pres">
      <dgm:prSet presAssocID="{9CBA1108-844D-F447-B0B2-A4D36D022E60}" presName="parTrans" presStyleLbl="bgSibTrans2D1" presStyleIdx="5" presStyleCnt="12"/>
      <dgm:spPr/>
    </dgm:pt>
    <dgm:pt modelId="{410A4145-77FA-E14A-9AF4-48C5ECF2274A}" type="pres">
      <dgm:prSet presAssocID="{572C2C30-E587-CF4F-9191-938A1F7762F5}" presName="node" presStyleLbl="node1" presStyleIdx="5" presStyleCnt="12" custScaleX="126097" custScaleY="127981">
        <dgm:presLayoutVars>
          <dgm:bulletEnabled val="1"/>
        </dgm:presLayoutVars>
      </dgm:prSet>
      <dgm:spPr/>
    </dgm:pt>
    <dgm:pt modelId="{6174050C-3D30-B14E-970E-503E62ECEE69}" type="pres">
      <dgm:prSet presAssocID="{3CBE4D97-DB76-5547-BBE9-ECEFFD8F3A4B}" presName="parTrans" presStyleLbl="bgSibTrans2D1" presStyleIdx="6" presStyleCnt="12"/>
      <dgm:spPr/>
    </dgm:pt>
    <dgm:pt modelId="{07A1BB06-0E96-5D4E-911A-474F1FC46DBE}" type="pres">
      <dgm:prSet presAssocID="{061757E7-B1C6-E549-A1B0-0960457EC3D6}" presName="node" presStyleLbl="node1" presStyleIdx="6" presStyleCnt="12" custScaleX="109669" custScaleY="149133">
        <dgm:presLayoutVars>
          <dgm:bulletEnabled val="1"/>
        </dgm:presLayoutVars>
      </dgm:prSet>
      <dgm:spPr/>
    </dgm:pt>
    <dgm:pt modelId="{C5EB2B7E-BBB1-1740-B141-D7CDC2B33DAA}" type="pres">
      <dgm:prSet presAssocID="{453D3B57-9BD1-A049-A3E4-56704437085E}" presName="parTrans" presStyleLbl="bgSibTrans2D1" presStyleIdx="7" presStyleCnt="12"/>
      <dgm:spPr/>
    </dgm:pt>
    <dgm:pt modelId="{12C59F35-3E12-6D4C-9B93-1A30A9DF1F18}" type="pres">
      <dgm:prSet presAssocID="{7F5602F6-46BE-9442-B1F6-797BACA0B35D}" presName="node" presStyleLbl="node1" presStyleIdx="7" presStyleCnt="12">
        <dgm:presLayoutVars>
          <dgm:bulletEnabled val="1"/>
        </dgm:presLayoutVars>
      </dgm:prSet>
      <dgm:spPr/>
    </dgm:pt>
    <dgm:pt modelId="{E53EE2E4-3218-D442-8A49-24C32B35FB3E}" type="pres">
      <dgm:prSet presAssocID="{9F8CD511-31C6-ED45-98F9-018B18247BEA}" presName="parTrans" presStyleLbl="bgSibTrans2D1" presStyleIdx="8" presStyleCnt="12"/>
      <dgm:spPr/>
    </dgm:pt>
    <dgm:pt modelId="{A6C35F91-9F0B-B74D-89FA-994CF563014F}" type="pres">
      <dgm:prSet presAssocID="{0F4A5A29-9189-D146-976F-FF4073C6DEB6}" presName="node" presStyleLbl="node1" presStyleIdx="8" presStyleCnt="12">
        <dgm:presLayoutVars>
          <dgm:bulletEnabled val="1"/>
        </dgm:presLayoutVars>
      </dgm:prSet>
      <dgm:spPr/>
    </dgm:pt>
    <dgm:pt modelId="{80BB6B81-43DE-FB4F-8F46-75B2A2ABDB15}" type="pres">
      <dgm:prSet presAssocID="{316318D4-687D-1D47-8C89-5D38A671B396}" presName="parTrans" presStyleLbl="bgSibTrans2D1" presStyleIdx="9" presStyleCnt="12"/>
      <dgm:spPr/>
    </dgm:pt>
    <dgm:pt modelId="{4345C995-3431-8642-A298-BD2083E4B24F}" type="pres">
      <dgm:prSet presAssocID="{D80448C9-0AB6-CE4F-A42E-BE304B0134E7}" presName="node" presStyleLbl="node1" presStyleIdx="9" presStyleCnt="12" custScaleX="132803" custScaleY="123176" custRadScaleRad="94231" custRadScaleInc="-15227">
        <dgm:presLayoutVars>
          <dgm:bulletEnabled val="1"/>
        </dgm:presLayoutVars>
      </dgm:prSet>
      <dgm:spPr/>
    </dgm:pt>
    <dgm:pt modelId="{349480BC-8FB4-F24C-8B6E-210EFC2F2EB3}" type="pres">
      <dgm:prSet presAssocID="{2883F66C-A5E8-C649-8B80-E8F8F59E712B}" presName="parTrans" presStyleLbl="bgSibTrans2D1" presStyleIdx="10" presStyleCnt="12"/>
      <dgm:spPr/>
    </dgm:pt>
    <dgm:pt modelId="{1944BF2A-E448-A74A-A92E-4155EB8C667B}" type="pres">
      <dgm:prSet presAssocID="{78D1F4C0-93ED-9A45-B963-D9AF81A40E75}" presName="node" presStyleLbl="node1" presStyleIdx="10" presStyleCnt="12" custScaleX="135453" custScaleY="120026" custRadScaleRad="87847" custRadScaleInc="-15612">
        <dgm:presLayoutVars>
          <dgm:bulletEnabled val="1"/>
        </dgm:presLayoutVars>
      </dgm:prSet>
      <dgm:spPr/>
    </dgm:pt>
    <dgm:pt modelId="{7AAF3DE4-B8CC-374F-8236-C35129FF81E8}" type="pres">
      <dgm:prSet presAssocID="{195DEB5B-AE04-2040-BAAE-DFEE6C40B136}" presName="parTrans" presStyleLbl="bgSibTrans2D1" presStyleIdx="11" presStyleCnt="12"/>
      <dgm:spPr/>
    </dgm:pt>
    <dgm:pt modelId="{180811B5-A0DB-0744-B31D-E3EACDBB1C70}" type="pres">
      <dgm:prSet presAssocID="{A3C85F6A-E828-1949-9D70-E90DEB3E323A}" presName="node" presStyleLbl="node1" presStyleIdx="11" presStyleCnt="12" custRadScaleRad="81938">
        <dgm:presLayoutVars>
          <dgm:bulletEnabled val="1"/>
        </dgm:presLayoutVars>
      </dgm:prSet>
      <dgm:spPr/>
    </dgm:pt>
  </dgm:ptLst>
  <dgm:cxnLst>
    <dgm:cxn modelId="{DE788209-C151-DF4C-817F-D709E18BD73A}" type="presOf" srcId="{0F4A5A29-9189-D146-976F-FF4073C6DEB6}" destId="{A6C35F91-9F0B-B74D-89FA-994CF563014F}" srcOrd="0" destOrd="0" presId="urn:microsoft.com/office/officeart/2005/8/layout/radial4"/>
    <dgm:cxn modelId="{1F6FDA0A-BD4D-DB46-865E-055A3E910258}" type="presOf" srcId="{061757E7-B1C6-E549-A1B0-0960457EC3D6}" destId="{07A1BB06-0E96-5D4E-911A-474F1FC46DBE}" srcOrd="0" destOrd="0" presId="urn:microsoft.com/office/officeart/2005/8/layout/radial4"/>
    <dgm:cxn modelId="{F652D410-89B4-1340-B057-B675219742E1}" type="presOf" srcId="{9F8CD511-31C6-ED45-98F9-018B18247BEA}" destId="{E53EE2E4-3218-D442-8A49-24C32B35FB3E}" srcOrd="0" destOrd="0" presId="urn:microsoft.com/office/officeart/2005/8/layout/radial4"/>
    <dgm:cxn modelId="{774E6F12-C580-6144-AFF9-43BB9F2C2996}" type="presOf" srcId="{A3C85F6A-E828-1949-9D70-E90DEB3E323A}" destId="{180811B5-A0DB-0744-B31D-E3EACDBB1C70}" srcOrd="0" destOrd="0" presId="urn:microsoft.com/office/officeart/2005/8/layout/radial4"/>
    <dgm:cxn modelId="{02AF9A12-D0A4-7145-92E7-746997CBCC44}" srcId="{6CB4170B-B663-1B42-BE74-3161CAD91BAB}" destId="{061757E7-B1C6-E549-A1B0-0960457EC3D6}" srcOrd="6" destOrd="0" parTransId="{3CBE4D97-DB76-5547-BBE9-ECEFFD8F3A4B}" sibTransId="{E1E034C1-2271-3345-957B-B82DFFF2ECE9}"/>
    <dgm:cxn modelId="{01799B18-A7C2-954F-A12A-4742FEA804CD}" srcId="{6CB4170B-B663-1B42-BE74-3161CAD91BAB}" destId="{C3F6C4F5-6596-504B-9589-39EEA83FDB8A}" srcOrd="2" destOrd="0" parTransId="{00724669-DCEB-AE40-8A0B-D9FFEB8AEA8F}" sibTransId="{D8919FA7-9F22-4A4C-BBD1-01FEC45CD06A}"/>
    <dgm:cxn modelId="{F993C61F-73CC-0847-8193-FF7B568FEAED}" type="presOf" srcId="{2883F66C-A5E8-C649-8B80-E8F8F59E712B}" destId="{349480BC-8FB4-F24C-8B6E-210EFC2F2EB3}" srcOrd="0" destOrd="0" presId="urn:microsoft.com/office/officeart/2005/8/layout/radial4"/>
    <dgm:cxn modelId="{0DA7A122-A207-E440-9157-BB59DBADC541}" srcId="{6CB4170B-B663-1B42-BE74-3161CAD91BAB}" destId="{0F4A5A29-9189-D146-976F-FF4073C6DEB6}" srcOrd="8" destOrd="0" parTransId="{9F8CD511-31C6-ED45-98F9-018B18247BEA}" sibTransId="{B05C7155-469A-444B-AE3C-2559E8CA78BD}"/>
    <dgm:cxn modelId="{0ED4B82A-10D1-0A46-B312-13EE200FD858}" srcId="{6CB4170B-B663-1B42-BE74-3161CAD91BAB}" destId="{7F5602F6-46BE-9442-B1F6-797BACA0B35D}" srcOrd="7" destOrd="0" parTransId="{453D3B57-9BD1-A049-A3E4-56704437085E}" sibTransId="{8BACF1CB-6886-AD41-B785-901643EDA320}"/>
    <dgm:cxn modelId="{B5303B2E-0536-EE40-A475-160C3E9CC619}" srcId="{6CB4170B-B663-1B42-BE74-3161CAD91BAB}" destId="{78D1F4C0-93ED-9A45-B963-D9AF81A40E75}" srcOrd="10" destOrd="0" parTransId="{2883F66C-A5E8-C649-8B80-E8F8F59E712B}" sibTransId="{DEA0A391-4A0F-C342-92A3-C29D3D9546D4}"/>
    <dgm:cxn modelId="{0AD86A30-44BB-3440-86B3-B2AF5310DD7E}" type="presOf" srcId="{3CBE4D97-DB76-5547-BBE9-ECEFFD8F3A4B}" destId="{6174050C-3D30-B14E-970E-503E62ECEE69}" srcOrd="0" destOrd="0" presId="urn:microsoft.com/office/officeart/2005/8/layout/radial4"/>
    <dgm:cxn modelId="{B3DB7236-EC97-3347-97BC-4CB1640901C3}" type="presOf" srcId="{AA985686-FF17-EC44-B8CE-285F157EB7DF}" destId="{6B1AE890-B97C-DD43-8F11-977E50E91273}" srcOrd="0" destOrd="0" presId="urn:microsoft.com/office/officeart/2005/8/layout/radial4"/>
    <dgm:cxn modelId="{ABF38B38-6D81-B644-A71D-46F80F02D684}" type="presOf" srcId="{453D3B57-9BD1-A049-A3E4-56704437085E}" destId="{C5EB2B7E-BBB1-1740-B141-D7CDC2B33DAA}" srcOrd="0" destOrd="0" presId="urn:microsoft.com/office/officeart/2005/8/layout/radial4"/>
    <dgm:cxn modelId="{A691063C-86A9-8B43-8240-4F21217EA9F0}" type="presOf" srcId="{0595380F-C935-7E4A-ACD0-9E1F08094DB6}" destId="{4812AB75-98ED-3F4F-BA28-D2C4C717204B}" srcOrd="0" destOrd="0" presId="urn:microsoft.com/office/officeart/2005/8/layout/radial4"/>
    <dgm:cxn modelId="{AB6E1F62-0351-8942-A65F-317A4F775F95}" type="presOf" srcId="{F71B48E4-AE4E-5947-9A3E-73FF71807060}" destId="{4EFA95F2-E7E6-9C4E-930D-E4991AF8DAFB}" srcOrd="0" destOrd="0" presId="urn:microsoft.com/office/officeart/2005/8/layout/radial4"/>
    <dgm:cxn modelId="{DEE07962-BCA9-B548-BA88-05602BF72C03}" type="presOf" srcId="{73B4730C-7318-CF40-958E-3C0E999A8168}" destId="{40211ED8-9EDC-A940-A3DB-573636E29187}" srcOrd="0" destOrd="0" presId="urn:microsoft.com/office/officeart/2005/8/layout/radial4"/>
    <dgm:cxn modelId="{5624AF43-E51A-2649-83E4-1E4E51E796BB}" type="presOf" srcId="{572C2C30-E587-CF4F-9191-938A1F7762F5}" destId="{410A4145-77FA-E14A-9AF4-48C5ECF2274A}" srcOrd="0" destOrd="0" presId="urn:microsoft.com/office/officeart/2005/8/layout/radial4"/>
    <dgm:cxn modelId="{CEA6DA45-957D-904B-8564-07D75B1BBC14}" srcId="{6CB4170B-B663-1B42-BE74-3161CAD91BAB}" destId="{F71B48E4-AE4E-5947-9A3E-73FF71807060}" srcOrd="4" destOrd="0" parTransId="{0595380F-C935-7E4A-ACD0-9E1F08094DB6}" sibTransId="{E98DDC16-2EB6-0E40-8DED-0A5F21F47876}"/>
    <dgm:cxn modelId="{2F4BF146-7ACC-334A-8B93-C17936E637A1}" type="presOf" srcId="{78D1F4C0-93ED-9A45-B963-D9AF81A40E75}" destId="{1944BF2A-E448-A74A-A92E-4155EB8C667B}" srcOrd="0" destOrd="0" presId="urn:microsoft.com/office/officeart/2005/8/layout/radial4"/>
    <dgm:cxn modelId="{8DA5614B-A09C-CA48-97C0-B40F231DD58D}" type="presOf" srcId="{5C6E02CA-7FDE-CB46-A62D-14F347AAB3F8}" destId="{4D7BDDA6-3F4E-9B4C-BD9E-7E42709F32A3}" srcOrd="0" destOrd="0" presId="urn:microsoft.com/office/officeart/2005/8/layout/radial4"/>
    <dgm:cxn modelId="{A5503E54-8681-3843-B91B-C1888DDB45D8}" type="presOf" srcId="{9271B28C-9170-A343-986E-710C36B7DA23}" destId="{CDB8CF11-B6DB-A047-BDD5-29201F359594}" srcOrd="0" destOrd="0" presId="urn:microsoft.com/office/officeart/2005/8/layout/radial4"/>
    <dgm:cxn modelId="{9FE9E176-21F4-4440-8274-BE2EC2522331}" srcId="{6CB4170B-B663-1B42-BE74-3161CAD91BAB}" destId="{AA985686-FF17-EC44-B8CE-285F157EB7DF}" srcOrd="0" destOrd="0" parTransId="{2815DE17-8F23-F54C-9259-83EBF7E34898}" sibTransId="{CCEC5731-5240-FF4B-A227-C96FC6BE8012}"/>
    <dgm:cxn modelId="{382F7D78-3C62-D64E-BFCC-339A4C05F283}" srcId="{6CB4170B-B663-1B42-BE74-3161CAD91BAB}" destId="{572C2C30-E587-CF4F-9191-938A1F7762F5}" srcOrd="5" destOrd="0" parTransId="{9CBA1108-844D-F447-B0B2-A4D36D022E60}" sibTransId="{A15E6596-9D37-3C4D-BD6C-516C85F02D33}"/>
    <dgm:cxn modelId="{62369678-07F6-EF46-8EF4-1B0967CD4FED}" type="presOf" srcId="{9003AED8-FD35-444F-B4C7-5AF787E391B4}" destId="{3A5B0D69-9A50-A64B-ADBD-C3458AE67358}" srcOrd="0" destOrd="0" presId="urn:microsoft.com/office/officeart/2005/8/layout/radial4"/>
    <dgm:cxn modelId="{82A70D7B-EF5E-1A4B-8051-E34EF584F679}" type="presOf" srcId="{195DEB5B-AE04-2040-BAAE-DFEE6C40B136}" destId="{7AAF3DE4-B8CC-374F-8236-C35129FF81E8}" srcOrd="0" destOrd="0" presId="urn:microsoft.com/office/officeart/2005/8/layout/radial4"/>
    <dgm:cxn modelId="{AEBACE80-CB62-304B-BB21-714F951E56B1}" srcId="{6CB4170B-B663-1B42-BE74-3161CAD91BAB}" destId="{D80448C9-0AB6-CE4F-A42E-BE304B0134E7}" srcOrd="9" destOrd="0" parTransId="{316318D4-687D-1D47-8C89-5D38A671B396}" sibTransId="{AF5FDA76-D880-7D4B-AB83-F3F8D3B6C979}"/>
    <dgm:cxn modelId="{AEB22A96-A275-7044-86E8-9B26C069ED03}" type="presOf" srcId="{00724669-DCEB-AE40-8A0B-D9FFEB8AEA8F}" destId="{CEE751FF-2B95-B743-86CA-56CCB83F8426}" srcOrd="0" destOrd="0" presId="urn:microsoft.com/office/officeart/2005/8/layout/radial4"/>
    <dgm:cxn modelId="{1E6A5EAC-2B4E-CE4F-A623-6AE231DD6E2D}" srcId="{6CB4170B-B663-1B42-BE74-3161CAD91BAB}" destId="{73B4730C-7318-CF40-958E-3C0E999A8168}" srcOrd="3" destOrd="0" parTransId="{9003AED8-FD35-444F-B4C7-5AF787E391B4}" sibTransId="{CEC8A24B-C1D1-2244-ABC9-D9B9E38E17A6}"/>
    <dgm:cxn modelId="{0A2754BB-6987-B34A-A5BA-A060218C05E6}" type="presOf" srcId="{FBAB6A83-7E18-7943-B41A-8EF930406B4D}" destId="{6CEE1266-297A-3A4A-8D87-7457F79007FF}" srcOrd="0" destOrd="0" presId="urn:microsoft.com/office/officeart/2005/8/layout/radial4"/>
    <dgm:cxn modelId="{892B7BBC-63BF-B042-A453-50FC6791504C}" type="presOf" srcId="{C3F6C4F5-6596-504B-9589-39EEA83FDB8A}" destId="{CAD2CAC1-24BD-A64C-9050-4A7998F2AA41}" srcOrd="0" destOrd="0" presId="urn:microsoft.com/office/officeart/2005/8/layout/radial4"/>
    <dgm:cxn modelId="{ABC661C0-CBF3-C44B-B6D9-0CF65BA5F9B7}" srcId="{6CB4170B-B663-1B42-BE74-3161CAD91BAB}" destId="{5C6E02CA-7FDE-CB46-A62D-14F347AAB3F8}" srcOrd="1" destOrd="0" parTransId="{9271B28C-9170-A343-986E-710C36B7DA23}" sibTransId="{B90EEAE0-D037-3B43-BCBD-DD4D486AC358}"/>
    <dgm:cxn modelId="{4F14EEC8-EFD7-DA45-B0BF-17B20A4AFC73}" type="presOf" srcId="{316318D4-687D-1D47-8C89-5D38A671B396}" destId="{80BB6B81-43DE-FB4F-8F46-75B2A2ABDB15}" srcOrd="0" destOrd="0" presId="urn:microsoft.com/office/officeart/2005/8/layout/radial4"/>
    <dgm:cxn modelId="{9BC3DECC-64CE-C342-B721-4D5C55608BF3}" type="presOf" srcId="{7F5602F6-46BE-9442-B1F6-797BACA0B35D}" destId="{12C59F35-3E12-6D4C-9B93-1A30A9DF1F18}" srcOrd="0" destOrd="0" presId="urn:microsoft.com/office/officeart/2005/8/layout/radial4"/>
    <dgm:cxn modelId="{B03573D3-B051-8E4B-8377-FDCDC9CFA8CB}" srcId="{FBAB6A83-7E18-7943-B41A-8EF930406B4D}" destId="{6CB4170B-B663-1B42-BE74-3161CAD91BAB}" srcOrd="0" destOrd="0" parTransId="{A94ED7C9-6037-824E-8EB5-D45487151328}" sibTransId="{49097D21-834E-D44A-A58B-2586DCF6A58E}"/>
    <dgm:cxn modelId="{0BABB1D5-01E2-D54A-AE71-BF01E0D9467C}" type="presOf" srcId="{D80448C9-0AB6-CE4F-A42E-BE304B0134E7}" destId="{4345C995-3431-8642-A298-BD2083E4B24F}" srcOrd="0" destOrd="0" presId="urn:microsoft.com/office/officeart/2005/8/layout/radial4"/>
    <dgm:cxn modelId="{D9687EDB-DF39-9A4E-B377-047C6088C521}" type="presOf" srcId="{6CB4170B-B663-1B42-BE74-3161CAD91BAB}" destId="{377F7B63-1F59-5F44-8A47-A59B0DBDEB78}" srcOrd="0" destOrd="0" presId="urn:microsoft.com/office/officeart/2005/8/layout/radial4"/>
    <dgm:cxn modelId="{66CDCEE2-82C6-6643-A80E-DA40B1F5B20F}" type="presOf" srcId="{9CBA1108-844D-F447-B0B2-A4D36D022E60}" destId="{72D8E7B1-15DC-2F4E-97F8-D35BF3E1AFA8}" srcOrd="0" destOrd="0" presId="urn:microsoft.com/office/officeart/2005/8/layout/radial4"/>
    <dgm:cxn modelId="{19EF39EA-9236-8E48-9961-3AFAEFAC03D2}" type="presOf" srcId="{2815DE17-8F23-F54C-9259-83EBF7E34898}" destId="{6010C358-9F07-3344-9035-4F3B114F0E8D}" srcOrd="0" destOrd="0" presId="urn:microsoft.com/office/officeart/2005/8/layout/radial4"/>
    <dgm:cxn modelId="{BA0DB7F2-49C9-9A42-9147-B991533BC590}" srcId="{6CB4170B-B663-1B42-BE74-3161CAD91BAB}" destId="{A3C85F6A-E828-1949-9D70-E90DEB3E323A}" srcOrd="11" destOrd="0" parTransId="{195DEB5B-AE04-2040-BAAE-DFEE6C40B136}" sibTransId="{23E97C6D-3D08-6E45-978A-60872AFA17B5}"/>
    <dgm:cxn modelId="{B04B720E-92AE-674A-B351-5D90C9939BC4}" type="presParOf" srcId="{6CEE1266-297A-3A4A-8D87-7457F79007FF}" destId="{377F7B63-1F59-5F44-8A47-A59B0DBDEB78}" srcOrd="0" destOrd="0" presId="urn:microsoft.com/office/officeart/2005/8/layout/radial4"/>
    <dgm:cxn modelId="{3D7B2CD7-E781-AF49-B87E-08557C634ABF}" type="presParOf" srcId="{6CEE1266-297A-3A4A-8D87-7457F79007FF}" destId="{6010C358-9F07-3344-9035-4F3B114F0E8D}" srcOrd="1" destOrd="0" presId="urn:microsoft.com/office/officeart/2005/8/layout/radial4"/>
    <dgm:cxn modelId="{5D85B1FA-9162-5D4B-9DD8-476F502D22A0}" type="presParOf" srcId="{6CEE1266-297A-3A4A-8D87-7457F79007FF}" destId="{6B1AE890-B97C-DD43-8F11-977E50E91273}" srcOrd="2" destOrd="0" presId="urn:microsoft.com/office/officeart/2005/8/layout/radial4"/>
    <dgm:cxn modelId="{45B3FFDA-8DE7-4842-8412-CC257740AF78}" type="presParOf" srcId="{6CEE1266-297A-3A4A-8D87-7457F79007FF}" destId="{CDB8CF11-B6DB-A047-BDD5-29201F359594}" srcOrd="3" destOrd="0" presId="urn:microsoft.com/office/officeart/2005/8/layout/radial4"/>
    <dgm:cxn modelId="{1870357E-9A62-344F-9966-9F76E9D4EB91}" type="presParOf" srcId="{6CEE1266-297A-3A4A-8D87-7457F79007FF}" destId="{4D7BDDA6-3F4E-9B4C-BD9E-7E42709F32A3}" srcOrd="4" destOrd="0" presId="urn:microsoft.com/office/officeart/2005/8/layout/radial4"/>
    <dgm:cxn modelId="{C792BCDD-7C6D-2842-8F33-5F4A9FE803AB}" type="presParOf" srcId="{6CEE1266-297A-3A4A-8D87-7457F79007FF}" destId="{CEE751FF-2B95-B743-86CA-56CCB83F8426}" srcOrd="5" destOrd="0" presId="urn:microsoft.com/office/officeart/2005/8/layout/radial4"/>
    <dgm:cxn modelId="{FD8A22F3-A7D5-7549-93EA-CFC1A7A94271}" type="presParOf" srcId="{6CEE1266-297A-3A4A-8D87-7457F79007FF}" destId="{CAD2CAC1-24BD-A64C-9050-4A7998F2AA41}" srcOrd="6" destOrd="0" presId="urn:microsoft.com/office/officeart/2005/8/layout/radial4"/>
    <dgm:cxn modelId="{06EB5234-B619-0E4E-880C-EC87D4937398}" type="presParOf" srcId="{6CEE1266-297A-3A4A-8D87-7457F79007FF}" destId="{3A5B0D69-9A50-A64B-ADBD-C3458AE67358}" srcOrd="7" destOrd="0" presId="urn:microsoft.com/office/officeart/2005/8/layout/radial4"/>
    <dgm:cxn modelId="{F12F0497-7073-CF4B-A584-2536F14D1AE2}" type="presParOf" srcId="{6CEE1266-297A-3A4A-8D87-7457F79007FF}" destId="{40211ED8-9EDC-A940-A3DB-573636E29187}" srcOrd="8" destOrd="0" presId="urn:microsoft.com/office/officeart/2005/8/layout/radial4"/>
    <dgm:cxn modelId="{F41AD746-723E-3F46-8E43-03A3D84730CF}" type="presParOf" srcId="{6CEE1266-297A-3A4A-8D87-7457F79007FF}" destId="{4812AB75-98ED-3F4F-BA28-D2C4C717204B}" srcOrd="9" destOrd="0" presId="urn:microsoft.com/office/officeart/2005/8/layout/radial4"/>
    <dgm:cxn modelId="{B45D9254-011B-D046-8DEB-C227420A270C}" type="presParOf" srcId="{6CEE1266-297A-3A4A-8D87-7457F79007FF}" destId="{4EFA95F2-E7E6-9C4E-930D-E4991AF8DAFB}" srcOrd="10" destOrd="0" presId="urn:microsoft.com/office/officeart/2005/8/layout/radial4"/>
    <dgm:cxn modelId="{E010AF11-4B62-2143-91AC-BE62AC9EF0B5}" type="presParOf" srcId="{6CEE1266-297A-3A4A-8D87-7457F79007FF}" destId="{72D8E7B1-15DC-2F4E-97F8-D35BF3E1AFA8}" srcOrd="11" destOrd="0" presId="urn:microsoft.com/office/officeart/2005/8/layout/radial4"/>
    <dgm:cxn modelId="{F26BAFC1-1F5D-3441-8971-EE4829B8FB57}" type="presParOf" srcId="{6CEE1266-297A-3A4A-8D87-7457F79007FF}" destId="{410A4145-77FA-E14A-9AF4-48C5ECF2274A}" srcOrd="12" destOrd="0" presId="urn:microsoft.com/office/officeart/2005/8/layout/radial4"/>
    <dgm:cxn modelId="{6FA7F519-0018-AB49-AA64-C36AEE128AE2}" type="presParOf" srcId="{6CEE1266-297A-3A4A-8D87-7457F79007FF}" destId="{6174050C-3D30-B14E-970E-503E62ECEE69}" srcOrd="13" destOrd="0" presId="urn:microsoft.com/office/officeart/2005/8/layout/radial4"/>
    <dgm:cxn modelId="{36F3703C-02B3-A941-B86F-DD9A0152CB21}" type="presParOf" srcId="{6CEE1266-297A-3A4A-8D87-7457F79007FF}" destId="{07A1BB06-0E96-5D4E-911A-474F1FC46DBE}" srcOrd="14" destOrd="0" presId="urn:microsoft.com/office/officeart/2005/8/layout/radial4"/>
    <dgm:cxn modelId="{A1BA719A-CD9B-954E-84B7-EEC6E4E89404}" type="presParOf" srcId="{6CEE1266-297A-3A4A-8D87-7457F79007FF}" destId="{C5EB2B7E-BBB1-1740-B141-D7CDC2B33DAA}" srcOrd="15" destOrd="0" presId="urn:microsoft.com/office/officeart/2005/8/layout/radial4"/>
    <dgm:cxn modelId="{FFA41299-198A-EA4A-B76D-6FADCFC339F9}" type="presParOf" srcId="{6CEE1266-297A-3A4A-8D87-7457F79007FF}" destId="{12C59F35-3E12-6D4C-9B93-1A30A9DF1F18}" srcOrd="16" destOrd="0" presId="urn:microsoft.com/office/officeart/2005/8/layout/radial4"/>
    <dgm:cxn modelId="{CC07ABCF-DDE9-F846-A1B9-0C659E71FA5A}" type="presParOf" srcId="{6CEE1266-297A-3A4A-8D87-7457F79007FF}" destId="{E53EE2E4-3218-D442-8A49-24C32B35FB3E}" srcOrd="17" destOrd="0" presId="urn:microsoft.com/office/officeart/2005/8/layout/radial4"/>
    <dgm:cxn modelId="{A1FCC0AC-7C50-BC4D-80CF-85107ADA5554}" type="presParOf" srcId="{6CEE1266-297A-3A4A-8D87-7457F79007FF}" destId="{A6C35F91-9F0B-B74D-89FA-994CF563014F}" srcOrd="18" destOrd="0" presId="urn:microsoft.com/office/officeart/2005/8/layout/radial4"/>
    <dgm:cxn modelId="{3FD7B208-8DB8-E748-B37A-020B712E55F9}" type="presParOf" srcId="{6CEE1266-297A-3A4A-8D87-7457F79007FF}" destId="{80BB6B81-43DE-FB4F-8F46-75B2A2ABDB15}" srcOrd="19" destOrd="0" presId="urn:microsoft.com/office/officeart/2005/8/layout/radial4"/>
    <dgm:cxn modelId="{2264B43A-B3FD-DC45-899E-296BCD9785D0}" type="presParOf" srcId="{6CEE1266-297A-3A4A-8D87-7457F79007FF}" destId="{4345C995-3431-8642-A298-BD2083E4B24F}" srcOrd="20" destOrd="0" presId="urn:microsoft.com/office/officeart/2005/8/layout/radial4"/>
    <dgm:cxn modelId="{CBE81187-1217-C048-A3A9-DF3D98A06E7B}" type="presParOf" srcId="{6CEE1266-297A-3A4A-8D87-7457F79007FF}" destId="{349480BC-8FB4-F24C-8B6E-210EFC2F2EB3}" srcOrd="21" destOrd="0" presId="urn:microsoft.com/office/officeart/2005/8/layout/radial4"/>
    <dgm:cxn modelId="{9E6DB3B4-1371-6949-8431-A785BED06D57}" type="presParOf" srcId="{6CEE1266-297A-3A4A-8D87-7457F79007FF}" destId="{1944BF2A-E448-A74A-A92E-4155EB8C667B}" srcOrd="22" destOrd="0" presId="urn:microsoft.com/office/officeart/2005/8/layout/radial4"/>
    <dgm:cxn modelId="{B937BEA3-EA06-C44B-A603-645CAC12621A}" type="presParOf" srcId="{6CEE1266-297A-3A4A-8D87-7457F79007FF}" destId="{7AAF3DE4-B8CC-374F-8236-C35129FF81E8}" srcOrd="23" destOrd="0" presId="urn:microsoft.com/office/officeart/2005/8/layout/radial4"/>
    <dgm:cxn modelId="{FBDD984B-CEEC-9749-B484-8B9325617666}" type="presParOf" srcId="{6CEE1266-297A-3A4A-8D87-7457F79007FF}" destId="{180811B5-A0DB-0744-B31D-E3EACDBB1C70}" srcOrd="24" destOrd="0" presId="urn:microsoft.com/office/officeart/2005/8/layout/radial4"/>
  </dgm:cxnLst>
  <dgm:bg/>
  <dgm:whole/>
  <dgm:extLst>
    <a:ext uri="http://schemas.microsoft.com/office/drawing/2008/diagram">
      <dsp:dataModelExt xmlns:dsp="http://schemas.microsoft.com/office/drawing/2008/diagram" relId="rId30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13F0529-17D1-604E-B416-7D4D2944850A}" type="doc">
      <dgm:prSet loTypeId="urn:microsoft.com/office/officeart/2005/8/layout/process4" loCatId="" qsTypeId="urn:microsoft.com/office/officeart/2005/8/quickstyle/simple4" qsCatId="simple" csTypeId="urn:microsoft.com/office/officeart/2005/8/colors/accent1_2" csCatId="accent1" phldr="1"/>
      <dgm:spPr/>
      <dgm:t>
        <a:bodyPr/>
        <a:lstStyle/>
        <a:p>
          <a:endParaRPr lang="en-US"/>
        </a:p>
      </dgm:t>
    </dgm:pt>
    <dgm:pt modelId="{91DB4E2E-C729-544B-904E-75435342611F}">
      <dgm:prSet phldrT="[Text]" custT="1"/>
      <dgm:spPr/>
      <dgm:t>
        <a:bodyPr/>
        <a:lstStyle/>
        <a:p>
          <a:r>
            <a:rPr lang="en-US" sz="900"/>
            <a:t>Course design, development and assessment</a:t>
          </a:r>
        </a:p>
      </dgm:t>
    </dgm:pt>
    <dgm:pt modelId="{993D4C80-A9E6-A44F-B76A-1BC8E3799FDC}" type="parTrans" cxnId="{EEFD8BF4-ACBF-9F4C-84FA-87135F1F179E}">
      <dgm:prSet/>
      <dgm:spPr/>
      <dgm:t>
        <a:bodyPr/>
        <a:lstStyle/>
        <a:p>
          <a:endParaRPr lang="en-US" sz="900"/>
        </a:p>
      </dgm:t>
    </dgm:pt>
    <dgm:pt modelId="{5F2B7482-21C5-1548-A48E-DD4AE1D95C56}" type="sibTrans" cxnId="{EEFD8BF4-ACBF-9F4C-84FA-87135F1F179E}">
      <dgm:prSet/>
      <dgm:spPr/>
      <dgm:t>
        <a:bodyPr/>
        <a:lstStyle/>
        <a:p>
          <a:endParaRPr lang="en-US" sz="900"/>
        </a:p>
      </dgm:t>
    </dgm:pt>
    <dgm:pt modelId="{4115DAE5-2846-5144-926C-17C10B0CDD0B}">
      <dgm:prSet phldrT="[Text]" custT="1"/>
      <dgm:spPr/>
      <dgm:t>
        <a:bodyPr/>
        <a:lstStyle/>
        <a:p>
          <a:r>
            <a:rPr lang="en-US" sz="900"/>
            <a:t>Validation</a:t>
          </a:r>
        </a:p>
      </dgm:t>
    </dgm:pt>
    <dgm:pt modelId="{6F401121-9171-124D-A588-5F0E3B507751}" type="parTrans" cxnId="{AF63E8DA-66D8-3148-866C-6533160D6FC3}">
      <dgm:prSet/>
      <dgm:spPr/>
      <dgm:t>
        <a:bodyPr/>
        <a:lstStyle/>
        <a:p>
          <a:endParaRPr lang="en-US" sz="900"/>
        </a:p>
      </dgm:t>
    </dgm:pt>
    <dgm:pt modelId="{79A30C25-42D4-484E-B48C-62E4FEA2ADAC}" type="sibTrans" cxnId="{AF63E8DA-66D8-3148-866C-6533160D6FC3}">
      <dgm:prSet/>
      <dgm:spPr/>
      <dgm:t>
        <a:bodyPr/>
        <a:lstStyle/>
        <a:p>
          <a:endParaRPr lang="en-US" sz="900"/>
        </a:p>
      </dgm:t>
    </dgm:pt>
    <dgm:pt modelId="{E8DE5831-2479-674A-84A4-EB0891444E0B}">
      <dgm:prSet phldrT="[Text]" custT="1"/>
      <dgm:spPr/>
      <dgm:t>
        <a:bodyPr/>
        <a:lstStyle/>
        <a:p>
          <a:r>
            <a:rPr lang="en-US" sz="900"/>
            <a:t>Feasibility</a:t>
          </a:r>
        </a:p>
      </dgm:t>
    </dgm:pt>
    <dgm:pt modelId="{744F0E8B-0960-414A-99C0-C574EDFBA9ED}" type="parTrans" cxnId="{CBDAB9EB-8055-FD48-A203-AB8EF9550C9D}">
      <dgm:prSet/>
      <dgm:spPr/>
      <dgm:t>
        <a:bodyPr/>
        <a:lstStyle/>
        <a:p>
          <a:endParaRPr lang="en-US" sz="900"/>
        </a:p>
      </dgm:t>
    </dgm:pt>
    <dgm:pt modelId="{361F543C-C867-844C-9F32-21D8597E51CB}" type="sibTrans" cxnId="{CBDAB9EB-8055-FD48-A203-AB8EF9550C9D}">
      <dgm:prSet/>
      <dgm:spPr/>
      <dgm:t>
        <a:bodyPr/>
        <a:lstStyle/>
        <a:p>
          <a:endParaRPr lang="en-US" sz="900"/>
        </a:p>
      </dgm:t>
    </dgm:pt>
    <dgm:pt modelId="{36585A50-46EB-B143-A906-9A3B5E584020}">
      <dgm:prSet phldrT="[Text]" custT="1"/>
      <dgm:spPr/>
      <dgm:t>
        <a:bodyPr/>
        <a:lstStyle/>
        <a:p>
          <a:r>
            <a:rPr lang="en-US" sz="900"/>
            <a:t>Selection - Final study - 5th year medical students</a:t>
          </a:r>
        </a:p>
      </dgm:t>
    </dgm:pt>
    <dgm:pt modelId="{E94A9E1D-FF34-E44E-BF27-84F0C480464F}" type="parTrans" cxnId="{3A2F265C-962E-0144-9221-9B7D60900E56}">
      <dgm:prSet/>
      <dgm:spPr/>
      <dgm:t>
        <a:bodyPr/>
        <a:lstStyle/>
        <a:p>
          <a:endParaRPr lang="en-US" sz="900"/>
        </a:p>
      </dgm:t>
    </dgm:pt>
    <dgm:pt modelId="{3F18806C-B01F-C94F-90FB-67C22E1016CC}" type="sibTrans" cxnId="{3A2F265C-962E-0144-9221-9B7D60900E56}">
      <dgm:prSet/>
      <dgm:spPr/>
      <dgm:t>
        <a:bodyPr/>
        <a:lstStyle/>
        <a:p>
          <a:endParaRPr lang="en-US" sz="900"/>
        </a:p>
      </dgm:t>
    </dgm:pt>
    <dgm:pt modelId="{F5693FD8-E999-0441-A710-23FB248B96A5}">
      <dgm:prSet phldrT="[Text]" custT="1"/>
      <dgm:spPr/>
      <dgm:t>
        <a:bodyPr/>
        <a:lstStyle/>
        <a:p>
          <a:r>
            <a:rPr lang="en-US" sz="900"/>
            <a:t>University 1</a:t>
          </a:r>
        </a:p>
      </dgm:t>
    </dgm:pt>
    <dgm:pt modelId="{0B4CE1E6-EB64-0848-AFB5-584DADA38E9B}" type="parTrans" cxnId="{6FDE16B6-0BD6-8A41-995E-BD2F2D0C9466}">
      <dgm:prSet/>
      <dgm:spPr/>
      <dgm:t>
        <a:bodyPr/>
        <a:lstStyle/>
        <a:p>
          <a:endParaRPr lang="en-US" sz="900"/>
        </a:p>
      </dgm:t>
    </dgm:pt>
    <dgm:pt modelId="{2CB42F70-C4EB-7148-9D2D-5CE2B395A842}" type="sibTrans" cxnId="{6FDE16B6-0BD6-8A41-995E-BD2F2D0C9466}">
      <dgm:prSet/>
      <dgm:spPr/>
      <dgm:t>
        <a:bodyPr/>
        <a:lstStyle/>
        <a:p>
          <a:endParaRPr lang="en-US" sz="900"/>
        </a:p>
      </dgm:t>
    </dgm:pt>
    <dgm:pt modelId="{9BBDFF6F-FE34-3C45-AFEE-B222B90EE783}">
      <dgm:prSet phldrT="[Text]" custT="1"/>
      <dgm:spPr/>
      <dgm:t>
        <a:bodyPr/>
        <a:lstStyle/>
        <a:p>
          <a:r>
            <a:rPr lang="en-US" sz="900"/>
            <a:t>University 2</a:t>
          </a:r>
        </a:p>
      </dgm:t>
    </dgm:pt>
    <dgm:pt modelId="{8D5944EE-A66F-4441-9F7A-A71B267692C5}" type="parTrans" cxnId="{85513F65-AE32-354D-9B7C-8C723CF7A9BD}">
      <dgm:prSet/>
      <dgm:spPr/>
      <dgm:t>
        <a:bodyPr/>
        <a:lstStyle/>
        <a:p>
          <a:endParaRPr lang="en-US" sz="900"/>
        </a:p>
      </dgm:t>
    </dgm:pt>
    <dgm:pt modelId="{318F00D5-BA75-0F46-8C59-B1E24827FAC9}" type="sibTrans" cxnId="{85513F65-AE32-354D-9B7C-8C723CF7A9BD}">
      <dgm:prSet/>
      <dgm:spPr/>
      <dgm:t>
        <a:bodyPr/>
        <a:lstStyle/>
        <a:p>
          <a:endParaRPr lang="en-US" sz="900"/>
        </a:p>
      </dgm:t>
    </dgm:pt>
    <dgm:pt modelId="{5CDA5E29-DE93-014D-8763-B7613B23A686}">
      <dgm:prSet phldrT="[Text]" custT="1"/>
      <dgm:spPr/>
      <dgm:t>
        <a:bodyPr/>
        <a:lstStyle/>
        <a:p>
          <a:r>
            <a:rPr lang="en-US" sz="900"/>
            <a:t>Pre-course confidence score</a:t>
          </a:r>
        </a:p>
      </dgm:t>
    </dgm:pt>
    <dgm:pt modelId="{571C5068-3B82-9042-9904-11D8C65EBA09}" type="parTrans" cxnId="{A432F313-09E6-AB4D-9E36-52F50E2DA09B}">
      <dgm:prSet/>
      <dgm:spPr/>
      <dgm:t>
        <a:bodyPr/>
        <a:lstStyle/>
        <a:p>
          <a:endParaRPr lang="en-US" sz="900"/>
        </a:p>
      </dgm:t>
    </dgm:pt>
    <dgm:pt modelId="{5DDD3797-82A1-0640-A5B0-9129567EC1BF}" type="sibTrans" cxnId="{A432F313-09E6-AB4D-9E36-52F50E2DA09B}">
      <dgm:prSet/>
      <dgm:spPr/>
      <dgm:t>
        <a:bodyPr/>
        <a:lstStyle/>
        <a:p>
          <a:endParaRPr lang="en-US" sz="900"/>
        </a:p>
      </dgm:t>
    </dgm:pt>
    <dgm:pt modelId="{A20B5275-DED2-0341-93A0-23C13A30852D}">
      <dgm:prSet phldrT="[Text]" custT="1"/>
      <dgm:spPr/>
      <dgm:t>
        <a:bodyPr/>
        <a:lstStyle/>
        <a:p>
          <a:r>
            <a:rPr lang="en-US" sz="900"/>
            <a:t>Intervention - simulation course and debriefing, formative assessment and feedback</a:t>
          </a:r>
        </a:p>
      </dgm:t>
    </dgm:pt>
    <dgm:pt modelId="{072D56B3-AE25-6146-A8AA-5DAB38ED086B}" type="parTrans" cxnId="{FC281172-3208-3749-8ED6-F56B5DCD4982}">
      <dgm:prSet/>
      <dgm:spPr/>
      <dgm:t>
        <a:bodyPr/>
        <a:lstStyle/>
        <a:p>
          <a:endParaRPr lang="en-US" sz="900"/>
        </a:p>
      </dgm:t>
    </dgm:pt>
    <dgm:pt modelId="{08670EFD-C47A-6E4A-BF66-15C0E9F5F97B}" type="sibTrans" cxnId="{FC281172-3208-3749-8ED6-F56B5DCD4982}">
      <dgm:prSet/>
      <dgm:spPr/>
      <dgm:t>
        <a:bodyPr/>
        <a:lstStyle/>
        <a:p>
          <a:endParaRPr lang="en-US" sz="900"/>
        </a:p>
      </dgm:t>
    </dgm:pt>
    <dgm:pt modelId="{73D5ECFE-85A4-DC47-9D49-5BD8702103EC}">
      <dgm:prSet phldrT="[Text]" custT="1"/>
      <dgm:spPr/>
      <dgm:t>
        <a:bodyPr/>
        <a:lstStyle/>
        <a:p>
          <a:r>
            <a:rPr lang="en-US" sz="900"/>
            <a:t>Pilot study to inform power calculation</a:t>
          </a:r>
        </a:p>
      </dgm:t>
    </dgm:pt>
    <dgm:pt modelId="{69F745CE-4568-554A-9341-D0D32916A8AF}" type="parTrans" cxnId="{6CD3E501-DC4C-DD4B-A051-897A44057F97}">
      <dgm:prSet/>
      <dgm:spPr/>
      <dgm:t>
        <a:bodyPr/>
        <a:lstStyle/>
        <a:p>
          <a:endParaRPr lang="en-US" sz="900"/>
        </a:p>
      </dgm:t>
    </dgm:pt>
    <dgm:pt modelId="{188F9F1D-D16F-D94F-9C22-DFD2AA08A794}" type="sibTrans" cxnId="{6CD3E501-DC4C-DD4B-A051-897A44057F97}">
      <dgm:prSet/>
      <dgm:spPr/>
      <dgm:t>
        <a:bodyPr/>
        <a:lstStyle/>
        <a:p>
          <a:endParaRPr lang="en-US" sz="900"/>
        </a:p>
      </dgm:t>
    </dgm:pt>
    <dgm:pt modelId="{7F262207-69CD-8943-ABB9-777433607AFB}">
      <dgm:prSet phldrT="[Text]" custT="1"/>
      <dgm:spPr/>
      <dgm:t>
        <a:bodyPr/>
        <a:lstStyle/>
        <a:p>
          <a:r>
            <a:rPr lang="en-US" sz="900"/>
            <a:t>Gap analysis</a:t>
          </a:r>
        </a:p>
      </dgm:t>
    </dgm:pt>
    <dgm:pt modelId="{00326649-84B3-8249-BEBC-0CADAB1DCEF6}" type="parTrans" cxnId="{B9CD2C81-7DAC-E840-9FAF-4E6A05AEB8D2}">
      <dgm:prSet/>
      <dgm:spPr/>
      <dgm:t>
        <a:bodyPr/>
        <a:lstStyle/>
        <a:p>
          <a:endParaRPr lang="en-US" sz="900"/>
        </a:p>
      </dgm:t>
    </dgm:pt>
    <dgm:pt modelId="{4D22ABD6-9FF6-BE4C-891E-A7C25B4B6D01}" type="sibTrans" cxnId="{B9CD2C81-7DAC-E840-9FAF-4E6A05AEB8D2}">
      <dgm:prSet/>
      <dgm:spPr/>
      <dgm:t>
        <a:bodyPr/>
        <a:lstStyle/>
        <a:p>
          <a:endParaRPr lang="en-US" sz="900"/>
        </a:p>
      </dgm:t>
    </dgm:pt>
    <dgm:pt modelId="{DE0EBEBD-F543-8348-8FB7-45033FE97FB0}">
      <dgm:prSet phldrT="[Text]" custT="1"/>
      <dgm:spPr/>
      <dgm:t>
        <a:bodyPr/>
        <a:lstStyle/>
        <a:p>
          <a:r>
            <a:rPr lang="en-US" sz="900"/>
            <a:t>Focus groups exploring preparedness</a:t>
          </a:r>
        </a:p>
      </dgm:t>
    </dgm:pt>
    <dgm:pt modelId="{5F287CCE-E1A2-CD48-9D78-F5E861F77072}" type="parTrans" cxnId="{EF2C067F-5346-5F4C-8B92-16C4DD1104A1}">
      <dgm:prSet/>
      <dgm:spPr/>
      <dgm:t>
        <a:bodyPr/>
        <a:lstStyle/>
        <a:p>
          <a:endParaRPr lang="en-US" sz="900"/>
        </a:p>
      </dgm:t>
    </dgm:pt>
    <dgm:pt modelId="{AD154B6F-07D7-2748-9FE4-0BC28E6BB7E0}" type="sibTrans" cxnId="{EF2C067F-5346-5F4C-8B92-16C4DD1104A1}">
      <dgm:prSet/>
      <dgm:spPr/>
      <dgm:t>
        <a:bodyPr/>
        <a:lstStyle/>
        <a:p>
          <a:endParaRPr lang="en-US" sz="900"/>
        </a:p>
      </dgm:t>
    </dgm:pt>
    <dgm:pt modelId="{35CF35BC-B42D-744A-AAEF-8D73A48AB590}">
      <dgm:prSet phldrT="[Text]" custT="1"/>
      <dgm:spPr/>
      <dgm:t>
        <a:bodyPr/>
        <a:lstStyle/>
        <a:p>
          <a:r>
            <a:rPr lang="en-US" sz="900"/>
            <a:t>Undergraduate simulation education consensus group</a:t>
          </a:r>
        </a:p>
      </dgm:t>
    </dgm:pt>
    <dgm:pt modelId="{9D8E325A-56C8-3548-9955-F3E477DF6FD8}" type="parTrans" cxnId="{1904913F-05AC-674F-9607-F74B6A7A4D57}">
      <dgm:prSet/>
      <dgm:spPr/>
      <dgm:t>
        <a:bodyPr/>
        <a:lstStyle/>
        <a:p>
          <a:endParaRPr lang="en-US" sz="900"/>
        </a:p>
      </dgm:t>
    </dgm:pt>
    <dgm:pt modelId="{496C61F4-D1D9-A744-A33C-A09A97D8FE73}" type="sibTrans" cxnId="{1904913F-05AC-674F-9607-F74B6A7A4D57}">
      <dgm:prSet/>
      <dgm:spPr/>
      <dgm:t>
        <a:bodyPr/>
        <a:lstStyle/>
        <a:p>
          <a:endParaRPr lang="en-US" sz="900"/>
        </a:p>
      </dgm:t>
    </dgm:pt>
    <dgm:pt modelId="{0807BF1B-D246-E549-BD8D-481D9EC9631C}">
      <dgm:prSet phldrT="[Text]" custT="1"/>
      <dgm:spPr/>
      <dgm:t>
        <a:bodyPr/>
        <a:lstStyle/>
        <a:p>
          <a:r>
            <a:rPr lang="en-US" sz="900"/>
            <a:t>Post-course confidence score</a:t>
          </a:r>
        </a:p>
      </dgm:t>
    </dgm:pt>
    <dgm:pt modelId="{7AFEF5ED-5A3E-BA49-A1AF-81979A1DD3E0}" type="parTrans" cxnId="{1D0AFB3F-D968-054B-A813-AE44062723DC}">
      <dgm:prSet/>
      <dgm:spPr/>
      <dgm:t>
        <a:bodyPr/>
        <a:lstStyle/>
        <a:p>
          <a:endParaRPr lang="en-US" sz="900"/>
        </a:p>
      </dgm:t>
    </dgm:pt>
    <dgm:pt modelId="{51CB6D8A-E246-E845-9A1E-B518ABF68192}" type="sibTrans" cxnId="{1D0AFB3F-D968-054B-A813-AE44062723DC}">
      <dgm:prSet/>
      <dgm:spPr/>
      <dgm:t>
        <a:bodyPr/>
        <a:lstStyle/>
        <a:p>
          <a:endParaRPr lang="en-US" sz="900"/>
        </a:p>
      </dgm:t>
    </dgm:pt>
    <dgm:pt modelId="{0C5CAB95-2ED7-804E-8948-7EC2D7AC2786}">
      <dgm:prSet phldrT="[Text]" custT="1"/>
      <dgm:spPr/>
      <dgm:t>
        <a:bodyPr/>
        <a:lstStyle/>
        <a:p>
          <a:r>
            <a:rPr lang="en-US" sz="900"/>
            <a:t>Post-course focus group</a:t>
          </a:r>
        </a:p>
      </dgm:t>
    </dgm:pt>
    <dgm:pt modelId="{BCFBD87B-24B6-7446-B166-F78033084EC1}" type="parTrans" cxnId="{A774CDD1-61BD-D041-85C0-72F2870F0EE9}">
      <dgm:prSet/>
      <dgm:spPr/>
      <dgm:t>
        <a:bodyPr/>
        <a:lstStyle/>
        <a:p>
          <a:endParaRPr lang="en-US" sz="900"/>
        </a:p>
      </dgm:t>
    </dgm:pt>
    <dgm:pt modelId="{38D2B75F-572E-9F4A-BE30-36412392D1F3}" type="sibTrans" cxnId="{A774CDD1-61BD-D041-85C0-72F2870F0EE9}">
      <dgm:prSet/>
      <dgm:spPr/>
      <dgm:t>
        <a:bodyPr/>
        <a:lstStyle/>
        <a:p>
          <a:endParaRPr lang="en-US" sz="900"/>
        </a:p>
      </dgm:t>
    </dgm:pt>
    <dgm:pt modelId="{29E7556C-6756-014C-A1C8-4EE9EDB78903}">
      <dgm:prSet phldrT="[Text]" custT="1"/>
      <dgm:spPr/>
      <dgm:t>
        <a:bodyPr/>
        <a:lstStyle/>
        <a:p>
          <a:r>
            <a:rPr lang="en-US" sz="900"/>
            <a:t>1 week post-course confidence score</a:t>
          </a:r>
        </a:p>
      </dgm:t>
    </dgm:pt>
    <dgm:pt modelId="{90B3DAA4-F0BF-D642-9F01-FE22B427078E}" type="parTrans" cxnId="{0D0004CC-0BD0-5B49-8227-9A35FA250C89}">
      <dgm:prSet/>
      <dgm:spPr/>
      <dgm:t>
        <a:bodyPr/>
        <a:lstStyle/>
        <a:p>
          <a:endParaRPr lang="en-US" sz="900"/>
        </a:p>
      </dgm:t>
    </dgm:pt>
    <dgm:pt modelId="{245B465B-BE39-2045-AAAA-5A71A5BECBAB}" type="sibTrans" cxnId="{0D0004CC-0BD0-5B49-8227-9A35FA250C89}">
      <dgm:prSet/>
      <dgm:spPr/>
      <dgm:t>
        <a:bodyPr/>
        <a:lstStyle/>
        <a:p>
          <a:endParaRPr lang="en-US" sz="900"/>
        </a:p>
      </dgm:t>
    </dgm:pt>
    <dgm:pt modelId="{1BA159C6-639B-CC4C-B925-F63A5B81B580}">
      <dgm:prSet phldrT="[Text]" custT="1"/>
      <dgm:spPr/>
      <dgm:t>
        <a:bodyPr/>
        <a:lstStyle/>
        <a:p>
          <a:r>
            <a:rPr lang="en-US" sz="900"/>
            <a:t>University 1 intervention group</a:t>
          </a:r>
        </a:p>
      </dgm:t>
    </dgm:pt>
    <dgm:pt modelId="{CB355897-09E0-9342-BE29-7F5BF495B686}" type="parTrans" cxnId="{182D1A98-5DA1-D94C-BE9D-60ADA14FC566}">
      <dgm:prSet/>
      <dgm:spPr/>
      <dgm:t>
        <a:bodyPr/>
        <a:lstStyle/>
        <a:p>
          <a:endParaRPr lang="en-US" sz="900"/>
        </a:p>
      </dgm:t>
    </dgm:pt>
    <dgm:pt modelId="{4F8A51C5-2380-3A42-AB66-CE24958BB236}" type="sibTrans" cxnId="{182D1A98-5DA1-D94C-BE9D-60ADA14FC566}">
      <dgm:prSet/>
      <dgm:spPr/>
      <dgm:t>
        <a:bodyPr/>
        <a:lstStyle/>
        <a:p>
          <a:endParaRPr lang="en-US" sz="900"/>
        </a:p>
      </dgm:t>
    </dgm:pt>
    <dgm:pt modelId="{9CB5D7D4-F26B-A746-82EE-0EBE4D8BBF60}">
      <dgm:prSet phldrT="[Text]" custT="1"/>
      <dgm:spPr/>
      <dgm:t>
        <a:bodyPr/>
        <a:lstStyle/>
        <a:p>
          <a:r>
            <a:rPr lang="en-US" sz="900"/>
            <a:t>University 1 non-intervention group</a:t>
          </a:r>
        </a:p>
      </dgm:t>
    </dgm:pt>
    <dgm:pt modelId="{2932BFB9-A863-9240-9843-483230651905}" type="parTrans" cxnId="{1EEA93C7-FCD2-E146-B596-FBEDD98103A8}">
      <dgm:prSet/>
      <dgm:spPr/>
      <dgm:t>
        <a:bodyPr/>
        <a:lstStyle/>
        <a:p>
          <a:endParaRPr lang="en-US" sz="900"/>
        </a:p>
      </dgm:t>
    </dgm:pt>
    <dgm:pt modelId="{BEB2673F-4EF8-C44C-82FD-316A35C6D6F3}" type="sibTrans" cxnId="{1EEA93C7-FCD2-E146-B596-FBEDD98103A8}">
      <dgm:prSet/>
      <dgm:spPr/>
      <dgm:t>
        <a:bodyPr/>
        <a:lstStyle/>
        <a:p>
          <a:endParaRPr lang="en-US" sz="900"/>
        </a:p>
      </dgm:t>
    </dgm:pt>
    <dgm:pt modelId="{670AC9CC-D869-EF4D-8DE4-1CBCD6BB2B67}">
      <dgm:prSet phldrT="[Text]" custT="1"/>
      <dgm:spPr/>
      <dgm:t>
        <a:bodyPr/>
        <a:lstStyle/>
        <a:p>
          <a:r>
            <a:rPr lang="en-US" sz="900"/>
            <a:t>1 month in to FY1 confidence score</a:t>
          </a:r>
        </a:p>
      </dgm:t>
    </dgm:pt>
    <dgm:pt modelId="{ED27B64F-5637-144B-B35D-88A88E0E536E}" type="parTrans" cxnId="{C489F174-CEAC-3747-8762-D26EC65CBCC3}">
      <dgm:prSet/>
      <dgm:spPr/>
      <dgm:t>
        <a:bodyPr/>
        <a:lstStyle/>
        <a:p>
          <a:endParaRPr lang="en-US" sz="900"/>
        </a:p>
      </dgm:t>
    </dgm:pt>
    <dgm:pt modelId="{D37CC452-08D2-0F49-B39A-CA5A79FAC306}" type="sibTrans" cxnId="{C489F174-CEAC-3747-8762-D26EC65CBCC3}">
      <dgm:prSet/>
      <dgm:spPr/>
      <dgm:t>
        <a:bodyPr/>
        <a:lstStyle/>
        <a:p>
          <a:endParaRPr lang="en-US" sz="900"/>
        </a:p>
      </dgm:t>
    </dgm:pt>
    <dgm:pt modelId="{4D6D181E-6163-9A4D-AF13-CED69BD8FA96}">
      <dgm:prSet phldrT="[Text]" custT="1"/>
      <dgm:spPr/>
      <dgm:t>
        <a:bodyPr/>
        <a:lstStyle/>
        <a:p>
          <a:r>
            <a:rPr lang="en-US" sz="900"/>
            <a:t>Interviews with simulation medical education experts</a:t>
          </a:r>
        </a:p>
      </dgm:t>
    </dgm:pt>
    <dgm:pt modelId="{1A95811C-42B0-634C-A613-89BF43B71EC1}" type="parTrans" cxnId="{88C4D7B6-D29C-E042-9BA0-0E55BE32D420}">
      <dgm:prSet/>
      <dgm:spPr/>
      <dgm:t>
        <a:bodyPr/>
        <a:lstStyle/>
        <a:p>
          <a:endParaRPr lang="en-US" sz="900"/>
        </a:p>
      </dgm:t>
    </dgm:pt>
    <dgm:pt modelId="{9B2A4B86-C124-8F48-B946-79CB7C909D6B}" type="sibTrans" cxnId="{88C4D7B6-D29C-E042-9BA0-0E55BE32D420}">
      <dgm:prSet/>
      <dgm:spPr/>
      <dgm:t>
        <a:bodyPr/>
        <a:lstStyle/>
        <a:p>
          <a:endParaRPr lang="en-US" sz="900"/>
        </a:p>
      </dgm:t>
    </dgm:pt>
    <dgm:pt modelId="{ABA4CD46-95E1-FC49-98F0-E8EAE0898C6C}">
      <dgm:prSet phldrT="[Text]" custT="1"/>
      <dgm:spPr/>
      <dgm:t>
        <a:bodyPr/>
        <a:lstStyle/>
        <a:p>
          <a:r>
            <a:rPr lang="en-US" sz="900"/>
            <a:t>Triangulation of data</a:t>
          </a:r>
        </a:p>
      </dgm:t>
    </dgm:pt>
    <dgm:pt modelId="{B811DE2D-7C01-2E40-9E86-68DD15F378CF}" type="parTrans" cxnId="{E7258376-7581-7146-8DA4-0E061F2C7B64}">
      <dgm:prSet/>
      <dgm:spPr/>
      <dgm:t>
        <a:bodyPr/>
        <a:lstStyle/>
        <a:p>
          <a:endParaRPr lang="en-US" sz="900"/>
        </a:p>
      </dgm:t>
    </dgm:pt>
    <dgm:pt modelId="{675AF894-FBFC-B24B-AC29-497A39DA615A}" type="sibTrans" cxnId="{E7258376-7581-7146-8DA4-0E061F2C7B64}">
      <dgm:prSet/>
      <dgm:spPr/>
      <dgm:t>
        <a:bodyPr/>
        <a:lstStyle/>
        <a:p>
          <a:endParaRPr lang="en-US" sz="900"/>
        </a:p>
      </dgm:t>
    </dgm:pt>
    <dgm:pt modelId="{02E44916-3046-EC47-85F6-E67DB53CF81D}">
      <dgm:prSet phldrT="[Text]" custT="1"/>
      <dgm:spPr/>
      <dgm:t>
        <a:bodyPr/>
        <a:lstStyle/>
        <a:p>
          <a:r>
            <a:rPr lang="en-US" sz="900"/>
            <a:t>Quantitiative data analysis</a:t>
          </a:r>
        </a:p>
      </dgm:t>
    </dgm:pt>
    <dgm:pt modelId="{75B2C102-3FB9-F44B-AF9E-F011DEF84978}" type="parTrans" cxnId="{EE72C875-7127-1F4D-BE21-046CC2ED9367}">
      <dgm:prSet/>
      <dgm:spPr/>
      <dgm:t>
        <a:bodyPr/>
        <a:lstStyle/>
        <a:p>
          <a:endParaRPr lang="en-US"/>
        </a:p>
      </dgm:t>
    </dgm:pt>
    <dgm:pt modelId="{60B1D202-91E3-F243-A23B-0C91709C133B}" type="sibTrans" cxnId="{EE72C875-7127-1F4D-BE21-046CC2ED9367}">
      <dgm:prSet/>
      <dgm:spPr/>
      <dgm:t>
        <a:bodyPr/>
        <a:lstStyle/>
        <a:p>
          <a:endParaRPr lang="en-US"/>
        </a:p>
      </dgm:t>
    </dgm:pt>
    <dgm:pt modelId="{6BD558FB-E27E-ED4B-8A16-9CD3C3E0C4D9}">
      <dgm:prSet phldrT="[Text]" custT="1"/>
      <dgm:spPr/>
      <dgm:t>
        <a:bodyPr/>
        <a:lstStyle/>
        <a:p>
          <a:r>
            <a:rPr lang="en-US" sz="900"/>
            <a:t>Qualitative data analysis</a:t>
          </a:r>
        </a:p>
      </dgm:t>
    </dgm:pt>
    <dgm:pt modelId="{B2A4564A-3818-504B-9AB4-0B2C56257360}" type="parTrans" cxnId="{9A001FEF-D3A2-E042-BDF7-36FAAB0967B3}">
      <dgm:prSet/>
      <dgm:spPr/>
      <dgm:t>
        <a:bodyPr/>
        <a:lstStyle/>
        <a:p>
          <a:endParaRPr lang="en-US"/>
        </a:p>
      </dgm:t>
    </dgm:pt>
    <dgm:pt modelId="{6A1A3407-B3B6-494D-A720-BA8E52409C31}" type="sibTrans" cxnId="{9A001FEF-D3A2-E042-BDF7-36FAAB0967B3}">
      <dgm:prSet/>
      <dgm:spPr/>
      <dgm:t>
        <a:bodyPr/>
        <a:lstStyle/>
        <a:p>
          <a:endParaRPr lang="en-US"/>
        </a:p>
      </dgm:t>
    </dgm:pt>
    <dgm:pt modelId="{4234BBF0-37BE-0B4A-BBB8-1E38AC25AEC1}">
      <dgm:prSet phldrT="[Text]" custT="1"/>
      <dgm:spPr/>
      <dgm:t>
        <a:bodyPr/>
        <a:lstStyle/>
        <a:p>
          <a:r>
            <a:rPr lang="en-US" sz="900"/>
            <a:t>Qualitative data analysis - framework analysis</a:t>
          </a:r>
        </a:p>
      </dgm:t>
    </dgm:pt>
    <dgm:pt modelId="{55C8F583-FA8E-DC41-92FA-3A47E8E53F12}" type="parTrans" cxnId="{F6EE9BF6-6099-C745-A344-A40AD452E14F}">
      <dgm:prSet/>
      <dgm:spPr/>
      <dgm:t>
        <a:bodyPr/>
        <a:lstStyle/>
        <a:p>
          <a:endParaRPr lang="en-US"/>
        </a:p>
      </dgm:t>
    </dgm:pt>
    <dgm:pt modelId="{09D5A74C-68D3-0B44-A78A-5B07529F47F7}" type="sibTrans" cxnId="{F6EE9BF6-6099-C745-A344-A40AD452E14F}">
      <dgm:prSet/>
      <dgm:spPr/>
      <dgm:t>
        <a:bodyPr/>
        <a:lstStyle/>
        <a:p>
          <a:endParaRPr lang="en-US"/>
        </a:p>
      </dgm:t>
    </dgm:pt>
    <dgm:pt modelId="{4F9664FC-E371-AD4A-A304-AE24469B0F23}">
      <dgm:prSet phldrT="[Text]" custT="1"/>
      <dgm:spPr/>
      <dgm:t>
        <a:bodyPr/>
        <a:lstStyle/>
        <a:p>
          <a:r>
            <a:rPr lang="en-US" sz="900"/>
            <a:t>Qualitative data analysis</a:t>
          </a:r>
        </a:p>
      </dgm:t>
    </dgm:pt>
    <dgm:pt modelId="{6FCAF0CC-6C69-1548-A2FD-6F6B1DA6E0FC}" type="parTrans" cxnId="{1C132405-F17D-2D46-A364-DBCF415220B6}">
      <dgm:prSet/>
      <dgm:spPr/>
      <dgm:t>
        <a:bodyPr/>
        <a:lstStyle/>
        <a:p>
          <a:endParaRPr lang="en-US"/>
        </a:p>
      </dgm:t>
    </dgm:pt>
    <dgm:pt modelId="{2F9837D2-A8DD-F640-A76D-C791E1F34C91}" type="sibTrans" cxnId="{1C132405-F17D-2D46-A364-DBCF415220B6}">
      <dgm:prSet/>
      <dgm:spPr/>
      <dgm:t>
        <a:bodyPr/>
        <a:lstStyle/>
        <a:p>
          <a:endParaRPr lang="en-US"/>
        </a:p>
      </dgm:t>
    </dgm:pt>
    <dgm:pt modelId="{2513D36F-4D6D-4149-AD46-94DB9572F995}" type="pres">
      <dgm:prSet presAssocID="{013F0529-17D1-604E-B416-7D4D2944850A}" presName="Name0" presStyleCnt="0">
        <dgm:presLayoutVars>
          <dgm:dir/>
          <dgm:animLvl val="lvl"/>
          <dgm:resizeHandles val="exact"/>
        </dgm:presLayoutVars>
      </dgm:prSet>
      <dgm:spPr/>
    </dgm:pt>
    <dgm:pt modelId="{E72B764B-216B-4E4D-84F6-593D5194EC86}" type="pres">
      <dgm:prSet presAssocID="{ABA4CD46-95E1-FC49-98F0-E8EAE0898C6C}" presName="boxAndChildren" presStyleCnt="0"/>
      <dgm:spPr/>
    </dgm:pt>
    <dgm:pt modelId="{0E6AEBEA-0DCA-4C4F-9591-604757AE1D18}" type="pres">
      <dgm:prSet presAssocID="{ABA4CD46-95E1-FC49-98F0-E8EAE0898C6C}" presName="parentTextBox" presStyleLbl="node1" presStyleIdx="0" presStyleCnt="12"/>
      <dgm:spPr/>
    </dgm:pt>
    <dgm:pt modelId="{2875B7C1-D31F-324C-9AD6-32036915E639}" type="pres">
      <dgm:prSet presAssocID="{ABA4CD46-95E1-FC49-98F0-E8EAE0898C6C}" presName="entireBox" presStyleLbl="node1" presStyleIdx="0" presStyleCnt="12"/>
      <dgm:spPr/>
    </dgm:pt>
    <dgm:pt modelId="{62BF5B26-EAEB-364B-B28B-9F0DE1C363D1}" type="pres">
      <dgm:prSet presAssocID="{ABA4CD46-95E1-FC49-98F0-E8EAE0898C6C}" presName="descendantBox" presStyleCnt="0"/>
      <dgm:spPr/>
    </dgm:pt>
    <dgm:pt modelId="{64D70E79-10B7-3640-B997-ABB7E2A7E4CB}" type="pres">
      <dgm:prSet presAssocID="{4234BBF0-37BE-0B4A-BBB8-1E38AC25AEC1}" presName="childTextBox" presStyleLbl="fgAccFollowNode1" presStyleIdx="0" presStyleCnt="12">
        <dgm:presLayoutVars>
          <dgm:bulletEnabled val="1"/>
        </dgm:presLayoutVars>
      </dgm:prSet>
      <dgm:spPr/>
    </dgm:pt>
    <dgm:pt modelId="{6D744A93-42D2-F344-8F5A-106D6F7E8665}" type="pres">
      <dgm:prSet presAssocID="{9B2A4B86-C124-8F48-B946-79CB7C909D6B}" presName="sp" presStyleCnt="0"/>
      <dgm:spPr/>
    </dgm:pt>
    <dgm:pt modelId="{A3A5F486-B2AA-9D44-B194-090BD8643B65}" type="pres">
      <dgm:prSet presAssocID="{4D6D181E-6163-9A4D-AF13-CED69BD8FA96}" presName="arrowAndChildren" presStyleCnt="0"/>
      <dgm:spPr/>
    </dgm:pt>
    <dgm:pt modelId="{F0A5B96F-5261-A248-9C64-A308DFC89671}" type="pres">
      <dgm:prSet presAssocID="{4D6D181E-6163-9A4D-AF13-CED69BD8FA96}" presName="parentTextArrow" presStyleLbl="node1" presStyleIdx="0" presStyleCnt="12"/>
      <dgm:spPr/>
    </dgm:pt>
    <dgm:pt modelId="{0471EA41-1701-2B48-BAF1-2118FB24B64A}" type="pres">
      <dgm:prSet presAssocID="{4D6D181E-6163-9A4D-AF13-CED69BD8FA96}" presName="arrow" presStyleLbl="node1" presStyleIdx="1" presStyleCnt="12"/>
      <dgm:spPr/>
    </dgm:pt>
    <dgm:pt modelId="{F9F470F3-F864-0E47-A216-485EAFAFD126}" type="pres">
      <dgm:prSet presAssocID="{4D6D181E-6163-9A4D-AF13-CED69BD8FA96}" presName="descendantArrow" presStyleCnt="0"/>
      <dgm:spPr/>
    </dgm:pt>
    <dgm:pt modelId="{4DBDD18E-20FF-7448-A599-60B372B31B5D}" type="pres">
      <dgm:prSet presAssocID="{6BD558FB-E27E-ED4B-8A16-9CD3C3E0C4D9}" presName="childTextArrow" presStyleLbl="fgAccFollowNode1" presStyleIdx="1" presStyleCnt="12">
        <dgm:presLayoutVars>
          <dgm:bulletEnabled val="1"/>
        </dgm:presLayoutVars>
      </dgm:prSet>
      <dgm:spPr/>
    </dgm:pt>
    <dgm:pt modelId="{BBD042C9-2FCE-BA49-B6DE-4EF344EFCACD}" type="pres">
      <dgm:prSet presAssocID="{D37CC452-08D2-0F49-B39A-CA5A79FAC306}" presName="sp" presStyleCnt="0"/>
      <dgm:spPr/>
    </dgm:pt>
    <dgm:pt modelId="{6FDBBDB6-0290-E54F-8809-EF2F5D8CBFDF}" type="pres">
      <dgm:prSet presAssocID="{670AC9CC-D869-EF4D-8DE4-1CBCD6BB2B67}" presName="arrowAndChildren" presStyleCnt="0"/>
      <dgm:spPr/>
    </dgm:pt>
    <dgm:pt modelId="{FC048C62-C582-5F4F-9A9B-5499EAA5CCFF}" type="pres">
      <dgm:prSet presAssocID="{670AC9CC-D869-EF4D-8DE4-1CBCD6BB2B67}" presName="parentTextArrow" presStyleLbl="node1" presStyleIdx="1" presStyleCnt="12"/>
      <dgm:spPr/>
    </dgm:pt>
    <dgm:pt modelId="{29A59A84-E6C9-FF45-BE7E-DDA80A741364}" type="pres">
      <dgm:prSet presAssocID="{670AC9CC-D869-EF4D-8DE4-1CBCD6BB2B67}" presName="arrow" presStyleLbl="node1" presStyleIdx="2" presStyleCnt="12"/>
      <dgm:spPr/>
    </dgm:pt>
    <dgm:pt modelId="{910914DC-3B48-B248-9551-78EA892D68EB}" type="pres">
      <dgm:prSet presAssocID="{670AC9CC-D869-EF4D-8DE4-1CBCD6BB2B67}" presName="descendantArrow" presStyleCnt="0"/>
      <dgm:spPr/>
    </dgm:pt>
    <dgm:pt modelId="{36198E56-9648-AD48-B3CE-80EAF1101355}" type="pres">
      <dgm:prSet presAssocID="{02E44916-3046-EC47-85F6-E67DB53CF81D}" presName="childTextArrow" presStyleLbl="fgAccFollowNode1" presStyleIdx="2" presStyleCnt="12">
        <dgm:presLayoutVars>
          <dgm:bulletEnabled val="1"/>
        </dgm:presLayoutVars>
      </dgm:prSet>
      <dgm:spPr/>
    </dgm:pt>
    <dgm:pt modelId="{95120C0F-549A-BA48-B1AA-266412691A59}" type="pres">
      <dgm:prSet presAssocID="{245B465B-BE39-2045-AAAA-5A71A5BECBAB}" presName="sp" presStyleCnt="0"/>
      <dgm:spPr/>
    </dgm:pt>
    <dgm:pt modelId="{BAB2CC07-A30A-6F4D-9E37-0D8761C7AE83}" type="pres">
      <dgm:prSet presAssocID="{29E7556C-6756-014C-A1C8-4EE9EDB78903}" presName="arrowAndChildren" presStyleCnt="0"/>
      <dgm:spPr/>
    </dgm:pt>
    <dgm:pt modelId="{AF90705C-3412-2444-B17B-C35FD4426760}" type="pres">
      <dgm:prSet presAssocID="{29E7556C-6756-014C-A1C8-4EE9EDB78903}" presName="parentTextArrow" presStyleLbl="node1" presStyleIdx="3" presStyleCnt="12"/>
      <dgm:spPr/>
    </dgm:pt>
    <dgm:pt modelId="{863C49D1-3733-994D-9076-549C12029A68}" type="pres">
      <dgm:prSet presAssocID="{38D2B75F-572E-9F4A-BE30-36412392D1F3}" presName="sp" presStyleCnt="0"/>
      <dgm:spPr/>
    </dgm:pt>
    <dgm:pt modelId="{3DF853E0-2F6A-8242-BAA3-BF0C93D3E9AA}" type="pres">
      <dgm:prSet presAssocID="{0C5CAB95-2ED7-804E-8948-7EC2D7AC2786}" presName="arrowAndChildren" presStyleCnt="0"/>
      <dgm:spPr/>
    </dgm:pt>
    <dgm:pt modelId="{A4C81E56-9056-1842-B3B1-A826B8003B9A}" type="pres">
      <dgm:prSet presAssocID="{0C5CAB95-2ED7-804E-8948-7EC2D7AC2786}" presName="parentTextArrow" presStyleLbl="node1" presStyleIdx="3" presStyleCnt="12"/>
      <dgm:spPr/>
    </dgm:pt>
    <dgm:pt modelId="{4B8BB9C9-46E1-A346-83EA-83F68DB63AA8}" type="pres">
      <dgm:prSet presAssocID="{0C5CAB95-2ED7-804E-8948-7EC2D7AC2786}" presName="arrow" presStyleLbl="node1" presStyleIdx="4" presStyleCnt="12"/>
      <dgm:spPr/>
    </dgm:pt>
    <dgm:pt modelId="{07546BA2-B604-A44F-A034-AAE2EA599A9B}" type="pres">
      <dgm:prSet presAssocID="{0C5CAB95-2ED7-804E-8948-7EC2D7AC2786}" presName="descendantArrow" presStyleCnt="0"/>
      <dgm:spPr/>
    </dgm:pt>
    <dgm:pt modelId="{0B9CC5B5-8CE8-0D42-B512-B83484BE2A7F}" type="pres">
      <dgm:prSet presAssocID="{4F9664FC-E371-AD4A-A304-AE24469B0F23}" presName="childTextArrow" presStyleLbl="fgAccFollowNode1" presStyleIdx="3" presStyleCnt="12">
        <dgm:presLayoutVars>
          <dgm:bulletEnabled val="1"/>
        </dgm:presLayoutVars>
      </dgm:prSet>
      <dgm:spPr/>
    </dgm:pt>
    <dgm:pt modelId="{BBFEBB0A-00BC-874C-8BF7-2EE213E093A0}" type="pres">
      <dgm:prSet presAssocID="{51CB6D8A-E246-E845-9A1E-B518ABF68192}" presName="sp" presStyleCnt="0"/>
      <dgm:spPr/>
    </dgm:pt>
    <dgm:pt modelId="{87249297-3008-244B-A8B1-4FEE5DBD73F9}" type="pres">
      <dgm:prSet presAssocID="{0807BF1B-D246-E549-BD8D-481D9EC9631C}" presName="arrowAndChildren" presStyleCnt="0"/>
      <dgm:spPr/>
    </dgm:pt>
    <dgm:pt modelId="{78358D94-B83D-F24A-B947-E5EEEF6E8F11}" type="pres">
      <dgm:prSet presAssocID="{0807BF1B-D246-E549-BD8D-481D9EC9631C}" presName="parentTextArrow" presStyleLbl="node1" presStyleIdx="5" presStyleCnt="12"/>
      <dgm:spPr/>
    </dgm:pt>
    <dgm:pt modelId="{A5714841-CD27-0642-AB14-6983E004C76E}" type="pres">
      <dgm:prSet presAssocID="{08670EFD-C47A-6E4A-BF66-15C0E9F5F97B}" presName="sp" presStyleCnt="0"/>
      <dgm:spPr/>
    </dgm:pt>
    <dgm:pt modelId="{647321BE-BF60-3C4A-9D53-38DD70BCCA11}" type="pres">
      <dgm:prSet presAssocID="{A20B5275-DED2-0341-93A0-23C13A30852D}" presName="arrowAndChildren" presStyleCnt="0"/>
      <dgm:spPr/>
    </dgm:pt>
    <dgm:pt modelId="{E0364FD5-2446-D040-873A-CD6A6ED75FAA}" type="pres">
      <dgm:prSet presAssocID="{A20B5275-DED2-0341-93A0-23C13A30852D}" presName="parentTextArrow" presStyleLbl="node1" presStyleIdx="6" presStyleCnt="12"/>
      <dgm:spPr/>
    </dgm:pt>
    <dgm:pt modelId="{C7E47320-7738-8247-A2A2-E7B221E04261}" type="pres">
      <dgm:prSet presAssocID="{5DDD3797-82A1-0640-A5B0-9129567EC1BF}" presName="sp" presStyleCnt="0"/>
      <dgm:spPr/>
    </dgm:pt>
    <dgm:pt modelId="{36B48FE1-73B1-964F-94D8-BAB71FC469C7}" type="pres">
      <dgm:prSet presAssocID="{5CDA5E29-DE93-014D-8763-B7613B23A686}" presName="arrowAndChildren" presStyleCnt="0"/>
      <dgm:spPr/>
    </dgm:pt>
    <dgm:pt modelId="{AE94CAE2-647D-5D45-8FDB-163198A6EB3D}" type="pres">
      <dgm:prSet presAssocID="{5CDA5E29-DE93-014D-8763-B7613B23A686}" presName="parentTextArrow" presStyleLbl="node1" presStyleIdx="7" presStyleCnt="12"/>
      <dgm:spPr/>
    </dgm:pt>
    <dgm:pt modelId="{87B664BC-8E52-B743-9CA2-A054870689C0}" type="pres">
      <dgm:prSet presAssocID="{3F18806C-B01F-C94F-90FB-67C22E1016CC}" presName="sp" presStyleCnt="0"/>
      <dgm:spPr/>
    </dgm:pt>
    <dgm:pt modelId="{8EC12610-5134-B049-8E01-170670A637C1}" type="pres">
      <dgm:prSet presAssocID="{36585A50-46EB-B143-A906-9A3B5E584020}" presName="arrowAndChildren" presStyleCnt="0"/>
      <dgm:spPr/>
    </dgm:pt>
    <dgm:pt modelId="{5A259DC9-F260-C64E-8262-60C749C95C01}" type="pres">
      <dgm:prSet presAssocID="{36585A50-46EB-B143-A906-9A3B5E584020}" presName="parentTextArrow" presStyleLbl="node1" presStyleIdx="7" presStyleCnt="12"/>
      <dgm:spPr/>
    </dgm:pt>
    <dgm:pt modelId="{D73C6786-C55A-E94E-AAD8-2A49A7EDC771}" type="pres">
      <dgm:prSet presAssocID="{36585A50-46EB-B143-A906-9A3B5E584020}" presName="arrow" presStyleLbl="node1" presStyleIdx="8" presStyleCnt="12"/>
      <dgm:spPr/>
    </dgm:pt>
    <dgm:pt modelId="{37540F02-ACD7-4442-B7DF-81335FF618F0}" type="pres">
      <dgm:prSet presAssocID="{36585A50-46EB-B143-A906-9A3B5E584020}" presName="descendantArrow" presStyleCnt="0"/>
      <dgm:spPr/>
    </dgm:pt>
    <dgm:pt modelId="{32632779-F85A-9148-BDC4-EF7B905CE3CB}" type="pres">
      <dgm:prSet presAssocID="{F5693FD8-E999-0441-A710-23FB248B96A5}" presName="childTextArrow" presStyleLbl="fgAccFollowNode1" presStyleIdx="4" presStyleCnt="12">
        <dgm:presLayoutVars>
          <dgm:bulletEnabled val="1"/>
        </dgm:presLayoutVars>
      </dgm:prSet>
      <dgm:spPr/>
    </dgm:pt>
    <dgm:pt modelId="{34F41F97-1613-7F4E-A99F-452FC1FBAAAE}" type="pres">
      <dgm:prSet presAssocID="{9BBDFF6F-FE34-3C45-AFEE-B222B90EE783}" presName="childTextArrow" presStyleLbl="fgAccFollowNode1" presStyleIdx="5" presStyleCnt="12">
        <dgm:presLayoutVars>
          <dgm:bulletEnabled val="1"/>
        </dgm:presLayoutVars>
      </dgm:prSet>
      <dgm:spPr/>
    </dgm:pt>
    <dgm:pt modelId="{A48B974C-FA14-F04B-96DA-941C7FC9450A}" type="pres">
      <dgm:prSet presAssocID="{188F9F1D-D16F-D94F-9C22-DFD2AA08A794}" presName="sp" presStyleCnt="0"/>
      <dgm:spPr/>
    </dgm:pt>
    <dgm:pt modelId="{D0F4E9BD-E1F4-8C46-89E6-ADB7CFEF41B8}" type="pres">
      <dgm:prSet presAssocID="{73D5ECFE-85A4-DC47-9D49-5BD8702103EC}" presName="arrowAndChildren" presStyleCnt="0"/>
      <dgm:spPr/>
    </dgm:pt>
    <dgm:pt modelId="{1E3D165C-F499-514F-BA86-3886A4C67A15}" type="pres">
      <dgm:prSet presAssocID="{73D5ECFE-85A4-DC47-9D49-5BD8702103EC}" presName="parentTextArrow" presStyleLbl="node1" presStyleIdx="8" presStyleCnt="12"/>
      <dgm:spPr/>
    </dgm:pt>
    <dgm:pt modelId="{C71D14CE-CFE0-714B-B1DD-659358804958}" type="pres">
      <dgm:prSet presAssocID="{73D5ECFE-85A4-DC47-9D49-5BD8702103EC}" presName="arrow" presStyleLbl="node1" presStyleIdx="9" presStyleCnt="12"/>
      <dgm:spPr/>
    </dgm:pt>
    <dgm:pt modelId="{D52C02BD-DC01-C944-8717-B3B0D430E40B}" type="pres">
      <dgm:prSet presAssocID="{73D5ECFE-85A4-DC47-9D49-5BD8702103EC}" presName="descendantArrow" presStyleCnt="0"/>
      <dgm:spPr/>
    </dgm:pt>
    <dgm:pt modelId="{1BAC1449-CAF7-BF48-814F-882F16A41E07}" type="pres">
      <dgm:prSet presAssocID="{1BA159C6-639B-CC4C-B925-F63A5B81B580}" presName="childTextArrow" presStyleLbl="fgAccFollowNode1" presStyleIdx="6" presStyleCnt="12">
        <dgm:presLayoutVars>
          <dgm:bulletEnabled val="1"/>
        </dgm:presLayoutVars>
      </dgm:prSet>
      <dgm:spPr/>
    </dgm:pt>
    <dgm:pt modelId="{90E74933-C300-E249-9F72-4246E643963A}" type="pres">
      <dgm:prSet presAssocID="{9CB5D7D4-F26B-A746-82EE-0EBE4D8BBF60}" presName="childTextArrow" presStyleLbl="fgAccFollowNode1" presStyleIdx="7" presStyleCnt="12">
        <dgm:presLayoutVars>
          <dgm:bulletEnabled val="1"/>
        </dgm:presLayoutVars>
      </dgm:prSet>
      <dgm:spPr/>
    </dgm:pt>
    <dgm:pt modelId="{9ACBEE45-7D0B-EC40-9C16-521D0CE60976}" type="pres">
      <dgm:prSet presAssocID="{5F2B7482-21C5-1548-A48E-DD4AE1D95C56}" presName="sp" presStyleCnt="0"/>
      <dgm:spPr/>
    </dgm:pt>
    <dgm:pt modelId="{8FDC73E7-0504-7E41-819C-093A12859B9D}" type="pres">
      <dgm:prSet presAssocID="{91DB4E2E-C729-544B-904E-75435342611F}" presName="arrowAndChildren" presStyleCnt="0"/>
      <dgm:spPr/>
    </dgm:pt>
    <dgm:pt modelId="{17A65D1E-ED7E-4548-B653-19988DFE969A}" type="pres">
      <dgm:prSet presAssocID="{91DB4E2E-C729-544B-904E-75435342611F}" presName="parentTextArrow" presStyleLbl="node1" presStyleIdx="9" presStyleCnt="12"/>
      <dgm:spPr/>
    </dgm:pt>
    <dgm:pt modelId="{59330F99-BD5E-484C-95FB-2814E1D1920E}" type="pres">
      <dgm:prSet presAssocID="{91DB4E2E-C729-544B-904E-75435342611F}" presName="arrow" presStyleLbl="node1" presStyleIdx="10" presStyleCnt="12"/>
      <dgm:spPr/>
    </dgm:pt>
    <dgm:pt modelId="{6280458E-84DC-244D-811D-89EA8D288F48}" type="pres">
      <dgm:prSet presAssocID="{91DB4E2E-C729-544B-904E-75435342611F}" presName="descendantArrow" presStyleCnt="0"/>
      <dgm:spPr/>
    </dgm:pt>
    <dgm:pt modelId="{0C1D6D71-B6B8-8142-97D7-38FDC5AABCD3}" type="pres">
      <dgm:prSet presAssocID="{4115DAE5-2846-5144-926C-17C10B0CDD0B}" presName="childTextArrow" presStyleLbl="fgAccFollowNode1" presStyleIdx="8" presStyleCnt="12">
        <dgm:presLayoutVars>
          <dgm:bulletEnabled val="1"/>
        </dgm:presLayoutVars>
      </dgm:prSet>
      <dgm:spPr/>
    </dgm:pt>
    <dgm:pt modelId="{6A07510D-DB31-9244-93B9-5EA82ACFD5F0}" type="pres">
      <dgm:prSet presAssocID="{E8DE5831-2479-674A-84A4-EB0891444E0B}" presName="childTextArrow" presStyleLbl="fgAccFollowNode1" presStyleIdx="9" presStyleCnt="12">
        <dgm:presLayoutVars>
          <dgm:bulletEnabled val="1"/>
        </dgm:presLayoutVars>
      </dgm:prSet>
      <dgm:spPr/>
    </dgm:pt>
    <dgm:pt modelId="{E1D9F7F9-C120-154B-B9E8-82328A95D924}" type="pres">
      <dgm:prSet presAssocID="{4D22ABD6-9FF6-BE4C-891E-A7C25B4B6D01}" presName="sp" presStyleCnt="0"/>
      <dgm:spPr/>
    </dgm:pt>
    <dgm:pt modelId="{BE7A3E80-5C13-F340-B96B-79DA963E3F6F}" type="pres">
      <dgm:prSet presAssocID="{7F262207-69CD-8943-ABB9-777433607AFB}" presName="arrowAndChildren" presStyleCnt="0"/>
      <dgm:spPr/>
    </dgm:pt>
    <dgm:pt modelId="{D51A36A5-0F7A-634C-B187-40638B084AA0}" type="pres">
      <dgm:prSet presAssocID="{7F262207-69CD-8943-ABB9-777433607AFB}" presName="parentTextArrow" presStyleLbl="node1" presStyleIdx="10" presStyleCnt="12"/>
      <dgm:spPr/>
    </dgm:pt>
    <dgm:pt modelId="{BF4829AC-7A6D-444A-BABF-7CB25AD74360}" type="pres">
      <dgm:prSet presAssocID="{7F262207-69CD-8943-ABB9-777433607AFB}" presName="arrow" presStyleLbl="node1" presStyleIdx="11" presStyleCnt="12"/>
      <dgm:spPr/>
    </dgm:pt>
    <dgm:pt modelId="{BC796039-85C6-C443-AE7E-3E297BA6124E}" type="pres">
      <dgm:prSet presAssocID="{7F262207-69CD-8943-ABB9-777433607AFB}" presName="descendantArrow" presStyleCnt="0"/>
      <dgm:spPr/>
    </dgm:pt>
    <dgm:pt modelId="{61A96116-543C-3C48-A1C3-6E2F3E7436AC}" type="pres">
      <dgm:prSet presAssocID="{DE0EBEBD-F543-8348-8FB7-45033FE97FB0}" presName="childTextArrow" presStyleLbl="fgAccFollowNode1" presStyleIdx="10" presStyleCnt="12">
        <dgm:presLayoutVars>
          <dgm:bulletEnabled val="1"/>
        </dgm:presLayoutVars>
      </dgm:prSet>
      <dgm:spPr/>
    </dgm:pt>
    <dgm:pt modelId="{98AFDF53-39FC-4847-B2F9-6881E8B85C82}" type="pres">
      <dgm:prSet presAssocID="{35CF35BC-B42D-744A-AAEF-8D73A48AB590}" presName="childTextArrow" presStyleLbl="fgAccFollowNode1" presStyleIdx="11" presStyleCnt="12">
        <dgm:presLayoutVars>
          <dgm:bulletEnabled val="1"/>
        </dgm:presLayoutVars>
      </dgm:prSet>
      <dgm:spPr/>
    </dgm:pt>
  </dgm:ptLst>
  <dgm:cxnLst>
    <dgm:cxn modelId="{6CD3E501-DC4C-DD4B-A051-897A44057F97}" srcId="{013F0529-17D1-604E-B416-7D4D2944850A}" destId="{73D5ECFE-85A4-DC47-9D49-5BD8702103EC}" srcOrd="2" destOrd="0" parTransId="{69F745CE-4568-554A-9341-D0D32916A8AF}" sibTransId="{188F9F1D-D16F-D94F-9C22-DFD2AA08A794}"/>
    <dgm:cxn modelId="{0F74AB03-639F-EE4E-91C1-98F957B6CFD5}" type="presOf" srcId="{29E7556C-6756-014C-A1C8-4EE9EDB78903}" destId="{AF90705C-3412-2444-B17B-C35FD4426760}" srcOrd="0" destOrd="0" presId="urn:microsoft.com/office/officeart/2005/8/layout/process4"/>
    <dgm:cxn modelId="{1C132405-F17D-2D46-A364-DBCF415220B6}" srcId="{0C5CAB95-2ED7-804E-8948-7EC2D7AC2786}" destId="{4F9664FC-E371-AD4A-A304-AE24469B0F23}" srcOrd="0" destOrd="0" parTransId="{6FCAF0CC-6C69-1548-A2FD-6F6B1DA6E0FC}" sibTransId="{2F9837D2-A8DD-F640-A76D-C791E1F34C91}"/>
    <dgm:cxn modelId="{32DE790B-9C56-464C-9578-1FA28E3A0024}" type="presOf" srcId="{ABA4CD46-95E1-FC49-98F0-E8EAE0898C6C}" destId="{0E6AEBEA-0DCA-4C4F-9591-604757AE1D18}" srcOrd="0" destOrd="0" presId="urn:microsoft.com/office/officeart/2005/8/layout/process4"/>
    <dgm:cxn modelId="{A432F313-09E6-AB4D-9E36-52F50E2DA09B}" srcId="{013F0529-17D1-604E-B416-7D4D2944850A}" destId="{5CDA5E29-DE93-014D-8763-B7613B23A686}" srcOrd="4" destOrd="0" parTransId="{571C5068-3B82-9042-9904-11D8C65EBA09}" sibTransId="{5DDD3797-82A1-0640-A5B0-9129567EC1BF}"/>
    <dgm:cxn modelId="{B639C91F-758D-6243-8B00-E6FF0A1B1C40}" type="presOf" srcId="{4F9664FC-E371-AD4A-A304-AE24469B0F23}" destId="{0B9CC5B5-8CE8-0D42-B512-B83484BE2A7F}" srcOrd="0" destOrd="0" presId="urn:microsoft.com/office/officeart/2005/8/layout/process4"/>
    <dgm:cxn modelId="{38967720-9330-E749-8E6F-7C92203B8EC9}" type="presOf" srcId="{7F262207-69CD-8943-ABB9-777433607AFB}" destId="{D51A36A5-0F7A-634C-B187-40638B084AA0}" srcOrd="0" destOrd="0" presId="urn:microsoft.com/office/officeart/2005/8/layout/process4"/>
    <dgm:cxn modelId="{09F79222-43FD-E044-81AC-52D3AF529394}" type="presOf" srcId="{E8DE5831-2479-674A-84A4-EB0891444E0B}" destId="{6A07510D-DB31-9244-93B9-5EA82ACFD5F0}" srcOrd="0" destOrd="0" presId="urn:microsoft.com/office/officeart/2005/8/layout/process4"/>
    <dgm:cxn modelId="{33E3F823-6B84-3D49-A4FB-23B5A56A145E}" type="presOf" srcId="{36585A50-46EB-B143-A906-9A3B5E584020}" destId="{5A259DC9-F260-C64E-8262-60C749C95C01}" srcOrd="0" destOrd="0" presId="urn:microsoft.com/office/officeart/2005/8/layout/process4"/>
    <dgm:cxn modelId="{93A88437-141F-EB4A-9B3E-DBB7A9776891}" type="presOf" srcId="{9CB5D7D4-F26B-A746-82EE-0EBE4D8BBF60}" destId="{90E74933-C300-E249-9F72-4246E643963A}" srcOrd="0" destOrd="0" presId="urn:microsoft.com/office/officeart/2005/8/layout/process4"/>
    <dgm:cxn modelId="{1904913F-05AC-674F-9607-F74B6A7A4D57}" srcId="{7F262207-69CD-8943-ABB9-777433607AFB}" destId="{35CF35BC-B42D-744A-AAEF-8D73A48AB590}" srcOrd="1" destOrd="0" parTransId="{9D8E325A-56C8-3548-9955-F3E477DF6FD8}" sibTransId="{496C61F4-D1D9-A744-A33C-A09A97D8FE73}"/>
    <dgm:cxn modelId="{1D0AFB3F-D968-054B-A813-AE44062723DC}" srcId="{013F0529-17D1-604E-B416-7D4D2944850A}" destId="{0807BF1B-D246-E549-BD8D-481D9EC9631C}" srcOrd="6" destOrd="0" parTransId="{7AFEF5ED-5A3E-BA49-A1AF-81979A1DD3E0}" sibTransId="{51CB6D8A-E246-E845-9A1E-B518ABF68192}"/>
    <dgm:cxn modelId="{3A2F265C-962E-0144-9221-9B7D60900E56}" srcId="{013F0529-17D1-604E-B416-7D4D2944850A}" destId="{36585A50-46EB-B143-A906-9A3B5E584020}" srcOrd="3" destOrd="0" parTransId="{E94A9E1D-FF34-E44E-BF27-84F0C480464F}" sibTransId="{3F18806C-B01F-C94F-90FB-67C22E1016CC}"/>
    <dgm:cxn modelId="{019B8B43-D501-F847-B405-4783ADBDB482}" type="presOf" srcId="{73D5ECFE-85A4-DC47-9D49-5BD8702103EC}" destId="{C71D14CE-CFE0-714B-B1DD-659358804958}" srcOrd="1" destOrd="0" presId="urn:microsoft.com/office/officeart/2005/8/layout/process4"/>
    <dgm:cxn modelId="{55AE6E44-42CC-DE4D-AEA2-0AEE0E30EB37}" type="presOf" srcId="{F5693FD8-E999-0441-A710-23FB248B96A5}" destId="{32632779-F85A-9148-BDC4-EF7B905CE3CB}" srcOrd="0" destOrd="0" presId="urn:microsoft.com/office/officeart/2005/8/layout/process4"/>
    <dgm:cxn modelId="{B20BCB44-55FB-D14B-89EB-000BFF28A79C}" type="presOf" srcId="{02E44916-3046-EC47-85F6-E67DB53CF81D}" destId="{36198E56-9648-AD48-B3CE-80EAF1101355}" srcOrd="0" destOrd="0" presId="urn:microsoft.com/office/officeart/2005/8/layout/process4"/>
    <dgm:cxn modelId="{85513F65-AE32-354D-9B7C-8C723CF7A9BD}" srcId="{36585A50-46EB-B143-A906-9A3B5E584020}" destId="{9BBDFF6F-FE34-3C45-AFEE-B222B90EE783}" srcOrd="1" destOrd="0" parTransId="{8D5944EE-A66F-4441-9F7A-A71B267692C5}" sibTransId="{318F00D5-BA75-0F46-8C59-B1E24827FAC9}"/>
    <dgm:cxn modelId="{7E0FC166-5F59-D044-AF08-5500F004FCB2}" type="presOf" srcId="{0807BF1B-D246-E549-BD8D-481D9EC9631C}" destId="{78358D94-B83D-F24A-B947-E5EEEF6E8F11}" srcOrd="0" destOrd="0" presId="urn:microsoft.com/office/officeart/2005/8/layout/process4"/>
    <dgm:cxn modelId="{2DAD3468-1B57-6546-AF24-C6902754CA6B}" type="presOf" srcId="{670AC9CC-D869-EF4D-8DE4-1CBCD6BB2B67}" destId="{FC048C62-C582-5F4F-9A9B-5499EAA5CCFF}" srcOrd="0" destOrd="0" presId="urn:microsoft.com/office/officeart/2005/8/layout/process4"/>
    <dgm:cxn modelId="{C536BE4A-A292-8048-9C59-B89E13F62AE9}" type="presOf" srcId="{ABA4CD46-95E1-FC49-98F0-E8EAE0898C6C}" destId="{2875B7C1-D31F-324C-9AD6-32036915E639}" srcOrd="1" destOrd="0" presId="urn:microsoft.com/office/officeart/2005/8/layout/process4"/>
    <dgm:cxn modelId="{655A9F6B-D9EA-A242-B779-68CCE49F832A}" type="presOf" srcId="{1BA159C6-639B-CC4C-B925-F63A5B81B580}" destId="{1BAC1449-CAF7-BF48-814F-882F16A41E07}" srcOrd="0" destOrd="0" presId="urn:microsoft.com/office/officeart/2005/8/layout/process4"/>
    <dgm:cxn modelId="{894A6070-1433-A140-990E-E089BB4F2517}" type="presOf" srcId="{91DB4E2E-C729-544B-904E-75435342611F}" destId="{59330F99-BD5E-484C-95FB-2814E1D1920E}" srcOrd="1" destOrd="0" presId="urn:microsoft.com/office/officeart/2005/8/layout/process4"/>
    <dgm:cxn modelId="{A0518A50-4F75-3E4A-A8D6-F1A8A8B7BD54}" type="presOf" srcId="{7F262207-69CD-8943-ABB9-777433607AFB}" destId="{BF4829AC-7A6D-444A-BABF-7CB25AD74360}" srcOrd="1" destOrd="0" presId="urn:microsoft.com/office/officeart/2005/8/layout/process4"/>
    <dgm:cxn modelId="{FC281172-3208-3749-8ED6-F56B5DCD4982}" srcId="{013F0529-17D1-604E-B416-7D4D2944850A}" destId="{A20B5275-DED2-0341-93A0-23C13A30852D}" srcOrd="5" destOrd="0" parTransId="{072D56B3-AE25-6146-A8AA-5DAB38ED086B}" sibTransId="{08670EFD-C47A-6E4A-BF66-15C0E9F5F97B}"/>
    <dgm:cxn modelId="{C489F174-CEAC-3747-8762-D26EC65CBCC3}" srcId="{013F0529-17D1-604E-B416-7D4D2944850A}" destId="{670AC9CC-D869-EF4D-8DE4-1CBCD6BB2B67}" srcOrd="9" destOrd="0" parTransId="{ED27B64F-5637-144B-B35D-88A88E0E536E}" sibTransId="{D37CC452-08D2-0F49-B39A-CA5A79FAC306}"/>
    <dgm:cxn modelId="{EE72C875-7127-1F4D-BE21-046CC2ED9367}" srcId="{670AC9CC-D869-EF4D-8DE4-1CBCD6BB2B67}" destId="{02E44916-3046-EC47-85F6-E67DB53CF81D}" srcOrd="0" destOrd="0" parTransId="{75B2C102-3FB9-F44B-AF9E-F011DEF84978}" sibTransId="{60B1D202-91E3-F243-A23B-0C91709C133B}"/>
    <dgm:cxn modelId="{E7258376-7581-7146-8DA4-0E061F2C7B64}" srcId="{013F0529-17D1-604E-B416-7D4D2944850A}" destId="{ABA4CD46-95E1-FC49-98F0-E8EAE0898C6C}" srcOrd="11" destOrd="0" parTransId="{B811DE2D-7C01-2E40-9E86-68DD15F378CF}" sibTransId="{675AF894-FBFC-B24B-AC29-497A39DA615A}"/>
    <dgm:cxn modelId="{89209377-C267-E742-B376-3E4F0E093AE3}" type="presOf" srcId="{6BD558FB-E27E-ED4B-8A16-9CD3C3E0C4D9}" destId="{4DBDD18E-20FF-7448-A599-60B372B31B5D}" srcOrd="0" destOrd="0" presId="urn:microsoft.com/office/officeart/2005/8/layout/process4"/>
    <dgm:cxn modelId="{EF2C067F-5346-5F4C-8B92-16C4DD1104A1}" srcId="{7F262207-69CD-8943-ABB9-777433607AFB}" destId="{DE0EBEBD-F543-8348-8FB7-45033FE97FB0}" srcOrd="0" destOrd="0" parTransId="{5F287CCE-E1A2-CD48-9D78-F5E861F77072}" sibTransId="{AD154B6F-07D7-2748-9FE4-0BC28E6BB7E0}"/>
    <dgm:cxn modelId="{B9CD2C81-7DAC-E840-9FAF-4E6A05AEB8D2}" srcId="{013F0529-17D1-604E-B416-7D4D2944850A}" destId="{7F262207-69CD-8943-ABB9-777433607AFB}" srcOrd="0" destOrd="0" parTransId="{00326649-84B3-8249-BEBC-0CADAB1DCEF6}" sibTransId="{4D22ABD6-9FF6-BE4C-891E-A7C25B4B6D01}"/>
    <dgm:cxn modelId="{3461F282-33C4-F04E-9AF2-112428160187}" type="presOf" srcId="{91DB4E2E-C729-544B-904E-75435342611F}" destId="{17A65D1E-ED7E-4548-B653-19988DFE969A}" srcOrd="0" destOrd="0" presId="urn:microsoft.com/office/officeart/2005/8/layout/process4"/>
    <dgm:cxn modelId="{2B273089-5FA1-7A44-BA33-8F4256824A69}" type="presOf" srcId="{36585A50-46EB-B143-A906-9A3B5E584020}" destId="{D73C6786-C55A-E94E-AAD8-2A49A7EDC771}" srcOrd="1" destOrd="0" presId="urn:microsoft.com/office/officeart/2005/8/layout/process4"/>
    <dgm:cxn modelId="{03DCCD90-A1C5-2244-BAD3-FFFEEBC6A526}" type="presOf" srcId="{4234BBF0-37BE-0B4A-BBB8-1E38AC25AEC1}" destId="{64D70E79-10B7-3640-B997-ABB7E2A7E4CB}" srcOrd="0" destOrd="0" presId="urn:microsoft.com/office/officeart/2005/8/layout/process4"/>
    <dgm:cxn modelId="{CBDE5493-32A2-0548-BEB2-3102F4CD5CBE}" type="presOf" srcId="{DE0EBEBD-F543-8348-8FB7-45033FE97FB0}" destId="{61A96116-543C-3C48-A1C3-6E2F3E7436AC}" srcOrd="0" destOrd="0" presId="urn:microsoft.com/office/officeart/2005/8/layout/process4"/>
    <dgm:cxn modelId="{7EADE894-B657-BF4D-BFD5-A611183F858D}" type="presOf" srcId="{4D6D181E-6163-9A4D-AF13-CED69BD8FA96}" destId="{F0A5B96F-5261-A248-9C64-A308DFC89671}" srcOrd="0" destOrd="0" presId="urn:microsoft.com/office/officeart/2005/8/layout/process4"/>
    <dgm:cxn modelId="{182D1A98-5DA1-D94C-BE9D-60ADA14FC566}" srcId="{73D5ECFE-85A4-DC47-9D49-5BD8702103EC}" destId="{1BA159C6-639B-CC4C-B925-F63A5B81B580}" srcOrd="0" destOrd="0" parTransId="{CB355897-09E0-9342-BE29-7F5BF495B686}" sibTransId="{4F8A51C5-2380-3A42-AB66-CE24958BB236}"/>
    <dgm:cxn modelId="{DAD0149E-2A33-654B-94CC-B6A218D43E5C}" type="presOf" srcId="{4115DAE5-2846-5144-926C-17C10B0CDD0B}" destId="{0C1D6D71-B6B8-8142-97D7-38FDC5AABCD3}" srcOrd="0" destOrd="0" presId="urn:microsoft.com/office/officeart/2005/8/layout/process4"/>
    <dgm:cxn modelId="{4C58C3A8-5F30-5D4C-A288-F7D45E4B626C}" type="presOf" srcId="{670AC9CC-D869-EF4D-8DE4-1CBCD6BB2B67}" destId="{29A59A84-E6C9-FF45-BE7E-DDA80A741364}" srcOrd="1" destOrd="0" presId="urn:microsoft.com/office/officeart/2005/8/layout/process4"/>
    <dgm:cxn modelId="{F26977B1-E846-774A-97AB-A2C66C095B2F}" type="presOf" srcId="{4D6D181E-6163-9A4D-AF13-CED69BD8FA96}" destId="{0471EA41-1701-2B48-BAF1-2118FB24B64A}" srcOrd="1" destOrd="0" presId="urn:microsoft.com/office/officeart/2005/8/layout/process4"/>
    <dgm:cxn modelId="{6FDE16B6-0BD6-8A41-995E-BD2F2D0C9466}" srcId="{36585A50-46EB-B143-A906-9A3B5E584020}" destId="{F5693FD8-E999-0441-A710-23FB248B96A5}" srcOrd="0" destOrd="0" parTransId="{0B4CE1E6-EB64-0848-AFB5-584DADA38E9B}" sibTransId="{2CB42F70-C4EB-7148-9D2D-5CE2B395A842}"/>
    <dgm:cxn modelId="{88C4D7B6-D29C-E042-9BA0-0E55BE32D420}" srcId="{013F0529-17D1-604E-B416-7D4D2944850A}" destId="{4D6D181E-6163-9A4D-AF13-CED69BD8FA96}" srcOrd="10" destOrd="0" parTransId="{1A95811C-42B0-634C-A613-89BF43B71EC1}" sibTransId="{9B2A4B86-C124-8F48-B946-79CB7C909D6B}"/>
    <dgm:cxn modelId="{C13962C5-06D7-D54A-A299-AC38C0672247}" type="presOf" srcId="{013F0529-17D1-604E-B416-7D4D2944850A}" destId="{2513D36F-4D6D-4149-AD46-94DB9572F995}" srcOrd="0" destOrd="0" presId="urn:microsoft.com/office/officeart/2005/8/layout/process4"/>
    <dgm:cxn modelId="{1EEA93C7-FCD2-E146-B596-FBEDD98103A8}" srcId="{73D5ECFE-85A4-DC47-9D49-5BD8702103EC}" destId="{9CB5D7D4-F26B-A746-82EE-0EBE4D8BBF60}" srcOrd="1" destOrd="0" parTransId="{2932BFB9-A863-9240-9843-483230651905}" sibTransId="{BEB2673F-4EF8-C44C-82FD-316A35C6D6F3}"/>
    <dgm:cxn modelId="{0D0004CC-0BD0-5B49-8227-9A35FA250C89}" srcId="{013F0529-17D1-604E-B416-7D4D2944850A}" destId="{29E7556C-6756-014C-A1C8-4EE9EDB78903}" srcOrd="8" destOrd="0" parTransId="{90B3DAA4-F0BF-D642-9F01-FE22B427078E}" sibTransId="{245B465B-BE39-2045-AAAA-5A71A5BECBAB}"/>
    <dgm:cxn modelId="{A774CDD1-61BD-D041-85C0-72F2870F0EE9}" srcId="{013F0529-17D1-604E-B416-7D4D2944850A}" destId="{0C5CAB95-2ED7-804E-8948-7EC2D7AC2786}" srcOrd="7" destOrd="0" parTransId="{BCFBD87B-24B6-7446-B166-F78033084EC1}" sibTransId="{38D2B75F-572E-9F4A-BE30-36412392D1F3}"/>
    <dgm:cxn modelId="{E68A3BD3-5F93-684A-B814-F5B67ADAA977}" type="presOf" srcId="{0C5CAB95-2ED7-804E-8948-7EC2D7AC2786}" destId="{4B8BB9C9-46E1-A346-83EA-83F68DB63AA8}" srcOrd="1" destOrd="0" presId="urn:microsoft.com/office/officeart/2005/8/layout/process4"/>
    <dgm:cxn modelId="{AF63E8DA-66D8-3148-866C-6533160D6FC3}" srcId="{91DB4E2E-C729-544B-904E-75435342611F}" destId="{4115DAE5-2846-5144-926C-17C10B0CDD0B}" srcOrd="0" destOrd="0" parTransId="{6F401121-9171-124D-A588-5F0E3B507751}" sibTransId="{79A30C25-42D4-484E-B48C-62E4FEA2ADAC}"/>
    <dgm:cxn modelId="{C992F6DB-9F91-9442-87E2-F67FE885C38A}" type="presOf" srcId="{35CF35BC-B42D-744A-AAEF-8D73A48AB590}" destId="{98AFDF53-39FC-4847-B2F9-6881E8B85C82}" srcOrd="0" destOrd="0" presId="urn:microsoft.com/office/officeart/2005/8/layout/process4"/>
    <dgm:cxn modelId="{737D13E9-E938-1840-B8F0-43521F9BB55A}" type="presOf" srcId="{A20B5275-DED2-0341-93A0-23C13A30852D}" destId="{E0364FD5-2446-D040-873A-CD6A6ED75FAA}" srcOrd="0" destOrd="0" presId="urn:microsoft.com/office/officeart/2005/8/layout/process4"/>
    <dgm:cxn modelId="{E8DC6CEA-3747-F84F-BA75-57EA2537E8B8}" type="presOf" srcId="{73D5ECFE-85A4-DC47-9D49-5BD8702103EC}" destId="{1E3D165C-F499-514F-BA86-3886A4C67A15}" srcOrd="0" destOrd="0" presId="urn:microsoft.com/office/officeart/2005/8/layout/process4"/>
    <dgm:cxn modelId="{CBDAB9EB-8055-FD48-A203-AB8EF9550C9D}" srcId="{91DB4E2E-C729-544B-904E-75435342611F}" destId="{E8DE5831-2479-674A-84A4-EB0891444E0B}" srcOrd="1" destOrd="0" parTransId="{744F0E8B-0960-414A-99C0-C574EDFBA9ED}" sibTransId="{361F543C-C867-844C-9F32-21D8597E51CB}"/>
    <dgm:cxn modelId="{8709D2ED-9BE1-E841-87EE-33BA393BBFD8}" type="presOf" srcId="{9BBDFF6F-FE34-3C45-AFEE-B222B90EE783}" destId="{34F41F97-1613-7F4E-A99F-452FC1FBAAAE}" srcOrd="0" destOrd="0" presId="urn:microsoft.com/office/officeart/2005/8/layout/process4"/>
    <dgm:cxn modelId="{D509D8EE-B9B1-AF44-995D-9D86044B04AE}" type="presOf" srcId="{5CDA5E29-DE93-014D-8763-B7613B23A686}" destId="{AE94CAE2-647D-5D45-8FDB-163198A6EB3D}" srcOrd="0" destOrd="0" presId="urn:microsoft.com/office/officeart/2005/8/layout/process4"/>
    <dgm:cxn modelId="{9A001FEF-D3A2-E042-BDF7-36FAAB0967B3}" srcId="{4D6D181E-6163-9A4D-AF13-CED69BD8FA96}" destId="{6BD558FB-E27E-ED4B-8A16-9CD3C3E0C4D9}" srcOrd="0" destOrd="0" parTransId="{B2A4564A-3818-504B-9AB4-0B2C56257360}" sibTransId="{6A1A3407-B3B6-494D-A720-BA8E52409C31}"/>
    <dgm:cxn modelId="{228C75F2-D5CC-B14E-A34A-C6C61C07AE94}" type="presOf" srcId="{0C5CAB95-2ED7-804E-8948-7EC2D7AC2786}" destId="{A4C81E56-9056-1842-B3B1-A826B8003B9A}" srcOrd="0" destOrd="0" presId="urn:microsoft.com/office/officeart/2005/8/layout/process4"/>
    <dgm:cxn modelId="{EEFD8BF4-ACBF-9F4C-84FA-87135F1F179E}" srcId="{013F0529-17D1-604E-B416-7D4D2944850A}" destId="{91DB4E2E-C729-544B-904E-75435342611F}" srcOrd="1" destOrd="0" parTransId="{993D4C80-A9E6-A44F-B76A-1BC8E3799FDC}" sibTransId="{5F2B7482-21C5-1548-A48E-DD4AE1D95C56}"/>
    <dgm:cxn modelId="{F6EE9BF6-6099-C745-A344-A40AD452E14F}" srcId="{ABA4CD46-95E1-FC49-98F0-E8EAE0898C6C}" destId="{4234BBF0-37BE-0B4A-BBB8-1E38AC25AEC1}" srcOrd="0" destOrd="0" parTransId="{55C8F583-FA8E-DC41-92FA-3A47E8E53F12}" sibTransId="{09D5A74C-68D3-0B44-A78A-5B07529F47F7}"/>
    <dgm:cxn modelId="{5F9F650D-F2B7-FB41-A581-0607D4D0896A}" type="presParOf" srcId="{2513D36F-4D6D-4149-AD46-94DB9572F995}" destId="{E72B764B-216B-4E4D-84F6-593D5194EC86}" srcOrd="0" destOrd="0" presId="urn:microsoft.com/office/officeart/2005/8/layout/process4"/>
    <dgm:cxn modelId="{F725B8C5-C6F9-E741-B1DF-AF6A3702E256}" type="presParOf" srcId="{E72B764B-216B-4E4D-84F6-593D5194EC86}" destId="{0E6AEBEA-0DCA-4C4F-9591-604757AE1D18}" srcOrd="0" destOrd="0" presId="urn:microsoft.com/office/officeart/2005/8/layout/process4"/>
    <dgm:cxn modelId="{58A10F2B-E78F-B147-9672-012893EF2DDB}" type="presParOf" srcId="{E72B764B-216B-4E4D-84F6-593D5194EC86}" destId="{2875B7C1-D31F-324C-9AD6-32036915E639}" srcOrd="1" destOrd="0" presId="urn:microsoft.com/office/officeart/2005/8/layout/process4"/>
    <dgm:cxn modelId="{5A71C94A-D0C5-034E-9B9A-91AA2DB0724A}" type="presParOf" srcId="{E72B764B-216B-4E4D-84F6-593D5194EC86}" destId="{62BF5B26-EAEB-364B-B28B-9F0DE1C363D1}" srcOrd="2" destOrd="0" presId="urn:microsoft.com/office/officeart/2005/8/layout/process4"/>
    <dgm:cxn modelId="{070A775C-258C-5244-8401-B695D2A4858F}" type="presParOf" srcId="{62BF5B26-EAEB-364B-B28B-9F0DE1C363D1}" destId="{64D70E79-10B7-3640-B997-ABB7E2A7E4CB}" srcOrd="0" destOrd="0" presId="urn:microsoft.com/office/officeart/2005/8/layout/process4"/>
    <dgm:cxn modelId="{63F38943-3500-C240-8EA5-B2BD7CED365D}" type="presParOf" srcId="{2513D36F-4D6D-4149-AD46-94DB9572F995}" destId="{6D744A93-42D2-F344-8F5A-106D6F7E8665}" srcOrd="1" destOrd="0" presId="urn:microsoft.com/office/officeart/2005/8/layout/process4"/>
    <dgm:cxn modelId="{14422146-08B6-764D-B9E4-3FD429DA70BA}" type="presParOf" srcId="{2513D36F-4D6D-4149-AD46-94DB9572F995}" destId="{A3A5F486-B2AA-9D44-B194-090BD8643B65}" srcOrd="2" destOrd="0" presId="urn:microsoft.com/office/officeart/2005/8/layout/process4"/>
    <dgm:cxn modelId="{94928007-AC6F-8549-B3B6-57B1F965210D}" type="presParOf" srcId="{A3A5F486-B2AA-9D44-B194-090BD8643B65}" destId="{F0A5B96F-5261-A248-9C64-A308DFC89671}" srcOrd="0" destOrd="0" presId="urn:microsoft.com/office/officeart/2005/8/layout/process4"/>
    <dgm:cxn modelId="{075FE5AF-C2A3-9042-9FE8-0257C0B4DE95}" type="presParOf" srcId="{A3A5F486-B2AA-9D44-B194-090BD8643B65}" destId="{0471EA41-1701-2B48-BAF1-2118FB24B64A}" srcOrd="1" destOrd="0" presId="urn:microsoft.com/office/officeart/2005/8/layout/process4"/>
    <dgm:cxn modelId="{FBA53FCC-BEFD-8543-B5CE-4944A49B21C2}" type="presParOf" srcId="{A3A5F486-B2AA-9D44-B194-090BD8643B65}" destId="{F9F470F3-F864-0E47-A216-485EAFAFD126}" srcOrd="2" destOrd="0" presId="urn:microsoft.com/office/officeart/2005/8/layout/process4"/>
    <dgm:cxn modelId="{3C48945D-857D-D74E-914D-FA4BDC0F2519}" type="presParOf" srcId="{F9F470F3-F864-0E47-A216-485EAFAFD126}" destId="{4DBDD18E-20FF-7448-A599-60B372B31B5D}" srcOrd="0" destOrd="0" presId="urn:microsoft.com/office/officeart/2005/8/layout/process4"/>
    <dgm:cxn modelId="{842E1DD8-1A8F-E348-8808-FFE4EF0A7C5C}" type="presParOf" srcId="{2513D36F-4D6D-4149-AD46-94DB9572F995}" destId="{BBD042C9-2FCE-BA49-B6DE-4EF344EFCACD}" srcOrd="3" destOrd="0" presId="urn:microsoft.com/office/officeart/2005/8/layout/process4"/>
    <dgm:cxn modelId="{9F3D955A-E342-7249-9C32-45043AEDBA48}" type="presParOf" srcId="{2513D36F-4D6D-4149-AD46-94DB9572F995}" destId="{6FDBBDB6-0290-E54F-8809-EF2F5D8CBFDF}" srcOrd="4" destOrd="0" presId="urn:microsoft.com/office/officeart/2005/8/layout/process4"/>
    <dgm:cxn modelId="{51BAA96A-B34C-474A-AE71-06D10A93EE11}" type="presParOf" srcId="{6FDBBDB6-0290-E54F-8809-EF2F5D8CBFDF}" destId="{FC048C62-C582-5F4F-9A9B-5499EAA5CCFF}" srcOrd="0" destOrd="0" presId="urn:microsoft.com/office/officeart/2005/8/layout/process4"/>
    <dgm:cxn modelId="{36778895-EC40-824A-982F-268F7BD3CD0B}" type="presParOf" srcId="{6FDBBDB6-0290-E54F-8809-EF2F5D8CBFDF}" destId="{29A59A84-E6C9-FF45-BE7E-DDA80A741364}" srcOrd="1" destOrd="0" presId="urn:microsoft.com/office/officeart/2005/8/layout/process4"/>
    <dgm:cxn modelId="{3B29955B-1A14-504B-A342-075A2ECE5717}" type="presParOf" srcId="{6FDBBDB6-0290-E54F-8809-EF2F5D8CBFDF}" destId="{910914DC-3B48-B248-9551-78EA892D68EB}" srcOrd="2" destOrd="0" presId="urn:microsoft.com/office/officeart/2005/8/layout/process4"/>
    <dgm:cxn modelId="{B3063939-16AD-3C4B-A81B-C1D3AA0787D4}" type="presParOf" srcId="{910914DC-3B48-B248-9551-78EA892D68EB}" destId="{36198E56-9648-AD48-B3CE-80EAF1101355}" srcOrd="0" destOrd="0" presId="urn:microsoft.com/office/officeart/2005/8/layout/process4"/>
    <dgm:cxn modelId="{6838B269-923E-AA4E-8B40-14631C635586}" type="presParOf" srcId="{2513D36F-4D6D-4149-AD46-94DB9572F995}" destId="{95120C0F-549A-BA48-B1AA-266412691A59}" srcOrd="5" destOrd="0" presId="urn:microsoft.com/office/officeart/2005/8/layout/process4"/>
    <dgm:cxn modelId="{3FFC2F3B-967E-854C-B957-85DBB5F51EB5}" type="presParOf" srcId="{2513D36F-4D6D-4149-AD46-94DB9572F995}" destId="{BAB2CC07-A30A-6F4D-9E37-0D8761C7AE83}" srcOrd="6" destOrd="0" presId="urn:microsoft.com/office/officeart/2005/8/layout/process4"/>
    <dgm:cxn modelId="{68F6BE1D-716E-464C-83AC-D68AFA920EA7}" type="presParOf" srcId="{BAB2CC07-A30A-6F4D-9E37-0D8761C7AE83}" destId="{AF90705C-3412-2444-B17B-C35FD4426760}" srcOrd="0" destOrd="0" presId="urn:microsoft.com/office/officeart/2005/8/layout/process4"/>
    <dgm:cxn modelId="{27EE5FAC-3064-614B-BD69-71263C1CA575}" type="presParOf" srcId="{2513D36F-4D6D-4149-AD46-94DB9572F995}" destId="{863C49D1-3733-994D-9076-549C12029A68}" srcOrd="7" destOrd="0" presId="urn:microsoft.com/office/officeart/2005/8/layout/process4"/>
    <dgm:cxn modelId="{B8A5B2CB-33D5-7F44-B042-94F318F75E99}" type="presParOf" srcId="{2513D36F-4D6D-4149-AD46-94DB9572F995}" destId="{3DF853E0-2F6A-8242-BAA3-BF0C93D3E9AA}" srcOrd="8" destOrd="0" presId="urn:microsoft.com/office/officeart/2005/8/layout/process4"/>
    <dgm:cxn modelId="{512447F0-9EC4-6948-9623-21931B55314B}" type="presParOf" srcId="{3DF853E0-2F6A-8242-BAA3-BF0C93D3E9AA}" destId="{A4C81E56-9056-1842-B3B1-A826B8003B9A}" srcOrd="0" destOrd="0" presId="urn:microsoft.com/office/officeart/2005/8/layout/process4"/>
    <dgm:cxn modelId="{B38C34F3-9C6D-4B46-9B4B-0679B6563DA0}" type="presParOf" srcId="{3DF853E0-2F6A-8242-BAA3-BF0C93D3E9AA}" destId="{4B8BB9C9-46E1-A346-83EA-83F68DB63AA8}" srcOrd="1" destOrd="0" presId="urn:microsoft.com/office/officeart/2005/8/layout/process4"/>
    <dgm:cxn modelId="{6C679A2E-4048-7542-8927-84F35FEE4650}" type="presParOf" srcId="{3DF853E0-2F6A-8242-BAA3-BF0C93D3E9AA}" destId="{07546BA2-B604-A44F-A034-AAE2EA599A9B}" srcOrd="2" destOrd="0" presId="urn:microsoft.com/office/officeart/2005/8/layout/process4"/>
    <dgm:cxn modelId="{5D4EFBC9-EB9F-4042-8A5E-73CAAD43621C}" type="presParOf" srcId="{07546BA2-B604-A44F-A034-AAE2EA599A9B}" destId="{0B9CC5B5-8CE8-0D42-B512-B83484BE2A7F}" srcOrd="0" destOrd="0" presId="urn:microsoft.com/office/officeart/2005/8/layout/process4"/>
    <dgm:cxn modelId="{4A67710D-39C6-FF44-9D92-B77CAF16C9E7}" type="presParOf" srcId="{2513D36F-4D6D-4149-AD46-94DB9572F995}" destId="{BBFEBB0A-00BC-874C-8BF7-2EE213E093A0}" srcOrd="9" destOrd="0" presId="urn:microsoft.com/office/officeart/2005/8/layout/process4"/>
    <dgm:cxn modelId="{6220A902-5CA2-6540-B7CE-5CF0D7B5529B}" type="presParOf" srcId="{2513D36F-4D6D-4149-AD46-94DB9572F995}" destId="{87249297-3008-244B-A8B1-4FEE5DBD73F9}" srcOrd="10" destOrd="0" presId="urn:microsoft.com/office/officeart/2005/8/layout/process4"/>
    <dgm:cxn modelId="{EB8DEEAE-7884-8341-A750-C78D5FF64E9D}" type="presParOf" srcId="{87249297-3008-244B-A8B1-4FEE5DBD73F9}" destId="{78358D94-B83D-F24A-B947-E5EEEF6E8F11}" srcOrd="0" destOrd="0" presId="urn:microsoft.com/office/officeart/2005/8/layout/process4"/>
    <dgm:cxn modelId="{A679F286-2A06-9748-A682-9B727B899762}" type="presParOf" srcId="{2513D36F-4D6D-4149-AD46-94DB9572F995}" destId="{A5714841-CD27-0642-AB14-6983E004C76E}" srcOrd="11" destOrd="0" presId="urn:microsoft.com/office/officeart/2005/8/layout/process4"/>
    <dgm:cxn modelId="{FD0F93A5-FBAB-D14E-8BB4-D56A404E6CB3}" type="presParOf" srcId="{2513D36F-4D6D-4149-AD46-94DB9572F995}" destId="{647321BE-BF60-3C4A-9D53-38DD70BCCA11}" srcOrd="12" destOrd="0" presId="urn:microsoft.com/office/officeart/2005/8/layout/process4"/>
    <dgm:cxn modelId="{DCA159E5-D6D3-9E4D-875E-E6878F1A34E3}" type="presParOf" srcId="{647321BE-BF60-3C4A-9D53-38DD70BCCA11}" destId="{E0364FD5-2446-D040-873A-CD6A6ED75FAA}" srcOrd="0" destOrd="0" presId="urn:microsoft.com/office/officeart/2005/8/layout/process4"/>
    <dgm:cxn modelId="{1B17E87F-CF16-E44B-875F-214E556F61A3}" type="presParOf" srcId="{2513D36F-4D6D-4149-AD46-94DB9572F995}" destId="{C7E47320-7738-8247-A2A2-E7B221E04261}" srcOrd="13" destOrd="0" presId="urn:microsoft.com/office/officeart/2005/8/layout/process4"/>
    <dgm:cxn modelId="{8BA39BC0-0C4B-9545-9711-544B60DA8FD4}" type="presParOf" srcId="{2513D36F-4D6D-4149-AD46-94DB9572F995}" destId="{36B48FE1-73B1-964F-94D8-BAB71FC469C7}" srcOrd="14" destOrd="0" presId="urn:microsoft.com/office/officeart/2005/8/layout/process4"/>
    <dgm:cxn modelId="{2C621FAF-49D8-314F-B996-4C0A9E2BC01A}" type="presParOf" srcId="{36B48FE1-73B1-964F-94D8-BAB71FC469C7}" destId="{AE94CAE2-647D-5D45-8FDB-163198A6EB3D}" srcOrd="0" destOrd="0" presId="urn:microsoft.com/office/officeart/2005/8/layout/process4"/>
    <dgm:cxn modelId="{FA7178BC-9D31-9344-92A0-0481407321D0}" type="presParOf" srcId="{2513D36F-4D6D-4149-AD46-94DB9572F995}" destId="{87B664BC-8E52-B743-9CA2-A054870689C0}" srcOrd="15" destOrd="0" presId="urn:microsoft.com/office/officeart/2005/8/layout/process4"/>
    <dgm:cxn modelId="{EA8C9328-AB43-8F40-A2AC-E8FF702F4521}" type="presParOf" srcId="{2513D36F-4D6D-4149-AD46-94DB9572F995}" destId="{8EC12610-5134-B049-8E01-170670A637C1}" srcOrd="16" destOrd="0" presId="urn:microsoft.com/office/officeart/2005/8/layout/process4"/>
    <dgm:cxn modelId="{EF8BA4EC-73AE-BB42-AFC2-741778A923B0}" type="presParOf" srcId="{8EC12610-5134-B049-8E01-170670A637C1}" destId="{5A259DC9-F260-C64E-8262-60C749C95C01}" srcOrd="0" destOrd="0" presId="urn:microsoft.com/office/officeart/2005/8/layout/process4"/>
    <dgm:cxn modelId="{5E7D4571-0C09-7D4E-94FF-88AC7D350575}" type="presParOf" srcId="{8EC12610-5134-B049-8E01-170670A637C1}" destId="{D73C6786-C55A-E94E-AAD8-2A49A7EDC771}" srcOrd="1" destOrd="0" presId="urn:microsoft.com/office/officeart/2005/8/layout/process4"/>
    <dgm:cxn modelId="{01F9A9CC-AFE1-F340-9BB7-8C6406A92F7A}" type="presParOf" srcId="{8EC12610-5134-B049-8E01-170670A637C1}" destId="{37540F02-ACD7-4442-B7DF-81335FF618F0}" srcOrd="2" destOrd="0" presId="urn:microsoft.com/office/officeart/2005/8/layout/process4"/>
    <dgm:cxn modelId="{C29A6069-6C7C-2848-A9A8-5B2823B378C4}" type="presParOf" srcId="{37540F02-ACD7-4442-B7DF-81335FF618F0}" destId="{32632779-F85A-9148-BDC4-EF7B905CE3CB}" srcOrd="0" destOrd="0" presId="urn:microsoft.com/office/officeart/2005/8/layout/process4"/>
    <dgm:cxn modelId="{D5E71EE6-FDF1-5B40-AC5A-AA0A6F6FD256}" type="presParOf" srcId="{37540F02-ACD7-4442-B7DF-81335FF618F0}" destId="{34F41F97-1613-7F4E-A99F-452FC1FBAAAE}" srcOrd="1" destOrd="0" presId="urn:microsoft.com/office/officeart/2005/8/layout/process4"/>
    <dgm:cxn modelId="{83DE8127-AA3F-1549-A663-949E968936C1}" type="presParOf" srcId="{2513D36F-4D6D-4149-AD46-94DB9572F995}" destId="{A48B974C-FA14-F04B-96DA-941C7FC9450A}" srcOrd="17" destOrd="0" presId="urn:microsoft.com/office/officeart/2005/8/layout/process4"/>
    <dgm:cxn modelId="{C1CCD174-6149-304B-B611-AC1E93F81D62}" type="presParOf" srcId="{2513D36F-4D6D-4149-AD46-94DB9572F995}" destId="{D0F4E9BD-E1F4-8C46-89E6-ADB7CFEF41B8}" srcOrd="18" destOrd="0" presId="urn:microsoft.com/office/officeart/2005/8/layout/process4"/>
    <dgm:cxn modelId="{AD66CD75-D88D-8C4B-BFE2-3475ED121AB0}" type="presParOf" srcId="{D0F4E9BD-E1F4-8C46-89E6-ADB7CFEF41B8}" destId="{1E3D165C-F499-514F-BA86-3886A4C67A15}" srcOrd="0" destOrd="0" presId="urn:microsoft.com/office/officeart/2005/8/layout/process4"/>
    <dgm:cxn modelId="{50B877DF-AD2A-7344-845C-C78A7A146B4F}" type="presParOf" srcId="{D0F4E9BD-E1F4-8C46-89E6-ADB7CFEF41B8}" destId="{C71D14CE-CFE0-714B-B1DD-659358804958}" srcOrd="1" destOrd="0" presId="urn:microsoft.com/office/officeart/2005/8/layout/process4"/>
    <dgm:cxn modelId="{34DFBA11-BBB3-3746-8B00-6A8C62196B0D}" type="presParOf" srcId="{D0F4E9BD-E1F4-8C46-89E6-ADB7CFEF41B8}" destId="{D52C02BD-DC01-C944-8717-B3B0D430E40B}" srcOrd="2" destOrd="0" presId="urn:microsoft.com/office/officeart/2005/8/layout/process4"/>
    <dgm:cxn modelId="{095745C5-F024-2D47-A6A5-CECCF26AB52E}" type="presParOf" srcId="{D52C02BD-DC01-C944-8717-B3B0D430E40B}" destId="{1BAC1449-CAF7-BF48-814F-882F16A41E07}" srcOrd="0" destOrd="0" presId="urn:microsoft.com/office/officeart/2005/8/layout/process4"/>
    <dgm:cxn modelId="{74C5F022-170B-F749-B983-083CAA82A5E3}" type="presParOf" srcId="{D52C02BD-DC01-C944-8717-B3B0D430E40B}" destId="{90E74933-C300-E249-9F72-4246E643963A}" srcOrd="1" destOrd="0" presId="urn:microsoft.com/office/officeart/2005/8/layout/process4"/>
    <dgm:cxn modelId="{27229938-FAB6-5043-9F57-599C8B8A57DA}" type="presParOf" srcId="{2513D36F-4D6D-4149-AD46-94DB9572F995}" destId="{9ACBEE45-7D0B-EC40-9C16-521D0CE60976}" srcOrd="19" destOrd="0" presId="urn:microsoft.com/office/officeart/2005/8/layout/process4"/>
    <dgm:cxn modelId="{FB92E55A-B4C4-D44D-B7DC-46C6A1D18805}" type="presParOf" srcId="{2513D36F-4D6D-4149-AD46-94DB9572F995}" destId="{8FDC73E7-0504-7E41-819C-093A12859B9D}" srcOrd="20" destOrd="0" presId="urn:microsoft.com/office/officeart/2005/8/layout/process4"/>
    <dgm:cxn modelId="{11814351-40B7-D54E-B032-E88F53AEC1FE}" type="presParOf" srcId="{8FDC73E7-0504-7E41-819C-093A12859B9D}" destId="{17A65D1E-ED7E-4548-B653-19988DFE969A}" srcOrd="0" destOrd="0" presId="urn:microsoft.com/office/officeart/2005/8/layout/process4"/>
    <dgm:cxn modelId="{DE25B565-4245-5F4A-9C98-6D3E7CF395D4}" type="presParOf" srcId="{8FDC73E7-0504-7E41-819C-093A12859B9D}" destId="{59330F99-BD5E-484C-95FB-2814E1D1920E}" srcOrd="1" destOrd="0" presId="urn:microsoft.com/office/officeart/2005/8/layout/process4"/>
    <dgm:cxn modelId="{BB39E632-9314-AB41-A22D-CAF5EA974D41}" type="presParOf" srcId="{8FDC73E7-0504-7E41-819C-093A12859B9D}" destId="{6280458E-84DC-244D-811D-89EA8D288F48}" srcOrd="2" destOrd="0" presId="urn:microsoft.com/office/officeart/2005/8/layout/process4"/>
    <dgm:cxn modelId="{0465343F-E392-7C4E-AD39-B9BBAB08AE73}" type="presParOf" srcId="{6280458E-84DC-244D-811D-89EA8D288F48}" destId="{0C1D6D71-B6B8-8142-97D7-38FDC5AABCD3}" srcOrd="0" destOrd="0" presId="urn:microsoft.com/office/officeart/2005/8/layout/process4"/>
    <dgm:cxn modelId="{4CB75CB0-EB0D-8E49-8279-59ED52103246}" type="presParOf" srcId="{6280458E-84DC-244D-811D-89EA8D288F48}" destId="{6A07510D-DB31-9244-93B9-5EA82ACFD5F0}" srcOrd="1" destOrd="0" presId="urn:microsoft.com/office/officeart/2005/8/layout/process4"/>
    <dgm:cxn modelId="{D716D55A-3DE7-AF4F-AFA0-02B70A74FB26}" type="presParOf" srcId="{2513D36F-4D6D-4149-AD46-94DB9572F995}" destId="{E1D9F7F9-C120-154B-B9E8-82328A95D924}" srcOrd="21" destOrd="0" presId="urn:microsoft.com/office/officeart/2005/8/layout/process4"/>
    <dgm:cxn modelId="{77C38407-7DF5-C244-B349-DA272C52C750}" type="presParOf" srcId="{2513D36F-4D6D-4149-AD46-94DB9572F995}" destId="{BE7A3E80-5C13-F340-B96B-79DA963E3F6F}" srcOrd="22" destOrd="0" presId="urn:microsoft.com/office/officeart/2005/8/layout/process4"/>
    <dgm:cxn modelId="{ED7BA4CA-B4B5-6C41-89CB-96A4ABB77CAB}" type="presParOf" srcId="{BE7A3E80-5C13-F340-B96B-79DA963E3F6F}" destId="{D51A36A5-0F7A-634C-B187-40638B084AA0}" srcOrd="0" destOrd="0" presId="urn:microsoft.com/office/officeart/2005/8/layout/process4"/>
    <dgm:cxn modelId="{B95A3A52-EB31-6943-9AE4-30DDC7B735F3}" type="presParOf" srcId="{BE7A3E80-5C13-F340-B96B-79DA963E3F6F}" destId="{BF4829AC-7A6D-444A-BABF-7CB25AD74360}" srcOrd="1" destOrd="0" presId="urn:microsoft.com/office/officeart/2005/8/layout/process4"/>
    <dgm:cxn modelId="{D5F06E46-F2BD-5740-BFBA-04C96B55192F}" type="presParOf" srcId="{BE7A3E80-5C13-F340-B96B-79DA963E3F6F}" destId="{BC796039-85C6-C443-AE7E-3E297BA6124E}" srcOrd="2" destOrd="0" presId="urn:microsoft.com/office/officeart/2005/8/layout/process4"/>
    <dgm:cxn modelId="{C93077C5-1CAD-7949-88BF-1C3384EADBBB}" type="presParOf" srcId="{BC796039-85C6-C443-AE7E-3E297BA6124E}" destId="{61A96116-543C-3C48-A1C3-6E2F3E7436AC}" srcOrd="0" destOrd="0" presId="urn:microsoft.com/office/officeart/2005/8/layout/process4"/>
    <dgm:cxn modelId="{9EEFE5F0-1F01-F44F-8AC1-E20D84642E51}" type="presParOf" srcId="{BC796039-85C6-C443-AE7E-3E297BA6124E}" destId="{98AFDF53-39FC-4847-B2F9-6881E8B85C82}" srcOrd="1" destOrd="0" presId="urn:microsoft.com/office/officeart/2005/8/layout/process4"/>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a:solidFill>
          <a:srgbClr val="800000"/>
        </a:solidFill>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custT="1"/>
      <dgm:spPr>
        <a:solidFill>
          <a:srgbClr val="800000">
            <a:alpha val="90000"/>
          </a:srgbClr>
        </a:solidFill>
      </dgm:spPr>
      <dgm:t>
        <a:bodyPr/>
        <a:lstStyle/>
        <a:p>
          <a:r>
            <a:rPr lang="en-US" sz="900">
              <a:solidFill>
                <a:srgbClr val="FFFFFF"/>
              </a:solidFill>
            </a:rPr>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custT="1"/>
      <dgm:spPr>
        <a:solidFill>
          <a:srgbClr val="800000">
            <a:alpha val="90000"/>
          </a:srgbClr>
        </a:solidFill>
      </dgm:spPr>
      <dgm:t>
        <a:bodyPr/>
        <a:lstStyle/>
        <a:p>
          <a:r>
            <a:rPr lang="en-US" sz="900">
              <a:solidFill>
                <a:srgbClr val="FFFFFF"/>
              </a:solidFill>
            </a:rPr>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custT="1"/>
      <dgm:spPr>
        <a:solidFill>
          <a:srgbClr val="800000">
            <a:alpha val="90000"/>
          </a:srgbClr>
        </a:solidFill>
      </dgm:spPr>
      <dgm:t>
        <a:bodyPr/>
        <a:lstStyle/>
        <a:p>
          <a:r>
            <a:rPr lang="en-US" sz="900">
              <a:solidFill>
                <a:srgbClr val="FFFFFF"/>
              </a:solidFill>
            </a:rPr>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dgm:spPr/>
      <dgm:t>
        <a:bodyPr/>
        <a:lstStyle/>
        <a:p>
          <a:r>
            <a:rPr lang="en-US"/>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dgm:spPr/>
      <dgm:t>
        <a:bodyPr/>
        <a:lstStyle/>
        <a:p>
          <a:r>
            <a:rPr lang="en-US"/>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dgm:spPr/>
      <dgm:t>
        <a:bodyPr/>
        <a:lstStyle/>
        <a:p>
          <a:r>
            <a:rPr lang="en-US"/>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68196905-16F0-2A42-98AC-8FB20D642016}">
      <dgm:prSet phldrT="[Text]"/>
      <dgm:spPr/>
      <dgm:t>
        <a:bodyPr/>
        <a:lstStyle/>
        <a:p>
          <a:r>
            <a:rPr lang="en-US"/>
            <a:t>Responsibility</a:t>
          </a:r>
        </a:p>
      </dgm:t>
    </dgm:pt>
    <dgm:pt modelId="{757AC53E-9585-174A-8BDE-BDE8DCD03A3C}" type="parTrans" cxnId="{01B5C56E-C778-4745-905F-59045BAA3438}">
      <dgm:prSet/>
      <dgm:spPr/>
      <dgm:t>
        <a:bodyPr/>
        <a:lstStyle/>
        <a:p>
          <a:endParaRPr lang="en-US"/>
        </a:p>
      </dgm:t>
    </dgm:pt>
    <dgm:pt modelId="{19580F28-E4AB-1142-859C-C3C41C3F1DB2}" type="sibTrans" cxnId="{01B5C56E-C778-4745-905F-59045BAA3438}">
      <dgm:prSet/>
      <dgm:spPr/>
      <dgm:t>
        <a:bodyPr/>
        <a:lstStyle/>
        <a:p>
          <a:endParaRPr lang="en-US"/>
        </a:p>
      </dgm:t>
    </dgm:pt>
    <dgm:pt modelId="{C895386A-F48F-E44B-9B87-B77E88F50812}">
      <dgm:prSet phldrT="[Text]"/>
      <dgm:spPr/>
      <dgm:t>
        <a:bodyPr/>
        <a:lstStyle/>
        <a:p>
          <a:r>
            <a:rPr lang="en-US"/>
            <a:t>Simulation for assessment</a:t>
          </a:r>
        </a:p>
      </dgm:t>
    </dgm:pt>
    <dgm:pt modelId="{23577957-2723-E648-984C-26703F841391}" type="parTrans" cxnId="{9F73B6FC-660E-A74E-A88F-BBD4248289E7}">
      <dgm:prSet/>
      <dgm:spPr/>
      <dgm:t>
        <a:bodyPr/>
        <a:lstStyle/>
        <a:p>
          <a:endParaRPr lang="en-US"/>
        </a:p>
      </dgm:t>
    </dgm:pt>
    <dgm:pt modelId="{90E79DCF-7DA1-334A-A81B-53D11FB4A7D0}" type="sibTrans" cxnId="{9F73B6FC-660E-A74E-A88F-BBD4248289E7}">
      <dgm:prSet/>
      <dgm:spPr/>
      <dgm:t>
        <a:bodyPr/>
        <a:lstStyle/>
        <a:p>
          <a:endParaRPr lang="en-US"/>
        </a:p>
      </dgm:t>
    </dgm:pt>
    <dgm:pt modelId="{D4E1C1EB-464F-944F-AA7F-A4CE95B0D066}">
      <dgm:prSet phldrT="[Text]"/>
      <dgm:spPr/>
      <dgm:t>
        <a:bodyPr/>
        <a:lstStyle/>
        <a:p>
          <a:r>
            <a:rPr lang="en-US"/>
            <a:t>8: Triangulation</a:t>
          </a:r>
        </a:p>
      </dgm:t>
    </dgm:pt>
    <dgm:pt modelId="{204E1EC0-E1AD-394E-80D9-3D41C0367F6C}" type="parTrans" cxnId="{3A5C0C95-787E-DF4D-8C2C-C8A8A8CB3E5D}">
      <dgm:prSet/>
      <dgm:spPr/>
      <dgm:t>
        <a:bodyPr/>
        <a:lstStyle/>
        <a:p>
          <a:endParaRPr lang="en-US"/>
        </a:p>
      </dgm:t>
    </dgm:pt>
    <dgm:pt modelId="{F3CF714B-0321-C24B-A107-FD578CB2A4DB}" type="sibTrans" cxnId="{3A5C0C95-787E-DF4D-8C2C-C8A8A8CB3E5D}">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AE2D8890-F0B4-9248-B6ED-BAB2BB8D4B63}" type="pres">
      <dgm:prSet presAssocID="{D4E1C1EB-464F-944F-AA7F-A4CE95B0D066}" presName="composite" presStyleCnt="0"/>
      <dgm:spPr/>
    </dgm:pt>
    <dgm:pt modelId="{9A028F62-E1E0-4745-AD29-0FD4D21CB957}" type="pres">
      <dgm:prSet presAssocID="{D4E1C1EB-464F-944F-AA7F-A4CE95B0D066}" presName="parentText" presStyleLbl="alignNode1" presStyleIdx="7" presStyleCnt="13">
        <dgm:presLayoutVars>
          <dgm:chMax val="1"/>
          <dgm:bulletEnabled val="1"/>
        </dgm:presLayoutVars>
      </dgm:prSet>
      <dgm:spPr/>
    </dgm:pt>
    <dgm:pt modelId="{734629A2-0A64-004C-9FE3-C658F4A3EE9E}" type="pres">
      <dgm:prSet presAssocID="{D4E1C1EB-464F-944F-AA7F-A4CE95B0D066}" presName="descendantText" presStyleLbl="alignAcc1" presStyleIdx="7" presStyleCnt="13">
        <dgm:presLayoutVars>
          <dgm:bulletEnabled val="1"/>
        </dgm:presLayoutVars>
      </dgm:prSet>
      <dgm:spPr/>
    </dgm:pt>
    <dgm:pt modelId="{0DB29427-CF0F-9B4B-9F73-E9A23863D932}" type="pres">
      <dgm:prSet presAssocID="{F3CF714B-0321-C24B-A107-FD578CB2A4DB}"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B8A1C001-604E-1149-A93D-D30850E84139}" type="presOf" srcId="{182D19B6-9968-F54C-9803-98CF32A9110D}" destId="{E86BF6A3-BA90-BB43-908F-24E76E7D1587}" srcOrd="0" destOrd="0" presId="urn:microsoft.com/office/officeart/2005/8/layout/chevron2"/>
    <dgm:cxn modelId="{F0C25506-72D1-4F43-8318-BF471EB750EA}" type="presOf" srcId="{34B9CBCA-90AD-D946-B26E-3A6E60BB731E}" destId="{B9872B13-1174-E847-A615-29577404DF21}" srcOrd="0" destOrd="0" presId="urn:microsoft.com/office/officeart/2005/8/layout/chevron2"/>
    <dgm:cxn modelId="{86B7280D-738F-1340-881D-4C053CED6D53}" type="presOf" srcId="{EEF349EC-A16C-6E4F-8464-6BD71940F70C}" destId="{DCD4A931-4F01-F440-965B-DC25AA6FE080}" srcOrd="0" destOrd="2" presId="urn:microsoft.com/office/officeart/2005/8/layout/chevron2"/>
    <dgm:cxn modelId="{5682D70E-321F-A44A-BB8B-BB80D3B86CD7}" type="presOf" srcId="{387817B1-B48E-804E-9741-307C0F8B2DA9}" destId="{BC4A5DFE-0373-0044-B473-93ADEF2A2324}" srcOrd="0" destOrd="1" presId="urn:microsoft.com/office/officeart/2005/8/layout/chevron2"/>
    <dgm:cxn modelId="{2FA4970F-701A-E14D-9ED7-417107A95178}" type="presOf" srcId="{5EFAD456-F8B8-C147-9A38-D366892E8D90}" destId="{ED0EEAAD-1F9F-C445-9ED5-D61D26A0F8D1}" srcOrd="0" destOrd="0" presId="urn:microsoft.com/office/officeart/2005/8/layout/chevron2"/>
    <dgm:cxn modelId="{68547D10-CCD8-F941-972A-8DAAF2D54B9A}" type="presOf" srcId="{82A06431-B147-914D-A7EE-B91B75443203}" destId="{31EA3204-EDC1-4F43-84C9-41DE884256E5}" srcOrd="0" destOrd="0"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F6079213-AA1C-CA43-9687-161E18D9A8E5}" type="presOf" srcId="{332543FB-BB1C-DE43-B140-C2BB789BBCB2}" destId="{B422BFF3-8BFD-2144-8980-375702EA9496}" srcOrd="0" destOrd="0" presId="urn:microsoft.com/office/officeart/2005/8/layout/chevron2"/>
    <dgm:cxn modelId="{9737A014-77AA-2343-9EF8-1AB62E400960}" srcId="{D4E1C1EB-464F-944F-AA7F-A4CE95B0D066}" destId="{0B5EEED9-AADF-5646-A4EE-16C7E3C5048F}" srcOrd="0" destOrd="0" parTransId="{5F63AFFB-8796-8145-8196-16BA65A8913E}" sibTransId="{6369732A-4608-D04B-9932-9F2E14769A9F}"/>
    <dgm:cxn modelId="{2D3F5F18-783B-5B4F-A547-C75A46A052FC}" type="presOf" srcId="{EE4687FF-DC98-3D4A-8B1D-75DD628798CF}" destId="{BC4A5DFE-0373-0044-B473-93ADEF2A2324}" srcOrd="0" destOrd="2" presId="urn:microsoft.com/office/officeart/2005/8/layout/chevron2"/>
    <dgm:cxn modelId="{425A741B-9872-3A46-B4DA-D764BFE4CD8B}" srcId="{32BD5717-A9E6-DD44-A13C-12122D41F212}" destId="{182D19B6-9968-F54C-9803-98CF32A9110D}" srcOrd="8" destOrd="0" parTransId="{19120E65-5B26-BC4A-9EFF-5512A25AEB14}" sibTransId="{259ED567-5FE2-2F45-B806-60F8702E00F5}"/>
    <dgm:cxn modelId="{534D3421-D7B1-654B-A9F3-B0128425B6F7}" type="presOf" srcId="{BE8AC978-0FAD-5E4D-B281-1B7DC61EC809}" destId="{C80BEB0B-E1AB-4443-9F91-9D6894D7833E}" srcOrd="0" destOrd="1" presId="urn:microsoft.com/office/officeart/2005/8/layout/chevron2"/>
    <dgm:cxn modelId="{B778F824-31E4-D64B-B18E-67E553921D38}" type="presOf" srcId="{68196905-16F0-2A42-98AC-8FB20D642016}" destId="{C174B10A-41E6-244B-88CB-0D08E5FFF5F9}" srcOrd="0" destOrd="1"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930A272A-2CFF-0041-B9ED-76D065F6ECCC}" srcId="{332543FB-BB1C-DE43-B140-C2BB789BBCB2}" destId="{2725BEFC-24C3-E145-86F8-460B0C16124D}" srcOrd="0" destOrd="0" parTransId="{C1829F04-6DDA-E649-90FD-A4AAAAE6C05F}" sibTransId="{21F47E9F-9C6A-1041-9062-39753370C0EE}"/>
    <dgm:cxn modelId="{BF3EEA2A-C248-9149-AE96-92DDA8D5D348}" type="presOf" srcId="{555C02C0-6BC9-D540-8A82-3666CC61D37F}" destId="{DCD4A931-4F01-F440-965B-DC25AA6FE080}" srcOrd="0" destOrd="0" presId="urn:microsoft.com/office/officeart/2005/8/layout/chevron2"/>
    <dgm:cxn modelId="{789D3D31-A1BE-5D42-85EC-D8F31B8AF2A3}" srcId="{8A942072-3D9B-2043-8B2E-11E707170D7E}" destId="{CF8D6B60-3FEF-0048-B019-B0883DEB78C2}" srcOrd="1" destOrd="0" parTransId="{3FE0B1FC-3E46-8B4F-9B8A-371FE47D7A6F}" sibTransId="{843A5592-19B0-734C-A097-D96F74C7FECB}"/>
    <dgm:cxn modelId="{086CCE32-B875-A24E-8803-CEB9C4DA9852}" type="presOf" srcId="{4E401C2C-4000-C040-828A-EB0D5B3F70BC}" destId="{8BDAA81E-2E4E-9C4A-9A67-4855D9BA1510}" srcOrd="0" destOrd="1" presId="urn:microsoft.com/office/officeart/2005/8/layout/chevron2"/>
    <dgm:cxn modelId="{AC9D8B35-3E35-964E-B49F-8C40FB3AF24D}" srcId="{182D19B6-9968-F54C-9803-98CF32A9110D}" destId="{E8835EC0-86EE-3540-9564-983F3D69B9B0}" srcOrd="4" destOrd="0" parTransId="{3507EF78-030C-2546-8CBB-075D7261FCDE}" sibTransId="{7BBE6FC9-195F-5E44-BEAA-03BE4D719D22}"/>
    <dgm:cxn modelId="{C67DC537-D4CA-2944-8330-96C6C74E0394}" srcId="{32BD5717-A9E6-DD44-A13C-12122D41F212}" destId="{34B9CBCA-90AD-D946-B26E-3A6E60BB731E}" srcOrd="6" destOrd="0" parTransId="{9332FC5B-2DEC-D146-AE72-41CD6249A702}" sibTransId="{1031D2A7-8DEF-E945-AA90-68FD6C34AE22}"/>
    <dgm:cxn modelId="{8614193A-991B-4442-8247-0DC9DA334297}" type="presOf" srcId="{0D347524-7007-BE43-81AE-44B5DE652093}" destId="{28826DD3-E030-6044-B2F2-D85EF85F6960}" srcOrd="0" destOrd="1"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A65EA362-8B0F-224B-A10C-DE8E45D5CC8A}" type="presOf" srcId="{8A942072-3D9B-2043-8B2E-11E707170D7E}" destId="{A0202F08-BEC9-8F43-8711-F30ADE817D18}" srcOrd="0" destOrd="0" presId="urn:microsoft.com/office/officeart/2005/8/layout/chevron2"/>
    <dgm:cxn modelId="{AEB1E742-12E2-D24E-869F-D244FD3580BC}" type="presOf" srcId="{A8C6C2DC-42DC-4841-8B38-6F4C4E8905E8}" destId="{B88D95AA-AFFF-224F-9EBE-1226F2119586}" srcOrd="0" destOrd="0" presId="urn:microsoft.com/office/officeart/2005/8/layout/chevron2"/>
    <dgm:cxn modelId="{2D84C566-BD05-B141-BE40-6142BAC0DB75}" type="presOf" srcId="{14C4AACB-BBED-FD43-880C-31C843F0061A}" destId="{F1EE7E3F-25DA-8041-85A7-EBBF11BC4C56}" srcOrd="0" destOrd="1" presId="urn:microsoft.com/office/officeart/2005/8/layout/chevron2"/>
    <dgm:cxn modelId="{52345F68-CAA7-2949-BFCE-04E3039E8E5C}" type="presOf" srcId="{C458704A-A6F3-A24F-B50F-7B434CD11794}" destId="{28826DD3-E030-6044-B2F2-D85EF85F6960}" srcOrd="0" destOrd="2" presId="urn:microsoft.com/office/officeart/2005/8/layout/chevron2"/>
    <dgm:cxn modelId="{FBCA9468-21D0-A34D-887F-59A1DC4F55DC}" srcId="{AB849386-BBEF-244B-A2A1-1BE27622D72F}" destId="{125C0A60-1A53-5F41-A8F9-BD71D1144F62}" srcOrd="0" destOrd="0" parTransId="{984C74EC-959A-D247-8643-38CB257DFB0B}" sibTransId="{8F6DF586-F89A-104B-973B-698C8A397ED9}"/>
    <dgm:cxn modelId="{8120CF69-7B6E-584D-B41F-40273B388A2B}" type="presOf" srcId="{817AAD11-541C-8040-B8E6-60D63F44FF6E}" destId="{DCD4A931-4F01-F440-965B-DC25AA6FE080}" srcOrd="0" destOrd="1" presId="urn:microsoft.com/office/officeart/2005/8/layout/chevron2"/>
    <dgm:cxn modelId="{7BFC9C6A-2437-D24F-B986-39DC3950C009}" srcId="{32BD5717-A9E6-DD44-A13C-12122D41F212}" destId="{332543FB-BB1C-DE43-B140-C2BB789BBCB2}" srcOrd="1" destOrd="0" parTransId="{E83559AB-8184-B94E-AA65-4420DE3012DF}" sibTransId="{9F0DECA5-F8B9-2F49-B9A7-32EB3AD7D8C5}"/>
    <dgm:cxn modelId="{8E062E4D-AA93-CB44-A0AC-F749EB20F43A}" srcId="{32BD5717-A9E6-DD44-A13C-12122D41F212}" destId="{82A06431-B147-914D-A7EE-B91B75443203}" srcOrd="3" destOrd="0" parTransId="{13C96808-67BD-174F-B855-16ACA3400941}" sibTransId="{2927117D-194C-1341-932F-5623EB513890}"/>
    <dgm:cxn modelId="{126E964D-9824-C747-A87B-165E3CE2BB2E}" type="presOf" srcId="{32BD5717-A9E6-DD44-A13C-12122D41F212}" destId="{DDB27B24-50BA-ED48-8BE9-4C29E6B83259}" srcOrd="0" destOrd="0" presId="urn:microsoft.com/office/officeart/2005/8/layout/chevron2"/>
    <dgm:cxn modelId="{BD17A06D-0A2F-7244-BDB0-972880AED0F3}" type="presOf" srcId="{1EC7AB78-D724-324B-BD90-FC58EF6E0357}" destId="{48AF7672-2483-B34A-B763-89BD09AEBA58}" srcOrd="0" destOrd="0" presId="urn:microsoft.com/office/officeart/2005/8/layout/chevron2"/>
    <dgm:cxn modelId="{01B5C56E-C778-4745-905F-59045BAA3438}" srcId="{5EFAD456-F8B8-C147-9A38-D366892E8D90}" destId="{68196905-16F0-2A42-98AC-8FB20D642016}" srcOrd="1" destOrd="0" parTransId="{757AC53E-9585-174A-8BDE-BDE8DCD03A3C}" sibTransId="{19580F28-E4AB-1142-859C-C3C41C3F1DB2}"/>
    <dgm:cxn modelId="{63BDE94E-8C6E-4240-A94F-7C0330B3A3B1}" type="presOf" srcId="{46C87E74-5E28-8C46-86B1-98C82A55CBAE}" destId="{6DDDE256-1CA3-1140-A939-5530FC1F57D3}" srcOrd="0" destOrd="0"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A4F79651-BB47-C44B-9A7E-089DE4ED45BA}" type="presOf" srcId="{A177B3ED-63C5-3348-B066-3691D8643EDE}" destId="{F1EE7E3F-25DA-8041-85A7-EBBF11BC4C56}" srcOrd="0" destOrd="0" presId="urn:microsoft.com/office/officeart/2005/8/layout/chevron2"/>
    <dgm:cxn modelId="{EBCA7454-0A4D-574C-AF9E-ACF2192F6A69}" srcId="{34B9CBCA-90AD-D946-B26E-3A6E60BB731E}" destId="{EEF349EC-A16C-6E4F-8464-6BD71940F70C}" srcOrd="2" destOrd="0" parTransId="{4EF4EBD5-8084-7D4A-BB5E-4EF2C5C94F99}" sibTransId="{A325D897-3CF3-2444-BCE0-FB27A2B93D02}"/>
    <dgm:cxn modelId="{D2C14255-7CA7-D544-81B3-A2681368EFB4}" type="presOf" srcId="{0D5E0837-38B9-E148-BB11-F780782A29CB}" destId="{9D5418D3-F08D-8545-87B2-2FD7B1D1031E}" srcOrd="0" destOrd="2" presId="urn:microsoft.com/office/officeart/2005/8/layout/chevron2"/>
    <dgm:cxn modelId="{7CCA3577-052A-E54E-8A65-B79C9D3D7282}" srcId="{32BD5717-A9E6-DD44-A13C-12122D41F212}" destId="{5EFAD456-F8B8-C147-9A38-D366892E8D90}" srcOrd="10" destOrd="0" parTransId="{AEC4A29C-080E-714E-8C55-A165817C6F84}" sibTransId="{69AAF0EB-9438-D048-8CCB-3ADC0E6ED07B}"/>
    <dgm:cxn modelId="{941CFF7A-D638-8A4B-8278-95DAB8637AEE}" srcId="{32BD5717-A9E6-DD44-A13C-12122D41F212}" destId="{8A942072-3D9B-2043-8B2E-11E707170D7E}" srcOrd="2"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C2637380-4378-9541-964A-D6E21D69FAFC}" srcId="{34B9CBCA-90AD-D946-B26E-3A6E60BB731E}" destId="{817AAD11-541C-8040-B8E6-60D63F44FF6E}" srcOrd="1" destOrd="0" parTransId="{820D5C7D-3565-B841-B802-D79FD186F3F0}" sibTransId="{DBDC58F4-53C2-3143-8B2E-16E385E444FB}"/>
    <dgm:cxn modelId="{3728C280-F89C-B245-85E0-55FE28ADAEB8}" type="presOf" srcId="{2725BEFC-24C3-E145-86F8-460B0C16124D}" destId="{8BDAA81E-2E4E-9C4A-9A67-4855D9BA1510}" srcOrd="0" destOrd="0" presId="urn:microsoft.com/office/officeart/2005/8/layout/chevron2"/>
    <dgm:cxn modelId="{82E6AD87-2106-D645-8CAB-61115364580C}" type="presOf" srcId="{E6055D9E-1DDE-A243-A8F6-5CDF160A3724}" destId="{C174B10A-41E6-244B-88CB-0D08E5FFF5F9}"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50CEEE91-315F-AB47-91AC-3CEB500AD397}" type="presOf" srcId="{D4E1C1EB-464F-944F-AA7F-A4CE95B0D066}" destId="{9A028F62-E1E0-4745-AD29-0FD4D21CB957}" srcOrd="0" destOrd="0" presId="urn:microsoft.com/office/officeart/2005/8/layout/chevron2"/>
    <dgm:cxn modelId="{8FC52093-531A-BD46-BA5B-2023D5410562}" type="presOf" srcId="{61A2BB49-4883-F544-A634-4207B0324D62}" destId="{06B263AD-CC10-0D49-8145-0C283F585CD5}" srcOrd="0" destOrd="0"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A4B3F593-7B7A-EE44-9F80-2BD4F5F42B6F}" type="presOf" srcId="{3528BF8B-944A-1B4D-ADBB-12D941C8C388}" destId="{E2DE84BA-2462-A242-AC94-46E19F99F1BB}" srcOrd="0" destOrd="0" presId="urn:microsoft.com/office/officeart/2005/8/layout/chevron2"/>
    <dgm:cxn modelId="{7724FB94-3CBB-FF4F-A88F-DF25BA3B4755}" srcId="{332543FB-BB1C-DE43-B140-C2BB789BBCB2}" destId="{4E401C2C-4000-C040-828A-EB0D5B3F70BC}" srcOrd="1" destOrd="0" parTransId="{3CFB846A-189E-294E-B017-5A9A4DD6CEDE}" sibTransId="{ECEB1A3F-3DD8-E248-9697-8F101B01851A}"/>
    <dgm:cxn modelId="{3A5C0C95-787E-DF4D-8C2C-C8A8A8CB3E5D}" srcId="{32BD5717-A9E6-DD44-A13C-12122D41F212}" destId="{D4E1C1EB-464F-944F-AA7F-A4CE95B0D066}" srcOrd="7" destOrd="0" parTransId="{204E1EC0-E1AD-394E-80D9-3D41C0367F6C}" sibTransId="{F3CF714B-0321-C24B-A107-FD578CB2A4DB}"/>
    <dgm:cxn modelId="{F0183496-8043-C14A-B86D-E1DEF0F95125}" type="presOf" srcId="{0B5EEED9-AADF-5646-A4EE-16C7E3C5048F}" destId="{734629A2-0A64-004C-9FE3-C658F4A3EE9E}" srcOrd="0" destOrd="0" presId="urn:microsoft.com/office/officeart/2005/8/layout/chevron2"/>
    <dgm:cxn modelId="{6D5D9596-8869-6F42-A53E-15E0CA57DEF1}" type="presOf" srcId="{E8835EC0-86EE-3540-9564-983F3D69B9B0}" destId="{E2DE84BA-2462-A242-AC94-46E19F99F1BB}" srcOrd="0" destOrd="4" presId="urn:microsoft.com/office/officeart/2005/8/layout/chevron2"/>
    <dgm:cxn modelId="{06495397-CAFB-8346-B6DD-C62B8755406E}" srcId="{93105CB4-0286-ED4F-915C-092EF42A9691}" destId="{14C4AACB-BBED-FD43-880C-31C843F0061A}" srcOrd="1" destOrd="0" parTransId="{DFED4DE2-2306-C34E-907E-763B913F06DC}" sibTransId="{8C3CD2B7-B9B1-6B48-BD9C-4F4D55283F81}"/>
    <dgm:cxn modelId="{3ED8739D-74CA-0E46-AE81-D67CB9C38E8F}" type="presOf" srcId="{C895386A-F48F-E44B-9B87-B77E88F50812}" destId="{C174B10A-41E6-244B-88CB-0D08E5FFF5F9}" srcOrd="0" destOrd="2" presId="urn:microsoft.com/office/officeart/2005/8/layout/chevron2"/>
    <dgm:cxn modelId="{C2A5ACA1-F1A9-1347-BEAB-34809B48CF85}" srcId="{32BD5717-A9E6-DD44-A13C-12122D41F212}" destId="{46C87E74-5E28-8C46-86B1-98C82A55CBAE}" srcOrd="11" destOrd="0" parTransId="{2A9B7400-96EA-AD40-9D11-2744CE1FE9E5}" sibTransId="{04801474-7BFD-AC4B-9CCF-28521DEC6DB6}"/>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8B38A9A4-079D-5C45-AABD-A9444E931CD3}" type="presOf" srcId="{3F3526C7-6ED1-AA46-BF20-1B9948A084E5}" destId="{06B263AD-CC10-0D49-8145-0C283F585CD5}" srcOrd="0" destOrd="2" presId="urn:microsoft.com/office/officeart/2005/8/layout/chevron2"/>
    <dgm:cxn modelId="{41F6AEA4-660B-BB40-B9A3-341B4796F7D7}" srcId="{AB849386-BBEF-244B-A2A1-1BE27622D72F}" destId="{BE8AC978-0FAD-5E4D-B281-1B7DC61EC809}" srcOrd="1" destOrd="0" parTransId="{644AFFE0-B4BE-8943-93C3-2A6907CD6F29}" sibTransId="{AD072108-05B4-C840-8E22-2970579DFF3B}"/>
    <dgm:cxn modelId="{6F57CBA8-28CF-F749-A59C-77BE70BCA0D0}" type="presOf" srcId="{18ABC2A5-DCE7-414C-AE08-6EAE4EA2FE6D}" destId="{E2DE84BA-2462-A242-AC94-46E19F99F1BB}" srcOrd="0" destOrd="2" presId="urn:microsoft.com/office/officeart/2005/8/layout/chevron2"/>
    <dgm:cxn modelId="{9D58D9AA-8A9F-7344-B079-96A6F3E9EE0D}" srcId="{A8C6C2DC-42DC-4841-8B38-6F4C4E8905E8}" destId="{387817B1-B48E-804E-9741-307C0F8B2DA9}" srcOrd="1" destOrd="0" parTransId="{D94773E4-7F82-0F47-985A-8F598D82ADFE}" sibTransId="{5A610308-D14F-784F-92CA-466500C5E6DC}"/>
    <dgm:cxn modelId="{E3864CAB-5CEA-2845-9E1F-FC63029AD41E}" srcId="{32BD5717-A9E6-DD44-A13C-12122D41F212}" destId="{93105CB4-0286-ED4F-915C-092EF42A9691}" srcOrd="4" destOrd="0" parTransId="{A4EA5788-EDE5-E443-B24A-EA951734FC41}" sibTransId="{72453AAB-5C0D-2D49-B812-AF99508E8E00}"/>
    <dgm:cxn modelId="{266D7AB4-99C7-8045-9D4E-2D288EF74750}" type="presOf" srcId="{B81682CE-3DAA-7547-977E-5CA5485D7B79}" destId="{E2DE84BA-2462-A242-AC94-46E19F99F1BB}" srcOrd="0" destOrd="3" presId="urn:microsoft.com/office/officeart/2005/8/layout/chevron2"/>
    <dgm:cxn modelId="{CD6D40BB-C601-D54F-A046-9D5EEECE42FC}" type="presOf" srcId="{7438286E-8350-184E-82B3-3AAEF5F4B429}" destId="{8BDAA81E-2E4E-9C4A-9A67-4855D9BA1510}" srcOrd="0" destOrd="2" presId="urn:microsoft.com/office/officeart/2005/8/layout/chevron2"/>
    <dgm:cxn modelId="{E30FE7BB-ADBB-844E-8AD3-5CC4AEAEEBBE}" type="presOf" srcId="{318E09D1-A59D-2E4B-A3CC-C2FF16965C43}" destId="{E2DE84BA-2462-A242-AC94-46E19F99F1BB}" srcOrd="0" destOrd="1" presId="urn:microsoft.com/office/officeart/2005/8/layout/chevron2"/>
    <dgm:cxn modelId="{883B26C0-4C76-5D42-9791-69B64BCD6034}" type="presOf" srcId="{65337D44-9B2C-044E-AEF9-F665764413CE}" destId="{9D5418D3-F08D-8545-87B2-2FD7B1D1031E}" srcOrd="0" destOrd="0"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E2F329CF-5D02-3241-B348-50CB30650C25}" srcId="{182D19B6-9968-F54C-9803-98CF32A9110D}" destId="{318E09D1-A59D-2E4B-A3CC-C2FF16965C43}" srcOrd="1" destOrd="0" parTransId="{692F5075-8AA7-1545-9821-5B796547FE98}" sibTransId="{C3BC74F0-F4E6-BD4C-8197-893C2058CDAE}"/>
    <dgm:cxn modelId="{FA1693D4-B6BE-2247-AF59-1B4FAEBD75F9}" type="presOf" srcId="{AB849386-BBEF-244B-A2A1-1BE27622D72F}" destId="{844AC346-AEB9-A649-8C9D-DBF2769C8FFC}" srcOrd="0" destOrd="0" presId="urn:microsoft.com/office/officeart/2005/8/layout/chevron2"/>
    <dgm:cxn modelId="{76C658D9-5434-E84B-B2F1-2DBBA22EDDB9}" type="presOf" srcId="{6AEE21D3-4CB1-7443-AC17-5D71D849EEF3}" destId="{28826DD3-E030-6044-B2F2-D85EF85F6960}" srcOrd="0" destOrd="0" presId="urn:microsoft.com/office/officeart/2005/8/layout/chevron2"/>
    <dgm:cxn modelId="{30908EE6-60E7-6040-B752-A15111C89C92}" type="presOf" srcId="{D4381A80-7F1D-9D4D-8093-B3E6A2F1CFCA}" destId="{9D5418D3-F08D-8545-87B2-2FD7B1D1031E}" srcOrd="0" destOrd="1" presId="urn:microsoft.com/office/officeart/2005/8/layout/chevron2"/>
    <dgm:cxn modelId="{F6F9ECE7-ADA3-474F-9AA8-95C4D433F057}" type="presOf" srcId="{718C1A72-EF39-DD4E-BFDE-F45DD7D520FB}" destId="{B3EE9CE6-0ABB-F14B-8299-D4BFC2EC579D}" srcOrd="0" destOrd="0" presId="urn:microsoft.com/office/officeart/2005/8/layout/chevron2"/>
    <dgm:cxn modelId="{774309EC-BF59-164F-BDE5-E175300528E0}" type="presOf" srcId="{125C0A60-1A53-5F41-A8F9-BD71D1144F62}" destId="{C80BEB0B-E1AB-4443-9F91-9D6894D7833E}" srcOrd="0" destOrd="0"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4EDB36F2-7415-C240-ACB0-5373C67912E9}" srcId="{5EFAD456-F8B8-C147-9A38-D366892E8D90}" destId="{E6055D9E-1DDE-A243-A8F6-5CDF160A3724}" srcOrd="0" destOrd="0" parTransId="{0B1DC3A5-5264-CD49-8D31-3B1A5E86C1C7}" sibTransId="{6C856E09-93CE-D348-B575-16FE79947A8D}"/>
    <dgm:cxn modelId="{9908D6F4-C0F5-4542-868B-44F5EF4B2245}" srcId="{93105CB4-0286-ED4F-915C-092EF42A9691}" destId="{A177B3ED-63C5-3348-B066-3691D8643EDE}" srcOrd="0" destOrd="0" parTransId="{2716D8C5-47EC-914C-A0C1-738796E8B970}" sibTransId="{8A8CA50E-7D69-3145-B4F9-FFF4F50F2CC8}"/>
    <dgm:cxn modelId="{598240F5-F87C-AE44-8986-2C05586D89F8}" srcId="{32BD5717-A9E6-DD44-A13C-12122D41F212}" destId="{A8C6C2DC-42DC-4841-8B38-6F4C4E8905E8}" srcOrd="9" destOrd="0" parTransId="{8A5F89D1-42B4-1148-8907-D7CC48A00BFD}" sibTransId="{9073B681-2853-EB4F-BA4E-A12B1C47BB5F}"/>
    <dgm:cxn modelId="{34ADA9F6-2245-B848-A546-354305711204}" type="presOf" srcId="{2D2AF18A-8B4F-6F43-ABC1-76E3735A0A2A}" destId="{BC4A5DFE-0373-0044-B473-93ADEF2A2324}" srcOrd="0" destOrd="0" presId="urn:microsoft.com/office/officeart/2005/8/layout/chevron2"/>
    <dgm:cxn modelId="{A3D7ACF7-2BA2-4F49-A0E0-7346B1E54F6B}" srcId="{82A06431-B147-914D-A7EE-B91B75443203}" destId="{0D5E0837-38B9-E148-BB11-F780782A29CB}" srcOrd="2" destOrd="0" parTransId="{22B50FC3-BF2E-BC48-A0D0-DF6C126E5EEE}" sibTransId="{BF3788D2-6547-5A48-A40F-C81D634AEA59}"/>
    <dgm:cxn modelId="{F3D0E4FA-34ED-D046-8399-6D32BA554836}" type="presOf" srcId="{93105CB4-0286-ED4F-915C-092EF42A9691}" destId="{CCC28DE8-0568-7547-9A1F-3C6F0F33A2CF}" srcOrd="0" destOrd="0" presId="urn:microsoft.com/office/officeart/2005/8/layout/chevron2"/>
    <dgm:cxn modelId="{9F73B6FC-660E-A74E-A88F-BBD4248289E7}" srcId="{5EFAD456-F8B8-C147-9A38-D366892E8D90}" destId="{C895386A-F48F-E44B-9B87-B77E88F50812}" srcOrd="2" destOrd="0" parTransId="{23577957-2723-E648-984C-26703F841391}" sibTransId="{90E79DCF-7DA1-334A-A81B-53D11FB4A7D0}"/>
    <dgm:cxn modelId="{9A6DE8FC-0B23-7D4B-BD16-F56C60A0A2B6}" type="presOf" srcId="{CF8D6B60-3FEF-0048-B019-B0883DEB78C2}" destId="{06B263AD-CC10-0D49-8145-0C283F585CD5}" srcOrd="0" destOrd="1"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473EAD47-76DD-BA4C-B8D2-B5596208493B}" type="presParOf" srcId="{DDB27B24-50BA-ED48-8BE9-4C29E6B83259}" destId="{B4D05EFA-2710-E24E-95A8-E5ADA436F1BA}" srcOrd="0" destOrd="0" presId="urn:microsoft.com/office/officeart/2005/8/layout/chevron2"/>
    <dgm:cxn modelId="{A4A6D0F5-CC1B-7F48-ABF5-67B2E624CC08}" type="presParOf" srcId="{B4D05EFA-2710-E24E-95A8-E5ADA436F1BA}" destId="{B3EE9CE6-0ABB-F14B-8299-D4BFC2EC579D}" srcOrd="0" destOrd="0" presId="urn:microsoft.com/office/officeart/2005/8/layout/chevron2"/>
    <dgm:cxn modelId="{5F4EB034-A74E-1A46-B055-501E247430F0}" type="presParOf" srcId="{B4D05EFA-2710-E24E-95A8-E5ADA436F1BA}" destId="{28826DD3-E030-6044-B2F2-D85EF85F6960}" srcOrd="1" destOrd="0" presId="urn:microsoft.com/office/officeart/2005/8/layout/chevron2"/>
    <dgm:cxn modelId="{6BB8E925-042C-204D-BE99-C40BB5F3C7B0}" type="presParOf" srcId="{DDB27B24-50BA-ED48-8BE9-4C29E6B83259}" destId="{585C7840-A253-9640-BBF2-282E7F35583D}" srcOrd="1" destOrd="0" presId="urn:microsoft.com/office/officeart/2005/8/layout/chevron2"/>
    <dgm:cxn modelId="{65552C10-1C53-EE48-9F98-72BB24BAD2FD}" type="presParOf" srcId="{DDB27B24-50BA-ED48-8BE9-4C29E6B83259}" destId="{725C6BB0-2454-F04B-AEC7-CF75FCBB3A74}" srcOrd="2" destOrd="0" presId="urn:microsoft.com/office/officeart/2005/8/layout/chevron2"/>
    <dgm:cxn modelId="{EC970BAE-D14F-A443-B457-7AC7E6372A41}" type="presParOf" srcId="{725C6BB0-2454-F04B-AEC7-CF75FCBB3A74}" destId="{B422BFF3-8BFD-2144-8980-375702EA9496}" srcOrd="0" destOrd="0" presId="urn:microsoft.com/office/officeart/2005/8/layout/chevron2"/>
    <dgm:cxn modelId="{FB4244B9-4E3B-294A-8D7A-029D7EBA107A}" type="presParOf" srcId="{725C6BB0-2454-F04B-AEC7-CF75FCBB3A74}" destId="{8BDAA81E-2E4E-9C4A-9A67-4855D9BA1510}" srcOrd="1" destOrd="0" presId="urn:microsoft.com/office/officeart/2005/8/layout/chevron2"/>
    <dgm:cxn modelId="{932C3257-33D4-634D-934F-22EA82F0A806}" type="presParOf" srcId="{DDB27B24-50BA-ED48-8BE9-4C29E6B83259}" destId="{D756A8C3-50EB-084A-8277-DD5831B4E8C7}" srcOrd="3" destOrd="0" presId="urn:microsoft.com/office/officeart/2005/8/layout/chevron2"/>
    <dgm:cxn modelId="{9695B7C3-E774-EC48-BC47-B03527DC305C}" type="presParOf" srcId="{DDB27B24-50BA-ED48-8BE9-4C29E6B83259}" destId="{D669929D-DE6F-0D40-8D4A-1736805AD131}" srcOrd="4" destOrd="0" presId="urn:microsoft.com/office/officeart/2005/8/layout/chevron2"/>
    <dgm:cxn modelId="{F3B255EE-FA69-5143-BFC1-4821F315BCD5}" type="presParOf" srcId="{D669929D-DE6F-0D40-8D4A-1736805AD131}" destId="{A0202F08-BEC9-8F43-8711-F30ADE817D18}" srcOrd="0" destOrd="0" presId="urn:microsoft.com/office/officeart/2005/8/layout/chevron2"/>
    <dgm:cxn modelId="{F9E227EC-E4C9-AD47-94F0-951F913F2AC5}" type="presParOf" srcId="{D669929D-DE6F-0D40-8D4A-1736805AD131}" destId="{06B263AD-CC10-0D49-8145-0C283F585CD5}" srcOrd="1" destOrd="0" presId="urn:microsoft.com/office/officeart/2005/8/layout/chevron2"/>
    <dgm:cxn modelId="{592EB5D6-3E71-2540-B3F6-A8E6A7093529}" type="presParOf" srcId="{DDB27B24-50BA-ED48-8BE9-4C29E6B83259}" destId="{B5F0F139-C5B5-F942-A092-8BB086CFFEFA}" srcOrd="5" destOrd="0" presId="urn:microsoft.com/office/officeart/2005/8/layout/chevron2"/>
    <dgm:cxn modelId="{5F4E0B10-8DCD-F849-8929-F3EC2D0345A0}" type="presParOf" srcId="{DDB27B24-50BA-ED48-8BE9-4C29E6B83259}" destId="{A6A53311-4EDF-944C-B7A8-A929BD874343}" srcOrd="6" destOrd="0" presId="urn:microsoft.com/office/officeart/2005/8/layout/chevron2"/>
    <dgm:cxn modelId="{0972C7F7-3F77-DC44-BC53-2226FFE3B666}" type="presParOf" srcId="{A6A53311-4EDF-944C-B7A8-A929BD874343}" destId="{31EA3204-EDC1-4F43-84C9-41DE884256E5}" srcOrd="0" destOrd="0" presId="urn:microsoft.com/office/officeart/2005/8/layout/chevron2"/>
    <dgm:cxn modelId="{80042905-3DB3-F543-8EC4-CC7ECDCBD1AA}" type="presParOf" srcId="{A6A53311-4EDF-944C-B7A8-A929BD874343}" destId="{9D5418D3-F08D-8545-87B2-2FD7B1D1031E}" srcOrd="1" destOrd="0" presId="urn:microsoft.com/office/officeart/2005/8/layout/chevron2"/>
    <dgm:cxn modelId="{07E67344-54DE-E242-AFE1-1AD863F38F7A}" type="presParOf" srcId="{DDB27B24-50BA-ED48-8BE9-4C29E6B83259}" destId="{BD082DD2-36A2-F841-B83C-3B9BAF4B2B5C}" srcOrd="7" destOrd="0" presId="urn:microsoft.com/office/officeart/2005/8/layout/chevron2"/>
    <dgm:cxn modelId="{942C43C1-1134-4F45-8ED9-D8E97AC9875E}" type="presParOf" srcId="{DDB27B24-50BA-ED48-8BE9-4C29E6B83259}" destId="{C371305F-B72D-3C44-BB22-E50B26871DA6}" srcOrd="8" destOrd="0" presId="urn:microsoft.com/office/officeart/2005/8/layout/chevron2"/>
    <dgm:cxn modelId="{E02AB80F-6D2E-CA45-8484-38C209AF997B}" type="presParOf" srcId="{C371305F-B72D-3C44-BB22-E50B26871DA6}" destId="{CCC28DE8-0568-7547-9A1F-3C6F0F33A2CF}" srcOrd="0" destOrd="0" presId="urn:microsoft.com/office/officeart/2005/8/layout/chevron2"/>
    <dgm:cxn modelId="{A2F1F74A-BDEA-D640-9D0A-EEAFB13EB03A}" type="presParOf" srcId="{C371305F-B72D-3C44-BB22-E50B26871DA6}" destId="{F1EE7E3F-25DA-8041-85A7-EBBF11BC4C56}" srcOrd="1" destOrd="0" presId="urn:microsoft.com/office/officeart/2005/8/layout/chevron2"/>
    <dgm:cxn modelId="{1D2BB74C-0F5E-2944-86A2-58DD549E17B0}" type="presParOf" srcId="{DDB27B24-50BA-ED48-8BE9-4C29E6B83259}" destId="{2C8A0FE6-3CCD-674F-87D7-C945364C8330}" srcOrd="9" destOrd="0" presId="urn:microsoft.com/office/officeart/2005/8/layout/chevron2"/>
    <dgm:cxn modelId="{601C5A94-2DD0-8746-A971-AF430200CEE4}" type="presParOf" srcId="{DDB27B24-50BA-ED48-8BE9-4C29E6B83259}" destId="{C8A774E9-C669-9C42-8FD8-567A31043E1A}" srcOrd="10" destOrd="0" presId="urn:microsoft.com/office/officeart/2005/8/layout/chevron2"/>
    <dgm:cxn modelId="{511B8783-DDCD-904E-ACE4-101C4D71D1E1}" type="presParOf" srcId="{C8A774E9-C669-9C42-8FD8-567A31043E1A}" destId="{844AC346-AEB9-A649-8C9D-DBF2769C8FFC}" srcOrd="0" destOrd="0" presId="urn:microsoft.com/office/officeart/2005/8/layout/chevron2"/>
    <dgm:cxn modelId="{E2157506-90E3-164D-BCB9-9C58717112C0}" type="presParOf" srcId="{C8A774E9-C669-9C42-8FD8-567A31043E1A}" destId="{C80BEB0B-E1AB-4443-9F91-9D6894D7833E}" srcOrd="1" destOrd="0" presId="urn:microsoft.com/office/officeart/2005/8/layout/chevron2"/>
    <dgm:cxn modelId="{50EF8745-85F8-1546-B050-513B0A658954}" type="presParOf" srcId="{DDB27B24-50BA-ED48-8BE9-4C29E6B83259}" destId="{59BB4FCD-F10D-9947-BE1C-B71549A60A1E}" srcOrd="11" destOrd="0" presId="urn:microsoft.com/office/officeart/2005/8/layout/chevron2"/>
    <dgm:cxn modelId="{5ECEB2CB-4450-7142-BE13-F98DD07F2BDF}" type="presParOf" srcId="{DDB27B24-50BA-ED48-8BE9-4C29E6B83259}" destId="{9EA93BB1-069D-5E45-B7BF-50881B2F72E6}" srcOrd="12" destOrd="0" presId="urn:microsoft.com/office/officeart/2005/8/layout/chevron2"/>
    <dgm:cxn modelId="{74DAA0E4-2C3B-9441-9938-C59528C55263}" type="presParOf" srcId="{9EA93BB1-069D-5E45-B7BF-50881B2F72E6}" destId="{B9872B13-1174-E847-A615-29577404DF21}" srcOrd="0" destOrd="0" presId="urn:microsoft.com/office/officeart/2005/8/layout/chevron2"/>
    <dgm:cxn modelId="{6A483468-BF53-AB4F-8233-01BE64319707}" type="presParOf" srcId="{9EA93BB1-069D-5E45-B7BF-50881B2F72E6}" destId="{DCD4A931-4F01-F440-965B-DC25AA6FE080}" srcOrd="1" destOrd="0" presId="urn:microsoft.com/office/officeart/2005/8/layout/chevron2"/>
    <dgm:cxn modelId="{CC2F867B-3422-0E43-94CF-B9F3F9BDAEEA}" type="presParOf" srcId="{DDB27B24-50BA-ED48-8BE9-4C29E6B83259}" destId="{201CAB8F-4C7F-6E4E-9169-C9E7B5CBE404}" srcOrd="13" destOrd="0" presId="urn:microsoft.com/office/officeart/2005/8/layout/chevron2"/>
    <dgm:cxn modelId="{73254008-03BD-654F-AAA2-73FC3B5FA796}" type="presParOf" srcId="{DDB27B24-50BA-ED48-8BE9-4C29E6B83259}" destId="{AE2D8890-F0B4-9248-B6ED-BAB2BB8D4B63}" srcOrd="14" destOrd="0" presId="urn:microsoft.com/office/officeart/2005/8/layout/chevron2"/>
    <dgm:cxn modelId="{E8591396-85E2-5249-B220-BCD9E64BFCC3}" type="presParOf" srcId="{AE2D8890-F0B4-9248-B6ED-BAB2BB8D4B63}" destId="{9A028F62-E1E0-4745-AD29-0FD4D21CB957}" srcOrd="0" destOrd="0" presId="urn:microsoft.com/office/officeart/2005/8/layout/chevron2"/>
    <dgm:cxn modelId="{46337FAD-D1B7-A14F-A480-C2FCBD34C796}" type="presParOf" srcId="{AE2D8890-F0B4-9248-B6ED-BAB2BB8D4B63}" destId="{734629A2-0A64-004C-9FE3-C658F4A3EE9E}" srcOrd="1" destOrd="0" presId="urn:microsoft.com/office/officeart/2005/8/layout/chevron2"/>
    <dgm:cxn modelId="{0B39F9C0-01A6-1E4C-8696-30A730168F95}" type="presParOf" srcId="{DDB27B24-50BA-ED48-8BE9-4C29E6B83259}" destId="{0DB29427-CF0F-9B4B-9F73-E9A23863D932}" srcOrd="15" destOrd="0" presId="urn:microsoft.com/office/officeart/2005/8/layout/chevron2"/>
    <dgm:cxn modelId="{8A9FA797-0131-0942-B678-02251AA48FB6}" type="presParOf" srcId="{DDB27B24-50BA-ED48-8BE9-4C29E6B83259}" destId="{C588B7A2-4017-6643-93CD-7EB3E7875B06}" srcOrd="16" destOrd="0" presId="urn:microsoft.com/office/officeart/2005/8/layout/chevron2"/>
    <dgm:cxn modelId="{058ACA97-DA3B-4246-B839-1E9B50703AA8}" type="presParOf" srcId="{C588B7A2-4017-6643-93CD-7EB3E7875B06}" destId="{E86BF6A3-BA90-BB43-908F-24E76E7D1587}" srcOrd="0" destOrd="0" presId="urn:microsoft.com/office/officeart/2005/8/layout/chevron2"/>
    <dgm:cxn modelId="{B62E98EA-0592-2E4D-AF11-F4BF2CA70DE7}" type="presParOf" srcId="{C588B7A2-4017-6643-93CD-7EB3E7875B06}" destId="{E2DE84BA-2462-A242-AC94-46E19F99F1BB}" srcOrd="1" destOrd="0" presId="urn:microsoft.com/office/officeart/2005/8/layout/chevron2"/>
    <dgm:cxn modelId="{53ACC638-C0E9-CF40-9AB0-9A9DD8DD85D7}" type="presParOf" srcId="{DDB27B24-50BA-ED48-8BE9-4C29E6B83259}" destId="{C2AB1E69-06F4-D043-944B-D85D9601ACA6}" srcOrd="17" destOrd="0" presId="urn:microsoft.com/office/officeart/2005/8/layout/chevron2"/>
    <dgm:cxn modelId="{32797987-4253-6745-8780-AD0626F6E920}" type="presParOf" srcId="{DDB27B24-50BA-ED48-8BE9-4C29E6B83259}" destId="{51C6866E-9F56-9A45-ADF2-6F81F533274A}" srcOrd="18" destOrd="0" presId="urn:microsoft.com/office/officeart/2005/8/layout/chevron2"/>
    <dgm:cxn modelId="{C362DED8-6439-F14D-B2AA-A597DF8C3D2D}" type="presParOf" srcId="{51C6866E-9F56-9A45-ADF2-6F81F533274A}" destId="{B88D95AA-AFFF-224F-9EBE-1226F2119586}" srcOrd="0" destOrd="0" presId="urn:microsoft.com/office/officeart/2005/8/layout/chevron2"/>
    <dgm:cxn modelId="{FAAF32B3-1EC4-E643-8F93-C716329EA80E}" type="presParOf" srcId="{51C6866E-9F56-9A45-ADF2-6F81F533274A}" destId="{BC4A5DFE-0373-0044-B473-93ADEF2A2324}" srcOrd="1" destOrd="0" presId="urn:microsoft.com/office/officeart/2005/8/layout/chevron2"/>
    <dgm:cxn modelId="{6D600C89-A34A-C94C-AE1F-2A4084E8B390}" type="presParOf" srcId="{DDB27B24-50BA-ED48-8BE9-4C29E6B83259}" destId="{01E3A2D8-2E7D-6941-B2B2-FA006E31EF08}" srcOrd="19" destOrd="0" presId="urn:microsoft.com/office/officeart/2005/8/layout/chevron2"/>
    <dgm:cxn modelId="{F047C8AA-4861-A54A-9966-1B260842674E}" type="presParOf" srcId="{DDB27B24-50BA-ED48-8BE9-4C29E6B83259}" destId="{37D2DAC8-74EC-BF4C-831D-920A9C40B9D5}" srcOrd="20" destOrd="0" presId="urn:microsoft.com/office/officeart/2005/8/layout/chevron2"/>
    <dgm:cxn modelId="{C8BCE9DB-B12E-BF44-937D-8A4FA8BC7174}" type="presParOf" srcId="{37D2DAC8-74EC-BF4C-831D-920A9C40B9D5}" destId="{ED0EEAAD-1F9F-C445-9ED5-D61D26A0F8D1}" srcOrd="0" destOrd="0" presId="urn:microsoft.com/office/officeart/2005/8/layout/chevron2"/>
    <dgm:cxn modelId="{C51D850B-EEB6-2441-99A8-5AA9F0EDE4F3}" type="presParOf" srcId="{37D2DAC8-74EC-BF4C-831D-920A9C40B9D5}" destId="{C174B10A-41E6-244B-88CB-0D08E5FFF5F9}" srcOrd="1" destOrd="0" presId="urn:microsoft.com/office/officeart/2005/8/layout/chevron2"/>
    <dgm:cxn modelId="{11A2F8AC-7409-A846-A033-CE73D84144CA}" type="presParOf" srcId="{DDB27B24-50BA-ED48-8BE9-4C29E6B83259}" destId="{43FB22C6-B891-E44F-B0D7-B9F71AB372F1}" srcOrd="21" destOrd="0" presId="urn:microsoft.com/office/officeart/2005/8/layout/chevron2"/>
    <dgm:cxn modelId="{276749C8-A4B4-AA49-94BF-3E779349C1BD}" type="presParOf" srcId="{DDB27B24-50BA-ED48-8BE9-4C29E6B83259}" destId="{73DF1BD6-49ED-134F-A291-CE4DB94547A9}" srcOrd="22" destOrd="0" presId="urn:microsoft.com/office/officeart/2005/8/layout/chevron2"/>
    <dgm:cxn modelId="{5C2E2947-8865-3141-97FA-D9517BB70B95}" type="presParOf" srcId="{73DF1BD6-49ED-134F-A291-CE4DB94547A9}" destId="{6DDDE256-1CA3-1140-A939-5530FC1F57D3}" srcOrd="0" destOrd="0" presId="urn:microsoft.com/office/officeart/2005/8/layout/chevron2"/>
    <dgm:cxn modelId="{75FDDAED-F003-8149-A066-976444B95823}" type="presParOf" srcId="{73DF1BD6-49ED-134F-A291-CE4DB94547A9}" destId="{999FDDA9-9F6A-1143-BE3C-B1E07CBE9945}" srcOrd="1" destOrd="0" presId="urn:microsoft.com/office/officeart/2005/8/layout/chevron2"/>
    <dgm:cxn modelId="{9791D29E-2C33-B148-ACC9-65A3427AD806}" type="presParOf" srcId="{DDB27B24-50BA-ED48-8BE9-4C29E6B83259}" destId="{A73ECDF3-49A4-0948-BD1F-387AF7BD3FC1}" srcOrd="23" destOrd="0" presId="urn:microsoft.com/office/officeart/2005/8/layout/chevron2"/>
    <dgm:cxn modelId="{906343DC-1426-E24D-AEA1-22EEBC87C7CE}" type="presParOf" srcId="{DDB27B24-50BA-ED48-8BE9-4C29E6B83259}" destId="{F2D2A481-D011-064A-92C0-32CD4D676904}" srcOrd="24" destOrd="0" presId="urn:microsoft.com/office/officeart/2005/8/layout/chevron2"/>
    <dgm:cxn modelId="{D336FAEC-01C2-1245-93BA-2964ABB1DF20}" type="presParOf" srcId="{F2D2A481-D011-064A-92C0-32CD4D676904}" destId="{48AF7672-2483-B34A-B763-89BD09AEBA58}" srcOrd="0" destOrd="0" presId="urn:microsoft.com/office/officeart/2005/8/layout/chevron2"/>
    <dgm:cxn modelId="{5546799F-638A-ED46-B9C6-6F92FFAC6A9D}"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91F210D-C8B6-884D-A47D-739E3433EB08}" type="doc">
      <dgm:prSet loTypeId="urn:microsoft.com/office/officeart/2005/8/layout/hProcess10" loCatId="" qsTypeId="urn:microsoft.com/office/officeart/2005/8/quickstyle/simple4" qsCatId="simple" csTypeId="urn:microsoft.com/office/officeart/2005/8/colors/accent0_1" csCatId="mainScheme" phldr="1"/>
      <dgm:spPr/>
      <dgm:t>
        <a:bodyPr/>
        <a:lstStyle/>
        <a:p>
          <a:endParaRPr lang="en-US"/>
        </a:p>
      </dgm:t>
    </dgm:pt>
    <dgm:pt modelId="{71481C38-8D94-024F-8007-1A9C696A1ECB}">
      <dgm:prSet phldrT="[Text]"/>
      <dgm:spPr/>
      <dgm:t>
        <a:bodyPr/>
        <a:lstStyle/>
        <a:p>
          <a:r>
            <a:rPr lang="en-US">
              <a:latin typeface="Arial"/>
              <a:cs typeface="Arial"/>
            </a:rPr>
            <a:t>Qual</a:t>
          </a:r>
        </a:p>
      </dgm:t>
    </dgm:pt>
    <dgm:pt modelId="{3CABFC5B-739D-5346-ADC1-C168C1008501}" type="parTrans" cxnId="{DEF1D9E8-8D72-5F4B-8CB9-99F7D747BE9C}">
      <dgm:prSet/>
      <dgm:spPr/>
      <dgm:t>
        <a:bodyPr/>
        <a:lstStyle/>
        <a:p>
          <a:endParaRPr lang="en-US"/>
        </a:p>
      </dgm:t>
    </dgm:pt>
    <dgm:pt modelId="{9129769F-AD62-514B-B5EF-441A185BDDBE}" type="sibTrans" cxnId="{DEF1D9E8-8D72-5F4B-8CB9-99F7D747BE9C}">
      <dgm:prSet/>
      <dgm:spPr/>
      <dgm:t>
        <a:bodyPr/>
        <a:lstStyle/>
        <a:p>
          <a:endParaRPr lang="en-US"/>
        </a:p>
      </dgm:t>
    </dgm:pt>
    <dgm:pt modelId="{66920DA5-3747-9A4D-A96E-696BFBB4B1F9}">
      <dgm:prSet phldrT="[Text]"/>
      <dgm:spPr/>
      <dgm:t>
        <a:bodyPr/>
        <a:lstStyle/>
        <a:p>
          <a:r>
            <a:rPr lang="en-US">
              <a:latin typeface="Arial"/>
              <a:cs typeface="Arial"/>
            </a:rPr>
            <a:t>Focus group (FG)</a:t>
          </a:r>
        </a:p>
      </dgm:t>
    </dgm:pt>
    <dgm:pt modelId="{3F8606C3-EDEF-354B-8F39-94E18F499CD9}" type="parTrans" cxnId="{A06BF79B-8304-F24A-B57B-02AA7F7A0071}">
      <dgm:prSet/>
      <dgm:spPr/>
      <dgm:t>
        <a:bodyPr/>
        <a:lstStyle/>
        <a:p>
          <a:endParaRPr lang="en-US"/>
        </a:p>
      </dgm:t>
    </dgm:pt>
    <dgm:pt modelId="{FCD737BF-2770-214A-A109-B54156772D91}" type="sibTrans" cxnId="{A06BF79B-8304-F24A-B57B-02AA7F7A0071}">
      <dgm:prSet/>
      <dgm:spPr/>
      <dgm:t>
        <a:bodyPr/>
        <a:lstStyle/>
        <a:p>
          <a:endParaRPr lang="en-US"/>
        </a:p>
      </dgm:t>
    </dgm:pt>
    <dgm:pt modelId="{30209AB3-B5F7-AF48-81BE-74E9343F4CBA}">
      <dgm:prSet phldrT="[Text]"/>
      <dgm:spPr/>
      <dgm:t>
        <a:bodyPr/>
        <a:lstStyle/>
        <a:p>
          <a:r>
            <a:rPr lang="en-US">
              <a:latin typeface="Arial"/>
              <a:cs typeface="Arial"/>
            </a:rPr>
            <a:t>Results</a:t>
          </a:r>
        </a:p>
      </dgm:t>
    </dgm:pt>
    <dgm:pt modelId="{BA5457AE-5957-9A4D-A7E9-50F9BFAD4523}" type="parTrans" cxnId="{C2495FEC-753E-8F41-8C37-20F6B23D3229}">
      <dgm:prSet/>
      <dgm:spPr/>
      <dgm:t>
        <a:bodyPr/>
        <a:lstStyle/>
        <a:p>
          <a:endParaRPr lang="en-US"/>
        </a:p>
      </dgm:t>
    </dgm:pt>
    <dgm:pt modelId="{5A6DD9C6-42A4-CF45-A805-4B31C93B9877}" type="sibTrans" cxnId="{C2495FEC-753E-8F41-8C37-20F6B23D3229}">
      <dgm:prSet/>
      <dgm:spPr/>
      <dgm:t>
        <a:bodyPr/>
        <a:lstStyle/>
        <a:p>
          <a:endParaRPr lang="en-US"/>
        </a:p>
      </dgm:t>
    </dgm:pt>
    <dgm:pt modelId="{82D94B6C-D63B-F344-8C36-C7629554052D}">
      <dgm:prSet phldrT="[Text]"/>
      <dgm:spPr/>
      <dgm:t>
        <a:bodyPr/>
        <a:lstStyle/>
        <a:p>
          <a:r>
            <a:rPr lang="en-US">
              <a:latin typeface="Arial"/>
              <a:cs typeface="Arial"/>
            </a:rPr>
            <a:t>Quant</a:t>
          </a:r>
        </a:p>
      </dgm:t>
    </dgm:pt>
    <dgm:pt modelId="{80B5F6A0-0A1A-254A-8F82-A3B6CBB004C4}" type="parTrans" cxnId="{7C77378E-C8FE-C540-89AA-D38AA898B2E3}">
      <dgm:prSet/>
      <dgm:spPr/>
      <dgm:t>
        <a:bodyPr/>
        <a:lstStyle/>
        <a:p>
          <a:endParaRPr lang="en-US"/>
        </a:p>
      </dgm:t>
    </dgm:pt>
    <dgm:pt modelId="{92921370-C587-984F-8F1E-860DD53B3374}" type="sibTrans" cxnId="{7C77378E-C8FE-C540-89AA-D38AA898B2E3}">
      <dgm:prSet/>
      <dgm:spPr/>
      <dgm:t>
        <a:bodyPr/>
        <a:lstStyle/>
        <a:p>
          <a:endParaRPr lang="en-US"/>
        </a:p>
      </dgm:t>
    </dgm:pt>
    <dgm:pt modelId="{EAB5FF8C-E58F-804E-AD8C-16AA623A9BC8}">
      <dgm:prSet phldrT="[Text]"/>
      <dgm:spPr/>
      <dgm:t>
        <a:bodyPr/>
        <a:lstStyle/>
        <a:p>
          <a:r>
            <a:rPr lang="en-US">
              <a:latin typeface="Arial"/>
              <a:cs typeface="Arial"/>
            </a:rPr>
            <a:t>Intervention study</a:t>
          </a:r>
        </a:p>
      </dgm:t>
    </dgm:pt>
    <dgm:pt modelId="{084E0D5B-16E5-114B-95C3-4CE9F52A333A}" type="parTrans" cxnId="{D87B5E48-FFC5-7543-B218-A1648A9FCE76}">
      <dgm:prSet/>
      <dgm:spPr/>
      <dgm:t>
        <a:bodyPr/>
        <a:lstStyle/>
        <a:p>
          <a:endParaRPr lang="en-US"/>
        </a:p>
      </dgm:t>
    </dgm:pt>
    <dgm:pt modelId="{377CC83E-A05D-1E49-BC9D-9562419FCCC3}" type="sibTrans" cxnId="{D87B5E48-FFC5-7543-B218-A1648A9FCE76}">
      <dgm:prSet/>
      <dgm:spPr/>
      <dgm:t>
        <a:bodyPr/>
        <a:lstStyle/>
        <a:p>
          <a:endParaRPr lang="en-US"/>
        </a:p>
      </dgm:t>
    </dgm:pt>
    <dgm:pt modelId="{E02245C8-E696-8A4B-A308-2939262D981D}">
      <dgm:prSet phldrT="[Text]"/>
      <dgm:spPr/>
      <dgm:t>
        <a:bodyPr/>
        <a:lstStyle/>
        <a:p>
          <a:r>
            <a:rPr lang="en-US">
              <a:latin typeface="Arial"/>
              <a:cs typeface="Arial"/>
            </a:rPr>
            <a:t>Results</a:t>
          </a:r>
        </a:p>
      </dgm:t>
    </dgm:pt>
    <dgm:pt modelId="{21DD298E-0CCD-104D-9717-ADA780D38553}" type="parTrans" cxnId="{548D191F-C3CB-5F4C-99D1-D45CC1CF76A7}">
      <dgm:prSet/>
      <dgm:spPr/>
      <dgm:t>
        <a:bodyPr/>
        <a:lstStyle/>
        <a:p>
          <a:endParaRPr lang="en-US"/>
        </a:p>
      </dgm:t>
    </dgm:pt>
    <dgm:pt modelId="{489550E8-DC94-B648-8274-F16411B900CC}" type="sibTrans" cxnId="{548D191F-C3CB-5F4C-99D1-D45CC1CF76A7}">
      <dgm:prSet/>
      <dgm:spPr/>
      <dgm:t>
        <a:bodyPr/>
        <a:lstStyle/>
        <a:p>
          <a:endParaRPr lang="en-US"/>
        </a:p>
      </dgm:t>
    </dgm:pt>
    <dgm:pt modelId="{FAADEE51-42C5-0744-96B1-913F4CA3665F}">
      <dgm:prSet phldrT="[Text]"/>
      <dgm:spPr/>
      <dgm:t>
        <a:bodyPr/>
        <a:lstStyle/>
        <a:p>
          <a:r>
            <a:rPr lang="en-US">
              <a:latin typeface="Arial"/>
              <a:cs typeface="Arial"/>
            </a:rPr>
            <a:t>Qual</a:t>
          </a:r>
        </a:p>
      </dgm:t>
    </dgm:pt>
    <dgm:pt modelId="{7E798A66-0B8D-C54B-BC25-542EC4915C70}" type="parTrans" cxnId="{ECC0820B-21F1-5149-8A9B-459A8756A51E}">
      <dgm:prSet/>
      <dgm:spPr/>
      <dgm:t>
        <a:bodyPr/>
        <a:lstStyle/>
        <a:p>
          <a:endParaRPr lang="en-US"/>
        </a:p>
      </dgm:t>
    </dgm:pt>
    <dgm:pt modelId="{402EF361-F1D8-9E40-8E0D-3D267BE66BEC}" type="sibTrans" cxnId="{ECC0820B-21F1-5149-8A9B-459A8756A51E}">
      <dgm:prSet/>
      <dgm:spPr/>
      <dgm:t>
        <a:bodyPr/>
        <a:lstStyle/>
        <a:p>
          <a:endParaRPr lang="en-US"/>
        </a:p>
      </dgm:t>
    </dgm:pt>
    <dgm:pt modelId="{D601247D-6E72-674A-B075-1C7379F883FD}">
      <dgm:prSet phldrT="[Text]"/>
      <dgm:spPr/>
      <dgm:t>
        <a:bodyPr/>
        <a:lstStyle/>
        <a:p>
          <a:r>
            <a:rPr lang="en-US">
              <a:latin typeface="Arial"/>
              <a:cs typeface="Arial"/>
            </a:rPr>
            <a:t> FG</a:t>
          </a:r>
        </a:p>
      </dgm:t>
    </dgm:pt>
    <dgm:pt modelId="{EAE78B4C-1D65-324F-B51E-B0527349DDF0}" type="parTrans" cxnId="{359955F0-3CDA-5B41-A4A9-BFE2926E0148}">
      <dgm:prSet/>
      <dgm:spPr/>
      <dgm:t>
        <a:bodyPr/>
        <a:lstStyle/>
        <a:p>
          <a:endParaRPr lang="en-US"/>
        </a:p>
      </dgm:t>
    </dgm:pt>
    <dgm:pt modelId="{47572092-E1D9-6B4A-884F-20B9506BF42C}" type="sibTrans" cxnId="{359955F0-3CDA-5B41-A4A9-BFE2926E0148}">
      <dgm:prSet/>
      <dgm:spPr/>
      <dgm:t>
        <a:bodyPr/>
        <a:lstStyle/>
        <a:p>
          <a:endParaRPr lang="en-US"/>
        </a:p>
      </dgm:t>
    </dgm:pt>
    <dgm:pt modelId="{A9CA1F37-7B6E-9543-AC49-4A47C813D74B}">
      <dgm:prSet phldrT="[Text]"/>
      <dgm:spPr/>
      <dgm:t>
        <a:bodyPr/>
        <a:lstStyle/>
        <a:p>
          <a:r>
            <a:rPr lang="en-US">
              <a:latin typeface="Arial"/>
              <a:cs typeface="Arial"/>
            </a:rPr>
            <a:t>Results</a:t>
          </a:r>
        </a:p>
      </dgm:t>
    </dgm:pt>
    <dgm:pt modelId="{D0FD0C71-74F5-AF45-B259-A31350EF413A}" type="parTrans" cxnId="{F93FCE7E-8ED0-FF49-AC0A-26CA95DFECB9}">
      <dgm:prSet/>
      <dgm:spPr/>
      <dgm:t>
        <a:bodyPr/>
        <a:lstStyle/>
        <a:p>
          <a:endParaRPr lang="en-US"/>
        </a:p>
      </dgm:t>
    </dgm:pt>
    <dgm:pt modelId="{F8721935-09C1-BE4E-9C1F-054FFCB2EFF9}" type="sibTrans" cxnId="{F93FCE7E-8ED0-FF49-AC0A-26CA95DFECB9}">
      <dgm:prSet/>
      <dgm:spPr/>
      <dgm:t>
        <a:bodyPr/>
        <a:lstStyle/>
        <a:p>
          <a:endParaRPr lang="en-US"/>
        </a:p>
      </dgm:t>
    </dgm:pt>
    <dgm:pt modelId="{7148ACF3-37B2-7D4B-B02D-4CDE99F6639D}">
      <dgm:prSet phldrT="[Text]"/>
      <dgm:spPr/>
      <dgm:t>
        <a:bodyPr/>
        <a:lstStyle/>
        <a:p>
          <a:r>
            <a:rPr lang="en-US">
              <a:latin typeface="Arial"/>
              <a:cs typeface="Arial"/>
            </a:rPr>
            <a:t>Quant</a:t>
          </a:r>
        </a:p>
      </dgm:t>
    </dgm:pt>
    <dgm:pt modelId="{540D5CAD-DC48-2849-82F3-9FD5ED657BC7}" type="parTrans" cxnId="{42F0FCCB-19F9-7542-A184-4892CBF10519}">
      <dgm:prSet/>
      <dgm:spPr/>
      <dgm:t>
        <a:bodyPr/>
        <a:lstStyle/>
        <a:p>
          <a:endParaRPr lang="en-US"/>
        </a:p>
      </dgm:t>
    </dgm:pt>
    <dgm:pt modelId="{3288EF82-9738-DA43-999E-1D5B2481191D}" type="sibTrans" cxnId="{42F0FCCB-19F9-7542-A184-4892CBF10519}">
      <dgm:prSet/>
      <dgm:spPr/>
      <dgm:t>
        <a:bodyPr/>
        <a:lstStyle/>
        <a:p>
          <a:endParaRPr lang="en-US"/>
        </a:p>
      </dgm:t>
    </dgm:pt>
    <dgm:pt modelId="{C6FF5A9C-0867-074A-A1F0-D2BFFB0332AE}">
      <dgm:prSet phldrT="[Text]"/>
      <dgm:spPr/>
      <dgm:t>
        <a:bodyPr/>
        <a:lstStyle/>
        <a:p>
          <a:r>
            <a:rPr lang="en-US">
              <a:latin typeface="Arial"/>
              <a:cs typeface="Arial"/>
            </a:rPr>
            <a:t>Survey</a:t>
          </a:r>
        </a:p>
      </dgm:t>
    </dgm:pt>
    <dgm:pt modelId="{13254FF1-90F8-3943-941B-5C688C1A285C}" type="parTrans" cxnId="{39334A26-399F-3D48-8108-51812E14F6FF}">
      <dgm:prSet/>
      <dgm:spPr/>
      <dgm:t>
        <a:bodyPr/>
        <a:lstStyle/>
        <a:p>
          <a:endParaRPr lang="en-US"/>
        </a:p>
      </dgm:t>
    </dgm:pt>
    <dgm:pt modelId="{3FBEA8D1-3EC5-634A-A767-DD985006250B}" type="sibTrans" cxnId="{39334A26-399F-3D48-8108-51812E14F6FF}">
      <dgm:prSet/>
      <dgm:spPr/>
      <dgm:t>
        <a:bodyPr/>
        <a:lstStyle/>
        <a:p>
          <a:endParaRPr lang="en-US"/>
        </a:p>
      </dgm:t>
    </dgm:pt>
    <dgm:pt modelId="{1CD899A0-4857-6B44-B3CF-6F8A81D6378A}">
      <dgm:prSet phldrT="[Text]"/>
      <dgm:spPr/>
      <dgm:t>
        <a:bodyPr/>
        <a:lstStyle/>
        <a:p>
          <a:r>
            <a:rPr lang="en-US">
              <a:latin typeface="Arial"/>
              <a:cs typeface="Arial"/>
            </a:rPr>
            <a:t>Results</a:t>
          </a:r>
        </a:p>
      </dgm:t>
    </dgm:pt>
    <dgm:pt modelId="{90C9DA38-21D0-CC49-B5F1-817D673B9555}" type="parTrans" cxnId="{D68056BF-32D5-5346-B201-7C9CC03CDE26}">
      <dgm:prSet/>
      <dgm:spPr/>
      <dgm:t>
        <a:bodyPr/>
        <a:lstStyle/>
        <a:p>
          <a:endParaRPr lang="en-US"/>
        </a:p>
      </dgm:t>
    </dgm:pt>
    <dgm:pt modelId="{EC4943FE-6778-1942-8723-0D826348A92C}" type="sibTrans" cxnId="{D68056BF-32D5-5346-B201-7C9CC03CDE26}">
      <dgm:prSet/>
      <dgm:spPr/>
      <dgm:t>
        <a:bodyPr/>
        <a:lstStyle/>
        <a:p>
          <a:endParaRPr lang="en-US"/>
        </a:p>
      </dgm:t>
    </dgm:pt>
    <dgm:pt modelId="{244A5F4E-1C16-5E44-BE72-865411EEF9F5}">
      <dgm:prSet phldrT="[Text]"/>
      <dgm:spPr/>
      <dgm:t>
        <a:bodyPr/>
        <a:lstStyle/>
        <a:p>
          <a:r>
            <a:rPr lang="en-US">
              <a:latin typeface="Arial"/>
              <a:cs typeface="Arial"/>
            </a:rPr>
            <a:t>Qual</a:t>
          </a:r>
        </a:p>
      </dgm:t>
    </dgm:pt>
    <dgm:pt modelId="{7D58C032-DB79-E245-AF7D-20D7654B4077}" type="parTrans" cxnId="{55434D91-6F24-8B46-816B-46DC1F85C49E}">
      <dgm:prSet/>
      <dgm:spPr/>
      <dgm:t>
        <a:bodyPr/>
        <a:lstStyle/>
        <a:p>
          <a:endParaRPr lang="en-US"/>
        </a:p>
      </dgm:t>
    </dgm:pt>
    <dgm:pt modelId="{5C241A9C-D261-C748-93C4-AA8992ADD58F}" type="sibTrans" cxnId="{55434D91-6F24-8B46-816B-46DC1F85C49E}">
      <dgm:prSet/>
      <dgm:spPr/>
      <dgm:t>
        <a:bodyPr/>
        <a:lstStyle/>
        <a:p>
          <a:endParaRPr lang="en-US"/>
        </a:p>
      </dgm:t>
    </dgm:pt>
    <dgm:pt modelId="{CA65337B-8067-7F48-8714-A38E71A89A12}">
      <dgm:prSet phldrT="[Text]"/>
      <dgm:spPr/>
      <dgm:t>
        <a:bodyPr/>
        <a:lstStyle/>
        <a:p>
          <a:r>
            <a:rPr lang="en-US">
              <a:latin typeface="Arial"/>
              <a:cs typeface="Arial"/>
            </a:rPr>
            <a:t>Interviews</a:t>
          </a:r>
        </a:p>
      </dgm:t>
    </dgm:pt>
    <dgm:pt modelId="{A6D4F380-FC89-BF4B-B6F0-6BE806EDA7BD}" type="parTrans" cxnId="{B304D86B-FD2A-4741-976D-623D6A77F552}">
      <dgm:prSet/>
      <dgm:spPr/>
      <dgm:t>
        <a:bodyPr/>
        <a:lstStyle/>
        <a:p>
          <a:endParaRPr lang="en-US"/>
        </a:p>
      </dgm:t>
    </dgm:pt>
    <dgm:pt modelId="{72C91834-874A-2040-851C-FE88534E861D}" type="sibTrans" cxnId="{B304D86B-FD2A-4741-976D-623D6A77F552}">
      <dgm:prSet/>
      <dgm:spPr/>
      <dgm:t>
        <a:bodyPr/>
        <a:lstStyle/>
        <a:p>
          <a:endParaRPr lang="en-US"/>
        </a:p>
      </dgm:t>
    </dgm:pt>
    <dgm:pt modelId="{CCCF0000-7D86-2A46-BFAE-44C27D07B195}">
      <dgm:prSet phldrT="[Text]"/>
      <dgm:spPr/>
      <dgm:t>
        <a:bodyPr/>
        <a:lstStyle/>
        <a:p>
          <a:r>
            <a:rPr lang="en-US">
              <a:latin typeface="Arial"/>
              <a:cs typeface="Arial"/>
            </a:rPr>
            <a:t>Results</a:t>
          </a:r>
        </a:p>
      </dgm:t>
    </dgm:pt>
    <dgm:pt modelId="{1C5C3399-6490-BF4E-AE44-A79A403D039A}" type="parTrans" cxnId="{486D2372-ABF2-B146-A8B8-5DD9B5F79733}">
      <dgm:prSet/>
      <dgm:spPr/>
      <dgm:t>
        <a:bodyPr/>
        <a:lstStyle/>
        <a:p>
          <a:endParaRPr lang="en-US"/>
        </a:p>
      </dgm:t>
    </dgm:pt>
    <dgm:pt modelId="{5E82BBDB-46BB-B147-B096-2F0D3DE2FB46}" type="sibTrans" cxnId="{486D2372-ABF2-B146-A8B8-5DD9B5F79733}">
      <dgm:prSet/>
      <dgm:spPr/>
      <dgm:t>
        <a:bodyPr/>
        <a:lstStyle/>
        <a:p>
          <a:endParaRPr lang="en-US"/>
        </a:p>
      </dgm:t>
    </dgm:pt>
    <dgm:pt modelId="{9FD51D12-DA86-664C-8D03-6708A8F09E98}">
      <dgm:prSet phldrT="[Text]"/>
      <dgm:spPr/>
      <dgm:t>
        <a:bodyPr/>
        <a:lstStyle/>
        <a:p>
          <a:r>
            <a:rPr lang="en-US">
              <a:latin typeface="Arial"/>
              <a:cs typeface="Arial"/>
            </a:rPr>
            <a:t>Triangulation</a:t>
          </a:r>
        </a:p>
      </dgm:t>
    </dgm:pt>
    <dgm:pt modelId="{74EC4FDD-4BBF-F44E-899A-83563DD27501}" type="parTrans" cxnId="{0B8E3683-5EC2-0F48-A704-B60AD0E7CEB0}">
      <dgm:prSet/>
      <dgm:spPr/>
      <dgm:t>
        <a:bodyPr/>
        <a:lstStyle/>
        <a:p>
          <a:endParaRPr lang="en-US"/>
        </a:p>
      </dgm:t>
    </dgm:pt>
    <dgm:pt modelId="{D09564D7-9B18-BD43-BB27-EA9E080042F9}" type="sibTrans" cxnId="{0B8E3683-5EC2-0F48-A704-B60AD0E7CEB0}">
      <dgm:prSet/>
      <dgm:spPr/>
      <dgm:t>
        <a:bodyPr/>
        <a:lstStyle/>
        <a:p>
          <a:endParaRPr lang="en-US"/>
        </a:p>
      </dgm:t>
    </dgm:pt>
    <dgm:pt modelId="{93E5D444-BB04-5649-86CA-18DC9626F072}" type="pres">
      <dgm:prSet presAssocID="{691F210D-C8B6-884D-A47D-739E3433EB08}" presName="Name0" presStyleCnt="0">
        <dgm:presLayoutVars>
          <dgm:dir/>
          <dgm:resizeHandles val="exact"/>
        </dgm:presLayoutVars>
      </dgm:prSet>
      <dgm:spPr/>
    </dgm:pt>
    <dgm:pt modelId="{BF00568C-46B8-D847-940A-44268594A088}" type="pres">
      <dgm:prSet presAssocID="{71481C38-8D94-024F-8007-1A9C696A1ECB}" presName="composite" presStyleCnt="0"/>
      <dgm:spPr/>
    </dgm:pt>
    <dgm:pt modelId="{243DEC21-9E0C-D141-9B6D-9ADAABA2C02A}" type="pres">
      <dgm:prSet presAssocID="{71481C38-8D94-024F-8007-1A9C696A1ECB}" presName="imagSh" presStyleLbl="bgImgPlace1" presStyleIdx="0" presStyleCnt="6"/>
      <dgm:spPr/>
    </dgm:pt>
    <dgm:pt modelId="{065720C0-4C49-2B40-BA58-32E3CC664345}" type="pres">
      <dgm:prSet presAssocID="{71481C38-8D94-024F-8007-1A9C696A1ECB}" presName="txNode" presStyleLbl="node1" presStyleIdx="0" presStyleCnt="6">
        <dgm:presLayoutVars>
          <dgm:bulletEnabled val="1"/>
        </dgm:presLayoutVars>
      </dgm:prSet>
      <dgm:spPr/>
    </dgm:pt>
    <dgm:pt modelId="{651AFE21-DCC6-9D4B-A828-5D42E72F898A}" type="pres">
      <dgm:prSet presAssocID="{9129769F-AD62-514B-B5EF-441A185BDDBE}" presName="sibTrans" presStyleLbl="sibTrans2D1" presStyleIdx="0" presStyleCnt="5"/>
      <dgm:spPr/>
    </dgm:pt>
    <dgm:pt modelId="{89152A23-84F7-4347-9497-49C126BC095A}" type="pres">
      <dgm:prSet presAssocID="{9129769F-AD62-514B-B5EF-441A185BDDBE}" presName="connTx" presStyleLbl="sibTrans2D1" presStyleIdx="0" presStyleCnt="5"/>
      <dgm:spPr/>
    </dgm:pt>
    <dgm:pt modelId="{2526445A-2695-E143-B19A-3A2D928155F0}" type="pres">
      <dgm:prSet presAssocID="{82D94B6C-D63B-F344-8C36-C7629554052D}" presName="composite" presStyleCnt="0"/>
      <dgm:spPr/>
    </dgm:pt>
    <dgm:pt modelId="{15A9147E-2BC3-A240-A1F4-89FC976BB686}" type="pres">
      <dgm:prSet presAssocID="{82D94B6C-D63B-F344-8C36-C7629554052D}" presName="imagSh" presStyleLbl="bgImgPlace1" presStyleIdx="1" presStyleCnt="6"/>
      <dgm:spPr/>
    </dgm:pt>
    <dgm:pt modelId="{5A7E04EC-BF36-5142-B4A3-FC92AE3F29F9}" type="pres">
      <dgm:prSet presAssocID="{82D94B6C-D63B-F344-8C36-C7629554052D}" presName="txNode" presStyleLbl="node1" presStyleIdx="1" presStyleCnt="6">
        <dgm:presLayoutVars>
          <dgm:bulletEnabled val="1"/>
        </dgm:presLayoutVars>
      </dgm:prSet>
      <dgm:spPr/>
    </dgm:pt>
    <dgm:pt modelId="{8E46D2B8-F581-DC4B-94E9-AF6CBE255EAA}" type="pres">
      <dgm:prSet presAssocID="{92921370-C587-984F-8F1E-860DD53B3374}" presName="sibTrans" presStyleLbl="sibTrans2D1" presStyleIdx="1" presStyleCnt="5"/>
      <dgm:spPr/>
    </dgm:pt>
    <dgm:pt modelId="{13590E96-10AA-F046-8C5B-D0B59C4089E9}" type="pres">
      <dgm:prSet presAssocID="{92921370-C587-984F-8F1E-860DD53B3374}" presName="connTx" presStyleLbl="sibTrans2D1" presStyleIdx="1" presStyleCnt="5"/>
      <dgm:spPr/>
    </dgm:pt>
    <dgm:pt modelId="{8F03BB1A-3148-D64B-B1AC-6CD8ED3F5064}" type="pres">
      <dgm:prSet presAssocID="{FAADEE51-42C5-0744-96B1-913F4CA3665F}" presName="composite" presStyleCnt="0"/>
      <dgm:spPr/>
    </dgm:pt>
    <dgm:pt modelId="{FA09B275-2BE7-1E40-84F4-283BFF3A2826}" type="pres">
      <dgm:prSet presAssocID="{FAADEE51-42C5-0744-96B1-913F4CA3665F}" presName="imagSh" presStyleLbl="bgImgPlace1" presStyleIdx="2" presStyleCnt="6"/>
      <dgm:spPr/>
    </dgm:pt>
    <dgm:pt modelId="{6576EB0C-1B2C-F642-A469-FADE0EA1D65A}" type="pres">
      <dgm:prSet presAssocID="{FAADEE51-42C5-0744-96B1-913F4CA3665F}" presName="txNode" presStyleLbl="node1" presStyleIdx="2" presStyleCnt="6">
        <dgm:presLayoutVars>
          <dgm:bulletEnabled val="1"/>
        </dgm:presLayoutVars>
      </dgm:prSet>
      <dgm:spPr/>
    </dgm:pt>
    <dgm:pt modelId="{4370341F-902B-154E-A342-D8B97CBA271B}" type="pres">
      <dgm:prSet presAssocID="{402EF361-F1D8-9E40-8E0D-3D267BE66BEC}" presName="sibTrans" presStyleLbl="sibTrans2D1" presStyleIdx="2" presStyleCnt="5"/>
      <dgm:spPr/>
    </dgm:pt>
    <dgm:pt modelId="{70B75336-CB1C-6142-A644-363397AF9659}" type="pres">
      <dgm:prSet presAssocID="{402EF361-F1D8-9E40-8E0D-3D267BE66BEC}" presName="connTx" presStyleLbl="sibTrans2D1" presStyleIdx="2" presStyleCnt="5"/>
      <dgm:spPr/>
    </dgm:pt>
    <dgm:pt modelId="{C0AB9C5F-BEB7-2541-8949-F272F21A7489}" type="pres">
      <dgm:prSet presAssocID="{7148ACF3-37B2-7D4B-B02D-4CDE99F6639D}" presName="composite" presStyleCnt="0"/>
      <dgm:spPr/>
    </dgm:pt>
    <dgm:pt modelId="{71990F81-602C-3C4E-9E51-E337BB2D7D51}" type="pres">
      <dgm:prSet presAssocID="{7148ACF3-37B2-7D4B-B02D-4CDE99F6639D}" presName="imagSh" presStyleLbl="bgImgPlace1" presStyleIdx="3" presStyleCnt="6"/>
      <dgm:spPr/>
    </dgm:pt>
    <dgm:pt modelId="{4F4EED72-1872-C640-8441-4924012DC537}" type="pres">
      <dgm:prSet presAssocID="{7148ACF3-37B2-7D4B-B02D-4CDE99F6639D}" presName="txNode" presStyleLbl="node1" presStyleIdx="3" presStyleCnt="6">
        <dgm:presLayoutVars>
          <dgm:bulletEnabled val="1"/>
        </dgm:presLayoutVars>
      </dgm:prSet>
      <dgm:spPr/>
    </dgm:pt>
    <dgm:pt modelId="{73E7B029-21BF-8E4A-A395-A00B072EB178}" type="pres">
      <dgm:prSet presAssocID="{3288EF82-9738-DA43-999E-1D5B2481191D}" presName="sibTrans" presStyleLbl="sibTrans2D1" presStyleIdx="3" presStyleCnt="5"/>
      <dgm:spPr/>
    </dgm:pt>
    <dgm:pt modelId="{A1A7FF1B-39E8-C14A-84CB-87F9F8BB2587}" type="pres">
      <dgm:prSet presAssocID="{3288EF82-9738-DA43-999E-1D5B2481191D}" presName="connTx" presStyleLbl="sibTrans2D1" presStyleIdx="3" presStyleCnt="5"/>
      <dgm:spPr/>
    </dgm:pt>
    <dgm:pt modelId="{937D883E-35A2-F94B-93C7-FDB8A604DED4}" type="pres">
      <dgm:prSet presAssocID="{244A5F4E-1C16-5E44-BE72-865411EEF9F5}" presName="composite" presStyleCnt="0"/>
      <dgm:spPr/>
    </dgm:pt>
    <dgm:pt modelId="{6796DC51-BE38-BF4E-A189-3131BD3A90EA}" type="pres">
      <dgm:prSet presAssocID="{244A5F4E-1C16-5E44-BE72-865411EEF9F5}" presName="imagSh" presStyleLbl="bgImgPlace1" presStyleIdx="4" presStyleCnt="6"/>
      <dgm:spPr/>
    </dgm:pt>
    <dgm:pt modelId="{2C6C79DB-91E9-5746-895C-4D518F61F987}" type="pres">
      <dgm:prSet presAssocID="{244A5F4E-1C16-5E44-BE72-865411EEF9F5}" presName="txNode" presStyleLbl="node1" presStyleIdx="4" presStyleCnt="6">
        <dgm:presLayoutVars>
          <dgm:bulletEnabled val="1"/>
        </dgm:presLayoutVars>
      </dgm:prSet>
      <dgm:spPr/>
    </dgm:pt>
    <dgm:pt modelId="{7518930D-F14E-B849-B1C7-C4740A8FCFEA}" type="pres">
      <dgm:prSet presAssocID="{5C241A9C-D261-C748-93C4-AA8992ADD58F}" presName="sibTrans" presStyleLbl="sibTrans2D1" presStyleIdx="4" presStyleCnt="5"/>
      <dgm:spPr/>
    </dgm:pt>
    <dgm:pt modelId="{5C52ABE4-7B5A-0141-BCFB-D1C3CF035813}" type="pres">
      <dgm:prSet presAssocID="{5C241A9C-D261-C748-93C4-AA8992ADD58F}" presName="connTx" presStyleLbl="sibTrans2D1" presStyleIdx="4" presStyleCnt="5"/>
      <dgm:spPr/>
    </dgm:pt>
    <dgm:pt modelId="{94DE6C16-1337-F543-BE27-90D3691E0504}" type="pres">
      <dgm:prSet presAssocID="{9FD51D12-DA86-664C-8D03-6708A8F09E98}" presName="composite" presStyleCnt="0"/>
      <dgm:spPr/>
    </dgm:pt>
    <dgm:pt modelId="{5AE15544-0613-E14B-B1D9-58EB64B51DC1}" type="pres">
      <dgm:prSet presAssocID="{9FD51D12-DA86-664C-8D03-6708A8F09E98}" presName="imagSh" presStyleLbl="bgImgPlace1" presStyleIdx="5" presStyleCnt="6"/>
      <dgm:spPr/>
    </dgm:pt>
    <dgm:pt modelId="{7E006B15-BB4F-6943-9AC9-EB27CEBF02F8}" type="pres">
      <dgm:prSet presAssocID="{9FD51D12-DA86-664C-8D03-6708A8F09E98}" presName="txNode" presStyleLbl="node1" presStyleIdx="5" presStyleCnt="6">
        <dgm:presLayoutVars>
          <dgm:bulletEnabled val="1"/>
        </dgm:presLayoutVars>
      </dgm:prSet>
      <dgm:spPr/>
    </dgm:pt>
  </dgm:ptLst>
  <dgm:cxnLst>
    <dgm:cxn modelId="{770B4C09-B411-C448-8171-505C43F86516}" type="presOf" srcId="{5C241A9C-D261-C748-93C4-AA8992ADD58F}" destId="{7518930D-F14E-B849-B1C7-C4740A8FCFEA}" srcOrd="0" destOrd="0" presId="urn:microsoft.com/office/officeart/2005/8/layout/hProcess10"/>
    <dgm:cxn modelId="{ECC0820B-21F1-5149-8A9B-459A8756A51E}" srcId="{691F210D-C8B6-884D-A47D-739E3433EB08}" destId="{FAADEE51-42C5-0744-96B1-913F4CA3665F}" srcOrd="2" destOrd="0" parTransId="{7E798A66-0B8D-C54B-BC25-542EC4915C70}" sibTransId="{402EF361-F1D8-9E40-8E0D-3D267BE66BEC}"/>
    <dgm:cxn modelId="{1B6FFD17-EB06-3945-BA46-D6ED18A5EFC5}" type="presOf" srcId="{92921370-C587-984F-8F1E-860DD53B3374}" destId="{13590E96-10AA-F046-8C5B-D0B59C4089E9}" srcOrd="1" destOrd="0" presId="urn:microsoft.com/office/officeart/2005/8/layout/hProcess10"/>
    <dgm:cxn modelId="{548D191F-C3CB-5F4C-99D1-D45CC1CF76A7}" srcId="{82D94B6C-D63B-F344-8C36-C7629554052D}" destId="{E02245C8-E696-8A4B-A308-2939262D981D}" srcOrd="1" destOrd="0" parTransId="{21DD298E-0CCD-104D-9717-ADA780D38553}" sibTransId="{489550E8-DC94-B648-8274-F16411B900CC}"/>
    <dgm:cxn modelId="{D9932523-4DDC-7D4E-A86C-ABBC65F4EDAD}" type="presOf" srcId="{402EF361-F1D8-9E40-8E0D-3D267BE66BEC}" destId="{70B75336-CB1C-6142-A644-363397AF9659}" srcOrd="1" destOrd="0" presId="urn:microsoft.com/office/officeart/2005/8/layout/hProcess10"/>
    <dgm:cxn modelId="{39334A26-399F-3D48-8108-51812E14F6FF}" srcId="{7148ACF3-37B2-7D4B-B02D-4CDE99F6639D}" destId="{C6FF5A9C-0867-074A-A1F0-D2BFFB0332AE}" srcOrd="0" destOrd="0" parTransId="{13254FF1-90F8-3943-941B-5C688C1A285C}" sibTransId="{3FBEA8D1-3EC5-634A-A767-DD985006250B}"/>
    <dgm:cxn modelId="{743F0A39-1E55-FF42-80CA-E2E4232F4101}" type="presOf" srcId="{5C241A9C-D261-C748-93C4-AA8992ADD58F}" destId="{5C52ABE4-7B5A-0141-BCFB-D1C3CF035813}" srcOrd="1" destOrd="0" presId="urn:microsoft.com/office/officeart/2005/8/layout/hProcess10"/>
    <dgm:cxn modelId="{5B5DB83F-FDD7-5B4F-8A30-CF80F75EDFA8}" type="presOf" srcId="{3288EF82-9738-DA43-999E-1D5B2481191D}" destId="{73E7B029-21BF-8E4A-A395-A00B072EB178}" srcOrd="0" destOrd="0" presId="urn:microsoft.com/office/officeart/2005/8/layout/hProcess10"/>
    <dgm:cxn modelId="{78B3A340-2170-1141-A87E-6E8C306BE25C}" type="presOf" srcId="{E02245C8-E696-8A4B-A308-2939262D981D}" destId="{5A7E04EC-BF36-5142-B4A3-FC92AE3F29F9}" srcOrd="0" destOrd="2" presId="urn:microsoft.com/office/officeart/2005/8/layout/hProcess10"/>
    <dgm:cxn modelId="{59AF4E5C-E342-5C47-B954-06765239B42F}" type="presOf" srcId="{71481C38-8D94-024F-8007-1A9C696A1ECB}" destId="{065720C0-4C49-2B40-BA58-32E3CC664345}" srcOrd="0" destOrd="0" presId="urn:microsoft.com/office/officeart/2005/8/layout/hProcess10"/>
    <dgm:cxn modelId="{24EC715C-B3B7-DF4F-9711-21CF8EE8A286}" type="presOf" srcId="{691F210D-C8B6-884D-A47D-739E3433EB08}" destId="{93E5D444-BB04-5649-86CA-18DC9626F072}" srcOrd="0" destOrd="0" presId="urn:microsoft.com/office/officeart/2005/8/layout/hProcess10"/>
    <dgm:cxn modelId="{C5E4F05C-CDE8-9141-9E1A-45ABC0AFB1B8}" type="presOf" srcId="{9FD51D12-DA86-664C-8D03-6708A8F09E98}" destId="{7E006B15-BB4F-6943-9AC9-EB27CEBF02F8}" srcOrd="0" destOrd="0" presId="urn:microsoft.com/office/officeart/2005/8/layout/hProcess10"/>
    <dgm:cxn modelId="{3BBE1C5D-15AC-B24B-A5CF-519B0524F335}" type="presOf" srcId="{1CD899A0-4857-6B44-B3CF-6F8A81D6378A}" destId="{4F4EED72-1872-C640-8441-4924012DC537}" srcOrd="0" destOrd="2" presId="urn:microsoft.com/office/officeart/2005/8/layout/hProcess10"/>
    <dgm:cxn modelId="{AE3AA441-D972-674B-ACFE-D485902414A9}" type="presOf" srcId="{66920DA5-3747-9A4D-A96E-696BFBB4B1F9}" destId="{065720C0-4C49-2B40-BA58-32E3CC664345}" srcOrd="0" destOrd="1" presId="urn:microsoft.com/office/officeart/2005/8/layout/hProcess10"/>
    <dgm:cxn modelId="{D87B5E48-FFC5-7543-B218-A1648A9FCE76}" srcId="{82D94B6C-D63B-F344-8C36-C7629554052D}" destId="{EAB5FF8C-E58F-804E-AD8C-16AA623A9BC8}" srcOrd="0" destOrd="0" parTransId="{084E0D5B-16E5-114B-95C3-4CE9F52A333A}" sibTransId="{377CC83E-A05D-1E49-BC9D-9562419FCCC3}"/>
    <dgm:cxn modelId="{10FF7668-D5DF-524F-878A-924663C7F97E}" type="presOf" srcId="{CA65337B-8067-7F48-8714-A38E71A89A12}" destId="{2C6C79DB-91E9-5746-895C-4D518F61F987}" srcOrd="0" destOrd="1" presId="urn:microsoft.com/office/officeart/2005/8/layout/hProcess10"/>
    <dgm:cxn modelId="{B304D86B-FD2A-4741-976D-623D6A77F552}" srcId="{244A5F4E-1C16-5E44-BE72-865411EEF9F5}" destId="{CA65337B-8067-7F48-8714-A38E71A89A12}" srcOrd="0" destOrd="0" parTransId="{A6D4F380-FC89-BF4B-B6F0-6BE806EDA7BD}" sibTransId="{72C91834-874A-2040-851C-FE88534E861D}"/>
    <dgm:cxn modelId="{955E6E6C-FF6D-3C42-8550-245E760DFB64}" type="presOf" srcId="{244A5F4E-1C16-5E44-BE72-865411EEF9F5}" destId="{2C6C79DB-91E9-5746-895C-4D518F61F987}" srcOrd="0" destOrd="0" presId="urn:microsoft.com/office/officeart/2005/8/layout/hProcess10"/>
    <dgm:cxn modelId="{B4773450-CB1E-A345-8FF0-C27165C3C271}" type="presOf" srcId="{D601247D-6E72-674A-B075-1C7379F883FD}" destId="{6576EB0C-1B2C-F642-A469-FADE0EA1D65A}" srcOrd="0" destOrd="1" presId="urn:microsoft.com/office/officeart/2005/8/layout/hProcess10"/>
    <dgm:cxn modelId="{486D2372-ABF2-B146-A8B8-5DD9B5F79733}" srcId="{244A5F4E-1C16-5E44-BE72-865411EEF9F5}" destId="{CCCF0000-7D86-2A46-BFAE-44C27D07B195}" srcOrd="1" destOrd="0" parTransId="{1C5C3399-6490-BF4E-AE44-A79A403D039A}" sibTransId="{5E82BBDB-46BB-B147-B096-2F0D3DE2FB46}"/>
    <dgm:cxn modelId="{2AA26E73-9A10-2142-8541-9D149353CD94}" type="presOf" srcId="{FAADEE51-42C5-0744-96B1-913F4CA3665F}" destId="{6576EB0C-1B2C-F642-A469-FADE0EA1D65A}" srcOrd="0" destOrd="0" presId="urn:microsoft.com/office/officeart/2005/8/layout/hProcess10"/>
    <dgm:cxn modelId="{F93FCE7E-8ED0-FF49-AC0A-26CA95DFECB9}" srcId="{FAADEE51-42C5-0744-96B1-913F4CA3665F}" destId="{A9CA1F37-7B6E-9543-AC49-4A47C813D74B}" srcOrd="1" destOrd="0" parTransId="{D0FD0C71-74F5-AF45-B259-A31350EF413A}" sibTransId="{F8721935-09C1-BE4E-9C1F-054FFCB2EFF9}"/>
    <dgm:cxn modelId="{E4F8407F-F4D4-714F-9F18-207194063668}" type="presOf" srcId="{7148ACF3-37B2-7D4B-B02D-4CDE99F6639D}" destId="{4F4EED72-1872-C640-8441-4924012DC537}" srcOrd="0" destOrd="0" presId="urn:microsoft.com/office/officeart/2005/8/layout/hProcess10"/>
    <dgm:cxn modelId="{0B8E3683-5EC2-0F48-A704-B60AD0E7CEB0}" srcId="{691F210D-C8B6-884D-A47D-739E3433EB08}" destId="{9FD51D12-DA86-664C-8D03-6708A8F09E98}" srcOrd="5" destOrd="0" parTransId="{74EC4FDD-4BBF-F44E-899A-83563DD27501}" sibTransId="{D09564D7-9B18-BD43-BB27-EA9E080042F9}"/>
    <dgm:cxn modelId="{E36F5B84-F6A9-E742-8ECD-9E141F4E7A2D}" type="presOf" srcId="{C6FF5A9C-0867-074A-A1F0-D2BFFB0332AE}" destId="{4F4EED72-1872-C640-8441-4924012DC537}" srcOrd="0" destOrd="1" presId="urn:microsoft.com/office/officeart/2005/8/layout/hProcess10"/>
    <dgm:cxn modelId="{D7F80985-EAF0-8343-A6E3-36B03DC04D5A}" type="presOf" srcId="{EAB5FF8C-E58F-804E-AD8C-16AA623A9BC8}" destId="{5A7E04EC-BF36-5142-B4A3-FC92AE3F29F9}" srcOrd="0" destOrd="1" presId="urn:microsoft.com/office/officeart/2005/8/layout/hProcess10"/>
    <dgm:cxn modelId="{7C77378E-C8FE-C540-89AA-D38AA898B2E3}" srcId="{691F210D-C8B6-884D-A47D-739E3433EB08}" destId="{82D94B6C-D63B-F344-8C36-C7629554052D}" srcOrd="1" destOrd="0" parTransId="{80B5F6A0-0A1A-254A-8F82-A3B6CBB004C4}" sibTransId="{92921370-C587-984F-8F1E-860DD53B3374}"/>
    <dgm:cxn modelId="{23B55A8F-07F3-9B49-99C2-22DC868DDDF4}" type="presOf" srcId="{92921370-C587-984F-8F1E-860DD53B3374}" destId="{8E46D2B8-F581-DC4B-94E9-AF6CBE255EAA}" srcOrd="0" destOrd="0" presId="urn:microsoft.com/office/officeart/2005/8/layout/hProcess10"/>
    <dgm:cxn modelId="{55434D91-6F24-8B46-816B-46DC1F85C49E}" srcId="{691F210D-C8B6-884D-A47D-739E3433EB08}" destId="{244A5F4E-1C16-5E44-BE72-865411EEF9F5}" srcOrd="4" destOrd="0" parTransId="{7D58C032-DB79-E245-AF7D-20D7654B4077}" sibTransId="{5C241A9C-D261-C748-93C4-AA8992ADD58F}"/>
    <dgm:cxn modelId="{A06BF79B-8304-F24A-B57B-02AA7F7A0071}" srcId="{71481C38-8D94-024F-8007-1A9C696A1ECB}" destId="{66920DA5-3747-9A4D-A96E-696BFBB4B1F9}" srcOrd="0" destOrd="0" parTransId="{3F8606C3-EDEF-354B-8F39-94E18F499CD9}" sibTransId="{FCD737BF-2770-214A-A109-B54156772D91}"/>
    <dgm:cxn modelId="{C1A027B6-1127-3A43-96D8-E83F447080A2}" type="presOf" srcId="{3288EF82-9738-DA43-999E-1D5B2481191D}" destId="{A1A7FF1B-39E8-C14A-84CB-87F9F8BB2587}" srcOrd="1" destOrd="0" presId="urn:microsoft.com/office/officeart/2005/8/layout/hProcess10"/>
    <dgm:cxn modelId="{5AB0CDBD-DFFC-6646-AAD1-EE071EB35737}" type="presOf" srcId="{CCCF0000-7D86-2A46-BFAE-44C27D07B195}" destId="{2C6C79DB-91E9-5746-895C-4D518F61F987}" srcOrd="0" destOrd="2" presId="urn:microsoft.com/office/officeart/2005/8/layout/hProcess10"/>
    <dgm:cxn modelId="{D68056BF-32D5-5346-B201-7C9CC03CDE26}" srcId="{7148ACF3-37B2-7D4B-B02D-4CDE99F6639D}" destId="{1CD899A0-4857-6B44-B3CF-6F8A81D6378A}" srcOrd="1" destOrd="0" parTransId="{90C9DA38-21D0-CC49-B5F1-817D673B9555}" sibTransId="{EC4943FE-6778-1942-8723-0D826348A92C}"/>
    <dgm:cxn modelId="{927F9BC2-3FFB-684F-9B1D-104524722EE9}" type="presOf" srcId="{9129769F-AD62-514B-B5EF-441A185BDDBE}" destId="{89152A23-84F7-4347-9497-49C126BC095A}" srcOrd="1" destOrd="0" presId="urn:microsoft.com/office/officeart/2005/8/layout/hProcess10"/>
    <dgm:cxn modelId="{42F0FCCB-19F9-7542-A184-4892CBF10519}" srcId="{691F210D-C8B6-884D-A47D-739E3433EB08}" destId="{7148ACF3-37B2-7D4B-B02D-4CDE99F6639D}" srcOrd="3" destOrd="0" parTransId="{540D5CAD-DC48-2849-82F3-9FD5ED657BC7}" sibTransId="{3288EF82-9738-DA43-999E-1D5B2481191D}"/>
    <dgm:cxn modelId="{AF64C9D4-A3AB-C34E-BDC1-D7208CE01D61}" type="presOf" srcId="{402EF361-F1D8-9E40-8E0D-3D267BE66BEC}" destId="{4370341F-902B-154E-A342-D8B97CBA271B}" srcOrd="0" destOrd="0" presId="urn:microsoft.com/office/officeart/2005/8/layout/hProcess10"/>
    <dgm:cxn modelId="{070438DD-2899-084C-B9D6-B300E0027463}" type="presOf" srcId="{A9CA1F37-7B6E-9543-AC49-4A47C813D74B}" destId="{6576EB0C-1B2C-F642-A469-FADE0EA1D65A}" srcOrd="0" destOrd="2" presId="urn:microsoft.com/office/officeart/2005/8/layout/hProcess10"/>
    <dgm:cxn modelId="{DEF1D9E8-8D72-5F4B-8CB9-99F7D747BE9C}" srcId="{691F210D-C8B6-884D-A47D-739E3433EB08}" destId="{71481C38-8D94-024F-8007-1A9C696A1ECB}" srcOrd="0" destOrd="0" parTransId="{3CABFC5B-739D-5346-ADC1-C168C1008501}" sibTransId="{9129769F-AD62-514B-B5EF-441A185BDDBE}"/>
    <dgm:cxn modelId="{C2495FEC-753E-8F41-8C37-20F6B23D3229}" srcId="{71481C38-8D94-024F-8007-1A9C696A1ECB}" destId="{30209AB3-B5F7-AF48-81BE-74E9343F4CBA}" srcOrd="1" destOrd="0" parTransId="{BA5457AE-5957-9A4D-A7E9-50F9BFAD4523}" sibTransId="{5A6DD9C6-42A4-CF45-A805-4B31C93B9877}"/>
    <dgm:cxn modelId="{4BECDFEF-091E-DD45-B9F2-9BAF30BA4602}" type="presOf" srcId="{9129769F-AD62-514B-B5EF-441A185BDDBE}" destId="{651AFE21-DCC6-9D4B-A828-5D42E72F898A}" srcOrd="0" destOrd="0" presId="urn:microsoft.com/office/officeart/2005/8/layout/hProcess10"/>
    <dgm:cxn modelId="{359955F0-3CDA-5B41-A4A9-BFE2926E0148}" srcId="{FAADEE51-42C5-0744-96B1-913F4CA3665F}" destId="{D601247D-6E72-674A-B075-1C7379F883FD}" srcOrd="0" destOrd="0" parTransId="{EAE78B4C-1D65-324F-B51E-B0527349DDF0}" sibTransId="{47572092-E1D9-6B4A-884F-20B9506BF42C}"/>
    <dgm:cxn modelId="{A44960F6-71EE-FA4D-B551-9FC8EE33841B}" type="presOf" srcId="{30209AB3-B5F7-AF48-81BE-74E9343F4CBA}" destId="{065720C0-4C49-2B40-BA58-32E3CC664345}" srcOrd="0" destOrd="2" presId="urn:microsoft.com/office/officeart/2005/8/layout/hProcess10"/>
    <dgm:cxn modelId="{E1CC15FD-5F73-9747-98A9-B230DCAB19A4}" type="presOf" srcId="{82D94B6C-D63B-F344-8C36-C7629554052D}" destId="{5A7E04EC-BF36-5142-B4A3-FC92AE3F29F9}" srcOrd="0" destOrd="0" presId="urn:microsoft.com/office/officeart/2005/8/layout/hProcess10"/>
    <dgm:cxn modelId="{7AC4D4B9-C162-354A-9A34-5185208BEBAA}" type="presParOf" srcId="{93E5D444-BB04-5649-86CA-18DC9626F072}" destId="{BF00568C-46B8-D847-940A-44268594A088}" srcOrd="0" destOrd="0" presId="urn:microsoft.com/office/officeart/2005/8/layout/hProcess10"/>
    <dgm:cxn modelId="{66FBE281-2B9B-984E-84EB-7A4ADAEE13D2}" type="presParOf" srcId="{BF00568C-46B8-D847-940A-44268594A088}" destId="{243DEC21-9E0C-D141-9B6D-9ADAABA2C02A}" srcOrd="0" destOrd="0" presId="urn:microsoft.com/office/officeart/2005/8/layout/hProcess10"/>
    <dgm:cxn modelId="{BC36EE05-82D5-1D49-802E-93C9F6B84623}" type="presParOf" srcId="{BF00568C-46B8-D847-940A-44268594A088}" destId="{065720C0-4C49-2B40-BA58-32E3CC664345}" srcOrd="1" destOrd="0" presId="urn:microsoft.com/office/officeart/2005/8/layout/hProcess10"/>
    <dgm:cxn modelId="{F7C6622A-10E4-E049-B2FD-8A627E5A1E97}" type="presParOf" srcId="{93E5D444-BB04-5649-86CA-18DC9626F072}" destId="{651AFE21-DCC6-9D4B-A828-5D42E72F898A}" srcOrd="1" destOrd="0" presId="urn:microsoft.com/office/officeart/2005/8/layout/hProcess10"/>
    <dgm:cxn modelId="{F92DB101-2DA8-654B-B5F3-509FD6F440DA}" type="presParOf" srcId="{651AFE21-DCC6-9D4B-A828-5D42E72F898A}" destId="{89152A23-84F7-4347-9497-49C126BC095A}" srcOrd="0" destOrd="0" presId="urn:microsoft.com/office/officeart/2005/8/layout/hProcess10"/>
    <dgm:cxn modelId="{DE7F15AA-DFFB-FE4F-BC32-A070021AB60B}" type="presParOf" srcId="{93E5D444-BB04-5649-86CA-18DC9626F072}" destId="{2526445A-2695-E143-B19A-3A2D928155F0}" srcOrd="2" destOrd="0" presId="urn:microsoft.com/office/officeart/2005/8/layout/hProcess10"/>
    <dgm:cxn modelId="{4B2ECED2-453F-7F4F-BAB4-47F4CCBDAD50}" type="presParOf" srcId="{2526445A-2695-E143-B19A-3A2D928155F0}" destId="{15A9147E-2BC3-A240-A1F4-89FC976BB686}" srcOrd="0" destOrd="0" presId="urn:microsoft.com/office/officeart/2005/8/layout/hProcess10"/>
    <dgm:cxn modelId="{765DC8C4-0D8E-6340-AA41-3D99FE0D8C38}" type="presParOf" srcId="{2526445A-2695-E143-B19A-3A2D928155F0}" destId="{5A7E04EC-BF36-5142-B4A3-FC92AE3F29F9}" srcOrd="1" destOrd="0" presId="urn:microsoft.com/office/officeart/2005/8/layout/hProcess10"/>
    <dgm:cxn modelId="{47968B2E-6D29-494B-8E4D-5F96951044F9}" type="presParOf" srcId="{93E5D444-BB04-5649-86CA-18DC9626F072}" destId="{8E46D2B8-F581-DC4B-94E9-AF6CBE255EAA}" srcOrd="3" destOrd="0" presId="urn:microsoft.com/office/officeart/2005/8/layout/hProcess10"/>
    <dgm:cxn modelId="{FC2FDCE5-313D-674E-8331-A3A0B58C511A}" type="presParOf" srcId="{8E46D2B8-F581-DC4B-94E9-AF6CBE255EAA}" destId="{13590E96-10AA-F046-8C5B-D0B59C4089E9}" srcOrd="0" destOrd="0" presId="urn:microsoft.com/office/officeart/2005/8/layout/hProcess10"/>
    <dgm:cxn modelId="{03D3259A-CF81-8D48-90DA-1621B75749A7}" type="presParOf" srcId="{93E5D444-BB04-5649-86CA-18DC9626F072}" destId="{8F03BB1A-3148-D64B-B1AC-6CD8ED3F5064}" srcOrd="4" destOrd="0" presId="urn:microsoft.com/office/officeart/2005/8/layout/hProcess10"/>
    <dgm:cxn modelId="{1C956715-35A2-E04E-AB18-9F211F19D469}" type="presParOf" srcId="{8F03BB1A-3148-D64B-B1AC-6CD8ED3F5064}" destId="{FA09B275-2BE7-1E40-84F4-283BFF3A2826}" srcOrd="0" destOrd="0" presId="urn:microsoft.com/office/officeart/2005/8/layout/hProcess10"/>
    <dgm:cxn modelId="{ED597063-2111-844B-8210-D859FCA12AD6}" type="presParOf" srcId="{8F03BB1A-3148-D64B-B1AC-6CD8ED3F5064}" destId="{6576EB0C-1B2C-F642-A469-FADE0EA1D65A}" srcOrd="1" destOrd="0" presId="urn:microsoft.com/office/officeart/2005/8/layout/hProcess10"/>
    <dgm:cxn modelId="{A4126206-647D-774D-B884-214700024924}" type="presParOf" srcId="{93E5D444-BB04-5649-86CA-18DC9626F072}" destId="{4370341F-902B-154E-A342-D8B97CBA271B}" srcOrd="5" destOrd="0" presId="urn:microsoft.com/office/officeart/2005/8/layout/hProcess10"/>
    <dgm:cxn modelId="{6810A433-7E1A-6346-B8D9-11B30109F196}" type="presParOf" srcId="{4370341F-902B-154E-A342-D8B97CBA271B}" destId="{70B75336-CB1C-6142-A644-363397AF9659}" srcOrd="0" destOrd="0" presId="urn:microsoft.com/office/officeart/2005/8/layout/hProcess10"/>
    <dgm:cxn modelId="{3ADE530B-E5AA-4B46-837D-F1110DC7B8DB}" type="presParOf" srcId="{93E5D444-BB04-5649-86CA-18DC9626F072}" destId="{C0AB9C5F-BEB7-2541-8949-F272F21A7489}" srcOrd="6" destOrd="0" presId="urn:microsoft.com/office/officeart/2005/8/layout/hProcess10"/>
    <dgm:cxn modelId="{E30676FF-1CD3-3847-8930-6220CD1CC639}" type="presParOf" srcId="{C0AB9C5F-BEB7-2541-8949-F272F21A7489}" destId="{71990F81-602C-3C4E-9E51-E337BB2D7D51}" srcOrd="0" destOrd="0" presId="urn:microsoft.com/office/officeart/2005/8/layout/hProcess10"/>
    <dgm:cxn modelId="{52475332-F9AA-F447-A964-A5C5054C7976}" type="presParOf" srcId="{C0AB9C5F-BEB7-2541-8949-F272F21A7489}" destId="{4F4EED72-1872-C640-8441-4924012DC537}" srcOrd="1" destOrd="0" presId="urn:microsoft.com/office/officeart/2005/8/layout/hProcess10"/>
    <dgm:cxn modelId="{5521FD4B-BD55-AF43-9575-4AF2D2748E68}" type="presParOf" srcId="{93E5D444-BB04-5649-86CA-18DC9626F072}" destId="{73E7B029-21BF-8E4A-A395-A00B072EB178}" srcOrd="7" destOrd="0" presId="urn:microsoft.com/office/officeart/2005/8/layout/hProcess10"/>
    <dgm:cxn modelId="{FE0E0364-CF3D-8048-BFEF-78B37F40F31B}" type="presParOf" srcId="{73E7B029-21BF-8E4A-A395-A00B072EB178}" destId="{A1A7FF1B-39E8-C14A-84CB-87F9F8BB2587}" srcOrd="0" destOrd="0" presId="urn:microsoft.com/office/officeart/2005/8/layout/hProcess10"/>
    <dgm:cxn modelId="{8E082EE9-C308-C947-A7F9-552737C30265}" type="presParOf" srcId="{93E5D444-BB04-5649-86CA-18DC9626F072}" destId="{937D883E-35A2-F94B-93C7-FDB8A604DED4}" srcOrd="8" destOrd="0" presId="urn:microsoft.com/office/officeart/2005/8/layout/hProcess10"/>
    <dgm:cxn modelId="{914C2026-EE3B-E744-94F2-C2754CC8C42D}" type="presParOf" srcId="{937D883E-35A2-F94B-93C7-FDB8A604DED4}" destId="{6796DC51-BE38-BF4E-A189-3131BD3A90EA}" srcOrd="0" destOrd="0" presId="urn:microsoft.com/office/officeart/2005/8/layout/hProcess10"/>
    <dgm:cxn modelId="{4D9DFD70-B811-8540-A37E-B93B3E702396}" type="presParOf" srcId="{937D883E-35A2-F94B-93C7-FDB8A604DED4}" destId="{2C6C79DB-91E9-5746-895C-4D518F61F987}" srcOrd="1" destOrd="0" presId="urn:microsoft.com/office/officeart/2005/8/layout/hProcess10"/>
    <dgm:cxn modelId="{5CE0CF2E-60D0-DE45-AA36-EEE0D1BB80C9}" type="presParOf" srcId="{93E5D444-BB04-5649-86CA-18DC9626F072}" destId="{7518930D-F14E-B849-B1C7-C4740A8FCFEA}" srcOrd="9" destOrd="0" presId="urn:microsoft.com/office/officeart/2005/8/layout/hProcess10"/>
    <dgm:cxn modelId="{5395BFD7-EABD-A742-BBFF-94EC42E4F366}" type="presParOf" srcId="{7518930D-F14E-B849-B1C7-C4740A8FCFEA}" destId="{5C52ABE4-7B5A-0141-BCFB-D1C3CF035813}" srcOrd="0" destOrd="0" presId="urn:microsoft.com/office/officeart/2005/8/layout/hProcess10"/>
    <dgm:cxn modelId="{029EA46E-03DA-7B45-AEC9-D0CF98DE04EC}" type="presParOf" srcId="{93E5D444-BB04-5649-86CA-18DC9626F072}" destId="{94DE6C16-1337-F543-BE27-90D3691E0504}" srcOrd="10" destOrd="0" presId="urn:microsoft.com/office/officeart/2005/8/layout/hProcess10"/>
    <dgm:cxn modelId="{E771C599-FB18-EA49-BEAC-314CE644E563}" type="presParOf" srcId="{94DE6C16-1337-F543-BE27-90D3691E0504}" destId="{5AE15544-0613-E14B-B1D9-58EB64B51DC1}" srcOrd="0" destOrd="0" presId="urn:microsoft.com/office/officeart/2005/8/layout/hProcess10"/>
    <dgm:cxn modelId="{EE6B3D0A-7F8F-E04E-8860-F3F935D37557}" type="presParOf" srcId="{94DE6C16-1337-F543-BE27-90D3691E0504}" destId="{7E006B15-BB4F-6943-9AC9-EB27CEBF02F8}" srcOrd="1" destOrd="0" presId="urn:microsoft.com/office/officeart/2005/8/layout/hProcess10"/>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2BD5717-A9E6-DD44-A13C-12122D41F212}"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718C1A72-EF39-DD4E-BFDE-F45DD7D520FB}">
      <dgm:prSet phldrT="[Text]"/>
      <dgm:spPr/>
      <dgm:t>
        <a:bodyPr/>
        <a:lstStyle/>
        <a:p>
          <a:r>
            <a:rPr lang="en-US"/>
            <a:t>1: Introduction to thesis</a:t>
          </a:r>
        </a:p>
      </dgm:t>
    </dgm:pt>
    <dgm:pt modelId="{9E2DFDDC-3C71-914F-988C-5704CBF50503}" type="parTrans" cxnId="{91DA8910-D086-6147-90B8-4564B8FB7DD1}">
      <dgm:prSet/>
      <dgm:spPr/>
      <dgm:t>
        <a:bodyPr/>
        <a:lstStyle/>
        <a:p>
          <a:endParaRPr lang="en-US"/>
        </a:p>
      </dgm:t>
    </dgm:pt>
    <dgm:pt modelId="{319DF0AF-755D-0746-AAC7-5D8347B59181}" type="sibTrans" cxnId="{91DA8910-D086-6147-90B8-4564B8FB7DD1}">
      <dgm:prSet/>
      <dgm:spPr/>
      <dgm:t>
        <a:bodyPr/>
        <a:lstStyle/>
        <a:p>
          <a:endParaRPr lang="en-US"/>
        </a:p>
      </dgm:t>
    </dgm:pt>
    <dgm:pt modelId="{6AEE21D3-4CB1-7443-AC17-5D71D849EEF3}">
      <dgm:prSet phldrT="[Text]"/>
      <dgm:spPr/>
      <dgm:t>
        <a:bodyPr/>
        <a:lstStyle/>
        <a:p>
          <a:r>
            <a:rPr lang="en-US"/>
            <a:t>Background and rationale</a:t>
          </a:r>
        </a:p>
      </dgm:t>
    </dgm:pt>
    <dgm:pt modelId="{EE7D8C90-13C7-FA43-9E10-DD3301B8943F}" type="parTrans" cxnId="{3EDAFA3D-5B57-B64D-B5D4-E665EE4B170D}">
      <dgm:prSet/>
      <dgm:spPr/>
      <dgm:t>
        <a:bodyPr/>
        <a:lstStyle/>
        <a:p>
          <a:endParaRPr lang="en-US"/>
        </a:p>
      </dgm:t>
    </dgm:pt>
    <dgm:pt modelId="{A9C3AD35-C5EE-D746-B67E-C578EA7D2C4E}" type="sibTrans" cxnId="{3EDAFA3D-5B57-B64D-B5D4-E665EE4B170D}">
      <dgm:prSet/>
      <dgm:spPr/>
      <dgm:t>
        <a:bodyPr/>
        <a:lstStyle/>
        <a:p>
          <a:endParaRPr lang="en-US"/>
        </a:p>
      </dgm:t>
    </dgm:pt>
    <dgm:pt modelId="{0D347524-7007-BE43-81AE-44B5DE652093}">
      <dgm:prSet phldrT="[Text]"/>
      <dgm:spPr/>
      <dgm:t>
        <a:bodyPr/>
        <a:lstStyle/>
        <a:p>
          <a:r>
            <a:rPr lang="en-US"/>
            <a:t>Design and structure of thesis</a:t>
          </a:r>
        </a:p>
      </dgm:t>
    </dgm:pt>
    <dgm:pt modelId="{2293298E-5D8B-C241-8AF0-50CDFB609DAA}" type="parTrans" cxnId="{5EE2D825-57DF-5449-8FAF-989EB9C2F7C2}">
      <dgm:prSet/>
      <dgm:spPr/>
      <dgm:t>
        <a:bodyPr/>
        <a:lstStyle/>
        <a:p>
          <a:endParaRPr lang="en-US"/>
        </a:p>
      </dgm:t>
    </dgm:pt>
    <dgm:pt modelId="{142288B3-34B8-4A41-A85C-8439B3EFE9A4}" type="sibTrans" cxnId="{5EE2D825-57DF-5449-8FAF-989EB9C2F7C2}">
      <dgm:prSet/>
      <dgm:spPr/>
      <dgm:t>
        <a:bodyPr/>
        <a:lstStyle/>
        <a:p>
          <a:endParaRPr lang="en-US"/>
        </a:p>
      </dgm:t>
    </dgm:pt>
    <dgm:pt modelId="{332543FB-BB1C-DE43-B140-C2BB789BBCB2}">
      <dgm:prSet phldrT="[Text]"/>
      <dgm:spPr/>
      <dgm:t>
        <a:bodyPr/>
        <a:lstStyle/>
        <a:p>
          <a:r>
            <a:rPr lang="en-US"/>
            <a:t>2: Literature review</a:t>
          </a:r>
        </a:p>
      </dgm:t>
    </dgm:pt>
    <dgm:pt modelId="{E83559AB-8184-B94E-AA65-4420DE3012DF}" type="parTrans" cxnId="{7BFC9C6A-2437-D24F-B986-39DC3950C009}">
      <dgm:prSet/>
      <dgm:spPr/>
      <dgm:t>
        <a:bodyPr/>
        <a:lstStyle/>
        <a:p>
          <a:endParaRPr lang="en-US"/>
        </a:p>
      </dgm:t>
    </dgm:pt>
    <dgm:pt modelId="{9F0DECA5-F8B9-2F49-B9A7-32EB3AD7D8C5}" type="sibTrans" cxnId="{7BFC9C6A-2437-D24F-B986-39DC3950C009}">
      <dgm:prSet/>
      <dgm:spPr/>
      <dgm:t>
        <a:bodyPr/>
        <a:lstStyle/>
        <a:p>
          <a:endParaRPr lang="en-US"/>
        </a:p>
      </dgm:t>
    </dgm:pt>
    <dgm:pt modelId="{2725BEFC-24C3-E145-86F8-460B0C16124D}">
      <dgm:prSet phldrT="[Text]"/>
      <dgm:spPr/>
      <dgm:t>
        <a:bodyPr/>
        <a:lstStyle/>
        <a:p>
          <a:r>
            <a:rPr lang="en-US"/>
            <a:t>The undergraduate medical curriculum and preapredness to practice</a:t>
          </a:r>
        </a:p>
      </dgm:t>
    </dgm:pt>
    <dgm:pt modelId="{C1829F04-6DDA-E649-90FD-A4AAAAE6C05F}" type="parTrans" cxnId="{930A272A-2CFF-0041-B9ED-76D065F6ECCC}">
      <dgm:prSet/>
      <dgm:spPr/>
      <dgm:t>
        <a:bodyPr/>
        <a:lstStyle/>
        <a:p>
          <a:endParaRPr lang="en-US"/>
        </a:p>
      </dgm:t>
    </dgm:pt>
    <dgm:pt modelId="{21F47E9F-9C6A-1041-9062-39753370C0EE}" type="sibTrans" cxnId="{930A272A-2CFF-0041-B9ED-76D065F6ECCC}">
      <dgm:prSet/>
      <dgm:spPr/>
      <dgm:t>
        <a:bodyPr/>
        <a:lstStyle/>
        <a:p>
          <a:endParaRPr lang="en-US"/>
        </a:p>
      </dgm:t>
    </dgm:pt>
    <dgm:pt modelId="{4E401C2C-4000-C040-828A-EB0D5B3F70BC}">
      <dgm:prSet phldrT="[Text]"/>
      <dgm:spPr/>
      <dgm:t>
        <a:bodyPr/>
        <a:lstStyle/>
        <a:p>
          <a:r>
            <a:rPr lang="en-US"/>
            <a:t>Simulation Based medical education - theory, evidence and best practice</a:t>
          </a:r>
        </a:p>
      </dgm:t>
    </dgm:pt>
    <dgm:pt modelId="{3CFB846A-189E-294E-B017-5A9A4DD6CEDE}" type="parTrans" cxnId="{7724FB94-3CBB-FF4F-A88F-DF25BA3B4755}">
      <dgm:prSet/>
      <dgm:spPr/>
      <dgm:t>
        <a:bodyPr/>
        <a:lstStyle/>
        <a:p>
          <a:endParaRPr lang="en-US"/>
        </a:p>
      </dgm:t>
    </dgm:pt>
    <dgm:pt modelId="{ECEB1A3F-3DD8-E248-9697-8F101B01851A}" type="sibTrans" cxnId="{7724FB94-3CBB-FF4F-A88F-DF25BA3B4755}">
      <dgm:prSet/>
      <dgm:spPr/>
      <dgm:t>
        <a:bodyPr/>
        <a:lstStyle/>
        <a:p>
          <a:endParaRPr lang="en-US"/>
        </a:p>
      </dgm:t>
    </dgm:pt>
    <dgm:pt modelId="{93105CB4-0286-ED4F-915C-092EF42A9691}">
      <dgm:prSet phldrT="[Text]"/>
      <dgm:spPr/>
      <dgm:t>
        <a:bodyPr/>
        <a:lstStyle/>
        <a:p>
          <a:r>
            <a:rPr lang="en-US"/>
            <a:t>5: Design of intervention</a:t>
          </a:r>
        </a:p>
      </dgm:t>
    </dgm:pt>
    <dgm:pt modelId="{A4EA5788-EDE5-E443-B24A-EA951734FC41}" type="parTrans" cxnId="{E3864CAB-5CEA-2845-9E1F-FC63029AD41E}">
      <dgm:prSet/>
      <dgm:spPr/>
      <dgm:t>
        <a:bodyPr/>
        <a:lstStyle/>
        <a:p>
          <a:endParaRPr lang="en-US"/>
        </a:p>
      </dgm:t>
    </dgm:pt>
    <dgm:pt modelId="{72453AAB-5C0D-2D49-B812-AF99508E8E00}" type="sibTrans" cxnId="{E3864CAB-5CEA-2845-9E1F-FC63029AD41E}">
      <dgm:prSet/>
      <dgm:spPr/>
      <dgm:t>
        <a:bodyPr/>
        <a:lstStyle/>
        <a:p>
          <a:endParaRPr lang="en-US"/>
        </a:p>
      </dgm:t>
    </dgm:pt>
    <dgm:pt modelId="{A177B3ED-63C5-3348-B066-3691D8643EDE}">
      <dgm:prSet phldrT="[Text]"/>
      <dgm:spPr/>
      <dgm:t>
        <a:bodyPr/>
        <a:lstStyle/>
        <a:p>
          <a:r>
            <a:rPr lang="en-US"/>
            <a:t>Educational theory, equipment</a:t>
          </a:r>
        </a:p>
      </dgm:t>
    </dgm:pt>
    <dgm:pt modelId="{2716D8C5-47EC-914C-A0C1-738796E8B970}" type="parTrans" cxnId="{9908D6F4-C0F5-4542-868B-44F5EF4B2245}">
      <dgm:prSet/>
      <dgm:spPr/>
      <dgm:t>
        <a:bodyPr/>
        <a:lstStyle/>
        <a:p>
          <a:endParaRPr lang="en-US"/>
        </a:p>
      </dgm:t>
    </dgm:pt>
    <dgm:pt modelId="{8A8CA50E-7D69-3145-B4F9-FFF4F50F2CC8}" type="sibTrans" cxnId="{9908D6F4-C0F5-4542-868B-44F5EF4B2245}">
      <dgm:prSet/>
      <dgm:spPr/>
      <dgm:t>
        <a:bodyPr/>
        <a:lstStyle/>
        <a:p>
          <a:endParaRPr lang="en-US"/>
        </a:p>
      </dgm:t>
    </dgm:pt>
    <dgm:pt modelId="{14C4AACB-BBED-FD43-880C-31C843F0061A}">
      <dgm:prSet phldrT="[Text]"/>
      <dgm:spPr/>
      <dgm:t>
        <a:bodyPr/>
        <a:lstStyle/>
        <a:p>
          <a:r>
            <a:rPr lang="en-US"/>
            <a:t>Assessment design and validation</a:t>
          </a:r>
        </a:p>
      </dgm:t>
    </dgm:pt>
    <dgm:pt modelId="{DFED4DE2-2306-C34E-907E-763B913F06DC}" type="parTrans" cxnId="{06495397-CAFB-8346-B6DD-C62B8755406E}">
      <dgm:prSet/>
      <dgm:spPr/>
      <dgm:t>
        <a:bodyPr/>
        <a:lstStyle/>
        <a:p>
          <a:endParaRPr lang="en-US"/>
        </a:p>
      </dgm:t>
    </dgm:pt>
    <dgm:pt modelId="{8C3CD2B7-B9B1-6B48-BD9C-4F4D55283F81}" type="sibTrans" cxnId="{06495397-CAFB-8346-B6DD-C62B8755406E}">
      <dgm:prSet/>
      <dgm:spPr/>
      <dgm:t>
        <a:bodyPr/>
        <a:lstStyle/>
        <a:p>
          <a:endParaRPr lang="en-US"/>
        </a:p>
      </dgm:t>
    </dgm:pt>
    <dgm:pt modelId="{C458704A-A6F3-A24F-B50F-7B434CD11794}">
      <dgm:prSet phldrT="[Text]"/>
      <dgm:spPr/>
      <dgm:t>
        <a:bodyPr/>
        <a:lstStyle/>
        <a:p>
          <a:r>
            <a:rPr lang="en-US"/>
            <a:t>Research question</a:t>
          </a:r>
        </a:p>
      </dgm:t>
    </dgm:pt>
    <dgm:pt modelId="{91B57B00-C8FD-3D4F-AFCB-35DFDDCC78D0}" type="parTrans" cxnId="{AF912893-1846-5546-8FA3-A9A0911570CE}">
      <dgm:prSet/>
      <dgm:spPr/>
      <dgm:t>
        <a:bodyPr/>
        <a:lstStyle/>
        <a:p>
          <a:endParaRPr lang="en-US"/>
        </a:p>
      </dgm:t>
    </dgm:pt>
    <dgm:pt modelId="{E8F59CE6-32CE-F942-9CFA-2E7EFCCD53DE}" type="sibTrans" cxnId="{AF912893-1846-5546-8FA3-A9A0911570CE}">
      <dgm:prSet/>
      <dgm:spPr/>
      <dgm:t>
        <a:bodyPr/>
        <a:lstStyle/>
        <a:p>
          <a:endParaRPr lang="en-US"/>
        </a:p>
      </dgm:t>
    </dgm:pt>
    <dgm:pt modelId="{7438286E-8350-184E-82B3-3AAEF5F4B429}">
      <dgm:prSet phldrT="[Text]"/>
      <dgm:spPr/>
      <dgm:t>
        <a:bodyPr/>
        <a:lstStyle/>
        <a:p>
          <a:r>
            <a:rPr lang="en-US"/>
            <a:t>Confidence and competence</a:t>
          </a:r>
        </a:p>
      </dgm:t>
    </dgm:pt>
    <dgm:pt modelId="{E8AA2A5B-C348-8248-9D0D-C0147AC7D7FA}" type="parTrans" cxnId="{759B727C-F170-CB44-B32F-469BA669930A}">
      <dgm:prSet/>
      <dgm:spPr/>
      <dgm:t>
        <a:bodyPr/>
        <a:lstStyle/>
        <a:p>
          <a:endParaRPr lang="en-US"/>
        </a:p>
      </dgm:t>
    </dgm:pt>
    <dgm:pt modelId="{DDE64E92-A7DB-1F46-870A-4BB5B715BA64}" type="sibTrans" cxnId="{759B727C-F170-CB44-B32F-469BA669930A}">
      <dgm:prSet/>
      <dgm:spPr/>
      <dgm:t>
        <a:bodyPr/>
        <a:lstStyle/>
        <a:p>
          <a:endParaRPr lang="en-US"/>
        </a:p>
      </dgm:t>
    </dgm:pt>
    <dgm:pt modelId="{8A942072-3D9B-2043-8B2E-11E707170D7E}">
      <dgm:prSet phldrT="[Text]"/>
      <dgm:spPr/>
      <dgm:t>
        <a:bodyPr/>
        <a:lstStyle/>
        <a:p>
          <a:r>
            <a:rPr lang="en-US"/>
            <a:t>3: Methodology</a:t>
          </a:r>
        </a:p>
      </dgm:t>
    </dgm:pt>
    <dgm:pt modelId="{F49F7276-856F-E64E-8188-3D686B4D473E}" type="parTrans" cxnId="{941CFF7A-D638-8A4B-8278-95DAB8637AEE}">
      <dgm:prSet/>
      <dgm:spPr/>
      <dgm:t>
        <a:bodyPr/>
        <a:lstStyle/>
        <a:p>
          <a:endParaRPr lang="en-US"/>
        </a:p>
      </dgm:t>
    </dgm:pt>
    <dgm:pt modelId="{393ABEA7-D1FC-994A-9DCC-A33FEBFF19A8}" type="sibTrans" cxnId="{941CFF7A-D638-8A4B-8278-95DAB8637AEE}">
      <dgm:prSet/>
      <dgm:spPr/>
      <dgm:t>
        <a:bodyPr/>
        <a:lstStyle/>
        <a:p>
          <a:endParaRPr lang="en-US"/>
        </a:p>
      </dgm:t>
    </dgm:pt>
    <dgm:pt modelId="{61A2BB49-4883-F544-A634-4207B0324D62}">
      <dgm:prSet phldrT="[Text]"/>
      <dgm:spPr/>
      <dgm:t>
        <a:bodyPr/>
        <a:lstStyle/>
        <a:p>
          <a:r>
            <a:rPr lang="en-US"/>
            <a:t>Research design - quantitative and qualitative methods</a:t>
          </a:r>
        </a:p>
      </dgm:t>
    </dgm:pt>
    <dgm:pt modelId="{A2A85C49-BD39-F341-9616-1EF9A7342DE1}" type="parTrans" cxnId="{0BBF5851-B3B2-1B4C-8B30-3EEDF43DEFDC}">
      <dgm:prSet/>
      <dgm:spPr/>
      <dgm:t>
        <a:bodyPr/>
        <a:lstStyle/>
        <a:p>
          <a:endParaRPr lang="en-US"/>
        </a:p>
      </dgm:t>
    </dgm:pt>
    <dgm:pt modelId="{74A9A651-DC98-7544-BB4F-6CA13DCA47CC}" type="sibTrans" cxnId="{0BBF5851-B3B2-1B4C-8B30-3EEDF43DEFDC}">
      <dgm:prSet/>
      <dgm:spPr/>
      <dgm:t>
        <a:bodyPr/>
        <a:lstStyle/>
        <a:p>
          <a:endParaRPr lang="en-US"/>
        </a:p>
      </dgm:t>
    </dgm:pt>
    <dgm:pt modelId="{CF8D6B60-3FEF-0048-B019-B0883DEB78C2}">
      <dgm:prSet phldrT="[Text]"/>
      <dgm:spPr/>
      <dgm:t>
        <a:bodyPr/>
        <a:lstStyle/>
        <a:p>
          <a:r>
            <a:rPr lang="en-US"/>
            <a:t>Triangulation of data</a:t>
          </a:r>
        </a:p>
      </dgm:t>
    </dgm:pt>
    <dgm:pt modelId="{3FE0B1FC-3E46-8B4F-9B8A-371FE47D7A6F}" type="parTrans" cxnId="{789D3D31-A1BE-5D42-85EC-D8F31B8AF2A3}">
      <dgm:prSet/>
      <dgm:spPr/>
      <dgm:t>
        <a:bodyPr/>
        <a:lstStyle/>
        <a:p>
          <a:endParaRPr lang="en-US"/>
        </a:p>
      </dgm:t>
    </dgm:pt>
    <dgm:pt modelId="{843A5592-19B0-734C-A097-D96F74C7FECB}" type="sibTrans" cxnId="{789D3D31-A1BE-5D42-85EC-D8F31B8AF2A3}">
      <dgm:prSet/>
      <dgm:spPr/>
      <dgm:t>
        <a:bodyPr/>
        <a:lstStyle/>
        <a:p>
          <a:endParaRPr lang="en-US"/>
        </a:p>
      </dgm:t>
    </dgm:pt>
    <dgm:pt modelId="{3F3526C7-6ED1-AA46-BF20-1B9948A084E5}">
      <dgm:prSet phldrT="[Text]"/>
      <dgm:spPr/>
      <dgm:t>
        <a:bodyPr/>
        <a:lstStyle/>
        <a:p>
          <a:r>
            <a:rPr lang="en-US"/>
            <a:t>Data analysis</a:t>
          </a:r>
        </a:p>
      </dgm:t>
    </dgm:pt>
    <dgm:pt modelId="{2823161F-FBF5-1046-8E60-01F8384EB1BC}" type="parTrans" cxnId="{44D9BC25-FF13-2447-8785-711362D747D4}">
      <dgm:prSet/>
      <dgm:spPr/>
      <dgm:t>
        <a:bodyPr/>
        <a:lstStyle/>
        <a:p>
          <a:endParaRPr lang="en-US"/>
        </a:p>
      </dgm:t>
    </dgm:pt>
    <dgm:pt modelId="{DE01B6D0-D67A-CF4C-A791-F2D29DF1C910}" type="sibTrans" cxnId="{44D9BC25-FF13-2447-8785-711362D747D4}">
      <dgm:prSet/>
      <dgm:spPr/>
      <dgm:t>
        <a:bodyPr/>
        <a:lstStyle/>
        <a:p>
          <a:endParaRPr lang="en-US"/>
        </a:p>
      </dgm:t>
    </dgm:pt>
    <dgm:pt modelId="{82A06431-B147-914D-A7EE-B91B75443203}">
      <dgm:prSet phldrT="[Text]"/>
      <dgm:spPr>
        <a:solidFill>
          <a:srgbClr val="800000"/>
        </a:solidFill>
      </dgm:spPr>
      <dgm:t>
        <a:bodyPr/>
        <a:lstStyle/>
        <a:p>
          <a:r>
            <a:rPr lang="en-US"/>
            <a:t>4: Focus groups pre-pilot</a:t>
          </a:r>
        </a:p>
      </dgm:t>
    </dgm:pt>
    <dgm:pt modelId="{13C96808-67BD-174F-B855-16ACA3400941}" type="parTrans" cxnId="{8E062E4D-AA93-CB44-A0AC-F749EB20F43A}">
      <dgm:prSet/>
      <dgm:spPr/>
      <dgm:t>
        <a:bodyPr/>
        <a:lstStyle/>
        <a:p>
          <a:endParaRPr lang="en-US"/>
        </a:p>
      </dgm:t>
    </dgm:pt>
    <dgm:pt modelId="{2927117D-194C-1341-932F-5623EB513890}" type="sibTrans" cxnId="{8E062E4D-AA93-CB44-A0AC-F749EB20F43A}">
      <dgm:prSet/>
      <dgm:spPr/>
      <dgm:t>
        <a:bodyPr/>
        <a:lstStyle/>
        <a:p>
          <a:endParaRPr lang="en-US"/>
        </a:p>
      </dgm:t>
    </dgm:pt>
    <dgm:pt modelId="{65337D44-9B2C-044E-AEF9-F665764413CE}">
      <dgm:prSet phldrT="[Text]" custT="1"/>
      <dgm:spPr>
        <a:solidFill>
          <a:srgbClr val="800000">
            <a:alpha val="90000"/>
          </a:srgbClr>
        </a:solidFill>
      </dgm:spPr>
      <dgm:t>
        <a:bodyPr/>
        <a:lstStyle/>
        <a:p>
          <a:r>
            <a:rPr lang="en-US" sz="900">
              <a:solidFill>
                <a:srgbClr val="FFFFFF"/>
              </a:solidFill>
            </a:rPr>
            <a:t>Methods</a:t>
          </a:r>
        </a:p>
      </dgm:t>
    </dgm:pt>
    <dgm:pt modelId="{8263CB8A-2179-EA47-A0B9-C16619EE08D6}" type="parTrans" cxnId="{245BCA40-025E-3E4E-A497-A0EFCDDC25C1}">
      <dgm:prSet/>
      <dgm:spPr/>
      <dgm:t>
        <a:bodyPr/>
        <a:lstStyle/>
        <a:p>
          <a:endParaRPr lang="en-US"/>
        </a:p>
      </dgm:t>
    </dgm:pt>
    <dgm:pt modelId="{D95EDDE2-EB68-4C45-BB0E-BC77264A5A49}" type="sibTrans" cxnId="{245BCA40-025E-3E4E-A497-A0EFCDDC25C1}">
      <dgm:prSet/>
      <dgm:spPr/>
      <dgm:t>
        <a:bodyPr/>
        <a:lstStyle/>
        <a:p>
          <a:endParaRPr lang="en-US"/>
        </a:p>
      </dgm:t>
    </dgm:pt>
    <dgm:pt modelId="{D4381A80-7F1D-9D4D-8093-B3E6A2F1CFCA}">
      <dgm:prSet phldrT="[Text]" custT="1"/>
      <dgm:spPr>
        <a:solidFill>
          <a:srgbClr val="800000">
            <a:alpha val="90000"/>
          </a:srgbClr>
        </a:solidFill>
      </dgm:spPr>
      <dgm:t>
        <a:bodyPr/>
        <a:lstStyle/>
        <a:p>
          <a:r>
            <a:rPr lang="en-US" sz="900">
              <a:solidFill>
                <a:srgbClr val="FFFFFF"/>
              </a:solidFill>
            </a:rPr>
            <a:t>Emergent themes</a:t>
          </a:r>
        </a:p>
      </dgm:t>
    </dgm:pt>
    <dgm:pt modelId="{E0E413A4-940F-4949-BC1D-D8C9E61E05C4}" type="parTrans" cxnId="{5F8B3DC7-4CC2-774D-B2B4-0FAAA2FC594C}">
      <dgm:prSet/>
      <dgm:spPr/>
      <dgm:t>
        <a:bodyPr/>
        <a:lstStyle/>
        <a:p>
          <a:endParaRPr lang="en-US"/>
        </a:p>
      </dgm:t>
    </dgm:pt>
    <dgm:pt modelId="{9A330F0C-3CA6-F948-80B6-E0284FDCABD6}" type="sibTrans" cxnId="{5F8B3DC7-4CC2-774D-B2B4-0FAAA2FC594C}">
      <dgm:prSet/>
      <dgm:spPr/>
      <dgm:t>
        <a:bodyPr/>
        <a:lstStyle/>
        <a:p>
          <a:endParaRPr lang="en-US"/>
        </a:p>
      </dgm:t>
    </dgm:pt>
    <dgm:pt modelId="{0D5E0837-38B9-E148-BB11-F780782A29CB}">
      <dgm:prSet phldrT="[Text]" custT="1"/>
      <dgm:spPr>
        <a:solidFill>
          <a:srgbClr val="800000">
            <a:alpha val="90000"/>
          </a:srgbClr>
        </a:solidFill>
      </dgm:spPr>
      <dgm:t>
        <a:bodyPr/>
        <a:lstStyle/>
        <a:p>
          <a:r>
            <a:rPr lang="en-US" sz="900">
              <a:solidFill>
                <a:srgbClr val="FFFFFF"/>
              </a:solidFill>
            </a:rPr>
            <a:t>Venn diagram to summarise</a:t>
          </a:r>
        </a:p>
      </dgm:t>
    </dgm:pt>
    <dgm:pt modelId="{22B50FC3-BF2E-BC48-A0D0-DF6C126E5EEE}" type="parTrans" cxnId="{A3D7ACF7-2BA2-4F49-A0E0-7346B1E54F6B}">
      <dgm:prSet/>
      <dgm:spPr/>
      <dgm:t>
        <a:bodyPr/>
        <a:lstStyle/>
        <a:p>
          <a:endParaRPr lang="en-US"/>
        </a:p>
      </dgm:t>
    </dgm:pt>
    <dgm:pt modelId="{BF3788D2-6547-5A48-A40F-C81D634AEA59}" type="sibTrans" cxnId="{A3D7ACF7-2BA2-4F49-A0E0-7346B1E54F6B}">
      <dgm:prSet/>
      <dgm:spPr/>
      <dgm:t>
        <a:bodyPr/>
        <a:lstStyle/>
        <a:p>
          <a:endParaRPr lang="en-US"/>
        </a:p>
      </dgm:t>
    </dgm:pt>
    <dgm:pt modelId="{AB849386-BBEF-244B-A2A1-1BE27622D72F}">
      <dgm:prSet phldrT="[Text]"/>
      <dgm:spPr/>
      <dgm:t>
        <a:bodyPr/>
        <a:lstStyle/>
        <a:p>
          <a:r>
            <a:rPr lang="en-US"/>
            <a:t>6: Pilot study</a:t>
          </a:r>
        </a:p>
      </dgm:t>
    </dgm:pt>
    <dgm:pt modelId="{5EF8B0E9-7943-9A42-86BC-C712E57D9428}" type="parTrans" cxnId="{7A5B92EC-2DF6-4646-AFCC-84FF4032C496}">
      <dgm:prSet/>
      <dgm:spPr/>
      <dgm:t>
        <a:bodyPr/>
        <a:lstStyle/>
        <a:p>
          <a:endParaRPr lang="en-US"/>
        </a:p>
      </dgm:t>
    </dgm:pt>
    <dgm:pt modelId="{C3910501-0EE6-C14B-801E-3128A43B34A7}" type="sibTrans" cxnId="{7A5B92EC-2DF6-4646-AFCC-84FF4032C496}">
      <dgm:prSet/>
      <dgm:spPr/>
      <dgm:t>
        <a:bodyPr/>
        <a:lstStyle/>
        <a:p>
          <a:endParaRPr lang="en-US"/>
        </a:p>
      </dgm:t>
    </dgm:pt>
    <dgm:pt modelId="{125C0A60-1A53-5F41-A8F9-BD71D1144F62}">
      <dgm:prSet phldrT="[Text]"/>
      <dgm:spPr/>
      <dgm:t>
        <a:bodyPr/>
        <a:lstStyle/>
        <a:p>
          <a:r>
            <a:rPr lang="en-US"/>
            <a:t>Aims and Objectives, methods, results</a:t>
          </a:r>
        </a:p>
      </dgm:t>
    </dgm:pt>
    <dgm:pt modelId="{984C74EC-959A-D247-8643-38CB257DFB0B}" type="parTrans" cxnId="{FBCA9468-21D0-A34D-887F-59A1DC4F55DC}">
      <dgm:prSet/>
      <dgm:spPr/>
      <dgm:t>
        <a:bodyPr/>
        <a:lstStyle/>
        <a:p>
          <a:endParaRPr lang="en-US"/>
        </a:p>
      </dgm:t>
    </dgm:pt>
    <dgm:pt modelId="{8F6DF586-F89A-104B-973B-698C8A397ED9}" type="sibTrans" cxnId="{FBCA9468-21D0-A34D-887F-59A1DC4F55DC}">
      <dgm:prSet/>
      <dgm:spPr/>
      <dgm:t>
        <a:bodyPr/>
        <a:lstStyle/>
        <a:p>
          <a:endParaRPr lang="en-US"/>
        </a:p>
      </dgm:t>
    </dgm:pt>
    <dgm:pt modelId="{BE8AC978-0FAD-5E4D-B281-1B7DC61EC809}">
      <dgm:prSet phldrT="[Text]"/>
      <dgm:spPr/>
      <dgm:t>
        <a:bodyPr/>
        <a:lstStyle/>
        <a:p>
          <a:r>
            <a:rPr lang="en-US"/>
            <a:t>Data analysis, conclusions</a:t>
          </a:r>
        </a:p>
      </dgm:t>
    </dgm:pt>
    <dgm:pt modelId="{644AFFE0-B4BE-8943-93C3-2A6907CD6F29}" type="parTrans" cxnId="{41F6AEA4-660B-BB40-B9A3-341B4796F7D7}">
      <dgm:prSet/>
      <dgm:spPr/>
      <dgm:t>
        <a:bodyPr/>
        <a:lstStyle/>
        <a:p>
          <a:endParaRPr lang="en-US"/>
        </a:p>
      </dgm:t>
    </dgm:pt>
    <dgm:pt modelId="{AD072108-05B4-C840-8E22-2970579DFF3B}" type="sibTrans" cxnId="{41F6AEA4-660B-BB40-B9A3-341B4796F7D7}">
      <dgm:prSet/>
      <dgm:spPr/>
      <dgm:t>
        <a:bodyPr/>
        <a:lstStyle/>
        <a:p>
          <a:endParaRPr lang="en-US"/>
        </a:p>
      </dgm:t>
    </dgm:pt>
    <dgm:pt modelId="{34B9CBCA-90AD-D946-B26E-3A6E60BB731E}">
      <dgm:prSet phldrT="[Text]"/>
      <dgm:spPr/>
      <dgm:t>
        <a:bodyPr/>
        <a:lstStyle/>
        <a:p>
          <a:r>
            <a:rPr lang="en-US"/>
            <a:t>7: Intervention study</a:t>
          </a:r>
        </a:p>
      </dgm:t>
    </dgm:pt>
    <dgm:pt modelId="{9332FC5B-2DEC-D146-AE72-41CD6249A702}" type="parTrans" cxnId="{C67DC537-D4CA-2944-8330-96C6C74E0394}">
      <dgm:prSet/>
      <dgm:spPr/>
      <dgm:t>
        <a:bodyPr/>
        <a:lstStyle/>
        <a:p>
          <a:endParaRPr lang="en-US"/>
        </a:p>
      </dgm:t>
    </dgm:pt>
    <dgm:pt modelId="{1031D2A7-8DEF-E945-AA90-68FD6C34AE22}" type="sibTrans" cxnId="{C67DC537-D4CA-2944-8330-96C6C74E0394}">
      <dgm:prSet/>
      <dgm:spPr/>
      <dgm:t>
        <a:bodyPr/>
        <a:lstStyle/>
        <a:p>
          <a:endParaRPr lang="en-US"/>
        </a:p>
      </dgm:t>
    </dgm:pt>
    <dgm:pt modelId="{555C02C0-6BC9-D540-8A82-3666CC61D37F}">
      <dgm:prSet phldrT="[Text]"/>
      <dgm:spPr/>
      <dgm:t>
        <a:bodyPr/>
        <a:lstStyle/>
        <a:p>
          <a:r>
            <a:rPr lang="en-US"/>
            <a:t>Aims and objectives, methods, results</a:t>
          </a:r>
        </a:p>
      </dgm:t>
    </dgm:pt>
    <dgm:pt modelId="{CCE0D908-1B64-2944-8A76-DCC6D56AC78A}" type="parTrans" cxnId="{BE3536A4-6AC2-5749-8B5D-9595BFA95C99}">
      <dgm:prSet/>
      <dgm:spPr/>
      <dgm:t>
        <a:bodyPr/>
        <a:lstStyle/>
        <a:p>
          <a:endParaRPr lang="en-US"/>
        </a:p>
      </dgm:t>
    </dgm:pt>
    <dgm:pt modelId="{CA067235-B735-254C-8977-EAB578376323}" type="sibTrans" cxnId="{BE3536A4-6AC2-5749-8B5D-9595BFA95C99}">
      <dgm:prSet/>
      <dgm:spPr/>
      <dgm:t>
        <a:bodyPr/>
        <a:lstStyle/>
        <a:p>
          <a:endParaRPr lang="en-US"/>
        </a:p>
      </dgm:t>
    </dgm:pt>
    <dgm:pt modelId="{817AAD11-541C-8040-B8E6-60D63F44FF6E}">
      <dgm:prSet phldrT="[Text]"/>
      <dgm:spPr/>
      <dgm:t>
        <a:bodyPr/>
        <a:lstStyle/>
        <a:p>
          <a:r>
            <a:rPr lang="en-US"/>
            <a:t>Quantitative and qualitative data collection and analysis </a:t>
          </a:r>
        </a:p>
      </dgm:t>
    </dgm:pt>
    <dgm:pt modelId="{820D5C7D-3565-B841-B802-D79FD186F3F0}" type="parTrans" cxnId="{C2637380-4378-9541-964A-D6E21D69FAFC}">
      <dgm:prSet/>
      <dgm:spPr/>
      <dgm:t>
        <a:bodyPr/>
        <a:lstStyle/>
        <a:p>
          <a:endParaRPr lang="en-US"/>
        </a:p>
      </dgm:t>
    </dgm:pt>
    <dgm:pt modelId="{DBDC58F4-53C2-3143-8B2E-16E385E444FB}" type="sibTrans" cxnId="{C2637380-4378-9541-964A-D6E21D69FAFC}">
      <dgm:prSet/>
      <dgm:spPr/>
      <dgm:t>
        <a:bodyPr/>
        <a:lstStyle/>
        <a:p>
          <a:endParaRPr lang="en-US"/>
        </a:p>
      </dgm:t>
    </dgm:pt>
    <dgm:pt modelId="{EEF349EC-A16C-6E4F-8464-6BD71940F70C}">
      <dgm:prSet phldrT="[Text]"/>
      <dgm:spPr/>
      <dgm:t>
        <a:bodyPr/>
        <a:lstStyle/>
        <a:p>
          <a:r>
            <a:rPr lang="en-US"/>
            <a:t>Results</a:t>
          </a:r>
        </a:p>
      </dgm:t>
    </dgm:pt>
    <dgm:pt modelId="{4EF4EBD5-8084-7D4A-BB5E-4EF2C5C94F99}" type="parTrans" cxnId="{EBCA7454-0A4D-574C-AF9E-ACF2192F6A69}">
      <dgm:prSet/>
      <dgm:spPr/>
      <dgm:t>
        <a:bodyPr/>
        <a:lstStyle/>
        <a:p>
          <a:endParaRPr lang="en-US"/>
        </a:p>
      </dgm:t>
    </dgm:pt>
    <dgm:pt modelId="{A325D897-3CF3-2444-BCE0-FB27A2B93D02}" type="sibTrans" cxnId="{EBCA7454-0A4D-574C-AF9E-ACF2192F6A69}">
      <dgm:prSet/>
      <dgm:spPr/>
      <dgm:t>
        <a:bodyPr/>
        <a:lstStyle/>
        <a:p>
          <a:endParaRPr lang="en-US"/>
        </a:p>
      </dgm:t>
    </dgm:pt>
    <dgm:pt modelId="{0B5EEED9-AADF-5646-A4EE-16C7E3C5048F}">
      <dgm:prSet phldrT="[Text]"/>
      <dgm:spPr/>
      <dgm:t>
        <a:bodyPr/>
        <a:lstStyle/>
        <a:p>
          <a:r>
            <a:rPr lang="en-US"/>
            <a:t>Conceptual framework, conclusions</a:t>
          </a:r>
        </a:p>
      </dgm:t>
    </dgm:pt>
    <dgm:pt modelId="{5F63AFFB-8796-8145-8196-16BA65A8913E}" type="parTrans" cxnId="{9737A014-77AA-2343-9EF8-1AB62E400960}">
      <dgm:prSet/>
      <dgm:spPr/>
      <dgm:t>
        <a:bodyPr/>
        <a:lstStyle/>
        <a:p>
          <a:endParaRPr lang="en-US"/>
        </a:p>
      </dgm:t>
    </dgm:pt>
    <dgm:pt modelId="{6369732A-4608-D04B-9932-9F2E14769A9F}" type="sibTrans" cxnId="{9737A014-77AA-2343-9EF8-1AB62E400960}">
      <dgm:prSet/>
      <dgm:spPr/>
      <dgm:t>
        <a:bodyPr/>
        <a:lstStyle/>
        <a:p>
          <a:endParaRPr lang="en-US"/>
        </a:p>
      </dgm:t>
    </dgm:pt>
    <dgm:pt modelId="{182D19B6-9968-F54C-9803-98CF32A9110D}">
      <dgm:prSet phldrT="[Text]"/>
      <dgm:spPr/>
      <dgm:t>
        <a:bodyPr/>
        <a:lstStyle/>
        <a:p>
          <a:r>
            <a:rPr lang="en-US"/>
            <a:t>9: Discussion</a:t>
          </a:r>
        </a:p>
      </dgm:t>
    </dgm:pt>
    <dgm:pt modelId="{19120E65-5B26-BC4A-9EFF-5512A25AEB14}" type="parTrans" cxnId="{425A741B-9872-3A46-B4DA-D764BFE4CD8B}">
      <dgm:prSet/>
      <dgm:spPr/>
      <dgm:t>
        <a:bodyPr/>
        <a:lstStyle/>
        <a:p>
          <a:endParaRPr lang="en-US"/>
        </a:p>
      </dgm:t>
    </dgm:pt>
    <dgm:pt modelId="{259ED567-5FE2-2F45-B806-60F8702E00F5}" type="sibTrans" cxnId="{425A741B-9872-3A46-B4DA-D764BFE4CD8B}">
      <dgm:prSet/>
      <dgm:spPr/>
      <dgm:t>
        <a:bodyPr/>
        <a:lstStyle/>
        <a:p>
          <a:endParaRPr lang="en-US"/>
        </a:p>
      </dgm:t>
    </dgm:pt>
    <dgm:pt modelId="{3528BF8B-944A-1B4D-ADBB-12D941C8C388}">
      <dgm:prSet phldrT="[Text]"/>
      <dgm:spPr/>
      <dgm:t>
        <a:bodyPr/>
        <a:lstStyle/>
        <a:p>
          <a:r>
            <a:rPr lang="en-US"/>
            <a:t>Preparedness for practice</a:t>
          </a:r>
        </a:p>
      </dgm:t>
    </dgm:pt>
    <dgm:pt modelId="{E619BAB6-C4C5-8E49-9DEF-480C3F5477B3}" type="parTrans" cxnId="{9B6F1EC6-DFD4-954B-8D24-B930BAEEDB14}">
      <dgm:prSet/>
      <dgm:spPr/>
      <dgm:t>
        <a:bodyPr/>
        <a:lstStyle/>
        <a:p>
          <a:endParaRPr lang="en-US"/>
        </a:p>
      </dgm:t>
    </dgm:pt>
    <dgm:pt modelId="{9ADC1877-CA39-8F4C-8B1D-032CCA11697E}" type="sibTrans" cxnId="{9B6F1EC6-DFD4-954B-8D24-B930BAEEDB14}">
      <dgm:prSet/>
      <dgm:spPr/>
      <dgm:t>
        <a:bodyPr/>
        <a:lstStyle/>
        <a:p>
          <a:endParaRPr lang="en-US"/>
        </a:p>
      </dgm:t>
    </dgm:pt>
    <dgm:pt modelId="{318E09D1-A59D-2E4B-A3CC-C2FF16965C43}">
      <dgm:prSet phldrT="[Text]"/>
      <dgm:spPr/>
      <dgm:t>
        <a:bodyPr/>
        <a:lstStyle/>
        <a:p>
          <a:r>
            <a:rPr lang="en-US"/>
            <a:t>Added value of simulation</a:t>
          </a:r>
        </a:p>
      </dgm:t>
    </dgm:pt>
    <dgm:pt modelId="{692F5075-8AA7-1545-9821-5B796547FE98}" type="parTrans" cxnId="{E2F329CF-5D02-3241-B348-50CB30650C25}">
      <dgm:prSet/>
      <dgm:spPr/>
      <dgm:t>
        <a:bodyPr/>
        <a:lstStyle/>
        <a:p>
          <a:endParaRPr lang="en-US"/>
        </a:p>
      </dgm:t>
    </dgm:pt>
    <dgm:pt modelId="{C3BC74F0-F4E6-BD4C-8197-893C2058CDAE}" type="sibTrans" cxnId="{E2F329CF-5D02-3241-B348-50CB30650C25}">
      <dgm:prSet/>
      <dgm:spPr/>
      <dgm:t>
        <a:bodyPr/>
        <a:lstStyle/>
        <a:p>
          <a:endParaRPr lang="en-US"/>
        </a:p>
      </dgm:t>
    </dgm:pt>
    <dgm:pt modelId="{18ABC2A5-DCE7-414C-AE08-6EAE4EA2FE6D}">
      <dgm:prSet phldrT="[Text]"/>
      <dgm:spPr/>
      <dgm:t>
        <a:bodyPr/>
        <a:lstStyle/>
        <a:p>
          <a:r>
            <a:rPr lang="en-US"/>
            <a:t>Clinical cognitive competence</a:t>
          </a:r>
        </a:p>
      </dgm:t>
    </dgm:pt>
    <dgm:pt modelId="{2CBEFDE5-1F77-C943-9836-6D61BE9C3A1C}" type="parTrans" cxnId="{2172623F-F4E9-EE4A-AF6C-C36278BBAEBE}">
      <dgm:prSet/>
      <dgm:spPr/>
      <dgm:t>
        <a:bodyPr/>
        <a:lstStyle/>
        <a:p>
          <a:endParaRPr lang="en-US"/>
        </a:p>
      </dgm:t>
    </dgm:pt>
    <dgm:pt modelId="{B4027045-AE26-254D-9017-FCC4675963BB}" type="sibTrans" cxnId="{2172623F-F4E9-EE4A-AF6C-C36278BBAEBE}">
      <dgm:prSet/>
      <dgm:spPr/>
      <dgm:t>
        <a:bodyPr/>
        <a:lstStyle/>
        <a:p>
          <a:endParaRPr lang="en-US"/>
        </a:p>
      </dgm:t>
    </dgm:pt>
    <dgm:pt modelId="{B81682CE-3DAA-7547-977E-5CA5485D7B79}">
      <dgm:prSet phldrT="[Text]"/>
      <dgm:spPr/>
      <dgm:t>
        <a:bodyPr/>
        <a:lstStyle/>
        <a:p>
          <a:r>
            <a:rPr lang="en-US"/>
            <a:t>Clinical skills trajectory: Basics to mastery</a:t>
          </a:r>
        </a:p>
      </dgm:t>
    </dgm:pt>
    <dgm:pt modelId="{11FF31C8-A85E-CB49-9452-590D5937DA22}" type="parTrans" cxnId="{76D4D8C4-55F3-4541-B9CB-88561A414A39}">
      <dgm:prSet/>
      <dgm:spPr/>
      <dgm:t>
        <a:bodyPr/>
        <a:lstStyle/>
        <a:p>
          <a:endParaRPr lang="en-US"/>
        </a:p>
      </dgm:t>
    </dgm:pt>
    <dgm:pt modelId="{9720E4B0-A7C0-B240-8842-E2C6DE335065}" type="sibTrans" cxnId="{76D4D8C4-55F3-4541-B9CB-88561A414A39}">
      <dgm:prSet/>
      <dgm:spPr/>
      <dgm:t>
        <a:bodyPr/>
        <a:lstStyle/>
        <a:p>
          <a:endParaRPr lang="en-US"/>
        </a:p>
      </dgm:t>
    </dgm:pt>
    <dgm:pt modelId="{E8835EC0-86EE-3540-9564-983F3D69B9B0}">
      <dgm:prSet phldrT="[Text]"/>
      <dgm:spPr/>
      <dgm:t>
        <a:bodyPr/>
        <a:lstStyle/>
        <a:p>
          <a:r>
            <a:rPr lang="en-US"/>
            <a:t>Best practice guidance SBME</a:t>
          </a:r>
        </a:p>
      </dgm:t>
    </dgm:pt>
    <dgm:pt modelId="{3507EF78-030C-2546-8CBB-075D7261FCDE}" type="parTrans" cxnId="{AC9D8B35-3E35-964E-B49F-8C40FB3AF24D}">
      <dgm:prSet/>
      <dgm:spPr/>
      <dgm:t>
        <a:bodyPr/>
        <a:lstStyle/>
        <a:p>
          <a:endParaRPr lang="en-US"/>
        </a:p>
      </dgm:t>
    </dgm:pt>
    <dgm:pt modelId="{7BBE6FC9-195F-5E44-BEAA-03BE4D719D22}" type="sibTrans" cxnId="{AC9D8B35-3E35-964E-B49F-8C40FB3AF24D}">
      <dgm:prSet/>
      <dgm:spPr/>
      <dgm:t>
        <a:bodyPr/>
        <a:lstStyle/>
        <a:p>
          <a:endParaRPr lang="en-US"/>
        </a:p>
      </dgm:t>
    </dgm:pt>
    <dgm:pt modelId="{A8C6C2DC-42DC-4841-8B38-6F4C4E8905E8}">
      <dgm:prSet phldrT="[Text]"/>
      <dgm:spPr/>
      <dgm:t>
        <a:bodyPr/>
        <a:lstStyle/>
        <a:p>
          <a:r>
            <a:rPr lang="en-US"/>
            <a:t>10: Conclusions</a:t>
          </a:r>
        </a:p>
      </dgm:t>
    </dgm:pt>
    <dgm:pt modelId="{8A5F89D1-42B4-1148-8907-D7CC48A00BFD}" type="parTrans" cxnId="{598240F5-F87C-AE44-8986-2C05586D89F8}">
      <dgm:prSet/>
      <dgm:spPr/>
      <dgm:t>
        <a:bodyPr/>
        <a:lstStyle/>
        <a:p>
          <a:endParaRPr lang="en-US"/>
        </a:p>
      </dgm:t>
    </dgm:pt>
    <dgm:pt modelId="{9073B681-2853-EB4F-BA4E-A12B1C47BB5F}" type="sibTrans" cxnId="{598240F5-F87C-AE44-8986-2C05586D89F8}">
      <dgm:prSet/>
      <dgm:spPr/>
      <dgm:t>
        <a:bodyPr/>
        <a:lstStyle/>
        <a:p>
          <a:endParaRPr lang="en-US"/>
        </a:p>
      </dgm:t>
    </dgm:pt>
    <dgm:pt modelId="{5EFAD456-F8B8-C147-9A38-D366892E8D90}">
      <dgm:prSet phldrT="[Text]"/>
      <dgm:spPr/>
      <dgm:t>
        <a:bodyPr/>
        <a:lstStyle/>
        <a:p>
          <a:r>
            <a:rPr lang="en-US"/>
            <a:t>11: Recommendations for future work</a:t>
          </a:r>
        </a:p>
      </dgm:t>
    </dgm:pt>
    <dgm:pt modelId="{AEC4A29C-080E-714E-8C55-A165817C6F84}" type="parTrans" cxnId="{7CCA3577-052A-E54E-8A65-B79C9D3D7282}">
      <dgm:prSet/>
      <dgm:spPr/>
      <dgm:t>
        <a:bodyPr/>
        <a:lstStyle/>
        <a:p>
          <a:endParaRPr lang="en-US"/>
        </a:p>
      </dgm:t>
    </dgm:pt>
    <dgm:pt modelId="{69AAF0EB-9438-D048-8CCB-3ADC0E6ED07B}" type="sibTrans" cxnId="{7CCA3577-052A-E54E-8A65-B79C9D3D7282}">
      <dgm:prSet/>
      <dgm:spPr/>
      <dgm:t>
        <a:bodyPr/>
        <a:lstStyle/>
        <a:p>
          <a:endParaRPr lang="en-US"/>
        </a:p>
      </dgm:t>
    </dgm:pt>
    <dgm:pt modelId="{46C87E74-5E28-8C46-86B1-98C82A55CBAE}">
      <dgm:prSet phldrT="[Text]"/>
      <dgm:spPr/>
      <dgm:t>
        <a:bodyPr/>
        <a:lstStyle/>
        <a:p>
          <a:r>
            <a:rPr lang="en-US"/>
            <a:t>Bibliography</a:t>
          </a:r>
        </a:p>
      </dgm:t>
    </dgm:pt>
    <dgm:pt modelId="{2A9B7400-96EA-AD40-9D11-2744CE1FE9E5}" type="parTrans" cxnId="{C2A5ACA1-F1A9-1347-BEAB-34809B48CF85}">
      <dgm:prSet/>
      <dgm:spPr/>
      <dgm:t>
        <a:bodyPr/>
        <a:lstStyle/>
        <a:p>
          <a:endParaRPr lang="en-US"/>
        </a:p>
      </dgm:t>
    </dgm:pt>
    <dgm:pt modelId="{04801474-7BFD-AC4B-9CCF-28521DEC6DB6}" type="sibTrans" cxnId="{C2A5ACA1-F1A9-1347-BEAB-34809B48CF85}">
      <dgm:prSet/>
      <dgm:spPr/>
      <dgm:t>
        <a:bodyPr/>
        <a:lstStyle/>
        <a:p>
          <a:endParaRPr lang="en-US"/>
        </a:p>
      </dgm:t>
    </dgm:pt>
    <dgm:pt modelId="{1EC7AB78-D724-324B-BD90-FC58EF6E0357}">
      <dgm:prSet phldrT="[Text]"/>
      <dgm:spPr/>
      <dgm:t>
        <a:bodyPr/>
        <a:lstStyle/>
        <a:p>
          <a:r>
            <a:rPr lang="en-US"/>
            <a:t>Appendicies</a:t>
          </a:r>
        </a:p>
      </dgm:t>
    </dgm:pt>
    <dgm:pt modelId="{D362144C-27C6-E04C-85E7-ABD569DB16DE}" type="parTrans" cxnId="{160A5C8B-BBF3-8D4B-8E6F-BB3F3D04A27D}">
      <dgm:prSet/>
      <dgm:spPr/>
      <dgm:t>
        <a:bodyPr/>
        <a:lstStyle/>
        <a:p>
          <a:endParaRPr lang="en-US"/>
        </a:p>
      </dgm:t>
    </dgm:pt>
    <dgm:pt modelId="{89B2828F-B5A3-B546-A70B-38B01D72B154}" type="sibTrans" cxnId="{160A5C8B-BBF3-8D4B-8E6F-BB3F3D04A27D}">
      <dgm:prSet/>
      <dgm:spPr/>
      <dgm:t>
        <a:bodyPr/>
        <a:lstStyle/>
        <a:p>
          <a:endParaRPr lang="en-US"/>
        </a:p>
      </dgm:t>
    </dgm:pt>
    <dgm:pt modelId="{2D2AF18A-8B4F-6F43-ABC1-76E3735A0A2A}">
      <dgm:prSet phldrT="[Text]"/>
      <dgm:spPr/>
      <dgm:t>
        <a:bodyPr/>
        <a:lstStyle/>
        <a:p>
          <a:r>
            <a:rPr lang="en-US"/>
            <a:t>Added value of SBME</a:t>
          </a:r>
        </a:p>
      </dgm:t>
    </dgm:pt>
    <dgm:pt modelId="{14C3F0A1-37D9-724D-A3BE-E7F45324C901}" type="parTrans" cxnId="{090807A4-EEFC-884E-80DE-B1980B96DA89}">
      <dgm:prSet/>
      <dgm:spPr/>
      <dgm:t>
        <a:bodyPr/>
        <a:lstStyle/>
        <a:p>
          <a:endParaRPr lang="en-US"/>
        </a:p>
      </dgm:t>
    </dgm:pt>
    <dgm:pt modelId="{995A59B2-35B0-4D4A-B074-6B3BA9DA6A61}" type="sibTrans" cxnId="{090807A4-EEFC-884E-80DE-B1980B96DA89}">
      <dgm:prSet/>
      <dgm:spPr/>
      <dgm:t>
        <a:bodyPr/>
        <a:lstStyle/>
        <a:p>
          <a:endParaRPr lang="en-US"/>
        </a:p>
      </dgm:t>
    </dgm:pt>
    <dgm:pt modelId="{387817B1-B48E-804E-9741-307C0F8B2DA9}">
      <dgm:prSet phldrT="[Text]"/>
      <dgm:spPr/>
      <dgm:t>
        <a:bodyPr/>
        <a:lstStyle/>
        <a:p>
          <a:r>
            <a:rPr lang="en-US"/>
            <a:t>Educational theory that underpins</a:t>
          </a:r>
        </a:p>
      </dgm:t>
    </dgm:pt>
    <dgm:pt modelId="{D94773E4-7F82-0F47-985A-8F598D82ADFE}" type="parTrans" cxnId="{9D58D9AA-8A9F-7344-B079-96A6F3E9EE0D}">
      <dgm:prSet/>
      <dgm:spPr/>
      <dgm:t>
        <a:bodyPr/>
        <a:lstStyle/>
        <a:p>
          <a:endParaRPr lang="en-US"/>
        </a:p>
      </dgm:t>
    </dgm:pt>
    <dgm:pt modelId="{5A610308-D14F-784F-92CA-466500C5E6DC}" type="sibTrans" cxnId="{9D58D9AA-8A9F-7344-B079-96A6F3E9EE0D}">
      <dgm:prSet/>
      <dgm:spPr/>
      <dgm:t>
        <a:bodyPr/>
        <a:lstStyle/>
        <a:p>
          <a:endParaRPr lang="en-US"/>
        </a:p>
      </dgm:t>
    </dgm:pt>
    <dgm:pt modelId="{EE4687FF-DC98-3D4A-8B1D-75DD628798CF}">
      <dgm:prSet phldrT="[Text]"/>
      <dgm:spPr/>
      <dgm:t>
        <a:bodyPr/>
        <a:lstStyle/>
        <a:p>
          <a:r>
            <a:rPr lang="en-US"/>
            <a:t>Wider application of research - lessons </a:t>
          </a:r>
        </a:p>
      </dgm:t>
    </dgm:pt>
    <dgm:pt modelId="{EF50026A-DD1B-0E4E-B9CD-D2642DD4CB15}" type="parTrans" cxnId="{B02852FD-4758-B749-AC5D-FB4340CA7163}">
      <dgm:prSet/>
      <dgm:spPr/>
      <dgm:t>
        <a:bodyPr/>
        <a:lstStyle/>
        <a:p>
          <a:endParaRPr lang="en-US"/>
        </a:p>
      </dgm:t>
    </dgm:pt>
    <dgm:pt modelId="{D890892B-FF11-CB4A-BA7B-86EF3BCF1799}" type="sibTrans" cxnId="{B02852FD-4758-B749-AC5D-FB4340CA7163}">
      <dgm:prSet/>
      <dgm:spPr/>
      <dgm:t>
        <a:bodyPr/>
        <a:lstStyle/>
        <a:p>
          <a:endParaRPr lang="en-US"/>
        </a:p>
      </dgm:t>
    </dgm:pt>
    <dgm:pt modelId="{E6055D9E-1DDE-A243-A8F6-5CDF160A3724}">
      <dgm:prSet phldrT="[Text]"/>
      <dgm:spPr/>
      <dgm:t>
        <a:bodyPr/>
        <a:lstStyle/>
        <a:p>
          <a:r>
            <a:rPr lang="en-US"/>
            <a:t>Resilience</a:t>
          </a:r>
        </a:p>
      </dgm:t>
    </dgm:pt>
    <dgm:pt modelId="{0B1DC3A5-5264-CD49-8D31-3B1A5E86C1C7}" type="parTrans" cxnId="{4EDB36F2-7415-C240-ACB0-5373C67912E9}">
      <dgm:prSet/>
      <dgm:spPr/>
      <dgm:t>
        <a:bodyPr/>
        <a:lstStyle/>
        <a:p>
          <a:endParaRPr lang="en-US"/>
        </a:p>
      </dgm:t>
    </dgm:pt>
    <dgm:pt modelId="{6C856E09-93CE-D348-B575-16FE79947A8D}" type="sibTrans" cxnId="{4EDB36F2-7415-C240-ACB0-5373C67912E9}">
      <dgm:prSet/>
      <dgm:spPr/>
      <dgm:t>
        <a:bodyPr/>
        <a:lstStyle/>
        <a:p>
          <a:endParaRPr lang="en-US"/>
        </a:p>
      </dgm:t>
    </dgm:pt>
    <dgm:pt modelId="{DC62B450-8998-4C4E-A519-CD3A98B52909}">
      <dgm:prSet phldrT="[Text]"/>
      <dgm:spPr/>
      <dgm:t>
        <a:bodyPr/>
        <a:lstStyle/>
        <a:p>
          <a:r>
            <a:rPr lang="en-US"/>
            <a:t>Responsibility</a:t>
          </a:r>
        </a:p>
      </dgm:t>
    </dgm:pt>
    <dgm:pt modelId="{22395226-A40C-9740-BFE3-AA316E39EC0E}" type="parTrans" cxnId="{C798DC95-AE66-BC4B-A96E-E2D0F5DF53E2}">
      <dgm:prSet/>
      <dgm:spPr/>
      <dgm:t>
        <a:bodyPr/>
        <a:lstStyle/>
        <a:p>
          <a:endParaRPr lang="en-US"/>
        </a:p>
      </dgm:t>
    </dgm:pt>
    <dgm:pt modelId="{698826FF-8DC2-8446-AE75-E70773E6EDBD}" type="sibTrans" cxnId="{C798DC95-AE66-BC4B-A96E-E2D0F5DF53E2}">
      <dgm:prSet/>
      <dgm:spPr/>
      <dgm:t>
        <a:bodyPr/>
        <a:lstStyle/>
        <a:p>
          <a:endParaRPr lang="en-US"/>
        </a:p>
      </dgm:t>
    </dgm:pt>
    <dgm:pt modelId="{5029DC4A-46C1-164D-943A-EDBD3AB5396E}">
      <dgm:prSet phldrT="[Text]"/>
      <dgm:spPr/>
      <dgm:t>
        <a:bodyPr/>
        <a:lstStyle/>
        <a:p>
          <a:r>
            <a:rPr lang="en-US"/>
            <a:t>Simulation for assessment</a:t>
          </a:r>
        </a:p>
      </dgm:t>
    </dgm:pt>
    <dgm:pt modelId="{EF8839D7-0901-F540-A591-17FBE1DC75CA}" type="parTrans" cxnId="{CB1FE998-18B5-8946-A73B-B5AE1868B2E8}">
      <dgm:prSet/>
      <dgm:spPr/>
      <dgm:t>
        <a:bodyPr/>
        <a:lstStyle/>
        <a:p>
          <a:endParaRPr lang="en-US"/>
        </a:p>
      </dgm:t>
    </dgm:pt>
    <dgm:pt modelId="{685BC812-52FD-FF45-A9B6-2DAA669E718F}" type="sibTrans" cxnId="{CB1FE998-18B5-8946-A73B-B5AE1868B2E8}">
      <dgm:prSet/>
      <dgm:spPr/>
      <dgm:t>
        <a:bodyPr/>
        <a:lstStyle/>
        <a:p>
          <a:endParaRPr lang="en-US"/>
        </a:p>
      </dgm:t>
    </dgm:pt>
    <dgm:pt modelId="{0F9C65F6-CCEA-3241-B7E6-4560A768ECFA}">
      <dgm:prSet phldrT="[Text]"/>
      <dgm:spPr/>
      <dgm:t>
        <a:bodyPr/>
        <a:lstStyle/>
        <a:p>
          <a:r>
            <a:rPr lang="en-US"/>
            <a:t>8: Triangulation</a:t>
          </a:r>
        </a:p>
      </dgm:t>
    </dgm:pt>
    <dgm:pt modelId="{0684C0A0-5B7A-E44A-B1E4-1C8A41513A57}" type="parTrans" cxnId="{81805C7F-00D9-E646-AB4F-CA6E682141DB}">
      <dgm:prSet/>
      <dgm:spPr/>
      <dgm:t>
        <a:bodyPr/>
        <a:lstStyle/>
        <a:p>
          <a:endParaRPr lang="en-US"/>
        </a:p>
      </dgm:t>
    </dgm:pt>
    <dgm:pt modelId="{B08EC684-307D-8540-819E-6D1FB57442E6}" type="sibTrans" cxnId="{81805C7F-00D9-E646-AB4F-CA6E682141DB}">
      <dgm:prSet/>
      <dgm:spPr/>
      <dgm:t>
        <a:bodyPr/>
        <a:lstStyle/>
        <a:p>
          <a:endParaRPr lang="en-US"/>
        </a:p>
      </dgm:t>
    </dgm:pt>
    <dgm:pt modelId="{DDB27B24-50BA-ED48-8BE9-4C29E6B83259}" type="pres">
      <dgm:prSet presAssocID="{32BD5717-A9E6-DD44-A13C-12122D41F212}" presName="linearFlow" presStyleCnt="0">
        <dgm:presLayoutVars>
          <dgm:dir/>
          <dgm:animLvl val="lvl"/>
          <dgm:resizeHandles val="exact"/>
        </dgm:presLayoutVars>
      </dgm:prSet>
      <dgm:spPr/>
    </dgm:pt>
    <dgm:pt modelId="{B4D05EFA-2710-E24E-95A8-E5ADA436F1BA}" type="pres">
      <dgm:prSet presAssocID="{718C1A72-EF39-DD4E-BFDE-F45DD7D520FB}" presName="composite" presStyleCnt="0"/>
      <dgm:spPr/>
    </dgm:pt>
    <dgm:pt modelId="{B3EE9CE6-0ABB-F14B-8299-D4BFC2EC579D}" type="pres">
      <dgm:prSet presAssocID="{718C1A72-EF39-DD4E-BFDE-F45DD7D520FB}" presName="parentText" presStyleLbl="alignNode1" presStyleIdx="0" presStyleCnt="13">
        <dgm:presLayoutVars>
          <dgm:chMax val="1"/>
          <dgm:bulletEnabled val="1"/>
        </dgm:presLayoutVars>
      </dgm:prSet>
      <dgm:spPr/>
    </dgm:pt>
    <dgm:pt modelId="{28826DD3-E030-6044-B2F2-D85EF85F6960}" type="pres">
      <dgm:prSet presAssocID="{718C1A72-EF39-DD4E-BFDE-F45DD7D520FB}" presName="descendantText" presStyleLbl="alignAcc1" presStyleIdx="0" presStyleCnt="13">
        <dgm:presLayoutVars>
          <dgm:bulletEnabled val="1"/>
        </dgm:presLayoutVars>
      </dgm:prSet>
      <dgm:spPr/>
    </dgm:pt>
    <dgm:pt modelId="{585C7840-A253-9640-BBF2-282E7F35583D}" type="pres">
      <dgm:prSet presAssocID="{319DF0AF-755D-0746-AAC7-5D8347B59181}" presName="sp" presStyleCnt="0"/>
      <dgm:spPr/>
    </dgm:pt>
    <dgm:pt modelId="{725C6BB0-2454-F04B-AEC7-CF75FCBB3A74}" type="pres">
      <dgm:prSet presAssocID="{332543FB-BB1C-DE43-B140-C2BB789BBCB2}" presName="composite" presStyleCnt="0"/>
      <dgm:spPr/>
    </dgm:pt>
    <dgm:pt modelId="{B422BFF3-8BFD-2144-8980-375702EA9496}" type="pres">
      <dgm:prSet presAssocID="{332543FB-BB1C-DE43-B140-C2BB789BBCB2}" presName="parentText" presStyleLbl="alignNode1" presStyleIdx="1" presStyleCnt="13">
        <dgm:presLayoutVars>
          <dgm:chMax val="1"/>
          <dgm:bulletEnabled val="1"/>
        </dgm:presLayoutVars>
      </dgm:prSet>
      <dgm:spPr/>
    </dgm:pt>
    <dgm:pt modelId="{8BDAA81E-2E4E-9C4A-9A67-4855D9BA1510}" type="pres">
      <dgm:prSet presAssocID="{332543FB-BB1C-DE43-B140-C2BB789BBCB2}" presName="descendantText" presStyleLbl="alignAcc1" presStyleIdx="1" presStyleCnt="13">
        <dgm:presLayoutVars>
          <dgm:bulletEnabled val="1"/>
        </dgm:presLayoutVars>
      </dgm:prSet>
      <dgm:spPr/>
    </dgm:pt>
    <dgm:pt modelId="{D756A8C3-50EB-084A-8277-DD5831B4E8C7}" type="pres">
      <dgm:prSet presAssocID="{9F0DECA5-F8B9-2F49-B9A7-32EB3AD7D8C5}" presName="sp" presStyleCnt="0"/>
      <dgm:spPr/>
    </dgm:pt>
    <dgm:pt modelId="{D669929D-DE6F-0D40-8D4A-1736805AD131}" type="pres">
      <dgm:prSet presAssocID="{8A942072-3D9B-2043-8B2E-11E707170D7E}" presName="composite" presStyleCnt="0"/>
      <dgm:spPr/>
    </dgm:pt>
    <dgm:pt modelId="{A0202F08-BEC9-8F43-8711-F30ADE817D18}" type="pres">
      <dgm:prSet presAssocID="{8A942072-3D9B-2043-8B2E-11E707170D7E}" presName="parentText" presStyleLbl="alignNode1" presStyleIdx="2" presStyleCnt="13">
        <dgm:presLayoutVars>
          <dgm:chMax val="1"/>
          <dgm:bulletEnabled val="1"/>
        </dgm:presLayoutVars>
      </dgm:prSet>
      <dgm:spPr/>
    </dgm:pt>
    <dgm:pt modelId="{06B263AD-CC10-0D49-8145-0C283F585CD5}" type="pres">
      <dgm:prSet presAssocID="{8A942072-3D9B-2043-8B2E-11E707170D7E}" presName="descendantText" presStyleLbl="alignAcc1" presStyleIdx="2" presStyleCnt="13">
        <dgm:presLayoutVars>
          <dgm:bulletEnabled val="1"/>
        </dgm:presLayoutVars>
      </dgm:prSet>
      <dgm:spPr/>
    </dgm:pt>
    <dgm:pt modelId="{B5F0F139-C5B5-F942-A092-8BB086CFFEFA}" type="pres">
      <dgm:prSet presAssocID="{393ABEA7-D1FC-994A-9DCC-A33FEBFF19A8}" presName="sp" presStyleCnt="0"/>
      <dgm:spPr/>
    </dgm:pt>
    <dgm:pt modelId="{A6A53311-4EDF-944C-B7A8-A929BD874343}" type="pres">
      <dgm:prSet presAssocID="{82A06431-B147-914D-A7EE-B91B75443203}" presName="composite" presStyleCnt="0"/>
      <dgm:spPr/>
    </dgm:pt>
    <dgm:pt modelId="{31EA3204-EDC1-4F43-84C9-41DE884256E5}" type="pres">
      <dgm:prSet presAssocID="{82A06431-B147-914D-A7EE-B91B75443203}" presName="parentText" presStyleLbl="alignNode1" presStyleIdx="3" presStyleCnt="13">
        <dgm:presLayoutVars>
          <dgm:chMax val="1"/>
          <dgm:bulletEnabled val="1"/>
        </dgm:presLayoutVars>
      </dgm:prSet>
      <dgm:spPr/>
    </dgm:pt>
    <dgm:pt modelId="{9D5418D3-F08D-8545-87B2-2FD7B1D1031E}" type="pres">
      <dgm:prSet presAssocID="{82A06431-B147-914D-A7EE-B91B75443203}" presName="descendantText" presStyleLbl="alignAcc1" presStyleIdx="3" presStyleCnt="13">
        <dgm:presLayoutVars>
          <dgm:bulletEnabled val="1"/>
        </dgm:presLayoutVars>
      </dgm:prSet>
      <dgm:spPr/>
    </dgm:pt>
    <dgm:pt modelId="{BD082DD2-36A2-F841-B83C-3B9BAF4B2B5C}" type="pres">
      <dgm:prSet presAssocID="{2927117D-194C-1341-932F-5623EB513890}" presName="sp" presStyleCnt="0"/>
      <dgm:spPr/>
    </dgm:pt>
    <dgm:pt modelId="{C371305F-B72D-3C44-BB22-E50B26871DA6}" type="pres">
      <dgm:prSet presAssocID="{93105CB4-0286-ED4F-915C-092EF42A9691}" presName="composite" presStyleCnt="0"/>
      <dgm:spPr/>
    </dgm:pt>
    <dgm:pt modelId="{CCC28DE8-0568-7547-9A1F-3C6F0F33A2CF}" type="pres">
      <dgm:prSet presAssocID="{93105CB4-0286-ED4F-915C-092EF42A9691}" presName="parentText" presStyleLbl="alignNode1" presStyleIdx="4" presStyleCnt="13">
        <dgm:presLayoutVars>
          <dgm:chMax val="1"/>
          <dgm:bulletEnabled val="1"/>
        </dgm:presLayoutVars>
      </dgm:prSet>
      <dgm:spPr/>
    </dgm:pt>
    <dgm:pt modelId="{F1EE7E3F-25DA-8041-85A7-EBBF11BC4C56}" type="pres">
      <dgm:prSet presAssocID="{93105CB4-0286-ED4F-915C-092EF42A9691}" presName="descendantText" presStyleLbl="alignAcc1" presStyleIdx="4" presStyleCnt="13">
        <dgm:presLayoutVars>
          <dgm:bulletEnabled val="1"/>
        </dgm:presLayoutVars>
      </dgm:prSet>
      <dgm:spPr/>
    </dgm:pt>
    <dgm:pt modelId="{2C8A0FE6-3CCD-674F-87D7-C945364C8330}" type="pres">
      <dgm:prSet presAssocID="{72453AAB-5C0D-2D49-B812-AF99508E8E00}" presName="sp" presStyleCnt="0"/>
      <dgm:spPr/>
    </dgm:pt>
    <dgm:pt modelId="{C8A774E9-C669-9C42-8FD8-567A31043E1A}" type="pres">
      <dgm:prSet presAssocID="{AB849386-BBEF-244B-A2A1-1BE27622D72F}" presName="composite" presStyleCnt="0"/>
      <dgm:spPr/>
    </dgm:pt>
    <dgm:pt modelId="{844AC346-AEB9-A649-8C9D-DBF2769C8FFC}" type="pres">
      <dgm:prSet presAssocID="{AB849386-BBEF-244B-A2A1-1BE27622D72F}" presName="parentText" presStyleLbl="alignNode1" presStyleIdx="5" presStyleCnt="13">
        <dgm:presLayoutVars>
          <dgm:chMax val="1"/>
          <dgm:bulletEnabled val="1"/>
        </dgm:presLayoutVars>
      </dgm:prSet>
      <dgm:spPr/>
    </dgm:pt>
    <dgm:pt modelId="{C80BEB0B-E1AB-4443-9F91-9D6894D7833E}" type="pres">
      <dgm:prSet presAssocID="{AB849386-BBEF-244B-A2A1-1BE27622D72F}" presName="descendantText" presStyleLbl="alignAcc1" presStyleIdx="5" presStyleCnt="13">
        <dgm:presLayoutVars>
          <dgm:bulletEnabled val="1"/>
        </dgm:presLayoutVars>
      </dgm:prSet>
      <dgm:spPr/>
    </dgm:pt>
    <dgm:pt modelId="{59BB4FCD-F10D-9947-BE1C-B71549A60A1E}" type="pres">
      <dgm:prSet presAssocID="{C3910501-0EE6-C14B-801E-3128A43B34A7}" presName="sp" presStyleCnt="0"/>
      <dgm:spPr/>
    </dgm:pt>
    <dgm:pt modelId="{9EA93BB1-069D-5E45-B7BF-50881B2F72E6}" type="pres">
      <dgm:prSet presAssocID="{34B9CBCA-90AD-D946-B26E-3A6E60BB731E}" presName="composite" presStyleCnt="0"/>
      <dgm:spPr/>
    </dgm:pt>
    <dgm:pt modelId="{B9872B13-1174-E847-A615-29577404DF21}" type="pres">
      <dgm:prSet presAssocID="{34B9CBCA-90AD-D946-B26E-3A6E60BB731E}" presName="parentText" presStyleLbl="alignNode1" presStyleIdx="6" presStyleCnt="13">
        <dgm:presLayoutVars>
          <dgm:chMax val="1"/>
          <dgm:bulletEnabled val="1"/>
        </dgm:presLayoutVars>
      </dgm:prSet>
      <dgm:spPr/>
    </dgm:pt>
    <dgm:pt modelId="{DCD4A931-4F01-F440-965B-DC25AA6FE080}" type="pres">
      <dgm:prSet presAssocID="{34B9CBCA-90AD-D946-B26E-3A6E60BB731E}" presName="descendantText" presStyleLbl="alignAcc1" presStyleIdx="6" presStyleCnt="13">
        <dgm:presLayoutVars>
          <dgm:bulletEnabled val="1"/>
        </dgm:presLayoutVars>
      </dgm:prSet>
      <dgm:spPr/>
    </dgm:pt>
    <dgm:pt modelId="{201CAB8F-4C7F-6E4E-9169-C9E7B5CBE404}" type="pres">
      <dgm:prSet presAssocID="{1031D2A7-8DEF-E945-AA90-68FD6C34AE22}" presName="sp" presStyleCnt="0"/>
      <dgm:spPr/>
    </dgm:pt>
    <dgm:pt modelId="{8D1A213D-D7DA-0644-AC14-8E50CD0A58D3}" type="pres">
      <dgm:prSet presAssocID="{0F9C65F6-CCEA-3241-B7E6-4560A768ECFA}" presName="composite" presStyleCnt="0"/>
      <dgm:spPr/>
    </dgm:pt>
    <dgm:pt modelId="{1BEBF742-7231-9A43-956E-CA771CBEB303}" type="pres">
      <dgm:prSet presAssocID="{0F9C65F6-CCEA-3241-B7E6-4560A768ECFA}" presName="parentText" presStyleLbl="alignNode1" presStyleIdx="7" presStyleCnt="13">
        <dgm:presLayoutVars>
          <dgm:chMax val="1"/>
          <dgm:bulletEnabled val="1"/>
        </dgm:presLayoutVars>
      </dgm:prSet>
      <dgm:spPr/>
    </dgm:pt>
    <dgm:pt modelId="{E333A2BF-2002-DB46-BE84-7039BDC5083E}" type="pres">
      <dgm:prSet presAssocID="{0F9C65F6-CCEA-3241-B7E6-4560A768ECFA}" presName="descendantText" presStyleLbl="alignAcc1" presStyleIdx="7" presStyleCnt="13">
        <dgm:presLayoutVars>
          <dgm:bulletEnabled val="1"/>
        </dgm:presLayoutVars>
      </dgm:prSet>
      <dgm:spPr/>
    </dgm:pt>
    <dgm:pt modelId="{C455D4DD-AE7B-7A4A-9071-B38A5D58CE15}" type="pres">
      <dgm:prSet presAssocID="{B08EC684-307D-8540-819E-6D1FB57442E6}" presName="sp" presStyleCnt="0"/>
      <dgm:spPr/>
    </dgm:pt>
    <dgm:pt modelId="{C588B7A2-4017-6643-93CD-7EB3E7875B06}" type="pres">
      <dgm:prSet presAssocID="{182D19B6-9968-F54C-9803-98CF32A9110D}" presName="composite" presStyleCnt="0"/>
      <dgm:spPr/>
    </dgm:pt>
    <dgm:pt modelId="{E86BF6A3-BA90-BB43-908F-24E76E7D1587}" type="pres">
      <dgm:prSet presAssocID="{182D19B6-9968-F54C-9803-98CF32A9110D}" presName="parentText" presStyleLbl="alignNode1" presStyleIdx="8" presStyleCnt="13">
        <dgm:presLayoutVars>
          <dgm:chMax val="1"/>
          <dgm:bulletEnabled val="1"/>
        </dgm:presLayoutVars>
      </dgm:prSet>
      <dgm:spPr/>
    </dgm:pt>
    <dgm:pt modelId="{E2DE84BA-2462-A242-AC94-46E19F99F1BB}" type="pres">
      <dgm:prSet presAssocID="{182D19B6-9968-F54C-9803-98CF32A9110D}" presName="descendantText" presStyleLbl="alignAcc1" presStyleIdx="8" presStyleCnt="13">
        <dgm:presLayoutVars>
          <dgm:bulletEnabled val="1"/>
        </dgm:presLayoutVars>
      </dgm:prSet>
      <dgm:spPr/>
    </dgm:pt>
    <dgm:pt modelId="{C2AB1E69-06F4-D043-944B-D85D9601ACA6}" type="pres">
      <dgm:prSet presAssocID="{259ED567-5FE2-2F45-B806-60F8702E00F5}" presName="sp" presStyleCnt="0"/>
      <dgm:spPr/>
    </dgm:pt>
    <dgm:pt modelId="{51C6866E-9F56-9A45-ADF2-6F81F533274A}" type="pres">
      <dgm:prSet presAssocID="{A8C6C2DC-42DC-4841-8B38-6F4C4E8905E8}" presName="composite" presStyleCnt="0"/>
      <dgm:spPr/>
    </dgm:pt>
    <dgm:pt modelId="{B88D95AA-AFFF-224F-9EBE-1226F2119586}" type="pres">
      <dgm:prSet presAssocID="{A8C6C2DC-42DC-4841-8B38-6F4C4E8905E8}" presName="parentText" presStyleLbl="alignNode1" presStyleIdx="9" presStyleCnt="13">
        <dgm:presLayoutVars>
          <dgm:chMax val="1"/>
          <dgm:bulletEnabled val="1"/>
        </dgm:presLayoutVars>
      </dgm:prSet>
      <dgm:spPr/>
    </dgm:pt>
    <dgm:pt modelId="{BC4A5DFE-0373-0044-B473-93ADEF2A2324}" type="pres">
      <dgm:prSet presAssocID="{A8C6C2DC-42DC-4841-8B38-6F4C4E8905E8}" presName="descendantText" presStyleLbl="alignAcc1" presStyleIdx="9" presStyleCnt="13">
        <dgm:presLayoutVars>
          <dgm:bulletEnabled val="1"/>
        </dgm:presLayoutVars>
      </dgm:prSet>
      <dgm:spPr/>
    </dgm:pt>
    <dgm:pt modelId="{01E3A2D8-2E7D-6941-B2B2-FA006E31EF08}" type="pres">
      <dgm:prSet presAssocID="{9073B681-2853-EB4F-BA4E-A12B1C47BB5F}" presName="sp" presStyleCnt="0"/>
      <dgm:spPr/>
    </dgm:pt>
    <dgm:pt modelId="{37D2DAC8-74EC-BF4C-831D-920A9C40B9D5}" type="pres">
      <dgm:prSet presAssocID="{5EFAD456-F8B8-C147-9A38-D366892E8D90}" presName="composite" presStyleCnt="0"/>
      <dgm:spPr/>
    </dgm:pt>
    <dgm:pt modelId="{ED0EEAAD-1F9F-C445-9ED5-D61D26A0F8D1}" type="pres">
      <dgm:prSet presAssocID="{5EFAD456-F8B8-C147-9A38-D366892E8D90}" presName="parentText" presStyleLbl="alignNode1" presStyleIdx="10" presStyleCnt="13">
        <dgm:presLayoutVars>
          <dgm:chMax val="1"/>
          <dgm:bulletEnabled val="1"/>
        </dgm:presLayoutVars>
      </dgm:prSet>
      <dgm:spPr/>
    </dgm:pt>
    <dgm:pt modelId="{C174B10A-41E6-244B-88CB-0D08E5FFF5F9}" type="pres">
      <dgm:prSet presAssocID="{5EFAD456-F8B8-C147-9A38-D366892E8D90}" presName="descendantText" presStyleLbl="alignAcc1" presStyleIdx="10" presStyleCnt="13">
        <dgm:presLayoutVars>
          <dgm:bulletEnabled val="1"/>
        </dgm:presLayoutVars>
      </dgm:prSet>
      <dgm:spPr/>
    </dgm:pt>
    <dgm:pt modelId="{43FB22C6-B891-E44F-B0D7-B9F71AB372F1}" type="pres">
      <dgm:prSet presAssocID="{69AAF0EB-9438-D048-8CCB-3ADC0E6ED07B}" presName="sp" presStyleCnt="0"/>
      <dgm:spPr/>
    </dgm:pt>
    <dgm:pt modelId="{73DF1BD6-49ED-134F-A291-CE4DB94547A9}" type="pres">
      <dgm:prSet presAssocID="{46C87E74-5E28-8C46-86B1-98C82A55CBAE}" presName="composite" presStyleCnt="0"/>
      <dgm:spPr/>
    </dgm:pt>
    <dgm:pt modelId="{6DDDE256-1CA3-1140-A939-5530FC1F57D3}" type="pres">
      <dgm:prSet presAssocID="{46C87E74-5E28-8C46-86B1-98C82A55CBAE}" presName="parentText" presStyleLbl="alignNode1" presStyleIdx="11" presStyleCnt="13">
        <dgm:presLayoutVars>
          <dgm:chMax val="1"/>
          <dgm:bulletEnabled val="1"/>
        </dgm:presLayoutVars>
      </dgm:prSet>
      <dgm:spPr/>
    </dgm:pt>
    <dgm:pt modelId="{999FDDA9-9F6A-1143-BE3C-B1E07CBE9945}" type="pres">
      <dgm:prSet presAssocID="{46C87E74-5E28-8C46-86B1-98C82A55CBAE}" presName="descendantText" presStyleLbl="alignAcc1" presStyleIdx="11" presStyleCnt="13">
        <dgm:presLayoutVars>
          <dgm:bulletEnabled val="1"/>
        </dgm:presLayoutVars>
      </dgm:prSet>
      <dgm:spPr/>
    </dgm:pt>
    <dgm:pt modelId="{A73ECDF3-49A4-0948-BD1F-387AF7BD3FC1}" type="pres">
      <dgm:prSet presAssocID="{04801474-7BFD-AC4B-9CCF-28521DEC6DB6}" presName="sp" presStyleCnt="0"/>
      <dgm:spPr/>
    </dgm:pt>
    <dgm:pt modelId="{F2D2A481-D011-064A-92C0-32CD4D676904}" type="pres">
      <dgm:prSet presAssocID="{1EC7AB78-D724-324B-BD90-FC58EF6E0357}" presName="composite" presStyleCnt="0"/>
      <dgm:spPr/>
    </dgm:pt>
    <dgm:pt modelId="{48AF7672-2483-B34A-B763-89BD09AEBA58}" type="pres">
      <dgm:prSet presAssocID="{1EC7AB78-D724-324B-BD90-FC58EF6E0357}" presName="parentText" presStyleLbl="alignNode1" presStyleIdx="12" presStyleCnt="13">
        <dgm:presLayoutVars>
          <dgm:chMax val="1"/>
          <dgm:bulletEnabled val="1"/>
        </dgm:presLayoutVars>
      </dgm:prSet>
      <dgm:spPr/>
    </dgm:pt>
    <dgm:pt modelId="{53F81CAC-F802-9240-8C94-B3E2B1F8761C}" type="pres">
      <dgm:prSet presAssocID="{1EC7AB78-D724-324B-BD90-FC58EF6E0357}" presName="descendantText" presStyleLbl="alignAcc1" presStyleIdx="12" presStyleCnt="13">
        <dgm:presLayoutVars>
          <dgm:bulletEnabled val="1"/>
        </dgm:presLayoutVars>
      </dgm:prSet>
      <dgm:spPr/>
    </dgm:pt>
  </dgm:ptLst>
  <dgm:cxnLst>
    <dgm:cxn modelId="{35FC4002-EA67-9241-A161-DD17E2A9E8DD}" type="presOf" srcId="{E8835EC0-86EE-3540-9564-983F3D69B9B0}" destId="{E2DE84BA-2462-A242-AC94-46E19F99F1BB}" srcOrd="0" destOrd="4" presId="urn:microsoft.com/office/officeart/2005/8/layout/chevron2"/>
    <dgm:cxn modelId="{3A32D706-8BDF-8646-9858-E9376C6B17F3}" type="presOf" srcId="{332543FB-BB1C-DE43-B140-C2BB789BBCB2}" destId="{B422BFF3-8BFD-2144-8980-375702EA9496}" srcOrd="0" destOrd="0" presId="urn:microsoft.com/office/officeart/2005/8/layout/chevron2"/>
    <dgm:cxn modelId="{B95E9E07-69F4-9349-9FE1-72BD09B886B0}" type="presOf" srcId="{65337D44-9B2C-044E-AEF9-F665764413CE}" destId="{9D5418D3-F08D-8545-87B2-2FD7B1D1031E}" srcOrd="0" destOrd="0" presId="urn:microsoft.com/office/officeart/2005/8/layout/chevron2"/>
    <dgm:cxn modelId="{33B2780F-EA26-9748-B76F-FABCDB13916A}" type="presOf" srcId="{46C87E74-5E28-8C46-86B1-98C82A55CBAE}" destId="{6DDDE256-1CA3-1140-A939-5530FC1F57D3}" srcOrd="0" destOrd="0" presId="urn:microsoft.com/office/officeart/2005/8/layout/chevron2"/>
    <dgm:cxn modelId="{91DA8910-D086-6147-90B8-4564B8FB7DD1}" srcId="{32BD5717-A9E6-DD44-A13C-12122D41F212}" destId="{718C1A72-EF39-DD4E-BFDE-F45DD7D520FB}" srcOrd="0" destOrd="0" parTransId="{9E2DFDDC-3C71-914F-988C-5704CBF50503}" sibTransId="{319DF0AF-755D-0746-AAC7-5D8347B59181}"/>
    <dgm:cxn modelId="{E2F0C910-5021-9A40-9CA7-CC7DA7BB1A55}" type="presOf" srcId="{318E09D1-A59D-2E4B-A3CC-C2FF16965C43}" destId="{E2DE84BA-2462-A242-AC94-46E19F99F1BB}" srcOrd="0" destOrd="1" presId="urn:microsoft.com/office/officeart/2005/8/layout/chevron2"/>
    <dgm:cxn modelId="{5F970311-F08E-5249-B9EA-4E5CE59D7478}" type="presOf" srcId="{5029DC4A-46C1-164D-943A-EDBD3AB5396E}" destId="{C174B10A-41E6-244B-88CB-0D08E5FFF5F9}" srcOrd="0" destOrd="2" presId="urn:microsoft.com/office/officeart/2005/8/layout/chevron2"/>
    <dgm:cxn modelId="{9737A014-77AA-2343-9EF8-1AB62E400960}" srcId="{0F9C65F6-CCEA-3241-B7E6-4560A768ECFA}" destId="{0B5EEED9-AADF-5646-A4EE-16C7E3C5048F}" srcOrd="0" destOrd="0" parTransId="{5F63AFFB-8796-8145-8196-16BA65A8913E}" sibTransId="{6369732A-4608-D04B-9932-9F2E14769A9F}"/>
    <dgm:cxn modelId="{E1DA0717-FBB4-8C4C-9ADA-288A4A223346}" type="presOf" srcId="{C458704A-A6F3-A24F-B50F-7B434CD11794}" destId="{28826DD3-E030-6044-B2F2-D85EF85F6960}" srcOrd="0" destOrd="2" presId="urn:microsoft.com/office/officeart/2005/8/layout/chevron2"/>
    <dgm:cxn modelId="{1791B918-1B3F-8149-A56B-1140235F0D3C}" type="presOf" srcId="{555C02C0-6BC9-D540-8A82-3666CC61D37F}" destId="{DCD4A931-4F01-F440-965B-DC25AA6FE080}" srcOrd="0" destOrd="0" presId="urn:microsoft.com/office/officeart/2005/8/layout/chevron2"/>
    <dgm:cxn modelId="{425A741B-9872-3A46-B4DA-D764BFE4CD8B}" srcId="{32BD5717-A9E6-DD44-A13C-12122D41F212}" destId="{182D19B6-9968-F54C-9803-98CF32A9110D}" srcOrd="8" destOrd="0" parTransId="{19120E65-5B26-BC4A-9EFF-5512A25AEB14}" sibTransId="{259ED567-5FE2-2F45-B806-60F8702E00F5}"/>
    <dgm:cxn modelId="{0F72BB1B-E42F-3143-B30A-5907845D5F9A}" type="presOf" srcId="{2725BEFC-24C3-E145-86F8-460B0C16124D}" destId="{8BDAA81E-2E4E-9C4A-9A67-4855D9BA1510}" srcOrd="0" destOrd="0" presId="urn:microsoft.com/office/officeart/2005/8/layout/chevron2"/>
    <dgm:cxn modelId="{CADEC11C-5556-224C-A093-0B4416CA534D}" type="presOf" srcId="{3F3526C7-6ED1-AA46-BF20-1B9948A084E5}" destId="{06B263AD-CC10-0D49-8145-0C283F585CD5}" srcOrd="0" destOrd="2" presId="urn:microsoft.com/office/officeart/2005/8/layout/chevron2"/>
    <dgm:cxn modelId="{0E353A24-5FB7-6F4D-95E3-70E4CDCFD27A}" type="presOf" srcId="{EE4687FF-DC98-3D4A-8B1D-75DD628798CF}" destId="{BC4A5DFE-0373-0044-B473-93ADEF2A2324}" srcOrd="0" destOrd="2" presId="urn:microsoft.com/office/officeart/2005/8/layout/chevron2"/>
    <dgm:cxn modelId="{44D9BC25-FF13-2447-8785-711362D747D4}" srcId="{8A942072-3D9B-2043-8B2E-11E707170D7E}" destId="{3F3526C7-6ED1-AA46-BF20-1B9948A084E5}" srcOrd="2" destOrd="0" parTransId="{2823161F-FBF5-1046-8E60-01F8384EB1BC}" sibTransId="{DE01B6D0-D67A-CF4C-A791-F2D29DF1C910}"/>
    <dgm:cxn modelId="{5EE2D825-57DF-5449-8FAF-989EB9C2F7C2}" srcId="{718C1A72-EF39-DD4E-BFDE-F45DD7D520FB}" destId="{0D347524-7007-BE43-81AE-44B5DE652093}" srcOrd="1" destOrd="0" parTransId="{2293298E-5D8B-C241-8AF0-50CDFB609DAA}" sibTransId="{142288B3-34B8-4A41-A85C-8439B3EFE9A4}"/>
    <dgm:cxn modelId="{4DA11428-C4CE-ED4B-80F4-8FAE53C77B68}" type="presOf" srcId="{6AEE21D3-4CB1-7443-AC17-5D71D849EEF3}" destId="{28826DD3-E030-6044-B2F2-D85EF85F6960}" srcOrd="0" destOrd="0" presId="urn:microsoft.com/office/officeart/2005/8/layout/chevron2"/>
    <dgm:cxn modelId="{7EEF1029-23C2-C74A-8C5D-1AB19537A1A1}" type="presOf" srcId="{D4381A80-7F1D-9D4D-8093-B3E6A2F1CFCA}" destId="{9D5418D3-F08D-8545-87B2-2FD7B1D1031E}" srcOrd="0" destOrd="1" presId="urn:microsoft.com/office/officeart/2005/8/layout/chevron2"/>
    <dgm:cxn modelId="{930A272A-2CFF-0041-B9ED-76D065F6ECCC}" srcId="{332543FB-BB1C-DE43-B140-C2BB789BBCB2}" destId="{2725BEFC-24C3-E145-86F8-460B0C16124D}" srcOrd="0" destOrd="0" parTransId="{C1829F04-6DDA-E649-90FD-A4AAAAE6C05F}" sibTransId="{21F47E9F-9C6A-1041-9062-39753370C0EE}"/>
    <dgm:cxn modelId="{789D3D31-A1BE-5D42-85EC-D8F31B8AF2A3}" srcId="{8A942072-3D9B-2043-8B2E-11E707170D7E}" destId="{CF8D6B60-3FEF-0048-B019-B0883DEB78C2}" srcOrd="1" destOrd="0" parTransId="{3FE0B1FC-3E46-8B4F-9B8A-371FE47D7A6F}" sibTransId="{843A5592-19B0-734C-A097-D96F74C7FECB}"/>
    <dgm:cxn modelId="{39E65B31-CD34-A340-B2AB-1ED3F36FE88E}" type="presOf" srcId="{18ABC2A5-DCE7-414C-AE08-6EAE4EA2FE6D}" destId="{E2DE84BA-2462-A242-AC94-46E19F99F1BB}" srcOrd="0" destOrd="2" presId="urn:microsoft.com/office/officeart/2005/8/layout/chevron2"/>
    <dgm:cxn modelId="{AC9D8B35-3E35-964E-B49F-8C40FB3AF24D}" srcId="{182D19B6-9968-F54C-9803-98CF32A9110D}" destId="{E8835EC0-86EE-3540-9564-983F3D69B9B0}" srcOrd="4" destOrd="0" parTransId="{3507EF78-030C-2546-8CBB-075D7261FCDE}" sibTransId="{7BBE6FC9-195F-5E44-BEAA-03BE4D719D22}"/>
    <dgm:cxn modelId="{1F635836-9644-0244-8C9D-B0B2803A830B}" type="presOf" srcId="{CF8D6B60-3FEF-0048-B019-B0883DEB78C2}" destId="{06B263AD-CC10-0D49-8145-0C283F585CD5}" srcOrd="0" destOrd="1" presId="urn:microsoft.com/office/officeart/2005/8/layout/chevron2"/>
    <dgm:cxn modelId="{C67DC537-D4CA-2944-8330-96C6C74E0394}" srcId="{32BD5717-A9E6-DD44-A13C-12122D41F212}" destId="{34B9CBCA-90AD-D946-B26E-3A6E60BB731E}" srcOrd="6" destOrd="0" parTransId="{9332FC5B-2DEC-D146-AE72-41CD6249A702}" sibTransId="{1031D2A7-8DEF-E945-AA90-68FD6C34AE22}"/>
    <dgm:cxn modelId="{E6BCB339-BEE8-2B46-AF47-1212FD546807}" type="presOf" srcId="{0D5E0837-38B9-E148-BB11-F780782A29CB}" destId="{9D5418D3-F08D-8545-87B2-2FD7B1D1031E}" srcOrd="0" destOrd="2" presId="urn:microsoft.com/office/officeart/2005/8/layout/chevron2"/>
    <dgm:cxn modelId="{3EDAFA3D-5B57-B64D-B5D4-E665EE4B170D}" srcId="{718C1A72-EF39-DD4E-BFDE-F45DD7D520FB}" destId="{6AEE21D3-4CB1-7443-AC17-5D71D849EEF3}" srcOrd="0" destOrd="0" parTransId="{EE7D8C90-13C7-FA43-9E10-DD3301B8943F}" sibTransId="{A9C3AD35-C5EE-D746-B67E-C578EA7D2C4E}"/>
    <dgm:cxn modelId="{40EA3B3E-94F1-B549-91DC-38F150CA636B}" type="presOf" srcId="{125C0A60-1A53-5F41-A8F9-BD71D1144F62}" destId="{C80BEB0B-E1AB-4443-9F91-9D6894D7833E}" srcOrd="0" destOrd="0" presId="urn:microsoft.com/office/officeart/2005/8/layout/chevron2"/>
    <dgm:cxn modelId="{2172623F-F4E9-EE4A-AF6C-C36278BBAEBE}" srcId="{182D19B6-9968-F54C-9803-98CF32A9110D}" destId="{18ABC2A5-DCE7-414C-AE08-6EAE4EA2FE6D}" srcOrd="2" destOrd="0" parTransId="{2CBEFDE5-1F77-C943-9836-6D61BE9C3A1C}" sibTransId="{B4027045-AE26-254D-9017-FCC4675963BB}"/>
    <dgm:cxn modelId="{245BCA40-025E-3E4E-A497-A0EFCDDC25C1}" srcId="{82A06431-B147-914D-A7EE-B91B75443203}" destId="{65337D44-9B2C-044E-AEF9-F665764413CE}" srcOrd="0" destOrd="0" parTransId="{8263CB8A-2179-EA47-A0B9-C16619EE08D6}" sibTransId="{D95EDDE2-EB68-4C45-BB0E-BC77264A5A49}"/>
    <dgm:cxn modelId="{FBCA9468-21D0-A34D-887F-59A1DC4F55DC}" srcId="{AB849386-BBEF-244B-A2A1-1BE27622D72F}" destId="{125C0A60-1A53-5F41-A8F9-BD71D1144F62}" srcOrd="0" destOrd="0" parTransId="{984C74EC-959A-D247-8643-38CB257DFB0B}" sibTransId="{8F6DF586-F89A-104B-973B-698C8A397ED9}"/>
    <dgm:cxn modelId="{7BFC9C6A-2437-D24F-B986-39DC3950C009}" srcId="{32BD5717-A9E6-DD44-A13C-12122D41F212}" destId="{332543FB-BB1C-DE43-B140-C2BB789BBCB2}" srcOrd="1" destOrd="0" parTransId="{E83559AB-8184-B94E-AA65-4420DE3012DF}" sibTransId="{9F0DECA5-F8B9-2F49-B9A7-32EB3AD7D8C5}"/>
    <dgm:cxn modelId="{8E062E4D-AA93-CB44-A0AC-F749EB20F43A}" srcId="{32BD5717-A9E6-DD44-A13C-12122D41F212}" destId="{82A06431-B147-914D-A7EE-B91B75443203}" srcOrd="3" destOrd="0" parTransId="{13C96808-67BD-174F-B855-16ACA3400941}" sibTransId="{2927117D-194C-1341-932F-5623EB513890}"/>
    <dgm:cxn modelId="{0434BC4E-E891-A641-B0CD-982DDC2116DA}" type="presOf" srcId="{8A942072-3D9B-2043-8B2E-11E707170D7E}" destId="{A0202F08-BEC9-8F43-8711-F30ADE817D18}" srcOrd="0" destOrd="0" presId="urn:microsoft.com/office/officeart/2005/8/layout/chevron2"/>
    <dgm:cxn modelId="{0BBF5851-B3B2-1B4C-8B30-3EEDF43DEFDC}" srcId="{8A942072-3D9B-2043-8B2E-11E707170D7E}" destId="{61A2BB49-4883-F544-A634-4207B0324D62}" srcOrd="0" destOrd="0" parTransId="{A2A85C49-BD39-F341-9616-1EF9A7342DE1}" sibTransId="{74A9A651-DC98-7544-BB4F-6CA13DCA47CC}"/>
    <dgm:cxn modelId="{A0639052-D962-244C-A398-9029172E103C}" type="presOf" srcId="{0F9C65F6-CCEA-3241-B7E6-4560A768ECFA}" destId="{1BEBF742-7231-9A43-956E-CA771CBEB303}" srcOrd="0" destOrd="0" presId="urn:microsoft.com/office/officeart/2005/8/layout/chevron2"/>
    <dgm:cxn modelId="{EBCA7454-0A4D-574C-AF9E-ACF2192F6A69}" srcId="{34B9CBCA-90AD-D946-B26E-3A6E60BB731E}" destId="{EEF349EC-A16C-6E4F-8464-6BD71940F70C}" srcOrd="2" destOrd="0" parTransId="{4EF4EBD5-8084-7D4A-BB5E-4EF2C5C94F99}" sibTransId="{A325D897-3CF3-2444-BCE0-FB27A2B93D02}"/>
    <dgm:cxn modelId="{7F11A674-4C46-1545-AA65-BE75193F7DB9}" type="presOf" srcId="{182D19B6-9968-F54C-9803-98CF32A9110D}" destId="{E86BF6A3-BA90-BB43-908F-24E76E7D1587}" srcOrd="0" destOrd="0" presId="urn:microsoft.com/office/officeart/2005/8/layout/chevron2"/>
    <dgm:cxn modelId="{7CCA3577-052A-E54E-8A65-B79C9D3D7282}" srcId="{32BD5717-A9E6-DD44-A13C-12122D41F212}" destId="{5EFAD456-F8B8-C147-9A38-D366892E8D90}" srcOrd="10" destOrd="0" parTransId="{AEC4A29C-080E-714E-8C55-A165817C6F84}" sibTransId="{69AAF0EB-9438-D048-8CCB-3ADC0E6ED07B}"/>
    <dgm:cxn modelId="{4DCF6978-888A-E846-9FE5-B7A1323B5B63}" type="presOf" srcId="{2D2AF18A-8B4F-6F43-ABC1-76E3735A0A2A}" destId="{BC4A5DFE-0373-0044-B473-93ADEF2A2324}" srcOrd="0" destOrd="0" presId="urn:microsoft.com/office/officeart/2005/8/layout/chevron2"/>
    <dgm:cxn modelId="{941CFF7A-D638-8A4B-8278-95DAB8637AEE}" srcId="{32BD5717-A9E6-DD44-A13C-12122D41F212}" destId="{8A942072-3D9B-2043-8B2E-11E707170D7E}" srcOrd="2" destOrd="0" parTransId="{F49F7276-856F-E64E-8188-3D686B4D473E}" sibTransId="{393ABEA7-D1FC-994A-9DCC-A33FEBFF19A8}"/>
    <dgm:cxn modelId="{759B727C-F170-CB44-B32F-469BA669930A}" srcId="{332543FB-BB1C-DE43-B140-C2BB789BBCB2}" destId="{7438286E-8350-184E-82B3-3AAEF5F4B429}" srcOrd="2" destOrd="0" parTransId="{E8AA2A5B-C348-8248-9D0D-C0147AC7D7FA}" sibTransId="{DDE64E92-A7DB-1F46-870A-4BB5B715BA64}"/>
    <dgm:cxn modelId="{D904B47D-4624-9841-904C-84DEC637A8DD}" type="presOf" srcId="{4E401C2C-4000-C040-828A-EB0D5B3F70BC}" destId="{8BDAA81E-2E4E-9C4A-9A67-4855D9BA1510}" srcOrd="0" destOrd="1" presId="urn:microsoft.com/office/officeart/2005/8/layout/chevron2"/>
    <dgm:cxn modelId="{81805C7F-00D9-E646-AB4F-CA6E682141DB}" srcId="{32BD5717-A9E6-DD44-A13C-12122D41F212}" destId="{0F9C65F6-CCEA-3241-B7E6-4560A768ECFA}" srcOrd="7" destOrd="0" parTransId="{0684C0A0-5B7A-E44A-B1E4-1C8A41513A57}" sibTransId="{B08EC684-307D-8540-819E-6D1FB57442E6}"/>
    <dgm:cxn modelId="{C2637380-4378-9541-964A-D6E21D69FAFC}" srcId="{34B9CBCA-90AD-D946-B26E-3A6E60BB731E}" destId="{817AAD11-541C-8040-B8E6-60D63F44FF6E}" srcOrd="1" destOrd="0" parTransId="{820D5C7D-3565-B841-B802-D79FD186F3F0}" sibTransId="{DBDC58F4-53C2-3143-8B2E-16E385E444FB}"/>
    <dgm:cxn modelId="{F766BE84-66D4-5849-A11E-2BE5042AE157}" type="presOf" srcId="{5EFAD456-F8B8-C147-9A38-D366892E8D90}" destId="{ED0EEAAD-1F9F-C445-9ED5-D61D26A0F8D1}" srcOrd="0" destOrd="0" presId="urn:microsoft.com/office/officeart/2005/8/layout/chevron2"/>
    <dgm:cxn modelId="{97D22D86-B2B9-1349-A2CF-CE1613F957AF}" type="presOf" srcId="{1EC7AB78-D724-324B-BD90-FC58EF6E0357}" destId="{48AF7672-2483-B34A-B763-89BD09AEBA58}" srcOrd="0" destOrd="0" presId="urn:microsoft.com/office/officeart/2005/8/layout/chevron2"/>
    <dgm:cxn modelId="{160A5C8B-BBF3-8D4B-8E6F-BB3F3D04A27D}" srcId="{32BD5717-A9E6-DD44-A13C-12122D41F212}" destId="{1EC7AB78-D724-324B-BD90-FC58EF6E0357}" srcOrd="12" destOrd="0" parTransId="{D362144C-27C6-E04C-85E7-ABD569DB16DE}" sibTransId="{89B2828F-B5A3-B546-A70B-38B01D72B154}"/>
    <dgm:cxn modelId="{4E92858D-3272-3249-A993-8F52BD3A8F53}" type="presOf" srcId="{7438286E-8350-184E-82B3-3AAEF5F4B429}" destId="{8BDAA81E-2E4E-9C4A-9A67-4855D9BA1510}" srcOrd="0" destOrd="2" presId="urn:microsoft.com/office/officeart/2005/8/layout/chevron2"/>
    <dgm:cxn modelId="{2FFA728E-3333-FF46-8643-6A5CFB4D8D69}" type="presOf" srcId="{718C1A72-EF39-DD4E-BFDE-F45DD7D520FB}" destId="{B3EE9CE6-0ABB-F14B-8299-D4BFC2EC579D}" srcOrd="0" destOrd="0" presId="urn:microsoft.com/office/officeart/2005/8/layout/chevron2"/>
    <dgm:cxn modelId="{7B969F8E-BA57-4D4D-B64D-D7B8CD7062B4}" type="presOf" srcId="{0D347524-7007-BE43-81AE-44B5DE652093}" destId="{28826DD3-E030-6044-B2F2-D85EF85F6960}" srcOrd="0" destOrd="1" presId="urn:microsoft.com/office/officeart/2005/8/layout/chevron2"/>
    <dgm:cxn modelId="{AF912893-1846-5546-8FA3-A9A0911570CE}" srcId="{718C1A72-EF39-DD4E-BFDE-F45DD7D520FB}" destId="{C458704A-A6F3-A24F-B50F-7B434CD11794}" srcOrd="2" destOrd="0" parTransId="{91B57B00-C8FD-3D4F-AFCB-35DFDDCC78D0}" sibTransId="{E8F59CE6-32CE-F942-9CFA-2E7EFCCD53DE}"/>
    <dgm:cxn modelId="{7724FB94-3CBB-FF4F-A88F-DF25BA3B4755}" srcId="{332543FB-BB1C-DE43-B140-C2BB789BBCB2}" destId="{4E401C2C-4000-C040-828A-EB0D5B3F70BC}" srcOrd="1" destOrd="0" parTransId="{3CFB846A-189E-294E-B017-5A9A4DD6CEDE}" sibTransId="{ECEB1A3F-3DD8-E248-9697-8F101B01851A}"/>
    <dgm:cxn modelId="{C798DC95-AE66-BC4B-A96E-E2D0F5DF53E2}" srcId="{5EFAD456-F8B8-C147-9A38-D366892E8D90}" destId="{DC62B450-8998-4C4E-A519-CD3A98B52909}" srcOrd="1" destOrd="0" parTransId="{22395226-A40C-9740-BFE3-AA316E39EC0E}" sibTransId="{698826FF-8DC2-8446-AE75-E70773E6EDBD}"/>
    <dgm:cxn modelId="{5A785896-3D47-9244-9F04-4567BE932BC1}" type="presOf" srcId="{E6055D9E-1DDE-A243-A8F6-5CDF160A3724}" destId="{C174B10A-41E6-244B-88CB-0D08E5FFF5F9}" srcOrd="0" destOrd="0" presId="urn:microsoft.com/office/officeart/2005/8/layout/chevron2"/>
    <dgm:cxn modelId="{06495397-CAFB-8346-B6DD-C62B8755406E}" srcId="{93105CB4-0286-ED4F-915C-092EF42A9691}" destId="{14C4AACB-BBED-FD43-880C-31C843F0061A}" srcOrd="1" destOrd="0" parTransId="{DFED4DE2-2306-C34E-907E-763B913F06DC}" sibTransId="{8C3CD2B7-B9B1-6B48-BD9C-4F4D55283F81}"/>
    <dgm:cxn modelId="{CB1FE998-18B5-8946-A73B-B5AE1868B2E8}" srcId="{5EFAD456-F8B8-C147-9A38-D366892E8D90}" destId="{5029DC4A-46C1-164D-943A-EDBD3AB5396E}" srcOrd="2" destOrd="0" parTransId="{EF8839D7-0901-F540-A591-17FBE1DC75CA}" sibTransId="{685BC812-52FD-FF45-A9B6-2DAA669E718F}"/>
    <dgm:cxn modelId="{C2A5ACA1-F1A9-1347-BEAB-34809B48CF85}" srcId="{32BD5717-A9E6-DD44-A13C-12122D41F212}" destId="{46C87E74-5E28-8C46-86B1-98C82A55CBAE}" srcOrd="11" destOrd="0" parTransId="{2A9B7400-96EA-AD40-9D11-2744CE1FE9E5}" sibTransId="{04801474-7BFD-AC4B-9CCF-28521DEC6DB6}"/>
    <dgm:cxn modelId="{090807A4-EEFC-884E-80DE-B1980B96DA89}" srcId="{A8C6C2DC-42DC-4841-8B38-6F4C4E8905E8}" destId="{2D2AF18A-8B4F-6F43-ABC1-76E3735A0A2A}" srcOrd="0" destOrd="0" parTransId="{14C3F0A1-37D9-724D-A3BE-E7F45324C901}" sibTransId="{995A59B2-35B0-4D4A-B074-6B3BA9DA6A61}"/>
    <dgm:cxn modelId="{BE3536A4-6AC2-5749-8B5D-9595BFA95C99}" srcId="{34B9CBCA-90AD-D946-B26E-3A6E60BB731E}" destId="{555C02C0-6BC9-D540-8A82-3666CC61D37F}" srcOrd="0" destOrd="0" parTransId="{CCE0D908-1B64-2944-8A76-DCC6D56AC78A}" sibTransId="{CA067235-B735-254C-8977-EAB578376323}"/>
    <dgm:cxn modelId="{41F6AEA4-660B-BB40-B9A3-341B4796F7D7}" srcId="{AB849386-BBEF-244B-A2A1-1BE27622D72F}" destId="{BE8AC978-0FAD-5E4D-B281-1B7DC61EC809}" srcOrd="1" destOrd="0" parTransId="{644AFFE0-B4BE-8943-93C3-2A6907CD6F29}" sibTransId="{AD072108-05B4-C840-8E22-2970579DFF3B}"/>
    <dgm:cxn modelId="{33FAFCA5-8780-B24B-906E-8339C3FBAA2C}" type="presOf" srcId="{387817B1-B48E-804E-9741-307C0F8B2DA9}" destId="{BC4A5DFE-0373-0044-B473-93ADEF2A2324}" srcOrd="0" destOrd="1" presId="urn:microsoft.com/office/officeart/2005/8/layout/chevron2"/>
    <dgm:cxn modelId="{160824A7-7E24-1F4F-87DA-88F2BDE1ED82}" type="presOf" srcId="{A8C6C2DC-42DC-4841-8B38-6F4C4E8905E8}" destId="{B88D95AA-AFFF-224F-9EBE-1226F2119586}" srcOrd="0" destOrd="0" presId="urn:microsoft.com/office/officeart/2005/8/layout/chevron2"/>
    <dgm:cxn modelId="{9D58D9AA-8A9F-7344-B079-96A6F3E9EE0D}" srcId="{A8C6C2DC-42DC-4841-8B38-6F4C4E8905E8}" destId="{387817B1-B48E-804E-9741-307C0F8B2DA9}" srcOrd="1" destOrd="0" parTransId="{D94773E4-7F82-0F47-985A-8F598D82ADFE}" sibTransId="{5A610308-D14F-784F-92CA-466500C5E6DC}"/>
    <dgm:cxn modelId="{90B312AB-E2B1-BD46-A750-279EE23B448E}" type="presOf" srcId="{AB849386-BBEF-244B-A2A1-1BE27622D72F}" destId="{844AC346-AEB9-A649-8C9D-DBF2769C8FFC}" srcOrd="0" destOrd="0" presId="urn:microsoft.com/office/officeart/2005/8/layout/chevron2"/>
    <dgm:cxn modelId="{E3864CAB-5CEA-2845-9E1F-FC63029AD41E}" srcId="{32BD5717-A9E6-DD44-A13C-12122D41F212}" destId="{93105CB4-0286-ED4F-915C-092EF42A9691}" srcOrd="4" destOrd="0" parTransId="{A4EA5788-EDE5-E443-B24A-EA951734FC41}" sibTransId="{72453AAB-5C0D-2D49-B812-AF99508E8E00}"/>
    <dgm:cxn modelId="{7211A1AB-9367-DC4D-B29F-5320641E4AA9}" type="presOf" srcId="{93105CB4-0286-ED4F-915C-092EF42A9691}" destId="{CCC28DE8-0568-7547-9A1F-3C6F0F33A2CF}" srcOrd="0" destOrd="0" presId="urn:microsoft.com/office/officeart/2005/8/layout/chevron2"/>
    <dgm:cxn modelId="{AF711EB3-7FF7-E540-AF2D-59E5D839C59A}" type="presOf" srcId="{DC62B450-8998-4C4E-A519-CD3A98B52909}" destId="{C174B10A-41E6-244B-88CB-0D08E5FFF5F9}" srcOrd="0" destOrd="1" presId="urn:microsoft.com/office/officeart/2005/8/layout/chevron2"/>
    <dgm:cxn modelId="{B52635BB-3C71-A24C-90A2-849363859EA7}" type="presOf" srcId="{A177B3ED-63C5-3348-B066-3691D8643EDE}" destId="{F1EE7E3F-25DA-8041-85A7-EBBF11BC4C56}" srcOrd="0" destOrd="0" presId="urn:microsoft.com/office/officeart/2005/8/layout/chevron2"/>
    <dgm:cxn modelId="{76D4D8C4-55F3-4541-B9CB-88561A414A39}" srcId="{182D19B6-9968-F54C-9803-98CF32A9110D}" destId="{B81682CE-3DAA-7547-977E-5CA5485D7B79}" srcOrd="3" destOrd="0" parTransId="{11FF31C8-A85E-CB49-9452-590D5937DA22}" sibTransId="{9720E4B0-A7C0-B240-8842-E2C6DE335065}"/>
    <dgm:cxn modelId="{9B6F1EC6-DFD4-954B-8D24-B930BAEEDB14}" srcId="{182D19B6-9968-F54C-9803-98CF32A9110D}" destId="{3528BF8B-944A-1B4D-ADBB-12D941C8C388}" srcOrd="0" destOrd="0" parTransId="{E619BAB6-C4C5-8E49-9DEF-480C3F5477B3}" sibTransId="{9ADC1877-CA39-8F4C-8B1D-032CCA11697E}"/>
    <dgm:cxn modelId="{5F8B3DC7-4CC2-774D-B2B4-0FAAA2FC594C}" srcId="{82A06431-B147-914D-A7EE-B91B75443203}" destId="{D4381A80-7F1D-9D4D-8093-B3E6A2F1CFCA}" srcOrd="1" destOrd="0" parTransId="{E0E413A4-940F-4949-BC1D-D8C9E61E05C4}" sibTransId="{9A330F0C-3CA6-F948-80B6-E0284FDCABD6}"/>
    <dgm:cxn modelId="{868E09C9-420D-FE4B-B5BC-A759BCB17604}" type="presOf" srcId="{0B5EEED9-AADF-5646-A4EE-16C7E3C5048F}" destId="{E333A2BF-2002-DB46-BE84-7039BDC5083E}" srcOrd="0" destOrd="0" presId="urn:microsoft.com/office/officeart/2005/8/layout/chevron2"/>
    <dgm:cxn modelId="{D0198CCC-E4F7-9248-A0A8-0E4A84337079}" type="presOf" srcId="{EEF349EC-A16C-6E4F-8464-6BD71940F70C}" destId="{DCD4A931-4F01-F440-965B-DC25AA6FE080}" srcOrd="0" destOrd="2" presId="urn:microsoft.com/office/officeart/2005/8/layout/chevron2"/>
    <dgm:cxn modelId="{E2F329CF-5D02-3241-B348-50CB30650C25}" srcId="{182D19B6-9968-F54C-9803-98CF32A9110D}" destId="{318E09D1-A59D-2E4B-A3CC-C2FF16965C43}" srcOrd="1" destOrd="0" parTransId="{692F5075-8AA7-1545-9821-5B796547FE98}" sibTransId="{C3BC74F0-F4E6-BD4C-8197-893C2058CDAE}"/>
    <dgm:cxn modelId="{BFB5F4D6-EF58-5645-82AB-8BA5D9F3EAA5}" type="presOf" srcId="{61A2BB49-4883-F544-A634-4207B0324D62}" destId="{06B263AD-CC10-0D49-8145-0C283F585CD5}" srcOrd="0" destOrd="0" presId="urn:microsoft.com/office/officeart/2005/8/layout/chevron2"/>
    <dgm:cxn modelId="{782EF7DE-9B3D-2843-91AC-8C3CC04ECA68}" type="presOf" srcId="{B81682CE-3DAA-7547-977E-5CA5485D7B79}" destId="{E2DE84BA-2462-A242-AC94-46E19F99F1BB}" srcOrd="0" destOrd="3" presId="urn:microsoft.com/office/officeart/2005/8/layout/chevron2"/>
    <dgm:cxn modelId="{8AFCAFE9-6C8B-3C48-9ABC-EB57A303AD1D}" type="presOf" srcId="{82A06431-B147-914D-A7EE-B91B75443203}" destId="{31EA3204-EDC1-4F43-84C9-41DE884256E5}" srcOrd="0" destOrd="0" presId="urn:microsoft.com/office/officeart/2005/8/layout/chevron2"/>
    <dgm:cxn modelId="{7A5B92EC-2DF6-4646-AFCC-84FF4032C496}" srcId="{32BD5717-A9E6-DD44-A13C-12122D41F212}" destId="{AB849386-BBEF-244B-A2A1-1BE27622D72F}" srcOrd="5" destOrd="0" parTransId="{5EF8B0E9-7943-9A42-86BC-C712E57D9428}" sibTransId="{C3910501-0EE6-C14B-801E-3128A43B34A7}"/>
    <dgm:cxn modelId="{5C4214EE-D3E4-2B41-A414-296AC6279482}" type="presOf" srcId="{32BD5717-A9E6-DD44-A13C-12122D41F212}" destId="{DDB27B24-50BA-ED48-8BE9-4C29E6B83259}" srcOrd="0" destOrd="0" presId="urn:microsoft.com/office/officeart/2005/8/layout/chevron2"/>
    <dgm:cxn modelId="{803B9DEE-BCF0-054E-8E4D-00F00516B5CB}" type="presOf" srcId="{14C4AACB-BBED-FD43-880C-31C843F0061A}" destId="{F1EE7E3F-25DA-8041-85A7-EBBF11BC4C56}" srcOrd="0" destOrd="1" presId="urn:microsoft.com/office/officeart/2005/8/layout/chevron2"/>
    <dgm:cxn modelId="{2E6FDBF1-3E1F-B04B-B05E-473583893098}" type="presOf" srcId="{34B9CBCA-90AD-D946-B26E-3A6E60BB731E}" destId="{B9872B13-1174-E847-A615-29577404DF21}" srcOrd="0" destOrd="0" presId="urn:microsoft.com/office/officeart/2005/8/layout/chevron2"/>
    <dgm:cxn modelId="{4EDB36F2-7415-C240-ACB0-5373C67912E9}" srcId="{5EFAD456-F8B8-C147-9A38-D366892E8D90}" destId="{E6055D9E-1DDE-A243-A8F6-5CDF160A3724}" srcOrd="0" destOrd="0" parTransId="{0B1DC3A5-5264-CD49-8D31-3B1A5E86C1C7}" sibTransId="{6C856E09-93CE-D348-B575-16FE79947A8D}"/>
    <dgm:cxn modelId="{9908D6F4-C0F5-4542-868B-44F5EF4B2245}" srcId="{93105CB4-0286-ED4F-915C-092EF42A9691}" destId="{A177B3ED-63C5-3348-B066-3691D8643EDE}" srcOrd="0" destOrd="0" parTransId="{2716D8C5-47EC-914C-A0C1-738796E8B970}" sibTransId="{8A8CA50E-7D69-3145-B4F9-FFF4F50F2CC8}"/>
    <dgm:cxn modelId="{9A64FAF4-3BFD-9148-AF01-2182BCC47B0D}" type="presOf" srcId="{BE8AC978-0FAD-5E4D-B281-1B7DC61EC809}" destId="{C80BEB0B-E1AB-4443-9F91-9D6894D7833E}" srcOrd="0" destOrd="1" presId="urn:microsoft.com/office/officeart/2005/8/layout/chevron2"/>
    <dgm:cxn modelId="{598240F5-F87C-AE44-8986-2C05586D89F8}" srcId="{32BD5717-A9E6-DD44-A13C-12122D41F212}" destId="{A8C6C2DC-42DC-4841-8B38-6F4C4E8905E8}" srcOrd="9" destOrd="0" parTransId="{8A5F89D1-42B4-1148-8907-D7CC48A00BFD}" sibTransId="{9073B681-2853-EB4F-BA4E-A12B1C47BB5F}"/>
    <dgm:cxn modelId="{A3D7ACF7-2BA2-4F49-A0E0-7346B1E54F6B}" srcId="{82A06431-B147-914D-A7EE-B91B75443203}" destId="{0D5E0837-38B9-E148-BB11-F780782A29CB}" srcOrd="2" destOrd="0" parTransId="{22B50FC3-BF2E-BC48-A0D0-DF6C126E5EEE}" sibTransId="{BF3788D2-6547-5A48-A40F-C81D634AEA59}"/>
    <dgm:cxn modelId="{030288F9-16CC-3746-8E2F-ED6DBF3044CE}" type="presOf" srcId="{817AAD11-541C-8040-B8E6-60D63F44FF6E}" destId="{DCD4A931-4F01-F440-965B-DC25AA6FE080}" srcOrd="0" destOrd="1" presId="urn:microsoft.com/office/officeart/2005/8/layout/chevron2"/>
    <dgm:cxn modelId="{428061FD-5A6F-8443-B3DC-C88038B30F00}" type="presOf" srcId="{3528BF8B-944A-1B4D-ADBB-12D941C8C388}" destId="{E2DE84BA-2462-A242-AC94-46E19F99F1BB}" srcOrd="0" destOrd="0" presId="urn:microsoft.com/office/officeart/2005/8/layout/chevron2"/>
    <dgm:cxn modelId="{B02852FD-4758-B749-AC5D-FB4340CA7163}" srcId="{A8C6C2DC-42DC-4841-8B38-6F4C4E8905E8}" destId="{EE4687FF-DC98-3D4A-8B1D-75DD628798CF}" srcOrd="2" destOrd="0" parTransId="{EF50026A-DD1B-0E4E-B9CD-D2642DD4CB15}" sibTransId="{D890892B-FF11-CB4A-BA7B-86EF3BCF1799}"/>
    <dgm:cxn modelId="{4A98A7F1-7D6C-B848-857A-3A9709802799}" type="presParOf" srcId="{DDB27B24-50BA-ED48-8BE9-4C29E6B83259}" destId="{B4D05EFA-2710-E24E-95A8-E5ADA436F1BA}" srcOrd="0" destOrd="0" presId="urn:microsoft.com/office/officeart/2005/8/layout/chevron2"/>
    <dgm:cxn modelId="{897B58BC-3BA3-994C-8D82-7E53B114B8AE}" type="presParOf" srcId="{B4D05EFA-2710-E24E-95A8-E5ADA436F1BA}" destId="{B3EE9CE6-0ABB-F14B-8299-D4BFC2EC579D}" srcOrd="0" destOrd="0" presId="urn:microsoft.com/office/officeart/2005/8/layout/chevron2"/>
    <dgm:cxn modelId="{E9B91727-4A2D-5A4D-87AC-97C9245AE4A1}" type="presParOf" srcId="{B4D05EFA-2710-E24E-95A8-E5ADA436F1BA}" destId="{28826DD3-E030-6044-B2F2-D85EF85F6960}" srcOrd="1" destOrd="0" presId="urn:microsoft.com/office/officeart/2005/8/layout/chevron2"/>
    <dgm:cxn modelId="{0F3FC952-7C43-E847-AE01-E74ED405387C}" type="presParOf" srcId="{DDB27B24-50BA-ED48-8BE9-4C29E6B83259}" destId="{585C7840-A253-9640-BBF2-282E7F35583D}" srcOrd="1" destOrd="0" presId="urn:microsoft.com/office/officeart/2005/8/layout/chevron2"/>
    <dgm:cxn modelId="{A42AAF20-C072-F347-9745-5C780877037E}" type="presParOf" srcId="{DDB27B24-50BA-ED48-8BE9-4C29E6B83259}" destId="{725C6BB0-2454-F04B-AEC7-CF75FCBB3A74}" srcOrd="2" destOrd="0" presId="urn:microsoft.com/office/officeart/2005/8/layout/chevron2"/>
    <dgm:cxn modelId="{0E72CBAA-357F-9B48-A72C-58F0AC30D64F}" type="presParOf" srcId="{725C6BB0-2454-F04B-AEC7-CF75FCBB3A74}" destId="{B422BFF3-8BFD-2144-8980-375702EA9496}" srcOrd="0" destOrd="0" presId="urn:microsoft.com/office/officeart/2005/8/layout/chevron2"/>
    <dgm:cxn modelId="{D0128978-C127-AB4C-BEAB-4B60DCE4DE8E}" type="presParOf" srcId="{725C6BB0-2454-F04B-AEC7-CF75FCBB3A74}" destId="{8BDAA81E-2E4E-9C4A-9A67-4855D9BA1510}" srcOrd="1" destOrd="0" presId="urn:microsoft.com/office/officeart/2005/8/layout/chevron2"/>
    <dgm:cxn modelId="{160F81EA-9213-1342-A05A-80C2DDAD056C}" type="presParOf" srcId="{DDB27B24-50BA-ED48-8BE9-4C29E6B83259}" destId="{D756A8C3-50EB-084A-8277-DD5831B4E8C7}" srcOrd="3" destOrd="0" presId="urn:microsoft.com/office/officeart/2005/8/layout/chevron2"/>
    <dgm:cxn modelId="{3DD888DF-853D-0E4A-81C1-A3F8E0BEF35D}" type="presParOf" srcId="{DDB27B24-50BA-ED48-8BE9-4C29E6B83259}" destId="{D669929D-DE6F-0D40-8D4A-1736805AD131}" srcOrd="4" destOrd="0" presId="urn:microsoft.com/office/officeart/2005/8/layout/chevron2"/>
    <dgm:cxn modelId="{B5040282-AB89-F641-B9B7-A37F77EFDD6F}" type="presParOf" srcId="{D669929D-DE6F-0D40-8D4A-1736805AD131}" destId="{A0202F08-BEC9-8F43-8711-F30ADE817D18}" srcOrd="0" destOrd="0" presId="urn:microsoft.com/office/officeart/2005/8/layout/chevron2"/>
    <dgm:cxn modelId="{84EFBB21-7EF7-3B44-A812-055F43E31DCE}" type="presParOf" srcId="{D669929D-DE6F-0D40-8D4A-1736805AD131}" destId="{06B263AD-CC10-0D49-8145-0C283F585CD5}" srcOrd="1" destOrd="0" presId="urn:microsoft.com/office/officeart/2005/8/layout/chevron2"/>
    <dgm:cxn modelId="{3883A335-4E3D-C146-8ABD-E2AFA65C403E}" type="presParOf" srcId="{DDB27B24-50BA-ED48-8BE9-4C29E6B83259}" destId="{B5F0F139-C5B5-F942-A092-8BB086CFFEFA}" srcOrd="5" destOrd="0" presId="urn:microsoft.com/office/officeart/2005/8/layout/chevron2"/>
    <dgm:cxn modelId="{59597E80-5ECD-A148-BD2B-3EFBD2D569BB}" type="presParOf" srcId="{DDB27B24-50BA-ED48-8BE9-4C29E6B83259}" destId="{A6A53311-4EDF-944C-B7A8-A929BD874343}" srcOrd="6" destOrd="0" presId="urn:microsoft.com/office/officeart/2005/8/layout/chevron2"/>
    <dgm:cxn modelId="{EEA360A1-1CA2-AC4A-A1B1-A58153923537}" type="presParOf" srcId="{A6A53311-4EDF-944C-B7A8-A929BD874343}" destId="{31EA3204-EDC1-4F43-84C9-41DE884256E5}" srcOrd="0" destOrd="0" presId="urn:microsoft.com/office/officeart/2005/8/layout/chevron2"/>
    <dgm:cxn modelId="{174A6224-18F4-B44D-95D5-9734E2AD6D7D}" type="presParOf" srcId="{A6A53311-4EDF-944C-B7A8-A929BD874343}" destId="{9D5418D3-F08D-8545-87B2-2FD7B1D1031E}" srcOrd="1" destOrd="0" presId="urn:microsoft.com/office/officeart/2005/8/layout/chevron2"/>
    <dgm:cxn modelId="{E8F83C23-4A0B-EE49-84B7-AC22ACCBC5B7}" type="presParOf" srcId="{DDB27B24-50BA-ED48-8BE9-4C29E6B83259}" destId="{BD082DD2-36A2-F841-B83C-3B9BAF4B2B5C}" srcOrd="7" destOrd="0" presId="urn:microsoft.com/office/officeart/2005/8/layout/chevron2"/>
    <dgm:cxn modelId="{B982611A-909C-A145-A08C-6F6CEC6C4A31}" type="presParOf" srcId="{DDB27B24-50BA-ED48-8BE9-4C29E6B83259}" destId="{C371305F-B72D-3C44-BB22-E50B26871DA6}" srcOrd="8" destOrd="0" presId="urn:microsoft.com/office/officeart/2005/8/layout/chevron2"/>
    <dgm:cxn modelId="{EB794CBC-773B-8C42-ACD4-74DDA9908EEE}" type="presParOf" srcId="{C371305F-B72D-3C44-BB22-E50B26871DA6}" destId="{CCC28DE8-0568-7547-9A1F-3C6F0F33A2CF}" srcOrd="0" destOrd="0" presId="urn:microsoft.com/office/officeart/2005/8/layout/chevron2"/>
    <dgm:cxn modelId="{94CBE8A7-5993-9B45-991B-92D41D261B92}" type="presParOf" srcId="{C371305F-B72D-3C44-BB22-E50B26871DA6}" destId="{F1EE7E3F-25DA-8041-85A7-EBBF11BC4C56}" srcOrd="1" destOrd="0" presId="urn:microsoft.com/office/officeart/2005/8/layout/chevron2"/>
    <dgm:cxn modelId="{8179EB4F-0DB4-3C45-9570-34F5DCC87131}" type="presParOf" srcId="{DDB27B24-50BA-ED48-8BE9-4C29E6B83259}" destId="{2C8A0FE6-3CCD-674F-87D7-C945364C8330}" srcOrd="9" destOrd="0" presId="urn:microsoft.com/office/officeart/2005/8/layout/chevron2"/>
    <dgm:cxn modelId="{CEC5A088-8BA4-3747-A46A-9E811EC8ACD3}" type="presParOf" srcId="{DDB27B24-50BA-ED48-8BE9-4C29E6B83259}" destId="{C8A774E9-C669-9C42-8FD8-567A31043E1A}" srcOrd="10" destOrd="0" presId="urn:microsoft.com/office/officeart/2005/8/layout/chevron2"/>
    <dgm:cxn modelId="{239C3267-4591-CE44-B865-A80212DAA8A4}" type="presParOf" srcId="{C8A774E9-C669-9C42-8FD8-567A31043E1A}" destId="{844AC346-AEB9-A649-8C9D-DBF2769C8FFC}" srcOrd="0" destOrd="0" presId="urn:microsoft.com/office/officeart/2005/8/layout/chevron2"/>
    <dgm:cxn modelId="{F4BF3276-8B9D-AB44-B512-789720B41CD9}" type="presParOf" srcId="{C8A774E9-C669-9C42-8FD8-567A31043E1A}" destId="{C80BEB0B-E1AB-4443-9F91-9D6894D7833E}" srcOrd="1" destOrd="0" presId="urn:microsoft.com/office/officeart/2005/8/layout/chevron2"/>
    <dgm:cxn modelId="{FA2FB537-E247-B349-8132-B80458550530}" type="presParOf" srcId="{DDB27B24-50BA-ED48-8BE9-4C29E6B83259}" destId="{59BB4FCD-F10D-9947-BE1C-B71549A60A1E}" srcOrd="11" destOrd="0" presId="urn:microsoft.com/office/officeart/2005/8/layout/chevron2"/>
    <dgm:cxn modelId="{C7C07C89-4938-4043-A862-C4A16CB357B1}" type="presParOf" srcId="{DDB27B24-50BA-ED48-8BE9-4C29E6B83259}" destId="{9EA93BB1-069D-5E45-B7BF-50881B2F72E6}" srcOrd="12" destOrd="0" presId="urn:microsoft.com/office/officeart/2005/8/layout/chevron2"/>
    <dgm:cxn modelId="{3A5D2639-D9E6-2E40-8F64-5C0F295FE7E4}" type="presParOf" srcId="{9EA93BB1-069D-5E45-B7BF-50881B2F72E6}" destId="{B9872B13-1174-E847-A615-29577404DF21}" srcOrd="0" destOrd="0" presId="urn:microsoft.com/office/officeart/2005/8/layout/chevron2"/>
    <dgm:cxn modelId="{FFB050BF-600D-1F4A-8B83-B259628E008C}" type="presParOf" srcId="{9EA93BB1-069D-5E45-B7BF-50881B2F72E6}" destId="{DCD4A931-4F01-F440-965B-DC25AA6FE080}" srcOrd="1" destOrd="0" presId="urn:microsoft.com/office/officeart/2005/8/layout/chevron2"/>
    <dgm:cxn modelId="{9087670C-80A5-C649-A875-70A4FF6A8594}" type="presParOf" srcId="{DDB27B24-50BA-ED48-8BE9-4C29E6B83259}" destId="{201CAB8F-4C7F-6E4E-9169-C9E7B5CBE404}" srcOrd="13" destOrd="0" presId="urn:microsoft.com/office/officeart/2005/8/layout/chevron2"/>
    <dgm:cxn modelId="{D79D5705-C2D1-7B4D-96D5-0F77C88AA369}" type="presParOf" srcId="{DDB27B24-50BA-ED48-8BE9-4C29E6B83259}" destId="{8D1A213D-D7DA-0644-AC14-8E50CD0A58D3}" srcOrd="14" destOrd="0" presId="urn:microsoft.com/office/officeart/2005/8/layout/chevron2"/>
    <dgm:cxn modelId="{F4513E05-6EFD-674D-887B-9430724CD02E}" type="presParOf" srcId="{8D1A213D-D7DA-0644-AC14-8E50CD0A58D3}" destId="{1BEBF742-7231-9A43-956E-CA771CBEB303}" srcOrd="0" destOrd="0" presId="urn:microsoft.com/office/officeart/2005/8/layout/chevron2"/>
    <dgm:cxn modelId="{3028F211-79FC-B843-B6F4-572B60CC5EED}" type="presParOf" srcId="{8D1A213D-D7DA-0644-AC14-8E50CD0A58D3}" destId="{E333A2BF-2002-DB46-BE84-7039BDC5083E}" srcOrd="1" destOrd="0" presId="urn:microsoft.com/office/officeart/2005/8/layout/chevron2"/>
    <dgm:cxn modelId="{DF314361-297D-8944-8EE2-395330DD2779}" type="presParOf" srcId="{DDB27B24-50BA-ED48-8BE9-4C29E6B83259}" destId="{C455D4DD-AE7B-7A4A-9071-B38A5D58CE15}" srcOrd="15" destOrd="0" presId="urn:microsoft.com/office/officeart/2005/8/layout/chevron2"/>
    <dgm:cxn modelId="{484A20F3-9150-B046-8135-F4BF12D68C2E}" type="presParOf" srcId="{DDB27B24-50BA-ED48-8BE9-4C29E6B83259}" destId="{C588B7A2-4017-6643-93CD-7EB3E7875B06}" srcOrd="16" destOrd="0" presId="urn:microsoft.com/office/officeart/2005/8/layout/chevron2"/>
    <dgm:cxn modelId="{FF78B99D-369F-5241-83BA-852ED0CBDAB4}" type="presParOf" srcId="{C588B7A2-4017-6643-93CD-7EB3E7875B06}" destId="{E86BF6A3-BA90-BB43-908F-24E76E7D1587}" srcOrd="0" destOrd="0" presId="urn:microsoft.com/office/officeart/2005/8/layout/chevron2"/>
    <dgm:cxn modelId="{0EEC33A9-F8C5-2B4A-9A3C-DCA5A7CDA805}" type="presParOf" srcId="{C588B7A2-4017-6643-93CD-7EB3E7875B06}" destId="{E2DE84BA-2462-A242-AC94-46E19F99F1BB}" srcOrd="1" destOrd="0" presId="urn:microsoft.com/office/officeart/2005/8/layout/chevron2"/>
    <dgm:cxn modelId="{03476A3B-40F1-8B4E-BB81-92F15535C1B3}" type="presParOf" srcId="{DDB27B24-50BA-ED48-8BE9-4C29E6B83259}" destId="{C2AB1E69-06F4-D043-944B-D85D9601ACA6}" srcOrd="17" destOrd="0" presId="urn:microsoft.com/office/officeart/2005/8/layout/chevron2"/>
    <dgm:cxn modelId="{313D44FE-FCDE-3E40-BAFF-D75AD96A9A7C}" type="presParOf" srcId="{DDB27B24-50BA-ED48-8BE9-4C29E6B83259}" destId="{51C6866E-9F56-9A45-ADF2-6F81F533274A}" srcOrd="18" destOrd="0" presId="urn:microsoft.com/office/officeart/2005/8/layout/chevron2"/>
    <dgm:cxn modelId="{60233DBA-6375-1B4E-8F41-5217BD85158D}" type="presParOf" srcId="{51C6866E-9F56-9A45-ADF2-6F81F533274A}" destId="{B88D95AA-AFFF-224F-9EBE-1226F2119586}" srcOrd="0" destOrd="0" presId="urn:microsoft.com/office/officeart/2005/8/layout/chevron2"/>
    <dgm:cxn modelId="{78D934A0-AF9E-4C4B-BF99-D890273F2E10}" type="presParOf" srcId="{51C6866E-9F56-9A45-ADF2-6F81F533274A}" destId="{BC4A5DFE-0373-0044-B473-93ADEF2A2324}" srcOrd="1" destOrd="0" presId="urn:microsoft.com/office/officeart/2005/8/layout/chevron2"/>
    <dgm:cxn modelId="{B2631C14-82A0-CB43-80C8-FB32C908168A}" type="presParOf" srcId="{DDB27B24-50BA-ED48-8BE9-4C29E6B83259}" destId="{01E3A2D8-2E7D-6941-B2B2-FA006E31EF08}" srcOrd="19" destOrd="0" presId="urn:microsoft.com/office/officeart/2005/8/layout/chevron2"/>
    <dgm:cxn modelId="{B20D65B4-9C27-E041-8E7B-87CAEE267676}" type="presParOf" srcId="{DDB27B24-50BA-ED48-8BE9-4C29E6B83259}" destId="{37D2DAC8-74EC-BF4C-831D-920A9C40B9D5}" srcOrd="20" destOrd="0" presId="urn:microsoft.com/office/officeart/2005/8/layout/chevron2"/>
    <dgm:cxn modelId="{B8471778-BC68-CD45-A020-87907EDF59AE}" type="presParOf" srcId="{37D2DAC8-74EC-BF4C-831D-920A9C40B9D5}" destId="{ED0EEAAD-1F9F-C445-9ED5-D61D26A0F8D1}" srcOrd="0" destOrd="0" presId="urn:microsoft.com/office/officeart/2005/8/layout/chevron2"/>
    <dgm:cxn modelId="{F06AEDC5-6D46-324C-9812-FB602BF8EA03}" type="presParOf" srcId="{37D2DAC8-74EC-BF4C-831D-920A9C40B9D5}" destId="{C174B10A-41E6-244B-88CB-0D08E5FFF5F9}" srcOrd="1" destOrd="0" presId="urn:microsoft.com/office/officeart/2005/8/layout/chevron2"/>
    <dgm:cxn modelId="{20CF82D1-3D5E-0E4A-9308-35EE31CFF699}" type="presParOf" srcId="{DDB27B24-50BA-ED48-8BE9-4C29E6B83259}" destId="{43FB22C6-B891-E44F-B0D7-B9F71AB372F1}" srcOrd="21" destOrd="0" presId="urn:microsoft.com/office/officeart/2005/8/layout/chevron2"/>
    <dgm:cxn modelId="{8DB85BD8-34E4-EE4F-B023-91112A6906A4}" type="presParOf" srcId="{DDB27B24-50BA-ED48-8BE9-4C29E6B83259}" destId="{73DF1BD6-49ED-134F-A291-CE4DB94547A9}" srcOrd="22" destOrd="0" presId="urn:microsoft.com/office/officeart/2005/8/layout/chevron2"/>
    <dgm:cxn modelId="{EB84E3C3-406D-784B-AE1F-F534683D2224}" type="presParOf" srcId="{73DF1BD6-49ED-134F-A291-CE4DB94547A9}" destId="{6DDDE256-1CA3-1140-A939-5530FC1F57D3}" srcOrd="0" destOrd="0" presId="urn:microsoft.com/office/officeart/2005/8/layout/chevron2"/>
    <dgm:cxn modelId="{6A00DDAF-B6D0-4242-A466-A26052B2FF5E}" type="presParOf" srcId="{73DF1BD6-49ED-134F-A291-CE4DB94547A9}" destId="{999FDDA9-9F6A-1143-BE3C-B1E07CBE9945}" srcOrd="1" destOrd="0" presId="urn:microsoft.com/office/officeart/2005/8/layout/chevron2"/>
    <dgm:cxn modelId="{883E3A4D-1BED-1941-98F3-9E2D26FB7BED}" type="presParOf" srcId="{DDB27B24-50BA-ED48-8BE9-4C29E6B83259}" destId="{A73ECDF3-49A4-0948-BD1F-387AF7BD3FC1}" srcOrd="23" destOrd="0" presId="urn:microsoft.com/office/officeart/2005/8/layout/chevron2"/>
    <dgm:cxn modelId="{BC0C6797-A45B-4841-BA46-0ED685CB83EC}" type="presParOf" srcId="{DDB27B24-50BA-ED48-8BE9-4C29E6B83259}" destId="{F2D2A481-D011-064A-92C0-32CD4D676904}" srcOrd="24" destOrd="0" presId="urn:microsoft.com/office/officeart/2005/8/layout/chevron2"/>
    <dgm:cxn modelId="{C4B28AFC-D36E-C640-96DC-7A2B808C8B38}" type="presParOf" srcId="{F2D2A481-D011-064A-92C0-32CD4D676904}" destId="{48AF7672-2483-B34A-B763-89BD09AEBA58}" srcOrd="0" destOrd="0" presId="urn:microsoft.com/office/officeart/2005/8/layout/chevron2"/>
    <dgm:cxn modelId="{74C09760-8198-294A-A73A-3FD73BEC7219}" type="presParOf" srcId="{F2D2A481-D011-064A-92C0-32CD4D676904}" destId="{53F81CAC-F802-9240-8C94-B3E2B1F8761C}" srcOrd="1" destOrd="0" presId="urn:microsoft.com/office/officeart/2005/8/layout/chevron2"/>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C55F916-5070-A84B-A4C6-2A4176545429}" type="doc">
      <dgm:prSet loTypeId="urn:microsoft.com/office/officeart/2005/8/layout/venn1" loCatId="" qsTypeId="urn:microsoft.com/office/officeart/2005/8/quickstyle/simple1" qsCatId="simple" csTypeId="urn:microsoft.com/office/officeart/2005/8/colors/colorful3" csCatId="colorful" phldr="1"/>
      <dgm:spPr/>
      <dgm:t>
        <a:bodyPr/>
        <a:lstStyle/>
        <a:p>
          <a:endParaRPr lang="en-US"/>
        </a:p>
      </dgm:t>
    </dgm:pt>
    <dgm:pt modelId="{04A3905A-8A7D-6949-8C84-014B7BA9609B}">
      <dgm:prSet phldrT="[Text]"/>
      <dgm:spPr/>
      <dgm:t>
        <a:bodyPr/>
        <a:lstStyle/>
        <a:p>
          <a:r>
            <a:rPr lang="en-US"/>
            <a:t>Ability</a:t>
          </a:r>
        </a:p>
      </dgm:t>
    </dgm:pt>
    <dgm:pt modelId="{EC10E2E5-FD4A-A843-9C8A-3F35EDCDFCC0}" type="parTrans" cxnId="{1886F97F-0348-D645-8D9B-EC1723C8F42C}">
      <dgm:prSet/>
      <dgm:spPr/>
      <dgm:t>
        <a:bodyPr/>
        <a:lstStyle/>
        <a:p>
          <a:endParaRPr lang="en-US"/>
        </a:p>
      </dgm:t>
    </dgm:pt>
    <dgm:pt modelId="{693459E4-B79E-774B-B463-5DEACC1C65B8}" type="sibTrans" cxnId="{1886F97F-0348-D645-8D9B-EC1723C8F42C}">
      <dgm:prSet/>
      <dgm:spPr/>
      <dgm:t>
        <a:bodyPr/>
        <a:lstStyle/>
        <a:p>
          <a:endParaRPr lang="en-US"/>
        </a:p>
      </dgm:t>
    </dgm:pt>
    <dgm:pt modelId="{22237D64-DE3D-184B-836E-FFE1485FFE2A}">
      <dgm:prSet phldrT="[Text]"/>
      <dgm:spPr/>
      <dgm:t>
        <a:bodyPr/>
        <a:lstStyle/>
        <a:p>
          <a:r>
            <a:rPr lang="en-US"/>
            <a:t>Performance </a:t>
          </a:r>
        </a:p>
      </dgm:t>
    </dgm:pt>
    <dgm:pt modelId="{179D3947-E5E7-DE41-8226-9E72170CBBF1}" type="parTrans" cxnId="{65196DF6-C0AE-FD41-B4F4-2D0F28BF47C6}">
      <dgm:prSet/>
      <dgm:spPr/>
      <dgm:t>
        <a:bodyPr/>
        <a:lstStyle/>
        <a:p>
          <a:endParaRPr lang="en-US"/>
        </a:p>
      </dgm:t>
    </dgm:pt>
    <dgm:pt modelId="{E0822ADF-4D53-4F4F-BBB4-80223CE0FC61}" type="sibTrans" cxnId="{65196DF6-C0AE-FD41-B4F4-2D0F28BF47C6}">
      <dgm:prSet/>
      <dgm:spPr/>
      <dgm:t>
        <a:bodyPr/>
        <a:lstStyle/>
        <a:p>
          <a:endParaRPr lang="en-US"/>
        </a:p>
      </dgm:t>
    </dgm:pt>
    <dgm:pt modelId="{BCF8FFFE-EF7A-0744-93D8-1377305DD328}">
      <dgm:prSet phldrT="[Text]" custT="1"/>
      <dgm:spPr/>
      <dgm:t>
        <a:bodyPr/>
        <a:lstStyle/>
        <a:p>
          <a:r>
            <a:rPr lang="en-US" sz="1400"/>
            <a:t>Knowledge</a:t>
          </a:r>
        </a:p>
      </dgm:t>
    </dgm:pt>
    <dgm:pt modelId="{F6557274-7DBC-2642-957D-9F5CF25B7FBD}" type="parTrans" cxnId="{3A875D3D-3F7A-EB40-8720-0969E327F7B4}">
      <dgm:prSet/>
      <dgm:spPr/>
      <dgm:t>
        <a:bodyPr/>
        <a:lstStyle/>
        <a:p>
          <a:endParaRPr lang="en-US"/>
        </a:p>
      </dgm:t>
    </dgm:pt>
    <dgm:pt modelId="{FD5DC7EB-37FB-C447-BA8B-A1BCF989C7A5}" type="sibTrans" cxnId="{3A875D3D-3F7A-EB40-8720-0969E327F7B4}">
      <dgm:prSet/>
      <dgm:spPr/>
      <dgm:t>
        <a:bodyPr/>
        <a:lstStyle/>
        <a:p>
          <a:endParaRPr lang="en-US"/>
        </a:p>
      </dgm:t>
    </dgm:pt>
    <dgm:pt modelId="{7F41E2EA-C098-BA49-A5F3-E39A9424A753}">
      <dgm:prSet phldrT="[Text]"/>
      <dgm:spPr/>
      <dgm:t>
        <a:bodyPr/>
        <a:lstStyle/>
        <a:p>
          <a:r>
            <a:rPr lang="en-US" sz="800"/>
            <a:t>Access of</a:t>
          </a:r>
        </a:p>
      </dgm:t>
    </dgm:pt>
    <dgm:pt modelId="{64263A10-A295-8A4F-911A-E00B7DD45E51}" type="parTrans" cxnId="{7FF49A9C-B94C-D844-B6B4-C257C5D93AA4}">
      <dgm:prSet/>
      <dgm:spPr/>
      <dgm:t>
        <a:bodyPr/>
        <a:lstStyle/>
        <a:p>
          <a:endParaRPr lang="en-US"/>
        </a:p>
      </dgm:t>
    </dgm:pt>
    <dgm:pt modelId="{69680F9C-DF97-4743-90DC-003605195F20}" type="sibTrans" cxnId="{7FF49A9C-B94C-D844-B6B4-C257C5D93AA4}">
      <dgm:prSet/>
      <dgm:spPr/>
      <dgm:t>
        <a:bodyPr/>
        <a:lstStyle/>
        <a:p>
          <a:endParaRPr lang="en-US"/>
        </a:p>
      </dgm:t>
    </dgm:pt>
    <dgm:pt modelId="{D72F65E9-314D-1340-BC9F-9A4201119DC0}">
      <dgm:prSet phldrT="[Text]"/>
      <dgm:spPr/>
      <dgm:t>
        <a:bodyPr/>
        <a:lstStyle/>
        <a:p>
          <a:r>
            <a:rPr lang="en-US" sz="800"/>
            <a:t>Application of </a:t>
          </a:r>
        </a:p>
      </dgm:t>
    </dgm:pt>
    <dgm:pt modelId="{9879747D-1DA7-6249-AD93-B62336133B1F}" type="parTrans" cxnId="{A56E5A9A-1BAD-124C-B932-E7A128C42CF4}">
      <dgm:prSet/>
      <dgm:spPr/>
      <dgm:t>
        <a:bodyPr/>
        <a:lstStyle/>
        <a:p>
          <a:endParaRPr lang="en-US"/>
        </a:p>
      </dgm:t>
    </dgm:pt>
    <dgm:pt modelId="{740AB42D-9495-9840-9440-39CF47BB5FFB}" type="sibTrans" cxnId="{A56E5A9A-1BAD-124C-B932-E7A128C42CF4}">
      <dgm:prSet/>
      <dgm:spPr/>
      <dgm:t>
        <a:bodyPr/>
        <a:lstStyle/>
        <a:p>
          <a:endParaRPr lang="en-US"/>
        </a:p>
      </dgm:t>
    </dgm:pt>
    <dgm:pt modelId="{E4857541-AF8B-FF40-B2AB-9256F2361B90}">
      <dgm:prSet phldrT="[Text]" custT="1"/>
      <dgm:spPr/>
      <dgm:t>
        <a:bodyPr/>
        <a:lstStyle/>
        <a:p>
          <a:r>
            <a:rPr lang="en-US" sz="1400"/>
            <a:t>Skills</a:t>
          </a:r>
        </a:p>
      </dgm:t>
    </dgm:pt>
    <dgm:pt modelId="{C1641EFD-B818-BE45-907D-56899F5E247E}" type="parTrans" cxnId="{EC6B193A-F30B-CB40-9920-5322E89748E7}">
      <dgm:prSet/>
      <dgm:spPr/>
      <dgm:t>
        <a:bodyPr/>
        <a:lstStyle/>
        <a:p>
          <a:endParaRPr lang="en-US"/>
        </a:p>
      </dgm:t>
    </dgm:pt>
    <dgm:pt modelId="{F59EBE1E-6CA9-9F4A-9606-4EC0EE9CD6EC}" type="sibTrans" cxnId="{EC6B193A-F30B-CB40-9920-5322E89748E7}">
      <dgm:prSet/>
      <dgm:spPr/>
      <dgm:t>
        <a:bodyPr/>
        <a:lstStyle/>
        <a:p>
          <a:endParaRPr lang="en-US"/>
        </a:p>
      </dgm:t>
    </dgm:pt>
    <dgm:pt modelId="{2B5E4C4C-BF38-564C-826E-0676B4ACB960}">
      <dgm:prSet phldrT="[Text]"/>
      <dgm:spPr/>
      <dgm:t>
        <a:bodyPr/>
        <a:lstStyle/>
        <a:p>
          <a:r>
            <a:rPr lang="en-US" sz="800"/>
            <a:t>Decision making</a:t>
          </a:r>
        </a:p>
      </dgm:t>
    </dgm:pt>
    <dgm:pt modelId="{7A6A587F-68E5-4443-9C51-99DE91A1487B}" type="parTrans" cxnId="{DE15DBDB-7C71-7D42-A4F7-FE78B0A643FF}">
      <dgm:prSet/>
      <dgm:spPr/>
      <dgm:t>
        <a:bodyPr/>
        <a:lstStyle/>
        <a:p>
          <a:endParaRPr lang="en-US"/>
        </a:p>
      </dgm:t>
    </dgm:pt>
    <dgm:pt modelId="{8A865436-3E18-5149-AC49-8F5AC1ED5CFD}" type="sibTrans" cxnId="{DE15DBDB-7C71-7D42-A4F7-FE78B0A643FF}">
      <dgm:prSet/>
      <dgm:spPr/>
      <dgm:t>
        <a:bodyPr/>
        <a:lstStyle/>
        <a:p>
          <a:endParaRPr lang="en-US"/>
        </a:p>
      </dgm:t>
    </dgm:pt>
    <dgm:pt modelId="{118B4873-B16A-724C-8837-158BD5D7B50D}">
      <dgm:prSet phldrT="[Text]"/>
      <dgm:spPr/>
      <dgm:t>
        <a:bodyPr/>
        <a:lstStyle/>
        <a:p>
          <a:r>
            <a:rPr lang="en-US" sz="800"/>
            <a:t>Judgment</a:t>
          </a:r>
        </a:p>
      </dgm:t>
    </dgm:pt>
    <dgm:pt modelId="{354EF111-4C34-A943-A15D-E6F7683DDE7E}" type="parTrans" cxnId="{A91F4332-3E37-2F45-BF81-D408BE4B4DC9}">
      <dgm:prSet/>
      <dgm:spPr/>
      <dgm:t>
        <a:bodyPr/>
        <a:lstStyle/>
        <a:p>
          <a:endParaRPr lang="en-US"/>
        </a:p>
      </dgm:t>
    </dgm:pt>
    <dgm:pt modelId="{F6F81A63-D2CC-F244-A3D1-762527AD7B21}" type="sibTrans" cxnId="{A91F4332-3E37-2F45-BF81-D408BE4B4DC9}">
      <dgm:prSet/>
      <dgm:spPr/>
      <dgm:t>
        <a:bodyPr/>
        <a:lstStyle/>
        <a:p>
          <a:endParaRPr lang="en-US"/>
        </a:p>
      </dgm:t>
    </dgm:pt>
    <dgm:pt modelId="{D2638DA6-9EC9-7A4B-920C-9BE246CE58FC}">
      <dgm:prSet phldrT="[Text]"/>
      <dgm:spPr/>
      <dgm:t>
        <a:bodyPr/>
        <a:lstStyle/>
        <a:p>
          <a:r>
            <a:rPr lang="en-US" sz="800"/>
            <a:t>Under pressure</a:t>
          </a:r>
        </a:p>
      </dgm:t>
    </dgm:pt>
    <dgm:pt modelId="{C75B54A7-9952-6046-BE88-47D71F7EB983}" type="parTrans" cxnId="{9C079F13-5C5D-4042-AFA5-63DAC269E40F}">
      <dgm:prSet/>
      <dgm:spPr/>
      <dgm:t>
        <a:bodyPr/>
        <a:lstStyle/>
        <a:p>
          <a:endParaRPr lang="en-US"/>
        </a:p>
      </dgm:t>
    </dgm:pt>
    <dgm:pt modelId="{DF346A67-38D4-784C-A317-2EA76C5C8AC3}" type="sibTrans" cxnId="{9C079F13-5C5D-4042-AFA5-63DAC269E40F}">
      <dgm:prSet/>
      <dgm:spPr/>
      <dgm:t>
        <a:bodyPr/>
        <a:lstStyle/>
        <a:p>
          <a:endParaRPr lang="en-US"/>
        </a:p>
      </dgm:t>
    </dgm:pt>
    <dgm:pt modelId="{6B9E33A5-3B08-AB44-9757-E512AB0B5C3C}">
      <dgm:prSet phldrT="[Text]"/>
      <dgm:spPr/>
      <dgm:t>
        <a:bodyPr/>
        <a:lstStyle/>
        <a:p>
          <a:r>
            <a:rPr lang="en-US" sz="800"/>
            <a:t>Insight</a:t>
          </a:r>
        </a:p>
      </dgm:t>
    </dgm:pt>
    <dgm:pt modelId="{0B3AA3FD-1CDF-5541-87BD-D6248C58C563}" type="parTrans" cxnId="{2063722D-FC5D-0443-9828-780C0457F400}">
      <dgm:prSet/>
      <dgm:spPr/>
      <dgm:t>
        <a:bodyPr/>
        <a:lstStyle/>
        <a:p>
          <a:endParaRPr lang="en-US"/>
        </a:p>
      </dgm:t>
    </dgm:pt>
    <dgm:pt modelId="{1E717516-CDB8-834E-A7CF-576E34EA1C9D}" type="sibTrans" cxnId="{2063722D-FC5D-0443-9828-780C0457F400}">
      <dgm:prSet/>
      <dgm:spPr/>
      <dgm:t>
        <a:bodyPr/>
        <a:lstStyle/>
        <a:p>
          <a:endParaRPr lang="en-US"/>
        </a:p>
      </dgm:t>
    </dgm:pt>
    <dgm:pt modelId="{89979390-4ADA-2245-9157-1512A494548E}">
      <dgm:prSet phldrT="[Text]"/>
      <dgm:spPr/>
      <dgm:t>
        <a:bodyPr/>
        <a:lstStyle/>
        <a:p>
          <a:r>
            <a:rPr lang="en-US"/>
            <a:t>Expectations</a:t>
          </a:r>
        </a:p>
      </dgm:t>
    </dgm:pt>
    <dgm:pt modelId="{D0FD73B5-3C6F-FC45-909A-3AC3B72E4513}" type="parTrans" cxnId="{98B1C2C2-2B2C-D349-A901-E864CF453EBD}">
      <dgm:prSet/>
      <dgm:spPr/>
      <dgm:t>
        <a:bodyPr/>
        <a:lstStyle/>
        <a:p>
          <a:endParaRPr lang="en-US"/>
        </a:p>
      </dgm:t>
    </dgm:pt>
    <dgm:pt modelId="{00FCCE77-18B0-CD45-B084-AD778969B939}" type="sibTrans" cxnId="{98B1C2C2-2B2C-D349-A901-E864CF453EBD}">
      <dgm:prSet/>
      <dgm:spPr/>
      <dgm:t>
        <a:bodyPr/>
        <a:lstStyle/>
        <a:p>
          <a:endParaRPr lang="en-US"/>
        </a:p>
      </dgm:t>
    </dgm:pt>
    <dgm:pt modelId="{B4CCD37E-40E2-874F-8E68-FC8FF21DF6BF}">
      <dgm:prSet phldrT="[Text]" custT="1"/>
      <dgm:spPr/>
      <dgm:t>
        <a:bodyPr/>
        <a:lstStyle/>
        <a:p>
          <a:r>
            <a:rPr lang="en-US" sz="2000"/>
            <a:t>Confidence</a:t>
          </a:r>
        </a:p>
      </dgm:t>
    </dgm:pt>
    <dgm:pt modelId="{BAC9B705-BEFE-ED41-B8AA-85D512351BCB}" type="parTrans" cxnId="{20F5A6EA-25B5-9140-B95F-D48B99A27428}">
      <dgm:prSet/>
      <dgm:spPr/>
      <dgm:t>
        <a:bodyPr/>
        <a:lstStyle/>
        <a:p>
          <a:endParaRPr lang="en-US"/>
        </a:p>
      </dgm:t>
    </dgm:pt>
    <dgm:pt modelId="{8C6722FF-006F-E043-AF35-B2317A1761B0}" type="sibTrans" cxnId="{20F5A6EA-25B5-9140-B95F-D48B99A27428}">
      <dgm:prSet/>
      <dgm:spPr/>
      <dgm:t>
        <a:bodyPr/>
        <a:lstStyle/>
        <a:p>
          <a:endParaRPr lang="en-US"/>
        </a:p>
      </dgm:t>
    </dgm:pt>
    <dgm:pt modelId="{8E96844C-7255-6247-BB76-E6383BDC5621}">
      <dgm:prSet phldrT="[Text]"/>
      <dgm:spPr/>
      <dgm:t>
        <a:bodyPr/>
        <a:lstStyle/>
        <a:p>
          <a:r>
            <a:rPr lang="en-US"/>
            <a:t>Transferance</a:t>
          </a:r>
        </a:p>
      </dgm:t>
    </dgm:pt>
    <dgm:pt modelId="{1755D434-2AAA-1244-BFDB-D756B045204F}" type="parTrans" cxnId="{C79AB56A-14FF-7D49-B5B7-DD51888B78E7}">
      <dgm:prSet/>
      <dgm:spPr/>
      <dgm:t>
        <a:bodyPr/>
        <a:lstStyle/>
        <a:p>
          <a:endParaRPr lang="en-US"/>
        </a:p>
      </dgm:t>
    </dgm:pt>
    <dgm:pt modelId="{474C2242-DD31-894A-81A5-09B6035F2593}" type="sibTrans" cxnId="{C79AB56A-14FF-7D49-B5B7-DD51888B78E7}">
      <dgm:prSet/>
      <dgm:spPr/>
      <dgm:t>
        <a:bodyPr/>
        <a:lstStyle/>
        <a:p>
          <a:endParaRPr lang="en-US"/>
        </a:p>
      </dgm:t>
    </dgm:pt>
    <dgm:pt modelId="{EAC9C24D-8EE2-5249-A031-B4E48F8381BF}">
      <dgm:prSet phldrT="[Text]"/>
      <dgm:spPr/>
      <dgm:t>
        <a:bodyPr/>
        <a:lstStyle/>
        <a:p>
          <a:r>
            <a:rPr lang="en-US"/>
            <a:t>Skills to clinical environment</a:t>
          </a:r>
        </a:p>
      </dgm:t>
    </dgm:pt>
    <dgm:pt modelId="{3DB7CA57-8BF9-FB44-87E9-DD0FF7839885}" type="parTrans" cxnId="{5510C0F8-4B89-3E4F-BE36-4126DDAC40A3}">
      <dgm:prSet/>
      <dgm:spPr/>
      <dgm:t>
        <a:bodyPr/>
        <a:lstStyle/>
        <a:p>
          <a:endParaRPr lang="en-US"/>
        </a:p>
      </dgm:t>
    </dgm:pt>
    <dgm:pt modelId="{F5CB1261-6CAE-8743-B03C-05074573EAC7}" type="sibTrans" cxnId="{5510C0F8-4B89-3E4F-BE36-4126DDAC40A3}">
      <dgm:prSet/>
      <dgm:spPr/>
      <dgm:t>
        <a:bodyPr/>
        <a:lstStyle/>
        <a:p>
          <a:endParaRPr lang="en-US"/>
        </a:p>
      </dgm:t>
    </dgm:pt>
    <dgm:pt modelId="{6E445134-9FBA-214E-B383-23E71D42FD62}">
      <dgm:prSet phldrT="[Text]"/>
      <dgm:spPr/>
      <dgm:t>
        <a:bodyPr/>
        <a:lstStyle/>
        <a:p>
          <a:r>
            <a:rPr lang="en-US" sz="800"/>
            <a:t>How confident to apply</a:t>
          </a:r>
        </a:p>
      </dgm:t>
    </dgm:pt>
    <dgm:pt modelId="{AF675655-FBB2-204C-867C-9AD9237829A1}" type="parTrans" cxnId="{6765C2A3-202D-5D46-82CA-BFC9F3802E01}">
      <dgm:prSet/>
      <dgm:spPr/>
      <dgm:t>
        <a:bodyPr/>
        <a:lstStyle/>
        <a:p>
          <a:endParaRPr lang="en-US"/>
        </a:p>
      </dgm:t>
    </dgm:pt>
    <dgm:pt modelId="{9F7792F7-9525-AD48-8ECA-01227D532838}" type="sibTrans" cxnId="{6765C2A3-202D-5D46-82CA-BFC9F3802E01}">
      <dgm:prSet/>
      <dgm:spPr/>
      <dgm:t>
        <a:bodyPr/>
        <a:lstStyle/>
        <a:p>
          <a:endParaRPr lang="en-US"/>
        </a:p>
      </dgm:t>
    </dgm:pt>
    <dgm:pt modelId="{396B5E96-2616-8A4D-87A0-0B926AAF3160}">
      <dgm:prSet phldrT="[Text]"/>
      <dgm:spPr/>
      <dgm:t>
        <a:bodyPr/>
        <a:lstStyle/>
        <a:p>
          <a:r>
            <a:rPr lang="en-US" sz="800"/>
            <a:t>Self correction</a:t>
          </a:r>
        </a:p>
      </dgm:t>
    </dgm:pt>
    <dgm:pt modelId="{2A6B39CF-AB1F-4041-BD8D-BFCF6553FE7E}" type="parTrans" cxnId="{47A53B8A-3CB0-6C40-9398-87284ECC3AA5}">
      <dgm:prSet/>
      <dgm:spPr/>
      <dgm:t>
        <a:bodyPr/>
        <a:lstStyle/>
        <a:p>
          <a:endParaRPr lang="en-US"/>
        </a:p>
      </dgm:t>
    </dgm:pt>
    <dgm:pt modelId="{2A1DD20E-EFA4-A04E-A708-B8056002DFF6}" type="sibTrans" cxnId="{47A53B8A-3CB0-6C40-9398-87284ECC3AA5}">
      <dgm:prSet/>
      <dgm:spPr/>
      <dgm:t>
        <a:bodyPr/>
        <a:lstStyle/>
        <a:p>
          <a:endParaRPr lang="en-US"/>
        </a:p>
      </dgm:t>
    </dgm:pt>
    <dgm:pt modelId="{CA9C9632-BD7F-8F43-8D83-804BB7FE24D7}">
      <dgm:prSet phldrT="[Text]"/>
      <dgm:spPr/>
      <dgm:t>
        <a:bodyPr/>
        <a:lstStyle/>
        <a:p>
          <a:r>
            <a:rPr lang="en-US" sz="800"/>
            <a:t>Limitations</a:t>
          </a:r>
        </a:p>
      </dgm:t>
    </dgm:pt>
    <dgm:pt modelId="{DB0E7150-8234-014C-973A-19F957C85DCC}" type="parTrans" cxnId="{8C8BCBAC-FC97-0D47-9390-8E1CCE61FC52}">
      <dgm:prSet/>
      <dgm:spPr/>
      <dgm:t>
        <a:bodyPr/>
        <a:lstStyle/>
        <a:p>
          <a:endParaRPr lang="en-US"/>
        </a:p>
      </dgm:t>
    </dgm:pt>
    <dgm:pt modelId="{43E21433-02BB-1F45-9E55-CCB29A4BDE9C}" type="sibTrans" cxnId="{8C8BCBAC-FC97-0D47-9390-8E1CCE61FC52}">
      <dgm:prSet/>
      <dgm:spPr/>
      <dgm:t>
        <a:bodyPr/>
        <a:lstStyle/>
        <a:p>
          <a:endParaRPr lang="en-US"/>
        </a:p>
      </dgm:t>
    </dgm:pt>
    <dgm:pt modelId="{6C8BE68D-1CA8-C148-B305-707F44CAB522}">
      <dgm:prSet phldrT="[Text]"/>
      <dgm:spPr/>
      <dgm:t>
        <a:bodyPr/>
        <a:lstStyle/>
        <a:p>
          <a:r>
            <a:rPr lang="en-US"/>
            <a:t>Knowledge into practice</a:t>
          </a:r>
        </a:p>
      </dgm:t>
    </dgm:pt>
    <dgm:pt modelId="{E7C3C21F-A48F-4741-B097-CA429C53D6A2}" type="parTrans" cxnId="{C1A3F6F2-51E5-D142-8935-A0B3ADF07239}">
      <dgm:prSet/>
      <dgm:spPr/>
      <dgm:t>
        <a:bodyPr/>
        <a:lstStyle/>
        <a:p>
          <a:endParaRPr lang="en-US"/>
        </a:p>
      </dgm:t>
    </dgm:pt>
    <dgm:pt modelId="{226767DF-7C99-C04F-A00F-A25B0F271606}" type="sibTrans" cxnId="{C1A3F6F2-51E5-D142-8935-A0B3ADF07239}">
      <dgm:prSet/>
      <dgm:spPr/>
      <dgm:t>
        <a:bodyPr/>
        <a:lstStyle/>
        <a:p>
          <a:endParaRPr lang="en-US"/>
        </a:p>
      </dgm:t>
    </dgm:pt>
    <dgm:pt modelId="{A697EABE-EF54-C242-B79E-F0003842FFD3}">
      <dgm:prSet phldrT="[Text]"/>
      <dgm:spPr/>
      <dgm:t>
        <a:bodyPr/>
        <a:lstStyle/>
        <a:p>
          <a:r>
            <a:rPr lang="en-US"/>
            <a:t>Confidence to transfer skills</a:t>
          </a:r>
        </a:p>
      </dgm:t>
    </dgm:pt>
    <dgm:pt modelId="{C15A3182-40F1-3742-88FA-27B99227870C}" type="parTrans" cxnId="{3FEAE23B-F485-A14B-853D-BADF4832A660}">
      <dgm:prSet/>
      <dgm:spPr/>
      <dgm:t>
        <a:bodyPr/>
        <a:lstStyle/>
        <a:p>
          <a:endParaRPr lang="en-US"/>
        </a:p>
      </dgm:t>
    </dgm:pt>
    <dgm:pt modelId="{1F88B230-A387-CF41-A1B1-CDAE8E53A29F}" type="sibTrans" cxnId="{3FEAE23B-F485-A14B-853D-BADF4832A660}">
      <dgm:prSet/>
      <dgm:spPr/>
      <dgm:t>
        <a:bodyPr/>
        <a:lstStyle/>
        <a:p>
          <a:endParaRPr lang="en-US"/>
        </a:p>
      </dgm:t>
    </dgm:pt>
    <dgm:pt modelId="{DEF1233F-4A93-734E-AE64-0B0F8D0D9CD0}">
      <dgm:prSet phldrT="[Text]"/>
      <dgm:spPr/>
      <dgm:t>
        <a:bodyPr/>
        <a:lstStyle/>
        <a:p>
          <a:r>
            <a:rPr lang="en-US" sz="800"/>
            <a:t>Manage self under pressure</a:t>
          </a:r>
        </a:p>
      </dgm:t>
    </dgm:pt>
    <dgm:pt modelId="{2264A8C0-EDE0-A540-AF3A-3C933CB4A667}" type="parTrans" cxnId="{F6CE859A-C160-8F4B-A9F8-F2F6ACB1F063}">
      <dgm:prSet/>
      <dgm:spPr/>
      <dgm:t>
        <a:bodyPr/>
        <a:lstStyle/>
        <a:p>
          <a:endParaRPr lang="en-US"/>
        </a:p>
      </dgm:t>
    </dgm:pt>
    <dgm:pt modelId="{A4AC79CA-9F8B-CA42-BD23-CB7D806E18FB}" type="sibTrans" cxnId="{F6CE859A-C160-8F4B-A9F8-F2F6ACB1F063}">
      <dgm:prSet/>
      <dgm:spPr/>
      <dgm:t>
        <a:bodyPr/>
        <a:lstStyle/>
        <a:p>
          <a:endParaRPr lang="en-US"/>
        </a:p>
      </dgm:t>
    </dgm:pt>
    <dgm:pt modelId="{346D7CA3-E3D9-BA4B-B4D3-A120152A19D0}">
      <dgm:prSet phldrT="[Text]"/>
      <dgm:spPr/>
      <dgm:t>
        <a:bodyPr/>
        <a:lstStyle/>
        <a:p>
          <a:r>
            <a:rPr lang="en-US"/>
            <a:t>Confidence to assess</a:t>
          </a:r>
        </a:p>
      </dgm:t>
    </dgm:pt>
    <dgm:pt modelId="{857A6314-F907-7147-8D4A-F8DDF34B52D6}" type="parTrans" cxnId="{5AE8D2A3-4849-9F4D-95F9-CB72D09F5153}">
      <dgm:prSet/>
      <dgm:spPr/>
      <dgm:t>
        <a:bodyPr/>
        <a:lstStyle/>
        <a:p>
          <a:endParaRPr lang="en-US"/>
        </a:p>
      </dgm:t>
    </dgm:pt>
    <dgm:pt modelId="{2949B4E6-12DA-6640-A6BF-57566478EEFE}" type="sibTrans" cxnId="{5AE8D2A3-4849-9F4D-95F9-CB72D09F5153}">
      <dgm:prSet/>
      <dgm:spPr/>
      <dgm:t>
        <a:bodyPr/>
        <a:lstStyle/>
        <a:p>
          <a:endParaRPr lang="en-US"/>
        </a:p>
      </dgm:t>
    </dgm:pt>
    <dgm:pt modelId="{58EF31D0-2B48-F54B-AC05-AEBFB024BD53}">
      <dgm:prSet phldrT="[Text]"/>
      <dgm:spPr/>
      <dgm:t>
        <a:bodyPr/>
        <a:lstStyle/>
        <a:p>
          <a:r>
            <a:rPr lang="en-US"/>
            <a:t>To be effective</a:t>
          </a:r>
        </a:p>
      </dgm:t>
    </dgm:pt>
    <dgm:pt modelId="{91A05239-4971-5D49-B5FB-8296AD5327B7}" type="parTrans" cxnId="{7DD73F75-C040-FA44-B15A-7E4665368ECD}">
      <dgm:prSet/>
      <dgm:spPr/>
      <dgm:t>
        <a:bodyPr/>
        <a:lstStyle/>
        <a:p>
          <a:endParaRPr lang="en-US"/>
        </a:p>
      </dgm:t>
    </dgm:pt>
    <dgm:pt modelId="{ED6F32B3-14EA-D843-BFC5-2B5CDB190345}" type="sibTrans" cxnId="{7DD73F75-C040-FA44-B15A-7E4665368ECD}">
      <dgm:prSet/>
      <dgm:spPr/>
      <dgm:t>
        <a:bodyPr/>
        <a:lstStyle/>
        <a:p>
          <a:endParaRPr lang="en-US"/>
        </a:p>
      </dgm:t>
    </dgm:pt>
    <dgm:pt modelId="{A54DBE19-2464-DB40-A859-C74FE5CF967F}">
      <dgm:prSet phldrT="[Text]"/>
      <dgm:spPr/>
      <dgm:t>
        <a:bodyPr/>
        <a:lstStyle/>
        <a:p>
          <a:r>
            <a:rPr lang="en-US"/>
            <a:t>To self-correct</a:t>
          </a:r>
        </a:p>
      </dgm:t>
    </dgm:pt>
    <dgm:pt modelId="{745D7488-5AB4-5F4F-BDB8-E18E0593DBC4}" type="parTrans" cxnId="{C35FE0B7-5CA5-1D40-ABAC-486FAAF49D5B}">
      <dgm:prSet/>
      <dgm:spPr/>
      <dgm:t>
        <a:bodyPr/>
        <a:lstStyle/>
        <a:p>
          <a:endParaRPr lang="en-US"/>
        </a:p>
      </dgm:t>
    </dgm:pt>
    <dgm:pt modelId="{9255DDF7-AEEA-F049-A180-7182CD080EF7}" type="sibTrans" cxnId="{C35FE0B7-5CA5-1D40-ABAC-486FAAF49D5B}">
      <dgm:prSet/>
      <dgm:spPr/>
      <dgm:t>
        <a:bodyPr/>
        <a:lstStyle/>
        <a:p>
          <a:endParaRPr lang="en-US"/>
        </a:p>
      </dgm:t>
    </dgm:pt>
    <dgm:pt modelId="{8D57D6E9-85C7-4F4A-B74D-BDF683837B7C}">
      <dgm:prSet phldrT="[Text]"/>
      <dgm:spPr/>
      <dgm:t>
        <a:bodyPr/>
        <a:lstStyle/>
        <a:p>
          <a:r>
            <a:rPr lang="en-US"/>
            <a:t>How confident feel to be an FY1</a:t>
          </a:r>
        </a:p>
      </dgm:t>
    </dgm:pt>
    <dgm:pt modelId="{C5243D39-F6DA-9A45-8D33-19994B9E9268}" type="parTrans" cxnId="{0A2F6F53-BF98-294C-91AD-999F811BA2BB}">
      <dgm:prSet/>
      <dgm:spPr/>
      <dgm:t>
        <a:bodyPr/>
        <a:lstStyle/>
        <a:p>
          <a:endParaRPr lang="en-US"/>
        </a:p>
      </dgm:t>
    </dgm:pt>
    <dgm:pt modelId="{6B8E7356-9072-6D43-9687-65C47F07AE1F}" type="sibTrans" cxnId="{0A2F6F53-BF98-294C-91AD-999F811BA2BB}">
      <dgm:prSet/>
      <dgm:spPr/>
      <dgm:t>
        <a:bodyPr/>
        <a:lstStyle/>
        <a:p>
          <a:endParaRPr lang="en-US"/>
        </a:p>
      </dgm:t>
    </dgm:pt>
    <dgm:pt modelId="{6BFD466F-4588-464F-AA81-E8336E897CA6}">
      <dgm:prSet phldrT="[Text]"/>
      <dgm:spPr/>
      <dgm:t>
        <a:bodyPr/>
        <a:lstStyle/>
        <a:p>
          <a:r>
            <a:rPr lang="en-US"/>
            <a:t>To access help</a:t>
          </a:r>
        </a:p>
      </dgm:t>
    </dgm:pt>
    <dgm:pt modelId="{42F13161-188D-2449-A656-A02FC303CCFA}" type="parTrans" cxnId="{540D9915-7BC1-7F4B-8C5A-8A031F873BA1}">
      <dgm:prSet/>
      <dgm:spPr/>
      <dgm:t>
        <a:bodyPr/>
        <a:lstStyle/>
        <a:p>
          <a:endParaRPr lang="en-US"/>
        </a:p>
      </dgm:t>
    </dgm:pt>
    <dgm:pt modelId="{9CE5C686-B09A-C044-B4EF-CF9EA84405A6}" type="sibTrans" cxnId="{540D9915-7BC1-7F4B-8C5A-8A031F873BA1}">
      <dgm:prSet/>
      <dgm:spPr/>
      <dgm:t>
        <a:bodyPr/>
        <a:lstStyle/>
        <a:p>
          <a:endParaRPr lang="en-US"/>
        </a:p>
      </dgm:t>
    </dgm:pt>
    <dgm:pt modelId="{2E7E70E5-4551-C447-9C91-D357C520E208}">
      <dgm:prSet phldrT="[Text]"/>
      <dgm:spPr/>
      <dgm:t>
        <a:bodyPr/>
        <a:lstStyle/>
        <a:p>
          <a:r>
            <a:rPr lang="en-US"/>
            <a:t>Confidence to manage patients</a:t>
          </a:r>
        </a:p>
      </dgm:t>
    </dgm:pt>
    <dgm:pt modelId="{26AA4D79-A578-E04D-B053-3406D4623B3F}" type="parTrans" cxnId="{11635A38-DD1E-F940-A493-6874D2EB6829}">
      <dgm:prSet/>
      <dgm:spPr/>
      <dgm:t>
        <a:bodyPr/>
        <a:lstStyle/>
        <a:p>
          <a:endParaRPr lang="en-US"/>
        </a:p>
      </dgm:t>
    </dgm:pt>
    <dgm:pt modelId="{0F1165AF-7B95-5044-8CFB-3A854DCA256E}" type="sibTrans" cxnId="{11635A38-DD1E-F940-A493-6874D2EB6829}">
      <dgm:prSet/>
      <dgm:spPr/>
      <dgm:t>
        <a:bodyPr/>
        <a:lstStyle/>
        <a:p>
          <a:endParaRPr lang="en-US"/>
        </a:p>
      </dgm:t>
    </dgm:pt>
    <dgm:pt modelId="{444FF33D-2E89-254D-AD10-02E2A2B0F68A}">
      <dgm:prSet phldrT="[Text]"/>
      <dgm:spPr/>
      <dgm:t>
        <a:bodyPr/>
        <a:lstStyle/>
        <a:p>
          <a:r>
            <a:rPr lang="en-US"/>
            <a:t>Competence</a:t>
          </a:r>
        </a:p>
      </dgm:t>
    </dgm:pt>
    <dgm:pt modelId="{8CB5C30C-6C2B-2B4C-9C4E-80CF55A7225C}" type="parTrans" cxnId="{3898FFB3-2929-7F47-A77B-7FCBB45B1BF4}">
      <dgm:prSet/>
      <dgm:spPr/>
      <dgm:t>
        <a:bodyPr/>
        <a:lstStyle/>
        <a:p>
          <a:endParaRPr lang="en-US"/>
        </a:p>
      </dgm:t>
    </dgm:pt>
    <dgm:pt modelId="{7DEB2143-B66A-2E44-B79F-9403E42F16A9}" type="sibTrans" cxnId="{3898FFB3-2929-7F47-A77B-7FCBB45B1BF4}">
      <dgm:prSet/>
      <dgm:spPr/>
      <dgm:t>
        <a:bodyPr/>
        <a:lstStyle/>
        <a:p>
          <a:endParaRPr lang="en-US"/>
        </a:p>
      </dgm:t>
    </dgm:pt>
    <dgm:pt modelId="{12FFFA4D-6E29-1844-96A1-DA6F42732649}" type="pres">
      <dgm:prSet presAssocID="{CC55F916-5070-A84B-A4C6-2A4176545429}" presName="compositeShape" presStyleCnt="0">
        <dgm:presLayoutVars>
          <dgm:chMax val="7"/>
          <dgm:dir/>
          <dgm:resizeHandles val="exact"/>
        </dgm:presLayoutVars>
      </dgm:prSet>
      <dgm:spPr/>
    </dgm:pt>
    <dgm:pt modelId="{EDFD7EE0-20F1-544F-9B3E-721640F84B5B}" type="pres">
      <dgm:prSet presAssocID="{B4CCD37E-40E2-874F-8E68-FC8FF21DF6BF}" presName="circ1" presStyleLbl="vennNode1" presStyleIdx="0" presStyleCnt="6" custScaleX="100001" custScaleY="93174" custLinFactY="8217" custLinFactNeighborX="77632" custLinFactNeighborY="100000"/>
      <dgm:spPr/>
    </dgm:pt>
    <dgm:pt modelId="{3D727D82-49EE-1043-9A4D-CFA4A4D207AB}" type="pres">
      <dgm:prSet presAssocID="{B4CCD37E-40E2-874F-8E68-FC8FF21DF6BF}" presName="circ1Tx" presStyleLbl="revTx" presStyleIdx="0" presStyleCnt="0" custLinFactY="62107" custLinFactNeighborX="8606" custLinFactNeighborY="100000">
        <dgm:presLayoutVars>
          <dgm:chMax val="0"/>
          <dgm:chPref val="0"/>
          <dgm:bulletEnabled val="1"/>
        </dgm:presLayoutVars>
      </dgm:prSet>
      <dgm:spPr/>
    </dgm:pt>
    <dgm:pt modelId="{D9940C12-E6FC-F04E-8C27-89ED4D45A06E}" type="pres">
      <dgm:prSet presAssocID="{8E96844C-7255-6247-BB76-E6383BDC5621}" presName="circ2" presStyleLbl="vennNode1" presStyleIdx="1" presStyleCnt="6" custScaleX="178217" custScaleY="180530" custLinFactNeighborX="-22689" custLinFactNeighborY="2072"/>
      <dgm:spPr/>
    </dgm:pt>
    <dgm:pt modelId="{637D75B5-4066-2841-81C6-ADBA02C8998A}" type="pres">
      <dgm:prSet presAssocID="{8E96844C-7255-6247-BB76-E6383BDC5621}" presName="circ2Tx" presStyleLbl="revTx" presStyleIdx="0" presStyleCnt="0" custScaleY="94458" custLinFactX="-100000" custLinFactNeighborX="-130207" custLinFactNeighborY="49033">
        <dgm:presLayoutVars>
          <dgm:chMax val="0"/>
          <dgm:chPref val="0"/>
          <dgm:bulletEnabled val="1"/>
        </dgm:presLayoutVars>
      </dgm:prSet>
      <dgm:spPr/>
    </dgm:pt>
    <dgm:pt modelId="{32E4B4FF-8BD5-5641-923F-C64039456503}" type="pres">
      <dgm:prSet presAssocID="{89979390-4ADA-2245-9157-1512A494548E}" presName="circ3" presStyleLbl="vennNode1" presStyleIdx="2" presStyleCnt="6" custScaleX="113798" custScaleY="113798" custLinFactNeighborX="-37615" custLinFactNeighborY="76102"/>
      <dgm:spPr/>
    </dgm:pt>
    <dgm:pt modelId="{A6459B6E-80F3-FE45-9EE4-606BB23DA500}" type="pres">
      <dgm:prSet presAssocID="{89979390-4ADA-2245-9157-1512A494548E}" presName="circ3Tx" presStyleLbl="revTx" presStyleIdx="0" presStyleCnt="0" custLinFactNeighborX="-61311" custLinFactNeighborY="12244">
        <dgm:presLayoutVars>
          <dgm:chMax val="0"/>
          <dgm:chPref val="0"/>
          <dgm:bulletEnabled val="1"/>
        </dgm:presLayoutVars>
      </dgm:prSet>
      <dgm:spPr/>
    </dgm:pt>
    <dgm:pt modelId="{5B454D46-93C6-F04C-BF13-EA6A7DB6C627}" type="pres">
      <dgm:prSet presAssocID="{04A3905A-8A7D-6949-8C84-014B7BA9609B}" presName="circ4" presStyleLbl="vennNode1" presStyleIdx="3" presStyleCnt="6" custScaleX="155192" custScaleY="155192" custLinFactY="-22047" custLinFactNeighborX="-56935" custLinFactNeighborY="-100000"/>
      <dgm:spPr/>
    </dgm:pt>
    <dgm:pt modelId="{875E2B12-9D11-A544-8B34-52A7BF4B8529}" type="pres">
      <dgm:prSet presAssocID="{04A3905A-8A7D-6949-8C84-014B7BA9609B}" presName="circ4Tx" presStyleLbl="revTx" presStyleIdx="0" presStyleCnt="0" custLinFactNeighborX="2433" custLinFactNeighborY="-51976">
        <dgm:presLayoutVars>
          <dgm:chMax val="0"/>
          <dgm:chPref val="0"/>
          <dgm:bulletEnabled val="1"/>
        </dgm:presLayoutVars>
      </dgm:prSet>
      <dgm:spPr/>
    </dgm:pt>
    <dgm:pt modelId="{E28D9292-D31D-5140-8B39-412DD529F058}" type="pres">
      <dgm:prSet presAssocID="{BCF8FFFE-EF7A-0744-93D8-1377305DD328}" presName="circ5" presStyleLbl="vennNode1" presStyleIdx="4" presStyleCnt="6" custScaleX="113797" custScaleY="113797" custLinFactNeighborX="-86568" custLinFactNeighborY="-34283"/>
      <dgm:spPr/>
    </dgm:pt>
    <dgm:pt modelId="{242C6BE9-5A86-7B49-8D8F-33E58D1E1923}" type="pres">
      <dgm:prSet presAssocID="{BCF8FFFE-EF7A-0744-93D8-1377305DD328}" presName="circ5Tx" presStyleLbl="revTx" presStyleIdx="0" presStyleCnt="0" custLinFactY="-86447" custLinFactNeighborX="62302" custLinFactNeighborY="-100000">
        <dgm:presLayoutVars>
          <dgm:chMax val="0"/>
          <dgm:chPref val="0"/>
          <dgm:bulletEnabled val="1"/>
        </dgm:presLayoutVars>
      </dgm:prSet>
      <dgm:spPr/>
    </dgm:pt>
    <dgm:pt modelId="{91D68046-4E57-E644-A4FA-A319A36D434D}" type="pres">
      <dgm:prSet presAssocID="{E4857541-AF8B-FF40-B2AB-9256F2361B90}" presName="circ6" presStyleLbl="vennNode1" presStyleIdx="5" presStyleCnt="6" custScaleX="141394" custScaleY="134567" custLinFactNeighborX="-79669" custLinFactNeighborY="82576"/>
      <dgm:spPr/>
    </dgm:pt>
    <dgm:pt modelId="{86D1E055-3110-9147-A7DD-68AEE2158B33}" type="pres">
      <dgm:prSet presAssocID="{E4857541-AF8B-FF40-B2AB-9256F2361B90}" presName="circ6Tx" presStyleLbl="revTx" presStyleIdx="0" presStyleCnt="0" custLinFactY="53332" custLinFactNeighborX="21534" custLinFactNeighborY="100000">
        <dgm:presLayoutVars>
          <dgm:chMax val="0"/>
          <dgm:chPref val="0"/>
          <dgm:bulletEnabled val="1"/>
        </dgm:presLayoutVars>
      </dgm:prSet>
      <dgm:spPr/>
    </dgm:pt>
  </dgm:ptLst>
  <dgm:cxnLst>
    <dgm:cxn modelId="{7EFEF803-2694-7044-869D-C9BED60E5BC0}" type="presOf" srcId="{CA9C9632-BD7F-8F43-8D83-804BB7FE24D7}" destId="{86D1E055-3110-9147-A7DD-68AEE2158B33}" srcOrd="0" destOrd="5" presId="urn:microsoft.com/office/officeart/2005/8/layout/venn1"/>
    <dgm:cxn modelId="{9C079F13-5C5D-4042-AFA5-63DAC269E40F}" srcId="{BCF8FFFE-EF7A-0744-93D8-1377305DD328}" destId="{D2638DA6-9EC9-7A4B-920C-9BE246CE58FC}" srcOrd="2" destOrd="0" parTransId="{C75B54A7-9952-6046-BE88-47D71F7EB983}" sibTransId="{DF346A67-38D4-784C-A317-2EA76C5C8AC3}"/>
    <dgm:cxn modelId="{540D9915-7BC1-7F4B-8C5A-8A031F873BA1}" srcId="{04A3905A-8A7D-6949-8C84-014B7BA9609B}" destId="{6BFD466F-4588-464F-AA81-E8336E897CA6}" srcOrd="4" destOrd="0" parTransId="{42F13161-188D-2449-A656-A02FC303CCFA}" sibTransId="{9CE5C686-B09A-C044-B4EF-CF9EA84405A6}"/>
    <dgm:cxn modelId="{D3B03B1E-D1B7-934E-A0C7-5E9C436C1593}" type="presOf" srcId="{D72F65E9-314D-1340-BC9F-9A4201119DC0}" destId="{242C6BE9-5A86-7B49-8D8F-33E58D1E1923}" srcOrd="0" destOrd="2" presId="urn:microsoft.com/office/officeart/2005/8/layout/venn1"/>
    <dgm:cxn modelId="{E6C7692B-6197-BC46-ABBF-0645B75C5D36}" type="presOf" srcId="{396B5E96-2616-8A4D-87A0-0B926AAF3160}" destId="{86D1E055-3110-9147-A7DD-68AEE2158B33}" srcOrd="0" destOrd="4" presId="urn:microsoft.com/office/officeart/2005/8/layout/venn1"/>
    <dgm:cxn modelId="{0EA4C62B-2EDF-214C-A065-FC7BD388113F}" type="presOf" srcId="{22237D64-DE3D-184B-836E-FFE1485FFE2A}" destId="{875E2B12-9D11-A544-8B34-52A7BF4B8529}" srcOrd="0" destOrd="1" presId="urn:microsoft.com/office/officeart/2005/8/layout/venn1"/>
    <dgm:cxn modelId="{2063722D-FC5D-0443-9828-780C0457F400}" srcId="{E4857541-AF8B-FF40-B2AB-9256F2361B90}" destId="{6B9E33A5-3B08-AB44-9757-E512AB0B5C3C}" srcOrd="2" destOrd="0" parTransId="{0B3AA3FD-1CDF-5541-87BD-D6248C58C563}" sibTransId="{1E717516-CDB8-834E-A7CF-576E34EA1C9D}"/>
    <dgm:cxn modelId="{A91F4332-3E37-2F45-BF81-D408BE4B4DC9}" srcId="{E4857541-AF8B-FF40-B2AB-9256F2361B90}" destId="{118B4873-B16A-724C-8837-158BD5D7B50D}" srcOrd="1" destOrd="0" parTransId="{354EF111-4C34-A943-A15D-E6F7683DDE7E}" sibTransId="{F6F81A63-D2CC-F244-A3D1-762527AD7B21}"/>
    <dgm:cxn modelId="{AC18EB32-7206-9C4F-848F-271192F3CC53}" type="presOf" srcId="{2E7E70E5-4551-C447-9C91-D357C520E208}" destId="{875E2B12-9D11-A544-8B34-52A7BF4B8529}" srcOrd="0" destOrd="7" presId="urn:microsoft.com/office/officeart/2005/8/layout/venn1"/>
    <dgm:cxn modelId="{2EA54C36-738D-CA4E-9A95-5DC803DB34AD}" type="presOf" srcId="{7F41E2EA-C098-BA49-A5F3-E39A9424A753}" destId="{242C6BE9-5A86-7B49-8D8F-33E58D1E1923}" srcOrd="0" destOrd="1" presId="urn:microsoft.com/office/officeart/2005/8/layout/venn1"/>
    <dgm:cxn modelId="{308A6E36-D76C-414F-A408-188C3F976561}" type="presOf" srcId="{B4CCD37E-40E2-874F-8E68-FC8FF21DF6BF}" destId="{3D727D82-49EE-1043-9A4D-CFA4A4D207AB}" srcOrd="0" destOrd="0" presId="urn:microsoft.com/office/officeart/2005/8/layout/venn1"/>
    <dgm:cxn modelId="{11635A38-DD1E-F940-A493-6874D2EB6829}" srcId="{04A3905A-8A7D-6949-8C84-014B7BA9609B}" destId="{2E7E70E5-4551-C447-9C91-D357C520E208}" srcOrd="6" destOrd="0" parTransId="{26AA4D79-A578-E04D-B053-3406D4623B3F}" sibTransId="{0F1165AF-7B95-5044-8CFB-3A854DCA256E}"/>
    <dgm:cxn modelId="{EC6B193A-F30B-CB40-9920-5322E89748E7}" srcId="{CC55F916-5070-A84B-A4C6-2A4176545429}" destId="{E4857541-AF8B-FF40-B2AB-9256F2361B90}" srcOrd="5" destOrd="0" parTransId="{C1641EFD-B818-BE45-907D-56899F5E247E}" sibTransId="{F59EBE1E-6CA9-9F4A-9606-4EC0EE9CD6EC}"/>
    <dgm:cxn modelId="{9D5F793B-FFA0-5048-BEEB-4325325D18C7}" type="presOf" srcId="{58EF31D0-2B48-F54B-AC05-AEBFB024BD53}" destId="{875E2B12-9D11-A544-8B34-52A7BF4B8529}" srcOrd="0" destOrd="3" presId="urn:microsoft.com/office/officeart/2005/8/layout/venn1"/>
    <dgm:cxn modelId="{3FEAE23B-F485-A14B-853D-BADF4832A660}" srcId="{8E96844C-7255-6247-BB76-E6383BDC5621}" destId="{A697EABE-EF54-C242-B79E-F0003842FFD3}" srcOrd="2" destOrd="0" parTransId="{C15A3182-40F1-3742-88FA-27B99227870C}" sibTransId="{1F88B230-A387-CF41-A1B1-CDAE8E53A29F}"/>
    <dgm:cxn modelId="{3A875D3D-3F7A-EB40-8720-0969E327F7B4}" srcId="{CC55F916-5070-A84B-A4C6-2A4176545429}" destId="{BCF8FFFE-EF7A-0744-93D8-1377305DD328}" srcOrd="4" destOrd="0" parTransId="{F6557274-7DBC-2642-957D-9F5CF25B7FBD}" sibTransId="{FD5DC7EB-37FB-C447-BA8B-A1BCF989C7A5}"/>
    <dgm:cxn modelId="{9B14CE3D-5EB0-8F4F-8777-FEA45E05F6AC}" type="presOf" srcId="{6E445134-9FBA-214E-B383-23E71D42FD62}" destId="{242C6BE9-5A86-7B49-8D8F-33E58D1E1923}" srcOrd="0" destOrd="4" presId="urn:microsoft.com/office/officeart/2005/8/layout/venn1"/>
    <dgm:cxn modelId="{ED43285D-DC66-4D4E-9BE2-AD3CC3C3CCC8}" type="presOf" srcId="{6B9E33A5-3B08-AB44-9757-E512AB0B5C3C}" destId="{86D1E055-3110-9147-A7DD-68AEE2158B33}" srcOrd="0" destOrd="3" presId="urn:microsoft.com/office/officeart/2005/8/layout/venn1"/>
    <dgm:cxn modelId="{0537CB42-98FE-4846-A950-BC670BB41DE5}" type="presOf" srcId="{CC55F916-5070-A84B-A4C6-2A4176545429}" destId="{12FFFA4D-6E29-1844-96A1-DA6F42732649}" srcOrd="0" destOrd="0" presId="urn:microsoft.com/office/officeart/2005/8/layout/venn1"/>
    <dgm:cxn modelId="{61907A63-395A-3345-A214-843DE0F0F6E2}" type="presOf" srcId="{2B5E4C4C-BF38-564C-826E-0676B4ACB960}" destId="{86D1E055-3110-9147-A7DD-68AEE2158B33}" srcOrd="0" destOrd="1" presId="urn:microsoft.com/office/officeart/2005/8/layout/venn1"/>
    <dgm:cxn modelId="{C79AB56A-14FF-7D49-B5B7-DD51888B78E7}" srcId="{CC55F916-5070-A84B-A4C6-2A4176545429}" destId="{8E96844C-7255-6247-BB76-E6383BDC5621}" srcOrd="1" destOrd="0" parTransId="{1755D434-2AAA-1244-BFDB-D756B045204F}" sibTransId="{474C2242-DD31-894A-81A5-09B6035F2593}"/>
    <dgm:cxn modelId="{F239664E-2085-0946-8C8B-E80D9DFDF4E9}" type="presOf" srcId="{DEF1233F-4A93-734E-AE64-0B0F8D0D9CD0}" destId="{86D1E055-3110-9147-A7DD-68AEE2158B33}" srcOrd="0" destOrd="6" presId="urn:microsoft.com/office/officeart/2005/8/layout/venn1"/>
    <dgm:cxn modelId="{0A2F6F53-BF98-294C-91AD-999F811BA2BB}" srcId="{89979390-4ADA-2245-9157-1512A494548E}" destId="{8D57D6E9-85C7-4F4A-B74D-BDF683837B7C}" srcOrd="0" destOrd="0" parTransId="{C5243D39-F6DA-9A45-8D33-19994B9E9268}" sibTransId="{6B8E7356-9072-6D43-9687-65C47F07AE1F}"/>
    <dgm:cxn modelId="{74759173-8057-8847-9765-8A6D37589042}" type="presOf" srcId="{8E96844C-7255-6247-BB76-E6383BDC5621}" destId="{637D75B5-4066-2841-81C6-ADBA02C8998A}" srcOrd="0" destOrd="0" presId="urn:microsoft.com/office/officeart/2005/8/layout/venn1"/>
    <dgm:cxn modelId="{7DD73F75-C040-FA44-B15A-7E4665368ECD}" srcId="{04A3905A-8A7D-6949-8C84-014B7BA9609B}" destId="{58EF31D0-2B48-F54B-AC05-AEBFB024BD53}" srcOrd="2" destOrd="0" parTransId="{91A05239-4971-5D49-B5FB-8296AD5327B7}" sibTransId="{ED6F32B3-14EA-D843-BFC5-2B5CDB190345}"/>
    <dgm:cxn modelId="{581BF379-4EDE-EC41-A8B2-4646DF7EE480}" type="presOf" srcId="{A54DBE19-2464-DB40-A859-C74FE5CF967F}" destId="{875E2B12-9D11-A544-8B34-52A7BF4B8529}" srcOrd="0" destOrd="4" presId="urn:microsoft.com/office/officeart/2005/8/layout/venn1"/>
    <dgm:cxn modelId="{1886F97F-0348-D645-8D9B-EC1723C8F42C}" srcId="{CC55F916-5070-A84B-A4C6-2A4176545429}" destId="{04A3905A-8A7D-6949-8C84-014B7BA9609B}" srcOrd="3" destOrd="0" parTransId="{EC10E2E5-FD4A-A843-9C8A-3F35EDCDFCC0}" sibTransId="{693459E4-B79E-774B-B463-5DEACC1C65B8}"/>
    <dgm:cxn modelId="{47A53B8A-3CB0-6C40-9398-87284ECC3AA5}" srcId="{E4857541-AF8B-FF40-B2AB-9256F2361B90}" destId="{396B5E96-2616-8A4D-87A0-0B926AAF3160}" srcOrd="3" destOrd="0" parTransId="{2A6B39CF-AB1F-4041-BD8D-BFCF6553FE7E}" sibTransId="{2A1DD20E-EFA4-A04E-A708-B8056002DFF6}"/>
    <dgm:cxn modelId="{4B678D8B-32D1-134E-B62F-3145221A5153}" type="presOf" srcId="{89979390-4ADA-2245-9157-1512A494548E}" destId="{A6459B6E-80F3-FE45-9EE4-606BB23DA500}" srcOrd="0" destOrd="0" presId="urn:microsoft.com/office/officeart/2005/8/layout/venn1"/>
    <dgm:cxn modelId="{659CE490-F61F-5A48-96B4-D54060ED0118}" type="presOf" srcId="{EAC9C24D-8EE2-5249-A031-B4E48F8381BF}" destId="{637D75B5-4066-2841-81C6-ADBA02C8998A}" srcOrd="0" destOrd="1" presId="urn:microsoft.com/office/officeart/2005/8/layout/venn1"/>
    <dgm:cxn modelId="{C8740D93-0A09-1846-92CD-1AFD227E8BA2}" type="presOf" srcId="{04A3905A-8A7D-6949-8C84-014B7BA9609B}" destId="{875E2B12-9D11-A544-8B34-52A7BF4B8529}" srcOrd="0" destOrd="0" presId="urn:microsoft.com/office/officeart/2005/8/layout/venn1"/>
    <dgm:cxn modelId="{A56E5A9A-1BAD-124C-B932-E7A128C42CF4}" srcId="{BCF8FFFE-EF7A-0744-93D8-1377305DD328}" destId="{D72F65E9-314D-1340-BC9F-9A4201119DC0}" srcOrd="1" destOrd="0" parTransId="{9879747D-1DA7-6249-AD93-B62336133B1F}" sibTransId="{740AB42D-9495-9840-9440-39CF47BB5FFB}"/>
    <dgm:cxn modelId="{F6CE859A-C160-8F4B-A9F8-F2F6ACB1F063}" srcId="{E4857541-AF8B-FF40-B2AB-9256F2361B90}" destId="{DEF1233F-4A93-734E-AE64-0B0F8D0D9CD0}" srcOrd="5" destOrd="0" parTransId="{2264A8C0-EDE0-A540-AF3A-3C933CB4A667}" sibTransId="{A4AC79CA-9F8B-CA42-BD23-CB7D806E18FB}"/>
    <dgm:cxn modelId="{7FF49A9C-B94C-D844-B6B4-C257C5D93AA4}" srcId="{BCF8FFFE-EF7A-0744-93D8-1377305DD328}" destId="{7F41E2EA-C098-BA49-A5F3-E39A9424A753}" srcOrd="0" destOrd="0" parTransId="{64263A10-A295-8A4F-911A-E00B7DD45E51}" sibTransId="{69680F9C-DF97-4743-90DC-003605195F20}"/>
    <dgm:cxn modelId="{6765C2A3-202D-5D46-82CA-BFC9F3802E01}" srcId="{BCF8FFFE-EF7A-0744-93D8-1377305DD328}" destId="{6E445134-9FBA-214E-B383-23E71D42FD62}" srcOrd="3" destOrd="0" parTransId="{AF675655-FBB2-204C-867C-9AD9237829A1}" sibTransId="{9F7792F7-9525-AD48-8ECA-01227D532838}"/>
    <dgm:cxn modelId="{5AE8D2A3-4849-9F4D-95F9-CB72D09F5153}" srcId="{04A3905A-8A7D-6949-8C84-014B7BA9609B}" destId="{346D7CA3-E3D9-BA4B-B4D3-A120152A19D0}" srcOrd="5" destOrd="0" parTransId="{857A6314-F907-7147-8D4A-F8DDF34B52D6}" sibTransId="{2949B4E6-12DA-6640-A6BF-57566478EEFE}"/>
    <dgm:cxn modelId="{610034AB-6CEC-4643-BA91-C52BE9002F83}" type="presOf" srcId="{BCF8FFFE-EF7A-0744-93D8-1377305DD328}" destId="{242C6BE9-5A86-7B49-8D8F-33E58D1E1923}" srcOrd="0" destOrd="0" presId="urn:microsoft.com/office/officeart/2005/8/layout/venn1"/>
    <dgm:cxn modelId="{8C8BCBAC-FC97-0D47-9390-8E1CCE61FC52}" srcId="{E4857541-AF8B-FF40-B2AB-9256F2361B90}" destId="{CA9C9632-BD7F-8F43-8D83-804BB7FE24D7}" srcOrd="4" destOrd="0" parTransId="{DB0E7150-8234-014C-973A-19F957C85DCC}" sibTransId="{43E21433-02BB-1F45-9E55-CCB29A4BDE9C}"/>
    <dgm:cxn modelId="{6AD974AD-B6F5-FD49-ADE5-BCEBADC3D067}" type="presOf" srcId="{444FF33D-2E89-254D-AD10-02E2A2B0F68A}" destId="{875E2B12-9D11-A544-8B34-52A7BF4B8529}" srcOrd="0" destOrd="2" presId="urn:microsoft.com/office/officeart/2005/8/layout/venn1"/>
    <dgm:cxn modelId="{3898FFB3-2929-7F47-A77B-7FCBB45B1BF4}" srcId="{04A3905A-8A7D-6949-8C84-014B7BA9609B}" destId="{444FF33D-2E89-254D-AD10-02E2A2B0F68A}" srcOrd="1" destOrd="0" parTransId="{8CB5C30C-6C2B-2B4C-9C4E-80CF55A7225C}" sibTransId="{7DEB2143-B66A-2E44-B79F-9403E42F16A9}"/>
    <dgm:cxn modelId="{198B44B4-32A3-0E4C-A713-230BA635F2F4}" type="presOf" srcId="{E4857541-AF8B-FF40-B2AB-9256F2361B90}" destId="{86D1E055-3110-9147-A7DD-68AEE2158B33}" srcOrd="0" destOrd="0" presId="urn:microsoft.com/office/officeart/2005/8/layout/venn1"/>
    <dgm:cxn modelId="{C35FE0B7-5CA5-1D40-ABAC-486FAAF49D5B}" srcId="{04A3905A-8A7D-6949-8C84-014B7BA9609B}" destId="{A54DBE19-2464-DB40-A859-C74FE5CF967F}" srcOrd="3" destOrd="0" parTransId="{745D7488-5AB4-5F4F-BDB8-E18E0593DBC4}" sibTransId="{9255DDF7-AEEA-F049-A180-7182CD080EF7}"/>
    <dgm:cxn modelId="{BDAA92B9-CD1F-E243-B097-E28594AD4FF8}" type="presOf" srcId="{6C8BE68D-1CA8-C148-B305-707F44CAB522}" destId="{637D75B5-4066-2841-81C6-ADBA02C8998A}" srcOrd="0" destOrd="2" presId="urn:microsoft.com/office/officeart/2005/8/layout/venn1"/>
    <dgm:cxn modelId="{98B1C2C2-2B2C-D349-A901-E864CF453EBD}" srcId="{CC55F916-5070-A84B-A4C6-2A4176545429}" destId="{89979390-4ADA-2245-9157-1512A494548E}" srcOrd="2" destOrd="0" parTransId="{D0FD73B5-3C6F-FC45-909A-3AC3B72E4513}" sibTransId="{00FCCE77-18B0-CD45-B084-AD778969B939}"/>
    <dgm:cxn modelId="{0331E8C7-C53C-2143-A3DE-706E0660969F}" type="presOf" srcId="{346D7CA3-E3D9-BA4B-B4D3-A120152A19D0}" destId="{875E2B12-9D11-A544-8B34-52A7BF4B8529}" srcOrd="0" destOrd="6" presId="urn:microsoft.com/office/officeart/2005/8/layout/venn1"/>
    <dgm:cxn modelId="{10234ECE-425E-3049-BA2C-1F311241A1FF}" type="presOf" srcId="{8D57D6E9-85C7-4F4A-B74D-BDF683837B7C}" destId="{A6459B6E-80F3-FE45-9EE4-606BB23DA500}" srcOrd="0" destOrd="1" presId="urn:microsoft.com/office/officeart/2005/8/layout/venn1"/>
    <dgm:cxn modelId="{8807CCCE-05EE-0043-85DD-616DD4B132BE}" type="presOf" srcId="{A697EABE-EF54-C242-B79E-F0003842FFD3}" destId="{637D75B5-4066-2841-81C6-ADBA02C8998A}" srcOrd="0" destOrd="3" presId="urn:microsoft.com/office/officeart/2005/8/layout/venn1"/>
    <dgm:cxn modelId="{DE15DBDB-7C71-7D42-A4F7-FE78B0A643FF}" srcId="{E4857541-AF8B-FF40-B2AB-9256F2361B90}" destId="{2B5E4C4C-BF38-564C-826E-0676B4ACB960}" srcOrd="0" destOrd="0" parTransId="{7A6A587F-68E5-4443-9C51-99DE91A1487B}" sibTransId="{8A865436-3E18-5149-AC49-8F5AC1ED5CFD}"/>
    <dgm:cxn modelId="{20F5A6EA-25B5-9140-B95F-D48B99A27428}" srcId="{CC55F916-5070-A84B-A4C6-2A4176545429}" destId="{B4CCD37E-40E2-874F-8E68-FC8FF21DF6BF}" srcOrd="0" destOrd="0" parTransId="{BAC9B705-BEFE-ED41-B8AA-85D512351BCB}" sibTransId="{8C6722FF-006F-E043-AF35-B2317A1761B0}"/>
    <dgm:cxn modelId="{C1A3F6F2-51E5-D142-8935-A0B3ADF07239}" srcId="{8E96844C-7255-6247-BB76-E6383BDC5621}" destId="{6C8BE68D-1CA8-C148-B305-707F44CAB522}" srcOrd="1" destOrd="0" parTransId="{E7C3C21F-A48F-4741-B097-CA429C53D6A2}" sibTransId="{226767DF-7C99-C04F-A00F-A25B0F271606}"/>
    <dgm:cxn modelId="{7EF3C5F3-E0F5-EE4F-BBF9-089D414374CA}" type="presOf" srcId="{D2638DA6-9EC9-7A4B-920C-9BE246CE58FC}" destId="{242C6BE9-5A86-7B49-8D8F-33E58D1E1923}" srcOrd="0" destOrd="3" presId="urn:microsoft.com/office/officeart/2005/8/layout/venn1"/>
    <dgm:cxn modelId="{65196DF6-C0AE-FD41-B4F4-2D0F28BF47C6}" srcId="{04A3905A-8A7D-6949-8C84-014B7BA9609B}" destId="{22237D64-DE3D-184B-836E-FFE1485FFE2A}" srcOrd="0" destOrd="0" parTransId="{179D3947-E5E7-DE41-8226-9E72170CBBF1}" sibTransId="{E0822ADF-4D53-4F4F-BBB4-80223CE0FC61}"/>
    <dgm:cxn modelId="{64F92FF7-6519-D94F-A5E4-AFDEDADEBD96}" type="presOf" srcId="{118B4873-B16A-724C-8837-158BD5D7B50D}" destId="{86D1E055-3110-9147-A7DD-68AEE2158B33}" srcOrd="0" destOrd="2" presId="urn:microsoft.com/office/officeart/2005/8/layout/venn1"/>
    <dgm:cxn modelId="{5E8105F8-A7CB-434A-89BF-F3E8937154A3}" type="presOf" srcId="{6BFD466F-4588-464F-AA81-E8336E897CA6}" destId="{875E2B12-9D11-A544-8B34-52A7BF4B8529}" srcOrd="0" destOrd="5" presId="urn:microsoft.com/office/officeart/2005/8/layout/venn1"/>
    <dgm:cxn modelId="{5510C0F8-4B89-3E4F-BE36-4126DDAC40A3}" srcId="{8E96844C-7255-6247-BB76-E6383BDC5621}" destId="{EAC9C24D-8EE2-5249-A031-B4E48F8381BF}" srcOrd="0" destOrd="0" parTransId="{3DB7CA57-8BF9-FB44-87E9-DD0FF7839885}" sibTransId="{F5CB1261-6CAE-8743-B03C-05074573EAC7}"/>
    <dgm:cxn modelId="{EDBB5945-806A-C647-97B1-03DC98954F24}" type="presParOf" srcId="{12FFFA4D-6E29-1844-96A1-DA6F42732649}" destId="{EDFD7EE0-20F1-544F-9B3E-721640F84B5B}" srcOrd="0" destOrd="0" presId="urn:microsoft.com/office/officeart/2005/8/layout/venn1"/>
    <dgm:cxn modelId="{AC87538F-5BF4-5940-AC84-CB021E8B1D80}" type="presParOf" srcId="{12FFFA4D-6E29-1844-96A1-DA6F42732649}" destId="{3D727D82-49EE-1043-9A4D-CFA4A4D207AB}" srcOrd="1" destOrd="0" presId="urn:microsoft.com/office/officeart/2005/8/layout/venn1"/>
    <dgm:cxn modelId="{0B5664CC-4E5C-E847-9D2E-C1359029CBFE}" type="presParOf" srcId="{12FFFA4D-6E29-1844-96A1-DA6F42732649}" destId="{D9940C12-E6FC-F04E-8C27-89ED4D45A06E}" srcOrd="2" destOrd="0" presId="urn:microsoft.com/office/officeart/2005/8/layout/venn1"/>
    <dgm:cxn modelId="{8FC45F39-F6E9-D14F-A05B-3968C735F0EB}" type="presParOf" srcId="{12FFFA4D-6E29-1844-96A1-DA6F42732649}" destId="{637D75B5-4066-2841-81C6-ADBA02C8998A}" srcOrd="3" destOrd="0" presId="urn:microsoft.com/office/officeart/2005/8/layout/venn1"/>
    <dgm:cxn modelId="{4264D3E2-D2F9-5849-B1FE-14C48518771D}" type="presParOf" srcId="{12FFFA4D-6E29-1844-96A1-DA6F42732649}" destId="{32E4B4FF-8BD5-5641-923F-C64039456503}" srcOrd="4" destOrd="0" presId="urn:microsoft.com/office/officeart/2005/8/layout/venn1"/>
    <dgm:cxn modelId="{3E5D3635-70E3-DC48-8B38-93AE7EC62EEE}" type="presParOf" srcId="{12FFFA4D-6E29-1844-96A1-DA6F42732649}" destId="{A6459B6E-80F3-FE45-9EE4-606BB23DA500}" srcOrd="5" destOrd="0" presId="urn:microsoft.com/office/officeart/2005/8/layout/venn1"/>
    <dgm:cxn modelId="{882F0937-E364-7E48-ADD7-E2F7492AF66B}" type="presParOf" srcId="{12FFFA4D-6E29-1844-96A1-DA6F42732649}" destId="{5B454D46-93C6-F04C-BF13-EA6A7DB6C627}" srcOrd="6" destOrd="0" presId="urn:microsoft.com/office/officeart/2005/8/layout/venn1"/>
    <dgm:cxn modelId="{FF7E1E08-75C0-3546-9F2B-41AEDEB53F64}" type="presParOf" srcId="{12FFFA4D-6E29-1844-96A1-DA6F42732649}" destId="{875E2B12-9D11-A544-8B34-52A7BF4B8529}" srcOrd="7" destOrd="0" presId="urn:microsoft.com/office/officeart/2005/8/layout/venn1"/>
    <dgm:cxn modelId="{BD33F9AD-2CAE-C240-A903-5191369308DD}" type="presParOf" srcId="{12FFFA4D-6E29-1844-96A1-DA6F42732649}" destId="{E28D9292-D31D-5140-8B39-412DD529F058}" srcOrd="8" destOrd="0" presId="urn:microsoft.com/office/officeart/2005/8/layout/venn1"/>
    <dgm:cxn modelId="{E7F64580-A8B4-B245-928C-12F55DE7EE28}" type="presParOf" srcId="{12FFFA4D-6E29-1844-96A1-DA6F42732649}" destId="{242C6BE9-5A86-7B49-8D8F-33E58D1E1923}" srcOrd="9" destOrd="0" presId="urn:microsoft.com/office/officeart/2005/8/layout/venn1"/>
    <dgm:cxn modelId="{65737C29-55DF-5145-AB42-63A8DDFAFF6A}" type="presParOf" srcId="{12FFFA4D-6E29-1844-96A1-DA6F42732649}" destId="{91D68046-4E57-E644-A4FA-A319A36D434D}" srcOrd="10" destOrd="0" presId="urn:microsoft.com/office/officeart/2005/8/layout/venn1"/>
    <dgm:cxn modelId="{1728FB61-B56C-9244-A202-ABEE18C9FE1C}" type="presParOf" srcId="{12FFFA4D-6E29-1844-96A1-DA6F42732649}" destId="{86D1E055-3110-9147-A7DD-68AEE2158B33}" srcOrd="11" destOrd="0" presId="urn:microsoft.com/office/officeart/2005/8/layout/venn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101029" y="108878"/>
          <a:ext cx="673527" cy="471468"/>
        </a:xfrm>
        <a:prstGeom prst="chevron">
          <a:avLst/>
        </a:prstGeom>
        <a:solidFill>
          <a:srgbClr val="80000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43582"/>
        <a:ext cx="471468" cy="202059"/>
      </dsp:txXfrm>
    </dsp:sp>
    <dsp:sp modelId="{28826DD3-E030-6044-B2F2-D85EF85F6960}">
      <dsp:nvSpPr>
        <dsp:cNvPr id="0" name=""/>
        <dsp:cNvSpPr/>
      </dsp:nvSpPr>
      <dsp:spPr>
        <a:xfrm rot="5400000">
          <a:off x="2749878" y="-2270559"/>
          <a:ext cx="437792" cy="4994611"/>
        </a:xfrm>
        <a:prstGeom prst="round2SameRect">
          <a:avLst/>
        </a:prstGeom>
        <a:solidFill>
          <a:srgbClr val="800000">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rgbClr val="FFFFFF"/>
              </a:solidFill>
            </a:rPr>
            <a:t>Background and rationale</a:t>
          </a:r>
        </a:p>
        <a:p>
          <a:pPr marL="57150" lvl="1" indent="-57150" algn="l" defTabSz="400050">
            <a:lnSpc>
              <a:spcPct val="90000"/>
            </a:lnSpc>
            <a:spcBef>
              <a:spcPct val="0"/>
            </a:spcBef>
            <a:spcAft>
              <a:spcPct val="15000"/>
            </a:spcAft>
            <a:buChar char="•"/>
          </a:pPr>
          <a:r>
            <a:rPr lang="en-US" sz="900" kern="1200">
              <a:solidFill>
                <a:srgbClr val="FFFFFF"/>
              </a:solidFill>
            </a:rPr>
            <a:t>Design and structure of thesis</a:t>
          </a:r>
        </a:p>
        <a:p>
          <a:pPr marL="57150" lvl="1" indent="-57150" algn="l" defTabSz="400050">
            <a:lnSpc>
              <a:spcPct val="90000"/>
            </a:lnSpc>
            <a:spcBef>
              <a:spcPct val="0"/>
            </a:spcBef>
            <a:spcAft>
              <a:spcPct val="15000"/>
            </a:spcAft>
            <a:buChar char="•"/>
          </a:pPr>
          <a:r>
            <a:rPr lang="en-US" sz="900" kern="1200">
              <a:solidFill>
                <a:srgbClr val="FFFFFF"/>
              </a:solidFill>
            </a:rPr>
            <a:t>Research question</a:t>
          </a:r>
        </a:p>
      </dsp:txBody>
      <dsp:txXfrm rot="-5400000">
        <a:off x="471469" y="29221"/>
        <a:ext cx="4973240" cy="395050"/>
      </dsp:txXfrm>
    </dsp:sp>
    <dsp:sp modelId="{B422BFF3-8BFD-2144-8980-375702EA9496}">
      <dsp:nvSpPr>
        <dsp:cNvPr id="0" name=""/>
        <dsp:cNvSpPr/>
      </dsp:nvSpPr>
      <dsp:spPr>
        <a:xfrm rot="5400000">
          <a:off x="-101029" y="727400"/>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862104"/>
        <a:ext cx="471468" cy="202059"/>
      </dsp:txXfrm>
    </dsp:sp>
    <dsp:sp modelId="{8BDAA81E-2E4E-9C4A-9A67-4855D9BA1510}">
      <dsp:nvSpPr>
        <dsp:cNvPr id="0" name=""/>
        <dsp:cNvSpPr/>
      </dsp:nvSpPr>
      <dsp:spPr>
        <a:xfrm rot="5400000">
          <a:off x="2749878" y="-1652037"/>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71469" y="647743"/>
        <a:ext cx="4973240" cy="395050"/>
      </dsp:txXfrm>
    </dsp:sp>
    <dsp:sp modelId="{CCC28DE8-0568-7547-9A1F-3C6F0F33A2CF}">
      <dsp:nvSpPr>
        <dsp:cNvPr id="0" name=""/>
        <dsp:cNvSpPr/>
      </dsp:nvSpPr>
      <dsp:spPr>
        <a:xfrm rot="5400000">
          <a:off x="-101029" y="1345922"/>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Design of intervention</a:t>
          </a:r>
        </a:p>
      </dsp:txBody>
      <dsp:txXfrm rot="-5400000">
        <a:off x="1" y="1480626"/>
        <a:ext cx="471468" cy="202059"/>
      </dsp:txXfrm>
    </dsp:sp>
    <dsp:sp modelId="{F1EE7E3F-25DA-8041-85A7-EBBF11BC4C56}">
      <dsp:nvSpPr>
        <dsp:cNvPr id="0" name=""/>
        <dsp:cNvSpPr/>
      </dsp:nvSpPr>
      <dsp:spPr>
        <a:xfrm rot="5400000">
          <a:off x="2749878" y="-1033515"/>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71469" y="1266265"/>
        <a:ext cx="4973240" cy="395050"/>
      </dsp:txXfrm>
    </dsp:sp>
    <dsp:sp modelId="{A0202F08-BEC9-8F43-8711-F30ADE817D18}">
      <dsp:nvSpPr>
        <dsp:cNvPr id="0" name=""/>
        <dsp:cNvSpPr/>
      </dsp:nvSpPr>
      <dsp:spPr>
        <a:xfrm rot="5400000">
          <a:off x="-101029" y="1964444"/>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Methodology</a:t>
          </a:r>
        </a:p>
      </dsp:txBody>
      <dsp:txXfrm rot="-5400000">
        <a:off x="1" y="2099148"/>
        <a:ext cx="471468" cy="202059"/>
      </dsp:txXfrm>
    </dsp:sp>
    <dsp:sp modelId="{06B263AD-CC10-0D49-8145-0C283F585CD5}">
      <dsp:nvSpPr>
        <dsp:cNvPr id="0" name=""/>
        <dsp:cNvSpPr/>
      </dsp:nvSpPr>
      <dsp:spPr>
        <a:xfrm rot="5400000">
          <a:off x="2749878" y="-414993"/>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71469" y="1884787"/>
        <a:ext cx="4973240" cy="395050"/>
      </dsp:txXfrm>
    </dsp:sp>
    <dsp:sp modelId="{31EA3204-EDC1-4F43-84C9-41DE884256E5}">
      <dsp:nvSpPr>
        <dsp:cNvPr id="0" name=""/>
        <dsp:cNvSpPr/>
      </dsp:nvSpPr>
      <dsp:spPr>
        <a:xfrm rot="5400000">
          <a:off x="-101029" y="2582966"/>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Focus groups pre-pilot</a:t>
          </a:r>
        </a:p>
      </dsp:txBody>
      <dsp:txXfrm rot="-5400000">
        <a:off x="1" y="2717670"/>
        <a:ext cx="471468" cy="202059"/>
      </dsp:txXfrm>
    </dsp:sp>
    <dsp:sp modelId="{9D5418D3-F08D-8545-87B2-2FD7B1D1031E}">
      <dsp:nvSpPr>
        <dsp:cNvPr id="0" name=""/>
        <dsp:cNvSpPr/>
      </dsp:nvSpPr>
      <dsp:spPr>
        <a:xfrm rot="5400000">
          <a:off x="2749878" y="203528"/>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71469" y="2503309"/>
        <a:ext cx="4973240" cy="395050"/>
      </dsp:txXfrm>
    </dsp:sp>
    <dsp:sp modelId="{844AC346-AEB9-A649-8C9D-DBF2769C8FFC}">
      <dsp:nvSpPr>
        <dsp:cNvPr id="0" name=""/>
        <dsp:cNvSpPr/>
      </dsp:nvSpPr>
      <dsp:spPr>
        <a:xfrm rot="5400000">
          <a:off x="-101029" y="3201488"/>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3336192"/>
        <a:ext cx="471468" cy="202059"/>
      </dsp:txXfrm>
    </dsp:sp>
    <dsp:sp modelId="{C80BEB0B-E1AB-4443-9F91-9D6894D7833E}">
      <dsp:nvSpPr>
        <dsp:cNvPr id="0" name=""/>
        <dsp:cNvSpPr/>
      </dsp:nvSpPr>
      <dsp:spPr>
        <a:xfrm rot="5400000">
          <a:off x="2749878" y="822050"/>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71469" y="3121831"/>
        <a:ext cx="4973240" cy="395050"/>
      </dsp:txXfrm>
    </dsp:sp>
    <dsp:sp modelId="{B9872B13-1174-E847-A615-29577404DF21}">
      <dsp:nvSpPr>
        <dsp:cNvPr id="0" name=""/>
        <dsp:cNvSpPr/>
      </dsp:nvSpPr>
      <dsp:spPr>
        <a:xfrm rot="5400000">
          <a:off x="-101029" y="3820010"/>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954714"/>
        <a:ext cx="471468" cy="202059"/>
      </dsp:txXfrm>
    </dsp:sp>
    <dsp:sp modelId="{DCD4A931-4F01-F440-965B-DC25AA6FE080}">
      <dsp:nvSpPr>
        <dsp:cNvPr id="0" name=""/>
        <dsp:cNvSpPr/>
      </dsp:nvSpPr>
      <dsp:spPr>
        <a:xfrm rot="5400000">
          <a:off x="2749878" y="1440572"/>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a:t>
          </a:r>
        </a:p>
      </dsp:txBody>
      <dsp:txXfrm rot="-5400000">
        <a:off x="471469" y="3740353"/>
        <a:ext cx="4973240" cy="395050"/>
      </dsp:txXfrm>
    </dsp:sp>
    <dsp:sp modelId="{6E1880FD-941E-0340-BA55-E327E32202D4}">
      <dsp:nvSpPr>
        <dsp:cNvPr id="0" name=""/>
        <dsp:cNvSpPr/>
      </dsp:nvSpPr>
      <dsp:spPr>
        <a:xfrm rot="5400000">
          <a:off x="-101029" y="4438532"/>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1" y="4573236"/>
        <a:ext cx="471468" cy="202059"/>
      </dsp:txXfrm>
    </dsp:sp>
    <dsp:sp modelId="{96F31A78-E715-8543-9695-B46802F8816A}">
      <dsp:nvSpPr>
        <dsp:cNvPr id="0" name=""/>
        <dsp:cNvSpPr/>
      </dsp:nvSpPr>
      <dsp:spPr>
        <a:xfrm rot="5400000">
          <a:off x="2749878" y="2059094"/>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71469" y="4358875"/>
        <a:ext cx="4973240" cy="395050"/>
      </dsp:txXfrm>
    </dsp:sp>
    <dsp:sp modelId="{E86BF6A3-BA90-BB43-908F-24E76E7D1587}">
      <dsp:nvSpPr>
        <dsp:cNvPr id="0" name=""/>
        <dsp:cNvSpPr/>
      </dsp:nvSpPr>
      <dsp:spPr>
        <a:xfrm rot="5400000">
          <a:off x="-101029" y="5057054"/>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5191758"/>
        <a:ext cx="471468" cy="202059"/>
      </dsp:txXfrm>
    </dsp:sp>
    <dsp:sp modelId="{E2DE84BA-2462-A242-AC94-46E19F99F1BB}">
      <dsp:nvSpPr>
        <dsp:cNvPr id="0" name=""/>
        <dsp:cNvSpPr/>
      </dsp:nvSpPr>
      <dsp:spPr>
        <a:xfrm rot="5400000">
          <a:off x="2749878" y="2677616"/>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71469" y="4977397"/>
        <a:ext cx="4973240" cy="395050"/>
      </dsp:txXfrm>
    </dsp:sp>
    <dsp:sp modelId="{B88D95AA-AFFF-224F-9EBE-1226F2119586}">
      <dsp:nvSpPr>
        <dsp:cNvPr id="0" name=""/>
        <dsp:cNvSpPr/>
      </dsp:nvSpPr>
      <dsp:spPr>
        <a:xfrm rot="5400000">
          <a:off x="-101029" y="5675576"/>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810280"/>
        <a:ext cx="471468" cy="202059"/>
      </dsp:txXfrm>
    </dsp:sp>
    <dsp:sp modelId="{BC4A5DFE-0373-0044-B473-93ADEF2A2324}">
      <dsp:nvSpPr>
        <dsp:cNvPr id="0" name=""/>
        <dsp:cNvSpPr/>
      </dsp:nvSpPr>
      <dsp:spPr>
        <a:xfrm rot="5400000">
          <a:off x="2749878" y="3296138"/>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71469" y="5595919"/>
        <a:ext cx="4973240" cy="395050"/>
      </dsp:txXfrm>
    </dsp:sp>
    <dsp:sp modelId="{ED0EEAAD-1F9F-C445-9ED5-D61D26A0F8D1}">
      <dsp:nvSpPr>
        <dsp:cNvPr id="0" name=""/>
        <dsp:cNvSpPr/>
      </dsp:nvSpPr>
      <dsp:spPr>
        <a:xfrm rot="5400000">
          <a:off x="-101029" y="6294098"/>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6428802"/>
        <a:ext cx="471468" cy="202059"/>
      </dsp:txXfrm>
    </dsp:sp>
    <dsp:sp modelId="{C174B10A-41E6-244B-88CB-0D08E5FFF5F9}">
      <dsp:nvSpPr>
        <dsp:cNvPr id="0" name=""/>
        <dsp:cNvSpPr/>
      </dsp:nvSpPr>
      <dsp:spPr>
        <a:xfrm rot="5400000">
          <a:off x="2749763" y="3914775"/>
          <a:ext cx="43802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71469" y="6214451"/>
        <a:ext cx="4973229" cy="395258"/>
      </dsp:txXfrm>
    </dsp:sp>
    <dsp:sp modelId="{6DDDE256-1CA3-1140-A939-5530FC1F57D3}">
      <dsp:nvSpPr>
        <dsp:cNvPr id="0" name=""/>
        <dsp:cNvSpPr/>
      </dsp:nvSpPr>
      <dsp:spPr>
        <a:xfrm rot="5400000">
          <a:off x="-101029" y="6912620"/>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7047324"/>
        <a:ext cx="471468" cy="202059"/>
      </dsp:txXfrm>
    </dsp:sp>
    <dsp:sp modelId="{999FDDA9-9F6A-1143-BE3C-B1E07CBE9945}">
      <dsp:nvSpPr>
        <dsp:cNvPr id="0" name=""/>
        <dsp:cNvSpPr/>
      </dsp:nvSpPr>
      <dsp:spPr>
        <a:xfrm rot="5400000">
          <a:off x="2749878" y="4533181"/>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101029" y="7531142"/>
          <a:ext cx="673527" cy="47146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7665846"/>
        <a:ext cx="471468" cy="202059"/>
      </dsp:txXfrm>
    </dsp:sp>
    <dsp:sp modelId="{53F81CAC-F802-9240-8C94-B3E2B1F8761C}">
      <dsp:nvSpPr>
        <dsp:cNvPr id="0" name=""/>
        <dsp:cNvSpPr/>
      </dsp:nvSpPr>
      <dsp:spPr>
        <a:xfrm rot="5400000">
          <a:off x="2749878" y="5151703"/>
          <a:ext cx="437792" cy="499461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8955" y="105079"/>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2" y="237020"/>
        <a:ext cx="461793" cy="197912"/>
      </dsp:txXfrm>
    </dsp:sp>
    <dsp:sp modelId="{28826DD3-E030-6044-B2F2-D85EF85F6960}">
      <dsp:nvSpPr>
        <dsp:cNvPr id="0" name=""/>
        <dsp:cNvSpPr/>
      </dsp:nvSpPr>
      <dsp:spPr>
        <a:xfrm rot="5400000">
          <a:off x="2520932" y="-2053015"/>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61794" y="27056"/>
        <a:ext cx="4526153" cy="386942"/>
      </dsp:txXfrm>
    </dsp:sp>
    <dsp:sp modelId="{B422BFF3-8BFD-2144-8980-375702EA9496}">
      <dsp:nvSpPr>
        <dsp:cNvPr id="0" name=""/>
        <dsp:cNvSpPr/>
      </dsp:nvSpPr>
      <dsp:spPr>
        <a:xfrm rot="5400000">
          <a:off x="-98955" y="705990"/>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2" y="837931"/>
        <a:ext cx="461793" cy="197912"/>
      </dsp:txXfrm>
    </dsp:sp>
    <dsp:sp modelId="{8BDAA81E-2E4E-9C4A-9A67-4855D9BA1510}">
      <dsp:nvSpPr>
        <dsp:cNvPr id="0" name=""/>
        <dsp:cNvSpPr/>
      </dsp:nvSpPr>
      <dsp:spPr>
        <a:xfrm rot="5400000">
          <a:off x="2520932" y="-1452103"/>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61794" y="627968"/>
        <a:ext cx="4526153" cy="386942"/>
      </dsp:txXfrm>
    </dsp:sp>
    <dsp:sp modelId="{A0202F08-BEC9-8F43-8711-F30ADE817D18}">
      <dsp:nvSpPr>
        <dsp:cNvPr id="0" name=""/>
        <dsp:cNvSpPr/>
      </dsp:nvSpPr>
      <dsp:spPr>
        <a:xfrm rot="5400000">
          <a:off x="-98955" y="1306902"/>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2" y="1438843"/>
        <a:ext cx="461793" cy="197912"/>
      </dsp:txXfrm>
    </dsp:sp>
    <dsp:sp modelId="{06B263AD-CC10-0D49-8145-0C283F585CD5}">
      <dsp:nvSpPr>
        <dsp:cNvPr id="0" name=""/>
        <dsp:cNvSpPr/>
      </dsp:nvSpPr>
      <dsp:spPr>
        <a:xfrm rot="5400000">
          <a:off x="2520932" y="-851192"/>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61794" y="1228879"/>
        <a:ext cx="4526153" cy="386942"/>
      </dsp:txXfrm>
    </dsp:sp>
    <dsp:sp modelId="{31EA3204-EDC1-4F43-84C9-41DE884256E5}">
      <dsp:nvSpPr>
        <dsp:cNvPr id="0" name=""/>
        <dsp:cNvSpPr/>
      </dsp:nvSpPr>
      <dsp:spPr>
        <a:xfrm rot="5400000">
          <a:off x="-98955" y="1907813"/>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2" y="2039754"/>
        <a:ext cx="461793" cy="197912"/>
      </dsp:txXfrm>
    </dsp:sp>
    <dsp:sp modelId="{9D5418D3-F08D-8545-87B2-2FD7B1D1031E}">
      <dsp:nvSpPr>
        <dsp:cNvPr id="0" name=""/>
        <dsp:cNvSpPr/>
      </dsp:nvSpPr>
      <dsp:spPr>
        <a:xfrm rot="5400000">
          <a:off x="2520932" y="-250280"/>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61794" y="1829791"/>
        <a:ext cx="4526153" cy="386942"/>
      </dsp:txXfrm>
    </dsp:sp>
    <dsp:sp modelId="{CCC28DE8-0568-7547-9A1F-3C6F0F33A2CF}">
      <dsp:nvSpPr>
        <dsp:cNvPr id="0" name=""/>
        <dsp:cNvSpPr/>
      </dsp:nvSpPr>
      <dsp:spPr>
        <a:xfrm rot="5400000">
          <a:off x="-98955" y="2508725"/>
          <a:ext cx="659705" cy="461793"/>
        </a:xfrm>
        <a:prstGeom prst="chevron">
          <a:avLst/>
        </a:prstGeom>
        <a:solidFill>
          <a:srgbClr val="80000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2" y="2640666"/>
        <a:ext cx="461793" cy="197912"/>
      </dsp:txXfrm>
    </dsp:sp>
    <dsp:sp modelId="{F1EE7E3F-25DA-8041-85A7-EBBF11BC4C56}">
      <dsp:nvSpPr>
        <dsp:cNvPr id="0" name=""/>
        <dsp:cNvSpPr/>
      </dsp:nvSpPr>
      <dsp:spPr>
        <a:xfrm rot="5400000">
          <a:off x="2520932" y="350630"/>
          <a:ext cx="428808" cy="4547086"/>
        </a:xfrm>
        <a:prstGeom prst="round2SameRect">
          <a:avLst/>
        </a:prstGeom>
        <a:solidFill>
          <a:srgbClr val="800000">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rgbClr val="FFFFFF"/>
              </a:solidFill>
            </a:rPr>
            <a:t>Educational theory, equipment</a:t>
          </a:r>
        </a:p>
        <a:p>
          <a:pPr marL="57150" lvl="1" indent="-57150" algn="l" defTabSz="400050">
            <a:lnSpc>
              <a:spcPct val="90000"/>
            </a:lnSpc>
            <a:spcBef>
              <a:spcPct val="0"/>
            </a:spcBef>
            <a:spcAft>
              <a:spcPct val="15000"/>
            </a:spcAft>
            <a:buChar char="•"/>
          </a:pPr>
          <a:r>
            <a:rPr lang="en-US" sz="900" kern="1200">
              <a:solidFill>
                <a:srgbClr val="FFFFFF"/>
              </a:solidFill>
            </a:rPr>
            <a:t>Assessment design and validation</a:t>
          </a:r>
        </a:p>
      </dsp:txBody>
      <dsp:txXfrm rot="-5400000">
        <a:off x="461794" y="2430702"/>
        <a:ext cx="4526153" cy="386942"/>
      </dsp:txXfrm>
    </dsp:sp>
    <dsp:sp modelId="{844AC346-AEB9-A649-8C9D-DBF2769C8FFC}">
      <dsp:nvSpPr>
        <dsp:cNvPr id="0" name=""/>
        <dsp:cNvSpPr/>
      </dsp:nvSpPr>
      <dsp:spPr>
        <a:xfrm rot="5400000">
          <a:off x="-98955" y="3109636"/>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2" y="3241577"/>
        <a:ext cx="461793" cy="197912"/>
      </dsp:txXfrm>
    </dsp:sp>
    <dsp:sp modelId="{C80BEB0B-E1AB-4443-9F91-9D6894D7833E}">
      <dsp:nvSpPr>
        <dsp:cNvPr id="0" name=""/>
        <dsp:cNvSpPr/>
      </dsp:nvSpPr>
      <dsp:spPr>
        <a:xfrm rot="5400000">
          <a:off x="2520932" y="951542"/>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61794" y="3031614"/>
        <a:ext cx="4526153" cy="386942"/>
      </dsp:txXfrm>
    </dsp:sp>
    <dsp:sp modelId="{B9872B13-1174-E847-A615-29577404DF21}">
      <dsp:nvSpPr>
        <dsp:cNvPr id="0" name=""/>
        <dsp:cNvSpPr/>
      </dsp:nvSpPr>
      <dsp:spPr>
        <a:xfrm rot="5400000">
          <a:off x="-98955" y="3710548"/>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2" y="3842489"/>
        <a:ext cx="461793" cy="197912"/>
      </dsp:txXfrm>
    </dsp:sp>
    <dsp:sp modelId="{DCD4A931-4F01-F440-965B-DC25AA6FE080}">
      <dsp:nvSpPr>
        <dsp:cNvPr id="0" name=""/>
        <dsp:cNvSpPr/>
      </dsp:nvSpPr>
      <dsp:spPr>
        <a:xfrm rot="5400000">
          <a:off x="2520932" y="1552453"/>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a:t>
          </a:r>
        </a:p>
      </dsp:txBody>
      <dsp:txXfrm rot="-5400000">
        <a:off x="461794" y="3632525"/>
        <a:ext cx="4526153" cy="386942"/>
      </dsp:txXfrm>
    </dsp:sp>
    <dsp:sp modelId="{185E99A8-F001-DA47-ADA3-1EFCF3B9F812}">
      <dsp:nvSpPr>
        <dsp:cNvPr id="0" name=""/>
        <dsp:cNvSpPr/>
      </dsp:nvSpPr>
      <dsp:spPr>
        <a:xfrm rot="5400000">
          <a:off x="-98955" y="4311459"/>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2" y="4443400"/>
        <a:ext cx="461793" cy="197912"/>
      </dsp:txXfrm>
    </dsp:sp>
    <dsp:sp modelId="{640D99BD-5BDA-2B46-8B31-4C1105709B8B}">
      <dsp:nvSpPr>
        <dsp:cNvPr id="0" name=""/>
        <dsp:cNvSpPr/>
      </dsp:nvSpPr>
      <dsp:spPr>
        <a:xfrm rot="5400000">
          <a:off x="2520932" y="2153364"/>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61794" y="4233436"/>
        <a:ext cx="4526153" cy="386942"/>
      </dsp:txXfrm>
    </dsp:sp>
    <dsp:sp modelId="{E86BF6A3-BA90-BB43-908F-24E76E7D1587}">
      <dsp:nvSpPr>
        <dsp:cNvPr id="0" name=""/>
        <dsp:cNvSpPr/>
      </dsp:nvSpPr>
      <dsp:spPr>
        <a:xfrm rot="5400000">
          <a:off x="-98955" y="4912370"/>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2" y="5044311"/>
        <a:ext cx="461793" cy="197912"/>
      </dsp:txXfrm>
    </dsp:sp>
    <dsp:sp modelId="{E2DE84BA-2462-A242-AC94-46E19F99F1BB}">
      <dsp:nvSpPr>
        <dsp:cNvPr id="0" name=""/>
        <dsp:cNvSpPr/>
      </dsp:nvSpPr>
      <dsp:spPr>
        <a:xfrm rot="5400000">
          <a:off x="2520932" y="2754276"/>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61794" y="4834348"/>
        <a:ext cx="4526153" cy="386942"/>
      </dsp:txXfrm>
    </dsp:sp>
    <dsp:sp modelId="{B88D95AA-AFFF-224F-9EBE-1226F2119586}">
      <dsp:nvSpPr>
        <dsp:cNvPr id="0" name=""/>
        <dsp:cNvSpPr/>
      </dsp:nvSpPr>
      <dsp:spPr>
        <a:xfrm rot="5400000">
          <a:off x="-98955" y="5513282"/>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2" y="5645223"/>
        <a:ext cx="461793" cy="197912"/>
      </dsp:txXfrm>
    </dsp:sp>
    <dsp:sp modelId="{BC4A5DFE-0373-0044-B473-93ADEF2A2324}">
      <dsp:nvSpPr>
        <dsp:cNvPr id="0" name=""/>
        <dsp:cNvSpPr/>
      </dsp:nvSpPr>
      <dsp:spPr>
        <a:xfrm rot="5400000">
          <a:off x="2520932" y="3355187"/>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61794" y="5435259"/>
        <a:ext cx="4526153" cy="386942"/>
      </dsp:txXfrm>
    </dsp:sp>
    <dsp:sp modelId="{ED0EEAAD-1F9F-C445-9ED5-D61D26A0F8D1}">
      <dsp:nvSpPr>
        <dsp:cNvPr id="0" name=""/>
        <dsp:cNvSpPr/>
      </dsp:nvSpPr>
      <dsp:spPr>
        <a:xfrm rot="5400000">
          <a:off x="-98955" y="6114193"/>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2" y="6246134"/>
        <a:ext cx="461793" cy="197912"/>
      </dsp:txXfrm>
    </dsp:sp>
    <dsp:sp modelId="{C174B10A-41E6-244B-88CB-0D08E5FFF5F9}">
      <dsp:nvSpPr>
        <dsp:cNvPr id="0" name=""/>
        <dsp:cNvSpPr/>
      </dsp:nvSpPr>
      <dsp:spPr>
        <a:xfrm rot="5400000">
          <a:off x="2520819" y="3956211"/>
          <a:ext cx="429034"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61793" y="6036181"/>
        <a:ext cx="4526142" cy="387146"/>
      </dsp:txXfrm>
    </dsp:sp>
    <dsp:sp modelId="{6DDDE256-1CA3-1140-A939-5530FC1F57D3}">
      <dsp:nvSpPr>
        <dsp:cNvPr id="0" name=""/>
        <dsp:cNvSpPr/>
      </dsp:nvSpPr>
      <dsp:spPr>
        <a:xfrm rot="5400000">
          <a:off x="-98955" y="6715105"/>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2" y="6847046"/>
        <a:ext cx="461793" cy="197912"/>
      </dsp:txXfrm>
    </dsp:sp>
    <dsp:sp modelId="{999FDDA9-9F6A-1143-BE3C-B1E07CBE9945}">
      <dsp:nvSpPr>
        <dsp:cNvPr id="0" name=""/>
        <dsp:cNvSpPr/>
      </dsp:nvSpPr>
      <dsp:spPr>
        <a:xfrm rot="5400000">
          <a:off x="2520932" y="4557010"/>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8955" y="7316016"/>
          <a:ext cx="659705" cy="461793"/>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2" y="7447957"/>
        <a:ext cx="461793" cy="197912"/>
      </dsp:txXfrm>
    </dsp:sp>
    <dsp:sp modelId="{53F81CAC-F802-9240-8C94-B3E2B1F8761C}">
      <dsp:nvSpPr>
        <dsp:cNvPr id="0" name=""/>
        <dsp:cNvSpPr/>
      </dsp:nvSpPr>
      <dsp:spPr>
        <a:xfrm rot="5400000">
          <a:off x="2520932" y="5157922"/>
          <a:ext cx="428808" cy="4547086"/>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8DC6F8-1AC4-9C4E-8053-CDBEB378B7B1}">
      <dsp:nvSpPr>
        <dsp:cNvPr id="0" name=""/>
        <dsp:cNvSpPr/>
      </dsp:nvSpPr>
      <dsp:spPr>
        <a:xfrm>
          <a:off x="0" y="4118909"/>
          <a:ext cx="4859566" cy="1351918"/>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0688" tIns="170688" rIns="170688" bIns="170688" numCol="1" spcCol="1270" anchor="ctr" anchorCtr="0">
          <a:noAutofit/>
        </a:bodyPr>
        <a:lstStyle/>
        <a:p>
          <a:pPr marL="0" lvl="0" indent="0" algn="ctr" defTabSz="1066800">
            <a:lnSpc>
              <a:spcPct val="90000"/>
            </a:lnSpc>
            <a:spcBef>
              <a:spcPct val="0"/>
            </a:spcBef>
            <a:spcAft>
              <a:spcPct val="35000"/>
            </a:spcAft>
            <a:buNone/>
          </a:pPr>
          <a:r>
            <a:rPr lang="en-US" sz="2400" kern="1200" dirty="0"/>
            <a:t>Triangulation of data</a:t>
          </a:r>
        </a:p>
      </dsp:txBody>
      <dsp:txXfrm>
        <a:off x="0" y="4118909"/>
        <a:ext cx="4859566" cy="730035"/>
      </dsp:txXfrm>
    </dsp:sp>
    <dsp:sp modelId="{E5AD5DE1-39BE-8742-9062-0C0A25071934}">
      <dsp:nvSpPr>
        <dsp:cNvPr id="0" name=""/>
        <dsp:cNvSpPr/>
      </dsp:nvSpPr>
      <dsp:spPr>
        <a:xfrm>
          <a:off x="0" y="4821907"/>
          <a:ext cx="4859566" cy="621882"/>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8016" tIns="22860" rIns="128016" bIns="22860" numCol="1" spcCol="1270" anchor="ctr" anchorCtr="0">
          <a:noAutofit/>
        </a:bodyPr>
        <a:lstStyle/>
        <a:p>
          <a:pPr marL="0" lvl="0" indent="0" algn="ctr" defTabSz="800100">
            <a:lnSpc>
              <a:spcPct val="90000"/>
            </a:lnSpc>
            <a:spcBef>
              <a:spcPct val="0"/>
            </a:spcBef>
            <a:spcAft>
              <a:spcPct val="35000"/>
            </a:spcAft>
            <a:buNone/>
          </a:pPr>
          <a:r>
            <a:rPr lang="en-US" sz="1800" kern="1200" dirty="0"/>
            <a:t>Framework analysis</a:t>
          </a:r>
        </a:p>
      </dsp:txBody>
      <dsp:txXfrm>
        <a:off x="0" y="4821907"/>
        <a:ext cx="4859566" cy="621882"/>
      </dsp:txXfrm>
    </dsp:sp>
    <dsp:sp modelId="{1735DB96-FA6B-3B45-AA99-C61950B6F1B2}">
      <dsp:nvSpPr>
        <dsp:cNvPr id="0" name=""/>
        <dsp:cNvSpPr/>
      </dsp:nvSpPr>
      <dsp:spPr>
        <a:xfrm rot="10800000">
          <a:off x="0" y="2059938"/>
          <a:ext cx="4859566" cy="2079250"/>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0688" tIns="170688" rIns="170688" bIns="170688" numCol="1" spcCol="1270" anchor="ctr" anchorCtr="0">
          <a:noAutofit/>
        </a:bodyPr>
        <a:lstStyle/>
        <a:p>
          <a:pPr marL="0" lvl="0" indent="0" algn="ctr" defTabSz="1066800">
            <a:lnSpc>
              <a:spcPct val="90000"/>
            </a:lnSpc>
            <a:spcBef>
              <a:spcPct val="0"/>
            </a:spcBef>
            <a:spcAft>
              <a:spcPct val="35000"/>
            </a:spcAft>
            <a:buNone/>
          </a:pPr>
          <a:r>
            <a:rPr lang="en-US" sz="2400" kern="1200" dirty="0"/>
            <a:t>Stakeholder</a:t>
          </a:r>
          <a:r>
            <a:rPr lang="en-US" sz="2400" kern="1200" baseline="0" dirty="0"/>
            <a:t> views</a:t>
          </a:r>
          <a:endParaRPr lang="en-US" sz="2400" kern="1200" dirty="0"/>
        </a:p>
      </dsp:txBody>
      <dsp:txXfrm rot="-10800000">
        <a:off x="0" y="2059938"/>
        <a:ext cx="4859566" cy="729816"/>
      </dsp:txXfrm>
    </dsp:sp>
    <dsp:sp modelId="{9C50769E-21F8-2E44-9D97-524031966F84}">
      <dsp:nvSpPr>
        <dsp:cNvPr id="0" name=""/>
        <dsp:cNvSpPr/>
      </dsp:nvSpPr>
      <dsp:spPr>
        <a:xfrm>
          <a:off x="0" y="2789755"/>
          <a:ext cx="2429783" cy="62169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8016" tIns="22860" rIns="128016" bIns="22860" numCol="1" spcCol="1270" anchor="ctr" anchorCtr="0">
          <a:noAutofit/>
        </a:bodyPr>
        <a:lstStyle/>
        <a:p>
          <a:pPr marL="0" lvl="0" indent="0" algn="ctr" defTabSz="800100">
            <a:lnSpc>
              <a:spcPct val="90000"/>
            </a:lnSpc>
            <a:spcBef>
              <a:spcPct val="0"/>
            </a:spcBef>
            <a:spcAft>
              <a:spcPct val="35000"/>
            </a:spcAft>
            <a:buNone/>
          </a:pPr>
          <a:r>
            <a:rPr lang="en-US" sz="1800" kern="1200" dirty="0"/>
            <a:t>Interviews</a:t>
          </a:r>
        </a:p>
      </dsp:txBody>
      <dsp:txXfrm>
        <a:off x="0" y="2789755"/>
        <a:ext cx="2429783" cy="621695"/>
      </dsp:txXfrm>
    </dsp:sp>
    <dsp:sp modelId="{9AD0373A-03C8-764E-B007-022728467BB3}">
      <dsp:nvSpPr>
        <dsp:cNvPr id="0" name=""/>
        <dsp:cNvSpPr/>
      </dsp:nvSpPr>
      <dsp:spPr>
        <a:xfrm>
          <a:off x="2429783" y="2789755"/>
          <a:ext cx="2429783" cy="62169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8016" tIns="22860" rIns="128016" bIns="22860" numCol="1" spcCol="1270" anchor="ctr" anchorCtr="0">
          <a:noAutofit/>
        </a:bodyPr>
        <a:lstStyle/>
        <a:p>
          <a:pPr marL="0" lvl="0" indent="0" algn="ctr" defTabSz="800100">
            <a:lnSpc>
              <a:spcPct val="90000"/>
            </a:lnSpc>
            <a:spcBef>
              <a:spcPct val="0"/>
            </a:spcBef>
            <a:spcAft>
              <a:spcPct val="35000"/>
            </a:spcAft>
            <a:buNone/>
          </a:pPr>
          <a:r>
            <a:rPr lang="en-US" sz="1800" kern="1200" dirty="0"/>
            <a:t>n=10</a:t>
          </a:r>
        </a:p>
      </dsp:txBody>
      <dsp:txXfrm>
        <a:off x="2429783" y="2789755"/>
        <a:ext cx="2429783" cy="621695"/>
      </dsp:txXfrm>
    </dsp:sp>
    <dsp:sp modelId="{E61D0AF5-4AA9-1741-AF6D-6F5534440118}">
      <dsp:nvSpPr>
        <dsp:cNvPr id="0" name=""/>
        <dsp:cNvSpPr/>
      </dsp:nvSpPr>
      <dsp:spPr>
        <a:xfrm rot="10800000">
          <a:off x="0" y="967"/>
          <a:ext cx="4859566" cy="2079250"/>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0688" tIns="170688" rIns="170688" bIns="170688" numCol="1" spcCol="1270" anchor="ctr" anchorCtr="0">
          <a:noAutofit/>
        </a:bodyPr>
        <a:lstStyle/>
        <a:p>
          <a:pPr marL="0" lvl="0" indent="0" algn="ctr" defTabSz="1066800">
            <a:lnSpc>
              <a:spcPct val="90000"/>
            </a:lnSpc>
            <a:spcBef>
              <a:spcPct val="0"/>
            </a:spcBef>
            <a:spcAft>
              <a:spcPct val="35000"/>
            </a:spcAft>
            <a:buNone/>
          </a:pPr>
          <a:r>
            <a:rPr lang="en-US" sz="2400" kern="1200" dirty="0"/>
            <a:t>Final intervention study</a:t>
          </a:r>
        </a:p>
      </dsp:txBody>
      <dsp:txXfrm rot="-10800000">
        <a:off x="0" y="967"/>
        <a:ext cx="4859566" cy="729816"/>
      </dsp:txXfrm>
    </dsp:sp>
    <dsp:sp modelId="{0CB0E21A-AA95-5F48-A955-5176FF7817FB}">
      <dsp:nvSpPr>
        <dsp:cNvPr id="0" name=""/>
        <dsp:cNvSpPr/>
      </dsp:nvSpPr>
      <dsp:spPr>
        <a:xfrm>
          <a:off x="2372" y="730783"/>
          <a:ext cx="1618273" cy="62169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8016" tIns="22860" rIns="128016" bIns="22860" numCol="1" spcCol="1270" anchor="ctr" anchorCtr="0">
          <a:noAutofit/>
        </a:bodyPr>
        <a:lstStyle/>
        <a:p>
          <a:pPr marL="0" lvl="0" indent="0" algn="ctr" defTabSz="800100">
            <a:lnSpc>
              <a:spcPct val="90000"/>
            </a:lnSpc>
            <a:spcBef>
              <a:spcPct val="0"/>
            </a:spcBef>
            <a:spcAft>
              <a:spcPct val="35000"/>
            </a:spcAft>
            <a:buNone/>
          </a:pPr>
          <a:r>
            <a:rPr lang="en-US" sz="1800" kern="1200" dirty="0"/>
            <a:t>Pilot study</a:t>
          </a:r>
        </a:p>
      </dsp:txBody>
      <dsp:txXfrm>
        <a:off x="2372" y="730783"/>
        <a:ext cx="1618273" cy="621695"/>
      </dsp:txXfrm>
    </dsp:sp>
    <dsp:sp modelId="{70E1C419-59DE-7C45-9B16-94EA4677B1B2}">
      <dsp:nvSpPr>
        <dsp:cNvPr id="0" name=""/>
        <dsp:cNvSpPr/>
      </dsp:nvSpPr>
      <dsp:spPr>
        <a:xfrm>
          <a:off x="1620646" y="730783"/>
          <a:ext cx="1618273" cy="62169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8016" tIns="22860" rIns="128016" bIns="22860" numCol="1" spcCol="1270" anchor="ctr" anchorCtr="0">
          <a:noAutofit/>
        </a:bodyPr>
        <a:lstStyle/>
        <a:p>
          <a:pPr marL="0" lvl="0" indent="0" algn="ctr" defTabSz="800100">
            <a:lnSpc>
              <a:spcPct val="90000"/>
            </a:lnSpc>
            <a:spcBef>
              <a:spcPct val="0"/>
            </a:spcBef>
            <a:spcAft>
              <a:spcPct val="35000"/>
            </a:spcAft>
            <a:buNone/>
          </a:pPr>
          <a:r>
            <a:rPr lang="en-US" sz="1800" kern="1200" dirty="0"/>
            <a:t>Final study n=94</a:t>
          </a:r>
        </a:p>
      </dsp:txBody>
      <dsp:txXfrm>
        <a:off x="1620646" y="730783"/>
        <a:ext cx="1618273" cy="621695"/>
      </dsp:txXfrm>
    </dsp:sp>
    <dsp:sp modelId="{FD64E691-B136-9348-A059-29CAA991C969}">
      <dsp:nvSpPr>
        <dsp:cNvPr id="0" name=""/>
        <dsp:cNvSpPr/>
      </dsp:nvSpPr>
      <dsp:spPr>
        <a:xfrm>
          <a:off x="3238919" y="730783"/>
          <a:ext cx="1618273" cy="62169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28016" tIns="22860" rIns="128016" bIns="22860" numCol="1" spcCol="1270" anchor="ctr" anchorCtr="0">
          <a:noAutofit/>
        </a:bodyPr>
        <a:lstStyle/>
        <a:p>
          <a:pPr marL="0" lvl="0" indent="0" algn="ctr" defTabSz="800100">
            <a:lnSpc>
              <a:spcPct val="90000"/>
            </a:lnSpc>
            <a:spcBef>
              <a:spcPct val="0"/>
            </a:spcBef>
            <a:spcAft>
              <a:spcPct val="35000"/>
            </a:spcAft>
            <a:buNone/>
          </a:pPr>
          <a:r>
            <a:rPr lang="en-US" sz="1800" kern="1200" dirty="0"/>
            <a:t>Focus groups</a:t>
          </a:r>
        </a:p>
      </dsp:txBody>
      <dsp:txXfrm>
        <a:off x="3238919" y="730783"/>
        <a:ext cx="1618273" cy="621695"/>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134BDA-4E14-9143-B420-2FCF8A314981}">
      <dsp:nvSpPr>
        <dsp:cNvPr id="0" name=""/>
        <dsp:cNvSpPr/>
      </dsp:nvSpPr>
      <dsp:spPr>
        <a:xfrm rot="5400000">
          <a:off x="-135098" y="137542"/>
          <a:ext cx="900658" cy="630461"/>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Introduction</a:t>
          </a:r>
        </a:p>
      </dsp:txBody>
      <dsp:txXfrm rot="-5400000">
        <a:off x="1" y="317675"/>
        <a:ext cx="630461" cy="270197"/>
      </dsp:txXfrm>
    </dsp:sp>
    <dsp:sp modelId="{FCC701B3-1442-FD4A-8D66-5B653DC00980}">
      <dsp:nvSpPr>
        <dsp:cNvPr id="0" name=""/>
        <dsp:cNvSpPr/>
      </dsp:nvSpPr>
      <dsp:spPr>
        <a:xfrm rot="5400000">
          <a:off x="2720631" y="-2087727"/>
          <a:ext cx="585428" cy="4765768"/>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Learning outcomes</a:t>
          </a:r>
        </a:p>
        <a:p>
          <a:pPr marL="57150" lvl="1" indent="-57150" algn="l" defTabSz="355600">
            <a:lnSpc>
              <a:spcPct val="90000"/>
            </a:lnSpc>
            <a:spcBef>
              <a:spcPct val="0"/>
            </a:spcBef>
            <a:spcAft>
              <a:spcPct val="15000"/>
            </a:spcAft>
            <a:buChar char="•"/>
          </a:pPr>
          <a:r>
            <a:rPr lang="en-US" sz="800" kern="1200"/>
            <a:t>To environment</a:t>
          </a:r>
        </a:p>
        <a:p>
          <a:pPr marL="57150" lvl="1" indent="-57150" algn="l" defTabSz="355600">
            <a:lnSpc>
              <a:spcPct val="90000"/>
            </a:lnSpc>
            <a:spcBef>
              <a:spcPct val="0"/>
            </a:spcBef>
            <a:spcAft>
              <a:spcPct val="15000"/>
            </a:spcAft>
            <a:buChar char="•"/>
          </a:pPr>
          <a:r>
            <a:rPr lang="en-US" sz="800" kern="1200"/>
            <a:t>To mannequin</a:t>
          </a:r>
        </a:p>
        <a:p>
          <a:pPr marL="57150" lvl="1" indent="-57150" algn="l" defTabSz="355600">
            <a:lnSpc>
              <a:spcPct val="90000"/>
            </a:lnSpc>
            <a:spcBef>
              <a:spcPct val="0"/>
            </a:spcBef>
            <a:spcAft>
              <a:spcPct val="15000"/>
            </a:spcAft>
            <a:buChar char="•"/>
          </a:pPr>
          <a:r>
            <a:rPr lang="en-US" sz="800" kern="1200"/>
            <a:t>How to access help</a:t>
          </a:r>
        </a:p>
      </dsp:txBody>
      <dsp:txXfrm rot="-5400000">
        <a:off x="630461" y="31021"/>
        <a:ext cx="4737190" cy="528272"/>
      </dsp:txXfrm>
    </dsp:sp>
    <dsp:sp modelId="{09058706-54D0-8747-876B-0ED17406060C}">
      <dsp:nvSpPr>
        <dsp:cNvPr id="0" name=""/>
        <dsp:cNvSpPr/>
      </dsp:nvSpPr>
      <dsp:spPr>
        <a:xfrm rot="5400000">
          <a:off x="-135098" y="884925"/>
          <a:ext cx="900658" cy="630461"/>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Scenario n=5</a:t>
          </a:r>
        </a:p>
      </dsp:txBody>
      <dsp:txXfrm rot="-5400000">
        <a:off x="1" y="1065058"/>
        <a:ext cx="630461" cy="270197"/>
      </dsp:txXfrm>
    </dsp:sp>
    <dsp:sp modelId="{7EE836A4-63C0-3046-941F-79586547A790}">
      <dsp:nvSpPr>
        <dsp:cNvPr id="0" name=""/>
        <dsp:cNvSpPr/>
      </dsp:nvSpPr>
      <dsp:spPr>
        <a:xfrm rot="5400000">
          <a:off x="2720631" y="-1340343"/>
          <a:ext cx="585428" cy="4765768"/>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20 minutes </a:t>
          </a:r>
        </a:p>
        <a:p>
          <a:pPr marL="57150" lvl="1" indent="-57150" algn="l" defTabSz="355600">
            <a:lnSpc>
              <a:spcPct val="90000"/>
            </a:lnSpc>
            <a:spcBef>
              <a:spcPct val="0"/>
            </a:spcBef>
            <a:spcAft>
              <a:spcPct val="15000"/>
            </a:spcAft>
            <a:buChar char="•"/>
          </a:pPr>
          <a:r>
            <a:rPr lang="en-US" sz="800" kern="1200"/>
            <a:t>Peer observation</a:t>
          </a:r>
        </a:p>
        <a:p>
          <a:pPr marL="57150" lvl="1" indent="-57150" algn="l" defTabSz="355600">
            <a:lnSpc>
              <a:spcPct val="90000"/>
            </a:lnSpc>
            <a:spcBef>
              <a:spcPct val="0"/>
            </a:spcBef>
            <a:spcAft>
              <a:spcPct val="15000"/>
            </a:spcAft>
            <a:buChar char="•"/>
          </a:pPr>
          <a:r>
            <a:rPr lang="en-US" sz="800" kern="1200"/>
            <a:t>Curriculum mapped</a:t>
          </a:r>
        </a:p>
      </dsp:txBody>
      <dsp:txXfrm rot="-5400000">
        <a:off x="630461" y="778405"/>
        <a:ext cx="4737190" cy="528272"/>
      </dsp:txXfrm>
    </dsp:sp>
    <dsp:sp modelId="{EDD3EFC4-823E-004B-9813-12B078801CAF}">
      <dsp:nvSpPr>
        <dsp:cNvPr id="0" name=""/>
        <dsp:cNvSpPr/>
      </dsp:nvSpPr>
      <dsp:spPr>
        <a:xfrm rot="5400000">
          <a:off x="-135098" y="1632308"/>
          <a:ext cx="900658" cy="630461"/>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Debrief</a:t>
          </a:r>
        </a:p>
      </dsp:txBody>
      <dsp:txXfrm rot="-5400000">
        <a:off x="1" y="1812441"/>
        <a:ext cx="630461" cy="270197"/>
      </dsp:txXfrm>
    </dsp:sp>
    <dsp:sp modelId="{3A59D491-5DC1-B94E-9340-987F0D7A4778}">
      <dsp:nvSpPr>
        <dsp:cNvPr id="0" name=""/>
        <dsp:cNvSpPr/>
      </dsp:nvSpPr>
      <dsp:spPr>
        <a:xfrm rot="5400000">
          <a:off x="2720631" y="-592960"/>
          <a:ext cx="585428" cy="4765768"/>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20 minutes</a:t>
          </a:r>
        </a:p>
        <a:p>
          <a:pPr marL="57150" lvl="1" indent="-57150" algn="l" defTabSz="355600">
            <a:lnSpc>
              <a:spcPct val="90000"/>
            </a:lnSpc>
            <a:spcBef>
              <a:spcPct val="0"/>
            </a:spcBef>
            <a:spcAft>
              <a:spcPct val="15000"/>
            </a:spcAft>
            <a:buChar char="•"/>
          </a:pPr>
          <a:r>
            <a:rPr lang="en-US" sz="800" kern="1200"/>
            <a:t>Good judgment model</a:t>
          </a:r>
        </a:p>
        <a:p>
          <a:pPr marL="57150" lvl="1" indent="-57150" algn="l" defTabSz="355600">
            <a:lnSpc>
              <a:spcPct val="90000"/>
            </a:lnSpc>
            <a:spcBef>
              <a:spcPct val="0"/>
            </a:spcBef>
            <a:spcAft>
              <a:spcPct val="15000"/>
            </a:spcAft>
            <a:buChar char="•"/>
          </a:pPr>
          <a:r>
            <a:rPr lang="en-US" sz="800" kern="1200"/>
            <a:t>Skills, knoweldge, human factors</a:t>
          </a:r>
        </a:p>
      </dsp:txBody>
      <dsp:txXfrm rot="-5400000">
        <a:off x="630461" y="1525788"/>
        <a:ext cx="4737190" cy="528272"/>
      </dsp:txXfrm>
    </dsp:sp>
    <dsp:sp modelId="{02127E02-94BD-D049-8D72-A57F4D7FC2EA}">
      <dsp:nvSpPr>
        <dsp:cNvPr id="0" name=""/>
        <dsp:cNvSpPr/>
      </dsp:nvSpPr>
      <dsp:spPr>
        <a:xfrm rot="5400000">
          <a:off x="-135098" y="2379691"/>
          <a:ext cx="900658" cy="630461"/>
        </a:xfrm>
        <a:prstGeom prst="chevron">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Summary </a:t>
          </a:r>
        </a:p>
      </dsp:txBody>
      <dsp:txXfrm rot="-5400000">
        <a:off x="1" y="2559824"/>
        <a:ext cx="630461" cy="270197"/>
      </dsp:txXfrm>
    </dsp:sp>
    <dsp:sp modelId="{C716E045-B5C3-F344-8D81-52D76C987A60}">
      <dsp:nvSpPr>
        <dsp:cNvPr id="0" name=""/>
        <dsp:cNvSpPr/>
      </dsp:nvSpPr>
      <dsp:spPr>
        <a:xfrm rot="5400000">
          <a:off x="2720631" y="154422"/>
          <a:ext cx="585428" cy="4765768"/>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Learning outcomes</a:t>
          </a:r>
        </a:p>
        <a:p>
          <a:pPr marL="57150" lvl="1" indent="-57150" algn="l" defTabSz="355600">
            <a:lnSpc>
              <a:spcPct val="90000"/>
            </a:lnSpc>
            <a:spcBef>
              <a:spcPct val="0"/>
            </a:spcBef>
            <a:spcAft>
              <a:spcPct val="15000"/>
            </a:spcAft>
            <a:buChar char="•"/>
          </a:pPr>
          <a:r>
            <a:rPr lang="en-US" sz="800" kern="1200"/>
            <a:t>Take home messages</a:t>
          </a:r>
        </a:p>
      </dsp:txBody>
      <dsp:txXfrm rot="-5400000">
        <a:off x="630461" y="2273170"/>
        <a:ext cx="4737190" cy="528272"/>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12B1E0-16F7-2E4B-A043-3755438C84DE}">
      <dsp:nvSpPr>
        <dsp:cNvPr id="0" name=""/>
        <dsp:cNvSpPr/>
      </dsp:nvSpPr>
      <dsp:spPr>
        <a:xfrm>
          <a:off x="0" y="4355214"/>
          <a:ext cx="5396230" cy="317732"/>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t>Data collection</a:t>
          </a:r>
        </a:p>
      </dsp:txBody>
      <dsp:txXfrm>
        <a:off x="0" y="4355214"/>
        <a:ext cx="5396230" cy="171575"/>
      </dsp:txXfrm>
    </dsp:sp>
    <dsp:sp modelId="{23CB1CED-5244-7E45-8DC3-FEC01C70F22F}">
      <dsp:nvSpPr>
        <dsp:cNvPr id="0" name=""/>
        <dsp:cNvSpPr/>
      </dsp:nvSpPr>
      <dsp:spPr>
        <a:xfrm>
          <a:off x="2634" y="4520435"/>
          <a:ext cx="1796986" cy="1461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Analysis </a:t>
          </a:r>
        </a:p>
      </dsp:txBody>
      <dsp:txXfrm>
        <a:off x="2634" y="4520435"/>
        <a:ext cx="1796986" cy="146156"/>
      </dsp:txXfrm>
    </dsp:sp>
    <dsp:sp modelId="{E5AD5DE1-39BE-8742-9062-0C0A25071934}">
      <dsp:nvSpPr>
        <dsp:cNvPr id="0" name=""/>
        <dsp:cNvSpPr/>
      </dsp:nvSpPr>
      <dsp:spPr>
        <a:xfrm>
          <a:off x="1799621" y="4520435"/>
          <a:ext cx="1796986" cy="1461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Interpretation</a:t>
          </a:r>
        </a:p>
      </dsp:txBody>
      <dsp:txXfrm>
        <a:off x="1799621" y="4520435"/>
        <a:ext cx="1796986" cy="146156"/>
      </dsp:txXfrm>
    </dsp:sp>
    <dsp:sp modelId="{AD1CB44E-DF46-9E48-8421-7A0A6C42E800}">
      <dsp:nvSpPr>
        <dsp:cNvPr id="0" name=""/>
        <dsp:cNvSpPr/>
      </dsp:nvSpPr>
      <dsp:spPr>
        <a:xfrm>
          <a:off x="3596608" y="4520435"/>
          <a:ext cx="1796986" cy="1461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Triangulation</a:t>
          </a:r>
        </a:p>
      </dsp:txBody>
      <dsp:txXfrm>
        <a:off x="3596608" y="4520435"/>
        <a:ext cx="1796986" cy="146156"/>
      </dsp:txXfrm>
    </dsp:sp>
    <dsp:sp modelId="{1735DB96-FA6B-3B45-AA99-C61950B6F1B2}">
      <dsp:nvSpPr>
        <dsp:cNvPr id="0" name=""/>
        <dsp:cNvSpPr/>
      </dsp:nvSpPr>
      <dsp:spPr>
        <a:xfrm rot="10800000">
          <a:off x="0" y="3871308"/>
          <a:ext cx="5396230" cy="488672"/>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t>Qualitative depth interviews experts</a:t>
          </a:r>
        </a:p>
      </dsp:txBody>
      <dsp:txXfrm rot="-10800000">
        <a:off x="0" y="3871308"/>
        <a:ext cx="5396230" cy="171523"/>
      </dsp:txXfrm>
    </dsp:sp>
    <dsp:sp modelId="{045FEA88-67D7-3F47-AAC9-7BECDDB3FD08}">
      <dsp:nvSpPr>
        <dsp:cNvPr id="0" name=""/>
        <dsp:cNvSpPr/>
      </dsp:nvSpPr>
      <dsp:spPr>
        <a:xfrm>
          <a:off x="2634" y="4042831"/>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Topic guide</a:t>
          </a:r>
        </a:p>
      </dsp:txBody>
      <dsp:txXfrm>
        <a:off x="2634" y="4042831"/>
        <a:ext cx="1796986" cy="146113"/>
      </dsp:txXfrm>
    </dsp:sp>
    <dsp:sp modelId="{889F9AEF-E0C0-204C-858E-B58E75B4ED6D}">
      <dsp:nvSpPr>
        <dsp:cNvPr id="0" name=""/>
        <dsp:cNvSpPr/>
      </dsp:nvSpPr>
      <dsp:spPr>
        <a:xfrm>
          <a:off x="1799621" y="4042831"/>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Semi-structured</a:t>
          </a:r>
        </a:p>
      </dsp:txBody>
      <dsp:txXfrm>
        <a:off x="1799621" y="4042831"/>
        <a:ext cx="1796986" cy="146113"/>
      </dsp:txXfrm>
    </dsp:sp>
    <dsp:sp modelId="{3190EBFF-F75F-744F-9AE6-27FB8BE802EA}">
      <dsp:nvSpPr>
        <dsp:cNvPr id="0" name=""/>
        <dsp:cNvSpPr/>
      </dsp:nvSpPr>
      <dsp:spPr>
        <a:xfrm>
          <a:off x="3596608" y="4042831"/>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Selection</a:t>
          </a:r>
        </a:p>
      </dsp:txBody>
      <dsp:txXfrm>
        <a:off x="3596608" y="4042831"/>
        <a:ext cx="1796986" cy="146113"/>
      </dsp:txXfrm>
    </dsp:sp>
    <dsp:sp modelId="{239AE58C-2148-1A43-A296-FC3A9AE0DEA0}">
      <dsp:nvSpPr>
        <dsp:cNvPr id="0" name=""/>
        <dsp:cNvSpPr/>
      </dsp:nvSpPr>
      <dsp:spPr>
        <a:xfrm rot="10800000">
          <a:off x="0" y="3387401"/>
          <a:ext cx="5396230" cy="488672"/>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t>Data</a:t>
          </a:r>
        </a:p>
      </dsp:txBody>
      <dsp:txXfrm rot="-10800000">
        <a:off x="0" y="3387401"/>
        <a:ext cx="5396230" cy="171523"/>
      </dsp:txXfrm>
    </dsp:sp>
    <dsp:sp modelId="{4FF07087-80E7-5844-976F-B3ED71EAFBC4}">
      <dsp:nvSpPr>
        <dsp:cNvPr id="0" name=""/>
        <dsp:cNvSpPr/>
      </dsp:nvSpPr>
      <dsp:spPr>
        <a:xfrm>
          <a:off x="2634" y="3558925"/>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Collection</a:t>
          </a:r>
        </a:p>
      </dsp:txBody>
      <dsp:txXfrm>
        <a:off x="2634" y="3558925"/>
        <a:ext cx="1796986" cy="146113"/>
      </dsp:txXfrm>
    </dsp:sp>
    <dsp:sp modelId="{C545A9BB-85AB-654A-BA17-74D91CD71495}">
      <dsp:nvSpPr>
        <dsp:cNvPr id="0" name=""/>
        <dsp:cNvSpPr/>
      </dsp:nvSpPr>
      <dsp:spPr>
        <a:xfrm>
          <a:off x="1799621" y="3558925"/>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Analysis</a:t>
          </a:r>
        </a:p>
      </dsp:txBody>
      <dsp:txXfrm>
        <a:off x="1799621" y="3558925"/>
        <a:ext cx="1796986" cy="146113"/>
      </dsp:txXfrm>
    </dsp:sp>
    <dsp:sp modelId="{19ED3B4D-6BAD-B145-A90D-B72DA9018B27}">
      <dsp:nvSpPr>
        <dsp:cNvPr id="0" name=""/>
        <dsp:cNvSpPr/>
      </dsp:nvSpPr>
      <dsp:spPr>
        <a:xfrm>
          <a:off x="3596608" y="3558925"/>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Interpretation</a:t>
          </a:r>
        </a:p>
      </dsp:txBody>
      <dsp:txXfrm>
        <a:off x="3596608" y="3558925"/>
        <a:ext cx="1796986" cy="146113"/>
      </dsp:txXfrm>
    </dsp:sp>
    <dsp:sp modelId="{E61D0AF5-4AA9-1741-AF6D-6F5534440118}">
      <dsp:nvSpPr>
        <dsp:cNvPr id="0" name=""/>
        <dsp:cNvSpPr/>
      </dsp:nvSpPr>
      <dsp:spPr>
        <a:xfrm rot="10800000">
          <a:off x="0" y="2903495"/>
          <a:ext cx="5396230" cy="488672"/>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t>Final intervention study</a:t>
          </a:r>
        </a:p>
      </dsp:txBody>
      <dsp:txXfrm rot="-10800000">
        <a:off x="0" y="2903495"/>
        <a:ext cx="5396230" cy="171523"/>
      </dsp:txXfrm>
    </dsp:sp>
    <dsp:sp modelId="{0CB0E21A-AA95-5F48-A955-5176FF7817FB}">
      <dsp:nvSpPr>
        <dsp:cNvPr id="0" name=""/>
        <dsp:cNvSpPr/>
      </dsp:nvSpPr>
      <dsp:spPr>
        <a:xfrm>
          <a:off x="2634" y="3075019"/>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Recruitment</a:t>
          </a:r>
        </a:p>
      </dsp:txBody>
      <dsp:txXfrm>
        <a:off x="2634" y="3075019"/>
        <a:ext cx="1796986" cy="146113"/>
      </dsp:txXfrm>
    </dsp:sp>
    <dsp:sp modelId="{70E1C419-59DE-7C45-9B16-94EA4677B1B2}">
      <dsp:nvSpPr>
        <dsp:cNvPr id="0" name=""/>
        <dsp:cNvSpPr/>
      </dsp:nvSpPr>
      <dsp:spPr>
        <a:xfrm>
          <a:off x="1799621" y="3075019"/>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University 1</a:t>
          </a:r>
        </a:p>
      </dsp:txBody>
      <dsp:txXfrm>
        <a:off x="1799621" y="3075019"/>
        <a:ext cx="1796986" cy="146113"/>
      </dsp:txXfrm>
    </dsp:sp>
    <dsp:sp modelId="{FD64E691-B136-9348-A059-29CAA991C969}">
      <dsp:nvSpPr>
        <dsp:cNvPr id="0" name=""/>
        <dsp:cNvSpPr/>
      </dsp:nvSpPr>
      <dsp:spPr>
        <a:xfrm>
          <a:off x="3596608" y="3075019"/>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University 2</a:t>
          </a:r>
        </a:p>
      </dsp:txBody>
      <dsp:txXfrm>
        <a:off x="3596608" y="3075019"/>
        <a:ext cx="1796986" cy="146113"/>
      </dsp:txXfrm>
    </dsp:sp>
    <dsp:sp modelId="{49247FF8-C43B-EE40-AAAA-D29167F68827}">
      <dsp:nvSpPr>
        <dsp:cNvPr id="0" name=""/>
        <dsp:cNvSpPr/>
      </dsp:nvSpPr>
      <dsp:spPr>
        <a:xfrm rot="10800000">
          <a:off x="0" y="2419589"/>
          <a:ext cx="5396230" cy="488672"/>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t>Intervention </a:t>
          </a:r>
          <a:r>
            <a:rPr lang="en-US" sz="1200" kern="1200" dirty="0" err="1"/>
            <a:t>vs</a:t>
          </a:r>
          <a:r>
            <a:rPr lang="en-US" sz="1200" kern="1200" dirty="0"/>
            <a:t> non intervention group </a:t>
          </a:r>
        </a:p>
      </dsp:txBody>
      <dsp:txXfrm rot="-10800000">
        <a:off x="0" y="2419589"/>
        <a:ext cx="5396230" cy="171523"/>
      </dsp:txXfrm>
    </dsp:sp>
    <dsp:sp modelId="{67B2A690-A3FF-0748-970E-CCD2232045A8}">
      <dsp:nvSpPr>
        <dsp:cNvPr id="0" name=""/>
        <dsp:cNvSpPr/>
      </dsp:nvSpPr>
      <dsp:spPr>
        <a:xfrm>
          <a:off x="0" y="2591112"/>
          <a:ext cx="2698114"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Preparedness for practice</a:t>
          </a:r>
        </a:p>
      </dsp:txBody>
      <dsp:txXfrm>
        <a:off x="0" y="2591112"/>
        <a:ext cx="2698114" cy="146113"/>
      </dsp:txXfrm>
    </dsp:sp>
    <dsp:sp modelId="{80077ECA-AF0C-C247-A423-FA16011C125F}">
      <dsp:nvSpPr>
        <dsp:cNvPr id="0" name=""/>
        <dsp:cNvSpPr/>
      </dsp:nvSpPr>
      <dsp:spPr>
        <a:xfrm>
          <a:off x="2698115" y="2591112"/>
          <a:ext cx="2698114"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Power calculation</a:t>
          </a:r>
        </a:p>
      </dsp:txBody>
      <dsp:txXfrm>
        <a:off x="2698115" y="2591112"/>
        <a:ext cx="2698114" cy="146113"/>
      </dsp:txXfrm>
    </dsp:sp>
    <dsp:sp modelId="{8191012E-5A9D-F941-9667-552FD86C5C41}">
      <dsp:nvSpPr>
        <dsp:cNvPr id="0" name=""/>
        <dsp:cNvSpPr/>
      </dsp:nvSpPr>
      <dsp:spPr>
        <a:xfrm rot="10800000">
          <a:off x="0" y="1935682"/>
          <a:ext cx="5396230" cy="488672"/>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t>Pilot study</a:t>
          </a:r>
        </a:p>
      </dsp:txBody>
      <dsp:txXfrm rot="-10800000">
        <a:off x="0" y="1935682"/>
        <a:ext cx="5396230" cy="171523"/>
      </dsp:txXfrm>
    </dsp:sp>
    <dsp:sp modelId="{18B15CBC-B7EB-3946-8731-492452C2EAF3}">
      <dsp:nvSpPr>
        <dsp:cNvPr id="0" name=""/>
        <dsp:cNvSpPr/>
      </dsp:nvSpPr>
      <dsp:spPr>
        <a:xfrm>
          <a:off x="2634" y="2107206"/>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Field notes</a:t>
          </a:r>
        </a:p>
      </dsp:txBody>
      <dsp:txXfrm>
        <a:off x="2634" y="2107206"/>
        <a:ext cx="1796986" cy="146113"/>
      </dsp:txXfrm>
    </dsp:sp>
    <dsp:sp modelId="{9BD73C76-B087-8C4E-8000-4C6A562327BA}">
      <dsp:nvSpPr>
        <dsp:cNvPr id="0" name=""/>
        <dsp:cNvSpPr/>
      </dsp:nvSpPr>
      <dsp:spPr>
        <a:xfrm>
          <a:off x="1799621" y="2107206"/>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Tutor feedback</a:t>
          </a:r>
        </a:p>
      </dsp:txBody>
      <dsp:txXfrm>
        <a:off x="1799621" y="2107206"/>
        <a:ext cx="1796986" cy="146113"/>
      </dsp:txXfrm>
    </dsp:sp>
    <dsp:sp modelId="{3EAABF17-4647-BE4B-8E96-B12930A7AE56}">
      <dsp:nvSpPr>
        <dsp:cNvPr id="0" name=""/>
        <dsp:cNvSpPr/>
      </dsp:nvSpPr>
      <dsp:spPr>
        <a:xfrm>
          <a:off x="3596608" y="2107206"/>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Student focus groups</a:t>
          </a:r>
        </a:p>
      </dsp:txBody>
      <dsp:txXfrm>
        <a:off x="3596608" y="2107206"/>
        <a:ext cx="1796986" cy="146113"/>
      </dsp:txXfrm>
    </dsp:sp>
    <dsp:sp modelId="{7228887C-9F1C-FF47-95E2-75B642160274}">
      <dsp:nvSpPr>
        <dsp:cNvPr id="0" name=""/>
        <dsp:cNvSpPr/>
      </dsp:nvSpPr>
      <dsp:spPr>
        <a:xfrm rot="10800000">
          <a:off x="0" y="1451776"/>
          <a:ext cx="5396230" cy="488672"/>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solidFill>
                <a:srgbClr val="FF0000"/>
              </a:solidFill>
            </a:rPr>
            <a:t>Assessment design </a:t>
          </a:r>
        </a:p>
      </dsp:txBody>
      <dsp:txXfrm rot="-10800000">
        <a:off x="0" y="1451776"/>
        <a:ext cx="5396230" cy="171523"/>
      </dsp:txXfrm>
    </dsp:sp>
    <dsp:sp modelId="{B2AC6733-5B02-6C48-A4D7-FC371ED7A65E}">
      <dsp:nvSpPr>
        <dsp:cNvPr id="0" name=""/>
        <dsp:cNvSpPr/>
      </dsp:nvSpPr>
      <dsp:spPr>
        <a:xfrm>
          <a:off x="2634" y="1623300"/>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Validation</a:t>
          </a:r>
        </a:p>
      </dsp:txBody>
      <dsp:txXfrm>
        <a:off x="2634" y="1623300"/>
        <a:ext cx="1796986" cy="146113"/>
      </dsp:txXfrm>
    </dsp:sp>
    <dsp:sp modelId="{0568FB00-6E25-8B40-BEF5-98FD9C35249C}">
      <dsp:nvSpPr>
        <dsp:cNvPr id="0" name=""/>
        <dsp:cNvSpPr/>
      </dsp:nvSpPr>
      <dsp:spPr>
        <a:xfrm>
          <a:off x="1799621" y="1623300"/>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Justification</a:t>
          </a:r>
        </a:p>
      </dsp:txBody>
      <dsp:txXfrm>
        <a:off x="1799621" y="1623300"/>
        <a:ext cx="1796986" cy="146113"/>
      </dsp:txXfrm>
    </dsp:sp>
    <dsp:sp modelId="{43544FDA-09BE-0F47-8FA8-AA8316A8391B}">
      <dsp:nvSpPr>
        <dsp:cNvPr id="0" name=""/>
        <dsp:cNvSpPr/>
      </dsp:nvSpPr>
      <dsp:spPr>
        <a:xfrm>
          <a:off x="3596608" y="1623300"/>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Triangulation</a:t>
          </a:r>
        </a:p>
      </dsp:txBody>
      <dsp:txXfrm>
        <a:off x="3596608" y="1623300"/>
        <a:ext cx="1796986" cy="146113"/>
      </dsp:txXfrm>
    </dsp:sp>
    <dsp:sp modelId="{72B1D1A9-B514-C94F-81F6-63608B08F5C1}">
      <dsp:nvSpPr>
        <dsp:cNvPr id="0" name=""/>
        <dsp:cNvSpPr/>
      </dsp:nvSpPr>
      <dsp:spPr>
        <a:xfrm rot="10800000">
          <a:off x="0" y="967869"/>
          <a:ext cx="5396230" cy="488672"/>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solidFill>
                <a:srgbClr val="FF0000"/>
              </a:solidFill>
            </a:rPr>
            <a:t>Simulation course design</a:t>
          </a:r>
        </a:p>
      </dsp:txBody>
      <dsp:txXfrm rot="-10800000">
        <a:off x="0" y="967869"/>
        <a:ext cx="5396230" cy="171523"/>
      </dsp:txXfrm>
    </dsp:sp>
    <dsp:sp modelId="{16B3445D-93E7-EC43-B6F7-8AD83A8BCE0E}">
      <dsp:nvSpPr>
        <dsp:cNvPr id="0" name=""/>
        <dsp:cNvSpPr/>
      </dsp:nvSpPr>
      <dsp:spPr>
        <a:xfrm>
          <a:off x="0" y="1139393"/>
          <a:ext cx="1349057"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Gap analysis</a:t>
          </a:r>
        </a:p>
      </dsp:txBody>
      <dsp:txXfrm>
        <a:off x="0" y="1139393"/>
        <a:ext cx="1349057" cy="146113"/>
      </dsp:txXfrm>
    </dsp:sp>
    <dsp:sp modelId="{2EF6EFA8-5CA9-2048-8B8C-952CECCD5A2A}">
      <dsp:nvSpPr>
        <dsp:cNvPr id="0" name=""/>
        <dsp:cNvSpPr/>
      </dsp:nvSpPr>
      <dsp:spPr>
        <a:xfrm>
          <a:off x="1349057" y="1139393"/>
          <a:ext cx="1349057"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Curricula</a:t>
          </a:r>
        </a:p>
      </dsp:txBody>
      <dsp:txXfrm>
        <a:off x="1349057" y="1139393"/>
        <a:ext cx="1349057" cy="146113"/>
      </dsp:txXfrm>
    </dsp:sp>
    <dsp:sp modelId="{29BCAA45-93B1-9946-987A-6C06C324C196}">
      <dsp:nvSpPr>
        <dsp:cNvPr id="0" name=""/>
        <dsp:cNvSpPr/>
      </dsp:nvSpPr>
      <dsp:spPr>
        <a:xfrm>
          <a:off x="2698115" y="1139393"/>
          <a:ext cx="1349057"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Educational theory</a:t>
          </a:r>
        </a:p>
      </dsp:txBody>
      <dsp:txXfrm>
        <a:off x="2698115" y="1139393"/>
        <a:ext cx="1349057" cy="146113"/>
      </dsp:txXfrm>
    </dsp:sp>
    <dsp:sp modelId="{380D77DB-026A-EB4C-8962-F71161977E1F}">
      <dsp:nvSpPr>
        <dsp:cNvPr id="0" name=""/>
        <dsp:cNvSpPr/>
      </dsp:nvSpPr>
      <dsp:spPr>
        <a:xfrm>
          <a:off x="4047172" y="1139393"/>
          <a:ext cx="1349057"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Expert consensus</a:t>
          </a:r>
        </a:p>
      </dsp:txBody>
      <dsp:txXfrm>
        <a:off x="4047172" y="1139393"/>
        <a:ext cx="1349057" cy="146113"/>
      </dsp:txXfrm>
    </dsp:sp>
    <dsp:sp modelId="{7349AB8C-039D-714F-B7CD-B54984534528}">
      <dsp:nvSpPr>
        <dsp:cNvPr id="0" name=""/>
        <dsp:cNvSpPr/>
      </dsp:nvSpPr>
      <dsp:spPr>
        <a:xfrm rot="10800000">
          <a:off x="0" y="483963"/>
          <a:ext cx="5396230" cy="488672"/>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t>Focus groups with 5</a:t>
          </a:r>
          <a:r>
            <a:rPr lang="en-US" sz="1200" kern="1200" baseline="30000" dirty="0"/>
            <a:t>th</a:t>
          </a:r>
          <a:r>
            <a:rPr lang="en-US" sz="1200" kern="1200" dirty="0"/>
            <a:t> year medical students</a:t>
          </a:r>
        </a:p>
      </dsp:txBody>
      <dsp:txXfrm rot="-10800000">
        <a:off x="0" y="483963"/>
        <a:ext cx="5396230" cy="171523"/>
      </dsp:txXfrm>
    </dsp:sp>
    <dsp:sp modelId="{B19A0FB5-C01F-EC4A-9F40-F0062968603B}">
      <dsp:nvSpPr>
        <dsp:cNvPr id="0" name=""/>
        <dsp:cNvSpPr/>
      </dsp:nvSpPr>
      <dsp:spPr>
        <a:xfrm>
          <a:off x="0" y="655487"/>
          <a:ext cx="2698114"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Preparedness for practice </a:t>
          </a:r>
        </a:p>
      </dsp:txBody>
      <dsp:txXfrm>
        <a:off x="0" y="655487"/>
        <a:ext cx="2698114" cy="146113"/>
      </dsp:txXfrm>
    </dsp:sp>
    <dsp:sp modelId="{EAFD7850-9F4A-474C-8B76-EFFC4DDF7787}">
      <dsp:nvSpPr>
        <dsp:cNvPr id="0" name=""/>
        <dsp:cNvSpPr/>
      </dsp:nvSpPr>
      <dsp:spPr>
        <a:xfrm>
          <a:off x="2698115" y="655487"/>
          <a:ext cx="2698114"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Simulation </a:t>
          </a:r>
        </a:p>
      </dsp:txBody>
      <dsp:txXfrm>
        <a:off x="2698115" y="655487"/>
        <a:ext cx="2698114" cy="146113"/>
      </dsp:txXfrm>
    </dsp:sp>
    <dsp:sp modelId="{741C87E9-E100-9A4B-9DE1-5C0420ED6381}">
      <dsp:nvSpPr>
        <dsp:cNvPr id="0" name=""/>
        <dsp:cNvSpPr/>
      </dsp:nvSpPr>
      <dsp:spPr>
        <a:xfrm rot="10800000">
          <a:off x="0" y="57"/>
          <a:ext cx="5396230" cy="488672"/>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t>Literature review </a:t>
          </a:r>
        </a:p>
      </dsp:txBody>
      <dsp:txXfrm rot="-10800000">
        <a:off x="0" y="57"/>
        <a:ext cx="5396230" cy="171523"/>
      </dsp:txXfrm>
    </dsp:sp>
    <dsp:sp modelId="{9BA7B71A-E203-344A-ACD7-7FCC87DEEB3C}">
      <dsp:nvSpPr>
        <dsp:cNvPr id="0" name=""/>
        <dsp:cNvSpPr/>
      </dsp:nvSpPr>
      <dsp:spPr>
        <a:xfrm>
          <a:off x="2634" y="171581"/>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Gaps in literature</a:t>
          </a:r>
        </a:p>
      </dsp:txBody>
      <dsp:txXfrm>
        <a:off x="2634" y="171581"/>
        <a:ext cx="1796986" cy="146113"/>
      </dsp:txXfrm>
    </dsp:sp>
    <dsp:sp modelId="{05160432-DC63-B745-B31E-2A7BA2029E2C}">
      <dsp:nvSpPr>
        <dsp:cNvPr id="0" name=""/>
        <dsp:cNvSpPr/>
      </dsp:nvSpPr>
      <dsp:spPr>
        <a:xfrm>
          <a:off x="1799621" y="171581"/>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Research question</a:t>
          </a:r>
        </a:p>
      </dsp:txBody>
      <dsp:txXfrm>
        <a:off x="1799621" y="171581"/>
        <a:ext cx="1796986" cy="146113"/>
      </dsp:txXfrm>
    </dsp:sp>
    <dsp:sp modelId="{C5669348-D6C1-BD4F-84C0-2960BF86AE44}">
      <dsp:nvSpPr>
        <dsp:cNvPr id="0" name=""/>
        <dsp:cNvSpPr/>
      </dsp:nvSpPr>
      <dsp:spPr>
        <a:xfrm>
          <a:off x="3596608" y="171581"/>
          <a:ext cx="1796986" cy="146113"/>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dirty="0"/>
            <a:t>Ethics approval</a:t>
          </a:r>
        </a:p>
      </dsp:txBody>
      <dsp:txXfrm>
        <a:off x="3596608" y="171581"/>
        <a:ext cx="1796986" cy="146113"/>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5193" y="100113"/>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27037"/>
        <a:ext cx="444236" cy="190387"/>
      </dsp:txXfrm>
    </dsp:sp>
    <dsp:sp modelId="{28826DD3-E030-6044-B2F2-D85EF85F6960}">
      <dsp:nvSpPr>
        <dsp:cNvPr id="0" name=""/>
        <dsp:cNvSpPr/>
      </dsp:nvSpPr>
      <dsp:spPr>
        <a:xfrm rot="5400000">
          <a:off x="2463155" y="-2013999"/>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44237" y="25056"/>
        <a:ext cx="4430206" cy="372231"/>
      </dsp:txXfrm>
    </dsp:sp>
    <dsp:sp modelId="{B422BFF3-8BFD-2144-8980-375702EA9496}">
      <dsp:nvSpPr>
        <dsp:cNvPr id="0" name=""/>
        <dsp:cNvSpPr/>
      </dsp:nvSpPr>
      <dsp:spPr>
        <a:xfrm rot="5400000">
          <a:off x="-95193" y="676856"/>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803780"/>
        <a:ext cx="444236" cy="190387"/>
      </dsp:txXfrm>
    </dsp:sp>
    <dsp:sp modelId="{8BDAA81E-2E4E-9C4A-9A67-4855D9BA1510}">
      <dsp:nvSpPr>
        <dsp:cNvPr id="0" name=""/>
        <dsp:cNvSpPr/>
      </dsp:nvSpPr>
      <dsp:spPr>
        <a:xfrm rot="5400000">
          <a:off x="2463155" y="-1437255"/>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44237" y="601800"/>
        <a:ext cx="4430206" cy="372231"/>
      </dsp:txXfrm>
    </dsp:sp>
    <dsp:sp modelId="{A0202F08-BEC9-8F43-8711-F30ADE817D18}">
      <dsp:nvSpPr>
        <dsp:cNvPr id="0" name=""/>
        <dsp:cNvSpPr/>
      </dsp:nvSpPr>
      <dsp:spPr>
        <a:xfrm rot="5400000">
          <a:off x="-95193" y="1253600"/>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1" y="1380524"/>
        <a:ext cx="444236" cy="190387"/>
      </dsp:txXfrm>
    </dsp:sp>
    <dsp:sp modelId="{06B263AD-CC10-0D49-8145-0C283F585CD5}">
      <dsp:nvSpPr>
        <dsp:cNvPr id="0" name=""/>
        <dsp:cNvSpPr/>
      </dsp:nvSpPr>
      <dsp:spPr>
        <a:xfrm rot="5400000">
          <a:off x="2463155" y="-860511"/>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44237" y="1178544"/>
        <a:ext cx="4430206" cy="372231"/>
      </dsp:txXfrm>
    </dsp:sp>
    <dsp:sp modelId="{31EA3204-EDC1-4F43-84C9-41DE884256E5}">
      <dsp:nvSpPr>
        <dsp:cNvPr id="0" name=""/>
        <dsp:cNvSpPr/>
      </dsp:nvSpPr>
      <dsp:spPr>
        <a:xfrm rot="5400000">
          <a:off x="-95193" y="1830344"/>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1" y="1957268"/>
        <a:ext cx="444236" cy="190387"/>
      </dsp:txXfrm>
    </dsp:sp>
    <dsp:sp modelId="{9D5418D3-F08D-8545-87B2-2FD7B1D1031E}">
      <dsp:nvSpPr>
        <dsp:cNvPr id="0" name=""/>
        <dsp:cNvSpPr/>
      </dsp:nvSpPr>
      <dsp:spPr>
        <a:xfrm rot="5400000">
          <a:off x="2463155" y="-283767"/>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44237" y="1755288"/>
        <a:ext cx="4430206" cy="372231"/>
      </dsp:txXfrm>
    </dsp:sp>
    <dsp:sp modelId="{CCC28DE8-0568-7547-9A1F-3C6F0F33A2CF}">
      <dsp:nvSpPr>
        <dsp:cNvPr id="0" name=""/>
        <dsp:cNvSpPr/>
      </dsp:nvSpPr>
      <dsp:spPr>
        <a:xfrm rot="5400000">
          <a:off x="-95193" y="2407088"/>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1" y="2534012"/>
        <a:ext cx="444236" cy="190387"/>
      </dsp:txXfrm>
    </dsp:sp>
    <dsp:sp modelId="{F1EE7E3F-25DA-8041-85A7-EBBF11BC4C56}">
      <dsp:nvSpPr>
        <dsp:cNvPr id="0" name=""/>
        <dsp:cNvSpPr/>
      </dsp:nvSpPr>
      <dsp:spPr>
        <a:xfrm rot="5400000">
          <a:off x="2463155" y="292976"/>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44237" y="2332032"/>
        <a:ext cx="4430206" cy="372231"/>
      </dsp:txXfrm>
    </dsp:sp>
    <dsp:sp modelId="{844AC346-AEB9-A649-8C9D-DBF2769C8FFC}">
      <dsp:nvSpPr>
        <dsp:cNvPr id="0" name=""/>
        <dsp:cNvSpPr/>
      </dsp:nvSpPr>
      <dsp:spPr>
        <a:xfrm rot="5400000">
          <a:off x="-95193" y="2983832"/>
          <a:ext cx="634623" cy="444236"/>
        </a:xfrm>
        <a:prstGeom prst="chevron">
          <a:avLst/>
        </a:prstGeom>
        <a:solidFill>
          <a:srgbClr val="80000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3110756"/>
        <a:ext cx="444236" cy="190387"/>
      </dsp:txXfrm>
    </dsp:sp>
    <dsp:sp modelId="{C80BEB0B-E1AB-4443-9F91-9D6894D7833E}">
      <dsp:nvSpPr>
        <dsp:cNvPr id="0" name=""/>
        <dsp:cNvSpPr/>
      </dsp:nvSpPr>
      <dsp:spPr>
        <a:xfrm rot="5400000">
          <a:off x="2463155" y="869720"/>
          <a:ext cx="412505" cy="4450343"/>
        </a:xfrm>
        <a:prstGeom prst="round2SameRect">
          <a:avLst/>
        </a:prstGeom>
        <a:solidFill>
          <a:srgbClr val="800000">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rgbClr val="FFFFFF"/>
              </a:solidFill>
            </a:rPr>
            <a:t>Aims and objectives, methods, results</a:t>
          </a:r>
        </a:p>
        <a:p>
          <a:pPr marL="57150" lvl="1" indent="-57150" algn="l" defTabSz="400050">
            <a:lnSpc>
              <a:spcPct val="90000"/>
            </a:lnSpc>
            <a:spcBef>
              <a:spcPct val="0"/>
            </a:spcBef>
            <a:spcAft>
              <a:spcPct val="15000"/>
            </a:spcAft>
            <a:buChar char="•"/>
          </a:pPr>
          <a:r>
            <a:rPr lang="en-US" sz="900" kern="1200">
              <a:solidFill>
                <a:srgbClr val="FFFFFF"/>
              </a:solidFill>
            </a:rPr>
            <a:t>Data analysis, conclusions</a:t>
          </a:r>
        </a:p>
      </dsp:txBody>
      <dsp:txXfrm rot="-5400000">
        <a:off x="444237" y="2908776"/>
        <a:ext cx="4430206" cy="372231"/>
      </dsp:txXfrm>
    </dsp:sp>
    <dsp:sp modelId="{B9872B13-1174-E847-A615-29577404DF21}">
      <dsp:nvSpPr>
        <dsp:cNvPr id="0" name=""/>
        <dsp:cNvSpPr/>
      </dsp:nvSpPr>
      <dsp:spPr>
        <a:xfrm rot="5400000">
          <a:off x="-95193" y="3560576"/>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687500"/>
        <a:ext cx="444236" cy="190387"/>
      </dsp:txXfrm>
    </dsp:sp>
    <dsp:sp modelId="{DCD4A931-4F01-F440-965B-DC25AA6FE080}">
      <dsp:nvSpPr>
        <dsp:cNvPr id="0" name=""/>
        <dsp:cNvSpPr/>
      </dsp:nvSpPr>
      <dsp:spPr>
        <a:xfrm rot="5400000">
          <a:off x="2463155" y="1446464"/>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a:t>
          </a:r>
        </a:p>
      </dsp:txBody>
      <dsp:txXfrm rot="-5400000">
        <a:off x="444237" y="3485520"/>
        <a:ext cx="4430206" cy="372231"/>
      </dsp:txXfrm>
    </dsp:sp>
    <dsp:sp modelId="{5EFF0404-E2F5-2846-AB66-A5D5B6AF7CA2}">
      <dsp:nvSpPr>
        <dsp:cNvPr id="0" name=""/>
        <dsp:cNvSpPr/>
      </dsp:nvSpPr>
      <dsp:spPr>
        <a:xfrm rot="5400000">
          <a:off x="-95193" y="4137320"/>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1" y="4264244"/>
        <a:ext cx="444236" cy="190387"/>
      </dsp:txXfrm>
    </dsp:sp>
    <dsp:sp modelId="{8896D702-2D2C-EC42-81B9-BE92AB83E01A}">
      <dsp:nvSpPr>
        <dsp:cNvPr id="0" name=""/>
        <dsp:cNvSpPr/>
      </dsp:nvSpPr>
      <dsp:spPr>
        <a:xfrm rot="5400000">
          <a:off x="2463155" y="2023208"/>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44237" y="4062264"/>
        <a:ext cx="4430206" cy="372231"/>
      </dsp:txXfrm>
    </dsp:sp>
    <dsp:sp modelId="{E86BF6A3-BA90-BB43-908F-24E76E7D1587}">
      <dsp:nvSpPr>
        <dsp:cNvPr id="0" name=""/>
        <dsp:cNvSpPr/>
      </dsp:nvSpPr>
      <dsp:spPr>
        <a:xfrm rot="5400000">
          <a:off x="-95193" y="4714064"/>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4840988"/>
        <a:ext cx="444236" cy="190387"/>
      </dsp:txXfrm>
    </dsp:sp>
    <dsp:sp modelId="{E2DE84BA-2462-A242-AC94-46E19F99F1BB}">
      <dsp:nvSpPr>
        <dsp:cNvPr id="0" name=""/>
        <dsp:cNvSpPr/>
      </dsp:nvSpPr>
      <dsp:spPr>
        <a:xfrm rot="5400000">
          <a:off x="2463155" y="2599952"/>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44237" y="4639008"/>
        <a:ext cx="4430206" cy="372231"/>
      </dsp:txXfrm>
    </dsp:sp>
    <dsp:sp modelId="{B88D95AA-AFFF-224F-9EBE-1226F2119586}">
      <dsp:nvSpPr>
        <dsp:cNvPr id="0" name=""/>
        <dsp:cNvSpPr/>
      </dsp:nvSpPr>
      <dsp:spPr>
        <a:xfrm rot="5400000">
          <a:off x="-95193" y="5290808"/>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417732"/>
        <a:ext cx="444236" cy="190387"/>
      </dsp:txXfrm>
    </dsp:sp>
    <dsp:sp modelId="{BC4A5DFE-0373-0044-B473-93ADEF2A2324}">
      <dsp:nvSpPr>
        <dsp:cNvPr id="0" name=""/>
        <dsp:cNvSpPr/>
      </dsp:nvSpPr>
      <dsp:spPr>
        <a:xfrm rot="5400000">
          <a:off x="2463155" y="3176695"/>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44237" y="5215751"/>
        <a:ext cx="4430206" cy="372231"/>
      </dsp:txXfrm>
    </dsp:sp>
    <dsp:sp modelId="{ED0EEAAD-1F9F-C445-9ED5-D61D26A0F8D1}">
      <dsp:nvSpPr>
        <dsp:cNvPr id="0" name=""/>
        <dsp:cNvSpPr/>
      </dsp:nvSpPr>
      <dsp:spPr>
        <a:xfrm rot="5400000">
          <a:off x="-95193" y="5867552"/>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5994476"/>
        <a:ext cx="444236" cy="190387"/>
      </dsp:txXfrm>
    </dsp:sp>
    <dsp:sp modelId="{C174B10A-41E6-244B-88CB-0D08E5FFF5F9}">
      <dsp:nvSpPr>
        <dsp:cNvPr id="0" name=""/>
        <dsp:cNvSpPr/>
      </dsp:nvSpPr>
      <dsp:spPr>
        <a:xfrm rot="5400000">
          <a:off x="2463047" y="3753548"/>
          <a:ext cx="412722"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44237" y="5792506"/>
        <a:ext cx="4430196" cy="372428"/>
      </dsp:txXfrm>
    </dsp:sp>
    <dsp:sp modelId="{6DDDE256-1CA3-1140-A939-5530FC1F57D3}">
      <dsp:nvSpPr>
        <dsp:cNvPr id="0" name=""/>
        <dsp:cNvSpPr/>
      </dsp:nvSpPr>
      <dsp:spPr>
        <a:xfrm rot="5400000">
          <a:off x="-95193" y="6444296"/>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571220"/>
        <a:ext cx="444236" cy="190387"/>
      </dsp:txXfrm>
    </dsp:sp>
    <dsp:sp modelId="{999FDDA9-9F6A-1143-BE3C-B1E07CBE9945}">
      <dsp:nvSpPr>
        <dsp:cNvPr id="0" name=""/>
        <dsp:cNvSpPr/>
      </dsp:nvSpPr>
      <dsp:spPr>
        <a:xfrm rot="5400000">
          <a:off x="2463155" y="4330183"/>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5193" y="7021040"/>
          <a:ext cx="634623" cy="44423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7147964"/>
        <a:ext cx="444236" cy="190387"/>
      </dsp:txXfrm>
    </dsp:sp>
    <dsp:sp modelId="{53F81CAC-F802-9240-8C94-B3E2B1F8761C}">
      <dsp:nvSpPr>
        <dsp:cNvPr id="0" name=""/>
        <dsp:cNvSpPr/>
      </dsp:nvSpPr>
      <dsp:spPr>
        <a:xfrm rot="5400000">
          <a:off x="2463155" y="4906927"/>
          <a:ext cx="412505" cy="445034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6040" y="102502"/>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30556"/>
        <a:ext cx="448190" cy="192081"/>
      </dsp:txXfrm>
    </dsp:sp>
    <dsp:sp modelId="{28826DD3-E030-6044-B2F2-D85EF85F6960}">
      <dsp:nvSpPr>
        <dsp:cNvPr id="0" name=""/>
        <dsp:cNvSpPr/>
      </dsp:nvSpPr>
      <dsp:spPr>
        <a:xfrm rot="5400000">
          <a:off x="2577596" y="-2122944"/>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48190" y="26778"/>
        <a:ext cx="4654673" cy="375544"/>
      </dsp:txXfrm>
    </dsp:sp>
    <dsp:sp modelId="{B422BFF3-8BFD-2144-8980-375702EA9496}">
      <dsp:nvSpPr>
        <dsp:cNvPr id="0" name=""/>
        <dsp:cNvSpPr/>
      </dsp:nvSpPr>
      <dsp:spPr>
        <a:xfrm rot="5400000">
          <a:off x="-96040" y="686985"/>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815039"/>
        <a:ext cx="448190" cy="192081"/>
      </dsp:txXfrm>
    </dsp:sp>
    <dsp:sp modelId="{8BDAA81E-2E4E-9C4A-9A67-4855D9BA1510}">
      <dsp:nvSpPr>
        <dsp:cNvPr id="0" name=""/>
        <dsp:cNvSpPr/>
      </dsp:nvSpPr>
      <dsp:spPr>
        <a:xfrm rot="5400000">
          <a:off x="2577596" y="-1538461"/>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48190" y="611261"/>
        <a:ext cx="4654673" cy="375544"/>
      </dsp:txXfrm>
    </dsp:sp>
    <dsp:sp modelId="{A0202F08-BEC9-8F43-8711-F30ADE817D18}">
      <dsp:nvSpPr>
        <dsp:cNvPr id="0" name=""/>
        <dsp:cNvSpPr/>
      </dsp:nvSpPr>
      <dsp:spPr>
        <a:xfrm rot="5400000">
          <a:off x="-96040" y="1271468"/>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1" y="1399522"/>
        <a:ext cx="448190" cy="192081"/>
      </dsp:txXfrm>
    </dsp:sp>
    <dsp:sp modelId="{06B263AD-CC10-0D49-8145-0C283F585CD5}">
      <dsp:nvSpPr>
        <dsp:cNvPr id="0" name=""/>
        <dsp:cNvSpPr/>
      </dsp:nvSpPr>
      <dsp:spPr>
        <a:xfrm rot="5400000">
          <a:off x="2577596" y="-953978"/>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48190" y="1195744"/>
        <a:ext cx="4654673" cy="375544"/>
      </dsp:txXfrm>
    </dsp:sp>
    <dsp:sp modelId="{31EA3204-EDC1-4F43-84C9-41DE884256E5}">
      <dsp:nvSpPr>
        <dsp:cNvPr id="0" name=""/>
        <dsp:cNvSpPr/>
      </dsp:nvSpPr>
      <dsp:spPr>
        <a:xfrm rot="5400000">
          <a:off x="-96040" y="1855951"/>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1" y="1984005"/>
        <a:ext cx="448190" cy="192081"/>
      </dsp:txXfrm>
    </dsp:sp>
    <dsp:sp modelId="{9D5418D3-F08D-8545-87B2-2FD7B1D1031E}">
      <dsp:nvSpPr>
        <dsp:cNvPr id="0" name=""/>
        <dsp:cNvSpPr/>
      </dsp:nvSpPr>
      <dsp:spPr>
        <a:xfrm rot="5400000">
          <a:off x="2577596" y="-369496"/>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48190" y="1780226"/>
        <a:ext cx="4654673" cy="375544"/>
      </dsp:txXfrm>
    </dsp:sp>
    <dsp:sp modelId="{CCC28DE8-0568-7547-9A1F-3C6F0F33A2CF}">
      <dsp:nvSpPr>
        <dsp:cNvPr id="0" name=""/>
        <dsp:cNvSpPr/>
      </dsp:nvSpPr>
      <dsp:spPr>
        <a:xfrm rot="5400000">
          <a:off x="-96040" y="2440434"/>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1" y="2568488"/>
        <a:ext cx="448190" cy="192081"/>
      </dsp:txXfrm>
    </dsp:sp>
    <dsp:sp modelId="{F1EE7E3F-25DA-8041-85A7-EBBF11BC4C56}">
      <dsp:nvSpPr>
        <dsp:cNvPr id="0" name=""/>
        <dsp:cNvSpPr/>
      </dsp:nvSpPr>
      <dsp:spPr>
        <a:xfrm rot="5400000">
          <a:off x="2577596" y="214986"/>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48190" y="2364708"/>
        <a:ext cx="4654673" cy="375544"/>
      </dsp:txXfrm>
    </dsp:sp>
    <dsp:sp modelId="{844AC346-AEB9-A649-8C9D-DBF2769C8FFC}">
      <dsp:nvSpPr>
        <dsp:cNvPr id="0" name=""/>
        <dsp:cNvSpPr/>
      </dsp:nvSpPr>
      <dsp:spPr>
        <a:xfrm rot="5400000">
          <a:off x="-96040" y="3024916"/>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3152970"/>
        <a:ext cx="448190" cy="192081"/>
      </dsp:txXfrm>
    </dsp:sp>
    <dsp:sp modelId="{C80BEB0B-E1AB-4443-9F91-9D6894D7833E}">
      <dsp:nvSpPr>
        <dsp:cNvPr id="0" name=""/>
        <dsp:cNvSpPr/>
      </dsp:nvSpPr>
      <dsp:spPr>
        <a:xfrm rot="5400000">
          <a:off x="2577596" y="799469"/>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48190" y="2949191"/>
        <a:ext cx="4654673" cy="375544"/>
      </dsp:txXfrm>
    </dsp:sp>
    <dsp:sp modelId="{B9872B13-1174-E847-A615-29577404DF21}">
      <dsp:nvSpPr>
        <dsp:cNvPr id="0" name=""/>
        <dsp:cNvSpPr/>
      </dsp:nvSpPr>
      <dsp:spPr>
        <a:xfrm rot="5400000">
          <a:off x="-96040" y="3609399"/>
          <a:ext cx="640271" cy="448190"/>
        </a:xfrm>
        <a:prstGeom prst="chevron">
          <a:avLst/>
        </a:prstGeom>
        <a:solidFill>
          <a:srgbClr val="80000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737453"/>
        <a:ext cx="448190" cy="192081"/>
      </dsp:txXfrm>
    </dsp:sp>
    <dsp:sp modelId="{DCD4A931-4F01-F440-965B-DC25AA6FE080}">
      <dsp:nvSpPr>
        <dsp:cNvPr id="0" name=""/>
        <dsp:cNvSpPr/>
      </dsp:nvSpPr>
      <dsp:spPr>
        <a:xfrm rot="5400000">
          <a:off x="2577596" y="1383952"/>
          <a:ext cx="416176" cy="4674989"/>
        </a:xfrm>
        <a:prstGeom prst="round2SameRect">
          <a:avLst/>
        </a:prstGeom>
        <a:solidFill>
          <a:srgbClr val="800000">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solidFill>
                <a:srgbClr val="FFFFFF"/>
              </a:solidFill>
            </a:rPr>
            <a:t>Aims and objectives, methods, results</a:t>
          </a:r>
        </a:p>
        <a:p>
          <a:pPr marL="57150" lvl="1" indent="-57150" algn="l" defTabSz="355600">
            <a:lnSpc>
              <a:spcPct val="90000"/>
            </a:lnSpc>
            <a:spcBef>
              <a:spcPct val="0"/>
            </a:spcBef>
            <a:spcAft>
              <a:spcPct val="15000"/>
            </a:spcAft>
            <a:buChar char="•"/>
          </a:pPr>
          <a:r>
            <a:rPr lang="en-US" sz="800" kern="1200">
              <a:solidFill>
                <a:srgbClr val="FFFFFF"/>
              </a:solidFill>
            </a:rPr>
            <a:t>Quantitative and qualitative data collection and analysis </a:t>
          </a:r>
        </a:p>
        <a:p>
          <a:pPr marL="57150" lvl="1" indent="-57150" algn="l" defTabSz="355600">
            <a:lnSpc>
              <a:spcPct val="90000"/>
            </a:lnSpc>
            <a:spcBef>
              <a:spcPct val="0"/>
            </a:spcBef>
            <a:spcAft>
              <a:spcPct val="15000"/>
            </a:spcAft>
            <a:buChar char="•"/>
          </a:pPr>
          <a:r>
            <a:rPr lang="en-US" sz="800" kern="1200">
              <a:solidFill>
                <a:srgbClr val="FFFFFF"/>
              </a:solidFill>
            </a:rPr>
            <a:t>Results</a:t>
          </a:r>
        </a:p>
      </dsp:txBody>
      <dsp:txXfrm rot="-5400000">
        <a:off x="448190" y="3533674"/>
        <a:ext cx="4654673" cy="375544"/>
      </dsp:txXfrm>
    </dsp:sp>
    <dsp:sp modelId="{FBC92F2D-7F37-C24B-BFEF-CC15867C46D4}">
      <dsp:nvSpPr>
        <dsp:cNvPr id="0" name=""/>
        <dsp:cNvSpPr/>
      </dsp:nvSpPr>
      <dsp:spPr>
        <a:xfrm rot="5400000">
          <a:off x="-96040" y="4193882"/>
          <a:ext cx="640271" cy="448190"/>
        </a:xfrm>
        <a:prstGeom prst="chevron">
          <a:avLst/>
        </a:prstGeom>
        <a:solidFill>
          <a:schemeClr val="accent1">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solidFill>
                <a:srgbClr val="FFFFFF"/>
              </a:solidFill>
            </a:rPr>
            <a:t>8: Triangulation</a:t>
          </a:r>
        </a:p>
      </dsp:txBody>
      <dsp:txXfrm rot="-5400000">
        <a:off x="1" y="4321936"/>
        <a:ext cx="448190" cy="192081"/>
      </dsp:txXfrm>
    </dsp:sp>
    <dsp:sp modelId="{E9487058-CF28-FD44-B9C2-31F73470FB7B}">
      <dsp:nvSpPr>
        <dsp:cNvPr id="0" name=""/>
        <dsp:cNvSpPr/>
      </dsp:nvSpPr>
      <dsp:spPr>
        <a:xfrm rot="5400000">
          <a:off x="2577596" y="1968435"/>
          <a:ext cx="416176" cy="4674989"/>
        </a:xfrm>
        <a:prstGeom prst="round2SameRect">
          <a:avLst/>
        </a:prstGeom>
        <a:no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solidFill>
                <a:schemeClr val="tx1"/>
              </a:solidFill>
            </a:rPr>
            <a:t>Conceptual framework, conclusions</a:t>
          </a:r>
        </a:p>
      </dsp:txBody>
      <dsp:txXfrm rot="-5400000">
        <a:off x="448190" y="4118157"/>
        <a:ext cx="4654673" cy="375544"/>
      </dsp:txXfrm>
    </dsp:sp>
    <dsp:sp modelId="{E86BF6A3-BA90-BB43-908F-24E76E7D1587}">
      <dsp:nvSpPr>
        <dsp:cNvPr id="0" name=""/>
        <dsp:cNvSpPr/>
      </dsp:nvSpPr>
      <dsp:spPr>
        <a:xfrm rot="5400000">
          <a:off x="-96040" y="4778365"/>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4906419"/>
        <a:ext cx="448190" cy="192081"/>
      </dsp:txXfrm>
    </dsp:sp>
    <dsp:sp modelId="{E2DE84BA-2462-A242-AC94-46E19F99F1BB}">
      <dsp:nvSpPr>
        <dsp:cNvPr id="0" name=""/>
        <dsp:cNvSpPr/>
      </dsp:nvSpPr>
      <dsp:spPr>
        <a:xfrm rot="5400000">
          <a:off x="2577596" y="2552918"/>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48190" y="4702640"/>
        <a:ext cx="4654673" cy="375544"/>
      </dsp:txXfrm>
    </dsp:sp>
    <dsp:sp modelId="{B88D95AA-AFFF-224F-9EBE-1226F2119586}">
      <dsp:nvSpPr>
        <dsp:cNvPr id="0" name=""/>
        <dsp:cNvSpPr/>
      </dsp:nvSpPr>
      <dsp:spPr>
        <a:xfrm rot="5400000">
          <a:off x="-96040" y="5362848"/>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490902"/>
        <a:ext cx="448190" cy="192081"/>
      </dsp:txXfrm>
    </dsp:sp>
    <dsp:sp modelId="{BC4A5DFE-0373-0044-B473-93ADEF2A2324}">
      <dsp:nvSpPr>
        <dsp:cNvPr id="0" name=""/>
        <dsp:cNvSpPr/>
      </dsp:nvSpPr>
      <dsp:spPr>
        <a:xfrm rot="5400000">
          <a:off x="2577596" y="3137401"/>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48190" y="5287123"/>
        <a:ext cx="4654673" cy="375544"/>
      </dsp:txXfrm>
    </dsp:sp>
    <dsp:sp modelId="{ED0EEAAD-1F9F-C445-9ED5-D61D26A0F8D1}">
      <dsp:nvSpPr>
        <dsp:cNvPr id="0" name=""/>
        <dsp:cNvSpPr/>
      </dsp:nvSpPr>
      <dsp:spPr>
        <a:xfrm rot="5400000">
          <a:off x="-96040" y="5947331"/>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6075385"/>
        <a:ext cx="448190" cy="192081"/>
      </dsp:txXfrm>
    </dsp:sp>
    <dsp:sp modelId="{C174B10A-41E6-244B-88CB-0D08E5FFF5F9}">
      <dsp:nvSpPr>
        <dsp:cNvPr id="0" name=""/>
        <dsp:cNvSpPr/>
      </dsp:nvSpPr>
      <dsp:spPr>
        <a:xfrm rot="5400000">
          <a:off x="2577487" y="3721993"/>
          <a:ext cx="416395"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48191" y="5871617"/>
        <a:ext cx="4654662" cy="375741"/>
      </dsp:txXfrm>
    </dsp:sp>
    <dsp:sp modelId="{6DDDE256-1CA3-1140-A939-5530FC1F57D3}">
      <dsp:nvSpPr>
        <dsp:cNvPr id="0" name=""/>
        <dsp:cNvSpPr/>
      </dsp:nvSpPr>
      <dsp:spPr>
        <a:xfrm rot="5400000">
          <a:off x="-96040" y="6531814"/>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659868"/>
        <a:ext cx="448190" cy="192081"/>
      </dsp:txXfrm>
    </dsp:sp>
    <dsp:sp modelId="{999FDDA9-9F6A-1143-BE3C-B1E07CBE9945}">
      <dsp:nvSpPr>
        <dsp:cNvPr id="0" name=""/>
        <dsp:cNvSpPr/>
      </dsp:nvSpPr>
      <dsp:spPr>
        <a:xfrm rot="5400000">
          <a:off x="2577596" y="4306366"/>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6040" y="7116297"/>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7244351"/>
        <a:ext cx="448190" cy="192081"/>
      </dsp:txXfrm>
    </dsp:sp>
    <dsp:sp modelId="{53F81CAC-F802-9240-8C94-B3E2B1F8761C}">
      <dsp:nvSpPr>
        <dsp:cNvPr id="0" name=""/>
        <dsp:cNvSpPr/>
      </dsp:nvSpPr>
      <dsp:spPr>
        <a:xfrm rot="5400000">
          <a:off x="2577596" y="4890849"/>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1D533E-74D5-8E45-9B52-4F9D612A1D7D}">
      <dsp:nvSpPr>
        <dsp:cNvPr id="0" name=""/>
        <dsp:cNvSpPr/>
      </dsp:nvSpPr>
      <dsp:spPr>
        <a:xfrm>
          <a:off x="0" y="7665955"/>
          <a:ext cx="4910841" cy="41920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Data triangulation: Chapter 8</a:t>
          </a:r>
        </a:p>
      </dsp:txBody>
      <dsp:txXfrm>
        <a:off x="0" y="7665955"/>
        <a:ext cx="4910841" cy="419202"/>
      </dsp:txXfrm>
    </dsp:sp>
    <dsp:sp modelId="{F5EA2978-43D4-2344-A8FD-38B1942A0A1E}">
      <dsp:nvSpPr>
        <dsp:cNvPr id="0" name=""/>
        <dsp:cNvSpPr/>
      </dsp:nvSpPr>
      <dsp:spPr>
        <a:xfrm rot="10800000">
          <a:off x="0" y="7027510"/>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Qualitative data analysis: Interviews</a:t>
          </a:r>
        </a:p>
      </dsp:txBody>
      <dsp:txXfrm rot="10800000">
        <a:off x="0" y="7027510"/>
        <a:ext cx="4910841" cy="418928"/>
      </dsp:txXfrm>
    </dsp:sp>
    <dsp:sp modelId="{E404B8AF-9211-8A46-A6BF-9163536B64A0}">
      <dsp:nvSpPr>
        <dsp:cNvPr id="0" name=""/>
        <dsp:cNvSpPr/>
      </dsp:nvSpPr>
      <dsp:spPr>
        <a:xfrm rot="10800000">
          <a:off x="0" y="6389064"/>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Interviews with UK simulation and educational experts</a:t>
          </a:r>
        </a:p>
      </dsp:txBody>
      <dsp:txXfrm rot="10800000">
        <a:off x="0" y="6389064"/>
        <a:ext cx="4910841" cy="418928"/>
      </dsp:txXfrm>
    </dsp:sp>
    <dsp:sp modelId="{2A73DA62-CAC1-C043-AF07-ECFF7A7DD04F}">
      <dsp:nvSpPr>
        <dsp:cNvPr id="0" name=""/>
        <dsp:cNvSpPr/>
      </dsp:nvSpPr>
      <dsp:spPr>
        <a:xfrm rot="10800000">
          <a:off x="0" y="5750619"/>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Qualitative data analysis: Focus groups</a:t>
          </a:r>
        </a:p>
      </dsp:txBody>
      <dsp:txXfrm rot="10800000">
        <a:off x="0" y="5750619"/>
        <a:ext cx="4910841" cy="418928"/>
      </dsp:txXfrm>
    </dsp:sp>
    <dsp:sp modelId="{4471F8D7-B5DF-E049-820F-A7ADB15FB319}">
      <dsp:nvSpPr>
        <dsp:cNvPr id="0" name=""/>
        <dsp:cNvSpPr/>
      </dsp:nvSpPr>
      <dsp:spPr>
        <a:xfrm rot="10800000">
          <a:off x="0" y="5112174"/>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Quantitative data analysis </a:t>
          </a:r>
        </a:p>
      </dsp:txBody>
      <dsp:txXfrm rot="10800000">
        <a:off x="0" y="5112174"/>
        <a:ext cx="4910841" cy="418928"/>
      </dsp:txXfrm>
    </dsp:sp>
    <dsp:sp modelId="{6CEDC011-89BA-5B46-8F4C-374C8FDE459D}">
      <dsp:nvSpPr>
        <dsp:cNvPr id="0" name=""/>
        <dsp:cNvSpPr/>
      </dsp:nvSpPr>
      <dsp:spPr>
        <a:xfrm rot="10800000">
          <a:off x="0" y="4473728"/>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One month into FY1 confidence score: Condition 4</a:t>
          </a:r>
        </a:p>
      </dsp:txBody>
      <dsp:txXfrm rot="10800000">
        <a:off x="0" y="4473728"/>
        <a:ext cx="4910841" cy="418928"/>
      </dsp:txXfrm>
    </dsp:sp>
    <dsp:sp modelId="{4559D395-FF7E-BF41-B885-3F4C1C338973}">
      <dsp:nvSpPr>
        <dsp:cNvPr id="0" name=""/>
        <dsp:cNvSpPr/>
      </dsp:nvSpPr>
      <dsp:spPr>
        <a:xfrm rot="10800000">
          <a:off x="0" y="3835283"/>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One week post-course confidence score: Condition 3</a:t>
          </a:r>
        </a:p>
      </dsp:txBody>
      <dsp:txXfrm rot="10800000">
        <a:off x="0" y="3835283"/>
        <a:ext cx="4910841" cy="418928"/>
      </dsp:txXfrm>
    </dsp:sp>
    <dsp:sp modelId="{37AAB100-F0D8-4442-A989-971C79BDC058}">
      <dsp:nvSpPr>
        <dsp:cNvPr id="0" name=""/>
        <dsp:cNvSpPr/>
      </dsp:nvSpPr>
      <dsp:spPr>
        <a:xfrm rot="10800000">
          <a:off x="0" y="3196837"/>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Focus groups with final year medical students post course</a:t>
          </a:r>
        </a:p>
      </dsp:txBody>
      <dsp:txXfrm rot="10800000">
        <a:off x="0" y="3196837"/>
        <a:ext cx="4910841" cy="418928"/>
      </dsp:txXfrm>
    </dsp:sp>
    <dsp:sp modelId="{763E8193-80DD-9740-B555-E6D7D4D40B8F}">
      <dsp:nvSpPr>
        <dsp:cNvPr id="0" name=""/>
        <dsp:cNvSpPr/>
      </dsp:nvSpPr>
      <dsp:spPr>
        <a:xfrm rot="10800000">
          <a:off x="0" y="2558392"/>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Feedback - written</a:t>
          </a:r>
        </a:p>
      </dsp:txBody>
      <dsp:txXfrm rot="10800000">
        <a:off x="0" y="2558392"/>
        <a:ext cx="4910841" cy="418928"/>
      </dsp:txXfrm>
    </dsp:sp>
    <dsp:sp modelId="{86843619-F28E-C54B-AAAF-5B0EBC602F79}">
      <dsp:nvSpPr>
        <dsp:cNvPr id="0" name=""/>
        <dsp:cNvSpPr/>
      </dsp:nvSpPr>
      <dsp:spPr>
        <a:xfrm rot="10800000">
          <a:off x="0" y="1919946"/>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Post-course immediate confidence score: Condition 2</a:t>
          </a:r>
        </a:p>
      </dsp:txBody>
      <dsp:txXfrm rot="10800000">
        <a:off x="0" y="1919946"/>
        <a:ext cx="4910841" cy="418928"/>
      </dsp:txXfrm>
    </dsp:sp>
    <dsp:sp modelId="{1B74346D-74CE-AE41-958E-05ECFF1B133C}">
      <dsp:nvSpPr>
        <dsp:cNvPr id="0" name=""/>
        <dsp:cNvSpPr/>
      </dsp:nvSpPr>
      <dsp:spPr>
        <a:xfrm rot="10800000">
          <a:off x="0" y="1281501"/>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Simulation intervention</a:t>
          </a:r>
        </a:p>
      </dsp:txBody>
      <dsp:txXfrm rot="10800000">
        <a:off x="0" y="1281501"/>
        <a:ext cx="4910841" cy="418928"/>
      </dsp:txXfrm>
    </dsp:sp>
    <dsp:sp modelId="{7A7E081C-0CCF-C447-8E32-2C3E1880D753}">
      <dsp:nvSpPr>
        <dsp:cNvPr id="0" name=""/>
        <dsp:cNvSpPr/>
      </dsp:nvSpPr>
      <dsp:spPr>
        <a:xfrm rot="10800000">
          <a:off x="0" y="643056"/>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Pre-course baseline confidence scores: Condition 1</a:t>
          </a:r>
        </a:p>
      </dsp:txBody>
      <dsp:txXfrm rot="10800000">
        <a:off x="0" y="643056"/>
        <a:ext cx="4910841" cy="418928"/>
      </dsp:txXfrm>
    </dsp:sp>
    <dsp:sp modelId="{B93A375E-A488-1842-B435-E2657D4A74EC}">
      <dsp:nvSpPr>
        <dsp:cNvPr id="0" name=""/>
        <dsp:cNvSpPr/>
      </dsp:nvSpPr>
      <dsp:spPr>
        <a:xfrm rot="10800000">
          <a:off x="0" y="4610"/>
          <a:ext cx="4910841" cy="64473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Simulation intervention set up</a:t>
          </a:r>
        </a:p>
      </dsp:txBody>
      <dsp:txXfrm rot="10800000">
        <a:off x="0" y="4610"/>
        <a:ext cx="4910841" cy="418928"/>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E45339-35C2-484A-981D-49E1294167AA}">
      <dsp:nvSpPr>
        <dsp:cNvPr id="0" name=""/>
        <dsp:cNvSpPr/>
      </dsp:nvSpPr>
      <dsp:spPr>
        <a:xfrm>
          <a:off x="2140" y="0"/>
          <a:ext cx="845795" cy="3147695"/>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Practice under pressure</a:t>
          </a:r>
        </a:p>
      </dsp:txBody>
      <dsp:txXfrm>
        <a:off x="2140" y="0"/>
        <a:ext cx="845795" cy="944308"/>
      </dsp:txXfrm>
    </dsp:sp>
    <dsp:sp modelId="{A26FFFA0-E7FA-A349-8FBF-725B50EEB33C}">
      <dsp:nvSpPr>
        <dsp:cNvPr id="0" name=""/>
        <dsp:cNvSpPr/>
      </dsp:nvSpPr>
      <dsp:spPr>
        <a:xfrm>
          <a:off x="86720" y="945230"/>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Expectations</a:t>
          </a:r>
        </a:p>
      </dsp:txBody>
      <dsp:txXfrm>
        <a:off x="106538" y="965048"/>
        <a:ext cx="637000" cy="909437"/>
      </dsp:txXfrm>
    </dsp:sp>
    <dsp:sp modelId="{CE9F06FB-4E8E-B44B-B953-64B57335168A}">
      <dsp:nvSpPr>
        <dsp:cNvPr id="0" name=""/>
        <dsp:cNvSpPr/>
      </dsp:nvSpPr>
      <dsp:spPr>
        <a:xfrm>
          <a:off x="86720" y="2040314"/>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Role and responsibility</a:t>
          </a:r>
        </a:p>
      </dsp:txBody>
      <dsp:txXfrm>
        <a:off x="106538" y="2060132"/>
        <a:ext cx="637000" cy="909437"/>
      </dsp:txXfrm>
    </dsp:sp>
    <dsp:sp modelId="{C16D2B30-004A-9649-BECD-4CA74CF0C58A}">
      <dsp:nvSpPr>
        <dsp:cNvPr id="0" name=""/>
        <dsp:cNvSpPr/>
      </dsp:nvSpPr>
      <dsp:spPr>
        <a:xfrm>
          <a:off x="911371" y="0"/>
          <a:ext cx="845795" cy="3147695"/>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Expectations and Escalation</a:t>
          </a:r>
        </a:p>
      </dsp:txBody>
      <dsp:txXfrm>
        <a:off x="911371" y="0"/>
        <a:ext cx="845795" cy="944308"/>
      </dsp:txXfrm>
    </dsp:sp>
    <dsp:sp modelId="{D4670B84-9FE1-7646-9D8F-4CAF26434074}">
      <dsp:nvSpPr>
        <dsp:cNvPr id="0" name=""/>
        <dsp:cNvSpPr/>
      </dsp:nvSpPr>
      <dsp:spPr>
        <a:xfrm>
          <a:off x="995950" y="945230"/>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Role and responsibility</a:t>
          </a:r>
        </a:p>
      </dsp:txBody>
      <dsp:txXfrm>
        <a:off x="1015768" y="965048"/>
        <a:ext cx="637000" cy="909437"/>
      </dsp:txXfrm>
    </dsp:sp>
    <dsp:sp modelId="{A533E403-E880-1C4D-A8B7-BCEE93B78C1F}">
      <dsp:nvSpPr>
        <dsp:cNvPr id="0" name=""/>
        <dsp:cNvSpPr/>
      </dsp:nvSpPr>
      <dsp:spPr>
        <a:xfrm>
          <a:off x="995950" y="2040314"/>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Hierarchy</a:t>
          </a:r>
        </a:p>
      </dsp:txBody>
      <dsp:txXfrm>
        <a:off x="1015768" y="2060132"/>
        <a:ext cx="637000" cy="909437"/>
      </dsp:txXfrm>
    </dsp:sp>
    <dsp:sp modelId="{56574819-0446-8D44-B34E-43D4A225A41A}">
      <dsp:nvSpPr>
        <dsp:cNvPr id="0" name=""/>
        <dsp:cNvSpPr/>
      </dsp:nvSpPr>
      <dsp:spPr>
        <a:xfrm>
          <a:off x="1820601" y="0"/>
          <a:ext cx="845795" cy="3147695"/>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Simulation</a:t>
          </a:r>
        </a:p>
      </dsp:txBody>
      <dsp:txXfrm>
        <a:off x="1820601" y="0"/>
        <a:ext cx="845795" cy="944308"/>
      </dsp:txXfrm>
    </dsp:sp>
    <dsp:sp modelId="{139F80D9-2A4F-9040-BD28-6C12B0AEBB7E}">
      <dsp:nvSpPr>
        <dsp:cNvPr id="0" name=""/>
        <dsp:cNvSpPr/>
      </dsp:nvSpPr>
      <dsp:spPr>
        <a:xfrm>
          <a:off x="1905181" y="945230"/>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Realism</a:t>
          </a:r>
        </a:p>
      </dsp:txBody>
      <dsp:txXfrm>
        <a:off x="1924999" y="965048"/>
        <a:ext cx="637000" cy="909437"/>
      </dsp:txXfrm>
    </dsp:sp>
    <dsp:sp modelId="{F5455E78-963D-D34A-AE26-9DEE457804A3}">
      <dsp:nvSpPr>
        <dsp:cNvPr id="0" name=""/>
        <dsp:cNvSpPr/>
      </dsp:nvSpPr>
      <dsp:spPr>
        <a:xfrm>
          <a:off x="1905181" y="2040314"/>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Best practice</a:t>
          </a:r>
        </a:p>
      </dsp:txBody>
      <dsp:txXfrm>
        <a:off x="1924999" y="2060132"/>
        <a:ext cx="637000" cy="909437"/>
      </dsp:txXfrm>
    </dsp:sp>
    <dsp:sp modelId="{D1EDE367-5EA4-AF49-880F-39BA94AAC181}">
      <dsp:nvSpPr>
        <dsp:cNvPr id="0" name=""/>
        <dsp:cNvSpPr/>
      </dsp:nvSpPr>
      <dsp:spPr>
        <a:xfrm>
          <a:off x="2729832" y="0"/>
          <a:ext cx="845795" cy="3147695"/>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Human Factors</a:t>
          </a:r>
        </a:p>
      </dsp:txBody>
      <dsp:txXfrm>
        <a:off x="2729832" y="0"/>
        <a:ext cx="845795" cy="944308"/>
      </dsp:txXfrm>
    </dsp:sp>
    <dsp:sp modelId="{69B22FA6-8F35-FB40-9EAD-CC18D013C2A3}">
      <dsp:nvSpPr>
        <dsp:cNvPr id="0" name=""/>
        <dsp:cNvSpPr/>
      </dsp:nvSpPr>
      <dsp:spPr>
        <a:xfrm>
          <a:off x="2814411" y="945230"/>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Performance under pressure</a:t>
          </a:r>
        </a:p>
      </dsp:txBody>
      <dsp:txXfrm>
        <a:off x="2834229" y="965048"/>
        <a:ext cx="637000" cy="909437"/>
      </dsp:txXfrm>
    </dsp:sp>
    <dsp:sp modelId="{D795B33E-86EC-704C-A0EF-ECF907C6E0A4}">
      <dsp:nvSpPr>
        <dsp:cNvPr id="0" name=""/>
        <dsp:cNvSpPr/>
      </dsp:nvSpPr>
      <dsp:spPr>
        <a:xfrm>
          <a:off x="2814411" y="2040314"/>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Self-regulation</a:t>
          </a:r>
        </a:p>
      </dsp:txBody>
      <dsp:txXfrm>
        <a:off x="2834229" y="2060132"/>
        <a:ext cx="637000" cy="909437"/>
      </dsp:txXfrm>
    </dsp:sp>
    <dsp:sp modelId="{3E3A5839-8964-FB40-ACB6-AA23F0701976}">
      <dsp:nvSpPr>
        <dsp:cNvPr id="0" name=""/>
        <dsp:cNvSpPr/>
      </dsp:nvSpPr>
      <dsp:spPr>
        <a:xfrm>
          <a:off x="3639062" y="0"/>
          <a:ext cx="845795" cy="3147695"/>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Behaviour and Self-insight</a:t>
          </a:r>
        </a:p>
      </dsp:txBody>
      <dsp:txXfrm>
        <a:off x="3639062" y="0"/>
        <a:ext cx="845795" cy="944308"/>
      </dsp:txXfrm>
    </dsp:sp>
    <dsp:sp modelId="{C5B94A55-C512-2145-A085-3C273AD3E018}">
      <dsp:nvSpPr>
        <dsp:cNvPr id="0" name=""/>
        <dsp:cNvSpPr/>
      </dsp:nvSpPr>
      <dsp:spPr>
        <a:xfrm>
          <a:off x="3723642" y="945230"/>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Self-objective assessment</a:t>
          </a:r>
        </a:p>
      </dsp:txBody>
      <dsp:txXfrm>
        <a:off x="3743460" y="965048"/>
        <a:ext cx="637000" cy="909437"/>
      </dsp:txXfrm>
    </dsp:sp>
    <dsp:sp modelId="{65902949-F84D-CE48-BFE7-624DEABB5169}">
      <dsp:nvSpPr>
        <dsp:cNvPr id="0" name=""/>
        <dsp:cNvSpPr/>
      </dsp:nvSpPr>
      <dsp:spPr>
        <a:xfrm>
          <a:off x="3723642" y="2040314"/>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Individual reflection</a:t>
          </a:r>
        </a:p>
      </dsp:txBody>
      <dsp:txXfrm>
        <a:off x="3743460" y="2060132"/>
        <a:ext cx="637000" cy="909437"/>
      </dsp:txXfrm>
    </dsp:sp>
    <dsp:sp modelId="{B37FB23E-541E-A848-84B3-B8B470B2FFA2}">
      <dsp:nvSpPr>
        <dsp:cNvPr id="0" name=""/>
        <dsp:cNvSpPr/>
      </dsp:nvSpPr>
      <dsp:spPr>
        <a:xfrm>
          <a:off x="4548293" y="0"/>
          <a:ext cx="845795" cy="3147695"/>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Inter-professional learning</a:t>
          </a:r>
        </a:p>
      </dsp:txBody>
      <dsp:txXfrm>
        <a:off x="4548293" y="0"/>
        <a:ext cx="845795" cy="944308"/>
      </dsp:txXfrm>
    </dsp:sp>
    <dsp:sp modelId="{FDD0277D-9D8B-5E49-8985-C891ED661F04}">
      <dsp:nvSpPr>
        <dsp:cNvPr id="0" name=""/>
        <dsp:cNvSpPr/>
      </dsp:nvSpPr>
      <dsp:spPr>
        <a:xfrm>
          <a:off x="4632872" y="945230"/>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Respect, team work</a:t>
          </a:r>
        </a:p>
      </dsp:txBody>
      <dsp:txXfrm>
        <a:off x="4652690" y="965048"/>
        <a:ext cx="637000" cy="909437"/>
      </dsp:txXfrm>
    </dsp:sp>
    <dsp:sp modelId="{DF4C3516-46D0-F341-8356-F86B85B7EC10}">
      <dsp:nvSpPr>
        <dsp:cNvPr id="0" name=""/>
        <dsp:cNvSpPr/>
      </dsp:nvSpPr>
      <dsp:spPr>
        <a:xfrm>
          <a:off x="4632872" y="2040314"/>
          <a:ext cx="676636" cy="94907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n-US" sz="700" kern="1200"/>
            <a:t>Responsibility</a:t>
          </a:r>
        </a:p>
      </dsp:txBody>
      <dsp:txXfrm>
        <a:off x="4652690" y="2060132"/>
        <a:ext cx="637000" cy="909437"/>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D67877-A4BB-B643-A69A-A94E4892E43B}">
      <dsp:nvSpPr>
        <dsp:cNvPr id="0" name=""/>
        <dsp:cNvSpPr/>
      </dsp:nvSpPr>
      <dsp:spPr>
        <a:xfrm>
          <a:off x="4117" y="0"/>
          <a:ext cx="759871" cy="6946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r>
            <a:rPr lang="en-US" sz="800" kern="1200"/>
            <a:t>Knowledge</a:t>
          </a:r>
        </a:p>
      </dsp:txBody>
      <dsp:txXfrm>
        <a:off x="4117" y="0"/>
        <a:ext cx="759871" cy="208407"/>
      </dsp:txXfrm>
    </dsp:sp>
    <dsp:sp modelId="{0C2CE34D-5471-EC4B-BD2D-922469F47568}">
      <dsp:nvSpPr>
        <dsp:cNvPr id="0" name=""/>
        <dsp:cNvSpPr/>
      </dsp:nvSpPr>
      <dsp:spPr>
        <a:xfrm>
          <a:off x="820979" y="0"/>
          <a:ext cx="759871" cy="6946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r>
            <a:rPr lang="en-US" sz="800" kern="1200"/>
            <a:t>Skills</a:t>
          </a:r>
        </a:p>
      </dsp:txBody>
      <dsp:txXfrm>
        <a:off x="820979" y="0"/>
        <a:ext cx="759871" cy="208407"/>
      </dsp:txXfrm>
    </dsp:sp>
    <dsp:sp modelId="{F6A55F06-7694-7645-BF82-271AF65400CE}">
      <dsp:nvSpPr>
        <dsp:cNvPr id="0" name=""/>
        <dsp:cNvSpPr/>
      </dsp:nvSpPr>
      <dsp:spPr>
        <a:xfrm>
          <a:off x="1637841" y="0"/>
          <a:ext cx="759871" cy="6946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r>
            <a:rPr lang="en-US" sz="800" kern="1200"/>
            <a:t>Capability</a:t>
          </a:r>
        </a:p>
      </dsp:txBody>
      <dsp:txXfrm>
        <a:off x="1637841" y="0"/>
        <a:ext cx="759871" cy="208407"/>
      </dsp:txXfrm>
    </dsp:sp>
    <dsp:sp modelId="{34AF6574-AE94-A64A-9FDB-7A600E2FAE12}">
      <dsp:nvSpPr>
        <dsp:cNvPr id="0" name=""/>
        <dsp:cNvSpPr/>
      </dsp:nvSpPr>
      <dsp:spPr>
        <a:xfrm>
          <a:off x="2454704" y="0"/>
          <a:ext cx="759871" cy="6946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r>
            <a:rPr lang="en-US" sz="800" kern="1200"/>
            <a:t>Transferance</a:t>
          </a:r>
        </a:p>
      </dsp:txBody>
      <dsp:txXfrm>
        <a:off x="2454704" y="0"/>
        <a:ext cx="759871" cy="208407"/>
      </dsp:txXfrm>
    </dsp:sp>
    <dsp:sp modelId="{0596DD8E-A317-6B4D-845A-294783577357}">
      <dsp:nvSpPr>
        <dsp:cNvPr id="0" name=""/>
        <dsp:cNvSpPr/>
      </dsp:nvSpPr>
      <dsp:spPr>
        <a:xfrm>
          <a:off x="3271566" y="0"/>
          <a:ext cx="759871" cy="6946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r>
            <a:rPr lang="en-US" sz="800" kern="1200"/>
            <a:t>Professionalism</a:t>
          </a:r>
        </a:p>
      </dsp:txBody>
      <dsp:txXfrm>
        <a:off x="3271566" y="0"/>
        <a:ext cx="759871" cy="208407"/>
      </dsp:txXfrm>
    </dsp:sp>
    <dsp:sp modelId="{AEDFCD48-1958-C946-AEC8-D30F100CEA78}">
      <dsp:nvSpPr>
        <dsp:cNvPr id="0" name=""/>
        <dsp:cNvSpPr/>
      </dsp:nvSpPr>
      <dsp:spPr>
        <a:xfrm>
          <a:off x="4088428" y="0"/>
          <a:ext cx="759871" cy="6946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r>
            <a:rPr lang="en-US" sz="800" kern="1200"/>
            <a:t>Emotional preparedness</a:t>
          </a:r>
        </a:p>
      </dsp:txBody>
      <dsp:txXfrm>
        <a:off x="4088428" y="0"/>
        <a:ext cx="759871" cy="208407"/>
      </dsp:txXfrm>
    </dsp:sp>
    <dsp:sp modelId="{CA4C8496-8439-D442-B104-011CC35F598C}">
      <dsp:nvSpPr>
        <dsp:cNvPr id="0" name=""/>
        <dsp:cNvSpPr/>
      </dsp:nvSpPr>
      <dsp:spPr>
        <a:xfrm>
          <a:off x="4905290" y="0"/>
          <a:ext cx="759871" cy="6946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r>
            <a:rPr lang="en-US" sz="800" kern="1200"/>
            <a:t>Confidence</a:t>
          </a:r>
        </a:p>
      </dsp:txBody>
      <dsp:txXfrm>
        <a:off x="4905290" y="0"/>
        <a:ext cx="759871" cy="208407"/>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FD7EE0-20F1-544F-9B3E-721640F84B5B}">
      <dsp:nvSpPr>
        <dsp:cNvPr id="0" name=""/>
        <dsp:cNvSpPr/>
      </dsp:nvSpPr>
      <dsp:spPr>
        <a:xfrm>
          <a:off x="3838152" y="1971849"/>
          <a:ext cx="1373978" cy="1374146"/>
        </a:xfrm>
        <a:prstGeom prst="ellipse">
          <a:avLst/>
        </a:prstGeom>
        <a:gradFill rotWithShape="0">
          <a:gsLst>
            <a:gs pos="0">
              <a:schemeClr val="accent3">
                <a:alpha val="50000"/>
                <a:hueOff val="0"/>
                <a:satOff val="0"/>
                <a:lumOff val="0"/>
                <a:alphaOff val="0"/>
                <a:tint val="100000"/>
                <a:shade val="100000"/>
                <a:satMod val="130000"/>
              </a:schemeClr>
            </a:gs>
            <a:gs pos="100000">
              <a:schemeClr val="accent3">
                <a:alpha val="50000"/>
                <a:hueOff val="0"/>
                <a:satOff val="0"/>
                <a:lumOff val="0"/>
                <a:alphaOff val="0"/>
                <a:tint val="50000"/>
                <a:shade val="100000"/>
                <a:satMod val="350000"/>
              </a:schemeClr>
            </a:gs>
          </a:gsLst>
          <a:lin ang="16200000" scaled="0"/>
        </a:gradFill>
        <a:ln>
          <a:noFill/>
        </a:ln>
        <a:effectLst/>
      </dsp:spPr>
      <dsp:style>
        <a:lnRef idx="0">
          <a:scrgbClr r="0" g="0" b="0"/>
        </a:lnRef>
        <a:fillRef idx="3">
          <a:scrgbClr r="0" g="0" b="0"/>
        </a:fillRef>
        <a:effectRef idx="0">
          <a:scrgbClr r="0" g="0" b="0"/>
        </a:effectRef>
        <a:fontRef idx="minor">
          <a:schemeClr val="tx1"/>
        </a:fontRef>
      </dsp:style>
    </dsp:sp>
    <dsp:sp modelId="{3D727D82-49EE-1043-9A4D-CFA4A4D207AB}">
      <dsp:nvSpPr>
        <dsp:cNvPr id="0" name=""/>
        <dsp:cNvSpPr/>
      </dsp:nvSpPr>
      <dsp:spPr>
        <a:xfrm>
          <a:off x="4375937" y="3137039"/>
          <a:ext cx="1574350" cy="842518"/>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r>
            <a:rPr lang="en-US" sz="1300" kern="1200"/>
            <a:t>Confidence</a:t>
          </a:r>
        </a:p>
      </dsp:txBody>
      <dsp:txXfrm>
        <a:off x="4375937" y="3137039"/>
        <a:ext cx="1574350" cy="842518"/>
      </dsp:txXfrm>
    </dsp:sp>
    <dsp:sp modelId="{D9940C12-E6FC-F04E-8C27-89ED4D45A06E}">
      <dsp:nvSpPr>
        <dsp:cNvPr id="0" name=""/>
        <dsp:cNvSpPr/>
      </dsp:nvSpPr>
      <dsp:spPr>
        <a:xfrm>
          <a:off x="970011" y="806666"/>
          <a:ext cx="1911739" cy="1911932"/>
        </a:xfrm>
        <a:prstGeom prst="ellipse">
          <a:avLst/>
        </a:prstGeom>
        <a:gradFill rotWithShape="0">
          <a:gsLst>
            <a:gs pos="0">
              <a:schemeClr val="accent3">
                <a:alpha val="50000"/>
                <a:hueOff val="1875044"/>
                <a:satOff val="-2813"/>
                <a:lumOff val="-458"/>
                <a:alphaOff val="0"/>
                <a:tint val="100000"/>
                <a:shade val="100000"/>
                <a:satMod val="130000"/>
              </a:schemeClr>
            </a:gs>
            <a:gs pos="100000">
              <a:schemeClr val="accent3">
                <a:alpha val="50000"/>
                <a:hueOff val="1875044"/>
                <a:satOff val="-2813"/>
                <a:lumOff val="-458"/>
                <a:alphaOff val="0"/>
                <a:tint val="50000"/>
                <a:shade val="100000"/>
                <a:satMod val="350000"/>
              </a:schemeClr>
            </a:gs>
          </a:gsLst>
          <a:lin ang="16200000" scaled="0"/>
        </a:gradFill>
        <a:ln>
          <a:noFill/>
        </a:ln>
        <a:effectLst/>
      </dsp:spPr>
      <dsp:style>
        <a:lnRef idx="0">
          <a:scrgbClr r="0" g="0" b="0"/>
        </a:lnRef>
        <a:fillRef idx="3">
          <a:scrgbClr r="0" g="0" b="0"/>
        </a:fillRef>
        <a:effectRef idx="0">
          <a:scrgbClr r="0" g="0" b="0"/>
        </a:effectRef>
        <a:fontRef idx="minor">
          <a:schemeClr val="tx1"/>
        </a:fontRef>
      </dsp:style>
    </dsp:sp>
    <dsp:sp modelId="{637D75B5-4066-2841-81C6-ADBA02C8998A}">
      <dsp:nvSpPr>
        <dsp:cNvPr id="0" name=""/>
        <dsp:cNvSpPr/>
      </dsp:nvSpPr>
      <dsp:spPr>
        <a:xfrm>
          <a:off x="2519683" y="669291"/>
          <a:ext cx="1488476" cy="926769"/>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577850">
            <a:lnSpc>
              <a:spcPct val="90000"/>
            </a:lnSpc>
            <a:spcBef>
              <a:spcPct val="0"/>
            </a:spcBef>
            <a:spcAft>
              <a:spcPct val="35000"/>
            </a:spcAft>
            <a:buNone/>
          </a:pPr>
          <a:r>
            <a:rPr lang="en-US" sz="1300" kern="1200"/>
            <a:t>Transferance</a:t>
          </a:r>
        </a:p>
        <a:p>
          <a:pPr marL="57150" lvl="1" indent="-57150" algn="l" defTabSz="444500">
            <a:lnSpc>
              <a:spcPct val="90000"/>
            </a:lnSpc>
            <a:spcBef>
              <a:spcPct val="0"/>
            </a:spcBef>
            <a:spcAft>
              <a:spcPct val="15000"/>
            </a:spcAft>
            <a:buChar char="•"/>
          </a:pPr>
          <a:r>
            <a:rPr lang="en-US" sz="1000" kern="1200"/>
            <a:t>Skills to clinical environment</a:t>
          </a:r>
        </a:p>
      </dsp:txBody>
      <dsp:txXfrm>
        <a:off x="2519683" y="669291"/>
        <a:ext cx="1488476" cy="926769"/>
      </dsp:txXfrm>
    </dsp:sp>
    <dsp:sp modelId="{6AEB23FA-9F6B-5849-987D-52CC8DD8D1FC}">
      <dsp:nvSpPr>
        <dsp:cNvPr id="0" name=""/>
        <dsp:cNvSpPr/>
      </dsp:nvSpPr>
      <dsp:spPr>
        <a:xfrm>
          <a:off x="4465561" y="2778511"/>
          <a:ext cx="1373978" cy="1374146"/>
        </a:xfrm>
        <a:prstGeom prst="ellipse">
          <a:avLst/>
        </a:prstGeom>
        <a:gradFill flip="none" rotWithShape="0">
          <a:gsLst>
            <a:gs pos="0">
              <a:schemeClr val="accent3">
                <a:hueOff val="3750089"/>
                <a:satOff val="-5627"/>
                <a:lumOff val="-915"/>
                <a:tint val="100000"/>
                <a:shade val="100000"/>
                <a:satMod val="130000"/>
                <a:alpha val="36000"/>
              </a:schemeClr>
            </a:gs>
            <a:gs pos="100000">
              <a:schemeClr val="accent3">
                <a:hueOff val="3750089"/>
                <a:satOff val="-5627"/>
                <a:lumOff val="-915"/>
                <a:tint val="50000"/>
                <a:shade val="100000"/>
                <a:satMod val="350000"/>
                <a:alpha val="36000"/>
              </a:schemeClr>
            </a:gs>
          </a:gsLst>
          <a:lin ang="16200000" scaled="0"/>
          <a:tileRect/>
        </a:gradFill>
        <a:ln>
          <a:noFill/>
        </a:ln>
        <a:effectLst/>
      </dsp:spPr>
      <dsp:style>
        <a:lnRef idx="0">
          <a:scrgbClr r="0" g="0" b="0"/>
        </a:lnRef>
        <a:fillRef idx="3">
          <a:scrgbClr r="0" g="0" b="0"/>
        </a:fillRef>
        <a:effectRef idx="0">
          <a:scrgbClr r="0" g="0" b="0"/>
        </a:effectRef>
        <a:fontRef idx="minor">
          <a:schemeClr val="tx1"/>
        </a:fontRef>
      </dsp:style>
    </dsp:sp>
    <dsp:sp modelId="{728F4971-D772-704F-A569-387E01E981E9}">
      <dsp:nvSpPr>
        <dsp:cNvPr id="0" name=""/>
        <dsp:cNvSpPr/>
      </dsp:nvSpPr>
      <dsp:spPr>
        <a:xfrm>
          <a:off x="3902006" y="1165181"/>
          <a:ext cx="1459852" cy="989958"/>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577850">
            <a:lnSpc>
              <a:spcPct val="90000"/>
            </a:lnSpc>
            <a:spcBef>
              <a:spcPct val="0"/>
            </a:spcBef>
            <a:spcAft>
              <a:spcPct val="35000"/>
            </a:spcAft>
            <a:buNone/>
          </a:pPr>
          <a:r>
            <a:rPr lang="en-US" sz="1300" kern="1200"/>
            <a:t>Professionalism</a:t>
          </a:r>
        </a:p>
        <a:p>
          <a:pPr marL="57150" lvl="1" indent="-57150" algn="l" defTabSz="444500">
            <a:lnSpc>
              <a:spcPct val="90000"/>
            </a:lnSpc>
            <a:spcBef>
              <a:spcPct val="0"/>
            </a:spcBef>
            <a:spcAft>
              <a:spcPct val="15000"/>
            </a:spcAft>
            <a:buChar char="•"/>
          </a:pPr>
          <a:r>
            <a:rPr lang="en-US" sz="1000" kern="1200"/>
            <a:t>Attitudes</a:t>
          </a:r>
        </a:p>
        <a:p>
          <a:pPr marL="57150" lvl="1" indent="-57150" algn="l" defTabSz="444500">
            <a:lnSpc>
              <a:spcPct val="90000"/>
            </a:lnSpc>
            <a:spcBef>
              <a:spcPct val="0"/>
            </a:spcBef>
            <a:spcAft>
              <a:spcPct val="15000"/>
            </a:spcAft>
            <a:buChar char="•"/>
          </a:pPr>
          <a:r>
            <a:rPr lang="en-US" sz="1000" kern="1200"/>
            <a:t>Act safely</a:t>
          </a:r>
        </a:p>
      </dsp:txBody>
      <dsp:txXfrm>
        <a:off x="3902006" y="1165181"/>
        <a:ext cx="1459852" cy="989958"/>
      </dsp:txXfrm>
    </dsp:sp>
    <dsp:sp modelId="{E7283BFB-F442-7149-9999-D8F35894B571}">
      <dsp:nvSpPr>
        <dsp:cNvPr id="0" name=""/>
        <dsp:cNvSpPr/>
      </dsp:nvSpPr>
      <dsp:spPr>
        <a:xfrm>
          <a:off x="3776976" y="783594"/>
          <a:ext cx="1673436" cy="1732675"/>
        </a:xfrm>
        <a:prstGeom prst="ellipse">
          <a:avLst/>
        </a:prstGeom>
        <a:gradFill flip="none" rotWithShape="0">
          <a:gsLst>
            <a:gs pos="0">
              <a:schemeClr val="accent3">
                <a:hueOff val="5625133"/>
                <a:satOff val="-8440"/>
                <a:lumOff val="-1373"/>
                <a:tint val="100000"/>
                <a:shade val="100000"/>
                <a:satMod val="130000"/>
                <a:alpha val="38000"/>
              </a:schemeClr>
            </a:gs>
            <a:gs pos="100000">
              <a:schemeClr val="accent3">
                <a:hueOff val="5625133"/>
                <a:satOff val="-8440"/>
                <a:lumOff val="-1373"/>
                <a:tint val="50000"/>
                <a:shade val="100000"/>
                <a:satMod val="350000"/>
                <a:alpha val="38000"/>
              </a:schemeClr>
            </a:gs>
          </a:gsLst>
          <a:lin ang="16200000" scaled="0"/>
          <a:tileRect/>
        </a:gradFill>
        <a:ln>
          <a:noFill/>
        </a:ln>
        <a:effectLst/>
      </dsp:spPr>
      <dsp:style>
        <a:lnRef idx="0">
          <a:scrgbClr r="0" g="0" b="0"/>
        </a:lnRef>
        <a:fillRef idx="3">
          <a:scrgbClr r="0" g="0" b="0"/>
        </a:fillRef>
        <a:effectRef idx="0">
          <a:scrgbClr r="0" g="0" b="0"/>
        </a:effectRef>
        <a:fontRef idx="minor">
          <a:schemeClr val="tx1"/>
        </a:fontRef>
      </dsp:style>
    </dsp:sp>
    <dsp:sp modelId="{68894536-8ABD-1E45-B3F1-30A4350FF203}">
      <dsp:nvSpPr>
        <dsp:cNvPr id="0" name=""/>
        <dsp:cNvSpPr/>
      </dsp:nvSpPr>
      <dsp:spPr>
        <a:xfrm>
          <a:off x="3776974" y="2269486"/>
          <a:ext cx="1574350" cy="905706"/>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r>
            <a:rPr lang="en-US" sz="1300" kern="1200"/>
            <a:t>Emotional preparedness</a:t>
          </a:r>
        </a:p>
      </dsp:txBody>
      <dsp:txXfrm>
        <a:off x="3776974" y="2269486"/>
        <a:ext cx="1574350" cy="905706"/>
      </dsp:txXfrm>
    </dsp:sp>
    <dsp:sp modelId="{58A6654D-3260-4B4F-B994-1154B86AA204}">
      <dsp:nvSpPr>
        <dsp:cNvPr id="0" name=""/>
        <dsp:cNvSpPr/>
      </dsp:nvSpPr>
      <dsp:spPr>
        <a:xfrm>
          <a:off x="1955932" y="1523703"/>
          <a:ext cx="2211212" cy="2270447"/>
        </a:xfrm>
        <a:prstGeom prst="ellipse">
          <a:avLst/>
        </a:prstGeom>
        <a:gradFill rotWithShape="0">
          <a:gsLst>
            <a:gs pos="0">
              <a:schemeClr val="accent3">
                <a:alpha val="50000"/>
                <a:hueOff val="7500176"/>
                <a:satOff val="-11253"/>
                <a:lumOff val="-1830"/>
                <a:alphaOff val="0"/>
                <a:tint val="100000"/>
                <a:shade val="100000"/>
                <a:satMod val="130000"/>
              </a:schemeClr>
            </a:gs>
            <a:gs pos="100000">
              <a:schemeClr val="accent3">
                <a:alpha val="50000"/>
                <a:hueOff val="7500176"/>
                <a:satOff val="-11253"/>
                <a:lumOff val="-1830"/>
                <a:alphaOff val="0"/>
                <a:tint val="50000"/>
                <a:shade val="100000"/>
                <a:satMod val="350000"/>
              </a:schemeClr>
            </a:gs>
          </a:gsLst>
          <a:lin ang="16200000" scaled="0"/>
        </a:gradFill>
        <a:ln>
          <a:noFill/>
        </a:ln>
        <a:effectLst/>
      </dsp:spPr>
      <dsp:style>
        <a:lnRef idx="0">
          <a:scrgbClr r="0" g="0" b="0"/>
        </a:lnRef>
        <a:fillRef idx="3">
          <a:scrgbClr r="0" g="0" b="0"/>
        </a:fillRef>
        <a:effectRef idx="0">
          <a:scrgbClr r="0" g="0" b="0"/>
        </a:effectRef>
        <a:fontRef idx="minor">
          <a:schemeClr val="tx1"/>
        </a:fontRef>
      </dsp:style>
    </dsp:sp>
    <dsp:sp modelId="{1086CA27-F60D-8B4A-8CE6-97832F75C0F0}">
      <dsp:nvSpPr>
        <dsp:cNvPr id="0" name=""/>
        <dsp:cNvSpPr/>
      </dsp:nvSpPr>
      <dsp:spPr>
        <a:xfrm>
          <a:off x="2314453" y="2419996"/>
          <a:ext cx="1574350" cy="905706"/>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577850">
            <a:lnSpc>
              <a:spcPct val="90000"/>
            </a:lnSpc>
            <a:spcBef>
              <a:spcPct val="0"/>
            </a:spcBef>
            <a:spcAft>
              <a:spcPct val="35000"/>
            </a:spcAft>
            <a:buNone/>
          </a:pPr>
          <a:r>
            <a:rPr lang="en-US" sz="1300" kern="1200"/>
            <a:t>Capability</a:t>
          </a:r>
        </a:p>
        <a:p>
          <a:pPr marL="57150" lvl="1" indent="-57150" algn="l" defTabSz="444500">
            <a:lnSpc>
              <a:spcPct val="90000"/>
            </a:lnSpc>
            <a:spcBef>
              <a:spcPct val="0"/>
            </a:spcBef>
            <a:spcAft>
              <a:spcPct val="15000"/>
            </a:spcAft>
            <a:buChar char="•"/>
          </a:pPr>
          <a:r>
            <a:rPr lang="en-US" sz="1000" kern="1200"/>
            <a:t>Work ready</a:t>
          </a:r>
        </a:p>
        <a:p>
          <a:pPr marL="57150" lvl="1" indent="-57150" algn="l" defTabSz="444500">
            <a:lnSpc>
              <a:spcPct val="90000"/>
            </a:lnSpc>
            <a:spcBef>
              <a:spcPct val="0"/>
            </a:spcBef>
            <a:spcAft>
              <a:spcPct val="15000"/>
            </a:spcAft>
            <a:buChar char="•"/>
          </a:pPr>
          <a:r>
            <a:rPr lang="en-US" sz="1000" kern="1200"/>
            <a:t>Objective</a:t>
          </a:r>
        </a:p>
        <a:p>
          <a:pPr marL="57150" lvl="1" indent="-57150" algn="l" defTabSz="444500">
            <a:lnSpc>
              <a:spcPct val="90000"/>
            </a:lnSpc>
            <a:spcBef>
              <a:spcPct val="0"/>
            </a:spcBef>
            <a:spcAft>
              <a:spcPct val="15000"/>
            </a:spcAft>
            <a:buChar char="•"/>
          </a:pPr>
          <a:r>
            <a:rPr lang="en-US" sz="1000" kern="1200"/>
            <a:t>Application of...</a:t>
          </a:r>
        </a:p>
        <a:p>
          <a:pPr marL="57150" lvl="1" indent="-57150" algn="l" defTabSz="444500">
            <a:lnSpc>
              <a:spcPct val="90000"/>
            </a:lnSpc>
            <a:spcBef>
              <a:spcPct val="0"/>
            </a:spcBef>
            <a:spcAft>
              <a:spcPct val="15000"/>
            </a:spcAft>
            <a:buChar char="•"/>
          </a:pPr>
          <a:r>
            <a:rPr lang="en-US" sz="1000" kern="1200"/>
            <a:t>Competence</a:t>
          </a:r>
        </a:p>
      </dsp:txBody>
      <dsp:txXfrm>
        <a:off x="2314453" y="2419996"/>
        <a:ext cx="1574350" cy="905706"/>
      </dsp:txXfrm>
    </dsp:sp>
    <dsp:sp modelId="{5450963C-9D83-8B4F-8E27-8AB4C5A25987}">
      <dsp:nvSpPr>
        <dsp:cNvPr id="0" name=""/>
        <dsp:cNvSpPr/>
      </dsp:nvSpPr>
      <dsp:spPr>
        <a:xfrm>
          <a:off x="342605" y="1613338"/>
          <a:ext cx="2091002" cy="2211043"/>
        </a:xfrm>
        <a:prstGeom prst="ellipse">
          <a:avLst/>
        </a:prstGeom>
        <a:gradFill rotWithShape="0">
          <a:gsLst>
            <a:gs pos="0">
              <a:schemeClr val="accent3">
                <a:alpha val="50000"/>
                <a:hueOff val="9375220"/>
                <a:satOff val="-14067"/>
                <a:lumOff val="-2288"/>
                <a:alphaOff val="0"/>
                <a:tint val="100000"/>
                <a:shade val="100000"/>
                <a:satMod val="130000"/>
              </a:schemeClr>
            </a:gs>
            <a:gs pos="100000">
              <a:schemeClr val="accent3">
                <a:alpha val="50000"/>
                <a:hueOff val="9375220"/>
                <a:satOff val="-14067"/>
                <a:lumOff val="-2288"/>
                <a:alphaOff val="0"/>
                <a:tint val="50000"/>
                <a:shade val="100000"/>
                <a:satMod val="350000"/>
              </a:schemeClr>
            </a:gs>
          </a:gsLst>
          <a:lin ang="16200000" scaled="0"/>
        </a:gradFill>
        <a:ln>
          <a:noFill/>
        </a:ln>
        <a:effectLst/>
      </dsp:spPr>
      <dsp:style>
        <a:lnRef idx="0">
          <a:scrgbClr r="0" g="0" b="0"/>
        </a:lnRef>
        <a:fillRef idx="3">
          <a:scrgbClr r="0" g="0" b="0"/>
        </a:fillRef>
        <a:effectRef idx="0">
          <a:scrgbClr r="0" g="0" b="0"/>
        </a:effectRef>
        <a:fontRef idx="minor">
          <a:schemeClr val="tx1"/>
        </a:fontRef>
      </dsp:style>
    </dsp:sp>
    <dsp:sp modelId="{0FFDB69D-B99D-CB48-8000-B1EEFD5DE156}">
      <dsp:nvSpPr>
        <dsp:cNvPr id="0" name=""/>
        <dsp:cNvSpPr/>
      </dsp:nvSpPr>
      <dsp:spPr>
        <a:xfrm>
          <a:off x="576581" y="2383790"/>
          <a:ext cx="1459852" cy="989958"/>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577850">
            <a:lnSpc>
              <a:spcPct val="90000"/>
            </a:lnSpc>
            <a:spcBef>
              <a:spcPct val="0"/>
            </a:spcBef>
            <a:spcAft>
              <a:spcPct val="35000"/>
            </a:spcAft>
            <a:buNone/>
          </a:pPr>
          <a:r>
            <a:rPr lang="en-US" sz="1300" kern="1200"/>
            <a:t>Knowledge</a:t>
          </a:r>
        </a:p>
        <a:p>
          <a:pPr marL="57150" lvl="1" indent="-57150" algn="l" defTabSz="444500">
            <a:lnSpc>
              <a:spcPct val="90000"/>
            </a:lnSpc>
            <a:spcBef>
              <a:spcPct val="0"/>
            </a:spcBef>
            <a:spcAft>
              <a:spcPct val="15000"/>
            </a:spcAft>
            <a:buChar char="•"/>
          </a:pPr>
          <a:r>
            <a:rPr lang="en-US" sz="1000" kern="1200"/>
            <a:t>Access of</a:t>
          </a:r>
        </a:p>
        <a:p>
          <a:pPr marL="57150" lvl="1" indent="-57150" algn="l" defTabSz="444500">
            <a:lnSpc>
              <a:spcPct val="90000"/>
            </a:lnSpc>
            <a:spcBef>
              <a:spcPct val="0"/>
            </a:spcBef>
            <a:spcAft>
              <a:spcPct val="15000"/>
            </a:spcAft>
            <a:buChar char="•"/>
          </a:pPr>
          <a:r>
            <a:rPr lang="en-US" sz="1000" kern="1200"/>
            <a:t>Application of </a:t>
          </a:r>
        </a:p>
        <a:p>
          <a:pPr marL="57150" lvl="1" indent="-57150" algn="l" defTabSz="444500">
            <a:lnSpc>
              <a:spcPct val="90000"/>
            </a:lnSpc>
            <a:spcBef>
              <a:spcPct val="0"/>
            </a:spcBef>
            <a:spcAft>
              <a:spcPct val="15000"/>
            </a:spcAft>
            <a:buChar char="•"/>
          </a:pPr>
          <a:r>
            <a:rPr lang="en-US" sz="1000" kern="1200"/>
            <a:t>Under pressure</a:t>
          </a:r>
        </a:p>
      </dsp:txBody>
      <dsp:txXfrm>
        <a:off x="576581" y="2383790"/>
        <a:ext cx="1459852" cy="989958"/>
      </dsp:txXfrm>
    </dsp:sp>
    <dsp:sp modelId="{4AC9CC8E-46FC-8647-B7F0-2EF383A4E254}">
      <dsp:nvSpPr>
        <dsp:cNvPr id="0" name=""/>
        <dsp:cNvSpPr/>
      </dsp:nvSpPr>
      <dsp:spPr>
        <a:xfrm>
          <a:off x="2405377" y="212086"/>
          <a:ext cx="1852699" cy="1911905"/>
        </a:xfrm>
        <a:prstGeom prst="ellipse">
          <a:avLst/>
        </a:prstGeom>
        <a:gradFill flip="none" rotWithShape="0">
          <a:gsLst>
            <a:gs pos="0">
              <a:schemeClr val="accent3">
                <a:hueOff val="11250266"/>
                <a:satOff val="-16880"/>
                <a:lumOff val="-2745"/>
                <a:tint val="100000"/>
                <a:shade val="100000"/>
                <a:satMod val="130000"/>
                <a:alpha val="33000"/>
              </a:schemeClr>
            </a:gs>
            <a:gs pos="100000">
              <a:schemeClr val="accent3">
                <a:hueOff val="11250266"/>
                <a:satOff val="-16880"/>
                <a:lumOff val="-2745"/>
                <a:tint val="50000"/>
                <a:shade val="100000"/>
                <a:satMod val="350000"/>
                <a:alpha val="33000"/>
              </a:schemeClr>
            </a:gs>
          </a:gsLst>
          <a:lin ang="16200000" scaled="0"/>
          <a:tileRect/>
        </a:gradFill>
        <a:ln>
          <a:noFill/>
        </a:ln>
        <a:effectLst/>
      </dsp:spPr>
      <dsp:style>
        <a:lnRef idx="0">
          <a:scrgbClr r="0" g="0" b="0"/>
        </a:lnRef>
        <a:fillRef idx="3">
          <a:scrgbClr r="0" g="0" b="0"/>
        </a:fillRef>
        <a:effectRef idx="0">
          <a:scrgbClr r="0" g="0" b="0"/>
        </a:effectRef>
        <a:fontRef idx="minor">
          <a:schemeClr val="tx1"/>
        </a:fontRef>
      </dsp:style>
    </dsp:sp>
    <dsp:sp modelId="{687A9ACA-7E6F-FF4A-924D-D788B264C5CA}">
      <dsp:nvSpPr>
        <dsp:cNvPr id="0" name=""/>
        <dsp:cNvSpPr/>
      </dsp:nvSpPr>
      <dsp:spPr>
        <a:xfrm>
          <a:off x="1328533" y="1254815"/>
          <a:ext cx="1488476" cy="926769"/>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577850">
            <a:lnSpc>
              <a:spcPct val="90000"/>
            </a:lnSpc>
            <a:spcBef>
              <a:spcPct val="0"/>
            </a:spcBef>
            <a:spcAft>
              <a:spcPct val="35000"/>
            </a:spcAft>
            <a:buNone/>
          </a:pPr>
          <a:r>
            <a:rPr lang="en-US" sz="1300" kern="1200"/>
            <a:t>Skills</a:t>
          </a:r>
        </a:p>
        <a:p>
          <a:pPr marL="57150" lvl="1" indent="-57150" algn="l" defTabSz="444500">
            <a:lnSpc>
              <a:spcPct val="90000"/>
            </a:lnSpc>
            <a:spcBef>
              <a:spcPct val="0"/>
            </a:spcBef>
            <a:spcAft>
              <a:spcPct val="15000"/>
            </a:spcAft>
            <a:buChar char="•"/>
          </a:pPr>
          <a:r>
            <a:rPr lang="en-US" sz="1000" kern="1200"/>
            <a:t>Decision-making</a:t>
          </a:r>
        </a:p>
        <a:p>
          <a:pPr marL="57150" lvl="1" indent="-57150" algn="l" defTabSz="444500">
            <a:lnSpc>
              <a:spcPct val="90000"/>
            </a:lnSpc>
            <a:spcBef>
              <a:spcPct val="0"/>
            </a:spcBef>
            <a:spcAft>
              <a:spcPct val="15000"/>
            </a:spcAft>
            <a:buChar char="•"/>
          </a:pPr>
          <a:r>
            <a:rPr lang="en-US" sz="1000" kern="1200"/>
            <a:t>Judgment</a:t>
          </a:r>
        </a:p>
        <a:p>
          <a:pPr marL="57150" lvl="1" indent="-57150" algn="l" defTabSz="444500">
            <a:lnSpc>
              <a:spcPct val="90000"/>
            </a:lnSpc>
            <a:spcBef>
              <a:spcPct val="0"/>
            </a:spcBef>
            <a:spcAft>
              <a:spcPct val="15000"/>
            </a:spcAft>
            <a:buChar char="•"/>
          </a:pPr>
          <a:r>
            <a:rPr lang="en-US" sz="1000" kern="1200"/>
            <a:t>Insight</a:t>
          </a:r>
        </a:p>
      </dsp:txBody>
      <dsp:txXfrm>
        <a:off x="1328533" y="1254815"/>
        <a:ext cx="1488476" cy="92676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1197" y="96789"/>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18386"/>
        <a:ext cx="425590" cy="182396"/>
      </dsp:txXfrm>
    </dsp:sp>
    <dsp:sp modelId="{28826DD3-E030-6044-B2F2-D85EF85F6960}">
      <dsp:nvSpPr>
        <dsp:cNvPr id="0" name=""/>
        <dsp:cNvSpPr/>
      </dsp:nvSpPr>
      <dsp:spPr>
        <a:xfrm rot="5400000">
          <a:off x="2244049" y="-1812867"/>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25590" y="24884"/>
        <a:ext cx="4012817" cy="356607"/>
      </dsp:txXfrm>
    </dsp:sp>
    <dsp:sp modelId="{B422BFF3-8BFD-2144-8980-375702EA9496}">
      <dsp:nvSpPr>
        <dsp:cNvPr id="0" name=""/>
        <dsp:cNvSpPr/>
      </dsp:nvSpPr>
      <dsp:spPr>
        <a:xfrm rot="5400000">
          <a:off x="-91197" y="643891"/>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765488"/>
        <a:ext cx="425590" cy="182396"/>
      </dsp:txXfrm>
    </dsp:sp>
    <dsp:sp modelId="{8BDAA81E-2E4E-9C4A-9A67-4855D9BA1510}">
      <dsp:nvSpPr>
        <dsp:cNvPr id="0" name=""/>
        <dsp:cNvSpPr/>
      </dsp:nvSpPr>
      <dsp:spPr>
        <a:xfrm rot="5400000">
          <a:off x="2244049" y="-1265765"/>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25590" y="571986"/>
        <a:ext cx="4012817" cy="356607"/>
      </dsp:txXfrm>
    </dsp:sp>
    <dsp:sp modelId="{A0202F08-BEC9-8F43-8711-F30ADE817D18}">
      <dsp:nvSpPr>
        <dsp:cNvPr id="0" name=""/>
        <dsp:cNvSpPr/>
      </dsp:nvSpPr>
      <dsp:spPr>
        <a:xfrm rot="5400000">
          <a:off x="-91197" y="1190993"/>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1" y="1312590"/>
        <a:ext cx="425590" cy="182396"/>
      </dsp:txXfrm>
    </dsp:sp>
    <dsp:sp modelId="{06B263AD-CC10-0D49-8145-0C283F585CD5}">
      <dsp:nvSpPr>
        <dsp:cNvPr id="0" name=""/>
        <dsp:cNvSpPr/>
      </dsp:nvSpPr>
      <dsp:spPr>
        <a:xfrm rot="5400000">
          <a:off x="2244049" y="-718664"/>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25590" y="1119087"/>
        <a:ext cx="4012817" cy="356607"/>
      </dsp:txXfrm>
    </dsp:sp>
    <dsp:sp modelId="{31EA3204-EDC1-4F43-84C9-41DE884256E5}">
      <dsp:nvSpPr>
        <dsp:cNvPr id="0" name=""/>
        <dsp:cNvSpPr/>
      </dsp:nvSpPr>
      <dsp:spPr>
        <a:xfrm rot="5400000">
          <a:off x="-91197" y="1738094"/>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1" y="1859691"/>
        <a:ext cx="425590" cy="182396"/>
      </dsp:txXfrm>
    </dsp:sp>
    <dsp:sp modelId="{9D5418D3-F08D-8545-87B2-2FD7B1D1031E}">
      <dsp:nvSpPr>
        <dsp:cNvPr id="0" name=""/>
        <dsp:cNvSpPr/>
      </dsp:nvSpPr>
      <dsp:spPr>
        <a:xfrm rot="5400000">
          <a:off x="2243945" y="-171458"/>
          <a:ext cx="395398"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25590" y="1666199"/>
        <a:ext cx="4012807" cy="356794"/>
      </dsp:txXfrm>
    </dsp:sp>
    <dsp:sp modelId="{CCC28DE8-0568-7547-9A1F-3C6F0F33A2CF}">
      <dsp:nvSpPr>
        <dsp:cNvPr id="0" name=""/>
        <dsp:cNvSpPr/>
      </dsp:nvSpPr>
      <dsp:spPr>
        <a:xfrm rot="5400000">
          <a:off x="-91197" y="2285196"/>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1" y="2406793"/>
        <a:ext cx="425590" cy="182396"/>
      </dsp:txXfrm>
    </dsp:sp>
    <dsp:sp modelId="{F1EE7E3F-25DA-8041-85A7-EBBF11BC4C56}">
      <dsp:nvSpPr>
        <dsp:cNvPr id="0" name=""/>
        <dsp:cNvSpPr/>
      </dsp:nvSpPr>
      <dsp:spPr>
        <a:xfrm rot="5400000">
          <a:off x="2244049" y="375539"/>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25590" y="2213290"/>
        <a:ext cx="4012817" cy="356607"/>
      </dsp:txXfrm>
    </dsp:sp>
    <dsp:sp modelId="{844AC346-AEB9-A649-8C9D-DBF2769C8FFC}">
      <dsp:nvSpPr>
        <dsp:cNvPr id="0" name=""/>
        <dsp:cNvSpPr/>
      </dsp:nvSpPr>
      <dsp:spPr>
        <a:xfrm rot="5400000">
          <a:off x="-91197" y="2832298"/>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2953895"/>
        <a:ext cx="425590" cy="182396"/>
      </dsp:txXfrm>
    </dsp:sp>
    <dsp:sp modelId="{C80BEB0B-E1AB-4443-9F91-9D6894D7833E}">
      <dsp:nvSpPr>
        <dsp:cNvPr id="0" name=""/>
        <dsp:cNvSpPr/>
      </dsp:nvSpPr>
      <dsp:spPr>
        <a:xfrm rot="5400000">
          <a:off x="2244049" y="922640"/>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25590" y="2760391"/>
        <a:ext cx="4012817" cy="356607"/>
      </dsp:txXfrm>
    </dsp:sp>
    <dsp:sp modelId="{B9872B13-1174-E847-A615-29577404DF21}">
      <dsp:nvSpPr>
        <dsp:cNvPr id="0" name=""/>
        <dsp:cNvSpPr/>
      </dsp:nvSpPr>
      <dsp:spPr>
        <a:xfrm rot="5400000">
          <a:off x="-91197" y="3379399"/>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500996"/>
        <a:ext cx="425590" cy="182396"/>
      </dsp:txXfrm>
    </dsp:sp>
    <dsp:sp modelId="{DCD4A931-4F01-F440-965B-DC25AA6FE080}">
      <dsp:nvSpPr>
        <dsp:cNvPr id="0" name=""/>
        <dsp:cNvSpPr/>
      </dsp:nvSpPr>
      <dsp:spPr>
        <a:xfrm rot="5400000">
          <a:off x="2244049" y="1469742"/>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a:t>
          </a:r>
        </a:p>
      </dsp:txBody>
      <dsp:txXfrm rot="-5400000">
        <a:off x="425590" y="3307493"/>
        <a:ext cx="4012817" cy="356607"/>
      </dsp:txXfrm>
    </dsp:sp>
    <dsp:sp modelId="{A9268813-2EA9-544F-ADDB-8D78F261871A}">
      <dsp:nvSpPr>
        <dsp:cNvPr id="0" name=""/>
        <dsp:cNvSpPr/>
      </dsp:nvSpPr>
      <dsp:spPr>
        <a:xfrm rot="5400000">
          <a:off x="-91197" y="3926501"/>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1" y="4048098"/>
        <a:ext cx="425590" cy="182396"/>
      </dsp:txXfrm>
    </dsp:sp>
    <dsp:sp modelId="{82480B1C-A711-4B40-9FB5-A904F6CB4084}">
      <dsp:nvSpPr>
        <dsp:cNvPr id="0" name=""/>
        <dsp:cNvSpPr/>
      </dsp:nvSpPr>
      <dsp:spPr>
        <a:xfrm rot="5400000">
          <a:off x="2244049" y="2016844"/>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Conceptual framework,</a:t>
          </a:r>
        </a:p>
        <a:p>
          <a:pPr marL="57150" lvl="1" indent="-57150" algn="l" defTabSz="222250">
            <a:lnSpc>
              <a:spcPct val="90000"/>
            </a:lnSpc>
            <a:spcBef>
              <a:spcPct val="0"/>
            </a:spcBef>
            <a:spcAft>
              <a:spcPct val="15000"/>
            </a:spcAft>
            <a:buChar char="•"/>
          </a:pPr>
          <a:r>
            <a:rPr lang="en-US" sz="500" kern="1200"/>
            <a:t>Implications for practice</a:t>
          </a:r>
        </a:p>
        <a:p>
          <a:pPr marL="57150" lvl="1" indent="-57150" algn="l" defTabSz="222250">
            <a:lnSpc>
              <a:spcPct val="90000"/>
            </a:lnSpc>
            <a:spcBef>
              <a:spcPct val="0"/>
            </a:spcBef>
            <a:spcAft>
              <a:spcPct val="15000"/>
            </a:spcAft>
            <a:buChar char="•"/>
          </a:pPr>
          <a:r>
            <a:rPr lang="en-US" sz="500" kern="1200"/>
            <a:t>Conclusions</a:t>
          </a:r>
        </a:p>
      </dsp:txBody>
      <dsp:txXfrm rot="-5400000">
        <a:off x="425590" y="3854595"/>
        <a:ext cx="4012817" cy="356607"/>
      </dsp:txXfrm>
    </dsp:sp>
    <dsp:sp modelId="{E86BF6A3-BA90-BB43-908F-24E76E7D1587}">
      <dsp:nvSpPr>
        <dsp:cNvPr id="0" name=""/>
        <dsp:cNvSpPr/>
      </dsp:nvSpPr>
      <dsp:spPr>
        <a:xfrm rot="5400000">
          <a:off x="-91197" y="4473603"/>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4595200"/>
        <a:ext cx="425590" cy="182396"/>
      </dsp:txXfrm>
    </dsp:sp>
    <dsp:sp modelId="{E2DE84BA-2462-A242-AC94-46E19F99F1BB}">
      <dsp:nvSpPr>
        <dsp:cNvPr id="0" name=""/>
        <dsp:cNvSpPr/>
      </dsp:nvSpPr>
      <dsp:spPr>
        <a:xfrm rot="5400000">
          <a:off x="2244049" y="2563945"/>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25590" y="4401696"/>
        <a:ext cx="4012817" cy="356607"/>
      </dsp:txXfrm>
    </dsp:sp>
    <dsp:sp modelId="{B88D95AA-AFFF-224F-9EBE-1226F2119586}">
      <dsp:nvSpPr>
        <dsp:cNvPr id="0" name=""/>
        <dsp:cNvSpPr/>
      </dsp:nvSpPr>
      <dsp:spPr>
        <a:xfrm rot="5400000">
          <a:off x="-91197" y="5020704"/>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142301"/>
        <a:ext cx="425590" cy="182396"/>
      </dsp:txXfrm>
    </dsp:sp>
    <dsp:sp modelId="{BC4A5DFE-0373-0044-B473-93ADEF2A2324}">
      <dsp:nvSpPr>
        <dsp:cNvPr id="0" name=""/>
        <dsp:cNvSpPr/>
      </dsp:nvSpPr>
      <dsp:spPr>
        <a:xfrm rot="5400000">
          <a:off x="2244049" y="3111047"/>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25590" y="4948798"/>
        <a:ext cx="4012817" cy="356607"/>
      </dsp:txXfrm>
    </dsp:sp>
    <dsp:sp modelId="{ED0EEAAD-1F9F-C445-9ED5-D61D26A0F8D1}">
      <dsp:nvSpPr>
        <dsp:cNvPr id="0" name=""/>
        <dsp:cNvSpPr/>
      </dsp:nvSpPr>
      <dsp:spPr>
        <a:xfrm rot="5400000">
          <a:off x="-91197" y="5567806"/>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5689403"/>
        <a:ext cx="425590" cy="182396"/>
      </dsp:txXfrm>
    </dsp:sp>
    <dsp:sp modelId="{C174B10A-41E6-244B-88CB-0D08E5FFF5F9}">
      <dsp:nvSpPr>
        <dsp:cNvPr id="0" name=""/>
        <dsp:cNvSpPr/>
      </dsp:nvSpPr>
      <dsp:spPr>
        <a:xfrm rot="5400000">
          <a:off x="2244049" y="3658149"/>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25590" y="5495900"/>
        <a:ext cx="4012817" cy="356607"/>
      </dsp:txXfrm>
    </dsp:sp>
    <dsp:sp modelId="{6DDDE256-1CA3-1140-A939-5530FC1F57D3}">
      <dsp:nvSpPr>
        <dsp:cNvPr id="0" name=""/>
        <dsp:cNvSpPr/>
      </dsp:nvSpPr>
      <dsp:spPr>
        <a:xfrm rot="5400000">
          <a:off x="-91197" y="6114908"/>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236505"/>
        <a:ext cx="425590" cy="182396"/>
      </dsp:txXfrm>
    </dsp:sp>
    <dsp:sp modelId="{999FDDA9-9F6A-1143-BE3C-B1E07CBE9945}">
      <dsp:nvSpPr>
        <dsp:cNvPr id="0" name=""/>
        <dsp:cNvSpPr/>
      </dsp:nvSpPr>
      <dsp:spPr>
        <a:xfrm rot="5400000">
          <a:off x="2244049" y="4205250"/>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1197" y="6662009"/>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6783606"/>
        <a:ext cx="425590" cy="182396"/>
      </dsp:txXfrm>
    </dsp:sp>
    <dsp:sp modelId="{53F81CAC-F802-9240-8C94-B3E2B1F8761C}">
      <dsp:nvSpPr>
        <dsp:cNvPr id="0" name=""/>
        <dsp:cNvSpPr/>
      </dsp:nvSpPr>
      <dsp:spPr>
        <a:xfrm rot="5400000">
          <a:off x="2244049" y="4752352"/>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6040" y="102502"/>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30556"/>
        <a:ext cx="448190" cy="192081"/>
      </dsp:txXfrm>
    </dsp:sp>
    <dsp:sp modelId="{28826DD3-E030-6044-B2F2-D85EF85F6960}">
      <dsp:nvSpPr>
        <dsp:cNvPr id="0" name=""/>
        <dsp:cNvSpPr/>
      </dsp:nvSpPr>
      <dsp:spPr>
        <a:xfrm rot="5400000">
          <a:off x="2577596" y="-2122944"/>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48190" y="26778"/>
        <a:ext cx="4654673" cy="375544"/>
      </dsp:txXfrm>
    </dsp:sp>
    <dsp:sp modelId="{B422BFF3-8BFD-2144-8980-375702EA9496}">
      <dsp:nvSpPr>
        <dsp:cNvPr id="0" name=""/>
        <dsp:cNvSpPr/>
      </dsp:nvSpPr>
      <dsp:spPr>
        <a:xfrm rot="5400000">
          <a:off x="-96040" y="686985"/>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815039"/>
        <a:ext cx="448190" cy="192081"/>
      </dsp:txXfrm>
    </dsp:sp>
    <dsp:sp modelId="{8BDAA81E-2E4E-9C4A-9A67-4855D9BA1510}">
      <dsp:nvSpPr>
        <dsp:cNvPr id="0" name=""/>
        <dsp:cNvSpPr/>
      </dsp:nvSpPr>
      <dsp:spPr>
        <a:xfrm rot="5400000">
          <a:off x="2577596" y="-1538461"/>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48190" y="611261"/>
        <a:ext cx="4654673" cy="375544"/>
      </dsp:txXfrm>
    </dsp:sp>
    <dsp:sp modelId="{A0202F08-BEC9-8F43-8711-F30ADE817D18}">
      <dsp:nvSpPr>
        <dsp:cNvPr id="0" name=""/>
        <dsp:cNvSpPr/>
      </dsp:nvSpPr>
      <dsp:spPr>
        <a:xfrm rot="5400000">
          <a:off x="-96040" y="1271468"/>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1" y="1399522"/>
        <a:ext cx="448190" cy="192081"/>
      </dsp:txXfrm>
    </dsp:sp>
    <dsp:sp modelId="{06B263AD-CC10-0D49-8145-0C283F585CD5}">
      <dsp:nvSpPr>
        <dsp:cNvPr id="0" name=""/>
        <dsp:cNvSpPr/>
      </dsp:nvSpPr>
      <dsp:spPr>
        <a:xfrm rot="5400000">
          <a:off x="2577596" y="-953978"/>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48190" y="1195744"/>
        <a:ext cx="4654673" cy="375544"/>
      </dsp:txXfrm>
    </dsp:sp>
    <dsp:sp modelId="{31EA3204-EDC1-4F43-84C9-41DE884256E5}">
      <dsp:nvSpPr>
        <dsp:cNvPr id="0" name=""/>
        <dsp:cNvSpPr/>
      </dsp:nvSpPr>
      <dsp:spPr>
        <a:xfrm rot="5400000">
          <a:off x="-96040" y="1855951"/>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1" y="1984005"/>
        <a:ext cx="448190" cy="192081"/>
      </dsp:txXfrm>
    </dsp:sp>
    <dsp:sp modelId="{9D5418D3-F08D-8545-87B2-2FD7B1D1031E}">
      <dsp:nvSpPr>
        <dsp:cNvPr id="0" name=""/>
        <dsp:cNvSpPr/>
      </dsp:nvSpPr>
      <dsp:spPr>
        <a:xfrm rot="5400000">
          <a:off x="2577596" y="-369496"/>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48190" y="1780226"/>
        <a:ext cx="4654673" cy="375544"/>
      </dsp:txXfrm>
    </dsp:sp>
    <dsp:sp modelId="{CCC28DE8-0568-7547-9A1F-3C6F0F33A2CF}">
      <dsp:nvSpPr>
        <dsp:cNvPr id="0" name=""/>
        <dsp:cNvSpPr/>
      </dsp:nvSpPr>
      <dsp:spPr>
        <a:xfrm rot="5400000">
          <a:off x="-96040" y="2440434"/>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1" y="2568488"/>
        <a:ext cx="448190" cy="192081"/>
      </dsp:txXfrm>
    </dsp:sp>
    <dsp:sp modelId="{F1EE7E3F-25DA-8041-85A7-EBBF11BC4C56}">
      <dsp:nvSpPr>
        <dsp:cNvPr id="0" name=""/>
        <dsp:cNvSpPr/>
      </dsp:nvSpPr>
      <dsp:spPr>
        <a:xfrm rot="5400000">
          <a:off x="2577596" y="214986"/>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48190" y="2364708"/>
        <a:ext cx="4654673" cy="375544"/>
      </dsp:txXfrm>
    </dsp:sp>
    <dsp:sp modelId="{844AC346-AEB9-A649-8C9D-DBF2769C8FFC}">
      <dsp:nvSpPr>
        <dsp:cNvPr id="0" name=""/>
        <dsp:cNvSpPr/>
      </dsp:nvSpPr>
      <dsp:spPr>
        <a:xfrm rot="5400000">
          <a:off x="-96040" y="3024916"/>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3152970"/>
        <a:ext cx="448190" cy="192081"/>
      </dsp:txXfrm>
    </dsp:sp>
    <dsp:sp modelId="{C80BEB0B-E1AB-4443-9F91-9D6894D7833E}">
      <dsp:nvSpPr>
        <dsp:cNvPr id="0" name=""/>
        <dsp:cNvSpPr/>
      </dsp:nvSpPr>
      <dsp:spPr>
        <a:xfrm rot="5400000">
          <a:off x="2577596" y="799469"/>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48190" y="2949191"/>
        <a:ext cx="4654673" cy="375544"/>
      </dsp:txXfrm>
    </dsp:sp>
    <dsp:sp modelId="{B9872B13-1174-E847-A615-29577404DF21}">
      <dsp:nvSpPr>
        <dsp:cNvPr id="0" name=""/>
        <dsp:cNvSpPr/>
      </dsp:nvSpPr>
      <dsp:spPr>
        <a:xfrm rot="5400000">
          <a:off x="-96040" y="3609399"/>
          <a:ext cx="640271" cy="448190"/>
        </a:xfrm>
        <a:prstGeom prst="chevron">
          <a:avLst/>
        </a:prstGeom>
        <a:solidFill>
          <a:schemeClr val="accent1"/>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737453"/>
        <a:ext cx="448190" cy="192081"/>
      </dsp:txXfrm>
    </dsp:sp>
    <dsp:sp modelId="{DCD4A931-4F01-F440-965B-DC25AA6FE080}">
      <dsp:nvSpPr>
        <dsp:cNvPr id="0" name=""/>
        <dsp:cNvSpPr/>
      </dsp:nvSpPr>
      <dsp:spPr>
        <a:xfrm rot="5400000">
          <a:off x="2577596" y="1383952"/>
          <a:ext cx="416176" cy="4674989"/>
        </a:xfrm>
        <a:prstGeom prst="round2SameRect">
          <a:avLst/>
        </a:prstGeom>
        <a:no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solidFill>
                <a:srgbClr val="000000"/>
              </a:solidFill>
            </a:rPr>
            <a:t>Aims and objectives, methods, results</a:t>
          </a:r>
        </a:p>
        <a:p>
          <a:pPr marL="57150" lvl="1" indent="-57150" algn="l" defTabSz="222250">
            <a:lnSpc>
              <a:spcPct val="90000"/>
            </a:lnSpc>
            <a:spcBef>
              <a:spcPct val="0"/>
            </a:spcBef>
            <a:spcAft>
              <a:spcPct val="15000"/>
            </a:spcAft>
            <a:buChar char="•"/>
          </a:pPr>
          <a:r>
            <a:rPr lang="en-US" sz="500" kern="1200">
              <a:solidFill>
                <a:srgbClr val="000000"/>
              </a:solidFill>
            </a:rPr>
            <a:t>Quantitative and qualitative data collection and analysis </a:t>
          </a:r>
        </a:p>
        <a:p>
          <a:pPr marL="57150" lvl="1" indent="-57150" algn="l" defTabSz="222250">
            <a:lnSpc>
              <a:spcPct val="90000"/>
            </a:lnSpc>
            <a:spcBef>
              <a:spcPct val="0"/>
            </a:spcBef>
            <a:spcAft>
              <a:spcPct val="15000"/>
            </a:spcAft>
            <a:buChar char="•"/>
          </a:pPr>
          <a:r>
            <a:rPr lang="en-US" sz="500" kern="1200">
              <a:solidFill>
                <a:srgbClr val="000000"/>
              </a:solidFill>
            </a:rPr>
            <a:t>Results</a:t>
          </a:r>
        </a:p>
      </dsp:txBody>
      <dsp:txXfrm rot="-5400000">
        <a:off x="448190" y="3533674"/>
        <a:ext cx="4654673" cy="375544"/>
      </dsp:txXfrm>
    </dsp:sp>
    <dsp:sp modelId="{FBC92F2D-7F37-C24B-BFEF-CC15867C46D4}">
      <dsp:nvSpPr>
        <dsp:cNvPr id="0" name=""/>
        <dsp:cNvSpPr/>
      </dsp:nvSpPr>
      <dsp:spPr>
        <a:xfrm rot="5400000">
          <a:off x="-96040" y="4193882"/>
          <a:ext cx="640271" cy="448190"/>
        </a:xfrm>
        <a:prstGeom prst="chevron">
          <a:avLst/>
        </a:prstGeom>
        <a:solidFill>
          <a:srgbClr val="800000">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solidFill>
                <a:srgbClr val="FFFFFF"/>
              </a:solidFill>
            </a:rPr>
            <a:t>8: Triangulation</a:t>
          </a:r>
        </a:p>
      </dsp:txBody>
      <dsp:txXfrm rot="-5400000">
        <a:off x="1" y="4321936"/>
        <a:ext cx="448190" cy="192081"/>
      </dsp:txXfrm>
    </dsp:sp>
    <dsp:sp modelId="{E9487058-CF28-FD44-B9C2-31F73470FB7B}">
      <dsp:nvSpPr>
        <dsp:cNvPr id="0" name=""/>
        <dsp:cNvSpPr/>
      </dsp:nvSpPr>
      <dsp:spPr>
        <a:xfrm rot="5400000">
          <a:off x="2577596" y="1968435"/>
          <a:ext cx="416176" cy="4674989"/>
        </a:xfrm>
        <a:prstGeom prst="round2SameRect">
          <a:avLst/>
        </a:prstGeom>
        <a:solidFill>
          <a:srgbClr val="800000">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solidFill>
                <a:schemeClr val="bg1"/>
              </a:solidFill>
            </a:rPr>
            <a:t>Conceptual framework,</a:t>
          </a:r>
        </a:p>
        <a:p>
          <a:pPr marL="57150" lvl="1" indent="-57150" algn="l" defTabSz="355600">
            <a:lnSpc>
              <a:spcPct val="90000"/>
            </a:lnSpc>
            <a:spcBef>
              <a:spcPct val="0"/>
            </a:spcBef>
            <a:spcAft>
              <a:spcPct val="15000"/>
            </a:spcAft>
            <a:buChar char="•"/>
          </a:pPr>
          <a:r>
            <a:rPr lang="en-US" sz="800" kern="1200">
              <a:solidFill>
                <a:schemeClr val="bg1"/>
              </a:solidFill>
            </a:rPr>
            <a:t>Implications for practice</a:t>
          </a:r>
        </a:p>
        <a:p>
          <a:pPr marL="57150" lvl="1" indent="-57150" algn="l" defTabSz="355600">
            <a:lnSpc>
              <a:spcPct val="90000"/>
            </a:lnSpc>
            <a:spcBef>
              <a:spcPct val="0"/>
            </a:spcBef>
            <a:spcAft>
              <a:spcPct val="15000"/>
            </a:spcAft>
            <a:buChar char="•"/>
          </a:pPr>
          <a:r>
            <a:rPr lang="en-US" sz="800" kern="1200">
              <a:solidFill>
                <a:schemeClr val="bg1"/>
              </a:solidFill>
            </a:rPr>
            <a:t>Conclusions</a:t>
          </a:r>
        </a:p>
      </dsp:txBody>
      <dsp:txXfrm rot="-5400000">
        <a:off x="448190" y="4118157"/>
        <a:ext cx="4654673" cy="375544"/>
      </dsp:txXfrm>
    </dsp:sp>
    <dsp:sp modelId="{E86BF6A3-BA90-BB43-908F-24E76E7D1587}">
      <dsp:nvSpPr>
        <dsp:cNvPr id="0" name=""/>
        <dsp:cNvSpPr/>
      </dsp:nvSpPr>
      <dsp:spPr>
        <a:xfrm rot="5400000">
          <a:off x="-96040" y="4778365"/>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4906419"/>
        <a:ext cx="448190" cy="192081"/>
      </dsp:txXfrm>
    </dsp:sp>
    <dsp:sp modelId="{E2DE84BA-2462-A242-AC94-46E19F99F1BB}">
      <dsp:nvSpPr>
        <dsp:cNvPr id="0" name=""/>
        <dsp:cNvSpPr/>
      </dsp:nvSpPr>
      <dsp:spPr>
        <a:xfrm rot="5400000">
          <a:off x="2577596" y="2552918"/>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48190" y="4702640"/>
        <a:ext cx="4654673" cy="375544"/>
      </dsp:txXfrm>
    </dsp:sp>
    <dsp:sp modelId="{B88D95AA-AFFF-224F-9EBE-1226F2119586}">
      <dsp:nvSpPr>
        <dsp:cNvPr id="0" name=""/>
        <dsp:cNvSpPr/>
      </dsp:nvSpPr>
      <dsp:spPr>
        <a:xfrm rot="5400000">
          <a:off x="-96040" y="5362848"/>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490902"/>
        <a:ext cx="448190" cy="192081"/>
      </dsp:txXfrm>
    </dsp:sp>
    <dsp:sp modelId="{BC4A5DFE-0373-0044-B473-93ADEF2A2324}">
      <dsp:nvSpPr>
        <dsp:cNvPr id="0" name=""/>
        <dsp:cNvSpPr/>
      </dsp:nvSpPr>
      <dsp:spPr>
        <a:xfrm rot="5400000">
          <a:off x="2577596" y="3137401"/>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48190" y="5287123"/>
        <a:ext cx="4654673" cy="375544"/>
      </dsp:txXfrm>
    </dsp:sp>
    <dsp:sp modelId="{ED0EEAAD-1F9F-C445-9ED5-D61D26A0F8D1}">
      <dsp:nvSpPr>
        <dsp:cNvPr id="0" name=""/>
        <dsp:cNvSpPr/>
      </dsp:nvSpPr>
      <dsp:spPr>
        <a:xfrm rot="5400000">
          <a:off x="-96040" y="5947331"/>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6075385"/>
        <a:ext cx="448190" cy="192081"/>
      </dsp:txXfrm>
    </dsp:sp>
    <dsp:sp modelId="{C174B10A-41E6-244B-88CB-0D08E5FFF5F9}">
      <dsp:nvSpPr>
        <dsp:cNvPr id="0" name=""/>
        <dsp:cNvSpPr/>
      </dsp:nvSpPr>
      <dsp:spPr>
        <a:xfrm rot="5400000">
          <a:off x="2577487" y="3721993"/>
          <a:ext cx="416395"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48191" y="5871617"/>
        <a:ext cx="4654662" cy="375741"/>
      </dsp:txXfrm>
    </dsp:sp>
    <dsp:sp modelId="{6DDDE256-1CA3-1140-A939-5530FC1F57D3}">
      <dsp:nvSpPr>
        <dsp:cNvPr id="0" name=""/>
        <dsp:cNvSpPr/>
      </dsp:nvSpPr>
      <dsp:spPr>
        <a:xfrm rot="5400000">
          <a:off x="-96040" y="6531814"/>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659868"/>
        <a:ext cx="448190" cy="192081"/>
      </dsp:txXfrm>
    </dsp:sp>
    <dsp:sp modelId="{999FDDA9-9F6A-1143-BE3C-B1E07CBE9945}">
      <dsp:nvSpPr>
        <dsp:cNvPr id="0" name=""/>
        <dsp:cNvSpPr/>
      </dsp:nvSpPr>
      <dsp:spPr>
        <a:xfrm rot="5400000">
          <a:off x="2577596" y="4306366"/>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6040" y="7116297"/>
          <a:ext cx="640271" cy="4481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7244351"/>
        <a:ext cx="448190" cy="192081"/>
      </dsp:txXfrm>
    </dsp:sp>
    <dsp:sp modelId="{53F81CAC-F802-9240-8C94-B3E2B1F8761C}">
      <dsp:nvSpPr>
        <dsp:cNvPr id="0" name=""/>
        <dsp:cNvSpPr/>
      </dsp:nvSpPr>
      <dsp:spPr>
        <a:xfrm rot="5400000">
          <a:off x="2577596" y="4890849"/>
          <a:ext cx="416176" cy="467498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23C031-8C24-A44B-B3E0-ABD64A5886E9}">
      <dsp:nvSpPr>
        <dsp:cNvPr id="0" name=""/>
        <dsp:cNvSpPr/>
      </dsp:nvSpPr>
      <dsp:spPr>
        <a:xfrm>
          <a:off x="0" y="1423985"/>
          <a:ext cx="5608954" cy="888391"/>
        </a:xfrm>
        <a:prstGeom prst="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Implications for clinical practice:</a:t>
          </a:r>
        </a:p>
        <a:p>
          <a:pPr marL="0" lvl="0" indent="0" algn="ctr" defTabSz="444500">
            <a:lnSpc>
              <a:spcPct val="90000"/>
            </a:lnSpc>
            <a:spcBef>
              <a:spcPct val="0"/>
            </a:spcBef>
            <a:spcAft>
              <a:spcPct val="35000"/>
            </a:spcAft>
            <a:buNone/>
          </a:pPr>
          <a:r>
            <a:rPr lang="en-US" sz="1000" kern="1200"/>
            <a:t>Educational theoretical framework</a:t>
          </a:r>
        </a:p>
        <a:p>
          <a:pPr marL="0" lvl="0" indent="0" algn="ctr" defTabSz="444500">
            <a:lnSpc>
              <a:spcPct val="90000"/>
            </a:lnSpc>
            <a:spcBef>
              <a:spcPct val="0"/>
            </a:spcBef>
            <a:spcAft>
              <a:spcPct val="35000"/>
            </a:spcAft>
            <a:buNone/>
          </a:pPr>
          <a:r>
            <a:rPr lang="en-US" sz="1000" kern="1200"/>
            <a:t>Model for design and delivery of SBME</a:t>
          </a:r>
        </a:p>
        <a:p>
          <a:pPr marL="0" lvl="0" indent="0" algn="ctr" defTabSz="444500">
            <a:lnSpc>
              <a:spcPct val="90000"/>
            </a:lnSpc>
            <a:spcBef>
              <a:spcPct val="0"/>
            </a:spcBef>
            <a:spcAft>
              <a:spcPct val="35000"/>
            </a:spcAft>
            <a:buNone/>
          </a:pPr>
          <a:r>
            <a:rPr lang="en-US" sz="1000" kern="1200"/>
            <a:t>Model for debreif</a:t>
          </a:r>
        </a:p>
      </dsp:txBody>
      <dsp:txXfrm>
        <a:off x="0" y="1423985"/>
        <a:ext cx="5608954" cy="888391"/>
      </dsp:txXfrm>
    </dsp:sp>
    <dsp:sp modelId="{758BFEAA-D063-964C-831F-9493D7440E4C}">
      <dsp:nvSpPr>
        <dsp:cNvPr id="0" name=""/>
        <dsp:cNvSpPr/>
      </dsp:nvSpPr>
      <dsp:spPr>
        <a:xfrm rot="10800000">
          <a:off x="0" y="711075"/>
          <a:ext cx="5608954" cy="749903"/>
        </a:xfrm>
        <a:prstGeom prst="upArrowCallou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Theme 2: preparing students for practice: all data sources</a:t>
          </a:r>
        </a:p>
      </dsp:txBody>
      <dsp:txXfrm rot="10800000">
        <a:off x="0" y="711075"/>
        <a:ext cx="5608954" cy="487264"/>
      </dsp:txXfrm>
    </dsp:sp>
    <dsp:sp modelId="{B9FC80EF-A543-A647-8F9B-36A437D0B7B5}">
      <dsp:nvSpPr>
        <dsp:cNvPr id="0" name=""/>
        <dsp:cNvSpPr/>
      </dsp:nvSpPr>
      <dsp:spPr>
        <a:xfrm rot="10800000">
          <a:off x="0" y="0"/>
          <a:ext cx="5608954" cy="737392"/>
        </a:xfrm>
        <a:prstGeom prst="upArrowCallou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Theme 1: Understanding preparedness: students and experts views</a:t>
          </a:r>
        </a:p>
      </dsp:txBody>
      <dsp:txXfrm rot="10800000">
        <a:off x="0" y="0"/>
        <a:ext cx="5608954" cy="479135"/>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D145FA-E146-A54A-8F3F-0F9E0F1DB044}">
      <dsp:nvSpPr>
        <dsp:cNvPr id="0" name=""/>
        <dsp:cNvSpPr/>
      </dsp:nvSpPr>
      <dsp:spPr>
        <a:xfrm>
          <a:off x="2898" y="0"/>
          <a:ext cx="1017062" cy="8597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Realisation</a:t>
          </a:r>
        </a:p>
      </dsp:txBody>
      <dsp:txXfrm>
        <a:off x="2898" y="0"/>
        <a:ext cx="1017062" cy="257937"/>
      </dsp:txXfrm>
    </dsp:sp>
    <dsp:sp modelId="{7DBF70EA-244E-EA49-BB49-29814E75AD5A}">
      <dsp:nvSpPr>
        <dsp:cNvPr id="0" name=""/>
        <dsp:cNvSpPr/>
      </dsp:nvSpPr>
      <dsp:spPr>
        <a:xfrm>
          <a:off x="1096240" y="0"/>
          <a:ext cx="1017062" cy="8597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Responsibility</a:t>
          </a:r>
        </a:p>
      </dsp:txBody>
      <dsp:txXfrm>
        <a:off x="1096240" y="0"/>
        <a:ext cx="1017062" cy="257937"/>
      </dsp:txXfrm>
    </dsp:sp>
    <dsp:sp modelId="{7C05762B-351F-DE4E-85EF-2591C732D80C}">
      <dsp:nvSpPr>
        <dsp:cNvPr id="0" name=""/>
        <dsp:cNvSpPr/>
      </dsp:nvSpPr>
      <dsp:spPr>
        <a:xfrm>
          <a:off x="2189583" y="0"/>
          <a:ext cx="1017062" cy="8597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Recognition</a:t>
          </a:r>
        </a:p>
      </dsp:txBody>
      <dsp:txXfrm>
        <a:off x="2189583" y="0"/>
        <a:ext cx="1017062" cy="257937"/>
      </dsp:txXfrm>
    </dsp:sp>
    <dsp:sp modelId="{E55ADE17-E282-F446-8A54-70C1BB5520AC}">
      <dsp:nvSpPr>
        <dsp:cNvPr id="0" name=""/>
        <dsp:cNvSpPr/>
      </dsp:nvSpPr>
      <dsp:spPr>
        <a:xfrm>
          <a:off x="3282926" y="0"/>
          <a:ext cx="1017062" cy="8597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Response</a:t>
          </a:r>
        </a:p>
      </dsp:txBody>
      <dsp:txXfrm>
        <a:off x="3282926" y="0"/>
        <a:ext cx="1017062" cy="257937"/>
      </dsp:txXfrm>
    </dsp:sp>
    <dsp:sp modelId="{7AC70080-E084-7441-8F98-1DE316364408}">
      <dsp:nvSpPr>
        <dsp:cNvPr id="0" name=""/>
        <dsp:cNvSpPr/>
      </dsp:nvSpPr>
      <dsp:spPr>
        <a:xfrm>
          <a:off x="4376268" y="0"/>
          <a:ext cx="1017062" cy="859790"/>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Performance</a:t>
          </a:r>
        </a:p>
      </dsp:txBody>
      <dsp:txXfrm>
        <a:off x="4376268" y="0"/>
        <a:ext cx="1017062" cy="257937"/>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6DA78C-C7AB-064F-A943-93AE296E1FB1}">
      <dsp:nvSpPr>
        <dsp:cNvPr id="0" name=""/>
        <dsp:cNvSpPr/>
      </dsp:nvSpPr>
      <dsp:spPr>
        <a:xfrm>
          <a:off x="732123" y="0"/>
          <a:ext cx="4098290" cy="4098290"/>
        </a:xfrm>
        <a:prstGeom prst="triangle">
          <a:avLst/>
        </a:prstGeom>
        <a:gradFill rotWithShape="0">
          <a:gsLst>
            <a:gs pos="0">
              <a:schemeClr val="accent1">
                <a:shade val="50000"/>
                <a:hueOff val="0"/>
                <a:satOff val="0"/>
                <a:lumOff val="0"/>
                <a:alphaOff val="0"/>
                <a:tint val="100000"/>
                <a:shade val="100000"/>
                <a:satMod val="130000"/>
              </a:schemeClr>
            </a:gs>
            <a:gs pos="100000">
              <a:schemeClr val="accent1">
                <a:shade val="5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FCF827D-C7B7-CD46-AE07-C0566FC7D74B}">
      <dsp:nvSpPr>
        <dsp:cNvPr id="0" name=""/>
        <dsp:cNvSpPr/>
      </dsp:nvSpPr>
      <dsp:spPr>
        <a:xfrm>
          <a:off x="2825275" y="369882"/>
          <a:ext cx="2663888" cy="485071"/>
        </a:xfrm>
        <a:prstGeom prst="roundRect">
          <a:avLst/>
        </a:prstGeom>
        <a:solidFill>
          <a:schemeClr val="lt1">
            <a:alpha val="90000"/>
            <a:hueOff val="0"/>
            <a:satOff val="0"/>
            <a:lumOff val="0"/>
            <a:alphaOff val="0"/>
          </a:schemeClr>
        </a:solidFill>
        <a:ln w="9525" cap="flat" cmpd="sng" algn="ctr">
          <a:solidFill>
            <a:schemeClr val="accent1">
              <a:shade val="5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Can perform in clinical environment with acutely unwell patient (time pressure) and communicate with patient, team, relative</a:t>
          </a:r>
        </a:p>
      </dsp:txBody>
      <dsp:txXfrm>
        <a:off x="2848954" y="393561"/>
        <a:ext cx="2616530" cy="437713"/>
      </dsp:txXfrm>
    </dsp:sp>
    <dsp:sp modelId="{6F551520-2458-C34A-B483-96C58D36C861}">
      <dsp:nvSpPr>
        <dsp:cNvPr id="0" name=""/>
        <dsp:cNvSpPr/>
      </dsp:nvSpPr>
      <dsp:spPr>
        <a:xfrm>
          <a:off x="2781268" y="957735"/>
          <a:ext cx="2663888" cy="485071"/>
        </a:xfrm>
        <a:prstGeom prst="roundRect">
          <a:avLst/>
        </a:prstGeom>
        <a:solidFill>
          <a:schemeClr val="lt1">
            <a:alpha val="90000"/>
            <a:hueOff val="0"/>
            <a:satOff val="0"/>
            <a:lumOff val="0"/>
            <a:alphaOff val="0"/>
          </a:schemeClr>
        </a:solidFill>
        <a:ln w="9525" cap="flat" cmpd="sng" algn="ctr">
          <a:solidFill>
            <a:schemeClr val="accent1">
              <a:shade val="50000"/>
              <a:hueOff val="120479"/>
              <a:satOff val="-2520"/>
              <a:lumOff val="14021"/>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Can perform in clinical environment under time pressure and distractions</a:t>
          </a:r>
        </a:p>
      </dsp:txBody>
      <dsp:txXfrm>
        <a:off x="2804947" y="981414"/>
        <a:ext cx="2616530" cy="437713"/>
      </dsp:txXfrm>
    </dsp:sp>
    <dsp:sp modelId="{1BA2A990-ABF7-6A47-8CC5-83DCD40EC4B0}">
      <dsp:nvSpPr>
        <dsp:cNvPr id="0" name=""/>
        <dsp:cNvSpPr/>
      </dsp:nvSpPr>
      <dsp:spPr>
        <a:xfrm>
          <a:off x="2781268" y="1503440"/>
          <a:ext cx="2663888" cy="485071"/>
        </a:xfrm>
        <a:prstGeom prst="roundRect">
          <a:avLst/>
        </a:prstGeom>
        <a:solidFill>
          <a:schemeClr val="lt1">
            <a:alpha val="90000"/>
            <a:hueOff val="0"/>
            <a:satOff val="0"/>
            <a:lumOff val="0"/>
            <a:alphaOff val="0"/>
          </a:schemeClr>
        </a:solidFill>
        <a:ln w="9525" cap="flat" cmpd="sng" algn="ctr">
          <a:solidFill>
            <a:schemeClr val="accent1">
              <a:shade val="50000"/>
              <a:hueOff val="240958"/>
              <a:satOff val="-5040"/>
              <a:lumOff val="28042"/>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Can perform in clinical environment with minor distractions and trouble shoot if unsuccessful</a:t>
          </a:r>
        </a:p>
      </dsp:txBody>
      <dsp:txXfrm>
        <a:off x="2804947" y="1527119"/>
        <a:ext cx="2616530" cy="437713"/>
      </dsp:txXfrm>
    </dsp:sp>
    <dsp:sp modelId="{039CDB08-B176-E541-86EF-38438DD7007C}">
      <dsp:nvSpPr>
        <dsp:cNvPr id="0" name=""/>
        <dsp:cNvSpPr/>
      </dsp:nvSpPr>
      <dsp:spPr>
        <a:xfrm>
          <a:off x="2781268" y="2049144"/>
          <a:ext cx="2663888" cy="485071"/>
        </a:xfrm>
        <a:prstGeom prst="roundRect">
          <a:avLst/>
        </a:prstGeom>
        <a:solidFill>
          <a:schemeClr val="lt1">
            <a:alpha val="90000"/>
            <a:hueOff val="0"/>
            <a:satOff val="0"/>
            <a:lumOff val="0"/>
            <a:alphaOff val="0"/>
          </a:schemeClr>
        </a:solidFill>
        <a:ln w="9525" cap="flat" cmpd="sng" algn="ctr">
          <a:solidFill>
            <a:schemeClr val="accent1">
              <a:shade val="50000"/>
              <a:hueOff val="361436"/>
              <a:satOff val="-7560"/>
              <a:lumOff val="42063"/>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Can perform, discuss risks, consent and perform on patient</a:t>
          </a:r>
        </a:p>
      </dsp:txBody>
      <dsp:txXfrm>
        <a:off x="2804947" y="2072823"/>
        <a:ext cx="2616530" cy="437713"/>
      </dsp:txXfrm>
    </dsp:sp>
    <dsp:sp modelId="{5958F73E-E8E5-6D4D-9504-2F3468E2AB2A}">
      <dsp:nvSpPr>
        <dsp:cNvPr id="0" name=""/>
        <dsp:cNvSpPr/>
      </dsp:nvSpPr>
      <dsp:spPr>
        <a:xfrm>
          <a:off x="2781268" y="2594849"/>
          <a:ext cx="2663888" cy="485071"/>
        </a:xfrm>
        <a:prstGeom prst="roundRect">
          <a:avLst/>
        </a:prstGeom>
        <a:solidFill>
          <a:schemeClr val="lt1">
            <a:alpha val="90000"/>
            <a:hueOff val="0"/>
            <a:satOff val="0"/>
            <a:lumOff val="0"/>
            <a:alphaOff val="0"/>
          </a:schemeClr>
        </a:solidFill>
        <a:ln w="9525" cap="flat" cmpd="sng" algn="ctr">
          <a:solidFill>
            <a:schemeClr val="accent1">
              <a:shade val="50000"/>
              <a:hueOff val="240958"/>
              <a:satOff val="-5040"/>
              <a:lumOff val="28042"/>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Can perform skill and understands indications, risks and benefits</a:t>
          </a:r>
        </a:p>
      </dsp:txBody>
      <dsp:txXfrm>
        <a:off x="2804947" y="2618528"/>
        <a:ext cx="2616530" cy="437713"/>
      </dsp:txXfrm>
    </dsp:sp>
    <dsp:sp modelId="{5A64F271-D9D8-2648-91DD-00360B69CB23}">
      <dsp:nvSpPr>
        <dsp:cNvPr id="0" name=""/>
        <dsp:cNvSpPr/>
      </dsp:nvSpPr>
      <dsp:spPr>
        <a:xfrm>
          <a:off x="2781268" y="3140554"/>
          <a:ext cx="2663888" cy="485071"/>
        </a:xfrm>
        <a:prstGeom prst="roundRect">
          <a:avLst/>
        </a:prstGeom>
        <a:solidFill>
          <a:schemeClr val="lt1">
            <a:alpha val="90000"/>
            <a:hueOff val="0"/>
            <a:satOff val="0"/>
            <a:lumOff val="0"/>
            <a:alphaOff val="0"/>
          </a:schemeClr>
        </a:solidFill>
        <a:ln w="9525" cap="flat" cmpd="sng" algn="ctr">
          <a:solidFill>
            <a:schemeClr val="accent1">
              <a:shade val="50000"/>
              <a:hueOff val="120479"/>
              <a:satOff val="-2520"/>
              <a:lumOff val="14021"/>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Can perform a technical simulated skill eg cannula</a:t>
          </a:r>
        </a:p>
      </dsp:txBody>
      <dsp:txXfrm>
        <a:off x="2804947" y="3164233"/>
        <a:ext cx="2616530" cy="437713"/>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F5069D-6428-7646-B5B8-E74101603520}">
      <dsp:nvSpPr>
        <dsp:cNvPr id="0" name=""/>
        <dsp:cNvSpPr/>
      </dsp:nvSpPr>
      <dsp:spPr>
        <a:xfrm>
          <a:off x="155264" y="6443"/>
          <a:ext cx="1619980" cy="647992"/>
        </a:xfrm>
        <a:prstGeom prst="chevron">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1</a:t>
          </a:r>
        </a:p>
      </dsp:txBody>
      <dsp:txXfrm>
        <a:off x="479260" y="6443"/>
        <a:ext cx="971988" cy="647992"/>
      </dsp:txXfrm>
    </dsp:sp>
    <dsp:sp modelId="{9A9A99D7-10A2-8B4C-90E9-074E0F1F5CB8}">
      <dsp:nvSpPr>
        <dsp:cNvPr id="0" name=""/>
        <dsp:cNvSpPr/>
      </dsp:nvSpPr>
      <dsp:spPr>
        <a:xfrm>
          <a:off x="1564647" y="61522"/>
          <a:ext cx="1344583" cy="537833"/>
        </a:xfrm>
        <a:prstGeom prst="chevron">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Learning needs analysis</a:t>
          </a:r>
        </a:p>
      </dsp:txBody>
      <dsp:txXfrm>
        <a:off x="1833564" y="61522"/>
        <a:ext cx="806750" cy="537833"/>
      </dsp:txXfrm>
    </dsp:sp>
    <dsp:sp modelId="{FE1B3163-0C52-294A-A57E-E37E9505647B}">
      <dsp:nvSpPr>
        <dsp:cNvPr id="0" name=""/>
        <dsp:cNvSpPr/>
      </dsp:nvSpPr>
      <dsp:spPr>
        <a:xfrm>
          <a:off x="2720989" y="61522"/>
          <a:ext cx="1344583" cy="537833"/>
        </a:xfrm>
        <a:prstGeom prst="chevron">
          <a:avLst/>
        </a:prstGeom>
        <a:solidFill>
          <a:schemeClr val="accent4">
            <a:tint val="40000"/>
            <a:alpha val="90000"/>
            <a:hueOff val="-131524"/>
            <a:satOff val="739"/>
            <a:lumOff val="47"/>
            <a:alphaOff val="0"/>
          </a:schemeClr>
        </a:solidFill>
        <a:ln w="25400" cap="flat" cmpd="sng" algn="ctr">
          <a:solidFill>
            <a:schemeClr val="accent4">
              <a:tint val="40000"/>
              <a:alpha val="90000"/>
              <a:hueOff val="-131524"/>
              <a:satOff val="739"/>
              <a:lumOff val="4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Commissioner</a:t>
          </a:r>
        </a:p>
      </dsp:txBody>
      <dsp:txXfrm>
        <a:off x="2989906" y="61522"/>
        <a:ext cx="806750" cy="537833"/>
      </dsp:txXfrm>
    </dsp:sp>
    <dsp:sp modelId="{CD0F0A6B-3783-C04E-890D-2A8A5F035E84}">
      <dsp:nvSpPr>
        <dsp:cNvPr id="0" name=""/>
        <dsp:cNvSpPr/>
      </dsp:nvSpPr>
      <dsp:spPr>
        <a:xfrm>
          <a:off x="3877331" y="61522"/>
          <a:ext cx="1344583" cy="537833"/>
        </a:xfrm>
        <a:prstGeom prst="chevron">
          <a:avLst/>
        </a:prstGeom>
        <a:solidFill>
          <a:schemeClr val="accent4">
            <a:tint val="40000"/>
            <a:alpha val="90000"/>
            <a:hueOff val="-263047"/>
            <a:satOff val="1477"/>
            <a:lumOff val="94"/>
            <a:alphaOff val="0"/>
          </a:schemeClr>
        </a:solidFill>
        <a:ln w="25400" cap="flat" cmpd="sng" algn="ctr">
          <a:solidFill>
            <a:schemeClr val="accent4">
              <a:tint val="40000"/>
              <a:alpha val="90000"/>
              <a:hueOff val="-263047"/>
              <a:satOff val="1477"/>
              <a:lumOff val="9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GMC and HEE</a:t>
          </a:r>
        </a:p>
      </dsp:txBody>
      <dsp:txXfrm>
        <a:off x="4146248" y="61522"/>
        <a:ext cx="806750" cy="537833"/>
      </dsp:txXfrm>
    </dsp:sp>
    <dsp:sp modelId="{BD411B85-D41C-FD4B-8B60-15736738EE11}">
      <dsp:nvSpPr>
        <dsp:cNvPr id="0" name=""/>
        <dsp:cNvSpPr/>
      </dsp:nvSpPr>
      <dsp:spPr>
        <a:xfrm>
          <a:off x="155264" y="745154"/>
          <a:ext cx="1619980" cy="647992"/>
        </a:xfrm>
        <a:prstGeom prst="chevron">
          <a:avLst/>
        </a:prstGeom>
        <a:solidFill>
          <a:schemeClr val="accent4">
            <a:hueOff val="-446477"/>
            <a:satOff val="2690"/>
            <a:lumOff val="21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2</a:t>
          </a:r>
        </a:p>
      </dsp:txBody>
      <dsp:txXfrm>
        <a:off x="479260" y="745154"/>
        <a:ext cx="971988" cy="647992"/>
      </dsp:txXfrm>
    </dsp:sp>
    <dsp:sp modelId="{111FAD15-C877-5E45-B309-7F94F3FD935C}">
      <dsp:nvSpPr>
        <dsp:cNvPr id="0" name=""/>
        <dsp:cNvSpPr/>
      </dsp:nvSpPr>
      <dsp:spPr>
        <a:xfrm>
          <a:off x="1564647" y="800233"/>
          <a:ext cx="1344583" cy="537833"/>
        </a:xfrm>
        <a:prstGeom prst="chevron">
          <a:avLst/>
        </a:prstGeom>
        <a:solidFill>
          <a:schemeClr val="accent4">
            <a:tint val="40000"/>
            <a:alpha val="90000"/>
            <a:hueOff val="-394571"/>
            <a:satOff val="2216"/>
            <a:lumOff val="141"/>
            <a:alphaOff val="0"/>
          </a:schemeClr>
        </a:solidFill>
        <a:ln w="25400" cap="flat" cmpd="sng" algn="ctr">
          <a:solidFill>
            <a:schemeClr val="accent4">
              <a:tint val="40000"/>
              <a:alpha val="90000"/>
              <a:hueOff val="-394571"/>
              <a:satOff val="2216"/>
              <a:lumOff val="14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When </a:t>
          </a:r>
        </a:p>
      </dsp:txBody>
      <dsp:txXfrm>
        <a:off x="1833564" y="800233"/>
        <a:ext cx="806750" cy="537833"/>
      </dsp:txXfrm>
    </dsp:sp>
    <dsp:sp modelId="{81542735-3E09-2749-B7FA-4F0E3ED3C479}">
      <dsp:nvSpPr>
        <dsp:cNvPr id="0" name=""/>
        <dsp:cNvSpPr/>
      </dsp:nvSpPr>
      <dsp:spPr>
        <a:xfrm>
          <a:off x="2720989" y="800233"/>
          <a:ext cx="1344583" cy="537833"/>
        </a:xfrm>
        <a:prstGeom prst="chevron">
          <a:avLst/>
        </a:prstGeom>
        <a:solidFill>
          <a:schemeClr val="accent4">
            <a:tint val="40000"/>
            <a:alpha val="90000"/>
            <a:hueOff val="-526095"/>
            <a:satOff val="2954"/>
            <a:lumOff val="188"/>
            <a:alphaOff val="0"/>
          </a:schemeClr>
        </a:solidFill>
        <a:ln w="25400" cap="flat" cmpd="sng" algn="ctr">
          <a:solidFill>
            <a:schemeClr val="accent4">
              <a:tint val="40000"/>
              <a:alpha val="90000"/>
              <a:hueOff val="-526095"/>
              <a:satOff val="2954"/>
              <a:lumOff val="18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Who</a:t>
          </a:r>
        </a:p>
      </dsp:txBody>
      <dsp:txXfrm>
        <a:off x="2989906" y="800233"/>
        <a:ext cx="806750" cy="537833"/>
      </dsp:txXfrm>
    </dsp:sp>
    <dsp:sp modelId="{9220A6B1-F0F2-D94E-973F-1184D8D41310}">
      <dsp:nvSpPr>
        <dsp:cNvPr id="0" name=""/>
        <dsp:cNvSpPr/>
      </dsp:nvSpPr>
      <dsp:spPr>
        <a:xfrm>
          <a:off x="3877331" y="800233"/>
          <a:ext cx="1344583" cy="537833"/>
        </a:xfrm>
        <a:prstGeom prst="chevron">
          <a:avLst/>
        </a:prstGeom>
        <a:solidFill>
          <a:schemeClr val="accent4">
            <a:tint val="40000"/>
            <a:alpha val="90000"/>
            <a:hueOff val="-657618"/>
            <a:satOff val="3693"/>
            <a:lumOff val="235"/>
            <a:alphaOff val="0"/>
          </a:schemeClr>
        </a:solidFill>
        <a:ln w="25400" cap="flat" cmpd="sng" algn="ctr">
          <a:solidFill>
            <a:schemeClr val="accent4">
              <a:tint val="40000"/>
              <a:alpha val="90000"/>
              <a:hueOff val="-657618"/>
              <a:satOff val="3693"/>
              <a:lumOff val="23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Where - educational centre vs in situ</a:t>
          </a:r>
        </a:p>
      </dsp:txBody>
      <dsp:txXfrm>
        <a:off x="4146248" y="800233"/>
        <a:ext cx="806750" cy="537833"/>
      </dsp:txXfrm>
    </dsp:sp>
    <dsp:sp modelId="{B8F586D8-398E-2340-ACDD-F6A6BE2603DF}">
      <dsp:nvSpPr>
        <dsp:cNvPr id="0" name=""/>
        <dsp:cNvSpPr/>
      </dsp:nvSpPr>
      <dsp:spPr>
        <a:xfrm>
          <a:off x="155264" y="1483865"/>
          <a:ext cx="1619980" cy="647992"/>
        </a:xfrm>
        <a:prstGeom prst="chevron">
          <a:avLst/>
        </a:prstGeom>
        <a:solidFill>
          <a:schemeClr val="accent4">
            <a:hueOff val="-892954"/>
            <a:satOff val="5380"/>
            <a:lumOff val="43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3</a:t>
          </a:r>
        </a:p>
      </dsp:txBody>
      <dsp:txXfrm>
        <a:off x="479260" y="1483865"/>
        <a:ext cx="971988" cy="647992"/>
      </dsp:txXfrm>
    </dsp:sp>
    <dsp:sp modelId="{577616B3-C523-B840-9299-0E04D26A6C4C}">
      <dsp:nvSpPr>
        <dsp:cNvPr id="0" name=""/>
        <dsp:cNvSpPr/>
      </dsp:nvSpPr>
      <dsp:spPr>
        <a:xfrm>
          <a:off x="1564647" y="1538944"/>
          <a:ext cx="1344583" cy="537833"/>
        </a:xfrm>
        <a:prstGeom prst="chevron">
          <a:avLst/>
        </a:prstGeom>
        <a:solidFill>
          <a:schemeClr val="accent4">
            <a:tint val="40000"/>
            <a:alpha val="90000"/>
            <a:hueOff val="-789142"/>
            <a:satOff val="4431"/>
            <a:lumOff val="282"/>
            <a:alphaOff val="0"/>
          </a:schemeClr>
        </a:solidFill>
        <a:ln w="25400" cap="flat" cmpd="sng" algn="ctr">
          <a:solidFill>
            <a:schemeClr val="accent4">
              <a:tint val="40000"/>
              <a:alpha val="90000"/>
              <a:hueOff val="-789142"/>
              <a:satOff val="4431"/>
              <a:lumOff val="28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Methodology</a:t>
          </a:r>
        </a:p>
      </dsp:txBody>
      <dsp:txXfrm>
        <a:off x="1833564" y="1538944"/>
        <a:ext cx="806750" cy="537833"/>
      </dsp:txXfrm>
    </dsp:sp>
    <dsp:sp modelId="{0B4F7F20-FBE5-3140-A6AB-20E238360BBB}">
      <dsp:nvSpPr>
        <dsp:cNvPr id="0" name=""/>
        <dsp:cNvSpPr/>
      </dsp:nvSpPr>
      <dsp:spPr>
        <a:xfrm>
          <a:off x="2720989" y="1538944"/>
          <a:ext cx="1344583" cy="537833"/>
        </a:xfrm>
        <a:prstGeom prst="chevron">
          <a:avLst/>
        </a:prstGeom>
        <a:solidFill>
          <a:schemeClr val="accent4">
            <a:tint val="40000"/>
            <a:alpha val="90000"/>
            <a:hueOff val="-920666"/>
            <a:satOff val="5170"/>
            <a:lumOff val="329"/>
            <a:alphaOff val="0"/>
          </a:schemeClr>
        </a:solidFill>
        <a:ln w="25400" cap="flat" cmpd="sng" algn="ctr">
          <a:solidFill>
            <a:schemeClr val="accent4">
              <a:tint val="40000"/>
              <a:alpha val="90000"/>
              <a:hueOff val="-920666"/>
              <a:satOff val="5170"/>
              <a:lumOff val="32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Modality of simulation</a:t>
          </a:r>
        </a:p>
      </dsp:txBody>
      <dsp:txXfrm>
        <a:off x="2989906" y="1538944"/>
        <a:ext cx="806750" cy="537833"/>
      </dsp:txXfrm>
    </dsp:sp>
    <dsp:sp modelId="{B5FBCE9A-8FBD-7048-80AA-47185FC6F4E4}">
      <dsp:nvSpPr>
        <dsp:cNvPr id="0" name=""/>
        <dsp:cNvSpPr/>
      </dsp:nvSpPr>
      <dsp:spPr>
        <a:xfrm>
          <a:off x="3877331" y="1538944"/>
          <a:ext cx="1344583" cy="537833"/>
        </a:xfrm>
        <a:prstGeom prst="chevron">
          <a:avLst/>
        </a:prstGeom>
        <a:solidFill>
          <a:schemeClr val="accent4">
            <a:tint val="40000"/>
            <a:alpha val="90000"/>
            <a:hueOff val="-1052189"/>
            <a:satOff val="5909"/>
            <a:lumOff val="375"/>
            <a:alphaOff val="0"/>
          </a:schemeClr>
        </a:solidFill>
        <a:ln w="25400" cap="flat" cmpd="sng" algn="ctr">
          <a:solidFill>
            <a:schemeClr val="accent4">
              <a:tint val="40000"/>
              <a:alpha val="90000"/>
              <a:hueOff val="-1052189"/>
              <a:satOff val="5909"/>
              <a:lumOff val="37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Interprofessional</a:t>
          </a:r>
        </a:p>
      </dsp:txBody>
      <dsp:txXfrm>
        <a:off x="4146248" y="1538944"/>
        <a:ext cx="806750" cy="537833"/>
      </dsp:txXfrm>
    </dsp:sp>
    <dsp:sp modelId="{ADD65E40-B42A-4A45-8497-EE9ED5554301}">
      <dsp:nvSpPr>
        <dsp:cNvPr id="0" name=""/>
        <dsp:cNvSpPr/>
      </dsp:nvSpPr>
      <dsp:spPr>
        <a:xfrm>
          <a:off x="155264" y="2222576"/>
          <a:ext cx="1619980" cy="647992"/>
        </a:xfrm>
        <a:prstGeom prst="chevron">
          <a:avLst/>
        </a:prstGeom>
        <a:solidFill>
          <a:schemeClr val="accent4">
            <a:hueOff val="-1339431"/>
            <a:satOff val="8070"/>
            <a:lumOff val="64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4</a:t>
          </a:r>
        </a:p>
      </dsp:txBody>
      <dsp:txXfrm>
        <a:off x="479260" y="2222576"/>
        <a:ext cx="971988" cy="647992"/>
      </dsp:txXfrm>
    </dsp:sp>
    <dsp:sp modelId="{54D52F9F-95A6-F745-9897-9C0D0B84AC1E}">
      <dsp:nvSpPr>
        <dsp:cNvPr id="0" name=""/>
        <dsp:cNvSpPr/>
      </dsp:nvSpPr>
      <dsp:spPr>
        <a:xfrm>
          <a:off x="1564647" y="2277656"/>
          <a:ext cx="1344583" cy="537833"/>
        </a:xfrm>
        <a:prstGeom prst="chevron">
          <a:avLst/>
        </a:prstGeom>
        <a:solidFill>
          <a:schemeClr val="accent4">
            <a:tint val="40000"/>
            <a:alpha val="90000"/>
            <a:hueOff val="-1183713"/>
            <a:satOff val="6647"/>
            <a:lumOff val="422"/>
            <a:alphaOff val="0"/>
          </a:schemeClr>
        </a:solidFill>
        <a:ln w="25400" cap="flat" cmpd="sng" algn="ctr">
          <a:solidFill>
            <a:schemeClr val="accent4">
              <a:tint val="40000"/>
              <a:alpha val="90000"/>
              <a:hueOff val="-1183713"/>
              <a:satOff val="6647"/>
              <a:lumOff val="42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Time</a:t>
          </a:r>
        </a:p>
      </dsp:txBody>
      <dsp:txXfrm>
        <a:off x="1833564" y="2277656"/>
        <a:ext cx="806750" cy="537833"/>
      </dsp:txXfrm>
    </dsp:sp>
    <dsp:sp modelId="{1A9E2C09-2571-9240-B719-F367DF0E8229}">
      <dsp:nvSpPr>
        <dsp:cNvPr id="0" name=""/>
        <dsp:cNvSpPr/>
      </dsp:nvSpPr>
      <dsp:spPr>
        <a:xfrm>
          <a:off x="2720989" y="2277656"/>
          <a:ext cx="1344583" cy="537833"/>
        </a:xfrm>
        <a:prstGeom prst="chevron">
          <a:avLst/>
        </a:prstGeom>
        <a:solidFill>
          <a:schemeClr val="accent4">
            <a:tint val="40000"/>
            <a:alpha val="90000"/>
            <a:hueOff val="-1315237"/>
            <a:satOff val="7386"/>
            <a:lumOff val="469"/>
            <a:alphaOff val="0"/>
          </a:schemeClr>
        </a:solidFill>
        <a:ln w="25400" cap="flat" cmpd="sng" algn="ctr">
          <a:solidFill>
            <a:schemeClr val="accent4">
              <a:tint val="40000"/>
              <a:alpha val="90000"/>
              <a:hueOff val="-1315237"/>
              <a:satOff val="7386"/>
              <a:lumOff val="46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Faculty</a:t>
          </a:r>
        </a:p>
      </dsp:txBody>
      <dsp:txXfrm>
        <a:off x="2989906" y="2277656"/>
        <a:ext cx="806750" cy="537833"/>
      </dsp:txXfrm>
    </dsp:sp>
    <dsp:sp modelId="{A41947AC-9380-104D-845E-2F9A8DF5BA24}">
      <dsp:nvSpPr>
        <dsp:cNvPr id="0" name=""/>
        <dsp:cNvSpPr/>
      </dsp:nvSpPr>
      <dsp:spPr>
        <a:xfrm>
          <a:off x="3877331" y="2277656"/>
          <a:ext cx="1344583" cy="537833"/>
        </a:xfrm>
        <a:prstGeom prst="chevron">
          <a:avLst/>
        </a:prstGeom>
        <a:solidFill>
          <a:schemeClr val="accent4">
            <a:tint val="40000"/>
            <a:alpha val="90000"/>
            <a:hueOff val="-1446760"/>
            <a:satOff val="8124"/>
            <a:lumOff val="516"/>
            <a:alphaOff val="0"/>
          </a:schemeClr>
        </a:solidFill>
        <a:ln w="25400" cap="flat" cmpd="sng" algn="ctr">
          <a:solidFill>
            <a:schemeClr val="accent4">
              <a:tint val="40000"/>
              <a:alpha val="90000"/>
              <a:hueOff val="-1446760"/>
              <a:satOff val="8124"/>
              <a:lumOff val="51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Faculty training/ QA</a:t>
          </a:r>
        </a:p>
      </dsp:txBody>
      <dsp:txXfrm>
        <a:off x="4146248" y="2277656"/>
        <a:ext cx="806750" cy="537833"/>
      </dsp:txXfrm>
    </dsp:sp>
    <dsp:sp modelId="{B79FAB10-59AD-1B41-80A6-2A2ACE08AC80}">
      <dsp:nvSpPr>
        <dsp:cNvPr id="0" name=""/>
        <dsp:cNvSpPr/>
      </dsp:nvSpPr>
      <dsp:spPr>
        <a:xfrm>
          <a:off x="155264" y="2961287"/>
          <a:ext cx="1619980" cy="647992"/>
        </a:xfrm>
        <a:prstGeom prst="chevron">
          <a:avLst/>
        </a:prstGeom>
        <a:solidFill>
          <a:schemeClr val="accent4">
            <a:hueOff val="-1785908"/>
            <a:satOff val="10760"/>
            <a:lumOff val="86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5</a:t>
          </a:r>
        </a:p>
      </dsp:txBody>
      <dsp:txXfrm>
        <a:off x="479260" y="2961287"/>
        <a:ext cx="971988" cy="647992"/>
      </dsp:txXfrm>
    </dsp:sp>
    <dsp:sp modelId="{0D897E1B-4412-A34E-8520-9731014B1056}">
      <dsp:nvSpPr>
        <dsp:cNvPr id="0" name=""/>
        <dsp:cNvSpPr/>
      </dsp:nvSpPr>
      <dsp:spPr>
        <a:xfrm>
          <a:off x="1564647" y="3016367"/>
          <a:ext cx="1344583" cy="537833"/>
        </a:xfrm>
        <a:prstGeom prst="chevron">
          <a:avLst/>
        </a:prstGeom>
        <a:solidFill>
          <a:schemeClr val="accent4">
            <a:tint val="40000"/>
            <a:alpha val="90000"/>
            <a:hueOff val="-1578284"/>
            <a:satOff val="8863"/>
            <a:lumOff val="563"/>
            <a:alphaOff val="0"/>
          </a:schemeClr>
        </a:solidFill>
        <a:ln w="25400" cap="flat" cmpd="sng" algn="ctr">
          <a:solidFill>
            <a:schemeClr val="accent4">
              <a:tint val="40000"/>
              <a:alpha val="90000"/>
              <a:hueOff val="-1578284"/>
              <a:satOff val="8863"/>
              <a:lumOff val="56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Learning outcomes</a:t>
          </a:r>
        </a:p>
      </dsp:txBody>
      <dsp:txXfrm>
        <a:off x="1833564" y="3016367"/>
        <a:ext cx="806750" cy="537833"/>
      </dsp:txXfrm>
    </dsp:sp>
    <dsp:sp modelId="{A61D4E2B-28A6-964C-8E4F-6B3664084945}">
      <dsp:nvSpPr>
        <dsp:cNvPr id="0" name=""/>
        <dsp:cNvSpPr/>
      </dsp:nvSpPr>
      <dsp:spPr>
        <a:xfrm>
          <a:off x="2720989" y="3016367"/>
          <a:ext cx="1344583" cy="537833"/>
        </a:xfrm>
        <a:prstGeom prst="chevron">
          <a:avLst/>
        </a:prstGeom>
        <a:solidFill>
          <a:schemeClr val="accent4">
            <a:tint val="40000"/>
            <a:alpha val="90000"/>
            <a:hueOff val="-1709808"/>
            <a:satOff val="9601"/>
            <a:lumOff val="610"/>
            <a:alphaOff val="0"/>
          </a:schemeClr>
        </a:solidFill>
        <a:ln w="25400" cap="flat" cmpd="sng" algn="ctr">
          <a:solidFill>
            <a:schemeClr val="accent4">
              <a:tint val="40000"/>
              <a:alpha val="90000"/>
              <a:hueOff val="-1709808"/>
              <a:satOff val="9601"/>
              <a:lumOff val="61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Human factors embedded</a:t>
          </a:r>
        </a:p>
      </dsp:txBody>
      <dsp:txXfrm>
        <a:off x="2989906" y="3016367"/>
        <a:ext cx="806750" cy="537833"/>
      </dsp:txXfrm>
    </dsp:sp>
    <dsp:sp modelId="{8C7EC6D9-417F-DA49-B2AE-263DCAF2DCA1}">
      <dsp:nvSpPr>
        <dsp:cNvPr id="0" name=""/>
        <dsp:cNvSpPr/>
      </dsp:nvSpPr>
      <dsp:spPr>
        <a:xfrm>
          <a:off x="3877331" y="3016367"/>
          <a:ext cx="1344583" cy="537833"/>
        </a:xfrm>
        <a:prstGeom prst="chevron">
          <a:avLst/>
        </a:prstGeom>
        <a:solidFill>
          <a:schemeClr val="accent4">
            <a:tint val="40000"/>
            <a:alpha val="90000"/>
            <a:hueOff val="-1841331"/>
            <a:satOff val="10340"/>
            <a:lumOff val="657"/>
            <a:alphaOff val="0"/>
          </a:schemeClr>
        </a:solidFill>
        <a:ln w="25400" cap="flat" cmpd="sng" algn="ctr">
          <a:solidFill>
            <a:schemeClr val="accent4">
              <a:tint val="40000"/>
              <a:alpha val="90000"/>
              <a:hueOff val="-1841331"/>
              <a:satOff val="10340"/>
              <a:lumOff val="65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Patient safety embedded</a:t>
          </a:r>
        </a:p>
      </dsp:txBody>
      <dsp:txXfrm>
        <a:off x="4146248" y="3016367"/>
        <a:ext cx="806750" cy="537833"/>
      </dsp:txXfrm>
    </dsp:sp>
    <dsp:sp modelId="{C84938F2-6E2C-5843-8BF8-551DD9167581}">
      <dsp:nvSpPr>
        <dsp:cNvPr id="0" name=""/>
        <dsp:cNvSpPr/>
      </dsp:nvSpPr>
      <dsp:spPr>
        <a:xfrm>
          <a:off x="155264" y="3699998"/>
          <a:ext cx="1619980" cy="647992"/>
        </a:xfrm>
        <a:prstGeom prst="chevron">
          <a:avLst/>
        </a:prstGeom>
        <a:solidFill>
          <a:schemeClr val="accent4">
            <a:hueOff val="-2232385"/>
            <a:satOff val="13449"/>
            <a:lumOff val="107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6</a:t>
          </a:r>
        </a:p>
      </dsp:txBody>
      <dsp:txXfrm>
        <a:off x="479260" y="3699998"/>
        <a:ext cx="971988" cy="647992"/>
      </dsp:txXfrm>
    </dsp:sp>
    <dsp:sp modelId="{A1BF5DB3-13AB-8F4F-98A6-FC78A911453C}">
      <dsp:nvSpPr>
        <dsp:cNvPr id="0" name=""/>
        <dsp:cNvSpPr/>
      </dsp:nvSpPr>
      <dsp:spPr>
        <a:xfrm>
          <a:off x="1564647" y="3755078"/>
          <a:ext cx="1344583" cy="537833"/>
        </a:xfrm>
        <a:prstGeom prst="chevron">
          <a:avLst/>
        </a:prstGeom>
        <a:solidFill>
          <a:schemeClr val="accent4">
            <a:tint val="40000"/>
            <a:alpha val="90000"/>
            <a:hueOff val="-1972855"/>
            <a:satOff val="11079"/>
            <a:lumOff val="704"/>
            <a:alphaOff val="0"/>
          </a:schemeClr>
        </a:solidFill>
        <a:ln w="25400" cap="flat" cmpd="sng" algn="ctr">
          <a:solidFill>
            <a:schemeClr val="accent4">
              <a:tint val="40000"/>
              <a:alpha val="90000"/>
              <a:hueOff val="-1972855"/>
              <a:satOff val="11079"/>
              <a:lumOff val="70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Scenario design</a:t>
          </a:r>
        </a:p>
      </dsp:txBody>
      <dsp:txXfrm>
        <a:off x="1833564" y="3755078"/>
        <a:ext cx="806750" cy="537833"/>
      </dsp:txXfrm>
    </dsp:sp>
    <dsp:sp modelId="{87EDA16B-184D-E54E-8AD5-F9C78C7C6640}">
      <dsp:nvSpPr>
        <dsp:cNvPr id="0" name=""/>
        <dsp:cNvSpPr/>
      </dsp:nvSpPr>
      <dsp:spPr>
        <a:xfrm>
          <a:off x="2720989" y="3755078"/>
          <a:ext cx="1344583" cy="537833"/>
        </a:xfrm>
        <a:prstGeom prst="chevron">
          <a:avLst/>
        </a:prstGeom>
        <a:solidFill>
          <a:schemeClr val="accent4">
            <a:tint val="40000"/>
            <a:alpha val="90000"/>
            <a:hueOff val="-2104379"/>
            <a:satOff val="11817"/>
            <a:lumOff val="751"/>
            <a:alphaOff val="0"/>
          </a:schemeClr>
        </a:solidFill>
        <a:ln w="25400" cap="flat" cmpd="sng" algn="ctr">
          <a:solidFill>
            <a:schemeClr val="accent4">
              <a:tint val="40000"/>
              <a:alpha val="90000"/>
              <a:hueOff val="-2104379"/>
              <a:satOff val="11817"/>
              <a:lumOff val="75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Fidelity, pressure, context, skills</a:t>
          </a:r>
        </a:p>
      </dsp:txBody>
      <dsp:txXfrm>
        <a:off x="2989906" y="3755078"/>
        <a:ext cx="806750" cy="537833"/>
      </dsp:txXfrm>
    </dsp:sp>
    <dsp:sp modelId="{AF60090A-316E-BA40-828C-98E4263548D3}">
      <dsp:nvSpPr>
        <dsp:cNvPr id="0" name=""/>
        <dsp:cNvSpPr/>
      </dsp:nvSpPr>
      <dsp:spPr>
        <a:xfrm>
          <a:off x="3877331" y="3755078"/>
          <a:ext cx="1344583" cy="537833"/>
        </a:xfrm>
        <a:prstGeom prst="chevron">
          <a:avLst/>
        </a:prstGeom>
        <a:solidFill>
          <a:schemeClr val="accent4">
            <a:tint val="40000"/>
            <a:alpha val="90000"/>
            <a:hueOff val="-2235902"/>
            <a:satOff val="12556"/>
            <a:lumOff val="798"/>
            <a:alphaOff val="0"/>
          </a:schemeClr>
        </a:solidFill>
        <a:ln w="25400" cap="flat" cmpd="sng" algn="ctr">
          <a:solidFill>
            <a:schemeClr val="accent4">
              <a:tint val="40000"/>
              <a:alpha val="90000"/>
              <a:hueOff val="-2235902"/>
              <a:satOff val="12556"/>
              <a:lumOff val="79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Team</a:t>
          </a:r>
        </a:p>
      </dsp:txBody>
      <dsp:txXfrm>
        <a:off x="4146248" y="3755078"/>
        <a:ext cx="806750" cy="537833"/>
      </dsp:txXfrm>
    </dsp:sp>
    <dsp:sp modelId="{AAFC746C-6BBB-444E-9D31-D1DE0E84A738}">
      <dsp:nvSpPr>
        <dsp:cNvPr id="0" name=""/>
        <dsp:cNvSpPr/>
      </dsp:nvSpPr>
      <dsp:spPr>
        <a:xfrm>
          <a:off x="155264" y="4438710"/>
          <a:ext cx="1619980" cy="647992"/>
        </a:xfrm>
        <a:prstGeom prst="chevron">
          <a:avLst/>
        </a:prstGeom>
        <a:solidFill>
          <a:schemeClr val="accent4">
            <a:hueOff val="-2678862"/>
            <a:satOff val="16139"/>
            <a:lumOff val="129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7</a:t>
          </a:r>
        </a:p>
      </dsp:txBody>
      <dsp:txXfrm>
        <a:off x="479260" y="4438710"/>
        <a:ext cx="971988" cy="647992"/>
      </dsp:txXfrm>
    </dsp:sp>
    <dsp:sp modelId="{E44DD6E1-DEB3-1243-BF27-6CADD03DF2D4}">
      <dsp:nvSpPr>
        <dsp:cNvPr id="0" name=""/>
        <dsp:cNvSpPr/>
      </dsp:nvSpPr>
      <dsp:spPr>
        <a:xfrm>
          <a:off x="1564647" y="4493789"/>
          <a:ext cx="1344583" cy="537833"/>
        </a:xfrm>
        <a:prstGeom prst="chevron">
          <a:avLst/>
        </a:prstGeom>
        <a:solidFill>
          <a:schemeClr val="accent4">
            <a:tint val="40000"/>
            <a:alpha val="90000"/>
            <a:hueOff val="-2367426"/>
            <a:satOff val="13294"/>
            <a:lumOff val="845"/>
            <a:alphaOff val="0"/>
          </a:schemeClr>
        </a:solidFill>
        <a:ln w="25400" cap="flat" cmpd="sng" algn="ctr">
          <a:solidFill>
            <a:schemeClr val="accent4">
              <a:tint val="40000"/>
              <a:alpha val="90000"/>
              <a:hueOff val="-2367426"/>
              <a:satOff val="13294"/>
              <a:lumOff val="8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Pilot scenario</a:t>
          </a:r>
        </a:p>
      </dsp:txBody>
      <dsp:txXfrm>
        <a:off x="1833564" y="4493789"/>
        <a:ext cx="806750" cy="537833"/>
      </dsp:txXfrm>
    </dsp:sp>
    <dsp:sp modelId="{7E2C55D3-6908-4241-BE29-86CCCD38ECD2}">
      <dsp:nvSpPr>
        <dsp:cNvPr id="0" name=""/>
        <dsp:cNvSpPr/>
      </dsp:nvSpPr>
      <dsp:spPr>
        <a:xfrm>
          <a:off x="2720989" y="4493789"/>
          <a:ext cx="1344583" cy="537833"/>
        </a:xfrm>
        <a:prstGeom prst="chevron">
          <a:avLst/>
        </a:prstGeom>
        <a:solidFill>
          <a:schemeClr val="accent4">
            <a:tint val="40000"/>
            <a:alpha val="90000"/>
            <a:hueOff val="-2498949"/>
            <a:satOff val="14033"/>
            <a:lumOff val="892"/>
            <a:alphaOff val="0"/>
          </a:schemeClr>
        </a:solidFill>
        <a:ln w="25400" cap="flat" cmpd="sng" algn="ctr">
          <a:solidFill>
            <a:schemeClr val="accent4">
              <a:tint val="40000"/>
              <a:alpha val="90000"/>
              <a:hueOff val="-2498949"/>
              <a:satOff val="14033"/>
              <a:lumOff val="89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Evaluate scenario - candidate and faculty</a:t>
          </a:r>
        </a:p>
      </dsp:txBody>
      <dsp:txXfrm>
        <a:off x="2989906" y="4493789"/>
        <a:ext cx="806750" cy="537833"/>
      </dsp:txXfrm>
    </dsp:sp>
    <dsp:sp modelId="{0B41F5C7-FAA5-8D42-A816-F05855A10C95}">
      <dsp:nvSpPr>
        <dsp:cNvPr id="0" name=""/>
        <dsp:cNvSpPr/>
      </dsp:nvSpPr>
      <dsp:spPr>
        <a:xfrm>
          <a:off x="3877331" y="4493789"/>
          <a:ext cx="1344583" cy="537833"/>
        </a:xfrm>
        <a:prstGeom prst="chevron">
          <a:avLst/>
        </a:prstGeom>
        <a:solidFill>
          <a:schemeClr val="accent4">
            <a:tint val="40000"/>
            <a:alpha val="90000"/>
            <a:hueOff val="-2630473"/>
            <a:satOff val="14771"/>
            <a:lumOff val="939"/>
            <a:alphaOff val="0"/>
          </a:schemeClr>
        </a:solidFill>
        <a:ln w="25400" cap="flat" cmpd="sng" algn="ctr">
          <a:solidFill>
            <a:schemeClr val="accent4">
              <a:tint val="40000"/>
              <a:alpha val="90000"/>
              <a:hueOff val="-2630473"/>
              <a:satOff val="14771"/>
              <a:lumOff val="93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Consider research opportunities</a:t>
          </a:r>
        </a:p>
      </dsp:txBody>
      <dsp:txXfrm>
        <a:off x="4146248" y="4493789"/>
        <a:ext cx="806750" cy="537833"/>
      </dsp:txXfrm>
    </dsp:sp>
    <dsp:sp modelId="{E7303F09-638B-3243-B942-29B5318BF529}">
      <dsp:nvSpPr>
        <dsp:cNvPr id="0" name=""/>
        <dsp:cNvSpPr/>
      </dsp:nvSpPr>
      <dsp:spPr>
        <a:xfrm>
          <a:off x="155264" y="5177421"/>
          <a:ext cx="1619980" cy="647992"/>
        </a:xfrm>
        <a:prstGeom prst="chevron">
          <a:avLst/>
        </a:prstGeom>
        <a:solidFill>
          <a:schemeClr val="accent4">
            <a:hueOff val="-3125339"/>
            <a:satOff val="18829"/>
            <a:lumOff val="150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8</a:t>
          </a:r>
        </a:p>
      </dsp:txBody>
      <dsp:txXfrm>
        <a:off x="479260" y="5177421"/>
        <a:ext cx="971988" cy="647992"/>
      </dsp:txXfrm>
    </dsp:sp>
    <dsp:sp modelId="{E6575037-4227-C64C-9EC8-9B10CBFEE9E9}">
      <dsp:nvSpPr>
        <dsp:cNvPr id="0" name=""/>
        <dsp:cNvSpPr/>
      </dsp:nvSpPr>
      <dsp:spPr>
        <a:xfrm>
          <a:off x="1564647" y="5232500"/>
          <a:ext cx="1344583" cy="537833"/>
        </a:xfrm>
        <a:prstGeom prst="chevron">
          <a:avLst/>
        </a:prstGeom>
        <a:solidFill>
          <a:schemeClr val="accent4">
            <a:tint val="40000"/>
            <a:alpha val="90000"/>
            <a:hueOff val="-2761997"/>
            <a:satOff val="15510"/>
            <a:lumOff val="986"/>
            <a:alphaOff val="0"/>
          </a:schemeClr>
        </a:solidFill>
        <a:ln w="25400" cap="flat" cmpd="sng" algn="ctr">
          <a:solidFill>
            <a:schemeClr val="accent4">
              <a:tint val="40000"/>
              <a:alpha val="90000"/>
              <a:hueOff val="-2761997"/>
              <a:satOff val="15510"/>
              <a:lumOff val="98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The final scenario</a:t>
          </a:r>
        </a:p>
      </dsp:txBody>
      <dsp:txXfrm>
        <a:off x="1833564" y="5232500"/>
        <a:ext cx="806750" cy="537833"/>
      </dsp:txXfrm>
    </dsp:sp>
    <dsp:sp modelId="{3A8DD49A-1A07-9F4B-990B-9780379D93CF}">
      <dsp:nvSpPr>
        <dsp:cNvPr id="0" name=""/>
        <dsp:cNvSpPr/>
      </dsp:nvSpPr>
      <dsp:spPr>
        <a:xfrm>
          <a:off x="2720989" y="5232500"/>
          <a:ext cx="1344583" cy="537833"/>
        </a:xfrm>
        <a:prstGeom prst="chevron">
          <a:avLst/>
        </a:prstGeom>
        <a:solidFill>
          <a:schemeClr val="accent4">
            <a:tint val="40000"/>
            <a:alpha val="90000"/>
            <a:hueOff val="-2893520"/>
            <a:satOff val="16248"/>
            <a:lumOff val="1033"/>
            <a:alphaOff val="0"/>
          </a:schemeClr>
        </a:solidFill>
        <a:ln w="25400" cap="flat" cmpd="sng" algn="ctr">
          <a:solidFill>
            <a:schemeClr val="accent4">
              <a:tint val="40000"/>
              <a:alpha val="90000"/>
              <a:hueOff val="-2893520"/>
              <a:satOff val="16248"/>
              <a:lumOff val="103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Evaluate - subjective and objective</a:t>
          </a:r>
        </a:p>
      </dsp:txBody>
      <dsp:txXfrm>
        <a:off x="2989906" y="5232500"/>
        <a:ext cx="806750" cy="537833"/>
      </dsp:txXfrm>
    </dsp:sp>
    <dsp:sp modelId="{C59D5E90-9B29-1B4A-8F81-669429DBB2B2}">
      <dsp:nvSpPr>
        <dsp:cNvPr id="0" name=""/>
        <dsp:cNvSpPr/>
      </dsp:nvSpPr>
      <dsp:spPr>
        <a:xfrm>
          <a:off x="155264" y="5916132"/>
          <a:ext cx="1619980" cy="647992"/>
        </a:xfrm>
        <a:prstGeom prst="chevron">
          <a:avLst/>
        </a:prstGeom>
        <a:solidFill>
          <a:schemeClr val="accent4">
            <a:hueOff val="-3571816"/>
            <a:satOff val="21519"/>
            <a:lumOff val="172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9</a:t>
          </a:r>
        </a:p>
      </dsp:txBody>
      <dsp:txXfrm>
        <a:off x="479260" y="5916132"/>
        <a:ext cx="971988" cy="647992"/>
      </dsp:txXfrm>
    </dsp:sp>
    <dsp:sp modelId="{C8047EF9-F98E-9C4D-965C-D2B81F430118}">
      <dsp:nvSpPr>
        <dsp:cNvPr id="0" name=""/>
        <dsp:cNvSpPr/>
      </dsp:nvSpPr>
      <dsp:spPr>
        <a:xfrm>
          <a:off x="1564647" y="5971211"/>
          <a:ext cx="1344583" cy="537833"/>
        </a:xfrm>
        <a:prstGeom prst="chevron">
          <a:avLst/>
        </a:prstGeom>
        <a:solidFill>
          <a:schemeClr val="accent4">
            <a:tint val="40000"/>
            <a:alpha val="90000"/>
            <a:hueOff val="-3025044"/>
            <a:satOff val="16987"/>
            <a:lumOff val="1079"/>
            <a:alphaOff val="0"/>
          </a:schemeClr>
        </a:solidFill>
        <a:ln w="25400" cap="flat" cmpd="sng" algn="ctr">
          <a:solidFill>
            <a:schemeClr val="accent4">
              <a:tint val="40000"/>
              <a:alpha val="90000"/>
              <a:hueOff val="-3025044"/>
              <a:satOff val="16987"/>
              <a:lumOff val="107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The debrief method</a:t>
          </a:r>
        </a:p>
      </dsp:txBody>
      <dsp:txXfrm>
        <a:off x="1833564" y="5971211"/>
        <a:ext cx="806750" cy="537833"/>
      </dsp:txXfrm>
    </dsp:sp>
    <dsp:sp modelId="{4254FA65-88CA-904F-9F28-07D4BD79DCF3}">
      <dsp:nvSpPr>
        <dsp:cNvPr id="0" name=""/>
        <dsp:cNvSpPr/>
      </dsp:nvSpPr>
      <dsp:spPr>
        <a:xfrm>
          <a:off x="2720989" y="5971211"/>
          <a:ext cx="1344583" cy="537833"/>
        </a:xfrm>
        <a:prstGeom prst="chevron">
          <a:avLst/>
        </a:prstGeom>
        <a:solidFill>
          <a:schemeClr val="accent4">
            <a:tint val="40000"/>
            <a:alpha val="90000"/>
            <a:hueOff val="-3156568"/>
            <a:satOff val="17726"/>
            <a:lumOff val="1126"/>
            <a:alphaOff val="0"/>
          </a:schemeClr>
        </a:solidFill>
        <a:ln w="25400" cap="flat" cmpd="sng" algn="ctr">
          <a:solidFill>
            <a:schemeClr val="accent4">
              <a:tint val="40000"/>
              <a:alpha val="90000"/>
              <a:hueOff val="-3156568"/>
              <a:satOff val="17726"/>
              <a:lumOff val="112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Structure, use of model, use of video</a:t>
          </a:r>
        </a:p>
      </dsp:txBody>
      <dsp:txXfrm>
        <a:off x="2989906" y="5971211"/>
        <a:ext cx="806750" cy="537833"/>
      </dsp:txXfrm>
    </dsp:sp>
    <dsp:sp modelId="{16E83BA5-2261-D04F-9CF4-5C15B39EBEBE}">
      <dsp:nvSpPr>
        <dsp:cNvPr id="0" name=""/>
        <dsp:cNvSpPr/>
      </dsp:nvSpPr>
      <dsp:spPr>
        <a:xfrm>
          <a:off x="3877331" y="5971211"/>
          <a:ext cx="1344583" cy="537833"/>
        </a:xfrm>
        <a:prstGeom prst="chevron">
          <a:avLst/>
        </a:prstGeom>
        <a:solidFill>
          <a:schemeClr val="accent4">
            <a:tint val="40000"/>
            <a:alpha val="90000"/>
            <a:hueOff val="-3288091"/>
            <a:satOff val="18464"/>
            <a:lumOff val="1173"/>
            <a:alphaOff val="0"/>
          </a:schemeClr>
        </a:solidFill>
        <a:ln w="25400" cap="flat" cmpd="sng" algn="ctr">
          <a:solidFill>
            <a:schemeClr val="accent4">
              <a:tint val="40000"/>
              <a:alpha val="90000"/>
              <a:hueOff val="-3288091"/>
              <a:satOff val="18464"/>
              <a:lumOff val="117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Evaluate - subjective &amp; objective</a:t>
          </a:r>
        </a:p>
      </dsp:txBody>
      <dsp:txXfrm>
        <a:off x="4146248" y="5971211"/>
        <a:ext cx="806750" cy="537833"/>
      </dsp:txXfrm>
    </dsp:sp>
    <dsp:sp modelId="{34F40C67-39A7-6D4F-A6A9-B8C677A56906}">
      <dsp:nvSpPr>
        <dsp:cNvPr id="0" name=""/>
        <dsp:cNvSpPr/>
      </dsp:nvSpPr>
      <dsp:spPr>
        <a:xfrm>
          <a:off x="155264" y="6654843"/>
          <a:ext cx="1619980" cy="647992"/>
        </a:xfrm>
        <a:prstGeom prst="chevron">
          <a:avLst/>
        </a:prstGeom>
        <a:solidFill>
          <a:schemeClr val="accent4">
            <a:hueOff val="-4018293"/>
            <a:satOff val="24209"/>
            <a:lumOff val="194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10</a:t>
          </a:r>
        </a:p>
      </dsp:txBody>
      <dsp:txXfrm>
        <a:off x="479260" y="6654843"/>
        <a:ext cx="971988" cy="647992"/>
      </dsp:txXfrm>
    </dsp:sp>
    <dsp:sp modelId="{F5B1899E-F2DD-7A4E-81DA-ADED7C510217}">
      <dsp:nvSpPr>
        <dsp:cNvPr id="0" name=""/>
        <dsp:cNvSpPr/>
      </dsp:nvSpPr>
      <dsp:spPr>
        <a:xfrm>
          <a:off x="1564647" y="6709922"/>
          <a:ext cx="1344583" cy="537833"/>
        </a:xfrm>
        <a:prstGeom prst="chevron">
          <a:avLst/>
        </a:prstGeom>
        <a:solidFill>
          <a:schemeClr val="accent4">
            <a:tint val="40000"/>
            <a:alpha val="90000"/>
            <a:hueOff val="-3419615"/>
            <a:satOff val="19203"/>
            <a:lumOff val="1220"/>
            <a:alphaOff val="0"/>
          </a:schemeClr>
        </a:solidFill>
        <a:ln w="25400" cap="flat" cmpd="sng" algn="ctr">
          <a:solidFill>
            <a:schemeClr val="accent4">
              <a:tint val="40000"/>
              <a:alpha val="90000"/>
              <a:hueOff val="-3419615"/>
              <a:satOff val="19203"/>
              <a:lumOff val="122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Use in assessment</a:t>
          </a:r>
        </a:p>
      </dsp:txBody>
      <dsp:txXfrm>
        <a:off x="1833564" y="6709922"/>
        <a:ext cx="806750" cy="537833"/>
      </dsp:txXfrm>
    </dsp:sp>
    <dsp:sp modelId="{3A123D44-2A78-E94C-A8B4-AE7819169CD7}">
      <dsp:nvSpPr>
        <dsp:cNvPr id="0" name=""/>
        <dsp:cNvSpPr/>
      </dsp:nvSpPr>
      <dsp:spPr>
        <a:xfrm>
          <a:off x="2720989" y="6709922"/>
          <a:ext cx="1344583" cy="537833"/>
        </a:xfrm>
        <a:prstGeom prst="chevron">
          <a:avLst/>
        </a:prstGeom>
        <a:solidFill>
          <a:schemeClr val="accent4">
            <a:tint val="40000"/>
            <a:alpha val="90000"/>
            <a:hueOff val="-3551139"/>
            <a:satOff val="19941"/>
            <a:lumOff val="1267"/>
            <a:alphaOff val="0"/>
          </a:schemeClr>
        </a:solidFill>
        <a:ln w="25400" cap="flat" cmpd="sng" algn="ctr">
          <a:solidFill>
            <a:schemeClr val="accent4">
              <a:tint val="40000"/>
              <a:alpha val="90000"/>
              <a:hueOff val="-3551139"/>
              <a:satOff val="19941"/>
              <a:lumOff val="126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Formative vs summative</a:t>
          </a:r>
        </a:p>
      </dsp:txBody>
      <dsp:txXfrm>
        <a:off x="2989906" y="6709922"/>
        <a:ext cx="806750" cy="537833"/>
      </dsp:txXfrm>
    </dsp:sp>
    <dsp:sp modelId="{5A1979BB-E0EC-404A-8555-A7F1EF5F8421}">
      <dsp:nvSpPr>
        <dsp:cNvPr id="0" name=""/>
        <dsp:cNvSpPr/>
      </dsp:nvSpPr>
      <dsp:spPr>
        <a:xfrm>
          <a:off x="3877331" y="6709922"/>
          <a:ext cx="1344583" cy="537833"/>
        </a:xfrm>
        <a:prstGeom prst="chevron">
          <a:avLst/>
        </a:prstGeom>
        <a:solidFill>
          <a:schemeClr val="accent4">
            <a:tint val="40000"/>
            <a:alpha val="90000"/>
            <a:hueOff val="-3682662"/>
            <a:satOff val="20680"/>
            <a:lumOff val="1314"/>
            <a:alphaOff val="0"/>
          </a:schemeClr>
        </a:solidFill>
        <a:ln w="25400" cap="flat" cmpd="sng" algn="ctr">
          <a:solidFill>
            <a:schemeClr val="accent4">
              <a:tint val="40000"/>
              <a:alpha val="90000"/>
              <a:hueOff val="-3682662"/>
              <a:satOff val="20680"/>
              <a:lumOff val="13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Standardisation &amp; Validation</a:t>
          </a:r>
        </a:p>
      </dsp:txBody>
      <dsp:txXfrm>
        <a:off x="4146248" y="6709922"/>
        <a:ext cx="806750" cy="537833"/>
      </dsp:txXfrm>
    </dsp:sp>
    <dsp:sp modelId="{9769583A-23DA-0A46-89AA-7084192D4260}">
      <dsp:nvSpPr>
        <dsp:cNvPr id="0" name=""/>
        <dsp:cNvSpPr/>
      </dsp:nvSpPr>
      <dsp:spPr>
        <a:xfrm>
          <a:off x="155264" y="7393554"/>
          <a:ext cx="1619980" cy="647992"/>
        </a:xfrm>
        <a:prstGeom prst="chevron">
          <a:avLst/>
        </a:prstGeom>
        <a:solidFill>
          <a:schemeClr val="accent4">
            <a:hueOff val="-4464770"/>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9210" tIns="14605" rIns="0" bIns="14605" numCol="1" spcCol="1270" anchor="ctr" anchorCtr="0">
          <a:noAutofit/>
        </a:bodyPr>
        <a:lstStyle/>
        <a:p>
          <a:pPr marL="0" lvl="0" indent="0" algn="ctr" defTabSz="1022350">
            <a:lnSpc>
              <a:spcPct val="90000"/>
            </a:lnSpc>
            <a:spcBef>
              <a:spcPct val="0"/>
            </a:spcBef>
            <a:spcAft>
              <a:spcPct val="35000"/>
            </a:spcAft>
            <a:buNone/>
          </a:pPr>
          <a:r>
            <a:rPr lang="en-US" sz="2300" kern="1200"/>
            <a:t>Stage 11</a:t>
          </a:r>
        </a:p>
      </dsp:txBody>
      <dsp:txXfrm>
        <a:off x="479260" y="7393554"/>
        <a:ext cx="971988" cy="647992"/>
      </dsp:txXfrm>
    </dsp:sp>
    <dsp:sp modelId="{989A4FC1-9518-BD4A-8A86-9C9659705662}">
      <dsp:nvSpPr>
        <dsp:cNvPr id="0" name=""/>
        <dsp:cNvSpPr/>
      </dsp:nvSpPr>
      <dsp:spPr>
        <a:xfrm>
          <a:off x="1564647" y="7448633"/>
          <a:ext cx="1344583" cy="537833"/>
        </a:xfrm>
        <a:prstGeom prst="chevron">
          <a:avLst/>
        </a:prstGeom>
        <a:solidFill>
          <a:schemeClr val="accent4">
            <a:tint val="40000"/>
            <a:alpha val="90000"/>
            <a:hueOff val="-3814186"/>
            <a:satOff val="21418"/>
            <a:lumOff val="1361"/>
            <a:alphaOff val="0"/>
          </a:schemeClr>
        </a:solidFill>
        <a:ln w="25400" cap="flat" cmpd="sng" algn="ctr">
          <a:solidFill>
            <a:schemeClr val="accent4">
              <a:tint val="40000"/>
              <a:alpha val="90000"/>
              <a:hueOff val="-3814186"/>
              <a:satOff val="21418"/>
              <a:lumOff val="136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Continuous evaluation of session</a:t>
          </a:r>
        </a:p>
      </dsp:txBody>
      <dsp:txXfrm>
        <a:off x="1833564" y="7448633"/>
        <a:ext cx="806750" cy="537833"/>
      </dsp:txXfrm>
    </dsp:sp>
    <dsp:sp modelId="{5BE22DB9-C356-AA4C-80C7-A2D4AAC69286}">
      <dsp:nvSpPr>
        <dsp:cNvPr id="0" name=""/>
        <dsp:cNvSpPr/>
      </dsp:nvSpPr>
      <dsp:spPr>
        <a:xfrm>
          <a:off x="2720989" y="7448633"/>
          <a:ext cx="1344583" cy="537833"/>
        </a:xfrm>
        <a:prstGeom prst="chevron">
          <a:avLst/>
        </a:prstGeom>
        <a:solidFill>
          <a:schemeClr val="accent4">
            <a:tint val="40000"/>
            <a:alpha val="90000"/>
            <a:hueOff val="-3945710"/>
            <a:satOff val="22157"/>
            <a:lumOff val="1408"/>
            <a:alphaOff val="0"/>
          </a:schemeClr>
        </a:solidFill>
        <a:ln w="25400" cap="flat" cmpd="sng" algn="ctr">
          <a:solidFill>
            <a:schemeClr val="accent4">
              <a:tint val="40000"/>
              <a:alpha val="90000"/>
              <a:hueOff val="-3945710"/>
              <a:satOff val="22157"/>
              <a:lumOff val="140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n-US" sz="800" kern="1200"/>
            <a:t>Revisit research opportunites</a:t>
          </a:r>
        </a:p>
      </dsp:txBody>
      <dsp:txXfrm>
        <a:off x="2989906" y="7448633"/>
        <a:ext cx="806750" cy="537833"/>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5A0C74-F675-B04E-AF2D-32B2F56D8DF1}">
      <dsp:nvSpPr>
        <dsp:cNvPr id="0" name=""/>
        <dsp:cNvSpPr/>
      </dsp:nvSpPr>
      <dsp:spPr>
        <a:xfrm rot="5400000">
          <a:off x="-145332" y="179643"/>
          <a:ext cx="968882" cy="678217"/>
        </a:xfrm>
        <a:prstGeom prst="chevron">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Briefing for faculty and actors</a:t>
          </a:r>
        </a:p>
      </dsp:txBody>
      <dsp:txXfrm rot="-5400000">
        <a:off x="1" y="373420"/>
        <a:ext cx="678217" cy="290665"/>
      </dsp:txXfrm>
    </dsp:sp>
    <dsp:sp modelId="{56DAABA8-E087-AA49-B12E-9F9403F2D5DE}">
      <dsp:nvSpPr>
        <dsp:cNvPr id="0" name=""/>
        <dsp:cNvSpPr/>
      </dsp:nvSpPr>
      <dsp:spPr>
        <a:xfrm rot="5400000">
          <a:off x="2636781" y="-1943132"/>
          <a:ext cx="667534" cy="4584662"/>
        </a:xfrm>
        <a:prstGeom prst="round2Same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t>Expectations - take seriously - fidelity, confidentiality</a:t>
          </a:r>
        </a:p>
        <a:p>
          <a:pPr marL="57150" lvl="1" indent="-57150" algn="l" defTabSz="266700">
            <a:lnSpc>
              <a:spcPct val="90000"/>
            </a:lnSpc>
            <a:spcBef>
              <a:spcPct val="0"/>
            </a:spcBef>
            <a:spcAft>
              <a:spcPct val="15000"/>
            </a:spcAft>
            <a:buChar char="•"/>
          </a:pPr>
          <a:r>
            <a:rPr lang="en-US" sz="600" kern="1200"/>
            <a:t>Timings</a:t>
          </a:r>
        </a:p>
        <a:p>
          <a:pPr marL="57150" lvl="1" indent="-57150" algn="l" defTabSz="266700">
            <a:lnSpc>
              <a:spcPct val="90000"/>
            </a:lnSpc>
            <a:spcBef>
              <a:spcPct val="0"/>
            </a:spcBef>
            <a:spcAft>
              <a:spcPct val="15000"/>
            </a:spcAft>
            <a:buChar char="•"/>
          </a:pPr>
          <a:r>
            <a:rPr lang="en-US" sz="600" kern="1200"/>
            <a:t>Confirm level of pressure</a:t>
          </a:r>
        </a:p>
        <a:p>
          <a:pPr marL="57150" lvl="1" indent="-57150" algn="l" defTabSz="266700">
            <a:lnSpc>
              <a:spcPct val="90000"/>
            </a:lnSpc>
            <a:spcBef>
              <a:spcPct val="0"/>
            </a:spcBef>
            <a:spcAft>
              <a:spcPct val="15000"/>
            </a:spcAft>
            <a:buChar char="•"/>
          </a:pPr>
          <a:r>
            <a:rPr lang="en-US" sz="600" kern="1200"/>
            <a:t>Confirm interventions in time of poor progression</a:t>
          </a:r>
        </a:p>
        <a:p>
          <a:pPr marL="57150" lvl="1" indent="-57150" algn="l" defTabSz="266700">
            <a:lnSpc>
              <a:spcPct val="90000"/>
            </a:lnSpc>
            <a:spcBef>
              <a:spcPct val="0"/>
            </a:spcBef>
            <a:spcAft>
              <a:spcPct val="15000"/>
            </a:spcAft>
            <a:buChar char="•"/>
          </a:pPr>
          <a:r>
            <a:rPr lang="en-US" sz="600" kern="1200"/>
            <a:t>Confirm planned close to scenario</a:t>
          </a:r>
        </a:p>
        <a:p>
          <a:pPr marL="57150" lvl="1" indent="-57150" algn="l" defTabSz="266700">
            <a:lnSpc>
              <a:spcPct val="90000"/>
            </a:lnSpc>
            <a:spcBef>
              <a:spcPct val="0"/>
            </a:spcBef>
            <a:spcAft>
              <a:spcPct val="15000"/>
            </a:spcAft>
            <a:buChar char="•"/>
          </a:pPr>
          <a:r>
            <a:rPr lang="en-US" sz="600" kern="1200"/>
            <a:t>Confirm roles and responsibilities</a:t>
          </a:r>
        </a:p>
        <a:p>
          <a:pPr marL="57150" lvl="1" indent="-57150" algn="l" defTabSz="266700">
            <a:lnSpc>
              <a:spcPct val="90000"/>
            </a:lnSpc>
            <a:spcBef>
              <a:spcPct val="0"/>
            </a:spcBef>
            <a:spcAft>
              <a:spcPct val="15000"/>
            </a:spcAft>
            <a:buChar char="•"/>
          </a:pPr>
          <a:r>
            <a:rPr lang="en-US" sz="600" kern="1200"/>
            <a:t>Check kit and environment</a:t>
          </a:r>
        </a:p>
      </dsp:txBody>
      <dsp:txXfrm rot="-5400000">
        <a:off x="678217" y="48018"/>
        <a:ext cx="4552076" cy="602362"/>
      </dsp:txXfrm>
    </dsp:sp>
    <dsp:sp modelId="{5C2ACD6C-3C3C-DC49-8A74-F6E4FEB3063D}">
      <dsp:nvSpPr>
        <dsp:cNvPr id="0" name=""/>
        <dsp:cNvSpPr/>
      </dsp:nvSpPr>
      <dsp:spPr>
        <a:xfrm rot="5400000">
          <a:off x="-145332" y="1066345"/>
          <a:ext cx="968882" cy="678217"/>
        </a:xfrm>
        <a:prstGeom prst="chevron">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Introduction of session</a:t>
          </a:r>
        </a:p>
      </dsp:txBody>
      <dsp:txXfrm rot="-5400000">
        <a:off x="1" y="1260122"/>
        <a:ext cx="678217" cy="290665"/>
      </dsp:txXfrm>
    </dsp:sp>
    <dsp:sp modelId="{AABB57E1-F783-EF48-80B6-6CDEBCA5274C}">
      <dsp:nvSpPr>
        <dsp:cNvPr id="0" name=""/>
        <dsp:cNvSpPr/>
      </dsp:nvSpPr>
      <dsp:spPr>
        <a:xfrm rot="5400000">
          <a:off x="2655662" y="-1056431"/>
          <a:ext cx="629773" cy="4584662"/>
        </a:xfrm>
        <a:prstGeom prst="round2Same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t>Learner contract / fiction contract - psychological fidelity</a:t>
          </a:r>
        </a:p>
        <a:p>
          <a:pPr marL="57150" lvl="1" indent="-57150" algn="l" defTabSz="266700">
            <a:lnSpc>
              <a:spcPct val="90000"/>
            </a:lnSpc>
            <a:spcBef>
              <a:spcPct val="0"/>
            </a:spcBef>
            <a:spcAft>
              <a:spcPct val="15000"/>
            </a:spcAft>
            <a:buChar char="•"/>
          </a:pPr>
          <a:r>
            <a:rPr lang="en-US" sz="600" kern="1200"/>
            <a:t>Share expectations - faculty and learners</a:t>
          </a:r>
        </a:p>
        <a:p>
          <a:pPr marL="57150" lvl="1" indent="-57150" algn="l" defTabSz="266700">
            <a:lnSpc>
              <a:spcPct val="90000"/>
            </a:lnSpc>
            <a:spcBef>
              <a:spcPct val="0"/>
            </a:spcBef>
            <a:spcAft>
              <a:spcPct val="15000"/>
            </a:spcAft>
            <a:buChar char="•"/>
          </a:pPr>
          <a:r>
            <a:rPr lang="en-US" sz="600" kern="1200"/>
            <a:t>Ground rules - duty to report concerning behaviour/ briefing</a:t>
          </a:r>
        </a:p>
        <a:p>
          <a:pPr marL="57150" lvl="1" indent="-57150" algn="l" defTabSz="266700">
            <a:lnSpc>
              <a:spcPct val="90000"/>
            </a:lnSpc>
            <a:spcBef>
              <a:spcPct val="0"/>
            </a:spcBef>
            <a:spcAft>
              <a:spcPct val="15000"/>
            </a:spcAft>
            <a:buChar char="•"/>
          </a:pPr>
          <a:r>
            <a:rPr lang="en-US" sz="600" kern="1200"/>
            <a:t>Mannequin familiarisation - limitations, normal findings</a:t>
          </a:r>
        </a:p>
        <a:p>
          <a:pPr marL="57150" lvl="1" indent="-57150" algn="l" defTabSz="266700">
            <a:lnSpc>
              <a:spcPct val="90000"/>
            </a:lnSpc>
            <a:spcBef>
              <a:spcPct val="0"/>
            </a:spcBef>
            <a:spcAft>
              <a:spcPct val="15000"/>
            </a:spcAft>
            <a:buChar char="•"/>
          </a:pPr>
          <a:r>
            <a:rPr lang="en-US" sz="600" kern="1200"/>
            <a:t>Environment familiarisation - includes team</a:t>
          </a:r>
        </a:p>
        <a:p>
          <a:pPr marL="57150" lvl="1" indent="-57150" algn="l" defTabSz="266700">
            <a:lnSpc>
              <a:spcPct val="90000"/>
            </a:lnSpc>
            <a:spcBef>
              <a:spcPct val="0"/>
            </a:spcBef>
            <a:spcAft>
              <a:spcPct val="15000"/>
            </a:spcAft>
            <a:buChar char="•"/>
          </a:pPr>
          <a:r>
            <a:rPr lang="en-US" sz="600" kern="1200"/>
            <a:t>At least 10 minutes</a:t>
          </a:r>
        </a:p>
      </dsp:txBody>
      <dsp:txXfrm rot="-5400000">
        <a:off x="678218" y="951756"/>
        <a:ext cx="4553919" cy="568287"/>
      </dsp:txXfrm>
    </dsp:sp>
    <dsp:sp modelId="{246CA9D3-5E69-B14C-B132-B87DE6929089}">
      <dsp:nvSpPr>
        <dsp:cNvPr id="0" name=""/>
        <dsp:cNvSpPr/>
      </dsp:nvSpPr>
      <dsp:spPr>
        <a:xfrm rot="5400000">
          <a:off x="-145332" y="1953046"/>
          <a:ext cx="968882" cy="678217"/>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Detail learning outcomes </a:t>
          </a:r>
        </a:p>
      </dsp:txBody>
      <dsp:txXfrm rot="-5400000">
        <a:off x="1" y="2146823"/>
        <a:ext cx="678217" cy="290665"/>
      </dsp:txXfrm>
    </dsp:sp>
    <dsp:sp modelId="{B59681DB-E2B4-1742-BED4-3722D9A6E68F}">
      <dsp:nvSpPr>
        <dsp:cNvPr id="0" name=""/>
        <dsp:cNvSpPr/>
      </dsp:nvSpPr>
      <dsp:spPr>
        <a:xfrm rot="5400000">
          <a:off x="2655662" y="-169730"/>
          <a:ext cx="629773" cy="4584662"/>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t>Negotiate with learners</a:t>
          </a:r>
        </a:p>
        <a:p>
          <a:pPr marL="57150" lvl="1" indent="-57150" algn="l" defTabSz="266700">
            <a:lnSpc>
              <a:spcPct val="90000"/>
            </a:lnSpc>
            <a:spcBef>
              <a:spcPct val="0"/>
            </a:spcBef>
            <a:spcAft>
              <a:spcPct val="15000"/>
            </a:spcAft>
            <a:buChar char="•"/>
          </a:pPr>
          <a:r>
            <a:rPr lang="en-US" sz="600" kern="1200"/>
            <a:t>Align with learners</a:t>
          </a:r>
        </a:p>
        <a:p>
          <a:pPr marL="57150" lvl="1" indent="-57150" algn="l" defTabSz="266700">
            <a:lnSpc>
              <a:spcPct val="90000"/>
            </a:lnSpc>
            <a:spcBef>
              <a:spcPct val="0"/>
            </a:spcBef>
            <a:spcAft>
              <a:spcPct val="15000"/>
            </a:spcAft>
            <a:buChar char="•"/>
          </a:pPr>
          <a:r>
            <a:rPr lang="en-US" sz="600" kern="1200"/>
            <a:t>Be specific about what is achievable in timeframe</a:t>
          </a:r>
        </a:p>
      </dsp:txBody>
      <dsp:txXfrm rot="-5400000">
        <a:off x="678218" y="1838457"/>
        <a:ext cx="4553919" cy="568287"/>
      </dsp:txXfrm>
    </dsp:sp>
    <dsp:sp modelId="{FA288F36-ACA3-054E-B4AE-86D9565FB3BC}">
      <dsp:nvSpPr>
        <dsp:cNvPr id="0" name=""/>
        <dsp:cNvSpPr/>
      </dsp:nvSpPr>
      <dsp:spPr>
        <a:xfrm rot="5400000">
          <a:off x="-145332" y="2839747"/>
          <a:ext cx="968882" cy="678217"/>
        </a:xfrm>
        <a:prstGeom prst="chevron">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Create safe and comfortable environment</a:t>
          </a:r>
        </a:p>
      </dsp:txBody>
      <dsp:txXfrm rot="-5400000">
        <a:off x="1" y="3033524"/>
        <a:ext cx="678217" cy="290665"/>
      </dsp:txXfrm>
    </dsp:sp>
    <dsp:sp modelId="{CEDB51B8-907E-0744-B1ED-6BF9EC995E85}">
      <dsp:nvSpPr>
        <dsp:cNvPr id="0" name=""/>
        <dsp:cNvSpPr/>
      </dsp:nvSpPr>
      <dsp:spPr>
        <a:xfrm rot="5400000">
          <a:off x="2655662" y="716971"/>
          <a:ext cx="629773" cy="4584662"/>
        </a:xfrm>
        <a:prstGeom prst="round2Same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t>Detail how to call for help</a:t>
          </a:r>
        </a:p>
        <a:p>
          <a:pPr marL="57150" lvl="1" indent="-57150" algn="l" defTabSz="266700">
            <a:lnSpc>
              <a:spcPct val="90000"/>
            </a:lnSpc>
            <a:spcBef>
              <a:spcPct val="0"/>
            </a:spcBef>
            <a:spcAft>
              <a:spcPct val="15000"/>
            </a:spcAft>
            <a:buChar char="•"/>
          </a:pPr>
          <a:r>
            <a:rPr lang="en-US" sz="600" kern="1200"/>
            <a:t>Confidentiality with regards to performance</a:t>
          </a:r>
        </a:p>
        <a:p>
          <a:pPr marL="57150" lvl="1" indent="-57150" algn="l" defTabSz="266700">
            <a:lnSpc>
              <a:spcPct val="90000"/>
            </a:lnSpc>
            <a:spcBef>
              <a:spcPct val="0"/>
            </a:spcBef>
            <a:spcAft>
              <a:spcPct val="15000"/>
            </a:spcAft>
            <a:buChar char="•"/>
          </a:pPr>
          <a:r>
            <a:rPr lang="en-US" sz="600" kern="1200"/>
            <a:t>Remind if any concerning behaviour duty to discuss with supervisor</a:t>
          </a:r>
        </a:p>
        <a:p>
          <a:pPr marL="57150" lvl="1" indent="-57150" algn="l" defTabSz="266700">
            <a:lnSpc>
              <a:spcPct val="90000"/>
            </a:lnSpc>
            <a:spcBef>
              <a:spcPct val="0"/>
            </a:spcBef>
            <a:spcAft>
              <a:spcPct val="15000"/>
            </a:spcAft>
            <a:buChar char="•"/>
          </a:pPr>
          <a:r>
            <a:rPr lang="en-US" sz="600" kern="1200"/>
            <a:t>Introduce team in roles so aware who are contacting. Genuine interprofessional roles</a:t>
          </a:r>
        </a:p>
      </dsp:txBody>
      <dsp:txXfrm rot="-5400000">
        <a:off x="678218" y="2725159"/>
        <a:ext cx="4553919" cy="568287"/>
      </dsp:txXfrm>
    </dsp:sp>
    <dsp:sp modelId="{EFA2F00B-2090-2843-8AC0-0E1670547E0E}">
      <dsp:nvSpPr>
        <dsp:cNvPr id="0" name=""/>
        <dsp:cNvSpPr/>
      </dsp:nvSpPr>
      <dsp:spPr>
        <a:xfrm rot="5400000">
          <a:off x="-145332" y="3776503"/>
          <a:ext cx="968882" cy="678217"/>
        </a:xfrm>
        <a:prstGeom prst="chevron">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Run scenario</a:t>
          </a:r>
        </a:p>
      </dsp:txBody>
      <dsp:txXfrm rot="-5400000">
        <a:off x="1" y="3970280"/>
        <a:ext cx="678217" cy="290665"/>
      </dsp:txXfrm>
    </dsp:sp>
    <dsp:sp modelId="{EBE3FB98-EDEF-FC44-ACE9-B71AE7397985}">
      <dsp:nvSpPr>
        <dsp:cNvPr id="0" name=""/>
        <dsp:cNvSpPr/>
      </dsp:nvSpPr>
      <dsp:spPr>
        <a:xfrm rot="5400000">
          <a:off x="2605607" y="1653726"/>
          <a:ext cx="729882" cy="4584662"/>
        </a:xfrm>
        <a:prstGeom prst="round2SameRect">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t>Active focused observation - body language, tone of voice, behaviour</a:t>
          </a:r>
        </a:p>
        <a:p>
          <a:pPr marL="57150" lvl="1" indent="-57150" algn="l" defTabSz="266700">
            <a:lnSpc>
              <a:spcPct val="90000"/>
            </a:lnSpc>
            <a:spcBef>
              <a:spcPct val="0"/>
            </a:spcBef>
            <a:spcAft>
              <a:spcPct val="15000"/>
            </a:spcAft>
            <a:buChar char="•"/>
          </a:pPr>
          <a:r>
            <a:rPr lang="en-US" sz="600" kern="1200"/>
            <a:t>Perceptive feedback - on technical skills and human factors</a:t>
          </a:r>
        </a:p>
        <a:p>
          <a:pPr marL="57150" lvl="1" indent="-57150" algn="l" defTabSz="266700">
            <a:lnSpc>
              <a:spcPct val="90000"/>
            </a:lnSpc>
            <a:spcBef>
              <a:spcPct val="0"/>
            </a:spcBef>
            <a:spcAft>
              <a:spcPct val="15000"/>
            </a:spcAft>
            <a:buChar char="•"/>
          </a:pPr>
          <a:r>
            <a:rPr lang="en-US" sz="600" kern="1200"/>
            <a:t>+ / - Audiovisual support </a:t>
          </a:r>
        </a:p>
        <a:p>
          <a:pPr marL="57150" lvl="1" indent="-57150" algn="l" defTabSz="266700">
            <a:lnSpc>
              <a:spcPct val="90000"/>
            </a:lnSpc>
            <a:spcBef>
              <a:spcPct val="0"/>
            </a:spcBef>
            <a:spcAft>
              <a:spcPct val="15000"/>
            </a:spcAft>
            <a:buChar char="•"/>
          </a:pPr>
          <a:r>
            <a:rPr lang="en-US" sz="600" kern="1200"/>
            <a:t>Intervene when appropriate</a:t>
          </a:r>
        </a:p>
        <a:p>
          <a:pPr marL="57150" lvl="1" indent="-57150" algn="l" defTabSz="266700">
            <a:lnSpc>
              <a:spcPct val="90000"/>
            </a:lnSpc>
            <a:spcBef>
              <a:spcPct val="0"/>
            </a:spcBef>
            <a:spcAft>
              <a:spcPct val="15000"/>
            </a:spcAft>
            <a:buChar char="•"/>
          </a:pPr>
          <a:r>
            <a:rPr lang="en-US" sz="600" kern="1200"/>
            <a:t>Generate some pressure - be receptive to effect</a:t>
          </a:r>
        </a:p>
        <a:p>
          <a:pPr marL="57150" lvl="1" indent="-57150" algn="l" defTabSz="266700">
            <a:lnSpc>
              <a:spcPct val="90000"/>
            </a:lnSpc>
            <a:spcBef>
              <a:spcPct val="0"/>
            </a:spcBef>
            <a:spcAft>
              <a:spcPct val="15000"/>
            </a:spcAft>
            <a:buChar char="•"/>
          </a:pPr>
          <a:r>
            <a:rPr lang="en-US" sz="600" kern="1200"/>
            <a:t>Note timings of events if using video or specific examples against learning outcomes. Link in to human factors and patient safety</a:t>
          </a:r>
        </a:p>
        <a:p>
          <a:pPr marL="57150" lvl="1" indent="-57150" algn="l" defTabSz="266700">
            <a:lnSpc>
              <a:spcPct val="90000"/>
            </a:lnSpc>
            <a:spcBef>
              <a:spcPct val="0"/>
            </a:spcBef>
            <a:spcAft>
              <a:spcPct val="15000"/>
            </a:spcAft>
            <a:buChar char="•"/>
          </a:pPr>
          <a:r>
            <a:rPr lang="en-US" sz="600" kern="1200"/>
            <a:t>At least 10 minutes ideally per scenario</a:t>
          </a:r>
        </a:p>
      </dsp:txBody>
      <dsp:txXfrm rot="-5400000">
        <a:off x="678217" y="3616746"/>
        <a:ext cx="4549032" cy="658622"/>
      </dsp:txXfrm>
    </dsp:sp>
    <dsp:sp modelId="{C6503216-42C0-1343-B325-85EF14199D8B}">
      <dsp:nvSpPr>
        <dsp:cNvPr id="0" name=""/>
        <dsp:cNvSpPr/>
      </dsp:nvSpPr>
      <dsp:spPr>
        <a:xfrm rot="5400000">
          <a:off x="-145332" y="4663205"/>
          <a:ext cx="968882" cy="678217"/>
        </a:xfrm>
        <a:prstGeom prst="chevron">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Check in with learning outcomes</a:t>
          </a:r>
        </a:p>
      </dsp:txBody>
      <dsp:txXfrm rot="-5400000">
        <a:off x="1" y="4856982"/>
        <a:ext cx="678217" cy="290665"/>
      </dsp:txXfrm>
    </dsp:sp>
    <dsp:sp modelId="{47D730CC-0E50-1F47-8E08-251883FB1ACB}">
      <dsp:nvSpPr>
        <dsp:cNvPr id="0" name=""/>
        <dsp:cNvSpPr/>
      </dsp:nvSpPr>
      <dsp:spPr>
        <a:xfrm rot="5400000">
          <a:off x="2655662" y="2540428"/>
          <a:ext cx="629773" cy="4584662"/>
        </a:xfrm>
        <a:prstGeom prst="round2Same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t>Have they been achieved</a:t>
          </a:r>
        </a:p>
        <a:p>
          <a:pPr marL="57150" lvl="1" indent="-57150" algn="l" defTabSz="266700">
            <a:lnSpc>
              <a:spcPct val="90000"/>
            </a:lnSpc>
            <a:spcBef>
              <a:spcPct val="0"/>
            </a:spcBef>
            <a:spcAft>
              <a:spcPct val="15000"/>
            </a:spcAft>
            <a:buChar char="•"/>
          </a:pPr>
          <a:r>
            <a:rPr lang="en-US" sz="600" kern="1200"/>
            <a:t>Highlights to focus on in debrief</a:t>
          </a:r>
        </a:p>
        <a:p>
          <a:pPr marL="57150" lvl="1" indent="-57150" algn="l" defTabSz="266700">
            <a:lnSpc>
              <a:spcPct val="90000"/>
            </a:lnSpc>
            <a:spcBef>
              <a:spcPct val="0"/>
            </a:spcBef>
            <a:spcAft>
              <a:spcPct val="15000"/>
            </a:spcAft>
            <a:buChar char="•"/>
          </a:pPr>
          <a:r>
            <a:rPr lang="en-US" sz="600" kern="1200"/>
            <a:t>Reflect on own mistakes and anecdotes to support learning </a:t>
          </a:r>
        </a:p>
        <a:p>
          <a:pPr marL="57150" lvl="1" indent="-57150" algn="l" defTabSz="266700">
            <a:lnSpc>
              <a:spcPct val="90000"/>
            </a:lnSpc>
            <a:spcBef>
              <a:spcPct val="0"/>
            </a:spcBef>
            <a:spcAft>
              <a:spcPct val="15000"/>
            </a:spcAft>
            <a:buChar char="•"/>
          </a:pPr>
          <a:r>
            <a:rPr lang="en-US" sz="600" kern="1200"/>
            <a:t>Reflect on and consider intervention with other learners</a:t>
          </a:r>
        </a:p>
      </dsp:txBody>
      <dsp:txXfrm rot="-5400000">
        <a:off x="678218" y="4548616"/>
        <a:ext cx="4553919" cy="568287"/>
      </dsp:txXfrm>
    </dsp:sp>
    <dsp:sp modelId="{FD1B6087-CE79-7A44-8659-6E02FDB63995}">
      <dsp:nvSpPr>
        <dsp:cNvPr id="0" name=""/>
        <dsp:cNvSpPr/>
      </dsp:nvSpPr>
      <dsp:spPr>
        <a:xfrm rot="5400000">
          <a:off x="-145332" y="5549906"/>
          <a:ext cx="968882" cy="678217"/>
        </a:xfrm>
        <a:prstGeom prst="chevron">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Planned closure of scenario</a:t>
          </a:r>
        </a:p>
      </dsp:txBody>
      <dsp:txXfrm rot="-5400000">
        <a:off x="1" y="5743683"/>
        <a:ext cx="678217" cy="290665"/>
      </dsp:txXfrm>
    </dsp:sp>
    <dsp:sp modelId="{2BC519CB-78F2-0745-92F4-BAF7A8ACEC88}">
      <dsp:nvSpPr>
        <dsp:cNvPr id="0" name=""/>
        <dsp:cNvSpPr/>
      </dsp:nvSpPr>
      <dsp:spPr>
        <a:xfrm rot="5400000">
          <a:off x="2655662" y="3427129"/>
          <a:ext cx="629773" cy="4584662"/>
        </a:xfrm>
        <a:prstGeom prst="round2Same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t>Time dependent to allow 50% time for scenario and 50% time for debrief</a:t>
          </a:r>
        </a:p>
        <a:p>
          <a:pPr marL="57150" lvl="1" indent="-57150" algn="l" defTabSz="266700">
            <a:lnSpc>
              <a:spcPct val="90000"/>
            </a:lnSpc>
            <a:spcBef>
              <a:spcPct val="0"/>
            </a:spcBef>
            <a:spcAft>
              <a:spcPct val="15000"/>
            </a:spcAft>
            <a:buChar char="•"/>
          </a:pPr>
          <a:r>
            <a:rPr lang="en-US" sz="600" kern="1200"/>
            <a:t>Strategy if over running - step in or call for handover</a:t>
          </a:r>
        </a:p>
      </dsp:txBody>
      <dsp:txXfrm rot="-5400000">
        <a:off x="678218" y="5435317"/>
        <a:ext cx="4553919" cy="568287"/>
      </dsp:txXfrm>
    </dsp:sp>
    <dsp:sp modelId="{AE26AD64-B9B0-854D-A9CF-5E55500C40C5}">
      <dsp:nvSpPr>
        <dsp:cNvPr id="0" name=""/>
        <dsp:cNvSpPr/>
      </dsp:nvSpPr>
      <dsp:spPr>
        <a:xfrm rot="5400000">
          <a:off x="-145332" y="6436607"/>
          <a:ext cx="968882" cy="678217"/>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Debrief</a:t>
          </a:r>
        </a:p>
      </dsp:txBody>
      <dsp:txXfrm rot="-5400000">
        <a:off x="1" y="6630384"/>
        <a:ext cx="678217" cy="290665"/>
      </dsp:txXfrm>
    </dsp:sp>
    <dsp:sp modelId="{CB037466-DB9B-214E-B405-64CF3CBE2693}">
      <dsp:nvSpPr>
        <dsp:cNvPr id="0" name=""/>
        <dsp:cNvSpPr/>
      </dsp:nvSpPr>
      <dsp:spPr>
        <a:xfrm rot="5400000">
          <a:off x="2655662" y="4313831"/>
          <a:ext cx="629773" cy="4584662"/>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t>Time to unwind, think, reflect</a:t>
          </a:r>
        </a:p>
        <a:p>
          <a:pPr marL="57150" lvl="1" indent="-57150" algn="l" defTabSz="266700">
            <a:lnSpc>
              <a:spcPct val="90000"/>
            </a:lnSpc>
            <a:spcBef>
              <a:spcPct val="0"/>
            </a:spcBef>
            <a:spcAft>
              <a:spcPct val="15000"/>
            </a:spcAft>
            <a:buChar char="•"/>
          </a:pPr>
          <a:r>
            <a:rPr lang="en-US" sz="600" kern="1200"/>
            <a:t>Tailor to learner - personalised, individual specific</a:t>
          </a:r>
        </a:p>
        <a:p>
          <a:pPr marL="57150" lvl="1" indent="-57150" algn="l" defTabSz="266700">
            <a:lnSpc>
              <a:spcPct val="90000"/>
            </a:lnSpc>
            <a:spcBef>
              <a:spcPct val="0"/>
            </a:spcBef>
            <a:spcAft>
              <a:spcPct val="15000"/>
            </a:spcAft>
            <a:buChar char="•"/>
          </a:pPr>
          <a:r>
            <a:rPr lang="en-US" sz="600" kern="1200"/>
            <a:t>Learner should be discovering for themselves - facilitative process</a:t>
          </a:r>
        </a:p>
        <a:p>
          <a:pPr marL="57150" lvl="1" indent="-57150" algn="l" defTabSz="266700">
            <a:lnSpc>
              <a:spcPct val="90000"/>
            </a:lnSpc>
            <a:spcBef>
              <a:spcPct val="0"/>
            </a:spcBef>
            <a:spcAft>
              <a:spcPct val="15000"/>
            </a:spcAft>
            <a:buChar char="•"/>
          </a:pPr>
          <a:r>
            <a:rPr lang="en-US" sz="600" kern="1200"/>
            <a:t>Can use a model</a:t>
          </a:r>
        </a:p>
        <a:p>
          <a:pPr marL="57150" lvl="1" indent="-57150" algn="l" defTabSz="266700">
            <a:lnSpc>
              <a:spcPct val="90000"/>
            </a:lnSpc>
            <a:spcBef>
              <a:spcPct val="0"/>
            </a:spcBef>
            <a:spcAft>
              <a:spcPct val="15000"/>
            </a:spcAft>
            <a:buChar char="•"/>
          </a:pPr>
          <a:r>
            <a:rPr lang="en-US" sz="600" kern="1200"/>
            <a:t>Summarise main learning points - consolidate learning</a:t>
          </a:r>
        </a:p>
        <a:p>
          <a:pPr marL="57150" lvl="1" indent="-57150" algn="l" defTabSz="266700">
            <a:lnSpc>
              <a:spcPct val="90000"/>
            </a:lnSpc>
            <a:spcBef>
              <a:spcPct val="0"/>
            </a:spcBef>
            <a:spcAft>
              <a:spcPct val="15000"/>
            </a:spcAft>
            <a:buChar char="•"/>
          </a:pPr>
          <a:r>
            <a:rPr lang="en-US" sz="600" kern="1200"/>
            <a:t>Align with learners</a:t>
          </a:r>
        </a:p>
      </dsp:txBody>
      <dsp:txXfrm rot="-5400000">
        <a:off x="678218" y="6322019"/>
        <a:ext cx="4553919" cy="568287"/>
      </dsp:txXfrm>
    </dsp:sp>
    <dsp:sp modelId="{E10E36D1-F678-504A-B068-5EE0224872F2}">
      <dsp:nvSpPr>
        <dsp:cNvPr id="0" name=""/>
        <dsp:cNvSpPr/>
      </dsp:nvSpPr>
      <dsp:spPr>
        <a:xfrm rot="5400000">
          <a:off x="-145332" y="7323309"/>
          <a:ext cx="968882" cy="678217"/>
        </a:xfrm>
        <a:prstGeom prst="chevron">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Evaluate scenario and debrief </a:t>
          </a:r>
        </a:p>
      </dsp:txBody>
      <dsp:txXfrm rot="-5400000">
        <a:off x="1" y="7517086"/>
        <a:ext cx="678217" cy="290665"/>
      </dsp:txXfrm>
    </dsp:sp>
    <dsp:sp modelId="{1DCFD8C5-400E-9647-8A13-D1BCFC1ED085}">
      <dsp:nvSpPr>
        <dsp:cNvPr id="0" name=""/>
        <dsp:cNvSpPr/>
      </dsp:nvSpPr>
      <dsp:spPr>
        <a:xfrm rot="5400000">
          <a:off x="2655662" y="5200532"/>
          <a:ext cx="629773" cy="4584662"/>
        </a:xfrm>
        <a:prstGeom prst="round2Same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t>Were learning outcomes achieved</a:t>
          </a:r>
        </a:p>
        <a:p>
          <a:pPr marL="57150" lvl="1" indent="-57150" algn="l" defTabSz="266700">
            <a:lnSpc>
              <a:spcPct val="90000"/>
            </a:lnSpc>
            <a:spcBef>
              <a:spcPct val="0"/>
            </a:spcBef>
            <a:spcAft>
              <a:spcPct val="15000"/>
            </a:spcAft>
            <a:buChar char="•"/>
          </a:pPr>
          <a:r>
            <a:rPr lang="en-US" sz="600" kern="1200"/>
            <a:t>Level of pressure correct for optimum learning</a:t>
          </a:r>
        </a:p>
        <a:p>
          <a:pPr marL="57150" lvl="1" indent="-57150" algn="l" defTabSz="266700">
            <a:lnSpc>
              <a:spcPct val="90000"/>
            </a:lnSpc>
            <a:spcBef>
              <a:spcPct val="0"/>
            </a:spcBef>
            <a:spcAft>
              <a:spcPct val="15000"/>
            </a:spcAft>
            <a:buChar char="•"/>
          </a:pPr>
          <a:r>
            <a:rPr lang="en-US" sz="600" kern="1200"/>
            <a:t>Faculty feedback - how to improve</a:t>
          </a:r>
        </a:p>
        <a:p>
          <a:pPr marL="57150" lvl="1" indent="-57150" algn="l" defTabSz="266700">
            <a:lnSpc>
              <a:spcPct val="90000"/>
            </a:lnSpc>
            <a:spcBef>
              <a:spcPct val="0"/>
            </a:spcBef>
            <a:spcAft>
              <a:spcPct val="15000"/>
            </a:spcAft>
            <a:buChar char="•"/>
          </a:pPr>
          <a:r>
            <a:rPr lang="en-US" sz="600" kern="1200"/>
            <a:t>Make adjustments ready for re-run</a:t>
          </a:r>
        </a:p>
      </dsp:txBody>
      <dsp:txXfrm rot="-5400000">
        <a:off x="678218" y="7208720"/>
        <a:ext cx="4553919" cy="568287"/>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23CC0B-E5DC-BA40-8554-9F978735F8A8}">
      <dsp:nvSpPr>
        <dsp:cNvPr id="0" name=""/>
        <dsp:cNvSpPr/>
      </dsp:nvSpPr>
      <dsp:spPr>
        <a:xfrm>
          <a:off x="1809872" y="3857709"/>
          <a:ext cx="1919663" cy="1962344"/>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875" tIns="15875" rIns="15875" bIns="15875" numCol="1" spcCol="1270" anchor="ctr" anchorCtr="0">
          <a:noAutofit/>
        </a:bodyPr>
        <a:lstStyle/>
        <a:p>
          <a:pPr marL="0" lvl="0" indent="0" algn="ctr" defTabSz="1111250">
            <a:lnSpc>
              <a:spcPct val="90000"/>
            </a:lnSpc>
            <a:spcBef>
              <a:spcPct val="0"/>
            </a:spcBef>
            <a:spcAft>
              <a:spcPct val="35000"/>
            </a:spcAft>
            <a:buNone/>
          </a:pPr>
          <a:r>
            <a:rPr lang="en-US" sz="2500" kern="1200"/>
            <a:t>The debrief for SBME Stage 9</a:t>
          </a:r>
        </a:p>
      </dsp:txBody>
      <dsp:txXfrm>
        <a:off x="2091000" y="4145088"/>
        <a:ext cx="1357407" cy="1387586"/>
      </dsp:txXfrm>
    </dsp:sp>
    <dsp:sp modelId="{D33B1856-6124-084D-ACBC-110A03380858}">
      <dsp:nvSpPr>
        <dsp:cNvPr id="0" name=""/>
        <dsp:cNvSpPr/>
      </dsp:nvSpPr>
      <dsp:spPr>
        <a:xfrm rot="10245420">
          <a:off x="626238" y="4876511"/>
          <a:ext cx="1137605" cy="437245"/>
        </a:xfrm>
        <a:prstGeom prst="leftArrow">
          <a:avLst>
            <a:gd name="adj1" fmla="val 60000"/>
            <a:gd name="adj2" fmla="val 50000"/>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0D920B37-74C2-534A-8806-24E4133CA8F1}">
      <dsp:nvSpPr>
        <dsp:cNvPr id="0" name=""/>
        <dsp:cNvSpPr/>
      </dsp:nvSpPr>
      <dsp:spPr>
        <a:xfrm>
          <a:off x="-66980" y="4441188"/>
          <a:ext cx="1401209" cy="1490616"/>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t" anchorCtr="0">
          <a:noAutofit/>
        </a:bodyPr>
        <a:lstStyle/>
        <a:p>
          <a:pPr marL="0" lvl="0" indent="0" algn="ctr" defTabSz="266700">
            <a:lnSpc>
              <a:spcPct val="90000"/>
            </a:lnSpc>
            <a:spcBef>
              <a:spcPct val="0"/>
            </a:spcBef>
            <a:spcAft>
              <a:spcPct val="35000"/>
            </a:spcAft>
            <a:buNone/>
          </a:pPr>
          <a:r>
            <a:rPr lang="en-US" sz="600" kern="1200"/>
            <a:t>Practicalities</a:t>
          </a:r>
        </a:p>
        <a:p>
          <a:pPr marL="57150" lvl="1" indent="-57150" algn="l" defTabSz="222250">
            <a:lnSpc>
              <a:spcPct val="90000"/>
            </a:lnSpc>
            <a:spcBef>
              <a:spcPct val="0"/>
            </a:spcBef>
            <a:spcAft>
              <a:spcPct val="15000"/>
            </a:spcAft>
            <a:buChar char="•"/>
          </a:pPr>
          <a:r>
            <a:rPr lang="en-US" sz="500" kern="1200"/>
            <a:t>Time - same length as scenario. Time to unwind out of scenario</a:t>
          </a:r>
        </a:p>
        <a:p>
          <a:pPr marL="57150" lvl="1" indent="-57150" algn="l" defTabSz="222250">
            <a:lnSpc>
              <a:spcPct val="90000"/>
            </a:lnSpc>
            <a:spcBef>
              <a:spcPct val="0"/>
            </a:spcBef>
            <a:spcAft>
              <a:spcPct val="15000"/>
            </a:spcAft>
            <a:buChar char="•"/>
          </a:pPr>
          <a:r>
            <a:rPr lang="en-US" sz="500" kern="1200"/>
            <a:t>AV tools - video can help improve situational awareness, objective self assessment</a:t>
          </a:r>
        </a:p>
        <a:p>
          <a:pPr marL="57150" lvl="1" indent="-57150" algn="l" defTabSz="222250">
            <a:lnSpc>
              <a:spcPct val="90000"/>
            </a:lnSpc>
            <a:spcBef>
              <a:spcPct val="0"/>
            </a:spcBef>
            <a:spcAft>
              <a:spcPct val="15000"/>
            </a:spcAft>
            <a:buChar char="•"/>
          </a:pPr>
          <a:r>
            <a:rPr lang="en-US" sz="500" kern="1200"/>
            <a:t>Space and room layout - circle</a:t>
          </a:r>
        </a:p>
        <a:p>
          <a:pPr marL="57150" lvl="1" indent="-57150" algn="l" defTabSz="222250">
            <a:lnSpc>
              <a:spcPct val="90000"/>
            </a:lnSpc>
            <a:spcBef>
              <a:spcPct val="0"/>
            </a:spcBef>
            <a:spcAft>
              <a:spcPct val="15000"/>
            </a:spcAft>
            <a:buChar char="•"/>
          </a:pPr>
          <a:r>
            <a:rPr lang="en-US" sz="500" kern="1200"/>
            <a:t>Safe space</a:t>
          </a:r>
        </a:p>
        <a:p>
          <a:pPr marL="57150" lvl="1" indent="-57150" algn="l" defTabSz="222250">
            <a:lnSpc>
              <a:spcPct val="90000"/>
            </a:lnSpc>
            <a:spcBef>
              <a:spcPct val="0"/>
            </a:spcBef>
            <a:spcAft>
              <a:spcPct val="15000"/>
            </a:spcAft>
            <a:buChar char="•"/>
          </a:pPr>
          <a:r>
            <a:rPr lang="en-US" sz="500" kern="1200"/>
            <a:t>Well planned scenario with clear curriculum mapped LO sets stage for effective debrief</a:t>
          </a:r>
        </a:p>
        <a:p>
          <a:pPr marL="57150" lvl="1" indent="-57150" algn="l" defTabSz="222250">
            <a:lnSpc>
              <a:spcPct val="90000"/>
            </a:lnSpc>
            <a:spcBef>
              <a:spcPct val="0"/>
            </a:spcBef>
            <a:spcAft>
              <a:spcPct val="15000"/>
            </a:spcAft>
            <a:buChar char="•"/>
          </a:pPr>
          <a:r>
            <a:rPr lang="en-US" sz="500" kern="1200"/>
            <a:t>Faculty skills - 'good teachers make good debriefers' </a:t>
          </a:r>
        </a:p>
        <a:p>
          <a:pPr marL="57150" lvl="1" indent="-57150" algn="l" defTabSz="222250">
            <a:lnSpc>
              <a:spcPct val="90000"/>
            </a:lnSpc>
            <a:spcBef>
              <a:spcPct val="0"/>
            </a:spcBef>
            <a:spcAft>
              <a:spcPct val="15000"/>
            </a:spcAft>
            <a:buChar char="•"/>
          </a:pPr>
          <a:r>
            <a:rPr lang="en-US" sz="500" kern="1200"/>
            <a:t>Debriefer number - one take the lead but 2 present - can invite others to comment, reduces cognitive load if long session. Allows for peer feedback following session</a:t>
          </a:r>
        </a:p>
        <a:p>
          <a:pPr marL="57150" lvl="1" indent="-57150" algn="l" defTabSz="222250">
            <a:lnSpc>
              <a:spcPct val="90000"/>
            </a:lnSpc>
            <a:spcBef>
              <a:spcPct val="0"/>
            </a:spcBef>
            <a:spcAft>
              <a:spcPct val="15000"/>
            </a:spcAft>
            <a:buChar char="•"/>
          </a:pPr>
          <a:endParaRPr lang="en-US" sz="400" kern="1200"/>
        </a:p>
      </dsp:txBody>
      <dsp:txXfrm>
        <a:off x="-25940" y="4482228"/>
        <a:ext cx="1319129" cy="1408536"/>
      </dsp:txXfrm>
    </dsp:sp>
    <dsp:sp modelId="{F25BC551-2D29-FC43-AC02-5EDCE78002E0}">
      <dsp:nvSpPr>
        <dsp:cNvPr id="0" name=""/>
        <dsp:cNvSpPr/>
      </dsp:nvSpPr>
      <dsp:spPr>
        <a:xfrm rot="13019253">
          <a:off x="543889" y="3522306"/>
          <a:ext cx="1536245" cy="437245"/>
        </a:xfrm>
        <a:prstGeom prst="lef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EB5A67FD-34A7-984A-94EB-92B11FFF9548}">
      <dsp:nvSpPr>
        <dsp:cNvPr id="0" name=""/>
        <dsp:cNvSpPr/>
      </dsp:nvSpPr>
      <dsp:spPr>
        <a:xfrm>
          <a:off x="0" y="2573600"/>
          <a:ext cx="1396924" cy="1410389"/>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t" anchorCtr="0">
          <a:noAutofit/>
        </a:bodyPr>
        <a:lstStyle/>
        <a:p>
          <a:pPr marL="0" lvl="0" indent="0" algn="ctr" defTabSz="266700">
            <a:lnSpc>
              <a:spcPct val="90000"/>
            </a:lnSpc>
            <a:spcBef>
              <a:spcPct val="0"/>
            </a:spcBef>
            <a:spcAft>
              <a:spcPct val="35000"/>
            </a:spcAft>
            <a:buNone/>
          </a:pPr>
          <a:r>
            <a:rPr lang="en-US" sz="600" kern="1200"/>
            <a:t>Purpose</a:t>
          </a:r>
        </a:p>
        <a:p>
          <a:pPr marL="57150" lvl="1" indent="-57150" algn="l" defTabSz="222250">
            <a:lnSpc>
              <a:spcPct val="90000"/>
            </a:lnSpc>
            <a:spcBef>
              <a:spcPct val="0"/>
            </a:spcBef>
            <a:spcAft>
              <a:spcPct val="15000"/>
            </a:spcAft>
            <a:buChar char="•"/>
          </a:pPr>
          <a:r>
            <a:rPr lang="en-US" sz="500" kern="1200"/>
            <a:t>Process understanding</a:t>
          </a:r>
        </a:p>
        <a:p>
          <a:pPr marL="57150" lvl="1" indent="-57150" algn="l" defTabSz="222250">
            <a:lnSpc>
              <a:spcPct val="90000"/>
            </a:lnSpc>
            <a:spcBef>
              <a:spcPct val="0"/>
            </a:spcBef>
            <a:spcAft>
              <a:spcPct val="15000"/>
            </a:spcAft>
            <a:buChar char="•"/>
          </a:pPr>
          <a:r>
            <a:rPr lang="en-US" sz="500" kern="1200"/>
            <a:t>Discovering own strengths and weaknesses</a:t>
          </a:r>
        </a:p>
        <a:p>
          <a:pPr marL="57150" lvl="1" indent="-57150" algn="l" defTabSz="222250">
            <a:lnSpc>
              <a:spcPct val="90000"/>
            </a:lnSpc>
            <a:spcBef>
              <a:spcPct val="0"/>
            </a:spcBef>
            <a:spcAft>
              <a:spcPct val="15000"/>
            </a:spcAft>
            <a:buChar char="•"/>
          </a:pPr>
          <a:r>
            <a:rPr lang="en-US" sz="500" kern="1200"/>
            <a:t>Aim for personal behavioural change - improve patient safety</a:t>
          </a:r>
        </a:p>
        <a:p>
          <a:pPr marL="57150" lvl="1" indent="-57150" algn="l" defTabSz="222250">
            <a:lnSpc>
              <a:spcPct val="90000"/>
            </a:lnSpc>
            <a:spcBef>
              <a:spcPct val="0"/>
            </a:spcBef>
            <a:spcAft>
              <a:spcPct val="15000"/>
            </a:spcAft>
            <a:buChar char="•"/>
          </a:pPr>
          <a:r>
            <a:rPr lang="en-US" sz="500" kern="1200"/>
            <a:t>Explore and correct misconceptions</a:t>
          </a:r>
        </a:p>
        <a:p>
          <a:pPr marL="57150" lvl="1" indent="-57150" algn="l" defTabSz="222250">
            <a:lnSpc>
              <a:spcPct val="90000"/>
            </a:lnSpc>
            <a:spcBef>
              <a:spcPct val="0"/>
            </a:spcBef>
            <a:spcAft>
              <a:spcPct val="15000"/>
            </a:spcAft>
            <a:buChar char="•"/>
          </a:pPr>
          <a:r>
            <a:rPr lang="en-US" sz="500" kern="1200"/>
            <a:t>Reflect on action</a:t>
          </a:r>
        </a:p>
        <a:p>
          <a:pPr marL="57150" lvl="1" indent="-57150" algn="l" defTabSz="222250">
            <a:lnSpc>
              <a:spcPct val="90000"/>
            </a:lnSpc>
            <a:spcBef>
              <a:spcPct val="0"/>
            </a:spcBef>
            <a:spcAft>
              <a:spcPct val="15000"/>
            </a:spcAft>
            <a:buChar char="•"/>
          </a:pPr>
          <a:r>
            <a:rPr lang="en-US" sz="500" kern="1200"/>
            <a:t>Where learning occurs</a:t>
          </a:r>
        </a:p>
        <a:p>
          <a:pPr marL="57150" lvl="1" indent="-57150" algn="l" defTabSz="222250">
            <a:lnSpc>
              <a:spcPct val="90000"/>
            </a:lnSpc>
            <a:spcBef>
              <a:spcPct val="0"/>
            </a:spcBef>
            <a:spcAft>
              <a:spcPct val="15000"/>
            </a:spcAft>
            <a:buChar char="•"/>
          </a:pPr>
          <a:r>
            <a:rPr lang="en-US" sz="500" kern="1200"/>
            <a:t>Ethical imperitive - Allows to destress</a:t>
          </a:r>
        </a:p>
        <a:p>
          <a:pPr marL="57150" lvl="1" indent="-57150" algn="l" defTabSz="222250">
            <a:lnSpc>
              <a:spcPct val="90000"/>
            </a:lnSpc>
            <a:spcBef>
              <a:spcPct val="0"/>
            </a:spcBef>
            <a:spcAft>
              <a:spcPct val="15000"/>
            </a:spcAft>
            <a:buChar char="•"/>
          </a:pPr>
          <a:r>
            <a:rPr lang="en-US" sz="500" kern="1200"/>
            <a:t>Consolidation - experienctial learning</a:t>
          </a:r>
        </a:p>
        <a:p>
          <a:pPr marL="57150" lvl="1" indent="-57150" algn="l" defTabSz="222250">
            <a:lnSpc>
              <a:spcPct val="90000"/>
            </a:lnSpc>
            <a:spcBef>
              <a:spcPct val="0"/>
            </a:spcBef>
            <a:spcAft>
              <a:spcPct val="15000"/>
            </a:spcAft>
            <a:buChar char="•"/>
          </a:pPr>
          <a:r>
            <a:rPr lang="en-US" sz="500" kern="1200"/>
            <a:t>Opportunity for peer feedback and peer learning</a:t>
          </a:r>
        </a:p>
        <a:p>
          <a:pPr marL="57150" lvl="1" indent="-57150" algn="l" defTabSz="222250">
            <a:lnSpc>
              <a:spcPct val="90000"/>
            </a:lnSpc>
            <a:spcBef>
              <a:spcPct val="0"/>
            </a:spcBef>
            <a:spcAft>
              <a:spcPct val="15000"/>
            </a:spcAft>
            <a:buChar char="•"/>
          </a:pPr>
          <a:r>
            <a:rPr lang="en-US" sz="500" kern="1200"/>
            <a:t>Opportunity for role modelling</a:t>
          </a:r>
        </a:p>
      </dsp:txBody>
      <dsp:txXfrm>
        <a:off x="40915" y="2614515"/>
        <a:ext cx="1315094" cy="1328559"/>
      </dsp:txXfrm>
    </dsp:sp>
    <dsp:sp modelId="{BEC0CF9A-9C17-764D-8A94-42D738989B99}">
      <dsp:nvSpPr>
        <dsp:cNvPr id="0" name=""/>
        <dsp:cNvSpPr/>
      </dsp:nvSpPr>
      <dsp:spPr>
        <a:xfrm rot="14588722">
          <a:off x="558863" y="2577212"/>
          <a:ext cx="2352753" cy="437245"/>
        </a:xfrm>
        <a:prstGeom prst="lef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DD9808C4-CACC-1A4F-AD87-C748E606044D}">
      <dsp:nvSpPr>
        <dsp:cNvPr id="0" name=""/>
        <dsp:cNvSpPr/>
      </dsp:nvSpPr>
      <dsp:spPr>
        <a:xfrm>
          <a:off x="552580" y="1240788"/>
          <a:ext cx="1302514" cy="1011073"/>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t" anchorCtr="0">
          <a:noAutofit/>
        </a:bodyPr>
        <a:lstStyle/>
        <a:p>
          <a:pPr marL="0" lvl="0" indent="0" algn="ctr" defTabSz="266700">
            <a:lnSpc>
              <a:spcPct val="90000"/>
            </a:lnSpc>
            <a:spcBef>
              <a:spcPct val="0"/>
            </a:spcBef>
            <a:spcAft>
              <a:spcPct val="35000"/>
            </a:spcAft>
            <a:buNone/>
          </a:pPr>
          <a:r>
            <a:rPr lang="en-US" sz="600" kern="1200"/>
            <a:t>Success</a:t>
          </a:r>
        </a:p>
        <a:p>
          <a:pPr marL="57150" lvl="1" indent="-57150" algn="l" defTabSz="222250">
            <a:lnSpc>
              <a:spcPct val="90000"/>
            </a:lnSpc>
            <a:spcBef>
              <a:spcPct val="0"/>
            </a:spcBef>
            <a:spcAft>
              <a:spcPct val="15000"/>
            </a:spcAft>
            <a:buChar char="•"/>
          </a:pPr>
          <a:r>
            <a:rPr lang="en-US" sz="500" kern="1200"/>
            <a:t>Candidate/ learner doing most of talking</a:t>
          </a:r>
        </a:p>
        <a:p>
          <a:pPr marL="57150" lvl="1" indent="-57150" algn="l" defTabSz="222250">
            <a:lnSpc>
              <a:spcPct val="90000"/>
            </a:lnSpc>
            <a:spcBef>
              <a:spcPct val="0"/>
            </a:spcBef>
            <a:spcAft>
              <a:spcPct val="15000"/>
            </a:spcAft>
            <a:buChar char="•"/>
          </a:pPr>
          <a:r>
            <a:rPr lang="en-US" sz="500" kern="1200"/>
            <a:t>Facilitative faculty</a:t>
          </a:r>
        </a:p>
        <a:p>
          <a:pPr marL="57150" lvl="1" indent="-57150" algn="l" defTabSz="222250">
            <a:lnSpc>
              <a:spcPct val="90000"/>
            </a:lnSpc>
            <a:spcBef>
              <a:spcPct val="0"/>
            </a:spcBef>
            <a:spcAft>
              <a:spcPct val="15000"/>
            </a:spcAft>
            <a:buChar char="•"/>
          </a:pPr>
          <a:r>
            <a:rPr lang="en-US" sz="500" kern="1200"/>
            <a:t>Created open forum</a:t>
          </a:r>
        </a:p>
        <a:p>
          <a:pPr marL="57150" lvl="1" indent="-57150" algn="l" defTabSz="222250">
            <a:lnSpc>
              <a:spcPct val="90000"/>
            </a:lnSpc>
            <a:spcBef>
              <a:spcPct val="0"/>
            </a:spcBef>
            <a:spcAft>
              <a:spcPct val="15000"/>
            </a:spcAft>
            <a:buChar char="•"/>
          </a:pPr>
          <a:r>
            <a:rPr lang="en-US" sz="500" kern="1200"/>
            <a:t>Deep level of understanding</a:t>
          </a:r>
        </a:p>
        <a:p>
          <a:pPr marL="57150" lvl="1" indent="-57150" algn="l" defTabSz="222250">
            <a:lnSpc>
              <a:spcPct val="90000"/>
            </a:lnSpc>
            <a:spcBef>
              <a:spcPct val="0"/>
            </a:spcBef>
            <a:spcAft>
              <a:spcPct val="15000"/>
            </a:spcAft>
            <a:buChar char="•"/>
          </a:pPr>
          <a:r>
            <a:rPr lang="en-US" sz="500" kern="1200"/>
            <a:t>Allow learner to reach conclusions</a:t>
          </a:r>
        </a:p>
        <a:p>
          <a:pPr marL="57150" lvl="1" indent="-57150" algn="l" defTabSz="222250">
            <a:lnSpc>
              <a:spcPct val="90000"/>
            </a:lnSpc>
            <a:spcBef>
              <a:spcPct val="0"/>
            </a:spcBef>
            <a:spcAft>
              <a:spcPct val="15000"/>
            </a:spcAft>
            <a:buChar char="•"/>
          </a:pPr>
          <a:r>
            <a:rPr lang="en-US" sz="500" kern="1200"/>
            <a:t>Achieved learning outcomes</a:t>
          </a:r>
        </a:p>
        <a:p>
          <a:pPr marL="57150" lvl="1" indent="-57150" algn="l" defTabSz="222250">
            <a:lnSpc>
              <a:spcPct val="90000"/>
            </a:lnSpc>
            <a:spcBef>
              <a:spcPct val="0"/>
            </a:spcBef>
            <a:spcAft>
              <a:spcPct val="15000"/>
            </a:spcAft>
            <a:buChar char="•"/>
          </a:pPr>
          <a:r>
            <a:rPr lang="en-US" sz="500" kern="1200"/>
            <a:t>Achieved an individual specific personal behaviour change</a:t>
          </a:r>
        </a:p>
      </dsp:txBody>
      <dsp:txXfrm>
        <a:off x="582193" y="1270401"/>
        <a:ext cx="1243288" cy="951847"/>
      </dsp:txXfrm>
    </dsp:sp>
    <dsp:sp modelId="{1376048C-2383-224D-A461-40933F5A1584}">
      <dsp:nvSpPr>
        <dsp:cNvPr id="0" name=""/>
        <dsp:cNvSpPr/>
      </dsp:nvSpPr>
      <dsp:spPr>
        <a:xfrm rot="16205966">
          <a:off x="1593004" y="2320965"/>
          <a:ext cx="2361380" cy="437245"/>
        </a:xfrm>
        <a:prstGeom prst="leftArrow">
          <a:avLst>
            <a:gd name="adj1" fmla="val 60000"/>
            <a:gd name="adj2" fmla="val 50000"/>
          </a:avLst>
        </a:prstGeom>
        <a:solidFill>
          <a:schemeClr val="accent5">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0512416A-A208-964C-9EEB-8692968D511C}">
      <dsp:nvSpPr>
        <dsp:cNvPr id="0" name=""/>
        <dsp:cNvSpPr/>
      </dsp:nvSpPr>
      <dsp:spPr>
        <a:xfrm>
          <a:off x="2138683" y="554989"/>
          <a:ext cx="1274119" cy="1607821"/>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t" anchorCtr="0">
          <a:noAutofit/>
        </a:bodyPr>
        <a:lstStyle/>
        <a:p>
          <a:pPr marL="0" lvl="0" indent="0" algn="ctr" defTabSz="266700">
            <a:lnSpc>
              <a:spcPct val="90000"/>
            </a:lnSpc>
            <a:spcBef>
              <a:spcPct val="0"/>
            </a:spcBef>
            <a:spcAft>
              <a:spcPct val="35000"/>
            </a:spcAft>
            <a:buNone/>
          </a:pPr>
          <a:r>
            <a:rPr lang="en-US" sz="600" kern="1200"/>
            <a:t>Faculty challenges</a:t>
          </a:r>
        </a:p>
        <a:p>
          <a:pPr marL="57150" lvl="1" indent="-57150" algn="l" defTabSz="222250">
            <a:lnSpc>
              <a:spcPct val="90000"/>
            </a:lnSpc>
            <a:spcBef>
              <a:spcPct val="0"/>
            </a:spcBef>
            <a:spcAft>
              <a:spcPct val="15000"/>
            </a:spcAft>
            <a:buChar char="•"/>
          </a:pPr>
          <a:r>
            <a:rPr lang="en-US" sz="500" kern="1200"/>
            <a:t>Debriefing is a high level skill - 'complex but with experience becomes natural'</a:t>
          </a:r>
        </a:p>
        <a:p>
          <a:pPr marL="57150" lvl="1" indent="-57150" algn="l" defTabSz="222250">
            <a:lnSpc>
              <a:spcPct val="90000"/>
            </a:lnSpc>
            <a:spcBef>
              <a:spcPct val="0"/>
            </a:spcBef>
            <a:spcAft>
              <a:spcPct val="15000"/>
            </a:spcAft>
            <a:buChar char="•"/>
          </a:pPr>
          <a:r>
            <a:rPr lang="en-US" sz="500" kern="1200"/>
            <a:t>Challenge to remain facilitative - avoid being authoratative</a:t>
          </a:r>
        </a:p>
        <a:p>
          <a:pPr marL="57150" lvl="1" indent="-57150" algn="l" defTabSz="222250">
            <a:lnSpc>
              <a:spcPct val="90000"/>
            </a:lnSpc>
            <a:spcBef>
              <a:spcPct val="0"/>
            </a:spcBef>
            <a:spcAft>
              <a:spcPct val="15000"/>
            </a:spcAft>
            <a:buChar char="•"/>
          </a:pPr>
          <a:r>
            <a:rPr lang="en-US" sz="500" kern="1200"/>
            <a:t>Cognitive thought processess need managing - is intense and complex</a:t>
          </a:r>
        </a:p>
        <a:p>
          <a:pPr marL="57150" lvl="1" indent="-57150" algn="l" defTabSz="222250">
            <a:lnSpc>
              <a:spcPct val="90000"/>
            </a:lnSpc>
            <a:spcBef>
              <a:spcPct val="0"/>
            </a:spcBef>
            <a:spcAft>
              <a:spcPct val="15000"/>
            </a:spcAft>
            <a:buChar char="•"/>
          </a:pPr>
          <a:r>
            <a:rPr lang="en-US" sz="500" kern="1200"/>
            <a:t>Need an interest and undestanding of complex cognitive processes to explore others and manage own</a:t>
          </a:r>
        </a:p>
        <a:p>
          <a:pPr marL="57150" lvl="1" indent="-57150" algn="l" defTabSz="222250">
            <a:lnSpc>
              <a:spcPct val="90000"/>
            </a:lnSpc>
            <a:spcBef>
              <a:spcPct val="0"/>
            </a:spcBef>
            <a:spcAft>
              <a:spcPct val="15000"/>
            </a:spcAft>
            <a:buChar char="•"/>
          </a:pPr>
          <a:r>
            <a:rPr lang="en-US" sz="500" kern="1200"/>
            <a:t>Need to be an active listener </a:t>
          </a:r>
        </a:p>
        <a:p>
          <a:pPr marL="57150" lvl="1" indent="-57150" algn="l" defTabSz="222250">
            <a:lnSpc>
              <a:spcPct val="90000"/>
            </a:lnSpc>
            <a:spcBef>
              <a:spcPct val="0"/>
            </a:spcBef>
            <a:spcAft>
              <a:spcPct val="15000"/>
            </a:spcAft>
            <a:buChar char="•"/>
          </a:pPr>
          <a:r>
            <a:rPr lang="en-US" sz="500" kern="1200"/>
            <a:t>Listen to internal supervisor</a:t>
          </a:r>
        </a:p>
        <a:p>
          <a:pPr marL="57150" lvl="1" indent="-57150" algn="l" defTabSz="222250">
            <a:lnSpc>
              <a:spcPct val="90000"/>
            </a:lnSpc>
            <a:spcBef>
              <a:spcPct val="0"/>
            </a:spcBef>
            <a:spcAft>
              <a:spcPct val="15000"/>
            </a:spcAft>
            <a:buChar char="•"/>
          </a:pPr>
          <a:r>
            <a:rPr lang="en-US" sz="500" kern="1200"/>
            <a:t>Need emotional intelligence</a:t>
          </a:r>
        </a:p>
        <a:p>
          <a:pPr marL="57150" lvl="1" indent="-57150" algn="l" defTabSz="222250">
            <a:lnSpc>
              <a:spcPct val="90000"/>
            </a:lnSpc>
            <a:spcBef>
              <a:spcPct val="0"/>
            </a:spcBef>
            <a:spcAft>
              <a:spcPct val="15000"/>
            </a:spcAft>
            <a:buChar char="•"/>
          </a:pPr>
          <a:r>
            <a:rPr lang="en-US" sz="500" kern="1200"/>
            <a:t>Be honest and flexible </a:t>
          </a:r>
        </a:p>
        <a:p>
          <a:pPr marL="57150" lvl="1" indent="-57150" algn="l" defTabSz="222250">
            <a:lnSpc>
              <a:spcPct val="90000"/>
            </a:lnSpc>
            <a:spcBef>
              <a:spcPct val="0"/>
            </a:spcBef>
            <a:spcAft>
              <a:spcPct val="15000"/>
            </a:spcAft>
            <a:buChar char="•"/>
          </a:pPr>
          <a:r>
            <a:rPr lang="en-US" sz="500" kern="1200"/>
            <a:t>Remain reflective and encourage conceptualisation</a:t>
          </a:r>
        </a:p>
        <a:p>
          <a:pPr marL="57150" lvl="1" indent="-57150" algn="l" defTabSz="222250">
            <a:lnSpc>
              <a:spcPct val="90000"/>
            </a:lnSpc>
            <a:spcBef>
              <a:spcPct val="0"/>
            </a:spcBef>
            <a:spcAft>
              <a:spcPct val="15000"/>
            </a:spcAft>
            <a:buChar char="•"/>
          </a:pPr>
          <a:r>
            <a:rPr lang="en-US" sz="500" kern="1200"/>
            <a:t>Be willing to share own mistakes and challenges</a:t>
          </a:r>
        </a:p>
      </dsp:txBody>
      <dsp:txXfrm>
        <a:off x="2176001" y="592307"/>
        <a:ext cx="1199483" cy="1533185"/>
      </dsp:txXfrm>
    </dsp:sp>
    <dsp:sp modelId="{35AB86C5-2F70-0642-A853-67E47F537B2A}">
      <dsp:nvSpPr>
        <dsp:cNvPr id="0" name=""/>
        <dsp:cNvSpPr/>
      </dsp:nvSpPr>
      <dsp:spPr>
        <a:xfrm rot="17756115">
          <a:off x="2628548" y="2626450"/>
          <a:ext cx="2221627" cy="437245"/>
        </a:xfrm>
        <a:prstGeom prst="leftArrow">
          <a:avLst>
            <a:gd name="adj1" fmla="val 60000"/>
            <a:gd name="adj2" fmla="val 50000"/>
          </a:avLst>
        </a:prstGeom>
        <a:solidFill>
          <a:schemeClr val="accent6">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3DBC4160-32D4-CD4A-A330-0BBE241CED5D}">
      <dsp:nvSpPr>
        <dsp:cNvPr id="0" name=""/>
        <dsp:cNvSpPr/>
      </dsp:nvSpPr>
      <dsp:spPr>
        <a:xfrm>
          <a:off x="3624587" y="1240808"/>
          <a:ext cx="1201188" cy="1210645"/>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t" anchorCtr="0">
          <a:noAutofit/>
        </a:bodyPr>
        <a:lstStyle/>
        <a:p>
          <a:pPr marL="0" lvl="0" indent="0" algn="ctr" defTabSz="266700">
            <a:lnSpc>
              <a:spcPct val="90000"/>
            </a:lnSpc>
            <a:spcBef>
              <a:spcPct val="0"/>
            </a:spcBef>
            <a:spcAft>
              <a:spcPct val="35000"/>
            </a:spcAft>
            <a:buNone/>
          </a:pPr>
          <a:r>
            <a:rPr lang="en-US" sz="600" kern="1200"/>
            <a:t>Models</a:t>
          </a:r>
        </a:p>
        <a:p>
          <a:pPr marL="57150" lvl="1" indent="-57150" algn="l" defTabSz="222250">
            <a:lnSpc>
              <a:spcPct val="90000"/>
            </a:lnSpc>
            <a:spcBef>
              <a:spcPct val="0"/>
            </a:spcBef>
            <a:spcAft>
              <a:spcPct val="15000"/>
            </a:spcAft>
            <a:buChar char="•"/>
          </a:pPr>
          <a:r>
            <a:rPr lang="en-US" sz="500" kern="1200"/>
            <a:t>Most sim training courses teach a primary model - benefits - recognisable structure/ universal language to self, peers and learners. Useful method when learning. Is directive and can 'measure self progress against it'. If 2 debriefers can use same model.</a:t>
          </a:r>
        </a:p>
        <a:p>
          <a:pPr marL="57150" lvl="1" indent="-57150" algn="l" defTabSz="222250">
            <a:lnSpc>
              <a:spcPct val="90000"/>
            </a:lnSpc>
            <a:spcBef>
              <a:spcPct val="0"/>
            </a:spcBef>
            <a:spcAft>
              <a:spcPct val="15000"/>
            </a:spcAft>
            <a:buChar char="•"/>
          </a:pPr>
          <a:r>
            <a:rPr lang="en-US" sz="500" kern="1200"/>
            <a:t>When had 'experience - becomes natural', can move away from model</a:t>
          </a:r>
        </a:p>
        <a:p>
          <a:pPr marL="57150" lvl="1" indent="-57150" algn="l" defTabSz="222250">
            <a:lnSpc>
              <a:spcPct val="90000"/>
            </a:lnSpc>
            <a:spcBef>
              <a:spcPct val="0"/>
            </a:spcBef>
            <a:spcAft>
              <a:spcPct val="15000"/>
            </a:spcAft>
            <a:buChar char="•"/>
          </a:pPr>
          <a:r>
            <a:rPr lang="en-US" sz="500" kern="1200"/>
            <a:t>Risks - too rigid. </a:t>
          </a:r>
        </a:p>
        <a:p>
          <a:pPr marL="57150" lvl="1" indent="-57150" algn="l" defTabSz="222250">
            <a:lnSpc>
              <a:spcPct val="90000"/>
            </a:lnSpc>
            <a:spcBef>
              <a:spcPct val="0"/>
            </a:spcBef>
            <a:spcAft>
              <a:spcPct val="15000"/>
            </a:spcAft>
            <a:buChar char="•"/>
          </a:pPr>
          <a:r>
            <a:rPr lang="en-US" sz="500" kern="1200"/>
            <a:t>Is a trajectory - learning - start with model - move away with experience</a:t>
          </a:r>
        </a:p>
      </dsp:txBody>
      <dsp:txXfrm>
        <a:off x="3659769" y="1275990"/>
        <a:ext cx="1130824" cy="1140281"/>
      </dsp:txXfrm>
    </dsp:sp>
    <dsp:sp modelId="{DA3A76B9-75D5-014D-8DDF-D75C3E4012C7}">
      <dsp:nvSpPr>
        <dsp:cNvPr id="0" name=""/>
        <dsp:cNvSpPr/>
      </dsp:nvSpPr>
      <dsp:spPr>
        <a:xfrm rot="19605866">
          <a:off x="3529049" y="3640544"/>
          <a:ext cx="1471575" cy="437245"/>
        </a:xfrm>
        <a:prstGeom prst="leftArrow">
          <a:avLst>
            <a:gd name="adj1" fmla="val 60000"/>
            <a:gd name="adj2" fmla="val 50000"/>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52493F77-7952-EB4A-8F05-9856E1FA3D4E}">
      <dsp:nvSpPr>
        <dsp:cNvPr id="0" name=""/>
        <dsp:cNvSpPr/>
      </dsp:nvSpPr>
      <dsp:spPr>
        <a:xfrm>
          <a:off x="4196078" y="2726708"/>
          <a:ext cx="1368378" cy="1458372"/>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t" anchorCtr="0">
          <a:noAutofit/>
        </a:bodyPr>
        <a:lstStyle/>
        <a:p>
          <a:pPr marL="0" lvl="0" indent="0" algn="ctr" defTabSz="266700">
            <a:lnSpc>
              <a:spcPct val="90000"/>
            </a:lnSpc>
            <a:spcBef>
              <a:spcPct val="0"/>
            </a:spcBef>
            <a:spcAft>
              <a:spcPct val="35000"/>
            </a:spcAft>
            <a:buNone/>
          </a:pPr>
          <a:r>
            <a:rPr lang="en-US" sz="600" kern="1200"/>
            <a:t>Method</a:t>
          </a:r>
        </a:p>
        <a:p>
          <a:pPr marL="57150" lvl="1" indent="-57150" algn="l" defTabSz="222250">
            <a:lnSpc>
              <a:spcPct val="90000"/>
            </a:lnSpc>
            <a:spcBef>
              <a:spcPct val="0"/>
            </a:spcBef>
            <a:spcAft>
              <a:spcPct val="15000"/>
            </a:spcAft>
            <a:buChar char="•"/>
          </a:pPr>
          <a:r>
            <a:rPr lang="en-US" sz="500" kern="1200"/>
            <a:t>Do need a structure</a:t>
          </a:r>
        </a:p>
        <a:p>
          <a:pPr marL="57150" lvl="1" indent="-57150" algn="l" defTabSz="222250">
            <a:lnSpc>
              <a:spcPct val="90000"/>
            </a:lnSpc>
            <a:spcBef>
              <a:spcPct val="0"/>
            </a:spcBef>
            <a:spcAft>
              <a:spcPct val="15000"/>
            </a:spcAft>
            <a:buChar char="•"/>
          </a:pPr>
          <a:r>
            <a:rPr lang="en-US" sz="500" kern="1200"/>
            <a:t>Open questions</a:t>
          </a:r>
        </a:p>
        <a:p>
          <a:pPr marL="57150" lvl="1" indent="-57150" algn="l" defTabSz="222250">
            <a:lnSpc>
              <a:spcPct val="90000"/>
            </a:lnSpc>
            <a:spcBef>
              <a:spcPct val="0"/>
            </a:spcBef>
            <a:spcAft>
              <a:spcPct val="15000"/>
            </a:spcAft>
            <a:buChar char="•"/>
          </a:pPr>
          <a:r>
            <a:rPr lang="en-US" sz="500" kern="1200"/>
            <a:t>Repeated quizzing of the group</a:t>
          </a:r>
        </a:p>
        <a:p>
          <a:pPr marL="57150" lvl="1" indent="-57150" algn="l" defTabSz="222250">
            <a:lnSpc>
              <a:spcPct val="90000"/>
            </a:lnSpc>
            <a:spcBef>
              <a:spcPct val="0"/>
            </a:spcBef>
            <a:spcAft>
              <a:spcPct val="15000"/>
            </a:spcAft>
            <a:buChar char="•"/>
          </a:pPr>
          <a:r>
            <a:rPr lang="en-US" sz="500" kern="1200"/>
            <a:t>Include all in group</a:t>
          </a:r>
        </a:p>
        <a:p>
          <a:pPr marL="57150" lvl="1" indent="-57150" algn="l" defTabSz="222250">
            <a:lnSpc>
              <a:spcPct val="90000"/>
            </a:lnSpc>
            <a:spcBef>
              <a:spcPct val="0"/>
            </a:spcBef>
            <a:spcAft>
              <a:spcPct val="15000"/>
            </a:spcAft>
            <a:buChar char="•"/>
          </a:pPr>
          <a:r>
            <a:rPr lang="en-US" sz="500" kern="1200"/>
            <a:t>Language - 'how did it feel?', 'can I explore with you...?' 'take me through', 'can you explain', 'at what point did you notice...' etc - avoid being judgmental</a:t>
          </a:r>
        </a:p>
        <a:p>
          <a:pPr marL="57150" lvl="1" indent="-57150" algn="l" defTabSz="222250">
            <a:lnSpc>
              <a:spcPct val="90000"/>
            </a:lnSpc>
            <a:spcBef>
              <a:spcPct val="0"/>
            </a:spcBef>
            <a:spcAft>
              <a:spcPct val="15000"/>
            </a:spcAft>
            <a:buChar char="•"/>
          </a:pPr>
          <a:r>
            <a:rPr lang="en-US" sz="500" kern="1200"/>
            <a:t>Importance of awareness of body language</a:t>
          </a:r>
        </a:p>
        <a:p>
          <a:pPr marL="57150" lvl="1" indent="-57150" algn="l" defTabSz="222250">
            <a:lnSpc>
              <a:spcPct val="90000"/>
            </a:lnSpc>
            <a:spcBef>
              <a:spcPct val="0"/>
            </a:spcBef>
            <a:spcAft>
              <a:spcPct val="15000"/>
            </a:spcAft>
            <a:buChar char="•"/>
          </a:pPr>
          <a:r>
            <a:rPr lang="en-US" sz="500" kern="1200"/>
            <a:t>Be active listener</a:t>
          </a:r>
        </a:p>
        <a:p>
          <a:pPr marL="57150" lvl="1" indent="-57150" algn="l" defTabSz="222250">
            <a:lnSpc>
              <a:spcPct val="90000"/>
            </a:lnSpc>
            <a:spcBef>
              <a:spcPct val="0"/>
            </a:spcBef>
            <a:spcAft>
              <a:spcPct val="15000"/>
            </a:spcAft>
            <a:buChar char="•"/>
          </a:pPr>
          <a:r>
            <a:rPr lang="en-US" sz="500" kern="1200"/>
            <a:t>If using video - noted times or bookmarks</a:t>
          </a:r>
        </a:p>
        <a:p>
          <a:pPr marL="57150" lvl="1" indent="-57150" algn="l" defTabSz="222250">
            <a:lnSpc>
              <a:spcPct val="90000"/>
            </a:lnSpc>
            <a:spcBef>
              <a:spcPct val="0"/>
            </a:spcBef>
            <a:spcAft>
              <a:spcPct val="15000"/>
            </a:spcAft>
            <a:buChar char="•"/>
          </a:pPr>
          <a:r>
            <a:rPr lang="en-US" sz="500" kern="1200"/>
            <a:t>Inject some humour</a:t>
          </a:r>
        </a:p>
        <a:p>
          <a:pPr marL="57150" lvl="1" indent="-57150" algn="l" defTabSz="222250">
            <a:lnSpc>
              <a:spcPct val="90000"/>
            </a:lnSpc>
            <a:spcBef>
              <a:spcPct val="0"/>
            </a:spcBef>
            <a:spcAft>
              <a:spcPct val="15000"/>
            </a:spcAft>
            <a:buChar char="•"/>
          </a:pPr>
          <a:r>
            <a:rPr lang="en-US" sz="500" kern="1200"/>
            <a:t>Share own mistakes and anecdotes</a:t>
          </a:r>
        </a:p>
      </dsp:txBody>
      <dsp:txXfrm>
        <a:off x="4236156" y="2766786"/>
        <a:ext cx="1288222" cy="1378216"/>
      </dsp:txXfrm>
    </dsp:sp>
    <dsp:sp modelId="{398F50A2-D4F1-704B-8737-C21283DF613E}">
      <dsp:nvSpPr>
        <dsp:cNvPr id="0" name=""/>
        <dsp:cNvSpPr/>
      </dsp:nvSpPr>
      <dsp:spPr>
        <a:xfrm rot="532518">
          <a:off x="3774845" y="4862565"/>
          <a:ext cx="1093149" cy="437245"/>
        </a:xfrm>
        <a:prstGeom prst="lef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4762673D-1965-A04E-AD5A-454A61A40E92}">
      <dsp:nvSpPr>
        <dsp:cNvPr id="0" name=""/>
        <dsp:cNvSpPr/>
      </dsp:nvSpPr>
      <dsp:spPr>
        <a:xfrm>
          <a:off x="4196087" y="4441184"/>
          <a:ext cx="1330726" cy="1448664"/>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t" anchorCtr="0">
          <a:noAutofit/>
        </a:bodyPr>
        <a:lstStyle/>
        <a:p>
          <a:pPr marL="0" lvl="0" indent="0" algn="ctr" defTabSz="266700">
            <a:lnSpc>
              <a:spcPct val="90000"/>
            </a:lnSpc>
            <a:spcBef>
              <a:spcPct val="0"/>
            </a:spcBef>
            <a:spcAft>
              <a:spcPct val="35000"/>
            </a:spcAft>
            <a:buNone/>
          </a:pPr>
          <a:r>
            <a:rPr lang="en-US" sz="600" kern="1200"/>
            <a:t>Structure</a:t>
          </a:r>
        </a:p>
        <a:p>
          <a:pPr marL="57150" lvl="1" indent="-57150" algn="l" defTabSz="222250">
            <a:lnSpc>
              <a:spcPct val="90000"/>
            </a:lnSpc>
            <a:spcBef>
              <a:spcPct val="0"/>
            </a:spcBef>
            <a:spcAft>
              <a:spcPct val="15000"/>
            </a:spcAft>
            <a:buChar char="•"/>
          </a:pPr>
          <a:r>
            <a:rPr lang="en-US" sz="500" kern="1200"/>
            <a:t>Allow time to offload inital thoughts and feelings</a:t>
          </a:r>
        </a:p>
        <a:p>
          <a:pPr marL="57150" lvl="1" indent="-57150" algn="l" defTabSz="222250">
            <a:lnSpc>
              <a:spcPct val="90000"/>
            </a:lnSpc>
            <a:spcBef>
              <a:spcPct val="0"/>
            </a:spcBef>
            <a:spcAft>
              <a:spcPct val="15000"/>
            </a:spcAft>
            <a:buChar char="•"/>
          </a:pPr>
          <a:r>
            <a:rPr lang="en-US" sz="500" kern="1200"/>
            <a:t>Story - factual story about what hapened - can be candidate or another member walking though - allows items to emerge</a:t>
          </a:r>
        </a:p>
        <a:p>
          <a:pPr marL="57150" lvl="1" indent="-57150" algn="l" defTabSz="222250">
            <a:lnSpc>
              <a:spcPct val="90000"/>
            </a:lnSpc>
            <a:spcBef>
              <a:spcPct val="0"/>
            </a:spcBef>
            <a:spcAft>
              <a:spcPct val="15000"/>
            </a:spcAft>
            <a:buChar char="•"/>
          </a:pPr>
          <a:r>
            <a:rPr lang="en-US" sz="500" kern="1200"/>
            <a:t>Exploration - objective and subjective - why and what was thinking</a:t>
          </a:r>
        </a:p>
        <a:p>
          <a:pPr marL="57150" lvl="1" indent="-57150" algn="l" defTabSz="222250">
            <a:lnSpc>
              <a:spcPct val="90000"/>
            </a:lnSpc>
            <a:spcBef>
              <a:spcPct val="0"/>
            </a:spcBef>
            <a:spcAft>
              <a:spcPct val="15000"/>
            </a:spcAft>
            <a:buChar char="•"/>
          </a:pPr>
          <a:r>
            <a:rPr lang="en-US" sz="500" kern="1200"/>
            <a:t>Self reflection- processing and understanding</a:t>
          </a:r>
        </a:p>
        <a:p>
          <a:pPr marL="57150" lvl="1" indent="-57150" algn="l" defTabSz="222250">
            <a:lnSpc>
              <a:spcPct val="90000"/>
            </a:lnSpc>
            <a:spcBef>
              <a:spcPct val="0"/>
            </a:spcBef>
            <a:spcAft>
              <a:spcPct val="15000"/>
            </a:spcAft>
            <a:buChar char="•"/>
          </a:pPr>
          <a:r>
            <a:rPr lang="en-US" sz="500" kern="1200"/>
            <a:t>Analysis - impact of behaviour/ decision - alternatives</a:t>
          </a:r>
        </a:p>
        <a:p>
          <a:pPr marL="57150" lvl="1" indent="-57150" algn="l" defTabSz="222250">
            <a:lnSpc>
              <a:spcPct val="90000"/>
            </a:lnSpc>
            <a:spcBef>
              <a:spcPct val="0"/>
            </a:spcBef>
            <a:spcAft>
              <a:spcPct val="15000"/>
            </a:spcAft>
            <a:buChar char="•"/>
          </a:pPr>
          <a:r>
            <a:rPr lang="en-US" sz="500" kern="1200"/>
            <a:t>Consequence learning</a:t>
          </a:r>
        </a:p>
        <a:p>
          <a:pPr marL="57150" lvl="1" indent="-57150" algn="l" defTabSz="222250">
            <a:lnSpc>
              <a:spcPct val="90000"/>
            </a:lnSpc>
            <a:spcBef>
              <a:spcPct val="0"/>
            </a:spcBef>
            <a:spcAft>
              <a:spcPct val="15000"/>
            </a:spcAft>
            <a:buChar char="•"/>
          </a:pPr>
          <a:r>
            <a:rPr lang="en-US" sz="500" kern="1200"/>
            <a:t>Practicalities - how to change behaviour</a:t>
          </a:r>
        </a:p>
        <a:p>
          <a:pPr marL="57150" lvl="1" indent="-57150" algn="l" defTabSz="222250">
            <a:lnSpc>
              <a:spcPct val="90000"/>
            </a:lnSpc>
            <a:spcBef>
              <a:spcPct val="0"/>
            </a:spcBef>
            <a:spcAft>
              <a:spcPct val="15000"/>
            </a:spcAft>
            <a:buChar char="•"/>
          </a:pPr>
          <a:endParaRPr lang="en-US" sz="400" kern="1200"/>
        </a:p>
      </dsp:txBody>
      <dsp:txXfrm>
        <a:off x="4235063" y="4480160"/>
        <a:ext cx="1252774" cy="1370712"/>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6426" y="101519"/>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30088"/>
        <a:ext cx="449992" cy="192854"/>
      </dsp:txXfrm>
    </dsp:sp>
    <dsp:sp modelId="{28826DD3-E030-6044-B2F2-D85EF85F6960}">
      <dsp:nvSpPr>
        <dsp:cNvPr id="0" name=""/>
        <dsp:cNvSpPr/>
      </dsp:nvSpPr>
      <dsp:spPr>
        <a:xfrm rot="5400000">
          <a:off x="2520511" y="-2065425"/>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Background and rationale</a:t>
          </a:r>
        </a:p>
        <a:p>
          <a:pPr marL="57150" lvl="1" indent="-57150" algn="l" defTabSz="355600">
            <a:lnSpc>
              <a:spcPct val="90000"/>
            </a:lnSpc>
            <a:spcBef>
              <a:spcPct val="0"/>
            </a:spcBef>
            <a:spcAft>
              <a:spcPct val="15000"/>
            </a:spcAft>
            <a:buChar char="•"/>
          </a:pPr>
          <a:r>
            <a:rPr lang="en-US" sz="800" kern="1200"/>
            <a:t>Design and structure of thesis</a:t>
          </a:r>
        </a:p>
        <a:p>
          <a:pPr marL="57150" lvl="1" indent="-57150" algn="l" defTabSz="355600">
            <a:lnSpc>
              <a:spcPct val="90000"/>
            </a:lnSpc>
            <a:spcBef>
              <a:spcPct val="0"/>
            </a:spcBef>
            <a:spcAft>
              <a:spcPct val="15000"/>
            </a:spcAft>
            <a:buChar char="•"/>
          </a:pPr>
          <a:r>
            <a:rPr lang="en-US" sz="800" kern="1200"/>
            <a:t>Research question</a:t>
          </a:r>
        </a:p>
      </dsp:txBody>
      <dsp:txXfrm rot="-5400000">
        <a:off x="449993" y="25491"/>
        <a:ext cx="4538489" cy="377054"/>
      </dsp:txXfrm>
    </dsp:sp>
    <dsp:sp modelId="{B422BFF3-8BFD-2144-8980-375702EA9496}">
      <dsp:nvSpPr>
        <dsp:cNvPr id="0" name=""/>
        <dsp:cNvSpPr/>
      </dsp:nvSpPr>
      <dsp:spPr>
        <a:xfrm rot="5400000">
          <a:off x="-96426" y="687074"/>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815643"/>
        <a:ext cx="449992" cy="192854"/>
      </dsp:txXfrm>
    </dsp:sp>
    <dsp:sp modelId="{8BDAA81E-2E4E-9C4A-9A67-4855D9BA1510}">
      <dsp:nvSpPr>
        <dsp:cNvPr id="0" name=""/>
        <dsp:cNvSpPr/>
      </dsp:nvSpPr>
      <dsp:spPr>
        <a:xfrm rot="5400000">
          <a:off x="2520511" y="-1479870"/>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The undergraduate medical curriculum and preapredness to practice</a:t>
          </a:r>
        </a:p>
        <a:p>
          <a:pPr marL="57150" lvl="1" indent="-57150" algn="l" defTabSz="355600">
            <a:lnSpc>
              <a:spcPct val="90000"/>
            </a:lnSpc>
            <a:spcBef>
              <a:spcPct val="0"/>
            </a:spcBef>
            <a:spcAft>
              <a:spcPct val="15000"/>
            </a:spcAft>
            <a:buChar char="•"/>
          </a:pPr>
          <a:r>
            <a:rPr lang="en-US" sz="800" kern="1200"/>
            <a:t>Simulation Based medical education - theory, evidence and best practice</a:t>
          </a:r>
        </a:p>
        <a:p>
          <a:pPr marL="57150" lvl="1" indent="-57150" algn="l" defTabSz="355600">
            <a:lnSpc>
              <a:spcPct val="90000"/>
            </a:lnSpc>
            <a:spcBef>
              <a:spcPct val="0"/>
            </a:spcBef>
            <a:spcAft>
              <a:spcPct val="15000"/>
            </a:spcAft>
            <a:buChar char="•"/>
          </a:pPr>
          <a:r>
            <a:rPr lang="en-US" sz="800" kern="1200"/>
            <a:t>Confidence and competence</a:t>
          </a:r>
        </a:p>
      </dsp:txBody>
      <dsp:txXfrm rot="-5400000">
        <a:off x="449993" y="611046"/>
        <a:ext cx="4538489" cy="377054"/>
      </dsp:txXfrm>
    </dsp:sp>
    <dsp:sp modelId="{A0202F08-BEC9-8F43-8711-F30ADE817D18}">
      <dsp:nvSpPr>
        <dsp:cNvPr id="0" name=""/>
        <dsp:cNvSpPr/>
      </dsp:nvSpPr>
      <dsp:spPr>
        <a:xfrm rot="5400000">
          <a:off x="-96426" y="1272629"/>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1" y="1401198"/>
        <a:ext cx="449992" cy="192854"/>
      </dsp:txXfrm>
    </dsp:sp>
    <dsp:sp modelId="{06B263AD-CC10-0D49-8145-0C283F585CD5}">
      <dsp:nvSpPr>
        <dsp:cNvPr id="0" name=""/>
        <dsp:cNvSpPr/>
      </dsp:nvSpPr>
      <dsp:spPr>
        <a:xfrm rot="5400000">
          <a:off x="2520511" y="-894316"/>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Research design - quantitative and qualitative methods</a:t>
          </a:r>
        </a:p>
        <a:p>
          <a:pPr marL="57150" lvl="1" indent="-57150" algn="l" defTabSz="355600">
            <a:lnSpc>
              <a:spcPct val="90000"/>
            </a:lnSpc>
            <a:spcBef>
              <a:spcPct val="0"/>
            </a:spcBef>
            <a:spcAft>
              <a:spcPct val="15000"/>
            </a:spcAft>
            <a:buChar char="•"/>
          </a:pPr>
          <a:r>
            <a:rPr lang="en-US" sz="800" kern="1200"/>
            <a:t>Triangulation of data</a:t>
          </a:r>
        </a:p>
        <a:p>
          <a:pPr marL="57150" lvl="1" indent="-57150" algn="l" defTabSz="355600">
            <a:lnSpc>
              <a:spcPct val="90000"/>
            </a:lnSpc>
            <a:spcBef>
              <a:spcPct val="0"/>
            </a:spcBef>
            <a:spcAft>
              <a:spcPct val="15000"/>
            </a:spcAft>
            <a:buChar char="•"/>
          </a:pPr>
          <a:r>
            <a:rPr lang="en-US" sz="800" kern="1200"/>
            <a:t>Data analysis</a:t>
          </a:r>
        </a:p>
      </dsp:txBody>
      <dsp:txXfrm rot="-5400000">
        <a:off x="449993" y="1196600"/>
        <a:ext cx="4538489" cy="377054"/>
      </dsp:txXfrm>
    </dsp:sp>
    <dsp:sp modelId="{31EA3204-EDC1-4F43-84C9-41DE884256E5}">
      <dsp:nvSpPr>
        <dsp:cNvPr id="0" name=""/>
        <dsp:cNvSpPr/>
      </dsp:nvSpPr>
      <dsp:spPr>
        <a:xfrm rot="5400000">
          <a:off x="-96426" y="1858184"/>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1" y="1986753"/>
        <a:ext cx="449992" cy="192854"/>
      </dsp:txXfrm>
    </dsp:sp>
    <dsp:sp modelId="{9D5418D3-F08D-8545-87B2-2FD7B1D1031E}">
      <dsp:nvSpPr>
        <dsp:cNvPr id="0" name=""/>
        <dsp:cNvSpPr/>
      </dsp:nvSpPr>
      <dsp:spPr>
        <a:xfrm rot="5400000">
          <a:off x="2520511" y="-308761"/>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Methods</a:t>
          </a:r>
        </a:p>
        <a:p>
          <a:pPr marL="57150" lvl="1" indent="-57150" algn="l" defTabSz="355600">
            <a:lnSpc>
              <a:spcPct val="90000"/>
            </a:lnSpc>
            <a:spcBef>
              <a:spcPct val="0"/>
            </a:spcBef>
            <a:spcAft>
              <a:spcPct val="15000"/>
            </a:spcAft>
            <a:buChar char="•"/>
          </a:pPr>
          <a:r>
            <a:rPr lang="en-US" sz="800" kern="1200"/>
            <a:t>Emergent themes</a:t>
          </a:r>
        </a:p>
        <a:p>
          <a:pPr marL="57150" lvl="1" indent="-57150" algn="l" defTabSz="355600">
            <a:lnSpc>
              <a:spcPct val="90000"/>
            </a:lnSpc>
            <a:spcBef>
              <a:spcPct val="0"/>
            </a:spcBef>
            <a:spcAft>
              <a:spcPct val="15000"/>
            </a:spcAft>
            <a:buChar char="•"/>
          </a:pPr>
          <a:r>
            <a:rPr lang="en-US" sz="800" kern="1200"/>
            <a:t>Venn diagram to summarise</a:t>
          </a:r>
        </a:p>
      </dsp:txBody>
      <dsp:txXfrm rot="-5400000">
        <a:off x="449993" y="1782155"/>
        <a:ext cx="4538489" cy="377054"/>
      </dsp:txXfrm>
    </dsp:sp>
    <dsp:sp modelId="{CCC28DE8-0568-7547-9A1F-3C6F0F33A2CF}">
      <dsp:nvSpPr>
        <dsp:cNvPr id="0" name=""/>
        <dsp:cNvSpPr/>
      </dsp:nvSpPr>
      <dsp:spPr>
        <a:xfrm rot="5400000">
          <a:off x="-96426" y="2443739"/>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1" y="2572308"/>
        <a:ext cx="449992" cy="192854"/>
      </dsp:txXfrm>
    </dsp:sp>
    <dsp:sp modelId="{F1EE7E3F-25DA-8041-85A7-EBBF11BC4C56}">
      <dsp:nvSpPr>
        <dsp:cNvPr id="0" name=""/>
        <dsp:cNvSpPr/>
      </dsp:nvSpPr>
      <dsp:spPr>
        <a:xfrm rot="5400000">
          <a:off x="2520511" y="276793"/>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Educational theory, equipment</a:t>
          </a:r>
        </a:p>
        <a:p>
          <a:pPr marL="57150" lvl="1" indent="-57150" algn="l" defTabSz="355600">
            <a:lnSpc>
              <a:spcPct val="90000"/>
            </a:lnSpc>
            <a:spcBef>
              <a:spcPct val="0"/>
            </a:spcBef>
            <a:spcAft>
              <a:spcPct val="15000"/>
            </a:spcAft>
            <a:buChar char="•"/>
          </a:pPr>
          <a:r>
            <a:rPr lang="en-US" sz="800" kern="1200"/>
            <a:t>Assessment design and validation</a:t>
          </a:r>
        </a:p>
      </dsp:txBody>
      <dsp:txXfrm rot="-5400000">
        <a:off x="449993" y="2367709"/>
        <a:ext cx="4538489" cy="377054"/>
      </dsp:txXfrm>
    </dsp:sp>
    <dsp:sp modelId="{844AC346-AEB9-A649-8C9D-DBF2769C8FFC}">
      <dsp:nvSpPr>
        <dsp:cNvPr id="0" name=""/>
        <dsp:cNvSpPr/>
      </dsp:nvSpPr>
      <dsp:spPr>
        <a:xfrm rot="5400000">
          <a:off x="-96426" y="3029293"/>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3157862"/>
        <a:ext cx="449992" cy="192854"/>
      </dsp:txXfrm>
    </dsp:sp>
    <dsp:sp modelId="{C80BEB0B-E1AB-4443-9F91-9D6894D7833E}">
      <dsp:nvSpPr>
        <dsp:cNvPr id="0" name=""/>
        <dsp:cNvSpPr/>
      </dsp:nvSpPr>
      <dsp:spPr>
        <a:xfrm rot="5400000">
          <a:off x="2520511" y="862348"/>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Aims and objectives, methods, results</a:t>
          </a:r>
        </a:p>
        <a:p>
          <a:pPr marL="57150" lvl="1" indent="-57150" algn="l" defTabSz="355600">
            <a:lnSpc>
              <a:spcPct val="90000"/>
            </a:lnSpc>
            <a:spcBef>
              <a:spcPct val="0"/>
            </a:spcBef>
            <a:spcAft>
              <a:spcPct val="15000"/>
            </a:spcAft>
            <a:buChar char="•"/>
          </a:pPr>
          <a:r>
            <a:rPr lang="en-US" sz="800" kern="1200"/>
            <a:t>Data analysis, conclusions</a:t>
          </a:r>
        </a:p>
      </dsp:txBody>
      <dsp:txXfrm rot="-5400000">
        <a:off x="449993" y="2953264"/>
        <a:ext cx="4538489" cy="377054"/>
      </dsp:txXfrm>
    </dsp:sp>
    <dsp:sp modelId="{B9872B13-1174-E847-A615-29577404DF21}">
      <dsp:nvSpPr>
        <dsp:cNvPr id="0" name=""/>
        <dsp:cNvSpPr/>
      </dsp:nvSpPr>
      <dsp:spPr>
        <a:xfrm rot="5400000">
          <a:off x="-96426" y="3614848"/>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743417"/>
        <a:ext cx="449992" cy="192854"/>
      </dsp:txXfrm>
    </dsp:sp>
    <dsp:sp modelId="{DCD4A931-4F01-F440-965B-DC25AA6FE080}">
      <dsp:nvSpPr>
        <dsp:cNvPr id="0" name=""/>
        <dsp:cNvSpPr/>
      </dsp:nvSpPr>
      <dsp:spPr>
        <a:xfrm rot="5400000">
          <a:off x="2520511" y="1447903"/>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Aims and objectives, methods, results</a:t>
          </a:r>
        </a:p>
        <a:p>
          <a:pPr marL="57150" lvl="1" indent="-57150" algn="l" defTabSz="355600">
            <a:lnSpc>
              <a:spcPct val="90000"/>
            </a:lnSpc>
            <a:spcBef>
              <a:spcPct val="0"/>
            </a:spcBef>
            <a:spcAft>
              <a:spcPct val="15000"/>
            </a:spcAft>
            <a:buChar char="•"/>
          </a:pPr>
          <a:r>
            <a:rPr lang="en-US" sz="800" kern="1200"/>
            <a:t>Quantitative and qualitative data collection and analysis </a:t>
          </a:r>
        </a:p>
        <a:p>
          <a:pPr marL="57150" lvl="1" indent="-57150" algn="l" defTabSz="355600">
            <a:lnSpc>
              <a:spcPct val="90000"/>
            </a:lnSpc>
            <a:spcBef>
              <a:spcPct val="0"/>
            </a:spcBef>
            <a:spcAft>
              <a:spcPct val="15000"/>
            </a:spcAft>
            <a:buChar char="•"/>
          </a:pPr>
          <a:r>
            <a:rPr lang="en-US" sz="800" kern="1200"/>
            <a:t>Results</a:t>
          </a:r>
        </a:p>
      </dsp:txBody>
      <dsp:txXfrm rot="-5400000">
        <a:off x="449993" y="3538819"/>
        <a:ext cx="4538489" cy="377054"/>
      </dsp:txXfrm>
    </dsp:sp>
    <dsp:sp modelId="{C0E30384-FDC6-6547-8FCE-D108DE5FA3D9}">
      <dsp:nvSpPr>
        <dsp:cNvPr id="0" name=""/>
        <dsp:cNvSpPr/>
      </dsp:nvSpPr>
      <dsp:spPr>
        <a:xfrm rot="5400000">
          <a:off x="-96426" y="4200403"/>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1" y="4328972"/>
        <a:ext cx="449992" cy="192854"/>
      </dsp:txXfrm>
    </dsp:sp>
    <dsp:sp modelId="{B1EC54AB-071B-E645-9777-AA8C431725C8}">
      <dsp:nvSpPr>
        <dsp:cNvPr id="0" name=""/>
        <dsp:cNvSpPr/>
      </dsp:nvSpPr>
      <dsp:spPr>
        <a:xfrm rot="5400000">
          <a:off x="2520511" y="2033457"/>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Conceptual framework, conclusions</a:t>
          </a:r>
        </a:p>
      </dsp:txBody>
      <dsp:txXfrm rot="-5400000">
        <a:off x="449993" y="4124373"/>
        <a:ext cx="4538489" cy="377054"/>
      </dsp:txXfrm>
    </dsp:sp>
    <dsp:sp modelId="{E86BF6A3-BA90-BB43-908F-24E76E7D1587}">
      <dsp:nvSpPr>
        <dsp:cNvPr id="0" name=""/>
        <dsp:cNvSpPr/>
      </dsp:nvSpPr>
      <dsp:spPr>
        <a:xfrm rot="5400000">
          <a:off x="-96426" y="4785958"/>
          <a:ext cx="642846" cy="449992"/>
        </a:xfrm>
        <a:prstGeom prst="chevron">
          <a:avLst/>
        </a:prstGeom>
        <a:solidFill>
          <a:srgbClr val="953735"/>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4914527"/>
        <a:ext cx="449992" cy="192854"/>
      </dsp:txXfrm>
    </dsp:sp>
    <dsp:sp modelId="{E2DE84BA-2462-A242-AC94-46E19F99F1BB}">
      <dsp:nvSpPr>
        <dsp:cNvPr id="0" name=""/>
        <dsp:cNvSpPr/>
      </dsp:nvSpPr>
      <dsp:spPr>
        <a:xfrm rot="5400000">
          <a:off x="2520511" y="2619012"/>
          <a:ext cx="417850" cy="4558887"/>
        </a:xfrm>
        <a:prstGeom prst="round2SameRect">
          <a:avLst/>
        </a:prstGeom>
        <a:solidFill>
          <a:srgbClr val="953735">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672" tIns="3810" rIns="3810" bIns="3810" numCol="1" spcCol="1270" anchor="ctr" anchorCtr="0">
          <a:noAutofit/>
        </a:bodyPr>
        <a:lstStyle/>
        <a:p>
          <a:pPr marL="57150" lvl="1" indent="-57150" algn="l" defTabSz="266700">
            <a:lnSpc>
              <a:spcPct val="90000"/>
            </a:lnSpc>
            <a:spcBef>
              <a:spcPct val="0"/>
            </a:spcBef>
            <a:spcAft>
              <a:spcPct val="15000"/>
            </a:spcAft>
            <a:buChar char="•"/>
          </a:pPr>
          <a:r>
            <a:rPr lang="en-US" sz="600" kern="1200">
              <a:solidFill>
                <a:srgbClr val="FFFFFF"/>
              </a:solidFill>
            </a:rPr>
            <a:t>Preparedness for practice</a:t>
          </a:r>
        </a:p>
        <a:p>
          <a:pPr marL="57150" lvl="1" indent="-57150" algn="l" defTabSz="266700">
            <a:lnSpc>
              <a:spcPct val="90000"/>
            </a:lnSpc>
            <a:spcBef>
              <a:spcPct val="0"/>
            </a:spcBef>
            <a:spcAft>
              <a:spcPct val="15000"/>
            </a:spcAft>
            <a:buChar char="•"/>
          </a:pPr>
          <a:r>
            <a:rPr lang="en-US" sz="600" kern="1200">
              <a:solidFill>
                <a:srgbClr val="FFFFFF"/>
              </a:solidFill>
            </a:rPr>
            <a:t>Added value of simulation</a:t>
          </a:r>
        </a:p>
        <a:p>
          <a:pPr marL="57150" lvl="1" indent="-57150" algn="l" defTabSz="266700">
            <a:lnSpc>
              <a:spcPct val="90000"/>
            </a:lnSpc>
            <a:spcBef>
              <a:spcPct val="0"/>
            </a:spcBef>
            <a:spcAft>
              <a:spcPct val="15000"/>
            </a:spcAft>
            <a:buChar char="•"/>
          </a:pPr>
          <a:r>
            <a:rPr lang="en-US" sz="600" kern="1200">
              <a:solidFill>
                <a:srgbClr val="FFFFFF"/>
              </a:solidFill>
            </a:rPr>
            <a:t>Clinical cognitive competence</a:t>
          </a:r>
        </a:p>
        <a:p>
          <a:pPr marL="57150" lvl="1" indent="-57150" algn="l" defTabSz="266700">
            <a:lnSpc>
              <a:spcPct val="90000"/>
            </a:lnSpc>
            <a:spcBef>
              <a:spcPct val="0"/>
            </a:spcBef>
            <a:spcAft>
              <a:spcPct val="15000"/>
            </a:spcAft>
            <a:buChar char="•"/>
          </a:pPr>
          <a:r>
            <a:rPr lang="en-US" sz="600" kern="1200">
              <a:solidFill>
                <a:srgbClr val="FFFFFF"/>
              </a:solidFill>
            </a:rPr>
            <a:t>Clinical skills trajectory: Basics to mastery</a:t>
          </a:r>
        </a:p>
        <a:p>
          <a:pPr marL="57150" lvl="1" indent="-57150" algn="l" defTabSz="266700">
            <a:lnSpc>
              <a:spcPct val="90000"/>
            </a:lnSpc>
            <a:spcBef>
              <a:spcPct val="0"/>
            </a:spcBef>
            <a:spcAft>
              <a:spcPct val="15000"/>
            </a:spcAft>
            <a:buChar char="•"/>
          </a:pPr>
          <a:r>
            <a:rPr lang="en-US" sz="600" kern="1200">
              <a:solidFill>
                <a:srgbClr val="FFFFFF"/>
              </a:solidFill>
            </a:rPr>
            <a:t>Best practice guidance SBME</a:t>
          </a:r>
        </a:p>
      </dsp:txBody>
      <dsp:txXfrm rot="-5400000">
        <a:off x="449993" y="4709928"/>
        <a:ext cx="4538489" cy="377054"/>
      </dsp:txXfrm>
    </dsp:sp>
    <dsp:sp modelId="{B88D95AA-AFFF-224F-9EBE-1226F2119586}">
      <dsp:nvSpPr>
        <dsp:cNvPr id="0" name=""/>
        <dsp:cNvSpPr/>
      </dsp:nvSpPr>
      <dsp:spPr>
        <a:xfrm rot="5400000">
          <a:off x="-96426" y="5371513"/>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500082"/>
        <a:ext cx="449992" cy="192854"/>
      </dsp:txXfrm>
    </dsp:sp>
    <dsp:sp modelId="{BC4A5DFE-0373-0044-B473-93ADEF2A2324}">
      <dsp:nvSpPr>
        <dsp:cNvPr id="0" name=""/>
        <dsp:cNvSpPr/>
      </dsp:nvSpPr>
      <dsp:spPr>
        <a:xfrm rot="5400000">
          <a:off x="2520511" y="3204567"/>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Added value of SBME</a:t>
          </a:r>
        </a:p>
        <a:p>
          <a:pPr marL="57150" lvl="1" indent="-57150" algn="l" defTabSz="355600">
            <a:lnSpc>
              <a:spcPct val="90000"/>
            </a:lnSpc>
            <a:spcBef>
              <a:spcPct val="0"/>
            </a:spcBef>
            <a:spcAft>
              <a:spcPct val="15000"/>
            </a:spcAft>
            <a:buChar char="•"/>
          </a:pPr>
          <a:r>
            <a:rPr lang="en-US" sz="800" kern="1200"/>
            <a:t>Educational theory that underpins</a:t>
          </a:r>
        </a:p>
        <a:p>
          <a:pPr marL="57150" lvl="1" indent="-57150" algn="l" defTabSz="355600">
            <a:lnSpc>
              <a:spcPct val="90000"/>
            </a:lnSpc>
            <a:spcBef>
              <a:spcPct val="0"/>
            </a:spcBef>
            <a:spcAft>
              <a:spcPct val="15000"/>
            </a:spcAft>
            <a:buChar char="•"/>
          </a:pPr>
          <a:r>
            <a:rPr lang="en-US" sz="800" kern="1200"/>
            <a:t>Wider application of research - lessons </a:t>
          </a:r>
        </a:p>
      </dsp:txBody>
      <dsp:txXfrm rot="-5400000">
        <a:off x="449993" y="5295483"/>
        <a:ext cx="4538489" cy="377054"/>
      </dsp:txXfrm>
    </dsp:sp>
    <dsp:sp modelId="{ED0EEAAD-1F9F-C445-9ED5-D61D26A0F8D1}">
      <dsp:nvSpPr>
        <dsp:cNvPr id="0" name=""/>
        <dsp:cNvSpPr/>
      </dsp:nvSpPr>
      <dsp:spPr>
        <a:xfrm rot="5400000">
          <a:off x="-96426" y="5957067"/>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6085636"/>
        <a:ext cx="449992" cy="192854"/>
      </dsp:txXfrm>
    </dsp:sp>
    <dsp:sp modelId="{C174B10A-41E6-244B-88CB-0D08E5FFF5F9}">
      <dsp:nvSpPr>
        <dsp:cNvPr id="0" name=""/>
        <dsp:cNvSpPr/>
      </dsp:nvSpPr>
      <dsp:spPr>
        <a:xfrm rot="5400000">
          <a:off x="2520401" y="3790232"/>
          <a:ext cx="418069"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Resilience</a:t>
          </a:r>
        </a:p>
        <a:p>
          <a:pPr marL="57150" lvl="1" indent="-57150" algn="l" defTabSz="355600">
            <a:lnSpc>
              <a:spcPct val="90000"/>
            </a:lnSpc>
            <a:spcBef>
              <a:spcPct val="0"/>
            </a:spcBef>
            <a:spcAft>
              <a:spcPct val="15000"/>
            </a:spcAft>
            <a:buChar char="•"/>
          </a:pPr>
          <a:r>
            <a:rPr lang="en-US" sz="800" kern="1200"/>
            <a:t>Responsibility</a:t>
          </a:r>
        </a:p>
        <a:p>
          <a:pPr marL="57150" lvl="1" indent="-57150" algn="l" defTabSz="355600">
            <a:lnSpc>
              <a:spcPct val="90000"/>
            </a:lnSpc>
            <a:spcBef>
              <a:spcPct val="0"/>
            </a:spcBef>
            <a:spcAft>
              <a:spcPct val="15000"/>
            </a:spcAft>
            <a:buChar char="•"/>
          </a:pPr>
          <a:r>
            <a:rPr lang="en-US" sz="800" kern="1200"/>
            <a:t>Simulation for assessment</a:t>
          </a:r>
        </a:p>
      </dsp:txBody>
      <dsp:txXfrm rot="-5400000">
        <a:off x="449992" y="5881049"/>
        <a:ext cx="4538479" cy="377253"/>
      </dsp:txXfrm>
    </dsp:sp>
    <dsp:sp modelId="{6DDDE256-1CA3-1140-A939-5530FC1F57D3}">
      <dsp:nvSpPr>
        <dsp:cNvPr id="0" name=""/>
        <dsp:cNvSpPr/>
      </dsp:nvSpPr>
      <dsp:spPr>
        <a:xfrm rot="5400000">
          <a:off x="-96426" y="6542622"/>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671191"/>
        <a:ext cx="449992" cy="192854"/>
      </dsp:txXfrm>
    </dsp:sp>
    <dsp:sp modelId="{999FDDA9-9F6A-1143-BE3C-B1E07CBE9945}">
      <dsp:nvSpPr>
        <dsp:cNvPr id="0" name=""/>
        <dsp:cNvSpPr/>
      </dsp:nvSpPr>
      <dsp:spPr>
        <a:xfrm rot="5400000">
          <a:off x="2520511" y="4375677"/>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6426" y="7128177"/>
          <a:ext cx="642846" cy="44999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7256746"/>
        <a:ext cx="449992" cy="192854"/>
      </dsp:txXfrm>
    </dsp:sp>
    <dsp:sp modelId="{53F81CAC-F802-9240-8C94-B3E2B1F8761C}">
      <dsp:nvSpPr>
        <dsp:cNvPr id="0" name=""/>
        <dsp:cNvSpPr/>
      </dsp:nvSpPr>
      <dsp:spPr>
        <a:xfrm rot="5400000">
          <a:off x="2520511" y="4961231"/>
          <a:ext cx="417850" cy="455888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6590" y="103229"/>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32015"/>
        <a:ext cx="450754" cy="193181"/>
      </dsp:txXfrm>
    </dsp:sp>
    <dsp:sp modelId="{28826DD3-E030-6044-B2F2-D85EF85F6960}">
      <dsp:nvSpPr>
        <dsp:cNvPr id="0" name=""/>
        <dsp:cNvSpPr/>
      </dsp:nvSpPr>
      <dsp:spPr>
        <a:xfrm rot="5400000">
          <a:off x="2463388" y="-2005994"/>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50754" y="27072"/>
        <a:ext cx="4423393" cy="377693"/>
      </dsp:txXfrm>
    </dsp:sp>
    <dsp:sp modelId="{B422BFF3-8BFD-2144-8980-375702EA9496}">
      <dsp:nvSpPr>
        <dsp:cNvPr id="0" name=""/>
        <dsp:cNvSpPr/>
      </dsp:nvSpPr>
      <dsp:spPr>
        <a:xfrm rot="5400000">
          <a:off x="-96590" y="688436"/>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817222"/>
        <a:ext cx="450754" cy="193181"/>
      </dsp:txXfrm>
    </dsp:sp>
    <dsp:sp modelId="{8BDAA81E-2E4E-9C4A-9A67-4855D9BA1510}">
      <dsp:nvSpPr>
        <dsp:cNvPr id="0" name=""/>
        <dsp:cNvSpPr/>
      </dsp:nvSpPr>
      <dsp:spPr>
        <a:xfrm rot="5400000">
          <a:off x="2463388" y="-1420788"/>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50754" y="612278"/>
        <a:ext cx="4423393" cy="377693"/>
      </dsp:txXfrm>
    </dsp:sp>
    <dsp:sp modelId="{A0202F08-BEC9-8F43-8711-F30ADE817D18}">
      <dsp:nvSpPr>
        <dsp:cNvPr id="0" name=""/>
        <dsp:cNvSpPr/>
      </dsp:nvSpPr>
      <dsp:spPr>
        <a:xfrm rot="5400000">
          <a:off x="-96590" y="1273642"/>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1" y="1402428"/>
        <a:ext cx="450754" cy="193181"/>
      </dsp:txXfrm>
    </dsp:sp>
    <dsp:sp modelId="{06B263AD-CC10-0D49-8145-0C283F585CD5}">
      <dsp:nvSpPr>
        <dsp:cNvPr id="0" name=""/>
        <dsp:cNvSpPr/>
      </dsp:nvSpPr>
      <dsp:spPr>
        <a:xfrm rot="5400000">
          <a:off x="2463388" y="-835581"/>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50754" y="1197485"/>
        <a:ext cx="4423393" cy="377693"/>
      </dsp:txXfrm>
    </dsp:sp>
    <dsp:sp modelId="{31EA3204-EDC1-4F43-84C9-41DE884256E5}">
      <dsp:nvSpPr>
        <dsp:cNvPr id="0" name=""/>
        <dsp:cNvSpPr/>
      </dsp:nvSpPr>
      <dsp:spPr>
        <a:xfrm rot="5400000">
          <a:off x="-96590" y="1858848"/>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1" y="1987634"/>
        <a:ext cx="450754" cy="193181"/>
      </dsp:txXfrm>
    </dsp:sp>
    <dsp:sp modelId="{9D5418D3-F08D-8545-87B2-2FD7B1D1031E}">
      <dsp:nvSpPr>
        <dsp:cNvPr id="0" name=""/>
        <dsp:cNvSpPr/>
      </dsp:nvSpPr>
      <dsp:spPr>
        <a:xfrm rot="5400000">
          <a:off x="2463388" y="-250375"/>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50754" y="1782691"/>
        <a:ext cx="4423393" cy="377693"/>
      </dsp:txXfrm>
    </dsp:sp>
    <dsp:sp modelId="{CCC28DE8-0568-7547-9A1F-3C6F0F33A2CF}">
      <dsp:nvSpPr>
        <dsp:cNvPr id="0" name=""/>
        <dsp:cNvSpPr/>
      </dsp:nvSpPr>
      <dsp:spPr>
        <a:xfrm rot="5400000">
          <a:off x="-96590" y="2444055"/>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1" y="2572841"/>
        <a:ext cx="450754" cy="193181"/>
      </dsp:txXfrm>
    </dsp:sp>
    <dsp:sp modelId="{F1EE7E3F-25DA-8041-85A7-EBBF11BC4C56}">
      <dsp:nvSpPr>
        <dsp:cNvPr id="0" name=""/>
        <dsp:cNvSpPr/>
      </dsp:nvSpPr>
      <dsp:spPr>
        <a:xfrm rot="5400000">
          <a:off x="2463388" y="334830"/>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50754" y="2367896"/>
        <a:ext cx="4423393" cy="377693"/>
      </dsp:txXfrm>
    </dsp:sp>
    <dsp:sp modelId="{844AC346-AEB9-A649-8C9D-DBF2769C8FFC}">
      <dsp:nvSpPr>
        <dsp:cNvPr id="0" name=""/>
        <dsp:cNvSpPr/>
      </dsp:nvSpPr>
      <dsp:spPr>
        <a:xfrm rot="5400000">
          <a:off x="-96590" y="3029261"/>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3158047"/>
        <a:ext cx="450754" cy="193181"/>
      </dsp:txXfrm>
    </dsp:sp>
    <dsp:sp modelId="{C80BEB0B-E1AB-4443-9F91-9D6894D7833E}">
      <dsp:nvSpPr>
        <dsp:cNvPr id="0" name=""/>
        <dsp:cNvSpPr/>
      </dsp:nvSpPr>
      <dsp:spPr>
        <a:xfrm rot="5400000">
          <a:off x="2463388" y="920037"/>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50754" y="2953103"/>
        <a:ext cx="4423393" cy="377693"/>
      </dsp:txXfrm>
    </dsp:sp>
    <dsp:sp modelId="{B9872B13-1174-E847-A615-29577404DF21}">
      <dsp:nvSpPr>
        <dsp:cNvPr id="0" name=""/>
        <dsp:cNvSpPr/>
      </dsp:nvSpPr>
      <dsp:spPr>
        <a:xfrm rot="5400000">
          <a:off x="-96590" y="3614467"/>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743253"/>
        <a:ext cx="450754" cy="193181"/>
      </dsp:txXfrm>
    </dsp:sp>
    <dsp:sp modelId="{DCD4A931-4F01-F440-965B-DC25AA6FE080}">
      <dsp:nvSpPr>
        <dsp:cNvPr id="0" name=""/>
        <dsp:cNvSpPr/>
      </dsp:nvSpPr>
      <dsp:spPr>
        <a:xfrm rot="5400000">
          <a:off x="2463388" y="1505243"/>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a:t>
          </a:r>
        </a:p>
      </dsp:txBody>
      <dsp:txXfrm rot="-5400000">
        <a:off x="450754" y="3538309"/>
        <a:ext cx="4423393" cy="377693"/>
      </dsp:txXfrm>
    </dsp:sp>
    <dsp:sp modelId="{B4333B6F-228B-BB4F-BFBB-3F07EED0E456}">
      <dsp:nvSpPr>
        <dsp:cNvPr id="0" name=""/>
        <dsp:cNvSpPr/>
      </dsp:nvSpPr>
      <dsp:spPr>
        <a:xfrm rot="5400000">
          <a:off x="-96590" y="4199674"/>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1" y="4328460"/>
        <a:ext cx="450754" cy="193181"/>
      </dsp:txXfrm>
    </dsp:sp>
    <dsp:sp modelId="{3D43254E-014E-B84A-A57A-609D39672E72}">
      <dsp:nvSpPr>
        <dsp:cNvPr id="0" name=""/>
        <dsp:cNvSpPr/>
      </dsp:nvSpPr>
      <dsp:spPr>
        <a:xfrm rot="5400000">
          <a:off x="2463388" y="2090449"/>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50754" y="4123515"/>
        <a:ext cx="4423393" cy="377693"/>
      </dsp:txXfrm>
    </dsp:sp>
    <dsp:sp modelId="{E86BF6A3-BA90-BB43-908F-24E76E7D1587}">
      <dsp:nvSpPr>
        <dsp:cNvPr id="0" name=""/>
        <dsp:cNvSpPr/>
      </dsp:nvSpPr>
      <dsp:spPr>
        <a:xfrm rot="5400000">
          <a:off x="-96590" y="4784880"/>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4913666"/>
        <a:ext cx="450754" cy="193181"/>
      </dsp:txXfrm>
    </dsp:sp>
    <dsp:sp modelId="{E2DE84BA-2462-A242-AC94-46E19F99F1BB}">
      <dsp:nvSpPr>
        <dsp:cNvPr id="0" name=""/>
        <dsp:cNvSpPr/>
      </dsp:nvSpPr>
      <dsp:spPr>
        <a:xfrm rot="5400000">
          <a:off x="2463388" y="2675656"/>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50754" y="4708722"/>
        <a:ext cx="4423393" cy="377693"/>
      </dsp:txXfrm>
    </dsp:sp>
    <dsp:sp modelId="{B88D95AA-AFFF-224F-9EBE-1226F2119586}">
      <dsp:nvSpPr>
        <dsp:cNvPr id="0" name=""/>
        <dsp:cNvSpPr/>
      </dsp:nvSpPr>
      <dsp:spPr>
        <a:xfrm rot="5400000">
          <a:off x="-96590" y="5370086"/>
          <a:ext cx="643935" cy="450754"/>
        </a:xfrm>
        <a:prstGeom prst="chevron">
          <a:avLst/>
        </a:prstGeom>
        <a:solidFill>
          <a:srgbClr val="953735"/>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498872"/>
        <a:ext cx="450754" cy="193181"/>
      </dsp:txXfrm>
    </dsp:sp>
    <dsp:sp modelId="{BC4A5DFE-0373-0044-B473-93ADEF2A2324}">
      <dsp:nvSpPr>
        <dsp:cNvPr id="0" name=""/>
        <dsp:cNvSpPr/>
      </dsp:nvSpPr>
      <dsp:spPr>
        <a:xfrm rot="5400000">
          <a:off x="2463388" y="3260862"/>
          <a:ext cx="418557" cy="4443825"/>
        </a:xfrm>
        <a:prstGeom prst="round2SameRect">
          <a:avLst/>
        </a:prstGeom>
        <a:solidFill>
          <a:srgbClr val="953735">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solidFill>
                <a:srgbClr val="FFFFFF"/>
              </a:solidFill>
            </a:rPr>
            <a:t>Added value of SBME</a:t>
          </a:r>
        </a:p>
        <a:p>
          <a:pPr marL="57150" lvl="1" indent="-57150" algn="l" defTabSz="355600">
            <a:lnSpc>
              <a:spcPct val="90000"/>
            </a:lnSpc>
            <a:spcBef>
              <a:spcPct val="0"/>
            </a:spcBef>
            <a:spcAft>
              <a:spcPct val="15000"/>
            </a:spcAft>
            <a:buChar char="•"/>
          </a:pPr>
          <a:r>
            <a:rPr lang="en-US" sz="800" kern="1200">
              <a:solidFill>
                <a:srgbClr val="FFFFFF"/>
              </a:solidFill>
            </a:rPr>
            <a:t>Educational theory that underpins</a:t>
          </a:r>
        </a:p>
        <a:p>
          <a:pPr marL="57150" lvl="1" indent="-57150" algn="l" defTabSz="355600">
            <a:lnSpc>
              <a:spcPct val="90000"/>
            </a:lnSpc>
            <a:spcBef>
              <a:spcPct val="0"/>
            </a:spcBef>
            <a:spcAft>
              <a:spcPct val="15000"/>
            </a:spcAft>
            <a:buChar char="•"/>
          </a:pPr>
          <a:r>
            <a:rPr lang="en-US" sz="800" kern="1200">
              <a:solidFill>
                <a:srgbClr val="FFFFFF"/>
              </a:solidFill>
            </a:rPr>
            <a:t>Wider application of research - lessons </a:t>
          </a:r>
        </a:p>
      </dsp:txBody>
      <dsp:txXfrm rot="-5400000">
        <a:off x="450754" y="5293928"/>
        <a:ext cx="4423393" cy="377693"/>
      </dsp:txXfrm>
    </dsp:sp>
    <dsp:sp modelId="{ED0EEAAD-1F9F-C445-9ED5-D61D26A0F8D1}">
      <dsp:nvSpPr>
        <dsp:cNvPr id="0" name=""/>
        <dsp:cNvSpPr/>
      </dsp:nvSpPr>
      <dsp:spPr>
        <a:xfrm rot="5400000">
          <a:off x="-96590" y="5955293"/>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6084079"/>
        <a:ext cx="450754" cy="193181"/>
      </dsp:txXfrm>
    </dsp:sp>
    <dsp:sp modelId="{C174B10A-41E6-244B-88CB-0D08E5FFF5F9}">
      <dsp:nvSpPr>
        <dsp:cNvPr id="0" name=""/>
        <dsp:cNvSpPr/>
      </dsp:nvSpPr>
      <dsp:spPr>
        <a:xfrm rot="5400000">
          <a:off x="2463278" y="3846179"/>
          <a:ext cx="41877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50755" y="5879146"/>
        <a:ext cx="4423382" cy="377891"/>
      </dsp:txXfrm>
    </dsp:sp>
    <dsp:sp modelId="{6DDDE256-1CA3-1140-A939-5530FC1F57D3}">
      <dsp:nvSpPr>
        <dsp:cNvPr id="0" name=""/>
        <dsp:cNvSpPr/>
      </dsp:nvSpPr>
      <dsp:spPr>
        <a:xfrm rot="5400000">
          <a:off x="-96590" y="6540499"/>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669285"/>
        <a:ext cx="450754" cy="193181"/>
      </dsp:txXfrm>
    </dsp:sp>
    <dsp:sp modelId="{999FDDA9-9F6A-1143-BE3C-B1E07CBE9945}">
      <dsp:nvSpPr>
        <dsp:cNvPr id="0" name=""/>
        <dsp:cNvSpPr/>
      </dsp:nvSpPr>
      <dsp:spPr>
        <a:xfrm rot="5400000">
          <a:off x="2463388" y="4431275"/>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6590" y="7125705"/>
          <a:ext cx="643935" cy="45075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7254491"/>
        <a:ext cx="450754" cy="193181"/>
      </dsp:txXfrm>
    </dsp:sp>
    <dsp:sp modelId="{53F81CAC-F802-9240-8C94-B3E2B1F8761C}">
      <dsp:nvSpPr>
        <dsp:cNvPr id="0" name=""/>
        <dsp:cNvSpPr/>
      </dsp:nvSpPr>
      <dsp:spPr>
        <a:xfrm rot="5400000">
          <a:off x="2463388" y="5016481"/>
          <a:ext cx="418557" cy="444382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103253" y="109339"/>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2" y="247011"/>
        <a:ext cx="481851" cy="206508"/>
      </dsp:txXfrm>
    </dsp:sp>
    <dsp:sp modelId="{28826DD3-E030-6044-B2F2-D85EF85F6960}">
      <dsp:nvSpPr>
        <dsp:cNvPr id="0" name=""/>
        <dsp:cNvSpPr/>
      </dsp:nvSpPr>
      <dsp:spPr>
        <a:xfrm rot="5400000">
          <a:off x="2407348" y="-1919411"/>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81851" y="27928"/>
        <a:ext cx="4276586" cy="403749"/>
      </dsp:txXfrm>
    </dsp:sp>
    <dsp:sp modelId="{B422BFF3-8BFD-2144-8980-375702EA9496}">
      <dsp:nvSpPr>
        <dsp:cNvPr id="0" name=""/>
        <dsp:cNvSpPr/>
      </dsp:nvSpPr>
      <dsp:spPr>
        <a:xfrm rot="5400000">
          <a:off x="-103253" y="733417"/>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2" y="871089"/>
        <a:ext cx="481851" cy="206508"/>
      </dsp:txXfrm>
    </dsp:sp>
    <dsp:sp modelId="{8BDAA81E-2E4E-9C4A-9A67-4855D9BA1510}">
      <dsp:nvSpPr>
        <dsp:cNvPr id="0" name=""/>
        <dsp:cNvSpPr/>
      </dsp:nvSpPr>
      <dsp:spPr>
        <a:xfrm rot="5400000">
          <a:off x="2407348" y="-1295333"/>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81851" y="652006"/>
        <a:ext cx="4276586" cy="403749"/>
      </dsp:txXfrm>
    </dsp:sp>
    <dsp:sp modelId="{CCC28DE8-0568-7547-9A1F-3C6F0F33A2CF}">
      <dsp:nvSpPr>
        <dsp:cNvPr id="0" name=""/>
        <dsp:cNvSpPr/>
      </dsp:nvSpPr>
      <dsp:spPr>
        <a:xfrm rot="5400000">
          <a:off x="-103253" y="1357495"/>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Design of intervention</a:t>
          </a:r>
        </a:p>
      </dsp:txBody>
      <dsp:txXfrm rot="-5400000">
        <a:off x="2" y="1495167"/>
        <a:ext cx="481851" cy="206508"/>
      </dsp:txXfrm>
    </dsp:sp>
    <dsp:sp modelId="{F1EE7E3F-25DA-8041-85A7-EBBF11BC4C56}">
      <dsp:nvSpPr>
        <dsp:cNvPr id="0" name=""/>
        <dsp:cNvSpPr/>
      </dsp:nvSpPr>
      <dsp:spPr>
        <a:xfrm rot="5400000">
          <a:off x="2407348" y="-671255"/>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81851" y="1276084"/>
        <a:ext cx="4276586" cy="403749"/>
      </dsp:txXfrm>
    </dsp:sp>
    <dsp:sp modelId="{A0202F08-BEC9-8F43-8711-F30ADE817D18}">
      <dsp:nvSpPr>
        <dsp:cNvPr id="0" name=""/>
        <dsp:cNvSpPr/>
      </dsp:nvSpPr>
      <dsp:spPr>
        <a:xfrm rot="5400000">
          <a:off x="-103253" y="1981573"/>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Methodology</a:t>
          </a:r>
        </a:p>
      </dsp:txBody>
      <dsp:txXfrm rot="-5400000">
        <a:off x="2" y="2119245"/>
        <a:ext cx="481851" cy="206508"/>
      </dsp:txXfrm>
    </dsp:sp>
    <dsp:sp modelId="{06B263AD-CC10-0D49-8145-0C283F585CD5}">
      <dsp:nvSpPr>
        <dsp:cNvPr id="0" name=""/>
        <dsp:cNvSpPr/>
      </dsp:nvSpPr>
      <dsp:spPr>
        <a:xfrm rot="5400000">
          <a:off x="2407348" y="-47177"/>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81851" y="1900162"/>
        <a:ext cx="4276586" cy="403749"/>
      </dsp:txXfrm>
    </dsp:sp>
    <dsp:sp modelId="{31EA3204-EDC1-4F43-84C9-41DE884256E5}">
      <dsp:nvSpPr>
        <dsp:cNvPr id="0" name=""/>
        <dsp:cNvSpPr/>
      </dsp:nvSpPr>
      <dsp:spPr>
        <a:xfrm rot="5400000">
          <a:off x="-103253" y="2605651"/>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Focus groups pre-pilot</a:t>
          </a:r>
        </a:p>
      </dsp:txBody>
      <dsp:txXfrm rot="-5400000">
        <a:off x="2" y="2743323"/>
        <a:ext cx="481851" cy="206508"/>
      </dsp:txXfrm>
    </dsp:sp>
    <dsp:sp modelId="{9D5418D3-F08D-8545-87B2-2FD7B1D1031E}">
      <dsp:nvSpPr>
        <dsp:cNvPr id="0" name=""/>
        <dsp:cNvSpPr/>
      </dsp:nvSpPr>
      <dsp:spPr>
        <a:xfrm rot="5400000">
          <a:off x="2407348" y="576900"/>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81851" y="2524239"/>
        <a:ext cx="4276586" cy="403749"/>
      </dsp:txXfrm>
    </dsp:sp>
    <dsp:sp modelId="{844AC346-AEB9-A649-8C9D-DBF2769C8FFC}">
      <dsp:nvSpPr>
        <dsp:cNvPr id="0" name=""/>
        <dsp:cNvSpPr/>
      </dsp:nvSpPr>
      <dsp:spPr>
        <a:xfrm rot="5400000">
          <a:off x="-103253" y="3229730"/>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2" y="3367402"/>
        <a:ext cx="481851" cy="206508"/>
      </dsp:txXfrm>
    </dsp:sp>
    <dsp:sp modelId="{C80BEB0B-E1AB-4443-9F91-9D6894D7833E}">
      <dsp:nvSpPr>
        <dsp:cNvPr id="0" name=""/>
        <dsp:cNvSpPr/>
      </dsp:nvSpPr>
      <dsp:spPr>
        <a:xfrm rot="5400000">
          <a:off x="2407348" y="1200978"/>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81851" y="3148317"/>
        <a:ext cx="4276586" cy="403749"/>
      </dsp:txXfrm>
    </dsp:sp>
    <dsp:sp modelId="{B9872B13-1174-E847-A615-29577404DF21}">
      <dsp:nvSpPr>
        <dsp:cNvPr id="0" name=""/>
        <dsp:cNvSpPr/>
      </dsp:nvSpPr>
      <dsp:spPr>
        <a:xfrm rot="5400000">
          <a:off x="-103253" y="3853808"/>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2" y="3991480"/>
        <a:ext cx="481851" cy="206508"/>
      </dsp:txXfrm>
    </dsp:sp>
    <dsp:sp modelId="{DCD4A931-4F01-F440-965B-DC25AA6FE080}">
      <dsp:nvSpPr>
        <dsp:cNvPr id="0" name=""/>
        <dsp:cNvSpPr/>
      </dsp:nvSpPr>
      <dsp:spPr>
        <a:xfrm rot="5400000">
          <a:off x="2407348" y="1825057"/>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 triangulation</a:t>
          </a:r>
        </a:p>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81851" y="3772396"/>
        <a:ext cx="4276586" cy="403749"/>
      </dsp:txXfrm>
    </dsp:sp>
    <dsp:sp modelId="{E86BF6A3-BA90-BB43-908F-24E76E7D1587}">
      <dsp:nvSpPr>
        <dsp:cNvPr id="0" name=""/>
        <dsp:cNvSpPr/>
      </dsp:nvSpPr>
      <dsp:spPr>
        <a:xfrm rot="5400000">
          <a:off x="-103253" y="4477886"/>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Discussion</a:t>
          </a:r>
        </a:p>
      </dsp:txBody>
      <dsp:txXfrm rot="-5400000">
        <a:off x="2" y="4615558"/>
        <a:ext cx="481851" cy="206508"/>
      </dsp:txXfrm>
    </dsp:sp>
    <dsp:sp modelId="{E2DE84BA-2462-A242-AC94-46E19F99F1BB}">
      <dsp:nvSpPr>
        <dsp:cNvPr id="0" name=""/>
        <dsp:cNvSpPr/>
      </dsp:nvSpPr>
      <dsp:spPr>
        <a:xfrm rot="5400000">
          <a:off x="2407348" y="2449135"/>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81851" y="4396474"/>
        <a:ext cx="4276586" cy="403749"/>
      </dsp:txXfrm>
    </dsp:sp>
    <dsp:sp modelId="{B88D95AA-AFFF-224F-9EBE-1226F2119586}">
      <dsp:nvSpPr>
        <dsp:cNvPr id="0" name=""/>
        <dsp:cNvSpPr/>
      </dsp:nvSpPr>
      <dsp:spPr>
        <a:xfrm rot="5400000">
          <a:off x="-103253" y="5101964"/>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Conclusions</a:t>
          </a:r>
        </a:p>
      </dsp:txBody>
      <dsp:txXfrm rot="-5400000">
        <a:off x="2" y="5239636"/>
        <a:ext cx="481851" cy="206508"/>
      </dsp:txXfrm>
    </dsp:sp>
    <dsp:sp modelId="{BC4A5DFE-0373-0044-B473-93ADEF2A2324}">
      <dsp:nvSpPr>
        <dsp:cNvPr id="0" name=""/>
        <dsp:cNvSpPr/>
      </dsp:nvSpPr>
      <dsp:spPr>
        <a:xfrm rot="5400000">
          <a:off x="2407348" y="3073213"/>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81851" y="5020552"/>
        <a:ext cx="4276586" cy="403749"/>
      </dsp:txXfrm>
    </dsp:sp>
    <dsp:sp modelId="{ED0EEAAD-1F9F-C445-9ED5-D61D26A0F8D1}">
      <dsp:nvSpPr>
        <dsp:cNvPr id="0" name=""/>
        <dsp:cNvSpPr/>
      </dsp:nvSpPr>
      <dsp:spPr>
        <a:xfrm rot="5400000">
          <a:off x="-103253" y="5726042"/>
          <a:ext cx="688359" cy="481851"/>
        </a:xfrm>
        <a:prstGeom prst="chevron">
          <a:avLst/>
        </a:prstGeom>
        <a:solidFill>
          <a:srgbClr val="953735"/>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Recommendations for future work</a:t>
          </a:r>
        </a:p>
      </dsp:txBody>
      <dsp:txXfrm rot="-5400000">
        <a:off x="2" y="5863714"/>
        <a:ext cx="481851" cy="206508"/>
      </dsp:txXfrm>
    </dsp:sp>
    <dsp:sp modelId="{C174B10A-41E6-244B-88CB-0D08E5FFF5F9}">
      <dsp:nvSpPr>
        <dsp:cNvPr id="0" name=""/>
        <dsp:cNvSpPr/>
      </dsp:nvSpPr>
      <dsp:spPr>
        <a:xfrm rot="5400000">
          <a:off x="2407231" y="3697409"/>
          <a:ext cx="447669" cy="4298428"/>
        </a:xfrm>
        <a:prstGeom prst="round2SameRect">
          <a:avLst/>
        </a:prstGeom>
        <a:solidFill>
          <a:srgbClr val="953735">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rgbClr val="FFFFFF"/>
              </a:solidFill>
            </a:rPr>
            <a:t>Resilience</a:t>
          </a:r>
        </a:p>
        <a:p>
          <a:pPr marL="57150" lvl="1" indent="-57150" algn="l" defTabSz="400050">
            <a:lnSpc>
              <a:spcPct val="90000"/>
            </a:lnSpc>
            <a:spcBef>
              <a:spcPct val="0"/>
            </a:spcBef>
            <a:spcAft>
              <a:spcPct val="15000"/>
            </a:spcAft>
            <a:buChar char="•"/>
          </a:pPr>
          <a:r>
            <a:rPr lang="en-US" sz="900" kern="1200">
              <a:solidFill>
                <a:srgbClr val="FFFFFF"/>
              </a:solidFill>
            </a:rPr>
            <a:t>Responsibility</a:t>
          </a:r>
        </a:p>
        <a:p>
          <a:pPr marL="57150" lvl="1" indent="-57150" algn="l" defTabSz="400050">
            <a:lnSpc>
              <a:spcPct val="90000"/>
            </a:lnSpc>
            <a:spcBef>
              <a:spcPct val="0"/>
            </a:spcBef>
            <a:spcAft>
              <a:spcPct val="15000"/>
            </a:spcAft>
            <a:buChar char="•"/>
          </a:pPr>
          <a:r>
            <a:rPr lang="en-US" sz="900" kern="1200">
              <a:solidFill>
                <a:srgbClr val="FFFFFF"/>
              </a:solidFill>
            </a:rPr>
            <a:t>Simulation for assessment</a:t>
          </a:r>
        </a:p>
      </dsp:txBody>
      <dsp:txXfrm rot="-5400000">
        <a:off x="481852" y="5644642"/>
        <a:ext cx="4276575" cy="403963"/>
      </dsp:txXfrm>
    </dsp:sp>
    <dsp:sp modelId="{6DDDE256-1CA3-1140-A939-5530FC1F57D3}">
      <dsp:nvSpPr>
        <dsp:cNvPr id="0" name=""/>
        <dsp:cNvSpPr/>
      </dsp:nvSpPr>
      <dsp:spPr>
        <a:xfrm rot="5400000">
          <a:off x="-103253" y="6350120"/>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2" y="6487792"/>
        <a:ext cx="481851" cy="206508"/>
      </dsp:txXfrm>
    </dsp:sp>
    <dsp:sp modelId="{999FDDA9-9F6A-1143-BE3C-B1E07CBE9945}">
      <dsp:nvSpPr>
        <dsp:cNvPr id="0" name=""/>
        <dsp:cNvSpPr/>
      </dsp:nvSpPr>
      <dsp:spPr>
        <a:xfrm rot="5400000">
          <a:off x="2407348" y="4321369"/>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103253" y="6974198"/>
          <a:ext cx="688359" cy="4818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2" y="7111870"/>
        <a:ext cx="481851" cy="206508"/>
      </dsp:txXfrm>
    </dsp:sp>
    <dsp:sp modelId="{53F81CAC-F802-9240-8C94-B3E2B1F8761C}">
      <dsp:nvSpPr>
        <dsp:cNvPr id="0" name=""/>
        <dsp:cNvSpPr/>
      </dsp:nvSpPr>
      <dsp:spPr>
        <a:xfrm rot="5400000">
          <a:off x="2407348" y="4945447"/>
          <a:ext cx="447433" cy="42984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7772" y="101959"/>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32322"/>
        <a:ext cx="456269" cy="195545"/>
      </dsp:txXfrm>
    </dsp:sp>
    <dsp:sp modelId="{28826DD3-E030-6044-B2F2-D85EF85F6960}">
      <dsp:nvSpPr>
        <dsp:cNvPr id="0" name=""/>
        <dsp:cNvSpPr/>
      </dsp:nvSpPr>
      <dsp:spPr>
        <a:xfrm rot="5400000">
          <a:off x="2463585" y="-2003128"/>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56270" y="24869"/>
        <a:ext cx="4417628" cy="382315"/>
      </dsp:txXfrm>
    </dsp:sp>
    <dsp:sp modelId="{B422BFF3-8BFD-2144-8980-375702EA9496}">
      <dsp:nvSpPr>
        <dsp:cNvPr id="0" name=""/>
        <dsp:cNvSpPr/>
      </dsp:nvSpPr>
      <dsp:spPr>
        <a:xfrm rot="5400000">
          <a:off x="-97772" y="694325"/>
          <a:ext cx="651814" cy="456269"/>
        </a:xfrm>
        <a:prstGeom prst="chevron">
          <a:avLst/>
        </a:prstGeom>
        <a:solidFill>
          <a:srgbClr val="80000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824688"/>
        <a:ext cx="456269" cy="195545"/>
      </dsp:txXfrm>
    </dsp:sp>
    <dsp:sp modelId="{8BDAA81E-2E4E-9C4A-9A67-4855D9BA1510}">
      <dsp:nvSpPr>
        <dsp:cNvPr id="0" name=""/>
        <dsp:cNvSpPr/>
      </dsp:nvSpPr>
      <dsp:spPr>
        <a:xfrm rot="5400000">
          <a:off x="2463585" y="-1410761"/>
          <a:ext cx="423679" cy="4438310"/>
        </a:xfrm>
        <a:prstGeom prst="round2SameRect">
          <a:avLst/>
        </a:prstGeom>
        <a:solidFill>
          <a:srgbClr val="800000">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rgbClr val="FFFFFF"/>
              </a:solidFill>
            </a:rPr>
            <a:t>The undergraduate medical curriculum and preparedness for practice</a:t>
          </a:r>
        </a:p>
        <a:p>
          <a:pPr marL="57150" lvl="1" indent="-57150" algn="l" defTabSz="400050">
            <a:lnSpc>
              <a:spcPct val="90000"/>
            </a:lnSpc>
            <a:spcBef>
              <a:spcPct val="0"/>
            </a:spcBef>
            <a:spcAft>
              <a:spcPct val="15000"/>
            </a:spcAft>
            <a:buChar char="•"/>
          </a:pPr>
          <a:r>
            <a:rPr lang="en-US" sz="900" kern="1200">
              <a:solidFill>
                <a:srgbClr val="FFFFFF"/>
              </a:solidFill>
            </a:rPr>
            <a:t>Simulation-Based Medical Education - theory, evidence and best practice</a:t>
          </a:r>
        </a:p>
        <a:p>
          <a:pPr marL="57150" lvl="1" indent="-57150" algn="l" defTabSz="400050">
            <a:lnSpc>
              <a:spcPct val="90000"/>
            </a:lnSpc>
            <a:spcBef>
              <a:spcPct val="0"/>
            </a:spcBef>
            <a:spcAft>
              <a:spcPct val="15000"/>
            </a:spcAft>
            <a:buChar char="•"/>
          </a:pPr>
          <a:r>
            <a:rPr lang="en-US" sz="900" kern="1200">
              <a:solidFill>
                <a:srgbClr val="FFFFFF"/>
              </a:solidFill>
            </a:rPr>
            <a:t>Confidence and competence</a:t>
          </a:r>
        </a:p>
      </dsp:txBody>
      <dsp:txXfrm rot="-5400000">
        <a:off x="456270" y="617236"/>
        <a:ext cx="4417628" cy="382315"/>
      </dsp:txXfrm>
    </dsp:sp>
    <dsp:sp modelId="{A0202F08-BEC9-8F43-8711-F30ADE817D18}">
      <dsp:nvSpPr>
        <dsp:cNvPr id="0" name=""/>
        <dsp:cNvSpPr/>
      </dsp:nvSpPr>
      <dsp:spPr>
        <a:xfrm rot="5400000">
          <a:off x="-97772" y="1286692"/>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1" y="1417055"/>
        <a:ext cx="456269" cy="195545"/>
      </dsp:txXfrm>
    </dsp:sp>
    <dsp:sp modelId="{06B263AD-CC10-0D49-8145-0C283F585CD5}">
      <dsp:nvSpPr>
        <dsp:cNvPr id="0" name=""/>
        <dsp:cNvSpPr/>
      </dsp:nvSpPr>
      <dsp:spPr>
        <a:xfrm rot="5400000">
          <a:off x="2463585" y="-818394"/>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56270" y="1209603"/>
        <a:ext cx="4417628" cy="382315"/>
      </dsp:txXfrm>
    </dsp:sp>
    <dsp:sp modelId="{31EA3204-EDC1-4F43-84C9-41DE884256E5}">
      <dsp:nvSpPr>
        <dsp:cNvPr id="0" name=""/>
        <dsp:cNvSpPr/>
      </dsp:nvSpPr>
      <dsp:spPr>
        <a:xfrm rot="5400000">
          <a:off x="-97772" y="1879059"/>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1" y="2009422"/>
        <a:ext cx="456269" cy="195545"/>
      </dsp:txXfrm>
    </dsp:sp>
    <dsp:sp modelId="{9D5418D3-F08D-8545-87B2-2FD7B1D1031E}">
      <dsp:nvSpPr>
        <dsp:cNvPr id="0" name=""/>
        <dsp:cNvSpPr/>
      </dsp:nvSpPr>
      <dsp:spPr>
        <a:xfrm rot="5400000">
          <a:off x="2463585" y="-226027"/>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56270" y="1801970"/>
        <a:ext cx="4417628" cy="382315"/>
      </dsp:txXfrm>
    </dsp:sp>
    <dsp:sp modelId="{CCC28DE8-0568-7547-9A1F-3C6F0F33A2CF}">
      <dsp:nvSpPr>
        <dsp:cNvPr id="0" name=""/>
        <dsp:cNvSpPr/>
      </dsp:nvSpPr>
      <dsp:spPr>
        <a:xfrm rot="5400000">
          <a:off x="-97772" y="2471426"/>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1" y="2601789"/>
        <a:ext cx="456269" cy="195545"/>
      </dsp:txXfrm>
    </dsp:sp>
    <dsp:sp modelId="{F1EE7E3F-25DA-8041-85A7-EBBF11BC4C56}">
      <dsp:nvSpPr>
        <dsp:cNvPr id="0" name=""/>
        <dsp:cNvSpPr/>
      </dsp:nvSpPr>
      <dsp:spPr>
        <a:xfrm rot="5400000">
          <a:off x="2463585" y="366338"/>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56270" y="2394335"/>
        <a:ext cx="4417628" cy="382315"/>
      </dsp:txXfrm>
    </dsp:sp>
    <dsp:sp modelId="{844AC346-AEB9-A649-8C9D-DBF2769C8FFC}">
      <dsp:nvSpPr>
        <dsp:cNvPr id="0" name=""/>
        <dsp:cNvSpPr/>
      </dsp:nvSpPr>
      <dsp:spPr>
        <a:xfrm rot="5400000">
          <a:off x="-97772" y="3063793"/>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3194156"/>
        <a:ext cx="456269" cy="195545"/>
      </dsp:txXfrm>
    </dsp:sp>
    <dsp:sp modelId="{C80BEB0B-E1AB-4443-9F91-9D6894D7833E}">
      <dsp:nvSpPr>
        <dsp:cNvPr id="0" name=""/>
        <dsp:cNvSpPr/>
      </dsp:nvSpPr>
      <dsp:spPr>
        <a:xfrm rot="5400000">
          <a:off x="2463585" y="958705"/>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56270" y="2986702"/>
        <a:ext cx="4417628" cy="382315"/>
      </dsp:txXfrm>
    </dsp:sp>
    <dsp:sp modelId="{B9872B13-1174-E847-A615-29577404DF21}">
      <dsp:nvSpPr>
        <dsp:cNvPr id="0" name=""/>
        <dsp:cNvSpPr/>
      </dsp:nvSpPr>
      <dsp:spPr>
        <a:xfrm rot="5400000">
          <a:off x="-97772" y="3656160"/>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786523"/>
        <a:ext cx="456269" cy="195545"/>
      </dsp:txXfrm>
    </dsp:sp>
    <dsp:sp modelId="{DCD4A931-4F01-F440-965B-DC25AA6FE080}">
      <dsp:nvSpPr>
        <dsp:cNvPr id="0" name=""/>
        <dsp:cNvSpPr/>
      </dsp:nvSpPr>
      <dsp:spPr>
        <a:xfrm rot="5400000">
          <a:off x="2463585" y="1551072"/>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a:t>
          </a:r>
        </a:p>
      </dsp:txBody>
      <dsp:txXfrm rot="-5400000">
        <a:off x="456270" y="3579069"/>
        <a:ext cx="4417628" cy="382315"/>
      </dsp:txXfrm>
    </dsp:sp>
    <dsp:sp modelId="{A2DDD1C7-4AD5-E248-9F20-9BC78D981D65}">
      <dsp:nvSpPr>
        <dsp:cNvPr id="0" name=""/>
        <dsp:cNvSpPr/>
      </dsp:nvSpPr>
      <dsp:spPr>
        <a:xfrm rot="5400000">
          <a:off x="-97772" y="4248526"/>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1" y="4378889"/>
        <a:ext cx="456269" cy="195545"/>
      </dsp:txXfrm>
    </dsp:sp>
    <dsp:sp modelId="{98A99111-D6B8-514D-B7AC-2AA6CAAAAB79}">
      <dsp:nvSpPr>
        <dsp:cNvPr id="0" name=""/>
        <dsp:cNvSpPr/>
      </dsp:nvSpPr>
      <dsp:spPr>
        <a:xfrm rot="5400000">
          <a:off x="2463585" y="2143439"/>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56270" y="4171436"/>
        <a:ext cx="4417628" cy="382315"/>
      </dsp:txXfrm>
    </dsp:sp>
    <dsp:sp modelId="{E86BF6A3-BA90-BB43-908F-24E76E7D1587}">
      <dsp:nvSpPr>
        <dsp:cNvPr id="0" name=""/>
        <dsp:cNvSpPr/>
      </dsp:nvSpPr>
      <dsp:spPr>
        <a:xfrm rot="5400000">
          <a:off x="-97772" y="4840893"/>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4971256"/>
        <a:ext cx="456269" cy="195545"/>
      </dsp:txXfrm>
    </dsp:sp>
    <dsp:sp modelId="{E2DE84BA-2462-A242-AC94-46E19F99F1BB}">
      <dsp:nvSpPr>
        <dsp:cNvPr id="0" name=""/>
        <dsp:cNvSpPr/>
      </dsp:nvSpPr>
      <dsp:spPr>
        <a:xfrm rot="5400000">
          <a:off x="2463585" y="2735806"/>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56270" y="4763803"/>
        <a:ext cx="4417628" cy="382315"/>
      </dsp:txXfrm>
    </dsp:sp>
    <dsp:sp modelId="{B88D95AA-AFFF-224F-9EBE-1226F2119586}">
      <dsp:nvSpPr>
        <dsp:cNvPr id="0" name=""/>
        <dsp:cNvSpPr/>
      </dsp:nvSpPr>
      <dsp:spPr>
        <a:xfrm rot="5400000">
          <a:off x="-97772" y="5433260"/>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563623"/>
        <a:ext cx="456269" cy="195545"/>
      </dsp:txXfrm>
    </dsp:sp>
    <dsp:sp modelId="{BC4A5DFE-0373-0044-B473-93ADEF2A2324}">
      <dsp:nvSpPr>
        <dsp:cNvPr id="0" name=""/>
        <dsp:cNvSpPr/>
      </dsp:nvSpPr>
      <dsp:spPr>
        <a:xfrm rot="5400000">
          <a:off x="2463585" y="3328172"/>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56270" y="5356169"/>
        <a:ext cx="4417628" cy="382315"/>
      </dsp:txXfrm>
    </dsp:sp>
    <dsp:sp modelId="{ED0EEAAD-1F9F-C445-9ED5-D61D26A0F8D1}">
      <dsp:nvSpPr>
        <dsp:cNvPr id="0" name=""/>
        <dsp:cNvSpPr/>
      </dsp:nvSpPr>
      <dsp:spPr>
        <a:xfrm rot="5400000">
          <a:off x="-97772" y="6025627"/>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6155990"/>
        <a:ext cx="456269" cy="195545"/>
      </dsp:txXfrm>
    </dsp:sp>
    <dsp:sp modelId="{C174B10A-41E6-244B-88CB-0D08E5FFF5F9}">
      <dsp:nvSpPr>
        <dsp:cNvPr id="0" name=""/>
        <dsp:cNvSpPr/>
      </dsp:nvSpPr>
      <dsp:spPr>
        <a:xfrm rot="5400000">
          <a:off x="2463473" y="3920651"/>
          <a:ext cx="423902"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56270" y="5948548"/>
        <a:ext cx="4417617" cy="382516"/>
      </dsp:txXfrm>
    </dsp:sp>
    <dsp:sp modelId="{6DDDE256-1CA3-1140-A939-5530FC1F57D3}">
      <dsp:nvSpPr>
        <dsp:cNvPr id="0" name=""/>
        <dsp:cNvSpPr/>
      </dsp:nvSpPr>
      <dsp:spPr>
        <a:xfrm rot="5400000">
          <a:off x="-97772" y="6617994"/>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748357"/>
        <a:ext cx="456269" cy="195545"/>
      </dsp:txXfrm>
    </dsp:sp>
    <dsp:sp modelId="{999FDDA9-9F6A-1143-BE3C-B1E07CBE9945}">
      <dsp:nvSpPr>
        <dsp:cNvPr id="0" name=""/>
        <dsp:cNvSpPr/>
      </dsp:nvSpPr>
      <dsp:spPr>
        <a:xfrm rot="5400000">
          <a:off x="2463585" y="4512906"/>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7772" y="7210360"/>
          <a:ext cx="651814" cy="45626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7340723"/>
        <a:ext cx="456269" cy="195545"/>
      </dsp:txXfrm>
    </dsp:sp>
    <dsp:sp modelId="{53F81CAC-F802-9240-8C94-B3E2B1F8761C}">
      <dsp:nvSpPr>
        <dsp:cNvPr id="0" name=""/>
        <dsp:cNvSpPr/>
      </dsp:nvSpPr>
      <dsp:spPr>
        <a:xfrm rot="5400000">
          <a:off x="2463585" y="5105273"/>
          <a:ext cx="423679" cy="44383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8732" y="104157"/>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35801"/>
        <a:ext cx="460751" cy="197465"/>
      </dsp:txXfrm>
    </dsp:sp>
    <dsp:sp modelId="{28826DD3-E030-6044-B2F2-D85EF85F6960}">
      <dsp:nvSpPr>
        <dsp:cNvPr id="0" name=""/>
        <dsp:cNvSpPr/>
      </dsp:nvSpPr>
      <dsp:spPr>
        <a:xfrm rot="5400000">
          <a:off x="2245305" y="-1779128"/>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60752" y="26310"/>
        <a:ext cx="3976063" cy="386070"/>
      </dsp:txXfrm>
    </dsp:sp>
    <dsp:sp modelId="{B422BFF3-8BFD-2144-8980-375702EA9496}">
      <dsp:nvSpPr>
        <dsp:cNvPr id="0" name=""/>
        <dsp:cNvSpPr/>
      </dsp:nvSpPr>
      <dsp:spPr>
        <a:xfrm rot="5400000">
          <a:off x="-98732" y="696459"/>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828103"/>
        <a:ext cx="460751" cy="197465"/>
      </dsp:txXfrm>
    </dsp:sp>
    <dsp:sp modelId="{8BDAA81E-2E4E-9C4A-9A67-4855D9BA1510}">
      <dsp:nvSpPr>
        <dsp:cNvPr id="0" name=""/>
        <dsp:cNvSpPr/>
      </dsp:nvSpPr>
      <dsp:spPr>
        <a:xfrm rot="5400000">
          <a:off x="2245305" y="-1186826"/>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60752" y="618612"/>
        <a:ext cx="3976063" cy="386070"/>
      </dsp:txXfrm>
    </dsp:sp>
    <dsp:sp modelId="{A0202F08-BEC9-8F43-8711-F30ADE817D18}">
      <dsp:nvSpPr>
        <dsp:cNvPr id="0" name=""/>
        <dsp:cNvSpPr/>
      </dsp:nvSpPr>
      <dsp:spPr>
        <a:xfrm rot="5400000">
          <a:off x="-98732" y="1288761"/>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1" y="1420405"/>
        <a:ext cx="460751" cy="197465"/>
      </dsp:txXfrm>
    </dsp:sp>
    <dsp:sp modelId="{06B263AD-CC10-0D49-8145-0C283F585CD5}">
      <dsp:nvSpPr>
        <dsp:cNvPr id="0" name=""/>
        <dsp:cNvSpPr/>
      </dsp:nvSpPr>
      <dsp:spPr>
        <a:xfrm rot="5400000">
          <a:off x="2245305" y="-594524"/>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60752" y="1210914"/>
        <a:ext cx="3976063" cy="386070"/>
      </dsp:txXfrm>
    </dsp:sp>
    <dsp:sp modelId="{31EA3204-EDC1-4F43-84C9-41DE884256E5}">
      <dsp:nvSpPr>
        <dsp:cNvPr id="0" name=""/>
        <dsp:cNvSpPr/>
      </dsp:nvSpPr>
      <dsp:spPr>
        <a:xfrm rot="5400000">
          <a:off x="-98732" y="1881063"/>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1" y="2012707"/>
        <a:ext cx="460751" cy="197465"/>
      </dsp:txXfrm>
    </dsp:sp>
    <dsp:sp modelId="{9D5418D3-F08D-8545-87B2-2FD7B1D1031E}">
      <dsp:nvSpPr>
        <dsp:cNvPr id="0" name=""/>
        <dsp:cNvSpPr/>
      </dsp:nvSpPr>
      <dsp:spPr>
        <a:xfrm rot="5400000">
          <a:off x="2245305" y="-2222"/>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60752" y="1803217"/>
        <a:ext cx="3976063" cy="386070"/>
      </dsp:txXfrm>
    </dsp:sp>
    <dsp:sp modelId="{CCC28DE8-0568-7547-9A1F-3C6F0F33A2CF}">
      <dsp:nvSpPr>
        <dsp:cNvPr id="0" name=""/>
        <dsp:cNvSpPr/>
      </dsp:nvSpPr>
      <dsp:spPr>
        <a:xfrm rot="5400000">
          <a:off x="-98732" y="2473365"/>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1" y="2605009"/>
        <a:ext cx="460751" cy="197465"/>
      </dsp:txXfrm>
    </dsp:sp>
    <dsp:sp modelId="{F1EE7E3F-25DA-8041-85A7-EBBF11BC4C56}">
      <dsp:nvSpPr>
        <dsp:cNvPr id="0" name=""/>
        <dsp:cNvSpPr/>
      </dsp:nvSpPr>
      <dsp:spPr>
        <a:xfrm rot="5400000">
          <a:off x="2245305" y="590079"/>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60752" y="2395518"/>
        <a:ext cx="3976063" cy="386070"/>
      </dsp:txXfrm>
    </dsp:sp>
    <dsp:sp modelId="{844AC346-AEB9-A649-8C9D-DBF2769C8FFC}">
      <dsp:nvSpPr>
        <dsp:cNvPr id="0" name=""/>
        <dsp:cNvSpPr/>
      </dsp:nvSpPr>
      <dsp:spPr>
        <a:xfrm rot="5400000">
          <a:off x="-98732" y="3065668"/>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3197312"/>
        <a:ext cx="460751" cy="197465"/>
      </dsp:txXfrm>
    </dsp:sp>
    <dsp:sp modelId="{C80BEB0B-E1AB-4443-9F91-9D6894D7833E}">
      <dsp:nvSpPr>
        <dsp:cNvPr id="0" name=""/>
        <dsp:cNvSpPr/>
      </dsp:nvSpPr>
      <dsp:spPr>
        <a:xfrm rot="5400000">
          <a:off x="2245305" y="1182381"/>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60752" y="2987820"/>
        <a:ext cx="3976063" cy="386070"/>
      </dsp:txXfrm>
    </dsp:sp>
    <dsp:sp modelId="{B9872B13-1174-E847-A615-29577404DF21}">
      <dsp:nvSpPr>
        <dsp:cNvPr id="0" name=""/>
        <dsp:cNvSpPr/>
      </dsp:nvSpPr>
      <dsp:spPr>
        <a:xfrm rot="5400000">
          <a:off x="-98732" y="3657970"/>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789614"/>
        <a:ext cx="460751" cy="197465"/>
      </dsp:txXfrm>
    </dsp:sp>
    <dsp:sp modelId="{DCD4A931-4F01-F440-965B-DC25AA6FE080}">
      <dsp:nvSpPr>
        <dsp:cNvPr id="0" name=""/>
        <dsp:cNvSpPr/>
      </dsp:nvSpPr>
      <dsp:spPr>
        <a:xfrm rot="5400000">
          <a:off x="2245305" y="1774684"/>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 triangulation</a:t>
          </a:r>
        </a:p>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60752" y="3580123"/>
        <a:ext cx="3976063" cy="386070"/>
      </dsp:txXfrm>
    </dsp:sp>
    <dsp:sp modelId="{E86BF6A3-BA90-BB43-908F-24E76E7D1587}">
      <dsp:nvSpPr>
        <dsp:cNvPr id="0" name=""/>
        <dsp:cNvSpPr/>
      </dsp:nvSpPr>
      <dsp:spPr>
        <a:xfrm rot="5400000">
          <a:off x="-98732" y="4250272"/>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Discussion</a:t>
          </a:r>
        </a:p>
      </dsp:txBody>
      <dsp:txXfrm rot="-5400000">
        <a:off x="1" y="4381916"/>
        <a:ext cx="460751" cy="197465"/>
      </dsp:txXfrm>
    </dsp:sp>
    <dsp:sp modelId="{E2DE84BA-2462-A242-AC94-46E19F99F1BB}">
      <dsp:nvSpPr>
        <dsp:cNvPr id="0" name=""/>
        <dsp:cNvSpPr/>
      </dsp:nvSpPr>
      <dsp:spPr>
        <a:xfrm rot="5400000">
          <a:off x="2245305" y="2366986"/>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60752" y="4172425"/>
        <a:ext cx="3976063" cy="386070"/>
      </dsp:txXfrm>
    </dsp:sp>
    <dsp:sp modelId="{B88D95AA-AFFF-224F-9EBE-1226F2119586}">
      <dsp:nvSpPr>
        <dsp:cNvPr id="0" name=""/>
        <dsp:cNvSpPr/>
      </dsp:nvSpPr>
      <dsp:spPr>
        <a:xfrm rot="5400000">
          <a:off x="-98732" y="4842574"/>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Conclusions</a:t>
          </a:r>
        </a:p>
      </dsp:txBody>
      <dsp:txXfrm rot="-5400000">
        <a:off x="1" y="4974218"/>
        <a:ext cx="460751" cy="197465"/>
      </dsp:txXfrm>
    </dsp:sp>
    <dsp:sp modelId="{BC4A5DFE-0373-0044-B473-93ADEF2A2324}">
      <dsp:nvSpPr>
        <dsp:cNvPr id="0" name=""/>
        <dsp:cNvSpPr/>
      </dsp:nvSpPr>
      <dsp:spPr>
        <a:xfrm rot="5400000">
          <a:off x="2245305" y="2959288"/>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60752" y="4764727"/>
        <a:ext cx="3976063" cy="386070"/>
      </dsp:txXfrm>
    </dsp:sp>
    <dsp:sp modelId="{ED0EEAAD-1F9F-C445-9ED5-D61D26A0F8D1}">
      <dsp:nvSpPr>
        <dsp:cNvPr id="0" name=""/>
        <dsp:cNvSpPr/>
      </dsp:nvSpPr>
      <dsp:spPr>
        <a:xfrm rot="5400000">
          <a:off x="-98732" y="5434876"/>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Recommendations for future work</a:t>
          </a:r>
        </a:p>
      </dsp:txBody>
      <dsp:txXfrm rot="-5400000">
        <a:off x="1" y="5566520"/>
        <a:ext cx="460751" cy="197465"/>
      </dsp:txXfrm>
    </dsp:sp>
    <dsp:sp modelId="{C174B10A-41E6-244B-88CB-0D08E5FFF5F9}">
      <dsp:nvSpPr>
        <dsp:cNvPr id="0" name=""/>
        <dsp:cNvSpPr/>
      </dsp:nvSpPr>
      <dsp:spPr>
        <a:xfrm rot="5400000">
          <a:off x="2245192" y="3551702"/>
          <a:ext cx="428065"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60751" y="5357039"/>
        <a:ext cx="3976052" cy="386273"/>
      </dsp:txXfrm>
    </dsp:sp>
    <dsp:sp modelId="{6DDDE256-1CA3-1140-A939-5530FC1F57D3}">
      <dsp:nvSpPr>
        <dsp:cNvPr id="0" name=""/>
        <dsp:cNvSpPr/>
      </dsp:nvSpPr>
      <dsp:spPr>
        <a:xfrm rot="5400000">
          <a:off x="-98732" y="6027178"/>
          <a:ext cx="658216" cy="460751"/>
        </a:xfrm>
        <a:prstGeom prst="chevron">
          <a:avLst/>
        </a:prstGeom>
        <a:solidFill>
          <a:srgbClr val="953735"/>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158822"/>
        <a:ext cx="460751" cy="197465"/>
      </dsp:txXfrm>
    </dsp:sp>
    <dsp:sp modelId="{999FDDA9-9F6A-1143-BE3C-B1E07CBE9945}">
      <dsp:nvSpPr>
        <dsp:cNvPr id="0" name=""/>
        <dsp:cNvSpPr/>
      </dsp:nvSpPr>
      <dsp:spPr>
        <a:xfrm rot="5400000">
          <a:off x="2245305" y="4143892"/>
          <a:ext cx="427840" cy="3996948"/>
        </a:xfrm>
        <a:prstGeom prst="round2SameRect">
          <a:avLst/>
        </a:prstGeom>
        <a:solidFill>
          <a:srgbClr val="953735">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8732" y="6619480"/>
          <a:ext cx="658216" cy="46075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6751124"/>
        <a:ext cx="460751" cy="197465"/>
      </dsp:txXfrm>
    </dsp:sp>
    <dsp:sp modelId="{53F81CAC-F802-9240-8C94-B3E2B1F8761C}">
      <dsp:nvSpPr>
        <dsp:cNvPr id="0" name=""/>
        <dsp:cNvSpPr/>
      </dsp:nvSpPr>
      <dsp:spPr>
        <a:xfrm rot="5400000">
          <a:off x="2245305" y="4736194"/>
          <a:ext cx="427840" cy="399694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1197" y="96789"/>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18386"/>
        <a:ext cx="425590" cy="182396"/>
      </dsp:txXfrm>
    </dsp:sp>
    <dsp:sp modelId="{28826DD3-E030-6044-B2F2-D85EF85F6960}">
      <dsp:nvSpPr>
        <dsp:cNvPr id="0" name=""/>
        <dsp:cNvSpPr/>
      </dsp:nvSpPr>
      <dsp:spPr>
        <a:xfrm rot="5400000">
          <a:off x="2244049" y="-1812867"/>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&amp;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25590" y="24884"/>
        <a:ext cx="4012817" cy="356607"/>
      </dsp:txXfrm>
    </dsp:sp>
    <dsp:sp modelId="{B422BFF3-8BFD-2144-8980-375702EA9496}">
      <dsp:nvSpPr>
        <dsp:cNvPr id="0" name=""/>
        <dsp:cNvSpPr/>
      </dsp:nvSpPr>
      <dsp:spPr>
        <a:xfrm rot="5400000">
          <a:off x="-91197" y="643891"/>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765488"/>
        <a:ext cx="425590" cy="182396"/>
      </dsp:txXfrm>
    </dsp:sp>
    <dsp:sp modelId="{8BDAA81E-2E4E-9C4A-9A67-4855D9BA1510}">
      <dsp:nvSpPr>
        <dsp:cNvPr id="0" name=""/>
        <dsp:cNvSpPr/>
      </dsp:nvSpPr>
      <dsp:spPr>
        <a:xfrm rot="5400000">
          <a:off x="2244049" y="-1265765"/>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25590" y="571986"/>
        <a:ext cx="4012817" cy="356607"/>
      </dsp:txXfrm>
    </dsp:sp>
    <dsp:sp modelId="{CCC28DE8-0568-7547-9A1F-3C6F0F33A2CF}">
      <dsp:nvSpPr>
        <dsp:cNvPr id="0" name=""/>
        <dsp:cNvSpPr/>
      </dsp:nvSpPr>
      <dsp:spPr>
        <a:xfrm rot="5400000">
          <a:off x="-91197" y="1190993"/>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Design of intervention</a:t>
          </a:r>
        </a:p>
      </dsp:txBody>
      <dsp:txXfrm rot="-5400000">
        <a:off x="1" y="1312590"/>
        <a:ext cx="425590" cy="182396"/>
      </dsp:txXfrm>
    </dsp:sp>
    <dsp:sp modelId="{F1EE7E3F-25DA-8041-85A7-EBBF11BC4C56}">
      <dsp:nvSpPr>
        <dsp:cNvPr id="0" name=""/>
        <dsp:cNvSpPr/>
      </dsp:nvSpPr>
      <dsp:spPr>
        <a:xfrm rot="5400000">
          <a:off x="2244049" y="-718664"/>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25590" y="1119087"/>
        <a:ext cx="4012817" cy="356607"/>
      </dsp:txXfrm>
    </dsp:sp>
    <dsp:sp modelId="{A0202F08-BEC9-8F43-8711-F30ADE817D18}">
      <dsp:nvSpPr>
        <dsp:cNvPr id="0" name=""/>
        <dsp:cNvSpPr/>
      </dsp:nvSpPr>
      <dsp:spPr>
        <a:xfrm rot="5400000">
          <a:off x="-91197" y="1738094"/>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Methodology</a:t>
          </a:r>
        </a:p>
      </dsp:txBody>
      <dsp:txXfrm rot="-5400000">
        <a:off x="1" y="1859691"/>
        <a:ext cx="425590" cy="182396"/>
      </dsp:txXfrm>
    </dsp:sp>
    <dsp:sp modelId="{06B263AD-CC10-0D49-8145-0C283F585CD5}">
      <dsp:nvSpPr>
        <dsp:cNvPr id="0" name=""/>
        <dsp:cNvSpPr/>
      </dsp:nvSpPr>
      <dsp:spPr>
        <a:xfrm rot="5400000">
          <a:off x="2244049" y="-171562"/>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25590" y="1666189"/>
        <a:ext cx="4012817" cy="356607"/>
      </dsp:txXfrm>
    </dsp:sp>
    <dsp:sp modelId="{31EA3204-EDC1-4F43-84C9-41DE884256E5}">
      <dsp:nvSpPr>
        <dsp:cNvPr id="0" name=""/>
        <dsp:cNvSpPr/>
      </dsp:nvSpPr>
      <dsp:spPr>
        <a:xfrm rot="5400000">
          <a:off x="-91197" y="2285196"/>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Focus groups pre-pilot</a:t>
          </a:r>
        </a:p>
      </dsp:txBody>
      <dsp:txXfrm rot="-5400000">
        <a:off x="1" y="2406793"/>
        <a:ext cx="425590" cy="182396"/>
      </dsp:txXfrm>
    </dsp:sp>
    <dsp:sp modelId="{9D5418D3-F08D-8545-87B2-2FD7B1D1031E}">
      <dsp:nvSpPr>
        <dsp:cNvPr id="0" name=""/>
        <dsp:cNvSpPr/>
      </dsp:nvSpPr>
      <dsp:spPr>
        <a:xfrm rot="5400000">
          <a:off x="2243945" y="375643"/>
          <a:ext cx="395398"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25590" y="2213300"/>
        <a:ext cx="4012807" cy="356794"/>
      </dsp:txXfrm>
    </dsp:sp>
    <dsp:sp modelId="{844AC346-AEB9-A649-8C9D-DBF2769C8FFC}">
      <dsp:nvSpPr>
        <dsp:cNvPr id="0" name=""/>
        <dsp:cNvSpPr/>
      </dsp:nvSpPr>
      <dsp:spPr>
        <a:xfrm rot="5400000">
          <a:off x="-91197" y="2832298"/>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2953895"/>
        <a:ext cx="425590" cy="182396"/>
      </dsp:txXfrm>
    </dsp:sp>
    <dsp:sp modelId="{C80BEB0B-E1AB-4443-9F91-9D6894D7833E}">
      <dsp:nvSpPr>
        <dsp:cNvPr id="0" name=""/>
        <dsp:cNvSpPr/>
      </dsp:nvSpPr>
      <dsp:spPr>
        <a:xfrm rot="5400000">
          <a:off x="2244049" y="922640"/>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25590" y="2760391"/>
        <a:ext cx="4012817" cy="356607"/>
      </dsp:txXfrm>
    </dsp:sp>
    <dsp:sp modelId="{B9872B13-1174-E847-A615-29577404DF21}">
      <dsp:nvSpPr>
        <dsp:cNvPr id="0" name=""/>
        <dsp:cNvSpPr/>
      </dsp:nvSpPr>
      <dsp:spPr>
        <a:xfrm rot="5400000">
          <a:off x="-91197" y="3379399"/>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500996"/>
        <a:ext cx="425590" cy="182396"/>
      </dsp:txXfrm>
    </dsp:sp>
    <dsp:sp modelId="{DCD4A931-4F01-F440-965B-DC25AA6FE080}">
      <dsp:nvSpPr>
        <dsp:cNvPr id="0" name=""/>
        <dsp:cNvSpPr/>
      </dsp:nvSpPr>
      <dsp:spPr>
        <a:xfrm rot="5400000">
          <a:off x="2244049" y="1469742"/>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a:t>
          </a:r>
        </a:p>
      </dsp:txBody>
      <dsp:txXfrm rot="-5400000">
        <a:off x="425590" y="3307493"/>
        <a:ext cx="4012817" cy="356607"/>
      </dsp:txXfrm>
    </dsp:sp>
    <dsp:sp modelId="{7084F658-3BB1-D447-B8C5-A6837F15B277}">
      <dsp:nvSpPr>
        <dsp:cNvPr id="0" name=""/>
        <dsp:cNvSpPr/>
      </dsp:nvSpPr>
      <dsp:spPr>
        <a:xfrm rot="5400000">
          <a:off x="-91197" y="3926501"/>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1" y="4048098"/>
        <a:ext cx="425590" cy="182396"/>
      </dsp:txXfrm>
    </dsp:sp>
    <dsp:sp modelId="{3D55146F-789B-2249-B6B6-C45CABF1EF76}">
      <dsp:nvSpPr>
        <dsp:cNvPr id="0" name=""/>
        <dsp:cNvSpPr/>
      </dsp:nvSpPr>
      <dsp:spPr>
        <a:xfrm rot="5400000">
          <a:off x="2244049" y="2016844"/>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25590" y="3854595"/>
        <a:ext cx="4012817" cy="356607"/>
      </dsp:txXfrm>
    </dsp:sp>
    <dsp:sp modelId="{E86BF6A3-BA90-BB43-908F-24E76E7D1587}">
      <dsp:nvSpPr>
        <dsp:cNvPr id="0" name=""/>
        <dsp:cNvSpPr/>
      </dsp:nvSpPr>
      <dsp:spPr>
        <a:xfrm rot="5400000">
          <a:off x="-91197" y="4473603"/>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4595200"/>
        <a:ext cx="425590" cy="182396"/>
      </dsp:txXfrm>
    </dsp:sp>
    <dsp:sp modelId="{E2DE84BA-2462-A242-AC94-46E19F99F1BB}">
      <dsp:nvSpPr>
        <dsp:cNvPr id="0" name=""/>
        <dsp:cNvSpPr/>
      </dsp:nvSpPr>
      <dsp:spPr>
        <a:xfrm rot="5400000">
          <a:off x="2244049" y="2563945"/>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25590" y="4401696"/>
        <a:ext cx="4012817" cy="356607"/>
      </dsp:txXfrm>
    </dsp:sp>
    <dsp:sp modelId="{B88D95AA-AFFF-224F-9EBE-1226F2119586}">
      <dsp:nvSpPr>
        <dsp:cNvPr id="0" name=""/>
        <dsp:cNvSpPr/>
      </dsp:nvSpPr>
      <dsp:spPr>
        <a:xfrm rot="5400000">
          <a:off x="-91197" y="5020704"/>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142301"/>
        <a:ext cx="425590" cy="182396"/>
      </dsp:txXfrm>
    </dsp:sp>
    <dsp:sp modelId="{BC4A5DFE-0373-0044-B473-93ADEF2A2324}">
      <dsp:nvSpPr>
        <dsp:cNvPr id="0" name=""/>
        <dsp:cNvSpPr/>
      </dsp:nvSpPr>
      <dsp:spPr>
        <a:xfrm rot="5400000">
          <a:off x="2244049" y="3111047"/>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25590" y="4948798"/>
        <a:ext cx="4012817" cy="356607"/>
      </dsp:txXfrm>
    </dsp:sp>
    <dsp:sp modelId="{ED0EEAAD-1F9F-C445-9ED5-D61D26A0F8D1}">
      <dsp:nvSpPr>
        <dsp:cNvPr id="0" name=""/>
        <dsp:cNvSpPr/>
      </dsp:nvSpPr>
      <dsp:spPr>
        <a:xfrm rot="5400000">
          <a:off x="-91197" y="5567806"/>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5689403"/>
        <a:ext cx="425590" cy="182396"/>
      </dsp:txXfrm>
    </dsp:sp>
    <dsp:sp modelId="{C174B10A-41E6-244B-88CB-0D08E5FFF5F9}">
      <dsp:nvSpPr>
        <dsp:cNvPr id="0" name=""/>
        <dsp:cNvSpPr/>
      </dsp:nvSpPr>
      <dsp:spPr>
        <a:xfrm rot="5400000">
          <a:off x="2244049" y="3658149"/>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25590" y="5495900"/>
        <a:ext cx="4012817" cy="356607"/>
      </dsp:txXfrm>
    </dsp:sp>
    <dsp:sp modelId="{6DDDE256-1CA3-1140-A939-5530FC1F57D3}">
      <dsp:nvSpPr>
        <dsp:cNvPr id="0" name=""/>
        <dsp:cNvSpPr/>
      </dsp:nvSpPr>
      <dsp:spPr>
        <a:xfrm rot="5400000">
          <a:off x="-91197" y="6114908"/>
          <a:ext cx="607986" cy="42559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236505"/>
        <a:ext cx="425590" cy="182396"/>
      </dsp:txXfrm>
    </dsp:sp>
    <dsp:sp modelId="{999FDDA9-9F6A-1143-BE3C-B1E07CBE9945}">
      <dsp:nvSpPr>
        <dsp:cNvPr id="0" name=""/>
        <dsp:cNvSpPr/>
      </dsp:nvSpPr>
      <dsp:spPr>
        <a:xfrm rot="5400000">
          <a:off x="2244049" y="4205250"/>
          <a:ext cx="395191" cy="403210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1197" y="6662009"/>
          <a:ext cx="607986" cy="425590"/>
        </a:xfrm>
        <a:prstGeom prst="chevron">
          <a:avLst/>
        </a:prstGeom>
        <a:solidFill>
          <a:srgbClr val="953735"/>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6783606"/>
        <a:ext cx="425590" cy="182396"/>
      </dsp:txXfrm>
    </dsp:sp>
    <dsp:sp modelId="{53F81CAC-F802-9240-8C94-B3E2B1F8761C}">
      <dsp:nvSpPr>
        <dsp:cNvPr id="0" name=""/>
        <dsp:cNvSpPr/>
      </dsp:nvSpPr>
      <dsp:spPr>
        <a:xfrm rot="5400000">
          <a:off x="2244049" y="4752352"/>
          <a:ext cx="395191" cy="4032109"/>
        </a:xfrm>
        <a:prstGeom prst="round2SameRect">
          <a:avLst/>
        </a:prstGeom>
        <a:solidFill>
          <a:srgbClr val="953735">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F07AA4-B281-F744-8ACF-7E8D4E1E821B}">
      <dsp:nvSpPr>
        <dsp:cNvPr id="0" name=""/>
        <dsp:cNvSpPr/>
      </dsp:nvSpPr>
      <dsp:spPr>
        <a:xfrm>
          <a:off x="6790" y="6027129"/>
          <a:ext cx="678485" cy="40443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Practice under pressure </a:t>
          </a:r>
        </a:p>
      </dsp:txBody>
      <dsp:txXfrm>
        <a:off x="18635" y="6038974"/>
        <a:ext cx="654795" cy="380743"/>
      </dsp:txXfrm>
    </dsp:sp>
    <dsp:sp modelId="{85ECB774-A90C-1B49-97DC-0B8A5841C982}">
      <dsp:nvSpPr>
        <dsp:cNvPr id="0" name=""/>
        <dsp:cNvSpPr/>
      </dsp:nvSpPr>
      <dsp:spPr>
        <a:xfrm rot="16468109">
          <a:off x="-190728" y="5280580"/>
          <a:ext cx="1900042" cy="3265"/>
        </a:xfrm>
        <a:custGeom>
          <a:avLst/>
          <a:gdLst/>
          <a:ahLst/>
          <a:cxnLst/>
          <a:rect l="0" t="0" r="0" b="0"/>
          <a:pathLst>
            <a:path>
              <a:moveTo>
                <a:pt x="0" y="1632"/>
              </a:moveTo>
              <a:lnTo>
                <a:pt x="1900042" y="1632"/>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711791" y="5234711"/>
        <a:ext cx="95002" cy="95002"/>
      </dsp:txXfrm>
    </dsp:sp>
    <dsp:sp modelId="{D7BB4BD5-996C-0942-B6E1-8F7A2DA0F87E}">
      <dsp:nvSpPr>
        <dsp:cNvPr id="0" name=""/>
        <dsp:cNvSpPr/>
      </dsp:nvSpPr>
      <dsp:spPr>
        <a:xfrm>
          <a:off x="833309" y="4156324"/>
          <a:ext cx="515230" cy="357508"/>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Self </a:t>
          </a:r>
        </a:p>
      </dsp:txBody>
      <dsp:txXfrm>
        <a:off x="843780" y="4166795"/>
        <a:ext cx="494288" cy="336566"/>
      </dsp:txXfrm>
    </dsp:sp>
    <dsp:sp modelId="{75051B60-8BE1-0041-8134-5CBD75C22703}">
      <dsp:nvSpPr>
        <dsp:cNvPr id="0" name=""/>
        <dsp:cNvSpPr/>
      </dsp:nvSpPr>
      <dsp:spPr>
        <a:xfrm rot="16421330">
          <a:off x="272117" y="3185390"/>
          <a:ext cx="2300878" cy="3265"/>
        </a:xfrm>
        <a:custGeom>
          <a:avLst/>
          <a:gdLst/>
          <a:ahLst/>
          <a:cxnLst/>
          <a:rect l="0" t="0" r="0" b="0"/>
          <a:pathLst>
            <a:path>
              <a:moveTo>
                <a:pt x="0" y="1632"/>
              </a:moveTo>
              <a:lnTo>
                <a:pt x="2300878" y="1632"/>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1365035" y="3129501"/>
        <a:ext cx="115043" cy="115043"/>
      </dsp:txXfrm>
    </dsp:sp>
    <dsp:sp modelId="{A215F424-E077-0C4E-8F1F-4D1B37CB15DF}">
      <dsp:nvSpPr>
        <dsp:cNvPr id="0" name=""/>
        <dsp:cNvSpPr/>
      </dsp:nvSpPr>
      <dsp:spPr>
        <a:xfrm>
          <a:off x="1496573" y="1812291"/>
          <a:ext cx="534401" cy="45335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Cognitive processes</a:t>
          </a:r>
        </a:p>
      </dsp:txBody>
      <dsp:txXfrm>
        <a:off x="1509851" y="1825569"/>
        <a:ext cx="507845" cy="426796"/>
      </dsp:txXfrm>
    </dsp:sp>
    <dsp:sp modelId="{9F17D2A1-210D-3244-B8C1-29E3B40EBF45}">
      <dsp:nvSpPr>
        <dsp:cNvPr id="0" name=""/>
        <dsp:cNvSpPr/>
      </dsp:nvSpPr>
      <dsp:spPr>
        <a:xfrm rot="16472538">
          <a:off x="1355707" y="1306293"/>
          <a:ext cx="1466688" cy="3265"/>
        </a:xfrm>
        <a:custGeom>
          <a:avLst/>
          <a:gdLst/>
          <a:ahLst/>
          <a:cxnLst/>
          <a:rect l="0" t="0" r="0" b="0"/>
          <a:pathLst>
            <a:path>
              <a:moveTo>
                <a:pt x="0" y="1632"/>
              </a:moveTo>
              <a:lnTo>
                <a:pt x="146668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052384" y="1271259"/>
        <a:ext cx="73334" cy="73334"/>
      </dsp:txXfrm>
    </dsp:sp>
    <dsp:sp modelId="{BF432A02-994E-5043-B97D-E483D7FA861D}">
      <dsp:nvSpPr>
        <dsp:cNvPr id="0" name=""/>
        <dsp:cNvSpPr/>
      </dsp:nvSpPr>
      <dsp:spPr>
        <a:xfrm>
          <a:off x="2147129" y="440690"/>
          <a:ext cx="638801" cy="27239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How to think</a:t>
          </a:r>
        </a:p>
      </dsp:txBody>
      <dsp:txXfrm>
        <a:off x="2155107" y="448668"/>
        <a:ext cx="622845" cy="256434"/>
      </dsp:txXfrm>
    </dsp:sp>
    <dsp:sp modelId="{E6AD5C6A-63C4-2349-A773-BB6EE77F1552}">
      <dsp:nvSpPr>
        <dsp:cNvPr id="0" name=""/>
        <dsp:cNvSpPr/>
      </dsp:nvSpPr>
      <dsp:spPr>
        <a:xfrm rot="17349746">
          <a:off x="2601837" y="316387"/>
          <a:ext cx="548100" cy="3265"/>
        </a:xfrm>
        <a:custGeom>
          <a:avLst/>
          <a:gdLst/>
          <a:ahLst/>
          <a:cxnLst/>
          <a:rect l="0" t="0" r="0" b="0"/>
          <a:pathLst>
            <a:path>
              <a:moveTo>
                <a:pt x="0" y="1632"/>
              </a:moveTo>
              <a:lnTo>
                <a:pt x="548100"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862184" y="304317"/>
        <a:ext cx="27405" cy="27405"/>
      </dsp:txXfrm>
    </dsp:sp>
    <dsp:sp modelId="{E6C2D0A2-5090-6040-B1BB-7B07DC53D28A}">
      <dsp:nvSpPr>
        <dsp:cNvPr id="0" name=""/>
        <dsp:cNvSpPr/>
      </dsp:nvSpPr>
      <dsp:spPr>
        <a:xfrm>
          <a:off x="2965843" y="0"/>
          <a:ext cx="1136198" cy="118308"/>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Framework/ strategy/structure</a:t>
          </a:r>
        </a:p>
      </dsp:txBody>
      <dsp:txXfrm>
        <a:off x="2969308" y="3465"/>
        <a:ext cx="1129268" cy="111378"/>
      </dsp:txXfrm>
    </dsp:sp>
    <dsp:sp modelId="{C3BFBD6E-7BF2-624B-8C9D-728F0CF10CB9}">
      <dsp:nvSpPr>
        <dsp:cNvPr id="0" name=""/>
        <dsp:cNvSpPr/>
      </dsp:nvSpPr>
      <dsp:spPr>
        <a:xfrm rot="762132">
          <a:off x="4100184" y="74204"/>
          <a:ext cx="151747" cy="3265"/>
        </a:xfrm>
        <a:custGeom>
          <a:avLst/>
          <a:gdLst/>
          <a:ahLst/>
          <a:cxnLst/>
          <a:rect l="0" t="0" r="0" b="0"/>
          <a:pathLst>
            <a:path>
              <a:moveTo>
                <a:pt x="0" y="1632"/>
              </a:moveTo>
              <a:lnTo>
                <a:pt x="151747"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172264" y="72043"/>
        <a:ext cx="7587" cy="7587"/>
      </dsp:txXfrm>
    </dsp:sp>
    <dsp:sp modelId="{B4224EB3-25EF-4E4B-910B-E4303EA28DFD}">
      <dsp:nvSpPr>
        <dsp:cNvPr id="0" name=""/>
        <dsp:cNvSpPr/>
      </dsp:nvSpPr>
      <dsp:spPr>
        <a:xfrm>
          <a:off x="4250075" y="0"/>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Fit to think </a:t>
          </a:r>
        </a:p>
      </dsp:txBody>
      <dsp:txXfrm>
        <a:off x="4255495" y="5420"/>
        <a:ext cx="359243" cy="174201"/>
      </dsp:txXfrm>
    </dsp:sp>
    <dsp:sp modelId="{0B987C81-5569-A14B-BC0A-0F513D6EDBAB}">
      <dsp:nvSpPr>
        <dsp:cNvPr id="0" name=""/>
        <dsp:cNvSpPr/>
      </dsp:nvSpPr>
      <dsp:spPr>
        <a:xfrm rot="18103837">
          <a:off x="2704843" y="429775"/>
          <a:ext cx="342086" cy="3265"/>
        </a:xfrm>
        <a:custGeom>
          <a:avLst/>
          <a:gdLst/>
          <a:ahLst/>
          <a:cxnLst/>
          <a:rect l="0" t="0" r="0" b="0"/>
          <a:pathLst>
            <a:path>
              <a:moveTo>
                <a:pt x="0" y="1632"/>
              </a:moveTo>
              <a:lnTo>
                <a:pt x="342086"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867335" y="422855"/>
        <a:ext cx="17104" cy="17104"/>
      </dsp:txXfrm>
    </dsp:sp>
    <dsp:sp modelId="{3C1401A9-9818-AE48-9FD6-23E3A6A87C1C}">
      <dsp:nvSpPr>
        <dsp:cNvPr id="0" name=""/>
        <dsp:cNvSpPr/>
      </dsp:nvSpPr>
      <dsp:spPr>
        <a:xfrm>
          <a:off x="2965843" y="186691"/>
          <a:ext cx="554674" cy="198477"/>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How to think under pressure</a:t>
          </a:r>
        </a:p>
      </dsp:txBody>
      <dsp:txXfrm>
        <a:off x="2971656" y="192504"/>
        <a:ext cx="543048" cy="186851"/>
      </dsp:txXfrm>
    </dsp:sp>
    <dsp:sp modelId="{1683C243-3834-4042-8AAC-AD4053BE4093}">
      <dsp:nvSpPr>
        <dsp:cNvPr id="0" name=""/>
        <dsp:cNvSpPr/>
      </dsp:nvSpPr>
      <dsp:spPr>
        <a:xfrm rot="20593789">
          <a:off x="3517230" y="261992"/>
          <a:ext cx="154609" cy="3265"/>
        </a:xfrm>
        <a:custGeom>
          <a:avLst/>
          <a:gdLst/>
          <a:ahLst/>
          <a:cxnLst/>
          <a:rect l="0" t="0" r="0" b="0"/>
          <a:pathLst>
            <a:path>
              <a:moveTo>
                <a:pt x="0" y="1632"/>
              </a:moveTo>
              <a:lnTo>
                <a:pt x="15460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590669" y="259760"/>
        <a:ext cx="7730" cy="7730"/>
      </dsp:txXfrm>
    </dsp:sp>
    <dsp:sp modelId="{FC6C8DCE-58A0-3E44-8CF3-EB768D2F99D2}">
      <dsp:nvSpPr>
        <dsp:cNvPr id="0" name=""/>
        <dsp:cNvSpPr/>
      </dsp:nvSpPr>
      <dsp:spPr>
        <a:xfrm>
          <a:off x="3668551" y="186690"/>
          <a:ext cx="1560602" cy="10925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Cognitive biases, human factors</a:t>
          </a:r>
        </a:p>
      </dsp:txBody>
      <dsp:txXfrm>
        <a:off x="3671751" y="189890"/>
        <a:ext cx="1554202" cy="102859"/>
      </dsp:txXfrm>
    </dsp:sp>
    <dsp:sp modelId="{E8DFD233-810A-DE48-B57C-6CD438B438F0}">
      <dsp:nvSpPr>
        <dsp:cNvPr id="0" name=""/>
        <dsp:cNvSpPr/>
      </dsp:nvSpPr>
      <dsp:spPr>
        <a:xfrm rot="950774">
          <a:off x="2782377" y="600786"/>
          <a:ext cx="187019" cy="3265"/>
        </a:xfrm>
        <a:custGeom>
          <a:avLst/>
          <a:gdLst/>
          <a:ahLst/>
          <a:cxnLst/>
          <a:rect l="0" t="0" r="0" b="0"/>
          <a:pathLst>
            <a:path>
              <a:moveTo>
                <a:pt x="0" y="1632"/>
              </a:moveTo>
              <a:lnTo>
                <a:pt x="18701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871211" y="597743"/>
        <a:ext cx="9350" cy="9350"/>
      </dsp:txXfrm>
    </dsp:sp>
    <dsp:sp modelId="{4CDA315F-2834-C74C-86AB-513CD784BB09}">
      <dsp:nvSpPr>
        <dsp:cNvPr id="0" name=""/>
        <dsp:cNvSpPr/>
      </dsp:nvSpPr>
      <dsp:spPr>
        <a:xfrm>
          <a:off x="2965843" y="529590"/>
          <a:ext cx="554674" cy="19672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Flexibility in thought</a:t>
          </a:r>
        </a:p>
      </dsp:txBody>
      <dsp:txXfrm>
        <a:off x="2971605" y="535352"/>
        <a:ext cx="543150" cy="185199"/>
      </dsp:txXfrm>
    </dsp:sp>
    <dsp:sp modelId="{2AD0E970-12BB-2B4E-9F83-AF1154EE9D7E}">
      <dsp:nvSpPr>
        <dsp:cNvPr id="0" name=""/>
        <dsp:cNvSpPr/>
      </dsp:nvSpPr>
      <dsp:spPr>
        <a:xfrm rot="21398393">
          <a:off x="3520390" y="621974"/>
          <a:ext cx="148288" cy="3265"/>
        </a:xfrm>
        <a:custGeom>
          <a:avLst/>
          <a:gdLst/>
          <a:ahLst/>
          <a:cxnLst/>
          <a:rect l="0" t="0" r="0" b="0"/>
          <a:pathLst>
            <a:path>
              <a:moveTo>
                <a:pt x="0" y="1632"/>
              </a:moveTo>
              <a:lnTo>
                <a:pt x="14828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590827" y="619899"/>
        <a:ext cx="7414" cy="7414"/>
      </dsp:txXfrm>
    </dsp:sp>
    <dsp:sp modelId="{40907F8B-9809-2140-935C-7CA63B83011B}">
      <dsp:nvSpPr>
        <dsp:cNvPr id="0" name=""/>
        <dsp:cNvSpPr/>
      </dsp:nvSpPr>
      <dsp:spPr>
        <a:xfrm>
          <a:off x="3668551" y="529590"/>
          <a:ext cx="1602033" cy="17934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How and when to use protocols</a:t>
          </a:r>
        </a:p>
      </dsp:txBody>
      <dsp:txXfrm>
        <a:off x="3673804" y="534843"/>
        <a:ext cx="1591527" cy="168834"/>
      </dsp:txXfrm>
    </dsp:sp>
    <dsp:sp modelId="{AF548F20-6D14-C34A-A887-640744F8B9CC}">
      <dsp:nvSpPr>
        <dsp:cNvPr id="0" name=""/>
        <dsp:cNvSpPr/>
      </dsp:nvSpPr>
      <dsp:spPr>
        <a:xfrm rot="16691308">
          <a:off x="1585319" y="1522960"/>
          <a:ext cx="1039344" cy="3265"/>
        </a:xfrm>
        <a:custGeom>
          <a:avLst/>
          <a:gdLst/>
          <a:ahLst/>
          <a:cxnLst/>
          <a:rect l="0" t="0" r="0" b="0"/>
          <a:pathLst>
            <a:path>
              <a:moveTo>
                <a:pt x="0" y="1632"/>
              </a:moveTo>
              <a:lnTo>
                <a:pt x="103934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079008" y="1498609"/>
        <a:ext cx="51967" cy="51967"/>
      </dsp:txXfrm>
    </dsp:sp>
    <dsp:sp modelId="{37C9041F-9873-1D42-80B1-B341A68E65F3}">
      <dsp:nvSpPr>
        <dsp:cNvPr id="0" name=""/>
        <dsp:cNvSpPr/>
      </dsp:nvSpPr>
      <dsp:spPr>
        <a:xfrm>
          <a:off x="2179008" y="872490"/>
          <a:ext cx="626811" cy="275458"/>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How to access knowledge</a:t>
          </a:r>
        </a:p>
      </dsp:txBody>
      <dsp:txXfrm>
        <a:off x="2187076" y="880558"/>
        <a:ext cx="610675" cy="259322"/>
      </dsp:txXfrm>
    </dsp:sp>
    <dsp:sp modelId="{47A0F795-59D6-7C47-B544-0CEFEF4A4D8B}">
      <dsp:nvSpPr>
        <dsp:cNvPr id="0" name=""/>
        <dsp:cNvSpPr/>
      </dsp:nvSpPr>
      <dsp:spPr>
        <a:xfrm rot="20531209">
          <a:off x="2802092" y="984803"/>
          <a:ext cx="155487" cy="3265"/>
        </a:xfrm>
        <a:custGeom>
          <a:avLst/>
          <a:gdLst/>
          <a:ahLst/>
          <a:cxnLst/>
          <a:rect l="0" t="0" r="0" b="0"/>
          <a:pathLst>
            <a:path>
              <a:moveTo>
                <a:pt x="0" y="1632"/>
              </a:moveTo>
              <a:lnTo>
                <a:pt x="155487"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875949" y="982549"/>
        <a:ext cx="7774" cy="7774"/>
      </dsp:txXfrm>
    </dsp:sp>
    <dsp:sp modelId="{2299191A-3DF3-4240-B3E8-F6A4022648E6}">
      <dsp:nvSpPr>
        <dsp:cNvPr id="0" name=""/>
        <dsp:cNvSpPr/>
      </dsp:nvSpPr>
      <dsp:spPr>
        <a:xfrm rot="10800000" flipV="1">
          <a:off x="2953853" y="872491"/>
          <a:ext cx="837162" cy="18032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rot="-10800000">
        <a:off x="2959134" y="877772"/>
        <a:ext cx="826600" cy="169761"/>
      </dsp:txXfrm>
    </dsp:sp>
    <dsp:sp modelId="{FA098E5E-FB6F-5D48-9B68-BA6B6F679267}">
      <dsp:nvSpPr>
        <dsp:cNvPr id="0" name=""/>
        <dsp:cNvSpPr/>
      </dsp:nvSpPr>
      <dsp:spPr>
        <a:xfrm rot="2836375">
          <a:off x="2770748" y="1088722"/>
          <a:ext cx="218175" cy="3265"/>
        </a:xfrm>
        <a:custGeom>
          <a:avLst/>
          <a:gdLst/>
          <a:ahLst/>
          <a:cxnLst/>
          <a:rect l="0" t="0" r="0" b="0"/>
          <a:pathLst>
            <a:path>
              <a:moveTo>
                <a:pt x="0" y="1632"/>
              </a:moveTo>
              <a:lnTo>
                <a:pt x="21817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874381" y="1084900"/>
        <a:ext cx="10908" cy="10908"/>
      </dsp:txXfrm>
    </dsp:sp>
    <dsp:sp modelId="{6869DDD0-C186-E24D-9AE1-B21F97F29FCC}">
      <dsp:nvSpPr>
        <dsp:cNvPr id="0" name=""/>
        <dsp:cNvSpPr/>
      </dsp:nvSpPr>
      <dsp:spPr>
        <a:xfrm>
          <a:off x="2953853" y="1101090"/>
          <a:ext cx="955774" cy="138798"/>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Self-protection</a:t>
          </a:r>
        </a:p>
      </dsp:txBody>
      <dsp:txXfrm>
        <a:off x="2957918" y="1105155"/>
        <a:ext cx="947644" cy="130668"/>
      </dsp:txXfrm>
    </dsp:sp>
    <dsp:sp modelId="{56FA168B-7075-3841-9C08-3036E8573AA4}">
      <dsp:nvSpPr>
        <dsp:cNvPr id="0" name=""/>
        <dsp:cNvSpPr/>
      </dsp:nvSpPr>
      <dsp:spPr>
        <a:xfrm rot="17225851">
          <a:off x="1853232" y="1796702"/>
          <a:ext cx="503517" cy="3265"/>
        </a:xfrm>
        <a:custGeom>
          <a:avLst/>
          <a:gdLst/>
          <a:ahLst/>
          <a:cxnLst/>
          <a:rect l="0" t="0" r="0" b="0"/>
          <a:pathLst>
            <a:path>
              <a:moveTo>
                <a:pt x="0" y="1632"/>
              </a:moveTo>
              <a:lnTo>
                <a:pt x="503517"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092403" y="1785747"/>
        <a:ext cx="25175" cy="25175"/>
      </dsp:txXfrm>
    </dsp:sp>
    <dsp:sp modelId="{D3707F1C-E763-A949-9D23-57EA01939072}">
      <dsp:nvSpPr>
        <dsp:cNvPr id="0" name=""/>
        <dsp:cNvSpPr/>
      </dsp:nvSpPr>
      <dsp:spPr>
        <a:xfrm>
          <a:off x="2179008" y="1443989"/>
          <a:ext cx="485172" cy="227425"/>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Experience loss situation awareness</a:t>
          </a:r>
        </a:p>
      </dsp:txBody>
      <dsp:txXfrm>
        <a:off x="2185669" y="1450650"/>
        <a:ext cx="471850" cy="214103"/>
      </dsp:txXfrm>
    </dsp:sp>
    <dsp:sp modelId="{471BDAF2-84A0-884A-9F3F-E72A5D2BCFEB}">
      <dsp:nvSpPr>
        <dsp:cNvPr id="0" name=""/>
        <dsp:cNvSpPr/>
      </dsp:nvSpPr>
      <dsp:spPr>
        <a:xfrm rot="19074208">
          <a:off x="2638446" y="1489198"/>
          <a:ext cx="199501" cy="3265"/>
        </a:xfrm>
        <a:custGeom>
          <a:avLst/>
          <a:gdLst/>
          <a:ahLst/>
          <a:cxnLst/>
          <a:rect l="0" t="0" r="0" b="0"/>
          <a:pathLst>
            <a:path>
              <a:moveTo>
                <a:pt x="0" y="1632"/>
              </a:moveTo>
              <a:lnTo>
                <a:pt x="199501"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733210" y="1485843"/>
        <a:ext cx="9975" cy="9975"/>
      </dsp:txXfrm>
    </dsp:sp>
    <dsp:sp modelId="{C648BCC0-1A10-BB40-A2C6-F4FEBB7D412C}">
      <dsp:nvSpPr>
        <dsp:cNvPr id="0" name=""/>
        <dsp:cNvSpPr/>
      </dsp:nvSpPr>
      <dsp:spPr>
        <a:xfrm rot="10800000" flipV="1">
          <a:off x="2812214" y="1329690"/>
          <a:ext cx="783115" cy="18853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Learn to self correct</a:t>
          </a:r>
        </a:p>
      </dsp:txBody>
      <dsp:txXfrm rot="-10800000">
        <a:off x="2817736" y="1335212"/>
        <a:ext cx="772071" cy="177495"/>
      </dsp:txXfrm>
    </dsp:sp>
    <dsp:sp modelId="{F5A02EC3-2791-A749-A8A1-AF1D4CB4E7BE}">
      <dsp:nvSpPr>
        <dsp:cNvPr id="0" name=""/>
        <dsp:cNvSpPr/>
      </dsp:nvSpPr>
      <dsp:spPr>
        <a:xfrm rot="69218">
          <a:off x="3595315" y="1423818"/>
          <a:ext cx="148063" cy="3265"/>
        </a:xfrm>
        <a:custGeom>
          <a:avLst/>
          <a:gdLst/>
          <a:ahLst/>
          <a:cxnLst/>
          <a:rect l="0" t="0" r="0" b="0"/>
          <a:pathLst>
            <a:path>
              <a:moveTo>
                <a:pt x="0" y="1632"/>
              </a:moveTo>
              <a:lnTo>
                <a:pt x="14806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665645" y="1421749"/>
        <a:ext cx="7403" cy="7403"/>
      </dsp:txXfrm>
    </dsp:sp>
    <dsp:sp modelId="{74701B83-02F9-5B4E-96D9-9FB62E0B4608}">
      <dsp:nvSpPr>
        <dsp:cNvPr id="0" name=""/>
        <dsp:cNvSpPr/>
      </dsp:nvSpPr>
      <dsp:spPr>
        <a:xfrm>
          <a:off x="3743363" y="1329689"/>
          <a:ext cx="679499" cy="19450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3749060" y="1335386"/>
        <a:ext cx="668105" cy="183109"/>
      </dsp:txXfrm>
    </dsp:sp>
    <dsp:sp modelId="{E326F846-A3E8-B745-99B0-8711A33D9654}">
      <dsp:nvSpPr>
        <dsp:cNvPr id="0" name=""/>
        <dsp:cNvSpPr/>
      </dsp:nvSpPr>
      <dsp:spPr>
        <a:xfrm rot="1667110">
          <a:off x="2654534" y="1595070"/>
          <a:ext cx="167325" cy="3265"/>
        </a:xfrm>
        <a:custGeom>
          <a:avLst/>
          <a:gdLst/>
          <a:ahLst/>
          <a:cxnLst/>
          <a:rect l="0" t="0" r="0" b="0"/>
          <a:pathLst>
            <a:path>
              <a:moveTo>
                <a:pt x="0" y="1632"/>
              </a:moveTo>
              <a:lnTo>
                <a:pt x="16732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734014" y="1592519"/>
        <a:ext cx="8366" cy="8366"/>
      </dsp:txXfrm>
    </dsp:sp>
    <dsp:sp modelId="{A074F1DE-3BE7-F146-89FF-B4B0117FC436}">
      <dsp:nvSpPr>
        <dsp:cNvPr id="0" name=""/>
        <dsp:cNvSpPr/>
      </dsp:nvSpPr>
      <dsp:spPr>
        <a:xfrm>
          <a:off x="2812214" y="1558288"/>
          <a:ext cx="1364739" cy="154828"/>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Understand and minimise impact</a:t>
          </a:r>
        </a:p>
      </dsp:txBody>
      <dsp:txXfrm>
        <a:off x="2816749" y="1562823"/>
        <a:ext cx="1355669" cy="145758"/>
      </dsp:txXfrm>
    </dsp:sp>
    <dsp:sp modelId="{FC204920-CF5E-B644-9646-E3FB8D119F46}">
      <dsp:nvSpPr>
        <dsp:cNvPr id="0" name=""/>
        <dsp:cNvSpPr/>
      </dsp:nvSpPr>
      <dsp:spPr>
        <a:xfrm rot="349612">
          <a:off x="4176569" y="1641623"/>
          <a:ext cx="148802" cy="3265"/>
        </a:xfrm>
        <a:custGeom>
          <a:avLst/>
          <a:gdLst/>
          <a:ahLst/>
          <a:cxnLst/>
          <a:rect l="0" t="0" r="0" b="0"/>
          <a:pathLst>
            <a:path>
              <a:moveTo>
                <a:pt x="0" y="1632"/>
              </a:moveTo>
              <a:lnTo>
                <a:pt x="148802"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247250" y="1639536"/>
        <a:ext cx="7440" cy="7440"/>
      </dsp:txXfrm>
    </dsp:sp>
    <dsp:sp modelId="{0EC1E40B-F5B5-7643-B005-C3307981C92E}">
      <dsp:nvSpPr>
        <dsp:cNvPr id="0" name=""/>
        <dsp:cNvSpPr/>
      </dsp:nvSpPr>
      <dsp:spPr>
        <a:xfrm>
          <a:off x="4324987" y="1558288"/>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4330407" y="1563708"/>
        <a:ext cx="359243" cy="174201"/>
      </dsp:txXfrm>
    </dsp:sp>
    <dsp:sp modelId="{D7CE84B0-2AD4-4C48-A1F8-255F255C124C}">
      <dsp:nvSpPr>
        <dsp:cNvPr id="0" name=""/>
        <dsp:cNvSpPr/>
      </dsp:nvSpPr>
      <dsp:spPr>
        <a:xfrm rot="19135213">
          <a:off x="2006799" y="1972811"/>
          <a:ext cx="196384" cy="3265"/>
        </a:xfrm>
        <a:custGeom>
          <a:avLst/>
          <a:gdLst/>
          <a:ahLst/>
          <a:cxnLst/>
          <a:rect l="0" t="0" r="0" b="0"/>
          <a:pathLst>
            <a:path>
              <a:moveTo>
                <a:pt x="0" y="1632"/>
              </a:moveTo>
              <a:lnTo>
                <a:pt x="19638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100082" y="1969534"/>
        <a:ext cx="9819" cy="9819"/>
      </dsp:txXfrm>
    </dsp:sp>
    <dsp:sp modelId="{0166BC58-3065-3140-8F5C-5ECC6B771164}">
      <dsp:nvSpPr>
        <dsp:cNvPr id="0" name=""/>
        <dsp:cNvSpPr/>
      </dsp:nvSpPr>
      <dsp:spPr>
        <a:xfrm>
          <a:off x="2179008" y="1786895"/>
          <a:ext cx="659396" cy="24605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Experience cognitive overload/biases</a:t>
          </a:r>
        </a:p>
      </dsp:txBody>
      <dsp:txXfrm>
        <a:off x="2186215" y="1794102"/>
        <a:ext cx="644982" cy="231638"/>
      </dsp:txXfrm>
    </dsp:sp>
    <dsp:sp modelId="{4B3AE3C5-1F77-1C4F-ADD9-B65CC61B9832}">
      <dsp:nvSpPr>
        <dsp:cNvPr id="0" name=""/>
        <dsp:cNvSpPr/>
      </dsp:nvSpPr>
      <dsp:spPr>
        <a:xfrm rot="20827090">
          <a:off x="2836494" y="1891361"/>
          <a:ext cx="151855" cy="3265"/>
        </a:xfrm>
        <a:custGeom>
          <a:avLst/>
          <a:gdLst/>
          <a:ahLst/>
          <a:cxnLst/>
          <a:rect l="0" t="0" r="0" b="0"/>
          <a:pathLst>
            <a:path>
              <a:moveTo>
                <a:pt x="0" y="1632"/>
              </a:moveTo>
              <a:lnTo>
                <a:pt x="15185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908625" y="1889197"/>
        <a:ext cx="7592" cy="7592"/>
      </dsp:txXfrm>
    </dsp:sp>
    <dsp:sp modelId="{E6F6E067-C603-CB40-9D3A-9B9F7C47ED60}">
      <dsp:nvSpPr>
        <dsp:cNvPr id="0" name=""/>
        <dsp:cNvSpPr/>
      </dsp:nvSpPr>
      <dsp:spPr>
        <a:xfrm>
          <a:off x="2986438" y="1786888"/>
          <a:ext cx="518901" cy="17835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How to minimise </a:t>
          </a:r>
        </a:p>
      </dsp:txBody>
      <dsp:txXfrm>
        <a:off x="2991662" y="1792112"/>
        <a:ext cx="508453" cy="167908"/>
      </dsp:txXfrm>
    </dsp:sp>
    <dsp:sp modelId="{46FB4E8C-E578-1140-BDEB-9DF892225D13}">
      <dsp:nvSpPr>
        <dsp:cNvPr id="0" name=""/>
        <dsp:cNvSpPr/>
      </dsp:nvSpPr>
      <dsp:spPr>
        <a:xfrm rot="77680">
          <a:off x="3505321" y="1876106"/>
          <a:ext cx="148071" cy="3265"/>
        </a:xfrm>
        <a:custGeom>
          <a:avLst/>
          <a:gdLst/>
          <a:ahLst/>
          <a:cxnLst/>
          <a:rect l="0" t="0" r="0" b="0"/>
          <a:pathLst>
            <a:path>
              <a:moveTo>
                <a:pt x="0" y="1632"/>
              </a:moveTo>
              <a:lnTo>
                <a:pt x="148071"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575655" y="1874037"/>
        <a:ext cx="7403" cy="7403"/>
      </dsp:txXfrm>
    </dsp:sp>
    <dsp:sp modelId="{5BD30594-CCC2-FB40-8946-9B1A1ACC9E9A}">
      <dsp:nvSpPr>
        <dsp:cNvPr id="0" name=""/>
        <dsp:cNvSpPr/>
      </dsp:nvSpPr>
      <dsp:spPr>
        <a:xfrm>
          <a:off x="3653374" y="1786891"/>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3658794" y="1792311"/>
        <a:ext cx="359243" cy="174201"/>
      </dsp:txXfrm>
    </dsp:sp>
    <dsp:sp modelId="{F3E39D8D-F053-1949-9191-6101AF6EA419}">
      <dsp:nvSpPr>
        <dsp:cNvPr id="0" name=""/>
        <dsp:cNvSpPr/>
      </dsp:nvSpPr>
      <dsp:spPr>
        <a:xfrm rot="3157491">
          <a:off x="2790489" y="2005185"/>
          <a:ext cx="243864" cy="3265"/>
        </a:xfrm>
        <a:custGeom>
          <a:avLst/>
          <a:gdLst/>
          <a:ahLst/>
          <a:cxnLst/>
          <a:rect l="0" t="0" r="0" b="0"/>
          <a:pathLst>
            <a:path>
              <a:moveTo>
                <a:pt x="0" y="1632"/>
              </a:moveTo>
              <a:lnTo>
                <a:pt x="24386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906325" y="2000721"/>
        <a:ext cx="12193" cy="12193"/>
      </dsp:txXfrm>
    </dsp:sp>
    <dsp:sp modelId="{1511E016-75A3-5F4B-85DD-7514CD779C9A}">
      <dsp:nvSpPr>
        <dsp:cNvPr id="0" name=""/>
        <dsp:cNvSpPr/>
      </dsp:nvSpPr>
      <dsp:spPr>
        <a:xfrm>
          <a:off x="2986438" y="2015490"/>
          <a:ext cx="1435825" cy="17645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How to remain focused/present</a:t>
          </a:r>
        </a:p>
      </dsp:txBody>
      <dsp:txXfrm>
        <a:off x="2991606" y="2020658"/>
        <a:ext cx="1425489" cy="166114"/>
      </dsp:txXfrm>
    </dsp:sp>
    <dsp:sp modelId="{5192D110-5BA2-094F-AD73-CC0F3B1F0681}">
      <dsp:nvSpPr>
        <dsp:cNvPr id="0" name=""/>
        <dsp:cNvSpPr/>
      </dsp:nvSpPr>
      <dsp:spPr>
        <a:xfrm rot="99710">
          <a:off x="4422233" y="2104230"/>
          <a:ext cx="148095" cy="3265"/>
        </a:xfrm>
        <a:custGeom>
          <a:avLst/>
          <a:gdLst/>
          <a:ahLst/>
          <a:cxnLst/>
          <a:rect l="0" t="0" r="0" b="0"/>
          <a:pathLst>
            <a:path>
              <a:moveTo>
                <a:pt x="0" y="1632"/>
              </a:moveTo>
              <a:lnTo>
                <a:pt x="14809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492578" y="2102160"/>
        <a:ext cx="7404" cy="7404"/>
      </dsp:txXfrm>
    </dsp:sp>
    <dsp:sp modelId="{FAC72622-7920-9D4B-8882-12C91CA9C5F3}">
      <dsp:nvSpPr>
        <dsp:cNvPr id="0" name=""/>
        <dsp:cNvSpPr/>
      </dsp:nvSpPr>
      <dsp:spPr>
        <a:xfrm>
          <a:off x="4570297" y="2015489"/>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4575717" y="2020909"/>
        <a:ext cx="359243" cy="174201"/>
      </dsp:txXfrm>
    </dsp:sp>
    <dsp:sp modelId="{89815CA0-A8E4-D34F-8229-DC5554D286CA}">
      <dsp:nvSpPr>
        <dsp:cNvPr id="0" name=""/>
        <dsp:cNvSpPr/>
      </dsp:nvSpPr>
      <dsp:spPr>
        <a:xfrm rot="4140967">
          <a:off x="1898301" y="2230317"/>
          <a:ext cx="413379" cy="3265"/>
        </a:xfrm>
        <a:custGeom>
          <a:avLst/>
          <a:gdLst/>
          <a:ahLst/>
          <a:cxnLst/>
          <a:rect l="0" t="0" r="0" b="0"/>
          <a:pathLst>
            <a:path>
              <a:moveTo>
                <a:pt x="0" y="1632"/>
              </a:moveTo>
              <a:lnTo>
                <a:pt x="41337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094657" y="2221615"/>
        <a:ext cx="20668" cy="20668"/>
      </dsp:txXfrm>
    </dsp:sp>
    <dsp:sp modelId="{F51FBADE-DB88-A14B-846A-59613E8F6AC6}">
      <dsp:nvSpPr>
        <dsp:cNvPr id="0" name=""/>
        <dsp:cNvSpPr/>
      </dsp:nvSpPr>
      <dsp:spPr>
        <a:xfrm>
          <a:off x="2179008" y="2244095"/>
          <a:ext cx="485827" cy="36167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Apply knowledge</a:t>
          </a:r>
        </a:p>
      </dsp:txBody>
      <dsp:txXfrm>
        <a:off x="2189601" y="2254688"/>
        <a:ext cx="464641" cy="340487"/>
      </dsp:txXfrm>
    </dsp:sp>
    <dsp:sp modelId="{3652E5CE-904C-C04A-8891-294215E8866C}">
      <dsp:nvSpPr>
        <dsp:cNvPr id="0" name=""/>
        <dsp:cNvSpPr/>
      </dsp:nvSpPr>
      <dsp:spPr>
        <a:xfrm rot="19505199">
          <a:off x="2648590" y="2371639"/>
          <a:ext cx="180524" cy="3265"/>
        </a:xfrm>
        <a:custGeom>
          <a:avLst/>
          <a:gdLst/>
          <a:ahLst/>
          <a:cxnLst/>
          <a:rect l="0" t="0" r="0" b="0"/>
          <a:pathLst>
            <a:path>
              <a:moveTo>
                <a:pt x="0" y="1632"/>
              </a:moveTo>
              <a:lnTo>
                <a:pt x="18052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734339" y="2368758"/>
        <a:ext cx="9026" cy="9026"/>
      </dsp:txXfrm>
    </dsp:sp>
    <dsp:sp modelId="{6E73D9F8-4995-CF4E-A1B1-5197C807D56A}">
      <dsp:nvSpPr>
        <dsp:cNvPr id="0" name=""/>
        <dsp:cNvSpPr/>
      </dsp:nvSpPr>
      <dsp:spPr>
        <a:xfrm>
          <a:off x="2812869" y="2244089"/>
          <a:ext cx="781857" cy="15504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Manage complexity</a:t>
          </a:r>
        </a:p>
      </dsp:txBody>
      <dsp:txXfrm>
        <a:off x="2817410" y="2248630"/>
        <a:ext cx="772775" cy="145962"/>
      </dsp:txXfrm>
    </dsp:sp>
    <dsp:sp modelId="{8A3494EC-85B9-F345-AC03-AA4AC99D1F3A}">
      <dsp:nvSpPr>
        <dsp:cNvPr id="0" name=""/>
        <dsp:cNvSpPr/>
      </dsp:nvSpPr>
      <dsp:spPr>
        <a:xfrm rot="21570436">
          <a:off x="3594724" y="2319342"/>
          <a:ext cx="148039" cy="3265"/>
        </a:xfrm>
        <a:custGeom>
          <a:avLst/>
          <a:gdLst/>
          <a:ahLst/>
          <a:cxnLst/>
          <a:rect l="0" t="0" r="0" b="0"/>
          <a:pathLst>
            <a:path>
              <a:moveTo>
                <a:pt x="0" y="1632"/>
              </a:moveTo>
              <a:lnTo>
                <a:pt x="14803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665043" y="2317274"/>
        <a:ext cx="7401" cy="7401"/>
      </dsp:txXfrm>
    </dsp:sp>
    <dsp:sp modelId="{78754AE0-3759-D042-885D-B4BD05ED5F24}">
      <dsp:nvSpPr>
        <dsp:cNvPr id="0" name=""/>
        <dsp:cNvSpPr/>
      </dsp:nvSpPr>
      <dsp:spPr>
        <a:xfrm>
          <a:off x="3742760" y="2244093"/>
          <a:ext cx="561202" cy="15248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Prioritise</a:t>
          </a:r>
        </a:p>
      </dsp:txBody>
      <dsp:txXfrm>
        <a:off x="3747226" y="2248559"/>
        <a:ext cx="552270" cy="143557"/>
      </dsp:txXfrm>
    </dsp:sp>
    <dsp:sp modelId="{DDC303B7-12C7-9B45-9033-44DEF8033C4B}">
      <dsp:nvSpPr>
        <dsp:cNvPr id="0" name=""/>
        <dsp:cNvSpPr/>
      </dsp:nvSpPr>
      <dsp:spPr>
        <a:xfrm rot="2156470">
          <a:off x="2647431" y="2476960"/>
          <a:ext cx="182843" cy="3265"/>
        </a:xfrm>
        <a:custGeom>
          <a:avLst/>
          <a:gdLst/>
          <a:ahLst/>
          <a:cxnLst/>
          <a:rect l="0" t="0" r="0" b="0"/>
          <a:pathLst>
            <a:path>
              <a:moveTo>
                <a:pt x="0" y="1632"/>
              </a:moveTo>
              <a:lnTo>
                <a:pt x="18284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734281" y="2474021"/>
        <a:ext cx="9142" cy="9142"/>
      </dsp:txXfrm>
    </dsp:sp>
    <dsp:sp modelId="{C23E3216-9363-7843-A064-7829C6156F68}">
      <dsp:nvSpPr>
        <dsp:cNvPr id="0" name=""/>
        <dsp:cNvSpPr/>
      </dsp:nvSpPr>
      <dsp:spPr>
        <a:xfrm>
          <a:off x="2812869" y="2472690"/>
          <a:ext cx="1468422" cy="11912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Synthesise in holistic manner</a:t>
          </a:r>
        </a:p>
      </dsp:txBody>
      <dsp:txXfrm>
        <a:off x="2816358" y="2476179"/>
        <a:ext cx="1461444" cy="112148"/>
      </dsp:txXfrm>
    </dsp:sp>
    <dsp:sp modelId="{D3282D8C-6419-8145-9946-60126AAF2D27}">
      <dsp:nvSpPr>
        <dsp:cNvPr id="0" name=""/>
        <dsp:cNvSpPr/>
      </dsp:nvSpPr>
      <dsp:spPr>
        <a:xfrm rot="3825702">
          <a:off x="2571434" y="2573468"/>
          <a:ext cx="334837" cy="3265"/>
        </a:xfrm>
        <a:custGeom>
          <a:avLst/>
          <a:gdLst/>
          <a:ahLst/>
          <a:cxnLst/>
          <a:rect l="0" t="0" r="0" b="0"/>
          <a:pathLst>
            <a:path>
              <a:moveTo>
                <a:pt x="0" y="1632"/>
              </a:moveTo>
              <a:lnTo>
                <a:pt x="334837"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730481" y="2566730"/>
        <a:ext cx="16741" cy="16741"/>
      </dsp:txXfrm>
    </dsp:sp>
    <dsp:sp modelId="{079B7F6F-D7A3-8744-B2AF-0ABFD42168C5}">
      <dsp:nvSpPr>
        <dsp:cNvPr id="0" name=""/>
        <dsp:cNvSpPr/>
      </dsp:nvSpPr>
      <dsp:spPr>
        <a:xfrm>
          <a:off x="2812869" y="2634947"/>
          <a:ext cx="1450236" cy="18064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Within environment and with equipment</a:t>
          </a:r>
        </a:p>
      </dsp:txBody>
      <dsp:txXfrm>
        <a:off x="2818160" y="2640238"/>
        <a:ext cx="1439654" cy="170061"/>
      </dsp:txXfrm>
    </dsp:sp>
    <dsp:sp modelId="{7E1AD678-D7E5-9844-9640-FA9CDE3EE73D}">
      <dsp:nvSpPr>
        <dsp:cNvPr id="0" name=""/>
        <dsp:cNvSpPr/>
      </dsp:nvSpPr>
      <dsp:spPr>
        <a:xfrm rot="20563302">
          <a:off x="4259608" y="2700613"/>
          <a:ext cx="155029" cy="3265"/>
        </a:xfrm>
        <a:custGeom>
          <a:avLst/>
          <a:gdLst/>
          <a:ahLst/>
          <a:cxnLst/>
          <a:rect l="0" t="0" r="0" b="0"/>
          <a:pathLst>
            <a:path>
              <a:moveTo>
                <a:pt x="0" y="1632"/>
              </a:moveTo>
              <a:lnTo>
                <a:pt x="15502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333247" y="2698370"/>
        <a:ext cx="7751" cy="7751"/>
      </dsp:txXfrm>
    </dsp:sp>
    <dsp:sp modelId="{E670B104-FE1E-0341-81A6-730D9922C976}">
      <dsp:nvSpPr>
        <dsp:cNvPr id="0" name=""/>
        <dsp:cNvSpPr/>
      </dsp:nvSpPr>
      <dsp:spPr>
        <a:xfrm>
          <a:off x="4411139" y="2586991"/>
          <a:ext cx="925631" cy="1844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Risk stratification</a:t>
          </a:r>
        </a:p>
      </dsp:txBody>
      <dsp:txXfrm>
        <a:off x="4416542" y="2592394"/>
        <a:ext cx="914825" cy="173658"/>
      </dsp:txXfrm>
    </dsp:sp>
    <dsp:sp modelId="{BB32562C-16A7-1143-AD07-46F6E3088404}">
      <dsp:nvSpPr>
        <dsp:cNvPr id="0" name=""/>
        <dsp:cNvSpPr/>
      </dsp:nvSpPr>
      <dsp:spPr>
        <a:xfrm rot="4890670">
          <a:off x="1603579" y="2533254"/>
          <a:ext cx="1002824" cy="3265"/>
        </a:xfrm>
        <a:custGeom>
          <a:avLst/>
          <a:gdLst/>
          <a:ahLst/>
          <a:cxnLst/>
          <a:rect l="0" t="0" r="0" b="0"/>
          <a:pathLst>
            <a:path>
              <a:moveTo>
                <a:pt x="0" y="1632"/>
              </a:moveTo>
              <a:lnTo>
                <a:pt x="100282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079921" y="2509816"/>
        <a:ext cx="50141" cy="50141"/>
      </dsp:txXfrm>
    </dsp:sp>
    <dsp:sp modelId="{13485AB8-35DD-9C47-AB00-46085A381A82}">
      <dsp:nvSpPr>
        <dsp:cNvPr id="0" name=""/>
        <dsp:cNvSpPr/>
      </dsp:nvSpPr>
      <dsp:spPr>
        <a:xfrm>
          <a:off x="2179008" y="2903122"/>
          <a:ext cx="534253" cy="255367"/>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Objective self-assessment</a:t>
          </a:r>
        </a:p>
      </dsp:txBody>
      <dsp:txXfrm>
        <a:off x="2186487" y="2910601"/>
        <a:ext cx="519295" cy="240409"/>
      </dsp:txXfrm>
    </dsp:sp>
    <dsp:sp modelId="{490F0FD2-7B13-874B-9634-3A738944E5AC}">
      <dsp:nvSpPr>
        <dsp:cNvPr id="0" name=""/>
        <dsp:cNvSpPr/>
      </dsp:nvSpPr>
      <dsp:spPr>
        <a:xfrm rot="19199545">
          <a:off x="2690645" y="2967049"/>
          <a:ext cx="193265" cy="3265"/>
        </a:xfrm>
        <a:custGeom>
          <a:avLst/>
          <a:gdLst/>
          <a:ahLst/>
          <a:cxnLst/>
          <a:rect l="0" t="0" r="0" b="0"/>
          <a:pathLst>
            <a:path>
              <a:moveTo>
                <a:pt x="0" y="1632"/>
              </a:moveTo>
              <a:lnTo>
                <a:pt x="19326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782446" y="2963850"/>
        <a:ext cx="9663" cy="9663"/>
      </dsp:txXfrm>
    </dsp:sp>
    <dsp:sp modelId="{3D33D7E6-8570-A54F-A7B6-A13007F1D015}">
      <dsp:nvSpPr>
        <dsp:cNvPr id="0" name=""/>
        <dsp:cNvSpPr/>
      </dsp:nvSpPr>
      <dsp:spPr>
        <a:xfrm>
          <a:off x="2861295" y="2815591"/>
          <a:ext cx="1417598" cy="18193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Consequence learning </a:t>
          </a:r>
        </a:p>
      </dsp:txBody>
      <dsp:txXfrm>
        <a:off x="2866624" y="2820920"/>
        <a:ext cx="1406940" cy="171275"/>
      </dsp:txXfrm>
    </dsp:sp>
    <dsp:sp modelId="{80EB617D-6059-224C-9C55-A03E08FA26F5}">
      <dsp:nvSpPr>
        <dsp:cNvPr id="0" name=""/>
        <dsp:cNvSpPr/>
      </dsp:nvSpPr>
      <dsp:spPr>
        <a:xfrm rot="2041131">
          <a:off x="2697978" y="3079133"/>
          <a:ext cx="178600" cy="3265"/>
        </a:xfrm>
        <a:custGeom>
          <a:avLst/>
          <a:gdLst/>
          <a:ahLst/>
          <a:cxnLst/>
          <a:rect l="0" t="0" r="0" b="0"/>
          <a:pathLst>
            <a:path>
              <a:moveTo>
                <a:pt x="0" y="1632"/>
              </a:moveTo>
              <a:lnTo>
                <a:pt x="178600"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782813" y="3076301"/>
        <a:ext cx="8930" cy="8930"/>
      </dsp:txXfrm>
    </dsp:sp>
    <dsp:sp modelId="{98DED41B-E770-D546-80B8-B8F441D60B24}">
      <dsp:nvSpPr>
        <dsp:cNvPr id="0" name=""/>
        <dsp:cNvSpPr/>
      </dsp:nvSpPr>
      <dsp:spPr>
        <a:xfrm>
          <a:off x="2861295" y="3044190"/>
          <a:ext cx="1047366" cy="17307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Deconstruct scenario </a:t>
          </a:r>
        </a:p>
      </dsp:txBody>
      <dsp:txXfrm>
        <a:off x="2866364" y="3049259"/>
        <a:ext cx="1037228" cy="162935"/>
      </dsp:txXfrm>
    </dsp:sp>
    <dsp:sp modelId="{CFDD132E-3A7F-F04E-ABD5-FF2F5192D67E}">
      <dsp:nvSpPr>
        <dsp:cNvPr id="0" name=""/>
        <dsp:cNvSpPr/>
      </dsp:nvSpPr>
      <dsp:spPr>
        <a:xfrm rot="21499646">
          <a:off x="3908630" y="3126932"/>
          <a:ext cx="148096" cy="3265"/>
        </a:xfrm>
        <a:custGeom>
          <a:avLst/>
          <a:gdLst/>
          <a:ahLst/>
          <a:cxnLst/>
          <a:rect l="0" t="0" r="0" b="0"/>
          <a:pathLst>
            <a:path>
              <a:moveTo>
                <a:pt x="0" y="1632"/>
              </a:moveTo>
              <a:lnTo>
                <a:pt x="148096"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978976" y="3124863"/>
        <a:ext cx="7404" cy="7404"/>
      </dsp:txXfrm>
    </dsp:sp>
    <dsp:sp modelId="{1D766FD2-98A6-2D4B-8CF9-1C85CF679C74}">
      <dsp:nvSpPr>
        <dsp:cNvPr id="0" name=""/>
        <dsp:cNvSpPr/>
      </dsp:nvSpPr>
      <dsp:spPr>
        <a:xfrm>
          <a:off x="4056695" y="3044191"/>
          <a:ext cx="918085" cy="16442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Reflect and self-correct</a:t>
          </a:r>
        </a:p>
      </dsp:txBody>
      <dsp:txXfrm>
        <a:off x="4061511" y="3049007"/>
        <a:ext cx="908453" cy="154794"/>
      </dsp:txXfrm>
    </dsp:sp>
    <dsp:sp modelId="{E5C866E2-6596-5E4D-B122-AB699653CA8D}">
      <dsp:nvSpPr>
        <dsp:cNvPr id="0" name=""/>
        <dsp:cNvSpPr/>
      </dsp:nvSpPr>
      <dsp:spPr>
        <a:xfrm rot="220658">
          <a:off x="4974628" y="3129529"/>
          <a:ext cx="148339" cy="3265"/>
        </a:xfrm>
        <a:custGeom>
          <a:avLst/>
          <a:gdLst/>
          <a:ahLst/>
          <a:cxnLst/>
          <a:rect l="0" t="0" r="0" b="0"/>
          <a:pathLst>
            <a:path>
              <a:moveTo>
                <a:pt x="0" y="1632"/>
              </a:moveTo>
              <a:lnTo>
                <a:pt x="14833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5045089" y="3127453"/>
        <a:ext cx="7416" cy="7416"/>
      </dsp:txXfrm>
    </dsp:sp>
    <dsp:sp modelId="{A6E1F013-BBC3-434B-858A-93A82C2D96C9}">
      <dsp:nvSpPr>
        <dsp:cNvPr id="0" name=""/>
        <dsp:cNvSpPr/>
      </dsp:nvSpPr>
      <dsp:spPr>
        <a:xfrm>
          <a:off x="5122814" y="3044190"/>
          <a:ext cx="626781" cy="183457"/>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Reconstruct scenario</a:t>
          </a:r>
        </a:p>
      </dsp:txBody>
      <dsp:txXfrm>
        <a:off x="5128187" y="3049563"/>
        <a:ext cx="616035" cy="172711"/>
      </dsp:txXfrm>
    </dsp:sp>
    <dsp:sp modelId="{0A3D2683-ACD4-4947-8320-7D2363362DB1}">
      <dsp:nvSpPr>
        <dsp:cNvPr id="0" name=""/>
        <dsp:cNvSpPr/>
      </dsp:nvSpPr>
      <dsp:spPr>
        <a:xfrm rot="17086170">
          <a:off x="1132216" y="4052699"/>
          <a:ext cx="580680" cy="3265"/>
        </a:xfrm>
        <a:custGeom>
          <a:avLst/>
          <a:gdLst/>
          <a:ahLst/>
          <a:cxnLst/>
          <a:rect l="0" t="0" r="0" b="0"/>
          <a:pathLst>
            <a:path>
              <a:moveTo>
                <a:pt x="0" y="1632"/>
              </a:moveTo>
              <a:lnTo>
                <a:pt x="580680" y="1632"/>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1408040" y="4039815"/>
        <a:ext cx="29034" cy="29034"/>
      </dsp:txXfrm>
    </dsp:sp>
    <dsp:sp modelId="{F8CF0165-7F9F-1E46-B6B5-EDEAB8968E08}">
      <dsp:nvSpPr>
        <dsp:cNvPr id="0" name=""/>
        <dsp:cNvSpPr/>
      </dsp:nvSpPr>
      <dsp:spPr>
        <a:xfrm>
          <a:off x="1496573" y="3501390"/>
          <a:ext cx="677468" cy="544389"/>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Behaviour</a:t>
          </a:r>
        </a:p>
      </dsp:txBody>
      <dsp:txXfrm>
        <a:off x="1512518" y="3517335"/>
        <a:ext cx="645578" cy="512499"/>
      </dsp:txXfrm>
    </dsp:sp>
    <dsp:sp modelId="{3B43E233-AC1B-EF47-96D1-B8386A516FEC}">
      <dsp:nvSpPr>
        <dsp:cNvPr id="0" name=""/>
        <dsp:cNvSpPr/>
      </dsp:nvSpPr>
      <dsp:spPr>
        <a:xfrm rot="17744348">
          <a:off x="2077620" y="3618425"/>
          <a:ext cx="340875" cy="3265"/>
        </a:xfrm>
        <a:custGeom>
          <a:avLst/>
          <a:gdLst/>
          <a:ahLst/>
          <a:cxnLst/>
          <a:rect l="0" t="0" r="0" b="0"/>
          <a:pathLst>
            <a:path>
              <a:moveTo>
                <a:pt x="0" y="1632"/>
              </a:moveTo>
              <a:lnTo>
                <a:pt x="34087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39536" y="3611535"/>
        <a:ext cx="17043" cy="17043"/>
      </dsp:txXfrm>
    </dsp:sp>
    <dsp:sp modelId="{1EC1C0C6-BDBF-8143-8838-4EB7B7233DD3}">
      <dsp:nvSpPr>
        <dsp:cNvPr id="0" name=""/>
        <dsp:cNvSpPr/>
      </dsp:nvSpPr>
      <dsp:spPr>
        <a:xfrm>
          <a:off x="2322075" y="3272790"/>
          <a:ext cx="620693" cy="38747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Know how react/behave under pressure</a:t>
          </a:r>
        </a:p>
      </dsp:txBody>
      <dsp:txXfrm>
        <a:off x="2333424" y="3284139"/>
        <a:ext cx="597995" cy="364781"/>
      </dsp:txXfrm>
    </dsp:sp>
    <dsp:sp modelId="{FDE54883-4A44-4441-B97E-48C022FEA71A}">
      <dsp:nvSpPr>
        <dsp:cNvPr id="0" name=""/>
        <dsp:cNvSpPr/>
      </dsp:nvSpPr>
      <dsp:spPr>
        <a:xfrm rot="20370406">
          <a:off x="2937768" y="3437234"/>
          <a:ext cx="158035" cy="3265"/>
        </a:xfrm>
        <a:custGeom>
          <a:avLst/>
          <a:gdLst/>
          <a:ahLst/>
          <a:cxnLst/>
          <a:rect l="0" t="0" r="0" b="0"/>
          <a:pathLst>
            <a:path>
              <a:moveTo>
                <a:pt x="0" y="1632"/>
              </a:moveTo>
              <a:lnTo>
                <a:pt x="15803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012834" y="3434916"/>
        <a:ext cx="7901" cy="7901"/>
      </dsp:txXfrm>
    </dsp:sp>
    <dsp:sp modelId="{8F117446-8241-B84D-A696-580165D30A4F}">
      <dsp:nvSpPr>
        <dsp:cNvPr id="0" name=""/>
        <dsp:cNvSpPr/>
      </dsp:nvSpPr>
      <dsp:spPr>
        <a:xfrm>
          <a:off x="3090802" y="3272790"/>
          <a:ext cx="614405" cy="27682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Understand own response in crisis</a:t>
          </a:r>
        </a:p>
      </dsp:txBody>
      <dsp:txXfrm>
        <a:off x="3098910" y="3280898"/>
        <a:ext cx="598189" cy="260608"/>
      </dsp:txXfrm>
    </dsp:sp>
    <dsp:sp modelId="{DC6CCC79-4A2D-B241-84D4-462340E94773}">
      <dsp:nvSpPr>
        <dsp:cNvPr id="0" name=""/>
        <dsp:cNvSpPr/>
      </dsp:nvSpPr>
      <dsp:spPr>
        <a:xfrm rot="19973815">
          <a:off x="3696077" y="3371689"/>
          <a:ext cx="166294" cy="3265"/>
        </a:xfrm>
        <a:custGeom>
          <a:avLst/>
          <a:gdLst/>
          <a:ahLst/>
          <a:cxnLst/>
          <a:rect l="0" t="0" r="0" b="0"/>
          <a:pathLst>
            <a:path>
              <a:moveTo>
                <a:pt x="0" y="1632"/>
              </a:moveTo>
              <a:lnTo>
                <a:pt x="16629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775067" y="3369164"/>
        <a:ext cx="8314" cy="8314"/>
      </dsp:txXfrm>
    </dsp:sp>
    <dsp:sp modelId="{653BBA4B-DA21-E04B-BA94-CFBBE8EB25C0}">
      <dsp:nvSpPr>
        <dsp:cNvPr id="0" name=""/>
        <dsp:cNvSpPr/>
      </dsp:nvSpPr>
      <dsp:spPr>
        <a:xfrm rot="10800000" flipV="1">
          <a:off x="3853241" y="3272790"/>
          <a:ext cx="1444326" cy="12530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Explore &amp; modify behaviour</a:t>
          </a:r>
        </a:p>
      </dsp:txBody>
      <dsp:txXfrm rot="-10800000">
        <a:off x="3856911" y="3276460"/>
        <a:ext cx="1436986" cy="117961"/>
      </dsp:txXfrm>
    </dsp:sp>
    <dsp:sp modelId="{0519ABD7-19B2-074D-A8DA-06233230D1E4}">
      <dsp:nvSpPr>
        <dsp:cNvPr id="0" name=""/>
        <dsp:cNvSpPr/>
      </dsp:nvSpPr>
      <dsp:spPr>
        <a:xfrm rot="1586383">
          <a:off x="3696562" y="3446376"/>
          <a:ext cx="165326" cy="3265"/>
        </a:xfrm>
        <a:custGeom>
          <a:avLst/>
          <a:gdLst/>
          <a:ahLst/>
          <a:cxnLst/>
          <a:rect l="0" t="0" r="0" b="0"/>
          <a:pathLst>
            <a:path>
              <a:moveTo>
                <a:pt x="0" y="1632"/>
              </a:moveTo>
              <a:lnTo>
                <a:pt x="165326"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775091" y="3443876"/>
        <a:ext cx="8266" cy="8266"/>
      </dsp:txXfrm>
    </dsp:sp>
    <dsp:sp modelId="{79C53478-BCA7-504A-9871-7C063E6B3EE9}">
      <dsp:nvSpPr>
        <dsp:cNvPr id="0" name=""/>
        <dsp:cNvSpPr/>
      </dsp:nvSpPr>
      <dsp:spPr>
        <a:xfrm>
          <a:off x="3853241" y="3387090"/>
          <a:ext cx="1192254" cy="19545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Meaningful behavioural change</a:t>
          </a:r>
        </a:p>
      </dsp:txBody>
      <dsp:txXfrm>
        <a:off x="3858966" y="3392815"/>
        <a:ext cx="1180804" cy="184000"/>
      </dsp:txXfrm>
    </dsp:sp>
    <dsp:sp modelId="{101379F1-4E8A-7C44-8ECC-DDA169F74C88}">
      <dsp:nvSpPr>
        <dsp:cNvPr id="0" name=""/>
        <dsp:cNvSpPr/>
      </dsp:nvSpPr>
      <dsp:spPr>
        <a:xfrm rot="376807">
          <a:off x="5044962" y="3492925"/>
          <a:ext cx="178124" cy="3265"/>
        </a:xfrm>
        <a:custGeom>
          <a:avLst/>
          <a:gdLst/>
          <a:ahLst/>
          <a:cxnLst/>
          <a:rect l="0" t="0" r="0" b="0"/>
          <a:pathLst>
            <a:path>
              <a:moveTo>
                <a:pt x="0" y="1632"/>
              </a:moveTo>
              <a:lnTo>
                <a:pt x="17812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5129571" y="3490105"/>
        <a:ext cx="8906" cy="8906"/>
      </dsp:txXfrm>
    </dsp:sp>
    <dsp:sp modelId="{DB4D1F89-8D3D-0146-98CA-FD15D540418A}">
      <dsp:nvSpPr>
        <dsp:cNvPr id="0" name=""/>
        <dsp:cNvSpPr/>
      </dsp:nvSpPr>
      <dsp:spPr>
        <a:xfrm>
          <a:off x="5222552" y="3387090"/>
          <a:ext cx="675328" cy="23442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5229418" y="3393956"/>
        <a:ext cx="661596" cy="220688"/>
      </dsp:txXfrm>
    </dsp:sp>
    <dsp:sp modelId="{0F9B0A7A-481B-FA4F-9155-3809D6504C37}">
      <dsp:nvSpPr>
        <dsp:cNvPr id="0" name=""/>
        <dsp:cNvSpPr/>
      </dsp:nvSpPr>
      <dsp:spPr>
        <a:xfrm rot="1523661">
          <a:off x="2166125" y="3807089"/>
          <a:ext cx="163866" cy="3265"/>
        </a:xfrm>
        <a:custGeom>
          <a:avLst/>
          <a:gdLst/>
          <a:ahLst/>
          <a:cxnLst/>
          <a:rect l="0" t="0" r="0" b="0"/>
          <a:pathLst>
            <a:path>
              <a:moveTo>
                <a:pt x="0" y="1632"/>
              </a:moveTo>
              <a:lnTo>
                <a:pt x="163866"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43962" y="3804625"/>
        <a:ext cx="8193" cy="8193"/>
      </dsp:txXfrm>
    </dsp:sp>
    <dsp:sp modelId="{BD3BAB78-F407-EE41-A4B9-9CADD1095D8B}">
      <dsp:nvSpPr>
        <dsp:cNvPr id="0" name=""/>
        <dsp:cNvSpPr/>
      </dsp:nvSpPr>
      <dsp:spPr>
        <a:xfrm>
          <a:off x="2322075" y="3729991"/>
          <a:ext cx="685765" cy="22773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Experience impact on others behaviour</a:t>
          </a:r>
        </a:p>
      </dsp:txBody>
      <dsp:txXfrm>
        <a:off x="2328745" y="3736661"/>
        <a:ext cx="672425" cy="214394"/>
      </dsp:txXfrm>
    </dsp:sp>
    <dsp:sp modelId="{77911681-BDD6-3344-9901-628235157980}">
      <dsp:nvSpPr>
        <dsp:cNvPr id="0" name=""/>
        <dsp:cNvSpPr/>
      </dsp:nvSpPr>
      <dsp:spPr>
        <a:xfrm rot="20710400">
          <a:off x="3005291" y="3822632"/>
          <a:ext cx="153132" cy="3265"/>
        </a:xfrm>
        <a:custGeom>
          <a:avLst/>
          <a:gdLst/>
          <a:ahLst/>
          <a:cxnLst/>
          <a:rect l="0" t="0" r="0" b="0"/>
          <a:pathLst>
            <a:path>
              <a:moveTo>
                <a:pt x="0" y="1632"/>
              </a:moveTo>
              <a:lnTo>
                <a:pt x="153132"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078029" y="3820437"/>
        <a:ext cx="7656" cy="7656"/>
      </dsp:txXfrm>
    </dsp:sp>
    <dsp:sp modelId="{92B2FF25-44B5-ED41-859B-F2487A0F3F20}">
      <dsp:nvSpPr>
        <dsp:cNvPr id="0" name=""/>
        <dsp:cNvSpPr/>
      </dsp:nvSpPr>
      <dsp:spPr>
        <a:xfrm>
          <a:off x="3155874" y="3729990"/>
          <a:ext cx="722947" cy="14936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and relatives</a:t>
          </a:r>
        </a:p>
      </dsp:txBody>
      <dsp:txXfrm>
        <a:off x="3160249" y="3734365"/>
        <a:ext cx="714197" cy="140613"/>
      </dsp:txXfrm>
    </dsp:sp>
    <dsp:sp modelId="{60E4113E-0F35-0E40-AC7F-6BC8FE6DA1CB}">
      <dsp:nvSpPr>
        <dsp:cNvPr id="0" name=""/>
        <dsp:cNvSpPr/>
      </dsp:nvSpPr>
      <dsp:spPr>
        <a:xfrm rot="20235431">
          <a:off x="3872582" y="3772013"/>
          <a:ext cx="160513" cy="3265"/>
        </a:xfrm>
        <a:custGeom>
          <a:avLst/>
          <a:gdLst/>
          <a:ahLst/>
          <a:cxnLst/>
          <a:rect l="0" t="0" r="0" b="0"/>
          <a:pathLst>
            <a:path>
              <a:moveTo>
                <a:pt x="0" y="1632"/>
              </a:moveTo>
              <a:lnTo>
                <a:pt x="16051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948826" y="3769632"/>
        <a:ext cx="8025" cy="8025"/>
      </dsp:txXfrm>
    </dsp:sp>
    <dsp:sp modelId="{F93BC2C3-6A5A-D849-B399-FD618E161629}">
      <dsp:nvSpPr>
        <dsp:cNvPr id="0" name=""/>
        <dsp:cNvSpPr/>
      </dsp:nvSpPr>
      <dsp:spPr>
        <a:xfrm>
          <a:off x="4026855" y="3615691"/>
          <a:ext cx="591941" cy="253855"/>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Emotional intelligence</a:t>
          </a:r>
        </a:p>
      </dsp:txBody>
      <dsp:txXfrm>
        <a:off x="4034290" y="3623126"/>
        <a:ext cx="577071" cy="238985"/>
      </dsp:txXfrm>
    </dsp:sp>
    <dsp:sp modelId="{5556694A-3C2A-C54F-B5A8-9EAA3F787CF9}">
      <dsp:nvSpPr>
        <dsp:cNvPr id="0" name=""/>
        <dsp:cNvSpPr/>
      </dsp:nvSpPr>
      <dsp:spPr>
        <a:xfrm rot="20814921">
          <a:off x="4616824" y="3723782"/>
          <a:ext cx="151979" cy="3265"/>
        </a:xfrm>
        <a:custGeom>
          <a:avLst/>
          <a:gdLst/>
          <a:ahLst/>
          <a:cxnLst/>
          <a:rect l="0" t="0" r="0" b="0"/>
          <a:pathLst>
            <a:path>
              <a:moveTo>
                <a:pt x="0" y="1632"/>
              </a:moveTo>
              <a:lnTo>
                <a:pt x="15197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689014" y="3721616"/>
        <a:ext cx="7598" cy="7598"/>
      </dsp:txXfrm>
    </dsp:sp>
    <dsp:sp modelId="{FA54B60B-7805-914B-9665-F383877BACE2}">
      <dsp:nvSpPr>
        <dsp:cNvPr id="0" name=""/>
        <dsp:cNvSpPr/>
      </dsp:nvSpPr>
      <dsp:spPr>
        <a:xfrm>
          <a:off x="4766830" y="3615691"/>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 Enhance rapport</a:t>
          </a:r>
        </a:p>
      </dsp:txBody>
      <dsp:txXfrm>
        <a:off x="4772250" y="3621111"/>
        <a:ext cx="359243" cy="174201"/>
      </dsp:txXfrm>
    </dsp:sp>
    <dsp:sp modelId="{D1A4D981-D129-7440-9904-CAC402472169}">
      <dsp:nvSpPr>
        <dsp:cNvPr id="0" name=""/>
        <dsp:cNvSpPr/>
      </dsp:nvSpPr>
      <dsp:spPr>
        <a:xfrm rot="3384152">
          <a:off x="2948097" y="3953640"/>
          <a:ext cx="267520" cy="3265"/>
        </a:xfrm>
        <a:custGeom>
          <a:avLst/>
          <a:gdLst/>
          <a:ahLst/>
          <a:cxnLst/>
          <a:rect l="0" t="0" r="0" b="0"/>
          <a:pathLst>
            <a:path>
              <a:moveTo>
                <a:pt x="0" y="1632"/>
              </a:moveTo>
              <a:lnTo>
                <a:pt x="267520"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075169" y="3948585"/>
        <a:ext cx="13376" cy="13376"/>
      </dsp:txXfrm>
    </dsp:sp>
    <dsp:sp modelId="{E019B311-BBFD-FB42-804C-3F40D4C04184}">
      <dsp:nvSpPr>
        <dsp:cNvPr id="0" name=""/>
        <dsp:cNvSpPr/>
      </dsp:nvSpPr>
      <dsp:spPr>
        <a:xfrm>
          <a:off x="3155874" y="3958590"/>
          <a:ext cx="848154" cy="216195"/>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Team behavioural biases</a:t>
          </a:r>
        </a:p>
      </dsp:txBody>
      <dsp:txXfrm>
        <a:off x="3162206" y="3964922"/>
        <a:ext cx="835490" cy="203531"/>
      </dsp:txXfrm>
    </dsp:sp>
    <dsp:sp modelId="{93FF0B49-2643-0C40-9F9B-E05F8B7D073B}">
      <dsp:nvSpPr>
        <dsp:cNvPr id="0" name=""/>
        <dsp:cNvSpPr/>
      </dsp:nvSpPr>
      <dsp:spPr>
        <a:xfrm rot="35451">
          <a:off x="4004024" y="4065818"/>
          <a:ext cx="148041" cy="3265"/>
        </a:xfrm>
        <a:custGeom>
          <a:avLst/>
          <a:gdLst/>
          <a:ahLst/>
          <a:cxnLst/>
          <a:rect l="0" t="0" r="0" b="0"/>
          <a:pathLst>
            <a:path>
              <a:moveTo>
                <a:pt x="0" y="1632"/>
              </a:moveTo>
              <a:lnTo>
                <a:pt x="148041"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074344" y="4063750"/>
        <a:ext cx="7402" cy="7402"/>
      </dsp:txXfrm>
    </dsp:sp>
    <dsp:sp modelId="{5A854BBD-9100-1D41-A2BA-CF5C903ECE41}">
      <dsp:nvSpPr>
        <dsp:cNvPr id="0" name=""/>
        <dsp:cNvSpPr/>
      </dsp:nvSpPr>
      <dsp:spPr>
        <a:xfrm>
          <a:off x="4152062" y="3958591"/>
          <a:ext cx="839235" cy="21924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Emotional intelligence</a:t>
          </a:r>
        </a:p>
      </dsp:txBody>
      <dsp:txXfrm>
        <a:off x="4158483" y="3965012"/>
        <a:ext cx="826393" cy="206404"/>
      </dsp:txXfrm>
    </dsp:sp>
    <dsp:sp modelId="{F9DC7F52-0736-6F4C-A798-E5006C12174E}">
      <dsp:nvSpPr>
        <dsp:cNvPr id="0" name=""/>
        <dsp:cNvSpPr/>
      </dsp:nvSpPr>
      <dsp:spPr>
        <a:xfrm rot="63505">
          <a:off x="4991285" y="4067949"/>
          <a:ext cx="148058" cy="3265"/>
        </a:xfrm>
        <a:custGeom>
          <a:avLst/>
          <a:gdLst/>
          <a:ahLst/>
          <a:cxnLst/>
          <a:rect l="0" t="0" r="0" b="0"/>
          <a:pathLst>
            <a:path>
              <a:moveTo>
                <a:pt x="0" y="1632"/>
              </a:moveTo>
              <a:lnTo>
                <a:pt x="14805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5061613" y="4065880"/>
        <a:ext cx="7402" cy="7402"/>
      </dsp:txXfrm>
    </dsp:sp>
    <dsp:sp modelId="{884CDB1F-ADC0-0A4A-ACE4-7B310BC18B94}">
      <dsp:nvSpPr>
        <dsp:cNvPr id="0" name=""/>
        <dsp:cNvSpPr/>
      </dsp:nvSpPr>
      <dsp:spPr>
        <a:xfrm>
          <a:off x="5139331" y="3958590"/>
          <a:ext cx="677941" cy="224718"/>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Enhance teamwork </a:t>
          </a:r>
        </a:p>
      </dsp:txBody>
      <dsp:txXfrm>
        <a:off x="5145913" y="3965172"/>
        <a:ext cx="664777" cy="211554"/>
      </dsp:txXfrm>
    </dsp:sp>
    <dsp:sp modelId="{009D5707-1935-FF44-84C7-395A5D6C763F}">
      <dsp:nvSpPr>
        <dsp:cNvPr id="0" name=""/>
        <dsp:cNvSpPr/>
      </dsp:nvSpPr>
      <dsp:spPr>
        <a:xfrm rot="4685225">
          <a:off x="1063991" y="4684289"/>
          <a:ext cx="717131" cy="3265"/>
        </a:xfrm>
        <a:custGeom>
          <a:avLst/>
          <a:gdLst/>
          <a:ahLst/>
          <a:cxnLst/>
          <a:rect l="0" t="0" r="0" b="0"/>
          <a:pathLst>
            <a:path>
              <a:moveTo>
                <a:pt x="0" y="1632"/>
              </a:moveTo>
              <a:lnTo>
                <a:pt x="717131" y="1632"/>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1404628" y="4667993"/>
        <a:ext cx="35856" cy="35856"/>
      </dsp:txXfrm>
    </dsp:sp>
    <dsp:sp modelId="{B56E2045-BF2A-554C-BCA2-1CBAF90135FA}">
      <dsp:nvSpPr>
        <dsp:cNvPr id="0" name=""/>
        <dsp:cNvSpPr/>
      </dsp:nvSpPr>
      <dsp:spPr>
        <a:xfrm>
          <a:off x="1496573" y="4758690"/>
          <a:ext cx="694939" cy="556149"/>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Judgment and decision making</a:t>
          </a:r>
        </a:p>
      </dsp:txBody>
      <dsp:txXfrm>
        <a:off x="1512862" y="4774979"/>
        <a:ext cx="662361" cy="523571"/>
      </dsp:txXfrm>
    </dsp:sp>
    <dsp:sp modelId="{12123074-8941-C544-8091-25671F2C60B4}">
      <dsp:nvSpPr>
        <dsp:cNvPr id="0" name=""/>
        <dsp:cNvSpPr/>
      </dsp:nvSpPr>
      <dsp:spPr>
        <a:xfrm rot="17074819">
          <a:off x="1971505" y="4750576"/>
          <a:ext cx="588048" cy="3265"/>
        </a:xfrm>
        <a:custGeom>
          <a:avLst/>
          <a:gdLst/>
          <a:ahLst/>
          <a:cxnLst/>
          <a:rect l="0" t="0" r="0" b="0"/>
          <a:pathLst>
            <a:path>
              <a:moveTo>
                <a:pt x="0" y="1632"/>
              </a:moveTo>
              <a:lnTo>
                <a:pt x="58804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50829" y="4737508"/>
        <a:ext cx="29402" cy="29402"/>
      </dsp:txXfrm>
    </dsp:sp>
    <dsp:sp modelId="{5883C28C-CD01-8D47-86D5-FB39A4E49FAF}">
      <dsp:nvSpPr>
        <dsp:cNvPr id="0" name=""/>
        <dsp:cNvSpPr/>
      </dsp:nvSpPr>
      <dsp:spPr>
        <a:xfrm>
          <a:off x="2339547" y="4415791"/>
          <a:ext cx="1358355" cy="103725"/>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Experience influence of culture and hierarchy</a:t>
          </a:r>
        </a:p>
      </dsp:txBody>
      <dsp:txXfrm>
        <a:off x="2342585" y="4418829"/>
        <a:ext cx="1352279" cy="97649"/>
      </dsp:txXfrm>
    </dsp:sp>
    <dsp:sp modelId="{3E3E68B1-067D-9144-85D2-952E04CE6AE3}">
      <dsp:nvSpPr>
        <dsp:cNvPr id="0" name=""/>
        <dsp:cNvSpPr/>
      </dsp:nvSpPr>
      <dsp:spPr>
        <a:xfrm rot="17539731">
          <a:off x="3674826" y="4431595"/>
          <a:ext cx="74431" cy="3265"/>
        </a:xfrm>
        <a:custGeom>
          <a:avLst/>
          <a:gdLst/>
          <a:ahLst/>
          <a:cxnLst/>
          <a:rect l="0" t="0" r="0" b="0"/>
          <a:pathLst>
            <a:path>
              <a:moveTo>
                <a:pt x="0" y="1632"/>
              </a:moveTo>
              <a:lnTo>
                <a:pt x="74431"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710181" y="4431367"/>
        <a:ext cx="3721" cy="3721"/>
      </dsp:txXfrm>
    </dsp:sp>
    <dsp:sp modelId="{A75FE44C-1051-F744-9E8C-B2FCAE3CAF21}">
      <dsp:nvSpPr>
        <dsp:cNvPr id="0" name=""/>
        <dsp:cNvSpPr/>
      </dsp:nvSpPr>
      <dsp:spPr>
        <a:xfrm>
          <a:off x="3726180" y="4267515"/>
          <a:ext cx="537572" cy="26257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Assert self appropriately</a:t>
          </a:r>
        </a:p>
      </dsp:txBody>
      <dsp:txXfrm>
        <a:off x="3733871" y="4275206"/>
        <a:ext cx="522190" cy="247194"/>
      </dsp:txXfrm>
    </dsp:sp>
    <dsp:sp modelId="{E96F2663-4723-8545-AEAF-2A2CA86B5B75}">
      <dsp:nvSpPr>
        <dsp:cNvPr id="0" name=""/>
        <dsp:cNvSpPr/>
      </dsp:nvSpPr>
      <dsp:spPr>
        <a:xfrm rot="18478043">
          <a:off x="4253144" y="4375433"/>
          <a:ext cx="55144" cy="3265"/>
        </a:xfrm>
        <a:custGeom>
          <a:avLst/>
          <a:gdLst/>
          <a:ahLst/>
          <a:cxnLst/>
          <a:rect l="0" t="0" r="0" b="0"/>
          <a:pathLst>
            <a:path>
              <a:moveTo>
                <a:pt x="0" y="1632"/>
              </a:moveTo>
              <a:lnTo>
                <a:pt x="5514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279337" y="4375687"/>
        <a:ext cx="2757" cy="2757"/>
      </dsp:txXfrm>
    </dsp:sp>
    <dsp:sp modelId="{AF6A67E1-92CF-BB43-AB25-64926F65A831}">
      <dsp:nvSpPr>
        <dsp:cNvPr id="0" name=""/>
        <dsp:cNvSpPr/>
      </dsp:nvSpPr>
      <dsp:spPr>
        <a:xfrm>
          <a:off x="4297679" y="4301488"/>
          <a:ext cx="1400704" cy="10768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Access hierarchy/challenge appropriately</a:t>
          </a:r>
        </a:p>
      </dsp:txBody>
      <dsp:txXfrm>
        <a:off x="4300833" y="4304642"/>
        <a:ext cx="1394396" cy="101373"/>
      </dsp:txXfrm>
    </dsp:sp>
    <dsp:sp modelId="{2BFD6921-41BC-3B4D-90F4-8D3671587A04}">
      <dsp:nvSpPr>
        <dsp:cNvPr id="0" name=""/>
        <dsp:cNvSpPr/>
      </dsp:nvSpPr>
      <dsp:spPr>
        <a:xfrm rot="8629165">
          <a:off x="5281941" y="4489733"/>
          <a:ext cx="460880" cy="3265"/>
        </a:xfrm>
        <a:custGeom>
          <a:avLst/>
          <a:gdLst/>
          <a:ahLst/>
          <a:cxnLst/>
          <a:rect l="0" t="0" r="0" b="0"/>
          <a:pathLst>
            <a:path>
              <a:moveTo>
                <a:pt x="0" y="1632"/>
              </a:moveTo>
              <a:lnTo>
                <a:pt x="460880"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rot="10800000">
        <a:off x="5500859" y="4479843"/>
        <a:ext cx="23044" cy="23044"/>
      </dsp:txXfrm>
    </dsp:sp>
    <dsp:sp modelId="{60F47704-38DC-1D4D-99B1-33B46B09331C}">
      <dsp:nvSpPr>
        <dsp:cNvPr id="0" name=""/>
        <dsp:cNvSpPr/>
      </dsp:nvSpPr>
      <dsp:spPr>
        <a:xfrm>
          <a:off x="5326379" y="4496114"/>
          <a:ext cx="433109" cy="26257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5334070" y="4503805"/>
        <a:ext cx="417727" cy="247194"/>
      </dsp:txXfrm>
    </dsp:sp>
    <dsp:sp modelId="{927A3B46-F3DD-7B42-A1DF-E8090F92739D}">
      <dsp:nvSpPr>
        <dsp:cNvPr id="0" name=""/>
        <dsp:cNvSpPr/>
      </dsp:nvSpPr>
      <dsp:spPr>
        <a:xfrm rot="17638945">
          <a:off x="2083427" y="4868750"/>
          <a:ext cx="364205" cy="3265"/>
        </a:xfrm>
        <a:custGeom>
          <a:avLst/>
          <a:gdLst/>
          <a:ahLst/>
          <a:cxnLst/>
          <a:rect l="0" t="0" r="0" b="0"/>
          <a:pathLst>
            <a:path>
              <a:moveTo>
                <a:pt x="0" y="1632"/>
              </a:moveTo>
              <a:lnTo>
                <a:pt x="36420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56425" y="4861278"/>
        <a:ext cx="18210" cy="18210"/>
      </dsp:txXfrm>
    </dsp:sp>
    <dsp:sp modelId="{32FD41EA-D73A-0541-B0EF-31DD1B3945BF}">
      <dsp:nvSpPr>
        <dsp:cNvPr id="0" name=""/>
        <dsp:cNvSpPr/>
      </dsp:nvSpPr>
      <dsp:spPr>
        <a:xfrm>
          <a:off x="2339547" y="4644392"/>
          <a:ext cx="1362944" cy="11921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Recognise limitations/ when stuck</a:t>
          </a:r>
        </a:p>
      </dsp:txBody>
      <dsp:txXfrm>
        <a:off x="2343039" y="4647884"/>
        <a:ext cx="1355960" cy="112232"/>
      </dsp:txXfrm>
    </dsp:sp>
    <dsp:sp modelId="{07ADF952-BA6A-B64D-BB8C-DDDBAED6B6B7}">
      <dsp:nvSpPr>
        <dsp:cNvPr id="0" name=""/>
        <dsp:cNvSpPr/>
      </dsp:nvSpPr>
      <dsp:spPr>
        <a:xfrm rot="174145">
          <a:off x="3702396" y="4706121"/>
          <a:ext cx="148223" cy="3265"/>
        </a:xfrm>
        <a:custGeom>
          <a:avLst/>
          <a:gdLst/>
          <a:ahLst/>
          <a:cxnLst/>
          <a:rect l="0" t="0" r="0" b="0"/>
          <a:pathLst>
            <a:path>
              <a:moveTo>
                <a:pt x="0" y="1632"/>
              </a:moveTo>
              <a:lnTo>
                <a:pt x="14822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772803" y="4704048"/>
        <a:ext cx="7411" cy="7411"/>
      </dsp:txXfrm>
    </dsp:sp>
    <dsp:sp modelId="{13D9C383-7054-D444-AE67-CDBE17B188F8}">
      <dsp:nvSpPr>
        <dsp:cNvPr id="0" name=""/>
        <dsp:cNvSpPr/>
      </dsp:nvSpPr>
      <dsp:spPr>
        <a:xfrm>
          <a:off x="3850525" y="4644392"/>
          <a:ext cx="587493" cy="134227"/>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Access help/team</a:t>
          </a:r>
        </a:p>
      </dsp:txBody>
      <dsp:txXfrm>
        <a:off x="3854456" y="4648323"/>
        <a:ext cx="579631" cy="126365"/>
      </dsp:txXfrm>
    </dsp:sp>
    <dsp:sp modelId="{1052ED91-8571-6544-A5EC-3DB803C14C66}">
      <dsp:nvSpPr>
        <dsp:cNvPr id="0" name=""/>
        <dsp:cNvSpPr/>
      </dsp:nvSpPr>
      <dsp:spPr>
        <a:xfrm rot="19740879">
          <a:off x="4425698" y="4665426"/>
          <a:ext cx="172674" cy="3265"/>
        </a:xfrm>
        <a:custGeom>
          <a:avLst/>
          <a:gdLst/>
          <a:ahLst/>
          <a:cxnLst/>
          <a:rect l="0" t="0" r="0" b="0"/>
          <a:pathLst>
            <a:path>
              <a:moveTo>
                <a:pt x="0" y="1632"/>
              </a:moveTo>
              <a:lnTo>
                <a:pt x="17267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507718" y="4662741"/>
        <a:ext cx="8633" cy="8633"/>
      </dsp:txXfrm>
    </dsp:sp>
    <dsp:sp modelId="{AB7A3ACA-3C03-0645-8CBF-6452B4690731}">
      <dsp:nvSpPr>
        <dsp:cNvPr id="0" name=""/>
        <dsp:cNvSpPr/>
      </dsp:nvSpPr>
      <dsp:spPr>
        <a:xfrm>
          <a:off x="4586052" y="4530089"/>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4591472" y="4535509"/>
        <a:ext cx="359243" cy="174201"/>
      </dsp:txXfrm>
    </dsp:sp>
    <dsp:sp modelId="{906A354D-18D5-F44A-80DF-4999084AB120}">
      <dsp:nvSpPr>
        <dsp:cNvPr id="0" name=""/>
        <dsp:cNvSpPr/>
      </dsp:nvSpPr>
      <dsp:spPr>
        <a:xfrm rot="20411754">
          <a:off x="2186860" y="5008478"/>
          <a:ext cx="157339" cy="3265"/>
        </a:xfrm>
        <a:custGeom>
          <a:avLst/>
          <a:gdLst/>
          <a:ahLst/>
          <a:cxnLst/>
          <a:rect l="0" t="0" r="0" b="0"/>
          <a:pathLst>
            <a:path>
              <a:moveTo>
                <a:pt x="0" y="1632"/>
              </a:moveTo>
              <a:lnTo>
                <a:pt x="15733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61596" y="5006177"/>
        <a:ext cx="7866" cy="7866"/>
      </dsp:txXfrm>
    </dsp:sp>
    <dsp:sp modelId="{18A97919-8627-7346-9DDA-1DE711FEFA23}">
      <dsp:nvSpPr>
        <dsp:cNvPr id="0" name=""/>
        <dsp:cNvSpPr/>
      </dsp:nvSpPr>
      <dsp:spPr>
        <a:xfrm>
          <a:off x="2339547" y="4872990"/>
          <a:ext cx="650537" cy="22093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Consequence learning</a:t>
          </a:r>
        </a:p>
      </dsp:txBody>
      <dsp:txXfrm>
        <a:off x="2346018" y="4879461"/>
        <a:ext cx="637595" cy="207992"/>
      </dsp:txXfrm>
    </dsp:sp>
    <dsp:sp modelId="{9AF1E02A-D1F8-F446-9FAF-CCED0823C540}">
      <dsp:nvSpPr>
        <dsp:cNvPr id="0" name=""/>
        <dsp:cNvSpPr/>
      </dsp:nvSpPr>
      <dsp:spPr>
        <a:xfrm rot="21185251">
          <a:off x="2989542" y="4972851"/>
          <a:ext cx="149117" cy="3265"/>
        </a:xfrm>
        <a:custGeom>
          <a:avLst/>
          <a:gdLst/>
          <a:ahLst/>
          <a:cxnLst/>
          <a:rect l="0" t="0" r="0" b="0"/>
          <a:pathLst>
            <a:path>
              <a:moveTo>
                <a:pt x="0" y="1632"/>
              </a:moveTo>
              <a:lnTo>
                <a:pt x="149117"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060373" y="4970756"/>
        <a:ext cx="7455" cy="7455"/>
      </dsp:txXfrm>
    </dsp:sp>
    <dsp:sp modelId="{F20FBAE4-C861-BE45-ABD5-1EE826444DFC}">
      <dsp:nvSpPr>
        <dsp:cNvPr id="0" name=""/>
        <dsp:cNvSpPr/>
      </dsp:nvSpPr>
      <dsp:spPr>
        <a:xfrm>
          <a:off x="3138117" y="4872989"/>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Act</a:t>
          </a:r>
        </a:p>
      </dsp:txBody>
      <dsp:txXfrm>
        <a:off x="3143537" y="4878409"/>
        <a:ext cx="359243" cy="174201"/>
      </dsp:txXfrm>
    </dsp:sp>
    <dsp:sp modelId="{85A4FA80-83FE-974F-8392-AD31C1679BCA}">
      <dsp:nvSpPr>
        <dsp:cNvPr id="0" name=""/>
        <dsp:cNvSpPr/>
      </dsp:nvSpPr>
      <dsp:spPr>
        <a:xfrm>
          <a:off x="3508201" y="4963878"/>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578517" y="4961810"/>
        <a:ext cx="7401" cy="7401"/>
      </dsp:txXfrm>
    </dsp:sp>
    <dsp:sp modelId="{F58E4F62-57A3-8A43-A443-27C2D3A7EFDB}">
      <dsp:nvSpPr>
        <dsp:cNvPr id="0" name=""/>
        <dsp:cNvSpPr/>
      </dsp:nvSpPr>
      <dsp:spPr>
        <a:xfrm>
          <a:off x="3656235" y="4872989"/>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Outcome</a:t>
          </a:r>
        </a:p>
      </dsp:txBody>
      <dsp:txXfrm>
        <a:off x="3661655" y="4878409"/>
        <a:ext cx="359243" cy="174201"/>
      </dsp:txXfrm>
    </dsp:sp>
    <dsp:sp modelId="{58361CD2-9F3C-6F46-92B9-9CC7F4F87DDD}">
      <dsp:nvSpPr>
        <dsp:cNvPr id="0" name=""/>
        <dsp:cNvSpPr/>
      </dsp:nvSpPr>
      <dsp:spPr>
        <a:xfrm rot="20410166">
          <a:off x="4021653" y="4937186"/>
          <a:ext cx="157365" cy="3265"/>
        </a:xfrm>
        <a:custGeom>
          <a:avLst/>
          <a:gdLst/>
          <a:ahLst/>
          <a:cxnLst/>
          <a:rect l="0" t="0" r="0" b="0"/>
          <a:pathLst>
            <a:path>
              <a:moveTo>
                <a:pt x="0" y="1632"/>
              </a:moveTo>
              <a:lnTo>
                <a:pt x="15736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096401" y="4934884"/>
        <a:ext cx="7868" cy="7868"/>
      </dsp:txXfrm>
    </dsp:sp>
    <dsp:sp modelId="{C7FF8478-B1D3-BE44-A6F1-1938E914E3D0}">
      <dsp:nvSpPr>
        <dsp:cNvPr id="0" name=""/>
        <dsp:cNvSpPr/>
      </dsp:nvSpPr>
      <dsp:spPr>
        <a:xfrm>
          <a:off x="4174352" y="4836961"/>
          <a:ext cx="638198" cy="15032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Feedback</a:t>
          </a:r>
        </a:p>
      </dsp:txBody>
      <dsp:txXfrm>
        <a:off x="4178755" y="4841364"/>
        <a:ext cx="629392" cy="141523"/>
      </dsp:txXfrm>
    </dsp:sp>
    <dsp:sp modelId="{857B86D0-A5FC-E941-9763-08CEB8207D25}">
      <dsp:nvSpPr>
        <dsp:cNvPr id="0" name=""/>
        <dsp:cNvSpPr/>
      </dsp:nvSpPr>
      <dsp:spPr>
        <a:xfrm rot="3294174">
          <a:off x="2935368" y="5087151"/>
          <a:ext cx="257465" cy="3265"/>
        </a:xfrm>
        <a:custGeom>
          <a:avLst/>
          <a:gdLst/>
          <a:ahLst/>
          <a:cxnLst/>
          <a:rect l="0" t="0" r="0" b="0"/>
          <a:pathLst>
            <a:path>
              <a:moveTo>
                <a:pt x="0" y="1632"/>
              </a:moveTo>
              <a:lnTo>
                <a:pt x="25746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057664" y="5082347"/>
        <a:ext cx="12873" cy="12873"/>
      </dsp:txXfrm>
    </dsp:sp>
    <dsp:sp modelId="{60170329-D121-4846-A7E7-813FDB031452}">
      <dsp:nvSpPr>
        <dsp:cNvPr id="0" name=""/>
        <dsp:cNvSpPr/>
      </dsp:nvSpPr>
      <dsp:spPr>
        <a:xfrm>
          <a:off x="3138117" y="5101589"/>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Omit</a:t>
          </a:r>
        </a:p>
      </dsp:txBody>
      <dsp:txXfrm>
        <a:off x="3143537" y="5107009"/>
        <a:ext cx="359243" cy="174201"/>
      </dsp:txXfrm>
    </dsp:sp>
    <dsp:sp modelId="{D3C2A478-92DB-1B4A-BEA8-81D9E65D7184}">
      <dsp:nvSpPr>
        <dsp:cNvPr id="0" name=""/>
        <dsp:cNvSpPr/>
      </dsp:nvSpPr>
      <dsp:spPr>
        <a:xfrm>
          <a:off x="3508201" y="5192478"/>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578517" y="5190409"/>
        <a:ext cx="7401" cy="7401"/>
      </dsp:txXfrm>
    </dsp:sp>
    <dsp:sp modelId="{17423E58-5A4F-5344-B4A0-C27EAF3BA360}">
      <dsp:nvSpPr>
        <dsp:cNvPr id="0" name=""/>
        <dsp:cNvSpPr/>
      </dsp:nvSpPr>
      <dsp:spPr>
        <a:xfrm>
          <a:off x="3656235" y="5101589"/>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Outcome</a:t>
          </a:r>
        </a:p>
      </dsp:txBody>
      <dsp:txXfrm>
        <a:off x="3661655" y="5107009"/>
        <a:ext cx="359243" cy="174201"/>
      </dsp:txXfrm>
    </dsp:sp>
    <dsp:sp modelId="{A3027BBC-348E-D64A-A11A-9791067384FA}">
      <dsp:nvSpPr>
        <dsp:cNvPr id="0" name=""/>
        <dsp:cNvSpPr/>
      </dsp:nvSpPr>
      <dsp:spPr>
        <a:xfrm rot="108253">
          <a:off x="4026282" y="5194809"/>
          <a:ext cx="148106" cy="3265"/>
        </a:xfrm>
        <a:custGeom>
          <a:avLst/>
          <a:gdLst/>
          <a:ahLst/>
          <a:cxnLst/>
          <a:rect l="0" t="0" r="0" b="0"/>
          <a:pathLst>
            <a:path>
              <a:moveTo>
                <a:pt x="0" y="1632"/>
              </a:moveTo>
              <a:lnTo>
                <a:pt x="148106"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096633" y="5192739"/>
        <a:ext cx="7405" cy="7405"/>
      </dsp:txXfrm>
    </dsp:sp>
    <dsp:sp modelId="{A8A269D2-C0BC-6A40-9165-21A20B2BC087}">
      <dsp:nvSpPr>
        <dsp:cNvPr id="0" name=""/>
        <dsp:cNvSpPr/>
      </dsp:nvSpPr>
      <dsp:spPr>
        <a:xfrm>
          <a:off x="4174352" y="5101590"/>
          <a:ext cx="638198" cy="19436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Feedback</a:t>
          </a:r>
        </a:p>
      </dsp:txBody>
      <dsp:txXfrm>
        <a:off x="4180045" y="5107283"/>
        <a:ext cx="626812" cy="182980"/>
      </dsp:txXfrm>
    </dsp:sp>
    <dsp:sp modelId="{BB403EE3-65DE-D543-B51E-73AF64374FA3}">
      <dsp:nvSpPr>
        <dsp:cNvPr id="0" name=""/>
        <dsp:cNvSpPr/>
      </dsp:nvSpPr>
      <dsp:spPr>
        <a:xfrm rot="4123408">
          <a:off x="2061554" y="5225205"/>
          <a:ext cx="407952" cy="3265"/>
        </a:xfrm>
        <a:custGeom>
          <a:avLst/>
          <a:gdLst/>
          <a:ahLst/>
          <a:cxnLst/>
          <a:rect l="0" t="0" r="0" b="0"/>
          <a:pathLst>
            <a:path>
              <a:moveTo>
                <a:pt x="0" y="1632"/>
              </a:moveTo>
              <a:lnTo>
                <a:pt x="407952"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55331" y="5216639"/>
        <a:ext cx="20397" cy="20397"/>
      </dsp:txXfrm>
    </dsp:sp>
    <dsp:sp modelId="{C5526BCB-99B0-924E-BE28-D40D0D9677F9}">
      <dsp:nvSpPr>
        <dsp:cNvPr id="0" name=""/>
        <dsp:cNvSpPr/>
      </dsp:nvSpPr>
      <dsp:spPr>
        <a:xfrm>
          <a:off x="2339547" y="5330190"/>
          <a:ext cx="657927" cy="1734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Manage complexity</a:t>
          </a:r>
        </a:p>
      </dsp:txBody>
      <dsp:txXfrm>
        <a:off x="2344627" y="5335270"/>
        <a:ext cx="647767" cy="163281"/>
      </dsp:txXfrm>
    </dsp:sp>
    <dsp:sp modelId="{0220F22B-2D7A-924A-9A77-8A412561E725}">
      <dsp:nvSpPr>
        <dsp:cNvPr id="0" name=""/>
        <dsp:cNvSpPr/>
      </dsp:nvSpPr>
      <dsp:spPr>
        <a:xfrm rot="19592009">
          <a:off x="2993211" y="5401098"/>
          <a:ext cx="51430" cy="3265"/>
        </a:xfrm>
        <a:custGeom>
          <a:avLst/>
          <a:gdLst/>
          <a:ahLst/>
          <a:cxnLst/>
          <a:rect l="0" t="0" r="0" b="0"/>
          <a:pathLst>
            <a:path>
              <a:moveTo>
                <a:pt x="0" y="1632"/>
              </a:moveTo>
              <a:lnTo>
                <a:pt x="51430"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017640" y="5401445"/>
        <a:ext cx="2571" cy="2571"/>
      </dsp:txXfrm>
    </dsp:sp>
    <dsp:sp modelId="{4119C4DF-2C73-404A-992D-F984A9077918}">
      <dsp:nvSpPr>
        <dsp:cNvPr id="0" name=""/>
        <dsp:cNvSpPr/>
      </dsp:nvSpPr>
      <dsp:spPr>
        <a:xfrm>
          <a:off x="3040378" y="5330189"/>
          <a:ext cx="642088" cy="11672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Framework</a:t>
          </a:r>
        </a:p>
      </dsp:txBody>
      <dsp:txXfrm>
        <a:off x="3043797" y="5333608"/>
        <a:ext cx="635250" cy="109882"/>
      </dsp:txXfrm>
    </dsp:sp>
    <dsp:sp modelId="{4D3C5AB2-8259-C545-8AF2-6658A3765C67}">
      <dsp:nvSpPr>
        <dsp:cNvPr id="0" name=""/>
        <dsp:cNvSpPr/>
      </dsp:nvSpPr>
      <dsp:spPr>
        <a:xfrm rot="1662470">
          <a:off x="3679635" y="5398396"/>
          <a:ext cx="49376" cy="3265"/>
        </a:xfrm>
        <a:custGeom>
          <a:avLst/>
          <a:gdLst/>
          <a:ahLst/>
          <a:cxnLst/>
          <a:rect l="0" t="0" r="0" b="0"/>
          <a:pathLst>
            <a:path>
              <a:moveTo>
                <a:pt x="0" y="1632"/>
              </a:moveTo>
              <a:lnTo>
                <a:pt x="49376"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703089" y="5398794"/>
        <a:ext cx="2468" cy="2468"/>
      </dsp:txXfrm>
    </dsp:sp>
    <dsp:sp modelId="{FDAA16D7-4952-7642-B9FE-686299F1FB7F}">
      <dsp:nvSpPr>
        <dsp:cNvPr id="0" name=""/>
        <dsp:cNvSpPr/>
      </dsp:nvSpPr>
      <dsp:spPr>
        <a:xfrm>
          <a:off x="3726180" y="5330189"/>
          <a:ext cx="885255" cy="162637"/>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Prioritise</a:t>
          </a:r>
        </a:p>
      </dsp:txBody>
      <dsp:txXfrm>
        <a:off x="3730943" y="5334952"/>
        <a:ext cx="875729" cy="153111"/>
      </dsp:txXfrm>
    </dsp:sp>
    <dsp:sp modelId="{003C5F08-096E-D740-AEC9-845D6B9D94E7}">
      <dsp:nvSpPr>
        <dsp:cNvPr id="0" name=""/>
        <dsp:cNvSpPr/>
      </dsp:nvSpPr>
      <dsp:spPr>
        <a:xfrm rot="24080">
          <a:off x="4611434" y="5410378"/>
          <a:ext cx="143448" cy="3265"/>
        </a:xfrm>
        <a:custGeom>
          <a:avLst/>
          <a:gdLst/>
          <a:ahLst/>
          <a:cxnLst/>
          <a:rect l="0" t="0" r="0" b="0"/>
          <a:pathLst>
            <a:path>
              <a:moveTo>
                <a:pt x="0" y="1632"/>
              </a:moveTo>
              <a:lnTo>
                <a:pt x="14344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679572" y="5408424"/>
        <a:ext cx="7172" cy="7172"/>
      </dsp:txXfrm>
    </dsp:sp>
    <dsp:sp modelId="{E8E89FB2-6592-9949-A9AE-5696011DDA9E}">
      <dsp:nvSpPr>
        <dsp:cNvPr id="0" name=""/>
        <dsp:cNvSpPr/>
      </dsp:nvSpPr>
      <dsp:spPr>
        <a:xfrm>
          <a:off x="4754880" y="5330189"/>
          <a:ext cx="1271082" cy="16464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Refine skills and judgment</a:t>
          </a:r>
        </a:p>
      </dsp:txBody>
      <dsp:txXfrm>
        <a:off x="4759702" y="5335011"/>
        <a:ext cx="1261438" cy="155002"/>
      </dsp:txXfrm>
    </dsp:sp>
    <dsp:sp modelId="{D0F6F508-439F-2548-854A-3A34A9644D34}">
      <dsp:nvSpPr>
        <dsp:cNvPr id="0" name=""/>
        <dsp:cNvSpPr/>
      </dsp:nvSpPr>
      <dsp:spPr>
        <a:xfrm rot="5118577">
          <a:off x="517388" y="5235583"/>
          <a:ext cx="1810337" cy="3265"/>
        </a:xfrm>
        <a:custGeom>
          <a:avLst/>
          <a:gdLst/>
          <a:ahLst/>
          <a:cxnLst/>
          <a:rect l="0" t="0" r="0" b="0"/>
          <a:pathLst>
            <a:path>
              <a:moveTo>
                <a:pt x="0" y="1632"/>
              </a:moveTo>
              <a:lnTo>
                <a:pt x="1810337" y="1632"/>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1377298" y="5191958"/>
        <a:ext cx="90516" cy="90516"/>
      </dsp:txXfrm>
    </dsp:sp>
    <dsp:sp modelId="{E527687B-5E64-5543-9278-7D5AA79DA87D}">
      <dsp:nvSpPr>
        <dsp:cNvPr id="0" name=""/>
        <dsp:cNvSpPr/>
      </dsp:nvSpPr>
      <dsp:spPr>
        <a:xfrm>
          <a:off x="1496573" y="5901690"/>
          <a:ext cx="696194" cy="475326"/>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Performance/ Actions</a:t>
          </a:r>
        </a:p>
      </dsp:txBody>
      <dsp:txXfrm>
        <a:off x="1510495" y="5915612"/>
        <a:ext cx="668350" cy="447482"/>
      </dsp:txXfrm>
    </dsp:sp>
    <dsp:sp modelId="{37A38C73-911D-A04E-81A0-451CEEB03713}">
      <dsp:nvSpPr>
        <dsp:cNvPr id="0" name=""/>
        <dsp:cNvSpPr/>
      </dsp:nvSpPr>
      <dsp:spPr>
        <a:xfrm rot="17120906">
          <a:off x="1987147" y="5868057"/>
          <a:ext cx="559274" cy="3265"/>
        </a:xfrm>
        <a:custGeom>
          <a:avLst/>
          <a:gdLst/>
          <a:ahLst/>
          <a:cxnLst/>
          <a:rect l="0" t="0" r="0" b="0"/>
          <a:pathLst>
            <a:path>
              <a:moveTo>
                <a:pt x="0" y="1632"/>
              </a:moveTo>
              <a:lnTo>
                <a:pt x="55927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52803" y="5855708"/>
        <a:ext cx="27963" cy="27963"/>
      </dsp:txXfrm>
    </dsp:sp>
    <dsp:sp modelId="{890C2028-56BF-7C48-BEEF-DD9A118FD721}">
      <dsp:nvSpPr>
        <dsp:cNvPr id="0" name=""/>
        <dsp:cNvSpPr/>
      </dsp:nvSpPr>
      <dsp:spPr>
        <a:xfrm>
          <a:off x="2340801" y="5558791"/>
          <a:ext cx="1141153" cy="8246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Justification/ clinical reasoning</a:t>
          </a:r>
        </a:p>
      </dsp:txBody>
      <dsp:txXfrm>
        <a:off x="2343216" y="5561206"/>
        <a:ext cx="1136323" cy="77639"/>
      </dsp:txXfrm>
    </dsp:sp>
    <dsp:sp modelId="{C9C87CD5-6BFE-7849-8062-8C27F74423E3}">
      <dsp:nvSpPr>
        <dsp:cNvPr id="0" name=""/>
        <dsp:cNvSpPr/>
      </dsp:nvSpPr>
      <dsp:spPr>
        <a:xfrm rot="1590">
          <a:off x="3481955" y="5598427"/>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552271" y="5596359"/>
        <a:ext cx="7401" cy="7401"/>
      </dsp:txXfrm>
    </dsp:sp>
    <dsp:sp modelId="{8B45572A-1112-FA43-B58E-7862FE34577C}">
      <dsp:nvSpPr>
        <dsp:cNvPr id="0" name=""/>
        <dsp:cNvSpPr/>
      </dsp:nvSpPr>
      <dsp:spPr>
        <a:xfrm>
          <a:off x="3629988" y="5558791"/>
          <a:ext cx="1251442" cy="8260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Close loop on action/ follow up</a:t>
          </a:r>
        </a:p>
      </dsp:txBody>
      <dsp:txXfrm>
        <a:off x="3632407" y="5561210"/>
        <a:ext cx="1246604" cy="77768"/>
      </dsp:txXfrm>
    </dsp:sp>
    <dsp:sp modelId="{DCB459D8-7275-B34C-BBCF-79EB78363042}">
      <dsp:nvSpPr>
        <dsp:cNvPr id="0" name=""/>
        <dsp:cNvSpPr/>
      </dsp:nvSpPr>
      <dsp:spPr>
        <a:xfrm rot="21543411">
          <a:off x="4881420" y="5597243"/>
          <a:ext cx="148053" cy="3265"/>
        </a:xfrm>
        <a:custGeom>
          <a:avLst/>
          <a:gdLst/>
          <a:ahLst/>
          <a:cxnLst/>
          <a:rect l="0" t="0" r="0" b="0"/>
          <a:pathLst>
            <a:path>
              <a:moveTo>
                <a:pt x="0" y="1632"/>
              </a:moveTo>
              <a:lnTo>
                <a:pt x="14805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951746" y="5595174"/>
        <a:ext cx="7402" cy="7402"/>
      </dsp:txXfrm>
    </dsp:sp>
    <dsp:sp modelId="{CB348504-45A8-F849-81E6-9EB60002C12D}">
      <dsp:nvSpPr>
        <dsp:cNvPr id="0" name=""/>
        <dsp:cNvSpPr/>
      </dsp:nvSpPr>
      <dsp:spPr>
        <a:xfrm>
          <a:off x="5029464" y="5558791"/>
          <a:ext cx="448467" cy="7773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5031741" y="5561068"/>
        <a:ext cx="443913" cy="73178"/>
      </dsp:txXfrm>
    </dsp:sp>
    <dsp:sp modelId="{05E20533-B868-844D-BE0F-3AC308FB8796}">
      <dsp:nvSpPr>
        <dsp:cNvPr id="0" name=""/>
        <dsp:cNvSpPr/>
      </dsp:nvSpPr>
      <dsp:spPr>
        <a:xfrm rot="17982500">
          <a:off x="2117432" y="6008000"/>
          <a:ext cx="298704" cy="3265"/>
        </a:xfrm>
        <a:custGeom>
          <a:avLst/>
          <a:gdLst/>
          <a:ahLst/>
          <a:cxnLst/>
          <a:rect l="0" t="0" r="0" b="0"/>
          <a:pathLst>
            <a:path>
              <a:moveTo>
                <a:pt x="0" y="1632"/>
              </a:moveTo>
              <a:lnTo>
                <a:pt x="29870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59317" y="6002165"/>
        <a:ext cx="14935" cy="14935"/>
      </dsp:txXfrm>
    </dsp:sp>
    <dsp:sp modelId="{076EF232-42FD-0A46-ADBC-4E55504B9D4F}">
      <dsp:nvSpPr>
        <dsp:cNvPr id="0" name=""/>
        <dsp:cNvSpPr/>
      </dsp:nvSpPr>
      <dsp:spPr>
        <a:xfrm>
          <a:off x="2340801" y="5787390"/>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Team</a:t>
          </a:r>
        </a:p>
      </dsp:txBody>
      <dsp:txXfrm>
        <a:off x="2346221" y="5792810"/>
        <a:ext cx="359243" cy="174201"/>
      </dsp:txXfrm>
    </dsp:sp>
    <dsp:sp modelId="{D536B861-D1D2-BA45-B78D-D06669174668}">
      <dsp:nvSpPr>
        <dsp:cNvPr id="0" name=""/>
        <dsp:cNvSpPr/>
      </dsp:nvSpPr>
      <dsp:spPr>
        <a:xfrm rot="19339642">
          <a:off x="2691389" y="5821128"/>
          <a:ext cx="187025" cy="3265"/>
        </a:xfrm>
        <a:custGeom>
          <a:avLst/>
          <a:gdLst/>
          <a:ahLst/>
          <a:cxnLst/>
          <a:rect l="0" t="0" r="0" b="0"/>
          <a:pathLst>
            <a:path>
              <a:moveTo>
                <a:pt x="0" y="1632"/>
              </a:moveTo>
              <a:lnTo>
                <a:pt x="18702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780226" y="5818085"/>
        <a:ext cx="9351" cy="9351"/>
      </dsp:txXfrm>
    </dsp:sp>
    <dsp:sp modelId="{41978589-6758-E947-AA91-0AEB570690EC}">
      <dsp:nvSpPr>
        <dsp:cNvPr id="0" name=""/>
        <dsp:cNvSpPr/>
      </dsp:nvSpPr>
      <dsp:spPr>
        <a:xfrm>
          <a:off x="2858919" y="5673089"/>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Team member</a:t>
          </a:r>
        </a:p>
      </dsp:txBody>
      <dsp:txXfrm>
        <a:off x="2864339" y="5678509"/>
        <a:ext cx="359243" cy="174201"/>
      </dsp:txXfrm>
    </dsp:sp>
    <dsp:sp modelId="{DC3AFE56-753E-4D41-96AF-3945973B1E5F}">
      <dsp:nvSpPr>
        <dsp:cNvPr id="0" name=""/>
        <dsp:cNvSpPr/>
      </dsp:nvSpPr>
      <dsp:spPr>
        <a:xfrm rot="21331415">
          <a:off x="3228776" y="5758183"/>
          <a:ext cx="148486" cy="3265"/>
        </a:xfrm>
        <a:custGeom>
          <a:avLst/>
          <a:gdLst/>
          <a:ahLst/>
          <a:cxnLst/>
          <a:rect l="0" t="0" r="0" b="0"/>
          <a:pathLst>
            <a:path>
              <a:moveTo>
                <a:pt x="0" y="1632"/>
              </a:moveTo>
              <a:lnTo>
                <a:pt x="148486"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299307" y="5756104"/>
        <a:ext cx="7424" cy="7424"/>
      </dsp:txXfrm>
    </dsp:sp>
    <dsp:sp modelId="{7DE84E1A-8933-D042-8AFA-8530C0148846}">
      <dsp:nvSpPr>
        <dsp:cNvPr id="0" name=""/>
        <dsp:cNvSpPr/>
      </dsp:nvSpPr>
      <dsp:spPr>
        <a:xfrm>
          <a:off x="3377036" y="5673090"/>
          <a:ext cx="1737243" cy="16186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Communication effectiveness</a:t>
          </a:r>
        </a:p>
      </dsp:txBody>
      <dsp:txXfrm>
        <a:off x="3381777" y="5677831"/>
        <a:ext cx="1727761" cy="152379"/>
      </dsp:txXfrm>
    </dsp:sp>
    <dsp:sp modelId="{85569A46-7435-0C4A-830A-6BE10736E389}">
      <dsp:nvSpPr>
        <dsp:cNvPr id="0" name=""/>
        <dsp:cNvSpPr/>
      </dsp:nvSpPr>
      <dsp:spPr>
        <a:xfrm rot="2260358">
          <a:off x="2691389" y="5935428"/>
          <a:ext cx="187025" cy="3265"/>
        </a:xfrm>
        <a:custGeom>
          <a:avLst/>
          <a:gdLst/>
          <a:ahLst/>
          <a:cxnLst/>
          <a:rect l="0" t="0" r="0" b="0"/>
          <a:pathLst>
            <a:path>
              <a:moveTo>
                <a:pt x="0" y="1632"/>
              </a:moveTo>
              <a:lnTo>
                <a:pt x="18702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780226" y="5932385"/>
        <a:ext cx="9351" cy="9351"/>
      </dsp:txXfrm>
    </dsp:sp>
    <dsp:sp modelId="{63AE9A40-A2F7-A045-9127-A3708C8BA3DE}">
      <dsp:nvSpPr>
        <dsp:cNvPr id="0" name=""/>
        <dsp:cNvSpPr/>
      </dsp:nvSpPr>
      <dsp:spPr>
        <a:xfrm>
          <a:off x="2858919" y="5901690"/>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Team leader</a:t>
          </a:r>
        </a:p>
      </dsp:txBody>
      <dsp:txXfrm>
        <a:off x="2864339" y="5907110"/>
        <a:ext cx="359243" cy="174201"/>
      </dsp:txXfrm>
    </dsp:sp>
    <dsp:sp modelId="{96107609-B005-6F43-8581-AA9D08944D3A}">
      <dsp:nvSpPr>
        <dsp:cNvPr id="0" name=""/>
        <dsp:cNvSpPr/>
      </dsp:nvSpPr>
      <dsp:spPr>
        <a:xfrm rot="21167127">
          <a:off x="3228412" y="5983209"/>
          <a:ext cx="149214" cy="3265"/>
        </a:xfrm>
        <a:custGeom>
          <a:avLst/>
          <a:gdLst/>
          <a:ahLst/>
          <a:cxnLst/>
          <a:rect l="0" t="0" r="0" b="0"/>
          <a:pathLst>
            <a:path>
              <a:moveTo>
                <a:pt x="0" y="1632"/>
              </a:moveTo>
              <a:lnTo>
                <a:pt x="14921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299289" y="5981111"/>
        <a:ext cx="7460" cy="7460"/>
      </dsp:txXfrm>
    </dsp:sp>
    <dsp:sp modelId="{4D292D26-FEA6-1844-BA59-60E7AEEB730B}">
      <dsp:nvSpPr>
        <dsp:cNvPr id="0" name=""/>
        <dsp:cNvSpPr/>
      </dsp:nvSpPr>
      <dsp:spPr>
        <a:xfrm>
          <a:off x="3377036" y="5901690"/>
          <a:ext cx="1068006" cy="14756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Leadership skills</a:t>
          </a:r>
        </a:p>
      </dsp:txBody>
      <dsp:txXfrm>
        <a:off x="3381358" y="5906012"/>
        <a:ext cx="1059362" cy="138919"/>
      </dsp:txXfrm>
    </dsp:sp>
    <dsp:sp modelId="{29B011CE-FEB4-5146-AFD2-55FBAF12FF26}">
      <dsp:nvSpPr>
        <dsp:cNvPr id="0" name=""/>
        <dsp:cNvSpPr/>
      </dsp:nvSpPr>
      <dsp:spPr>
        <a:xfrm rot="1239650">
          <a:off x="2187680" y="6165632"/>
          <a:ext cx="158208" cy="3265"/>
        </a:xfrm>
        <a:custGeom>
          <a:avLst/>
          <a:gdLst/>
          <a:ahLst/>
          <a:cxnLst/>
          <a:rect l="0" t="0" r="0" b="0"/>
          <a:pathLst>
            <a:path>
              <a:moveTo>
                <a:pt x="0" y="1632"/>
              </a:moveTo>
              <a:lnTo>
                <a:pt x="15820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62829" y="6163309"/>
        <a:ext cx="7910" cy="7910"/>
      </dsp:txXfrm>
    </dsp:sp>
    <dsp:sp modelId="{0A7942F9-FA61-7044-98CD-185B63F2C777}">
      <dsp:nvSpPr>
        <dsp:cNvPr id="0" name=""/>
        <dsp:cNvSpPr/>
      </dsp:nvSpPr>
      <dsp:spPr>
        <a:xfrm>
          <a:off x="2340801" y="6130290"/>
          <a:ext cx="672072" cy="12976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Consequence learning</a:t>
          </a:r>
        </a:p>
      </dsp:txBody>
      <dsp:txXfrm>
        <a:off x="2344602" y="6134091"/>
        <a:ext cx="664470" cy="122167"/>
      </dsp:txXfrm>
    </dsp:sp>
    <dsp:sp modelId="{9EB0FA5F-BF74-6045-BC98-FC5C037FE5C9}">
      <dsp:nvSpPr>
        <dsp:cNvPr id="0" name=""/>
        <dsp:cNvSpPr/>
      </dsp:nvSpPr>
      <dsp:spPr>
        <a:xfrm rot="21412442">
          <a:off x="3012763" y="6189500"/>
          <a:ext cx="148254" cy="3265"/>
        </a:xfrm>
        <a:custGeom>
          <a:avLst/>
          <a:gdLst/>
          <a:ahLst/>
          <a:cxnLst/>
          <a:rect l="0" t="0" r="0" b="0"/>
          <a:pathLst>
            <a:path>
              <a:moveTo>
                <a:pt x="0" y="1632"/>
              </a:moveTo>
              <a:lnTo>
                <a:pt x="14825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083184" y="6187426"/>
        <a:ext cx="7412" cy="7412"/>
      </dsp:txXfrm>
    </dsp:sp>
    <dsp:sp modelId="{346E5F80-6DC5-6543-AAD9-FD7779271A90}">
      <dsp:nvSpPr>
        <dsp:cNvPr id="0" name=""/>
        <dsp:cNvSpPr/>
      </dsp:nvSpPr>
      <dsp:spPr>
        <a:xfrm>
          <a:off x="3160907" y="6130289"/>
          <a:ext cx="705191" cy="1136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Action vs omission</a:t>
          </a:r>
        </a:p>
      </dsp:txBody>
      <dsp:txXfrm>
        <a:off x="3164234" y="6133616"/>
        <a:ext cx="698537" cy="106948"/>
      </dsp:txXfrm>
    </dsp:sp>
    <dsp:sp modelId="{1208B9E3-0278-6344-8E92-3481EA93B0A2}">
      <dsp:nvSpPr>
        <dsp:cNvPr id="0" name=""/>
        <dsp:cNvSpPr/>
      </dsp:nvSpPr>
      <dsp:spPr>
        <a:xfrm rot="21265110">
          <a:off x="3865745" y="6178225"/>
          <a:ext cx="148738" cy="3265"/>
        </a:xfrm>
        <a:custGeom>
          <a:avLst/>
          <a:gdLst/>
          <a:ahLst/>
          <a:cxnLst/>
          <a:rect l="0" t="0" r="0" b="0"/>
          <a:pathLst>
            <a:path>
              <a:moveTo>
                <a:pt x="0" y="1632"/>
              </a:moveTo>
              <a:lnTo>
                <a:pt x="14873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936396" y="6176139"/>
        <a:ext cx="7436" cy="7436"/>
      </dsp:txXfrm>
    </dsp:sp>
    <dsp:sp modelId="{AC69AFBE-547D-0F49-8FBD-7B9C78ED3826}">
      <dsp:nvSpPr>
        <dsp:cNvPr id="0" name=""/>
        <dsp:cNvSpPr/>
      </dsp:nvSpPr>
      <dsp:spPr>
        <a:xfrm>
          <a:off x="4014132" y="6100658"/>
          <a:ext cx="609169" cy="14393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Outcome</a:t>
          </a:r>
        </a:p>
      </dsp:txBody>
      <dsp:txXfrm>
        <a:off x="4018348" y="6104874"/>
        <a:ext cx="600737" cy="135499"/>
      </dsp:txXfrm>
    </dsp:sp>
    <dsp:sp modelId="{E06B8E53-7E61-FE48-B438-142B6DA5154E}">
      <dsp:nvSpPr>
        <dsp:cNvPr id="0" name=""/>
        <dsp:cNvSpPr/>
      </dsp:nvSpPr>
      <dsp:spPr>
        <a:xfrm rot="19827098">
          <a:off x="4612235" y="6129032"/>
          <a:ext cx="170165" cy="3265"/>
        </a:xfrm>
        <a:custGeom>
          <a:avLst/>
          <a:gdLst/>
          <a:ahLst/>
          <a:cxnLst/>
          <a:rect l="0" t="0" r="0" b="0"/>
          <a:pathLst>
            <a:path>
              <a:moveTo>
                <a:pt x="0" y="1632"/>
              </a:moveTo>
              <a:lnTo>
                <a:pt x="17016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693063" y="6126411"/>
        <a:ext cx="8508" cy="8508"/>
      </dsp:txXfrm>
    </dsp:sp>
    <dsp:sp modelId="{5E1B448D-7475-364F-9237-E274A4B984F6}">
      <dsp:nvSpPr>
        <dsp:cNvPr id="0" name=""/>
        <dsp:cNvSpPr/>
      </dsp:nvSpPr>
      <dsp:spPr>
        <a:xfrm>
          <a:off x="4771334" y="6015991"/>
          <a:ext cx="697134" cy="14542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 impact</a:t>
          </a:r>
        </a:p>
      </dsp:txBody>
      <dsp:txXfrm>
        <a:off x="4775593" y="6020250"/>
        <a:ext cx="688616" cy="136911"/>
      </dsp:txXfrm>
    </dsp:sp>
    <dsp:sp modelId="{66D7638F-9853-484A-83EB-C481F6203FD8}">
      <dsp:nvSpPr>
        <dsp:cNvPr id="0" name=""/>
        <dsp:cNvSpPr/>
      </dsp:nvSpPr>
      <dsp:spPr>
        <a:xfrm rot="3865296">
          <a:off x="2095348" y="6292355"/>
          <a:ext cx="342871" cy="3265"/>
        </a:xfrm>
        <a:custGeom>
          <a:avLst/>
          <a:gdLst/>
          <a:ahLst/>
          <a:cxnLst/>
          <a:rect l="0" t="0" r="0" b="0"/>
          <a:pathLst>
            <a:path>
              <a:moveTo>
                <a:pt x="0" y="1632"/>
              </a:moveTo>
              <a:lnTo>
                <a:pt x="342871"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58213" y="6285416"/>
        <a:ext cx="17143" cy="17143"/>
      </dsp:txXfrm>
    </dsp:sp>
    <dsp:sp modelId="{F49659EF-7E47-2D41-8BC1-B97974D7D2CF}">
      <dsp:nvSpPr>
        <dsp:cNvPr id="0" name=""/>
        <dsp:cNvSpPr/>
      </dsp:nvSpPr>
      <dsp:spPr>
        <a:xfrm>
          <a:off x="2340801" y="6358890"/>
          <a:ext cx="666069" cy="1794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Prioritisation</a:t>
          </a:r>
        </a:p>
      </dsp:txBody>
      <dsp:txXfrm>
        <a:off x="2346057" y="6364146"/>
        <a:ext cx="655557" cy="168952"/>
      </dsp:txXfrm>
    </dsp:sp>
    <dsp:sp modelId="{C7694E15-689B-B540-AF7D-27873AF50E04}">
      <dsp:nvSpPr>
        <dsp:cNvPr id="0" name=""/>
        <dsp:cNvSpPr/>
      </dsp:nvSpPr>
      <dsp:spPr>
        <a:xfrm rot="18970775">
          <a:off x="2978302" y="6375960"/>
          <a:ext cx="205170" cy="3265"/>
        </a:xfrm>
        <a:custGeom>
          <a:avLst/>
          <a:gdLst/>
          <a:ahLst/>
          <a:cxnLst/>
          <a:rect l="0" t="0" r="0" b="0"/>
          <a:pathLst>
            <a:path>
              <a:moveTo>
                <a:pt x="0" y="1632"/>
              </a:moveTo>
              <a:lnTo>
                <a:pt x="205170"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075758" y="6372463"/>
        <a:ext cx="10258" cy="10258"/>
      </dsp:txXfrm>
    </dsp:sp>
    <dsp:sp modelId="{26604CA2-868C-8F44-A303-1E91E5613A9B}">
      <dsp:nvSpPr>
        <dsp:cNvPr id="0" name=""/>
        <dsp:cNvSpPr/>
      </dsp:nvSpPr>
      <dsp:spPr>
        <a:xfrm>
          <a:off x="3154904" y="6244590"/>
          <a:ext cx="1367215" cy="12394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Clinical judgment</a:t>
          </a:r>
        </a:p>
      </dsp:txBody>
      <dsp:txXfrm>
        <a:off x="3158534" y="6248220"/>
        <a:ext cx="1359955" cy="116684"/>
      </dsp:txXfrm>
    </dsp:sp>
    <dsp:sp modelId="{2F4D2B05-ABE0-C040-B265-D2CED050FB95}">
      <dsp:nvSpPr>
        <dsp:cNvPr id="0" name=""/>
        <dsp:cNvSpPr/>
      </dsp:nvSpPr>
      <dsp:spPr>
        <a:xfrm rot="2300561">
          <a:off x="2986516" y="6505534"/>
          <a:ext cx="188742" cy="3265"/>
        </a:xfrm>
        <a:custGeom>
          <a:avLst/>
          <a:gdLst/>
          <a:ahLst/>
          <a:cxnLst/>
          <a:rect l="0" t="0" r="0" b="0"/>
          <a:pathLst>
            <a:path>
              <a:moveTo>
                <a:pt x="0" y="1632"/>
              </a:moveTo>
              <a:lnTo>
                <a:pt x="188742"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076169" y="6502448"/>
        <a:ext cx="9437" cy="9437"/>
      </dsp:txXfrm>
    </dsp:sp>
    <dsp:sp modelId="{05BBA82D-3861-9D45-B27B-B23B7D4518F1}">
      <dsp:nvSpPr>
        <dsp:cNvPr id="0" name=""/>
        <dsp:cNvSpPr/>
      </dsp:nvSpPr>
      <dsp:spPr>
        <a:xfrm>
          <a:off x="3154904" y="6473190"/>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Hollistic </a:t>
          </a:r>
        </a:p>
      </dsp:txBody>
      <dsp:txXfrm>
        <a:off x="3160324" y="6478610"/>
        <a:ext cx="359243" cy="174201"/>
      </dsp:txXfrm>
    </dsp:sp>
    <dsp:sp modelId="{58D175B3-DFEA-604C-917B-BF2A2838C18F}">
      <dsp:nvSpPr>
        <dsp:cNvPr id="0" name=""/>
        <dsp:cNvSpPr/>
      </dsp:nvSpPr>
      <dsp:spPr>
        <a:xfrm rot="21516093">
          <a:off x="3524966" y="6562272"/>
          <a:ext cx="148077" cy="3265"/>
        </a:xfrm>
        <a:custGeom>
          <a:avLst/>
          <a:gdLst/>
          <a:ahLst/>
          <a:cxnLst/>
          <a:rect l="0" t="0" r="0" b="0"/>
          <a:pathLst>
            <a:path>
              <a:moveTo>
                <a:pt x="0" y="1632"/>
              </a:moveTo>
              <a:lnTo>
                <a:pt x="148077"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595303" y="6560202"/>
        <a:ext cx="7403" cy="7403"/>
      </dsp:txXfrm>
    </dsp:sp>
    <dsp:sp modelId="{22C4D929-DC84-5648-9CF3-F58A68E4150C}">
      <dsp:nvSpPr>
        <dsp:cNvPr id="0" name=""/>
        <dsp:cNvSpPr/>
      </dsp:nvSpPr>
      <dsp:spPr>
        <a:xfrm>
          <a:off x="3673022" y="6473189"/>
          <a:ext cx="1421943" cy="17781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Environment, people, equipment</a:t>
          </a:r>
        </a:p>
      </dsp:txBody>
      <dsp:txXfrm>
        <a:off x="3678230" y="6478397"/>
        <a:ext cx="1411527" cy="167400"/>
      </dsp:txXfrm>
    </dsp:sp>
    <dsp:sp modelId="{22BD5535-88B2-9B42-A8B4-1E5752F26F90}">
      <dsp:nvSpPr>
        <dsp:cNvPr id="0" name=""/>
        <dsp:cNvSpPr/>
      </dsp:nvSpPr>
      <dsp:spPr>
        <a:xfrm rot="4623649">
          <a:off x="1936229" y="6459883"/>
          <a:ext cx="661110" cy="3265"/>
        </a:xfrm>
        <a:custGeom>
          <a:avLst/>
          <a:gdLst/>
          <a:ahLst/>
          <a:cxnLst/>
          <a:rect l="0" t="0" r="0" b="0"/>
          <a:pathLst>
            <a:path>
              <a:moveTo>
                <a:pt x="0" y="1632"/>
              </a:moveTo>
              <a:lnTo>
                <a:pt x="661110"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50257" y="6444987"/>
        <a:ext cx="33055" cy="33055"/>
      </dsp:txXfrm>
    </dsp:sp>
    <dsp:sp modelId="{B9610FCE-B082-EE44-9135-ABA86D825EBE}">
      <dsp:nvSpPr>
        <dsp:cNvPr id="0" name=""/>
        <dsp:cNvSpPr/>
      </dsp:nvSpPr>
      <dsp:spPr>
        <a:xfrm>
          <a:off x="2340801" y="6701791"/>
          <a:ext cx="998845" cy="16377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Responsibility</a:t>
          </a:r>
        </a:p>
      </dsp:txBody>
      <dsp:txXfrm>
        <a:off x="2345598" y="6706588"/>
        <a:ext cx="989251" cy="154177"/>
      </dsp:txXfrm>
    </dsp:sp>
    <dsp:sp modelId="{F27A1C25-E22E-804F-A65A-FEA13FE665C2}">
      <dsp:nvSpPr>
        <dsp:cNvPr id="0" name=""/>
        <dsp:cNvSpPr/>
      </dsp:nvSpPr>
      <dsp:spPr>
        <a:xfrm rot="20690022">
          <a:off x="3336975" y="6761981"/>
          <a:ext cx="153375" cy="3265"/>
        </a:xfrm>
        <a:custGeom>
          <a:avLst/>
          <a:gdLst/>
          <a:ahLst/>
          <a:cxnLst/>
          <a:rect l="0" t="0" r="0" b="0"/>
          <a:pathLst>
            <a:path>
              <a:moveTo>
                <a:pt x="0" y="1632"/>
              </a:moveTo>
              <a:lnTo>
                <a:pt x="15337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409829" y="6759779"/>
        <a:ext cx="7668" cy="7668"/>
      </dsp:txXfrm>
    </dsp:sp>
    <dsp:sp modelId="{6B4C2E1A-DBD3-AA44-B37A-C819A1EFBEC6}">
      <dsp:nvSpPr>
        <dsp:cNvPr id="0" name=""/>
        <dsp:cNvSpPr/>
      </dsp:nvSpPr>
      <dsp:spPr>
        <a:xfrm>
          <a:off x="3487680" y="6701789"/>
          <a:ext cx="1157907" cy="8352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Ownership of decision</a:t>
          </a:r>
        </a:p>
      </dsp:txBody>
      <dsp:txXfrm>
        <a:off x="3490126" y="6704235"/>
        <a:ext cx="1153015" cy="78630"/>
      </dsp:txXfrm>
    </dsp:sp>
    <dsp:sp modelId="{E499D8AD-D85B-B849-A13E-38E2C85D4646}">
      <dsp:nvSpPr>
        <dsp:cNvPr id="0" name=""/>
        <dsp:cNvSpPr/>
      </dsp:nvSpPr>
      <dsp:spPr>
        <a:xfrm rot="1692496">
          <a:off x="3329671" y="6821745"/>
          <a:ext cx="167984" cy="3265"/>
        </a:xfrm>
        <a:custGeom>
          <a:avLst/>
          <a:gdLst/>
          <a:ahLst/>
          <a:cxnLst/>
          <a:rect l="0" t="0" r="0" b="0"/>
          <a:pathLst>
            <a:path>
              <a:moveTo>
                <a:pt x="0" y="1632"/>
              </a:moveTo>
              <a:lnTo>
                <a:pt x="16798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409464" y="6819178"/>
        <a:ext cx="8399" cy="8399"/>
      </dsp:txXfrm>
    </dsp:sp>
    <dsp:sp modelId="{8FF38AF2-4B9D-6E46-A689-EFCC7FC13136}">
      <dsp:nvSpPr>
        <dsp:cNvPr id="0" name=""/>
        <dsp:cNvSpPr/>
      </dsp:nvSpPr>
      <dsp:spPr>
        <a:xfrm>
          <a:off x="3487680" y="6816090"/>
          <a:ext cx="1179875" cy="9397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Fit/capable to make decisions</a:t>
          </a:r>
        </a:p>
      </dsp:txBody>
      <dsp:txXfrm>
        <a:off x="3490433" y="6818843"/>
        <a:ext cx="1174369" cy="88473"/>
      </dsp:txXfrm>
    </dsp:sp>
    <dsp:sp modelId="{CAF0A0F3-0539-9846-927B-69BF6A4C9ACA}">
      <dsp:nvSpPr>
        <dsp:cNvPr id="0" name=""/>
        <dsp:cNvSpPr/>
      </dsp:nvSpPr>
      <dsp:spPr>
        <a:xfrm rot="20203575">
          <a:off x="4660999" y="6829610"/>
          <a:ext cx="161146" cy="3265"/>
        </a:xfrm>
        <a:custGeom>
          <a:avLst/>
          <a:gdLst/>
          <a:ahLst/>
          <a:cxnLst/>
          <a:rect l="0" t="0" r="0" b="0"/>
          <a:pathLst>
            <a:path>
              <a:moveTo>
                <a:pt x="0" y="1632"/>
              </a:moveTo>
              <a:lnTo>
                <a:pt x="161146"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737543" y="6827214"/>
        <a:ext cx="8057" cy="8057"/>
      </dsp:txXfrm>
    </dsp:sp>
    <dsp:sp modelId="{E22128B9-F134-6F4A-B576-11820965B55D}">
      <dsp:nvSpPr>
        <dsp:cNvPr id="0" name=""/>
        <dsp:cNvSpPr/>
      </dsp:nvSpPr>
      <dsp:spPr>
        <a:xfrm>
          <a:off x="4815589" y="6701789"/>
          <a:ext cx="759027" cy="19523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Graded responsibility</a:t>
          </a:r>
        </a:p>
      </dsp:txBody>
      <dsp:txXfrm>
        <a:off x="4821307" y="6707507"/>
        <a:ext cx="747591" cy="183798"/>
      </dsp:txXfrm>
    </dsp:sp>
    <dsp:sp modelId="{6D8ABA7C-34CA-564B-91D0-378837BD3C27}">
      <dsp:nvSpPr>
        <dsp:cNvPr id="0" name=""/>
        <dsp:cNvSpPr/>
      </dsp:nvSpPr>
      <dsp:spPr>
        <a:xfrm rot="5133014">
          <a:off x="-194714" y="7178845"/>
          <a:ext cx="1908014" cy="3265"/>
        </a:xfrm>
        <a:custGeom>
          <a:avLst/>
          <a:gdLst/>
          <a:ahLst/>
          <a:cxnLst/>
          <a:rect l="0" t="0" r="0" b="0"/>
          <a:pathLst>
            <a:path>
              <a:moveTo>
                <a:pt x="0" y="1632"/>
              </a:moveTo>
              <a:lnTo>
                <a:pt x="1908014" y="1632"/>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711592" y="7132777"/>
        <a:ext cx="95400" cy="95400"/>
      </dsp:txXfrm>
    </dsp:sp>
    <dsp:sp modelId="{9477E5BE-5C6B-DB4C-AE3B-C9B7E4CDBA2C}">
      <dsp:nvSpPr>
        <dsp:cNvPr id="0" name=""/>
        <dsp:cNvSpPr/>
      </dsp:nvSpPr>
      <dsp:spPr>
        <a:xfrm>
          <a:off x="833309" y="7960851"/>
          <a:ext cx="515230" cy="341517"/>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System</a:t>
          </a:r>
        </a:p>
      </dsp:txBody>
      <dsp:txXfrm>
        <a:off x="843312" y="7970854"/>
        <a:ext cx="495224" cy="321511"/>
      </dsp:txXfrm>
    </dsp:sp>
    <dsp:sp modelId="{118CCFA0-49B9-7E4F-BBAA-894B65210A33}">
      <dsp:nvSpPr>
        <dsp:cNvPr id="0" name=""/>
        <dsp:cNvSpPr/>
      </dsp:nvSpPr>
      <dsp:spPr>
        <a:xfrm rot="16882513">
          <a:off x="1047281" y="7762073"/>
          <a:ext cx="750550" cy="3265"/>
        </a:xfrm>
        <a:custGeom>
          <a:avLst/>
          <a:gdLst/>
          <a:ahLst/>
          <a:cxnLst/>
          <a:rect l="0" t="0" r="0" b="0"/>
          <a:pathLst>
            <a:path>
              <a:moveTo>
                <a:pt x="0" y="1632"/>
              </a:moveTo>
              <a:lnTo>
                <a:pt x="750550" y="1632"/>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1403793" y="7744942"/>
        <a:ext cx="37527" cy="37527"/>
      </dsp:txXfrm>
    </dsp:sp>
    <dsp:sp modelId="{96E045CD-A141-3046-BE9D-50FE4C690EB7}">
      <dsp:nvSpPr>
        <dsp:cNvPr id="0" name=""/>
        <dsp:cNvSpPr/>
      </dsp:nvSpPr>
      <dsp:spPr>
        <a:xfrm>
          <a:off x="1496573" y="7180533"/>
          <a:ext cx="603743" cy="430538"/>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Cognitive process impact</a:t>
          </a:r>
        </a:p>
      </dsp:txBody>
      <dsp:txXfrm>
        <a:off x="1509183" y="7193143"/>
        <a:ext cx="578523" cy="405318"/>
      </dsp:txXfrm>
    </dsp:sp>
    <dsp:sp modelId="{4BC010F5-5345-1743-945B-25133BF2B2AA}">
      <dsp:nvSpPr>
        <dsp:cNvPr id="0" name=""/>
        <dsp:cNvSpPr/>
      </dsp:nvSpPr>
      <dsp:spPr>
        <a:xfrm rot="17442757">
          <a:off x="1965058" y="7198420"/>
          <a:ext cx="418551" cy="3265"/>
        </a:xfrm>
        <a:custGeom>
          <a:avLst/>
          <a:gdLst/>
          <a:ahLst/>
          <a:cxnLst/>
          <a:rect l="0" t="0" r="0" b="0"/>
          <a:pathLst>
            <a:path>
              <a:moveTo>
                <a:pt x="0" y="1632"/>
              </a:moveTo>
              <a:lnTo>
                <a:pt x="418551"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163870" y="7189589"/>
        <a:ext cx="20927" cy="20927"/>
      </dsp:txXfrm>
    </dsp:sp>
    <dsp:sp modelId="{27A15EE9-AB67-114A-93A4-C6321D2FA731}">
      <dsp:nvSpPr>
        <dsp:cNvPr id="0" name=""/>
        <dsp:cNvSpPr/>
      </dsp:nvSpPr>
      <dsp:spPr>
        <a:xfrm>
          <a:off x="2248351" y="6930390"/>
          <a:ext cx="635367" cy="14782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Learn to analyse risk</a:t>
          </a:r>
        </a:p>
      </dsp:txBody>
      <dsp:txXfrm>
        <a:off x="2252681" y="6934720"/>
        <a:ext cx="626707" cy="139166"/>
      </dsp:txXfrm>
    </dsp:sp>
    <dsp:sp modelId="{5BACCDA2-ECD6-0745-9EBA-6960D57C6DE7}">
      <dsp:nvSpPr>
        <dsp:cNvPr id="0" name=""/>
        <dsp:cNvSpPr/>
      </dsp:nvSpPr>
      <dsp:spPr>
        <a:xfrm rot="429870">
          <a:off x="2883135" y="7011975"/>
          <a:ext cx="149198" cy="3265"/>
        </a:xfrm>
        <a:custGeom>
          <a:avLst/>
          <a:gdLst/>
          <a:ahLst/>
          <a:cxnLst/>
          <a:rect l="0" t="0" r="0" b="0"/>
          <a:pathLst>
            <a:path>
              <a:moveTo>
                <a:pt x="0" y="1632"/>
              </a:moveTo>
              <a:lnTo>
                <a:pt x="14919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954005" y="7009877"/>
        <a:ext cx="7459" cy="7459"/>
      </dsp:txXfrm>
    </dsp:sp>
    <dsp:sp modelId="{CCD63586-4018-2241-B1D2-F2D3490D8F8D}">
      <dsp:nvSpPr>
        <dsp:cNvPr id="0" name=""/>
        <dsp:cNvSpPr/>
      </dsp:nvSpPr>
      <dsp:spPr>
        <a:xfrm>
          <a:off x="3031751" y="6930390"/>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Experience risk</a:t>
          </a:r>
        </a:p>
      </dsp:txBody>
      <dsp:txXfrm>
        <a:off x="3037171" y="6935810"/>
        <a:ext cx="359243" cy="174201"/>
      </dsp:txXfrm>
    </dsp:sp>
    <dsp:sp modelId="{D95BD48D-F9BF-D047-9985-5EE5A80AE84A}">
      <dsp:nvSpPr>
        <dsp:cNvPr id="0" name=""/>
        <dsp:cNvSpPr/>
      </dsp:nvSpPr>
      <dsp:spPr>
        <a:xfrm rot="3275828">
          <a:off x="2829970" y="7106811"/>
          <a:ext cx="255528" cy="3265"/>
        </a:xfrm>
        <a:custGeom>
          <a:avLst/>
          <a:gdLst/>
          <a:ahLst/>
          <a:cxnLst/>
          <a:rect l="0" t="0" r="0" b="0"/>
          <a:pathLst>
            <a:path>
              <a:moveTo>
                <a:pt x="0" y="1632"/>
              </a:moveTo>
              <a:lnTo>
                <a:pt x="25552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951346" y="7102056"/>
        <a:ext cx="12776" cy="12776"/>
      </dsp:txXfrm>
    </dsp:sp>
    <dsp:sp modelId="{DBD12F6F-BA92-4847-B4FB-3A52E420D727}">
      <dsp:nvSpPr>
        <dsp:cNvPr id="0" name=""/>
        <dsp:cNvSpPr/>
      </dsp:nvSpPr>
      <dsp:spPr>
        <a:xfrm>
          <a:off x="3031751" y="7158991"/>
          <a:ext cx="915953" cy="107187"/>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Consequence learning </a:t>
          </a:r>
        </a:p>
      </dsp:txBody>
      <dsp:txXfrm>
        <a:off x="3034890" y="7162130"/>
        <a:ext cx="909675" cy="100909"/>
      </dsp:txXfrm>
    </dsp:sp>
    <dsp:sp modelId="{206A7BBA-80D0-3447-A1D2-04A76361AF49}">
      <dsp:nvSpPr>
        <dsp:cNvPr id="0" name=""/>
        <dsp:cNvSpPr/>
      </dsp:nvSpPr>
      <dsp:spPr>
        <a:xfrm rot="21592974">
          <a:off x="2100317" y="7394018"/>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170633" y="7391950"/>
        <a:ext cx="7401" cy="7401"/>
      </dsp:txXfrm>
    </dsp:sp>
    <dsp:sp modelId="{7EC23DDA-FC00-904A-8F3A-240654B49321}">
      <dsp:nvSpPr>
        <dsp:cNvPr id="0" name=""/>
        <dsp:cNvSpPr/>
      </dsp:nvSpPr>
      <dsp:spPr>
        <a:xfrm>
          <a:off x="2248351" y="7364831"/>
          <a:ext cx="942222" cy="61337"/>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Learn to sel- correct</a:t>
          </a:r>
        </a:p>
      </dsp:txBody>
      <dsp:txXfrm>
        <a:off x="2250147" y="7366627"/>
        <a:ext cx="938630" cy="57745"/>
      </dsp:txXfrm>
    </dsp:sp>
    <dsp:sp modelId="{847C0345-E480-784A-8D01-F535DA2844E3}">
      <dsp:nvSpPr>
        <dsp:cNvPr id="0" name=""/>
        <dsp:cNvSpPr/>
      </dsp:nvSpPr>
      <dsp:spPr>
        <a:xfrm>
          <a:off x="3190573" y="7393867"/>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260889" y="7391799"/>
        <a:ext cx="7401" cy="7401"/>
      </dsp:txXfrm>
    </dsp:sp>
    <dsp:sp modelId="{0DBB454F-EA32-D841-8B3F-F0405E94E8B3}">
      <dsp:nvSpPr>
        <dsp:cNvPr id="0" name=""/>
        <dsp:cNvSpPr/>
      </dsp:nvSpPr>
      <dsp:spPr>
        <a:xfrm>
          <a:off x="3338606" y="7351714"/>
          <a:ext cx="827777" cy="8757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3341171" y="7354279"/>
        <a:ext cx="822647" cy="82441"/>
      </dsp:txXfrm>
    </dsp:sp>
    <dsp:sp modelId="{E916A003-B8DA-D943-8EFA-59D49861E2C6}">
      <dsp:nvSpPr>
        <dsp:cNvPr id="0" name=""/>
        <dsp:cNvSpPr/>
      </dsp:nvSpPr>
      <dsp:spPr>
        <a:xfrm rot="3587306">
          <a:off x="2027240" y="7521284"/>
          <a:ext cx="294187" cy="3265"/>
        </a:xfrm>
        <a:custGeom>
          <a:avLst/>
          <a:gdLst/>
          <a:ahLst/>
          <a:cxnLst/>
          <a:rect l="0" t="0" r="0" b="0"/>
          <a:pathLst>
            <a:path>
              <a:moveTo>
                <a:pt x="0" y="1632"/>
              </a:moveTo>
              <a:lnTo>
                <a:pt x="294187"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166979" y="7515562"/>
        <a:ext cx="14709" cy="14709"/>
      </dsp:txXfrm>
    </dsp:sp>
    <dsp:sp modelId="{DB6B7C14-FCB2-344D-B9E6-7BD183485379}">
      <dsp:nvSpPr>
        <dsp:cNvPr id="0" name=""/>
        <dsp:cNvSpPr/>
      </dsp:nvSpPr>
      <dsp:spPr>
        <a:xfrm>
          <a:off x="2248351" y="7598510"/>
          <a:ext cx="931719" cy="10304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Be 'fit to think'</a:t>
          </a:r>
        </a:p>
      </dsp:txBody>
      <dsp:txXfrm>
        <a:off x="2251369" y="7601528"/>
        <a:ext cx="925683" cy="97006"/>
      </dsp:txXfrm>
    </dsp:sp>
    <dsp:sp modelId="{3691A3F1-876C-C940-8DF8-1F90A81189BD}">
      <dsp:nvSpPr>
        <dsp:cNvPr id="0" name=""/>
        <dsp:cNvSpPr/>
      </dsp:nvSpPr>
      <dsp:spPr>
        <a:xfrm rot="19714160">
          <a:off x="3167342" y="7603164"/>
          <a:ext cx="173489" cy="3265"/>
        </a:xfrm>
        <a:custGeom>
          <a:avLst/>
          <a:gdLst/>
          <a:ahLst/>
          <a:cxnLst/>
          <a:rect l="0" t="0" r="0" b="0"/>
          <a:pathLst>
            <a:path>
              <a:moveTo>
                <a:pt x="0" y="1632"/>
              </a:moveTo>
              <a:lnTo>
                <a:pt x="17348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249750" y="7600459"/>
        <a:ext cx="8674" cy="8674"/>
      </dsp:txXfrm>
    </dsp:sp>
    <dsp:sp modelId="{26512A1E-D860-8C41-A24B-6073446E2221}">
      <dsp:nvSpPr>
        <dsp:cNvPr id="0" name=""/>
        <dsp:cNvSpPr/>
      </dsp:nvSpPr>
      <dsp:spPr>
        <a:xfrm>
          <a:off x="3328104" y="7475494"/>
          <a:ext cx="682231" cy="16813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Clear decision-making</a:t>
          </a:r>
        </a:p>
      </dsp:txBody>
      <dsp:txXfrm>
        <a:off x="3333029" y="7480419"/>
        <a:ext cx="672381" cy="158286"/>
      </dsp:txXfrm>
    </dsp:sp>
    <dsp:sp modelId="{D2B1DAA6-0034-DA40-8906-9A0E47AD59F3}">
      <dsp:nvSpPr>
        <dsp:cNvPr id="0" name=""/>
        <dsp:cNvSpPr/>
      </dsp:nvSpPr>
      <dsp:spPr>
        <a:xfrm>
          <a:off x="4010335" y="7557930"/>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080650" y="7555861"/>
        <a:ext cx="7401" cy="7401"/>
      </dsp:txXfrm>
    </dsp:sp>
    <dsp:sp modelId="{9252F684-13A2-D14C-8E31-0330BB8093B2}">
      <dsp:nvSpPr>
        <dsp:cNvPr id="0" name=""/>
        <dsp:cNvSpPr/>
      </dsp:nvSpPr>
      <dsp:spPr>
        <a:xfrm>
          <a:off x="4158368" y="7467041"/>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Teamworking </a:t>
          </a:r>
        </a:p>
      </dsp:txBody>
      <dsp:txXfrm>
        <a:off x="4163788" y="7472461"/>
        <a:ext cx="359243" cy="174201"/>
      </dsp:txXfrm>
    </dsp:sp>
    <dsp:sp modelId="{04CE80BB-2E45-2C43-B2BA-DBA8FFE5B2E2}">
      <dsp:nvSpPr>
        <dsp:cNvPr id="0" name=""/>
        <dsp:cNvSpPr/>
      </dsp:nvSpPr>
      <dsp:spPr>
        <a:xfrm>
          <a:off x="4528452" y="7557930"/>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598768" y="7555861"/>
        <a:ext cx="7401" cy="7401"/>
      </dsp:txXfrm>
    </dsp:sp>
    <dsp:sp modelId="{FC4BDBF9-668E-7246-AA1C-75C1FAEC3468}">
      <dsp:nvSpPr>
        <dsp:cNvPr id="0" name=""/>
        <dsp:cNvSpPr/>
      </dsp:nvSpPr>
      <dsp:spPr>
        <a:xfrm>
          <a:off x="4676485" y="7467041"/>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4681905" y="7472461"/>
        <a:ext cx="359243" cy="174201"/>
      </dsp:txXfrm>
    </dsp:sp>
    <dsp:sp modelId="{96083FD8-2BD7-1447-A5F7-83348E94070D}">
      <dsp:nvSpPr>
        <dsp:cNvPr id="0" name=""/>
        <dsp:cNvSpPr/>
      </dsp:nvSpPr>
      <dsp:spPr>
        <a:xfrm rot="2076806">
          <a:off x="3164152" y="7699485"/>
          <a:ext cx="179869" cy="3265"/>
        </a:xfrm>
        <a:custGeom>
          <a:avLst/>
          <a:gdLst/>
          <a:ahLst/>
          <a:cxnLst/>
          <a:rect l="0" t="0" r="0" b="0"/>
          <a:pathLst>
            <a:path>
              <a:moveTo>
                <a:pt x="0" y="1632"/>
              </a:moveTo>
              <a:lnTo>
                <a:pt x="17986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249590" y="7696621"/>
        <a:ext cx="8993" cy="8993"/>
      </dsp:txXfrm>
    </dsp:sp>
    <dsp:sp modelId="{898A113D-64E8-2F47-9D63-E12264618225}">
      <dsp:nvSpPr>
        <dsp:cNvPr id="0" name=""/>
        <dsp:cNvSpPr/>
      </dsp:nvSpPr>
      <dsp:spPr>
        <a:xfrm>
          <a:off x="3328104" y="7679840"/>
          <a:ext cx="981332" cy="144728"/>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Maintain situation awareness</a:t>
          </a:r>
        </a:p>
      </dsp:txBody>
      <dsp:txXfrm>
        <a:off x="3332343" y="7684079"/>
        <a:ext cx="972854" cy="136250"/>
      </dsp:txXfrm>
    </dsp:sp>
    <dsp:sp modelId="{6F8AB504-61A1-BB4D-BB5A-54996189A86A}">
      <dsp:nvSpPr>
        <dsp:cNvPr id="0" name=""/>
        <dsp:cNvSpPr/>
      </dsp:nvSpPr>
      <dsp:spPr>
        <a:xfrm>
          <a:off x="4309436" y="7750571"/>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379752" y="7748503"/>
        <a:ext cx="7401" cy="7401"/>
      </dsp:txXfrm>
    </dsp:sp>
    <dsp:sp modelId="{8163E63B-977A-1C42-ADCF-FC1590064F06}">
      <dsp:nvSpPr>
        <dsp:cNvPr id="0" name=""/>
        <dsp:cNvSpPr/>
      </dsp:nvSpPr>
      <dsp:spPr>
        <a:xfrm>
          <a:off x="4457470" y="7693224"/>
          <a:ext cx="478485" cy="11796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4460925" y="7696679"/>
        <a:ext cx="471575" cy="111050"/>
      </dsp:txXfrm>
    </dsp:sp>
    <dsp:sp modelId="{5E102A16-85C3-2844-B82E-D80187B1441C}">
      <dsp:nvSpPr>
        <dsp:cNvPr id="0" name=""/>
        <dsp:cNvSpPr/>
      </dsp:nvSpPr>
      <dsp:spPr>
        <a:xfrm rot="1695778">
          <a:off x="1338521" y="8169769"/>
          <a:ext cx="168070" cy="3265"/>
        </a:xfrm>
        <a:custGeom>
          <a:avLst/>
          <a:gdLst/>
          <a:ahLst/>
          <a:cxnLst/>
          <a:rect l="0" t="0" r="0" b="0"/>
          <a:pathLst>
            <a:path>
              <a:moveTo>
                <a:pt x="0" y="1632"/>
              </a:moveTo>
              <a:lnTo>
                <a:pt x="168070" y="1632"/>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1418355" y="8167200"/>
        <a:ext cx="8403" cy="8403"/>
      </dsp:txXfrm>
    </dsp:sp>
    <dsp:sp modelId="{73B49C13-E2E7-8F46-85DE-D4C0819F2F5D}">
      <dsp:nvSpPr>
        <dsp:cNvPr id="0" name=""/>
        <dsp:cNvSpPr/>
      </dsp:nvSpPr>
      <dsp:spPr>
        <a:xfrm>
          <a:off x="1496573" y="7970462"/>
          <a:ext cx="603743" cy="48146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Test the system</a:t>
          </a:r>
        </a:p>
      </dsp:txBody>
      <dsp:txXfrm>
        <a:off x="1510675" y="7984564"/>
        <a:ext cx="575539" cy="453258"/>
      </dsp:txXfrm>
    </dsp:sp>
    <dsp:sp modelId="{08A1A81E-7925-ED46-B839-4ADE4F718E06}">
      <dsp:nvSpPr>
        <dsp:cNvPr id="0" name=""/>
        <dsp:cNvSpPr/>
      </dsp:nvSpPr>
      <dsp:spPr>
        <a:xfrm rot="17654993">
          <a:off x="1994120" y="8045249"/>
          <a:ext cx="360427" cy="3265"/>
        </a:xfrm>
        <a:custGeom>
          <a:avLst/>
          <a:gdLst/>
          <a:ahLst/>
          <a:cxnLst/>
          <a:rect l="0" t="0" r="0" b="0"/>
          <a:pathLst>
            <a:path>
              <a:moveTo>
                <a:pt x="0" y="1632"/>
              </a:moveTo>
              <a:lnTo>
                <a:pt x="360427"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165323" y="8037871"/>
        <a:ext cx="18021" cy="18021"/>
      </dsp:txXfrm>
    </dsp:sp>
    <dsp:sp modelId="{C6C92F45-BAA6-E847-9143-7D0625954F22}">
      <dsp:nvSpPr>
        <dsp:cNvPr id="0" name=""/>
        <dsp:cNvSpPr/>
      </dsp:nvSpPr>
      <dsp:spPr>
        <a:xfrm>
          <a:off x="2248351" y="7831389"/>
          <a:ext cx="370083" cy="10236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Process</a:t>
          </a:r>
        </a:p>
      </dsp:txBody>
      <dsp:txXfrm>
        <a:off x="2251349" y="7834387"/>
        <a:ext cx="364087" cy="96365"/>
      </dsp:txXfrm>
    </dsp:sp>
    <dsp:sp modelId="{1E9949D8-AAD5-7A4A-84DB-3C91B829980C}">
      <dsp:nvSpPr>
        <dsp:cNvPr id="0" name=""/>
        <dsp:cNvSpPr/>
      </dsp:nvSpPr>
      <dsp:spPr>
        <a:xfrm>
          <a:off x="2618434" y="7880937"/>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688750" y="7878869"/>
        <a:ext cx="7401" cy="7401"/>
      </dsp:txXfrm>
    </dsp:sp>
    <dsp:sp modelId="{4913396E-555E-064B-B8A2-6AD647F91C6A}">
      <dsp:nvSpPr>
        <dsp:cNvPr id="0" name=""/>
        <dsp:cNvSpPr/>
      </dsp:nvSpPr>
      <dsp:spPr>
        <a:xfrm>
          <a:off x="2766468" y="7852324"/>
          <a:ext cx="634941" cy="6049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2768240" y="7854096"/>
        <a:ext cx="631397" cy="56946"/>
      </dsp:txXfrm>
    </dsp:sp>
    <dsp:sp modelId="{5E9C6BFD-8508-A147-9725-B6850B137120}">
      <dsp:nvSpPr>
        <dsp:cNvPr id="0" name=""/>
        <dsp:cNvSpPr/>
      </dsp:nvSpPr>
      <dsp:spPr>
        <a:xfrm rot="18553001">
          <a:off x="2057266" y="8118861"/>
          <a:ext cx="234135" cy="3265"/>
        </a:xfrm>
        <a:custGeom>
          <a:avLst/>
          <a:gdLst/>
          <a:ahLst/>
          <a:cxnLst/>
          <a:rect l="0" t="0" r="0" b="0"/>
          <a:pathLst>
            <a:path>
              <a:moveTo>
                <a:pt x="0" y="1632"/>
              </a:moveTo>
              <a:lnTo>
                <a:pt x="23413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168480" y="8114641"/>
        <a:ext cx="11706" cy="11706"/>
      </dsp:txXfrm>
    </dsp:sp>
    <dsp:sp modelId="{815A5564-4766-2B49-9CEE-95C61A3E344F}">
      <dsp:nvSpPr>
        <dsp:cNvPr id="0" name=""/>
        <dsp:cNvSpPr/>
      </dsp:nvSpPr>
      <dsp:spPr>
        <a:xfrm>
          <a:off x="2248351" y="7961507"/>
          <a:ext cx="927481" cy="136575"/>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Equipment</a:t>
          </a:r>
        </a:p>
      </dsp:txBody>
      <dsp:txXfrm>
        <a:off x="2252351" y="7965507"/>
        <a:ext cx="919481" cy="128575"/>
      </dsp:txXfrm>
    </dsp:sp>
    <dsp:sp modelId="{0551646A-D616-2B4C-9DA3-9A73B8BF6D58}">
      <dsp:nvSpPr>
        <dsp:cNvPr id="0" name=""/>
        <dsp:cNvSpPr/>
      </dsp:nvSpPr>
      <dsp:spPr>
        <a:xfrm rot="20615833">
          <a:off x="3172692" y="8006374"/>
          <a:ext cx="154314" cy="3265"/>
        </a:xfrm>
        <a:custGeom>
          <a:avLst/>
          <a:gdLst/>
          <a:ahLst/>
          <a:cxnLst/>
          <a:rect l="0" t="0" r="0" b="0"/>
          <a:pathLst>
            <a:path>
              <a:moveTo>
                <a:pt x="0" y="1632"/>
              </a:moveTo>
              <a:lnTo>
                <a:pt x="154314"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245991" y="8004148"/>
        <a:ext cx="7715" cy="7715"/>
      </dsp:txXfrm>
    </dsp:sp>
    <dsp:sp modelId="{92A54882-3F68-4549-80DA-DB37FFB6776D}">
      <dsp:nvSpPr>
        <dsp:cNvPr id="0" name=""/>
        <dsp:cNvSpPr/>
      </dsp:nvSpPr>
      <dsp:spPr>
        <a:xfrm>
          <a:off x="3323866" y="7956390"/>
          <a:ext cx="882287" cy="59655"/>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3325613" y="7958137"/>
        <a:ext cx="878793" cy="56161"/>
      </dsp:txXfrm>
    </dsp:sp>
    <dsp:sp modelId="{9EE43694-665C-3544-BFFA-D78EA0C55765}">
      <dsp:nvSpPr>
        <dsp:cNvPr id="0" name=""/>
        <dsp:cNvSpPr/>
      </dsp:nvSpPr>
      <dsp:spPr>
        <a:xfrm rot="986934">
          <a:off x="3172674" y="8050015"/>
          <a:ext cx="154350" cy="3265"/>
        </a:xfrm>
        <a:custGeom>
          <a:avLst/>
          <a:gdLst/>
          <a:ahLst/>
          <a:cxnLst/>
          <a:rect l="0" t="0" r="0" b="0"/>
          <a:pathLst>
            <a:path>
              <a:moveTo>
                <a:pt x="0" y="1632"/>
              </a:moveTo>
              <a:lnTo>
                <a:pt x="154350"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245991" y="8047789"/>
        <a:ext cx="7717" cy="7717"/>
      </dsp:txXfrm>
    </dsp:sp>
    <dsp:sp modelId="{B4B2E633-F66B-E345-9112-598CC5E510F3}">
      <dsp:nvSpPr>
        <dsp:cNvPr id="0" name=""/>
        <dsp:cNvSpPr/>
      </dsp:nvSpPr>
      <dsp:spPr>
        <a:xfrm>
          <a:off x="3323866" y="8043802"/>
          <a:ext cx="870962" cy="5939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Procurement</a:t>
          </a:r>
        </a:p>
      </dsp:txBody>
      <dsp:txXfrm>
        <a:off x="3325606" y="8045542"/>
        <a:ext cx="867482" cy="55916"/>
      </dsp:txXfrm>
    </dsp:sp>
    <dsp:sp modelId="{E212E2FD-A1EF-514C-B31D-1D2D24E2EEAC}">
      <dsp:nvSpPr>
        <dsp:cNvPr id="0" name=""/>
        <dsp:cNvSpPr/>
      </dsp:nvSpPr>
      <dsp:spPr>
        <a:xfrm>
          <a:off x="4194829" y="8071868"/>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4265145" y="8069800"/>
        <a:ext cx="7401" cy="7401"/>
      </dsp:txXfrm>
    </dsp:sp>
    <dsp:sp modelId="{8C1A1D3C-E83B-E34D-96D8-ED3697561054}">
      <dsp:nvSpPr>
        <dsp:cNvPr id="0" name=""/>
        <dsp:cNvSpPr/>
      </dsp:nvSpPr>
      <dsp:spPr>
        <a:xfrm>
          <a:off x="4342862" y="7980979"/>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Cost effective</a:t>
          </a:r>
        </a:p>
      </dsp:txBody>
      <dsp:txXfrm>
        <a:off x="4348282" y="7986399"/>
        <a:ext cx="359243" cy="174201"/>
      </dsp:txXfrm>
    </dsp:sp>
    <dsp:sp modelId="{A8A05613-88F7-154E-B671-11B6BE545A84}">
      <dsp:nvSpPr>
        <dsp:cNvPr id="0" name=""/>
        <dsp:cNvSpPr/>
      </dsp:nvSpPr>
      <dsp:spPr>
        <a:xfrm rot="437974">
          <a:off x="2099712" y="8219042"/>
          <a:ext cx="149243" cy="3265"/>
        </a:xfrm>
        <a:custGeom>
          <a:avLst/>
          <a:gdLst/>
          <a:ahLst/>
          <a:cxnLst/>
          <a:rect l="0" t="0" r="0" b="0"/>
          <a:pathLst>
            <a:path>
              <a:moveTo>
                <a:pt x="0" y="1632"/>
              </a:moveTo>
              <a:lnTo>
                <a:pt x="14924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170603" y="8216944"/>
        <a:ext cx="7462" cy="7462"/>
      </dsp:txXfrm>
    </dsp:sp>
    <dsp:sp modelId="{BA17F2D1-5426-B446-8E2C-AF27B8375FB3}">
      <dsp:nvSpPr>
        <dsp:cNvPr id="0" name=""/>
        <dsp:cNvSpPr/>
      </dsp:nvSpPr>
      <dsp:spPr>
        <a:xfrm>
          <a:off x="2248351" y="8131169"/>
          <a:ext cx="641573" cy="19797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Environment</a:t>
          </a:r>
        </a:p>
      </dsp:txBody>
      <dsp:txXfrm>
        <a:off x="2254149" y="8136967"/>
        <a:ext cx="629977" cy="186378"/>
      </dsp:txXfrm>
    </dsp:sp>
    <dsp:sp modelId="{24A92763-5368-0F4B-B5C0-5C76585B13D7}">
      <dsp:nvSpPr>
        <dsp:cNvPr id="0" name=""/>
        <dsp:cNvSpPr/>
      </dsp:nvSpPr>
      <dsp:spPr>
        <a:xfrm rot="20619967">
          <a:off x="2886811" y="8206832"/>
          <a:ext cx="154259" cy="3265"/>
        </a:xfrm>
        <a:custGeom>
          <a:avLst/>
          <a:gdLst/>
          <a:ahLst/>
          <a:cxnLst/>
          <a:rect l="0" t="0" r="0" b="0"/>
          <a:pathLst>
            <a:path>
              <a:moveTo>
                <a:pt x="0" y="1632"/>
              </a:moveTo>
              <a:lnTo>
                <a:pt x="15425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960085" y="8204608"/>
        <a:ext cx="7712" cy="7712"/>
      </dsp:txXfrm>
    </dsp:sp>
    <dsp:sp modelId="{D623AC6D-EE58-104F-AD58-3D8D264A0217}">
      <dsp:nvSpPr>
        <dsp:cNvPr id="0" name=""/>
        <dsp:cNvSpPr/>
      </dsp:nvSpPr>
      <dsp:spPr>
        <a:xfrm rot="10800000" flipV="1">
          <a:off x="3037958" y="8130955"/>
          <a:ext cx="1121135" cy="111635"/>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rot="-10800000">
        <a:off x="3041228" y="8134225"/>
        <a:ext cx="1114595" cy="105095"/>
      </dsp:txXfrm>
    </dsp:sp>
    <dsp:sp modelId="{53EF34BE-061B-9C40-8F85-AFF86EB2D3C2}">
      <dsp:nvSpPr>
        <dsp:cNvPr id="0" name=""/>
        <dsp:cNvSpPr/>
      </dsp:nvSpPr>
      <dsp:spPr>
        <a:xfrm rot="1512699">
          <a:off x="2882131" y="8263371"/>
          <a:ext cx="163619" cy="3265"/>
        </a:xfrm>
        <a:custGeom>
          <a:avLst/>
          <a:gdLst/>
          <a:ahLst/>
          <a:cxnLst/>
          <a:rect l="0" t="0" r="0" b="0"/>
          <a:pathLst>
            <a:path>
              <a:moveTo>
                <a:pt x="0" y="1632"/>
              </a:moveTo>
              <a:lnTo>
                <a:pt x="16361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959851" y="8260914"/>
        <a:ext cx="8180" cy="8180"/>
      </dsp:txXfrm>
    </dsp:sp>
    <dsp:sp modelId="{066B16B2-DBCC-9143-BCE5-DD8FCA530BAC}">
      <dsp:nvSpPr>
        <dsp:cNvPr id="0" name=""/>
        <dsp:cNvSpPr/>
      </dsp:nvSpPr>
      <dsp:spPr>
        <a:xfrm rot="10800000" flipV="1">
          <a:off x="3037958" y="8270347"/>
          <a:ext cx="839087" cy="5900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Efficiency</a:t>
          </a:r>
        </a:p>
      </dsp:txBody>
      <dsp:txXfrm rot="-10800000">
        <a:off x="3039686" y="8272075"/>
        <a:ext cx="835631" cy="55553"/>
      </dsp:txXfrm>
    </dsp:sp>
    <dsp:sp modelId="{3550B190-9B5A-7B42-991C-BF73C50113E5}">
      <dsp:nvSpPr>
        <dsp:cNvPr id="0" name=""/>
        <dsp:cNvSpPr/>
      </dsp:nvSpPr>
      <dsp:spPr>
        <a:xfrm rot="3764313">
          <a:off x="2012743" y="8353203"/>
          <a:ext cx="323180" cy="3265"/>
        </a:xfrm>
        <a:custGeom>
          <a:avLst/>
          <a:gdLst/>
          <a:ahLst/>
          <a:cxnLst/>
          <a:rect l="0" t="0" r="0" b="0"/>
          <a:pathLst>
            <a:path>
              <a:moveTo>
                <a:pt x="0" y="1632"/>
              </a:moveTo>
              <a:lnTo>
                <a:pt x="323180"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166254" y="8346756"/>
        <a:ext cx="16159" cy="16159"/>
      </dsp:txXfrm>
    </dsp:sp>
    <dsp:sp modelId="{2470EF1E-7C4A-7E41-A644-AC6C0F8C9152}">
      <dsp:nvSpPr>
        <dsp:cNvPr id="0" name=""/>
        <dsp:cNvSpPr/>
      </dsp:nvSpPr>
      <dsp:spPr>
        <a:xfrm>
          <a:off x="2248351" y="8405956"/>
          <a:ext cx="370083" cy="18504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Staff/team</a:t>
          </a:r>
        </a:p>
      </dsp:txBody>
      <dsp:txXfrm>
        <a:off x="2253771" y="8411376"/>
        <a:ext cx="359243" cy="174201"/>
      </dsp:txXfrm>
    </dsp:sp>
    <dsp:sp modelId="{BE32E900-C34C-2042-82AB-ABDA2B534CE6}">
      <dsp:nvSpPr>
        <dsp:cNvPr id="0" name=""/>
        <dsp:cNvSpPr/>
      </dsp:nvSpPr>
      <dsp:spPr>
        <a:xfrm rot="20134107">
          <a:off x="2611155" y="8463220"/>
          <a:ext cx="162592" cy="3265"/>
        </a:xfrm>
        <a:custGeom>
          <a:avLst/>
          <a:gdLst/>
          <a:ahLst/>
          <a:cxnLst/>
          <a:rect l="0" t="0" r="0" b="0"/>
          <a:pathLst>
            <a:path>
              <a:moveTo>
                <a:pt x="0" y="1632"/>
              </a:moveTo>
              <a:lnTo>
                <a:pt x="162592"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688386" y="8460788"/>
        <a:ext cx="8129" cy="8129"/>
      </dsp:txXfrm>
    </dsp:sp>
    <dsp:sp modelId="{A5BA44B3-33E0-5146-929B-3A13D6A1CC1B}">
      <dsp:nvSpPr>
        <dsp:cNvPr id="0" name=""/>
        <dsp:cNvSpPr/>
      </dsp:nvSpPr>
      <dsp:spPr>
        <a:xfrm>
          <a:off x="2766468" y="8357113"/>
          <a:ext cx="634941" cy="14822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Highlight weakness</a:t>
          </a:r>
        </a:p>
      </dsp:txBody>
      <dsp:txXfrm>
        <a:off x="2770809" y="8361454"/>
        <a:ext cx="626259" cy="139547"/>
      </dsp:txXfrm>
    </dsp:sp>
    <dsp:sp modelId="{FA8A6937-E6C5-C448-A4A3-6498A102B45E}">
      <dsp:nvSpPr>
        <dsp:cNvPr id="0" name=""/>
        <dsp:cNvSpPr/>
      </dsp:nvSpPr>
      <dsp:spPr>
        <a:xfrm>
          <a:off x="3401410" y="8429596"/>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471726" y="8427527"/>
        <a:ext cx="7401" cy="7401"/>
      </dsp:txXfrm>
    </dsp:sp>
    <dsp:sp modelId="{F63AB57E-E033-3D43-8D3E-33EA47B0715E}">
      <dsp:nvSpPr>
        <dsp:cNvPr id="0" name=""/>
        <dsp:cNvSpPr/>
      </dsp:nvSpPr>
      <dsp:spPr>
        <a:xfrm>
          <a:off x="3549443" y="8357220"/>
          <a:ext cx="897793" cy="14801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Target training</a:t>
          </a:r>
        </a:p>
      </dsp:txBody>
      <dsp:txXfrm>
        <a:off x="3553778" y="8361555"/>
        <a:ext cx="889123" cy="139346"/>
      </dsp:txXfrm>
    </dsp:sp>
    <dsp:sp modelId="{D614AB8D-3529-0648-8ADF-6EE280E19378}">
      <dsp:nvSpPr>
        <dsp:cNvPr id="0" name=""/>
        <dsp:cNvSpPr/>
      </dsp:nvSpPr>
      <dsp:spPr>
        <a:xfrm rot="2011789">
          <a:off x="2603659" y="8545891"/>
          <a:ext cx="177583" cy="3265"/>
        </a:xfrm>
        <a:custGeom>
          <a:avLst/>
          <a:gdLst/>
          <a:ahLst/>
          <a:cxnLst/>
          <a:rect l="0" t="0" r="0" b="0"/>
          <a:pathLst>
            <a:path>
              <a:moveTo>
                <a:pt x="0" y="1632"/>
              </a:moveTo>
              <a:lnTo>
                <a:pt x="17758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688012" y="8543084"/>
        <a:ext cx="8879" cy="8879"/>
      </dsp:txXfrm>
    </dsp:sp>
    <dsp:sp modelId="{00C50B97-1E7B-5A42-A95E-F84FD0CB4654}">
      <dsp:nvSpPr>
        <dsp:cNvPr id="0" name=""/>
        <dsp:cNvSpPr/>
      </dsp:nvSpPr>
      <dsp:spPr>
        <a:xfrm>
          <a:off x="2766468" y="8553298"/>
          <a:ext cx="1092143" cy="8654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Enhance teamwork</a:t>
          </a:r>
        </a:p>
      </dsp:txBody>
      <dsp:txXfrm>
        <a:off x="2769003" y="8555833"/>
        <a:ext cx="1087073" cy="81474"/>
      </dsp:txXfrm>
    </dsp:sp>
    <dsp:sp modelId="{CDBA331F-CF21-C74B-B979-856B54774B1F}">
      <dsp:nvSpPr>
        <dsp:cNvPr id="0" name=""/>
        <dsp:cNvSpPr/>
      </dsp:nvSpPr>
      <dsp:spPr>
        <a:xfrm>
          <a:off x="3858611" y="8594937"/>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928927" y="8592869"/>
        <a:ext cx="7401" cy="7401"/>
      </dsp:txXfrm>
    </dsp:sp>
    <dsp:sp modelId="{46E9C41F-A492-7549-A87F-A338D127D06E}">
      <dsp:nvSpPr>
        <dsp:cNvPr id="0" name=""/>
        <dsp:cNvSpPr/>
      </dsp:nvSpPr>
      <dsp:spPr>
        <a:xfrm>
          <a:off x="4006645" y="8532993"/>
          <a:ext cx="970311" cy="12715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Collective competence</a:t>
          </a:r>
        </a:p>
      </dsp:txBody>
      <dsp:txXfrm>
        <a:off x="4010369" y="8536717"/>
        <a:ext cx="962863" cy="119705"/>
      </dsp:txXfrm>
    </dsp:sp>
    <dsp:sp modelId="{ACE46D27-510D-C143-96AF-FF7321C560C9}">
      <dsp:nvSpPr>
        <dsp:cNvPr id="0" name=""/>
        <dsp:cNvSpPr/>
      </dsp:nvSpPr>
      <dsp:spPr>
        <a:xfrm rot="4804164">
          <a:off x="993363" y="8552740"/>
          <a:ext cx="858387" cy="3265"/>
        </a:xfrm>
        <a:custGeom>
          <a:avLst/>
          <a:gdLst/>
          <a:ahLst/>
          <a:cxnLst/>
          <a:rect l="0" t="0" r="0" b="0"/>
          <a:pathLst>
            <a:path>
              <a:moveTo>
                <a:pt x="0" y="1632"/>
              </a:moveTo>
              <a:lnTo>
                <a:pt x="858387" y="1632"/>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1401097" y="8532913"/>
        <a:ext cx="42919" cy="42919"/>
      </dsp:txXfrm>
    </dsp:sp>
    <dsp:sp modelId="{A1BAFA46-49BD-6D48-945F-C3168502DFC5}">
      <dsp:nvSpPr>
        <dsp:cNvPr id="0" name=""/>
        <dsp:cNvSpPr/>
      </dsp:nvSpPr>
      <dsp:spPr>
        <a:xfrm>
          <a:off x="1496573" y="8871586"/>
          <a:ext cx="660133" cy="211099"/>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Learn from mistakes</a:t>
          </a:r>
        </a:p>
      </dsp:txBody>
      <dsp:txXfrm>
        <a:off x="1502756" y="8877769"/>
        <a:ext cx="647767" cy="198733"/>
      </dsp:txXfrm>
    </dsp:sp>
    <dsp:sp modelId="{57A4396C-3FFA-D44E-BDD8-48615AC672A8}">
      <dsp:nvSpPr>
        <dsp:cNvPr id="0" name=""/>
        <dsp:cNvSpPr/>
      </dsp:nvSpPr>
      <dsp:spPr>
        <a:xfrm rot="18067624">
          <a:off x="2087540" y="8852935"/>
          <a:ext cx="286366" cy="3265"/>
        </a:xfrm>
        <a:custGeom>
          <a:avLst/>
          <a:gdLst/>
          <a:ahLst/>
          <a:cxnLst/>
          <a:rect l="0" t="0" r="0" b="0"/>
          <a:pathLst>
            <a:path>
              <a:moveTo>
                <a:pt x="0" y="1632"/>
              </a:moveTo>
              <a:lnTo>
                <a:pt x="286366"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23564" y="8847409"/>
        <a:ext cx="14318" cy="14318"/>
      </dsp:txXfrm>
    </dsp:sp>
    <dsp:sp modelId="{C1152C6A-BF5E-4A4D-A0BB-F1A1982DB359}">
      <dsp:nvSpPr>
        <dsp:cNvPr id="0" name=""/>
        <dsp:cNvSpPr/>
      </dsp:nvSpPr>
      <dsp:spPr>
        <a:xfrm rot="10800000" flipV="1">
          <a:off x="2304740" y="8667598"/>
          <a:ext cx="1558400" cy="128803"/>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Meaningful exploration of SUIs</a:t>
          </a:r>
        </a:p>
      </dsp:txBody>
      <dsp:txXfrm rot="-10800000">
        <a:off x="2308513" y="8671371"/>
        <a:ext cx="1550854" cy="121257"/>
      </dsp:txXfrm>
    </dsp:sp>
    <dsp:sp modelId="{0C4172C7-9DB4-914D-A276-C13BEB1A600A}">
      <dsp:nvSpPr>
        <dsp:cNvPr id="0" name=""/>
        <dsp:cNvSpPr/>
      </dsp:nvSpPr>
      <dsp:spPr>
        <a:xfrm rot="20082415">
          <a:off x="2148859" y="8940527"/>
          <a:ext cx="163729" cy="3265"/>
        </a:xfrm>
        <a:custGeom>
          <a:avLst/>
          <a:gdLst/>
          <a:ahLst/>
          <a:cxnLst/>
          <a:rect l="0" t="0" r="0" b="0"/>
          <a:pathLst>
            <a:path>
              <a:moveTo>
                <a:pt x="0" y="1632"/>
              </a:moveTo>
              <a:lnTo>
                <a:pt x="163729"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26630" y="8938066"/>
        <a:ext cx="8186" cy="8186"/>
      </dsp:txXfrm>
    </dsp:sp>
    <dsp:sp modelId="{F320D9D0-7F01-1548-965D-40EF486C7BBC}">
      <dsp:nvSpPr>
        <dsp:cNvPr id="0" name=""/>
        <dsp:cNvSpPr/>
      </dsp:nvSpPr>
      <dsp:spPr>
        <a:xfrm>
          <a:off x="2304740" y="8824158"/>
          <a:ext cx="1329800" cy="16604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Practise never events safe environment</a:t>
          </a:r>
        </a:p>
      </dsp:txBody>
      <dsp:txXfrm>
        <a:off x="2309603" y="8829021"/>
        <a:ext cx="1320074" cy="156323"/>
      </dsp:txXfrm>
    </dsp:sp>
    <dsp:sp modelId="{4553EEA1-A8A8-7440-88DC-11EE28F2572D}">
      <dsp:nvSpPr>
        <dsp:cNvPr id="0" name=""/>
        <dsp:cNvSpPr/>
      </dsp:nvSpPr>
      <dsp:spPr>
        <a:xfrm>
          <a:off x="3634540" y="8905550"/>
          <a:ext cx="148033" cy="3265"/>
        </a:xfrm>
        <a:custGeom>
          <a:avLst/>
          <a:gdLst/>
          <a:ahLst/>
          <a:cxnLst/>
          <a:rect l="0" t="0" r="0" b="0"/>
          <a:pathLst>
            <a:path>
              <a:moveTo>
                <a:pt x="0" y="1632"/>
              </a:moveTo>
              <a:lnTo>
                <a:pt x="148033"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704856" y="8903482"/>
        <a:ext cx="7401" cy="7401"/>
      </dsp:txXfrm>
    </dsp:sp>
    <dsp:sp modelId="{989B0A97-4446-D448-A9AF-54FECBDCBC30}">
      <dsp:nvSpPr>
        <dsp:cNvPr id="0" name=""/>
        <dsp:cNvSpPr/>
      </dsp:nvSpPr>
      <dsp:spPr>
        <a:xfrm>
          <a:off x="3782574" y="8864268"/>
          <a:ext cx="1117331" cy="8582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3785088" y="8866782"/>
        <a:ext cx="1112303" cy="80801"/>
      </dsp:txXfrm>
    </dsp:sp>
    <dsp:sp modelId="{E27105C7-7281-C64A-9831-AAAB61B940CE}">
      <dsp:nvSpPr>
        <dsp:cNvPr id="0" name=""/>
        <dsp:cNvSpPr/>
      </dsp:nvSpPr>
      <dsp:spPr>
        <a:xfrm rot="3185985">
          <a:off x="2107449" y="9074084"/>
          <a:ext cx="246548" cy="3265"/>
        </a:xfrm>
        <a:custGeom>
          <a:avLst/>
          <a:gdLst/>
          <a:ahLst/>
          <a:cxnLst/>
          <a:rect l="0" t="0" r="0" b="0"/>
          <a:pathLst>
            <a:path>
              <a:moveTo>
                <a:pt x="0" y="1632"/>
              </a:moveTo>
              <a:lnTo>
                <a:pt x="246548"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2224560" y="9069552"/>
        <a:ext cx="12327" cy="12327"/>
      </dsp:txXfrm>
    </dsp:sp>
    <dsp:sp modelId="{1ED7ED7A-E93E-564E-9064-123818CF45F4}">
      <dsp:nvSpPr>
        <dsp:cNvPr id="0" name=""/>
        <dsp:cNvSpPr/>
      </dsp:nvSpPr>
      <dsp:spPr>
        <a:xfrm>
          <a:off x="2304740" y="9061919"/>
          <a:ext cx="872598" cy="224755"/>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Impact on complaints </a:t>
          </a:r>
        </a:p>
      </dsp:txBody>
      <dsp:txXfrm>
        <a:off x="2311323" y="9068502"/>
        <a:ext cx="859432" cy="211589"/>
      </dsp:txXfrm>
    </dsp:sp>
    <dsp:sp modelId="{D36CFD56-BD0E-B044-ADCE-6688BBC9DBA5}">
      <dsp:nvSpPr>
        <dsp:cNvPr id="0" name=""/>
        <dsp:cNvSpPr/>
      </dsp:nvSpPr>
      <dsp:spPr>
        <a:xfrm rot="19665653">
          <a:off x="3163848" y="9125982"/>
          <a:ext cx="175015" cy="3265"/>
        </a:xfrm>
        <a:custGeom>
          <a:avLst/>
          <a:gdLst/>
          <a:ahLst/>
          <a:cxnLst/>
          <a:rect l="0" t="0" r="0" b="0"/>
          <a:pathLst>
            <a:path>
              <a:moveTo>
                <a:pt x="0" y="1632"/>
              </a:moveTo>
              <a:lnTo>
                <a:pt x="175015"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246980" y="9123239"/>
        <a:ext cx="8750" cy="8750"/>
      </dsp:txXfrm>
    </dsp:sp>
    <dsp:sp modelId="{761A2CF9-A2B8-5340-B453-DC6238448CAE}">
      <dsp:nvSpPr>
        <dsp:cNvPr id="0" name=""/>
        <dsp:cNvSpPr/>
      </dsp:nvSpPr>
      <dsp:spPr>
        <a:xfrm rot="10800000" flipV="1">
          <a:off x="3325372" y="9017964"/>
          <a:ext cx="888737" cy="12593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rot="-10800000">
        <a:off x="3329061" y="9021653"/>
        <a:ext cx="881359" cy="118561"/>
      </dsp:txXfrm>
    </dsp:sp>
    <dsp:sp modelId="{5B2610B4-338E-5C45-891C-0C97C0F109A7}">
      <dsp:nvSpPr>
        <dsp:cNvPr id="0" name=""/>
        <dsp:cNvSpPr/>
      </dsp:nvSpPr>
      <dsp:spPr>
        <a:xfrm rot="1646097">
          <a:off x="3167960" y="9211088"/>
          <a:ext cx="166791" cy="3265"/>
        </a:xfrm>
        <a:custGeom>
          <a:avLst/>
          <a:gdLst/>
          <a:ahLst/>
          <a:cxnLst/>
          <a:rect l="0" t="0" r="0" b="0"/>
          <a:pathLst>
            <a:path>
              <a:moveTo>
                <a:pt x="0" y="1632"/>
              </a:moveTo>
              <a:lnTo>
                <a:pt x="166791" y="163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177800">
            <a:lnSpc>
              <a:spcPct val="90000"/>
            </a:lnSpc>
            <a:spcBef>
              <a:spcPct val="0"/>
            </a:spcBef>
            <a:spcAft>
              <a:spcPct val="35000"/>
            </a:spcAft>
            <a:buNone/>
          </a:pPr>
          <a:endParaRPr lang="en-US" sz="400" kern="1200"/>
        </a:p>
      </dsp:txBody>
      <dsp:txXfrm>
        <a:off x="3247186" y="9208551"/>
        <a:ext cx="8339" cy="8339"/>
      </dsp:txXfrm>
    </dsp:sp>
    <dsp:sp modelId="{4674158E-C081-394D-AF31-F101D99CD1CF}">
      <dsp:nvSpPr>
        <dsp:cNvPr id="0" name=""/>
        <dsp:cNvSpPr/>
      </dsp:nvSpPr>
      <dsp:spPr>
        <a:xfrm>
          <a:off x="3325372" y="9171659"/>
          <a:ext cx="1345935" cy="158969"/>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Patient satisfaction</a:t>
          </a:r>
        </a:p>
      </dsp:txBody>
      <dsp:txXfrm>
        <a:off x="3330028" y="9176315"/>
        <a:ext cx="1336623" cy="149657"/>
      </dsp:txXfrm>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F501C9-B0A6-6348-85BC-4473419961CA}">
      <dsp:nvSpPr>
        <dsp:cNvPr id="0" name=""/>
        <dsp:cNvSpPr/>
      </dsp:nvSpPr>
      <dsp:spPr>
        <a:xfrm>
          <a:off x="2331912" y="2445985"/>
          <a:ext cx="932462" cy="932462"/>
        </a:xfrm>
        <a:prstGeom prst="ellipse">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Culture &amp; hidden curriculum</a:t>
          </a:r>
        </a:p>
      </dsp:txBody>
      <dsp:txXfrm>
        <a:off x="2468468" y="2582541"/>
        <a:ext cx="659350" cy="659350"/>
      </dsp:txXfrm>
    </dsp:sp>
    <dsp:sp modelId="{2D13EBF4-D3D6-A840-B635-9D94FFFA2FB2}">
      <dsp:nvSpPr>
        <dsp:cNvPr id="0" name=""/>
        <dsp:cNvSpPr/>
      </dsp:nvSpPr>
      <dsp:spPr>
        <a:xfrm rot="16200000">
          <a:off x="2119183" y="1752223"/>
          <a:ext cx="1357919" cy="29605"/>
        </a:xfrm>
        <a:custGeom>
          <a:avLst/>
          <a:gdLst/>
          <a:ahLst/>
          <a:cxnLst/>
          <a:rect l="0" t="0" r="0" b="0"/>
          <a:pathLst>
            <a:path>
              <a:moveTo>
                <a:pt x="0" y="14802"/>
              </a:moveTo>
              <a:lnTo>
                <a:pt x="1357919"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64195" y="1733077"/>
        <a:ext cx="67895" cy="67895"/>
      </dsp:txXfrm>
    </dsp:sp>
    <dsp:sp modelId="{7DBB0311-E1DC-9C4C-864F-34E49214022F}">
      <dsp:nvSpPr>
        <dsp:cNvPr id="0" name=""/>
        <dsp:cNvSpPr/>
      </dsp:nvSpPr>
      <dsp:spPr>
        <a:xfrm>
          <a:off x="2331912" y="155603"/>
          <a:ext cx="932462" cy="932462"/>
        </a:xfrm>
        <a:prstGeom prst="ellipse">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Blame culture</a:t>
          </a:r>
        </a:p>
        <a:p>
          <a:pPr marL="57150" lvl="1" indent="-57150" algn="l" defTabSz="177800">
            <a:lnSpc>
              <a:spcPct val="90000"/>
            </a:lnSpc>
            <a:spcBef>
              <a:spcPct val="0"/>
            </a:spcBef>
            <a:spcAft>
              <a:spcPct val="15000"/>
            </a:spcAft>
            <a:buChar char="•"/>
          </a:pPr>
          <a:r>
            <a:rPr lang="en-US" sz="400" kern="1200"/>
            <a:t>Line of responsibility clearer when act &gt; inaction</a:t>
          </a:r>
        </a:p>
        <a:p>
          <a:pPr marL="57150" lvl="1" indent="-57150" algn="l" defTabSz="177800">
            <a:lnSpc>
              <a:spcPct val="90000"/>
            </a:lnSpc>
            <a:spcBef>
              <a:spcPct val="0"/>
            </a:spcBef>
            <a:spcAft>
              <a:spcPct val="15000"/>
            </a:spcAft>
            <a:buChar char="•"/>
          </a:pPr>
          <a:r>
            <a:rPr lang="en-US" sz="400" kern="1200"/>
            <a:t>Perceived sharing amongst peers of mistakes</a:t>
          </a:r>
        </a:p>
        <a:p>
          <a:pPr marL="57150" lvl="1" indent="-57150" algn="l" defTabSz="177800">
            <a:lnSpc>
              <a:spcPct val="90000"/>
            </a:lnSpc>
            <a:spcBef>
              <a:spcPct val="0"/>
            </a:spcBef>
            <a:spcAft>
              <a:spcPct val="15000"/>
            </a:spcAft>
            <a:buChar char="•"/>
          </a:pPr>
          <a:r>
            <a:rPr lang="en-US" sz="400" kern="1200"/>
            <a:t>Do not speak openly and honestly about mistakes</a:t>
          </a:r>
        </a:p>
      </dsp:txBody>
      <dsp:txXfrm>
        <a:off x="2468468" y="292159"/>
        <a:ext cx="659350" cy="659350"/>
      </dsp:txXfrm>
    </dsp:sp>
    <dsp:sp modelId="{6393443C-79F6-2542-879B-640FFAE2929E}">
      <dsp:nvSpPr>
        <dsp:cNvPr id="0" name=""/>
        <dsp:cNvSpPr/>
      </dsp:nvSpPr>
      <dsp:spPr>
        <a:xfrm rot="18000000">
          <a:off x="2703858" y="1926571"/>
          <a:ext cx="1309602" cy="29605"/>
        </a:xfrm>
        <a:custGeom>
          <a:avLst/>
          <a:gdLst/>
          <a:ahLst/>
          <a:cxnLst/>
          <a:rect l="0" t="0" r="0" b="0"/>
          <a:pathLst>
            <a:path>
              <a:moveTo>
                <a:pt x="0" y="14802"/>
              </a:moveTo>
              <a:lnTo>
                <a:pt x="1309602"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325919" y="1908634"/>
        <a:ext cx="65480" cy="65480"/>
      </dsp:txXfrm>
    </dsp:sp>
    <dsp:sp modelId="{F7A3F555-6697-9C46-99E3-AA53CD442625}">
      <dsp:nvSpPr>
        <dsp:cNvPr id="0" name=""/>
        <dsp:cNvSpPr/>
      </dsp:nvSpPr>
      <dsp:spPr>
        <a:xfrm>
          <a:off x="3381320" y="319850"/>
          <a:ext cx="1177970" cy="1124242"/>
        </a:xfrm>
        <a:prstGeom prst="ellipse">
          <a:avLst/>
        </a:prstGeom>
        <a:gradFill rotWithShape="0">
          <a:gsLst>
            <a:gs pos="0">
              <a:schemeClr val="accent3">
                <a:hueOff val="1022751"/>
                <a:satOff val="-1535"/>
                <a:lumOff val="-250"/>
                <a:alphaOff val="0"/>
                <a:tint val="100000"/>
                <a:shade val="100000"/>
                <a:satMod val="130000"/>
              </a:schemeClr>
            </a:gs>
            <a:gs pos="100000">
              <a:schemeClr val="accent3">
                <a:hueOff val="1022751"/>
                <a:satOff val="-1535"/>
                <a:lumOff val="-25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Failure to learn from mistakes</a:t>
          </a:r>
        </a:p>
        <a:p>
          <a:pPr marL="57150" lvl="1" indent="-57150" algn="l" defTabSz="177800">
            <a:lnSpc>
              <a:spcPct val="90000"/>
            </a:lnSpc>
            <a:spcBef>
              <a:spcPct val="0"/>
            </a:spcBef>
            <a:spcAft>
              <a:spcPct val="15000"/>
            </a:spcAft>
            <a:buChar char="•"/>
          </a:pPr>
          <a:r>
            <a:rPr lang="en-US" sz="400" kern="1200"/>
            <a:t>'Lurch crisis to crisis' 'decision to decision' no learning</a:t>
          </a:r>
        </a:p>
        <a:p>
          <a:pPr marL="57150" lvl="1" indent="-57150" algn="l" defTabSz="177800">
            <a:lnSpc>
              <a:spcPct val="90000"/>
            </a:lnSpc>
            <a:spcBef>
              <a:spcPct val="0"/>
            </a:spcBef>
            <a:spcAft>
              <a:spcPct val="15000"/>
            </a:spcAft>
            <a:buChar char="•"/>
          </a:pPr>
          <a:r>
            <a:rPr lang="en-US" sz="400" kern="1200"/>
            <a:t>Ashamed to share mistakes</a:t>
          </a:r>
        </a:p>
        <a:p>
          <a:pPr marL="57150" lvl="1" indent="-57150" algn="l" defTabSz="177800">
            <a:lnSpc>
              <a:spcPct val="90000"/>
            </a:lnSpc>
            <a:spcBef>
              <a:spcPct val="0"/>
            </a:spcBef>
            <a:spcAft>
              <a:spcPct val="15000"/>
            </a:spcAft>
            <a:buChar char="•"/>
          </a:pPr>
          <a:r>
            <a:rPr lang="en-US" sz="400" kern="1200"/>
            <a:t>Feel judged, defensive, exposed</a:t>
          </a:r>
        </a:p>
      </dsp:txBody>
      <dsp:txXfrm>
        <a:off x="3553830" y="484491"/>
        <a:ext cx="832950" cy="794960"/>
      </dsp:txXfrm>
    </dsp:sp>
    <dsp:sp modelId="{B69E3161-F1A2-F343-B5FE-D4064CFA1163}">
      <dsp:nvSpPr>
        <dsp:cNvPr id="0" name=""/>
        <dsp:cNvSpPr/>
      </dsp:nvSpPr>
      <dsp:spPr>
        <a:xfrm rot="19744731">
          <a:off x="3098128" y="2296342"/>
          <a:ext cx="1406986" cy="29605"/>
        </a:xfrm>
        <a:custGeom>
          <a:avLst/>
          <a:gdLst/>
          <a:ahLst/>
          <a:cxnLst/>
          <a:rect l="0" t="0" r="0" b="0"/>
          <a:pathLst>
            <a:path>
              <a:moveTo>
                <a:pt x="0" y="14802"/>
              </a:moveTo>
              <a:lnTo>
                <a:pt x="1406986"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766446" y="2275970"/>
        <a:ext cx="70349" cy="70349"/>
      </dsp:txXfrm>
    </dsp:sp>
    <dsp:sp modelId="{8BADE06C-9081-D440-AB63-7639135668F8}">
      <dsp:nvSpPr>
        <dsp:cNvPr id="0" name=""/>
        <dsp:cNvSpPr/>
      </dsp:nvSpPr>
      <dsp:spPr>
        <a:xfrm>
          <a:off x="4291505" y="978758"/>
          <a:ext cx="1377769" cy="1252633"/>
        </a:xfrm>
        <a:prstGeom prst="ellipse">
          <a:avLst/>
        </a:prstGeom>
        <a:gradFill rotWithShape="0">
          <a:gsLst>
            <a:gs pos="0">
              <a:schemeClr val="accent3">
                <a:hueOff val="2045503"/>
                <a:satOff val="-3069"/>
                <a:lumOff val="-499"/>
                <a:alphaOff val="0"/>
                <a:tint val="100000"/>
                <a:shade val="100000"/>
                <a:satMod val="130000"/>
              </a:schemeClr>
            </a:gs>
            <a:gs pos="100000">
              <a:schemeClr val="accent3">
                <a:hueOff val="2045503"/>
                <a:satOff val="-3069"/>
                <a:lumOff val="-499"/>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Sanitisation of the NHS</a:t>
          </a:r>
        </a:p>
        <a:p>
          <a:pPr marL="57150" lvl="1" indent="-57150" algn="l" defTabSz="177800">
            <a:lnSpc>
              <a:spcPct val="90000"/>
            </a:lnSpc>
            <a:spcBef>
              <a:spcPct val="0"/>
            </a:spcBef>
            <a:spcAft>
              <a:spcPct val="15000"/>
            </a:spcAft>
            <a:buChar char="•"/>
          </a:pPr>
          <a:r>
            <a:rPr lang="en-US" sz="400" kern="1200"/>
            <a:t>Use of professional terms (mortality) and statistics</a:t>
          </a:r>
        </a:p>
        <a:p>
          <a:pPr marL="57150" lvl="1" indent="-57150" algn="l" defTabSz="177800">
            <a:lnSpc>
              <a:spcPct val="90000"/>
            </a:lnSpc>
            <a:spcBef>
              <a:spcPct val="0"/>
            </a:spcBef>
            <a:spcAft>
              <a:spcPct val="15000"/>
            </a:spcAft>
            <a:buChar char="•"/>
          </a:pPr>
          <a:r>
            <a:rPr lang="en-US" sz="400" kern="1200"/>
            <a:t>Detatchment from patients</a:t>
          </a:r>
        </a:p>
        <a:p>
          <a:pPr marL="57150" lvl="1" indent="-57150" algn="l" defTabSz="177800">
            <a:lnSpc>
              <a:spcPct val="90000"/>
            </a:lnSpc>
            <a:spcBef>
              <a:spcPct val="0"/>
            </a:spcBef>
            <a:spcAft>
              <a:spcPct val="15000"/>
            </a:spcAft>
            <a:buChar char="•"/>
          </a:pPr>
          <a:r>
            <a:rPr lang="en-US" sz="400" kern="1200"/>
            <a:t>Dehumanise patients </a:t>
          </a:r>
        </a:p>
        <a:p>
          <a:pPr marL="57150" lvl="1" indent="-57150" algn="l" defTabSz="177800">
            <a:lnSpc>
              <a:spcPct val="90000"/>
            </a:lnSpc>
            <a:spcBef>
              <a:spcPct val="0"/>
            </a:spcBef>
            <a:spcAft>
              <a:spcPct val="15000"/>
            </a:spcAft>
            <a:buChar char="•"/>
          </a:pPr>
          <a:r>
            <a:rPr lang="en-US" sz="400" kern="1200"/>
            <a:t>Morale low - effect on empathy</a:t>
          </a:r>
        </a:p>
      </dsp:txBody>
      <dsp:txXfrm>
        <a:off x="4493275" y="1162202"/>
        <a:ext cx="974229" cy="885745"/>
      </dsp:txXfrm>
    </dsp:sp>
    <dsp:sp modelId="{5E736A4E-488C-C04A-A302-48BA71AED351}">
      <dsp:nvSpPr>
        <dsp:cNvPr id="0" name=""/>
        <dsp:cNvSpPr/>
      </dsp:nvSpPr>
      <dsp:spPr>
        <a:xfrm rot="21534201">
          <a:off x="3264173" y="2876373"/>
          <a:ext cx="1266299" cy="29605"/>
        </a:xfrm>
        <a:custGeom>
          <a:avLst/>
          <a:gdLst/>
          <a:ahLst/>
          <a:cxnLst/>
          <a:rect l="0" t="0" r="0" b="0"/>
          <a:pathLst>
            <a:path>
              <a:moveTo>
                <a:pt x="0" y="14802"/>
              </a:moveTo>
              <a:lnTo>
                <a:pt x="1266299"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865665" y="2859518"/>
        <a:ext cx="63314" cy="63314"/>
      </dsp:txXfrm>
    </dsp:sp>
    <dsp:sp modelId="{8B17FC50-09AE-4240-A810-011D77C45A75}">
      <dsp:nvSpPr>
        <dsp:cNvPr id="0" name=""/>
        <dsp:cNvSpPr/>
      </dsp:nvSpPr>
      <dsp:spPr>
        <a:xfrm>
          <a:off x="4530248" y="2245994"/>
          <a:ext cx="1224426" cy="1242693"/>
        </a:xfrm>
        <a:prstGeom prst="ellipse">
          <a:avLst/>
        </a:prstGeom>
        <a:gradFill rotWithShape="0">
          <a:gsLst>
            <a:gs pos="0">
              <a:schemeClr val="accent3">
                <a:hueOff val="3068254"/>
                <a:satOff val="-4604"/>
                <a:lumOff val="-749"/>
                <a:alphaOff val="0"/>
                <a:tint val="100000"/>
                <a:shade val="100000"/>
                <a:satMod val="130000"/>
              </a:schemeClr>
            </a:gs>
            <a:gs pos="100000">
              <a:schemeClr val="accent3">
                <a:hueOff val="3068254"/>
                <a:satOff val="-4604"/>
                <a:lumOff val="-749"/>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Knowledge as currency</a:t>
          </a:r>
        </a:p>
        <a:p>
          <a:pPr marL="57150" lvl="1" indent="-57150" algn="l" defTabSz="177800">
            <a:lnSpc>
              <a:spcPct val="90000"/>
            </a:lnSpc>
            <a:spcBef>
              <a:spcPct val="0"/>
            </a:spcBef>
            <a:spcAft>
              <a:spcPct val="15000"/>
            </a:spcAft>
            <a:buChar char="•"/>
          </a:pPr>
          <a:r>
            <a:rPr lang="en-US" sz="400" kern="1200"/>
            <a:t>Knowledge rewarded over other skills</a:t>
          </a:r>
        </a:p>
        <a:p>
          <a:pPr marL="57150" lvl="1" indent="-57150" algn="l" defTabSz="177800">
            <a:lnSpc>
              <a:spcPct val="90000"/>
            </a:lnSpc>
            <a:spcBef>
              <a:spcPct val="0"/>
            </a:spcBef>
            <a:spcAft>
              <a:spcPct val="15000"/>
            </a:spcAft>
            <a:buChar char="•"/>
          </a:pPr>
          <a:r>
            <a:rPr lang="en-US" sz="400" kern="1200"/>
            <a:t>Juniors feel enough knowledge will not make mistake</a:t>
          </a:r>
        </a:p>
        <a:p>
          <a:pPr marL="57150" lvl="1" indent="-57150" algn="l" defTabSz="177800">
            <a:lnSpc>
              <a:spcPct val="90000"/>
            </a:lnSpc>
            <a:spcBef>
              <a:spcPct val="0"/>
            </a:spcBef>
            <a:spcAft>
              <a:spcPct val="15000"/>
            </a:spcAft>
            <a:buChar char="•"/>
          </a:pPr>
          <a:r>
            <a:rPr lang="en-US" sz="400" kern="1200"/>
            <a:t>Uncomfortable with uncertainty</a:t>
          </a:r>
        </a:p>
        <a:p>
          <a:pPr marL="57150" lvl="1" indent="-57150" algn="l" defTabSz="177800">
            <a:lnSpc>
              <a:spcPct val="90000"/>
            </a:lnSpc>
            <a:spcBef>
              <a:spcPct val="0"/>
            </a:spcBef>
            <a:spcAft>
              <a:spcPct val="15000"/>
            </a:spcAft>
            <a:buChar char="•"/>
          </a:pPr>
          <a:r>
            <a:rPr lang="en-US" sz="400" kern="1200"/>
            <a:t>Work harder, know more will not make mistake</a:t>
          </a:r>
        </a:p>
      </dsp:txBody>
      <dsp:txXfrm>
        <a:off x="4709561" y="2427982"/>
        <a:ext cx="865800" cy="878717"/>
      </dsp:txXfrm>
    </dsp:sp>
    <dsp:sp modelId="{CB833A1B-2060-074E-816B-CA09A0FA9C18}">
      <dsp:nvSpPr>
        <dsp:cNvPr id="0" name=""/>
        <dsp:cNvSpPr/>
      </dsp:nvSpPr>
      <dsp:spPr>
        <a:xfrm rot="1835391">
          <a:off x="3101943" y="3491369"/>
          <a:ext cx="1401859" cy="29605"/>
        </a:xfrm>
        <a:custGeom>
          <a:avLst/>
          <a:gdLst/>
          <a:ahLst/>
          <a:cxnLst/>
          <a:rect l="0" t="0" r="0" b="0"/>
          <a:pathLst>
            <a:path>
              <a:moveTo>
                <a:pt x="0" y="14802"/>
              </a:moveTo>
              <a:lnTo>
                <a:pt x="1401859"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767826" y="3471126"/>
        <a:ext cx="70092" cy="70092"/>
      </dsp:txXfrm>
    </dsp:sp>
    <dsp:sp modelId="{B2A651FF-993C-C04C-9E32-C4668F95C831}">
      <dsp:nvSpPr>
        <dsp:cNvPr id="0" name=""/>
        <dsp:cNvSpPr/>
      </dsp:nvSpPr>
      <dsp:spPr>
        <a:xfrm>
          <a:off x="4309450" y="3537300"/>
          <a:ext cx="1359829" cy="1340555"/>
        </a:xfrm>
        <a:prstGeom prst="ellipse">
          <a:avLst/>
        </a:prstGeom>
        <a:gradFill rotWithShape="0">
          <a:gsLst>
            <a:gs pos="0">
              <a:schemeClr val="accent3">
                <a:hueOff val="4091005"/>
                <a:satOff val="-6138"/>
                <a:lumOff val="-998"/>
                <a:alphaOff val="0"/>
                <a:tint val="100000"/>
                <a:shade val="100000"/>
                <a:satMod val="130000"/>
              </a:schemeClr>
            </a:gs>
            <a:gs pos="100000">
              <a:schemeClr val="accent3">
                <a:hueOff val="4091005"/>
                <a:satOff val="-6138"/>
                <a:lumOff val="-998"/>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Hierarchy</a:t>
          </a:r>
        </a:p>
        <a:p>
          <a:pPr marL="57150" lvl="1" indent="-57150" algn="l" defTabSz="177800">
            <a:lnSpc>
              <a:spcPct val="90000"/>
            </a:lnSpc>
            <a:spcBef>
              <a:spcPct val="0"/>
            </a:spcBef>
            <a:spcAft>
              <a:spcPct val="15000"/>
            </a:spcAft>
            <a:buChar char="•"/>
          </a:pPr>
          <a:r>
            <a:rPr lang="en-US" sz="400" kern="1200"/>
            <a:t>Concern over 'bothering seniors'</a:t>
          </a:r>
        </a:p>
        <a:p>
          <a:pPr marL="57150" lvl="1" indent="-57150" algn="l" defTabSz="177800">
            <a:lnSpc>
              <a:spcPct val="90000"/>
            </a:lnSpc>
            <a:spcBef>
              <a:spcPct val="0"/>
            </a:spcBef>
            <a:spcAft>
              <a:spcPct val="15000"/>
            </a:spcAft>
            <a:buChar char="•"/>
          </a:pPr>
          <a:r>
            <a:rPr lang="en-US" sz="400" kern="1200"/>
            <a:t>Anxiety about how busy senior team is</a:t>
          </a:r>
        </a:p>
        <a:p>
          <a:pPr marL="57150" lvl="1" indent="-57150" algn="l" defTabSz="177800">
            <a:lnSpc>
              <a:spcPct val="90000"/>
            </a:lnSpc>
            <a:spcBef>
              <a:spcPct val="0"/>
            </a:spcBef>
            <a:spcAft>
              <a:spcPct val="15000"/>
            </a:spcAft>
            <a:buChar char="•"/>
          </a:pPr>
          <a:r>
            <a:rPr lang="en-US" sz="400" kern="1200"/>
            <a:t>Concern over loss of pride &amp; respect from team</a:t>
          </a:r>
        </a:p>
        <a:p>
          <a:pPr marL="57150" lvl="1" indent="-57150" algn="l" defTabSz="177800">
            <a:lnSpc>
              <a:spcPct val="90000"/>
            </a:lnSpc>
            <a:spcBef>
              <a:spcPct val="0"/>
            </a:spcBef>
            <a:spcAft>
              <a:spcPct val="15000"/>
            </a:spcAft>
            <a:buChar char="•"/>
          </a:pPr>
          <a:r>
            <a:rPr lang="en-US" sz="400" kern="1200"/>
            <a:t>Threatened by perceived judgemental behaviour - errors &amp; mistakes</a:t>
          </a:r>
        </a:p>
        <a:p>
          <a:pPr marL="57150" lvl="1" indent="-57150" algn="l" defTabSz="177800">
            <a:lnSpc>
              <a:spcPct val="90000"/>
            </a:lnSpc>
            <a:spcBef>
              <a:spcPct val="0"/>
            </a:spcBef>
            <a:spcAft>
              <a:spcPct val="15000"/>
            </a:spcAft>
            <a:buChar char="•"/>
          </a:pPr>
          <a:r>
            <a:rPr lang="en-US" sz="400" kern="1200"/>
            <a:t>Unclear expectations</a:t>
          </a:r>
        </a:p>
        <a:p>
          <a:pPr marL="57150" lvl="1" indent="-57150" algn="l" defTabSz="177800">
            <a:lnSpc>
              <a:spcPct val="90000"/>
            </a:lnSpc>
            <a:spcBef>
              <a:spcPct val="0"/>
            </a:spcBef>
            <a:spcAft>
              <a:spcPct val="15000"/>
            </a:spcAft>
            <a:buChar char="•"/>
          </a:pPr>
          <a:r>
            <a:rPr lang="en-US" sz="400" kern="1200"/>
            <a:t>Unable to access hierarchy</a:t>
          </a:r>
        </a:p>
      </dsp:txBody>
      <dsp:txXfrm>
        <a:off x="4508592" y="3733620"/>
        <a:ext cx="961545" cy="947915"/>
      </dsp:txXfrm>
    </dsp:sp>
    <dsp:sp modelId="{C238ED0B-0168-844C-B13A-99302979067E}">
      <dsp:nvSpPr>
        <dsp:cNvPr id="0" name=""/>
        <dsp:cNvSpPr/>
      </dsp:nvSpPr>
      <dsp:spPr>
        <a:xfrm rot="3600000">
          <a:off x="2699639" y="3875563"/>
          <a:ext cx="1326476" cy="29605"/>
        </a:xfrm>
        <a:custGeom>
          <a:avLst/>
          <a:gdLst/>
          <a:ahLst/>
          <a:cxnLst/>
          <a:rect l="0" t="0" r="0" b="0"/>
          <a:pathLst>
            <a:path>
              <a:moveTo>
                <a:pt x="0" y="14802"/>
              </a:moveTo>
              <a:lnTo>
                <a:pt x="1326476"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329716" y="3857204"/>
        <a:ext cx="66323" cy="66323"/>
      </dsp:txXfrm>
    </dsp:sp>
    <dsp:sp modelId="{4AE4858A-387E-7241-9DC4-466766DD1C28}">
      <dsp:nvSpPr>
        <dsp:cNvPr id="0" name=""/>
        <dsp:cNvSpPr/>
      </dsp:nvSpPr>
      <dsp:spPr>
        <a:xfrm>
          <a:off x="3417817" y="4391134"/>
          <a:ext cx="1104977" cy="1102655"/>
        </a:xfrm>
        <a:prstGeom prst="ellipse">
          <a:avLst/>
        </a:prstGeom>
        <a:gradFill rotWithShape="0">
          <a:gsLst>
            <a:gs pos="0">
              <a:schemeClr val="accent3">
                <a:hueOff val="5113756"/>
                <a:satOff val="-7673"/>
                <a:lumOff val="-1248"/>
                <a:alphaOff val="0"/>
                <a:tint val="100000"/>
                <a:shade val="100000"/>
                <a:satMod val="130000"/>
              </a:schemeClr>
            </a:gs>
            <a:gs pos="100000">
              <a:schemeClr val="accent3">
                <a:hueOff val="5113756"/>
                <a:satOff val="-7673"/>
                <a:lumOff val="-1248"/>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Ethical erosion</a:t>
          </a:r>
        </a:p>
        <a:p>
          <a:pPr marL="57150" lvl="1" indent="-57150" algn="l" defTabSz="177800">
            <a:lnSpc>
              <a:spcPct val="90000"/>
            </a:lnSpc>
            <a:spcBef>
              <a:spcPct val="0"/>
            </a:spcBef>
            <a:spcAft>
              <a:spcPct val="15000"/>
            </a:spcAft>
            <a:buChar char="•"/>
          </a:pPr>
          <a:r>
            <a:rPr lang="en-US" sz="400" kern="1200"/>
            <a:t>Juniors lack of belonging/ team/ support/mentorship</a:t>
          </a:r>
        </a:p>
        <a:p>
          <a:pPr marL="57150" lvl="1" indent="-57150" algn="l" defTabSz="177800">
            <a:lnSpc>
              <a:spcPct val="90000"/>
            </a:lnSpc>
            <a:spcBef>
              <a:spcPct val="0"/>
            </a:spcBef>
            <a:spcAft>
              <a:spcPct val="15000"/>
            </a:spcAft>
            <a:buChar char="•"/>
          </a:pPr>
          <a:r>
            <a:rPr lang="en-US" sz="400" kern="1200"/>
            <a:t>Unclear line of responsibility - shift system</a:t>
          </a:r>
        </a:p>
        <a:p>
          <a:pPr marL="57150" lvl="1" indent="-57150" algn="l" defTabSz="177800">
            <a:lnSpc>
              <a:spcPct val="90000"/>
            </a:lnSpc>
            <a:spcBef>
              <a:spcPct val="0"/>
            </a:spcBef>
            <a:spcAft>
              <a:spcPct val="15000"/>
            </a:spcAft>
            <a:buChar char="•"/>
          </a:pPr>
          <a:r>
            <a:rPr lang="en-US" sz="400" kern="1200"/>
            <a:t>Lack of responsibility</a:t>
          </a:r>
        </a:p>
        <a:p>
          <a:pPr marL="57150" lvl="1" indent="-57150" algn="l" defTabSz="177800">
            <a:lnSpc>
              <a:spcPct val="90000"/>
            </a:lnSpc>
            <a:spcBef>
              <a:spcPct val="0"/>
            </a:spcBef>
            <a:spcAft>
              <a:spcPct val="15000"/>
            </a:spcAft>
            <a:buChar char="•"/>
          </a:pPr>
          <a:r>
            <a:rPr lang="en-US" sz="400" kern="1200"/>
            <a:t>Disconnect with patients</a:t>
          </a:r>
        </a:p>
        <a:p>
          <a:pPr marL="57150" lvl="1" indent="-57150" algn="l" defTabSz="177800">
            <a:lnSpc>
              <a:spcPct val="90000"/>
            </a:lnSpc>
            <a:spcBef>
              <a:spcPct val="0"/>
            </a:spcBef>
            <a:spcAft>
              <a:spcPct val="15000"/>
            </a:spcAft>
            <a:buChar char="•"/>
          </a:pPr>
          <a:r>
            <a:rPr lang="en-US" sz="400" kern="1200"/>
            <a:t>Less empathy</a:t>
          </a:r>
        </a:p>
        <a:p>
          <a:pPr marL="57150" lvl="1" indent="-57150" algn="l" defTabSz="177800">
            <a:lnSpc>
              <a:spcPct val="90000"/>
            </a:lnSpc>
            <a:spcBef>
              <a:spcPct val="0"/>
            </a:spcBef>
            <a:spcAft>
              <a:spcPct val="15000"/>
            </a:spcAft>
            <a:buChar char="•"/>
          </a:pPr>
          <a:r>
            <a:rPr lang="en-US" sz="400" kern="1200"/>
            <a:t>Low morale</a:t>
          </a:r>
        </a:p>
      </dsp:txBody>
      <dsp:txXfrm>
        <a:off x="3579637" y="4552614"/>
        <a:ext cx="781337" cy="779695"/>
      </dsp:txXfrm>
    </dsp:sp>
    <dsp:sp modelId="{F361269E-BD3B-7145-91D5-DF1BC505D2E6}">
      <dsp:nvSpPr>
        <dsp:cNvPr id="0" name=""/>
        <dsp:cNvSpPr/>
      </dsp:nvSpPr>
      <dsp:spPr>
        <a:xfrm rot="5400000">
          <a:off x="2205862" y="3955926"/>
          <a:ext cx="1184561" cy="29605"/>
        </a:xfrm>
        <a:custGeom>
          <a:avLst/>
          <a:gdLst/>
          <a:ahLst/>
          <a:cxnLst/>
          <a:rect l="0" t="0" r="0" b="0"/>
          <a:pathLst>
            <a:path>
              <a:moveTo>
                <a:pt x="0" y="14802"/>
              </a:moveTo>
              <a:lnTo>
                <a:pt x="1184561"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68529" y="3941115"/>
        <a:ext cx="59228" cy="59228"/>
      </dsp:txXfrm>
    </dsp:sp>
    <dsp:sp modelId="{B0459488-DEB1-184D-8522-6DC8A7816320}">
      <dsp:nvSpPr>
        <dsp:cNvPr id="0" name=""/>
        <dsp:cNvSpPr/>
      </dsp:nvSpPr>
      <dsp:spPr>
        <a:xfrm>
          <a:off x="2182195" y="4563009"/>
          <a:ext cx="1231895" cy="1239373"/>
        </a:xfrm>
        <a:prstGeom prst="ellipse">
          <a:avLst/>
        </a:prstGeom>
        <a:gradFill rotWithShape="0">
          <a:gsLst>
            <a:gs pos="0">
              <a:schemeClr val="accent3">
                <a:hueOff val="6136507"/>
                <a:satOff val="-9207"/>
                <a:lumOff val="-1497"/>
                <a:alphaOff val="0"/>
                <a:tint val="100000"/>
                <a:shade val="100000"/>
                <a:satMod val="130000"/>
              </a:schemeClr>
            </a:gs>
            <a:gs pos="100000">
              <a:schemeClr val="accent3">
                <a:hueOff val="6136507"/>
                <a:satOff val="-9207"/>
                <a:lumOff val="-1497"/>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Failure to recognise human falibility</a:t>
          </a:r>
        </a:p>
        <a:p>
          <a:pPr marL="57150" lvl="1" indent="-57150" algn="l" defTabSz="177800">
            <a:lnSpc>
              <a:spcPct val="90000"/>
            </a:lnSpc>
            <a:spcBef>
              <a:spcPct val="0"/>
            </a:spcBef>
            <a:spcAft>
              <a:spcPct val="15000"/>
            </a:spcAft>
            <a:buChar char="•"/>
          </a:pPr>
          <a:r>
            <a:rPr lang="en-US" sz="400" kern="1200"/>
            <a:t>Intolerance of error</a:t>
          </a:r>
        </a:p>
        <a:p>
          <a:pPr marL="57150" lvl="1" indent="-57150" algn="l" defTabSz="177800">
            <a:lnSpc>
              <a:spcPct val="90000"/>
            </a:lnSpc>
            <a:spcBef>
              <a:spcPct val="0"/>
            </a:spcBef>
            <a:spcAft>
              <a:spcPct val="15000"/>
            </a:spcAft>
            <a:buChar char="•"/>
          </a:pPr>
          <a:r>
            <a:rPr lang="en-US" sz="400" kern="1200"/>
            <a:t>Not empowered to speak out/ when stuck</a:t>
          </a:r>
        </a:p>
        <a:p>
          <a:pPr marL="57150" lvl="1" indent="-57150" algn="l" defTabSz="177800">
            <a:lnSpc>
              <a:spcPct val="90000"/>
            </a:lnSpc>
            <a:spcBef>
              <a:spcPct val="0"/>
            </a:spcBef>
            <a:spcAft>
              <a:spcPct val="15000"/>
            </a:spcAft>
            <a:buChar char="•"/>
          </a:pPr>
          <a:r>
            <a:rPr lang="en-US" sz="400" kern="1200"/>
            <a:t>Human resilience - 'catch and compensate' without learning</a:t>
          </a:r>
        </a:p>
        <a:p>
          <a:pPr marL="57150" lvl="1" indent="-57150" algn="l" defTabSz="177800">
            <a:lnSpc>
              <a:spcPct val="90000"/>
            </a:lnSpc>
            <a:spcBef>
              <a:spcPct val="0"/>
            </a:spcBef>
            <a:spcAft>
              <a:spcPct val="15000"/>
            </a:spcAft>
            <a:buChar char="•"/>
          </a:pPr>
          <a:r>
            <a:rPr lang="en-US" sz="400" kern="1200"/>
            <a:t>'Know rules/ enough knowledge will get it right'</a:t>
          </a:r>
        </a:p>
      </dsp:txBody>
      <dsp:txXfrm>
        <a:off x="2362602" y="4744511"/>
        <a:ext cx="871081" cy="876369"/>
      </dsp:txXfrm>
    </dsp:sp>
    <dsp:sp modelId="{B6087749-6ED5-9745-9A19-07C8932A066D}">
      <dsp:nvSpPr>
        <dsp:cNvPr id="0" name=""/>
        <dsp:cNvSpPr/>
      </dsp:nvSpPr>
      <dsp:spPr>
        <a:xfrm rot="7200000">
          <a:off x="1573567" y="3873602"/>
          <a:ext cx="1321947" cy="29605"/>
        </a:xfrm>
        <a:custGeom>
          <a:avLst/>
          <a:gdLst/>
          <a:ahLst/>
          <a:cxnLst/>
          <a:rect l="0" t="0" r="0" b="0"/>
          <a:pathLst>
            <a:path>
              <a:moveTo>
                <a:pt x="0" y="14802"/>
              </a:moveTo>
              <a:lnTo>
                <a:pt x="1321947"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201492" y="3855356"/>
        <a:ext cx="66097" cy="66097"/>
      </dsp:txXfrm>
    </dsp:sp>
    <dsp:sp modelId="{8BC324E2-F298-7E49-92FD-F861EF77AF82}">
      <dsp:nvSpPr>
        <dsp:cNvPr id="0" name=""/>
        <dsp:cNvSpPr/>
      </dsp:nvSpPr>
      <dsp:spPr>
        <a:xfrm>
          <a:off x="1073496" y="4385078"/>
          <a:ext cx="1104968" cy="1114768"/>
        </a:xfrm>
        <a:prstGeom prst="ellipse">
          <a:avLst/>
        </a:prstGeom>
        <a:gradFill rotWithShape="0">
          <a:gsLst>
            <a:gs pos="0">
              <a:schemeClr val="accent3">
                <a:hueOff val="7159259"/>
                <a:satOff val="-10742"/>
                <a:lumOff val="-1747"/>
                <a:alphaOff val="0"/>
                <a:tint val="100000"/>
                <a:shade val="100000"/>
                <a:satMod val="130000"/>
              </a:schemeClr>
            </a:gs>
            <a:gs pos="100000">
              <a:schemeClr val="accent3">
                <a:hueOff val="7159259"/>
                <a:satOff val="-10742"/>
                <a:lumOff val="-1747"/>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Superficial investigation &amp; incident reporting</a:t>
          </a:r>
        </a:p>
        <a:p>
          <a:pPr marL="57150" lvl="1" indent="-57150" algn="l" defTabSz="177800">
            <a:lnSpc>
              <a:spcPct val="90000"/>
            </a:lnSpc>
            <a:spcBef>
              <a:spcPct val="0"/>
            </a:spcBef>
            <a:spcAft>
              <a:spcPct val="15000"/>
            </a:spcAft>
            <a:buChar char="•"/>
          </a:pPr>
          <a:r>
            <a:rPr lang="en-US" sz="400" kern="1200"/>
            <a:t>Had to wait for mid staffs to highlight safety</a:t>
          </a:r>
        </a:p>
        <a:p>
          <a:pPr marL="57150" lvl="1" indent="-57150" algn="l" defTabSz="177800">
            <a:lnSpc>
              <a:spcPct val="90000"/>
            </a:lnSpc>
            <a:spcBef>
              <a:spcPct val="0"/>
            </a:spcBef>
            <a:spcAft>
              <a:spcPct val="15000"/>
            </a:spcAft>
            <a:buChar char="•"/>
          </a:pPr>
          <a:r>
            <a:rPr lang="en-US" sz="400" kern="1200"/>
            <a:t>Reductionalist investigation of error</a:t>
          </a:r>
        </a:p>
        <a:p>
          <a:pPr marL="57150" lvl="1" indent="-57150" algn="l" defTabSz="177800">
            <a:lnSpc>
              <a:spcPct val="90000"/>
            </a:lnSpc>
            <a:spcBef>
              <a:spcPct val="0"/>
            </a:spcBef>
            <a:spcAft>
              <a:spcPct val="15000"/>
            </a:spcAft>
            <a:buChar char="•"/>
          </a:pPr>
          <a:r>
            <a:rPr lang="en-US" sz="400" kern="1200"/>
            <a:t>Superficial learning 'tick box'</a:t>
          </a:r>
        </a:p>
        <a:p>
          <a:pPr marL="57150" lvl="1" indent="-57150" algn="l" defTabSz="177800">
            <a:lnSpc>
              <a:spcPct val="90000"/>
            </a:lnSpc>
            <a:spcBef>
              <a:spcPct val="0"/>
            </a:spcBef>
            <a:spcAft>
              <a:spcPct val="15000"/>
            </a:spcAft>
            <a:buChar char="•"/>
          </a:pPr>
          <a:r>
            <a:rPr lang="en-US" sz="400" kern="1200"/>
            <a:t>Do not share and learn from mistakes</a:t>
          </a:r>
        </a:p>
      </dsp:txBody>
      <dsp:txXfrm>
        <a:off x="1235315" y="4548332"/>
        <a:ext cx="781330" cy="788260"/>
      </dsp:txXfrm>
    </dsp:sp>
    <dsp:sp modelId="{14463A35-61D3-7841-AD34-F0638B839C3C}">
      <dsp:nvSpPr>
        <dsp:cNvPr id="0" name=""/>
        <dsp:cNvSpPr/>
      </dsp:nvSpPr>
      <dsp:spPr>
        <a:xfrm rot="9000000">
          <a:off x="1162650" y="3460569"/>
          <a:ext cx="1320159" cy="29605"/>
        </a:xfrm>
        <a:custGeom>
          <a:avLst/>
          <a:gdLst/>
          <a:ahLst/>
          <a:cxnLst/>
          <a:rect l="0" t="0" r="0" b="0"/>
          <a:pathLst>
            <a:path>
              <a:moveTo>
                <a:pt x="0" y="14802"/>
              </a:moveTo>
              <a:lnTo>
                <a:pt x="1320159"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789725" y="3442368"/>
        <a:ext cx="66007" cy="66007"/>
      </dsp:txXfrm>
    </dsp:sp>
    <dsp:sp modelId="{5D6D4E01-69BB-AA4E-9884-65DDB12B8F8B}">
      <dsp:nvSpPr>
        <dsp:cNvPr id="0" name=""/>
        <dsp:cNvSpPr/>
      </dsp:nvSpPr>
      <dsp:spPr>
        <a:xfrm>
          <a:off x="211175" y="3522757"/>
          <a:ext cx="1113444" cy="1123244"/>
        </a:xfrm>
        <a:prstGeom prst="ellipse">
          <a:avLst/>
        </a:prstGeom>
        <a:gradFill rotWithShape="0">
          <a:gsLst>
            <a:gs pos="0">
              <a:schemeClr val="accent3">
                <a:hueOff val="8182010"/>
                <a:satOff val="-12276"/>
                <a:lumOff val="-1996"/>
                <a:alphaOff val="0"/>
                <a:tint val="100000"/>
                <a:shade val="100000"/>
                <a:satMod val="130000"/>
              </a:schemeClr>
            </a:gs>
            <a:gs pos="100000">
              <a:schemeClr val="accent3">
                <a:hueOff val="8182010"/>
                <a:satOff val="-12276"/>
                <a:lumOff val="-1996"/>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Learned helplessness</a:t>
          </a:r>
        </a:p>
        <a:p>
          <a:pPr marL="57150" lvl="1" indent="-57150" algn="l" defTabSz="177800">
            <a:lnSpc>
              <a:spcPct val="90000"/>
            </a:lnSpc>
            <a:spcBef>
              <a:spcPct val="0"/>
            </a:spcBef>
            <a:spcAft>
              <a:spcPct val="15000"/>
            </a:spcAft>
            <a:buChar char="•"/>
          </a:pPr>
          <a:r>
            <a:rPr lang="en-US" sz="400" kern="1200"/>
            <a:t>'People die in hospitals'</a:t>
          </a:r>
        </a:p>
        <a:p>
          <a:pPr marL="57150" lvl="1" indent="-57150" algn="l" defTabSz="177800">
            <a:lnSpc>
              <a:spcPct val="90000"/>
            </a:lnSpc>
            <a:spcBef>
              <a:spcPct val="0"/>
            </a:spcBef>
            <a:spcAft>
              <a:spcPct val="15000"/>
            </a:spcAft>
            <a:buChar char="•"/>
          </a:pPr>
          <a:r>
            <a:rPr lang="en-US" sz="400" kern="1200"/>
            <a:t>Huge organisation - 'can't make a difference'</a:t>
          </a:r>
        </a:p>
        <a:p>
          <a:pPr marL="57150" lvl="1" indent="-57150" algn="l" defTabSz="177800">
            <a:lnSpc>
              <a:spcPct val="90000"/>
            </a:lnSpc>
            <a:spcBef>
              <a:spcPct val="0"/>
            </a:spcBef>
            <a:spcAft>
              <a:spcPct val="15000"/>
            </a:spcAft>
            <a:buChar char="•"/>
          </a:pPr>
          <a:r>
            <a:rPr lang="en-US" sz="400" kern="1200"/>
            <a:t>'Can't fix everthing'</a:t>
          </a:r>
        </a:p>
        <a:p>
          <a:pPr marL="57150" lvl="1" indent="-57150" algn="l" defTabSz="177800">
            <a:lnSpc>
              <a:spcPct val="90000"/>
            </a:lnSpc>
            <a:spcBef>
              <a:spcPct val="0"/>
            </a:spcBef>
            <a:spcAft>
              <a:spcPct val="15000"/>
            </a:spcAft>
            <a:buChar char="•"/>
          </a:pPr>
          <a:r>
            <a:rPr lang="en-US" sz="400" kern="1200"/>
            <a:t>Would omit &gt; acting if unsure</a:t>
          </a:r>
        </a:p>
      </dsp:txBody>
      <dsp:txXfrm>
        <a:off x="374235" y="3687252"/>
        <a:ext cx="787324" cy="794254"/>
      </dsp:txXfrm>
    </dsp:sp>
    <dsp:sp modelId="{093AE56E-1345-8B4C-938F-D0C0EAE0D740}">
      <dsp:nvSpPr>
        <dsp:cNvPr id="0" name=""/>
        <dsp:cNvSpPr/>
      </dsp:nvSpPr>
      <dsp:spPr>
        <a:xfrm rot="10800000">
          <a:off x="993037" y="2897414"/>
          <a:ext cx="1338874" cy="29605"/>
        </a:xfrm>
        <a:custGeom>
          <a:avLst/>
          <a:gdLst/>
          <a:ahLst/>
          <a:cxnLst/>
          <a:rect l="0" t="0" r="0" b="0"/>
          <a:pathLst>
            <a:path>
              <a:moveTo>
                <a:pt x="0" y="14802"/>
              </a:moveTo>
              <a:lnTo>
                <a:pt x="1338874"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629003" y="2878745"/>
        <a:ext cx="66943" cy="66943"/>
      </dsp:txXfrm>
    </dsp:sp>
    <dsp:sp modelId="{30E85F3D-F9EC-4E4A-A132-E784731F865B}">
      <dsp:nvSpPr>
        <dsp:cNvPr id="0" name=""/>
        <dsp:cNvSpPr/>
      </dsp:nvSpPr>
      <dsp:spPr>
        <a:xfrm>
          <a:off x="-85402" y="2290870"/>
          <a:ext cx="1078439" cy="1242693"/>
        </a:xfrm>
        <a:prstGeom prst="ellipse">
          <a:avLst/>
        </a:prstGeom>
        <a:gradFill rotWithShape="0">
          <a:gsLst>
            <a:gs pos="0">
              <a:schemeClr val="accent3">
                <a:hueOff val="9204761"/>
                <a:satOff val="-13811"/>
                <a:lumOff val="-2246"/>
                <a:alphaOff val="0"/>
                <a:tint val="100000"/>
                <a:shade val="100000"/>
                <a:satMod val="130000"/>
              </a:schemeClr>
            </a:gs>
            <a:gs pos="100000">
              <a:schemeClr val="accent3">
                <a:hueOff val="9204761"/>
                <a:satOff val="-13811"/>
                <a:lumOff val="-2246"/>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Public perceptions &amp; expectations</a:t>
          </a:r>
        </a:p>
        <a:p>
          <a:pPr marL="57150" lvl="1" indent="-57150" algn="l" defTabSz="177800">
            <a:lnSpc>
              <a:spcPct val="90000"/>
            </a:lnSpc>
            <a:spcBef>
              <a:spcPct val="0"/>
            </a:spcBef>
            <a:spcAft>
              <a:spcPct val="15000"/>
            </a:spcAft>
            <a:buChar char="•"/>
          </a:pPr>
          <a:r>
            <a:rPr lang="en-US" sz="400" kern="1200"/>
            <a:t>Excellence with reducing resources</a:t>
          </a:r>
        </a:p>
        <a:p>
          <a:pPr marL="57150" lvl="1" indent="-57150" algn="l" defTabSz="177800">
            <a:lnSpc>
              <a:spcPct val="90000"/>
            </a:lnSpc>
            <a:spcBef>
              <a:spcPct val="0"/>
            </a:spcBef>
            <a:spcAft>
              <a:spcPct val="15000"/>
            </a:spcAft>
            <a:buChar char="•"/>
          </a:pPr>
          <a:r>
            <a:rPr lang="en-US" sz="400" kern="1200"/>
            <a:t>Less tolerance of error</a:t>
          </a:r>
        </a:p>
        <a:p>
          <a:pPr marL="57150" lvl="1" indent="-57150" algn="l" defTabSz="177800">
            <a:lnSpc>
              <a:spcPct val="90000"/>
            </a:lnSpc>
            <a:spcBef>
              <a:spcPct val="0"/>
            </a:spcBef>
            <a:spcAft>
              <a:spcPct val="15000"/>
            </a:spcAft>
            <a:buChar char="•"/>
          </a:pPr>
          <a:r>
            <a:rPr lang="en-US" sz="400" kern="1200"/>
            <a:t>Assumption safety measures are in place</a:t>
          </a:r>
        </a:p>
        <a:p>
          <a:pPr marL="57150" lvl="1" indent="-57150" algn="l" defTabSz="177800">
            <a:lnSpc>
              <a:spcPct val="90000"/>
            </a:lnSpc>
            <a:spcBef>
              <a:spcPct val="0"/>
            </a:spcBef>
            <a:spcAft>
              <a:spcPct val="15000"/>
            </a:spcAft>
            <a:buChar char="•"/>
          </a:pPr>
          <a:endParaRPr lang="en-US" sz="400" kern="1200"/>
        </a:p>
      </dsp:txBody>
      <dsp:txXfrm>
        <a:off x="72532" y="2472858"/>
        <a:ext cx="762571" cy="878717"/>
      </dsp:txXfrm>
    </dsp:sp>
    <dsp:sp modelId="{2EF03633-4738-EF47-A092-294F67CB7DC2}">
      <dsp:nvSpPr>
        <dsp:cNvPr id="0" name=""/>
        <dsp:cNvSpPr/>
      </dsp:nvSpPr>
      <dsp:spPr>
        <a:xfrm rot="12635384">
          <a:off x="1042616" y="2289824"/>
          <a:ext cx="1455455" cy="29605"/>
        </a:xfrm>
        <a:custGeom>
          <a:avLst/>
          <a:gdLst/>
          <a:ahLst/>
          <a:cxnLst/>
          <a:rect l="0" t="0" r="0" b="0"/>
          <a:pathLst>
            <a:path>
              <a:moveTo>
                <a:pt x="0" y="14802"/>
              </a:moveTo>
              <a:lnTo>
                <a:pt x="1455455"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733957" y="2268240"/>
        <a:ext cx="72772" cy="72772"/>
      </dsp:txXfrm>
    </dsp:sp>
    <dsp:sp modelId="{0E49DBF4-6916-DA47-A736-F9B6D0197BAC}">
      <dsp:nvSpPr>
        <dsp:cNvPr id="0" name=""/>
        <dsp:cNvSpPr/>
      </dsp:nvSpPr>
      <dsp:spPr>
        <a:xfrm>
          <a:off x="0" y="935787"/>
          <a:ext cx="1213842" cy="1362150"/>
        </a:xfrm>
        <a:prstGeom prst="ellipse">
          <a:avLst/>
        </a:prstGeom>
        <a:gradFill rotWithShape="0">
          <a:gsLst>
            <a:gs pos="0">
              <a:schemeClr val="accent3">
                <a:hueOff val="10227513"/>
                <a:satOff val="-15345"/>
                <a:lumOff val="-2495"/>
                <a:alphaOff val="0"/>
                <a:tint val="100000"/>
                <a:shade val="100000"/>
                <a:satMod val="130000"/>
              </a:schemeClr>
            </a:gs>
            <a:gs pos="100000">
              <a:schemeClr val="accent3">
                <a:hueOff val="10227513"/>
                <a:satOff val="-15345"/>
                <a:lumOff val="-2495"/>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Compartmentalised learning</a:t>
          </a:r>
        </a:p>
        <a:p>
          <a:pPr marL="57150" lvl="1" indent="-57150" algn="l" defTabSz="177800">
            <a:lnSpc>
              <a:spcPct val="90000"/>
            </a:lnSpc>
            <a:spcBef>
              <a:spcPct val="0"/>
            </a:spcBef>
            <a:spcAft>
              <a:spcPct val="15000"/>
            </a:spcAft>
            <a:buChar char="•"/>
          </a:pPr>
          <a:r>
            <a:rPr lang="en-US" sz="400" kern="1200"/>
            <a:t>Professions learn in silos</a:t>
          </a:r>
        </a:p>
        <a:p>
          <a:pPr marL="57150" lvl="1" indent="-57150" algn="l" defTabSz="177800">
            <a:lnSpc>
              <a:spcPct val="90000"/>
            </a:lnSpc>
            <a:spcBef>
              <a:spcPct val="0"/>
            </a:spcBef>
            <a:spcAft>
              <a:spcPct val="15000"/>
            </a:spcAft>
            <a:buChar char="•"/>
          </a:pPr>
          <a:r>
            <a:rPr lang="en-US" sz="400" kern="1200"/>
            <a:t>Sterotypes</a:t>
          </a:r>
        </a:p>
        <a:p>
          <a:pPr marL="57150" lvl="1" indent="-57150" algn="l" defTabSz="177800">
            <a:lnSpc>
              <a:spcPct val="90000"/>
            </a:lnSpc>
            <a:spcBef>
              <a:spcPct val="0"/>
            </a:spcBef>
            <a:spcAft>
              <a:spcPct val="15000"/>
            </a:spcAft>
            <a:buChar char="•"/>
          </a:pPr>
          <a:r>
            <a:rPr lang="en-US" sz="400" kern="1200"/>
            <a:t>Lact of respect, understanding of roles &amp; responsibility</a:t>
          </a:r>
        </a:p>
        <a:p>
          <a:pPr marL="57150" lvl="1" indent="-57150" algn="l" defTabSz="177800">
            <a:lnSpc>
              <a:spcPct val="90000"/>
            </a:lnSpc>
            <a:spcBef>
              <a:spcPct val="0"/>
            </a:spcBef>
            <a:spcAft>
              <a:spcPct val="15000"/>
            </a:spcAft>
            <a:buChar char="•"/>
          </a:pPr>
          <a:r>
            <a:rPr lang="en-US" sz="400" kern="1200"/>
            <a:t>Separation of technical vs non technical skills</a:t>
          </a:r>
        </a:p>
      </dsp:txBody>
      <dsp:txXfrm>
        <a:off x="177763" y="1135269"/>
        <a:ext cx="858316" cy="963186"/>
      </dsp:txXfrm>
    </dsp:sp>
    <dsp:sp modelId="{46EEF8F5-07C1-2A43-B91D-15B017767D2F}">
      <dsp:nvSpPr>
        <dsp:cNvPr id="0" name=""/>
        <dsp:cNvSpPr/>
      </dsp:nvSpPr>
      <dsp:spPr>
        <a:xfrm rot="14400000">
          <a:off x="1585074" y="1927870"/>
          <a:ext cx="1306604" cy="29605"/>
        </a:xfrm>
        <a:custGeom>
          <a:avLst/>
          <a:gdLst/>
          <a:ahLst/>
          <a:cxnLst/>
          <a:rect l="0" t="0" r="0" b="0"/>
          <a:pathLst>
            <a:path>
              <a:moveTo>
                <a:pt x="0" y="14802"/>
              </a:moveTo>
              <a:lnTo>
                <a:pt x="1306604" y="1480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205711" y="1910007"/>
        <a:ext cx="65330" cy="65330"/>
      </dsp:txXfrm>
    </dsp:sp>
    <dsp:sp modelId="{44F4F655-744B-F544-A65A-76994DB31FC9}">
      <dsp:nvSpPr>
        <dsp:cNvPr id="0" name=""/>
        <dsp:cNvSpPr/>
      </dsp:nvSpPr>
      <dsp:spPr>
        <a:xfrm>
          <a:off x="1023297" y="319850"/>
          <a:ext cx="1205366" cy="1124242"/>
        </a:xfrm>
        <a:prstGeom prst="ellipse">
          <a:avLst/>
        </a:prstGeom>
        <a:gradFill rotWithShape="0">
          <a:gsLst>
            <a:gs pos="0">
              <a:schemeClr val="accent3">
                <a:hueOff val="11250264"/>
                <a:satOff val="-16880"/>
                <a:lumOff val="-2745"/>
                <a:alphaOff val="0"/>
                <a:tint val="100000"/>
                <a:shade val="100000"/>
                <a:satMod val="130000"/>
              </a:schemeClr>
            </a:gs>
            <a:gs pos="100000">
              <a:schemeClr val="accent3">
                <a:hueOff val="11250264"/>
                <a:satOff val="-16880"/>
                <a:lumOff val="-2745"/>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Traditional educational models</a:t>
          </a:r>
        </a:p>
        <a:p>
          <a:pPr marL="57150" lvl="1" indent="-57150" algn="l" defTabSz="177800">
            <a:lnSpc>
              <a:spcPct val="90000"/>
            </a:lnSpc>
            <a:spcBef>
              <a:spcPct val="0"/>
            </a:spcBef>
            <a:spcAft>
              <a:spcPct val="15000"/>
            </a:spcAft>
            <a:buChar char="•"/>
          </a:pPr>
          <a:r>
            <a:rPr lang="en-US" sz="400" kern="1200"/>
            <a:t>Do not encourage reflection &amp; self correction</a:t>
          </a:r>
        </a:p>
        <a:p>
          <a:pPr marL="57150" lvl="1" indent="-57150" algn="l" defTabSz="177800">
            <a:lnSpc>
              <a:spcPct val="90000"/>
            </a:lnSpc>
            <a:spcBef>
              <a:spcPct val="0"/>
            </a:spcBef>
            <a:spcAft>
              <a:spcPct val="15000"/>
            </a:spcAft>
            <a:buChar char="•"/>
          </a:pPr>
          <a:r>
            <a:rPr lang="en-US" sz="400" kern="1200"/>
            <a:t>Not empowered to challenge seniors</a:t>
          </a:r>
        </a:p>
        <a:p>
          <a:pPr marL="57150" lvl="1" indent="-57150" algn="l" defTabSz="177800">
            <a:lnSpc>
              <a:spcPct val="90000"/>
            </a:lnSpc>
            <a:spcBef>
              <a:spcPct val="0"/>
            </a:spcBef>
            <a:spcAft>
              <a:spcPct val="15000"/>
            </a:spcAft>
            <a:buChar char="•"/>
          </a:pPr>
          <a:r>
            <a:rPr lang="en-US" sz="400" kern="1200"/>
            <a:t>Blame culture, intolerance of error</a:t>
          </a:r>
        </a:p>
        <a:p>
          <a:pPr marL="57150" lvl="1" indent="-57150" algn="l" defTabSz="177800">
            <a:lnSpc>
              <a:spcPct val="90000"/>
            </a:lnSpc>
            <a:spcBef>
              <a:spcPct val="0"/>
            </a:spcBef>
            <a:spcAft>
              <a:spcPct val="15000"/>
            </a:spcAft>
            <a:buChar char="•"/>
          </a:pPr>
          <a:r>
            <a:rPr lang="en-US" sz="400" kern="1200"/>
            <a:t>Knowledge rewarded</a:t>
          </a:r>
        </a:p>
      </dsp:txBody>
      <dsp:txXfrm>
        <a:off x="1199819" y="484491"/>
        <a:ext cx="852322" cy="794960"/>
      </dsp:txXfrm>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F4EEFB-D89D-7C47-9519-63E367F6B6D2}">
      <dsp:nvSpPr>
        <dsp:cNvPr id="0" name=""/>
        <dsp:cNvSpPr/>
      </dsp:nvSpPr>
      <dsp:spPr>
        <a:xfrm>
          <a:off x="2241764" y="2136553"/>
          <a:ext cx="1122250" cy="1122250"/>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Methods to address culture &amp; the hidden curriculum in health care</a:t>
          </a:r>
        </a:p>
      </dsp:txBody>
      <dsp:txXfrm>
        <a:off x="2406114" y="2300903"/>
        <a:ext cx="793550" cy="793550"/>
      </dsp:txXfrm>
    </dsp:sp>
    <dsp:sp modelId="{38DCFB04-1AAC-4543-862E-F54355F72563}">
      <dsp:nvSpPr>
        <dsp:cNvPr id="0" name=""/>
        <dsp:cNvSpPr/>
      </dsp:nvSpPr>
      <dsp:spPr>
        <a:xfrm rot="16200000">
          <a:off x="2297252" y="1612898"/>
          <a:ext cx="1011275" cy="36035"/>
        </a:xfrm>
        <a:custGeom>
          <a:avLst/>
          <a:gdLst/>
          <a:ahLst/>
          <a:cxnLst/>
          <a:rect l="0" t="0" r="0" b="0"/>
          <a:pathLst>
            <a:path>
              <a:moveTo>
                <a:pt x="0" y="18017"/>
              </a:moveTo>
              <a:lnTo>
                <a:pt x="1011275" y="18017"/>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77608" y="1605633"/>
        <a:ext cx="50563" cy="50563"/>
      </dsp:txXfrm>
    </dsp:sp>
    <dsp:sp modelId="{1DF2FD00-5915-1E4A-B637-D5F655758E7C}">
      <dsp:nvSpPr>
        <dsp:cNvPr id="0" name=""/>
        <dsp:cNvSpPr/>
      </dsp:nvSpPr>
      <dsp:spPr>
        <a:xfrm>
          <a:off x="2241764" y="3027"/>
          <a:ext cx="1122250" cy="1122250"/>
        </a:xfrm>
        <a:prstGeom prst="ellipse">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Allow access to hierarchy</a:t>
          </a:r>
        </a:p>
        <a:p>
          <a:pPr marL="57150" lvl="1" indent="-57150" algn="l" defTabSz="177800">
            <a:lnSpc>
              <a:spcPct val="90000"/>
            </a:lnSpc>
            <a:spcBef>
              <a:spcPct val="0"/>
            </a:spcBef>
            <a:spcAft>
              <a:spcPct val="15000"/>
            </a:spcAft>
            <a:buChar char="•"/>
          </a:pPr>
          <a:r>
            <a:rPr lang="en-US" sz="400" kern="1200"/>
            <a:t>Senior expectations</a:t>
          </a:r>
        </a:p>
        <a:p>
          <a:pPr marL="57150" lvl="1" indent="-57150" algn="l" defTabSz="177800">
            <a:lnSpc>
              <a:spcPct val="90000"/>
            </a:lnSpc>
            <a:spcBef>
              <a:spcPct val="0"/>
            </a:spcBef>
            <a:spcAft>
              <a:spcPct val="15000"/>
            </a:spcAft>
            <a:buChar char="•"/>
          </a:pPr>
          <a:r>
            <a:rPr lang="en-US" sz="400" kern="1200"/>
            <a:t>Senior openness and sharing of own mistakes</a:t>
          </a:r>
        </a:p>
        <a:p>
          <a:pPr marL="57150" lvl="1" indent="-57150" algn="l" defTabSz="177800">
            <a:lnSpc>
              <a:spcPct val="90000"/>
            </a:lnSpc>
            <a:spcBef>
              <a:spcPct val="0"/>
            </a:spcBef>
            <a:spcAft>
              <a:spcPct val="15000"/>
            </a:spcAft>
            <a:buChar char="•"/>
          </a:pPr>
          <a:r>
            <a:rPr lang="en-US" sz="400" kern="1200"/>
            <a:t>Verbalising of decision making</a:t>
          </a:r>
        </a:p>
        <a:p>
          <a:pPr marL="57150" lvl="1" indent="-57150" algn="l" defTabSz="177800">
            <a:lnSpc>
              <a:spcPct val="90000"/>
            </a:lnSpc>
            <a:spcBef>
              <a:spcPct val="0"/>
            </a:spcBef>
            <a:spcAft>
              <a:spcPct val="15000"/>
            </a:spcAft>
            <a:buChar char="•"/>
          </a:pPr>
          <a:r>
            <a:rPr lang="en-US" sz="400" kern="1200"/>
            <a:t>Build trust</a:t>
          </a:r>
        </a:p>
      </dsp:txBody>
      <dsp:txXfrm>
        <a:off x="2406114" y="167377"/>
        <a:ext cx="793550" cy="793550"/>
      </dsp:txXfrm>
    </dsp:sp>
    <dsp:sp modelId="{AA71F054-1025-3348-99F1-9AC8E54C627D}">
      <dsp:nvSpPr>
        <dsp:cNvPr id="0" name=""/>
        <dsp:cNvSpPr/>
      </dsp:nvSpPr>
      <dsp:spPr>
        <a:xfrm rot="18600000">
          <a:off x="2982954" y="1862473"/>
          <a:ext cx="1011275" cy="36035"/>
        </a:xfrm>
        <a:custGeom>
          <a:avLst/>
          <a:gdLst/>
          <a:ahLst/>
          <a:cxnLst/>
          <a:rect l="0" t="0" r="0" b="0"/>
          <a:pathLst>
            <a:path>
              <a:moveTo>
                <a:pt x="0" y="18017"/>
              </a:moveTo>
              <a:lnTo>
                <a:pt x="1011275" y="18017"/>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463310" y="1855208"/>
        <a:ext cx="50563" cy="50563"/>
      </dsp:txXfrm>
    </dsp:sp>
    <dsp:sp modelId="{F8EB206B-333D-174A-B6B9-BECA4553A662}">
      <dsp:nvSpPr>
        <dsp:cNvPr id="0" name=""/>
        <dsp:cNvSpPr/>
      </dsp:nvSpPr>
      <dsp:spPr>
        <a:xfrm>
          <a:off x="3613168" y="502177"/>
          <a:ext cx="1122250" cy="1122250"/>
        </a:xfrm>
        <a:prstGeom prst="ellipse">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Clarity over expectations</a:t>
          </a:r>
        </a:p>
        <a:p>
          <a:pPr marL="57150" lvl="1" indent="-57150" algn="l" defTabSz="177800">
            <a:lnSpc>
              <a:spcPct val="90000"/>
            </a:lnSpc>
            <a:spcBef>
              <a:spcPct val="0"/>
            </a:spcBef>
            <a:spcAft>
              <a:spcPct val="15000"/>
            </a:spcAft>
            <a:buChar char="•"/>
          </a:pPr>
          <a:r>
            <a:rPr lang="en-US" sz="400" kern="1200"/>
            <a:t>Of all roles</a:t>
          </a:r>
        </a:p>
        <a:p>
          <a:pPr marL="57150" lvl="1" indent="-57150" algn="l" defTabSz="177800">
            <a:lnSpc>
              <a:spcPct val="90000"/>
            </a:lnSpc>
            <a:spcBef>
              <a:spcPct val="0"/>
            </a:spcBef>
            <a:spcAft>
              <a:spcPct val="15000"/>
            </a:spcAft>
            <a:buChar char="•"/>
          </a:pPr>
          <a:r>
            <a:rPr lang="en-US" sz="400" kern="1200"/>
            <a:t>Recognise action vs inaction as equal in terms of safety threats</a:t>
          </a:r>
        </a:p>
      </dsp:txBody>
      <dsp:txXfrm>
        <a:off x="3777518" y="666527"/>
        <a:ext cx="793550" cy="793550"/>
      </dsp:txXfrm>
    </dsp:sp>
    <dsp:sp modelId="{27A4EEBE-93D2-7646-9AC1-2017278EE04B}">
      <dsp:nvSpPr>
        <dsp:cNvPr id="0" name=""/>
        <dsp:cNvSpPr/>
      </dsp:nvSpPr>
      <dsp:spPr>
        <a:xfrm rot="21000000">
          <a:off x="3347808" y="2494419"/>
          <a:ext cx="1011275" cy="36035"/>
        </a:xfrm>
        <a:custGeom>
          <a:avLst/>
          <a:gdLst/>
          <a:ahLst/>
          <a:cxnLst/>
          <a:rect l="0" t="0" r="0" b="0"/>
          <a:pathLst>
            <a:path>
              <a:moveTo>
                <a:pt x="0" y="18017"/>
              </a:moveTo>
              <a:lnTo>
                <a:pt x="1011275" y="18017"/>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828164" y="2487155"/>
        <a:ext cx="50563" cy="50563"/>
      </dsp:txXfrm>
    </dsp:sp>
    <dsp:sp modelId="{C1892ADA-DB23-504E-82F0-3BCB5C6B5A31}">
      <dsp:nvSpPr>
        <dsp:cNvPr id="0" name=""/>
        <dsp:cNvSpPr/>
      </dsp:nvSpPr>
      <dsp:spPr>
        <a:xfrm>
          <a:off x="4342877" y="1766070"/>
          <a:ext cx="1122250" cy="1122250"/>
        </a:xfrm>
        <a:prstGeom prst="ellipse">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Address blame culture</a:t>
          </a:r>
        </a:p>
        <a:p>
          <a:pPr marL="57150" lvl="1" indent="-57150" algn="l" defTabSz="177800">
            <a:lnSpc>
              <a:spcPct val="90000"/>
            </a:lnSpc>
            <a:spcBef>
              <a:spcPct val="0"/>
            </a:spcBef>
            <a:spcAft>
              <a:spcPct val="15000"/>
            </a:spcAft>
            <a:buChar char="•"/>
          </a:pPr>
          <a:r>
            <a:rPr lang="en-US" sz="400" kern="1200"/>
            <a:t>Acceptance that humans are falible and will make errors</a:t>
          </a:r>
        </a:p>
        <a:p>
          <a:pPr marL="57150" lvl="1" indent="-57150" algn="l" defTabSz="177800">
            <a:lnSpc>
              <a:spcPct val="90000"/>
            </a:lnSpc>
            <a:spcBef>
              <a:spcPct val="0"/>
            </a:spcBef>
            <a:spcAft>
              <a:spcPct val="15000"/>
            </a:spcAft>
            <a:buChar char="•"/>
          </a:pPr>
          <a:r>
            <a:rPr lang="en-US" sz="400" kern="1200"/>
            <a:t>Open method for sharing and learning from mistakes</a:t>
          </a:r>
        </a:p>
      </dsp:txBody>
      <dsp:txXfrm>
        <a:off x="4507227" y="1930420"/>
        <a:ext cx="793550" cy="793550"/>
      </dsp:txXfrm>
    </dsp:sp>
    <dsp:sp modelId="{4BCCC7E7-9553-4849-8486-87D573F0AC5D}">
      <dsp:nvSpPr>
        <dsp:cNvPr id="0" name=""/>
        <dsp:cNvSpPr/>
      </dsp:nvSpPr>
      <dsp:spPr>
        <a:xfrm rot="1800000">
          <a:off x="3221096" y="3213042"/>
          <a:ext cx="1011275" cy="36035"/>
        </a:xfrm>
        <a:custGeom>
          <a:avLst/>
          <a:gdLst/>
          <a:ahLst/>
          <a:cxnLst/>
          <a:rect l="0" t="0" r="0" b="0"/>
          <a:pathLst>
            <a:path>
              <a:moveTo>
                <a:pt x="0" y="18017"/>
              </a:moveTo>
              <a:lnTo>
                <a:pt x="1011275" y="18017"/>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701451" y="3205778"/>
        <a:ext cx="50563" cy="50563"/>
      </dsp:txXfrm>
    </dsp:sp>
    <dsp:sp modelId="{4860B668-7105-544B-8D3D-34361F6F5035}">
      <dsp:nvSpPr>
        <dsp:cNvPr id="0" name=""/>
        <dsp:cNvSpPr/>
      </dsp:nvSpPr>
      <dsp:spPr>
        <a:xfrm>
          <a:off x="4089452" y="3203316"/>
          <a:ext cx="1122250" cy="1122250"/>
        </a:xfrm>
        <a:prstGeom prst="ellipse">
          <a:avLst/>
        </a:prstGeom>
        <a:gradFill rotWithShape="0">
          <a:gsLst>
            <a:gs pos="0">
              <a:schemeClr val="accent5">
                <a:hueOff val="0"/>
                <a:satOff val="0"/>
                <a:lumOff val="0"/>
                <a:alphaOff val="0"/>
                <a:tint val="100000"/>
                <a:shade val="100000"/>
                <a:satMod val="130000"/>
              </a:schemeClr>
            </a:gs>
            <a:gs pos="100000">
              <a:schemeClr val="accent5">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Bring back team structure</a:t>
          </a:r>
        </a:p>
        <a:p>
          <a:pPr marL="57150" lvl="1" indent="-57150" algn="l" defTabSz="177800">
            <a:lnSpc>
              <a:spcPct val="90000"/>
            </a:lnSpc>
            <a:spcBef>
              <a:spcPct val="0"/>
            </a:spcBef>
            <a:spcAft>
              <a:spcPct val="15000"/>
            </a:spcAft>
            <a:buChar char="•"/>
          </a:pPr>
          <a:r>
            <a:rPr lang="en-US" sz="400" kern="1200"/>
            <a:t>Belonging</a:t>
          </a:r>
        </a:p>
        <a:p>
          <a:pPr marL="57150" lvl="1" indent="-57150" algn="l" defTabSz="177800">
            <a:lnSpc>
              <a:spcPct val="90000"/>
            </a:lnSpc>
            <a:spcBef>
              <a:spcPct val="0"/>
            </a:spcBef>
            <a:spcAft>
              <a:spcPct val="15000"/>
            </a:spcAft>
            <a:buChar char="•"/>
          </a:pPr>
          <a:r>
            <a:rPr lang="en-US" sz="400" kern="1200"/>
            <a:t>Line of responsibility</a:t>
          </a:r>
        </a:p>
        <a:p>
          <a:pPr marL="57150" lvl="1" indent="-57150" algn="l" defTabSz="177800">
            <a:lnSpc>
              <a:spcPct val="90000"/>
            </a:lnSpc>
            <a:spcBef>
              <a:spcPct val="0"/>
            </a:spcBef>
            <a:spcAft>
              <a:spcPct val="15000"/>
            </a:spcAft>
            <a:buChar char="•"/>
          </a:pPr>
          <a:r>
            <a:rPr lang="en-US" sz="400" kern="1200"/>
            <a:t>Improve ethical erosion</a:t>
          </a:r>
        </a:p>
        <a:p>
          <a:pPr marL="57150" lvl="1" indent="-57150" algn="l" defTabSz="177800">
            <a:lnSpc>
              <a:spcPct val="90000"/>
            </a:lnSpc>
            <a:spcBef>
              <a:spcPct val="0"/>
            </a:spcBef>
            <a:spcAft>
              <a:spcPct val="15000"/>
            </a:spcAft>
            <a:buChar char="•"/>
          </a:pPr>
          <a:r>
            <a:rPr lang="en-US" sz="400" kern="1200"/>
            <a:t>Improve morale</a:t>
          </a:r>
        </a:p>
        <a:p>
          <a:pPr marL="57150" lvl="1" indent="-57150" algn="l" defTabSz="177800">
            <a:lnSpc>
              <a:spcPct val="90000"/>
            </a:lnSpc>
            <a:spcBef>
              <a:spcPct val="0"/>
            </a:spcBef>
            <a:spcAft>
              <a:spcPct val="15000"/>
            </a:spcAft>
            <a:buChar char="•"/>
          </a:pPr>
          <a:r>
            <a:rPr lang="en-US" sz="400" kern="1200"/>
            <a:t>Mentorship/ apprenticeship</a:t>
          </a:r>
        </a:p>
      </dsp:txBody>
      <dsp:txXfrm>
        <a:off x="4253802" y="3367666"/>
        <a:ext cx="793550" cy="793550"/>
      </dsp:txXfrm>
    </dsp:sp>
    <dsp:sp modelId="{E16B5A36-CD6A-804F-8343-70C2530AB40A}">
      <dsp:nvSpPr>
        <dsp:cNvPr id="0" name=""/>
        <dsp:cNvSpPr/>
      </dsp:nvSpPr>
      <dsp:spPr>
        <a:xfrm rot="4200000">
          <a:off x="2662106" y="3682090"/>
          <a:ext cx="1011275" cy="36035"/>
        </a:xfrm>
        <a:custGeom>
          <a:avLst/>
          <a:gdLst/>
          <a:ahLst/>
          <a:cxnLst/>
          <a:rect l="0" t="0" r="0" b="0"/>
          <a:pathLst>
            <a:path>
              <a:moveTo>
                <a:pt x="0" y="18017"/>
              </a:moveTo>
              <a:lnTo>
                <a:pt x="1011275" y="18017"/>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142462" y="3674826"/>
        <a:ext cx="50563" cy="50563"/>
      </dsp:txXfrm>
    </dsp:sp>
    <dsp:sp modelId="{FC182286-D4CE-AD48-9BC8-03E3458A175B}">
      <dsp:nvSpPr>
        <dsp:cNvPr id="0" name=""/>
        <dsp:cNvSpPr/>
      </dsp:nvSpPr>
      <dsp:spPr>
        <a:xfrm>
          <a:off x="2971473" y="4141411"/>
          <a:ext cx="1122250" cy="1122250"/>
        </a:xfrm>
        <a:prstGeom prst="ellipse">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Learn from mistakes and error</a:t>
          </a:r>
        </a:p>
        <a:p>
          <a:pPr marL="57150" lvl="1" indent="-57150" algn="l" defTabSz="177800">
            <a:lnSpc>
              <a:spcPct val="90000"/>
            </a:lnSpc>
            <a:spcBef>
              <a:spcPct val="0"/>
            </a:spcBef>
            <a:spcAft>
              <a:spcPct val="15000"/>
            </a:spcAft>
            <a:buChar char="•"/>
          </a:pPr>
          <a:r>
            <a:rPr lang="en-US" sz="400" kern="1200"/>
            <a:t>Meaningful investigation of error and powerful learning to prevent recurrence</a:t>
          </a:r>
        </a:p>
        <a:p>
          <a:pPr marL="57150" lvl="1" indent="-57150" algn="l" defTabSz="177800">
            <a:lnSpc>
              <a:spcPct val="90000"/>
            </a:lnSpc>
            <a:spcBef>
              <a:spcPct val="0"/>
            </a:spcBef>
            <a:spcAft>
              <a:spcPct val="15000"/>
            </a:spcAft>
            <a:buChar char="•"/>
          </a:pPr>
          <a:r>
            <a:rPr lang="en-US" sz="400" kern="1200"/>
            <a:t>At commissioning and procurement level</a:t>
          </a:r>
        </a:p>
        <a:p>
          <a:pPr marL="57150" lvl="1" indent="-57150" algn="l" defTabSz="177800">
            <a:lnSpc>
              <a:spcPct val="90000"/>
            </a:lnSpc>
            <a:spcBef>
              <a:spcPct val="0"/>
            </a:spcBef>
            <a:spcAft>
              <a:spcPct val="15000"/>
            </a:spcAft>
            <a:buChar char="•"/>
          </a:pPr>
          <a:r>
            <a:rPr lang="en-US" sz="400" kern="1200"/>
            <a:t>Driven by system leaders &amp; hierarchial committees</a:t>
          </a:r>
        </a:p>
      </dsp:txBody>
      <dsp:txXfrm>
        <a:off x="3135823" y="4305761"/>
        <a:ext cx="793550" cy="793550"/>
      </dsp:txXfrm>
    </dsp:sp>
    <dsp:sp modelId="{3567F691-312A-4D44-9BF0-7526705761AE}">
      <dsp:nvSpPr>
        <dsp:cNvPr id="0" name=""/>
        <dsp:cNvSpPr/>
      </dsp:nvSpPr>
      <dsp:spPr>
        <a:xfrm rot="6600000">
          <a:off x="1932398" y="3682090"/>
          <a:ext cx="1011275" cy="36035"/>
        </a:xfrm>
        <a:custGeom>
          <a:avLst/>
          <a:gdLst/>
          <a:ahLst/>
          <a:cxnLst/>
          <a:rect l="0" t="0" r="0" b="0"/>
          <a:pathLst>
            <a:path>
              <a:moveTo>
                <a:pt x="0" y="18017"/>
              </a:moveTo>
              <a:lnTo>
                <a:pt x="1011275" y="18017"/>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412753" y="3674826"/>
        <a:ext cx="50563" cy="50563"/>
      </dsp:txXfrm>
    </dsp:sp>
    <dsp:sp modelId="{22D7C560-AD22-014F-9A66-8DEFB7F6F532}">
      <dsp:nvSpPr>
        <dsp:cNvPr id="0" name=""/>
        <dsp:cNvSpPr/>
      </dsp:nvSpPr>
      <dsp:spPr>
        <a:xfrm>
          <a:off x="1512055" y="4141411"/>
          <a:ext cx="1122250" cy="1122250"/>
        </a:xfrm>
        <a:prstGeom prst="ellipse">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Meaningful interprofessional learning</a:t>
          </a:r>
        </a:p>
        <a:p>
          <a:pPr marL="57150" lvl="1" indent="-57150" algn="l" defTabSz="177800">
            <a:lnSpc>
              <a:spcPct val="90000"/>
            </a:lnSpc>
            <a:spcBef>
              <a:spcPct val="0"/>
            </a:spcBef>
            <a:spcAft>
              <a:spcPct val="15000"/>
            </a:spcAft>
            <a:buChar char="•"/>
          </a:pPr>
          <a:r>
            <a:rPr lang="en-US" sz="400" kern="1200"/>
            <a:t>Early in training</a:t>
          </a:r>
        </a:p>
        <a:p>
          <a:pPr marL="57150" lvl="1" indent="-57150" algn="l" defTabSz="177800">
            <a:lnSpc>
              <a:spcPct val="90000"/>
            </a:lnSpc>
            <a:spcBef>
              <a:spcPct val="0"/>
            </a:spcBef>
            <a:spcAft>
              <a:spcPct val="15000"/>
            </a:spcAft>
            <a:buChar char="•"/>
          </a:pPr>
          <a:r>
            <a:rPr lang="en-US" sz="400" kern="1200"/>
            <a:t>Embedded with human factors education</a:t>
          </a:r>
        </a:p>
        <a:p>
          <a:pPr marL="57150" lvl="1" indent="-57150" algn="l" defTabSz="177800">
            <a:lnSpc>
              <a:spcPct val="90000"/>
            </a:lnSpc>
            <a:spcBef>
              <a:spcPct val="0"/>
            </a:spcBef>
            <a:spcAft>
              <a:spcPct val="15000"/>
            </a:spcAft>
            <a:buChar char="•"/>
          </a:pPr>
          <a:r>
            <a:rPr lang="en-US" sz="400" kern="1200"/>
            <a:t>Build trust, understanding, respect, rapport</a:t>
          </a:r>
        </a:p>
        <a:p>
          <a:pPr marL="57150" lvl="1" indent="-57150" algn="l" defTabSz="177800">
            <a:lnSpc>
              <a:spcPct val="90000"/>
            </a:lnSpc>
            <a:spcBef>
              <a:spcPct val="0"/>
            </a:spcBef>
            <a:spcAft>
              <a:spcPct val="15000"/>
            </a:spcAft>
            <a:buChar char="•"/>
          </a:pPr>
          <a:r>
            <a:rPr lang="en-US" sz="400" kern="1200"/>
            <a:t>Learn how to support each other &amp; enhance team work</a:t>
          </a:r>
        </a:p>
      </dsp:txBody>
      <dsp:txXfrm>
        <a:off x="1676405" y="4305761"/>
        <a:ext cx="793550" cy="793550"/>
      </dsp:txXfrm>
    </dsp:sp>
    <dsp:sp modelId="{59645AA6-FCBB-744D-A9A5-E73002595746}">
      <dsp:nvSpPr>
        <dsp:cNvPr id="0" name=""/>
        <dsp:cNvSpPr/>
      </dsp:nvSpPr>
      <dsp:spPr>
        <a:xfrm rot="9000000">
          <a:off x="1373408" y="3213042"/>
          <a:ext cx="1011275" cy="36035"/>
        </a:xfrm>
        <a:custGeom>
          <a:avLst/>
          <a:gdLst/>
          <a:ahLst/>
          <a:cxnLst/>
          <a:rect l="0" t="0" r="0" b="0"/>
          <a:pathLst>
            <a:path>
              <a:moveTo>
                <a:pt x="0" y="18017"/>
              </a:moveTo>
              <a:lnTo>
                <a:pt x="1011275" y="18017"/>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853764" y="3205778"/>
        <a:ext cx="50563" cy="50563"/>
      </dsp:txXfrm>
    </dsp:sp>
    <dsp:sp modelId="{7A4DA51F-743E-C64E-8294-C9EA427C04C1}">
      <dsp:nvSpPr>
        <dsp:cNvPr id="0" name=""/>
        <dsp:cNvSpPr/>
      </dsp:nvSpPr>
      <dsp:spPr>
        <a:xfrm>
          <a:off x="394076" y="3203316"/>
          <a:ext cx="1122250" cy="1122250"/>
        </a:xfrm>
        <a:prstGeom prst="ellipse">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Role modelling at all levels</a:t>
          </a:r>
        </a:p>
        <a:p>
          <a:pPr marL="57150" lvl="1" indent="-57150" algn="l" defTabSz="177800">
            <a:lnSpc>
              <a:spcPct val="90000"/>
            </a:lnSpc>
            <a:spcBef>
              <a:spcPct val="0"/>
            </a:spcBef>
            <a:spcAft>
              <a:spcPct val="15000"/>
            </a:spcAft>
            <a:buChar char="•"/>
          </a:pPr>
          <a:r>
            <a:rPr lang="en-US" sz="400" kern="1200"/>
            <a:t>Personal anecdotes and stories</a:t>
          </a:r>
        </a:p>
        <a:p>
          <a:pPr marL="57150" lvl="1" indent="-57150" algn="l" defTabSz="177800">
            <a:lnSpc>
              <a:spcPct val="90000"/>
            </a:lnSpc>
            <a:spcBef>
              <a:spcPct val="0"/>
            </a:spcBef>
            <a:spcAft>
              <a:spcPct val="15000"/>
            </a:spcAft>
            <a:buChar char="•"/>
          </a:pPr>
          <a:r>
            <a:rPr lang="en-US" sz="400" kern="1200"/>
            <a:t>Reward non-technical skills as highly as knowledge</a:t>
          </a:r>
        </a:p>
        <a:p>
          <a:pPr marL="57150" lvl="1" indent="-57150" algn="l" defTabSz="177800">
            <a:lnSpc>
              <a:spcPct val="90000"/>
            </a:lnSpc>
            <a:spcBef>
              <a:spcPct val="0"/>
            </a:spcBef>
            <a:spcAft>
              <a:spcPct val="15000"/>
            </a:spcAft>
            <a:buChar char="•"/>
          </a:pPr>
          <a:r>
            <a:rPr lang="en-US" sz="400" kern="1200"/>
            <a:t>Share vulnerability, anxiety and mistakes</a:t>
          </a:r>
        </a:p>
        <a:p>
          <a:pPr marL="57150" lvl="1" indent="-57150" algn="l" defTabSz="177800">
            <a:lnSpc>
              <a:spcPct val="90000"/>
            </a:lnSpc>
            <a:spcBef>
              <a:spcPct val="0"/>
            </a:spcBef>
            <a:spcAft>
              <a:spcPct val="15000"/>
            </a:spcAft>
            <a:buChar char="•"/>
          </a:pPr>
          <a:r>
            <a:rPr lang="en-US" sz="400" kern="1200"/>
            <a:t>Encourage reflective practice - in action and on action</a:t>
          </a:r>
        </a:p>
      </dsp:txBody>
      <dsp:txXfrm>
        <a:off x="558426" y="3367666"/>
        <a:ext cx="793550" cy="793550"/>
      </dsp:txXfrm>
    </dsp:sp>
    <dsp:sp modelId="{20B5F6FC-6839-8B46-9746-2FD298C93427}">
      <dsp:nvSpPr>
        <dsp:cNvPr id="0" name=""/>
        <dsp:cNvSpPr/>
      </dsp:nvSpPr>
      <dsp:spPr>
        <a:xfrm rot="11400000">
          <a:off x="1246696" y="2494419"/>
          <a:ext cx="1011275" cy="36035"/>
        </a:xfrm>
        <a:custGeom>
          <a:avLst/>
          <a:gdLst/>
          <a:ahLst/>
          <a:cxnLst/>
          <a:rect l="0" t="0" r="0" b="0"/>
          <a:pathLst>
            <a:path>
              <a:moveTo>
                <a:pt x="0" y="18017"/>
              </a:moveTo>
              <a:lnTo>
                <a:pt x="1011275" y="18017"/>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727051" y="2487155"/>
        <a:ext cx="50563" cy="50563"/>
      </dsp:txXfrm>
    </dsp:sp>
    <dsp:sp modelId="{BBA156CF-9F72-FF46-A73A-CCD85AA740E5}">
      <dsp:nvSpPr>
        <dsp:cNvPr id="0" name=""/>
        <dsp:cNvSpPr/>
      </dsp:nvSpPr>
      <dsp:spPr>
        <a:xfrm>
          <a:off x="140651" y="1766070"/>
          <a:ext cx="1122250" cy="1122250"/>
        </a:xfrm>
        <a:prstGeom prst="ellipse">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Manage public expectation</a:t>
          </a:r>
        </a:p>
        <a:p>
          <a:pPr marL="57150" lvl="1" indent="-57150" algn="l" defTabSz="177800">
            <a:lnSpc>
              <a:spcPct val="90000"/>
            </a:lnSpc>
            <a:spcBef>
              <a:spcPct val="0"/>
            </a:spcBef>
            <a:spcAft>
              <a:spcPct val="15000"/>
            </a:spcAft>
            <a:buChar char="•"/>
          </a:pPr>
          <a:r>
            <a:rPr lang="en-US" sz="400" kern="1200"/>
            <a:t>Awareness of high risk environment</a:t>
          </a:r>
        </a:p>
        <a:p>
          <a:pPr marL="57150" lvl="1" indent="-57150" algn="l" defTabSz="177800">
            <a:lnSpc>
              <a:spcPct val="90000"/>
            </a:lnSpc>
            <a:spcBef>
              <a:spcPct val="0"/>
            </a:spcBef>
            <a:spcAft>
              <a:spcPct val="15000"/>
            </a:spcAft>
            <a:buChar char="•"/>
          </a:pPr>
          <a:r>
            <a:rPr lang="en-US" sz="400" kern="1200"/>
            <a:t>Human fallibility</a:t>
          </a:r>
        </a:p>
        <a:p>
          <a:pPr marL="57150" lvl="1" indent="-57150" algn="l" defTabSz="177800">
            <a:lnSpc>
              <a:spcPct val="90000"/>
            </a:lnSpc>
            <a:spcBef>
              <a:spcPct val="0"/>
            </a:spcBef>
            <a:spcAft>
              <a:spcPct val="15000"/>
            </a:spcAft>
            <a:buChar char="•"/>
          </a:pPr>
          <a:r>
            <a:rPr lang="en-US" sz="400" kern="1200"/>
            <a:t>Transparency about the current level of safety procedures in place</a:t>
          </a:r>
        </a:p>
      </dsp:txBody>
      <dsp:txXfrm>
        <a:off x="305001" y="1930420"/>
        <a:ext cx="793550" cy="793550"/>
      </dsp:txXfrm>
    </dsp:sp>
    <dsp:sp modelId="{F2E3E202-9FC3-7849-9536-4CDF4AD5522D}">
      <dsp:nvSpPr>
        <dsp:cNvPr id="0" name=""/>
        <dsp:cNvSpPr/>
      </dsp:nvSpPr>
      <dsp:spPr>
        <a:xfrm rot="13800000">
          <a:off x="1611550" y="1862473"/>
          <a:ext cx="1011275" cy="36035"/>
        </a:xfrm>
        <a:custGeom>
          <a:avLst/>
          <a:gdLst/>
          <a:ahLst/>
          <a:cxnLst/>
          <a:rect l="0" t="0" r="0" b="0"/>
          <a:pathLst>
            <a:path>
              <a:moveTo>
                <a:pt x="0" y="18017"/>
              </a:moveTo>
              <a:lnTo>
                <a:pt x="1011275" y="18017"/>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091906" y="1855208"/>
        <a:ext cx="50563" cy="50563"/>
      </dsp:txXfrm>
    </dsp:sp>
    <dsp:sp modelId="{BE60E1BF-BBC1-E54F-BB2D-515135D9453B}">
      <dsp:nvSpPr>
        <dsp:cNvPr id="0" name=""/>
        <dsp:cNvSpPr/>
      </dsp:nvSpPr>
      <dsp:spPr>
        <a:xfrm>
          <a:off x="870360" y="502177"/>
          <a:ext cx="1122250" cy="1122250"/>
        </a:xfrm>
        <a:prstGeom prst="ellipse">
          <a:avLst/>
        </a:prstGeom>
        <a:gradFill rotWithShape="0">
          <a:gsLst>
            <a:gs pos="0">
              <a:schemeClr val="accent5">
                <a:hueOff val="0"/>
                <a:satOff val="0"/>
                <a:lumOff val="0"/>
                <a:alphaOff val="0"/>
                <a:tint val="100000"/>
                <a:shade val="100000"/>
                <a:satMod val="130000"/>
              </a:schemeClr>
            </a:gs>
            <a:gs pos="100000">
              <a:schemeClr val="accent5">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marL="0" lvl="0" indent="0" algn="l" defTabSz="222250">
            <a:lnSpc>
              <a:spcPct val="90000"/>
            </a:lnSpc>
            <a:spcBef>
              <a:spcPct val="0"/>
            </a:spcBef>
            <a:spcAft>
              <a:spcPct val="35000"/>
            </a:spcAft>
            <a:buNone/>
          </a:pPr>
          <a:r>
            <a:rPr lang="en-US" sz="500" kern="1200"/>
            <a:t>Explore human factors informed commissioning &amp; procurement</a:t>
          </a:r>
        </a:p>
        <a:p>
          <a:pPr marL="57150" lvl="1" indent="-57150" algn="l" defTabSz="177800">
            <a:lnSpc>
              <a:spcPct val="90000"/>
            </a:lnSpc>
            <a:spcBef>
              <a:spcPct val="0"/>
            </a:spcBef>
            <a:spcAft>
              <a:spcPct val="15000"/>
            </a:spcAft>
            <a:buChar char="•"/>
          </a:pPr>
          <a:r>
            <a:rPr lang="en-US" sz="400" kern="1200"/>
            <a:t>Informing principle</a:t>
          </a:r>
        </a:p>
        <a:p>
          <a:pPr marL="57150" lvl="1" indent="-57150" algn="l" defTabSz="177800">
            <a:lnSpc>
              <a:spcPct val="90000"/>
            </a:lnSpc>
            <a:spcBef>
              <a:spcPct val="0"/>
            </a:spcBef>
            <a:spcAft>
              <a:spcPct val="15000"/>
            </a:spcAft>
            <a:buChar char="•"/>
          </a:pPr>
          <a:r>
            <a:rPr lang="en-US" sz="400" kern="1200"/>
            <a:t>Efficiency, effectiveness &amp; safety will be a by product</a:t>
          </a:r>
        </a:p>
      </dsp:txBody>
      <dsp:txXfrm>
        <a:off x="1034710" y="666527"/>
        <a:ext cx="793550" cy="793550"/>
      </dsp:txXfrm>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8B70B-58E4-7A4B-9434-010DC22D42DA}">
      <dsp:nvSpPr>
        <dsp:cNvPr id="0" name=""/>
        <dsp:cNvSpPr/>
      </dsp:nvSpPr>
      <dsp:spPr>
        <a:xfrm>
          <a:off x="2251473" y="2710415"/>
          <a:ext cx="1483832" cy="1483832"/>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875" tIns="15875" rIns="15875" bIns="15875" numCol="1" spcCol="1270" anchor="ctr" anchorCtr="0">
          <a:noAutofit/>
        </a:bodyPr>
        <a:lstStyle/>
        <a:p>
          <a:pPr marL="0" lvl="0" indent="0" algn="ctr" defTabSz="1111250">
            <a:lnSpc>
              <a:spcPct val="90000"/>
            </a:lnSpc>
            <a:spcBef>
              <a:spcPct val="0"/>
            </a:spcBef>
            <a:spcAft>
              <a:spcPct val="35000"/>
            </a:spcAft>
            <a:buNone/>
          </a:pPr>
          <a:r>
            <a:rPr lang="en-US" sz="2500" kern="1200"/>
            <a:t>Human factors </a:t>
          </a:r>
        </a:p>
      </dsp:txBody>
      <dsp:txXfrm>
        <a:off x="2468775" y="2927717"/>
        <a:ext cx="1049228" cy="1049228"/>
      </dsp:txXfrm>
    </dsp:sp>
    <dsp:sp modelId="{02887160-6A9D-8440-8EDB-2467BF19D630}">
      <dsp:nvSpPr>
        <dsp:cNvPr id="0" name=""/>
        <dsp:cNvSpPr/>
      </dsp:nvSpPr>
      <dsp:spPr>
        <a:xfrm rot="10800000">
          <a:off x="520972" y="3240886"/>
          <a:ext cx="1635323" cy="422892"/>
        </a:xfrm>
        <a:prstGeom prst="leftArrow">
          <a:avLst>
            <a:gd name="adj1" fmla="val 60000"/>
            <a:gd name="adj2" fmla="val 50000"/>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355E2639-BC4F-A141-85BE-61107F959FEE}">
      <dsp:nvSpPr>
        <dsp:cNvPr id="0" name=""/>
        <dsp:cNvSpPr/>
      </dsp:nvSpPr>
      <dsp:spPr>
        <a:xfrm>
          <a:off x="1630" y="3036859"/>
          <a:ext cx="1038682" cy="830946"/>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t" anchorCtr="0">
          <a:noAutofit/>
        </a:bodyPr>
        <a:lstStyle/>
        <a:p>
          <a:pPr marL="0" lvl="0" indent="0" algn="l" defTabSz="222250">
            <a:lnSpc>
              <a:spcPct val="90000"/>
            </a:lnSpc>
            <a:spcBef>
              <a:spcPct val="0"/>
            </a:spcBef>
            <a:spcAft>
              <a:spcPct val="35000"/>
            </a:spcAft>
            <a:buNone/>
          </a:pPr>
          <a:r>
            <a:rPr lang="en-US" sz="500" kern="1200"/>
            <a:t>Behaviour under pressure</a:t>
          </a:r>
        </a:p>
        <a:p>
          <a:pPr marL="57150" lvl="1" indent="-57150" algn="l" defTabSz="177800">
            <a:lnSpc>
              <a:spcPct val="90000"/>
            </a:lnSpc>
            <a:spcBef>
              <a:spcPct val="0"/>
            </a:spcBef>
            <a:spcAft>
              <a:spcPct val="15000"/>
            </a:spcAft>
            <a:buChar char="•"/>
          </a:pPr>
          <a:r>
            <a:rPr lang="en-US" sz="400" kern="1200"/>
            <a:t>Social </a:t>
          </a:r>
        </a:p>
        <a:p>
          <a:pPr marL="57150" lvl="1" indent="-57150" algn="l" defTabSz="177800">
            <a:lnSpc>
              <a:spcPct val="90000"/>
            </a:lnSpc>
            <a:spcBef>
              <a:spcPct val="0"/>
            </a:spcBef>
            <a:spcAft>
              <a:spcPct val="15000"/>
            </a:spcAft>
            <a:buChar char="•"/>
          </a:pPr>
          <a:r>
            <a:rPr lang="en-US" sz="400" kern="1200"/>
            <a:t>Cultural</a:t>
          </a:r>
        </a:p>
        <a:p>
          <a:pPr marL="57150" lvl="1" indent="-57150" algn="l" defTabSz="177800">
            <a:lnSpc>
              <a:spcPct val="90000"/>
            </a:lnSpc>
            <a:spcBef>
              <a:spcPct val="0"/>
            </a:spcBef>
            <a:spcAft>
              <a:spcPct val="15000"/>
            </a:spcAft>
            <a:buChar char="•"/>
          </a:pPr>
          <a:r>
            <a:rPr lang="en-US" sz="400" kern="1200"/>
            <a:t>How to perform</a:t>
          </a:r>
        </a:p>
      </dsp:txBody>
      <dsp:txXfrm>
        <a:off x="25968" y="3061197"/>
        <a:ext cx="990006" cy="782270"/>
      </dsp:txXfrm>
    </dsp:sp>
    <dsp:sp modelId="{B6373137-E4B4-C94F-B49D-D36078AC13B6}">
      <dsp:nvSpPr>
        <dsp:cNvPr id="0" name=""/>
        <dsp:cNvSpPr/>
      </dsp:nvSpPr>
      <dsp:spPr>
        <a:xfrm rot="12600000">
          <a:off x="742667" y="2413508"/>
          <a:ext cx="1635323" cy="422892"/>
        </a:xfrm>
        <a:prstGeom prst="lef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AFB123B4-5684-9F43-A2A0-A60E9C7C31B6}">
      <dsp:nvSpPr>
        <dsp:cNvPr id="0" name=""/>
        <dsp:cNvSpPr/>
      </dsp:nvSpPr>
      <dsp:spPr>
        <a:xfrm>
          <a:off x="332871" y="1800650"/>
          <a:ext cx="1038682" cy="830946"/>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t" anchorCtr="0">
          <a:noAutofit/>
        </a:bodyPr>
        <a:lstStyle/>
        <a:p>
          <a:pPr marL="0" lvl="0" indent="0" algn="l" defTabSz="222250">
            <a:lnSpc>
              <a:spcPct val="90000"/>
            </a:lnSpc>
            <a:spcBef>
              <a:spcPct val="0"/>
            </a:spcBef>
            <a:spcAft>
              <a:spcPct val="35000"/>
            </a:spcAft>
            <a:buNone/>
          </a:pPr>
          <a:r>
            <a:rPr lang="en-US" sz="500" kern="1200"/>
            <a:t>Cognitive skills</a:t>
          </a:r>
        </a:p>
        <a:p>
          <a:pPr marL="57150" lvl="1" indent="-57150" algn="l" defTabSz="177800">
            <a:lnSpc>
              <a:spcPct val="90000"/>
            </a:lnSpc>
            <a:spcBef>
              <a:spcPct val="0"/>
            </a:spcBef>
            <a:spcAft>
              <a:spcPct val="15000"/>
            </a:spcAft>
            <a:buChar char="•"/>
          </a:pPr>
          <a:r>
            <a:rPr lang="en-US" sz="400" kern="1200"/>
            <a:t>Decision-making</a:t>
          </a:r>
        </a:p>
        <a:p>
          <a:pPr marL="57150" lvl="1" indent="-57150" algn="l" defTabSz="177800">
            <a:lnSpc>
              <a:spcPct val="90000"/>
            </a:lnSpc>
            <a:spcBef>
              <a:spcPct val="0"/>
            </a:spcBef>
            <a:spcAft>
              <a:spcPct val="15000"/>
            </a:spcAft>
            <a:buChar char="•"/>
          </a:pPr>
          <a:r>
            <a:rPr lang="en-US" sz="400" kern="1200"/>
            <a:t>Situation awareness</a:t>
          </a:r>
        </a:p>
        <a:p>
          <a:pPr marL="57150" lvl="1" indent="-57150" algn="l" defTabSz="177800">
            <a:lnSpc>
              <a:spcPct val="90000"/>
            </a:lnSpc>
            <a:spcBef>
              <a:spcPct val="0"/>
            </a:spcBef>
            <a:spcAft>
              <a:spcPct val="15000"/>
            </a:spcAft>
            <a:buChar char="•"/>
          </a:pPr>
          <a:r>
            <a:rPr lang="en-US" sz="400" kern="1200"/>
            <a:t>Prioritisation</a:t>
          </a:r>
        </a:p>
        <a:p>
          <a:pPr marL="57150" lvl="1" indent="-57150" algn="l" defTabSz="177800">
            <a:lnSpc>
              <a:spcPct val="90000"/>
            </a:lnSpc>
            <a:spcBef>
              <a:spcPct val="0"/>
            </a:spcBef>
            <a:spcAft>
              <a:spcPct val="15000"/>
            </a:spcAft>
            <a:buChar char="•"/>
          </a:pPr>
          <a:r>
            <a:rPr lang="en-US" sz="400" kern="1200"/>
            <a:t>Judgment</a:t>
          </a:r>
        </a:p>
        <a:p>
          <a:pPr marL="57150" lvl="1" indent="-57150" algn="l" defTabSz="177800">
            <a:lnSpc>
              <a:spcPct val="90000"/>
            </a:lnSpc>
            <a:spcBef>
              <a:spcPct val="0"/>
            </a:spcBef>
            <a:spcAft>
              <a:spcPct val="15000"/>
            </a:spcAft>
            <a:buChar char="•"/>
          </a:pPr>
          <a:r>
            <a:rPr lang="en-US" sz="400" kern="1200"/>
            <a:t>Resource management</a:t>
          </a:r>
        </a:p>
        <a:p>
          <a:pPr marL="57150" lvl="1" indent="-57150" algn="l" defTabSz="177800">
            <a:lnSpc>
              <a:spcPct val="90000"/>
            </a:lnSpc>
            <a:spcBef>
              <a:spcPct val="0"/>
            </a:spcBef>
            <a:spcAft>
              <a:spcPct val="15000"/>
            </a:spcAft>
            <a:buChar char="•"/>
          </a:pPr>
          <a:r>
            <a:rPr lang="en-US" sz="400" kern="1200"/>
            <a:t>How to think</a:t>
          </a:r>
        </a:p>
        <a:p>
          <a:pPr marL="57150" lvl="1" indent="-57150" algn="l" defTabSz="177800">
            <a:lnSpc>
              <a:spcPct val="90000"/>
            </a:lnSpc>
            <a:spcBef>
              <a:spcPct val="0"/>
            </a:spcBef>
            <a:spcAft>
              <a:spcPct val="15000"/>
            </a:spcAft>
            <a:buChar char="•"/>
          </a:pPr>
          <a:r>
            <a:rPr lang="en-US" sz="400" kern="1200"/>
            <a:t>Task management</a:t>
          </a:r>
        </a:p>
        <a:p>
          <a:pPr marL="57150" lvl="1" indent="-57150" algn="l" defTabSz="177800">
            <a:lnSpc>
              <a:spcPct val="90000"/>
            </a:lnSpc>
            <a:spcBef>
              <a:spcPct val="0"/>
            </a:spcBef>
            <a:spcAft>
              <a:spcPct val="15000"/>
            </a:spcAft>
            <a:buChar char="•"/>
          </a:pPr>
          <a:r>
            <a:rPr lang="en-US" sz="400" kern="1200"/>
            <a:t>Dealing with uncertainty</a:t>
          </a:r>
        </a:p>
      </dsp:txBody>
      <dsp:txXfrm>
        <a:off x="357209" y="1824988"/>
        <a:ext cx="990006" cy="782270"/>
      </dsp:txXfrm>
    </dsp:sp>
    <dsp:sp modelId="{58E30700-58CE-C742-85A9-5E784D252F1C}">
      <dsp:nvSpPr>
        <dsp:cNvPr id="0" name=""/>
        <dsp:cNvSpPr/>
      </dsp:nvSpPr>
      <dsp:spPr>
        <a:xfrm rot="14400000">
          <a:off x="1348350" y="1807825"/>
          <a:ext cx="1635323" cy="422892"/>
        </a:xfrm>
        <a:prstGeom prst="lef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A3E5D982-CEE6-8949-A304-80C733B4B58D}">
      <dsp:nvSpPr>
        <dsp:cNvPr id="0" name=""/>
        <dsp:cNvSpPr/>
      </dsp:nvSpPr>
      <dsp:spPr>
        <a:xfrm>
          <a:off x="1237839" y="895682"/>
          <a:ext cx="1038682" cy="830946"/>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t" anchorCtr="0">
          <a:noAutofit/>
        </a:bodyPr>
        <a:lstStyle/>
        <a:p>
          <a:pPr marL="0" lvl="0" indent="0" algn="l" defTabSz="222250">
            <a:lnSpc>
              <a:spcPct val="90000"/>
            </a:lnSpc>
            <a:spcBef>
              <a:spcPct val="0"/>
            </a:spcBef>
            <a:spcAft>
              <a:spcPct val="35000"/>
            </a:spcAft>
            <a:buNone/>
          </a:pPr>
          <a:r>
            <a:rPr lang="en-US" sz="500" kern="1200"/>
            <a:t>Social skills</a:t>
          </a:r>
        </a:p>
        <a:p>
          <a:pPr marL="57150" lvl="1" indent="-57150" algn="l" defTabSz="177800">
            <a:lnSpc>
              <a:spcPct val="90000"/>
            </a:lnSpc>
            <a:spcBef>
              <a:spcPct val="0"/>
            </a:spcBef>
            <a:spcAft>
              <a:spcPct val="15000"/>
            </a:spcAft>
            <a:buChar char="•"/>
          </a:pPr>
          <a:r>
            <a:rPr lang="en-US" sz="400" kern="1200"/>
            <a:t>Leadership</a:t>
          </a:r>
        </a:p>
        <a:p>
          <a:pPr marL="57150" lvl="1" indent="-57150" algn="l" defTabSz="177800">
            <a:lnSpc>
              <a:spcPct val="90000"/>
            </a:lnSpc>
            <a:spcBef>
              <a:spcPct val="0"/>
            </a:spcBef>
            <a:spcAft>
              <a:spcPct val="15000"/>
            </a:spcAft>
            <a:buChar char="•"/>
          </a:pPr>
          <a:r>
            <a:rPr lang="en-US" sz="400" kern="1200"/>
            <a:t>Communication</a:t>
          </a:r>
        </a:p>
        <a:p>
          <a:pPr marL="57150" lvl="1" indent="-57150" algn="l" defTabSz="177800">
            <a:lnSpc>
              <a:spcPct val="90000"/>
            </a:lnSpc>
            <a:spcBef>
              <a:spcPct val="0"/>
            </a:spcBef>
            <a:spcAft>
              <a:spcPct val="15000"/>
            </a:spcAft>
            <a:buChar char="•"/>
          </a:pPr>
          <a:r>
            <a:rPr lang="en-US" sz="400" kern="1200"/>
            <a:t>Team working/ interaction</a:t>
          </a:r>
        </a:p>
        <a:p>
          <a:pPr marL="57150" lvl="1" indent="-57150" algn="l" defTabSz="177800">
            <a:lnSpc>
              <a:spcPct val="90000"/>
            </a:lnSpc>
            <a:spcBef>
              <a:spcPct val="0"/>
            </a:spcBef>
            <a:spcAft>
              <a:spcPct val="15000"/>
            </a:spcAft>
            <a:buChar char="•"/>
          </a:pPr>
          <a:r>
            <a:rPr lang="en-US" sz="400" kern="1200"/>
            <a:t>Facilitation patient care</a:t>
          </a:r>
        </a:p>
        <a:p>
          <a:pPr marL="57150" lvl="1" indent="-57150" algn="l" defTabSz="177800">
            <a:lnSpc>
              <a:spcPct val="90000"/>
            </a:lnSpc>
            <a:spcBef>
              <a:spcPct val="0"/>
            </a:spcBef>
            <a:spcAft>
              <a:spcPct val="15000"/>
            </a:spcAft>
            <a:buChar char="•"/>
          </a:pPr>
          <a:r>
            <a:rPr lang="en-US" sz="400" kern="1200"/>
            <a:t>Non task focussed</a:t>
          </a:r>
        </a:p>
      </dsp:txBody>
      <dsp:txXfrm>
        <a:off x="1262177" y="920020"/>
        <a:ext cx="990006" cy="782270"/>
      </dsp:txXfrm>
    </dsp:sp>
    <dsp:sp modelId="{4429B2F4-74E1-8F45-9500-1BE6A82F83EE}">
      <dsp:nvSpPr>
        <dsp:cNvPr id="0" name=""/>
        <dsp:cNvSpPr/>
      </dsp:nvSpPr>
      <dsp:spPr>
        <a:xfrm rot="16200000">
          <a:off x="2175728" y="1586130"/>
          <a:ext cx="1635323" cy="422892"/>
        </a:xfrm>
        <a:prstGeom prst="leftArrow">
          <a:avLst>
            <a:gd name="adj1" fmla="val 60000"/>
            <a:gd name="adj2" fmla="val 50000"/>
          </a:avLst>
        </a:prstGeom>
        <a:solidFill>
          <a:schemeClr val="accent5">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4DBFCD63-5E34-E24C-B79C-4B2517B87D56}">
      <dsp:nvSpPr>
        <dsp:cNvPr id="0" name=""/>
        <dsp:cNvSpPr/>
      </dsp:nvSpPr>
      <dsp:spPr>
        <a:xfrm>
          <a:off x="2474048" y="564441"/>
          <a:ext cx="1038682" cy="830946"/>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t" anchorCtr="0">
          <a:noAutofit/>
        </a:bodyPr>
        <a:lstStyle/>
        <a:p>
          <a:pPr marL="0" lvl="0" indent="0" algn="l" defTabSz="222250">
            <a:lnSpc>
              <a:spcPct val="90000"/>
            </a:lnSpc>
            <a:spcBef>
              <a:spcPct val="0"/>
            </a:spcBef>
            <a:spcAft>
              <a:spcPct val="35000"/>
            </a:spcAft>
            <a:buNone/>
          </a:pPr>
          <a:r>
            <a:rPr lang="en-US" sz="500" kern="1200"/>
            <a:t>Human interactions and potential</a:t>
          </a:r>
        </a:p>
        <a:p>
          <a:pPr marL="57150" lvl="1" indent="-57150" algn="l" defTabSz="177800">
            <a:lnSpc>
              <a:spcPct val="90000"/>
            </a:lnSpc>
            <a:spcBef>
              <a:spcPct val="0"/>
            </a:spcBef>
            <a:spcAft>
              <a:spcPct val="15000"/>
            </a:spcAft>
            <a:buChar char="•"/>
          </a:pPr>
          <a:r>
            <a:rPr lang="en-US" sz="400" kern="1200"/>
            <a:t>Human - human interface</a:t>
          </a:r>
        </a:p>
        <a:p>
          <a:pPr marL="57150" lvl="1" indent="-57150" algn="l" defTabSz="177800">
            <a:lnSpc>
              <a:spcPct val="90000"/>
            </a:lnSpc>
            <a:spcBef>
              <a:spcPct val="0"/>
            </a:spcBef>
            <a:spcAft>
              <a:spcPct val="15000"/>
            </a:spcAft>
            <a:buChar char="•"/>
          </a:pPr>
          <a:r>
            <a:rPr lang="en-US" sz="400" kern="1200"/>
            <a:t>Human - equipment interface</a:t>
          </a:r>
        </a:p>
        <a:p>
          <a:pPr marL="57150" lvl="1" indent="-57150" algn="l" defTabSz="177800">
            <a:lnSpc>
              <a:spcPct val="90000"/>
            </a:lnSpc>
            <a:spcBef>
              <a:spcPct val="0"/>
            </a:spcBef>
            <a:spcAft>
              <a:spcPct val="15000"/>
            </a:spcAft>
            <a:buChar char="•"/>
          </a:pPr>
          <a:r>
            <a:rPr lang="en-US" sz="400" kern="1200"/>
            <a:t>Human-environment interface</a:t>
          </a:r>
        </a:p>
        <a:p>
          <a:pPr marL="57150" lvl="1" indent="-57150" algn="l" defTabSz="177800">
            <a:lnSpc>
              <a:spcPct val="90000"/>
            </a:lnSpc>
            <a:spcBef>
              <a:spcPct val="0"/>
            </a:spcBef>
            <a:spcAft>
              <a:spcPct val="15000"/>
            </a:spcAft>
            <a:buChar char="•"/>
          </a:pPr>
          <a:r>
            <a:rPr lang="en-US" sz="400" kern="1200"/>
            <a:t>How all work together</a:t>
          </a:r>
        </a:p>
        <a:p>
          <a:pPr marL="57150" lvl="1" indent="-57150" algn="l" defTabSz="177800">
            <a:lnSpc>
              <a:spcPct val="90000"/>
            </a:lnSpc>
            <a:spcBef>
              <a:spcPct val="0"/>
            </a:spcBef>
            <a:spcAft>
              <a:spcPct val="15000"/>
            </a:spcAft>
            <a:buChar char="•"/>
          </a:pPr>
          <a:r>
            <a:rPr lang="en-US" sz="400" kern="1200"/>
            <a:t>Shell model liveware-hardware interaction</a:t>
          </a:r>
        </a:p>
        <a:p>
          <a:pPr marL="57150" lvl="1" indent="-57150" algn="l" defTabSz="177800">
            <a:lnSpc>
              <a:spcPct val="90000"/>
            </a:lnSpc>
            <a:spcBef>
              <a:spcPct val="0"/>
            </a:spcBef>
            <a:spcAft>
              <a:spcPct val="15000"/>
            </a:spcAft>
            <a:buChar char="•"/>
          </a:pPr>
          <a:r>
            <a:rPr lang="en-US" sz="400" kern="1200"/>
            <a:t>Human potential for effective safe delivery</a:t>
          </a:r>
        </a:p>
      </dsp:txBody>
      <dsp:txXfrm>
        <a:off x="2498386" y="588779"/>
        <a:ext cx="990006" cy="782270"/>
      </dsp:txXfrm>
    </dsp:sp>
    <dsp:sp modelId="{9DBB921E-E998-A040-B654-5D9F8CC86C2D}">
      <dsp:nvSpPr>
        <dsp:cNvPr id="0" name=""/>
        <dsp:cNvSpPr/>
      </dsp:nvSpPr>
      <dsp:spPr>
        <a:xfrm rot="18000000">
          <a:off x="3003106" y="1807825"/>
          <a:ext cx="1635323" cy="422892"/>
        </a:xfrm>
        <a:prstGeom prst="leftArrow">
          <a:avLst>
            <a:gd name="adj1" fmla="val 60000"/>
            <a:gd name="adj2" fmla="val 50000"/>
          </a:avLst>
        </a:prstGeom>
        <a:solidFill>
          <a:schemeClr val="accent6">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BFE57C19-5804-EE46-A81B-DCDA77336B79}">
      <dsp:nvSpPr>
        <dsp:cNvPr id="0" name=""/>
        <dsp:cNvSpPr/>
      </dsp:nvSpPr>
      <dsp:spPr>
        <a:xfrm>
          <a:off x="3710257" y="895682"/>
          <a:ext cx="1038682" cy="830946"/>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t" anchorCtr="0">
          <a:noAutofit/>
        </a:bodyPr>
        <a:lstStyle/>
        <a:p>
          <a:pPr marL="0" lvl="0" indent="0" algn="l" defTabSz="222250">
            <a:lnSpc>
              <a:spcPct val="90000"/>
            </a:lnSpc>
            <a:spcBef>
              <a:spcPct val="0"/>
            </a:spcBef>
            <a:spcAft>
              <a:spcPct val="35000"/>
            </a:spcAft>
            <a:buNone/>
          </a:pPr>
          <a:r>
            <a:rPr lang="en-US" sz="500" kern="1200"/>
            <a:t>Holistic / Everything</a:t>
          </a:r>
        </a:p>
        <a:p>
          <a:pPr marL="57150" lvl="1" indent="-57150" algn="l" defTabSz="177800">
            <a:lnSpc>
              <a:spcPct val="90000"/>
            </a:lnSpc>
            <a:spcBef>
              <a:spcPct val="0"/>
            </a:spcBef>
            <a:spcAft>
              <a:spcPct val="15000"/>
            </a:spcAft>
            <a:buChar char="•"/>
          </a:pPr>
          <a:r>
            <a:rPr lang="en-US" sz="400" kern="1200"/>
            <a:t>Complex/hard to define</a:t>
          </a:r>
        </a:p>
        <a:p>
          <a:pPr marL="57150" lvl="1" indent="-57150" algn="l" defTabSz="177800">
            <a:lnSpc>
              <a:spcPct val="90000"/>
            </a:lnSpc>
            <a:spcBef>
              <a:spcPct val="0"/>
            </a:spcBef>
            <a:spcAft>
              <a:spcPct val="15000"/>
            </a:spcAft>
            <a:buChar char="•"/>
          </a:pPr>
          <a:r>
            <a:rPr lang="en-US" sz="400" kern="1200"/>
            <a:t>Many interpretations</a:t>
          </a:r>
        </a:p>
        <a:p>
          <a:pPr marL="57150" lvl="1" indent="-57150" algn="l" defTabSz="177800">
            <a:lnSpc>
              <a:spcPct val="90000"/>
            </a:lnSpc>
            <a:spcBef>
              <a:spcPct val="0"/>
            </a:spcBef>
            <a:spcAft>
              <a:spcPct val="15000"/>
            </a:spcAft>
            <a:buChar char="•"/>
          </a:pPr>
          <a:r>
            <a:rPr lang="en-US" sz="400" kern="1200"/>
            <a:t>Can expose to criticism</a:t>
          </a:r>
        </a:p>
      </dsp:txBody>
      <dsp:txXfrm>
        <a:off x="3734595" y="920020"/>
        <a:ext cx="990006" cy="782270"/>
      </dsp:txXfrm>
    </dsp:sp>
    <dsp:sp modelId="{ED6908D7-05BF-A345-9F4C-6C766D41C83E}">
      <dsp:nvSpPr>
        <dsp:cNvPr id="0" name=""/>
        <dsp:cNvSpPr/>
      </dsp:nvSpPr>
      <dsp:spPr>
        <a:xfrm rot="19800000">
          <a:off x="3608788" y="2413508"/>
          <a:ext cx="1635323" cy="422892"/>
        </a:xfrm>
        <a:prstGeom prst="leftArrow">
          <a:avLst>
            <a:gd name="adj1" fmla="val 60000"/>
            <a:gd name="adj2" fmla="val 50000"/>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D9C51441-81BD-3D44-BA08-772942F775D7}">
      <dsp:nvSpPr>
        <dsp:cNvPr id="0" name=""/>
        <dsp:cNvSpPr/>
      </dsp:nvSpPr>
      <dsp:spPr>
        <a:xfrm>
          <a:off x="4615225" y="1800650"/>
          <a:ext cx="1038682" cy="830946"/>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t" anchorCtr="0">
          <a:noAutofit/>
        </a:bodyPr>
        <a:lstStyle/>
        <a:p>
          <a:pPr marL="0" lvl="0" indent="0" algn="l" defTabSz="222250">
            <a:lnSpc>
              <a:spcPct val="90000"/>
            </a:lnSpc>
            <a:spcBef>
              <a:spcPct val="0"/>
            </a:spcBef>
            <a:spcAft>
              <a:spcPct val="35000"/>
            </a:spcAft>
            <a:buNone/>
          </a:pPr>
          <a:r>
            <a:rPr lang="en-US" sz="500" kern="1200"/>
            <a:t>System and design</a:t>
          </a:r>
        </a:p>
        <a:p>
          <a:pPr marL="57150" lvl="1" indent="-57150" algn="l" defTabSz="177800">
            <a:lnSpc>
              <a:spcPct val="90000"/>
            </a:lnSpc>
            <a:spcBef>
              <a:spcPct val="0"/>
            </a:spcBef>
            <a:spcAft>
              <a:spcPct val="15000"/>
            </a:spcAft>
            <a:buChar char="•"/>
          </a:pPr>
          <a:r>
            <a:rPr lang="en-US" sz="400" kern="1200"/>
            <a:t>Understand how may fail</a:t>
          </a:r>
        </a:p>
        <a:p>
          <a:pPr marL="57150" lvl="1" indent="-57150" algn="l" defTabSz="177800">
            <a:lnSpc>
              <a:spcPct val="90000"/>
            </a:lnSpc>
            <a:spcBef>
              <a:spcPct val="0"/>
            </a:spcBef>
            <a:spcAft>
              <a:spcPct val="15000"/>
            </a:spcAft>
            <a:buChar char="•"/>
          </a:pPr>
          <a:r>
            <a:rPr lang="en-US" sz="400" kern="1200"/>
            <a:t>About poor equipment design</a:t>
          </a:r>
        </a:p>
        <a:p>
          <a:pPr marL="57150" lvl="1" indent="-57150" algn="l" defTabSz="177800">
            <a:lnSpc>
              <a:spcPct val="90000"/>
            </a:lnSpc>
            <a:spcBef>
              <a:spcPct val="0"/>
            </a:spcBef>
            <a:spcAft>
              <a:spcPct val="15000"/>
            </a:spcAft>
            <a:buChar char="•"/>
          </a:pPr>
          <a:r>
            <a:rPr lang="en-US" sz="400" kern="1200"/>
            <a:t>Learn about risk and error</a:t>
          </a:r>
        </a:p>
        <a:p>
          <a:pPr marL="57150" lvl="1" indent="-57150" algn="l" defTabSz="177800">
            <a:lnSpc>
              <a:spcPct val="90000"/>
            </a:lnSpc>
            <a:spcBef>
              <a:spcPct val="0"/>
            </a:spcBef>
            <a:spcAft>
              <a:spcPct val="15000"/>
            </a:spcAft>
            <a:buChar char="•"/>
          </a:pPr>
          <a:r>
            <a:rPr lang="en-US" sz="400" kern="1200"/>
            <a:t>Related to humans, system, equipment, environment</a:t>
          </a:r>
        </a:p>
        <a:p>
          <a:pPr marL="57150" lvl="1" indent="-57150" algn="l" defTabSz="177800">
            <a:lnSpc>
              <a:spcPct val="90000"/>
            </a:lnSpc>
            <a:spcBef>
              <a:spcPct val="0"/>
            </a:spcBef>
            <a:spcAft>
              <a:spcPct val="15000"/>
            </a:spcAft>
            <a:buChar char="•"/>
          </a:pPr>
          <a:r>
            <a:rPr lang="en-US" sz="400" kern="1200"/>
            <a:t>Patient safety - make performance safe and effective</a:t>
          </a:r>
        </a:p>
      </dsp:txBody>
      <dsp:txXfrm>
        <a:off x="4639563" y="1824988"/>
        <a:ext cx="990006" cy="782270"/>
      </dsp:txXfrm>
    </dsp:sp>
    <dsp:sp modelId="{6FABC881-A3FE-584C-9B51-1893753A6DEA}">
      <dsp:nvSpPr>
        <dsp:cNvPr id="0" name=""/>
        <dsp:cNvSpPr/>
      </dsp:nvSpPr>
      <dsp:spPr>
        <a:xfrm>
          <a:off x="3830483" y="3240886"/>
          <a:ext cx="1635323" cy="422892"/>
        </a:xfrm>
        <a:prstGeom prst="lef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99DD0758-0043-4042-89E2-4369147552B0}">
      <dsp:nvSpPr>
        <dsp:cNvPr id="0" name=""/>
        <dsp:cNvSpPr/>
      </dsp:nvSpPr>
      <dsp:spPr>
        <a:xfrm>
          <a:off x="4946466" y="3036859"/>
          <a:ext cx="1038682" cy="830946"/>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t" anchorCtr="0">
          <a:noAutofit/>
        </a:bodyPr>
        <a:lstStyle/>
        <a:p>
          <a:pPr marL="0" lvl="0" indent="0" algn="l" defTabSz="222250">
            <a:lnSpc>
              <a:spcPct val="90000"/>
            </a:lnSpc>
            <a:spcBef>
              <a:spcPct val="0"/>
            </a:spcBef>
            <a:spcAft>
              <a:spcPct val="35000"/>
            </a:spcAft>
            <a:buNone/>
          </a:pPr>
          <a:r>
            <a:rPr lang="en-US" sz="500" kern="1200"/>
            <a:t>Non - technical skills</a:t>
          </a:r>
        </a:p>
        <a:p>
          <a:pPr marL="57150" lvl="1" indent="-57150" algn="l" defTabSz="177800">
            <a:lnSpc>
              <a:spcPct val="90000"/>
            </a:lnSpc>
            <a:spcBef>
              <a:spcPct val="0"/>
            </a:spcBef>
            <a:spcAft>
              <a:spcPct val="15000"/>
            </a:spcAft>
            <a:buChar char="•"/>
          </a:pPr>
          <a:endParaRPr lang="en-US" sz="400" kern="1200"/>
        </a:p>
      </dsp:txBody>
      <dsp:txXfrm>
        <a:off x="4970804" y="3061197"/>
        <a:ext cx="990006" cy="782270"/>
      </dsp:txXfrm>
    </dsp:sp>
  </dsp:spTree>
</dsp:drawing>
</file>

<file path=word/diagrams/drawing3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B2AB6D-2C3D-1E4E-B93A-F03DD3E4499F}">
      <dsp:nvSpPr>
        <dsp:cNvPr id="0" name=""/>
        <dsp:cNvSpPr/>
      </dsp:nvSpPr>
      <dsp:spPr>
        <a:xfrm>
          <a:off x="2165503" y="2754924"/>
          <a:ext cx="1427173" cy="1427173"/>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en-US" sz="2000" kern="1200"/>
            <a:t>Non-technical skills</a:t>
          </a:r>
        </a:p>
      </dsp:txBody>
      <dsp:txXfrm>
        <a:off x="2374508" y="2963929"/>
        <a:ext cx="1009163" cy="1009163"/>
      </dsp:txXfrm>
    </dsp:sp>
    <dsp:sp modelId="{A497D1FC-DDDB-2C4A-9EA5-826561DFEBEE}">
      <dsp:nvSpPr>
        <dsp:cNvPr id="0" name=""/>
        <dsp:cNvSpPr/>
      </dsp:nvSpPr>
      <dsp:spPr>
        <a:xfrm rot="10800000">
          <a:off x="501079" y="3265138"/>
          <a:ext cx="1572880" cy="406744"/>
        </a:xfrm>
        <a:prstGeom prst="leftArrow">
          <a:avLst>
            <a:gd name="adj1" fmla="val 60000"/>
            <a:gd name="adj2" fmla="val 50000"/>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6BFCB608-E1C8-A44C-B4DC-7CF993D08046}">
      <dsp:nvSpPr>
        <dsp:cNvPr id="0" name=""/>
        <dsp:cNvSpPr/>
      </dsp:nvSpPr>
      <dsp:spPr>
        <a:xfrm>
          <a:off x="1568" y="3068902"/>
          <a:ext cx="999021" cy="79921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l" defTabSz="311150">
            <a:lnSpc>
              <a:spcPct val="90000"/>
            </a:lnSpc>
            <a:spcBef>
              <a:spcPct val="0"/>
            </a:spcBef>
            <a:spcAft>
              <a:spcPct val="35000"/>
            </a:spcAft>
            <a:buNone/>
          </a:pPr>
          <a:r>
            <a:rPr lang="en-US" sz="700" kern="1200"/>
            <a:t>Situation awareness</a:t>
          </a:r>
        </a:p>
        <a:p>
          <a:pPr marL="57150" lvl="1" indent="-57150" algn="l" defTabSz="222250">
            <a:lnSpc>
              <a:spcPct val="90000"/>
            </a:lnSpc>
            <a:spcBef>
              <a:spcPct val="0"/>
            </a:spcBef>
            <a:spcAft>
              <a:spcPct val="15000"/>
            </a:spcAft>
            <a:buChar char="•"/>
          </a:pPr>
          <a:r>
            <a:rPr lang="en-US" sz="500" kern="1200"/>
            <a:t>Judgment</a:t>
          </a:r>
        </a:p>
        <a:p>
          <a:pPr marL="57150" lvl="1" indent="-57150" algn="l" defTabSz="222250">
            <a:lnSpc>
              <a:spcPct val="90000"/>
            </a:lnSpc>
            <a:spcBef>
              <a:spcPct val="0"/>
            </a:spcBef>
            <a:spcAft>
              <a:spcPct val="15000"/>
            </a:spcAft>
            <a:buChar char="•"/>
          </a:pPr>
          <a:r>
            <a:rPr lang="en-US" sz="500" kern="1200"/>
            <a:t>Self awareness - out of depth/limitations</a:t>
          </a:r>
        </a:p>
        <a:p>
          <a:pPr marL="57150" lvl="1" indent="-57150" algn="l" defTabSz="222250">
            <a:lnSpc>
              <a:spcPct val="90000"/>
            </a:lnSpc>
            <a:spcBef>
              <a:spcPct val="0"/>
            </a:spcBef>
            <a:spcAft>
              <a:spcPct val="15000"/>
            </a:spcAft>
            <a:buChar char="•"/>
          </a:pPr>
          <a:r>
            <a:rPr lang="en-US" sz="500" kern="1200"/>
            <a:t>Cognitive biases</a:t>
          </a:r>
        </a:p>
        <a:p>
          <a:pPr marL="57150" lvl="1" indent="-57150" algn="l" defTabSz="222250">
            <a:lnSpc>
              <a:spcPct val="90000"/>
            </a:lnSpc>
            <a:spcBef>
              <a:spcPct val="0"/>
            </a:spcBef>
            <a:spcAft>
              <a:spcPct val="15000"/>
            </a:spcAft>
            <a:buChar char="•"/>
          </a:pPr>
          <a:r>
            <a:rPr lang="en-US" sz="500" kern="1200"/>
            <a:t>Managing stress and cognitive overload</a:t>
          </a:r>
        </a:p>
      </dsp:txBody>
      <dsp:txXfrm>
        <a:off x="24976" y="3092310"/>
        <a:ext cx="952205" cy="752401"/>
      </dsp:txXfrm>
    </dsp:sp>
    <dsp:sp modelId="{E104A347-F2D7-954A-BFAC-2CBA82040849}">
      <dsp:nvSpPr>
        <dsp:cNvPr id="0" name=""/>
        <dsp:cNvSpPr/>
      </dsp:nvSpPr>
      <dsp:spPr>
        <a:xfrm rot="12600000">
          <a:off x="714309" y="2469353"/>
          <a:ext cx="1572880" cy="406744"/>
        </a:xfrm>
        <a:prstGeom prst="lef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4D10A843-E004-C846-BF56-5CD75CC371BB}">
      <dsp:nvSpPr>
        <dsp:cNvPr id="0" name=""/>
        <dsp:cNvSpPr/>
      </dsp:nvSpPr>
      <dsp:spPr>
        <a:xfrm>
          <a:off x="320161" y="1879897"/>
          <a:ext cx="999021" cy="799217"/>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l" defTabSz="311150">
            <a:lnSpc>
              <a:spcPct val="90000"/>
            </a:lnSpc>
            <a:spcBef>
              <a:spcPct val="0"/>
            </a:spcBef>
            <a:spcAft>
              <a:spcPct val="35000"/>
            </a:spcAft>
            <a:buNone/>
          </a:pPr>
          <a:r>
            <a:rPr lang="en-US" sz="700" kern="1200"/>
            <a:t>Decision-making</a:t>
          </a:r>
        </a:p>
        <a:p>
          <a:pPr marL="57150" lvl="1" indent="-57150" algn="l" defTabSz="222250">
            <a:lnSpc>
              <a:spcPct val="90000"/>
            </a:lnSpc>
            <a:spcBef>
              <a:spcPct val="0"/>
            </a:spcBef>
            <a:spcAft>
              <a:spcPct val="15000"/>
            </a:spcAft>
            <a:buChar char="•"/>
          </a:pPr>
          <a:r>
            <a:rPr lang="en-US" sz="500" kern="1200"/>
            <a:t>Cognitive biases</a:t>
          </a:r>
        </a:p>
        <a:p>
          <a:pPr marL="57150" lvl="1" indent="-57150" algn="l" defTabSz="222250">
            <a:lnSpc>
              <a:spcPct val="90000"/>
            </a:lnSpc>
            <a:spcBef>
              <a:spcPct val="0"/>
            </a:spcBef>
            <a:spcAft>
              <a:spcPct val="15000"/>
            </a:spcAft>
            <a:buChar char="•"/>
          </a:pPr>
          <a:r>
            <a:rPr lang="en-US" sz="500" kern="1200"/>
            <a:t>Making safe decisions</a:t>
          </a:r>
        </a:p>
      </dsp:txBody>
      <dsp:txXfrm>
        <a:off x="343569" y="1903305"/>
        <a:ext cx="952205" cy="752401"/>
      </dsp:txXfrm>
    </dsp:sp>
    <dsp:sp modelId="{E25373DC-8DB4-8D48-8414-D1647F84B51E}">
      <dsp:nvSpPr>
        <dsp:cNvPr id="0" name=""/>
        <dsp:cNvSpPr/>
      </dsp:nvSpPr>
      <dsp:spPr>
        <a:xfrm rot="14400000">
          <a:off x="1296864" y="1886798"/>
          <a:ext cx="1572880" cy="406744"/>
        </a:xfrm>
        <a:prstGeom prst="lef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5225A863-55AB-6B4B-B01D-8C07FAA060DD}">
      <dsp:nvSpPr>
        <dsp:cNvPr id="0" name=""/>
        <dsp:cNvSpPr/>
      </dsp:nvSpPr>
      <dsp:spPr>
        <a:xfrm>
          <a:off x="1190573" y="1009484"/>
          <a:ext cx="999021" cy="799217"/>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l" defTabSz="311150">
            <a:lnSpc>
              <a:spcPct val="90000"/>
            </a:lnSpc>
            <a:spcBef>
              <a:spcPct val="0"/>
            </a:spcBef>
            <a:spcAft>
              <a:spcPct val="35000"/>
            </a:spcAft>
            <a:buNone/>
          </a:pPr>
          <a:r>
            <a:rPr lang="en-US" sz="700" kern="1200"/>
            <a:t>Communication</a:t>
          </a:r>
        </a:p>
        <a:p>
          <a:pPr marL="57150" lvl="1" indent="-57150" algn="l" defTabSz="222250">
            <a:lnSpc>
              <a:spcPct val="90000"/>
            </a:lnSpc>
            <a:spcBef>
              <a:spcPct val="0"/>
            </a:spcBef>
            <a:spcAft>
              <a:spcPct val="15000"/>
            </a:spcAft>
            <a:buChar char="•"/>
          </a:pPr>
          <a:r>
            <a:rPr lang="en-US" sz="500" kern="1200"/>
            <a:t>Interpersonal skills</a:t>
          </a:r>
        </a:p>
        <a:p>
          <a:pPr marL="57150" lvl="1" indent="-57150" algn="l" defTabSz="222250">
            <a:lnSpc>
              <a:spcPct val="90000"/>
            </a:lnSpc>
            <a:spcBef>
              <a:spcPct val="0"/>
            </a:spcBef>
            <a:spcAft>
              <a:spcPct val="15000"/>
            </a:spcAft>
            <a:buChar char="•"/>
          </a:pPr>
          <a:r>
            <a:rPr lang="en-US" sz="500" kern="1200"/>
            <a:t>Clear effective communication - patient, team</a:t>
          </a:r>
        </a:p>
        <a:p>
          <a:pPr marL="57150" lvl="1" indent="-57150" algn="l" defTabSz="222250">
            <a:lnSpc>
              <a:spcPct val="90000"/>
            </a:lnSpc>
            <a:spcBef>
              <a:spcPct val="0"/>
            </a:spcBef>
            <a:spcAft>
              <a:spcPct val="15000"/>
            </a:spcAft>
            <a:buChar char="•"/>
          </a:pPr>
          <a:r>
            <a:rPr lang="en-US" sz="500" kern="1200"/>
            <a:t>Emotional transferance - self and others</a:t>
          </a:r>
        </a:p>
        <a:p>
          <a:pPr marL="57150" lvl="1" indent="-57150" algn="l" defTabSz="222250">
            <a:lnSpc>
              <a:spcPct val="90000"/>
            </a:lnSpc>
            <a:spcBef>
              <a:spcPct val="0"/>
            </a:spcBef>
            <a:spcAft>
              <a:spcPct val="15000"/>
            </a:spcAft>
            <a:buChar char="•"/>
          </a:pPr>
          <a:r>
            <a:rPr lang="en-US" sz="500" kern="1200"/>
            <a:t>Share anxieties and concerns</a:t>
          </a:r>
        </a:p>
      </dsp:txBody>
      <dsp:txXfrm>
        <a:off x="1213981" y="1032892"/>
        <a:ext cx="952205" cy="752401"/>
      </dsp:txXfrm>
    </dsp:sp>
    <dsp:sp modelId="{C24CAF39-4A84-F24A-A25B-BE04CF216A52}">
      <dsp:nvSpPr>
        <dsp:cNvPr id="0" name=""/>
        <dsp:cNvSpPr/>
      </dsp:nvSpPr>
      <dsp:spPr>
        <a:xfrm rot="16200000">
          <a:off x="2092649" y="1673568"/>
          <a:ext cx="1572880" cy="406744"/>
        </a:xfrm>
        <a:prstGeom prst="leftArrow">
          <a:avLst>
            <a:gd name="adj1" fmla="val 60000"/>
            <a:gd name="adj2" fmla="val 50000"/>
          </a:avLst>
        </a:prstGeom>
        <a:solidFill>
          <a:schemeClr val="accent5">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7D0803B9-B602-774A-ADCB-9C2D3A3D8A17}">
      <dsp:nvSpPr>
        <dsp:cNvPr id="0" name=""/>
        <dsp:cNvSpPr/>
      </dsp:nvSpPr>
      <dsp:spPr>
        <a:xfrm>
          <a:off x="2379579" y="690891"/>
          <a:ext cx="999021" cy="799217"/>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l" defTabSz="311150">
            <a:lnSpc>
              <a:spcPct val="90000"/>
            </a:lnSpc>
            <a:spcBef>
              <a:spcPct val="0"/>
            </a:spcBef>
            <a:spcAft>
              <a:spcPct val="35000"/>
            </a:spcAft>
            <a:buNone/>
          </a:pPr>
          <a:r>
            <a:rPr lang="en-US" sz="700" kern="1200"/>
            <a:t>Effective teamworking</a:t>
          </a:r>
        </a:p>
        <a:p>
          <a:pPr marL="57150" lvl="1" indent="-57150" algn="l" defTabSz="222250">
            <a:lnSpc>
              <a:spcPct val="90000"/>
            </a:lnSpc>
            <a:spcBef>
              <a:spcPct val="0"/>
            </a:spcBef>
            <a:spcAft>
              <a:spcPct val="15000"/>
            </a:spcAft>
            <a:buChar char="•"/>
          </a:pPr>
          <a:r>
            <a:rPr lang="en-US" sz="500" kern="1200"/>
            <a:t>build relationships</a:t>
          </a:r>
        </a:p>
        <a:p>
          <a:pPr marL="57150" lvl="1" indent="-57150" algn="l" defTabSz="222250">
            <a:lnSpc>
              <a:spcPct val="90000"/>
            </a:lnSpc>
            <a:spcBef>
              <a:spcPct val="0"/>
            </a:spcBef>
            <a:spcAft>
              <a:spcPct val="15000"/>
            </a:spcAft>
            <a:buChar char="•"/>
          </a:pPr>
          <a:r>
            <a:rPr lang="en-US" sz="500" kern="1200"/>
            <a:t>Value team members</a:t>
          </a:r>
        </a:p>
        <a:p>
          <a:pPr marL="57150" lvl="1" indent="-57150" algn="l" defTabSz="222250">
            <a:lnSpc>
              <a:spcPct val="90000"/>
            </a:lnSpc>
            <a:spcBef>
              <a:spcPct val="0"/>
            </a:spcBef>
            <a:spcAft>
              <a:spcPct val="15000"/>
            </a:spcAft>
            <a:buChar char="•"/>
          </a:pPr>
          <a:r>
            <a:rPr lang="en-US" sz="500" kern="1200"/>
            <a:t>Understand roles</a:t>
          </a:r>
        </a:p>
        <a:p>
          <a:pPr marL="57150" lvl="1" indent="-57150" algn="l" defTabSz="222250">
            <a:lnSpc>
              <a:spcPct val="90000"/>
            </a:lnSpc>
            <a:spcBef>
              <a:spcPct val="0"/>
            </a:spcBef>
            <a:spcAft>
              <a:spcPct val="15000"/>
            </a:spcAft>
            <a:buChar char="•"/>
          </a:pPr>
          <a:r>
            <a:rPr lang="en-US" sz="500" kern="1200"/>
            <a:t>Share concerns, anxieties</a:t>
          </a:r>
        </a:p>
      </dsp:txBody>
      <dsp:txXfrm>
        <a:off x="2402987" y="714299"/>
        <a:ext cx="952205" cy="752401"/>
      </dsp:txXfrm>
    </dsp:sp>
    <dsp:sp modelId="{99BCC8A2-7C6F-2943-9BFC-B0FD382529CA}">
      <dsp:nvSpPr>
        <dsp:cNvPr id="0" name=""/>
        <dsp:cNvSpPr/>
      </dsp:nvSpPr>
      <dsp:spPr>
        <a:xfrm rot="18000000">
          <a:off x="2888435" y="1886798"/>
          <a:ext cx="1572880" cy="406744"/>
        </a:xfrm>
        <a:prstGeom prst="leftArrow">
          <a:avLst>
            <a:gd name="adj1" fmla="val 60000"/>
            <a:gd name="adj2" fmla="val 50000"/>
          </a:avLst>
        </a:prstGeom>
        <a:solidFill>
          <a:schemeClr val="accent6">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867A7739-CD9E-1343-9DFC-83AC99A30E2D}">
      <dsp:nvSpPr>
        <dsp:cNvPr id="0" name=""/>
        <dsp:cNvSpPr/>
      </dsp:nvSpPr>
      <dsp:spPr>
        <a:xfrm>
          <a:off x="3568584" y="1009484"/>
          <a:ext cx="999021" cy="799217"/>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l" defTabSz="311150">
            <a:lnSpc>
              <a:spcPct val="90000"/>
            </a:lnSpc>
            <a:spcBef>
              <a:spcPct val="0"/>
            </a:spcBef>
            <a:spcAft>
              <a:spcPct val="35000"/>
            </a:spcAft>
            <a:buNone/>
          </a:pPr>
          <a:r>
            <a:rPr lang="en-US" sz="700" kern="1200"/>
            <a:t>Prioritisation</a:t>
          </a:r>
        </a:p>
        <a:p>
          <a:pPr marL="57150" lvl="1" indent="-57150" algn="l" defTabSz="222250">
            <a:lnSpc>
              <a:spcPct val="90000"/>
            </a:lnSpc>
            <a:spcBef>
              <a:spcPct val="0"/>
            </a:spcBef>
            <a:spcAft>
              <a:spcPct val="15000"/>
            </a:spcAft>
            <a:buChar char="•"/>
          </a:pPr>
          <a:r>
            <a:rPr lang="en-US" sz="500" kern="1200"/>
            <a:t>Time management skills</a:t>
          </a:r>
        </a:p>
        <a:p>
          <a:pPr marL="57150" lvl="1" indent="-57150" algn="l" defTabSz="222250">
            <a:lnSpc>
              <a:spcPct val="90000"/>
            </a:lnSpc>
            <a:spcBef>
              <a:spcPct val="0"/>
            </a:spcBef>
            <a:spcAft>
              <a:spcPct val="15000"/>
            </a:spcAft>
            <a:buChar char="•"/>
          </a:pPr>
          <a:r>
            <a:rPr lang="en-US" sz="500" kern="1200"/>
            <a:t>Clinical judgment</a:t>
          </a:r>
        </a:p>
      </dsp:txBody>
      <dsp:txXfrm>
        <a:off x="3591992" y="1032892"/>
        <a:ext cx="952205" cy="752401"/>
      </dsp:txXfrm>
    </dsp:sp>
    <dsp:sp modelId="{04434B59-1878-3641-A499-0E30CC29B520}">
      <dsp:nvSpPr>
        <dsp:cNvPr id="0" name=""/>
        <dsp:cNvSpPr/>
      </dsp:nvSpPr>
      <dsp:spPr>
        <a:xfrm rot="19800000">
          <a:off x="3470990" y="2469353"/>
          <a:ext cx="1572880" cy="406744"/>
        </a:xfrm>
        <a:prstGeom prst="leftArrow">
          <a:avLst>
            <a:gd name="adj1" fmla="val 60000"/>
            <a:gd name="adj2" fmla="val 50000"/>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F63FF624-AA9B-4A40-8042-4E9134D6A794}">
      <dsp:nvSpPr>
        <dsp:cNvPr id="0" name=""/>
        <dsp:cNvSpPr/>
      </dsp:nvSpPr>
      <dsp:spPr>
        <a:xfrm>
          <a:off x="4438996" y="1879897"/>
          <a:ext cx="999021" cy="79921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l" defTabSz="311150">
            <a:lnSpc>
              <a:spcPct val="90000"/>
            </a:lnSpc>
            <a:spcBef>
              <a:spcPct val="0"/>
            </a:spcBef>
            <a:spcAft>
              <a:spcPct val="35000"/>
            </a:spcAft>
            <a:buNone/>
          </a:pPr>
          <a:r>
            <a:rPr lang="en-US" sz="700" kern="1200"/>
            <a:t>Leadership </a:t>
          </a:r>
        </a:p>
        <a:p>
          <a:pPr marL="57150" lvl="1" indent="-57150" algn="l" defTabSz="222250">
            <a:lnSpc>
              <a:spcPct val="90000"/>
            </a:lnSpc>
            <a:spcBef>
              <a:spcPct val="0"/>
            </a:spcBef>
            <a:spcAft>
              <a:spcPct val="15000"/>
            </a:spcAft>
            <a:buChar char="•"/>
          </a:pPr>
          <a:r>
            <a:rPr lang="en-US" sz="500" kern="1200"/>
            <a:t>Delegation</a:t>
          </a:r>
        </a:p>
        <a:p>
          <a:pPr marL="57150" lvl="1" indent="-57150" algn="l" defTabSz="222250">
            <a:lnSpc>
              <a:spcPct val="90000"/>
            </a:lnSpc>
            <a:spcBef>
              <a:spcPct val="0"/>
            </a:spcBef>
            <a:spcAft>
              <a:spcPct val="15000"/>
            </a:spcAft>
            <a:buChar char="•"/>
          </a:pPr>
          <a:r>
            <a:rPr lang="en-US" sz="500" kern="1200"/>
            <a:t>Followership</a:t>
          </a:r>
        </a:p>
      </dsp:txBody>
      <dsp:txXfrm>
        <a:off x="4462404" y="1903305"/>
        <a:ext cx="952205" cy="752401"/>
      </dsp:txXfrm>
    </dsp:sp>
    <dsp:sp modelId="{182E8D4C-E321-D54F-BE1A-473C414C50FC}">
      <dsp:nvSpPr>
        <dsp:cNvPr id="0" name=""/>
        <dsp:cNvSpPr/>
      </dsp:nvSpPr>
      <dsp:spPr>
        <a:xfrm>
          <a:off x="3684220" y="3265138"/>
          <a:ext cx="1572880" cy="406744"/>
        </a:xfrm>
        <a:prstGeom prst="lef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59E22410-5392-A44D-9CF6-CD005513657D}">
      <dsp:nvSpPr>
        <dsp:cNvPr id="0" name=""/>
        <dsp:cNvSpPr/>
      </dsp:nvSpPr>
      <dsp:spPr>
        <a:xfrm>
          <a:off x="4757589" y="3068902"/>
          <a:ext cx="999021" cy="799217"/>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l" defTabSz="311150">
            <a:lnSpc>
              <a:spcPct val="90000"/>
            </a:lnSpc>
            <a:spcBef>
              <a:spcPct val="0"/>
            </a:spcBef>
            <a:spcAft>
              <a:spcPct val="35000"/>
            </a:spcAft>
            <a:buNone/>
          </a:pPr>
          <a:r>
            <a:rPr lang="en-US" sz="700" kern="1200"/>
            <a:t>Need to be developed/taught</a:t>
          </a:r>
        </a:p>
        <a:p>
          <a:pPr marL="57150" lvl="1" indent="-57150" algn="l" defTabSz="222250">
            <a:lnSpc>
              <a:spcPct val="90000"/>
            </a:lnSpc>
            <a:spcBef>
              <a:spcPct val="0"/>
            </a:spcBef>
            <a:spcAft>
              <a:spcPct val="15000"/>
            </a:spcAft>
            <a:buChar char="•"/>
          </a:pPr>
          <a:r>
            <a:rPr lang="en-US" sz="500" kern="1200"/>
            <a:t>Not always natural or inherent</a:t>
          </a:r>
        </a:p>
      </dsp:txBody>
      <dsp:txXfrm>
        <a:off x="4780997" y="3092310"/>
        <a:ext cx="952205" cy="752401"/>
      </dsp:txXfrm>
    </dsp:sp>
  </dsp:spTree>
</dsp:drawing>
</file>

<file path=word/diagrams/drawing3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FD5E09-2AD5-664C-9B89-5F0B8AB09EFB}">
      <dsp:nvSpPr>
        <dsp:cNvPr id="0" name=""/>
        <dsp:cNvSpPr/>
      </dsp:nvSpPr>
      <dsp:spPr>
        <a:xfrm>
          <a:off x="2004807" y="1949562"/>
          <a:ext cx="1481864" cy="1481864"/>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US" sz="1500" kern="1200"/>
            <a:t>Human factors: When and how to teach</a:t>
          </a:r>
        </a:p>
      </dsp:txBody>
      <dsp:txXfrm>
        <a:off x="2221821" y="2166576"/>
        <a:ext cx="1047836" cy="1047836"/>
      </dsp:txXfrm>
    </dsp:sp>
    <dsp:sp modelId="{F25CDF65-601D-8A47-94AD-CD44909E051B}">
      <dsp:nvSpPr>
        <dsp:cNvPr id="0" name=""/>
        <dsp:cNvSpPr/>
      </dsp:nvSpPr>
      <dsp:spPr>
        <a:xfrm rot="16200000">
          <a:off x="2522316" y="1701853"/>
          <a:ext cx="446847" cy="48572"/>
        </a:xfrm>
        <a:custGeom>
          <a:avLst/>
          <a:gdLst/>
          <a:ahLst/>
          <a:cxnLst/>
          <a:rect l="0" t="0" r="0" b="0"/>
          <a:pathLst>
            <a:path>
              <a:moveTo>
                <a:pt x="0" y="24286"/>
              </a:moveTo>
              <a:lnTo>
                <a:pt x="446847" y="24286"/>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34568" y="1714968"/>
        <a:ext cx="22342" cy="22342"/>
      </dsp:txXfrm>
    </dsp:sp>
    <dsp:sp modelId="{2D59D095-96C6-B54D-AD19-182504424826}">
      <dsp:nvSpPr>
        <dsp:cNvPr id="0" name=""/>
        <dsp:cNvSpPr/>
      </dsp:nvSpPr>
      <dsp:spPr>
        <a:xfrm>
          <a:off x="2004807" y="20851"/>
          <a:ext cx="1481864" cy="1481864"/>
        </a:xfrm>
        <a:prstGeom prst="ellipse">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l" defTabSz="311150">
            <a:lnSpc>
              <a:spcPct val="90000"/>
            </a:lnSpc>
            <a:spcBef>
              <a:spcPct val="0"/>
            </a:spcBef>
            <a:spcAft>
              <a:spcPct val="35000"/>
            </a:spcAft>
            <a:buNone/>
          </a:pPr>
          <a:r>
            <a:rPr lang="en-US" sz="700" kern="1200"/>
            <a:t>When to start:</a:t>
          </a:r>
        </a:p>
        <a:p>
          <a:pPr marL="57150" lvl="1" indent="-57150" algn="l" defTabSz="222250">
            <a:lnSpc>
              <a:spcPct val="90000"/>
            </a:lnSpc>
            <a:spcBef>
              <a:spcPct val="0"/>
            </a:spcBef>
            <a:spcAft>
              <a:spcPct val="15000"/>
            </a:spcAft>
            <a:buChar char="•"/>
          </a:pPr>
          <a:r>
            <a:rPr lang="en-US" sz="500" kern="1200"/>
            <a:t>Throughout undergraduate curriculum</a:t>
          </a:r>
        </a:p>
        <a:p>
          <a:pPr marL="57150" lvl="1" indent="-57150" algn="l" defTabSz="222250">
            <a:lnSpc>
              <a:spcPct val="90000"/>
            </a:lnSpc>
            <a:spcBef>
              <a:spcPct val="0"/>
            </a:spcBef>
            <a:spcAft>
              <a:spcPct val="15000"/>
            </a:spcAft>
            <a:buChar char="•"/>
          </a:pPr>
          <a:r>
            <a:rPr lang="en-US" sz="500" kern="1200"/>
            <a:t>Start in schools 'life lessons'</a:t>
          </a:r>
        </a:p>
        <a:p>
          <a:pPr marL="57150" lvl="1" indent="-57150" algn="l" defTabSz="222250">
            <a:lnSpc>
              <a:spcPct val="90000"/>
            </a:lnSpc>
            <a:spcBef>
              <a:spcPct val="0"/>
            </a:spcBef>
            <a:spcAft>
              <a:spcPct val="15000"/>
            </a:spcAft>
            <a:buChar char="•"/>
          </a:pPr>
          <a:r>
            <a:rPr lang="en-US" sz="500" kern="1200"/>
            <a:t>If resource limited - focus year 4-5</a:t>
          </a:r>
        </a:p>
      </dsp:txBody>
      <dsp:txXfrm>
        <a:off x="2221821" y="237865"/>
        <a:ext cx="1047836" cy="1047836"/>
      </dsp:txXfrm>
    </dsp:sp>
    <dsp:sp modelId="{FBF829EF-8F36-754B-BCBB-F9710E403672}">
      <dsp:nvSpPr>
        <dsp:cNvPr id="0" name=""/>
        <dsp:cNvSpPr/>
      </dsp:nvSpPr>
      <dsp:spPr>
        <a:xfrm rot="19800000">
          <a:off x="3357472" y="2184030"/>
          <a:ext cx="446847" cy="48572"/>
        </a:xfrm>
        <a:custGeom>
          <a:avLst/>
          <a:gdLst/>
          <a:ahLst/>
          <a:cxnLst/>
          <a:rect l="0" t="0" r="0" b="0"/>
          <a:pathLst>
            <a:path>
              <a:moveTo>
                <a:pt x="0" y="24286"/>
              </a:moveTo>
              <a:lnTo>
                <a:pt x="446847" y="24286"/>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569725" y="2197146"/>
        <a:ext cx="22342" cy="22342"/>
      </dsp:txXfrm>
    </dsp:sp>
    <dsp:sp modelId="{4013632F-4239-894A-9F42-FB48D317C1C7}">
      <dsp:nvSpPr>
        <dsp:cNvPr id="0" name=""/>
        <dsp:cNvSpPr/>
      </dsp:nvSpPr>
      <dsp:spPr>
        <a:xfrm>
          <a:off x="3675120" y="985207"/>
          <a:ext cx="1481864" cy="1481864"/>
        </a:xfrm>
        <a:prstGeom prst="ellipse">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l" defTabSz="311150">
            <a:lnSpc>
              <a:spcPct val="90000"/>
            </a:lnSpc>
            <a:spcBef>
              <a:spcPct val="0"/>
            </a:spcBef>
            <a:spcAft>
              <a:spcPct val="35000"/>
            </a:spcAft>
            <a:buNone/>
          </a:pPr>
          <a:r>
            <a:rPr lang="en-US" sz="700" kern="1200"/>
            <a:t>Embed in curriculum </a:t>
          </a:r>
        </a:p>
        <a:p>
          <a:pPr marL="57150" lvl="1" indent="-57150" algn="l" defTabSz="222250">
            <a:lnSpc>
              <a:spcPct val="90000"/>
            </a:lnSpc>
            <a:spcBef>
              <a:spcPct val="0"/>
            </a:spcBef>
            <a:spcAft>
              <a:spcPct val="15000"/>
            </a:spcAft>
            <a:buChar char="•"/>
          </a:pPr>
          <a:r>
            <a:rPr lang="en-US" sz="500" kern="1200"/>
            <a:t>Coherent &amp; coordinated</a:t>
          </a:r>
        </a:p>
        <a:p>
          <a:pPr marL="57150" lvl="1" indent="-57150" algn="l" defTabSz="222250">
            <a:lnSpc>
              <a:spcPct val="90000"/>
            </a:lnSpc>
            <a:spcBef>
              <a:spcPct val="0"/>
            </a:spcBef>
            <a:spcAft>
              <a:spcPct val="15000"/>
            </a:spcAft>
            <a:buChar char="•"/>
          </a:pPr>
          <a:r>
            <a:rPr lang="en-US" sz="500" kern="1200"/>
            <a:t>Small frequent exercises</a:t>
          </a:r>
        </a:p>
        <a:p>
          <a:pPr marL="57150" lvl="1" indent="-57150" algn="l" defTabSz="222250">
            <a:lnSpc>
              <a:spcPct val="90000"/>
            </a:lnSpc>
            <a:spcBef>
              <a:spcPct val="0"/>
            </a:spcBef>
            <a:spcAft>
              <a:spcPct val="15000"/>
            </a:spcAft>
            <a:buChar char="•"/>
          </a:pPr>
          <a:r>
            <a:rPr lang="en-US" sz="500" kern="1200"/>
            <a:t>Communication skills</a:t>
          </a:r>
        </a:p>
        <a:p>
          <a:pPr marL="57150" lvl="1" indent="-57150" algn="l" defTabSz="222250">
            <a:lnSpc>
              <a:spcPct val="90000"/>
            </a:lnSpc>
            <a:spcBef>
              <a:spcPct val="0"/>
            </a:spcBef>
            <a:spcAft>
              <a:spcPct val="15000"/>
            </a:spcAft>
            <a:buChar char="•"/>
          </a:pPr>
          <a:r>
            <a:rPr lang="en-US" sz="500" kern="1200"/>
            <a:t>Simulation</a:t>
          </a:r>
        </a:p>
        <a:p>
          <a:pPr marL="57150" lvl="1" indent="-57150" algn="l" defTabSz="222250">
            <a:lnSpc>
              <a:spcPct val="90000"/>
            </a:lnSpc>
            <a:spcBef>
              <a:spcPct val="0"/>
            </a:spcBef>
            <a:spcAft>
              <a:spcPct val="15000"/>
            </a:spcAft>
            <a:buChar char="•"/>
          </a:pPr>
          <a:r>
            <a:rPr lang="en-US" sz="500" kern="1200"/>
            <a:t>Holistic approach</a:t>
          </a:r>
        </a:p>
        <a:p>
          <a:pPr marL="57150" lvl="1" indent="-57150" algn="l" defTabSz="222250">
            <a:lnSpc>
              <a:spcPct val="90000"/>
            </a:lnSpc>
            <a:spcBef>
              <a:spcPct val="0"/>
            </a:spcBef>
            <a:spcAft>
              <a:spcPct val="15000"/>
            </a:spcAft>
            <a:buChar char="•"/>
          </a:pPr>
          <a:r>
            <a:rPr lang="en-US" sz="500" kern="1200"/>
            <a:t>Start basic and build</a:t>
          </a:r>
        </a:p>
        <a:p>
          <a:pPr marL="57150" lvl="1" indent="-57150" algn="l" defTabSz="222250">
            <a:lnSpc>
              <a:spcPct val="90000"/>
            </a:lnSpc>
            <a:spcBef>
              <a:spcPct val="0"/>
            </a:spcBef>
            <a:spcAft>
              <a:spcPct val="15000"/>
            </a:spcAft>
            <a:buChar char="•"/>
          </a:pPr>
          <a:r>
            <a:rPr lang="en-US" sz="500" kern="1200"/>
            <a:t>Fully integrate with technical skills</a:t>
          </a:r>
        </a:p>
        <a:p>
          <a:pPr marL="57150" lvl="1" indent="-57150" algn="l" defTabSz="222250">
            <a:lnSpc>
              <a:spcPct val="90000"/>
            </a:lnSpc>
            <a:spcBef>
              <a:spcPct val="0"/>
            </a:spcBef>
            <a:spcAft>
              <a:spcPct val="15000"/>
            </a:spcAft>
            <a:buChar char="•"/>
          </a:pPr>
          <a:r>
            <a:rPr lang="en-US" sz="500" kern="1200"/>
            <a:t>Titrate skills</a:t>
          </a:r>
        </a:p>
      </dsp:txBody>
      <dsp:txXfrm>
        <a:off x="3892134" y="1202221"/>
        <a:ext cx="1047836" cy="1047836"/>
      </dsp:txXfrm>
    </dsp:sp>
    <dsp:sp modelId="{B6915EAC-DEC2-6A48-A6E1-51990005CDEC}">
      <dsp:nvSpPr>
        <dsp:cNvPr id="0" name=""/>
        <dsp:cNvSpPr/>
      </dsp:nvSpPr>
      <dsp:spPr>
        <a:xfrm rot="1800000">
          <a:off x="3357472" y="3148386"/>
          <a:ext cx="446847" cy="48572"/>
        </a:xfrm>
        <a:custGeom>
          <a:avLst/>
          <a:gdLst/>
          <a:ahLst/>
          <a:cxnLst/>
          <a:rect l="0" t="0" r="0" b="0"/>
          <a:pathLst>
            <a:path>
              <a:moveTo>
                <a:pt x="0" y="24286"/>
              </a:moveTo>
              <a:lnTo>
                <a:pt x="446847" y="24286"/>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569725" y="3161501"/>
        <a:ext cx="22342" cy="22342"/>
      </dsp:txXfrm>
    </dsp:sp>
    <dsp:sp modelId="{01282124-BE69-6940-B920-2379146C2766}">
      <dsp:nvSpPr>
        <dsp:cNvPr id="0" name=""/>
        <dsp:cNvSpPr/>
      </dsp:nvSpPr>
      <dsp:spPr>
        <a:xfrm>
          <a:off x="3675120" y="2913918"/>
          <a:ext cx="1481864" cy="1481864"/>
        </a:xfrm>
        <a:prstGeom prst="ellipse">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l" defTabSz="311150">
            <a:lnSpc>
              <a:spcPct val="90000"/>
            </a:lnSpc>
            <a:spcBef>
              <a:spcPct val="0"/>
            </a:spcBef>
            <a:spcAft>
              <a:spcPct val="35000"/>
            </a:spcAft>
            <a:buNone/>
          </a:pPr>
          <a:r>
            <a:rPr lang="en-US" sz="700" kern="1200"/>
            <a:t>Layered skill development</a:t>
          </a:r>
        </a:p>
        <a:p>
          <a:pPr marL="57150" lvl="1" indent="-57150" algn="l" defTabSz="222250">
            <a:lnSpc>
              <a:spcPct val="90000"/>
            </a:lnSpc>
            <a:spcBef>
              <a:spcPct val="0"/>
            </a:spcBef>
            <a:spcAft>
              <a:spcPct val="15000"/>
            </a:spcAft>
            <a:buChar char="•"/>
          </a:pPr>
          <a:r>
            <a:rPr lang="en-US" sz="500" kern="1200"/>
            <a:t>Science of human factors - principles safe clinical system and design</a:t>
          </a:r>
        </a:p>
        <a:p>
          <a:pPr marL="57150" lvl="1" indent="-57150" algn="l" defTabSz="222250">
            <a:lnSpc>
              <a:spcPct val="90000"/>
            </a:lnSpc>
            <a:spcBef>
              <a:spcPct val="0"/>
            </a:spcBef>
            <a:spcAft>
              <a:spcPct val="15000"/>
            </a:spcAft>
            <a:buChar char="•"/>
          </a:pPr>
          <a:r>
            <a:rPr lang="en-US" sz="500" kern="1200"/>
            <a:t>Workshops, video, airline resources</a:t>
          </a:r>
        </a:p>
        <a:p>
          <a:pPr marL="57150" lvl="1" indent="-57150" algn="l" defTabSz="222250">
            <a:lnSpc>
              <a:spcPct val="90000"/>
            </a:lnSpc>
            <a:spcBef>
              <a:spcPct val="0"/>
            </a:spcBef>
            <a:spcAft>
              <a:spcPct val="15000"/>
            </a:spcAft>
            <a:buChar char="•"/>
          </a:pPr>
          <a:r>
            <a:rPr lang="en-US" sz="500" kern="1200"/>
            <a:t>Teach mental models - remain present</a:t>
          </a:r>
        </a:p>
        <a:p>
          <a:pPr marL="57150" lvl="1" indent="-57150" algn="l" defTabSz="222250">
            <a:lnSpc>
              <a:spcPct val="90000"/>
            </a:lnSpc>
            <a:spcBef>
              <a:spcPct val="0"/>
            </a:spcBef>
            <a:spcAft>
              <a:spcPct val="15000"/>
            </a:spcAft>
            <a:buChar char="•"/>
          </a:pPr>
          <a:r>
            <a:rPr lang="en-US" sz="500" kern="1200"/>
            <a:t>Technical skill (basic) then layer on non-technical (complex)</a:t>
          </a:r>
        </a:p>
        <a:p>
          <a:pPr marL="57150" lvl="1" indent="-57150" algn="l" defTabSz="222250">
            <a:lnSpc>
              <a:spcPct val="90000"/>
            </a:lnSpc>
            <a:spcBef>
              <a:spcPct val="0"/>
            </a:spcBef>
            <a:spcAft>
              <a:spcPct val="15000"/>
            </a:spcAft>
            <a:buChar char="•"/>
          </a:pPr>
          <a:r>
            <a:rPr lang="en-US" sz="500" kern="1200"/>
            <a:t>Recreate responsibility - pretest pilot for level of pressure</a:t>
          </a:r>
        </a:p>
      </dsp:txBody>
      <dsp:txXfrm>
        <a:off x="3892134" y="3130932"/>
        <a:ext cx="1047836" cy="1047836"/>
      </dsp:txXfrm>
    </dsp:sp>
    <dsp:sp modelId="{F5519E52-D47D-D645-8106-AD7AA0B4E71F}">
      <dsp:nvSpPr>
        <dsp:cNvPr id="0" name=""/>
        <dsp:cNvSpPr/>
      </dsp:nvSpPr>
      <dsp:spPr>
        <a:xfrm rot="5400000">
          <a:off x="2522316" y="3630564"/>
          <a:ext cx="446847" cy="48572"/>
        </a:xfrm>
        <a:custGeom>
          <a:avLst/>
          <a:gdLst/>
          <a:ahLst/>
          <a:cxnLst/>
          <a:rect l="0" t="0" r="0" b="0"/>
          <a:pathLst>
            <a:path>
              <a:moveTo>
                <a:pt x="0" y="24286"/>
              </a:moveTo>
              <a:lnTo>
                <a:pt x="446847" y="24286"/>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34568" y="3643679"/>
        <a:ext cx="22342" cy="22342"/>
      </dsp:txXfrm>
    </dsp:sp>
    <dsp:sp modelId="{37088883-32C5-1B46-90F2-D55FB43414B0}">
      <dsp:nvSpPr>
        <dsp:cNvPr id="0" name=""/>
        <dsp:cNvSpPr/>
      </dsp:nvSpPr>
      <dsp:spPr>
        <a:xfrm>
          <a:off x="2004807" y="3878274"/>
          <a:ext cx="1481864" cy="1481864"/>
        </a:xfrm>
        <a:prstGeom prst="ellipse">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l" defTabSz="311150">
            <a:lnSpc>
              <a:spcPct val="90000"/>
            </a:lnSpc>
            <a:spcBef>
              <a:spcPct val="0"/>
            </a:spcBef>
            <a:spcAft>
              <a:spcPct val="35000"/>
            </a:spcAft>
            <a:buNone/>
          </a:pPr>
          <a:r>
            <a:rPr lang="en-US" sz="700" kern="1200"/>
            <a:t>Interprofessionally </a:t>
          </a:r>
        </a:p>
        <a:p>
          <a:pPr marL="57150" lvl="1" indent="-57150" algn="l" defTabSz="222250">
            <a:lnSpc>
              <a:spcPct val="90000"/>
            </a:lnSpc>
            <a:spcBef>
              <a:spcPct val="0"/>
            </a:spcBef>
            <a:spcAft>
              <a:spcPct val="15000"/>
            </a:spcAft>
            <a:buChar char="•"/>
          </a:pPr>
          <a:r>
            <a:rPr lang="en-US" sz="500" kern="1200"/>
            <a:t>From start of training/ introduction</a:t>
          </a:r>
        </a:p>
        <a:p>
          <a:pPr marL="57150" lvl="1" indent="-57150" algn="l" defTabSz="222250">
            <a:lnSpc>
              <a:spcPct val="90000"/>
            </a:lnSpc>
            <a:spcBef>
              <a:spcPct val="0"/>
            </a:spcBef>
            <a:spcAft>
              <a:spcPct val="15000"/>
            </a:spcAft>
            <a:buChar char="•"/>
          </a:pPr>
          <a:r>
            <a:rPr lang="en-US" sz="500" kern="1200"/>
            <a:t>Feedback from team and surrogate patients </a:t>
          </a:r>
        </a:p>
        <a:p>
          <a:pPr marL="57150" lvl="1" indent="-57150" algn="l" defTabSz="222250">
            <a:lnSpc>
              <a:spcPct val="90000"/>
            </a:lnSpc>
            <a:spcBef>
              <a:spcPct val="0"/>
            </a:spcBef>
            <a:spcAft>
              <a:spcPct val="15000"/>
            </a:spcAft>
            <a:buChar char="•"/>
          </a:pPr>
          <a:r>
            <a:rPr lang="en-US" sz="500" kern="1200"/>
            <a:t>Authentic, repectful, valued</a:t>
          </a:r>
        </a:p>
        <a:p>
          <a:pPr marL="57150" lvl="1" indent="-57150" algn="l" defTabSz="222250">
            <a:lnSpc>
              <a:spcPct val="90000"/>
            </a:lnSpc>
            <a:spcBef>
              <a:spcPct val="0"/>
            </a:spcBef>
            <a:spcAft>
              <a:spcPct val="15000"/>
            </a:spcAft>
            <a:buChar char="•"/>
          </a:pPr>
          <a:r>
            <a:rPr lang="en-US" sz="500" kern="1200"/>
            <a:t>Contextualise, learn along side applicaiton</a:t>
          </a:r>
        </a:p>
      </dsp:txBody>
      <dsp:txXfrm>
        <a:off x="2221821" y="4095288"/>
        <a:ext cx="1047836" cy="1047836"/>
      </dsp:txXfrm>
    </dsp:sp>
    <dsp:sp modelId="{B53659CF-B4EA-994C-9B7A-ED67F976DB16}">
      <dsp:nvSpPr>
        <dsp:cNvPr id="0" name=""/>
        <dsp:cNvSpPr/>
      </dsp:nvSpPr>
      <dsp:spPr>
        <a:xfrm rot="9000000">
          <a:off x="1687160" y="3148386"/>
          <a:ext cx="446847" cy="48572"/>
        </a:xfrm>
        <a:custGeom>
          <a:avLst/>
          <a:gdLst/>
          <a:ahLst/>
          <a:cxnLst/>
          <a:rect l="0" t="0" r="0" b="0"/>
          <a:pathLst>
            <a:path>
              <a:moveTo>
                <a:pt x="0" y="24286"/>
              </a:moveTo>
              <a:lnTo>
                <a:pt x="446847" y="24286"/>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899412" y="3161501"/>
        <a:ext cx="22342" cy="22342"/>
      </dsp:txXfrm>
    </dsp:sp>
    <dsp:sp modelId="{C29ED962-FACF-E640-84F0-7AC700765306}">
      <dsp:nvSpPr>
        <dsp:cNvPr id="0" name=""/>
        <dsp:cNvSpPr/>
      </dsp:nvSpPr>
      <dsp:spPr>
        <a:xfrm>
          <a:off x="334495" y="2913918"/>
          <a:ext cx="1481864" cy="1481864"/>
        </a:xfrm>
        <a:prstGeom prst="ellipse">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l" defTabSz="311150">
            <a:lnSpc>
              <a:spcPct val="90000"/>
            </a:lnSpc>
            <a:spcBef>
              <a:spcPct val="0"/>
            </a:spcBef>
            <a:spcAft>
              <a:spcPct val="35000"/>
            </a:spcAft>
            <a:buNone/>
          </a:pPr>
          <a:r>
            <a:rPr lang="en-US" sz="700" kern="1200"/>
            <a:t>Role modelling and personal learning</a:t>
          </a:r>
        </a:p>
        <a:p>
          <a:pPr marL="57150" lvl="1" indent="-57150" algn="l" defTabSz="222250">
            <a:lnSpc>
              <a:spcPct val="90000"/>
            </a:lnSpc>
            <a:spcBef>
              <a:spcPct val="0"/>
            </a:spcBef>
            <a:spcAft>
              <a:spcPct val="15000"/>
            </a:spcAft>
            <a:buChar char="•"/>
          </a:pPr>
          <a:r>
            <a:rPr lang="en-US" sz="500" kern="1200"/>
            <a:t>Share own personal experiences and stories</a:t>
          </a:r>
        </a:p>
        <a:p>
          <a:pPr marL="57150" lvl="1" indent="-57150" algn="l" defTabSz="222250">
            <a:lnSpc>
              <a:spcPct val="90000"/>
            </a:lnSpc>
            <a:spcBef>
              <a:spcPct val="0"/>
            </a:spcBef>
            <a:spcAft>
              <a:spcPct val="15000"/>
            </a:spcAft>
            <a:buChar char="•"/>
          </a:pPr>
          <a:r>
            <a:rPr lang="en-US" sz="500" kern="1200"/>
            <a:t>Create flexible and open space</a:t>
          </a:r>
        </a:p>
        <a:p>
          <a:pPr marL="57150" lvl="1" indent="-57150" algn="l" defTabSz="222250">
            <a:lnSpc>
              <a:spcPct val="90000"/>
            </a:lnSpc>
            <a:spcBef>
              <a:spcPct val="0"/>
            </a:spcBef>
            <a:spcAft>
              <a:spcPct val="15000"/>
            </a:spcAft>
            <a:buChar char="•"/>
          </a:pPr>
          <a:r>
            <a:rPr lang="en-US" sz="500" kern="1200"/>
            <a:t>Empathetic to learners</a:t>
          </a:r>
        </a:p>
        <a:p>
          <a:pPr marL="57150" lvl="1" indent="-57150" algn="l" defTabSz="222250">
            <a:lnSpc>
              <a:spcPct val="90000"/>
            </a:lnSpc>
            <a:spcBef>
              <a:spcPct val="0"/>
            </a:spcBef>
            <a:spcAft>
              <a:spcPct val="15000"/>
            </a:spcAft>
            <a:buChar char="•"/>
          </a:pPr>
          <a:r>
            <a:rPr lang="en-US" sz="500" kern="1200"/>
            <a:t>Holistic approach to education</a:t>
          </a:r>
        </a:p>
        <a:p>
          <a:pPr marL="57150" lvl="1" indent="-57150" algn="l" defTabSz="222250">
            <a:lnSpc>
              <a:spcPct val="90000"/>
            </a:lnSpc>
            <a:spcBef>
              <a:spcPct val="0"/>
            </a:spcBef>
            <a:spcAft>
              <a:spcPct val="15000"/>
            </a:spcAft>
            <a:buChar char="•"/>
          </a:pPr>
          <a:r>
            <a:rPr lang="en-US" sz="500" kern="1200"/>
            <a:t>Know how candidates learn, engage with them, make effective</a:t>
          </a:r>
        </a:p>
      </dsp:txBody>
      <dsp:txXfrm>
        <a:off x="551509" y="3130932"/>
        <a:ext cx="1047836" cy="1047836"/>
      </dsp:txXfrm>
    </dsp:sp>
    <dsp:sp modelId="{8D6395AA-D3C8-C444-9DE4-61A8F3BDB7AE}">
      <dsp:nvSpPr>
        <dsp:cNvPr id="0" name=""/>
        <dsp:cNvSpPr/>
      </dsp:nvSpPr>
      <dsp:spPr>
        <a:xfrm rot="12600000">
          <a:off x="1687160" y="2184030"/>
          <a:ext cx="446847" cy="48572"/>
        </a:xfrm>
        <a:custGeom>
          <a:avLst/>
          <a:gdLst/>
          <a:ahLst/>
          <a:cxnLst/>
          <a:rect l="0" t="0" r="0" b="0"/>
          <a:pathLst>
            <a:path>
              <a:moveTo>
                <a:pt x="0" y="24286"/>
              </a:moveTo>
              <a:lnTo>
                <a:pt x="446847" y="24286"/>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899412" y="2197146"/>
        <a:ext cx="22342" cy="22342"/>
      </dsp:txXfrm>
    </dsp:sp>
    <dsp:sp modelId="{166E822E-BD45-B547-91CF-E043E4236F7C}">
      <dsp:nvSpPr>
        <dsp:cNvPr id="0" name=""/>
        <dsp:cNvSpPr/>
      </dsp:nvSpPr>
      <dsp:spPr>
        <a:xfrm>
          <a:off x="334495" y="985207"/>
          <a:ext cx="1481864" cy="1481864"/>
        </a:xfrm>
        <a:prstGeom prst="ellipse">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l" defTabSz="311150">
            <a:lnSpc>
              <a:spcPct val="90000"/>
            </a:lnSpc>
            <a:spcBef>
              <a:spcPct val="0"/>
            </a:spcBef>
            <a:spcAft>
              <a:spcPct val="35000"/>
            </a:spcAft>
            <a:buNone/>
          </a:pPr>
          <a:r>
            <a:rPr lang="en-US" sz="700" kern="1200"/>
            <a:t>Patient safety</a:t>
          </a:r>
        </a:p>
        <a:p>
          <a:pPr marL="57150" lvl="1" indent="-57150" algn="l" defTabSz="222250">
            <a:lnSpc>
              <a:spcPct val="90000"/>
            </a:lnSpc>
            <a:spcBef>
              <a:spcPct val="0"/>
            </a:spcBef>
            <a:spcAft>
              <a:spcPct val="15000"/>
            </a:spcAft>
            <a:buChar char="•"/>
          </a:pPr>
          <a:r>
            <a:rPr lang="en-US" sz="500" kern="1200"/>
            <a:t>Assessment of risk</a:t>
          </a:r>
        </a:p>
        <a:p>
          <a:pPr marL="57150" lvl="1" indent="-57150" algn="l" defTabSz="222250">
            <a:lnSpc>
              <a:spcPct val="90000"/>
            </a:lnSpc>
            <a:spcBef>
              <a:spcPct val="0"/>
            </a:spcBef>
            <a:spcAft>
              <a:spcPct val="15000"/>
            </a:spcAft>
            <a:buChar char="•"/>
          </a:pPr>
          <a:r>
            <a:rPr lang="en-US" sz="500" kern="1200"/>
            <a:t>Managing risk</a:t>
          </a:r>
        </a:p>
        <a:p>
          <a:pPr marL="57150" lvl="1" indent="-57150" algn="l" defTabSz="222250">
            <a:lnSpc>
              <a:spcPct val="90000"/>
            </a:lnSpc>
            <a:spcBef>
              <a:spcPct val="0"/>
            </a:spcBef>
            <a:spcAft>
              <a:spcPct val="15000"/>
            </a:spcAft>
            <a:buChar char="•"/>
          </a:pPr>
          <a:r>
            <a:rPr lang="en-US" sz="500" kern="1200"/>
            <a:t>Learning from serious untoward incidents</a:t>
          </a:r>
        </a:p>
        <a:p>
          <a:pPr marL="57150" lvl="1" indent="-57150" algn="l" defTabSz="222250">
            <a:lnSpc>
              <a:spcPct val="90000"/>
            </a:lnSpc>
            <a:spcBef>
              <a:spcPct val="0"/>
            </a:spcBef>
            <a:spcAft>
              <a:spcPct val="15000"/>
            </a:spcAft>
            <a:buChar char="•"/>
          </a:pPr>
          <a:r>
            <a:rPr lang="en-US" sz="500" kern="1200"/>
            <a:t>Skill development around process and system</a:t>
          </a:r>
        </a:p>
      </dsp:txBody>
      <dsp:txXfrm>
        <a:off x="551509" y="1202221"/>
        <a:ext cx="1047836" cy="1047836"/>
      </dsp:txXfrm>
    </dsp:sp>
  </dsp:spTree>
</dsp:drawing>
</file>

<file path=word/diagrams/drawing3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8C3EFE-9ACF-2C4F-9083-F2C3CC4B39EC}">
      <dsp:nvSpPr>
        <dsp:cNvPr id="0" name=""/>
        <dsp:cNvSpPr/>
      </dsp:nvSpPr>
      <dsp:spPr>
        <a:xfrm>
          <a:off x="2624527" y="1047747"/>
          <a:ext cx="892133" cy="243860"/>
        </a:xfrm>
        <a:custGeom>
          <a:avLst/>
          <a:gdLst/>
          <a:ahLst/>
          <a:cxnLst/>
          <a:rect l="0" t="0" r="0" b="0"/>
          <a:pathLst>
            <a:path>
              <a:moveTo>
                <a:pt x="0" y="0"/>
              </a:moveTo>
              <a:lnTo>
                <a:pt x="0" y="198780"/>
              </a:lnTo>
              <a:lnTo>
                <a:pt x="892133" y="198780"/>
              </a:lnTo>
              <a:lnTo>
                <a:pt x="892133" y="243860"/>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F4C8F96-184C-7C48-88AF-56458540D516}">
      <dsp:nvSpPr>
        <dsp:cNvPr id="0" name=""/>
        <dsp:cNvSpPr/>
      </dsp:nvSpPr>
      <dsp:spPr>
        <a:xfrm>
          <a:off x="2921905" y="1600610"/>
          <a:ext cx="2676400" cy="331960"/>
        </a:xfrm>
        <a:custGeom>
          <a:avLst/>
          <a:gdLst/>
          <a:ahLst/>
          <a:cxnLst/>
          <a:rect l="0" t="0" r="0" b="0"/>
          <a:pathLst>
            <a:path>
              <a:moveTo>
                <a:pt x="0" y="0"/>
              </a:moveTo>
              <a:lnTo>
                <a:pt x="0" y="286880"/>
              </a:lnTo>
              <a:lnTo>
                <a:pt x="2676400" y="286880"/>
              </a:lnTo>
              <a:lnTo>
                <a:pt x="2676400" y="331960"/>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B4824D4-F39E-AB4F-AA1C-E6E1E956720C}">
      <dsp:nvSpPr>
        <dsp:cNvPr id="0" name=""/>
        <dsp:cNvSpPr/>
      </dsp:nvSpPr>
      <dsp:spPr>
        <a:xfrm>
          <a:off x="5003550" y="2241572"/>
          <a:ext cx="297377" cy="141524"/>
        </a:xfrm>
        <a:custGeom>
          <a:avLst/>
          <a:gdLst/>
          <a:ahLst/>
          <a:cxnLst/>
          <a:rect l="0" t="0" r="0" b="0"/>
          <a:pathLst>
            <a:path>
              <a:moveTo>
                <a:pt x="0" y="0"/>
              </a:moveTo>
              <a:lnTo>
                <a:pt x="0" y="96445"/>
              </a:lnTo>
              <a:lnTo>
                <a:pt x="297377" y="96445"/>
              </a:lnTo>
              <a:lnTo>
                <a:pt x="297377" y="141524"/>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D381AD6-AA19-8249-AD6A-96ADA332A8DE}">
      <dsp:nvSpPr>
        <dsp:cNvPr id="0" name=""/>
        <dsp:cNvSpPr/>
      </dsp:nvSpPr>
      <dsp:spPr>
        <a:xfrm>
          <a:off x="4706172" y="2241572"/>
          <a:ext cx="297377" cy="141524"/>
        </a:xfrm>
        <a:custGeom>
          <a:avLst/>
          <a:gdLst/>
          <a:ahLst/>
          <a:cxnLst/>
          <a:rect l="0" t="0" r="0" b="0"/>
          <a:pathLst>
            <a:path>
              <a:moveTo>
                <a:pt x="297377" y="0"/>
              </a:moveTo>
              <a:lnTo>
                <a:pt x="297377" y="96445"/>
              </a:lnTo>
              <a:lnTo>
                <a:pt x="0" y="96445"/>
              </a:lnTo>
              <a:lnTo>
                <a:pt x="0" y="141524"/>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1A96AEB-A191-9247-9FD9-E978DBF25C15}">
      <dsp:nvSpPr>
        <dsp:cNvPr id="0" name=""/>
        <dsp:cNvSpPr/>
      </dsp:nvSpPr>
      <dsp:spPr>
        <a:xfrm>
          <a:off x="2921905" y="1600610"/>
          <a:ext cx="2081644" cy="331960"/>
        </a:xfrm>
        <a:custGeom>
          <a:avLst/>
          <a:gdLst/>
          <a:ahLst/>
          <a:cxnLst/>
          <a:rect l="0" t="0" r="0" b="0"/>
          <a:pathLst>
            <a:path>
              <a:moveTo>
                <a:pt x="0" y="0"/>
              </a:moveTo>
              <a:lnTo>
                <a:pt x="0" y="286880"/>
              </a:lnTo>
              <a:lnTo>
                <a:pt x="2081644" y="286880"/>
              </a:lnTo>
              <a:lnTo>
                <a:pt x="2081644" y="331960"/>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87474A5-3A47-C747-A2C8-1751DBD8D820}">
      <dsp:nvSpPr>
        <dsp:cNvPr id="0" name=""/>
        <dsp:cNvSpPr/>
      </dsp:nvSpPr>
      <dsp:spPr>
        <a:xfrm>
          <a:off x="3814039" y="2241572"/>
          <a:ext cx="297377" cy="141524"/>
        </a:xfrm>
        <a:custGeom>
          <a:avLst/>
          <a:gdLst/>
          <a:ahLst/>
          <a:cxnLst/>
          <a:rect l="0" t="0" r="0" b="0"/>
          <a:pathLst>
            <a:path>
              <a:moveTo>
                <a:pt x="0" y="0"/>
              </a:moveTo>
              <a:lnTo>
                <a:pt x="0" y="96445"/>
              </a:lnTo>
              <a:lnTo>
                <a:pt x="297377" y="96445"/>
              </a:lnTo>
              <a:lnTo>
                <a:pt x="297377" y="141524"/>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DA678B4-C0C5-FA49-BD74-239555D43798}">
      <dsp:nvSpPr>
        <dsp:cNvPr id="0" name=""/>
        <dsp:cNvSpPr/>
      </dsp:nvSpPr>
      <dsp:spPr>
        <a:xfrm>
          <a:off x="3516661" y="2241572"/>
          <a:ext cx="297377" cy="141524"/>
        </a:xfrm>
        <a:custGeom>
          <a:avLst/>
          <a:gdLst/>
          <a:ahLst/>
          <a:cxnLst/>
          <a:rect l="0" t="0" r="0" b="0"/>
          <a:pathLst>
            <a:path>
              <a:moveTo>
                <a:pt x="297377" y="0"/>
              </a:moveTo>
              <a:lnTo>
                <a:pt x="297377" y="96445"/>
              </a:lnTo>
              <a:lnTo>
                <a:pt x="0" y="96445"/>
              </a:lnTo>
              <a:lnTo>
                <a:pt x="0" y="141524"/>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6798D22-85A8-7240-B2B3-2029161075ED}">
      <dsp:nvSpPr>
        <dsp:cNvPr id="0" name=""/>
        <dsp:cNvSpPr/>
      </dsp:nvSpPr>
      <dsp:spPr>
        <a:xfrm>
          <a:off x="2921905" y="1600610"/>
          <a:ext cx="892133" cy="331960"/>
        </a:xfrm>
        <a:custGeom>
          <a:avLst/>
          <a:gdLst/>
          <a:ahLst/>
          <a:cxnLst/>
          <a:rect l="0" t="0" r="0" b="0"/>
          <a:pathLst>
            <a:path>
              <a:moveTo>
                <a:pt x="0" y="0"/>
              </a:moveTo>
              <a:lnTo>
                <a:pt x="0" y="286880"/>
              </a:lnTo>
              <a:lnTo>
                <a:pt x="892133" y="286880"/>
              </a:lnTo>
              <a:lnTo>
                <a:pt x="892133" y="331960"/>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3B54F19-692F-6247-ACC3-BF6EF696FB90}">
      <dsp:nvSpPr>
        <dsp:cNvPr id="0" name=""/>
        <dsp:cNvSpPr/>
      </dsp:nvSpPr>
      <dsp:spPr>
        <a:xfrm>
          <a:off x="2624527" y="2241572"/>
          <a:ext cx="297377" cy="141524"/>
        </a:xfrm>
        <a:custGeom>
          <a:avLst/>
          <a:gdLst/>
          <a:ahLst/>
          <a:cxnLst/>
          <a:rect l="0" t="0" r="0" b="0"/>
          <a:pathLst>
            <a:path>
              <a:moveTo>
                <a:pt x="0" y="0"/>
              </a:moveTo>
              <a:lnTo>
                <a:pt x="0" y="96445"/>
              </a:lnTo>
              <a:lnTo>
                <a:pt x="297377" y="96445"/>
              </a:lnTo>
              <a:lnTo>
                <a:pt x="297377" y="141524"/>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6C2DFC1-9A06-E942-90B8-6D910B07EE2C}">
      <dsp:nvSpPr>
        <dsp:cNvPr id="0" name=""/>
        <dsp:cNvSpPr/>
      </dsp:nvSpPr>
      <dsp:spPr>
        <a:xfrm>
          <a:off x="2327149" y="2241572"/>
          <a:ext cx="297377" cy="141524"/>
        </a:xfrm>
        <a:custGeom>
          <a:avLst/>
          <a:gdLst/>
          <a:ahLst/>
          <a:cxnLst/>
          <a:rect l="0" t="0" r="0" b="0"/>
          <a:pathLst>
            <a:path>
              <a:moveTo>
                <a:pt x="297377" y="0"/>
              </a:moveTo>
              <a:lnTo>
                <a:pt x="297377" y="96445"/>
              </a:lnTo>
              <a:lnTo>
                <a:pt x="0" y="96445"/>
              </a:lnTo>
              <a:lnTo>
                <a:pt x="0" y="141524"/>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324B314-BA2F-9640-98F1-666207EA8978}">
      <dsp:nvSpPr>
        <dsp:cNvPr id="0" name=""/>
        <dsp:cNvSpPr/>
      </dsp:nvSpPr>
      <dsp:spPr>
        <a:xfrm>
          <a:off x="2624527" y="1600610"/>
          <a:ext cx="297377" cy="331960"/>
        </a:xfrm>
        <a:custGeom>
          <a:avLst/>
          <a:gdLst/>
          <a:ahLst/>
          <a:cxnLst/>
          <a:rect l="0" t="0" r="0" b="0"/>
          <a:pathLst>
            <a:path>
              <a:moveTo>
                <a:pt x="297377" y="0"/>
              </a:moveTo>
              <a:lnTo>
                <a:pt x="297377" y="286880"/>
              </a:lnTo>
              <a:lnTo>
                <a:pt x="0" y="286880"/>
              </a:lnTo>
              <a:lnTo>
                <a:pt x="0" y="331960"/>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9695432-560F-AD4B-8995-58B39197D096}">
      <dsp:nvSpPr>
        <dsp:cNvPr id="0" name=""/>
        <dsp:cNvSpPr/>
      </dsp:nvSpPr>
      <dsp:spPr>
        <a:xfrm>
          <a:off x="1686674" y="2241572"/>
          <a:ext cx="91440" cy="141524"/>
        </a:xfrm>
        <a:custGeom>
          <a:avLst/>
          <a:gdLst/>
          <a:ahLst/>
          <a:cxnLst/>
          <a:rect l="0" t="0" r="0" b="0"/>
          <a:pathLst>
            <a:path>
              <a:moveTo>
                <a:pt x="45720" y="0"/>
              </a:moveTo>
              <a:lnTo>
                <a:pt x="45720" y="141524"/>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9F317D8-BA33-A94C-96D4-565E1B03C140}">
      <dsp:nvSpPr>
        <dsp:cNvPr id="0" name=""/>
        <dsp:cNvSpPr/>
      </dsp:nvSpPr>
      <dsp:spPr>
        <a:xfrm>
          <a:off x="1732394" y="1600610"/>
          <a:ext cx="1189511" cy="331960"/>
        </a:xfrm>
        <a:custGeom>
          <a:avLst/>
          <a:gdLst/>
          <a:ahLst/>
          <a:cxnLst/>
          <a:rect l="0" t="0" r="0" b="0"/>
          <a:pathLst>
            <a:path>
              <a:moveTo>
                <a:pt x="1189511" y="0"/>
              </a:moveTo>
              <a:lnTo>
                <a:pt x="1189511" y="286880"/>
              </a:lnTo>
              <a:lnTo>
                <a:pt x="0" y="286880"/>
              </a:lnTo>
              <a:lnTo>
                <a:pt x="0" y="331960"/>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C336296-D0C3-0A4A-9E7A-F27D5A57595C}">
      <dsp:nvSpPr>
        <dsp:cNvPr id="0" name=""/>
        <dsp:cNvSpPr/>
      </dsp:nvSpPr>
      <dsp:spPr>
        <a:xfrm>
          <a:off x="840260" y="2241572"/>
          <a:ext cx="297377" cy="141524"/>
        </a:xfrm>
        <a:custGeom>
          <a:avLst/>
          <a:gdLst/>
          <a:ahLst/>
          <a:cxnLst/>
          <a:rect l="0" t="0" r="0" b="0"/>
          <a:pathLst>
            <a:path>
              <a:moveTo>
                <a:pt x="0" y="0"/>
              </a:moveTo>
              <a:lnTo>
                <a:pt x="0" y="96445"/>
              </a:lnTo>
              <a:lnTo>
                <a:pt x="297377" y="96445"/>
              </a:lnTo>
              <a:lnTo>
                <a:pt x="297377" y="141524"/>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B33F945-E0A5-3349-B163-88A9AD49B167}">
      <dsp:nvSpPr>
        <dsp:cNvPr id="0" name=""/>
        <dsp:cNvSpPr/>
      </dsp:nvSpPr>
      <dsp:spPr>
        <a:xfrm>
          <a:off x="542882" y="2241572"/>
          <a:ext cx="297377" cy="141524"/>
        </a:xfrm>
        <a:custGeom>
          <a:avLst/>
          <a:gdLst/>
          <a:ahLst/>
          <a:cxnLst/>
          <a:rect l="0" t="0" r="0" b="0"/>
          <a:pathLst>
            <a:path>
              <a:moveTo>
                <a:pt x="297377" y="0"/>
              </a:moveTo>
              <a:lnTo>
                <a:pt x="297377" y="96445"/>
              </a:lnTo>
              <a:lnTo>
                <a:pt x="0" y="96445"/>
              </a:lnTo>
              <a:lnTo>
                <a:pt x="0" y="141524"/>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EA6332F-D85C-4045-9F1B-2CF021E41876}">
      <dsp:nvSpPr>
        <dsp:cNvPr id="0" name=""/>
        <dsp:cNvSpPr/>
      </dsp:nvSpPr>
      <dsp:spPr>
        <a:xfrm>
          <a:off x="840260" y="1600610"/>
          <a:ext cx="2081644" cy="331960"/>
        </a:xfrm>
        <a:custGeom>
          <a:avLst/>
          <a:gdLst/>
          <a:ahLst/>
          <a:cxnLst/>
          <a:rect l="0" t="0" r="0" b="0"/>
          <a:pathLst>
            <a:path>
              <a:moveTo>
                <a:pt x="2081644" y="0"/>
              </a:moveTo>
              <a:lnTo>
                <a:pt x="2081644" y="286880"/>
              </a:lnTo>
              <a:lnTo>
                <a:pt x="0" y="286880"/>
              </a:lnTo>
              <a:lnTo>
                <a:pt x="0" y="331960"/>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94CF632-9D1E-C348-BB89-38788FE9BB8F}">
      <dsp:nvSpPr>
        <dsp:cNvPr id="0" name=""/>
        <dsp:cNvSpPr/>
      </dsp:nvSpPr>
      <dsp:spPr>
        <a:xfrm>
          <a:off x="245505" y="1600610"/>
          <a:ext cx="2676400" cy="331960"/>
        </a:xfrm>
        <a:custGeom>
          <a:avLst/>
          <a:gdLst/>
          <a:ahLst/>
          <a:cxnLst/>
          <a:rect l="0" t="0" r="0" b="0"/>
          <a:pathLst>
            <a:path>
              <a:moveTo>
                <a:pt x="2676400" y="0"/>
              </a:moveTo>
              <a:lnTo>
                <a:pt x="2676400" y="286880"/>
              </a:lnTo>
              <a:lnTo>
                <a:pt x="0" y="286880"/>
              </a:lnTo>
              <a:lnTo>
                <a:pt x="0" y="331960"/>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C90ADC5-4880-3B4E-845A-B8704AAAB633}">
      <dsp:nvSpPr>
        <dsp:cNvPr id="0" name=""/>
        <dsp:cNvSpPr/>
      </dsp:nvSpPr>
      <dsp:spPr>
        <a:xfrm>
          <a:off x="2624527" y="1047747"/>
          <a:ext cx="297377" cy="243860"/>
        </a:xfrm>
        <a:custGeom>
          <a:avLst/>
          <a:gdLst/>
          <a:ahLst/>
          <a:cxnLst/>
          <a:rect l="0" t="0" r="0" b="0"/>
          <a:pathLst>
            <a:path>
              <a:moveTo>
                <a:pt x="0" y="0"/>
              </a:moveTo>
              <a:lnTo>
                <a:pt x="0" y="198780"/>
              </a:lnTo>
              <a:lnTo>
                <a:pt x="297377" y="198780"/>
              </a:lnTo>
              <a:lnTo>
                <a:pt x="297377" y="243860"/>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3181633-AD02-F146-899F-1216AFB4C8E0}">
      <dsp:nvSpPr>
        <dsp:cNvPr id="0" name=""/>
        <dsp:cNvSpPr/>
      </dsp:nvSpPr>
      <dsp:spPr>
        <a:xfrm>
          <a:off x="2327149" y="1047747"/>
          <a:ext cx="297377" cy="243860"/>
        </a:xfrm>
        <a:custGeom>
          <a:avLst/>
          <a:gdLst/>
          <a:ahLst/>
          <a:cxnLst/>
          <a:rect l="0" t="0" r="0" b="0"/>
          <a:pathLst>
            <a:path>
              <a:moveTo>
                <a:pt x="297377" y="0"/>
              </a:moveTo>
              <a:lnTo>
                <a:pt x="297377" y="198780"/>
              </a:lnTo>
              <a:lnTo>
                <a:pt x="0" y="198780"/>
              </a:lnTo>
              <a:lnTo>
                <a:pt x="0" y="243860"/>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72B763B-7A02-7E4F-AE00-CEF802B751EE}">
      <dsp:nvSpPr>
        <dsp:cNvPr id="0" name=""/>
        <dsp:cNvSpPr/>
      </dsp:nvSpPr>
      <dsp:spPr>
        <a:xfrm>
          <a:off x="1732394" y="1047747"/>
          <a:ext cx="892133" cy="243863"/>
        </a:xfrm>
        <a:custGeom>
          <a:avLst/>
          <a:gdLst/>
          <a:ahLst/>
          <a:cxnLst/>
          <a:rect l="0" t="0" r="0" b="0"/>
          <a:pathLst>
            <a:path>
              <a:moveTo>
                <a:pt x="892133" y="0"/>
              </a:moveTo>
              <a:lnTo>
                <a:pt x="892133" y="198783"/>
              </a:lnTo>
              <a:lnTo>
                <a:pt x="0" y="198783"/>
              </a:lnTo>
              <a:lnTo>
                <a:pt x="0" y="243863"/>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1775200-0E22-2841-B4C4-8B2D50749DDF}">
      <dsp:nvSpPr>
        <dsp:cNvPr id="0" name=""/>
        <dsp:cNvSpPr/>
      </dsp:nvSpPr>
      <dsp:spPr>
        <a:xfrm>
          <a:off x="2250315" y="706453"/>
          <a:ext cx="748423" cy="341293"/>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7291523F-B16D-D140-B5E9-D3EDB3B5896F}">
      <dsp:nvSpPr>
        <dsp:cNvPr id="0" name=""/>
        <dsp:cNvSpPr/>
      </dsp:nvSpPr>
      <dsp:spPr>
        <a:xfrm>
          <a:off x="2304384" y="757819"/>
          <a:ext cx="748423" cy="34129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Challenges and barriers of simulation based medical education</a:t>
          </a:r>
        </a:p>
      </dsp:txBody>
      <dsp:txXfrm>
        <a:off x="2314380" y="767815"/>
        <a:ext cx="728431" cy="321301"/>
      </dsp:txXfrm>
    </dsp:sp>
    <dsp:sp modelId="{0A4AE3C7-EA99-D443-A232-A668508B34AF}">
      <dsp:nvSpPr>
        <dsp:cNvPr id="0" name=""/>
        <dsp:cNvSpPr/>
      </dsp:nvSpPr>
      <dsp:spPr>
        <a:xfrm>
          <a:off x="1489085" y="1291610"/>
          <a:ext cx="486618" cy="309002"/>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E8B87D59-DFDC-D540-8C0F-CA07F431A641}">
      <dsp:nvSpPr>
        <dsp:cNvPr id="0" name=""/>
        <dsp:cNvSpPr/>
      </dsp:nvSpPr>
      <dsp:spPr>
        <a:xfrm>
          <a:off x="1543153" y="1342975"/>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Engagement</a:t>
          </a:r>
        </a:p>
      </dsp:txBody>
      <dsp:txXfrm>
        <a:off x="1552203" y="1352025"/>
        <a:ext cx="468518" cy="290902"/>
      </dsp:txXfrm>
    </dsp:sp>
    <dsp:sp modelId="{26A8C7CE-6513-8745-AFDF-FF878C494319}">
      <dsp:nvSpPr>
        <dsp:cNvPr id="0" name=""/>
        <dsp:cNvSpPr/>
      </dsp:nvSpPr>
      <dsp:spPr>
        <a:xfrm>
          <a:off x="2083840" y="1291607"/>
          <a:ext cx="486618" cy="309002"/>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33C1C26-2920-5A44-9BF4-D3C40A40E1EE}">
      <dsp:nvSpPr>
        <dsp:cNvPr id="0" name=""/>
        <dsp:cNvSpPr/>
      </dsp:nvSpPr>
      <dsp:spPr>
        <a:xfrm>
          <a:off x="2137909" y="134297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Quality</a:t>
          </a:r>
        </a:p>
      </dsp:txBody>
      <dsp:txXfrm>
        <a:off x="2146959" y="1352022"/>
        <a:ext cx="468518" cy="290902"/>
      </dsp:txXfrm>
    </dsp:sp>
    <dsp:sp modelId="{2AD3E44A-DE29-AC46-BCCC-483FBEE65D49}">
      <dsp:nvSpPr>
        <dsp:cNvPr id="0" name=""/>
        <dsp:cNvSpPr/>
      </dsp:nvSpPr>
      <dsp:spPr>
        <a:xfrm>
          <a:off x="2678596" y="1291607"/>
          <a:ext cx="486618" cy="309002"/>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F58CF80-265B-2442-BE29-EF0804AD6AF5}">
      <dsp:nvSpPr>
        <dsp:cNvPr id="0" name=""/>
        <dsp:cNvSpPr/>
      </dsp:nvSpPr>
      <dsp:spPr>
        <a:xfrm>
          <a:off x="2732665" y="134297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Monetary</a:t>
          </a:r>
        </a:p>
      </dsp:txBody>
      <dsp:txXfrm>
        <a:off x="2741715" y="1352022"/>
        <a:ext cx="468518" cy="290902"/>
      </dsp:txXfrm>
    </dsp:sp>
    <dsp:sp modelId="{5DB05DB9-0B53-EF49-8E83-26E5E212E2DB}">
      <dsp:nvSpPr>
        <dsp:cNvPr id="0" name=""/>
        <dsp:cNvSpPr/>
      </dsp:nvSpPr>
      <dsp:spPr>
        <a:xfrm>
          <a:off x="2195" y="1932570"/>
          <a:ext cx="486618" cy="30900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5BA79BD-126D-E74D-AFBA-E63DB25E6C06}">
      <dsp:nvSpPr>
        <dsp:cNvPr id="0" name=""/>
        <dsp:cNvSpPr/>
      </dsp:nvSpPr>
      <dsp:spPr>
        <a:xfrm>
          <a:off x="56264" y="1983935"/>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Cost of equipment &amp; maintenance</a:t>
          </a:r>
        </a:p>
      </dsp:txBody>
      <dsp:txXfrm>
        <a:off x="65314" y="1992985"/>
        <a:ext cx="468518" cy="290902"/>
      </dsp:txXfrm>
    </dsp:sp>
    <dsp:sp modelId="{20143C43-3EAA-4146-8D09-66D5A862D928}">
      <dsp:nvSpPr>
        <dsp:cNvPr id="0" name=""/>
        <dsp:cNvSpPr/>
      </dsp:nvSpPr>
      <dsp:spPr>
        <a:xfrm>
          <a:off x="596951" y="1932570"/>
          <a:ext cx="486618" cy="30900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D9A3C8B-B04B-6449-BD3C-11625D70AD0E}">
      <dsp:nvSpPr>
        <dsp:cNvPr id="0" name=""/>
        <dsp:cNvSpPr/>
      </dsp:nvSpPr>
      <dsp:spPr>
        <a:xfrm>
          <a:off x="651020" y="1983935"/>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Cost of space</a:t>
          </a:r>
        </a:p>
      </dsp:txBody>
      <dsp:txXfrm>
        <a:off x="660070" y="1992985"/>
        <a:ext cx="468518" cy="290902"/>
      </dsp:txXfrm>
    </dsp:sp>
    <dsp:sp modelId="{96CD34F6-CCD1-A343-930A-93878805753E}">
      <dsp:nvSpPr>
        <dsp:cNvPr id="0" name=""/>
        <dsp:cNvSpPr/>
      </dsp:nvSpPr>
      <dsp:spPr>
        <a:xfrm>
          <a:off x="299573" y="2383097"/>
          <a:ext cx="486618" cy="3090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1920A8A-7B47-C04A-8E5A-BD5D04714B97}">
      <dsp:nvSpPr>
        <dsp:cNvPr id="0" name=""/>
        <dsp:cNvSpPr/>
      </dsp:nvSpPr>
      <dsp:spPr>
        <a:xfrm>
          <a:off x="353642" y="243446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In situ</a:t>
          </a:r>
        </a:p>
      </dsp:txBody>
      <dsp:txXfrm>
        <a:off x="362692" y="2443512"/>
        <a:ext cx="468518" cy="290902"/>
      </dsp:txXfrm>
    </dsp:sp>
    <dsp:sp modelId="{38E6826B-E1A4-E94C-8202-D676D274E5B9}">
      <dsp:nvSpPr>
        <dsp:cNvPr id="0" name=""/>
        <dsp:cNvSpPr/>
      </dsp:nvSpPr>
      <dsp:spPr>
        <a:xfrm>
          <a:off x="894329" y="2383097"/>
          <a:ext cx="486618" cy="3090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CBCC980-F7A5-FE49-B7D5-B3A372601C1D}">
      <dsp:nvSpPr>
        <dsp:cNvPr id="0" name=""/>
        <dsp:cNvSpPr/>
      </dsp:nvSpPr>
      <dsp:spPr>
        <a:xfrm>
          <a:off x="948398" y="243446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Education / simulation centre</a:t>
          </a:r>
        </a:p>
      </dsp:txBody>
      <dsp:txXfrm>
        <a:off x="957448" y="2443512"/>
        <a:ext cx="468518" cy="290902"/>
      </dsp:txXfrm>
    </dsp:sp>
    <dsp:sp modelId="{9D6FA621-F56B-3848-BAA2-A22D4B55129F}">
      <dsp:nvSpPr>
        <dsp:cNvPr id="0" name=""/>
        <dsp:cNvSpPr/>
      </dsp:nvSpPr>
      <dsp:spPr>
        <a:xfrm>
          <a:off x="1489085" y="1932570"/>
          <a:ext cx="486618" cy="30900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00C15A5-29AC-8942-93B4-665612D67DA4}">
      <dsp:nvSpPr>
        <dsp:cNvPr id="0" name=""/>
        <dsp:cNvSpPr/>
      </dsp:nvSpPr>
      <dsp:spPr>
        <a:xfrm>
          <a:off x="1543153" y="1983935"/>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Cost of faculty</a:t>
          </a:r>
        </a:p>
      </dsp:txBody>
      <dsp:txXfrm>
        <a:off x="1552203" y="1992985"/>
        <a:ext cx="468518" cy="290902"/>
      </dsp:txXfrm>
    </dsp:sp>
    <dsp:sp modelId="{310A3550-ECFF-4349-96F7-E40754BEFB58}">
      <dsp:nvSpPr>
        <dsp:cNvPr id="0" name=""/>
        <dsp:cNvSpPr/>
      </dsp:nvSpPr>
      <dsp:spPr>
        <a:xfrm>
          <a:off x="1489085" y="2383097"/>
          <a:ext cx="486618" cy="3090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7D32EBEE-6D9B-3B49-A7E6-EC59ECECD9D8}">
      <dsp:nvSpPr>
        <dsp:cNvPr id="0" name=""/>
        <dsp:cNvSpPr/>
      </dsp:nvSpPr>
      <dsp:spPr>
        <a:xfrm>
          <a:off x="1543153" y="243446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Specialist skill/ generalisable skill</a:t>
          </a:r>
        </a:p>
      </dsp:txBody>
      <dsp:txXfrm>
        <a:off x="1552203" y="2443512"/>
        <a:ext cx="468518" cy="290902"/>
      </dsp:txXfrm>
    </dsp:sp>
    <dsp:sp modelId="{DCA4985A-3EFF-D14D-BF86-3F855F2CBBB1}">
      <dsp:nvSpPr>
        <dsp:cNvPr id="0" name=""/>
        <dsp:cNvSpPr/>
      </dsp:nvSpPr>
      <dsp:spPr>
        <a:xfrm>
          <a:off x="2381218" y="1932570"/>
          <a:ext cx="486618" cy="30900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60E4BE4-F341-E243-B01F-DE5DD8663460}">
      <dsp:nvSpPr>
        <dsp:cNvPr id="0" name=""/>
        <dsp:cNvSpPr/>
      </dsp:nvSpPr>
      <dsp:spPr>
        <a:xfrm>
          <a:off x="2435287" y="1983935"/>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Cost effectiveness</a:t>
          </a:r>
        </a:p>
      </dsp:txBody>
      <dsp:txXfrm>
        <a:off x="2444337" y="1992985"/>
        <a:ext cx="468518" cy="290902"/>
      </dsp:txXfrm>
    </dsp:sp>
    <dsp:sp modelId="{A95E07F7-49DE-B943-9395-BC682436B8B6}">
      <dsp:nvSpPr>
        <dsp:cNvPr id="0" name=""/>
        <dsp:cNvSpPr/>
      </dsp:nvSpPr>
      <dsp:spPr>
        <a:xfrm>
          <a:off x="2083840" y="2383097"/>
          <a:ext cx="486618" cy="3090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0CBDCBA-4A12-AA42-A8CB-0ABEE1DD7A39}">
      <dsp:nvSpPr>
        <dsp:cNvPr id="0" name=""/>
        <dsp:cNvSpPr/>
      </dsp:nvSpPr>
      <dsp:spPr>
        <a:xfrm>
          <a:off x="2137909" y="243446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Number of students to train</a:t>
          </a:r>
        </a:p>
      </dsp:txBody>
      <dsp:txXfrm>
        <a:off x="2146959" y="2443512"/>
        <a:ext cx="468518" cy="290902"/>
      </dsp:txXfrm>
    </dsp:sp>
    <dsp:sp modelId="{121F00C1-76D1-C646-8369-979EF90C9EDB}">
      <dsp:nvSpPr>
        <dsp:cNvPr id="0" name=""/>
        <dsp:cNvSpPr/>
      </dsp:nvSpPr>
      <dsp:spPr>
        <a:xfrm>
          <a:off x="2678596" y="2383097"/>
          <a:ext cx="486618" cy="3090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A84C5BC-168A-8844-8D43-4387D7331EF0}">
      <dsp:nvSpPr>
        <dsp:cNvPr id="0" name=""/>
        <dsp:cNvSpPr/>
      </dsp:nvSpPr>
      <dsp:spPr>
        <a:xfrm>
          <a:off x="2732665" y="243446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Added value over traditional methods</a:t>
          </a:r>
        </a:p>
      </dsp:txBody>
      <dsp:txXfrm>
        <a:off x="2741715" y="2443512"/>
        <a:ext cx="468518" cy="290902"/>
      </dsp:txXfrm>
    </dsp:sp>
    <dsp:sp modelId="{6C2E1C25-FAA3-F948-BF8E-97E0C1D1CF91}">
      <dsp:nvSpPr>
        <dsp:cNvPr id="0" name=""/>
        <dsp:cNvSpPr/>
      </dsp:nvSpPr>
      <dsp:spPr>
        <a:xfrm>
          <a:off x="3570730" y="1932570"/>
          <a:ext cx="486618" cy="30900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53A5D40-D6B5-0944-912E-DB94BF95C722}">
      <dsp:nvSpPr>
        <dsp:cNvPr id="0" name=""/>
        <dsp:cNvSpPr/>
      </dsp:nvSpPr>
      <dsp:spPr>
        <a:xfrm>
          <a:off x="3624798" y="1983935"/>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Study budgets</a:t>
          </a:r>
        </a:p>
      </dsp:txBody>
      <dsp:txXfrm>
        <a:off x="3633848" y="1992985"/>
        <a:ext cx="468518" cy="290902"/>
      </dsp:txXfrm>
    </dsp:sp>
    <dsp:sp modelId="{F3A60510-7811-E048-82E9-6281EED14621}">
      <dsp:nvSpPr>
        <dsp:cNvPr id="0" name=""/>
        <dsp:cNvSpPr/>
      </dsp:nvSpPr>
      <dsp:spPr>
        <a:xfrm>
          <a:off x="3273352" y="2383097"/>
          <a:ext cx="486618" cy="3090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13A58BF-30BE-3345-967B-86E29ECA49DA}">
      <dsp:nvSpPr>
        <dsp:cNvPr id="0" name=""/>
        <dsp:cNvSpPr/>
      </dsp:nvSpPr>
      <dsp:spPr>
        <a:xfrm>
          <a:off x="3327420" y="243446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Availability</a:t>
          </a:r>
        </a:p>
      </dsp:txBody>
      <dsp:txXfrm>
        <a:off x="3336470" y="2443512"/>
        <a:ext cx="468518" cy="290902"/>
      </dsp:txXfrm>
    </dsp:sp>
    <dsp:sp modelId="{EF553876-0EC1-0844-A9BD-3465A64A89B8}">
      <dsp:nvSpPr>
        <dsp:cNvPr id="0" name=""/>
        <dsp:cNvSpPr/>
      </dsp:nvSpPr>
      <dsp:spPr>
        <a:xfrm>
          <a:off x="3868107" y="2383097"/>
          <a:ext cx="486618" cy="3090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686988B-171D-8C4F-8FA6-983F853694C1}">
      <dsp:nvSpPr>
        <dsp:cNvPr id="0" name=""/>
        <dsp:cNvSpPr/>
      </dsp:nvSpPr>
      <dsp:spPr>
        <a:xfrm>
          <a:off x="3922176" y="243446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Inter-professional team</a:t>
          </a:r>
        </a:p>
      </dsp:txBody>
      <dsp:txXfrm>
        <a:off x="3931226" y="2443512"/>
        <a:ext cx="468518" cy="290902"/>
      </dsp:txXfrm>
    </dsp:sp>
    <dsp:sp modelId="{05B58AB3-D370-B544-A663-2909AE554BC0}">
      <dsp:nvSpPr>
        <dsp:cNvPr id="0" name=""/>
        <dsp:cNvSpPr/>
      </dsp:nvSpPr>
      <dsp:spPr>
        <a:xfrm>
          <a:off x="4760241" y="1932570"/>
          <a:ext cx="486618" cy="30900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D103A7A-A91C-2149-B813-B47B84222110}">
      <dsp:nvSpPr>
        <dsp:cNvPr id="0" name=""/>
        <dsp:cNvSpPr/>
      </dsp:nvSpPr>
      <dsp:spPr>
        <a:xfrm>
          <a:off x="4814310" y="1983935"/>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Cost of accreditation/ faculty training</a:t>
          </a:r>
        </a:p>
      </dsp:txBody>
      <dsp:txXfrm>
        <a:off x="4823360" y="1992985"/>
        <a:ext cx="468518" cy="290902"/>
      </dsp:txXfrm>
    </dsp:sp>
    <dsp:sp modelId="{F5A8FAB2-8BEF-2642-BC53-E47160434C91}">
      <dsp:nvSpPr>
        <dsp:cNvPr id="0" name=""/>
        <dsp:cNvSpPr/>
      </dsp:nvSpPr>
      <dsp:spPr>
        <a:xfrm>
          <a:off x="4462863" y="2383097"/>
          <a:ext cx="486618" cy="3090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BA3C403-6ACD-BB44-B92B-7FD02168D117}">
      <dsp:nvSpPr>
        <dsp:cNvPr id="0" name=""/>
        <dsp:cNvSpPr/>
      </dsp:nvSpPr>
      <dsp:spPr>
        <a:xfrm>
          <a:off x="4516932" y="243446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Time</a:t>
          </a:r>
        </a:p>
      </dsp:txBody>
      <dsp:txXfrm>
        <a:off x="4525982" y="2443512"/>
        <a:ext cx="468518" cy="290902"/>
      </dsp:txXfrm>
    </dsp:sp>
    <dsp:sp modelId="{3A5FBD14-B25F-7640-91C6-0319C31D5E85}">
      <dsp:nvSpPr>
        <dsp:cNvPr id="0" name=""/>
        <dsp:cNvSpPr/>
      </dsp:nvSpPr>
      <dsp:spPr>
        <a:xfrm>
          <a:off x="5057619" y="2383097"/>
          <a:ext cx="486618" cy="30900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A2BE8A0-0A13-444B-BF30-B7801A77BD1B}">
      <dsp:nvSpPr>
        <dsp:cNvPr id="0" name=""/>
        <dsp:cNvSpPr/>
      </dsp:nvSpPr>
      <dsp:spPr>
        <a:xfrm>
          <a:off x="5111687" y="243446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Direct cost, revalidation</a:t>
          </a:r>
        </a:p>
      </dsp:txBody>
      <dsp:txXfrm>
        <a:off x="5120737" y="2443512"/>
        <a:ext cx="468518" cy="290902"/>
      </dsp:txXfrm>
    </dsp:sp>
    <dsp:sp modelId="{F2350155-EE81-1441-ABBB-F94C2B000805}">
      <dsp:nvSpPr>
        <dsp:cNvPr id="0" name=""/>
        <dsp:cNvSpPr/>
      </dsp:nvSpPr>
      <dsp:spPr>
        <a:xfrm>
          <a:off x="5354997" y="1932570"/>
          <a:ext cx="486618" cy="30900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3FB204C6-6C05-5547-968F-878C98E0AE7F}">
      <dsp:nvSpPr>
        <dsp:cNvPr id="0" name=""/>
        <dsp:cNvSpPr/>
      </dsp:nvSpPr>
      <dsp:spPr>
        <a:xfrm>
          <a:off x="5409065" y="1983935"/>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Cost of support - eg technical/IT</a:t>
          </a:r>
        </a:p>
      </dsp:txBody>
      <dsp:txXfrm>
        <a:off x="5418115" y="1992985"/>
        <a:ext cx="468518" cy="290902"/>
      </dsp:txXfrm>
    </dsp:sp>
    <dsp:sp modelId="{2B95C6B6-15A8-4E44-AF55-2786C6007AC8}">
      <dsp:nvSpPr>
        <dsp:cNvPr id="0" name=""/>
        <dsp:cNvSpPr/>
      </dsp:nvSpPr>
      <dsp:spPr>
        <a:xfrm>
          <a:off x="3273352" y="1291607"/>
          <a:ext cx="486618" cy="309002"/>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365D0CE-1E29-B84C-8C16-E2B09860CADE}">
      <dsp:nvSpPr>
        <dsp:cNvPr id="0" name=""/>
        <dsp:cNvSpPr/>
      </dsp:nvSpPr>
      <dsp:spPr>
        <a:xfrm>
          <a:off x="3327420" y="1342972"/>
          <a:ext cx="486618" cy="309002"/>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Physical</a:t>
          </a:r>
        </a:p>
      </dsp:txBody>
      <dsp:txXfrm>
        <a:off x="3336470" y="1352022"/>
        <a:ext cx="468518" cy="290902"/>
      </dsp:txXfrm>
    </dsp:sp>
  </dsp:spTree>
</dsp:drawing>
</file>

<file path=word/diagrams/drawing3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50AFFB-297B-4F46-BF2C-AC3B671C51A4}">
      <dsp:nvSpPr>
        <dsp:cNvPr id="0" name=""/>
        <dsp:cNvSpPr/>
      </dsp:nvSpPr>
      <dsp:spPr>
        <a:xfrm>
          <a:off x="4647630" y="1815881"/>
          <a:ext cx="1289024" cy="91440"/>
        </a:xfrm>
        <a:custGeom>
          <a:avLst/>
          <a:gdLst/>
          <a:ahLst/>
          <a:cxnLst/>
          <a:rect l="0" t="0" r="0" b="0"/>
          <a:pathLst>
            <a:path>
              <a:moveTo>
                <a:pt x="0" y="45720"/>
              </a:moveTo>
              <a:lnTo>
                <a:pt x="0" y="106883"/>
              </a:lnTo>
              <a:lnTo>
                <a:pt x="1289024" y="106883"/>
              </a:lnTo>
              <a:lnTo>
                <a:pt x="1289024"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8864210-6C60-CA4F-86C8-652B8103BC27}">
      <dsp:nvSpPr>
        <dsp:cNvPr id="0" name=""/>
        <dsp:cNvSpPr/>
      </dsp:nvSpPr>
      <dsp:spPr>
        <a:xfrm>
          <a:off x="5483967" y="2092958"/>
          <a:ext cx="377183" cy="91440"/>
        </a:xfrm>
        <a:custGeom>
          <a:avLst/>
          <a:gdLst/>
          <a:ahLst/>
          <a:cxnLst/>
          <a:rect l="0" t="0" r="0" b="0"/>
          <a:pathLst>
            <a:path>
              <a:moveTo>
                <a:pt x="0" y="45720"/>
              </a:moveTo>
              <a:lnTo>
                <a:pt x="0" y="106883"/>
              </a:lnTo>
              <a:lnTo>
                <a:pt x="377183" y="106883"/>
              </a:lnTo>
              <a:lnTo>
                <a:pt x="377183"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72C510D-CA51-1244-BC60-686730BFA024}">
      <dsp:nvSpPr>
        <dsp:cNvPr id="0" name=""/>
        <dsp:cNvSpPr/>
      </dsp:nvSpPr>
      <dsp:spPr>
        <a:xfrm>
          <a:off x="5438247" y="2092958"/>
          <a:ext cx="91440" cy="91440"/>
        </a:xfrm>
        <a:custGeom>
          <a:avLst/>
          <a:gdLst/>
          <a:ahLst/>
          <a:cxnLst/>
          <a:rect l="0" t="0" r="0" b="0"/>
          <a:pathLst>
            <a:path>
              <a:moveTo>
                <a:pt x="45720" y="45720"/>
              </a:moveTo>
              <a:lnTo>
                <a:pt x="4572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6769727-E6E8-D148-AB1B-C6F7FC7297C3}">
      <dsp:nvSpPr>
        <dsp:cNvPr id="0" name=""/>
        <dsp:cNvSpPr/>
      </dsp:nvSpPr>
      <dsp:spPr>
        <a:xfrm>
          <a:off x="5106783" y="2092958"/>
          <a:ext cx="377183" cy="91440"/>
        </a:xfrm>
        <a:custGeom>
          <a:avLst/>
          <a:gdLst/>
          <a:ahLst/>
          <a:cxnLst/>
          <a:rect l="0" t="0" r="0" b="0"/>
          <a:pathLst>
            <a:path>
              <a:moveTo>
                <a:pt x="377183" y="45720"/>
              </a:moveTo>
              <a:lnTo>
                <a:pt x="377183"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B2F26B7-6F3B-3B43-8A93-BFE21E5213F8}">
      <dsp:nvSpPr>
        <dsp:cNvPr id="0" name=""/>
        <dsp:cNvSpPr/>
      </dsp:nvSpPr>
      <dsp:spPr>
        <a:xfrm>
          <a:off x="4647630" y="1815881"/>
          <a:ext cx="836336" cy="91440"/>
        </a:xfrm>
        <a:custGeom>
          <a:avLst/>
          <a:gdLst/>
          <a:ahLst/>
          <a:cxnLst/>
          <a:rect l="0" t="0" r="0" b="0"/>
          <a:pathLst>
            <a:path>
              <a:moveTo>
                <a:pt x="0" y="45720"/>
              </a:moveTo>
              <a:lnTo>
                <a:pt x="0" y="106883"/>
              </a:lnTo>
              <a:lnTo>
                <a:pt x="836336" y="106883"/>
              </a:lnTo>
              <a:lnTo>
                <a:pt x="836336"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10B30FF-27F8-7343-AE4D-9F6C5B0403C3}">
      <dsp:nvSpPr>
        <dsp:cNvPr id="0" name=""/>
        <dsp:cNvSpPr/>
      </dsp:nvSpPr>
      <dsp:spPr>
        <a:xfrm>
          <a:off x="4729599" y="2873244"/>
          <a:ext cx="405172" cy="91440"/>
        </a:xfrm>
        <a:custGeom>
          <a:avLst/>
          <a:gdLst/>
          <a:ahLst/>
          <a:cxnLst/>
          <a:rect l="0" t="0" r="0" b="0"/>
          <a:pathLst>
            <a:path>
              <a:moveTo>
                <a:pt x="0" y="45720"/>
              </a:moveTo>
              <a:lnTo>
                <a:pt x="0" y="106883"/>
              </a:lnTo>
              <a:lnTo>
                <a:pt x="405172" y="106883"/>
              </a:lnTo>
              <a:lnTo>
                <a:pt x="405172"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E14176B-B6B6-A144-A2AA-074E0A70C005}">
      <dsp:nvSpPr>
        <dsp:cNvPr id="0" name=""/>
        <dsp:cNvSpPr/>
      </dsp:nvSpPr>
      <dsp:spPr>
        <a:xfrm>
          <a:off x="4587167" y="2873244"/>
          <a:ext cx="142431" cy="91440"/>
        </a:xfrm>
        <a:custGeom>
          <a:avLst/>
          <a:gdLst/>
          <a:ahLst/>
          <a:cxnLst/>
          <a:rect l="0" t="0" r="0" b="0"/>
          <a:pathLst>
            <a:path>
              <a:moveTo>
                <a:pt x="142431" y="45720"/>
              </a:moveTo>
              <a:lnTo>
                <a:pt x="142431"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8109481-FCAB-E340-893E-DB5DF0293404}">
      <dsp:nvSpPr>
        <dsp:cNvPr id="0" name=""/>
        <dsp:cNvSpPr/>
      </dsp:nvSpPr>
      <dsp:spPr>
        <a:xfrm>
          <a:off x="4181994" y="2873244"/>
          <a:ext cx="547604" cy="91440"/>
        </a:xfrm>
        <a:custGeom>
          <a:avLst/>
          <a:gdLst/>
          <a:ahLst/>
          <a:cxnLst/>
          <a:rect l="0" t="0" r="0" b="0"/>
          <a:pathLst>
            <a:path>
              <a:moveTo>
                <a:pt x="547604" y="45720"/>
              </a:moveTo>
              <a:lnTo>
                <a:pt x="547604"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9E2380A-F2A8-F445-809C-5703A9AB3EE9}">
      <dsp:nvSpPr>
        <dsp:cNvPr id="0" name=""/>
        <dsp:cNvSpPr/>
      </dsp:nvSpPr>
      <dsp:spPr>
        <a:xfrm>
          <a:off x="4683879" y="2593083"/>
          <a:ext cx="91440" cy="91440"/>
        </a:xfrm>
        <a:custGeom>
          <a:avLst/>
          <a:gdLst/>
          <a:ahLst/>
          <a:cxnLst/>
          <a:rect l="0" t="0" r="0" b="0"/>
          <a:pathLst>
            <a:path>
              <a:moveTo>
                <a:pt x="45720" y="45720"/>
              </a:moveTo>
              <a:lnTo>
                <a:pt x="4572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5BA360C-7EF9-C54D-A441-F558C3AA88EB}">
      <dsp:nvSpPr>
        <dsp:cNvPr id="0" name=""/>
        <dsp:cNvSpPr/>
      </dsp:nvSpPr>
      <dsp:spPr>
        <a:xfrm>
          <a:off x="4352415" y="2101598"/>
          <a:ext cx="377183" cy="91440"/>
        </a:xfrm>
        <a:custGeom>
          <a:avLst/>
          <a:gdLst/>
          <a:ahLst/>
          <a:cxnLst/>
          <a:rect l="0" t="0" r="0" b="0"/>
          <a:pathLst>
            <a:path>
              <a:moveTo>
                <a:pt x="0" y="45720"/>
              </a:moveTo>
              <a:lnTo>
                <a:pt x="0" y="106883"/>
              </a:lnTo>
              <a:lnTo>
                <a:pt x="377183" y="106883"/>
              </a:lnTo>
              <a:lnTo>
                <a:pt x="377183"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E6102C4-4E0F-5A4D-A7EB-99C433F21565}">
      <dsp:nvSpPr>
        <dsp:cNvPr id="0" name=""/>
        <dsp:cNvSpPr/>
      </dsp:nvSpPr>
      <dsp:spPr>
        <a:xfrm>
          <a:off x="4306695" y="2101598"/>
          <a:ext cx="91440" cy="91440"/>
        </a:xfrm>
        <a:custGeom>
          <a:avLst/>
          <a:gdLst/>
          <a:ahLst/>
          <a:cxnLst/>
          <a:rect l="0" t="0" r="0" b="0"/>
          <a:pathLst>
            <a:path>
              <a:moveTo>
                <a:pt x="45720" y="45720"/>
              </a:moveTo>
              <a:lnTo>
                <a:pt x="4572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893E211-A2B6-794F-AD87-7026268AA5EF}">
      <dsp:nvSpPr>
        <dsp:cNvPr id="0" name=""/>
        <dsp:cNvSpPr/>
      </dsp:nvSpPr>
      <dsp:spPr>
        <a:xfrm>
          <a:off x="3975231" y="2101598"/>
          <a:ext cx="377183" cy="91440"/>
        </a:xfrm>
        <a:custGeom>
          <a:avLst/>
          <a:gdLst/>
          <a:ahLst/>
          <a:cxnLst/>
          <a:rect l="0" t="0" r="0" b="0"/>
          <a:pathLst>
            <a:path>
              <a:moveTo>
                <a:pt x="377183" y="45720"/>
              </a:moveTo>
              <a:lnTo>
                <a:pt x="377183"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724D365-6FAA-FC45-A079-DAE373EFDA56}">
      <dsp:nvSpPr>
        <dsp:cNvPr id="0" name=""/>
        <dsp:cNvSpPr/>
      </dsp:nvSpPr>
      <dsp:spPr>
        <a:xfrm>
          <a:off x="4352415" y="1815881"/>
          <a:ext cx="295215" cy="91440"/>
        </a:xfrm>
        <a:custGeom>
          <a:avLst/>
          <a:gdLst/>
          <a:ahLst/>
          <a:cxnLst/>
          <a:rect l="0" t="0" r="0" b="0"/>
          <a:pathLst>
            <a:path>
              <a:moveTo>
                <a:pt x="295215" y="45720"/>
              </a:moveTo>
              <a:lnTo>
                <a:pt x="295215"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EA7AE1D-3A42-434C-B45A-0B9D6712B865}">
      <dsp:nvSpPr>
        <dsp:cNvPr id="0" name=""/>
        <dsp:cNvSpPr/>
      </dsp:nvSpPr>
      <dsp:spPr>
        <a:xfrm>
          <a:off x="3711028" y="2833378"/>
          <a:ext cx="91440" cy="91440"/>
        </a:xfrm>
        <a:custGeom>
          <a:avLst/>
          <a:gdLst/>
          <a:ahLst/>
          <a:cxnLst/>
          <a:rect l="0" t="0" r="0" b="0"/>
          <a:pathLst>
            <a:path>
              <a:moveTo>
                <a:pt x="45720" y="45720"/>
              </a:moveTo>
              <a:lnTo>
                <a:pt x="4572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BC817EB-010D-6643-953A-4EB4F9F30FAD}">
      <dsp:nvSpPr>
        <dsp:cNvPr id="0" name=""/>
        <dsp:cNvSpPr/>
      </dsp:nvSpPr>
      <dsp:spPr>
        <a:xfrm>
          <a:off x="3379564" y="2336304"/>
          <a:ext cx="377183" cy="91440"/>
        </a:xfrm>
        <a:custGeom>
          <a:avLst/>
          <a:gdLst/>
          <a:ahLst/>
          <a:cxnLst/>
          <a:rect l="0" t="0" r="0" b="0"/>
          <a:pathLst>
            <a:path>
              <a:moveTo>
                <a:pt x="0" y="45720"/>
              </a:moveTo>
              <a:lnTo>
                <a:pt x="0" y="106883"/>
              </a:lnTo>
              <a:lnTo>
                <a:pt x="377183" y="106883"/>
              </a:lnTo>
              <a:lnTo>
                <a:pt x="377183"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2C37300-DFA2-DC41-9E86-F30232D5B4FF}">
      <dsp:nvSpPr>
        <dsp:cNvPr id="0" name=""/>
        <dsp:cNvSpPr/>
      </dsp:nvSpPr>
      <dsp:spPr>
        <a:xfrm>
          <a:off x="3333844" y="2336304"/>
          <a:ext cx="91440" cy="91440"/>
        </a:xfrm>
        <a:custGeom>
          <a:avLst/>
          <a:gdLst/>
          <a:ahLst/>
          <a:cxnLst/>
          <a:rect l="0" t="0" r="0" b="0"/>
          <a:pathLst>
            <a:path>
              <a:moveTo>
                <a:pt x="45720" y="45720"/>
              </a:moveTo>
              <a:lnTo>
                <a:pt x="4572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C988994-65AC-D140-866E-7CF6DEE24473}">
      <dsp:nvSpPr>
        <dsp:cNvPr id="0" name=""/>
        <dsp:cNvSpPr/>
      </dsp:nvSpPr>
      <dsp:spPr>
        <a:xfrm>
          <a:off x="2956660" y="2622021"/>
          <a:ext cx="91440" cy="91440"/>
        </a:xfrm>
        <a:custGeom>
          <a:avLst/>
          <a:gdLst/>
          <a:ahLst/>
          <a:cxnLst/>
          <a:rect l="0" t="0" r="0" b="0"/>
          <a:pathLst>
            <a:path>
              <a:moveTo>
                <a:pt x="45720" y="45720"/>
              </a:moveTo>
              <a:lnTo>
                <a:pt x="4572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3DFADEA-0F28-8E4F-A301-A4F5AFF0073C}">
      <dsp:nvSpPr>
        <dsp:cNvPr id="0" name=""/>
        <dsp:cNvSpPr/>
      </dsp:nvSpPr>
      <dsp:spPr>
        <a:xfrm>
          <a:off x="3002380" y="2336304"/>
          <a:ext cx="377183" cy="91440"/>
        </a:xfrm>
        <a:custGeom>
          <a:avLst/>
          <a:gdLst/>
          <a:ahLst/>
          <a:cxnLst/>
          <a:rect l="0" t="0" r="0" b="0"/>
          <a:pathLst>
            <a:path>
              <a:moveTo>
                <a:pt x="377183" y="45720"/>
              </a:moveTo>
              <a:lnTo>
                <a:pt x="377183"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047285E-6150-2348-928D-63F0AB5938FF}">
      <dsp:nvSpPr>
        <dsp:cNvPr id="0" name=""/>
        <dsp:cNvSpPr/>
      </dsp:nvSpPr>
      <dsp:spPr>
        <a:xfrm>
          <a:off x="3379564" y="1815881"/>
          <a:ext cx="1268066" cy="91440"/>
        </a:xfrm>
        <a:custGeom>
          <a:avLst/>
          <a:gdLst/>
          <a:ahLst/>
          <a:cxnLst/>
          <a:rect l="0" t="0" r="0" b="0"/>
          <a:pathLst>
            <a:path>
              <a:moveTo>
                <a:pt x="1268066" y="45720"/>
              </a:moveTo>
              <a:lnTo>
                <a:pt x="1268066"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6BA164E-7269-5945-8D1A-FF79A6176A11}">
      <dsp:nvSpPr>
        <dsp:cNvPr id="0" name=""/>
        <dsp:cNvSpPr/>
      </dsp:nvSpPr>
      <dsp:spPr>
        <a:xfrm>
          <a:off x="2987838" y="1166272"/>
          <a:ext cx="1659792" cy="499364"/>
        </a:xfrm>
        <a:custGeom>
          <a:avLst/>
          <a:gdLst/>
          <a:ahLst/>
          <a:cxnLst/>
          <a:rect l="0" t="0" r="0" b="0"/>
          <a:pathLst>
            <a:path>
              <a:moveTo>
                <a:pt x="0" y="0"/>
              </a:moveTo>
              <a:lnTo>
                <a:pt x="0" y="470775"/>
              </a:lnTo>
              <a:lnTo>
                <a:pt x="1659792" y="470775"/>
              </a:lnTo>
              <a:lnTo>
                <a:pt x="1659792" y="499364"/>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029C407-319D-C84C-B276-8E27BD1545EB}">
      <dsp:nvSpPr>
        <dsp:cNvPr id="0" name=""/>
        <dsp:cNvSpPr/>
      </dsp:nvSpPr>
      <dsp:spPr>
        <a:xfrm>
          <a:off x="2579476" y="2292870"/>
          <a:ext cx="91440" cy="91440"/>
        </a:xfrm>
        <a:custGeom>
          <a:avLst/>
          <a:gdLst/>
          <a:ahLst/>
          <a:cxnLst/>
          <a:rect l="0" t="0" r="0" b="0"/>
          <a:pathLst>
            <a:path>
              <a:moveTo>
                <a:pt x="45720" y="45720"/>
              </a:moveTo>
              <a:lnTo>
                <a:pt x="4572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801774F-EF50-F14F-8540-BF7E004DB9F1}">
      <dsp:nvSpPr>
        <dsp:cNvPr id="0" name=""/>
        <dsp:cNvSpPr/>
      </dsp:nvSpPr>
      <dsp:spPr>
        <a:xfrm>
          <a:off x="2144733" y="1815881"/>
          <a:ext cx="480463" cy="91440"/>
        </a:xfrm>
        <a:custGeom>
          <a:avLst/>
          <a:gdLst/>
          <a:ahLst/>
          <a:cxnLst/>
          <a:rect l="0" t="0" r="0" b="0"/>
          <a:pathLst>
            <a:path>
              <a:moveTo>
                <a:pt x="0" y="45720"/>
              </a:moveTo>
              <a:lnTo>
                <a:pt x="0" y="106883"/>
              </a:lnTo>
              <a:lnTo>
                <a:pt x="480463" y="106883"/>
              </a:lnTo>
              <a:lnTo>
                <a:pt x="480463"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4D357AB-38A4-D248-AF7B-5F119D5796C3}">
      <dsp:nvSpPr>
        <dsp:cNvPr id="0" name=""/>
        <dsp:cNvSpPr/>
      </dsp:nvSpPr>
      <dsp:spPr>
        <a:xfrm>
          <a:off x="2144733" y="1815881"/>
          <a:ext cx="102270" cy="91440"/>
        </a:xfrm>
        <a:custGeom>
          <a:avLst/>
          <a:gdLst/>
          <a:ahLst/>
          <a:cxnLst/>
          <a:rect l="0" t="0" r="0" b="0"/>
          <a:pathLst>
            <a:path>
              <a:moveTo>
                <a:pt x="0" y="45720"/>
              </a:moveTo>
              <a:lnTo>
                <a:pt x="0" y="106883"/>
              </a:lnTo>
              <a:lnTo>
                <a:pt x="102270" y="106883"/>
              </a:lnTo>
              <a:lnTo>
                <a:pt x="10227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A78526E-DBBB-8746-9A2E-858EB5300ED7}">
      <dsp:nvSpPr>
        <dsp:cNvPr id="0" name=""/>
        <dsp:cNvSpPr/>
      </dsp:nvSpPr>
      <dsp:spPr>
        <a:xfrm>
          <a:off x="1664270" y="2101598"/>
          <a:ext cx="188591" cy="91440"/>
        </a:xfrm>
        <a:custGeom>
          <a:avLst/>
          <a:gdLst/>
          <a:ahLst/>
          <a:cxnLst/>
          <a:rect l="0" t="0" r="0" b="0"/>
          <a:pathLst>
            <a:path>
              <a:moveTo>
                <a:pt x="0" y="45720"/>
              </a:moveTo>
              <a:lnTo>
                <a:pt x="0" y="106883"/>
              </a:lnTo>
              <a:lnTo>
                <a:pt x="188591" y="106883"/>
              </a:lnTo>
              <a:lnTo>
                <a:pt x="188591"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5E6BDB5-4875-4E4C-B024-61B00C2D4C00}">
      <dsp:nvSpPr>
        <dsp:cNvPr id="0" name=""/>
        <dsp:cNvSpPr/>
      </dsp:nvSpPr>
      <dsp:spPr>
        <a:xfrm>
          <a:off x="1414009" y="2387314"/>
          <a:ext cx="91440" cy="91440"/>
        </a:xfrm>
        <a:custGeom>
          <a:avLst/>
          <a:gdLst/>
          <a:ahLst/>
          <a:cxnLst/>
          <a:rect l="0" t="0" r="0" b="0"/>
          <a:pathLst>
            <a:path>
              <a:moveTo>
                <a:pt x="45720" y="45720"/>
              </a:moveTo>
              <a:lnTo>
                <a:pt x="4572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B5FB1E7-ED4A-8447-8463-10B37E8A9D00}">
      <dsp:nvSpPr>
        <dsp:cNvPr id="0" name=""/>
        <dsp:cNvSpPr/>
      </dsp:nvSpPr>
      <dsp:spPr>
        <a:xfrm>
          <a:off x="1459729" y="2101598"/>
          <a:ext cx="204540" cy="91440"/>
        </a:xfrm>
        <a:custGeom>
          <a:avLst/>
          <a:gdLst/>
          <a:ahLst/>
          <a:cxnLst/>
          <a:rect l="0" t="0" r="0" b="0"/>
          <a:pathLst>
            <a:path>
              <a:moveTo>
                <a:pt x="204540" y="45720"/>
              </a:moveTo>
              <a:lnTo>
                <a:pt x="204540"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DF75C5B-53FB-4D40-9B02-80CDA1A7DB97}">
      <dsp:nvSpPr>
        <dsp:cNvPr id="0" name=""/>
        <dsp:cNvSpPr/>
      </dsp:nvSpPr>
      <dsp:spPr>
        <a:xfrm>
          <a:off x="1664270" y="1815881"/>
          <a:ext cx="480463" cy="91440"/>
        </a:xfrm>
        <a:custGeom>
          <a:avLst/>
          <a:gdLst/>
          <a:ahLst/>
          <a:cxnLst/>
          <a:rect l="0" t="0" r="0" b="0"/>
          <a:pathLst>
            <a:path>
              <a:moveTo>
                <a:pt x="480463" y="45720"/>
              </a:moveTo>
              <a:lnTo>
                <a:pt x="480463"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4527758-E3C5-9A47-A57F-17E78C635B92}">
      <dsp:nvSpPr>
        <dsp:cNvPr id="0" name=""/>
        <dsp:cNvSpPr/>
      </dsp:nvSpPr>
      <dsp:spPr>
        <a:xfrm>
          <a:off x="2144733" y="1166272"/>
          <a:ext cx="843105" cy="499364"/>
        </a:xfrm>
        <a:custGeom>
          <a:avLst/>
          <a:gdLst/>
          <a:ahLst/>
          <a:cxnLst/>
          <a:rect l="0" t="0" r="0" b="0"/>
          <a:pathLst>
            <a:path>
              <a:moveTo>
                <a:pt x="843105" y="0"/>
              </a:moveTo>
              <a:lnTo>
                <a:pt x="843105" y="470775"/>
              </a:lnTo>
              <a:lnTo>
                <a:pt x="0" y="470775"/>
              </a:lnTo>
              <a:lnTo>
                <a:pt x="0" y="499364"/>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D57A6D8-FB23-914B-AA19-BE321CC6CAC4}">
      <dsp:nvSpPr>
        <dsp:cNvPr id="0" name=""/>
        <dsp:cNvSpPr/>
      </dsp:nvSpPr>
      <dsp:spPr>
        <a:xfrm>
          <a:off x="721310" y="1815881"/>
          <a:ext cx="565775" cy="91440"/>
        </a:xfrm>
        <a:custGeom>
          <a:avLst/>
          <a:gdLst/>
          <a:ahLst/>
          <a:cxnLst/>
          <a:rect l="0" t="0" r="0" b="0"/>
          <a:pathLst>
            <a:path>
              <a:moveTo>
                <a:pt x="0" y="45720"/>
              </a:moveTo>
              <a:lnTo>
                <a:pt x="0" y="106883"/>
              </a:lnTo>
              <a:lnTo>
                <a:pt x="565775" y="106883"/>
              </a:lnTo>
              <a:lnTo>
                <a:pt x="565775"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5B11808-0A27-7A47-8993-DEB702565B3A}">
      <dsp:nvSpPr>
        <dsp:cNvPr id="0" name=""/>
        <dsp:cNvSpPr/>
      </dsp:nvSpPr>
      <dsp:spPr>
        <a:xfrm>
          <a:off x="721310" y="1815881"/>
          <a:ext cx="188591" cy="91440"/>
        </a:xfrm>
        <a:custGeom>
          <a:avLst/>
          <a:gdLst/>
          <a:ahLst/>
          <a:cxnLst/>
          <a:rect l="0" t="0" r="0" b="0"/>
          <a:pathLst>
            <a:path>
              <a:moveTo>
                <a:pt x="0" y="45720"/>
              </a:moveTo>
              <a:lnTo>
                <a:pt x="0" y="106883"/>
              </a:lnTo>
              <a:lnTo>
                <a:pt x="188591" y="106883"/>
              </a:lnTo>
              <a:lnTo>
                <a:pt x="188591"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22F9E63-EA4E-C145-9772-3544808057FB}">
      <dsp:nvSpPr>
        <dsp:cNvPr id="0" name=""/>
        <dsp:cNvSpPr/>
      </dsp:nvSpPr>
      <dsp:spPr>
        <a:xfrm>
          <a:off x="532718" y="1815881"/>
          <a:ext cx="188591" cy="91440"/>
        </a:xfrm>
        <a:custGeom>
          <a:avLst/>
          <a:gdLst/>
          <a:ahLst/>
          <a:cxnLst/>
          <a:rect l="0" t="0" r="0" b="0"/>
          <a:pathLst>
            <a:path>
              <a:moveTo>
                <a:pt x="188591" y="45720"/>
              </a:moveTo>
              <a:lnTo>
                <a:pt x="188591"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77B5141-6FC8-D043-BF7F-88B9DC2666F3}">
      <dsp:nvSpPr>
        <dsp:cNvPr id="0" name=""/>
        <dsp:cNvSpPr/>
      </dsp:nvSpPr>
      <dsp:spPr>
        <a:xfrm>
          <a:off x="155534" y="1815881"/>
          <a:ext cx="565775" cy="91440"/>
        </a:xfrm>
        <a:custGeom>
          <a:avLst/>
          <a:gdLst/>
          <a:ahLst/>
          <a:cxnLst/>
          <a:rect l="0" t="0" r="0" b="0"/>
          <a:pathLst>
            <a:path>
              <a:moveTo>
                <a:pt x="565775" y="45720"/>
              </a:moveTo>
              <a:lnTo>
                <a:pt x="565775" y="106883"/>
              </a:lnTo>
              <a:lnTo>
                <a:pt x="0" y="106883"/>
              </a:lnTo>
              <a:lnTo>
                <a:pt x="0" y="135472"/>
              </a:lnTo>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7F8CA02-B61F-4245-8311-5680EA767999}">
      <dsp:nvSpPr>
        <dsp:cNvPr id="0" name=""/>
        <dsp:cNvSpPr/>
      </dsp:nvSpPr>
      <dsp:spPr>
        <a:xfrm>
          <a:off x="721310" y="1166272"/>
          <a:ext cx="2266527" cy="499364"/>
        </a:xfrm>
        <a:custGeom>
          <a:avLst/>
          <a:gdLst/>
          <a:ahLst/>
          <a:cxnLst/>
          <a:rect l="0" t="0" r="0" b="0"/>
          <a:pathLst>
            <a:path>
              <a:moveTo>
                <a:pt x="2266527" y="0"/>
              </a:moveTo>
              <a:lnTo>
                <a:pt x="2266527" y="470775"/>
              </a:lnTo>
              <a:lnTo>
                <a:pt x="0" y="470775"/>
              </a:lnTo>
              <a:lnTo>
                <a:pt x="0" y="499364"/>
              </a:lnTo>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E1A4C70-B2B4-1D48-B71E-5C1E545487BB}">
      <dsp:nvSpPr>
        <dsp:cNvPr id="0" name=""/>
        <dsp:cNvSpPr/>
      </dsp:nvSpPr>
      <dsp:spPr>
        <a:xfrm>
          <a:off x="2118694" y="728313"/>
          <a:ext cx="869143" cy="241995"/>
        </a:xfrm>
        <a:custGeom>
          <a:avLst/>
          <a:gdLst/>
          <a:ahLst/>
          <a:cxnLst/>
          <a:rect l="0" t="0" r="0" b="0"/>
          <a:pathLst>
            <a:path>
              <a:moveTo>
                <a:pt x="0" y="0"/>
              </a:moveTo>
              <a:lnTo>
                <a:pt x="0" y="213406"/>
              </a:lnTo>
              <a:lnTo>
                <a:pt x="869143" y="213406"/>
              </a:lnTo>
              <a:lnTo>
                <a:pt x="869143" y="241995"/>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A1434B0-1121-D847-BA1C-FA663E050A04}">
      <dsp:nvSpPr>
        <dsp:cNvPr id="0" name=""/>
        <dsp:cNvSpPr/>
      </dsp:nvSpPr>
      <dsp:spPr>
        <a:xfrm>
          <a:off x="2118694" y="728313"/>
          <a:ext cx="334299" cy="241995"/>
        </a:xfrm>
        <a:custGeom>
          <a:avLst/>
          <a:gdLst/>
          <a:ahLst/>
          <a:cxnLst/>
          <a:rect l="0" t="0" r="0" b="0"/>
          <a:pathLst>
            <a:path>
              <a:moveTo>
                <a:pt x="0" y="0"/>
              </a:moveTo>
              <a:lnTo>
                <a:pt x="0" y="213406"/>
              </a:lnTo>
              <a:lnTo>
                <a:pt x="334299" y="213406"/>
              </a:lnTo>
              <a:lnTo>
                <a:pt x="334299" y="241995"/>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0C869F0-FA52-D34F-9BAD-0166FA9FDC14}">
      <dsp:nvSpPr>
        <dsp:cNvPr id="0" name=""/>
        <dsp:cNvSpPr/>
      </dsp:nvSpPr>
      <dsp:spPr>
        <a:xfrm>
          <a:off x="1930102" y="728313"/>
          <a:ext cx="188591" cy="241995"/>
        </a:xfrm>
        <a:custGeom>
          <a:avLst/>
          <a:gdLst/>
          <a:ahLst/>
          <a:cxnLst/>
          <a:rect l="0" t="0" r="0" b="0"/>
          <a:pathLst>
            <a:path>
              <a:moveTo>
                <a:pt x="188591" y="0"/>
              </a:moveTo>
              <a:lnTo>
                <a:pt x="188591" y="213406"/>
              </a:lnTo>
              <a:lnTo>
                <a:pt x="0" y="213406"/>
              </a:lnTo>
              <a:lnTo>
                <a:pt x="0" y="241995"/>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3178C38-D06E-5847-9421-080EFA395369}">
      <dsp:nvSpPr>
        <dsp:cNvPr id="0" name=""/>
        <dsp:cNvSpPr/>
      </dsp:nvSpPr>
      <dsp:spPr>
        <a:xfrm>
          <a:off x="1386290" y="728313"/>
          <a:ext cx="732403" cy="241995"/>
        </a:xfrm>
        <a:custGeom>
          <a:avLst/>
          <a:gdLst/>
          <a:ahLst/>
          <a:cxnLst/>
          <a:rect l="0" t="0" r="0" b="0"/>
          <a:pathLst>
            <a:path>
              <a:moveTo>
                <a:pt x="732403" y="0"/>
              </a:moveTo>
              <a:lnTo>
                <a:pt x="732403" y="213406"/>
              </a:lnTo>
              <a:lnTo>
                <a:pt x="0" y="213406"/>
              </a:lnTo>
              <a:lnTo>
                <a:pt x="0" y="241995"/>
              </a:lnTo>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3B571D5-2D92-3A4F-A404-668EA488AF60}">
      <dsp:nvSpPr>
        <dsp:cNvPr id="0" name=""/>
        <dsp:cNvSpPr/>
      </dsp:nvSpPr>
      <dsp:spPr>
        <a:xfrm>
          <a:off x="1881376" y="446161"/>
          <a:ext cx="474637" cy="282151"/>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0ADDB52-D2B0-384E-82C0-994E64740E1D}">
      <dsp:nvSpPr>
        <dsp:cNvPr id="0" name=""/>
        <dsp:cNvSpPr/>
      </dsp:nvSpPr>
      <dsp:spPr>
        <a:xfrm>
          <a:off x="1915665" y="478736"/>
          <a:ext cx="474637" cy="28215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Challenges and barriers of simulation based medical education</a:t>
          </a:r>
        </a:p>
      </dsp:txBody>
      <dsp:txXfrm>
        <a:off x="1923929" y="487000"/>
        <a:ext cx="458109" cy="265623"/>
      </dsp:txXfrm>
    </dsp:sp>
    <dsp:sp modelId="{CB7F5685-82A4-0848-9841-721596122225}">
      <dsp:nvSpPr>
        <dsp:cNvPr id="0" name=""/>
        <dsp:cNvSpPr/>
      </dsp:nvSpPr>
      <dsp:spPr>
        <a:xfrm>
          <a:off x="1231988" y="970308"/>
          <a:ext cx="308604" cy="195964"/>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3CBF0A2-FCE8-CC4D-B269-8396BF0828F2}">
      <dsp:nvSpPr>
        <dsp:cNvPr id="0" name=""/>
        <dsp:cNvSpPr/>
      </dsp:nvSpPr>
      <dsp:spPr>
        <a:xfrm>
          <a:off x="1266277" y="1002883"/>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Engagement</a:t>
          </a:r>
        </a:p>
      </dsp:txBody>
      <dsp:txXfrm>
        <a:off x="1272017" y="1008623"/>
        <a:ext cx="297124" cy="184484"/>
      </dsp:txXfrm>
    </dsp:sp>
    <dsp:sp modelId="{A781263A-1457-C449-99CE-9C00A896A485}">
      <dsp:nvSpPr>
        <dsp:cNvPr id="0" name=""/>
        <dsp:cNvSpPr/>
      </dsp:nvSpPr>
      <dsp:spPr>
        <a:xfrm>
          <a:off x="1775800" y="970308"/>
          <a:ext cx="308604" cy="195964"/>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7F5A5B2-AE8F-CB45-B128-23BB8667F393}">
      <dsp:nvSpPr>
        <dsp:cNvPr id="0" name=""/>
        <dsp:cNvSpPr/>
      </dsp:nvSpPr>
      <dsp:spPr>
        <a:xfrm>
          <a:off x="1810089" y="1002883"/>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Quality</a:t>
          </a:r>
        </a:p>
      </dsp:txBody>
      <dsp:txXfrm>
        <a:off x="1815829" y="1008623"/>
        <a:ext cx="297124" cy="184484"/>
      </dsp:txXfrm>
    </dsp:sp>
    <dsp:sp modelId="{EDCFE199-596D-8B4A-B39E-1E79B9DA2F3E}">
      <dsp:nvSpPr>
        <dsp:cNvPr id="0" name=""/>
        <dsp:cNvSpPr/>
      </dsp:nvSpPr>
      <dsp:spPr>
        <a:xfrm>
          <a:off x="2298692" y="970308"/>
          <a:ext cx="308604" cy="195964"/>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723995F-A0F4-FC47-8634-B8B0083E8E3C}">
      <dsp:nvSpPr>
        <dsp:cNvPr id="0" name=""/>
        <dsp:cNvSpPr/>
      </dsp:nvSpPr>
      <dsp:spPr>
        <a:xfrm>
          <a:off x="2332981" y="1002883"/>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Monetary</a:t>
          </a:r>
        </a:p>
      </dsp:txBody>
      <dsp:txXfrm>
        <a:off x="2338721" y="1008623"/>
        <a:ext cx="297124" cy="184484"/>
      </dsp:txXfrm>
    </dsp:sp>
    <dsp:sp modelId="{0A745CD2-3087-2341-B5E8-D23539E631F3}">
      <dsp:nvSpPr>
        <dsp:cNvPr id="0" name=""/>
        <dsp:cNvSpPr/>
      </dsp:nvSpPr>
      <dsp:spPr>
        <a:xfrm>
          <a:off x="2833536" y="970308"/>
          <a:ext cx="308604" cy="195964"/>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9F14714-8FAE-5444-9ABA-D84DEB831012}">
      <dsp:nvSpPr>
        <dsp:cNvPr id="0" name=""/>
        <dsp:cNvSpPr/>
      </dsp:nvSpPr>
      <dsp:spPr>
        <a:xfrm>
          <a:off x="2867825" y="1002883"/>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Physical</a:t>
          </a:r>
        </a:p>
      </dsp:txBody>
      <dsp:txXfrm>
        <a:off x="2873565" y="1008623"/>
        <a:ext cx="297124" cy="184484"/>
      </dsp:txXfrm>
    </dsp:sp>
    <dsp:sp modelId="{2DD52476-EDE3-B34E-940F-5362B9A0AFAB}">
      <dsp:nvSpPr>
        <dsp:cNvPr id="0" name=""/>
        <dsp:cNvSpPr/>
      </dsp:nvSpPr>
      <dsp:spPr>
        <a:xfrm>
          <a:off x="567008" y="1665637"/>
          <a:ext cx="308604" cy="195964"/>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E5A4D00-BC72-994C-9772-ABDBE7617AED}">
      <dsp:nvSpPr>
        <dsp:cNvPr id="0" name=""/>
        <dsp:cNvSpPr/>
      </dsp:nvSpPr>
      <dsp:spPr>
        <a:xfrm>
          <a:off x="601297" y="1698212"/>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Space</a:t>
          </a:r>
        </a:p>
      </dsp:txBody>
      <dsp:txXfrm>
        <a:off x="607037" y="1703952"/>
        <a:ext cx="297124" cy="184484"/>
      </dsp:txXfrm>
    </dsp:sp>
    <dsp:sp modelId="{A87AE81A-22E3-5748-91F7-8B4C38F7670C}">
      <dsp:nvSpPr>
        <dsp:cNvPr id="0" name=""/>
        <dsp:cNvSpPr/>
      </dsp:nvSpPr>
      <dsp:spPr>
        <a:xfrm>
          <a:off x="1232" y="1951354"/>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247BFE0-EDB5-5041-A103-8CBD2FE1778F}">
      <dsp:nvSpPr>
        <dsp:cNvPr id="0" name=""/>
        <dsp:cNvSpPr/>
      </dsp:nvSpPr>
      <dsp:spPr>
        <a:xfrm>
          <a:off x="35521" y="1983928"/>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Educational centre</a:t>
          </a:r>
        </a:p>
      </dsp:txBody>
      <dsp:txXfrm>
        <a:off x="41261" y="1989668"/>
        <a:ext cx="297124" cy="184484"/>
      </dsp:txXfrm>
    </dsp:sp>
    <dsp:sp modelId="{7BB51D3C-4141-4E4B-8B4F-DBAF2D54AD18}">
      <dsp:nvSpPr>
        <dsp:cNvPr id="0" name=""/>
        <dsp:cNvSpPr/>
      </dsp:nvSpPr>
      <dsp:spPr>
        <a:xfrm>
          <a:off x="378416" y="1951354"/>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50460E6-71C5-0747-9350-06724D88639C}">
      <dsp:nvSpPr>
        <dsp:cNvPr id="0" name=""/>
        <dsp:cNvSpPr/>
      </dsp:nvSpPr>
      <dsp:spPr>
        <a:xfrm>
          <a:off x="412705" y="1983928"/>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Mobile unit</a:t>
          </a:r>
        </a:p>
      </dsp:txBody>
      <dsp:txXfrm>
        <a:off x="418445" y="1989668"/>
        <a:ext cx="297124" cy="184484"/>
      </dsp:txXfrm>
    </dsp:sp>
    <dsp:sp modelId="{6B941642-6217-4446-A9C8-8D30A486D75D}">
      <dsp:nvSpPr>
        <dsp:cNvPr id="0" name=""/>
        <dsp:cNvSpPr/>
      </dsp:nvSpPr>
      <dsp:spPr>
        <a:xfrm>
          <a:off x="755600" y="1951354"/>
          <a:ext cx="308604" cy="57422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3814C58-A31F-314C-BF29-334781E199D6}">
      <dsp:nvSpPr>
        <dsp:cNvPr id="0" name=""/>
        <dsp:cNvSpPr/>
      </dsp:nvSpPr>
      <dsp:spPr>
        <a:xfrm>
          <a:off x="789889" y="1983928"/>
          <a:ext cx="308604" cy="57422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In situ simulation - clinical space</a:t>
          </a:r>
        </a:p>
      </dsp:txBody>
      <dsp:txXfrm>
        <a:off x="798928" y="1992967"/>
        <a:ext cx="290526" cy="556144"/>
      </dsp:txXfrm>
    </dsp:sp>
    <dsp:sp modelId="{0F2C38CA-31AD-9444-91B9-5B4E44C6D13E}">
      <dsp:nvSpPr>
        <dsp:cNvPr id="0" name=""/>
        <dsp:cNvSpPr/>
      </dsp:nvSpPr>
      <dsp:spPr>
        <a:xfrm>
          <a:off x="1132783" y="1951354"/>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8180F07-1629-2840-AB3E-ACDE12A2D907}">
      <dsp:nvSpPr>
        <dsp:cNvPr id="0" name=""/>
        <dsp:cNvSpPr/>
      </dsp:nvSpPr>
      <dsp:spPr>
        <a:xfrm>
          <a:off x="1167073" y="1983928"/>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Simulation centre</a:t>
          </a:r>
        </a:p>
      </dsp:txBody>
      <dsp:txXfrm>
        <a:off x="1172813" y="1989668"/>
        <a:ext cx="297124" cy="184484"/>
      </dsp:txXfrm>
    </dsp:sp>
    <dsp:sp modelId="{13807187-D93F-F34F-8016-B82071B02F65}">
      <dsp:nvSpPr>
        <dsp:cNvPr id="0" name=""/>
        <dsp:cNvSpPr/>
      </dsp:nvSpPr>
      <dsp:spPr>
        <a:xfrm>
          <a:off x="1990431" y="1665637"/>
          <a:ext cx="308604" cy="195964"/>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50A7080-8123-3D40-A3B5-4D98F5683191}">
      <dsp:nvSpPr>
        <dsp:cNvPr id="0" name=""/>
        <dsp:cNvSpPr/>
      </dsp:nvSpPr>
      <dsp:spPr>
        <a:xfrm>
          <a:off x="2024720" y="1698212"/>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Time</a:t>
          </a:r>
        </a:p>
      </dsp:txBody>
      <dsp:txXfrm>
        <a:off x="2030460" y="1703952"/>
        <a:ext cx="297124" cy="184484"/>
      </dsp:txXfrm>
    </dsp:sp>
    <dsp:sp modelId="{7454AFF7-395F-ED4B-841F-C517E6997970}">
      <dsp:nvSpPr>
        <dsp:cNvPr id="0" name=""/>
        <dsp:cNvSpPr/>
      </dsp:nvSpPr>
      <dsp:spPr>
        <a:xfrm>
          <a:off x="1509967" y="1951354"/>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4CD8C67-A7E0-254E-A87A-B8EAC1766537}">
      <dsp:nvSpPr>
        <dsp:cNvPr id="0" name=""/>
        <dsp:cNvSpPr/>
      </dsp:nvSpPr>
      <dsp:spPr>
        <a:xfrm>
          <a:off x="1544257" y="1983928"/>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For all trainees</a:t>
          </a:r>
        </a:p>
      </dsp:txBody>
      <dsp:txXfrm>
        <a:off x="1549997" y="1989668"/>
        <a:ext cx="297124" cy="184484"/>
      </dsp:txXfrm>
    </dsp:sp>
    <dsp:sp modelId="{D312F135-465A-6244-A368-7BC7D05FB63D}">
      <dsp:nvSpPr>
        <dsp:cNvPr id="0" name=""/>
        <dsp:cNvSpPr/>
      </dsp:nvSpPr>
      <dsp:spPr>
        <a:xfrm>
          <a:off x="1305427" y="2237070"/>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73E1E7A1-A84F-594F-B068-9350AFA0DABE}">
      <dsp:nvSpPr>
        <dsp:cNvPr id="0" name=""/>
        <dsp:cNvSpPr/>
      </dsp:nvSpPr>
      <dsp:spPr>
        <a:xfrm>
          <a:off x="1339716" y="2269645"/>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Group sizes 4-5</a:t>
          </a:r>
        </a:p>
      </dsp:txBody>
      <dsp:txXfrm>
        <a:off x="1345456" y="2275385"/>
        <a:ext cx="297124" cy="184484"/>
      </dsp:txXfrm>
    </dsp:sp>
    <dsp:sp modelId="{B8525475-7ECF-0F4B-A606-8939C5057BF4}">
      <dsp:nvSpPr>
        <dsp:cNvPr id="0" name=""/>
        <dsp:cNvSpPr/>
      </dsp:nvSpPr>
      <dsp:spPr>
        <a:xfrm>
          <a:off x="1305427" y="2522787"/>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E1DF760-9176-5047-81B2-9546D1E097F3}">
      <dsp:nvSpPr>
        <dsp:cNvPr id="0" name=""/>
        <dsp:cNvSpPr/>
      </dsp:nvSpPr>
      <dsp:spPr>
        <a:xfrm>
          <a:off x="1339716" y="2555362"/>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1:1 student : scenario </a:t>
          </a:r>
        </a:p>
      </dsp:txBody>
      <dsp:txXfrm>
        <a:off x="1345456" y="2561102"/>
        <a:ext cx="297124" cy="184484"/>
      </dsp:txXfrm>
    </dsp:sp>
    <dsp:sp modelId="{EFB16132-CA2C-1B4E-9F87-125725F4B1E9}">
      <dsp:nvSpPr>
        <dsp:cNvPr id="0" name=""/>
        <dsp:cNvSpPr/>
      </dsp:nvSpPr>
      <dsp:spPr>
        <a:xfrm>
          <a:off x="1682611" y="2237070"/>
          <a:ext cx="340502" cy="377428"/>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BFACD97-1378-F34C-A714-58D68F7803BD}">
      <dsp:nvSpPr>
        <dsp:cNvPr id="0" name=""/>
        <dsp:cNvSpPr/>
      </dsp:nvSpPr>
      <dsp:spPr>
        <a:xfrm>
          <a:off x="1716900" y="2269645"/>
          <a:ext cx="340502" cy="377428"/>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 Protected teaching</a:t>
          </a:r>
        </a:p>
      </dsp:txBody>
      <dsp:txXfrm>
        <a:off x="1726873" y="2279618"/>
        <a:ext cx="320556" cy="357482"/>
      </dsp:txXfrm>
    </dsp:sp>
    <dsp:sp modelId="{E88DD3E2-D4CB-524D-87DF-8A84A6B48423}">
      <dsp:nvSpPr>
        <dsp:cNvPr id="0" name=""/>
        <dsp:cNvSpPr/>
      </dsp:nvSpPr>
      <dsp:spPr>
        <a:xfrm>
          <a:off x="2091692" y="1951354"/>
          <a:ext cx="310623" cy="656587"/>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AA58B5C-C611-DC44-BF3C-B644BB159F81}">
      <dsp:nvSpPr>
        <dsp:cNvPr id="0" name=""/>
        <dsp:cNvSpPr/>
      </dsp:nvSpPr>
      <dsp:spPr>
        <a:xfrm>
          <a:off x="2125981" y="1983928"/>
          <a:ext cx="310623" cy="656587"/>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European Working Time Directive impact</a:t>
          </a:r>
        </a:p>
      </dsp:txBody>
      <dsp:txXfrm>
        <a:off x="2135079" y="1993026"/>
        <a:ext cx="292427" cy="638391"/>
      </dsp:txXfrm>
    </dsp:sp>
    <dsp:sp modelId="{12380390-2CB4-1A4A-A85B-2DF9BDF2FB79}">
      <dsp:nvSpPr>
        <dsp:cNvPr id="0" name=""/>
        <dsp:cNvSpPr/>
      </dsp:nvSpPr>
      <dsp:spPr>
        <a:xfrm>
          <a:off x="2470894" y="1951354"/>
          <a:ext cx="308604" cy="387236"/>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D332CB0-A360-4248-B457-1D8C7990A53C}">
      <dsp:nvSpPr>
        <dsp:cNvPr id="0" name=""/>
        <dsp:cNvSpPr/>
      </dsp:nvSpPr>
      <dsp:spPr>
        <a:xfrm>
          <a:off x="2505183" y="1983928"/>
          <a:ext cx="308604" cy="387236"/>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Session orientation: sceanrio: debrief time</a:t>
          </a:r>
        </a:p>
      </dsp:txBody>
      <dsp:txXfrm>
        <a:off x="2514222" y="1992967"/>
        <a:ext cx="290526" cy="369158"/>
      </dsp:txXfrm>
    </dsp:sp>
    <dsp:sp modelId="{16912D25-513D-8246-AA9D-6CB8F07A39C2}">
      <dsp:nvSpPr>
        <dsp:cNvPr id="0" name=""/>
        <dsp:cNvSpPr/>
      </dsp:nvSpPr>
      <dsp:spPr>
        <a:xfrm>
          <a:off x="2470894" y="2428343"/>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E4FACD5-77A2-AE48-85C3-B6F78B3DFE2A}">
      <dsp:nvSpPr>
        <dsp:cNvPr id="0" name=""/>
        <dsp:cNvSpPr/>
      </dsp:nvSpPr>
      <dsp:spPr>
        <a:xfrm>
          <a:off x="2505183" y="2460918"/>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Length of session</a:t>
          </a:r>
        </a:p>
      </dsp:txBody>
      <dsp:txXfrm>
        <a:off x="2510923" y="2466658"/>
        <a:ext cx="297124" cy="184484"/>
      </dsp:txXfrm>
    </dsp:sp>
    <dsp:sp modelId="{9D31C614-E234-6544-B878-12108BE49F96}">
      <dsp:nvSpPr>
        <dsp:cNvPr id="0" name=""/>
        <dsp:cNvSpPr/>
      </dsp:nvSpPr>
      <dsp:spPr>
        <a:xfrm>
          <a:off x="4493328" y="1665637"/>
          <a:ext cx="308604" cy="195964"/>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66CD39C-BB71-A34C-8016-2ED295FE9B84}">
      <dsp:nvSpPr>
        <dsp:cNvPr id="0" name=""/>
        <dsp:cNvSpPr/>
      </dsp:nvSpPr>
      <dsp:spPr>
        <a:xfrm>
          <a:off x="4527617" y="1698212"/>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Scope/ Diversity</a:t>
          </a:r>
        </a:p>
      </dsp:txBody>
      <dsp:txXfrm>
        <a:off x="4533357" y="1703952"/>
        <a:ext cx="297124" cy="184484"/>
      </dsp:txXfrm>
    </dsp:sp>
    <dsp:sp modelId="{16DFE2CB-A3D5-F249-89EE-E1D001C8E6F7}">
      <dsp:nvSpPr>
        <dsp:cNvPr id="0" name=""/>
        <dsp:cNvSpPr/>
      </dsp:nvSpPr>
      <dsp:spPr>
        <a:xfrm>
          <a:off x="3204303" y="1951354"/>
          <a:ext cx="350522" cy="43067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5DBD914-AC00-084B-B400-BBCE24AFCCCB}">
      <dsp:nvSpPr>
        <dsp:cNvPr id="0" name=""/>
        <dsp:cNvSpPr/>
      </dsp:nvSpPr>
      <dsp:spPr>
        <a:xfrm>
          <a:off x="3238592" y="1983928"/>
          <a:ext cx="350522" cy="430670"/>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Collaboration - shared resources</a:t>
          </a:r>
        </a:p>
      </dsp:txBody>
      <dsp:txXfrm>
        <a:off x="3248858" y="1994194"/>
        <a:ext cx="329990" cy="410138"/>
      </dsp:txXfrm>
    </dsp:sp>
    <dsp:sp modelId="{8CCCD5BB-22D5-E543-8CB6-2C6F3C72B423}">
      <dsp:nvSpPr>
        <dsp:cNvPr id="0" name=""/>
        <dsp:cNvSpPr/>
      </dsp:nvSpPr>
      <dsp:spPr>
        <a:xfrm>
          <a:off x="2848078" y="2471777"/>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CA02C50-0075-CF4F-A12A-38B61472B563}">
      <dsp:nvSpPr>
        <dsp:cNvPr id="0" name=""/>
        <dsp:cNvSpPr/>
      </dsp:nvSpPr>
      <dsp:spPr>
        <a:xfrm>
          <a:off x="2882367" y="2504352"/>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Undergrad/postgrad</a:t>
          </a:r>
        </a:p>
      </dsp:txBody>
      <dsp:txXfrm>
        <a:off x="2888107" y="2510092"/>
        <a:ext cx="297124" cy="184484"/>
      </dsp:txXfrm>
    </dsp:sp>
    <dsp:sp modelId="{E3F17EE0-E082-9948-B84B-7B7E0E8ED710}">
      <dsp:nvSpPr>
        <dsp:cNvPr id="0" name=""/>
        <dsp:cNvSpPr/>
      </dsp:nvSpPr>
      <dsp:spPr>
        <a:xfrm>
          <a:off x="2848078" y="2757493"/>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5B08C9B-B12C-3149-A3D0-E7C1A55FE0A5}">
      <dsp:nvSpPr>
        <dsp:cNvPr id="0" name=""/>
        <dsp:cNvSpPr/>
      </dsp:nvSpPr>
      <dsp:spPr>
        <a:xfrm>
          <a:off x="2882367" y="2790068"/>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Across curricula</a:t>
          </a:r>
        </a:p>
      </dsp:txBody>
      <dsp:txXfrm>
        <a:off x="2888107" y="2795808"/>
        <a:ext cx="297124" cy="184484"/>
      </dsp:txXfrm>
    </dsp:sp>
    <dsp:sp modelId="{51B4DF0D-E940-3343-9D0A-376AA2A58137}">
      <dsp:nvSpPr>
        <dsp:cNvPr id="0" name=""/>
        <dsp:cNvSpPr/>
      </dsp:nvSpPr>
      <dsp:spPr>
        <a:xfrm>
          <a:off x="3225262" y="2471777"/>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BDE1FBA-18E0-7B42-B16F-754ECB5AB90B}">
      <dsp:nvSpPr>
        <dsp:cNvPr id="0" name=""/>
        <dsp:cNvSpPr/>
      </dsp:nvSpPr>
      <dsp:spPr>
        <a:xfrm>
          <a:off x="3259551" y="2504352"/>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Trusts</a:t>
          </a:r>
        </a:p>
      </dsp:txBody>
      <dsp:txXfrm>
        <a:off x="3265291" y="2510092"/>
        <a:ext cx="297124" cy="184484"/>
      </dsp:txXfrm>
    </dsp:sp>
    <dsp:sp modelId="{5C3DC31C-6AF8-6D45-BCF9-8E3C31986CD2}">
      <dsp:nvSpPr>
        <dsp:cNvPr id="0" name=""/>
        <dsp:cNvSpPr/>
      </dsp:nvSpPr>
      <dsp:spPr>
        <a:xfrm>
          <a:off x="3602446" y="2471777"/>
          <a:ext cx="308604" cy="40732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3F640504-491E-874F-94AB-12F14FC918E8}">
      <dsp:nvSpPr>
        <dsp:cNvPr id="0" name=""/>
        <dsp:cNvSpPr/>
      </dsp:nvSpPr>
      <dsp:spPr>
        <a:xfrm>
          <a:off x="3636735" y="2504352"/>
          <a:ext cx="308604" cy="407321"/>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Simulation/ education network</a:t>
          </a:r>
        </a:p>
      </dsp:txBody>
      <dsp:txXfrm>
        <a:off x="3645774" y="2513391"/>
        <a:ext cx="290526" cy="389243"/>
      </dsp:txXfrm>
    </dsp:sp>
    <dsp:sp modelId="{C17364CF-1DF7-3140-BC2E-C1E5B7924437}">
      <dsp:nvSpPr>
        <dsp:cNvPr id="0" name=""/>
        <dsp:cNvSpPr/>
      </dsp:nvSpPr>
      <dsp:spPr>
        <a:xfrm>
          <a:off x="3554383" y="2968850"/>
          <a:ext cx="404729" cy="38124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2BDD2E1-FFCF-144C-8401-1A29EC911271}">
      <dsp:nvSpPr>
        <dsp:cNvPr id="0" name=""/>
        <dsp:cNvSpPr/>
      </dsp:nvSpPr>
      <dsp:spPr>
        <a:xfrm>
          <a:off x="3588673" y="3001425"/>
          <a:ext cx="404729" cy="38124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Holistic (Not just mannequin fully immersive)</a:t>
          </a:r>
        </a:p>
      </dsp:txBody>
      <dsp:txXfrm>
        <a:off x="3599839" y="3012591"/>
        <a:ext cx="382397" cy="358910"/>
      </dsp:txXfrm>
    </dsp:sp>
    <dsp:sp modelId="{8C0889DA-26DE-C34A-8C43-F92848DCB0BD}">
      <dsp:nvSpPr>
        <dsp:cNvPr id="0" name=""/>
        <dsp:cNvSpPr/>
      </dsp:nvSpPr>
      <dsp:spPr>
        <a:xfrm>
          <a:off x="4198112" y="1951354"/>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6DC9ACB-E1F9-1D43-98A6-D0E0037916F6}">
      <dsp:nvSpPr>
        <dsp:cNvPr id="0" name=""/>
        <dsp:cNvSpPr/>
      </dsp:nvSpPr>
      <dsp:spPr>
        <a:xfrm>
          <a:off x="4232402" y="1983928"/>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Skills</a:t>
          </a:r>
        </a:p>
      </dsp:txBody>
      <dsp:txXfrm>
        <a:off x="4238142" y="1989668"/>
        <a:ext cx="297124" cy="184484"/>
      </dsp:txXfrm>
    </dsp:sp>
    <dsp:sp modelId="{4A5575DB-D3CC-794A-B236-081ECCF515CB}">
      <dsp:nvSpPr>
        <dsp:cNvPr id="0" name=""/>
        <dsp:cNvSpPr/>
      </dsp:nvSpPr>
      <dsp:spPr>
        <a:xfrm>
          <a:off x="3820929" y="2237070"/>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7BE4D196-BD1F-F444-A8DF-762030DFD900}">
      <dsp:nvSpPr>
        <dsp:cNvPr id="0" name=""/>
        <dsp:cNvSpPr/>
      </dsp:nvSpPr>
      <dsp:spPr>
        <a:xfrm>
          <a:off x="3855218" y="2269645"/>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Technical</a:t>
          </a:r>
        </a:p>
      </dsp:txBody>
      <dsp:txXfrm>
        <a:off x="3860958" y="2275385"/>
        <a:ext cx="297124" cy="184484"/>
      </dsp:txXfrm>
    </dsp:sp>
    <dsp:sp modelId="{BE60E1CA-5A16-664C-98C3-FC438B03D051}">
      <dsp:nvSpPr>
        <dsp:cNvPr id="0" name=""/>
        <dsp:cNvSpPr/>
      </dsp:nvSpPr>
      <dsp:spPr>
        <a:xfrm>
          <a:off x="4198112" y="2237070"/>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9197E60-EC73-944A-8E82-D10E7B21EBA3}">
      <dsp:nvSpPr>
        <dsp:cNvPr id="0" name=""/>
        <dsp:cNvSpPr/>
      </dsp:nvSpPr>
      <dsp:spPr>
        <a:xfrm>
          <a:off x="4232402" y="2269645"/>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Non- technical</a:t>
          </a:r>
        </a:p>
      </dsp:txBody>
      <dsp:txXfrm>
        <a:off x="4238142" y="2275385"/>
        <a:ext cx="297124" cy="184484"/>
      </dsp:txXfrm>
    </dsp:sp>
    <dsp:sp modelId="{3AC2CA81-4BD4-434C-9172-5202C4B0651C}">
      <dsp:nvSpPr>
        <dsp:cNvPr id="0" name=""/>
        <dsp:cNvSpPr/>
      </dsp:nvSpPr>
      <dsp:spPr>
        <a:xfrm>
          <a:off x="4575296" y="2237070"/>
          <a:ext cx="308604" cy="40173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CD5A50C-BDB4-144A-921D-4B449552E152}">
      <dsp:nvSpPr>
        <dsp:cNvPr id="0" name=""/>
        <dsp:cNvSpPr/>
      </dsp:nvSpPr>
      <dsp:spPr>
        <a:xfrm>
          <a:off x="4609586" y="2269645"/>
          <a:ext cx="308604" cy="401732"/>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Human factors inc teamwork</a:t>
          </a:r>
        </a:p>
      </dsp:txBody>
      <dsp:txXfrm>
        <a:off x="4618625" y="2278684"/>
        <a:ext cx="290526" cy="383654"/>
      </dsp:txXfrm>
    </dsp:sp>
    <dsp:sp modelId="{2499975F-7FFA-364F-A42F-95DA0A927F16}">
      <dsp:nvSpPr>
        <dsp:cNvPr id="0" name=""/>
        <dsp:cNvSpPr/>
      </dsp:nvSpPr>
      <dsp:spPr>
        <a:xfrm>
          <a:off x="4417868" y="2728555"/>
          <a:ext cx="623462" cy="190408"/>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621E89A-2ABE-9D4C-A099-8FAA770CAD40}">
      <dsp:nvSpPr>
        <dsp:cNvPr id="0" name=""/>
        <dsp:cNvSpPr/>
      </dsp:nvSpPr>
      <dsp:spPr>
        <a:xfrm>
          <a:off x="4452157" y="2761130"/>
          <a:ext cx="623462" cy="190408"/>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Difficult to simulate hierarchy &amp; social pressures</a:t>
          </a:r>
        </a:p>
      </dsp:txBody>
      <dsp:txXfrm>
        <a:off x="4457734" y="2766707"/>
        <a:ext cx="612308" cy="179254"/>
      </dsp:txXfrm>
    </dsp:sp>
    <dsp:sp modelId="{1C2924E0-CC6F-4F44-879C-3827D95A7DED}">
      <dsp:nvSpPr>
        <dsp:cNvPr id="0" name=""/>
        <dsp:cNvSpPr/>
      </dsp:nvSpPr>
      <dsp:spPr>
        <a:xfrm>
          <a:off x="4027692" y="3008717"/>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B45AEC9-1796-4E41-8B51-B2EA88A352BF}">
      <dsp:nvSpPr>
        <dsp:cNvPr id="0" name=""/>
        <dsp:cNvSpPr/>
      </dsp:nvSpPr>
      <dsp:spPr>
        <a:xfrm>
          <a:off x="4061981" y="3041291"/>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Behavioural effect</a:t>
          </a:r>
        </a:p>
      </dsp:txBody>
      <dsp:txXfrm>
        <a:off x="4067721" y="3047031"/>
        <a:ext cx="297124" cy="184484"/>
      </dsp:txXfrm>
    </dsp:sp>
    <dsp:sp modelId="{BB96FE67-7C08-284A-BD30-AA54715A0A34}">
      <dsp:nvSpPr>
        <dsp:cNvPr id="0" name=""/>
        <dsp:cNvSpPr/>
      </dsp:nvSpPr>
      <dsp:spPr>
        <a:xfrm>
          <a:off x="4404875" y="3008717"/>
          <a:ext cx="364582" cy="620481"/>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EA26F61-0117-D94D-9C33-754E2ECC6B1F}">
      <dsp:nvSpPr>
        <dsp:cNvPr id="0" name=""/>
        <dsp:cNvSpPr/>
      </dsp:nvSpPr>
      <dsp:spPr>
        <a:xfrm>
          <a:off x="4439165" y="3041291"/>
          <a:ext cx="364582" cy="620481"/>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Managing hidden curriculum</a:t>
          </a:r>
        </a:p>
      </dsp:txBody>
      <dsp:txXfrm>
        <a:off x="4449843" y="3051969"/>
        <a:ext cx="343226" cy="599125"/>
      </dsp:txXfrm>
    </dsp:sp>
    <dsp:sp modelId="{98BE5A05-FD43-3347-AFFD-CD7B120C6183}">
      <dsp:nvSpPr>
        <dsp:cNvPr id="0" name=""/>
        <dsp:cNvSpPr/>
      </dsp:nvSpPr>
      <dsp:spPr>
        <a:xfrm>
          <a:off x="4838037" y="3008717"/>
          <a:ext cx="593468" cy="261420"/>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4267CE6-9ABA-BE46-8266-414BE118BFD9}">
      <dsp:nvSpPr>
        <dsp:cNvPr id="0" name=""/>
        <dsp:cNvSpPr/>
      </dsp:nvSpPr>
      <dsp:spPr>
        <a:xfrm>
          <a:off x="4872327" y="3041291"/>
          <a:ext cx="593468" cy="261420"/>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Developing professional behaviour</a:t>
          </a:r>
        </a:p>
      </dsp:txBody>
      <dsp:txXfrm>
        <a:off x="4879984" y="3048948"/>
        <a:ext cx="578154" cy="246106"/>
      </dsp:txXfrm>
    </dsp:sp>
    <dsp:sp modelId="{DAAEB58F-2CE7-FC4B-A634-BC975535C3FA}">
      <dsp:nvSpPr>
        <dsp:cNvPr id="0" name=""/>
        <dsp:cNvSpPr/>
      </dsp:nvSpPr>
      <dsp:spPr>
        <a:xfrm>
          <a:off x="5254159" y="1951354"/>
          <a:ext cx="459614" cy="18732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B196FA4-0317-A649-9D6C-66BD98543C24}">
      <dsp:nvSpPr>
        <dsp:cNvPr id="0" name=""/>
        <dsp:cNvSpPr/>
      </dsp:nvSpPr>
      <dsp:spPr>
        <a:xfrm>
          <a:off x="5288449" y="1983928"/>
          <a:ext cx="459614" cy="18732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Ownership/responsibility</a:t>
          </a:r>
        </a:p>
      </dsp:txBody>
      <dsp:txXfrm>
        <a:off x="5293936" y="1989415"/>
        <a:ext cx="448640" cy="176350"/>
      </dsp:txXfrm>
    </dsp:sp>
    <dsp:sp modelId="{04B40D9B-81F4-754C-95F6-BF4686178B6B}">
      <dsp:nvSpPr>
        <dsp:cNvPr id="0" name=""/>
        <dsp:cNvSpPr/>
      </dsp:nvSpPr>
      <dsp:spPr>
        <a:xfrm>
          <a:off x="4952480" y="2228430"/>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771CBC9-C5C0-2D43-BA5F-B0628A05637B}">
      <dsp:nvSpPr>
        <dsp:cNvPr id="0" name=""/>
        <dsp:cNvSpPr/>
      </dsp:nvSpPr>
      <dsp:spPr>
        <a:xfrm>
          <a:off x="4986770" y="2261005"/>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Decisions</a:t>
          </a:r>
        </a:p>
      </dsp:txBody>
      <dsp:txXfrm>
        <a:off x="4992510" y="2266745"/>
        <a:ext cx="297124" cy="184484"/>
      </dsp:txXfrm>
    </dsp:sp>
    <dsp:sp modelId="{D8C23B9A-0E74-AF4F-89F0-F8E686456C9C}">
      <dsp:nvSpPr>
        <dsp:cNvPr id="0" name=""/>
        <dsp:cNvSpPr/>
      </dsp:nvSpPr>
      <dsp:spPr>
        <a:xfrm>
          <a:off x="5329664" y="2228430"/>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8A03A70-4DA2-E94C-A480-55A7E720E74C}">
      <dsp:nvSpPr>
        <dsp:cNvPr id="0" name=""/>
        <dsp:cNvSpPr/>
      </dsp:nvSpPr>
      <dsp:spPr>
        <a:xfrm>
          <a:off x="5363953" y="2261005"/>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Patient safety</a:t>
          </a:r>
        </a:p>
      </dsp:txBody>
      <dsp:txXfrm>
        <a:off x="5369693" y="2266745"/>
        <a:ext cx="297124" cy="184484"/>
      </dsp:txXfrm>
    </dsp:sp>
    <dsp:sp modelId="{6F998E1C-DCF3-294F-8899-0D6EBB101DB3}">
      <dsp:nvSpPr>
        <dsp:cNvPr id="0" name=""/>
        <dsp:cNvSpPr/>
      </dsp:nvSpPr>
      <dsp:spPr>
        <a:xfrm>
          <a:off x="5706848" y="2228430"/>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F5AE55C-470D-1946-A9B3-73278FA650F5}">
      <dsp:nvSpPr>
        <dsp:cNvPr id="0" name=""/>
        <dsp:cNvSpPr/>
      </dsp:nvSpPr>
      <dsp:spPr>
        <a:xfrm>
          <a:off x="5741137" y="2261005"/>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Preparedness</a:t>
          </a:r>
        </a:p>
      </dsp:txBody>
      <dsp:txXfrm>
        <a:off x="5746877" y="2266745"/>
        <a:ext cx="297124" cy="184484"/>
      </dsp:txXfrm>
    </dsp:sp>
    <dsp:sp modelId="{99459218-FBE9-C346-9097-E498F6DA6CAC}">
      <dsp:nvSpPr>
        <dsp:cNvPr id="0" name=""/>
        <dsp:cNvSpPr/>
      </dsp:nvSpPr>
      <dsp:spPr>
        <a:xfrm>
          <a:off x="5782353" y="1951354"/>
          <a:ext cx="308604" cy="195964"/>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4F8A6E4-0BE4-E248-8A1D-070F9CD048BF}">
      <dsp:nvSpPr>
        <dsp:cNvPr id="0" name=""/>
        <dsp:cNvSpPr/>
      </dsp:nvSpPr>
      <dsp:spPr>
        <a:xfrm>
          <a:off x="5816642" y="1983928"/>
          <a:ext cx="308604" cy="195964"/>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n-US" sz="500" kern="1200"/>
            <a:t>Interprofessional learning</a:t>
          </a:r>
        </a:p>
      </dsp:txBody>
      <dsp:txXfrm>
        <a:off x="5822382" y="1989668"/>
        <a:ext cx="297124" cy="1844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43E437-01F8-C34C-AAED-E1FE0118CBDB}">
      <dsp:nvSpPr>
        <dsp:cNvPr id="0" name=""/>
        <dsp:cNvSpPr/>
      </dsp:nvSpPr>
      <dsp:spPr>
        <a:xfrm>
          <a:off x="88361" y="538102"/>
          <a:ext cx="2546101" cy="299541"/>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62753E30-14B5-7048-B669-D6B562FBCADB}">
      <dsp:nvSpPr>
        <dsp:cNvPr id="0" name=""/>
        <dsp:cNvSpPr/>
      </dsp:nvSpPr>
      <dsp:spPr>
        <a:xfrm>
          <a:off x="119379" y="212089"/>
          <a:ext cx="187045" cy="187045"/>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F8C40A3D-3480-DB41-B397-CABC1AF8630D}">
      <dsp:nvSpPr>
        <dsp:cNvPr id="0" name=""/>
        <dsp:cNvSpPr/>
      </dsp:nvSpPr>
      <dsp:spPr>
        <a:xfrm>
          <a:off x="119372" y="0"/>
          <a:ext cx="2546101" cy="5381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35560" rIns="53340" bIns="35560" numCol="1" spcCol="1270" anchor="ctr" anchorCtr="0">
          <a:noAutofit/>
        </a:bodyPr>
        <a:lstStyle/>
        <a:p>
          <a:pPr marL="0" lvl="0" indent="0" algn="l" defTabSz="1244600">
            <a:lnSpc>
              <a:spcPct val="90000"/>
            </a:lnSpc>
            <a:spcBef>
              <a:spcPct val="0"/>
            </a:spcBef>
            <a:spcAft>
              <a:spcPct val="35000"/>
            </a:spcAft>
            <a:buNone/>
          </a:pPr>
          <a:r>
            <a:rPr lang="en-US" sz="2800" kern="1200">
              <a:latin typeface="Arial"/>
              <a:cs typeface="Arial"/>
            </a:rPr>
            <a:t>   </a:t>
          </a:r>
          <a:r>
            <a:rPr lang="en-US" sz="2400" kern="1200">
              <a:latin typeface="Arial"/>
              <a:cs typeface="Arial"/>
            </a:rPr>
            <a:t>Preparedness</a:t>
          </a:r>
        </a:p>
      </dsp:txBody>
      <dsp:txXfrm>
        <a:off x="119372" y="0"/>
        <a:ext cx="2546101" cy="538102"/>
      </dsp:txXfrm>
    </dsp:sp>
    <dsp:sp modelId="{16E8B896-3AF1-A045-A986-6723A275B1A7}">
      <dsp:nvSpPr>
        <dsp:cNvPr id="0" name=""/>
        <dsp:cNvSpPr/>
      </dsp:nvSpPr>
      <dsp:spPr>
        <a:xfrm>
          <a:off x="88361" y="1086595"/>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CF3F29E4-152C-7047-B409-BC2F336A0D59}">
      <dsp:nvSpPr>
        <dsp:cNvPr id="0" name=""/>
        <dsp:cNvSpPr/>
      </dsp:nvSpPr>
      <dsp:spPr>
        <a:xfrm>
          <a:off x="266588" y="962119"/>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1. Foundation Year 1 OR FY1 OR House Officer OR Newly Qualified Doctor AND</a:t>
          </a:r>
        </a:p>
      </dsp:txBody>
      <dsp:txXfrm>
        <a:off x="266588" y="962119"/>
        <a:ext cx="2367873" cy="435993"/>
      </dsp:txXfrm>
    </dsp:sp>
    <dsp:sp modelId="{74E3DAE5-68B8-0643-A74E-58DC900A994D}">
      <dsp:nvSpPr>
        <dsp:cNvPr id="0" name=""/>
        <dsp:cNvSpPr/>
      </dsp:nvSpPr>
      <dsp:spPr>
        <a:xfrm>
          <a:off x="88361" y="1522589"/>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C479455B-CD4B-254D-8D3D-4264034064E7}">
      <dsp:nvSpPr>
        <dsp:cNvPr id="0" name=""/>
        <dsp:cNvSpPr/>
      </dsp:nvSpPr>
      <dsp:spPr>
        <a:xfrm>
          <a:off x="266588" y="1398112"/>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2. Preparedness for practice OR Preparedness for FY1 OR Preparedness for transition AND</a:t>
          </a:r>
        </a:p>
      </dsp:txBody>
      <dsp:txXfrm>
        <a:off x="266588" y="1398112"/>
        <a:ext cx="2367873" cy="435993"/>
      </dsp:txXfrm>
    </dsp:sp>
    <dsp:sp modelId="{D44B5D16-30F5-854C-B87A-69D2FDB64DC5}">
      <dsp:nvSpPr>
        <dsp:cNvPr id="0" name=""/>
        <dsp:cNvSpPr/>
      </dsp:nvSpPr>
      <dsp:spPr>
        <a:xfrm>
          <a:off x="88361" y="1958582"/>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BD48C4CE-0849-D54D-BDC5-0C9D7DAFD105}">
      <dsp:nvSpPr>
        <dsp:cNvPr id="0" name=""/>
        <dsp:cNvSpPr/>
      </dsp:nvSpPr>
      <dsp:spPr>
        <a:xfrm>
          <a:off x="266588" y="1834106"/>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3. Great Britain OR Europe OR US </a:t>
          </a:r>
        </a:p>
      </dsp:txBody>
      <dsp:txXfrm>
        <a:off x="266588" y="1834106"/>
        <a:ext cx="2367873" cy="435993"/>
      </dsp:txXfrm>
    </dsp:sp>
    <dsp:sp modelId="{2FE506FA-ED39-F448-B77F-181C2E769751}">
      <dsp:nvSpPr>
        <dsp:cNvPr id="0" name=""/>
        <dsp:cNvSpPr/>
      </dsp:nvSpPr>
      <dsp:spPr>
        <a:xfrm>
          <a:off x="88361" y="2394575"/>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659B5A4D-6E69-ED4F-B4FA-D9F2F1DD5F8A}">
      <dsp:nvSpPr>
        <dsp:cNvPr id="0" name=""/>
        <dsp:cNvSpPr/>
      </dsp:nvSpPr>
      <dsp:spPr>
        <a:xfrm>
          <a:off x="266588" y="2270099"/>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1 AND 2 AND 3</a:t>
          </a:r>
        </a:p>
      </dsp:txBody>
      <dsp:txXfrm>
        <a:off x="266588" y="2270099"/>
        <a:ext cx="2367873" cy="435993"/>
      </dsp:txXfrm>
    </dsp:sp>
    <dsp:sp modelId="{ED98D8FC-1E66-804C-8267-8289E652D165}">
      <dsp:nvSpPr>
        <dsp:cNvPr id="0" name=""/>
        <dsp:cNvSpPr/>
      </dsp:nvSpPr>
      <dsp:spPr>
        <a:xfrm>
          <a:off x="88361" y="2830569"/>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9A1D8009-E640-6847-BA55-96E7C462888D}">
      <dsp:nvSpPr>
        <dsp:cNvPr id="0" name=""/>
        <dsp:cNvSpPr/>
      </dsp:nvSpPr>
      <dsp:spPr>
        <a:xfrm>
          <a:off x="266588" y="2706093"/>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Limited 1980 to 2013 </a:t>
          </a:r>
        </a:p>
      </dsp:txBody>
      <dsp:txXfrm>
        <a:off x="266588" y="2706093"/>
        <a:ext cx="2367873" cy="435993"/>
      </dsp:txXfrm>
    </dsp:sp>
    <dsp:sp modelId="{AD395A95-AB9F-D646-A823-1689FAB832D2}">
      <dsp:nvSpPr>
        <dsp:cNvPr id="0" name=""/>
        <dsp:cNvSpPr/>
      </dsp:nvSpPr>
      <dsp:spPr>
        <a:xfrm>
          <a:off x="2761767" y="538102"/>
          <a:ext cx="2546101" cy="299541"/>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F41C1DA8-E91D-C840-901D-80A795FDBA03}">
      <dsp:nvSpPr>
        <dsp:cNvPr id="0" name=""/>
        <dsp:cNvSpPr/>
      </dsp:nvSpPr>
      <dsp:spPr>
        <a:xfrm>
          <a:off x="2748281" y="212089"/>
          <a:ext cx="187045" cy="187045"/>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E1C18C0F-7611-234B-943D-ABBC4A30021D}">
      <dsp:nvSpPr>
        <dsp:cNvPr id="0" name=""/>
        <dsp:cNvSpPr/>
      </dsp:nvSpPr>
      <dsp:spPr>
        <a:xfrm>
          <a:off x="2862580" y="0"/>
          <a:ext cx="2088897" cy="5381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5245" tIns="36830" rIns="55245" bIns="36830" numCol="1" spcCol="1270" anchor="ctr" anchorCtr="0">
          <a:noAutofit/>
        </a:bodyPr>
        <a:lstStyle/>
        <a:p>
          <a:pPr marL="0" lvl="0" indent="0" algn="l" defTabSz="1289050">
            <a:lnSpc>
              <a:spcPct val="90000"/>
            </a:lnSpc>
            <a:spcBef>
              <a:spcPct val="0"/>
            </a:spcBef>
            <a:spcAft>
              <a:spcPct val="35000"/>
            </a:spcAft>
            <a:buNone/>
          </a:pPr>
          <a:r>
            <a:rPr lang="en-US" sz="2900" kern="1200">
              <a:latin typeface="Arial"/>
              <a:cs typeface="Arial"/>
            </a:rPr>
            <a:t>  </a:t>
          </a:r>
          <a:r>
            <a:rPr lang="en-US" sz="2400" kern="1200">
              <a:latin typeface="Arial"/>
              <a:cs typeface="Arial"/>
            </a:rPr>
            <a:t>Simulation</a:t>
          </a:r>
        </a:p>
      </dsp:txBody>
      <dsp:txXfrm>
        <a:off x="2862580" y="0"/>
        <a:ext cx="2088897" cy="538102"/>
      </dsp:txXfrm>
    </dsp:sp>
    <dsp:sp modelId="{629F1BBC-023D-114C-ACDC-2BDBFAD6CBEA}">
      <dsp:nvSpPr>
        <dsp:cNvPr id="0" name=""/>
        <dsp:cNvSpPr/>
      </dsp:nvSpPr>
      <dsp:spPr>
        <a:xfrm>
          <a:off x="2761767" y="1086595"/>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F3DE46B0-67A0-A648-A5DA-99CE61F1282A}">
      <dsp:nvSpPr>
        <dsp:cNvPr id="0" name=""/>
        <dsp:cNvSpPr/>
      </dsp:nvSpPr>
      <dsp:spPr>
        <a:xfrm>
          <a:off x="2939994" y="962119"/>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1. Simulation OR Simulation based Medical education</a:t>
          </a:r>
        </a:p>
      </dsp:txBody>
      <dsp:txXfrm>
        <a:off x="2939994" y="962119"/>
        <a:ext cx="2367873" cy="435993"/>
      </dsp:txXfrm>
    </dsp:sp>
    <dsp:sp modelId="{4F56CBCE-1D84-654F-B873-9C169295CBD0}">
      <dsp:nvSpPr>
        <dsp:cNvPr id="0" name=""/>
        <dsp:cNvSpPr/>
      </dsp:nvSpPr>
      <dsp:spPr>
        <a:xfrm>
          <a:off x="2761767" y="1522589"/>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86A5AC08-4713-EA45-97E9-7203E156FED6}">
      <dsp:nvSpPr>
        <dsp:cNvPr id="0" name=""/>
        <dsp:cNvSpPr/>
      </dsp:nvSpPr>
      <dsp:spPr>
        <a:xfrm>
          <a:off x="2939994" y="1398112"/>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2. Preparedness for practice OR preparedness for transition OR Undergraduate medical education</a:t>
          </a:r>
        </a:p>
      </dsp:txBody>
      <dsp:txXfrm>
        <a:off x="2939994" y="1398112"/>
        <a:ext cx="2367873" cy="435993"/>
      </dsp:txXfrm>
    </dsp:sp>
    <dsp:sp modelId="{E74D4FBC-5AB2-0A45-95D7-3E9DA33E05D5}">
      <dsp:nvSpPr>
        <dsp:cNvPr id="0" name=""/>
        <dsp:cNvSpPr/>
      </dsp:nvSpPr>
      <dsp:spPr>
        <a:xfrm>
          <a:off x="2761767" y="1958582"/>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A3A7C588-79CB-A749-AD3A-82457F59315B}">
      <dsp:nvSpPr>
        <dsp:cNvPr id="0" name=""/>
        <dsp:cNvSpPr/>
      </dsp:nvSpPr>
      <dsp:spPr>
        <a:xfrm>
          <a:off x="2939994" y="1834106"/>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3. Great Britain OR Europe OR US</a:t>
          </a:r>
        </a:p>
      </dsp:txBody>
      <dsp:txXfrm>
        <a:off x="2939994" y="1834106"/>
        <a:ext cx="2367873" cy="435993"/>
      </dsp:txXfrm>
    </dsp:sp>
    <dsp:sp modelId="{735C6614-7B5A-AD4A-9782-5A7177DDB5ED}">
      <dsp:nvSpPr>
        <dsp:cNvPr id="0" name=""/>
        <dsp:cNvSpPr/>
      </dsp:nvSpPr>
      <dsp:spPr>
        <a:xfrm>
          <a:off x="2761767" y="2394575"/>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18667907-64A3-214A-A1C7-F37C53048BE3}">
      <dsp:nvSpPr>
        <dsp:cNvPr id="0" name=""/>
        <dsp:cNvSpPr/>
      </dsp:nvSpPr>
      <dsp:spPr>
        <a:xfrm>
          <a:off x="2939994" y="2270099"/>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1 AND 2 AND 3</a:t>
          </a:r>
        </a:p>
      </dsp:txBody>
      <dsp:txXfrm>
        <a:off x="2939994" y="2270099"/>
        <a:ext cx="2367873" cy="435993"/>
      </dsp:txXfrm>
    </dsp:sp>
    <dsp:sp modelId="{535314AD-74A8-6646-8FB5-3F3059EB8D57}">
      <dsp:nvSpPr>
        <dsp:cNvPr id="0" name=""/>
        <dsp:cNvSpPr/>
      </dsp:nvSpPr>
      <dsp:spPr>
        <a:xfrm>
          <a:off x="2761767" y="2830569"/>
          <a:ext cx="187041" cy="187041"/>
        </a:xfrm>
        <a:prstGeom prst="rect">
          <a:avLst/>
        </a:prstGeom>
        <a:solidFill>
          <a:schemeClr val="lt1">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43278577-4ED0-1B42-9EA4-C7CE01892CFD}">
      <dsp:nvSpPr>
        <dsp:cNvPr id="0" name=""/>
        <dsp:cNvSpPr/>
      </dsp:nvSpPr>
      <dsp:spPr>
        <a:xfrm>
          <a:off x="2939994" y="2706093"/>
          <a:ext cx="2367873" cy="435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latin typeface="Arial"/>
              <a:cs typeface="Arial"/>
            </a:rPr>
            <a:t>Limit 1980 to 2013 </a:t>
          </a:r>
        </a:p>
      </dsp:txBody>
      <dsp:txXfrm>
        <a:off x="2939994" y="2706093"/>
        <a:ext cx="2367873" cy="435993"/>
      </dsp:txXfrm>
    </dsp:sp>
  </dsp:spTree>
</dsp:drawing>
</file>

<file path=word/diagrams/drawing4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EA0C80-1B6B-764F-9B60-4D4DB926E785}">
      <dsp:nvSpPr>
        <dsp:cNvPr id="0" name=""/>
        <dsp:cNvSpPr/>
      </dsp:nvSpPr>
      <dsp:spPr>
        <a:xfrm rot="13225411">
          <a:off x="1171081" y="2235147"/>
          <a:ext cx="1249365" cy="0"/>
        </a:xfrm>
        <a:custGeom>
          <a:avLst/>
          <a:gdLst/>
          <a:ahLst/>
          <a:cxnLst/>
          <a:rect l="0" t="0" r="0" b="0"/>
          <a:pathLst>
            <a:path>
              <a:moveTo>
                <a:pt x="0" y="0"/>
              </a:moveTo>
              <a:lnTo>
                <a:pt x="1249365"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84AC8F-5D88-494E-BF5E-946F108D1153}">
      <dsp:nvSpPr>
        <dsp:cNvPr id="0" name=""/>
        <dsp:cNvSpPr/>
      </dsp:nvSpPr>
      <dsp:spPr>
        <a:xfrm rot="9750512">
          <a:off x="922762" y="3368266"/>
          <a:ext cx="1380471" cy="0"/>
        </a:xfrm>
        <a:custGeom>
          <a:avLst/>
          <a:gdLst/>
          <a:ahLst/>
          <a:cxnLst/>
          <a:rect l="0" t="0" r="0" b="0"/>
          <a:pathLst>
            <a:path>
              <a:moveTo>
                <a:pt x="0" y="0"/>
              </a:moveTo>
              <a:lnTo>
                <a:pt x="1380471"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DE2A67-3F8A-0D4E-BE84-E36F26F0AEF7}">
      <dsp:nvSpPr>
        <dsp:cNvPr id="0" name=""/>
        <dsp:cNvSpPr/>
      </dsp:nvSpPr>
      <dsp:spPr>
        <a:xfrm rot="6977735">
          <a:off x="1630344" y="4004789"/>
          <a:ext cx="1201184" cy="0"/>
        </a:xfrm>
        <a:custGeom>
          <a:avLst/>
          <a:gdLst/>
          <a:ahLst/>
          <a:cxnLst/>
          <a:rect l="0" t="0" r="0" b="0"/>
          <a:pathLst>
            <a:path>
              <a:moveTo>
                <a:pt x="0" y="0"/>
              </a:moveTo>
              <a:lnTo>
                <a:pt x="1201184"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A51C435-AAD3-3341-801A-08E82C3ACA8D}">
      <dsp:nvSpPr>
        <dsp:cNvPr id="0" name=""/>
        <dsp:cNvSpPr/>
      </dsp:nvSpPr>
      <dsp:spPr>
        <a:xfrm rot="3822265">
          <a:off x="2603369" y="4004789"/>
          <a:ext cx="1201184" cy="0"/>
        </a:xfrm>
        <a:custGeom>
          <a:avLst/>
          <a:gdLst/>
          <a:ahLst/>
          <a:cxnLst/>
          <a:rect l="0" t="0" r="0" b="0"/>
          <a:pathLst>
            <a:path>
              <a:moveTo>
                <a:pt x="0" y="0"/>
              </a:moveTo>
              <a:lnTo>
                <a:pt x="1201184"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500320-4A43-6A43-8AE8-0068DE4BA60C}">
      <dsp:nvSpPr>
        <dsp:cNvPr id="0" name=""/>
        <dsp:cNvSpPr/>
      </dsp:nvSpPr>
      <dsp:spPr>
        <a:xfrm rot="852816">
          <a:off x="3144352" y="3287439"/>
          <a:ext cx="1256204" cy="0"/>
        </a:xfrm>
        <a:custGeom>
          <a:avLst/>
          <a:gdLst/>
          <a:ahLst/>
          <a:cxnLst/>
          <a:rect l="0" t="0" r="0" b="0"/>
          <a:pathLst>
            <a:path>
              <a:moveTo>
                <a:pt x="0" y="0"/>
              </a:moveTo>
              <a:lnTo>
                <a:pt x="1256204"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81F866-5780-C04C-B389-4027248735B0}">
      <dsp:nvSpPr>
        <dsp:cNvPr id="0" name=""/>
        <dsp:cNvSpPr/>
      </dsp:nvSpPr>
      <dsp:spPr>
        <a:xfrm rot="19214426">
          <a:off x="3014789" y="2237561"/>
          <a:ext cx="1286758" cy="0"/>
        </a:xfrm>
        <a:custGeom>
          <a:avLst/>
          <a:gdLst/>
          <a:ahLst/>
          <a:cxnLst/>
          <a:rect l="0" t="0" r="0" b="0"/>
          <a:pathLst>
            <a:path>
              <a:moveTo>
                <a:pt x="0" y="0"/>
              </a:moveTo>
              <a:lnTo>
                <a:pt x="1286758"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9909283-91A9-124A-916E-DE235A28C5FA}">
      <dsp:nvSpPr>
        <dsp:cNvPr id="0" name=""/>
        <dsp:cNvSpPr/>
      </dsp:nvSpPr>
      <dsp:spPr>
        <a:xfrm rot="16200000">
          <a:off x="2032076" y="1888711"/>
          <a:ext cx="1370745" cy="0"/>
        </a:xfrm>
        <a:custGeom>
          <a:avLst/>
          <a:gdLst/>
          <a:ahLst/>
          <a:cxnLst/>
          <a:rect l="0" t="0" r="0" b="0"/>
          <a:pathLst>
            <a:path>
              <a:moveTo>
                <a:pt x="0" y="0"/>
              </a:moveTo>
              <a:lnTo>
                <a:pt x="1370745"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38CCAD3-5709-2441-A9AB-E19836F34E6C}">
      <dsp:nvSpPr>
        <dsp:cNvPr id="0" name=""/>
        <dsp:cNvSpPr/>
      </dsp:nvSpPr>
      <dsp:spPr>
        <a:xfrm>
          <a:off x="2271318" y="2574084"/>
          <a:ext cx="892262" cy="892262"/>
        </a:xfrm>
        <a:prstGeom prst="round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3180" tIns="43180" rIns="43180" bIns="43180" numCol="1" spcCol="1270" anchor="ctr" anchorCtr="0">
          <a:noAutofit/>
        </a:bodyPr>
        <a:lstStyle/>
        <a:p>
          <a:pPr marL="0" lvl="0" indent="0" algn="ctr" defTabSz="755650">
            <a:lnSpc>
              <a:spcPct val="90000"/>
            </a:lnSpc>
            <a:spcBef>
              <a:spcPct val="0"/>
            </a:spcBef>
            <a:spcAft>
              <a:spcPct val="35000"/>
            </a:spcAft>
            <a:buNone/>
          </a:pPr>
          <a:r>
            <a:rPr lang="en-US" sz="1700" kern="1200"/>
            <a:t>Fidelity</a:t>
          </a:r>
        </a:p>
      </dsp:txBody>
      <dsp:txXfrm>
        <a:off x="2314875" y="2617641"/>
        <a:ext cx="805148" cy="805148"/>
      </dsp:txXfrm>
    </dsp:sp>
    <dsp:sp modelId="{78569760-98FD-CF4B-A647-1FC93E2628CB}">
      <dsp:nvSpPr>
        <dsp:cNvPr id="0" name=""/>
        <dsp:cNvSpPr/>
      </dsp:nvSpPr>
      <dsp:spPr>
        <a:xfrm>
          <a:off x="2418541" y="605523"/>
          <a:ext cx="597815" cy="597815"/>
        </a:xfrm>
        <a:prstGeom prst="roundRect">
          <a:avLst/>
        </a:prstGeom>
        <a:solidFill>
          <a:schemeClr val="accent3">
            <a:hueOff val="489142"/>
            <a:satOff val="-734"/>
            <a:lumOff val="-11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Needs to feel real/ near authentic/ realsitic scenarios/ 'real ife pressures/ distractions'</a:t>
          </a:r>
        </a:p>
      </dsp:txBody>
      <dsp:txXfrm>
        <a:off x="2447724" y="634706"/>
        <a:ext cx="539449" cy="539449"/>
      </dsp:txXfrm>
    </dsp:sp>
    <dsp:sp modelId="{CC2E4491-D596-DC48-B320-707F3E3F1D46}">
      <dsp:nvSpPr>
        <dsp:cNvPr id="0" name=""/>
        <dsp:cNvSpPr/>
      </dsp:nvSpPr>
      <dsp:spPr>
        <a:xfrm>
          <a:off x="4152756" y="1455490"/>
          <a:ext cx="404576" cy="404576"/>
        </a:xfrm>
        <a:prstGeom prst="roundRect">
          <a:avLst/>
        </a:prstGeom>
        <a:solidFill>
          <a:schemeClr val="accent3">
            <a:hueOff val="978284"/>
            <a:satOff val="-1468"/>
            <a:lumOff val="-2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Appropriate level</a:t>
          </a:r>
        </a:p>
      </dsp:txBody>
      <dsp:txXfrm>
        <a:off x="4172506" y="1475240"/>
        <a:ext cx="365076" cy="365076"/>
      </dsp:txXfrm>
    </dsp:sp>
    <dsp:sp modelId="{DF488875-E43D-C049-A7B7-E63046FC33B3}">
      <dsp:nvSpPr>
        <dsp:cNvPr id="0" name=""/>
        <dsp:cNvSpPr/>
      </dsp:nvSpPr>
      <dsp:spPr>
        <a:xfrm rot="16200000">
          <a:off x="4307446" y="1407891"/>
          <a:ext cx="95197" cy="0"/>
        </a:xfrm>
        <a:custGeom>
          <a:avLst/>
          <a:gdLst/>
          <a:ahLst/>
          <a:cxnLst/>
          <a:rect l="0" t="0" r="0" b="0"/>
          <a:pathLst>
            <a:path>
              <a:moveTo>
                <a:pt x="0" y="0"/>
              </a:moveTo>
              <a:lnTo>
                <a:pt x="95197"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8EB8AD-89FA-074E-BB7F-B585FE1590F8}">
      <dsp:nvSpPr>
        <dsp:cNvPr id="0" name=""/>
        <dsp:cNvSpPr/>
      </dsp:nvSpPr>
      <dsp:spPr>
        <a:xfrm>
          <a:off x="4152756" y="955715"/>
          <a:ext cx="404576" cy="404576"/>
        </a:xfrm>
        <a:prstGeom prst="roundRect">
          <a:avLst/>
        </a:prstGeom>
        <a:solidFill>
          <a:schemeClr val="accent3">
            <a:hueOff val="1467426"/>
            <a:satOff val="-2202"/>
            <a:lumOff val="-35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To person</a:t>
          </a:r>
        </a:p>
      </dsp:txBody>
      <dsp:txXfrm>
        <a:off x="4172506" y="975465"/>
        <a:ext cx="365076" cy="365076"/>
      </dsp:txXfrm>
    </dsp:sp>
    <dsp:sp modelId="{09097D29-D0DB-314C-A11F-8345AD6D0585}">
      <dsp:nvSpPr>
        <dsp:cNvPr id="0" name=""/>
        <dsp:cNvSpPr/>
      </dsp:nvSpPr>
      <dsp:spPr>
        <a:xfrm>
          <a:off x="4557333" y="1657778"/>
          <a:ext cx="95197" cy="0"/>
        </a:xfrm>
        <a:custGeom>
          <a:avLst/>
          <a:gdLst/>
          <a:ahLst/>
          <a:cxnLst/>
          <a:rect l="0" t="0" r="0" b="0"/>
          <a:pathLst>
            <a:path>
              <a:moveTo>
                <a:pt x="0" y="0"/>
              </a:moveTo>
              <a:lnTo>
                <a:pt x="95197"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7BC4E4-B9C0-E149-9D0B-6B6C149A4B22}">
      <dsp:nvSpPr>
        <dsp:cNvPr id="0" name=""/>
        <dsp:cNvSpPr/>
      </dsp:nvSpPr>
      <dsp:spPr>
        <a:xfrm>
          <a:off x="4652531" y="1455490"/>
          <a:ext cx="404576" cy="404576"/>
        </a:xfrm>
        <a:prstGeom prst="roundRect">
          <a:avLst/>
        </a:prstGeom>
        <a:solidFill>
          <a:schemeClr val="accent3">
            <a:hueOff val="1956568"/>
            <a:satOff val="-2936"/>
            <a:lumOff val="-47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For learning</a:t>
          </a:r>
        </a:p>
      </dsp:txBody>
      <dsp:txXfrm>
        <a:off x="4672281" y="1475240"/>
        <a:ext cx="365076" cy="365076"/>
      </dsp:txXfrm>
    </dsp:sp>
    <dsp:sp modelId="{472F3D74-AE9B-B442-B307-527B69FF60C3}">
      <dsp:nvSpPr>
        <dsp:cNvPr id="0" name=""/>
        <dsp:cNvSpPr/>
      </dsp:nvSpPr>
      <dsp:spPr>
        <a:xfrm rot="5400000">
          <a:off x="4307446" y="1907665"/>
          <a:ext cx="95197" cy="0"/>
        </a:xfrm>
        <a:custGeom>
          <a:avLst/>
          <a:gdLst/>
          <a:ahLst/>
          <a:cxnLst/>
          <a:rect l="0" t="0" r="0" b="0"/>
          <a:pathLst>
            <a:path>
              <a:moveTo>
                <a:pt x="0" y="0"/>
              </a:moveTo>
              <a:lnTo>
                <a:pt x="95197"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3F41B1-9F5F-E840-BC09-399520674304}">
      <dsp:nvSpPr>
        <dsp:cNvPr id="0" name=""/>
        <dsp:cNvSpPr/>
      </dsp:nvSpPr>
      <dsp:spPr>
        <a:xfrm>
          <a:off x="4152756" y="1955264"/>
          <a:ext cx="404576" cy="404576"/>
        </a:xfrm>
        <a:prstGeom prst="roundRect">
          <a:avLst/>
        </a:prstGeom>
        <a:solidFill>
          <a:schemeClr val="accent3">
            <a:hueOff val="2445709"/>
            <a:satOff val="-3670"/>
            <a:lumOff val="-59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The spectrum for immersion</a:t>
          </a:r>
        </a:p>
      </dsp:txBody>
      <dsp:txXfrm>
        <a:off x="4172506" y="1975014"/>
        <a:ext cx="365076" cy="365076"/>
      </dsp:txXfrm>
    </dsp:sp>
    <dsp:sp modelId="{C61EBB02-F6E2-394A-8661-B9AD3AEA1124}">
      <dsp:nvSpPr>
        <dsp:cNvPr id="0" name=""/>
        <dsp:cNvSpPr/>
      </dsp:nvSpPr>
      <dsp:spPr>
        <a:xfrm rot="10800000">
          <a:off x="4057558" y="1657778"/>
          <a:ext cx="95197" cy="0"/>
        </a:xfrm>
        <a:custGeom>
          <a:avLst/>
          <a:gdLst/>
          <a:ahLst/>
          <a:cxnLst/>
          <a:rect l="0" t="0" r="0" b="0"/>
          <a:pathLst>
            <a:path>
              <a:moveTo>
                <a:pt x="0" y="0"/>
              </a:moveTo>
              <a:lnTo>
                <a:pt x="95197"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79B75E-A91C-AB43-89EF-0FC2D4B4A7E7}">
      <dsp:nvSpPr>
        <dsp:cNvPr id="0" name=""/>
        <dsp:cNvSpPr/>
      </dsp:nvSpPr>
      <dsp:spPr>
        <a:xfrm>
          <a:off x="3652982" y="1455490"/>
          <a:ext cx="404576" cy="404576"/>
        </a:xfrm>
        <a:prstGeom prst="roundRect">
          <a:avLst/>
        </a:prstGeom>
        <a:solidFill>
          <a:schemeClr val="accent3">
            <a:hueOff val="2934851"/>
            <a:satOff val="-4403"/>
            <a:lumOff val="-71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Determined by learning outcomes</a:t>
          </a:r>
        </a:p>
      </dsp:txBody>
      <dsp:txXfrm>
        <a:off x="3672732" y="1475240"/>
        <a:ext cx="365076" cy="365076"/>
      </dsp:txXfrm>
    </dsp:sp>
    <dsp:sp modelId="{430F1394-E700-554F-9501-5CF9DD7D0043}">
      <dsp:nvSpPr>
        <dsp:cNvPr id="0" name=""/>
        <dsp:cNvSpPr/>
      </dsp:nvSpPr>
      <dsp:spPr>
        <a:xfrm>
          <a:off x="4381328" y="3257984"/>
          <a:ext cx="495752" cy="492925"/>
        </a:xfrm>
        <a:prstGeom prst="roundRect">
          <a:avLst/>
        </a:prstGeom>
        <a:solidFill>
          <a:schemeClr val="accent3">
            <a:hueOff val="3423993"/>
            <a:satOff val="-5137"/>
            <a:lumOff val="-83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Psychological fidelity - buy in from participants</a:t>
          </a:r>
        </a:p>
      </dsp:txBody>
      <dsp:txXfrm>
        <a:off x="4405391" y="3282047"/>
        <a:ext cx="447626" cy="444799"/>
      </dsp:txXfrm>
    </dsp:sp>
    <dsp:sp modelId="{11C81CFF-1FA2-554B-B622-024F59854A23}">
      <dsp:nvSpPr>
        <dsp:cNvPr id="0" name=""/>
        <dsp:cNvSpPr/>
      </dsp:nvSpPr>
      <dsp:spPr>
        <a:xfrm rot="16200000">
          <a:off x="4498836" y="3127614"/>
          <a:ext cx="260738" cy="0"/>
        </a:xfrm>
        <a:custGeom>
          <a:avLst/>
          <a:gdLst/>
          <a:ahLst/>
          <a:cxnLst/>
          <a:rect l="0" t="0" r="0" b="0"/>
          <a:pathLst>
            <a:path>
              <a:moveTo>
                <a:pt x="0" y="0"/>
              </a:moveTo>
              <a:lnTo>
                <a:pt x="260738"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579157-5D1C-B048-B117-DA5B308D1939}">
      <dsp:nvSpPr>
        <dsp:cNvPr id="0" name=""/>
        <dsp:cNvSpPr/>
      </dsp:nvSpPr>
      <dsp:spPr>
        <a:xfrm>
          <a:off x="4381327" y="2476903"/>
          <a:ext cx="495756" cy="520342"/>
        </a:xfrm>
        <a:prstGeom prst="roundRect">
          <a:avLst/>
        </a:prstGeom>
        <a:solidFill>
          <a:schemeClr val="accent3">
            <a:hueOff val="3913135"/>
            <a:satOff val="-5871"/>
            <a:lumOff val="-95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Patient voice - dynamic and interactive</a:t>
          </a:r>
        </a:p>
      </dsp:txBody>
      <dsp:txXfrm>
        <a:off x="4405528" y="2501104"/>
        <a:ext cx="447354" cy="471940"/>
      </dsp:txXfrm>
    </dsp:sp>
    <dsp:sp modelId="{15204013-8F17-D64F-A709-43E6842F29ED}">
      <dsp:nvSpPr>
        <dsp:cNvPr id="0" name=""/>
        <dsp:cNvSpPr/>
      </dsp:nvSpPr>
      <dsp:spPr>
        <a:xfrm rot="20005572">
          <a:off x="4876110" y="3376346"/>
          <a:ext cx="18397" cy="0"/>
        </a:xfrm>
        <a:custGeom>
          <a:avLst/>
          <a:gdLst/>
          <a:ahLst/>
          <a:cxnLst/>
          <a:rect l="0" t="0" r="0" b="0"/>
          <a:pathLst>
            <a:path>
              <a:moveTo>
                <a:pt x="0" y="0"/>
              </a:moveTo>
              <a:lnTo>
                <a:pt x="18397"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D97467-7872-FC4B-957E-3990424D2B96}">
      <dsp:nvSpPr>
        <dsp:cNvPr id="0" name=""/>
        <dsp:cNvSpPr/>
      </dsp:nvSpPr>
      <dsp:spPr>
        <a:xfrm>
          <a:off x="4893535" y="2955641"/>
          <a:ext cx="597944" cy="534093"/>
        </a:xfrm>
        <a:prstGeom prst="roundRect">
          <a:avLst/>
        </a:prstGeom>
        <a:solidFill>
          <a:schemeClr val="accent3">
            <a:hueOff val="4402277"/>
            <a:satOff val="-6605"/>
            <a:lumOff val="-107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Staff buy in - own authentic roles - take seriously</a:t>
          </a:r>
        </a:p>
      </dsp:txBody>
      <dsp:txXfrm>
        <a:off x="4919607" y="2981713"/>
        <a:ext cx="545800" cy="481949"/>
      </dsp:txXfrm>
    </dsp:sp>
    <dsp:sp modelId="{21DEB39E-F5E1-AB44-8969-F6583A8B2645}">
      <dsp:nvSpPr>
        <dsp:cNvPr id="0" name=""/>
        <dsp:cNvSpPr/>
      </dsp:nvSpPr>
      <dsp:spPr>
        <a:xfrm rot="2696608">
          <a:off x="4858720" y="3793060"/>
          <a:ext cx="119338" cy="0"/>
        </a:xfrm>
        <a:custGeom>
          <a:avLst/>
          <a:gdLst/>
          <a:ahLst/>
          <a:cxnLst/>
          <a:rect l="0" t="0" r="0" b="0"/>
          <a:pathLst>
            <a:path>
              <a:moveTo>
                <a:pt x="0" y="0"/>
              </a:moveTo>
              <a:lnTo>
                <a:pt x="119338"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14C79B-91D9-4040-AEF4-5675DB949734}">
      <dsp:nvSpPr>
        <dsp:cNvPr id="0" name=""/>
        <dsp:cNvSpPr/>
      </dsp:nvSpPr>
      <dsp:spPr>
        <a:xfrm>
          <a:off x="4953070" y="3835211"/>
          <a:ext cx="538409" cy="522271"/>
        </a:xfrm>
        <a:prstGeom prst="roundRect">
          <a:avLst/>
        </a:prstGeom>
        <a:solidFill>
          <a:schemeClr val="accent3">
            <a:hueOff val="4891419"/>
            <a:satOff val="-7339"/>
            <a:lumOff val="-119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Scenario could be expected to manage</a:t>
          </a:r>
        </a:p>
      </dsp:txBody>
      <dsp:txXfrm>
        <a:off x="4978565" y="3860706"/>
        <a:ext cx="487419" cy="471281"/>
      </dsp:txXfrm>
    </dsp:sp>
    <dsp:sp modelId="{996997E7-8767-A141-BC5D-466CD1DC1139}">
      <dsp:nvSpPr>
        <dsp:cNvPr id="0" name=""/>
        <dsp:cNvSpPr/>
      </dsp:nvSpPr>
      <dsp:spPr>
        <a:xfrm rot="7530386">
          <a:off x="4223224" y="3869422"/>
          <a:ext cx="291168" cy="0"/>
        </a:xfrm>
        <a:custGeom>
          <a:avLst/>
          <a:gdLst/>
          <a:ahLst/>
          <a:cxnLst/>
          <a:rect l="0" t="0" r="0" b="0"/>
          <a:pathLst>
            <a:path>
              <a:moveTo>
                <a:pt x="0" y="0"/>
              </a:moveTo>
              <a:lnTo>
                <a:pt x="291168"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D0F4A9-E024-E04A-A3B3-3692A8541E24}">
      <dsp:nvSpPr>
        <dsp:cNvPr id="0" name=""/>
        <dsp:cNvSpPr/>
      </dsp:nvSpPr>
      <dsp:spPr>
        <a:xfrm>
          <a:off x="3967650" y="3987935"/>
          <a:ext cx="369548" cy="369548"/>
        </a:xfrm>
        <a:prstGeom prst="roundRect">
          <a:avLst/>
        </a:prstGeom>
        <a:solidFill>
          <a:schemeClr val="accent3">
            <a:hueOff val="5380561"/>
            <a:satOff val="-8073"/>
            <a:lumOff val="-131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Compassion towards sim man</a:t>
          </a:r>
        </a:p>
      </dsp:txBody>
      <dsp:txXfrm>
        <a:off x="3985690" y="4005975"/>
        <a:ext cx="333468" cy="333468"/>
      </dsp:txXfrm>
    </dsp:sp>
    <dsp:sp modelId="{D30E54E9-C69E-CF43-8438-02B22B5DB57A}">
      <dsp:nvSpPr>
        <dsp:cNvPr id="0" name=""/>
        <dsp:cNvSpPr/>
      </dsp:nvSpPr>
      <dsp:spPr>
        <a:xfrm rot="11988410">
          <a:off x="4218560" y="3386754"/>
          <a:ext cx="167729" cy="0"/>
        </a:xfrm>
        <a:custGeom>
          <a:avLst/>
          <a:gdLst/>
          <a:ahLst/>
          <a:cxnLst/>
          <a:rect l="0" t="0" r="0" b="0"/>
          <a:pathLst>
            <a:path>
              <a:moveTo>
                <a:pt x="0" y="0"/>
              </a:moveTo>
              <a:lnTo>
                <a:pt x="167729"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57EBADB-F929-BB47-BDA1-1B29516DCA16}">
      <dsp:nvSpPr>
        <dsp:cNvPr id="0" name=""/>
        <dsp:cNvSpPr/>
      </dsp:nvSpPr>
      <dsp:spPr>
        <a:xfrm>
          <a:off x="3853973" y="3107015"/>
          <a:ext cx="369548" cy="369548"/>
        </a:xfrm>
        <a:prstGeom prst="roundRect">
          <a:avLst/>
        </a:prstGeom>
        <a:solidFill>
          <a:schemeClr val="accent3">
            <a:hueOff val="5869703"/>
            <a:satOff val="-8807"/>
            <a:lumOff val="-143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Accurate physiological responses</a:t>
          </a:r>
        </a:p>
      </dsp:txBody>
      <dsp:txXfrm>
        <a:off x="3872013" y="3125055"/>
        <a:ext cx="333468" cy="333468"/>
      </dsp:txXfrm>
    </dsp:sp>
    <dsp:sp modelId="{20A179B6-A41A-5944-91FA-418B358A52B5}">
      <dsp:nvSpPr>
        <dsp:cNvPr id="0" name=""/>
        <dsp:cNvSpPr/>
      </dsp:nvSpPr>
      <dsp:spPr>
        <a:xfrm>
          <a:off x="3318818" y="4543233"/>
          <a:ext cx="597815" cy="597815"/>
        </a:xfrm>
        <a:prstGeom prst="roundRect">
          <a:avLst/>
        </a:prstGeom>
        <a:solidFill>
          <a:schemeClr val="accent3">
            <a:hueOff val="6358845"/>
            <a:satOff val="-9541"/>
            <a:lumOff val="-155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Term from literature refers to complexity and capability of the equipment rather than how real to life</a:t>
          </a:r>
        </a:p>
      </dsp:txBody>
      <dsp:txXfrm>
        <a:off x="3348001" y="4572416"/>
        <a:ext cx="539449" cy="539449"/>
      </dsp:txXfrm>
    </dsp:sp>
    <dsp:sp modelId="{5873AA71-7CA0-894D-8FE8-83142AAFD0E5}">
      <dsp:nvSpPr>
        <dsp:cNvPr id="0" name=""/>
        <dsp:cNvSpPr/>
      </dsp:nvSpPr>
      <dsp:spPr>
        <a:xfrm>
          <a:off x="1518264" y="4543233"/>
          <a:ext cx="597815" cy="597815"/>
        </a:xfrm>
        <a:prstGeom prst="roundRect">
          <a:avLst/>
        </a:prstGeom>
        <a:solidFill>
          <a:schemeClr val="accent3">
            <a:hueOff val="6847986"/>
            <a:satOff val="-10275"/>
            <a:lumOff val="-167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Important to aim to change behaviour </a:t>
          </a:r>
        </a:p>
      </dsp:txBody>
      <dsp:txXfrm>
        <a:off x="1547447" y="4572416"/>
        <a:ext cx="539449" cy="539449"/>
      </dsp:txXfrm>
    </dsp:sp>
    <dsp:sp modelId="{1BA41BA0-8D5C-6C42-83E2-8E31975CE9BD}">
      <dsp:nvSpPr>
        <dsp:cNvPr id="0" name=""/>
        <dsp:cNvSpPr/>
      </dsp:nvSpPr>
      <dsp:spPr>
        <a:xfrm>
          <a:off x="542511" y="3434587"/>
          <a:ext cx="412166" cy="412166"/>
        </a:xfrm>
        <a:prstGeom prst="roundRect">
          <a:avLst/>
        </a:prstGeom>
        <a:solidFill>
          <a:schemeClr val="accent3">
            <a:hueOff val="7337129"/>
            <a:satOff val="-11009"/>
            <a:lumOff val="-179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Avoid undermining fidelity</a:t>
          </a:r>
        </a:p>
      </dsp:txBody>
      <dsp:txXfrm>
        <a:off x="562631" y="3454707"/>
        <a:ext cx="371926" cy="371926"/>
      </dsp:txXfrm>
    </dsp:sp>
    <dsp:sp modelId="{46726150-FD9D-5944-B23D-6AAC35515942}">
      <dsp:nvSpPr>
        <dsp:cNvPr id="0" name=""/>
        <dsp:cNvSpPr/>
      </dsp:nvSpPr>
      <dsp:spPr>
        <a:xfrm rot="16200000">
          <a:off x="690371" y="3376364"/>
          <a:ext cx="116446" cy="0"/>
        </a:xfrm>
        <a:custGeom>
          <a:avLst/>
          <a:gdLst/>
          <a:ahLst/>
          <a:cxnLst/>
          <a:rect l="0" t="0" r="0" b="0"/>
          <a:pathLst>
            <a:path>
              <a:moveTo>
                <a:pt x="0" y="0"/>
              </a:moveTo>
              <a:lnTo>
                <a:pt x="116446"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F151CD-A010-3F42-BFB9-770B76E0EFF1}">
      <dsp:nvSpPr>
        <dsp:cNvPr id="0" name=""/>
        <dsp:cNvSpPr/>
      </dsp:nvSpPr>
      <dsp:spPr>
        <a:xfrm>
          <a:off x="415331" y="2728286"/>
          <a:ext cx="666526" cy="589855"/>
        </a:xfrm>
        <a:prstGeom prst="roundRect">
          <a:avLst/>
        </a:prstGeom>
        <a:solidFill>
          <a:schemeClr val="accent3">
            <a:hueOff val="7826270"/>
            <a:satOff val="-11743"/>
            <a:lumOff val="-191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Ensure introduction to environment and kit</a:t>
          </a:r>
        </a:p>
      </dsp:txBody>
      <dsp:txXfrm>
        <a:off x="444125" y="2757080"/>
        <a:ext cx="608938" cy="532267"/>
      </dsp:txXfrm>
    </dsp:sp>
    <dsp:sp modelId="{08366CA2-F3DA-5A44-A964-B130D1E2ADF7}">
      <dsp:nvSpPr>
        <dsp:cNvPr id="0" name=""/>
        <dsp:cNvSpPr/>
      </dsp:nvSpPr>
      <dsp:spPr>
        <a:xfrm rot="1800000">
          <a:off x="948172" y="3783929"/>
          <a:ext cx="97106" cy="0"/>
        </a:xfrm>
        <a:custGeom>
          <a:avLst/>
          <a:gdLst/>
          <a:ahLst/>
          <a:cxnLst/>
          <a:rect l="0" t="0" r="0" b="0"/>
          <a:pathLst>
            <a:path>
              <a:moveTo>
                <a:pt x="0" y="0"/>
              </a:moveTo>
              <a:lnTo>
                <a:pt x="97106"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E0D913-E9AD-AF45-9D1E-31B3BC0E5743}">
      <dsp:nvSpPr>
        <dsp:cNvPr id="0" name=""/>
        <dsp:cNvSpPr/>
      </dsp:nvSpPr>
      <dsp:spPr>
        <a:xfrm>
          <a:off x="1038774" y="3721105"/>
          <a:ext cx="412166" cy="412166"/>
        </a:xfrm>
        <a:prstGeom prst="roundRect">
          <a:avLst/>
        </a:prstGeom>
        <a:solidFill>
          <a:schemeClr val="accent3">
            <a:hueOff val="8315413"/>
            <a:satOff val="-12477"/>
            <a:lumOff val="-202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Expecations transparent</a:t>
          </a:r>
        </a:p>
      </dsp:txBody>
      <dsp:txXfrm>
        <a:off x="1058894" y="3741225"/>
        <a:ext cx="371926" cy="371926"/>
      </dsp:txXfrm>
    </dsp:sp>
    <dsp:sp modelId="{DB07D422-3C10-9A42-BDDC-29DF1F15A61A}">
      <dsp:nvSpPr>
        <dsp:cNvPr id="0" name=""/>
        <dsp:cNvSpPr/>
      </dsp:nvSpPr>
      <dsp:spPr>
        <a:xfrm rot="9000000">
          <a:off x="451909" y="3783929"/>
          <a:ext cx="97106" cy="0"/>
        </a:xfrm>
        <a:custGeom>
          <a:avLst/>
          <a:gdLst/>
          <a:ahLst/>
          <a:cxnLst/>
          <a:rect l="0" t="0" r="0" b="0"/>
          <a:pathLst>
            <a:path>
              <a:moveTo>
                <a:pt x="0" y="0"/>
              </a:moveTo>
              <a:lnTo>
                <a:pt x="97106"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942A741-CA2B-B345-8A6E-F3FE851B3BFE}">
      <dsp:nvSpPr>
        <dsp:cNvPr id="0" name=""/>
        <dsp:cNvSpPr/>
      </dsp:nvSpPr>
      <dsp:spPr>
        <a:xfrm>
          <a:off x="46248" y="3721105"/>
          <a:ext cx="412166" cy="412166"/>
        </a:xfrm>
        <a:prstGeom prst="roundRect">
          <a:avLst/>
        </a:prstGeom>
        <a:solidFill>
          <a:schemeClr val="accent3">
            <a:hueOff val="8804554"/>
            <a:satOff val="-13210"/>
            <a:lumOff val="-214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Stick to own roles</a:t>
          </a:r>
        </a:p>
      </dsp:txBody>
      <dsp:txXfrm>
        <a:off x="66368" y="3741225"/>
        <a:ext cx="371926" cy="371926"/>
      </dsp:txXfrm>
    </dsp:sp>
    <dsp:sp modelId="{81928B3B-CD54-EA4B-BF8F-4F9948DDE89F}">
      <dsp:nvSpPr>
        <dsp:cNvPr id="0" name=""/>
        <dsp:cNvSpPr/>
      </dsp:nvSpPr>
      <dsp:spPr>
        <a:xfrm>
          <a:off x="915633" y="1455490"/>
          <a:ext cx="404576" cy="404576"/>
        </a:xfrm>
        <a:prstGeom prst="roundRect">
          <a:avLst/>
        </a:prstGeom>
        <a:solidFill>
          <a:schemeClr val="accent3">
            <a:hueOff val="9293696"/>
            <a:satOff val="-13944"/>
            <a:lumOff val="-226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Physical/equipment fidelity</a:t>
          </a:r>
        </a:p>
      </dsp:txBody>
      <dsp:txXfrm>
        <a:off x="935383" y="1475240"/>
        <a:ext cx="365076" cy="365076"/>
      </dsp:txXfrm>
    </dsp:sp>
    <dsp:sp modelId="{F85401C1-5A91-F94F-AAB2-A9C42109EB68}">
      <dsp:nvSpPr>
        <dsp:cNvPr id="0" name=""/>
        <dsp:cNvSpPr/>
      </dsp:nvSpPr>
      <dsp:spPr>
        <a:xfrm rot="16200000">
          <a:off x="1015408" y="1352976"/>
          <a:ext cx="205028" cy="0"/>
        </a:xfrm>
        <a:custGeom>
          <a:avLst/>
          <a:gdLst/>
          <a:ahLst/>
          <a:cxnLst/>
          <a:rect l="0" t="0" r="0" b="0"/>
          <a:pathLst>
            <a:path>
              <a:moveTo>
                <a:pt x="0" y="0"/>
              </a:moveTo>
              <a:lnTo>
                <a:pt x="205028"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DBDFA0-ACCB-E841-A4A9-DE92DC91FB1C}">
      <dsp:nvSpPr>
        <dsp:cNvPr id="0" name=""/>
        <dsp:cNvSpPr/>
      </dsp:nvSpPr>
      <dsp:spPr>
        <a:xfrm>
          <a:off x="915633" y="845885"/>
          <a:ext cx="404576" cy="404576"/>
        </a:xfrm>
        <a:prstGeom prst="roundRect">
          <a:avLst/>
        </a:prstGeom>
        <a:solidFill>
          <a:schemeClr val="accent3">
            <a:hueOff val="9782837"/>
            <a:satOff val="-14678"/>
            <a:lumOff val="-238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Working phone</a:t>
          </a:r>
        </a:p>
      </dsp:txBody>
      <dsp:txXfrm>
        <a:off x="935383" y="865635"/>
        <a:ext cx="365076" cy="365076"/>
      </dsp:txXfrm>
    </dsp:sp>
    <dsp:sp modelId="{1A2C5717-69C1-5D44-8237-B99C596AEA60}">
      <dsp:nvSpPr>
        <dsp:cNvPr id="0" name=""/>
        <dsp:cNvSpPr/>
      </dsp:nvSpPr>
      <dsp:spPr>
        <a:xfrm>
          <a:off x="1320210" y="1657778"/>
          <a:ext cx="168364" cy="0"/>
        </a:xfrm>
        <a:custGeom>
          <a:avLst/>
          <a:gdLst/>
          <a:ahLst/>
          <a:cxnLst/>
          <a:rect l="0" t="0" r="0" b="0"/>
          <a:pathLst>
            <a:path>
              <a:moveTo>
                <a:pt x="0" y="0"/>
              </a:moveTo>
              <a:lnTo>
                <a:pt x="168364"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70526A-964B-324A-913D-1F4EA49A0621}">
      <dsp:nvSpPr>
        <dsp:cNvPr id="0" name=""/>
        <dsp:cNvSpPr/>
      </dsp:nvSpPr>
      <dsp:spPr>
        <a:xfrm>
          <a:off x="1488575" y="1455490"/>
          <a:ext cx="404576" cy="404576"/>
        </a:xfrm>
        <a:prstGeom prst="roundRect">
          <a:avLst/>
        </a:prstGeom>
        <a:solidFill>
          <a:schemeClr val="accent3">
            <a:hueOff val="10271980"/>
            <a:satOff val="-15412"/>
            <a:lumOff val="-250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Procedures in real time with authentic kit eg IV lines</a:t>
          </a:r>
        </a:p>
      </dsp:txBody>
      <dsp:txXfrm>
        <a:off x="1508325" y="1475240"/>
        <a:ext cx="365076" cy="365076"/>
      </dsp:txXfrm>
    </dsp:sp>
    <dsp:sp modelId="{1ECF9EBB-EA79-D944-9845-62EC79C5ED39}">
      <dsp:nvSpPr>
        <dsp:cNvPr id="0" name=""/>
        <dsp:cNvSpPr/>
      </dsp:nvSpPr>
      <dsp:spPr>
        <a:xfrm rot="5400000">
          <a:off x="999780" y="1978209"/>
          <a:ext cx="236284" cy="0"/>
        </a:xfrm>
        <a:custGeom>
          <a:avLst/>
          <a:gdLst/>
          <a:ahLst/>
          <a:cxnLst/>
          <a:rect l="0" t="0" r="0" b="0"/>
          <a:pathLst>
            <a:path>
              <a:moveTo>
                <a:pt x="0" y="0"/>
              </a:moveTo>
              <a:lnTo>
                <a:pt x="236284"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5DD359-9ECB-8F4F-A384-0E4AFACD0B69}">
      <dsp:nvSpPr>
        <dsp:cNvPr id="0" name=""/>
        <dsp:cNvSpPr/>
      </dsp:nvSpPr>
      <dsp:spPr>
        <a:xfrm>
          <a:off x="915633" y="2096351"/>
          <a:ext cx="404576" cy="404576"/>
        </a:xfrm>
        <a:prstGeom prst="roundRect">
          <a:avLst/>
        </a:prstGeom>
        <a:solidFill>
          <a:schemeClr val="accent3">
            <a:hueOff val="10761122"/>
            <a:satOff val="-16146"/>
            <a:lumOff val="-262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Mannequin only as real as faculty make him</a:t>
          </a:r>
        </a:p>
      </dsp:txBody>
      <dsp:txXfrm>
        <a:off x="935383" y="2116101"/>
        <a:ext cx="365076" cy="365076"/>
      </dsp:txXfrm>
    </dsp:sp>
    <dsp:sp modelId="{3254232C-52F0-C743-845A-E908664EBBAE}">
      <dsp:nvSpPr>
        <dsp:cNvPr id="0" name=""/>
        <dsp:cNvSpPr/>
      </dsp:nvSpPr>
      <dsp:spPr>
        <a:xfrm rot="10800000">
          <a:off x="631147" y="1657778"/>
          <a:ext cx="284485" cy="0"/>
        </a:xfrm>
        <a:custGeom>
          <a:avLst/>
          <a:gdLst/>
          <a:ahLst/>
          <a:cxnLst/>
          <a:rect l="0" t="0" r="0" b="0"/>
          <a:pathLst>
            <a:path>
              <a:moveTo>
                <a:pt x="0" y="0"/>
              </a:moveTo>
              <a:lnTo>
                <a:pt x="284485"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1456C2-3108-F34A-92AD-158CB60268DB}">
      <dsp:nvSpPr>
        <dsp:cNvPr id="0" name=""/>
        <dsp:cNvSpPr/>
      </dsp:nvSpPr>
      <dsp:spPr>
        <a:xfrm>
          <a:off x="74296" y="1364142"/>
          <a:ext cx="556851" cy="587271"/>
        </a:xfrm>
        <a:prstGeom prst="roundRect">
          <a:avLst/>
        </a:prstGeom>
        <a:solidFill>
          <a:schemeClr val="accent3">
            <a:hueOff val="11250264"/>
            <a:satOff val="-16880"/>
            <a:lumOff val="-274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Interruptions</a:t>
          </a:r>
        </a:p>
      </dsp:txBody>
      <dsp:txXfrm>
        <a:off x="101479" y="1391325"/>
        <a:ext cx="502485" cy="532905"/>
      </dsp:txXfrm>
    </dsp:sp>
  </dsp:spTree>
</dsp:drawing>
</file>

<file path=word/diagrams/drawing4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9B1105-81AC-7B4F-9E01-591F92D94AC6}">
      <dsp:nvSpPr>
        <dsp:cNvPr id="0" name=""/>
        <dsp:cNvSpPr/>
      </dsp:nvSpPr>
      <dsp:spPr>
        <a:xfrm rot="16200000">
          <a:off x="5397" y="-5397"/>
          <a:ext cx="2906395" cy="2917189"/>
        </a:xfrm>
        <a:prstGeom prst="round1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l" defTabSz="533400">
            <a:lnSpc>
              <a:spcPct val="90000"/>
            </a:lnSpc>
            <a:spcBef>
              <a:spcPct val="0"/>
            </a:spcBef>
            <a:spcAft>
              <a:spcPct val="35000"/>
            </a:spcAft>
            <a:buNone/>
          </a:pPr>
          <a:endParaRPr lang="en-US" sz="1200" kern="1200">
            <a:latin typeface="Arial"/>
            <a:cs typeface="Arial"/>
          </a:endParaRPr>
        </a:p>
        <a:p>
          <a:pPr marL="0" lvl="0" indent="0" algn="l" defTabSz="533400">
            <a:lnSpc>
              <a:spcPct val="90000"/>
            </a:lnSpc>
            <a:spcBef>
              <a:spcPct val="0"/>
            </a:spcBef>
            <a:spcAft>
              <a:spcPct val="35000"/>
            </a:spcAft>
            <a:buNone/>
          </a:pPr>
          <a:endParaRPr lang="en-US" sz="1200" kern="1200">
            <a:latin typeface="Arial"/>
            <a:cs typeface="Arial"/>
          </a:endParaRPr>
        </a:p>
        <a:p>
          <a:pPr marL="0" lvl="0" indent="0" algn="l" defTabSz="533400">
            <a:lnSpc>
              <a:spcPct val="90000"/>
            </a:lnSpc>
            <a:spcBef>
              <a:spcPct val="0"/>
            </a:spcBef>
            <a:spcAft>
              <a:spcPct val="35000"/>
            </a:spcAft>
            <a:buNone/>
          </a:pPr>
          <a:r>
            <a:rPr lang="en-US" sz="1400" kern="1200">
              <a:latin typeface="Arial"/>
              <a:cs typeface="Arial"/>
            </a:rPr>
            <a:t>Knowledge</a:t>
          </a:r>
        </a:p>
        <a:p>
          <a:pPr marL="57150" lvl="1" indent="-57150" algn="l" defTabSz="400050">
            <a:lnSpc>
              <a:spcPct val="90000"/>
            </a:lnSpc>
            <a:spcBef>
              <a:spcPct val="0"/>
            </a:spcBef>
            <a:spcAft>
              <a:spcPct val="15000"/>
            </a:spcAft>
            <a:buChar char="•"/>
          </a:pPr>
          <a:r>
            <a:rPr lang="en-US" sz="900" kern="1200">
              <a:latin typeface="Arial"/>
              <a:cs typeface="Arial"/>
            </a:rPr>
            <a:t>Of specific curriculum</a:t>
          </a:r>
        </a:p>
        <a:p>
          <a:pPr marL="57150" lvl="1" indent="-57150" algn="l" defTabSz="400050">
            <a:lnSpc>
              <a:spcPct val="90000"/>
            </a:lnSpc>
            <a:spcBef>
              <a:spcPct val="0"/>
            </a:spcBef>
            <a:spcAft>
              <a:spcPct val="15000"/>
            </a:spcAft>
            <a:buChar char="•"/>
          </a:pPr>
          <a:r>
            <a:rPr lang="en-US" sz="900" kern="1200">
              <a:latin typeface="Arial"/>
              <a:cs typeface="Arial"/>
            </a:rPr>
            <a:t>Of expectations for role/post e.g. FY1</a:t>
          </a:r>
        </a:p>
        <a:p>
          <a:pPr marL="57150" lvl="1" indent="-57150" algn="l" defTabSz="400050">
            <a:lnSpc>
              <a:spcPct val="90000"/>
            </a:lnSpc>
            <a:spcBef>
              <a:spcPct val="0"/>
            </a:spcBef>
            <a:spcAft>
              <a:spcPct val="15000"/>
            </a:spcAft>
            <a:buChar char="•"/>
          </a:pPr>
          <a:r>
            <a:rPr lang="en-US" sz="900" kern="1200">
              <a:latin typeface="Arial"/>
              <a:cs typeface="Arial"/>
            </a:rPr>
            <a:t>Of current stage/ level of learners</a:t>
          </a:r>
        </a:p>
        <a:p>
          <a:pPr marL="57150" lvl="1" indent="-57150" algn="l" defTabSz="400050">
            <a:lnSpc>
              <a:spcPct val="90000"/>
            </a:lnSpc>
            <a:spcBef>
              <a:spcPct val="0"/>
            </a:spcBef>
            <a:spcAft>
              <a:spcPct val="15000"/>
            </a:spcAft>
            <a:buChar char="•"/>
          </a:pPr>
          <a:r>
            <a:rPr lang="en-US" sz="900" kern="1200">
              <a:latin typeface="Arial"/>
              <a:cs typeface="Arial"/>
            </a:rPr>
            <a:t>Of non-technical skills and Human Factors</a:t>
          </a:r>
        </a:p>
        <a:p>
          <a:pPr marL="57150" lvl="1" indent="-57150" algn="l" defTabSz="400050">
            <a:lnSpc>
              <a:spcPct val="90000"/>
            </a:lnSpc>
            <a:spcBef>
              <a:spcPct val="0"/>
            </a:spcBef>
            <a:spcAft>
              <a:spcPct val="15000"/>
            </a:spcAft>
            <a:buChar char="•"/>
          </a:pPr>
          <a:r>
            <a:rPr lang="en-US" sz="900" kern="1200">
              <a:latin typeface="Arial"/>
              <a:cs typeface="Arial"/>
            </a:rPr>
            <a:t>Of educational theory</a:t>
          </a:r>
        </a:p>
        <a:p>
          <a:pPr marL="57150" lvl="1" indent="-57150" algn="l" defTabSz="400050">
            <a:lnSpc>
              <a:spcPct val="90000"/>
            </a:lnSpc>
            <a:spcBef>
              <a:spcPct val="0"/>
            </a:spcBef>
            <a:spcAft>
              <a:spcPct val="15000"/>
            </a:spcAft>
            <a:buChar char="•"/>
          </a:pPr>
          <a:r>
            <a:rPr lang="en-US" sz="900" kern="1200">
              <a:latin typeface="Arial"/>
              <a:cs typeface="Arial"/>
            </a:rPr>
            <a:t>Of technology appropriate to kit - functionality and limitations</a:t>
          </a:r>
        </a:p>
        <a:p>
          <a:pPr marL="57150" lvl="1" indent="-57150" algn="l" defTabSz="400050">
            <a:lnSpc>
              <a:spcPct val="90000"/>
            </a:lnSpc>
            <a:spcBef>
              <a:spcPct val="0"/>
            </a:spcBef>
            <a:spcAft>
              <a:spcPct val="15000"/>
            </a:spcAft>
            <a:buChar char="•"/>
          </a:pPr>
          <a:r>
            <a:rPr lang="en-US" sz="900" kern="1200">
              <a:latin typeface="Arial"/>
              <a:cs typeface="Arial"/>
            </a:rPr>
            <a:t>Methods to plan, and facilitate educational sessions</a:t>
          </a:r>
        </a:p>
      </dsp:txBody>
      <dsp:txXfrm rot="5400000">
        <a:off x="0" y="0"/>
        <a:ext cx="2917189" cy="2179796"/>
      </dsp:txXfrm>
    </dsp:sp>
    <dsp:sp modelId="{02C43817-0DE6-814B-8F61-4FDD3FB78E26}">
      <dsp:nvSpPr>
        <dsp:cNvPr id="0" name=""/>
        <dsp:cNvSpPr/>
      </dsp:nvSpPr>
      <dsp:spPr>
        <a:xfrm>
          <a:off x="2917189" y="0"/>
          <a:ext cx="2917189" cy="2906395"/>
        </a:xfrm>
        <a:prstGeom prst="round1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marL="0" lvl="0" indent="0" algn="l" defTabSz="622300">
            <a:lnSpc>
              <a:spcPct val="90000"/>
            </a:lnSpc>
            <a:spcBef>
              <a:spcPct val="0"/>
            </a:spcBef>
            <a:spcAft>
              <a:spcPct val="35000"/>
            </a:spcAft>
            <a:buNone/>
          </a:pPr>
          <a:r>
            <a:rPr lang="en-US" sz="1400" kern="1200">
              <a:latin typeface="Arial"/>
              <a:cs typeface="Arial"/>
            </a:rPr>
            <a:t>Personality characteristics</a:t>
          </a:r>
        </a:p>
        <a:p>
          <a:pPr marL="57150" lvl="1" indent="-57150" algn="l" defTabSz="400050">
            <a:lnSpc>
              <a:spcPct val="90000"/>
            </a:lnSpc>
            <a:spcBef>
              <a:spcPct val="0"/>
            </a:spcBef>
            <a:spcAft>
              <a:spcPct val="15000"/>
            </a:spcAft>
            <a:buChar char="•"/>
          </a:pPr>
          <a:r>
            <a:rPr lang="en-US" sz="900" kern="1200">
              <a:latin typeface="Arial"/>
              <a:cs typeface="Arial"/>
            </a:rPr>
            <a:t>Flexible, Dynamic, Embrace complexity</a:t>
          </a:r>
        </a:p>
        <a:p>
          <a:pPr marL="57150" lvl="1" indent="-57150" algn="l" defTabSz="400050">
            <a:lnSpc>
              <a:spcPct val="90000"/>
            </a:lnSpc>
            <a:spcBef>
              <a:spcPct val="0"/>
            </a:spcBef>
            <a:spcAft>
              <a:spcPct val="15000"/>
            </a:spcAft>
            <a:buChar char="•"/>
          </a:pPr>
          <a:r>
            <a:rPr lang="en-US" sz="900" kern="1200">
              <a:latin typeface="Arial"/>
              <a:cs typeface="Arial"/>
            </a:rPr>
            <a:t>Reflective, aware of own strengths and weaknesses</a:t>
          </a:r>
        </a:p>
        <a:p>
          <a:pPr marL="57150" lvl="1" indent="-57150" algn="l" defTabSz="400050">
            <a:lnSpc>
              <a:spcPct val="90000"/>
            </a:lnSpc>
            <a:spcBef>
              <a:spcPct val="0"/>
            </a:spcBef>
            <a:spcAft>
              <a:spcPct val="15000"/>
            </a:spcAft>
            <a:buChar char="•"/>
          </a:pPr>
          <a:r>
            <a:rPr lang="en-US" sz="900" kern="1200">
              <a:latin typeface="Arial"/>
              <a:cs typeface="Arial"/>
            </a:rPr>
            <a:t>Empathic to learners 'in their shoes', shares own mistakes</a:t>
          </a:r>
        </a:p>
        <a:p>
          <a:pPr marL="57150" lvl="1" indent="-57150" algn="l" defTabSz="400050">
            <a:lnSpc>
              <a:spcPct val="90000"/>
            </a:lnSpc>
            <a:spcBef>
              <a:spcPct val="0"/>
            </a:spcBef>
            <a:spcAft>
              <a:spcPct val="15000"/>
            </a:spcAft>
            <a:buChar char="•"/>
          </a:pPr>
          <a:r>
            <a:rPr lang="en-US" sz="900" kern="1200">
              <a:latin typeface="Arial"/>
              <a:cs typeface="Arial"/>
            </a:rPr>
            <a:t>Open and honest</a:t>
          </a:r>
        </a:p>
        <a:p>
          <a:pPr marL="57150" lvl="1" indent="-57150" algn="l" defTabSz="400050">
            <a:lnSpc>
              <a:spcPct val="90000"/>
            </a:lnSpc>
            <a:spcBef>
              <a:spcPct val="0"/>
            </a:spcBef>
            <a:spcAft>
              <a:spcPct val="15000"/>
            </a:spcAft>
            <a:buChar char="•"/>
          </a:pPr>
          <a:r>
            <a:rPr lang="en-US" sz="900" kern="1200">
              <a:latin typeface="Arial"/>
              <a:cs typeface="Arial"/>
            </a:rPr>
            <a:t>Unintimidating</a:t>
          </a:r>
        </a:p>
        <a:p>
          <a:pPr marL="57150" lvl="1" indent="-57150" algn="l" defTabSz="400050">
            <a:lnSpc>
              <a:spcPct val="90000"/>
            </a:lnSpc>
            <a:spcBef>
              <a:spcPct val="0"/>
            </a:spcBef>
            <a:spcAft>
              <a:spcPct val="15000"/>
            </a:spcAft>
            <a:buChar char="•"/>
          </a:pPr>
          <a:r>
            <a:rPr lang="en-US" sz="900" kern="1200">
              <a:latin typeface="Arial"/>
              <a:cs typeface="Arial"/>
            </a:rPr>
            <a:t>Enjoy being challenged</a:t>
          </a:r>
        </a:p>
        <a:p>
          <a:pPr marL="57150" lvl="1" indent="-57150" algn="l" defTabSz="400050">
            <a:lnSpc>
              <a:spcPct val="90000"/>
            </a:lnSpc>
            <a:spcBef>
              <a:spcPct val="0"/>
            </a:spcBef>
            <a:spcAft>
              <a:spcPct val="15000"/>
            </a:spcAft>
            <a:buChar char="•"/>
          </a:pPr>
          <a:r>
            <a:rPr lang="en-US" sz="900" kern="1200">
              <a:latin typeface="Arial"/>
              <a:cs typeface="Arial"/>
            </a:rPr>
            <a:t>Facilitative. Good role model</a:t>
          </a:r>
        </a:p>
        <a:p>
          <a:pPr marL="57150" lvl="1" indent="-57150" algn="l" defTabSz="400050">
            <a:lnSpc>
              <a:spcPct val="90000"/>
            </a:lnSpc>
            <a:spcBef>
              <a:spcPct val="0"/>
            </a:spcBef>
            <a:spcAft>
              <a:spcPct val="15000"/>
            </a:spcAft>
            <a:buChar char="•"/>
          </a:pPr>
          <a:r>
            <a:rPr lang="en-US" sz="900" kern="1200">
              <a:latin typeface="Arial"/>
              <a:cs typeface="Arial"/>
            </a:rPr>
            <a:t>Respectful, good at team working</a:t>
          </a:r>
        </a:p>
        <a:p>
          <a:pPr marL="57150" lvl="1" indent="-57150" algn="l" defTabSz="400050">
            <a:lnSpc>
              <a:spcPct val="90000"/>
            </a:lnSpc>
            <a:spcBef>
              <a:spcPct val="0"/>
            </a:spcBef>
            <a:spcAft>
              <a:spcPct val="15000"/>
            </a:spcAft>
            <a:buChar char="•"/>
          </a:pPr>
          <a:r>
            <a:rPr lang="en-US" sz="900" kern="1200">
              <a:latin typeface="Arial"/>
              <a:cs typeface="Arial"/>
            </a:rPr>
            <a:t>Detailed planner</a:t>
          </a:r>
        </a:p>
        <a:p>
          <a:pPr marL="57150" lvl="1" indent="-57150" algn="l" defTabSz="400050">
            <a:lnSpc>
              <a:spcPct val="90000"/>
            </a:lnSpc>
            <a:spcBef>
              <a:spcPct val="0"/>
            </a:spcBef>
            <a:spcAft>
              <a:spcPct val="15000"/>
            </a:spcAft>
            <a:buChar char="•"/>
          </a:pPr>
          <a:r>
            <a:rPr lang="en-US" sz="900" kern="1200">
              <a:latin typeface="Arial"/>
              <a:cs typeface="Arial"/>
            </a:rPr>
            <a:t>Seeks feedback - student and peer, takes responsibility for and responds to it</a:t>
          </a:r>
        </a:p>
        <a:p>
          <a:pPr marL="57150" lvl="1" indent="-57150" algn="l" defTabSz="400050">
            <a:lnSpc>
              <a:spcPct val="90000"/>
            </a:lnSpc>
            <a:spcBef>
              <a:spcPct val="0"/>
            </a:spcBef>
            <a:spcAft>
              <a:spcPct val="15000"/>
            </a:spcAft>
            <a:buChar char="•"/>
          </a:pPr>
          <a:r>
            <a:rPr lang="en-US" sz="900" kern="1200">
              <a:latin typeface="Arial"/>
              <a:cs typeface="Arial"/>
            </a:rPr>
            <a:t>Can have fun/ enjoy sessions</a:t>
          </a:r>
        </a:p>
      </dsp:txBody>
      <dsp:txXfrm>
        <a:off x="2917189" y="0"/>
        <a:ext cx="2917189" cy="2179796"/>
      </dsp:txXfrm>
    </dsp:sp>
    <dsp:sp modelId="{076895CF-09DD-3046-95F9-A342E8B17689}">
      <dsp:nvSpPr>
        <dsp:cNvPr id="0" name=""/>
        <dsp:cNvSpPr/>
      </dsp:nvSpPr>
      <dsp:spPr>
        <a:xfrm rot="10800000">
          <a:off x="0" y="2906395"/>
          <a:ext cx="2917189" cy="2906395"/>
        </a:xfrm>
        <a:prstGeom prst="round1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marL="0" lvl="0" indent="0" algn="l" defTabSz="622300">
            <a:lnSpc>
              <a:spcPct val="90000"/>
            </a:lnSpc>
            <a:spcBef>
              <a:spcPct val="0"/>
            </a:spcBef>
            <a:spcAft>
              <a:spcPct val="35000"/>
            </a:spcAft>
            <a:buNone/>
          </a:pPr>
          <a:r>
            <a:rPr lang="en-US" sz="1400" kern="1200">
              <a:latin typeface="Arial"/>
              <a:cs typeface="Arial"/>
            </a:rPr>
            <a:t>Clinical experience</a:t>
          </a:r>
        </a:p>
        <a:p>
          <a:pPr marL="57150" lvl="1" indent="-57150" algn="l" defTabSz="400050">
            <a:lnSpc>
              <a:spcPct val="90000"/>
            </a:lnSpc>
            <a:spcBef>
              <a:spcPct val="0"/>
            </a:spcBef>
            <a:spcAft>
              <a:spcPct val="15000"/>
            </a:spcAft>
            <a:buChar char="•"/>
          </a:pPr>
          <a:r>
            <a:rPr lang="en-US" sz="900" kern="1200">
              <a:latin typeface="Arial"/>
              <a:cs typeface="Arial"/>
            </a:rPr>
            <a:t>Can share aneccdotes </a:t>
          </a:r>
        </a:p>
        <a:p>
          <a:pPr marL="57150" lvl="1" indent="-57150" algn="l" defTabSz="400050">
            <a:lnSpc>
              <a:spcPct val="90000"/>
            </a:lnSpc>
            <a:spcBef>
              <a:spcPct val="0"/>
            </a:spcBef>
            <a:spcAft>
              <a:spcPct val="15000"/>
            </a:spcAft>
            <a:buChar char="•"/>
          </a:pPr>
          <a:r>
            <a:rPr lang="en-US" sz="900" kern="1200">
              <a:latin typeface="Arial"/>
              <a:cs typeface="Arial"/>
            </a:rPr>
            <a:t>Can share own mistakes </a:t>
          </a:r>
        </a:p>
        <a:p>
          <a:pPr marL="57150" lvl="1" indent="-57150" algn="l" defTabSz="400050">
            <a:lnSpc>
              <a:spcPct val="90000"/>
            </a:lnSpc>
            <a:spcBef>
              <a:spcPct val="0"/>
            </a:spcBef>
            <a:spcAft>
              <a:spcPct val="15000"/>
            </a:spcAft>
            <a:buChar char="•"/>
          </a:pPr>
          <a:r>
            <a:rPr lang="en-US" sz="900" kern="1200">
              <a:latin typeface="Arial"/>
              <a:cs typeface="Arial"/>
            </a:rPr>
            <a:t>Understands and has experience of clinical environment and pressures</a:t>
          </a:r>
        </a:p>
        <a:p>
          <a:pPr marL="57150" lvl="1" indent="-57150" algn="l" defTabSz="400050">
            <a:lnSpc>
              <a:spcPct val="90000"/>
            </a:lnSpc>
            <a:spcBef>
              <a:spcPct val="0"/>
            </a:spcBef>
            <a:spcAft>
              <a:spcPct val="15000"/>
            </a:spcAft>
            <a:buChar char="•"/>
          </a:pPr>
          <a:r>
            <a:rPr lang="en-US" sz="900" kern="1200">
              <a:latin typeface="Arial"/>
              <a:cs typeface="Arial"/>
            </a:rPr>
            <a:t>Understands influence of medical hierarchy on behaviour</a:t>
          </a:r>
        </a:p>
        <a:p>
          <a:pPr marL="57150" lvl="1" indent="-57150" algn="l" defTabSz="400050">
            <a:lnSpc>
              <a:spcPct val="90000"/>
            </a:lnSpc>
            <a:spcBef>
              <a:spcPct val="0"/>
            </a:spcBef>
            <a:spcAft>
              <a:spcPct val="15000"/>
            </a:spcAft>
            <a:buChar char="•"/>
          </a:pPr>
          <a:r>
            <a:rPr lang="en-US" sz="900" kern="1200">
              <a:latin typeface="Arial"/>
              <a:cs typeface="Arial"/>
            </a:rPr>
            <a:t>Understands how to appropriately challenge medical hierarchy for patient safety</a:t>
          </a:r>
        </a:p>
        <a:p>
          <a:pPr marL="57150" lvl="1" indent="-57150" algn="l" defTabSz="400050">
            <a:lnSpc>
              <a:spcPct val="90000"/>
            </a:lnSpc>
            <a:spcBef>
              <a:spcPct val="0"/>
            </a:spcBef>
            <a:spcAft>
              <a:spcPct val="15000"/>
            </a:spcAft>
            <a:buChar char="•"/>
          </a:pPr>
          <a:r>
            <a:rPr lang="en-US" sz="900" kern="1200">
              <a:latin typeface="Arial"/>
              <a:cs typeface="Arial"/>
            </a:rPr>
            <a:t>Credible clinically</a:t>
          </a:r>
        </a:p>
      </dsp:txBody>
      <dsp:txXfrm rot="10800000">
        <a:off x="0" y="3632993"/>
        <a:ext cx="2917189" cy="2179796"/>
      </dsp:txXfrm>
    </dsp:sp>
    <dsp:sp modelId="{F06F934E-0424-244F-824E-33FB505305BF}">
      <dsp:nvSpPr>
        <dsp:cNvPr id="0" name=""/>
        <dsp:cNvSpPr/>
      </dsp:nvSpPr>
      <dsp:spPr>
        <a:xfrm rot="5400000">
          <a:off x="2922587" y="2900997"/>
          <a:ext cx="2906395" cy="2917189"/>
        </a:xfrm>
        <a:prstGeom prst="round1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marL="0" lvl="0" indent="0" algn="l" defTabSz="622300">
            <a:lnSpc>
              <a:spcPct val="90000"/>
            </a:lnSpc>
            <a:spcBef>
              <a:spcPct val="0"/>
            </a:spcBef>
            <a:spcAft>
              <a:spcPct val="35000"/>
            </a:spcAft>
            <a:buNone/>
          </a:pPr>
          <a:r>
            <a:rPr lang="en-US" sz="1400" kern="1200">
              <a:latin typeface="Arial"/>
              <a:cs typeface="Arial"/>
            </a:rPr>
            <a:t>Educational skills</a:t>
          </a:r>
        </a:p>
        <a:p>
          <a:pPr marL="57150" lvl="1" indent="-57150" algn="l" defTabSz="400050">
            <a:lnSpc>
              <a:spcPct val="90000"/>
            </a:lnSpc>
            <a:spcBef>
              <a:spcPct val="0"/>
            </a:spcBef>
            <a:spcAft>
              <a:spcPct val="15000"/>
            </a:spcAft>
            <a:buChar char="•"/>
          </a:pPr>
          <a:r>
            <a:rPr lang="en-US" sz="900" kern="1200">
              <a:latin typeface="Arial"/>
              <a:cs typeface="Arial"/>
            </a:rPr>
            <a:t>Interest in behaviour</a:t>
          </a:r>
        </a:p>
        <a:p>
          <a:pPr marL="57150" lvl="1" indent="-57150" algn="l" defTabSz="400050">
            <a:lnSpc>
              <a:spcPct val="90000"/>
            </a:lnSpc>
            <a:spcBef>
              <a:spcPct val="0"/>
            </a:spcBef>
            <a:spcAft>
              <a:spcPct val="15000"/>
            </a:spcAft>
            <a:buChar char="•"/>
          </a:pPr>
          <a:r>
            <a:rPr lang="en-US" sz="900" kern="1200">
              <a:latin typeface="Arial"/>
              <a:cs typeface="Arial"/>
            </a:rPr>
            <a:t>Interest in complex cognitive processes</a:t>
          </a:r>
        </a:p>
        <a:p>
          <a:pPr marL="57150" lvl="1" indent="-57150" algn="l" defTabSz="400050">
            <a:lnSpc>
              <a:spcPct val="90000"/>
            </a:lnSpc>
            <a:spcBef>
              <a:spcPct val="0"/>
            </a:spcBef>
            <a:spcAft>
              <a:spcPct val="15000"/>
            </a:spcAft>
            <a:buChar char="•"/>
          </a:pPr>
          <a:r>
            <a:rPr lang="en-US" sz="900" kern="1200">
              <a:latin typeface="Arial"/>
              <a:cs typeface="Arial"/>
            </a:rPr>
            <a:t>Buy in to simulation as an educational tool - can immerse self and take seriously</a:t>
          </a:r>
        </a:p>
        <a:p>
          <a:pPr marL="57150" lvl="1" indent="-57150" algn="l" defTabSz="400050">
            <a:lnSpc>
              <a:spcPct val="90000"/>
            </a:lnSpc>
            <a:spcBef>
              <a:spcPct val="0"/>
            </a:spcBef>
            <a:spcAft>
              <a:spcPct val="15000"/>
            </a:spcAft>
            <a:buChar char="•"/>
          </a:pPr>
          <a:r>
            <a:rPr lang="en-US" sz="900" kern="1200">
              <a:latin typeface="Arial"/>
              <a:cs typeface="Arial"/>
            </a:rPr>
            <a:t>Detailed planned/ organisational skills</a:t>
          </a:r>
        </a:p>
        <a:p>
          <a:pPr marL="57150" lvl="1" indent="-57150" algn="l" defTabSz="400050">
            <a:lnSpc>
              <a:spcPct val="90000"/>
            </a:lnSpc>
            <a:spcBef>
              <a:spcPct val="0"/>
            </a:spcBef>
            <a:spcAft>
              <a:spcPct val="15000"/>
            </a:spcAft>
            <a:buChar char="•"/>
          </a:pPr>
          <a:r>
            <a:rPr lang="en-US" sz="900" kern="1200">
              <a:latin typeface="Arial"/>
              <a:cs typeface="Arial"/>
            </a:rPr>
            <a:t>Understand and apply educational theory</a:t>
          </a:r>
        </a:p>
        <a:p>
          <a:pPr marL="57150" lvl="1" indent="-57150" algn="l" defTabSz="400050">
            <a:lnSpc>
              <a:spcPct val="90000"/>
            </a:lnSpc>
            <a:spcBef>
              <a:spcPct val="0"/>
            </a:spcBef>
            <a:spcAft>
              <a:spcPct val="15000"/>
            </a:spcAft>
            <a:buChar char="•"/>
          </a:pPr>
          <a:r>
            <a:rPr lang="en-US" sz="900" kern="1200">
              <a:latin typeface="Arial"/>
              <a:cs typeface="Arial"/>
            </a:rPr>
            <a:t>Debriefing skills</a:t>
          </a:r>
        </a:p>
        <a:p>
          <a:pPr marL="57150" lvl="1" indent="-57150" algn="l" defTabSz="400050">
            <a:lnSpc>
              <a:spcPct val="90000"/>
            </a:lnSpc>
            <a:spcBef>
              <a:spcPct val="0"/>
            </a:spcBef>
            <a:spcAft>
              <a:spcPct val="15000"/>
            </a:spcAft>
            <a:buChar char="•"/>
          </a:pPr>
          <a:r>
            <a:rPr lang="en-US" sz="900" kern="1200">
              <a:latin typeface="Arial"/>
              <a:cs typeface="Arial"/>
            </a:rPr>
            <a:t>Credible educator</a:t>
          </a:r>
        </a:p>
        <a:p>
          <a:pPr marL="57150" lvl="1" indent="-57150" algn="l" defTabSz="400050">
            <a:lnSpc>
              <a:spcPct val="90000"/>
            </a:lnSpc>
            <a:spcBef>
              <a:spcPct val="0"/>
            </a:spcBef>
            <a:spcAft>
              <a:spcPct val="15000"/>
            </a:spcAft>
            <a:buChar char="•"/>
          </a:pPr>
          <a:r>
            <a:rPr lang="en-US" sz="900" kern="1200">
              <a:latin typeface="Arial"/>
              <a:cs typeface="Arial"/>
            </a:rPr>
            <a:t>Classroom management skills</a:t>
          </a:r>
        </a:p>
        <a:p>
          <a:pPr marL="57150" lvl="1" indent="-57150" algn="l" defTabSz="400050">
            <a:lnSpc>
              <a:spcPct val="90000"/>
            </a:lnSpc>
            <a:spcBef>
              <a:spcPct val="0"/>
            </a:spcBef>
            <a:spcAft>
              <a:spcPct val="15000"/>
            </a:spcAft>
            <a:buChar char="•"/>
          </a:pPr>
          <a:r>
            <a:rPr lang="en-US" sz="900" kern="1200">
              <a:latin typeface="Arial"/>
              <a:cs typeface="Arial"/>
            </a:rPr>
            <a:t>Embrace environement </a:t>
          </a:r>
        </a:p>
        <a:p>
          <a:pPr marL="57150" lvl="1" indent="-57150" algn="l" defTabSz="400050">
            <a:lnSpc>
              <a:spcPct val="90000"/>
            </a:lnSpc>
            <a:spcBef>
              <a:spcPct val="0"/>
            </a:spcBef>
            <a:spcAft>
              <a:spcPct val="15000"/>
            </a:spcAft>
            <a:buChar char="•"/>
          </a:pPr>
          <a:r>
            <a:rPr lang="en-US" sz="900" kern="1200">
              <a:latin typeface="Arial"/>
              <a:cs typeface="Arial"/>
            </a:rPr>
            <a:t>Ability to multitask effectively and bring in Human factors education</a:t>
          </a:r>
        </a:p>
        <a:p>
          <a:pPr marL="57150" lvl="1" indent="-57150" algn="l" defTabSz="400050">
            <a:lnSpc>
              <a:spcPct val="90000"/>
            </a:lnSpc>
            <a:spcBef>
              <a:spcPct val="0"/>
            </a:spcBef>
            <a:spcAft>
              <a:spcPct val="15000"/>
            </a:spcAft>
            <a:buChar char="•"/>
          </a:pPr>
          <a:r>
            <a:rPr lang="en-US" sz="900" kern="1200">
              <a:latin typeface="Arial"/>
              <a:cs typeface="Arial"/>
            </a:rPr>
            <a:t>Technology skills and team working skills to work with technicans effectively</a:t>
          </a:r>
        </a:p>
      </dsp:txBody>
      <dsp:txXfrm rot="-5400000">
        <a:off x="2917190" y="3632992"/>
        <a:ext cx="2917189" cy="2179796"/>
      </dsp:txXfrm>
    </dsp:sp>
    <dsp:sp modelId="{22B933E5-9801-834F-9F31-D667939739E5}">
      <dsp:nvSpPr>
        <dsp:cNvPr id="0" name=""/>
        <dsp:cNvSpPr/>
      </dsp:nvSpPr>
      <dsp:spPr>
        <a:xfrm>
          <a:off x="2042032" y="2179796"/>
          <a:ext cx="1750314" cy="1453197"/>
        </a:xfrm>
        <a:prstGeom prst="roundRect">
          <a:avLst/>
        </a:prstGeom>
        <a:solidFill>
          <a:schemeClr val="accent2">
            <a:tint val="4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latin typeface="Arial"/>
              <a:cs typeface="Arial"/>
            </a:rPr>
            <a:t>Faculty for simulation based medical education</a:t>
          </a:r>
        </a:p>
      </dsp:txBody>
      <dsp:txXfrm>
        <a:off x="2112971" y="2250735"/>
        <a:ext cx="1608436" cy="1311319"/>
      </dsp:txXfrm>
    </dsp:sp>
  </dsp:spTree>
</dsp:drawing>
</file>

<file path=word/diagrams/drawing4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F2BB17-6602-5D42-8FDA-4F1665B9DC02}">
      <dsp:nvSpPr>
        <dsp:cNvPr id="0" name=""/>
        <dsp:cNvSpPr/>
      </dsp:nvSpPr>
      <dsp:spPr>
        <a:xfrm rot="13172699">
          <a:off x="1423617" y="2186424"/>
          <a:ext cx="1199640" cy="0"/>
        </a:xfrm>
        <a:custGeom>
          <a:avLst/>
          <a:gdLst/>
          <a:ahLst/>
          <a:cxnLst/>
          <a:rect l="0" t="0" r="0" b="0"/>
          <a:pathLst>
            <a:path>
              <a:moveTo>
                <a:pt x="0" y="0"/>
              </a:moveTo>
              <a:lnTo>
                <a:pt x="1199640"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46CC8E-0FF1-744A-BDD8-07535CBFF907}">
      <dsp:nvSpPr>
        <dsp:cNvPr id="0" name=""/>
        <dsp:cNvSpPr/>
      </dsp:nvSpPr>
      <dsp:spPr>
        <a:xfrm rot="10078522">
          <a:off x="1264516" y="3180171"/>
          <a:ext cx="1235006" cy="0"/>
        </a:xfrm>
        <a:custGeom>
          <a:avLst/>
          <a:gdLst/>
          <a:ahLst/>
          <a:cxnLst/>
          <a:rect l="0" t="0" r="0" b="0"/>
          <a:pathLst>
            <a:path>
              <a:moveTo>
                <a:pt x="0" y="0"/>
              </a:moveTo>
              <a:lnTo>
                <a:pt x="1235006"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D2AE91-4C95-3143-918D-994D909618A3}">
      <dsp:nvSpPr>
        <dsp:cNvPr id="0" name=""/>
        <dsp:cNvSpPr/>
      </dsp:nvSpPr>
      <dsp:spPr>
        <a:xfrm rot="6984681">
          <a:off x="1702097" y="4048725"/>
          <a:ext cx="1409240" cy="0"/>
        </a:xfrm>
        <a:custGeom>
          <a:avLst/>
          <a:gdLst/>
          <a:ahLst/>
          <a:cxnLst/>
          <a:rect l="0" t="0" r="0" b="0"/>
          <a:pathLst>
            <a:path>
              <a:moveTo>
                <a:pt x="0" y="0"/>
              </a:moveTo>
              <a:lnTo>
                <a:pt x="1409240"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BDBE51-6091-434D-B2AB-0A0CD1FE25C1}">
      <dsp:nvSpPr>
        <dsp:cNvPr id="0" name=""/>
        <dsp:cNvSpPr/>
      </dsp:nvSpPr>
      <dsp:spPr>
        <a:xfrm rot="3860315">
          <a:off x="2767076" y="4065721"/>
          <a:ext cx="1437969" cy="0"/>
        </a:xfrm>
        <a:custGeom>
          <a:avLst/>
          <a:gdLst/>
          <a:ahLst/>
          <a:cxnLst/>
          <a:rect l="0" t="0" r="0" b="0"/>
          <a:pathLst>
            <a:path>
              <a:moveTo>
                <a:pt x="0" y="0"/>
              </a:moveTo>
              <a:lnTo>
                <a:pt x="1437969"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325D49D-A32D-EE48-9F44-756AF73246CD}">
      <dsp:nvSpPr>
        <dsp:cNvPr id="0" name=""/>
        <dsp:cNvSpPr/>
      </dsp:nvSpPr>
      <dsp:spPr>
        <a:xfrm rot="777811">
          <a:off x="3398578" y="3216503"/>
          <a:ext cx="1399539" cy="0"/>
        </a:xfrm>
        <a:custGeom>
          <a:avLst/>
          <a:gdLst/>
          <a:ahLst/>
          <a:cxnLst/>
          <a:rect l="0" t="0" r="0" b="0"/>
          <a:pathLst>
            <a:path>
              <a:moveTo>
                <a:pt x="0" y="0"/>
              </a:moveTo>
              <a:lnTo>
                <a:pt x="1399539"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5ACDCAC-C1E8-4447-846A-88F88F6D9F52}">
      <dsp:nvSpPr>
        <dsp:cNvPr id="0" name=""/>
        <dsp:cNvSpPr/>
      </dsp:nvSpPr>
      <dsp:spPr>
        <a:xfrm rot="19590860">
          <a:off x="3248144" y="2085327"/>
          <a:ext cx="2027625" cy="0"/>
        </a:xfrm>
        <a:custGeom>
          <a:avLst/>
          <a:gdLst/>
          <a:ahLst/>
          <a:cxnLst/>
          <a:rect l="0" t="0" r="0" b="0"/>
          <a:pathLst>
            <a:path>
              <a:moveTo>
                <a:pt x="0" y="0"/>
              </a:moveTo>
              <a:lnTo>
                <a:pt x="2027625"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2ABA99F-61FA-D74E-93D7-64FFA6AACCBC}">
      <dsp:nvSpPr>
        <dsp:cNvPr id="0" name=""/>
        <dsp:cNvSpPr/>
      </dsp:nvSpPr>
      <dsp:spPr>
        <a:xfrm rot="16062789">
          <a:off x="2141470" y="1727030"/>
          <a:ext cx="1521575" cy="0"/>
        </a:xfrm>
        <a:custGeom>
          <a:avLst/>
          <a:gdLst/>
          <a:ahLst/>
          <a:cxnLst/>
          <a:rect l="0" t="0" r="0" b="0"/>
          <a:pathLst>
            <a:path>
              <a:moveTo>
                <a:pt x="0" y="0"/>
              </a:moveTo>
              <a:lnTo>
                <a:pt x="1521575"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0993A0-6A63-454B-9300-3FC8C623C3C2}">
      <dsp:nvSpPr>
        <dsp:cNvPr id="0" name=""/>
        <dsp:cNvSpPr/>
      </dsp:nvSpPr>
      <dsp:spPr>
        <a:xfrm>
          <a:off x="2485974" y="2487212"/>
          <a:ext cx="930438" cy="930438"/>
        </a:xfrm>
        <a:prstGeom prst="round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n-US" sz="1400" kern="1200"/>
            <a:t>Patient safety and SMBE</a:t>
          </a:r>
        </a:p>
      </dsp:txBody>
      <dsp:txXfrm>
        <a:off x="2531394" y="2532632"/>
        <a:ext cx="839598" cy="839598"/>
      </dsp:txXfrm>
    </dsp:sp>
    <dsp:sp modelId="{37ACD91D-816B-1C45-8C67-48A2A43BC9BD}">
      <dsp:nvSpPr>
        <dsp:cNvPr id="0" name=""/>
        <dsp:cNvSpPr/>
      </dsp:nvSpPr>
      <dsp:spPr>
        <a:xfrm>
          <a:off x="2573314" y="525395"/>
          <a:ext cx="579543" cy="441453"/>
        </a:xfrm>
        <a:prstGeom prst="roundRect">
          <a:avLst/>
        </a:prstGeom>
        <a:solidFill>
          <a:schemeClr val="accent3">
            <a:hueOff val="250006"/>
            <a:satOff val="-375"/>
            <a:lumOff val="-6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Self regulation &amp; personal learning</a:t>
          </a:r>
        </a:p>
      </dsp:txBody>
      <dsp:txXfrm>
        <a:off x="2594864" y="546945"/>
        <a:ext cx="536443" cy="398353"/>
      </dsp:txXfrm>
    </dsp:sp>
    <dsp:sp modelId="{919E4A44-0527-CB49-BA4D-41EAF909F131}">
      <dsp:nvSpPr>
        <dsp:cNvPr id="0" name=""/>
        <dsp:cNvSpPr/>
      </dsp:nvSpPr>
      <dsp:spPr>
        <a:xfrm rot="16200000">
          <a:off x="2771933" y="434242"/>
          <a:ext cx="182305" cy="0"/>
        </a:xfrm>
        <a:custGeom>
          <a:avLst/>
          <a:gdLst/>
          <a:ahLst/>
          <a:cxnLst/>
          <a:rect l="0" t="0" r="0" b="0"/>
          <a:pathLst>
            <a:path>
              <a:moveTo>
                <a:pt x="0" y="0"/>
              </a:moveTo>
              <a:lnTo>
                <a:pt x="182305"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E0F908-13EC-5B46-B908-3AA6F155E271}">
      <dsp:nvSpPr>
        <dsp:cNvPr id="0" name=""/>
        <dsp:cNvSpPr/>
      </dsp:nvSpPr>
      <dsp:spPr>
        <a:xfrm>
          <a:off x="2698410" y="13737"/>
          <a:ext cx="329351" cy="329351"/>
        </a:xfrm>
        <a:prstGeom prst="roundRect">
          <a:avLst/>
        </a:prstGeom>
        <a:solidFill>
          <a:schemeClr val="accent3">
            <a:hueOff val="500012"/>
            <a:satOff val="-750"/>
            <a:lumOff val="-12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Explore core beliefs</a:t>
          </a:r>
        </a:p>
      </dsp:txBody>
      <dsp:txXfrm>
        <a:off x="2714488" y="29815"/>
        <a:ext cx="297195" cy="297195"/>
      </dsp:txXfrm>
    </dsp:sp>
    <dsp:sp modelId="{44E484C2-DE86-3F4F-9931-87EAB1D295D9}">
      <dsp:nvSpPr>
        <dsp:cNvPr id="0" name=""/>
        <dsp:cNvSpPr/>
      </dsp:nvSpPr>
      <dsp:spPr>
        <a:xfrm rot="19884663">
          <a:off x="3132761" y="509330"/>
          <a:ext cx="329659" cy="0"/>
        </a:xfrm>
        <a:custGeom>
          <a:avLst/>
          <a:gdLst/>
          <a:ahLst/>
          <a:cxnLst/>
          <a:rect l="0" t="0" r="0" b="0"/>
          <a:pathLst>
            <a:path>
              <a:moveTo>
                <a:pt x="0" y="0"/>
              </a:moveTo>
              <a:lnTo>
                <a:pt x="329659"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154690-E688-E94F-81C4-8E269EF1F909}">
      <dsp:nvSpPr>
        <dsp:cNvPr id="0" name=""/>
        <dsp:cNvSpPr/>
      </dsp:nvSpPr>
      <dsp:spPr>
        <a:xfrm>
          <a:off x="3442324" y="108586"/>
          <a:ext cx="576889" cy="329351"/>
        </a:xfrm>
        <a:prstGeom prst="roundRect">
          <a:avLst/>
        </a:prstGeom>
        <a:solidFill>
          <a:schemeClr val="accent3">
            <a:hueOff val="750018"/>
            <a:satOff val="-1125"/>
            <a:lumOff val="-18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Explore emotional response</a:t>
          </a:r>
        </a:p>
      </dsp:txBody>
      <dsp:txXfrm>
        <a:off x="3458402" y="124664"/>
        <a:ext cx="544733" cy="297195"/>
      </dsp:txXfrm>
    </dsp:sp>
    <dsp:sp modelId="{7354300F-823C-9B42-A027-A73BAE562F15}">
      <dsp:nvSpPr>
        <dsp:cNvPr id="0" name=""/>
        <dsp:cNvSpPr/>
      </dsp:nvSpPr>
      <dsp:spPr>
        <a:xfrm>
          <a:off x="3152858" y="746121"/>
          <a:ext cx="396446" cy="0"/>
        </a:xfrm>
        <a:custGeom>
          <a:avLst/>
          <a:gdLst/>
          <a:ahLst/>
          <a:cxnLst/>
          <a:rect l="0" t="0" r="0" b="0"/>
          <a:pathLst>
            <a:path>
              <a:moveTo>
                <a:pt x="0" y="0"/>
              </a:moveTo>
              <a:lnTo>
                <a:pt x="396446"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0943C1-6CAB-0A46-8608-B6D1C773EA80}">
      <dsp:nvSpPr>
        <dsp:cNvPr id="0" name=""/>
        <dsp:cNvSpPr/>
      </dsp:nvSpPr>
      <dsp:spPr>
        <a:xfrm>
          <a:off x="3549304" y="581445"/>
          <a:ext cx="681781" cy="329351"/>
        </a:xfrm>
        <a:prstGeom prst="roundRect">
          <a:avLst/>
        </a:prstGeom>
        <a:solidFill>
          <a:schemeClr val="accent3">
            <a:hueOff val="1000023"/>
            <a:satOff val="-1500"/>
            <a:lumOff val="-24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Experience cognitive biases &amp; overload &amp; effect on behaviour</a:t>
          </a:r>
        </a:p>
      </dsp:txBody>
      <dsp:txXfrm>
        <a:off x="3565382" y="597523"/>
        <a:ext cx="649625" cy="297195"/>
      </dsp:txXfrm>
    </dsp:sp>
    <dsp:sp modelId="{65970B6D-F2FA-7B4D-B9EE-E87D39EAED5B}">
      <dsp:nvSpPr>
        <dsp:cNvPr id="0" name=""/>
        <dsp:cNvSpPr/>
      </dsp:nvSpPr>
      <dsp:spPr>
        <a:xfrm rot="1903716">
          <a:off x="3123407" y="1028921"/>
          <a:ext cx="394121" cy="0"/>
        </a:xfrm>
        <a:custGeom>
          <a:avLst/>
          <a:gdLst/>
          <a:ahLst/>
          <a:cxnLst/>
          <a:rect l="0" t="0" r="0" b="0"/>
          <a:pathLst>
            <a:path>
              <a:moveTo>
                <a:pt x="0" y="0"/>
              </a:moveTo>
              <a:lnTo>
                <a:pt x="394121"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58E2B1-E3C7-8641-8F3D-27DD8C2EFA3C}">
      <dsp:nvSpPr>
        <dsp:cNvPr id="0" name=""/>
        <dsp:cNvSpPr/>
      </dsp:nvSpPr>
      <dsp:spPr>
        <a:xfrm>
          <a:off x="3401508" y="1132555"/>
          <a:ext cx="705810" cy="329351"/>
        </a:xfrm>
        <a:prstGeom prst="roundRect">
          <a:avLst/>
        </a:prstGeom>
        <a:solidFill>
          <a:schemeClr val="accent3">
            <a:hueOff val="1250029"/>
            <a:satOff val="-1876"/>
            <a:lumOff val="-30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Develop strategies &amp; cues for when stuck/ access help</a:t>
          </a:r>
        </a:p>
      </dsp:txBody>
      <dsp:txXfrm>
        <a:off x="3417586" y="1148633"/>
        <a:ext cx="673654" cy="297195"/>
      </dsp:txXfrm>
    </dsp:sp>
    <dsp:sp modelId="{38F0BBDC-5DE9-0E4A-979D-8921426C9FB1}">
      <dsp:nvSpPr>
        <dsp:cNvPr id="0" name=""/>
        <dsp:cNvSpPr/>
      </dsp:nvSpPr>
      <dsp:spPr>
        <a:xfrm rot="4662104">
          <a:off x="2837782" y="1058001"/>
          <a:ext cx="186589" cy="0"/>
        </a:xfrm>
        <a:custGeom>
          <a:avLst/>
          <a:gdLst/>
          <a:ahLst/>
          <a:cxnLst/>
          <a:rect l="0" t="0" r="0" b="0"/>
          <a:pathLst>
            <a:path>
              <a:moveTo>
                <a:pt x="0" y="0"/>
              </a:moveTo>
              <a:lnTo>
                <a:pt x="186589"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D3E6E2-122C-834F-8C5D-CB4419C7C7C5}">
      <dsp:nvSpPr>
        <dsp:cNvPr id="0" name=""/>
        <dsp:cNvSpPr/>
      </dsp:nvSpPr>
      <dsp:spPr>
        <a:xfrm>
          <a:off x="2732734" y="1149155"/>
          <a:ext cx="508229" cy="329351"/>
        </a:xfrm>
        <a:prstGeom prst="roundRect">
          <a:avLst/>
        </a:prstGeom>
        <a:solidFill>
          <a:schemeClr val="accent3">
            <a:hueOff val="1500035"/>
            <a:satOff val="-2251"/>
            <a:lumOff val="-36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Remain present &amp; engaged</a:t>
          </a:r>
        </a:p>
      </dsp:txBody>
      <dsp:txXfrm>
        <a:off x="2748812" y="1165233"/>
        <a:ext cx="476073" cy="297195"/>
      </dsp:txXfrm>
    </dsp:sp>
    <dsp:sp modelId="{EC9FC018-2061-8543-93BC-C94DA39BEE3E}">
      <dsp:nvSpPr>
        <dsp:cNvPr id="0" name=""/>
        <dsp:cNvSpPr/>
      </dsp:nvSpPr>
      <dsp:spPr>
        <a:xfrm rot="8592237">
          <a:off x="2489053" y="990894"/>
          <a:ext cx="93583" cy="0"/>
        </a:xfrm>
        <a:custGeom>
          <a:avLst/>
          <a:gdLst/>
          <a:ahLst/>
          <a:cxnLst/>
          <a:rect l="0" t="0" r="0" b="0"/>
          <a:pathLst>
            <a:path>
              <a:moveTo>
                <a:pt x="0" y="0"/>
              </a:moveTo>
              <a:lnTo>
                <a:pt x="93583"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1FAC9C-0280-6845-83A9-E12C03E98AAC}">
      <dsp:nvSpPr>
        <dsp:cNvPr id="0" name=""/>
        <dsp:cNvSpPr/>
      </dsp:nvSpPr>
      <dsp:spPr>
        <a:xfrm>
          <a:off x="2085137" y="1008793"/>
          <a:ext cx="413237" cy="329351"/>
        </a:xfrm>
        <a:prstGeom prst="roundRect">
          <a:avLst/>
        </a:prstGeom>
        <a:solidFill>
          <a:schemeClr val="accent3">
            <a:hueOff val="1750041"/>
            <a:satOff val="-2626"/>
            <a:lumOff val="-42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Small personal behavioural change</a:t>
          </a:r>
        </a:p>
      </dsp:txBody>
      <dsp:txXfrm>
        <a:off x="2101215" y="1024871"/>
        <a:ext cx="381081" cy="297195"/>
      </dsp:txXfrm>
    </dsp:sp>
    <dsp:sp modelId="{A191316E-7C5A-CF4B-9EA7-2ADC3980AC63}">
      <dsp:nvSpPr>
        <dsp:cNvPr id="0" name=""/>
        <dsp:cNvSpPr/>
      </dsp:nvSpPr>
      <dsp:spPr>
        <a:xfrm rot="10800000">
          <a:off x="2208905" y="746121"/>
          <a:ext cx="364408" cy="0"/>
        </a:xfrm>
        <a:custGeom>
          <a:avLst/>
          <a:gdLst/>
          <a:ahLst/>
          <a:cxnLst/>
          <a:rect l="0" t="0" r="0" b="0"/>
          <a:pathLst>
            <a:path>
              <a:moveTo>
                <a:pt x="0" y="0"/>
              </a:moveTo>
              <a:lnTo>
                <a:pt x="364408"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F9A392-FC9A-E344-92F5-BAA8F676EAB7}">
      <dsp:nvSpPr>
        <dsp:cNvPr id="0" name=""/>
        <dsp:cNvSpPr/>
      </dsp:nvSpPr>
      <dsp:spPr>
        <a:xfrm>
          <a:off x="1879553" y="581445"/>
          <a:ext cx="329351" cy="329351"/>
        </a:xfrm>
        <a:prstGeom prst="roundRect">
          <a:avLst/>
        </a:prstGeom>
        <a:solidFill>
          <a:schemeClr val="accent3">
            <a:hueOff val="2000047"/>
            <a:satOff val="-3001"/>
            <a:lumOff val="-48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Learn to piece together picture</a:t>
          </a:r>
        </a:p>
      </dsp:txBody>
      <dsp:txXfrm>
        <a:off x="1895631" y="597523"/>
        <a:ext cx="297195" cy="297195"/>
      </dsp:txXfrm>
    </dsp:sp>
    <dsp:sp modelId="{B4356CAA-9B53-F445-8ECB-60778B53938E}">
      <dsp:nvSpPr>
        <dsp:cNvPr id="0" name=""/>
        <dsp:cNvSpPr/>
      </dsp:nvSpPr>
      <dsp:spPr>
        <a:xfrm rot="12476174">
          <a:off x="2246437" y="511154"/>
          <a:ext cx="347100" cy="0"/>
        </a:xfrm>
        <a:custGeom>
          <a:avLst/>
          <a:gdLst/>
          <a:ahLst/>
          <a:cxnLst/>
          <a:rect l="0" t="0" r="0" b="0"/>
          <a:pathLst>
            <a:path>
              <a:moveTo>
                <a:pt x="0" y="0"/>
              </a:moveTo>
              <a:lnTo>
                <a:pt x="347100"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D23DAA-073D-1447-97FB-2E3BECE1DB8A}">
      <dsp:nvSpPr>
        <dsp:cNvPr id="0" name=""/>
        <dsp:cNvSpPr/>
      </dsp:nvSpPr>
      <dsp:spPr>
        <a:xfrm>
          <a:off x="1625732" y="100496"/>
          <a:ext cx="660771" cy="329351"/>
        </a:xfrm>
        <a:prstGeom prst="roundRect">
          <a:avLst/>
        </a:prstGeom>
        <a:solidFill>
          <a:schemeClr val="accent3">
            <a:hueOff val="2250053"/>
            <a:satOff val="-3376"/>
            <a:lumOff val="-54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Learn to manage self when lose situation awareness</a:t>
          </a:r>
        </a:p>
      </dsp:txBody>
      <dsp:txXfrm>
        <a:off x="1641810" y="116574"/>
        <a:ext cx="628615" cy="297195"/>
      </dsp:txXfrm>
    </dsp:sp>
    <dsp:sp modelId="{2CFC2138-8348-F54F-BA1F-2BDB63B31E74}">
      <dsp:nvSpPr>
        <dsp:cNvPr id="0" name=""/>
        <dsp:cNvSpPr/>
      </dsp:nvSpPr>
      <dsp:spPr>
        <a:xfrm>
          <a:off x="5107501" y="1205836"/>
          <a:ext cx="385359" cy="385359"/>
        </a:xfrm>
        <a:prstGeom prst="roundRect">
          <a:avLst/>
        </a:prstGeom>
        <a:solidFill>
          <a:schemeClr val="accent3">
            <a:hueOff val="2500059"/>
            <a:satOff val="-3751"/>
            <a:lumOff val="-61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Practice under pressure</a:t>
          </a:r>
        </a:p>
      </dsp:txBody>
      <dsp:txXfrm>
        <a:off x="5126313" y="1224648"/>
        <a:ext cx="347735" cy="347735"/>
      </dsp:txXfrm>
    </dsp:sp>
    <dsp:sp modelId="{F042E740-2AA2-0A49-B2D2-BD8F4B43A22A}">
      <dsp:nvSpPr>
        <dsp:cNvPr id="0" name=""/>
        <dsp:cNvSpPr/>
      </dsp:nvSpPr>
      <dsp:spPr>
        <a:xfrm rot="16380068">
          <a:off x="5128622" y="1014401"/>
          <a:ext cx="383393" cy="0"/>
        </a:xfrm>
        <a:custGeom>
          <a:avLst/>
          <a:gdLst/>
          <a:ahLst/>
          <a:cxnLst/>
          <a:rect l="0" t="0" r="0" b="0"/>
          <a:pathLst>
            <a:path>
              <a:moveTo>
                <a:pt x="0" y="0"/>
              </a:moveTo>
              <a:lnTo>
                <a:pt x="383393"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F2BAA6-29DB-1840-8CBD-2AAC58C95489}">
      <dsp:nvSpPr>
        <dsp:cNvPr id="0" name=""/>
        <dsp:cNvSpPr/>
      </dsp:nvSpPr>
      <dsp:spPr>
        <a:xfrm>
          <a:off x="5062493" y="471793"/>
          <a:ext cx="554135" cy="351174"/>
        </a:xfrm>
        <a:prstGeom prst="roundRect">
          <a:avLst/>
        </a:prstGeom>
        <a:solidFill>
          <a:schemeClr val="accent3">
            <a:hueOff val="2750064"/>
            <a:satOff val="-4126"/>
            <a:lumOff val="-67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Responsibility - learn quicker &amp; more effectively</a:t>
          </a:r>
        </a:p>
      </dsp:txBody>
      <dsp:txXfrm>
        <a:off x="5079636" y="488936"/>
        <a:ext cx="519849" cy="316888"/>
      </dsp:txXfrm>
    </dsp:sp>
    <dsp:sp modelId="{6BD0BA65-769A-8B4D-8B0F-AFB8B38C02CD}">
      <dsp:nvSpPr>
        <dsp:cNvPr id="0" name=""/>
        <dsp:cNvSpPr/>
      </dsp:nvSpPr>
      <dsp:spPr>
        <a:xfrm rot="19942187">
          <a:off x="5487228" y="1274749"/>
          <a:ext cx="98784" cy="0"/>
        </a:xfrm>
        <a:custGeom>
          <a:avLst/>
          <a:gdLst/>
          <a:ahLst/>
          <a:cxnLst/>
          <a:rect l="0" t="0" r="0" b="0"/>
          <a:pathLst>
            <a:path>
              <a:moveTo>
                <a:pt x="0" y="0"/>
              </a:moveTo>
              <a:lnTo>
                <a:pt x="98784"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86D130-47BF-E54D-A477-05236B1290DE}">
      <dsp:nvSpPr>
        <dsp:cNvPr id="0" name=""/>
        <dsp:cNvSpPr/>
      </dsp:nvSpPr>
      <dsp:spPr>
        <a:xfrm>
          <a:off x="5580380" y="958303"/>
          <a:ext cx="385359" cy="385359"/>
        </a:xfrm>
        <a:prstGeom prst="roundRect">
          <a:avLst/>
        </a:prstGeom>
        <a:solidFill>
          <a:schemeClr val="accent3">
            <a:hueOff val="3000070"/>
            <a:satOff val="-4501"/>
            <a:lumOff val="-73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Ability to perform &amp; access knowledge</a:t>
          </a:r>
        </a:p>
      </dsp:txBody>
      <dsp:txXfrm>
        <a:off x="5599192" y="977115"/>
        <a:ext cx="347735" cy="347735"/>
      </dsp:txXfrm>
    </dsp:sp>
    <dsp:sp modelId="{CC2E1410-D9EC-6242-8C15-C464E980A56D}">
      <dsp:nvSpPr>
        <dsp:cNvPr id="0" name=""/>
        <dsp:cNvSpPr/>
      </dsp:nvSpPr>
      <dsp:spPr>
        <a:xfrm rot="3587317">
          <a:off x="5339849" y="1717349"/>
          <a:ext cx="291963" cy="0"/>
        </a:xfrm>
        <a:custGeom>
          <a:avLst/>
          <a:gdLst/>
          <a:ahLst/>
          <a:cxnLst/>
          <a:rect l="0" t="0" r="0" b="0"/>
          <a:pathLst>
            <a:path>
              <a:moveTo>
                <a:pt x="0" y="0"/>
              </a:moveTo>
              <a:lnTo>
                <a:pt x="291963"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80DE73-DFD5-4145-8DC8-3CC866493571}">
      <dsp:nvSpPr>
        <dsp:cNvPr id="0" name=""/>
        <dsp:cNvSpPr/>
      </dsp:nvSpPr>
      <dsp:spPr>
        <a:xfrm>
          <a:off x="5478802" y="1843503"/>
          <a:ext cx="385359" cy="385359"/>
        </a:xfrm>
        <a:prstGeom prst="roundRect">
          <a:avLst/>
        </a:prstGeom>
        <a:solidFill>
          <a:schemeClr val="accent3">
            <a:hueOff val="3250076"/>
            <a:satOff val="-4876"/>
            <a:lumOff val="-79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Fit to think &amp; work &amp; practice</a:t>
          </a:r>
        </a:p>
      </dsp:txBody>
      <dsp:txXfrm>
        <a:off x="5497614" y="1862315"/>
        <a:ext cx="347735" cy="347735"/>
      </dsp:txXfrm>
    </dsp:sp>
    <dsp:sp modelId="{515FC1B6-1BD9-7741-A219-FF39D741588E}">
      <dsp:nvSpPr>
        <dsp:cNvPr id="0" name=""/>
        <dsp:cNvSpPr/>
      </dsp:nvSpPr>
      <dsp:spPr>
        <a:xfrm rot="7886633">
          <a:off x="4877370" y="1705168"/>
          <a:ext cx="304086" cy="0"/>
        </a:xfrm>
        <a:custGeom>
          <a:avLst/>
          <a:gdLst/>
          <a:ahLst/>
          <a:cxnLst/>
          <a:rect l="0" t="0" r="0" b="0"/>
          <a:pathLst>
            <a:path>
              <a:moveTo>
                <a:pt x="0" y="0"/>
              </a:moveTo>
              <a:lnTo>
                <a:pt x="304086"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1AEE91-40AA-F349-8F16-B5CF0C43112F}">
      <dsp:nvSpPr>
        <dsp:cNvPr id="0" name=""/>
        <dsp:cNvSpPr/>
      </dsp:nvSpPr>
      <dsp:spPr>
        <a:xfrm>
          <a:off x="4333836" y="1819140"/>
          <a:ext cx="849618" cy="385359"/>
        </a:xfrm>
        <a:prstGeom prst="roundRect">
          <a:avLst/>
        </a:prstGeom>
        <a:solidFill>
          <a:schemeClr val="accent3">
            <a:hueOff val="3500082"/>
            <a:satOff val="-5252"/>
            <a:lumOff val="-85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Allow time to think/ head space - strategic - seconds for safety - clarify kit etc</a:t>
          </a:r>
        </a:p>
      </dsp:txBody>
      <dsp:txXfrm>
        <a:off x="4352648" y="1837952"/>
        <a:ext cx="811994" cy="347735"/>
      </dsp:txXfrm>
    </dsp:sp>
    <dsp:sp modelId="{D6CAD381-38F6-C840-8D45-4E4802A085EF}">
      <dsp:nvSpPr>
        <dsp:cNvPr id="0" name=""/>
        <dsp:cNvSpPr/>
      </dsp:nvSpPr>
      <dsp:spPr>
        <a:xfrm rot="12622732">
          <a:off x="4989078" y="1253415"/>
          <a:ext cx="127152" cy="0"/>
        </a:xfrm>
        <a:custGeom>
          <a:avLst/>
          <a:gdLst/>
          <a:ahLst/>
          <a:cxnLst/>
          <a:rect l="0" t="0" r="0" b="0"/>
          <a:pathLst>
            <a:path>
              <a:moveTo>
                <a:pt x="0" y="0"/>
              </a:moveTo>
              <a:lnTo>
                <a:pt x="127152"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B331ED-5153-2548-99C1-CD68153ADD4E}">
      <dsp:nvSpPr>
        <dsp:cNvPr id="0" name=""/>
        <dsp:cNvSpPr/>
      </dsp:nvSpPr>
      <dsp:spPr>
        <a:xfrm>
          <a:off x="4364915" y="843083"/>
          <a:ext cx="632891" cy="385359"/>
        </a:xfrm>
        <a:prstGeom prst="roundRect">
          <a:avLst/>
        </a:prstGeom>
        <a:solidFill>
          <a:schemeClr val="accent3">
            <a:hueOff val="3750088"/>
            <a:satOff val="-5627"/>
            <a:lumOff val="-91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High stakes events - practise - never events</a:t>
          </a:r>
        </a:p>
      </dsp:txBody>
      <dsp:txXfrm>
        <a:off x="4383727" y="861895"/>
        <a:ext cx="595267" cy="347735"/>
      </dsp:txXfrm>
    </dsp:sp>
    <dsp:sp modelId="{EF954303-AACC-E04F-A004-4499BE6B22D8}">
      <dsp:nvSpPr>
        <dsp:cNvPr id="0" name=""/>
        <dsp:cNvSpPr/>
      </dsp:nvSpPr>
      <dsp:spPr>
        <a:xfrm>
          <a:off x="4780282" y="3204345"/>
          <a:ext cx="596975" cy="475698"/>
        </a:xfrm>
        <a:prstGeom prst="roundRect">
          <a:avLst/>
        </a:prstGeom>
        <a:solidFill>
          <a:schemeClr val="accent3">
            <a:hueOff val="4000094"/>
            <a:satOff val="-6002"/>
            <a:lumOff val="-97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Meaningful learning oppoertunities</a:t>
          </a:r>
        </a:p>
      </dsp:txBody>
      <dsp:txXfrm>
        <a:off x="4803504" y="3227567"/>
        <a:ext cx="550531" cy="429254"/>
      </dsp:txXfrm>
    </dsp:sp>
    <dsp:sp modelId="{FBE986C5-EE91-5D4C-BFD3-D9A022E6B0C2}">
      <dsp:nvSpPr>
        <dsp:cNvPr id="0" name=""/>
        <dsp:cNvSpPr/>
      </dsp:nvSpPr>
      <dsp:spPr>
        <a:xfrm rot="16157561">
          <a:off x="4950533" y="3080582"/>
          <a:ext cx="247545" cy="0"/>
        </a:xfrm>
        <a:custGeom>
          <a:avLst/>
          <a:gdLst/>
          <a:ahLst/>
          <a:cxnLst/>
          <a:rect l="0" t="0" r="0" b="0"/>
          <a:pathLst>
            <a:path>
              <a:moveTo>
                <a:pt x="0" y="0"/>
              </a:moveTo>
              <a:lnTo>
                <a:pt x="247545"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FD441B-7749-F04C-8C5D-8BEBC379FDA7}">
      <dsp:nvSpPr>
        <dsp:cNvPr id="0" name=""/>
        <dsp:cNvSpPr/>
      </dsp:nvSpPr>
      <dsp:spPr>
        <a:xfrm>
          <a:off x="4780280" y="2546626"/>
          <a:ext cx="579930" cy="410192"/>
        </a:xfrm>
        <a:prstGeom prst="roundRect">
          <a:avLst/>
        </a:prstGeom>
        <a:solidFill>
          <a:schemeClr val="accent3">
            <a:hueOff val="4250099"/>
            <a:satOff val="-6377"/>
            <a:lumOff val="-103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From Serious untoward incidents</a:t>
          </a:r>
        </a:p>
      </dsp:txBody>
      <dsp:txXfrm>
        <a:off x="4800304" y="2566650"/>
        <a:ext cx="539882" cy="370144"/>
      </dsp:txXfrm>
    </dsp:sp>
    <dsp:sp modelId="{9986D04E-776D-B448-8FA5-25D516AA4E88}">
      <dsp:nvSpPr>
        <dsp:cNvPr id="0" name=""/>
        <dsp:cNvSpPr/>
      </dsp:nvSpPr>
      <dsp:spPr>
        <a:xfrm rot="19462264">
          <a:off x="5370288" y="3206580"/>
          <a:ext cx="74466" cy="0"/>
        </a:xfrm>
        <a:custGeom>
          <a:avLst/>
          <a:gdLst/>
          <a:ahLst/>
          <a:cxnLst/>
          <a:rect l="0" t="0" r="0" b="0"/>
          <a:pathLst>
            <a:path>
              <a:moveTo>
                <a:pt x="0" y="0"/>
              </a:moveTo>
              <a:lnTo>
                <a:pt x="74466"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A3EC70-2E80-9A4E-B474-4A033190CDC4}">
      <dsp:nvSpPr>
        <dsp:cNvPr id="0" name=""/>
        <dsp:cNvSpPr/>
      </dsp:nvSpPr>
      <dsp:spPr>
        <a:xfrm>
          <a:off x="5406852" y="2813598"/>
          <a:ext cx="579927" cy="371292"/>
        </a:xfrm>
        <a:prstGeom prst="roundRect">
          <a:avLst/>
        </a:prstGeom>
        <a:solidFill>
          <a:schemeClr val="accent3">
            <a:hueOff val="4500106"/>
            <a:satOff val="-6752"/>
            <a:lumOff val="-109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Role modelling from faculty</a:t>
          </a:r>
        </a:p>
      </dsp:txBody>
      <dsp:txXfrm>
        <a:off x="5424977" y="2831723"/>
        <a:ext cx="543677" cy="335042"/>
      </dsp:txXfrm>
    </dsp:sp>
    <dsp:sp modelId="{05479D97-B938-A34E-87D6-88D501FC01C0}">
      <dsp:nvSpPr>
        <dsp:cNvPr id="0" name=""/>
        <dsp:cNvSpPr/>
      </dsp:nvSpPr>
      <dsp:spPr>
        <a:xfrm rot="2579489">
          <a:off x="5314815" y="3728523"/>
          <a:ext cx="142191" cy="0"/>
        </a:xfrm>
        <a:custGeom>
          <a:avLst/>
          <a:gdLst/>
          <a:ahLst/>
          <a:cxnLst/>
          <a:rect l="0" t="0" r="0" b="0"/>
          <a:pathLst>
            <a:path>
              <a:moveTo>
                <a:pt x="0" y="0"/>
              </a:moveTo>
              <a:lnTo>
                <a:pt x="142191"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F6254C-C5C4-CF4A-8E0C-7BCA40D2A8CE}">
      <dsp:nvSpPr>
        <dsp:cNvPr id="0" name=""/>
        <dsp:cNvSpPr/>
      </dsp:nvSpPr>
      <dsp:spPr>
        <a:xfrm>
          <a:off x="5329055" y="3777002"/>
          <a:ext cx="657724" cy="410189"/>
        </a:xfrm>
        <a:prstGeom prst="roundRect">
          <a:avLst/>
        </a:prstGeom>
        <a:solidFill>
          <a:schemeClr val="accent3">
            <a:hueOff val="4750112"/>
            <a:satOff val="-7127"/>
            <a:lumOff val="-115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Value incident investigation &amp; reporting</a:t>
          </a:r>
        </a:p>
      </dsp:txBody>
      <dsp:txXfrm>
        <a:off x="5349079" y="3797026"/>
        <a:ext cx="617676" cy="370141"/>
      </dsp:txXfrm>
    </dsp:sp>
    <dsp:sp modelId="{F5F58CCB-8107-6B4A-BDE4-264430FE008B}">
      <dsp:nvSpPr>
        <dsp:cNvPr id="0" name=""/>
        <dsp:cNvSpPr/>
      </dsp:nvSpPr>
      <dsp:spPr>
        <a:xfrm rot="5050212">
          <a:off x="4817697" y="3996020"/>
          <a:ext cx="635237" cy="0"/>
        </a:xfrm>
        <a:custGeom>
          <a:avLst/>
          <a:gdLst/>
          <a:ahLst/>
          <a:cxnLst/>
          <a:rect l="0" t="0" r="0" b="0"/>
          <a:pathLst>
            <a:path>
              <a:moveTo>
                <a:pt x="0" y="0"/>
              </a:moveTo>
              <a:lnTo>
                <a:pt x="635237"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6CC327-4D20-EC45-A926-CDC018E856EC}">
      <dsp:nvSpPr>
        <dsp:cNvPr id="0" name=""/>
        <dsp:cNvSpPr/>
      </dsp:nvSpPr>
      <dsp:spPr>
        <a:xfrm>
          <a:off x="4894582" y="4311996"/>
          <a:ext cx="579930" cy="332395"/>
        </a:xfrm>
        <a:prstGeom prst="roundRect">
          <a:avLst/>
        </a:prstGeom>
        <a:solidFill>
          <a:schemeClr val="accent3">
            <a:hueOff val="5000117"/>
            <a:satOff val="-7502"/>
            <a:lumOff val="-122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From mistakes and near misses</a:t>
          </a:r>
        </a:p>
      </dsp:txBody>
      <dsp:txXfrm>
        <a:off x="4910808" y="4328222"/>
        <a:ext cx="547478" cy="299943"/>
      </dsp:txXfrm>
    </dsp:sp>
    <dsp:sp modelId="{799EEDA3-4449-6647-B2CE-A4FF7BD17415}">
      <dsp:nvSpPr>
        <dsp:cNvPr id="0" name=""/>
        <dsp:cNvSpPr/>
      </dsp:nvSpPr>
      <dsp:spPr>
        <a:xfrm rot="8212018">
          <a:off x="4617121" y="3762166"/>
          <a:ext cx="240230" cy="0"/>
        </a:xfrm>
        <a:custGeom>
          <a:avLst/>
          <a:gdLst/>
          <a:ahLst/>
          <a:cxnLst/>
          <a:rect l="0" t="0" r="0" b="0"/>
          <a:pathLst>
            <a:path>
              <a:moveTo>
                <a:pt x="0" y="0"/>
              </a:moveTo>
              <a:lnTo>
                <a:pt x="240230"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AF3D4F-E7CC-9548-BDCE-B1CCF4EB4381}">
      <dsp:nvSpPr>
        <dsp:cNvPr id="0" name=""/>
        <dsp:cNvSpPr/>
      </dsp:nvSpPr>
      <dsp:spPr>
        <a:xfrm>
          <a:off x="4122557" y="3844288"/>
          <a:ext cx="657724" cy="371299"/>
        </a:xfrm>
        <a:prstGeom prst="roundRect">
          <a:avLst/>
        </a:prstGeom>
        <a:solidFill>
          <a:schemeClr val="accent3">
            <a:hueOff val="5250123"/>
            <a:satOff val="-7877"/>
            <a:lumOff val="-128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Human factors and non technical skills education</a:t>
          </a:r>
        </a:p>
      </dsp:txBody>
      <dsp:txXfrm>
        <a:off x="4140682" y="3862413"/>
        <a:ext cx="621474" cy="335049"/>
      </dsp:txXfrm>
    </dsp:sp>
    <dsp:sp modelId="{3EF590F0-5F21-2047-B3B5-47E59CC74B27}">
      <dsp:nvSpPr>
        <dsp:cNvPr id="0" name=""/>
        <dsp:cNvSpPr/>
      </dsp:nvSpPr>
      <dsp:spPr>
        <a:xfrm rot="10303390">
          <a:off x="4553844" y="3502000"/>
          <a:ext cx="227623" cy="0"/>
        </a:xfrm>
        <a:custGeom>
          <a:avLst/>
          <a:gdLst/>
          <a:ahLst/>
          <a:cxnLst/>
          <a:rect l="0" t="0" r="0" b="0"/>
          <a:pathLst>
            <a:path>
              <a:moveTo>
                <a:pt x="0" y="0"/>
              </a:moveTo>
              <a:lnTo>
                <a:pt x="227623"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7C52A9-79AC-4B4B-AA66-22D1305BBEB9}">
      <dsp:nvSpPr>
        <dsp:cNvPr id="0" name=""/>
        <dsp:cNvSpPr/>
      </dsp:nvSpPr>
      <dsp:spPr>
        <a:xfrm>
          <a:off x="4208780" y="3387091"/>
          <a:ext cx="346249" cy="312953"/>
        </a:xfrm>
        <a:prstGeom prst="roundRect">
          <a:avLst/>
        </a:prstGeom>
        <a:solidFill>
          <a:schemeClr val="accent3">
            <a:hueOff val="5500129"/>
            <a:satOff val="-8252"/>
            <a:lumOff val="-134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From Francis report</a:t>
          </a:r>
        </a:p>
      </dsp:txBody>
      <dsp:txXfrm>
        <a:off x="4224057" y="3402368"/>
        <a:ext cx="315695" cy="282399"/>
      </dsp:txXfrm>
    </dsp:sp>
    <dsp:sp modelId="{F169E1E7-86BD-8349-9F37-FDB61FA0B0C1}">
      <dsp:nvSpPr>
        <dsp:cNvPr id="0" name=""/>
        <dsp:cNvSpPr/>
      </dsp:nvSpPr>
      <dsp:spPr>
        <a:xfrm rot="13049372">
          <a:off x="4671660" y="3176382"/>
          <a:ext cx="121131" cy="0"/>
        </a:xfrm>
        <a:custGeom>
          <a:avLst/>
          <a:gdLst/>
          <a:ahLst/>
          <a:cxnLst/>
          <a:rect l="0" t="0" r="0" b="0"/>
          <a:pathLst>
            <a:path>
              <a:moveTo>
                <a:pt x="0" y="0"/>
              </a:moveTo>
              <a:lnTo>
                <a:pt x="121131"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755C4C-5B2D-F444-B1EB-AE9C334FFAE5}">
      <dsp:nvSpPr>
        <dsp:cNvPr id="0" name=""/>
        <dsp:cNvSpPr/>
      </dsp:nvSpPr>
      <dsp:spPr>
        <a:xfrm>
          <a:off x="4208780" y="2709283"/>
          <a:ext cx="475388" cy="495834"/>
        </a:xfrm>
        <a:prstGeom prst="roundRect">
          <a:avLst/>
        </a:prstGeom>
        <a:solidFill>
          <a:schemeClr val="accent3">
            <a:hueOff val="5750135"/>
            <a:satOff val="-8628"/>
            <a:lumOff val="-140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Get feedback from patients, team, relative</a:t>
          </a:r>
        </a:p>
      </dsp:txBody>
      <dsp:txXfrm>
        <a:off x="4231987" y="2732490"/>
        <a:ext cx="428974" cy="449420"/>
      </dsp:txXfrm>
    </dsp:sp>
    <dsp:sp modelId="{E538692A-61C1-874A-94AC-27277D091F06}">
      <dsp:nvSpPr>
        <dsp:cNvPr id="0" name=""/>
        <dsp:cNvSpPr/>
      </dsp:nvSpPr>
      <dsp:spPr>
        <a:xfrm>
          <a:off x="3697309" y="4713791"/>
          <a:ext cx="385359" cy="385359"/>
        </a:xfrm>
        <a:prstGeom prst="roundRect">
          <a:avLst/>
        </a:prstGeom>
        <a:solidFill>
          <a:schemeClr val="accent3">
            <a:hueOff val="6000141"/>
            <a:satOff val="-9003"/>
            <a:lumOff val="-146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Clarify expectations for safe practice</a:t>
          </a:r>
        </a:p>
      </dsp:txBody>
      <dsp:txXfrm>
        <a:off x="3716121" y="4732603"/>
        <a:ext cx="347735" cy="347735"/>
      </dsp:txXfrm>
    </dsp:sp>
    <dsp:sp modelId="{4C8616FA-7E6A-D641-8BE7-AB9C9A4C7A79}">
      <dsp:nvSpPr>
        <dsp:cNvPr id="0" name=""/>
        <dsp:cNvSpPr/>
      </dsp:nvSpPr>
      <dsp:spPr>
        <a:xfrm rot="16200000">
          <a:off x="3799073" y="4622875"/>
          <a:ext cx="181831" cy="0"/>
        </a:xfrm>
        <a:custGeom>
          <a:avLst/>
          <a:gdLst/>
          <a:ahLst/>
          <a:cxnLst/>
          <a:rect l="0" t="0" r="0" b="0"/>
          <a:pathLst>
            <a:path>
              <a:moveTo>
                <a:pt x="0" y="0"/>
              </a:moveTo>
              <a:lnTo>
                <a:pt x="181831"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2238AA-97E0-A94B-99BD-8C1C980802DB}">
      <dsp:nvSpPr>
        <dsp:cNvPr id="0" name=""/>
        <dsp:cNvSpPr/>
      </dsp:nvSpPr>
      <dsp:spPr>
        <a:xfrm>
          <a:off x="3697309" y="4146600"/>
          <a:ext cx="385359" cy="385359"/>
        </a:xfrm>
        <a:prstGeom prst="roundRect">
          <a:avLst/>
        </a:prstGeom>
        <a:solidFill>
          <a:schemeClr val="accent3">
            <a:hueOff val="6250147"/>
            <a:satOff val="-9378"/>
            <a:lumOff val="-152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When to call for help</a:t>
          </a:r>
        </a:p>
      </dsp:txBody>
      <dsp:txXfrm>
        <a:off x="3716121" y="4165412"/>
        <a:ext cx="347735" cy="347735"/>
      </dsp:txXfrm>
    </dsp:sp>
    <dsp:sp modelId="{3D10006A-6652-644D-8024-82569911068F}">
      <dsp:nvSpPr>
        <dsp:cNvPr id="0" name=""/>
        <dsp:cNvSpPr/>
      </dsp:nvSpPr>
      <dsp:spPr>
        <a:xfrm rot="20520000">
          <a:off x="4078705" y="4818835"/>
          <a:ext cx="162000" cy="0"/>
        </a:xfrm>
        <a:custGeom>
          <a:avLst/>
          <a:gdLst/>
          <a:ahLst/>
          <a:cxnLst/>
          <a:rect l="0" t="0" r="0" b="0"/>
          <a:pathLst>
            <a:path>
              <a:moveTo>
                <a:pt x="0" y="0"/>
              </a:moveTo>
              <a:lnTo>
                <a:pt x="162000"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51A908-50D6-6A40-A9B6-7450E1A025BB}">
      <dsp:nvSpPr>
        <dsp:cNvPr id="0" name=""/>
        <dsp:cNvSpPr/>
      </dsp:nvSpPr>
      <dsp:spPr>
        <a:xfrm>
          <a:off x="4236741" y="4538520"/>
          <a:ext cx="385359" cy="385359"/>
        </a:xfrm>
        <a:prstGeom prst="roundRect">
          <a:avLst/>
        </a:prstGeom>
        <a:solidFill>
          <a:schemeClr val="accent3">
            <a:hueOff val="6500153"/>
            <a:satOff val="-9753"/>
            <a:lumOff val="-158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For intended role ie FY1 </a:t>
          </a:r>
        </a:p>
      </dsp:txBody>
      <dsp:txXfrm>
        <a:off x="4255553" y="4557332"/>
        <a:ext cx="347735" cy="347735"/>
      </dsp:txXfrm>
    </dsp:sp>
    <dsp:sp modelId="{B44E45F1-F8D9-E646-9D72-E1DBF0011FDB}">
      <dsp:nvSpPr>
        <dsp:cNvPr id="0" name=""/>
        <dsp:cNvSpPr/>
      </dsp:nvSpPr>
      <dsp:spPr>
        <a:xfrm rot="3240000">
          <a:off x="4011252" y="5135905"/>
          <a:ext cx="90860" cy="0"/>
        </a:xfrm>
        <a:custGeom>
          <a:avLst/>
          <a:gdLst/>
          <a:ahLst/>
          <a:cxnLst/>
          <a:rect l="0" t="0" r="0" b="0"/>
          <a:pathLst>
            <a:path>
              <a:moveTo>
                <a:pt x="0" y="0"/>
              </a:moveTo>
              <a:lnTo>
                <a:pt x="90860"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531F4B-2FCC-634B-A6AE-282E8D8DA9C8}">
      <dsp:nvSpPr>
        <dsp:cNvPr id="0" name=""/>
        <dsp:cNvSpPr/>
      </dsp:nvSpPr>
      <dsp:spPr>
        <a:xfrm>
          <a:off x="4030696" y="5172659"/>
          <a:ext cx="385359" cy="385359"/>
        </a:xfrm>
        <a:prstGeom prst="roundRect">
          <a:avLst/>
        </a:prstGeom>
        <a:solidFill>
          <a:schemeClr val="accent3">
            <a:hueOff val="6750158"/>
            <a:satOff val="-10128"/>
            <a:lumOff val="-164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Of other team members</a:t>
          </a:r>
        </a:p>
      </dsp:txBody>
      <dsp:txXfrm>
        <a:off x="4049508" y="5191471"/>
        <a:ext cx="347735" cy="347735"/>
      </dsp:txXfrm>
    </dsp:sp>
    <dsp:sp modelId="{88829AF9-A850-6E4D-8858-A04E41EC33BA}">
      <dsp:nvSpPr>
        <dsp:cNvPr id="0" name=""/>
        <dsp:cNvSpPr/>
      </dsp:nvSpPr>
      <dsp:spPr>
        <a:xfrm rot="7560000">
          <a:off x="3677865" y="5135905"/>
          <a:ext cx="90860" cy="0"/>
        </a:xfrm>
        <a:custGeom>
          <a:avLst/>
          <a:gdLst/>
          <a:ahLst/>
          <a:cxnLst/>
          <a:rect l="0" t="0" r="0" b="0"/>
          <a:pathLst>
            <a:path>
              <a:moveTo>
                <a:pt x="0" y="0"/>
              </a:moveTo>
              <a:lnTo>
                <a:pt x="90860"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E410EF-A157-E84B-9795-64784B0B825D}">
      <dsp:nvSpPr>
        <dsp:cNvPr id="0" name=""/>
        <dsp:cNvSpPr/>
      </dsp:nvSpPr>
      <dsp:spPr>
        <a:xfrm>
          <a:off x="3363922" y="5172659"/>
          <a:ext cx="385359" cy="385359"/>
        </a:xfrm>
        <a:prstGeom prst="roundRect">
          <a:avLst/>
        </a:prstGeom>
        <a:solidFill>
          <a:schemeClr val="accent3">
            <a:hueOff val="7000164"/>
            <a:satOff val="-10503"/>
            <a:lumOff val="-170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When &amp; how to escalate care</a:t>
          </a:r>
        </a:p>
      </dsp:txBody>
      <dsp:txXfrm>
        <a:off x="3382734" y="5191471"/>
        <a:ext cx="347735" cy="347735"/>
      </dsp:txXfrm>
    </dsp:sp>
    <dsp:sp modelId="{5E1516D0-C07C-8746-9D8D-9CCD6EB97033}">
      <dsp:nvSpPr>
        <dsp:cNvPr id="0" name=""/>
        <dsp:cNvSpPr/>
      </dsp:nvSpPr>
      <dsp:spPr>
        <a:xfrm rot="11880000">
          <a:off x="3539273" y="4818835"/>
          <a:ext cx="162000" cy="0"/>
        </a:xfrm>
        <a:custGeom>
          <a:avLst/>
          <a:gdLst/>
          <a:ahLst/>
          <a:cxnLst/>
          <a:rect l="0" t="0" r="0" b="0"/>
          <a:pathLst>
            <a:path>
              <a:moveTo>
                <a:pt x="0" y="0"/>
              </a:moveTo>
              <a:lnTo>
                <a:pt x="162000"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712302-D819-7644-96D4-4F4AB369B4D9}">
      <dsp:nvSpPr>
        <dsp:cNvPr id="0" name=""/>
        <dsp:cNvSpPr/>
      </dsp:nvSpPr>
      <dsp:spPr>
        <a:xfrm>
          <a:off x="3157878" y="4538520"/>
          <a:ext cx="385359" cy="385359"/>
        </a:xfrm>
        <a:prstGeom prst="roundRect">
          <a:avLst/>
        </a:prstGeom>
        <a:solidFill>
          <a:schemeClr val="accent3">
            <a:hueOff val="7250170"/>
            <a:satOff val="-10878"/>
            <a:lumOff val="-176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Acceptance will not always know what to do</a:t>
          </a:r>
        </a:p>
      </dsp:txBody>
      <dsp:txXfrm>
        <a:off x="3176690" y="4557332"/>
        <a:ext cx="347735" cy="347735"/>
      </dsp:txXfrm>
    </dsp:sp>
    <dsp:sp modelId="{66C466D4-1828-CE4E-B757-989383CA1F6C}">
      <dsp:nvSpPr>
        <dsp:cNvPr id="0" name=""/>
        <dsp:cNvSpPr/>
      </dsp:nvSpPr>
      <dsp:spPr>
        <a:xfrm>
          <a:off x="1755785" y="4679800"/>
          <a:ext cx="468805" cy="415202"/>
        </a:xfrm>
        <a:prstGeom prst="roundRect">
          <a:avLst/>
        </a:prstGeom>
        <a:solidFill>
          <a:schemeClr val="accent3">
            <a:hueOff val="7500176"/>
            <a:satOff val="-11253"/>
            <a:lumOff val="-183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Prospective hazard / safety analysis</a:t>
          </a:r>
        </a:p>
      </dsp:txBody>
      <dsp:txXfrm>
        <a:off x="1776053" y="4700068"/>
        <a:ext cx="428269" cy="374666"/>
      </dsp:txXfrm>
    </dsp:sp>
    <dsp:sp modelId="{9C50B29B-E69C-0242-B0F5-E19768FD7401}">
      <dsp:nvSpPr>
        <dsp:cNvPr id="0" name=""/>
        <dsp:cNvSpPr/>
      </dsp:nvSpPr>
      <dsp:spPr>
        <a:xfrm rot="15231607">
          <a:off x="1793708" y="4577274"/>
          <a:ext cx="213464" cy="0"/>
        </a:xfrm>
        <a:custGeom>
          <a:avLst/>
          <a:gdLst/>
          <a:ahLst/>
          <a:cxnLst/>
          <a:rect l="0" t="0" r="0" b="0"/>
          <a:pathLst>
            <a:path>
              <a:moveTo>
                <a:pt x="0" y="0"/>
              </a:moveTo>
              <a:lnTo>
                <a:pt x="213464"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794E50-54A0-6949-8036-098F1C2A9E58}">
      <dsp:nvSpPr>
        <dsp:cNvPr id="0" name=""/>
        <dsp:cNvSpPr/>
      </dsp:nvSpPr>
      <dsp:spPr>
        <a:xfrm>
          <a:off x="1508254" y="4165671"/>
          <a:ext cx="635589" cy="309077"/>
        </a:xfrm>
        <a:prstGeom prst="roundRect">
          <a:avLst/>
        </a:prstGeom>
        <a:solidFill>
          <a:schemeClr val="accent3">
            <a:hueOff val="7750182"/>
            <a:satOff val="-11628"/>
            <a:lumOff val="-189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Seconds for safety - time out - clarify kit, dose, decision</a:t>
          </a:r>
        </a:p>
      </dsp:txBody>
      <dsp:txXfrm>
        <a:off x="1523342" y="4180759"/>
        <a:ext cx="605413" cy="278901"/>
      </dsp:txXfrm>
    </dsp:sp>
    <dsp:sp modelId="{E5EE0051-F15B-0041-B50E-A768306474D4}">
      <dsp:nvSpPr>
        <dsp:cNvPr id="0" name=""/>
        <dsp:cNvSpPr/>
      </dsp:nvSpPr>
      <dsp:spPr>
        <a:xfrm rot="20266891">
          <a:off x="2219250" y="4764459"/>
          <a:ext cx="143838" cy="0"/>
        </a:xfrm>
        <a:custGeom>
          <a:avLst/>
          <a:gdLst/>
          <a:ahLst/>
          <a:cxnLst/>
          <a:rect l="0" t="0" r="0" b="0"/>
          <a:pathLst>
            <a:path>
              <a:moveTo>
                <a:pt x="0" y="0"/>
              </a:moveTo>
              <a:lnTo>
                <a:pt x="143838"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FEB6BC1-CD54-9B48-A906-61D991630C26}">
      <dsp:nvSpPr>
        <dsp:cNvPr id="0" name=""/>
        <dsp:cNvSpPr/>
      </dsp:nvSpPr>
      <dsp:spPr>
        <a:xfrm>
          <a:off x="2357749" y="4432271"/>
          <a:ext cx="635685" cy="350326"/>
        </a:xfrm>
        <a:prstGeom prst="roundRect">
          <a:avLst/>
        </a:prstGeom>
        <a:solidFill>
          <a:schemeClr val="accent3">
            <a:hueOff val="8000187"/>
            <a:satOff val="-12004"/>
            <a:lumOff val="-195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Raise awareness - situation, diagnosis, different equipment</a:t>
          </a:r>
        </a:p>
      </dsp:txBody>
      <dsp:txXfrm>
        <a:off x="2374851" y="4449373"/>
        <a:ext cx="601481" cy="316122"/>
      </dsp:txXfrm>
    </dsp:sp>
    <dsp:sp modelId="{3CC55AA7-084B-2F4F-A2DC-C3B6EB963FF2}">
      <dsp:nvSpPr>
        <dsp:cNvPr id="0" name=""/>
        <dsp:cNvSpPr/>
      </dsp:nvSpPr>
      <dsp:spPr>
        <a:xfrm rot="2350771">
          <a:off x="2211218" y="5116012"/>
          <a:ext cx="118958" cy="0"/>
        </a:xfrm>
        <a:custGeom>
          <a:avLst/>
          <a:gdLst/>
          <a:ahLst/>
          <a:cxnLst/>
          <a:rect l="0" t="0" r="0" b="0"/>
          <a:pathLst>
            <a:path>
              <a:moveTo>
                <a:pt x="0" y="0"/>
              </a:moveTo>
              <a:lnTo>
                <a:pt x="118958"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E3FBA3-52BE-1C44-AD9F-D8253A8A7BBF}">
      <dsp:nvSpPr>
        <dsp:cNvPr id="0" name=""/>
        <dsp:cNvSpPr/>
      </dsp:nvSpPr>
      <dsp:spPr>
        <a:xfrm>
          <a:off x="2250845" y="5153588"/>
          <a:ext cx="604760" cy="385359"/>
        </a:xfrm>
        <a:prstGeom prst="roundRect">
          <a:avLst/>
        </a:prstGeom>
        <a:solidFill>
          <a:schemeClr val="accent3">
            <a:hueOff val="8250193"/>
            <a:satOff val="-12379"/>
            <a:lumOff val="-201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Test systems &amp; processes eg new trauma unit</a:t>
          </a:r>
        </a:p>
      </dsp:txBody>
      <dsp:txXfrm>
        <a:off x="2269657" y="5172400"/>
        <a:ext cx="567136" cy="347735"/>
      </dsp:txXfrm>
    </dsp:sp>
    <dsp:sp modelId="{34A8029D-AC90-6E45-BF46-B46F3381875F}">
      <dsp:nvSpPr>
        <dsp:cNvPr id="0" name=""/>
        <dsp:cNvSpPr/>
      </dsp:nvSpPr>
      <dsp:spPr>
        <a:xfrm rot="8921059">
          <a:off x="1487149" y="5105305"/>
          <a:ext cx="289740" cy="0"/>
        </a:xfrm>
        <a:custGeom>
          <a:avLst/>
          <a:gdLst/>
          <a:ahLst/>
          <a:cxnLst/>
          <a:rect l="0" t="0" r="0" b="0"/>
          <a:pathLst>
            <a:path>
              <a:moveTo>
                <a:pt x="0" y="0"/>
              </a:moveTo>
              <a:lnTo>
                <a:pt x="289740"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F4FC25-F050-DE4A-9C77-AE6425A15CC1}">
      <dsp:nvSpPr>
        <dsp:cNvPr id="0" name=""/>
        <dsp:cNvSpPr/>
      </dsp:nvSpPr>
      <dsp:spPr>
        <a:xfrm>
          <a:off x="963633" y="5153591"/>
          <a:ext cx="544621" cy="385359"/>
        </a:xfrm>
        <a:prstGeom prst="roundRect">
          <a:avLst/>
        </a:prstGeom>
        <a:solidFill>
          <a:schemeClr val="accent3">
            <a:hueOff val="8500199"/>
            <a:satOff val="-12754"/>
            <a:lumOff val="-207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Set agenda &amp; practice dangerous scenarios</a:t>
          </a:r>
        </a:p>
      </dsp:txBody>
      <dsp:txXfrm>
        <a:off x="982445" y="5172403"/>
        <a:ext cx="506997" cy="347735"/>
      </dsp:txXfrm>
    </dsp:sp>
    <dsp:sp modelId="{8F84E76A-2970-4F47-993B-9FF55A2C1C10}">
      <dsp:nvSpPr>
        <dsp:cNvPr id="0" name=""/>
        <dsp:cNvSpPr/>
      </dsp:nvSpPr>
      <dsp:spPr>
        <a:xfrm rot="11426486">
          <a:off x="1308782" y="4803361"/>
          <a:ext cx="450734" cy="0"/>
        </a:xfrm>
        <a:custGeom>
          <a:avLst/>
          <a:gdLst/>
          <a:ahLst/>
          <a:cxnLst/>
          <a:rect l="0" t="0" r="0" b="0"/>
          <a:pathLst>
            <a:path>
              <a:moveTo>
                <a:pt x="0" y="0"/>
              </a:moveTo>
              <a:lnTo>
                <a:pt x="450734"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0DD947-D71D-F949-987A-EAAA59E2D17D}">
      <dsp:nvSpPr>
        <dsp:cNvPr id="0" name=""/>
        <dsp:cNvSpPr/>
      </dsp:nvSpPr>
      <dsp:spPr>
        <a:xfrm>
          <a:off x="765665" y="4556037"/>
          <a:ext cx="546848" cy="312187"/>
        </a:xfrm>
        <a:prstGeom prst="roundRect">
          <a:avLst/>
        </a:prstGeom>
        <a:solidFill>
          <a:schemeClr val="accent3">
            <a:hueOff val="8750205"/>
            <a:satOff val="-13129"/>
            <a:lumOff val="-213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Task fixation - when &amp; how to employ and avoid</a:t>
          </a:r>
        </a:p>
      </dsp:txBody>
      <dsp:txXfrm>
        <a:off x="780905" y="4571277"/>
        <a:ext cx="516368" cy="281707"/>
      </dsp:txXfrm>
    </dsp:sp>
    <dsp:sp modelId="{E134C0B1-92FB-E946-980E-4C20B1CE3448}">
      <dsp:nvSpPr>
        <dsp:cNvPr id="0" name=""/>
        <dsp:cNvSpPr/>
      </dsp:nvSpPr>
      <dsp:spPr>
        <a:xfrm>
          <a:off x="518133" y="3178809"/>
          <a:ext cx="759931" cy="421886"/>
        </a:xfrm>
        <a:prstGeom prst="roundRect">
          <a:avLst/>
        </a:prstGeom>
        <a:solidFill>
          <a:schemeClr val="accent3">
            <a:hueOff val="9000211"/>
            <a:satOff val="-13504"/>
            <a:lumOff val="-219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Consequence learning</a:t>
          </a:r>
        </a:p>
      </dsp:txBody>
      <dsp:txXfrm>
        <a:off x="538728" y="3199404"/>
        <a:ext cx="718741" cy="380696"/>
      </dsp:txXfrm>
    </dsp:sp>
    <dsp:sp modelId="{3C23EC73-71E2-0247-989E-BF7D3BF1262D}">
      <dsp:nvSpPr>
        <dsp:cNvPr id="0" name=""/>
        <dsp:cNvSpPr/>
      </dsp:nvSpPr>
      <dsp:spPr>
        <a:xfrm rot="16200000">
          <a:off x="834494" y="3115204"/>
          <a:ext cx="127210" cy="0"/>
        </a:xfrm>
        <a:custGeom>
          <a:avLst/>
          <a:gdLst/>
          <a:ahLst/>
          <a:cxnLst/>
          <a:rect l="0" t="0" r="0" b="0"/>
          <a:pathLst>
            <a:path>
              <a:moveTo>
                <a:pt x="0" y="0"/>
              </a:moveTo>
              <a:lnTo>
                <a:pt x="127210"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D7BC21-6925-4448-879D-B495107726CB}">
      <dsp:nvSpPr>
        <dsp:cNvPr id="0" name=""/>
        <dsp:cNvSpPr/>
      </dsp:nvSpPr>
      <dsp:spPr>
        <a:xfrm>
          <a:off x="641898" y="2685590"/>
          <a:ext cx="512402" cy="366007"/>
        </a:xfrm>
        <a:prstGeom prst="roundRect">
          <a:avLst/>
        </a:prstGeom>
        <a:solidFill>
          <a:schemeClr val="accent3">
            <a:hueOff val="9250217"/>
            <a:satOff val="-13879"/>
            <a:lumOff val="-225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Safe to learn from consequence in simulation</a:t>
          </a:r>
        </a:p>
      </dsp:txBody>
      <dsp:txXfrm>
        <a:off x="659765" y="2703457"/>
        <a:ext cx="476668" cy="330273"/>
      </dsp:txXfrm>
    </dsp:sp>
    <dsp:sp modelId="{6E647C1C-BF20-144B-AD7C-3437755A395E}">
      <dsp:nvSpPr>
        <dsp:cNvPr id="0" name=""/>
        <dsp:cNvSpPr/>
      </dsp:nvSpPr>
      <dsp:spPr>
        <a:xfrm rot="287685">
          <a:off x="1277532" y="3434347"/>
          <a:ext cx="304428" cy="0"/>
        </a:xfrm>
        <a:custGeom>
          <a:avLst/>
          <a:gdLst/>
          <a:ahLst/>
          <a:cxnLst/>
          <a:rect l="0" t="0" r="0" b="0"/>
          <a:pathLst>
            <a:path>
              <a:moveTo>
                <a:pt x="0" y="0"/>
              </a:moveTo>
              <a:lnTo>
                <a:pt x="304428"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5F3857-4797-1440-AFB6-56E1081E8283}">
      <dsp:nvSpPr>
        <dsp:cNvPr id="0" name=""/>
        <dsp:cNvSpPr/>
      </dsp:nvSpPr>
      <dsp:spPr>
        <a:xfrm>
          <a:off x="1581428" y="3253820"/>
          <a:ext cx="421886" cy="421886"/>
        </a:xfrm>
        <a:prstGeom prst="roundRect">
          <a:avLst/>
        </a:prstGeom>
        <a:solidFill>
          <a:schemeClr val="accent3">
            <a:hueOff val="9500223"/>
            <a:satOff val="-14254"/>
            <a:lumOff val="-231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Impact of action vs omission - case study 1 and 2 </a:t>
          </a:r>
        </a:p>
      </dsp:txBody>
      <dsp:txXfrm>
        <a:off x="1602023" y="3274415"/>
        <a:ext cx="380696" cy="380696"/>
      </dsp:txXfrm>
    </dsp:sp>
    <dsp:sp modelId="{5FB694D4-B832-E047-A88F-4C43222DE4C9}">
      <dsp:nvSpPr>
        <dsp:cNvPr id="0" name=""/>
        <dsp:cNvSpPr/>
      </dsp:nvSpPr>
      <dsp:spPr>
        <a:xfrm rot="6221448">
          <a:off x="673637" y="3736670"/>
          <a:ext cx="279902" cy="0"/>
        </a:xfrm>
        <a:custGeom>
          <a:avLst/>
          <a:gdLst/>
          <a:ahLst/>
          <a:cxnLst/>
          <a:rect l="0" t="0" r="0" b="0"/>
          <a:pathLst>
            <a:path>
              <a:moveTo>
                <a:pt x="0" y="0"/>
              </a:moveTo>
              <a:lnTo>
                <a:pt x="279902"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D0AF22-1179-3145-B554-B6DF26CF862F}">
      <dsp:nvSpPr>
        <dsp:cNvPr id="0" name=""/>
        <dsp:cNvSpPr/>
      </dsp:nvSpPr>
      <dsp:spPr>
        <a:xfrm>
          <a:off x="394370" y="3872645"/>
          <a:ext cx="669416" cy="421886"/>
        </a:xfrm>
        <a:prstGeom prst="roundRect">
          <a:avLst/>
        </a:prstGeom>
        <a:solidFill>
          <a:schemeClr val="accent3">
            <a:hueOff val="9750229"/>
            <a:satOff val="-14629"/>
            <a:lumOff val="-237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Impact of labelling patient due to pressure for early diagnosis - wrong management route</a:t>
          </a:r>
        </a:p>
      </dsp:txBody>
      <dsp:txXfrm>
        <a:off x="414965" y="3893240"/>
        <a:ext cx="628226" cy="380696"/>
      </dsp:txXfrm>
    </dsp:sp>
    <dsp:sp modelId="{8E234813-ACA1-104E-AB59-BF73306C3704}">
      <dsp:nvSpPr>
        <dsp:cNvPr id="0" name=""/>
        <dsp:cNvSpPr/>
      </dsp:nvSpPr>
      <dsp:spPr>
        <a:xfrm rot="10800000">
          <a:off x="421886" y="3389752"/>
          <a:ext cx="96246" cy="0"/>
        </a:xfrm>
        <a:custGeom>
          <a:avLst/>
          <a:gdLst/>
          <a:ahLst/>
          <a:cxnLst/>
          <a:rect l="0" t="0" r="0" b="0"/>
          <a:pathLst>
            <a:path>
              <a:moveTo>
                <a:pt x="0" y="0"/>
              </a:moveTo>
              <a:lnTo>
                <a:pt x="96246"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2D7E9B-8158-6942-96BF-4B93F5C232C0}">
      <dsp:nvSpPr>
        <dsp:cNvPr id="0" name=""/>
        <dsp:cNvSpPr/>
      </dsp:nvSpPr>
      <dsp:spPr>
        <a:xfrm>
          <a:off x="0" y="3178809"/>
          <a:ext cx="421886" cy="421886"/>
        </a:xfrm>
        <a:prstGeom prst="roundRect">
          <a:avLst/>
        </a:prstGeom>
        <a:solidFill>
          <a:schemeClr val="accent3">
            <a:hueOff val="10000235"/>
            <a:satOff val="-15004"/>
            <a:lumOff val="-244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Learn from mistakes very powerful</a:t>
          </a:r>
        </a:p>
      </dsp:txBody>
      <dsp:txXfrm>
        <a:off x="20595" y="3199404"/>
        <a:ext cx="380696" cy="380696"/>
      </dsp:txXfrm>
    </dsp:sp>
    <dsp:sp modelId="{7B4D9341-F0C3-CA4B-B84F-4B550AA44EE5}">
      <dsp:nvSpPr>
        <dsp:cNvPr id="0" name=""/>
        <dsp:cNvSpPr/>
      </dsp:nvSpPr>
      <dsp:spPr>
        <a:xfrm>
          <a:off x="1013195" y="1382641"/>
          <a:ext cx="584439" cy="421886"/>
        </a:xfrm>
        <a:prstGeom prst="roundRect">
          <a:avLst/>
        </a:prstGeom>
        <a:solidFill>
          <a:schemeClr val="accent3">
            <a:hueOff val="10250240"/>
            <a:satOff val="-15380"/>
            <a:lumOff val="-250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Interprofessional learning</a:t>
          </a:r>
        </a:p>
      </dsp:txBody>
      <dsp:txXfrm>
        <a:off x="1033790" y="1403236"/>
        <a:ext cx="543249" cy="380696"/>
      </dsp:txXfrm>
    </dsp:sp>
    <dsp:sp modelId="{BBD6AD10-A50C-DC45-ACAF-2E312F8EFB0F}">
      <dsp:nvSpPr>
        <dsp:cNvPr id="0" name=""/>
        <dsp:cNvSpPr/>
      </dsp:nvSpPr>
      <dsp:spPr>
        <a:xfrm rot="14327118">
          <a:off x="908361" y="1230985"/>
          <a:ext cx="354656" cy="0"/>
        </a:xfrm>
        <a:custGeom>
          <a:avLst/>
          <a:gdLst/>
          <a:ahLst/>
          <a:cxnLst/>
          <a:rect l="0" t="0" r="0" b="0"/>
          <a:pathLst>
            <a:path>
              <a:moveTo>
                <a:pt x="0" y="0"/>
              </a:moveTo>
              <a:lnTo>
                <a:pt x="354656"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4526286-356F-104B-9D34-C986CC9EDF6B}">
      <dsp:nvSpPr>
        <dsp:cNvPr id="0" name=""/>
        <dsp:cNvSpPr/>
      </dsp:nvSpPr>
      <dsp:spPr>
        <a:xfrm>
          <a:off x="208721" y="409907"/>
          <a:ext cx="1164487" cy="669420"/>
        </a:xfrm>
        <a:prstGeom prst="roundRect">
          <a:avLst/>
        </a:prstGeom>
        <a:solidFill>
          <a:schemeClr val="accent3">
            <a:hueOff val="10500246"/>
            <a:satOff val="-15755"/>
            <a:lumOff val="-256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Understand different roles &amp; interplay</a:t>
          </a:r>
        </a:p>
        <a:p>
          <a:pPr marL="0" lvl="0" indent="0" algn="ctr" defTabSz="222250">
            <a:lnSpc>
              <a:spcPct val="90000"/>
            </a:lnSpc>
            <a:spcBef>
              <a:spcPct val="0"/>
            </a:spcBef>
            <a:spcAft>
              <a:spcPct val="35000"/>
            </a:spcAft>
            <a:buNone/>
          </a:pPr>
          <a:r>
            <a:rPr lang="en-US" sz="500" kern="1200"/>
            <a:t>Develop clear effective teamwork skills</a:t>
          </a:r>
        </a:p>
        <a:p>
          <a:pPr marL="0" lvl="0" indent="0" algn="ctr" defTabSz="222250">
            <a:lnSpc>
              <a:spcPct val="90000"/>
            </a:lnSpc>
            <a:spcBef>
              <a:spcPct val="0"/>
            </a:spcBef>
            <a:spcAft>
              <a:spcPct val="35000"/>
            </a:spcAft>
            <a:buNone/>
          </a:pPr>
          <a:r>
            <a:rPr lang="en-US" sz="500" kern="1200"/>
            <a:t>Build trust, respect, rapport &amp; understanding</a:t>
          </a:r>
        </a:p>
      </dsp:txBody>
      <dsp:txXfrm>
        <a:off x="241399" y="442585"/>
        <a:ext cx="1099131" cy="604064"/>
      </dsp:txXfrm>
    </dsp:sp>
    <dsp:sp modelId="{C4757226-2FF3-BF4B-A5CE-D982CA6491D0}">
      <dsp:nvSpPr>
        <dsp:cNvPr id="0" name=""/>
        <dsp:cNvSpPr/>
      </dsp:nvSpPr>
      <dsp:spPr>
        <a:xfrm rot="650187">
          <a:off x="1596097" y="1665738"/>
          <a:ext cx="172517" cy="0"/>
        </a:xfrm>
        <a:custGeom>
          <a:avLst/>
          <a:gdLst/>
          <a:ahLst/>
          <a:cxnLst/>
          <a:rect l="0" t="0" r="0" b="0"/>
          <a:pathLst>
            <a:path>
              <a:moveTo>
                <a:pt x="0" y="0"/>
              </a:moveTo>
              <a:lnTo>
                <a:pt x="172517"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833F867-3240-FE4C-92DB-BE9FBCB646B9}">
      <dsp:nvSpPr>
        <dsp:cNvPr id="0" name=""/>
        <dsp:cNvSpPr/>
      </dsp:nvSpPr>
      <dsp:spPr>
        <a:xfrm>
          <a:off x="1767076" y="1535082"/>
          <a:ext cx="669416" cy="421886"/>
        </a:xfrm>
        <a:prstGeom prst="roundRect">
          <a:avLst/>
        </a:prstGeom>
        <a:solidFill>
          <a:schemeClr val="accent3">
            <a:hueOff val="10750252"/>
            <a:satOff val="-16130"/>
            <a:lumOff val="-262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Work together to deliver quality compassionate care</a:t>
          </a:r>
        </a:p>
      </dsp:txBody>
      <dsp:txXfrm>
        <a:off x="1787671" y="1555677"/>
        <a:ext cx="628226" cy="380696"/>
      </dsp:txXfrm>
    </dsp:sp>
    <dsp:sp modelId="{26BC3630-55C2-A149-BDCF-A03F01162041}">
      <dsp:nvSpPr>
        <dsp:cNvPr id="0" name=""/>
        <dsp:cNvSpPr/>
      </dsp:nvSpPr>
      <dsp:spPr>
        <a:xfrm rot="5400000">
          <a:off x="1255779" y="1854164"/>
          <a:ext cx="99271" cy="0"/>
        </a:xfrm>
        <a:custGeom>
          <a:avLst/>
          <a:gdLst/>
          <a:ahLst/>
          <a:cxnLst/>
          <a:rect l="0" t="0" r="0" b="0"/>
          <a:pathLst>
            <a:path>
              <a:moveTo>
                <a:pt x="0" y="0"/>
              </a:moveTo>
              <a:lnTo>
                <a:pt x="99271"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646996-67FD-674D-88ED-79CC29413C1A}">
      <dsp:nvSpPr>
        <dsp:cNvPr id="0" name=""/>
        <dsp:cNvSpPr/>
      </dsp:nvSpPr>
      <dsp:spPr>
        <a:xfrm>
          <a:off x="951310" y="1903799"/>
          <a:ext cx="708208" cy="421886"/>
        </a:xfrm>
        <a:prstGeom prst="roundRect">
          <a:avLst/>
        </a:prstGeom>
        <a:solidFill>
          <a:schemeClr val="accent3">
            <a:hueOff val="11000258"/>
            <a:satOff val="-16505"/>
            <a:lumOff val="-268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r>
            <a:rPr lang="en-US" sz="500" kern="1200"/>
            <a:t>Value teamwork as much as knowledge</a:t>
          </a:r>
        </a:p>
      </dsp:txBody>
      <dsp:txXfrm>
        <a:off x="971905" y="1924394"/>
        <a:ext cx="667018" cy="380696"/>
      </dsp:txXfrm>
    </dsp:sp>
    <dsp:sp modelId="{6631F5A2-418E-3D4E-957F-3399A65472AB}">
      <dsp:nvSpPr>
        <dsp:cNvPr id="0" name=""/>
        <dsp:cNvSpPr/>
      </dsp:nvSpPr>
      <dsp:spPr>
        <a:xfrm rot="10800000">
          <a:off x="916949" y="1593585"/>
          <a:ext cx="96245" cy="0"/>
        </a:xfrm>
        <a:custGeom>
          <a:avLst/>
          <a:gdLst/>
          <a:ahLst/>
          <a:cxnLst/>
          <a:rect l="0" t="0" r="0" b="0"/>
          <a:pathLst>
            <a:path>
              <a:moveTo>
                <a:pt x="0" y="0"/>
              </a:moveTo>
              <a:lnTo>
                <a:pt x="96245"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22D6C2-DE93-E943-87C1-37928F13E8A6}">
      <dsp:nvSpPr>
        <dsp:cNvPr id="0" name=""/>
        <dsp:cNvSpPr/>
      </dsp:nvSpPr>
      <dsp:spPr>
        <a:xfrm>
          <a:off x="0" y="1292081"/>
          <a:ext cx="916949" cy="603006"/>
        </a:xfrm>
        <a:prstGeom prst="roundRect">
          <a:avLst/>
        </a:prstGeom>
        <a:solidFill>
          <a:schemeClr val="accent3">
            <a:hueOff val="11250264"/>
            <a:satOff val="-16880"/>
            <a:lumOff val="-274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t" anchorCtr="0">
          <a:noAutofit/>
        </a:bodyPr>
        <a:lstStyle/>
        <a:p>
          <a:pPr marL="0" lvl="0" indent="0" algn="l" defTabSz="222250">
            <a:lnSpc>
              <a:spcPct val="90000"/>
            </a:lnSpc>
            <a:spcBef>
              <a:spcPct val="0"/>
            </a:spcBef>
            <a:spcAft>
              <a:spcPct val="35000"/>
            </a:spcAft>
            <a:buNone/>
          </a:pPr>
          <a:r>
            <a:rPr lang="en-US" sz="500" kern="1200"/>
            <a:t>Access hierarchy</a:t>
          </a:r>
        </a:p>
        <a:p>
          <a:pPr marL="57150" lvl="1" indent="-57150" algn="l" defTabSz="177800">
            <a:lnSpc>
              <a:spcPct val="90000"/>
            </a:lnSpc>
            <a:spcBef>
              <a:spcPct val="0"/>
            </a:spcBef>
            <a:spcAft>
              <a:spcPct val="15000"/>
            </a:spcAft>
            <a:buChar char="•"/>
          </a:pPr>
          <a:r>
            <a:rPr lang="en-US" sz="400" kern="1200"/>
            <a:t>Clarify plans for patients</a:t>
          </a:r>
        </a:p>
        <a:p>
          <a:pPr marL="57150" lvl="1" indent="-57150" algn="l" defTabSz="177800">
            <a:lnSpc>
              <a:spcPct val="90000"/>
            </a:lnSpc>
            <a:spcBef>
              <a:spcPct val="0"/>
            </a:spcBef>
            <a:spcAft>
              <a:spcPct val="15000"/>
            </a:spcAft>
            <a:buChar char="•"/>
          </a:pPr>
          <a:r>
            <a:rPr lang="en-US" sz="400" kern="1200"/>
            <a:t>Understand decisions</a:t>
          </a:r>
        </a:p>
        <a:p>
          <a:pPr marL="57150" lvl="1" indent="-57150" algn="l" defTabSz="177800">
            <a:lnSpc>
              <a:spcPct val="90000"/>
            </a:lnSpc>
            <a:spcBef>
              <a:spcPct val="0"/>
            </a:spcBef>
            <a:spcAft>
              <a:spcPct val="15000"/>
            </a:spcAft>
            <a:buChar char="•"/>
          </a:pPr>
          <a:r>
            <a:rPr lang="en-US" sz="400" kern="1200"/>
            <a:t>Speak up - patient advocate</a:t>
          </a:r>
        </a:p>
        <a:p>
          <a:pPr marL="57150" lvl="1" indent="-57150" algn="l" defTabSz="177800">
            <a:lnSpc>
              <a:spcPct val="90000"/>
            </a:lnSpc>
            <a:spcBef>
              <a:spcPct val="0"/>
            </a:spcBef>
            <a:spcAft>
              <a:spcPct val="15000"/>
            </a:spcAft>
            <a:buChar char="•"/>
          </a:pPr>
          <a:r>
            <a:rPr lang="en-US" sz="400" kern="1200"/>
            <a:t>Practice challenging hierarchy</a:t>
          </a:r>
        </a:p>
      </dsp:txBody>
      <dsp:txXfrm>
        <a:off x="29436" y="1321517"/>
        <a:ext cx="858077" cy="544134"/>
      </dsp:txXfrm>
    </dsp:sp>
  </dsp:spTree>
</dsp:drawing>
</file>

<file path=word/diagrams/drawing4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3F746D-E16A-714F-9CF9-CD6C370912B9}">
      <dsp:nvSpPr>
        <dsp:cNvPr id="0" name=""/>
        <dsp:cNvSpPr/>
      </dsp:nvSpPr>
      <dsp:spPr>
        <a:xfrm>
          <a:off x="2180616" y="2254671"/>
          <a:ext cx="1511246" cy="1511246"/>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t>Planning undergraduate SBME: Stage 1-4</a:t>
          </a:r>
        </a:p>
      </dsp:txBody>
      <dsp:txXfrm>
        <a:off x="2401933" y="2475988"/>
        <a:ext cx="1068612" cy="1068612"/>
      </dsp:txXfrm>
    </dsp:sp>
    <dsp:sp modelId="{9942F508-F480-564A-BF5F-ED74287A24A9}">
      <dsp:nvSpPr>
        <dsp:cNvPr id="0" name=""/>
        <dsp:cNvSpPr/>
      </dsp:nvSpPr>
      <dsp:spPr>
        <a:xfrm rot="10800000">
          <a:off x="718291" y="2794941"/>
          <a:ext cx="1381897" cy="430705"/>
        </a:xfrm>
        <a:prstGeom prst="leftArrow">
          <a:avLst>
            <a:gd name="adj1" fmla="val 60000"/>
            <a:gd name="adj2" fmla="val 50000"/>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20DEF94C-6877-E340-A43E-1338382740CB}">
      <dsp:nvSpPr>
        <dsp:cNvPr id="0" name=""/>
        <dsp:cNvSpPr/>
      </dsp:nvSpPr>
      <dsp:spPr>
        <a:xfrm>
          <a:off x="449" y="2436021"/>
          <a:ext cx="1435683" cy="1148546"/>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ctr" defTabSz="311150">
            <a:lnSpc>
              <a:spcPct val="90000"/>
            </a:lnSpc>
            <a:spcBef>
              <a:spcPct val="0"/>
            </a:spcBef>
            <a:spcAft>
              <a:spcPct val="35000"/>
            </a:spcAft>
            <a:buNone/>
          </a:pPr>
          <a:r>
            <a:rPr lang="en-US" sz="700" kern="1200"/>
            <a:t>When</a:t>
          </a:r>
        </a:p>
        <a:p>
          <a:pPr marL="57150" lvl="1" indent="-57150" algn="l" defTabSz="222250">
            <a:lnSpc>
              <a:spcPct val="90000"/>
            </a:lnSpc>
            <a:spcBef>
              <a:spcPct val="0"/>
            </a:spcBef>
            <a:spcAft>
              <a:spcPct val="15000"/>
            </a:spcAft>
            <a:buChar char="•"/>
          </a:pPr>
          <a:r>
            <a:rPr lang="en-US" sz="500" kern="1200"/>
            <a:t>Early as possible Year 1 introduction</a:t>
          </a:r>
        </a:p>
        <a:p>
          <a:pPr marL="57150" lvl="1" indent="-57150" algn="l" defTabSz="222250">
            <a:lnSpc>
              <a:spcPct val="90000"/>
            </a:lnSpc>
            <a:spcBef>
              <a:spcPct val="0"/>
            </a:spcBef>
            <a:spcAft>
              <a:spcPct val="15000"/>
            </a:spcAft>
            <a:buChar char="•"/>
          </a:pPr>
          <a:r>
            <a:rPr lang="en-US" sz="500" kern="1200"/>
            <a:t>Repeated - embed in curriculum</a:t>
          </a:r>
        </a:p>
        <a:p>
          <a:pPr marL="57150" lvl="1" indent="-57150" algn="l" defTabSz="222250">
            <a:lnSpc>
              <a:spcPct val="90000"/>
            </a:lnSpc>
            <a:spcBef>
              <a:spcPct val="0"/>
            </a:spcBef>
            <a:spcAft>
              <a:spcPct val="15000"/>
            </a:spcAft>
            <a:buChar char="•"/>
          </a:pPr>
          <a:r>
            <a:rPr lang="en-US" sz="500" kern="1200"/>
            <a:t>Low dose, high frequency</a:t>
          </a:r>
        </a:p>
        <a:p>
          <a:pPr marL="57150" lvl="1" indent="-57150" algn="l" defTabSz="222250">
            <a:lnSpc>
              <a:spcPct val="90000"/>
            </a:lnSpc>
            <a:spcBef>
              <a:spcPct val="0"/>
            </a:spcBef>
            <a:spcAft>
              <a:spcPct val="15000"/>
            </a:spcAft>
            <a:buChar char="•"/>
          </a:pPr>
          <a:r>
            <a:rPr lang="en-US" sz="500" kern="1200"/>
            <a:t>Day 1 medical school - post grad - consultant/completion of training - revalidation?</a:t>
          </a:r>
        </a:p>
        <a:p>
          <a:pPr marL="57150" lvl="1" indent="-57150" algn="l" defTabSz="222250">
            <a:lnSpc>
              <a:spcPct val="90000"/>
            </a:lnSpc>
            <a:spcBef>
              <a:spcPct val="0"/>
            </a:spcBef>
            <a:spcAft>
              <a:spcPct val="15000"/>
            </a:spcAft>
            <a:buChar char="•"/>
          </a:pPr>
          <a:r>
            <a:rPr lang="en-US" sz="500" kern="1200"/>
            <a:t>Maximum half day session</a:t>
          </a:r>
        </a:p>
      </dsp:txBody>
      <dsp:txXfrm>
        <a:off x="34089" y="2469661"/>
        <a:ext cx="1368403" cy="1081266"/>
      </dsp:txXfrm>
    </dsp:sp>
    <dsp:sp modelId="{DCBAB663-09AC-5E4F-AC1A-21BFB3889FA0}">
      <dsp:nvSpPr>
        <dsp:cNvPr id="0" name=""/>
        <dsp:cNvSpPr/>
      </dsp:nvSpPr>
      <dsp:spPr>
        <a:xfrm rot="13500000">
          <a:off x="1165539" y="1715190"/>
          <a:ext cx="1381897" cy="430705"/>
        </a:xfrm>
        <a:prstGeom prst="lef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0E701454-6461-AF47-9CB5-D7018913FF19}">
      <dsp:nvSpPr>
        <dsp:cNvPr id="0" name=""/>
        <dsp:cNvSpPr/>
      </dsp:nvSpPr>
      <dsp:spPr>
        <a:xfrm>
          <a:off x="650071" y="867694"/>
          <a:ext cx="1435683" cy="1148546"/>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ctr" defTabSz="311150">
            <a:lnSpc>
              <a:spcPct val="90000"/>
            </a:lnSpc>
            <a:spcBef>
              <a:spcPct val="0"/>
            </a:spcBef>
            <a:spcAft>
              <a:spcPct val="35000"/>
            </a:spcAft>
            <a:buNone/>
          </a:pPr>
          <a:r>
            <a:rPr lang="en-US" sz="700" kern="1200"/>
            <a:t>Where</a:t>
          </a:r>
        </a:p>
        <a:p>
          <a:pPr marL="57150" lvl="1" indent="-57150" algn="l" defTabSz="222250">
            <a:lnSpc>
              <a:spcPct val="90000"/>
            </a:lnSpc>
            <a:spcBef>
              <a:spcPct val="0"/>
            </a:spcBef>
            <a:spcAft>
              <a:spcPct val="15000"/>
            </a:spcAft>
            <a:buChar char="•"/>
          </a:pPr>
          <a:r>
            <a:rPr lang="en-US" sz="500" kern="1200"/>
            <a:t>In education centre - complexity of getting staff from wards</a:t>
          </a:r>
        </a:p>
        <a:p>
          <a:pPr marL="57150" lvl="1" indent="-57150" algn="l" defTabSz="222250">
            <a:lnSpc>
              <a:spcPct val="90000"/>
            </a:lnSpc>
            <a:spcBef>
              <a:spcPct val="0"/>
            </a:spcBef>
            <a:spcAft>
              <a:spcPct val="15000"/>
            </a:spcAft>
            <a:buChar char="•"/>
          </a:pPr>
          <a:r>
            <a:rPr lang="en-US" sz="500" kern="1200"/>
            <a:t>In situ - complexiity of busy ward space</a:t>
          </a:r>
        </a:p>
        <a:p>
          <a:pPr marL="57150" lvl="1" indent="-57150" algn="l" defTabSz="222250">
            <a:lnSpc>
              <a:spcPct val="90000"/>
            </a:lnSpc>
            <a:spcBef>
              <a:spcPct val="0"/>
            </a:spcBef>
            <a:spcAft>
              <a:spcPct val="15000"/>
            </a:spcAft>
            <a:buChar char="•"/>
          </a:pPr>
          <a:r>
            <a:rPr lang="en-US" sz="500" kern="1200"/>
            <a:t>In simulation centre</a:t>
          </a:r>
        </a:p>
        <a:p>
          <a:pPr marL="57150" lvl="1" indent="-57150" algn="l" defTabSz="222250">
            <a:lnSpc>
              <a:spcPct val="90000"/>
            </a:lnSpc>
            <a:spcBef>
              <a:spcPct val="0"/>
            </a:spcBef>
            <a:spcAft>
              <a:spcPct val="15000"/>
            </a:spcAft>
            <a:buChar char="•"/>
          </a:pPr>
          <a:r>
            <a:rPr lang="en-US" sz="500" kern="1200"/>
            <a:t>Fidelity - psychological, equipment, staff, environment</a:t>
          </a:r>
        </a:p>
      </dsp:txBody>
      <dsp:txXfrm>
        <a:off x="683711" y="901334"/>
        <a:ext cx="1368403" cy="1081266"/>
      </dsp:txXfrm>
    </dsp:sp>
    <dsp:sp modelId="{99B9245F-2A74-E24C-89CC-7FDEC636B91A}">
      <dsp:nvSpPr>
        <dsp:cNvPr id="0" name=""/>
        <dsp:cNvSpPr/>
      </dsp:nvSpPr>
      <dsp:spPr>
        <a:xfrm rot="16200000">
          <a:off x="2245291" y="1267942"/>
          <a:ext cx="1381897" cy="430705"/>
        </a:xfrm>
        <a:prstGeom prst="lef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4A13EA04-608E-934F-9712-A9610578CB58}">
      <dsp:nvSpPr>
        <dsp:cNvPr id="0" name=""/>
        <dsp:cNvSpPr/>
      </dsp:nvSpPr>
      <dsp:spPr>
        <a:xfrm>
          <a:off x="2218398" y="218072"/>
          <a:ext cx="1435683" cy="1148546"/>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ctr" defTabSz="311150">
            <a:lnSpc>
              <a:spcPct val="90000"/>
            </a:lnSpc>
            <a:spcBef>
              <a:spcPct val="0"/>
            </a:spcBef>
            <a:spcAft>
              <a:spcPct val="35000"/>
            </a:spcAft>
            <a:buNone/>
          </a:pPr>
          <a:r>
            <a:rPr lang="en-US" sz="700" kern="1200"/>
            <a:t>Who</a:t>
          </a:r>
        </a:p>
        <a:p>
          <a:pPr marL="57150" lvl="1" indent="-57150" algn="l" defTabSz="222250">
            <a:lnSpc>
              <a:spcPct val="90000"/>
            </a:lnSpc>
            <a:spcBef>
              <a:spcPct val="0"/>
            </a:spcBef>
            <a:spcAft>
              <a:spcPct val="15000"/>
            </a:spcAft>
            <a:buChar char="•"/>
          </a:pPr>
          <a:r>
            <a:rPr lang="en-US" sz="500" kern="1200"/>
            <a:t>Consider learning preferences</a:t>
          </a:r>
        </a:p>
        <a:p>
          <a:pPr marL="57150" lvl="1" indent="-57150" algn="l" defTabSz="222250">
            <a:lnSpc>
              <a:spcPct val="90000"/>
            </a:lnSpc>
            <a:spcBef>
              <a:spcPct val="0"/>
            </a:spcBef>
            <a:spcAft>
              <a:spcPct val="15000"/>
            </a:spcAft>
            <a:buChar char="•"/>
          </a:pPr>
          <a:r>
            <a:rPr lang="en-US" sz="500" kern="1200"/>
            <a:t>All undergraduates</a:t>
          </a:r>
        </a:p>
        <a:p>
          <a:pPr marL="57150" lvl="1" indent="-57150" algn="l" defTabSz="222250">
            <a:lnSpc>
              <a:spcPct val="90000"/>
            </a:lnSpc>
            <a:spcBef>
              <a:spcPct val="0"/>
            </a:spcBef>
            <a:spcAft>
              <a:spcPct val="15000"/>
            </a:spcAft>
            <a:buChar char="•"/>
          </a:pPr>
          <a:r>
            <a:rPr lang="en-US" sz="500" kern="1200"/>
            <a:t>Inter professionally</a:t>
          </a:r>
        </a:p>
        <a:p>
          <a:pPr marL="57150" lvl="1" indent="-57150" algn="l" defTabSz="222250">
            <a:lnSpc>
              <a:spcPct val="90000"/>
            </a:lnSpc>
            <a:spcBef>
              <a:spcPct val="0"/>
            </a:spcBef>
            <a:spcAft>
              <a:spcPct val="15000"/>
            </a:spcAft>
            <a:buChar char="•"/>
          </a:pPr>
          <a:r>
            <a:rPr lang="en-US" sz="500" kern="1200"/>
            <a:t>Year 1/2 can be in pairs</a:t>
          </a:r>
        </a:p>
        <a:p>
          <a:pPr marL="57150" lvl="1" indent="-57150" algn="l" defTabSz="222250">
            <a:lnSpc>
              <a:spcPct val="90000"/>
            </a:lnSpc>
            <a:spcBef>
              <a:spcPct val="0"/>
            </a:spcBef>
            <a:spcAft>
              <a:spcPct val="15000"/>
            </a:spcAft>
            <a:buChar char="•"/>
          </a:pPr>
          <a:r>
            <a:rPr lang="en-US" sz="500" kern="1200"/>
            <a:t>Year 3-5 1:1 with sim patient and team</a:t>
          </a:r>
        </a:p>
        <a:p>
          <a:pPr marL="57150" lvl="1" indent="-57150" algn="l" defTabSz="222250">
            <a:lnSpc>
              <a:spcPct val="90000"/>
            </a:lnSpc>
            <a:spcBef>
              <a:spcPct val="0"/>
            </a:spcBef>
            <a:spcAft>
              <a:spcPct val="15000"/>
            </a:spcAft>
            <a:buChar char="•"/>
          </a:pPr>
          <a:r>
            <a:rPr lang="en-US" sz="500" kern="1200"/>
            <a:t>Meaningful interprofessional learning with authentic roles</a:t>
          </a:r>
        </a:p>
        <a:p>
          <a:pPr marL="57150" lvl="1" indent="-57150" algn="l" defTabSz="222250">
            <a:lnSpc>
              <a:spcPct val="90000"/>
            </a:lnSpc>
            <a:spcBef>
              <a:spcPct val="0"/>
            </a:spcBef>
            <a:spcAft>
              <a:spcPct val="15000"/>
            </a:spcAft>
            <a:buChar char="•"/>
          </a:pPr>
          <a:r>
            <a:rPr lang="en-US" sz="500" kern="1200"/>
            <a:t>Peer learning</a:t>
          </a:r>
        </a:p>
      </dsp:txBody>
      <dsp:txXfrm>
        <a:off x="2252038" y="251712"/>
        <a:ext cx="1368403" cy="1081266"/>
      </dsp:txXfrm>
    </dsp:sp>
    <dsp:sp modelId="{7D347258-1EE8-774F-BE28-09A4221CFF80}">
      <dsp:nvSpPr>
        <dsp:cNvPr id="0" name=""/>
        <dsp:cNvSpPr/>
      </dsp:nvSpPr>
      <dsp:spPr>
        <a:xfrm rot="18900000">
          <a:off x="3325043" y="1715190"/>
          <a:ext cx="1381897" cy="430705"/>
        </a:xfrm>
        <a:prstGeom prst="leftArrow">
          <a:avLst>
            <a:gd name="adj1" fmla="val 60000"/>
            <a:gd name="adj2" fmla="val 50000"/>
          </a:avLst>
        </a:prstGeom>
        <a:solidFill>
          <a:schemeClr val="accent5">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09233FBB-DA27-8044-8C0A-979ADC2BB943}">
      <dsp:nvSpPr>
        <dsp:cNvPr id="0" name=""/>
        <dsp:cNvSpPr/>
      </dsp:nvSpPr>
      <dsp:spPr>
        <a:xfrm>
          <a:off x="3786724" y="867694"/>
          <a:ext cx="1435683" cy="1148546"/>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ctr" defTabSz="311150">
            <a:lnSpc>
              <a:spcPct val="90000"/>
            </a:lnSpc>
            <a:spcBef>
              <a:spcPct val="0"/>
            </a:spcBef>
            <a:spcAft>
              <a:spcPct val="35000"/>
            </a:spcAft>
            <a:buNone/>
          </a:pPr>
          <a:r>
            <a:rPr lang="en-US" sz="700" kern="1200"/>
            <a:t>Methodology and Modality</a:t>
          </a:r>
        </a:p>
        <a:p>
          <a:pPr marL="57150" lvl="1" indent="-57150" algn="l" defTabSz="222250">
            <a:lnSpc>
              <a:spcPct val="90000"/>
            </a:lnSpc>
            <a:spcBef>
              <a:spcPct val="0"/>
            </a:spcBef>
            <a:spcAft>
              <a:spcPct val="15000"/>
            </a:spcAft>
            <a:buChar char="•"/>
          </a:pPr>
          <a:r>
            <a:rPr lang="en-US" sz="500" kern="1200"/>
            <a:t>Learning needs analysis</a:t>
          </a:r>
        </a:p>
        <a:p>
          <a:pPr marL="57150" lvl="1" indent="-57150" algn="l" defTabSz="222250">
            <a:lnSpc>
              <a:spcPct val="90000"/>
            </a:lnSpc>
            <a:spcBef>
              <a:spcPct val="0"/>
            </a:spcBef>
            <a:spcAft>
              <a:spcPct val="15000"/>
            </a:spcAft>
            <a:buChar char="•"/>
          </a:pPr>
          <a:r>
            <a:rPr lang="en-US" sz="500" kern="1200"/>
            <a:t>Curriculum mapped</a:t>
          </a:r>
        </a:p>
        <a:p>
          <a:pPr marL="57150" lvl="1" indent="-57150" algn="l" defTabSz="222250">
            <a:lnSpc>
              <a:spcPct val="90000"/>
            </a:lnSpc>
            <a:spcBef>
              <a:spcPct val="0"/>
            </a:spcBef>
            <a:spcAft>
              <a:spcPct val="15000"/>
            </a:spcAft>
            <a:buChar char="•"/>
          </a:pPr>
          <a:r>
            <a:rPr lang="en-US" sz="500" kern="1200"/>
            <a:t>Translational into practice</a:t>
          </a:r>
        </a:p>
        <a:p>
          <a:pPr marL="57150" lvl="1" indent="-57150" algn="l" defTabSz="222250">
            <a:lnSpc>
              <a:spcPct val="90000"/>
            </a:lnSpc>
            <a:spcBef>
              <a:spcPct val="0"/>
            </a:spcBef>
            <a:spcAft>
              <a:spcPct val="15000"/>
            </a:spcAft>
            <a:buChar char="•"/>
          </a:pPr>
          <a:r>
            <a:rPr lang="en-US" sz="500" kern="1200"/>
            <a:t>Experiential</a:t>
          </a:r>
        </a:p>
        <a:p>
          <a:pPr marL="57150" lvl="1" indent="-57150" algn="l" defTabSz="222250">
            <a:lnSpc>
              <a:spcPct val="90000"/>
            </a:lnSpc>
            <a:spcBef>
              <a:spcPct val="0"/>
            </a:spcBef>
            <a:spcAft>
              <a:spcPct val="15000"/>
            </a:spcAft>
            <a:buChar char="•"/>
          </a:pPr>
          <a:r>
            <a:rPr lang="en-US" sz="500" kern="1200"/>
            <a:t>Equipment &amp; fidelity</a:t>
          </a:r>
        </a:p>
        <a:p>
          <a:pPr marL="57150" lvl="1" indent="-57150" algn="l" defTabSz="222250">
            <a:lnSpc>
              <a:spcPct val="90000"/>
            </a:lnSpc>
            <a:spcBef>
              <a:spcPct val="0"/>
            </a:spcBef>
            <a:spcAft>
              <a:spcPct val="15000"/>
            </a:spcAft>
            <a:buChar char="•"/>
          </a:pPr>
          <a:r>
            <a:rPr lang="en-US" sz="500" kern="1200"/>
            <a:t>Build in practise under pressure</a:t>
          </a:r>
        </a:p>
        <a:p>
          <a:pPr marL="57150" lvl="1" indent="-57150" algn="l" defTabSz="222250">
            <a:lnSpc>
              <a:spcPct val="90000"/>
            </a:lnSpc>
            <a:spcBef>
              <a:spcPct val="0"/>
            </a:spcBef>
            <a:spcAft>
              <a:spcPct val="15000"/>
            </a:spcAft>
            <a:buChar char="•"/>
          </a:pPr>
          <a:r>
            <a:rPr lang="en-US" sz="500" kern="1200"/>
            <a:t>Fidelity &amp; authenticity</a:t>
          </a:r>
        </a:p>
        <a:p>
          <a:pPr marL="57150" lvl="1" indent="-57150" algn="l" defTabSz="222250">
            <a:lnSpc>
              <a:spcPct val="90000"/>
            </a:lnSpc>
            <a:spcBef>
              <a:spcPct val="0"/>
            </a:spcBef>
            <a:spcAft>
              <a:spcPct val="15000"/>
            </a:spcAft>
            <a:buChar char="•"/>
          </a:pPr>
          <a:r>
            <a:rPr lang="en-US" sz="500" kern="1200"/>
            <a:t>Allow interfaces between people, equipment &amp; environment</a:t>
          </a:r>
        </a:p>
      </dsp:txBody>
      <dsp:txXfrm>
        <a:off x="3820364" y="901334"/>
        <a:ext cx="1368403" cy="1081266"/>
      </dsp:txXfrm>
    </dsp:sp>
    <dsp:sp modelId="{87D04FC3-8E06-7A43-8E3C-250E701140ED}">
      <dsp:nvSpPr>
        <dsp:cNvPr id="0" name=""/>
        <dsp:cNvSpPr/>
      </dsp:nvSpPr>
      <dsp:spPr>
        <a:xfrm>
          <a:off x="3772290" y="2794941"/>
          <a:ext cx="1381897" cy="430705"/>
        </a:xfrm>
        <a:prstGeom prst="leftArrow">
          <a:avLst>
            <a:gd name="adj1" fmla="val 60000"/>
            <a:gd name="adj2" fmla="val 50000"/>
          </a:avLst>
        </a:prstGeom>
        <a:solidFill>
          <a:schemeClr val="accent6">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820C9974-0E30-534E-A073-4729EA494146}">
      <dsp:nvSpPr>
        <dsp:cNvPr id="0" name=""/>
        <dsp:cNvSpPr/>
      </dsp:nvSpPr>
      <dsp:spPr>
        <a:xfrm>
          <a:off x="4436346" y="2436021"/>
          <a:ext cx="1435683" cy="1148546"/>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3335" tIns="13335" rIns="13335" bIns="13335" numCol="1" spcCol="1270" anchor="t" anchorCtr="0">
          <a:noAutofit/>
        </a:bodyPr>
        <a:lstStyle/>
        <a:p>
          <a:pPr marL="0" lvl="0" indent="0" algn="ctr" defTabSz="311150">
            <a:lnSpc>
              <a:spcPct val="90000"/>
            </a:lnSpc>
            <a:spcBef>
              <a:spcPct val="0"/>
            </a:spcBef>
            <a:spcAft>
              <a:spcPct val="35000"/>
            </a:spcAft>
            <a:buNone/>
          </a:pPr>
          <a:r>
            <a:rPr lang="en-US" sz="700" kern="1200"/>
            <a:t>Time</a:t>
          </a:r>
        </a:p>
        <a:p>
          <a:pPr marL="57150" lvl="1" indent="-57150" algn="l" defTabSz="222250">
            <a:lnSpc>
              <a:spcPct val="90000"/>
            </a:lnSpc>
            <a:spcBef>
              <a:spcPct val="0"/>
            </a:spcBef>
            <a:spcAft>
              <a:spcPct val="15000"/>
            </a:spcAft>
            <a:buChar char="•"/>
          </a:pPr>
          <a:r>
            <a:rPr lang="en-US" sz="500" kern="1200"/>
            <a:t>Half day maximum for single session</a:t>
          </a:r>
        </a:p>
        <a:p>
          <a:pPr marL="57150" lvl="1" indent="-57150" algn="l" defTabSz="222250">
            <a:lnSpc>
              <a:spcPct val="90000"/>
            </a:lnSpc>
            <a:spcBef>
              <a:spcPct val="0"/>
            </a:spcBef>
            <a:spcAft>
              <a:spcPct val="15000"/>
            </a:spcAft>
            <a:buChar char="•"/>
          </a:pPr>
          <a:r>
            <a:rPr lang="en-US" sz="500" kern="1200"/>
            <a:t>Total time allowed for whole session</a:t>
          </a:r>
        </a:p>
        <a:p>
          <a:pPr marL="57150" lvl="1" indent="-57150" algn="l" defTabSz="222250">
            <a:lnSpc>
              <a:spcPct val="90000"/>
            </a:lnSpc>
            <a:spcBef>
              <a:spcPct val="0"/>
            </a:spcBef>
            <a:spcAft>
              <a:spcPct val="15000"/>
            </a:spcAft>
            <a:buChar char="•"/>
          </a:pPr>
          <a:r>
            <a:rPr lang="en-US" sz="500" kern="1200"/>
            <a:t>Time for environment and simulated patient familiairisation - at least 10 minutes</a:t>
          </a:r>
        </a:p>
        <a:p>
          <a:pPr marL="57150" lvl="1" indent="-57150" algn="l" defTabSz="222250">
            <a:lnSpc>
              <a:spcPct val="90000"/>
            </a:lnSpc>
            <a:spcBef>
              <a:spcPct val="0"/>
            </a:spcBef>
            <a:spcAft>
              <a:spcPct val="15000"/>
            </a:spcAft>
            <a:buChar char="•"/>
          </a:pPr>
          <a:r>
            <a:rPr lang="en-US" sz="500" kern="1200"/>
            <a:t>Time for scenario equal to debrief time</a:t>
          </a:r>
        </a:p>
        <a:p>
          <a:pPr marL="57150" lvl="1" indent="-57150" algn="l" defTabSz="222250">
            <a:lnSpc>
              <a:spcPct val="90000"/>
            </a:lnSpc>
            <a:spcBef>
              <a:spcPct val="0"/>
            </a:spcBef>
            <a:spcAft>
              <a:spcPct val="15000"/>
            </a:spcAft>
            <a:buChar char="•"/>
          </a:pPr>
          <a:r>
            <a:rPr lang="en-US" sz="500" kern="1200"/>
            <a:t>Time for debrief - equal to scenario time</a:t>
          </a:r>
        </a:p>
        <a:p>
          <a:pPr marL="57150" lvl="1" indent="-57150" algn="l" defTabSz="222250">
            <a:lnSpc>
              <a:spcPct val="90000"/>
            </a:lnSpc>
            <a:spcBef>
              <a:spcPct val="0"/>
            </a:spcBef>
            <a:spcAft>
              <a:spcPct val="15000"/>
            </a:spcAft>
            <a:buChar char="•"/>
          </a:pPr>
          <a:r>
            <a:rPr lang="en-US" sz="500" kern="1200"/>
            <a:t>Time to think / reflect- build in to debrief</a:t>
          </a:r>
        </a:p>
        <a:p>
          <a:pPr marL="57150" lvl="1" indent="-57150" algn="l" defTabSz="222250">
            <a:lnSpc>
              <a:spcPct val="90000"/>
            </a:lnSpc>
            <a:spcBef>
              <a:spcPct val="0"/>
            </a:spcBef>
            <a:spcAft>
              <a:spcPct val="15000"/>
            </a:spcAft>
            <a:buChar char="•"/>
          </a:pPr>
          <a:r>
            <a:rPr lang="en-US" sz="500" kern="1200"/>
            <a:t>Time to consolidate learning points</a:t>
          </a:r>
        </a:p>
      </dsp:txBody>
      <dsp:txXfrm>
        <a:off x="4469986" y="2469661"/>
        <a:ext cx="1368403" cy="1081266"/>
      </dsp:txXfrm>
    </dsp:sp>
  </dsp:spTree>
</dsp:drawing>
</file>

<file path=word/diagrams/drawing4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BCEBB7-4F41-774E-A212-5AF6AFA65389}">
      <dsp:nvSpPr>
        <dsp:cNvPr id="0" name=""/>
        <dsp:cNvSpPr/>
      </dsp:nvSpPr>
      <dsp:spPr>
        <a:xfrm>
          <a:off x="2314269" y="2818733"/>
          <a:ext cx="901040" cy="901040"/>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Learning outcomes: Stage 5 SBME planning</a:t>
          </a:r>
        </a:p>
      </dsp:txBody>
      <dsp:txXfrm>
        <a:off x="2446223" y="2950687"/>
        <a:ext cx="637132" cy="637132"/>
      </dsp:txXfrm>
    </dsp:sp>
    <dsp:sp modelId="{B587B813-1C34-0F44-9E9F-4296EF6A5C1B}">
      <dsp:nvSpPr>
        <dsp:cNvPr id="0" name=""/>
        <dsp:cNvSpPr/>
      </dsp:nvSpPr>
      <dsp:spPr>
        <a:xfrm rot="10800000">
          <a:off x="317768" y="3140855"/>
          <a:ext cx="1886693" cy="256796"/>
        </a:xfrm>
        <a:prstGeom prst="leftArrow">
          <a:avLst>
            <a:gd name="adj1" fmla="val 60000"/>
            <a:gd name="adj2" fmla="val 50000"/>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A65A9632-90DA-6549-BF74-DE6FDECAC79B}">
      <dsp:nvSpPr>
        <dsp:cNvPr id="0" name=""/>
        <dsp:cNvSpPr/>
      </dsp:nvSpPr>
      <dsp:spPr>
        <a:xfrm>
          <a:off x="2404" y="3016961"/>
          <a:ext cx="630728" cy="504582"/>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Curriculum mapped, contextualised, specific</a:t>
          </a:r>
        </a:p>
      </dsp:txBody>
      <dsp:txXfrm>
        <a:off x="17183" y="3031740"/>
        <a:ext cx="601170" cy="475024"/>
      </dsp:txXfrm>
    </dsp:sp>
    <dsp:sp modelId="{91DEDA54-2B0F-5747-955B-8C2DDCAF0A0D}">
      <dsp:nvSpPr>
        <dsp:cNvPr id="0" name=""/>
        <dsp:cNvSpPr/>
      </dsp:nvSpPr>
      <dsp:spPr>
        <a:xfrm rot="12000000">
          <a:off x="408451" y="2626568"/>
          <a:ext cx="1886693" cy="256796"/>
        </a:xfrm>
        <a:prstGeom prst="lef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8BA8AC30-9E85-7E41-A79C-2CAE85E3BFD5}">
      <dsp:nvSpPr>
        <dsp:cNvPr id="0" name=""/>
        <dsp:cNvSpPr/>
      </dsp:nvSpPr>
      <dsp:spPr>
        <a:xfrm>
          <a:off x="149977" y="2180031"/>
          <a:ext cx="630728" cy="504582"/>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GMC HEE drivers </a:t>
          </a:r>
        </a:p>
      </dsp:txBody>
      <dsp:txXfrm>
        <a:off x="164756" y="2194810"/>
        <a:ext cx="601170" cy="475024"/>
      </dsp:txXfrm>
    </dsp:sp>
    <dsp:sp modelId="{5ED8E46A-6ADF-6443-9933-A3FF83673314}">
      <dsp:nvSpPr>
        <dsp:cNvPr id="0" name=""/>
        <dsp:cNvSpPr/>
      </dsp:nvSpPr>
      <dsp:spPr>
        <a:xfrm rot="13200000">
          <a:off x="669561" y="2174311"/>
          <a:ext cx="1886693" cy="256796"/>
        </a:xfrm>
        <a:prstGeom prst="lef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26132BDF-DBAE-F340-95C7-52CF8B2AD30C}">
      <dsp:nvSpPr>
        <dsp:cNvPr id="0" name=""/>
        <dsp:cNvSpPr/>
      </dsp:nvSpPr>
      <dsp:spPr>
        <a:xfrm>
          <a:off x="574898" y="1444046"/>
          <a:ext cx="630728" cy="504582"/>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Linked to learning needs analysis</a:t>
          </a:r>
        </a:p>
      </dsp:txBody>
      <dsp:txXfrm>
        <a:off x="589677" y="1458825"/>
        <a:ext cx="601170" cy="475024"/>
      </dsp:txXfrm>
    </dsp:sp>
    <dsp:sp modelId="{3198B610-59B9-1C47-B855-72FDC6C8C6BA}">
      <dsp:nvSpPr>
        <dsp:cNvPr id="0" name=""/>
        <dsp:cNvSpPr/>
      </dsp:nvSpPr>
      <dsp:spPr>
        <a:xfrm rot="14400000">
          <a:off x="1069605" y="1838634"/>
          <a:ext cx="1886693" cy="256796"/>
        </a:xfrm>
        <a:prstGeom prst="leftArrow">
          <a:avLst>
            <a:gd name="adj1" fmla="val 60000"/>
            <a:gd name="adj2" fmla="val 50000"/>
          </a:avLst>
        </a:prstGeom>
        <a:solidFill>
          <a:schemeClr val="accent5">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CC606959-1C6D-C646-89DC-2EAEBC6750C4}">
      <dsp:nvSpPr>
        <dsp:cNvPr id="0" name=""/>
        <dsp:cNvSpPr/>
      </dsp:nvSpPr>
      <dsp:spPr>
        <a:xfrm>
          <a:off x="1225914" y="897779"/>
          <a:ext cx="630728" cy="504582"/>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Aim for 2-3 per sceanrio with maximum of 5</a:t>
          </a:r>
        </a:p>
      </dsp:txBody>
      <dsp:txXfrm>
        <a:off x="1240693" y="912558"/>
        <a:ext cx="601170" cy="475024"/>
      </dsp:txXfrm>
    </dsp:sp>
    <dsp:sp modelId="{9E0B421B-357C-2548-9977-43281CF3AA64}">
      <dsp:nvSpPr>
        <dsp:cNvPr id="0" name=""/>
        <dsp:cNvSpPr/>
      </dsp:nvSpPr>
      <dsp:spPr>
        <a:xfrm rot="15600000">
          <a:off x="1560332" y="1660024"/>
          <a:ext cx="1886693" cy="256796"/>
        </a:xfrm>
        <a:prstGeom prst="leftArrow">
          <a:avLst>
            <a:gd name="adj1" fmla="val 60000"/>
            <a:gd name="adj2" fmla="val 50000"/>
          </a:avLst>
        </a:prstGeom>
        <a:solidFill>
          <a:schemeClr val="accent6">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DC991003-A78B-BC46-BBC9-BBB37973659B}">
      <dsp:nvSpPr>
        <dsp:cNvPr id="0" name=""/>
        <dsp:cNvSpPr/>
      </dsp:nvSpPr>
      <dsp:spPr>
        <a:xfrm>
          <a:off x="2024504" y="607116"/>
          <a:ext cx="630728" cy="50458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Use to guide/ structure debrief</a:t>
          </a:r>
        </a:p>
      </dsp:txBody>
      <dsp:txXfrm>
        <a:off x="2039283" y="621895"/>
        <a:ext cx="601170" cy="475024"/>
      </dsp:txXfrm>
    </dsp:sp>
    <dsp:sp modelId="{077BF506-46B8-134C-B854-821A48CC1A32}">
      <dsp:nvSpPr>
        <dsp:cNvPr id="0" name=""/>
        <dsp:cNvSpPr/>
      </dsp:nvSpPr>
      <dsp:spPr>
        <a:xfrm rot="16800000">
          <a:off x="2082553" y="1660024"/>
          <a:ext cx="1886693" cy="256796"/>
        </a:xfrm>
        <a:prstGeom prst="leftArrow">
          <a:avLst>
            <a:gd name="adj1" fmla="val 60000"/>
            <a:gd name="adj2" fmla="val 50000"/>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09218315-5CCD-C045-9662-F688B9095BA3}">
      <dsp:nvSpPr>
        <dsp:cNvPr id="0" name=""/>
        <dsp:cNvSpPr/>
      </dsp:nvSpPr>
      <dsp:spPr>
        <a:xfrm>
          <a:off x="2874346" y="607116"/>
          <a:ext cx="630728" cy="504582"/>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Include technical and nontechnical skills</a:t>
          </a:r>
        </a:p>
      </dsp:txBody>
      <dsp:txXfrm>
        <a:off x="2889125" y="621895"/>
        <a:ext cx="601170" cy="475024"/>
      </dsp:txXfrm>
    </dsp:sp>
    <dsp:sp modelId="{C9544712-4CCE-5D4C-A380-1A23D3193F9A}">
      <dsp:nvSpPr>
        <dsp:cNvPr id="0" name=""/>
        <dsp:cNvSpPr/>
      </dsp:nvSpPr>
      <dsp:spPr>
        <a:xfrm rot="18000000">
          <a:off x="2573280" y="1838634"/>
          <a:ext cx="1886693" cy="256796"/>
        </a:xfrm>
        <a:prstGeom prst="leftArrow">
          <a:avLst>
            <a:gd name="adj1" fmla="val 60000"/>
            <a:gd name="adj2" fmla="val 50000"/>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2962FCD3-2EF4-F946-A21D-F8E388578BE3}">
      <dsp:nvSpPr>
        <dsp:cNvPr id="0" name=""/>
        <dsp:cNvSpPr/>
      </dsp:nvSpPr>
      <dsp:spPr>
        <a:xfrm>
          <a:off x="3672936" y="897779"/>
          <a:ext cx="630728" cy="504582"/>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Embed patient safety and human factors</a:t>
          </a:r>
        </a:p>
      </dsp:txBody>
      <dsp:txXfrm>
        <a:off x="3687715" y="912558"/>
        <a:ext cx="601170" cy="475024"/>
      </dsp:txXfrm>
    </dsp:sp>
    <dsp:sp modelId="{C673BD83-A0FD-B14B-97AA-2113F904BCAD}">
      <dsp:nvSpPr>
        <dsp:cNvPr id="0" name=""/>
        <dsp:cNvSpPr/>
      </dsp:nvSpPr>
      <dsp:spPr>
        <a:xfrm rot="19200000">
          <a:off x="2973324" y="2174311"/>
          <a:ext cx="1886693" cy="256796"/>
        </a:xfrm>
        <a:prstGeom prst="lef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09F1321B-4607-164B-ADBE-182575AB66A0}">
      <dsp:nvSpPr>
        <dsp:cNvPr id="0" name=""/>
        <dsp:cNvSpPr/>
      </dsp:nvSpPr>
      <dsp:spPr>
        <a:xfrm>
          <a:off x="4323952" y="1444046"/>
          <a:ext cx="630728" cy="504582"/>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Share Learning outcomes with students - negiotiate, align, agree</a:t>
          </a:r>
        </a:p>
      </dsp:txBody>
      <dsp:txXfrm>
        <a:off x="4338731" y="1458825"/>
        <a:ext cx="601170" cy="475024"/>
      </dsp:txXfrm>
    </dsp:sp>
    <dsp:sp modelId="{755C17A3-90DA-DE4F-9DBE-EFC26EFA1ADE}">
      <dsp:nvSpPr>
        <dsp:cNvPr id="0" name=""/>
        <dsp:cNvSpPr/>
      </dsp:nvSpPr>
      <dsp:spPr>
        <a:xfrm rot="20400000">
          <a:off x="3234435" y="2626568"/>
          <a:ext cx="1886693" cy="256796"/>
        </a:xfrm>
        <a:prstGeom prst="leftArrow">
          <a:avLst>
            <a:gd name="adj1" fmla="val 60000"/>
            <a:gd name="adj2" fmla="val 50000"/>
          </a:avLst>
        </a:prstGeom>
        <a:solidFill>
          <a:schemeClr val="accent5">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829DCD47-7E73-A34F-B810-A89992712D69}">
      <dsp:nvSpPr>
        <dsp:cNvPr id="0" name=""/>
        <dsp:cNvSpPr/>
      </dsp:nvSpPr>
      <dsp:spPr>
        <a:xfrm>
          <a:off x="4748873" y="2180031"/>
          <a:ext cx="630728" cy="504582"/>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Transparent and clear</a:t>
          </a:r>
        </a:p>
      </dsp:txBody>
      <dsp:txXfrm>
        <a:off x="4763652" y="2194810"/>
        <a:ext cx="601170" cy="475024"/>
      </dsp:txXfrm>
    </dsp:sp>
    <dsp:sp modelId="{B14F6BEF-6CEF-584D-A7D4-1CFAE3232430}">
      <dsp:nvSpPr>
        <dsp:cNvPr id="0" name=""/>
        <dsp:cNvSpPr/>
      </dsp:nvSpPr>
      <dsp:spPr>
        <a:xfrm>
          <a:off x="3325117" y="3140855"/>
          <a:ext cx="1886693" cy="256796"/>
        </a:xfrm>
        <a:prstGeom prst="leftArrow">
          <a:avLst>
            <a:gd name="adj1" fmla="val 60000"/>
            <a:gd name="adj2" fmla="val 50000"/>
          </a:avLst>
        </a:prstGeom>
        <a:solidFill>
          <a:schemeClr val="accent6">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395AC59D-0F97-AD48-B1D9-C432EE89CF03}">
      <dsp:nvSpPr>
        <dsp:cNvPr id="0" name=""/>
        <dsp:cNvSpPr/>
      </dsp:nvSpPr>
      <dsp:spPr>
        <a:xfrm>
          <a:off x="4896447" y="3016961"/>
          <a:ext cx="630728" cy="504582"/>
        </a:xfrm>
        <a:prstGeom prst="roundRect">
          <a:avLst>
            <a:gd name="adj" fmla="val 10000"/>
          </a:avLst>
        </a:prstGeom>
        <a:solidFill>
          <a:schemeClr val="accent6">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a:t>Honest and realistic about what can and can't achieve</a:t>
          </a:r>
        </a:p>
      </dsp:txBody>
      <dsp:txXfrm>
        <a:off x="4911226" y="3031740"/>
        <a:ext cx="601170" cy="475024"/>
      </dsp:txXfrm>
    </dsp:sp>
  </dsp:spTree>
</dsp:drawing>
</file>

<file path=word/diagrams/drawing4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77F7B63-1F59-5F44-8A47-A59B0DBDEB78}">
      <dsp:nvSpPr>
        <dsp:cNvPr id="0" name=""/>
        <dsp:cNvSpPr/>
      </dsp:nvSpPr>
      <dsp:spPr>
        <a:xfrm>
          <a:off x="2669766" y="3505415"/>
          <a:ext cx="860066" cy="86006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Scenario design for undergraduate SBME: Stage 6-8</a:t>
          </a:r>
        </a:p>
      </dsp:txBody>
      <dsp:txXfrm>
        <a:off x="2795720" y="3631369"/>
        <a:ext cx="608158" cy="608158"/>
      </dsp:txXfrm>
    </dsp:sp>
    <dsp:sp modelId="{6010C358-9F07-3344-9035-4F3B114F0E8D}">
      <dsp:nvSpPr>
        <dsp:cNvPr id="0" name=""/>
        <dsp:cNvSpPr/>
      </dsp:nvSpPr>
      <dsp:spPr>
        <a:xfrm rot="10800000">
          <a:off x="959198" y="3812889"/>
          <a:ext cx="1616486" cy="245119"/>
        </a:xfrm>
        <a:prstGeom prst="lef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B1AE890-B97C-DD43-8F11-977E50E91273}">
      <dsp:nvSpPr>
        <dsp:cNvPr id="0" name=""/>
        <dsp:cNvSpPr/>
      </dsp:nvSpPr>
      <dsp:spPr>
        <a:xfrm>
          <a:off x="521555" y="3734394"/>
          <a:ext cx="875285" cy="402109"/>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Start with learning outcomes - see stage 5 diagram</a:t>
          </a:r>
        </a:p>
        <a:p>
          <a:pPr marL="0" lvl="0" indent="0" algn="ctr" defTabSz="222250">
            <a:lnSpc>
              <a:spcPct val="90000"/>
            </a:lnSpc>
            <a:spcBef>
              <a:spcPct val="0"/>
            </a:spcBef>
            <a:spcAft>
              <a:spcPct val="35000"/>
            </a:spcAft>
            <a:buNone/>
          </a:pPr>
          <a:r>
            <a:rPr lang="en-US" sz="500" kern="1200"/>
            <a:t>Keep simple &amp; clear</a:t>
          </a:r>
        </a:p>
      </dsp:txBody>
      <dsp:txXfrm>
        <a:off x="533332" y="3746171"/>
        <a:ext cx="851731" cy="378555"/>
      </dsp:txXfrm>
    </dsp:sp>
    <dsp:sp modelId="{CDB8CF11-B6DB-A047-BDD5-29201F359594}">
      <dsp:nvSpPr>
        <dsp:cNvPr id="0" name=""/>
        <dsp:cNvSpPr/>
      </dsp:nvSpPr>
      <dsp:spPr>
        <a:xfrm rot="11924729">
          <a:off x="785682" y="3342129"/>
          <a:ext cx="1853888" cy="245119"/>
        </a:xfrm>
        <a:prstGeom prst="lef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D7BDDA6-3F4E-9B4C-BD9E-7E42709F32A3}">
      <dsp:nvSpPr>
        <dsp:cNvPr id="0" name=""/>
        <dsp:cNvSpPr/>
      </dsp:nvSpPr>
      <dsp:spPr>
        <a:xfrm>
          <a:off x="409852" y="2836913"/>
          <a:ext cx="849999" cy="659775"/>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Decide on level of simulation - kit required. For voice of patient some clinical teaching experience and good script</a:t>
          </a:r>
        </a:p>
      </dsp:txBody>
      <dsp:txXfrm>
        <a:off x="429176" y="2856237"/>
        <a:ext cx="811351" cy="621127"/>
      </dsp:txXfrm>
    </dsp:sp>
    <dsp:sp modelId="{CEE751FF-2B95-B743-86CA-56CCB83F8426}">
      <dsp:nvSpPr>
        <dsp:cNvPr id="0" name=""/>
        <dsp:cNvSpPr/>
      </dsp:nvSpPr>
      <dsp:spPr>
        <a:xfrm rot="12860701">
          <a:off x="761195" y="2920180"/>
          <a:ext cx="2064296" cy="245119"/>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AD2CAC1-24BD-A64C-9050-4A7998F2AA41}">
      <dsp:nvSpPr>
        <dsp:cNvPr id="0" name=""/>
        <dsp:cNvSpPr/>
      </dsp:nvSpPr>
      <dsp:spPr>
        <a:xfrm>
          <a:off x="515305" y="2163803"/>
          <a:ext cx="851679" cy="59324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Decide on level of pressure appropriate to stage of learner. Grade pressure over time. Bring in emotional pressures</a:t>
          </a:r>
        </a:p>
        <a:p>
          <a:pPr marL="0" lvl="0" indent="0" algn="ctr" defTabSz="222250">
            <a:lnSpc>
              <a:spcPct val="90000"/>
            </a:lnSpc>
            <a:spcBef>
              <a:spcPct val="0"/>
            </a:spcBef>
            <a:spcAft>
              <a:spcPct val="35000"/>
            </a:spcAft>
            <a:buNone/>
          </a:pPr>
          <a:r>
            <a:rPr lang="en-US" sz="500" kern="1200"/>
            <a:t>Consider how and where to prompt to support learning</a:t>
          </a:r>
        </a:p>
      </dsp:txBody>
      <dsp:txXfrm>
        <a:off x="532681" y="2181179"/>
        <a:ext cx="816927" cy="558495"/>
      </dsp:txXfrm>
    </dsp:sp>
    <dsp:sp modelId="{3A5B0D69-9A50-A64B-ADBD-C3458AE67358}">
      <dsp:nvSpPr>
        <dsp:cNvPr id="0" name=""/>
        <dsp:cNvSpPr/>
      </dsp:nvSpPr>
      <dsp:spPr>
        <a:xfrm rot="13745455">
          <a:off x="938369" y="2571681"/>
          <a:ext cx="2171834" cy="245119"/>
        </a:xfrm>
        <a:prstGeom prst="lef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0211ED8-9EDC-A940-A3DB-573636E29187}">
      <dsp:nvSpPr>
        <dsp:cNvPr id="0" name=""/>
        <dsp:cNvSpPr/>
      </dsp:nvSpPr>
      <dsp:spPr>
        <a:xfrm>
          <a:off x="1012138" y="1632740"/>
          <a:ext cx="602046" cy="481637"/>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Plan faculty - clinically credible, trained - simulaiton and debrief. Consider minimum number</a:t>
          </a:r>
        </a:p>
      </dsp:txBody>
      <dsp:txXfrm>
        <a:off x="1026245" y="1646847"/>
        <a:ext cx="573832" cy="453423"/>
      </dsp:txXfrm>
    </dsp:sp>
    <dsp:sp modelId="{4812AB75-98ED-3F4F-BA28-D2C4C717204B}">
      <dsp:nvSpPr>
        <dsp:cNvPr id="0" name=""/>
        <dsp:cNvSpPr/>
      </dsp:nvSpPr>
      <dsp:spPr>
        <a:xfrm rot="14727273">
          <a:off x="1331624" y="2318951"/>
          <a:ext cx="2171834" cy="245119"/>
        </a:xfrm>
        <a:prstGeom prst="lef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EFA95F2-E7E6-9C4E-930D-E4991AF8DAFB}">
      <dsp:nvSpPr>
        <dsp:cNvPr id="0" name=""/>
        <dsp:cNvSpPr/>
      </dsp:nvSpPr>
      <dsp:spPr>
        <a:xfrm>
          <a:off x="1643888" y="1154138"/>
          <a:ext cx="645093" cy="599176"/>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Authentic scenario - realistic - could be exposed to</a:t>
          </a:r>
        </a:p>
        <a:p>
          <a:pPr marL="0" lvl="0" indent="0" algn="ctr" defTabSz="222250">
            <a:lnSpc>
              <a:spcPct val="90000"/>
            </a:lnSpc>
            <a:spcBef>
              <a:spcPct val="0"/>
            </a:spcBef>
            <a:spcAft>
              <a:spcPct val="35000"/>
            </a:spcAft>
            <a:buNone/>
          </a:pPr>
          <a:r>
            <a:rPr lang="en-US" sz="500" kern="1200"/>
            <a:t>Needs depth &amp; uncertainty</a:t>
          </a:r>
        </a:p>
        <a:p>
          <a:pPr marL="0" lvl="0" indent="0" algn="ctr" defTabSz="222250">
            <a:lnSpc>
              <a:spcPct val="90000"/>
            </a:lnSpc>
            <a:spcBef>
              <a:spcPct val="0"/>
            </a:spcBef>
            <a:spcAft>
              <a:spcPct val="35000"/>
            </a:spcAft>
            <a:buNone/>
          </a:pPr>
          <a:r>
            <a:rPr lang="en-US" sz="500" kern="1200"/>
            <a:t>Needs authentic complexity</a:t>
          </a:r>
        </a:p>
      </dsp:txBody>
      <dsp:txXfrm>
        <a:off x="1661437" y="1171687"/>
        <a:ext cx="609995" cy="564078"/>
      </dsp:txXfrm>
    </dsp:sp>
    <dsp:sp modelId="{72D8E7B1-15DC-2F4E-97F8-D35BF3E1AFA8}">
      <dsp:nvSpPr>
        <dsp:cNvPr id="0" name=""/>
        <dsp:cNvSpPr/>
      </dsp:nvSpPr>
      <dsp:spPr>
        <a:xfrm rot="15709091">
          <a:off x="1780151" y="2187252"/>
          <a:ext cx="2171834" cy="245119"/>
        </a:xfrm>
        <a:prstGeom prst="lef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10A4145-77FA-E14A-9AF4-48C5ECF2274A}">
      <dsp:nvSpPr>
        <dsp:cNvPr id="0" name=""/>
        <dsp:cNvSpPr/>
      </dsp:nvSpPr>
      <dsp:spPr>
        <a:xfrm>
          <a:off x="2331944" y="926745"/>
          <a:ext cx="759162" cy="616404"/>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Consider how to involve and engage all learners during scenario &amp; encourage critical thinking, decision making, problem solving, prioritisation</a:t>
          </a:r>
        </a:p>
      </dsp:txBody>
      <dsp:txXfrm>
        <a:off x="2349998" y="944799"/>
        <a:ext cx="723054" cy="580296"/>
      </dsp:txXfrm>
    </dsp:sp>
    <dsp:sp modelId="{6174050C-3D30-B14E-970E-503E62ECEE69}">
      <dsp:nvSpPr>
        <dsp:cNvPr id="0" name=""/>
        <dsp:cNvSpPr/>
      </dsp:nvSpPr>
      <dsp:spPr>
        <a:xfrm rot="16690909">
          <a:off x="2247613" y="2187252"/>
          <a:ext cx="2171834" cy="245119"/>
        </a:xfrm>
        <a:prstGeom prst="lef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7A1BB06-0E96-5D4E-911A-474F1FC46DBE}">
      <dsp:nvSpPr>
        <dsp:cNvPr id="0" name=""/>
        <dsp:cNvSpPr/>
      </dsp:nvSpPr>
      <dsp:spPr>
        <a:xfrm>
          <a:off x="3157943" y="875807"/>
          <a:ext cx="660258" cy="718280"/>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Consider resources required for technical skills and to support human factors education (cannulation arm, blood results)</a:t>
          </a:r>
        </a:p>
      </dsp:txBody>
      <dsp:txXfrm>
        <a:off x="3177281" y="895145"/>
        <a:ext cx="621582" cy="679604"/>
      </dsp:txXfrm>
    </dsp:sp>
    <dsp:sp modelId="{C5EB2B7E-BBB1-1740-B141-D7CDC2B33DAA}">
      <dsp:nvSpPr>
        <dsp:cNvPr id="0" name=""/>
        <dsp:cNvSpPr/>
      </dsp:nvSpPr>
      <dsp:spPr>
        <a:xfrm rot="17672727">
          <a:off x="2696140" y="2318951"/>
          <a:ext cx="2171834" cy="245119"/>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2C59F35-3E12-6D4C-9B93-1A30A9DF1F18}">
      <dsp:nvSpPr>
        <dsp:cNvPr id="0" name=""/>
        <dsp:cNvSpPr/>
      </dsp:nvSpPr>
      <dsp:spPr>
        <a:xfrm>
          <a:off x="3932141" y="1212907"/>
          <a:ext cx="602046" cy="48163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Consider actors - credible, have experience of patietn sceanrio, well briefed</a:t>
          </a:r>
        </a:p>
      </dsp:txBody>
      <dsp:txXfrm>
        <a:off x="3946248" y="1227014"/>
        <a:ext cx="573832" cy="453423"/>
      </dsp:txXfrm>
    </dsp:sp>
    <dsp:sp modelId="{E53EE2E4-3218-D442-8A49-24C32B35FB3E}">
      <dsp:nvSpPr>
        <dsp:cNvPr id="0" name=""/>
        <dsp:cNvSpPr/>
      </dsp:nvSpPr>
      <dsp:spPr>
        <a:xfrm rot="18654545">
          <a:off x="3089395" y="2571681"/>
          <a:ext cx="2171834" cy="245119"/>
        </a:xfrm>
        <a:prstGeom prst="lef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6C35F91-9F0B-B74D-89FA-994CF563014F}">
      <dsp:nvSpPr>
        <dsp:cNvPr id="0" name=""/>
        <dsp:cNvSpPr/>
      </dsp:nvSpPr>
      <dsp:spPr>
        <a:xfrm>
          <a:off x="4585413" y="1632740"/>
          <a:ext cx="602046" cy="481637"/>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Consider level of fidelity and how to achieve psychological fidelity - environment etc</a:t>
          </a:r>
        </a:p>
      </dsp:txBody>
      <dsp:txXfrm>
        <a:off x="4599520" y="1646847"/>
        <a:ext cx="573832" cy="453423"/>
      </dsp:txXfrm>
    </dsp:sp>
    <dsp:sp modelId="{80BB6B81-43DE-FB4F-8F46-75B2A2ABDB15}">
      <dsp:nvSpPr>
        <dsp:cNvPr id="0" name=""/>
        <dsp:cNvSpPr/>
      </dsp:nvSpPr>
      <dsp:spPr>
        <a:xfrm rot="19499321">
          <a:off x="3365401" y="2918242"/>
          <a:ext cx="2023097" cy="245119"/>
        </a:xfrm>
        <a:prstGeom prst="lef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345C995-3431-8642-A298-BD2083E4B24F}">
      <dsp:nvSpPr>
        <dsp:cNvPr id="0" name=""/>
        <dsp:cNvSpPr/>
      </dsp:nvSpPr>
      <dsp:spPr>
        <a:xfrm>
          <a:off x="4805679" y="2163807"/>
          <a:ext cx="799536" cy="593261"/>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Well written sceanrio but be dynamic and flexible, customise to individuals to bring out learning outcomes</a:t>
          </a:r>
        </a:p>
      </dsp:txBody>
      <dsp:txXfrm>
        <a:off x="4823055" y="2181183"/>
        <a:ext cx="764784" cy="558509"/>
      </dsp:txXfrm>
    </dsp:sp>
    <dsp:sp modelId="{349480BC-8FB4-F24C-8B6E-210EFC2F2EB3}">
      <dsp:nvSpPr>
        <dsp:cNvPr id="0" name=""/>
        <dsp:cNvSpPr/>
      </dsp:nvSpPr>
      <dsp:spPr>
        <a:xfrm rot="20477674">
          <a:off x="3560489" y="3342273"/>
          <a:ext cx="1858503" cy="245119"/>
        </a:xfrm>
        <a:prstGeom prst="lef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944BF2A-E448-A74A-A92E-4155EB8C667B}">
      <dsp:nvSpPr>
        <dsp:cNvPr id="0" name=""/>
        <dsp:cNvSpPr/>
      </dsp:nvSpPr>
      <dsp:spPr>
        <a:xfrm>
          <a:off x="4962164" y="2877773"/>
          <a:ext cx="815490" cy="578090"/>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Pilot scenario - reflect in action and on action</a:t>
          </a:r>
        </a:p>
        <a:p>
          <a:pPr marL="0" lvl="0" indent="0" algn="ctr" defTabSz="222250">
            <a:lnSpc>
              <a:spcPct val="90000"/>
            </a:lnSpc>
            <a:spcBef>
              <a:spcPct val="0"/>
            </a:spcBef>
            <a:spcAft>
              <a:spcPct val="35000"/>
            </a:spcAft>
            <a:buNone/>
          </a:pPr>
          <a:r>
            <a:rPr lang="en-US" sz="500" kern="1200"/>
            <a:t>Iterative process, explore how it feels, if real, make adjustments, ensure achieved LO and plan closure of sceanrio</a:t>
          </a:r>
        </a:p>
      </dsp:txBody>
      <dsp:txXfrm>
        <a:off x="4979096" y="2894705"/>
        <a:ext cx="781626" cy="544226"/>
      </dsp:txXfrm>
    </dsp:sp>
    <dsp:sp modelId="{7AAF3DE4-B8CC-374F-8236-C35129FF81E8}">
      <dsp:nvSpPr>
        <dsp:cNvPr id="0" name=""/>
        <dsp:cNvSpPr/>
      </dsp:nvSpPr>
      <dsp:spPr>
        <a:xfrm>
          <a:off x="3629133" y="3812889"/>
          <a:ext cx="1706157" cy="245119"/>
        </a:xfrm>
        <a:prstGeom prst="lef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80811B5-A0DB-0744-B31D-E3EACDBB1C70}">
      <dsp:nvSpPr>
        <dsp:cNvPr id="0" name=""/>
        <dsp:cNvSpPr/>
      </dsp:nvSpPr>
      <dsp:spPr>
        <a:xfrm>
          <a:off x="5034266" y="3694630"/>
          <a:ext cx="602046" cy="48163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222250">
            <a:lnSpc>
              <a:spcPct val="90000"/>
            </a:lnSpc>
            <a:spcBef>
              <a:spcPct val="0"/>
            </a:spcBef>
            <a:spcAft>
              <a:spcPct val="35000"/>
            </a:spcAft>
            <a:buNone/>
          </a:pPr>
          <a:r>
            <a:rPr lang="en-US" sz="500" kern="1200"/>
            <a:t>Consider research opportunities</a:t>
          </a:r>
        </a:p>
      </dsp:txBody>
      <dsp:txXfrm>
        <a:off x="5048373" y="3708737"/>
        <a:ext cx="573832" cy="45342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75B7C1-D31F-324C-9AD6-32036915E639}">
      <dsp:nvSpPr>
        <dsp:cNvPr id="0" name=""/>
        <dsp:cNvSpPr/>
      </dsp:nvSpPr>
      <dsp:spPr>
        <a:xfrm>
          <a:off x="0" y="7363624"/>
          <a:ext cx="5897880" cy="439316"/>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Triangulation of data</a:t>
          </a:r>
        </a:p>
      </dsp:txBody>
      <dsp:txXfrm>
        <a:off x="0" y="7363624"/>
        <a:ext cx="5897880" cy="237231"/>
      </dsp:txXfrm>
    </dsp:sp>
    <dsp:sp modelId="{64D70E79-10B7-3640-B997-ABB7E2A7E4CB}">
      <dsp:nvSpPr>
        <dsp:cNvPr id="0" name=""/>
        <dsp:cNvSpPr/>
      </dsp:nvSpPr>
      <dsp:spPr>
        <a:xfrm>
          <a:off x="0" y="7592069"/>
          <a:ext cx="5897880" cy="20208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Qualitative data analysis - framework analysis</a:t>
          </a:r>
        </a:p>
      </dsp:txBody>
      <dsp:txXfrm>
        <a:off x="0" y="7592069"/>
        <a:ext cx="5897880" cy="202085"/>
      </dsp:txXfrm>
    </dsp:sp>
    <dsp:sp modelId="{0471EA41-1701-2B48-BAF1-2118FB24B64A}">
      <dsp:nvSpPr>
        <dsp:cNvPr id="0" name=""/>
        <dsp:cNvSpPr/>
      </dsp:nvSpPr>
      <dsp:spPr>
        <a:xfrm rot="10800000">
          <a:off x="0" y="6694544"/>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Interviews with simulation medical education experts</a:t>
          </a:r>
        </a:p>
      </dsp:txBody>
      <dsp:txXfrm rot="-10800000">
        <a:off x="0" y="6694544"/>
        <a:ext cx="5897880" cy="237159"/>
      </dsp:txXfrm>
    </dsp:sp>
    <dsp:sp modelId="{4DBDD18E-20FF-7448-A599-60B372B31B5D}">
      <dsp:nvSpPr>
        <dsp:cNvPr id="0" name=""/>
        <dsp:cNvSpPr/>
      </dsp:nvSpPr>
      <dsp:spPr>
        <a:xfrm>
          <a:off x="0" y="6931704"/>
          <a:ext cx="5897880"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Qualitative data analysis</a:t>
          </a:r>
        </a:p>
      </dsp:txBody>
      <dsp:txXfrm>
        <a:off x="0" y="6931704"/>
        <a:ext cx="5897880" cy="202025"/>
      </dsp:txXfrm>
    </dsp:sp>
    <dsp:sp modelId="{29A59A84-E6C9-FF45-BE7E-DDA80A741364}">
      <dsp:nvSpPr>
        <dsp:cNvPr id="0" name=""/>
        <dsp:cNvSpPr/>
      </dsp:nvSpPr>
      <dsp:spPr>
        <a:xfrm rot="10800000">
          <a:off x="0" y="6025465"/>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1 month in to FY1 confidence score</a:t>
          </a:r>
        </a:p>
      </dsp:txBody>
      <dsp:txXfrm rot="-10800000">
        <a:off x="0" y="6025465"/>
        <a:ext cx="5897880" cy="237159"/>
      </dsp:txXfrm>
    </dsp:sp>
    <dsp:sp modelId="{36198E56-9648-AD48-B3CE-80EAF1101355}">
      <dsp:nvSpPr>
        <dsp:cNvPr id="0" name=""/>
        <dsp:cNvSpPr/>
      </dsp:nvSpPr>
      <dsp:spPr>
        <a:xfrm>
          <a:off x="0" y="6262625"/>
          <a:ext cx="5897880"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Quantitiative data analysis</a:t>
          </a:r>
        </a:p>
      </dsp:txBody>
      <dsp:txXfrm>
        <a:off x="0" y="6262625"/>
        <a:ext cx="5897880" cy="202025"/>
      </dsp:txXfrm>
    </dsp:sp>
    <dsp:sp modelId="{AF90705C-3412-2444-B17B-C35FD4426760}">
      <dsp:nvSpPr>
        <dsp:cNvPr id="0" name=""/>
        <dsp:cNvSpPr/>
      </dsp:nvSpPr>
      <dsp:spPr>
        <a:xfrm rot="10800000">
          <a:off x="0" y="5356385"/>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1 week post-course confidence score</a:t>
          </a:r>
        </a:p>
      </dsp:txBody>
      <dsp:txXfrm rot="10800000">
        <a:off x="0" y="5356385"/>
        <a:ext cx="5897880" cy="439029"/>
      </dsp:txXfrm>
    </dsp:sp>
    <dsp:sp modelId="{4B8BB9C9-46E1-A346-83EA-83F68DB63AA8}">
      <dsp:nvSpPr>
        <dsp:cNvPr id="0" name=""/>
        <dsp:cNvSpPr/>
      </dsp:nvSpPr>
      <dsp:spPr>
        <a:xfrm rot="10800000">
          <a:off x="0" y="4687306"/>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Post-course focus group</a:t>
          </a:r>
        </a:p>
      </dsp:txBody>
      <dsp:txXfrm rot="-10800000">
        <a:off x="0" y="4687306"/>
        <a:ext cx="5897880" cy="237159"/>
      </dsp:txXfrm>
    </dsp:sp>
    <dsp:sp modelId="{0B9CC5B5-8CE8-0D42-B512-B83484BE2A7F}">
      <dsp:nvSpPr>
        <dsp:cNvPr id="0" name=""/>
        <dsp:cNvSpPr/>
      </dsp:nvSpPr>
      <dsp:spPr>
        <a:xfrm>
          <a:off x="0" y="4924465"/>
          <a:ext cx="5897880"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Qualitative data analysis</a:t>
          </a:r>
        </a:p>
      </dsp:txBody>
      <dsp:txXfrm>
        <a:off x="0" y="4924465"/>
        <a:ext cx="5897880" cy="202025"/>
      </dsp:txXfrm>
    </dsp:sp>
    <dsp:sp modelId="{78358D94-B83D-F24A-B947-E5EEEF6E8F11}">
      <dsp:nvSpPr>
        <dsp:cNvPr id="0" name=""/>
        <dsp:cNvSpPr/>
      </dsp:nvSpPr>
      <dsp:spPr>
        <a:xfrm rot="10800000">
          <a:off x="0" y="4018226"/>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Post-course confidence score</a:t>
          </a:r>
        </a:p>
      </dsp:txBody>
      <dsp:txXfrm rot="10800000">
        <a:off x="0" y="4018226"/>
        <a:ext cx="5897880" cy="439029"/>
      </dsp:txXfrm>
    </dsp:sp>
    <dsp:sp modelId="{E0364FD5-2446-D040-873A-CD6A6ED75FAA}">
      <dsp:nvSpPr>
        <dsp:cNvPr id="0" name=""/>
        <dsp:cNvSpPr/>
      </dsp:nvSpPr>
      <dsp:spPr>
        <a:xfrm rot="10800000">
          <a:off x="0" y="3349146"/>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Intervention - simulation course and debriefing, formative assessment and feedback</a:t>
          </a:r>
        </a:p>
      </dsp:txBody>
      <dsp:txXfrm rot="10800000">
        <a:off x="0" y="3349146"/>
        <a:ext cx="5897880" cy="439029"/>
      </dsp:txXfrm>
    </dsp:sp>
    <dsp:sp modelId="{AE94CAE2-647D-5D45-8FDB-163198A6EB3D}">
      <dsp:nvSpPr>
        <dsp:cNvPr id="0" name=""/>
        <dsp:cNvSpPr/>
      </dsp:nvSpPr>
      <dsp:spPr>
        <a:xfrm rot="10800000">
          <a:off x="0" y="2680067"/>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Pre-course confidence score</a:t>
          </a:r>
        </a:p>
      </dsp:txBody>
      <dsp:txXfrm rot="10800000">
        <a:off x="0" y="2680067"/>
        <a:ext cx="5897880" cy="439029"/>
      </dsp:txXfrm>
    </dsp:sp>
    <dsp:sp modelId="{D73C6786-C55A-E94E-AAD8-2A49A7EDC771}">
      <dsp:nvSpPr>
        <dsp:cNvPr id="0" name=""/>
        <dsp:cNvSpPr/>
      </dsp:nvSpPr>
      <dsp:spPr>
        <a:xfrm rot="10800000">
          <a:off x="0" y="2010987"/>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Selection - Final study - 5th year medical students</a:t>
          </a:r>
        </a:p>
      </dsp:txBody>
      <dsp:txXfrm rot="-10800000">
        <a:off x="0" y="2010987"/>
        <a:ext cx="5897880" cy="237159"/>
      </dsp:txXfrm>
    </dsp:sp>
    <dsp:sp modelId="{32632779-F85A-9148-BDC4-EF7B905CE3CB}">
      <dsp:nvSpPr>
        <dsp:cNvPr id="0" name=""/>
        <dsp:cNvSpPr/>
      </dsp:nvSpPr>
      <dsp:spPr>
        <a:xfrm>
          <a:off x="0" y="2248147"/>
          <a:ext cx="2948939"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University 1</a:t>
          </a:r>
        </a:p>
      </dsp:txBody>
      <dsp:txXfrm>
        <a:off x="0" y="2248147"/>
        <a:ext cx="2948939" cy="202025"/>
      </dsp:txXfrm>
    </dsp:sp>
    <dsp:sp modelId="{34F41F97-1613-7F4E-A99F-452FC1FBAAAE}">
      <dsp:nvSpPr>
        <dsp:cNvPr id="0" name=""/>
        <dsp:cNvSpPr/>
      </dsp:nvSpPr>
      <dsp:spPr>
        <a:xfrm>
          <a:off x="2948940" y="2248147"/>
          <a:ext cx="2948939"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University 2</a:t>
          </a:r>
        </a:p>
      </dsp:txBody>
      <dsp:txXfrm>
        <a:off x="2948940" y="2248147"/>
        <a:ext cx="2948939" cy="202025"/>
      </dsp:txXfrm>
    </dsp:sp>
    <dsp:sp modelId="{C71D14CE-CFE0-714B-B1DD-659358804958}">
      <dsp:nvSpPr>
        <dsp:cNvPr id="0" name=""/>
        <dsp:cNvSpPr/>
      </dsp:nvSpPr>
      <dsp:spPr>
        <a:xfrm rot="10800000">
          <a:off x="0" y="1341907"/>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Pilot study to inform power calculation</a:t>
          </a:r>
        </a:p>
      </dsp:txBody>
      <dsp:txXfrm rot="-10800000">
        <a:off x="0" y="1341907"/>
        <a:ext cx="5897880" cy="237159"/>
      </dsp:txXfrm>
    </dsp:sp>
    <dsp:sp modelId="{1BAC1449-CAF7-BF48-814F-882F16A41E07}">
      <dsp:nvSpPr>
        <dsp:cNvPr id="0" name=""/>
        <dsp:cNvSpPr/>
      </dsp:nvSpPr>
      <dsp:spPr>
        <a:xfrm>
          <a:off x="0" y="1579067"/>
          <a:ext cx="2948939"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University 1 intervention group</a:t>
          </a:r>
        </a:p>
      </dsp:txBody>
      <dsp:txXfrm>
        <a:off x="0" y="1579067"/>
        <a:ext cx="2948939" cy="202025"/>
      </dsp:txXfrm>
    </dsp:sp>
    <dsp:sp modelId="{90E74933-C300-E249-9F72-4246E643963A}">
      <dsp:nvSpPr>
        <dsp:cNvPr id="0" name=""/>
        <dsp:cNvSpPr/>
      </dsp:nvSpPr>
      <dsp:spPr>
        <a:xfrm>
          <a:off x="2948940" y="1579067"/>
          <a:ext cx="2948939"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University 1 non-intervention group</a:t>
          </a:r>
        </a:p>
      </dsp:txBody>
      <dsp:txXfrm>
        <a:off x="2948940" y="1579067"/>
        <a:ext cx="2948939" cy="202025"/>
      </dsp:txXfrm>
    </dsp:sp>
    <dsp:sp modelId="{59330F99-BD5E-484C-95FB-2814E1D1920E}">
      <dsp:nvSpPr>
        <dsp:cNvPr id="0" name=""/>
        <dsp:cNvSpPr/>
      </dsp:nvSpPr>
      <dsp:spPr>
        <a:xfrm rot="10800000">
          <a:off x="0" y="672828"/>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Course design, development and assessment</a:t>
          </a:r>
        </a:p>
      </dsp:txBody>
      <dsp:txXfrm rot="-10800000">
        <a:off x="0" y="672828"/>
        <a:ext cx="5897880" cy="237159"/>
      </dsp:txXfrm>
    </dsp:sp>
    <dsp:sp modelId="{0C1D6D71-B6B8-8142-97D7-38FDC5AABCD3}">
      <dsp:nvSpPr>
        <dsp:cNvPr id="0" name=""/>
        <dsp:cNvSpPr/>
      </dsp:nvSpPr>
      <dsp:spPr>
        <a:xfrm>
          <a:off x="0" y="909988"/>
          <a:ext cx="2948939"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Validation</a:t>
          </a:r>
        </a:p>
      </dsp:txBody>
      <dsp:txXfrm>
        <a:off x="0" y="909988"/>
        <a:ext cx="2948939" cy="202025"/>
      </dsp:txXfrm>
    </dsp:sp>
    <dsp:sp modelId="{6A07510D-DB31-9244-93B9-5EA82ACFD5F0}">
      <dsp:nvSpPr>
        <dsp:cNvPr id="0" name=""/>
        <dsp:cNvSpPr/>
      </dsp:nvSpPr>
      <dsp:spPr>
        <a:xfrm>
          <a:off x="2948940" y="909988"/>
          <a:ext cx="2948939"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Feasibility</a:t>
          </a:r>
        </a:p>
      </dsp:txBody>
      <dsp:txXfrm>
        <a:off x="2948940" y="909988"/>
        <a:ext cx="2948939" cy="202025"/>
      </dsp:txXfrm>
    </dsp:sp>
    <dsp:sp modelId="{BF4829AC-7A6D-444A-BABF-7CB25AD74360}">
      <dsp:nvSpPr>
        <dsp:cNvPr id="0" name=""/>
        <dsp:cNvSpPr/>
      </dsp:nvSpPr>
      <dsp:spPr>
        <a:xfrm rot="10800000">
          <a:off x="0" y="3748"/>
          <a:ext cx="5897880" cy="675669"/>
        </a:xfrm>
        <a:prstGeom prst="upArrowCallou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t>Gap analysis</a:t>
          </a:r>
        </a:p>
      </dsp:txBody>
      <dsp:txXfrm rot="-10800000">
        <a:off x="0" y="3748"/>
        <a:ext cx="5897880" cy="237159"/>
      </dsp:txXfrm>
    </dsp:sp>
    <dsp:sp modelId="{61A96116-543C-3C48-A1C3-6E2F3E7436AC}">
      <dsp:nvSpPr>
        <dsp:cNvPr id="0" name=""/>
        <dsp:cNvSpPr/>
      </dsp:nvSpPr>
      <dsp:spPr>
        <a:xfrm>
          <a:off x="0" y="240908"/>
          <a:ext cx="2948939"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Focus groups exploring preparedness</a:t>
          </a:r>
        </a:p>
      </dsp:txBody>
      <dsp:txXfrm>
        <a:off x="0" y="240908"/>
        <a:ext cx="2948939" cy="202025"/>
      </dsp:txXfrm>
    </dsp:sp>
    <dsp:sp modelId="{98AFDF53-39FC-4847-B2F9-6881E8B85C82}">
      <dsp:nvSpPr>
        <dsp:cNvPr id="0" name=""/>
        <dsp:cNvSpPr/>
      </dsp:nvSpPr>
      <dsp:spPr>
        <a:xfrm>
          <a:off x="2948940" y="240908"/>
          <a:ext cx="2948939" cy="202025"/>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US" sz="900" kern="1200"/>
            <a:t>Undergraduate simulation education consensus group</a:t>
          </a:r>
        </a:p>
      </dsp:txBody>
      <dsp:txXfrm>
        <a:off x="2948940" y="240908"/>
        <a:ext cx="2948939" cy="20202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8739" y="105600"/>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2" y="237253"/>
        <a:ext cx="460785" cy="197480"/>
      </dsp:txXfrm>
    </dsp:sp>
    <dsp:sp modelId="{28826DD3-E030-6044-B2F2-D85EF85F6960}">
      <dsp:nvSpPr>
        <dsp:cNvPr id="0" name=""/>
        <dsp:cNvSpPr/>
      </dsp:nvSpPr>
      <dsp:spPr>
        <a:xfrm rot="5400000">
          <a:off x="2578046" y="-2110400"/>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60786" y="27747"/>
        <a:ext cx="4641507" cy="386098"/>
      </dsp:txXfrm>
    </dsp:sp>
    <dsp:sp modelId="{B422BFF3-8BFD-2144-8980-375702EA9496}">
      <dsp:nvSpPr>
        <dsp:cNvPr id="0" name=""/>
        <dsp:cNvSpPr/>
      </dsp:nvSpPr>
      <dsp:spPr>
        <a:xfrm rot="5400000">
          <a:off x="-98739" y="706508"/>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2" y="838161"/>
        <a:ext cx="460785" cy="197480"/>
      </dsp:txXfrm>
    </dsp:sp>
    <dsp:sp modelId="{8BDAA81E-2E4E-9C4A-9A67-4855D9BA1510}">
      <dsp:nvSpPr>
        <dsp:cNvPr id="0" name=""/>
        <dsp:cNvSpPr/>
      </dsp:nvSpPr>
      <dsp:spPr>
        <a:xfrm rot="5400000">
          <a:off x="2578046" y="-1509491"/>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60786" y="628656"/>
        <a:ext cx="4641507" cy="386098"/>
      </dsp:txXfrm>
    </dsp:sp>
    <dsp:sp modelId="{A0202F08-BEC9-8F43-8711-F30ADE817D18}">
      <dsp:nvSpPr>
        <dsp:cNvPr id="0" name=""/>
        <dsp:cNvSpPr/>
      </dsp:nvSpPr>
      <dsp:spPr>
        <a:xfrm rot="5400000">
          <a:off x="-98739" y="1307417"/>
          <a:ext cx="658265" cy="460785"/>
        </a:xfrm>
        <a:prstGeom prst="chevron">
          <a:avLst/>
        </a:prstGeom>
        <a:solidFill>
          <a:srgbClr val="80000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2" y="1439070"/>
        <a:ext cx="460785" cy="197480"/>
      </dsp:txXfrm>
    </dsp:sp>
    <dsp:sp modelId="{06B263AD-CC10-0D49-8145-0C283F585CD5}">
      <dsp:nvSpPr>
        <dsp:cNvPr id="0" name=""/>
        <dsp:cNvSpPr/>
      </dsp:nvSpPr>
      <dsp:spPr>
        <a:xfrm rot="5400000">
          <a:off x="2578046" y="-908583"/>
          <a:ext cx="427872" cy="4662394"/>
        </a:xfrm>
        <a:prstGeom prst="round2SameRect">
          <a:avLst/>
        </a:prstGeom>
        <a:solidFill>
          <a:srgbClr val="800000">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rgbClr val="FFFFFF"/>
              </a:solidFill>
            </a:rPr>
            <a:t>Research design - quantitative and qualitative methods</a:t>
          </a:r>
        </a:p>
        <a:p>
          <a:pPr marL="57150" lvl="1" indent="-57150" algn="l" defTabSz="400050">
            <a:lnSpc>
              <a:spcPct val="90000"/>
            </a:lnSpc>
            <a:spcBef>
              <a:spcPct val="0"/>
            </a:spcBef>
            <a:spcAft>
              <a:spcPct val="15000"/>
            </a:spcAft>
            <a:buChar char="•"/>
          </a:pPr>
          <a:r>
            <a:rPr lang="en-US" sz="900" kern="1200">
              <a:solidFill>
                <a:srgbClr val="FFFFFF"/>
              </a:solidFill>
            </a:rPr>
            <a:t>Triangulation of data</a:t>
          </a:r>
        </a:p>
        <a:p>
          <a:pPr marL="57150" lvl="1" indent="-57150" algn="l" defTabSz="400050">
            <a:lnSpc>
              <a:spcPct val="90000"/>
            </a:lnSpc>
            <a:spcBef>
              <a:spcPct val="0"/>
            </a:spcBef>
            <a:spcAft>
              <a:spcPct val="15000"/>
            </a:spcAft>
            <a:buChar char="•"/>
          </a:pPr>
          <a:r>
            <a:rPr lang="en-US" sz="900" kern="1200">
              <a:solidFill>
                <a:srgbClr val="FFFFFF"/>
              </a:solidFill>
            </a:rPr>
            <a:t>Data analysis</a:t>
          </a:r>
        </a:p>
      </dsp:txBody>
      <dsp:txXfrm rot="-5400000">
        <a:off x="460786" y="1229564"/>
        <a:ext cx="4641507" cy="386098"/>
      </dsp:txXfrm>
    </dsp:sp>
    <dsp:sp modelId="{31EA3204-EDC1-4F43-84C9-41DE884256E5}">
      <dsp:nvSpPr>
        <dsp:cNvPr id="0" name=""/>
        <dsp:cNvSpPr/>
      </dsp:nvSpPr>
      <dsp:spPr>
        <a:xfrm rot="5400000">
          <a:off x="-98739" y="1908326"/>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2" y="2039979"/>
        <a:ext cx="460785" cy="197480"/>
      </dsp:txXfrm>
    </dsp:sp>
    <dsp:sp modelId="{9D5418D3-F08D-8545-87B2-2FD7B1D1031E}">
      <dsp:nvSpPr>
        <dsp:cNvPr id="0" name=""/>
        <dsp:cNvSpPr/>
      </dsp:nvSpPr>
      <dsp:spPr>
        <a:xfrm rot="5400000">
          <a:off x="2578046" y="-307674"/>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Methods</a:t>
          </a:r>
        </a:p>
        <a:p>
          <a:pPr marL="57150" lvl="1" indent="-57150" algn="l" defTabSz="222250">
            <a:lnSpc>
              <a:spcPct val="90000"/>
            </a:lnSpc>
            <a:spcBef>
              <a:spcPct val="0"/>
            </a:spcBef>
            <a:spcAft>
              <a:spcPct val="15000"/>
            </a:spcAft>
            <a:buChar char="•"/>
          </a:pPr>
          <a:r>
            <a:rPr lang="en-US" sz="500" kern="1200"/>
            <a:t>Emergent themes</a:t>
          </a:r>
        </a:p>
        <a:p>
          <a:pPr marL="57150" lvl="1" indent="-57150" algn="l" defTabSz="222250">
            <a:lnSpc>
              <a:spcPct val="90000"/>
            </a:lnSpc>
            <a:spcBef>
              <a:spcPct val="0"/>
            </a:spcBef>
            <a:spcAft>
              <a:spcPct val="15000"/>
            </a:spcAft>
            <a:buChar char="•"/>
          </a:pPr>
          <a:r>
            <a:rPr lang="en-US" sz="500" kern="1200"/>
            <a:t>Venn diagram to summarise</a:t>
          </a:r>
        </a:p>
      </dsp:txBody>
      <dsp:txXfrm rot="-5400000">
        <a:off x="460786" y="1830473"/>
        <a:ext cx="4641507" cy="386098"/>
      </dsp:txXfrm>
    </dsp:sp>
    <dsp:sp modelId="{CCC28DE8-0568-7547-9A1F-3C6F0F33A2CF}">
      <dsp:nvSpPr>
        <dsp:cNvPr id="0" name=""/>
        <dsp:cNvSpPr/>
      </dsp:nvSpPr>
      <dsp:spPr>
        <a:xfrm rot="5400000">
          <a:off x="-98739" y="2509234"/>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2" y="2640887"/>
        <a:ext cx="460785" cy="197480"/>
      </dsp:txXfrm>
    </dsp:sp>
    <dsp:sp modelId="{F1EE7E3F-25DA-8041-85A7-EBBF11BC4C56}">
      <dsp:nvSpPr>
        <dsp:cNvPr id="0" name=""/>
        <dsp:cNvSpPr/>
      </dsp:nvSpPr>
      <dsp:spPr>
        <a:xfrm rot="5400000">
          <a:off x="2578046" y="293234"/>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60786" y="2431382"/>
        <a:ext cx="4641507" cy="386098"/>
      </dsp:txXfrm>
    </dsp:sp>
    <dsp:sp modelId="{844AC346-AEB9-A649-8C9D-DBF2769C8FFC}">
      <dsp:nvSpPr>
        <dsp:cNvPr id="0" name=""/>
        <dsp:cNvSpPr/>
      </dsp:nvSpPr>
      <dsp:spPr>
        <a:xfrm rot="5400000">
          <a:off x="-98739" y="3110143"/>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2" y="3241796"/>
        <a:ext cx="460785" cy="197480"/>
      </dsp:txXfrm>
    </dsp:sp>
    <dsp:sp modelId="{C80BEB0B-E1AB-4443-9F91-9D6894D7833E}">
      <dsp:nvSpPr>
        <dsp:cNvPr id="0" name=""/>
        <dsp:cNvSpPr/>
      </dsp:nvSpPr>
      <dsp:spPr>
        <a:xfrm rot="5400000">
          <a:off x="2578046" y="894142"/>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60786" y="3032290"/>
        <a:ext cx="4641507" cy="386098"/>
      </dsp:txXfrm>
    </dsp:sp>
    <dsp:sp modelId="{B9872B13-1174-E847-A615-29577404DF21}">
      <dsp:nvSpPr>
        <dsp:cNvPr id="0" name=""/>
        <dsp:cNvSpPr/>
      </dsp:nvSpPr>
      <dsp:spPr>
        <a:xfrm rot="5400000">
          <a:off x="-98739" y="3711052"/>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2" y="3842705"/>
        <a:ext cx="460785" cy="197480"/>
      </dsp:txXfrm>
    </dsp:sp>
    <dsp:sp modelId="{DCD4A931-4F01-F440-965B-DC25AA6FE080}">
      <dsp:nvSpPr>
        <dsp:cNvPr id="0" name=""/>
        <dsp:cNvSpPr/>
      </dsp:nvSpPr>
      <dsp:spPr>
        <a:xfrm rot="5400000">
          <a:off x="2578046" y="1495051"/>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a:t>
          </a:r>
        </a:p>
      </dsp:txBody>
      <dsp:txXfrm rot="-5400000">
        <a:off x="460786" y="3633199"/>
        <a:ext cx="4641507" cy="386098"/>
      </dsp:txXfrm>
    </dsp:sp>
    <dsp:sp modelId="{9A028F62-E1E0-4745-AD29-0FD4D21CB957}">
      <dsp:nvSpPr>
        <dsp:cNvPr id="0" name=""/>
        <dsp:cNvSpPr/>
      </dsp:nvSpPr>
      <dsp:spPr>
        <a:xfrm rot="5400000">
          <a:off x="-98739" y="4311960"/>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2" y="4443613"/>
        <a:ext cx="460785" cy="197480"/>
      </dsp:txXfrm>
    </dsp:sp>
    <dsp:sp modelId="{734629A2-0A64-004C-9FE3-C658F4A3EE9E}">
      <dsp:nvSpPr>
        <dsp:cNvPr id="0" name=""/>
        <dsp:cNvSpPr/>
      </dsp:nvSpPr>
      <dsp:spPr>
        <a:xfrm rot="5400000">
          <a:off x="2578046" y="2095960"/>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60786" y="4234108"/>
        <a:ext cx="4641507" cy="386098"/>
      </dsp:txXfrm>
    </dsp:sp>
    <dsp:sp modelId="{E86BF6A3-BA90-BB43-908F-24E76E7D1587}">
      <dsp:nvSpPr>
        <dsp:cNvPr id="0" name=""/>
        <dsp:cNvSpPr/>
      </dsp:nvSpPr>
      <dsp:spPr>
        <a:xfrm rot="5400000">
          <a:off x="-98739" y="4912869"/>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2" y="5044522"/>
        <a:ext cx="460785" cy="197480"/>
      </dsp:txXfrm>
    </dsp:sp>
    <dsp:sp modelId="{E2DE84BA-2462-A242-AC94-46E19F99F1BB}">
      <dsp:nvSpPr>
        <dsp:cNvPr id="0" name=""/>
        <dsp:cNvSpPr/>
      </dsp:nvSpPr>
      <dsp:spPr>
        <a:xfrm rot="5400000">
          <a:off x="2578046" y="2696868"/>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60786" y="4835016"/>
        <a:ext cx="4641507" cy="386098"/>
      </dsp:txXfrm>
    </dsp:sp>
    <dsp:sp modelId="{B88D95AA-AFFF-224F-9EBE-1226F2119586}">
      <dsp:nvSpPr>
        <dsp:cNvPr id="0" name=""/>
        <dsp:cNvSpPr/>
      </dsp:nvSpPr>
      <dsp:spPr>
        <a:xfrm rot="5400000">
          <a:off x="-98739" y="5513777"/>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2" y="5645430"/>
        <a:ext cx="460785" cy="197480"/>
      </dsp:txXfrm>
    </dsp:sp>
    <dsp:sp modelId="{BC4A5DFE-0373-0044-B473-93ADEF2A2324}">
      <dsp:nvSpPr>
        <dsp:cNvPr id="0" name=""/>
        <dsp:cNvSpPr/>
      </dsp:nvSpPr>
      <dsp:spPr>
        <a:xfrm rot="5400000">
          <a:off x="2578046" y="3297777"/>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60786" y="5435925"/>
        <a:ext cx="4641507" cy="386098"/>
      </dsp:txXfrm>
    </dsp:sp>
    <dsp:sp modelId="{ED0EEAAD-1F9F-C445-9ED5-D61D26A0F8D1}">
      <dsp:nvSpPr>
        <dsp:cNvPr id="0" name=""/>
        <dsp:cNvSpPr/>
      </dsp:nvSpPr>
      <dsp:spPr>
        <a:xfrm rot="5400000">
          <a:off x="-98739" y="6114686"/>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2" y="6246339"/>
        <a:ext cx="460785" cy="197480"/>
      </dsp:txXfrm>
    </dsp:sp>
    <dsp:sp modelId="{C174B10A-41E6-244B-88CB-0D08E5FFF5F9}">
      <dsp:nvSpPr>
        <dsp:cNvPr id="0" name=""/>
        <dsp:cNvSpPr/>
      </dsp:nvSpPr>
      <dsp:spPr>
        <a:xfrm rot="5400000">
          <a:off x="2577934" y="3898798"/>
          <a:ext cx="428097"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60786" y="6036844"/>
        <a:ext cx="4641496" cy="386301"/>
      </dsp:txXfrm>
    </dsp:sp>
    <dsp:sp modelId="{6DDDE256-1CA3-1140-A939-5530FC1F57D3}">
      <dsp:nvSpPr>
        <dsp:cNvPr id="0" name=""/>
        <dsp:cNvSpPr/>
      </dsp:nvSpPr>
      <dsp:spPr>
        <a:xfrm rot="5400000">
          <a:off x="-98739" y="6715595"/>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2" y="6847248"/>
        <a:ext cx="460785" cy="197480"/>
      </dsp:txXfrm>
    </dsp:sp>
    <dsp:sp modelId="{999FDDA9-9F6A-1143-BE3C-B1E07CBE9945}">
      <dsp:nvSpPr>
        <dsp:cNvPr id="0" name=""/>
        <dsp:cNvSpPr/>
      </dsp:nvSpPr>
      <dsp:spPr>
        <a:xfrm rot="5400000">
          <a:off x="2578046" y="4499594"/>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8739" y="7316503"/>
          <a:ext cx="658265" cy="460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2" y="7448156"/>
        <a:ext cx="460785" cy="197480"/>
      </dsp:txXfrm>
    </dsp:sp>
    <dsp:sp modelId="{53F81CAC-F802-9240-8C94-B3E2B1F8761C}">
      <dsp:nvSpPr>
        <dsp:cNvPr id="0" name=""/>
        <dsp:cNvSpPr/>
      </dsp:nvSpPr>
      <dsp:spPr>
        <a:xfrm rot="5400000">
          <a:off x="2578046" y="5100503"/>
          <a:ext cx="427872" cy="46623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3DEC21-9E0C-D141-9B6D-9ADAABA2C02A}">
      <dsp:nvSpPr>
        <dsp:cNvPr id="0" name=""/>
        <dsp:cNvSpPr/>
      </dsp:nvSpPr>
      <dsp:spPr>
        <a:xfrm>
          <a:off x="1509" y="1227252"/>
          <a:ext cx="663828" cy="663828"/>
        </a:xfrm>
        <a:prstGeom prst="roundRect">
          <a:avLst>
            <a:gd name="adj" fmla="val 10000"/>
          </a:avLst>
        </a:prstGeom>
        <a:solidFill>
          <a:schemeClr val="dk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065720C0-4C49-2B40-BA58-32E3CC664345}">
      <dsp:nvSpPr>
        <dsp:cNvPr id="0" name=""/>
        <dsp:cNvSpPr/>
      </dsp:nvSpPr>
      <dsp:spPr>
        <a:xfrm>
          <a:off x="109574" y="1625549"/>
          <a:ext cx="663828" cy="663828"/>
        </a:xfrm>
        <a:prstGeom prst="roundRect">
          <a:avLst>
            <a:gd name="adj" fmla="val 10000"/>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latin typeface="Arial"/>
              <a:cs typeface="Arial"/>
            </a:rPr>
            <a:t>Qual</a:t>
          </a:r>
        </a:p>
        <a:p>
          <a:pPr marL="57150" lvl="1" indent="-57150" algn="l" defTabSz="222250">
            <a:lnSpc>
              <a:spcPct val="90000"/>
            </a:lnSpc>
            <a:spcBef>
              <a:spcPct val="0"/>
            </a:spcBef>
            <a:spcAft>
              <a:spcPct val="15000"/>
            </a:spcAft>
            <a:buChar char="•"/>
          </a:pPr>
          <a:r>
            <a:rPr lang="en-US" sz="500" kern="1200">
              <a:latin typeface="Arial"/>
              <a:cs typeface="Arial"/>
            </a:rPr>
            <a:t>Focus group (FG)</a:t>
          </a:r>
        </a:p>
        <a:p>
          <a:pPr marL="57150" lvl="1" indent="-57150" algn="l" defTabSz="222250">
            <a:lnSpc>
              <a:spcPct val="90000"/>
            </a:lnSpc>
            <a:spcBef>
              <a:spcPct val="0"/>
            </a:spcBef>
            <a:spcAft>
              <a:spcPct val="15000"/>
            </a:spcAft>
            <a:buChar char="•"/>
          </a:pPr>
          <a:r>
            <a:rPr lang="en-US" sz="500" kern="1200">
              <a:latin typeface="Arial"/>
              <a:cs typeface="Arial"/>
            </a:rPr>
            <a:t>Results</a:t>
          </a:r>
        </a:p>
      </dsp:txBody>
      <dsp:txXfrm>
        <a:off x="129017" y="1644992"/>
        <a:ext cx="624942" cy="624942"/>
      </dsp:txXfrm>
    </dsp:sp>
    <dsp:sp modelId="{651AFE21-DCC6-9D4B-A828-5D42E72F898A}">
      <dsp:nvSpPr>
        <dsp:cNvPr id="0" name=""/>
        <dsp:cNvSpPr/>
      </dsp:nvSpPr>
      <dsp:spPr>
        <a:xfrm>
          <a:off x="793206" y="1479412"/>
          <a:ext cx="127867" cy="159508"/>
        </a:xfrm>
        <a:prstGeom prst="rightArrow">
          <a:avLst>
            <a:gd name="adj1" fmla="val 60000"/>
            <a:gd name="adj2" fmla="val 50000"/>
          </a:avLst>
        </a:prstGeom>
        <a:gradFill rotWithShape="0">
          <a:gsLst>
            <a:gs pos="0">
              <a:schemeClr val="dk1">
                <a:tint val="60000"/>
                <a:hueOff val="0"/>
                <a:satOff val="0"/>
                <a:lumOff val="0"/>
                <a:alphaOff val="0"/>
                <a:tint val="100000"/>
                <a:shade val="100000"/>
                <a:satMod val="130000"/>
              </a:schemeClr>
            </a:gs>
            <a:gs pos="100000">
              <a:schemeClr val="dk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793206" y="1511314"/>
        <a:ext cx="89507" cy="95704"/>
      </dsp:txXfrm>
    </dsp:sp>
    <dsp:sp modelId="{15A9147E-2BC3-A240-A1F4-89FC976BB686}">
      <dsp:nvSpPr>
        <dsp:cNvPr id="0" name=""/>
        <dsp:cNvSpPr/>
      </dsp:nvSpPr>
      <dsp:spPr>
        <a:xfrm>
          <a:off x="1030675" y="1227252"/>
          <a:ext cx="663828" cy="663828"/>
        </a:xfrm>
        <a:prstGeom prst="roundRect">
          <a:avLst>
            <a:gd name="adj" fmla="val 10000"/>
          </a:avLst>
        </a:prstGeom>
        <a:solidFill>
          <a:schemeClr val="dk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5A7E04EC-BF36-5142-B4A3-FC92AE3F29F9}">
      <dsp:nvSpPr>
        <dsp:cNvPr id="0" name=""/>
        <dsp:cNvSpPr/>
      </dsp:nvSpPr>
      <dsp:spPr>
        <a:xfrm>
          <a:off x="1138740" y="1625549"/>
          <a:ext cx="663828" cy="663828"/>
        </a:xfrm>
        <a:prstGeom prst="roundRect">
          <a:avLst>
            <a:gd name="adj" fmla="val 10000"/>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latin typeface="Arial"/>
              <a:cs typeface="Arial"/>
            </a:rPr>
            <a:t>Quant</a:t>
          </a:r>
        </a:p>
        <a:p>
          <a:pPr marL="57150" lvl="1" indent="-57150" algn="l" defTabSz="222250">
            <a:lnSpc>
              <a:spcPct val="90000"/>
            </a:lnSpc>
            <a:spcBef>
              <a:spcPct val="0"/>
            </a:spcBef>
            <a:spcAft>
              <a:spcPct val="15000"/>
            </a:spcAft>
            <a:buChar char="•"/>
          </a:pPr>
          <a:r>
            <a:rPr lang="en-US" sz="500" kern="1200">
              <a:latin typeface="Arial"/>
              <a:cs typeface="Arial"/>
            </a:rPr>
            <a:t>Intervention study</a:t>
          </a:r>
        </a:p>
        <a:p>
          <a:pPr marL="57150" lvl="1" indent="-57150" algn="l" defTabSz="222250">
            <a:lnSpc>
              <a:spcPct val="90000"/>
            </a:lnSpc>
            <a:spcBef>
              <a:spcPct val="0"/>
            </a:spcBef>
            <a:spcAft>
              <a:spcPct val="15000"/>
            </a:spcAft>
            <a:buChar char="•"/>
          </a:pPr>
          <a:r>
            <a:rPr lang="en-US" sz="500" kern="1200">
              <a:latin typeface="Arial"/>
              <a:cs typeface="Arial"/>
            </a:rPr>
            <a:t>Results</a:t>
          </a:r>
        </a:p>
      </dsp:txBody>
      <dsp:txXfrm>
        <a:off x="1158183" y="1644992"/>
        <a:ext cx="624942" cy="624942"/>
      </dsp:txXfrm>
    </dsp:sp>
    <dsp:sp modelId="{8E46D2B8-F581-DC4B-94E9-AF6CBE255EAA}">
      <dsp:nvSpPr>
        <dsp:cNvPr id="0" name=""/>
        <dsp:cNvSpPr/>
      </dsp:nvSpPr>
      <dsp:spPr>
        <a:xfrm>
          <a:off x="1822371" y="1479412"/>
          <a:ext cx="127867" cy="159508"/>
        </a:xfrm>
        <a:prstGeom prst="rightArrow">
          <a:avLst>
            <a:gd name="adj1" fmla="val 60000"/>
            <a:gd name="adj2" fmla="val 50000"/>
          </a:avLst>
        </a:prstGeom>
        <a:gradFill rotWithShape="0">
          <a:gsLst>
            <a:gs pos="0">
              <a:schemeClr val="dk1">
                <a:tint val="60000"/>
                <a:hueOff val="0"/>
                <a:satOff val="0"/>
                <a:lumOff val="0"/>
                <a:alphaOff val="0"/>
                <a:tint val="100000"/>
                <a:shade val="100000"/>
                <a:satMod val="130000"/>
              </a:schemeClr>
            </a:gs>
            <a:gs pos="100000">
              <a:schemeClr val="dk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1822371" y="1511314"/>
        <a:ext cx="89507" cy="95704"/>
      </dsp:txXfrm>
    </dsp:sp>
    <dsp:sp modelId="{FA09B275-2BE7-1E40-84F4-283BFF3A2826}">
      <dsp:nvSpPr>
        <dsp:cNvPr id="0" name=""/>
        <dsp:cNvSpPr/>
      </dsp:nvSpPr>
      <dsp:spPr>
        <a:xfrm>
          <a:off x="2059840" y="1227252"/>
          <a:ext cx="663828" cy="663828"/>
        </a:xfrm>
        <a:prstGeom prst="roundRect">
          <a:avLst>
            <a:gd name="adj" fmla="val 10000"/>
          </a:avLst>
        </a:prstGeom>
        <a:solidFill>
          <a:schemeClr val="dk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6576EB0C-1B2C-F642-A469-FADE0EA1D65A}">
      <dsp:nvSpPr>
        <dsp:cNvPr id="0" name=""/>
        <dsp:cNvSpPr/>
      </dsp:nvSpPr>
      <dsp:spPr>
        <a:xfrm>
          <a:off x="2167905" y="1625549"/>
          <a:ext cx="663828" cy="663828"/>
        </a:xfrm>
        <a:prstGeom prst="roundRect">
          <a:avLst>
            <a:gd name="adj" fmla="val 10000"/>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latin typeface="Arial"/>
              <a:cs typeface="Arial"/>
            </a:rPr>
            <a:t>Qual</a:t>
          </a:r>
        </a:p>
        <a:p>
          <a:pPr marL="57150" lvl="1" indent="-57150" algn="l" defTabSz="222250">
            <a:lnSpc>
              <a:spcPct val="90000"/>
            </a:lnSpc>
            <a:spcBef>
              <a:spcPct val="0"/>
            </a:spcBef>
            <a:spcAft>
              <a:spcPct val="15000"/>
            </a:spcAft>
            <a:buChar char="•"/>
          </a:pPr>
          <a:r>
            <a:rPr lang="en-US" sz="500" kern="1200">
              <a:latin typeface="Arial"/>
              <a:cs typeface="Arial"/>
            </a:rPr>
            <a:t> FG</a:t>
          </a:r>
        </a:p>
        <a:p>
          <a:pPr marL="57150" lvl="1" indent="-57150" algn="l" defTabSz="222250">
            <a:lnSpc>
              <a:spcPct val="90000"/>
            </a:lnSpc>
            <a:spcBef>
              <a:spcPct val="0"/>
            </a:spcBef>
            <a:spcAft>
              <a:spcPct val="15000"/>
            </a:spcAft>
            <a:buChar char="•"/>
          </a:pPr>
          <a:r>
            <a:rPr lang="en-US" sz="500" kern="1200">
              <a:latin typeface="Arial"/>
              <a:cs typeface="Arial"/>
            </a:rPr>
            <a:t>Results</a:t>
          </a:r>
        </a:p>
      </dsp:txBody>
      <dsp:txXfrm>
        <a:off x="2187348" y="1644992"/>
        <a:ext cx="624942" cy="624942"/>
      </dsp:txXfrm>
    </dsp:sp>
    <dsp:sp modelId="{4370341F-902B-154E-A342-D8B97CBA271B}">
      <dsp:nvSpPr>
        <dsp:cNvPr id="0" name=""/>
        <dsp:cNvSpPr/>
      </dsp:nvSpPr>
      <dsp:spPr>
        <a:xfrm>
          <a:off x="2851536" y="1479412"/>
          <a:ext cx="127867" cy="159508"/>
        </a:xfrm>
        <a:prstGeom prst="rightArrow">
          <a:avLst>
            <a:gd name="adj1" fmla="val 60000"/>
            <a:gd name="adj2" fmla="val 50000"/>
          </a:avLst>
        </a:prstGeom>
        <a:gradFill rotWithShape="0">
          <a:gsLst>
            <a:gs pos="0">
              <a:schemeClr val="dk1">
                <a:tint val="60000"/>
                <a:hueOff val="0"/>
                <a:satOff val="0"/>
                <a:lumOff val="0"/>
                <a:alphaOff val="0"/>
                <a:tint val="100000"/>
                <a:shade val="100000"/>
                <a:satMod val="130000"/>
              </a:schemeClr>
            </a:gs>
            <a:gs pos="100000">
              <a:schemeClr val="dk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2851536" y="1511314"/>
        <a:ext cx="89507" cy="95704"/>
      </dsp:txXfrm>
    </dsp:sp>
    <dsp:sp modelId="{71990F81-602C-3C4E-9E51-E337BB2D7D51}">
      <dsp:nvSpPr>
        <dsp:cNvPr id="0" name=""/>
        <dsp:cNvSpPr/>
      </dsp:nvSpPr>
      <dsp:spPr>
        <a:xfrm>
          <a:off x="3089006" y="1227252"/>
          <a:ext cx="663828" cy="663828"/>
        </a:xfrm>
        <a:prstGeom prst="roundRect">
          <a:avLst>
            <a:gd name="adj" fmla="val 10000"/>
          </a:avLst>
        </a:prstGeom>
        <a:solidFill>
          <a:schemeClr val="dk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4F4EED72-1872-C640-8441-4924012DC537}">
      <dsp:nvSpPr>
        <dsp:cNvPr id="0" name=""/>
        <dsp:cNvSpPr/>
      </dsp:nvSpPr>
      <dsp:spPr>
        <a:xfrm>
          <a:off x="3197071" y="1625549"/>
          <a:ext cx="663828" cy="663828"/>
        </a:xfrm>
        <a:prstGeom prst="roundRect">
          <a:avLst>
            <a:gd name="adj" fmla="val 10000"/>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latin typeface="Arial"/>
              <a:cs typeface="Arial"/>
            </a:rPr>
            <a:t>Quant</a:t>
          </a:r>
        </a:p>
        <a:p>
          <a:pPr marL="57150" lvl="1" indent="-57150" algn="l" defTabSz="222250">
            <a:lnSpc>
              <a:spcPct val="90000"/>
            </a:lnSpc>
            <a:spcBef>
              <a:spcPct val="0"/>
            </a:spcBef>
            <a:spcAft>
              <a:spcPct val="15000"/>
            </a:spcAft>
            <a:buChar char="•"/>
          </a:pPr>
          <a:r>
            <a:rPr lang="en-US" sz="500" kern="1200">
              <a:latin typeface="Arial"/>
              <a:cs typeface="Arial"/>
            </a:rPr>
            <a:t>Survey</a:t>
          </a:r>
        </a:p>
        <a:p>
          <a:pPr marL="57150" lvl="1" indent="-57150" algn="l" defTabSz="222250">
            <a:lnSpc>
              <a:spcPct val="90000"/>
            </a:lnSpc>
            <a:spcBef>
              <a:spcPct val="0"/>
            </a:spcBef>
            <a:spcAft>
              <a:spcPct val="15000"/>
            </a:spcAft>
            <a:buChar char="•"/>
          </a:pPr>
          <a:r>
            <a:rPr lang="en-US" sz="500" kern="1200">
              <a:latin typeface="Arial"/>
              <a:cs typeface="Arial"/>
            </a:rPr>
            <a:t>Results</a:t>
          </a:r>
        </a:p>
      </dsp:txBody>
      <dsp:txXfrm>
        <a:off x="3216514" y="1644992"/>
        <a:ext cx="624942" cy="624942"/>
      </dsp:txXfrm>
    </dsp:sp>
    <dsp:sp modelId="{73E7B029-21BF-8E4A-A395-A00B072EB178}">
      <dsp:nvSpPr>
        <dsp:cNvPr id="0" name=""/>
        <dsp:cNvSpPr/>
      </dsp:nvSpPr>
      <dsp:spPr>
        <a:xfrm>
          <a:off x="3880702" y="1479412"/>
          <a:ext cx="127867" cy="159508"/>
        </a:xfrm>
        <a:prstGeom prst="rightArrow">
          <a:avLst>
            <a:gd name="adj1" fmla="val 60000"/>
            <a:gd name="adj2" fmla="val 50000"/>
          </a:avLst>
        </a:prstGeom>
        <a:gradFill rotWithShape="0">
          <a:gsLst>
            <a:gs pos="0">
              <a:schemeClr val="dk1">
                <a:tint val="60000"/>
                <a:hueOff val="0"/>
                <a:satOff val="0"/>
                <a:lumOff val="0"/>
                <a:alphaOff val="0"/>
                <a:tint val="100000"/>
                <a:shade val="100000"/>
                <a:satMod val="130000"/>
              </a:schemeClr>
            </a:gs>
            <a:gs pos="100000">
              <a:schemeClr val="dk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3880702" y="1511314"/>
        <a:ext cx="89507" cy="95704"/>
      </dsp:txXfrm>
    </dsp:sp>
    <dsp:sp modelId="{6796DC51-BE38-BF4E-A189-3131BD3A90EA}">
      <dsp:nvSpPr>
        <dsp:cNvPr id="0" name=""/>
        <dsp:cNvSpPr/>
      </dsp:nvSpPr>
      <dsp:spPr>
        <a:xfrm>
          <a:off x="4118171" y="1227252"/>
          <a:ext cx="663828" cy="663828"/>
        </a:xfrm>
        <a:prstGeom prst="roundRect">
          <a:avLst>
            <a:gd name="adj" fmla="val 10000"/>
          </a:avLst>
        </a:prstGeom>
        <a:solidFill>
          <a:schemeClr val="dk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2C6C79DB-91E9-5746-895C-4D518F61F987}">
      <dsp:nvSpPr>
        <dsp:cNvPr id="0" name=""/>
        <dsp:cNvSpPr/>
      </dsp:nvSpPr>
      <dsp:spPr>
        <a:xfrm>
          <a:off x="4226236" y="1625549"/>
          <a:ext cx="663828" cy="663828"/>
        </a:xfrm>
        <a:prstGeom prst="roundRect">
          <a:avLst>
            <a:gd name="adj" fmla="val 10000"/>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latin typeface="Arial"/>
              <a:cs typeface="Arial"/>
            </a:rPr>
            <a:t>Qual</a:t>
          </a:r>
        </a:p>
        <a:p>
          <a:pPr marL="57150" lvl="1" indent="-57150" algn="l" defTabSz="222250">
            <a:lnSpc>
              <a:spcPct val="90000"/>
            </a:lnSpc>
            <a:spcBef>
              <a:spcPct val="0"/>
            </a:spcBef>
            <a:spcAft>
              <a:spcPct val="15000"/>
            </a:spcAft>
            <a:buChar char="•"/>
          </a:pPr>
          <a:r>
            <a:rPr lang="en-US" sz="500" kern="1200">
              <a:latin typeface="Arial"/>
              <a:cs typeface="Arial"/>
            </a:rPr>
            <a:t>Interviews</a:t>
          </a:r>
        </a:p>
        <a:p>
          <a:pPr marL="57150" lvl="1" indent="-57150" algn="l" defTabSz="222250">
            <a:lnSpc>
              <a:spcPct val="90000"/>
            </a:lnSpc>
            <a:spcBef>
              <a:spcPct val="0"/>
            </a:spcBef>
            <a:spcAft>
              <a:spcPct val="15000"/>
            </a:spcAft>
            <a:buChar char="•"/>
          </a:pPr>
          <a:r>
            <a:rPr lang="en-US" sz="500" kern="1200">
              <a:latin typeface="Arial"/>
              <a:cs typeface="Arial"/>
            </a:rPr>
            <a:t>Results</a:t>
          </a:r>
        </a:p>
      </dsp:txBody>
      <dsp:txXfrm>
        <a:off x="4245679" y="1644992"/>
        <a:ext cx="624942" cy="624942"/>
      </dsp:txXfrm>
    </dsp:sp>
    <dsp:sp modelId="{7518930D-F14E-B849-B1C7-C4740A8FCFEA}">
      <dsp:nvSpPr>
        <dsp:cNvPr id="0" name=""/>
        <dsp:cNvSpPr/>
      </dsp:nvSpPr>
      <dsp:spPr>
        <a:xfrm>
          <a:off x="4909867" y="1479412"/>
          <a:ext cx="127867" cy="159508"/>
        </a:xfrm>
        <a:prstGeom prst="rightArrow">
          <a:avLst>
            <a:gd name="adj1" fmla="val 60000"/>
            <a:gd name="adj2" fmla="val 50000"/>
          </a:avLst>
        </a:prstGeom>
        <a:gradFill rotWithShape="0">
          <a:gsLst>
            <a:gs pos="0">
              <a:schemeClr val="dk1">
                <a:tint val="60000"/>
                <a:hueOff val="0"/>
                <a:satOff val="0"/>
                <a:lumOff val="0"/>
                <a:alphaOff val="0"/>
                <a:tint val="100000"/>
                <a:shade val="100000"/>
                <a:satMod val="130000"/>
              </a:schemeClr>
            </a:gs>
            <a:gs pos="100000">
              <a:schemeClr val="dk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4909867" y="1511314"/>
        <a:ext cx="89507" cy="95704"/>
      </dsp:txXfrm>
    </dsp:sp>
    <dsp:sp modelId="{5AE15544-0613-E14B-B1D9-58EB64B51DC1}">
      <dsp:nvSpPr>
        <dsp:cNvPr id="0" name=""/>
        <dsp:cNvSpPr/>
      </dsp:nvSpPr>
      <dsp:spPr>
        <a:xfrm>
          <a:off x="5147336" y="1227252"/>
          <a:ext cx="663828" cy="663828"/>
        </a:xfrm>
        <a:prstGeom prst="roundRect">
          <a:avLst>
            <a:gd name="adj" fmla="val 10000"/>
          </a:avLst>
        </a:prstGeom>
        <a:solidFill>
          <a:schemeClr val="dk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7E006B15-BB4F-6943-9AC9-EB27CEBF02F8}">
      <dsp:nvSpPr>
        <dsp:cNvPr id="0" name=""/>
        <dsp:cNvSpPr/>
      </dsp:nvSpPr>
      <dsp:spPr>
        <a:xfrm>
          <a:off x="5255401" y="1625549"/>
          <a:ext cx="663828" cy="663828"/>
        </a:xfrm>
        <a:prstGeom prst="roundRect">
          <a:avLst>
            <a:gd name="adj" fmla="val 10000"/>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Arial"/>
              <a:cs typeface="Arial"/>
            </a:rPr>
            <a:t>Triangulation</a:t>
          </a:r>
        </a:p>
      </dsp:txBody>
      <dsp:txXfrm>
        <a:off x="5274844" y="1644992"/>
        <a:ext cx="624942" cy="62494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EE9CE6-0ABB-F14B-8299-D4BFC2EC579D}">
      <dsp:nvSpPr>
        <dsp:cNvPr id="0" name=""/>
        <dsp:cNvSpPr/>
      </dsp:nvSpPr>
      <dsp:spPr>
        <a:xfrm rot="5400000">
          <a:off x="-96538" y="100963"/>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 Introduction to thesis</a:t>
          </a:r>
        </a:p>
      </dsp:txBody>
      <dsp:txXfrm rot="-5400000">
        <a:off x="1" y="229681"/>
        <a:ext cx="450511" cy="193077"/>
      </dsp:txXfrm>
    </dsp:sp>
    <dsp:sp modelId="{28826DD3-E030-6044-B2F2-D85EF85F6960}">
      <dsp:nvSpPr>
        <dsp:cNvPr id="0" name=""/>
        <dsp:cNvSpPr/>
      </dsp:nvSpPr>
      <dsp:spPr>
        <a:xfrm rot="5400000">
          <a:off x="2406229" y="-1951293"/>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Background and rationale</a:t>
          </a:r>
        </a:p>
        <a:p>
          <a:pPr marL="57150" lvl="1" indent="-57150" algn="l" defTabSz="222250">
            <a:lnSpc>
              <a:spcPct val="90000"/>
            </a:lnSpc>
            <a:spcBef>
              <a:spcPct val="0"/>
            </a:spcBef>
            <a:spcAft>
              <a:spcPct val="15000"/>
            </a:spcAft>
            <a:buChar char="•"/>
          </a:pPr>
          <a:r>
            <a:rPr lang="en-US" sz="500" kern="1200"/>
            <a:t>Design and structure of thesis</a:t>
          </a:r>
        </a:p>
        <a:p>
          <a:pPr marL="57150" lvl="1" indent="-57150" algn="l" defTabSz="222250">
            <a:lnSpc>
              <a:spcPct val="90000"/>
            </a:lnSpc>
            <a:spcBef>
              <a:spcPct val="0"/>
            </a:spcBef>
            <a:spcAft>
              <a:spcPct val="15000"/>
            </a:spcAft>
            <a:buChar char="•"/>
          </a:pPr>
          <a:r>
            <a:rPr lang="en-US" sz="500" kern="1200"/>
            <a:t>Research question</a:t>
          </a:r>
        </a:p>
      </dsp:txBody>
      <dsp:txXfrm rot="-5400000">
        <a:off x="450512" y="24845"/>
        <a:ext cx="4309347" cy="377490"/>
      </dsp:txXfrm>
    </dsp:sp>
    <dsp:sp modelId="{B422BFF3-8BFD-2144-8980-375702EA9496}">
      <dsp:nvSpPr>
        <dsp:cNvPr id="0" name=""/>
        <dsp:cNvSpPr/>
      </dsp:nvSpPr>
      <dsp:spPr>
        <a:xfrm rot="5400000">
          <a:off x="-96538" y="684450"/>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2: Literature review</a:t>
          </a:r>
        </a:p>
      </dsp:txBody>
      <dsp:txXfrm rot="-5400000">
        <a:off x="1" y="813168"/>
        <a:ext cx="450511" cy="193077"/>
      </dsp:txXfrm>
    </dsp:sp>
    <dsp:sp modelId="{8BDAA81E-2E4E-9C4A-9A67-4855D9BA1510}">
      <dsp:nvSpPr>
        <dsp:cNvPr id="0" name=""/>
        <dsp:cNvSpPr/>
      </dsp:nvSpPr>
      <dsp:spPr>
        <a:xfrm rot="5400000">
          <a:off x="2406229" y="-1367805"/>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The undergraduate medical curriculum and preapredness to practice</a:t>
          </a:r>
        </a:p>
        <a:p>
          <a:pPr marL="57150" lvl="1" indent="-57150" algn="l" defTabSz="222250">
            <a:lnSpc>
              <a:spcPct val="90000"/>
            </a:lnSpc>
            <a:spcBef>
              <a:spcPct val="0"/>
            </a:spcBef>
            <a:spcAft>
              <a:spcPct val="15000"/>
            </a:spcAft>
            <a:buChar char="•"/>
          </a:pPr>
          <a:r>
            <a:rPr lang="en-US" sz="500" kern="1200"/>
            <a:t>Simulation Based medical education - theory, evidence and best practice</a:t>
          </a:r>
        </a:p>
        <a:p>
          <a:pPr marL="57150" lvl="1" indent="-57150" algn="l" defTabSz="222250">
            <a:lnSpc>
              <a:spcPct val="90000"/>
            </a:lnSpc>
            <a:spcBef>
              <a:spcPct val="0"/>
            </a:spcBef>
            <a:spcAft>
              <a:spcPct val="15000"/>
            </a:spcAft>
            <a:buChar char="•"/>
          </a:pPr>
          <a:r>
            <a:rPr lang="en-US" sz="500" kern="1200"/>
            <a:t>Confidence and competence</a:t>
          </a:r>
        </a:p>
      </dsp:txBody>
      <dsp:txXfrm rot="-5400000">
        <a:off x="450512" y="608333"/>
        <a:ext cx="4309347" cy="377490"/>
      </dsp:txXfrm>
    </dsp:sp>
    <dsp:sp modelId="{A0202F08-BEC9-8F43-8711-F30ADE817D18}">
      <dsp:nvSpPr>
        <dsp:cNvPr id="0" name=""/>
        <dsp:cNvSpPr/>
      </dsp:nvSpPr>
      <dsp:spPr>
        <a:xfrm rot="5400000">
          <a:off x="-96538" y="1267938"/>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3: Methodology</a:t>
          </a:r>
        </a:p>
      </dsp:txBody>
      <dsp:txXfrm rot="-5400000">
        <a:off x="1" y="1396656"/>
        <a:ext cx="450511" cy="193077"/>
      </dsp:txXfrm>
    </dsp:sp>
    <dsp:sp modelId="{06B263AD-CC10-0D49-8145-0C283F585CD5}">
      <dsp:nvSpPr>
        <dsp:cNvPr id="0" name=""/>
        <dsp:cNvSpPr/>
      </dsp:nvSpPr>
      <dsp:spPr>
        <a:xfrm rot="5400000">
          <a:off x="2406229" y="-784317"/>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Research design - quantitative and qualitative methods</a:t>
          </a:r>
        </a:p>
        <a:p>
          <a:pPr marL="57150" lvl="1" indent="-57150" algn="l" defTabSz="222250">
            <a:lnSpc>
              <a:spcPct val="90000"/>
            </a:lnSpc>
            <a:spcBef>
              <a:spcPct val="0"/>
            </a:spcBef>
            <a:spcAft>
              <a:spcPct val="15000"/>
            </a:spcAft>
            <a:buChar char="•"/>
          </a:pPr>
          <a:r>
            <a:rPr lang="en-US" sz="500" kern="1200"/>
            <a:t>Triangulation of data</a:t>
          </a:r>
        </a:p>
        <a:p>
          <a:pPr marL="57150" lvl="1" indent="-57150" algn="l" defTabSz="222250">
            <a:lnSpc>
              <a:spcPct val="90000"/>
            </a:lnSpc>
            <a:spcBef>
              <a:spcPct val="0"/>
            </a:spcBef>
            <a:spcAft>
              <a:spcPct val="15000"/>
            </a:spcAft>
            <a:buChar char="•"/>
          </a:pPr>
          <a:r>
            <a:rPr lang="en-US" sz="500" kern="1200"/>
            <a:t>Data analysis</a:t>
          </a:r>
        </a:p>
      </dsp:txBody>
      <dsp:txXfrm rot="-5400000">
        <a:off x="450512" y="1191821"/>
        <a:ext cx="4309347" cy="377490"/>
      </dsp:txXfrm>
    </dsp:sp>
    <dsp:sp modelId="{31EA3204-EDC1-4F43-84C9-41DE884256E5}">
      <dsp:nvSpPr>
        <dsp:cNvPr id="0" name=""/>
        <dsp:cNvSpPr/>
      </dsp:nvSpPr>
      <dsp:spPr>
        <a:xfrm rot="5400000">
          <a:off x="-96538" y="1851426"/>
          <a:ext cx="643588" cy="450511"/>
        </a:xfrm>
        <a:prstGeom prst="chevron">
          <a:avLst/>
        </a:prstGeom>
        <a:solidFill>
          <a:srgbClr val="80000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4: Focus groups pre-pilot</a:t>
          </a:r>
        </a:p>
      </dsp:txBody>
      <dsp:txXfrm rot="-5400000">
        <a:off x="1" y="1980144"/>
        <a:ext cx="450511" cy="193077"/>
      </dsp:txXfrm>
    </dsp:sp>
    <dsp:sp modelId="{9D5418D3-F08D-8545-87B2-2FD7B1D1031E}">
      <dsp:nvSpPr>
        <dsp:cNvPr id="0" name=""/>
        <dsp:cNvSpPr/>
      </dsp:nvSpPr>
      <dsp:spPr>
        <a:xfrm rot="5400000">
          <a:off x="2406229" y="-200830"/>
          <a:ext cx="418332" cy="4329768"/>
        </a:xfrm>
        <a:prstGeom prst="round2SameRect">
          <a:avLst/>
        </a:prstGeom>
        <a:solidFill>
          <a:srgbClr val="800000">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rgbClr val="FFFFFF"/>
              </a:solidFill>
            </a:rPr>
            <a:t>Methods</a:t>
          </a:r>
        </a:p>
        <a:p>
          <a:pPr marL="57150" lvl="1" indent="-57150" algn="l" defTabSz="400050">
            <a:lnSpc>
              <a:spcPct val="90000"/>
            </a:lnSpc>
            <a:spcBef>
              <a:spcPct val="0"/>
            </a:spcBef>
            <a:spcAft>
              <a:spcPct val="15000"/>
            </a:spcAft>
            <a:buChar char="•"/>
          </a:pPr>
          <a:r>
            <a:rPr lang="en-US" sz="900" kern="1200">
              <a:solidFill>
                <a:srgbClr val="FFFFFF"/>
              </a:solidFill>
            </a:rPr>
            <a:t>Emergent themes</a:t>
          </a:r>
        </a:p>
        <a:p>
          <a:pPr marL="57150" lvl="1" indent="-57150" algn="l" defTabSz="400050">
            <a:lnSpc>
              <a:spcPct val="90000"/>
            </a:lnSpc>
            <a:spcBef>
              <a:spcPct val="0"/>
            </a:spcBef>
            <a:spcAft>
              <a:spcPct val="15000"/>
            </a:spcAft>
            <a:buChar char="•"/>
          </a:pPr>
          <a:r>
            <a:rPr lang="en-US" sz="900" kern="1200">
              <a:solidFill>
                <a:srgbClr val="FFFFFF"/>
              </a:solidFill>
            </a:rPr>
            <a:t>Venn diagram to summarise</a:t>
          </a:r>
        </a:p>
      </dsp:txBody>
      <dsp:txXfrm rot="-5400000">
        <a:off x="450512" y="1775308"/>
        <a:ext cx="4309347" cy="377490"/>
      </dsp:txXfrm>
    </dsp:sp>
    <dsp:sp modelId="{CCC28DE8-0568-7547-9A1F-3C6F0F33A2CF}">
      <dsp:nvSpPr>
        <dsp:cNvPr id="0" name=""/>
        <dsp:cNvSpPr/>
      </dsp:nvSpPr>
      <dsp:spPr>
        <a:xfrm rot="5400000">
          <a:off x="-96538" y="2434913"/>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5: Design of intervention</a:t>
          </a:r>
        </a:p>
      </dsp:txBody>
      <dsp:txXfrm rot="-5400000">
        <a:off x="1" y="2563631"/>
        <a:ext cx="450511" cy="193077"/>
      </dsp:txXfrm>
    </dsp:sp>
    <dsp:sp modelId="{F1EE7E3F-25DA-8041-85A7-EBBF11BC4C56}">
      <dsp:nvSpPr>
        <dsp:cNvPr id="0" name=""/>
        <dsp:cNvSpPr/>
      </dsp:nvSpPr>
      <dsp:spPr>
        <a:xfrm rot="5400000">
          <a:off x="2406229" y="382657"/>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Educational theory, equipment</a:t>
          </a:r>
        </a:p>
        <a:p>
          <a:pPr marL="57150" lvl="1" indent="-57150" algn="l" defTabSz="222250">
            <a:lnSpc>
              <a:spcPct val="90000"/>
            </a:lnSpc>
            <a:spcBef>
              <a:spcPct val="0"/>
            </a:spcBef>
            <a:spcAft>
              <a:spcPct val="15000"/>
            </a:spcAft>
            <a:buChar char="•"/>
          </a:pPr>
          <a:r>
            <a:rPr lang="en-US" sz="500" kern="1200"/>
            <a:t>Assessment design and validation</a:t>
          </a:r>
        </a:p>
      </dsp:txBody>
      <dsp:txXfrm rot="-5400000">
        <a:off x="450512" y="2358796"/>
        <a:ext cx="4309347" cy="377490"/>
      </dsp:txXfrm>
    </dsp:sp>
    <dsp:sp modelId="{844AC346-AEB9-A649-8C9D-DBF2769C8FFC}">
      <dsp:nvSpPr>
        <dsp:cNvPr id="0" name=""/>
        <dsp:cNvSpPr/>
      </dsp:nvSpPr>
      <dsp:spPr>
        <a:xfrm rot="5400000">
          <a:off x="-96538" y="3018401"/>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6: Pilot study</a:t>
          </a:r>
        </a:p>
      </dsp:txBody>
      <dsp:txXfrm rot="-5400000">
        <a:off x="1" y="3147119"/>
        <a:ext cx="450511" cy="193077"/>
      </dsp:txXfrm>
    </dsp:sp>
    <dsp:sp modelId="{C80BEB0B-E1AB-4443-9F91-9D6894D7833E}">
      <dsp:nvSpPr>
        <dsp:cNvPr id="0" name=""/>
        <dsp:cNvSpPr/>
      </dsp:nvSpPr>
      <dsp:spPr>
        <a:xfrm rot="5400000">
          <a:off x="2406229" y="966145"/>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Data analysis, conclusions</a:t>
          </a:r>
        </a:p>
      </dsp:txBody>
      <dsp:txXfrm rot="-5400000">
        <a:off x="450512" y="2942284"/>
        <a:ext cx="4309347" cy="377490"/>
      </dsp:txXfrm>
    </dsp:sp>
    <dsp:sp modelId="{B9872B13-1174-E847-A615-29577404DF21}">
      <dsp:nvSpPr>
        <dsp:cNvPr id="0" name=""/>
        <dsp:cNvSpPr/>
      </dsp:nvSpPr>
      <dsp:spPr>
        <a:xfrm rot="5400000">
          <a:off x="-96538" y="3601889"/>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7: Intervention study</a:t>
          </a:r>
        </a:p>
      </dsp:txBody>
      <dsp:txXfrm rot="-5400000">
        <a:off x="1" y="3730607"/>
        <a:ext cx="450511" cy="193077"/>
      </dsp:txXfrm>
    </dsp:sp>
    <dsp:sp modelId="{DCD4A931-4F01-F440-965B-DC25AA6FE080}">
      <dsp:nvSpPr>
        <dsp:cNvPr id="0" name=""/>
        <dsp:cNvSpPr/>
      </dsp:nvSpPr>
      <dsp:spPr>
        <a:xfrm rot="5400000">
          <a:off x="2406229" y="1549632"/>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Aims and objectives, methods, results</a:t>
          </a:r>
        </a:p>
        <a:p>
          <a:pPr marL="57150" lvl="1" indent="-57150" algn="l" defTabSz="222250">
            <a:lnSpc>
              <a:spcPct val="90000"/>
            </a:lnSpc>
            <a:spcBef>
              <a:spcPct val="0"/>
            </a:spcBef>
            <a:spcAft>
              <a:spcPct val="15000"/>
            </a:spcAft>
            <a:buChar char="•"/>
          </a:pPr>
          <a:r>
            <a:rPr lang="en-US" sz="500" kern="1200"/>
            <a:t>Quantitative and qualitative data collection and analysis </a:t>
          </a:r>
        </a:p>
        <a:p>
          <a:pPr marL="57150" lvl="1" indent="-57150" algn="l" defTabSz="222250">
            <a:lnSpc>
              <a:spcPct val="90000"/>
            </a:lnSpc>
            <a:spcBef>
              <a:spcPct val="0"/>
            </a:spcBef>
            <a:spcAft>
              <a:spcPct val="15000"/>
            </a:spcAft>
            <a:buChar char="•"/>
          </a:pPr>
          <a:r>
            <a:rPr lang="en-US" sz="500" kern="1200"/>
            <a:t>Results</a:t>
          </a:r>
        </a:p>
      </dsp:txBody>
      <dsp:txXfrm rot="-5400000">
        <a:off x="450512" y="3525771"/>
        <a:ext cx="4309347" cy="377490"/>
      </dsp:txXfrm>
    </dsp:sp>
    <dsp:sp modelId="{1BEBF742-7231-9A43-956E-CA771CBEB303}">
      <dsp:nvSpPr>
        <dsp:cNvPr id="0" name=""/>
        <dsp:cNvSpPr/>
      </dsp:nvSpPr>
      <dsp:spPr>
        <a:xfrm rot="5400000">
          <a:off x="-96538" y="4185376"/>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8: Triangulation</a:t>
          </a:r>
        </a:p>
      </dsp:txBody>
      <dsp:txXfrm rot="-5400000">
        <a:off x="1" y="4314094"/>
        <a:ext cx="450511" cy="193077"/>
      </dsp:txXfrm>
    </dsp:sp>
    <dsp:sp modelId="{E333A2BF-2002-DB46-BE84-7039BDC5083E}">
      <dsp:nvSpPr>
        <dsp:cNvPr id="0" name=""/>
        <dsp:cNvSpPr/>
      </dsp:nvSpPr>
      <dsp:spPr>
        <a:xfrm rot="5400000">
          <a:off x="2406229" y="2133120"/>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Conceptual framework, conclusions</a:t>
          </a:r>
        </a:p>
      </dsp:txBody>
      <dsp:txXfrm rot="-5400000">
        <a:off x="450512" y="4109259"/>
        <a:ext cx="4309347" cy="377490"/>
      </dsp:txXfrm>
    </dsp:sp>
    <dsp:sp modelId="{E86BF6A3-BA90-BB43-908F-24E76E7D1587}">
      <dsp:nvSpPr>
        <dsp:cNvPr id="0" name=""/>
        <dsp:cNvSpPr/>
      </dsp:nvSpPr>
      <dsp:spPr>
        <a:xfrm rot="5400000">
          <a:off x="-96538" y="4768864"/>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9: Discussion</a:t>
          </a:r>
        </a:p>
      </dsp:txBody>
      <dsp:txXfrm rot="-5400000">
        <a:off x="1" y="4897582"/>
        <a:ext cx="450511" cy="193077"/>
      </dsp:txXfrm>
    </dsp:sp>
    <dsp:sp modelId="{E2DE84BA-2462-A242-AC94-46E19F99F1BB}">
      <dsp:nvSpPr>
        <dsp:cNvPr id="0" name=""/>
        <dsp:cNvSpPr/>
      </dsp:nvSpPr>
      <dsp:spPr>
        <a:xfrm rot="5400000">
          <a:off x="2406229" y="2716608"/>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Preparedness for practice</a:t>
          </a:r>
        </a:p>
        <a:p>
          <a:pPr marL="57150" lvl="1" indent="-57150" algn="l" defTabSz="222250">
            <a:lnSpc>
              <a:spcPct val="90000"/>
            </a:lnSpc>
            <a:spcBef>
              <a:spcPct val="0"/>
            </a:spcBef>
            <a:spcAft>
              <a:spcPct val="15000"/>
            </a:spcAft>
            <a:buChar char="•"/>
          </a:pPr>
          <a:r>
            <a:rPr lang="en-US" sz="500" kern="1200"/>
            <a:t>Added value of simulation</a:t>
          </a:r>
        </a:p>
        <a:p>
          <a:pPr marL="57150" lvl="1" indent="-57150" algn="l" defTabSz="222250">
            <a:lnSpc>
              <a:spcPct val="90000"/>
            </a:lnSpc>
            <a:spcBef>
              <a:spcPct val="0"/>
            </a:spcBef>
            <a:spcAft>
              <a:spcPct val="15000"/>
            </a:spcAft>
            <a:buChar char="•"/>
          </a:pPr>
          <a:r>
            <a:rPr lang="en-US" sz="500" kern="1200"/>
            <a:t>Clinical cognitive competence</a:t>
          </a:r>
        </a:p>
        <a:p>
          <a:pPr marL="57150" lvl="1" indent="-57150" algn="l" defTabSz="222250">
            <a:lnSpc>
              <a:spcPct val="90000"/>
            </a:lnSpc>
            <a:spcBef>
              <a:spcPct val="0"/>
            </a:spcBef>
            <a:spcAft>
              <a:spcPct val="15000"/>
            </a:spcAft>
            <a:buChar char="•"/>
          </a:pPr>
          <a:r>
            <a:rPr lang="en-US" sz="500" kern="1200"/>
            <a:t>Clinical skills trajectory: Basics to mastery</a:t>
          </a:r>
        </a:p>
        <a:p>
          <a:pPr marL="57150" lvl="1" indent="-57150" algn="l" defTabSz="222250">
            <a:lnSpc>
              <a:spcPct val="90000"/>
            </a:lnSpc>
            <a:spcBef>
              <a:spcPct val="0"/>
            </a:spcBef>
            <a:spcAft>
              <a:spcPct val="15000"/>
            </a:spcAft>
            <a:buChar char="•"/>
          </a:pPr>
          <a:r>
            <a:rPr lang="en-US" sz="500" kern="1200"/>
            <a:t>Best practice guidance SBME</a:t>
          </a:r>
        </a:p>
      </dsp:txBody>
      <dsp:txXfrm rot="-5400000">
        <a:off x="450512" y="4692747"/>
        <a:ext cx="4309347" cy="377490"/>
      </dsp:txXfrm>
    </dsp:sp>
    <dsp:sp modelId="{B88D95AA-AFFF-224F-9EBE-1226F2119586}">
      <dsp:nvSpPr>
        <dsp:cNvPr id="0" name=""/>
        <dsp:cNvSpPr/>
      </dsp:nvSpPr>
      <dsp:spPr>
        <a:xfrm rot="5400000">
          <a:off x="-96538" y="5352352"/>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10: Conclusions</a:t>
          </a:r>
        </a:p>
      </dsp:txBody>
      <dsp:txXfrm rot="-5400000">
        <a:off x="1" y="5481070"/>
        <a:ext cx="450511" cy="193077"/>
      </dsp:txXfrm>
    </dsp:sp>
    <dsp:sp modelId="{BC4A5DFE-0373-0044-B473-93ADEF2A2324}">
      <dsp:nvSpPr>
        <dsp:cNvPr id="0" name=""/>
        <dsp:cNvSpPr/>
      </dsp:nvSpPr>
      <dsp:spPr>
        <a:xfrm rot="5400000">
          <a:off x="2406229" y="3300095"/>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Added value of SBME</a:t>
          </a:r>
        </a:p>
        <a:p>
          <a:pPr marL="57150" lvl="1" indent="-57150" algn="l" defTabSz="222250">
            <a:lnSpc>
              <a:spcPct val="90000"/>
            </a:lnSpc>
            <a:spcBef>
              <a:spcPct val="0"/>
            </a:spcBef>
            <a:spcAft>
              <a:spcPct val="15000"/>
            </a:spcAft>
            <a:buChar char="•"/>
          </a:pPr>
          <a:r>
            <a:rPr lang="en-US" sz="500" kern="1200"/>
            <a:t>Educational theory that underpins</a:t>
          </a:r>
        </a:p>
        <a:p>
          <a:pPr marL="57150" lvl="1" indent="-57150" algn="l" defTabSz="222250">
            <a:lnSpc>
              <a:spcPct val="90000"/>
            </a:lnSpc>
            <a:spcBef>
              <a:spcPct val="0"/>
            </a:spcBef>
            <a:spcAft>
              <a:spcPct val="15000"/>
            </a:spcAft>
            <a:buChar char="•"/>
          </a:pPr>
          <a:r>
            <a:rPr lang="en-US" sz="500" kern="1200"/>
            <a:t>Wider application of research - lessons </a:t>
          </a:r>
        </a:p>
      </dsp:txBody>
      <dsp:txXfrm rot="-5400000">
        <a:off x="450512" y="5276234"/>
        <a:ext cx="4309347" cy="377490"/>
      </dsp:txXfrm>
    </dsp:sp>
    <dsp:sp modelId="{ED0EEAAD-1F9F-C445-9ED5-D61D26A0F8D1}">
      <dsp:nvSpPr>
        <dsp:cNvPr id="0" name=""/>
        <dsp:cNvSpPr/>
      </dsp:nvSpPr>
      <dsp:spPr>
        <a:xfrm rot="5400000">
          <a:off x="-96538" y="5935839"/>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11: Recommendations for future work</a:t>
          </a:r>
        </a:p>
      </dsp:txBody>
      <dsp:txXfrm rot="-5400000">
        <a:off x="1" y="6064557"/>
        <a:ext cx="450511" cy="193077"/>
      </dsp:txXfrm>
    </dsp:sp>
    <dsp:sp modelId="{C174B10A-41E6-244B-88CB-0D08E5FFF5F9}">
      <dsp:nvSpPr>
        <dsp:cNvPr id="0" name=""/>
        <dsp:cNvSpPr/>
      </dsp:nvSpPr>
      <dsp:spPr>
        <a:xfrm rot="5400000">
          <a:off x="2406119" y="3883693"/>
          <a:ext cx="41855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175" rIns="3175" bIns="3175" numCol="1" spcCol="1270" anchor="ctr" anchorCtr="0">
          <a:noAutofit/>
        </a:bodyPr>
        <a:lstStyle/>
        <a:p>
          <a:pPr marL="57150" lvl="1" indent="-57150" algn="l" defTabSz="222250">
            <a:lnSpc>
              <a:spcPct val="90000"/>
            </a:lnSpc>
            <a:spcBef>
              <a:spcPct val="0"/>
            </a:spcBef>
            <a:spcAft>
              <a:spcPct val="15000"/>
            </a:spcAft>
            <a:buChar char="•"/>
          </a:pPr>
          <a:r>
            <a:rPr lang="en-US" sz="500" kern="1200"/>
            <a:t>Resilience</a:t>
          </a:r>
        </a:p>
        <a:p>
          <a:pPr marL="57150" lvl="1" indent="-57150" algn="l" defTabSz="222250">
            <a:lnSpc>
              <a:spcPct val="90000"/>
            </a:lnSpc>
            <a:spcBef>
              <a:spcPct val="0"/>
            </a:spcBef>
            <a:spcAft>
              <a:spcPct val="15000"/>
            </a:spcAft>
            <a:buChar char="•"/>
          </a:pPr>
          <a:r>
            <a:rPr lang="en-US" sz="500" kern="1200"/>
            <a:t>Responsibility</a:t>
          </a:r>
        </a:p>
        <a:p>
          <a:pPr marL="57150" lvl="1" indent="-57150" algn="l" defTabSz="222250">
            <a:lnSpc>
              <a:spcPct val="90000"/>
            </a:lnSpc>
            <a:spcBef>
              <a:spcPct val="0"/>
            </a:spcBef>
            <a:spcAft>
              <a:spcPct val="15000"/>
            </a:spcAft>
            <a:buChar char="•"/>
          </a:pPr>
          <a:r>
            <a:rPr lang="en-US" sz="500" kern="1200"/>
            <a:t>Simulation for assessment</a:t>
          </a:r>
        </a:p>
      </dsp:txBody>
      <dsp:txXfrm rot="-5400000">
        <a:off x="450511" y="5859733"/>
        <a:ext cx="4309336" cy="377688"/>
      </dsp:txXfrm>
    </dsp:sp>
    <dsp:sp modelId="{6DDDE256-1CA3-1140-A939-5530FC1F57D3}">
      <dsp:nvSpPr>
        <dsp:cNvPr id="0" name=""/>
        <dsp:cNvSpPr/>
      </dsp:nvSpPr>
      <dsp:spPr>
        <a:xfrm rot="5400000">
          <a:off x="-96538" y="6519327"/>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Bibliography</a:t>
          </a:r>
        </a:p>
      </dsp:txBody>
      <dsp:txXfrm rot="-5400000">
        <a:off x="1" y="6648045"/>
        <a:ext cx="450511" cy="193077"/>
      </dsp:txXfrm>
    </dsp:sp>
    <dsp:sp modelId="{999FDDA9-9F6A-1143-BE3C-B1E07CBE9945}">
      <dsp:nvSpPr>
        <dsp:cNvPr id="0" name=""/>
        <dsp:cNvSpPr/>
      </dsp:nvSpPr>
      <dsp:spPr>
        <a:xfrm rot="5400000">
          <a:off x="2406229" y="4467071"/>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8AF7672-2483-B34A-B763-89BD09AEBA58}">
      <dsp:nvSpPr>
        <dsp:cNvPr id="0" name=""/>
        <dsp:cNvSpPr/>
      </dsp:nvSpPr>
      <dsp:spPr>
        <a:xfrm rot="5400000">
          <a:off x="-96538" y="7102815"/>
          <a:ext cx="643588" cy="45051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n-US" sz="500" kern="1200"/>
            <a:t>Appendicies</a:t>
          </a:r>
        </a:p>
      </dsp:txBody>
      <dsp:txXfrm rot="-5400000">
        <a:off x="1" y="7231533"/>
        <a:ext cx="450511" cy="193077"/>
      </dsp:txXfrm>
    </dsp:sp>
    <dsp:sp modelId="{53F81CAC-F802-9240-8C94-B3E2B1F8761C}">
      <dsp:nvSpPr>
        <dsp:cNvPr id="0" name=""/>
        <dsp:cNvSpPr/>
      </dsp:nvSpPr>
      <dsp:spPr>
        <a:xfrm rot="5400000">
          <a:off x="2406229" y="5050559"/>
          <a:ext cx="418332" cy="43297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FD7EE0-20F1-544F-9B3E-721640F84B5B}">
      <dsp:nvSpPr>
        <dsp:cNvPr id="0" name=""/>
        <dsp:cNvSpPr/>
      </dsp:nvSpPr>
      <dsp:spPr>
        <a:xfrm>
          <a:off x="4080858" y="3393838"/>
          <a:ext cx="1729452" cy="1611383"/>
        </a:xfrm>
        <a:prstGeom prst="ellipse">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3D727D82-49EE-1043-9A4D-CFA4A4D207AB}">
      <dsp:nvSpPr>
        <dsp:cNvPr id="0" name=""/>
        <dsp:cNvSpPr/>
      </dsp:nvSpPr>
      <dsp:spPr>
        <a:xfrm>
          <a:off x="2708136" y="2081383"/>
          <a:ext cx="2161794" cy="1177630"/>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en-US" sz="2000" kern="1200"/>
            <a:t>Confidence</a:t>
          </a:r>
        </a:p>
      </dsp:txBody>
      <dsp:txXfrm>
        <a:off x="2708136" y="2081383"/>
        <a:ext cx="2161794" cy="1177630"/>
      </dsp:txXfrm>
    </dsp:sp>
    <dsp:sp modelId="{D9940C12-E6FC-F04E-8C27-89ED4D45A06E}">
      <dsp:nvSpPr>
        <dsp:cNvPr id="0" name=""/>
        <dsp:cNvSpPr/>
      </dsp:nvSpPr>
      <dsp:spPr>
        <a:xfrm>
          <a:off x="2230870" y="1126875"/>
          <a:ext cx="3082147" cy="3122149"/>
        </a:xfrm>
        <a:prstGeom prst="ellipse">
          <a:avLst/>
        </a:prstGeom>
        <a:solidFill>
          <a:schemeClr val="accent3">
            <a:alpha val="50000"/>
            <a:hueOff val="2250053"/>
            <a:satOff val="-3376"/>
            <a:lumOff val="-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637D75B5-4066-2841-81C6-ADBA02C8998A}">
      <dsp:nvSpPr>
        <dsp:cNvPr id="0" name=""/>
        <dsp:cNvSpPr/>
      </dsp:nvSpPr>
      <dsp:spPr>
        <a:xfrm>
          <a:off x="441160" y="1962075"/>
          <a:ext cx="2048660" cy="1218306"/>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488950">
            <a:lnSpc>
              <a:spcPct val="90000"/>
            </a:lnSpc>
            <a:spcBef>
              <a:spcPct val="0"/>
            </a:spcBef>
            <a:spcAft>
              <a:spcPct val="35000"/>
            </a:spcAft>
            <a:buNone/>
          </a:pPr>
          <a:r>
            <a:rPr lang="en-US" sz="1100" kern="1200"/>
            <a:t>Transferance</a:t>
          </a:r>
        </a:p>
        <a:p>
          <a:pPr marL="57150" lvl="1" indent="-57150" algn="l" defTabSz="400050">
            <a:lnSpc>
              <a:spcPct val="90000"/>
            </a:lnSpc>
            <a:spcBef>
              <a:spcPct val="0"/>
            </a:spcBef>
            <a:spcAft>
              <a:spcPct val="15000"/>
            </a:spcAft>
            <a:buChar char="•"/>
          </a:pPr>
          <a:r>
            <a:rPr lang="en-US" sz="900" kern="1200"/>
            <a:t>Skills to clinical environment</a:t>
          </a:r>
        </a:p>
        <a:p>
          <a:pPr marL="57150" lvl="1" indent="-57150" algn="l" defTabSz="400050">
            <a:lnSpc>
              <a:spcPct val="90000"/>
            </a:lnSpc>
            <a:spcBef>
              <a:spcPct val="0"/>
            </a:spcBef>
            <a:spcAft>
              <a:spcPct val="15000"/>
            </a:spcAft>
            <a:buChar char="•"/>
          </a:pPr>
          <a:r>
            <a:rPr lang="en-US" sz="900" kern="1200"/>
            <a:t>Knowledge into practice</a:t>
          </a:r>
        </a:p>
        <a:p>
          <a:pPr marL="57150" lvl="1" indent="-57150" algn="l" defTabSz="400050">
            <a:lnSpc>
              <a:spcPct val="90000"/>
            </a:lnSpc>
            <a:spcBef>
              <a:spcPct val="0"/>
            </a:spcBef>
            <a:spcAft>
              <a:spcPct val="15000"/>
            </a:spcAft>
            <a:buChar char="•"/>
          </a:pPr>
          <a:r>
            <a:rPr lang="en-US" sz="900" kern="1200"/>
            <a:t>Confidence to transfer skills</a:t>
          </a:r>
        </a:p>
      </dsp:txBody>
      <dsp:txXfrm>
        <a:off x="441160" y="1962075"/>
        <a:ext cx="2048660" cy="1218306"/>
      </dsp:txXfrm>
    </dsp:sp>
    <dsp:sp modelId="{32E4B4FF-8BD5-5641-923F-C64039456503}">
      <dsp:nvSpPr>
        <dsp:cNvPr id="0" name=""/>
        <dsp:cNvSpPr/>
      </dsp:nvSpPr>
      <dsp:spPr>
        <a:xfrm>
          <a:off x="2529777" y="3632477"/>
          <a:ext cx="1968062" cy="1968062"/>
        </a:xfrm>
        <a:prstGeom prst="ellipse">
          <a:avLst/>
        </a:prstGeom>
        <a:solidFill>
          <a:schemeClr val="accent3">
            <a:alpha val="50000"/>
            <a:hueOff val="4500106"/>
            <a:satOff val="-6752"/>
            <a:lumOff val="-1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A6459B6E-80F3-FE45-9EE4-606BB23DA500}">
      <dsp:nvSpPr>
        <dsp:cNvPr id="0" name=""/>
        <dsp:cNvSpPr/>
      </dsp:nvSpPr>
      <dsp:spPr>
        <a:xfrm>
          <a:off x="3901265" y="3393838"/>
          <a:ext cx="2048660" cy="1441196"/>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488950">
            <a:lnSpc>
              <a:spcPct val="90000"/>
            </a:lnSpc>
            <a:spcBef>
              <a:spcPct val="0"/>
            </a:spcBef>
            <a:spcAft>
              <a:spcPct val="35000"/>
            </a:spcAft>
            <a:buNone/>
          </a:pPr>
          <a:r>
            <a:rPr lang="en-US" sz="1100" kern="1200"/>
            <a:t>Expectations</a:t>
          </a:r>
        </a:p>
        <a:p>
          <a:pPr marL="57150" lvl="1" indent="-57150" algn="l" defTabSz="400050">
            <a:lnSpc>
              <a:spcPct val="90000"/>
            </a:lnSpc>
            <a:spcBef>
              <a:spcPct val="0"/>
            </a:spcBef>
            <a:spcAft>
              <a:spcPct val="15000"/>
            </a:spcAft>
            <a:buChar char="•"/>
          </a:pPr>
          <a:r>
            <a:rPr lang="en-US" sz="900" kern="1200"/>
            <a:t>How confident feel to be an FY1</a:t>
          </a:r>
        </a:p>
      </dsp:txBody>
      <dsp:txXfrm>
        <a:off x="3901265" y="3393838"/>
        <a:ext cx="2048660" cy="1441196"/>
      </dsp:txXfrm>
    </dsp:sp>
    <dsp:sp modelId="{5B454D46-93C6-F04C-BF13-EA6A7DB6C627}">
      <dsp:nvSpPr>
        <dsp:cNvPr id="0" name=""/>
        <dsp:cNvSpPr/>
      </dsp:nvSpPr>
      <dsp:spPr>
        <a:xfrm>
          <a:off x="1276363" y="172367"/>
          <a:ext cx="2683945" cy="2683945"/>
        </a:xfrm>
        <a:prstGeom prst="ellipse">
          <a:avLst/>
        </a:prstGeom>
        <a:solidFill>
          <a:schemeClr val="accent3">
            <a:alpha val="50000"/>
            <a:hueOff val="6750158"/>
            <a:satOff val="-10128"/>
            <a:lumOff val="-16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875E2B12-9D11-A544-8B34-52A7BF4B8529}">
      <dsp:nvSpPr>
        <dsp:cNvPr id="0" name=""/>
        <dsp:cNvSpPr/>
      </dsp:nvSpPr>
      <dsp:spPr>
        <a:xfrm>
          <a:off x="2574689" y="3990411"/>
          <a:ext cx="2161794" cy="1177630"/>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488950">
            <a:lnSpc>
              <a:spcPct val="90000"/>
            </a:lnSpc>
            <a:spcBef>
              <a:spcPct val="0"/>
            </a:spcBef>
            <a:spcAft>
              <a:spcPct val="35000"/>
            </a:spcAft>
            <a:buNone/>
          </a:pPr>
          <a:r>
            <a:rPr lang="en-US" sz="1100" kern="1200"/>
            <a:t>Ability</a:t>
          </a:r>
        </a:p>
        <a:p>
          <a:pPr marL="57150" lvl="1" indent="-57150" algn="l" defTabSz="400050">
            <a:lnSpc>
              <a:spcPct val="90000"/>
            </a:lnSpc>
            <a:spcBef>
              <a:spcPct val="0"/>
            </a:spcBef>
            <a:spcAft>
              <a:spcPct val="15000"/>
            </a:spcAft>
            <a:buChar char="•"/>
          </a:pPr>
          <a:r>
            <a:rPr lang="en-US" sz="900" kern="1200"/>
            <a:t>Performance </a:t>
          </a:r>
        </a:p>
        <a:p>
          <a:pPr marL="57150" lvl="1" indent="-57150" algn="l" defTabSz="400050">
            <a:lnSpc>
              <a:spcPct val="90000"/>
            </a:lnSpc>
            <a:spcBef>
              <a:spcPct val="0"/>
            </a:spcBef>
            <a:spcAft>
              <a:spcPct val="15000"/>
            </a:spcAft>
            <a:buChar char="•"/>
          </a:pPr>
          <a:r>
            <a:rPr lang="en-US" sz="900" kern="1200"/>
            <a:t>Competence</a:t>
          </a:r>
        </a:p>
        <a:p>
          <a:pPr marL="57150" lvl="1" indent="-57150" algn="l" defTabSz="400050">
            <a:lnSpc>
              <a:spcPct val="90000"/>
            </a:lnSpc>
            <a:spcBef>
              <a:spcPct val="0"/>
            </a:spcBef>
            <a:spcAft>
              <a:spcPct val="15000"/>
            </a:spcAft>
            <a:buChar char="•"/>
          </a:pPr>
          <a:r>
            <a:rPr lang="en-US" sz="900" kern="1200"/>
            <a:t>To be effective</a:t>
          </a:r>
        </a:p>
        <a:p>
          <a:pPr marL="57150" lvl="1" indent="-57150" algn="l" defTabSz="400050">
            <a:lnSpc>
              <a:spcPct val="90000"/>
            </a:lnSpc>
            <a:spcBef>
              <a:spcPct val="0"/>
            </a:spcBef>
            <a:spcAft>
              <a:spcPct val="15000"/>
            </a:spcAft>
            <a:buChar char="•"/>
          </a:pPr>
          <a:r>
            <a:rPr lang="en-US" sz="900" kern="1200"/>
            <a:t>To self-correct</a:t>
          </a:r>
        </a:p>
        <a:p>
          <a:pPr marL="57150" lvl="1" indent="-57150" algn="l" defTabSz="400050">
            <a:lnSpc>
              <a:spcPct val="90000"/>
            </a:lnSpc>
            <a:spcBef>
              <a:spcPct val="0"/>
            </a:spcBef>
            <a:spcAft>
              <a:spcPct val="15000"/>
            </a:spcAft>
            <a:buChar char="•"/>
          </a:pPr>
          <a:r>
            <a:rPr lang="en-US" sz="900" kern="1200"/>
            <a:t>To access help</a:t>
          </a:r>
        </a:p>
        <a:p>
          <a:pPr marL="57150" lvl="1" indent="-57150" algn="l" defTabSz="400050">
            <a:lnSpc>
              <a:spcPct val="90000"/>
            </a:lnSpc>
            <a:spcBef>
              <a:spcPct val="0"/>
            </a:spcBef>
            <a:spcAft>
              <a:spcPct val="15000"/>
            </a:spcAft>
            <a:buChar char="•"/>
          </a:pPr>
          <a:r>
            <a:rPr lang="en-US" sz="900" kern="1200"/>
            <a:t>Confidence to assess</a:t>
          </a:r>
        </a:p>
        <a:p>
          <a:pPr marL="57150" lvl="1" indent="-57150" algn="l" defTabSz="400050">
            <a:lnSpc>
              <a:spcPct val="90000"/>
            </a:lnSpc>
            <a:spcBef>
              <a:spcPct val="0"/>
            </a:spcBef>
            <a:spcAft>
              <a:spcPct val="15000"/>
            </a:spcAft>
            <a:buChar char="•"/>
          </a:pPr>
          <a:r>
            <a:rPr lang="en-US" sz="900" kern="1200"/>
            <a:t>Confidence to manage patients</a:t>
          </a:r>
        </a:p>
      </dsp:txBody>
      <dsp:txXfrm>
        <a:off x="2574689" y="3990411"/>
        <a:ext cx="2161794" cy="1177630"/>
      </dsp:txXfrm>
    </dsp:sp>
    <dsp:sp modelId="{E28D9292-D31D-5140-8B39-412DD529F058}">
      <dsp:nvSpPr>
        <dsp:cNvPr id="0" name=""/>
        <dsp:cNvSpPr/>
      </dsp:nvSpPr>
      <dsp:spPr>
        <a:xfrm>
          <a:off x="560484" y="1723448"/>
          <a:ext cx="1968045" cy="1968045"/>
        </a:xfrm>
        <a:prstGeom prst="ellipse">
          <a:avLst/>
        </a:prstGeom>
        <a:solidFill>
          <a:schemeClr val="accent3">
            <a:alpha val="50000"/>
            <a:hueOff val="9000211"/>
            <a:satOff val="-13504"/>
            <a:lumOff val="-21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242C6BE9-5A86-7B49-8D8F-33E58D1E1923}">
      <dsp:nvSpPr>
        <dsp:cNvPr id="0" name=""/>
        <dsp:cNvSpPr/>
      </dsp:nvSpPr>
      <dsp:spPr>
        <a:xfrm>
          <a:off x="1276356" y="530312"/>
          <a:ext cx="2048660" cy="1441196"/>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622300">
            <a:lnSpc>
              <a:spcPct val="90000"/>
            </a:lnSpc>
            <a:spcBef>
              <a:spcPct val="0"/>
            </a:spcBef>
            <a:spcAft>
              <a:spcPct val="35000"/>
            </a:spcAft>
            <a:buNone/>
          </a:pPr>
          <a:r>
            <a:rPr lang="en-US" sz="1400" kern="1200"/>
            <a:t>Knowledge</a:t>
          </a:r>
        </a:p>
        <a:p>
          <a:pPr marL="57150" lvl="1" indent="-57150" algn="l" defTabSz="355600">
            <a:lnSpc>
              <a:spcPct val="90000"/>
            </a:lnSpc>
            <a:spcBef>
              <a:spcPct val="0"/>
            </a:spcBef>
            <a:spcAft>
              <a:spcPct val="15000"/>
            </a:spcAft>
            <a:buChar char="•"/>
          </a:pPr>
          <a:r>
            <a:rPr lang="en-US" sz="800" kern="1200"/>
            <a:t>Access of</a:t>
          </a:r>
        </a:p>
        <a:p>
          <a:pPr marL="57150" lvl="1" indent="-57150" algn="l" defTabSz="355600">
            <a:lnSpc>
              <a:spcPct val="90000"/>
            </a:lnSpc>
            <a:spcBef>
              <a:spcPct val="0"/>
            </a:spcBef>
            <a:spcAft>
              <a:spcPct val="15000"/>
            </a:spcAft>
            <a:buChar char="•"/>
          </a:pPr>
          <a:r>
            <a:rPr lang="en-US" sz="800" kern="1200"/>
            <a:t>Application of </a:t>
          </a:r>
        </a:p>
        <a:p>
          <a:pPr marL="57150" lvl="1" indent="-57150" algn="l" defTabSz="355600">
            <a:lnSpc>
              <a:spcPct val="90000"/>
            </a:lnSpc>
            <a:spcBef>
              <a:spcPct val="0"/>
            </a:spcBef>
            <a:spcAft>
              <a:spcPct val="15000"/>
            </a:spcAft>
            <a:buChar char="•"/>
          </a:pPr>
          <a:r>
            <a:rPr lang="en-US" sz="800" kern="1200"/>
            <a:t>Under pressure</a:t>
          </a:r>
        </a:p>
        <a:p>
          <a:pPr marL="57150" lvl="1" indent="-57150" algn="l" defTabSz="355600">
            <a:lnSpc>
              <a:spcPct val="90000"/>
            </a:lnSpc>
            <a:spcBef>
              <a:spcPct val="0"/>
            </a:spcBef>
            <a:spcAft>
              <a:spcPct val="15000"/>
            </a:spcAft>
            <a:buChar char="•"/>
          </a:pPr>
          <a:r>
            <a:rPr lang="en-US" sz="800" kern="1200"/>
            <a:t>How confident to apply</a:t>
          </a:r>
        </a:p>
      </dsp:txBody>
      <dsp:txXfrm>
        <a:off x="1276356" y="530312"/>
        <a:ext cx="2048660" cy="1441196"/>
      </dsp:txXfrm>
    </dsp:sp>
    <dsp:sp modelId="{91D68046-4E57-E644-A4FA-A319A36D434D}">
      <dsp:nvSpPr>
        <dsp:cNvPr id="0" name=""/>
        <dsp:cNvSpPr/>
      </dsp:nvSpPr>
      <dsp:spPr>
        <a:xfrm>
          <a:off x="441161" y="2916589"/>
          <a:ext cx="2445317" cy="2327249"/>
        </a:xfrm>
        <a:prstGeom prst="ellipse">
          <a:avLst/>
        </a:prstGeom>
        <a:solidFill>
          <a:schemeClr val="accent3">
            <a:alpha val="50000"/>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86D1E055-3110-9147-A7DD-68AEE2158B33}">
      <dsp:nvSpPr>
        <dsp:cNvPr id="0" name=""/>
        <dsp:cNvSpPr/>
      </dsp:nvSpPr>
      <dsp:spPr>
        <a:xfrm>
          <a:off x="441158" y="3503729"/>
          <a:ext cx="2048660" cy="1441196"/>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1">
          <a:noAutofit/>
        </a:bodyPr>
        <a:lstStyle/>
        <a:p>
          <a:pPr marL="0" lvl="0" indent="0" algn="l" defTabSz="622300">
            <a:lnSpc>
              <a:spcPct val="90000"/>
            </a:lnSpc>
            <a:spcBef>
              <a:spcPct val="0"/>
            </a:spcBef>
            <a:spcAft>
              <a:spcPct val="35000"/>
            </a:spcAft>
            <a:buNone/>
          </a:pPr>
          <a:r>
            <a:rPr lang="en-US" sz="1400" kern="1200"/>
            <a:t>Skills</a:t>
          </a:r>
        </a:p>
        <a:p>
          <a:pPr marL="57150" lvl="1" indent="-57150" algn="l" defTabSz="355600">
            <a:lnSpc>
              <a:spcPct val="90000"/>
            </a:lnSpc>
            <a:spcBef>
              <a:spcPct val="0"/>
            </a:spcBef>
            <a:spcAft>
              <a:spcPct val="15000"/>
            </a:spcAft>
            <a:buChar char="•"/>
          </a:pPr>
          <a:r>
            <a:rPr lang="en-US" sz="800" kern="1200"/>
            <a:t>Decision making</a:t>
          </a:r>
        </a:p>
        <a:p>
          <a:pPr marL="57150" lvl="1" indent="-57150" algn="l" defTabSz="355600">
            <a:lnSpc>
              <a:spcPct val="90000"/>
            </a:lnSpc>
            <a:spcBef>
              <a:spcPct val="0"/>
            </a:spcBef>
            <a:spcAft>
              <a:spcPct val="15000"/>
            </a:spcAft>
            <a:buChar char="•"/>
          </a:pPr>
          <a:r>
            <a:rPr lang="en-US" sz="800" kern="1200"/>
            <a:t>Judgment</a:t>
          </a:r>
        </a:p>
        <a:p>
          <a:pPr marL="57150" lvl="1" indent="-57150" algn="l" defTabSz="355600">
            <a:lnSpc>
              <a:spcPct val="90000"/>
            </a:lnSpc>
            <a:spcBef>
              <a:spcPct val="0"/>
            </a:spcBef>
            <a:spcAft>
              <a:spcPct val="15000"/>
            </a:spcAft>
            <a:buChar char="•"/>
          </a:pPr>
          <a:r>
            <a:rPr lang="en-US" sz="800" kern="1200"/>
            <a:t>Insight</a:t>
          </a:r>
        </a:p>
        <a:p>
          <a:pPr marL="57150" lvl="1" indent="-57150" algn="l" defTabSz="355600">
            <a:lnSpc>
              <a:spcPct val="90000"/>
            </a:lnSpc>
            <a:spcBef>
              <a:spcPct val="0"/>
            </a:spcBef>
            <a:spcAft>
              <a:spcPct val="15000"/>
            </a:spcAft>
            <a:buChar char="•"/>
          </a:pPr>
          <a:r>
            <a:rPr lang="en-US" sz="800" kern="1200"/>
            <a:t>Self correction</a:t>
          </a:r>
        </a:p>
        <a:p>
          <a:pPr marL="57150" lvl="1" indent="-57150" algn="l" defTabSz="355600">
            <a:lnSpc>
              <a:spcPct val="90000"/>
            </a:lnSpc>
            <a:spcBef>
              <a:spcPct val="0"/>
            </a:spcBef>
            <a:spcAft>
              <a:spcPct val="15000"/>
            </a:spcAft>
            <a:buChar char="•"/>
          </a:pPr>
          <a:r>
            <a:rPr lang="en-US" sz="800" kern="1200"/>
            <a:t>Limitations</a:t>
          </a:r>
        </a:p>
        <a:p>
          <a:pPr marL="57150" lvl="1" indent="-57150" algn="l" defTabSz="355600">
            <a:lnSpc>
              <a:spcPct val="90000"/>
            </a:lnSpc>
            <a:spcBef>
              <a:spcPct val="0"/>
            </a:spcBef>
            <a:spcAft>
              <a:spcPct val="15000"/>
            </a:spcAft>
            <a:buChar char="•"/>
          </a:pPr>
          <a:r>
            <a:rPr lang="en-US" sz="800" kern="1200"/>
            <a:t>Manage self under pressure</a:t>
          </a:r>
        </a:p>
      </dsp:txBody>
      <dsp:txXfrm>
        <a:off x="441158" y="3503729"/>
        <a:ext cx="2048660" cy="144119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8.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9.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3.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4.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2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0.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4.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5.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6.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7.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8.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9.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40.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4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42.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4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5.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Process10">
  <dgm:title val=""/>
  <dgm:desc val=""/>
  <dgm:catLst>
    <dgm:cat type="process" pri="3000"/>
    <dgm:cat type="picture" pri="30000"/>
    <dgm:cat type="pictureconvert" pri="3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op="equ" fact="0.3333"/>
      <dgm:constr type="primFontSz" for="des" forName="txNode" op="equ" val="65"/>
      <dgm:constr type="primFontSz" for="des" forName="connTx" op="equ" val="55"/>
      <dgm:constr type="primFontSz" for="des" forName="connTx" refType="primFontSz" refFor="des" refForName="txNode" op="lte" fact="0.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imagSh"/>
              <dgm:constr type="w" for="ch" forName="imagSh" refType="w" fact="0.86"/>
              <dgm:constr type="t" for="ch" forName="imagSh"/>
              <dgm:constr type="h" for="ch" forName="imagSh" refType="w" refFor="ch" refForName="imagSh"/>
              <dgm:constr type="l" for="ch" forName="txNode" refType="w" fact="0.14"/>
              <dgm:constr type="w" for="ch" forName="txNode" refType="w" refFor="ch" refForName="imagSh"/>
              <dgm:constr type="t" for="ch" forName="txNode" refType="h" refFor="ch" refForName="imagSh" fact="0.6"/>
              <dgm:constr type="h" for="ch" forName="txNode" refType="h" refFor="ch" refForName="imagSh"/>
            </dgm:constrLst>
          </dgm:if>
          <dgm:else name="Name7">
            <dgm:constrLst>
              <dgm:constr type="l" for="ch" forName="imagSh" refType="w" fact="0.14"/>
              <dgm:constr type="w" for="ch" forName="imagSh" refType="w" fact="0.86"/>
              <dgm:constr type="t" for="ch" forName="imagSh"/>
              <dgm:constr type="h" for="ch" forName="imagSh" refType="w" refFor="ch" refForName="imagSh"/>
              <dgm:constr type="l" for="ch" forName="txNode"/>
              <dgm:constr type="w" for="ch" forName="txNode" refType="w" refFor="ch" refForName="imagSh"/>
              <dgm:constr type="t" for="ch" forName="txNode" refType="h" refFor="ch" refForName="imagSh" fact="0.6"/>
              <dgm:constr type="h" for="ch" forName="txNode" refType="h" refFor="ch" refForName="imagSh"/>
            </dgm:constrLst>
          </dgm:else>
        </dgm:choose>
        <dgm:ruleLst/>
        <dgm:layoutNode name="imagSh" styleLbl="bgImgPlace1">
          <dgm:alg type="sp"/>
          <dgm:shape xmlns:r="http://schemas.openxmlformats.org/officeDocument/2006/relationships" type="roundRect" r:blip="" blipPhldr="1">
            <dgm:adjLst>
              <dgm:adj idx="1" val="0.1"/>
            </dgm:adjLst>
          </dgm:shape>
          <dgm:presOf/>
          <dgm:constrLst/>
          <dgm:ruleLst/>
        </dgm:layoutNode>
        <dgm:layoutNode name="txNode" styleLbl="node1">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sibTransForEach" axis="followSib" ptType="sibTrans" cnt="1">
        <dgm:layoutNode name="sibTrans">
          <dgm:alg type="conn">
            <dgm:param type="begPts" val="auto"/>
            <dgm:param type="endPts" val="auto"/>
            <dgm:param type="srcNode" val="imagSh"/>
            <dgm:param type="dstNode" val="imagSh"/>
          </dgm:alg>
          <dgm:shape xmlns:r="http://schemas.openxmlformats.org/officeDocument/2006/relationships" type="conn" r:blip="">
            <dgm:adjLst/>
          </dgm:shape>
          <dgm:presOf axis="self"/>
          <dgm:constrLst>
            <dgm:constr type="h" refType="w" fact="0.62"/>
            <dgm:constr type="connDist"/>
            <dgm:constr type="begPad" refType="connDist" fact="0.35"/>
            <dgm:constr type="endPad" refType="connDist" fact="0.3"/>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6.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F2E806-3824-C24D-B075-AC1AEBF90C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589</Pages>
  <Words>199309</Words>
  <Characters>1084247</Characters>
  <Application>Microsoft Office Word</Application>
  <DocSecurity>0</DocSecurity>
  <Lines>29303</Lines>
  <Paragraphs>14585</Paragraphs>
  <ScaleCrop>false</ScaleCrop>
  <Company>Home</Company>
  <LinksUpToDate>false</LinksUpToDate>
  <CharactersWithSpaces>1268971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Felicity Reeves</dc:creator>
  <cp:keywords/>
  <dc:description/>
  <cp:lastModifiedBy>Joanne Rowlands</cp:lastModifiedBy>
  <cp:revision>2</cp:revision>
  <cp:lastPrinted>2019-05-10T10:51:00Z</cp:lastPrinted>
  <dcterms:created xsi:type="dcterms:W3CDTF">2024-01-26T16:01:00Z</dcterms:created>
  <dcterms:modified xsi:type="dcterms:W3CDTF">2024-01-26T16:01:00Z</dcterms:modified>
</cp:coreProperties>
</file>